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7283" w14:textId="27E61528" w:rsidR="00D03A57" w:rsidRPr="00622066" w:rsidRDefault="00D03A57" w:rsidP="00C64A20">
      <w:pPr>
        <w:suppressLineNumbers/>
        <w:rPr>
          <w:b/>
          <w:sz w:val="44"/>
          <w:szCs w:val="44"/>
        </w:rPr>
      </w:pPr>
      <w:r w:rsidRPr="00622066">
        <w:rPr>
          <w:b/>
          <w:sz w:val="44"/>
          <w:szCs w:val="44"/>
        </w:rPr>
        <w:t>Reconnecting society</w:t>
      </w:r>
      <w:r w:rsidR="00590A1E" w:rsidRPr="00622066">
        <w:rPr>
          <w:b/>
          <w:sz w:val="44"/>
          <w:szCs w:val="44"/>
        </w:rPr>
        <w:t xml:space="preserve"> with its </w:t>
      </w:r>
      <w:r w:rsidRPr="00622066">
        <w:rPr>
          <w:b/>
          <w:sz w:val="44"/>
          <w:szCs w:val="44"/>
        </w:rPr>
        <w:t>ecological roots</w:t>
      </w:r>
    </w:p>
    <w:p w14:paraId="73C14B6E" w14:textId="5977B29F" w:rsidR="00622066" w:rsidRDefault="00622066" w:rsidP="00C64A20">
      <w:pPr>
        <w:suppressLineNumbers/>
        <w:spacing w:after="0" w:line="240" w:lineRule="auto"/>
        <w:contextualSpacing/>
        <w:rPr>
          <w:sz w:val="24"/>
          <w:szCs w:val="24"/>
        </w:rPr>
      </w:pPr>
    </w:p>
    <w:p w14:paraId="7858D2D9" w14:textId="7EB94145" w:rsidR="00CD7FAE" w:rsidRPr="00693E78" w:rsidRDefault="00590A1E" w:rsidP="00C64A20">
      <w:pPr>
        <w:suppressLineNumbers/>
        <w:spacing w:after="0" w:line="240" w:lineRule="auto"/>
        <w:contextualSpacing/>
        <w:rPr>
          <w:sz w:val="24"/>
          <w:szCs w:val="24"/>
          <w:vertAlign w:val="superscript"/>
        </w:rPr>
      </w:pPr>
      <w:r w:rsidRPr="00CD7FAE">
        <w:rPr>
          <w:sz w:val="24"/>
          <w:szCs w:val="24"/>
        </w:rPr>
        <w:t>Mark Everard</w:t>
      </w:r>
      <w:r w:rsidR="00CD7FAE" w:rsidRPr="00CD7FAE">
        <w:rPr>
          <w:sz w:val="24"/>
          <w:szCs w:val="24"/>
          <w:vertAlign w:val="superscript"/>
        </w:rPr>
        <w:t>1</w:t>
      </w:r>
      <w:r w:rsidR="002651B1">
        <w:rPr>
          <w:sz w:val="24"/>
          <w:szCs w:val="24"/>
          <w:vertAlign w:val="superscript"/>
        </w:rPr>
        <w:t>*</w:t>
      </w:r>
      <w:r w:rsidR="00622066" w:rsidRPr="00CD7FAE">
        <w:rPr>
          <w:sz w:val="24"/>
          <w:szCs w:val="24"/>
        </w:rPr>
        <w:t>,</w:t>
      </w:r>
      <w:r w:rsidR="00CD7FAE" w:rsidRPr="00CD7FAE">
        <w:rPr>
          <w:sz w:val="24"/>
          <w:szCs w:val="24"/>
          <w:vertAlign w:val="superscript"/>
        </w:rPr>
        <w:t xml:space="preserve"> </w:t>
      </w:r>
      <w:r w:rsidR="004C2A42" w:rsidRPr="00CD7FAE">
        <w:rPr>
          <w:sz w:val="24"/>
          <w:szCs w:val="24"/>
        </w:rPr>
        <w:t xml:space="preserve">Gary </w:t>
      </w:r>
      <w:bookmarkStart w:id="0" w:name="_Hlk55801479"/>
      <w:r w:rsidR="004C2A42" w:rsidRPr="00CD7FAE">
        <w:rPr>
          <w:sz w:val="24"/>
          <w:szCs w:val="24"/>
        </w:rPr>
        <w:t>Kass</w:t>
      </w:r>
      <w:r w:rsidR="00CD7FAE" w:rsidRPr="00CD7FAE">
        <w:rPr>
          <w:sz w:val="24"/>
          <w:szCs w:val="24"/>
          <w:vertAlign w:val="superscript"/>
        </w:rPr>
        <w:t>2</w:t>
      </w:r>
      <w:r w:rsidR="00622066" w:rsidRPr="00CD7FAE">
        <w:rPr>
          <w:sz w:val="24"/>
          <w:szCs w:val="24"/>
        </w:rPr>
        <w:t>,</w:t>
      </w:r>
      <w:r w:rsidR="00CD7FAE" w:rsidRPr="00CD7FAE">
        <w:rPr>
          <w:sz w:val="24"/>
          <w:szCs w:val="24"/>
          <w:vertAlign w:val="superscript"/>
        </w:rPr>
        <w:t xml:space="preserve"> </w:t>
      </w:r>
      <w:r w:rsidR="00CD7FAE" w:rsidRPr="00CD7FAE">
        <w:rPr>
          <w:sz w:val="24"/>
          <w:szCs w:val="24"/>
        </w:rPr>
        <w:t>James Longhurst</w:t>
      </w:r>
      <w:r w:rsidR="00622066">
        <w:rPr>
          <w:sz w:val="24"/>
          <w:szCs w:val="24"/>
          <w:vertAlign w:val="superscript"/>
        </w:rPr>
        <w:t xml:space="preserve"> 1</w:t>
      </w:r>
      <w:r w:rsidR="00622066" w:rsidRPr="00622066">
        <w:rPr>
          <w:sz w:val="24"/>
          <w:szCs w:val="24"/>
        </w:rPr>
        <w:t>,</w:t>
      </w:r>
      <w:r w:rsidR="00622066">
        <w:rPr>
          <w:sz w:val="24"/>
          <w:szCs w:val="24"/>
        </w:rPr>
        <w:t xml:space="preserve"> </w:t>
      </w:r>
      <w:r w:rsidR="004C2A42" w:rsidRPr="00AE5639">
        <w:rPr>
          <w:sz w:val="24"/>
          <w:szCs w:val="24"/>
        </w:rPr>
        <w:t xml:space="preserve">Sophus </w:t>
      </w:r>
      <w:proofErr w:type="spellStart"/>
      <w:r w:rsidR="004C2A42" w:rsidRPr="00AE5639">
        <w:rPr>
          <w:sz w:val="24"/>
          <w:szCs w:val="24"/>
        </w:rPr>
        <w:t>zu</w:t>
      </w:r>
      <w:proofErr w:type="spellEnd"/>
      <w:r w:rsidR="004C2A42" w:rsidRPr="00AE5639">
        <w:rPr>
          <w:sz w:val="24"/>
          <w:szCs w:val="24"/>
        </w:rPr>
        <w:t xml:space="preserve"> Ermgassen</w:t>
      </w:r>
      <w:r w:rsidR="00622066" w:rsidRPr="00AE5639">
        <w:rPr>
          <w:sz w:val="24"/>
          <w:szCs w:val="24"/>
          <w:vertAlign w:val="superscript"/>
        </w:rPr>
        <w:t>3</w:t>
      </w:r>
      <w:r w:rsidR="00CD7FAE" w:rsidRPr="00AE5639">
        <w:rPr>
          <w:sz w:val="24"/>
          <w:szCs w:val="24"/>
          <w:vertAlign w:val="superscript"/>
        </w:rPr>
        <w:t>,</w:t>
      </w:r>
      <w:r w:rsidR="00622066" w:rsidRPr="00AE5639">
        <w:rPr>
          <w:sz w:val="24"/>
          <w:szCs w:val="24"/>
          <w:vertAlign w:val="superscript"/>
        </w:rPr>
        <w:t>4</w:t>
      </w:r>
      <w:r w:rsidR="00622066" w:rsidRPr="00AE5639">
        <w:rPr>
          <w:sz w:val="24"/>
          <w:szCs w:val="24"/>
        </w:rPr>
        <w:t>,</w:t>
      </w:r>
      <w:r w:rsidR="00CD7FAE" w:rsidRPr="00AE5639">
        <w:rPr>
          <w:sz w:val="24"/>
          <w:szCs w:val="24"/>
        </w:rPr>
        <w:t xml:space="preserve"> </w:t>
      </w:r>
      <w:r w:rsidR="006F5000" w:rsidRPr="00AE5639">
        <w:rPr>
          <w:sz w:val="24"/>
          <w:szCs w:val="24"/>
        </w:rPr>
        <w:t>Herbert</w:t>
      </w:r>
      <w:r w:rsidR="006F5000" w:rsidRPr="006F5000">
        <w:rPr>
          <w:sz w:val="24"/>
          <w:szCs w:val="24"/>
        </w:rPr>
        <w:t xml:space="preserve"> Girardet</w:t>
      </w:r>
      <w:r w:rsidR="00550E5D">
        <w:rPr>
          <w:sz w:val="24"/>
          <w:szCs w:val="24"/>
          <w:vertAlign w:val="superscript"/>
        </w:rPr>
        <w:t>5</w:t>
      </w:r>
      <w:r w:rsidR="00550E5D">
        <w:rPr>
          <w:sz w:val="24"/>
          <w:szCs w:val="24"/>
        </w:rPr>
        <w:t>, J</w:t>
      </w:r>
      <w:r w:rsidR="004C2A42" w:rsidRPr="00CD7FAE">
        <w:rPr>
          <w:sz w:val="24"/>
          <w:szCs w:val="24"/>
        </w:rPr>
        <w:t>ames Stewart-Evans</w:t>
      </w:r>
      <w:r w:rsidR="00550E5D" w:rsidRPr="00550E5D">
        <w:rPr>
          <w:sz w:val="24"/>
          <w:szCs w:val="24"/>
          <w:vertAlign w:val="superscript"/>
        </w:rPr>
        <w:t>6</w:t>
      </w:r>
      <w:r w:rsidR="00622066">
        <w:rPr>
          <w:sz w:val="24"/>
          <w:szCs w:val="24"/>
        </w:rPr>
        <w:t>, J</w:t>
      </w:r>
      <w:r w:rsidR="004C2A42" w:rsidRPr="00CD7FAE">
        <w:rPr>
          <w:sz w:val="24"/>
          <w:szCs w:val="24"/>
        </w:rPr>
        <w:t>onathan Wentworth</w:t>
      </w:r>
      <w:r w:rsidR="00255193">
        <w:rPr>
          <w:sz w:val="24"/>
          <w:szCs w:val="24"/>
          <w:vertAlign w:val="superscript"/>
        </w:rPr>
        <w:t>3</w:t>
      </w:r>
      <w:r w:rsidR="00622066" w:rsidRPr="00CD7FAE">
        <w:rPr>
          <w:sz w:val="24"/>
          <w:szCs w:val="24"/>
        </w:rPr>
        <w:t>,</w:t>
      </w:r>
      <w:r w:rsidR="00CD7FAE" w:rsidRPr="00CD7FAE">
        <w:rPr>
          <w:sz w:val="24"/>
          <w:szCs w:val="24"/>
          <w:vertAlign w:val="superscript"/>
        </w:rPr>
        <w:t xml:space="preserve"> </w:t>
      </w:r>
      <w:r w:rsidR="004C2A42" w:rsidRPr="00CD7FAE">
        <w:rPr>
          <w:sz w:val="24"/>
          <w:szCs w:val="24"/>
        </w:rPr>
        <w:t>Kevin Austin</w:t>
      </w:r>
      <w:r w:rsidR="00550E5D">
        <w:rPr>
          <w:sz w:val="24"/>
          <w:szCs w:val="24"/>
          <w:vertAlign w:val="superscript"/>
        </w:rPr>
        <w:t>7</w:t>
      </w:r>
      <w:r w:rsidR="00622066" w:rsidRPr="00CD7FAE">
        <w:rPr>
          <w:sz w:val="24"/>
          <w:szCs w:val="24"/>
        </w:rPr>
        <w:t>,</w:t>
      </w:r>
      <w:r w:rsidR="00CD7FAE" w:rsidRPr="00CD7FAE">
        <w:rPr>
          <w:sz w:val="24"/>
          <w:szCs w:val="24"/>
          <w:vertAlign w:val="superscript"/>
        </w:rPr>
        <w:t xml:space="preserve"> </w:t>
      </w:r>
      <w:r w:rsidR="004C2A42" w:rsidRPr="00CD7FAE">
        <w:rPr>
          <w:sz w:val="24"/>
          <w:szCs w:val="24"/>
        </w:rPr>
        <w:t>Ciara Dwyer</w:t>
      </w:r>
      <w:r w:rsidR="00255193">
        <w:rPr>
          <w:sz w:val="24"/>
          <w:szCs w:val="24"/>
          <w:vertAlign w:val="superscript"/>
        </w:rPr>
        <w:t>3</w:t>
      </w:r>
      <w:r w:rsidR="00550E5D">
        <w:rPr>
          <w:sz w:val="24"/>
          <w:szCs w:val="24"/>
          <w:vertAlign w:val="superscript"/>
        </w:rPr>
        <w:t>,8</w:t>
      </w:r>
      <w:r w:rsidR="00622066" w:rsidRPr="00CD7FAE">
        <w:rPr>
          <w:sz w:val="24"/>
          <w:szCs w:val="24"/>
        </w:rPr>
        <w:t>,</w:t>
      </w:r>
      <w:r w:rsidR="00CD7FAE" w:rsidRPr="00CD7FAE">
        <w:rPr>
          <w:sz w:val="24"/>
          <w:szCs w:val="24"/>
          <w:vertAlign w:val="superscript"/>
        </w:rPr>
        <w:t xml:space="preserve"> </w:t>
      </w:r>
      <w:r w:rsidR="004C2A42" w:rsidRPr="00CD7FAE">
        <w:rPr>
          <w:sz w:val="24"/>
          <w:szCs w:val="24"/>
        </w:rPr>
        <w:t>Robert Fish</w:t>
      </w:r>
      <w:r w:rsidR="00550E5D">
        <w:rPr>
          <w:sz w:val="24"/>
          <w:szCs w:val="24"/>
          <w:vertAlign w:val="superscript"/>
        </w:rPr>
        <w:t>9</w:t>
      </w:r>
      <w:r w:rsidR="00622066" w:rsidRPr="00CD7FAE">
        <w:rPr>
          <w:sz w:val="24"/>
          <w:szCs w:val="24"/>
        </w:rPr>
        <w:t>,</w:t>
      </w:r>
      <w:r w:rsidR="003D4027">
        <w:rPr>
          <w:sz w:val="24"/>
          <w:szCs w:val="24"/>
        </w:rPr>
        <w:t xml:space="preserve"> </w:t>
      </w:r>
      <w:r w:rsidR="004C2A42" w:rsidRPr="00CD7FAE">
        <w:rPr>
          <w:sz w:val="24"/>
          <w:szCs w:val="24"/>
        </w:rPr>
        <w:t>Paul Johnston</w:t>
      </w:r>
      <w:r w:rsidR="00550E5D">
        <w:rPr>
          <w:sz w:val="24"/>
          <w:szCs w:val="24"/>
          <w:vertAlign w:val="superscript"/>
        </w:rPr>
        <w:t>10</w:t>
      </w:r>
      <w:r w:rsidR="00622066" w:rsidRPr="00CD7FAE">
        <w:rPr>
          <w:sz w:val="24"/>
          <w:szCs w:val="24"/>
        </w:rPr>
        <w:t>,</w:t>
      </w:r>
      <w:r w:rsidR="00622066">
        <w:rPr>
          <w:sz w:val="24"/>
          <w:szCs w:val="24"/>
        </w:rPr>
        <w:t xml:space="preserve"> </w:t>
      </w:r>
      <w:r w:rsidR="00CD7FAE" w:rsidRPr="00CD7FAE">
        <w:rPr>
          <w:sz w:val="24"/>
          <w:szCs w:val="24"/>
        </w:rPr>
        <w:t>Gary Mantle</w:t>
      </w:r>
      <w:r w:rsidR="00550E5D">
        <w:rPr>
          <w:sz w:val="24"/>
          <w:szCs w:val="24"/>
          <w:vertAlign w:val="superscript"/>
        </w:rPr>
        <w:t>11</w:t>
      </w:r>
      <w:r w:rsidR="00D815C0">
        <w:rPr>
          <w:sz w:val="24"/>
          <w:szCs w:val="24"/>
        </w:rPr>
        <w:t xml:space="preserve">, </w:t>
      </w:r>
      <w:r w:rsidR="00CD7FAE" w:rsidRPr="00693E78">
        <w:rPr>
          <w:sz w:val="24"/>
          <w:szCs w:val="24"/>
        </w:rPr>
        <w:t>Chad Staddon</w:t>
      </w:r>
      <w:r w:rsidR="00622066" w:rsidRPr="00693E78">
        <w:rPr>
          <w:sz w:val="24"/>
          <w:szCs w:val="24"/>
          <w:vertAlign w:val="superscript"/>
        </w:rPr>
        <w:t>1</w:t>
      </w:r>
      <w:r w:rsidR="00622066" w:rsidRPr="00693E78">
        <w:rPr>
          <w:sz w:val="24"/>
          <w:szCs w:val="24"/>
        </w:rPr>
        <w:t>,</w:t>
      </w:r>
      <w:r w:rsidR="00CD7FAE" w:rsidRPr="00693E78">
        <w:rPr>
          <w:sz w:val="24"/>
          <w:szCs w:val="24"/>
          <w:vertAlign w:val="superscript"/>
        </w:rPr>
        <w:t xml:space="preserve"> </w:t>
      </w:r>
      <w:r w:rsidR="00CD7FAE" w:rsidRPr="00693E78">
        <w:rPr>
          <w:sz w:val="24"/>
          <w:szCs w:val="24"/>
        </w:rPr>
        <w:t>Dave Tickner</w:t>
      </w:r>
      <w:r w:rsidR="00550E5D" w:rsidRPr="00693E78">
        <w:rPr>
          <w:sz w:val="24"/>
          <w:szCs w:val="24"/>
          <w:vertAlign w:val="superscript"/>
        </w:rPr>
        <w:t>12</w:t>
      </w:r>
      <w:r w:rsidR="00622066" w:rsidRPr="00693E78">
        <w:rPr>
          <w:sz w:val="24"/>
          <w:szCs w:val="24"/>
        </w:rPr>
        <w:t xml:space="preserve">, </w:t>
      </w:r>
      <w:r w:rsidR="00CD7FAE" w:rsidRPr="00693E78">
        <w:rPr>
          <w:sz w:val="24"/>
          <w:szCs w:val="24"/>
        </w:rPr>
        <w:t>Steve Spode</w:t>
      </w:r>
      <w:r w:rsidR="002651B1" w:rsidRPr="00693E78">
        <w:rPr>
          <w:sz w:val="24"/>
          <w:szCs w:val="24"/>
          <w:vertAlign w:val="superscript"/>
        </w:rPr>
        <w:t>1</w:t>
      </w:r>
      <w:r w:rsidR="00550E5D" w:rsidRPr="00693E78">
        <w:rPr>
          <w:sz w:val="24"/>
          <w:szCs w:val="24"/>
          <w:vertAlign w:val="superscript"/>
        </w:rPr>
        <w:t>3</w:t>
      </w:r>
      <w:r w:rsidR="00622066" w:rsidRPr="00693E78">
        <w:rPr>
          <w:sz w:val="24"/>
          <w:szCs w:val="24"/>
        </w:rPr>
        <w:t>, J</w:t>
      </w:r>
      <w:r w:rsidR="00CD7FAE" w:rsidRPr="00693E78">
        <w:rPr>
          <w:sz w:val="24"/>
          <w:szCs w:val="24"/>
        </w:rPr>
        <w:t>ackie Vale</w:t>
      </w:r>
      <w:r w:rsidR="00550E5D" w:rsidRPr="00693E78">
        <w:rPr>
          <w:sz w:val="24"/>
          <w:szCs w:val="24"/>
          <w:vertAlign w:val="superscript"/>
        </w:rPr>
        <w:t>7</w:t>
      </w:r>
      <w:r w:rsidR="006F5000" w:rsidRPr="00693E78">
        <w:rPr>
          <w:sz w:val="24"/>
          <w:szCs w:val="24"/>
        </w:rPr>
        <w:t>, Rhianna Jarvis</w:t>
      </w:r>
      <w:r w:rsidR="00550E5D" w:rsidRPr="00693E78">
        <w:rPr>
          <w:sz w:val="24"/>
          <w:szCs w:val="24"/>
          <w:vertAlign w:val="superscript"/>
        </w:rPr>
        <w:t>14</w:t>
      </w:r>
      <w:r w:rsidR="006F5000" w:rsidRPr="00693E78">
        <w:rPr>
          <w:sz w:val="24"/>
          <w:szCs w:val="24"/>
        </w:rPr>
        <w:t>, Mathilda Digby</w:t>
      </w:r>
      <w:r w:rsidR="006F5000" w:rsidRPr="00693E78">
        <w:rPr>
          <w:sz w:val="24"/>
          <w:szCs w:val="24"/>
          <w:vertAlign w:val="superscript"/>
        </w:rPr>
        <w:t>1</w:t>
      </w:r>
      <w:r w:rsidR="00693E78" w:rsidRPr="00693E78">
        <w:rPr>
          <w:sz w:val="24"/>
          <w:szCs w:val="24"/>
        </w:rPr>
        <w:t>, Gwilym Wren</w:t>
      </w:r>
      <w:r w:rsidR="00693E78" w:rsidRPr="00693E78">
        <w:rPr>
          <w:sz w:val="24"/>
          <w:szCs w:val="24"/>
          <w:vertAlign w:val="superscript"/>
        </w:rPr>
        <w:t>15</w:t>
      </w:r>
      <w:r w:rsidR="009E3CE4">
        <w:rPr>
          <w:sz w:val="24"/>
          <w:szCs w:val="24"/>
        </w:rPr>
        <w:t xml:space="preserve">, </w:t>
      </w:r>
      <w:r w:rsidR="001F6BEE">
        <w:rPr>
          <w:sz w:val="24"/>
          <w:szCs w:val="24"/>
        </w:rPr>
        <w:t>Tim Sunderland</w:t>
      </w:r>
      <w:r w:rsidR="009E3CE4" w:rsidRPr="00693E78">
        <w:rPr>
          <w:sz w:val="24"/>
          <w:szCs w:val="24"/>
          <w:vertAlign w:val="superscript"/>
        </w:rPr>
        <w:t>1</w:t>
      </w:r>
      <w:r w:rsidR="00256D86">
        <w:rPr>
          <w:sz w:val="24"/>
          <w:szCs w:val="24"/>
          <w:vertAlign w:val="superscript"/>
        </w:rPr>
        <w:t>6</w:t>
      </w:r>
      <w:r w:rsidR="001F6BEE">
        <w:rPr>
          <w:sz w:val="24"/>
          <w:szCs w:val="24"/>
        </w:rPr>
        <w:t>, Amanda Craig</w:t>
      </w:r>
      <w:r w:rsidR="001F6BEE" w:rsidRPr="00693E78">
        <w:rPr>
          <w:sz w:val="24"/>
          <w:szCs w:val="24"/>
          <w:vertAlign w:val="superscript"/>
        </w:rPr>
        <w:t>1</w:t>
      </w:r>
      <w:r w:rsidR="00256D86">
        <w:rPr>
          <w:sz w:val="24"/>
          <w:szCs w:val="24"/>
          <w:vertAlign w:val="superscript"/>
        </w:rPr>
        <w:t>7</w:t>
      </w:r>
    </w:p>
    <w:bookmarkEnd w:id="0"/>
    <w:p w14:paraId="53F6F141" w14:textId="77777777" w:rsidR="003C7108" w:rsidRPr="00693E78" w:rsidRDefault="003C7108" w:rsidP="002651B1">
      <w:pPr>
        <w:suppressLineNumbers/>
        <w:spacing w:after="0" w:line="240" w:lineRule="auto"/>
        <w:ind w:left="720" w:hanging="720"/>
        <w:rPr>
          <w:sz w:val="20"/>
          <w:szCs w:val="20"/>
        </w:rPr>
      </w:pPr>
    </w:p>
    <w:p w14:paraId="573862AB" w14:textId="0A9A1FFF" w:rsidR="002651B1" w:rsidRPr="00C375BD" w:rsidRDefault="002651B1" w:rsidP="00C375BD">
      <w:pPr>
        <w:suppressLineNumbers/>
        <w:spacing w:after="0" w:line="240" w:lineRule="auto"/>
        <w:rPr>
          <w:sz w:val="20"/>
          <w:szCs w:val="20"/>
        </w:rPr>
      </w:pPr>
      <w:r w:rsidRPr="00550E5D">
        <w:rPr>
          <w:sz w:val="20"/>
          <w:szCs w:val="20"/>
        </w:rPr>
        <w:t xml:space="preserve">1. </w:t>
      </w:r>
      <w:r w:rsidR="00F71EFE">
        <w:rPr>
          <w:sz w:val="20"/>
          <w:szCs w:val="20"/>
        </w:rPr>
        <w:t>–</w:t>
      </w:r>
      <w:r w:rsidR="00B1301D" w:rsidRPr="00550E5D">
        <w:rPr>
          <w:sz w:val="20"/>
          <w:szCs w:val="20"/>
        </w:rPr>
        <w:t xml:space="preserve"> </w:t>
      </w:r>
      <w:r w:rsidRPr="00C375BD">
        <w:rPr>
          <w:sz w:val="20"/>
          <w:szCs w:val="20"/>
        </w:rPr>
        <w:t xml:space="preserve">University of the West of England (UWE), Coldharbour Lane, </w:t>
      </w:r>
      <w:proofErr w:type="spellStart"/>
      <w:r w:rsidRPr="00C375BD">
        <w:rPr>
          <w:sz w:val="20"/>
          <w:szCs w:val="20"/>
        </w:rPr>
        <w:t>Frenchay</w:t>
      </w:r>
      <w:proofErr w:type="spellEnd"/>
      <w:r w:rsidRPr="00C375BD">
        <w:rPr>
          <w:sz w:val="20"/>
          <w:szCs w:val="20"/>
        </w:rPr>
        <w:t xml:space="preserve"> Campus, Bristol BS16 1QY, UK</w:t>
      </w:r>
      <w:r w:rsidR="00C375BD" w:rsidRPr="00C375BD">
        <w:rPr>
          <w:sz w:val="20"/>
          <w:szCs w:val="20"/>
        </w:rPr>
        <w:t xml:space="preserve"> </w:t>
      </w:r>
      <w:r w:rsidRPr="00C375BD">
        <w:rPr>
          <w:sz w:val="20"/>
          <w:szCs w:val="20"/>
        </w:rPr>
        <w:t>(</w:t>
      </w:r>
      <w:r w:rsidR="00C375BD" w:rsidRPr="00C375BD">
        <w:rPr>
          <w:sz w:val="20"/>
          <w:szCs w:val="20"/>
        </w:rPr>
        <w:t xml:space="preserve">Corresponding author: </w:t>
      </w:r>
      <w:hyperlink r:id="rId8" w:history="1">
        <w:r w:rsidR="00C375BD" w:rsidRPr="002D5F09">
          <w:rPr>
            <w:rStyle w:val="Hyperlink"/>
            <w:sz w:val="20"/>
            <w:szCs w:val="20"/>
          </w:rPr>
          <w:t>mark.everard@uwe.ac.uk</w:t>
        </w:r>
      </w:hyperlink>
      <w:r w:rsidR="00C375BD" w:rsidRPr="00C375BD">
        <w:rPr>
          <w:sz w:val="20"/>
          <w:szCs w:val="20"/>
        </w:rPr>
        <w:t>)</w:t>
      </w:r>
    </w:p>
    <w:p w14:paraId="5B38A524" w14:textId="5F0EA801" w:rsidR="002651B1" w:rsidRPr="00550E5D" w:rsidRDefault="002651B1" w:rsidP="006F5000">
      <w:pPr>
        <w:suppressLineNumbers/>
        <w:spacing w:after="0" w:line="240" w:lineRule="auto"/>
        <w:rPr>
          <w:sz w:val="20"/>
          <w:szCs w:val="20"/>
        </w:rPr>
      </w:pPr>
      <w:r w:rsidRPr="00C375BD">
        <w:rPr>
          <w:sz w:val="20"/>
          <w:szCs w:val="20"/>
        </w:rPr>
        <w:t xml:space="preserve">2. </w:t>
      </w:r>
      <w:r w:rsidR="00F71EFE" w:rsidRPr="00C375BD">
        <w:rPr>
          <w:sz w:val="20"/>
          <w:szCs w:val="20"/>
        </w:rPr>
        <w:t>–</w:t>
      </w:r>
      <w:r w:rsidR="00B1301D" w:rsidRPr="00C375BD">
        <w:rPr>
          <w:sz w:val="20"/>
          <w:szCs w:val="20"/>
        </w:rPr>
        <w:t xml:space="preserve"> </w:t>
      </w:r>
      <w:r w:rsidR="006F5000" w:rsidRPr="00C375BD">
        <w:rPr>
          <w:sz w:val="20"/>
          <w:szCs w:val="20"/>
        </w:rPr>
        <w:t>University</w:t>
      </w:r>
      <w:r w:rsidR="006F5000" w:rsidRPr="00550E5D">
        <w:rPr>
          <w:sz w:val="20"/>
          <w:szCs w:val="20"/>
        </w:rPr>
        <w:t xml:space="preserve"> of Surrey, Guildford, Surrey GU2 7XH, UK</w:t>
      </w:r>
    </w:p>
    <w:p w14:paraId="6AC8D7FD" w14:textId="5B2179BE" w:rsidR="006F5000" w:rsidRDefault="002651B1" w:rsidP="006F5000">
      <w:pPr>
        <w:suppressLineNumbers/>
        <w:spacing w:after="0" w:line="240" w:lineRule="auto"/>
        <w:rPr>
          <w:sz w:val="20"/>
          <w:szCs w:val="20"/>
        </w:rPr>
      </w:pPr>
      <w:r w:rsidRPr="00550E5D">
        <w:rPr>
          <w:sz w:val="20"/>
          <w:szCs w:val="20"/>
        </w:rPr>
        <w:t xml:space="preserve">3. </w:t>
      </w:r>
      <w:r w:rsidR="00F71EFE">
        <w:rPr>
          <w:sz w:val="20"/>
          <w:szCs w:val="20"/>
        </w:rPr>
        <w:t>–</w:t>
      </w:r>
      <w:r w:rsidR="006F5000" w:rsidRPr="00550E5D">
        <w:t xml:space="preserve"> </w:t>
      </w:r>
      <w:r w:rsidR="006F5000" w:rsidRPr="00550E5D">
        <w:rPr>
          <w:sz w:val="20"/>
          <w:szCs w:val="20"/>
        </w:rPr>
        <w:t xml:space="preserve">Parliamentary </w:t>
      </w:r>
      <w:r w:rsidR="006F5000" w:rsidRPr="006F5000">
        <w:rPr>
          <w:sz w:val="20"/>
          <w:szCs w:val="20"/>
        </w:rPr>
        <w:t>Office for Science and Technology</w:t>
      </w:r>
      <w:r w:rsidR="006F5000">
        <w:rPr>
          <w:sz w:val="20"/>
          <w:szCs w:val="20"/>
        </w:rPr>
        <w:t xml:space="preserve">, </w:t>
      </w:r>
      <w:r w:rsidR="006F5000" w:rsidRPr="006F5000">
        <w:rPr>
          <w:sz w:val="20"/>
          <w:szCs w:val="20"/>
        </w:rPr>
        <w:t xml:space="preserve">14 </w:t>
      </w:r>
      <w:proofErr w:type="spellStart"/>
      <w:r w:rsidR="006F5000" w:rsidRPr="006F5000">
        <w:rPr>
          <w:sz w:val="20"/>
          <w:szCs w:val="20"/>
        </w:rPr>
        <w:t>Tothill</w:t>
      </w:r>
      <w:proofErr w:type="spellEnd"/>
      <w:r w:rsidR="006F5000" w:rsidRPr="006F5000">
        <w:rPr>
          <w:sz w:val="20"/>
          <w:szCs w:val="20"/>
        </w:rPr>
        <w:t xml:space="preserve"> S</w:t>
      </w:r>
      <w:r w:rsidR="006F5000">
        <w:rPr>
          <w:sz w:val="20"/>
          <w:szCs w:val="20"/>
        </w:rPr>
        <w:t xml:space="preserve">treet, </w:t>
      </w:r>
      <w:r w:rsidR="006F5000" w:rsidRPr="006F5000">
        <w:rPr>
          <w:sz w:val="20"/>
          <w:szCs w:val="20"/>
        </w:rPr>
        <w:t>Westminster, London</w:t>
      </w:r>
      <w:r w:rsidR="006F5000">
        <w:rPr>
          <w:sz w:val="20"/>
          <w:szCs w:val="20"/>
        </w:rPr>
        <w:t xml:space="preserve"> </w:t>
      </w:r>
      <w:r w:rsidR="006F5000" w:rsidRPr="006F5000">
        <w:rPr>
          <w:sz w:val="20"/>
          <w:szCs w:val="20"/>
        </w:rPr>
        <w:t>SW1H 9NB</w:t>
      </w:r>
      <w:r w:rsidR="006F5000">
        <w:rPr>
          <w:sz w:val="20"/>
          <w:szCs w:val="20"/>
        </w:rPr>
        <w:t>, UK</w:t>
      </w:r>
    </w:p>
    <w:p w14:paraId="371D64B1" w14:textId="557711DF" w:rsidR="002651B1" w:rsidRPr="00A67426" w:rsidRDefault="002651B1" w:rsidP="002651B1">
      <w:pPr>
        <w:suppressLineNumbers/>
        <w:spacing w:after="0" w:line="240" w:lineRule="auto"/>
        <w:rPr>
          <w:rFonts w:cstheme="minorHAnsi"/>
          <w:sz w:val="20"/>
          <w:szCs w:val="20"/>
        </w:rPr>
      </w:pPr>
      <w:r w:rsidRPr="00B1301D">
        <w:rPr>
          <w:sz w:val="20"/>
          <w:szCs w:val="20"/>
        </w:rPr>
        <w:t xml:space="preserve">4. </w:t>
      </w:r>
      <w:r w:rsidR="00F71EFE">
        <w:rPr>
          <w:sz w:val="20"/>
          <w:szCs w:val="20"/>
        </w:rPr>
        <w:t>–</w:t>
      </w:r>
      <w:r w:rsidR="00B1301D">
        <w:rPr>
          <w:sz w:val="20"/>
          <w:szCs w:val="20"/>
        </w:rPr>
        <w:t xml:space="preserve"> </w:t>
      </w:r>
      <w:r w:rsidRPr="00B1301D">
        <w:rPr>
          <w:sz w:val="20"/>
          <w:szCs w:val="20"/>
        </w:rPr>
        <w:t xml:space="preserve">Durrell Institute for Conservation and Ecology, School of Anthropology and Conservation, Marlowe Building, University of </w:t>
      </w:r>
      <w:r w:rsidRPr="00A67426">
        <w:rPr>
          <w:rFonts w:cstheme="minorHAnsi"/>
          <w:sz w:val="20"/>
          <w:szCs w:val="20"/>
        </w:rPr>
        <w:t>Kent, Canterbury, Kent, CT2 7NR, UK</w:t>
      </w:r>
    </w:p>
    <w:p w14:paraId="3D5841FE" w14:textId="1DD4315E" w:rsidR="00550E5D" w:rsidRPr="00A67426" w:rsidRDefault="00550E5D" w:rsidP="002651B1">
      <w:pPr>
        <w:suppressLineNumbers/>
        <w:spacing w:after="0" w:line="240" w:lineRule="auto"/>
        <w:rPr>
          <w:rFonts w:cstheme="minorHAnsi"/>
          <w:sz w:val="20"/>
          <w:szCs w:val="20"/>
        </w:rPr>
      </w:pPr>
      <w:r w:rsidRPr="00A67426">
        <w:rPr>
          <w:rFonts w:cstheme="minorHAnsi"/>
          <w:sz w:val="20"/>
          <w:szCs w:val="20"/>
        </w:rPr>
        <w:t xml:space="preserve">5. </w:t>
      </w:r>
      <w:r w:rsidR="00F71EFE">
        <w:rPr>
          <w:rFonts w:cstheme="minorHAnsi"/>
          <w:sz w:val="20"/>
          <w:szCs w:val="20"/>
        </w:rPr>
        <w:t>–</w:t>
      </w:r>
      <w:r w:rsidRPr="00A67426">
        <w:rPr>
          <w:rFonts w:cstheme="minorHAnsi"/>
          <w:sz w:val="20"/>
          <w:szCs w:val="20"/>
        </w:rPr>
        <w:t xml:space="preserve"> Club of Rome, </w:t>
      </w:r>
      <w:proofErr w:type="spellStart"/>
      <w:r w:rsidR="00A67426" w:rsidRPr="00A67426">
        <w:rPr>
          <w:rFonts w:cstheme="minorHAnsi"/>
          <w:sz w:val="20"/>
          <w:szCs w:val="20"/>
        </w:rPr>
        <w:t>Lagerhausstrasse</w:t>
      </w:r>
      <w:proofErr w:type="spellEnd"/>
      <w:r w:rsidR="00A67426" w:rsidRPr="00A67426">
        <w:rPr>
          <w:rFonts w:cstheme="minorHAnsi"/>
          <w:sz w:val="20"/>
          <w:szCs w:val="20"/>
        </w:rPr>
        <w:t xml:space="preserve"> 9, 8400 Winterthur, Canton Zurich, Switzerland</w:t>
      </w:r>
    </w:p>
    <w:p w14:paraId="6FEAC15D" w14:textId="6602FE29" w:rsidR="004B5A4E" w:rsidRPr="004B5A4E" w:rsidRDefault="00550E5D" w:rsidP="00B1301D">
      <w:pPr>
        <w:suppressLineNumbers/>
        <w:spacing w:after="0" w:line="240" w:lineRule="auto"/>
        <w:rPr>
          <w:sz w:val="20"/>
          <w:szCs w:val="20"/>
        </w:rPr>
      </w:pPr>
      <w:r w:rsidRPr="00A67426">
        <w:rPr>
          <w:rFonts w:cstheme="minorHAnsi"/>
          <w:sz w:val="20"/>
          <w:szCs w:val="20"/>
        </w:rPr>
        <w:t>6</w:t>
      </w:r>
      <w:r w:rsidR="002651B1" w:rsidRPr="00A67426">
        <w:rPr>
          <w:rFonts w:cstheme="minorHAnsi"/>
          <w:sz w:val="20"/>
          <w:szCs w:val="20"/>
        </w:rPr>
        <w:t xml:space="preserve">. </w:t>
      </w:r>
      <w:r w:rsidR="00F71EFE">
        <w:rPr>
          <w:rFonts w:cstheme="minorHAnsi"/>
          <w:sz w:val="20"/>
          <w:szCs w:val="20"/>
        </w:rPr>
        <w:t>–</w:t>
      </w:r>
      <w:r w:rsidR="00B1301D" w:rsidRPr="00A67426">
        <w:rPr>
          <w:rFonts w:cstheme="minorHAnsi"/>
          <w:sz w:val="20"/>
          <w:szCs w:val="20"/>
        </w:rPr>
        <w:t xml:space="preserve"> </w:t>
      </w:r>
      <w:r w:rsidR="004B5A4E" w:rsidRPr="00A67426">
        <w:rPr>
          <w:rFonts w:cstheme="minorHAnsi"/>
          <w:sz w:val="20"/>
          <w:szCs w:val="20"/>
        </w:rPr>
        <w:t>Public Health England</w:t>
      </w:r>
      <w:r w:rsidR="00D815C0">
        <w:rPr>
          <w:rFonts w:cstheme="minorHAnsi"/>
          <w:sz w:val="20"/>
          <w:szCs w:val="20"/>
        </w:rPr>
        <w:t xml:space="preserve"> (PHE)</w:t>
      </w:r>
      <w:r w:rsidR="004B5A4E" w:rsidRPr="00A67426">
        <w:rPr>
          <w:rFonts w:cstheme="minorHAnsi"/>
          <w:sz w:val="20"/>
          <w:szCs w:val="20"/>
        </w:rPr>
        <w:t>,</w:t>
      </w:r>
      <w:r w:rsidR="004B5A4E" w:rsidRPr="00A67426">
        <w:rPr>
          <w:sz w:val="20"/>
          <w:szCs w:val="20"/>
        </w:rPr>
        <w:t xml:space="preserve"> </w:t>
      </w:r>
      <w:r w:rsidR="004B5A4E" w:rsidRPr="004B5A4E">
        <w:rPr>
          <w:sz w:val="20"/>
          <w:szCs w:val="20"/>
        </w:rPr>
        <w:t>Centre for Radiation, Chemical and Environmental Hazards (CRCE), Seaton House, City Link, Nottingham NG2 4LA</w:t>
      </w:r>
      <w:r w:rsidR="004B5A4E">
        <w:rPr>
          <w:sz w:val="20"/>
          <w:szCs w:val="20"/>
        </w:rPr>
        <w:t>, UK</w:t>
      </w:r>
      <w:r w:rsidR="00D815C0">
        <w:rPr>
          <w:sz w:val="20"/>
          <w:szCs w:val="20"/>
        </w:rPr>
        <w:t xml:space="preserve"> (T</w:t>
      </w:r>
      <w:r w:rsidR="00D815C0" w:rsidRPr="00D815C0">
        <w:rPr>
          <w:sz w:val="20"/>
          <w:szCs w:val="20"/>
        </w:rPr>
        <w:t xml:space="preserve">he views represent those of the </w:t>
      </w:r>
      <w:r w:rsidR="00D815C0">
        <w:rPr>
          <w:sz w:val="20"/>
          <w:szCs w:val="20"/>
        </w:rPr>
        <w:t xml:space="preserve">PHE </w:t>
      </w:r>
      <w:r w:rsidR="00D815C0" w:rsidRPr="00D815C0">
        <w:rPr>
          <w:sz w:val="20"/>
          <w:szCs w:val="20"/>
        </w:rPr>
        <w:t>author and not necessarily the organisation involved</w:t>
      </w:r>
      <w:r w:rsidR="00D815C0">
        <w:rPr>
          <w:sz w:val="20"/>
          <w:szCs w:val="20"/>
        </w:rPr>
        <w:t>)</w:t>
      </w:r>
    </w:p>
    <w:p w14:paraId="348F8F2F" w14:textId="2CC9113A" w:rsidR="00B1301D" w:rsidRPr="00B1301D" w:rsidRDefault="00550E5D" w:rsidP="00B1301D">
      <w:pPr>
        <w:suppressLineNumbers/>
        <w:spacing w:after="0" w:line="240" w:lineRule="auto"/>
        <w:rPr>
          <w:sz w:val="20"/>
          <w:szCs w:val="20"/>
        </w:rPr>
      </w:pPr>
      <w:r>
        <w:rPr>
          <w:sz w:val="20"/>
          <w:szCs w:val="20"/>
        </w:rPr>
        <w:t>7</w:t>
      </w:r>
      <w:r w:rsidR="002651B1" w:rsidRPr="00B1301D">
        <w:rPr>
          <w:sz w:val="20"/>
          <w:szCs w:val="20"/>
        </w:rPr>
        <w:t xml:space="preserve">. </w:t>
      </w:r>
      <w:r w:rsidR="004B5A4E">
        <w:rPr>
          <w:sz w:val="20"/>
          <w:szCs w:val="20"/>
        </w:rPr>
        <w:t>–</w:t>
      </w:r>
      <w:r w:rsidR="00B1301D">
        <w:rPr>
          <w:sz w:val="20"/>
          <w:szCs w:val="20"/>
        </w:rPr>
        <w:t xml:space="preserve"> </w:t>
      </w:r>
      <w:r w:rsidR="004B5A4E">
        <w:rPr>
          <w:sz w:val="20"/>
          <w:szCs w:val="20"/>
        </w:rPr>
        <w:t>Environment Agency, Horizon House, Deanery Road, Bristol BS1 5 AH, UK</w:t>
      </w:r>
    </w:p>
    <w:p w14:paraId="51F7437B" w14:textId="155D4F07" w:rsidR="00550E5D" w:rsidRPr="00B1301D" w:rsidRDefault="00550E5D" w:rsidP="00550E5D">
      <w:pPr>
        <w:suppressLineNumbers/>
        <w:spacing w:after="0" w:line="240" w:lineRule="auto"/>
        <w:rPr>
          <w:sz w:val="20"/>
          <w:szCs w:val="20"/>
        </w:rPr>
      </w:pPr>
      <w:r>
        <w:rPr>
          <w:sz w:val="20"/>
          <w:szCs w:val="20"/>
        </w:rPr>
        <w:t xml:space="preserve">8. </w:t>
      </w:r>
      <w:r w:rsidR="00F71EFE">
        <w:rPr>
          <w:sz w:val="20"/>
          <w:szCs w:val="20"/>
        </w:rPr>
        <w:t>–</w:t>
      </w:r>
      <w:r>
        <w:rPr>
          <w:sz w:val="20"/>
          <w:szCs w:val="20"/>
        </w:rPr>
        <w:t xml:space="preserve"> </w:t>
      </w:r>
      <w:r w:rsidRPr="000665CE">
        <w:rPr>
          <w:sz w:val="20"/>
          <w:szCs w:val="20"/>
        </w:rPr>
        <w:t>L</w:t>
      </w:r>
      <w:r w:rsidR="00F71EFE">
        <w:rPr>
          <w:sz w:val="20"/>
          <w:szCs w:val="20"/>
        </w:rPr>
        <w:t>o</w:t>
      </w:r>
      <w:r w:rsidRPr="000665CE">
        <w:rPr>
          <w:sz w:val="20"/>
          <w:szCs w:val="20"/>
        </w:rPr>
        <w:t>ughborough University, Loughborough, LE11 3TU</w:t>
      </w:r>
      <w:r>
        <w:rPr>
          <w:sz w:val="20"/>
          <w:szCs w:val="20"/>
        </w:rPr>
        <w:t>, UK</w:t>
      </w:r>
    </w:p>
    <w:p w14:paraId="6D82E77B" w14:textId="6B141732" w:rsidR="00550E5D" w:rsidRDefault="00550E5D" w:rsidP="00B1301D">
      <w:pPr>
        <w:suppressLineNumbers/>
        <w:spacing w:after="0" w:line="240" w:lineRule="auto"/>
        <w:rPr>
          <w:sz w:val="20"/>
          <w:szCs w:val="20"/>
        </w:rPr>
      </w:pPr>
      <w:r>
        <w:rPr>
          <w:sz w:val="20"/>
          <w:szCs w:val="20"/>
        </w:rPr>
        <w:t xml:space="preserve">9. </w:t>
      </w:r>
      <w:r w:rsidR="00F71EFE">
        <w:rPr>
          <w:sz w:val="20"/>
          <w:szCs w:val="20"/>
        </w:rPr>
        <w:t>–</w:t>
      </w:r>
      <w:r>
        <w:rPr>
          <w:sz w:val="20"/>
          <w:szCs w:val="20"/>
        </w:rPr>
        <w:t xml:space="preserve"> University of Kent, </w:t>
      </w:r>
      <w:r w:rsidRPr="00550E5D">
        <w:rPr>
          <w:sz w:val="20"/>
          <w:szCs w:val="20"/>
        </w:rPr>
        <w:t>Giles L</w:t>
      </w:r>
      <w:r>
        <w:rPr>
          <w:sz w:val="20"/>
          <w:szCs w:val="20"/>
        </w:rPr>
        <w:t>a</w:t>
      </w:r>
      <w:r w:rsidRPr="00550E5D">
        <w:rPr>
          <w:sz w:val="20"/>
          <w:szCs w:val="20"/>
        </w:rPr>
        <w:t>n</w:t>
      </w:r>
      <w:r>
        <w:rPr>
          <w:sz w:val="20"/>
          <w:szCs w:val="20"/>
        </w:rPr>
        <w:t>e</w:t>
      </w:r>
      <w:r w:rsidRPr="00550E5D">
        <w:rPr>
          <w:sz w:val="20"/>
          <w:szCs w:val="20"/>
        </w:rPr>
        <w:t>, Canterbury</w:t>
      </w:r>
      <w:r>
        <w:rPr>
          <w:sz w:val="20"/>
          <w:szCs w:val="20"/>
        </w:rPr>
        <w:t>, Kent</w:t>
      </w:r>
      <w:r w:rsidRPr="00550E5D">
        <w:rPr>
          <w:sz w:val="20"/>
          <w:szCs w:val="20"/>
        </w:rPr>
        <w:t xml:space="preserve"> CT2 7NZ</w:t>
      </w:r>
      <w:r>
        <w:rPr>
          <w:sz w:val="20"/>
          <w:szCs w:val="20"/>
        </w:rPr>
        <w:t>, UK</w:t>
      </w:r>
    </w:p>
    <w:p w14:paraId="219583AA" w14:textId="0D468968" w:rsidR="00B1301D" w:rsidRPr="00B1301D" w:rsidRDefault="00550E5D" w:rsidP="00B1301D">
      <w:pPr>
        <w:suppressLineNumbers/>
        <w:spacing w:after="0" w:line="240" w:lineRule="auto"/>
        <w:rPr>
          <w:color w:val="FF0000"/>
          <w:sz w:val="20"/>
          <w:szCs w:val="20"/>
        </w:rPr>
      </w:pPr>
      <w:r>
        <w:rPr>
          <w:sz w:val="20"/>
          <w:szCs w:val="20"/>
        </w:rPr>
        <w:t>10</w:t>
      </w:r>
      <w:r w:rsidR="002651B1" w:rsidRPr="00B1301D">
        <w:rPr>
          <w:sz w:val="20"/>
          <w:szCs w:val="20"/>
        </w:rPr>
        <w:t xml:space="preserve">. </w:t>
      </w:r>
      <w:r w:rsidR="004B5A4E">
        <w:rPr>
          <w:sz w:val="20"/>
          <w:szCs w:val="20"/>
        </w:rPr>
        <w:t>–</w:t>
      </w:r>
      <w:r w:rsidR="00B1301D">
        <w:rPr>
          <w:sz w:val="20"/>
          <w:szCs w:val="20"/>
        </w:rPr>
        <w:t xml:space="preserve"> </w:t>
      </w:r>
      <w:r w:rsidR="004B5A4E">
        <w:rPr>
          <w:sz w:val="20"/>
          <w:szCs w:val="20"/>
        </w:rPr>
        <w:t xml:space="preserve">Greenpeace Research Laboratories, </w:t>
      </w:r>
      <w:r w:rsidR="004B5A4E" w:rsidRPr="004B5A4E">
        <w:rPr>
          <w:sz w:val="20"/>
          <w:szCs w:val="20"/>
        </w:rPr>
        <w:t>Innovation Centre Phase 2, University of Exeter, Rennes Drive, Exeter EX4 4RN, UK</w:t>
      </w:r>
    </w:p>
    <w:p w14:paraId="211AE500" w14:textId="0E162985" w:rsidR="00B1301D" w:rsidRPr="00B1301D" w:rsidRDefault="00550E5D" w:rsidP="00B1301D">
      <w:pPr>
        <w:suppressLineNumbers/>
        <w:spacing w:after="0" w:line="240" w:lineRule="auto"/>
        <w:rPr>
          <w:color w:val="FF0000"/>
          <w:sz w:val="20"/>
          <w:szCs w:val="20"/>
        </w:rPr>
      </w:pPr>
      <w:r>
        <w:rPr>
          <w:sz w:val="20"/>
          <w:szCs w:val="20"/>
        </w:rPr>
        <w:t>11</w:t>
      </w:r>
      <w:r w:rsidR="002651B1" w:rsidRPr="00B1301D">
        <w:rPr>
          <w:sz w:val="20"/>
          <w:szCs w:val="20"/>
        </w:rPr>
        <w:t xml:space="preserve">. </w:t>
      </w:r>
      <w:r w:rsidR="004B5A4E">
        <w:rPr>
          <w:sz w:val="20"/>
          <w:szCs w:val="20"/>
        </w:rPr>
        <w:t>–</w:t>
      </w:r>
      <w:r w:rsidR="00B1301D" w:rsidRPr="00B1301D">
        <w:rPr>
          <w:sz w:val="20"/>
          <w:szCs w:val="20"/>
        </w:rPr>
        <w:t xml:space="preserve"> </w:t>
      </w:r>
      <w:r w:rsidR="004B5A4E">
        <w:rPr>
          <w:sz w:val="20"/>
          <w:szCs w:val="20"/>
        </w:rPr>
        <w:t xml:space="preserve">Wiltshire Wildlife Trust, Elm Tree Court, </w:t>
      </w:r>
      <w:r w:rsidR="004B5A4E" w:rsidRPr="004B5A4E">
        <w:rPr>
          <w:sz w:val="20"/>
          <w:szCs w:val="20"/>
        </w:rPr>
        <w:t>Long Street, Devizes, SN10 1NJ</w:t>
      </w:r>
      <w:r w:rsidR="004B5A4E">
        <w:rPr>
          <w:sz w:val="20"/>
          <w:szCs w:val="20"/>
        </w:rPr>
        <w:t>, UK</w:t>
      </w:r>
    </w:p>
    <w:p w14:paraId="682F9D63" w14:textId="3940520F" w:rsidR="00B1301D" w:rsidRPr="00B1301D" w:rsidRDefault="00550E5D" w:rsidP="004B5A4E">
      <w:pPr>
        <w:suppressLineNumbers/>
        <w:spacing w:after="0" w:line="240" w:lineRule="auto"/>
        <w:rPr>
          <w:color w:val="FF0000"/>
          <w:sz w:val="20"/>
          <w:szCs w:val="20"/>
        </w:rPr>
      </w:pPr>
      <w:r>
        <w:rPr>
          <w:sz w:val="20"/>
          <w:szCs w:val="20"/>
        </w:rPr>
        <w:t>12</w:t>
      </w:r>
      <w:r w:rsidR="002651B1" w:rsidRPr="00B1301D">
        <w:rPr>
          <w:sz w:val="20"/>
          <w:szCs w:val="20"/>
        </w:rPr>
        <w:t xml:space="preserve">. </w:t>
      </w:r>
      <w:r w:rsidR="00F71EFE">
        <w:rPr>
          <w:sz w:val="20"/>
          <w:szCs w:val="20"/>
        </w:rPr>
        <w:t>–</w:t>
      </w:r>
      <w:r w:rsidR="00B1301D">
        <w:rPr>
          <w:sz w:val="20"/>
          <w:szCs w:val="20"/>
        </w:rPr>
        <w:t xml:space="preserve"> </w:t>
      </w:r>
      <w:r w:rsidR="004B5A4E" w:rsidRPr="004B5A4E">
        <w:rPr>
          <w:sz w:val="20"/>
          <w:szCs w:val="20"/>
        </w:rPr>
        <w:t xml:space="preserve">World Wide Fund for Nature </w:t>
      </w:r>
      <w:r w:rsidR="004B5A4E">
        <w:rPr>
          <w:sz w:val="20"/>
          <w:szCs w:val="20"/>
        </w:rPr>
        <w:t xml:space="preserve">– </w:t>
      </w:r>
      <w:r w:rsidR="004B5A4E" w:rsidRPr="004B5A4E">
        <w:rPr>
          <w:sz w:val="20"/>
          <w:szCs w:val="20"/>
        </w:rPr>
        <w:t>United</w:t>
      </w:r>
      <w:r w:rsidR="004B5A4E">
        <w:rPr>
          <w:sz w:val="20"/>
          <w:szCs w:val="20"/>
        </w:rPr>
        <w:t xml:space="preserve"> </w:t>
      </w:r>
      <w:r w:rsidR="004B5A4E" w:rsidRPr="004B5A4E">
        <w:rPr>
          <w:sz w:val="20"/>
          <w:szCs w:val="20"/>
        </w:rPr>
        <w:t>Kingdom</w:t>
      </w:r>
      <w:r w:rsidR="004B5A4E">
        <w:rPr>
          <w:sz w:val="20"/>
          <w:szCs w:val="20"/>
        </w:rPr>
        <w:t xml:space="preserve">, </w:t>
      </w:r>
      <w:r w:rsidR="004B5A4E" w:rsidRPr="004B5A4E">
        <w:rPr>
          <w:sz w:val="20"/>
          <w:szCs w:val="20"/>
        </w:rPr>
        <w:t>The Living Planet Centre,</w:t>
      </w:r>
      <w:r w:rsidR="004B5A4E">
        <w:rPr>
          <w:sz w:val="20"/>
          <w:szCs w:val="20"/>
        </w:rPr>
        <w:t xml:space="preserve"> </w:t>
      </w:r>
      <w:proofErr w:type="spellStart"/>
      <w:r w:rsidR="004B5A4E" w:rsidRPr="004B5A4E">
        <w:rPr>
          <w:sz w:val="20"/>
          <w:szCs w:val="20"/>
        </w:rPr>
        <w:t>Rufford</w:t>
      </w:r>
      <w:proofErr w:type="spellEnd"/>
      <w:r w:rsidR="004B5A4E" w:rsidRPr="004B5A4E">
        <w:rPr>
          <w:sz w:val="20"/>
          <w:szCs w:val="20"/>
        </w:rPr>
        <w:t xml:space="preserve"> House,</w:t>
      </w:r>
      <w:r w:rsidR="004B5A4E">
        <w:rPr>
          <w:sz w:val="20"/>
          <w:szCs w:val="20"/>
        </w:rPr>
        <w:t xml:space="preserve"> </w:t>
      </w:r>
      <w:r w:rsidR="004B5A4E" w:rsidRPr="004B5A4E">
        <w:rPr>
          <w:sz w:val="20"/>
          <w:szCs w:val="20"/>
        </w:rPr>
        <w:t>Brewery Road,</w:t>
      </w:r>
      <w:r w:rsidR="004B5A4E">
        <w:rPr>
          <w:sz w:val="20"/>
          <w:szCs w:val="20"/>
        </w:rPr>
        <w:t xml:space="preserve"> </w:t>
      </w:r>
      <w:r w:rsidR="004B5A4E" w:rsidRPr="004B5A4E">
        <w:rPr>
          <w:sz w:val="20"/>
          <w:szCs w:val="20"/>
        </w:rPr>
        <w:t>Woking,</w:t>
      </w:r>
      <w:r w:rsidR="004B5A4E">
        <w:rPr>
          <w:sz w:val="20"/>
          <w:szCs w:val="20"/>
        </w:rPr>
        <w:t xml:space="preserve"> </w:t>
      </w:r>
      <w:r w:rsidR="004B5A4E" w:rsidRPr="004B5A4E">
        <w:rPr>
          <w:sz w:val="20"/>
          <w:szCs w:val="20"/>
        </w:rPr>
        <w:t>Surrey</w:t>
      </w:r>
      <w:r w:rsidR="004B5A4E">
        <w:rPr>
          <w:sz w:val="20"/>
          <w:szCs w:val="20"/>
        </w:rPr>
        <w:t xml:space="preserve"> </w:t>
      </w:r>
      <w:r w:rsidR="004B5A4E" w:rsidRPr="004B5A4E">
        <w:rPr>
          <w:sz w:val="20"/>
          <w:szCs w:val="20"/>
        </w:rPr>
        <w:t>GU21 4LL</w:t>
      </w:r>
      <w:r w:rsidR="004B5A4E">
        <w:rPr>
          <w:sz w:val="20"/>
          <w:szCs w:val="20"/>
        </w:rPr>
        <w:t>, UK</w:t>
      </w:r>
    </w:p>
    <w:p w14:paraId="30215DDA" w14:textId="77131F4C" w:rsidR="00B1301D" w:rsidRPr="00B1301D" w:rsidRDefault="002651B1" w:rsidP="004B5A4E">
      <w:pPr>
        <w:suppressLineNumbers/>
        <w:spacing w:after="0" w:line="240" w:lineRule="auto"/>
        <w:rPr>
          <w:sz w:val="20"/>
          <w:szCs w:val="20"/>
        </w:rPr>
      </w:pPr>
      <w:r w:rsidRPr="00B1301D">
        <w:rPr>
          <w:sz w:val="20"/>
          <w:szCs w:val="20"/>
        </w:rPr>
        <w:t>1</w:t>
      </w:r>
      <w:r w:rsidR="00550E5D">
        <w:rPr>
          <w:sz w:val="20"/>
          <w:szCs w:val="20"/>
        </w:rPr>
        <w:t>3</w:t>
      </w:r>
      <w:r w:rsidRPr="00B1301D">
        <w:rPr>
          <w:sz w:val="20"/>
          <w:szCs w:val="20"/>
        </w:rPr>
        <w:t>.</w:t>
      </w:r>
      <w:r w:rsidR="00F71EFE">
        <w:rPr>
          <w:sz w:val="20"/>
          <w:szCs w:val="20"/>
        </w:rPr>
        <w:t xml:space="preserve"> –</w:t>
      </w:r>
      <w:r w:rsidR="00B1301D" w:rsidRPr="00B1301D">
        <w:rPr>
          <w:sz w:val="20"/>
          <w:szCs w:val="20"/>
        </w:rPr>
        <w:t xml:space="preserve"> </w:t>
      </w:r>
      <w:r w:rsidR="004B5A4E" w:rsidRPr="004B5A4E">
        <w:rPr>
          <w:sz w:val="20"/>
          <w:szCs w:val="20"/>
        </w:rPr>
        <w:t>Welsh Government</w:t>
      </w:r>
      <w:r w:rsidR="004B5A4E">
        <w:rPr>
          <w:sz w:val="20"/>
          <w:szCs w:val="20"/>
        </w:rPr>
        <w:t xml:space="preserve">, </w:t>
      </w:r>
      <w:r w:rsidR="004B5A4E" w:rsidRPr="004B5A4E">
        <w:rPr>
          <w:sz w:val="20"/>
          <w:szCs w:val="20"/>
        </w:rPr>
        <w:t>Cathays Park</w:t>
      </w:r>
      <w:r w:rsidR="004B5A4E">
        <w:rPr>
          <w:sz w:val="20"/>
          <w:szCs w:val="20"/>
        </w:rPr>
        <w:t xml:space="preserve">, </w:t>
      </w:r>
      <w:r w:rsidR="004B5A4E" w:rsidRPr="004B5A4E">
        <w:rPr>
          <w:sz w:val="20"/>
          <w:szCs w:val="20"/>
        </w:rPr>
        <w:t>Cardiff</w:t>
      </w:r>
      <w:r w:rsidR="004B5A4E">
        <w:rPr>
          <w:sz w:val="20"/>
          <w:szCs w:val="20"/>
        </w:rPr>
        <w:t xml:space="preserve"> </w:t>
      </w:r>
      <w:r w:rsidR="004B5A4E" w:rsidRPr="004B5A4E">
        <w:rPr>
          <w:sz w:val="20"/>
          <w:szCs w:val="20"/>
        </w:rPr>
        <w:t xml:space="preserve">CF10 3NQ, </w:t>
      </w:r>
      <w:r w:rsidR="004B5A4E">
        <w:rPr>
          <w:sz w:val="20"/>
          <w:szCs w:val="20"/>
        </w:rPr>
        <w:t>UK</w:t>
      </w:r>
    </w:p>
    <w:p w14:paraId="703EB134" w14:textId="27650D4C" w:rsidR="00CD7FAE" w:rsidRPr="00B1301D" w:rsidRDefault="002651B1" w:rsidP="00550E5D">
      <w:pPr>
        <w:suppressLineNumbers/>
        <w:spacing w:after="0" w:line="240" w:lineRule="auto"/>
        <w:rPr>
          <w:color w:val="FF0000"/>
          <w:sz w:val="20"/>
          <w:szCs w:val="20"/>
        </w:rPr>
      </w:pPr>
      <w:r w:rsidRPr="00B1301D">
        <w:rPr>
          <w:sz w:val="20"/>
          <w:szCs w:val="20"/>
        </w:rPr>
        <w:t>1</w:t>
      </w:r>
      <w:r w:rsidR="00550E5D">
        <w:rPr>
          <w:sz w:val="20"/>
          <w:szCs w:val="20"/>
        </w:rPr>
        <w:t>4</w:t>
      </w:r>
      <w:r w:rsidRPr="00B1301D">
        <w:rPr>
          <w:sz w:val="20"/>
          <w:szCs w:val="20"/>
        </w:rPr>
        <w:t>.</w:t>
      </w:r>
      <w:r w:rsidR="00F71EFE">
        <w:rPr>
          <w:sz w:val="20"/>
          <w:szCs w:val="20"/>
        </w:rPr>
        <w:t xml:space="preserve"> –</w:t>
      </w:r>
      <w:r w:rsidR="00B1301D" w:rsidRPr="00B1301D">
        <w:rPr>
          <w:sz w:val="20"/>
          <w:szCs w:val="20"/>
        </w:rPr>
        <w:t xml:space="preserve"> </w:t>
      </w:r>
      <w:r w:rsidR="00550E5D">
        <w:rPr>
          <w:sz w:val="20"/>
          <w:szCs w:val="20"/>
        </w:rPr>
        <w:t xml:space="preserve">Institution of Environmental Sciences, </w:t>
      </w:r>
      <w:r w:rsidR="00550E5D" w:rsidRPr="00550E5D">
        <w:rPr>
          <w:sz w:val="20"/>
          <w:szCs w:val="20"/>
        </w:rPr>
        <w:t>6-8 Great Eastern Street</w:t>
      </w:r>
      <w:r w:rsidR="00550E5D">
        <w:rPr>
          <w:sz w:val="20"/>
          <w:szCs w:val="20"/>
        </w:rPr>
        <w:t xml:space="preserve">, </w:t>
      </w:r>
      <w:r w:rsidR="00550E5D" w:rsidRPr="00550E5D">
        <w:rPr>
          <w:sz w:val="20"/>
          <w:szCs w:val="20"/>
        </w:rPr>
        <w:t>Shoreditch</w:t>
      </w:r>
      <w:r w:rsidR="00550E5D">
        <w:rPr>
          <w:sz w:val="20"/>
          <w:szCs w:val="20"/>
        </w:rPr>
        <w:t xml:space="preserve">, </w:t>
      </w:r>
      <w:r w:rsidR="00550E5D" w:rsidRPr="00550E5D">
        <w:rPr>
          <w:sz w:val="20"/>
          <w:szCs w:val="20"/>
        </w:rPr>
        <w:t>London</w:t>
      </w:r>
      <w:r w:rsidR="00550E5D">
        <w:rPr>
          <w:sz w:val="20"/>
          <w:szCs w:val="20"/>
        </w:rPr>
        <w:t xml:space="preserve"> </w:t>
      </w:r>
      <w:r w:rsidR="00550E5D" w:rsidRPr="00550E5D">
        <w:rPr>
          <w:sz w:val="20"/>
          <w:szCs w:val="20"/>
        </w:rPr>
        <w:t>EC2A 3NT</w:t>
      </w:r>
      <w:r w:rsidR="00550E5D">
        <w:rPr>
          <w:sz w:val="20"/>
          <w:szCs w:val="20"/>
        </w:rPr>
        <w:t>, UK</w:t>
      </w:r>
    </w:p>
    <w:p w14:paraId="275FAD63" w14:textId="64764B1F" w:rsidR="00693E78" w:rsidRPr="009E3CE4" w:rsidRDefault="00693E78" w:rsidP="00693E78">
      <w:pPr>
        <w:suppressLineNumbers/>
        <w:spacing w:after="0" w:line="240" w:lineRule="auto"/>
        <w:rPr>
          <w:sz w:val="20"/>
          <w:szCs w:val="20"/>
        </w:rPr>
      </w:pPr>
      <w:r w:rsidRPr="00B1301D">
        <w:rPr>
          <w:sz w:val="20"/>
          <w:szCs w:val="20"/>
        </w:rPr>
        <w:t>1</w:t>
      </w:r>
      <w:r>
        <w:rPr>
          <w:sz w:val="20"/>
          <w:szCs w:val="20"/>
        </w:rPr>
        <w:t>5</w:t>
      </w:r>
      <w:r w:rsidRPr="009E3CE4">
        <w:rPr>
          <w:sz w:val="20"/>
          <w:szCs w:val="20"/>
        </w:rPr>
        <w:t>.</w:t>
      </w:r>
      <w:r w:rsidR="00F71EFE" w:rsidRPr="009E3CE4">
        <w:rPr>
          <w:sz w:val="20"/>
          <w:szCs w:val="20"/>
        </w:rPr>
        <w:t xml:space="preserve"> –</w:t>
      </w:r>
      <w:r w:rsidRPr="009E3CE4">
        <w:rPr>
          <w:sz w:val="20"/>
          <w:szCs w:val="20"/>
        </w:rPr>
        <w:t xml:space="preserve"> </w:t>
      </w:r>
      <w:proofErr w:type="spellStart"/>
      <w:r w:rsidRPr="009E3CE4">
        <w:rPr>
          <w:sz w:val="20"/>
          <w:szCs w:val="20"/>
        </w:rPr>
        <w:t>EuCAN</w:t>
      </w:r>
      <w:proofErr w:type="spellEnd"/>
      <w:r w:rsidRPr="009E3CE4">
        <w:rPr>
          <w:sz w:val="20"/>
          <w:szCs w:val="20"/>
        </w:rPr>
        <w:t xml:space="preserve"> CIC, Haven House, Fore Street, </w:t>
      </w:r>
      <w:proofErr w:type="spellStart"/>
      <w:r w:rsidRPr="009E3CE4">
        <w:rPr>
          <w:sz w:val="20"/>
          <w:szCs w:val="20"/>
        </w:rPr>
        <w:t>Milverton</w:t>
      </w:r>
      <w:proofErr w:type="spellEnd"/>
      <w:r w:rsidRPr="009E3CE4">
        <w:rPr>
          <w:sz w:val="20"/>
          <w:szCs w:val="20"/>
        </w:rPr>
        <w:t>, Taunton, Somerset TA4 1JU, UK</w:t>
      </w:r>
    </w:p>
    <w:p w14:paraId="292CBDF4" w14:textId="3388DA62" w:rsidR="009E3CE4" w:rsidRPr="009E3CE4" w:rsidRDefault="009E3CE4" w:rsidP="009E3CE4">
      <w:pPr>
        <w:suppressLineNumbers/>
        <w:spacing w:after="0" w:line="240" w:lineRule="auto"/>
        <w:rPr>
          <w:sz w:val="20"/>
          <w:szCs w:val="20"/>
        </w:rPr>
      </w:pPr>
      <w:r w:rsidRPr="009E3CE4">
        <w:rPr>
          <w:sz w:val="20"/>
          <w:szCs w:val="20"/>
        </w:rPr>
        <w:t>16. – Natural England</w:t>
      </w:r>
      <w:r w:rsidR="00256D86">
        <w:rPr>
          <w:sz w:val="20"/>
          <w:szCs w:val="20"/>
        </w:rPr>
        <w:t>,</w:t>
      </w:r>
      <w:r w:rsidR="00256D86" w:rsidRPr="00256D86">
        <w:rPr>
          <w:sz w:val="20"/>
          <w:szCs w:val="20"/>
        </w:rPr>
        <w:t xml:space="preserve"> </w:t>
      </w:r>
      <w:r w:rsidR="00256D86">
        <w:rPr>
          <w:sz w:val="20"/>
          <w:szCs w:val="20"/>
        </w:rPr>
        <w:t>Horizon House, Deanery Road, Bristol BS1 5 AH, UK</w:t>
      </w:r>
    </w:p>
    <w:p w14:paraId="5C4213B7" w14:textId="450574AC" w:rsidR="00256D86" w:rsidRDefault="00256D86" w:rsidP="00256D86">
      <w:pPr>
        <w:suppressLineNumbers/>
        <w:spacing w:after="0" w:line="240" w:lineRule="auto"/>
        <w:rPr>
          <w:sz w:val="20"/>
          <w:szCs w:val="20"/>
        </w:rPr>
      </w:pPr>
      <w:r w:rsidRPr="009E3CE4">
        <w:rPr>
          <w:sz w:val="20"/>
          <w:szCs w:val="20"/>
        </w:rPr>
        <w:t>1</w:t>
      </w:r>
      <w:r>
        <w:rPr>
          <w:sz w:val="20"/>
          <w:szCs w:val="20"/>
        </w:rPr>
        <w:t>7</w:t>
      </w:r>
      <w:r w:rsidRPr="009E3CE4">
        <w:rPr>
          <w:sz w:val="20"/>
          <w:szCs w:val="20"/>
        </w:rPr>
        <w:t xml:space="preserve">. – Natural England Mail Hub, Natural England, Worcester County Hall, </w:t>
      </w:r>
      <w:proofErr w:type="spellStart"/>
      <w:r w:rsidRPr="009E3CE4">
        <w:rPr>
          <w:sz w:val="20"/>
          <w:szCs w:val="20"/>
        </w:rPr>
        <w:t>Spetchley</w:t>
      </w:r>
      <w:proofErr w:type="spellEnd"/>
      <w:r w:rsidRPr="009E3CE4">
        <w:rPr>
          <w:sz w:val="20"/>
          <w:szCs w:val="20"/>
        </w:rPr>
        <w:t xml:space="preserve"> Road, Worcester WR5 2NP, UK</w:t>
      </w:r>
    </w:p>
    <w:p w14:paraId="7D59B6AF" w14:textId="73DECC93" w:rsidR="00C375BD" w:rsidRDefault="00C375BD" w:rsidP="00256D86">
      <w:pPr>
        <w:suppressLineNumbers/>
        <w:spacing w:after="0" w:line="240" w:lineRule="auto"/>
        <w:rPr>
          <w:sz w:val="20"/>
          <w:szCs w:val="20"/>
        </w:rPr>
      </w:pPr>
      <w:bookmarkStart w:id="1" w:name="_GoBack"/>
      <w:bookmarkEnd w:id="1"/>
    </w:p>
    <w:p w14:paraId="455B2866" w14:textId="226F64C4" w:rsidR="00C375BD" w:rsidRDefault="00C375BD" w:rsidP="00256D86">
      <w:pPr>
        <w:suppressLineNumbers/>
        <w:spacing w:after="0" w:line="240" w:lineRule="auto"/>
        <w:rPr>
          <w:sz w:val="20"/>
          <w:szCs w:val="20"/>
        </w:rPr>
      </w:pPr>
    </w:p>
    <w:p w14:paraId="1D084909" w14:textId="377C93E9" w:rsidR="00590A1E" w:rsidRPr="00590A1E" w:rsidRDefault="00C64A20" w:rsidP="00590A1E">
      <w:pPr>
        <w:rPr>
          <w:b/>
        </w:rPr>
      </w:pPr>
      <w:r w:rsidRPr="00B1301D">
        <w:rPr>
          <w:b/>
        </w:rPr>
        <w:t>A</w:t>
      </w:r>
      <w:r w:rsidR="00590A1E" w:rsidRPr="00B1301D">
        <w:rPr>
          <w:b/>
        </w:rPr>
        <w:t>bstract</w:t>
      </w:r>
    </w:p>
    <w:p w14:paraId="7CEC5F1D" w14:textId="6B657A4B" w:rsidR="00497BDB" w:rsidRPr="00693E78" w:rsidRDefault="000F70AC" w:rsidP="00C375BD">
      <w:pPr>
        <w:spacing w:line="276" w:lineRule="auto"/>
        <w:rPr>
          <w:rFonts w:cs="Arial"/>
          <w:sz w:val="24"/>
          <w:szCs w:val="24"/>
        </w:rPr>
      </w:pPr>
      <w:r w:rsidRPr="00693E78">
        <w:rPr>
          <w:sz w:val="24"/>
          <w:szCs w:val="24"/>
        </w:rPr>
        <w:t xml:space="preserve">Recent high-profile analyses </w:t>
      </w:r>
      <w:r w:rsidR="00497BDB" w:rsidRPr="00693E78">
        <w:rPr>
          <w:sz w:val="24"/>
          <w:szCs w:val="24"/>
        </w:rPr>
        <w:t>of</w:t>
      </w:r>
      <w:r w:rsidRPr="00693E78">
        <w:rPr>
          <w:sz w:val="24"/>
          <w:szCs w:val="24"/>
        </w:rPr>
        <w:t xml:space="preserve"> trajectories </w:t>
      </w:r>
      <w:r w:rsidR="00CB5C77">
        <w:rPr>
          <w:sz w:val="24"/>
          <w:szCs w:val="24"/>
        </w:rPr>
        <w:t xml:space="preserve">and prognoses of </w:t>
      </w:r>
      <w:r w:rsidRPr="00693E78">
        <w:rPr>
          <w:sz w:val="24"/>
          <w:szCs w:val="24"/>
        </w:rPr>
        <w:t>ecosystem</w:t>
      </w:r>
      <w:r w:rsidR="00CB5C77">
        <w:rPr>
          <w:sz w:val="24"/>
          <w:szCs w:val="24"/>
        </w:rPr>
        <w:t xml:space="preserve"> </w:t>
      </w:r>
      <w:r w:rsidR="00CB5C77" w:rsidRPr="00693E78">
        <w:rPr>
          <w:sz w:val="24"/>
          <w:szCs w:val="24"/>
        </w:rPr>
        <w:t xml:space="preserve">decline </w:t>
      </w:r>
      <w:r w:rsidRPr="00693E78">
        <w:rPr>
          <w:sz w:val="24"/>
          <w:szCs w:val="24"/>
        </w:rPr>
        <w:t xml:space="preserve">around the world have called for a renewed focus on </w:t>
      </w:r>
      <w:r w:rsidR="00497BDB" w:rsidRPr="00693E78">
        <w:rPr>
          <w:sz w:val="24"/>
          <w:szCs w:val="24"/>
        </w:rPr>
        <w:t xml:space="preserve">embedding the values of the natural world </w:t>
      </w:r>
      <w:r w:rsidR="00CB5C77">
        <w:rPr>
          <w:sz w:val="24"/>
          <w:szCs w:val="24"/>
        </w:rPr>
        <w:t xml:space="preserve">across all areas of </w:t>
      </w:r>
      <w:r w:rsidR="00497BDB" w:rsidRPr="00693E78">
        <w:rPr>
          <w:sz w:val="24"/>
          <w:szCs w:val="24"/>
        </w:rPr>
        <w:t xml:space="preserve">public policy. </w:t>
      </w:r>
      <w:r w:rsidR="00550E5D" w:rsidRPr="00693E78">
        <w:rPr>
          <w:sz w:val="24"/>
          <w:szCs w:val="24"/>
        </w:rPr>
        <w:t xml:space="preserve"> </w:t>
      </w:r>
      <w:r w:rsidR="00497BDB" w:rsidRPr="00693E78">
        <w:rPr>
          <w:sz w:val="24"/>
          <w:szCs w:val="24"/>
        </w:rPr>
        <w:t xml:space="preserve">This paper reports the results of a UK-based </w:t>
      </w:r>
      <w:r w:rsidR="00E3796A">
        <w:rPr>
          <w:sz w:val="24"/>
          <w:szCs w:val="24"/>
        </w:rPr>
        <w:t xml:space="preserve">deliberative process </w:t>
      </w:r>
      <w:r w:rsidR="00550E5D" w:rsidRPr="00693E78">
        <w:rPr>
          <w:sz w:val="24"/>
          <w:szCs w:val="24"/>
        </w:rPr>
        <w:t xml:space="preserve">involving </w:t>
      </w:r>
      <w:r w:rsidR="00497BDB" w:rsidRPr="00693E78">
        <w:rPr>
          <w:sz w:val="24"/>
          <w:szCs w:val="24"/>
        </w:rPr>
        <w:t>experts</w:t>
      </w:r>
      <w:r w:rsidR="00E3796A">
        <w:rPr>
          <w:sz w:val="24"/>
          <w:szCs w:val="24"/>
        </w:rPr>
        <w:t xml:space="preserve"> </w:t>
      </w:r>
      <w:r w:rsidR="00497BDB" w:rsidRPr="00693E78">
        <w:rPr>
          <w:sz w:val="24"/>
          <w:szCs w:val="24"/>
        </w:rPr>
        <w:t>from a wide range of policy domains</w:t>
      </w:r>
      <w:r w:rsidR="00E3796A">
        <w:rPr>
          <w:sz w:val="24"/>
          <w:szCs w:val="24"/>
        </w:rPr>
        <w:t xml:space="preserve"> and across societal sectors</w:t>
      </w:r>
      <w:r w:rsidR="003326A7">
        <w:rPr>
          <w:sz w:val="24"/>
          <w:szCs w:val="24"/>
        </w:rPr>
        <w:t>:</w:t>
      </w:r>
      <w:r w:rsidR="00550E5D" w:rsidRPr="00693E78">
        <w:rPr>
          <w:sz w:val="24"/>
          <w:szCs w:val="24"/>
        </w:rPr>
        <w:t xml:space="preserve"> government departments, associated agencies, national and international NGOs, professional institutions</w:t>
      </w:r>
      <w:r w:rsidR="00497BDB" w:rsidRPr="00693E78">
        <w:rPr>
          <w:sz w:val="24"/>
          <w:szCs w:val="24"/>
        </w:rPr>
        <w:t xml:space="preserve">, </w:t>
      </w:r>
      <w:r w:rsidR="00693E78" w:rsidRPr="00693E78">
        <w:rPr>
          <w:sz w:val="24"/>
          <w:szCs w:val="24"/>
        </w:rPr>
        <w:t xml:space="preserve">academia and independent experts.  </w:t>
      </w:r>
      <w:r w:rsidR="00E3796A">
        <w:rPr>
          <w:sz w:val="24"/>
          <w:szCs w:val="24"/>
        </w:rPr>
        <w:t xml:space="preserve">A </w:t>
      </w:r>
      <w:r w:rsidR="00DE61BB">
        <w:rPr>
          <w:sz w:val="24"/>
          <w:szCs w:val="24"/>
        </w:rPr>
        <w:t>symposium</w:t>
      </w:r>
      <w:r w:rsidR="008D03A7">
        <w:rPr>
          <w:sz w:val="24"/>
          <w:szCs w:val="24"/>
        </w:rPr>
        <w:t xml:space="preserve">, based on a </w:t>
      </w:r>
      <w:r w:rsidR="008D03A7" w:rsidRPr="00693E78">
        <w:rPr>
          <w:sz w:val="24"/>
          <w:szCs w:val="24"/>
        </w:rPr>
        <w:t>collaborative learning approach</w:t>
      </w:r>
      <w:r w:rsidR="008D03A7">
        <w:rPr>
          <w:sz w:val="24"/>
          <w:szCs w:val="24"/>
        </w:rPr>
        <w:t>,</w:t>
      </w:r>
      <w:r w:rsidR="00DE61BB">
        <w:rPr>
          <w:sz w:val="24"/>
          <w:szCs w:val="24"/>
        </w:rPr>
        <w:t xml:space="preserve"> </w:t>
      </w:r>
      <w:r w:rsidR="00E3796A">
        <w:rPr>
          <w:sz w:val="24"/>
          <w:szCs w:val="24"/>
        </w:rPr>
        <w:t xml:space="preserve">explored </w:t>
      </w:r>
      <w:r w:rsidR="00693E78" w:rsidRPr="00693E78">
        <w:rPr>
          <w:sz w:val="24"/>
          <w:szCs w:val="24"/>
        </w:rPr>
        <w:t xml:space="preserve">instances in which </w:t>
      </w:r>
      <w:r w:rsidR="00497BDB" w:rsidRPr="00693E78">
        <w:rPr>
          <w:sz w:val="24"/>
          <w:szCs w:val="24"/>
        </w:rPr>
        <w:t xml:space="preserve">ecosystem values have successfully been embedded into public policy, </w:t>
      </w:r>
      <w:r w:rsidR="00693E78" w:rsidRPr="00693E78">
        <w:rPr>
          <w:sz w:val="24"/>
          <w:szCs w:val="24"/>
        </w:rPr>
        <w:t>identif</w:t>
      </w:r>
      <w:r w:rsidR="00E3796A">
        <w:rPr>
          <w:sz w:val="24"/>
          <w:szCs w:val="24"/>
        </w:rPr>
        <w:t xml:space="preserve">ied </w:t>
      </w:r>
      <w:r w:rsidR="00497BDB" w:rsidRPr="00693E78">
        <w:rPr>
          <w:sz w:val="24"/>
          <w:szCs w:val="24"/>
        </w:rPr>
        <w:t>challenges</w:t>
      </w:r>
      <w:r w:rsidR="00E3796A">
        <w:rPr>
          <w:sz w:val="24"/>
          <w:szCs w:val="24"/>
        </w:rPr>
        <w:t xml:space="preserve"> to their more widespread embedding despite commitments to do so over generational timescales</w:t>
      </w:r>
      <w:r w:rsidR="00497BDB" w:rsidRPr="00693E78">
        <w:rPr>
          <w:sz w:val="24"/>
          <w:szCs w:val="24"/>
        </w:rPr>
        <w:t xml:space="preserve">, and </w:t>
      </w:r>
      <w:r w:rsidR="00E3796A">
        <w:rPr>
          <w:sz w:val="24"/>
          <w:szCs w:val="24"/>
        </w:rPr>
        <w:t xml:space="preserve">took </w:t>
      </w:r>
      <w:r w:rsidR="00693E78" w:rsidRPr="00693E78">
        <w:rPr>
          <w:sz w:val="24"/>
          <w:szCs w:val="24"/>
        </w:rPr>
        <w:t xml:space="preserve">a </w:t>
      </w:r>
      <w:proofErr w:type="spellStart"/>
      <w:r w:rsidR="00693E78" w:rsidRPr="00693E78">
        <w:rPr>
          <w:sz w:val="24"/>
          <w:szCs w:val="24"/>
        </w:rPr>
        <w:t>backcasting</w:t>
      </w:r>
      <w:proofErr w:type="spellEnd"/>
      <w:r w:rsidR="00693E78" w:rsidRPr="00693E78">
        <w:rPr>
          <w:sz w:val="24"/>
          <w:szCs w:val="24"/>
        </w:rPr>
        <w:t xml:space="preserve"> approach to develop </w:t>
      </w:r>
      <w:r w:rsidR="00497BDB" w:rsidRPr="00693E78">
        <w:rPr>
          <w:sz w:val="24"/>
          <w:szCs w:val="24"/>
        </w:rPr>
        <w:t xml:space="preserve">actionable outcomes required to deliver transformation change across </w:t>
      </w:r>
      <w:r w:rsidR="00497BDB" w:rsidRPr="00693E78">
        <w:rPr>
          <w:rFonts w:ascii="Calibri" w:eastAsia="Calibri" w:hAnsi="Calibri" w:cs="Times New Roman"/>
          <w:sz w:val="24"/>
          <w:szCs w:val="24"/>
        </w:rPr>
        <w:t xml:space="preserve">state and civil society. </w:t>
      </w:r>
      <w:r w:rsidR="00693E78" w:rsidRPr="00693E78">
        <w:rPr>
          <w:rFonts w:ascii="Calibri" w:eastAsia="Calibri" w:hAnsi="Calibri" w:cs="Times New Roman"/>
          <w:sz w:val="24"/>
          <w:szCs w:val="24"/>
        </w:rPr>
        <w:t xml:space="preserve"> </w:t>
      </w:r>
      <w:r w:rsidR="00497BDB" w:rsidRPr="00693E78">
        <w:rPr>
          <w:rFonts w:ascii="Calibri" w:eastAsia="Calibri" w:hAnsi="Calibri" w:cs="Times New Roman"/>
          <w:sz w:val="24"/>
          <w:szCs w:val="24"/>
        </w:rPr>
        <w:t xml:space="preserve">Emergent themes were expressed in </w:t>
      </w:r>
      <w:r w:rsidR="00497BDB" w:rsidRPr="00693E78">
        <w:rPr>
          <w:sz w:val="24"/>
          <w:szCs w:val="24"/>
        </w:rPr>
        <w:lastRenderedPageBreak/>
        <w:t>social, technological, environmental, economic and political terms.  R</w:t>
      </w:r>
      <w:r w:rsidR="00497BDB" w:rsidRPr="00693E78">
        <w:rPr>
          <w:rFonts w:cs="Arial"/>
          <w:sz w:val="24"/>
          <w:szCs w:val="24"/>
        </w:rPr>
        <w:t xml:space="preserve">ecommendations for interventions in complex </w:t>
      </w:r>
      <w:r w:rsidR="003326A7">
        <w:rPr>
          <w:rFonts w:cs="Arial"/>
          <w:sz w:val="24"/>
          <w:szCs w:val="24"/>
        </w:rPr>
        <w:t xml:space="preserve">social-ecological </w:t>
      </w:r>
      <w:r w:rsidR="00497BDB" w:rsidRPr="00693E78">
        <w:rPr>
          <w:rFonts w:cs="Arial"/>
          <w:sz w:val="24"/>
          <w:szCs w:val="24"/>
        </w:rPr>
        <w:t>system</w:t>
      </w:r>
      <w:r w:rsidR="003326A7">
        <w:rPr>
          <w:rFonts w:cs="Arial"/>
          <w:sz w:val="24"/>
          <w:szCs w:val="24"/>
        </w:rPr>
        <w:t>s</w:t>
      </w:r>
      <w:r w:rsidR="00497BDB" w:rsidRPr="00693E78">
        <w:rPr>
          <w:rFonts w:cs="Arial"/>
          <w:sz w:val="24"/>
          <w:szCs w:val="24"/>
        </w:rPr>
        <w:t xml:space="preserve"> are cross-sectoral in scope and </w:t>
      </w:r>
      <w:r w:rsidR="00E3796A">
        <w:rPr>
          <w:rFonts w:cs="Arial"/>
          <w:sz w:val="24"/>
          <w:szCs w:val="24"/>
        </w:rPr>
        <w:t xml:space="preserve">will necessarily entail </w:t>
      </w:r>
      <w:r w:rsidR="00497BDB" w:rsidRPr="00693E78">
        <w:rPr>
          <w:rFonts w:cs="Arial"/>
          <w:sz w:val="24"/>
          <w:szCs w:val="24"/>
        </w:rPr>
        <w:t>multiple agents of change</w:t>
      </w:r>
      <w:r w:rsidR="00E3796A">
        <w:rPr>
          <w:rFonts w:cs="Arial"/>
          <w:sz w:val="24"/>
          <w:szCs w:val="24"/>
        </w:rPr>
        <w:t>, well beyond governmental leadership,</w:t>
      </w:r>
      <w:r w:rsidR="00497BDB" w:rsidRPr="00693E78">
        <w:rPr>
          <w:rFonts w:cs="Arial"/>
          <w:sz w:val="24"/>
          <w:szCs w:val="24"/>
        </w:rPr>
        <w:t xml:space="preserve"> within any given sphere of societal activity and interest.  </w:t>
      </w:r>
      <w:r w:rsidR="00CB5C77">
        <w:rPr>
          <w:rFonts w:cs="Arial"/>
          <w:sz w:val="24"/>
          <w:szCs w:val="24"/>
        </w:rPr>
        <w:t>We identify strategic challenges for</w:t>
      </w:r>
      <w:r w:rsidR="00623EE4">
        <w:rPr>
          <w:rFonts w:cs="Arial"/>
          <w:sz w:val="24"/>
          <w:szCs w:val="24"/>
        </w:rPr>
        <w:t>, and between,</w:t>
      </w:r>
      <w:r w:rsidR="00CB5C77">
        <w:rPr>
          <w:rFonts w:cs="Arial"/>
          <w:sz w:val="24"/>
          <w:szCs w:val="24"/>
        </w:rPr>
        <w:t xml:space="preserve"> a spectrum of societal policy areas, many currently overlooking ecosystem dependencies, impacts and potential benefits.  </w:t>
      </w:r>
      <w:r w:rsidR="00497BDB" w:rsidRPr="00693E78">
        <w:rPr>
          <w:rFonts w:cs="Arial"/>
          <w:sz w:val="24"/>
          <w:szCs w:val="24"/>
        </w:rPr>
        <w:t>Reflections on the collaborative learning approach are also provided.</w:t>
      </w:r>
    </w:p>
    <w:p w14:paraId="678D7E26" w14:textId="77777777" w:rsidR="00410C9B" w:rsidRPr="005E786D" w:rsidRDefault="00410C9B" w:rsidP="00C375BD">
      <w:pPr>
        <w:spacing w:line="276" w:lineRule="auto"/>
        <w:rPr>
          <w:rFonts w:cs="Arial"/>
          <w:sz w:val="24"/>
          <w:szCs w:val="24"/>
        </w:rPr>
      </w:pPr>
    </w:p>
    <w:p w14:paraId="1AA84CBE" w14:textId="4A0D4176" w:rsidR="00590A1E" w:rsidRPr="00590A1E" w:rsidRDefault="00590A1E" w:rsidP="00C375BD">
      <w:pPr>
        <w:spacing w:line="276" w:lineRule="auto"/>
        <w:rPr>
          <w:b/>
        </w:rPr>
      </w:pPr>
      <w:r w:rsidRPr="00590A1E">
        <w:rPr>
          <w:b/>
        </w:rPr>
        <w:t>Keywords</w:t>
      </w:r>
    </w:p>
    <w:p w14:paraId="4594D071" w14:textId="4D5E9DFC" w:rsidR="00590A1E" w:rsidRPr="00C375BD" w:rsidRDefault="00650F49" w:rsidP="00C375BD">
      <w:pPr>
        <w:spacing w:line="276" w:lineRule="auto"/>
        <w:rPr>
          <w:sz w:val="24"/>
          <w:szCs w:val="24"/>
        </w:rPr>
      </w:pPr>
      <w:r w:rsidRPr="005E786D">
        <w:rPr>
          <w:sz w:val="24"/>
          <w:szCs w:val="24"/>
        </w:rPr>
        <w:t>Ecosystems</w:t>
      </w:r>
      <w:r w:rsidR="00E3796A">
        <w:rPr>
          <w:sz w:val="24"/>
          <w:szCs w:val="24"/>
        </w:rPr>
        <w:t xml:space="preserve">; </w:t>
      </w:r>
      <w:r w:rsidR="00B1301D" w:rsidRPr="005E786D">
        <w:rPr>
          <w:sz w:val="24"/>
          <w:szCs w:val="24"/>
        </w:rPr>
        <w:t xml:space="preserve">System </w:t>
      </w:r>
      <w:r w:rsidR="00E3796A">
        <w:rPr>
          <w:sz w:val="24"/>
          <w:szCs w:val="24"/>
        </w:rPr>
        <w:t>c</w:t>
      </w:r>
      <w:r w:rsidRPr="005E786D">
        <w:rPr>
          <w:sz w:val="24"/>
          <w:szCs w:val="24"/>
        </w:rPr>
        <w:t>hange</w:t>
      </w:r>
      <w:r w:rsidR="00E3796A">
        <w:rPr>
          <w:sz w:val="24"/>
          <w:szCs w:val="24"/>
        </w:rPr>
        <w:t xml:space="preserve">; </w:t>
      </w:r>
      <w:r w:rsidRPr="005E786D">
        <w:rPr>
          <w:rFonts w:cstheme="minorHAnsi"/>
          <w:sz w:val="24"/>
          <w:szCs w:val="24"/>
        </w:rPr>
        <w:t>Deliberation</w:t>
      </w:r>
      <w:r w:rsidR="00E3796A">
        <w:rPr>
          <w:rFonts w:cstheme="minorHAnsi"/>
          <w:sz w:val="24"/>
          <w:szCs w:val="24"/>
        </w:rPr>
        <w:t>;</w:t>
      </w:r>
      <w:r w:rsidRPr="005E786D">
        <w:rPr>
          <w:rFonts w:cstheme="minorHAnsi"/>
          <w:sz w:val="24"/>
          <w:szCs w:val="24"/>
        </w:rPr>
        <w:t xml:space="preserve"> </w:t>
      </w:r>
      <w:r w:rsidR="00E3796A">
        <w:rPr>
          <w:rFonts w:cstheme="minorHAnsi"/>
          <w:sz w:val="24"/>
          <w:szCs w:val="24"/>
        </w:rPr>
        <w:t>Sustainable development;</w:t>
      </w:r>
      <w:r w:rsidRPr="005E786D">
        <w:rPr>
          <w:rFonts w:cstheme="minorHAnsi"/>
          <w:sz w:val="24"/>
          <w:szCs w:val="24"/>
        </w:rPr>
        <w:t xml:space="preserve"> </w:t>
      </w:r>
      <w:r w:rsidR="00590A1E" w:rsidRPr="005E786D">
        <w:rPr>
          <w:sz w:val="24"/>
          <w:szCs w:val="24"/>
        </w:rPr>
        <w:t>T</w:t>
      </w:r>
      <w:r w:rsidR="00B1301D" w:rsidRPr="005E786D">
        <w:rPr>
          <w:sz w:val="24"/>
          <w:szCs w:val="24"/>
        </w:rPr>
        <w:t>ransformation</w:t>
      </w:r>
      <w:r w:rsidR="00E3796A">
        <w:rPr>
          <w:sz w:val="24"/>
          <w:szCs w:val="24"/>
        </w:rPr>
        <w:t xml:space="preserve">; Socio-ecological </w:t>
      </w:r>
      <w:r w:rsidR="00E3796A" w:rsidRPr="00C375BD">
        <w:rPr>
          <w:sz w:val="24"/>
          <w:szCs w:val="24"/>
        </w:rPr>
        <w:t>systems</w:t>
      </w:r>
    </w:p>
    <w:p w14:paraId="2AC0F674" w14:textId="0910A85E" w:rsidR="00410C9B" w:rsidRPr="00C375BD" w:rsidRDefault="00410C9B" w:rsidP="00C375BD">
      <w:pPr>
        <w:spacing w:line="276" w:lineRule="auto"/>
        <w:rPr>
          <w:b/>
          <w:sz w:val="24"/>
          <w:szCs w:val="24"/>
        </w:rPr>
      </w:pPr>
    </w:p>
    <w:p w14:paraId="5089A445" w14:textId="77777777" w:rsidR="00C375BD" w:rsidRPr="00C375BD" w:rsidRDefault="00C375BD" w:rsidP="00C375BD">
      <w:pPr>
        <w:suppressLineNumbers/>
        <w:spacing w:line="276" w:lineRule="auto"/>
        <w:rPr>
          <w:b/>
          <w:sz w:val="24"/>
          <w:szCs w:val="24"/>
        </w:rPr>
      </w:pPr>
      <w:r w:rsidRPr="00C375BD">
        <w:rPr>
          <w:b/>
          <w:sz w:val="24"/>
          <w:szCs w:val="24"/>
        </w:rPr>
        <w:t>Research highlights</w:t>
      </w:r>
    </w:p>
    <w:p w14:paraId="186C1AC5" w14:textId="77777777" w:rsidR="00C375BD" w:rsidRPr="00C375BD" w:rsidRDefault="00C375BD" w:rsidP="00C375BD">
      <w:pPr>
        <w:numPr>
          <w:ilvl w:val="0"/>
          <w:numId w:val="11"/>
        </w:numPr>
        <w:spacing w:line="276" w:lineRule="auto"/>
        <w:ind w:left="714" w:hanging="357"/>
        <w:rPr>
          <w:rFonts w:ascii="Calibri" w:eastAsia="Calibri" w:hAnsi="Calibri" w:cs="Times New Roman"/>
          <w:sz w:val="24"/>
          <w:szCs w:val="24"/>
        </w:rPr>
      </w:pPr>
      <w:r w:rsidRPr="00C375BD">
        <w:rPr>
          <w:rFonts w:ascii="Calibri" w:eastAsia="Calibri" w:hAnsi="Calibri" w:cs="Times New Roman"/>
          <w:sz w:val="24"/>
          <w:szCs w:val="24"/>
        </w:rPr>
        <w:t>Ecosystem services and processes play key, if overlooked, roles in all policy areas</w:t>
      </w:r>
    </w:p>
    <w:p w14:paraId="064BA93F" w14:textId="77777777" w:rsidR="00C375BD" w:rsidRPr="00C375BD" w:rsidRDefault="00C375BD" w:rsidP="00C375BD">
      <w:pPr>
        <w:numPr>
          <w:ilvl w:val="0"/>
          <w:numId w:val="11"/>
        </w:numPr>
        <w:spacing w:line="276" w:lineRule="auto"/>
        <w:ind w:left="714" w:hanging="357"/>
        <w:rPr>
          <w:rFonts w:ascii="Calibri" w:eastAsia="Calibri" w:hAnsi="Calibri" w:cs="Times New Roman"/>
          <w:sz w:val="24"/>
          <w:szCs w:val="24"/>
        </w:rPr>
      </w:pPr>
      <w:r w:rsidRPr="00C375BD">
        <w:rPr>
          <w:rFonts w:ascii="Calibri" w:eastAsia="Calibri" w:hAnsi="Calibri" w:cs="Times New Roman"/>
          <w:sz w:val="24"/>
          <w:szCs w:val="24"/>
        </w:rPr>
        <w:t>Realising the values of ecosystems requires embedding across all societal interests</w:t>
      </w:r>
    </w:p>
    <w:p w14:paraId="1FA899C6" w14:textId="77777777" w:rsidR="00C375BD" w:rsidRPr="00C375BD" w:rsidRDefault="00C375BD" w:rsidP="00C375BD">
      <w:pPr>
        <w:numPr>
          <w:ilvl w:val="0"/>
          <w:numId w:val="11"/>
        </w:numPr>
        <w:spacing w:line="276" w:lineRule="auto"/>
        <w:ind w:left="714" w:hanging="357"/>
        <w:rPr>
          <w:rFonts w:ascii="Calibri" w:eastAsia="Calibri" w:hAnsi="Calibri" w:cs="Times New Roman"/>
          <w:sz w:val="24"/>
          <w:szCs w:val="24"/>
        </w:rPr>
      </w:pPr>
      <w:r w:rsidRPr="00C375BD">
        <w:rPr>
          <w:rFonts w:ascii="Calibri" w:eastAsia="Calibri" w:hAnsi="Calibri" w:cs="Times New Roman"/>
          <w:sz w:val="24"/>
          <w:szCs w:val="24"/>
        </w:rPr>
        <w:t>Collaborative learning amongst senior players helped identify actionable outcomes</w:t>
      </w:r>
    </w:p>
    <w:p w14:paraId="22200A23" w14:textId="77777777" w:rsidR="00C375BD" w:rsidRPr="00C375BD" w:rsidRDefault="00C375BD" w:rsidP="00C375BD">
      <w:pPr>
        <w:pStyle w:val="ListParagraph"/>
        <w:numPr>
          <w:ilvl w:val="0"/>
          <w:numId w:val="11"/>
        </w:numPr>
        <w:spacing w:after="160" w:line="276" w:lineRule="auto"/>
        <w:ind w:left="714" w:hanging="357"/>
        <w:rPr>
          <w:rFonts w:asciiTheme="minorHAnsi" w:hAnsiTheme="minorHAnsi"/>
          <w:sz w:val="24"/>
          <w:szCs w:val="24"/>
        </w:rPr>
      </w:pPr>
      <w:r w:rsidRPr="00C375BD">
        <w:rPr>
          <w:rFonts w:eastAsia="Calibri" w:cs="Times New Roman"/>
          <w:sz w:val="24"/>
          <w:szCs w:val="24"/>
        </w:rPr>
        <w:t>All sectors of society are key role players in achieving this society-wide transformation</w:t>
      </w:r>
    </w:p>
    <w:p w14:paraId="5F17DB10" w14:textId="77777777" w:rsidR="00C375BD" w:rsidRPr="00C375BD" w:rsidRDefault="00C375BD" w:rsidP="00C375BD">
      <w:pPr>
        <w:spacing w:line="276" w:lineRule="auto"/>
        <w:rPr>
          <w:b/>
          <w:sz w:val="24"/>
          <w:szCs w:val="24"/>
        </w:rPr>
      </w:pPr>
    </w:p>
    <w:p w14:paraId="105451CA" w14:textId="209C644F" w:rsidR="00590A1E" w:rsidRPr="00D31F3A" w:rsidRDefault="00C87982" w:rsidP="00C375BD">
      <w:pPr>
        <w:spacing w:line="276" w:lineRule="auto"/>
        <w:rPr>
          <w:b/>
          <w:sz w:val="24"/>
          <w:szCs w:val="24"/>
        </w:rPr>
      </w:pPr>
      <w:r w:rsidRPr="00C375BD">
        <w:rPr>
          <w:b/>
          <w:sz w:val="24"/>
          <w:szCs w:val="24"/>
        </w:rPr>
        <w:t xml:space="preserve">1. </w:t>
      </w:r>
      <w:r w:rsidR="00590A1E" w:rsidRPr="00C375BD">
        <w:rPr>
          <w:b/>
          <w:sz w:val="24"/>
          <w:szCs w:val="24"/>
        </w:rPr>
        <w:t>In</w:t>
      </w:r>
      <w:r w:rsidR="00590A1E" w:rsidRPr="00D31F3A">
        <w:rPr>
          <w:b/>
          <w:sz w:val="24"/>
          <w:szCs w:val="24"/>
        </w:rPr>
        <w:t>troduction</w:t>
      </w:r>
    </w:p>
    <w:p w14:paraId="359B2784" w14:textId="2E9EF1D5" w:rsidR="00F57C3D" w:rsidRPr="00D31F3A" w:rsidRDefault="00A80359" w:rsidP="00C375BD">
      <w:pPr>
        <w:widowControl w:val="0"/>
        <w:spacing w:line="276" w:lineRule="auto"/>
        <w:rPr>
          <w:rFonts w:cstheme="minorHAnsi"/>
          <w:sz w:val="24"/>
          <w:szCs w:val="24"/>
        </w:rPr>
      </w:pPr>
      <w:r w:rsidRPr="00D31F3A">
        <w:rPr>
          <w:sz w:val="24"/>
          <w:szCs w:val="24"/>
        </w:rPr>
        <w:t xml:space="preserve">Human history has been substantially shaped by our </w:t>
      </w:r>
      <w:r w:rsidR="00410C9B">
        <w:rPr>
          <w:sz w:val="24"/>
          <w:szCs w:val="24"/>
        </w:rPr>
        <w:t xml:space="preserve">increasing technical </w:t>
      </w:r>
      <w:r w:rsidRPr="00D31F3A">
        <w:rPr>
          <w:sz w:val="24"/>
          <w:szCs w:val="24"/>
        </w:rPr>
        <w:t xml:space="preserve">capacities to manipulate ecosystems to further our own development.  </w:t>
      </w:r>
      <w:r w:rsidR="00497BDB">
        <w:rPr>
          <w:sz w:val="24"/>
          <w:szCs w:val="24"/>
        </w:rPr>
        <w:t xml:space="preserve">As the wider macro-system within which human society is embedded </w:t>
      </w:r>
      <w:r w:rsidR="00693E78">
        <w:rPr>
          <w:sz w:val="24"/>
          <w:szCs w:val="24"/>
        </w:rPr>
        <w:t>(Daly and Farley, 2011)</w:t>
      </w:r>
      <w:r w:rsidR="001579C6" w:rsidRPr="00D31F3A">
        <w:rPr>
          <w:sz w:val="24"/>
          <w:szCs w:val="24"/>
        </w:rPr>
        <w:t>,</w:t>
      </w:r>
      <w:r w:rsidRPr="00D31F3A">
        <w:rPr>
          <w:sz w:val="24"/>
          <w:szCs w:val="24"/>
        </w:rPr>
        <w:t xml:space="preserve"> ecosystems constitute often-irreplaceable roots supporting most areas of social and economic human endeavour</w:t>
      </w:r>
      <w:r w:rsidR="0043074E" w:rsidRPr="00D31F3A">
        <w:rPr>
          <w:sz w:val="24"/>
          <w:szCs w:val="24"/>
        </w:rPr>
        <w:t xml:space="preserve"> (</w:t>
      </w:r>
      <w:proofErr w:type="spellStart"/>
      <w:r w:rsidR="0043074E" w:rsidRPr="00D31F3A">
        <w:rPr>
          <w:sz w:val="24"/>
          <w:szCs w:val="24"/>
        </w:rPr>
        <w:t>Raworth</w:t>
      </w:r>
      <w:proofErr w:type="spellEnd"/>
      <w:r w:rsidR="0043074E" w:rsidRPr="00D31F3A">
        <w:rPr>
          <w:sz w:val="24"/>
          <w:szCs w:val="24"/>
        </w:rPr>
        <w:t>, 2017)</w:t>
      </w:r>
      <w:r w:rsidR="00F57C3D" w:rsidRPr="00D31F3A">
        <w:rPr>
          <w:sz w:val="24"/>
          <w:szCs w:val="24"/>
        </w:rPr>
        <w:t xml:space="preserve">.  Yet, </w:t>
      </w:r>
      <w:r w:rsidR="00F57C3D" w:rsidRPr="00D31F3A">
        <w:rPr>
          <w:rFonts w:cstheme="minorHAnsi"/>
          <w:sz w:val="24"/>
          <w:szCs w:val="24"/>
        </w:rPr>
        <w:t>c</w:t>
      </w:r>
      <w:r w:rsidR="00F57C3D" w:rsidRPr="00D31F3A">
        <w:rPr>
          <w:sz w:val="24"/>
          <w:szCs w:val="24"/>
        </w:rPr>
        <w:t>umulative human pressures exert a dominating influence on ecosystem structure and functions (</w:t>
      </w:r>
      <w:proofErr w:type="spellStart"/>
      <w:r w:rsidR="00410C9B" w:rsidRPr="00410C9B">
        <w:rPr>
          <w:sz w:val="24"/>
          <w:szCs w:val="24"/>
        </w:rPr>
        <w:t>Crutzen</w:t>
      </w:r>
      <w:proofErr w:type="spellEnd"/>
      <w:r w:rsidR="00410C9B" w:rsidRPr="00410C9B">
        <w:rPr>
          <w:sz w:val="24"/>
          <w:szCs w:val="24"/>
        </w:rPr>
        <w:t xml:space="preserve"> and Stoermer, 2000</w:t>
      </w:r>
      <w:r w:rsidR="00410C9B">
        <w:rPr>
          <w:sz w:val="24"/>
          <w:szCs w:val="24"/>
        </w:rPr>
        <w:t xml:space="preserve">; </w:t>
      </w:r>
      <w:r w:rsidR="00F57C3D" w:rsidRPr="00D31F3A">
        <w:rPr>
          <w:sz w:val="24"/>
          <w:szCs w:val="24"/>
        </w:rPr>
        <w:t xml:space="preserve">MA, 2005). </w:t>
      </w:r>
      <w:r w:rsidR="00410C9B">
        <w:rPr>
          <w:sz w:val="24"/>
          <w:szCs w:val="24"/>
        </w:rPr>
        <w:t xml:space="preserve"> </w:t>
      </w:r>
      <w:r w:rsidR="00F57C3D" w:rsidRPr="00D31F3A">
        <w:rPr>
          <w:sz w:val="24"/>
          <w:szCs w:val="24"/>
        </w:rPr>
        <w:t>Among many examples, we see that global growth in GDP correlates strongly with declines in global forest cover</w:t>
      </w:r>
      <w:r w:rsidR="00F57C3D" w:rsidRPr="00D31F3A">
        <w:rPr>
          <w:rFonts w:cstheme="minorHAnsi"/>
          <w:sz w:val="24"/>
          <w:szCs w:val="24"/>
        </w:rPr>
        <w:t xml:space="preserve"> (</w:t>
      </w:r>
      <w:proofErr w:type="spellStart"/>
      <w:r w:rsidR="00F57C3D" w:rsidRPr="00D31F3A">
        <w:rPr>
          <w:rFonts w:cstheme="minorHAnsi"/>
          <w:sz w:val="24"/>
          <w:szCs w:val="24"/>
        </w:rPr>
        <w:t>d’Annunzio</w:t>
      </w:r>
      <w:proofErr w:type="spellEnd"/>
      <w:r w:rsidR="00F57C3D" w:rsidRPr="00D31F3A">
        <w:rPr>
          <w:rFonts w:cstheme="minorHAnsi"/>
          <w:sz w:val="24"/>
          <w:szCs w:val="24"/>
        </w:rPr>
        <w:t>, 2015)</w:t>
      </w:r>
      <w:r w:rsidR="00AC7A18">
        <w:rPr>
          <w:rFonts w:cstheme="minorHAnsi"/>
          <w:sz w:val="24"/>
          <w:szCs w:val="24"/>
        </w:rPr>
        <w:t>, wider habitat declines and</w:t>
      </w:r>
      <w:r w:rsidR="00F57C3D" w:rsidRPr="00D31F3A">
        <w:rPr>
          <w:sz w:val="24"/>
          <w:szCs w:val="24"/>
        </w:rPr>
        <w:t xml:space="preserve"> rates of species extinction</w:t>
      </w:r>
      <w:r w:rsidR="00F57C3D" w:rsidRPr="00D31F3A">
        <w:rPr>
          <w:rFonts w:cstheme="minorHAnsi"/>
          <w:sz w:val="24"/>
          <w:szCs w:val="24"/>
        </w:rPr>
        <w:t xml:space="preserve"> (Scott, 2008)</w:t>
      </w:r>
      <w:r w:rsidR="00F57C3D" w:rsidRPr="00D31F3A">
        <w:rPr>
          <w:sz w:val="24"/>
          <w:szCs w:val="24"/>
        </w:rPr>
        <w:t>, and per capita carbon emissions</w:t>
      </w:r>
      <w:r w:rsidR="00634B45">
        <w:rPr>
          <w:sz w:val="24"/>
          <w:szCs w:val="24"/>
        </w:rPr>
        <w:t xml:space="preserve"> (</w:t>
      </w:r>
      <w:proofErr w:type="spellStart"/>
      <w:r w:rsidR="00634B45">
        <w:rPr>
          <w:sz w:val="24"/>
          <w:szCs w:val="24"/>
        </w:rPr>
        <w:t>Mardani</w:t>
      </w:r>
      <w:proofErr w:type="spellEnd"/>
      <w:r w:rsidR="00634B45">
        <w:rPr>
          <w:sz w:val="24"/>
          <w:szCs w:val="24"/>
        </w:rPr>
        <w:t xml:space="preserve"> </w:t>
      </w:r>
      <w:r w:rsidR="00634B45" w:rsidRPr="00634B45">
        <w:rPr>
          <w:i/>
          <w:sz w:val="24"/>
          <w:szCs w:val="24"/>
        </w:rPr>
        <w:t>et al</w:t>
      </w:r>
      <w:r w:rsidR="00634B45">
        <w:rPr>
          <w:sz w:val="24"/>
          <w:szCs w:val="24"/>
        </w:rPr>
        <w:t>., 2018)</w:t>
      </w:r>
      <w:r w:rsidR="00693E78">
        <w:rPr>
          <w:sz w:val="24"/>
          <w:szCs w:val="24"/>
        </w:rPr>
        <w:t xml:space="preserve">.  </w:t>
      </w:r>
      <w:r w:rsidR="00AC7A18">
        <w:rPr>
          <w:sz w:val="24"/>
          <w:szCs w:val="24"/>
        </w:rPr>
        <w:t>A</w:t>
      </w:r>
      <w:r w:rsidR="008B5B66">
        <w:rPr>
          <w:sz w:val="24"/>
          <w:szCs w:val="24"/>
        </w:rPr>
        <w:t xml:space="preserve"> </w:t>
      </w:r>
      <w:r w:rsidR="00410C9B" w:rsidRPr="00410C9B">
        <w:rPr>
          <w:sz w:val="24"/>
          <w:szCs w:val="24"/>
        </w:rPr>
        <w:t>negative</w:t>
      </w:r>
      <w:r w:rsidR="00410C9B">
        <w:rPr>
          <w:sz w:val="24"/>
          <w:szCs w:val="24"/>
        </w:rPr>
        <w:t xml:space="preserve"> </w:t>
      </w:r>
      <w:r w:rsidR="00410C9B" w:rsidRPr="00410C9B">
        <w:rPr>
          <w:sz w:val="24"/>
          <w:szCs w:val="24"/>
        </w:rPr>
        <w:t>correlat</w:t>
      </w:r>
      <w:r w:rsidR="00410C9B">
        <w:rPr>
          <w:sz w:val="24"/>
          <w:szCs w:val="24"/>
        </w:rPr>
        <w:t xml:space="preserve">ion </w:t>
      </w:r>
      <w:r w:rsidR="008B5B66">
        <w:rPr>
          <w:sz w:val="24"/>
          <w:szCs w:val="24"/>
        </w:rPr>
        <w:t xml:space="preserve">with GDP was reported </w:t>
      </w:r>
      <w:r w:rsidR="00634B45">
        <w:rPr>
          <w:sz w:val="24"/>
          <w:szCs w:val="24"/>
        </w:rPr>
        <w:t xml:space="preserve">with </w:t>
      </w:r>
      <w:r w:rsidR="00410C9B" w:rsidRPr="00410C9B">
        <w:rPr>
          <w:sz w:val="24"/>
          <w:szCs w:val="24"/>
        </w:rPr>
        <w:t>the proportion of a population that regards global warming as a serious problem</w:t>
      </w:r>
      <w:r w:rsidR="00410C9B">
        <w:rPr>
          <w:sz w:val="24"/>
          <w:szCs w:val="24"/>
        </w:rPr>
        <w:t xml:space="preserve"> (Sandvik, 2008)</w:t>
      </w:r>
      <w:r w:rsidR="00623EE4">
        <w:rPr>
          <w:sz w:val="24"/>
          <w:szCs w:val="24"/>
        </w:rPr>
        <w:t>.  However</w:t>
      </w:r>
      <w:r w:rsidR="008B5B66">
        <w:rPr>
          <w:sz w:val="24"/>
          <w:szCs w:val="24"/>
        </w:rPr>
        <w:t xml:space="preserve">, a more recent survey </w:t>
      </w:r>
      <w:r w:rsidR="00AC7A18">
        <w:rPr>
          <w:sz w:val="24"/>
          <w:szCs w:val="24"/>
        </w:rPr>
        <w:t>f</w:t>
      </w:r>
      <w:r w:rsidR="00623EE4">
        <w:rPr>
          <w:sz w:val="24"/>
          <w:szCs w:val="24"/>
        </w:rPr>
        <w:t xml:space="preserve">ound </w:t>
      </w:r>
      <w:r w:rsidR="008B5B66" w:rsidRPr="003326A7">
        <w:rPr>
          <w:sz w:val="24"/>
          <w:szCs w:val="24"/>
        </w:rPr>
        <w:t xml:space="preserve">that </w:t>
      </w:r>
      <w:r w:rsidR="008B5B66" w:rsidRPr="00423B54">
        <w:rPr>
          <w:sz w:val="24"/>
          <w:szCs w:val="24"/>
        </w:rPr>
        <w:t xml:space="preserve">“climate change/destruction of nature” was ranked as the most serious global issue for the third year in succession amongst younger people (under the age of 30) from around the world </w:t>
      </w:r>
      <w:r w:rsidR="008B5B66" w:rsidRPr="003326A7">
        <w:rPr>
          <w:sz w:val="24"/>
          <w:szCs w:val="24"/>
        </w:rPr>
        <w:t>(</w:t>
      </w:r>
      <w:r w:rsidR="008B5B66" w:rsidRPr="00423B54">
        <w:rPr>
          <w:sz w:val="24"/>
          <w:szCs w:val="24"/>
        </w:rPr>
        <w:t>WEF-GSC, 2017</w:t>
      </w:r>
      <w:r w:rsidR="00423B54">
        <w:rPr>
          <w:sz w:val="24"/>
          <w:szCs w:val="24"/>
        </w:rPr>
        <w:t>: 15</w:t>
      </w:r>
      <w:r w:rsidR="008B5B66" w:rsidRPr="00423B54">
        <w:rPr>
          <w:sz w:val="24"/>
          <w:szCs w:val="24"/>
        </w:rPr>
        <w:t xml:space="preserve">).  </w:t>
      </w:r>
      <w:r w:rsidR="00623EE4">
        <w:rPr>
          <w:sz w:val="24"/>
          <w:szCs w:val="24"/>
        </w:rPr>
        <w:t>Currently</w:t>
      </w:r>
      <w:r w:rsidR="00AC7A18">
        <w:rPr>
          <w:sz w:val="24"/>
          <w:szCs w:val="24"/>
        </w:rPr>
        <w:t>, declining trends in biodiversity and ecosystem services continue (</w:t>
      </w:r>
      <w:r w:rsidR="00AC7A18" w:rsidRPr="008B5B66">
        <w:rPr>
          <w:sz w:val="24"/>
          <w:szCs w:val="24"/>
        </w:rPr>
        <w:t>Díaz</w:t>
      </w:r>
      <w:r w:rsidR="00AC7A18">
        <w:rPr>
          <w:sz w:val="24"/>
          <w:szCs w:val="24"/>
        </w:rPr>
        <w:t xml:space="preserve"> </w:t>
      </w:r>
      <w:r w:rsidR="00AC7A18" w:rsidRPr="008B5B66">
        <w:rPr>
          <w:i/>
          <w:sz w:val="24"/>
          <w:szCs w:val="24"/>
        </w:rPr>
        <w:t>et al</w:t>
      </w:r>
      <w:r w:rsidR="00AC7A18">
        <w:rPr>
          <w:sz w:val="24"/>
          <w:szCs w:val="24"/>
        </w:rPr>
        <w:t>.</w:t>
      </w:r>
      <w:r w:rsidR="00AC7A18" w:rsidRPr="008B5B66">
        <w:rPr>
          <w:sz w:val="24"/>
          <w:szCs w:val="24"/>
        </w:rPr>
        <w:t>, 2019</w:t>
      </w:r>
      <w:r w:rsidR="00AC7A18">
        <w:rPr>
          <w:sz w:val="24"/>
          <w:szCs w:val="24"/>
        </w:rPr>
        <w:t xml:space="preserve">).  </w:t>
      </w:r>
      <w:r w:rsidR="00F57C3D" w:rsidRPr="003326A7">
        <w:rPr>
          <w:rFonts w:cstheme="minorHAnsi"/>
          <w:sz w:val="24"/>
          <w:szCs w:val="24"/>
        </w:rPr>
        <w:t>W</w:t>
      </w:r>
      <w:r w:rsidR="00F57C3D" w:rsidRPr="00D31F3A">
        <w:rPr>
          <w:rFonts w:cstheme="minorHAnsi"/>
          <w:sz w:val="24"/>
          <w:szCs w:val="24"/>
        </w:rPr>
        <w:t>e are also witnessing unprecedented ‘biotic homogenisation’</w:t>
      </w:r>
      <w:r w:rsidR="00634B45">
        <w:rPr>
          <w:rFonts w:cstheme="minorHAnsi"/>
          <w:sz w:val="24"/>
          <w:szCs w:val="24"/>
        </w:rPr>
        <w:t xml:space="preserve"> through </w:t>
      </w:r>
      <w:r w:rsidR="00F57C3D" w:rsidRPr="00D31F3A">
        <w:rPr>
          <w:rFonts w:cstheme="minorHAnsi"/>
          <w:sz w:val="24"/>
          <w:szCs w:val="24"/>
        </w:rPr>
        <w:t>introduction of non-native species and extinction of local biodiversity</w:t>
      </w:r>
      <w:r w:rsidR="00520557">
        <w:rPr>
          <w:rFonts w:cstheme="minorHAnsi"/>
          <w:sz w:val="24"/>
          <w:szCs w:val="24"/>
        </w:rPr>
        <w:t xml:space="preserve">.  This homogenisation </w:t>
      </w:r>
      <w:r w:rsidR="00F57C3D" w:rsidRPr="00D31F3A">
        <w:rPr>
          <w:rFonts w:cstheme="minorHAnsi"/>
          <w:sz w:val="24"/>
          <w:szCs w:val="24"/>
        </w:rPr>
        <w:t>increas</w:t>
      </w:r>
      <w:r w:rsidR="00520557">
        <w:rPr>
          <w:rFonts w:cstheme="minorHAnsi"/>
          <w:sz w:val="24"/>
          <w:szCs w:val="24"/>
        </w:rPr>
        <w:t>es</w:t>
      </w:r>
      <w:r w:rsidR="00F57C3D" w:rsidRPr="00D31F3A">
        <w:rPr>
          <w:rFonts w:cstheme="minorHAnsi"/>
          <w:sz w:val="24"/>
          <w:szCs w:val="24"/>
        </w:rPr>
        <w:t xml:space="preserve"> genetic, taxonomic </w:t>
      </w:r>
      <w:r w:rsidR="00AC7A18">
        <w:rPr>
          <w:rFonts w:cstheme="minorHAnsi"/>
          <w:sz w:val="24"/>
          <w:szCs w:val="24"/>
        </w:rPr>
        <w:t>and/</w:t>
      </w:r>
      <w:r w:rsidR="00F57C3D" w:rsidRPr="00D31F3A">
        <w:rPr>
          <w:rFonts w:cstheme="minorHAnsi"/>
          <w:sz w:val="24"/>
          <w:szCs w:val="24"/>
        </w:rPr>
        <w:t xml:space="preserve">or functional similarity across locations resulting in simplified, less locally adapted and increasingly vulnerable ecosystems </w:t>
      </w:r>
      <w:r w:rsidR="00520557">
        <w:rPr>
          <w:rFonts w:cstheme="minorHAnsi"/>
          <w:sz w:val="24"/>
          <w:szCs w:val="24"/>
        </w:rPr>
        <w:t xml:space="preserve">that provide </w:t>
      </w:r>
      <w:r w:rsidR="00F57C3D" w:rsidRPr="00D31F3A">
        <w:rPr>
          <w:rFonts w:cstheme="minorHAnsi"/>
          <w:sz w:val="24"/>
          <w:szCs w:val="24"/>
        </w:rPr>
        <w:t xml:space="preserve">a narrower set of ecosystem services </w:t>
      </w:r>
      <w:r w:rsidR="00520557">
        <w:rPr>
          <w:rFonts w:cstheme="minorHAnsi"/>
          <w:sz w:val="24"/>
          <w:szCs w:val="24"/>
        </w:rPr>
        <w:t xml:space="preserve">in </w:t>
      </w:r>
      <w:r w:rsidR="00F57C3D" w:rsidRPr="00D31F3A">
        <w:rPr>
          <w:rFonts w:cstheme="minorHAnsi"/>
          <w:sz w:val="24"/>
          <w:szCs w:val="24"/>
        </w:rPr>
        <w:t>support</w:t>
      </w:r>
      <w:r w:rsidR="00520557">
        <w:rPr>
          <w:rFonts w:cstheme="minorHAnsi"/>
          <w:sz w:val="24"/>
          <w:szCs w:val="24"/>
        </w:rPr>
        <w:t xml:space="preserve"> of</w:t>
      </w:r>
      <w:r w:rsidR="00F57C3D" w:rsidRPr="00D31F3A">
        <w:rPr>
          <w:rFonts w:cstheme="minorHAnsi"/>
          <w:sz w:val="24"/>
          <w:szCs w:val="24"/>
        </w:rPr>
        <w:t xml:space="preserve"> societal needs (McKinney and Lockwood, 1999). </w:t>
      </w:r>
      <w:r w:rsidR="00634B45">
        <w:rPr>
          <w:rFonts w:cstheme="minorHAnsi"/>
          <w:sz w:val="24"/>
          <w:szCs w:val="24"/>
        </w:rPr>
        <w:t xml:space="preserve"> </w:t>
      </w:r>
      <w:r w:rsidR="00F57C3D" w:rsidRPr="00D31F3A">
        <w:rPr>
          <w:rFonts w:cstheme="minorHAnsi"/>
          <w:sz w:val="24"/>
          <w:szCs w:val="24"/>
        </w:rPr>
        <w:t xml:space="preserve">Overall, </w:t>
      </w:r>
      <w:r w:rsidR="00F57C3D" w:rsidRPr="00D31F3A">
        <w:rPr>
          <w:rFonts w:cs="Arial"/>
          <w:sz w:val="24"/>
          <w:szCs w:val="24"/>
        </w:rPr>
        <w:t xml:space="preserve">the </w:t>
      </w:r>
      <w:r w:rsidR="00F57C3D" w:rsidRPr="00D31F3A">
        <w:rPr>
          <w:sz w:val="24"/>
          <w:szCs w:val="24"/>
        </w:rPr>
        <w:t xml:space="preserve">accelerating and intensifying </w:t>
      </w:r>
      <w:r w:rsidR="00F57C3D" w:rsidRPr="00D31F3A">
        <w:rPr>
          <w:rFonts w:cs="Arial"/>
          <w:sz w:val="24"/>
          <w:szCs w:val="24"/>
        </w:rPr>
        <w:t>demands of contemporary global society are claimed to effectively consume 1.7 ‘Planet Earths’ per year (</w:t>
      </w:r>
      <w:r w:rsidR="00F57C3D" w:rsidRPr="00D31F3A">
        <w:rPr>
          <w:rFonts w:cstheme="minorHAnsi"/>
          <w:sz w:val="24"/>
          <w:szCs w:val="24"/>
        </w:rPr>
        <w:t>Global Footprint Network, 2020)</w:t>
      </w:r>
      <w:r w:rsidR="00F57C3D" w:rsidRPr="00D31F3A">
        <w:rPr>
          <w:rFonts w:cs="Arial"/>
          <w:sz w:val="24"/>
          <w:szCs w:val="24"/>
        </w:rPr>
        <w:t xml:space="preserve">. </w:t>
      </w:r>
      <w:r w:rsidR="00F57C3D" w:rsidRPr="00D31F3A">
        <w:rPr>
          <w:sz w:val="24"/>
          <w:szCs w:val="24"/>
        </w:rPr>
        <w:t xml:space="preserve"> National pictures are largely consistent with global trends (e.g. UKNEA, 2011).   </w:t>
      </w:r>
    </w:p>
    <w:p w14:paraId="1C47B86A" w14:textId="7084251D" w:rsidR="00F57C3D" w:rsidRPr="00D31F3A" w:rsidRDefault="00F57C3D" w:rsidP="00C375BD">
      <w:pPr>
        <w:spacing w:line="276" w:lineRule="auto"/>
        <w:rPr>
          <w:sz w:val="24"/>
          <w:szCs w:val="24"/>
        </w:rPr>
      </w:pPr>
      <w:r w:rsidRPr="00D31F3A">
        <w:rPr>
          <w:sz w:val="24"/>
          <w:szCs w:val="24"/>
        </w:rPr>
        <w:t>The central importance of ecosystems and their processes for all policy areas and human interests, from the biophysical to the spiritual and cultural</w:t>
      </w:r>
      <w:r w:rsidR="00AC7A18">
        <w:rPr>
          <w:sz w:val="24"/>
          <w:szCs w:val="24"/>
        </w:rPr>
        <w:t>,</w:t>
      </w:r>
      <w:r w:rsidRPr="00D31F3A">
        <w:rPr>
          <w:sz w:val="24"/>
          <w:szCs w:val="24"/>
        </w:rPr>
        <w:t xml:space="preserve"> is widely acknowledged</w:t>
      </w:r>
      <w:r w:rsidR="00634B45">
        <w:rPr>
          <w:sz w:val="24"/>
          <w:szCs w:val="24"/>
        </w:rPr>
        <w:t xml:space="preserve"> (MA, 2005; </w:t>
      </w:r>
      <w:proofErr w:type="spellStart"/>
      <w:r w:rsidR="00634B45" w:rsidRPr="00634B45">
        <w:rPr>
          <w:rFonts w:cstheme="minorHAnsi"/>
          <w:sz w:val="24"/>
          <w:szCs w:val="24"/>
        </w:rPr>
        <w:t>Brondizio</w:t>
      </w:r>
      <w:proofErr w:type="spellEnd"/>
      <w:r w:rsidR="00634B45">
        <w:rPr>
          <w:rFonts w:cstheme="minorHAnsi"/>
          <w:sz w:val="24"/>
          <w:szCs w:val="24"/>
        </w:rPr>
        <w:t xml:space="preserve"> </w:t>
      </w:r>
      <w:r w:rsidR="00634B45" w:rsidRPr="00634B45">
        <w:rPr>
          <w:rFonts w:cstheme="minorHAnsi"/>
          <w:i/>
          <w:sz w:val="24"/>
          <w:szCs w:val="24"/>
        </w:rPr>
        <w:t>et al</w:t>
      </w:r>
      <w:r w:rsidR="00634B45">
        <w:rPr>
          <w:rFonts w:cstheme="minorHAnsi"/>
          <w:sz w:val="24"/>
          <w:szCs w:val="24"/>
        </w:rPr>
        <w:t>.</w:t>
      </w:r>
      <w:r w:rsidR="00634B45">
        <w:rPr>
          <w:sz w:val="24"/>
          <w:szCs w:val="24"/>
        </w:rPr>
        <w:t>, 2019)</w:t>
      </w:r>
      <w:r w:rsidRPr="00D31F3A">
        <w:rPr>
          <w:sz w:val="24"/>
          <w:szCs w:val="24"/>
        </w:rPr>
        <w:t xml:space="preserve">. </w:t>
      </w:r>
      <w:r w:rsidR="00634B45">
        <w:rPr>
          <w:sz w:val="24"/>
          <w:szCs w:val="24"/>
        </w:rPr>
        <w:t xml:space="preserve"> </w:t>
      </w:r>
      <w:r w:rsidRPr="00D31F3A">
        <w:rPr>
          <w:sz w:val="24"/>
          <w:szCs w:val="24"/>
        </w:rPr>
        <w:t>T</w:t>
      </w:r>
      <w:r w:rsidRPr="00D31F3A">
        <w:rPr>
          <w:rFonts w:cstheme="minorHAnsi"/>
          <w:bCs/>
          <w:sz w:val="24"/>
          <w:szCs w:val="24"/>
        </w:rPr>
        <w:t xml:space="preserve">he </w:t>
      </w:r>
      <w:r w:rsidRPr="00D31F3A">
        <w:rPr>
          <w:rFonts w:cstheme="minorHAnsi"/>
          <w:sz w:val="24"/>
          <w:szCs w:val="24"/>
        </w:rPr>
        <w:t xml:space="preserve">interconnectedness of economic and social with environmental development has been recognised </w:t>
      </w:r>
      <w:r w:rsidRPr="00D31F3A">
        <w:rPr>
          <w:sz w:val="24"/>
          <w:szCs w:val="24"/>
        </w:rPr>
        <w:t xml:space="preserve">by international consensus for at least a </w:t>
      </w:r>
      <w:r w:rsidRPr="00271225">
        <w:rPr>
          <w:sz w:val="24"/>
          <w:szCs w:val="24"/>
        </w:rPr>
        <w:t>generation</w:t>
      </w:r>
      <w:r w:rsidR="00271225" w:rsidRPr="00271225">
        <w:rPr>
          <w:sz w:val="24"/>
          <w:szCs w:val="24"/>
        </w:rPr>
        <w:t xml:space="preserve"> (IUCN–UNEP–WWF, 1980</w:t>
      </w:r>
      <w:r w:rsidR="00634B45">
        <w:rPr>
          <w:sz w:val="24"/>
          <w:szCs w:val="24"/>
        </w:rPr>
        <w:t xml:space="preserve">; </w:t>
      </w:r>
      <w:r w:rsidR="00634B45" w:rsidRPr="00D31F3A">
        <w:rPr>
          <w:rFonts w:cstheme="minorHAnsi"/>
          <w:sz w:val="24"/>
          <w:szCs w:val="24"/>
        </w:rPr>
        <w:t>WCED, 1987</w:t>
      </w:r>
      <w:r w:rsidR="00271225" w:rsidRPr="00271225">
        <w:rPr>
          <w:sz w:val="24"/>
          <w:szCs w:val="24"/>
        </w:rPr>
        <w:t>)</w:t>
      </w:r>
      <w:r w:rsidR="0025718D">
        <w:rPr>
          <w:sz w:val="24"/>
          <w:szCs w:val="24"/>
        </w:rPr>
        <w:t>, supported by a range of international and nation</w:t>
      </w:r>
      <w:r w:rsidR="00642685">
        <w:rPr>
          <w:sz w:val="24"/>
          <w:szCs w:val="24"/>
        </w:rPr>
        <w:t>al</w:t>
      </w:r>
      <w:r w:rsidR="0025718D">
        <w:rPr>
          <w:sz w:val="24"/>
          <w:szCs w:val="24"/>
        </w:rPr>
        <w:t xml:space="preserve"> commitments including, amongst many others, the 1971 Ramsar Convention</w:t>
      </w:r>
      <w:r w:rsidR="0025718D">
        <w:rPr>
          <w:rStyle w:val="FootnoteReference"/>
          <w:sz w:val="24"/>
          <w:szCs w:val="24"/>
        </w:rPr>
        <w:footnoteReference w:id="1"/>
      </w:r>
      <w:r w:rsidR="0025718D">
        <w:rPr>
          <w:sz w:val="24"/>
          <w:szCs w:val="24"/>
        </w:rPr>
        <w:t xml:space="preserve"> and the 1992 Convention on Biological Diversity</w:t>
      </w:r>
      <w:r w:rsidR="0025718D">
        <w:rPr>
          <w:rStyle w:val="FootnoteReference"/>
          <w:sz w:val="24"/>
          <w:szCs w:val="24"/>
        </w:rPr>
        <w:footnoteReference w:id="2"/>
      </w:r>
      <w:r w:rsidR="00634B45">
        <w:rPr>
          <w:sz w:val="24"/>
          <w:szCs w:val="24"/>
        </w:rPr>
        <w:t xml:space="preserve">. </w:t>
      </w:r>
      <w:r w:rsidR="008B5B66">
        <w:rPr>
          <w:sz w:val="24"/>
          <w:szCs w:val="24"/>
        </w:rPr>
        <w:t xml:space="preserve"> </w:t>
      </w:r>
      <w:r w:rsidR="00C276A5">
        <w:rPr>
          <w:sz w:val="24"/>
          <w:szCs w:val="24"/>
        </w:rPr>
        <w:t xml:space="preserve">IPBES (2020) has recently </w:t>
      </w:r>
      <w:r w:rsidR="00C276A5" w:rsidRPr="00C276A5">
        <w:rPr>
          <w:sz w:val="24"/>
          <w:szCs w:val="24"/>
        </w:rPr>
        <w:t xml:space="preserve">reiterated </w:t>
      </w:r>
      <w:r w:rsidR="00C276A5">
        <w:rPr>
          <w:sz w:val="24"/>
          <w:szCs w:val="24"/>
        </w:rPr>
        <w:t xml:space="preserve">the role of social and government influence </w:t>
      </w:r>
      <w:r w:rsidR="00C276A5" w:rsidRPr="00C276A5">
        <w:rPr>
          <w:sz w:val="24"/>
          <w:szCs w:val="24"/>
        </w:rPr>
        <w:t>as indirect drivers or underlying causes</w:t>
      </w:r>
      <w:r w:rsidR="00C276A5">
        <w:rPr>
          <w:sz w:val="24"/>
          <w:szCs w:val="24"/>
        </w:rPr>
        <w:t>, stating “</w:t>
      </w:r>
      <w:r w:rsidR="00C276A5" w:rsidRPr="00C276A5">
        <w:rPr>
          <w:sz w:val="24"/>
          <w:szCs w:val="24"/>
        </w:rPr>
        <w:t>While difficult to model, an understanding of the role of societal drivers such as culture and government is crucial to sustainable ecosystem management as these are strong drivers of value sets and decision frameworks that affect behaviours</w:t>
      </w:r>
      <w:r w:rsidR="00C276A5">
        <w:rPr>
          <w:sz w:val="24"/>
          <w:szCs w:val="24"/>
        </w:rPr>
        <w:t xml:space="preserve">”.  </w:t>
      </w:r>
      <w:r w:rsidR="00962CF5">
        <w:rPr>
          <w:sz w:val="24"/>
          <w:szCs w:val="24"/>
        </w:rPr>
        <w:t>Th</w:t>
      </w:r>
      <w:r w:rsidR="00C276A5">
        <w:rPr>
          <w:sz w:val="24"/>
          <w:szCs w:val="24"/>
        </w:rPr>
        <w:t>e</w:t>
      </w:r>
      <w:r w:rsidR="00962CF5">
        <w:rPr>
          <w:sz w:val="24"/>
          <w:szCs w:val="24"/>
        </w:rPr>
        <w:t xml:space="preserve"> </w:t>
      </w:r>
      <w:r w:rsidR="008B5B66">
        <w:rPr>
          <w:sz w:val="24"/>
          <w:szCs w:val="24"/>
        </w:rPr>
        <w:t xml:space="preserve">2019 </w:t>
      </w:r>
      <w:r w:rsidR="00962CF5">
        <w:rPr>
          <w:sz w:val="24"/>
          <w:szCs w:val="24"/>
        </w:rPr>
        <w:t>IPBES Global Assessment Report on the state of biodiversity and ecosystem services</w:t>
      </w:r>
      <w:r w:rsidR="008B5B66">
        <w:rPr>
          <w:sz w:val="24"/>
          <w:szCs w:val="24"/>
        </w:rPr>
        <w:t xml:space="preserve"> (</w:t>
      </w:r>
      <w:r w:rsidR="008B5B66" w:rsidRPr="008B5B66">
        <w:rPr>
          <w:sz w:val="24"/>
          <w:szCs w:val="24"/>
        </w:rPr>
        <w:t>Díaz</w:t>
      </w:r>
      <w:r w:rsidR="008B5B66">
        <w:rPr>
          <w:sz w:val="24"/>
          <w:szCs w:val="24"/>
        </w:rPr>
        <w:t xml:space="preserve"> </w:t>
      </w:r>
      <w:r w:rsidR="008B5B66" w:rsidRPr="008B5B66">
        <w:rPr>
          <w:i/>
          <w:sz w:val="24"/>
          <w:szCs w:val="24"/>
        </w:rPr>
        <w:t>et al</w:t>
      </w:r>
      <w:r w:rsidR="008B5B66">
        <w:rPr>
          <w:sz w:val="24"/>
          <w:szCs w:val="24"/>
        </w:rPr>
        <w:t>.</w:t>
      </w:r>
      <w:r w:rsidR="008B5B66" w:rsidRPr="008B5B66">
        <w:rPr>
          <w:sz w:val="24"/>
          <w:szCs w:val="24"/>
        </w:rPr>
        <w:t>, 2019</w:t>
      </w:r>
      <w:r w:rsidR="008B5B66">
        <w:rPr>
          <w:sz w:val="24"/>
          <w:szCs w:val="24"/>
        </w:rPr>
        <w:t>)</w:t>
      </w:r>
      <w:r w:rsidR="00071DC0">
        <w:rPr>
          <w:sz w:val="24"/>
          <w:szCs w:val="24"/>
        </w:rPr>
        <w:t xml:space="preserve">, and the 2020 interim report for the </w:t>
      </w:r>
      <w:r w:rsidR="00623EE4">
        <w:rPr>
          <w:sz w:val="24"/>
          <w:szCs w:val="24"/>
        </w:rPr>
        <w:t xml:space="preserve">UK’s </w:t>
      </w:r>
      <w:r w:rsidR="00071DC0">
        <w:rPr>
          <w:sz w:val="24"/>
          <w:szCs w:val="24"/>
        </w:rPr>
        <w:t xml:space="preserve">Dasgupta </w:t>
      </w:r>
      <w:r w:rsidR="00642685">
        <w:rPr>
          <w:sz w:val="24"/>
          <w:szCs w:val="24"/>
        </w:rPr>
        <w:t>R</w:t>
      </w:r>
      <w:r w:rsidR="00071DC0">
        <w:rPr>
          <w:sz w:val="24"/>
          <w:szCs w:val="24"/>
        </w:rPr>
        <w:t>eview on the Economics of Biodiversity</w:t>
      </w:r>
      <w:r w:rsidR="00F55E21">
        <w:rPr>
          <w:sz w:val="24"/>
          <w:szCs w:val="24"/>
        </w:rPr>
        <w:t xml:space="preserve"> (HM Treasury, 20</w:t>
      </w:r>
      <w:r w:rsidR="00201756">
        <w:rPr>
          <w:sz w:val="24"/>
          <w:szCs w:val="24"/>
        </w:rPr>
        <w:t>20</w:t>
      </w:r>
      <w:r w:rsidR="00F55E21">
        <w:rPr>
          <w:sz w:val="24"/>
          <w:szCs w:val="24"/>
        </w:rPr>
        <w:t>)</w:t>
      </w:r>
      <w:r w:rsidR="00C276A5">
        <w:rPr>
          <w:sz w:val="24"/>
          <w:szCs w:val="24"/>
        </w:rPr>
        <w:t xml:space="preserve"> emphasise the influence of these factors</w:t>
      </w:r>
      <w:r w:rsidR="00071DC0">
        <w:rPr>
          <w:sz w:val="24"/>
          <w:szCs w:val="24"/>
        </w:rPr>
        <w:t>.</w:t>
      </w:r>
      <w:r w:rsidR="00634B45">
        <w:rPr>
          <w:sz w:val="24"/>
          <w:szCs w:val="24"/>
        </w:rPr>
        <w:t xml:space="preserve"> </w:t>
      </w:r>
      <w:r w:rsidR="00F55E21">
        <w:rPr>
          <w:sz w:val="24"/>
          <w:szCs w:val="24"/>
        </w:rPr>
        <w:t xml:space="preserve"> </w:t>
      </w:r>
      <w:r w:rsidR="00634B45">
        <w:rPr>
          <w:sz w:val="24"/>
          <w:szCs w:val="24"/>
        </w:rPr>
        <w:t>However</w:t>
      </w:r>
      <w:r w:rsidRPr="00271225">
        <w:rPr>
          <w:sz w:val="24"/>
          <w:szCs w:val="24"/>
        </w:rPr>
        <w:t>,</w:t>
      </w:r>
      <w:r w:rsidRPr="00271225">
        <w:rPr>
          <w:rFonts w:cstheme="minorHAnsi"/>
          <w:sz w:val="24"/>
          <w:szCs w:val="24"/>
        </w:rPr>
        <w:t xml:space="preserve"> systemic </w:t>
      </w:r>
      <w:r w:rsidR="00634B45">
        <w:rPr>
          <w:rFonts w:cstheme="minorHAnsi"/>
          <w:sz w:val="24"/>
          <w:szCs w:val="24"/>
        </w:rPr>
        <w:t xml:space="preserve">application of this awareness into policy and </w:t>
      </w:r>
      <w:r w:rsidRPr="00271225">
        <w:rPr>
          <w:rFonts w:cstheme="minorHAnsi"/>
          <w:sz w:val="24"/>
          <w:szCs w:val="24"/>
        </w:rPr>
        <w:t>practice remains far from the norm, with the globally dominant, competitive market model prioritising production and economic throughput, reducing e</w:t>
      </w:r>
      <w:r w:rsidRPr="00271225">
        <w:rPr>
          <w:sz w:val="24"/>
          <w:szCs w:val="24"/>
        </w:rPr>
        <w:t xml:space="preserve">nvironmental (and many social) policies to retrospective ‘fixes’ </w:t>
      </w:r>
      <w:r w:rsidR="00520557">
        <w:rPr>
          <w:sz w:val="24"/>
          <w:szCs w:val="24"/>
        </w:rPr>
        <w:t>for</w:t>
      </w:r>
      <w:r w:rsidRPr="00271225">
        <w:rPr>
          <w:sz w:val="24"/>
          <w:szCs w:val="24"/>
        </w:rPr>
        <w:t xml:space="preserve"> the collateral damage</w:t>
      </w:r>
      <w:r w:rsidRPr="00D31F3A">
        <w:rPr>
          <w:sz w:val="24"/>
          <w:szCs w:val="24"/>
        </w:rPr>
        <w:t xml:space="preserve"> from economic progress (</w:t>
      </w:r>
      <w:proofErr w:type="spellStart"/>
      <w:r w:rsidRPr="00D31F3A">
        <w:rPr>
          <w:sz w:val="24"/>
          <w:szCs w:val="24"/>
        </w:rPr>
        <w:t>Vatn</w:t>
      </w:r>
      <w:proofErr w:type="spellEnd"/>
      <w:r w:rsidRPr="00D31F3A">
        <w:rPr>
          <w:sz w:val="24"/>
          <w:szCs w:val="24"/>
        </w:rPr>
        <w:t xml:space="preserve"> and Bromley, 1997)</w:t>
      </w:r>
      <w:r w:rsidR="00634B45">
        <w:rPr>
          <w:sz w:val="24"/>
          <w:szCs w:val="24"/>
        </w:rPr>
        <w:t xml:space="preserve">.  </w:t>
      </w:r>
      <w:r w:rsidR="0079276A">
        <w:rPr>
          <w:sz w:val="24"/>
          <w:szCs w:val="24"/>
        </w:rPr>
        <w:t>U</w:t>
      </w:r>
      <w:r w:rsidR="00C276A5">
        <w:rPr>
          <w:sz w:val="24"/>
          <w:szCs w:val="24"/>
        </w:rPr>
        <w:t xml:space="preserve">nbridled </w:t>
      </w:r>
      <w:r w:rsidR="0079276A">
        <w:rPr>
          <w:sz w:val="24"/>
          <w:szCs w:val="24"/>
        </w:rPr>
        <w:t xml:space="preserve">exploitation of ecosystems, be that through </w:t>
      </w:r>
      <w:r w:rsidR="00C276A5">
        <w:rPr>
          <w:sz w:val="24"/>
          <w:szCs w:val="24"/>
        </w:rPr>
        <w:t xml:space="preserve">free-market </w:t>
      </w:r>
      <w:r w:rsidRPr="00D31F3A">
        <w:rPr>
          <w:sz w:val="24"/>
          <w:szCs w:val="24"/>
        </w:rPr>
        <w:t>model</w:t>
      </w:r>
      <w:r w:rsidR="0079276A">
        <w:rPr>
          <w:sz w:val="24"/>
          <w:szCs w:val="24"/>
        </w:rPr>
        <w:t xml:space="preserve">s such as the </w:t>
      </w:r>
      <w:r w:rsidRPr="00D31F3A">
        <w:rPr>
          <w:sz w:val="24"/>
          <w:szCs w:val="24"/>
        </w:rPr>
        <w:t>pervasive Nobel Prize-winning doctrine of monetarism</w:t>
      </w:r>
      <w:r w:rsidRPr="00D31F3A">
        <w:rPr>
          <w:rFonts w:cstheme="minorHAnsi"/>
          <w:sz w:val="24"/>
          <w:szCs w:val="24"/>
        </w:rPr>
        <w:t xml:space="preserve"> (Friedman and Schwartz, 1963)</w:t>
      </w:r>
      <w:r w:rsidR="0079276A">
        <w:rPr>
          <w:rFonts w:cstheme="minorHAnsi"/>
          <w:sz w:val="24"/>
          <w:szCs w:val="24"/>
        </w:rPr>
        <w:t xml:space="preserve"> or centrally planned industrial strategies as seen for example in Russia, serially undermine natural capital</w:t>
      </w:r>
      <w:r w:rsidRPr="00D31F3A">
        <w:rPr>
          <w:sz w:val="24"/>
          <w:szCs w:val="24"/>
        </w:rPr>
        <w:t>.</w:t>
      </w:r>
      <w:r w:rsidR="00C276A5">
        <w:rPr>
          <w:sz w:val="24"/>
          <w:szCs w:val="24"/>
        </w:rPr>
        <w:t xml:space="preserve"> </w:t>
      </w:r>
      <w:r w:rsidR="002E6E3D">
        <w:rPr>
          <w:sz w:val="24"/>
          <w:szCs w:val="24"/>
        </w:rPr>
        <w:t xml:space="preserve"> </w:t>
      </w:r>
      <w:r w:rsidR="00642685">
        <w:rPr>
          <w:sz w:val="24"/>
          <w:szCs w:val="24"/>
        </w:rPr>
        <w:t xml:space="preserve">The irony of this situation is that the dominant capitalist model serially degrades the foundational natural capital and infrastructure securing its </w:t>
      </w:r>
      <w:r w:rsidR="00623EE4">
        <w:rPr>
          <w:sz w:val="24"/>
          <w:szCs w:val="24"/>
        </w:rPr>
        <w:t xml:space="preserve">own </w:t>
      </w:r>
      <w:r w:rsidR="00642685">
        <w:rPr>
          <w:sz w:val="24"/>
          <w:szCs w:val="24"/>
        </w:rPr>
        <w:t>long-term security and progress (Porritt, 200</w:t>
      </w:r>
      <w:r w:rsidR="007A3392">
        <w:rPr>
          <w:sz w:val="24"/>
          <w:szCs w:val="24"/>
        </w:rPr>
        <w:t>7</w:t>
      </w:r>
      <w:r w:rsidR="00642685">
        <w:rPr>
          <w:sz w:val="24"/>
          <w:szCs w:val="24"/>
        </w:rPr>
        <w:t>; Everard, 201</w:t>
      </w:r>
      <w:r w:rsidR="007A3392">
        <w:rPr>
          <w:sz w:val="24"/>
          <w:szCs w:val="24"/>
        </w:rPr>
        <w:t>3a</w:t>
      </w:r>
      <w:r w:rsidR="00642685">
        <w:rPr>
          <w:sz w:val="24"/>
          <w:szCs w:val="24"/>
        </w:rPr>
        <w:t xml:space="preserve">).  </w:t>
      </w:r>
      <w:r w:rsidR="002E6E3D">
        <w:rPr>
          <w:sz w:val="24"/>
          <w:szCs w:val="24"/>
        </w:rPr>
        <w:t xml:space="preserve">Contrary to this model is the Nobel Prize winning concept of common-pool resources (CPR) in which communities, illustrated by rural communities around the world with high levels of social interaction, self-organise to steward common natural resources (Ostrom, 1999, 2000).  </w:t>
      </w:r>
      <w:r w:rsidR="00B21984">
        <w:rPr>
          <w:sz w:val="24"/>
          <w:szCs w:val="24"/>
        </w:rPr>
        <w:t>There are clearly both conceptual and practical tensions between these worldviews, the former marginalising the latter in much of the manifestation of the globally pervasive market economy.  With a pervasion of short-term market and other rewards favouring immediate benefits, societal assumptions and habits have progressively become increasingly disconnected from sound, long-term resource stewardship</w:t>
      </w:r>
      <w:r w:rsidR="00623EE4">
        <w:rPr>
          <w:sz w:val="24"/>
          <w:szCs w:val="24"/>
        </w:rPr>
        <w:t xml:space="preserve"> practices that ensure </w:t>
      </w:r>
      <w:r w:rsidR="00B21984">
        <w:rPr>
          <w:sz w:val="24"/>
          <w:szCs w:val="24"/>
        </w:rPr>
        <w:t>the security and renewability</w:t>
      </w:r>
      <w:r w:rsidR="00253DF5">
        <w:rPr>
          <w:sz w:val="24"/>
          <w:szCs w:val="24"/>
        </w:rPr>
        <w:t xml:space="preserve">.  Rather, the net outcome of current market-driven resource exploitation patterns is the </w:t>
      </w:r>
      <w:r w:rsidR="00B21984">
        <w:rPr>
          <w:sz w:val="24"/>
          <w:szCs w:val="24"/>
        </w:rPr>
        <w:t xml:space="preserve">progressive externalisation </w:t>
      </w:r>
      <w:r w:rsidR="00253DF5">
        <w:rPr>
          <w:sz w:val="24"/>
          <w:szCs w:val="24"/>
        </w:rPr>
        <w:t xml:space="preserve">of unsustainable exploitation leading to </w:t>
      </w:r>
      <w:r w:rsidR="00B21984">
        <w:rPr>
          <w:sz w:val="24"/>
          <w:szCs w:val="24"/>
        </w:rPr>
        <w:t>inevitable system degradation.</w:t>
      </w:r>
      <w:r w:rsidR="00643DC8">
        <w:rPr>
          <w:sz w:val="24"/>
          <w:szCs w:val="24"/>
        </w:rPr>
        <w:t xml:space="preserve">  As various models articulate (for example European Environment Agency, 2019), society and the economy are subsets of the global ecosystem, so disconnection of society from its supportive ecosystem</w:t>
      </w:r>
      <w:r w:rsidR="0042571C">
        <w:rPr>
          <w:sz w:val="24"/>
          <w:szCs w:val="24"/>
        </w:rPr>
        <w:t xml:space="preserve">, for example from linear resource use practices that overlook </w:t>
      </w:r>
      <w:r w:rsidR="002C0ECA">
        <w:rPr>
          <w:sz w:val="24"/>
          <w:szCs w:val="24"/>
        </w:rPr>
        <w:t xml:space="preserve">natural limits including </w:t>
      </w:r>
      <w:r w:rsidR="0042571C">
        <w:rPr>
          <w:sz w:val="24"/>
          <w:szCs w:val="24"/>
        </w:rPr>
        <w:t xml:space="preserve">implications for ecosystem sources and sinks (for example </w:t>
      </w:r>
      <w:proofErr w:type="spellStart"/>
      <w:r w:rsidR="0042571C">
        <w:rPr>
          <w:sz w:val="24"/>
          <w:szCs w:val="24"/>
        </w:rPr>
        <w:t>Raworth</w:t>
      </w:r>
      <w:proofErr w:type="spellEnd"/>
      <w:r w:rsidR="0042571C" w:rsidRPr="00D31F3A">
        <w:rPr>
          <w:sz w:val="24"/>
          <w:szCs w:val="24"/>
        </w:rPr>
        <w:t>, 2017</w:t>
      </w:r>
      <w:r w:rsidR="0042571C">
        <w:rPr>
          <w:sz w:val="24"/>
          <w:szCs w:val="24"/>
        </w:rPr>
        <w:t xml:space="preserve">), </w:t>
      </w:r>
      <w:r w:rsidR="00643DC8">
        <w:rPr>
          <w:sz w:val="24"/>
          <w:szCs w:val="24"/>
        </w:rPr>
        <w:t>can only lead to serial degradation with inevitable negative impacts for humanity.</w:t>
      </w:r>
      <w:r w:rsidR="00F17337">
        <w:rPr>
          <w:sz w:val="24"/>
          <w:szCs w:val="24"/>
        </w:rPr>
        <w:t xml:space="preserve">  The mass of societal activities and </w:t>
      </w:r>
      <w:r w:rsidR="00253DF5">
        <w:rPr>
          <w:sz w:val="24"/>
          <w:szCs w:val="24"/>
        </w:rPr>
        <w:t xml:space="preserve">degree of </w:t>
      </w:r>
      <w:r w:rsidR="00F17337">
        <w:rPr>
          <w:sz w:val="24"/>
          <w:szCs w:val="24"/>
        </w:rPr>
        <w:t xml:space="preserve">technological sophistication blind to consequences for supportive ecosystems </w:t>
      </w:r>
      <w:r w:rsidR="00253DF5">
        <w:rPr>
          <w:sz w:val="24"/>
          <w:szCs w:val="24"/>
        </w:rPr>
        <w:t xml:space="preserve">posits </w:t>
      </w:r>
      <w:r w:rsidR="00F17337">
        <w:rPr>
          <w:sz w:val="24"/>
          <w:szCs w:val="24"/>
        </w:rPr>
        <w:t xml:space="preserve">humanity </w:t>
      </w:r>
      <w:r w:rsidR="00253DF5">
        <w:rPr>
          <w:sz w:val="24"/>
          <w:szCs w:val="24"/>
        </w:rPr>
        <w:t xml:space="preserve">conceptually </w:t>
      </w:r>
      <w:r w:rsidR="00F17337">
        <w:rPr>
          <w:sz w:val="24"/>
          <w:szCs w:val="24"/>
        </w:rPr>
        <w:t>outside of, and as an unsustainable negative pressure upon, the niche with which it evolved within planetary ecosystems</w:t>
      </w:r>
      <w:r w:rsidR="00815E51">
        <w:rPr>
          <w:sz w:val="24"/>
          <w:szCs w:val="24"/>
        </w:rPr>
        <w:t xml:space="preserve">, effectively creating a novel human niche (Ellis </w:t>
      </w:r>
      <w:r w:rsidR="00815E51" w:rsidRPr="00815E51">
        <w:rPr>
          <w:i/>
          <w:sz w:val="24"/>
          <w:szCs w:val="24"/>
        </w:rPr>
        <w:t>et al</w:t>
      </w:r>
      <w:r w:rsidR="00815E51">
        <w:rPr>
          <w:sz w:val="24"/>
          <w:szCs w:val="24"/>
        </w:rPr>
        <w:t>., 2016) yet in so doing exerting an overwhelming impact on the structure and functioning of the supportive planetary ecosystems (</w:t>
      </w:r>
      <w:proofErr w:type="spellStart"/>
      <w:r w:rsidR="00815E51" w:rsidRPr="00410C9B">
        <w:rPr>
          <w:rFonts w:cstheme="minorHAnsi"/>
          <w:sz w:val="24"/>
          <w:szCs w:val="24"/>
        </w:rPr>
        <w:t>Crutzen</w:t>
      </w:r>
      <w:proofErr w:type="spellEnd"/>
      <w:r w:rsidR="00815E51">
        <w:rPr>
          <w:rFonts w:cstheme="minorHAnsi"/>
          <w:sz w:val="24"/>
          <w:szCs w:val="24"/>
        </w:rPr>
        <w:t xml:space="preserve"> </w:t>
      </w:r>
      <w:r w:rsidR="00815E51" w:rsidRPr="00410C9B">
        <w:rPr>
          <w:rFonts w:cstheme="minorHAnsi"/>
          <w:sz w:val="24"/>
          <w:szCs w:val="24"/>
        </w:rPr>
        <w:t>and Stoermer, 2000</w:t>
      </w:r>
      <w:r w:rsidR="00815E51">
        <w:rPr>
          <w:rFonts w:cstheme="minorHAnsi"/>
          <w:sz w:val="24"/>
          <w:szCs w:val="24"/>
        </w:rPr>
        <w:t>)</w:t>
      </w:r>
      <w:r w:rsidR="00F17337">
        <w:rPr>
          <w:sz w:val="24"/>
          <w:szCs w:val="24"/>
        </w:rPr>
        <w:t>.</w:t>
      </w:r>
    </w:p>
    <w:p w14:paraId="4ABDC16B" w14:textId="12707D07" w:rsidR="00F57C3D" w:rsidRPr="00D31F3A" w:rsidRDefault="00F57C3D" w:rsidP="00D31F3A">
      <w:pPr>
        <w:spacing w:line="276" w:lineRule="auto"/>
        <w:ind w:right="-188"/>
        <w:rPr>
          <w:sz w:val="24"/>
          <w:szCs w:val="24"/>
        </w:rPr>
      </w:pPr>
      <w:r w:rsidRPr="00D31F3A">
        <w:rPr>
          <w:sz w:val="24"/>
          <w:szCs w:val="24"/>
        </w:rPr>
        <w:t xml:space="preserve">A new </w:t>
      </w:r>
      <w:r w:rsidRPr="0025718D">
        <w:rPr>
          <w:rFonts w:cstheme="minorHAnsi"/>
          <w:sz w:val="24"/>
          <w:szCs w:val="24"/>
        </w:rPr>
        <w:t xml:space="preserve">paradigm of understanding and action is required, regarding ecosystems not as mere receptors of our pressures, to be protected altruistically as a constraint on freedoms, but as fundamental yet currently fast-degrading living capital underpinning all policy areas.  </w:t>
      </w:r>
      <w:r w:rsidR="00253DF5">
        <w:rPr>
          <w:rFonts w:cstheme="minorHAnsi"/>
          <w:sz w:val="24"/>
          <w:szCs w:val="24"/>
        </w:rPr>
        <w:t xml:space="preserve">Achievement of </w:t>
      </w:r>
      <w:r w:rsidR="00634B45" w:rsidRPr="0025718D">
        <w:rPr>
          <w:rFonts w:cstheme="minorHAnsi"/>
          <w:sz w:val="24"/>
          <w:szCs w:val="24"/>
        </w:rPr>
        <w:t xml:space="preserve">a transition to a ‘regenerative landscapes’ paradigm, valuing and ideally restoring </w:t>
      </w:r>
      <w:r w:rsidR="0025718D" w:rsidRPr="0025718D">
        <w:rPr>
          <w:rFonts w:cstheme="minorHAnsi"/>
          <w:sz w:val="24"/>
          <w:szCs w:val="24"/>
        </w:rPr>
        <w:t xml:space="preserve">ecosystems not purely for </w:t>
      </w:r>
      <w:r w:rsidR="00253DF5">
        <w:rPr>
          <w:rFonts w:cstheme="minorHAnsi"/>
          <w:sz w:val="24"/>
          <w:szCs w:val="24"/>
        </w:rPr>
        <w:t xml:space="preserve">intrinsic </w:t>
      </w:r>
      <w:r w:rsidR="0025718D" w:rsidRPr="0025718D">
        <w:rPr>
          <w:rFonts w:cstheme="minorHAnsi"/>
          <w:sz w:val="24"/>
          <w:szCs w:val="24"/>
        </w:rPr>
        <w:t xml:space="preserve">purposes but for their essential </w:t>
      </w:r>
      <w:r w:rsidR="00634B45" w:rsidRPr="0025718D">
        <w:rPr>
          <w:rFonts w:cstheme="minorHAnsi"/>
          <w:sz w:val="24"/>
          <w:szCs w:val="24"/>
        </w:rPr>
        <w:t xml:space="preserve">capacities to support human needs and wellbeing, necessarily depends on a deeper and more widespread understanding about their contributions </w:t>
      </w:r>
      <w:r w:rsidR="00253DF5">
        <w:rPr>
          <w:rFonts w:cstheme="minorHAnsi"/>
          <w:sz w:val="24"/>
          <w:szCs w:val="24"/>
        </w:rPr>
        <w:t xml:space="preserve">to all </w:t>
      </w:r>
      <w:r w:rsidR="00634B45" w:rsidRPr="0025718D">
        <w:rPr>
          <w:rFonts w:cstheme="minorHAnsi"/>
          <w:sz w:val="24"/>
          <w:szCs w:val="24"/>
        </w:rPr>
        <w:t>areas of human activity and interest</w:t>
      </w:r>
      <w:r w:rsidR="0025718D" w:rsidRPr="0025718D">
        <w:rPr>
          <w:rFonts w:cstheme="minorHAnsi"/>
          <w:sz w:val="24"/>
          <w:szCs w:val="24"/>
        </w:rPr>
        <w:t xml:space="preserve"> (Everard, 2020</w:t>
      </w:r>
      <w:r w:rsidR="00D815C0">
        <w:rPr>
          <w:rFonts w:cstheme="minorHAnsi"/>
          <w:sz w:val="24"/>
          <w:szCs w:val="24"/>
        </w:rPr>
        <w:t>a</w:t>
      </w:r>
      <w:r w:rsidR="0025718D" w:rsidRPr="0025718D">
        <w:rPr>
          <w:rFonts w:cstheme="minorHAnsi"/>
          <w:sz w:val="24"/>
          <w:szCs w:val="24"/>
        </w:rPr>
        <w:t>)</w:t>
      </w:r>
      <w:r w:rsidR="00634B45" w:rsidRPr="0025718D">
        <w:rPr>
          <w:rFonts w:cstheme="minorHAnsi"/>
          <w:sz w:val="24"/>
          <w:szCs w:val="24"/>
        </w:rPr>
        <w:t xml:space="preserve">.  </w:t>
      </w:r>
      <w:r w:rsidR="0025718D" w:rsidRPr="0025718D">
        <w:rPr>
          <w:rFonts w:cstheme="minorHAnsi"/>
          <w:sz w:val="24"/>
          <w:szCs w:val="24"/>
        </w:rPr>
        <w:t>T</w:t>
      </w:r>
      <w:r w:rsidRPr="0025718D">
        <w:rPr>
          <w:rFonts w:cstheme="minorHAnsi"/>
          <w:sz w:val="24"/>
          <w:szCs w:val="24"/>
        </w:rPr>
        <w:t>he March 2019 declaration of a 2021-2030 UN Decade on Ecosystem Restoration (UNEP, 2019) recognises the need massively to scale up restoration of degraded and destroyed ecosystems as a proven measure to fight climate change and to enhance food security</w:t>
      </w:r>
      <w:r w:rsidRPr="00D31F3A">
        <w:rPr>
          <w:sz w:val="24"/>
          <w:szCs w:val="24"/>
        </w:rPr>
        <w:t>, water supply and biodiversity.</w:t>
      </w:r>
      <w:r w:rsidR="0025718D">
        <w:rPr>
          <w:sz w:val="24"/>
          <w:szCs w:val="24"/>
        </w:rPr>
        <w:t xml:space="preserve">  </w:t>
      </w:r>
      <w:r w:rsidR="002E6E3D">
        <w:rPr>
          <w:sz w:val="24"/>
          <w:szCs w:val="24"/>
        </w:rPr>
        <w:t>IPBES also promotes a wider conception of the values of nature beyond the instrumental (</w:t>
      </w:r>
      <w:r w:rsidR="002E6E3D" w:rsidRPr="002E6E3D">
        <w:rPr>
          <w:sz w:val="24"/>
          <w:szCs w:val="24"/>
        </w:rPr>
        <w:t>means to achieving a particular end</w:t>
      </w:r>
      <w:r w:rsidR="002E6E3D">
        <w:rPr>
          <w:sz w:val="24"/>
          <w:szCs w:val="24"/>
        </w:rPr>
        <w:t>), also including nature’s intrinsic values as well as its relational values (</w:t>
      </w:r>
      <w:r w:rsidR="002E6E3D" w:rsidRPr="002E6E3D">
        <w:rPr>
          <w:sz w:val="24"/>
          <w:szCs w:val="24"/>
        </w:rPr>
        <w:t>contribut</w:t>
      </w:r>
      <w:r w:rsidR="00AC7A18">
        <w:rPr>
          <w:sz w:val="24"/>
          <w:szCs w:val="24"/>
        </w:rPr>
        <w:t xml:space="preserve">ions </w:t>
      </w:r>
      <w:r w:rsidR="002E6E3D" w:rsidRPr="002E6E3D">
        <w:rPr>
          <w:sz w:val="24"/>
          <w:szCs w:val="24"/>
        </w:rPr>
        <w:t>to desirable relationships</w:t>
      </w:r>
      <w:r w:rsidR="002E6E3D">
        <w:rPr>
          <w:sz w:val="24"/>
          <w:szCs w:val="24"/>
        </w:rPr>
        <w:t xml:space="preserve"> </w:t>
      </w:r>
      <w:r w:rsidR="002E6E3D" w:rsidRPr="002E6E3D">
        <w:rPr>
          <w:sz w:val="24"/>
          <w:szCs w:val="24"/>
        </w:rPr>
        <w:t>among people</w:t>
      </w:r>
      <w:r w:rsidR="002E6E3D">
        <w:rPr>
          <w:sz w:val="24"/>
          <w:szCs w:val="24"/>
        </w:rPr>
        <w:t xml:space="preserve">, </w:t>
      </w:r>
      <w:r w:rsidR="002E6E3D" w:rsidRPr="002E6E3D">
        <w:rPr>
          <w:sz w:val="24"/>
          <w:szCs w:val="24"/>
        </w:rPr>
        <w:t xml:space="preserve">societies and </w:t>
      </w:r>
      <w:r w:rsidR="002E6E3D">
        <w:rPr>
          <w:sz w:val="24"/>
          <w:szCs w:val="24"/>
        </w:rPr>
        <w:t xml:space="preserve">with </w:t>
      </w:r>
      <w:r w:rsidR="002E6E3D" w:rsidRPr="002E6E3D">
        <w:rPr>
          <w:sz w:val="24"/>
          <w:szCs w:val="24"/>
        </w:rPr>
        <w:t>nature</w:t>
      </w:r>
      <w:r w:rsidR="002E6E3D">
        <w:rPr>
          <w:sz w:val="24"/>
          <w:szCs w:val="24"/>
        </w:rPr>
        <w:t xml:space="preserve">).  </w:t>
      </w:r>
      <w:r w:rsidR="0089486E" w:rsidRPr="0089486E">
        <w:rPr>
          <w:sz w:val="24"/>
          <w:szCs w:val="24"/>
        </w:rPr>
        <w:t xml:space="preserve">It is recognised </w:t>
      </w:r>
      <w:r w:rsidR="00253DF5">
        <w:rPr>
          <w:sz w:val="24"/>
          <w:szCs w:val="24"/>
        </w:rPr>
        <w:t>t</w:t>
      </w:r>
      <w:r w:rsidR="00253DF5" w:rsidRPr="0089486E">
        <w:rPr>
          <w:sz w:val="24"/>
          <w:szCs w:val="24"/>
        </w:rPr>
        <w:t xml:space="preserve">hat </w:t>
      </w:r>
      <w:r w:rsidR="0089486E" w:rsidRPr="0089486E">
        <w:rPr>
          <w:sz w:val="24"/>
          <w:szCs w:val="24"/>
        </w:rPr>
        <w:t>t</w:t>
      </w:r>
      <w:r w:rsidR="00253DF5">
        <w:rPr>
          <w:sz w:val="24"/>
          <w:szCs w:val="24"/>
        </w:rPr>
        <w:t xml:space="preserve">hese </w:t>
      </w:r>
      <w:r w:rsidR="0089486E" w:rsidRPr="0089486E">
        <w:rPr>
          <w:sz w:val="24"/>
          <w:szCs w:val="24"/>
        </w:rPr>
        <w:t>instrumental</w:t>
      </w:r>
      <w:r w:rsidR="0089486E">
        <w:rPr>
          <w:sz w:val="24"/>
          <w:szCs w:val="24"/>
        </w:rPr>
        <w:t>, relational</w:t>
      </w:r>
      <w:r w:rsidR="0089486E" w:rsidRPr="0089486E">
        <w:rPr>
          <w:sz w:val="24"/>
          <w:szCs w:val="24"/>
        </w:rPr>
        <w:t xml:space="preserve"> and intrinsic values of nature are coincident across the world.  </w:t>
      </w:r>
      <w:r w:rsidR="0025718D">
        <w:rPr>
          <w:sz w:val="24"/>
          <w:szCs w:val="24"/>
        </w:rPr>
        <w:t xml:space="preserve">These bold aspirations </w:t>
      </w:r>
      <w:r w:rsidR="00E41581">
        <w:rPr>
          <w:sz w:val="24"/>
          <w:szCs w:val="24"/>
        </w:rPr>
        <w:t xml:space="preserve">to </w:t>
      </w:r>
      <w:r w:rsidR="00664B5F">
        <w:rPr>
          <w:sz w:val="24"/>
          <w:szCs w:val="24"/>
        </w:rPr>
        <w:t xml:space="preserve">act upon the diverse values of nature </w:t>
      </w:r>
      <w:r w:rsidR="0025718D">
        <w:rPr>
          <w:sz w:val="24"/>
          <w:szCs w:val="24"/>
        </w:rPr>
        <w:t>follow decades of slow or negligible progress with stated commitments, highlighting a pressing need to find means to break through log-jams to development of novel policies and practices.</w:t>
      </w:r>
    </w:p>
    <w:p w14:paraId="6DDDCDBA" w14:textId="73CB4D18" w:rsidR="00F57C3D" w:rsidRDefault="00F57C3D" w:rsidP="00D31F3A">
      <w:pPr>
        <w:spacing w:line="276" w:lineRule="auto"/>
        <w:ind w:right="-188"/>
        <w:rPr>
          <w:sz w:val="24"/>
          <w:szCs w:val="24"/>
        </w:rPr>
      </w:pPr>
      <w:bookmarkStart w:id="2" w:name="_Toc36225694"/>
      <w:r w:rsidRPr="00D31F3A">
        <w:rPr>
          <w:sz w:val="24"/>
          <w:szCs w:val="24"/>
        </w:rPr>
        <w:t>As we start this UN Decade</w:t>
      </w:r>
      <w:r w:rsidR="00AC7A18">
        <w:rPr>
          <w:sz w:val="24"/>
          <w:szCs w:val="24"/>
        </w:rPr>
        <w:t xml:space="preserve"> </w:t>
      </w:r>
      <w:r w:rsidR="00AC7A18" w:rsidRPr="0025718D">
        <w:rPr>
          <w:rFonts w:cstheme="minorHAnsi"/>
          <w:sz w:val="24"/>
          <w:szCs w:val="24"/>
        </w:rPr>
        <w:t>on Ecosystem Restoration</w:t>
      </w:r>
      <w:r w:rsidRPr="00D31F3A">
        <w:rPr>
          <w:sz w:val="24"/>
          <w:szCs w:val="24"/>
        </w:rPr>
        <w:t xml:space="preserve">, this paper reports the findings of a </w:t>
      </w:r>
      <w:r w:rsidR="00035465">
        <w:rPr>
          <w:sz w:val="24"/>
          <w:szCs w:val="24"/>
        </w:rPr>
        <w:t xml:space="preserve">co-learning process centred on a </w:t>
      </w:r>
      <w:r w:rsidRPr="00D31F3A">
        <w:rPr>
          <w:sz w:val="24"/>
          <w:szCs w:val="24"/>
        </w:rPr>
        <w:t xml:space="preserve">deliberative </w:t>
      </w:r>
      <w:r w:rsidR="008D03A7">
        <w:rPr>
          <w:sz w:val="24"/>
          <w:szCs w:val="24"/>
        </w:rPr>
        <w:t>symposium</w:t>
      </w:r>
      <w:r w:rsidR="00035465">
        <w:rPr>
          <w:sz w:val="24"/>
          <w:szCs w:val="24"/>
        </w:rPr>
        <w:t xml:space="preserve">.  The process was </w:t>
      </w:r>
      <w:r w:rsidR="008D03A7">
        <w:rPr>
          <w:sz w:val="24"/>
          <w:szCs w:val="24"/>
        </w:rPr>
        <w:t xml:space="preserve">based on a </w:t>
      </w:r>
      <w:r w:rsidR="008D03A7" w:rsidRPr="00693E78">
        <w:rPr>
          <w:sz w:val="24"/>
          <w:szCs w:val="24"/>
        </w:rPr>
        <w:t>collaborative learning approach</w:t>
      </w:r>
      <w:r w:rsidR="00A25124">
        <w:rPr>
          <w:sz w:val="24"/>
          <w:szCs w:val="24"/>
        </w:rPr>
        <w:t xml:space="preserve"> (</w:t>
      </w:r>
      <w:r w:rsidR="00616D51" w:rsidRPr="00616D51">
        <w:rPr>
          <w:sz w:val="24"/>
          <w:szCs w:val="24"/>
        </w:rPr>
        <w:t>Vygotsky</w:t>
      </w:r>
      <w:r w:rsidR="00616D51">
        <w:rPr>
          <w:sz w:val="24"/>
          <w:szCs w:val="24"/>
        </w:rPr>
        <w:t>, 1997</w:t>
      </w:r>
      <w:r w:rsidR="003D092B">
        <w:rPr>
          <w:sz w:val="24"/>
          <w:szCs w:val="24"/>
        </w:rPr>
        <w:t>;</w:t>
      </w:r>
      <w:r w:rsidR="00616D51">
        <w:rPr>
          <w:sz w:val="24"/>
          <w:szCs w:val="24"/>
        </w:rPr>
        <w:t xml:space="preserve"> Lee and Bonk, 2014)</w:t>
      </w:r>
      <w:r w:rsidR="008D03A7">
        <w:rPr>
          <w:sz w:val="24"/>
          <w:szCs w:val="24"/>
        </w:rPr>
        <w:t xml:space="preserve">, </w:t>
      </w:r>
      <w:r w:rsidRPr="00D31F3A">
        <w:rPr>
          <w:sz w:val="24"/>
          <w:szCs w:val="24"/>
        </w:rPr>
        <w:t>designed to co-creat</w:t>
      </w:r>
      <w:r w:rsidR="00B1301D">
        <w:rPr>
          <w:sz w:val="24"/>
          <w:szCs w:val="24"/>
        </w:rPr>
        <w:t>e breakthrough insights that can</w:t>
      </w:r>
      <w:r w:rsidRPr="00D31F3A">
        <w:rPr>
          <w:sz w:val="24"/>
          <w:szCs w:val="24"/>
        </w:rPr>
        <w:t xml:space="preserve"> underpin this emerging refocusing of sustainable development towards regeneration of linked human and ecological systems. </w:t>
      </w:r>
      <w:r w:rsidR="008D03A7">
        <w:rPr>
          <w:sz w:val="24"/>
          <w:szCs w:val="24"/>
        </w:rPr>
        <w:t xml:space="preserve"> </w:t>
      </w:r>
      <w:r w:rsidRPr="00D31F3A">
        <w:rPr>
          <w:sz w:val="24"/>
          <w:szCs w:val="24"/>
        </w:rPr>
        <w:t xml:space="preserve">Drawing together </w:t>
      </w:r>
      <w:r w:rsidR="0025718D">
        <w:rPr>
          <w:sz w:val="24"/>
          <w:szCs w:val="24"/>
        </w:rPr>
        <w:t xml:space="preserve">senior </w:t>
      </w:r>
      <w:r w:rsidRPr="00D31F3A">
        <w:rPr>
          <w:sz w:val="24"/>
          <w:szCs w:val="24"/>
        </w:rPr>
        <w:t>experts from across government departments and agencies, national and international NGOs</w:t>
      </w:r>
      <w:r w:rsidR="008D03A7">
        <w:rPr>
          <w:sz w:val="24"/>
          <w:szCs w:val="24"/>
        </w:rPr>
        <w:t>, professional institutions</w:t>
      </w:r>
      <w:r w:rsidRPr="00D31F3A">
        <w:rPr>
          <w:sz w:val="24"/>
          <w:szCs w:val="24"/>
        </w:rPr>
        <w:t xml:space="preserve"> and academia, the </w:t>
      </w:r>
      <w:r w:rsidR="003326A7">
        <w:rPr>
          <w:sz w:val="24"/>
          <w:szCs w:val="24"/>
        </w:rPr>
        <w:t xml:space="preserve">symposium </w:t>
      </w:r>
      <w:r w:rsidR="0025718D">
        <w:rPr>
          <w:sz w:val="24"/>
          <w:szCs w:val="24"/>
        </w:rPr>
        <w:t xml:space="preserve">sought to co-create </w:t>
      </w:r>
      <w:r w:rsidRPr="00D31F3A">
        <w:rPr>
          <w:sz w:val="24"/>
          <w:szCs w:val="24"/>
        </w:rPr>
        <w:t>practical</w:t>
      </w:r>
      <w:r w:rsidR="00035465">
        <w:rPr>
          <w:sz w:val="24"/>
          <w:szCs w:val="24"/>
        </w:rPr>
        <w:t xml:space="preserve">, </w:t>
      </w:r>
      <w:r w:rsidRPr="00D31F3A">
        <w:rPr>
          <w:sz w:val="24"/>
          <w:szCs w:val="24"/>
        </w:rPr>
        <w:t>policy-relevant actionable measure</w:t>
      </w:r>
      <w:r w:rsidR="00035465">
        <w:rPr>
          <w:sz w:val="24"/>
          <w:szCs w:val="24"/>
        </w:rPr>
        <w:t>s</w:t>
      </w:r>
      <w:r w:rsidRPr="00D31F3A">
        <w:rPr>
          <w:sz w:val="24"/>
          <w:szCs w:val="24"/>
        </w:rPr>
        <w:t xml:space="preserve"> and outcomes essential to transformation within policy formulation and practical management. </w:t>
      </w:r>
      <w:r w:rsidR="008D03A7">
        <w:rPr>
          <w:sz w:val="24"/>
          <w:szCs w:val="24"/>
        </w:rPr>
        <w:t xml:space="preserve"> Intended outcomes were, th</w:t>
      </w:r>
      <w:r w:rsidR="003326A7">
        <w:rPr>
          <w:sz w:val="24"/>
          <w:szCs w:val="24"/>
        </w:rPr>
        <w:t>r</w:t>
      </w:r>
      <w:r w:rsidR="008D03A7">
        <w:rPr>
          <w:sz w:val="24"/>
          <w:szCs w:val="24"/>
        </w:rPr>
        <w:t xml:space="preserve">ough </w:t>
      </w:r>
      <w:r w:rsidR="008D03A7" w:rsidRPr="00693E78">
        <w:rPr>
          <w:sz w:val="24"/>
          <w:szCs w:val="24"/>
        </w:rPr>
        <w:t xml:space="preserve">a </w:t>
      </w:r>
      <w:proofErr w:type="spellStart"/>
      <w:r w:rsidR="008D03A7" w:rsidRPr="00693E78">
        <w:rPr>
          <w:sz w:val="24"/>
          <w:szCs w:val="24"/>
        </w:rPr>
        <w:t>backcasting</w:t>
      </w:r>
      <w:proofErr w:type="spellEnd"/>
      <w:r w:rsidR="008D03A7" w:rsidRPr="00693E78">
        <w:rPr>
          <w:sz w:val="24"/>
          <w:szCs w:val="24"/>
        </w:rPr>
        <w:t xml:space="preserve"> approach</w:t>
      </w:r>
      <w:r w:rsidR="008D03A7">
        <w:rPr>
          <w:sz w:val="24"/>
          <w:szCs w:val="24"/>
        </w:rPr>
        <w:t>,</w:t>
      </w:r>
      <w:r w:rsidR="008D03A7" w:rsidRPr="00693E78">
        <w:rPr>
          <w:sz w:val="24"/>
          <w:szCs w:val="24"/>
        </w:rPr>
        <w:t xml:space="preserve"> to develop actionable outcomes required to deliver transformation</w:t>
      </w:r>
      <w:r w:rsidR="00035465">
        <w:rPr>
          <w:sz w:val="24"/>
          <w:szCs w:val="24"/>
        </w:rPr>
        <w:t>al</w:t>
      </w:r>
      <w:r w:rsidR="008D03A7" w:rsidRPr="00693E78">
        <w:rPr>
          <w:sz w:val="24"/>
          <w:szCs w:val="24"/>
        </w:rPr>
        <w:t xml:space="preserve"> change across </w:t>
      </w:r>
      <w:r w:rsidR="008D03A7" w:rsidRPr="00693E78">
        <w:rPr>
          <w:rFonts w:ascii="Calibri" w:eastAsia="Calibri" w:hAnsi="Calibri" w:cs="Times New Roman"/>
          <w:sz w:val="24"/>
          <w:szCs w:val="24"/>
        </w:rPr>
        <w:t xml:space="preserve">state and civil society.  </w:t>
      </w:r>
    </w:p>
    <w:p w14:paraId="3604EDB9" w14:textId="77777777" w:rsidR="0025718D" w:rsidRPr="00D31F3A" w:rsidRDefault="0025718D" w:rsidP="00D31F3A">
      <w:pPr>
        <w:spacing w:line="276" w:lineRule="auto"/>
        <w:ind w:right="-188"/>
        <w:rPr>
          <w:b/>
          <w:sz w:val="24"/>
          <w:szCs w:val="24"/>
        </w:rPr>
      </w:pPr>
    </w:p>
    <w:p w14:paraId="15A4E7D0" w14:textId="1A30B8C2" w:rsidR="00F57C3D" w:rsidRPr="00D31F3A" w:rsidRDefault="00F57C3D" w:rsidP="00D31F3A">
      <w:pPr>
        <w:spacing w:line="276" w:lineRule="auto"/>
        <w:ind w:right="-188"/>
        <w:rPr>
          <w:b/>
          <w:sz w:val="24"/>
          <w:szCs w:val="24"/>
        </w:rPr>
      </w:pPr>
      <w:r w:rsidRPr="00D31F3A">
        <w:rPr>
          <w:b/>
          <w:sz w:val="24"/>
          <w:szCs w:val="24"/>
        </w:rPr>
        <w:t>2. Methods</w:t>
      </w:r>
      <w:bookmarkEnd w:id="2"/>
    </w:p>
    <w:p w14:paraId="53CB13E3" w14:textId="4AACB683" w:rsidR="00F57C3D" w:rsidRPr="00D31F3A" w:rsidRDefault="00F57C3D" w:rsidP="00D31F3A">
      <w:pPr>
        <w:spacing w:after="120" w:line="276" w:lineRule="auto"/>
        <w:ind w:right="-188"/>
        <w:rPr>
          <w:rFonts w:cstheme="minorHAnsi"/>
          <w:color w:val="000000"/>
          <w:sz w:val="24"/>
          <w:szCs w:val="24"/>
        </w:rPr>
      </w:pPr>
      <w:r w:rsidRPr="00D31F3A">
        <w:rPr>
          <w:sz w:val="24"/>
          <w:szCs w:val="24"/>
        </w:rPr>
        <w:t xml:space="preserve">Experts drawn from across government departments and agencies, national and international NGOs and academia attended a symposium in Bristol (UK) during February 2020.  Attendees engaged in a </w:t>
      </w:r>
      <w:r w:rsidRPr="00D31F3A">
        <w:rPr>
          <w:rFonts w:cstheme="minorHAnsi"/>
          <w:sz w:val="24"/>
          <w:szCs w:val="24"/>
        </w:rPr>
        <w:t>collaborative learning and knowledge exchange process (</w:t>
      </w:r>
      <w:r w:rsidRPr="00D31F3A">
        <w:rPr>
          <w:sz w:val="24"/>
          <w:szCs w:val="24"/>
        </w:rPr>
        <w:t xml:space="preserve">Laal and </w:t>
      </w:r>
      <w:proofErr w:type="spellStart"/>
      <w:r w:rsidRPr="00D31F3A">
        <w:rPr>
          <w:sz w:val="24"/>
          <w:szCs w:val="24"/>
        </w:rPr>
        <w:t>Ghodsi</w:t>
      </w:r>
      <w:proofErr w:type="spellEnd"/>
      <w:r w:rsidRPr="00D31F3A">
        <w:rPr>
          <w:sz w:val="24"/>
          <w:szCs w:val="24"/>
        </w:rPr>
        <w:t>, 2012)</w:t>
      </w:r>
      <w:r w:rsidRPr="00D31F3A">
        <w:rPr>
          <w:rFonts w:cstheme="minorHAnsi"/>
          <w:sz w:val="24"/>
          <w:szCs w:val="24"/>
        </w:rPr>
        <w:t xml:space="preserve"> based on deliberati</w:t>
      </w:r>
      <w:r w:rsidR="008D03A7">
        <w:rPr>
          <w:rFonts w:cstheme="minorHAnsi"/>
          <w:sz w:val="24"/>
          <w:szCs w:val="24"/>
        </w:rPr>
        <w:t>ve process.</w:t>
      </w:r>
      <w:r w:rsidRPr="00D31F3A">
        <w:rPr>
          <w:rFonts w:cstheme="minorHAnsi"/>
          <w:sz w:val="24"/>
          <w:szCs w:val="24"/>
        </w:rPr>
        <w:t xml:space="preserve"> </w:t>
      </w:r>
      <w:r w:rsidR="00EA1A2C">
        <w:rPr>
          <w:rFonts w:cstheme="minorHAnsi"/>
          <w:sz w:val="24"/>
          <w:szCs w:val="24"/>
        </w:rPr>
        <w:t xml:space="preserve"> </w:t>
      </w:r>
      <w:r w:rsidRPr="00D31F3A">
        <w:rPr>
          <w:rFonts w:cstheme="minorHAnsi"/>
          <w:sz w:val="24"/>
          <w:szCs w:val="24"/>
        </w:rPr>
        <w:t>Deliberation is understood here as “…the process by which a group of people…</w:t>
      </w:r>
      <w:r w:rsidR="00EA1A2C">
        <w:rPr>
          <w:rFonts w:cstheme="minorHAnsi"/>
          <w:sz w:val="24"/>
          <w:szCs w:val="24"/>
        </w:rPr>
        <w:t xml:space="preserve"> …</w:t>
      </w:r>
      <w:r w:rsidRPr="00D31F3A">
        <w:rPr>
          <w:rFonts w:cstheme="minorHAnsi"/>
          <w:sz w:val="24"/>
          <w:szCs w:val="24"/>
        </w:rPr>
        <w:t>via a process of discussion and debate - reach an agreement” and further, one that is recognised as p</w:t>
      </w:r>
      <w:r w:rsidRPr="00D31F3A">
        <w:rPr>
          <w:rFonts w:cstheme="minorHAnsi"/>
          <w:color w:val="000000"/>
          <w:sz w:val="24"/>
          <w:szCs w:val="24"/>
        </w:rPr>
        <w:t>otentially having a “transformative effect on many if not all aspects of development, and especially in addressing problems of collective action, coordination, and entrenched inequality”</w:t>
      </w:r>
      <w:r w:rsidRPr="00D31F3A">
        <w:rPr>
          <w:rFonts w:cstheme="minorHAnsi"/>
          <w:sz w:val="24"/>
          <w:szCs w:val="24"/>
        </w:rPr>
        <w:t xml:space="preserve"> (Heller and Rao, 2015).</w:t>
      </w:r>
      <w:r w:rsidRPr="00D31F3A">
        <w:rPr>
          <w:rStyle w:val="EndnoteReference"/>
          <w:rFonts w:cstheme="minorHAnsi"/>
          <w:sz w:val="24"/>
          <w:szCs w:val="24"/>
        </w:rPr>
        <w:t xml:space="preserve"> </w:t>
      </w:r>
      <w:r w:rsidR="00236D0B">
        <w:rPr>
          <w:rFonts w:cstheme="minorHAnsi"/>
          <w:sz w:val="24"/>
          <w:szCs w:val="24"/>
        </w:rPr>
        <w:t xml:space="preserve"> Darling </w:t>
      </w:r>
      <w:r w:rsidR="00236D0B" w:rsidRPr="00236D0B">
        <w:rPr>
          <w:rFonts w:cstheme="minorHAnsi"/>
          <w:i/>
          <w:sz w:val="24"/>
          <w:szCs w:val="24"/>
        </w:rPr>
        <w:t>et al</w:t>
      </w:r>
      <w:r w:rsidR="00236D0B">
        <w:rPr>
          <w:rFonts w:cstheme="minorHAnsi"/>
          <w:sz w:val="24"/>
          <w:szCs w:val="24"/>
        </w:rPr>
        <w:t>. (2016) recognise that traditional top-down decision-making is limited in tackling anything other than simple and immediate problems</w:t>
      </w:r>
      <w:r w:rsidR="00573CA0">
        <w:rPr>
          <w:rFonts w:cstheme="minorHAnsi"/>
          <w:sz w:val="24"/>
          <w:szCs w:val="24"/>
        </w:rPr>
        <w:t>;</w:t>
      </w:r>
      <w:r w:rsidR="00236D0B">
        <w:rPr>
          <w:rFonts w:cstheme="minorHAnsi"/>
          <w:sz w:val="24"/>
          <w:szCs w:val="24"/>
        </w:rPr>
        <w:t xml:space="preserve"> structured learning approaches embracing complexity and given adequate</w:t>
      </w:r>
      <w:r w:rsidR="00BE5B34">
        <w:rPr>
          <w:rFonts w:cstheme="minorHAnsi"/>
          <w:sz w:val="24"/>
          <w:szCs w:val="24"/>
        </w:rPr>
        <w:t>,</w:t>
      </w:r>
      <w:r w:rsidR="00236D0B">
        <w:rPr>
          <w:rFonts w:cstheme="minorHAnsi"/>
          <w:sz w:val="24"/>
          <w:szCs w:val="24"/>
        </w:rPr>
        <w:t xml:space="preserve"> </w:t>
      </w:r>
      <w:r w:rsidR="00BE5B34">
        <w:rPr>
          <w:rFonts w:cstheme="minorHAnsi"/>
          <w:sz w:val="24"/>
          <w:szCs w:val="24"/>
        </w:rPr>
        <w:t xml:space="preserve">dedicated </w:t>
      </w:r>
      <w:r w:rsidR="00236D0B">
        <w:rPr>
          <w:rFonts w:cstheme="minorHAnsi"/>
          <w:sz w:val="24"/>
          <w:szCs w:val="24"/>
        </w:rPr>
        <w:t xml:space="preserve">time </w:t>
      </w:r>
      <w:r w:rsidR="00E0231D">
        <w:rPr>
          <w:rFonts w:cstheme="minorHAnsi"/>
          <w:sz w:val="24"/>
          <w:szCs w:val="24"/>
        </w:rPr>
        <w:t xml:space="preserve">offer greater creativity in tackling and developing emergent, novel insights.  Senior managers are frequently identified as presenting the strongest barriers to change </w:t>
      </w:r>
      <w:r w:rsidR="00BE5B34">
        <w:rPr>
          <w:rFonts w:cstheme="minorHAnsi"/>
          <w:sz w:val="24"/>
          <w:szCs w:val="24"/>
        </w:rPr>
        <w:t xml:space="preserve">though conversely with </w:t>
      </w:r>
      <w:r w:rsidR="00E0231D">
        <w:rPr>
          <w:rFonts w:cstheme="minorHAnsi"/>
          <w:sz w:val="24"/>
          <w:szCs w:val="24"/>
        </w:rPr>
        <w:t>the greatest potential to subsequently broker institutional change (</w:t>
      </w:r>
      <w:proofErr w:type="spellStart"/>
      <w:r w:rsidR="00E0231D" w:rsidRPr="00E0231D">
        <w:rPr>
          <w:sz w:val="24"/>
          <w:szCs w:val="24"/>
        </w:rPr>
        <w:t>Zogjani</w:t>
      </w:r>
      <w:proofErr w:type="spellEnd"/>
      <w:r w:rsidR="00E0231D">
        <w:rPr>
          <w:sz w:val="24"/>
          <w:szCs w:val="24"/>
        </w:rPr>
        <w:t xml:space="preserve"> and </w:t>
      </w:r>
      <w:proofErr w:type="spellStart"/>
      <w:r w:rsidR="00E0231D" w:rsidRPr="00E0231D">
        <w:rPr>
          <w:sz w:val="24"/>
          <w:szCs w:val="24"/>
        </w:rPr>
        <w:t>Raçi</w:t>
      </w:r>
      <w:proofErr w:type="spellEnd"/>
      <w:r w:rsidR="00E0231D" w:rsidRPr="00E0231D">
        <w:rPr>
          <w:sz w:val="24"/>
          <w:szCs w:val="24"/>
        </w:rPr>
        <w:t xml:space="preserve">, </w:t>
      </w:r>
      <w:r w:rsidR="00E0231D">
        <w:rPr>
          <w:sz w:val="24"/>
          <w:szCs w:val="24"/>
        </w:rPr>
        <w:t>2015</w:t>
      </w:r>
      <w:r w:rsidR="00E0231D">
        <w:rPr>
          <w:rFonts w:cstheme="minorHAnsi"/>
          <w:sz w:val="24"/>
          <w:szCs w:val="24"/>
        </w:rPr>
        <w:t>), so engagement of a senior, cross-institutional community in a deliberative process ha</w:t>
      </w:r>
      <w:r w:rsidR="00BE5B34">
        <w:rPr>
          <w:rFonts w:cstheme="minorHAnsi"/>
          <w:sz w:val="24"/>
          <w:szCs w:val="24"/>
        </w:rPr>
        <w:t>s</w:t>
      </w:r>
      <w:r w:rsidR="00E0231D">
        <w:rPr>
          <w:rFonts w:cstheme="minorHAnsi"/>
          <w:sz w:val="24"/>
          <w:szCs w:val="24"/>
        </w:rPr>
        <w:t xml:space="preserve"> particular value in addressing complex sustainability challenges.</w:t>
      </w:r>
    </w:p>
    <w:p w14:paraId="17DC05A2" w14:textId="23CDB167" w:rsidR="008D03A7" w:rsidRDefault="00520557" w:rsidP="00D31F3A">
      <w:pPr>
        <w:spacing w:after="120" w:line="276" w:lineRule="auto"/>
        <w:ind w:right="-188"/>
        <w:rPr>
          <w:rFonts w:cstheme="minorHAnsi"/>
          <w:sz w:val="24"/>
          <w:szCs w:val="24"/>
        </w:rPr>
      </w:pPr>
      <w:r>
        <w:rPr>
          <w:rFonts w:cstheme="minorHAnsi"/>
          <w:sz w:val="24"/>
          <w:szCs w:val="24"/>
        </w:rPr>
        <w:t xml:space="preserve">Stimulus inputs to the </w:t>
      </w:r>
      <w:r w:rsidR="00BE5B34">
        <w:rPr>
          <w:rFonts w:cstheme="minorHAnsi"/>
          <w:sz w:val="24"/>
          <w:szCs w:val="24"/>
        </w:rPr>
        <w:t xml:space="preserve">symposium-based </w:t>
      </w:r>
      <w:r w:rsidR="00F57C3D" w:rsidRPr="00D31F3A">
        <w:rPr>
          <w:rFonts w:cstheme="minorHAnsi"/>
          <w:sz w:val="24"/>
          <w:szCs w:val="24"/>
        </w:rPr>
        <w:t xml:space="preserve">deliberation </w:t>
      </w:r>
      <w:r>
        <w:rPr>
          <w:rFonts w:cstheme="minorHAnsi"/>
          <w:sz w:val="24"/>
          <w:szCs w:val="24"/>
        </w:rPr>
        <w:t xml:space="preserve">process included </w:t>
      </w:r>
      <w:r w:rsidR="00F57C3D" w:rsidRPr="00D31F3A">
        <w:rPr>
          <w:sz w:val="24"/>
          <w:szCs w:val="24"/>
        </w:rPr>
        <w:t xml:space="preserve">written information circulated </w:t>
      </w:r>
      <w:r w:rsidR="00BE5B34">
        <w:rPr>
          <w:sz w:val="24"/>
          <w:szCs w:val="24"/>
        </w:rPr>
        <w:t xml:space="preserve">prior to the event </w:t>
      </w:r>
      <w:r w:rsidR="00F57C3D" w:rsidRPr="00D31F3A">
        <w:rPr>
          <w:sz w:val="24"/>
          <w:szCs w:val="24"/>
        </w:rPr>
        <w:t xml:space="preserve">as well as </w:t>
      </w:r>
      <w:r w:rsidR="00BE5B34">
        <w:rPr>
          <w:sz w:val="24"/>
          <w:szCs w:val="24"/>
        </w:rPr>
        <w:t xml:space="preserve">a range of further </w:t>
      </w:r>
      <w:r w:rsidR="00F57C3D" w:rsidRPr="00D31F3A">
        <w:rPr>
          <w:rFonts w:cstheme="minorHAnsi"/>
          <w:sz w:val="24"/>
          <w:szCs w:val="24"/>
        </w:rPr>
        <w:t xml:space="preserve">short </w:t>
      </w:r>
      <w:r w:rsidR="00BE5B34">
        <w:rPr>
          <w:rFonts w:cstheme="minorHAnsi"/>
          <w:sz w:val="24"/>
          <w:szCs w:val="24"/>
        </w:rPr>
        <w:t xml:space="preserve">stimulus </w:t>
      </w:r>
      <w:r w:rsidR="00F57C3D" w:rsidRPr="00D31F3A">
        <w:rPr>
          <w:rFonts w:cstheme="minorHAnsi"/>
          <w:sz w:val="24"/>
          <w:szCs w:val="24"/>
        </w:rPr>
        <w:t>presentations at the outset of the symposium</w:t>
      </w:r>
      <w:r w:rsidR="00035465">
        <w:rPr>
          <w:rFonts w:cstheme="minorHAnsi"/>
          <w:sz w:val="24"/>
          <w:szCs w:val="24"/>
        </w:rPr>
        <w:t>.  B</w:t>
      </w:r>
      <w:r w:rsidR="00EA1A2C">
        <w:rPr>
          <w:rFonts w:cstheme="minorHAnsi"/>
          <w:sz w:val="24"/>
          <w:szCs w:val="24"/>
        </w:rPr>
        <w:t xml:space="preserve">oth </w:t>
      </w:r>
      <w:r w:rsidR="00035465">
        <w:rPr>
          <w:rFonts w:cstheme="minorHAnsi"/>
          <w:sz w:val="24"/>
          <w:szCs w:val="24"/>
        </w:rPr>
        <w:t xml:space="preserve">sets of stimuli </w:t>
      </w:r>
      <w:r w:rsidR="00EA1A2C">
        <w:rPr>
          <w:rFonts w:cstheme="minorHAnsi"/>
          <w:sz w:val="24"/>
          <w:szCs w:val="24"/>
        </w:rPr>
        <w:t>spann</w:t>
      </w:r>
      <w:r w:rsidR="00035465">
        <w:rPr>
          <w:rFonts w:cstheme="minorHAnsi"/>
          <w:sz w:val="24"/>
          <w:szCs w:val="24"/>
        </w:rPr>
        <w:t xml:space="preserve">ed </w:t>
      </w:r>
      <w:r w:rsidR="00EA1A2C">
        <w:rPr>
          <w:rFonts w:cstheme="minorHAnsi"/>
          <w:sz w:val="24"/>
          <w:szCs w:val="24"/>
        </w:rPr>
        <w:t>multiple societal perspectives</w:t>
      </w:r>
      <w:r>
        <w:rPr>
          <w:rFonts w:cstheme="minorHAnsi"/>
          <w:sz w:val="24"/>
          <w:szCs w:val="24"/>
        </w:rPr>
        <w:t xml:space="preserve">, </w:t>
      </w:r>
      <w:r w:rsidR="00BE5B34">
        <w:rPr>
          <w:rFonts w:cstheme="minorHAnsi"/>
          <w:sz w:val="24"/>
          <w:szCs w:val="24"/>
        </w:rPr>
        <w:t xml:space="preserve">substantially </w:t>
      </w:r>
      <w:r w:rsidR="00F57C3D" w:rsidRPr="00D31F3A">
        <w:rPr>
          <w:rFonts w:cstheme="minorHAnsi"/>
          <w:sz w:val="24"/>
          <w:szCs w:val="24"/>
        </w:rPr>
        <w:t xml:space="preserve">documented with supporting references in </w:t>
      </w:r>
      <w:r w:rsidR="008D03A7">
        <w:rPr>
          <w:rFonts w:cstheme="minorHAnsi"/>
          <w:sz w:val="24"/>
          <w:szCs w:val="24"/>
        </w:rPr>
        <w:t>Everard (</w:t>
      </w:r>
      <w:r w:rsidR="00D815C0">
        <w:rPr>
          <w:rFonts w:cstheme="minorHAnsi"/>
          <w:sz w:val="24"/>
          <w:szCs w:val="24"/>
        </w:rPr>
        <w:t>2020b)</w:t>
      </w:r>
      <w:r w:rsidR="00F57C3D" w:rsidRPr="00D31F3A">
        <w:rPr>
          <w:rFonts w:cstheme="minorHAnsi"/>
          <w:sz w:val="24"/>
          <w:szCs w:val="24"/>
        </w:rPr>
        <w:t xml:space="preserve">. </w:t>
      </w:r>
      <w:r w:rsidR="00EA1A2C">
        <w:rPr>
          <w:rFonts w:cstheme="minorHAnsi"/>
          <w:sz w:val="24"/>
          <w:szCs w:val="24"/>
        </w:rPr>
        <w:t xml:space="preserve"> </w:t>
      </w:r>
      <w:r>
        <w:rPr>
          <w:rFonts w:cstheme="minorHAnsi"/>
          <w:sz w:val="24"/>
          <w:szCs w:val="24"/>
        </w:rPr>
        <w:t xml:space="preserve">The range of expertise and </w:t>
      </w:r>
      <w:r w:rsidRPr="00D31F3A">
        <w:rPr>
          <w:rFonts w:cstheme="minorHAnsi"/>
          <w:sz w:val="24"/>
          <w:szCs w:val="24"/>
        </w:rPr>
        <w:t xml:space="preserve">viewpoints </w:t>
      </w:r>
      <w:r w:rsidR="00BE5B34">
        <w:rPr>
          <w:rFonts w:cstheme="minorHAnsi"/>
          <w:sz w:val="24"/>
          <w:szCs w:val="24"/>
        </w:rPr>
        <w:t xml:space="preserve">brought to the event by </w:t>
      </w:r>
      <w:r>
        <w:rPr>
          <w:rFonts w:cstheme="minorHAnsi"/>
          <w:sz w:val="24"/>
          <w:szCs w:val="24"/>
        </w:rPr>
        <w:t xml:space="preserve">the expert participants also constituted important inputs.  Deliberation </w:t>
      </w:r>
      <w:r w:rsidR="00F57C3D" w:rsidRPr="00D31F3A">
        <w:rPr>
          <w:rFonts w:cstheme="minorHAnsi"/>
          <w:sz w:val="24"/>
          <w:szCs w:val="24"/>
        </w:rPr>
        <w:t xml:space="preserve">among participants was </w:t>
      </w:r>
      <w:r>
        <w:rPr>
          <w:rFonts w:cstheme="minorHAnsi"/>
          <w:sz w:val="24"/>
          <w:szCs w:val="24"/>
        </w:rPr>
        <w:t xml:space="preserve">further promoted by </w:t>
      </w:r>
      <w:r w:rsidR="00F57C3D" w:rsidRPr="00D31F3A">
        <w:rPr>
          <w:rFonts w:cstheme="minorHAnsi"/>
          <w:sz w:val="24"/>
          <w:szCs w:val="24"/>
        </w:rPr>
        <w:t xml:space="preserve">adherence to the </w:t>
      </w:r>
      <w:r w:rsidR="008D03A7">
        <w:rPr>
          <w:rFonts w:cstheme="minorHAnsi"/>
          <w:sz w:val="24"/>
          <w:szCs w:val="24"/>
        </w:rPr>
        <w:t xml:space="preserve">Chatham House Rule, specifically including </w:t>
      </w:r>
      <w:r w:rsidR="00F57C3D" w:rsidRPr="00D31F3A">
        <w:rPr>
          <w:rFonts w:cstheme="minorHAnsi"/>
          <w:sz w:val="24"/>
          <w:szCs w:val="24"/>
        </w:rPr>
        <w:t>non-attribution of points to specific individuals</w:t>
      </w:r>
      <w:r w:rsidR="00AE1EE2">
        <w:rPr>
          <w:rFonts w:cstheme="minorHAnsi"/>
          <w:sz w:val="24"/>
          <w:szCs w:val="24"/>
        </w:rPr>
        <w:t xml:space="preserve"> outside of the symposium</w:t>
      </w:r>
      <w:r w:rsidR="00F57C3D" w:rsidRPr="00D31F3A">
        <w:rPr>
          <w:rFonts w:cstheme="minorHAnsi"/>
          <w:sz w:val="24"/>
          <w:szCs w:val="24"/>
        </w:rPr>
        <w:t>.</w:t>
      </w:r>
    </w:p>
    <w:p w14:paraId="48BB731B" w14:textId="53AA75E9" w:rsidR="00F57C3D" w:rsidRPr="00D31F3A" w:rsidRDefault="00AE1EE2" w:rsidP="00C661E1">
      <w:pPr>
        <w:spacing w:after="120" w:line="276" w:lineRule="auto"/>
        <w:ind w:right="-188"/>
        <w:rPr>
          <w:rFonts w:cstheme="minorHAnsi"/>
          <w:sz w:val="24"/>
          <w:szCs w:val="24"/>
        </w:rPr>
      </w:pPr>
      <w:r>
        <w:rPr>
          <w:rFonts w:cstheme="minorHAnsi"/>
          <w:sz w:val="24"/>
          <w:szCs w:val="24"/>
        </w:rPr>
        <w:t>Over two syndicate group cycles, p</w:t>
      </w:r>
      <w:r w:rsidR="00F57C3D" w:rsidRPr="00D31F3A">
        <w:rPr>
          <w:rFonts w:cstheme="minorHAnsi"/>
          <w:sz w:val="24"/>
          <w:szCs w:val="24"/>
        </w:rPr>
        <w:t>articipants were divided into t</w:t>
      </w:r>
      <w:r w:rsidR="00B538DE">
        <w:rPr>
          <w:rFonts w:cstheme="minorHAnsi"/>
          <w:sz w:val="24"/>
          <w:szCs w:val="24"/>
        </w:rPr>
        <w:t>hree</w:t>
      </w:r>
      <w:r w:rsidR="00F57C3D" w:rsidRPr="00D31F3A">
        <w:rPr>
          <w:rFonts w:cstheme="minorHAnsi"/>
          <w:sz w:val="24"/>
          <w:szCs w:val="24"/>
        </w:rPr>
        <w:t xml:space="preserve"> </w:t>
      </w:r>
      <w:r w:rsidR="00F57C3D" w:rsidRPr="00C661E1">
        <w:rPr>
          <w:rFonts w:cstheme="minorHAnsi"/>
          <w:sz w:val="24"/>
          <w:szCs w:val="24"/>
        </w:rPr>
        <w:t>deliberative</w:t>
      </w:r>
      <w:r w:rsidR="00F57C3D" w:rsidRPr="00D31F3A">
        <w:rPr>
          <w:rFonts w:cstheme="minorHAnsi"/>
          <w:sz w:val="24"/>
          <w:szCs w:val="24"/>
        </w:rPr>
        <w:t xml:space="preserve"> working groups to develop </w:t>
      </w:r>
      <w:r w:rsidR="00F57C3D" w:rsidRPr="00C661E1">
        <w:rPr>
          <w:rFonts w:cstheme="minorHAnsi"/>
          <w:sz w:val="24"/>
          <w:szCs w:val="24"/>
        </w:rPr>
        <w:t>emergent co-learning</w:t>
      </w:r>
      <w:r w:rsidR="00F57C3D" w:rsidRPr="00D31F3A">
        <w:rPr>
          <w:rFonts w:cstheme="minorHAnsi"/>
          <w:sz w:val="24"/>
          <w:szCs w:val="24"/>
        </w:rPr>
        <w:t xml:space="preserve"> </w:t>
      </w:r>
      <w:r w:rsidR="00C661E1">
        <w:rPr>
          <w:rFonts w:cstheme="minorHAnsi"/>
          <w:sz w:val="24"/>
          <w:szCs w:val="24"/>
        </w:rPr>
        <w:t>(Wood and Gray, 1991</w:t>
      </w:r>
      <w:r w:rsidR="00DE45B6">
        <w:rPr>
          <w:rFonts w:cstheme="minorHAnsi"/>
          <w:sz w:val="24"/>
          <w:szCs w:val="24"/>
        </w:rPr>
        <w:t>;</w:t>
      </w:r>
      <w:r w:rsidR="00C661E1">
        <w:rPr>
          <w:rFonts w:cstheme="minorHAnsi"/>
          <w:sz w:val="24"/>
          <w:szCs w:val="24"/>
        </w:rPr>
        <w:t xml:space="preserve"> Lee and Bonk, 2014) and </w:t>
      </w:r>
      <w:r w:rsidR="00BE5B34">
        <w:rPr>
          <w:rFonts w:cstheme="minorHAnsi"/>
          <w:sz w:val="24"/>
          <w:szCs w:val="24"/>
        </w:rPr>
        <w:t xml:space="preserve">to </w:t>
      </w:r>
      <w:r w:rsidR="00C661E1">
        <w:rPr>
          <w:rFonts w:cstheme="minorHAnsi"/>
          <w:sz w:val="24"/>
          <w:szCs w:val="24"/>
        </w:rPr>
        <w:t xml:space="preserve">enable and improve critical thinking (Gokhale, 1995).  In this process, the working groups </w:t>
      </w:r>
      <w:r w:rsidR="00F57C3D" w:rsidRPr="00D31F3A">
        <w:rPr>
          <w:rFonts w:cstheme="minorHAnsi"/>
          <w:sz w:val="24"/>
          <w:szCs w:val="24"/>
        </w:rPr>
        <w:t>focused on the development of “transition pathway narratives”, in preference to narrower forms of conceptual development (</w:t>
      </w:r>
      <w:proofErr w:type="spellStart"/>
      <w:r w:rsidR="00F57C3D" w:rsidRPr="00D31F3A">
        <w:rPr>
          <w:rFonts w:cstheme="minorHAnsi"/>
          <w:sz w:val="24"/>
          <w:szCs w:val="24"/>
        </w:rPr>
        <w:t>Luederitz</w:t>
      </w:r>
      <w:proofErr w:type="spellEnd"/>
      <w:r w:rsidR="00F57C3D" w:rsidRPr="00D31F3A">
        <w:rPr>
          <w:rFonts w:cstheme="minorHAnsi"/>
          <w:sz w:val="24"/>
          <w:szCs w:val="24"/>
        </w:rPr>
        <w:t xml:space="preserve"> </w:t>
      </w:r>
      <w:r w:rsidR="00F57C3D" w:rsidRPr="00D31F3A">
        <w:rPr>
          <w:rFonts w:cstheme="minorHAnsi"/>
          <w:i/>
          <w:sz w:val="24"/>
          <w:szCs w:val="24"/>
        </w:rPr>
        <w:t xml:space="preserve">et al., </w:t>
      </w:r>
      <w:r w:rsidR="00F57C3D" w:rsidRPr="00D31F3A">
        <w:rPr>
          <w:rFonts w:cstheme="minorHAnsi"/>
          <w:sz w:val="24"/>
          <w:szCs w:val="24"/>
        </w:rPr>
        <w:t xml:space="preserve">2017). </w:t>
      </w:r>
      <w:r w:rsidR="00B538DE">
        <w:rPr>
          <w:rFonts w:cstheme="minorHAnsi"/>
          <w:sz w:val="24"/>
          <w:szCs w:val="24"/>
        </w:rPr>
        <w:t xml:space="preserve"> </w:t>
      </w:r>
      <w:r>
        <w:rPr>
          <w:rFonts w:cstheme="minorHAnsi"/>
          <w:sz w:val="24"/>
          <w:szCs w:val="24"/>
        </w:rPr>
        <w:t>A</w:t>
      </w:r>
      <w:r w:rsidR="00F57C3D" w:rsidRPr="00D31F3A">
        <w:rPr>
          <w:rFonts w:cstheme="minorHAnsi"/>
          <w:sz w:val="24"/>
          <w:szCs w:val="24"/>
        </w:rPr>
        <w:t xml:space="preserve">n important element of the </w:t>
      </w:r>
      <w:r>
        <w:rPr>
          <w:rFonts w:cstheme="minorHAnsi"/>
          <w:sz w:val="24"/>
          <w:szCs w:val="24"/>
        </w:rPr>
        <w:t xml:space="preserve">entire </w:t>
      </w:r>
      <w:r w:rsidR="00F57C3D" w:rsidRPr="00D31F3A">
        <w:rPr>
          <w:rFonts w:cstheme="minorHAnsi"/>
          <w:sz w:val="24"/>
          <w:szCs w:val="24"/>
        </w:rPr>
        <w:t xml:space="preserve">process was to </w:t>
      </w:r>
      <w:proofErr w:type="spellStart"/>
      <w:r w:rsidR="00F57C3D" w:rsidRPr="009A3D55">
        <w:rPr>
          <w:rFonts w:cstheme="minorHAnsi"/>
          <w:sz w:val="24"/>
          <w:szCs w:val="24"/>
        </w:rPr>
        <w:t>backcast</w:t>
      </w:r>
      <w:proofErr w:type="spellEnd"/>
      <w:r w:rsidR="00F57C3D" w:rsidRPr="00D31F3A">
        <w:rPr>
          <w:rFonts w:cstheme="minorHAnsi"/>
          <w:sz w:val="24"/>
          <w:szCs w:val="24"/>
        </w:rPr>
        <w:t xml:space="preserve"> from success to identify actionable outcomes (not </w:t>
      </w:r>
      <w:r w:rsidR="00BE5B34">
        <w:rPr>
          <w:rFonts w:cstheme="minorHAnsi"/>
          <w:sz w:val="24"/>
          <w:szCs w:val="24"/>
        </w:rPr>
        <w:t>simply to</w:t>
      </w:r>
      <w:r w:rsidR="00F57C3D" w:rsidRPr="00D31F3A">
        <w:rPr>
          <w:rFonts w:cstheme="minorHAnsi"/>
          <w:sz w:val="24"/>
          <w:szCs w:val="24"/>
        </w:rPr>
        <w:t xml:space="preserve"> describ</w:t>
      </w:r>
      <w:r w:rsidR="00BE5B34">
        <w:rPr>
          <w:rFonts w:cstheme="minorHAnsi"/>
          <w:sz w:val="24"/>
          <w:szCs w:val="24"/>
        </w:rPr>
        <w:t>e</w:t>
      </w:r>
      <w:r w:rsidR="00F57C3D" w:rsidRPr="00D31F3A">
        <w:rPr>
          <w:rFonts w:cstheme="minorHAnsi"/>
          <w:sz w:val="24"/>
          <w:szCs w:val="24"/>
        </w:rPr>
        <w:t xml:space="preserve"> barriers) that would drive societal transition towards regenerative policy and practice valuing, protecting and restoring interlinked prospects for ecosystems and future human security.</w:t>
      </w:r>
    </w:p>
    <w:p w14:paraId="7B37ADAE" w14:textId="00C0CF06" w:rsidR="00F57C3D" w:rsidRPr="00D31F3A" w:rsidRDefault="00F57C3D" w:rsidP="00D31F3A">
      <w:pPr>
        <w:shd w:val="clear" w:color="auto" w:fill="FFFFFF"/>
        <w:spacing w:line="276" w:lineRule="auto"/>
        <w:ind w:right="-188"/>
        <w:rPr>
          <w:rFonts w:cstheme="minorHAnsi"/>
          <w:sz w:val="24"/>
          <w:szCs w:val="24"/>
        </w:rPr>
      </w:pPr>
      <w:r w:rsidRPr="00D31F3A">
        <w:rPr>
          <w:rFonts w:cstheme="minorHAnsi"/>
          <w:sz w:val="24"/>
          <w:szCs w:val="24"/>
        </w:rPr>
        <w:t>In the first of t</w:t>
      </w:r>
      <w:r w:rsidR="00AE1EE2">
        <w:rPr>
          <w:rFonts w:cstheme="minorHAnsi"/>
          <w:sz w:val="24"/>
          <w:szCs w:val="24"/>
        </w:rPr>
        <w:t>he t</w:t>
      </w:r>
      <w:r w:rsidRPr="00D31F3A">
        <w:rPr>
          <w:rFonts w:cstheme="minorHAnsi"/>
          <w:sz w:val="24"/>
          <w:szCs w:val="24"/>
        </w:rPr>
        <w:t>wo parallel working group sessions, symposium participants self-organised to address some of the key issues arising from stimulus presentations and prior written inputs</w:t>
      </w:r>
      <w:r w:rsidR="00AE1EE2">
        <w:rPr>
          <w:rFonts w:cstheme="minorHAnsi"/>
          <w:sz w:val="24"/>
          <w:szCs w:val="24"/>
        </w:rPr>
        <w:t xml:space="preserve">, </w:t>
      </w:r>
      <w:bookmarkStart w:id="3" w:name="_Hlk46855383"/>
      <w:r w:rsidR="002255D4">
        <w:rPr>
          <w:rFonts w:cstheme="minorHAnsi"/>
          <w:sz w:val="24"/>
          <w:szCs w:val="24"/>
        </w:rPr>
        <w:t>also informed by</w:t>
      </w:r>
      <w:r w:rsidR="00AE1EE2">
        <w:rPr>
          <w:rFonts w:cstheme="minorHAnsi"/>
          <w:sz w:val="24"/>
          <w:szCs w:val="24"/>
        </w:rPr>
        <w:t xml:space="preserve"> </w:t>
      </w:r>
      <w:bookmarkEnd w:id="3"/>
      <w:r w:rsidR="00AE1EE2">
        <w:rPr>
          <w:rFonts w:cstheme="minorHAnsi"/>
          <w:sz w:val="24"/>
          <w:szCs w:val="24"/>
        </w:rPr>
        <w:t>their own collective knowledge</w:t>
      </w:r>
      <w:r w:rsidRPr="00D31F3A">
        <w:rPr>
          <w:rFonts w:cstheme="minorHAnsi"/>
          <w:sz w:val="24"/>
          <w:szCs w:val="24"/>
        </w:rPr>
        <w:t>.  They were invited to a consider learning questions including: “</w:t>
      </w:r>
      <w:r w:rsidRPr="00D31F3A">
        <w:rPr>
          <w:rFonts w:cstheme="minorHAnsi"/>
          <w:i/>
          <w:sz w:val="24"/>
          <w:szCs w:val="24"/>
        </w:rPr>
        <w:t>Where have we made lasting progress</w:t>
      </w:r>
      <w:r w:rsidRPr="00D31F3A">
        <w:rPr>
          <w:rFonts w:cstheme="minorHAnsi"/>
          <w:sz w:val="24"/>
          <w:szCs w:val="24"/>
        </w:rPr>
        <w:t>?”; “</w:t>
      </w:r>
      <w:r w:rsidRPr="00D31F3A">
        <w:rPr>
          <w:rFonts w:cstheme="minorHAnsi"/>
          <w:i/>
          <w:sz w:val="24"/>
          <w:szCs w:val="24"/>
        </w:rPr>
        <w:t>Where do we need most to make progress</w:t>
      </w:r>
      <w:r w:rsidRPr="00D31F3A">
        <w:rPr>
          <w:rFonts w:cstheme="minorHAnsi"/>
          <w:sz w:val="24"/>
          <w:szCs w:val="24"/>
        </w:rPr>
        <w:t>?”; “</w:t>
      </w:r>
      <w:r w:rsidRPr="00D31F3A">
        <w:rPr>
          <w:rFonts w:cstheme="minorHAnsi"/>
          <w:i/>
          <w:sz w:val="24"/>
          <w:szCs w:val="24"/>
        </w:rPr>
        <w:t xml:space="preserve">What are the ‘low hanging’ </w:t>
      </w:r>
      <w:r w:rsidRPr="00D31F3A">
        <w:rPr>
          <w:rFonts w:cstheme="minorHAnsi"/>
          <w:i/>
          <w:sz w:val="24"/>
          <w:szCs w:val="24"/>
          <w:u w:val="single"/>
        </w:rPr>
        <w:t>but powerful</w:t>
      </w:r>
      <w:r w:rsidRPr="00D31F3A">
        <w:rPr>
          <w:rFonts w:cstheme="minorHAnsi"/>
          <w:i/>
          <w:sz w:val="24"/>
          <w:szCs w:val="24"/>
        </w:rPr>
        <w:t xml:space="preserve"> intervention points in complex systems?</w:t>
      </w:r>
      <w:r w:rsidRPr="00D31F3A">
        <w:rPr>
          <w:rFonts w:cstheme="minorHAnsi"/>
          <w:sz w:val="24"/>
          <w:szCs w:val="24"/>
        </w:rPr>
        <w:t>”; and “</w:t>
      </w:r>
      <w:r w:rsidRPr="00D31F3A">
        <w:rPr>
          <w:rFonts w:cstheme="minorHAnsi"/>
          <w:i/>
          <w:sz w:val="24"/>
          <w:szCs w:val="24"/>
        </w:rPr>
        <w:t>How do we transfer lessons from successes?</w:t>
      </w:r>
      <w:r w:rsidRPr="00D31F3A">
        <w:rPr>
          <w:rFonts w:cstheme="minorHAnsi"/>
          <w:sz w:val="24"/>
          <w:szCs w:val="24"/>
        </w:rPr>
        <w:t xml:space="preserve">”  Feedback and ensuing discussions </w:t>
      </w:r>
      <w:r w:rsidR="00CB6BD9">
        <w:rPr>
          <w:rFonts w:cstheme="minorHAnsi"/>
          <w:sz w:val="24"/>
          <w:szCs w:val="24"/>
        </w:rPr>
        <w:t xml:space="preserve">in plenary </w:t>
      </w:r>
      <w:r w:rsidRPr="00D31F3A">
        <w:rPr>
          <w:rFonts w:cstheme="minorHAnsi"/>
          <w:sz w:val="24"/>
          <w:szCs w:val="24"/>
        </w:rPr>
        <w:t xml:space="preserve">from this first round of working groups </w:t>
      </w:r>
      <w:r w:rsidR="00CB6BD9">
        <w:rPr>
          <w:rFonts w:cstheme="minorHAnsi"/>
          <w:sz w:val="24"/>
          <w:szCs w:val="24"/>
        </w:rPr>
        <w:t xml:space="preserve">drew out a range of key learning themes as described in the </w:t>
      </w:r>
      <w:r w:rsidR="00AE1EE2">
        <w:rPr>
          <w:rFonts w:cstheme="minorHAnsi"/>
          <w:sz w:val="24"/>
          <w:szCs w:val="24"/>
        </w:rPr>
        <w:t xml:space="preserve">Results </w:t>
      </w:r>
      <w:r w:rsidRPr="00D31F3A">
        <w:rPr>
          <w:rFonts w:cstheme="minorHAnsi"/>
          <w:sz w:val="24"/>
          <w:szCs w:val="24"/>
        </w:rPr>
        <w:t>section.</w:t>
      </w:r>
    </w:p>
    <w:p w14:paraId="7F651C1A" w14:textId="669D578C" w:rsidR="00520557" w:rsidRPr="006125C4" w:rsidRDefault="00520557" w:rsidP="006125C4">
      <w:pPr>
        <w:spacing w:line="276" w:lineRule="auto"/>
        <w:ind w:right="-188"/>
        <w:rPr>
          <w:sz w:val="24"/>
          <w:szCs w:val="24"/>
        </w:rPr>
      </w:pPr>
      <w:r w:rsidRPr="006125C4">
        <w:rPr>
          <w:rFonts w:cstheme="minorHAnsi"/>
          <w:sz w:val="24"/>
          <w:szCs w:val="24"/>
        </w:rPr>
        <w:t>Strategic topics emerging from this first working group session fell into three broad groups</w:t>
      </w:r>
      <w:r w:rsidRPr="006125C4">
        <w:rPr>
          <w:sz w:val="24"/>
          <w:szCs w:val="24"/>
        </w:rPr>
        <w:t xml:space="preserve">: land use; urban development, and ecosystems and health.  These were then explored in more detail by a second </w:t>
      </w:r>
      <w:r w:rsidRPr="006125C4">
        <w:rPr>
          <w:rFonts w:cstheme="minorHAnsi"/>
          <w:sz w:val="24"/>
          <w:szCs w:val="24"/>
        </w:rPr>
        <w:t xml:space="preserve">session of </w:t>
      </w:r>
      <w:r w:rsidRPr="006125C4">
        <w:rPr>
          <w:sz w:val="24"/>
          <w:szCs w:val="24"/>
        </w:rPr>
        <w:t xml:space="preserve">three </w:t>
      </w:r>
      <w:r w:rsidR="00AE1EE2" w:rsidRPr="006125C4">
        <w:rPr>
          <w:sz w:val="24"/>
          <w:szCs w:val="24"/>
        </w:rPr>
        <w:t xml:space="preserve">parallel </w:t>
      </w:r>
      <w:r w:rsidRPr="006125C4">
        <w:rPr>
          <w:sz w:val="24"/>
          <w:szCs w:val="24"/>
        </w:rPr>
        <w:t>working groups, self-selected by participants</w:t>
      </w:r>
      <w:r w:rsidRPr="006125C4">
        <w:rPr>
          <w:rFonts w:cstheme="minorHAnsi"/>
          <w:sz w:val="24"/>
          <w:szCs w:val="24"/>
        </w:rPr>
        <w:t xml:space="preserve"> for further deliberation and co-learning</w:t>
      </w:r>
      <w:r w:rsidRPr="006125C4">
        <w:rPr>
          <w:sz w:val="24"/>
          <w:szCs w:val="24"/>
        </w:rPr>
        <w:t>.  This second deliberative round was followed by a plenary discussion to draw out key learning points, with a focus on deriving actionable outcomes for policy and practice</w:t>
      </w:r>
      <w:r w:rsidR="006125C4" w:rsidRPr="006125C4">
        <w:rPr>
          <w:sz w:val="24"/>
          <w:szCs w:val="24"/>
        </w:rPr>
        <w:t xml:space="preserve"> also acknowledging the interconnectedness between and blurred boundaries around </w:t>
      </w:r>
      <w:r w:rsidR="00BE5B34">
        <w:rPr>
          <w:sz w:val="24"/>
          <w:szCs w:val="24"/>
        </w:rPr>
        <w:t>societal policy divisions</w:t>
      </w:r>
      <w:r w:rsidR="006125C4" w:rsidRPr="006125C4">
        <w:rPr>
          <w:sz w:val="24"/>
          <w:szCs w:val="24"/>
        </w:rPr>
        <w:t>.</w:t>
      </w:r>
      <w:r w:rsidRPr="006125C4">
        <w:rPr>
          <w:sz w:val="24"/>
          <w:szCs w:val="24"/>
        </w:rPr>
        <w:t xml:space="preserve">  Feedback from the concluding plenary session is predominantly </w:t>
      </w:r>
      <w:r w:rsidR="00CB6BD9" w:rsidRPr="006125C4">
        <w:rPr>
          <w:sz w:val="24"/>
          <w:szCs w:val="24"/>
        </w:rPr>
        <w:t xml:space="preserve">stratified </w:t>
      </w:r>
      <w:r w:rsidRPr="006125C4">
        <w:rPr>
          <w:sz w:val="24"/>
          <w:szCs w:val="24"/>
        </w:rPr>
        <w:t xml:space="preserve">by societal policy sectors in the </w:t>
      </w:r>
      <w:r w:rsidR="00CB6BD9" w:rsidRPr="006125C4">
        <w:rPr>
          <w:sz w:val="24"/>
          <w:szCs w:val="24"/>
        </w:rPr>
        <w:t xml:space="preserve">following </w:t>
      </w:r>
      <w:r w:rsidRPr="006125C4">
        <w:rPr>
          <w:sz w:val="24"/>
          <w:szCs w:val="24"/>
        </w:rPr>
        <w:t xml:space="preserve">Results </w:t>
      </w:r>
      <w:r w:rsidR="00CB6BD9" w:rsidRPr="006125C4">
        <w:rPr>
          <w:sz w:val="24"/>
          <w:szCs w:val="24"/>
        </w:rPr>
        <w:t>s</w:t>
      </w:r>
      <w:r w:rsidRPr="006125C4">
        <w:rPr>
          <w:sz w:val="24"/>
          <w:szCs w:val="24"/>
        </w:rPr>
        <w:t>ection.</w:t>
      </w:r>
    </w:p>
    <w:p w14:paraId="513ACAC5" w14:textId="77777777" w:rsidR="00B538DE" w:rsidRPr="00D31F3A" w:rsidRDefault="00B538DE" w:rsidP="00D31F3A">
      <w:pPr>
        <w:spacing w:line="276" w:lineRule="auto"/>
        <w:ind w:right="-188"/>
        <w:rPr>
          <w:sz w:val="24"/>
          <w:szCs w:val="24"/>
        </w:rPr>
      </w:pPr>
    </w:p>
    <w:p w14:paraId="3B58FFD7" w14:textId="4BF3DA27" w:rsidR="00F57C3D" w:rsidRPr="00D31F3A" w:rsidRDefault="00F57C3D" w:rsidP="00D31F3A">
      <w:pPr>
        <w:spacing w:line="276" w:lineRule="auto"/>
        <w:ind w:right="-188"/>
        <w:rPr>
          <w:b/>
          <w:sz w:val="24"/>
          <w:szCs w:val="24"/>
        </w:rPr>
      </w:pPr>
      <w:bookmarkStart w:id="4" w:name="_Toc36225699"/>
      <w:r w:rsidRPr="00D31F3A">
        <w:rPr>
          <w:b/>
          <w:sz w:val="24"/>
          <w:szCs w:val="24"/>
        </w:rPr>
        <w:t>3. Results</w:t>
      </w:r>
      <w:bookmarkEnd w:id="4"/>
    </w:p>
    <w:p w14:paraId="1D70DAC9" w14:textId="5A955356" w:rsidR="0083237C" w:rsidRDefault="0083237C" w:rsidP="00D31F3A">
      <w:pPr>
        <w:spacing w:line="276" w:lineRule="auto"/>
        <w:ind w:right="-188"/>
        <w:rPr>
          <w:sz w:val="24"/>
          <w:szCs w:val="24"/>
        </w:rPr>
      </w:pPr>
      <w:r>
        <w:rPr>
          <w:sz w:val="24"/>
          <w:szCs w:val="24"/>
        </w:rPr>
        <w:t>Input materials, including pre-symposium documents and stimulus presentations, as well as examples brought to working groups by expert participants</w:t>
      </w:r>
      <w:r w:rsidR="00CB6BD9">
        <w:rPr>
          <w:sz w:val="24"/>
          <w:szCs w:val="24"/>
        </w:rPr>
        <w:t>,</w:t>
      </w:r>
      <w:r>
        <w:rPr>
          <w:sz w:val="24"/>
          <w:szCs w:val="24"/>
        </w:rPr>
        <w:t xml:space="preserve"> </w:t>
      </w:r>
      <w:r w:rsidR="00CB6BD9">
        <w:rPr>
          <w:sz w:val="24"/>
          <w:szCs w:val="24"/>
        </w:rPr>
        <w:t xml:space="preserve">showcased </w:t>
      </w:r>
      <w:r>
        <w:rPr>
          <w:sz w:val="24"/>
          <w:szCs w:val="24"/>
        </w:rPr>
        <w:t xml:space="preserve">a broad range of exemplar case studies where an ecosystem-based approach had delivered tangible and enduring benefits to people.  These </w:t>
      </w:r>
      <w:r w:rsidR="00CB6BD9">
        <w:rPr>
          <w:sz w:val="24"/>
          <w:szCs w:val="24"/>
        </w:rPr>
        <w:t xml:space="preserve">ranged from developing to developed nations, such as: the reframing </w:t>
      </w:r>
      <w:r>
        <w:rPr>
          <w:sz w:val="24"/>
          <w:szCs w:val="24"/>
        </w:rPr>
        <w:t>of a new ‘green economy’ embedding greater water, food energy and energy security for the Australian city of Adelaide (City of Adelaide, 2020)</w:t>
      </w:r>
      <w:r w:rsidR="00CB6BD9">
        <w:rPr>
          <w:sz w:val="24"/>
          <w:szCs w:val="24"/>
        </w:rPr>
        <w:t xml:space="preserve">; </w:t>
      </w:r>
      <w:r>
        <w:rPr>
          <w:sz w:val="24"/>
          <w:szCs w:val="24"/>
        </w:rPr>
        <w:t>highly localised solutions such as communal village groundwater recharge practices</w:t>
      </w:r>
      <w:r w:rsidR="00CB6BD9">
        <w:rPr>
          <w:sz w:val="24"/>
          <w:szCs w:val="24"/>
        </w:rPr>
        <w:t xml:space="preserve">; </w:t>
      </w:r>
      <w:r>
        <w:rPr>
          <w:sz w:val="24"/>
          <w:szCs w:val="24"/>
        </w:rPr>
        <w:t>large landscape</w:t>
      </w:r>
      <w:r w:rsidR="00AE1EE2">
        <w:rPr>
          <w:sz w:val="24"/>
          <w:szCs w:val="24"/>
        </w:rPr>
        <w:t>-</w:t>
      </w:r>
      <w:r>
        <w:rPr>
          <w:sz w:val="24"/>
          <w:szCs w:val="24"/>
        </w:rPr>
        <w:t>scale solutions (including Africa’s ‘Great Green Wall’ and China’s Loess Plateau)</w:t>
      </w:r>
      <w:r w:rsidR="00CB6BD9">
        <w:rPr>
          <w:sz w:val="24"/>
          <w:szCs w:val="24"/>
        </w:rPr>
        <w:t xml:space="preserve">; and examples from </w:t>
      </w:r>
      <w:r>
        <w:rPr>
          <w:sz w:val="24"/>
          <w:szCs w:val="24"/>
        </w:rPr>
        <w:t>both urban (particularly a diversity of ‘green infrastructure’ solutions) and rural settings</w:t>
      </w:r>
      <w:r w:rsidR="00AE1EE2">
        <w:rPr>
          <w:sz w:val="24"/>
          <w:szCs w:val="24"/>
        </w:rPr>
        <w:t>.  M</w:t>
      </w:r>
      <w:r>
        <w:rPr>
          <w:sz w:val="24"/>
          <w:szCs w:val="24"/>
        </w:rPr>
        <w:t xml:space="preserve">any of these exemplars </w:t>
      </w:r>
      <w:r w:rsidR="00AE1EE2">
        <w:rPr>
          <w:sz w:val="24"/>
          <w:szCs w:val="24"/>
        </w:rPr>
        <w:t xml:space="preserve">are </w:t>
      </w:r>
      <w:r>
        <w:rPr>
          <w:sz w:val="24"/>
          <w:szCs w:val="24"/>
        </w:rPr>
        <w:t>collated in a review by Everard</w:t>
      </w:r>
      <w:r w:rsidR="00AE1EE2">
        <w:rPr>
          <w:sz w:val="24"/>
          <w:szCs w:val="24"/>
        </w:rPr>
        <w:t xml:space="preserve"> (</w:t>
      </w:r>
      <w:r>
        <w:rPr>
          <w:sz w:val="24"/>
          <w:szCs w:val="24"/>
        </w:rPr>
        <w:t>2020</w:t>
      </w:r>
      <w:r w:rsidR="00D815C0">
        <w:rPr>
          <w:sz w:val="24"/>
          <w:szCs w:val="24"/>
        </w:rPr>
        <w:t>a</w:t>
      </w:r>
      <w:r>
        <w:rPr>
          <w:sz w:val="24"/>
          <w:szCs w:val="24"/>
        </w:rPr>
        <w:t>).</w:t>
      </w:r>
    </w:p>
    <w:p w14:paraId="1F0E23D0" w14:textId="30E54D87" w:rsidR="00F57C3D" w:rsidRPr="00D31F3A" w:rsidRDefault="00F57C3D" w:rsidP="00D31F3A">
      <w:pPr>
        <w:spacing w:line="276" w:lineRule="auto"/>
        <w:ind w:right="-188"/>
        <w:rPr>
          <w:sz w:val="24"/>
          <w:szCs w:val="24"/>
        </w:rPr>
      </w:pPr>
      <w:r w:rsidRPr="00D31F3A">
        <w:rPr>
          <w:sz w:val="24"/>
          <w:szCs w:val="24"/>
        </w:rPr>
        <w:t>Key emergent themes arising from the first round of group deliberation and co-learning were collated and stratified using the STEEP (social, technological, environmental, economic and political/governance) framework (</w:t>
      </w:r>
      <w:r w:rsidRPr="00D31F3A">
        <w:rPr>
          <w:rFonts w:cstheme="minorHAnsi"/>
          <w:sz w:val="24"/>
          <w:szCs w:val="24"/>
        </w:rPr>
        <w:t>Morrison and Wilson, 1996)</w:t>
      </w:r>
      <w:r w:rsidR="00857709">
        <w:rPr>
          <w:rFonts w:cstheme="minorHAnsi"/>
          <w:sz w:val="24"/>
          <w:szCs w:val="24"/>
        </w:rPr>
        <w:t xml:space="preserve">.  For this purpose, STEEP was </w:t>
      </w:r>
      <w:r w:rsidRPr="00D31F3A">
        <w:rPr>
          <w:sz w:val="24"/>
          <w:szCs w:val="24"/>
        </w:rPr>
        <w:t xml:space="preserve">applied </w:t>
      </w:r>
      <w:r w:rsidR="004E4D11">
        <w:rPr>
          <w:sz w:val="24"/>
          <w:szCs w:val="24"/>
        </w:rPr>
        <w:t xml:space="preserve">as a systems model </w:t>
      </w:r>
      <w:r w:rsidRPr="00D31F3A">
        <w:rPr>
          <w:sz w:val="24"/>
          <w:szCs w:val="24"/>
        </w:rPr>
        <w:t xml:space="preserve">to analyse interconnections between </w:t>
      </w:r>
      <w:r w:rsidR="00BE5B34">
        <w:rPr>
          <w:sz w:val="24"/>
          <w:szCs w:val="24"/>
        </w:rPr>
        <w:t xml:space="preserve">these </w:t>
      </w:r>
      <w:r w:rsidRPr="00D31F3A">
        <w:rPr>
          <w:sz w:val="24"/>
          <w:szCs w:val="24"/>
        </w:rPr>
        <w:t>domains of human activity</w:t>
      </w:r>
      <w:r w:rsidR="00857709">
        <w:rPr>
          <w:sz w:val="24"/>
          <w:szCs w:val="24"/>
        </w:rPr>
        <w:t xml:space="preserve">, as </w:t>
      </w:r>
      <w:r w:rsidR="006B7F60">
        <w:rPr>
          <w:sz w:val="24"/>
          <w:szCs w:val="24"/>
        </w:rPr>
        <w:t xml:space="preserve">widely </w:t>
      </w:r>
      <w:r w:rsidR="00857709">
        <w:rPr>
          <w:sz w:val="24"/>
          <w:szCs w:val="24"/>
        </w:rPr>
        <w:t xml:space="preserve">used to address </w:t>
      </w:r>
      <w:r w:rsidRPr="00D31F3A">
        <w:rPr>
          <w:sz w:val="24"/>
          <w:szCs w:val="24"/>
        </w:rPr>
        <w:t>meeting the goals of sustainability (</w:t>
      </w:r>
      <w:r w:rsidRPr="00D31F3A">
        <w:rPr>
          <w:rFonts w:cstheme="minorHAnsi"/>
          <w:sz w:val="24"/>
          <w:szCs w:val="24"/>
        </w:rPr>
        <w:t xml:space="preserve">Steward and </w:t>
      </w:r>
      <w:proofErr w:type="spellStart"/>
      <w:r w:rsidRPr="00D31F3A">
        <w:rPr>
          <w:rFonts w:cstheme="minorHAnsi"/>
          <w:sz w:val="24"/>
          <w:szCs w:val="24"/>
        </w:rPr>
        <w:t>Kuska</w:t>
      </w:r>
      <w:proofErr w:type="spellEnd"/>
      <w:r w:rsidRPr="00D31F3A">
        <w:rPr>
          <w:rFonts w:cstheme="minorHAnsi"/>
          <w:sz w:val="24"/>
          <w:szCs w:val="24"/>
        </w:rPr>
        <w:t>, 2011)</w:t>
      </w:r>
      <w:r w:rsidRPr="00D31F3A">
        <w:rPr>
          <w:sz w:val="24"/>
          <w:szCs w:val="24"/>
        </w:rPr>
        <w:t xml:space="preserve"> including evaluation of water systems and associated ecosystem services (</w:t>
      </w:r>
      <w:r w:rsidRPr="00D31F3A">
        <w:rPr>
          <w:rFonts w:cstheme="minorHAnsi"/>
          <w:sz w:val="24"/>
          <w:szCs w:val="24"/>
        </w:rPr>
        <w:t xml:space="preserve">Everard </w:t>
      </w:r>
      <w:r w:rsidRPr="00D31F3A">
        <w:rPr>
          <w:rFonts w:cstheme="minorHAnsi"/>
          <w:i/>
          <w:sz w:val="24"/>
          <w:szCs w:val="24"/>
        </w:rPr>
        <w:t>et al</w:t>
      </w:r>
      <w:r w:rsidR="003742E4" w:rsidRPr="00D31F3A">
        <w:rPr>
          <w:rFonts w:cstheme="minorHAnsi"/>
          <w:sz w:val="24"/>
          <w:szCs w:val="24"/>
        </w:rPr>
        <w:t>.</w:t>
      </w:r>
      <w:r w:rsidRPr="00D31F3A">
        <w:rPr>
          <w:rFonts w:cstheme="minorHAnsi"/>
          <w:sz w:val="24"/>
          <w:szCs w:val="24"/>
        </w:rPr>
        <w:t>, 2012; Everard</w:t>
      </w:r>
      <w:r w:rsidR="00D815C0">
        <w:rPr>
          <w:rFonts w:cstheme="minorHAnsi"/>
          <w:sz w:val="24"/>
          <w:szCs w:val="24"/>
        </w:rPr>
        <w:t>,</w:t>
      </w:r>
      <w:r w:rsidRPr="00D31F3A">
        <w:rPr>
          <w:rFonts w:cstheme="minorHAnsi"/>
          <w:sz w:val="24"/>
          <w:szCs w:val="24"/>
        </w:rPr>
        <w:t xml:space="preserve"> 2013</w:t>
      </w:r>
      <w:r w:rsidR="007A3392">
        <w:rPr>
          <w:rFonts w:cstheme="minorHAnsi"/>
          <w:sz w:val="24"/>
          <w:szCs w:val="24"/>
        </w:rPr>
        <w:t>b</w:t>
      </w:r>
      <w:r w:rsidR="004E4D11">
        <w:rPr>
          <w:rFonts w:cstheme="minorHAnsi"/>
          <w:sz w:val="24"/>
          <w:szCs w:val="24"/>
        </w:rPr>
        <w:t xml:space="preserve"> and</w:t>
      </w:r>
      <w:r w:rsidRPr="00D31F3A">
        <w:rPr>
          <w:rFonts w:cstheme="minorHAnsi"/>
          <w:sz w:val="24"/>
          <w:szCs w:val="24"/>
        </w:rPr>
        <w:t xml:space="preserve"> 2015</w:t>
      </w:r>
      <w:r w:rsidR="003742E4" w:rsidRPr="00D31F3A">
        <w:rPr>
          <w:rFonts w:cstheme="minorHAnsi"/>
          <w:sz w:val="24"/>
          <w:szCs w:val="24"/>
        </w:rPr>
        <w:t>)</w:t>
      </w:r>
      <w:r w:rsidRPr="00D31F3A">
        <w:rPr>
          <w:sz w:val="24"/>
          <w:szCs w:val="24"/>
        </w:rPr>
        <w:t xml:space="preserve">. </w:t>
      </w:r>
      <w:r w:rsidR="004E4D11">
        <w:rPr>
          <w:sz w:val="24"/>
          <w:szCs w:val="24"/>
        </w:rPr>
        <w:t xml:space="preserve"> </w:t>
      </w:r>
      <w:r w:rsidR="0028117E">
        <w:rPr>
          <w:sz w:val="24"/>
          <w:szCs w:val="24"/>
        </w:rPr>
        <w:t>Written and presentational s</w:t>
      </w:r>
      <w:r w:rsidR="0028117E" w:rsidRPr="00D31F3A">
        <w:rPr>
          <w:sz w:val="24"/>
          <w:szCs w:val="24"/>
        </w:rPr>
        <w:t>timulus materials</w:t>
      </w:r>
      <w:r w:rsidR="0028117E">
        <w:rPr>
          <w:sz w:val="24"/>
          <w:szCs w:val="24"/>
        </w:rPr>
        <w:t xml:space="preserve"> and themes emerging from working groups </w:t>
      </w:r>
      <w:r w:rsidRPr="00D31F3A">
        <w:rPr>
          <w:sz w:val="24"/>
          <w:szCs w:val="24"/>
        </w:rPr>
        <w:t xml:space="preserve">were </w:t>
      </w:r>
      <w:r w:rsidR="0028117E">
        <w:rPr>
          <w:sz w:val="24"/>
          <w:szCs w:val="24"/>
        </w:rPr>
        <w:t xml:space="preserve">further </w:t>
      </w:r>
      <w:r w:rsidRPr="00D31F3A">
        <w:rPr>
          <w:sz w:val="24"/>
          <w:szCs w:val="24"/>
        </w:rPr>
        <w:t xml:space="preserve">corroborated and contextualised </w:t>
      </w:r>
      <w:r w:rsidR="0028117E">
        <w:rPr>
          <w:sz w:val="24"/>
          <w:szCs w:val="24"/>
        </w:rPr>
        <w:t xml:space="preserve">following the symposium by cross-checking with </w:t>
      </w:r>
      <w:r w:rsidRPr="00D31F3A">
        <w:rPr>
          <w:sz w:val="24"/>
          <w:szCs w:val="24"/>
        </w:rPr>
        <w:t>scientific literature</w:t>
      </w:r>
      <w:r w:rsidR="0028117E">
        <w:rPr>
          <w:sz w:val="24"/>
          <w:szCs w:val="24"/>
        </w:rPr>
        <w:t xml:space="preserve"> </w:t>
      </w:r>
      <w:r w:rsidRPr="008D03A7">
        <w:rPr>
          <w:sz w:val="24"/>
          <w:szCs w:val="24"/>
        </w:rPr>
        <w:t>(</w:t>
      </w:r>
      <w:r w:rsidR="008D03A7" w:rsidRPr="008D03A7">
        <w:rPr>
          <w:sz w:val="24"/>
          <w:szCs w:val="24"/>
        </w:rPr>
        <w:t>s</w:t>
      </w:r>
      <w:r w:rsidRPr="008D03A7">
        <w:rPr>
          <w:sz w:val="24"/>
          <w:szCs w:val="24"/>
        </w:rPr>
        <w:t xml:space="preserve">ee </w:t>
      </w:r>
      <w:r w:rsidR="008D03A7" w:rsidRPr="008D03A7">
        <w:rPr>
          <w:sz w:val="24"/>
          <w:szCs w:val="24"/>
        </w:rPr>
        <w:t xml:space="preserve">Everard, </w:t>
      </w:r>
      <w:r w:rsidR="003D092B">
        <w:rPr>
          <w:sz w:val="24"/>
          <w:szCs w:val="24"/>
        </w:rPr>
        <w:t>2020</w:t>
      </w:r>
      <w:r w:rsidR="00D815C0">
        <w:rPr>
          <w:sz w:val="24"/>
          <w:szCs w:val="24"/>
        </w:rPr>
        <w:t>b</w:t>
      </w:r>
      <w:r w:rsidRPr="008D03A7">
        <w:rPr>
          <w:sz w:val="24"/>
          <w:szCs w:val="24"/>
        </w:rPr>
        <w:t xml:space="preserve">).  </w:t>
      </w:r>
      <w:r w:rsidR="00AE1EE2">
        <w:rPr>
          <w:sz w:val="24"/>
          <w:szCs w:val="24"/>
        </w:rPr>
        <w:t>O</w:t>
      </w:r>
      <w:r w:rsidRPr="008D03A7">
        <w:rPr>
          <w:sz w:val="24"/>
          <w:szCs w:val="24"/>
        </w:rPr>
        <w:t>verall results of this first element</w:t>
      </w:r>
      <w:r w:rsidRPr="00D31F3A">
        <w:rPr>
          <w:sz w:val="24"/>
          <w:szCs w:val="24"/>
        </w:rPr>
        <w:t xml:space="preserve"> of the process are </w:t>
      </w:r>
      <w:r w:rsidR="00AE1EE2">
        <w:rPr>
          <w:sz w:val="24"/>
          <w:szCs w:val="24"/>
        </w:rPr>
        <w:t xml:space="preserve">summarised </w:t>
      </w:r>
      <w:r w:rsidRPr="00D31F3A">
        <w:rPr>
          <w:sz w:val="24"/>
          <w:szCs w:val="24"/>
        </w:rPr>
        <w:t>in Table 1</w:t>
      </w:r>
      <w:r w:rsidR="0028117E">
        <w:rPr>
          <w:sz w:val="24"/>
          <w:szCs w:val="24"/>
        </w:rPr>
        <w:t xml:space="preserve">, structured around the STEEP framework to better </w:t>
      </w:r>
      <w:r w:rsidR="006125C4">
        <w:rPr>
          <w:sz w:val="24"/>
          <w:szCs w:val="24"/>
        </w:rPr>
        <w:t xml:space="preserve">acknowledge and appreciate </w:t>
      </w:r>
      <w:r w:rsidR="0028117E">
        <w:rPr>
          <w:sz w:val="24"/>
          <w:szCs w:val="24"/>
        </w:rPr>
        <w:t>systemic interdependencies between different perspectives and, in a less synthesised form, providing primary inputs to the second working group session</w:t>
      </w:r>
      <w:r w:rsidRPr="00D31F3A">
        <w:rPr>
          <w:sz w:val="24"/>
          <w:szCs w:val="24"/>
        </w:rPr>
        <w:t>.</w:t>
      </w:r>
    </w:p>
    <w:p w14:paraId="3875A741" w14:textId="51DBFC01" w:rsidR="00F57C3D" w:rsidRDefault="00F57C3D" w:rsidP="00D31F3A">
      <w:pPr>
        <w:spacing w:line="276" w:lineRule="auto"/>
        <w:ind w:right="-188"/>
        <w:rPr>
          <w:rFonts w:cs="Arial"/>
          <w:sz w:val="24"/>
          <w:szCs w:val="24"/>
        </w:rPr>
      </w:pPr>
      <w:r w:rsidRPr="00D31F3A">
        <w:rPr>
          <w:sz w:val="24"/>
          <w:szCs w:val="24"/>
        </w:rPr>
        <w:t xml:space="preserve">The second working group session and following plenary sessions of the symposium drew stimulus materials and </w:t>
      </w:r>
      <w:r w:rsidR="0028117E">
        <w:rPr>
          <w:sz w:val="24"/>
          <w:szCs w:val="24"/>
        </w:rPr>
        <w:t xml:space="preserve">emerging themes from the first </w:t>
      </w:r>
      <w:r w:rsidRPr="00D31F3A">
        <w:rPr>
          <w:sz w:val="24"/>
          <w:szCs w:val="24"/>
        </w:rPr>
        <w:t>working group session</w:t>
      </w:r>
      <w:r w:rsidR="00AE1EE2">
        <w:rPr>
          <w:sz w:val="24"/>
          <w:szCs w:val="24"/>
        </w:rPr>
        <w:t>,</w:t>
      </w:r>
      <w:r w:rsidRPr="00D31F3A">
        <w:rPr>
          <w:sz w:val="24"/>
          <w:szCs w:val="24"/>
        </w:rPr>
        <w:t xml:space="preserve"> </w:t>
      </w:r>
      <w:r w:rsidR="0028117E">
        <w:rPr>
          <w:sz w:val="24"/>
          <w:szCs w:val="24"/>
        </w:rPr>
        <w:t xml:space="preserve">but this time with a focus on </w:t>
      </w:r>
      <w:r w:rsidRPr="00D31F3A">
        <w:rPr>
          <w:sz w:val="24"/>
          <w:szCs w:val="24"/>
        </w:rPr>
        <w:t>deriv</w:t>
      </w:r>
      <w:r w:rsidR="0028117E">
        <w:rPr>
          <w:sz w:val="24"/>
          <w:szCs w:val="24"/>
        </w:rPr>
        <w:t>ing</w:t>
      </w:r>
      <w:r w:rsidRPr="00D31F3A">
        <w:rPr>
          <w:sz w:val="24"/>
          <w:szCs w:val="24"/>
        </w:rPr>
        <w:t xml:space="preserve"> actionable outcomes for policy and practice. </w:t>
      </w:r>
      <w:r w:rsidR="00AF54DE">
        <w:rPr>
          <w:sz w:val="24"/>
          <w:szCs w:val="24"/>
        </w:rPr>
        <w:t xml:space="preserve"> D</w:t>
      </w:r>
      <w:r w:rsidRPr="00D31F3A">
        <w:rPr>
          <w:sz w:val="24"/>
          <w:szCs w:val="24"/>
        </w:rPr>
        <w:t>evelopment of actionable recommendations follow</w:t>
      </w:r>
      <w:r w:rsidR="00AF54DE">
        <w:rPr>
          <w:sz w:val="24"/>
          <w:szCs w:val="24"/>
        </w:rPr>
        <w:t>s</w:t>
      </w:r>
      <w:r w:rsidRPr="00D31F3A">
        <w:rPr>
          <w:sz w:val="24"/>
          <w:szCs w:val="24"/>
        </w:rPr>
        <w:t xml:space="preserve"> the approach of </w:t>
      </w:r>
      <w:r w:rsidRPr="00D31F3A">
        <w:rPr>
          <w:rFonts w:cstheme="minorHAnsi"/>
          <w:sz w:val="24"/>
          <w:szCs w:val="24"/>
        </w:rPr>
        <w:t>Everard</w:t>
      </w:r>
      <w:r w:rsidRPr="00D31F3A">
        <w:rPr>
          <w:rStyle w:val="EndnoteReference"/>
          <w:sz w:val="24"/>
          <w:szCs w:val="24"/>
        </w:rPr>
        <w:t xml:space="preserve"> </w:t>
      </w:r>
      <w:r w:rsidRPr="00D31F3A">
        <w:rPr>
          <w:sz w:val="24"/>
          <w:szCs w:val="24"/>
        </w:rPr>
        <w:t xml:space="preserve"> (2016)</w:t>
      </w:r>
      <w:r w:rsidR="00AE1EE2">
        <w:rPr>
          <w:sz w:val="24"/>
          <w:szCs w:val="24"/>
        </w:rPr>
        <w:t>,</w:t>
      </w:r>
      <w:r w:rsidRPr="00D31F3A">
        <w:rPr>
          <w:sz w:val="24"/>
          <w:szCs w:val="24"/>
        </w:rPr>
        <w:t xml:space="preserve"> which stratifies recommendations by </w:t>
      </w:r>
      <w:r w:rsidRPr="00D31F3A">
        <w:rPr>
          <w:rFonts w:cs="Arial"/>
          <w:sz w:val="24"/>
          <w:szCs w:val="24"/>
        </w:rPr>
        <w:t xml:space="preserve">major policy areas in public administration </w:t>
      </w:r>
      <w:r w:rsidR="00D31195">
        <w:rPr>
          <w:rFonts w:cs="Arial"/>
          <w:sz w:val="24"/>
          <w:szCs w:val="24"/>
        </w:rPr>
        <w:t xml:space="preserve">as a framework against which to ensure a </w:t>
      </w:r>
      <w:r w:rsidR="00BE5B34">
        <w:rPr>
          <w:rFonts w:cs="Arial"/>
          <w:sz w:val="24"/>
          <w:szCs w:val="24"/>
        </w:rPr>
        <w:t xml:space="preserve">broad </w:t>
      </w:r>
      <w:r w:rsidR="00D31195">
        <w:rPr>
          <w:rFonts w:cs="Arial"/>
          <w:sz w:val="24"/>
          <w:szCs w:val="24"/>
        </w:rPr>
        <w:t xml:space="preserve">overview.  Although this policy area breakdown reflects common departmental divisions in governments worldwide, we consciously </w:t>
      </w:r>
      <w:r w:rsidRPr="00D31F3A">
        <w:rPr>
          <w:rFonts w:cs="Arial"/>
          <w:sz w:val="24"/>
          <w:szCs w:val="24"/>
        </w:rPr>
        <w:t>straddle the distinction between governmental and non-government action</w:t>
      </w:r>
      <w:r w:rsidR="0028117E">
        <w:rPr>
          <w:rFonts w:cs="Arial"/>
          <w:sz w:val="24"/>
          <w:szCs w:val="24"/>
        </w:rPr>
        <w:t xml:space="preserve"> presuming </w:t>
      </w:r>
      <w:r w:rsidRPr="00D31F3A">
        <w:rPr>
          <w:rFonts w:cs="Arial"/>
          <w:sz w:val="24"/>
          <w:szCs w:val="24"/>
        </w:rPr>
        <w:t xml:space="preserve">cross-sectoral </w:t>
      </w:r>
      <w:r w:rsidR="0028117E">
        <w:rPr>
          <w:rFonts w:cs="Arial"/>
          <w:sz w:val="24"/>
          <w:szCs w:val="24"/>
        </w:rPr>
        <w:t xml:space="preserve">responses involving </w:t>
      </w:r>
      <w:r w:rsidRPr="00D31F3A">
        <w:rPr>
          <w:rFonts w:cs="Arial"/>
          <w:sz w:val="24"/>
          <w:szCs w:val="24"/>
        </w:rPr>
        <w:t>multiple agents of change within any given sphere of societal activity and interest.</w:t>
      </w:r>
      <w:r w:rsidR="0028117E">
        <w:rPr>
          <w:rFonts w:cs="Arial"/>
          <w:sz w:val="24"/>
          <w:szCs w:val="24"/>
        </w:rPr>
        <w:t xml:space="preserve">  </w:t>
      </w:r>
      <w:r w:rsidR="0089486E">
        <w:rPr>
          <w:rFonts w:cs="Arial"/>
          <w:sz w:val="24"/>
          <w:szCs w:val="24"/>
        </w:rPr>
        <w:t xml:space="preserve">Furthermore, </w:t>
      </w:r>
      <w:r w:rsidR="0089486E" w:rsidRPr="0089486E">
        <w:rPr>
          <w:rFonts w:cs="Arial"/>
          <w:sz w:val="24"/>
          <w:szCs w:val="24"/>
        </w:rPr>
        <w:t>join-up within government is as necessary as between government, business and civil society</w:t>
      </w:r>
      <w:r w:rsidR="0089486E">
        <w:rPr>
          <w:rFonts w:cs="Arial"/>
          <w:sz w:val="24"/>
          <w:szCs w:val="24"/>
        </w:rPr>
        <w:t xml:space="preserve"> (</w:t>
      </w:r>
      <w:proofErr w:type="spellStart"/>
      <w:r w:rsidR="0089486E" w:rsidRPr="0089486E">
        <w:rPr>
          <w:rFonts w:cstheme="minorHAnsi"/>
          <w:sz w:val="24"/>
          <w:szCs w:val="24"/>
        </w:rPr>
        <w:t>Shepsle</w:t>
      </w:r>
      <w:proofErr w:type="spellEnd"/>
      <w:r w:rsidR="0089486E" w:rsidRPr="0089486E">
        <w:rPr>
          <w:rFonts w:cstheme="minorHAnsi"/>
          <w:sz w:val="24"/>
          <w:szCs w:val="24"/>
        </w:rPr>
        <w:t>,</w:t>
      </w:r>
      <w:r w:rsidR="0089486E">
        <w:rPr>
          <w:rFonts w:cstheme="minorHAnsi"/>
          <w:sz w:val="24"/>
          <w:szCs w:val="24"/>
        </w:rPr>
        <w:t xml:space="preserve"> </w:t>
      </w:r>
      <w:r w:rsidR="0089486E" w:rsidRPr="0089486E">
        <w:rPr>
          <w:rFonts w:cstheme="minorHAnsi"/>
          <w:sz w:val="24"/>
          <w:szCs w:val="24"/>
        </w:rPr>
        <w:t>2010</w:t>
      </w:r>
      <w:r w:rsidR="0089486E">
        <w:rPr>
          <w:rFonts w:cs="Arial"/>
          <w:sz w:val="24"/>
          <w:szCs w:val="24"/>
        </w:rPr>
        <w:t xml:space="preserve">).  </w:t>
      </w:r>
      <w:r w:rsidR="0028117E">
        <w:rPr>
          <w:rFonts w:cs="Arial"/>
          <w:sz w:val="24"/>
          <w:szCs w:val="24"/>
        </w:rPr>
        <w:t xml:space="preserve">The following subsections </w:t>
      </w:r>
      <w:r w:rsidR="00D31195">
        <w:rPr>
          <w:rFonts w:cs="Arial"/>
          <w:sz w:val="24"/>
          <w:szCs w:val="24"/>
        </w:rPr>
        <w:t>summarise key actionable outcomes for policy and practice relevant to each of the major policy areas</w:t>
      </w:r>
      <w:r w:rsidR="0089486E">
        <w:rPr>
          <w:rFonts w:cs="Arial"/>
          <w:sz w:val="24"/>
          <w:szCs w:val="24"/>
        </w:rPr>
        <w:t>, also recognising outcomes germane to s</w:t>
      </w:r>
      <w:r w:rsidR="0089486E" w:rsidRPr="0089486E">
        <w:rPr>
          <w:rFonts w:cs="Arial"/>
          <w:sz w:val="24"/>
          <w:szCs w:val="24"/>
        </w:rPr>
        <w:t>ystemic connections across policy areas</w:t>
      </w:r>
      <w:r w:rsidR="00D31195">
        <w:rPr>
          <w:rFonts w:cs="Arial"/>
          <w:sz w:val="24"/>
          <w:szCs w:val="24"/>
        </w:rPr>
        <w:t>.</w:t>
      </w:r>
    </w:p>
    <w:p w14:paraId="54EC0930" w14:textId="3240ED91" w:rsidR="007006DC" w:rsidRPr="00D31F3A" w:rsidRDefault="007006DC" w:rsidP="00D31F3A">
      <w:pPr>
        <w:spacing w:line="276" w:lineRule="auto"/>
        <w:ind w:right="-188"/>
        <w:rPr>
          <w:rFonts w:cs="Arial"/>
          <w:sz w:val="24"/>
          <w:szCs w:val="24"/>
        </w:rPr>
      </w:pPr>
    </w:p>
    <w:p w14:paraId="7D7EF970" w14:textId="7124547E" w:rsidR="00F57C3D" w:rsidRPr="00D31F3A" w:rsidRDefault="00F57C3D" w:rsidP="00D31F3A">
      <w:pPr>
        <w:spacing w:line="276" w:lineRule="auto"/>
        <w:ind w:right="-188"/>
        <w:rPr>
          <w:rFonts w:eastAsia="Calibri" w:cs="Times New Roman"/>
          <w:b/>
          <w:i/>
          <w:sz w:val="24"/>
          <w:szCs w:val="24"/>
        </w:rPr>
      </w:pPr>
      <w:r w:rsidRPr="00D31F3A">
        <w:rPr>
          <w:rFonts w:eastAsia="Calibri" w:cs="Times New Roman"/>
          <w:b/>
          <w:sz w:val="24"/>
          <w:szCs w:val="24"/>
        </w:rPr>
        <w:t>3.1</w:t>
      </w:r>
      <w:r w:rsidRPr="00D31F3A">
        <w:rPr>
          <w:rFonts w:eastAsia="Calibri" w:cs="Times New Roman"/>
          <w:b/>
          <w:i/>
          <w:sz w:val="24"/>
          <w:szCs w:val="24"/>
        </w:rPr>
        <w:t xml:space="preserve"> The treasury sector</w:t>
      </w:r>
    </w:p>
    <w:p w14:paraId="0B343833" w14:textId="6473164A" w:rsidR="00F57C3D" w:rsidRPr="00D31F3A" w:rsidRDefault="00F57C3D" w:rsidP="00201756">
      <w:pPr>
        <w:spacing w:line="276" w:lineRule="auto"/>
        <w:ind w:right="-188"/>
        <w:rPr>
          <w:rFonts w:eastAsia="Calibri" w:cs="Arial"/>
          <w:sz w:val="24"/>
          <w:szCs w:val="24"/>
        </w:rPr>
      </w:pPr>
      <w:r w:rsidRPr="00D31F3A">
        <w:rPr>
          <w:rFonts w:eastAsia="Calibri" w:cs="Arial"/>
          <w:sz w:val="24"/>
          <w:szCs w:val="24"/>
        </w:rPr>
        <w:t xml:space="preserve">Allocation of national and other resources shapes priorities and decisions taken across society. Treasury </w:t>
      </w:r>
      <w:r w:rsidR="005129CF">
        <w:rPr>
          <w:rFonts w:eastAsia="Calibri" w:cs="Arial"/>
          <w:sz w:val="24"/>
          <w:szCs w:val="24"/>
        </w:rPr>
        <w:t xml:space="preserve">departments and related financial institutions </w:t>
      </w:r>
      <w:r w:rsidR="00D31195">
        <w:rPr>
          <w:rFonts w:eastAsia="Calibri" w:cs="Arial"/>
          <w:sz w:val="24"/>
          <w:szCs w:val="24"/>
        </w:rPr>
        <w:t xml:space="preserve">thereby </w:t>
      </w:r>
      <w:r w:rsidRPr="00D31F3A">
        <w:rPr>
          <w:rFonts w:eastAsia="Calibri" w:cs="Arial"/>
          <w:sz w:val="24"/>
          <w:szCs w:val="24"/>
        </w:rPr>
        <w:t>play driving role</w:t>
      </w:r>
      <w:r w:rsidR="00D31195">
        <w:rPr>
          <w:rFonts w:eastAsia="Calibri" w:cs="Arial"/>
          <w:sz w:val="24"/>
          <w:szCs w:val="24"/>
        </w:rPr>
        <w:t>s</w:t>
      </w:r>
      <w:r w:rsidRPr="00D31F3A">
        <w:rPr>
          <w:rFonts w:eastAsia="Calibri" w:cs="Arial"/>
          <w:sz w:val="24"/>
          <w:szCs w:val="24"/>
        </w:rPr>
        <w:t xml:space="preserve"> in </w:t>
      </w:r>
      <w:r w:rsidR="00D31195">
        <w:rPr>
          <w:rFonts w:eastAsia="Calibri" w:cs="Arial"/>
          <w:sz w:val="24"/>
          <w:szCs w:val="24"/>
        </w:rPr>
        <w:t xml:space="preserve">stabilising or shifting </w:t>
      </w:r>
      <w:r w:rsidRPr="00D31F3A">
        <w:rPr>
          <w:rFonts w:eastAsia="Calibri" w:cs="Arial"/>
          <w:sz w:val="24"/>
          <w:szCs w:val="24"/>
        </w:rPr>
        <w:t>paradigm</w:t>
      </w:r>
      <w:r w:rsidR="00D31195">
        <w:rPr>
          <w:rFonts w:eastAsia="Calibri" w:cs="Arial"/>
          <w:sz w:val="24"/>
          <w:szCs w:val="24"/>
        </w:rPr>
        <w:t>s, ideally in this case in a</w:t>
      </w:r>
      <w:r w:rsidRPr="00D31F3A">
        <w:rPr>
          <w:rFonts w:eastAsia="Calibri" w:cs="Arial"/>
          <w:sz w:val="24"/>
          <w:szCs w:val="24"/>
        </w:rPr>
        <w:t xml:space="preserve"> shift from </w:t>
      </w:r>
      <w:r w:rsidR="00D31195">
        <w:rPr>
          <w:rFonts w:eastAsia="Calibri" w:cs="Arial"/>
          <w:sz w:val="24"/>
          <w:szCs w:val="24"/>
        </w:rPr>
        <w:t xml:space="preserve">current </w:t>
      </w:r>
      <w:r w:rsidRPr="00D31F3A">
        <w:rPr>
          <w:rFonts w:eastAsia="Calibri" w:cs="Arial"/>
          <w:sz w:val="24"/>
          <w:szCs w:val="24"/>
        </w:rPr>
        <w:t>short-term profit-taking to</w:t>
      </w:r>
      <w:r w:rsidR="00D31195">
        <w:rPr>
          <w:rFonts w:eastAsia="Calibri" w:cs="Arial"/>
          <w:sz w:val="24"/>
          <w:szCs w:val="24"/>
        </w:rPr>
        <w:t>wards</w:t>
      </w:r>
      <w:r w:rsidRPr="00D31F3A">
        <w:rPr>
          <w:rFonts w:eastAsia="Calibri" w:cs="Arial"/>
          <w:sz w:val="24"/>
          <w:szCs w:val="24"/>
        </w:rPr>
        <w:t xml:space="preserve"> recognition </w:t>
      </w:r>
      <w:r w:rsidR="00D31195">
        <w:rPr>
          <w:rFonts w:eastAsia="Calibri" w:cs="Arial"/>
          <w:sz w:val="24"/>
          <w:szCs w:val="24"/>
        </w:rPr>
        <w:t xml:space="preserve">and internalisation </w:t>
      </w:r>
      <w:r w:rsidRPr="00D31F3A">
        <w:rPr>
          <w:rFonts w:eastAsia="Calibri" w:cs="Arial"/>
          <w:sz w:val="24"/>
          <w:szCs w:val="24"/>
        </w:rPr>
        <w:t>of the value</w:t>
      </w:r>
      <w:r w:rsidR="00D31195">
        <w:rPr>
          <w:rFonts w:eastAsia="Calibri" w:cs="Arial"/>
          <w:sz w:val="24"/>
          <w:szCs w:val="24"/>
        </w:rPr>
        <w:t>s</w:t>
      </w:r>
      <w:r w:rsidRPr="00D31F3A">
        <w:rPr>
          <w:rFonts w:eastAsia="Calibri" w:cs="Arial"/>
          <w:sz w:val="24"/>
          <w:szCs w:val="24"/>
        </w:rPr>
        <w:t xml:space="preserve"> of nature</w:t>
      </w:r>
      <w:r w:rsidR="00D31195">
        <w:rPr>
          <w:rFonts w:eastAsia="Calibri" w:cs="Arial"/>
          <w:sz w:val="24"/>
          <w:szCs w:val="24"/>
        </w:rPr>
        <w:t xml:space="preserve">.  This paradigm shift is essential to ensure </w:t>
      </w:r>
      <w:r w:rsidR="00CB6BD9">
        <w:rPr>
          <w:rFonts w:eastAsia="Calibri" w:cs="Arial"/>
          <w:sz w:val="24"/>
          <w:szCs w:val="24"/>
        </w:rPr>
        <w:t>invest</w:t>
      </w:r>
      <w:r w:rsidR="00D31195">
        <w:rPr>
          <w:rFonts w:eastAsia="Calibri" w:cs="Arial"/>
          <w:sz w:val="24"/>
          <w:szCs w:val="24"/>
        </w:rPr>
        <w:t>ment</w:t>
      </w:r>
      <w:r w:rsidR="00CB6BD9">
        <w:rPr>
          <w:rFonts w:eastAsia="Calibri" w:cs="Arial"/>
          <w:sz w:val="24"/>
          <w:szCs w:val="24"/>
        </w:rPr>
        <w:t xml:space="preserve"> in </w:t>
      </w:r>
      <w:r w:rsidRPr="00D31F3A">
        <w:rPr>
          <w:rFonts w:eastAsia="Calibri" w:cs="Arial"/>
          <w:sz w:val="24"/>
          <w:szCs w:val="24"/>
        </w:rPr>
        <w:t>long-term viability and enhancement of productive and supportive ecosystems</w:t>
      </w:r>
      <w:r w:rsidR="00FF7557">
        <w:rPr>
          <w:rFonts w:eastAsia="Calibri" w:cs="Arial"/>
          <w:sz w:val="24"/>
          <w:szCs w:val="24"/>
        </w:rPr>
        <w:t xml:space="preserve"> </w:t>
      </w:r>
      <w:r w:rsidR="00CB6BD9">
        <w:rPr>
          <w:rFonts w:eastAsia="Calibri" w:cs="Arial"/>
          <w:sz w:val="24"/>
          <w:szCs w:val="24"/>
        </w:rPr>
        <w:t xml:space="preserve">to </w:t>
      </w:r>
      <w:r w:rsidR="00FF7557">
        <w:rPr>
          <w:rFonts w:eastAsia="Calibri" w:cs="Arial"/>
          <w:sz w:val="24"/>
          <w:szCs w:val="24"/>
        </w:rPr>
        <w:t>support the needs of both current and future generations</w:t>
      </w:r>
      <w:r w:rsidRPr="00D31F3A">
        <w:rPr>
          <w:rFonts w:eastAsia="Calibri" w:cs="Arial"/>
          <w:sz w:val="24"/>
          <w:szCs w:val="24"/>
        </w:rPr>
        <w:t xml:space="preserve">.  Key actionable outcomes </w:t>
      </w:r>
      <w:r w:rsidR="005129CF">
        <w:rPr>
          <w:rFonts w:eastAsia="Calibri" w:cs="Arial"/>
          <w:sz w:val="24"/>
          <w:szCs w:val="24"/>
        </w:rPr>
        <w:t xml:space="preserve">in driving this transition across </w:t>
      </w:r>
      <w:r w:rsidRPr="00D31F3A">
        <w:rPr>
          <w:rFonts w:eastAsia="Calibri" w:cs="Arial"/>
          <w:sz w:val="24"/>
          <w:szCs w:val="24"/>
        </w:rPr>
        <w:t xml:space="preserve">the Treasury sector </w:t>
      </w:r>
      <w:r w:rsidR="002E6E3D">
        <w:rPr>
          <w:rFonts w:eastAsia="Calibri" w:cs="Arial"/>
          <w:sz w:val="24"/>
          <w:szCs w:val="24"/>
        </w:rPr>
        <w:t xml:space="preserve">(identified prior to publication and independent of the HM Treasury (2020) </w:t>
      </w:r>
      <w:r w:rsidR="00201756" w:rsidRPr="00201756">
        <w:rPr>
          <w:rFonts w:eastAsia="Calibri" w:cs="Arial"/>
          <w:sz w:val="24"/>
          <w:szCs w:val="24"/>
        </w:rPr>
        <w:t>Independent Review on the</w:t>
      </w:r>
      <w:r w:rsidR="00201756">
        <w:rPr>
          <w:rFonts w:eastAsia="Calibri" w:cs="Arial"/>
          <w:sz w:val="24"/>
          <w:szCs w:val="24"/>
        </w:rPr>
        <w:t xml:space="preserve"> </w:t>
      </w:r>
      <w:r w:rsidR="00201756" w:rsidRPr="00201756">
        <w:rPr>
          <w:rFonts w:eastAsia="Calibri" w:cs="Arial"/>
          <w:sz w:val="24"/>
          <w:szCs w:val="24"/>
        </w:rPr>
        <w:t>Economics of Biodiversity</w:t>
      </w:r>
      <w:r w:rsidR="00201756">
        <w:rPr>
          <w:rFonts w:eastAsia="Calibri" w:cs="Arial"/>
          <w:sz w:val="24"/>
          <w:szCs w:val="24"/>
        </w:rPr>
        <w:t>)</w:t>
      </w:r>
      <w:r w:rsidR="002E6E3D">
        <w:rPr>
          <w:rFonts w:eastAsia="Calibri" w:cs="Arial"/>
          <w:sz w:val="24"/>
          <w:szCs w:val="24"/>
        </w:rPr>
        <w:t xml:space="preserve"> </w:t>
      </w:r>
      <w:r w:rsidRPr="00D31F3A">
        <w:rPr>
          <w:rFonts w:eastAsia="Calibri" w:cs="Arial"/>
          <w:sz w:val="24"/>
          <w:szCs w:val="24"/>
        </w:rPr>
        <w:t>include:</w:t>
      </w:r>
    </w:p>
    <w:p w14:paraId="4127FE8F" w14:textId="77777777" w:rsidR="00C121D1" w:rsidRDefault="00F57C3D" w:rsidP="00512A65">
      <w:pPr>
        <w:pStyle w:val="ListParagraph"/>
        <w:numPr>
          <w:ilvl w:val="0"/>
          <w:numId w:val="15"/>
        </w:numPr>
        <w:spacing w:line="276" w:lineRule="auto"/>
        <w:ind w:right="-188"/>
        <w:rPr>
          <w:rFonts w:asciiTheme="minorHAnsi" w:eastAsia="Calibri" w:hAnsiTheme="minorHAnsi"/>
          <w:sz w:val="24"/>
          <w:szCs w:val="24"/>
        </w:rPr>
      </w:pPr>
      <w:r w:rsidRPr="00D31F3A">
        <w:rPr>
          <w:rFonts w:asciiTheme="minorHAnsi" w:eastAsia="Calibri" w:hAnsiTheme="minorHAnsi"/>
          <w:sz w:val="24"/>
          <w:szCs w:val="24"/>
        </w:rPr>
        <w:t xml:space="preserve">Revising </w:t>
      </w:r>
      <w:r w:rsidR="00CB6BD9">
        <w:rPr>
          <w:rFonts w:asciiTheme="minorHAnsi" w:eastAsia="Calibri" w:hAnsiTheme="minorHAnsi"/>
          <w:sz w:val="24"/>
          <w:szCs w:val="24"/>
        </w:rPr>
        <w:t xml:space="preserve">the </w:t>
      </w:r>
      <w:r w:rsidR="00CB6BD9" w:rsidRPr="00D31F3A">
        <w:rPr>
          <w:rFonts w:asciiTheme="minorHAnsi" w:eastAsia="Calibri" w:hAnsiTheme="minorHAnsi"/>
          <w:sz w:val="24"/>
          <w:szCs w:val="24"/>
        </w:rPr>
        <w:t xml:space="preserve">fiscal system to </w:t>
      </w:r>
      <w:r w:rsidR="00D46409">
        <w:rPr>
          <w:rFonts w:asciiTheme="minorHAnsi" w:eastAsia="Calibri" w:hAnsiTheme="minorHAnsi"/>
          <w:sz w:val="24"/>
          <w:szCs w:val="24"/>
        </w:rPr>
        <w:t xml:space="preserve">reward </w:t>
      </w:r>
      <w:r w:rsidR="00CB6BD9">
        <w:rPr>
          <w:rFonts w:asciiTheme="minorHAnsi" w:eastAsia="Calibri" w:hAnsiTheme="minorHAnsi"/>
          <w:sz w:val="24"/>
          <w:szCs w:val="24"/>
        </w:rPr>
        <w:t xml:space="preserve">long-term, multi-beneficial outcomes rather than short-term returns.  This includes reversing </w:t>
      </w:r>
      <w:r w:rsidR="00CB6BD9" w:rsidRPr="00D31F3A">
        <w:rPr>
          <w:rFonts w:asciiTheme="minorHAnsi" w:eastAsia="Calibri" w:hAnsiTheme="minorHAnsi"/>
          <w:sz w:val="24"/>
          <w:szCs w:val="24"/>
        </w:rPr>
        <w:t xml:space="preserve">current externalisation </w:t>
      </w:r>
      <w:r w:rsidR="00CB6BD9">
        <w:rPr>
          <w:rFonts w:asciiTheme="minorHAnsi" w:eastAsia="Calibri" w:hAnsiTheme="minorHAnsi"/>
          <w:sz w:val="24"/>
          <w:szCs w:val="24"/>
        </w:rPr>
        <w:t xml:space="preserve">from the market of </w:t>
      </w:r>
      <w:r w:rsidR="00CB6BD9" w:rsidRPr="00D31F3A">
        <w:rPr>
          <w:rFonts w:asciiTheme="minorHAnsi" w:eastAsia="Calibri" w:hAnsiTheme="minorHAnsi"/>
          <w:sz w:val="24"/>
          <w:szCs w:val="24"/>
        </w:rPr>
        <w:t>translocation of embedded nutrients</w:t>
      </w:r>
      <w:r w:rsidR="00CB6BD9">
        <w:rPr>
          <w:rFonts w:asciiTheme="minorHAnsi" w:eastAsia="Calibri" w:hAnsiTheme="minorHAnsi"/>
          <w:sz w:val="24"/>
          <w:szCs w:val="24"/>
        </w:rPr>
        <w:t xml:space="preserve"> in global food and agricultural supply chains</w:t>
      </w:r>
      <w:r w:rsidR="00CB6BD9" w:rsidRPr="00D31F3A">
        <w:rPr>
          <w:rFonts w:asciiTheme="minorHAnsi" w:eastAsia="Calibri" w:hAnsiTheme="minorHAnsi"/>
          <w:sz w:val="24"/>
          <w:szCs w:val="24"/>
        </w:rPr>
        <w:t xml:space="preserve">, </w:t>
      </w:r>
      <w:r w:rsidR="00CB6BD9">
        <w:rPr>
          <w:rFonts w:asciiTheme="minorHAnsi" w:eastAsia="Calibri" w:hAnsiTheme="minorHAnsi"/>
          <w:sz w:val="24"/>
          <w:szCs w:val="24"/>
        </w:rPr>
        <w:t xml:space="preserve">embedded/virtual </w:t>
      </w:r>
      <w:r w:rsidR="00CB6BD9" w:rsidRPr="00D31F3A">
        <w:rPr>
          <w:rFonts w:asciiTheme="minorHAnsi" w:eastAsia="Calibri" w:hAnsiTheme="minorHAnsi"/>
          <w:sz w:val="24"/>
          <w:szCs w:val="24"/>
        </w:rPr>
        <w:t>water and other essential natural resources</w:t>
      </w:r>
      <w:r w:rsidR="00CB6BD9">
        <w:rPr>
          <w:rFonts w:asciiTheme="minorHAnsi" w:eastAsia="Calibri" w:hAnsiTheme="minorHAnsi"/>
          <w:sz w:val="24"/>
          <w:szCs w:val="24"/>
        </w:rPr>
        <w:t xml:space="preserve">, and </w:t>
      </w:r>
      <w:r w:rsidR="00CB6BD9" w:rsidRPr="00D31F3A">
        <w:rPr>
          <w:rFonts w:asciiTheme="minorHAnsi" w:eastAsia="Calibri" w:hAnsiTheme="minorHAnsi"/>
          <w:sz w:val="24"/>
          <w:szCs w:val="24"/>
        </w:rPr>
        <w:t>fossil fuel inputs</w:t>
      </w:r>
      <w:r w:rsidR="00CB6BD9" w:rsidRPr="00D31F3A">
        <w:rPr>
          <w:rFonts w:asciiTheme="minorHAnsi" w:hAnsiTheme="minorHAnsi"/>
          <w:sz w:val="24"/>
          <w:szCs w:val="24"/>
        </w:rPr>
        <w:t xml:space="preserve"> (</w:t>
      </w:r>
      <w:proofErr w:type="spellStart"/>
      <w:r w:rsidR="00CB6BD9" w:rsidRPr="00D31F3A">
        <w:rPr>
          <w:rFonts w:asciiTheme="minorHAnsi" w:hAnsiTheme="minorHAnsi"/>
          <w:sz w:val="24"/>
          <w:szCs w:val="24"/>
        </w:rPr>
        <w:t>Lovins</w:t>
      </w:r>
      <w:proofErr w:type="spellEnd"/>
      <w:r w:rsidR="00CB6BD9" w:rsidRPr="00D31F3A">
        <w:rPr>
          <w:rFonts w:asciiTheme="minorHAnsi" w:hAnsiTheme="minorHAnsi"/>
          <w:sz w:val="24"/>
          <w:szCs w:val="24"/>
        </w:rPr>
        <w:t>, 2018)</w:t>
      </w:r>
      <w:r w:rsidR="00CB6BD9" w:rsidRPr="00D31F3A">
        <w:rPr>
          <w:rFonts w:asciiTheme="minorHAnsi" w:eastAsia="Calibri" w:hAnsiTheme="minorHAnsi"/>
          <w:sz w:val="24"/>
          <w:szCs w:val="24"/>
        </w:rPr>
        <w:t>.</w:t>
      </w:r>
    </w:p>
    <w:p w14:paraId="2CC2E271" w14:textId="471350E3" w:rsidR="00512A65" w:rsidRPr="00512A65" w:rsidRDefault="00C121D1" w:rsidP="00512A65">
      <w:pPr>
        <w:pStyle w:val="ListParagraph"/>
        <w:numPr>
          <w:ilvl w:val="0"/>
          <w:numId w:val="15"/>
        </w:numPr>
        <w:spacing w:line="276" w:lineRule="auto"/>
        <w:ind w:right="-188"/>
        <w:rPr>
          <w:rFonts w:asciiTheme="minorHAnsi" w:eastAsia="Calibri" w:hAnsiTheme="minorHAnsi"/>
          <w:sz w:val="24"/>
          <w:szCs w:val="24"/>
        </w:rPr>
      </w:pPr>
      <w:r>
        <w:rPr>
          <w:rFonts w:asciiTheme="minorHAnsi" w:eastAsia="Calibri" w:hAnsiTheme="minorHAnsi"/>
          <w:sz w:val="24"/>
          <w:szCs w:val="24"/>
        </w:rPr>
        <w:t xml:space="preserve">Revision of </w:t>
      </w:r>
      <w:r w:rsidR="00CB6BD9" w:rsidRPr="00D31F3A">
        <w:rPr>
          <w:rFonts w:asciiTheme="minorHAnsi" w:eastAsia="Calibri" w:hAnsiTheme="minorHAnsi"/>
          <w:sz w:val="24"/>
          <w:szCs w:val="24"/>
        </w:rPr>
        <w:t xml:space="preserve">the taxation regime </w:t>
      </w:r>
      <w:r>
        <w:rPr>
          <w:rFonts w:asciiTheme="minorHAnsi" w:eastAsia="Calibri" w:hAnsiTheme="minorHAnsi"/>
          <w:sz w:val="24"/>
          <w:szCs w:val="24"/>
        </w:rPr>
        <w:t xml:space="preserve">for land </w:t>
      </w:r>
      <w:r w:rsidR="00CB6BD9" w:rsidRPr="00D31F3A">
        <w:rPr>
          <w:rFonts w:asciiTheme="minorHAnsi" w:eastAsia="Calibri" w:hAnsiTheme="minorHAnsi"/>
          <w:sz w:val="24"/>
          <w:szCs w:val="24"/>
        </w:rPr>
        <w:t>to stimulate rational, regenerative and sustainable uses</w:t>
      </w:r>
      <w:r>
        <w:rPr>
          <w:rFonts w:asciiTheme="minorHAnsi" w:eastAsia="Calibri" w:hAnsiTheme="minorHAnsi"/>
          <w:sz w:val="24"/>
          <w:szCs w:val="24"/>
        </w:rPr>
        <w:t xml:space="preserve">, rather than as a tax-free basis for inheritance or as an investment for conversion to </w:t>
      </w:r>
      <w:proofErr w:type="spellStart"/>
      <w:r>
        <w:rPr>
          <w:rFonts w:asciiTheme="minorHAnsi" w:eastAsia="Calibri" w:hAnsiTheme="minorHAnsi"/>
          <w:sz w:val="24"/>
          <w:szCs w:val="24"/>
        </w:rPr>
        <w:t>built</w:t>
      </w:r>
      <w:proofErr w:type="spellEnd"/>
      <w:r>
        <w:rPr>
          <w:rFonts w:asciiTheme="minorHAnsi" w:eastAsia="Calibri" w:hAnsiTheme="minorHAnsi"/>
          <w:sz w:val="24"/>
          <w:szCs w:val="24"/>
        </w:rPr>
        <w:t xml:space="preserve"> development</w:t>
      </w:r>
      <w:r w:rsidR="00531BE3" w:rsidRPr="00D31F3A">
        <w:rPr>
          <w:rFonts w:asciiTheme="minorHAnsi" w:eastAsia="Calibri" w:hAnsiTheme="minorHAnsi"/>
          <w:sz w:val="24"/>
          <w:szCs w:val="24"/>
        </w:rPr>
        <w:t>.</w:t>
      </w:r>
      <w:r w:rsidR="00512A65">
        <w:rPr>
          <w:rFonts w:asciiTheme="minorHAnsi" w:eastAsia="Calibri" w:hAnsiTheme="minorHAnsi"/>
          <w:sz w:val="24"/>
          <w:szCs w:val="24"/>
        </w:rPr>
        <w:t xml:space="preserve">  Key to gaining support f</w:t>
      </w:r>
      <w:r w:rsidR="00512A65" w:rsidRPr="00512A65">
        <w:rPr>
          <w:rFonts w:asciiTheme="minorHAnsi" w:eastAsia="Calibri" w:hAnsiTheme="minorHAnsi"/>
          <w:sz w:val="24"/>
          <w:szCs w:val="24"/>
        </w:rPr>
        <w:t xml:space="preserve">iscal reform </w:t>
      </w:r>
      <w:r w:rsidR="00512A65">
        <w:rPr>
          <w:rFonts w:asciiTheme="minorHAnsi" w:eastAsia="Calibri" w:hAnsiTheme="minorHAnsi"/>
          <w:sz w:val="24"/>
          <w:szCs w:val="24"/>
        </w:rPr>
        <w:t xml:space="preserve">is the ‘selling’ of this concept </w:t>
      </w:r>
      <w:r w:rsidR="00512A65" w:rsidRPr="00512A65">
        <w:rPr>
          <w:rFonts w:asciiTheme="minorHAnsi" w:eastAsia="Calibri" w:hAnsiTheme="minorHAnsi"/>
          <w:sz w:val="24"/>
          <w:szCs w:val="24"/>
        </w:rPr>
        <w:t>to both public and politicians</w:t>
      </w:r>
      <w:r w:rsidR="00512A65">
        <w:rPr>
          <w:rFonts w:asciiTheme="minorHAnsi" w:eastAsia="Calibri" w:hAnsiTheme="minorHAnsi"/>
          <w:sz w:val="24"/>
          <w:szCs w:val="24"/>
        </w:rPr>
        <w:t xml:space="preserve"> </w:t>
      </w:r>
      <w:r w:rsidR="000A5CD8">
        <w:rPr>
          <w:rFonts w:asciiTheme="minorHAnsi" w:eastAsia="Calibri" w:hAnsiTheme="minorHAnsi"/>
          <w:sz w:val="24"/>
          <w:szCs w:val="24"/>
        </w:rPr>
        <w:t xml:space="preserve">by demonstrating it as </w:t>
      </w:r>
      <w:r w:rsidR="00512A65">
        <w:rPr>
          <w:rFonts w:asciiTheme="minorHAnsi" w:eastAsia="Calibri" w:hAnsiTheme="minorHAnsi"/>
          <w:sz w:val="24"/>
          <w:szCs w:val="24"/>
        </w:rPr>
        <w:t xml:space="preserve">a </w:t>
      </w:r>
      <w:r w:rsidR="00512A65" w:rsidRPr="00512A65">
        <w:rPr>
          <w:rFonts w:asciiTheme="minorHAnsi" w:eastAsia="Calibri" w:hAnsiTheme="minorHAnsi"/>
          <w:sz w:val="24"/>
          <w:szCs w:val="24"/>
        </w:rPr>
        <w:t>solution</w:t>
      </w:r>
      <w:r w:rsidR="00512A65">
        <w:rPr>
          <w:rFonts w:asciiTheme="minorHAnsi" w:eastAsia="Calibri" w:hAnsiTheme="minorHAnsi"/>
          <w:sz w:val="24"/>
          <w:szCs w:val="24"/>
        </w:rPr>
        <w:t xml:space="preserve"> to </w:t>
      </w:r>
      <w:r w:rsidR="000A5CD8">
        <w:rPr>
          <w:rFonts w:asciiTheme="minorHAnsi" w:eastAsia="Calibri" w:hAnsiTheme="minorHAnsi"/>
          <w:sz w:val="24"/>
          <w:szCs w:val="24"/>
        </w:rPr>
        <w:t>various issues</w:t>
      </w:r>
      <w:r w:rsidR="00512A65" w:rsidRPr="00512A65">
        <w:rPr>
          <w:rFonts w:asciiTheme="minorHAnsi" w:eastAsia="Calibri" w:hAnsiTheme="minorHAnsi"/>
          <w:sz w:val="24"/>
          <w:szCs w:val="24"/>
        </w:rPr>
        <w:t>.</w:t>
      </w:r>
    </w:p>
    <w:p w14:paraId="0891C9CF" w14:textId="604EAC14" w:rsidR="0065045B" w:rsidRPr="00D31F3A" w:rsidRDefault="00F57C3D" w:rsidP="0065045B">
      <w:pPr>
        <w:pStyle w:val="ListParagraph"/>
        <w:numPr>
          <w:ilvl w:val="0"/>
          <w:numId w:val="15"/>
        </w:numPr>
        <w:spacing w:line="276" w:lineRule="auto"/>
        <w:ind w:right="-188"/>
        <w:rPr>
          <w:rFonts w:asciiTheme="minorHAnsi" w:eastAsia="Calibri" w:hAnsiTheme="minorHAnsi"/>
          <w:sz w:val="24"/>
          <w:szCs w:val="24"/>
        </w:rPr>
      </w:pPr>
      <w:r w:rsidRPr="00D31F3A">
        <w:rPr>
          <w:rFonts w:asciiTheme="minorHAnsi" w:eastAsia="Calibri" w:hAnsiTheme="minorHAnsi"/>
          <w:sz w:val="24"/>
          <w:szCs w:val="24"/>
        </w:rPr>
        <w:t xml:space="preserve">Embedding the principle of ‘penalising </w:t>
      </w:r>
      <w:proofErr w:type="spellStart"/>
      <w:r w:rsidRPr="00D31F3A">
        <w:rPr>
          <w:rFonts w:asciiTheme="minorHAnsi" w:eastAsia="Calibri" w:hAnsiTheme="minorHAnsi"/>
          <w:sz w:val="24"/>
          <w:szCs w:val="24"/>
        </w:rPr>
        <w:t>bads</w:t>
      </w:r>
      <w:proofErr w:type="spellEnd"/>
      <w:r w:rsidRPr="00D31F3A">
        <w:rPr>
          <w:rFonts w:asciiTheme="minorHAnsi" w:eastAsia="Calibri" w:hAnsiTheme="minorHAnsi"/>
          <w:sz w:val="24"/>
          <w:szCs w:val="24"/>
        </w:rPr>
        <w:t xml:space="preserve"> and rewarding</w:t>
      </w:r>
      <w:r w:rsidR="003742E4" w:rsidRPr="00D31F3A">
        <w:rPr>
          <w:rFonts w:asciiTheme="minorHAnsi" w:eastAsia="Calibri" w:hAnsiTheme="minorHAnsi"/>
          <w:sz w:val="24"/>
          <w:szCs w:val="24"/>
        </w:rPr>
        <w:t xml:space="preserve"> goods’ to protect or enhance </w:t>
      </w:r>
      <w:r w:rsidRPr="00D31F3A">
        <w:rPr>
          <w:rFonts w:asciiTheme="minorHAnsi" w:eastAsia="Calibri" w:hAnsiTheme="minorHAnsi"/>
          <w:sz w:val="24"/>
          <w:szCs w:val="24"/>
        </w:rPr>
        <w:t>an economy’s</w:t>
      </w:r>
      <w:r w:rsidR="007006DC">
        <w:rPr>
          <w:rFonts w:asciiTheme="minorHAnsi" w:eastAsia="Calibri" w:hAnsiTheme="minorHAnsi"/>
          <w:sz w:val="24"/>
          <w:szCs w:val="24"/>
        </w:rPr>
        <w:t xml:space="preserve"> </w:t>
      </w:r>
      <w:r w:rsidRPr="00D31F3A">
        <w:rPr>
          <w:rFonts w:asciiTheme="minorHAnsi" w:eastAsia="Calibri" w:hAnsiTheme="minorHAnsi"/>
          <w:sz w:val="24"/>
          <w:szCs w:val="24"/>
        </w:rPr>
        <w:t>foundational natural capital</w:t>
      </w:r>
      <w:r w:rsidR="005129CF">
        <w:rPr>
          <w:rFonts w:asciiTheme="minorHAnsi" w:eastAsia="Calibri" w:hAnsiTheme="minorHAnsi"/>
          <w:sz w:val="24"/>
          <w:szCs w:val="24"/>
        </w:rPr>
        <w:t xml:space="preserve"> (consistent with long-standing ‘green economy’ principles, for example Pearce </w:t>
      </w:r>
      <w:r w:rsidR="005129CF" w:rsidRPr="005129CF">
        <w:rPr>
          <w:rFonts w:asciiTheme="minorHAnsi" w:eastAsia="Calibri" w:hAnsiTheme="minorHAnsi"/>
          <w:i/>
          <w:sz w:val="24"/>
          <w:szCs w:val="24"/>
        </w:rPr>
        <w:t>et al</w:t>
      </w:r>
      <w:r w:rsidR="005129CF">
        <w:rPr>
          <w:rFonts w:asciiTheme="minorHAnsi" w:eastAsia="Calibri" w:hAnsiTheme="minorHAnsi"/>
          <w:sz w:val="24"/>
          <w:szCs w:val="24"/>
        </w:rPr>
        <w:t>., 1989)</w:t>
      </w:r>
      <w:r w:rsidRPr="00D31F3A">
        <w:rPr>
          <w:rFonts w:asciiTheme="minorHAnsi" w:eastAsia="Calibri" w:hAnsiTheme="minorHAnsi"/>
          <w:sz w:val="24"/>
          <w:szCs w:val="24"/>
        </w:rPr>
        <w:t>.</w:t>
      </w:r>
      <w:r w:rsidR="0065045B">
        <w:rPr>
          <w:rFonts w:asciiTheme="minorHAnsi" w:eastAsia="Calibri" w:hAnsiTheme="minorHAnsi"/>
          <w:sz w:val="24"/>
          <w:szCs w:val="24"/>
        </w:rPr>
        <w:t xml:space="preserve">  This may include i</w:t>
      </w:r>
      <w:r w:rsidR="0065045B" w:rsidRPr="00D31F3A">
        <w:rPr>
          <w:rFonts w:asciiTheme="minorHAnsi" w:eastAsia="Calibri" w:hAnsiTheme="minorHAnsi"/>
          <w:sz w:val="24"/>
          <w:szCs w:val="24"/>
        </w:rPr>
        <w:t xml:space="preserve">ntroducing taxation of carbon, </w:t>
      </w:r>
      <w:r w:rsidR="0065045B" w:rsidRPr="00D31F3A">
        <w:rPr>
          <w:rFonts w:asciiTheme="minorHAnsi" w:eastAsia="Calibri" w:hAnsiTheme="minorHAnsi"/>
          <w:bCs/>
          <w:sz w:val="24"/>
          <w:szCs w:val="24"/>
        </w:rPr>
        <w:t>embedded water and nutrients</w:t>
      </w:r>
      <w:r w:rsidR="0065045B" w:rsidRPr="00D31F3A">
        <w:rPr>
          <w:rFonts w:asciiTheme="minorHAnsi" w:eastAsia="Calibri" w:hAnsiTheme="minorHAnsi"/>
          <w:sz w:val="24"/>
          <w:szCs w:val="24"/>
        </w:rPr>
        <w:t xml:space="preserve"> at the points they enter the economy</w:t>
      </w:r>
      <w:r w:rsidR="0065045B" w:rsidRPr="00D31F3A">
        <w:rPr>
          <w:rFonts w:asciiTheme="minorHAnsi" w:eastAsia="Calibri" w:hAnsiTheme="minorHAnsi"/>
          <w:bCs/>
          <w:sz w:val="24"/>
          <w:szCs w:val="24"/>
        </w:rPr>
        <w:t xml:space="preserve">, </w:t>
      </w:r>
      <w:r w:rsidR="00C121D1">
        <w:rPr>
          <w:rFonts w:asciiTheme="minorHAnsi" w:eastAsia="Calibri" w:hAnsiTheme="minorHAnsi"/>
          <w:bCs/>
          <w:sz w:val="24"/>
          <w:szCs w:val="24"/>
        </w:rPr>
        <w:t xml:space="preserve">and importantly </w:t>
      </w:r>
      <w:r w:rsidR="0065045B" w:rsidRPr="00D31F3A">
        <w:rPr>
          <w:rFonts w:asciiTheme="minorHAnsi" w:eastAsia="Calibri" w:hAnsiTheme="minorHAnsi"/>
          <w:bCs/>
          <w:sz w:val="24"/>
          <w:szCs w:val="24"/>
        </w:rPr>
        <w:t xml:space="preserve">hypothecating </w:t>
      </w:r>
      <w:r w:rsidR="0065045B" w:rsidRPr="00D31F3A">
        <w:rPr>
          <w:rFonts w:asciiTheme="minorHAnsi" w:eastAsia="Calibri" w:hAnsiTheme="minorHAnsi"/>
          <w:sz w:val="24"/>
          <w:szCs w:val="24"/>
        </w:rPr>
        <w:t>revenues towards low-carbon and regenerative ecosystem practices.</w:t>
      </w:r>
    </w:p>
    <w:p w14:paraId="05172BB0" w14:textId="33FCC5D9" w:rsidR="00F57C3D" w:rsidRPr="00D31F3A" w:rsidRDefault="00F57C3D" w:rsidP="00BF1084">
      <w:pPr>
        <w:pStyle w:val="ListParagraph"/>
        <w:numPr>
          <w:ilvl w:val="0"/>
          <w:numId w:val="15"/>
        </w:numPr>
        <w:spacing w:line="276" w:lineRule="auto"/>
        <w:ind w:right="-188"/>
        <w:rPr>
          <w:rFonts w:asciiTheme="minorHAnsi" w:eastAsia="Calibri" w:hAnsiTheme="minorHAnsi"/>
          <w:sz w:val="24"/>
          <w:szCs w:val="24"/>
        </w:rPr>
      </w:pPr>
      <w:r w:rsidRPr="00D31F3A">
        <w:rPr>
          <w:rFonts w:asciiTheme="minorHAnsi" w:eastAsia="Calibri" w:hAnsiTheme="minorHAnsi"/>
          <w:sz w:val="24"/>
          <w:szCs w:val="24"/>
        </w:rPr>
        <w:t xml:space="preserve">Increasing flexibility and systemic approaches to </w:t>
      </w:r>
      <w:r w:rsidR="00C121D1">
        <w:rPr>
          <w:rFonts w:asciiTheme="minorHAnsi" w:eastAsia="Calibri" w:hAnsiTheme="minorHAnsi"/>
          <w:sz w:val="24"/>
          <w:szCs w:val="24"/>
        </w:rPr>
        <w:t xml:space="preserve">allocation </w:t>
      </w:r>
      <w:r w:rsidRPr="00D31F3A">
        <w:rPr>
          <w:rFonts w:asciiTheme="minorHAnsi" w:eastAsia="Calibri" w:hAnsiTheme="minorHAnsi"/>
          <w:sz w:val="24"/>
          <w:szCs w:val="24"/>
        </w:rPr>
        <w:t>of budgets and associated budgetary rules, focussing on delivering multiple benefits for multiple objectives</w:t>
      </w:r>
      <w:r w:rsidR="008F0B84">
        <w:rPr>
          <w:rFonts w:asciiTheme="minorHAnsi" w:eastAsia="Calibri" w:hAnsiTheme="minorHAnsi"/>
          <w:sz w:val="24"/>
          <w:szCs w:val="24"/>
        </w:rPr>
        <w:t xml:space="preserve"> rather than </w:t>
      </w:r>
      <w:r w:rsidR="00CB6BD9">
        <w:rPr>
          <w:rFonts w:asciiTheme="minorHAnsi" w:eastAsia="Calibri" w:hAnsiTheme="minorHAnsi"/>
          <w:sz w:val="24"/>
          <w:szCs w:val="24"/>
        </w:rPr>
        <w:t xml:space="preserve">one-dimensional </w:t>
      </w:r>
      <w:r w:rsidR="008F0B84">
        <w:rPr>
          <w:rFonts w:asciiTheme="minorHAnsi" w:eastAsia="Calibri" w:hAnsiTheme="minorHAnsi"/>
          <w:sz w:val="24"/>
          <w:szCs w:val="24"/>
        </w:rPr>
        <w:t>‘ring-fenced’</w:t>
      </w:r>
      <w:r w:rsidR="00A0042D">
        <w:rPr>
          <w:rFonts w:asciiTheme="minorHAnsi" w:eastAsia="Calibri" w:hAnsiTheme="minorHAnsi"/>
          <w:sz w:val="24"/>
          <w:szCs w:val="24"/>
        </w:rPr>
        <w:t xml:space="preserve"> allocation</w:t>
      </w:r>
      <w:r w:rsidR="00CB6BD9">
        <w:rPr>
          <w:rFonts w:asciiTheme="minorHAnsi" w:eastAsia="Calibri" w:hAnsiTheme="minorHAnsi"/>
          <w:sz w:val="24"/>
          <w:szCs w:val="24"/>
        </w:rPr>
        <w:t>s</w:t>
      </w:r>
      <w:r w:rsidRPr="00D31F3A">
        <w:rPr>
          <w:rFonts w:asciiTheme="minorHAnsi" w:eastAsia="Calibri" w:hAnsiTheme="minorHAnsi" w:cs="Times New Roman"/>
          <w:sz w:val="24"/>
          <w:szCs w:val="24"/>
        </w:rPr>
        <w:t>.</w:t>
      </w:r>
    </w:p>
    <w:p w14:paraId="64F3B1BD" w14:textId="5041BC1F" w:rsidR="00F57C3D" w:rsidRPr="00D31F3A" w:rsidRDefault="00A13A3E" w:rsidP="00A13A3E">
      <w:pPr>
        <w:pStyle w:val="ListParagraph"/>
        <w:numPr>
          <w:ilvl w:val="0"/>
          <w:numId w:val="15"/>
        </w:numPr>
        <w:spacing w:line="276" w:lineRule="auto"/>
        <w:ind w:right="-188"/>
        <w:rPr>
          <w:rFonts w:asciiTheme="minorHAnsi" w:eastAsia="Calibri" w:hAnsiTheme="minorHAnsi"/>
          <w:sz w:val="24"/>
          <w:szCs w:val="24"/>
        </w:rPr>
      </w:pPr>
      <w:r>
        <w:rPr>
          <w:rFonts w:asciiTheme="minorHAnsi" w:eastAsia="Calibri" w:hAnsiTheme="minorHAnsi" w:cs="Arial"/>
          <w:sz w:val="24"/>
          <w:szCs w:val="24"/>
        </w:rPr>
        <w:t xml:space="preserve">Moving beyond reliance on economic valuation to assess </w:t>
      </w:r>
      <w:r w:rsidR="00F57C3D" w:rsidRPr="00D31F3A">
        <w:rPr>
          <w:rFonts w:asciiTheme="minorHAnsi" w:eastAsia="Calibri" w:hAnsiTheme="minorHAnsi" w:cs="Arial"/>
          <w:sz w:val="24"/>
          <w:szCs w:val="24"/>
        </w:rPr>
        <w:t>natural capital</w:t>
      </w:r>
      <w:r>
        <w:rPr>
          <w:rFonts w:asciiTheme="minorHAnsi" w:eastAsia="Calibri" w:hAnsiTheme="minorHAnsi" w:cs="Arial"/>
          <w:sz w:val="24"/>
          <w:szCs w:val="24"/>
        </w:rPr>
        <w:t>, developing a broader basis of ecologically centred assessment complementing the partial economic assessment currently link</w:t>
      </w:r>
      <w:r w:rsidR="002255D4">
        <w:rPr>
          <w:rFonts w:asciiTheme="minorHAnsi" w:eastAsia="Calibri" w:hAnsiTheme="minorHAnsi" w:cs="Arial"/>
          <w:sz w:val="24"/>
          <w:szCs w:val="24"/>
        </w:rPr>
        <w:t>ed</w:t>
      </w:r>
      <w:r>
        <w:rPr>
          <w:rFonts w:asciiTheme="minorHAnsi" w:eastAsia="Calibri" w:hAnsiTheme="minorHAnsi" w:cs="Arial"/>
          <w:sz w:val="24"/>
          <w:szCs w:val="24"/>
        </w:rPr>
        <w:t xml:space="preserve"> to </w:t>
      </w:r>
      <w:r w:rsidR="00F57C3D" w:rsidRPr="00D31F3A">
        <w:rPr>
          <w:rFonts w:asciiTheme="minorHAnsi" w:eastAsia="Calibri" w:hAnsiTheme="minorHAnsi" w:cs="Arial"/>
          <w:sz w:val="24"/>
          <w:szCs w:val="24"/>
        </w:rPr>
        <w:t>national accounts</w:t>
      </w:r>
      <w:r>
        <w:rPr>
          <w:rFonts w:asciiTheme="minorHAnsi" w:eastAsia="Calibri" w:hAnsiTheme="minorHAnsi" w:cs="Arial"/>
          <w:sz w:val="24"/>
          <w:szCs w:val="24"/>
        </w:rPr>
        <w:t xml:space="preserve"> (</w:t>
      </w:r>
      <w:r w:rsidR="004A4C3A">
        <w:rPr>
          <w:rFonts w:asciiTheme="minorHAnsi" w:eastAsia="Calibri" w:hAnsiTheme="minorHAnsi" w:cs="Arial"/>
          <w:sz w:val="24"/>
          <w:szCs w:val="24"/>
        </w:rPr>
        <w:t>Natural England, 2019</w:t>
      </w:r>
      <w:r>
        <w:rPr>
          <w:rFonts w:asciiTheme="minorHAnsi" w:eastAsia="Calibri" w:hAnsiTheme="minorHAnsi" w:cs="Arial"/>
          <w:sz w:val="24"/>
          <w:szCs w:val="24"/>
        </w:rPr>
        <w:t xml:space="preserve">).  This will potentially </w:t>
      </w:r>
      <w:r w:rsidR="00C121D1" w:rsidRPr="00D31F3A">
        <w:rPr>
          <w:rFonts w:asciiTheme="minorHAnsi" w:eastAsia="Calibri" w:hAnsiTheme="minorHAnsi" w:cs="Arial"/>
          <w:sz w:val="24"/>
          <w:szCs w:val="24"/>
        </w:rPr>
        <w:t>influence economic priorities and steer economic activities</w:t>
      </w:r>
      <w:r w:rsidR="00C121D1">
        <w:rPr>
          <w:rFonts w:asciiTheme="minorHAnsi" w:eastAsia="Calibri" w:hAnsiTheme="minorHAnsi" w:cs="Arial"/>
          <w:sz w:val="24"/>
          <w:szCs w:val="24"/>
        </w:rPr>
        <w:t xml:space="preserve">, necessitating </w:t>
      </w:r>
      <w:r w:rsidR="00A0042D">
        <w:rPr>
          <w:rFonts w:asciiTheme="minorHAnsi" w:eastAsia="Calibri" w:hAnsiTheme="minorHAnsi" w:cs="Arial"/>
          <w:sz w:val="24"/>
          <w:szCs w:val="24"/>
        </w:rPr>
        <w:t>going beyond market exchange values that simply sho</w:t>
      </w:r>
      <w:r w:rsidR="00CB6BD9">
        <w:rPr>
          <w:rFonts w:asciiTheme="minorHAnsi" w:eastAsia="Calibri" w:hAnsiTheme="minorHAnsi" w:cs="Arial"/>
          <w:sz w:val="24"/>
          <w:szCs w:val="24"/>
        </w:rPr>
        <w:t>e</w:t>
      </w:r>
      <w:r w:rsidR="00A0042D">
        <w:rPr>
          <w:rFonts w:asciiTheme="minorHAnsi" w:eastAsia="Calibri" w:hAnsiTheme="minorHAnsi" w:cs="Arial"/>
          <w:sz w:val="24"/>
          <w:szCs w:val="24"/>
        </w:rPr>
        <w:t>-horn natural assets into existing market strictures</w:t>
      </w:r>
      <w:r w:rsidR="00F57C3D" w:rsidRPr="00D31F3A">
        <w:rPr>
          <w:rFonts w:asciiTheme="minorHAnsi" w:eastAsia="Calibri" w:hAnsiTheme="minorHAnsi" w:cs="Arial"/>
          <w:sz w:val="24"/>
          <w:szCs w:val="24"/>
        </w:rPr>
        <w:t>.</w:t>
      </w:r>
    </w:p>
    <w:p w14:paraId="73F67F57" w14:textId="77777777" w:rsidR="00F57C3D" w:rsidRPr="00D31F3A" w:rsidRDefault="00F57C3D" w:rsidP="00BF1084">
      <w:pPr>
        <w:pStyle w:val="ListParagraph"/>
        <w:numPr>
          <w:ilvl w:val="0"/>
          <w:numId w:val="15"/>
        </w:numPr>
        <w:spacing w:line="276" w:lineRule="auto"/>
        <w:ind w:right="-188"/>
        <w:rPr>
          <w:rFonts w:asciiTheme="minorHAnsi" w:eastAsia="Calibri" w:hAnsiTheme="minorHAnsi"/>
          <w:sz w:val="24"/>
          <w:szCs w:val="24"/>
        </w:rPr>
      </w:pPr>
      <w:r w:rsidRPr="00D31F3A">
        <w:rPr>
          <w:rFonts w:asciiTheme="minorHAnsi" w:eastAsia="Calibri" w:hAnsiTheme="minorHAnsi" w:cs="Arial"/>
          <w:sz w:val="24"/>
          <w:szCs w:val="24"/>
        </w:rPr>
        <w:t>Phasing in requirements for natural capital evaluations within organisations to increase awareness and sympathetic accommodation of ecosystem dependencies.</w:t>
      </w:r>
    </w:p>
    <w:p w14:paraId="4195666D" w14:textId="2020184D" w:rsidR="00F57C3D" w:rsidRPr="00D31F3A" w:rsidRDefault="00217867" w:rsidP="00BF1084">
      <w:pPr>
        <w:pStyle w:val="ListParagraph"/>
        <w:numPr>
          <w:ilvl w:val="0"/>
          <w:numId w:val="15"/>
        </w:numPr>
        <w:spacing w:line="276" w:lineRule="auto"/>
        <w:ind w:right="-188"/>
        <w:rPr>
          <w:rFonts w:asciiTheme="minorHAnsi" w:eastAsia="Calibri" w:hAnsiTheme="minorHAnsi"/>
          <w:sz w:val="24"/>
          <w:szCs w:val="24"/>
        </w:rPr>
      </w:pPr>
      <w:r w:rsidRPr="00217867">
        <w:rPr>
          <w:rFonts w:asciiTheme="minorHAnsi" w:eastAsia="Calibri" w:hAnsiTheme="minorHAnsi" w:cs="Arial"/>
          <w:sz w:val="24"/>
          <w:szCs w:val="24"/>
        </w:rPr>
        <w:t>Reinventing Cost</w:t>
      </w:r>
      <w:r>
        <w:rPr>
          <w:rFonts w:asciiTheme="minorHAnsi" w:eastAsia="Calibri" w:hAnsiTheme="minorHAnsi" w:cs="Arial"/>
          <w:sz w:val="24"/>
          <w:szCs w:val="24"/>
        </w:rPr>
        <w:t>-b</w:t>
      </w:r>
      <w:r w:rsidRPr="00217867">
        <w:rPr>
          <w:rFonts w:asciiTheme="minorHAnsi" w:eastAsia="Calibri" w:hAnsiTheme="minorHAnsi" w:cs="Arial"/>
          <w:sz w:val="24"/>
          <w:szCs w:val="24"/>
        </w:rPr>
        <w:t xml:space="preserve">enefit Analysis </w:t>
      </w:r>
      <w:r>
        <w:rPr>
          <w:rFonts w:asciiTheme="minorHAnsi" w:eastAsia="Calibri" w:hAnsiTheme="minorHAnsi" w:cs="Arial"/>
          <w:sz w:val="24"/>
          <w:szCs w:val="24"/>
        </w:rPr>
        <w:t xml:space="preserve">(CBA) methods to </w:t>
      </w:r>
      <w:r w:rsidR="00F57C3D" w:rsidRPr="00D31F3A">
        <w:rPr>
          <w:rFonts w:asciiTheme="minorHAnsi" w:eastAsia="Calibri" w:hAnsiTheme="minorHAnsi" w:cs="Arial"/>
          <w:sz w:val="24"/>
          <w:szCs w:val="24"/>
        </w:rPr>
        <w:t>promote an ecosystem-centred transition, including both ecosystem dependencies and impacts</w:t>
      </w:r>
      <w:r w:rsidR="00F57C3D" w:rsidRPr="00D31F3A">
        <w:rPr>
          <w:rFonts w:asciiTheme="minorHAnsi" w:eastAsia="Calibri" w:hAnsiTheme="minorHAnsi"/>
          <w:sz w:val="24"/>
          <w:szCs w:val="24"/>
        </w:rPr>
        <w:t>.</w:t>
      </w:r>
    </w:p>
    <w:p w14:paraId="505A1345" w14:textId="20241771" w:rsidR="00F57C3D" w:rsidRPr="00D31F3A" w:rsidRDefault="00F57C3D" w:rsidP="00BF1084">
      <w:pPr>
        <w:pStyle w:val="ListParagraph"/>
        <w:numPr>
          <w:ilvl w:val="0"/>
          <w:numId w:val="15"/>
        </w:numPr>
        <w:spacing w:line="276" w:lineRule="auto"/>
        <w:ind w:right="-188"/>
        <w:rPr>
          <w:rFonts w:asciiTheme="minorHAnsi" w:eastAsia="Calibri" w:hAnsiTheme="minorHAnsi"/>
          <w:sz w:val="24"/>
          <w:szCs w:val="24"/>
        </w:rPr>
      </w:pPr>
      <w:r w:rsidRPr="00D31F3A">
        <w:rPr>
          <w:rFonts w:asciiTheme="minorHAnsi" w:eastAsia="Calibri" w:hAnsiTheme="minorHAnsi"/>
          <w:sz w:val="24"/>
          <w:szCs w:val="24"/>
        </w:rPr>
        <w:t>Introducing ‘appropriate’ discount rates that properly value investments in natural infrastructure</w:t>
      </w:r>
      <w:r w:rsidR="00531BE3">
        <w:rPr>
          <w:rFonts w:asciiTheme="minorHAnsi" w:eastAsia="Calibri" w:hAnsiTheme="minorHAnsi"/>
          <w:sz w:val="24"/>
          <w:szCs w:val="24"/>
        </w:rPr>
        <w:t xml:space="preserve"> and the rights of future generations</w:t>
      </w:r>
      <w:r w:rsidR="00A0042D">
        <w:rPr>
          <w:rFonts w:asciiTheme="minorHAnsi" w:eastAsia="Calibri" w:hAnsiTheme="minorHAnsi"/>
          <w:sz w:val="24"/>
          <w:szCs w:val="24"/>
        </w:rPr>
        <w:t>,</w:t>
      </w:r>
      <w:r w:rsidRPr="00D31F3A">
        <w:rPr>
          <w:rFonts w:asciiTheme="minorHAnsi" w:eastAsia="Calibri" w:hAnsiTheme="minorHAnsi"/>
          <w:sz w:val="24"/>
          <w:szCs w:val="24"/>
        </w:rPr>
        <w:t xml:space="preserve"> recognising the enduring or increasing value of protected or restored foundational natural capital over time.</w:t>
      </w:r>
    </w:p>
    <w:p w14:paraId="273106C8" w14:textId="2FCF83B0" w:rsidR="007006DC" w:rsidRDefault="007006DC" w:rsidP="00D31F3A">
      <w:pPr>
        <w:spacing w:before="120" w:line="276" w:lineRule="auto"/>
        <w:ind w:right="-188"/>
        <w:rPr>
          <w:rFonts w:eastAsia="Calibri" w:cs="Times New Roman"/>
          <w:b/>
          <w:sz w:val="24"/>
          <w:szCs w:val="24"/>
        </w:rPr>
      </w:pPr>
      <w:bookmarkStart w:id="5" w:name="_Toc36225707"/>
    </w:p>
    <w:p w14:paraId="616F71CB" w14:textId="7C997BD8" w:rsidR="00F57C3D" w:rsidRPr="00D31F3A" w:rsidRDefault="00F57C3D" w:rsidP="00D31F3A">
      <w:pPr>
        <w:spacing w:before="120" w:line="276" w:lineRule="auto"/>
        <w:ind w:right="-188"/>
        <w:rPr>
          <w:rFonts w:eastAsia="Calibri" w:cs="Times New Roman"/>
          <w:b/>
          <w:i/>
          <w:color w:val="1F3864" w:themeColor="accent1" w:themeShade="80"/>
          <w:sz w:val="24"/>
          <w:szCs w:val="24"/>
        </w:rPr>
      </w:pPr>
      <w:r w:rsidRPr="00D31F3A">
        <w:rPr>
          <w:rFonts w:eastAsia="Calibri" w:cs="Times New Roman"/>
          <w:b/>
          <w:sz w:val="24"/>
          <w:szCs w:val="24"/>
        </w:rPr>
        <w:t>3.2</w:t>
      </w:r>
      <w:r w:rsidRPr="00D31F3A">
        <w:rPr>
          <w:rFonts w:eastAsia="Calibri" w:cs="Times New Roman"/>
          <w:b/>
          <w:i/>
          <w:sz w:val="24"/>
          <w:szCs w:val="24"/>
        </w:rPr>
        <w:t xml:space="preserve"> The business sector</w:t>
      </w:r>
      <w:bookmarkEnd w:id="5"/>
    </w:p>
    <w:p w14:paraId="0B6D54E9" w14:textId="10D41356" w:rsidR="00F57C3D" w:rsidRPr="00D31F3A" w:rsidRDefault="00F57C3D" w:rsidP="00D31F3A">
      <w:pPr>
        <w:spacing w:line="276" w:lineRule="auto"/>
        <w:ind w:right="-188"/>
        <w:rPr>
          <w:rFonts w:eastAsia="Calibri" w:cs="Arial"/>
          <w:color w:val="FF0000"/>
          <w:sz w:val="24"/>
          <w:szCs w:val="24"/>
        </w:rPr>
      </w:pPr>
      <w:r w:rsidRPr="00D31F3A">
        <w:rPr>
          <w:rFonts w:eastAsia="Calibri" w:cs="Arial"/>
          <w:color w:val="000000" w:themeColor="text1"/>
          <w:sz w:val="24"/>
          <w:szCs w:val="24"/>
        </w:rPr>
        <w:t xml:space="preserve">Business </w:t>
      </w:r>
      <w:r w:rsidR="00C121D1">
        <w:rPr>
          <w:rFonts w:eastAsia="Calibri" w:cs="Arial"/>
          <w:color w:val="000000" w:themeColor="text1"/>
          <w:sz w:val="24"/>
          <w:szCs w:val="24"/>
        </w:rPr>
        <w:t xml:space="preserve">is the </w:t>
      </w:r>
      <w:r w:rsidR="00D31195">
        <w:rPr>
          <w:rFonts w:eastAsia="Calibri" w:cs="Arial"/>
          <w:color w:val="000000" w:themeColor="text1"/>
          <w:sz w:val="24"/>
          <w:szCs w:val="24"/>
        </w:rPr>
        <w:t xml:space="preserve">dominant, globally pervasive </w:t>
      </w:r>
      <w:r w:rsidR="00C121D1">
        <w:rPr>
          <w:rFonts w:eastAsia="Calibri" w:cs="Arial"/>
          <w:color w:val="000000" w:themeColor="text1"/>
          <w:sz w:val="24"/>
          <w:szCs w:val="24"/>
        </w:rPr>
        <w:t xml:space="preserve">capitalist model developed to </w:t>
      </w:r>
      <w:r w:rsidRPr="00D31F3A">
        <w:rPr>
          <w:rFonts w:eastAsia="Calibri" w:cs="Arial"/>
          <w:color w:val="000000" w:themeColor="text1"/>
          <w:sz w:val="24"/>
          <w:szCs w:val="24"/>
        </w:rPr>
        <w:t>convert basic resources into useful products and services</w:t>
      </w:r>
      <w:r w:rsidR="00D31195">
        <w:rPr>
          <w:rFonts w:eastAsia="Calibri" w:cs="Arial"/>
          <w:color w:val="000000" w:themeColor="text1"/>
          <w:sz w:val="24"/>
          <w:szCs w:val="24"/>
        </w:rPr>
        <w:t xml:space="preserve">.  The business sector </w:t>
      </w:r>
      <w:r w:rsidRPr="00D31F3A">
        <w:rPr>
          <w:rFonts w:eastAsia="Calibri" w:cs="Arial"/>
          <w:color w:val="000000" w:themeColor="text1"/>
          <w:sz w:val="24"/>
          <w:szCs w:val="24"/>
        </w:rPr>
        <w:t xml:space="preserve">is </w:t>
      </w:r>
      <w:r w:rsidR="00D31195">
        <w:rPr>
          <w:rFonts w:eastAsia="Calibri" w:cs="Arial"/>
          <w:color w:val="000000" w:themeColor="text1"/>
          <w:sz w:val="24"/>
          <w:szCs w:val="24"/>
        </w:rPr>
        <w:t xml:space="preserve">therefore </w:t>
      </w:r>
      <w:r w:rsidR="00402CF7">
        <w:rPr>
          <w:rFonts w:eastAsia="Calibri" w:cs="Arial"/>
          <w:color w:val="000000" w:themeColor="text1"/>
          <w:sz w:val="24"/>
          <w:szCs w:val="24"/>
        </w:rPr>
        <w:t xml:space="preserve">a </w:t>
      </w:r>
      <w:r w:rsidRPr="00D31F3A">
        <w:rPr>
          <w:rFonts w:eastAsia="Calibri" w:cs="Arial"/>
          <w:color w:val="000000" w:themeColor="text1"/>
          <w:sz w:val="24"/>
          <w:szCs w:val="24"/>
        </w:rPr>
        <w:t>key</w:t>
      </w:r>
      <w:r w:rsidR="003742E4" w:rsidRPr="00D31F3A">
        <w:rPr>
          <w:rFonts w:eastAsia="Calibri" w:cs="Arial"/>
          <w:color w:val="000000" w:themeColor="text1"/>
          <w:sz w:val="24"/>
          <w:szCs w:val="24"/>
        </w:rPr>
        <w:t xml:space="preserve"> </w:t>
      </w:r>
      <w:r w:rsidRPr="00D31F3A">
        <w:rPr>
          <w:rFonts w:eastAsia="Calibri" w:cs="Arial"/>
          <w:color w:val="000000" w:themeColor="text1"/>
          <w:sz w:val="24"/>
          <w:szCs w:val="24"/>
        </w:rPr>
        <w:t xml:space="preserve">arena </w:t>
      </w:r>
      <w:r w:rsidR="00402CF7">
        <w:rPr>
          <w:rFonts w:eastAsia="Calibri" w:cs="Arial"/>
          <w:color w:val="000000" w:themeColor="text1"/>
          <w:sz w:val="24"/>
          <w:szCs w:val="24"/>
        </w:rPr>
        <w:t xml:space="preserve">of societal </w:t>
      </w:r>
      <w:r w:rsidRPr="00D31F3A">
        <w:rPr>
          <w:rFonts w:eastAsia="Calibri" w:cs="Arial"/>
          <w:color w:val="000000" w:themeColor="text1"/>
          <w:sz w:val="24"/>
          <w:szCs w:val="24"/>
        </w:rPr>
        <w:t>sustainability innovation</w:t>
      </w:r>
      <w:r w:rsidR="00D31195">
        <w:rPr>
          <w:rFonts w:eastAsia="Calibri" w:cs="Arial"/>
          <w:color w:val="000000" w:themeColor="text1"/>
          <w:sz w:val="24"/>
          <w:szCs w:val="24"/>
        </w:rPr>
        <w:t>, including the sustainable use of ecosystems in whole product value chains</w:t>
      </w:r>
      <w:r w:rsidRPr="00D31F3A">
        <w:rPr>
          <w:rFonts w:eastAsia="Calibri" w:cs="Arial"/>
          <w:color w:val="000000" w:themeColor="text1"/>
          <w:sz w:val="24"/>
          <w:szCs w:val="24"/>
        </w:rPr>
        <w:t>.  Actionable outcomes for business</w:t>
      </w:r>
      <w:r w:rsidR="00402CF7">
        <w:rPr>
          <w:rFonts w:eastAsia="Calibri" w:cs="Arial"/>
          <w:color w:val="000000" w:themeColor="text1"/>
          <w:sz w:val="24"/>
          <w:szCs w:val="24"/>
        </w:rPr>
        <w:t xml:space="preserve">es to move towards sustainability </w:t>
      </w:r>
      <w:r w:rsidRPr="00D31F3A">
        <w:rPr>
          <w:rFonts w:eastAsia="Calibri" w:cs="Arial"/>
          <w:color w:val="000000" w:themeColor="text1"/>
          <w:sz w:val="24"/>
          <w:szCs w:val="24"/>
        </w:rPr>
        <w:t>include:</w:t>
      </w:r>
    </w:p>
    <w:p w14:paraId="6B13F541" w14:textId="3667CF91" w:rsidR="00F57C3D" w:rsidRPr="00D31F3A" w:rsidRDefault="00F57C3D" w:rsidP="00BF1084">
      <w:pPr>
        <w:pStyle w:val="ListParagraph"/>
        <w:numPr>
          <w:ilvl w:val="0"/>
          <w:numId w:val="16"/>
        </w:numPr>
        <w:spacing w:line="276" w:lineRule="auto"/>
        <w:ind w:right="-188"/>
        <w:rPr>
          <w:rFonts w:asciiTheme="minorHAnsi" w:eastAsia="Calibri" w:hAnsiTheme="minorHAnsi" w:cs="Arial"/>
          <w:sz w:val="24"/>
          <w:szCs w:val="24"/>
        </w:rPr>
      </w:pPr>
      <w:r w:rsidRPr="00D31F3A">
        <w:rPr>
          <w:rFonts w:asciiTheme="minorHAnsi" w:eastAsia="Calibri" w:hAnsiTheme="minorHAnsi" w:cs="Arial"/>
          <w:sz w:val="24"/>
          <w:szCs w:val="24"/>
        </w:rPr>
        <w:t>Stimulating novel business models around the cyclic economy as proven profitable enablers of progress towards sustainability</w:t>
      </w:r>
      <w:r w:rsidR="000A5CD8">
        <w:rPr>
          <w:rFonts w:asciiTheme="minorHAnsi" w:eastAsia="Calibri" w:hAnsiTheme="minorHAnsi" w:cs="Arial"/>
          <w:sz w:val="24"/>
          <w:szCs w:val="24"/>
        </w:rPr>
        <w:t xml:space="preserve">, for example through discretionary business rate relief for progressive circular </w:t>
      </w:r>
      <w:r w:rsidR="0079276A">
        <w:rPr>
          <w:rFonts w:asciiTheme="minorHAnsi" w:eastAsia="Calibri" w:hAnsiTheme="minorHAnsi" w:cs="Arial"/>
          <w:sz w:val="24"/>
          <w:szCs w:val="24"/>
        </w:rPr>
        <w:t xml:space="preserve">economy </w:t>
      </w:r>
      <w:r w:rsidR="000A5CD8">
        <w:rPr>
          <w:rFonts w:asciiTheme="minorHAnsi" w:eastAsia="Calibri" w:hAnsiTheme="minorHAnsi" w:cs="Arial"/>
          <w:sz w:val="24"/>
          <w:szCs w:val="24"/>
        </w:rPr>
        <w:t>companies</w:t>
      </w:r>
      <w:r w:rsidRPr="00D31F3A">
        <w:rPr>
          <w:rFonts w:asciiTheme="minorHAnsi" w:eastAsia="Calibri" w:hAnsiTheme="minorHAnsi" w:cs="Arial"/>
          <w:sz w:val="24"/>
          <w:szCs w:val="24"/>
        </w:rPr>
        <w:t>.</w:t>
      </w:r>
    </w:p>
    <w:p w14:paraId="77B4BED0" w14:textId="70624FB7" w:rsidR="00F57C3D" w:rsidRPr="00D31F3A" w:rsidRDefault="00F57C3D" w:rsidP="00BF1084">
      <w:pPr>
        <w:pStyle w:val="ListParagraph"/>
        <w:numPr>
          <w:ilvl w:val="0"/>
          <w:numId w:val="16"/>
        </w:numPr>
        <w:spacing w:line="276" w:lineRule="auto"/>
        <w:ind w:right="-188"/>
        <w:rPr>
          <w:rFonts w:asciiTheme="minorHAnsi" w:eastAsia="Calibri" w:hAnsiTheme="minorHAnsi" w:cs="Arial"/>
          <w:sz w:val="24"/>
          <w:szCs w:val="24"/>
        </w:rPr>
      </w:pPr>
      <w:r w:rsidRPr="00D31F3A">
        <w:rPr>
          <w:rFonts w:asciiTheme="minorHAnsi" w:eastAsia="Calibri" w:hAnsiTheme="minorHAnsi" w:cs="Arial"/>
          <w:sz w:val="24"/>
          <w:szCs w:val="24"/>
        </w:rPr>
        <w:t>Promoting eco-design of products and infrastructure, including through service-based business models</w:t>
      </w:r>
      <w:r w:rsidRPr="00D31F3A">
        <w:rPr>
          <w:rFonts w:asciiTheme="minorHAnsi" w:hAnsiTheme="minorHAnsi"/>
          <w:sz w:val="24"/>
          <w:szCs w:val="24"/>
        </w:rPr>
        <w:t xml:space="preserve"> (</w:t>
      </w:r>
      <w:proofErr w:type="spellStart"/>
      <w:r w:rsidRPr="00D31F3A">
        <w:rPr>
          <w:rFonts w:asciiTheme="minorHAnsi" w:hAnsiTheme="minorHAnsi"/>
          <w:sz w:val="24"/>
          <w:szCs w:val="24"/>
        </w:rPr>
        <w:t>Lovins</w:t>
      </w:r>
      <w:proofErr w:type="spellEnd"/>
      <w:r w:rsidRPr="00D31F3A">
        <w:rPr>
          <w:rFonts w:asciiTheme="minorHAnsi" w:hAnsiTheme="minorHAnsi"/>
          <w:sz w:val="24"/>
          <w:szCs w:val="24"/>
        </w:rPr>
        <w:t>, 2018).</w:t>
      </w:r>
    </w:p>
    <w:p w14:paraId="6C0929AC" w14:textId="18702211" w:rsidR="00F57C3D" w:rsidRPr="00D31F3A" w:rsidRDefault="00F57C3D" w:rsidP="00BF1084">
      <w:pPr>
        <w:pStyle w:val="ListParagraph"/>
        <w:numPr>
          <w:ilvl w:val="0"/>
          <w:numId w:val="16"/>
        </w:numPr>
        <w:spacing w:line="276" w:lineRule="auto"/>
        <w:ind w:right="-188"/>
        <w:rPr>
          <w:rFonts w:asciiTheme="minorHAnsi" w:eastAsia="Calibri" w:hAnsiTheme="minorHAnsi" w:cs="Arial"/>
          <w:sz w:val="24"/>
          <w:szCs w:val="24"/>
        </w:rPr>
      </w:pPr>
      <w:r w:rsidRPr="00D31F3A">
        <w:rPr>
          <w:rFonts w:asciiTheme="minorHAnsi" w:eastAsia="Calibri" w:hAnsiTheme="minorHAnsi" w:cs="Arial"/>
          <w:sz w:val="24"/>
          <w:szCs w:val="24"/>
        </w:rPr>
        <w:t>Defining, recognising and supporting environmental recovery and restoration as new business sectors in themselves</w:t>
      </w:r>
      <w:r w:rsidR="008D03A7">
        <w:rPr>
          <w:rFonts w:asciiTheme="minorHAnsi" w:eastAsia="Calibri" w:hAnsiTheme="minorHAnsi" w:cs="Arial"/>
          <w:sz w:val="24"/>
          <w:szCs w:val="24"/>
        </w:rPr>
        <w:t>.</w:t>
      </w:r>
      <w:r w:rsidR="00531BE3">
        <w:rPr>
          <w:rFonts w:asciiTheme="minorHAnsi" w:eastAsia="Calibri" w:hAnsiTheme="minorHAnsi" w:cs="Arial"/>
          <w:sz w:val="24"/>
          <w:szCs w:val="24"/>
        </w:rPr>
        <w:t xml:space="preserve"> </w:t>
      </w:r>
      <w:r w:rsidR="008D03A7">
        <w:rPr>
          <w:rFonts w:asciiTheme="minorHAnsi" w:eastAsia="Calibri" w:hAnsiTheme="minorHAnsi" w:cs="Arial"/>
          <w:sz w:val="24"/>
          <w:szCs w:val="24"/>
        </w:rPr>
        <w:t xml:space="preserve"> </w:t>
      </w:r>
      <w:r w:rsidR="00531BE3">
        <w:rPr>
          <w:rFonts w:asciiTheme="minorHAnsi" w:eastAsia="Calibri" w:hAnsiTheme="minorHAnsi" w:cs="Arial"/>
          <w:sz w:val="24"/>
          <w:szCs w:val="24"/>
        </w:rPr>
        <w:t>(</w:t>
      </w:r>
      <w:r w:rsidR="008D03A7">
        <w:rPr>
          <w:rFonts w:asciiTheme="minorHAnsi" w:eastAsia="Calibri" w:hAnsiTheme="minorHAnsi" w:cs="Arial"/>
          <w:sz w:val="24"/>
          <w:szCs w:val="24"/>
        </w:rPr>
        <w:t>T</w:t>
      </w:r>
      <w:r w:rsidR="00531BE3">
        <w:rPr>
          <w:rFonts w:asciiTheme="minorHAnsi" w:eastAsia="Calibri" w:hAnsiTheme="minorHAnsi" w:cs="Arial"/>
          <w:sz w:val="24"/>
          <w:szCs w:val="24"/>
        </w:rPr>
        <w:t>he value of ecological restoration industry in the US alone has been estimated at $9.5 billion</w:t>
      </w:r>
      <w:r w:rsidR="008D03A7">
        <w:rPr>
          <w:rFonts w:asciiTheme="minorHAnsi" w:eastAsia="Calibri" w:hAnsiTheme="minorHAnsi" w:cs="Arial"/>
          <w:sz w:val="24"/>
          <w:szCs w:val="24"/>
        </w:rPr>
        <w:t xml:space="preserve">: </w:t>
      </w:r>
      <w:proofErr w:type="spellStart"/>
      <w:r w:rsidR="008D03A7">
        <w:rPr>
          <w:rFonts w:asciiTheme="minorHAnsi" w:eastAsia="Calibri" w:hAnsiTheme="minorHAnsi" w:cs="Arial"/>
          <w:sz w:val="24"/>
          <w:szCs w:val="24"/>
        </w:rPr>
        <w:t>BenDor</w:t>
      </w:r>
      <w:proofErr w:type="spellEnd"/>
      <w:r w:rsidR="008D03A7">
        <w:rPr>
          <w:rFonts w:asciiTheme="minorHAnsi" w:eastAsia="Calibri" w:hAnsiTheme="minorHAnsi" w:cs="Arial"/>
          <w:sz w:val="24"/>
          <w:szCs w:val="24"/>
        </w:rPr>
        <w:t xml:space="preserve"> </w:t>
      </w:r>
      <w:r w:rsidR="008D03A7" w:rsidRPr="008D03A7">
        <w:rPr>
          <w:rFonts w:asciiTheme="minorHAnsi" w:eastAsia="Calibri" w:hAnsiTheme="minorHAnsi" w:cs="Arial"/>
          <w:i/>
          <w:sz w:val="24"/>
          <w:szCs w:val="24"/>
        </w:rPr>
        <w:t>et al</w:t>
      </w:r>
      <w:r w:rsidR="008D03A7">
        <w:rPr>
          <w:rFonts w:asciiTheme="minorHAnsi" w:eastAsia="Calibri" w:hAnsiTheme="minorHAnsi" w:cs="Arial"/>
          <w:sz w:val="24"/>
          <w:szCs w:val="24"/>
        </w:rPr>
        <w:t>., 2015</w:t>
      </w:r>
      <w:r w:rsidR="00531BE3">
        <w:rPr>
          <w:rFonts w:asciiTheme="minorHAnsi" w:eastAsia="Calibri" w:hAnsiTheme="minorHAnsi" w:cs="Arial"/>
          <w:sz w:val="24"/>
          <w:szCs w:val="24"/>
        </w:rPr>
        <w:t>)</w:t>
      </w:r>
      <w:r w:rsidRPr="00D31F3A">
        <w:rPr>
          <w:rFonts w:asciiTheme="minorHAnsi" w:eastAsia="Calibri" w:hAnsiTheme="minorHAnsi" w:cs="Arial"/>
          <w:sz w:val="24"/>
          <w:szCs w:val="24"/>
        </w:rPr>
        <w:t>.</w:t>
      </w:r>
    </w:p>
    <w:p w14:paraId="2A4F40FA" w14:textId="5D8947C8" w:rsidR="00402CF7" w:rsidRPr="00D31F3A" w:rsidRDefault="00402CF7" w:rsidP="00402CF7">
      <w:pPr>
        <w:pStyle w:val="ListParagraph"/>
        <w:numPr>
          <w:ilvl w:val="0"/>
          <w:numId w:val="16"/>
        </w:numPr>
        <w:spacing w:line="276" w:lineRule="auto"/>
        <w:ind w:right="-188"/>
        <w:rPr>
          <w:rFonts w:asciiTheme="minorHAnsi" w:eastAsia="Calibri" w:hAnsiTheme="minorHAnsi" w:cs="Arial"/>
          <w:sz w:val="24"/>
          <w:szCs w:val="24"/>
        </w:rPr>
      </w:pPr>
      <w:r>
        <w:rPr>
          <w:rFonts w:asciiTheme="minorHAnsi" w:eastAsia="Calibri" w:hAnsiTheme="minorHAnsi" w:cs="Arial"/>
          <w:sz w:val="24"/>
          <w:szCs w:val="24"/>
        </w:rPr>
        <w:t xml:space="preserve">Working </w:t>
      </w:r>
      <w:r w:rsidR="00CB6BD9">
        <w:rPr>
          <w:rFonts w:asciiTheme="minorHAnsi" w:eastAsia="Calibri" w:hAnsiTheme="minorHAnsi" w:cs="Arial"/>
          <w:sz w:val="24"/>
          <w:szCs w:val="24"/>
        </w:rPr>
        <w:t>collaboratively with regulatory institutions to s</w:t>
      </w:r>
      <w:r w:rsidR="00CB6BD9" w:rsidRPr="00D31F3A">
        <w:rPr>
          <w:rFonts w:asciiTheme="minorHAnsi" w:eastAsia="Calibri" w:hAnsiTheme="minorHAnsi" w:cs="Arial"/>
          <w:sz w:val="24"/>
          <w:szCs w:val="24"/>
        </w:rPr>
        <w:t>trengthen</w:t>
      </w:r>
      <w:r w:rsidR="00CB6BD9">
        <w:rPr>
          <w:rFonts w:asciiTheme="minorHAnsi" w:eastAsia="Calibri" w:hAnsiTheme="minorHAnsi" w:cs="Arial"/>
          <w:sz w:val="24"/>
          <w:szCs w:val="24"/>
        </w:rPr>
        <w:t xml:space="preserve"> </w:t>
      </w:r>
      <w:r w:rsidR="00CB6BD9" w:rsidRPr="00D31F3A">
        <w:rPr>
          <w:rFonts w:asciiTheme="minorHAnsi" w:eastAsia="Calibri" w:hAnsiTheme="minorHAnsi" w:cs="Arial"/>
          <w:sz w:val="24"/>
          <w:szCs w:val="24"/>
        </w:rPr>
        <w:t>policy develop</w:t>
      </w:r>
      <w:r w:rsidR="00CB6BD9">
        <w:rPr>
          <w:rFonts w:asciiTheme="minorHAnsi" w:eastAsia="Calibri" w:hAnsiTheme="minorHAnsi" w:cs="Arial"/>
          <w:sz w:val="24"/>
          <w:szCs w:val="24"/>
        </w:rPr>
        <w:t>ment, promoting</w:t>
      </w:r>
      <w:r w:rsidR="00CB6BD9" w:rsidRPr="00D31F3A">
        <w:rPr>
          <w:rFonts w:asciiTheme="minorHAnsi" w:eastAsia="Calibri" w:hAnsiTheme="minorHAnsi" w:cs="Arial"/>
          <w:sz w:val="24"/>
          <w:szCs w:val="24"/>
        </w:rPr>
        <w:t xml:space="preserve"> more systemic, long-term frameworks</w:t>
      </w:r>
      <w:r w:rsidR="00CB6BD9">
        <w:rPr>
          <w:rFonts w:asciiTheme="minorHAnsi" w:eastAsia="Calibri" w:hAnsiTheme="minorHAnsi" w:cs="Arial"/>
          <w:sz w:val="24"/>
          <w:szCs w:val="24"/>
        </w:rPr>
        <w:t xml:space="preserve">, </w:t>
      </w:r>
      <w:r w:rsidR="00CB6BD9" w:rsidRPr="00D31F3A">
        <w:rPr>
          <w:rFonts w:asciiTheme="minorHAnsi" w:eastAsia="Calibri" w:hAnsiTheme="minorHAnsi" w:cs="Arial"/>
          <w:sz w:val="24"/>
          <w:szCs w:val="24"/>
        </w:rPr>
        <w:t>targets</w:t>
      </w:r>
      <w:r w:rsidR="00CB6BD9">
        <w:rPr>
          <w:rFonts w:asciiTheme="minorHAnsi" w:eastAsia="Calibri" w:hAnsiTheme="minorHAnsi" w:cs="Arial"/>
          <w:sz w:val="24"/>
          <w:szCs w:val="24"/>
        </w:rPr>
        <w:t xml:space="preserve"> and </w:t>
      </w:r>
      <w:r w:rsidR="00CB6BD9" w:rsidRPr="00D31F3A">
        <w:rPr>
          <w:rFonts w:asciiTheme="minorHAnsi" w:eastAsia="Calibri" w:hAnsiTheme="minorHAnsi" w:cs="Arial"/>
          <w:sz w:val="24"/>
          <w:szCs w:val="24"/>
        </w:rPr>
        <w:t xml:space="preserve">innovation </w:t>
      </w:r>
      <w:r w:rsidR="00CB6BD9">
        <w:rPr>
          <w:rFonts w:asciiTheme="minorHAnsi" w:eastAsia="Calibri" w:hAnsiTheme="minorHAnsi" w:cs="Arial"/>
          <w:sz w:val="24"/>
          <w:szCs w:val="24"/>
        </w:rPr>
        <w:t xml:space="preserve">to </w:t>
      </w:r>
      <w:r w:rsidR="00CB6BD9" w:rsidRPr="00D31F3A">
        <w:rPr>
          <w:rFonts w:asciiTheme="minorHAnsi" w:eastAsia="Calibri" w:hAnsiTheme="minorHAnsi" w:cs="Arial"/>
          <w:sz w:val="24"/>
          <w:szCs w:val="24"/>
        </w:rPr>
        <w:t>yield economic and social opportunities</w:t>
      </w:r>
      <w:r w:rsidR="00CB6BD9">
        <w:rPr>
          <w:rFonts w:asciiTheme="minorHAnsi" w:eastAsia="Calibri" w:hAnsiTheme="minorHAnsi" w:cs="Arial"/>
          <w:sz w:val="24"/>
          <w:szCs w:val="24"/>
        </w:rPr>
        <w:t xml:space="preserve">, improve risk management, </w:t>
      </w:r>
      <w:r w:rsidR="00CB6BD9" w:rsidRPr="00D31F3A">
        <w:rPr>
          <w:rFonts w:asciiTheme="minorHAnsi" w:eastAsia="Calibri" w:hAnsiTheme="minorHAnsi" w:cs="Arial"/>
          <w:sz w:val="24"/>
          <w:szCs w:val="24"/>
        </w:rPr>
        <w:t>a</w:t>
      </w:r>
      <w:r w:rsidR="00CB6BD9">
        <w:rPr>
          <w:rFonts w:asciiTheme="minorHAnsi" w:eastAsia="Calibri" w:hAnsiTheme="minorHAnsi" w:cs="Arial"/>
          <w:sz w:val="24"/>
          <w:szCs w:val="24"/>
        </w:rPr>
        <w:t xml:space="preserve">nd prevent undercutting of profits by irresponsible businesses </w:t>
      </w:r>
      <w:r w:rsidR="00CB6BD9" w:rsidRPr="00D31F3A">
        <w:rPr>
          <w:rFonts w:asciiTheme="minorHAnsi" w:eastAsia="Calibri" w:hAnsiTheme="minorHAnsi" w:cs="Arial"/>
          <w:sz w:val="24"/>
          <w:szCs w:val="24"/>
        </w:rPr>
        <w:t>(</w:t>
      </w:r>
      <w:r w:rsidR="00CB6BD9" w:rsidRPr="00D31F3A">
        <w:rPr>
          <w:rFonts w:asciiTheme="minorHAnsi" w:hAnsiTheme="minorHAnsi"/>
          <w:sz w:val="24"/>
          <w:szCs w:val="24"/>
        </w:rPr>
        <w:t>UN Environment, 2019; European Environment Agency, 2020)</w:t>
      </w:r>
      <w:r w:rsidRPr="00D31F3A">
        <w:rPr>
          <w:rFonts w:asciiTheme="minorHAnsi" w:hAnsiTheme="minorHAnsi"/>
          <w:sz w:val="24"/>
          <w:szCs w:val="24"/>
        </w:rPr>
        <w:t>.</w:t>
      </w:r>
    </w:p>
    <w:p w14:paraId="62548784" w14:textId="519D4753" w:rsidR="00F57C3D" w:rsidRPr="00D31F3A" w:rsidRDefault="00F57C3D" w:rsidP="00BF1084">
      <w:pPr>
        <w:pStyle w:val="ListParagraph"/>
        <w:numPr>
          <w:ilvl w:val="0"/>
          <w:numId w:val="16"/>
        </w:numPr>
        <w:spacing w:line="276" w:lineRule="auto"/>
        <w:ind w:right="-188"/>
        <w:rPr>
          <w:rFonts w:asciiTheme="minorHAnsi" w:eastAsia="Calibri" w:hAnsiTheme="minorHAnsi" w:cs="Arial"/>
          <w:sz w:val="24"/>
          <w:szCs w:val="24"/>
        </w:rPr>
      </w:pPr>
      <w:r w:rsidRPr="00D31F3A">
        <w:rPr>
          <w:rFonts w:asciiTheme="minorHAnsi" w:eastAsia="Calibri" w:hAnsiTheme="minorHAnsi" w:cs="Arial"/>
          <w:sz w:val="24"/>
          <w:szCs w:val="24"/>
        </w:rPr>
        <w:t>Introducing mandatory reporting of environmental and sustainability performance to increase transparency</w:t>
      </w:r>
      <w:r w:rsidR="00402CF7">
        <w:rPr>
          <w:rFonts w:asciiTheme="minorHAnsi" w:eastAsia="Calibri" w:hAnsiTheme="minorHAnsi" w:cs="Arial"/>
          <w:sz w:val="24"/>
          <w:szCs w:val="24"/>
        </w:rPr>
        <w:t>, including driving sustainable innovation</w:t>
      </w:r>
      <w:r w:rsidR="00402CF7" w:rsidRPr="00D31F3A">
        <w:rPr>
          <w:rFonts w:asciiTheme="minorHAnsi" w:eastAsia="Calibri" w:hAnsiTheme="minorHAnsi" w:cs="Arial"/>
          <w:sz w:val="24"/>
          <w:szCs w:val="24"/>
        </w:rPr>
        <w:t xml:space="preserve"> </w:t>
      </w:r>
      <w:r w:rsidR="00402CF7">
        <w:rPr>
          <w:rFonts w:asciiTheme="minorHAnsi" w:eastAsia="Calibri" w:hAnsiTheme="minorHAnsi" w:cs="Arial"/>
          <w:sz w:val="24"/>
          <w:szCs w:val="24"/>
        </w:rPr>
        <w:t xml:space="preserve">down </w:t>
      </w:r>
      <w:r w:rsidRPr="00D31F3A">
        <w:rPr>
          <w:rFonts w:asciiTheme="minorHAnsi" w:eastAsia="Calibri" w:hAnsiTheme="minorHAnsi" w:cs="Arial"/>
          <w:sz w:val="24"/>
          <w:szCs w:val="24"/>
        </w:rPr>
        <w:t>supply chains</w:t>
      </w:r>
      <w:r w:rsidR="00402CF7">
        <w:rPr>
          <w:rFonts w:asciiTheme="minorHAnsi" w:eastAsia="Calibri" w:hAnsiTheme="minorHAnsi" w:cs="Arial"/>
          <w:sz w:val="24"/>
          <w:szCs w:val="24"/>
        </w:rPr>
        <w:t xml:space="preserve"> </w:t>
      </w:r>
      <w:r w:rsidRPr="00D31F3A">
        <w:rPr>
          <w:rFonts w:asciiTheme="minorHAnsi" w:eastAsia="Calibri" w:hAnsiTheme="minorHAnsi" w:cs="Arial"/>
          <w:sz w:val="24"/>
          <w:szCs w:val="24"/>
        </w:rPr>
        <w:t xml:space="preserve">and </w:t>
      </w:r>
      <w:r w:rsidR="00402CF7">
        <w:rPr>
          <w:rFonts w:asciiTheme="minorHAnsi" w:eastAsia="Calibri" w:hAnsiTheme="minorHAnsi" w:cs="Arial"/>
          <w:sz w:val="24"/>
          <w:szCs w:val="24"/>
        </w:rPr>
        <w:t xml:space="preserve">enhancing </w:t>
      </w:r>
      <w:r w:rsidRPr="00D31F3A">
        <w:rPr>
          <w:rFonts w:asciiTheme="minorHAnsi" w:eastAsia="Calibri" w:hAnsiTheme="minorHAnsi" w:cs="Arial"/>
          <w:sz w:val="24"/>
          <w:szCs w:val="24"/>
        </w:rPr>
        <w:t xml:space="preserve">pro-sustainable </w:t>
      </w:r>
      <w:r w:rsidR="00402CF7">
        <w:rPr>
          <w:rFonts w:asciiTheme="minorHAnsi" w:eastAsia="Calibri" w:hAnsiTheme="minorHAnsi" w:cs="Arial"/>
          <w:sz w:val="24"/>
          <w:szCs w:val="24"/>
        </w:rPr>
        <w:t>supplier ratings</w:t>
      </w:r>
      <w:r w:rsidRPr="00D31F3A">
        <w:rPr>
          <w:rFonts w:asciiTheme="minorHAnsi" w:eastAsia="Calibri" w:hAnsiTheme="minorHAnsi" w:cs="Arial"/>
          <w:sz w:val="24"/>
          <w:szCs w:val="24"/>
        </w:rPr>
        <w:t>.</w:t>
      </w:r>
    </w:p>
    <w:p w14:paraId="5B401143" w14:textId="77777777" w:rsidR="005E786D" w:rsidRDefault="005E786D" w:rsidP="00D31F3A">
      <w:pPr>
        <w:spacing w:before="120" w:line="276" w:lineRule="auto"/>
        <w:ind w:right="-188"/>
        <w:rPr>
          <w:rFonts w:eastAsia="Calibri" w:cs="Times New Roman"/>
          <w:b/>
          <w:sz w:val="24"/>
          <w:szCs w:val="24"/>
        </w:rPr>
      </w:pPr>
      <w:bookmarkStart w:id="6" w:name="_Toc36225708"/>
    </w:p>
    <w:p w14:paraId="2713A9F5" w14:textId="454DF86C" w:rsidR="00F57C3D" w:rsidRPr="00D31F3A" w:rsidRDefault="00F57C3D" w:rsidP="00D31F3A">
      <w:pPr>
        <w:spacing w:before="120" w:line="276" w:lineRule="auto"/>
        <w:ind w:right="-188"/>
        <w:rPr>
          <w:rFonts w:eastAsia="Calibri" w:cs="Times New Roman"/>
          <w:b/>
          <w:i/>
          <w:color w:val="1F3864" w:themeColor="accent1" w:themeShade="80"/>
          <w:sz w:val="24"/>
          <w:szCs w:val="24"/>
        </w:rPr>
      </w:pPr>
      <w:r w:rsidRPr="00D31F3A">
        <w:rPr>
          <w:rFonts w:eastAsia="Calibri" w:cs="Times New Roman"/>
          <w:b/>
          <w:sz w:val="24"/>
          <w:szCs w:val="24"/>
        </w:rPr>
        <w:t>3.3</w:t>
      </w:r>
      <w:r w:rsidRPr="00D31F3A">
        <w:rPr>
          <w:rFonts w:eastAsia="Calibri" w:cs="Times New Roman"/>
          <w:b/>
          <w:i/>
          <w:sz w:val="24"/>
          <w:szCs w:val="24"/>
        </w:rPr>
        <w:t xml:space="preserve"> The energy sector</w:t>
      </w:r>
      <w:bookmarkEnd w:id="6"/>
    </w:p>
    <w:p w14:paraId="386BE522" w14:textId="3597984B" w:rsidR="00F57C3D" w:rsidRPr="00D31F3A" w:rsidRDefault="00CB6BD9" w:rsidP="00D31F3A">
      <w:pPr>
        <w:spacing w:line="276" w:lineRule="auto"/>
        <w:ind w:right="-188"/>
        <w:rPr>
          <w:rFonts w:eastAsia="Calibri" w:cs="Arial"/>
          <w:sz w:val="24"/>
          <w:szCs w:val="24"/>
        </w:rPr>
      </w:pPr>
      <w:r>
        <w:rPr>
          <w:rFonts w:eastAsia="Calibri" w:cs="Arial"/>
          <w:color w:val="000000" w:themeColor="text1"/>
          <w:sz w:val="24"/>
          <w:szCs w:val="24"/>
        </w:rPr>
        <w:t>U</w:t>
      </w:r>
      <w:r w:rsidRPr="00D31F3A">
        <w:rPr>
          <w:rFonts w:eastAsia="Calibri" w:cs="Arial"/>
          <w:color w:val="000000" w:themeColor="text1"/>
          <w:sz w:val="24"/>
          <w:szCs w:val="24"/>
        </w:rPr>
        <w:t>nder-pricing</w:t>
      </w:r>
      <w:r>
        <w:rPr>
          <w:rFonts w:eastAsia="Calibri" w:cs="Arial"/>
          <w:color w:val="000000" w:themeColor="text1"/>
          <w:sz w:val="24"/>
          <w:szCs w:val="24"/>
        </w:rPr>
        <w:t xml:space="preserve"> and direct subsidisation</w:t>
      </w:r>
      <w:r w:rsidRPr="00D31F3A">
        <w:rPr>
          <w:rFonts w:eastAsia="Calibri" w:cs="Arial"/>
          <w:color w:val="000000" w:themeColor="text1"/>
          <w:sz w:val="24"/>
          <w:szCs w:val="24"/>
        </w:rPr>
        <w:t xml:space="preserve"> of fossil </w:t>
      </w:r>
      <w:r>
        <w:rPr>
          <w:rFonts w:eastAsia="Calibri" w:cs="Arial"/>
          <w:color w:val="000000" w:themeColor="text1"/>
          <w:sz w:val="24"/>
          <w:szCs w:val="24"/>
        </w:rPr>
        <w:t xml:space="preserve">fuels </w:t>
      </w:r>
      <w:r w:rsidRPr="00D31F3A">
        <w:rPr>
          <w:rFonts w:eastAsia="Calibri" w:cs="Arial"/>
          <w:color w:val="000000" w:themeColor="text1"/>
          <w:sz w:val="24"/>
          <w:szCs w:val="24"/>
        </w:rPr>
        <w:t>used for traditional energy generation</w:t>
      </w:r>
      <w:r>
        <w:rPr>
          <w:rFonts w:eastAsia="Calibri" w:cs="Arial"/>
          <w:color w:val="000000" w:themeColor="text1"/>
          <w:sz w:val="24"/>
          <w:szCs w:val="24"/>
        </w:rPr>
        <w:t>,</w:t>
      </w:r>
      <w:r w:rsidRPr="00D31F3A">
        <w:rPr>
          <w:rFonts w:eastAsia="Calibri" w:cs="Arial"/>
          <w:color w:val="000000" w:themeColor="text1"/>
          <w:sz w:val="24"/>
          <w:szCs w:val="24"/>
        </w:rPr>
        <w:t xml:space="preserve"> as well as embedded in supply chains</w:t>
      </w:r>
      <w:r>
        <w:rPr>
          <w:rFonts w:eastAsia="Calibri" w:cs="Arial"/>
          <w:color w:val="000000" w:themeColor="text1"/>
          <w:sz w:val="24"/>
          <w:szCs w:val="24"/>
        </w:rPr>
        <w:t>,</w:t>
      </w:r>
      <w:r w:rsidRPr="00D31F3A">
        <w:rPr>
          <w:rFonts w:eastAsia="Calibri" w:cs="Arial"/>
          <w:color w:val="000000" w:themeColor="text1"/>
          <w:sz w:val="24"/>
          <w:szCs w:val="24"/>
        </w:rPr>
        <w:t xml:space="preserve"> effectively acts as a subsidy on practices </w:t>
      </w:r>
      <w:r>
        <w:rPr>
          <w:rFonts w:eastAsia="Calibri" w:cs="Arial"/>
          <w:color w:val="000000" w:themeColor="text1"/>
          <w:sz w:val="24"/>
          <w:szCs w:val="24"/>
        </w:rPr>
        <w:t xml:space="preserve">that </w:t>
      </w:r>
      <w:r w:rsidRPr="00D31F3A">
        <w:rPr>
          <w:rFonts w:eastAsia="Calibri" w:cs="Arial"/>
          <w:color w:val="000000" w:themeColor="text1"/>
          <w:sz w:val="24"/>
          <w:szCs w:val="24"/>
        </w:rPr>
        <w:t>directly damag</w:t>
      </w:r>
      <w:r>
        <w:rPr>
          <w:rFonts w:eastAsia="Calibri" w:cs="Arial"/>
          <w:color w:val="000000" w:themeColor="text1"/>
          <w:sz w:val="24"/>
          <w:szCs w:val="24"/>
        </w:rPr>
        <w:t>e</w:t>
      </w:r>
      <w:r w:rsidRPr="00D31F3A">
        <w:rPr>
          <w:rFonts w:eastAsia="Calibri" w:cs="Arial"/>
          <w:color w:val="000000" w:themeColor="text1"/>
          <w:sz w:val="24"/>
          <w:szCs w:val="24"/>
        </w:rPr>
        <w:t xml:space="preserve"> and undermin</w:t>
      </w:r>
      <w:r>
        <w:rPr>
          <w:rFonts w:eastAsia="Calibri" w:cs="Arial"/>
          <w:color w:val="000000" w:themeColor="text1"/>
          <w:sz w:val="24"/>
          <w:szCs w:val="24"/>
        </w:rPr>
        <w:t>e</w:t>
      </w:r>
      <w:r w:rsidRPr="00D31F3A">
        <w:rPr>
          <w:rFonts w:eastAsia="Calibri" w:cs="Arial"/>
          <w:color w:val="000000" w:themeColor="text1"/>
          <w:sz w:val="24"/>
          <w:szCs w:val="24"/>
        </w:rPr>
        <w:t xml:space="preserve"> ecosystems </w:t>
      </w:r>
      <w:r>
        <w:rPr>
          <w:rFonts w:eastAsia="Calibri" w:cs="Arial"/>
          <w:color w:val="000000" w:themeColor="text1"/>
          <w:sz w:val="24"/>
          <w:szCs w:val="24"/>
        </w:rPr>
        <w:t xml:space="preserve">that </w:t>
      </w:r>
      <w:r w:rsidRPr="00D31F3A">
        <w:rPr>
          <w:rFonts w:eastAsia="Calibri" w:cs="Arial"/>
          <w:color w:val="000000" w:themeColor="text1"/>
          <w:sz w:val="24"/>
          <w:szCs w:val="24"/>
        </w:rPr>
        <w:t>underpin resilience and human wellbeing</w:t>
      </w:r>
      <w:r>
        <w:rPr>
          <w:rFonts w:eastAsia="Calibri" w:cs="Arial"/>
          <w:color w:val="000000" w:themeColor="text1"/>
          <w:sz w:val="24"/>
          <w:szCs w:val="24"/>
        </w:rPr>
        <w:t xml:space="preserve"> </w:t>
      </w:r>
      <w:r w:rsidRPr="00D31F3A">
        <w:rPr>
          <w:rFonts w:eastAsia="Calibri" w:cs="Arial"/>
          <w:color w:val="000000" w:themeColor="text1"/>
          <w:sz w:val="24"/>
          <w:szCs w:val="24"/>
        </w:rPr>
        <w:t>(</w:t>
      </w:r>
      <w:proofErr w:type="spellStart"/>
      <w:r w:rsidRPr="00D31F3A">
        <w:rPr>
          <w:sz w:val="24"/>
          <w:szCs w:val="24"/>
        </w:rPr>
        <w:t>Lovins</w:t>
      </w:r>
      <w:proofErr w:type="spellEnd"/>
      <w:r>
        <w:rPr>
          <w:rFonts w:eastAsia="Calibri" w:cs="Arial"/>
          <w:color w:val="000000" w:themeColor="text1"/>
          <w:sz w:val="24"/>
          <w:szCs w:val="24"/>
        </w:rPr>
        <w:t xml:space="preserve">, </w:t>
      </w:r>
      <w:r w:rsidRPr="00D31F3A">
        <w:rPr>
          <w:rFonts w:eastAsia="Calibri" w:cs="Arial"/>
          <w:color w:val="000000" w:themeColor="text1"/>
          <w:sz w:val="24"/>
          <w:szCs w:val="24"/>
        </w:rPr>
        <w:t xml:space="preserve">2018).  </w:t>
      </w:r>
      <w:r>
        <w:rPr>
          <w:rFonts w:eastAsia="Calibri" w:cs="Arial"/>
          <w:color w:val="000000" w:themeColor="text1"/>
          <w:sz w:val="24"/>
          <w:szCs w:val="24"/>
        </w:rPr>
        <w:t xml:space="preserve">Whilst </w:t>
      </w:r>
      <w:r>
        <w:rPr>
          <w:rFonts w:eastAsia="Calibri" w:cs="Calibri"/>
          <w:sz w:val="24"/>
          <w:szCs w:val="24"/>
        </w:rPr>
        <w:t>e</w:t>
      </w:r>
      <w:r w:rsidRPr="00D31F3A">
        <w:rPr>
          <w:rFonts w:eastAsia="Calibri" w:cs="Calibri"/>
          <w:sz w:val="24"/>
          <w:szCs w:val="24"/>
        </w:rPr>
        <w:t>xternalisation of impact is a systemic issue</w:t>
      </w:r>
      <w:r w:rsidR="00D31195">
        <w:rPr>
          <w:rFonts w:eastAsia="Calibri" w:cs="Calibri"/>
          <w:sz w:val="24"/>
          <w:szCs w:val="24"/>
        </w:rPr>
        <w:t xml:space="preserve"> across all energy-using societal sectors</w:t>
      </w:r>
      <w:r w:rsidRPr="00D31F3A">
        <w:rPr>
          <w:rFonts w:eastAsia="Calibri" w:cs="Calibri"/>
          <w:sz w:val="24"/>
          <w:szCs w:val="24"/>
        </w:rPr>
        <w:t>, a</w:t>
      </w:r>
      <w:r w:rsidRPr="00D31F3A">
        <w:rPr>
          <w:rFonts w:eastAsia="Calibri" w:cs="Arial"/>
          <w:color w:val="000000" w:themeColor="text1"/>
          <w:sz w:val="24"/>
          <w:szCs w:val="24"/>
        </w:rPr>
        <w:t xml:space="preserve">ctionable </w:t>
      </w:r>
      <w:r w:rsidRPr="00D31F3A">
        <w:rPr>
          <w:rFonts w:eastAsia="Calibri" w:cs="Arial"/>
          <w:sz w:val="24"/>
          <w:szCs w:val="24"/>
        </w:rPr>
        <w:t>outcomes</w:t>
      </w:r>
      <w:r>
        <w:rPr>
          <w:rFonts w:eastAsia="Calibri" w:cs="Arial"/>
          <w:sz w:val="24"/>
          <w:szCs w:val="24"/>
        </w:rPr>
        <w:t xml:space="preserve"> specific to </w:t>
      </w:r>
      <w:r w:rsidR="00C121D1">
        <w:rPr>
          <w:rFonts w:eastAsia="Calibri" w:cs="Arial"/>
          <w:sz w:val="24"/>
          <w:szCs w:val="24"/>
        </w:rPr>
        <w:t xml:space="preserve">the </w:t>
      </w:r>
      <w:r>
        <w:rPr>
          <w:rFonts w:eastAsia="Calibri" w:cs="Arial"/>
          <w:sz w:val="24"/>
          <w:szCs w:val="24"/>
        </w:rPr>
        <w:t xml:space="preserve">energy </w:t>
      </w:r>
      <w:r w:rsidR="00C121D1">
        <w:rPr>
          <w:rFonts w:eastAsia="Calibri" w:cs="Arial"/>
          <w:sz w:val="24"/>
          <w:szCs w:val="24"/>
        </w:rPr>
        <w:t xml:space="preserve">sector </w:t>
      </w:r>
      <w:r w:rsidR="00F57C3D" w:rsidRPr="00D31F3A">
        <w:rPr>
          <w:rFonts w:eastAsia="Calibri" w:cs="Arial"/>
          <w:sz w:val="24"/>
          <w:szCs w:val="24"/>
        </w:rPr>
        <w:t>include:</w:t>
      </w:r>
    </w:p>
    <w:p w14:paraId="1E422DFC" w14:textId="3DB712F3" w:rsidR="00F57C3D" w:rsidRPr="00D31F3A" w:rsidRDefault="00F57C3D" w:rsidP="00BF1084">
      <w:pPr>
        <w:pStyle w:val="ListParagraph"/>
        <w:numPr>
          <w:ilvl w:val="0"/>
          <w:numId w:val="17"/>
        </w:numPr>
        <w:spacing w:line="276" w:lineRule="auto"/>
        <w:ind w:left="567" w:right="-188"/>
        <w:rPr>
          <w:rFonts w:asciiTheme="minorHAnsi" w:eastAsia="Calibri" w:hAnsiTheme="minorHAnsi" w:cs="Arial"/>
          <w:sz w:val="24"/>
          <w:szCs w:val="24"/>
        </w:rPr>
      </w:pPr>
      <w:r w:rsidRPr="00D31F3A">
        <w:rPr>
          <w:rFonts w:asciiTheme="minorHAnsi" w:eastAsia="Calibri" w:hAnsiTheme="minorHAnsi" w:cs="Arial"/>
          <w:sz w:val="24"/>
          <w:szCs w:val="24"/>
        </w:rPr>
        <w:t xml:space="preserve">Sharing learning from novel energy systems as the basis of urban regeneration </w:t>
      </w:r>
      <w:r w:rsidR="00C121D1">
        <w:rPr>
          <w:rFonts w:asciiTheme="minorHAnsi" w:eastAsia="Calibri" w:hAnsiTheme="minorHAnsi" w:cs="Arial"/>
          <w:sz w:val="24"/>
          <w:szCs w:val="24"/>
        </w:rPr>
        <w:t xml:space="preserve">and novel ‘green economies’ </w:t>
      </w:r>
      <w:r w:rsidRPr="00D31F3A">
        <w:rPr>
          <w:rFonts w:asciiTheme="minorHAnsi" w:eastAsia="Calibri" w:hAnsiTheme="minorHAnsi" w:cs="Arial"/>
          <w:sz w:val="24"/>
          <w:szCs w:val="24"/>
        </w:rPr>
        <w:t>in post-industrial landscapes, e.g. the Welsh Valleys and Adelaide.</w:t>
      </w:r>
    </w:p>
    <w:p w14:paraId="6BEACDD9" w14:textId="1D1C3569" w:rsidR="00F57C3D" w:rsidRPr="00D31F3A" w:rsidRDefault="00F57C3D" w:rsidP="00BF1084">
      <w:pPr>
        <w:pStyle w:val="ListParagraph"/>
        <w:numPr>
          <w:ilvl w:val="0"/>
          <w:numId w:val="17"/>
        </w:numPr>
        <w:spacing w:line="276" w:lineRule="auto"/>
        <w:ind w:left="567" w:right="-188"/>
        <w:rPr>
          <w:rFonts w:asciiTheme="minorHAnsi" w:eastAsia="Calibri" w:hAnsiTheme="minorHAnsi" w:cs="Arial"/>
          <w:sz w:val="24"/>
          <w:szCs w:val="24"/>
        </w:rPr>
      </w:pPr>
      <w:r w:rsidRPr="00D31F3A">
        <w:rPr>
          <w:rFonts w:asciiTheme="minorHAnsi" w:eastAsia="Calibri" w:hAnsiTheme="minorHAnsi"/>
          <w:sz w:val="24"/>
          <w:szCs w:val="24"/>
        </w:rPr>
        <w:t>Ensuring taxation/pricing of energy based on environmental and social impact to drive down demand and encourage switching to more sustainable energy sources</w:t>
      </w:r>
      <w:r w:rsidR="001A582C">
        <w:rPr>
          <w:rFonts w:asciiTheme="minorHAnsi" w:eastAsia="Calibri" w:hAnsiTheme="minorHAnsi"/>
          <w:sz w:val="24"/>
          <w:szCs w:val="24"/>
        </w:rPr>
        <w:t xml:space="preserve">, </w:t>
      </w:r>
      <w:r w:rsidRPr="00D31F3A">
        <w:rPr>
          <w:rFonts w:asciiTheme="minorHAnsi" w:eastAsia="Calibri" w:hAnsiTheme="minorHAnsi"/>
          <w:sz w:val="24"/>
          <w:szCs w:val="24"/>
        </w:rPr>
        <w:t xml:space="preserve">sharing costs </w:t>
      </w:r>
      <w:r w:rsidR="001A582C">
        <w:rPr>
          <w:rFonts w:asciiTheme="minorHAnsi" w:eastAsia="Calibri" w:hAnsiTheme="minorHAnsi"/>
          <w:sz w:val="24"/>
          <w:szCs w:val="24"/>
        </w:rPr>
        <w:t xml:space="preserve">and benefits </w:t>
      </w:r>
      <w:r w:rsidRPr="00D31F3A">
        <w:rPr>
          <w:rFonts w:asciiTheme="minorHAnsi" w:eastAsia="Calibri" w:hAnsiTheme="minorHAnsi"/>
          <w:sz w:val="24"/>
          <w:szCs w:val="24"/>
        </w:rPr>
        <w:t>along value chains to increase cross-sectoral support for the transition to more sustainable generation.</w:t>
      </w:r>
      <w:r w:rsidR="000A5CD8">
        <w:rPr>
          <w:rFonts w:asciiTheme="minorHAnsi" w:eastAsia="Calibri" w:hAnsiTheme="minorHAnsi"/>
          <w:sz w:val="24"/>
          <w:szCs w:val="24"/>
        </w:rPr>
        <w:t xml:space="preserve">  Treasury has major roles </w:t>
      </w:r>
      <w:r w:rsidR="00C121D1">
        <w:rPr>
          <w:rFonts w:asciiTheme="minorHAnsi" w:eastAsia="Calibri" w:hAnsiTheme="minorHAnsi"/>
          <w:sz w:val="24"/>
          <w:szCs w:val="24"/>
        </w:rPr>
        <w:t xml:space="preserve">to play </w:t>
      </w:r>
      <w:r w:rsidR="000A5CD8">
        <w:rPr>
          <w:rFonts w:asciiTheme="minorHAnsi" w:eastAsia="Calibri" w:hAnsiTheme="minorHAnsi"/>
          <w:sz w:val="24"/>
          <w:szCs w:val="24"/>
        </w:rPr>
        <w:t>here</w:t>
      </w:r>
      <w:r w:rsidR="00C121D1">
        <w:rPr>
          <w:rFonts w:asciiTheme="minorHAnsi" w:eastAsia="Calibri" w:hAnsiTheme="minorHAnsi"/>
          <w:sz w:val="24"/>
          <w:szCs w:val="24"/>
        </w:rPr>
        <w:t>,</w:t>
      </w:r>
      <w:r w:rsidR="000A5CD8">
        <w:rPr>
          <w:rFonts w:asciiTheme="minorHAnsi" w:eastAsia="Calibri" w:hAnsiTheme="minorHAnsi"/>
          <w:sz w:val="24"/>
          <w:szCs w:val="24"/>
        </w:rPr>
        <w:t xml:space="preserve"> not just in fiscal policy but also full inclusion in accounts.</w:t>
      </w:r>
    </w:p>
    <w:p w14:paraId="1D9B175B" w14:textId="77777777" w:rsidR="000A5CD8" w:rsidRPr="0085162E" w:rsidRDefault="00F57C3D" w:rsidP="000A5CD8">
      <w:pPr>
        <w:pStyle w:val="ListParagraph"/>
        <w:numPr>
          <w:ilvl w:val="0"/>
          <w:numId w:val="17"/>
        </w:numPr>
        <w:spacing w:line="276" w:lineRule="auto"/>
        <w:ind w:left="567" w:right="-188"/>
        <w:rPr>
          <w:rFonts w:asciiTheme="minorHAnsi" w:eastAsia="Calibri" w:hAnsiTheme="minorHAnsi" w:cstheme="minorHAnsi"/>
          <w:sz w:val="24"/>
          <w:szCs w:val="24"/>
        </w:rPr>
      </w:pPr>
      <w:r w:rsidRPr="00D31F3A">
        <w:rPr>
          <w:rFonts w:asciiTheme="minorHAnsi" w:eastAsia="Calibri" w:hAnsiTheme="minorHAnsi" w:cs="Arial"/>
          <w:sz w:val="24"/>
          <w:szCs w:val="24"/>
        </w:rPr>
        <w:t>Orientating hypothecated taxation of more polluting energy sources towards eco-restoration schemes to sequester carbon</w:t>
      </w:r>
      <w:r w:rsidR="006A2561">
        <w:rPr>
          <w:rFonts w:asciiTheme="minorHAnsi" w:eastAsia="Calibri" w:hAnsiTheme="minorHAnsi" w:cs="Arial"/>
          <w:sz w:val="24"/>
          <w:szCs w:val="24"/>
        </w:rPr>
        <w:t xml:space="preserve">, </w:t>
      </w:r>
      <w:r w:rsidRPr="00D31F3A">
        <w:rPr>
          <w:rFonts w:asciiTheme="minorHAnsi" w:eastAsia="Calibri" w:hAnsiTheme="minorHAnsi" w:cs="Arial"/>
          <w:sz w:val="24"/>
          <w:szCs w:val="24"/>
        </w:rPr>
        <w:t>underpin ecosystem regeneration</w:t>
      </w:r>
      <w:r w:rsidR="006A2561">
        <w:rPr>
          <w:rFonts w:asciiTheme="minorHAnsi" w:eastAsia="Calibri" w:hAnsiTheme="minorHAnsi" w:cs="Arial"/>
          <w:sz w:val="24"/>
          <w:szCs w:val="24"/>
        </w:rPr>
        <w:t xml:space="preserve"> and promote renewable energy systems</w:t>
      </w:r>
      <w:r w:rsidRPr="00D31F3A">
        <w:rPr>
          <w:rFonts w:asciiTheme="minorHAnsi" w:eastAsia="Calibri" w:hAnsiTheme="minorHAnsi" w:cs="Arial"/>
          <w:sz w:val="24"/>
          <w:szCs w:val="24"/>
        </w:rPr>
        <w:t>.</w:t>
      </w:r>
      <w:bookmarkStart w:id="7" w:name="_Toc36225709"/>
    </w:p>
    <w:p w14:paraId="0582B9E5" w14:textId="79631FFD" w:rsidR="000A5CD8" w:rsidRPr="0085162E" w:rsidRDefault="000A5CD8" w:rsidP="000A5CD8">
      <w:pPr>
        <w:pStyle w:val="ListParagraph"/>
        <w:numPr>
          <w:ilvl w:val="0"/>
          <w:numId w:val="17"/>
        </w:numPr>
        <w:spacing w:line="276" w:lineRule="auto"/>
        <w:ind w:left="567" w:right="-188"/>
        <w:rPr>
          <w:rFonts w:asciiTheme="minorHAnsi" w:eastAsia="Calibri" w:hAnsiTheme="minorHAnsi" w:cstheme="minorHAnsi"/>
          <w:sz w:val="24"/>
          <w:szCs w:val="24"/>
        </w:rPr>
      </w:pPr>
      <w:r w:rsidRPr="0085162E">
        <w:rPr>
          <w:rFonts w:asciiTheme="minorHAnsi" w:hAnsiTheme="minorHAnsi" w:cstheme="minorHAnsi"/>
          <w:sz w:val="24"/>
          <w:szCs w:val="24"/>
        </w:rPr>
        <w:t xml:space="preserve">Responses to crises such as wars and pandemics indicates the potential for governments to fast-track innovation </w:t>
      </w:r>
      <w:r w:rsidR="0085162E" w:rsidRPr="0085162E">
        <w:rPr>
          <w:rFonts w:asciiTheme="minorHAnsi" w:hAnsiTheme="minorHAnsi" w:cstheme="minorHAnsi"/>
          <w:sz w:val="24"/>
          <w:szCs w:val="24"/>
        </w:rPr>
        <w:t>and make novel adjustments to public finances to promote innovation and change, a necessary response to move the energy sector in a more sustainable direction given pronouncements and stated commitments to addressing climate change as an emergency</w:t>
      </w:r>
      <w:r w:rsidRPr="0085162E">
        <w:rPr>
          <w:rFonts w:asciiTheme="minorHAnsi" w:hAnsiTheme="minorHAnsi" w:cstheme="minorHAnsi"/>
          <w:sz w:val="24"/>
          <w:szCs w:val="24"/>
        </w:rPr>
        <w:t>.</w:t>
      </w:r>
    </w:p>
    <w:p w14:paraId="0298EAC0" w14:textId="77777777" w:rsidR="007006DC" w:rsidRPr="0085162E" w:rsidRDefault="007006DC" w:rsidP="00D31F3A">
      <w:pPr>
        <w:spacing w:before="120" w:line="276" w:lineRule="auto"/>
        <w:ind w:right="-188"/>
        <w:rPr>
          <w:rFonts w:eastAsia="Calibri" w:cstheme="minorHAnsi"/>
          <w:b/>
          <w:sz w:val="24"/>
          <w:szCs w:val="24"/>
        </w:rPr>
      </w:pPr>
    </w:p>
    <w:p w14:paraId="4197C5B5" w14:textId="472F7499" w:rsidR="00F57C3D" w:rsidRPr="00D31F3A" w:rsidRDefault="00F57C3D" w:rsidP="00D31F3A">
      <w:pPr>
        <w:spacing w:before="120" w:line="276" w:lineRule="auto"/>
        <w:ind w:right="-188"/>
        <w:rPr>
          <w:rFonts w:eastAsia="Calibri" w:cs="Times New Roman"/>
          <w:b/>
          <w:i/>
          <w:sz w:val="24"/>
          <w:szCs w:val="24"/>
        </w:rPr>
      </w:pPr>
      <w:r w:rsidRPr="00D31F3A">
        <w:rPr>
          <w:rFonts w:eastAsia="Calibri" w:cs="Times New Roman"/>
          <w:b/>
          <w:sz w:val="24"/>
          <w:szCs w:val="24"/>
        </w:rPr>
        <w:t>3.4</w:t>
      </w:r>
      <w:r w:rsidRPr="00D31F3A">
        <w:rPr>
          <w:rFonts w:eastAsia="Calibri" w:cs="Times New Roman"/>
          <w:b/>
          <w:i/>
          <w:sz w:val="24"/>
          <w:szCs w:val="24"/>
        </w:rPr>
        <w:t xml:space="preserve"> The urban design sector</w:t>
      </w:r>
      <w:bookmarkEnd w:id="7"/>
    </w:p>
    <w:p w14:paraId="768891C8" w14:textId="617A2588" w:rsidR="00F57C3D" w:rsidRPr="00D31F3A" w:rsidRDefault="00F57C3D" w:rsidP="00D31F3A">
      <w:pPr>
        <w:spacing w:line="276" w:lineRule="auto"/>
        <w:ind w:right="-188"/>
        <w:rPr>
          <w:rFonts w:eastAsia="Calibri" w:cs="Arial"/>
          <w:sz w:val="24"/>
          <w:szCs w:val="24"/>
        </w:rPr>
      </w:pPr>
      <w:r w:rsidRPr="00D31F3A">
        <w:rPr>
          <w:rFonts w:eastAsia="Calibri" w:cs="Arial"/>
          <w:color w:val="000000" w:themeColor="text1"/>
          <w:sz w:val="24"/>
          <w:szCs w:val="24"/>
        </w:rPr>
        <w:t>The growth and functioning of urban spaces, together with lifestyle and consumption behaviours within towns and cities, are major drivers of environment</w:t>
      </w:r>
      <w:r w:rsidR="00CB6BD9">
        <w:rPr>
          <w:rFonts w:eastAsia="Calibri" w:cs="Arial"/>
          <w:color w:val="000000" w:themeColor="text1"/>
          <w:sz w:val="24"/>
          <w:szCs w:val="24"/>
        </w:rPr>
        <w:t>, health</w:t>
      </w:r>
      <w:r w:rsidRPr="00D31F3A">
        <w:rPr>
          <w:rFonts w:eastAsia="Calibri" w:cs="Arial"/>
          <w:color w:val="000000" w:themeColor="text1"/>
          <w:sz w:val="24"/>
          <w:szCs w:val="24"/>
        </w:rPr>
        <w:t xml:space="preserve"> and sustainability challenges.  </w:t>
      </w:r>
      <w:r w:rsidR="00D31195">
        <w:rPr>
          <w:rFonts w:eastAsia="Calibri" w:cs="Arial"/>
          <w:color w:val="000000" w:themeColor="text1"/>
          <w:sz w:val="24"/>
          <w:szCs w:val="24"/>
        </w:rPr>
        <w:t>This is particularly pertinent as more than half of the global population is now urban, and this trend is accelerating</w:t>
      </w:r>
      <w:r w:rsidR="00AE7525">
        <w:rPr>
          <w:rFonts w:eastAsia="Calibri" w:cs="Arial"/>
          <w:color w:val="000000" w:themeColor="text1"/>
          <w:sz w:val="24"/>
          <w:szCs w:val="24"/>
        </w:rPr>
        <w:t xml:space="preserve"> (UN, 2018)</w:t>
      </w:r>
      <w:r w:rsidR="00D31195">
        <w:rPr>
          <w:rFonts w:eastAsia="Calibri" w:cs="Arial"/>
          <w:color w:val="000000" w:themeColor="text1"/>
          <w:sz w:val="24"/>
          <w:szCs w:val="24"/>
        </w:rPr>
        <w:t xml:space="preserve">.  </w:t>
      </w:r>
      <w:r w:rsidRPr="00D31F3A">
        <w:rPr>
          <w:rFonts w:eastAsia="Calibri" w:cs="Arial"/>
          <w:color w:val="000000" w:themeColor="text1"/>
          <w:sz w:val="24"/>
          <w:szCs w:val="24"/>
        </w:rPr>
        <w:t>Action</w:t>
      </w:r>
      <w:r w:rsidRPr="00D31F3A">
        <w:rPr>
          <w:rFonts w:eastAsia="Calibri" w:cs="Arial"/>
          <w:sz w:val="24"/>
          <w:szCs w:val="24"/>
        </w:rPr>
        <w:t xml:space="preserve">able outcomes </w:t>
      </w:r>
      <w:r w:rsidR="00AE7525">
        <w:rPr>
          <w:rFonts w:eastAsia="Calibri" w:cs="Arial"/>
          <w:sz w:val="24"/>
          <w:szCs w:val="24"/>
        </w:rPr>
        <w:t xml:space="preserve">for the urban design sector </w:t>
      </w:r>
      <w:r w:rsidRPr="00D31F3A">
        <w:rPr>
          <w:rFonts w:eastAsia="Calibri" w:cs="Arial"/>
          <w:sz w:val="24"/>
          <w:szCs w:val="24"/>
        </w:rPr>
        <w:t>include:</w:t>
      </w:r>
    </w:p>
    <w:p w14:paraId="5DC91528" w14:textId="45C248B7" w:rsidR="00CB6BD9" w:rsidRPr="00D31F3A" w:rsidRDefault="00F57C3D" w:rsidP="00CB6BD9">
      <w:pPr>
        <w:pStyle w:val="ListParagraph"/>
        <w:numPr>
          <w:ilvl w:val="0"/>
          <w:numId w:val="20"/>
        </w:numPr>
        <w:spacing w:line="276" w:lineRule="auto"/>
        <w:ind w:left="567" w:right="-188"/>
        <w:rPr>
          <w:rFonts w:asciiTheme="minorHAnsi" w:eastAsia="Calibri" w:hAnsiTheme="minorHAnsi"/>
          <w:sz w:val="24"/>
          <w:szCs w:val="24"/>
        </w:rPr>
      </w:pPr>
      <w:r w:rsidRPr="00D31F3A">
        <w:rPr>
          <w:rFonts w:asciiTheme="minorHAnsi" w:eastAsia="Calibri" w:hAnsiTheme="minorHAnsi"/>
          <w:sz w:val="24"/>
          <w:szCs w:val="24"/>
        </w:rPr>
        <w:t xml:space="preserve">Setting standards </w:t>
      </w:r>
      <w:r w:rsidR="00CB6BD9" w:rsidRPr="00D31F3A">
        <w:rPr>
          <w:rFonts w:asciiTheme="minorHAnsi" w:eastAsia="Calibri" w:hAnsiTheme="minorHAnsi"/>
          <w:sz w:val="24"/>
          <w:szCs w:val="24"/>
        </w:rPr>
        <w:t xml:space="preserve">for the rebuilding of post-industrial cities and economies based on development of novel technologies </w:t>
      </w:r>
      <w:r w:rsidR="00CB6BD9">
        <w:rPr>
          <w:rFonts w:asciiTheme="minorHAnsi" w:eastAsia="Calibri" w:hAnsiTheme="minorHAnsi"/>
          <w:sz w:val="24"/>
          <w:szCs w:val="24"/>
        </w:rPr>
        <w:t xml:space="preserve">and </w:t>
      </w:r>
      <w:r w:rsidR="00CB6BD9" w:rsidRPr="00D31F3A">
        <w:rPr>
          <w:rFonts w:asciiTheme="minorHAnsi" w:eastAsia="Calibri" w:hAnsiTheme="minorHAnsi"/>
          <w:sz w:val="24"/>
          <w:szCs w:val="24"/>
        </w:rPr>
        <w:t>greater cyclic and efficient use of water, food and energy</w:t>
      </w:r>
      <w:r w:rsidR="00CB6BD9">
        <w:rPr>
          <w:rFonts w:asciiTheme="minorHAnsi" w:eastAsia="Calibri" w:hAnsiTheme="minorHAnsi"/>
          <w:sz w:val="24"/>
          <w:szCs w:val="24"/>
        </w:rPr>
        <w:t xml:space="preserve">, cumulatively </w:t>
      </w:r>
      <w:r w:rsidR="00CB6BD9" w:rsidRPr="00D31F3A">
        <w:rPr>
          <w:rFonts w:asciiTheme="minorHAnsi" w:eastAsia="Calibri" w:hAnsiTheme="minorHAnsi"/>
          <w:sz w:val="24"/>
          <w:szCs w:val="24"/>
        </w:rPr>
        <w:t xml:space="preserve">generating a more sustainable ‘greener’ economy.  Progress in Adelaide </w:t>
      </w:r>
      <w:r w:rsidR="00C121D1">
        <w:rPr>
          <w:rFonts w:asciiTheme="minorHAnsi" w:eastAsia="Calibri" w:hAnsiTheme="minorHAnsi"/>
          <w:sz w:val="24"/>
          <w:szCs w:val="24"/>
        </w:rPr>
        <w:t>(summarised as a case study in Everard,</w:t>
      </w:r>
      <w:r w:rsidR="003D092B">
        <w:rPr>
          <w:rFonts w:asciiTheme="minorHAnsi" w:eastAsia="Calibri" w:hAnsiTheme="minorHAnsi"/>
          <w:sz w:val="24"/>
          <w:szCs w:val="24"/>
        </w:rPr>
        <w:t xml:space="preserve"> 2020</w:t>
      </w:r>
      <w:r w:rsidR="00D815C0">
        <w:rPr>
          <w:rFonts w:asciiTheme="minorHAnsi" w:eastAsia="Calibri" w:hAnsiTheme="minorHAnsi"/>
          <w:sz w:val="24"/>
          <w:szCs w:val="24"/>
        </w:rPr>
        <w:t>b</w:t>
      </w:r>
      <w:r w:rsidR="00C121D1">
        <w:rPr>
          <w:rFonts w:asciiTheme="minorHAnsi" w:eastAsia="Calibri" w:hAnsiTheme="minorHAnsi"/>
          <w:sz w:val="24"/>
          <w:szCs w:val="24"/>
        </w:rPr>
        <w:t xml:space="preserve">) </w:t>
      </w:r>
      <w:r w:rsidR="00CB6BD9" w:rsidRPr="00D31F3A">
        <w:rPr>
          <w:rFonts w:asciiTheme="minorHAnsi" w:eastAsia="Calibri" w:hAnsiTheme="minorHAnsi"/>
          <w:sz w:val="24"/>
          <w:szCs w:val="24"/>
        </w:rPr>
        <w:t>is a global exemplar.</w:t>
      </w:r>
    </w:p>
    <w:p w14:paraId="6F2B4BDE" w14:textId="60B8D0C6" w:rsidR="00F57C3D" w:rsidRDefault="00CB6BD9" w:rsidP="00CB6BD9">
      <w:pPr>
        <w:pStyle w:val="ListParagraph"/>
        <w:numPr>
          <w:ilvl w:val="0"/>
          <w:numId w:val="20"/>
        </w:numPr>
        <w:spacing w:line="276" w:lineRule="auto"/>
        <w:ind w:left="567" w:right="-188"/>
        <w:rPr>
          <w:rFonts w:asciiTheme="minorHAnsi" w:eastAsia="Calibri" w:hAnsiTheme="minorHAnsi" w:cs="Times New Roman"/>
          <w:sz w:val="24"/>
          <w:szCs w:val="24"/>
        </w:rPr>
      </w:pPr>
      <w:r w:rsidRPr="00D31F3A">
        <w:rPr>
          <w:rFonts w:asciiTheme="minorHAnsi" w:eastAsia="Calibri" w:hAnsiTheme="minorHAnsi" w:cs="Times New Roman"/>
          <w:sz w:val="24"/>
          <w:szCs w:val="24"/>
        </w:rPr>
        <w:t>Embedding requirements for infrastructure</w:t>
      </w:r>
      <w:r>
        <w:rPr>
          <w:rFonts w:asciiTheme="minorHAnsi" w:eastAsia="Calibri" w:hAnsiTheme="minorHAnsi" w:cs="Times New Roman"/>
          <w:sz w:val="24"/>
          <w:szCs w:val="24"/>
        </w:rPr>
        <w:t xml:space="preserve"> that delivers multiple benefits</w:t>
      </w:r>
      <w:r w:rsidRPr="009C0DE2">
        <w:rPr>
          <w:rFonts w:asciiTheme="minorHAnsi" w:eastAsia="Calibri" w:hAnsiTheme="minorHAnsi" w:cs="Times New Roman"/>
          <w:sz w:val="24"/>
          <w:szCs w:val="24"/>
        </w:rPr>
        <w:t xml:space="preserve"> </w:t>
      </w:r>
      <w:r>
        <w:rPr>
          <w:rFonts w:asciiTheme="minorHAnsi" w:eastAsia="Calibri" w:hAnsiTheme="minorHAnsi" w:cs="Times New Roman"/>
          <w:sz w:val="24"/>
          <w:szCs w:val="24"/>
        </w:rPr>
        <w:t xml:space="preserve">as preferred options in </w:t>
      </w:r>
      <w:r w:rsidRPr="00D31F3A">
        <w:rPr>
          <w:rFonts w:asciiTheme="minorHAnsi" w:eastAsia="Calibri" w:hAnsiTheme="minorHAnsi" w:cs="Times New Roman"/>
          <w:sz w:val="24"/>
          <w:szCs w:val="24"/>
        </w:rPr>
        <w:t xml:space="preserve">urban planning, </w:t>
      </w:r>
      <w:r w:rsidR="00C121D1">
        <w:rPr>
          <w:rFonts w:asciiTheme="minorHAnsi" w:eastAsia="Calibri" w:hAnsiTheme="minorHAnsi" w:cs="Times New Roman"/>
          <w:sz w:val="24"/>
          <w:szCs w:val="24"/>
        </w:rPr>
        <w:t xml:space="preserve">including as examples </w:t>
      </w:r>
      <w:r>
        <w:rPr>
          <w:rFonts w:asciiTheme="minorHAnsi" w:eastAsia="Calibri" w:hAnsiTheme="minorHAnsi" w:cs="Times New Roman"/>
          <w:sz w:val="24"/>
          <w:szCs w:val="24"/>
        </w:rPr>
        <w:t xml:space="preserve">using </w:t>
      </w:r>
      <w:r w:rsidRPr="00D31F3A">
        <w:rPr>
          <w:rFonts w:asciiTheme="minorHAnsi" w:eastAsia="Calibri" w:hAnsiTheme="minorHAnsi" w:cs="Times New Roman"/>
          <w:sz w:val="24"/>
          <w:szCs w:val="24"/>
        </w:rPr>
        <w:t>urban green</w:t>
      </w:r>
      <w:r>
        <w:rPr>
          <w:rFonts w:asciiTheme="minorHAnsi" w:eastAsia="Calibri" w:hAnsiTheme="minorHAnsi" w:cs="Times New Roman"/>
          <w:sz w:val="24"/>
          <w:szCs w:val="24"/>
        </w:rPr>
        <w:t xml:space="preserve"> infrastructure to</w:t>
      </w:r>
      <w:r w:rsidRPr="00D31F3A">
        <w:rPr>
          <w:rFonts w:asciiTheme="minorHAnsi" w:eastAsia="Calibri" w:hAnsiTheme="minorHAnsi" w:cs="Times New Roman"/>
          <w:sz w:val="24"/>
          <w:szCs w:val="24"/>
        </w:rPr>
        <w:t xml:space="preserve"> simultaneously enhanc</w:t>
      </w:r>
      <w:r>
        <w:rPr>
          <w:rFonts w:asciiTheme="minorHAnsi" w:eastAsia="Calibri" w:hAnsiTheme="minorHAnsi" w:cs="Times New Roman"/>
          <w:sz w:val="24"/>
          <w:szCs w:val="24"/>
        </w:rPr>
        <w:t>e</w:t>
      </w:r>
      <w:r w:rsidRPr="00D31F3A">
        <w:rPr>
          <w:rFonts w:asciiTheme="minorHAnsi" w:eastAsia="Calibri" w:hAnsiTheme="minorHAnsi" w:cs="Times New Roman"/>
          <w:sz w:val="24"/>
          <w:szCs w:val="24"/>
        </w:rPr>
        <w:t xml:space="preserve"> air quality, flood risk, aesthetics, urban cooling and other </w:t>
      </w:r>
      <w:r>
        <w:rPr>
          <w:rFonts w:asciiTheme="minorHAnsi" w:eastAsia="Calibri" w:hAnsiTheme="minorHAnsi" w:cs="Times New Roman"/>
          <w:sz w:val="24"/>
          <w:szCs w:val="24"/>
        </w:rPr>
        <w:t>outcomes</w:t>
      </w:r>
      <w:r w:rsidRPr="00D31F3A">
        <w:rPr>
          <w:rFonts w:asciiTheme="minorHAnsi" w:eastAsia="Calibri" w:hAnsiTheme="minorHAnsi" w:cs="Times New Roman"/>
          <w:sz w:val="24"/>
          <w:szCs w:val="24"/>
        </w:rPr>
        <w:t xml:space="preserve">; </w:t>
      </w:r>
      <w:r>
        <w:rPr>
          <w:rFonts w:asciiTheme="minorHAnsi" w:eastAsia="Calibri" w:hAnsiTheme="minorHAnsi" w:cs="Times New Roman"/>
          <w:sz w:val="24"/>
          <w:szCs w:val="24"/>
        </w:rPr>
        <w:t xml:space="preserve">this includes </w:t>
      </w:r>
      <w:r w:rsidRPr="00D31F3A">
        <w:rPr>
          <w:rFonts w:asciiTheme="minorHAnsi" w:eastAsia="Calibri" w:hAnsiTheme="minorHAnsi" w:cs="Times New Roman"/>
          <w:sz w:val="24"/>
          <w:szCs w:val="24"/>
        </w:rPr>
        <w:t xml:space="preserve">fully accounting for </w:t>
      </w:r>
      <w:r>
        <w:rPr>
          <w:rFonts w:asciiTheme="minorHAnsi" w:eastAsia="Calibri" w:hAnsiTheme="minorHAnsi" w:cs="Times New Roman"/>
          <w:sz w:val="24"/>
          <w:szCs w:val="24"/>
        </w:rPr>
        <w:t xml:space="preserve">all linked ecosystem services </w:t>
      </w:r>
      <w:r w:rsidRPr="00D31F3A">
        <w:rPr>
          <w:rFonts w:asciiTheme="minorHAnsi" w:eastAsia="Calibri" w:hAnsiTheme="minorHAnsi" w:cs="Times New Roman"/>
          <w:sz w:val="24"/>
          <w:szCs w:val="24"/>
        </w:rPr>
        <w:t>benefits when set against costs in city planning</w:t>
      </w:r>
      <w:r>
        <w:rPr>
          <w:rFonts w:asciiTheme="minorHAnsi" w:eastAsia="Calibri" w:hAnsiTheme="minorHAnsi" w:cs="Times New Roman"/>
          <w:sz w:val="24"/>
          <w:szCs w:val="24"/>
        </w:rPr>
        <w:t xml:space="preserve"> proposals</w:t>
      </w:r>
      <w:r w:rsidRPr="00D31F3A">
        <w:rPr>
          <w:rFonts w:asciiTheme="minorHAnsi" w:eastAsia="Calibri" w:hAnsiTheme="minorHAnsi" w:cs="Times New Roman"/>
          <w:sz w:val="24"/>
          <w:szCs w:val="24"/>
        </w:rPr>
        <w:t xml:space="preserve"> and scheme approvals</w:t>
      </w:r>
      <w:r>
        <w:rPr>
          <w:rFonts w:asciiTheme="minorHAnsi" w:eastAsia="Calibri" w:hAnsiTheme="minorHAnsi" w:cs="Times New Roman"/>
          <w:sz w:val="24"/>
          <w:szCs w:val="24"/>
        </w:rPr>
        <w:t xml:space="preserve"> </w:t>
      </w:r>
      <w:r w:rsidR="00396222">
        <w:rPr>
          <w:rFonts w:asciiTheme="minorHAnsi" w:eastAsia="Calibri" w:hAnsiTheme="minorHAnsi" w:cs="Times New Roman"/>
          <w:sz w:val="24"/>
          <w:szCs w:val="24"/>
        </w:rPr>
        <w:t xml:space="preserve">(for example Staddon </w:t>
      </w:r>
      <w:r w:rsidR="00396222" w:rsidRPr="00396222">
        <w:rPr>
          <w:rFonts w:asciiTheme="minorHAnsi" w:eastAsia="Calibri" w:hAnsiTheme="minorHAnsi" w:cs="Times New Roman"/>
          <w:i/>
          <w:sz w:val="24"/>
          <w:szCs w:val="24"/>
        </w:rPr>
        <w:t>et al</w:t>
      </w:r>
      <w:r w:rsidR="00396222">
        <w:rPr>
          <w:rFonts w:asciiTheme="minorHAnsi" w:eastAsia="Calibri" w:hAnsiTheme="minorHAnsi" w:cs="Times New Roman"/>
          <w:sz w:val="24"/>
          <w:szCs w:val="24"/>
        </w:rPr>
        <w:t>., 2018)</w:t>
      </w:r>
      <w:r w:rsidR="00F57C3D" w:rsidRPr="00D31F3A">
        <w:rPr>
          <w:rFonts w:asciiTheme="minorHAnsi" w:eastAsia="Calibri" w:hAnsiTheme="minorHAnsi" w:cs="Times New Roman"/>
          <w:sz w:val="24"/>
          <w:szCs w:val="24"/>
        </w:rPr>
        <w:t>.</w:t>
      </w:r>
    </w:p>
    <w:p w14:paraId="702220C1" w14:textId="44C71DC7" w:rsidR="00402CF7" w:rsidRDefault="00402CF7" w:rsidP="00402CF7">
      <w:pPr>
        <w:spacing w:line="276" w:lineRule="auto"/>
        <w:ind w:right="-188"/>
        <w:rPr>
          <w:rFonts w:eastAsia="Calibri" w:cs="Times New Roman"/>
          <w:sz w:val="24"/>
          <w:szCs w:val="24"/>
        </w:rPr>
      </w:pPr>
    </w:p>
    <w:p w14:paraId="0D7113F2" w14:textId="77ED446C" w:rsidR="00F57C3D" w:rsidRPr="00D31F3A" w:rsidRDefault="00F57C3D" w:rsidP="00D31F3A">
      <w:pPr>
        <w:spacing w:before="120" w:line="276" w:lineRule="auto"/>
        <w:ind w:right="-188"/>
        <w:rPr>
          <w:rFonts w:eastAsia="Calibri" w:cs="Times New Roman"/>
          <w:b/>
          <w:i/>
          <w:sz w:val="24"/>
          <w:szCs w:val="24"/>
        </w:rPr>
      </w:pPr>
      <w:bookmarkStart w:id="8" w:name="_Toc36225710"/>
      <w:r w:rsidRPr="00D31F3A">
        <w:rPr>
          <w:rFonts w:eastAsia="Calibri" w:cs="Times New Roman"/>
          <w:b/>
          <w:sz w:val="24"/>
          <w:szCs w:val="24"/>
        </w:rPr>
        <w:t>3.5</w:t>
      </w:r>
      <w:r w:rsidRPr="00D31F3A">
        <w:rPr>
          <w:rFonts w:eastAsia="Calibri" w:cs="Times New Roman"/>
          <w:b/>
          <w:i/>
          <w:sz w:val="24"/>
          <w:szCs w:val="24"/>
        </w:rPr>
        <w:t xml:space="preserve"> The transport sector</w:t>
      </w:r>
      <w:bookmarkEnd w:id="8"/>
    </w:p>
    <w:p w14:paraId="4616E4FC" w14:textId="11A2CBD1" w:rsidR="00F57C3D" w:rsidRPr="00D31F3A" w:rsidRDefault="00AE7525" w:rsidP="00D31F3A">
      <w:pPr>
        <w:spacing w:line="276" w:lineRule="auto"/>
        <w:ind w:right="-188"/>
        <w:rPr>
          <w:rFonts w:eastAsia="Calibri" w:cs="Arial"/>
          <w:sz w:val="24"/>
          <w:szCs w:val="24"/>
        </w:rPr>
      </w:pPr>
      <w:r>
        <w:rPr>
          <w:rFonts w:eastAsia="Calibri" w:cs="Arial"/>
          <w:sz w:val="24"/>
          <w:szCs w:val="24"/>
        </w:rPr>
        <w:t xml:space="preserve">Mobility serves many human needs serving a range of other sectoral interests, from trade to recreation.  </w:t>
      </w:r>
      <w:r w:rsidR="00F57C3D" w:rsidRPr="00D31F3A">
        <w:rPr>
          <w:rFonts w:eastAsia="Calibri" w:cs="Arial"/>
          <w:sz w:val="24"/>
          <w:szCs w:val="24"/>
        </w:rPr>
        <w:t>Construction and operation of transport infrastructure and vehicles</w:t>
      </w:r>
      <w:r w:rsidR="003D092B">
        <w:rPr>
          <w:rFonts w:eastAsia="Calibri" w:cs="Arial"/>
          <w:sz w:val="24"/>
          <w:szCs w:val="24"/>
        </w:rPr>
        <w:t xml:space="preserve"> </w:t>
      </w:r>
      <w:r w:rsidR="00F57C3D" w:rsidRPr="00D31F3A">
        <w:rPr>
          <w:rFonts w:eastAsia="Calibri" w:cs="Arial"/>
          <w:sz w:val="24"/>
          <w:szCs w:val="24"/>
        </w:rPr>
        <w:t>has significant effects on environmental and sustainability outcomes.  For a shift to more sustainable mobility system</w:t>
      </w:r>
      <w:r>
        <w:rPr>
          <w:rFonts w:eastAsia="Calibri" w:cs="Arial"/>
          <w:sz w:val="24"/>
          <w:szCs w:val="24"/>
        </w:rPr>
        <w:t>s</w:t>
      </w:r>
      <w:r w:rsidR="00F57C3D" w:rsidRPr="00D31F3A">
        <w:rPr>
          <w:rFonts w:eastAsia="Calibri" w:cs="Arial"/>
          <w:sz w:val="24"/>
          <w:szCs w:val="24"/>
        </w:rPr>
        <w:t>, actionable outcomes include:</w:t>
      </w:r>
    </w:p>
    <w:p w14:paraId="4B59495E" w14:textId="77777777" w:rsidR="00CB6BD9" w:rsidRPr="00D31F3A" w:rsidRDefault="00CB6BD9" w:rsidP="00CB6BD9">
      <w:pPr>
        <w:pStyle w:val="ListParagraph"/>
        <w:numPr>
          <w:ilvl w:val="0"/>
          <w:numId w:val="19"/>
        </w:numPr>
        <w:spacing w:line="276" w:lineRule="auto"/>
        <w:ind w:left="567" w:right="-188" w:hanging="425"/>
        <w:rPr>
          <w:rFonts w:asciiTheme="minorHAnsi" w:eastAsia="Calibri" w:hAnsiTheme="minorHAnsi" w:cs="Arial"/>
          <w:sz w:val="24"/>
          <w:szCs w:val="24"/>
        </w:rPr>
      </w:pPr>
      <w:r>
        <w:rPr>
          <w:rFonts w:asciiTheme="minorHAnsi" w:eastAsia="Calibri" w:hAnsiTheme="minorHAnsi" w:cs="Arial"/>
          <w:sz w:val="24"/>
          <w:szCs w:val="24"/>
        </w:rPr>
        <w:t>Broadening</w:t>
      </w:r>
      <w:r w:rsidRPr="00D31F3A">
        <w:rPr>
          <w:rFonts w:asciiTheme="minorHAnsi" w:eastAsia="Calibri" w:hAnsiTheme="minorHAnsi" w:cs="Arial"/>
          <w:sz w:val="24"/>
          <w:szCs w:val="24"/>
        </w:rPr>
        <w:t xml:space="preserve"> </w:t>
      </w:r>
      <w:r>
        <w:rPr>
          <w:rFonts w:asciiTheme="minorHAnsi" w:eastAsia="Calibri" w:hAnsiTheme="minorHAnsi" w:cs="Arial"/>
          <w:sz w:val="24"/>
          <w:szCs w:val="24"/>
        </w:rPr>
        <w:t xml:space="preserve">and deepening integration of </w:t>
      </w:r>
      <w:r w:rsidRPr="00D31F3A">
        <w:rPr>
          <w:rFonts w:asciiTheme="minorHAnsi" w:eastAsia="Calibri" w:hAnsiTheme="minorHAnsi" w:cs="Arial"/>
          <w:sz w:val="24"/>
          <w:szCs w:val="24"/>
        </w:rPr>
        <w:t>wider</w:t>
      </w:r>
      <w:r>
        <w:rPr>
          <w:rFonts w:asciiTheme="minorHAnsi" w:eastAsia="Calibri" w:hAnsiTheme="minorHAnsi" w:cs="Arial"/>
          <w:sz w:val="24"/>
          <w:szCs w:val="24"/>
        </w:rPr>
        <w:t xml:space="preserve"> environmental and</w:t>
      </w:r>
      <w:r w:rsidRPr="00D31F3A">
        <w:rPr>
          <w:rFonts w:asciiTheme="minorHAnsi" w:eastAsia="Calibri" w:hAnsiTheme="minorHAnsi" w:cs="Arial"/>
          <w:sz w:val="24"/>
          <w:szCs w:val="24"/>
        </w:rPr>
        <w:t xml:space="preserve"> ecosystem-vectored health and social impacts</w:t>
      </w:r>
      <w:r>
        <w:rPr>
          <w:rFonts w:asciiTheme="minorHAnsi" w:eastAsia="Calibri" w:hAnsiTheme="minorHAnsi" w:cs="Arial"/>
          <w:sz w:val="24"/>
          <w:szCs w:val="24"/>
        </w:rPr>
        <w:t>, such as air and water pollution and noise,</w:t>
      </w:r>
      <w:r w:rsidRPr="00D31F3A">
        <w:rPr>
          <w:rFonts w:asciiTheme="minorHAnsi" w:eastAsia="Calibri" w:hAnsiTheme="minorHAnsi" w:cs="Arial"/>
          <w:sz w:val="24"/>
          <w:szCs w:val="24"/>
        </w:rPr>
        <w:t xml:space="preserve"> within mainstream </w:t>
      </w:r>
      <w:r>
        <w:rPr>
          <w:rFonts w:asciiTheme="minorHAnsi" w:eastAsia="Calibri" w:hAnsiTheme="minorHAnsi" w:cs="Arial"/>
          <w:sz w:val="24"/>
          <w:szCs w:val="24"/>
        </w:rPr>
        <w:t xml:space="preserve">transport </w:t>
      </w:r>
      <w:r w:rsidRPr="00D31F3A">
        <w:rPr>
          <w:rFonts w:asciiTheme="minorHAnsi" w:eastAsia="Calibri" w:hAnsiTheme="minorHAnsi" w:cs="Arial"/>
          <w:sz w:val="24"/>
          <w:szCs w:val="24"/>
        </w:rPr>
        <w:t>decision-making criteria.</w:t>
      </w:r>
    </w:p>
    <w:p w14:paraId="3B6085EC" w14:textId="77777777" w:rsidR="00CB6BD9" w:rsidRPr="00D31F3A" w:rsidRDefault="00CB6BD9" w:rsidP="00CB6BD9">
      <w:pPr>
        <w:pStyle w:val="ListParagraph"/>
        <w:numPr>
          <w:ilvl w:val="0"/>
          <w:numId w:val="19"/>
        </w:numPr>
        <w:spacing w:line="276" w:lineRule="auto"/>
        <w:ind w:left="567" w:right="-188" w:hanging="425"/>
        <w:rPr>
          <w:rFonts w:asciiTheme="minorHAnsi" w:eastAsia="Calibri" w:hAnsiTheme="minorHAnsi" w:cs="Arial"/>
          <w:sz w:val="24"/>
          <w:szCs w:val="24"/>
        </w:rPr>
      </w:pPr>
      <w:r w:rsidRPr="00D31F3A">
        <w:rPr>
          <w:rFonts w:asciiTheme="minorHAnsi" w:eastAsia="Calibri" w:hAnsiTheme="minorHAnsi" w:cs="Arial"/>
          <w:sz w:val="24"/>
          <w:szCs w:val="24"/>
        </w:rPr>
        <w:t xml:space="preserve">Adopting long-term economic, social and environmental sustainability objectives as equally important framing considerations </w:t>
      </w:r>
      <w:r>
        <w:rPr>
          <w:rFonts w:asciiTheme="minorHAnsi" w:eastAsia="Calibri" w:hAnsiTheme="minorHAnsi" w:cs="Arial"/>
          <w:sz w:val="24"/>
          <w:szCs w:val="24"/>
        </w:rPr>
        <w:t>to</w:t>
      </w:r>
      <w:r w:rsidRPr="00D31F3A">
        <w:rPr>
          <w:rFonts w:asciiTheme="minorHAnsi" w:eastAsia="Calibri" w:hAnsiTheme="minorHAnsi" w:cs="Arial"/>
          <w:sz w:val="24"/>
          <w:szCs w:val="24"/>
        </w:rPr>
        <w:t xml:space="preserve"> short-term travel demands.</w:t>
      </w:r>
    </w:p>
    <w:p w14:paraId="31054579" w14:textId="20EE89C5" w:rsidR="00F57C3D" w:rsidRPr="00D31F3A" w:rsidRDefault="00CB6BD9" w:rsidP="00CB6BD9">
      <w:pPr>
        <w:pStyle w:val="ListParagraph"/>
        <w:numPr>
          <w:ilvl w:val="0"/>
          <w:numId w:val="19"/>
        </w:numPr>
        <w:spacing w:line="276" w:lineRule="auto"/>
        <w:ind w:left="567" w:right="-188" w:hanging="425"/>
        <w:rPr>
          <w:rFonts w:asciiTheme="minorHAnsi" w:eastAsia="Calibri" w:hAnsiTheme="minorHAnsi" w:cs="Arial"/>
          <w:sz w:val="24"/>
          <w:szCs w:val="24"/>
        </w:rPr>
      </w:pPr>
      <w:r w:rsidRPr="00D31F3A">
        <w:rPr>
          <w:rFonts w:asciiTheme="minorHAnsi" w:eastAsia="Calibri" w:hAnsiTheme="minorHAnsi" w:cs="Arial"/>
          <w:sz w:val="24"/>
          <w:szCs w:val="24"/>
        </w:rPr>
        <w:t>Promoting modal shift to active transport</w:t>
      </w:r>
      <w:r>
        <w:rPr>
          <w:rFonts w:asciiTheme="minorHAnsi" w:eastAsia="Calibri" w:hAnsiTheme="minorHAnsi" w:cs="Arial"/>
          <w:sz w:val="24"/>
          <w:szCs w:val="24"/>
        </w:rPr>
        <w:t xml:space="preserve"> </w:t>
      </w:r>
      <w:r w:rsidRPr="00D31F3A">
        <w:rPr>
          <w:rFonts w:asciiTheme="minorHAnsi" w:eastAsia="Calibri" w:hAnsiTheme="minorHAnsi" w:cs="Arial"/>
          <w:sz w:val="24"/>
          <w:szCs w:val="24"/>
        </w:rPr>
        <w:t>where</w:t>
      </w:r>
      <w:r>
        <w:rPr>
          <w:rFonts w:asciiTheme="minorHAnsi" w:eastAsia="Calibri" w:hAnsiTheme="minorHAnsi" w:cs="Arial"/>
          <w:sz w:val="24"/>
          <w:szCs w:val="24"/>
        </w:rPr>
        <w:t>ver</w:t>
      </w:r>
      <w:r w:rsidRPr="00D31F3A">
        <w:rPr>
          <w:rFonts w:asciiTheme="minorHAnsi" w:eastAsia="Calibri" w:hAnsiTheme="minorHAnsi" w:cs="Arial"/>
          <w:sz w:val="24"/>
          <w:szCs w:val="24"/>
        </w:rPr>
        <w:t xml:space="preserve"> feasible </w:t>
      </w:r>
      <w:r>
        <w:rPr>
          <w:rFonts w:asciiTheme="minorHAnsi" w:eastAsia="Calibri" w:hAnsiTheme="minorHAnsi" w:cs="Arial"/>
          <w:sz w:val="24"/>
          <w:szCs w:val="24"/>
        </w:rPr>
        <w:t>(</w:t>
      </w:r>
      <w:r w:rsidRPr="00B27E2A">
        <w:rPr>
          <w:rFonts w:asciiTheme="minorHAnsi" w:eastAsia="Calibri" w:hAnsiTheme="minorHAnsi" w:cs="Arial"/>
          <w:sz w:val="24"/>
          <w:szCs w:val="24"/>
        </w:rPr>
        <w:t>physical activity undertaken as a means of transport</w:t>
      </w:r>
      <w:r>
        <w:rPr>
          <w:rFonts w:asciiTheme="minorHAnsi" w:eastAsia="Calibri" w:hAnsiTheme="minorHAnsi" w:cs="Arial"/>
          <w:sz w:val="24"/>
          <w:szCs w:val="24"/>
        </w:rPr>
        <w:t xml:space="preserve"> rather than purely for recreation)</w:t>
      </w:r>
      <w:r w:rsidRPr="00D31F3A">
        <w:rPr>
          <w:rFonts w:asciiTheme="minorHAnsi" w:eastAsia="Calibri" w:hAnsiTheme="minorHAnsi" w:cs="Arial"/>
          <w:sz w:val="24"/>
          <w:szCs w:val="24"/>
        </w:rPr>
        <w:t xml:space="preserve">, </w:t>
      </w:r>
      <w:r>
        <w:rPr>
          <w:rFonts w:asciiTheme="minorHAnsi" w:eastAsia="Calibri" w:hAnsiTheme="minorHAnsi" w:cs="Arial"/>
          <w:sz w:val="24"/>
          <w:szCs w:val="24"/>
        </w:rPr>
        <w:t xml:space="preserve">working with urban planners and under policies such as the </w:t>
      </w:r>
      <w:r w:rsidRPr="00D31F3A">
        <w:rPr>
          <w:rFonts w:asciiTheme="minorHAnsi" w:eastAsia="Calibri" w:hAnsiTheme="minorHAnsi" w:cs="Arial"/>
          <w:sz w:val="24"/>
          <w:szCs w:val="24"/>
        </w:rPr>
        <w:t xml:space="preserve">UK Department for Transport </w:t>
      </w:r>
      <w:r w:rsidRPr="00D31F3A">
        <w:rPr>
          <w:rFonts w:asciiTheme="minorHAnsi" w:eastAsia="Calibri" w:hAnsiTheme="minorHAnsi" w:cs="Arial"/>
          <w:i/>
          <w:sz w:val="24"/>
          <w:szCs w:val="24"/>
        </w:rPr>
        <w:t>Road to Zero</w:t>
      </w:r>
      <w:r w:rsidRPr="00D31F3A">
        <w:rPr>
          <w:rFonts w:asciiTheme="minorHAnsi" w:eastAsia="Calibri" w:hAnsiTheme="minorHAnsi" w:cs="Arial"/>
          <w:sz w:val="24"/>
          <w:szCs w:val="24"/>
        </w:rPr>
        <w:t xml:space="preserve"> policy</w:t>
      </w:r>
      <w:r w:rsidRPr="00D31F3A">
        <w:rPr>
          <w:rFonts w:asciiTheme="minorHAnsi" w:hAnsiTheme="minorHAnsi"/>
          <w:sz w:val="24"/>
          <w:szCs w:val="24"/>
        </w:rPr>
        <w:t xml:space="preserve"> (</w:t>
      </w:r>
      <w:proofErr w:type="spellStart"/>
      <w:r w:rsidRPr="00D31F3A">
        <w:rPr>
          <w:rFonts w:asciiTheme="minorHAnsi" w:hAnsiTheme="minorHAnsi"/>
          <w:sz w:val="24"/>
          <w:szCs w:val="24"/>
        </w:rPr>
        <w:t>DfT</w:t>
      </w:r>
      <w:proofErr w:type="spellEnd"/>
      <w:r w:rsidRPr="00D31F3A">
        <w:rPr>
          <w:rFonts w:asciiTheme="minorHAnsi" w:hAnsiTheme="minorHAnsi"/>
          <w:sz w:val="24"/>
          <w:szCs w:val="24"/>
        </w:rPr>
        <w:t>, 2018)</w:t>
      </w:r>
      <w:r>
        <w:rPr>
          <w:rFonts w:asciiTheme="minorHAnsi" w:hAnsiTheme="minorHAnsi"/>
          <w:sz w:val="24"/>
          <w:szCs w:val="24"/>
        </w:rPr>
        <w:t xml:space="preserve"> </w:t>
      </w:r>
      <w:r>
        <w:rPr>
          <w:rFonts w:asciiTheme="minorHAnsi" w:eastAsia="Calibri" w:hAnsiTheme="minorHAnsi" w:cs="Arial"/>
          <w:sz w:val="24"/>
          <w:szCs w:val="24"/>
        </w:rPr>
        <w:t>to deliver</w:t>
      </w:r>
      <w:r w:rsidRPr="00D31F3A">
        <w:rPr>
          <w:rFonts w:asciiTheme="minorHAnsi" w:eastAsia="Calibri" w:hAnsiTheme="minorHAnsi" w:cs="Arial"/>
          <w:sz w:val="24"/>
          <w:szCs w:val="24"/>
        </w:rPr>
        <w:t xml:space="preserve"> multiple </w:t>
      </w:r>
      <w:r w:rsidR="00DF7B52">
        <w:rPr>
          <w:rFonts w:asciiTheme="minorHAnsi" w:eastAsia="Calibri" w:hAnsiTheme="minorHAnsi" w:cs="Arial"/>
          <w:sz w:val="24"/>
          <w:szCs w:val="24"/>
        </w:rPr>
        <w:t xml:space="preserve">linked </w:t>
      </w:r>
      <w:r>
        <w:rPr>
          <w:rFonts w:asciiTheme="minorHAnsi" w:eastAsia="Calibri" w:hAnsiTheme="minorHAnsi" w:cs="Arial"/>
          <w:sz w:val="24"/>
          <w:szCs w:val="24"/>
        </w:rPr>
        <w:t xml:space="preserve">health (Public Health England, 2018) and environmental </w:t>
      </w:r>
      <w:r w:rsidRPr="00D31F3A">
        <w:rPr>
          <w:rFonts w:asciiTheme="minorHAnsi" w:eastAsia="Calibri" w:hAnsiTheme="minorHAnsi" w:cs="Arial"/>
          <w:sz w:val="24"/>
          <w:szCs w:val="24"/>
        </w:rPr>
        <w:t xml:space="preserve">benefits </w:t>
      </w:r>
      <w:r>
        <w:rPr>
          <w:rFonts w:asciiTheme="minorHAnsi" w:eastAsia="Calibri" w:hAnsiTheme="minorHAnsi" w:cs="Arial"/>
          <w:sz w:val="24"/>
          <w:szCs w:val="24"/>
        </w:rPr>
        <w:t xml:space="preserve">such as </w:t>
      </w:r>
      <w:r w:rsidRPr="00D31F3A">
        <w:rPr>
          <w:rFonts w:asciiTheme="minorHAnsi" w:eastAsia="Calibri" w:hAnsiTheme="minorHAnsi" w:cs="Arial"/>
          <w:sz w:val="24"/>
          <w:szCs w:val="24"/>
        </w:rPr>
        <w:t>pollution reduction</w:t>
      </w:r>
      <w:r>
        <w:rPr>
          <w:rFonts w:asciiTheme="minorHAnsi" w:eastAsia="Calibri" w:hAnsiTheme="minorHAnsi" w:cs="Arial"/>
          <w:sz w:val="24"/>
          <w:szCs w:val="24"/>
        </w:rPr>
        <w:t xml:space="preserve">, </w:t>
      </w:r>
      <w:r w:rsidRPr="00D31F3A">
        <w:rPr>
          <w:rFonts w:asciiTheme="minorHAnsi" w:eastAsia="Calibri" w:hAnsiTheme="minorHAnsi" w:cs="Arial"/>
          <w:sz w:val="24"/>
          <w:szCs w:val="24"/>
        </w:rPr>
        <w:t>decarbonisation</w:t>
      </w:r>
      <w:r>
        <w:rPr>
          <w:rFonts w:asciiTheme="minorHAnsi" w:eastAsia="Calibri" w:hAnsiTheme="minorHAnsi" w:cs="Arial"/>
          <w:sz w:val="24"/>
          <w:szCs w:val="24"/>
        </w:rPr>
        <w:t xml:space="preserve">, and </w:t>
      </w:r>
      <w:r w:rsidR="00F57C3D" w:rsidRPr="00D31F3A">
        <w:rPr>
          <w:rFonts w:asciiTheme="minorHAnsi" w:eastAsia="Calibri" w:hAnsiTheme="minorHAnsi" w:cs="Arial"/>
          <w:sz w:val="24"/>
          <w:szCs w:val="24"/>
        </w:rPr>
        <w:t>improved biodiversity and hydrology.</w:t>
      </w:r>
    </w:p>
    <w:p w14:paraId="324702AF" w14:textId="2830A2C6" w:rsidR="00F57C3D" w:rsidRPr="00D31F3A" w:rsidRDefault="00F57C3D" w:rsidP="00BF1084">
      <w:pPr>
        <w:pStyle w:val="ListParagraph"/>
        <w:numPr>
          <w:ilvl w:val="0"/>
          <w:numId w:val="19"/>
        </w:numPr>
        <w:spacing w:line="276" w:lineRule="auto"/>
        <w:ind w:left="567" w:right="-188" w:hanging="425"/>
        <w:rPr>
          <w:rFonts w:asciiTheme="minorHAnsi" w:eastAsia="Calibri" w:hAnsiTheme="minorHAnsi" w:cs="Arial"/>
          <w:sz w:val="24"/>
          <w:szCs w:val="24"/>
        </w:rPr>
      </w:pPr>
      <w:r w:rsidRPr="00D31F3A">
        <w:rPr>
          <w:rFonts w:asciiTheme="minorHAnsi" w:eastAsia="Calibri" w:hAnsiTheme="minorHAnsi" w:cs="Arial"/>
          <w:sz w:val="24"/>
          <w:szCs w:val="24"/>
        </w:rPr>
        <w:t xml:space="preserve">Ensuring that </w:t>
      </w:r>
      <w:r w:rsidR="006A2561">
        <w:rPr>
          <w:rFonts w:asciiTheme="minorHAnsi" w:eastAsia="Calibri" w:hAnsiTheme="minorHAnsi" w:cs="Arial"/>
          <w:sz w:val="24"/>
          <w:szCs w:val="24"/>
        </w:rPr>
        <w:t xml:space="preserve">the </w:t>
      </w:r>
      <w:r w:rsidRPr="00D31F3A">
        <w:rPr>
          <w:rFonts w:asciiTheme="minorHAnsi" w:eastAsia="Calibri" w:hAnsiTheme="minorHAnsi" w:cs="Arial"/>
          <w:sz w:val="24"/>
          <w:szCs w:val="24"/>
        </w:rPr>
        <w:t>currently seriously undervalued societal benefits of natural infrastructure – for transport systems and for wider societal needs – become fully accounted for in transport planning decisions (for example</w:t>
      </w:r>
      <w:r w:rsidR="00C85900">
        <w:rPr>
          <w:rFonts w:asciiTheme="minorHAnsi" w:eastAsia="Calibri" w:hAnsiTheme="minorHAnsi" w:cs="Arial"/>
          <w:sz w:val="24"/>
          <w:szCs w:val="24"/>
        </w:rPr>
        <w:t>,</w:t>
      </w:r>
      <w:r w:rsidRPr="00D31F3A">
        <w:rPr>
          <w:rFonts w:asciiTheme="minorHAnsi" w:eastAsia="Calibri" w:hAnsiTheme="minorHAnsi" w:cs="Arial"/>
          <w:sz w:val="24"/>
          <w:szCs w:val="24"/>
        </w:rPr>
        <w:t xml:space="preserve"> w</w:t>
      </w:r>
      <w:r w:rsidR="006A2561">
        <w:rPr>
          <w:rFonts w:asciiTheme="minorHAnsi" w:eastAsia="Calibri" w:hAnsiTheme="minorHAnsi" w:cs="Arial"/>
          <w:sz w:val="24"/>
          <w:szCs w:val="24"/>
        </w:rPr>
        <w:t>h</w:t>
      </w:r>
      <w:r w:rsidRPr="00D31F3A">
        <w:rPr>
          <w:rFonts w:asciiTheme="minorHAnsi" w:eastAsia="Calibri" w:hAnsiTheme="minorHAnsi" w:cs="Arial"/>
          <w:sz w:val="24"/>
          <w:szCs w:val="24"/>
        </w:rPr>
        <w:t>ere planned new infrastructure might destroy irreplaceable habitat such as ancient woodlands).</w:t>
      </w:r>
    </w:p>
    <w:p w14:paraId="6B4EB660" w14:textId="77777777" w:rsidR="0085162E" w:rsidRDefault="00F57C3D" w:rsidP="0085162E">
      <w:pPr>
        <w:pStyle w:val="ListParagraph"/>
        <w:numPr>
          <w:ilvl w:val="0"/>
          <w:numId w:val="19"/>
        </w:numPr>
        <w:spacing w:line="276" w:lineRule="auto"/>
        <w:ind w:left="567" w:right="-188" w:hanging="425"/>
        <w:rPr>
          <w:rFonts w:asciiTheme="minorHAnsi" w:eastAsia="Calibri" w:hAnsiTheme="minorHAnsi" w:cs="Arial"/>
          <w:sz w:val="24"/>
          <w:szCs w:val="24"/>
        </w:rPr>
      </w:pPr>
      <w:r w:rsidRPr="00D31F3A">
        <w:rPr>
          <w:rFonts w:asciiTheme="minorHAnsi" w:eastAsia="Calibri" w:hAnsiTheme="minorHAnsi" w:cs="Arial"/>
          <w:sz w:val="24"/>
          <w:szCs w:val="24"/>
        </w:rPr>
        <w:t>Developing inclusive cost-benefit approaches – qualitative and quantitative – to articulate impacts on net societal benefits and disbenefits</w:t>
      </w:r>
      <w:r w:rsidR="003360E3">
        <w:rPr>
          <w:rFonts w:asciiTheme="minorHAnsi" w:eastAsia="Calibri" w:hAnsiTheme="minorHAnsi" w:cs="Arial"/>
          <w:sz w:val="24"/>
          <w:szCs w:val="24"/>
        </w:rPr>
        <w:t xml:space="preserve"> across whole life cycles</w:t>
      </w:r>
      <w:r w:rsidRPr="00D31F3A">
        <w:rPr>
          <w:rFonts w:asciiTheme="minorHAnsi" w:eastAsia="Calibri" w:hAnsiTheme="minorHAnsi" w:cs="Arial"/>
          <w:sz w:val="24"/>
          <w:szCs w:val="24"/>
        </w:rPr>
        <w:t>, and report</w:t>
      </w:r>
      <w:r w:rsidR="00203C28">
        <w:rPr>
          <w:rFonts w:asciiTheme="minorHAnsi" w:eastAsia="Calibri" w:hAnsiTheme="minorHAnsi" w:cs="Arial"/>
          <w:sz w:val="24"/>
          <w:szCs w:val="24"/>
        </w:rPr>
        <w:t xml:space="preserve">ing </w:t>
      </w:r>
      <w:r w:rsidRPr="00D31F3A">
        <w:rPr>
          <w:rFonts w:asciiTheme="minorHAnsi" w:eastAsia="Calibri" w:hAnsiTheme="minorHAnsi" w:cs="Arial"/>
          <w:sz w:val="24"/>
          <w:szCs w:val="24"/>
        </w:rPr>
        <w:t xml:space="preserve">on them transparently. </w:t>
      </w:r>
      <w:r w:rsidR="006A2561">
        <w:rPr>
          <w:rFonts w:asciiTheme="minorHAnsi" w:eastAsia="Calibri" w:hAnsiTheme="minorHAnsi" w:cs="Arial"/>
          <w:sz w:val="24"/>
          <w:szCs w:val="24"/>
        </w:rPr>
        <w:t xml:space="preserve"> </w:t>
      </w:r>
      <w:r w:rsidRPr="00D31F3A">
        <w:rPr>
          <w:rFonts w:asciiTheme="minorHAnsi" w:eastAsia="Calibri" w:hAnsiTheme="minorHAnsi" w:cs="Arial"/>
          <w:sz w:val="24"/>
          <w:szCs w:val="24"/>
        </w:rPr>
        <w:t xml:space="preserve">This includes moving away from assumptions </w:t>
      </w:r>
      <w:r w:rsidR="00203C28">
        <w:rPr>
          <w:rFonts w:asciiTheme="minorHAnsi" w:eastAsia="Calibri" w:hAnsiTheme="minorHAnsi" w:cs="Arial"/>
          <w:sz w:val="24"/>
          <w:szCs w:val="24"/>
        </w:rPr>
        <w:t xml:space="preserve">based on narrowly transport-based assessments of contributions to societal </w:t>
      </w:r>
      <w:r w:rsidRPr="00D31F3A">
        <w:rPr>
          <w:rFonts w:asciiTheme="minorHAnsi" w:eastAsia="Calibri" w:hAnsiTheme="minorHAnsi" w:cs="Arial"/>
          <w:sz w:val="24"/>
          <w:szCs w:val="24"/>
        </w:rPr>
        <w:t>welfare</w:t>
      </w:r>
      <w:r w:rsidR="008D03A7">
        <w:rPr>
          <w:rFonts w:asciiTheme="minorHAnsi" w:eastAsia="Calibri" w:hAnsiTheme="minorHAnsi" w:cs="Arial"/>
          <w:sz w:val="24"/>
          <w:szCs w:val="24"/>
        </w:rPr>
        <w:t xml:space="preserve"> (</w:t>
      </w:r>
      <w:proofErr w:type="spellStart"/>
      <w:r w:rsidR="008D03A7">
        <w:rPr>
          <w:rFonts w:asciiTheme="minorHAnsi" w:eastAsia="Calibri" w:hAnsiTheme="minorHAnsi" w:cs="Arial"/>
          <w:sz w:val="24"/>
          <w:szCs w:val="24"/>
        </w:rPr>
        <w:t>Naess</w:t>
      </w:r>
      <w:proofErr w:type="spellEnd"/>
      <w:r w:rsidR="008D03A7">
        <w:rPr>
          <w:rFonts w:asciiTheme="minorHAnsi" w:eastAsia="Calibri" w:hAnsiTheme="minorHAnsi" w:cs="Arial"/>
          <w:sz w:val="24"/>
          <w:szCs w:val="24"/>
        </w:rPr>
        <w:t>, 2016)</w:t>
      </w:r>
      <w:r w:rsidR="00402CF7">
        <w:rPr>
          <w:rFonts w:asciiTheme="minorHAnsi" w:eastAsia="Calibri" w:hAnsiTheme="minorHAnsi" w:cs="Arial"/>
          <w:sz w:val="24"/>
          <w:szCs w:val="24"/>
        </w:rPr>
        <w:t>.</w:t>
      </w:r>
    </w:p>
    <w:p w14:paraId="47F74A1A" w14:textId="3E656B58" w:rsidR="00402CF7" w:rsidRPr="0085162E" w:rsidRDefault="00DF7B52" w:rsidP="00402CF7">
      <w:pPr>
        <w:pStyle w:val="ListParagraph"/>
        <w:numPr>
          <w:ilvl w:val="0"/>
          <w:numId w:val="19"/>
        </w:numPr>
        <w:spacing w:line="276" w:lineRule="auto"/>
        <w:ind w:left="567" w:right="-188" w:hanging="425"/>
        <w:rPr>
          <w:rFonts w:asciiTheme="minorHAnsi" w:eastAsia="Calibri" w:hAnsiTheme="minorHAnsi" w:cs="Arial"/>
          <w:sz w:val="24"/>
          <w:szCs w:val="24"/>
        </w:rPr>
      </w:pPr>
      <w:r>
        <w:rPr>
          <w:rFonts w:eastAsia="Calibri" w:cs="Arial"/>
          <w:sz w:val="24"/>
          <w:szCs w:val="24"/>
        </w:rPr>
        <w:t xml:space="preserve">Investing in </w:t>
      </w:r>
      <w:r w:rsidR="0085162E">
        <w:rPr>
          <w:rFonts w:eastAsia="Calibri" w:cs="Arial"/>
          <w:sz w:val="24"/>
          <w:szCs w:val="24"/>
        </w:rPr>
        <w:t xml:space="preserve">support </w:t>
      </w:r>
      <w:r>
        <w:rPr>
          <w:rFonts w:eastAsia="Calibri" w:cs="Arial"/>
          <w:sz w:val="24"/>
          <w:szCs w:val="24"/>
        </w:rPr>
        <w:t xml:space="preserve">of </w:t>
      </w:r>
      <w:r w:rsidR="0085162E" w:rsidRPr="0085162E">
        <w:rPr>
          <w:rFonts w:eastAsia="Calibri" w:cs="Arial"/>
          <w:sz w:val="24"/>
          <w:szCs w:val="24"/>
        </w:rPr>
        <w:t xml:space="preserve">a step change in public transport to make it a viable alternative to the </w:t>
      </w:r>
      <w:r>
        <w:rPr>
          <w:rFonts w:eastAsia="Calibri" w:cs="Arial"/>
          <w:sz w:val="24"/>
          <w:szCs w:val="24"/>
        </w:rPr>
        <w:t xml:space="preserve">private </w:t>
      </w:r>
      <w:r w:rsidR="0085162E" w:rsidRPr="0085162E">
        <w:rPr>
          <w:rFonts w:eastAsia="Calibri" w:cs="Arial"/>
          <w:sz w:val="24"/>
          <w:szCs w:val="24"/>
        </w:rPr>
        <w:t>car in terms of efficiency, frequency, cost and connectivity</w:t>
      </w:r>
      <w:r w:rsidR="0085162E">
        <w:rPr>
          <w:rFonts w:eastAsia="Calibri" w:cs="Arial"/>
          <w:sz w:val="24"/>
          <w:szCs w:val="24"/>
        </w:rPr>
        <w:t xml:space="preserve"> needs</w:t>
      </w:r>
      <w:r>
        <w:rPr>
          <w:rFonts w:eastAsia="Calibri" w:cs="Arial"/>
          <w:sz w:val="24"/>
          <w:szCs w:val="24"/>
        </w:rPr>
        <w:t xml:space="preserve">.  Allocation of resources needs to be consciously </w:t>
      </w:r>
      <w:r w:rsidR="0085162E">
        <w:rPr>
          <w:rFonts w:eastAsia="Calibri" w:cs="Arial"/>
          <w:sz w:val="24"/>
          <w:szCs w:val="24"/>
        </w:rPr>
        <w:t xml:space="preserve">addressed as investment </w:t>
      </w:r>
      <w:r>
        <w:rPr>
          <w:rFonts w:eastAsia="Calibri" w:cs="Arial"/>
          <w:sz w:val="24"/>
          <w:szCs w:val="24"/>
        </w:rPr>
        <w:t xml:space="preserve">towards the many recognised benefits of a </w:t>
      </w:r>
      <w:r w:rsidR="0085162E">
        <w:rPr>
          <w:rFonts w:eastAsia="Calibri" w:cs="Arial"/>
          <w:sz w:val="24"/>
          <w:szCs w:val="24"/>
        </w:rPr>
        <w:t>more sustainable future</w:t>
      </w:r>
      <w:r>
        <w:rPr>
          <w:rFonts w:eastAsia="Calibri" w:cs="Arial"/>
          <w:sz w:val="24"/>
          <w:szCs w:val="24"/>
        </w:rPr>
        <w:t xml:space="preserve"> rather than a pure cost</w:t>
      </w:r>
      <w:r w:rsidR="0085162E">
        <w:rPr>
          <w:rFonts w:eastAsia="Calibri" w:cs="Arial"/>
          <w:sz w:val="24"/>
          <w:szCs w:val="24"/>
        </w:rPr>
        <w:t xml:space="preserve">, </w:t>
      </w:r>
      <w:r>
        <w:rPr>
          <w:rFonts w:eastAsia="Calibri" w:cs="Arial"/>
          <w:sz w:val="24"/>
          <w:szCs w:val="24"/>
        </w:rPr>
        <w:t xml:space="preserve">thereby </w:t>
      </w:r>
      <w:r w:rsidR="0085162E">
        <w:rPr>
          <w:rFonts w:eastAsia="Calibri" w:cs="Arial"/>
          <w:sz w:val="24"/>
          <w:szCs w:val="24"/>
        </w:rPr>
        <w:t>averting many currently externalised societal costs</w:t>
      </w:r>
      <w:r>
        <w:rPr>
          <w:rFonts w:eastAsia="Calibri" w:cs="Arial"/>
          <w:sz w:val="24"/>
          <w:szCs w:val="24"/>
        </w:rPr>
        <w:t xml:space="preserve"> from current narrowly framed investment models</w:t>
      </w:r>
      <w:r w:rsidR="0085162E" w:rsidRPr="0085162E">
        <w:rPr>
          <w:rFonts w:eastAsia="Calibri" w:cs="Arial"/>
          <w:sz w:val="24"/>
          <w:szCs w:val="24"/>
        </w:rPr>
        <w:t>.</w:t>
      </w:r>
    </w:p>
    <w:p w14:paraId="16A95440" w14:textId="77777777" w:rsidR="0085162E" w:rsidRPr="0085162E" w:rsidRDefault="0085162E" w:rsidP="0085162E">
      <w:pPr>
        <w:spacing w:line="276" w:lineRule="auto"/>
        <w:ind w:right="-188"/>
        <w:rPr>
          <w:rFonts w:eastAsia="Calibri" w:cs="Arial"/>
          <w:sz w:val="24"/>
          <w:szCs w:val="24"/>
        </w:rPr>
      </w:pPr>
    </w:p>
    <w:p w14:paraId="32759036" w14:textId="64ECF7A7" w:rsidR="00F57C3D" w:rsidRPr="00D31F3A" w:rsidRDefault="00F57C3D" w:rsidP="00D31F3A">
      <w:pPr>
        <w:spacing w:before="120" w:line="276" w:lineRule="auto"/>
        <w:ind w:right="-188"/>
        <w:rPr>
          <w:rFonts w:eastAsia="Calibri" w:cs="Times New Roman"/>
          <w:b/>
          <w:i/>
          <w:sz w:val="24"/>
          <w:szCs w:val="24"/>
        </w:rPr>
      </w:pPr>
      <w:bookmarkStart w:id="9" w:name="_Toc36225711"/>
      <w:r w:rsidRPr="00D31F3A">
        <w:rPr>
          <w:rFonts w:eastAsia="Calibri" w:cs="Times New Roman"/>
          <w:b/>
          <w:sz w:val="24"/>
          <w:szCs w:val="24"/>
        </w:rPr>
        <w:t>3.6</w:t>
      </w:r>
      <w:r w:rsidRPr="00D31F3A">
        <w:rPr>
          <w:rFonts w:eastAsia="Calibri" w:cs="Times New Roman"/>
          <w:b/>
          <w:i/>
          <w:sz w:val="24"/>
          <w:szCs w:val="24"/>
        </w:rPr>
        <w:t xml:space="preserve"> The agriculture and food sector</w:t>
      </w:r>
      <w:bookmarkEnd w:id="9"/>
    </w:p>
    <w:p w14:paraId="632A426E" w14:textId="6A0C896D" w:rsidR="00F57C3D" w:rsidRPr="00D31F3A" w:rsidRDefault="00F57C3D" w:rsidP="00D31F3A">
      <w:pPr>
        <w:spacing w:line="276" w:lineRule="auto"/>
        <w:ind w:right="-188"/>
        <w:rPr>
          <w:rFonts w:eastAsia="Calibri" w:cs="Arial"/>
          <w:color w:val="000000" w:themeColor="text1"/>
          <w:sz w:val="24"/>
          <w:szCs w:val="24"/>
        </w:rPr>
      </w:pPr>
      <w:r w:rsidRPr="00D31F3A">
        <w:rPr>
          <w:rFonts w:eastAsia="Calibri" w:cs="Arial"/>
          <w:color w:val="000000" w:themeColor="text1"/>
          <w:sz w:val="24"/>
          <w:szCs w:val="24"/>
        </w:rPr>
        <w:t>The food system, encompassing agriculture, fisheries and food processing (and ultimately) waste management</w:t>
      </w:r>
      <w:r w:rsidR="0029354A">
        <w:rPr>
          <w:rFonts w:eastAsia="Calibri" w:cs="Arial"/>
          <w:color w:val="000000" w:themeColor="text1"/>
          <w:sz w:val="24"/>
          <w:szCs w:val="24"/>
        </w:rPr>
        <w:t>,</w:t>
      </w:r>
      <w:r w:rsidRPr="00D31F3A">
        <w:rPr>
          <w:rFonts w:eastAsia="Calibri" w:cs="Arial"/>
          <w:color w:val="000000" w:themeColor="text1"/>
          <w:sz w:val="24"/>
          <w:szCs w:val="24"/>
        </w:rPr>
        <w:t xml:space="preserve"> is </w:t>
      </w:r>
      <w:r w:rsidR="00AE7525">
        <w:rPr>
          <w:rFonts w:eastAsia="Calibri" w:cs="Arial"/>
          <w:color w:val="000000" w:themeColor="text1"/>
          <w:sz w:val="24"/>
          <w:szCs w:val="24"/>
        </w:rPr>
        <w:t xml:space="preserve">essential to sustain human wellbeing yet, conversely, current practices are </w:t>
      </w:r>
      <w:r w:rsidRPr="00D31F3A">
        <w:rPr>
          <w:rFonts w:eastAsia="Calibri" w:cs="Arial"/>
          <w:color w:val="000000" w:themeColor="text1"/>
          <w:sz w:val="24"/>
          <w:szCs w:val="24"/>
        </w:rPr>
        <w:t>recognised globally as major contributor</w:t>
      </w:r>
      <w:r w:rsidR="00AE7525">
        <w:rPr>
          <w:rFonts w:eastAsia="Calibri" w:cs="Arial"/>
          <w:color w:val="000000" w:themeColor="text1"/>
          <w:sz w:val="24"/>
          <w:szCs w:val="24"/>
        </w:rPr>
        <w:t>s</w:t>
      </w:r>
      <w:r w:rsidRPr="00D31F3A">
        <w:rPr>
          <w:rFonts w:eastAsia="Calibri" w:cs="Arial"/>
          <w:color w:val="000000" w:themeColor="text1"/>
          <w:sz w:val="24"/>
          <w:szCs w:val="24"/>
        </w:rPr>
        <w:t xml:space="preserve"> to environmental and sustainability challenges.  Actionable outcomes include:</w:t>
      </w:r>
    </w:p>
    <w:p w14:paraId="5E74DBEB" w14:textId="74B011E6" w:rsidR="009B1CA4" w:rsidRPr="00D31F3A" w:rsidRDefault="00DF7B52" w:rsidP="009B1CA4">
      <w:pPr>
        <w:pStyle w:val="ListParagraph"/>
        <w:numPr>
          <w:ilvl w:val="0"/>
          <w:numId w:val="18"/>
        </w:numPr>
        <w:spacing w:line="276" w:lineRule="auto"/>
        <w:ind w:left="709" w:right="-188"/>
        <w:rPr>
          <w:rFonts w:asciiTheme="minorHAnsi" w:eastAsia="Calibri" w:hAnsiTheme="minorHAnsi"/>
          <w:color w:val="000000" w:themeColor="text1"/>
          <w:sz w:val="24"/>
          <w:szCs w:val="24"/>
        </w:rPr>
      </w:pPr>
      <w:r>
        <w:rPr>
          <w:rFonts w:asciiTheme="minorHAnsi" w:eastAsia="Calibri" w:hAnsiTheme="minorHAnsi" w:cs="Arial"/>
          <w:color w:val="000000" w:themeColor="text1"/>
          <w:sz w:val="24"/>
          <w:szCs w:val="24"/>
        </w:rPr>
        <w:t>Applying</w:t>
      </w:r>
      <w:r w:rsidR="009B1CA4" w:rsidRPr="00D31F3A">
        <w:rPr>
          <w:rFonts w:asciiTheme="minorHAnsi" w:eastAsia="Calibri" w:hAnsiTheme="minorHAnsi" w:cs="Arial"/>
          <w:color w:val="000000" w:themeColor="text1"/>
          <w:sz w:val="24"/>
          <w:szCs w:val="24"/>
        </w:rPr>
        <w:t xml:space="preserve"> the </w:t>
      </w:r>
      <w:r w:rsidR="009B1CA4" w:rsidRPr="00D31F3A">
        <w:rPr>
          <w:rFonts w:asciiTheme="minorHAnsi" w:eastAsia="Calibri" w:hAnsiTheme="minorHAnsi" w:cs="Times New Roman"/>
          <w:color w:val="000000" w:themeColor="text1"/>
          <w:sz w:val="24"/>
          <w:szCs w:val="24"/>
        </w:rPr>
        <w:t xml:space="preserve">“public </w:t>
      </w:r>
      <w:r w:rsidR="00EE7964">
        <w:rPr>
          <w:rFonts w:asciiTheme="minorHAnsi" w:eastAsia="Calibri" w:hAnsiTheme="minorHAnsi" w:cs="Times New Roman"/>
          <w:color w:val="000000" w:themeColor="text1"/>
          <w:sz w:val="24"/>
          <w:szCs w:val="24"/>
        </w:rPr>
        <w:t xml:space="preserve">money </w:t>
      </w:r>
      <w:r w:rsidR="009B1CA4" w:rsidRPr="00D31F3A">
        <w:rPr>
          <w:rFonts w:asciiTheme="minorHAnsi" w:eastAsia="Calibri" w:hAnsiTheme="minorHAnsi" w:cs="Times New Roman"/>
          <w:color w:val="000000" w:themeColor="text1"/>
          <w:sz w:val="24"/>
          <w:szCs w:val="24"/>
        </w:rPr>
        <w:t>for public goods” principle</w:t>
      </w:r>
      <w:r w:rsidR="009B1CA4" w:rsidRPr="00D31F3A">
        <w:rPr>
          <w:rFonts w:asciiTheme="minorHAnsi" w:eastAsia="Calibri" w:hAnsiTheme="minorHAnsi" w:cs="Arial"/>
          <w:color w:val="000000" w:themeColor="text1"/>
          <w:sz w:val="24"/>
          <w:szCs w:val="24"/>
        </w:rPr>
        <w:t xml:space="preserve"> </w:t>
      </w:r>
      <w:r w:rsidR="009B1CA4">
        <w:rPr>
          <w:rFonts w:asciiTheme="minorHAnsi" w:eastAsia="Calibri" w:hAnsiTheme="minorHAnsi" w:cs="Arial"/>
          <w:color w:val="000000" w:themeColor="text1"/>
          <w:sz w:val="24"/>
          <w:szCs w:val="24"/>
        </w:rPr>
        <w:t xml:space="preserve">to redefine </w:t>
      </w:r>
      <w:r w:rsidR="009B1CA4" w:rsidRPr="00D31F3A">
        <w:rPr>
          <w:rFonts w:asciiTheme="minorHAnsi" w:eastAsia="Calibri" w:hAnsiTheme="minorHAnsi" w:cs="Arial"/>
          <w:color w:val="000000" w:themeColor="text1"/>
          <w:sz w:val="24"/>
          <w:szCs w:val="24"/>
        </w:rPr>
        <w:t xml:space="preserve">the fundamental purpose of public support for agriculture and fisheries </w:t>
      </w:r>
      <w:r w:rsidR="009B1CA4">
        <w:rPr>
          <w:rFonts w:asciiTheme="minorHAnsi" w:eastAsia="Calibri" w:hAnsiTheme="minorHAnsi" w:cs="Arial"/>
          <w:color w:val="000000" w:themeColor="text1"/>
          <w:sz w:val="24"/>
          <w:szCs w:val="24"/>
        </w:rPr>
        <w:t>as the</w:t>
      </w:r>
      <w:r w:rsidR="009B1CA4" w:rsidRPr="00D31F3A">
        <w:rPr>
          <w:rFonts w:asciiTheme="minorHAnsi" w:eastAsia="Calibri" w:hAnsiTheme="minorHAnsi" w:cs="Arial"/>
          <w:color w:val="000000" w:themeColor="text1"/>
          <w:sz w:val="24"/>
          <w:szCs w:val="24"/>
        </w:rPr>
        <w:t xml:space="preserve"> production of </w:t>
      </w:r>
      <w:r w:rsidR="009B1CA4">
        <w:rPr>
          <w:rFonts w:asciiTheme="minorHAnsi" w:eastAsia="Calibri" w:hAnsiTheme="minorHAnsi" w:cs="Arial"/>
          <w:color w:val="000000" w:themeColor="text1"/>
          <w:sz w:val="24"/>
          <w:szCs w:val="24"/>
        </w:rPr>
        <w:t xml:space="preserve">multiple, interlinked </w:t>
      </w:r>
      <w:r w:rsidR="009B1CA4" w:rsidRPr="00D31F3A">
        <w:rPr>
          <w:rFonts w:asciiTheme="minorHAnsi" w:eastAsia="Calibri" w:hAnsiTheme="minorHAnsi" w:cs="Arial"/>
          <w:color w:val="000000" w:themeColor="text1"/>
          <w:sz w:val="24"/>
          <w:szCs w:val="24"/>
        </w:rPr>
        <w:t xml:space="preserve">societally beneficial ecosystem services, audited on </w:t>
      </w:r>
      <w:r w:rsidR="009B1CA4">
        <w:rPr>
          <w:rFonts w:asciiTheme="minorHAnsi" w:eastAsia="Calibri" w:hAnsiTheme="minorHAnsi" w:cs="Arial"/>
          <w:color w:val="000000" w:themeColor="text1"/>
          <w:sz w:val="24"/>
          <w:szCs w:val="24"/>
        </w:rPr>
        <w:t>this</w:t>
      </w:r>
      <w:r w:rsidR="009B1CA4" w:rsidRPr="00D31F3A">
        <w:rPr>
          <w:rFonts w:asciiTheme="minorHAnsi" w:eastAsia="Calibri" w:hAnsiTheme="minorHAnsi" w:cs="Arial"/>
          <w:color w:val="000000" w:themeColor="text1"/>
          <w:sz w:val="24"/>
          <w:szCs w:val="24"/>
        </w:rPr>
        <w:t xml:space="preserve"> basis for </w:t>
      </w:r>
      <w:r w:rsidR="009B1CA4">
        <w:rPr>
          <w:rFonts w:asciiTheme="minorHAnsi" w:eastAsia="Calibri" w:hAnsiTheme="minorHAnsi" w:cs="Arial"/>
          <w:color w:val="000000" w:themeColor="text1"/>
          <w:sz w:val="24"/>
          <w:szCs w:val="24"/>
        </w:rPr>
        <w:t xml:space="preserve">subsidies and </w:t>
      </w:r>
      <w:r w:rsidR="009B1CA4" w:rsidRPr="00D31F3A">
        <w:rPr>
          <w:rFonts w:asciiTheme="minorHAnsi" w:eastAsia="Calibri" w:hAnsiTheme="minorHAnsi" w:cs="Arial"/>
          <w:color w:val="000000" w:themeColor="text1"/>
          <w:sz w:val="24"/>
          <w:szCs w:val="24"/>
        </w:rPr>
        <w:t>payments to proceed</w:t>
      </w:r>
      <w:r w:rsidR="0085162E">
        <w:rPr>
          <w:rFonts w:asciiTheme="minorHAnsi" w:eastAsia="Calibri" w:hAnsiTheme="minorHAnsi" w:cs="Arial"/>
          <w:color w:val="000000" w:themeColor="text1"/>
          <w:sz w:val="24"/>
          <w:szCs w:val="24"/>
        </w:rPr>
        <w:t xml:space="preserve"> including, as an example, a mandatory environmental element to farm business plans</w:t>
      </w:r>
      <w:r w:rsidR="009B1CA4" w:rsidRPr="00D31F3A">
        <w:rPr>
          <w:rFonts w:asciiTheme="minorHAnsi" w:eastAsia="Calibri" w:hAnsiTheme="minorHAnsi" w:cs="Times New Roman"/>
          <w:color w:val="000000" w:themeColor="text1"/>
          <w:sz w:val="24"/>
          <w:szCs w:val="24"/>
        </w:rPr>
        <w:t>.</w:t>
      </w:r>
    </w:p>
    <w:p w14:paraId="1D33B351" w14:textId="4425A036" w:rsidR="00F57C3D" w:rsidRPr="00D31F3A" w:rsidRDefault="009B1CA4" w:rsidP="009B1CA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s="Times New Roman"/>
          <w:color w:val="000000" w:themeColor="text1"/>
          <w:sz w:val="24"/>
          <w:szCs w:val="24"/>
        </w:rPr>
        <w:t xml:space="preserve">Increasing investment in </w:t>
      </w:r>
      <w:r>
        <w:rPr>
          <w:rFonts w:asciiTheme="minorHAnsi" w:eastAsia="Calibri" w:hAnsiTheme="minorHAnsi" w:cs="Times New Roman"/>
          <w:color w:val="000000" w:themeColor="text1"/>
          <w:sz w:val="24"/>
          <w:szCs w:val="24"/>
        </w:rPr>
        <w:t>development and use</w:t>
      </w:r>
      <w:r w:rsidRPr="00D31F3A">
        <w:rPr>
          <w:rFonts w:asciiTheme="minorHAnsi" w:eastAsia="Calibri" w:hAnsiTheme="minorHAnsi" w:cs="Times New Roman"/>
          <w:color w:val="000000" w:themeColor="text1"/>
          <w:sz w:val="24"/>
          <w:szCs w:val="24"/>
        </w:rPr>
        <w:t xml:space="preserve"> of </w:t>
      </w:r>
      <w:r w:rsidR="00F57C3D" w:rsidRPr="00D31F3A">
        <w:rPr>
          <w:rFonts w:asciiTheme="minorHAnsi" w:eastAsia="Calibri" w:hAnsiTheme="minorHAnsi" w:cs="Times New Roman"/>
          <w:color w:val="000000" w:themeColor="text1"/>
          <w:sz w:val="24"/>
          <w:szCs w:val="24"/>
        </w:rPr>
        <w:t>existing best practice and novel arrangements to ensure that land is used productively but also multi-beneficially, treating this as a publicly beneficial investment (with expected returns) rather than a cost or a subsidy.</w:t>
      </w:r>
    </w:p>
    <w:p w14:paraId="6372FD85" w14:textId="2C438A44" w:rsidR="00F57C3D" w:rsidRPr="00D31F3A" w:rsidRDefault="00F57C3D" w:rsidP="00BF108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olor w:val="000000" w:themeColor="text1"/>
          <w:sz w:val="24"/>
          <w:szCs w:val="24"/>
        </w:rPr>
        <w:t xml:space="preserve">Reforming taxation to </w:t>
      </w:r>
      <w:r w:rsidRPr="00D31F3A">
        <w:rPr>
          <w:rFonts w:asciiTheme="minorHAnsi" w:eastAsia="Calibri" w:hAnsiTheme="minorHAnsi" w:cs="Times New Roman"/>
          <w:color w:val="000000" w:themeColor="text1"/>
          <w:sz w:val="24"/>
          <w:szCs w:val="24"/>
        </w:rPr>
        <w:t xml:space="preserve">reverse the </w:t>
      </w:r>
      <w:r w:rsidR="00E45C5E">
        <w:rPr>
          <w:rFonts w:asciiTheme="minorHAnsi" w:eastAsia="Calibri" w:hAnsiTheme="minorHAnsi" w:cs="Times New Roman"/>
          <w:color w:val="000000" w:themeColor="text1"/>
          <w:sz w:val="24"/>
          <w:szCs w:val="24"/>
        </w:rPr>
        <w:t xml:space="preserve">current bias towards </w:t>
      </w:r>
      <w:r w:rsidRPr="00D31F3A">
        <w:rPr>
          <w:rFonts w:asciiTheme="minorHAnsi" w:eastAsia="Calibri" w:hAnsiTheme="minorHAnsi" w:cs="Times New Roman"/>
          <w:color w:val="000000" w:themeColor="text1"/>
          <w:sz w:val="24"/>
          <w:szCs w:val="24"/>
        </w:rPr>
        <w:t xml:space="preserve">substitution of human capital with inherently petrochemically intensive mechanical solutions (‘fossil fuel farming’), </w:t>
      </w:r>
      <w:r w:rsidR="00DF7B52">
        <w:rPr>
          <w:rFonts w:asciiTheme="minorHAnsi" w:eastAsia="Calibri" w:hAnsiTheme="minorHAnsi" w:cs="Times New Roman"/>
          <w:color w:val="000000" w:themeColor="text1"/>
          <w:sz w:val="24"/>
          <w:szCs w:val="24"/>
        </w:rPr>
        <w:t xml:space="preserve">thereby </w:t>
      </w:r>
      <w:r w:rsidRPr="00D31F3A">
        <w:rPr>
          <w:rFonts w:asciiTheme="minorHAnsi" w:eastAsia="Calibri" w:hAnsiTheme="minorHAnsi" w:cs="Times New Roman"/>
          <w:color w:val="000000" w:themeColor="text1"/>
          <w:sz w:val="24"/>
          <w:szCs w:val="24"/>
        </w:rPr>
        <w:t>regenerating local economies and connections with productive landscapes including promoting more cyclic use of nutrients, local food cycles and productive uses of farm and post-consumer wastes.</w:t>
      </w:r>
    </w:p>
    <w:p w14:paraId="4D74C204" w14:textId="3EFACCA8" w:rsidR="00F57C3D" w:rsidRPr="00D31F3A" w:rsidRDefault="00F57C3D" w:rsidP="00BF108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olor w:val="000000" w:themeColor="text1"/>
          <w:sz w:val="24"/>
          <w:szCs w:val="24"/>
        </w:rPr>
        <w:t>Promoting</w:t>
      </w:r>
      <w:r w:rsidR="00675F9A">
        <w:rPr>
          <w:rFonts w:asciiTheme="minorHAnsi" w:eastAsia="Calibri" w:hAnsiTheme="minorHAnsi"/>
          <w:color w:val="000000" w:themeColor="text1"/>
          <w:sz w:val="24"/>
          <w:szCs w:val="24"/>
        </w:rPr>
        <w:t>,</w:t>
      </w:r>
      <w:r w:rsidRPr="00D31F3A">
        <w:rPr>
          <w:rFonts w:asciiTheme="minorHAnsi" w:eastAsia="Calibri" w:hAnsiTheme="minorHAnsi"/>
          <w:color w:val="000000" w:themeColor="text1"/>
          <w:sz w:val="24"/>
          <w:szCs w:val="24"/>
        </w:rPr>
        <w:t xml:space="preserve"> including by fiscal means, dietary change towards a greater plant-based component to reduce carbon</w:t>
      </w:r>
      <w:r w:rsidR="00DF7B52">
        <w:rPr>
          <w:rFonts w:asciiTheme="minorHAnsi" w:eastAsia="Calibri" w:hAnsiTheme="minorHAnsi"/>
          <w:color w:val="000000" w:themeColor="text1"/>
          <w:sz w:val="24"/>
          <w:szCs w:val="24"/>
        </w:rPr>
        <w:t>-</w:t>
      </w:r>
      <w:r w:rsidRPr="00D31F3A">
        <w:rPr>
          <w:rFonts w:asciiTheme="minorHAnsi" w:eastAsia="Calibri" w:hAnsiTheme="minorHAnsi"/>
          <w:color w:val="000000" w:themeColor="text1"/>
          <w:sz w:val="24"/>
          <w:szCs w:val="24"/>
        </w:rPr>
        <w:t xml:space="preserve"> and nutrient</w:t>
      </w:r>
      <w:r w:rsidR="00DF7B52">
        <w:rPr>
          <w:rFonts w:asciiTheme="minorHAnsi" w:eastAsia="Calibri" w:hAnsiTheme="minorHAnsi"/>
          <w:color w:val="000000" w:themeColor="text1"/>
          <w:sz w:val="24"/>
          <w:szCs w:val="24"/>
        </w:rPr>
        <w:t>-</w:t>
      </w:r>
      <w:r w:rsidRPr="00D31F3A">
        <w:rPr>
          <w:rFonts w:asciiTheme="minorHAnsi" w:eastAsia="Calibri" w:hAnsiTheme="minorHAnsi"/>
          <w:color w:val="000000" w:themeColor="text1"/>
          <w:sz w:val="24"/>
          <w:szCs w:val="24"/>
        </w:rPr>
        <w:t xml:space="preserve">intensive and non-linear use of farmed </w:t>
      </w:r>
      <w:r w:rsidR="009B1CA4" w:rsidRPr="00D31F3A">
        <w:rPr>
          <w:rFonts w:asciiTheme="minorHAnsi" w:eastAsia="Calibri" w:hAnsiTheme="minorHAnsi"/>
          <w:color w:val="000000" w:themeColor="text1"/>
          <w:sz w:val="24"/>
          <w:szCs w:val="24"/>
        </w:rPr>
        <w:t>ecosystems</w:t>
      </w:r>
      <w:r w:rsidR="00DF7B52">
        <w:rPr>
          <w:rFonts w:asciiTheme="minorHAnsi" w:eastAsia="Calibri" w:hAnsiTheme="minorHAnsi"/>
          <w:color w:val="000000" w:themeColor="text1"/>
          <w:sz w:val="24"/>
          <w:szCs w:val="24"/>
        </w:rPr>
        <w:t>,</w:t>
      </w:r>
      <w:r w:rsidR="009B1CA4">
        <w:rPr>
          <w:rFonts w:asciiTheme="minorHAnsi" w:eastAsia="Calibri" w:hAnsiTheme="minorHAnsi"/>
          <w:color w:val="000000" w:themeColor="text1"/>
          <w:sz w:val="24"/>
          <w:szCs w:val="24"/>
        </w:rPr>
        <w:t xml:space="preserve"> whilst </w:t>
      </w:r>
      <w:r w:rsidR="00DF7B52">
        <w:rPr>
          <w:rFonts w:asciiTheme="minorHAnsi" w:eastAsia="Calibri" w:hAnsiTheme="minorHAnsi"/>
          <w:color w:val="000000" w:themeColor="text1"/>
          <w:sz w:val="24"/>
          <w:szCs w:val="24"/>
        </w:rPr>
        <w:t xml:space="preserve">simultaneously </w:t>
      </w:r>
      <w:r w:rsidR="009B1CA4">
        <w:rPr>
          <w:rFonts w:asciiTheme="minorHAnsi" w:eastAsia="Calibri" w:hAnsiTheme="minorHAnsi"/>
          <w:color w:val="000000" w:themeColor="text1"/>
          <w:sz w:val="24"/>
          <w:szCs w:val="24"/>
        </w:rPr>
        <w:t>supporting healthy eating guidelines</w:t>
      </w:r>
      <w:r w:rsidRPr="00D31F3A">
        <w:rPr>
          <w:rFonts w:asciiTheme="minorHAnsi" w:eastAsia="Calibri" w:hAnsiTheme="minorHAnsi"/>
          <w:color w:val="000000" w:themeColor="text1"/>
          <w:sz w:val="24"/>
          <w:szCs w:val="24"/>
        </w:rPr>
        <w:t>.</w:t>
      </w:r>
    </w:p>
    <w:p w14:paraId="1343E01C" w14:textId="7D7BDD02" w:rsidR="00F57C3D" w:rsidRPr="00D31F3A" w:rsidRDefault="00F57C3D" w:rsidP="00BF108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olor w:val="000000" w:themeColor="text1"/>
          <w:sz w:val="24"/>
          <w:szCs w:val="24"/>
        </w:rPr>
        <w:t xml:space="preserve">Investing in novel farming systems, </w:t>
      </w:r>
      <w:r w:rsidR="00675F9A">
        <w:rPr>
          <w:rFonts w:asciiTheme="minorHAnsi" w:eastAsia="Calibri" w:hAnsiTheme="minorHAnsi"/>
          <w:color w:val="000000" w:themeColor="text1"/>
          <w:sz w:val="24"/>
          <w:szCs w:val="24"/>
        </w:rPr>
        <w:t xml:space="preserve">significantly including </w:t>
      </w:r>
      <w:r w:rsidRPr="00D31F3A">
        <w:rPr>
          <w:rFonts w:asciiTheme="minorHAnsi" w:eastAsia="Calibri" w:hAnsiTheme="minorHAnsi" w:cs="Times New Roman"/>
          <w:color w:val="000000" w:themeColor="text1"/>
          <w:sz w:val="24"/>
          <w:szCs w:val="24"/>
        </w:rPr>
        <w:t xml:space="preserve">urban </w:t>
      </w:r>
      <w:r w:rsidR="00675F9A">
        <w:rPr>
          <w:rFonts w:asciiTheme="minorHAnsi" w:eastAsia="Calibri" w:hAnsiTheme="minorHAnsi" w:cs="Times New Roman"/>
          <w:color w:val="000000" w:themeColor="text1"/>
          <w:sz w:val="24"/>
          <w:szCs w:val="24"/>
        </w:rPr>
        <w:t xml:space="preserve">and peri-urban </w:t>
      </w:r>
      <w:r w:rsidRPr="00D31F3A">
        <w:rPr>
          <w:rFonts w:asciiTheme="minorHAnsi" w:eastAsia="Calibri" w:hAnsiTheme="minorHAnsi" w:cs="Times New Roman"/>
          <w:color w:val="000000" w:themeColor="text1"/>
          <w:sz w:val="24"/>
          <w:szCs w:val="24"/>
        </w:rPr>
        <w:t xml:space="preserve">agriculture, particularly those efficiently reusing waste streams </w:t>
      </w:r>
      <w:r w:rsidR="003360E3">
        <w:rPr>
          <w:rFonts w:asciiTheme="minorHAnsi" w:eastAsia="Calibri" w:hAnsiTheme="minorHAnsi" w:cs="Times New Roman"/>
          <w:color w:val="000000" w:themeColor="text1"/>
          <w:sz w:val="24"/>
          <w:szCs w:val="24"/>
        </w:rPr>
        <w:t xml:space="preserve">(with appropriate safeguards on pathogen and chemical contamination) </w:t>
      </w:r>
      <w:r w:rsidRPr="00D31F3A">
        <w:rPr>
          <w:rFonts w:asciiTheme="minorHAnsi" w:eastAsia="Calibri" w:hAnsiTheme="minorHAnsi" w:cs="Times New Roman"/>
          <w:color w:val="000000" w:themeColor="text1"/>
          <w:sz w:val="24"/>
          <w:szCs w:val="24"/>
        </w:rPr>
        <w:t>contributing to the cyclic economy.</w:t>
      </w:r>
    </w:p>
    <w:p w14:paraId="2DF93EAE" w14:textId="77777777" w:rsidR="00F57C3D" w:rsidRPr="00D31F3A" w:rsidRDefault="00F57C3D" w:rsidP="00BF108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olor w:val="000000" w:themeColor="text1"/>
          <w:sz w:val="24"/>
          <w:szCs w:val="24"/>
        </w:rPr>
        <w:t>Increasing supply chain transparency to inform value chain choice and potential regulatory or fiscal reforms to shape a more cyclic economy.</w:t>
      </w:r>
      <w:r w:rsidRPr="00D31F3A">
        <w:rPr>
          <w:rFonts w:asciiTheme="minorHAnsi" w:eastAsia="Calibri" w:hAnsiTheme="minorHAnsi" w:cs="Times New Roman"/>
          <w:color w:val="000000" w:themeColor="text1"/>
          <w:sz w:val="24"/>
          <w:szCs w:val="24"/>
        </w:rPr>
        <w:t xml:space="preserve"> </w:t>
      </w:r>
    </w:p>
    <w:p w14:paraId="4DE66F01" w14:textId="77777777" w:rsidR="00F57C3D" w:rsidRPr="00D31F3A" w:rsidRDefault="00F57C3D" w:rsidP="00BF1084">
      <w:pPr>
        <w:pStyle w:val="ListParagraph"/>
        <w:numPr>
          <w:ilvl w:val="0"/>
          <w:numId w:val="18"/>
        </w:numPr>
        <w:spacing w:line="276" w:lineRule="auto"/>
        <w:ind w:left="709" w:right="-188"/>
        <w:rPr>
          <w:rFonts w:asciiTheme="minorHAnsi" w:eastAsia="Calibri" w:hAnsiTheme="minorHAnsi" w:cs="Times New Roman"/>
          <w:color w:val="000000" w:themeColor="text1"/>
          <w:sz w:val="24"/>
          <w:szCs w:val="24"/>
        </w:rPr>
      </w:pPr>
      <w:r w:rsidRPr="00D31F3A">
        <w:rPr>
          <w:rFonts w:asciiTheme="minorHAnsi" w:eastAsia="Calibri" w:hAnsiTheme="minorHAnsi"/>
          <w:color w:val="000000" w:themeColor="text1"/>
          <w:sz w:val="24"/>
          <w:szCs w:val="24"/>
        </w:rPr>
        <w:t>Investing in impartial, evidence-based and accredited advisory services to drive forward uptake of best practice and innovation, backed up by regulation and incentives.</w:t>
      </w:r>
    </w:p>
    <w:p w14:paraId="1C3D5261" w14:textId="040C4264" w:rsidR="00F57C3D" w:rsidRPr="00D31F3A" w:rsidRDefault="00F57C3D" w:rsidP="00BF1084">
      <w:pPr>
        <w:pStyle w:val="ListParagraph"/>
        <w:numPr>
          <w:ilvl w:val="0"/>
          <w:numId w:val="18"/>
        </w:numPr>
        <w:spacing w:line="276" w:lineRule="auto"/>
        <w:ind w:left="709" w:right="-188"/>
        <w:rPr>
          <w:rFonts w:asciiTheme="minorHAnsi" w:eastAsia="Calibri" w:hAnsiTheme="minorHAnsi" w:cs="Arial"/>
          <w:color w:val="000000" w:themeColor="text1"/>
          <w:sz w:val="24"/>
          <w:szCs w:val="24"/>
        </w:rPr>
      </w:pPr>
      <w:r w:rsidRPr="00D31F3A">
        <w:rPr>
          <w:rFonts w:asciiTheme="minorHAnsi" w:eastAsia="Calibri" w:hAnsiTheme="minorHAnsi" w:cs="Times New Roman"/>
          <w:color w:val="000000" w:themeColor="text1"/>
          <w:sz w:val="24"/>
          <w:szCs w:val="24"/>
        </w:rPr>
        <w:t>Identifying and promoting, by fiscal and advisory means, the profitable accommodation of natural processes in farmed landscapes</w:t>
      </w:r>
      <w:r w:rsidR="00675F9A">
        <w:rPr>
          <w:rFonts w:asciiTheme="minorHAnsi" w:eastAsia="Calibri" w:hAnsiTheme="minorHAnsi" w:cs="Times New Roman"/>
          <w:color w:val="000000" w:themeColor="text1"/>
          <w:sz w:val="24"/>
          <w:szCs w:val="24"/>
        </w:rPr>
        <w:t xml:space="preserve">.  This may include, </w:t>
      </w:r>
      <w:r w:rsidRPr="00D31F3A">
        <w:rPr>
          <w:rFonts w:asciiTheme="minorHAnsi" w:eastAsia="Calibri" w:hAnsiTheme="minorHAnsi" w:cs="Times New Roman"/>
          <w:color w:val="000000" w:themeColor="text1"/>
          <w:sz w:val="24"/>
          <w:szCs w:val="24"/>
        </w:rPr>
        <w:t>for example, nature-friendly farming</w:t>
      </w:r>
      <w:r w:rsidR="00675F9A">
        <w:rPr>
          <w:rFonts w:asciiTheme="minorHAnsi" w:eastAsia="Calibri" w:hAnsiTheme="minorHAnsi" w:cs="Times New Roman"/>
          <w:color w:val="000000" w:themeColor="text1"/>
          <w:sz w:val="24"/>
          <w:szCs w:val="24"/>
        </w:rPr>
        <w:t xml:space="preserve">, </w:t>
      </w:r>
      <w:r w:rsidRPr="00D31F3A">
        <w:rPr>
          <w:rFonts w:asciiTheme="minorHAnsi" w:eastAsia="Calibri" w:hAnsiTheme="minorHAnsi" w:cs="Times New Roman"/>
          <w:color w:val="000000" w:themeColor="text1"/>
          <w:sz w:val="24"/>
          <w:szCs w:val="24"/>
        </w:rPr>
        <w:t xml:space="preserve">ecotourism diversification and </w:t>
      </w:r>
      <w:proofErr w:type="spellStart"/>
      <w:r w:rsidRPr="00D31F3A">
        <w:rPr>
          <w:rFonts w:asciiTheme="minorHAnsi" w:eastAsia="Calibri" w:hAnsiTheme="minorHAnsi" w:cs="Times New Roman"/>
          <w:color w:val="000000" w:themeColor="text1"/>
          <w:sz w:val="24"/>
          <w:szCs w:val="24"/>
        </w:rPr>
        <w:t>pluriactivity</w:t>
      </w:r>
      <w:proofErr w:type="spellEnd"/>
      <w:r w:rsidR="00675F9A">
        <w:rPr>
          <w:rFonts w:asciiTheme="minorHAnsi" w:eastAsia="Calibri" w:hAnsiTheme="minorHAnsi" w:cs="Times New Roman"/>
          <w:color w:val="000000" w:themeColor="text1"/>
          <w:sz w:val="24"/>
          <w:szCs w:val="24"/>
        </w:rPr>
        <w:t xml:space="preserve"> (</w:t>
      </w:r>
      <w:r w:rsidR="00675F9A" w:rsidRPr="00675F9A">
        <w:rPr>
          <w:rFonts w:asciiTheme="minorHAnsi" w:eastAsia="Calibri" w:hAnsiTheme="minorHAnsi" w:cs="Times New Roman"/>
          <w:color w:val="000000" w:themeColor="text1"/>
          <w:sz w:val="24"/>
          <w:szCs w:val="24"/>
        </w:rPr>
        <w:t>having two or more different professional activities at the same time</w:t>
      </w:r>
      <w:r w:rsidR="00EE7964">
        <w:rPr>
          <w:rFonts w:asciiTheme="minorHAnsi" w:eastAsia="Calibri" w:hAnsiTheme="minorHAnsi" w:cs="Times New Roman"/>
          <w:color w:val="000000" w:themeColor="text1"/>
          <w:sz w:val="24"/>
          <w:szCs w:val="24"/>
        </w:rPr>
        <w:t>, which may in this case include c</w:t>
      </w:r>
      <w:r w:rsidR="00EE7964" w:rsidRPr="00EE7964">
        <w:rPr>
          <w:rFonts w:asciiTheme="minorHAnsi" w:eastAsia="Calibri" w:hAnsiTheme="minorHAnsi" w:cs="Times New Roman"/>
          <w:color w:val="000000" w:themeColor="text1"/>
          <w:sz w:val="24"/>
          <w:szCs w:val="24"/>
        </w:rPr>
        <w:t>ombining farm or non-farm employment</w:t>
      </w:r>
      <w:r w:rsidRPr="00D31F3A">
        <w:rPr>
          <w:rFonts w:asciiTheme="minorHAnsi" w:eastAsia="Calibri" w:hAnsiTheme="minorHAnsi" w:cs="Times New Roman"/>
          <w:color w:val="000000" w:themeColor="text1"/>
          <w:sz w:val="24"/>
          <w:szCs w:val="24"/>
        </w:rPr>
        <w:t>).</w:t>
      </w:r>
    </w:p>
    <w:p w14:paraId="778E24FB" w14:textId="4AE57356" w:rsidR="00F57C3D" w:rsidRDefault="00F57C3D" w:rsidP="00BF1084">
      <w:pPr>
        <w:pStyle w:val="ListParagraph"/>
        <w:numPr>
          <w:ilvl w:val="0"/>
          <w:numId w:val="18"/>
        </w:numPr>
        <w:spacing w:line="276" w:lineRule="auto"/>
        <w:ind w:left="709" w:right="-188"/>
        <w:rPr>
          <w:rFonts w:asciiTheme="minorHAnsi" w:eastAsia="Calibri" w:hAnsiTheme="minorHAnsi" w:cs="Arial"/>
          <w:color w:val="000000" w:themeColor="text1"/>
          <w:sz w:val="24"/>
          <w:szCs w:val="24"/>
        </w:rPr>
      </w:pPr>
      <w:r w:rsidRPr="00D31F3A">
        <w:rPr>
          <w:rFonts w:asciiTheme="minorHAnsi" w:eastAsia="Calibri" w:hAnsiTheme="minorHAnsi" w:cs="Times New Roman"/>
          <w:color w:val="000000" w:themeColor="text1"/>
          <w:sz w:val="24"/>
          <w:szCs w:val="24"/>
        </w:rPr>
        <w:t xml:space="preserve">Developing </w:t>
      </w:r>
      <w:r w:rsidR="004C0BEB">
        <w:rPr>
          <w:rFonts w:asciiTheme="minorHAnsi" w:eastAsia="Calibri" w:hAnsiTheme="minorHAnsi" w:cs="Times New Roman"/>
          <w:color w:val="000000" w:themeColor="text1"/>
          <w:sz w:val="24"/>
          <w:szCs w:val="24"/>
        </w:rPr>
        <w:t xml:space="preserve">integrated </w:t>
      </w:r>
      <w:r w:rsidRPr="00D31F3A">
        <w:rPr>
          <w:rFonts w:asciiTheme="minorHAnsi" w:eastAsia="Calibri" w:hAnsiTheme="minorHAnsi"/>
          <w:color w:val="000000" w:themeColor="text1"/>
          <w:sz w:val="24"/>
          <w:szCs w:val="24"/>
        </w:rPr>
        <w:t xml:space="preserve">farm plans in the context of the wider landscapes in which they sit, including optimisation of multiple ecosystem service outcomes </w:t>
      </w:r>
      <w:r w:rsidR="00DF7B52">
        <w:rPr>
          <w:rFonts w:asciiTheme="minorHAnsi" w:eastAsia="Calibri" w:hAnsiTheme="minorHAnsi"/>
          <w:color w:val="000000" w:themeColor="text1"/>
          <w:sz w:val="24"/>
          <w:szCs w:val="24"/>
        </w:rPr>
        <w:t xml:space="preserve">well beyond individual landholding scales </w:t>
      </w:r>
      <w:r w:rsidRPr="00D31F3A">
        <w:rPr>
          <w:rFonts w:asciiTheme="minorHAnsi" w:eastAsia="Calibri" w:hAnsiTheme="minorHAnsi"/>
          <w:color w:val="000000" w:themeColor="text1"/>
          <w:sz w:val="24"/>
          <w:szCs w:val="24"/>
        </w:rPr>
        <w:t>(for example in Pont Bren</w:t>
      </w:r>
      <w:r w:rsidR="00675F9A">
        <w:rPr>
          <w:rFonts w:asciiTheme="minorHAnsi" w:eastAsia="Calibri" w:hAnsiTheme="minorHAnsi"/>
          <w:color w:val="000000" w:themeColor="text1"/>
          <w:sz w:val="24"/>
          <w:szCs w:val="24"/>
        </w:rPr>
        <w:t xml:space="preserve"> (Woodland Trust, 2013)</w:t>
      </w:r>
      <w:r w:rsidRPr="00D31F3A">
        <w:rPr>
          <w:rFonts w:asciiTheme="minorHAnsi" w:eastAsia="Calibri" w:hAnsiTheme="minorHAnsi"/>
          <w:color w:val="000000" w:themeColor="text1"/>
          <w:sz w:val="24"/>
          <w:szCs w:val="24"/>
        </w:rPr>
        <w:t xml:space="preserve"> and in the </w:t>
      </w:r>
      <w:r w:rsidRPr="00D31F3A">
        <w:rPr>
          <w:rFonts w:asciiTheme="minorHAnsi" w:eastAsia="Calibri" w:hAnsiTheme="minorHAnsi"/>
          <w:bCs/>
          <w:sz w:val="24"/>
          <w:szCs w:val="24"/>
        </w:rPr>
        <w:t>Brecon Beacons Mega Catchment scheme</w:t>
      </w:r>
      <w:r w:rsidR="00675F9A">
        <w:rPr>
          <w:rFonts w:asciiTheme="minorHAnsi" w:eastAsia="Calibri" w:hAnsiTheme="minorHAnsi"/>
          <w:bCs/>
          <w:sz w:val="24"/>
          <w:szCs w:val="24"/>
        </w:rPr>
        <w:t xml:space="preserve"> (</w:t>
      </w:r>
      <w:proofErr w:type="spellStart"/>
      <w:r w:rsidR="00675F9A">
        <w:rPr>
          <w:rFonts w:asciiTheme="minorHAnsi" w:eastAsia="Calibri" w:hAnsiTheme="minorHAnsi"/>
          <w:bCs/>
          <w:sz w:val="24"/>
          <w:szCs w:val="24"/>
        </w:rPr>
        <w:t>D</w:t>
      </w:r>
      <w:r w:rsidR="00675F9A">
        <w:rPr>
          <w:rFonts w:asciiTheme="minorHAnsi" w:eastAsia="Calibri" w:hAnsiTheme="minorHAnsi" w:cstheme="minorHAnsi"/>
          <w:bCs/>
          <w:sz w:val="24"/>
          <w:szCs w:val="24"/>
        </w:rPr>
        <w:t>ŵ</w:t>
      </w:r>
      <w:r w:rsidR="00675F9A">
        <w:rPr>
          <w:rFonts w:asciiTheme="minorHAnsi" w:eastAsia="Calibri" w:hAnsiTheme="minorHAnsi"/>
          <w:bCs/>
          <w:sz w:val="24"/>
          <w:szCs w:val="24"/>
        </w:rPr>
        <w:t>r</w:t>
      </w:r>
      <w:proofErr w:type="spellEnd"/>
      <w:r w:rsidR="00675F9A">
        <w:rPr>
          <w:rFonts w:asciiTheme="minorHAnsi" w:eastAsia="Calibri" w:hAnsiTheme="minorHAnsi"/>
          <w:bCs/>
          <w:sz w:val="24"/>
          <w:szCs w:val="24"/>
        </w:rPr>
        <w:t xml:space="preserve"> Cymru, 2020)</w:t>
      </w:r>
      <w:r w:rsidRPr="00D31F3A">
        <w:rPr>
          <w:rFonts w:asciiTheme="minorHAnsi" w:eastAsia="Calibri" w:hAnsiTheme="minorHAnsi"/>
          <w:bCs/>
          <w:sz w:val="24"/>
          <w:szCs w:val="24"/>
        </w:rPr>
        <w:t xml:space="preserve"> or the larger-scale </w:t>
      </w:r>
      <w:r w:rsidRPr="00D31F3A">
        <w:rPr>
          <w:rFonts w:asciiTheme="minorHAnsi" w:eastAsia="Calibri" w:hAnsiTheme="minorHAnsi" w:cs="Arial"/>
          <w:color w:val="000000" w:themeColor="text1"/>
          <w:sz w:val="24"/>
          <w:szCs w:val="24"/>
        </w:rPr>
        <w:t>‘regreening’ of sloping lands on the Loess Plateau in China (</w:t>
      </w:r>
      <w:r w:rsidRPr="00D31F3A">
        <w:rPr>
          <w:rFonts w:asciiTheme="minorHAnsi" w:hAnsiTheme="minorHAnsi"/>
          <w:sz w:val="24"/>
          <w:szCs w:val="24"/>
        </w:rPr>
        <w:t xml:space="preserve">Li </w:t>
      </w:r>
      <w:r w:rsidRPr="00675F9A">
        <w:rPr>
          <w:rFonts w:asciiTheme="minorHAnsi" w:hAnsiTheme="minorHAnsi"/>
          <w:i/>
          <w:sz w:val="24"/>
          <w:szCs w:val="24"/>
        </w:rPr>
        <w:t xml:space="preserve">et </w:t>
      </w:r>
      <w:r w:rsidR="00675F9A">
        <w:rPr>
          <w:rFonts w:asciiTheme="minorHAnsi" w:hAnsiTheme="minorHAnsi"/>
          <w:i/>
          <w:sz w:val="24"/>
          <w:szCs w:val="24"/>
        </w:rPr>
        <w:t>al</w:t>
      </w:r>
      <w:r w:rsidR="00675F9A">
        <w:rPr>
          <w:rFonts w:asciiTheme="minorHAnsi" w:hAnsiTheme="minorHAnsi"/>
          <w:sz w:val="24"/>
          <w:szCs w:val="24"/>
        </w:rPr>
        <w:t>.,</w:t>
      </w:r>
      <w:r w:rsidRPr="00D31F3A">
        <w:rPr>
          <w:rFonts w:asciiTheme="minorHAnsi" w:hAnsiTheme="minorHAnsi"/>
          <w:sz w:val="24"/>
          <w:szCs w:val="24"/>
        </w:rPr>
        <w:t xml:space="preserve"> 2019</w:t>
      </w:r>
      <w:r w:rsidRPr="00D31F3A">
        <w:rPr>
          <w:rFonts w:asciiTheme="minorHAnsi" w:eastAsia="Calibri" w:hAnsiTheme="minorHAnsi" w:cs="Arial"/>
          <w:color w:val="000000" w:themeColor="text1"/>
          <w:sz w:val="24"/>
          <w:szCs w:val="24"/>
        </w:rPr>
        <w:t>)</w:t>
      </w:r>
      <w:r w:rsidR="00675F9A">
        <w:rPr>
          <w:rFonts w:asciiTheme="minorHAnsi" w:eastAsia="Calibri" w:hAnsiTheme="minorHAnsi" w:cs="Arial"/>
          <w:color w:val="000000" w:themeColor="text1"/>
          <w:sz w:val="24"/>
          <w:szCs w:val="24"/>
        </w:rPr>
        <w:t>)</w:t>
      </w:r>
      <w:r w:rsidRPr="00D31F3A">
        <w:rPr>
          <w:rFonts w:asciiTheme="minorHAnsi" w:eastAsia="Calibri" w:hAnsiTheme="minorHAnsi" w:cs="Arial"/>
          <w:color w:val="000000" w:themeColor="text1"/>
          <w:sz w:val="24"/>
          <w:szCs w:val="24"/>
        </w:rPr>
        <w:t>.</w:t>
      </w:r>
    </w:p>
    <w:p w14:paraId="15468084" w14:textId="0858B770" w:rsidR="000A5CD8" w:rsidRDefault="000A5CD8" w:rsidP="00BF1084">
      <w:pPr>
        <w:pStyle w:val="ListParagraph"/>
        <w:numPr>
          <w:ilvl w:val="0"/>
          <w:numId w:val="18"/>
        </w:numPr>
        <w:spacing w:line="276" w:lineRule="auto"/>
        <w:ind w:left="709" w:right="-188"/>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 xml:space="preserve">In addition to enforcement of existing rules, such as the ‘New farming rules for water’ (Defra, 2017), measures such as the </w:t>
      </w:r>
      <w:r w:rsidRPr="000A5CD8">
        <w:rPr>
          <w:rFonts w:asciiTheme="minorHAnsi" w:eastAsia="Calibri" w:hAnsiTheme="minorHAnsi" w:cs="Arial"/>
          <w:color w:val="000000" w:themeColor="text1"/>
          <w:sz w:val="24"/>
          <w:szCs w:val="24"/>
        </w:rPr>
        <w:t xml:space="preserve">Favourable Condition index </w:t>
      </w:r>
      <w:r>
        <w:rPr>
          <w:rFonts w:asciiTheme="minorHAnsi" w:eastAsia="Calibri" w:hAnsiTheme="minorHAnsi" w:cs="Arial"/>
          <w:color w:val="000000" w:themeColor="text1"/>
          <w:sz w:val="24"/>
          <w:szCs w:val="24"/>
        </w:rPr>
        <w:t xml:space="preserve">as used </w:t>
      </w:r>
      <w:r w:rsidRPr="000A5CD8">
        <w:rPr>
          <w:rFonts w:asciiTheme="minorHAnsi" w:eastAsia="Calibri" w:hAnsiTheme="minorHAnsi" w:cs="Arial"/>
          <w:color w:val="000000" w:themeColor="text1"/>
          <w:sz w:val="24"/>
          <w:szCs w:val="24"/>
        </w:rPr>
        <w:t xml:space="preserve">for </w:t>
      </w:r>
      <w:bookmarkStart w:id="10" w:name="_Hlk46854775"/>
      <w:r w:rsidR="002255D4">
        <w:rPr>
          <w:rFonts w:asciiTheme="minorHAnsi" w:eastAsia="Calibri" w:hAnsiTheme="minorHAnsi" w:cs="Arial"/>
          <w:color w:val="000000" w:themeColor="text1"/>
          <w:sz w:val="24"/>
          <w:szCs w:val="24"/>
        </w:rPr>
        <w:t>Sites of Special Scientific Interest (</w:t>
      </w:r>
      <w:r w:rsidRPr="000A5CD8">
        <w:rPr>
          <w:rFonts w:asciiTheme="minorHAnsi" w:eastAsia="Calibri" w:hAnsiTheme="minorHAnsi" w:cs="Arial"/>
          <w:color w:val="000000" w:themeColor="text1"/>
          <w:sz w:val="24"/>
          <w:szCs w:val="24"/>
        </w:rPr>
        <w:t>SSSIs</w:t>
      </w:r>
      <w:r w:rsidR="002255D4">
        <w:rPr>
          <w:rFonts w:asciiTheme="minorHAnsi" w:eastAsia="Calibri" w:hAnsiTheme="minorHAnsi" w:cs="Arial"/>
          <w:color w:val="000000" w:themeColor="text1"/>
          <w:sz w:val="24"/>
          <w:szCs w:val="24"/>
        </w:rPr>
        <w:t>)</w:t>
      </w:r>
      <w:bookmarkEnd w:id="10"/>
      <w:r>
        <w:rPr>
          <w:rFonts w:asciiTheme="minorHAnsi" w:eastAsia="Calibri" w:hAnsiTheme="minorHAnsi" w:cs="Arial"/>
          <w:color w:val="000000" w:themeColor="text1"/>
          <w:sz w:val="24"/>
          <w:szCs w:val="24"/>
        </w:rPr>
        <w:t xml:space="preserve"> can be applied, potentially as a basis for alternatively taxing or subsidising respectively land in </w:t>
      </w:r>
      <w:r w:rsidRPr="000A5CD8">
        <w:rPr>
          <w:rFonts w:asciiTheme="minorHAnsi" w:eastAsia="Calibri" w:hAnsiTheme="minorHAnsi" w:cs="Arial"/>
          <w:color w:val="000000" w:themeColor="text1"/>
          <w:sz w:val="24"/>
          <w:szCs w:val="24"/>
        </w:rPr>
        <w:t xml:space="preserve">degraded </w:t>
      </w:r>
      <w:r>
        <w:rPr>
          <w:rFonts w:asciiTheme="minorHAnsi" w:eastAsia="Calibri" w:hAnsiTheme="minorHAnsi" w:cs="Arial"/>
          <w:color w:val="000000" w:themeColor="text1"/>
          <w:sz w:val="24"/>
          <w:szCs w:val="24"/>
        </w:rPr>
        <w:t xml:space="preserve">or </w:t>
      </w:r>
      <w:r w:rsidRPr="000A5CD8">
        <w:rPr>
          <w:rFonts w:asciiTheme="minorHAnsi" w:eastAsia="Calibri" w:hAnsiTheme="minorHAnsi" w:cs="Arial"/>
          <w:color w:val="000000" w:themeColor="text1"/>
          <w:sz w:val="24"/>
          <w:szCs w:val="24"/>
        </w:rPr>
        <w:t>well</w:t>
      </w:r>
      <w:r>
        <w:rPr>
          <w:rFonts w:asciiTheme="minorHAnsi" w:eastAsia="Calibri" w:hAnsiTheme="minorHAnsi" w:cs="Arial"/>
          <w:color w:val="000000" w:themeColor="text1"/>
          <w:sz w:val="24"/>
          <w:szCs w:val="24"/>
        </w:rPr>
        <w:t>-</w:t>
      </w:r>
      <w:r w:rsidRPr="000A5CD8">
        <w:rPr>
          <w:rFonts w:asciiTheme="minorHAnsi" w:eastAsia="Calibri" w:hAnsiTheme="minorHAnsi" w:cs="Arial"/>
          <w:color w:val="000000" w:themeColor="text1"/>
          <w:sz w:val="24"/>
          <w:szCs w:val="24"/>
        </w:rPr>
        <w:t xml:space="preserve">managed </w:t>
      </w:r>
      <w:r>
        <w:rPr>
          <w:rFonts w:asciiTheme="minorHAnsi" w:eastAsia="Calibri" w:hAnsiTheme="minorHAnsi" w:cs="Arial"/>
          <w:color w:val="000000" w:themeColor="text1"/>
          <w:sz w:val="24"/>
          <w:szCs w:val="24"/>
        </w:rPr>
        <w:t>condition.</w:t>
      </w:r>
    </w:p>
    <w:p w14:paraId="2E3E1963" w14:textId="77777777" w:rsidR="00675F9A" w:rsidRPr="00675F9A" w:rsidRDefault="00675F9A" w:rsidP="00675F9A">
      <w:pPr>
        <w:spacing w:line="276" w:lineRule="auto"/>
        <w:ind w:right="-188"/>
        <w:rPr>
          <w:rFonts w:eastAsia="Calibri" w:cs="Arial"/>
          <w:color w:val="000000" w:themeColor="text1"/>
          <w:sz w:val="24"/>
          <w:szCs w:val="24"/>
        </w:rPr>
      </w:pPr>
    </w:p>
    <w:p w14:paraId="232DB7E8" w14:textId="7FDCEA20" w:rsidR="00F57C3D" w:rsidRPr="00D31F3A" w:rsidRDefault="00F57C3D" w:rsidP="00D31F3A">
      <w:pPr>
        <w:spacing w:before="120" w:line="276" w:lineRule="auto"/>
        <w:ind w:right="-188"/>
        <w:rPr>
          <w:rFonts w:eastAsia="Calibri" w:cs="Times New Roman"/>
          <w:b/>
          <w:i/>
          <w:sz w:val="24"/>
          <w:szCs w:val="24"/>
        </w:rPr>
      </w:pPr>
      <w:bookmarkStart w:id="11" w:name="_Toc36225712"/>
      <w:r w:rsidRPr="00D31F3A">
        <w:rPr>
          <w:rFonts w:eastAsia="Calibri" w:cs="Times New Roman"/>
          <w:b/>
          <w:sz w:val="24"/>
          <w:szCs w:val="24"/>
        </w:rPr>
        <w:t>3.7</w:t>
      </w:r>
      <w:r w:rsidRPr="00D31F3A">
        <w:rPr>
          <w:rFonts w:eastAsia="Calibri" w:cs="Times New Roman"/>
          <w:b/>
          <w:i/>
          <w:sz w:val="24"/>
          <w:szCs w:val="24"/>
        </w:rPr>
        <w:t xml:space="preserve"> The health and wellbeing sector</w:t>
      </w:r>
      <w:bookmarkEnd w:id="11"/>
      <w:r w:rsidR="003742E4" w:rsidRPr="00D31F3A">
        <w:rPr>
          <w:rFonts w:eastAsia="Calibri" w:cs="Times New Roman"/>
          <w:b/>
          <w:i/>
          <w:sz w:val="24"/>
          <w:szCs w:val="24"/>
        </w:rPr>
        <w:t xml:space="preserve"> </w:t>
      </w:r>
    </w:p>
    <w:p w14:paraId="2BF50989" w14:textId="3385D694" w:rsidR="00F57C3D" w:rsidRPr="00D31F3A" w:rsidRDefault="00F57C3D" w:rsidP="00D31F3A">
      <w:pPr>
        <w:spacing w:line="276" w:lineRule="auto"/>
        <w:ind w:right="-188"/>
        <w:rPr>
          <w:rFonts w:eastAsia="Calibri" w:cs="Arial"/>
          <w:sz w:val="24"/>
          <w:szCs w:val="24"/>
        </w:rPr>
      </w:pPr>
      <w:r w:rsidRPr="00D31F3A">
        <w:rPr>
          <w:rFonts w:eastAsia="Calibri" w:cs="Arial"/>
          <w:sz w:val="24"/>
          <w:szCs w:val="24"/>
        </w:rPr>
        <w:t xml:space="preserve">The links between </w:t>
      </w:r>
      <w:r w:rsidR="009B1CA4" w:rsidRPr="00D31F3A">
        <w:rPr>
          <w:rFonts w:eastAsia="Calibri" w:cs="Arial"/>
          <w:sz w:val="24"/>
          <w:szCs w:val="24"/>
        </w:rPr>
        <w:t>environmental</w:t>
      </w:r>
      <w:r w:rsidR="009B1CA4">
        <w:rPr>
          <w:rFonts w:eastAsia="Calibri" w:cs="Arial"/>
          <w:sz w:val="24"/>
          <w:szCs w:val="24"/>
        </w:rPr>
        <w:t xml:space="preserve"> and </w:t>
      </w:r>
      <w:r w:rsidR="009B1CA4" w:rsidRPr="00D31F3A">
        <w:rPr>
          <w:rFonts w:eastAsia="Calibri" w:cs="Arial"/>
          <w:sz w:val="24"/>
          <w:szCs w:val="24"/>
        </w:rPr>
        <w:t>human health and wellbeing outcomes are recognised globally</w:t>
      </w:r>
      <w:r w:rsidRPr="00D31F3A">
        <w:rPr>
          <w:rFonts w:eastAsia="Calibri" w:cs="Arial"/>
          <w:sz w:val="24"/>
          <w:szCs w:val="24"/>
        </w:rPr>
        <w:t xml:space="preserve"> as crucial to securing transitions towards sustainability</w:t>
      </w:r>
      <w:r w:rsidRPr="00D31F3A">
        <w:rPr>
          <w:sz w:val="24"/>
          <w:szCs w:val="24"/>
        </w:rPr>
        <w:t xml:space="preserve"> (UN, 2019)</w:t>
      </w:r>
      <w:r w:rsidRPr="00D31F3A">
        <w:rPr>
          <w:rFonts w:eastAsia="Calibri" w:cs="Arial"/>
          <w:sz w:val="24"/>
          <w:szCs w:val="24"/>
        </w:rPr>
        <w:t xml:space="preserve">. </w:t>
      </w:r>
      <w:r w:rsidR="005334A0">
        <w:rPr>
          <w:rFonts w:eastAsia="Calibri" w:cs="Arial"/>
          <w:sz w:val="24"/>
          <w:szCs w:val="24"/>
        </w:rPr>
        <w:t xml:space="preserve"> </w:t>
      </w:r>
      <w:r w:rsidRPr="00D31F3A">
        <w:rPr>
          <w:rFonts w:eastAsia="Calibri" w:cs="Arial"/>
          <w:sz w:val="24"/>
          <w:szCs w:val="24"/>
        </w:rPr>
        <w:t>Actionable outcomes include:</w:t>
      </w:r>
    </w:p>
    <w:p w14:paraId="727BA6D5" w14:textId="5915D322" w:rsidR="00F57C3D" w:rsidRPr="006B7F60" w:rsidRDefault="00F57C3D" w:rsidP="00BF1084">
      <w:pPr>
        <w:pStyle w:val="ListParagraph"/>
        <w:numPr>
          <w:ilvl w:val="0"/>
          <w:numId w:val="21"/>
        </w:numPr>
        <w:spacing w:line="276" w:lineRule="auto"/>
        <w:ind w:left="709" w:right="-188" w:hanging="425"/>
        <w:rPr>
          <w:rFonts w:asciiTheme="minorHAnsi" w:eastAsia="Calibri" w:hAnsiTheme="minorHAnsi" w:cs="Arial"/>
          <w:sz w:val="24"/>
          <w:szCs w:val="24"/>
        </w:rPr>
      </w:pPr>
      <w:r w:rsidRPr="006B7F60">
        <w:rPr>
          <w:rFonts w:asciiTheme="minorHAnsi" w:eastAsia="Calibri" w:hAnsiTheme="minorHAnsi" w:cs="Arial"/>
          <w:sz w:val="24"/>
          <w:szCs w:val="24"/>
        </w:rPr>
        <w:t xml:space="preserve">Promoting </w:t>
      </w:r>
      <w:r w:rsidR="00C85900" w:rsidRPr="00423B54">
        <w:rPr>
          <w:rFonts w:cs="Arial"/>
          <w:sz w:val="24"/>
          <w:szCs w:val="24"/>
        </w:rPr>
        <w:t xml:space="preserve">ecosystem-based solutions that benefit </w:t>
      </w:r>
      <w:r w:rsidR="00DF7B52" w:rsidRPr="00423B54">
        <w:rPr>
          <w:rFonts w:cs="Arial"/>
          <w:sz w:val="24"/>
          <w:szCs w:val="24"/>
        </w:rPr>
        <w:t xml:space="preserve">both </w:t>
      </w:r>
      <w:r w:rsidR="00C85900" w:rsidRPr="00423B54">
        <w:rPr>
          <w:rFonts w:cs="Arial"/>
          <w:sz w:val="24"/>
          <w:szCs w:val="24"/>
        </w:rPr>
        <w:t xml:space="preserve">health and the environment, consistent with </w:t>
      </w:r>
      <w:r w:rsidRPr="006B7F60">
        <w:rPr>
          <w:rFonts w:asciiTheme="minorHAnsi" w:eastAsia="Calibri" w:hAnsiTheme="minorHAnsi" w:cs="Arial"/>
          <w:sz w:val="24"/>
          <w:szCs w:val="24"/>
        </w:rPr>
        <w:t xml:space="preserve">current trends in public health thinking and policy towards </w:t>
      </w:r>
      <w:r w:rsidR="00C85900" w:rsidRPr="006B7F60">
        <w:rPr>
          <w:rFonts w:asciiTheme="minorHAnsi" w:eastAsia="Calibri" w:hAnsiTheme="minorHAnsi" w:cs="Arial"/>
          <w:sz w:val="24"/>
          <w:szCs w:val="24"/>
        </w:rPr>
        <w:t xml:space="preserve">investing in prevention and </w:t>
      </w:r>
      <w:proofErr w:type="spellStart"/>
      <w:r w:rsidRPr="00516059">
        <w:rPr>
          <w:rFonts w:asciiTheme="minorHAnsi" w:eastAsia="Calibri" w:hAnsiTheme="minorHAnsi" w:cs="Arial"/>
          <w:sz w:val="24"/>
          <w:szCs w:val="24"/>
        </w:rPr>
        <w:t>salutogenesis</w:t>
      </w:r>
      <w:proofErr w:type="spellEnd"/>
      <w:r w:rsidRPr="00516059">
        <w:rPr>
          <w:rFonts w:asciiTheme="minorHAnsi" w:eastAsia="Calibri" w:hAnsiTheme="minorHAnsi" w:cs="Arial"/>
          <w:sz w:val="24"/>
          <w:szCs w:val="24"/>
        </w:rPr>
        <w:t xml:space="preserve"> (pro-health measures)</w:t>
      </w:r>
      <w:r w:rsidR="0054093E" w:rsidRPr="00516059">
        <w:rPr>
          <w:rFonts w:asciiTheme="minorHAnsi" w:eastAsia="Calibri" w:hAnsiTheme="minorHAnsi" w:cs="Arial"/>
          <w:sz w:val="24"/>
          <w:szCs w:val="24"/>
        </w:rPr>
        <w:t xml:space="preserve"> (Department of Health and Social Care, 2019)</w:t>
      </w:r>
      <w:r w:rsidRPr="006B7F60">
        <w:rPr>
          <w:rFonts w:asciiTheme="minorHAnsi" w:eastAsia="Calibri" w:hAnsiTheme="minorHAnsi" w:cs="Arial"/>
          <w:sz w:val="24"/>
          <w:szCs w:val="24"/>
        </w:rPr>
        <w:t>.</w:t>
      </w:r>
    </w:p>
    <w:p w14:paraId="4B376387" w14:textId="43D7E07E" w:rsidR="0054093E" w:rsidRPr="0054093E" w:rsidRDefault="00F57C3D" w:rsidP="0054093E">
      <w:pPr>
        <w:pStyle w:val="ListParagraph"/>
        <w:numPr>
          <w:ilvl w:val="0"/>
          <w:numId w:val="21"/>
        </w:numPr>
        <w:spacing w:line="276" w:lineRule="auto"/>
        <w:ind w:left="709" w:right="-188" w:hanging="425"/>
        <w:rPr>
          <w:rFonts w:asciiTheme="minorHAnsi" w:eastAsia="Calibri" w:hAnsiTheme="minorHAnsi" w:cs="Arial"/>
          <w:sz w:val="24"/>
          <w:szCs w:val="24"/>
        </w:rPr>
      </w:pPr>
      <w:r w:rsidRPr="00D31F3A">
        <w:rPr>
          <w:rFonts w:asciiTheme="minorHAnsi" w:eastAsia="Calibri" w:hAnsiTheme="minorHAnsi" w:cs="Arial"/>
          <w:sz w:val="24"/>
          <w:szCs w:val="24"/>
        </w:rPr>
        <w:t>Strengthen</w:t>
      </w:r>
      <w:r w:rsidR="0054093E">
        <w:rPr>
          <w:rFonts w:asciiTheme="minorHAnsi" w:eastAsia="Calibri" w:hAnsiTheme="minorHAnsi" w:cs="Arial"/>
          <w:sz w:val="24"/>
          <w:szCs w:val="24"/>
        </w:rPr>
        <w:t>ing</w:t>
      </w:r>
      <w:r w:rsidR="00C85900">
        <w:rPr>
          <w:rFonts w:asciiTheme="minorHAnsi" w:eastAsia="Calibri" w:hAnsiTheme="minorHAnsi" w:cs="Arial"/>
          <w:sz w:val="24"/>
          <w:szCs w:val="24"/>
        </w:rPr>
        <w:t xml:space="preserve"> </w:t>
      </w:r>
      <w:r w:rsidRPr="00D31F3A">
        <w:rPr>
          <w:rFonts w:asciiTheme="minorHAnsi" w:eastAsia="Calibri" w:hAnsiTheme="minorHAnsi" w:cs="Arial"/>
          <w:sz w:val="24"/>
          <w:szCs w:val="24"/>
        </w:rPr>
        <w:t xml:space="preserve">evidence </w:t>
      </w:r>
      <w:r w:rsidR="00C85900">
        <w:rPr>
          <w:rFonts w:asciiTheme="minorHAnsi" w:eastAsia="Calibri" w:hAnsiTheme="minorHAnsi" w:cs="Arial"/>
          <w:sz w:val="24"/>
          <w:szCs w:val="24"/>
        </w:rPr>
        <w:t xml:space="preserve">of </w:t>
      </w:r>
      <w:r w:rsidRPr="00D31F3A">
        <w:rPr>
          <w:rFonts w:asciiTheme="minorHAnsi" w:eastAsia="Calibri" w:hAnsiTheme="minorHAnsi" w:cs="Arial"/>
          <w:sz w:val="24"/>
          <w:szCs w:val="24"/>
        </w:rPr>
        <w:t xml:space="preserve">the health benefits provided by the natural environment </w:t>
      </w:r>
      <w:r w:rsidRPr="0054093E">
        <w:rPr>
          <w:rFonts w:asciiTheme="minorHAnsi" w:eastAsia="Calibri" w:hAnsiTheme="minorHAnsi" w:cs="Arial"/>
          <w:sz w:val="24"/>
          <w:szCs w:val="24"/>
        </w:rPr>
        <w:t>and its components, quantified and valued where possible with further research to address areas currently lacking evidence or subject to high uncertainty</w:t>
      </w:r>
      <w:r w:rsidR="00217867">
        <w:rPr>
          <w:rFonts w:asciiTheme="minorHAnsi" w:eastAsia="Calibri" w:hAnsiTheme="minorHAnsi" w:cs="Arial"/>
          <w:sz w:val="24"/>
          <w:szCs w:val="24"/>
        </w:rPr>
        <w:t>, but ensuring that all of these benefits are represented transparently in decision-making</w:t>
      </w:r>
      <w:r w:rsidRPr="0054093E">
        <w:rPr>
          <w:rFonts w:asciiTheme="minorHAnsi" w:eastAsia="Calibri" w:hAnsiTheme="minorHAnsi" w:cs="Arial"/>
          <w:sz w:val="24"/>
          <w:szCs w:val="24"/>
        </w:rPr>
        <w:t>.</w:t>
      </w:r>
    </w:p>
    <w:p w14:paraId="224992A0" w14:textId="77777777" w:rsidR="0054093E" w:rsidRPr="0054093E" w:rsidRDefault="00C85900" w:rsidP="0054093E">
      <w:pPr>
        <w:pStyle w:val="ListParagraph"/>
        <w:numPr>
          <w:ilvl w:val="0"/>
          <w:numId w:val="21"/>
        </w:numPr>
        <w:spacing w:line="276" w:lineRule="auto"/>
        <w:ind w:left="709" w:right="-188" w:hanging="425"/>
        <w:rPr>
          <w:rFonts w:asciiTheme="minorHAnsi" w:eastAsia="Calibri" w:hAnsiTheme="minorHAnsi" w:cs="Arial"/>
          <w:sz w:val="24"/>
          <w:szCs w:val="24"/>
        </w:rPr>
      </w:pPr>
      <w:r w:rsidRPr="0054093E">
        <w:rPr>
          <w:rFonts w:cs="Arial"/>
          <w:sz w:val="24"/>
          <w:szCs w:val="24"/>
        </w:rPr>
        <w:t>Highlight</w:t>
      </w:r>
      <w:r w:rsidR="0054093E" w:rsidRPr="0054093E">
        <w:rPr>
          <w:rFonts w:cs="Arial"/>
          <w:sz w:val="24"/>
          <w:szCs w:val="24"/>
        </w:rPr>
        <w:t>ing</w:t>
      </w:r>
      <w:r w:rsidRPr="0054093E">
        <w:rPr>
          <w:rFonts w:cs="Arial"/>
          <w:sz w:val="24"/>
          <w:szCs w:val="24"/>
        </w:rPr>
        <w:t xml:space="preserve"> environment and ecosystem-vectored health benefits or disbenefits</w:t>
      </w:r>
      <w:r w:rsidR="0054093E" w:rsidRPr="0054093E">
        <w:rPr>
          <w:rFonts w:cs="Arial"/>
          <w:sz w:val="24"/>
          <w:szCs w:val="24"/>
        </w:rPr>
        <w:t xml:space="preserve">, using </w:t>
      </w:r>
      <w:r w:rsidRPr="0054093E">
        <w:rPr>
          <w:rFonts w:cs="Arial"/>
          <w:sz w:val="24"/>
          <w:szCs w:val="24"/>
        </w:rPr>
        <w:t>health evidence as a lever to influence decisions in other sectors (e.g. urban design)</w:t>
      </w:r>
      <w:r w:rsidR="0054093E" w:rsidRPr="0054093E">
        <w:rPr>
          <w:rFonts w:cs="Arial"/>
          <w:sz w:val="24"/>
          <w:szCs w:val="24"/>
        </w:rPr>
        <w:t>.</w:t>
      </w:r>
    </w:p>
    <w:p w14:paraId="26CC91F3" w14:textId="2FD1E4F7" w:rsidR="00C85900" w:rsidRPr="0054093E" w:rsidRDefault="0054093E" w:rsidP="0054093E">
      <w:pPr>
        <w:pStyle w:val="ListParagraph"/>
        <w:numPr>
          <w:ilvl w:val="0"/>
          <w:numId w:val="21"/>
        </w:numPr>
        <w:spacing w:line="276" w:lineRule="auto"/>
        <w:ind w:left="709" w:right="-188" w:hanging="425"/>
        <w:rPr>
          <w:rFonts w:asciiTheme="minorHAnsi" w:eastAsia="Calibri" w:hAnsiTheme="minorHAnsi" w:cs="Arial"/>
          <w:sz w:val="24"/>
          <w:szCs w:val="24"/>
        </w:rPr>
      </w:pPr>
      <w:r w:rsidRPr="0054093E">
        <w:rPr>
          <w:rFonts w:cs="Arial"/>
          <w:sz w:val="24"/>
          <w:szCs w:val="24"/>
        </w:rPr>
        <w:t xml:space="preserve">Using health evidence </w:t>
      </w:r>
      <w:r w:rsidR="00C85900" w:rsidRPr="0054093E">
        <w:rPr>
          <w:rFonts w:cs="Arial"/>
          <w:sz w:val="24"/>
          <w:szCs w:val="24"/>
        </w:rPr>
        <w:t>as a key metric for development of, or influencing upon, policies and plans that affect ecosystems and the environmental determinants of health.</w:t>
      </w:r>
    </w:p>
    <w:p w14:paraId="1AF9080F" w14:textId="723298C2" w:rsidR="00F57C3D" w:rsidRPr="0054093E" w:rsidRDefault="00F57C3D" w:rsidP="00BF1084">
      <w:pPr>
        <w:pStyle w:val="ListParagraph"/>
        <w:numPr>
          <w:ilvl w:val="0"/>
          <w:numId w:val="21"/>
        </w:numPr>
        <w:spacing w:line="276" w:lineRule="auto"/>
        <w:ind w:left="709" w:right="-188" w:hanging="425"/>
        <w:rPr>
          <w:rFonts w:asciiTheme="minorHAnsi" w:eastAsia="Calibri" w:hAnsiTheme="minorHAnsi" w:cs="Arial"/>
          <w:sz w:val="24"/>
          <w:szCs w:val="24"/>
        </w:rPr>
      </w:pPr>
      <w:r w:rsidRPr="0054093E">
        <w:rPr>
          <w:rFonts w:asciiTheme="minorHAnsi" w:eastAsia="Calibri" w:hAnsiTheme="minorHAnsi" w:cs="Arial"/>
          <w:sz w:val="24"/>
          <w:szCs w:val="24"/>
        </w:rPr>
        <w:t xml:space="preserve">Encouraging communication of desired natural environment </w:t>
      </w:r>
      <w:r w:rsidR="0054093E" w:rsidRPr="0054093E">
        <w:rPr>
          <w:rFonts w:asciiTheme="minorHAnsi" w:eastAsia="Calibri" w:hAnsiTheme="minorHAnsi" w:cs="Arial"/>
          <w:sz w:val="24"/>
          <w:szCs w:val="24"/>
        </w:rPr>
        <w:t xml:space="preserve">and public health </w:t>
      </w:r>
      <w:r w:rsidRPr="0054093E">
        <w:rPr>
          <w:rFonts w:asciiTheme="minorHAnsi" w:eastAsia="Calibri" w:hAnsiTheme="minorHAnsi" w:cs="Arial"/>
          <w:sz w:val="24"/>
          <w:szCs w:val="24"/>
        </w:rPr>
        <w:t xml:space="preserve">outcomes in </w:t>
      </w:r>
      <w:r w:rsidR="0054093E" w:rsidRPr="0054093E">
        <w:rPr>
          <w:rFonts w:asciiTheme="minorHAnsi" w:eastAsia="Calibri" w:hAnsiTheme="minorHAnsi" w:cs="Arial"/>
          <w:sz w:val="24"/>
          <w:szCs w:val="24"/>
        </w:rPr>
        <w:t xml:space="preserve">common </w:t>
      </w:r>
      <w:r w:rsidRPr="0054093E">
        <w:rPr>
          <w:rFonts w:asciiTheme="minorHAnsi" w:eastAsia="Calibri" w:hAnsiTheme="minorHAnsi" w:cs="Arial"/>
          <w:sz w:val="24"/>
          <w:szCs w:val="24"/>
        </w:rPr>
        <w:t>terms</w:t>
      </w:r>
      <w:r w:rsidR="0054093E" w:rsidRPr="0054093E">
        <w:rPr>
          <w:rFonts w:asciiTheme="minorHAnsi" w:eastAsia="Calibri" w:hAnsiTheme="minorHAnsi" w:cs="Arial"/>
          <w:sz w:val="24"/>
          <w:szCs w:val="24"/>
        </w:rPr>
        <w:t>,</w:t>
      </w:r>
      <w:r w:rsidRPr="0054093E">
        <w:rPr>
          <w:rFonts w:asciiTheme="minorHAnsi" w:eastAsia="Calibri" w:hAnsiTheme="minorHAnsi" w:cs="Arial"/>
          <w:sz w:val="24"/>
          <w:szCs w:val="24"/>
        </w:rPr>
        <w:t xml:space="preserve"> embedding health and the environment as a linked package to </w:t>
      </w:r>
      <w:r w:rsidR="0054093E" w:rsidRPr="0054093E">
        <w:rPr>
          <w:rFonts w:cs="Arial"/>
          <w:sz w:val="24"/>
          <w:szCs w:val="24"/>
        </w:rPr>
        <w:t>maximise influence on other policy areas</w:t>
      </w:r>
      <w:r w:rsidR="0054093E" w:rsidRPr="0054093E">
        <w:rPr>
          <w:rFonts w:asciiTheme="minorHAnsi" w:eastAsia="Calibri" w:hAnsiTheme="minorHAnsi" w:cs="Arial"/>
          <w:sz w:val="24"/>
          <w:szCs w:val="24"/>
        </w:rPr>
        <w:t>.</w:t>
      </w:r>
    </w:p>
    <w:p w14:paraId="411F541C" w14:textId="77777777" w:rsidR="005334A0" w:rsidRPr="005334A0" w:rsidRDefault="005334A0" w:rsidP="005334A0">
      <w:pPr>
        <w:spacing w:line="276" w:lineRule="auto"/>
        <w:ind w:right="-188"/>
        <w:rPr>
          <w:rFonts w:eastAsia="Calibri" w:cs="Arial"/>
          <w:sz w:val="24"/>
          <w:szCs w:val="24"/>
        </w:rPr>
      </w:pPr>
    </w:p>
    <w:p w14:paraId="5EB6DC59" w14:textId="7D5AC1F9" w:rsidR="00F57C3D" w:rsidRPr="004C0BEB" w:rsidRDefault="00F57C3D" w:rsidP="00D31F3A">
      <w:pPr>
        <w:spacing w:before="120" w:line="276" w:lineRule="auto"/>
        <w:ind w:right="-188"/>
        <w:rPr>
          <w:rFonts w:eastAsia="Calibri" w:cs="Times New Roman"/>
          <w:b/>
          <w:i/>
          <w:sz w:val="24"/>
          <w:szCs w:val="24"/>
        </w:rPr>
      </w:pPr>
      <w:bookmarkStart w:id="12" w:name="_Toc36225713"/>
      <w:r w:rsidRPr="00D31F3A">
        <w:rPr>
          <w:rFonts w:eastAsia="Calibri" w:cs="Times New Roman"/>
          <w:b/>
          <w:sz w:val="24"/>
          <w:szCs w:val="24"/>
        </w:rPr>
        <w:t>3.8</w:t>
      </w:r>
      <w:r w:rsidRPr="00D31F3A">
        <w:rPr>
          <w:rFonts w:eastAsia="Calibri" w:cs="Times New Roman"/>
          <w:b/>
          <w:i/>
          <w:sz w:val="24"/>
          <w:szCs w:val="24"/>
        </w:rPr>
        <w:t xml:space="preserve"> The arts and culture sector</w:t>
      </w:r>
      <w:bookmarkEnd w:id="12"/>
    </w:p>
    <w:p w14:paraId="28302550" w14:textId="5B45B7F0" w:rsidR="00F57C3D" w:rsidRPr="00D31F3A" w:rsidRDefault="00DF7B52" w:rsidP="00D31F3A">
      <w:pPr>
        <w:spacing w:line="276" w:lineRule="auto"/>
        <w:ind w:right="-188"/>
        <w:rPr>
          <w:rFonts w:eastAsia="Calibri" w:cs="Arial"/>
          <w:sz w:val="24"/>
          <w:szCs w:val="24"/>
        </w:rPr>
      </w:pPr>
      <w:r>
        <w:rPr>
          <w:rFonts w:cs="Arial"/>
          <w:sz w:val="24"/>
          <w:szCs w:val="24"/>
        </w:rPr>
        <w:t>A</w:t>
      </w:r>
      <w:r w:rsidR="004C0BEB" w:rsidRPr="004C0BEB">
        <w:rPr>
          <w:rFonts w:cs="Arial"/>
          <w:sz w:val="24"/>
          <w:szCs w:val="24"/>
        </w:rPr>
        <w:t xml:space="preserve">rts and cultural sectors provide significant </w:t>
      </w:r>
      <w:r w:rsidR="00F57C3D" w:rsidRPr="00D31F3A">
        <w:rPr>
          <w:rFonts w:eastAsia="Calibri" w:cs="Arial"/>
          <w:sz w:val="24"/>
          <w:szCs w:val="24"/>
        </w:rPr>
        <w:t xml:space="preserve">opportunities to amplify critical public engagement </w:t>
      </w:r>
      <w:r>
        <w:rPr>
          <w:rFonts w:eastAsia="Calibri" w:cs="Arial"/>
          <w:sz w:val="24"/>
          <w:szCs w:val="24"/>
        </w:rPr>
        <w:t xml:space="preserve">in </w:t>
      </w:r>
      <w:r w:rsidR="00F57C3D" w:rsidRPr="00D31F3A">
        <w:rPr>
          <w:rFonts w:eastAsia="Calibri" w:cs="Arial"/>
          <w:sz w:val="24"/>
          <w:szCs w:val="24"/>
        </w:rPr>
        <w:t>and understanding of the need for sustainability transitions</w:t>
      </w:r>
      <w:r w:rsidR="005334A0">
        <w:rPr>
          <w:rFonts w:eastAsia="Calibri" w:cs="Arial"/>
          <w:sz w:val="24"/>
          <w:szCs w:val="24"/>
        </w:rPr>
        <w:t xml:space="preserve">. </w:t>
      </w:r>
      <w:r w:rsidR="00F57C3D" w:rsidRPr="00D31F3A">
        <w:rPr>
          <w:rFonts w:eastAsia="Calibri" w:cs="Arial"/>
          <w:sz w:val="24"/>
          <w:szCs w:val="24"/>
        </w:rPr>
        <w:t xml:space="preserve"> The arts and cultural sectors are key</w:t>
      </w:r>
      <w:r w:rsidR="00F57C3D" w:rsidRPr="00D31F3A">
        <w:rPr>
          <w:rFonts w:eastAsia="Calibri" w:cs="Times New Roman"/>
          <w:sz w:val="24"/>
          <w:szCs w:val="24"/>
        </w:rPr>
        <w:t xml:space="preserve"> in their capacity to “inspire people and direct attention to things that really matter”</w:t>
      </w:r>
      <w:r w:rsidR="00F57C3D" w:rsidRPr="00D31F3A">
        <w:rPr>
          <w:rFonts w:eastAsia="Calibri" w:cs="Arial"/>
          <w:sz w:val="24"/>
          <w:szCs w:val="24"/>
          <w:vertAlign w:val="superscript"/>
        </w:rPr>
        <w:t xml:space="preserve"> </w:t>
      </w:r>
      <w:r w:rsidR="00F57C3D" w:rsidRPr="00D31F3A">
        <w:rPr>
          <w:sz w:val="24"/>
          <w:szCs w:val="24"/>
        </w:rPr>
        <w:t>(Saratsi, 2020</w:t>
      </w:r>
      <w:r w:rsidR="006B7F60">
        <w:rPr>
          <w:sz w:val="24"/>
          <w:szCs w:val="24"/>
        </w:rPr>
        <w:t>: 1</w:t>
      </w:r>
      <w:r w:rsidR="00F57C3D" w:rsidRPr="00D31F3A">
        <w:rPr>
          <w:sz w:val="24"/>
          <w:szCs w:val="24"/>
        </w:rPr>
        <w:t>)</w:t>
      </w:r>
      <w:r w:rsidR="00F57C3D" w:rsidRPr="00D31F3A">
        <w:rPr>
          <w:rFonts w:eastAsia="Calibri" w:cs="Arial"/>
          <w:sz w:val="24"/>
          <w:szCs w:val="24"/>
        </w:rPr>
        <w:t>.  Actionable outcomes include:</w:t>
      </w:r>
    </w:p>
    <w:p w14:paraId="671A3B00" w14:textId="77777777" w:rsidR="009B1CA4" w:rsidRPr="00D31F3A" w:rsidRDefault="00F57C3D" w:rsidP="009B1CA4">
      <w:pPr>
        <w:pStyle w:val="ListParagraph"/>
        <w:numPr>
          <w:ilvl w:val="0"/>
          <w:numId w:val="22"/>
        </w:numPr>
        <w:spacing w:line="276" w:lineRule="auto"/>
        <w:ind w:left="709" w:right="-188"/>
        <w:rPr>
          <w:rFonts w:asciiTheme="minorHAnsi" w:eastAsia="Calibri" w:hAnsiTheme="minorHAnsi" w:cs="Arial"/>
          <w:color w:val="000000" w:themeColor="text1"/>
          <w:sz w:val="24"/>
          <w:szCs w:val="24"/>
        </w:rPr>
      </w:pPr>
      <w:r w:rsidRPr="00D31F3A">
        <w:rPr>
          <w:rFonts w:asciiTheme="minorHAnsi" w:eastAsia="Calibri" w:hAnsiTheme="minorHAnsi" w:cs="Arial"/>
          <w:color w:val="000000" w:themeColor="text1"/>
          <w:sz w:val="24"/>
          <w:szCs w:val="24"/>
        </w:rPr>
        <w:t xml:space="preserve">Making use of creative media and industries to challenge, provoke and excite interest in the </w:t>
      </w:r>
      <w:r w:rsidR="009B1CA4" w:rsidRPr="00D31F3A">
        <w:rPr>
          <w:rFonts w:asciiTheme="minorHAnsi" w:eastAsia="Calibri" w:hAnsiTheme="minorHAnsi" w:cs="Arial"/>
          <w:color w:val="000000" w:themeColor="text1"/>
          <w:sz w:val="24"/>
          <w:szCs w:val="24"/>
        </w:rPr>
        <w:t>meaning and value</w:t>
      </w:r>
      <w:r w:rsidR="009B1CA4">
        <w:rPr>
          <w:rFonts w:asciiTheme="minorHAnsi" w:eastAsia="Calibri" w:hAnsiTheme="minorHAnsi" w:cs="Arial"/>
          <w:color w:val="000000" w:themeColor="text1"/>
          <w:sz w:val="24"/>
          <w:szCs w:val="24"/>
        </w:rPr>
        <w:t xml:space="preserve"> </w:t>
      </w:r>
      <w:r w:rsidR="009B1CA4" w:rsidRPr="00D31F3A">
        <w:rPr>
          <w:rFonts w:asciiTheme="minorHAnsi" w:eastAsia="Calibri" w:hAnsiTheme="minorHAnsi" w:cs="Arial"/>
          <w:color w:val="000000" w:themeColor="text1"/>
          <w:sz w:val="24"/>
          <w:szCs w:val="24"/>
        </w:rPr>
        <w:t xml:space="preserve">of natural systems, </w:t>
      </w:r>
      <w:r w:rsidR="009B1CA4">
        <w:rPr>
          <w:rFonts w:asciiTheme="minorHAnsi" w:eastAsia="Calibri" w:hAnsiTheme="minorHAnsi" w:cs="Arial"/>
          <w:color w:val="000000" w:themeColor="text1"/>
          <w:sz w:val="24"/>
          <w:szCs w:val="24"/>
        </w:rPr>
        <w:t xml:space="preserve">and </w:t>
      </w:r>
      <w:r w:rsidR="009B1CA4" w:rsidRPr="00D31F3A">
        <w:rPr>
          <w:rFonts w:asciiTheme="minorHAnsi" w:eastAsia="Calibri" w:hAnsiTheme="minorHAnsi" w:cs="Arial"/>
          <w:color w:val="000000" w:themeColor="text1"/>
          <w:sz w:val="24"/>
          <w:szCs w:val="24"/>
        </w:rPr>
        <w:t>approaches to their management.</w:t>
      </w:r>
    </w:p>
    <w:p w14:paraId="74565FC4" w14:textId="77777777" w:rsidR="009B1CA4" w:rsidRPr="00D31F3A" w:rsidRDefault="009B1CA4" w:rsidP="009B1CA4">
      <w:pPr>
        <w:pStyle w:val="ListParagraph"/>
        <w:numPr>
          <w:ilvl w:val="0"/>
          <w:numId w:val="22"/>
        </w:numPr>
        <w:spacing w:line="276" w:lineRule="auto"/>
        <w:ind w:left="709" w:right="-188"/>
        <w:rPr>
          <w:rFonts w:asciiTheme="minorHAnsi" w:eastAsia="Calibri" w:hAnsiTheme="minorHAnsi" w:cs="Arial"/>
          <w:color w:val="000000" w:themeColor="text1"/>
          <w:sz w:val="24"/>
          <w:szCs w:val="24"/>
        </w:rPr>
      </w:pPr>
      <w:r w:rsidRPr="00D31F3A">
        <w:rPr>
          <w:rFonts w:asciiTheme="minorHAnsi" w:eastAsia="Calibri" w:hAnsiTheme="minorHAnsi" w:cs="Arial"/>
          <w:color w:val="000000" w:themeColor="text1"/>
          <w:sz w:val="24"/>
          <w:szCs w:val="24"/>
        </w:rPr>
        <w:t>Curat</w:t>
      </w:r>
      <w:r>
        <w:rPr>
          <w:rFonts w:asciiTheme="minorHAnsi" w:eastAsia="Calibri" w:hAnsiTheme="minorHAnsi" w:cs="Arial"/>
          <w:color w:val="000000" w:themeColor="text1"/>
          <w:sz w:val="24"/>
          <w:szCs w:val="24"/>
        </w:rPr>
        <w:t>ing</w:t>
      </w:r>
      <w:r w:rsidRPr="00D31F3A">
        <w:rPr>
          <w:rFonts w:asciiTheme="minorHAnsi" w:eastAsia="Calibri" w:hAnsiTheme="minorHAnsi" w:cs="Arial"/>
          <w:color w:val="000000" w:themeColor="text1"/>
          <w:sz w:val="24"/>
          <w:szCs w:val="24"/>
        </w:rPr>
        <w:t xml:space="preserve"> traditional/lay wisdoms and knowledge based on working with natural processes, and </w:t>
      </w:r>
      <w:r>
        <w:rPr>
          <w:rFonts w:asciiTheme="minorHAnsi" w:eastAsia="Calibri" w:hAnsiTheme="minorHAnsi" w:cs="Arial"/>
          <w:color w:val="000000" w:themeColor="text1"/>
          <w:sz w:val="24"/>
          <w:szCs w:val="24"/>
        </w:rPr>
        <w:t xml:space="preserve">recognising </w:t>
      </w:r>
      <w:r w:rsidRPr="00D31F3A">
        <w:rPr>
          <w:rFonts w:asciiTheme="minorHAnsi" w:eastAsia="Calibri" w:hAnsiTheme="minorHAnsi" w:cs="Arial"/>
          <w:color w:val="000000" w:themeColor="text1"/>
          <w:sz w:val="24"/>
          <w:szCs w:val="24"/>
        </w:rPr>
        <w:t>their relevance to evolution of current policy and management practices</w:t>
      </w:r>
      <w:r>
        <w:rPr>
          <w:rFonts w:asciiTheme="minorHAnsi" w:eastAsia="Calibri" w:hAnsiTheme="minorHAnsi" w:cs="Arial"/>
          <w:color w:val="000000" w:themeColor="text1"/>
          <w:sz w:val="24"/>
          <w:szCs w:val="24"/>
        </w:rPr>
        <w:t xml:space="preserve"> in contemporary settings</w:t>
      </w:r>
      <w:r w:rsidRPr="00D31F3A">
        <w:rPr>
          <w:rFonts w:asciiTheme="minorHAnsi" w:eastAsia="Calibri" w:hAnsiTheme="minorHAnsi" w:cs="Arial"/>
          <w:color w:val="000000" w:themeColor="text1"/>
          <w:sz w:val="24"/>
          <w:szCs w:val="24"/>
        </w:rPr>
        <w:t>.</w:t>
      </w:r>
    </w:p>
    <w:p w14:paraId="0FC26133" w14:textId="49ECC6C9" w:rsidR="00F57C3D" w:rsidRPr="005334A0" w:rsidRDefault="009B1CA4" w:rsidP="009B1CA4">
      <w:pPr>
        <w:pStyle w:val="ListParagraph"/>
        <w:numPr>
          <w:ilvl w:val="0"/>
          <w:numId w:val="22"/>
        </w:numPr>
        <w:spacing w:line="276" w:lineRule="auto"/>
        <w:ind w:left="709" w:right="-188"/>
        <w:rPr>
          <w:rFonts w:asciiTheme="minorHAnsi" w:eastAsia="Calibri" w:hAnsiTheme="minorHAnsi"/>
          <w:sz w:val="24"/>
          <w:szCs w:val="24"/>
        </w:rPr>
      </w:pPr>
      <w:r w:rsidRPr="00D31F3A">
        <w:rPr>
          <w:rFonts w:asciiTheme="minorHAnsi" w:eastAsia="Calibri" w:hAnsiTheme="minorHAnsi" w:cs="Times New Roman"/>
          <w:sz w:val="24"/>
          <w:szCs w:val="24"/>
        </w:rPr>
        <w:t>Develop</w:t>
      </w:r>
      <w:r>
        <w:rPr>
          <w:rFonts w:asciiTheme="minorHAnsi" w:eastAsia="Calibri" w:hAnsiTheme="minorHAnsi" w:cs="Times New Roman"/>
          <w:sz w:val="24"/>
          <w:szCs w:val="24"/>
        </w:rPr>
        <w:t>ing</w:t>
      </w:r>
      <w:r w:rsidRPr="00D31F3A">
        <w:rPr>
          <w:rFonts w:asciiTheme="minorHAnsi" w:eastAsia="Calibri" w:hAnsiTheme="minorHAnsi" w:cs="Times New Roman"/>
          <w:sz w:val="24"/>
          <w:szCs w:val="24"/>
        </w:rPr>
        <w:t>, us</w:t>
      </w:r>
      <w:r>
        <w:rPr>
          <w:rFonts w:asciiTheme="minorHAnsi" w:eastAsia="Calibri" w:hAnsiTheme="minorHAnsi" w:cs="Times New Roman"/>
          <w:sz w:val="24"/>
          <w:szCs w:val="24"/>
        </w:rPr>
        <w:t>ing</w:t>
      </w:r>
      <w:r w:rsidRPr="00D31F3A">
        <w:rPr>
          <w:rFonts w:asciiTheme="minorHAnsi" w:eastAsia="Calibri" w:hAnsiTheme="minorHAnsi" w:cs="Times New Roman"/>
          <w:sz w:val="24"/>
          <w:szCs w:val="24"/>
        </w:rPr>
        <w:t xml:space="preserve"> and promot</w:t>
      </w:r>
      <w:r>
        <w:rPr>
          <w:rFonts w:asciiTheme="minorHAnsi" w:eastAsia="Calibri" w:hAnsiTheme="minorHAnsi" w:cs="Times New Roman"/>
          <w:sz w:val="24"/>
          <w:szCs w:val="24"/>
        </w:rPr>
        <w:t>ing</w:t>
      </w:r>
      <w:r w:rsidRPr="00D31F3A">
        <w:rPr>
          <w:rFonts w:asciiTheme="minorHAnsi" w:eastAsia="Calibri" w:hAnsiTheme="minorHAnsi" w:cs="Times New Roman"/>
          <w:sz w:val="24"/>
          <w:szCs w:val="24"/>
        </w:rPr>
        <w:t xml:space="preserve"> language</w:t>
      </w:r>
      <w:r>
        <w:rPr>
          <w:rFonts w:asciiTheme="minorHAnsi" w:eastAsia="Calibri" w:hAnsiTheme="minorHAnsi" w:cs="Times New Roman"/>
          <w:sz w:val="24"/>
          <w:szCs w:val="24"/>
        </w:rPr>
        <w:t xml:space="preserve"> that resonates with the wider public and policy-makers, explaining concepts and objectives in simple, consistent, meaningful terms</w:t>
      </w:r>
      <w:r w:rsidRPr="00D31F3A">
        <w:rPr>
          <w:rFonts w:asciiTheme="minorHAnsi" w:eastAsia="Calibri" w:hAnsiTheme="minorHAnsi" w:cs="Times New Roman"/>
          <w:sz w:val="24"/>
          <w:szCs w:val="24"/>
        </w:rPr>
        <w:t>.</w:t>
      </w:r>
      <w:r>
        <w:rPr>
          <w:rFonts w:asciiTheme="minorHAnsi" w:eastAsia="Calibri" w:hAnsiTheme="minorHAnsi" w:cs="Times New Roman"/>
          <w:sz w:val="24"/>
          <w:szCs w:val="24"/>
        </w:rPr>
        <w:t xml:space="preserve">  For example, </w:t>
      </w:r>
      <w:r w:rsidRPr="00D31F3A">
        <w:rPr>
          <w:rFonts w:asciiTheme="minorHAnsi" w:eastAsia="Calibri" w:hAnsiTheme="minorHAnsi" w:cs="Times New Roman"/>
          <w:sz w:val="24"/>
          <w:szCs w:val="24"/>
        </w:rPr>
        <w:t>‘regeneration’</w:t>
      </w:r>
      <w:r>
        <w:rPr>
          <w:rFonts w:asciiTheme="minorHAnsi" w:eastAsia="Calibri" w:hAnsiTheme="minorHAnsi" w:cs="Times New Roman"/>
          <w:sz w:val="24"/>
          <w:szCs w:val="24"/>
        </w:rPr>
        <w:t xml:space="preserve"> may better express the integrated nature of opportunities than </w:t>
      </w:r>
      <w:r w:rsidRPr="00D31F3A">
        <w:rPr>
          <w:rFonts w:asciiTheme="minorHAnsi" w:eastAsia="Calibri" w:hAnsiTheme="minorHAnsi" w:cs="Times New Roman"/>
          <w:sz w:val="24"/>
          <w:szCs w:val="24"/>
        </w:rPr>
        <w:t xml:space="preserve">recent discourses </w:t>
      </w:r>
      <w:r>
        <w:rPr>
          <w:rFonts w:asciiTheme="minorHAnsi" w:eastAsia="Calibri" w:hAnsiTheme="minorHAnsi" w:cs="Times New Roman"/>
          <w:sz w:val="24"/>
          <w:szCs w:val="24"/>
        </w:rPr>
        <w:t>of ‘</w:t>
      </w:r>
      <w:r w:rsidRPr="00D31F3A">
        <w:rPr>
          <w:rFonts w:asciiTheme="minorHAnsi" w:eastAsia="Calibri" w:hAnsiTheme="minorHAnsi" w:cs="Times New Roman"/>
          <w:sz w:val="24"/>
          <w:szCs w:val="24"/>
        </w:rPr>
        <w:t>recovery</w:t>
      </w:r>
      <w:r>
        <w:rPr>
          <w:rFonts w:asciiTheme="minorHAnsi" w:eastAsia="Calibri" w:hAnsiTheme="minorHAnsi" w:cs="Times New Roman"/>
          <w:sz w:val="24"/>
          <w:szCs w:val="24"/>
        </w:rPr>
        <w:t>’</w:t>
      </w:r>
      <w:r w:rsidRPr="00D31F3A">
        <w:rPr>
          <w:rFonts w:asciiTheme="minorHAnsi" w:eastAsia="Calibri" w:hAnsiTheme="minorHAnsi" w:cs="Times New Roman"/>
          <w:sz w:val="24"/>
          <w:szCs w:val="24"/>
        </w:rPr>
        <w:t xml:space="preserve">, </w:t>
      </w:r>
      <w:r>
        <w:rPr>
          <w:rFonts w:asciiTheme="minorHAnsi" w:eastAsia="Calibri" w:hAnsiTheme="minorHAnsi" w:cs="Times New Roman"/>
          <w:sz w:val="24"/>
          <w:szCs w:val="24"/>
        </w:rPr>
        <w:t>‘</w:t>
      </w:r>
      <w:r w:rsidRPr="00D31F3A">
        <w:rPr>
          <w:rFonts w:asciiTheme="minorHAnsi" w:eastAsia="Calibri" w:hAnsiTheme="minorHAnsi" w:cs="Times New Roman"/>
          <w:sz w:val="24"/>
          <w:szCs w:val="24"/>
        </w:rPr>
        <w:t>restoration</w:t>
      </w:r>
      <w:r>
        <w:rPr>
          <w:rFonts w:asciiTheme="minorHAnsi" w:eastAsia="Calibri" w:hAnsiTheme="minorHAnsi" w:cs="Times New Roman"/>
          <w:sz w:val="24"/>
          <w:szCs w:val="24"/>
        </w:rPr>
        <w:t>’</w:t>
      </w:r>
      <w:r w:rsidRPr="00D31F3A">
        <w:rPr>
          <w:rFonts w:asciiTheme="minorHAnsi" w:eastAsia="Calibri" w:hAnsiTheme="minorHAnsi" w:cs="Times New Roman"/>
          <w:sz w:val="24"/>
          <w:szCs w:val="24"/>
        </w:rPr>
        <w:t xml:space="preserve"> and </w:t>
      </w:r>
      <w:r>
        <w:rPr>
          <w:rFonts w:asciiTheme="minorHAnsi" w:eastAsia="Calibri" w:hAnsiTheme="minorHAnsi" w:cs="Times New Roman"/>
          <w:sz w:val="24"/>
          <w:szCs w:val="24"/>
        </w:rPr>
        <w:t>‘</w:t>
      </w:r>
      <w:r w:rsidRPr="00D31F3A">
        <w:rPr>
          <w:rFonts w:asciiTheme="minorHAnsi" w:eastAsia="Calibri" w:hAnsiTheme="minorHAnsi" w:cs="Times New Roman"/>
          <w:sz w:val="24"/>
          <w:szCs w:val="24"/>
        </w:rPr>
        <w:t>sustainability</w:t>
      </w:r>
      <w:r>
        <w:rPr>
          <w:rFonts w:asciiTheme="minorHAnsi" w:eastAsia="Calibri" w:hAnsiTheme="minorHAnsi" w:cs="Times New Roman"/>
          <w:sz w:val="24"/>
          <w:szCs w:val="24"/>
        </w:rPr>
        <w:t>’</w:t>
      </w:r>
      <w:r w:rsidR="004C0BEB">
        <w:rPr>
          <w:rFonts w:asciiTheme="minorHAnsi" w:eastAsia="Calibri" w:hAnsiTheme="minorHAnsi" w:cs="Times New Roman"/>
          <w:sz w:val="24"/>
          <w:szCs w:val="24"/>
        </w:rPr>
        <w:t>.</w:t>
      </w:r>
    </w:p>
    <w:p w14:paraId="407FF485" w14:textId="77777777" w:rsidR="005334A0" w:rsidRPr="005334A0" w:rsidRDefault="005334A0" w:rsidP="005334A0">
      <w:pPr>
        <w:spacing w:line="276" w:lineRule="auto"/>
        <w:ind w:right="-188"/>
        <w:rPr>
          <w:rFonts w:eastAsia="Calibri"/>
          <w:sz w:val="24"/>
          <w:szCs w:val="24"/>
        </w:rPr>
      </w:pPr>
    </w:p>
    <w:p w14:paraId="46690FC4" w14:textId="1FF805CF" w:rsidR="00F57C3D" w:rsidRPr="00D31F3A" w:rsidRDefault="00F57C3D" w:rsidP="00D31F3A">
      <w:pPr>
        <w:spacing w:before="120" w:line="276" w:lineRule="auto"/>
        <w:ind w:right="-188"/>
        <w:rPr>
          <w:b/>
          <w:i/>
          <w:sz w:val="24"/>
          <w:szCs w:val="24"/>
        </w:rPr>
      </w:pPr>
      <w:r w:rsidRPr="00D31F3A">
        <w:rPr>
          <w:b/>
          <w:sz w:val="24"/>
          <w:szCs w:val="24"/>
        </w:rPr>
        <w:t>3.9</w:t>
      </w:r>
      <w:r w:rsidRPr="00D31F3A">
        <w:rPr>
          <w:b/>
          <w:i/>
          <w:sz w:val="24"/>
          <w:szCs w:val="24"/>
        </w:rPr>
        <w:t xml:space="preserve"> The local government sector</w:t>
      </w:r>
    </w:p>
    <w:p w14:paraId="478EA18D" w14:textId="6F90DF7F" w:rsidR="00F57C3D" w:rsidRPr="00D31F3A" w:rsidRDefault="00F57C3D" w:rsidP="00D31F3A">
      <w:pPr>
        <w:spacing w:line="276" w:lineRule="auto"/>
        <w:ind w:right="-188"/>
        <w:rPr>
          <w:rFonts w:cs="Arial"/>
          <w:sz w:val="24"/>
          <w:szCs w:val="24"/>
        </w:rPr>
      </w:pPr>
      <w:r w:rsidRPr="00D31F3A">
        <w:rPr>
          <w:rFonts w:cs="Arial"/>
          <w:sz w:val="24"/>
          <w:szCs w:val="24"/>
        </w:rPr>
        <w:t xml:space="preserve">Governance at sub-national levels </w:t>
      </w:r>
      <w:r w:rsidR="00DF7B52">
        <w:rPr>
          <w:rFonts w:cs="Arial"/>
          <w:sz w:val="24"/>
          <w:szCs w:val="24"/>
        </w:rPr>
        <w:t>play</w:t>
      </w:r>
      <w:r w:rsidR="009B1CA4" w:rsidRPr="00D31F3A">
        <w:rPr>
          <w:rFonts w:cs="Arial"/>
          <w:sz w:val="24"/>
          <w:szCs w:val="24"/>
        </w:rPr>
        <w:t xml:space="preserve">s </w:t>
      </w:r>
      <w:r w:rsidR="009B1CA4">
        <w:rPr>
          <w:rFonts w:cs="Arial"/>
          <w:sz w:val="24"/>
          <w:szCs w:val="24"/>
        </w:rPr>
        <w:t xml:space="preserve">a </w:t>
      </w:r>
      <w:r w:rsidR="009B1CA4" w:rsidRPr="00D31F3A">
        <w:rPr>
          <w:rFonts w:cs="Arial"/>
          <w:sz w:val="24"/>
          <w:szCs w:val="24"/>
        </w:rPr>
        <w:t xml:space="preserve">significant </w:t>
      </w:r>
      <w:r w:rsidR="00125010">
        <w:rPr>
          <w:rFonts w:cs="Arial"/>
          <w:sz w:val="24"/>
          <w:szCs w:val="24"/>
        </w:rPr>
        <w:t xml:space="preserve">potential </w:t>
      </w:r>
      <w:r w:rsidR="009B1CA4">
        <w:rPr>
          <w:rFonts w:cs="Arial"/>
          <w:sz w:val="24"/>
          <w:szCs w:val="24"/>
        </w:rPr>
        <w:t xml:space="preserve">role in </w:t>
      </w:r>
      <w:r w:rsidR="009B1CA4" w:rsidRPr="00D31F3A">
        <w:rPr>
          <w:rFonts w:cs="Arial"/>
          <w:sz w:val="24"/>
          <w:szCs w:val="24"/>
        </w:rPr>
        <w:t>achieving sustainability</w:t>
      </w:r>
      <w:r w:rsidR="009B1CA4">
        <w:rPr>
          <w:rFonts w:cs="Arial"/>
          <w:sz w:val="24"/>
          <w:szCs w:val="24"/>
        </w:rPr>
        <w:t xml:space="preserve"> objectives</w:t>
      </w:r>
      <w:r w:rsidR="00AE7525">
        <w:rPr>
          <w:rFonts w:cs="Arial"/>
          <w:sz w:val="24"/>
          <w:szCs w:val="24"/>
        </w:rPr>
        <w:t xml:space="preserve"> by focusing devolved decision-making into local geographical and cultural contexts</w:t>
      </w:r>
      <w:r w:rsidR="009B1CA4" w:rsidRPr="00D31F3A">
        <w:rPr>
          <w:rFonts w:cs="Arial"/>
          <w:sz w:val="24"/>
          <w:szCs w:val="24"/>
        </w:rPr>
        <w:t>.</w:t>
      </w:r>
      <w:r w:rsidRPr="00D31F3A">
        <w:rPr>
          <w:rFonts w:cs="Arial"/>
          <w:sz w:val="24"/>
          <w:szCs w:val="24"/>
        </w:rPr>
        <w:t xml:space="preserve"> </w:t>
      </w:r>
      <w:r w:rsidR="00125010">
        <w:rPr>
          <w:rFonts w:cs="Arial"/>
          <w:sz w:val="24"/>
          <w:szCs w:val="24"/>
        </w:rPr>
        <w:t xml:space="preserve"> </w:t>
      </w:r>
      <w:r w:rsidRPr="00D31F3A">
        <w:rPr>
          <w:rFonts w:cs="Arial"/>
          <w:sz w:val="24"/>
          <w:szCs w:val="24"/>
        </w:rPr>
        <w:t xml:space="preserve">Actionable outcomes </w:t>
      </w:r>
      <w:r w:rsidR="005334A0">
        <w:rPr>
          <w:rFonts w:cs="Arial"/>
          <w:sz w:val="24"/>
          <w:szCs w:val="24"/>
        </w:rPr>
        <w:t xml:space="preserve">across this sector </w:t>
      </w:r>
      <w:r w:rsidRPr="00D31F3A">
        <w:rPr>
          <w:rFonts w:cs="Arial"/>
          <w:sz w:val="24"/>
          <w:szCs w:val="24"/>
        </w:rPr>
        <w:t>include:</w:t>
      </w:r>
    </w:p>
    <w:p w14:paraId="4E7E18FB" w14:textId="77777777" w:rsidR="00EE7964" w:rsidRPr="00EE7964" w:rsidRDefault="00F57C3D" w:rsidP="00EE7964">
      <w:pPr>
        <w:pStyle w:val="ListParagraph"/>
        <w:numPr>
          <w:ilvl w:val="0"/>
          <w:numId w:val="23"/>
        </w:numPr>
        <w:spacing w:line="276" w:lineRule="auto"/>
        <w:ind w:left="709" w:right="-188" w:hanging="425"/>
        <w:rPr>
          <w:rFonts w:asciiTheme="minorHAnsi" w:hAnsiTheme="minorHAnsi" w:cstheme="minorHAnsi"/>
          <w:sz w:val="24"/>
          <w:szCs w:val="24"/>
        </w:rPr>
      </w:pPr>
      <w:r w:rsidRPr="00D31F3A">
        <w:rPr>
          <w:rFonts w:asciiTheme="minorHAnsi" w:hAnsiTheme="minorHAnsi" w:cstheme="minorHAnsi"/>
          <w:sz w:val="24"/>
          <w:szCs w:val="24"/>
        </w:rPr>
        <w:t xml:space="preserve">Engaging </w:t>
      </w:r>
      <w:r w:rsidR="005334A0">
        <w:rPr>
          <w:rFonts w:asciiTheme="minorHAnsi" w:hAnsiTheme="minorHAnsi" w:cstheme="minorHAnsi"/>
          <w:sz w:val="24"/>
          <w:szCs w:val="24"/>
        </w:rPr>
        <w:t xml:space="preserve">with </w:t>
      </w:r>
      <w:r w:rsidRPr="00D31F3A">
        <w:rPr>
          <w:rFonts w:asciiTheme="minorHAnsi" w:hAnsiTheme="minorHAnsi" w:cstheme="minorHAnsi"/>
          <w:sz w:val="24"/>
          <w:szCs w:val="24"/>
        </w:rPr>
        <w:t xml:space="preserve">central government to develop </w:t>
      </w:r>
      <w:r w:rsidRPr="00D31F3A">
        <w:rPr>
          <w:rFonts w:asciiTheme="minorHAnsi" w:hAnsiTheme="minorHAnsi"/>
          <w:sz w:val="24"/>
          <w:szCs w:val="24"/>
        </w:rPr>
        <w:t xml:space="preserve">an enabling </w:t>
      </w:r>
      <w:r w:rsidRPr="00D31F3A">
        <w:rPr>
          <w:rFonts w:asciiTheme="minorHAnsi" w:hAnsiTheme="minorHAnsi" w:cstheme="minorHAnsi"/>
          <w:sz w:val="24"/>
          <w:szCs w:val="24"/>
        </w:rPr>
        <w:t>multi-level approach to governance</w:t>
      </w:r>
      <w:r w:rsidRPr="00D31F3A">
        <w:rPr>
          <w:rFonts w:asciiTheme="minorHAnsi" w:hAnsiTheme="minorHAnsi"/>
          <w:sz w:val="24"/>
          <w:szCs w:val="24"/>
        </w:rPr>
        <w:t xml:space="preserve"> that is less ‘siloed’</w:t>
      </w:r>
      <w:r w:rsidRPr="00D31F3A">
        <w:rPr>
          <w:rFonts w:asciiTheme="minorHAnsi" w:hAnsiTheme="minorHAnsi" w:cstheme="minorHAnsi"/>
          <w:sz w:val="24"/>
          <w:szCs w:val="24"/>
        </w:rPr>
        <w:t xml:space="preserve">; emphasising the integration of </w:t>
      </w:r>
      <w:r w:rsidRPr="00D31F3A">
        <w:rPr>
          <w:rFonts w:asciiTheme="minorHAnsi" w:hAnsiTheme="minorHAnsi" w:cs="Arial"/>
          <w:sz w:val="24"/>
          <w:szCs w:val="24"/>
        </w:rPr>
        <w:t>high-level aspirations and priorities with local concerns and contexts.</w:t>
      </w:r>
    </w:p>
    <w:p w14:paraId="5003F2B1" w14:textId="225E6D46" w:rsidR="00EE7964" w:rsidRPr="00EE7964" w:rsidRDefault="00F57C3D" w:rsidP="00EE7964">
      <w:pPr>
        <w:pStyle w:val="ListParagraph"/>
        <w:numPr>
          <w:ilvl w:val="0"/>
          <w:numId w:val="23"/>
        </w:numPr>
        <w:spacing w:line="276" w:lineRule="auto"/>
        <w:ind w:left="709" w:right="-188" w:hanging="425"/>
        <w:rPr>
          <w:rFonts w:asciiTheme="minorHAnsi" w:hAnsiTheme="minorHAnsi" w:cstheme="minorHAnsi"/>
          <w:sz w:val="24"/>
          <w:szCs w:val="24"/>
        </w:rPr>
      </w:pPr>
      <w:r w:rsidRPr="00EE7964">
        <w:rPr>
          <w:rFonts w:cstheme="minorHAnsi"/>
          <w:sz w:val="24"/>
          <w:szCs w:val="24"/>
        </w:rPr>
        <w:t>Mandat</w:t>
      </w:r>
      <w:r w:rsidR="00881929" w:rsidRPr="00EE7964">
        <w:rPr>
          <w:rFonts w:cstheme="minorHAnsi"/>
          <w:sz w:val="24"/>
          <w:szCs w:val="24"/>
        </w:rPr>
        <w:t>ing</w:t>
      </w:r>
      <w:r w:rsidRPr="00EE7964">
        <w:rPr>
          <w:rFonts w:cstheme="minorHAnsi"/>
          <w:sz w:val="24"/>
          <w:szCs w:val="24"/>
        </w:rPr>
        <w:t xml:space="preserve"> local authorities to </w:t>
      </w:r>
      <w:r w:rsidRPr="00EE7964">
        <w:rPr>
          <w:rFonts w:cs="Arial"/>
          <w:sz w:val="24"/>
          <w:szCs w:val="24"/>
        </w:rPr>
        <w:t xml:space="preserve">account for natural capital in </w:t>
      </w:r>
      <w:r w:rsidR="005334A0" w:rsidRPr="00EE7964">
        <w:rPr>
          <w:rFonts w:cs="Arial"/>
          <w:sz w:val="24"/>
          <w:szCs w:val="24"/>
        </w:rPr>
        <w:t xml:space="preserve">all areas of </w:t>
      </w:r>
      <w:r w:rsidRPr="00EE7964">
        <w:rPr>
          <w:rFonts w:cs="Arial"/>
          <w:sz w:val="24"/>
          <w:szCs w:val="24"/>
        </w:rPr>
        <w:t>decision</w:t>
      </w:r>
      <w:r w:rsidR="005334A0" w:rsidRPr="00EE7964">
        <w:rPr>
          <w:rFonts w:cs="Arial"/>
          <w:sz w:val="24"/>
          <w:szCs w:val="24"/>
        </w:rPr>
        <w:t>-</w:t>
      </w:r>
      <w:r w:rsidRPr="00EE7964">
        <w:rPr>
          <w:rFonts w:cs="Arial"/>
          <w:sz w:val="24"/>
          <w:szCs w:val="24"/>
        </w:rPr>
        <w:t>making, aligned with strategies such as biodiversity net gain</w:t>
      </w:r>
      <w:r w:rsidR="00125010">
        <w:rPr>
          <w:rFonts w:cs="Arial"/>
          <w:sz w:val="24"/>
          <w:szCs w:val="24"/>
        </w:rPr>
        <w:t xml:space="preserve"> (for example as outlined in the Environment Bill currently going through UK parliamentary processes)</w:t>
      </w:r>
      <w:r w:rsidRPr="00EE7964">
        <w:rPr>
          <w:rFonts w:cs="Arial"/>
          <w:sz w:val="24"/>
          <w:szCs w:val="24"/>
        </w:rPr>
        <w:t>, as a foundation for provision of benefits</w:t>
      </w:r>
      <w:r w:rsidR="005334A0" w:rsidRPr="00EE7964">
        <w:rPr>
          <w:rFonts w:cs="Arial"/>
          <w:sz w:val="24"/>
          <w:szCs w:val="24"/>
        </w:rPr>
        <w:t xml:space="preserve"> to local communities</w:t>
      </w:r>
      <w:r w:rsidRPr="00EE7964">
        <w:rPr>
          <w:rFonts w:cs="Arial"/>
          <w:sz w:val="24"/>
          <w:szCs w:val="24"/>
        </w:rPr>
        <w:t>.</w:t>
      </w:r>
      <w:r w:rsidR="00EE7964" w:rsidRPr="00EE7964">
        <w:rPr>
          <w:rFonts w:cs="Arial"/>
          <w:sz w:val="24"/>
          <w:szCs w:val="24"/>
        </w:rPr>
        <w:t xml:space="preserve">  This may be superseded by seeking wider </w:t>
      </w:r>
      <w:bookmarkStart w:id="13" w:name="_Hlk40370949"/>
      <w:r w:rsidR="00EE7964" w:rsidRPr="00EE7964">
        <w:rPr>
          <w:rFonts w:cs="Arial"/>
          <w:sz w:val="24"/>
          <w:szCs w:val="24"/>
        </w:rPr>
        <w:t>environmental net gain if recommendat</w:t>
      </w:r>
      <w:r w:rsidR="00B9332D">
        <w:rPr>
          <w:rFonts w:cs="Arial"/>
          <w:sz w:val="24"/>
          <w:szCs w:val="24"/>
        </w:rPr>
        <w:t>i</w:t>
      </w:r>
      <w:r w:rsidR="00EE7964" w:rsidRPr="00EE7964">
        <w:rPr>
          <w:rFonts w:cs="Arial"/>
          <w:sz w:val="24"/>
          <w:szCs w:val="24"/>
        </w:rPr>
        <w:t>ons of the UK’s Natural Capital Committee (2020</w:t>
      </w:r>
      <w:r w:rsidR="00EE7964">
        <w:rPr>
          <w:rFonts w:cs="Arial"/>
          <w:sz w:val="24"/>
          <w:szCs w:val="24"/>
        </w:rPr>
        <w:t>: 3</w:t>
      </w:r>
      <w:r w:rsidR="00EE7964" w:rsidRPr="00EE7964">
        <w:rPr>
          <w:rFonts w:cs="Arial"/>
          <w:sz w:val="24"/>
          <w:szCs w:val="24"/>
        </w:rPr>
        <w:t>) are followed: “</w:t>
      </w:r>
      <w:r w:rsidR="00EE7964" w:rsidRPr="00EE7964">
        <w:rPr>
          <w:rFonts w:asciiTheme="minorHAnsi" w:hAnsiTheme="minorHAnsi" w:cs="Arial"/>
          <w:sz w:val="24"/>
          <w:szCs w:val="24"/>
        </w:rPr>
        <w:t>Government should urgently work towards replacing biodiversity net gain with marine and terrestrial environmental net gain in the Environment Bill</w:t>
      </w:r>
      <w:r w:rsidR="00125010">
        <w:rPr>
          <w:rFonts w:asciiTheme="minorHAnsi" w:hAnsiTheme="minorHAnsi" w:cs="Arial"/>
          <w:sz w:val="24"/>
          <w:szCs w:val="24"/>
        </w:rPr>
        <w:t>”</w:t>
      </w:r>
      <w:r w:rsidR="00EE7964">
        <w:rPr>
          <w:rFonts w:asciiTheme="minorHAnsi" w:hAnsiTheme="minorHAnsi" w:cs="Arial"/>
          <w:sz w:val="24"/>
          <w:szCs w:val="24"/>
        </w:rPr>
        <w:t>.</w:t>
      </w:r>
      <w:bookmarkEnd w:id="13"/>
      <w:r w:rsidR="00217867">
        <w:rPr>
          <w:rFonts w:asciiTheme="minorHAnsi" w:hAnsiTheme="minorHAnsi" w:cs="Arial"/>
          <w:sz w:val="24"/>
          <w:szCs w:val="24"/>
        </w:rPr>
        <w:t xml:space="preserve">  This is allied to targets in the UK government’s </w:t>
      </w:r>
      <w:r w:rsidR="00217867" w:rsidRPr="00217867">
        <w:rPr>
          <w:rFonts w:asciiTheme="minorHAnsi" w:hAnsiTheme="minorHAnsi" w:cs="Arial"/>
          <w:i/>
          <w:sz w:val="24"/>
          <w:szCs w:val="24"/>
        </w:rPr>
        <w:t>25-year Plan for the Environment</w:t>
      </w:r>
      <w:r w:rsidR="00217867">
        <w:rPr>
          <w:rFonts w:asciiTheme="minorHAnsi" w:hAnsiTheme="minorHAnsi" w:cs="Arial"/>
          <w:sz w:val="24"/>
          <w:szCs w:val="24"/>
        </w:rPr>
        <w:t xml:space="preserve"> (</w:t>
      </w:r>
      <w:r w:rsidR="00217867" w:rsidRPr="00D31F3A">
        <w:rPr>
          <w:rFonts w:cstheme="minorHAnsi"/>
          <w:sz w:val="24"/>
          <w:szCs w:val="24"/>
        </w:rPr>
        <w:t>HM Government, 2017</w:t>
      </w:r>
      <w:r w:rsidR="00217867">
        <w:rPr>
          <w:rFonts w:cstheme="minorHAnsi"/>
          <w:sz w:val="24"/>
          <w:szCs w:val="24"/>
        </w:rPr>
        <w:t>), which need to be transparently assessed and integrated with targets at local government level.</w:t>
      </w:r>
    </w:p>
    <w:p w14:paraId="35B4536E" w14:textId="422C10D7" w:rsidR="00F57C3D" w:rsidRPr="00D31F3A" w:rsidRDefault="00881929" w:rsidP="00BF1084">
      <w:pPr>
        <w:pStyle w:val="ListParagraph"/>
        <w:numPr>
          <w:ilvl w:val="0"/>
          <w:numId w:val="23"/>
        </w:numPr>
        <w:spacing w:line="276" w:lineRule="auto"/>
        <w:ind w:left="709" w:right="-188" w:hanging="425"/>
        <w:rPr>
          <w:rFonts w:asciiTheme="minorHAnsi" w:hAnsiTheme="minorHAnsi" w:cstheme="minorHAnsi"/>
          <w:sz w:val="24"/>
          <w:szCs w:val="24"/>
        </w:rPr>
      </w:pPr>
      <w:r>
        <w:rPr>
          <w:rFonts w:asciiTheme="minorHAnsi" w:hAnsiTheme="minorHAnsi" w:cstheme="minorHAnsi"/>
          <w:sz w:val="24"/>
          <w:szCs w:val="24"/>
        </w:rPr>
        <w:t>Delegating</w:t>
      </w:r>
      <w:r w:rsidR="00F57C3D" w:rsidRPr="00D31F3A">
        <w:rPr>
          <w:rFonts w:asciiTheme="minorHAnsi" w:hAnsiTheme="minorHAnsi" w:cstheme="minorHAnsi"/>
          <w:sz w:val="24"/>
          <w:szCs w:val="24"/>
        </w:rPr>
        <w:t xml:space="preserve"> powers to </w:t>
      </w:r>
      <w:r w:rsidR="00F57C3D" w:rsidRPr="00D31F3A">
        <w:rPr>
          <w:rFonts w:asciiTheme="minorHAnsi" w:hAnsiTheme="minorHAnsi" w:cs="Arial"/>
          <w:sz w:val="24"/>
          <w:szCs w:val="24"/>
        </w:rPr>
        <w:t>Local Authorities to regulate land use based on transparent ecosystem service criteria</w:t>
      </w:r>
      <w:r w:rsidR="005334A0">
        <w:rPr>
          <w:rFonts w:asciiTheme="minorHAnsi" w:hAnsiTheme="minorHAnsi" w:cs="Arial"/>
          <w:sz w:val="24"/>
          <w:szCs w:val="24"/>
        </w:rPr>
        <w:t>,</w:t>
      </w:r>
      <w:r w:rsidR="00F57C3D" w:rsidRPr="00D31F3A">
        <w:rPr>
          <w:rFonts w:asciiTheme="minorHAnsi" w:hAnsiTheme="minorHAnsi" w:cs="Arial"/>
          <w:sz w:val="24"/>
          <w:szCs w:val="24"/>
        </w:rPr>
        <w:t xml:space="preserve"> aimed at optimising societal benefits and </w:t>
      </w:r>
      <w:r w:rsidR="005334A0">
        <w:rPr>
          <w:rFonts w:asciiTheme="minorHAnsi" w:hAnsiTheme="minorHAnsi" w:cs="Arial"/>
          <w:sz w:val="24"/>
          <w:szCs w:val="24"/>
        </w:rPr>
        <w:t xml:space="preserve">optimisation of equitable </w:t>
      </w:r>
      <w:r w:rsidR="00F57C3D" w:rsidRPr="00D31F3A">
        <w:rPr>
          <w:rFonts w:asciiTheme="minorHAnsi" w:hAnsiTheme="minorHAnsi" w:cs="Arial"/>
          <w:sz w:val="24"/>
          <w:szCs w:val="24"/>
        </w:rPr>
        <w:t>benefit distribution.</w:t>
      </w:r>
    </w:p>
    <w:p w14:paraId="61F16904" w14:textId="1272A22B" w:rsidR="00F57C3D" w:rsidRPr="00D31F3A" w:rsidRDefault="00F57C3D" w:rsidP="00BF1084">
      <w:pPr>
        <w:pStyle w:val="ListParagraph"/>
        <w:numPr>
          <w:ilvl w:val="0"/>
          <w:numId w:val="23"/>
        </w:numPr>
        <w:spacing w:line="276" w:lineRule="auto"/>
        <w:ind w:left="709" w:right="-188" w:hanging="425"/>
        <w:rPr>
          <w:rFonts w:asciiTheme="minorHAnsi" w:hAnsiTheme="minorHAnsi" w:cstheme="minorHAnsi"/>
          <w:sz w:val="24"/>
          <w:szCs w:val="24"/>
        </w:rPr>
      </w:pPr>
      <w:r w:rsidRPr="00D31F3A">
        <w:rPr>
          <w:rFonts w:asciiTheme="minorHAnsi" w:hAnsiTheme="minorHAnsi" w:cstheme="minorHAnsi"/>
          <w:sz w:val="24"/>
          <w:szCs w:val="24"/>
        </w:rPr>
        <w:t>Articulat</w:t>
      </w:r>
      <w:r w:rsidR="00881929">
        <w:rPr>
          <w:rFonts w:asciiTheme="minorHAnsi" w:hAnsiTheme="minorHAnsi" w:cstheme="minorHAnsi"/>
          <w:sz w:val="24"/>
          <w:szCs w:val="24"/>
        </w:rPr>
        <w:t>ing</w:t>
      </w:r>
      <w:r w:rsidRPr="00D31F3A">
        <w:rPr>
          <w:rFonts w:asciiTheme="minorHAnsi" w:hAnsiTheme="minorHAnsi" w:cstheme="minorHAnsi"/>
          <w:sz w:val="24"/>
          <w:szCs w:val="24"/>
        </w:rPr>
        <w:t xml:space="preserve"> clearly the roles of ecosystems and opportunities for ecosystem-based solutions in delivering Climate Emergency and Biodiversity Crisis declarations made by Local Authorities as part of co-delivery of other linked policy priorities.</w:t>
      </w:r>
    </w:p>
    <w:p w14:paraId="24AE2836" w14:textId="6E417710" w:rsidR="005334A0" w:rsidRPr="005334A0" w:rsidRDefault="00F57C3D" w:rsidP="00BF1084">
      <w:pPr>
        <w:pStyle w:val="ListParagraph"/>
        <w:numPr>
          <w:ilvl w:val="0"/>
          <w:numId w:val="23"/>
        </w:numPr>
        <w:spacing w:line="276" w:lineRule="auto"/>
        <w:ind w:left="709" w:right="-188" w:hanging="425"/>
        <w:rPr>
          <w:rFonts w:asciiTheme="minorHAnsi" w:hAnsiTheme="minorHAnsi" w:cstheme="minorHAnsi"/>
          <w:sz w:val="24"/>
          <w:szCs w:val="24"/>
        </w:rPr>
      </w:pPr>
      <w:r w:rsidRPr="00D31F3A">
        <w:rPr>
          <w:rFonts w:asciiTheme="minorHAnsi" w:hAnsiTheme="minorHAnsi"/>
          <w:sz w:val="24"/>
          <w:szCs w:val="24"/>
        </w:rPr>
        <w:t>Explor</w:t>
      </w:r>
      <w:r w:rsidR="00881929">
        <w:rPr>
          <w:rFonts w:asciiTheme="minorHAnsi" w:hAnsiTheme="minorHAnsi"/>
          <w:sz w:val="24"/>
          <w:szCs w:val="24"/>
        </w:rPr>
        <w:t>ing</w:t>
      </w:r>
      <w:r w:rsidRPr="00D31F3A">
        <w:rPr>
          <w:rFonts w:asciiTheme="minorHAnsi" w:hAnsiTheme="minorHAnsi"/>
          <w:sz w:val="24"/>
          <w:szCs w:val="24"/>
        </w:rPr>
        <w:t xml:space="preserve"> </w:t>
      </w:r>
      <w:r w:rsidR="005334A0">
        <w:rPr>
          <w:rFonts w:asciiTheme="minorHAnsi" w:hAnsiTheme="minorHAnsi"/>
          <w:sz w:val="24"/>
          <w:szCs w:val="24"/>
        </w:rPr>
        <w:t xml:space="preserve">the </w:t>
      </w:r>
      <w:r w:rsidRPr="00D31F3A">
        <w:rPr>
          <w:rFonts w:asciiTheme="minorHAnsi" w:hAnsiTheme="minorHAnsi"/>
          <w:sz w:val="24"/>
          <w:szCs w:val="24"/>
        </w:rPr>
        <w:t xml:space="preserve">potential for greater local accountability though, for example, the Danish example of 75% of money spent locally also </w:t>
      </w:r>
      <w:r w:rsidR="005334A0">
        <w:rPr>
          <w:rFonts w:asciiTheme="minorHAnsi" w:hAnsiTheme="minorHAnsi"/>
          <w:sz w:val="24"/>
          <w:szCs w:val="24"/>
        </w:rPr>
        <w:t xml:space="preserve">being </w:t>
      </w:r>
      <w:r w:rsidRPr="00D31F3A">
        <w:rPr>
          <w:rFonts w:asciiTheme="minorHAnsi" w:hAnsiTheme="minorHAnsi"/>
          <w:sz w:val="24"/>
          <w:szCs w:val="24"/>
        </w:rPr>
        <w:t>raised locally (OECD, 2020).</w:t>
      </w:r>
      <w:r w:rsidR="00F901C2">
        <w:rPr>
          <w:rFonts w:asciiTheme="minorHAnsi" w:hAnsiTheme="minorHAnsi"/>
          <w:sz w:val="24"/>
          <w:szCs w:val="24"/>
        </w:rPr>
        <w:t xml:space="preserve"> </w:t>
      </w:r>
      <w:r w:rsidR="00C411F9">
        <w:rPr>
          <w:rFonts w:asciiTheme="minorHAnsi" w:hAnsiTheme="minorHAnsi"/>
          <w:sz w:val="24"/>
          <w:szCs w:val="24"/>
        </w:rPr>
        <w:t xml:space="preserve"> </w:t>
      </w:r>
      <w:r w:rsidR="00F901C2">
        <w:rPr>
          <w:rFonts w:asciiTheme="minorHAnsi" w:hAnsiTheme="minorHAnsi"/>
          <w:sz w:val="24"/>
          <w:szCs w:val="24"/>
        </w:rPr>
        <w:t>In this context, further experimentation should be undertaken regarding the use of local currencies in local cash economies.</w:t>
      </w:r>
      <w:r w:rsidR="00256D86">
        <w:rPr>
          <w:rFonts w:asciiTheme="minorHAnsi" w:hAnsiTheme="minorHAnsi"/>
          <w:sz w:val="24"/>
          <w:szCs w:val="24"/>
        </w:rPr>
        <w:t xml:space="preserve">  This needs to be balanced with nationally redistributi</w:t>
      </w:r>
      <w:r w:rsidR="002255D4">
        <w:rPr>
          <w:rFonts w:asciiTheme="minorHAnsi" w:hAnsiTheme="minorHAnsi"/>
          <w:sz w:val="24"/>
          <w:szCs w:val="24"/>
        </w:rPr>
        <w:t>ve</w:t>
      </w:r>
      <w:r w:rsidR="00256D86">
        <w:rPr>
          <w:rFonts w:asciiTheme="minorHAnsi" w:hAnsiTheme="minorHAnsi"/>
          <w:sz w:val="24"/>
          <w:szCs w:val="24"/>
        </w:rPr>
        <w:t xml:space="preserve"> policies.</w:t>
      </w:r>
    </w:p>
    <w:p w14:paraId="0556B84A" w14:textId="51041533" w:rsidR="00F57C3D" w:rsidRPr="005334A0" w:rsidRDefault="00F57C3D" w:rsidP="005334A0">
      <w:pPr>
        <w:spacing w:line="276" w:lineRule="auto"/>
        <w:ind w:right="-188"/>
        <w:rPr>
          <w:rFonts w:cstheme="minorHAnsi"/>
          <w:sz w:val="24"/>
          <w:szCs w:val="24"/>
        </w:rPr>
      </w:pPr>
      <w:r w:rsidRPr="005334A0">
        <w:rPr>
          <w:sz w:val="24"/>
          <w:szCs w:val="24"/>
        </w:rPr>
        <w:t xml:space="preserve"> </w:t>
      </w:r>
    </w:p>
    <w:p w14:paraId="6AE8AFB2" w14:textId="4F15C32C" w:rsidR="00F57C3D" w:rsidRPr="00D31F3A" w:rsidRDefault="00F57C3D" w:rsidP="00D31F3A">
      <w:pPr>
        <w:spacing w:before="120" w:line="276" w:lineRule="auto"/>
        <w:ind w:right="-188"/>
        <w:rPr>
          <w:b/>
          <w:i/>
          <w:sz w:val="24"/>
          <w:szCs w:val="24"/>
        </w:rPr>
      </w:pPr>
      <w:bookmarkStart w:id="14" w:name="_Toc36225715"/>
      <w:r w:rsidRPr="00D31F3A">
        <w:rPr>
          <w:b/>
          <w:sz w:val="24"/>
          <w:szCs w:val="24"/>
        </w:rPr>
        <w:t>3.10</w:t>
      </w:r>
      <w:r w:rsidRPr="00D31F3A">
        <w:rPr>
          <w:b/>
          <w:i/>
          <w:sz w:val="24"/>
          <w:szCs w:val="24"/>
        </w:rPr>
        <w:t xml:space="preserve"> The environmental sector</w:t>
      </w:r>
      <w:bookmarkEnd w:id="14"/>
    </w:p>
    <w:p w14:paraId="7BA91E12" w14:textId="21840F95" w:rsidR="00F57C3D" w:rsidRPr="00D31F3A" w:rsidRDefault="00F57C3D" w:rsidP="00D31F3A">
      <w:pPr>
        <w:spacing w:line="276" w:lineRule="auto"/>
        <w:ind w:right="-188"/>
        <w:rPr>
          <w:rFonts w:cs="Arial"/>
          <w:sz w:val="24"/>
          <w:szCs w:val="24"/>
        </w:rPr>
      </w:pPr>
      <w:r w:rsidRPr="00D31F3A">
        <w:rPr>
          <w:rFonts w:cs="Arial"/>
          <w:color w:val="000000" w:themeColor="text1"/>
          <w:sz w:val="24"/>
          <w:szCs w:val="24"/>
        </w:rPr>
        <w:t xml:space="preserve">Whilst ecosystem-related matters have often formerly tended to be viewed as purely ‘environmental’, with associated management external </w:t>
      </w:r>
      <w:r w:rsidR="00912BD7">
        <w:rPr>
          <w:rFonts w:cs="Arial"/>
          <w:color w:val="000000" w:themeColor="text1"/>
          <w:sz w:val="24"/>
          <w:szCs w:val="24"/>
        </w:rPr>
        <w:t xml:space="preserve">and </w:t>
      </w:r>
      <w:r w:rsidR="00912BD7" w:rsidRPr="00D31F3A">
        <w:rPr>
          <w:rFonts w:cs="Arial"/>
          <w:color w:val="000000" w:themeColor="text1"/>
          <w:sz w:val="24"/>
          <w:szCs w:val="24"/>
        </w:rPr>
        <w:t xml:space="preserve">retrospective </w:t>
      </w:r>
      <w:r w:rsidRPr="00D31F3A">
        <w:rPr>
          <w:rFonts w:cs="Arial"/>
          <w:color w:val="000000" w:themeColor="text1"/>
          <w:sz w:val="24"/>
          <w:szCs w:val="24"/>
        </w:rPr>
        <w:t xml:space="preserve">to other departmental priorities, </w:t>
      </w:r>
      <w:r w:rsidR="009435AF">
        <w:rPr>
          <w:rFonts w:cs="Arial"/>
          <w:color w:val="000000" w:themeColor="text1"/>
          <w:sz w:val="24"/>
          <w:szCs w:val="24"/>
        </w:rPr>
        <w:t xml:space="preserve">ecosystems in reality constitute </w:t>
      </w:r>
      <w:r w:rsidRPr="00D31F3A">
        <w:rPr>
          <w:rFonts w:cs="Arial"/>
          <w:color w:val="000000" w:themeColor="text1"/>
          <w:sz w:val="24"/>
          <w:szCs w:val="24"/>
        </w:rPr>
        <w:t xml:space="preserve">crucial resources underpinning but also potentially affected by all other </w:t>
      </w:r>
      <w:r w:rsidR="00C30A34">
        <w:rPr>
          <w:rFonts w:cs="Arial"/>
          <w:color w:val="000000" w:themeColor="text1"/>
          <w:sz w:val="24"/>
          <w:szCs w:val="24"/>
        </w:rPr>
        <w:t xml:space="preserve">areas of societal </w:t>
      </w:r>
      <w:r w:rsidRPr="00D31F3A">
        <w:rPr>
          <w:rFonts w:cs="Arial"/>
          <w:color w:val="000000" w:themeColor="text1"/>
          <w:sz w:val="24"/>
          <w:szCs w:val="24"/>
        </w:rPr>
        <w:t>decision-making.  Actio</w:t>
      </w:r>
      <w:r w:rsidRPr="00D31F3A">
        <w:rPr>
          <w:rFonts w:cs="Arial"/>
          <w:sz w:val="24"/>
          <w:szCs w:val="24"/>
        </w:rPr>
        <w:t xml:space="preserve">nable outcomes </w:t>
      </w:r>
      <w:r w:rsidR="00F35E2D">
        <w:rPr>
          <w:rFonts w:cs="Arial"/>
          <w:sz w:val="24"/>
          <w:szCs w:val="24"/>
        </w:rPr>
        <w:t xml:space="preserve">relating to </w:t>
      </w:r>
      <w:r w:rsidR="009435AF">
        <w:rPr>
          <w:rFonts w:cs="Arial"/>
          <w:sz w:val="24"/>
          <w:szCs w:val="24"/>
        </w:rPr>
        <w:t xml:space="preserve">these </w:t>
      </w:r>
      <w:r w:rsidR="009435AF">
        <w:rPr>
          <w:rFonts w:cs="Arial"/>
          <w:color w:val="000000" w:themeColor="text1"/>
          <w:sz w:val="24"/>
          <w:szCs w:val="24"/>
        </w:rPr>
        <w:t xml:space="preserve">more connected implications of the </w:t>
      </w:r>
      <w:r w:rsidR="009435AF" w:rsidRPr="00D31F3A">
        <w:rPr>
          <w:rFonts w:cs="Arial"/>
          <w:color w:val="000000" w:themeColor="text1"/>
          <w:sz w:val="24"/>
          <w:szCs w:val="24"/>
        </w:rPr>
        <w:t xml:space="preserve">environmental sector </w:t>
      </w:r>
      <w:r w:rsidRPr="00D31F3A">
        <w:rPr>
          <w:rFonts w:cs="Arial"/>
          <w:sz w:val="24"/>
          <w:szCs w:val="24"/>
        </w:rPr>
        <w:t>include:</w:t>
      </w:r>
    </w:p>
    <w:p w14:paraId="21F393A6" w14:textId="20E62DDA" w:rsidR="00F57C3D" w:rsidRPr="00D31F3A" w:rsidRDefault="00F57C3D" w:rsidP="00BF1084">
      <w:pPr>
        <w:pStyle w:val="ListParagraph"/>
        <w:numPr>
          <w:ilvl w:val="0"/>
          <w:numId w:val="24"/>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 xml:space="preserve">Promoting </w:t>
      </w:r>
      <w:r w:rsidR="00F35E2D">
        <w:rPr>
          <w:rFonts w:asciiTheme="minorHAnsi" w:hAnsiTheme="minorHAnsi" w:cs="Arial"/>
          <w:sz w:val="24"/>
          <w:szCs w:val="24"/>
        </w:rPr>
        <w:t>awareness</w:t>
      </w:r>
      <w:r w:rsidR="004C0BEB">
        <w:rPr>
          <w:rFonts w:asciiTheme="minorHAnsi" w:hAnsiTheme="minorHAnsi" w:cs="Arial"/>
          <w:sz w:val="24"/>
          <w:szCs w:val="24"/>
        </w:rPr>
        <w:t>,</w:t>
      </w:r>
      <w:r w:rsidR="00F35E2D">
        <w:rPr>
          <w:rFonts w:asciiTheme="minorHAnsi" w:hAnsiTheme="minorHAnsi" w:cs="Arial"/>
          <w:sz w:val="24"/>
          <w:szCs w:val="24"/>
        </w:rPr>
        <w:t xml:space="preserve"> through demonstration of practical relevance </w:t>
      </w:r>
      <w:r w:rsidRPr="00D31F3A">
        <w:rPr>
          <w:rFonts w:asciiTheme="minorHAnsi" w:hAnsiTheme="minorHAnsi" w:cs="Arial"/>
          <w:sz w:val="24"/>
          <w:szCs w:val="24"/>
        </w:rPr>
        <w:t>across other sectors</w:t>
      </w:r>
      <w:r w:rsidR="004C0BEB">
        <w:rPr>
          <w:rFonts w:asciiTheme="minorHAnsi" w:hAnsiTheme="minorHAnsi" w:cs="Arial"/>
          <w:sz w:val="24"/>
          <w:szCs w:val="24"/>
        </w:rPr>
        <w:t>,</w:t>
      </w:r>
      <w:r w:rsidRPr="00D31F3A">
        <w:rPr>
          <w:rFonts w:asciiTheme="minorHAnsi" w:hAnsiTheme="minorHAnsi" w:cs="Arial"/>
          <w:sz w:val="24"/>
          <w:szCs w:val="24"/>
        </w:rPr>
        <w:t xml:space="preserve"> that natural systems are foundational infrastructure, a vital primary resource (not simply a receptor to b</w:t>
      </w:r>
      <w:r w:rsidR="009435AF">
        <w:rPr>
          <w:rFonts w:asciiTheme="minorHAnsi" w:hAnsiTheme="minorHAnsi" w:cs="Arial"/>
          <w:sz w:val="24"/>
          <w:szCs w:val="24"/>
        </w:rPr>
        <w:t>e</w:t>
      </w:r>
      <w:r w:rsidRPr="00D31F3A">
        <w:rPr>
          <w:rFonts w:asciiTheme="minorHAnsi" w:hAnsiTheme="minorHAnsi" w:cs="Arial"/>
          <w:sz w:val="24"/>
          <w:szCs w:val="24"/>
        </w:rPr>
        <w:t xml:space="preserve"> ‘protected’ for altruistic reasons) underpinning and delivering value to all sectoral interests.</w:t>
      </w:r>
    </w:p>
    <w:p w14:paraId="18740B91" w14:textId="5CB706E8" w:rsidR="00F57C3D" w:rsidRPr="00D31F3A" w:rsidRDefault="00F57C3D" w:rsidP="00BF1084">
      <w:pPr>
        <w:pStyle w:val="ListParagraph"/>
        <w:numPr>
          <w:ilvl w:val="0"/>
          <w:numId w:val="24"/>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Basing conservation initiatives on creation of dynamic and living landscapes</w:t>
      </w:r>
      <w:r w:rsidR="00F35E2D">
        <w:rPr>
          <w:rFonts w:asciiTheme="minorHAnsi" w:hAnsiTheme="minorHAnsi" w:cs="Arial"/>
          <w:sz w:val="24"/>
          <w:szCs w:val="24"/>
        </w:rPr>
        <w:t xml:space="preserve">, </w:t>
      </w:r>
      <w:r w:rsidRPr="00D31F3A">
        <w:rPr>
          <w:rFonts w:asciiTheme="minorHAnsi" w:hAnsiTheme="minorHAnsi" w:cs="Arial"/>
          <w:sz w:val="24"/>
          <w:szCs w:val="24"/>
        </w:rPr>
        <w:t>consistent with the “Bigger, better more joined up” vision of the ‘Lawton Review’ (</w:t>
      </w:r>
      <w:r w:rsidRPr="00D31F3A">
        <w:rPr>
          <w:rFonts w:asciiTheme="minorHAnsi" w:hAnsiTheme="minorHAnsi" w:cstheme="minorHAnsi"/>
          <w:sz w:val="24"/>
          <w:szCs w:val="24"/>
        </w:rPr>
        <w:t>Lawton, 2010)</w:t>
      </w:r>
      <w:r w:rsidR="00F35E2D">
        <w:rPr>
          <w:rFonts w:asciiTheme="minorHAnsi" w:hAnsiTheme="minorHAnsi" w:cstheme="minorHAnsi"/>
          <w:sz w:val="24"/>
          <w:szCs w:val="24"/>
        </w:rPr>
        <w:t xml:space="preserve">, </w:t>
      </w:r>
      <w:r w:rsidRPr="00D31F3A">
        <w:rPr>
          <w:rFonts w:asciiTheme="minorHAnsi" w:hAnsiTheme="minorHAnsi" w:cs="Arial"/>
          <w:sz w:val="24"/>
          <w:szCs w:val="24"/>
        </w:rPr>
        <w:t xml:space="preserve">coincidentally enhancing biodiversity with multiple </w:t>
      </w:r>
      <w:r w:rsidR="00F35E2D">
        <w:rPr>
          <w:rFonts w:asciiTheme="minorHAnsi" w:hAnsiTheme="minorHAnsi" w:cs="Arial"/>
          <w:sz w:val="24"/>
          <w:szCs w:val="24"/>
        </w:rPr>
        <w:t xml:space="preserve">other </w:t>
      </w:r>
      <w:r w:rsidRPr="00D31F3A">
        <w:rPr>
          <w:rFonts w:asciiTheme="minorHAnsi" w:hAnsiTheme="minorHAnsi" w:cs="Arial"/>
          <w:sz w:val="24"/>
          <w:szCs w:val="24"/>
        </w:rPr>
        <w:t xml:space="preserve">linked </w:t>
      </w:r>
      <w:r w:rsidR="00F35E2D">
        <w:rPr>
          <w:rFonts w:asciiTheme="minorHAnsi" w:hAnsiTheme="minorHAnsi" w:cs="Arial"/>
          <w:sz w:val="24"/>
          <w:szCs w:val="24"/>
        </w:rPr>
        <w:t xml:space="preserve">societal </w:t>
      </w:r>
      <w:r w:rsidRPr="00D31F3A">
        <w:rPr>
          <w:rFonts w:asciiTheme="minorHAnsi" w:hAnsiTheme="minorHAnsi" w:cs="Arial"/>
          <w:sz w:val="24"/>
          <w:szCs w:val="24"/>
        </w:rPr>
        <w:t>value systems.</w:t>
      </w:r>
    </w:p>
    <w:p w14:paraId="36EC7F5C" w14:textId="0585FF4C" w:rsidR="00F57C3D" w:rsidRDefault="00F57C3D" w:rsidP="00BF1084">
      <w:pPr>
        <w:pStyle w:val="ListParagraph"/>
        <w:numPr>
          <w:ilvl w:val="0"/>
          <w:numId w:val="24"/>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 xml:space="preserve">Championing traditional and novel nature-based solutions (such as </w:t>
      </w:r>
      <w:r w:rsidR="004C769A">
        <w:rPr>
          <w:rFonts w:asciiTheme="minorHAnsi" w:hAnsiTheme="minorHAnsi" w:cs="Arial"/>
          <w:sz w:val="24"/>
          <w:szCs w:val="24"/>
        </w:rPr>
        <w:t>natural flood man</w:t>
      </w:r>
      <w:r w:rsidR="00C411F9">
        <w:rPr>
          <w:rFonts w:asciiTheme="minorHAnsi" w:hAnsiTheme="minorHAnsi" w:cs="Arial"/>
          <w:sz w:val="24"/>
          <w:szCs w:val="24"/>
        </w:rPr>
        <w:t>a</w:t>
      </w:r>
      <w:r w:rsidR="004C769A">
        <w:rPr>
          <w:rFonts w:asciiTheme="minorHAnsi" w:hAnsiTheme="minorHAnsi" w:cs="Arial"/>
          <w:sz w:val="24"/>
          <w:szCs w:val="24"/>
        </w:rPr>
        <w:t>gement</w:t>
      </w:r>
      <w:r w:rsidRPr="00D31F3A">
        <w:rPr>
          <w:rFonts w:asciiTheme="minorHAnsi" w:hAnsiTheme="minorHAnsi" w:cs="Arial"/>
          <w:sz w:val="24"/>
          <w:szCs w:val="24"/>
        </w:rPr>
        <w:t>, catchment</w:t>
      </w:r>
      <w:r w:rsidR="00F35E2D">
        <w:rPr>
          <w:rFonts w:asciiTheme="minorHAnsi" w:hAnsiTheme="minorHAnsi" w:cs="Arial"/>
          <w:sz w:val="24"/>
          <w:szCs w:val="24"/>
        </w:rPr>
        <w:t>-</w:t>
      </w:r>
      <w:r w:rsidRPr="00D31F3A">
        <w:rPr>
          <w:rFonts w:asciiTheme="minorHAnsi" w:hAnsiTheme="minorHAnsi" w:cs="Arial"/>
          <w:sz w:val="24"/>
          <w:szCs w:val="24"/>
        </w:rPr>
        <w:t>based raw water quality protection, wetland treatment, urban green infrastructure</w:t>
      </w:r>
      <w:r w:rsidR="00F35E2D">
        <w:rPr>
          <w:rFonts w:asciiTheme="minorHAnsi" w:hAnsiTheme="minorHAnsi" w:cs="Arial"/>
          <w:sz w:val="24"/>
          <w:szCs w:val="24"/>
        </w:rPr>
        <w:t>, etc.</w:t>
      </w:r>
      <w:r w:rsidRPr="00D31F3A">
        <w:rPr>
          <w:rFonts w:asciiTheme="minorHAnsi" w:hAnsiTheme="minorHAnsi" w:cs="Arial"/>
          <w:sz w:val="24"/>
          <w:szCs w:val="24"/>
        </w:rPr>
        <w:t>) as viable</w:t>
      </w:r>
      <w:r w:rsidR="009435AF">
        <w:rPr>
          <w:rFonts w:asciiTheme="minorHAnsi" w:hAnsiTheme="minorHAnsi" w:cs="Arial"/>
          <w:sz w:val="24"/>
          <w:szCs w:val="24"/>
        </w:rPr>
        <w:t xml:space="preserve">, </w:t>
      </w:r>
      <w:r w:rsidR="004C0BEB">
        <w:rPr>
          <w:rFonts w:asciiTheme="minorHAnsi" w:hAnsiTheme="minorHAnsi" w:cs="Arial"/>
          <w:sz w:val="24"/>
          <w:szCs w:val="24"/>
        </w:rPr>
        <w:t xml:space="preserve">often preferable </w:t>
      </w:r>
      <w:r w:rsidR="009435AF">
        <w:rPr>
          <w:rFonts w:asciiTheme="minorHAnsi" w:hAnsiTheme="minorHAnsi" w:cs="Arial"/>
          <w:sz w:val="24"/>
          <w:szCs w:val="24"/>
        </w:rPr>
        <w:t xml:space="preserve">and greater aggregate value </w:t>
      </w:r>
      <w:r w:rsidRPr="00D31F3A">
        <w:rPr>
          <w:rFonts w:asciiTheme="minorHAnsi" w:hAnsiTheme="minorHAnsi" w:cs="Arial"/>
          <w:sz w:val="24"/>
          <w:szCs w:val="24"/>
        </w:rPr>
        <w:t>solutions</w:t>
      </w:r>
      <w:r w:rsidR="004C0BEB">
        <w:rPr>
          <w:rFonts w:asciiTheme="minorHAnsi" w:hAnsiTheme="minorHAnsi" w:cs="Arial"/>
          <w:sz w:val="24"/>
          <w:szCs w:val="24"/>
        </w:rPr>
        <w:t xml:space="preserve">, entailing lower </w:t>
      </w:r>
      <w:r w:rsidRPr="00D31F3A">
        <w:rPr>
          <w:rFonts w:asciiTheme="minorHAnsi" w:hAnsiTheme="minorHAnsi" w:cs="Arial"/>
          <w:sz w:val="24"/>
          <w:szCs w:val="24"/>
        </w:rPr>
        <w:t xml:space="preserve">resource inputs and outputs, fewer negative externalities and </w:t>
      </w:r>
      <w:r w:rsidR="00F35E2D">
        <w:rPr>
          <w:rFonts w:asciiTheme="minorHAnsi" w:hAnsiTheme="minorHAnsi" w:cs="Arial"/>
          <w:sz w:val="24"/>
          <w:szCs w:val="24"/>
        </w:rPr>
        <w:t xml:space="preserve">greater </w:t>
      </w:r>
      <w:r w:rsidRPr="00D31F3A">
        <w:rPr>
          <w:rFonts w:asciiTheme="minorHAnsi" w:hAnsiTheme="minorHAnsi" w:cs="Arial"/>
          <w:sz w:val="24"/>
          <w:szCs w:val="24"/>
        </w:rPr>
        <w:t>multi-sectoral benefits compared to energy-intensive and engineering approaches.</w:t>
      </w:r>
    </w:p>
    <w:p w14:paraId="147D2425" w14:textId="77777777" w:rsidR="00F35E2D" w:rsidRPr="00F35E2D" w:rsidRDefault="00F35E2D" w:rsidP="00F35E2D">
      <w:pPr>
        <w:spacing w:line="276" w:lineRule="auto"/>
        <w:ind w:right="-188"/>
        <w:rPr>
          <w:rFonts w:cs="Arial"/>
          <w:sz w:val="24"/>
          <w:szCs w:val="24"/>
        </w:rPr>
      </w:pPr>
    </w:p>
    <w:p w14:paraId="29DEC36A" w14:textId="754C4B7C" w:rsidR="00F57C3D" w:rsidRPr="00D31F3A" w:rsidRDefault="00F57C3D" w:rsidP="00D31F3A">
      <w:pPr>
        <w:spacing w:before="120" w:line="276" w:lineRule="auto"/>
        <w:ind w:right="-188"/>
        <w:rPr>
          <w:b/>
          <w:i/>
          <w:sz w:val="24"/>
          <w:szCs w:val="24"/>
        </w:rPr>
      </w:pPr>
      <w:bookmarkStart w:id="15" w:name="_Toc36225716"/>
      <w:r w:rsidRPr="00D31F3A">
        <w:rPr>
          <w:b/>
          <w:sz w:val="24"/>
          <w:szCs w:val="24"/>
        </w:rPr>
        <w:t>3.11</w:t>
      </w:r>
      <w:r w:rsidRPr="00D31F3A">
        <w:rPr>
          <w:b/>
          <w:i/>
          <w:sz w:val="24"/>
          <w:szCs w:val="24"/>
        </w:rPr>
        <w:t xml:space="preserve"> The international development sector</w:t>
      </w:r>
      <w:bookmarkEnd w:id="15"/>
    </w:p>
    <w:p w14:paraId="61FB8EED" w14:textId="43D81F16" w:rsidR="00F57C3D" w:rsidRPr="00D31F3A" w:rsidRDefault="00F57C3D" w:rsidP="00D31F3A">
      <w:pPr>
        <w:spacing w:line="276" w:lineRule="auto"/>
        <w:ind w:right="-188"/>
        <w:rPr>
          <w:rFonts w:cs="Arial"/>
          <w:sz w:val="24"/>
          <w:szCs w:val="24"/>
        </w:rPr>
      </w:pPr>
      <w:r w:rsidRPr="00D31F3A">
        <w:rPr>
          <w:rFonts w:cs="Arial"/>
          <w:sz w:val="24"/>
          <w:szCs w:val="24"/>
        </w:rPr>
        <w:t xml:space="preserve">The depth and breadth of global connectivity in pursuing sustainability are recognised in the ideas of universality and interdependence underpinning the UN </w:t>
      </w:r>
      <w:r w:rsidR="00F35E2D">
        <w:rPr>
          <w:rFonts w:cs="Arial"/>
          <w:sz w:val="24"/>
          <w:szCs w:val="24"/>
        </w:rPr>
        <w:t>g</w:t>
      </w:r>
      <w:r w:rsidRPr="00D31F3A">
        <w:rPr>
          <w:rFonts w:cs="Arial"/>
          <w:sz w:val="24"/>
          <w:szCs w:val="24"/>
        </w:rPr>
        <w:t xml:space="preserve">lobal </w:t>
      </w:r>
      <w:r w:rsidR="00F35E2D">
        <w:rPr>
          <w:rFonts w:cs="Arial"/>
          <w:sz w:val="24"/>
          <w:szCs w:val="24"/>
        </w:rPr>
        <w:t xml:space="preserve">Sustainable Development </w:t>
      </w:r>
      <w:r w:rsidRPr="00D31F3A">
        <w:rPr>
          <w:rFonts w:cs="Arial"/>
          <w:sz w:val="24"/>
          <w:szCs w:val="24"/>
        </w:rPr>
        <w:t>Goals</w:t>
      </w:r>
      <w:r w:rsidR="00F35E2D">
        <w:rPr>
          <w:rFonts w:cs="Arial"/>
          <w:sz w:val="24"/>
          <w:szCs w:val="24"/>
        </w:rPr>
        <w:t xml:space="preserve"> (UN, 2015)</w:t>
      </w:r>
      <w:r w:rsidRPr="00D31F3A">
        <w:rPr>
          <w:rFonts w:cs="Arial"/>
          <w:sz w:val="24"/>
          <w:szCs w:val="24"/>
        </w:rPr>
        <w:t>.  This means that international development and foreign affairs are critical</w:t>
      </w:r>
      <w:r w:rsidR="009435AF">
        <w:rPr>
          <w:rFonts w:cs="Arial"/>
          <w:sz w:val="24"/>
          <w:szCs w:val="24"/>
        </w:rPr>
        <w:t>, so many of today’s sustainability concerns being international in scale in terms both of ramifications and solutions</w:t>
      </w:r>
      <w:r w:rsidRPr="00D31F3A">
        <w:rPr>
          <w:rFonts w:cs="Arial"/>
          <w:sz w:val="24"/>
          <w:szCs w:val="24"/>
        </w:rPr>
        <w:t>.  Actionable outcomes include:</w:t>
      </w:r>
    </w:p>
    <w:p w14:paraId="0AA6F6A3" w14:textId="453B2DBC" w:rsidR="00F57C3D" w:rsidRPr="00D31F3A" w:rsidRDefault="00F57C3D" w:rsidP="00BF1084">
      <w:pPr>
        <w:pStyle w:val="ListParagraph"/>
        <w:numPr>
          <w:ilvl w:val="0"/>
          <w:numId w:val="25"/>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Continuing partnership approaches in international development framed by the expressed needs of recipients in which ecosystem stewardship is of central importance for sustainable livelihoods (</w:t>
      </w:r>
      <w:proofErr w:type="spellStart"/>
      <w:r w:rsidRPr="00D31F3A">
        <w:rPr>
          <w:rFonts w:asciiTheme="minorHAnsi" w:hAnsiTheme="minorHAnsi"/>
          <w:sz w:val="24"/>
          <w:szCs w:val="24"/>
        </w:rPr>
        <w:t>Schreckenberg</w:t>
      </w:r>
      <w:proofErr w:type="spellEnd"/>
      <w:r w:rsidRPr="00D31F3A">
        <w:rPr>
          <w:rFonts w:asciiTheme="minorHAnsi" w:hAnsiTheme="minorHAnsi"/>
          <w:sz w:val="24"/>
          <w:szCs w:val="24"/>
        </w:rPr>
        <w:t>, 2018)</w:t>
      </w:r>
      <w:r w:rsidRPr="00D31F3A">
        <w:rPr>
          <w:rFonts w:asciiTheme="minorHAnsi" w:hAnsiTheme="minorHAnsi" w:cs="Arial"/>
          <w:sz w:val="24"/>
          <w:szCs w:val="24"/>
        </w:rPr>
        <w:t>.</w:t>
      </w:r>
    </w:p>
    <w:p w14:paraId="42508B34" w14:textId="6DE5F5F6" w:rsidR="00F57C3D" w:rsidRPr="00D31F3A" w:rsidRDefault="00F57C3D" w:rsidP="00BF1084">
      <w:pPr>
        <w:pStyle w:val="ListParagraph"/>
        <w:numPr>
          <w:ilvl w:val="0"/>
          <w:numId w:val="25"/>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Reinforcing narratives across other policy areas about national benefits arising from global action to drive ecosystem-based approaches to sustainability challenges, challenging ’austerity’ arguments about reducing international aid</w:t>
      </w:r>
      <w:r w:rsidR="003360E3">
        <w:rPr>
          <w:rFonts w:asciiTheme="minorHAnsi" w:hAnsiTheme="minorHAnsi" w:cs="Arial"/>
          <w:sz w:val="24"/>
          <w:szCs w:val="24"/>
        </w:rPr>
        <w:t xml:space="preserve"> in </w:t>
      </w:r>
      <w:r w:rsidR="00410916">
        <w:rPr>
          <w:rFonts w:asciiTheme="minorHAnsi" w:hAnsiTheme="minorHAnsi" w:cs="Arial"/>
          <w:sz w:val="24"/>
          <w:szCs w:val="24"/>
        </w:rPr>
        <w:t>addressing issues that are truly global in nature feeding back to national interests (disease origination and transmission, environmental refugees, climate instability, etc.)</w:t>
      </w:r>
    </w:p>
    <w:p w14:paraId="26F92861" w14:textId="1CC91E2B" w:rsidR="00F57C3D" w:rsidRDefault="00F57C3D" w:rsidP="00BF1084">
      <w:pPr>
        <w:pStyle w:val="ListParagraph"/>
        <w:numPr>
          <w:ilvl w:val="0"/>
          <w:numId w:val="25"/>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Working with developing countries and indigenous people</w:t>
      </w:r>
      <w:r w:rsidR="00B61AF4">
        <w:rPr>
          <w:rFonts w:asciiTheme="minorHAnsi" w:hAnsiTheme="minorHAnsi" w:cs="Arial"/>
          <w:sz w:val="24"/>
          <w:szCs w:val="24"/>
        </w:rPr>
        <w:t>s</w:t>
      </w:r>
      <w:r w:rsidRPr="00D31F3A">
        <w:rPr>
          <w:rFonts w:asciiTheme="minorHAnsi" w:hAnsiTheme="minorHAnsi" w:cs="Arial"/>
          <w:sz w:val="24"/>
          <w:szCs w:val="24"/>
        </w:rPr>
        <w:t xml:space="preserve"> to further integrate and embed traditional/lay and ‘scientific’ knowledge in ecosystem-based approaches. </w:t>
      </w:r>
    </w:p>
    <w:p w14:paraId="3556D6AB" w14:textId="77777777" w:rsidR="00FC7283" w:rsidRPr="00FC7283" w:rsidRDefault="00FC7283" w:rsidP="00FC7283">
      <w:pPr>
        <w:spacing w:line="276" w:lineRule="auto"/>
        <w:ind w:right="-188"/>
        <w:rPr>
          <w:rFonts w:cs="Arial"/>
          <w:sz w:val="24"/>
          <w:szCs w:val="24"/>
        </w:rPr>
      </w:pPr>
    </w:p>
    <w:p w14:paraId="63654EEB" w14:textId="66A6E0F2" w:rsidR="00F57C3D" w:rsidRPr="00D31F3A" w:rsidRDefault="00F57C3D" w:rsidP="00D31F3A">
      <w:pPr>
        <w:spacing w:before="240" w:line="276" w:lineRule="auto"/>
        <w:ind w:right="-188"/>
        <w:rPr>
          <w:b/>
          <w:i/>
          <w:sz w:val="24"/>
          <w:szCs w:val="24"/>
        </w:rPr>
      </w:pPr>
      <w:bookmarkStart w:id="16" w:name="_Toc36225717"/>
      <w:r w:rsidRPr="00D31F3A">
        <w:rPr>
          <w:b/>
          <w:sz w:val="24"/>
          <w:szCs w:val="24"/>
        </w:rPr>
        <w:t>3.12</w:t>
      </w:r>
      <w:r w:rsidRPr="00D31F3A">
        <w:rPr>
          <w:b/>
          <w:i/>
          <w:sz w:val="24"/>
          <w:szCs w:val="24"/>
        </w:rPr>
        <w:t xml:space="preserve"> The defence sector</w:t>
      </w:r>
      <w:bookmarkEnd w:id="16"/>
    </w:p>
    <w:p w14:paraId="409172D3" w14:textId="43E3FD29" w:rsidR="00F57C3D" w:rsidRPr="00D31F3A" w:rsidRDefault="00F57C3D" w:rsidP="00D31F3A">
      <w:pPr>
        <w:spacing w:line="276" w:lineRule="auto"/>
        <w:ind w:right="-188"/>
        <w:rPr>
          <w:rFonts w:cs="Arial"/>
          <w:sz w:val="24"/>
          <w:szCs w:val="24"/>
        </w:rPr>
      </w:pPr>
      <w:r w:rsidRPr="00D31F3A">
        <w:rPr>
          <w:rFonts w:cs="Arial"/>
          <w:color w:val="000000" w:themeColor="text1"/>
          <w:sz w:val="24"/>
          <w:szCs w:val="24"/>
        </w:rPr>
        <w:t xml:space="preserve">There is </w:t>
      </w:r>
      <w:r w:rsidR="008A3676">
        <w:rPr>
          <w:rFonts w:cs="Arial"/>
          <w:color w:val="000000" w:themeColor="text1"/>
          <w:sz w:val="24"/>
          <w:szCs w:val="24"/>
        </w:rPr>
        <w:t xml:space="preserve">strong and growing </w:t>
      </w:r>
      <w:r w:rsidRPr="00D31F3A">
        <w:rPr>
          <w:rFonts w:cs="Arial"/>
          <w:color w:val="000000" w:themeColor="text1"/>
          <w:sz w:val="24"/>
          <w:szCs w:val="24"/>
        </w:rPr>
        <w:t xml:space="preserve">evidence globally about the central role of ecosystem security in peace-keeping and peace-making.  Actionable </w:t>
      </w:r>
      <w:r w:rsidRPr="00D31F3A">
        <w:rPr>
          <w:rFonts w:cs="Arial"/>
          <w:sz w:val="24"/>
          <w:szCs w:val="24"/>
        </w:rPr>
        <w:t>outcomes identified include:</w:t>
      </w:r>
    </w:p>
    <w:p w14:paraId="26EEE03F" w14:textId="25EC4A6B" w:rsidR="00F57C3D" w:rsidRPr="00D31F3A" w:rsidRDefault="00F57C3D" w:rsidP="00BF1084">
      <w:pPr>
        <w:pStyle w:val="ListParagraph"/>
        <w:numPr>
          <w:ilvl w:val="0"/>
          <w:numId w:val="26"/>
        </w:numPr>
        <w:spacing w:line="276" w:lineRule="auto"/>
        <w:ind w:left="567" w:right="-188"/>
        <w:rPr>
          <w:rFonts w:asciiTheme="minorHAnsi" w:hAnsiTheme="minorHAnsi" w:cs="Arial"/>
          <w:color w:val="000000" w:themeColor="text1"/>
          <w:sz w:val="24"/>
          <w:szCs w:val="24"/>
        </w:rPr>
      </w:pPr>
      <w:r w:rsidRPr="00D31F3A">
        <w:rPr>
          <w:rFonts w:asciiTheme="minorHAnsi" w:hAnsiTheme="minorHAnsi" w:cs="Arial"/>
          <w:sz w:val="24"/>
          <w:szCs w:val="24"/>
        </w:rPr>
        <w:t xml:space="preserve">Drawing on analyses </w:t>
      </w:r>
      <w:r w:rsidR="009435AF">
        <w:rPr>
          <w:rFonts w:asciiTheme="minorHAnsi" w:hAnsiTheme="minorHAnsi" w:cs="Arial"/>
          <w:sz w:val="24"/>
          <w:szCs w:val="24"/>
        </w:rPr>
        <w:t xml:space="preserve">within the defence sector </w:t>
      </w:r>
      <w:r w:rsidRPr="00D31F3A">
        <w:rPr>
          <w:rFonts w:asciiTheme="minorHAnsi" w:hAnsiTheme="minorHAnsi" w:cs="Arial"/>
          <w:sz w:val="24"/>
          <w:szCs w:val="24"/>
        </w:rPr>
        <w:t>of global strategic trends (</w:t>
      </w:r>
      <w:r w:rsidRPr="00D31F3A">
        <w:rPr>
          <w:rFonts w:asciiTheme="minorHAnsi" w:hAnsiTheme="minorHAnsi" w:cstheme="minorHAnsi"/>
          <w:sz w:val="24"/>
          <w:szCs w:val="24"/>
        </w:rPr>
        <w:t>MoD, 2018; NIC, 2017</w:t>
      </w:r>
      <w:r w:rsidR="00362F36" w:rsidRPr="00D31F3A">
        <w:rPr>
          <w:rFonts w:asciiTheme="minorHAnsi" w:hAnsiTheme="minorHAnsi" w:cstheme="minorHAnsi"/>
          <w:sz w:val="24"/>
          <w:szCs w:val="24"/>
        </w:rPr>
        <w:t>)</w:t>
      </w:r>
      <w:r w:rsidRPr="00D31F3A">
        <w:rPr>
          <w:rFonts w:asciiTheme="minorHAnsi" w:hAnsiTheme="minorHAnsi" w:cstheme="minorHAnsi"/>
          <w:sz w:val="24"/>
          <w:szCs w:val="24"/>
        </w:rPr>
        <w:t xml:space="preserve"> </w:t>
      </w:r>
      <w:r w:rsidRPr="00D31F3A">
        <w:rPr>
          <w:rFonts w:asciiTheme="minorHAnsi" w:hAnsiTheme="minorHAnsi" w:cs="Arial"/>
          <w:sz w:val="24"/>
          <w:szCs w:val="24"/>
        </w:rPr>
        <w:t xml:space="preserve">to highlight and underline the security and </w:t>
      </w:r>
      <w:r w:rsidR="007F319F" w:rsidRPr="00D31F3A">
        <w:rPr>
          <w:rFonts w:asciiTheme="minorHAnsi" w:hAnsiTheme="minorHAnsi" w:cs="Arial"/>
          <w:sz w:val="24"/>
          <w:szCs w:val="24"/>
        </w:rPr>
        <w:t>defence implications of sustainable versus unsustainable use</w:t>
      </w:r>
      <w:r w:rsidR="007F319F">
        <w:rPr>
          <w:rFonts w:asciiTheme="minorHAnsi" w:hAnsiTheme="minorHAnsi" w:cs="Arial"/>
          <w:sz w:val="24"/>
          <w:szCs w:val="24"/>
        </w:rPr>
        <w:t>s</w:t>
      </w:r>
      <w:r w:rsidR="007F319F" w:rsidRPr="00D31F3A">
        <w:rPr>
          <w:rFonts w:asciiTheme="minorHAnsi" w:hAnsiTheme="minorHAnsi" w:cs="Arial"/>
          <w:sz w:val="24"/>
          <w:szCs w:val="24"/>
        </w:rPr>
        <w:t xml:space="preserve"> of natural resources, emphasising the central importance of ecosystems </w:t>
      </w:r>
      <w:r w:rsidR="007F319F">
        <w:rPr>
          <w:rFonts w:asciiTheme="minorHAnsi" w:hAnsiTheme="minorHAnsi" w:cs="Arial"/>
          <w:sz w:val="24"/>
          <w:szCs w:val="24"/>
        </w:rPr>
        <w:t>and a supportive natural environment in maintaining stability and peace</w:t>
      </w:r>
      <w:r w:rsidRPr="00D31F3A">
        <w:rPr>
          <w:rFonts w:asciiTheme="minorHAnsi" w:hAnsiTheme="minorHAnsi" w:cs="Arial"/>
          <w:sz w:val="24"/>
          <w:szCs w:val="24"/>
        </w:rPr>
        <w:t>.</w:t>
      </w:r>
    </w:p>
    <w:p w14:paraId="351D9153" w14:textId="5B6A325D" w:rsidR="00F57C3D" w:rsidRDefault="00F57C3D" w:rsidP="00BF1084">
      <w:pPr>
        <w:pStyle w:val="ListParagraph"/>
        <w:numPr>
          <w:ilvl w:val="0"/>
          <w:numId w:val="26"/>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Link</w:t>
      </w:r>
      <w:r w:rsidR="00FC7283">
        <w:rPr>
          <w:rFonts w:asciiTheme="minorHAnsi" w:hAnsiTheme="minorHAnsi" w:cs="Arial"/>
          <w:sz w:val="24"/>
          <w:szCs w:val="24"/>
        </w:rPr>
        <w:t>ing</w:t>
      </w:r>
      <w:r w:rsidRPr="00D31F3A">
        <w:rPr>
          <w:rFonts w:asciiTheme="minorHAnsi" w:hAnsiTheme="minorHAnsi" w:cs="Arial"/>
          <w:sz w:val="24"/>
          <w:szCs w:val="24"/>
        </w:rPr>
        <w:t xml:space="preserve"> ecosystem-based thinking </w:t>
      </w:r>
      <w:r w:rsidR="00FC7283">
        <w:rPr>
          <w:rFonts w:asciiTheme="minorHAnsi" w:hAnsiTheme="minorHAnsi" w:cs="Arial"/>
          <w:sz w:val="24"/>
          <w:szCs w:val="24"/>
        </w:rPr>
        <w:t xml:space="preserve">and the importance of ecosystem </w:t>
      </w:r>
      <w:r w:rsidR="00FC7283" w:rsidRPr="00D31F3A">
        <w:rPr>
          <w:rFonts w:asciiTheme="minorHAnsi" w:hAnsiTheme="minorHAnsi" w:cs="Arial"/>
          <w:sz w:val="24"/>
          <w:szCs w:val="24"/>
        </w:rPr>
        <w:t xml:space="preserve">protection and </w:t>
      </w:r>
      <w:r w:rsidR="007F319F" w:rsidRPr="00D31F3A">
        <w:rPr>
          <w:rFonts w:asciiTheme="minorHAnsi" w:hAnsiTheme="minorHAnsi" w:cs="Arial"/>
          <w:sz w:val="24"/>
          <w:szCs w:val="24"/>
        </w:rPr>
        <w:t xml:space="preserve">enhancement with wider consideration of ‘critical infrastructure’, </w:t>
      </w:r>
      <w:r w:rsidR="007F319F">
        <w:rPr>
          <w:rFonts w:asciiTheme="minorHAnsi" w:hAnsiTheme="minorHAnsi" w:cs="Arial"/>
          <w:sz w:val="24"/>
          <w:szCs w:val="24"/>
        </w:rPr>
        <w:t xml:space="preserve">including for </w:t>
      </w:r>
      <w:r w:rsidR="007F319F" w:rsidRPr="00D31F3A">
        <w:rPr>
          <w:rFonts w:asciiTheme="minorHAnsi" w:hAnsiTheme="minorHAnsi" w:cs="Arial"/>
          <w:sz w:val="24"/>
          <w:szCs w:val="24"/>
        </w:rPr>
        <w:t>disaster risk reduction (for example under the Sendai Framework</w:t>
      </w:r>
      <w:r w:rsidR="007F319F">
        <w:rPr>
          <w:rFonts w:asciiTheme="minorHAnsi" w:hAnsiTheme="minorHAnsi"/>
          <w:sz w:val="24"/>
          <w:szCs w:val="24"/>
        </w:rPr>
        <w:t xml:space="preserve">: </w:t>
      </w:r>
      <w:r w:rsidR="007F319F" w:rsidRPr="00D31F3A">
        <w:rPr>
          <w:rFonts w:asciiTheme="minorHAnsi" w:hAnsiTheme="minorHAnsi"/>
          <w:sz w:val="24"/>
          <w:szCs w:val="24"/>
        </w:rPr>
        <w:t>UNDRR, 2020</w:t>
      </w:r>
      <w:r w:rsidR="007F319F" w:rsidRPr="00D31F3A">
        <w:rPr>
          <w:rFonts w:asciiTheme="minorHAnsi" w:hAnsiTheme="minorHAnsi" w:cs="Arial"/>
          <w:sz w:val="24"/>
          <w:szCs w:val="24"/>
        </w:rPr>
        <w:t>)</w:t>
      </w:r>
      <w:r w:rsidR="007F319F">
        <w:rPr>
          <w:rFonts w:asciiTheme="minorHAnsi" w:hAnsiTheme="minorHAnsi" w:cs="Arial"/>
          <w:sz w:val="24"/>
          <w:szCs w:val="24"/>
        </w:rPr>
        <w:t xml:space="preserve"> and</w:t>
      </w:r>
      <w:r w:rsidR="007F319F" w:rsidRPr="00D31F3A">
        <w:rPr>
          <w:rFonts w:asciiTheme="minorHAnsi" w:hAnsiTheme="minorHAnsi" w:cs="Arial"/>
          <w:sz w:val="24"/>
          <w:szCs w:val="24"/>
        </w:rPr>
        <w:t xml:space="preserve"> civil protection</w:t>
      </w:r>
      <w:r w:rsidR="007F319F">
        <w:rPr>
          <w:rFonts w:asciiTheme="minorHAnsi" w:hAnsiTheme="minorHAnsi" w:cs="Arial"/>
          <w:sz w:val="24"/>
          <w:szCs w:val="24"/>
        </w:rPr>
        <w:t>, preparedness</w:t>
      </w:r>
      <w:r w:rsidR="007F319F" w:rsidRPr="00D31F3A">
        <w:rPr>
          <w:rFonts w:asciiTheme="minorHAnsi" w:hAnsiTheme="minorHAnsi" w:cs="Arial"/>
          <w:sz w:val="24"/>
          <w:szCs w:val="24"/>
        </w:rPr>
        <w:t xml:space="preserve"> and resilience</w:t>
      </w:r>
      <w:r w:rsidRPr="00D31F3A">
        <w:rPr>
          <w:rFonts w:asciiTheme="minorHAnsi" w:hAnsiTheme="minorHAnsi" w:cs="Arial"/>
          <w:sz w:val="24"/>
          <w:szCs w:val="24"/>
        </w:rPr>
        <w:t xml:space="preserve"> (</w:t>
      </w:r>
      <w:r w:rsidRPr="00D31F3A">
        <w:rPr>
          <w:rFonts w:asciiTheme="minorHAnsi" w:hAnsiTheme="minorHAnsi" w:cstheme="minorHAnsi"/>
          <w:sz w:val="24"/>
          <w:szCs w:val="24"/>
        </w:rPr>
        <w:t>Cabinet Office, 2008)</w:t>
      </w:r>
      <w:r w:rsidRPr="00D31F3A">
        <w:rPr>
          <w:rFonts w:asciiTheme="minorHAnsi" w:hAnsiTheme="minorHAnsi" w:cs="Arial"/>
          <w:sz w:val="24"/>
          <w:szCs w:val="24"/>
        </w:rPr>
        <w:t>.</w:t>
      </w:r>
    </w:p>
    <w:p w14:paraId="62F90DDB" w14:textId="1ABD0403" w:rsidR="004C769A" w:rsidRDefault="004C769A" w:rsidP="00BF1084">
      <w:pPr>
        <w:pStyle w:val="ListParagraph"/>
        <w:numPr>
          <w:ilvl w:val="0"/>
          <w:numId w:val="26"/>
        </w:numPr>
        <w:spacing w:line="276" w:lineRule="auto"/>
        <w:ind w:left="567" w:right="-188"/>
        <w:rPr>
          <w:rFonts w:asciiTheme="minorHAnsi" w:hAnsiTheme="minorHAnsi" w:cs="Arial"/>
          <w:sz w:val="24"/>
          <w:szCs w:val="24"/>
        </w:rPr>
      </w:pPr>
      <w:r>
        <w:rPr>
          <w:rFonts w:asciiTheme="minorHAnsi" w:hAnsiTheme="minorHAnsi" w:cs="Arial"/>
          <w:sz w:val="24"/>
          <w:szCs w:val="24"/>
        </w:rPr>
        <w:t xml:space="preserve">Management of often large defence sector estates to promote biodiversity </w:t>
      </w:r>
      <w:r w:rsidR="00C411F9">
        <w:rPr>
          <w:rFonts w:asciiTheme="minorHAnsi" w:hAnsiTheme="minorHAnsi" w:cs="Arial"/>
          <w:sz w:val="24"/>
          <w:szCs w:val="24"/>
        </w:rPr>
        <w:t xml:space="preserve">(Lawrence </w:t>
      </w:r>
      <w:r w:rsidR="00C411F9" w:rsidRPr="00C411F9">
        <w:rPr>
          <w:rFonts w:asciiTheme="minorHAnsi" w:hAnsiTheme="minorHAnsi" w:cs="Arial"/>
          <w:i/>
          <w:sz w:val="24"/>
          <w:szCs w:val="24"/>
        </w:rPr>
        <w:t>et al</w:t>
      </w:r>
      <w:r w:rsidR="00C411F9">
        <w:rPr>
          <w:rFonts w:asciiTheme="minorHAnsi" w:hAnsiTheme="minorHAnsi" w:cs="Arial"/>
          <w:sz w:val="24"/>
          <w:szCs w:val="24"/>
        </w:rPr>
        <w:t>., 2015)</w:t>
      </w:r>
      <w:r w:rsidR="009435AF">
        <w:rPr>
          <w:rFonts w:asciiTheme="minorHAnsi" w:hAnsiTheme="minorHAnsi" w:cs="Arial"/>
          <w:sz w:val="24"/>
          <w:szCs w:val="24"/>
        </w:rPr>
        <w:t xml:space="preserve"> and its associated wide-scale delivery of ecosystem service benefits such as water storage and purification, erosion regulation and carbon storage.</w:t>
      </w:r>
    </w:p>
    <w:p w14:paraId="7AFECF75" w14:textId="77777777" w:rsidR="00FC7283" w:rsidRPr="00FC7283" w:rsidRDefault="00FC7283" w:rsidP="00FC7283">
      <w:pPr>
        <w:spacing w:line="276" w:lineRule="auto"/>
        <w:ind w:right="-188"/>
        <w:rPr>
          <w:rFonts w:cs="Arial"/>
          <w:sz w:val="24"/>
          <w:szCs w:val="24"/>
        </w:rPr>
      </w:pPr>
    </w:p>
    <w:p w14:paraId="6CB2B1FA" w14:textId="1332351A" w:rsidR="00F57C3D" w:rsidRPr="00D31F3A" w:rsidRDefault="00F57C3D" w:rsidP="00D31F3A">
      <w:pPr>
        <w:spacing w:before="120" w:line="276" w:lineRule="auto"/>
        <w:ind w:right="-188"/>
        <w:rPr>
          <w:b/>
          <w:sz w:val="24"/>
          <w:szCs w:val="24"/>
        </w:rPr>
      </w:pPr>
      <w:bookmarkStart w:id="17" w:name="_Toc36225718"/>
      <w:r w:rsidRPr="00D31F3A">
        <w:rPr>
          <w:b/>
          <w:sz w:val="24"/>
          <w:szCs w:val="24"/>
        </w:rPr>
        <w:t xml:space="preserve">3.13 </w:t>
      </w:r>
      <w:r w:rsidRPr="00D31F3A">
        <w:rPr>
          <w:b/>
          <w:i/>
          <w:sz w:val="24"/>
          <w:szCs w:val="24"/>
        </w:rPr>
        <w:t>The foreign policy sector</w:t>
      </w:r>
      <w:bookmarkEnd w:id="17"/>
    </w:p>
    <w:p w14:paraId="1E62AC7F" w14:textId="164ED86A" w:rsidR="00F57C3D" w:rsidRPr="00D31F3A" w:rsidRDefault="00FC7283" w:rsidP="00D31F3A">
      <w:pPr>
        <w:spacing w:line="276" w:lineRule="auto"/>
        <w:ind w:right="-188"/>
        <w:rPr>
          <w:rFonts w:cs="Arial"/>
          <w:sz w:val="24"/>
          <w:szCs w:val="24"/>
        </w:rPr>
      </w:pPr>
      <w:r>
        <w:rPr>
          <w:rFonts w:cs="Arial"/>
          <w:color w:val="000000" w:themeColor="text1"/>
          <w:sz w:val="24"/>
          <w:szCs w:val="24"/>
        </w:rPr>
        <w:t>M</w:t>
      </w:r>
      <w:r w:rsidRPr="00D31F3A">
        <w:rPr>
          <w:rFonts w:cs="Arial"/>
          <w:color w:val="000000" w:themeColor="text1"/>
          <w:sz w:val="24"/>
          <w:szCs w:val="24"/>
        </w:rPr>
        <w:t>any problems are global in nature</w:t>
      </w:r>
      <w:r>
        <w:rPr>
          <w:rFonts w:cs="Arial"/>
          <w:color w:val="000000" w:themeColor="text1"/>
          <w:sz w:val="24"/>
          <w:szCs w:val="24"/>
        </w:rPr>
        <w:t xml:space="preserve">, </w:t>
      </w:r>
      <w:r w:rsidR="008A3676">
        <w:rPr>
          <w:rFonts w:cs="Arial"/>
          <w:color w:val="000000" w:themeColor="text1"/>
          <w:sz w:val="24"/>
          <w:szCs w:val="24"/>
        </w:rPr>
        <w:t xml:space="preserve">and are best addressed on a global scale.  This is </w:t>
      </w:r>
      <w:r w:rsidR="00F57C3D" w:rsidRPr="00D31F3A">
        <w:rPr>
          <w:rFonts w:cs="Arial"/>
          <w:color w:val="000000" w:themeColor="text1"/>
          <w:sz w:val="24"/>
          <w:szCs w:val="24"/>
        </w:rPr>
        <w:t xml:space="preserve">amply demonstrated by </w:t>
      </w:r>
      <w:r w:rsidR="008A3676">
        <w:rPr>
          <w:rFonts w:cs="Arial"/>
          <w:color w:val="000000" w:themeColor="text1"/>
          <w:sz w:val="24"/>
          <w:szCs w:val="24"/>
        </w:rPr>
        <w:t xml:space="preserve">the </w:t>
      </w:r>
      <w:r>
        <w:rPr>
          <w:rFonts w:cs="Arial"/>
          <w:color w:val="000000" w:themeColor="text1"/>
          <w:sz w:val="24"/>
          <w:szCs w:val="24"/>
        </w:rPr>
        <w:t xml:space="preserve">origination and </w:t>
      </w:r>
      <w:r w:rsidR="00F57C3D" w:rsidRPr="00D31F3A">
        <w:rPr>
          <w:rFonts w:cs="Arial"/>
          <w:color w:val="000000" w:themeColor="text1"/>
          <w:sz w:val="24"/>
          <w:szCs w:val="24"/>
        </w:rPr>
        <w:t>transmission</w:t>
      </w:r>
      <w:r w:rsidR="008A3676">
        <w:rPr>
          <w:rFonts w:cs="Arial"/>
          <w:color w:val="000000" w:themeColor="text1"/>
          <w:sz w:val="24"/>
          <w:szCs w:val="24"/>
        </w:rPr>
        <w:t xml:space="preserve"> of </w:t>
      </w:r>
      <w:r w:rsidR="008A3676" w:rsidRPr="00D31F3A">
        <w:rPr>
          <w:rFonts w:cs="Arial"/>
          <w:color w:val="000000" w:themeColor="text1"/>
          <w:sz w:val="24"/>
          <w:szCs w:val="24"/>
        </w:rPr>
        <w:t>pandemics and other novel disease</w:t>
      </w:r>
      <w:r w:rsidR="008A3676">
        <w:rPr>
          <w:rFonts w:cs="Arial"/>
          <w:color w:val="000000" w:themeColor="text1"/>
          <w:sz w:val="24"/>
          <w:szCs w:val="24"/>
        </w:rPr>
        <w:t>s</w:t>
      </w:r>
      <w:r w:rsidR="00F57C3D" w:rsidRPr="00D31F3A">
        <w:rPr>
          <w:rFonts w:cs="Arial"/>
          <w:color w:val="000000" w:themeColor="text1"/>
          <w:sz w:val="24"/>
          <w:szCs w:val="24"/>
        </w:rPr>
        <w:t xml:space="preserve">, disasters causing global and regional recessions, refugee flows and other forms of instability.  Actionable foreign policy </w:t>
      </w:r>
      <w:r w:rsidR="00F57C3D" w:rsidRPr="00D31F3A">
        <w:rPr>
          <w:rFonts w:cs="Arial"/>
          <w:sz w:val="24"/>
          <w:szCs w:val="24"/>
        </w:rPr>
        <w:t>outcomes include:</w:t>
      </w:r>
    </w:p>
    <w:p w14:paraId="4A805489" w14:textId="6A463BAE" w:rsidR="00F57C3D" w:rsidRPr="00D31F3A" w:rsidRDefault="00F57C3D" w:rsidP="00BF1084">
      <w:pPr>
        <w:pStyle w:val="ListParagraph"/>
        <w:numPr>
          <w:ilvl w:val="0"/>
          <w:numId w:val="27"/>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Influenc</w:t>
      </w:r>
      <w:r w:rsidR="00FC7283">
        <w:rPr>
          <w:rFonts w:asciiTheme="minorHAnsi" w:hAnsiTheme="minorHAnsi" w:cs="Arial"/>
          <w:sz w:val="24"/>
          <w:szCs w:val="24"/>
        </w:rPr>
        <w:t>ing</w:t>
      </w:r>
      <w:r w:rsidRPr="00D31F3A">
        <w:rPr>
          <w:rFonts w:asciiTheme="minorHAnsi" w:hAnsiTheme="minorHAnsi" w:cs="Arial"/>
          <w:sz w:val="24"/>
          <w:szCs w:val="24"/>
        </w:rPr>
        <w:t xml:space="preserve"> foreign and international governments and institutions concerning the necessity for, and means to, transition </w:t>
      </w:r>
      <w:r w:rsidR="00FC7283">
        <w:rPr>
          <w:rFonts w:asciiTheme="minorHAnsi" w:hAnsiTheme="minorHAnsi" w:cs="Arial"/>
          <w:sz w:val="24"/>
          <w:szCs w:val="24"/>
        </w:rPr>
        <w:t xml:space="preserve">in </w:t>
      </w:r>
      <w:r w:rsidRPr="00D31F3A">
        <w:rPr>
          <w:rFonts w:asciiTheme="minorHAnsi" w:hAnsiTheme="minorHAnsi" w:cs="Arial"/>
          <w:sz w:val="24"/>
          <w:szCs w:val="24"/>
        </w:rPr>
        <w:t>trade and policy founded on a regenerative approach safeguarding or rebuilding supporting ecosystems as a basis for security and progress</w:t>
      </w:r>
      <w:r w:rsidR="008139F8">
        <w:rPr>
          <w:rFonts w:asciiTheme="minorHAnsi" w:hAnsiTheme="minorHAnsi" w:cs="Arial"/>
          <w:sz w:val="24"/>
          <w:szCs w:val="24"/>
        </w:rPr>
        <w:t>.</w:t>
      </w:r>
    </w:p>
    <w:p w14:paraId="3837E1CA" w14:textId="49C92773" w:rsidR="00F57C3D" w:rsidRPr="00D31F3A" w:rsidRDefault="00F57C3D" w:rsidP="00BF1084">
      <w:pPr>
        <w:pStyle w:val="ListParagraph"/>
        <w:numPr>
          <w:ilvl w:val="0"/>
          <w:numId w:val="27"/>
        </w:numPr>
        <w:spacing w:line="276" w:lineRule="auto"/>
        <w:ind w:left="567" w:right="-188"/>
        <w:rPr>
          <w:rFonts w:asciiTheme="minorHAnsi" w:hAnsiTheme="minorHAnsi" w:cs="Arial"/>
          <w:sz w:val="24"/>
          <w:szCs w:val="24"/>
        </w:rPr>
      </w:pPr>
      <w:r w:rsidRPr="00D31F3A">
        <w:rPr>
          <w:rFonts w:asciiTheme="minorHAnsi" w:hAnsiTheme="minorHAnsi" w:cs="Arial"/>
          <w:sz w:val="24"/>
          <w:szCs w:val="24"/>
        </w:rPr>
        <w:t>Promot</w:t>
      </w:r>
      <w:r w:rsidR="009435AF">
        <w:rPr>
          <w:rFonts w:asciiTheme="minorHAnsi" w:hAnsiTheme="minorHAnsi" w:cs="Arial"/>
          <w:sz w:val="24"/>
          <w:szCs w:val="24"/>
        </w:rPr>
        <w:t>ing</w:t>
      </w:r>
      <w:r w:rsidRPr="00D31F3A">
        <w:rPr>
          <w:rFonts w:asciiTheme="minorHAnsi" w:hAnsiTheme="minorHAnsi" w:cs="Arial"/>
          <w:sz w:val="24"/>
          <w:szCs w:val="24"/>
        </w:rPr>
        <w:t xml:space="preserve"> ethically and ecologically neutral or restorative principles for the progressive reshaping of international trade </w:t>
      </w:r>
      <w:r w:rsidR="009435AF">
        <w:rPr>
          <w:rFonts w:asciiTheme="minorHAnsi" w:hAnsiTheme="minorHAnsi" w:cs="Arial"/>
          <w:sz w:val="24"/>
          <w:szCs w:val="24"/>
        </w:rPr>
        <w:t>protocols currently favouring neoliberal economic principles, such as World Trade Organisation rules, to better account for systemic ramifications for long-term stability, equity and linked ecosystem service benefits</w:t>
      </w:r>
      <w:r w:rsidRPr="00D31F3A">
        <w:rPr>
          <w:rFonts w:asciiTheme="minorHAnsi" w:hAnsiTheme="minorHAnsi" w:cs="Arial"/>
          <w:sz w:val="24"/>
          <w:szCs w:val="24"/>
        </w:rPr>
        <w:t>.</w:t>
      </w:r>
    </w:p>
    <w:p w14:paraId="52DDC9F0" w14:textId="5F3EFB44" w:rsidR="00F57C3D" w:rsidRPr="00FC7283" w:rsidRDefault="007F319F" w:rsidP="00BF1084">
      <w:pPr>
        <w:pStyle w:val="ListParagraph"/>
        <w:numPr>
          <w:ilvl w:val="0"/>
          <w:numId w:val="27"/>
        </w:numPr>
        <w:spacing w:line="276" w:lineRule="auto"/>
        <w:ind w:left="567" w:right="-188"/>
        <w:rPr>
          <w:rFonts w:asciiTheme="minorHAnsi" w:hAnsiTheme="minorHAnsi" w:cs="Arial"/>
          <w:color w:val="000000" w:themeColor="text1"/>
          <w:sz w:val="24"/>
          <w:szCs w:val="24"/>
        </w:rPr>
      </w:pPr>
      <w:r>
        <w:rPr>
          <w:rFonts w:asciiTheme="minorHAnsi" w:hAnsiTheme="minorHAnsi" w:cs="Arial"/>
          <w:sz w:val="24"/>
          <w:szCs w:val="24"/>
        </w:rPr>
        <w:t>Support</w:t>
      </w:r>
      <w:r w:rsidR="009435AF">
        <w:rPr>
          <w:rFonts w:asciiTheme="minorHAnsi" w:hAnsiTheme="minorHAnsi" w:cs="Arial"/>
          <w:sz w:val="24"/>
          <w:szCs w:val="24"/>
        </w:rPr>
        <w:t>ing</w:t>
      </w:r>
      <w:r w:rsidRPr="00D31F3A">
        <w:rPr>
          <w:rFonts w:asciiTheme="minorHAnsi" w:hAnsiTheme="minorHAnsi" w:cs="Arial"/>
          <w:sz w:val="24"/>
          <w:szCs w:val="24"/>
        </w:rPr>
        <w:t xml:space="preserve"> actionable outcomes for </w:t>
      </w:r>
      <w:r>
        <w:rPr>
          <w:rFonts w:asciiTheme="minorHAnsi" w:hAnsiTheme="minorHAnsi" w:cs="Arial"/>
          <w:sz w:val="24"/>
          <w:szCs w:val="24"/>
        </w:rPr>
        <w:t xml:space="preserve">the </w:t>
      </w:r>
      <w:r w:rsidRPr="00D31F3A">
        <w:rPr>
          <w:rFonts w:asciiTheme="minorHAnsi" w:hAnsiTheme="minorHAnsi" w:cs="Arial"/>
          <w:sz w:val="24"/>
          <w:szCs w:val="24"/>
        </w:rPr>
        <w:t>‘i</w:t>
      </w:r>
      <w:r w:rsidRPr="00D31F3A">
        <w:rPr>
          <w:rFonts w:asciiTheme="minorHAnsi" w:hAnsiTheme="minorHAnsi"/>
          <w:sz w:val="24"/>
          <w:szCs w:val="24"/>
        </w:rPr>
        <w:t xml:space="preserve">nternational development’ and ‘defence’ sectors above </w:t>
      </w:r>
      <w:r>
        <w:rPr>
          <w:rFonts w:asciiTheme="minorHAnsi" w:hAnsiTheme="minorHAnsi"/>
          <w:sz w:val="24"/>
          <w:szCs w:val="24"/>
        </w:rPr>
        <w:t>in</w:t>
      </w:r>
      <w:r w:rsidRPr="00D31F3A">
        <w:rPr>
          <w:rFonts w:asciiTheme="minorHAnsi" w:hAnsiTheme="minorHAnsi"/>
          <w:sz w:val="24"/>
          <w:szCs w:val="24"/>
        </w:rPr>
        <w:t xml:space="preserve"> wider international</w:t>
      </w:r>
      <w:r w:rsidR="00F57C3D" w:rsidRPr="00D31F3A">
        <w:rPr>
          <w:rFonts w:asciiTheme="minorHAnsi" w:hAnsiTheme="minorHAnsi"/>
          <w:sz w:val="24"/>
          <w:szCs w:val="24"/>
        </w:rPr>
        <w:t xml:space="preserve"> </w:t>
      </w:r>
      <w:r w:rsidR="009435AF">
        <w:rPr>
          <w:rFonts w:asciiTheme="minorHAnsi" w:hAnsiTheme="minorHAnsi"/>
          <w:sz w:val="24"/>
          <w:szCs w:val="24"/>
        </w:rPr>
        <w:t>and intergovernmental policy-influencing activities</w:t>
      </w:r>
      <w:r w:rsidR="00F57C3D" w:rsidRPr="00D31F3A">
        <w:rPr>
          <w:rFonts w:asciiTheme="minorHAnsi" w:hAnsiTheme="minorHAnsi"/>
          <w:sz w:val="24"/>
          <w:szCs w:val="24"/>
        </w:rPr>
        <w:t>.</w:t>
      </w:r>
    </w:p>
    <w:p w14:paraId="6F3E13C6" w14:textId="77777777" w:rsidR="00FC7283" w:rsidRPr="00FC7283" w:rsidRDefault="00FC7283" w:rsidP="00FC7283">
      <w:pPr>
        <w:spacing w:line="276" w:lineRule="auto"/>
        <w:ind w:right="-188"/>
        <w:rPr>
          <w:rFonts w:cs="Arial"/>
          <w:color w:val="000000" w:themeColor="text1"/>
          <w:sz w:val="24"/>
          <w:szCs w:val="24"/>
        </w:rPr>
      </w:pPr>
    </w:p>
    <w:p w14:paraId="02069D4F" w14:textId="1419B1CD" w:rsidR="00F57C3D" w:rsidRPr="00D31F3A" w:rsidRDefault="00F57C3D" w:rsidP="00D31F3A">
      <w:pPr>
        <w:spacing w:before="120" w:line="276" w:lineRule="auto"/>
        <w:ind w:right="-188"/>
        <w:rPr>
          <w:b/>
          <w:sz w:val="24"/>
          <w:szCs w:val="24"/>
        </w:rPr>
      </w:pPr>
      <w:bookmarkStart w:id="18" w:name="_Toc36225719"/>
      <w:r w:rsidRPr="00D31F3A">
        <w:rPr>
          <w:b/>
          <w:sz w:val="24"/>
          <w:szCs w:val="24"/>
        </w:rPr>
        <w:t xml:space="preserve">3.14 </w:t>
      </w:r>
      <w:r w:rsidRPr="00D31F3A">
        <w:rPr>
          <w:b/>
          <w:i/>
          <w:sz w:val="24"/>
          <w:szCs w:val="24"/>
        </w:rPr>
        <w:t>The research, innovation and education sector</w:t>
      </w:r>
      <w:bookmarkEnd w:id="18"/>
    </w:p>
    <w:p w14:paraId="52CD9F3D" w14:textId="16CD7F6F" w:rsidR="00F57C3D" w:rsidRPr="00D31F3A" w:rsidRDefault="00F57C3D" w:rsidP="00D31F3A">
      <w:pPr>
        <w:spacing w:line="276" w:lineRule="auto"/>
        <w:ind w:right="-188"/>
        <w:rPr>
          <w:rFonts w:cs="Arial"/>
          <w:color w:val="FF0000"/>
          <w:sz w:val="24"/>
          <w:szCs w:val="24"/>
        </w:rPr>
      </w:pPr>
      <w:r w:rsidRPr="00D31F3A">
        <w:rPr>
          <w:rFonts w:cs="Arial"/>
          <w:color w:val="000000" w:themeColor="text1"/>
          <w:sz w:val="24"/>
          <w:szCs w:val="24"/>
        </w:rPr>
        <w:t>It is widely recognised globally that research, innovation and education are central to developing and implementing approaches to tackle sustainability challenges</w:t>
      </w:r>
      <w:r w:rsidRPr="00D31F3A">
        <w:rPr>
          <w:sz w:val="24"/>
          <w:szCs w:val="24"/>
        </w:rPr>
        <w:t xml:space="preserve"> (UN, 2020)</w:t>
      </w:r>
      <w:r w:rsidRPr="00D31F3A">
        <w:rPr>
          <w:rFonts w:cs="Arial"/>
          <w:color w:val="000000" w:themeColor="text1"/>
          <w:sz w:val="24"/>
          <w:szCs w:val="24"/>
        </w:rPr>
        <w:t xml:space="preserve">.  Actionable </w:t>
      </w:r>
      <w:r w:rsidRPr="00D31F3A">
        <w:rPr>
          <w:rFonts w:cs="Arial"/>
          <w:sz w:val="24"/>
          <w:szCs w:val="24"/>
        </w:rPr>
        <w:t>outcomes include:</w:t>
      </w:r>
    </w:p>
    <w:p w14:paraId="3562C234" w14:textId="2671BD02" w:rsidR="00F57C3D" w:rsidRPr="00D31F3A" w:rsidRDefault="00F57C3D" w:rsidP="00BF1084">
      <w:pPr>
        <w:pStyle w:val="ListParagraph"/>
        <w:numPr>
          <w:ilvl w:val="0"/>
          <w:numId w:val="28"/>
        </w:numPr>
        <w:spacing w:line="276" w:lineRule="auto"/>
        <w:ind w:left="567" w:right="-188"/>
        <w:rPr>
          <w:rFonts w:asciiTheme="minorHAnsi" w:hAnsiTheme="minorHAnsi" w:cs="Times New Roman"/>
          <w:sz w:val="24"/>
          <w:szCs w:val="24"/>
        </w:rPr>
      </w:pPr>
      <w:r w:rsidRPr="00D31F3A">
        <w:rPr>
          <w:rFonts w:asciiTheme="minorHAnsi" w:hAnsiTheme="minorHAnsi" w:cstheme="minorHAnsi"/>
          <w:sz w:val="24"/>
          <w:szCs w:val="24"/>
        </w:rPr>
        <w:t>Embedding sustainability as a key driver of policies and mechanisms in research, innovation and learning and as a basis for the evaluation of research outcomes</w:t>
      </w:r>
      <w:r w:rsidR="00560D5C">
        <w:rPr>
          <w:rFonts w:asciiTheme="minorHAnsi" w:hAnsiTheme="minorHAnsi" w:cstheme="minorHAnsi"/>
          <w:sz w:val="24"/>
          <w:szCs w:val="24"/>
        </w:rPr>
        <w:t xml:space="preserve"> and impact</w:t>
      </w:r>
      <w:r w:rsidRPr="00D31F3A">
        <w:rPr>
          <w:rFonts w:asciiTheme="minorHAnsi" w:hAnsiTheme="minorHAnsi" w:cstheme="minorHAnsi"/>
          <w:sz w:val="24"/>
          <w:szCs w:val="24"/>
        </w:rPr>
        <w:t xml:space="preserve">.  </w:t>
      </w:r>
    </w:p>
    <w:p w14:paraId="28C1039B" w14:textId="3FFA1557" w:rsidR="00F57C3D" w:rsidRPr="00D31F3A" w:rsidRDefault="00F57C3D" w:rsidP="00BF1084">
      <w:pPr>
        <w:pStyle w:val="ListParagraph"/>
        <w:numPr>
          <w:ilvl w:val="0"/>
          <w:numId w:val="28"/>
        </w:numPr>
        <w:spacing w:line="276" w:lineRule="auto"/>
        <w:ind w:left="567" w:right="-188"/>
        <w:rPr>
          <w:rFonts w:asciiTheme="minorHAnsi" w:hAnsiTheme="minorHAnsi"/>
          <w:sz w:val="24"/>
          <w:szCs w:val="24"/>
        </w:rPr>
      </w:pPr>
      <w:r w:rsidRPr="00D31F3A">
        <w:rPr>
          <w:rFonts w:asciiTheme="minorHAnsi" w:hAnsiTheme="minorHAnsi" w:cstheme="minorHAnsi"/>
          <w:sz w:val="24"/>
          <w:szCs w:val="24"/>
        </w:rPr>
        <w:t xml:space="preserve">Increasing focus and expenditure on research, innovation and learning based on developing systemic approaches to sustainability challenges, drawing on and integrating different forms of knowledge, </w:t>
      </w:r>
      <w:r w:rsidR="00560D5C">
        <w:rPr>
          <w:rFonts w:asciiTheme="minorHAnsi" w:hAnsiTheme="minorHAnsi" w:cstheme="minorHAnsi"/>
          <w:sz w:val="24"/>
          <w:szCs w:val="24"/>
        </w:rPr>
        <w:t>t</w:t>
      </w:r>
      <w:r w:rsidRPr="00D31F3A">
        <w:rPr>
          <w:rFonts w:asciiTheme="minorHAnsi" w:hAnsiTheme="minorHAnsi" w:cstheme="minorHAnsi"/>
          <w:sz w:val="24"/>
          <w:szCs w:val="24"/>
        </w:rPr>
        <w:t>o support coherent policy and decision-making.</w:t>
      </w:r>
    </w:p>
    <w:p w14:paraId="0FB42C6D" w14:textId="0C9631AF" w:rsidR="00F57C3D" w:rsidRPr="00D31F3A" w:rsidRDefault="00F57C3D" w:rsidP="00BF1084">
      <w:pPr>
        <w:pStyle w:val="ListParagraph"/>
        <w:numPr>
          <w:ilvl w:val="0"/>
          <w:numId w:val="28"/>
        </w:numPr>
        <w:spacing w:line="276" w:lineRule="auto"/>
        <w:ind w:left="567" w:right="-188"/>
        <w:rPr>
          <w:rFonts w:asciiTheme="minorHAnsi" w:hAnsiTheme="minorHAnsi"/>
          <w:sz w:val="24"/>
          <w:szCs w:val="24"/>
        </w:rPr>
      </w:pPr>
      <w:r w:rsidRPr="00D31F3A">
        <w:rPr>
          <w:rFonts w:asciiTheme="minorHAnsi" w:hAnsiTheme="minorHAnsi" w:cstheme="minorHAnsi"/>
          <w:sz w:val="24"/>
          <w:szCs w:val="24"/>
        </w:rPr>
        <w:t>Develop</w:t>
      </w:r>
      <w:r w:rsidR="00560D5C">
        <w:rPr>
          <w:rFonts w:asciiTheme="minorHAnsi" w:hAnsiTheme="minorHAnsi" w:cstheme="minorHAnsi"/>
          <w:sz w:val="24"/>
          <w:szCs w:val="24"/>
        </w:rPr>
        <w:t>ing</w:t>
      </w:r>
      <w:r w:rsidRPr="00D31F3A">
        <w:rPr>
          <w:rFonts w:asciiTheme="minorHAnsi" w:hAnsiTheme="minorHAnsi" w:cstheme="minorHAnsi"/>
          <w:sz w:val="24"/>
          <w:szCs w:val="24"/>
        </w:rPr>
        <w:t xml:space="preserve"> actionable, solution</w:t>
      </w:r>
      <w:r w:rsidR="00560D5C">
        <w:rPr>
          <w:rFonts w:asciiTheme="minorHAnsi" w:hAnsiTheme="minorHAnsi" w:cstheme="minorHAnsi"/>
          <w:sz w:val="24"/>
          <w:szCs w:val="24"/>
        </w:rPr>
        <w:t>s</w:t>
      </w:r>
      <w:r w:rsidRPr="00D31F3A">
        <w:rPr>
          <w:rFonts w:asciiTheme="minorHAnsi" w:hAnsiTheme="minorHAnsi" w:cstheme="minorHAnsi"/>
          <w:sz w:val="24"/>
          <w:szCs w:val="24"/>
        </w:rPr>
        <w:t>-oriented evidence about how to promote pathways from ecosystem processes through services into multi-beneficial outcomes, including inclusive cost-benefit analyses, to support more systemic political and business decision-making.</w:t>
      </w:r>
    </w:p>
    <w:p w14:paraId="0E190048" w14:textId="43613A24" w:rsidR="00F57C3D" w:rsidRPr="00FC7283" w:rsidRDefault="00F57C3D" w:rsidP="00BF1084">
      <w:pPr>
        <w:pStyle w:val="ListParagraph"/>
        <w:numPr>
          <w:ilvl w:val="0"/>
          <w:numId w:val="28"/>
        </w:numPr>
        <w:spacing w:line="276" w:lineRule="auto"/>
        <w:ind w:left="567" w:right="-188"/>
        <w:rPr>
          <w:rFonts w:asciiTheme="minorHAnsi" w:hAnsiTheme="minorHAnsi"/>
          <w:sz w:val="24"/>
          <w:szCs w:val="24"/>
        </w:rPr>
      </w:pPr>
      <w:r w:rsidRPr="00D31F3A">
        <w:rPr>
          <w:rFonts w:asciiTheme="minorHAnsi" w:hAnsiTheme="minorHAnsi" w:cs="Arial"/>
          <w:sz w:val="24"/>
          <w:szCs w:val="24"/>
        </w:rPr>
        <w:t>Incentivis</w:t>
      </w:r>
      <w:r w:rsidR="00560D5C">
        <w:rPr>
          <w:rFonts w:asciiTheme="minorHAnsi" w:hAnsiTheme="minorHAnsi" w:cs="Arial"/>
          <w:sz w:val="24"/>
          <w:szCs w:val="24"/>
        </w:rPr>
        <w:t>ing</w:t>
      </w:r>
      <w:r w:rsidRPr="00D31F3A">
        <w:rPr>
          <w:rFonts w:asciiTheme="minorHAnsi" w:hAnsiTheme="minorHAnsi" w:cs="Arial"/>
          <w:sz w:val="24"/>
          <w:szCs w:val="24"/>
        </w:rPr>
        <w:t xml:space="preserve"> researchers, innovators and educators to work with policy and decision-makers to co-create methodologies and tools to explicitly link across policy areas, making clear the value of and implications for (for example) ecosystem health for human health in ecosystem use, management, policies and actions.</w:t>
      </w:r>
    </w:p>
    <w:p w14:paraId="48899C71" w14:textId="77777777" w:rsidR="00FC7283" w:rsidRPr="00FC7283" w:rsidRDefault="00FC7283" w:rsidP="00FC7283">
      <w:pPr>
        <w:spacing w:line="276" w:lineRule="auto"/>
        <w:ind w:right="-188"/>
        <w:rPr>
          <w:sz w:val="24"/>
          <w:szCs w:val="24"/>
        </w:rPr>
      </w:pPr>
    </w:p>
    <w:p w14:paraId="76CB16C9" w14:textId="46B8F867" w:rsidR="00F57C3D" w:rsidRPr="00D31F3A" w:rsidRDefault="00F57C3D" w:rsidP="00D31F3A">
      <w:pPr>
        <w:spacing w:before="120" w:line="276" w:lineRule="auto"/>
        <w:ind w:right="-188"/>
        <w:rPr>
          <w:rFonts w:cstheme="minorHAnsi"/>
          <w:b/>
          <w:i/>
          <w:sz w:val="24"/>
          <w:szCs w:val="24"/>
        </w:rPr>
      </w:pPr>
      <w:bookmarkStart w:id="19" w:name="_Toc36225720"/>
      <w:r w:rsidRPr="00D31F3A">
        <w:rPr>
          <w:b/>
          <w:sz w:val="24"/>
          <w:szCs w:val="24"/>
        </w:rPr>
        <w:t>3.15</w:t>
      </w:r>
      <w:r w:rsidRPr="00D31F3A">
        <w:rPr>
          <w:b/>
          <w:i/>
          <w:sz w:val="24"/>
          <w:szCs w:val="24"/>
        </w:rPr>
        <w:t xml:space="preserve"> Systemic connections across </w:t>
      </w:r>
      <w:r w:rsidRPr="00D31F3A">
        <w:rPr>
          <w:rFonts w:cstheme="minorHAnsi"/>
          <w:b/>
          <w:i/>
          <w:sz w:val="24"/>
          <w:szCs w:val="24"/>
        </w:rPr>
        <w:t>policy areas</w:t>
      </w:r>
      <w:bookmarkEnd w:id="19"/>
    </w:p>
    <w:p w14:paraId="68362011" w14:textId="71A034F7" w:rsidR="00F57C3D" w:rsidRPr="00D31F3A" w:rsidRDefault="00F57C3D" w:rsidP="00C15124">
      <w:pPr>
        <w:spacing w:line="276" w:lineRule="auto"/>
        <w:ind w:right="-188"/>
        <w:rPr>
          <w:rFonts w:cstheme="minorHAnsi"/>
          <w:sz w:val="24"/>
          <w:szCs w:val="24"/>
        </w:rPr>
      </w:pPr>
      <w:r w:rsidRPr="00D31F3A">
        <w:rPr>
          <w:rFonts w:cstheme="minorHAnsi"/>
          <w:sz w:val="24"/>
          <w:szCs w:val="24"/>
        </w:rPr>
        <w:t>The above considerations, stratified by distinct policy areas</w:t>
      </w:r>
      <w:r w:rsidR="00560D5C">
        <w:rPr>
          <w:rFonts w:cstheme="minorHAnsi"/>
          <w:sz w:val="24"/>
          <w:szCs w:val="24"/>
        </w:rPr>
        <w:t xml:space="preserve"> typically </w:t>
      </w:r>
      <w:r w:rsidR="00845C22">
        <w:rPr>
          <w:rFonts w:cstheme="minorHAnsi"/>
          <w:sz w:val="24"/>
          <w:szCs w:val="24"/>
        </w:rPr>
        <w:t xml:space="preserve">reflected in the segregation of </w:t>
      </w:r>
      <w:r w:rsidR="00560D5C">
        <w:rPr>
          <w:rFonts w:cstheme="minorHAnsi"/>
          <w:sz w:val="24"/>
          <w:szCs w:val="24"/>
        </w:rPr>
        <w:t>government departments</w:t>
      </w:r>
      <w:r w:rsidRPr="00D31F3A">
        <w:rPr>
          <w:rFonts w:cstheme="minorHAnsi"/>
          <w:sz w:val="24"/>
          <w:szCs w:val="24"/>
        </w:rPr>
        <w:t xml:space="preserve">, highlight both the need and opportunities for these sectors to take actions to regenerate ecosystems </w:t>
      </w:r>
      <w:r w:rsidR="00BE5B34">
        <w:rPr>
          <w:rFonts w:cstheme="minorHAnsi"/>
          <w:sz w:val="24"/>
          <w:szCs w:val="24"/>
        </w:rPr>
        <w:t xml:space="preserve">as </w:t>
      </w:r>
      <w:r w:rsidR="00E80175">
        <w:rPr>
          <w:rFonts w:cstheme="minorHAnsi"/>
          <w:sz w:val="24"/>
          <w:szCs w:val="24"/>
        </w:rPr>
        <w:t xml:space="preserve">vital underpinning resources </w:t>
      </w:r>
      <w:r w:rsidRPr="00D31F3A">
        <w:rPr>
          <w:rFonts w:cstheme="minorHAnsi"/>
          <w:sz w:val="24"/>
          <w:szCs w:val="24"/>
        </w:rPr>
        <w:t xml:space="preserve">and thus </w:t>
      </w:r>
      <w:r w:rsidR="00E80175">
        <w:rPr>
          <w:rFonts w:cstheme="minorHAnsi"/>
          <w:sz w:val="24"/>
          <w:szCs w:val="24"/>
        </w:rPr>
        <w:t xml:space="preserve">to </w:t>
      </w:r>
      <w:r w:rsidRPr="00D31F3A">
        <w:rPr>
          <w:rFonts w:cstheme="minorHAnsi"/>
          <w:sz w:val="24"/>
          <w:szCs w:val="24"/>
        </w:rPr>
        <w:t>drive transitions towards sustainability</w:t>
      </w:r>
      <w:r w:rsidR="00E80175">
        <w:rPr>
          <w:rFonts w:cstheme="minorHAnsi"/>
          <w:sz w:val="24"/>
          <w:szCs w:val="24"/>
        </w:rPr>
        <w:t xml:space="preserve"> through the embedding of their values</w:t>
      </w:r>
      <w:r w:rsidRPr="00D31F3A">
        <w:rPr>
          <w:rFonts w:cstheme="minorHAnsi"/>
          <w:sz w:val="24"/>
          <w:szCs w:val="24"/>
        </w:rPr>
        <w:t xml:space="preserve">.  </w:t>
      </w:r>
      <w:r w:rsidR="007F319F" w:rsidRPr="00D31F3A">
        <w:rPr>
          <w:rFonts w:cstheme="minorHAnsi"/>
          <w:sz w:val="24"/>
          <w:szCs w:val="24"/>
        </w:rPr>
        <w:t>However,</w:t>
      </w:r>
      <w:r w:rsidR="0089486E" w:rsidRPr="0089486E">
        <w:t xml:space="preserve"> </w:t>
      </w:r>
      <w:r w:rsidR="0089486E" w:rsidRPr="0089486E">
        <w:rPr>
          <w:rFonts w:cstheme="minorHAnsi"/>
          <w:sz w:val="24"/>
          <w:szCs w:val="24"/>
        </w:rPr>
        <w:t xml:space="preserve">as described </w:t>
      </w:r>
      <w:r w:rsidR="0089486E">
        <w:rPr>
          <w:rFonts w:cstheme="minorHAnsi"/>
          <w:sz w:val="24"/>
          <w:szCs w:val="24"/>
        </w:rPr>
        <w:t>previously</w:t>
      </w:r>
      <w:r w:rsidR="0089486E" w:rsidRPr="0089486E">
        <w:rPr>
          <w:rFonts w:cstheme="minorHAnsi"/>
          <w:sz w:val="24"/>
          <w:szCs w:val="24"/>
        </w:rPr>
        <w:t>,</w:t>
      </w:r>
      <w:r w:rsidR="0089486E">
        <w:rPr>
          <w:rFonts w:cstheme="minorHAnsi"/>
          <w:sz w:val="24"/>
          <w:szCs w:val="24"/>
        </w:rPr>
        <w:t xml:space="preserve"> </w:t>
      </w:r>
      <w:r w:rsidR="007F319F">
        <w:rPr>
          <w:rFonts w:cstheme="minorHAnsi"/>
          <w:sz w:val="24"/>
          <w:szCs w:val="24"/>
        </w:rPr>
        <w:t>it is clear</w:t>
      </w:r>
      <w:r w:rsidR="007F319F" w:rsidRPr="00D31F3A">
        <w:rPr>
          <w:rFonts w:cstheme="minorHAnsi"/>
          <w:sz w:val="24"/>
          <w:szCs w:val="24"/>
        </w:rPr>
        <w:t xml:space="preserve"> </w:t>
      </w:r>
      <w:r w:rsidR="007F319F">
        <w:rPr>
          <w:rFonts w:cstheme="minorHAnsi"/>
          <w:sz w:val="24"/>
          <w:szCs w:val="24"/>
        </w:rPr>
        <w:t xml:space="preserve">that many </w:t>
      </w:r>
      <w:r w:rsidR="007F319F" w:rsidRPr="00D31F3A">
        <w:rPr>
          <w:rFonts w:cstheme="minorHAnsi"/>
          <w:sz w:val="24"/>
          <w:szCs w:val="24"/>
        </w:rPr>
        <w:t xml:space="preserve">issues span traditional </w:t>
      </w:r>
      <w:r w:rsidRPr="00D31F3A">
        <w:rPr>
          <w:rFonts w:cstheme="minorHAnsi"/>
          <w:sz w:val="24"/>
          <w:szCs w:val="24"/>
        </w:rPr>
        <w:t xml:space="preserve">policy areas.  </w:t>
      </w:r>
      <w:r w:rsidR="00C15124">
        <w:rPr>
          <w:rFonts w:cstheme="minorHAnsi"/>
          <w:sz w:val="24"/>
          <w:szCs w:val="24"/>
        </w:rPr>
        <w:t>This has spurred recent attempts to take a more holistic systems or ‘nexus’ approach to managing ecosystems and natural resources.  In 2019, IPBES (</w:t>
      </w:r>
      <w:r w:rsidR="00C15124" w:rsidRPr="00C15124">
        <w:rPr>
          <w:rFonts w:cstheme="minorHAnsi"/>
          <w:sz w:val="24"/>
          <w:szCs w:val="24"/>
        </w:rPr>
        <w:t>Intergovernmental Science-Policy</w:t>
      </w:r>
      <w:r w:rsidR="00C15124">
        <w:rPr>
          <w:rFonts w:cstheme="minorHAnsi"/>
          <w:sz w:val="24"/>
          <w:szCs w:val="24"/>
        </w:rPr>
        <w:t xml:space="preserve"> </w:t>
      </w:r>
      <w:r w:rsidR="00C15124" w:rsidRPr="00C15124">
        <w:rPr>
          <w:rFonts w:cstheme="minorHAnsi"/>
          <w:sz w:val="24"/>
          <w:szCs w:val="24"/>
        </w:rPr>
        <w:t>Platform on Biodiversity and</w:t>
      </w:r>
      <w:r w:rsidR="00C15124">
        <w:rPr>
          <w:rFonts w:cstheme="minorHAnsi"/>
          <w:sz w:val="24"/>
          <w:szCs w:val="24"/>
        </w:rPr>
        <w:t xml:space="preserve"> </w:t>
      </w:r>
      <w:r w:rsidR="00C15124" w:rsidRPr="00C15124">
        <w:rPr>
          <w:rFonts w:cstheme="minorHAnsi"/>
          <w:sz w:val="24"/>
          <w:szCs w:val="24"/>
        </w:rPr>
        <w:t>Ecosystem Services</w:t>
      </w:r>
      <w:r w:rsidR="00C15124">
        <w:rPr>
          <w:rFonts w:cstheme="minorHAnsi"/>
          <w:sz w:val="24"/>
          <w:szCs w:val="24"/>
        </w:rPr>
        <w:t>) announced two new assessments related to this to be carried out as part of its work programme up to 2030.  These are the so-called ‘nexus’ a</w:t>
      </w:r>
      <w:r w:rsidR="00D815C0">
        <w:rPr>
          <w:rFonts w:cstheme="minorHAnsi"/>
          <w:sz w:val="24"/>
          <w:szCs w:val="24"/>
        </w:rPr>
        <w:t>n</w:t>
      </w:r>
      <w:r w:rsidR="00C15124">
        <w:rPr>
          <w:rFonts w:cstheme="minorHAnsi"/>
          <w:sz w:val="24"/>
          <w:szCs w:val="24"/>
        </w:rPr>
        <w:t>d ‘Transformative Change’ assessments (IPBES, 2019).</w:t>
      </w:r>
    </w:p>
    <w:p w14:paraId="09246DC2" w14:textId="4F4B6128" w:rsidR="00A25124" w:rsidRPr="00A25124" w:rsidRDefault="00A25124" w:rsidP="00A25124">
      <w:pPr>
        <w:spacing w:after="0" w:line="276" w:lineRule="auto"/>
        <w:ind w:right="-188"/>
        <w:rPr>
          <w:rFonts w:cstheme="minorHAnsi"/>
          <w:sz w:val="24"/>
          <w:szCs w:val="24"/>
        </w:rPr>
      </w:pPr>
      <w:r>
        <w:rPr>
          <w:rFonts w:cstheme="minorHAnsi"/>
          <w:sz w:val="24"/>
          <w:szCs w:val="24"/>
        </w:rPr>
        <w:t>A key aspect of taking a ‘systems’ approach is to recognise the centrality of values and hence the need to seek out understanding of the diversity of perspectives and considerations that are important to different stakeholders and communities.  This is embedded in the Convention on Biological Diversity and manifest in its guidance on the Ecosystem Approach.  Here, the rationale for the Ecosystem Approach makes clear that “</w:t>
      </w:r>
      <w:r w:rsidR="003D092B">
        <w:rPr>
          <w:rFonts w:cstheme="minorHAnsi"/>
          <w:sz w:val="24"/>
          <w:szCs w:val="24"/>
        </w:rPr>
        <w:t>…</w:t>
      </w:r>
      <w:r>
        <w:rPr>
          <w:rFonts w:cstheme="minorHAnsi"/>
          <w:sz w:val="24"/>
          <w:szCs w:val="24"/>
        </w:rPr>
        <w:t>e</w:t>
      </w:r>
      <w:r w:rsidRPr="00A25124">
        <w:rPr>
          <w:rFonts w:cstheme="minorHAnsi"/>
          <w:sz w:val="24"/>
          <w:szCs w:val="24"/>
        </w:rPr>
        <w:t>cosystems should be managed for their intrinsic values and for the tangible or intangible benefits for</w:t>
      </w:r>
    </w:p>
    <w:p w14:paraId="4621B246" w14:textId="19DB240F" w:rsidR="00A25124" w:rsidRDefault="00A25124" w:rsidP="00D815C0">
      <w:pPr>
        <w:spacing w:line="276" w:lineRule="auto"/>
        <w:ind w:right="-187"/>
        <w:rPr>
          <w:rFonts w:cstheme="minorHAnsi"/>
          <w:sz w:val="24"/>
          <w:szCs w:val="24"/>
        </w:rPr>
      </w:pPr>
      <w:r w:rsidRPr="00A25124">
        <w:rPr>
          <w:rFonts w:cstheme="minorHAnsi"/>
          <w:sz w:val="24"/>
          <w:szCs w:val="24"/>
        </w:rPr>
        <w:t>humans, in a fair and equitable way</w:t>
      </w:r>
      <w:r>
        <w:rPr>
          <w:rFonts w:cstheme="minorHAnsi"/>
          <w:sz w:val="24"/>
          <w:szCs w:val="24"/>
        </w:rPr>
        <w:t>” (Secretariat of the Convention on Biological Diversity, 2004).</w:t>
      </w:r>
    </w:p>
    <w:p w14:paraId="39EBC53C" w14:textId="21422016" w:rsidR="00735E67" w:rsidRDefault="00560D5C" w:rsidP="0054093E">
      <w:pPr>
        <w:spacing w:after="0" w:line="276" w:lineRule="auto"/>
        <w:ind w:right="-188"/>
        <w:rPr>
          <w:rFonts w:cstheme="minorHAnsi"/>
          <w:sz w:val="24"/>
          <w:szCs w:val="24"/>
        </w:rPr>
      </w:pPr>
      <w:r>
        <w:rPr>
          <w:rFonts w:cstheme="minorHAnsi"/>
          <w:sz w:val="24"/>
          <w:szCs w:val="24"/>
        </w:rPr>
        <w:t xml:space="preserve">There are already </w:t>
      </w:r>
      <w:r w:rsidR="00735E67">
        <w:rPr>
          <w:rFonts w:cstheme="minorHAnsi"/>
          <w:sz w:val="24"/>
          <w:szCs w:val="24"/>
        </w:rPr>
        <w:t xml:space="preserve">multiple </w:t>
      </w:r>
      <w:r w:rsidR="00F57C3D" w:rsidRPr="00D31F3A">
        <w:rPr>
          <w:rFonts w:cstheme="minorHAnsi"/>
          <w:sz w:val="24"/>
          <w:szCs w:val="24"/>
        </w:rPr>
        <w:t xml:space="preserve">agreements </w:t>
      </w:r>
      <w:r>
        <w:rPr>
          <w:rFonts w:cstheme="minorHAnsi"/>
          <w:sz w:val="24"/>
          <w:szCs w:val="24"/>
        </w:rPr>
        <w:t xml:space="preserve">pertaining to the embedding of the diverse values of ecosystems into the mainstream of policy development and implementation.  Internationally, these include </w:t>
      </w:r>
      <w:r w:rsidR="00F57C3D" w:rsidRPr="00D31F3A">
        <w:rPr>
          <w:rFonts w:cstheme="minorHAnsi"/>
          <w:sz w:val="24"/>
          <w:szCs w:val="24"/>
        </w:rPr>
        <w:t xml:space="preserve">acceptance of the 1987 </w:t>
      </w:r>
      <w:r w:rsidR="00E80175">
        <w:rPr>
          <w:rFonts w:cstheme="minorHAnsi"/>
          <w:sz w:val="24"/>
          <w:szCs w:val="24"/>
        </w:rPr>
        <w:t xml:space="preserve">report of the </w:t>
      </w:r>
      <w:r w:rsidR="00F57C3D" w:rsidRPr="00D31F3A">
        <w:rPr>
          <w:sz w:val="24"/>
          <w:szCs w:val="24"/>
        </w:rPr>
        <w:t xml:space="preserve">Brundtland Commission </w:t>
      </w:r>
      <w:r w:rsidR="00F57C3D" w:rsidRPr="00D31F3A">
        <w:rPr>
          <w:rFonts w:cstheme="minorHAnsi"/>
          <w:sz w:val="24"/>
          <w:szCs w:val="24"/>
        </w:rPr>
        <w:t>(WCED, 1987)</w:t>
      </w:r>
      <w:r w:rsidR="00F57C3D" w:rsidRPr="00D31F3A">
        <w:rPr>
          <w:sz w:val="24"/>
          <w:szCs w:val="24"/>
        </w:rPr>
        <w:t xml:space="preserve"> and the Convention on Biological Diversity</w:t>
      </w:r>
      <w:r>
        <w:rPr>
          <w:sz w:val="24"/>
          <w:szCs w:val="24"/>
        </w:rPr>
        <w:t xml:space="preserve"> (1992)</w:t>
      </w:r>
      <w:r w:rsidR="00F57C3D" w:rsidRPr="00D31F3A">
        <w:rPr>
          <w:sz w:val="24"/>
          <w:szCs w:val="24"/>
        </w:rPr>
        <w:t xml:space="preserve">, </w:t>
      </w:r>
      <w:r>
        <w:rPr>
          <w:sz w:val="24"/>
          <w:szCs w:val="24"/>
        </w:rPr>
        <w:t xml:space="preserve">and ratification of treaties such as the Ramsar Convention (1971).  National examples include the </w:t>
      </w:r>
      <w:r w:rsidR="00F57C3D" w:rsidRPr="00D31F3A">
        <w:rPr>
          <w:sz w:val="24"/>
          <w:szCs w:val="24"/>
        </w:rPr>
        <w:t xml:space="preserve">UK’s </w:t>
      </w:r>
      <w:r w:rsidR="00F57C3D" w:rsidRPr="00D31F3A">
        <w:rPr>
          <w:rFonts w:cstheme="minorHAnsi"/>
          <w:sz w:val="24"/>
          <w:szCs w:val="24"/>
        </w:rPr>
        <w:t>25-year Environment Plan (HM Government, 2017) and the 2011 Natural Environment White Paper</w:t>
      </w:r>
      <w:r w:rsidR="00F57C3D" w:rsidRPr="00D31F3A">
        <w:rPr>
          <w:rFonts w:cstheme="minorHAnsi"/>
          <w:i/>
          <w:sz w:val="24"/>
          <w:szCs w:val="24"/>
        </w:rPr>
        <w:t xml:space="preserve"> </w:t>
      </w:r>
      <w:r w:rsidR="00F57C3D" w:rsidRPr="00D31F3A">
        <w:rPr>
          <w:rFonts w:cstheme="minorHAnsi"/>
          <w:sz w:val="24"/>
          <w:szCs w:val="24"/>
        </w:rPr>
        <w:t>(HM Government, 2011)</w:t>
      </w:r>
      <w:r>
        <w:rPr>
          <w:rFonts w:cstheme="minorHAnsi"/>
          <w:sz w:val="24"/>
          <w:szCs w:val="24"/>
        </w:rPr>
        <w:t>,</w:t>
      </w:r>
      <w:r w:rsidR="00F57C3D" w:rsidRPr="00D31F3A">
        <w:rPr>
          <w:rFonts w:cstheme="minorHAnsi"/>
          <w:sz w:val="24"/>
          <w:szCs w:val="24"/>
        </w:rPr>
        <w:t xml:space="preserve"> </w:t>
      </w:r>
      <w:r>
        <w:rPr>
          <w:rFonts w:cstheme="minorHAnsi"/>
          <w:sz w:val="24"/>
          <w:szCs w:val="24"/>
        </w:rPr>
        <w:t xml:space="preserve">the latter </w:t>
      </w:r>
      <w:r w:rsidR="00F57C3D" w:rsidRPr="00D31F3A">
        <w:rPr>
          <w:rFonts w:cstheme="minorHAnsi"/>
          <w:sz w:val="24"/>
          <w:szCs w:val="24"/>
        </w:rPr>
        <w:t>set</w:t>
      </w:r>
      <w:r>
        <w:rPr>
          <w:rFonts w:cstheme="minorHAnsi"/>
          <w:sz w:val="24"/>
          <w:szCs w:val="24"/>
        </w:rPr>
        <w:t>ting</w:t>
      </w:r>
      <w:r w:rsidR="00F57C3D" w:rsidRPr="00D31F3A">
        <w:rPr>
          <w:rFonts w:cstheme="minorHAnsi"/>
          <w:sz w:val="24"/>
          <w:szCs w:val="24"/>
        </w:rPr>
        <w:t xml:space="preserve"> out aspirations to recognise the multiple values of nature and to bring them into the mainstream across societal interest areas, including as higher-level guidance for interpretation and contextualisation of often narrowly framed former regulations and legislation.</w:t>
      </w:r>
    </w:p>
    <w:p w14:paraId="11A06066" w14:textId="77777777" w:rsidR="00735E67" w:rsidRDefault="00735E67" w:rsidP="0054093E">
      <w:pPr>
        <w:spacing w:after="0" w:line="276" w:lineRule="auto"/>
        <w:ind w:right="-188"/>
        <w:rPr>
          <w:rFonts w:cstheme="minorHAnsi"/>
          <w:sz w:val="24"/>
          <w:szCs w:val="24"/>
        </w:rPr>
      </w:pPr>
    </w:p>
    <w:p w14:paraId="40E6ADA9" w14:textId="1FA7CED7" w:rsidR="00E37CE0" w:rsidRPr="00E37CE0" w:rsidRDefault="00F57C3D" w:rsidP="0054093E">
      <w:pPr>
        <w:spacing w:after="0" w:line="276" w:lineRule="auto"/>
        <w:ind w:right="-188"/>
        <w:rPr>
          <w:sz w:val="24"/>
          <w:szCs w:val="24"/>
        </w:rPr>
      </w:pPr>
      <w:r w:rsidRPr="00D31F3A">
        <w:rPr>
          <w:rFonts w:cstheme="minorHAnsi"/>
          <w:sz w:val="24"/>
          <w:szCs w:val="24"/>
        </w:rPr>
        <w:t>Workable decision</w:t>
      </w:r>
      <w:r w:rsidR="00845C22">
        <w:rPr>
          <w:rFonts w:cstheme="minorHAnsi"/>
          <w:sz w:val="24"/>
          <w:szCs w:val="24"/>
        </w:rPr>
        <w:t>-</w:t>
      </w:r>
      <w:r w:rsidRPr="00D31F3A">
        <w:rPr>
          <w:rFonts w:cstheme="minorHAnsi"/>
          <w:sz w:val="24"/>
          <w:szCs w:val="24"/>
        </w:rPr>
        <w:t xml:space="preserve">support frameworks have been developed to guide decision-making </w:t>
      </w:r>
      <w:r w:rsidR="00735E67">
        <w:rPr>
          <w:rFonts w:cstheme="minorHAnsi"/>
          <w:sz w:val="24"/>
          <w:szCs w:val="24"/>
        </w:rPr>
        <w:t xml:space="preserve">that is </w:t>
      </w:r>
      <w:r w:rsidRPr="00D31F3A">
        <w:rPr>
          <w:rFonts w:cstheme="minorHAnsi"/>
          <w:sz w:val="24"/>
          <w:szCs w:val="24"/>
        </w:rPr>
        <w:t xml:space="preserve">better informed by </w:t>
      </w:r>
      <w:r w:rsidR="00845C22">
        <w:rPr>
          <w:rFonts w:cstheme="minorHAnsi"/>
          <w:sz w:val="24"/>
          <w:szCs w:val="24"/>
        </w:rPr>
        <w:t xml:space="preserve">the roles and values of ecosystems and </w:t>
      </w:r>
      <w:r w:rsidRPr="00D31F3A">
        <w:rPr>
          <w:rFonts w:cstheme="minorHAnsi"/>
          <w:sz w:val="24"/>
          <w:szCs w:val="24"/>
        </w:rPr>
        <w:t>cross-disciplinary synergies across policy and interest areas</w:t>
      </w:r>
      <w:r w:rsidR="00362F36" w:rsidRPr="00D31F3A">
        <w:rPr>
          <w:rFonts w:cstheme="minorHAnsi"/>
          <w:sz w:val="24"/>
          <w:szCs w:val="24"/>
        </w:rPr>
        <w:t xml:space="preserve"> </w:t>
      </w:r>
      <w:r w:rsidRPr="00D31F3A">
        <w:rPr>
          <w:rFonts w:cstheme="minorHAnsi"/>
          <w:sz w:val="24"/>
          <w:szCs w:val="24"/>
        </w:rPr>
        <w:t>(e.g. Everard 2016; 2020</w:t>
      </w:r>
      <w:r w:rsidR="00D815C0">
        <w:rPr>
          <w:rFonts w:cstheme="minorHAnsi"/>
          <w:sz w:val="24"/>
          <w:szCs w:val="24"/>
        </w:rPr>
        <w:t>a</w:t>
      </w:r>
      <w:r w:rsidRPr="00D31F3A">
        <w:rPr>
          <w:rFonts w:cstheme="minorHAnsi"/>
          <w:sz w:val="24"/>
          <w:szCs w:val="24"/>
        </w:rPr>
        <w:t xml:space="preserve">).  However, the cross-policy area transition has been slow to emerge despite </w:t>
      </w:r>
      <w:r w:rsidR="00560D5C">
        <w:rPr>
          <w:rFonts w:cstheme="minorHAnsi"/>
          <w:sz w:val="24"/>
          <w:szCs w:val="24"/>
        </w:rPr>
        <w:t xml:space="preserve">the increasing relevance and validity of these </w:t>
      </w:r>
      <w:r w:rsidRPr="00D31F3A">
        <w:rPr>
          <w:rFonts w:cstheme="minorHAnsi"/>
          <w:sz w:val="24"/>
          <w:szCs w:val="24"/>
        </w:rPr>
        <w:t xml:space="preserve">visions and commitments.  A diversity of frameworks can and should be used to guide, and ideally structure the enforcement of, cross-departmental interest </w:t>
      </w:r>
      <w:r w:rsidR="00560D5C">
        <w:rPr>
          <w:rFonts w:cstheme="minorHAnsi"/>
          <w:sz w:val="24"/>
          <w:szCs w:val="24"/>
        </w:rPr>
        <w:t xml:space="preserve">and </w:t>
      </w:r>
      <w:r w:rsidRPr="00D31F3A">
        <w:rPr>
          <w:rFonts w:cstheme="minorHAnsi"/>
          <w:sz w:val="24"/>
          <w:szCs w:val="24"/>
        </w:rPr>
        <w:t xml:space="preserve">collaboration to achieve stated </w:t>
      </w:r>
      <w:r w:rsidR="00845C22">
        <w:rPr>
          <w:rFonts w:cstheme="minorHAnsi"/>
          <w:sz w:val="24"/>
          <w:szCs w:val="24"/>
        </w:rPr>
        <w:t xml:space="preserve">sustainability </w:t>
      </w:r>
      <w:r w:rsidRPr="00D31F3A">
        <w:rPr>
          <w:rFonts w:cstheme="minorHAnsi"/>
          <w:sz w:val="24"/>
          <w:szCs w:val="24"/>
        </w:rPr>
        <w:t xml:space="preserve">end-goals.  These include, as examples, the UN Sustainable Development Goals (SDGs), the ecosystem services framework, </w:t>
      </w:r>
      <w:r w:rsidRPr="0054093E">
        <w:rPr>
          <w:rFonts w:cstheme="minorHAnsi"/>
          <w:sz w:val="24"/>
          <w:szCs w:val="24"/>
        </w:rPr>
        <w:t>and logical implementation of the UN 2021-</w:t>
      </w:r>
      <w:r w:rsidR="00E80175">
        <w:rPr>
          <w:rFonts w:cstheme="minorHAnsi"/>
          <w:sz w:val="24"/>
          <w:szCs w:val="24"/>
        </w:rPr>
        <w:t>20</w:t>
      </w:r>
      <w:r w:rsidRPr="0054093E">
        <w:rPr>
          <w:rFonts w:cstheme="minorHAnsi"/>
          <w:sz w:val="24"/>
          <w:szCs w:val="24"/>
        </w:rPr>
        <w:t>30 Decade o</w:t>
      </w:r>
      <w:r w:rsidR="00E80175">
        <w:rPr>
          <w:rFonts w:cstheme="minorHAnsi"/>
          <w:sz w:val="24"/>
          <w:szCs w:val="24"/>
        </w:rPr>
        <w:t>n</w:t>
      </w:r>
      <w:r w:rsidRPr="0054093E">
        <w:rPr>
          <w:rFonts w:cstheme="minorHAnsi"/>
          <w:sz w:val="24"/>
          <w:szCs w:val="24"/>
        </w:rPr>
        <w:t xml:space="preserve"> Ecosystem Restoration.  </w:t>
      </w:r>
      <w:r w:rsidR="007F319F">
        <w:rPr>
          <w:rFonts w:cstheme="minorHAnsi"/>
          <w:sz w:val="24"/>
          <w:szCs w:val="24"/>
        </w:rPr>
        <w:t>Using or linking with e</w:t>
      </w:r>
      <w:r w:rsidR="007F319F" w:rsidRPr="0054093E">
        <w:rPr>
          <w:rFonts w:cstheme="minorHAnsi"/>
          <w:sz w:val="24"/>
          <w:szCs w:val="24"/>
        </w:rPr>
        <w:t>xisting or revamp</w:t>
      </w:r>
      <w:r w:rsidR="007F319F">
        <w:rPr>
          <w:rFonts w:cstheme="minorHAnsi"/>
          <w:sz w:val="24"/>
          <w:szCs w:val="24"/>
        </w:rPr>
        <w:t>ed</w:t>
      </w:r>
      <w:r w:rsidR="007F319F" w:rsidRPr="0054093E">
        <w:rPr>
          <w:rFonts w:cstheme="minorHAnsi"/>
          <w:sz w:val="24"/>
          <w:szCs w:val="24"/>
        </w:rPr>
        <w:t xml:space="preserve"> </w:t>
      </w:r>
      <w:r w:rsidR="007F319F">
        <w:rPr>
          <w:rFonts w:cstheme="minorHAnsi"/>
          <w:sz w:val="24"/>
          <w:szCs w:val="24"/>
        </w:rPr>
        <w:t xml:space="preserve">coordination </w:t>
      </w:r>
      <w:r w:rsidR="007F319F" w:rsidRPr="0054093E">
        <w:rPr>
          <w:rFonts w:cstheme="minorHAnsi"/>
          <w:sz w:val="24"/>
          <w:szCs w:val="24"/>
        </w:rPr>
        <w:t xml:space="preserve">frameworks within government, such as the </w:t>
      </w:r>
      <w:r w:rsidR="00E80175">
        <w:rPr>
          <w:rFonts w:cstheme="minorHAnsi"/>
          <w:sz w:val="24"/>
          <w:szCs w:val="24"/>
        </w:rPr>
        <w:t xml:space="preserve">UK’s </w:t>
      </w:r>
      <w:r w:rsidR="007F319F" w:rsidRPr="0054093E">
        <w:rPr>
          <w:rFonts w:cstheme="minorHAnsi"/>
          <w:sz w:val="24"/>
          <w:szCs w:val="24"/>
        </w:rPr>
        <w:t>C</w:t>
      </w:r>
      <w:r w:rsidR="007F319F" w:rsidRPr="0054093E">
        <w:rPr>
          <w:sz w:val="24"/>
          <w:szCs w:val="24"/>
        </w:rPr>
        <w:t xml:space="preserve">ivil Contingencies Act approach of local resilience forums / working groups at local level with national coordination from above, may </w:t>
      </w:r>
      <w:r w:rsidR="007F319F">
        <w:rPr>
          <w:sz w:val="24"/>
          <w:szCs w:val="24"/>
        </w:rPr>
        <w:t>provide</w:t>
      </w:r>
      <w:r w:rsidR="007F319F" w:rsidRPr="0054093E">
        <w:rPr>
          <w:sz w:val="24"/>
          <w:szCs w:val="24"/>
        </w:rPr>
        <w:t xml:space="preserve"> mechanisms to promote ecosystem awareness and</w:t>
      </w:r>
      <w:r w:rsidR="00845C22">
        <w:rPr>
          <w:sz w:val="24"/>
          <w:szCs w:val="24"/>
        </w:rPr>
        <w:t xml:space="preserve"> ecosystem</w:t>
      </w:r>
      <w:r w:rsidR="007F319F" w:rsidRPr="0054093E">
        <w:rPr>
          <w:sz w:val="24"/>
          <w:szCs w:val="24"/>
        </w:rPr>
        <w:t xml:space="preserve"> service integration </w:t>
      </w:r>
      <w:r w:rsidR="007F319F" w:rsidRPr="00E37CE0">
        <w:rPr>
          <w:sz w:val="24"/>
          <w:szCs w:val="24"/>
        </w:rPr>
        <w:t>across government and civil society.</w:t>
      </w:r>
      <w:r w:rsidR="00E37CE0" w:rsidRPr="00E37CE0">
        <w:rPr>
          <w:sz w:val="24"/>
          <w:szCs w:val="24"/>
        </w:rPr>
        <w:t xml:space="preserve">  However, it is not just the creation of systemic frameworks but, crucially, their </w:t>
      </w:r>
      <w:r w:rsidR="00E37CE0" w:rsidRPr="00E80175">
        <w:rPr>
          <w:iCs/>
          <w:sz w:val="24"/>
          <w:szCs w:val="24"/>
        </w:rPr>
        <w:t>adoption</w:t>
      </w:r>
      <w:r w:rsidR="00E37CE0" w:rsidRPr="00E80175">
        <w:rPr>
          <w:sz w:val="24"/>
          <w:szCs w:val="24"/>
        </w:rPr>
        <w:t xml:space="preserve"> and particularly </w:t>
      </w:r>
      <w:r w:rsidR="00E37CE0" w:rsidRPr="00E80175">
        <w:rPr>
          <w:iCs/>
          <w:sz w:val="24"/>
          <w:szCs w:val="24"/>
        </w:rPr>
        <w:t>embedding</w:t>
      </w:r>
      <w:r w:rsidR="00E37CE0" w:rsidRPr="00E37CE0">
        <w:rPr>
          <w:sz w:val="24"/>
          <w:szCs w:val="24"/>
        </w:rPr>
        <w:t xml:space="preserve"> them into </w:t>
      </w:r>
      <w:r w:rsidR="00E80175">
        <w:rPr>
          <w:sz w:val="24"/>
          <w:szCs w:val="24"/>
        </w:rPr>
        <w:t>‘</w:t>
      </w:r>
      <w:r w:rsidR="00E37CE0" w:rsidRPr="00E80175">
        <w:rPr>
          <w:iCs/>
          <w:sz w:val="24"/>
          <w:szCs w:val="24"/>
        </w:rPr>
        <w:t>organisational routines</w:t>
      </w:r>
      <w:r w:rsidR="00E80175">
        <w:rPr>
          <w:iCs/>
          <w:sz w:val="24"/>
          <w:szCs w:val="24"/>
        </w:rPr>
        <w:t>’</w:t>
      </w:r>
      <w:r w:rsidR="00E37CE0" w:rsidRPr="00E37CE0">
        <w:rPr>
          <w:sz w:val="24"/>
          <w:szCs w:val="24"/>
        </w:rPr>
        <w:t xml:space="preserve"> that is vital if change is to be achieved (see </w:t>
      </w:r>
      <w:proofErr w:type="spellStart"/>
      <w:r w:rsidR="00E37CE0" w:rsidRPr="00E37CE0">
        <w:rPr>
          <w:sz w:val="24"/>
          <w:szCs w:val="24"/>
        </w:rPr>
        <w:t>Rerup</w:t>
      </w:r>
      <w:proofErr w:type="spellEnd"/>
      <w:r w:rsidR="00E37CE0" w:rsidRPr="00E37CE0">
        <w:rPr>
          <w:sz w:val="24"/>
          <w:szCs w:val="24"/>
        </w:rPr>
        <w:t xml:space="preserve"> and Feldman, 2011).</w:t>
      </w:r>
    </w:p>
    <w:p w14:paraId="777F8327" w14:textId="77777777" w:rsidR="0085162E" w:rsidRDefault="0085162E" w:rsidP="0054093E">
      <w:pPr>
        <w:spacing w:after="0" w:line="276" w:lineRule="auto"/>
        <w:ind w:right="-188"/>
        <w:rPr>
          <w:rFonts w:cstheme="minorHAnsi"/>
          <w:sz w:val="24"/>
          <w:szCs w:val="24"/>
        </w:rPr>
      </w:pPr>
    </w:p>
    <w:p w14:paraId="255F5AAA" w14:textId="388C41F7" w:rsidR="0054093E" w:rsidRPr="00661C63" w:rsidRDefault="007F319F" w:rsidP="0054093E">
      <w:pPr>
        <w:spacing w:after="0" w:line="276" w:lineRule="auto"/>
        <w:ind w:right="-188"/>
        <w:rPr>
          <w:sz w:val="24"/>
          <w:szCs w:val="24"/>
        </w:rPr>
      </w:pPr>
      <w:r w:rsidRPr="0054093E">
        <w:rPr>
          <w:rFonts w:cstheme="minorHAnsi"/>
          <w:sz w:val="24"/>
          <w:szCs w:val="24"/>
        </w:rPr>
        <w:t xml:space="preserve">Novel information technologies </w:t>
      </w:r>
      <w:r w:rsidRPr="0054093E">
        <w:rPr>
          <w:sz w:val="24"/>
          <w:szCs w:val="24"/>
        </w:rPr>
        <w:t>can potentially support a</w:t>
      </w:r>
      <w:r w:rsidR="00845C22">
        <w:rPr>
          <w:sz w:val="24"/>
          <w:szCs w:val="24"/>
        </w:rPr>
        <w:t xml:space="preserve"> more tran</w:t>
      </w:r>
      <w:r w:rsidR="00256D86">
        <w:rPr>
          <w:sz w:val="24"/>
          <w:szCs w:val="24"/>
        </w:rPr>
        <w:t>s</w:t>
      </w:r>
      <w:r w:rsidR="00845C22">
        <w:rPr>
          <w:sz w:val="24"/>
          <w:szCs w:val="24"/>
        </w:rPr>
        <w:t>parently</w:t>
      </w:r>
      <w:r w:rsidRPr="0054093E">
        <w:rPr>
          <w:sz w:val="24"/>
          <w:szCs w:val="24"/>
        </w:rPr>
        <w:t xml:space="preserve"> co-creative approach to decision-making and policy formulation, as a key means to further foster a more pluralistic and deliberative model of government and decision-making</w:t>
      </w:r>
      <w:r w:rsidR="00362F36" w:rsidRPr="0054093E">
        <w:rPr>
          <w:sz w:val="24"/>
          <w:szCs w:val="24"/>
        </w:rPr>
        <w:t>.</w:t>
      </w:r>
      <w:r w:rsidR="0085162E">
        <w:rPr>
          <w:sz w:val="24"/>
          <w:szCs w:val="24"/>
        </w:rPr>
        <w:t xml:space="preserve">  A more integrated approach to government-allocated funding is also essential, framed around systemic net benefit spanning policy areas rather than the currently narrow ring-fencing of budgets that tend to work against cross-policy synergy and integration.  Achieving a less myopic approach to delivering </w:t>
      </w:r>
      <w:r w:rsidR="00661C63">
        <w:rPr>
          <w:sz w:val="24"/>
          <w:szCs w:val="24"/>
        </w:rPr>
        <w:t xml:space="preserve">generally </w:t>
      </w:r>
      <w:r w:rsidR="0085162E">
        <w:rPr>
          <w:sz w:val="24"/>
          <w:szCs w:val="24"/>
        </w:rPr>
        <w:t xml:space="preserve">narrowly-framed policy outcomes </w:t>
      </w:r>
      <w:r w:rsidR="00661C63">
        <w:rPr>
          <w:sz w:val="24"/>
          <w:szCs w:val="24"/>
        </w:rPr>
        <w:t>require</w:t>
      </w:r>
      <w:r w:rsidR="00256D86">
        <w:rPr>
          <w:sz w:val="24"/>
          <w:szCs w:val="24"/>
        </w:rPr>
        <w:t>s</w:t>
      </w:r>
      <w:r w:rsidR="00661C63">
        <w:rPr>
          <w:sz w:val="24"/>
          <w:szCs w:val="24"/>
        </w:rPr>
        <w:t xml:space="preserve"> greater devolution of powers and spending.</w:t>
      </w:r>
    </w:p>
    <w:p w14:paraId="3D3A6726" w14:textId="77777777" w:rsidR="00661C63" w:rsidRPr="00D31F3A" w:rsidRDefault="00661C63" w:rsidP="00D31F3A">
      <w:pPr>
        <w:spacing w:after="0" w:line="276" w:lineRule="auto"/>
        <w:ind w:right="-188"/>
        <w:rPr>
          <w:rFonts w:cs="Times New Roman"/>
          <w:sz w:val="24"/>
          <w:szCs w:val="24"/>
          <w:lang w:eastAsia="en-GB"/>
        </w:rPr>
      </w:pPr>
    </w:p>
    <w:p w14:paraId="177E5A42" w14:textId="23D71756" w:rsidR="00F57C3D" w:rsidRPr="00422C90" w:rsidRDefault="00F57C3D" w:rsidP="00D31F3A">
      <w:pPr>
        <w:spacing w:before="120" w:line="276" w:lineRule="auto"/>
        <w:ind w:right="-188"/>
        <w:rPr>
          <w:sz w:val="24"/>
          <w:szCs w:val="24"/>
        </w:rPr>
      </w:pPr>
      <w:r w:rsidRPr="00D31F3A">
        <w:rPr>
          <w:b/>
          <w:sz w:val="24"/>
          <w:szCs w:val="24"/>
        </w:rPr>
        <w:t>4. Discussion and conclusion</w:t>
      </w:r>
    </w:p>
    <w:p w14:paraId="12C9ABE2" w14:textId="717FEA1C" w:rsidR="00845C22" w:rsidRDefault="00F57C3D" w:rsidP="00E37CE0">
      <w:pPr>
        <w:spacing w:line="276" w:lineRule="auto"/>
        <w:ind w:right="-187"/>
        <w:rPr>
          <w:rFonts w:cstheme="minorHAnsi"/>
          <w:sz w:val="24"/>
          <w:szCs w:val="24"/>
        </w:rPr>
      </w:pPr>
      <w:r w:rsidRPr="009F2BE8">
        <w:rPr>
          <w:sz w:val="24"/>
          <w:szCs w:val="24"/>
        </w:rPr>
        <w:t>Ecosystems</w:t>
      </w:r>
      <w:r w:rsidR="003A3F7F" w:rsidRPr="009F2BE8">
        <w:rPr>
          <w:sz w:val="24"/>
          <w:szCs w:val="24"/>
        </w:rPr>
        <w:t xml:space="preserve">, </w:t>
      </w:r>
      <w:r w:rsidRPr="009F2BE8">
        <w:rPr>
          <w:sz w:val="24"/>
          <w:szCs w:val="24"/>
        </w:rPr>
        <w:t xml:space="preserve">at </w:t>
      </w:r>
      <w:r w:rsidR="003A3F7F" w:rsidRPr="009F2BE8">
        <w:rPr>
          <w:sz w:val="24"/>
          <w:szCs w:val="24"/>
        </w:rPr>
        <w:t xml:space="preserve">all </w:t>
      </w:r>
      <w:r w:rsidRPr="009F2BE8">
        <w:rPr>
          <w:sz w:val="24"/>
          <w:szCs w:val="24"/>
        </w:rPr>
        <w:t>scales from the global to the local</w:t>
      </w:r>
      <w:r w:rsidR="003A3F7F" w:rsidRPr="009F2BE8">
        <w:rPr>
          <w:sz w:val="24"/>
          <w:szCs w:val="24"/>
        </w:rPr>
        <w:t>,</w:t>
      </w:r>
      <w:r w:rsidRPr="009F2BE8">
        <w:rPr>
          <w:sz w:val="24"/>
          <w:szCs w:val="24"/>
        </w:rPr>
        <w:t xml:space="preserve"> constitute often-irreplaceable roots supporting most areas of social and economic human endeavour (</w:t>
      </w:r>
      <w:proofErr w:type="spellStart"/>
      <w:r w:rsidRPr="009F2BE8">
        <w:rPr>
          <w:sz w:val="24"/>
          <w:szCs w:val="24"/>
        </w:rPr>
        <w:t>Mundaca</w:t>
      </w:r>
      <w:proofErr w:type="spellEnd"/>
      <w:r w:rsidRPr="009F2BE8">
        <w:rPr>
          <w:sz w:val="24"/>
          <w:szCs w:val="24"/>
        </w:rPr>
        <w:t xml:space="preserve"> and Richter, 2015)</w:t>
      </w:r>
      <w:r w:rsidR="00E37CE0">
        <w:rPr>
          <w:sz w:val="24"/>
          <w:szCs w:val="24"/>
        </w:rPr>
        <w:t xml:space="preserve">, in addition to their underlying intrinsic values as recognised, for example, by the </w:t>
      </w:r>
      <w:r w:rsidR="00E37CE0">
        <w:rPr>
          <w:rFonts w:cstheme="minorHAnsi"/>
          <w:sz w:val="24"/>
          <w:szCs w:val="24"/>
        </w:rPr>
        <w:t>Secretariat of the Convention on Biological Diversity (2004) and IPBES (2020)</w:t>
      </w:r>
      <w:r w:rsidR="00000DF4" w:rsidRPr="009F2BE8">
        <w:rPr>
          <w:sz w:val="24"/>
          <w:szCs w:val="24"/>
        </w:rPr>
        <w:t xml:space="preserve">.  </w:t>
      </w:r>
      <w:r w:rsidR="00E37CE0">
        <w:rPr>
          <w:sz w:val="24"/>
          <w:szCs w:val="24"/>
        </w:rPr>
        <w:t xml:space="preserve">Ecosystems </w:t>
      </w:r>
      <w:r w:rsidR="00000DF4" w:rsidRPr="009F2BE8">
        <w:rPr>
          <w:sz w:val="24"/>
          <w:szCs w:val="24"/>
        </w:rPr>
        <w:t xml:space="preserve">play key </w:t>
      </w:r>
      <w:r w:rsidR="009F2BE8" w:rsidRPr="009F2BE8">
        <w:rPr>
          <w:sz w:val="24"/>
          <w:szCs w:val="24"/>
        </w:rPr>
        <w:t xml:space="preserve">and direct </w:t>
      </w:r>
      <w:r w:rsidR="00000DF4" w:rsidRPr="009F2BE8">
        <w:rPr>
          <w:sz w:val="24"/>
          <w:szCs w:val="24"/>
        </w:rPr>
        <w:t xml:space="preserve">roles in </w:t>
      </w:r>
      <w:r w:rsidRPr="009F2BE8">
        <w:rPr>
          <w:rFonts w:cstheme="minorHAnsi"/>
          <w:sz w:val="24"/>
          <w:szCs w:val="24"/>
        </w:rPr>
        <w:t>meeting biophysical needs for food, water, clean air and warmth</w:t>
      </w:r>
      <w:r w:rsidR="009F2BE8" w:rsidRPr="009F2BE8">
        <w:rPr>
          <w:rFonts w:cstheme="minorHAnsi"/>
          <w:sz w:val="24"/>
          <w:szCs w:val="24"/>
        </w:rPr>
        <w:t xml:space="preserve">.  They </w:t>
      </w:r>
      <w:r w:rsidRPr="009F2BE8">
        <w:rPr>
          <w:sz w:val="24"/>
          <w:szCs w:val="24"/>
        </w:rPr>
        <w:t>also constitut</w:t>
      </w:r>
      <w:r w:rsidR="009F2BE8" w:rsidRPr="009F2BE8">
        <w:rPr>
          <w:sz w:val="24"/>
          <w:szCs w:val="24"/>
        </w:rPr>
        <w:t>e</w:t>
      </w:r>
      <w:r w:rsidRPr="009F2BE8">
        <w:rPr>
          <w:sz w:val="24"/>
          <w:szCs w:val="24"/>
        </w:rPr>
        <w:t xml:space="preserve"> primary resources underpinning supply chains</w:t>
      </w:r>
      <w:r w:rsidR="003A3F7F" w:rsidRPr="009F2BE8">
        <w:rPr>
          <w:sz w:val="24"/>
          <w:szCs w:val="24"/>
        </w:rPr>
        <w:t xml:space="preserve"> and breaking down wastes</w:t>
      </w:r>
      <w:r w:rsidRPr="009F2BE8">
        <w:rPr>
          <w:sz w:val="24"/>
          <w:szCs w:val="24"/>
        </w:rPr>
        <w:t>, regulating flooding</w:t>
      </w:r>
      <w:r w:rsidR="00000DF4" w:rsidRPr="009F2BE8">
        <w:rPr>
          <w:sz w:val="24"/>
          <w:szCs w:val="24"/>
        </w:rPr>
        <w:t xml:space="preserve"> and </w:t>
      </w:r>
      <w:r w:rsidRPr="009F2BE8">
        <w:rPr>
          <w:sz w:val="24"/>
          <w:szCs w:val="24"/>
        </w:rPr>
        <w:t>climate</w:t>
      </w:r>
      <w:r w:rsidR="00000DF4" w:rsidRPr="009F2BE8">
        <w:rPr>
          <w:sz w:val="24"/>
          <w:szCs w:val="24"/>
        </w:rPr>
        <w:t xml:space="preserve"> stability</w:t>
      </w:r>
      <w:r w:rsidRPr="009F2BE8">
        <w:rPr>
          <w:sz w:val="24"/>
          <w:szCs w:val="24"/>
        </w:rPr>
        <w:t xml:space="preserve">, pollinating crops, sequestering carbon, </w:t>
      </w:r>
      <w:r w:rsidRPr="0027579E">
        <w:rPr>
          <w:sz w:val="24"/>
          <w:szCs w:val="24"/>
        </w:rPr>
        <w:t xml:space="preserve">purifying air and water, and enhancing life </w:t>
      </w:r>
      <w:r w:rsidR="00201756" w:rsidRPr="0027579E">
        <w:rPr>
          <w:sz w:val="24"/>
          <w:szCs w:val="24"/>
        </w:rPr>
        <w:t>opportunities and benefits</w:t>
      </w:r>
      <w:r w:rsidRPr="0027579E">
        <w:rPr>
          <w:sz w:val="24"/>
          <w:szCs w:val="24"/>
        </w:rPr>
        <w:t xml:space="preserve">.  </w:t>
      </w:r>
      <w:r w:rsidR="0027579E" w:rsidRPr="0027579E">
        <w:rPr>
          <w:rFonts w:cstheme="minorHAnsi"/>
          <w:sz w:val="24"/>
          <w:szCs w:val="24"/>
        </w:rPr>
        <w:t>Equally widely acknowledged, and the subject of numerous often long-standing</w:t>
      </w:r>
      <w:r w:rsidR="00E80175">
        <w:rPr>
          <w:rFonts w:cstheme="minorHAnsi"/>
          <w:sz w:val="24"/>
          <w:szCs w:val="24"/>
        </w:rPr>
        <w:t>,</w:t>
      </w:r>
      <w:r w:rsidR="0027579E" w:rsidRPr="0027579E">
        <w:rPr>
          <w:rFonts w:cstheme="minorHAnsi"/>
          <w:sz w:val="24"/>
          <w:szCs w:val="24"/>
        </w:rPr>
        <w:t xml:space="preserve"> high-level pronouncements and stated commitments, is the increasingly urgent need to promote a transition in societal habits to recognise the fundamental importance of ecosystems for continuing human security and opportunity.  </w:t>
      </w:r>
      <w:r w:rsidRPr="0027579E">
        <w:rPr>
          <w:sz w:val="24"/>
          <w:szCs w:val="24"/>
        </w:rPr>
        <w:t>Well-documented precipitous declines in biodiversity, ecosystems and their</w:t>
      </w:r>
      <w:r w:rsidRPr="009F2BE8">
        <w:rPr>
          <w:sz w:val="24"/>
          <w:szCs w:val="24"/>
        </w:rPr>
        <w:t xml:space="preserve"> services inevitably compromise a sustainable future</w:t>
      </w:r>
      <w:r w:rsidR="00201756" w:rsidRPr="009F2BE8">
        <w:rPr>
          <w:sz w:val="24"/>
          <w:szCs w:val="24"/>
        </w:rPr>
        <w:t xml:space="preserve"> (</w:t>
      </w:r>
      <w:proofErr w:type="spellStart"/>
      <w:r w:rsidR="00201756" w:rsidRPr="009F2BE8">
        <w:rPr>
          <w:sz w:val="24"/>
          <w:szCs w:val="24"/>
        </w:rPr>
        <w:t>Brondizio</w:t>
      </w:r>
      <w:proofErr w:type="spellEnd"/>
      <w:r w:rsidR="00201756" w:rsidRPr="009F2BE8">
        <w:rPr>
          <w:sz w:val="24"/>
          <w:szCs w:val="24"/>
        </w:rPr>
        <w:t xml:space="preserve"> </w:t>
      </w:r>
      <w:r w:rsidR="00201756" w:rsidRPr="009F2BE8">
        <w:rPr>
          <w:i/>
          <w:sz w:val="24"/>
          <w:szCs w:val="24"/>
        </w:rPr>
        <w:t>et al</w:t>
      </w:r>
      <w:r w:rsidR="00201756" w:rsidRPr="009F2BE8">
        <w:rPr>
          <w:sz w:val="24"/>
          <w:szCs w:val="24"/>
        </w:rPr>
        <w:t>., 2019)</w:t>
      </w:r>
      <w:r w:rsidRPr="009F2BE8">
        <w:rPr>
          <w:sz w:val="24"/>
          <w:szCs w:val="24"/>
        </w:rPr>
        <w:t>.</w:t>
      </w:r>
    </w:p>
    <w:p w14:paraId="598E765E" w14:textId="41A8D413" w:rsidR="007B6818" w:rsidRPr="00C478FA" w:rsidRDefault="00423B54" w:rsidP="00C478FA">
      <w:pPr>
        <w:widowControl w:val="0"/>
        <w:spacing w:line="276" w:lineRule="auto"/>
        <w:ind w:right="-188"/>
        <w:rPr>
          <w:rFonts w:cstheme="minorHAnsi"/>
          <w:sz w:val="24"/>
          <w:szCs w:val="24"/>
        </w:rPr>
      </w:pPr>
      <w:r w:rsidRPr="006317A5">
        <w:rPr>
          <w:rFonts w:cstheme="minorHAnsi"/>
          <w:sz w:val="24"/>
          <w:szCs w:val="24"/>
        </w:rPr>
        <w:t>The fundamental importance of ecosystems for continuing human security and opportunity,</w:t>
      </w:r>
      <w:r w:rsidR="003A3F7F" w:rsidRPr="006317A5">
        <w:rPr>
          <w:rFonts w:cstheme="minorHAnsi"/>
          <w:sz w:val="24"/>
          <w:szCs w:val="24"/>
        </w:rPr>
        <w:t xml:space="preserve"> </w:t>
      </w:r>
      <w:r w:rsidRPr="006317A5">
        <w:rPr>
          <w:rFonts w:cstheme="minorHAnsi"/>
          <w:sz w:val="24"/>
          <w:szCs w:val="24"/>
        </w:rPr>
        <w:t xml:space="preserve">and the urgent need for a transition in societal habits, is equally widely acknowledged and the </w:t>
      </w:r>
      <w:r w:rsidR="003A3F7F" w:rsidRPr="006317A5">
        <w:rPr>
          <w:rFonts w:cstheme="minorHAnsi"/>
          <w:sz w:val="24"/>
          <w:szCs w:val="24"/>
        </w:rPr>
        <w:t xml:space="preserve">subject </w:t>
      </w:r>
      <w:r w:rsidRPr="006317A5">
        <w:rPr>
          <w:rFonts w:cstheme="minorHAnsi"/>
          <w:sz w:val="24"/>
          <w:szCs w:val="24"/>
        </w:rPr>
        <w:t xml:space="preserve">of multiple </w:t>
      </w:r>
      <w:r w:rsidR="003A3F7F" w:rsidRPr="006317A5">
        <w:rPr>
          <w:rFonts w:cstheme="minorHAnsi"/>
          <w:sz w:val="24"/>
          <w:szCs w:val="24"/>
        </w:rPr>
        <w:t xml:space="preserve">high-level pronouncements and stated commitments.  </w:t>
      </w:r>
      <w:r w:rsidRPr="006317A5">
        <w:rPr>
          <w:rFonts w:cstheme="minorHAnsi"/>
          <w:sz w:val="24"/>
          <w:szCs w:val="24"/>
        </w:rPr>
        <w:t xml:space="preserve">However, despite </w:t>
      </w:r>
      <w:r w:rsidR="009F2BE8" w:rsidRPr="006317A5">
        <w:rPr>
          <w:rFonts w:cstheme="minorHAnsi"/>
          <w:sz w:val="24"/>
          <w:szCs w:val="24"/>
        </w:rPr>
        <w:t xml:space="preserve">the </w:t>
      </w:r>
      <w:r w:rsidRPr="006317A5">
        <w:rPr>
          <w:rFonts w:cstheme="minorHAnsi"/>
          <w:sz w:val="24"/>
          <w:szCs w:val="24"/>
        </w:rPr>
        <w:t xml:space="preserve">rhetoric, </w:t>
      </w:r>
      <w:r w:rsidR="00422C90" w:rsidRPr="006317A5">
        <w:rPr>
          <w:rFonts w:cstheme="minorHAnsi"/>
          <w:sz w:val="24"/>
          <w:szCs w:val="24"/>
        </w:rPr>
        <w:t>ensuing</w:t>
      </w:r>
      <w:r w:rsidRPr="006317A5">
        <w:rPr>
          <w:rFonts w:cstheme="minorHAnsi"/>
          <w:sz w:val="24"/>
          <w:szCs w:val="24"/>
        </w:rPr>
        <w:t xml:space="preserve"> action across all policy areas </w:t>
      </w:r>
      <w:r w:rsidR="008A3676" w:rsidRPr="006317A5">
        <w:rPr>
          <w:rFonts w:cstheme="minorHAnsi"/>
          <w:sz w:val="24"/>
          <w:szCs w:val="24"/>
        </w:rPr>
        <w:t xml:space="preserve">is as yet </w:t>
      </w:r>
      <w:r w:rsidR="008945BF" w:rsidRPr="006317A5">
        <w:rPr>
          <w:rFonts w:cstheme="minorHAnsi"/>
          <w:sz w:val="24"/>
          <w:szCs w:val="24"/>
        </w:rPr>
        <w:t>very far from proportionate</w:t>
      </w:r>
      <w:r w:rsidR="008A3676" w:rsidRPr="006317A5">
        <w:rPr>
          <w:rFonts w:cstheme="minorHAnsi"/>
          <w:sz w:val="24"/>
          <w:szCs w:val="24"/>
        </w:rPr>
        <w:t xml:space="preserve">.  </w:t>
      </w:r>
      <w:r w:rsidR="00422C90" w:rsidRPr="006317A5">
        <w:rPr>
          <w:rFonts w:cstheme="minorHAnsi"/>
          <w:sz w:val="24"/>
          <w:szCs w:val="24"/>
        </w:rPr>
        <w:t xml:space="preserve">Obstacles </w:t>
      </w:r>
      <w:r w:rsidR="009F2BE8" w:rsidRPr="006317A5">
        <w:rPr>
          <w:rFonts w:cstheme="minorHAnsi"/>
          <w:sz w:val="24"/>
          <w:szCs w:val="24"/>
        </w:rPr>
        <w:t xml:space="preserve">to action are numerous, just some of them including: established vested interest; </w:t>
      </w:r>
      <w:r w:rsidR="00422C90" w:rsidRPr="006317A5">
        <w:rPr>
          <w:rFonts w:cstheme="minorHAnsi"/>
          <w:sz w:val="24"/>
          <w:szCs w:val="24"/>
        </w:rPr>
        <w:t>assumptions that problems stemming from ecosystem degradation are owned by ‘other’ societal sectors</w:t>
      </w:r>
      <w:r w:rsidR="009F2BE8" w:rsidRPr="006317A5">
        <w:rPr>
          <w:rFonts w:cstheme="minorHAnsi"/>
          <w:sz w:val="24"/>
          <w:szCs w:val="24"/>
        </w:rPr>
        <w:t xml:space="preserve">; that these problems are </w:t>
      </w:r>
      <w:r w:rsidR="00422C90" w:rsidRPr="006317A5">
        <w:rPr>
          <w:rFonts w:cstheme="minorHAnsi"/>
          <w:sz w:val="24"/>
          <w:szCs w:val="24"/>
        </w:rPr>
        <w:t>soluble by technology alone</w:t>
      </w:r>
      <w:r w:rsidR="009F2BE8" w:rsidRPr="006317A5">
        <w:rPr>
          <w:rFonts w:cstheme="minorHAnsi"/>
          <w:sz w:val="24"/>
          <w:szCs w:val="24"/>
        </w:rPr>
        <w:t xml:space="preserve">; </w:t>
      </w:r>
      <w:r w:rsidR="0089486E">
        <w:rPr>
          <w:rFonts w:cstheme="minorHAnsi"/>
          <w:sz w:val="24"/>
          <w:szCs w:val="24"/>
        </w:rPr>
        <w:t xml:space="preserve">failing to go beyond creation of systemic </w:t>
      </w:r>
      <w:r w:rsidR="0089486E" w:rsidRPr="0089486E">
        <w:rPr>
          <w:rFonts w:cstheme="minorHAnsi"/>
          <w:sz w:val="24"/>
          <w:szCs w:val="24"/>
        </w:rPr>
        <w:t xml:space="preserve">frameworks </w:t>
      </w:r>
      <w:r w:rsidR="0089486E">
        <w:rPr>
          <w:rFonts w:cstheme="minorHAnsi"/>
          <w:sz w:val="24"/>
          <w:szCs w:val="24"/>
        </w:rPr>
        <w:t xml:space="preserve">into practical </w:t>
      </w:r>
      <w:r w:rsidR="0089486E" w:rsidRPr="0089486E">
        <w:rPr>
          <w:rFonts w:cstheme="minorHAnsi"/>
          <w:sz w:val="24"/>
          <w:szCs w:val="24"/>
        </w:rPr>
        <w:t>adoption and embedding into organisational routines</w:t>
      </w:r>
      <w:r w:rsidR="0089486E">
        <w:rPr>
          <w:rFonts w:cstheme="minorHAnsi"/>
          <w:sz w:val="24"/>
          <w:szCs w:val="24"/>
        </w:rPr>
        <w:t xml:space="preserve">; </w:t>
      </w:r>
      <w:r w:rsidR="009F2BE8" w:rsidRPr="006317A5">
        <w:rPr>
          <w:rFonts w:cstheme="minorHAnsi"/>
          <w:sz w:val="24"/>
          <w:szCs w:val="24"/>
        </w:rPr>
        <w:t>or that the prognoses will only play out in a remote future</w:t>
      </w:r>
      <w:r w:rsidR="000C4826" w:rsidRPr="006317A5">
        <w:rPr>
          <w:rFonts w:cstheme="minorHAnsi"/>
          <w:sz w:val="24"/>
          <w:szCs w:val="24"/>
        </w:rPr>
        <w:t>, or beyond political terms of office or financial return-on-investment periods</w:t>
      </w:r>
      <w:r w:rsidR="00422C90" w:rsidRPr="006317A5">
        <w:rPr>
          <w:rFonts w:cstheme="minorHAnsi"/>
          <w:sz w:val="24"/>
          <w:szCs w:val="24"/>
        </w:rPr>
        <w:t xml:space="preserve">.  </w:t>
      </w:r>
      <w:r w:rsidR="000C4826" w:rsidRPr="006317A5">
        <w:rPr>
          <w:rFonts w:cstheme="minorHAnsi"/>
          <w:sz w:val="24"/>
          <w:szCs w:val="24"/>
        </w:rPr>
        <w:t xml:space="preserve">These </w:t>
      </w:r>
      <w:r w:rsidR="00E80175">
        <w:rPr>
          <w:rFonts w:cstheme="minorHAnsi"/>
          <w:sz w:val="24"/>
          <w:szCs w:val="24"/>
        </w:rPr>
        <w:t xml:space="preserve">factors </w:t>
      </w:r>
      <w:r w:rsidR="000C4826" w:rsidRPr="006317A5">
        <w:rPr>
          <w:rFonts w:cstheme="minorHAnsi"/>
          <w:sz w:val="24"/>
          <w:szCs w:val="24"/>
        </w:rPr>
        <w:t xml:space="preserve">have contributed to inaction over generational timescales.  </w:t>
      </w:r>
      <w:r w:rsidR="00422C90" w:rsidRPr="006317A5">
        <w:rPr>
          <w:rFonts w:cstheme="minorHAnsi"/>
          <w:sz w:val="24"/>
          <w:szCs w:val="24"/>
        </w:rPr>
        <w:t xml:space="preserve">Inertia in instigating substantive change can </w:t>
      </w:r>
      <w:r w:rsidR="008945BF" w:rsidRPr="006317A5">
        <w:rPr>
          <w:rFonts w:cstheme="minorHAnsi"/>
          <w:sz w:val="24"/>
          <w:szCs w:val="24"/>
        </w:rPr>
        <w:t xml:space="preserve">serve </w:t>
      </w:r>
      <w:r w:rsidR="009F2BE8" w:rsidRPr="006317A5">
        <w:rPr>
          <w:rFonts w:cstheme="minorHAnsi"/>
          <w:sz w:val="24"/>
          <w:szCs w:val="24"/>
        </w:rPr>
        <w:t xml:space="preserve">only </w:t>
      </w:r>
      <w:r w:rsidR="008945BF" w:rsidRPr="006317A5">
        <w:rPr>
          <w:rFonts w:cstheme="minorHAnsi"/>
          <w:sz w:val="24"/>
          <w:szCs w:val="24"/>
        </w:rPr>
        <w:t xml:space="preserve">to </w:t>
      </w:r>
      <w:r w:rsidR="00422C90" w:rsidRPr="006317A5">
        <w:rPr>
          <w:rFonts w:cstheme="minorHAnsi"/>
          <w:sz w:val="24"/>
          <w:szCs w:val="24"/>
        </w:rPr>
        <w:t xml:space="preserve">jeopardise </w:t>
      </w:r>
      <w:r w:rsidR="009F2BE8" w:rsidRPr="006317A5">
        <w:rPr>
          <w:rFonts w:cstheme="minorHAnsi"/>
          <w:sz w:val="24"/>
          <w:szCs w:val="24"/>
        </w:rPr>
        <w:t xml:space="preserve">not just </w:t>
      </w:r>
      <w:r w:rsidR="00422C90" w:rsidRPr="006317A5">
        <w:rPr>
          <w:rFonts w:cstheme="minorHAnsi"/>
          <w:sz w:val="24"/>
          <w:szCs w:val="24"/>
        </w:rPr>
        <w:t>future wellbeing</w:t>
      </w:r>
      <w:r w:rsidR="009F2BE8" w:rsidRPr="006317A5">
        <w:rPr>
          <w:rFonts w:cstheme="minorHAnsi"/>
          <w:sz w:val="24"/>
          <w:szCs w:val="24"/>
        </w:rPr>
        <w:t>, but to increasingly limit current security and opportunities</w:t>
      </w:r>
      <w:r w:rsidR="00845C22" w:rsidRPr="006317A5">
        <w:rPr>
          <w:rFonts w:cstheme="minorHAnsi"/>
          <w:sz w:val="24"/>
          <w:szCs w:val="24"/>
        </w:rPr>
        <w:t>, perpetuating the ‘business as usual’ trend toward</w:t>
      </w:r>
      <w:r w:rsidR="00845C22" w:rsidRPr="00C478FA">
        <w:rPr>
          <w:rFonts w:cstheme="minorHAnsi"/>
          <w:sz w:val="24"/>
          <w:szCs w:val="24"/>
        </w:rPr>
        <w:t>s an increasingly impoverished and unstable future.</w:t>
      </w:r>
      <w:r w:rsidR="0084457D" w:rsidRPr="00C478FA">
        <w:rPr>
          <w:rFonts w:cstheme="minorHAnsi"/>
          <w:sz w:val="24"/>
          <w:szCs w:val="24"/>
        </w:rPr>
        <w:t xml:space="preserve"> </w:t>
      </w:r>
      <w:r w:rsidR="00C478FA">
        <w:rPr>
          <w:rFonts w:cstheme="minorHAnsi"/>
          <w:sz w:val="24"/>
          <w:szCs w:val="24"/>
        </w:rPr>
        <w:t xml:space="preserve"> </w:t>
      </w:r>
      <w:r w:rsidR="007B6818" w:rsidRPr="00C478FA">
        <w:rPr>
          <w:rFonts w:cstheme="minorHAnsi"/>
          <w:sz w:val="24"/>
          <w:szCs w:val="24"/>
        </w:rPr>
        <w:t xml:space="preserve">This current undervaluation of </w:t>
      </w:r>
      <w:r w:rsidR="007B6818" w:rsidRPr="00C478FA">
        <w:rPr>
          <w:rFonts w:eastAsia="Times New Roman"/>
          <w:sz w:val="24"/>
          <w:szCs w:val="24"/>
        </w:rPr>
        <w:t>biodiversity and ecosystem services as primary as</w:t>
      </w:r>
      <w:r w:rsidR="00C478FA" w:rsidRPr="00C478FA">
        <w:rPr>
          <w:rFonts w:eastAsia="Times New Roman"/>
          <w:sz w:val="24"/>
          <w:szCs w:val="24"/>
        </w:rPr>
        <w:t>se</w:t>
      </w:r>
      <w:r w:rsidR="007B6818" w:rsidRPr="00C478FA">
        <w:rPr>
          <w:rFonts w:eastAsia="Times New Roman"/>
          <w:sz w:val="24"/>
          <w:szCs w:val="24"/>
        </w:rPr>
        <w:t xml:space="preserve">ts upon which economies and livelihoods rely, and acknowledgement of </w:t>
      </w:r>
      <w:r w:rsidR="00C478FA">
        <w:rPr>
          <w:rFonts w:eastAsia="Times New Roman"/>
          <w:sz w:val="24"/>
          <w:szCs w:val="24"/>
        </w:rPr>
        <w:t xml:space="preserve">our </w:t>
      </w:r>
      <w:r w:rsidR="007B6818" w:rsidRPr="00C478FA">
        <w:rPr>
          <w:rFonts w:eastAsia="Times New Roman"/>
          <w:sz w:val="24"/>
          <w:szCs w:val="24"/>
        </w:rPr>
        <w:t xml:space="preserve">current failure to manage them efficiently as a fundamental asset management problem </w:t>
      </w:r>
      <w:r w:rsidR="00C478FA">
        <w:rPr>
          <w:rFonts w:eastAsia="Times New Roman"/>
          <w:sz w:val="24"/>
          <w:szCs w:val="24"/>
        </w:rPr>
        <w:t xml:space="preserve">if </w:t>
      </w:r>
      <w:r w:rsidR="007B6818" w:rsidRPr="00C478FA">
        <w:rPr>
          <w:rFonts w:eastAsia="Times New Roman"/>
          <w:sz w:val="24"/>
          <w:szCs w:val="24"/>
        </w:rPr>
        <w:t>total demand on the goods and services ultimately outstrip</w:t>
      </w:r>
      <w:r w:rsidR="00C478FA">
        <w:rPr>
          <w:rFonts w:eastAsia="Times New Roman"/>
          <w:sz w:val="24"/>
          <w:szCs w:val="24"/>
        </w:rPr>
        <w:t>s</w:t>
      </w:r>
      <w:r w:rsidR="007B6818" w:rsidRPr="00C478FA">
        <w:rPr>
          <w:rFonts w:eastAsia="Times New Roman"/>
          <w:sz w:val="24"/>
          <w:szCs w:val="24"/>
        </w:rPr>
        <w:t xml:space="preserve"> </w:t>
      </w:r>
      <w:r w:rsidR="00C478FA">
        <w:rPr>
          <w:rFonts w:eastAsia="Times New Roman"/>
          <w:sz w:val="24"/>
          <w:szCs w:val="24"/>
        </w:rPr>
        <w:t xml:space="preserve">nature’s </w:t>
      </w:r>
      <w:r w:rsidR="007B6818" w:rsidRPr="00C478FA">
        <w:rPr>
          <w:rFonts w:eastAsia="Times New Roman"/>
          <w:sz w:val="24"/>
          <w:szCs w:val="24"/>
        </w:rPr>
        <w:t>capacities to supply them on a sustainable basis, is a fundamental recognition in the UK Government’s Dasgupta Review (</w:t>
      </w:r>
      <w:r w:rsidR="00C478FA" w:rsidRPr="00C478FA">
        <w:rPr>
          <w:rFonts w:eastAsia="Times New Roman"/>
          <w:sz w:val="24"/>
          <w:szCs w:val="24"/>
        </w:rPr>
        <w:t xml:space="preserve">HM Treasury, </w:t>
      </w:r>
      <w:r w:rsidR="007B6818" w:rsidRPr="00C478FA">
        <w:rPr>
          <w:rFonts w:eastAsia="Times New Roman"/>
          <w:sz w:val="24"/>
          <w:szCs w:val="24"/>
        </w:rPr>
        <w:t xml:space="preserve">2020).  The Dasgupta Review further calls for reform of policy and practice across society to </w:t>
      </w:r>
      <w:r w:rsidR="00C478FA" w:rsidRPr="00C478FA">
        <w:rPr>
          <w:rFonts w:eastAsia="Times New Roman"/>
          <w:sz w:val="24"/>
          <w:szCs w:val="24"/>
        </w:rPr>
        <w:t xml:space="preserve">“…acknowledge that the human economy is embedded within – not external to – Nature, which helps us to recognise the limits Nature places on the economy and, in so doing, reshape our understanding of sustainable economic growth”.  This clearly synthesises </w:t>
      </w:r>
      <w:r w:rsidR="00F3549F">
        <w:rPr>
          <w:rFonts w:eastAsia="Times New Roman"/>
          <w:sz w:val="24"/>
          <w:szCs w:val="24"/>
        </w:rPr>
        <w:t xml:space="preserve">multiple preceding </w:t>
      </w:r>
      <w:r w:rsidR="00C478FA" w:rsidRPr="00C478FA">
        <w:rPr>
          <w:rFonts w:eastAsia="Times New Roman"/>
          <w:sz w:val="24"/>
          <w:szCs w:val="24"/>
        </w:rPr>
        <w:t xml:space="preserve">powerful </w:t>
      </w:r>
      <w:r w:rsidR="007B6818" w:rsidRPr="00C478FA">
        <w:rPr>
          <w:rFonts w:eastAsia="Times New Roman"/>
          <w:sz w:val="24"/>
          <w:szCs w:val="24"/>
        </w:rPr>
        <w:t>philosophical ideas around reconnecting with our ecological roots</w:t>
      </w:r>
      <w:r w:rsidR="00C478FA" w:rsidRPr="00C478FA">
        <w:rPr>
          <w:rFonts w:eastAsia="Times New Roman"/>
          <w:sz w:val="24"/>
          <w:szCs w:val="24"/>
        </w:rPr>
        <w:t xml:space="preserve">, resonant </w:t>
      </w:r>
      <w:r w:rsidR="00F3549F">
        <w:rPr>
          <w:rFonts w:eastAsia="Times New Roman"/>
          <w:sz w:val="24"/>
          <w:szCs w:val="24"/>
        </w:rPr>
        <w:t xml:space="preserve">as expressed by the Dasgupta Review </w:t>
      </w:r>
      <w:r w:rsidR="00C478FA" w:rsidRPr="00C478FA">
        <w:rPr>
          <w:rFonts w:eastAsia="Times New Roman"/>
          <w:sz w:val="24"/>
          <w:szCs w:val="24"/>
        </w:rPr>
        <w:t>particular</w:t>
      </w:r>
      <w:r w:rsidR="00F3549F">
        <w:rPr>
          <w:rFonts w:eastAsia="Times New Roman"/>
          <w:sz w:val="24"/>
          <w:szCs w:val="24"/>
        </w:rPr>
        <w:t>ly</w:t>
      </w:r>
      <w:r w:rsidR="00C478FA" w:rsidRPr="00C478FA">
        <w:rPr>
          <w:rFonts w:eastAsia="Times New Roman"/>
          <w:sz w:val="24"/>
          <w:szCs w:val="24"/>
        </w:rPr>
        <w:t xml:space="preserve"> with emerging learning concerning </w:t>
      </w:r>
      <w:r w:rsidR="007B6818" w:rsidRPr="00C478FA">
        <w:rPr>
          <w:rFonts w:eastAsia="Times New Roman"/>
          <w:sz w:val="24"/>
          <w:szCs w:val="24"/>
        </w:rPr>
        <w:t>Treasury</w:t>
      </w:r>
      <w:r w:rsidR="00C478FA" w:rsidRPr="00C478FA">
        <w:rPr>
          <w:rFonts w:eastAsia="Times New Roman"/>
          <w:sz w:val="24"/>
          <w:szCs w:val="24"/>
        </w:rPr>
        <w:t xml:space="preserve"> and </w:t>
      </w:r>
      <w:r w:rsidR="007B6818" w:rsidRPr="00C478FA">
        <w:rPr>
          <w:rFonts w:eastAsia="Times New Roman"/>
          <w:sz w:val="24"/>
          <w:szCs w:val="24"/>
        </w:rPr>
        <w:t>Business</w:t>
      </w:r>
      <w:r w:rsidR="00C478FA" w:rsidRPr="00C478FA">
        <w:rPr>
          <w:rFonts w:eastAsia="Times New Roman"/>
          <w:sz w:val="24"/>
          <w:szCs w:val="24"/>
        </w:rPr>
        <w:t xml:space="preserve"> sectors.</w:t>
      </w:r>
      <w:r w:rsidR="00C478FA">
        <w:rPr>
          <w:rFonts w:eastAsia="Times New Roman"/>
          <w:sz w:val="24"/>
          <w:szCs w:val="24"/>
        </w:rPr>
        <w:t xml:space="preserve">  Unless the demands and actions of society are reconnected with their ecological roots through proportionate reform of cross-sectoral policy and practice, </w:t>
      </w:r>
      <w:r w:rsidR="00F3549F">
        <w:rPr>
          <w:rFonts w:eastAsia="Times New Roman"/>
          <w:sz w:val="24"/>
          <w:szCs w:val="24"/>
        </w:rPr>
        <w:t xml:space="preserve">continuing degradation of </w:t>
      </w:r>
      <w:r w:rsidR="00C478FA">
        <w:rPr>
          <w:rFonts w:eastAsia="Times New Roman"/>
          <w:sz w:val="24"/>
          <w:szCs w:val="24"/>
        </w:rPr>
        <w:t xml:space="preserve">foundational </w:t>
      </w:r>
      <w:r w:rsidR="00F3549F">
        <w:rPr>
          <w:rFonts w:eastAsia="Times New Roman"/>
          <w:sz w:val="24"/>
          <w:szCs w:val="24"/>
        </w:rPr>
        <w:t xml:space="preserve">ecosystems is </w:t>
      </w:r>
      <w:r w:rsidR="00C478FA">
        <w:rPr>
          <w:rFonts w:eastAsia="Times New Roman"/>
          <w:sz w:val="24"/>
          <w:szCs w:val="24"/>
        </w:rPr>
        <w:t xml:space="preserve">likely to continue to limit human </w:t>
      </w:r>
      <w:r w:rsidR="00F3549F">
        <w:rPr>
          <w:rFonts w:eastAsia="Times New Roman"/>
          <w:sz w:val="24"/>
          <w:szCs w:val="24"/>
        </w:rPr>
        <w:t xml:space="preserve">security, opportunity and </w:t>
      </w:r>
      <w:r w:rsidR="00C478FA">
        <w:rPr>
          <w:rFonts w:eastAsia="Times New Roman"/>
          <w:sz w:val="24"/>
          <w:szCs w:val="24"/>
        </w:rPr>
        <w:t>potential.</w:t>
      </w:r>
    </w:p>
    <w:p w14:paraId="56FC1926" w14:textId="128A619C" w:rsidR="003A3F7F" w:rsidRPr="006317A5" w:rsidRDefault="00845C22" w:rsidP="00C478FA">
      <w:pPr>
        <w:widowControl w:val="0"/>
        <w:spacing w:line="276" w:lineRule="auto"/>
        <w:ind w:right="-187"/>
        <w:rPr>
          <w:sz w:val="24"/>
          <w:szCs w:val="24"/>
        </w:rPr>
      </w:pPr>
      <w:r w:rsidRPr="00C478FA">
        <w:rPr>
          <w:rFonts w:cstheme="minorHAnsi"/>
          <w:sz w:val="24"/>
          <w:szCs w:val="24"/>
        </w:rPr>
        <w:t xml:space="preserve">It is therefore </w:t>
      </w:r>
      <w:bookmarkStart w:id="20" w:name="_Hlk46855053"/>
      <w:r w:rsidR="006207FB" w:rsidRPr="00C478FA">
        <w:rPr>
          <w:rFonts w:cstheme="minorHAnsi"/>
          <w:sz w:val="24"/>
          <w:szCs w:val="24"/>
        </w:rPr>
        <w:t xml:space="preserve">vital </w:t>
      </w:r>
      <w:r w:rsidR="000C4826" w:rsidRPr="00C478FA">
        <w:rPr>
          <w:rFonts w:cstheme="minorHAnsi"/>
          <w:sz w:val="24"/>
          <w:szCs w:val="24"/>
        </w:rPr>
        <w:t xml:space="preserve">to </w:t>
      </w:r>
      <w:r w:rsidR="0027579E" w:rsidRPr="00C478FA">
        <w:rPr>
          <w:rFonts w:cstheme="minorHAnsi"/>
          <w:sz w:val="24"/>
          <w:szCs w:val="24"/>
        </w:rPr>
        <w:t xml:space="preserve">find means </w:t>
      </w:r>
      <w:r w:rsidR="002255D4" w:rsidRPr="00C478FA">
        <w:rPr>
          <w:rFonts w:cstheme="minorHAnsi"/>
          <w:sz w:val="24"/>
          <w:szCs w:val="24"/>
        </w:rPr>
        <w:t xml:space="preserve">rapidly </w:t>
      </w:r>
      <w:r w:rsidR="0027579E" w:rsidRPr="00C478FA">
        <w:rPr>
          <w:rFonts w:cstheme="minorHAnsi"/>
          <w:sz w:val="24"/>
          <w:szCs w:val="24"/>
        </w:rPr>
        <w:t xml:space="preserve">to </w:t>
      </w:r>
      <w:r w:rsidR="00A16DB3" w:rsidRPr="00C478FA">
        <w:rPr>
          <w:rFonts w:cstheme="minorHAnsi"/>
          <w:sz w:val="24"/>
          <w:szCs w:val="24"/>
        </w:rPr>
        <w:t xml:space="preserve">overcome </w:t>
      </w:r>
      <w:bookmarkEnd w:id="20"/>
      <w:r w:rsidR="000C4826" w:rsidRPr="00C478FA">
        <w:rPr>
          <w:rFonts w:cstheme="minorHAnsi"/>
          <w:sz w:val="24"/>
          <w:szCs w:val="24"/>
        </w:rPr>
        <w:t xml:space="preserve">barriers to </w:t>
      </w:r>
      <w:r w:rsidR="006207FB" w:rsidRPr="00C478FA">
        <w:rPr>
          <w:rFonts w:cstheme="minorHAnsi"/>
          <w:sz w:val="24"/>
          <w:szCs w:val="24"/>
        </w:rPr>
        <w:t xml:space="preserve">translation of largely consensual realisations </w:t>
      </w:r>
      <w:r w:rsidR="005B40FB" w:rsidRPr="00C478FA">
        <w:rPr>
          <w:rFonts w:cstheme="minorHAnsi"/>
          <w:sz w:val="24"/>
          <w:szCs w:val="24"/>
        </w:rPr>
        <w:t xml:space="preserve">about human-ecosystem interdependencies </w:t>
      </w:r>
      <w:r w:rsidR="006207FB" w:rsidRPr="00C478FA">
        <w:rPr>
          <w:rFonts w:cstheme="minorHAnsi"/>
          <w:sz w:val="24"/>
          <w:szCs w:val="24"/>
        </w:rPr>
        <w:t xml:space="preserve">into </w:t>
      </w:r>
      <w:r w:rsidR="00A16DB3" w:rsidRPr="00C478FA">
        <w:rPr>
          <w:rFonts w:cstheme="minorHAnsi"/>
          <w:sz w:val="24"/>
          <w:szCs w:val="24"/>
        </w:rPr>
        <w:t>‘real world’ policy across all areas of human interest</w:t>
      </w:r>
      <w:r w:rsidR="00A16DB3" w:rsidRPr="006317A5">
        <w:rPr>
          <w:rFonts w:cstheme="minorHAnsi"/>
          <w:sz w:val="24"/>
          <w:szCs w:val="24"/>
        </w:rPr>
        <w:t xml:space="preserve">, and their ultimate transformation </w:t>
      </w:r>
      <w:r w:rsidR="008E3646" w:rsidRPr="006317A5">
        <w:rPr>
          <w:rFonts w:cstheme="minorHAnsi"/>
          <w:sz w:val="24"/>
          <w:szCs w:val="24"/>
        </w:rPr>
        <w:t>in</w:t>
      </w:r>
      <w:r w:rsidR="00A16DB3" w:rsidRPr="006317A5">
        <w:rPr>
          <w:rFonts w:cstheme="minorHAnsi"/>
          <w:sz w:val="24"/>
          <w:szCs w:val="24"/>
        </w:rPr>
        <w:t>to new and sustainable societal norms</w:t>
      </w:r>
      <w:r w:rsidR="00573CA0">
        <w:rPr>
          <w:rFonts w:cstheme="minorHAnsi"/>
          <w:sz w:val="24"/>
          <w:szCs w:val="24"/>
        </w:rPr>
        <w:t>,</w:t>
      </w:r>
      <w:r w:rsidR="00573CA0" w:rsidRPr="00573CA0">
        <w:t xml:space="preserve"> </w:t>
      </w:r>
      <w:r w:rsidR="00573CA0" w:rsidRPr="00573CA0">
        <w:rPr>
          <w:rFonts w:cstheme="minorHAnsi"/>
          <w:sz w:val="24"/>
          <w:szCs w:val="24"/>
        </w:rPr>
        <w:t>practices and routines</w:t>
      </w:r>
      <w:r w:rsidR="00A16DB3" w:rsidRPr="006317A5">
        <w:rPr>
          <w:rFonts w:cstheme="minorHAnsi"/>
          <w:sz w:val="24"/>
          <w:szCs w:val="24"/>
        </w:rPr>
        <w:t xml:space="preserve">.  </w:t>
      </w:r>
      <w:r w:rsidR="005B40FB" w:rsidRPr="006317A5">
        <w:rPr>
          <w:rFonts w:cstheme="minorHAnsi"/>
          <w:sz w:val="24"/>
          <w:szCs w:val="24"/>
        </w:rPr>
        <w:t xml:space="preserve">This </w:t>
      </w:r>
      <w:r w:rsidR="00F57C3D" w:rsidRPr="006317A5">
        <w:rPr>
          <w:sz w:val="24"/>
          <w:szCs w:val="24"/>
        </w:rPr>
        <w:t>collaborative learning</w:t>
      </w:r>
      <w:r w:rsidR="00A16DB3" w:rsidRPr="006317A5">
        <w:rPr>
          <w:sz w:val="24"/>
          <w:szCs w:val="24"/>
        </w:rPr>
        <w:t xml:space="preserve"> </w:t>
      </w:r>
      <w:r w:rsidR="00422C90" w:rsidRPr="006317A5">
        <w:rPr>
          <w:sz w:val="24"/>
          <w:szCs w:val="24"/>
        </w:rPr>
        <w:t>approach</w:t>
      </w:r>
      <w:r w:rsidR="008945BF" w:rsidRPr="006317A5">
        <w:rPr>
          <w:sz w:val="24"/>
          <w:szCs w:val="24"/>
        </w:rPr>
        <w:t>,</w:t>
      </w:r>
      <w:r w:rsidR="00F57C3D" w:rsidRPr="006317A5">
        <w:rPr>
          <w:sz w:val="24"/>
          <w:szCs w:val="24"/>
        </w:rPr>
        <w:t xml:space="preserve"> </w:t>
      </w:r>
      <w:r w:rsidR="00422C90" w:rsidRPr="006317A5">
        <w:rPr>
          <w:sz w:val="24"/>
          <w:szCs w:val="24"/>
        </w:rPr>
        <w:t xml:space="preserve">taking a </w:t>
      </w:r>
      <w:proofErr w:type="spellStart"/>
      <w:r w:rsidR="00422C90" w:rsidRPr="006317A5">
        <w:rPr>
          <w:sz w:val="24"/>
          <w:szCs w:val="24"/>
        </w:rPr>
        <w:t>backcasting</w:t>
      </w:r>
      <w:proofErr w:type="spellEnd"/>
      <w:r w:rsidR="00422C90" w:rsidRPr="006317A5">
        <w:rPr>
          <w:sz w:val="24"/>
          <w:szCs w:val="24"/>
        </w:rPr>
        <w:t xml:space="preserve"> approach</w:t>
      </w:r>
      <w:r w:rsidR="000C4826" w:rsidRPr="006317A5">
        <w:rPr>
          <w:sz w:val="24"/>
          <w:szCs w:val="24"/>
        </w:rPr>
        <w:t xml:space="preserve"> to identify </w:t>
      </w:r>
      <w:r w:rsidR="00F57C3D" w:rsidRPr="006317A5">
        <w:rPr>
          <w:sz w:val="24"/>
          <w:szCs w:val="24"/>
        </w:rPr>
        <w:t>actionable outcomes</w:t>
      </w:r>
      <w:r w:rsidR="00422C90" w:rsidRPr="006317A5">
        <w:rPr>
          <w:sz w:val="24"/>
          <w:szCs w:val="24"/>
        </w:rPr>
        <w:t xml:space="preserve"> outlined in </w:t>
      </w:r>
      <w:r w:rsidR="003A3F7F" w:rsidRPr="006317A5">
        <w:rPr>
          <w:sz w:val="24"/>
          <w:szCs w:val="24"/>
        </w:rPr>
        <w:t>the Results section</w:t>
      </w:r>
      <w:r w:rsidR="000C4826" w:rsidRPr="006317A5">
        <w:rPr>
          <w:sz w:val="24"/>
          <w:szCs w:val="24"/>
        </w:rPr>
        <w:t>, was a serious attempt to drive momentum through co-created learning across policy areas, societal sectors</w:t>
      </w:r>
      <w:r w:rsidR="0027579E" w:rsidRPr="006317A5">
        <w:rPr>
          <w:sz w:val="24"/>
          <w:szCs w:val="24"/>
        </w:rPr>
        <w:t>,</w:t>
      </w:r>
      <w:r w:rsidR="000C4826" w:rsidRPr="006317A5">
        <w:rPr>
          <w:sz w:val="24"/>
          <w:szCs w:val="24"/>
        </w:rPr>
        <w:t xml:space="preserve"> and institutional </w:t>
      </w:r>
      <w:r w:rsidR="0027579E" w:rsidRPr="006317A5">
        <w:rPr>
          <w:sz w:val="24"/>
          <w:szCs w:val="24"/>
        </w:rPr>
        <w:t xml:space="preserve">and disciplinary </w:t>
      </w:r>
      <w:r w:rsidR="000C4826" w:rsidRPr="006317A5">
        <w:rPr>
          <w:sz w:val="24"/>
          <w:szCs w:val="24"/>
        </w:rPr>
        <w:t xml:space="preserve">remits.  </w:t>
      </w:r>
      <w:r w:rsidR="0027579E" w:rsidRPr="006317A5">
        <w:rPr>
          <w:sz w:val="24"/>
          <w:szCs w:val="24"/>
        </w:rPr>
        <w:t xml:space="preserve">In summary form, the identified actionable outcomes may appear normative; further work is certainly required to progress these outcomes into ‘real world’ </w:t>
      </w:r>
      <w:r w:rsidRPr="006317A5">
        <w:rPr>
          <w:sz w:val="24"/>
          <w:szCs w:val="24"/>
        </w:rPr>
        <w:t xml:space="preserve">policy </w:t>
      </w:r>
      <w:r w:rsidR="005B40FB" w:rsidRPr="006317A5">
        <w:rPr>
          <w:sz w:val="24"/>
          <w:szCs w:val="24"/>
        </w:rPr>
        <w:t>re</w:t>
      </w:r>
      <w:r w:rsidRPr="006317A5">
        <w:rPr>
          <w:sz w:val="24"/>
          <w:szCs w:val="24"/>
        </w:rPr>
        <w:t xml:space="preserve">formulation and changes in </w:t>
      </w:r>
      <w:r w:rsidR="00573CA0">
        <w:rPr>
          <w:sz w:val="24"/>
          <w:szCs w:val="24"/>
        </w:rPr>
        <w:t xml:space="preserve">routine </w:t>
      </w:r>
      <w:r w:rsidRPr="006317A5">
        <w:rPr>
          <w:sz w:val="24"/>
          <w:szCs w:val="24"/>
        </w:rPr>
        <w:t>practice</w:t>
      </w:r>
      <w:r w:rsidR="0027579E" w:rsidRPr="006317A5">
        <w:rPr>
          <w:sz w:val="24"/>
          <w:szCs w:val="24"/>
        </w:rPr>
        <w:t xml:space="preserve">.  </w:t>
      </w:r>
      <w:r w:rsidRPr="006317A5">
        <w:rPr>
          <w:sz w:val="24"/>
          <w:szCs w:val="24"/>
        </w:rPr>
        <w:t>Consequently, a</w:t>
      </w:r>
      <w:r w:rsidR="008945BF" w:rsidRPr="006317A5">
        <w:rPr>
          <w:sz w:val="24"/>
          <w:szCs w:val="24"/>
        </w:rPr>
        <w:t xml:space="preserve"> key consensual point agreed amongst participants at the symposium and </w:t>
      </w:r>
      <w:r w:rsidR="005B40FB" w:rsidRPr="006317A5">
        <w:rPr>
          <w:sz w:val="24"/>
          <w:szCs w:val="24"/>
        </w:rPr>
        <w:t xml:space="preserve">ongoing dialogue including in its </w:t>
      </w:r>
      <w:r w:rsidR="008945BF" w:rsidRPr="006317A5">
        <w:rPr>
          <w:sz w:val="24"/>
          <w:szCs w:val="24"/>
        </w:rPr>
        <w:t>write-up was that this is the start of a journey, rather than a conclusion</w:t>
      </w:r>
      <w:r w:rsidRPr="006317A5">
        <w:rPr>
          <w:sz w:val="24"/>
          <w:szCs w:val="24"/>
        </w:rPr>
        <w:t>.  Co-creation and r</w:t>
      </w:r>
      <w:r w:rsidR="0027579E" w:rsidRPr="006317A5">
        <w:rPr>
          <w:sz w:val="24"/>
          <w:szCs w:val="24"/>
        </w:rPr>
        <w:t xml:space="preserve">ecognition of actionable outcomes </w:t>
      </w:r>
      <w:r w:rsidRPr="006317A5">
        <w:rPr>
          <w:sz w:val="24"/>
          <w:szCs w:val="24"/>
        </w:rPr>
        <w:t xml:space="preserve">represents a first </w:t>
      </w:r>
      <w:r w:rsidR="0027579E" w:rsidRPr="006317A5">
        <w:rPr>
          <w:sz w:val="24"/>
          <w:szCs w:val="24"/>
        </w:rPr>
        <w:t>staging post towards actual transformation o</w:t>
      </w:r>
      <w:r w:rsidRPr="006317A5">
        <w:rPr>
          <w:sz w:val="24"/>
          <w:szCs w:val="24"/>
        </w:rPr>
        <w:t>f</w:t>
      </w:r>
      <w:r w:rsidR="0027579E" w:rsidRPr="006317A5">
        <w:rPr>
          <w:sz w:val="24"/>
          <w:szCs w:val="24"/>
        </w:rPr>
        <w:t xml:space="preserve"> policy and practice</w:t>
      </w:r>
      <w:r w:rsidR="008945BF" w:rsidRPr="006317A5">
        <w:rPr>
          <w:sz w:val="24"/>
          <w:szCs w:val="24"/>
        </w:rPr>
        <w:t>.</w:t>
      </w:r>
      <w:r w:rsidR="00422C90" w:rsidRPr="006317A5">
        <w:rPr>
          <w:sz w:val="24"/>
          <w:szCs w:val="24"/>
        </w:rPr>
        <w:t xml:space="preserve">  </w:t>
      </w:r>
      <w:r w:rsidR="008A3D4E" w:rsidRPr="006317A5">
        <w:rPr>
          <w:sz w:val="24"/>
          <w:szCs w:val="24"/>
        </w:rPr>
        <w:t>F</w:t>
      </w:r>
      <w:r w:rsidR="00422C90" w:rsidRPr="006317A5">
        <w:rPr>
          <w:sz w:val="24"/>
          <w:szCs w:val="24"/>
        </w:rPr>
        <w:t xml:space="preserve">urther steps are </w:t>
      </w:r>
      <w:r w:rsidR="008A3D4E" w:rsidRPr="006317A5">
        <w:rPr>
          <w:sz w:val="24"/>
          <w:szCs w:val="24"/>
        </w:rPr>
        <w:t xml:space="preserve">already </w:t>
      </w:r>
      <w:r w:rsidR="00422C90" w:rsidRPr="006317A5">
        <w:rPr>
          <w:sz w:val="24"/>
          <w:szCs w:val="24"/>
        </w:rPr>
        <w:t xml:space="preserve">being undertaken </w:t>
      </w:r>
      <w:r w:rsidR="008945BF" w:rsidRPr="006317A5">
        <w:rPr>
          <w:sz w:val="24"/>
          <w:szCs w:val="24"/>
        </w:rPr>
        <w:t xml:space="preserve">through </w:t>
      </w:r>
      <w:r w:rsidR="00422C90" w:rsidRPr="006317A5">
        <w:rPr>
          <w:sz w:val="24"/>
          <w:szCs w:val="24"/>
        </w:rPr>
        <w:t xml:space="preserve">continuing dialogue between </w:t>
      </w:r>
      <w:r w:rsidR="003A3F7F" w:rsidRPr="006317A5">
        <w:rPr>
          <w:sz w:val="24"/>
          <w:szCs w:val="24"/>
        </w:rPr>
        <w:t>symposium partners</w:t>
      </w:r>
      <w:r w:rsidR="008945BF" w:rsidRPr="006317A5">
        <w:rPr>
          <w:sz w:val="24"/>
          <w:szCs w:val="24"/>
        </w:rPr>
        <w:t xml:space="preserve">, </w:t>
      </w:r>
      <w:r w:rsidR="008A3D4E" w:rsidRPr="006317A5">
        <w:rPr>
          <w:sz w:val="24"/>
          <w:szCs w:val="24"/>
        </w:rPr>
        <w:t xml:space="preserve">in </w:t>
      </w:r>
      <w:r w:rsidR="008945BF" w:rsidRPr="006317A5">
        <w:rPr>
          <w:sz w:val="24"/>
          <w:szCs w:val="24"/>
        </w:rPr>
        <w:t>individual action</w:t>
      </w:r>
      <w:r w:rsidR="008A3D4E" w:rsidRPr="006317A5">
        <w:rPr>
          <w:sz w:val="24"/>
          <w:szCs w:val="24"/>
        </w:rPr>
        <w:t>s</w:t>
      </w:r>
      <w:r w:rsidR="008945BF" w:rsidRPr="006317A5">
        <w:rPr>
          <w:sz w:val="24"/>
          <w:szCs w:val="24"/>
        </w:rPr>
        <w:t xml:space="preserve"> </w:t>
      </w:r>
      <w:r w:rsidR="008A3D4E" w:rsidRPr="006317A5">
        <w:rPr>
          <w:sz w:val="24"/>
          <w:szCs w:val="24"/>
        </w:rPr>
        <w:t xml:space="preserve">undertaken </w:t>
      </w:r>
      <w:r w:rsidR="008945BF" w:rsidRPr="006317A5">
        <w:rPr>
          <w:sz w:val="24"/>
          <w:szCs w:val="24"/>
        </w:rPr>
        <w:t xml:space="preserve">by partners implementing outcomes within their spheres of influence, and </w:t>
      </w:r>
      <w:r w:rsidR="008A3D4E" w:rsidRPr="006317A5">
        <w:rPr>
          <w:sz w:val="24"/>
          <w:szCs w:val="24"/>
        </w:rPr>
        <w:t xml:space="preserve">by a collective </w:t>
      </w:r>
      <w:r w:rsidR="008945BF" w:rsidRPr="006317A5">
        <w:rPr>
          <w:sz w:val="24"/>
          <w:szCs w:val="24"/>
        </w:rPr>
        <w:t xml:space="preserve">intention to maintain an ongoing learning network </w:t>
      </w:r>
      <w:r w:rsidR="00E22466" w:rsidRPr="006317A5">
        <w:rPr>
          <w:sz w:val="24"/>
          <w:szCs w:val="24"/>
        </w:rPr>
        <w:t>potential</w:t>
      </w:r>
      <w:r w:rsidR="0027579E" w:rsidRPr="006317A5">
        <w:rPr>
          <w:sz w:val="24"/>
          <w:szCs w:val="24"/>
        </w:rPr>
        <w:t>ly</w:t>
      </w:r>
      <w:r w:rsidR="00E22466" w:rsidRPr="006317A5">
        <w:rPr>
          <w:sz w:val="24"/>
          <w:szCs w:val="24"/>
        </w:rPr>
        <w:t xml:space="preserve"> </w:t>
      </w:r>
      <w:r w:rsidR="008945BF" w:rsidRPr="006317A5">
        <w:rPr>
          <w:sz w:val="24"/>
          <w:szCs w:val="24"/>
        </w:rPr>
        <w:t xml:space="preserve">featuring future meetings. </w:t>
      </w:r>
    </w:p>
    <w:p w14:paraId="3AD0FC92" w14:textId="03B70BBA" w:rsidR="008A3D4E" w:rsidRDefault="007F319F" w:rsidP="008A3D4E">
      <w:pPr>
        <w:contextualSpacing/>
        <w:rPr>
          <w:sz w:val="24"/>
          <w:szCs w:val="24"/>
        </w:rPr>
      </w:pPr>
      <w:r w:rsidRPr="00976078">
        <w:rPr>
          <w:sz w:val="24"/>
          <w:szCs w:val="24"/>
        </w:rPr>
        <w:t xml:space="preserve">This paper has focused on a first stage of identification of solutions, prior to their further development into practical policy and action.  Recent lockdown measures due to the Covid-19 pandemic have limited opportunities for </w:t>
      </w:r>
      <w:r w:rsidR="008A3D4E" w:rsidRPr="00976078">
        <w:rPr>
          <w:sz w:val="24"/>
          <w:szCs w:val="24"/>
        </w:rPr>
        <w:t xml:space="preserve">physical </w:t>
      </w:r>
      <w:r w:rsidRPr="00976078">
        <w:rPr>
          <w:sz w:val="24"/>
          <w:szCs w:val="24"/>
        </w:rPr>
        <w:t>follow-up workshops, but digital dialogue between symposium partners has continued.</w:t>
      </w:r>
      <w:r w:rsidR="0027579E" w:rsidRPr="00976078">
        <w:rPr>
          <w:sz w:val="24"/>
          <w:szCs w:val="24"/>
        </w:rPr>
        <w:t xml:space="preserve"> </w:t>
      </w:r>
      <w:r w:rsidRPr="00976078">
        <w:rPr>
          <w:sz w:val="24"/>
          <w:szCs w:val="24"/>
        </w:rPr>
        <w:t xml:space="preserve"> </w:t>
      </w:r>
      <w:r w:rsidR="0027579E" w:rsidRPr="00976078">
        <w:rPr>
          <w:sz w:val="24"/>
          <w:szCs w:val="24"/>
        </w:rPr>
        <w:t xml:space="preserve">The </w:t>
      </w:r>
      <w:r w:rsidR="00A11451" w:rsidRPr="00976078">
        <w:rPr>
          <w:sz w:val="24"/>
          <w:szCs w:val="24"/>
        </w:rPr>
        <w:t xml:space="preserve">wave of </w:t>
      </w:r>
      <w:r w:rsidR="0027579E" w:rsidRPr="00976078">
        <w:rPr>
          <w:sz w:val="24"/>
          <w:szCs w:val="24"/>
        </w:rPr>
        <w:t xml:space="preserve">Covid-19 </w:t>
      </w:r>
      <w:r w:rsidR="00A11451" w:rsidRPr="00976078">
        <w:rPr>
          <w:sz w:val="24"/>
          <w:szCs w:val="24"/>
        </w:rPr>
        <w:t>spread does, however, present opportunities due to the inevitable resetting of societal norms as, it is hoped, the pande</w:t>
      </w:r>
      <w:r w:rsidR="00A11451" w:rsidRPr="00AB73CC">
        <w:rPr>
          <w:sz w:val="24"/>
          <w:szCs w:val="24"/>
        </w:rPr>
        <w:t>mic abates</w:t>
      </w:r>
      <w:r w:rsidR="008A3D4E" w:rsidRPr="00AB73CC">
        <w:rPr>
          <w:sz w:val="24"/>
          <w:szCs w:val="24"/>
        </w:rPr>
        <w:t xml:space="preserve">.  </w:t>
      </w:r>
      <w:r w:rsidR="00976078" w:rsidRPr="00AB73CC">
        <w:rPr>
          <w:sz w:val="24"/>
          <w:szCs w:val="24"/>
        </w:rPr>
        <w:t>Although different societal groups are affected by Covid-19 in different ways exposing multiple ‘fracture lines’ across society (</w:t>
      </w:r>
      <w:proofErr w:type="spellStart"/>
      <w:r w:rsidR="00976078" w:rsidRPr="00AB73CC">
        <w:rPr>
          <w:sz w:val="24"/>
          <w:szCs w:val="24"/>
        </w:rPr>
        <w:t>Scambler</w:t>
      </w:r>
      <w:proofErr w:type="spellEnd"/>
      <w:r w:rsidR="00976078" w:rsidRPr="00AB73CC">
        <w:rPr>
          <w:sz w:val="24"/>
          <w:szCs w:val="24"/>
        </w:rPr>
        <w:t xml:space="preserve">, 2020), it has </w:t>
      </w:r>
      <w:r w:rsidR="008201DD">
        <w:rPr>
          <w:sz w:val="24"/>
          <w:szCs w:val="24"/>
        </w:rPr>
        <w:t xml:space="preserve">not only </w:t>
      </w:r>
      <w:r w:rsidR="00976078" w:rsidRPr="00AB73CC">
        <w:rPr>
          <w:sz w:val="24"/>
          <w:szCs w:val="24"/>
        </w:rPr>
        <w:t>introduced a range of positive and negative indirect environmental effects in the short term (</w:t>
      </w:r>
      <w:r w:rsidR="00AB73CC" w:rsidRPr="00AB73CC">
        <w:rPr>
          <w:sz w:val="24"/>
          <w:szCs w:val="24"/>
        </w:rPr>
        <w:t xml:space="preserve">Zambrano-Monserrate </w:t>
      </w:r>
      <w:r w:rsidR="00AB73CC" w:rsidRPr="00AB73CC">
        <w:rPr>
          <w:i/>
          <w:sz w:val="24"/>
          <w:szCs w:val="24"/>
        </w:rPr>
        <w:t>et al</w:t>
      </w:r>
      <w:r w:rsidR="00AB73CC" w:rsidRPr="00AB73CC">
        <w:rPr>
          <w:sz w:val="24"/>
          <w:szCs w:val="24"/>
        </w:rPr>
        <w:t>.</w:t>
      </w:r>
      <w:r w:rsidR="00976078" w:rsidRPr="00AB73CC">
        <w:rPr>
          <w:sz w:val="24"/>
          <w:szCs w:val="24"/>
        </w:rPr>
        <w:t xml:space="preserve">, 2020) but has also </w:t>
      </w:r>
      <w:r w:rsidR="00AB73CC" w:rsidRPr="00AB73CC">
        <w:rPr>
          <w:sz w:val="24"/>
          <w:szCs w:val="24"/>
        </w:rPr>
        <w:t xml:space="preserve">placed </w:t>
      </w:r>
      <w:r w:rsidR="00A11451" w:rsidRPr="00AB73CC">
        <w:rPr>
          <w:sz w:val="24"/>
          <w:szCs w:val="24"/>
        </w:rPr>
        <w:t xml:space="preserve">greater emphasis on </w:t>
      </w:r>
      <w:r w:rsidR="00AB73CC" w:rsidRPr="00AB73CC">
        <w:rPr>
          <w:sz w:val="24"/>
          <w:szCs w:val="24"/>
        </w:rPr>
        <w:t xml:space="preserve">links between </w:t>
      </w:r>
      <w:r w:rsidR="008A3D4E" w:rsidRPr="00AB73CC">
        <w:rPr>
          <w:sz w:val="24"/>
          <w:szCs w:val="24"/>
        </w:rPr>
        <w:t xml:space="preserve">public health </w:t>
      </w:r>
      <w:r w:rsidR="00AB73CC" w:rsidRPr="00AB73CC">
        <w:rPr>
          <w:sz w:val="24"/>
          <w:szCs w:val="24"/>
        </w:rPr>
        <w:t xml:space="preserve">and </w:t>
      </w:r>
      <w:r w:rsidR="00A11451" w:rsidRPr="006317A5">
        <w:rPr>
          <w:sz w:val="24"/>
          <w:szCs w:val="24"/>
        </w:rPr>
        <w:t>ecosystem health</w:t>
      </w:r>
      <w:r w:rsidR="008A3D4E" w:rsidRPr="006317A5">
        <w:rPr>
          <w:sz w:val="24"/>
          <w:szCs w:val="24"/>
        </w:rPr>
        <w:t>.  This</w:t>
      </w:r>
      <w:r w:rsidR="005B40FB" w:rsidRPr="006317A5">
        <w:rPr>
          <w:sz w:val="24"/>
          <w:szCs w:val="24"/>
        </w:rPr>
        <w:t xml:space="preserve"> environment-health</w:t>
      </w:r>
      <w:r w:rsidR="008A3D4E" w:rsidRPr="006317A5">
        <w:rPr>
          <w:sz w:val="24"/>
          <w:szCs w:val="24"/>
        </w:rPr>
        <w:t xml:space="preserve"> link is being further investigated, for example, by exploration of the role of ecosystem</w:t>
      </w:r>
      <w:r w:rsidR="005B40FB" w:rsidRPr="006317A5">
        <w:rPr>
          <w:sz w:val="24"/>
          <w:szCs w:val="24"/>
        </w:rPr>
        <w:t xml:space="preserve"> processe</w:t>
      </w:r>
      <w:r w:rsidR="008A3D4E" w:rsidRPr="006317A5">
        <w:rPr>
          <w:sz w:val="24"/>
          <w:szCs w:val="24"/>
        </w:rPr>
        <w:t xml:space="preserve">s </w:t>
      </w:r>
      <w:r w:rsidR="005B40FB" w:rsidRPr="006317A5">
        <w:rPr>
          <w:sz w:val="24"/>
          <w:szCs w:val="24"/>
        </w:rPr>
        <w:t xml:space="preserve">and management </w:t>
      </w:r>
      <w:r w:rsidR="008A3D4E" w:rsidRPr="006317A5">
        <w:rPr>
          <w:sz w:val="24"/>
          <w:szCs w:val="24"/>
        </w:rPr>
        <w:t xml:space="preserve">in the </w:t>
      </w:r>
      <w:r w:rsidR="00A11451" w:rsidRPr="006317A5">
        <w:rPr>
          <w:sz w:val="24"/>
          <w:szCs w:val="24"/>
        </w:rPr>
        <w:t>emergence of zoonotic diseases</w:t>
      </w:r>
      <w:r w:rsidR="00C661E1">
        <w:rPr>
          <w:sz w:val="24"/>
          <w:szCs w:val="24"/>
        </w:rPr>
        <w:t xml:space="preserve"> where o</w:t>
      </w:r>
      <w:r w:rsidR="00C661E1" w:rsidRPr="00C661E1">
        <w:rPr>
          <w:sz w:val="24"/>
          <w:szCs w:val="24"/>
        </w:rPr>
        <w:t xml:space="preserve">ver 75% of all new infectious diseases in humans have their origin in animals </w:t>
      </w:r>
      <w:r w:rsidR="00C661E1">
        <w:rPr>
          <w:sz w:val="24"/>
          <w:szCs w:val="24"/>
        </w:rPr>
        <w:t>(</w:t>
      </w:r>
      <w:r w:rsidR="009A3D55">
        <w:rPr>
          <w:sz w:val="24"/>
          <w:szCs w:val="24"/>
        </w:rPr>
        <w:t xml:space="preserve">Diaz, </w:t>
      </w:r>
      <w:r w:rsidR="009A3D55" w:rsidRPr="00D815C0">
        <w:rPr>
          <w:i/>
          <w:sz w:val="24"/>
          <w:szCs w:val="24"/>
        </w:rPr>
        <w:t>et al</w:t>
      </w:r>
      <w:r w:rsidR="00C661E1">
        <w:rPr>
          <w:sz w:val="24"/>
          <w:szCs w:val="24"/>
        </w:rPr>
        <w:t>,</w:t>
      </w:r>
      <w:r w:rsidR="00C661E1" w:rsidRPr="00C661E1">
        <w:rPr>
          <w:sz w:val="24"/>
          <w:szCs w:val="24"/>
        </w:rPr>
        <w:t xml:space="preserve"> 2019</w:t>
      </w:r>
      <w:r w:rsidR="00C661E1">
        <w:rPr>
          <w:sz w:val="24"/>
          <w:szCs w:val="24"/>
        </w:rPr>
        <w:t>)</w:t>
      </w:r>
      <w:r w:rsidR="005B40FB" w:rsidRPr="006317A5">
        <w:rPr>
          <w:sz w:val="24"/>
          <w:szCs w:val="24"/>
        </w:rPr>
        <w:t>,</w:t>
      </w:r>
      <w:r w:rsidR="00A11451" w:rsidRPr="006317A5">
        <w:rPr>
          <w:sz w:val="24"/>
          <w:szCs w:val="24"/>
        </w:rPr>
        <w:t xml:space="preserve"> and </w:t>
      </w:r>
      <w:r w:rsidR="005B40FB" w:rsidRPr="006317A5">
        <w:rPr>
          <w:sz w:val="24"/>
          <w:szCs w:val="24"/>
        </w:rPr>
        <w:t xml:space="preserve">in </w:t>
      </w:r>
      <w:r w:rsidR="008A3D4E" w:rsidRPr="006317A5">
        <w:rPr>
          <w:sz w:val="24"/>
          <w:szCs w:val="24"/>
        </w:rPr>
        <w:t xml:space="preserve">natural resource security enabling management of subsequent human-to-human </w:t>
      </w:r>
      <w:r w:rsidR="00A11451" w:rsidRPr="006317A5">
        <w:rPr>
          <w:sz w:val="24"/>
          <w:szCs w:val="24"/>
        </w:rPr>
        <w:t xml:space="preserve">transmission and </w:t>
      </w:r>
      <w:r w:rsidR="005B40FB" w:rsidRPr="006317A5">
        <w:rPr>
          <w:sz w:val="24"/>
          <w:szCs w:val="24"/>
        </w:rPr>
        <w:t xml:space="preserve">disease </w:t>
      </w:r>
      <w:r w:rsidR="00A11451" w:rsidRPr="006317A5">
        <w:rPr>
          <w:sz w:val="24"/>
          <w:szCs w:val="24"/>
        </w:rPr>
        <w:t xml:space="preserve">treatment (Everard </w:t>
      </w:r>
      <w:r w:rsidR="00A11451" w:rsidRPr="006317A5">
        <w:rPr>
          <w:i/>
          <w:sz w:val="24"/>
          <w:szCs w:val="24"/>
        </w:rPr>
        <w:t>et al</w:t>
      </w:r>
      <w:r w:rsidR="00A11451" w:rsidRPr="006317A5">
        <w:rPr>
          <w:sz w:val="24"/>
          <w:szCs w:val="24"/>
        </w:rPr>
        <w:t>.,</w:t>
      </w:r>
      <w:r w:rsidR="003D092B">
        <w:rPr>
          <w:sz w:val="24"/>
          <w:szCs w:val="24"/>
        </w:rPr>
        <w:t xml:space="preserve"> 2020</w:t>
      </w:r>
      <w:r w:rsidR="00A11451" w:rsidRPr="006317A5">
        <w:rPr>
          <w:sz w:val="24"/>
          <w:szCs w:val="24"/>
        </w:rPr>
        <w:t>).</w:t>
      </w:r>
      <w:r w:rsidR="008A3D4E" w:rsidRPr="006317A5">
        <w:rPr>
          <w:sz w:val="24"/>
          <w:szCs w:val="24"/>
        </w:rPr>
        <w:t xml:space="preserve">  </w:t>
      </w:r>
      <w:r w:rsidR="005B40FB" w:rsidRPr="006317A5">
        <w:rPr>
          <w:sz w:val="24"/>
          <w:szCs w:val="24"/>
        </w:rPr>
        <w:t>R</w:t>
      </w:r>
      <w:r w:rsidR="008A3D4E" w:rsidRPr="006317A5">
        <w:rPr>
          <w:sz w:val="24"/>
          <w:szCs w:val="24"/>
        </w:rPr>
        <w:t xml:space="preserve">ecalculation of societal norms </w:t>
      </w:r>
      <w:r w:rsidR="00573CA0" w:rsidRPr="00573CA0">
        <w:rPr>
          <w:sz w:val="24"/>
          <w:szCs w:val="24"/>
        </w:rPr>
        <w:t>and establishing new routines</w:t>
      </w:r>
      <w:r w:rsidR="00573CA0">
        <w:rPr>
          <w:sz w:val="24"/>
          <w:szCs w:val="24"/>
        </w:rPr>
        <w:t xml:space="preserve"> </w:t>
      </w:r>
      <w:r w:rsidR="008A3D4E" w:rsidRPr="006317A5">
        <w:rPr>
          <w:sz w:val="24"/>
          <w:szCs w:val="24"/>
        </w:rPr>
        <w:t xml:space="preserve">in the wake of the pandemic, and importantly also in pre-empting and ideally averting the likelihood of </w:t>
      </w:r>
      <w:r w:rsidR="00AB73CC">
        <w:rPr>
          <w:sz w:val="24"/>
          <w:szCs w:val="24"/>
        </w:rPr>
        <w:t>Co</w:t>
      </w:r>
      <w:r w:rsidR="00C478FA">
        <w:rPr>
          <w:sz w:val="24"/>
          <w:szCs w:val="24"/>
        </w:rPr>
        <w:t>v</w:t>
      </w:r>
      <w:r w:rsidR="00AB73CC">
        <w:rPr>
          <w:sz w:val="24"/>
          <w:szCs w:val="24"/>
        </w:rPr>
        <w:t xml:space="preserve">id-19 resurgence and also </w:t>
      </w:r>
      <w:r w:rsidR="008A3D4E" w:rsidRPr="006317A5">
        <w:rPr>
          <w:sz w:val="24"/>
          <w:szCs w:val="24"/>
        </w:rPr>
        <w:t>future novel disease epidemics, has ramifications for embedding ecosystems thinking more widely across societal policy areas.  The unprecedented scale and pace of mobilisation of legislative and financial responses to the current Covid-19 crisis demonstrates that society can react rapidly</w:t>
      </w:r>
      <w:r w:rsidR="006317A5" w:rsidRPr="006317A5">
        <w:rPr>
          <w:sz w:val="24"/>
          <w:szCs w:val="24"/>
        </w:rPr>
        <w:t xml:space="preserve">, </w:t>
      </w:r>
      <w:r w:rsidR="008A3D4E" w:rsidRPr="006317A5">
        <w:rPr>
          <w:sz w:val="24"/>
          <w:szCs w:val="24"/>
        </w:rPr>
        <w:t xml:space="preserve">substantively </w:t>
      </w:r>
      <w:r w:rsidR="006317A5" w:rsidRPr="006317A5">
        <w:rPr>
          <w:sz w:val="24"/>
          <w:szCs w:val="24"/>
        </w:rPr>
        <w:t xml:space="preserve">and internationally </w:t>
      </w:r>
      <w:r w:rsidR="008A3D4E" w:rsidRPr="006317A5">
        <w:rPr>
          <w:sz w:val="24"/>
          <w:szCs w:val="24"/>
        </w:rPr>
        <w:t>to crises</w:t>
      </w:r>
      <w:r w:rsidR="005B40FB" w:rsidRPr="006317A5">
        <w:rPr>
          <w:sz w:val="24"/>
          <w:szCs w:val="24"/>
        </w:rPr>
        <w:t xml:space="preserve">.  The contemporary </w:t>
      </w:r>
      <w:r w:rsidR="008A3D4E" w:rsidRPr="006317A5">
        <w:rPr>
          <w:sz w:val="24"/>
          <w:szCs w:val="24"/>
        </w:rPr>
        <w:t>‘climate emergency’ and ‘biodiversity crisis’</w:t>
      </w:r>
      <w:r w:rsidR="005B40FB" w:rsidRPr="006317A5">
        <w:rPr>
          <w:sz w:val="24"/>
          <w:szCs w:val="24"/>
        </w:rPr>
        <w:t xml:space="preserve">, both </w:t>
      </w:r>
      <w:r w:rsidR="008201DD">
        <w:rPr>
          <w:sz w:val="24"/>
          <w:szCs w:val="24"/>
        </w:rPr>
        <w:t xml:space="preserve">also </w:t>
      </w:r>
      <w:r w:rsidR="005B40FB" w:rsidRPr="006317A5">
        <w:rPr>
          <w:sz w:val="24"/>
          <w:szCs w:val="24"/>
        </w:rPr>
        <w:t>recognised globally,</w:t>
      </w:r>
      <w:r w:rsidR="008A3D4E" w:rsidRPr="006317A5">
        <w:rPr>
          <w:sz w:val="24"/>
          <w:szCs w:val="24"/>
        </w:rPr>
        <w:t xml:space="preserve"> demand equally proportionate responses</w:t>
      </w:r>
      <w:r w:rsidR="005B40FB" w:rsidRPr="006317A5">
        <w:rPr>
          <w:sz w:val="24"/>
          <w:szCs w:val="24"/>
        </w:rPr>
        <w:t xml:space="preserve"> as their long-term consequences are likely to be even more profound,</w:t>
      </w:r>
      <w:r w:rsidR="008A3D4E" w:rsidRPr="006317A5">
        <w:rPr>
          <w:sz w:val="24"/>
          <w:szCs w:val="24"/>
        </w:rPr>
        <w:t xml:space="preserve"> albeit that these existential threats are perceived as unfolding at a slower pace</w:t>
      </w:r>
      <w:r w:rsidR="006317A5" w:rsidRPr="006317A5">
        <w:rPr>
          <w:sz w:val="24"/>
          <w:szCs w:val="24"/>
        </w:rPr>
        <w:t xml:space="preserve"> and thereby evade such immediate political focus</w:t>
      </w:r>
      <w:r w:rsidR="008A3D4E" w:rsidRPr="006317A5">
        <w:rPr>
          <w:sz w:val="24"/>
          <w:szCs w:val="24"/>
        </w:rPr>
        <w:t>.</w:t>
      </w:r>
      <w:r w:rsidR="00AB73CC">
        <w:rPr>
          <w:sz w:val="24"/>
          <w:szCs w:val="24"/>
        </w:rPr>
        <w:t xml:space="preserve">  </w:t>
      </w:r>
      <w:r w:rsidR="008A3D4E" w:rsidRPr="006317A5">
        <w:rPr>
          <w:sz w:val="24"/>
          <w:szCs w:val="24"/>
        </w:rPr>
        <w:t>There is also the matter of societal choice post-pandemic</w:t>
      </w:r>
      <w:r w:rsidR="006317A5" w:rsidRPr="006317A5">
        <w:rPr>
          <w:sz w:val="24"/>
          <w:szCs w:val="24"/>
        </w:rPr>
        <w:t xml:space="preserve">.  In news media (if not yet peer-reviewed literature), we are witnessing </w:t>
      </w:r>
      <w:r w:rsidR="008A3D4E" w:rsidRPr="006317A5">
        <w:rPr>
          <w:sz w:val="24"/>
          <w:szCs w:val="24"/>
        </w:rPr>
        <w:t xml:space="preserve">widespread recognition </w:t>
      </w:r>
      <w:r w:rsidR="006317A5" w:rsidRPr="006317A5">
        <w:rPr>
          <w:sz w:val="24"/>
          <w:szCs w:val="24"/>
        </w:rPr>
        <w:t xml:space="preserve">and welcoming of </w:t>
      </w:r>
      <w:r w:rsidR="008A3D4E" w:rsidRPr="006317A5">
        <w:rPr>
          <w:sz w:val="24"/>
          <w:szCs w:val="24"/>
        </w:rPr>
        <w:t xml:space="preserve">cleaner air and waterways and </w:t>
      </w:r>
      <w:r w:rsidR="008201DD">
        <w:rPr>
          <w:sz w:val="24"/>
          <w:szCs w:val="24"/>
        </w:rPr>
        <w:t xml:space="preserve">an </w:t>
      </w:r>
      <w:r w:rsidR="008A3D4E" w:rsidRPr="006317A5">
        <w:rPr>
          <w:sz w:val="24"/>
          <w:szCs w:val="24"/>
        </w:rPr>
        <w:t xml:space="preserve">upsurge of wildlife in urban centres, </w:t>
      </w:r>
      <w:r w:rsidR="006317A5" w:rsidRPr="006317A5">
        <w:rPr>
          <w:sz w:val="24"/>
          <w:szCs w:val="24"/>
        </w:rPr>
        <w:t xml:space="preserve">as well as </w:t>
      </w:r>
      <w:r w:rsidR="008A3D4E" w:rsidRPr="006317A5">
        <w:rPr>
          <w:sz w:val="24"/>
          <w:szCs w:val="24"/>
        </w:rPr>
        <w:t>quieter and less travel-demanding working and domestic lifestyles also contributing positively to better home-work balance</w:t>
      </w:r>
      <w:r w:rsidR="005B40FB" w:rsidRPr="006317A5">
        <w:rPr>
          <w:sz w:val="24"/>
          <w:szCs w:val="24"/>
        </w:rPr>
        <w:t xml:space="preserve"> during ‘lock-down’</w:t>
      </w:r>
      <w:r w:rsidR="006317A5" w:rsidRPr="006317A5">
        <w:rPr>
          <w:sz w:val="24"/>
          <w:szCs w:val="24"/>
        </w:rPr>
        <w:t>.  A</w:t>
      </w:r>
      <w:r w:rsidR="008A3D4E" w:rsidRPr="006317A5">
        <w:rPr>
          <w:sz w:val="24"/>
          <w:szCs w:val="24"/>
        </w:rPr>
        <w:t xml:space="preserve">ll sectors of society having agency in </w:t>
      </w:r>
      <w:bookmarkStart w:id="21" w:name="_Hlk46855121"/>
      <w:r w:rsidR="008A3D4E" w:rsidRPr="006317A5">
        <w:rPr>
          <w:sz w:val="24"/>
          <w:szCs w:val="24"/>
        </w:rPr>
        <w:t xml:space="preserve">influencing </w:t>
      </w:r>
      <w:r w:rsidR="002255D4">
        <w:rPr>
          <w:sz w:val="24"/>
          <w:szCs w:val="24"/>
        </w:rPr>
        <w:t xml:space="preserve">increasingly </w:t>
      </w:r>
      <w:r w:rsidR="008A3D4E" w:rsidRPr="006317A5">
        <w:rPr>
          <w:sz w:val="24"/>
          <w:szCs w:val="24"/>
        </w:rPr>
        <w:t xml:space="preserve">nature- and human-centred norms </w:t>
      </w:r>
      <w:bookmarkEnd w:id="21"/>
      <w:r w:rsidR="008A3D4E" w:rsidRPr="006317A5">
        <w:rPr>
          <w:sz w:val="24"/>
          <w:szCs w:val="24"/>
        </w:rPr>
        <w:t>going forwards</w:t>
      </w:r>
      <w:r w:rsidR="005B40FB" w:rsidRPr="006317A5">
        <w:rPr>
          <w:sz w:val="24"/>
          <w:szCs w:val="24"/>
        </w:rPr>
        <w:t>, rather than permitting degrading cycles to automatically reassert.</w:t>
      </w:r>
    </w:p>
    <w:p w14:paraId="0AB86CEC" w14:textId="77777777" w:rsidR="00AB73CC" w:rsidRPr="006317A5" w:rsidRDefault="00AB73CC" w:rsidP="008A3D4E">
      <w:pPr>
        <w:contextualSpacing/>
        <w:rPr>
          <w:sz w:val="24"/>
          <w:szCs w:val="24"/>
        </w:rPr>
      </w:pPr>
    </w:p>
    <w:p w14:paraId="653F6B85" w14:textId="6E2850DD" w:rsidR="00512A65" w:rsidRDefault="005B40FB" w:rsidP="007F319F">
      <w:pPr>
        <w:widowControl w:val="0"/>
        <w:spacing w:line="276" w:lineRule="auto"/>
        <w:ind w:right="-188"/>
        <w:rPr>
          <w:sz w:val="24"/>
          <w:szCs w:val="24"/>
        </w:rPr>
      </w:pPr>
      <w:r w:rsidRPr="006317A5">
        <w:rPr>
          <w:sz w:val="24"/>
          <w:szCs w:val="24"/>
        </w:rPr>
        <w:t>In this study, a</w:t>
      </w:r>
      <w:r w:rsidR="00A11451" w:rsidRPr="006317A5">
        <w:rPr>
          <w:sz w:val="24"/>
          <w:szCs w:val="24"/>
        </w:rPr>
        <w:t>pplication of th</w:t>
      </w:r>
      <w:r w:rsidRPr="006317A5">
        <w:rPr>
          <w:sz w:val="24"/>
          <w:szCs w:val="24"/>
        </w:rPr>
        <w:t>e</w:t>
      </w:r>
      <w:r w:rsidR="00A11451" w:rsidRPr="006317A5">
        <w:rPr>
          <w:sz w:val="24"/>
          <w:szCs w:val="24"/>
        </w:rPr>
        <w:t xml:space="preserve"> deliberative and co-learning approach amongst mainly senior representatives from a range of disciplines, policy areas and societal sectors has proven </w:t>
      </w:r>
      <w:r w:rsidRPr="006317A5">
        <w:rPr>
          <w:sz w:val="24"/>
          <w:szCs w:val="24"/>
        </w:rPr>
        <w:t xml:space="preserve">valuable </w:t>
      </w:r>
      <w:r w:rsidR="00A11451" w:rsidRPr="006317A5">
        <w:rPr>
          <w:sz w:val="24"/>
          <w:szCs w:val="24"/>
        </w:rPr>
        <w:t xml:space="preserve">in co-creating actionable outcome, and in promoting a continuing learning journey, seeking to overcome the </w:t>
      </w:r>
      <w:r w:rsidRPr="006317A5">
        <w:rPr>
          <w:sz w:val="24"/>
          <w:szCs w:val="24"/>
        </w:rPr>
        <w:t xml:space="preserve">obstacles and navigate the </w:t>
      </w:r>
      <w:r w:rsidR="00A11451" w:rsidRPr="006317A5">
        <w:rPr>
          <w:sz w:val="24"/>
          <w:szCs w:val="24"/>
        </w:rPr>
        <w:t>complex issues entailed in reconnecting society with its ecological roots.  The journey of co-learning and application is still continuing as a legacy of the seminal symposium, and will be progressed to explore pathways to ‘real</w:t>
      </w:r>
      <w:r w:rsidR="00A11451">
        <w:rPr>
          <w:sz w:val="24"/>
          <w:szCs w:val="24"/>
        </w:rPr>
        <w:t xml:space="preserve"> world’ impact on policy formulation and reform of practice.  This approach is suitable for </w:t>
      </w:r>
      <w:bookmarkStart w:id="22" w:name="_Hlk46855180"/>
      <w:r w:rsidR="00A11451">
        <w:rPr>
          <w:sz w:val="24"/>
          <w:szCs w:val="24"/>
        </w:rPr>
        <w:t xml:space="preserve">replication to </w:t>
      </w:r>
      <w:r w:rsidR="002255D4">
        <w:rPr>
          <w:sz w:val="24"/>
          <w:szCs w:val="24"/>
        </w:rPr>
        <w:t xml:space="preserve">address </w:t>
      </w:r>
      <w:r w:rsidR="00A11451">
        <w:rPr>
          <w:sz w:val="24"/>
          <w:szCs w:val="24"/>
        </w:rPr>
        <w:t>other ‘wicked problems’</w:t>
      </w:r>
      <w:bookmarkEnd w:id="22"/>
      <w:r w:rsidR="00A11451">
        <w:rPr>
          <w:sz w:val="24"/>
          <w:szCs w:val="24"/>
        </w:rPr>
        <w:t xml:space="preserve"> (</w:t>
      </w:r>
      <w:proofErr w:type="spellStart"/>
      <w:r w:rsidR="00A11451" w:rsidRPr="00A11451">
        <w:rPr>
          <w:i/>
          <w:sz w:val="24"/>
          <w:szCs w:val="24"/>
        </w:rPr>
        <w:t>sensu</w:t>
      </w:r>
      <w:proofErr w:type="spellEnd"/>
      <w:r w:rsidR="00A11451">
        <w:rPr>
          <w:sz w:val="24"/>
          <w:szCs w:val="24"/>
        </w:rPr>
        <w:t xml:space="preserve"> </w:t>
      </w:r>
      <w:proofErr w:type="spellStart"/>
      <w:r w:rsidR="00183C54" w:rsidRPr="00183C54">
        <w:rPr>
          <w:sz w:val="24"/>
          <w:szCs w:val="24"/>
        </w:rPr>
        <w:t>Rittel</w:t>
      </w:r>
      <w:proofErr w:type="spellEnd"/>
      <w:r w:rsidR="00183C54" w:rsidRPr="00183C54">
        <w:rPr>
          <w:sz w:val="24"/>
          <w:szCs w:val="24"/>
        </w:rPr>
        <w:t xml:space="preserve"> and Webber, 1973</w:t>
      </w:r>
      <w:r w:rsidR="00183C54">
        <w:rPr>
          <w:sz w:val="24"/>
          <w:szCs w:val="24"/>
        </w:rPr>
        <w:t>), particular</w:t>
      </w:r>
      <w:r w:rsidR="00573CA0">
        <w:rPr>
          <w:sz w:val="24"/>
          <w:szCs w:val="24"/>
        </w:rPr>
        <w:t>ly</w:t>
      </w:r>
      <w:r w:rsidR="00183C54">
        <w:rPr>
          <w:sz w:val="24"/>
          <w:szCs w:val="24"/>
        </w:rPr>
        <w:t xml:space="preserve"> pertaining to sustainability challenges for which simple solutions are elusive due </w:t>
      </w:r>
      <w:r w:rsidR="00183C54" w:rsidRPr="00183C54">
        <w:rPr>
          <w:sz w:val="24"/>
          <w:szCs w:val="24"/>
        </w:rPr>
        <w:t>incomplete, contradictory and changing requirements</w:t>
      </w:r>
      <w:r w:rsidR="00183C54">
        <w:rPr>
          <w:sz w:val="24"/>
          <w:szCs w:val="24"/>
        </w:rPr>
        <w:t xml:space="preserve"> and evidence, and inevitable trade-offs between stakeholders</w:t>
      </w:r>
      <w:r w:rsidR="00183C54" w:rsidRPr="00183C54">
        <w:rPr>
          <w:sz w:val="24"/>
          <w:szCs w:val="24"/>
        </w:rPr>
        <w:t>.</w:t>
      </w:r>
    </w:p>
    <w:p w14:paraId="45B5DB0E" w14:textId="2C2166AF" w:rsidR="00271225" w:rsidRPr="000C7864" w:rsidRDefault="00132F8B" w:rsidP="00A16DB3">
      <w:pPr>
        <w:widowControl w:val="0"/>
        <w:spacing w:line="276" w:lineRule="auto"/>
        <w:ind w:right="-188"/>
        <w:rPr>
          <w:sz w:val="24"/>
          <w:szCs w:val="24"/>
        </w:rPr>
      </w:pPr>
      <w:r>
        <w:rPr>
          <w:sz w:val="24"/>
          <w:szCs w:val="24"/>
        </w:rPr>
        <w:t xml:space="preserve">Key </w:t>
      </w:r>
      <w:r w:rsidR="00A16DB3">
        <w:rPr>
          <w:sz w:val="24"/>
          <w:szCs w:val="24"/>
        </w:rPr>
        <w:t>conclusions emerg</w:t>
      </w:r>
      <w:r>
        <w:rPr>
          <w:sz w:val="24"/>
          <w:szCs w:val="24"/>
        </w:rPr>
        <w:t>ing</w:t>
      </w:r>
      <w:r w:rsidR="00A16DB3">
        <w:rPr>
          <w:sz w:val="24"/>
          <w:szCs w:val="24"/>
        </w:rPr>
        <w:t xml:space="preserve"> from this study</w:t>
      </w:r>
      <w:r>
        <w:rPr>
          <w:sz w:val="24"/>
          <w:szCs w:val="24"/>
        </w:rPr>
        <w:t xml:space="preserve"> are that</w:t>
      </w:r>
      <w:r w:rsidR="00A16DB3">
        <w:rPr>
          <w:sz w:val="24"/>
          <w:szCs w:val="24"/>
        </w:rPr>
        <w:t>:</w:t>
      </w:r>
    </w:p>
    <w:p w14:paraId="1688C06D" w14:textId="7208D2CA" w:rsidR="00132F8B" w:rsidRPr="000C7864" w:rsidRDefault="00132F8B" w:rsidP="00422C90">
      <w:pPr>
        <w:numPr>
          <w:ilvl w:val="0"/>
          <w:numId w:val="11"/>
        </w:numPr>
        <w:spacing w:line="276" w:lineRule="auto"/>
        <w:ind w:left="714" w:hanging="357"/>
        <w:rPr>
          <w:rFonts w:ascii="Calibri" w:eastAsia="Calibri" w:hAnsi="Calibri" w:cs="Times New Roman"/>
          <w:sz w:val="24"/>
          <w:szCs w:val="24"/>
        </w:rPr>
      </w:pPr>
      <w:r w:rsidRPr="000C7864">
        <w:rPr>
          <w:rFonts w:ascii="Calibri" w:eastAsia="Calibri" w:hAnsi="Calibri" w:cs="Times New Roman"/>
          <w:sz w:val="24"/>
          <w:szCs w:val="24"/>
        </w:rPr>
        <w:t xml:space="preserve">Ecosystem services and processes support </w:t>
      </w:r>
      <w:r w:rsidR="00573CA0">
        <w:rPr>
          <w:rFonts w:ascii="Calibri" w:eastAsia="Calibri" w:hAnsi="Calibri" w:cs="Times New Roman"/>
          <w:sz w:val="24"/>
          <w:szCs w:val="24"/>
        </w:rPr>
        <w:t xml:space="preserve">and connect </w:t>
      </w:r>
      <w:r w:rsidRPr="000C7864">
        <w:rPr>
          <w:rFonts w:ascii="Calibri" w:eastAsia="Calibri" w:hAnsi="Calibri" w:cs="Times New Roman"/>
          <w:sz w:val="24"/>
          <w:szCs w:val="24"/>
        </w:rPr>
        <w:t>all policy areas, and may equally be affected by them</w:t>
      </w:r>
      <w:r>
        <w:rPr>
          <w:rFonts w:ascii="Calibri" w:eastAsia="Calibri" w:hAnsi="Calibri" w:cs="Times New Roman"/>
          <w:sz w:val="24"/>
          <w:szCs w:val="24"/>
        </w:rPr>
        <w:t xml:space="preserve">, yet this broadly internationally consensual worldview and its supporting pronouncements and commitments </w:t>
      </w:r>
      <w:r w:rsidR="006317A5">
        <w:rPr>
          <w:rFonts w:ascii="Calibri" w:eastAsia="Calibri" w:hAnsi="Calibri" w:cs="Times New Roman"/>
          <w:sz w:val="24"/>
          <w:szCs w:val="24"/>
        </w:rPr>
        <w:t xml:space="preserve">(many adopted over generational timescales) </w:t>
      </w:r>
      <w:r>
        <w:rPr>
          <w:rFonts w:ascii="Calibri" w:eastAsia="Calibri" w:hAnsi="Calibri" w:cs="Times New Roman"/>
          <w:sz w:val="24"/>
          <w:szCs w:val="24"/>
        </w:rPr>
        <w:t xml:space="preserve">have yet substantially to drive </w:t>
      </w:r>
      <w:r w:rsidR="007F319F">
        <w:rPr>
          <w:rFonts w:ascii="Calibri" w:eastAsia="Calibri" w:hAnsi="Calibri" w:cs="Times New Roman"/>
          <w:sz w:val="24"/>
          <w:szCs w:val="24"/>
        </w:rPr>
        <w:t xml:space="preserve">transformation of current societal norms that are undermining vital </w:t>
      </w:r>
      <w:r>
        <w:rPr>
          <w:rFonts w:ascii="Calibri" w:eastAsia="Calibri" w:hAnsi="Calibri" w:cs="Times New Roman"/>
          <w:sz w:val="24"/>
          <w:szCs w:val="24"/>
        </w:rPr>
        <w:t>supporting ecosystems</w:t>
      </w:r>
      <w:r w:rsidRPr="000C7864">
        <w:rPr>
          <w:rFonts w:ascii="Calibri" w:eastAsia="Calibri" w:hAnsi="Calibri" w:cs="Times New Roman"/>
          <w:sz w:val="24"/>
          <w:szCs w:val="24"/>
        </w:rPr>
        <w:t>.</w:t>
      </w:r>
    </w:p>
    <w:p w14:paraId="3C92FBBE" w14:textId="0AB1B38D" w:rsidR="00C478FA" w:rsidRDefault="00C478FA" w:rsidP="00422C90">
      <w:pPr>
        <w:numPr>
          <w:ilvl w:val="0"/>
          <w:numId w:val="11"/>
        </w:numPr>
        <w:spacing w:line="276" w:lineRule="auto"/>
        <w:ind w:left="714" w:hanging="357"/>
        <w:rPr>
          <w:rFonts w:ascii="Calibri" w:eastAsia="Calibri" w:hAnsi="Calibri" w:cs="Times New Roman"/>
          <w:sz w:val="24"/>
          <w:szCs w:val="24"/>
        </w:rPr>
      </w:pPr>
      <w:r>
        <w:rPr>
          <w:rFonts w:ascii="Calibri" w:eastAsia="Calibri" w:hAnsi="Calibri" w:cs="Times New Roman"/>
          <w:sz w:val="24"/>
          <w:szCs w:val="24"/>
        </w:rPr>
        <w:t xml:space="preserve">Reconnecting society to its ecological roots practically entails recognition of the foundational roles played by ecosystems and their services in meeting societal needs across all </w:t>
      </w:r>
      <w:r w:rsidR="00AB231A">
        <w:rPr>
          <w:rFonts w:ascii="Calibri" w:eastAsia="Calibri" w:hAnsi="Calibri" w:cs="Times New Roman"/>
          <w:sz w:val="24"/>
          <w:szCs w:val="24"/>
        </w:rPr>
        <w:t xml:space="preserve">major societal policy areas and </w:t>
      </w:r>
      <w:r>
        <w:rPr>
          <w:rFonts w:ascii="Calibri" w:eastAsia="Calibri" w:hAnsi="Calibri" w:cs="Times New Roman"/>
          <w:sz w:val="24"/>
          <w:szCs w:val="24"/>
        </w:rPr>
        <w:t xml:space="preserve">sectors, </w:t>
      </w:r>
      <w:r w:rsidR="00AB231A">
        <w:rPr>
          <w:rFonts w:ascii="Calibri" w:eastAsia="Calibri" w:hAnsi="Calibri" w:cs="Times New Roman"/>
          <w:sz w:val="24"/>
          <w:szCs w:val="24"/>
        </w:rPr>
        <w:t xml:space="preserve">leading to </w:t>
      </w:r>
      <w:r>
        <w:rPr>
          <w:rFonts w:ascii="Calibri" w:eastAsia="Calibri" w:hAnsi="Calibri" w:cs="Times New Roman"/>
          <w:sz w:val="24"/>
          <w:szCs w:val="24"/>
        </w:rPr>
        <w:t xml:space="preserve">proportionate reform of policy and practice progressively to ensure that </w:t>
      </w:r>
      <w:r w:rsidR="00AB231A">
        <w:rPr>
          <w:rFonts w:ascii="Calibri" w:eastAsia="Calibri" w:hAnsi="Calibri" w:cs="Times New Roman"/>
          <w:sz w:val="24"/>
          <w:szCs w:val="24"/>
        </w:rPr>
        <w:t xml:space="preserve">their </w:t>
      </w:r>
      <w:r>
        <w:rPr>
          <w:rFonts w:ascii="Calibri" w:eastAsia="Calibri" w:hAnsi="Calibri" w:cs="Times New Roman"/>
          <w:sz w:val="24"/>
          <w:szCs w:val="24"/>
        </w:rPr>
        <w:t xml:space="preserve">capacities to continue </w:t>
      </w:r>
      <w:r w:rsidR="00AB231A">
        <w:rPr>
          <w:rFonts w:ascii="Calibri" w:eastAsia="Calibri" w:hAnsi="Calibri" w:cs="Times New Roman"/>
          <w:sz w:val="24"/>
          <w:szCs w:val="24"/>
        </w:rPr>
        <w:t xml:space="preserve">to support </w:t>
      </w:r>
      <w:r>
        <w:rPr>
          <w:rFonts w:ascii="Calibri" w:eastAsia="Calibri" w:hAnsi="Calibri" w:cs="Times New Roman"/>
          <w:sz w:val="24"/>
          <w:szCs w:val="24"/>
        </w:rPr>
        <w:t>societal needs are</w:t>
      </w:r>
      <w:r w:rsidR="00AB231A">
        <w:rPr>
          <w:rFonts w:ascii="Calibri" w:eastAsia="Calibri" w:hAnsi="Calibri" w:cs="Times New Roman"/>
          <w:sz w:val="24"/>
          <w:szCs w:val="24"/>
        </w:rPr>
        <w:t xml:space="preserve"> </w:t>
      </w:r>
      <w:r>
        <w:rPr>
          <w:rFonts w:ascii="Calibri" w:eastAsia="Calibri" w:hAnsi="Calibri" w:cs="Times New Roman"/>
          <w:sz w:val="24"/>
          <w:szCs w:val="24"/>
        </w:rPr>
        <w:t>no</w:t>
      </w:r>
      <w:r w:rsidR="00AB231A">
        <w:rPr>
          <w:rFonts w:ascii="Calibri" w:eastAsia="Calibri" w:hAnsi="Calibri" w:cs="Times New Roman"/>
          <w:sz w:val="24"/>
          <w:szCs w:val="24"/>
        </w:rPr>
        <w:t xml:space="preserve"> longer</w:t>
      </w:r>
      <w:r>
        <w:rPr>
          <w:rFonts w:ascii="Calibri" w:eastAsia="Calibri" w:hAnsi="Calibri" w:cs="Times New Roman"/>
          <w:sz w:val="24"/>
          <w:szCs w:val="24"/>
        </w:rPr>
        <w:t xml:space="preserve"> serially undermined.</w:t>
      </w:r>
    </w:p>
    <w:p w14:paraId="62CBBF31" w14:textId="3DA112E0" w:rsidR="00271225" w:rsidRPr="000C7864" w:rsidRDefault="00132F8B" w:rsidP="00422C90">
      <w:pPr>
        <w:numPr>
          <w:ilvl w:val="0"/>
          <w:numId w:val="11"/>
        </w:numPr>
        <w:spacing w:line="276" w:lineRule="auto"/>
        <w:ind w:left="714" w:hanging="357"/>
        <w:rPr>
          <w:rFonts w:ascii="Calibri" w:eastAsia="Calibri" w:hAnsi="Calibri" w:cs="Times New Roman"/>
          <w:sz w:val="24"/>
          <w:szCs w:val="24"/>
        </w:rPr>
      </w:pPr>
      <w:r>
        <w:rPr>
          <w:rFonts w:ascii="Calibri" w:eastAsia="Calibri" w:hAnsi="Calibri" w:cs="Times New Roman"/>
          <w:sz w:val="24"/>
          <w:szCs w:val="24"/>
        </w:rPr>
        <w:t xml:space="preserve">The </w:t>
      </w:r>
      <w:r w:rsidR="00271225" w:rsidRPr="000C7864">
        <w:rPr>
          <w:rFonts w:ascii="Calibri" w:eastAsia="Calibri" w:hAnsi="Calibri" w:cs="Times New Roman"/>
          <w:sz w:val="24"/>
          <w:szCs w:val="24"/>
        </w:rPr>
        <w:t xml:space="preserve">collaborative learning approach amongst senior players </w:t>
      </w:r>
      <w:r w:rsidR="006317A5">
        <w:rPr>
          <w:rFonts w:ascii="Calibri" w:eastAsia="Calibri" w:hAnsi="Calibri" w:cs="Times New Roman"/>
          <w:sz w:val="24"/>
          <w:szCs w:val="24"/>
        </w:rPr>
        <w:t xml:space="preserve">from </w:t>
      </w:r>
      <w:r w:rsidR="00271225" w:rsidRPr="000C7864">
        <w:rPr>
          <w:rFonts w:ascii="Calibri" w:eastAsia="Calibri" w:hAnsi="Calibri" w:cs="Times New Roman"/>
          <w:sz w:val="24"/>
          <w:szCs w:val="24"/>
        </w:rPr>
        <w:t xml:space="preserve">UK and international institutions </w:t>
      </w:r>
      <w:r>
        <w:rPr>
          <w:rFonts w:ascii="Calibri" w:eastAsia="Calibri" w:hAnsi="Calibri" w:cs="Times New Roman"/>
          <w:sz w:val="24"/>
          <w:szCs w:val="24"/>
        </w:rPr>
        <w:t xml:space="preserve">was helpful in identifying </w:t>
      </w:r>
      <w:r w:rsidR="00271225" w:rsidRPr="000C7864">
        <w:rPr>
          <w:rFonts w:ascii="Calibri" w:eastAsia="Calibri" w:hAnsi="Calibri" w:cs="Times New Roman"/>
          <w:sz w:val="24"/>
          <w:szCs w:val="24"/>
        </w:rPr>
        <w:t xml:space="preserve">breakthrough </w:t>
      </w:r>
      <w:r>
        <w:rPr>
          <w:rFonts w:ascii="Calibri" w:eastAsia="Calibri" w:hAnsi="Calibri" w:cs="Times New Roman"/>
          <w:sz w:val="24"/>
          <w:szCs w:val="24"/>
        </w:rPr>
        <w:t xml:space="preserve">ideas concerning actionable outcomes to overcome </w:t>
      </w:r>
      <w:r w:rsidR="00271225" w:rsidRPr="000C7864">
        <w:rPr>
          <w:rFonts w:ascii="Calibri" w:eastAsia="Calibri" w:hAnsi="Calibri" w:cs="Times New Roman"/>
          <w:sz w:val="24"/>
          <w:szCs w:val="24"/>
        </w:rPr>
        <w:t xml:space="preserve">obstacles to the embedding of the values of ecosystems across </w:t>
      </w:r>
      <w:r w:rsidR="00AB231A">
        <w:rPr>
          <w:rFonts w:ascii="Calibri" w:eastAsia="Calibri" w:hAnsi="Calibri" w:cs="Times New Roman"/>
          <w:sz w:val="24"/>
          <w:szCs w:val="24"/>
        </w:rPr>
        <w:t xml:space="preserve">major societal </w:t>
      </w:r>
      <w:r w:rsidR="00271225" w:rsidRPr="000C7864">
        <w:rPr>
          <w:rFonts w:ascii="Calibri" w:eastAsia="Calibri" w:hAnsi="Calibri" w:cs="Times New Roman"/>
          <w:sz w:val="24"/>
          <w:szCs w:val="24"/>
        </w:rPr>
        <w:t>policy areas.</w:t>
      </w:r>
    </w:p>
    <w:p w14:paraId="72272D71" w14:textId="58A1B24F" w:rsidR="00271225" w:rsidRPr="000C7864" w:rsidRDefault="00271225" w:rsidP="00422C90">
      <w:pPr>
        <w:numPr>
          <w:ilvl w:val="0"/>
          <w:numId w:val="11"/>
        </w:numPr>
        <w:spacing w:line="276" w:lineRule="auto"/>
        <w:ind w:left="714" w:hanging="357"/>
        <w:rPr>
          <w:rFonts w:ascii="Calibri" w:eastAsia="Calibri" w:hAnsi="Calibri" w:cs="Times New Roman"/>
          <w:sz w:val="24"/>
          <w:szCs w:val="24"/>
        </w:rPr>
      </w:pPr>
      <w:r w:rsidRPr="000C7864">
        <w:rPr>
          <w:rFonts w:ascii="Calibri" w:eastAsia="Calibri" w:hAnsi="Calibri" w:cs="Times New Roman"/>
          <w:sz w:val="24"/>
          <w:szCs w:val="24"/>
        </w:rPr>
        <w:t>Altruistic and preservationist approaches to safeguarding ecosystems cannot work if their consideration is external and retrospective to decision-making</w:t>
      </w:r>
      <w:r w:rsidR="00AB231A">
        <w:rPr>
          <w:rFonts w:ascii="Calibri" w:eastAsia="Calibri" w:hAnsi="Calibri" w:cs="Times New Roman"/>
          <w:sz w:val="24"/>
          <w:szCs w:val="24"/>
        </w:rPr>
        <w:t xml:space="preserve"> spanning a</w:t>
      </w:r>
      <w:r w:rsidR="00573CA0">
        <w:rPr>
          <w:rFonts w:ascii="Calibri" w:eastAsia="Calibri" w:hAnsi="Calibri" w:cs="Times New Roman"/>
          <w:sz w:val="24"/>
          <w:szCs w:val="24"/>
        </w:rPr>
        <w:t>l</w:t>
      </w:r>
      <w:r w:rsidR="00AB231A">
        <w:rPr>
          <w:rFonts w:ascii="Calibri" w:eastAsia="Calibri" w:hAnsi="Calibri" w:cs="Times New Roman"/>
          <w:sz w:val="24"/>
          <w:szCs w:val="24"/>
        </w:rPr>
        <w:t>l societal policy areas</w:t>
      </w:r>
      <w:r w:rsidRPr="000C7864">
        <w:rPr>
          <w:rFonts w:ascii="Calibri" w:eastAsia="Calibri" w:hAnsi="Calibri" w:cs="Times New Roman"/>
          <w:sz w:val="24"/>
          <w:szCs w:val="24"/>
        </w:rPr>
        <w:t>.</w:t>
      </w:r>
    </w:p>
    <w:p w14:paraId="64074421" w14:textId="09471DE3" w:rsidR="00271225" w:rsidRPr="000C7864" w:rsidRDefault="00271225" w:rsidP="00422C90">
      <w:pPr>
        <w:numPr>
          <w:ilvl w:val="0"/>
          <w:numId w:val="11"/>
        </w:numPr>
        <w:spacing w:line="276" w:lineRule="auto"/>
        <w:ind w:left="714" w:hanging="357"/>
        <w:rPr>
          <w:rFonts w:ascii="Calibri" w:eastAsia="Calibri" w:hAnsi="Calibri" w:cs="Times New Roman"/>
          <w:sz w:val="24"/>
          <w:szCs w:val="24"/>
        </w:rPr>
      </w:pPr>
      <w:r w:rsidRPr="000C7864">
        <w:rPr>
          <w:rFonts w:ascii="Calibri" w:eastAsia="Calibri" w:hAnsi="Calibri" w:cs="Times New Roman"/>
          <w:sz w:val="24"/>
          <w:szCs w:val="24"/>
        </w:rPr>
        <w:t xml:space="preserve">Embedding </w:t>
      </w:r>
      <w:r w:rsidR="007F319F" w:rsidRPr="000C7864">
        <w:rPr>
          <w:rFonts w:ascii="Calibri" w:eastAsia="Calibri" w:hAnsi="Calibri" w:cs="Times New Roman"/>
          <w:sz w:val="24"/>
          <w:szCs w:val="24"/>
        </w:rPr>
        <w:t xml:space="preserve">awareness and </w:t>
      </w:r>
      <w:r w:rsidR="007F319F">
        <w:rPr>
          <w:rFonts w:ascii="Calibri" w:eastAsia="Calibri" w:hAnsi="Calibri" w:cs="Times New Roman"/>
          <w:sz w:val="24"/>
          <w:szCs w:val="24"/>
        </w:rPr>
        <w:t>recognition of</w:t>
      </w:r>
      <w:r w:rsidR="007F319F" w:rsidRPr="000C7864">
        <w:rPr>
          <w:rFonts w:ascii="Calibri" w:eastAsia="Calibri" w:hAnsi="Calibri" w:cs="Times New Roman"/>
          <w:sz w:val="24"/>
          <w:szCs w:val="24"/>
        </w:rPr>
        <w:t xml:space="preserve"> the values of ecosystems across all areas of societal interest is the only </w:t>
      </w:r>
      <w:r w:rsidR="007F319F">
        <w:rPr>
          <w:rFonts w:ascii="Calibri" w:eastAsia="Calibri" w:hAnsi="Calibri" w:cs="Times New Roman"/>
          <w:sz w:val="24"/>
          <w:szCs w:val="24"/>
        </w:rPr>
        <w:t xml:space="preserve">practical </w:t>
      </w:r>
      <w:r w:rsidR="007F319F" w:rsidRPr="000C7864">
        <w:rPr>
          <w:rFonts w:ascii="Calibri" w:eastAsia="Calibri" w:hAnsi="Calibri" w:cs="Times New Roman"/>
          <w:sz w:val="24"/>
          <w:szCs w:val="24"/>
        </w:rPr>
        <w:t xml:space="preserve">means to </w:t>
      </w:r>
      <w:r w:rsidR="007F319F">
        <w:rPr>
          <w:rFonts w:ascii="Calibri" w:eastAsia="Calibri" w:hAnsi="Calibri" w:cs="Times New Roman"/>
          <w:sz w:val="24"/>
          <w:szCs w:val="24"/>
        </w:rPr>
        <w:t>recognise</w:t>
      </w:r>
      <w:r w:rsidR="007F319F" w:rsidRPr="000C7864">
        <w:rPr>
          <w:rFonts w:ascii="Calibri" w:eastAsia="Calibri" w:hAnsi="Calibri" w:cs="Times New Roman"/>
          <w:sz w:val="24"/>
          <w:szCs w:val="24"/>
        </w:rPr>
        <w:t xml:space="preserve"> their enduring value</w:t>
      </w:r>
      <w:r w:rsidRPr="000C7864">
        <w:rPr>
          <w:rFonts w:ascii="Calibri" w:eastAsia="Calibri" w:hAnsi="Calibri" w:cs="Times New Roman"/>
          <w:sz w:val="24"/>
          <w:szCs w:val="24"/>
        </w:rPr>
        <w:t>, to provide grounds for their protection and enhancement</w:t>
      </w:r>
      <w:r w:rsidR="00132F8B">
        <w:rPr>
          <w:rFonts w:ascii="Calibri" w:eastAsia="Calibri" w:hAnsi="Calibri" w:cs="Times New Roman"/>
          <w:sz w:val="24"/>
          <w:szCs w:val="24"/>
        </w:rPr>
        <w:t>, and to safeguard or ideally regenerate the biophysical basis of continuing human security and opportunity</w:t>
      </w:r>
      <w:r w:rsidRPr="000C7864">
        <w:rPr>
          <w:rFonts w:ascii="Calibri" w:eastAsia="Calibri" w:hAnsi="Calibri" w:cs="Times New Roman"/>
          <w:sz w:val="24"/>
          <w:szCs w:val="24"/>
        </w:rPr>
        <w:t>.</w:t>
      </w:r>
    </w:p>
    <w:p w14:paraId="05CD9E67" w14:textId="19E13F30" w:rsidR="00271225" w:rsidRPr="000C7864" w:rsidRDefault="00271225" w:rsidP="00422C90">
      <w:pPr>
        <w:numPr>
          <w:ilvl w:val="0"/>
          <w:numId w:val="11"/>
        </w:numPr>
        <w:spacing w:line="276" w:lineRule="auto"/>
        <w:ind w:left="714" w:hanging="357"/>
        <w:rPr>
          <w:rFonts w:ascii="Calibri" w:eastAsia="Calibri" w:hAnsi="Calibri" w:cs="Times New Roman"/>
          <w:sz w:val="24"/>
          <w:szCs w:val="24"/>
        </w:rPr>
      </w:pPr>
      <w:r w:rsidRPr="000C7864">
        <w:rPr>
          <w:rFonts w:ascii="Calibri" w:eastAsia="Calibri" w:hAnsi="Calibri" w:cs="Times New Roman"/>
          <w:sz w:val="24"/>
          <w:szCs w:val="24"/>
        </w:rPr>
        <w:t xml:space="preserve">Awareness of societal interdependence with ecosystem health and processes needs to be established as a new dominant paradigm if sustainability and the meeting of </w:t>
      </w:r>
      <w:r w:rsidR="008201DD">
        <w:rPr>
          <w:rFonts w:ascii="Calibri" w:eastAsia="Calibri" w:hAnsi="Calibri" w:cs="Times New Roman"/>
          <w:sz w:val="24"/>
          <w:szCs w:val="24"/>
        </w:rPr>
        <w:t xml:space="preserve">the UN </w:t>
      </w:r>
      <w:r w:rsidRPr="000C7864">
        <w:rPr>
          <w:rFonts w:ascii="Calibri" w:eastAsia="Calibri" w:hAnsi="Calibri" w:cs="Times New Roman"/>
          <w:sz w:val="24"/>
          <w:szCs w:val="24"/>
        </w:rPr>
        <w:t>Sustainable Development Goals is to be achieved.</w:t>
      </w:r>
    </w:p>
    <w:p w14:paraId="4E6CADDB" w14:textId="61A57345" w:rsidR="00271225" w:rsidRPr="00132F8B" w:rsidRDefault="00271225" w:rsidP="00422C90">
      <w:pPr>
        <w:pStyle w:val="ListParagraph"/>
        <w:numPr>
          <w:ilvl w:val="0"/>
          <w:numId w:val="11"/>
        </w:numPr>
        <w:spacing w:after="160" w:line="276" w:lineRule="auto"/>
        <w:ind w:left="714" w:right="-188" w:hanging="357"/>
        <w:rPr>
          <w:rFonts w:asciiTheme="minorHAnsi" w:hAnsiTheme="minorHAnsi"/>
          <w:sz w:val="24"/>
          <w:szCs w:val="24"/>
        </w:rPr>
      </w:pPr>
      <w:r w:rsidRPr="000C7864">
        <w:rPr>
          <w:rFonts w:eastAsia="Calibri" w:cs="Times New Roman"/>
          <w:sz w:val="24"/>
          <w:szCs w:val="24"/>
        </w:rPr>
        <w:t>All sectors of society are key role players in achieving this society-wide transformation</w:t>
      </w:r>
      <w:r w:rsidR="006317A5">
        <w:rPr>
          <w:rFonts w:eastAsia="Calibri" w:cs="Times New Roman"/>
          <w:sz w:val="24"/>
          <w:szCs w:val="24"/>
        </w:rPr>
        <w:t>, with emergent perceived crises offering particular points of leverage, learning and advocacy to influence societal change.</w:t>
      </w:r>
    </w:p>
    <w:p w14:paraId="01A1FA99" w14:textId="6E8E19CD" w:rsidR="00132F8B" w:rsidRPr="000C7864" w:rsidRDefault="00132F8B" w:rsidP="00422C90">
      <w:pPr>
        <w:pStyle w:val="ListParagraph"/>
        <w:numPr>
          <w:ilvl w:val="0"/>
          <w:numId w:val="11"/>
        </w:numPr>
        <w:spacing w:after="160" w:line="276" w:lineRule="auto"/>
        <w:ind w:left="714" w:right="-188" w:hanging="357"/>
        <w:rPr>
          <w:rFonts w:asciiTheme="minorHAnsi" w:hAnsiTheme="minorHAnsi"/>
          <w:sz w:val="24"/>
          <w:szCs w:val="24"/>
        </w:rPr>
      </w:pPr>
      <w:r>
        <w:rPr>
          <w:rFonts w:asciiTheme="minorHAnsi" w:hAnsiTheme="minorHAnsi"/>
          <w:sz w:val="24"/>
          <w:szCs w:val="24"/>
        </w:rPr>
        <w:t>Societal transformation is feasible, evidenced by many fragmented exemplars of emerging and traditional ecosystem-based approaches across the world, and</w:t>
      </w:r>
      <w:r w:rsidR="0083237C">
        <w:rPr>
          <w:rFonts w:asciiTheme="minorHAnsi" w:hAnsiTheme="minorHAnsi"/>
          <w:sz w:val="24"/>
          <w:szCs w:val="24"/>
        </w:rPr>
        <w:t>, far from being a regressive step,</w:t>
      </w:r>
      <w:r>
        <w:rPr>
          <w:rFonts w:asciiTheme="minorHAnsi" w:hAnsiTheme="minorHAnsi"/>
          <w:sz w:val="24"/>
          <w:szCs w:val="24"/>
        </w:rPr>
        <w:t xml:space="preserve"> is </w:t>
      </w:r>
      <w:r w:rsidR="0083237C">
        <w:rPr>
          <w:rFonts w:asciiTheme="minorHAnsi" w:hAnsiTheme="minorHAnsi"/>
          <w:sz w:val="24"/>
          <w:szCs w:val="24"/>
        </w:rPr>
        <w:t xml:space="preserve">a matter of </w:t>
      </w:r>
      <w:r w:rsidR="006317A5">
        <w:rPr>
          <w:rFonts w:asciiTheme="minorHAnsi" w:hAnsiTheme="minorHAnsi"/>
          <w:sz w:val="24"/>
          <w:szCs w:val="24"/>
        </w:rPr>
        <w:t xml:space="preserve">enhanced human security and </w:t>
      </w:r>
      <w:r w:rsidR="0083237C">
        <w:rPr>
          <w:rFonts w:asciiTheme="minorHAnsi" w:hAnsiTheme="minorHAnsi"/>
          <w:sz w:val="24"/>
          <w:szCs w:val="24"/>
        </w:rPr>
        <w:t xml:space="preserve">opportunity founded on increasing value </w:t>
      </w:r>
      <w:r w:rsidR="006317A5">
        <w:rPr>
          <w:rFonts w:asciiTheme="minorHAnsi" w:hAnsiTheme="minorHAnsi"/>
          <w:sz w:val="24"/>
          <w:szCs w:val="24"/>
        </w:rPr>
        <w:t xml:space="preserve">delivered by </w:t>
      </w:r>
      <w:r w:rsidR="008201DD">
        <w:rPr>
          <w:rFonts w:asciiTheme="minorHAnsi" w:hAnsiTheme="minorHAnsi"/>
          <w:sz w:val="24"/>
          <w:szCs w:val="24"/>
        </w:rPr>
        <w:t xml:space="preserve">the </w:t>
      </w:r>
      <w:r w:rsidR="0083237C">
        <w:rPr>
          <w:rFonts w:asciiTheme="minorHAnsi" w:hAnsiTheme="minorHAnsi"/>
          <w:sz w:val="24"/>
          <w:szCs w:val="24"/>
        </w:rPr>
        <w:t>supportive capacities of ecosystems.</w:t>
      </w:r>
    </w:p>
    <w:p w14:paraId="511CAC7A" w14:textId="77777777" w:rsidR="00000DF4" w:rsidRPr="000C7864" w:rsidRDefault="00000DF4" w:rsidP="0083237C">
      <w:pPr>
        <w:spacing w:line="22" w:lineRule="atLeast"/>
        <w:ind w:right="-188"/>
        <w:rPr>
          <w:sz w:val="24"/>
          <w:szCs w:val="24"/>
        </w:rPr>
      </w:pPr>
    </w:p>
    <w:p w14:paraId="01BAF31E" w14:textId="41279B9E" w:rsidR="00F57C3D" w:rsidRPr="000C7864" w:rsidRDefault="00F57C3D" w:rsidP="00D31F3A">
      <w:pPr>
        <w:spacing w:line="276" w:lineRule="auto"/>
        <w:ind w:right="-188"/>
        <w:rPr>
          <w:b/>
          <w:sz w:val="24"/>
          <w:szCs w:val="24"/>
        </w:rPr>
      </w:pPr>
      <w:r w:rsidRPr="000C7864">
        <w:rPr>
          <w:b/>
          <w:sz w:val="24"/>
          <w:szCs w:val="24"/>
        </w:rPr>
        <w:t>6. Acknowledgements</w:t>
      </w:r>
    </w:p>
    <w:p w14:paraId="7C0D8582" w14:textId="17D9BB69" w:rsidR="00F57C3D" w:rsidRDefault="00F57C3D" w:rsidP="000C7864">
      <w:pPr>
        <w:spacing w:line="276" w:lineRule="auto"/>
        <w:ind w:right="-188"/>
        <w:rPr>
          <w:sz w:val="24"/>
          <w:szCs w:val="24"/>
        </w:rPr>
      </w:pPr>
      <w:r w:rsidRPr="000C7864">
        <w:rPr>
          <w:sz w:val="24"/>
          <w:szCs w:val="24"/>
        </w:rPr>
        <w:t xml:space="preserve">The authors are grateful </w:t>
      </w:r>
      <w:r w:rsidR="000C7864">
        <w:rPr>
          <w:sz w:val="24"/>
          <w:szCs w:val="24"/>
        </w:rPr>
        <w:t xml:space="preserve">for funding for the high-level </w:t>
      </w:r>
      <w:r w:rsidR="003326A7">
        <w:rPr>
          <w:sz w:val="24"/>
          <w:szCs w:val="24"/>
        </w:rPr>
        <w:t>symposium</w:t>
      </w:r>
      <w:r w:rsidR="000C7864">
        <w:rPr>
          <w:sz w:val="24"/>
          <w:szCs w:val="24"/>
        </w:rPr>
        <w:t xml:space="preserve"> </w:t>
      </w:r>
      <w:r w:rsidRPr="000C7864">
        <w:rPr>
          <w:sz w:val="24"/>
          <w:szCs w:val="24"/>
        </w:rPr>
        <w:t xml:space="preserve">to the </w:t>
      </w:r>
      <w:r w:rsidR="000C7864" w:rsidRPr="000C7864">
        <w:rPr>
          <w:sz w:val="24"/>
          <w:szCs w:val="24"/>
        </w:rPr>
        <w:t xml:space="preserve">International Water Security Network, which is funded by Lloyd’s Register Foundation, a charitable foundation helping to protect life and property by supporting engineering-related education, public engagement and the application of research.  </w:t>
      </w:r>
      <w:r w:rsidR="000C7864">
        <w:rPr>
          <w:sz w:val="24"/>
          <w:szCs w:val="24"/>
        </w:rPr>
        <w:t xml:space="preserve">Further support for the </w:t>
      </w:r>
      <w:r w:rsidR="003326A7">
        <w:rPr>
          <w:sz w:val="24"/>
          <w:szCs w:val="24"/>
        </w:rPr>
        <w:t>symposium</w:t>
      </w:r>
      <w:r w:rsidR="000C7864">
        <w:rPr>
          <w:sz w:val="24"/>
          <w:szCs w:val="24"/>
        </w:rPr>
        <w:t xml:space="preserve"> was provided by the </w:t>
      </w:r>
      <w:r w:rsidRPr="000C7864">
        <w:rPr>
          <w:sz w:val="24"/>
          <w:szCs w:val="24"/>
        </w:rPr>
        <w:t>University of the</w:t>
      </w:r>
      <w:r w:rsidRPr="00D31F3A">
        <w:rPr>
          <w:sz w:val="24"/>
          <w:szCs w:val="24"/>
        </w:rPr>
        <w:t xml:space="preserve"> West of England (UWE), the Institution of Environmental Sciences (IES) and </w:t>
      </w:r>
      <w:r w:rsidR="000C7864">
        <w:rPr>
          <w:sz w:val="24"/>
          <w:szCs w:val="24"/>
        </w:rPr>
        <w:t xml:space="preserve">the </w:t>
      </w:r>
      <w:r w:rsidRPr="00D31F3A">
        <w:rPr>
          <w:sz w:val="24"/>
          <w:szCs w:val="24"/>
        </w:rPr>
        <w:t>Club of Rome</w:t>
      </w:r>
      <w:r w:rsidR="000C7864">
        <w:rPr>
          <w:sz w:val="24"/>
          <w:szCs w:val="24"/>
        </w:rPr>
        <w:t>.</w:t>
      </w:r>
    </w:p>
    <w:p w14:paraId="1EDBECFA" w14:textId="77777777" w:rsidR="000C7864" w:rsidRPr="00D31F3A" w:rsidRDefault="000C7864" w:rsidP="00D31F3A">
      <w:pPr>
        <w:spacing w:line="276" w:lineRule="auto"/>
        <w:ind w:right="-188"/>
        <w:rPr>
          <w:sz w:val="24"/>
          <w:szCs w:val="24"/>
        </w:rPr>
      </w:pPr>
    </w:p>
    <w:p w14:paraId="1B64CCFC" w14:textId="77777777" w:rsidR="00362F36" w:rsidRPr="00D31F3A" w:rsidRDefault="00F57C3D" w:rsidP="00D31F3A">
      <w:pPr>
        <w:spacing w:line="276" w:lineRule="auto"/>
        <w:ind w:right="-188"/>
        <w:rPr>
          <w:b/>
          <w:sz w:val="24"/>
          <w:szCs w:val="24"/>
        </w:rPr>
      </w:pPr>
      <w:r w:rsidRPr="00D31F3A">
        <w:rPr>
          <w:b/>
          <w:sz w:val="24"/>
          <w:szCs w:val="24"/>
        </w:rPr>
        <w:t>7. References</w:t>
      </w:r>
    </w:p>
    <w:p w14:paraId="28F0016A" w14:textId="1722E2BE" w:rsidR="008D03A7" w:rsidRDefault="008D03A7" w:rsidP="00634B45">
      <w:pPr>
        <w:pStyle w:val="EndnoteText"/>
        <w:spacing w:line="276" w:lineRule="auto"/>
        <w:ind w:left="284" w:right="-188" w:hanging="284"/>
        <w:rPr>
          <w:rFonts w:cstheme="minorHAnsi"/>
          <w:sz w:val="24"/>
          <w:szCs w:val="24"/>
        </w:rPr>
      </w:pPr>
      <w:proofErr w:type="spellStart"/>
      <w:r w:rsidRPr="008D03A7">
        <w:rPr>
          <w:rFonts w:cstheme="minorHAnsi"/>
          <w:sz w:val="24"/>
          <w:szCs w:val="24"/>
        </w:rPr>
        <w:t>BenDor</w:t>
      </w:r>
      <w:proofErr w:type="spellEnd"/>
      <w:r w:rsidRPr="008D03A7">
        <w:rPr>
          <w:rFonts w:cstheme="minorHAnsi"/>
          <w:sz w:val="24"/>
          <w:szCs w:val="24"/>
        </w:rPr>
        <w:t xml:space="preserve">, T., Lester, T.W., </w:t>
      </w:r>
      <w:proofErr w:type="spellStart"/>
      <w:r w:rsidRPr="008D03A7">
        <w:rPr>
          <w:rFonts w:cstheme="minorHAnsi"/>
          <w:sz w:val="24"/>
          <w:szCs w:val="24"/>
        </w:rPr>
        <w:t>Livengood</w:t>
      </w:r>
      <w:proofErr w:type="spellEnd"/>
      <w:r w:rsidRPr="008D03A7">
        <w:rPr>
          <w:rFonts w:cstheme="minorHAnsi"/>
          <w:sz w:val="24"/>
          <w:szCs w:val="24"/>
        </w:rPr>
        <w:t xml:space="preserve">, A., Davis, A. and </w:t>
      </w:r>
      <w:proofErr w:type="spellStart"/>
      <w:r w:rsidRPr="008D03A7">
        <w:rPr>
          <w:rFonts w:cstheme="minorHAnsi"/>
          <w:sz w:val="24"/>
          <w:szCs w:val="24"/>
        </w:rPr>
        <w:t>Yonavjak</w:t>
      </w:r>
      <w:proofErr w:type="spellEnd"/>
      <w:r w:rsidRPr="008D03A7">
        <w:rPr>
          <w:rFonts w:cstheme="minorHAnsi"/>
          <w:sz w:val="24"/>
          <w:szCs w:val="24"/>
        </w:rPr>
        <w:t xml:space="preserve">, L., 2015. Estimating the size and impact of the ecological restoration economy. </w:t>
      </w:r>
      <w:proofErr w:type="spellStart"/>
      <w:r w:rsidRPr="008D03A7">
        <w:rPr>
          <w:rFonts w:cstheme="minorHAnsi"/>
          <w:i/>
          <w:sz w:val="24"/>
          <w:szCs w:val="24"/>
        </w:rPr>
        <w:t>PloS</w:t>
      </w:r>
      <w:proofErr w:type="spellEnd"/>
      <w:r w:rsidRPr="008D03A7">
        <w:rPr>
          <w:rFonts w:cstheme="minorHAnsi"/>
          <w:i/>
          <w:sz w:val="24"/>
          <w:szCs w:val="24"/>
        </w:rPr>
        <w:t xml:space="preserve"> one</w:t>
      </w:r>
      <w:r w:rsidRPr="008D03A7">
        <w:rPr>
          <w:rFonts w:cstheme="minorHAnsi"/>
          <w:sz w:val="24"/>
          <w:szCs w:val="24"/>
        </w:rPr>
        <w:t>, 10(6).</w:t>
      </w:r>
      <w:r>
        <w:rPr>
          <w:rFonts w:cstheme="minorHAnsi"/>
          <w:sz w:val="24"/>
          <w:szCs w:val="24"/>
        </w:rPr>
        <w:t xml:space="preserve"> DOI: </w:t>
      </w:r>
      <w:hyperlink r:id="rId9" w:history="1">
        <w:r w:rsidRPr="00593CA1">
          <w:rPr>
            <w:rStyle w:val="Hyperlink"/>
            <w:rFonts w:cstheme="minorHAnsi"/>
            <w:sz w:val="24"/>
            <w:szCs w:val="24"/>
          </w:rPr>
          <w:t>https://doi.org/10.1371/journal.pone.0128339</w:t>
        </w:r>
      </w:hyperlink>
      <w:r>
        <w:rPr>
          <w:rFonts w:cstheme="minorHAnsi"/>
          <w:sz w:val="24"/>
          <w:szCs w:val="24"/>
        </w:rPr>
        <w:t>.</w:t>
      </w:r>
    </w:p>
    <w:p w14:paraId="4A67BAB9" w14:textId="5EE2414D" w:rsidR="00634B45" w:rsidRDefault="00634B45" w:rsidP="00634B45">
      <w:pPr>
        <w:pStyle w:val="EndnoteText"/>
        <w:spacing w:line="276" w:lineRule="auto"/>
        <w:ind w:left="284" w:right="-188" w:hanging="284"/>
        <w:rPr>
          <w:rFonts w:cstheme="minorHAnsi"/>
          <w:sz w:val="24"/>
          <w:szCs w:val="24"/>
        </w:rPr>
      </w:pPr>
      <w:proofErr w:type="spellStart"/>
      <w:r w:rsidRPr="00634B45">
        <w:rPr>
          <w:rFonts w:cstheme="minorHAnsi"/>
          <w:sz w:val="24"/>
          <w:szCs w:val="24"/>
        </w:rPr>
        <w:t>Brondizio</w:t>
      </w:r>
      <w:proofErr w:type="spellEnd"/>
      <w:r w:rsidRPr="00634B45">
        <w:rPr>
          <w:rFonts w:cstheme="minorHAnsi"/>
          <w:sz w:val="24"/>
          <w:szCs w:val="24"/>
        </w:rPr>
        <w:t xml:space="preserve">, E.S., </w:t>
      </w:r>
      <w:proofErr w:type="spellStart"/>
      <w:r w:rsidRPr="00634B45">
        <w:rPr>
          <w:rFonts w:cstheme="minorHAnsi"/>
          <w:sz w:val="24"/>
          <w:szCs w:val="24"/>
        </w:rPr>
        <w:t>Settele</w:t>
      </w:r>
      <w:proofErr w:type="spellEnd"/>
      <w:r w:rsidRPr="00634B45">
        <w:rPr>
          <w:rFonts w:cstheme="minorHAnsi"/>
          <w:sz w:val="24"/>
          <w:szCs w:val="24"/>
        </w:rPr>
        <w:t>, J., Díaz, S.</w:t>
      </w:r>
      <w:r>
        <w:rPr>
          <w:rFonts w:cstheme="minorHAnsi"/>
          <w:sz w:val="24"/>
          <w:szCs w:val="24"/>
        </w:rPr>
        <w:t xml:space="preserve"> and </w:t>
      </w:r>
      <w:r w:rsidRPr="00634B45">
        <w:rPr>
          <w:rFonts w:cstheme="minorHAnsi"/>
          <w:sz w:val="24"/>
          <w:szCs w:val="24"/>
        </w:rPr>
        <w:t xml:space="preserve">Ngo, H.T. (2019). </w:t>
      </w:r>
      <w:r w:rsidRPr="00634B45">
        <w:rPr>
          <w:rFonts w:cstheme="minorHAnsi"/>
          <w:i/>
          <w:sz w:val="24"/>
          <w:szCs w:val="24"/>
        </w:rPr>
        <w:t>Global Assessment on Biodiversity and Ecosystem Services of the Intergovernmental Science-Policy Platform on Biodiversity and Ecosystem Services (IPBES)</w:t>
      </w:r>
      <w:r w:rsidRPr="00634B45">
        <w:rPr>
          <w:rFonts w:cstheme="minorHAnsi"/>
          <w:sz w:val="24"/>
          <w:szCs w:val="24"/>
        </w:rPr>
        <w:t>. IPBES. (</w:t>
      </w:r>
      <w:hyperlink r:id="rId10" w:history="1">
        <w:r w:rsidRPr="00587727">
          <w:rPr>
            <w:rStyle w:val="Hyperlink"/>
            <w:rFonts w:cstheme="minorHAnsi"/>
            <w:sz w:val="24"/>
            <w:szCs w:val="24"/>
          </w:rPr>
          <w:t>https://www.ipbes.net/global-assessment-biodiversity-ecosystem-services</w:t>
        </w:r>
      </w:hyperlink>
      <w:r w:rsidRPr="00634B45">
        <w:rPr>
          <w:rFonts w:cstheme="minorHAnsi"/>
          <w:sz w:val="24"/>
          <w:szCs w:val="24"/>
        </w:rPr>
        <w:t>.)</w:t>
      </w:r>
    </w:p>
    <w:p w14:paraId="275D85F3" w14:textId="7595C3A1" w:rsidR="00362F36" w:rsidRDefault="00362F36" w:rsidP="00D31F3A">
      <w:pPr>
        <w:pStyle w:val="EndnoteText"/>
        <w:spacing w:line="276" w:lineRule="auto"/>
        <w:ind w:right="-188"/>
        <w:rPr>
          <w:rFonts w:cstheme="minorHAnsi"/>
          <w:sz w:val="24"/>
          <w:szCs w:val="24"/>
        </w:rPr>
      </w:pPr>
      <w:r w:rsidRPr="00D31F3A">
        <w:rPr>
          <w:rFonts w:cstheme="minorHAnsi"/>
          <w:sz w:val="24"/>
          <w:szCs w:val="24"/>
        </w:rPr>
        <w:t xml:space="preserve">Cabinet Office. (2008). </w:t>
      </w:r>
      <w:r w:rsidRPr="00D31F3A">
        <w:rPr>
          <w:rFonts w:cstheme="minorHAnsi"/>
          <w:i/>
          <w:sz w:val="24"/>
          <w:szCs w:val="24"/>
        </w:rPr>
        <w:t>National Risk Register</w:t>
      </w:r>
      <w:r w:rsidRPr="00D31F3A">
        <w:rPr>
          <w:rFonts w:cstheme="minorHAnsi"/>
          <w:sz w:val="24"/>
          <w:szCs w:val="24"/>
        </w:rPr>
        <w:t>. Cabinet Office, London. (</w:t>
      </w:r>
      <w:hyperlink r:id="rId11" w:history="1">
        <w:r w:rsidRPr="00D31F3A">
          <w:rPr>
            <w:rStyle w:val="Hyperlink"/>
            <w:rFonts w:cstheme="minorHAnsi"/>
            <w:sz w:val="24"/>
            <w:szCs w:val="24"/>
          </w:rPr>
          <w:t>https://assets.publishing.service.gov.uk/government/uploads/system/uploads/attachment_data/file/61934/national_risk_register.pdf</w:t>
        </w:r>
      </w:hyperlink>
      <w:r w:rsidRPr="00D31F3A">
        <w:rPr>
          <w:rFonts w:cstheme="minorHAnsi"/>
          <w:sz w:val="24"/>
          <w:szCs w:val="24"/>
        </w:rPr>
        <w:t>.)</w:t>
      </w:r>
    </w:p>
    <w:p w14:paraId="0D7EFCA4" w14:textId="0BC261CB" w:rsidR="0083237C" w:rsidRPr="00D9361F" w:rsidRDefault="0083237C" w:rsidP="00D31F3A">
      <w:pPr>
        <w:pStyle w:val="EndnoteText"/>
        <w:spacing w:line="276" w:lineRule="auto"/>
        <w:ind w:right="-188"/>
        <w:rPr>
          <w:rFonts w:cstheme="minorHAnsi"/>
          <w:sz w:val="24"/>
          <w:szCs w:val="24"/>
        </w:rPr>
      </w:pPr>
      <w:r>
        <w:rPr>
          <w:rFonts w:cstheme="minorHAnsi"/>
          <w:sz w:val="24"/>
          <w:szCs w:val="24"/>
        </w:rPr>
        <w:t xml:space="preserve">City of Adelaide. (2020). </w:t>
      </w:r>
      <w:r w:rsidRPr="00D9361F">
        <w:rPr>
          <w:rFonts w:cstheme="minorHAnsi"/>
          <w:i/>
          <w:sz w:val="24"/>
          <w:szCs w:val="24"/>
        </w:rPr>
        <w:t>Our sustainable city</w:t>
      </w:r>
      <w:r>
        <w:rPr>
          <w:rFonts w:cstheme="minorHAnsi"/>
          <w:sz w:val="24"/>
          <w:szCs w:val="24"/>
        </w:rPr>
        <w:t>. City of Adelaide, A</w:t>
      </w:r>
      <w:r w:rsidRPr="00D9361F">
        <w:rPr>
          <w:rFonts w:cstheme="minorHAnsi"/>
          <w:sz w:val="24"/>
          <w:szCs w:val="24"/>
        </w:rPr>
        <w:t>delaide. [Online.] (</w:t>
      </w:r>
      <w:hyperlink r:id="rId12" w:history="1">
        <w:r w:rsidRPr="00D9361F">
          <w:rPr>
            <w:rStyle w:val="Hyperlink"/>
            <w:sz w:val="24"/>
            <w:szCs w:val="24"/>
          </w:rPr>
          <w:t>https://www.cityofadelaide.com.au/about-adelaide/our-sustainable-city/</w:t>
        </w:r>
      </w:hyperlink>
      <w:r w:rsidRPr="00D9361F">
        <w:rPr>
          <w:sz w:val="24"/>
          <w:szCs w:val="24"/>
        </w:rPr>
        <w:t>.)</w:t>
      </w:r>
    </w:p>
    <w:p w14:paraId="49E88947" w14:textId="41402E99" w:rsidR="00362F36" w:rsidRDefault="00362F36" w:rsidP="00D31F3A">
      <w:pPr>
        <w:pStyle w:val="EndnoteText"/>
        <w:spacing w:line="276" w:lineRule="auto"/>
        <w:ind w:left="284" w:right="-188" w:hanging="284"/>
        <w:rPr>
          <w:rFonts w:cstheme="minorHAnsi"/>
          <w:sz w:val="24"/>
          <w:szCs w:val="24"/>
        </w:rPr>
      </w:pPr>
      <w:r w:rsidRPr="00D9361F">
        <w:rPr>
          <w:rFonts w:cstheme="minorHAnsi"/>
          <w:sz w:val="24"/>
          <w:szCs w:val="24"/>
        </w:rPr>
        <w:t xml:space="preserve">Convention on Biological Diversity. (Undated). </w:t>
      </w:r>
      <w:r w:rsidRPr="00D9361F">
        <w:rPr>
          <w:rFonts w:cstheme="minorHAnsi"/>
          <w:i/>
          <w:sz w:val="24"/>
          <w:szCs w:val="24"/>
        </w:rPr>
        <w:t>Ecosystem Appr</w:t>
      </w:r>
      <w:r w:rsidRPr="00D31F3A">
        <w:rPr>
          <w:rFonts w:cstheme="minorHAnsi"/>
          <w:i/>
          <w:sz w:val="24"/>
          <w:szCs w:val="24"/>
        </w:rPr>
        <w:t>oach</w:t>
      </w:r>
      <w:r w:rsidRPr="00D31F3A">
        <w:rPr>
          <w:rFonts w:cstheme="minorHAnsi"/>
          <w:sz w:val="24"/>
          <w:szCs w:val="24"/>
        </w:rPr>
        <w:t>. Convention on Biological Diversity. (</w:t>
      </w:r>
      <w:hyperlink r:id="rId13" w:history="1">
        <w:r w:rsidRPr="00D31F3A">
          <w:rPr>
            <w:rStyle w:val="Hyperlink"/>
            <w:rFonts w:cstheme="minorHAnsi"/>
            <w:sz w:val="24"/>
            <w:szCs w:val="24"/>
          </w:rPr>
          <w:t>https://www.cbd.int/ecosystem/</w:t>
        </w:r>
      </w:hyperlink>
      <w:r w:rsidRPr="00D31F3A">
        <w:rPr>
          <w:rFonts w:cstheme="minorHAnsi"/>
          <w:sz w:val="24"/>
          <w:szCs w:val="24"/>
        </w:rPr>
        <w:t>, accessed 11</w:t>
      </w:r>
      <w:r w:rsidRPr="00D31F3A">
        <w:rPr>
          <w:rFonts w:cstheme="minorHAnsi"/>
          <w:sz w:val="24"/>
          <w:szCs w:val="24"/>
          <w:vertAlign w:val="superscript"/>
        </w:rPr>
        <w:t>th</w:t>
      </w:r>
      <w:r w:rsidRPr="00D31F3A">
        <w:rPr>
          <w:rFonts w:cstheme="minorHAnsi"/>
          <w:sz w:val="24"/>
          <w:szCs w:val="24"/>
        </w:rPr>
        <w:t xml:space="preserve"> March 2020.)</w:t>
      </w:r>
    </w:p>
    <w:p w14:paraId="56486D3C" w14:textId="55489B54" w:rsidR="00410C9B" w:rsidRDefault="00410C9B" w:rsidP="00D31F3A">
      <w:pPr>
        <w:pStyle w:val="EndnoteText"/>
        <w:spacing w:line="276" w:lineRule="auto"/>
        <w:ind w:left="284" w:right="-188" w:hanging="284"/>
        <w:rPr>
          <w:rFonts w:cstheme="minorHAnsi"/>
          <w:sz w:val="24"/>
          <w:szCs w:val="24"/>
        </w:rPr>
      </w:pPr>
      <w:bookmarkStart w:id="23" w:name="_Hlk47513963"/>
      <w:proofErr w:type="spellStart"/>
      <w:r w:rsidRPr="00410C9B">
        <w:rPr>
          <w:rFonts w:cstheme="minorHAnsi"/>
          <w:sz w:val="24"/>
          <w:szCs w:val="24"/>
        </w:rPr>
        <w:t>Crutzen</w:t>
      </w:r>
      <w:proofErr w:type="spellEnd"/>
      <w:r w:rsidRPr="00410C9B">
        <w:rPr>
          <w:rFonts w:cstheme="minorHAnsi"/>
          <w:sz w:val="24"/>
          <w:szCs w:val="24"/>
        </w:rPr>
        <w:t>, P.J. and Stoermer, E.F. (2000</w:t>
      </w:r>
      <w:bookmarkEnd w:id="23"/>
      <w:r w:rsidRPr="00410C9B">
        <w:rPr>
          <w:rFonts w:cstheme="minorHAnsi"/>
          <w:sz w:val="24"/>
          <w:szCs w:val="24"/>
        </w:rPr>
        <w:t xml:space="preserve">). The 'Anthropocene’. </w:t>
      </w:r>
      <w:r w:rsidRPr="00410C9B">
        <w:rPr>
          <w:rFonts w:cstheme="minorHAnsi"/>
          <w:i/>
          <w:sz w:val="24"/>
          <w:szCs w:val="24"/>
        </w:rPr>
        <w:t>Global Change Newsletter</w:t>
      </w:r>
      <w:r w:rsidRPr="00410C9B">
        <w:rPr>
          <w:rFonts w:cstheme="minorHAnsi"/>
          <w:sz w:val="24"/>
          <w:szCs w:val="24"/>
        </w:rPr>
        <w:t>, 41, pp.17–18.</w:t>
      </w:r>
    </w:p>
    <w:p w14:paraId="5D7BD1A3" w14:textId="0FDF9D6A" w:rsidR="00693E78" w:rsidRDefault="00693E78" w:rsidP="00D31F3A">
      <w:pPr>
        <w:pStyle w:val="EndnoteText"/>
        <w:spacing w:line="276" w:lineRule="auto"/>
        <w:ind w:left="284" w:right="-188" w:hanging="284"/>
        <w:rPr>
          <w:rFonts w:cstheme="minorHAnsi"/>
          <w:sz w:val="24"/>
          <w:szCs w:val="24"/>
        </w:rPr>
      </w:pPr>
      <w:r w:rsidRPr="00693E78">
        <w:rPr>
          <w:rFonts w:cstheme="minorHAnsi"/>
          <w:sz w:val="24"/>
          <w:szCs w:val="24"/>
        </w:rPr>
        <w:t>Daly, H.E. and Farley, J.</w:t>
      </w:r>
      <w:r>
        <w:rPr>
          <w:rFonts w:cstheme="minorHAnsi"/>
          <w:sz w:val="24"/>
          <w:szCs w:val="24"/>
        </w:rPr>
        <w:t xml:space="preserve"> (</w:t>
      </w:r>
      <w:r w:rsidRPr="00693E78">
        <w:rPr>
          <w:rFonts w:cstheme="minorHAnsi"/>
          <w:sz w:val="24"/>
          <w:szCs w:val="24"/>
        </w:rPr>
        <w:t>2011</w:t>
      </w:r>
      <w:r>
        <w:rPr>
          <w:rFonts w:cstheme="minorHAnsi"/>
          <w:sz w:val="24"/>
          <w:szCs w:val="24"/>
        </w:rPr>
        <w:t>)</w:t>
      </w:r>
      <w:r w:rsidRPr="00693E78">
        <w:rPr>
          <w:rFonts w:cstheme="minorHAnsi"/>
          <w:sz w:val="24"/>
          <w:szCs w:val="24"/>
        </w:rPr>
        <w:t xml:space="preserve">. </w:t>
      </w:r>
      <w:r w:rsidRPr="00693E78">
        <w:rPr>
          <w:rFonts w:cstheme="minorHAnsi"/>
          <w:i/>
          <w:sz w:val="24"/>
          <w:szCs w:val="24"/>
        </w:rPr>
        <w:t>Ecological economics: principles and applications</w:t>
      </w:r>
      <w:r w:rsidRPr="00693E78">
        <w:rPr>
          <w:rFonts w:cstheme="minorHAnsi"/>
          <w:sz w:val="24"/>
          <w:szCs w:val="24"/>
        </w:rPr>
        <w:t xml:space="preserve">. Island </w:t>
      </w:r>
      <w:r w:rsidR="00C478FA">
        <w:rPr>
          <w:rFonts w:cstheme="minorHAnsi"/>
          <w:sz w:val="24"/>
          <w:szCs w:val="24"/>
        </w:rPr>
        <w:t>P</w:t>
      </w:r>
      <w:r w:rsidRPr="00693E78">
        <w:rPr>
          <w:rFonts w:cstheme="minorHAnsi"/>
          <w:sz w:val="24"/>
          <w:szCs w:val="24"/>
        </w:rPr>
        <w:t>ress</w:t>
      </w:r>
      <w:r w:rsidR="00C478FA">
        <w:rPr>
          <w:rFonts w:cstheme="minorHAnsi"/>
          <w:sz w:val="24"/>
          <w:szCs w:val="24"/>
        </w:rPr>
        <w:t>.</w:t>
      </w:r>
    </w:p>
    <w:p w14:paraId="18B9AE61" w14:textId="0CB73CCE" w:rsidR="00362F36" w:rsidRDefault="00362F36" w:rsidP="00D31F3A">
      <w:pPr>
        <w:pStyle w:val="EndnoteText"/>
        <w:spacing w:line="276" w:lineRule="auto"/>
        <w:ind w:left="284" w:right="-188" w:hanging="284"/>
        <w:rPr>
          <w:rFonts w:cstheme="minorHAnsi"/>
          <w:sz w:val="24"/>
          <w:szCs w:val="24"/>
        </w:rPr>
      </w:pPr>
      <w:proofErr w:type="spellStart"/>
      <w:r w:rsidRPr="00D31F3A">
        <w:rPr>
          <w:rFonts w:cstheme="minorHAnsi"/>
          <w:sz w:val="24"/>
          <w:szCs w:val="24"/>
        </w:rPr>
        <w:t>d’Annunzio</w:t>
      </w:r>
      <w:proofErr w:type="spellEnd"/>
      <w:r w:rsidRPr="00D31F3A">
        <w:rPr>
          <w:rFonts w:cstheme="minorHAnsi"/>
          <w:sz w:val="24"/>
          <w:szCs w:val="24"/>
        </w:rPr>
        <w:t xml:space="preserve">, R., </w:t>
      </w:r>
      <w:proofErr w:type="spellStart"/>
      <w:r w:rsidRPr="00D31F3A">
        <w:rPr>
          <w:rFonts w:cstheme="minorHAnsi"/>
          <w:sz w:val="24"/>
          <w:szCs w:val="24"/>
        </w:rPr>
        <w:t>Sandker</w:t>
      </w:r>
      <w:proofErr w:type="spellEnd"/>
      <w:r w:rsidRPr="00D31F3A">
        <w:rPr>
          <w:rFonts w:cstheme="minorHAnsi"/>
          <w:sz w:val="24"/>
          <w:szCs w:val="24"/>
        </w:rPr>
        <w:t xml:space="preserve">, M., </w:t>
      </w:r>
      <w:proofErr w:type="spellStart"/>
      <w:r w:rsidRPr="00D31F3A">
        <w:rPr>
          <w:rFonts w:cstheme="minorHAnsi"/>
          <w:sz w:val="24"/>
          <w:szCs w:val="24"/>
        </w:rPr>
        <w:t>Finegold</w:t>
      </w:r>
      <w:proofErr w:type="spellEnd"/>
      <w:r w:rsidRPr="00D31F3A">
        <w:rPr>
          <w:rFonts w:cstheme="minorHAnsi"/>
          <w:sz w:val="24"/>
          <w:szCs w:val="24"/>
        </w:rPr>
        <w:t xml:space="preserve">, Y. and Min, Z. (2015). Projecting global forest area towards 2030. </w:t>
      </w:r>
      <w:r w:rsidRPr="00D31F3A">
        <w:rPr>
          <w:rFonts w:cstheme="minorHAnsi"/>
          <w:i/>
          <w:sz w:val="24"/>
          <w:szCs w:val="24"/>
        </w:rPr>
        <w:t>Forest Ecology and Management</w:t>
      </w:r>
      <w:r w:rsidRPr="00D31F3A">
        <w:rPr>
          <w:rFonts w:cstheme="minorHAnsi"/>
          <w:sz w:val="24"/>
          <w:szCs w:val="24"/>
        </w:rPr>
        <w:t xml:space="preserve">, 352, pp.124-133. DOI: </w:t>
      </w:r>
      <w:hyperlink r:id="rId14" w:history="1">
        <w:r w:rsidRPr="00D31F3A">
          <w:rPr>
            <w:rStyle w:val="Hyperlink"/>
            <w:rFonts w:cstheme="minorHAnsi"/>
            <w:sz w:val="24"/>
            <w:szCs w:val="24"/>
          </w:rPr>
          <w:t>https://doi.org/10.1016/j.foreco.2015.03.014</w:t>
        </w:r>
      </w:hyperlink>
      <w:r w:rsidRPr="00D31F3A">
        <w:rPr>
          <w:rFonts w:cstheme="minorHAnsi"/>
          <w:sz w:val="24"/>
          <w:szCs w:val="24"/>
        </w:rPr>
        <w:t>.</w:t>
      </w:r>
    </w:p>
    <w:p w14:paraId="6CA46940" w14:textId="488E982C" w:rsidR="00E0231D" w:rsidRDefault="00E0231D" w:rsidP="00E0231D">
      <w:pPr>
        <w:pStyle w:val="EndnoteText"/>
        <w:spacing w:line="276" w:lineRule="auto"/>
        <w:ind w:left="284" w:right="-188" w:hanging="284"/>
        <w:rPr>
          <w:rFonts w:cstheme="minorHAnsi"/>
          <w:sz w:val="24"/>
          <w:szCs w:val="24"/>
        </w:rPr>
      </w:pPr>
      <w:r w:rsidRPr="00E0231D">
        <w:rPr>
          <w:rFonts w:cstheme="minorHAnsi"/>
          <w:sz w:val="24"/>
          <w:szCs w:val="24"/>
        </w:rPr>
        <w:t xml:space="preserve">Darling, M., </w:t>
      </w:r>
      <w:proofErr w:type="spellStart"/>
      <w:r w:rsidRPr="00E0231D">
        <w:rPr>
          <w:rFonts w:cstheme="minorHAnsi"/>
          <w:sz w:val="24"/>
          <w:szCs w:val="24"/>
        </w:rPr>
        <w:t>Guber</w:t>
      </w:r>
      <w:proofErr w:type="spellEnd"/>
      <w:r w:rsidRPr="00E0231D">
        <w:rPr>
          <w:rFonts w:cstheme="minorHAnsi"/>
          <w:sz w:val="24"/>
          <w:szCs w:val="24"/>
        </w:rPr>
        <w:t>, H., Smith, J.</w:t>
      </w:r>
      <w:r>
        <w:rPr>
          <w:rFonts w:cstheme="minorHAnsi"/>
          <w:sz w:val="24"/>
          <w:szCs w:val="24"/>
        </w:rPr>
        <w:t xml:space="preserve"> and </w:t>
      </w:r>
      <w:r w:rsidRPr="00E0231D">
        <w:rPr>
          <w:rFonts w:cstheme="minorHAnsi"/>
          <w:sz w:val="24"/>
          <w:szCs w:val="24"/>
        </w:rPr>
        <w:t>Stiles, J. (2016). Emergent learning: a framework for whole-system</w:t>
      </w:r>
      <w:r>
        <w:rPr>
          <w:rFonts w:cstheme="minorHAnsi"/>
          <w:sz w:val="24"/>
          <w:szCs w:val="24"/>
        </w:rPr>
        <w:t xml:space="preserve"> </w:t>
      </w:r>
      <w:r w:rsidRPr="00E0231D">
        <w:rPr>
          <w:rFonts w:cstheme="minorHAnsi"/>
          <w:sz w:val="24"/>
          <w:szCs w:val="24"/>
        </w:rPr>
        <w:t xml:space="preserve">strategy, learning, and adaptation. </w:t>
      </w:r>
      <w:r w:rsidRPr="00E0231D">
        <w:rPr>
          <w:rFonts w:cstheme="minorHAnsi"/>
          <w:i/>
          <w:sz w:val="24"/>
          <w:szCs w:val="24"/>
        </w:rPr>
        <w:t>The Foundation Review</w:t>
      </w:r>
      <w:r w:rsidRPr="00E0231D">
        <w:rPr>
          <w:rFonts w:cstheme="minorHAnsi"/>
          <w:sz w:val="24"/>
          <w:szCs w:val="24"/>
        </w:rPr>
        <w:t xml:space="preserve">, 8(1). </w:t>
      </w:r>
      <w:r>
        <w:rPr>
          <w:rFonts w:cstheme="minorHAnsi"/>
          <w:sz w:val="24"/>
          <w:szCs w:val="24"/>
        </w:rPr>
        <w:t xml:space="preserve">DOI: </w:t>
      </w:r>
      <w:hyperlink r:id="rId15" w:history="1">
        <w:r w:rsidRPr="00DD462C">
          <w:rPr>
            <w:rStyle w:val="Hyperlink"/>
            <w:rFonts w:cstheme="minorHAnsi"/>
            <w:sz w:val="24"/>
            <w:szCs w:val="24"/>
          </w:rPr>
          <w:t>https://doi.org/10.9707/1944-5660.1284</w:t>
        </w:r>
      </w:hyperlink>
      <w:r>
        <w:rPr>
          <w:rFonts w:cstheme="minorHAnsi"/>
          <w:sz w:val="24"/>
          <w:szCs w:val="24"/>
        </w:rPr>
        <w:t>.</w:t>
      </w:r>
    </w:p>
    <w:p w14:paraId="475DEF0C" w14:textId="77777777" w:rsidR="00C478FA" w:rsidRPr="00D31F3A" w:rsidRDefault="00C478FA" w:rsidP="00C478FA">
      <w:pPr>
        <w:pStyle w:val="EndnoteText"/>
        <w:spacing w:line="276" w:lineRule="auto"/>
        <w:ind w:left="284" w:right="-188" w:hanging="284"/>
        <w:rPr>
          <w:rFonts w:cstheme="minorHAnsi"/>
          <w:sz w:val="24"/>
          <w:szCs w:val="24"/>
        </w:rPr>
      </w:pPr>
      <w:r>
        <w:rPr>
          <w:rFonts w:cstheme="minorHAnsi"/>
          <w:sz w:val="24"/>
          <w:szCs w:val="24"/>
        </w:rPr>
        <w:t xml:space="preserve">Dasgupta Review. (2020). </w:t>
      </w:r>
      <w:r w:rsidRPr="00C478FA">
        <w:rPr>
          <w:rFonts w:cstheme="minorHAnsi"/>
          <w:i/>
          <w:sz w:val="24"/>
          <w:szCs w:val="24"/>
        </w:rPr>
        <w:t>The Dasgupta Review – Independent Review on the Economics of Biodiversity: Interim Repor</w:t>
      </w:r>
      <w:r>
        <w:rPr>
          <w:rFonts w:cstheme="minorHAnsi"/>
          <w:i/>
          <w:sz w:val="24"/>
          <w:szCs w:val="24"/>
        </w:rPr>
        <w:t>t (April 2020)</w:t>
      </w:r>
      <w:r>
        <w:rPr>
          <w:rFonts w:cstheme="minorHAnsi"/>
          <w:sz w:val="24"/>
          <w:szCs w:val="24"/>
        </w:rPr>
        <w:t>. HM Treasury, London. [online.] (</w:t>
      </w:r>
      <w:hyperlink r:id="rId16" w:history="1">
        <w:r w:rsidRPr="00A40364">
          <w:rPr>
            <w:rStyle w:val="Hyperlink"/>
            <w:rFonts w:cstheme="minorHAnsi"/>
            <w:sz w:val="24"/>
            <w:szCs w:val="24"/>
          </w:rPr>
          <w:t>https://assets.publishing.service.gov.uk/government/uploads/system/uploads/attachment_data/file/882222/The_Economics_of_Biodiversity_The_Dasgupta_Review_Interim_Report.pdf</w:t>
        </w:r>
      </w:hyperlink>
      <w:r>
        <w:rPr>
          <w:rFonts w:cstheme="minorHAnsi"/>
          <w:sz w:val="24"/>
          <w:szCs w:val="24"/>
        </w:rPr>
        <w:t>, accessed 5</w:t>
      </w:r>
      <w:r w:rsidRPr="00C478FA">
        <w:rPr>
          <w:rFonts w:cstheme="minorHAnsi"/>
          <w:sz w:val="24"/>
          <w:szCs w:val="24"/>
          <w:vertAlign w:val="superscript"/>
        </w:rPr>
        <w:t>th</w:t>
      </w:r>
      <w:r>
        <w:rPr>
          <w:rFonts w:cstheme="minorHAnsi"/>
          <w:sz w:val="24"/>
          <w:szCs w:val="24"/>
        </w:rPr>
        <w:t xml:space="preserve"> August 2020.)</w:t>
      </w:r>
    </w:p>
    <w:p w14:paraId="631C064C" w14:textId="3BF21E3E" w:rsidR="000A5CD8" w:rsidRDefault="000A5CD8" w:rsidP="00D31F3A">
      <w:pPr>
        <w:pStyle w:val="EndnoteText"/>
        <w:spacing w:line="276" w:lineRule="auto"/>
        <w:ind w:left="284" w:right="-188" w:hanging="284"/>
        <w:rPr>
          <w:rFonts w:cstheme="minorHAnsi"/>
          <w:sz w:val="24"/>
          <w:szCs w:val="24"/>
        </w:rPr>
      </w:pPr>
      <w:r>
        <w:rPr>
          <w:rFonts w:cstheme="minorHAnsi"/>
          <w:sz w:val="24"/>
          <w:szCs w:val="24"/>
        </w:rPr>
        <w:t xml:space="preserve">Defra. (2017). </w:t>
      </w:r>
      <w:r w:rsidRPr="000A5CD8">
        <w:rPr>
          <w:rFonts w:cstheme="minorHAnsi"/>
          <w:i/>
          <w:sz w:val="24"/>
          <w:szCs w:val="24"/>
        </w:rPr>
        <w:t xml:space="preserve">New </w:t>
      </w:r>
      <w:r>
        <w:rPr>
          <w:rFonts w:cstheme="minorHAnsi"/>
          <w:i/>
          <w:sz w:val="24"/>
          <w:szCs w:val="24"/>
        </w:rPr>
        <w:t>f</w:t>
      </w:r>
      <w:r w:rsidRPr="000A5CD8">
        <w:rPr>
          <w:rFonts w:cstheme="minorHAnsi"/>
          <w:i/>
          <w:sz w:val="24"/>
          <w:szCs w:val="24"/>
        </w:rPr>
        <w:t xml:space="preserve">arming </w:t>
      </w:r>
      <w:r>
        <w:rPr>
          <w:rFonts w:cstheme="minorHAnsi"/>
          <w:i/>
          <w:sz w:val="24"/>
          <w:szCs w:val="24"/>
        </w:rPr>
        <w:t>r</w:t>
      </w:r>
      <w:r w:rsidRPr="000A5CD8">
        <w:rPr>
          <w:rFonts w:cstheme="minorHAnsi"/>
          <w:i/>
          <w:sz w:val="24"/>
          <w:szCs w:val="24"/>
        </w:rPr>
        <w:t>ules for water</w:t>
      </w:r>
      <w:r>
        <w:rPr>
          <w:rFonts w:cstheme="minorHAnsi"/>
          <w:sz w:val="24"/>
          <w:szCs w:val="24"/>
        </w:rPr>
        <w:t>. Department for Environment, Food and rural Affairs (Defra), London. [Online.] (</w:t>
      </w:r>
      <w:hyperlink r:id="rId17" w:history="1">
        <w:r w:rsidRPr="00BF570C">
          <w:rPr>
            <w:rStyle w:val="Hyperlink"/>
            <w:rFonts w:cstheme="minorHAnsi"/>
            <w:sz w:val="24"/>
            <w:szCs w:val="24"/>
          </w:rPr>
          <w:t>https://www.gov.uk/government/news/new-farming-rules-for-water</w:t>
        </w:r>
      </w:hyperlink>
      <w:r>
        <w:rPr>
          <w:rFonts w:cstheme="minorHAnsi"/>
          <w:sz w:val="24"/>
          <w:szCs w:val="24"/>
        </w:rPr>
        <w:t>.)</w:t>
      </w:r>
    </w:p>
    <w:p w14:paraId="6B6F2BBE" w14:textId="444128E3" w:rsidR="0054093E" w:rsidRPr="00D31F3A" w:rsidRDefault="0054093E" w:rsidP="00D31F3A">
      <w:pPr>
        <w:pStyle w:val="EndnoteText"/>
        <w:spacing w:line="276" w:lineRule="auto"/>
        <w:ind w:left="284" w:right="-188" w:hanging="284"/>
        <w:rPr>
          <w:rFonts w:cstheme="minorHAnsi"/>
          <w:sz w:val="24"/>
          <w:szCs w:val="24"/>
        </w:rPr>
      </w:pPr>
      <w:r w:rsidRPr="0054093E">
        <w:rPr>
          <w:rFonts w:cstheme="minorHAnsi"/>
          <w:sz w:val="24"/>
          <w:szCs w:val="24"/>
        </w:rPr>
        <w:t>Department of Health and Social Care</w:t>
      </w:r>
      <w:r>
        <w:rPr>
          <w:rFonts w:cstheme="minorHAnsi"/>
          <w:sz w:val="24"/>
          <w:szCs w:val="24"/>
        </w:rPr>
        <w:t>. (</w:t>
      </w:r>
      <w:r w:rsidRPr="0054093E">
        <w:rPr>
          <w:rFonts w:cstheme="minorHAnsi"/>
          <w:sz w:val="24"/>
          <w:szCs w:val="24"/>
        </w:rPr>
        <w:t>2019)</w:t>
      </w:r>
      <w:r>
        <w:rPr>
          <w:rFonts w:cstheme="minorHAnsi"/>
          <w:sz w:val="24"/>
          <w:szCs w:val="24"/>
        </w:rPr>
        <w:t xml:space="preserve">. </w:t>
      </w:r>
      <w:r w:rsidRPr="0054093E">
        <w:rPr>
          <w:rFonts w:cstheme="minorHAnsi"/>
          <w:i/>
          <w:sz w:val="24"/>
          <w:szCs w:val="24"/>
        </w:rPr>
        <w:t>Advancing our health: prevention in the 2020s – consultation document</w:t>
      </w:r>
      <w:r>
        <w:rPr>
          <w:rFonts w:cstheme="minorHAnsi"/>
          <w:sz w:val="24"/>
          <w:szCs w:val="24"/>
        </w:rPr>
        <w:t xml:space="preserve">. </w:t>
      </w:r>
      <w:r w:rsidRPr="0054093E">
        <w:rPr>
          <w:rFonts w:cstheme="minorHAnsi"/>
          <w:sz w:val="24"/>
          <w:szCs w:val="24"/>
        </w:rPr>
        <w:t>Department of Health and Social Care, London. (</w:t>
      </w:r>
      <w:hyperlink r:id="rId18" w:history="1">
        <w:r w:rsidRPr="0054093E">
          <w:rPr>
            <w:rStyle w:val="Hyperlink"/>
            <w:sz w:val="24"/>
            <w:szCs w:val="24"/>
          </w:rPr>
          <w:t>https://www.gov.uk/government/consultations/advancing-our-health-prevention-in-the-2020s/advancing-our-health-prevention-in-the-2020s-consultation-document</w:t>
        </w:r>
      </w:hyperlink>
      <w:r w:rsidRPr="0054093E">
        <w:rPr>
          <w:sz w:val="24"/>
          <w:szCs w:val="24"/>
        </w:rPr>
        <w:t>.)</w:t>
      </w:r>
    </w:p>
    <w:p w14:paraId="6DD546E4" w14:textId="0754618E" w:rsidR="00362F36" w:rsidRDefault="00362F36" w:rsidP="00D31F3A">
      <w:pPr>
        <w:pStyle w:val="EndnoteText"/>
        <w:spacing w:line="276" w:lineRule="auto"/>
        <w:ind w:left="284" w:right="-188" w:hanging="284"/>
        <w:rPr>
          <w:rFonts w:cs="Calibri"/>
          <w:sz w:val="24"/>
          <w:szCs w:val="24"/>
        </w:rPr>
      </w:pPr>
      <w:proofErr w:type="spellStart"/>
      <w:r w:rsidRPr="00D31F3A">
        <w:rPr>
          <w:rFonts w:cs="Calibri"/>
          <w:sz w:val="24"/>
          <w:szCs w:val="24"/>
        </w:rPr>
        <w:t>DfT</w:t>
      </w:r>
      <w:proofErr w:type="spellEnd"/>
      <w:r w:rsidRPr="00D31F3A">
        <w:rPr>
          <w:rFonts w:cs="Calibri"/>
          <w:sz w:val="24"/>
          <w:szCs w:val="24"/>
        </w:rPr>
        <w:t xml:space="preserve"> (2018). </w:t>
      </w:r>
      <w:r w:rsidRPr="00D31F3A">
        <w:rPr>
          <w:rFonts w:cs="Calibri"/>
          <w:i/>
          <w:sz w:val="24"/>
          <w:szCs w:val="24"/>
        </w:rPr>
        <w:t>Reducing emissions from road transport: Road to Zero Strategy</w:t>
      </w:r>
      <w:r w:rsidRPr="00D31F3A">
        <w:rPr>
          <w:rFonts w:cs="Calibri"/>
          <w:sz w:val="24"/>
          <w:szCs w:val="24"/>
        </w:rPr>
        <w:t>. Department for Transport (</w:t>
      </w:r>
      <w:proofErr w:type="spellStart"/>
      <w:r w:rsidRPr="00D31F3A">
        <w:rPr>
          <w:rFonts w:cs="Calibri"/>
          <w:sz w:val="24"/>
          <w:szCs w:val="24"/>
        </w:rPr>
        <w:t>DfT</w:t>
      </w:r>
      <w:proofErr w:type="spellEnd"/>
      <w:r w:rsidRPr="00D31F3A">
        <w:rPr>
          <w:rFonts w:cs="Calibri"/>
          <w:sz w:val="24"/>
          <w:szCs w:val="24"/>
        </w:rPr>
        <w:t>), London. (</w:t>
      </w:r>
      <w:hyperlink r:id="rId19" w:history="1">
        <w:r w:rsidRPr="00D31F3A">
          <w:rPr>
            <w:rStyle w:val="Hyperlink"/>
            <w:rFonts w:cs="Calibri"/>
            <w:sz w:val="24"/>
            <w:szCs w:val="24"/>
          </w:rPr>
          <w:t>https://www.gov.uk/government/publications/reducing-emissions-from-road-transport-road-to-zero-strategy</w:t>
        </w:r>
      </w:hyperlink>
      <w:r w:rsidRPr="00D31F3A">
        <w:rPr>
          <w:rFonts w:cs="Calibri"/>
          <w:sz w:val="24"/>
          <w:szCs w:val="24"/>
        </w:rPr>
        <w:t>.)</w:t>
      </w:r>
    </w:p>
    <w:p w14:paraId="4B2F3A16" w14:textId="1343EEEB" w:rsidR="008B5B66" w:rsidRPr="00D31F3A" w:rsidRDefault="008B5B66" w:rsidP="00D31F3A">
      <w:pPr>
        <w:pStyle w:val="EndnoteText"/>
        <w:spacing w:line="276" w:lineRule="auto"/>
        <w:ind w:left="284" w:right="-188" w:hanging="284"/>
        <w:rPr>
          <w:rFonts w:cs="Calibri"/>
          <w:sz w:val="24"/>
          <w:szCs w:val="24"/>
        </w:rPr>
      </w:pPr>
      <w:r w:rsidRPr="008B5B66">
        <w:rPr>
          <w:rFonts w:cs="Calibri"/>
          <w:sz w:val="24"/>
          <w:szCs w:val="24"/>
        </w:rPr>
        <w:t xml:space="preserve">Díaz, S., </w:t>
      </w:r>
      <w:proofErr w:type="spellStart"/>
      <w:r w:rsidRPr="008B5B66">
        <w:rPr>
          <w:rFonts w:cs="Calibri"/>
          <w:sz w:val="24"/>
          <w:szCs w:val="24"/>
        </w:rPr>
        <w:t>Settele</w:t>
      </w:r>
      <w:proofErr w:type="spellEnd"/>
      <w:r w:rsidRPr="008B5B66">
        <w:rPr>
          <w:rFonts w:cs="Calibri"/>
          <w:sz w:val="24"/>
          <w:szCs w:val="24"/>
        </w:rPr>
        <w:t xml:space="preserve">, J., </w:t>
      </w:r>
      <w:proofErr w:type="spellStart"/>
      <w:r w:rsidRPr="008B5B66">
        <w:rPr>
          <w:rFonts w:cs="Calibri"/>
          <w:sz w:val="24"/>
          <w:szCs w:val="24"/>
        </w:rPr>
        <w:t>Brondízio</w:t>
      </w:r>
      <w:proofErr w:type="spellEnd"/>
      <w:r w:rsidRPr="008B5B66">
        <w:rPr>
          <w:rFonts w:cs="Calibri"/>
          <w:sz w:val="24"/>
          <w:szCs w:val="24"/>
        </w:rPr>
        <w:t xml:space="preserve">, E.S., Ngo, H.T., </w:t>
      </w:r>
      <w:proofErr w:type="spellStart"/>
      <w:r w:rsidRPr="008B5B66">
        <w:rPr>
          <w:rFonts w:cs="Calibri"/>
          <w:sz w:val="24"/>
          <w:szCs w:val="24"/>
        </w:rPr>
        <w:t>Agard</w:t>
      </w:r>
      <w:proofErr w:type="spellEnd"/>
      <w:r w:rsidRPr="008B5B66">
        <w:rPr>
          <w:rFonts w:cs="Calibri"/>
          <w:sz w:val="24"/>
          <w:szCs w:val="24"/>
        </w:rPr>
        <w:t xml:space="preserve">, J., </w:t>
      </w:r>
      <w:proofErr w:type="spellStart"/>
      <w:r w:rsidRPr="008B5B66">
        <w:rPr>
          <w:rFonts w:cs="Calibri"/>
          <w:sz w:val="24"/>
          <w:szCs w:val="24"/>
        </w:rPr>
        <w:t>Arneth</w:t>
      </w:r>
      <w:proofErr w:type="spellEnd"/>
      <w:r w:rsidRPr="008B5B66">
        <w:rPr>
          <w:rFonts w:cs="Calibri"/>
          <w:sz w:val="24"/>
          <w:szCs w:val="24"/>
        </w:rPr>
        <w:t xml:space="preserve">, A., </w:t>
      </w:r>
      <w:proofErr w:type="spellStart"/>
      <w:r w:rsidRPr="008B5B66">
        <w:rPr>
          <w:rFonts w:cs="Calibri"/>
          <w:sz w:val="24"/>
          <w:szCs w:val="24"/>
        </w:rPr>
        <w:t>Balvanera</w:t>
      </w:r>
      <w:proofErr w:type="spellEnd"/>
      <w:r w:rsidRPr="008B5B66">
        <w:rPr>
          <w:rFonts w:cs="Calibri"/>
          <w:sz w:val="24"/>
          <w:szCs w:val="24"/>
        </w:rPr>
        <w:t xml:space="preserve">, P., </w:t>
      </w:r>
      <w:proofErr w:type="spellStart"/>
      <w:r w:rsidRPr="008B5B66">
        <w:rPr>
          <w:rFonts w:cs="Calibri"/>
          <w:sz w:val="24"/>
          <w:szCs w:val="24"/>
        </w:rPr>
        <w:t>Brauman</w:t>
      </w:r>
      <w:proofErr w:type="spellEnd"/>
      <w:r w:rsidRPr="008B5B66">
        <w:rPr>
          <w:rFonts w:cs="Calibri"/>
          <w:sz w:val="24"/>
          <w:szCs w:val="24"/>
        </w:rPr>
        <w:t xml:space="preserve">, K.A., Butchart, S.H., Chan, K.M. and Garibaldi, L.A., 2019. Pervasive human-driven decline of life on Earth points to the need for transformative change. </w:t>
      </w:r>
      <w:r w:rsidRPr="00F55E21">
        <w:rPr>
          <w:rFonts w:cs="Calibri"/>
          <w:i/>
          <w:sz w:val="24"/>
          <w:szCs w:val="24"/>
        </w:rPr>
        <w:t>Science</w:t>
      </w:r>
      <w:r w:rsidRPr="00F55E21">
        <w:rPr>
          <w:rFonts w:cs="Calibri"/>
          <w:sz w:val="24"/>
          <w:szCs w:val="24"/>
        </w:rPr>
        <w:t>, 366, 6471. [Online.]</w:t>
      </w:r>
      <w:r w:rsidR="00F55E21" w:rsidRPr="00F55E21">
        <w:rPr>
          <w:rFonts w:cs="Calibri"/>
          <w:sz w:val="24"/>
          <w:szCs w:val="24"/>
        </w:rPr>
        <w:t xml:space="preserve"> (</w:t>
      </w:r>
      <w:hyperlink r:id="rId20" w:history="1">
        <w:r w:rsidR="00F55E21" w:rsidRPr="00F55E21">
          <w:rPr>
            <w:rStyle w:val="Hyperlink"/>
            <w:sz w:val="24"/>
            <w:szCs w:val="24"/>
          </w:rPr>
          <w:t>https://science.sciencemag.org/content/sci/366/6471/eaax3100.full.pdf</w:t>
        </w:r>
      </w:hyperlink>
      <w:r w:rsidR="00F55E21" w:rsidRPr="00F55E21">
        <w:rPr>
          <w:sz w:val="24"/>
          <w:szCs w:val="24"/>
        </w:rPr>
        <w:t>.)</w:t>
      </w:r>
    </w:p>
    <w:p w14:paraId="4E6877F3" w14:textId="5C12B495" w:rsidR="00675F9A" w:rsidRDefault="00675F9A" w:rsidP="00D31F3A">
      <w:pPr>
        <w:pStyle w:val="EndnoteText"/>
        <w:spacing w:line="276" w:lineRule="auto"/>
        <w:ind w:left="284" w:right="-188" w:hanging="284"/>
        <w:rPr>
          <w:rFonts w:cstheme="minorHAnsi"/>
          <w:sz w:val="24"/>
          <w:szCs w:val="24"/>
        </w:rPr>
      </w:pPr>
      <w:proofErr w:type="spellStart"/>
      <w:r w:rsidRPr="00675F9A">
        <w:rPr>
          <w:rFonts w:cstheme="minorHAnsi"/>
          <w:sz w:val="24"/>
          <w:szCs w:val="24"/>
        </w:rPr>
        <w:t>Dŵr</w:t>
      </w:r>
      <w:proofErr w:type="spellEnd"/>
      <w:r w:rsidRPr="00675F9A">
        <w:rPr>
          <w:rFonts w:cstheme="minorHAnsi"/>
          <w:sz w:val="24"/>
          <w:szCs w:val="24"/>
        </w:rPr>
        <w:t xml:space="preserve"> Cymru</w:t>
      </w:r>
      <w:r>
        <w:rPr>
          <w:rFonts w:cstheme="minorHAnsi"/>
          <w:sz w:val="24"/>
          <w:szCs w:val="24"/>
        </w:rPr>
        <w:t>. (</w:t>
      </w:r>
      <w:r w:rsidRPr="00675F9A">
        <w:rPr>
          <w:rFonts w:cstheme="minorHAnsi"/>
          <w:sz w:val="24"/>
          <w:szCs w:val="24"/>
        </w:rPr>
        <w:t>2020</w:t>
      </w:r>
      <w:r>
        <w:rPr>
          <w:rFonts w:cstheme="minorHAnsi"/>
          <w:sz w:val="24"/>
          <w:szCs w:val="24"/>
        </w:rPr>
        <w:t xml:space="preserve">). </w:t>
      </w:r>
      <w:r w:rsidRPr="00675F9A">
        <w:rPr>
          <w:rFonts w:cstheme="minorHAnsi"/>
          <w:sz w:val="24"/>
          <w:szCs w:val="24"/>
        </w:rPr>
        <w:t>Brecon Beacons Mega Catchment</w:t>
      </w:r>
      <w:r>
        <w:rPr>
          <w:rFonts w:cstheme="minorHAnsi"/>
          <w:sz w:val="24"/>
          <w:szCs w:val="24"/>
        </w:rPr>
        <w:t xml:space="preserve">. </w:t>
      </w:r>
      <w:proofErr w:type="spellStart"/>
      <w:r w:rsidRPr="00675F9A">
        <w:rPr>
          <w:rFonts w:cstheme="minorHAnsi"/>
          <w:sz w:val="24"/>
          <w:szCs w:val="24"/>
        </w:rPr>
        <w:t>Dŵr</w:t>
      </w:r>
      <w:proofErr w:type="spellEnd"/>
      <w:r w:rsidRPr="00675F9A">
        <w:rPr>
          <w:rFonts w:cstheme="minorHAnsi"/>
          <w:sz w:val="24"/>
          <w:szCs w:val="24"/>
        </w:rPr>
        <w:t xml:space="preserve"> Cymru</w:t>
      </w:r>
      <w:r>
        <w:rPr>
          <w:rFonts w:cstheme="minorHAnsi"/>
          <w:sz w:val="24"/>
          <w:szCs w:val="24"/>
        </w:rPr>
        <w:t>/Welsh Wa</w:t>
      </w:r>
      <w:r w:rsidRPr="00675F9A">
        <w:rPr>
          <w:rFonts w:cstheme="minorHAnsi"/>
          <w:sz w:val="24"/>
          <w:szCs w:val="24"/>
        </w:rPr>
        <w:t>ter. [Online.] (</w:t>
      </w:r>
      <w:hyperlink r:id="rId21" w:history="1">
        <w:r w:rsidRPr="00675F9A">
          <w:rPr>
            <w:rStyle w:val="Hyperlink"/>
            <w:sz w:val="24"/>
            <w:szCs w:val="24"/>
          </w:rPr>
          <w:t>https://www.dwrcymru.com/en/WaterSource/Brecon-Beacons-Mega-Catchment.aspx</w:t>
        </w:r>
      </w:hyperlink>
      <w:r w:rsidRPr="00675F9A">
        <w:rPr>
          <w:sz w:val="24"/>
          <w:szCs w:val="24"/>
        </w:rPr>
        <w:t>.)</w:t>
      </w:r>
    </w:p>
    <w:p w14:paraId="4D7E9E3B" w14:textId="151F18BA" w:rsidR="00815E51" w:rsidRDefault="00815E51" w:rsidP="00815E51">
      <w:pPr>
        <w:pStyle w:val="EndnoteText"/>
        <w:spacing w:line="276" w:lineRule="auto"/>
        <w:ind w:left="284" w:right="-188" w:hanging="284"/>
        <w:rPr>
          <w:rFonts w:cstheme="minorHAnsi"/>
          <w:sz w:val="24"/>
          <w:szCs w:val="24"/>
        </w:rPr>
      </w:pPr>
      <w:r w:rsidRPr="00815E51">
        <w:rPr>
          <w:rFonts w:cstheme="minorHAnsi"/>
          <w:sz w:val="24"/>
          <w:szCs w:val="24"/>
        </w:rPr>
        <w:t xml:space="preserve">Ellis, </w:t>
      </w:r>
      <w:r>
        <w:rPr>
          <w:rFonts w:cstheme="minorHAnsi"/>
          <w:sz w:val="24"/>
          <w:szCs w:val="24"/>
        </w:rPr>
        <w:t xml:space="preserve">E.C., </w:t>
      </w:r>
      <w:proofErr w:type="spellStart"/>
      <w:r w:rsidRPr="00815E51">
        <w:rPr>
          <w:rFonts w:cstheme="minorHAnsi"/>
          <w:sz w:val="24"/>
          <w:szCs w:val="24"/>
        </w:rPr>
        <w:t>Richerson</w:t>
      </w:r>
      <w:proofErr w:type="spellEnd"/>
      <w:r w:rsidRPr="00815E51">
        <w:rPr>
          <w:rFonts w:cstheme="minorHAnsi"/>
          <w:sz w:val="24"/>
          <w:szCs w:val="24"/>
        </w:rPr>
        <w:t>,</w:t>
      </w:r>
      <w:r>
        <w:rPr>
          <w:rFonts w:cstheme="minorHAnsi"/>
          <w:sz w:val="24"/>
          <w:szCs w:val="24"/>
        </w:rPr>
        <w:t xml:space="preserve"> P.J., </w:t>
      </w:r>
      <w:proofErr w:type="spellStart"/>
      <w:r w:rsidRPr="00815E51">
        <w:rPr>
          <w:rFonts w:cstheme="minorHAnsi"/>
          <w:sz w:val="24"/>
          <w:szCs w:val="24"/>
        </w:rPr>
        <w:t>Mesoudi</w:t>
      </w:r>
      <w:proofErr w:type="spellEnd"/>
      <w:r w:rsidRPr="00815E51">
        <w:rPr>
          <w:rFonts w:cstheme="minorHAnsi"/>
          <w:sz w:val="24"/>
          <w:szCs w:val="24"/>
        </w:rPr>
        <w:t xml:space="preserve">, </w:t>
      </w:r>
      <w:r>
        <w:rPr>
          <w:rFonts w:cstheme="minorHAnsi"/>
          <w:sz w:val="24"/>
          <w:szCs w:val="24"/>
        </w:rPr>
        <w:t xml:space="preserve">A., </w:t>
      </w:r>
      <w:proofErr w:type="spellStart"/>
      <w:r w:rsidRPr="00815E51">
        <w:rPr>
          <w:rFonts w:cstheme="minorHAnsi"/>
          <w:sz w:val="24"/>
          <w:szCs w:val="24"/>
        </w:rPr>
        <w:t>Svenning</w:t>
      </w:r>
      <w:proofErr w:type="spellEnd"/>
      <w:r w:rsidRPr="00815E51">
        <w:rPr>
          <w:rFonts w:cstheme="minorHAnsi"/>
          <w:sz w:val="24"/>
          <w:szCs w:val="24"/>
        </w:rPr>
        <w:t xml:space="preserve">, </w:t>
      </w:r>
      <w:r>
        <w:rPr>
          <w:rFonts w:cstheme="minorHAnsi"/>
          <w:sz w:val="24"/>
          <w:szCs w:val="24"/>
        </w:rPr>
        <w:t xml:space="preserve">J-C., </w:t>
      </w:r>
      <w:proofErr w:type="spellStart"/>
      <w:r w:rsidRPr="00815E51">
        <w:rPr>
          <w:rFonts w:cstheme="minorHAnsi"/>
          <w:sz w:val="24"/>
          <w:szCs w:val="24"/>
        </w:rPr>
        <w:t>Odling-Smee</w:t>
      </w:r>
      <w:proofErr w:type="spellEnd"/>
      <w:r w:rsidRPr="00815E51">
        <w:rPr>
          <w:rFonts w:cstheme="minorHAnsi"/>
          <w:sz w:val="24"/>
          <w:szCs w:val="24"/>
        </w:rPr>
        <w:t xml:space="preserve">, </w:t>
      </w:r>
      <w:r>
        <w:rPr>
          <w:rFonts w:cstheme="minorHAnsi"/>
          <w:sz w:val="24"/>
          <w:szCs w:val="24"/>
        </w:rPr>
        <w:t xml:space="preserve">J. </w:t>
      </w:r>
      <w:r w:rsidRPr="00815E51">
        <w:rPr>
          <w:rFonts w:cstheme="minorHAnsi"/>
          <w:sz w:val="24"/>
          <w:szCs w:val="24"/>
        </w:rPr>
        <w:t>and Burnside</w:t>
      </w:r>
      <w:r>
        <w:rPr>
          <w:rFonts w:cstheme="minorHAnsi"/>
          <w:sz w:val="24"/>
          <w:szCs w:val="24"/>
        </w:rPr>
        <w:t xml:space="preserve">, W.R. (2016). </w:t>
      </w:r>
      <w:r w:rsidRPr="00815E51">
        <w:rPr>
          <w:rFonts w:cstheme="minorHAnsi"/>
          <w:sz w:val="24"/>
          <w:szCs w:val="24"/>
        </w:rPr>
        <w:t>Evolving the human niche</w:t>
      </w:r>
      <w:r>
        <w:rPr>
          <w:rFonts w:cstheme="minorHAnsi"/>
          <w:sz w:val="24"/>
          <w:szCs w:val="24"/>
        </w:rPr>
        <w:t xml:space="preserve">. </w:t>
      </w:r>
      <w:r w:rsidRPr="00815E51">
        <w:rPr>
          <w:rFonts w:cstheme="minorHAnsi"/>
          <w:i/>
          <w:sz w:val="24"/>
          <w:szCs w:val="24"/>
        </w:rPr>
        <w:t>PNAS</w:t>
      </w:r>
      <w:r>
        <w:rPr>
          <w:rFonts w:cstheme="minorHAnsi"/>
          <w:sz w:val="24"/>
          <w:szCs w:val="24"/>
        </w:rPr>
        <w:t xml:space="preserve">, </w:t>
      </w:r>
      <w:r w:rsidRPr="00815E51">
        <w:rPr>
          <w:rFonts w:cstheme="minorHAnsi"/>
          <w:sz w:val="24"/>
          <w:szCs w:val="24"/>
        </w:rPr>
        <w:t>113(31)</w:t>
      </w:r>
      <w:r>
        <w:rPr>
          <w:rFonts w:cstheme="minorHAnsi"/>
          <w:sz w:val="24"/>
          <w:szCs w:val="24"/>
        </w:rPr>
        <w:t>,</w:t>
      </w:r>
      <w:r w:rsidRPr="00815E51">
        <w:rPr>
          <w:rFonts w:cstheme="minorHAnsi"/>
          <w:sz w:val="24"/>
          <w:szCs w:val="24"/>
        </w:rPr>
        <w:t xml:space="preserve"> E4436</w:t>
      </w:r>
      <w:r>
        <w:rPr>
          <w:rFonts w:cstheme="minorHAnsi"/>
          <w:sz w:val="24"/>
          <w:szCs w:val="24"/>
        </w:rPr>
        <w:t xml:space="preserve">. DOI: </w:t>
      </w:r>
      <w:hyperlink r:id="rId22" w:history="1">
        <w:r w:rsidRPr="00A40364">
          <w:rPr>
            <w:rStyle w:val="Hyperlink"/>
            <w:rFonts w:cstheme="minorHAnsi"/>
            <w:sz w:val="24"/>
            <w:szCs w:val="24"/>
          </w:rPr>
          <w:t>https://doi.org/10.1073/pnas.1609425113</w:t>
        </w:r>
      </w:hyperlink>
      <w:r>
        <w:rPr>
          <w:rFonts w:cstheme="minorHAnsi"/>
          <w:sz w:val="24"/>
          <w:szCs w:val="24"/>
        </w:rPr>
        <w:t>.</w:t>
      </w:r>
    </w:p>
    <w:p w14:paraId="65483438" w14:textId="2F6EECC9" w:rsidR="00F32117" w:rsidRDefault="00F32117" w:rsidP="00D31F3A">
      <w:pPr>
        <w:pStyle w:val="EndnoteText"/>
        <w:spacing w:line="276" w:lineRule="auto"/>
        <w:ind w:left="284" w:right="-188" w:hanging="284"/>
        <w:rPr>
          <w:rFonts w:cstheme="minorHAnsi"/>
          <w:sz w:val="24"/>
          <w:szCs w:val="24"/>
        </w:rPr>
      </w:pPr>
      <w:r w:rsidRPr="00F32117">
        <w:rPr>
          <w:rFonts w:cstheme="minorHAnsi"/>
          <w:sz w:val="24"/>
          <w:szCs w:val="24"/>
        </w:rPr>
        <w:t>European Environment Agency</w:t>
      </w:r>
      <w:r>
        <w:rPr>
          <w:rFonts w:cstheme="minorHAnsi"/>
          <w:sz w:val="24"/>
          <w:szCs w:val="24"/>
        </w:rPr>
        <w:t>. (</w:t>
      </w:r>
      <w:r w:rsidRPr="00F32117">
        <w:rPr>
          <w:rFonts w:cstheme="minorHAnsi"/>
          <w:sz w:val="24"/>
          <w:szCs w:val="24"/>
        </w:rPr>
        <w:t>2019</w:t>
      </w:r>
      <w:r>
        <w:rPr>
          <w:rFonts w:cstheme="minorHAnsi"/>
          <w:sz w:val="24"/>
          <w:szCs w:val="24"/>
        </w:rPr>
        <w:t xml:space="preserve">). </w:t>
      </w:r>
      <w:r w:rsidRPr="00F32117">
        <w:rPr>
          <w:rFonts w:cstheme="minorHAnsi"/>
          <w:i/>
          <w:sz w:val="24"/>
          <w:szCs w:val="24"/>
        </w:rPr>
        <w:t>The European environment — state and outlook 2020</w:t>
      </w:r>
      <w:r>
        <w:rPr>
          <w:rFonts w:cstheme="minorHAnsi"/>
          <w:i/>
          <w:sz w:val="24"/>
          <w:szCs w:val="24"/>
        </w:rPr>
        <w:t>:</w:t>
      </w:r>
      <w:r w:rsidRPr="00F32117">
        <w:rPr>
          <w:rFonts w:cstheme="minorHAnsi"/>
          <w:i/>
          <w:sz w:val="24"/>
          <w:szCs w:val="24"/>
        </w:rPr>
        <w:t xml:space="preserve">  Knowledge for transition to a sustainable Europe</w:t>
      </w:r>
      <w:r w:rsidRPr="00F32117">
        <w:rPr>
          <w:rFonts w:cstheme="minorHAnsi"/>
          <w:sz w:val="24"/>
          <w:szCs w:val="24"/>
        </w:rPr>
        <w:t>. European Environment Agency</w:t>
      </w:r>
      <w:r>
        <w:rPr>
          <w:rFonts w:cstheme="minorHAnsi"/>
          <w:sz w:val="24"/>
          <w:szCs w:val="24"/>
        </w:rPr>
        <w:t xml:space="preserve">, Copenhagen. DOI: </w:t>
      </w:r>
      <w:hyperlink r:id="rId23" w:history="1">
        <w:r w:rsidRPr="00DD462C">
          <w:rPr>
            <w:rStyle w:val="Hyperlink"/>
            <w:rFonts w:cstheme="minorHAnsi"/>
            <w:sz w:val="24"/>
            <w:szCs w:val="24"/>
          </w:rPr>
          <w:t>https://doi.org/10.2800/96749</w:t>
        </w:r>
      </w:hyperlink>
      <w:r w:rsidRPr="00F32117">
        <w:rPr>
          <w:rFonts w:cstheme="minorHAnsi"/>
          <w:sz w:val="24"/>
          <w:szCs w:val="24"/>
        </w:rPr>
        <w:t>.</w:t>
      </w:r>
    </w:p>
    <w:p w14:paraId="78E74600" w14:textId="74E3D1AD"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Everard, M., Harrington, R. and McInnes, R.J. (2012). Facilitating implementation of landscape-scale integrated water management: the integrated constructed wetland concept. </w:t>
      </w:r>
      <w:r w:rsidRPr="00D31F3A">
        <w:rPr>
          <w:rFonts w:cstheme="minorHAnsi"/>
          <w:i/>
          <w:sz w:val="24"/>
          <w:szCs w:val="24"/>
        </w:rPr>
        <w:t>Ecosystem Services</w:t>
      </w:r>
      <w:r w:rsidRPr="00D31F3A">
        <w:rPr>
          <w:rFonts w:cstheme="minorHAnsi"/>
          <w:sz w:val="24"/>
          <w:szCs w:val="24"/>
        </w:rPr>
        <w:t xml:space="preserve">, 2, pp.27–37. DOI: </w:t>
      </w:r>
      <w:hyperlink r:id="rId24" w:history="1">
        <w:r w:rsidR="00F32117" w:rsidRPr="00DD462C">
          <w:rPr>
            <w:rStyle w:val="Hyperlink"/>
            <w:rFonts w:cstheme="minorHAnsi"/>
            <w:sz w:val="24"/>
            <w:szCs w:val="24"/>
          </w:rPr>
          <w:t>https://doi.org/10.1016/j.ecoser.2012.08.001</w:t>
        </w:r>
      </w:hyperlink>
      <w:r w:rsidRPr="00D31F3A">
        <w:rPr>
          <w:rFonts w:cstheme="minorHAnsi"/>
          <w:sz w:val="24"/>
          <w:szCs w:val="24"/>
        </w:rPr>
        <w:t>.</w:t>
      </w:r>
    </w:p>
    <w:p w14:paraId="133218E4" w14:textId="77777777" w:rsidR="007A3392"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Everard, M. (2013</w:t>
      </w:r>
      <w:r w:rsidR="007A3392">
        <w:rPr>
          <w:rFonts w:cstheme="minorHAnsi"/>
          <w:sz w:val="24"/>
          <w:szCs w:val="24"/>
        </w:rPr>
        <w:t>a</w:t>
      </w:r>
      <w:r w:rsidRPr="00D31F3A">
        <w:rPr>
          <w:rFonts w:cstheme="minorHAnsi"/>
          <w:sz w:val="24"/>
          <w:szCs w:val="24"/>
        </w:rPr>
        <w:t xml:space="preserve">). </w:t>
      </w:r>
      <w:r w:rsidR="007A3392" w:rsidRPr="007A3392">
        <w:rPr>
          <w:rFonts w:cstheme="minorHAnsi"/>
          <w:sz w:val="24"/>
          <w:szCs w:val="24"/>
        </w:rPr>
        <w:t xml:space="preserve">Support systems. </w:t>
      </w:r>
      <w:r w:rsidR="007A3392" w:rsidRPr="007A3392">
        <w:rPr>
          <w:rFonts w:cstheme="minorHAnsi"/>
          <w:i/>
          <w:sz w:val="24"/>
          <w:szCs w:val="24"/>
        </w:rPr>
        <w:t>The Environmentalist</w:t>
      </w:r>
      <w:r w:rsidR="007A3392" w:rsidRPr="007A3392">
        <w:rPr>
          <w:rFonts w:cstheme="minorHAnsi"/>
          <w:sz w:val="24"/>
          <w:szCs w:val="24"/>
        </w:rPr>
        <w:t>, September 2013, pp.14-16.</w:t>
      </w:r>
    </w:p>
    <w:p w14:paraId="42EDF89F" w14:textId="182A99BB" w:rsidR="00642685" w:rsidRPr="00D31F3A" w:rsidRDefault="00642685" w:rsidP="00642685">
      <w:pPr>
        <w:pStyle w:val="EndnoteText"/>
        <w:spacing w:line="276" w:lineRule="auto"/>
        <w:ind w:left="284" w:right="-188" w:hanging="284"/>
        <w:rPr>
          <w:rFonts w:cstheme="minorHAnsi"/>
          <w:sz w:val="24"/>
          <w:szCs w:val="24"/>
        </w:rPr>
      </w:pPr>
      <w:r w:rsidRPr="00D31F3A">
        <w:rPr>
          <w:rFonts w:cstheme="minorHAnsi"/>
          <w:sz w:val="24"/>
          <w:szCs w:val="24"/>
        </w:rPr>
        <w:t>Everard, M. (201</w:t>
      </w:r>
      <w:r w:rsidR="007A3392">
        <w:rPr>
          <w:rFonts w:cstheme="minorHAnsi"/>
          <w:sz w:val="24"/>
          <w:szCs w:val="24"/>
        </w:rPr>
        <w:t>3b)</w:t>
      </w:r>
      <w:r>
        <w:rPr>
          <w:rFonts w:cstheme="minorHAnsi"/>
          <w:sz w:val="24"/>
          <w:szCs w:val="24"/>
        </w:rPr>
        <w:t xml:space="preserve">. </w:t>
      </w:r>
      <w:r w:rsidRPr="00D31F3A">
        <w:rPr>
          <w:rFonts w:cstheme="minorHAnsi"/>
          <w:i/>
          <w:sz w:val="24"/>
          <w:szCs w:val="24"/>
        </w:rPr>
        <w:t xml:space="preserve">The </w:t>
      </w:r>
      <w:proofErr w:type="spellStart"/>
      <w:r w:rsidRPr="00D31F3A">
        <w:rPr>
          <w:rFonts w:cstheme="minorHAnsi"/>
          <w:i/>
          <w:sz w:val="24"/>
          <w:szCs w:val="24"/>
        </w:rPr>
        <w:t>Hydropolitics</w:t>
      </w:r>
      <w:proofErr w:type="spellEnd"/>
      <w:r w:rsidRPr="00D31F3A">
        <w:rPr>
          <w:rFonts w:cstheme="minorHAnsi"/>
          <w:i/>
          <w:sz w:val="24"/>
          <w:szCs w:val="24"/>
        </w:rPr>
        <w:t xml:space="preserve"> of Dams: Engineering or Ecosystems?</w:t>
      </w:r>
      <w:r w:rsidRPr="00D31F3A">
        <w:rPr>
          <w:rFonts w:cstheme="minorHAnsi"/>
          <w:sz w:val="24"/>
          <w:szCs w:val="24"/>
        </w:rPr>
        <w:t xml:space="preserve"> Zed Books, London.</w:t>
      </w:r>
    </w:p>
    <w:p w14:paraId="4EBD2873"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Everard, M. (2015). Community-based groundwater and ecosystem restoration in semi-arid north Rajasthan (1): socio-economic progress and lessons for groundwater-dependent areas. </w:t>
      </w:r>
      <w:r w:rsidRPr="00D31F3A">
        <w:rPr>
          <w:rFonts w:cstheme="minorHAnsi"/>
          <w:i/>
          <w:sz w:val="24"/>
          <w:szCs w:val="24"/>
        </w:rPr>
        <w:t>Ecosystem Services</w:t>
      </w:r>
      <w:r w:rsidRPr="00D31F3A">
        <w:rPr>
          <w:rFonts w:cstheme="minorHAnsi"/>
          <w:sz w:val="24"/>
          <w:szCs w:val="24"/>
        </w:rPr>
        <w:t>, 16, pp.125–135.</w:t>
      </w:r>
    </w:p>
    <w:p w14:paraId="49C5B00C"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Everard, M. (2016). </w:t>
      </w:r>
      <w:r w:rsidRPr="00D31F3A">
        <w:rPr>
          <w:rFonts w:cstheme="minorHAnsi"/>
          <w:i/>
          <w:sz w:val="24"/>
          <w:szCs w:val="24"/>
        </w:rPr>
        <w:t>The Ecosystems Revolution: Co-creating a Symbiotic Future</w:t>
      </w:r>
      <w:r w:rsidRPr="00D31F3A">
        <w:rPr>
          <w:rFonts w:cstheme="minorHAnsi"/>
          <w:sz w:val="24"/>
          <w:szCs w:val="24"/>
        </w:rPr>
        <w:t>. Palgrave PIVOT series</w:t>
      </w:r>
    </w:p>
    <w:p w14:paraId="3FFFA842" w14:textId="5674913C" w:rsidR="00362F36"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Everard, M. (2020</w:t>
      </w:r>
      <w:r w:rsidR="00D815C0">
        <w:rPr>
          <w:rFonts w:cstheme="minorHAnsi"/>
          <w:sz w:val="24"/>
          <w:szCs w:val="24"/>
        </w:rPr>
        <w:t>a</w:t>
      </w:r>
      <w:r w:rsidRPr="00D31F3A">
        <w:rPr>
          <w:rFonts w:cstheme="minorHAnsi"/>
          <w:sz w:val="24"/>
          <w:szCs w:val="24"/>
        </w:rPr>
        <w:t xml:space="preserve">). </w:t>
      </w:r>
      <w:r w:rsidRPr="00D31F3A">
        <w:rPr>
          <w:rFonts w:cstheme="minorHAnsi"/>
          <w:i/>
          <w:sz w:val="24"/>
          <w:szCs w:val="24"/>
        </w:rPr>
        <w:t>Rebuilding the Earth: Regenerating our planet’s life support systems for a sustainable future</w:t>
      </w:r>
      <w:r w:rsidRPr="00D31F3A">
        <w:rPr>
          <w:rFonts w:cstheme="minorHAnsi"/>
          <w:sz w:val="24"/>
          <w:szCs w:val="24"/>
        </w:rPr>
        <w:t>. Palgrave Macmillan.</w:t>
      </w:r>
    </w:p>
    <w:p w14:paraId="5EAD0427" w14:textId="10B45D37" w:rsidR="008D03A7" w:rsidRPr="00D31F3A" w:rsidRDefault="008D03A7" w:rsidP="00D31F3A">
      <w:pPr>
        <w:pStyle w:val="EndnoteText"/>
        <w:spacing w:line="276" w:lineRule="auto"/>
        <w:ind w:left="284" w:right="-188" w:hanging="284"/>
        <w:rPr>
          <w:rFonts w:cs="Calibri"/>
          <w:sz w:val="24"/>
          <w:szCs w:val="24"/>
        </w:rPr>
      </w:pPr>
      <w:r>
        <w:rPr>
          <w:rFonts w:cs="Calibri"/>
          <w:sz w:val="24"/>
          <w:szCs w:val="24"/>
        </w:rPr>
        <w:t xml:space="preserve">Everard, M. (Editor) </w:t>
      </w:r>
      <w:r w:rsidR="00D815C0">
        <w:rPr>
          <w:rFonts w:cs="Calibri"/>
          <w:sz w:val="24"/>
          <w:szCs w:val="24"/>
        </w:rPr>
        <w:t>(2020b)</w:t>
      </w:r>
      <w:r>
        <w:rPr>
          <w:rFonts w:cs="Calibri"/>
          <w:sz w:val="24"/>
          <w:szCs w:val="24"/>
        </w:rPr>
        <w:t xml:space="preserve">. Reconnecting society with its ecological roots. </w:t>
      </w:r>
      <w:r w:rsidRPr="008D03A7">
        <w:rPr>
          <w:rFonts w:cs="Calibri"/>
          <w:i/>
          <w:sz w:val="24"/>
          <w:szCs w:val="24"/>
        </w:rPr>
        <w:t>Environmental Scientist</w:t>
      </w:r>
      <w:r>
        <w:rPr>
          <w:rFonts w:cs="Calibri"/>
          <w:sz w:val="24"/>
          <w:szCs w:val="24"/>
        </w:rPr>
        <w:t xml:space="preserve">, </w:t>
      </w:r>
      <w:r w:rsidR="0045163C" w:rsidRPr="0045163C">
        <w:rPr>
          <w:rFonts w:cs="Calibri"/>
          <w:sz w:val="24"/>
          <w:szCs w:val="24"/>
        </w:rPr>
        <w:t>August 2020</w:t>
      </w:r>
      <w:r w:rsidRPr="0045163C">
        <w:rPr>
          <w:rFonts w:cs="Calibri"/>
          <w:sz w:val="24"/>
          <w:szCs w:val="24"/>
        </w:rPr>
        <w:t>.</w:t>
      </w:r>
      <w:r w:rsidR="0045163C" w:rsidRPr="0045163C">
        <w:rPr>
          <w:rFonts w:cs="Calibri"/>
          <w:sz w:val="24"/>
          <w:szCs w:val="24"/>
        </w:rPr>
        <w:t xml:space="preserve"> The Inst</w:t>
      </w:r>
      <w:r w:rsidR="0045163C">
        <w:rPr>
          <w:rFonts w:cs="Calibri"/>
          <w:sz w:val="24"/>
          <w:szCs w:val="24"/>
        </w:rPr>
        <w:t>itution of Environmental Sciences (IES), London.</w:t>
      </w:r>
    </w:p>
    <w:p w14:paraId="5FBA6EFE" w14:textId="7A1F33F7" w:rsidR="00A11451" w:rsidRDefault="00A11451" w:rsidP="00D31F3A">
      <w:pPr>
        <w:pStyle w:val="EndnoteText"/>
        <w:spacing w:line="276" w:lineRule="auto"/>
        <w:ind w:left="284" w:right="-188" w:hanging="284"/>
        <w:rPr>
          <w:rFonts w:cs="Calibri"/>
          <w:sz w:val="24"/>
          <w:szCs w:val="24"/>
        </w:rPr>
      </w:pPr>
      <w:r>
        <w:rPr>
          <w:rFonts w:cs="Calibri"/>
          <w:sz w:val="24"/>
          <w:szCs w:val="24"/>
        </w:rPr>
        <w:t xml:space="preserve">Everard, M., Johnston, P., Santillo, D. and Staddon, C. </w:t>
      </w:r>
      <w:r w:rsidR="003D092B">
        <w:rPr>
          <w:rFonts w:cs="Calibri"/>
          <w:sz w:val="24"/>
          <w:szCs w:val="24"/>
        </w:rPr>
        <w:t>(2020</w:t>
      </w:r>
      <w:r>
        <w:rPr>
          <w:rFonts w:cs="Calibri"/>
          <w:sz w:val="24"/>
          <w:szCs w:val="24"/>
        </w:rPr>
        <w:t xml:space="preserve">). </w:t>
      </w:r>
      <w:r w:rsidRPr="00A11451">
        <w:rPr>
          <w:rFonts w:cs="Calibri"/>
          <w:sz w:val="24"/>
          <w:szCs w:val="24"/>
        </w:rPr>
        <w:t>Environmental responses to Covid-19 and other zoonoses</w:t>
      </w:r>
      <w:r>
        <w:rPr>
          <w:rFonts w:cs="Calibri"/>
          <w:sz w:val="24"/>
          <w:szCs w:val="24"/>
        </w:rPr>
        <w:t>.</w:t>
      </w:r>
      <w:r w:rsidR="003D092B">
        <w:rPr>
          <w:rFonts w:cs="Calibri"/>
          <w:sz w:val="24"/>
          <w:szCs w:val="24"/>
        </w:rPr>
        <w:t xml:space="preserve"> </w:t>
      </w:r>
      <w:r w:rsidR="003D092B">
        <w:rPr>
          <w:rFonts w:cs="Calibri"/>
          <w:i/>
          <w:sz w:val="24"/>
          <w:szCs w:val="24"/>
        </w:rPr>
        <w:t>Environmental Science and Policy</w:t>
      </w:r>
      <w:r w:rsidR="003D092B" w:rsidRPr="003D092B">
        <w:rPr>
          <w:rFonts w:cs="Calibri"/>
          <w:sz w:val="24"/>
          <w:szCs w:val="24"/>
        </w:rPr>
        <w:t>,</w:t>
      </w:r>
      <w:r w:rsidR="003D092B" w:rsidRPr="003D092B">
        <w:t xml:space="preserve"> </w:t>
      </w:r>
      <w:r w:rsidR="003D092B" w:rsidRPr="003D092B">
        <w:rPr>
          <w:rFonts w:cs="Calibri"/>
          <w:sz w:val="24"/>
          <w:szCs w:val="24"/>
        </w:rPr>
        <w:t>111</w:t>
      </w:r>
      <w:r w:rsidR="003D092B">
        <w:rPr>
          <w:rFonts w:cs="Calibri"/>
          <w:sz w:val="24"/>
          <w:szCs w:val="24"/>
        </w:rPr>
        <w:t>, pp.</w:t>
      </w:r>
      <w:r w:rsidR="003D092B" w:rsidRPr="003D092B">
        <w:rPr>
          <w:rFonts w:cs="Calibri"/>
          <w:sz w:val="24"/>
          <w:szCs w:val="24"/>
        </w:rPr>
        <w:t xml:space="preserve">7-17. </w:t>
      </w:r>
      <w:r w:rsidR="003D092B">
        <w:rPr>
          <w:rFonts w:cs="Calibri"/>
          <w:sz w:val="24"/>
          <w:szCs w:val="24"/>
        </w:rPr>
        <w:t xml:space="preserve">DOI: </w:t>
      </w:r>
      <w:hyperlink r:id="rId25" w:history="1">
        <w:r w:rsidR="003D092B" w:rsidRPr="00DD462C">
          <w:rPr>
            <w:rStyle w:val="Hyperlink"/>
            <w:rFonts w:cs="Calibri"/>
            <w:sz w:val="24"/>
            <w:szCs w:val="24"/>
          </w:rPr>
          <w:t>https://doi.org/10.1016/j.envsci.2020.05.017</w:t>
        </w:r>
      </w:hyperlink>
      <w:r>
        <w:rPr>
          <w:rFonts w:cs="Calibri"/>
          <w:sz w:val="24"/>
          <w:szCs w:val="24"/>
        </w:rPr>
        <w:t>.</w:t>
      </w:r>
    </w:p>
    <w:p w14:paraId="4DE6B508" w14:textId="5DCEC077" w:rsidR="00362F36" w:rsidRPr="00D31F3A" w:rsidRDefault="00362F36" w:rsidP="00D31F3A">
      <w:pPr>
        <w:pStyle w:val="EndnoteText"/>
        <w:spacing w:line="276" w:lineRule="auto"/>
        <w:ind w:left="284" w:right="-188" w:hanging="284"/>
        <w:rPr>
          <w:rFonts w:cs="Calibri"/>
          <w:sz w:val="24"/>
          <w:szCs w:val="24"/>
        </w:rPr>
      </w:pPr>
      <w:r w:rsidRPr="00D31F3A">
        <w:rPr>
          <w:rFonts w:cs="Calibri"/>
          <w:sz w:val="24"/>
          <w:szCs w:val="24"/>
        </w:rPr>
        <w:t xml:space="preserve">European Environment Agency. (2020). </w:t>
      </w:r>
      <w:r w:rsidRPr="00D31F3A">
        <w:rPr>
          <w:rFonts w:cs="Calibri"/>
          <w:i/>
          <w:sz w:val="24"/>
          <w:szCs w:val="24"/>
        </w:rPr>
        <w:t>SOER 2020 - At a glance</w:t>
      </w:r>
      <w:r w:rsidRPr="00D31F3A">
        <w:rPr>
          <w:rFonts w:cs="Calibri"/>
          <w:sz w:val="24"/>
          <w:szCs w:val="24"/>
        </w:rPr>
        <w:t>. European Environment Agency, Copenhagen. (</w:t>
      </w:r>
      <w:hyperlink r:id="rId26" w:history="1">
        <w:r w:rsidRPr="00D31F3A">
          <w:rPr>
            <w:rStyle w:val="Hyperlink"/>
            <w:rFonts w:cs="Calibri"/>
            <w:sz w:val="24"/>
            <w:szCs w:val="24"/>
          </w:rPr>
          <w:t>https://www.eea.europa.eu/soer-2020/intro</w:t>
        </w:r>
      </w:hyperlink>
      <w:r w:rsidRPr="00D31F3A">
        <w:rPr>
          <w:rFonts w:cs="Calibri"/>
          <w:sz w:val="24"/>
          <w:szCs w:val="24"/>
        </w:rPr>
        <w:t>.)</w:t>
      </w:r>
    </w:p>
    <w:p w14:paraId="26BBD192"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Friedman, M. and Schwartz, A.J. (1963). </w:t>
      </w:r>
      <w:r w:rsidRPr="00D31F3A">
        <w:rPr>
          <w:rFonts w:cstheme="minorHAnsi"/>
          <w:i/>
          <w:sz w:val="24"/>
          <w:szCs w:val="24"/>
        </w:rPr>
        <w:t>A Monetary History of the United States, 1867–1960</w:t>
      </w:r>
      <w:r w:rsidRPr="00D31F3A">
        <w:rPr>
          <w:rFonts w:cstheme="minorHAnsi"/>
          <w:sz w:val="24"/>
          <w:szCs w:val="24"/>
        </w:rPr>
        <w:t>. Princeton University Press.</w:t>
      </w:r>
    </w:p>
    <w:p w14:paraId="0E638377" w14:textId="24E7847B" w:rsidR="00362F36" w:rsidRDefault="00362F36" w:rsidP="00C661E1">
      <w:pPr>
        <w:pStyle w:val="EndnoteText"/>
        <w:spacing w:line="276" w:lineRule="auto"/>
        <w:ind w:left="284" w:right="-188" w:hanging="284"/>
        <w:rPr>
          <w:rFonts w:cstheme="minorHAnsi"/>
          <w:sz w:val="24"/>
          <w:szCs w:val="24"/>
        </w:rPr>
      </w:pPr>
      <w:r w:rsidRPr="00D31F3A">
        <w:rPr>
          <w:rFonts w:cstheme="minorHAnsi"/>
          <w:sz w:val="24"/>
          <w:szCs w:val="24"/>
        </w:rPr>
        <w:t xml:space="preserve">Global Footprint Network. (2020). </w:t>
      </w:r>
      <w:r w:rsidRPr="00D31F3A">
        <w:rPr>
          <w:rFonts w:cstheme="minorHAnsi"/>
          <w:i/>
          <w:sz w:val="24"/>
          <w:szCs w:val="24"/>
        </w:rPr>
        <w:t>Living Planet Index 2016</w:t>
      </w:r>
      <w:r w:rsidRPr="00D31F3A">
        <w:rPr>
          <w:rFonts w:cstheme="minorHAnsi"/>
          <w:sz w:val="24"/>
          <w:szCs w:val="24"/>
        </w:rPr>
        <w:t>. Global Footprint Network. (</w:t>
      </w:r>
      <w:hyperlink r:id="rId27" w:history="1">
        <w:r w:rsidRPr="00D31F3A">
          <w:rPr>
            <w:rStyle w:val="Hyperlink"/>
            <w:rFonts w:cstheme="minorHAnsi"/>
            <w:sz w:val="24"/>
            <w:szCs w:val="24"/>
          </w:rPr>
          <w:t>http://www.footprintnetwork.org/en/index.php/GFN/</w:t>
        </w:r>
      </w:hyperlink>
      <w:r w:rsidRPr="00D31F3A">
        <w:rPr>
          <w:rFonts w:cstheme="minorHAnsi"/>
          <w:sz w:val="24"/>
          <w:szCs w:val="24"/>
        </w:rPr>
        <w:t>, accessed 14</w:t>
      </w:r>
      <w:r w:rsidRPr="00D31F3A">
        <w:rPr>
          <w:rFonts w:cstheme="minorHAnsi"/>
          <w:sz w:val="24"/>
          <w:szCs w:val="24"/>
          <w:vertAlign w:val="superscript"/>
        </w:rPr>
        <w:t>th</w:t>
      </w:r>
      <w:r w:rsidRPr="00D31F3A">
        <w:rPr>
          <w:rFonts w:cstheme="minorHAnsi"/>
          <w:sz w:val="24"/>
          <w:szCs w:val="24"/>
        </w:rPr>
        <w:t xml:space="preserve"> November 2016.)</w:t>
      </w:r>
    </w:p>
    <w:p w14:paraId="6A6A4236" w14:textId="04C9C843" w:rsidR="00C661E1" w:rsidRPr="00D31F3A" w:rsidRDefault="00C661E1" w:rsidP="00C661E1">
      <w:pPr>
        <w:pStyle w:val="EndnoteText"/>
        <w:spacing w:line="276" w:lineRule="auto"/>
        <w:ind w:left="284" w:right="-188" w:hanging="284"/>
        <w:rPr>
          <w:rFonts w:cstheme="minorHAnsi"/>
          <w:sz w:val="24"/>
          <w:szCs w:val="24"/>
        </w:rPr>
      </w:pPr>
      <w:r>
        <w:rPr>
          <w:rFonts w:cstheme="minorHAnsi"/>
          <w:sz w:val="24"/>
          <w:szCs w:val="24"/>
        </w:rPr>
        <w:t xml:space="preserve">Gokhale, A.A. (1995).  </w:t>
      </w:r>
      <w:r w:rsidRPr="00C661E1">
        <w:rPr>
          <w:rFonts w:cstheme="minorHAnsi"/>
          <w:sz w:val="24"/>
          <w:szCs w:val="24"/>
        </w:rPr>
        <w:t>Collaborative learning enhances critical thinking</w:t>
      </w:r>
      <w:r w:rsidR="00D815C0">
        <w:rPr>
          <w:rFonts w:cstheme="minorHAnsi"/>
          <w:sz w:val="24"/>
          <w:szCs w:val="24"/>
        </w:rPr>
        <w:t xml:space="preserve">. </w:t>
      </w:r>
      <w:r w:rsidRPr="00D815C0">
        <w:rPr>
          <w:rFonts w:cstheme="minorHAnsi"/>
          <w:i/>
          <w:sz w:val="24"/>
          <w:szCs w:val="24"/>
        </w:rPr>
        <w:t>Journal of Technology Education</w:t>
      </w:r>
      <w:r w:rsidRPr="00C661E1">
        <w:rPr>
          <w:rFonts w:cstheme="minorHAnsi"/>
          <w:sz w:val="24"/>
          <w:szCs w:val="24"/>
        </w:rPr>
        <w:t>, 7</w:t>
      </w:r>
      <w:r w:rsidR="00D815C0">
        <w:rPr>
          <w:rFonts w:cstheme="minorHAnsi"/>
          <w:sz w:val="24"/>
          <w:szCs w:val="24"/>
        </w:rPr>
        <w:t>(</w:t>
      </w:r>
      <w:r w:rsidRPr="00C661E1">
        <w:rPr>
          <w:rFonts w:cstheme="minorHAnsi"/>
          <w:sz w:val="24"/>
          <w:szCs w:val="24"/>
        </w:rPr>
        <w:t>1</w:t>
      </w:r>
      <w:r w:rsidR="00D815C0">
        <w:rPr>
          <w:rFonts w:cstheme="minorHAnsi"/>
          <w:sz w:val="24"/>
          <w:szCs w:val="24"/>
        </w:rPr>
        <w:t>)</w:t>
      </w:r>
      <w:r w:rsidRPr="00C661E1">
        <w:rPr>
          <w:rFonts w:cstheme="minorHAnsi"/>
          <w:sz w:val="24"/>
          <w:szCs w:val="24"/>
        </w:rPr>
        <w:t>, pp.1-8</w:t>
      </w:r>
      <w:r w:rsidR="00D815C0">
        <w:rPr>
          <w:rFonts w:cstheme="minorHAnsi"/>
          <w:sz w:val="24"/>
          <w:szCs w:val="24"/>
        </w:rPr>
        <w:t xml:space="preserve">. DOI: </w:t>
      </w:r>
      <w:hyperlink r:id="rId28" w:history="1">
        <w:r w:rsidR="00D815C0" w:rsidRPr="00DD462C">
          <w:rPr>
            <w:rStyle w:val="Hyperlink"/>
            <w:rFonts w:cstheme="minorHAnsi"/>
            <w:sz w:val="24"/>
            <w:szCs w:val="24"/>
          </w:rPr>
          <w:t>https://doi.org/10.21061/jte.v7i1.a.2</w:t>
        </w:r>
      </w:hyperlink>
      <w:r w:rsidR="00D815C0">
        <w:rPr>
          <w:rFonts w:cstheme="minorHAnsi"/>
          <w:sz w:val="24"/>
          <w:szCs w:val="24"/>
        </w:rPr>
        <w:t>.</w:t>
      </w:r>
    </w:p>
    <w:p w14:paraId="1AB73344"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Heller, P. and Rao, V. (2015). </w:t>
      </w:r>
      <w:r w:rsidRPr="00D31F3A">
        <w:rPr>
          <w:rFonts w:cstheme="minorHAnsi"/>
          <w:i/>
          <w:sz w:val="24"/>
          <w:szCs w:val="24"/>
        </w:rPr>
        <w:t>Deliberation and Development: Rethinking the Role of Voice and Collective Action in Unequal Societies</w:t>
      </w:r>
      <w:r w:rsidRPr="00D31F3A">
        <w:rPr>
          <w:rFonts w:cstheme="minorHAnsi"/>
          <w:sz w:val="24"/>
          <w:szCs w:val="24"/>
        </w:rPr>
        <w:t xml:space="preserve">. World Bank Publications. DOI: </w:t>
      </w:r>
      <w:hyperlink r:id="rId29" w:history="1">
        <w:r w:rsidRPr="00D31F3A">
          <w:rPr>
            <w:rStyle w:val="Hyperlink"/>
            <w:rFonts w:cstheme="minorHAnsi"/>
            <w:sz w:val="24"/>
            <w:szCs w:val="24"/>
          </w:rPr>
          <w:t>https://doi.org/10.1596/978-1-4648-0501-1</w:t>
        </w:r>
      </w:hyperlink>
      <w:r w:rsidRPr="00D31F3A">
        <w:rPr>
          <w:rFonts w:cstheme="minorHAnsi"/>
          <w:sz w:val="24"/>
          <w:szCs w:val="24"/>
        </w:rPr>
        <w:t>.</w:t>
      </w:r>
    </w:p>
    <w:p w14:paraId="013672AD" w14:textId="77777777" w:rsidR="00362F36" w:rsidRPr="00F55E21"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HM Government. (2011). </w:t>
      </w:r>
      <w:r w:rsidRPr="00D31F3A">
        <w:rPr>
          <w:rFonts w:cstheme="minorHAnsi"/>
          <w:i/>
          <w:sz w:val="24"/>
          <w:szCs w:val="24"/>
        </w:rPr>
        <w:t>The natural choice: securing the value of nature</w:t>
      </w:r>
      <w:r w:rsidRPr="00D31F3A">
        <w:rPr>
          <w:rFonts w:cstheme="minorHAnsi"/>
          <w:sz w:val="24"/>
          <w:szCs w:val="24"/>
        </w:rPr>
        <w:t>. HM Government, London. (</w:t>
      </w:r>
      <w:hyperlink r:id="rId30" w:history="1">
        <w:r w:rsidRPr="00D31F3A">
          <w:rPr>
            <w:rStyle w:val="Hyperlink"/>
            <w:rFonts w:cstheme="minorHAnsi"/>
            <w:sz w:val="24"/>
            <w:szCs w:val="24"/>
          </w:rPr>
          <w:t>https://www.gov.uk/government/publications/the-natural-choice-securing-the-value-of-nature</w:t>
        </w:r>
      </w:hyperlink>
      <w:r w:rsidRPr="00D31F3A">
        <w:rPr>
          <w:rFonts w:cstheme="minorHAnsi"/>
          <w:sz w:val="24"/>
          <w:szCs w:val="24"/>
        </w:rPr>
        <w:t>, accessed 11</w:t>
      </w:r>
      <w:r w:rsidRPr="00D31F3A">
        <w:rPr>
          <w:rFonts w:cstheme="minorHAnsi"/>
          <w:sz w:val="24"/>
          <w:szCs w:val="24"/>
          <w:vertAlign w:val="superscript"/>
        </w:rPr>
        <w:t>th</w:t>
      </w:r>
      <w:r w:rsidRPr="00D31F3A">
        <w:rPr>
          <w:rFonts w:cstheme="minorHAnsi"/>
          <w:sz w:val="24"/>
          <w:szCs w:val="24"/>
        </w:rPr>
        <w:t xml:space="preserve"> </w:t>
      </w:r>
      <w:r w:rsidRPr="00F55E21">
        <w:rPr>
          <w:rFonts w:cstheme="minorHAnsi"/>
          <w:sz w:val="24"/>
          <w:szCs w:val="24"/>
        </w:rPr>
        <w:t>March 2020.)</w:t>
      </w:r>
    </w:p>
    <w:p w14:paraId="776EE370" w14:textId="72F0A5F1" w:rsidR="00A75DFD" w:rsidRPr="00201756" w:rsidRDefault="00362F36" w:rsidP="00A75DFD">
      <w:pPr>
        <w:pStyle w:val="EndnoteText"/>
        <w:rPr>
          <w:rStyle w:val="Hyperlink"/>
          <w:rFonts w:cstheme="minorHAnsi"/>
          <w:sz w:val="24"/>
          <w:szCs w:val="24"/>
          <w:u w:val="none"/>
        </w:rPr>
      </w:pPr>
      <w:r w:rsidRPr="00F55E21">
        <w:rPr>
          <w:rFonts w:cstheme="minorHAnsi"/>
          <w:sz w:val="24"/>
          <w:szCs w:val="24"/>
        </w:rPr>
        <w:t xml:space="preserve">HM </w:t>
      </w:r>
      <w:r w:rsidRPr="00201756">
        <w:rPr>
          <w:rFonts w:cstheme="minorHAnsi"/>
          <w:sz w:val="24"/>
          <w:szCs w:val="24"/>
        </w:rPr>
        <w:t>Government</w:t>
      </w:r>
      <w:r w:rsidR="00201756" w:rsidRPr="00201756">
        <w:rPr>
          <w:rFonts w:cstheme="minorHAnsi"/>
          <w:sz w:val="24"/>
          <w:szCs w:val="24"/>
        </w:rPr>
        <w:t>.</w:t>
      </w:r>
      <w:r w:rsidRPr="00201756">
        <w:rPr>
          <w:rFonts w:cstheme="minorHAnsi"/>
          <w:sz w:val="24"/>
          <w:szCs w:val="24"/>
        </w:rPr>
        <w:t xml:space="preserve"> (2017)</w:t>
      </w:r>
      <w:r w:rsidR="00201756" w:rsidRPr="00201756">
        <w:rPr>
          <w:rFonts w:cstheme="minorHAnsi"/>
          <w:sz w:val="24"/>
          <w:szCs w:val="24"/>
        </w:rPr>
        <w:t xml:space="preserve">. </w:t>
      </w:r>
      <w:r w:rsidR="00201756" w:rsidRPr="00201756">
        <w:rPr>
          <w:rStyle w:val="Hyperlink"/>
          <w:rFonts w:cstheme="minorHAnsi"/>
          <w:i/>
          <w:color w:val="auto"/>
          <w:sz w:val="24"/>
          <w:szCs w:val="24"/>
          <w:u w:val="none"/>
        </w:rPr>
        <w:t>A Green Future: Our 25 Year Plan to Improve the Environment</w:t>
      </w:r>
      <w:r w:rsidR="00201756" w:rsidRPr="00201756">
        <w:rPr>
          <w:rStyle w:val="Hyperlink"/>
          <w:rFonts w:cstheme="minorHAnsi"/>
          <w:color w:val="auto"/>
          <w:sz w:val="24"/>
          <w:szCs w:val="24"/>
          <w:u w:val="none"/>
        </w:rPr>
        <w:t>. HM Government, London. [Online.] (</w:t>
      </w:r>
      <w:hyperlink r:id="rId31" w:history="1">
        <w:r w:rsidR="00201756" w:rsidRPr="00593CA1">
          <w:rPr>
            <w:rStyle w:val="Hyperlink"/>
            <w:sz w:val="24"/>
            <w:szCs w:val="24"/>
          </w:rPr>
          <w:t>https://www.gov.uk/government/publications/25-year-environment-plan</w:t>
        </w:r>
      </w:hyperlink>
      <w:r w:rsidR="00201756" w:rsidRPr="00201756">
        <w:rPr>
          <w:rStyle w:val="Hyperlink"/>
          <w:rFonts w:cstheme="minorHAnsi"/>
          <w:color w:val="auto"/>
          <w:sz w:val="24"/>
          <w:szCs w:val="24"/>
          <w:u w:val="none"/>
        </w:rPr>
        <w:t>.)</w:t>
      </w:r>
    </w:p>
    <w:p w14:paraId="602C77C3" w14:textId="79FF2E59" w:rsidR="00201756" w:rsidRDefault="00201756" w:rsidP="00F55E21">
      <w:pPr>
        <w:pStyle w:val="EndnoteText"/>
        <w:ind w:left="284" w:hanging="284"/>
        <w:rPr>
          <w:rFonts w:cstheme="minorHAnsi"/>
          <w:sz w:val="24"/>
          <w:szCs w:val="24"/>
        </w:rPr>
      </w:pPr>
      <w:r w:rsidRPr="00201756">
        <w:rPr>
          <w:rFonts w:cstheme="minorHAnsi"/>
          <w:sz w:val="24"/>
          <w:szCs w:val="24"/>
        </w:rPr>
        <w:t xml:space="preserve">HM </w:t>
      </w:r>
      <w:r w:rsidRPr="00F55E21">
        <w:rPr>
          <w:rFonts w:cstheme="minorHAnsi"/>
          <w:sz w:val="24"/>
          <w:szCs w:val="24"/>
        </w:rPr>
        <w:t>Treasury. (20</w:t>
      </w:r>
      <w:r>
        <w:rPr>
          <w:rFonts w:cstheme="minorHAnsi"/>
          <w:sz w:val="24"/>
          <w:szCs w:val="24"/>
        </w:rPr>
        <w:t>20</w:t>
      </w:r>
      <w:r w:rsidRPr="00F55E21">
        <w:rPr>
          <w:rFonts w:cstheme="minorHAnsi"/>
          <w:sz w:val="24"/>
          <w:szCs w:val="24"/>
        </w:rPr>
        <w:t xml:space="preserve">). </w:t>
      </w:r>
      <w:r w:rsidRPr="00F55E21">
        <w:rPr>
          <w:rFonts w:cstheme="minorHAnsi"/>
          <w:i/>
          <w:sz w:val="24"/>
          <w:szCs w:val="24"/>
        </w:rPr>
        <w:t>The Dasgupta Review – Independent Review on the Economics of Biodiversity: I</w:t>
      </w:r>
      <w:r>
        <w:rPr>
          <w:rFonts w:cstheme="minorHAnsi"/>
          <w:i/>
          <w:sz w:val="24"/>
          <w:szCs w:val="24"/>
        </w:rPr>
        <w:t>n</w:t>
      </w:r>
      <w:r w:rsidRPr="00F55E21">
        <w:rPr>
          <w:rFonts w:cstheme="minorHAnsi"/>
          <w:i/>
          <w:sz w:val="24"/>
          <w:szCs w:val="24"/>
        </w:rPr>
        <w:t>terim Report</w:t>
      </w:r>
      <w:r w:rsidRPr="00F55E21">
        <w:rPr>
          <w:rFonts w:cstheme="minorHAnsi"/>
          <w:sz w:val="24"/>
          <w:szCs w:val="24"/>
        </w:rPr>
        <w:t xml:space="preserve">. </w:t>
      </w:r>
      <w:r w:rsidRPr="00201756">
        <w:rPr>
          <w:rFonts w:cstheme="minorHAnsi"/>
          <w:sz w:val="24"/>
          <w:szCs w:val="24"/>
        </w:rPr>
        <w:t>HM Treasury, London. [Online.] (</w:t>
      </w:r>
      <w:hyperlink r:id="rId32" w:history="1">
        <w:r w:rsidRPr="00201756">
          <w:rPr>
            <w:rStyle w:val="Hyperlink"/>
            <w:sz w:val="24"/>
            <w:szCs w:val="24"/>
          </w:rPr>
          <w:t>https://www.gov.uk/government/publications/interim-report-the-dasgupta-review-independent-review-on-the-economics-of-biodiversity</w:t>
        </w:r>
      </w:hyperlink>
      <w:r w:rsidRPr="00201756">
        <w:rPr>
          <w:sz w:val="24"/>
          <w:szCs w:val="24"/>
        </w:rPr>
        <w:t>.)</w:t>
      </w:r>
    </w:p>
    <w:p w14:paraId="52314825" w14:textId="77E325C2" w:rsidR="00C276A5" w:rsidRPr="00F55E21" w:rsidRDefault="00C276A5" w:rsidP="00F55E21">
      <w:pPr>
        <w:pStyle w:val="EndnoteText"/>
        <w:ind w:left="284" w:hanging="284"/>
        <w:rPr>
          <w:rFonts w:cstheme="minorHAnsi"/>
          <w:sz w:val="24"/>
          <w:szCs w:val="24"/>
        </w:rPr>
      </w:pPr>
      <w:r>
        <w:rPr>
          <w:rFonts w:cstheme="minorHAnsi"/>
          <w:sz w:val="24"/>
          <w:szCs w:val="24"/>
        </w:rPr>
        <w:t xml:space="preserve">IPBES. (2020). </w:t>
      </w:r>
      <w:r w:rsidRPr="00C276A5">
        <w:rPr>
          <w:rFonts w:cstheme="minorHAnsi"/>
          <w:i/>
          <w:sz w:val="24"/>
          <w:szCs w:val="24"/>
        </w:rPr>
        <w:t>Models of drivers of biodiversity and ecosystem change</w:t>
      </w:r>
      <w:r>
        <w:rPr>
          <w:rFonts w:cstheme="minorHAnsi"/>
          <w:sz w:val="24"/>
          <w:szCs w:val="24"/>
        </w:rPr>
        <w:t xml:space="preserve">. Intergovernmental Panel on Climate Change (IPBES). [Online.] </w:t>
      </w:r>
      <w:r w:rsidRPr="00C276A5">
        <w:rPr>
          <w:rFonts w:cstheme="minorHAnsi"/>
          <w:sz w:val="24"/>
          <w:szCs w:val="24"/>
        </w:rPr>
        <w:t>(</w:t>
      </w:r>
      <w:hyperlink r:id="rId33" w:history="1">
        <w:r w:rsidRPr="00593CA1">
          <w:rPr>
            <w:rStyle w:val="Hyperlink"/>
            <w:rFonts w:cstheme="minorHAnsi"/>
            <w:sz w:val="24"/>
            <w:szCs w:val="24"/>
          </w:rPr>
          <w:t>https://ipbes.net/models-drivers-biodiversity-ecosystem-change</w:t>
        </w:r>
      </w:hyperlink>
      <w:r w:rsidRPr="00C276A5">
        <w:rPr>
          <w:rFonts w:cstheme="minorHAnsi"/>
          <w:sz w:val="24"/>
          <w:szCs w:val="24"/>
        </w:rPr>
        <w:t>)</w:t>
      </w:r>
      <w:r>
        <w:rPr>
          <w:rFonts w:cstheme="minorHAnsi"/>
          <w:sz w:val="24"/>
          <w:szCs w:val="24"/>
        </w:rPr>
        <w:t>.</w:t>
      </w:r>
    </w:p>
    <w:p w14:paraId="6783070E" w14:textId="119A8FDD" w:rsidR="00362F36" w:rsidRPr="00D31F3A" w:rsidRDefault="00362F36" w:rsidP="00D31F3A">
      <w:pPr>
        <w:pStyle w:val="EndnoteText"/>
        <w:spacing w:line="276" w:lineRule="auto"/>
        <w:ind w:left="284" w:right="-188" w:hanging="284"/>
        <w:rPr>
          <w:rFonts w:cstheme="minorHAnsi"/>
          <w:sz w:val="24"/>
          <w:szCs w:val="24"/>
        </w:rPr>
      </w:pPr>
      <w:r w:rsidRPr="00F55E21">
        <w:rPr>
          <w:rFonts w:cstheme="minorHAnsi"/>
          <w:sz w:val="24"/>
          <w:szCs w:val="24"/>
        </w:rPr>
        <w:t xml:space="preserve">IPCC. (2020). </w:t>
      </w:r>
      <w:r w:rsidRPr="00F55E21">
        <w:rPr>
          <w:rFonts w:cstheme="minorHAnsi"/>
          <w:i/>
          <w:sz w:val="24"/>
          <w:szCs w:val="24"/>
        </w:rPr>
        <w:t>Climate Change and Land: Summary</w:t>
      </w:r>
      <w:r w:rsidRPr="00D31F3A">
        <w:rPr>
          <w:rFonts w:cstheme="minorHAnsi"/>
          <w:i/>
          <w:sz w:val="24"/>
          <w:szCs w:val="24"/>
        </w:rPr>
        <w:t xml:space="preserve"> for Policymakers</w:t>
      </w:r>
      <w:r w:rsidRPr="00D31F3A">
        <w:rPr>
          <w:rFonts w:cstheme="minorHAnsi"/>
          <w:sz w:val="24"/>
          <w:szCs w:val="24"/>
        </w:rPr>
        <w:t>. Intergovernmental Panel on Climate Change (IPCC). (</w:t>
      </w:r>
      <w:hyperlink r:id="rId34" w:history="1">
        <w:r w:rsidRPr="00D31F3A">
          <w:rPr>
            <w:rStyle w:val="Hyperlink"/>
            <w:rFonts w:cstheme="minorHAnsi"/>
            <w:sz w:val="24"/>
            <w:szCs w:val="24"/>
          </w:rPr>
          <w:t>https://www.ipcc.ch/site/assets/uploads/sites/4/2020/02/SPM_Updated-Jan20.pdf</w:t>
        </w:r>
      </w:hyperlink>
      <w:r w:rsidRPr="00D31F3A">
        <w:rPr>
          <w:rFonts w:cstheme="minorHAnsi"/>
          <w:sz w:val="24"/>
          <w:szCs w:val="24"/>
        </w:rPr>
        <w:t>, accessed 12</w:t>
      </w:r>
      <w:r w:rsidRPr="00D31F3A">
        <w:rPr>
          <w:rFonts w:cstheme="minorHAnsi"/>
          <w:sz w:val="24"/>
          <w:szCs w:val="24"/>
          <w:vertAlign w:val="superscript"/>
        </w:rPr>
        <w:t>th</w:t>
      </w:r>
      <w:r w:rsidRPr="00D31F3A">
        <w:rPr>
          <w:rFonts w:cstheme="minorHAnsi"/>
          <w:sz w:val="24"/>
          <w:szCs w:val="24"/>
        </w:rPr>
        <w:t xml:space="preserve"> March 2020.)</w:t>
      </w:r>
    </w:p>
    <w:p w14:paraId="1F871EEA" w14:textId="77777777" w:rsidR="00271225" w:rsidRDefault="00271225" w:rsidP="00271225">
      <w:pPr>
        <w:pStyle w:val="EndnoteText"/>
        <w:spacing w:line="276" w:lineRule="auto"/>
        <w:ind w:left="284" w:hanging="284"/>
        <w:rPr>
          <w:rFonts w:cstheme="minorHAnsi"/>
          <w:sz w:val="22"/>
          <w:szCs w:val="22"/>
        </w:rPr>
      </w:pPr>
      <w:r w:rsidRPr="00271225">
        <w:rPr>
          <w:rFonts w:cstheme="minorHAnsi"/>
          <w:sz w:val="22"/>
          <w:szCs w:val="22"/>
        </w:rPr>
        <w:t xml:space="preserve">IUCN, UNEP and WWF. (1980). World Conservation Strategy: Living Resource Conservation for Sustainable Development. International Union for Conservation of Nature and Natural Resources (IUCN), United Nations Environment Programme (UNEP) and the World Wildlife Fund (WWF). </w:t>
      </w:r>
    </w:p>
    <w:p w14:paraId="263C326A" w14:textId="70E56833" w:rsidR="00C15124" w:rsidRPr="00271225" w:rsidRDefault="00C15124" w:rsidP="00C15124">
      <w:pPr>
        <w:pStyle w:val="EndnoteText"/>
        <w:spacing w:line="276" w:lineRule="auto"/>
        <w:ind w:left="284" w:hanging="284"/>
        <w:rPr>
          <w:rFonts w:cstheme="minorHAnsi"/>
          <w:sz w:val="22"/>
          <w:szCs w:val="22"/>
        </w:rPr>
      </w:pPr>
      <w:r>
        <w:rPr>
          <w:rFonts w:cstheme="minorHAnsi"/>
          <w:sz w:val="22"/>
          <w:szCs w:val="22"/>
        </w:rPr>
        <w:t>IPBES</w:t>
      </w:r>
      <w:r w:rsidR="00D815C0">
        <w:rPr>
          <w:rFonts w:cstheme="minorHAnsi"/>
          <w:sz w:val="22"/>
          <w:szCs w:val="22"/>
        </w:rPr>
        <w:t>.</w:t>
      </w:r>
      <w:r>
        <w:rPr>
          <w:rFonts w:cstheme="minorHAnsi"/>
          <w:sz w:val="22"/>
          <w:szCs w:val="22"/>
        </w:rPr>
        <w:t xml:space="preserve"> (2019). </w:t>
      </w:r>
      <w:r w:rsidRPr="00C15124">
        <w:rPr>
          <w:rFonts w:cstheme="minorHAnsi"/>
          <w:sz w:val="22"/>
          <w:szCs w:val="22"/>
        </w:rPr>
        <w:t>Next work programme of the Platform</w:t>
      </w:r>
      <w:r>
        <w:rPr>
          <w:rFonts w:cstheme="minorHAnsi"/>
          <w:sz w:val="22"/>
          <w:szCs w:val="22"/>
        </w:rPr>
        <w:t xml:space="preserve">. </w:t>
      </w:r>
      <w:r w:rsidRPr="00C15124">
        <w:rPr>
          <w:rFonts w:cstheme="minorHAnsi"/>
          <w:sz w:val="22"/>
          <w:szCs w:val="22"/>
        </w:rPr>
        <w:t>Note by the secretariat</w:t>
      </w:r>
      <w:r>
        <w:rPr>
          <w:rFonts w:cstheme="minorHAnsi"/>
          <w:sz w:val="22"/>
          <w:szCs w:val="22"/>
        </w:rPr>
        <w:t>. IPBES 7/6.  March 2019.</w:t>
      </w:r>
      <w:r w:rsidRPr="00C15124">
        <w:rPr>
          <w:rFonts w:cstheme="minorHAnsi"/>
          <w:sz w:val="22"/>
          <w:szCs w:val="22"/>
        </w:rPr>
        <w:t xml:space="preserve"> </w:t>
      </w:r>
      <w:hyperlink r:id="rId35" w:history="1">
        <w:r w:rsidRPr="00E24F09">
          <w:rPr>
            <w:rStyle w:val="Hyperlink"/>
            <w:rFonts w:cstheme="minorHAnsi"/>
            <w:sz w:val="22"/>
            <w:szCs w:val="22"/>
          </w:rPr>
          <w:t>https://ipbes.net/sites/default/files/ipbes-7-6_en_next_wp.pdf</w:t>
        </w:r>
      </w:hyperlink>
      <w:r>
        <w:rPr>
          <w:rFonts w:cstheme="minorHAnsi"/>
          <w:sz w:val="22"/>
          <w:szCs w:val="22"/>
        </w:rPr>
        <w:t xml:space="preserve"> </w:t>
      </w:r>
    </w:p>
    <w:p w14:paraId="28B2A347" w14:textId="77777777" w:rsidR="00362F36" w:rsidRPr="00D31F3A" w:rsidRDefault="00362F36" w:rsidP="00D815C0">
      <w:pPr>
        <w:pStyle w:val="EndnoteText"/>
        <w:spacing w:line="276" w:lineRule="auto"/>
        <w:ind w:right="-188"/>
        <w:rPr>
          <w:rFonts w:cstheme="minorHAnsi"/>
          <w:sz w:val="24"/>
          <w:szCs w:val="24"/>
        </w:rPr>
      </w:pPr>
      <w:r w:rsidRPr="00D31F3A">
        <w:rPr>
          <w:rFonts w:cstheme="minorHAnsi"/>
          <w:sz w:val="24"/>
          <w:szCs w:val="24"/>
        </w:rPr>
        <w:t xml:space="preserve">Lawton, J. (2010). </w:t>
      </w:r>
      <w:r w:rsidRPr="00D31F3A">
        <w:rPr>
          <w:rFonts w:cstheme="minorHAnsi"/>
          <w:i/>
          <w:sz w:val="24"/>
          <w:szCs w:val="24"/>
        </w:rPr>
        <w:t>Making Space for Nature: A review of England’s Wildlife Sites and Ecological Network</w:t>
      </w:r>
      <w:r w:rsidRPr="00D31F3A">
        <w:rPr>
          <w:rFonts w:cstheme="minorHAnsi"/>
          <w:sz w:val="24"/>
          <w:szCs w:val="24"/>
        </w:rPr>
        <w:t>. Department for Environment, Food and Rural Affairs (Defra), London. (</w:t>
      </w:r>
      <w:hyperlink r:id="rId36" w:history="1">
        <w:r w:rsidRPr="00D31F3A">
          <w:rPr>
            <w:rStyle w:val="Hyperlink"/>
            <w:rFonts w:cstheme="minorHAnsi"/>
            <w:sz w:val="24"/>
            <w:szCs w:val="24"/>
          </w:rPr>
          <w:t>https://webarchive.nationalarchives.gov.uk/20130402170324/http://archive.defra.gov.uk/environment/biodiversity/documents/201009space-for-nature.pdf</w:t>
        </w:r>
      </w:hyperlink>
    </w:p>
    <w:p w14:paraId="682EAE43" w14:textId="18C04D30" w:rsidR="00362F36" w:rsidRDefault="00362F36" w:rsidP="00D31F3A">
      <w:pPr>
        <w:pStyle w:val="EndnoteText"/>
        <w:spacing w:line="276" w:lineRule="auto"/>
        <w:ind w:left="284" w:right="-188" w:hanging="284"/>
        <w:rPr>
          <w:sz w:val="24"/>
          <w:szCs w:val="24"/>
        </w:rPr>
      </w:pPr>
      <w:r w:rsidRPr="00D31F3A">
        <w:rPr>
          <w:sz w:val="24"/>
          <w:szCs w:val="24"/>
        </w:rPr>
        <w:t xml:space="preserve">Laal, M. and </w:t>
      </w:r>
      <w:proofErr w:type="spellStart"/>
      <w:r w:rsidRPr="00D31F3A">
        <w:rPr>
          <w:sz w:val="24"/>
          <w:szCs w:val="24"/>
        </w:rPr>
        <w:t>Ghodsi</w:t>
      </w:r>
      <w:proofErr w:type="spellEnd"/>
      <w:r w:rsidRPr="00D31F3A">
        <w:rPr>
          <w:sz w:val="24"/>
          <w:szCs w:val="24"/>
        </w:rPr>
        <w:t xml:space="preserve">, S.M. (2012). Benefits of collaborative learning. </w:t>
      </w:r>
      <w:r w:rsidRPr="00D31F3A">
        <w:rPr>
          <w:i/>
          <w:sz w:val="24"/>
          <w:szCs w:val="24"/>
        </w:rPr>
        <w:t xml:space="preserve">Procedia - Social and </w:t>
      </w:r>
      <w:proofErr w:type="spellStart"/>
      <w:r w:rsidRPr="00D31F3A">
        <w:rPr>
          <w:i/>
          <w:sz w:val="24"/>
          <w:szCs w:val="24"/>
        </w:rPr>
        <w:t>Behavioral</w:t>
      </w:r>
      <w:proofErr w:type="spellEnd"/>
      <w:r w:rsidRPr="00D31F3A">
        <w:rPr>
          <w:i/>
          <w:sz w:val="24"/>
          <w:szCs w:val="24"/>
        </w:rPr>
        <w:t xml:space="preserve"> Sciences</w:t>
      </w:r>
      <w:r w:rsidRPr="00D31F3A">
        <w:rPr>
          <w:sz w:val="24"/>
          <w:szCs w:val="24"/>
        </w:rPr>
        <w:t>, 31, pp.486-490.</w:t>
      </w:r>
    </w:p>
    <w:p w14:paraId="245DF5AB" w14:textId="4E9FB1E5" w:rsidR="00C411F9" w:rsidRDefault="00C411F9" w:rsidP="00D31F3A">
      <w:pPr>
        <w:pStyle w:val="EndnoteText"/>
        <w:spacing w:line="276" w:lineRule="auto"/>
        <w:ind w:left="284" w:right="-188" w:hanging="284"/>
        <w:rPr>
          <w:rStyle w:val="Hyperlink"/>
          <w:color w:val="auto"/>
          <w:sz w:val="24"/>
          <w:szCs w:val="24"/>
          <w:u w:val="none"/>
        </w:rPr>
      </w:pPr>
      <w:r w:rsidRPr="00C411F9">
        <w:rPr>
          <w:rStyle w:val="Hyperlink"/>
          <w:color w:val="auto"/>
          <w:sz w:val="24"/>
          <w:szCs w:val="24"/>
          <w:u w:val="none"/>
        </w:rPr>
        <w:t xml:space="preserve">Lawrence, M.J., Stemberger, H.L., </w:t>
      </w:r>
      <w:proofErr w:type="spellStart"/>
      <w:r w:rsidRPr="00C411F9">
        <w:rPr>
          <w:rStyle w:val="Hyperlink"/>
          <w:color w:val="auto"/>
          <w:sz w:val="24"/>
          <w:szCs w:val="24"/>
          <w:u w:val="none"/>
        </w:rPr>
        <w:t>Zolderdo</w:t>
      </w:r>
      <w:proofErr w:type="spellEnd"/>
      <w:r w:rsidRPr="00C411F9">
        <w:rPr>
          <w:rStyle w:val="Hyperlink"/>
          <w:color w:val="auto"/>
          <w:sz w:val="24"/>
          <w:szCs w:val="24"/>
          <w:u w:val="none"/>
        </w:rPr>
        <w:t xml:space="preserve">, A.J., Struthers, D.P. and Cooke, S.J. (2015). The effects of modern war and military activities on biodiversity and the environment. </w:t>
      </w:r>
      <w:r w:rsidRPr="00C411F9">
        <w:rPr>
          <w:rStyle w:val="Hyperlink"/>
          <w:i/>
          <w:color w:val="auto"/>
          <w:sz w:val="24"/>
          <w:szCs w:val="24"/>
          <w:u w:val="none"/>
        </w:rPr>
        <w:t>Environmental Reviews</w:t>
      </w:r>
      <w:r w:rsidRPr="00C411F9">
        <w:rPr>
          <w:rStyle w:val="Hyperlink"/>
          <w:color w:val="auto"/>
          <w:sz w:val="24"/>
          <w:szCs w:val="24"/>
          <w:u w:val="none"/>
        </w:rPr>
        <w:t>, 23(4), pp.443-460.</w:t>
      </w:r>
    </w:p>
    <w:p w14:paraId="5398AEBC" w14:textId="09214A71" w:rsidR="00616D51" w:rsidRPr="00C411F9" w:rsidRDefault="00616D51" w:rsidP="00616D51">
      <w:pPr>
        <w:pStyle w:val="EndnoteText"/>
        <w:spacing w:line="276" w:lineRule="auto"/>
        <w:ind w:left="284" w:right="-188" w:hanging="284"/>
        <w:rPr>
          <w:rStyle w:val="Hyperlink"/>
          <w:color w:val="auto"/>
          <w:sz w:val="24"/>
          <w:szCs w:val="24"/>
          <w:u w:val="none"/>
        </w:rPr>
      </w:pPr>
      <w:r>
        <w:rPr>
          <w:rStyle w:val="Hyperlink"/>
          <w:color w:val="auto"/>
          <w:sz w:val="24"/>
          <w:szCs w:val="24"/>
          <w:u w:val="none"/>
        </w:rPr>
        <w:t xml:space="preserve">Lee, H. and Bonk, C. (2014). </w:t>
      </w:r>
      <w:r w:rsidRPr="00616D51">
        <w:rPr>
          <w:rStyle w:val="Hyperlink"/>
          <w:color w:val="auto"/>
          <w:sz w:val="24"/>
          <w:szCs w:val="24"/>
          <w:u w:val="none"/>
        </w:rPr>
        <w:t>Collaborative Learning in the Workplace: Practical Issues and Concerns</w:t>
      </w:r>
      <w:r>
        <w:rPr>
          <w:rStyle w:val="Hyperlink"/>
          <w:color w:val="auto"/>
          <w:sz w:val="24"/>
          <w:szCs w:val="24"/>
          <w:u w:val="none"/>
        </w:rPr>
        <w:t xml:space="preserve">. </w:t>
      </w:r>
      <w:r w:rsidRPr="00D815C0">
        <w:rPr>
          <w:rStyle w:val="Hyperlink"/>
          <w:i/>
          <w:color w:val="auto"/>
          <w:sz w:val="24"/>
          <w:szCs w:val="24"/>
          <w:u w:val="none"/>
        </w:rPr>
        <w:t>International Journal of Advanced Corporate Learning</w:t>
      </w:r>
      <w:r w:rsidR="003D092B">
        <w:rPr>
          <w:rStyle w:val="Hyperlink"/>
          <w:color w:val="auto"/>
          <w:sz w:val="24"/>
          <w:szCs w:val="24"/>
          <w:u w:val="none"/>
        </w:rPr>
        <w:t>, 7(2), pp.10-17.</w:t>
      </w:r>
      <w:r w:rsidR="00D815C0">
        <w:rPr>
          <w:rStyle w:val="Hyperlink"/>
          <w:color w:val="auto"/>
          <w:sz w:val="24"/>
          <w:szCs w:val="24"/>
          <w:u w:val="none"/>
        </w:rPr>
        <w:t xml:space="preserve"> </w:t>
      </w:r>
      <w:r w:rsidR="003D092B">
        <w:rPr>
          <w:rStyle w:val="Hyperlink"/>
          <w:color w:val="auto"/>
          <w:sz w:val="24"/>
          <w:szCs w:val="24"/>
          <w:u w:val="none"/>
        </w:rPr>
        <w:t xml:space="preserve">DOI: </w:t>
      </w:r>
      <w:hyperlink r:id="rId37" w:history="1">
        <w:r w:rsidRPr="00E24F09">
          <w:rPr>
            <w:rStyle w:val="Hyperlink"/>
            <w:sz w:val="24"/>
            <w:szCs w:val="24"/>
          </w:rPr>
          <w:t>http://dx.doi.org/10.3991/ijac.v7i2.3850</w:t>
        </w:r>
      </w:hyperlink>
      <w:r w:rsidR="003D092B">
        <w:rPr>
          <w:rStyle w:val="Hyperlink"/>
          <w:color w:val="auto"/>
          <w:sz w:val="24"/>
          <w:szCs w:val="24"/>
          <w:u w:val="none"/>
        </w:rPr>
        <w:t>.</w:t>
      </w:r>
    </w:p>
    <w:p w14:paraId="61E02784" w14:textId="77777777" w:rsidR="00362F36" w:rsidRPr="00D31F3A" w:rsidRDefault="00362F36" w:rsidP="00D815C0">
      <w:pPr>
        <w:pStyle w:val="EndnoteText"/>
        <w:spacing w:line="276" w:lineRule="auto"/>
        <w:ind w:right="-188"/>
        <w:rPr>
          <w:rFonts w:cstheme="minorHAnsi"/>
          <w:sz w:val="24"/>
          <w:szCs w:val="24"/>
        </w:rPr>
      </w:pPr>
      <w:r w:rsidRPr="00D31F3A">
        <w:rPr>
          <w:sz w:val="24"/>
          <w:szCs w:val="24"/>
        </w:rPr>
        <w:t xml:space="preserve">Li, Y., Mao, D., Feng, A. and </w:t>
      </w:r>
      <w:proofErr w:type="spellStart"/>
      <w:r w:rsidRPr="00D31F3A">
        <w:rPr>
          <w:sz w:val="24"/>
          <w:szCs w:val="24"/>
        </w:rPr>
        <w:t>Schillerberg</w:t>
      </w:r>
      <w:proofErr w:type="spellEnd"/>
      <w:r w:rsidRPr="00D31F3A">
        <w:rPr>
          <w:sz w:val="24"/>
          <w:szCs w:val="24"/>
        </w:rPr>
        <w:t xml:space="preserve">, T. (2019). Will Human-Induced Vegetation Regreening Continually Decrease Runoff in the Loess Plateau of China? </w:t>
      </w:r>
      <w:r w:rsidRPr="00D31F3A">
        <w:rPr>
          <w:i/>
          <w:sz w:val="24"/>
          <w:szCs w:val="24"/>
        </w:rPr>
        <w:t>Forests</w:t>
      </w:r>
      <w:r w:rsidRPr="00D31F3A">
        <w:rPr>
          <w:sz w:val="24"/>
          <w:szCs w:val="24"/>
        </w:rPr>
        <w:t>, 10(10): 906 DOI: 10.3390/f10100906</w:t>
      </w:r>
    </w:p>
    <w:p w14:paraId="6F58D15C" w14:textId="77777777" w:rsidR="00362F36" w:rsidRPr="00D31F3A" w:rsidRDefault="00362F36" w:rsidP="00D31F3A">
      <w:pPr>
        <w:pStyle w:val="EndnoteText"/>
        <w:spacing w:line="276" w:lineRule="auto"/>
        <w:ind w:left="284" w:right="-188" w:hanging="284"/>
        <w:rPr>
          <w:rFonts w:cs="Calibri"/>
          <w:sz w:val="24"/>
          <w:szCs w:val="24"/>
        </w:rPr>
      </w:pPr>
      <w:proofErr w:type="spellStart"/>
      <w:r w:rsidRPr="00D31F3A">
        <w:rPr>
          <w:rFonts w:cs="Calibri"/>
          <w:sz w:val="24"/>
          <w:szCs w:val="24"/>
        </w:rPr>
        <w:t>Lovins</w:t>
      </w:r>
      <w:proofErr w:type="spellEnd"/>
      <w:r w:rsidRPr="00D31F3A">
        <w:rPr>
          <w:rFonts w:cs="Calibri"/>
          <w:sz w:val="24"/>
          <w:szCs w:val="24"/>
        </w:rPr>
        <w:t xml:space="preserve">, L.H. (2018). </w:t>
      </w:r>
      <w:r w:rsidRPr="00D31F3A">
        <w:rPr>
          <w:rFonts w:cs="Calibri"/>
          <w:i/>
          <w:sz w:val="24"/>
          <w:szCs w:val="24"/>
        </w:rPr>
        <w:t>A Finer Future: Creating an Economy in Service to Life</w:t>
      </w:r>
      <w:r w:rsidRPr="00D31F3A">
        <w:rPr>
          <w:rFonts w:cs="Calibri"/>
          <w:sz w:val="24"/>
          <w:szCs w:val="24"/>
        </w:rPr>
        <w:t>. New Society Publishers.</w:t>
      </w:r>
    </w:p>
    <w:p w14:paraId="3D64B188" w14:textId="77777777" w:rsidR="00362F36" w:rsidRPr="00D31F3A" w:rsidRDefault="00362F36" w:rsidP="00D31F3A">
      <w:pPr>
        <w:pStyle w:val="EndnoteText"/>
        <w:spacing w:line="276" w:lineRule="auto"/>
        <w:ind w:left="284" w:right="-188" w:hanging="284"/>
        <w:rPr>
          <w:rFonts w:cstheme="minorHAnsi"/>
          <w:sz w:val="24"/>
          <w:szCs w:val="24"/>
        </w:rPr>
      </w:pPr>
      <w:proofErr w:type="spellStart"/>
      <w:r w:rsidRPr="00D31F3A">
        <w:rPr>
          <w:rFonts w:cstheme="minorHAnsi"/>
          <w:sz w:val="24"/>
          <w:szCs w:val="24"/>
        </w:rPr>
        <w:t>Luederitz</w:t>
      </w:r>
      <w:proofErr w:type="spellEnd"/>
      <w:r w:rsidRPr="00D31F3A">
        <w:rPr>
          <w:rFonts w:cstheme="minorHAnsi"/>
          <w:sz w:val="24"/>
          <w:szCs w:val="24"/>
        </w:rPr>
        <w:t xml:space="preserve">, C., </w:t>
      </w:r>
      <w:proofErr w:type="spellStart"/>
      <w:r w:rsidRPr="00D31F3A">
        <w:rPr>
          <w:rFonts w:cstheme="minorHAnsi"/>
          <w:sz w:val="24"/>
          <w:szCs w:val="24"/>
        </w:rPr>
        <w:t>Abson</w:t>
      </w:r>
      <w:proofErr w:type="spellEnd"/>
      <w:r w:rsidRPr="00D31F3A">
        <w:rPr>
          <w:rFonts w:cstheme="minorHAnsi"/>
          <w:sz w:val="24"/>
          <w:szCs w:val="24"/>
        </w:rPr>
        <w:t xml:space="preserve">, D.J., </w:t>
      </w:r>
      <w:proofErr w:type="spellStart"/>
      <w:r w:rsidRPr="00D31F3A">
        <w:rPr>
          <w:rFonts w:cstheme="minorHAnsi"/>
          <w:sz w:val="24"/>
          <w:szCs w:val="24"/>
        </w:rPr>
        <w:t>Audet</w:t>
      </w:r>
      <w:proofErr w:type="spellEnd"/>
      <w:r w:rsidRPr="00D31F3A">
        <w:rPr>
          <w:rFonts w:cstheme="minorHAnsi"/>
          <w:sz w:val="24"/>
          <w:szCs w:val="24"/>
        </w:rPr>
        <w:t xml:space="preserve">, R. and Lang, D.J. (2017). Many pathways toward sustainability: not conflict but co-learning between transition narratives. </w:t>
      </w:r>
      <w:r w:rsidRPr="00D31F3A">
        <w:rPr>
          <w:rFonts w:cstheme="minorHAnsi"/>
          <w:i/>
          <w:sz w:val="24"/>
          <w:szCs w:val="24"/>
        </w:rPr>
        <w:t>Sustainability Science</w:t>
      </w:r>
      <w:r w:rsidRPr="00D31F3A">
        <w:rPr>
          <w:rFonts w:cstheme="minorHAnsi"/>
          <w:sz w:val="24"/>
          <w:szCs w:val="24"/>
        </w:rPr>
        <w:t>, 12, pp.393-407.</w:t>
      </w:r>
    </w:p>
    <w:p w14:paraId="58493110" w14:textId="56CF1C24" w:rsidR="00634B45" w:rsidRDefault="00634B45" w:rsidP="00634B45">
      <w:pPr>
        <w:pStyle w:val="EndnoteText"/>
        <w:spacing w:line="276" w:lineRule="auto"/>
        <w:ind w:left="284" w:right="-188" w:hanging="284"/>
        <w:rPr>
          <w:rFonts w:cstheme="minorHAnsi"/>
          <w:sz w:val="24"/>
          <w:szCs w:val="24"/>
        </w:rPr>
      </w:pPr>
      <w:proofErr w:type="spellStart"/>
      <w:r w:rsidRPr="00634B45">
        <w:rPr>
          <w:rFonts w:cstheme="minorHAnsi"/>
          <w:sz w:val="24"/>
          <w:szCs w:val="24"/>
        </w:rPr>
        <w:t>Mardani</w:t>
      </w:r>
      <w:proofErr w:type="spellEnd"/>
      <w:r>
        <w:rPr>
          <w:rFonts w:cstheme="minorHAnsi"/>
          <w:sz w:val="24"/>
          <w:szCs w:val="24"/>
        </w:rPr>
        <w:t xml:space="preserve">, A., </w:t>
      </w:r>
      <w:proofErr w:type="spellStart"/>
      <w:r w:rsidRPr="00634B45">
        <w:rPr>
          <w:rFonts w:cstheme="minorHAnsi"/>
          <w:sz w:val="24"/>
          <w:szCs w:val="24"/>
        </w:rPr>
        <w:t>Streimikiene</w:t>
      </w:r>
      <w:proofErr w:type="spellEnd"/>
      <w:r>
        <w:rPr>
          <w:rFonts w:cstheme="minorHAnsi"/>
          <w:sz w:val="24"/>
          <w:szCs w:val="24"/>
        </w:rPr>
        <w:t xml:space="preserve">, D., </w:t>
      </w:r>
      <w:proofErr w:type="spellStart"/>
      <w:r w:rsidRPr="00634B45">
        <w:rPr>
          <w:rFonts w:cstheme="minorHAnsi"/>
          <w:sz w:val="24"/>
          <w:szCs w:val="24"/>
        </w:rPr>
        <w:t>Nilashi</w:t>
      </w:r>
      <w:proofErr w:type="spellEnd"/>
      <w:r>
        <w:rPr>
          <w:rFonts w:cstheme="minorHAnsi"/>
          <w:sz w:val="24"/>
          <w:szCs w:val="24"/>
        </w:rPr>
        <w:t xml:space="preserve">, M., </w:t>
      </w:r>
      <w:r w:rsidRPr="00634B45">
        <w:rPr>
          <w:rFonts w:cstheme="minorHAnsi"/>
          <w:sz w:val="24"/>
          <w:szCs w:val="24"/>
        </w:rPr>
        <w:t>Aranda</w:t>
      </w:r>
      <w:r>
        <w:rPr>
          <w:rFonts w:cstheme="minorHAnsi"/>
          <w:sz w:val="24"/>
          <w:szCs w:val="24"/>
        </w:rPr>
        <w:t xml:space="preserve">, D.A., </w:t>
      </w:r>
      <w:r w:rsidRPr="00634B45">
        <w:rPr>
          <w:rFonts w:cstheme="minorHAnsi"/>
          <w:sz w:val="24"/>
          <w:szCs w:val="24"/>
        </w:rPr>
        <w:t>Loganathan</w:t>
      </w:r>
      <w:r>
        <w:rPr>
          <w:rFonts w:cstheme="minorHAnsi"/>
          <w:sz w:val="24"/>
          <w:szCs w:val="24"/>
        </w:rPr>
        <w:t xml:space="preserve">, N. </w:t>
      </w:r>
      <w:r w:rsidRPr="00634B45">
        <w:rPr>
          <w:rFonts w:cstheme="minorHAnsi"/>
          <w:sz w:val="24"/>
          <w:szCs w:val="24"/>
        </w:rPr>
        <w:t>and</w:t>
      </w:r>
      <w:r>
        <w:rPr>
          <w:rFonts w:cstheme="minorHAnsi"/>
          <w:sz w:val="24"/>
          <w:szCs w:val="24"/>
        </w:rPr>
        <w:t xml:space="preserve"> </w:t>
      </w:r>
      <w:proofErr w:type="spellStart"/>
      <w:r w:rsidRPr="00634B45">
        <w:rPr>
          <w:rFonts w:cstheme="minorHAnsi"/>
          <w:sz w:val="24"/>
          <w:szCs w:val="24"/>
        </w:rPr>
        <w:t>Jusoh</w:t>
      </w:r>
      <w:proofErr w:type="spellEnd"/>
      <w:r>
        <w:rPr>
          <w:rFonts w:cstheme="minorHAnsi"/>
          <w:sz w:val="24"/>
          <w:szCs w:val="24"/>
        </w:rPr>
        <w:t xml:space="preserve">, A. (2018). </w:t>
      </w:r>
      <w:r w:rsidRPr="00634B45">
        <w:rPr>
          <w:rFonts w:cstheme="minorHAnsi"/>
          <w:sz w:val="24"/>
          <w:szCs w:val="24"/>
        </w:rPr>
        <w:t>Energy Consumption, Economic Growth, and CO2 Emissions in G20 Countries: Application of Adaptive Neuro-Fuzzy Inference System</w:t>
      </w:r>
      <w:r>
        <w:rPr>
          <w:rFonts w:cstheme="minorHAnsi"/>
          <w:sz w:val="24"/>
          <w:szCs w:val="24"/>
        </w:rPr>
        <w:t xml:space="preserve">. </w:t>
      </w:r>
      <w:r w:rsidRPr="00634B45">
        <w:rPr>
          <w:rFonts w:cstheme="minorHAnsi"/>
          <w:i/>
          <w:sz w:val="24"/>
          <w:szCs w:val="24"/>
        </w:rPr>
        <w:t>Energies</w:t>
      </w:r>
      <w:r>
        <w:rPr>
          <w:rFonts w:cstheme="minorHAnsi"/>
          <w:sz w:val="24"/>
          <w:szCs w:val="24"/>
        </w:rPr>
        <w:t>,</w:t>
      </w:r>
      <w:r w:rsidRPr="00634B45">
        <w:rPr>
          <w:rFonts w:cstheme="minorHAnsi"/>
          <w:sz w:val="24"/>
          <w:szCs w:val="24"/>
        </w:rPr>
        <w:t xml:space="preserve"> 11(10), 2771</w:t>
      </w:r>
      <w:r>
        <w:rPr>
          <w:rFonts w:cstheme="minorHAnsi"/>
          <w:sz w:val="24"/>
          <w:szCs w:val="24"/>
        </w:rPr>
        <w:t xml:space="preserve">. DOI: </w:t>
      </w:r>
      <w:hyperlink r:id="rId38" w:history="1">
        <w:r w:rsidRPr="00587727">
          <w:rPr>
            <w:rStyle w:val="Hyperlink"/>
            <w:rFonts w:cstheme="minorHAnsi"/>
            <w:sz w:val="24"/>
            <w:szCs w:val="24"/>
          </w:rPr>
          <w:t>https://doi.org/10.3390/en11102771</w:t>
        </w:r>
      </w:hyperlink>
      <w:r>
        <w:rPr>
          <w:rFonts w:cstheme="minorHAnsi"/>
          <w:sz w:val="24"/>
          <w:szCs w:val="24"/>
        </w:rPr>
        <w:t>.</w:t>
      </w:r>
    </w:p>
    <w:p w14:paraId="5AFB72AA" w14:textId="1838DB7E"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McKinney, M.L. and Lockwood, J.L. (1999). Biotic homogenization: a few winners replacing many losers in the next mass extinction. </w:t>
      </w:r>
      <w:r w:rsidRPr="00D31F3A">
        <w:rPr>
          <w:rFonts w:cstheme="minorHAnsi"/>
          <w:i/>
          <w:sz w:val="24"/>
          <w:szCs w:val="24"/>
        </w:rPr>
        <w:t>Trends in Ecology and Evolution</w:t>
      </w:r>
      <w:r w:rsidRPr="00D31F3A">
        <w:rPr>
          <w:rFonts w:cstheme="minorHAnsi"/>
          <w:sz w:val="24"/>
          <w:szCs w:val="24"/>
        </w:rPr>
        <w:t>, 14, pp.450-453.</w:t>
      </w:r>
    </w:p>
    <w:p w14:paraId="7B6ACFCD"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Morrison, J. and Wilson, I. (1996). The Strategic Management Response to the Challenge of Global Change.  In: Didsbury, H. (ed.) </w:t>
      </w:r>
      <w:r w:rsidRPr="00D31F3A">
        <w:rPr>
          <w:rFonts w:cstheme="minorHAnsi"/>
          <w:i/>
          <w:sz w:val="24"/>
          <w:szCs w:val="24"/>
        </w:rPr>
        <w:t>Future Vision, Ideas, Insights, and Strategies</w:t>
      </w:r>
      <w:r w:rsidRPr="00D31F3A">
        <w:rPr>
          <w:rFonts w:cstheme="minorHAnsi"/>
          <w:sz w:val="24"/>
          <w:szCs w:val="24"/>
        </w:rPr>
        <w:t>. The World Future Society, Bethesda, Maryland, USA.</w:t>
      </w:r>
    </w:p>
    <w:p w14:paraId="4BB2E8D4"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Millennium Ecosystem Assessment. (2005). </w:t>
      </w:r>
      <w:r w:rsidRPr="00D31F3A">
        <w:rPr>
          <w:rFonts w:cstheme="minorHAnsi"/>
          <w:i/>
          <w:sz w:val="24"/>
          <w:szCs w:val="24"/>
        </w:rPr>
        <w:t>Ecosystems and Human Well-being</w:t>
      </w:r>
      <w:r w:rsidRPr="00D31F3A">
        <w:rPr>
          <w:rFonts w:cstheme="minorHAnsi"/>
          <w:sz w:val="24"/>
          <w:szCs w:val="24"/>
        </w:rPr>
        <w:t>. Island Press.</w:t>
      </w:r>
    </w:p>
    <w:p w14:paraId="6FFF5CC3" w14:textId="77777777" w:rsidR="00452484"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Morrison, J. and Wilson, I. (1996). The Strategic Management Response to the Challenge of Global Change.  In: Didsbury, H. (ed.) </w:t>
      </w:r>
      <w:r w:rsidRPr="00D31F3A">
        <w:rPr>
          <w:rFonts w:cstheme="minorHAnsi"/>
          <w:i/>
          <w:sz w:val="24"/>
          <w:szCs w:val="24"/>
        </w:rPr>
        <w:t>Future Vision, Ideas, Insights, and Strategies</w:t>
      </w:r>
      <w:r w:rsidRPr="00D31F3A">
        <w:rPr>
          <w:rFonts w:cstheme="minorHAnsi"/>
          <w:sz w:val="24"/>
          <w:szCs w:val="24"/>
        </w:rPr>
        <w:t>. The World Future Society, Bethesda, Maryland, USA.</w:t>
      </w:r>
    </w:p>
    <w:p w14:paraId="35F078BB"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MoD. (2018). </w:t>
      </w:r>
      <w:r w:rsidRPr="00D31F3A">
        <w:rPr>
          <w:rFonts w:cstheme="minorHAnsi"/>
          <w:i/>
          <w:sz w:val="24"/>
          <w:szCs w:val="24"/>
        </w:rPr>
        <w:t>Global Strategic Trends</w:t>
      </w:r>
      <w:r w:rsidRPr="00D31F3A">
        <w:rPr>
          <w:rFonts w:cstheme="minorHAnsi"/>
          <w:sz w:val="24"/>
          <w:szCs w:val="24"/>
        </w:rPr>
        <w:t xml:space="preserve">. DCD, </w:t>
      </w:r>
      <w:proofErr w:type="spellStart"/>
      <w:r w:rsidRPr="00D31F3A">
        <w:rPr>
          <w:rFonts w:cstheme="minorHAnsi"/>
          <w:sz w:val="24"/>
          <w:szCs w:val="24"/>
        </w:rPr>
        <w:t>Minstry</w:t>
      </w:r>
      <w:proofErr w:type="spellEnd"/>
      <w:r w:rsidRPr="00D31F3A">
        <w:rPr>
          <w:rFonts w:cstheme="minorHAnsi"/>
          <w:sz w:val="24"/>
          <w:szCs w:val="24"/>
        </w:rPr>
        <w:t xml:space="preserve"> of Defence, Shrivenham. </w:t>
      </w:r>
      <w:hyperlink r:id="rId39" w:history="1">
        <w:r w:rsidRPr="00D31F3A">
          <w:rPr>
            <w:rStyle w:val="Hyperlink"/>
            <w:rFonts w:cstheme="minorHAnsi"/>
            <w:sz w:val="24"/>
            <w:szCs w:val="24"/>
          </w:rPr>
          <w:t>https://assets.publishing.service.gov.uk/government/uploads/system/uploads/attachment_data/file/771309/Global_Strategic_Trends_-_The_Future_Starts_Today.pdf</w:t>
        </w:r>
      </w:hyperlink>
      <w:r w:rsidRPr="00D31F3A">
        <w:rPr>
          <w:rFonts w:cstheme="minorHAnsi"/>
          <w:sz w:val="24"/>
          <w:szCs w:val="24"/>
        </w:rPr>
        <w:t>.</w:t>
      </w:r>
    </w:p>
    <w:p w14:paraId="6554802A" w14:textId="2B0CE4A1" w:rsidR="00362F36" w:rsidRDefault="00362F36" w:rsidP="00D31F3A">
      <w:pPr>
        <w:pStyle w:val="EndnoteText"/>
        <w:spacing w:line="276" w:lineRule="auto"/>
        <w:ind w:left="284" w:right="-188" w:hanging="284"/>
        <w:rPr>
          <w:sz w:val="24"/>
          <w:szCs w:val="24"/>
        </w:rPr>
      </w:pPr>
      <w:proofErr w:type="spellStart"/>
      <w:r w:rsidRPr="00D31F3A">
        <w:rPr>
          <w:sz w:val="24"/>
          <w:szCs w:val="24"/>
        </w:rPr>
        <w:t>Mundaca</w:t>
      </w:r>
      <w:proofErr w:type="spellEnd"/>
      <w:r w:rsidRPr="00D31F3A">
        <w:rPr>
          <w:sz w:val="24"/>
          <w:szCs w:val="24"/>
        </w:rPr>
        <w:t xml:space="preserve">, L. and Richter, J.L. (2015). Assessing ‘green energy economy’ stimulus packages: Evidence from the U.S. programs targeting renewable energy. </w:t>
      </w:r>
      <w:r w:rsidRPr="00D31F3A">
        <w:rPr>
          <w:i/>
          <w:sz w:val="24"/>
          <w:szCs w:val="24"/>
        </w:rPr>
        <w:t>Renewable and Sustainable Energy Reviews</w:t>
      </w:r>
      <w:r w:rsidRPr="00D31F3A">
        <w:rPr>
          <w:sz w:val="24"/>
          <w:szCs w:val="24"/>
        </w:rPr>
        <w:t xml:space="preserve">, 42, pp.1174-1186. DOI: </w:t>
      </w:r>
      <w:hyperlink r:id="rId40" w:history="1">
        <w:r w:rsidRPr="00D31F3A">
          <w:rPr>
            <w:rStyle w:val="Hyperlink"/>
            <w:sz w:val="24"/>
            <w:szCs w:val="24"/>
          </w:rPr>
          <w:t>https://doi.org/10.1016/j.rser.2014.10.060</w:t>
        </w:r>
      </w:hyperlink>
      <w:r w:rsidRPr="00D31F3A">
        <w:rPr>
          <w:sz w:val="24"/>
          <w:szCs w:val="24"/>
        </w:rPr>
        <w:t>.</w:t>
      </w:r>
    </w:p>
    <w:p w14:paraId="28ABAF62" w14:textId="3676A10D" w:rsidR="008D03A7" w:rsidRPr="00D31F3A" w:rsidRDefault="008D03A7" w:rsidP="00C411F9">
      <w:pPr>
        <w:pStyle w:val="EndnoteText"/>
        <w:spacing w:line="276" w:lineRule="auto"/>
        <w:ind w:left="284" w:right="-188" w:hanging="284"/>
        <w:rPr>
          <w:sz w:val="24"/>
          <w:szCs w:val="24"/>
        </w:rPr>
      </w:pPr>
      <w:proofErr w:type="spellStart"/>
      <w:r w:rsidRPr="008D03A7">
        <w:rPr>
          <w:sz w:val="24"/>
          <w:szCs w:val="24"/>
        </w:rPr>
        <w:t>Næss</w:t>
      </w:r>
      <w:proofErr w:type="spellEnd"/>
      <w:r w:rsidRPr="008D03A7">
        <w:rPr>
          <w:sz w:val="24"/>
          <w:szCs w:val="24"/>
        </w:rPr>
        <w:t>, P.</w:t>
      </w:r>
      <w:r>
        <w:rPr>
          <w:sz w:val="24"/>
          <w:szCs w:val="24"/>
        </w:rPr>
        <w:t xml:space="preserve"> (</w:t>
      </w:r>
      <w:r w:rsidRPr="008D03A7">
        <w:rPr>
          <w:sz w:val="24"/>
          <w:szCs w:val="24"/>
        </w:rPr>
        <w:t>2016</w:t>
      </w:r>
      <w:r>
        <w:rPr>
          <w:sz w:val="24"/>
          <w:szCs w:val="24"/>
        </w:rPr>
        <w:t>)</w:t>
      </w:r>
      <w:r w:rsidRPr="008D03A7">
        <w:rPr>
          <w:sz w:val="24"/>
          <w:szCs w:val="24"/>
        </w:rPr>
        <w:t>. Inaccurate and biased: Cost–benefit analyses of transport infrastructure projects. In</w:t>
      </w:r>
      <w:r w:rsidR="00C411F9">
        <w:rPr>
          <w:sz w:val="24"/>
          <w:szCs w:val="24"/>
        </w:rPr>
        <w:t xml:space="preserve">: </w:t>
      </w:r>
      <w:proofErr w:type="spellStart"/>
      <w:r w:rsidR="00C411F9">
        <w:rPr>
          <w:sz w:val="24"/>
          <w:szCs w:val="24"/>
        </w:rPr>
        <w:t>Naess</w:t>
      </w:r>
      <w:proofErr w:type="spellEnd"/>
      <w:r w:rsidR="00C411F9">
        <w:rPr>
          <w:sz w:val="24"/>
          <w:szCs w:val="24"/>
        </w:rPr>
        <w:t>, P and Price, L. (eds.)</w:t>
      </w:r>
      <w:r w:rsidRPr="008D03A7">
        <w:rPr>
          <w:sz w:val="24"/>
          <w:szCs w:val="24"/>
        </w:rPr>
        <w:t xml:space="preserve"> </w:t>
      </w:r>
      <w:r w:rsidRPr="008D03A7">
        <w:rPr>
          <w:i/>
          <w:sz w:val="24"/>
          <w:szCs w:val="24"/>
        </w:rPr>
        <w:t>Crisis System</w:t>
      </w:r>
      <w:r>
        <w:rPr>
          <w:i/>
          <w:sz w:val="24"/>
          <w:szCs w:val="24"/>
        </w:rPr>
        <w:t xml:space="preserve">: </w:t>
      </w:r>
      <w:r w:rsidRPr="008D03A7">
        <w:rPr>
          <w:i/>
          <w:sz w:val="24"/>
          <w:szCs w:val="24"/>
        </w:rPr>
        <w:t>A critical realist and environmental critique of economics and the economy</w:t>
      </w:r>
      <w:r w:rsidR="00C411F9">
        <w:rPr>
          <w:sz w:val="24"/>
          <w:szCs w:val="24"/>
        </w:rPr>
        <w:t xml:space="preserve">. </w:t>
      </w:r>
      <w:r w:rsidRPr="008D03A7">
        <w:rPr>
          <w:sz w:val="24"/>
          <w:szCs w:val="24"/>
        </w:rPr>
        <w:t>pp. 58-78. Routledge.</w:t>
      </w:r>
    </w:p>
    <w:p w14:paraId="5B3D29B7" w14:textId="1C19A25E" w:rsidR="00EE7964" w:rsidRPr="00EE7964" w:rsidRDefault="00EE7964" w:rsidP="00EE7964">
      <w:pPr>
        <w:pStyle w:val="EndnoteText"/>
        <w:spacing w:line="276" w:lineRule="auto"/>
        <w:ind w:left="284" w:right="-188" w:hanging="284"/>
        <w:rPr>
          <w:rFonts w:cstheme="minorHAnsi"/>
          <w:sz w:val="24"/>
          <w:szCs w:val="24"/>
        </w:rPr>
      </w:pPr>
      <w:bookmarkStart w:id="24" w:name="_Hlk40371009"/>
      <w:r>
        <w:rPr>
          <w:rFonts w:cs="Arial"/>
          <w:sz w:val="24"/>
          <w:szCs w:val="24"/>
        </w:rPr>
        <w:t xml:space="preserve">Natural Capital Committee. (2020). </w:t>
      </w:r>
      <w:r w:rsidRPr="00EE7964">
        <w:rPr>
          <w:rFonts w:cs="Arial"/>
          <w:i/>
          <w:sz w:val="24"/>
          <w:szCs w:val="24"/>
        </w:rPr>
        <w:t>State of Natural Capital Annual Report 2020</w:t>
      </w:r>
      <w:r>
        <w:rPr>
          <w:rFonts w:cs="Arial"/>
          <w:sz w:val="24"/>
          <w:szCs w:val="24"/>
        </w:rPr>
        <w:t xml:space="preserve">. </w:t>
      </w:r>
      <w:r w:rsidRPr="00EE7964">
        <w:rPr>
          <w:rFonts w:cs="Arial"/>
          <w:sz w:val="24"/>
          <w:szCs w:val="24"/>
        </w:rPr>
        <w:t>Natural Capital Committee</w:t>
      </w:r>
      <w:r>
        <w:rPr>
          <w:rFonts w:cs="Arial"/>
          <w:sz w:val="24"/>
          <w:szCs w:val="24"/>
        </w:rPr>
        <w:t>. [Onli</w:t>
      </w:r>
      <w:r w:rsidRPr="00EE7964">
        <w:rPr>
          <w:rFonts w:cs="Arial"/>
          <w:sz w:val="24"/>
          <w:szCs w:val="24"/>
        </w:rPr>
        <w:t>ne.] (</w:t>
      </w:r>
      <w:hyperlink r:id="rId41" w:history="1">
        <w:r w:rsidRPr="00EE7964">
          <w:rPr>
            <w:rStyle w:val="Hyperlink"/>
            <w:sz w:val="24"/>
            <w:szCs w:val="24"/>
          </w:rPr>
          <w:t>https://assets.publishing.service.gov.uk/government/uploads/system/uploads/attachment_data/file/858739/ncc-annual-report-2020.pdf</w:t>
        </w:r>
      </w:hyperlink>
      <w:r w:rsidRPr="00EE7964">
        <w:rPr>
          <w:rFonts w:cs="Arial"/>
          <w:sz w:val="24"/>
          <w:szCs w:val="24"/>
        </w:rPr>
        <w:t>)</w:t>
      </w:r>
      <w:bookmarkEnd w:id="24"/>
    </w:p>
    <w:p w14:paraId="161EABB6" w14:textId="786BD0FB" w:rsidR="00452484" w:rsidRDefault="00452484" w:rsidP="00D31F3A">
      <w:pPr>
        <w:pStyle w:val="EndnoteText"/>
        <w:spacing w:line="276" w:lineRule="auto"/>
        <w:ind w:left="284" w:right="-188" w:hanging="284"/>
        <w:rPr>
          <w:rFonts w:cstheme="minorHAnsi"/>
          <w:sz w:val="24"/>
          <w:szCs w:val="24"/>
        </w:rPr>
      </w:pPr>
      <w:r w:rsidRPr="00EE7964">
        <w:rPr>
          <w:rFonts w:cstheme="minorHAnsi"/>
          <w:sz w:val="24"/>
          <w:szCs w:val="24"/>
        </w:rPr>
        <w:t>Natural Capital Initiative. (2</w:t>
      </w:r>
      <w:r w:rsidRPr="00452484">
        <w:rPr>
          <w:rFonts w:cstheme="minorHAnsi"/>
          <w:sz w:val="24"/>
          <w:szCs w:val="24"/>
        </w:rPr>
        <w:t>017</w:t>
      </w:r>
      <w:r>
        <w:rPr>
          <w:rFonts w:cstheme="minorHAnsi"/>
          <w:sz w:val="24"/>
          <w:szCs w:val="24"/>
        </w:rPr>
        <w:t xml:space="preserve">). </w:t>
      </w:r>
      <w:proofErr w:type="spellStart"/>
      <w:r w:rsidRPr="00452484">
        <w:rPr>
          <w:rFonts w:cstheme="minorHAnsi"/>
          <w:i/>
          <w:sz w:val="24"/>
          <w:szCs w:val="24"/>
        </w:rPr>
        <w:t>Wholescape</w:t>
      </w:r>
      <w:proofErr w:type="spellEnd"/>
      <w:r w:rsidRPr="00452484">
        <w:rPr>
          <w:rFonts w:cstheme="minorHAnsi"/>
          <w:i/>
          <w:sz w:val="24"/>
          <w:szCs w:val="24"/>
        </w:rPr>
        <w:t xml:space="preserve"> thinking – a guidance </w:t>
      </w:r>
      <w:proofErr w:type="gramStart"/>
      <w:r w:rsidRPr="00452484">
        <w:rPr>
          <w:rFonts w:cstheme="minorHAnsi"/>
          <w:i/>
          <w:sz w:val="24"/>
          <w:szCs w:val="24"/>
        </w:rPr>
        <w:t>note</w:t>
      </w:r>
      <w:proofErr w:type="gramEnd"/>
      <w:r w:rsidRPr="00452484">
        <w:rPr>
          <w:rFonts w:cstheme="minorHAnsi"/>
          <w:sz w:val="24"/>
          <w:szCs w:val="24"/>
        </w:rPr>
        <w:t>.</w:t>
      </w:r>
      <w:r w:rsidRPr="00452484">
        <w:rPr>
          <w:sz w:val="24"/>
          <w:szCs w:val="24"/>
        </w:rPr>
        <w:t xml:space="preserve"> </w:t>
      </w:r>
      <w:r w:rsidRPr="00452484">
        <w:rPr>
          <w:rFonts w:cstheme="minorHAnsi"/>
          <w:sz w:val="24"/>
          <w:szCs w:val="24"/>
        </w:rPr>
        <w:t>Natural Capital Initiative. [Online.] (</w:t>
      </w:r>
      <w:hyperlink r:id="rId42" w:history="1">
        <w:r w:rsidRPr="00452484">
          <w:rPr>
            <w:rStyle w:val="Hyperlink"/>
            <w:sz w:val="24"/>
            <w:szCs w:val="24"/>
          </w:rPr>
          <w:t>https://www.naturalcapitalinitiative.org.uk/wholescapes/</w:t>
        </w:r>
      </w:hyperlink>
      <w:r w:rsidRPr="00452484">
        <w:rPr>
          <w:rFonts w:cstheme="minorHAnsi"/>
          <w:sz w:val="24"/>
          <w:szCs w:val="24"/>
        </w:rPr>
        <w:t>)</w:t>
      </w:r>
    </w:p>
    <w:p w14:paraId="5384BC75" w14:textId="62C2D13D" w:rsidR="004A4C3A" w:rsidRDefault="004A4C3A" w:rsidP="004A4C3A">
      <w:pPr>
        <w:pStyle w:val="EndnoteText"/>
        <w:spacing w:line="276" w:lineRule="auto"/>
        <w:ind w:left="284" w:right="-188" w:hanging="284"/>
        <w:rPr>
          <w:rFonts w:cstheme="minorHAnsi"/>
          <w:sz w:val="24"/>
          <w:szCs w:val="24"/>
        </w:rPr>
      </w:pPr>
      <w:r>
        <w:rPr>
          <w:rFonts w:cstheme="minorHAnsi"/>
          <w:sz w:val="24"/>
          <w:szCs w:val="24"/>
        </w:rPr>
        <w:t xml:space="preserve">Natural England. (2019). </w:t>
      </w:r>
      <w:r w:rsidRPr="004A4C3A">
        <w:rPr>
          <w:rFonts w:cstheme="minorHAnsi"/>
          <w:i/>
          <w:sz w:val="24"/>
          <w:szCs w:val="24"/>
        </w:rPr>
        <w:t>Accounting for National Nature Reserves: A Natural Capital Account of the National Nature Reserves managed by Natural England</w:t>
      </w:r>
      <w:r>
        <w:rPr>
          <w:rFonts w:cstheme="minorHAnsi"/>
          <w:sz w:val="24"/>
          <w:szCs w:val="24"/>
        </w:rPr>
        <w:t xml:space="preserve">. </w:t>
      </w:r>
      <w:r w:rsidRPr="004A4C3A">
        <w:rPr>
          <w:rFonts w:cstheme="minorHAnsi"/>
          <w:sz w:val="24"/>
          <w:szCs w:val="24"/>
        </w:rPr>
        <w:t>Natural England Research Report NERR078</w:t>
      </w:r>
      <w:r>
        <w:rPr>
          <w:rFonts w:cstheme="minorHAnsi"/>
          <w:sz w:val="24"/>
          <w:szCs w:val="24"/>
        </w:rPr>
        <w:t xml:space="preserve">, Natural England, Peterborough. </w:t>
      </w:r>
    </w:p>
    <w:p w14:paraId="75C5AA1D" w14:textId="7A16B0AC"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NIC. (2017). </w:t>
      </w:r>
      <w:r w:rsidRPr="00D31F3A">
        <w:rPr>
          <w:rFonts w:cstheme="minorHAnsi"/>
          <w:i/>
          <w:sz w:val="24"/>
          <w:szCs w:val="24"/>
        </w:rPr>
        <w:t>Global Trends: Paradox of Progress</w:t>
      </w:r>
      <w:r w:rsidRPr="00D31F3A">
        <w:rPr>
          <w:rFonts w:cstheme="minorHAnsi"/>
          <w:sz w:val="24"/>
          <w:szCs w:val="24"/>
        </w:rPr>
        <w:t>. National Intelligence Council, Washington.</w:t>
      </w:r>
      <w:r w:rsidR="00452484">
        <w:rPr>
          <w:rFonts w:cstheme="minorHAnsi"/>
          <w:sz w:val="24"/>
          <w:szCs w:val="24"/>
        </w:rPr>
        <w:t xml:space="preserve"> (</w:t>
      </w:r>
      <w:hyperlink r:id="rId43" w:history="1">
        <w:r w:rsidR="00452484" w:rsidRPr="00587727">
          <w:rPr>
            <w:rStyle w:val="Hyperlink"/>
            <w:rFonts w:cstheme="minorHAnsi"/>
            <w:sz w:val="24"/>
            <w:szCs w:val="24"/>
          </w:rPr>
          <w:t>https://www.dni.gov/files/documents/nic/GT-Full-Report.pdf</w:t>
        </w:r>
      </w:hyperlink>
      <w:r w:rsidR="00452484">
        <w:rPr>
          <w:rFonts w:cstheme="minorHAnsi"/>
          <w:sz w:val="24"/>
          <w:szCs w:val="24"/>
        </w:rPr>
        <w:t>.</w:t>
      </w:r>
      <w:r w:rsidR="00452484" w:rsidRPr="00452484">
        <w:rPr>
          <w:rFonts w:cstheme="minorHAnsi"/>
          <w:sz w:val="24"/>
          <w:szCs w:val="24"/>
        </w:rPr>
        <w:t>)</w:t>
      </w:r>
    </w:p>
    <w:p w14:paraId="3B1C1917" w14:textId="77777777" w:rsidR="00362F36" w:rsidRPr="00D31F3A"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Obama, B. (2017). The irreversible momentum of clean energy. </w:t>
      </w:r>
      <w:r w:rsidRPr="00D31F3A">
        <w:rPr>
          <w:rFonts w:cstheme="minorHAnsi"/>
          <w:i/>
          <w:sz w:val="24"/>
          <w:szCs w:val="24"/>
        </w:rPr>
        <w:t>Science</w:t>
      </w:r>
      <w:r w:rsidRPr="00D31F3A">
        <w:rPr>
          <w:rFonts w:cstheme="minorHAnsi"/>
          <w:sz w:val="24"/>
          <w:szCs w:val="24"/>
        </w:rPr>
        <w:t>, 355(6321), pp.126-12. DOI: 10.1126/</w:t>
      </w:r>
      <w:proofErr w:type="gramStart"/>
      <w:r w:rsidRPr="00D31F3A">
        <w:rPr>
          <w:rFonts w:cstheme="minorHAnsi"/>
          <w:sz w:val="24"/>
          <w:szCs w:val="24"/>
        </w:rPr>
        <w:t>science.aam</w:t>
      </w:r>
      <w:proofErr w:type="gramEnd"/>
      <w:r w:rsidRPr="00D31F3A">
        <w:rPr>
          <w:rFonts w:cstheme="minorHAnsi"/>
          <w:sz w:val="24"/>
          <w:szCs w:val="24"/>
        </w:rPr>
        <w:t>6284.</w:t>
      </w:r>
    </w:p>
    <w:p w14:paraId="3FFB5941" w14:textId="59D538D8" w:rsidR="00362F36" w:rsidRDefault="00362F36" w:rsidP="00D31F3A">
      <w:pPr>
        <w:pStyle w:val="EndnoteText"/>
        <w:spacing w:line="276" w:lineRule="auto"/>
        <w:ind w:left="284" w:right="-188" w:hanging="284"/>
        <w:rPr>
          <w:sz w:val="24"/>
          <w:szCs w:val="24"/>
        </w:rPr>
      </w:pPr>
      <w:r w:rsidRPr="00D31F3A">
        <w:rPr>
          <w:sz w:val="24"/>
          <w:szCs w:val="24"/>
        </w:rPr>
        <w:t xml:space="preserve">OECD. (2020). </w:t>
      </w:r>
      <w:r w:rsidRPr="00D31F3A">
        <w:rPr>
          <w:i/>
          <w:sz w:val="24"/>
          <w:szCs w:val="24"/>
        </w:rPr>
        <w:t>Denmark: Unitary Country</w:t>
      </w:r>
      <w:r w:rsidRPr="00D31F3A">
        <w:rPr>
          <w:sz w:val="24"/>
          <w:szCs w:val="24"/>
        </w:rPr>
        <w:t>. OECD. [Online.] (</w:t>
      </w:r>
      <w:hyperlink r:id="rId44" w:history="1">
        <w:r w:rsidRPr="00D31F3A">
          <w:rPr>
            <w:rStyle w:val="Hyperlink"/>
            <w:sz w:val="24"/>
            <w:szCs w:val="24"/>
          </w:rPr>
          <w:t>https://www.oecd.org/regional/regional-policy/profile-Denmark.pdf</w:t>
        </w:r>
      </w:hyperlink>
      <w:r w:rsidRPr="00D31F3A">
        <w:rPr>
          <w:sz w:val="24"/>
          <w:szCs w:val="24"/>
        </w:rPr>
        <w:t>, accessed 8</w:t>
      </w:r>
      <w:r w:rsidRPr="00D31F3A">
        <w:rPr>
          <w:sz w:val="24"/>
          <w:szCs w:val="24"/>
          <w:vertAlign w:val="superscript"/>
        </w:rPr>
        <w:t>th</w:t>
      </w:r>
      <w:r w:rsidRPr="00D31F3A">
        <w:rPr>
          <w:sz w:val="24"/>
          <w:szCs w:val="24"/>
        </w:rPr>
        <w:t xml:space="preserve"> April 2020</w:t>
      </w:r>
      <w:r w:rsidR="002E6E3D">
        <w:rPr>
          <w:sz w:val="24"/>
          <w:szCs w:val="24"/>
        </w:rPr>
        <w:t>.</w:t>
      </w:r>
      <w:r w:rsidRPr="00D31F3A">
        <w:rPr>
          <w:sz w:val="24"/>
          <w:szCs w:val="24"/>
        </w:rPr>
        <w:t>)</w:t>
      </w:r>
    </w:p>
    <w:p w14:paraId="4189955A" w14:textId="6699DEFC" w:rsidR="002E6E3D" w:rsidRPr="002E6E3D" w:rsidRDefault="002E6E3D" w:rsidP="002E6E3D">
      <w:pPr>
        <w:pStyle w:val="EndnoteText"/>
        <w:spacing w:line="276" w:lineRule="auto"/>
        <w:ind w:left="284" w:right="-188" w:hanging="284"/>
        <w:rPr>
          <w:sz w:val="24"/>
          <w:szCs w:val="24"/>
        </w:rPr>
      </w:pPr>
      <w:r w:rsidRPr="002E6E3D">
        <w:rPr>
          <w:sz w:val="24"/>
          <w:szCs w:val="24"/>
        </w:rPr>
        <w:t xml:space="preserve">Ostrom, E. (1999). Coping with tragedies of the commons. </w:t>
      </w:r>
      <w:r w:rsidRPr="002E6E3D">
        <w:rPr>
          <w:i/>
          <w:sz w:val="24"/>
          <w:szCs w:val="24"/>
        </w:rPr>
        <w:t>Annual Review of Political Science</w:t>
      </w:r>
      <w:r w:rsidRPr="002E6E3D">
        <w:rPr>
          <w:sz w:val="24"/>
          <w:szCs w:val="24"/>
        </w:rPr>
        <w:t xml:space="preserve">, 2, 493–535. </w:t>
      </w:r>
      <w:r w:rsidR="00EE7964">
        <w:rPr>
          <w:sz w:val="24"/>
          <w:szCs w:val="24"/>
        </w:rPr>
        <w:t xml:space="preserve">DOI: </w:t>
      </w:r>
      <w:hyperlink r:id="rId45" w:history="1">
        <w:r w:rsidR="00EE7964" w:rsidRPr="00BF570C">
          <w:rPr>
            <w:rStyle w:val="Hyperlink"/>
            <w:sz w:val="24"/>
            <w:szCs w:val="24"/>
          </w:rPr>
          <w:t>https://doi.org/10.1146/annurev.polisci.2.1.493</w:t>
        </w:r>
      </w:hyperlink>
      <w:r w:rsidRPr="002E6E3D">
        <w:rPr>
          <w:sz w:val="24"/>
          <w:szCs w:val="24"/>
        </w:rPr>
        <w:t>.</w:t>
      </w:r>
    </w:p>
    <w:p w14:paraId="63F28C7C" w14:textId="2DBCBA4A" w:rsidR="002E6E3D" w:rsidRDefault="002E6E3D" w:rsidP="002E6E3D">
      <w:pPr>
        <w:pStyle w:val="EndnoteText"/>
        <w:spacing w:line="276" w:lineRule="auto"/>
        <w:ind w:left="284" w:right="-188" w:hanging="284"/>
        <w:rPr>
          <w:sz w:val="24"/>
          <w:szCs w:val="24"/>
        </w:rPr>
      </w:pPr>
      <w:r w:rsidRPr="002E6E3D">
        <w:rPr>
          <w:sz w:val="24"/>
          <w:szCs w:val="24"/>
        </w:rPr>
        <w:t xml:space="preserve">Ostrom, E. (2000). Reformulating the commons. Swiss. </w:t>
      </w:r>
      <w:r w:rsidRPr="002E6E3D">
        <w:rPr>
          <w:i/>
          <w:sz w:val="24"/>
          <w:szCs w:val="24"/>
        </w:rPr>
        <w:t>Political Science Review</w:t>
      </w:r>
      <w:r w:rsidRPr="002E6E3D">
        <w:rPr>
          <w:sz w:val="24"/>
          <w:szCs w:val="24"/>
        </w:rPr>
        <w:t xml:space="preserve">, 61(1), 29–52. </w:t>
      </w:r>
      <w:hyperlink r:id="rId46" w:history="1">
        <w:r w:rsidRPr="00593CA1">
          <w:rPr>
            <w:rStyle w:val="Hyperlink"/>
            <w:sz w:val="24"/>
            <w:szCs w:val="24"/>
          </w:rPr>
          <w:t>https://doi.org/10.1002/j.1662-6370.2000.tb00285.x</w:t>
        </w:r>
      </w:hyperlink>
      <w:r w:rsidRPr="002E6E3D">
        <w:rPr>
          <w:sz w:val="24"/>
          <w:szCs w:val="24"/>
        </w:rPr>
        <w:t>.</w:t>
      </w:r>
    </w:p>
    <w:p w14:paraId="711CA254" w14:textId="300F237A" w:rsidR="005129CF" w:rsidRDefault="005129CF" w:rsidP="005129CF">
      <w:pPr>
        <w:pStyle w:val="EndnoteText"/>
        <w:spacing w:line="276" w:lineRule="auto"/>
        <w:ind w:left="284" w:right="-188" w:hanging="284"/>
        <w:rPr>
          <w:sz w:val="24"/>
          <w:szCs w:val="24"/>
        </w:rPr>
      </w:pPr>
      <w:r>
        <w:rPr>
          <w:sz w:val="24"/>
          <w:szCs w:val="24"/>
        </w:rPr>
        <w:t xml:space="preserve">Pearce, D.W., </w:t>
      </w:r>
      <w:proofErr w:type="spellStart"/>
      <w:r w:rsidRPr="005129CF">
        <w:rPr>
          <w:sz w:val="24"/>
          <w:szCs w:val="24"/>
        </w:rPr>
        <w:t>Markandya</w:t>
      </w:r>
      <w:proofErr w:type="spellEnd"/>
      <w:r>
        <w:rPr>
          <w:sz w:val="24"/>
          <w:szCs w:val="24"/>
        </w:rPr>
        <w:t xml:space="preserve">, A. and </w:t>
      </w:r>
      <w:proofErr w:type="spellStart"/>
      <w:r w:rsidRPr="005129CF">
        <w:rPr>
          <w:sz w:val="24"/>
          <w:szCs w:val="24"/>
        </w:rPr>
        <w:t>Barbier</w:t>
      </w:r>
      <w:proofErr w:type="spellEnd"/>
      <w:r>
        <w:rPr>
          <w:sz w:val="24"/>
          <w:szCs w:val="24"/>
        </w:rPr>
        <w:t xml:space="preserve">, E.B. (2 1989). </w:t>
      </w:r>
      <w:r w:rsidRPr="005129CF">
        <w:rPr>
          <w:i/>
          <w:sz w:val="24"/>
          <w:szCs w:val="24"/>
        </w:rPr>
        <w:t>Blueprint for a Green Economy</w:t>
      </w:r>
      <w:r>
        <w:rPr>
          <w:sz w:val="24"/>
          <w:szCs w:val="24"/>
        </w:rPr>
        <w:t>. Earthscan, London.</w:t>
      </w:r>
    </w:p>
    <w:p w14:paraId="4FD0C17B" w14:textId="0EBCC777" w:rsidR="00642685" w:rsidRPr="005129CF" w:rsidRDefault="00642685" w:rsidP="005129CF">
      <w:pPr>
        <w:pStyle w:val="EndnoteText"/>
        <w:spacing w:line="276" w:lineRule="auto"/>
        <w:ind w:left="284" w:right="-188" w:hanging="284"/>
        <w:rPr>
          <w:sz w:val="24"/>
          <w:szCs w:val="24"/>
        </w:rPr>
      </w:pPr>
      <w:r>
        <w:rPr>
          <w:sz w:val="24"/>
          <w:szCs w:val="24"/>
        </w:rPr>
        <w:t xml:space="preserve">Porritt, J. (2007). </w:t>
      </w:r>
      <w:r w:rsidRPr="00642685">
        <w:rPr>
          <w:i/>
          <w:sz w:val="24"/>
          <w:szCs w:val="24"/>
        </w:rPr>
        <w:t>Capitalism as if the World Matters</w:t>
      </w:r>
      <w:r>
        <w:rPr>
          <w:sz w:val="24"/>
          <w:szCs w:val="24"/>
        </w:rPr>
        <w:t>. Routledge.</w:t>
      </w:r>
    </w:p>
    <w:p w14:paraId="4D72EF7B" w14:textId="5B61D546" w:rsidR="00C85900" w:rsidRPr="00C85900" w:rsidRDefault="00C85900" w:rsidP="00C85900">
      <w:pPr>
        <w:pStyle w:val="EndnoteText"/>
        <w:spacing w:line="276" w:lineRule="auto"/>
        <w:ind w:left="284" w:right="-188" w:hanging="284"/>
        <w:rPr>
          <w:sz w:val="24"/>
          <w:szCs w:val="24"/>
        </w:rPr>
      </w:pPr>
      <w:r>
        <w:rPr>
          <w:sz w:val="24"/>
          <w:szCs w:val="24"/>
        </w:rPr>
        <w:t xml:space="preserve">Public Health England. (2018). </w:t>
      </w:r>
      <w:r w:rsidRPr="00C85900">
        <w:rPr>
          <w:i/>
          <w:sz w:val="24"/>
          <w:szCs w:val="24"/>
        </w:rPr>
        <w:t>Cycling and walking for individual and population health benefits: A rapid evidence review for health and care system decision-makers</w:t>
      </w:r>
      <w:r w:rsidRPr="00C85900">
        <w:rPr>
          <w:sz w:val="24"/>
          <w:szCs w:val="24"/>
        </w:rPr>
        <w:t>. Public Health England, London. (</w:t>
      </w:r>
      <w:hyperlink r:id="rId47" w:history="1">
        <w:r w:rsidRPr="00C85900">
          <w:rPr>
            <w:rStyle w:val="Hyperlink"/>
            <w:sz w:val="24"/>
            <w:szCs w:val="24"/>
          </w:rPr>
          <w:t>https://assets.publishing.service.gov.uk/government/uploads/system/uploads/attachment_data/file/757756/Cycling_and_walking_for_individual_and_population_health_benefits.pdf</w:t>
        </w:r>
      </w:hyperlink>
      <w:r w:rsidRPr="00C85900">
        <w:rPr>
          <w:rStyle w:val="Hyperlink"/>
          <w:sz w:val="24"/>
          <w:szCs w:val="24"/>
        </w:rPr>
        <w:t>.</w:t>
      </w:r>
    </w:p>
    <w:p w14:paraId="289BDA8C" w14:textId="735A25DE" w:rsidR="00362F36" w:rsidRPr="00C85900" w:rsidRDefault="00362F36" w:rsidP="00D31F3A">
      <w:pPr>
        <w:pStyle w:val="EndnoteText"/>
        <w:spacing w:line="276" w:lineRule="auto"/>
        <w:ind w:left="284" w:right="-188" w:hanging="284"/>
        <w:rPr>
          <w:rFonts w:cstheme="minorHAnsi"/>
          <w:sz w:val="24"/>
          <w:szCs w:val="24"/>
        </w:rPr>
      </w:pPr>
      <w:proofErr w:type="spellStart"/>
      <w:r w:rsidRPr="00C85900">
        <w:rPr>
          <w:rFonts w:cstheme="minorHAnsi"/>
          <w:sz w:val="24"/>
          <w:szCs w:val="24"/>
        </w:rPr>
        <w:t>Raworth</w:t>
      </w:r>
      <w:proofErr w:type="spellEnd"/>
      <w:r w:rsidRPr="00C85900">
        <w:rPr>
          <w:rFonts w:cstheme="minorHAnsi"/>
          <w:sz w:val="24"/>
          <w:szCs w:val="24"/>
        </w:rPr>
        <w:t xml:space="preserve">, K. (2017). </w:t>
      </w:r>
      <w:r w:rsidRPr="00C85900">
        <w:rPr>
          <w:rFonts w:cstheme="minorHAnsi"/>
          <w:i/>
          <w:sz w:val="24"/>
          <w:szCs w:val="24"/>
        </w:rPr>
        <w:t>Doughnut Economics: Seven Ways to Think Like a 21st-Century Economist</w:t>
      </w:r>
      <w:r w:rsidRPr="00C85900">
        <w:rPr>
          <w:rFonts w:cstheme="minorHAnsi"/>
          <w:sz w:val="24"/>
          <w:szCs w:val="24"/>
        </w:rPr>
        <w:t>. Random House Business.</w:t>
      </w:r>
    </w:p>
    <w:p w14:paraId="161AA5D2" w14:textId="308DF482" w:rsidR="00452484" w:rsidRDefault="00452484" w:rsidP="00D31F3A">
      <w:pPr>
        <w:pStyle w:val="EndnoteText"/>
        <w:spacing w:line="276" w:lineRule="auto"/>
        <w:ind w:left="284" w:right="-188" w:hanging="284"/>
        <w:rPr>
          <w:rFonts w:cstheme="minorHAnsi"/>
          <w:sz w:val="24"/>
          <w:szCs w:val="24"/>
        </w:rPr>
      </w:pPr>
      <w:r w:rsidRPr="00452484">
        <w:rPr>
          <w:rFonts w:cstheme="minorHAnsi"/>
          <w:sz w:val="24"/>
          <w:szCs w:val="24"/>
        </w:rPr>
        <w:t>Regeneration International</w:t>
      </w:r>
      <w:r>
        <w:rPr>
          <w:rFonts w:cstheme="minorHAnsi"/>
          <w:sz w:val="24"/>
          <w:szCs w:val="24"/>
        </w:rPr>
        <w:t>. (</w:t>
      </w:r>
      <w:r w:rsidRPr="00452484">
        <w:rPr>
          <w:rFonts w:cstheme="minorHAnsi"/>
          <w:sz w:val="24"/>
          <w:szCs w:val="24"/>
        </w:rPr>
        <w:t>n.d.)</w:t>
      </w:r>
      <w:r>
        <w:rPr>
          <w:rFonts w:cstheme="minorHAnsi"/>
          <w:sz w:val="24"/>
          <w:szCs w:val="24"/>
        </w:rPr>
        <w:t xml:space="preserve"> </w:t>
      </w:r>
      <w:r>
        <w:rPr>
          <w:rFonts w:cstheme="minorHAnsi"/>
          <w:i/>
          <w:sz w:val="24"/>
          <w:szCs w:val="24"/>
        </w:rPr>
        <w:t>Why regenerative agriculture?</w:t>
      </w:r>
      <w:r>
        <w:rPr>
          <w:rFonts w:cstheme="minorHAnsi"/>
          <w:sz w:val="24"/>
          <w:szCs w:val="24"/>
        </w:rPr>
        <w:t xml:space="preserve"> </w:t>
      </w:r>
      <w:r w:rsidRPr="00452484">
        <w:rPr>
          <w:rFonts w:cstheme="minorHAnsi"/>
          <w:sz w:val="24"/>
          <w:szCs w:val="24"/>
        </w:rPr>
        <w:t>Regeneration International</w:t>
      </w:r>
      <w:r>
        <w:rPr>
          <w:rFonts w:cstheme="minorHAnsi"/>
          <w:sz w:val="24"/>
          <w:szCs w:val="24"/>
        </w:rPr>
        <w:t>. [Online.] (</w:t>
      </w:r>
      <w:hyperlink r:id="rId48" w:history="1">
        <w:r w:rsidRPr="00587727">
          <w:rPr>
            <w:rStyle w:val="Hyperlink"/>
            <w:rFonts w:cstheme="minorHAnsi"/>
            <w:sz w:val="24"/>
            <w:szCs w:val="24"/>
          </w:rPr>
          <w:t>https://regenerationinternational.org/why-regenerative-agriculture/</w:t>
        </w:r>
      </w:hyperlink>
      <w:r>
        <w:rPr>
          <w:rFonts w:cstheme="minorHAnsi"/>
          <w:sz w:val="24"/>
          <w:szCs w:val="24"/>
        </w:rPr>
        <w:t>.)</w:t>
      </w:r>
    </w:p>
    <w:p w14:paraId="50E9E881" w14:textId="6578E2F8" w:rsidR="00E37CE0" w:rsidRPr="00452484" w:rsidRDefault="00E37CE0" w:rsidP="00D31F3A">
      <w:pPr>
        <w:pStyle w:val="EndnoteText"/>
        <w:spacing w:line="276" w:lineRule="auto"/>
        <w:ind w:left="284" w:right="-188" w:hanging="284"/>
        <w:rPr>
          <w:rFonts w:cstheme="minorHAnsi"/>
          <w:sz w:val="24"/>
          <w:szCs w:val="24"/>
        </w:rPr>
      </w:pPr>
      <w:proofErr w:type="spellStart"/>
      <w:r w:rsidRPr="00E37CE0">
        <w:rPr>
          <w:rFonts w:cstheme="minorHAnsi"/>
          <w:sz w:val="24"/>
          <w:szCs w:val="24"/>
        </w:rPr>
        <w:t>Rerup</w:t>
      </w:r>
      <w:proofErr w:type="spellEnd"/>
      <w:r w:rsidRPr="00E37CE0">
        <w:rPr>
          <w:rFonts w:cstheme="minorHAnsi"/>
          <w:sz w:val="24"/>
          <w:szCs w:val="24"/>
        </w:rPr>
        <w:t xml:space="preserve">, C. and Feldman, M (2011). Routines as a source of change in organizational schemata: the role of trial-and-error learning.  </w:t>
      </w:r>
      <w:r w:rsidRPr="00E37CE0">
        <w:rPr>
          <w:rFonts w:cstheme="minorHAnsi"/>
          <w:i/>
          <w:sz w:val="24"/>
          <w:szCs w:val="24"/>
        </w:rPr>
        <w:t>Academy of Management Journal</w:t>
      </w:r>
      <w:r>
        <w:rPr>
          <w:rFonts w:cstheme="minorHAnsi"/>
          <w:sz w:val="24"/>
          <w:szCs w:val="24"/>
        </w:rPr>
        <w:t xml:space="preserve">, </w:t>
      </w:r>
      <w:r w:rsidRPr="00E37CE0">
        <w:rPr>
          <w:rFonts w:cstheme="minorHAnsi"/>
          <w:sz w:val="24"/>
          <w:szCs w:val="24"/>
        </w:rPr>
        <w:t>54</w:t>
      </w:r>
      <w:r>
        <w:rPr>
          <w:rFonts w:cstheme="minorHAnsi"/>
          <w:sz w:val="24"/>
          <w:szCs w:val="24"/>
        </w:rPr>
        <w:t>(</w:t>
      </w:r>
      <w:r w:rsidRPr="00E37CE0">
        <w:rPr>
          <w:rFonts w:cstheme="minorHAnsi"/>
          <w:sz w:val="24"/>
          <w:szCs w:val="24"/>
        </w:rPr>
        <w:t>3</w:t>
      </w:r>
      <w:r>
        <w:rPr>
          <w:rFonts w:cstheme="minorHAnsi"/>
          <w:sz w:val="24"/>
          <w:szCs w:val="24"/>
        </w:rPr>
        <w:t>)</w:t>
      </w:r>
      <w:r w:rsidRPr="00E37CE0">
        <w:rPr>
          <w:rFonts w:cstheme="minorHAnsi"/>
          <w:sz w:val="24"/>
          <w:szCs w:val="24"/>
        </w:rPr>
        <w:t xml:space="preserve">, </w:t>
      </w:r>
      <w:r>
        <w:rPr>
          <w:rFonts w:cstheme="minorHAnsi"/>
          <w:sz w:val="24"/>
          <w:szCs w:val="24"/>
        </w:rPr>
        <w:t>pp.</w:t>
      </w:r>
      <w:r w:rsidRPr="00E37CE0">
        <w:rPr>
          <w:rFonts w:cstheme="minorHAnsi"/>
          <w:sz w:val="24"/>
          <w:szCs w:val="24"/>
        </w:rPr>
        <w:t>577–610</w:t>
      </w:r>
      <w:r>
        <w:rPr>
          <w:rFonts w:cstheme="minorHAnsi"/>
          <w:sz w:val="24"/>
          <w:szCs w:val="24"/>
        </w:rPr>
        <w:t xml:space="preserve">. DOI: </w:t>
      </w:r>
      <w:hyperlink r:id="rId49" w:history="1">
        <w:r w:rsidRPr="000F31B0">
          <w:rPr>
            <w:rStyle w:val="Hyperlink"/>
            <w:rFonts w:cstheme="minorHAnsi"/>
            <w:sz w:val="24"/>
            <w:szCs w:val="24"/>
          </w:rPr>
          <w:t>https://doi.org/10.5465/amj.2011.61968107</w:t>
        </w:r>
      </w:hyperlink>
      <w:r>
        <w:rPr>
          <w:rFonts w:cstheme="minorHAnsi"/>
          <w:sz w:val="24"/>
          <w:szCs w:val="24"/>
        </w:rPr>
        <w:t>.</w:t>
      </w:r>
    </w:p>
    <w:p w14:paraId="08F2DD7B" w14:textId="64293219" w:rsidR="00183C54" w:rsidRDefault="00183C54" w:rsidP="00D31F3A">
      <w:pPr>
        <w:pStyle w:val="EndnoteText"/>
        <w:spacing w:line="276" w:lineRule="auto"/>
        <w:ind w:left="284" w:right="-188" w:hanging="284"/>
        <w:rPr>
          <w:sz w:val="24"/>
          <w:szCs w:val="24"/>
        </w:rPr>
      </w:pPr>
      <w:proofErr w:type="spellStart"/>
      <w:r w:rsidRPr="00183C54">
        <w:rPr>
          <w:sz w:val="24"/>
          <w:szCs w:val="24"/>
        </w:rPr>
        <w:t>Rittel</w:t>
      </w:r>
      <w:proofErr w:type="spellEnd"/>
      <w:r w:rsidRPr="00183C54">
        <w:rPr>
          <w:sz w:val="24"/>
          <w:szCs w:val="24"/>
        </w:rPr>
        <w:t xml:space="preserve">, H. and Webber, M.M. (1973). Dilemmas in a General Theory of Planning. </w:t>
      </w:r>
      <w:r w:rsidRPr="00183C54">
        <w:rPr>
          <w:i/>
          <w:sz w:val="24"/>
          <w:szCs w:val="24"/>
        </w:rPr>
        <w:t>Policy Sciences</w:t>
      </w:r>
      <w:r w:rsidRPr="00183C54">
        <w:rPr>
          <w:sz w:val="24"/>
          <w:szCs w:val="24"/>
        </w:rPr>
        <w:t>, 4, pp.155–169.</w:t>
      </w:r>
    </w:p>
    <w:p w14:paraId="6163CD48" w14:textId="7EDD4026" w:rsidR="00410C9B" w:rsidRDefault="00410C9B" w:rsidP="00D31F3A">
      <w:pPr>
        <w:pStyle w:val="EndnoteText"/>
        <w:spacing w:line="276" w:lineRule="auto"/>
        <w:ind w:left="284" w:right="-188" w:hanging="284"/>
        <w:rPr>
          <w:sz w:val="24"/>
          <w:szCs w:val="24"/>
        </w:rPr>
      </w:pPr>
      <w:r w:rsidRPr="00410C9B">
        <w:rPr>
          <w:sz w:val="24"/>
          <w:szCs w:val="24"/>
        </w:rPr>
        <w:t xml:space="preserve">Sandvik, H. </w:t>
      </w:r>
      <w:r>
        <w:rPr>
          <w:sz w:val="24"/>
          <w:szCs w:val="24"/>
        </w:rPr>
        <w:t xml:space="preserve">(2008). </w:t>
      </w:r>
      <w:r w:rsidRPr="00410C9B">
        <w:rPr>
          <w:sz w:val="24"/>
          <w:szCs w:val="24"/>
        </w:rPr>
        <w:t xml:space="preserve">Public concern over global warming correlates negatively with national wealth. </w:t>
      </w:r>
      <w:r w:rsidRPr="00410C9B">
        <w:rPr>
          <w:i/>
          <w:sz w:val="24"/>
          <w:szCs w:val="24"/>
        </w:rPr>
        <w:t>Climatic Change</w:t>
      </w:r>
      <w:r>
        <w:rPr>
          <w:sz w:val="24"/>
          <w:szCs w:val="24"/>
        </w:rPr>
        <w:t>,</w:t>
      </w:r>
      <w:r w:rsidRPr="00410C9B">
        <w:rPr>
          <w:sz w:val="24"/>
          <w:szCs w:val="24"/>
        </w:rPr>
        <w:t xml:space="preserve"> 90, 333–341. </w:t>
      </w:r>
      <w:hyperlink r:id="rId50" w:history="1">
        <w:r w:rsidRPr="00587727">
          <w:rPr>
            <w:rStyle w:val="Hyperlink"/>
            <w:sz w:val="24"/>
            <w:szCs w:val="24"/>
          </w:rPr>
          <w:t>https://doi.org/10.1007/s10584-008-9429-6</w:t>
        </w:r>
      </w:hyperlink>
      <w:r>
        <w:rPr>
          <w:sz w:val="24"/>
          <w:szCs w:val="24"/>
        </w:rPr>
        <w:t>.</w:t>
      </w:r>
    </w:p>
    <w:p w14:paraId="10A1FC16" w14:textId="1911E9D0" w:rsidR="00362F36" w:rsidRDefault="00362F36" w:rsidP="00D31F3A">
      <w:pPr>
        <w:pStyle w:val="EndnoteText"/>
        <w:spacing w:line="276" w:lineRule="auto"/>
        <w:ind w:left="284" w:right="-188" w:hanging="284"/>
        <w:rPr>
          <w:sz w:val="24"/>
          <w:szCs w:val="24"/>
        </w:rPr>
      </w:pPr>
      <w:r w:rsidRPr="00D31F3A">
        <w:rPr>
          <w:sz w:val="24"/>
          <w:szCs w:val="24"/>
        </w:rPr>
        <w:t xml:space="preserve">Saratsi, E., </w:t>
      </w:r>
      <w:proofErr w:type="spellStart"/>
      <w:r w:rsidRPr="00D31F3A">
        <w:rPr>
          <w:sz w:val="24"/>
          <w:szCs w:val="24"/>
        </w:rPr>
        <w:t>Acott</w:t>
      </w:r>
      <w:proofErr w:type="spellEnd"/>
      <w:r w:rsidRPr="00D31F3A">
        <w:rPr>
          <w:sz w:val="24"/>
          <w:szCs w:val="24"/>
        </w:rPr>
        <w:t xml:space="preserve">, T., </w:t>
      </w:r>
      <w:proofErr w:type="spellStart"/>
      <w:r w:rsidRPr="00D31F3A">
        <w:rPr>
          <w:sz w:val="24"/>
          <w:szCs w:val="24"/>
        </w:rPr>
        <w:t>Allinson</w:t>
      </w:r>
      <w:proofErr w:type="spellEnd"/>
      <w:r w:rsidRPr="00D31F3A">
        <w:rPr>
          <w:sz w:val="24"/>
          <w:szCs w:val="24"/>
        </w:rPr>
        <w:t xml:space="preserve">, E., Edwards, D., Fremantle, C., Fish, R. 2019, </w:t>
      </w:r>
      <w:r w:rsidRPr="00D31F3A">
        <w:rPr>
          <w:i/>
          <w:sz w:val="24"/>
          <w:szCs w:val="24"/>
        </w:rPr>
        <w:t>Valuing Arts and Arts Research</w:t>
      </w:r>
      <w:r w:rsidRPr="00D31F3A">
        <w:rPr>
          <w:sz w:val="24"/>
          <w:szCs w:val="24"/>
        </w:rPr>
        <w:t>. Valuing Nature Paper VNP22.</w:t>
      </w:r>
    </w:p>
    <w:p w14:paraId="5F43908D" w14:textId="024D4B4F" w:rsidR="00976078" w:rsidRPr="00D31F3A" w:rsidRDefault="00976078" w:rsidP="00976078">
      <w:pPr>
        <w:pStyle w:val="EndnoteText"/>
        <w:spacing w:line="276" w:lineRule="auto"/>
        <w:ind w:left="284" w:right="-188" w:hanging="284"/>
        <w:rPr>
          <w:sz w:val="24"/>
          <w:szCs w:val="24"/>
        </w:rPr>
      </w:pPr>
      <w:proofErr w:type="spellStart"/>
      <w:r w:rsidRPr="00976078">
        <w:rPr>
          <w:sz w:val="24"/>
          <w:szCs w:val="24"/>
        </w:rPr>
        <w:t>Scambler</w:t>
      </w:r>
      <w:proofErr w:type="spellEnd"/>
      <w:r>
        <w:rPr>
          <w:sz w:val="24"/>
          <w:szCs w:val="24"/>
        </w:rPr>
        <w:t xml:space="preserve">, G. (2020). </w:t>
      </w:r>
      <w:r w:rsidRPr="00976078">
        <w:rPr>
          <w:sz w:val="24"/>
          <w:szCs w:val="24"/>
        </w:rPr>
        <w:t>Covid-19 as a ‘breaching experiment’: exposing the fractured society</w:t>
      </w:r>
      <w:r>
        <w:rPr>
          <w:sz w:val="24"/>
          <w:szCs w:val="24"/>
        </w:rPr>
        <w:t xml:space="preserve">. </w:t>
      </w:r>
      <w:r w:rsidRPr="00976078">
        <w:rPr>
          <w:i/>
          <w:sz w:val="24"/>
          <w:szCs w:val="24"/>
        </w:rPr>
        <w:t>Health Sociology Review</w:t>
      </w:r>
      <w:r>
        <w:rPr>
          <w:sz w:val="24"/>
          <w:szCs w:val="24"/>
        </w:rPr>
        <w:t>, 29(2), pp.</w:t>
      </w:r>
      <w:r w:rsidRPr="00976078">
        <w:rPr>
          <w:sz w:val="24"/>
          <w:szCs w:val="24"/>
        </w:rPr>
        <w:t>140-148</w:t>
      </w:r>
      <w:r>
        <w:rPr>
          <w:sz w:val="24"/>
          <w:szCs w:val="24"/>
        </w:rPr>
        <w:t xml:space="preserve">. DOI: </w:t>
      </w:r>
      <w:hyperlink r:id="rId51" w:history="1">
        <w:r w:rsidRPr="00DD462C">
          <w:rPr>
            <w:rStyle w:val="Hyperlink"/>
            <w:sz w:val="24"/>
            <w:szCs w:val="24"/>
          </w:rPr>
          <w:t>https://doi.org/10.1080/14461242.2020.1784019</w:t>
        </w:r>
      </w:hyperlink>
      <w:r>
        <w:rPr>
          <w:sz w:val="24"/>
          <w:szCs w:val="24"/>
        </w:rPr>
        <w:t>.</w:t>
      </w:r>
    </w:p>
    <w:p w14:paraId="3150998E" w14:textId="77777777" w:rsidR="00362F36" w:rsidRPr="00D31F3A" w:rsidRDefault="00362F36" w:rsidP="00D31F3A">
      <w:pPr>
        <w:pStyle w:val="EndnoteText"/>
        <w:spacing w:line="276" w:lineRule="auto"/>
        <w:ind w:left="284" w:right="-188" w:hanging="284"/>
        <w:rPr>
          <w:rFonts w:cs="Calibri"/>
          <w:sz w:val="24"/>
          <w:szCs w:val="24"/>
        </w:rPr>
      </w:pPr>
      <w:proofErr w:type="spellStart"/>
      <w:r w:rsidRPr="00D31F3A">
        <w:rPr>
          <w:sz w:val="24"/>
          <w:szCs w:val="24"/>
        </w:rPr>
        <w:t>Schreckenberg</w:t>
      </w:r>
      <w:proofErr w:type="spellEnd"/>
      <w:r w:rsidRPr="00D31F3A">
        <w:rPr>
          <w:sz w:val="24"/>
          <w:szCs w:val="24"/>
        </w:rPr>
        <w:t xml:space="preserve">, K., Mace, G. and </w:t>
      </w:r>
      <w:proofErr w:type="spellStart"/>
      <w:r w:rsidRPr="00D31F3A">
        <w:rPr>
          <w:sz w:val="24"/>
          <w:szCs w:val="24"/>
        </w:rPr>
        <w:t>Poudyal</w:t>
      </w:r>
      <w:proofErr w:type="spellEnd"/>
      <w:r w:rsidRPr="00D31F3A">
        <w:rPr>
          <w:sz w:val="24"/>
          <w:szCs w:val="24"/>
        </w:rPr>
        <w:t xml:space="preserve">, M. (2018). </w:t>
      </w:r>
      <w:r w:rsidRPr="00D31F3A">
        <w:rPr>
          <w:i/>
          <w:sz w:val="24"/>
          <w:szCs w:val="24"/>
        </w:rPr>
        <w:t>Ecosystem Services and Poverty Alleviation: Trade-offs and Governance</w:t>
      </w:r>
      <w:r w:rsidRPr="00D31F3A">
        <w:rPr>
          <w:sz w:val="24"/>
          <w:szCs w:val="24"/>
        </w:rPr>
        <w:t xml:space="preserve">. Routledge, London. DOI: </w:t>
      </w:r>
      <w:hyperlink r:id="rId52" w:history="1">
        <w:r w:rsidRPr="00D31F3A">
          <w:rPr>
            <w:rStyle w:val="Hyperlink"/>
            <w:sz w:val="24"/>
            <w:szCs w:val="24"/>
          </w:rPr>
          <w:t>https://doi.org/10.4324/9780429507090</w:t>
        </w:r>
      </w:hyperlink>
      <w:r w:rsidRPr="00D31F3A">
        <w:rPr>
          <w:sz w:val="24"/>
          <w:szCs w:val="24"/>
        </w:rPr>
        <w:t>.</w:t>
      </w:r>
    </w:p>
    <w:p w14:paraId="7C1FB3F3" w14:textId="738E185F" w:rsidR="00362F36" w:rsidRDefault="00362F36" w:rsidP="00D31F3A">
      <w:pPr>
        <w:pStyle w:val="EndnoteText"/>
        <w:spacing w:line="276" w:lineRule="auto"/>
        <w:ind w:left="284" w:right="-188" w:hanging="284"/>
        <w:rPr>
          <w:rFonts w:cstheme="minorHAnsi"/>
          <w:sz w:val="24"/>
          <w:szCs w:val="24"/>
        </w:rPr>
      </w:pPr>
      <w:r w:rsidRPr="00D31F3A">
        <w:rPr>
          <w:rFonts w:cstheme="minorHAnsi"/>
          <w:sz w:val="24"/>
          <w:szCs w:val="24"/>
        </w:rPr>
        <w:t xml:space="preserve">Scott, J.M. (2008). </w:t>
      </w:r>
      <w:r w:rsidRPr="00D31F3A">
        <w:rPr>
          <w:rFonts w:cstheme="minorHAnsi"/>
          <w:i/>
          <w:sz w:val="24"/>
          <w:szCs w:val="24"/>
        </w:rPr>
        <w:t>Threats to biological diversity</w:t>
      </w:r>
      <w:r w:rsidRPr="00D31F3A">
        <w:rPr>
          <w:rFonts w:cstheme="minorHAnsi"/>
          <w:sz w:val="24"/>
          <w:szCs w:val="24"/>
        </w:rPr>
        <w:t>. U.S. Geological Survey, Idaho Cooperative Fish and Wildlife Research Unit, University of Idaho. (</w:t>
      </w:r>
      <w:hyperlink r:id="rId53" w:history="1">
        <w:r w:rsidRPr="00D31F3A">
          <w:rPr>
            <w:rStyle w:val="Hyperlink"/>
            <w:rFonts w:cstheme="minorHAnsi"/>
            <w:sz w:val="24"/>
            <w:szCs w:val="24"/>
          </w:rPr>
          <w:t>https://www.biologicaldiversity.org/programs/population_and_sustainability/extinction/</w:t>
        </w:r>
      </w:hyperlink>
      <w:r w:rsidRPr="00D31F3A">
        <w:rPr>
          <w:rFonts w:cstheme="minorHAnsi"/>
          <w:sz w:val="24"/>
          <w:szCs w:val="24"/>
        </w:rPr>
        <w:t>)</w:t>
      </w:r>
    </w:p>
    <w:p w14:paraId="6B053AC9" w14:textId="18A1B262" w:rsidR="00A25124" w:rsidRPr="00D815C0" w:rsidRDefault="00A25124" w:rsidP="00A25124">
      <w:pPr>
        <w:pStyle w:val="EndnoteText"/>
        <w:spacing w:line="276" w:lineRule="auto"/>
        <w:ind w:left="284" w:right="-188" w:hanging="284"/>
        <w:rPr>
          <w:rFonts w:cstheme="minorHAnsi"/>
          <w:i/>
          <w:sz w:val="24"/>
          <w:szCs w:val="24"/>
        </w:rPr>
      </w:pPr>
      <w:r>
        <w:rPr>
          <w:rFonts w:cstheme="minorHAnsi"/>
          <w:sz w:val="24"/>
          <w:szCs w:val="24"/>
        </w:rPr>
        <w:t>Secretariat of the Convention on Biological Diversity</w:t>
      </w:r>
      <w:r w:rsidR="00D815C0">
        <w:rPr>
          <w:rFonts w:cstheme="minorHAnsi"/>
          <w:sz w:val="24"/>
          <w:szCs w:val="24"/>
        </w:rPr>
        <w:t>.</w:t>
      </w:r>
      <w:r>
        <w:rPr>
          <w:rFonts w:cstheme="minorHAnsi"/>
          <w:sz w:val="24"/>
          <w:szCs w:val="24"/>
        </w:rPr>
        <w:t xml:space="preserve"> (2004). </w:t>
      </w:r>
      <w:r w:rsidRPr="00D815C0">
        <w:rPr>
          <w:rFonts w:cstheme="minorHAnsi"/>
          <w:i/>
          <w:sz w:val="24"/>
          <w:szCs w:val="24"/>
        </w:rPr>
        <w:t>The Ecosystem Approach,</w:t>
      </w:r>
    </w:p>
    <w:p w14:paraId="5D95B247" w14:textId="3A70F6E0" w:rsidR="00A25124" w:rsidRDefault="00A25124" w:rsidP="00A25124">
      <w:pPr>
        <w:pStyle w:val="EndnoteText"/>
        <w:spacing w:line="276" w:lineRule="auto"/>
        <w:ind w:left="284" w:right="-188" w:hanging="284"/>
        <w:rPr>
          <w:rFonts w:cstheme="minorHAnsi"/>
          <w:sz w:val="24"/>
          <w:szCs w:val="24"/>
        </w:rPr>
      </w:pPr>
      <w:r w:rsidRPr="00D815C0">
        <w:rPr>
          <w:rFonts w:cstheme="minorHAnsi"/>
          <w:i/>
          <w:sz w:val="24"/>
          <w:szCs w:val="24"/>
        </w:rPr>
        <w:t>(CBD Guidelines)</w:t>
      </w:r>
      <w:r w:rsidR="00D815C0">
        <w:rPr>
          <w:rFonts w:cstheme="minorHAnsi"/>
          <w:i/>
          <w:sz w:val="24"/>
          <w:szCs w:val="24"/>
        </w:rPr>
        <w:t>.</w:t>
      </w:r>
      <w:r w:rsidRPr="00A25124">
        <w:rPr>
          <w:rFonts w:cstheme="minorHAnsi"/>
          <w:sz w:val="24"/>
          <w:szCs w:val="24"/>
        </w:rPr>
        <w:t xml:space="preserve"> Montreal: Secretariat of the Convention on Biological Diversity</w:t>
      </w:r>
      <w:r>
        <w:rPr>
          <w:rFonts w:cstheme="minorHAnsi"/>
          <w:sz w:val="24"/>
          <w:szCs w:val="24"/>
        </w:rPr>
        <w:t xml:space="preserve">.  </w:t>
      </w:r>
      <w:hyperlink r:id="rId54" w:history="1">
        <w:r w:rsidRPr="00E24F09">
          <w:rPr>
            <w:rStyle w:val="Hyperlink"/>
            <w:rFonts w:cstheme="minorHAnsi"/>
            <w:sz w:val="24"/>
            <w:szCs w:val="24"/>
          </w:rPr>
          <w:t>https://www.cbd.int/doc/publications/ea-text-en.pdf</w:t>
        </w:r>
      </w:hyperlink>
      <w:r>
        <w:rPr>
          <w:rFonts w:cstheme="minorHAnsi"/>
          <w:sz w:val="24"/>
          <w:szCs w:val="24"/>
        </w:rPr>
        <w:t xml:space="preserve"> </w:t>
      </w:r>
      <w:r w:rsidR="0089486E">
        <w:rPr>
          <w:rFonts w:cstheme="minorHAnsi"/>
          <w:sz w:val="24"/>
          <w:szCs w:val="24"/>
        </w:rPr>
        <w:t>.</w:t>
      </w:r>
    </w:p>
    <w:p w14:paraId="1ABBB01E" w14:textId="77CA0919" w:rsidR="0089486E" w:rsidRDefault="0089486E" w:rsidP="00A25124">
      <w:pPr>
        <w:pStyle w:val="EndnoteText"/>
        <w:spacing w:line="276" w:lineRule="auto"/>
        <w:ind w:left="284" w:right="-188" w:hanging="284"/>
        <w:rPr>
          <w:rFonts w:cstheme="minorHAnsi"/>
          <w:sz w:val="24"/>
          <w:szCs w:val="24"/>
        </w:rPr>
      </w:pPr>
      <w:proofErr w:type="spellStart"/>
      <w:r w:rsidRPr="0089486E">
        <w:rPr>
          <w:rFonts w:cstheme="minorHAnsi"/>
          <w:sz w:val="24"/>
          <w:szCs w:val="24"/>
        </w:rPr>
        <w:t>Shepsle</w:t>
      </w:r>
      <w:proofErr w:type="spellEnd"/>
      <w:r w:rsidRPr="0089486E">
        <w:rPr>
          <w:rFonts w:cstheme="minorHAnsi"/>
          <w:sz w:val="24"/>
          <w:szCs w:val="24"/>
        </w:rPr>
        <w:t>,</w:t>
      </w:r>
      <w:r>
        <w:rPr>
          <w:rFonts w:cstheme="minorHAnsi"/>
          <w:sz w:val="24"/>
          <w:szCs w:val="24"/>
        </w:rPr>
        <w:t xml:space="preserve"> </w:t>
      </w:r>
      <w:r w:rsidRPr="0089486E">
        <w:rPr>
          <w:rFonts w:cstheme="minorHAnsi"/>
          <w:sz w:val="24"/>
          <w:szCs w:val="24"/>
        </w:rPr>
        <w:t xml:space="preserve">K.  (2010). </w:t>
      </w:r>
      <w:proofErr w:type="spellStart"/>
      <w:r w:rsidRPr="0089486E">
        <w:rPr>
          <w:rFonts w:cstheme="minorHAnsi"/>
          <w:i/>
          <w:sz w:val="24"/>
          <w:szCs w:val="24"/>
        </w:rPr>
        <w:t>Analyzing</w:t>
      </w:r>
      <w:proofErr w:type="spellEnd"/>
      <w:r w:rsidRPr="0089486E">
        <w:rPr>
          <w:rFonts w:cstheme="minorHAnsi"/>
          <w:i/>
          <w:sz w:val="24"/>
          <w:szCs w:val="24"/>
        </w:rPr>
        <w:t xml:space="preserve"> Politics</w:t>
      </w:r>
      <w:r>
        <w:rPr>
          <w:rFonts w:cstheme="minorHAnsi"/>
          <w:i/>
          <w:sz w:val="24"/>
          <w:szCs w:val="24"/>
        </w:rPr>
        <w:t xml:space="preserve">: </w:t>
      </w:r>
      <w:r w:rsidRPr="0089486E">
        <w:rPr>
          <w:rFonts w:cstheme="minorHAnsi"/>
          <w:i/>
          <w:sz w:val="24"/>
          <w:szCs w:val="24"/>
        </w:rPr>
        <w:t xml:space="preserve">Rationality, </w:t>
      </w:r>
      <w:proofErr w:type="spellStart"/>
      <w:r w:rsidRPr="0089486E">
        <w:rPr>
          <w:rFonts w:cstheme="minorHAnsi"/>
          <w:i/>
          <w:sz w:val="24"/>
          <w:szCs w:val="24"/>
        </w:rPr>
        <w:t>Behavior</w:t>
      </w:r>
      <w:proofErr w:type="spellEnd"/>
      <w:r w:rsidRPr="0089486E">
        <w:rPr>
          <w:rFonts w:cstheme="minorHAnsi"/>
          <w:i/>
          <w:sz w:val="24"/>
          <w:szCs w:val="24"/>
        </w:rPr>
        <w:t xml:space="preserve">, and </w:t>
      </w:r>
      <w:proofErr w:type="spellStart"/>
      <w:r w:rsidRPr="0089486E">
        <w:rPr>
          <w:rFonts w:cstheme="minorHAnsi"/>
          <w:i/>
          <w:sz w:val="24"/>
          <w:szCs w:val="24"/>
        </w:rPr>
        <w:t>Instititutions</w:t>
      </w:r>
      <w:proofErr w:type="spellEnd"/>
      <w:r>
        <w:rPr>
          <w:rFonts w:cstheme="minorHAnsi"/>
          <w:sz w:val="24"/>
          <w:szCs w:val="24"/>
        </w:rPr>
        <w:t>.</w:t>
      </w:r>
      <w:r w:rsidRPr="0089486E">
        <w:rPr>
          <w:rFonts w:cstheme="minorHAnsi"/>
          <w:sz w:val="24"/>
          <w:szCs w:val="24"/>
        </w:rPr>
        <w:t xml:space="preserve"> London: W.W. Norton</w:t>
      </w:r>
      <w:r>
        <w:rPr>
          <w:rFonts w:cstheme="minorHAnsi"/>
          <w:sz w:val="24"/>
          <w:szCs w:val="24"/>
        </w:rPr>
        <w:t xml:space="preserve"> &amp; Company.</w:t>
      </w:r>
    </w:p>
    <w:p w14:paraId="2D49EE32" w14:textId="537D560C" w:rsidR="00396222" w:rsidRPr="00D31F3A" w:rsidRDefault="00396222" w:rsidP="00D31F3A">
      <w:pPr>
        <w:pStyle w:val="EndnoteText"/>
        <w:spacing w:line="276" w:lineRule="auto"/>
        <w:ind w:left="284" w:right="-188" w:hanging="284"/>
        <w:rPr>
          <w:rFonts w:cstheme="minorHAnsi"/>
          <w:sz w:val="24"/>
          <w:szCs w:val="24"/>
        </w:rPr>
      </w:pPr>
      <w:r w:rsidRPr="00396222">
        <w:rPr>
          <w:rFonts w:cstheme="minorHAnsi"/>
          <w:sz w:val="24"/>
          <w:szCs w:val="24"/>
        </w:rPr>
        <w:t xml:space="preserve">Staddon, C., Ward, S., De Vito, L., Zuniga-Teran, A., Gerlak, A. K., Schoeman, Y., Hart, A. and Booth, G. (2018) Contributions of green infrastructure to enhancing urban resilience. </w:t>
      </w:r>
      <w:r w:rsidRPr="00396222">
        <w:rPr>
          <w:rFonts w:cstheme="minorHAnsi"/>
          <w:i/>
          <w:sz w:val="24"/>
          <w:szCs w:val="24"/>
        </w:rPr>
        <w:t>Environment Systems and Decisions</w:t>
      </w:r>
      <w:r w:rsidRPr="00396222">
        <w:rPr>
          <w:rFonts w:cstheme="minorHAnsi"/>
          <w:sz w:val="24"/>
          <w:szCs w:val="24"/>
        </w:rPr>
        <w:t>, 38 (3). pp. 330-338</w:t>
      </w:r>
    </w:p>
    <w:p w14:paraId="67476989" w14:textId="77777777" w:rsidR="00362F36" w:rsidRPr="00D31F3A" w:rsidRDefault="00362F36" w:rsidP="00D31F3A">
      <w:pPr>
        <w:pStyle w:val="EndnoteText"/>
        <w:spacing w:line="276" w:lineRule="auto"/>
        <w:ind w:left="284" w:right="-188" w:hanging="284"/>
        <w:rPr>
          <w:sz w:val="24"/>
          <w:szCs w:val="24"/>
        </w:rPr>
      </w:pPr>
      <w:r w:rsidRPr="00D31F3A">
        <w:rPr>
          <w:rFonts w:cstheme="minorHAnsi"/>
          <w:sz w:val="24"/>
          <w:szCs w:val="24"/>
        </w:rPr>
        <w:t xml:space="preserve">Steward, W.C. and </w:t>
      </w:r>
      <w:proofErr w:type="spellStart"/>
      <w:r w:rsidRPr="00D31F3A">
        <w:rPr>
          <w:rFonts w:cstheme="minorHAnsi"/>
          <w:sz w:val="24"/>
          <w:szCs w:val="24"/>
        </w:rPr>
        <w:t>Kuska</w:t>
      </w:r>
      <w:proofErr w:type="spellEnd"/>
      <w:r w:rsidRPr="00D31F3A">
        <w:rPr>
          <w:rFonts w:cstheme="minorHAnsi"/>
          <w:sz w:val="24"/>
          <w:szCs w:val="24"/>
        </w:rPr>
        <w:t xml:space="preserve">, S. (2011). </w:t>
      </w:r>
      <w:proofErr w:type="spellStart"/>
      <w:r w:rsidRPr="00D31F3A">
        <w:rPr>
          <w:rFonts w:cstheme="minorHAnsi"/>
          <w:i/>
          <w:sz w:val="24"/>
          <w:szCs w:val="24"/>
        </w:rPr>
        <w:t>Sustainometrics</w:t>
      </w:r>
      <w:proofErr w:type="spellEnd"/>
      <w:r w:rsidRPr="00D31F3A">
        <w:rPr>
          <w:rFonts w:cstheme="minorHAnsi"/>
          <w:i/>
          <w:sz w:val="24"/>
          <w:szCs w:val="24"/>
        </w:rPr>
        <w:t>: Measuring Sustainability – Design, Planning, and Public Administration for Sustainable Living</w:t>
      </w:r>
      <w:r w:rsidRPr="00D31F3A">
        <w:rPr>
          <w:rFonts w:cstheme="minorHAnsi"/>
          <w:sz w:val="24"/>
          <w:szCs w:val="24"/>
        </w:rPr>
        <w:t>. Greenway Communications, Norcross, GA. 144pp</w:t>
      </w:r>
      <w:r w:rsidRPr="00D31F3A">
        <w:rPr>
          <w:sz w:val="24"/>
          <w:szCs w:val="24"/>
        </w:rPr>
        <w:t xml:space="preserve"> </w:t>
      </w:r>
    </w:p>
    <w:p w14:paraId="39A89B24" w14:textId="350444F4" w:rsidR="00362F36" w:rsidRPr="00D31F3A" w:rsidRDefault="00362F36" w:rsidP="00D31F3A">
      <w:pPr>
        <w:pStyle w:val="EndnoteText"/>
        <w:spacing w:line="276" w:lineRule="auto"/>
        <w:ind w:left="284" w:right="-188" w:hanging="284"/>
        <w:rPr>
          <w:sz w:val="24"/>
          <w:szCs w:val="24"/>
        </w:rPr>
      </w:pPr>
      <w:r w:rsidRPr="00D31F3A">
        <w:rPr>
          <w:sz w:val="24"/>
          <w:szCs w:val="24"/>
        </w:rPr>
        <w:t>UN</w:t>
      </w:r>
      <w:r w:rsidR="005334A0">
        <w:rPr>
          <w:sz w:val="24"/>
          <w:szCs w:val="24"/>
        </w:rPr>
        <w:t>.</w:t>
      </w:r>
      <w:r w:rsidRPr="00D31F3A">
        <w:rPr>
          <w:sz w:val="24"/>
          <w:szCs w:val="24"/>
        </w:rPr>
        <w:t xml:space="preserve"> (201</w:t>
      </w:r>
      <w:r w:rsidR="00F35E2D">
        <w:rPr>
          <w:sz w:val="24"/>
          <w:szCs w:val="24"/>
        </w:rPr>
        <w:t>5</w:t>
      </w:r>
      <w:r w:rsidRPr="00D31F3A">
        <w:rPr>
          <w:sz w:val="24"/>
          <w:szCs w:val="24"/>
        </w:rPr>
        <w:t xml:space="preserve">). </w:t>
      </w:r>
      <w:r w:rsidR="00F35E2D" w:rsidRPr="00F35E2D">
        <w:rPr>
          <w:i/>
          <w:sz w:val="24"/>
          <w:szCs w:val="24"/>
        </w:rPr>
        <w:t>Sustainable Development Goals</w:t>
      </w:r>
      <w:r w:rsidR="005334A0">
        <w:rPr>
          <w:sz w:val="24"/>
          <w:szCs w:val="24"/>
        </w:rPr>
        <w:t>.</w:t>
      </w:r>
      <w:r w:rsidRPr="00D31F3A">
        <w:rPr>
          <w:sz w:val="24"/>
          <w:szCs w:val="24"/>
        </w:rPr>
        <w:t xml:space="preserve"> Unite</w:t>
      </w:r>
      <w:r w:rsidRPr="00F35E2D">
        <w:rPr>
          <w:sz w:val="24"/>
          <w:szCs w:val="24"/>
        </w:rPr>
        <w:t>d Nations (UN). [Online.] (</w:t>
      </w:r>
      <w:hyperlink r:id="rId55" w:history="1">
        <w:r w:rsidR="00F35E2D" w:rsidRPr="00F35E2D">
          <w:rPr>
            <w:rStyle w:val="Hyperlink"/>
            <w:sz w:val="24"/>
            <w:szCs w:val="24"/>
          </w:rPr>
          <w:t>https://sustainabledevelopment.un.org/?menu=1300</w:t>
        </w:r>
      </w:hyperlink>
      <w:r w:rsidRPr="00F35E2D">
        <w:rPr>
          <w:sz w:val="24"/>
          <w:szCs w:val="24"/>
        </w:rPr>
        <w:t>.)</w:t>
      </w:r>
    </w:p>
    <w:p w14:paraId="6C655EC4" w14:textId="77777777" w:rsidR="00F35E2D" w:rsidRPr="00D31F3A" w:rsidRDefault="00F35E2D" w:rsidP="00F35E2D">
      <w:pPr>
        <w:pStyle w:val="EndnoteText"/>
        <w:spacing w:line="276" w:lineRule="auto"/>
        <w:ind w:left="284" w:right="-188" w:hanging="284"/>
        <w:rPr>
          <w:sz w:val="24"/>
          <w:szCs w:val="24"/>
        </w:rPr>
      </w:pPr>
      <w:r w:rsidRPr="00D31F3A">
        <w:rPr>
          <w:sz w:val="24"/>
          <w:szCs w:val="24"/>
        </w:rPr>
        <w:t>UN</w:t>
      </w:r>
      <w:r>
        <w:rPr>
          <w:sz w:val="24"/>
          <w:szCs w:val="24"/>
        </w:rPr>
        <w:t>.</w:t>
      </w:r>
      <w:r w:rsidRPr="00D31F3A">
        <w:rPr>
          <w:sz w:val="24"/>
          <w:szCs w:val="24"/>
        </w:rPr>
        <w:t xml:space="preserve"> (2019). </w:t>
      </w:r>
      <w:r w:rsidRPr="005334A0">
        <w:rPr>
          <w:i/>
          <w:sz w:val="24"/>
          <w:szCs w:val="24"/>
        </w:rPr>
        <w:t>Global Environment Outlook 6</w:t>
      </w:r>
      <w:r>
        <w:rPr>
          <w:sz w:val="24"/>
          <w:szCs w:val="24"/>
        </w:rPr>
        <w:t>.</w:t>
      </w:r>
      <w:r w:rsidRPr="00D31F3A">
        <w:rPr>
          <w:sz w:val="24"/>
          <w:szCs w:val="24"/>
        </w:rPr>
        <w:t xml:space="preserve"> United Nations (UN). [Online.] (</w:t>
      </w:r>
      <w:hyperlink r:id="rId56" w:history="1">
        <w:r w:rsidRPr="00D31F3A">
          <w:rPr>
            <w:rStyle w:val="Hyperlink"/>
            <w:sz w:val="24"/>
            <w:szCs w:val="24"/>
          </w:rPr>
          <w:t>https://www.unenvironment.org/resources/global-environment-outlook-6</w:t>
        </w:r>
      </w:hyperlink>
      <w:r w:rsidRPr="00D31F3A">
        <w:rPr>
          <w:sz w:val="24"/>
          <w:szCs w:val="24"/>
        </w:rPr>
        <w:t>, accessed 8</w:t>
      </w:r>
      <w:r w:rsidRPr="00D31F3A">
        <w:rPr>
          <w:sz w:val="24"/>
          <w:szCs w:val="24"/>
          <w:vertAlign w:val="superscript"/>
        </w:rPr>
        <w:t>th</w:t>
      </w:r>
      <w:r w:rsidRPr="00D31F3A">
        <w:rPr>
          <w:sz w:val="24"/>
          <w:szCs w:val="24"/>
        </w:rPr>
        <w:t xml:space="preserve"> April 2020.)</w:t>
      </w:r>
    </w:p>
    <w:p w14:paraId="14547CE9" w14:textId="205F5E15" w:rsidR="00362F36" w:rsidRPr="00D31F3A" w:rsidRDefault="00362F36" w:rsidP="00D31F3A">
      <w:pPr>
        <w:pStyle w:val="EndnoteText"/>
        <w:spacing w:line="276" w:lineRule="auto"/>
        <w:ind w:left="284" w:right="-188" w:hanging="284"/>
        <w:rPr>
          <w:sz w:val="24"/>
          <w:szCs w:val="24"/>
        </w:rPr>
      </w:pPr>
      <w:r w:rsidRPr="00D31F3A">
        <w:rPr>
          <w:rFonts w:cs="Calibri"/>
          <w:sz w:val="24"/>
          <w:szCs w:val="24"/>
        </w:rPr>
        <w:t>UN Environment</w:t>
      </w:r>
      <w:r w:rsidR="005334A0">
        <w:rPr>
          <w:rFonts w:cs="Calibri"/>
          <w:sz w:val="24"/>
          <w:szCs w:val="24"/>
        </w:rPr>
        <w:t>.</w:t>
      </w:r>
      <w:r w:rsidR="00F35E2D">
        <w:rPr>
          <w:rFonts w:cs="Calibri"/>
          <w:sz w:val="24"/>
          <w:szCs w:val="24"/>
        </w:rPr>
        <w:t xml:space="preserve"> </w:t>
      </w:r>
      <w:r w:rsidRPr="00D31F3A">
        <w:rPr>
          <w:rFonts w:cs="Calibri"/>
          <w:sz w:val="24"/>
          <w:szCs w:val="24"/>
        </w:rPr>
        <w:t xml:space="preserve">(2019). </w:t>
      </w:r>
      <w:r w:rsidRPr="00D31F3A">
        <w:rPr>
          <w:rFonts w:cs="Calibri"/>
          <w:i/>
          <w:sz w:val="24"/>
          <w:szCs w:val="24"/>
        </w:rPr>
        <w:t>Global Environment Outlook – GEO-6: Summary for Policymakers</w:t>
      </w:r>
      <w:r w:rsidRPr="00D31F3A">
        <w:rPr>
          <w:rFonts w:cs="Calibri"/>
          <w:sz w:val="24"/>
          <w:szCs w:val="24"/>
        </w:rPr>
        <w:t>. Cambridge University Press, Cambridge. (</w:t>
      </w:r>
      <w:hyperlink r:id="rId57" w:history="1">
        <w:r w:rsidRPr="00D31F3A">
          <w:rPr>
            <w:rStyle w:val="Hyperlink"/>
            <w:rFonts w:cs="Calibri"/>
            <w:sz w:val="24"/>
            <w:szCs w:val="24"/>
          </w:rPr>
          <w:t>https://www.cambridge.org/gb/academic/subjects/earth-and-environmental-science/environmental-policy-economics-and-law/global-environment-outlook-geo-6-summary-policymakers?format=PB&amp;isbn=9781108707688</w:t>
        </w:r>
      </w:hyperlink>
      <w:r w:rsidRPr="00D31F3A">
        <w:rPr>
          <w:rFonts w:cs="Calibri"/>
          <w:sz w:val="24"/>
          <w:szCs w:val="24"/>
        </w:rPr>
        <w:t>.)</w:t>
      </w:r>
    </w:p>
    <w:p w14:paraId="0848BF67" w14:textId="77777777" w:rsidR="00362F36" w:rsidRPr="00D31F3A" w:rsidRDefault="00362F36" w:rsidP="00D31F3A">
      <w:pPr>
        <w:pStyle w:val="EndnoteText"/>
        <w:spacing w:line="276" w:lineRule="auto"/>
        <w:ind w:left="284" w:right="-188" w:hanging="284"/>
        <w:rPr>
          <w:rStyle w:val="Hyperlink"/>
          <w:sz w:val="24"/>
          <w:szCs w:val="24"/>
        </w:rPr>
      </w:pPr>
      <w:r w:rsidRPr="00D31F3A">
        <w:rPr>
          <w:sz w:val="24"/>
          <w:szCs w:val="24"/>
        </w:rPr>
        <w:t xml:space="preserve">UNEP. (2019). </w:t>
      </w:r>
      <w:r w:rsidRPr="00D31F3A">
        <w:rPr>
          <w:i/>
          <w:sz w:val="24"/>
          <w:szCs w:val="24"/>
        </w:rPr>
        <w:t>New UN Decade on Ecosystem Restoration to inspire bold UN Environment Assembly decisions</w:t>
      </w:r>
      <w:r w:rsidRPr="00D31F3A">
        <w:rPr>
          <w:sz w:val="24"/>
          <w:szCs w:val="24"/>
        </w:rPr>
        <w:t>. United Nations Environment Programme (UNEP). (</w:t>
      </w:r>
      <w:hyperlink r:id="rId58" w:history="1">
        <w:r w:rsidRPr="00D31F3A">
          <w:rPr>
            <w:rStyle w:val="Hyperlink"/>
            <w:sz w:val="24"/>
            <w:szCs w:val="24"/>
          </w:rPr>
          <w:t>https://www.unenvironment.org/news-and-stories/story/new-un-decade-ecosystem-restoration-inspire-bold-un-environment-assembly</w:t>
        </w:r>
      </w:hyperlink>
    </w:p>
    <w:p w14:paraId="69E39434" w14:textId="750979B6" w:rsidR="00362F36" w:rsidRDefault="00362F36" w:rsidP="00D31F3A">
      <w:pPr>
        <w:pStyle w:val="EndnoteText"/>
        <w:spacing w:line="276" w:lineRule="auto"/>
        <w:ind w:left="284" w:right="-188" w:hanging="284"/>
        <w:rPr>
          <w:sz w:val="24"/>
          <w:szCs w:val="24"/>
        </w:rPr>
      </w:pPr>
      <w:r w:rsidRPr="00D31F3A">
        <w:rPr>
          <w:sz w:val="24"/>
          <w:szCs w:val="24"/>
        </w:rPr>
        <w:t>UNDRR (2020) UN Office of Disaster Risk Reduction (UNDRR). (</w:t>
      </w:r>
      <w:hyperlink r:id="rId59" w:history="1">
        <w:r w:rsidRPr="00D31F3A">
          <w:rPr>
            <w:rStyle w:val="Hyperlink"/>
            <w:sz w:val="24"/>
            <w:szCs w:val="24"/>
          </w:rPr>
          <w:t>https://www.undrr.org/</w:t>
        </w:r>
      </w:hyperlink>
      <w:r w:rsidRPr="00D31F3A">
        <w:rPr>
          <w:sz w:val="24"/>
          <w:szCs w:val="24"/>
        </w:rPr>
        <w:t>, accessed 8</w:t>
      </w:r>
      <w:r w:rsidRPr="00D31F3A">
        <w:rPr>
          <w:sz w:val="24"/>
          <w:szCs w:val="24"/>
          <w:vertAlign w:val="superscript"/>
        </w:rPr>
        <w:t>th</w:t>
      </w:r>
      <w:r w:rsidRPr="00D31F3A">
        <w:rPr>
          <w:sz w:val="24"/>
          <w:szCs w:val="24"/>
        </w:rPr>
        <w:t xml:space="preserve"> April 2020.)</w:t>
      </w:r>
    </w:p>
    <w:p w14:paraId="078F25E5" w14:textId="4CDA5B1F" w:rsidR="00AE7525" w:rsidRPr="00D31F3A" w:rsidRDefault="00AE7525" w:rsidP="00D31F3A">
      <w:pPr>
        <w:pStyle w:val="EndnoteText"/>
        <w:spacing w:line="276" w:lineRule="auto"/>
        <w:ind w:left="284" w:right="-188" w:hanging="284"/>
        <w:rPr>
          <w:sz w:val="24"/>
          <w:szCs w:val="24"/>
        </w:rPr>
      </w:pPr>
      <w:r>
        <w:rPr>
          <w:sz w:val="24"/>
          <w:szCs w:val="24"/>
        </w:rPr>
        <w:t>UN. (2018)</w:t>
      </w:r>
      <w:r w:rsidRPr="00AE7525">
        <w:rPr>
          <w:sz w:val="24"/>
          <w:szCs w:val="24"/>
        </w:rPr>
        <w:t xml:space="preserve">. </w:t>
      </w:r>
      <w:r w:rsidRPr="00AE7525">
        <w:rPr>
          <w:i/>
          <w:sz w:val="24"/>
          <w:szCs w:val="24"/>
        </w:rPr>
        <w:t>The World’s Cities in 2018</w:t>
      </w:r>
      <w:r w:rsidRPr="00AE7525">
        <w:rPr>
          <w:sz w:val="24"/>
          <w:szCs w:val="24"/>
        </w:rPr>
        <w:t>. United Nations (UN). [Online.] (</w:t>
      </w:r>
      <w:hyperlink r:id="rId60" w:history="1">
        <w:r w:rsidRPr="00AE7525">
          <w:rPr>
            <w:rStyle w:val="Hyperlink"/>
            <w:sz w:val="24"/>
            <w:szCs w:val="24"/>
          </w:rPr>
          <w:t>https://www.un.org/en/events/citiesday/assets/pdf/the_worlds_cities_in_2018_data_booklet.pdf</w:t>
        </w:r>
      </w:hyperlink>
      <w:r w:rsidRPr="00AE7525">
        <w:rPr>
          <w:sz w:val="24"/>
          <w:szCs w:val="24"/>
        </w:rPr>
        <w:t>, 5</w:t>
      </w:r>
      <w:r w:rsidRPr="00AE7525">
        <w:rPr>
          <w:sz w:val="24"/>
          <w:szCs w:val="24"/>
          <w:vertAlign w:val="superscript"/>
        </w:rPr>
        <w:t>th</w:t>
      </w:r>
      <w:r w:rsidRPr="00AE7525">
        <w:rPr>
          <w:sz w:val="24"/>
          <w:szCs w:val="24"/>
        </w:rPr>
        <w:t xml:space="preserve"> August 2</w:t>
      </w:r>
      <w:r w:rsidRPr="00002BC1">
        <w:rPr>
          <w:sz w:val="24"/>
          <w:szCs w:val="24"/>
        </w:rPr>
        <w:t>020.)</w:t>
      </w:r>
    </w:p>
    <w:p w14:paraId="5AB97B29" w14:textId="77777777" w:rsidR="00362F36" w:rsidRPr="00002BC1" w:rsidRDefault="00362F36" w:rsidP="00D31F3A">
      <w:pPr>
        <w:pStyle w:val="EndnoteText"/>
        <w:spacing w:line="276" w:lineRule="auto"/>
        <w:ind w:left="284" w:right="-188" w:hanging="284"/>
        <w:rPr>
          <w:sz w:val="24"/>
          <w:szCs w:val="24"/>
        </w:rPr>
      </w:pPr>
      <w:r w:rsidRPr="00002BC1">
        <w:rPr>
          <w:sz w:val="24"/>
          <w:szCs w:val="24"/>
        </w:rPr>
        <w:t xml:space="preserve">UN. (2020). </w:t>
      </w:r>
      <w:r w:rsidRPr="00002BC1">
        <w:rPr>
          <w:i/>
          <w:sz w:val="24"/>
          <w:szCs w:val="24"/>
        </w:rPr>
        <w:t>Sustainable Development Goal 4: Quality education</w:t>
      </w:r>
      <w:r w:rsidRPr="00002BC1">
        <w:rPr>
          <w:sz w:val="24"/>
          <w:szCs w:val="24"/>
        </w:rPr>
        <w:t>. United Nations (UN). [Online.] (</w:t>
      </w:r>
      <w:hyperlink r:id="rId61" w:history="1">
        <w:r w:rsidRPr="00002BC1">
          <w:rPr>
            <w:rStyle w:val="Hyperlink"/>
            <w:sz w:val="24"/>
            <w:szCs w:val="24"/>
          </w:rPr>
          <w:t>https://www.un.org/sustainabledevelopment/education/</w:t>
        </w:r>
      </w:hyperlink>
      <w:r w:rsidRPr="00002BC1">
        <w:rPr>
          <w:sz w:val="24"/>
          <w:szCs w:val="24"/>
        </w:rPr>
        <w:t>, accessed 8</w:t>
      </w:r>
      <w:r w:rsidRPr="00002BC1">
        <w:rPr>
          <w:sz w:val="24"/>
          <w:szCs w:val="24"/>
          <w:vertAlign w:val="superscript"/>
        </w:rPr>
        <w:t>th</w:t>
      </w:r>
      <w:r w:rsidRPr="00002BC1">
        <w:rPr>
          <w:sz w:val="24"/>
          <w:szCs w:val="24"/>
        </w:rPr>
        <w:t xml:space="preserve"> April 2020.) </w:t>
      </w:r>
    </w:p>
    <w:p w14:paraId="72F4DDD9" w14:textId="71A33BAA" w:rsidR="00002BC1" w:rsidRPr="00002BC1" w:rsidRDefault="00002BC1" w:rsidP="00002BC1">
      <w:pPr>
        <w:pStyle w:val="NormalWeb"/>
        <w:shd w:val="clear" w:color="auto" w:fill="FFFFFF"/>
        <w:spacing w:before="0" w:beforeAutospacing="0" w:after="0" w:afterAutospacing="0"/>
        <w:ind w:left="284" w:hanging="284"/>
        <w:rPr>
          <w:rFonts w:asciiTheme="minorHAnsi" w:hAnsiTheme="minorHAnsi" w:cstheme="minorHAnsi"/>
        </w:rPr>
      </w:pPr>
      <w:r w:rsidRPr="00002BC1">
        <w:rPr>
          <w:rFonts w:asciiTheme="minorHAnsi" w:hAnsiTheme="minorHAnsi" w:cstheme="minorHAnsi"/>
        </w:rPr>
        <w:t xml:space="preserve">UKNEA (2011/14) </w:t>
      </w:r>
      <w:r w:rsidRPr="00002BC1">
        <w:rPr>
          <w:rFonts w:asciiTheme="minorHAnsi" w:hAnsiTheme="minorHAnsi" w:cstheme="minorHAnsi"/>
          <w:i/>
        </w:rPr>
        <w:t>The UK National Ecosystem Assessment</w:t>
      </w:r>
      <w:r w:rsidRPr="00002BC1">
        <w:rPr>
          <w:rFonts w:asciiTheme="minorHAnsi" w:hAnsiTheme="minorHAnsi" w:cstheme="minorHAnsi"/>
        </w:rPr>
        <w:t xml:space="preserve"> (and Follow on)</w:t>
      </w:r>
      <w:r w:rsidRPr="00002BC1">
        <w:rPr>
          <w:rFonts w:asciiTheme="minorHAnsi" w:hAnsiTheme="minorHAnsi" w:cstheme="minorHAnsi"/>
          <w:shd w:val="clear" w:color="auto" w:fill="FFFFFF"/>
        </w:rPr>
        <w:t xml:space="preserve">. (Cambridge: UNEP-WCMC). Available at: </w:t>
      </w:r>
      <w:hyperlink r:id="rId62" w:history="1">
        <w:r w:rsidR="00623EE4" w:rsidRPr="000F31B0">
          <w:rPr>
            <w:rStyle w:val="Hyperlink"/>
            <w:rFonts w:asciiTheme="minorHAnsi" w:hAnsiTheme="minorHAnsi" w:cstheme="minorHAnsi"/>
          </w:rPr>
          <w:t>http://uknea.unep-wcmc.org/</w:t>
        </w:r>
      </w:hyperlink>
      <w:r w:rsidR="00623EE4">
        <w:rPr>
          <w:rFonts w:asciiTheme="minorHAnsi" w:hAnsiTheme="minorHAnsi" w:cstheme="minorHAnsi"/>
        </w:rPr>
        <w:t>.</w:t>
      </w:r>
    </w:p>
    <w:p w14:paraId="18B6BFCB" w14:textId="77777777" w:rsidR="00362F36" w:rsidRDefault="00362F36" w:rsidP="00D31F3A">
      <w:pPr>
        <w:pStyle w:val="EndnoteText"/>
        <w:spacing w:line="276" w:lineRule="auto"/>
        <w:ind w:left="284" w:right="-188" w:hanging="284"/>
        <w:rPr>
          <w:sz w:val="24"/>
          <w:szCs w:val="24"/>
        </w:rPr>
      </w:pPr>
      <w:proofErr w:type="spellStart"/>
      <w:r w:rsidRPr="00002BC1">
        <w:rPr>
          <w:sz w:val="24"/>
          <w:szCs w:val="24"/>
        </w:rPr>
        <w:t>Vatn</w:t>
      </w:r>
      <w:proofErr w:type="spellEnd"/>
      <w:r w:rsidRPr="00002BC1">
        <w:rPr>
          <w:sz w:val="24"/>
          <w:szCs w:val="24"/>
        </w:rPr>
        <w:t xml:space="preserve">, A. and Bromley, D.W. (1997). Externalities—a market model failure. </w:t>
      </w:r>
      <w:r w:rsidRPr="00002BC1">
        <w:rPr>
          <w:i/>
          <w:sz w:val="24"/>
          <w:szCs w:val="24"/>
        </w:rPr>
        <w:t>Environmental and Resource Economics</w:t>
      </w:r>
      <w:r w:rsidRPr="00002BC1">
        <w:rPr>
          <w:sz w:val="24"/>
          <w:szCs w:val="24"/>
        </w:rPr>
        <w:t>, 9(2), pp.135-151.</w:t>
      </w:r>
    </w:p>
    <w:p w14:paraId="159F86FB" w14:textId="772D575C" w:rsidR="00616D51" w:rsidRPr="00002BC1" w:rsidRDefault="00616D51" w:rsidP="00D31F3A">
      <w:pPr>
        <w:pStyle w:val="EndnoteText"/>
        <w:spacing w:line="276" w:lineRule="auto"/>
        <w:ind w:left="284" w:right="-188" w:hanging="284"/>
        <w:rPr>
          <w:sz w:val="24"/>
          <w:szCs w:val="24"/>
        </w:rPr>
      </w:pPr>
      <w:r w:rsidRPr="00616D51">
        <w:rPr>
          <w:sz w:val="24"/>
          <w:szCs w:val="24"/>
        </w:rPr>
        <w:t xml:space="preserve">Vygotsky, L. (1997). </w:t>
      </w:r>
      <w:r w:rsidRPr="003D092B">
        <w:rPr>
          <w:i/>
          <w:sz w:val="24"/>
          <w:szCs w:val="24"/>
        </w:rPr>
        <w:t>Interaction between Learning and Development</w:t>
      </w:r>
      <w:r w:rsidRPr="00616D51">
        <w:rPr>
          <w:sz w:val="24"/>
          <w:szCs w:val="24"/>
        </w:rPr>
        <w:t>. W.H. Freeman and Company, New York.</w:t>
      </w:r>
    </w:p>
    <w:p w14:paraId="35E897CD" w14:textId="637B6CA1" w:rsidR="00362F36" w:rsidRDefault="00362F36" w:rsidP="00D31F3A">
      <w:pPr>
        <w:pStyle w:val="EndnoteText"/>
        <w:spacing w:line="276" w:lineRule="auto"/>
        <w:ind w:left="284" w:right="-188" w:hanging="284"/>
        <w:rPr>
          <w:sz w:val="24"/>
          <w:szCs w:val="24"/>
        </w:rPr>
      </w:pPr>
      <w:r w:rsidRPr="00002BC1">
        <w:rPr>
          <w:rFonts w:cstheme="minorHAnsi"/>
          <w:sz w:val="24"/>
          <w:szCs w:val="24"/>
        </w:rPr>
        <w:t xml:space="preserve">WCED. (1987). </w:t>
      </w:r>
      <w:r w:rsidRPr="00002BC1">
        <w:rPr>
          <w:rFonts w:cstheme="minorHAnsi"/>
          <w:i/>
          <w:sz w:val="24"/>
          <w:szCs w:val="24"/>
        </w:rPr>
        <w:t>Our Common Future</w:t>
      </w:r>
      <w:r w:rsidRPr="00002BC1">
        <w:rPr>
          <w:rFonts w:cstheme="minorHAnsi"/>
          <w:sz w:val="24"/>
          <w:szCs w:val="24"/>
        </w:rPr>
        <w:t>. Oxford, UK: Oxford University Press</w:t>
      </w:r>
      <w:r w:rsidR="00675F9A">
        <w:rPr>
          <w:sz w:val="24"/>
          <w:szCs w:val="24"/>
        </w:rPr>
        <w:t>.</w:t>
      </w:r>
    </w:p>
    <w:p w14:paraId="11034145" w14:textId="1DA9450A" w:rsidR="008B5B66" w:rsidRDefault="008B5B66" w:rsidP="00D31F3A">
      <w:pPr>
        <w:pStyle w:val="EndnoteText"/>
        <w:spacing w:line="276" w:lineRule="auto"/>
        <w:ind w:left="284" w:right="-188" w:hanging="284"/>
        <w:rPr>
          <w:sz w:val="24"/>
          <w:szCs w:val="24"/>
        </w:rPr>
      </w:pPr>
      <w:r w:rsidRPr="008B5B66">
        <w:rPr>
          <w:sz w:val="24"/>
          <w:szCs w:val="24"/>
        </w:rPr>
        <w:t xml:space="preserve">WEF-GSC. (2017). Global Shapers Survey. </w:t>
      </w:r>
      <w:proofErr w:type="spellStart"/>
      <w:r w:rsidRPr="008B5B66">
        <w:rPr>
          <w:sz w:val="24"/>
          <w:szCs w:val="24"/>
        </w:rPr>
        <w:t>Woelf</w:t>
      </w:r>
      <w:proofErr w:type="spellEnd"/>
      <w:r w:rsidRPr="008B5B66">
        <w:rPr>
          <w:sz w:val="24"/>
          <w:szCs w:val="24"/>
        </w:rPr>
        <w:t xml:space="preserve"> Economic Forum (WEF) and Global Shapers Community. Availabl</w:t>
      </w:r>
      <w:r>
        <w:rPr>
          <w:sz w:val="24"/>
          <w:szCs w:val="24"/>
        </w:rPr>
        <w:t>e</w:t>
      </w:r>
      <w:r w:rsidRPr="008B5B66">
        <w:rPr>
          <w:sz w:val="24"/>
          <w:szCs w:val="24"/>
        </w:rPr>
        <w:t xml:space="preserve"> at: </w:t>
      </w:r>
      <w:hyperlink r:id="rId63" w:history="1">
        <w:r w:rsidRPr="00593CA1">
          <w:rPr>
            <w:rStyle w:val="Hyperlink"/>
            <w:sz w:val="24"/>
            <w:szCs w:val="24"/>
          </w:rPr>
          <w:t>http://shaperssurvey2017.org/static/data/WEF_GSC_Annual_Survey_2017.pdf</w:t>
        </w:r>
      </w:hyperlink>
      <w:r w:rsidRPr="008B5B66">
        <w:rPr>
          <w:sz w:val="24"/>
          <w:szCs w:val="24"/>
        </w:rPr>
        <w:t>. [Accessed 07May 2020]</w:t>
      </w:r>
    </w:p>
    <w:p w14:paraId="2451D64F" w14:textId="3D0EABE1" w:rsidR="00C661E1" w:rsidRDefault="00C661E1" w:rsidP="00C661E1">
      <w:pPr>
        <w:pStyle w:val="EndnoteText"/>
        <w:spacing w:line="276" w:lineRule="auto"/>
        <w:ind w:left="284" w:right="-188" w:hanging="284"/>
        <w:rPr>
          <w:sz w:val="24"/>
          <w:szCs w:val="24"/>
        </w:rPr>
      </w:pPr>
      <w:r w:rsidRPr="00C661E1">
        <w:rPr>
          <w:sz w:val="24"/>
          <w:szCs w:val="24"/>
        </w:rPr>
        <w:t xml:space="preserve">Wood, D. J. and Gray, B. </w:t>
      </w:r>
      <w:r w:rsidR="003D092B">
        <w:rPr>
          <w:sz w:val="24"/>
          <w:szCs w:val="24"/>
        </w:rPr>
        <w:t xml:space="preserve">(1991). </w:t>
      </w:r>
      <w:r w:rsidRPr="00C661E1">
        <w:rPr>
          <w:sz w:val="24"/>
          <w:szCs w:val="24"/>
        </w:rPr>
        <w:t>Toward a comprehensive theory of</w:t>
      </w:r>
      <w:r>
        <w:rPr>
          <w:sz w:val="24"/>
          <w:szCs w:val="24"/>
        </w:rPr>
        <w:t xml:space="preserve"> </w:t>
      </w:r>
      <w:r w:rsidRPr="00C661E1">
        <w:rPr>
          <w:sz w:val="24"/>
          <w:szCs w:val="24"/>
        </w:rPr>
        <w:t>collaboration</w:t>
      </w:r>
      <w:r w:rsidR="003D092B">
        <w:rPr>
          <w:sz w:val="24"/>
          <w:szCs w:val="24"/>
        </w:rPr>
        <w:t>.</w:t>
      </w:r>
      <w:r w:rsidRPr="00C661E1">
        <w:rPr>
          <w:sz w:val="24"/>
          <w:szCs w:val="24"/>
        </w:rPr>
        <w:t xml:space="preserve"> </w:t>
      </w:r>
      <w:r w:rsidRPr="003D092B">
        <w:rPr>
          <w:i/>
          <w:sz w:val="24"/>
          <w:szCs w:val="24"/>
        </w:rPr>
        <w:t xml:space="preserve">Journal Applied </w:t>
      </w:r>
      <w:proofErr w:type="spellStart"/>
      <w:r w:rsidRPr="003D092B">
        <w:rPr>
          <w:i/>
          <w:sz w:val="24"/>
          <w:szCs w:val="24"/>
        </w:rPr>
        <w:t>Behavioral</w:t>
      </w:r>
      <w:proofErr w:type="spellEnd"/>
      <w:r w:rsidRPr="003D092B">
        <w:rPr>
          <w:i/>
          <w:sz w:val="24"/>
          <w:szCs w:val="24"/>
        </w:rPr>
        <w:t xml:space="preserve"> Science</w:t>
      </w:r>
      <w:r w:rsidRPr="00C661E1">
        <w:rPr>
          <w:sz w:val="24"/>
          <w:szCs w:val="24"/>
        </w:rPr>
        <w:t>, 27</w:t>
      </w:r>
      <w:r w:rsidR="003D092B">
        <w:rPr>
          <w:sz w:val="24"/>
          <w:szCs w:val="24"/>
        </w:rPr>
        <w:t>(</w:t>
      </w:r>
      <w:r w:rsidRPr="00C661E1">
        <w:rPr>
          <w:sz w:val="24"/>
          <w:szCs w:val="24"/>
        </w:rPr>
        <w:t>2</w:t>
      </w:r>
      <w:r w:rsidR="003D092B">
        <w:rPr>
          <w:sz w:val="24"/>
          <w:szCs w:val="24"/>
        </w:rPr>
        <w:t>)</w:t>
      </w:r>
      <w:r w:rsidRPr="00C661E1">
        <w:rPr>
          <w:sz w:val="24"/>
          <w:szCs w:val="24"/>
        </w:rPr>
        <w:t>,</w:t>
      </w:r>
      <w:r>
        <w:rPr>
          <w:sz w:val="24"/>
          <w:szCs w:val="24"/>
        </w:rPr>
        <w:t xml:space="preserve"> </w:t>
      </w:r>
      <w:r w:rsidRPr="00C661E1">
        <w:rPr>
          <w:sz w:val="24"/>
          <w:szCs w:val="24"/>
        </w:rPr>
        <w:t xml:space="preserve">pp.139-162. </w:t>
      </w:r>
      <w:r w:rsidR="003D092B">
        <w:rPr>
          <w:sz w:val="24"/>
          <w:szCs w:val="24"/>
        </w:rPr>
        <w:t xml:space="preserve">DOI: </w:t>
      </w:r>
      <w:hyperlink r:id="rId64" w:history="1">
        <w:r w:rsidR="003D092B" w:rsidRPr="003D092B">
          <w:rPr>
            <w:rStyle w:val="Hyperlink"/>
            <w:sz w:val="24"/>
            <w:szCs w:val="24"/>
          </w:rPr>
          <w:t>http://dx.doi.org/10.1177/0021886391272001</w:t>
        </w:r>
      </w:hyperlink>
      <w:r w:rsidR="003D092B">
        <w:rPr>
          <w:sz w:val="24"/>
          <w:szCs w:val="24"/>
        </w:rPr>
        <w:t>.</w:t>
      </w:r>
    </w:p>
    <w:p w14:paraId="4BD3030D" w14:textId="7B4C6435" w:rsidR="00675F9A" w:rsidRDefault="00675F9A" w:rsidP="006C2742">
      <w:pPr>
        <w:pStyle w:val="EndnoteText"/>
        <w:spacing w:line="276" w:lineRule="auto"/>
        <w:ind w:left="284" w:right="-188" w:hanging="284"/>
        <w:rPr>
          <w:rStyle w:val="Hyperlink"/>
          <w:sz w:val="24"/>
          <w:szCs w:val="24"/>
        </w:rPr>
      </w:pPr>
      <w:r>
        <w:rPr>
          <w:rFonts w:cstheme="minorHAnsi"/>
          <w:sz w:val="24"/>
          <w:szCs w:val="24"/>
        </w:rPr>
        <w:t>Woodland Trust</w:t>
      </w:r>
      <w:r w:rsidRPr="00675F9A">
        <w:rPr>
          <w:sz w:val="24"/>
          <w:szCs w:val="24"/>
        </w:rPr>
        <w:t>.</w:t>
      </w:r>
      <w:r>
        <w:rPr>
          <w:sz w:val="24"/>
          <w:szCs w:val="24"/>
        </w:rPr>
        <w:t xml:space="preserve"> (2013). </w:t>
      </w:r>
      <w:r w:rsidRPr="00675F9A">
        <w:rPr>
          <w:i/>
          <w:sz w:val="24"/>
          <w:szCs w:val="24"/>
        </w:rPr>
        <w:t xml:space="preserve">The </w:t>
      </w:r>
      <w:proofErr w:type="spellStart"/>
      <w:r w:rsidRPr="00675F9A">
        <w:rPr>
          <w:i/>
          <w:sz w:val="24"/>
          <w:szCs w:val="24"/>
        </w:rPr>
        <w:t>Pontbren</w:t>
      </w:r>
      <w:proofErr w:type="spellEnd"/>
      <w:r w:rsidRPr="00675F9A">
        <w:rPr>
          <w:i/>
          <w:sz w:val="24"/>
          <w:szCs w:val="24"/>
        </w:rPr>
        <w:t xml:space="preserve"> Project</w:t>
      </w:r>
      <w:r>
        <w:rPr>
          <w:i/>
          <w:sz w:val="24"/>
          <w:szCs w:val="24"/>
        </w:rPr>
        <w:t xml:space="preserve">: A </w:t>
      </w:r>
      <w:r w:rsidRPr="00675F9A">
        <w:rPr>
          <w:i/>
          <w:sz w:val="24"/>
          <w:szCs w:val="24"/>
        </w:rPr>
        <w:t xml:space="preserve">farmer-led </w:t>
      </w:r>
      <w:r>
        <w:rPr>
          <w:i/>
          <w:sz w:val="24"/>
          <w:szCs w:val="24"/>
        </w:rPr>
        <w:t xml:space="preserve">approach to sustainable land management in the </w:t>
      </w:r>
      <w:r w:rsidRPr="00675F9A">
        <w:rPr>
          <w:i/>
          <w:sz w:val="24"/>
          <w:szCs w:val="24"/>
        </w:rPr>
        <w:t>uplands</w:t>
      </w:r>
      <w:r>
        <w:rPr>
          <w:sz w:val="24"/>
          <w:szCs w:val="24"/>
        </w:rPr>
        <w:t xml:space="preserve">. The </w:t>
      </w:r>
      <w:r w:rsidRPr="00675F9A">
        <w:rPr>
          <w:sz w:val="24"/>
          <w:szCs w:val="24"/>
        </w:rPr>
        <w:t>Woodland Trust. [Online.] (</w:t>
      </w:r>
      <w:hyperlink r:id="rId65" w:history="1">
        <w:r w:rsidRPr="00675F9A">
          <w:rPr>
            <w:rStyle w:val="Hyperlink"/>
            <w:sz w:val="24"/>
            <w:szCs w:val="24"/>
          </w:rPr>
          <w:t>https://www.woodlandtrust.org.uk/publications/2013/02/pontbren-project-sustainable-uplands-management/</w:t>
        </w:r>
      </w:hyperlink>
      <w:r w:rsidR="00976078">
        <w:rPr>
          <w:rStyle w:val="Hyperlink"/>
          <w:sz w:val="24"/>
          <w:szCs w:val="24"/>
        </w:rPr>
        <w:t>.</w:t>
      </w:r>
    </w:p>
    <w:p w14:paraId="3CAD3CC4" w14:textId="0691D9CC" w:rsidR="00976078" w:rsidRDefault="006C2742" w:rsidP="006C2742">
      <w:pPr>
        <w:pStyle w:val="EndnoteText"/>
        <w:spacing w:line="276" w:lineRule="auto"/>
        <w:ind w:left="284" w:right="-188" w:hanging="284"/>
        <w:rPr>
          <w:sz w:val="24"/>
          <w:szCs w:val="24"/>
        </w:rPr>
      </w:pPr>
      <w:r w:rsidRPr="00976078">
        <w:rPr>
          <w:sz w:val="24"/>
          <w:szCs w:val="24"/>
        </w:rPr>
        <w:t>Zambrano-Monserrate</w:t>
      </w:r>
      <w:r>
        <w:rPr>
          <w:sz w:val="24"/>
          <w:szCs w:val="24"/>
        </w:rPr>
        <w:t xml:space="preserve">, M.A., </w:t>
      </w:r>
      <w:proofErr w:type="spellStart"/>
      <w:r w:rsidRPr="00976078">
        <w:rPr>
          <w:sz w:val="24"/>
          <w:szCs w:val="24"/>
        </w:rPr>
        <w:t>Ruano</w:t>
      </w:r>
      <w:proofErr w:type="spellEnd"/>
      <w:r>
        <w:rPr>
          <w:sz w:val="24"/>
          <w:szCs w:val="24"/>
        </w:rPr>
        <w:t xml:space="preserve">, M.A. and </w:t>
      </w:r>
      <w:r w:rsidRPr="00976078">
        <w:rPr>
          <w:sz w:val="24"/>
          <w:szCs w:val="24"/>
        </w:rPr>
        <w:t>Sanchez-Alcalde</w:t>
      </w:r>
      <w:r>
        <w:rPr>
          <w:sz w:val="24"/>
          <w:szCs w:val="24"/>
        </w:rPr>
        <w:t xml:space="preserve">, L. (2020). </w:t>
      </w:r>
      <w:r w:rsidRPr="00976078">
        <w:rPr>
          <w:sz w:val="24"/>
          <w:szCs w:val="24"/>
        </w:rPr>
        <w:t>Indirect effects of COVID-19 on the environment</w:t>
      </w:r>
      <w:r>
        <w:rPr>
          <w:sz w:val="24"/>
          <w:szCs w:val="24"/>
        </w:rPr>
        <w:t xml:space="preserve">. </w:t>
      </w:r>
      <w:r w:rsidRPr="006C2742">
        <w:rPr>
          <w:i/>
          <w:sz w:val="24"/>
          <w:szCs w:val="24"/>
        </w:rPr>
        <w:t>S</w:t>
      </w:r>
      <w:r w:rsidR="00976078" w:rsidRPr="006C2742">
        <w:rPr>
          <w:i/>
          <w:sz w:val="24"/>
          <w:szCs w:val="24"/>
        </w:rPr>
        <w:t>cience of The Total Environment</w:t>
      </w:r>
      <w:r>
        <w:rPr>
          <w:sz w:val="24"/>
          <w:szCs w:val="24"/>
        </w:rPr>
        <w:t xml:space="preserve">, 728, </w:t>
      </w:r>
      <w:r w:rsidR="00976078" w:rsidRPr="00976078">
        <w:rPr>
          <w:sz w:val="24"/>
          <w:szCs w:val="24"/>
        </w:rPr>
        <w:t>138813</w:t>
      </w:r>
      <w:r>
        <w:rPr>
          <w:sz w:val="24"/>
          <w:szCs w:val="24"/>
        </w:rPr>
        <w:t xml:space="preserve">. DOI: </w:t>
      </w:r>
      <w:hyperlink r:id="rId66" w:history="1">
        <w:r w:rsidRPr="00DD462C">
          <w:rPr>
            <w:rStyle w:val="Hyperlink"/>
            <w:sz w:val="24"/>
            <w:szCs w:val="24"/>
          </w:rPr>
          <w:t>https://doi.org/10.1016/j.scitotenv.2020.138813</w:t>
        </w:r>
      </w:hyperlink>
      <w:r>
        <w:rPr>
          <w:sz w:val="24"/>
          <w:szCs w:val="24"/>
        </w:rPr>
        <w:t xml:space="preserve">. </w:t>
      </w:r>
    </w:p>
    <w:p w14:paraId="0F6D0903" w14:textId="05E84BEA" w:rsidR="00E0231D" w:rsidRPr="00E0231D" w:rsidRDefault="00E0231D" w:rsidP="00E0231D">
      <w:pPr>
        <w:pStyle w:val="EndnoteText"/>
        <w:spacing w:line="276" w:lineRule="auto"/>
        <w:ind w:left="284" w:right="-188" w:hanging="284"/>
        <w:rPr>
          <w:sz w:val="24"/>
          <w:szCs w:val="24"/>
        </w:rPr>
      </w:pPr>
      <w:proofErr w:type="spellStart"/>
      <w:r w:rsidRPr="00E0231D">
        <w:rPr>
          <w:sz w:val="24"/>
          <w:szCs w:val="24"/>
        </w:rPr>
        <w:t>Zogjani</w:t>
      </w:r>
      <w:proofErr w:type="spellEnd"/>
      <w:r w:rsidRPr="00E0231D">
        <w:rPr>
          <w:sz w:val="24"/>
          <w:szCs w:val="24"/>
        </w:rPr>
        <w:t xml:space="preserve">, </w:t>
      </w:r>
      <w:r>
        <w:rPr>
          <w:sz w:val="24"/>
          <w:szCs w:val="24"/>
        </w:rPr>
        <w:t xml:space="preserve">J. and </w:t>
      </w:r>
      <w:proofErr w:type="spellStart"/>
      <w:r w:rsidRPr="00E0231D">
        <w:rPr>
          <w:sz w:val="24"/>
          <w:szCs w:val="24"/>
        </w:rPr>
        <w:t>Raçi</w:t>
      </w:r>
      <w:proofErr w:type="spellEnd"/>
      <w:r w:rsidRPr="00E0231D">
        <w:rPr>
          <w:sz w:val="24"/>
          <w:szCs w:val="24"/>
        </w:rPr>
        <w:t xml:space="preserve">, </w:t>
      </w:r>
      <w:r>
        <w:rPr>
          <w:sz w:val="24"/>
          <w:szCs w:val="24"/>
        </w:rPr>
        <w:t xml:space="preserve">S. (2015). </w:t>
      </w:r>
      <w:r w:rsidRPr="00E0231D">
        <w:rPr>
          <w:sz w:val="24"/>
          <w:szCs w:val="24"/>
        </w:rPr>
        <w:t>Critically analyse the role of senior managers as barriers to</w:t>
      </w:r>
      <w:r>
        <w:rPr>
          <w:sz w:val="24"/>
          <w:szCs w:val="24"/>
        </w:rPr>
        <w:t xml:space="preserve"> </w:t>
      </w:r>
      <w:r w:rsidRPr="00E0231D">
        <w:rPr>
          <w:sz w:val="24"/>
          <w:szCs w:val="24"/>
        </w:rPr>
        <w:t>organizational change and</w:t>
      </w:r>
      <w:r>
        <w:rPr>
          <w:sz w:val="24"/>
          <w:szCs w:val="24"/>
        </w:rPr>
        <w:t xml:space="preserve"> </w:t>
      </w:r>
      <w:r w:rsidRPr="00E0231D">
        <w:rPr>
          <w:sz w:val="24"/>
          <w:szCs w:val="24"/>
        </w:rPr>
        <w:t>explore how this can be addressed</w:t>
      </w:r>
      <w:r>
        <w:rPr>
          <w:sz w:val="24"/>
          <w:szCs w:val="24"/>
        </w:rPr>
        <w:t xml:space="preserve">. </w:t>
      </w:r>
      <w:r w:rsidRPr="00E0231D">
        <w:rPr>
          <w:i/>
          <w:sz w:val="24"/>
          <w:szCs w:val="24"/>
        </w:rPr>
        <w:t>European Journal of Economics and Business Studies</w:t>
      </w:r>
      <w:r>
        <w:rPr>
          <w:sz w:val="24"/>
          <w:szCs w:val="24"/>
        </w:rPr>
        <w:t xml:space="preserve">, 1(2), </w:t>
      </w:r>
      <w:r w:rsidRPr="00E0231D">
        <w:rPr>
          <w:sz w:val="24"/>
          <w:szCs w:val="24"/>
        </w:rPr>
        <w:t>121</w:t>
      </w:r>
      <w:r>
        <w:rPr>
          <w:sz w:val="24"/>
          <w:szCs w:val="24"/>
        </w:rPr>
        <w:t xml:space="preserve">. </w:t>
      </w:r>
      <w:r w:rsidRPr="00E0231D">
        <w:rPr>
          <w:sz w:val="24"/>
          <w:szCs w:val="24"/>
        </w:rPr>
        <w:t>ISSN 2411-4073</w:t>
      </w:r>
      <w:r>
        <w:rPr>
          <w:sz w:val="24"/>
          <w:szCs w:val="24"/>
        </w:rPr>
        <w:t>.</w:t>
      </w:r>
    </w:p>
    <w:p w14:paraId="245D19C3" w14:textId="0BE7BB64" w:rsidR="00E0231D" w:rsidRPr="00675F9A" w:rsidRDefault="00E0231D" w:rsidP="00E0231D">
      <w:pPr>
        <w:pStyle w:val="EndnoteText"/>
        <w:spacing w:line="276" w:lineRule="auto"/>
        <w:ind w:left="284" w:right="-188" w:hanging="284"/>
        <w:rPr>
          <w:sz w:val="24"/>
          <w:szCs w:val="24"/>
        </w:rPr>
      </w:pPr>
    </w:p>
    <w:p w14:paraId="378FF3C2" w14:textId="6F1E4FE4" w:rsidR="00452484" w:rsidRDefault="00452484" w:rsidP="00362F36">
      <w:pPr>
        <w:pStyle w:val="EndnoteText"/>
        <w:rPr>
          <w:sz w:val="24"/>
          <w:szCs w:val="24"/>
        </w:rPr>
      </w:pPr>
    </w:p>
    <w:p w14:paraId="78EBC227" w14:textId="77777777" w:rsidR="00452484" w:rsidRDefault="00452484">
      <w:pPr>
        <w:rPr>
          <w:sz w:val="24"/>
          <w:szCs w:val="24"/>
        </w:rPr>
      </w:pPr>
      <w:r>
        <w:rPr>
          <w:sz w:val="24"/>
          <w:szCs w:val="24"/>
        </w:rPr>
        <w:br w:type="page"/>
      </w:r>
    </w:p>
    <w:p w14:paraId="6D83AA04" w14:textId="77777777" w:rsidR="00002BC1" w:rsidRPr="00675F9A" w:rsidRDefault="00002BC1" w:rsidP="00362F36">
      <w:pPr>
        <w:pStyle w:val="EndnoteText"/>
        <w:rPr>
          <w:sz w:val="24"/>
          <w:szCs w:val="24"/>
        </w:rPr>
      </w:pPr>
    </w:p>
    <w:p w14:paraId="624F8115" w14:textId="443B6902" w:rsidR="00F57C3D" w:rsidRDefault="00F57C3D" w:rsidP="006A16DB">
      <w:pPr>
        <w:jc w:val="center"/>
        <w:rPr>
          <w:b/>
        </w:rPr>
      </w:pPr>
      <w:r>
        <w:rPr>
          <w:b/>
        </w:rPr>
        <w:t xml:space="preserve">Table 1. Key Themes and Claims </w:t>
      </w:r>
    </w:p>
    <w:tbl>
      <w:tblPr>
        <w:tblStyle w:val="TableGrid"/>
        <w:tblW w:w="9493" w:type="dxa"/>
        <w:tblLook w:val="04A0" w:firstRow="1" w:lastRow="0" w:firstColumn="1" w:lastColumn="0" w:noHBand="0" w:noVBand="1"/>
      </w:tblPr>
      <w:tblGrid>
        <w:gridCol w:w="993"/>
        <w:gridCol w:w="8500"/>
      </w:tblGrid>
      <w:tr w:rsidR="00F57C3D" w14:paraId="341922D9" w14:textId="77777777" w:rsidTr="007F19A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14:paraId="5F2DA1B1" w14:textId="77777777" w:rsidR="00F57C3D" w:rsidRDefault="00F57C3D">
            <w:pPr>
              <w:spacing w:line="22" w:lineRule="atLeast"/>
              <w:ind w:left="113" w:right="113"/>
              <w:jc w:val="center"/>
              <w:rPr>
                <w:rFonts w:cstheme="minorHAnsi"/>
                <w:sz w:val="32"/>
                <w:szCs w:val="32"/>
              </w:rPr>
            </w:pPr>
            <w:r>
              <w:rPr>
                <w:rFonts w:cstheme="minorHAnsi"/>
                <w:sz w:val="32"/>
                <w:szCs w:val="32"/>
              </w:rPr>
              <w:t>Social</w:t>
            </w:r>
          </w:p>
        </w:tc>
        <w:tc>
          <w:tcPr>
            <w:tcW w:w="8500" w:type="dxa"/>
            <w:tcBorders>
              <w:top w:val="single" w:sz="4" w:space="0" w:color="auto"/>
              <w:left w:val="single" w:sz="4" w:space="0" w:color="auto"/>
              <w:bottom w:val="single" w:sz="4" w:space="0" w:color="auto"/>
              <w:right w:val="single" w:sz="4" w:space="0" w:color="auto"/>
            </w:tcBorders>
          </w:tcPr>
          <w:p w14:paraId="74A0DE09" w14:textId="0865FD0A" w:rsidR="00F57C3D" w:rsidRDefault="00F57C3D" w:rsidP="00BF1084">
            <w:pPr>
              <w:pStyle w:val="ListParagraph"/>
              <w:numPr>
                <w:ilvl w:val="0"/>
                <w:numId w:val="2"/>
              </w:numPr>
              <w:spacing w:line="22" w:lineRule="atLeast"/>
              <w:ind w:left="340" w:hanging="340"/>
              <w:rPr>
                <w:rFonts w:cstheme="minorHAnsi"/>
                <w:sz w:val="20"/>
              </w:rPr>
            </w:pPr>
            <w:r>
              <w:rPr>
                <w:rFonts w:cstheme="minorHAnsi"/>
                <w:sz w:val="20"/>
              </w:rPr>
              <w:t>Harness the power of narrative to transform information into meaning:</w:t>
            </w:r>
          </w:p>
          <w:p w14:paraId="5A72FE32" w14:textId="77777777" w:rsidR="00F57C3D" w:rsidRDefault="00F57C3D" w:rsidP="00BF1084">
            <w:pPr>
              <w:pStyle w:val="ListParagraph"/>
              <w:numPr>
                <w:ilvl w:val="0"/>
                <w:numId w:val="3"/>
              </w:numPr>
              <w:spacing w:line="22" w:lineRule="atLeast"/>
              <w:rPr>
                <w:rFonts w:cstheme="minorHAnsi"/>
                <w:sz w:val="20"/>
              </w:rPr>
            </w:pPr>
            <w:r>
              <w:rPr>
                <w:rFonts w:cstheme="minorHAnsi"/>
                <w:sz w:val="20"/>
              </w:rPr>
              <w:t>Stories that link with norms for different stakeholder groups have power to inform and motivate, as do allegories and personal testimonies</w:t>
            </w:r>
          </w:p>
          <w:p w14:paraId="088EB8FB" w14:textId="0ED018FF" w:rsidR="00F57C3D" w:rsidRDefault="00F57C3D" w:rsidP="00BF1084">
            <w:pPr>
              <w:pStyle w:val="ListParagraph"/>
              <w:numPr>
                <w:ilvl w:val="0"/>
                <w:numId w:val="3"/>
              </w:numPr>
              <w:spacing w:line="22" w:lineRule="atLeast"/>
              <w:rPr>
                <w:rFonts w:cstheme="minorHAnsi"/>
                <w:sz w:val="20"/>
              </w:rPr>
            </w:pPr>
            <w:r>
              <w:rPr>
                <w:rFonts w:cstheme="minorHAnsi"/>
                <w:sz w:val="20"/>
              </w:rPr>
              <w:t>Scientists and others can develop succinct and simple communications tools to narrate key issues including recognition of</w:t>
            </w:r>
            <w:r w:rsidR="00452484">
              <w:rPr>
                <w:rFonts w:cstheme="minorHAnsi"/>
                <w:sz w:val="20"/>
              </w:rPr>
              <w:t xml:space="preserve"> </w:t>
            </w:r>
            <w:r>
              <w:rPr>
                <w:rFonts w:cstheme="minorHAnsi"/>
                <w:sz w:val="20"/>
              </w:rPr>
              <w:t xml:space="preserve">complexity and uncertainty </w:t>
            </w:r>
          </w:p>
          <w:p w14:paraId="665B2F7A" w14:textId="3EF7DA5F" w:rsidR="00F57C3D" w:rsidRDefault="00F57C3D" w:rsidP="00BF1084">
            <w:pPr>
              <w:pStyle w:val="ListParagraph"/>
              <w:numPr>
                <w:ilvl w:val="0"/>
                <w:numId w:val="3"/>
              </w:numPr>
              <w:spacing w:line="22" w:lineRule="atLeast"/>
              <w:rPr>
                <w:rFonts w:cstheme="minorHAnsi"/>
                <w:sz w:val="20"/>
              </w:rPr>
            </w:pPr>
            <w:r>
              <w:rPr>
                <w:rFonts w:cstheme="minorHAnsi"/>
                <w:sz w:val="20"/>
              </w:rPr>
              <w:t xml:space="preserve">Segment your narrative to different </w:t>
            </w:r>
            <w:proofErr w:type="spellStart"/>
            <w:r>
              <w:rPr>
                <w:rFonts w:cstheme="minorHAnsi"/>
                <w:sz w:val="20"/>
              </w:rPr>
              <w:t>demographies</w:t>
            </w:r>
            <w:proofErr w:type="spellEnd"/>
            <w:r>
              <w:rPr>
                <w:rFonts w:cstheme="minorHAnsi"/>
                <w:sz w:val="20"/>
              </w:rPr>
              <w:t>; engaging with youth is important, using appropriate, resonant language and motifs</w:t>
            </w:r>
          </w:p>
          <w:p w14:paraId="77CFDDE4" w14:textId="03F04262" w:rsidR="008A3676" w:rsidRDefault="008A3676" w:rsidP="00BF1084">
            <w:pPr>
              <w:pStyle w:val="ListParagraph"/>
              <w:numPr>
                <w:ilvl w:val="0"/>
                <w:numId w:val="2"/>
              </w:numPr>
              <w:spacing w:line="22" w:lineRule="atLeast"/>
              <w:ind w:left="340" w:hanging="340"/>
              <w:rPr>
                <w:rFonts w:cstheme="minorHAnsi"/>
                <w:sz w:val="20"/>
              </w:rPr>
            </w:pPr>
            <w:r>
              <w:rPr>
                <w:rFonts w:cstheme="minorHAnsi"/>
                <w:sz w:val="20"/>
              </w:rPr>
              <w:t xml:space="preserve">Prioritise </w:t>
            </w:r>
            <w:r w:rsidRPr="008A3676">
              <w:rPr>
                <w:rFonts w:cstheme="minorHAnsi"/>
                <w:sz w:val="20"/>
              </w:rPr>
              <w:t>equality and inclusivity</w:t>
            </w:r>
            <w:r>
              <w:rPr>
                <w:rFonts w:cstheme="minorHAnsi"/>
                <w:sz w:val="20"/>
              </w:rPr>
              <w:t xml:space="preserve"> are outcomes of all decision-making:</w:t>
            </w:r>
          </w:p>
          <w:p w14:paraId="332F50F1" w14:textId="2DA8B44B" w:rsidR="008A3676" w:rsidRDefault="008A3676" w:rsidP="008A3676">
            <w:pPr>
              <w:pStyle w:val="ListParagraph"/>
              <w:numPr>
                <w:ilvl w:val="1"/>
                <w:numId w:val="2"/>
              </w:numPr>
              <w:spacing w:line="22" w:lineRule="atLeast"/>
              <w:ind w:left="734" w:hanging="425"/>
              <w:rPr>
                <w:rFonts w:cstheme="minorHAnsi"/>
                <w:sz w:val="20"/>
              </w:rPr>
            </w:pPr>
            <w:r>
              <w:rPr>
                <w:rFonts w:cstheme="minorHAnsi"/>
                <w:sz w:val="20"/>
              </w:rPr>
              <w:t xml:space="preserve">Every ecosystem </w:t>
            </w:r>
            <w:proofErr w:type="gramStart"/>
            <w:r>
              <w:rPr>
                <w:rFonts w:cstheme="minorHAnsi"/>
                <w:sz w:val="20"/>
              </w:rPr>
              <w:t>services</w:t>
            </w:r>
            <w:proofErr w:type="gramEnd"/>
            <w:r>
              <w:rPr>
                <w:rFonts w:cstheme="minorHAnsi"/>
                <w:sz w:val="20"/>
              </w:rPr>
              <w:t xml:space="preserve"> encodes benefits or disbenefits to different sectors of society – within societies, internationally, and generationally – such that inclusivity in debate and solutions identification and equity of outcomes </w:t>
            </w:r>
            <w:r w:rsidR="005F3166">
              <w:rPr>
                <w:rFonts w:cstheme="minorHAnsi"/>
                <w:sz w:val="20"/>
              </w:rPr>
              <w:t>are fundamental to all policy, use and management decisions</w:t>
            </w:r>
          </w:p>
          <w:p w14:paraId="5339414C" w14:textId="6E100655" w:rsidR="00F57C3D" w:rsidRDefault="00F57C3D" w:rsidP="00BF1084">
            <w:pPr>
              <w:pStyle w:val="ListParagraph"/>
              <w:numPr>
                <w:ilvl w:val="0"/>
                <w:numId w:val="2"/>
              </w:numPr>
              <w:spacing w:line="22" w:lineRule="atLeast"/>
              <w:ind w:left="340" w:hanging="340"/>
              <w:rPr>
                <w:rFonts w:cstheme="minorHAnsi"/>
                <w:sz w:val="20"/>
              </w:rPr>
            </w:pPr>
            <w:r>
              <w:rPr>
                <w:rFonts w:cstheme="minorHAnsi"/>
                <w:sz w:val="20"/>
              </w:rPr>
              <w:t>Emphasise a sense of urgency and alert to the opportunities presented by threats and regime changes:</w:t>
            </w:r>
          </w:p>
          <w:p w14:paraId="568AE29D" w14:textId="77777777" w:rsidR="00F57C3D" w:rsidRDefault="00F57C3D" w:rsidP="00BF1084">
            <w:pPr>
              <w:pStyle w:val="ListParagraph"/>
              <w:numPr>
                <w:ilvl w:val="1"/>
                <w:numId w:val="2"/>
              </w:numPr>
              <w:spacing w:line="22" w:lineRule="atLeast"/>
              <w:ind w:left="680" w:hanging="340"/>
              <w:rPr>
                <w:rFonts w:cstheme="minorHAnsi"/>
                <w:sz w:val="20"/>
              </w:rPr>
            </w:pPr>
            <w:r>
              <w:rPr>
                <w:rFonts w:cstheme="minorHAnsi"/>
                <w:sz w:val="20"/>
              </w:rPr>
              <w:t>Emergent ‘disasters’ need to be seized as opportunities to broker wider systemic awareness and change (severe flooding, Australian bush fires, plastic pollution, etc.)</w:t>
            </w:r>
          </w:p>
          <w:p w14:paraId="2924915B" w14:textId="77777777" w:rsidR="00F57C3D" w:rsidRDefault="00F57C3D" w:rsidP="00BF1084">
            <w:pPr>
              <w:pStyle w:val="ListParagraph"/>
              <w:numPr>
                <w:ilvl w:val="1"/>
                <w:numId w:val="2"/>
              </w:numPr>
              <w:spacing w:line="22" w:lineRule="atLeast"/>
              <w:ind w:left="680" w:hanging="340"/>
              <w:rPr>
                <w:rFonts w:cstheme="minorHAnsi"/>
                <w:sz w:val="20"/>
              </w:rPr>
            </w:pPr>
            <w:r>
              <w:rPr>
                <w:rFonts w:cstheme="minorHAnsi"/>
                <w:sz w:val="20"/>
              </w:rPr>
              <w:t xml:space="preserve"> ‘Moments’ of heightened public awareness (e.g. extinction rebellion demonstrations) create opportunities for rapid responses, especially where supported by evidence of benefits (e.g. plastic bags, ‘green’ Brexit, climate and nature ‘emergencies’)</w:t>
            </w:r>
          </w:p>
          <w:p w14:paraId="7AE90E3F" w14:textId="0A7D4C99" w:rsidR="00F57C3D" w:rsidRDefault="00F57C3D" w:rsidP="00BF1084">
            <w:pPr>
              <w:pStyle w:val="ListParagraph"/>
              <w:numPr>
                <w:ilvl w:val="0"/>
                <w:numId w:val="2"/>
              </w:numPr>
              <w:spacing w:line="22" w:lineRule="atLeast"/>
              <w:ind w:left="340" w:hanging="340"/>
              <w:rPr>
                <w:rFonts w:cstheme="minorHAnsi"/>
                <w:sz w:val="20"/>
              </w:rPr>
            </w:pPr>
            <w:r>
              <w:rPr>
                <w:rFonts w:cstheme="minorHAnsi"/>
                <w:sz w:val="20"/>
              </w:rPr>
              <w:t>Where possible, depoliticise</w:t>
            </w:r>
            <w:r w:rsidR="008A3676">
              <w:rPr>
                <w:rFonts w:cstheme="minorHAnsi"/>
                <w:sz w:val="20"/>
              </w:rPr>
              <w:t>:</w:t>
            </w:r>
          </w:p>
          <w:p w14:paraId="59D47DF2" w14:textId="77777777" w:rsidR="00F57C3D" w:rsidRDefault="00F57C3D" w:rsidP="00BF1084">
            <w:pPr>
              <w:pStyle w:val="ListParagraph"/>
              <w:numPr>
                <w:ilvl w:val="0"/>
                <w:numId w:val="4"/>
              </w:numPr>
              <w:spacing w:line="22" w:lineRule="atLeast"/>
              <w:rPr>
                <w:rFonts w:cstheme="minorHAnsi"/>
                <w:sz w:val="20"/>
              </w:rPr>
            </w:pPr>
            <w:r>
              <w:rPr>
                <w:rFonts w:cstheme="minorHAnsi"/>
                <w:sz w:val="20"/>
              </w:rPr>
              <w:t>Politicisation of issues can lead to ideological polarisation, including potentially rejecting increasingly robust science</w:t>
            </w:r>
          </w:p>
          <w:p w14:paraId="47F09EE1" w14:textId="77777777" w:rsidR="00F57C3D" w:rsidRDefault="00F57C3D" w:rsidP="00BF1084">
            <w:pPr>
              <w:pStyle w:val="ListParagraph"/>
              <w:numPr>
                <w:ilvl w:val="1"/>
                <w:numId w:val="2"/>
              </w:numPr>
              <w:spacing w:line="22" w:lineRule="atLeast"/>
              <w:ind w:left="680" w:hanging="340"/>
              <w:rPr>
                <w:rFonts w:cstheme="minorHAnsi"/>
                <w:sz w:val="20"/>
              </w:rPr>
            </w:pPr>
            <w:r>
              <w:rPr>
                <w:rFonts w:cstheme="minorHAnsi"/>
                <w:sz w:val="20"/>
              </w:rPr>
              <w:t>Cross-sectoral coalitions create momentum for coherent political action</w:t>
            </w:r>
          </w:p>
          <w:p w14:paraId="750C0224" w14:textId="77777777" w:rsidR="00F57C3D" w:rsidRDefault="00F57C3D" w:rsidP="00BF1084">
            <w:pPr>
              <w:pStyle w:val="ListParagraph"/>
              <w:numPr>
                <w:ilvl w:val="1"/>
                <w:numId w:val="2"/>
              </w:numPr>
              <w:spacing w:line="22" w:lineRule="atLeast"/>
              <w:ind w:left="680" w:hanging="340"/>
              <w:rPr>
                <w:rFonts w:cstheme="minorHAnsi"/>
                <w:sz w:val="20"/>
              </w:rPr>
            </w:pPr>
            <w:r>
              <w:rPr>
                <w:rFonts w:cstheme="minorHAnsi"/>
                <w:sz w:val="20"/>
              </w:rPr>
              <w:t>Official focal-points create opportunities to harmonise messages and meanings and communicate in less partisan ways (e.g. UN 2021-30 Decade of Ecosystem Restoration)</w:t>
            </w:r>
          </w:p>
          <w:p w14:paraId="68BB0833" w14:textId="61CCD7BD" w:rsidR="00F57C3D" w:rsidRDefault="00F57C3D" w:rsidP="00BF1084">
            <w:pPr>
              <w:pStyle w:val="ListParagraph"/>
              <w:numPr>
                <w:ilvl w:val="0"/>
                <w:numId w:val="2"/>
              </w:numPr>
              <w:spacing w:line="22" w:lineRule="atLeast"/>
              <w:ind w:left="340" w:hanging="340"/>
              <w:rPr>
                <w:rFonts w:cstheme="minorHAnsi"/>
                <w:sz w:val="20"/>
              </w:rPr>
            </w:pPr>
            <w:r>
              <w:rPr>
                <w:rFonts w:cstheme="minorHAnsi"/>
                <w:sz w:val="20"/>
              </w:rPr>
              <w:t>Re-imagine the rebuilding of post-industrial cities and city-regions</w:t>
            </w:r>
            <w:r w:rsidR="008A3676">
              <w:rPr>
                <w:rFonts w:cstheme="minorHAnsi"/>
                <w:sz w:val="20"/>
              </w:rPr>
              <w:t>:</w:t>
            </w:r>
          </w:p>
          <w:p w14:paraId="6A3686BC" w14:textId="71889FF0" w:rsidR="00F57C3D" w:rsidRDefault="00F57C3D" w:rsidP="00BF1084">
            <w:pPr>
              <w:pStyle w:val="ListParagraph"/>
              <w:numPr>
                <w:ilvl w:val="1"/>
                <w:numId w:val="2"/>
              </w:numPr>
              <w:spacing w:line="22" w:lineRule="atLeast"/>
              <w:ind w:left="680" w:hanging="340"/>
              <w:rPr>
                <w:rFonts w:cstheme="minorHAnsi"/>
                <w:sz w:val="20"/>
              </w:rPr>
            </w:pPr>
            <w:r>
              <w:rPr>
                <w:rFonts w:cstheme="minorHAnsi"/>
                <w:sz w:val="20"/>
              </w:rPr>
              <w:t>Rebuilding urban economies and city metabolisms need to be founded on new opportunities arising from smart technologies and ‘greener’ jobs and greater resource resilience (e.g., Adelaide, Welsh Government ‘Our Valleys, Our Future’ programme, India’s ‘Smart City’ programme, South Korean ‘fourth industrial revolution’, and US stimulus policies aimed at renewable energy (RE) technologies)</w:t>
            </w:r>
          </w:p>
          <w:p w14:paraId="41780308" w14:textId="4860923C" w:rsidR="00F57C3D" w:rsidRPr="007F19A6" w:rsidRDefault="00F57C3D" w:rsidP="00BF1084">
            <w:pPr>
              <w:pStyle w:val="ListParagraph"/>
              <w:numPr>
                <w:ilvl w:val="1"/>
                <w:numId w:val="2"/>
              </w:numPr>
              <w:spacing w:line="22" w:lineRule="atLeast"/>
              <w:ind w:left="680" w:hanging="340"/>
              <w:rPr>
                <w:rFonts w:cstheme="minorHAnsi"/>
                <w:sz w:val="20"/>
              </w:rPr>
            </w:pPr>
            <w:r>
              <w:rPr>
                <w:rFonts w:cstheme="minorHAnsi"/>
                <w:sz w:val="20"/>
              </w:rPr>
              <w:t>Re-imagining the environmental basis of rural-regional economies (e.g. Wiltshire Wildlife Community Energy scheme in the UK, the ‘Living Landscapes’ approach, and the Ecosystem Services for Poverty Alleviation (ESPA) agenda)</w:t>
            </w:r>
          </w:p>
        </w:tc>
      </w:tr>
      <w:tr w:rsidR="00F57C3D" w14:paraId="53CBF212" w14:textId="77777777" w:rsidTr="007F19A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14:paraId="435AA99C" w14:textId="77777777" w:rsidR="00F57C3D" w:rsidRDefault="00F57C3D">
            <w:pPr>
              <w:spacing w:line="22" w:lineRule="atLeast"/>
              <w:ind w:left="113" w:right="113"/>
              <w:jc w:val="center"/>
              <w:rPr>
                <w:rFonts w:cstheme="minorHAnsi"/>
                <w:sz w:val="32"/>
                <w:szCs w:val="32"/>
              </w:rPr>
            </w:pPr>
            <w:r>
              <w:rPr>
                <w:rFonts w:cstheme="minorHAnsi"/>
                <w:sz w:val="32"/>
                <w:szCs w:val="32"/>
              </w:rPr>
              <w:t>Technological</w:t>
            </w:r>
          </w:p>
        </w:tc>
        <w:tc>
          <w:tcPr>
            <w:tcW w:w="8500" w:type="dxa"/>
            <w:tcBorders>
              <w:top w:val="single" w:sz="4" w:space="0" w:color="auto"/>
              <w:left w:val="single" w:sz="4" w:space="0" w:color="auto"/>
              <w:bottom w:val="single" w:sz="4" w:space="0" w:color="auto"/>
              <w:right w:val="single" w:sz="4" w:space="0" w:color="auto"/>
            </w:tcBorders>
            <w:hideMark/>
          </w:tcPr>
          <w:p w14:paraId="0829AA28" w14:textId="77777777" w:rsidR="00F57C3D" w:rsidRDefault="00F57C3D" w:rsidP="00BF1084">
            <w:pPr>
              <w:pStyle w:val="ListParagraph"/>
              <w:widowControl w:val="0"/>
              <w:numPr>
                <w:ilvl w:val="0"/>
                <w:numId w:val="2"/>
              </w:numPr>
              <w:spacing w:line="22" w:lineRule="atLeast"/>
              <w:ind w:left="314" w:hanging="283"/>
              <w:rPr>
                <w:rFonts w:cstheme="minorHAnsi"/>
                <w:sz w:val="20"/>
                <w:szCs w:val="20"/>
              </w:rPr>
            </w:pPr>
            <w:r>
              <w:rPr>
                <w:rFonts w:cstheme="minorHAnsi"/>
                <w:sz w:val="20"/>
                <w:szCs w:val="20"/>
              </w:rPr>
              <w:t>Foster the development of both novel and traditional technologies</w:t>
            </w:r>
          </w:p>
          <w:p w14:paraId="417163E6" w14:textId="77777777" w:rsidR="00F57C3D" w:rsidRDefault="00F57C3D" w:rsidP="00BF1084">
            <w:pPr>
              <w:pStyle w:val="ListParagraph"/>
              <w:widowControl w:val="0"/>
              <w:numPr>
                <w:ilvl w:val="1"/>
                <w:numId w:val="2"/>
              </w:numPr>
              <w:spacing w:line="22" w:lineRule="atLeast"/>
              <w:ind w:left="598" w:hanging="284"/>
              <w:rPr>
                <w:sz w:val="20"/>
                <w:szCs w:val="20"/>
              </w:rPr>
            </w:pPr>
            <w:r>
              <w:rPr>
                <w:sz w:val="20"/>
                <w:szCs w:val="20"/>
              </w:rPr>
              <w:t xml:space="preserve">Traditional ecosystem-based wisdoms are relevant to modern problems, as much as advanced technologies have roles to play </w:t>
            </w:r>
          </w:p>
          <w:p w14:paraId="36123E34" w14:textId="77777777" w:rsidR="00F57C3D" w:rsidRDefault="00F57C3D" w:rsidP="00BF1084">
            <w:pPr>
              <w:pStyle w:val="ListParagraph"/>
              <w:widowControl w:val="0"/>
              <w:numPr>
                <w:ilvl w:val="1"/>
                <w:numId w:val="2"/>
              </w:numPr>
              <w:spacing w:line="22" w:lineRule="atLeast"/>
              <w:ind w:left="598" w:hanging="284"/>
              <w:rPr>
                <w:sz w:val="20"/>
                <w:szCs w:val="20"/>
              </w:rPr>
            </w:pPr>
            <w:r>
              <w:rPr>
                <w:rFonts w:cstheme="minorHAnsi"/>
                <w:sz w:val="20"/>
                <w:szCs w:val="20"/>
              </w:rPr>
              <w:t xml:space="preserve">Technological innovation and targeted investment can play a significant role in advancing greater human value per unit ecosystem impact (as for example </w:t>
            </w:r>
            <w:r>
              <w:rPr>
                <w:sz w:val="20"/>
                <w:szCs w:val="20"/>
              </w:rPr>
              <w:t>Germany’s ‘</w:t>
            </w:r>
            <w:proofErr w:type="spellStart"/>
            <w:r>
              <w:rPr>
                <w:sz w:val="20"/>
                <w:szCs w:val="20"/>
              </w:rPr>
              <w:t>Energiewende</w:t>
            </w:r>
            <w:proofErr w:type="spellEnd"/>
            <w:r>
              <w:rPr>
                <w:sz w:val="20"/>
                <w:szCs w:val="20"/>
              </w:rPr>
              <w:t>’)</w:t>
            </w:r>
          </w:p>
          <w:p w14:paraId="74E92DF3" w14:textId="77777777" w:rsidR="00F57C3D" w:rsidRDefault="00F57C3D" w:rsidP="00BF1084">
            <w:pPr>
              <w:pStyle w:val="ListParagraph"/>
              <w:widowControl w:val="0"/>
              <w:numPr>
                <w:ilvl w:val="1"/>
                <w:numId w:val="2"/>
              </w:numPr>
              <w:spacing w:line="22" w:lineRule="atLeast"/>
              <w:ind w:left="598" w:hanging="284"/>
              <w:rPr>
                <w:sz w:val="20"/>
                <w:szCs w:val="20"/>
              </w:rPr>
            </w:pPr>
            <w:r>
              <w:rPr>
                <w:sz w:val="20"/>
                <w:szCs w:val="20"/>
              </w:rPr>
              <w:t>D</w:t>
            </w:r>
            <w:r>
              <w:rPr>
                <w:rFonts w:cstheme="minorHAnsi"/>
                <w:sz w:val="20"/>
                <w:szCs w:val="20"/>
              </w:rPr>
              <w:t xml:space="preserve">isinvestment from non-renewable technologies is also important (for example </w:t>
            </w:r>
            <w:r>
              <w:rPr>
                <w:sz w:val="20"/>
                <w:szCs w:val="20"/>
              </w:rPr>
              <w:t xml:space="preserve">declining investment in </w:t>
            </w:r>
            <w:r>
              <w:rPr>
                <w:rFonts w:cstheme="minorHAnsi"/>
                <w:sz w:val="20"/>
                <w:szCs w:val="20"/>
              </w:rPr>
              <w:t>o</w:t>
            </w:r>
            <w:r>
              <w:rPr>
                <w:sz w:val="20"/>
                <w:szCs w:val="20"/>
              </w:rPr>
              <w:t>il in favour of increasingly cost-advantageous renewable generation</w:t>
            </w:r>
            <w:r>
              <w:rPr>
                <w:rStyle w:val="EndnoteReference"/>
                <w:rFonts w:asciiTheme="minorHAnsi" w:hAnsiTheme="minorHAnsi"/>
                <w:sz w:val="20"/>
                <w:szCs w:val="20"/>
              </w:rPr>
              <w:endnoteReference w:id="1"/>
            </w:r>
            <w:r>
              <w:rPr>
                <w:sz w:val="20"/>
                <w:szCs w:val="20"/>
              </w:rPr>
              <w:t>)</w:t>
            </w:r>
          </w:p>
          <w:p w14:paraId="0057FC04" w14:textId="77777777" w:rsidR="00F57C3D" w:rsidRDefault="00F57C3D" w:rsidP="00BF1084">
            <w:pPr>
              <w:pStyle w:val="ListParagraph"/>
              <w:widowControl w:val="0"/>
              <w:numPr>
                <w:ilvl w:val="1"/>
                <w:numId w:val="2"/>
              </w:numPr>
              <w:spacing w:line="22" w:lineRule="atLeast"/>
              <w:ind w:left="598" w:hanging="284"/>
              <w:rPr>
                <w:sz w:val="20"/>
                <w:szCs w:val="20"/>
              </w:rPr>
            </w:pPr>
            <w:r>
              <w:rPr>
                <w:sz w:val="20"/>
                <w:szCs w:val="20"/>
              </w:rPr>
              <w:t>Increasing supply chain transparency accelerate novel technology uptake.</w:t>
            </w:r>
          </w:p>
          <w:p w14:paraId="3094B40C" w14:textId="1F7FAE8C" w:rsidR="00F57C3D" w:rsidRPr="00A50F08" w:rsidRDefault="00F57C3D" w:rsidP="00A50F08">
            <w:pPr>
              <w:widowControl w:val="0"/>
              <w:spacing w:line="22" w:lineRule="atLeast"/>
              <w:ind w:left="314"/>
              <w:rPr>
                <w:sz w:val="20"/>
                <w:szCs w:val="20"/>
              </w:rPr>
            </w:pPr>
          </w:p>
        </w:tc>
      </w:tr>
      <w:tr w:rsidR="00F57C3D" w14:paraId="17757648" w14:textId="77777777" w:rsidTr="007F19A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14:paraId="521281D7" w14:textId="77777777" w:rsidR="00F57C3D" w:rsidRDefault="00F57C3D">
            <w:pPr>
              <w:spacing w:line="22" w:lineRule="atLeast"/>
              <w:ind w:left="113" w:right="113"/>
              <w:jc w:val="center"/>
              <w:rPr>
                <w:rFonts w:cstheme="minorHAnsi"/>
                <w:sz w:val="32"/>
                <w:szCs w:val="32"/>
              </w:rPr>
            </w:pPr>
            <w:r>
              <w:rPr>
                <w:rFonts w:cstheme="minorHAnsi"/>
                <w:sz w:val="32"/>
                <w:szCs w:val="32"/>
              </w:rPr>
              <w:t>Environmental</w:t>
            </w:r>
          </w:p>
        </w:tc>
        <w:tc>
          <w:tcPr>
            <w:tcW w:w="8500" w:type="dxa"/>
            <w:tcBorders>
              <w:top w:val="single" w:sz="4" w:space="0" w:color="auto"/>
              <w:left w:val="single" w:sz="4" w:space="0" w:color="auto"/>
              <w:bottom w:val="single" w:sz="4" w:space="0" w:color="auto"/>
              <w:right w:val="single" w:sz="4" w:space="0" w:color="auto"/>
            </w:tcBorders>
            <w:hideMark/>
          </w:tcPr>
          <w:p w14:paraId="2B0C0520" w14:textId="77777777" w:rsidR="00F57C3D" w:rsidRDefault="00F57C3D" w:rsidP="00BF1084">
            <w:pPr>
              <w:pStyle w:val="ListParagraph"/>
              <w:widowControl w:val="0"/>
              <w:numPr>
                <w:ilvl w:val="0"/>
                <w:numId w:val="2"/>
              </w:numPr>
              <w:spacing w:line="22" w:lineRule="atLeast"/>
              <w:ind w:left="340" w:hanging="340"/>
              <w:rPr>
                <w:rFonts w:cstheme="minorHAnsi"/>
                <w:sz w:val="20"/>
                <w:szCs w:val="20"/>
              </w:rPr>
            </w:pPr>
            <w:r>
              <w:rPr>
                <w:rFonts w:cstheme="minorHAnsi"/>
                <w:sz w:val="20"/>
              </w:rPr>
              <w:t xml:space="preserve">What happens on the land has a major impact on wider flows of benefit to </w:t>
            </w:r>
            <w:r>
              <w:rPr>
                <w:rFonts w:cstheme="minorHAnsi"/>
                <w:sz w:val="20"/>
                <w:szCs w:val="20"/>
              </w:rPr>
              <w:t>society</w:t>
            </w:r>
          </w:p>
          <w:p w14:paraId="072D654F" w14:textId="77777777" w:rsidR="00F57C3D" w:rsidRDefault="00F57C3D" w:rsidP="00BF1084">
            <w:pPr>
              <w:pStyle w:val="ListParagraph"/>
              <w:widowControl w:val="0"/>
              <w:numPr>
                <w:ilvl w:val="3"/>
                <w:numId w:val="5"/>
              </w:numPr>
              <w:spacing w:line="22" w:lineRule="atLeast"/>
              <w:ind w:left="577" w:hanging="283"/>
              <w:rPr>
                <w:rFonts w:asciiTheme="minorHAnsi" w:hAnsiTheme="minorHAnsi" w:cstheme="minorHAnsi"/>
                <w:sz w:val="20"/>
                <w:szCs w:val="20"/>
              </w:rPr>
            </w:pPr>
            <w:r>
              <w:rPr>
                <w:rFonts w:cstheme="minorHAnsi"/>
                <w:sz w:val="20"/>
                <w:szCs w:val="20"/>
              </w:rPr>
              <w:t>I</w:t>
            </w:r>
            <w:r>
              <w:rPr>
                <w:rFonts w:asciiTheme="minorHAnsi" w:hAnsiTheme="minorHAnsi" w:cstheme="minorHAnsi"/>
                <w:sz w:val="20"/>
                <w:szCs w:val="20"/>
              </w:rPr>
              <w:t>t is vital to recognise the multifunctionality of land and landscapes, reversing current norms treating landscapes as ‘factory floors’</w:t>
            </w:r>
          </w:p>
          <w:p w14:paraId="73944284" w14:textId="77777777" w:rsidR="00F57C3D" w:rsidRDefault="00F57C3D" w:rsidP="00BF1084">
            <w:pPr>
              <w:pStyle w:val="ListParagraph"/>
              <w:widowControl w:val="0"/>
              <w:numPr>
                <w:ilvl w:val="3"/>
                <w:numId w:val="5"/>
              </w:numPr>
              <w:spacing w:line="22" w:lineRule="atLeast"/>
              <w:ind w:left="577" w:hanging="283"/>
              <w:rPr>
                <w:rStyle w:val="Emphasis"/>
                <w:i w:val="0"/>
                <w:iCs w:val="0"/>
              </w:rPr>
            </w:pPr>
            <w:r>
              <w:rPr>
                <w:rFonts w:cstheme="minorHAnsi"/>
                <w:sz w:val="20"/>
                <w:szCs w:val="20"/>
              </w:rPr>
              <w:t>Licensing farmers to undertake common standards of husbandry is essential</w:t>
            </w:r>
          </w:p>
          <w:p w14:paraId="19C8B259" w14:textId="77777777" w:rsidR="00F57C3D" w:rsidRDefault="00F57C3D" w:rsidP="00BF1084">
            <w:pPr>
              <w:pStyle w:val="ListParagraph"/>
              <w:widowControl w:val="0"/>
              <w:numPr>
                <w:ilvl w:val="3"/>
                <w:numId w:val="5"/>
              </w:numPr>
              <w:spacing w:line="22" w:lineRule="atLeast"/>
              <w:ind w:left="577" w:hanging="283"/>
            </w:pPr>
            <w:r>
              <w:rPr>
                <w:rStyle w:val="Emphasis"/>
                <w:rFonts w:asciiTheme="minorHAnsi" w:hAnsiTheme="minorHAnsi" w:cstheme="minorHAnsi"/>
                <w:bCs/>
                <w:i w:val="0"/>
                <w:iCs w:val="0"/>
                <w:sz w:val="20"/>
                <w:szCs w:val="20"/>
                <w:shd w:val="clear" w:color="auto" w:fill="FFFFFF"/>
              </w:rPr>
              <w:t>On-farm best practice is important, but so too are linkages across wider landscapes to avoid ‘</w:t>
            </w:r>
            <w:r>
              <w:rPr>
                <w:rFonts w:cstheme="minorHAnsi"/>
                <w:sz w:val="20"/>
                <w:szCs w:val="20"/>
              </w:rPr>
              <w:t>islands’ of biodiverse areas and landscape functioning fragmented by poor practice elsewhere</w:t>
            </w:r>
          </w:p>
          <w:p w14:paraId="436EC57E" w14:textId="77777777" w:rsidR="00F57C3D" w:rsidRDefault="00F57C3D" w:rsidP="00BF1084">
            <w:pPr>
              <w:pStyle w:val="ListParagraph"/>
              <w:widowControl w:val="0"/>
              <w:numPr>
                <w:ilvl w:val="3"/>
                <w:numId w:val="5"/>
              </w:numPr>
              <w:spacing w:line="22" w:lineRule="atLeast"/>
              <w:ind w:left="577" w:hanging="283"/>
              <w:rPr>
                <w:rFonts w:asciiTheme="minorHAnsi" w:hAnsiTheme="minorHAnsi" w:cstheme="minorHAnsi"/>
                <w:sz w:val="20"/>
                <w:szCs w:val="20"/>
              </w:rPr>
            </w:pPr>
            <w:r>
              <w:rPr>
                <w:rFonts w:asciiTheme="minorHAnsi" w:hAnsiTheme="minorHAnsi" w:cstheme="minorHAnsi"/>
                <w:sz w:val="20"/>
                <w:szCs w:val="20"/>
              </w:rPr>
              <w:t>Land use economics, including fiscal policies, have major roles to play including land use decisions and practices, but also promotion of e</w:t>
            </w:r>
            <w:r>
              <w:rPr>
                <w:sz w:val="20"/>
                <w:szCs w:val="20"/>
              </w:rPr>
              <w:t>mployment reversing the substitution of human capital with inherently polluting petrochemical energy (‘fossil fuel’ farming)</w:t>
            </w:r>
          </w:p>
          <w:p w14:paraId="0B9B3F5B" w14:textId="77777777" w:rsidR="00F57C3D" w:rsidRDefault="00F57C3D" w:rsidP="00BF1084">
            <w:pPr>
              <w:pStyle w:val="ListParagraph"/>
              <w:widowControl w:val="0"/>
              <w:numPr>
                <w:ilvl w:val="3"/>
                <w:numId w:val="5"/>
              </w:numPr>
              <w:spacing w:line="22" w:lineRule="atLeast"/>
              <w:ind w:left="577" w:hanging="283"/>
              <w:rPr>
                <w:rFonts w:asciiTheme="minorHAnsi" w:hAnsiTheme="minorHAnsi" w:cstheme="minorHAnsi"/>
              </w:rPr>
            </w:pPr>
            <w:r>
              <w:rPr>
                <w:rFonts w:asciiTheme="minorHAnsi" w:hAnsiTheme="minorHAnsi" w:cstheme="minorHAnsi"/>
                <w:sz w:val="20"/>
                <w:szCs w:val="20"/>
              </w:rPr>
              <w:t>Novel technology</w:t>
            </w:r>
            <w:r>
              <w:rPr>
                <w:rFonts w:asciiTheme="minorHAnsi" w:hAnsiTheme="minorHAnsi" w:cstheme="minorHAnsi"/>
              </w:rPr>
              <w:t xml:space="preserve"> has roles to play in more sustainable farming</w:t>
            </w:r>
          </w:p>
          <w:p w14:paraId="5DDA2B99" w14:textId="77777777" w:rsidR="00F57C3D" w:rsidRDefault="00F57C3D" w:rsidP="00BF1084">
            <w:pPr>
              <w:pStyle w:val="ListParagraph"/>
              <w:widowControl w:val="0"/>
              <w:numPr>
                <w:ilvl w:val="4"/>
                <w:numId w:val="6"/>
              </w:numPr>
              <w:ind w:left="577" w:hanging="283"/>
              <w:rPr>
                <w:rFonts w:cstheme="minorHAnsi"/>
                <w:sz w:val="20"/>
                <w:szCs w:val="20"/>
              </w:rPr>
            </w:pPr>
            <w:r>
              <w:rPr>
                <w:sz w:val="20"/>
                <w:szCs w:val="20"/>
              </w:rPr>
              <w:t xml:space="preserve">A cyclic food economy </w:t>
            </w:r>
            <w:r>
              <w:rPr>
                <w:rFonts w:cstheme="minorHAnsi"/>
                <w:sz w:val="20"/>
                <w:szCs w:val="20"/>
              </w:rPr>
              <w:t>Food, like carbon or public health, can be a framework for connecting across policy areas and disciplines</w:t>
            </w:r>
          </w:p>
          <w:p w14:paraId="15C76680"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sz w:val="20"/>
                <w:szCs w:val="20"/>
              </w:rPr>
              <w:t xml:space="preserve">Further action is needed </w:t>
            </w:r>
            <w:r>
              <w:rPr>
                <w:rFonts w:asciiTheme="minorHAnsi" w:hAnsiTheme="minorHAnsi" w:cstheme="minorHAnsi"/>
                <w:sz w:val="20"/>
                <w:szCs w:val="20"/>
              </w:rPr>
              <w:t xml:space="preserve">to transparently reconnect food production and supply chains through to consumers, </w:t>
            </w:r>
            <w:r>
              <w:rPr>
                <w:rFonts w:cstheme="minorHAnsi"/>
                <w:sz w:val="20"/>
                <w:szCs w:val="20"/>
              </w:rPr>
              <w:t>potentially linked with product standards, labelling, etc., based on globally consistent evaluation methodologies addressing ecosystem impacts.</w:t>
            </w:r>
          </w:p>
          <w:p w14:paraId="1DB3EEC8"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sz w:val="20"/>
                <w:szCs w:val="20"/>
              </w:rPr>
              <w:t>More progress could be made with urban agriculture</w:t>
            </w:r>
          </w:p>
          <w:p w14:paraId="1ADC1D90"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rFonts w:asciiTheme="minorHAnsi" w:hAnsiTheme="minorHAnsi" w:cstheme="minorHAnsi"/>
                <w:sz w:val="20"/>
                <w:szCs w:val="20"/>
              </w:rPr>
              <w:t>Organic waste and wastewater management systems need to change emphasis from disposal to one of resource recovery</w:t>
            </w:r>
          </w:p>
          <w:p w14:paraId="0966EBEA" w14:textId="77777777" w:rsidR="00F57C3D" w:rsidRDefault="00F57C3D" w:rsidP="00BF1084">
            <w:pPr>
              <w:pStyle w:val="ListParagraph"/>
              <w:widowControl w:val="0"/>
              <w:numPr>
                <w:ilvl w:val="4"/>
                <w:numId w:val="6"/>
              </w:numPr>
              <w:ind w:left="577" w:hanging="283"/>
              <w:rPr>
                <w:sz w:val="20"/>
                <w:szCs w:val="20"/>
              </w:rPr>
            </w:pPr>
            <w:r>
              <w:rPr>
                <w:rFonts w:asciiTheme="minorHAnsi" w:hAnsiTheme="minorHAnsi" w:cstheme="minorHAnsi"/>
                <w:sz w:val="20"/>
                <w:szCs w:val="20"/>
              </w:rPr>
              <w:t xml:space="preserve">Challenges include the quality of anaerobic digestate going on to land, which has a </w:t>
            </w:r>
            <w:r>
              <w:rPr>
                <w:sz w:val="20"/>
                <w:szCs w:val="20"/>
              </w:rPr>
              <w:t>lower ratio of carbon to nitrogen compared to conventional composted vegetation and food waste</w:t>
            </w:r>
          </w:p>
          <w:p w14:paraId="4C75383D"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sz w:val="20"/>
                <w:szCs w:val="20"/>
              </w:rPr>
              <w:t>Local food cultures can help make significant progress towards greater synergy between people and the ecosystems that support them.</w:t>
            </w:r>
          </w:p>
          <w:p w14:paraId="47FB59E5" w14:textId="4584F8D4"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rFonts w:cstheme="minorHAnsi"/>
                <w:sz w:val="20"/>
                <w:szCs w:val="20"/>
              </w:rPr>
              <w:t>Dietary change, particularly a greater plant-based and/or microbial component, can reduce carbon and nutrient intensive and non-linear use</w:t>
            </w:r>
          </w:p>
          <w:p w14:paraId="10B488F3"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rFonts w:cstheme="minorHAnsi"/>
                <w:sz w:val="20"/>
                <w:szCs w:val="20"/>
              </w:rPr>
              <w:t>Both ‘re-localisation’ and supply chain transparency can, ideally, refocus farmer attention on shifting practices to improve their practices</w:t>
            </w:r>
          </w:p>
          <w:p w14:paraId="78F6952F" w14:textId="77777777"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rFonts w:cstheme="minorHAnsi"/>
                <w:sz w:val="20"/>
                <w:szCs w:val="20"/>
              </w:rPr>
              <w:t>There is a need for better impartial advisory services</w:t>
            </w:r>
          </w:p>
          <w:p w14:paraId="26C63425" w14:textId="5232149C" w:rsidR="00F57C3D" w:rsidRDefault="00F57C3D" w:rsidP="00BF1084">
            <w:pPr>
              <w:pStyle w:val="ListParagraph"/>
              <w:widowControl w:val="0"/>
              <w:numPr>
                <w:ilvl w:val="4"/>
                <w:numId w:val="6"/>
              </w:numPr>
              <w:ind w:left="577" w:hanging="283"/>
              <w:rPr>
                <w:rFonts w:asciiTheme="minorHAnsi" w:hAnsiTheme="minorHAnsi" w:cstheme="minorHAnsi"/>
                <w:sz w:val="20"/>
                <w:szCs w:val="20"/>
              </w:rPr>
            </w:pPr>
            <w:r>
              <w:rPr>
                <w:rFonts w:cstheme="minorHAnsi"/>
                <w:sz w:val="20"/>
                <w:szCs w:val="20"/>
              </w:rPr>
              <w:t xml:space="preserve">There is a strong case to link farmers up to address issues at wider landscape scale, for self-benefit as well as for wider societally beneficial outcomes, as exemplified by the </w:t>
            </w:r>
            <w:proofErr w:type="spellStart"/>
            <w:r>
              <w:rPr>
                <w:rFonts w:cstheme="minorHAnsi"/>
                <w:sz w:val="20"/>
                <w:szCs w:val="20"/>
              </w:rPr>
              <w:t>Pontbren</w:t>
            </w:r>
            <w:proofErr w:type="spellEnd"/>
            <w:r>
              <w:rPr>
                <w:rFonts w:cstheme="minorHAnsi"/>
                <w:sz w:val="20"/>
                <w:szCs w:val="20"/>
              </w:rPr>
              <w:t xml:space="preserve"> Project</w:t>
            </w:r>
            <w:r>
              <w:rPr>
                <w:rStyle w:val="EndnoteReference"/>
                <w:rFonts w:asciiTheme="minorHAnsi" w:hAnsiTheme="minorHAnsi" w:cstheme="minorHAnsi"/>
                <w:sz w:val="20"/>
                <w:szCs w:val="20"/>
              </w:rPr>
              <w:endnoteReference w:id="2"/>
            </w:r>
            <w:r>
              <w:rPr>
                <w:rFonts w:cstheme="minorHAnsi"/>
                <w:sz w:val="20"/>
                <w:szCs w:val="20"/>
              </w:rPr>
              <w:t xml:space="preserve"> in the Welsh uplands</w:t>
            </w:r>
            <w:r>
              <w:rPr>
                <w:rFonts w:cstheme="minorHAnsi"/>
                <w:sz w:val="20"/>
                <w:szCs w:val="20"/>
                <w:shd w:val="clear" w:color="auto" w:fill="FFFFFF"/>
              </w:rPr>
              <w:t xml:space="preserve"> and </w:t>
            </w:r>
            <w:proofErr w:type="spellStart"/>
            <w:r>
              <w:rPr>
                <w:rFonts w:cstheme="minorHAnsi"/>
                <w:sz w:val="20"/>
                <w:szCs w:val="20"/>
              </w:rPr>
              <w:t>WholeScape</w:t>
            </w:r>
            <w:proofErr w:type="spellEnd"/>
            <w:r>
              <w:rPr>
                <w:rFonts w:cstheme="minorHAnsi"/>
                <w:sz w:val="20"/>
                <w:szCs w:val="20"/>
              </w:rPr>
              <w:t xml:space="preserve"> thinking</w:t>
            </w:r>
            <w:r w:rsidR="00452484">
              <w:rPr>
                <w:rFonts w:cstheme="minorHAnsi"/>
                <w:sz w:val="20"/>
                <w:szCs w:val="20"/>
              </w:rPr>
              <w:t xml:space="preserve"> (</w:t>
            </w:r>
            <w:bookmarkStart w:id="25" w:name="_Hlk39328794"/>
            <w:r w:rsidR="00452484">
              <w:rPr>
                <w:rFonts w:cstheme="minorHAnsi"/>
                <w:sz w:val="20"/>
                <w:szCs w:val="20"/>
              </w:rPr>
              <w:t>Natural Capital Initiative, 2017</w:t>
            </w:r>
            <w:bookmarkEnd w:id="25"/>
            <w:r w:rsidR="00452484">
              <w:rPr>
                <w:rFonts w:cstheme="minorHAnsi"/>
                <w:sz w:val="20"/>
                <w:szCs w:val="20"/>
              </w:rPr>
              <w:t>)</w:t>
            </w:r>
          </w:p>
          <w:p w14:paraId="1CCB43E3" w14:textId="42AB7FCF" w:rsidR="00F57C3D" w:rsidRDefault="00F57C3D" w:rsidP="00BF1084">
            <w:pPr>
              <w:pStyle w:val="ListParagraph"/>
              <w:widowControl w:val="0"/>
              <w:numPr>
                <w:ilvl w:val="3"/>
                <w:numId w:val="6"/>
              </w:numPr>
              <w:ind w:left="284" w:hanging="284"/>
              <w:rPr>
                <w:rFonts w:asciiTheme="minorHAnsi" w:hAnsiTheme="minorHAnsi" w:cstheme="minorHAnsi"/>
                <w:sz w:val="20"/>
                <w:szCs w:val="20"/>
              </w:rPr>
            </w:pPr>
            <w:r>
              <w:rPr>
                <w:sz w:val="20"/>
                <w:szCs w:val="20"/>
              </w:rPr>
              <w:t>Land use grants and incentives require reform</w:t>
            </w:r>
          </w:p>
          <w:p w14:paraId="3CF82A24" w14:textId="700541FB" w:rsidR="00F57C3D" w:rsidRDefault="00F57C3D" w:rsidP="00BF1084">
            <w:pPr>
              <w:pStyle w:val="ListParagraph"/>
              <w:widowControl w:val="0"/>
              <w:numPr>
                <w:ilvl w:val="4"/>
                <w:numId w:val="6"/>
              </w:numPr>
              <w:ind w:left="577" w:hanging="283"/>
              <w:rPr>
                <w:rFonts w:asciiTheme="minorHAnsi" w:hAnsiTheme="minorHAnsi" w:cstheme="minorHAnsi"/>
              </w:rPr>
            </w:pPr>
            <w:r>
              <w:rPr>
                <w:sz w:val="20"/>
                <w:szCs w:val="20"/>
              </w:rPr>
              <w:t xml:space="preserve">The mantra of “public </w:t>
            </w:r>
            <w:r w:rsidR="00EE7964">
              <w:rPr>
                <w:sz w:val="20"/>
                <w:szCs w:val="20"/>
              </w:rPr>
              <w:t>money</w:t>
            </w:r>
            <w:r>
              <w:rPr>
                <w:sz w:val="20"/>
                <w:szCs w:val="20"/>
              </w:rPr>
              <w:t xml:space="preserve"> for public goods” is welcome and needs to be realised in practical terms that demonstrate clear delivery of desirable publicly beneficial ecosystem services</w:t>
            </w:r>
          </w:p>
        </w:tc>
      </w:tr>
      <w:tr w:rsidR="007F19A6" w14:paraId="7AFAF522" w14:textId="77777777" w:rsidTr="007F19A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14:paraId="10475B69" w14:textId="77777777" w:rsidR="00F57C3D" w:rsidRDefault="00F57C3D">
            <w:pPr>
              <w:spacing w:line="22" w:lineRule="atLeast"/>
              <w:ind w:left="113" w:right="113"/>
              <w:jc w:val="center"/>
              <w:rPr>
                <w:rFonts w:cstheme="minorHAnsi"/>
                <w:sz w:val="20"/>
              </w:rPr>
            </w:pPr>
            <w:r>
              <w:rPr>
                <w:rFonts w:cstheme="minorHAnsi"/>
                <w:sz w:val="32"/>
                <w:szCs w:val="32"/>
              </w:rPr>
              <w:t>Economic</w:t>
            </w:r>
          </w:p>
        </w:tc>
        <w:tc>
          <w:tcPr>
            <w:tcW w:w="8500" w:type="dxa"/>
            <w:tcBorders>
              <w:top w:val="single" w:sz="4" w:space="0" w:color="auto"/>
              <w:left w:val="single" w:sz="4" w:space="0" w:color="auto"/>
              <w:bottom w:val="single" w:sz="4" w:space="0" w:color="auto"/>
              <w:right w:val="single" w:sz="4" w:space="0" w:color="auto"/>
            </w:tcBorders>
            <w:hideMark/>
          </w:tcPr>
          <w:p w14:paraId="1C8A87EA" w14:textId="77777777" w:rsidR="00F57C3D" w:rsidRDefault="00F57C3D" w:rsidP="00BF1084">
            <w:pPr>
              <w:pStyle w:val="ListParagraph"/>
              <w:numPr>
                <w:ilvl w:val="0"/>
                <w:numId w:val="2"/>
              </w:numPr>
              <w:ind w:left="340" w:hanging="340"/>
              <w:rPr>
                <w:rFonts w:cstheme="minorHAnsi"/>
                <w:sz w:val="20"/>
              </w:rPr>
            </w:pPr>
            <w:r>
              <w:rPr>
                <w:rFonts w:cstheme="minorHAnsi"/>
                <w:sz w:val="20"/>
              </w:rPr>
              <w:t>A circular economy is a basic requirement, and should influence thinking across sectors</w:t>
            </w:r>
          </w:p>
          <w:p w14:paraId="098CDB67" w14:textId="77777777" w:rsidR="00F57C3D" w:rsidRDefault="00F57C3D" w:rsidP="00BF1084">
            <w:pPr>
              <w:pStyle w:val="ListParagraph"/>
              <w:numPr>
                <w:ilvl w:val="0"/>
                <w:numId w:val="7"/>
              </w:numPr>
              <w:ind w:left="592" w:hanging="283"/>
              <w:rPr>
                <w:rFonts w:cstheme="minorHAnsi"/>
                <w:sz w:val="20"/>
                <w:szCs w:val="20"/>
              </w:rPr>
            </w:pPr>
            <w:r>
              <w:rPr>
                <w:rFonts w:cstheme="minorHAnsi"/>
                <w:sz w:val="20"/>
                <w:szCs w:val="20"/>
              </w:rPr>
              <w:t>Circularity, based on material, energy and value recovery from end-of-life products, needs to be reflected across societal sectors</w:t>
            </w:r>
          </w:p>
          <w:p w14:paraId="7BC9A527" w14:textId="3CAEB418" w:rsidR="007F19A6" w:rsidRDefault="00F57C3D" w:rsidP="00BF1084">
            <w:pPr>
              <w:pStyle w:val="ListParagraph"/>
              <w:numPr>
                <w:ilvl w:val="0"/>
                <w:numId w:val="7"/>
              </w:numPr>
              <w:ind w:left="592" w:hanging="283"/>
              <w:rPr>
                <w:rFonts w:asciiTheme="minorHAnsi" w:hAnsiTheme="minorHAnsi" w:cstheme="minorHAnsi"/>
                <w:sz w:val="20"/>
                <w:szCs w:val="20"/>
              </w:rPr>
            </w:pPr>
            <w:r>
              <w:rPr>
                <w:rFonts w:asciiTheme="minorHAnsi" w:hAnsiTheme="minorHAnsi" w:cstheme="minorHAnsi"/>
                <w:sz w:val="20"/>
                <w:szCs w:val="20"/>
              </w:rPr>
              <w:t>A focus on regenerative agriculture</w:t>
            </w:r>
            <w:r w:rsidR="00452484">
              <w:rPr>
                <w:rFonts w:asciiTheme="minorHAnsi" w:hAnsiTheme="minorHAnsi" w:cstheme="minorHAnsi"/>
                <w:sz w:val="20"/>
                <w:szCs w:val="20"/>
              </w:rPr>
              <w:t xml:space="preserve"> (Regeneration International, n.d.)</w:t>
            </w:r>
            <w:r>
              <w:rPr>
                <w:rFonts w:asciiTheme="minorHAnsi" w:hAnsiTheme="minorHAnsi" w:cstheme="minorHAnsi"/>
                <w:sz w:val="20"/>
                <w:szCs w:val="20"/>
              </w:rPr>
              <w:t xml:space="preserve"> is necessary,</w:t>
            </w:r>
            <w:r w:rsidR="007F19A6">
              <w:rPr>
                <w:rFonts w:asciiTheme="minorHAnsi" w:hAnsiTheme="minorHAnsi" w:cstheme="minorHAnsi"/>
                <w:sz w:val="20"/>
                <w:szCs w:val="20"/>
              </w:rPr>
              <w:t xml:space="preserve"> including lessons from rewilding and other global examples of ecosystem restoration </w:t>
            </w:r>
          </w:p>
          <w:p w14:paraId="01D1C5DA" w14:textId="77777777" w:rsidR="007F19A6" w:rsidRDefault="007F19A6" w:rsidP="00BF1084">
            <w:pPr>
              <w:pStyle w:val="ListParagraph"/>
              <w:numPr>
                <w:ilvl w:val="0"/>
                <w:numId w:val="2"/>
              </w:numPr>
              <w:ind w:left="340" w:hanging="340"/>
              <w:rPr>
                <w:rFonts w:cstheme="minorHAnsi"/>
                <w:sz w:val="20"/>
              </w:rPr>
            </w:pPr>
            <w:r>
              <w:rPr>
                <w:rFonts w:cstheme="minorHAnsi"/>
                <w:sz w:val="20"/>
              </w:rPr>
              <w:t>The fiscal system needs reform</w:t>
            </w:r>
          </w:p>
          <w:p w14:paraId="679FF943" w14:textId="77777777" w:rsidR="007F19A6" w:rsidRDefault="007F19A6" w:rsidP="00BF1084">
            <w:pPr>
              <w:pStyle w:val="ListParagraph"/>
              <w:numPr>
                <w:ilvl w:val="0"/>
                <w:numId w:val="8"/>
              </w:numPr>
              <w:ind w:left="592" w:hanging="283"/>
              <w:rPr>
                <w:rFonts w:cstheme="minorHAnsi"/>
                <w:sz w:val="20"/>
                <w:szCs w:val="20"/>
              </w:rPr>
            </w:pPr>
            <w:r>
              <w:rPr>
                <w:rFonts w:cstheme="minorHAnsi"/>
                <w:sz w:val="20"/>
                <w:szCs w:val="20"/>
              </w:rPr>
              <w:t>Taxation has a significant impact on ecosystem management and use (for example the UK’s Landfill Tax, the Aggregates Tax, the London C</w:t>
            </w:r>
            <w:r>
              <w:rPr>
                <w:sz w:val="20"/>
                <w:szCs w:val="20"/>
              </w:rPr>
              <w:t>ongestion Charge and Ultra-low Emission Zone</w:t>
            </w:r>
            <w:r>
              <w:rPr>
                <w:rFonts w:cstheme="minorHAnsi"/>
                <w:sz w:val="20"/>
                <w:szCs w:val="20"/>
              </w:rPr>
              <w:t>), as do incentives if appropriately targeted</w:t>
            </w:r>
          </w:p>
          <w:p w14:paraId="7F2A5A9A" w14:textId="77777777" w:rsidR="007F19A6" w:rsidRDefault="007F19A6" w:rsidP="00BF1084">
            <w:pPr>
              <w:pStyle w:val="ListParagraph"/>
              <w:numPr>
                <w:ilvl w:val="0"/>
                <w:numId w:val="8"/>
              </w:numPr>
              <w:ind w:left="592" w:hanging="283"/>
              <w:rPr>
                <w:rFonts w:cstheme="minorHAnsi"/>
                <w:sz w:val="20"/>
                <w:szCs w:val="20"/>
              </w:rPr>
            </w:pPr>
            <w:r>
              <w:rPr>
                <w:rFonts w:cstheme="minorHAnsi"/>
                <w:sz w:val="20"/>
                <w:szCs w:val="20"/>
              </w:rPr>
              <w:t>Hypothecation with a clear goal of enhancing ecosystem services is essential if they are to bring about lasting and beneficial change</w:t>
            </w:r>
          </w:p>
          <w:p w14:paraId="16E2BFEE" w14:textId="77777777" w:rsidR="007F19A6" w:rsidRDefault="007F19A6" w:rsidP="00BF1084">
            <w:pPr>
              <w:pStyle w:val="ListParagraph"/>
              <w:numPr>
                <w:ilvl w:val="0"/>
                <w:numId w:val="8"/>
              </w:numPr>
              <w:ind w:left="592" w:hanging="283"/>
              <w:rPr>
                <w:rFonts w:cstheme="minorHAnsi"/>
                <w:sz w:val="20"/>
                <w:szCs w:val="20"/>
              </w:rPr>
            </w:pPr>
            <w:r>
              <w:rPr>
                <w:rFonts w:cstheme="minorHAnsi"/>
                <w:sz w:val="20"/>
                <w:szCs w:val="20"/>
              </w:rPr>
              <w:t>Discount rates must be reformed as they devalue ecosystems over time whereas, unlike built assets, they in reality accumulate in value</w:t>
            </w:r>
          </w:p>
          <w:p w14:paraId="13E9DC37" w14:textId="77777777" w:rsidR="007F19A6" w:rsidRDefault="007F19A6" w:rsidP="00BF1084">
            <w:pPr>
              <w:pStyle w:val="ListParagraph"/>
              <w:numPr>
                <w:ilvl w:val="0"/>
                <w:numId w:val="8"/>
              </w:numPr>
              <w:ind w:left="592" w:hanging="283"/>
              <w:rPr>
                <w:rFonts w:asciiTheme="minorHAnsi" w:hAnsiTheme="minorHAnsi" w:cstheme="minorHAnsi"/>
                <w:sz w:val="20"/>
                <w:szCs w:val="20"/>
              </w:rPr>
            </w:pPr>
            <w:r>
              <w:rPr>
                <w:sz w:val="20"/>
                <w:szCs w:val="20"/>
              </w:rPr>
              <w:t>Fiscal policy needs to be more systemically informed conferring greater emphasis on innovation leading to net outcomes for societal value</w:t>
            </w:r>
          </w:p>
          <w:p w14:paraId="0DB1D9CA" w14:textId="77777777" w:rsidR="007F19A6" w:rsidRDefault="007F19A6" w:rsidP="00BF1084">
            <w:pPr>
              <w:pStyle w:val="ListParagraph"/>
              <w:numPr>
                <w:ilvl w:val="0"/>
                <w:numId w:val="8"/>
              </w:numPr>
              <w:ind w:left="592" w:hanging="283"/>
              <w:rPr>
                <w:rFonts w:asciiTheme="minorHAnsi" w:hAnsiTheme="minorHAnsi" w:cstheme="minorHAnsi"/>
                <w:sz w:val="20"/>
                <w:szCs w:val="20"/>
              </w:rPr>
            </w:pPr>
            <w:r>
              <w:rPr>
                <w:sz w:val="20"/>
                <w:szCs w:val="20"/>
              </w:rPr>
              <w:t>Fiscal policy and law at international scale also needs reform to remove structural obstacles to incentivising clean energy and other ‘breakthrough’ technologies</w:t>
            </w:r>
          </w:p>
          <w:p w14:paraId="7AFCC982" w14:textId="77777777" w:rsidR="007F19A6" w:rsidRDefault="007F19A6" w:rsidP="00BF1084">
            <w:pPr>
              <w:pStyle w:val="ListParagraph"/>
              <w:numPr>
                <w:ilvl w:val="0"/>
                <w:numId w:val="8"/>
              </w:numPr>
              <w:ind w:left="592" w:hanging="283"/>
              <w:rPr>
                <w:rFonts w:cstheme="minorHAnsi"/>
                <w:sz w:val="20"/>
                <w:szCs w:val="20"/>
              </w:rPr>
            </w:pPr>
            <w:r>
              <w:rPr>
                <w:rFonts w:cstheme="minorHAnsi"/>
                <w:sz w:val="20"/>
                <w:szCs w:val="20"/>
              </w:rPr>
              <w:t>The loophole on purchase of land as an inheritance tax haven needs closing</w:t>
            </w:r>
          </w:p>
          <w:p w14:paraId="4ECB8A18" w14:textId="77777777" w:rsidR="007F19A6" w:rsidRDefault="007F19A6" w:rsidP="00BF1084">
            <w:pPr>
              <w:pStyle w:val="ListParagraph"/>
              <w:numPr>
                <w:ilvl w:val="0"/>
                <w:numId w:val="8"/>
              </w:numPr>
              <w:ind w:left="592" w:hanging="283"/>
              <w:rPr>
                <w:rFonts w:cstheme="minorHAnsi"/>
                <w:sz w:val="20"/>
                <w:szCs w:val="20"/>
              </w:rPr>
            </w:pPr>
            <w:r>
              <w:rPr>
                <w:rFonts w:cstheme="minorHAnsi"/>
                <w:sz w:val="20"/>
                <w:szCs w:val="20"/>
              </w:rPr>
              <w:t xml:space="preserve">A novel fiscal extension is taxing carbon at the points it enters the economy, also potentially ‘virtual water’ </w:t>
            </w:r>
            <w:r>
              <w:rPr>
                <w:rFonts w:cstheme="minorHAnsi"/>
                <w:bCs/>
                <w:sz w:val="20"/>
                <w:szCs w:val="20"/>
              </w:rPr>
              <w:t>or nutrients, penalising exploitative practices and incentivising local and cyclic practices</w:t>
            </w:r>
          </w:p>
          <w:p w14:paraId="717D9CF2" w14:textId="77777777" w:rsidR="007F19A6" w:rsidRDefault="007F19A6" w:rsidP="00BF1084">
            <w:pPr>
              <w:pStyle w:val="ListParagraph"/>
              <w:numPr>
                <w:ilvl w:val="0"/>
                <w:numId w:val="8"/>
              </w:numPr>
              <w:ind w:left="592" w:hanging="283"/>
              <w:rPr>
                <w:rFonts w:asciiTheme="minorHAnsi" w:hAnsiTheme="minorHAnsi" w:cstheme="minorHAnsi"/>
              </w:rPr>
            </w:pPr>
            <w:r>
              <w:rPr>
                <w:rFonts w:cstheme="minorHAnsi"/>
                <w:sz w:val="20"/>
                <w:szCs w:val="20"/>
              </w:rPr>
              <w:t>Novel instruments for green finance, such as Green Bonds (and equity) should be investigated and further trialled as a means to secure valuable natural capital</w:t>
            </w:r>
          </w:p>
        </w:tc>
      </w:tr>
      <w:tr w:rsidR="007F19A6" w14:paraId="0622CA68" w14:textId="77777777" w:rsidTr="007F19A6">
        <w:trPr>
          <w:cantSplit/>
          <w:trHeight w:val="274"/>
        </w:trPr>
        <w:tc>
          <w:tcPr>
            <w:tcW w:w="993" w:type="dxa"/>
            <w:tcBorders>
              <w:top w:val="single" w:sz="4" w:space="0" w:color="auto"/>
              <w:left w:val="single" w:sz="4" w:space="0" w:color="auto"/>
              <w:bottom w:val="single" w:sz="4" w:space="0" w:color="auto"/>
              <w:right w:val="single" w:sz="4" w:space="0" w:color="auto"/>
            </w:tcBorders>
            <w:textDirection w:val="btLr"/>
            <w:hideMark/>
          </w:tcPr>
          <w:p w14:paraId="089B180F" w14:textId="77777777" w:rsidR="007F19A6" w:rsidRDefault="007F19A6">
            <w:pPr>
              <w:spacing w:line="22" w:lineRule="atLeast"/>
              <w:ind w:left="113" w:right="113"/>
              <w:jc w:val="center"/>
              <w:rPr>
                <w:rFonts w:cstheme="minorHAnsi"/>
                <w:sz w:val="32"/>
                <w:szCs w:val="32"/>
              </w:rPr>
            </w:pPr>
            <w:r>
              <w:rPr>
                <w:rFonts w:cstheme="minorHAnsi"/>
                <w:sz w:val="32"/>
                <w:szCs w:val="32"/>
              </w:rPr>
              <w:t>Political</w:t>
            </w:r>
          </w:p>
        </w:tc>
        <w:tc>
          <w:tcPr>
            <w:tcW w:w="8500" w:type="dxa"/>
            <w:tcBorders>
              <w:top w:val="single" w:sz="4" w:space="0" w:color="auto"/>
              <w:left w:val="single" w:sz="4" w:space="0" w:color="auto"/>
              <w:bottom w:val="single" w:sz="4" w:space="0" w:color="auto"/>
              <w:right w:val="single" w:sz="4" w:space="0" w:color="auto"/>
            </w:tcBorders>
            <w:hideMark/>
          </w:tcPr>
          <w:p w14:paraId="40F6B0EB" w14:textId="77777777" w:rsidR="007F19A6" w:rsidRDefault="007F19A6" w:rsidP="00BF1084">
            <w:pPr>
              <w:pStyle w:val="ListParagraph"/>
              <w:widowControl w:val="0"/>
              <w:numPr>
                <w:ilvl w:val="0"/>
                <w:numId w:val="2"/>
              </w:numPr>
              <w:spacing w:line="22" w:lineRule="atLeast"/>
              <w:ind w:left="340" w:hanging="340"/>
              <w:rPr>
                <w:rFonts w:cstheme="minorHAnsi"/>
                <w:sz w:val="20"/>
              </w:rPr>
            </w:pPr>
            <w:r>
              <w:rPr>
                <w:rFonts w:cstheme="minorHAnsi"/>
                <w:sz w:val="20"/>
              </w:rPr>
              <w:t>All sectors have a major contribution to make, but there is need to align sectors as the catalyst or change:</w:t>
            </w:r>
          </w:p>
          <w:p w14:paraId="52EE0D6C"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Change potentially happens when the differing priorities of sectors are integrated through taking a whole systems approach</w:t>
            </w:r>
          </w:p>
          <w:p w14:paraId="1185D136"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 xml:space="preserve">Regulation works with adequate enforcement, and when supported by robust evidence </w:t>
            </w:r>
          </w:p>
          <w:p w14:paraId="55B7CA73"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A new model of accounting is required that goes beyond financial return and activity: many such models have been developed</w:t>
            </w:r>
          </w:p>
          <w:p w14:paraId="06DE82B6"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Monetary systems and fiscal measures need to be influenced by ideas such as ‘natural capitalism’ and the wider integration of natural and social capital</w:t>
            </w:r>
          </w:p>
          <w:p w14:paraId="214926EF"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There is a receptive business context. Leading businesses are starting to understand sustainability as a core necessity to succeed in future markets inevitably shaped by sustainability pressures</w:t>
            </w:r>
          </w:p>
          <w:p w14:paraId="0E6755C0"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Well-founded advice can be a significant lever for improved practice, particularly in the land use sector</w:t>
            </w:r>
          </w:p>
          <w:p w14:paraId="2D515FB2"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Education schemes have roles to play in shaping more sustainable, regenerative behaviours within compulsory and non-compulsory sectors of education, as well as ongoing public awareness</w:t>
            </w:r>
          </w:p>
          <w:p w14:paraId="25D10B4E" w14:textId="77777777" w:rsidR="007F19A6" w:rsidRDefault="007F19A6" w:rsidP="00BF1084">
            <w:pPr>
              <w:pStyle w:val="ListParagraph"/>
              <w:widowControl w:val="0"/>
              <w:numPr>
                <w:ilvl w:val="2"/>
                <w:numId w:val="9"/>
              </w:numPr>
              <w:spacing w:line="22" w:lineRule="atLeast"/>
              <w:ind w:left="595" w:hanging="283"/>
              <w:rPr>
                <w:rFonts w:cstheme="minorHAnsi"/>
                <w:sz w:val="20"/>
              </w:rPr>
            </w:pPr>
            <w:r>
              <w:rPr>
                <w:rFonts w:cstheme="minorHAnsi"/>
                <w:sz w:val="20"/>
              </w:rPr>
              <w:t>Progress with the UK Bristol One City plan and reconstruction of the green economy in the Australian city of Adelaide demonstrates the powers of a collaborative approach extending beyond the authority, remit and perspective of any participating societal sector</w:t>
            </w:r>
          </w:p>
          <w:p w14:paraId="5FAB686E" w14:textId="77777777" w:rsidR="007F19A6" w:rsidRDefault="007F19A6" w:rsidP="00BF1084">
            <w:pPr>
              <w:pStyle w:val="ListParagraph"/>
              <w:widowControl w:val="0"/>
              <w:numPr>
                <w:ilvl w:val="0"/>
                <w:numId w:val="2"/>
              </w:numPr>
              <w:spacing w:line="22" w:lineRule="atLeast"/>
              <w:ind w:left="340" w:hanging="340"/>
              <w:rPr>
                <w:rFonts w:cstheme="minorHAnsi"/>
                <w:sz w:val="20"/>
              </w:rPr>
            </w:pPr>
            <w:r>
              <w:rPr>
                <w:rFonts w:cstheme="minorHAnsi"/>
                <w:sz w:val="20"/>
              </w:rPr>
              <w:t>Mapping of ecosystem service flows can add value to policy and decision-making</w:t>
            </w:r>
          </w:p>
          <w:p w14:paraId="4DD22D89" w14:textId="77777777" w:rsidR="007F19A6" w:rsidRDefault="007F19A6" w:rsidP="00BF1084">
            <w:pPr>
              <w:pStyle w:val="ListParagraph"/>
              <w:widowControl w:val="0"/>
              <w:numPr>
                <w:ilvl w:val="0"/>
                <w:numId w:val="10"/>
              </w:numPr>
              <w:ind w:left="592" w:hanging="283"/>
              <w:rPr>
                <w:rFonts w:asciiTheme="minorHAnsi" w:hAnsiTheme="minorHAnsi" w:cstheme="minorHAnsi"/>
                <w:sz w:val="20"/>
                <w:szCs w:val="20"/>
              </w:rPr>
            </w:pPr>
            <w:r>
              <w:rPr>
                <w:rFonts w:cstheme="minorHAnsi"/>
                <w:sz w:val="20"/>
                <w:szCs w:val="20"/>
              </w:rPr>
              <w:t xml:space="preserve">Mapping of ecosystems, their services and who benefits from them </w:t>
            </w:r>
            <w:r>
              <w:rPr>
                <w:rFonts w:asciiTheme="minorHAnsi" w:hAnsiTheme="minorHAnsi" w:cstheme="minorHAnsi"/>
                <w:sz w:val="20"/>
                <w:szCs w:val="20"/>
              </w:rPr>
              <w:t>can reveal the multiple values of land and landscapes, potentially informing wiser decisions concerning urban and rural land use</w:t>
            </w:r>
          </w:p>
          <w:p w14:paraId="1329B7FD" w14:textId="77777777" w:rsidR="007F19A6" w:rsidRDefault="007F19A6" w:rsidP="00BF1084">
            <w:pPr>
              <w:pStyle w:val="ListParagraph"/>
              <w:widowControl w:val="0"/>
              <w:numPr>
                <w:ilvl w:val="0"/>
                <w:numId w:val="10"/>
              </w:numPr>
              <w:ind w:left="592" w:hanging="283"/>
              <w:rPr>
                <w:rFonts w:asciiTheme="minorHAnsi" w:hAnsiTheme="minorHAnsi" w:cstheme="minorHAnsi"/>
                <w:sz w:val="20"/>
                <w:szCs w:val="20"/>
              </w:rPr>
            </w:pPr>
            <w:r>
              <w:rPr>
                <w:rFonts w:cstheme="minorHAnsi"/>
                <w:sz w:val="20"/>
                <w:szCs w:val="20"/>
              </w:rPr>
              <w:t>Knowledge of the ecosystem service values of land and landscapes can form a basis for cost-benefit assessment taking account of a broad spectrum of societal benefits as well as disbenefits to support decision-making</w:t>
            </w:r>
          </w:p>
          <w:p w14:paraId="428428DF" w14:textId="77777777" w:rsidR="007F19A6" w:rsidRDefault="007F19A6" w:rsidP="00BF1084">
            <w:pPr>
              <w:pStyle w:val="ListParagraph"/>
              <w:widowControl w:val="0"/>
              <w:numPr>
                <w:ilvl w:val="0"/>
                <w:numId w:val="2"/>
              </w:numPr>
              <w:ind w:left="340" w:hanging="340"/>
              <w:rPr>
                <w:rFonts w:cstheme="minorHAnsi"/>
                <w:sz w:val="20"/>
                <w:szCs w:val="20"/>
              </w:rPr>
            </w:pPr>
            <w:r>
              <w:rPr>
                <w:rFonts w:cstheme="minorHAnsi"/>
                <w:sz w:val="20"/>
              </w:rPr>
              <w:t>There is no single policy ‘home</w:t>
            </w:r>
            <w:r>
              <w:rPr>
                <w:rFonts w:cstheme="minorHAnsi"/>
                <w:sz w:val="20"/>
                <w:szCs w:val="20"/>
              </w:rPr>
              <w:t>’ for ecosystems thinking</w:t>
            </w:r>
          </w:p>
          <w:p w14:paraId="6320C32F" w14:textId="06E5B1EE" w:rsidR="007F19A6" w:rsidRDefault="007F19A6" w:rsidP="00BF1084">
            <w:pPr>
              <w:pStyle w:val="ListParagraph"/>
              <w:widowControl w:val="0"/>
              <w:numPr>
                <w:ilvl w:val="0"/>
                <w:numId w:val="11"/>
              </w:numPr>
              <w:ind w:left="592" w:hanging="283"/>
              <w:rPr>
                <w:rFonts w:cstheme="minorHAnsi"/>
                <w:sz w:val="20"/>
                <w:szCs w:val="20"/>
              </w:rPr>
            </w:pPr>
            <w:r>
              <w:rPr>
                <w:rFonts w:cstheme="minorHAnsi"/>
                <w:sz w:val="20"/>
                <w:szCs w:val="20"/>
              </w:rPr>
              <w:t>Ecosystems and their services deliver value across all policy areas: defence and peace-making/peace-keeping; green infrastructure for urban health; flood risk management.</w:t>
            </w:r>
            <w:r w:rsidR="00452484">
              <w:rPr>
                <w:rFonts w:cstheme="minorHAnsi"/>
                <w:sz w:val="20"/>
                <w:szCs w:val="20"/>
              </w:rPr>
              <w:t xml:space="preserve">  </w:t>
            </w:r>
            <w:r>
              <w:rPr>
                <w:rFonts w:cstheme="minorHAnsi"/>
                <w:sz w:val="20"/>
                <w:szCs w:val="20"/>
              </w:rPr>
              <w:t>However, the cross-sectoral nature of ecosystems thinking can expose bespoke/ring-fenced budgets for the environment to risk.</w:t>
            </w:r>
          </w:p>
          <w:p w14:paraId="7AECC98C" w14:textId="77777777" w:rsidR="007F19A6" w:rsidRDefault="007F19A6" w:rsidP="00BF1084">
            <w:pPr>
              <w:pStyle w:val="ListParagraph"/>
              <w:widowControl w:val="0"/>
              <w:numPr>
                <w:ilvl w:val="0"/>
                <w:numId w:val="2"/>
              </w:numPr>
              <w:spacing w:line="22" w:lineRule="atLeast"/>
              <w:ind w:left="340" w:hanging="340"/>
              <w:rPr>
                <w:rFonts w:cstheme="minorHAnsi"/>
                <w:sz w:val="20"/>
                <w:szCs w:val="20"/>
              </w:rPr>
            </w:pPr>
            <w:proofErr w:type="spellStart"/>
            <w:r>
              <w:rPr>
                <w:rFonts w:cstheme="minorHAnsi"/>
                <w:sz w:val="20"/>
              </w:rPr>
              <w:t>Backcast</w:t>
            </w:r>
            <w:proofErr w:type="spellEnd"/>
            <w:r>
              <w:rPr>
                <w:rFonts w:cstheme="minorHAnsi"/>
                <w:sz w:val="20"/>
              </w:rPr>
              <w:t xml:space="preserve"> to systemically connected end-goals, rather than focus on narrow policy area</w:t>
            </w:r>
            <w:r>
              <w:rPr>
                <w:rFonts w:cstheme="minorHAnsi"/>
                <w:sz w:val="20"/>
                <w:szCs w:val="20"/>
              </w:rPr>
              <w:t xml:space="preserve"> goals</w:t>
            </w:r>
          </w:p>
          <w:p w14:paraId="68FCFA24" w14:textId="77777777" w:rsidR="007F19A6" w:rsidRDefault="007F19A6" w:rsidP="00BF1084">
            <w:pPr>
              <w:pStyle w:val="ListParagraph"/>
              <w:widowControl w:val="0"/>
              <w:numPr>
                <w:ilvl w:val="3"/>
                <w:numId w:val="12"/>
              </w:numPr>
              <w:ind w:left="592" w:hanging="283"/>
              <w:rPr>
                <w:rFonts w:asciiTheme="minorHAnsi" w:hAnsiTheme="minorHAnsi" w:cstheme="minorHAnsi"/>
                <w:sz w:val="20"/>
                <w:szCs w:val="20"/>
              </w:rPr>
            </w:pPr>
            <w:proofErr w:type="spellStart"/>
            <w:r>
              <w:rPr>
                <w:rFonts w:cstheme="minorHAnsi"/>
                <w:sz w:val="20"/>
                <w:szCs w:val="20"/>
              </w:rPr>
              <w:t>Backcasting</w:t>
            </w:r>
            <w:proofErr w:type="spellEnd"/>
            <w:r>
              <w:rPr>
                <w:rFonts w:cstheme="minorHAnsi"/>
                <w:sz w:val="20"/>
                <w:szCs w:val="20"/>
              </w:rPr>
              <w:t xml:space="preserve"> to desirable end-goals can help break circles of short-term and narrow disciplinary decision-making</w:t>
            </w:r>
          </w:p>
          <w:p w14:paraId="4C1521B3" w14:textId="77777777" w:rsidR="007F19A6" w:rsidRDefault="007F19A6" w:rsidP="00BF1084">
            <w:pPr>
              <w:pStyle w:val="ListParagraph"/>
              <w:widowControl w:val="0"/>
              <w:numPr>
                <w:ilvl w:val="3"/>
                <w:numId w:val="12"/>
              </w:numPr>
              <w:ind w:left="592" w:hanging="283"/>
              <w:rPr>
                <w:sz w:val="20"/>
                <w:szCs w:val="20"/>
              </w:rPr>
            </w:pPr>
            <w:r>
              <w:rPr>
                <w:sz w:val="20"/>
                <w:szCs w:val="20"/>
              </w:rPr>
              <w:t>Strategic frameworks for thinking are essential to link across policy areas to address broader-scale, interconnected goals</w:t>
            </w:r>
          </w:p>
          <w:p w14:paraId="61BABC12" w14:textId="77777777" w:rsidR="007F19A6" w:rsidRDefault="007F19A6" w:rsidP="00BF1084">
            <w:pPr>
              <w:pStyle w:val="ListParagraph"/>
              <w:widowControl w:val="0"/>
              <w:numPr>
                <w:ilvl w:val="3"/>
                <w:numId w:val="12"/>
              </w:numPr>
              <w:ind w:left="592" w:hanging="283"/>
              <w:rPr>
                <w:rFonts w:asciiTheme="minorHAnsi" w:hAnsiTheme="minorHAnsi" w:cstheme="minorHAnsi"/>
                <w:sz w:val="20"/>
                <w:szCs w:val="20"/>
              </w:rPr>
            </w:pPr>
            <w:r>
              <w:rPr>
                <w:sz w:val="20"/>
                <w:szCs w:val="20"/>
              </w:rPr>
              <w:t>Treasury is a key agent for change, cost-benefit analysis a key tool to demonstrate tangible as well as indicative multi-beneficial outcomes from approaches rebuilding ecosystem capacities and services</w:t>
            </w:r>
          </w:p>
          <w:p w14:paraId="53CDFBE5" w14:textId="77777777" w:rsidR="007F19A6" w:rsidRDefault="007F19A6" w:rsidP="00BF1084">
            <w:pPr>
              <w:pStyle w:val="ListParagraph"/>
              <w:widowControl w:val="0"/>
              <w:numPr>
                <w:ilvl w:val="0"/>
                <w:numId w:val="2"/>
              </w:numPr>
              <w:spacing w:line="22" w:lineRule="atLeast"/>
              <w:ind w:left="340" w:hanging="340"/>
              <w:rPr>
                <w:rFonts w:cstheme="minorHAnsi"/>
                <w:sz w:val="20"/>
              </w:rPr>
            </w:pPr>
            <w:r>
              <w:rPr>
                <w:rFonts w:cstheme="minorHAnsi"/>
                <w:sz w:val="20"/>
              </w:rPr>
              <w:t>A more inclusive approach for effective governance and management</w:t>
            </w:r>
          </w:p>
          <w:p w14:paraId="2045559D" w14:textId="0255FAD7" w:rsidR="007F19A6" w:rsidRDefault="007F19A6" w:rsidP="00BF1084">
            <w:pPr>
              <w:pStyle w:val="ListParagraph"/>
              <w:widowControl w:val="0"/>
              <w:numPr>
                <w:ilvl w:val="0"/>
                <w:numId w:val="13"/>
              </w:numPr>
              <w:ind w:left="592" w:hanging="283"/>
              <w:rPr>
                <w:sz w:val="20"/>
                <w:szCs w:val="20"/>
              </w:rPr>
            </w:pPr>
            <w:r>
              <w:rPr>
                <w:sz w:val="20"/>
                <w:szCs w:val="20"/>
              </w:rPr>
              <w:t>In opening a polycentric space between government departments and other societal sectors as well as civil society in all its diversity, it is important to ensure that power relationships do not continue to enforce ‘top-down’ norms in tackling sustainability goals.</w:t>
            </w:r>
          </w:p>
          <w:p w14:paraId="1EF21E36" w14:textId="77777777" w:rsidR="007F19A6" w:rsidRDefault="007F19A6" w:rsidP="00BF1084">
            <w:pPr>
              <w:pStyle w:val="ListParagraph"/>
              <w:widowControl w:val="0"/>
              <w:numPr>
                <w:ilvl w:val="0"/>
                <w:numId w:val="13"/>
              </w:numPr>
              <w:ind w:left="592" w:hanging="283"/>
              <w:rPr>
                <w:sz w:val="20"/>
                <w:szCs w:val="20"/>
              </w:rPr>
            </w:pPr>
            <w:r>
              <w:rPr>
                <w:sz w:val="20"/>
                <w:szCs w:val="20"/>
              </w:rPr>
              <w:t>There is a need to think about how all policy instruments combine to achieve clearly articulated outcomes: regulation and markets are just two amongst many more possible levers of change</w:t>
            </w:r>
          </w:p>
          <w:p w14:paraId="497DBD9B" w14:textId="77777777" w:rsidR="007F19A6" w:rsidRDefault="007F19A6" w:rsidP="00BF1084">
            <w:pPr>
              <w:pStyle w:val="ListParagraph"/>
              <w:widowControl w:val="0"/>
              <w:numPr>
                <w:ilvl w:val="0"/>
                <w:numId w:val="13"/>
              </w:numPr>
              <w:ind w:left="592" w:hanging="283"/>
              <w:rPr>
                <w:sz w:val="20"/>
                <w:szCs w:val="20"/>
              </w:rPr>
            </w:pPr>
            <w:r>
              <w:rPr>
                <w:rFonts w:cstheme="minorHAnsi"/>
                <w:sz w:val="20"/>
                <w:szCs w:val="20"/>
              </w:rPr>
              <w:t>At a higher political scale, adversarial government models (such as in the UK’s ‘first past the post’ system) are a problem, tending towards polarisation and suppression of marginal views</w:t>
            </w:r>
          </w:p>
          <w:p w14:paraId="77DFC1CA" w14:textId="77777777" w:rsidR="007F19A6" w:rsidRDefault="007F19A6" w:rsidP="00BF1084">
            <w:pPr>
              <w:pStyle w:val="ListParagraph"/>
              <w:widowControl w:val="0"/>
              <w:numPr>
                <w:ilvl w:val="0"/>
                <w:numId w:val="13"/>
              </w:numPr>
              <w:ind w:left="592" w:hanging="283"/>
              <w:rPr>
                <w:sz w:val="20"/>
                <w:szCs w:val="20"/>
              </w:rPr>
            </w:pPr>
            <w:r>
              <w:rPr>
                <w:sz w:val="20"/>
                <w:szCs w:val="20"/>
              </w:rPr>
              <w:t>Local accountability can also be built into fiscal mechanisms.  For example, in Denmark 75% of the money spent locally is also raised locally</w:t>
            </w:r>
          </w:p>
          <w:p w14:paraId="5E1A6475" w14:textId="77777777" w:rsidR="007F19A6" w:rsidRDefault="007F19A6" w:rsidP="00BF1084">
            <w:pPr>
              <w:pStyle w:val="ListParagraph"/>
              <w:widowControl w:val="0"/>
              <w:numPr>
                <w:ilvl w:val="0"/>
                <w:numId w:val="2"/>
              </w:numPr>
              <w:spacing w:line="22" w:lineRule="atLeast"/>
              <w:ind w:left="340" w:hanging="340"/>
              <w:rPr>
                <w:rFonts w:cstheme="minorHAnsi"/>
                <w:sz w:val="20"/>
              </w:rPr>
            </w:pPr>
            <w:r>
              <w:rPr>
                <w:rFonts w:cstheme="minorHAnsi"/>
                <w:sz w:val="20"/>
              </w:rPr>
              <w:t>A more adaptive approach is required for effective governance and management</w:t>
            </w:r>
          </w:p>
          <w:p w14:paraId="358CC2EF" w14:textId="77777777" w:rsidR="007F19A6" w:rsidRDefault="007F19A6" w:rsidP="00BF1084">
            <w:pPr>
              <w:pStyle w:val="ListParagraph"/>
              <w:widowControl w:val="0"/>
              <w:numPr>
                <w:ilvl w:val="0"/>
                <w:numId w:val="14"/>
              </w:numPr>
              <w:ind w:left="592" w:hanging="283"/>
              <w:rPr>
                <w:sz w:val="20"/>
                <w:szCs w:val="20"/>
              </w:rPr>
            </w:pPr>
            <w:r>
              <w:rPr>
                <w:sz w:val="20"/>
                <w:szCs w:val="20"/>
              </w:rPr>
              <w:t>Unintended outcomes and newly available data and evidence should be accounted for reflexively into policy and decision-making</w:t>
            </w:r>
          </w:p>
          <w:p w14:paraId="741F09E9" w14:textId="47D37805" w:rsidR="007F19A6" w:rsidRDefault="007F19A6" w:rsidP="00BF1084">
            <w:pPr>
              <w:pStyle w:val="ListParagraph"/>
              <w:widowControl w:val="0"/>
              <w:numPr>
                <w:ilvl w:val="0"/>
                <w:numId w:val="14"/>
              </w:numPr>
              <w:ind w:left="592" w:hanging="283"/>
              <w:rPr>
                <w:sz w:val="20"/>
                <w:szCs w:val="20"/>
              </w:rPr>
            </w:pPr>
            <w:r>
              <w:rPr>
                <w:sz w:val="20"/>
                <w:szCs w:val="20"/>
              </w:rPr>
              <w:t>There is a need to move to more deliberative and ‘upstream’ approaches helping anticipate</w:t>
            </w:r>
            <w:r w:rsidR="00452484">
              <w:rPr>
                <w:sz w:val="20"/>
                <w:szCs w:val="20"/>
              </w:rPr>
              <w:t>,</w:t>
            </w:r>
            <w:r>
              <w:rPr>
                <w:sz w:val="20"/>
                <w:szCs w:val="20"/>
              </w:rPr>
              <w:t xml:space="preserve"> at an early stage</w:t>
            </w:r>
            <w:r w:rsidR="00452484">
              <w:rPr>
                <w:sz w:val="20"/>
                <w:szCs w:val="20"/>
              </w:rPr>
              <w:t>,</w:t>
            </w:r>
            <w:r>
              <w:rPr>
                <w:sz w:val="20"/>
                <w:szCs w:val="20"/>
              </w:rPr>
              <w:t xml:space="preserve"> otherwise unforeseen perverse outcomes</w:t>
            </w:r>
          </w:p>
          <w:p w14:paraId="65CC2D99" w14:textId="77777777" w:rsidR="007F19A6" w:rsidRDefault="007F19A6" w:rsidP="00BF1084">
            <w:pPr>
              <w:pStyle w:val="ListParagraph"/>
              <w:widowControl w:val="0"/>
              <w:numPr>
                <w:ilvl w:val="0"/>
                <w:numId w:val="14"/>
              </w:numPr>
              <w:ind w:left="592" w:hanging="283"/>
              <w:rPr>
                <w:rFonts w:cstheme="minorHAnsi"/>
                <w:sz w:val="20"/>
                <w:szCs w:val="20"/>
              </w:rPr>
            </w:pPr>
            <w:r>
              <w:rPr>
                <w:sz w:val="20"/>
                <w:szCs w:val="20"/>
              </w:rPr>
              <w:t>A systemic filter, for example using the ecosystem services framework, is required assess the ramification and ideal integration of regulations, subsidies and institutions to optimise net societal benefit, including avoidance of unintended consequences</w:t>
            </w:r>
          </w:p>
          <w:p w14:paraId="64FE2D75" w14:textId="77777777" w:rsidR="007F19A6" w:rsidRDefault="007F19A6" w:rsidP="00BF1084">
            <w:pPr>
              <w:pStyle w:val="ListParagraph"/>
              <w:widowControl w:val="0"/>
              <w:numPr>
                <w:ilvl w:val="0"/>
                <w:numId w:val="14"/>
              </w:numPr>
              <w:ind w:left="592" w:hanging="283"/>
              <w:rPr>
                <w:rFonts w:cstheme="minorHAnsi"/>
                <w:sz w:val="20"/>
              </w:rPr>
            </w:pPr>
            <w:r>
              <w:rPr>
                <w:sz w:val="20"/>
                <w:szCs w:val="20"/>
              </w:rPr>
              <w:t>Novel information technology can provide a co-creative environment to enable more open and deliberative decision-making and policy formulation</w:t>
            </w:r>
          </w:p>
        </w:tc>
      </w:tr>
    </w:tbl>
    <w:p w14:paraId="54914426" w14:textId="0C5E4252" w:rsidR="007F19A6" w:rsidRDefault="007F19A6" w:rsidP="000C7864">
      <w:pPr>
        <w:rPr>
          <w:b/>
        </w:rPr>
      </w:pPr>
    </w:p>
    <w:p w14:paraId="1722FD1D" w14:textId="77777777" w:rsidR="0045163C" w:rsidRDefault="0045163C" w:rsidP="000C7864">
      <w:pPr>
        <w:rPr>
          <w:b/>
        </w:rPr>
      </w:pPr>
    </w:p>
    <w:sectPr w:rsidR="0045163C" w:rsidSect="00C375BD">
      <w:headerReference w:type="default" r:id="rId67"/>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4C74" w14:textId="77777777" w:rsidR="00525575" w:rsidRDefault="00525575" w:rsidP="00D03A57">
      <w:pPr>
        <w:spacing w:after="0" w:line="240" w:lineRule="auto"/>
      </w:pPr>
      <w:r>
        <w:separator/>
      </w:r>
    </w:p>
  </w:endnote>
  <w:endnote w:type="continuationSeparator" w:id="0">
    <w:p w14:paraId="214585ED" w14:textId="77777777" w:rsidR="00525575" w:rsidRDefault="00525575" w:rsidP="00D03A57">
      <w:pPr>
        <w:spacing w:after="0" w:line="240" w:lineRule="auto"/>
      </w:pPr>
      <w:r>
        <w:continuationSeparator/>
      </w:r>
    </w:p>
  </w:endnote>
  <w:endnote w:id="1">
    <w:p w14:paraId="73C63B10" w14:textId="03C4E322" w:rsidR="00BE5B34" w:rsidRDefault="00BE5B34" w:rsidP="007F19A6">
      <w:pPr>
        <w:pStyle w:val="EndnoteText"/>
        <w:rPr>
          <w:rFonts w:cstheme="minorHAnsi"/>
        </w:rPr>
      </w:pPr>
    </w:p>
  </w:endnote>
  <w:endnote w:id="2">
    <w:p w14:paraId="7C701E0B" w14:textId="69E48F17" w:rsidR="00BE5B34" w:rsidRDefault="00BE5B34" w:rsidP="007F19A6">
      <w:pPr>
        <w:pStyle w:val="EndnoteText"/>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997919"/>
      <w:docPartObj>
        <w:docPartGallery w:val="Page Numbers (Bottom of Page)"/>
        <w:docPartUnique/>
      </w:docPartObj>
    </w:sdtPr>
    <w:sdtEndPr>
      <w:rPr>
        <w:noProof/>
      </w:rPr>
    </w:sdtEndPr>
    <w:sdtContent>
      <w:p w14:paraId="7F01C318" w14:textId="2F2526F1" w:rsidR="00BE5B34" w:rsidRDefault="00BE5B34" w:rsidP="00E6301A">
        <w:pPr>
          <w:pStyle w:val="Footer"/>
          <w:jc w:val="center"/>
        </w:pPr>
        <w:r w:rsidRPr="00E6301A">
          <w:t>Reconnecting society with its ecological roots</w:t>
        </w:r>
        <w:r>
          <w:t xml:space="preserve">; Page </w:t>
        </w: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A486" w14:textId="77777777" w:rsidR="00525575" w:rsidRDefault="00525575" w:rsidP="00D03A57">
      <w:pPr>
        <w:spacing w:after="0" w:line="240" w:lineRule="auto"/>
      </w:pPr>
      <w:r>
        <w:separator/>
      </w:r>
    </w:p>
  </w:footnote>
  <w:footnote w:type="continuationSeparator" w:id="0">
    <w:p w14:paraId="7233CF66" w14:textId="77777777" w:rsidR="00525575" w:rsidRDefault="00525575" w:rsidP="00D03A57">
      <w:pPr>
        <w:spacing w:after="0" w:line="240" w:lineRule="auto"/>
      </w:pPr>
      <w:r>
        <w:continuationSeparator/>
      </w:r>
    </w:p>
  </w:footnote>
  <w:footnote w:id="1">
    <w:p w14:paraId="1BC5447B" w14:textId="0E881B25" w:rsidR="00BE5B34" w:rsidRDefault="00BE5B34">
      <w:pPr>
        <w:pStyle w:val="FootnoteText"/>
      </w:pPr>
      <w:r>
        <w:rPr>
          <w:rStyle w:val="FootnoteReference"/>
        </w:rPr>
        <w:footnoteRef/>
      </w:r>
      <w:r>
        <w:t xml:space="preserve"> </w:t>
      </w:r>
      <w:hyperlink r:id="rId1" w:history="1">
        <w:r w:rsidRPr="00587727">
          <w:rPr>
            <w:rStyle w:val="Hyperlink"/>
          </w:rPr>
          <w:t>https://www.ramsar.org/</w:t>
        </w:r>
      </w:hyperlink>
      <w:r>
        <w:t xml:space="preserve"> </w:t>
      </w:r>
    </w:p>
  </w:footnote>
  <w:footnote w:id="2">
    <w:p w14:paraId="067B6DB9" w14:textId="77777777" w:rsidR="00BE5B34" w:rsidRDefault="00BE5B34" w:rsidP="0025718D">
      <w:pPr>
        <w:pStyle w:val="FootnoteText"/>
      </w:pPr>
      <w:r>
        <w:rPr>
          <w:rStyle w:val="FootnoteReference"/>
        </w:rPr>
        <w:footnoteRef/>
      </w:r>
      <w:r>
        <w:t xml:space="preserve"> </w:t>
      </w:r>
      <w:hyperlink r:id="rId2" w:history="1">
        <w:r>
          <w:rPr>
            <w:rStyle w:val="Hyperlink"/>
          </w:rPr>
          <w:t>https://www.cbd.int/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DFC" w14:textId="170FD9D7" w:rsidR="00BE5B34" w:rsidRPr="00C375BD" w:rsidRDefault="00C375BD" w:rsidP="00C375BD">
    <w:pPr>
      <w:widowControl w:val="0"/>
      <w:rPr>
        <w:rFonts w:cstheme="minorHAnsi"/>
      </w:rPr>
    </w:pPr>
    <w:r w:rsidRPr="00C375BD">
      <w:rPr>
        <w:rFonts w:cstheme="minorHAnsi"/>
      </w:rPr>
      <w:t xml:space="preserve">FULL TEXT: </w:t>
    </w:r>
    <w:r w:rsidRPr="00C375BD">
      <w:rPr>
        <w:rFonts w:cstheme="minorHAnsi"/>
      </w:rPr>
      <w:t xml:space="preserve">Everard, M., Kass, G., Longhurst, J.W.S., </w:t>
    </w:r>
    <w:proofErr w:type="spellStart"/>
    <w:r w:rsidRPr="00C375BD">
      <w:rPr>
        <w:rFonts w:cstheme="minorHAnsi"/>
      </w:rPr>
      <w:t>zu</w:t>
    </w:r>
    <w:proofErr w:type="spellEnd"/>
    <w:r w:rsidRPr="00C375BD">
      <w:rPr>
        <w:rFonts w:cstheme="minorHAnsi"/>
      </w:rPr>
      <w:t xml:space="preserve"> </w:t>
    </w:r>
    <w:proofErr w:type="spellStart"/>
    <w:r w:rsidRPr="00C375BD">
      <w:rPr>
        <w:rFonts w:cstheme="minorHAnsi"/>
      </w:rPr>
      <w:t>Ermgassen</w:t>
    </w:r>
    <w:proofErr w:type="spellEnd"/>
    <w:r w:rsidRPr="00C375BD">
      <w:rPr>
        <w:rFonts w:cstheme="minorHAnsi"/>
      </w:rPr>
      <w:t>, S., Girardet, H., Stewart-Evans, J., Wentworth, J., Austin, K., Dwyer, C., Fish, R., Johnston, P., Mantle, G., Staddon, C., Tickner, D., Spode, S., Vale, J., Jarvis, R., Digby, M., Wren, G., Sunderland, T. and Craig, A. (</w:t>
    </w:r>
    <w:r w:rsidRPr="00C375BD">
      <w:rPr>
        <w:rFonts w:cstheme="minorHAnsi"/>
        <w:color w:val="FF0000"/>
      </w:rPr>
      <w:t>in press</w:t>
    </w:r>
    <w:r w:rsidRPr="00C375BD">
      <w:rPr>
        <w:rFonts w:cstheme="minorHAnsi"/>
      </w:rPr>
      <w:t xml:space="preserve">). Reconnecting Society with its ecological roots. </w:t>
    </w:r>
    <w:r w:rsidRPr="00C375BD">
      <w:rPr>
        <w:rFonts w:cstheme="minorHAnsi"/>
        <w:i/>
      </w:rPr>
      <w:t>Environmental Science and Policy</w:t>
    </w:r>
    <w:r w:rsidRPr="00C375BD">
      <w:rPr>
        <w:rFonts w:cstheme="minorHAnsi"/>
      </w:rPr>
      <w:t xml:space="preserve">, </w:t>
    </w:r>
    <w:r w:rsidRPr="00C375BD">
      <w:rPr>
        <w:rFonts w:cstheme="minorHAnsi"/>
        <w:i/>
        <w:color w:val="FF0000"/>
      </w:rPr>
      <w:t>in press</w:t>
    </w:r>
    <w:r w:rsidRPr="00C375BD">
      <w:rPr>
        <w:rFonts w:cstheme="minorHAnsi"/>
      </w:rPr>
      <w:t>.</w:t>
    </w:r>
  </w:p>
  <w:p w14:paraId="4B16B981" w14:textId="77777777" w:rsidR="00BE5B34" w:rsidRDefault="00BE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671029"/>
    <w:multiLevelType w:val="hybridMultilevel"/>
    <w:tmpl w:val="56C42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0C8368B"/>
    <w:multiLevelType w:val="hybridMultilevel"/>
    <w:tmpl w:val="48FC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01BC0"/>
    <w:multiLevelType w:val="hybridMultilevel"/>
    <w:tmpl w:val="A74486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C7349EF"/>
    <w:multiLevelType w:val="hybridMultilevel"/>
    <w:tmpl w:val="55B4496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1575EC5"/>
    <w:multiLevelType w:val="hybridMultilevel"/>
    <w:tmpl w:val="EBFA7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D4872"/>
    <w:multiLevelType w:val="multilevel"/>
    <w:tmpl w:val="F3E89AE4"/>
    <w:styleLink w:val="BoxParaBulletedList"/>
    <w:lvl w:ilvl="0">
      <w:start w:val="1"/>
      <w:numFmt w:val="bullet"/>
      <w:pStyle w:val="BoxParaBullet"/>
      <w:lvlText w:val=""/>
      <w:lvlJc w:val="left"/>
      <w:pPr>
        <w:tabs>
          <w:tab w:val="num" w:pos="199"/>
        </w:tabs>
        <w:ind w:left="199" w:hanging="199"/>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4B2CDC"/>
    <w:multiLevelType w:val="hybridMultilevel"/>
    <w:tmpl w:val="10A27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BA66328"/>
    <w:multiLevelType w:val="multilevel"/>
    <w:tmpl w:val="7422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90D6E"/>
    <w:multiLevelType w:val="hybridMultilevel"/>
    <w:tmpl w:val="BBBA4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9F4BF8"/>
    <w:multiLevelType w:val="hybridMultilevel"/>
    <w:tmpl w:val="0BFC4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20A2E86">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C6CB0"/>
    <w:multiLevelType w:val="hybridMultilevel"/>
    <w:tmpl w:val="B30A3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87EA7"/>
    <w:multiLevelType w:val="hybridMultilevel"/>
    <w:tmpl w:val="4CF48F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54A31"/>
    <w:multiLevelType w:val="hybridMultilevel"/>
    <w:tmpl w:val="1F4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1472F"/>
    <w:multiLevelType w:val="hybridMultilevel"/>
    <w:tmpl w:val="4A7CD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8D6CD3"/>
    <w:multiLevelType w:val="hybridMultilevel"/>
    <w:tmpl w:val="383E1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013E92"/>
    <w:multiLevelType w:val="hybridMultilevel"/>
    <w:tmpl w:val="75DCF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D1DBC"/>
    <w:multiLevelType w:val="hybridMultilevel"/>
    <w:tmpl w:val="F670EA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F416D93"/>
    <w:multiLevelType w:val="hybridMultilevel"/>
    <w:tmpl w:val="DCC2BD1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436F4381"/>
    <w:multiLevelType w:val="hybridMultilevel"/>
    <w:tmpl w:val="E8AA7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81748B"/>
    <w:multiLevelType w:val="hybridMultilevel"/>
    <w:tmpl w:val="892264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8AB1121"/>
    <w:multiLevelType w:val="hybridMultilevel"/>
    <w:tmpl w:val="971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C55A2"/>
    <w:multiLevelType w:val="hybridMultilevel"/>
    <w:tmpl w:val="EA626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DD1B93"/>
    <w:multiLevelType w:val="hybridMultilevel"/>
    <w:tmpl w:val="0EEA9A06"/>
    <w:lvl w:ilvl="0" w:tplc="B962993A">
      <w:numFmt w:val="bullet"/>
      <w:lvlText w:val="-"/>
      <w:lvlJc w:val="left"/>
      <w:pPr>
        <w:ind w:left="465"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FD377E"/>
    <w:multiLevelType w:val="hybridMultilevel"/>
    <w:tmpl w:val="2FC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5415D99"/>
    <w:multiLevelType w:val="hybridMultilevel"/>
    <w:tmpl w:val="DF3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1033A"/>
    <w:multiLevelType w:val="hybridMultilevel"/>
    <w:tmpl w:val="D00AAE8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66C14051"/>
    <w:multiLevelType w:val="hybridMultilevel"/>
    <w:tmpl w:val="4C8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A4ED7"/>
    <w:multiLevelType w:val="multilevel"/>
    <w:tmpl w:val="9486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914F4"/>
    <w:multiLevelType w:val="hybridMultilevel"/>
    <w:tmpl w:val="F14EF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BA3788"/>
    <w:multiLevelType w:val="hybridMultilevel"/>
    <w:tmpl w:val="364EA46C"/>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8EC4530"/>
    <w:multiLevelType w:val="hybridMultilevel"/>
    <w:tmpl w:val="092A1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151631"/>
    <w:multiLevelType w:val="hybridMultilevel"/>
    <w:tmpl w:val="35DCC5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5"/>
  </w:num>
  <w:num w:numId="5">
    <w:abstractNumId w:val="27"/>
  </w:num>
  <w:num w:numId="6">
    <w:abstractNumId w:val="26"/>
  </w:num>
  <w:num w:numId="7">
    <w:abstractNumId w:val="33"/>
  </w:num>
  <w:num w:numId="8">
    <w:abstractNumId w:val="14"/>
  </w:num>
  <w:num w:numId="9">
    <w:abstractNumId w:val="19"/>
  </w:num>
  <w:num w:numId="10">
    <w:abstractNumId w:val="7"/>
  </w:num>
  <w:num w:numId="11">
    <w:abstractNumId w:val="10"/>
  </w:num>
  <w:num w:numId="12">
    <w:abstractNumId w:val="6"/>
  </w:num>
  <w:num w:numId="13">
    <w:abstractNumId w:val="21"/>
  </w:num>
  <w:num w:numId="14">
    <w:abstractNumId w:val="20"/>
  </w:num>
  <w:num w:numId="15">
    <w:abstractNumId w:val="30"/>
  </w:num>
  <w:num w:numId="16">
    <w:abstractNumId w:val="28"/>
  </w:num>
  <w:num w:numId="17">
    <w:abstractNumId w:val="4"/>
  </w:num>
  <w:num w:numId="18">
    <w:abstractNumId w:val="18"/>
  </w:num>
  <w:num w:numId="19">
    <w:abstractNumId w:val="34"/>
  </w:num>
  <w:num w:numId="20">
    <w:abstractNumId w:val="5"/>
  </w:num>
  <w:num w:numId="21">
    <w:abstractNumId w:val="8"/>
  </w:num>
  <w:num w:numId="22">
    <w:abstractNumId w:val="23"/>
  </w:num>
  <w:num w:numId="23">
    <w:abstractNumId w:val="22"/>
  </w:num>
  <w:num w:numId="24">
    <w:abstractNumId w:val="16"/>
  </w:num>
  <w:num w:numId="25">
    <w:abstractNumId w:val="29"/>
  </w:num>
  <w:num w:numId="26">
    <w:abstractNumId w:val="25"/>
  </w:num>
  <w:num w:numId="27">
    <w:abstractNumId w:val="32"/>
  </w:num>
  <w:num w:numId="28">
    <w:abstractNumId w:val="17"/>
  </w:num>
  <w:num w:numId="29">
    <w:abstractNumId w:val="0"/>
  </w:num>
  <w:num w:numId="30">
    <w:abstractNumId w:val="1"/>
  </w:num>
  <w:num w:numId="31">
    <w:abstractNumId w:val="2"/>
  </w:num>
  <w:num w:numId="32">
    <w:abstractNumId w:val="3"/>
  </w:num>
  <w:num w:numId="33">
    <w:abstractNumId w:val="11"/>
  </w:num>
  <w:num w:numId="34">
    <w:abstractNumId w:val="31"/>
  </w:num>
  <w:num w:numId="35">
    <w:abstractNumId w:val="12"/>
  </w:num>
  <w:num w:numId="3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5B"/>
    <w:rsid w:val="00000DF4"/>
    <w:rsid w:val="00002BC1"/>
    <w:rsid w:val="00002EB1"/>
    <w:rsid w:val="00003154"/>
    <w:rsid w:val="000040F2"/>
    <w:rsid w:val="00004A75"/>
    <w:rsid w:val="000060D1"/>
    <w:rsid w:val="0001360C"/>
    <w:rsid w:val="00015BFD"/>
    <w:rsid w:val="00017BAC"/>
    <w:rsid w:val="00023430"/>
    <w:rsid w:val="00023CD7"/>
    <w:rsid w:val="00033969"/>
    <w:rsid w:val="00033D66"/>
    <w:rsid w:val="00035465"/>
    <w:rsid w:val="00036A07"/>
    <w:rsid w:val="0003729C"/>
    <w:rsid w:val="0005177F"/>
    <w:rsid w:val="00053A89"/>
    <w:rsid w:val="00062073"/>
    <w:rsid w:val="000642EA"/>
    <w:rsid w:val="000665CE"/>
    <w:rsid w:val="00071DC0"/>
    <w:rsid w:val="00072443"/>
    <w:rsid w:val="000823B7"/>
    <w:rsid w:val="00083ABB"/>
    <w:rsid w:val="00085AD6"/>
    <w:rsid w:val="000918DA"/>
    <w:rsid w:val="0009427D"/>
    <w:rsid w:val="0009535C"/>
    <w:rsid w:val="00095A8F"/>
    <w:rsid w:val="00096416"/>
    <w:rsid w:val="00097E28"/>
    <w:rsid w:val="000A3306"/>
    <w:rsid w:val="000A3B0B"/>
    <w:rsid w:val="000A5CD8"/>
    <w:rsid w:val="000B0029"/>
    <w:rsid w:val="000B467D"/>
    <w:rsid w:val="000B7510"/>
    <w:rsid w:val="000C18CC"/>
    <w:rsid w:val="000C4826"/>
    <w:rsid w:val="000C57AB"/>
    <w:rsid w:val="000C7864"/>
    <w:rsid w:val="000D3A9C"/>
    <w:rsid w:val="000D63D7"/>
    <w:rsid w:val="000E03B7"/>
    <w:rsid w:val="000E18C8"/>
    <w:rsid w:val="000E2511"/>
    <w:rsid w:val="000E75F5"/>
    <w:rsid w:val="000E7840"/>
    <w:rsid w:val="000F5A00"/>
    <w:rsid w:val="000F69DE"/>
    <w:rsid w:val="000F70AC"/>
    <w:rsid w:val="00102D82"/>
    <w:rsid w:val="0010450C"/>
    <w:rsid w:val="00104E03"/>
    <w:rsid w:val="00111828"/>
    <w:rsid w:val="00125010"/>
    <w:rsid w:val="00132F8B"/>
    <w:rsid w:val="001365F9"/>
    <w:rsid w:val="00137320"/>
    <w:rsid w:val="00141D9A"/>
    <w:rsid w:val="00143F1B"/>
    <w:rsid w:val="0014420E"/>
    <w:rsid w:val="00146AD3"/>
    <w:rsid w:val="00146F9D"/>
    <w:rsid w:val="001579C6"/>
    <w:rsid w:val="0016250D"/>
    <w:rsid w:val="00163CAD"/>
    <w:rsid w:val="00163D9F"/>
    <w:rsid w:val="001678D5"/>
    <w:rsid w:val="00172B84"/>
    <w:rsid w:val="001730CF"/>
    <w:rsid w:val="00174B53"/>
    <w:rsid w:val="00176554"/>
    <w:rsid w:val="001773E5"/>
    <w:rsid w:val="00183C54"/>
    <w:rsid w:val="00187B21"/>
    <w:rsid w:val="00194BC8"/>
    <w:rsid w:val="0019556F"/>
    <w:rsid w:val="00196EF9"/>
    <w:rsid w:val="00196F05"/>
    <w:rsid w:val="001A13E3"/>
    <w:rsid w:val="001A24D6"/>
    <w:rsid w:val="001A582C"/>
    <w:rsid w:val="001A5E07"/>
    <w:rsid w:val="001A60FB"/>
    <w:rsid w:val="001B22EE"/>
    <w:rsid w:val="001B2E1B"/>
    <w:rsid w:val="001B435B"/>
    <w:rsid w:val="001C101A"/>
    <w:rsid w:val="001C6D28"/>
    <w:rsid w:val="001C73FD"/>
    <w:rsid w:val="001D0366"/>
    <w:rsid w:val="001D2CDD"/>
    <w:rsid w:val="001E22AB"/>
    <w:rsid w:val="001E4421"/>
    <w:rsid w:val="001E5A92"/>
    <w:rsid w:val="001E5AF9"/>
    <w:rsid w:val="001F6BEE"/>
    <w:rsid w:val="00201756"/>
    <w:rsid w:val="00203C28"/>
    <w:rsid w:val="00203E6B"/>
    <w:rsid w:val="00203F2E"/>
    <w:rsid w:val="00207950"/>
    <w:rsid w:val="00212E42"/>
    <w:rsid w:val="002135BE"/>
    <w:rsid w:val="0021567C"/>
    <w:rsid w:val="00215860"/>
    <w:rsid w:val="00217867"/>
    <w:rsid w:val="00223B48"/>
    <w:rsid w:val="002242D6"/>
    <w:rsid w:val="002255D4"/>
    <w:rsid w:val="00227C61"/>
    <w:rsid w:val="0023315B"/>
    <w:rsid w:val="00233675"/>
    <w:rsid w:val="00235DF3"/>
    <w:rsid w:val="00236D0B"/>
    <w:rsid w:val="00244709"/>
    <w:rsid w:val="00253DF5"/>
    <w:rsid w:val="00255193"/>
    <w:rsid w:val="0025646E"/>
    <w:rsid w:val="00256D86"/>
    <w:rsid w:val="0025718D"/>
    <w:rsid w:val="00261051"/>
    <w:rsid w:val="00263FC1"/>
    <w:rsid w:val="00264107"/>
    <w:rsid w:val="002643CD"/>
    <w:rsid w:val="0026470A"/>
    <w:rsid w:val="002651B1"/>
    <w:rsid w:val="00270499"/>
    <w:rsid w:val="00270B42"/>
    <w:rsid w:val="00271225"/>
    <w:rsid w:val="002717FF"/>
    <w:rsid w:val="0027378E"/>
    <w:rsid w:val="0027579E"/>
    <w:rsid w:val="0028117E"/>
    <w:rsid w:val="002816E7"/>
    <w:rsid w:val="002856D2"/>
    <w:rsid w:val="002904C4"/>
    <w:rsid w:val="002933E7"/>
    <w:rsid w:val="0029354A"/>
    <w:rsid w:val="002A51F8"/>
    <w:rsid w:val="002A66D1"/>
    <w:rsid w:val="002B1937"/>
    <w:rsid w:val="002B35F6"/>
    <w:rsid w:val="002B402D"/>
    <w:rsid w:val="002C0BCA"/>
    <w:rsid w:val="002C0ECA"/>
    <w:rsid w:val="002C3511"/>
    <w:rsid w:val="002C653E"/>
    <w:rsid w:val="002D6B79"/>
    <w:rsid w:val="002E2555"/>
    <w:rsid w:val="002E27D4"/>
    <w:rsid w:val="002E4338"/>
    <w:rsid w:val="002E6E3D"/>
    <w:rsid w:val="002F2A64"/>
    <w:rsid w:val="002F2C27"/>
    <w:rsid w:val="00302D44"/>
    <w:rsid w:val="00304139"/>
    <w:rsid w:val="00306C7A"/>
    <w:rsid w:val="00310697"/>
    <w:rsid w:val="0031363D"/>
    <w:rsid w:val="00314CC0"/>
    <w:rsid w:val="003150A7"/>
    <w:rsid w:val="00317296"/>
    <w:rsid w:val="0031734D"/>
    <w:rsid w:val="0032123B"/>
    <w:rsid w:val="00323DB1"/>
    <w:rsid w:val="00327CAF"/>
    <w:rsid w:val="003326A7"/>
    <w:rsid w:val="0033542D"/>
    <w:rsid w:val="0033600A"/>
    <w:rsid w:val="003360E3"/>
    <w:rsid w:val="00340C76"/>
    <w:rsid w:val="003460E3"/>
    <w:rsid w:val="003523E6"/>
    <w:rsid w:val="003544F5"/>
    <w:rsid w:val="00360E01"/>
    <w:rsid w:val="0036112D"/>
    <w:rsid w:val="00362F36"/>
    <w:rsid w:val="003700C8"/>
    <w:rsid w:val="003715A9"/>
    <w:rsid w:val="00371ACC"/>
    <w:rsid w:val="003742E4"/>
    <w:rsid w:val="00375B7A"/>
    <w:rsid w:val="003769A5"/>
    <w:rsid w:val="0038405B"/>
    <w:rsid w:val="003844E9"/>
    <w:rsid w:val="00387800"/>
    <w:rsid w:val="00391DF7"/>
    <w:rsid w:val="003929AB"/>
    <w:rsid w:val="00396222"/>
    <w:rsid w:val="003A1591"/>
    <w:rsid w:val="003A1B2B"/>
    <w:rsid w:val="003A3F7F"/>
    <w:rsid w:val="003A5D14"/>
    <w:rsid w:val="003A5D85"/>
    <w:rsid w:val="003B0D88"/>
    <w:rsid w:val="003B49E0"/>
    <w:rsid w:val="003B7DB2"/>
    <w:rsid w:val="003C1C79"/>
    <w:rsid w:val="003C3AC6"/>
    <w:rsid w:val="003C5A3D"/>
    <w:rsid w:val="003C7108"/>
    <w:rsid w:val="003D092B"/>
    <w:rsid w:val="003D0A7C"/>
    <w:rsid w:val="003D4027"/>
    <w:rsid w:val="003D504F"/>
    <w:rsid w:val="003E25C2"/>
    <w:rsid w:val="003E3C9D"/>
    <w:rsid w:val="003F1378"/>
    <w:rsid w:val="003F3B22"/>
    <w:rsid w:val="003F5B02"/>
    <w:rsid w:val="0040072F"/>
    <w:rsid w:val="00402CF7"/>
    <w:rsid w:val="00403B80"/>
    <w:rsid w:val="00410916"/>
    <w:rsid w:val="00410C9B"/>
    <w:rsid w:val="00413FF1"/>
    <w:rsid w:val="0042089B"/>
    <w:rsid w:val="004217EC"/>
    <w:rsid w:val="00422C90"/>
    <w:rsid w:val="00423B54"/>
    <w:rsid w:val="0042571C"/>
    <w:rsid w:val="00425E1F"/>
    <w:rsid w:val="004272AF"/>
    <w:rsid w:val="0043074E"/>
    <w:rsid w:val="00435EFE"/>
    <w:rsid w:val="00436555"/>
    <w:rsid w:val="00436A74"/>
    <w:rsid w:val="00442860"/>
    <w:rsid w:val="00443C09"/>
    <w:rsid w:val="0044695C"/>
    <w:rsid w:val="00447EC0"/>
    <w:rsid w:val="0045163C"/>
    <w:rsid w:val="00452484"/>
    <w:rsid w:val="00453349"/>
    <w:rsid w:val="004615B1"/>
    <w:rsid w:val="004649E1"/>
    <w:rsid w:val="00464D7E"/>
    <w:rsid w:val="00467031"/>
    <w:rsid w:val="00472067"/>
    <w:rsid w:val="0047281C"/>
    <w:rsid w:val="0047528E"/>
    <w:rsid w:val="00482812"/>
    <w:rsid w:val="004862F5"/>
    <w:rsid w:val="00486313"/>
    <w:rsid w:val="00490D34"/>
    <w:rsid w:val="00496BF8"/>
    <w:rsid w:val="00497BDB"/>
    <w:rsid w:val="004A4408"/>
    <w:rsid w:val="004A4C3A"/>
    <w:rsid w:val="004A6F0A"/>
    <w:rsid w:val="004A7782"/>
    <w:rsid w:val="004B0E77"/>
    <w:rsid w:val="004B5A4E"/>
    <w:rsid w:val="004B672A"/>
    <w:rsid w:val="004C0BEB"/>
    <w:rsid w:val="004C132D"/>
    <w:rsid w:val="004C133C"/>
    <w:rsid w:val="004C2A42"/>
    <w:rsid w:val="004C3D48"/>
    <w:rsid w:val="004C532A"/>
    <w:rsid w:val="004C769A"/>
    <w:rsid w:val="004D5052"/>
    <w:rsid w:val="004D6A51"/>
    <w:rsid w:val="004E4D11"/>
    <w:rsid w:val="004F5A08"/>
    <w:rsid w:val="004F6AA5"/>
    <w:rsid w:val="004F76A1"/>
    <w:rsid w:val="00501D7B"/>
    <w:rsid w:val="00507241"/>
    <w:rsid w:val="00511F35"/>
    <w:rsid w:val="005129CF"/>
    <w:rsid w:val="00512A65"/>
    <w:rsid w:val="00516059"/>
    <w:rsid w:val="005178F1"/>
    <w:rsid w:val="00520557"/>
    <w:rsid w:val="00523EDC"/>
    <w:rsid w:val="0052420A"/>
    <w:rsid w:val="005243A5"/>
    <w:rsid w:val="00525575"/>
    <w:rsid w:val="00525B31"/>
    <w:rsid w:val="00531AD2"/>
    <w:rsid w:val="00531BE3"/>
    <w:rsid w:val="005334A0"/>
    <w:rsid w:val="00534997"/>
    <w:rsid w:val="0054093E"/>
    <w:rsid w:val="005437F3"/>
    <w:rsid w:val="005457DD"/>
    <w:rsid w:val="00545BA6"/>
    <w:rsid w:val="00550E5D"/>
    <w:rsid w:val="00554D1C"/>
    <w:rsid w:val="00555F59"/>
    <w:rsid w:val="0056041E"/>
    <w:rsid w:val="00560D5C"/>
    <w:rsid w:val="0056155B"/>
    <w:rsid w:val="00563AD8"/>
    <w:rsid w:val="00564820"/>
    <w:rsid w:val="005674A2"/>
    <w:rsid w:val="00571EED"/>
    <w:rsid w:val="00573CA0"/>
    <w:rsid w:val="00574ED2"/>
    <w:rsid w:val="0058049E"/>
    <w:rsid w:val="0058140F"/>
    <w:rsid w:val="00585404"/>
    <w:rsid w:val="00590A1E"/>
    <w:rsid w:val="00593396"/>
    <w:rsid w:val="0059460D"/>
    <w:rsid w:val="005A233D"/>
    <w:rsid w:val="005A24B0"/>
    <w:rsid w:val="005A6841"/>
    <w:rsid w:val="005A7D75"/>
    <w:rsid w:val="005B1176"/>
    <w:rsid w:val="005B3C7D"/>
    <w:rsid w:val="005B40FB"/>
    <w:rsid w:val="005B4834"/>
    <w:rsid w:val="005B4913"/>
    <w:rsid w:val="005B6A91"/>
    <w:rsid w:val="005C1477"/>
    <w:rsid w:val="005C3AB1"/>
    <w:rsid w:val="005D0B1A"/>
    <w:rsid w:val="005D0CBA"/>
    <w:rsid w:val="005D26F0"/>
    <w:rsid w:val="005D31C7"/>
    <w:rsid w:val="005E5972"/>
    <w:rsid w:val="005E63AD"/>
    <w:rsid w:val="005E6EDC"/>
    <w:rsid w:val="005E786D"/>
    <w:rsid w:val="005F113C"/>
    <w:rsid w:val="005F3166"/>
    <w:rsid w:val="005F710D"/>
    <w:rsid w:val="005F71E6"/>
    <w:rsid w:val="0060078E"/>
    <w:rsid w:val="0060529E"/>
    <w:rsid w:val="0060713B"/>
    <w:rsid w:val="00611076"/>
    <w:rsid w:val="00611732"/>
    <w:rsid w:val="006125AC"/>
    <w:rsid w:val="006125C4"/>
    <w:rsid w:val="00615ECB"/>
    <w:rsid w:val="00616B8D"/>
    <w:rsid w:val="00616D51"/>
    <w:rsid w:val="006207FB"/>
    <w:rsid w:val="00620B92"/>
    <w:rsid w:val="00621F6D"/>
    <w:rsid w:val="00622066"/>
    <w:rsid w:val="00623EE4"/>
    <w:rsid w:val="006317A5"/>
    <w:rsid w:val="00633539"/>
    <w:rsid w:val="00633D19"/>
    <w:rsid w:val="00633D20"/>
    <w:rsid w:val="00634B45"/>
    <w:rsid w:val="00635D7F"/>
    <w:rsid w:val="00642685"/>
    <w:rsid w:val="00643DC8"/>
    <w:rsid w:val="00644B83"/>
    <w:rsid w:val="00645CE4"/>
    <w:rsid w:val="006463C9"/>
    <w:rsid w:val="00646EF2"/>
    <w:rsid w:val="0065045B"/>
    <w:rsid w:val="00650469"/>
    <w:rsid w:val="00650F49"/>
    <w:rsid w:val="006561CE"/>
    <w:rsid w:val="00656497"/>
    <w:rsid w:val="006567A8"/>
    <w:rsid w:val="00661C63"/>
    <w:rsid w:val="00664B5F"/>
    <w:rsid w:val="00666E6A"/>
    <w:rsid w:val="00667006"/>
    <w:rsid w:val="0067100B"/>
    <w:rsid w:val="00675F9A"/>
    <w:rsid w:val="0067712E"/>
    <w:rsid w:val="006809DF"/>
    <w:rsid w:val="00680DC5"/>
    <w:rsid w:val="00681B14"/>
    <w:rsid w:val="00692E9B"/>
    <w:rsid w:val="0069316D"/>
    <w:rsid w:val="006939B2"/>
    <w:rsid w:val="00693E78"/>
    <w:rsid w:val="00696272"/>
    <w:rsid w:val="006A16DB"/>
    <w:rsid w:val="006A2561"/>
    <w:rsid w:val="006A3FD2"/>
    <w:rsid w:val="006A77A8"/>
    <w:rsid w:val="006B1CD0"/>
    <w:rsid w:val="006B20CA"/>
    <w:rsid w:val="006B7F60"/>
    <w:rsid w:val="006C2742"/>
    <w:rsid w:val="006C3873"/>
    <w:rsid w:val="006C4397"/>
    <w:rsid w:val="006D04C5"/>
    <w:rsid w:val="006E3311"/>
    <w:rsid w:val="006E5E14"/>
    <w:rsid w:val="006F2DB4"/>
    <w:rsid w:val="006F39C2"/>
    <w:rsid w:val="006F5000"/>
    <w:rsid w:val="006F5F39"/>
    <w:rsid w:val="007006DC"/>
    <w:rsid w:val="007031CF"/>
    <w:rsid w:val="00703D42"/>
    <w:rsid w:val="00704761"/>
    <w:rsid w:val="00704C42"/>
    <w:rsid w:val="00707003"/>
    <w:rsid w:val="00707B9C"/>
    <w:rsid w:val="00713021"/>
    <w:rsid w:val="0071366F"/>
    <w:rsid w:val="00726740"/>
    <w:rsid w:val="0073012C"/>
    <w:rsid w:val="00730DB3"/>
    <w:rsid w:val="007325CB"/>
    <w:rsid w:val="007341F5"/>
    <w:rsid w:val="00735E67"/>
    <w:rsid w:val="0074706E"/>
    <w:rsid w:val="007541FE"/>
    <w:rsid w:val="007652BD"/>
    <w:rsid w:val="00766039"/>
    <w:rsid w:val="00767FC5"/>
    <w:rsid w:val="007735BF"/>
    <w:rsid w:val="007808E4"/>
    <w:rsid w:val="0078560D"/>
    <w:rsid w:val="00785977"/>
    <w:rsid w:val="0078613D"/>
    <w:rsid w:val="00787715"/>
    <w:rsid w:val="0079276A"/>
    <w:rsid w:val="00797570"/>
    <w:rsid w:val="00797C5F"/>
    <w:rsid w:val="007A03BA"/>
    <w:rsid w:val="007A13C6"/>
    <w:rsid w:val="007A219A"/>
    <w:rsid w:val="007A3392"/>
    <w:rsid w:val="007A4B54"/>
    <w:rsid w:val="007A7386"/>
    <w:rsid w:val="007B35C5"/>
    <w:rsid w:val="007B4995"/>
    <w:rsid w:val="007B59E3"/>
    <w:rsid w:val="007B5B80"/>
    <w:rsid w:val="007B6818"/>
    <w:rsid w:val="007B7C51"/>
    <w:rsid w:val="007C0451"/>
    <w:rsid w:val="007C0CFA"/>
    <w:rsid w:val="007C2BB1"/>
    <w:rsid w:val="007C6E9F"/>
    <w:rsid w:val="007C7E26"/>
    <w:rsid w:val="007D1023"/>
    <w:rsid w:val="007D37E5"/>
    <w:rsid w:val="007E2389"/>
    <w:rsid w:val="007E2DCB"/>
    <w:rsid w:val="007E330E"/>
    <w:rsid w:val="007E4A0B"/>
    <w:rsid w:val="007E55AC"/>
    <w:rsid w:val="007E682E"/>
    <w:rsid w:val="007E698E"/>
    <w:rsid w:val="007E6C66"/>
    <w:rsid w:val="007E7021"/>
    <w:rsid w:val="007E7024"/>
    <w:rsid w:val="007E7299"/>
    <w:rsid w:val="007E7A20"/>
    <w:rsid w:val="007F1513"/>
    <w:rsid w:val="007F19A6"/>
    <w:rsid w:val="007F1D33"/>
    <w:rsid w:val="007F319F"/>
    <w:rsid w:val="007F4434"/>
    <w:rsid w:val="00805057"/>
    <w:rsid w:val="008139F8"/>
    <w:rsid w:val="00815E51"/>
    <w:rsid w:val="008201DD"/>
    <w:rsid w:val="008225BE"/>
    <w:rsid w:val="008226D6"/>
    <w:rsid w:val="00824FB3"/>
    <w:rsid w:val="00825BC9"/>
    <w:rsid w:val="00827922"/>
    <w:rsid w:val="0083237C"/>
    <w:rsid w:val="00832F48"/>
    <w:rsid w:val="00836F97"/>
    <w:rsid w:val="00843F5A"/>
    <w:rsid w:val="0084457D"/>
    <w:rsid w:val="00845C22"/>
    <w:rsid w:val="008468BD"/>
    <w:rsid w:val="0085162E"/>
    <w:rsid w:val="00852B21"/>
    <w:rsid w:val="008531B7"/>
    <w:rsid w:val="00856A08"/>
    <w:rsid w:val="00857709"/>
    <w:rsid w:val="008631A3"/>
    <w:rsid w:val="00866100"/>
    <w:rsid w:val="00872E37"/>
    <w:rsid w:val="0087633B"/>
    <w:rsid w:val="00881929"/>
    <w:rsid w:val="00890EDD"/>
    <w:rsid w:val="008925D1"/>
    <w:rsid w:val="008931D5"/>
    <w:rsid w:val="008945BF"/>
    <w:rsid w:val="0089486E"/>
    <w:rsid w:val="00897CA3"/>
    <w:rsid w:val="008A0E38"/>
    <w:rsid w:val="008A3676"/>
    <w:rsid w:val="008A3708"/>
    <w:rsid w:val="008A3D4E"/>
    <w:rsid w:val="008A717F"/>
    <w:rsid w:val="008B1CD2"/>
    <w:rsid w:val="008B2ADD"/>
    <w:rsid w:val="008B4E32"/>
    <w:rsid w:val="008B5B66"/>
    <w:rsid w:val="008B656F"/>
    <w:rsid w:val="008C19BF"/>
    <w:rsid w:val="008C3357"/>
    <w:rsid w:val="008C4ADD"/>
    <w:rsid w:val="008C6997"/>
    <w:rsid w:val="008C70E8"/>
    <w:rsid w:val="008C7509"/>
    <w:rsid w:val="008D03A7"/>
    <w:rsid w:val="008D5D8A"/>
    <w:rsid w:val="008E3646"/>
    <w:rsid w:val="008E6630"/>
    <w:rsid w:val="008F0B84"/>
    <w:rsid w:val="008F4E47"/>
    <w:rsid w:val="008F4F59"/>
    <w:rsid w:val="008F69BC"/>
    <w:rsid w:val="00902178"/>
    <w:rsid w:val="0090232C"/>
    <w:rsid w:val="0090485F"/>
    <w:rsid w:val="00907529"/>
    <w:rsid w:val="00912BD7"/>
    <w:rsid w:val="0091603F"/>
    <w:rsid w:val="00916CF7"/>
    <w:rsid w:val="00921A29"/>
    <w:rsid w:val="00930500"/>
    <w:rsid w:val="009374D8"/>
    <w:rsid w:val="0094044A"/>
    <w:rsid w:val="009435AF"/>
    <w:rsid w:val="00953009"/>
    <w:rsid w:val="00962336"/>
    <w:rsid w:val="00962CF5"/>
    <w:rsid w:val="00963141"/>
    <w:rsid w:val="00965127"/>
    <w:rsid w:val="0096706D"/>
    <w:rsid w:val="00976078"/>
    <w:rsid w:val="0097610A"/>
    <w:rsid w:val="009764B0"/>
    <w:rsid w:val="00977AD2"/>
    <w:rsid w:val="009832F7"/>
    <w:rsid w:val="00983BA9"/>
    <w:rsid w:val="009867C7"/>
    <w:rsid w:val="00986D51"/>
    <w:rsid w:val="0099792F"/>
    <w:rsid w:val="009A2F10"/>
    <w:rsid w:val="009A3D55"/>
    <w:rsid w:val="009A5313"/>
    <w:rsid w:val="009A5919"/>
    <w:rsid w:val="009A6D42"/>
    <w:rsid w:val="009B18A1"/>
    <w:rsid w:val="009B1CA4"/>
    <w:rsid w:val="009B5485"/>
    <w:rsid w:val="009B6E7E"/>
    <w:rsid w:val="009B723F"/>
    <w:rsid w:val="009C0D08"/>
    <w:rsid w:val="009C232C"/>
    <w:rsid w:val="009C611E"/>
    <w:rsid w:val="009C6E46"/>
    <w:rsid w:val="009D050E"/>
    <w:rsid w:val="009D4129"/>
    <w:rsid w:val="009E0792"/>
    <w:rsid w:val="009E39BD"/>
    <w:rsid w:val="009E3CE4"/>
    <w:rsid w:val="009E4D8E"/>
    <w:rsid w:val="009E55FB"/>
    <w:rsid w:val="009E577B"/>
    <w:rsid w:val="009E6029"/>
    <w:rsid w:val="009E7F1B"/>
    <w:rsid w:val="009F2335"/>
    <w:rsid w:val="009F2BE8"/>
    <w:rsid w:val="00A0042D"/>
    <w:rsid w:val="00A108BC"/>
    <w:rsid w:val="00A10D0A"/>
    <w:rsid w:val="00A11451"/>
    <w:rsid w:val="00A13A3E"/>
    <w:rsid w:val="00A14996"/>
    <w:rsid w:val="00A16DB3"/>
    <w:rsid w:val="00A23EED"/>
    <w:rsid w:val="00A25124"/>
    <w:rsid w:val="00A27CFD"/>
    <w:rsid w:val="00A342E5"/>
    <w:rsid w:val="00A37DD7"/>
    <w:rsid w:val="00A42345"/>
    <w:rsid w:val="00A50612"/>
    <w:rsid w:val="00A50F08"/>
    <w:rsid w:val="00A522F1"/>
    <w:rsid w:val="00A530DB"/>
    <w:rsid w:val="00A53980"/>
    <w:rsid w:val="00A561B6"/>
    <w:rsid w:val="00A65C34"/>
    <w:rsid w:val="00A67426"/>
    <w:rsid w:val="00A72821"/>
    <w:rsid w:val="00A734A4"/>
    <w:rsid w:val="00A75DFD"/>
    <w:rsid w:val="00A7636E"/>
    <w:rsid w:val="00A768F2"/>
    <w:rsid w:val="00A77661"/>
    <w:rsid w:val="00A80359"/>
    <w:rsid w:val="00A846E7"/>
    <w:rsid w:val="00A85C40"/>
    <w:rsid w:val="00A90236"/>
    <w:rsid w:val="00A93262"/>
    <w:rsid w:val="00A961D6"/>
    <w:rsid w:val="00AA0632"/>
    <w:rsid w:val="00AA2621"/>
    <w:rsid w:val="00AA2D04"/>
    <w:rsid w:val="00AA69AB"/>
    <w:rsid w:val="00AB231A"/>
    <w:rsid w:val="00AB3B77"/>
    <w:rsid w:val="00AB6C95"/>
    <w:rsid w:val="00AB6D05"/>
    <w:rsid w:val="00AB73CC"/>
    <w:rsid w:val="00AC20AE"/>
    <w:rsid w:val="00AC28C1"/>
    <w:rsid w:val="00AC2A35"/>
    <w:rsid w:val="00AC2EE3"/>
    <w:rsid w:val="00AC7A18"/>
    <w:rsid w:val="00AD08F0"/>
    <w:rsid w:val="00AD31DE"/>
    <w:rsid w:val="00AD5239"/>
    <w:rsid w:val="00AD63A6"/>
    <w:rsid w:val="00AD7BF0"/>
    <w:rsid w:val="00AE1977"/>
    <w:rsid w:val="00AE1EE2"/>
    <w:rsid w:val="00AE31D2"/>
    <w:rsid w:val="00AE46F7"/>
    <w:rsid w:val="00AE5639"/>
    <w:rsid w:val="00AE7525"/>
    <w:rsid w:val="00AE75B7"/>
    <w:rsid w:val="00AF3084"/>
    <w:rsid w:val="00AF341A"/>
    <w:rsid w:val="00AF3B1B"/>
    <w:rsid w:val="00AF5095"/>
    <w:rsid w:val="00AF54DE"/>
    <w:rsid w:val="00AF5F8D"/>
    <w:rsid w:val="00B079C6"/>
    <w:rsid w:val="00B10BC0"/>
    <w:rsid w:val="00B1154E"/>
    <w:rsid w:val="00B11970"/>
    <w:rsid w:val="00B1301D"/>
    <w:rsid w:val="00B21091"/>
    <w:rsid w:val="00B21882"/>
    <w:rsid w:val="00B21984"/>
    <w:rsid w:val="00B236DB"/>
    <w:rsid w:val="00B24F3C"/>
    <w:rsid w:val="00B2605C"/>
    <w:rsid w:val="00B27E2A"/>
    <w:rsid w:val="00B30BA1"/>
    <w:rsid w:val="00B3115C"/>
    <w:rsid w:val="00B346B6"/>
    <w:rsid w:val="00B3516A"/>
    <w:rsid w:val="00B538DE"/>
    <w:rsid w:val="00B56347"/>
    <w:rsid w:val="00B601AC"/>
    <w:rsid w:val="00B61AF4"/>
    <w:rsid w:val="00B67C28"/>
    <w:rsid w:val="00B72C65"/>
    <w:rsid w:val="00B82A13"/>
    <w:rsid w:val="00B874A7"/>
    <w:rsid w:val="00B9332D"/>
    <w:rsid w:val="00B93B52"/>
    <w:rsid w:val="00BA0584"/>
    <w:rsid w:val="00BA125C"/>
    <w:rsid w:val="00BA2579"/>
    <w:rsid w:val="00BA484A"/>
    <w:rsid w:val="00BB04FA"/>
    <w:rsid w:val="00BB0A79"/>
    <w:rsid w:val="00BB417C"/>
    <w:rsid w:val="00BB4333"/>
    <w:rsid w:val="00BB4872"/>
    <w:rsid w:val="00BB579D"/>
    <w:rsid w:val="00BC65E4"/>
    <w:rsid w:val="00BD00EA"/>
    <w:rsid w:val="00BD0648"/>
    <w:rsid w:val="00BD106E"/>
    <w:rsid w:val="00BD1F1C"/>
    <w:rsid w:val="00BD2E76"/>
    <w:rsid w:val="00BD39AF"/>
    <w:rsid w:val="00BE3E48"/>
    <w:rsid w:val="00BE42E5"/>
    <w:rsid w:val="00BE5B34"/>
    <w:rsid w:val="00BE5E33"/>
    <w:rsid w:val="00BE7521"/>
    <w:rsid w:val="00BF1084"/>
    <w:rsid w:val="00BF13DF"/>
    <w:rsid w:val="00C01E09"/>
    <w:rsid w:val="00C038B0"/>
    <w:rsid w:val="00C075A7"/>
    <w:rsid w:val="00C121D1"/>
    <w:rsid w:val="00C15124"/>
    <w:rsid w:val="00C17647"/>
    <w:rsid w:val="00C2496D"/>
    <w:rsid w:val="00C25E82"/>
    <w:rsid w:val="00C276A5"/>
    <w:rsid w:val="00C30A34"/>
    <w:rsid w:val="00C31889"/>
    <w:rsid w:val="00C33B7D"/>
    <w:rsid w:val="00C350C2"/>
    <w:rsid w:val="00C3668F"/>
    <w:rsid w:val="00C375BD"/>
    <w:rsid w:val="00C40445"/>
    <w:rsid w:val="00C411F9"/>
    <w:rsid w:val="00C44B1A"/>
    <w:rsid w:val="00C478FA"/>
    <w:rsid w:val="00C54906"/>
    <w:rsid w:val="00C56960"/>
    <w:rsid w:val="00C56FE2"/>
    <w:rsid w:val="00C638FC"/>
    <w:rsid w:val="00C63CE5"/>
    <w:rsid w:val="00C64A20"/>
    <w:rsid w:val="00C661E1"/>
    <w:rsid w:val="00C663D4"/>
    <w:rsid w:val="00C706AB"/>
    <w:rsid w:val="00C74225"/>
    <w:rsid w:val="00C75CAC"/>
    <w:rsid w:val="00C777E5"/>
    <w:rsid w:val="00C818ED"/>
    <w:rsid w:val="00C841BF"/>
    <w:rsid w:val="00C85900"/>
    <w:rsid w:val="00C87982"/>
    <w:rsid w:val="00C87F44"/>
    <w:rsid w:val="00C93C67"/>
    <w:rsid w:val="00C94648"/>
    <w:rsid w:val="00C96754"/>
    <w:rsid w:val="00C97692"/>
    <w:rsid w:val="00CA1A3E"/>
    <w:rsid w:val="00CA2020"/>
    <w:rsid w:val="00CA59B3"/>
    <w:rsid w:val="00CA626F"/>
    <w:rsid w:val="00CA63AA"/>
    <w:rsid w:val="00CA6E0C"/>
    <w:rsid w:val="00CB562D"/>
    <w:rsid w:val="00CB5C77"/>
    <w:rsid w:val="00CB6BD9"/>
    <w:rsid w:val="00CC14E0"/>
    <w:rsid w:val="00CC259E"/>
    <w:rsid w:val="00CC4762"/>
    <w:rsid w:val="00CC6049"/>
    <w:rsid w:val="00CD4A8D"/>
    <w:rsid w:val="00CD7FA3"/>
    <w:rsid w:val="00CD7FAE"/>
    <w:rsid w:val="00CE243D"/>
    <w:rsid w:val="00CE32E7"/>
    <w:rsid w:val="00CE3453"/>
    <w:rsid w:val="00CE4F77"/>
    <w:rsid w:val="00CE7CBD"/>
    <w:rsid w:val="00CF233A"/>
    <w:rsid w:val="00CF2AD0"/>
    <w:rsid w:val="00CF7AD7"/>
    <w:rsid w:val="00CF7CC5"/>
    <w:rsid w:val="00D00EB0"/>
    <w:rsid w:val="00D010E8"/>
    <w:rsid w:val="00D03A57"/>
    <w:rsid w:val="00D149B8"/>
    <w:rsid w:val="00D22837"/>
    <w:rsid w:val="00D22EE6"/>
    <w:rsid w:val="00D271F1"/>
    <w:rsid w:val="00D31195"/>
    <w:rsid w:val="00D312FA"/>
    <w:rsid w:val="00D31F3A"/>
    <w:rsid w:val="00D35685"/>
    <w:rsid w:val="00D36C4F"/>
    <w:rsid w:val="00D40890"/>
    <w:rsid w:val="00D44C18"/>
    <w:rsid w:val="00D46409"/>
    <w:rsid w:val="00D52386"/>
    <w:rsid w:val="00D56A2E"/>
    <w:rsid w:val="00D56C63"/>
    <w:rsid w:val="00D60A3E"/>
    <w:rsid w:val="00D63EE2"/>
    <w:rsid w:val="00D65B8A"/>
    <w:rsid w:val="00D67809"/>
    <w:rsid w:val="00D7003A"/>
    <w:rsid w:val="00D751B7"/>
    <w:rsid w:val="00D80397"/>
    <w:rsid w:val="00D815C0"/>
    <w:rsid w:val="00D83C95"/>
    <w:rsid w:val="00D85356"/>
    <w:rsid w:val="00D8665A"/>
    <w:rsid w:val="00D874C2"/>
    <w:rsid w:val="00D91FAA"/>
    <w:rsid w:val="00D9361F"/>
    <w:rsid w:val="00D93DBA"/>
    <w:rsid w:val="00DA0623"/>
    <w:rsid w:val="00DA2C52"/>
    <w:rsid w:val="00DA3587"/>
    <w:rsid w:val="00DB4A33"/>
    <w:rsid w:val="00DC041F"/>
    <w:rsid w:val="00DC1F76"/>
    <w:rsid w:val="00DC390B"/>
    <w:rsid w:val="00DD0B48"/>
    <w:rsid w:val="00DD0F8B"/>
    <w:rsid w:val="00DD6541"/>
    <w:rsid w:val="00DD6B0B"/>
    <w:rsid w:val="00DE45B6"/>
    <w:rsid w:val="00DE6045"/>
    <w:rsid w:val="00DE61BB"/>
    <w:rsid w:val="00DF1721"/>
    <w:rsid w:val="00DF278E"/>
    <w:rsid w:val="00DF3425"/>
    <w:rsid w:val="00DF40AB"/>
    <w:rsid w:val="00DF6AA5"/>
    <w:rsid w:val="00DF7B52"/>
    <w:rsid w:val="00E016FA"/>
    <w:rsid w:val="00E0231D"/>
    <w:rsid w:val="00E072AA"/>
    <w:rsid w:val="00E12BA1"/>
    <w:rsid w:val="00E17411"/>
    <w:rsid w:val="00E1752B"/>
    <w:rsid w:val="00E20100"/>
    <w:rsid w:val="00E20DDA"/>
    <w:rsid w:val="00E22466"/>
    <w:rsid w:val="00E23E66"/>
    <w:rsid w:val="00E272D0"/>
    <w:rsid w:val="00E33582"/>
    <w:rsid w:val="00E364E4"/>
    <w:rsid w:val="00E3796A"/>
    <w:rsid w:val="00E37CE0"/>
    <w:rsid w:val="00E4074C"/>
    <w:rsid w:val="00E41581"/>
    <w:rsid w:val="00E453B8"/>
    <w:rsid w:val="00E45687"/>
    <w:rsid w:val="00E45C5E"/>
    <w:rsid w:val="00E502E6"/>
    <w:rsid w:val="00E50C30"/>
    <w:rsid w:val="00E52531"/>
    <w:rsid w:val="00E52532"/>
    <w:rsid w:val="00E5275E"/>
    <w:rsid w:val="00E5398C"/>
    <w:rsid w:val="00E55DFE"/>
    <w:rsid w:val="00E57F6B"/>
    <w:rsid w:val="00E611EF"/>
    <w:rsid w:val="00E6301A"/>
    <w:rsid w:val="00E66004"/>
    <w:rsid w:val="00E66AB4"/>
    <w:rsid w:val="00E7536C"/>
    <w:rsid w:val="00E80175"/>
    <w:rsid w:val="00E837EE"/>
    <w:rsid w:val="00E854B1"/>
    <w:rsid w:val="00E914B7"/>
    <w:rsid w:val="00EA1A2C"/>
    <w:rsid w:val="00EA7693"/>
    <w:rsid w:val="00EB0A6C"/>
    <w:rsid w:val="00EB4AD3"/>
    <w:rsid w:val="00EB7C69"/>
    <w:rsid w:val="00EC42AE"/>
    <w:rsid w:val="00EC6A90"/>
    <w:rsid w:val="00ED138B"/>
    <w:rsid w:val="00ED266C"/>
    <w:rsid w:val="00ED306A"/>
    <w:rsid w:val="00EE3DB1"/>
    <w:rsid w:val="00EE4B3F"/>
    <w:rsid w:val="00EE5A7E"/>
    <w:rsid w:val="00EE7964"/>
    <w:rsid w:val="00EF2E2D"/>
    <w:rsid w:val="00EF38E3"/>
    <w:rsid w:val="00EF427A"/>
    <w:rsid w:val="00F0126F"/>
    <w:rsid w:val="00F03199"/>
    <w:rsid w:val="00F17337"/>
    <w:rsid w:val="00F20758"/>
    <w:rsid w:val="00F32117"/>
    <w:rsid w:val="00F331A2"/>
    <w:rsid w:val="00F3549F"/>
    <w:rsid w:val="00F35E2D"/>
    <w:rsid w:val="00F36187"/>
    <w:rsid w:val="00F40765"/>
    <w:rsid w:val="00F40A42"/>
    <w:rsid w:val="00F434B2"/>
    <w:rsid w:val="00F43B13"/>
    <w:rsid w:val="00F45A4C"/>
    <w:rsid w:val="00F47BF0"/>
    <w:rsid w:val="00F5042F"/>
    <w:rsid w:val="00F52669"/>
    <w:rsid w:val="00F55E21"/>
    <w:rsid w:val="00F56F39"/>
    <w:rsid w:val="00F57C3D"/>
    <w:rsid w:val="00F60F89"/>
    <w:rsid w:val="00F71766"/>
    <w:rsid w:val="00F719D6"/>
    <w:rsid w:val="00F71EFE"/>
    <w:rsid w:val="00F7431B"/>
    <w:rsid w:val="00F74E37"/>
    <w:rsid w:val="00F83CFF"/>
    <w:rsid w:val="00F87971"/>
    <w:rsid w:val="00F901C2"/>
    <w:rsid w:val="00F92752"/>
    <w:rsid w:val="00F92ED8"/>
    <w:rsid w:val="00F95215"/>
    <w:rsid w:val="00FA41E3"/>
    <w:rsid w:val="00FB501B"/>
    <w:rsid w:val="00FC7283"/>
    <w:rsid w:val="00FD1DB1"/>
    <w:rsid w:val="00FD5402"/>
    <w:rsid w:val="00FE4A29"/>
    <w:rsid w:val="00FF0476"/>
    <w:rsid w:val="00FF0B49"/>
    <w:rsid w:val="00FF56F9"/>
    <w:rsid w:val="00FF6989"/>
    <w:rsid w:val="00FF7557"/>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745EC"/>
  <w15:chartTrackingRefBased/>
  <w15:docId w15:val="{0E8D8918-1662-4974-9F67-948D4593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31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01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42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15B"/>
    <w:pPr>
      <w:spacing w:after="0" w:line="240" w:lineRule="auto"/>
      <w:ind w:left="720"/>
    </w:pPr>
    <w:rPr>
      <w:rFonts w:ascii="Calibri" w:hAnsi="Calibri" w:cs="Calibri"/>
    </w:rPr>
  </w:style>
  <w:style w:type="table" w:styleId="TableGrid">
    <w:name w:val="Table Grid"/>
    <w:basedOn w:val="TableNormal"/>
    <w:uiPriority w:val="39"/>
    <w:rsid w:val="0023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3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315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F509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F5095"/>
    <w:pPr>
      <w:outlineLvl w:val="9"/>
    </w:pPr>
    <w:rPr>
      <w:lang w:val="en-US"/>
    </w:rPr>
  </w:style>
  <w:style w:type="paragraph" w:styleId="TOC2">
    <w:name w:val="toc 2"/>
    <w:basedOn w:val="Normal"/>
    <w:next w:val="Normal"/>
    <w:autoRedefine/>
    <w:uiPriority w:val="39"/>
    <w:unhideWhenUsed/>
    <w:rsid w:val="00AF5095"/>
    <w:pPr>
      <w:spacing w:after="100"/>
      <w:ind w:left="220"/>
    </w:pPr>
  </w:style>
  <w:style w:type="paragraph" w:styleId="TOC3">
    <w:name w:val="toc 3"/>
    <w:basedOn w:val="Normal"/>
    <w:next w:val="Normal"/>
    <w:autoRedefine/>
    <w:uiPriority w:val="39"/>
    <w:unhideWhenUsed/>
    <w:rsid w:val="00AF5095"/>
    <w:pPr>
      <w:spacing w:after="100"/>
      <w:ind w:left="440"/>
    </w:pPr>
  </w:style>
  <w:style w:type="character" w:styleId="Hyperlink">
    <w:name w:val="Hyperlink"/>
    <w:basedOn w:val="DefaultParagraphFont"/>
    <w:uiPriority w:val="99"/>
    <w:unhideWhenUsed/>
    <w:rsid w:val="00AF5095"/>
    <w:rPr>
      <w:color w:val="0563C1" w:themeColor="hyperlink"/>
      <w:u w:val="single"/>
    </w:rPr>
  </w:style>
  <w:style w:type="paragraph" w:styleId="Header">
    <w:name w:val="header"/>
    <w:basedOn w:val="Normal"/>
    <w:link w:val="HeaderChar"/>
    <w:uiPriority w:val="99"/>
    <w:unhideWhenUsed/>
    <w:rsid w:val="00D0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A57"/>
  </w:style>
  <w:style w:type="paragraph" w:styleId="Footer">
    <w:name w:val="footer"/>
    <w:basedOn w:val="Normal"/>
    <w:link w:val="FooterChar"/>
    <w:uiPriority w:val="99"/>
    <w:unhideWhenUsed/>
    <w:rsid w:val="00D0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A57"/>
  </w:style>
  <w:style w:type="character" w:customStyle="1" w:styleId="Heading4Char">
    <w:name w:val="Heading 4 Char"/>
    <w:basedOn w:val="DefaultParagraphFont"/>
    <w:link w:val="Heading4"/>
    <w:uiPriority w:val="9"/>
    <w:rsid w:val="00B601AC"/>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2C653E"/>
    <w:rPr>
      <w:color w:val="605E5C"/>
      <w:shd w:val="clear" w:color="auto" w:fill="E1DFDD"/>
    </w:rPr>
  </w:style>
  <w:style w:type="paragraph" w:styleId="FootnoteText">
    <w:name w:val="footnote text"/>
    <w:aliases w:val="single space"/>
    <w:basedOn w:val="Normal"/>
    <w:link w:val="FootnoteTextChar"/>
    <w:uiPriority w:val="99"/>
    <w:unhideWhenUsed/>
    <w:rsid w:val="007B4995"/>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7B4995"/>
    <w:rPr>
      <w:sz w:val="20"/>
      <w:szCs w:val="20"/>
    </w:rPr>
  </w:style>
  <w:style w:type="character" w:styleId="FootnoteReference">
    <w:name w:val="footnote reference"/>
    <w:aliases w:val="number"/>
    <w:basedOn w:val="DefaultParagraphFont"/>
    <w:uiPriority w:val="99"/>
    <w:unhideWhenUsed/>
    <w:rsid w:val="007B4995"/>
    <w:rPr>
      <w:vertAlign w:val="superscript"/>
    </w:rPr>
  </w:style>
  <w:style w:type="paragraph" w:styleId="NormalWeb">
    <w:name w:val="Normal (Web)"/>
    <w:basedOn w:val="Normal"/>
    <w:uiPriority w:val="99"/>
    <w:unhideWhenUsed/>
    <w:rsid w:val="00425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5D26F0"/>
    <w:pPr>
      <w:spacing w:after="100"/>
    </w:pPr>
  </w:style>
  <w:style w:type="character" w:styleId="FollowedHyperlink">
    <w:name w:val="FollowedHyperlink"/>
    <w:basedOn w:val="DefaultParagraphFont"/>
    <w:uiPriority w:val="99"/>
    <w:semiHidden/>
    <w:unhideWhenUsed/>
    <w:rsid w:val="00704761"/>
    <w:rPr>
      <w:color w:val="954F72" w:themeColor="followedHyperlink"/>
      <w:u w:val="single"/>
    </w:rPr>
  </w:style>
  <w:style w:type="character" w:customStyle="1" w:styleId="apple-converted-space">
    <w:name w:val="apple-converted-space"/>
    <w:basedOn w:val="DefaultParagraphFont"/>
    <w:rsid w:val="007341F5"/>
  </w:style>
  <w:style w:type="character" w:styleId="Emphasis">
    <w:name w:val="Emphasis"/>
    <w:basedOn w:val="DefaultParagraphFont"/>
    <w:uiPriority w:val="20"/>
    <w:qFormat/>
    <w:rsid w:val="00564820"/>
    <w:rPr>
      <w:i/>
      <w:iCs/>
    </w:rPr>
  </w:style>
  <w:style w:type="character" w:customStyle="1" w:styleId="Heading5Char">
    <w:name w:val="Heading 5 Char"/>
    <w:basedOn w:val="DefaultParagraphFont"/>
    <w:link w:val="Heading5"/>
    <w:uiPriority w:val="9"/>
    <w:semiHidden/>
    <w:rsid w:val="000642EA"/>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DC390B"/>
    <w:rPr>
      <w:sz w:val="16"/>
      <w:szCs w:val="16"/>
    </w:rPr>
  </w:style>
  <w:style w:type="paragraph" w:styleId="CommentText">
    <w:name w:val="annotation text"/>
    <w:basedOn w:val="Normal"/>
    <w:link w:val="CommentTextChar"/>
    <w:uiPriority w:val="99"/>
    <w:unhideWhenUsed/>
    <w:rsid w:val="00DC390B"/>
    <w:pPr>
      <w:spacing w:line="240" w:lineRule="auto"/>
    </w:pPr>
    <w:rPr>
      <w:sz w:val="20"/>
      <w:szCs w:val="20"/>
    </w:rPr>
  </w:style>
  <w:style w:type="character" w:customStyle="1" w:styleId="CommentTextChar">
    <w:name w:val="Comment Text Char"/>
    <w:basedOn w:val="DefaultParagraphFont"/>
    <w:link w:val="CommentText"/>
    <w:uiPriority w:val="99"/>
    <w:rsid w:val="00DC390B"/>
    <w:rPr>
      <w:sz w:val="20"/>
      <w:szCs w:val="20"/>
    </w:rPr>
  </w:style>
  <w:style w:type="paragraph" w:styleId="CommentSubject">
    <w:name w:val="annotation subject"/>
    <w:basedOn w:val="CommentText"/>
    <w:next w:val="CommentText"/>
    <w:link w:val="CommentSubjectChar"/>
    <w:uiPriority w:val="99"/>
    <w:semiHidden/>
    <w:unhideWhenUsed/>
    <w:rsid w:val="00DC390B"/>
    <w:rPr>
      <w:b/>
      <w:bCs/>
    </w:rPr>
  </w:style>
  <w:style w:type="character" w:customStyle="1" w:styleId="CommentSubjectChar">
    <w:name w:val="Comment Subject Char"/>
    <w:basedOn w:val="CommentTextChar"/>
    <w:link w:val="CommentSubject"/>
    <w:uiPriority w:val="99"/>
    <w:semiHidden/>
    <w:rsid w:val="00DC390B"/>
    <w:rPr>
      <w:b/>
      <w:bCs/>
      <w:sz w:val="20"/>
      <w:szCs w:val="20"/>
    </w:rPr>
  </w:style>
  <w:style w:type="paragraph" w:styleId="BalloonText">
    <w:name w:val="Balloon Text"/>
    <w:basedOn w:val="Normal"/>
    <w:link w:val="BalloonTextChar"/>
    <w:uiPriority w:val="99"/>
    <w:semiHidden/>
    <w:unhideWhenUsed/>
    <w:rsid w:val="00DC3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9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C3D48"/>
    <w:rPr>
      <w:color w:val="605E5C"/>
      <w:shd w:val="clear" w:color="auto" w:fill="E1DFDD"/>
    </w:rPr>
  </w:style>
  <w:style w:type="paragraph" w:customStyle="1" w:styleId="contributor">
    <w:name w:val="contributor"/>
    <w:basedOn w:val="Normal"/>
    <w:rsid w:val="001B22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1B22EE"/>
  </w:style>
  <w:style w:type="character" w:customStyle="1" w:styleId="xref-sep">
    <w:name w:val="xref-sep"/>
    <w:basedOn w:val="DefaultParagraphFont"/>
    <w:rsid w:val="001B22EE"/>
  </w:style>
  <w:style w:type="paragraph" w:customStyle="1" w:styleId="last">
    <w:name w:val="last"/>
    <w:basedOn w:val="Normal"/>
    <w:rsid w:val="001B22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listreveal">
    <w:name w:val="contributor-list__reveal"/>
    <w:basedOn w:val="Normal"/>
    <w:rsid w:val="001B22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utor-listtoggler">
    <w:name w:val="contributor-list__toggler"/>
    <w:basedOn w:val="DefaultParagraphFont"/>
    <w:rsid w:val="001B22EE"/>
  </w:style>
  <w:style w:type="character" w:customStyle="1" w:styleId="collapsed-text">
    <w:name w:val="collapsed-text"/>
    <w:basedOn w:val="DefaultParagraphFont"/>
    <w:rsid w:val="001B22EE"/>
  </w:style>
  <w:style w:type="character" w:styleId="HTMLCite">
    <w:name w:val="HTML Cite"/>
    <w:basedOn w:val="DefaultParagraphFont"/>
    <w:uiPriority w:val="99"/>
    <w:semiHidden/>
    <w:unhideWhenUsed/>
    <w:rsid w:val="001B22EE"/>
    <w:rPr>
      <w:i/>
      <w:iCs/>
    </w:rPr>
  </w:style>
  <w:style w:type="paragraph" w:customStyle="1" w:styleId="BoxPara">
    <w:name w:val="Box Para"/>
    <w:basedOn w:val="Normal"/>
    <w:qFormat/>
    <w:rsid w:val="008C3357"/>
    <w:pPr>
      <w:spacing w:after="0" w:line="200" w:lineRule="atLeast"/>
    </w:pPr>
    <w:rPr>
      <w:rFonts w:eastAsia="Arial" w:cs="Times New Roman"/>
      <w:sz w:val="17"/>
    </w:rPr>
  </w:style>
  <w:style w:type="paragraph" w:customStyle="1" w:styleId="BoxParaBullet">
    <w:name w:val="Box Para Bullet"/>
    <w:basedOn w:val="BoxPara"/>
    <w:qFormat/>
    <w:rsid w:val="008C3357"/>
    <w:pPr>
      <w:numPr>
        <w:numId w:val="1"/>
      </w:numPr>
      <w:spacing w:after="80" w:line="240" w:lineRule="auto"/>
      <w:contextualSpacing/>
    </w:pPr>
    <w:rPr>
      <w:rFonts w:eastAsia="Calibri"/>
      <w:bCs/>
    </w:rPr>
  </w:style>
  <w:style w:type="numbering" w:customStyle="1" w:styleId="BoxParaBulletedList">
    <w:name w:val="Box Para Bulleted List"/>
    <w:uiPriority w:val="99"/>
    <w:rsid w:val="008C3357"/>
    <w:pPr>
      <w:numPr>
        <w:numId w:val="1"/>
      </w:numPr>
    </w:pPr>
  </w:style>
  <w:style w:type="character" w:customStyle="1" w:styleId="epub-state">
    <w:name w:val="epub-state"/>
    <w:basedOn w:val="DefaultParagraphFont"/>
    <w:rsid w:val="00EB0A6C"/>
  </w:style>
  <w:style w:type="character" w:customStyle="1" w:styleId="epub-date">
    <w:name w:val="epub-date"/>
    <w:basedOn w:val="DefaultParagraphFont"/>
    <w:rsid w:val="00EB0A6C"/>
  </w:style>
  <w:style w:type="paragraph" w:customStyle="1" w:styleId="volume-issue">
    <w:name w:val="volume-issue"/>
    <w:basedOn w:val="Normal"/>
    <w:rsid w:val="00EB0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EB0A6C"/>
  </w:style>
  <w:style w:type="paragraph" w:customStyle="1" w:styleId="page-range">
    <w:name w:val="page-range"/>
    <w:basedOn w:val="Normal"/>
    <w:rsid w:val="00EB0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large">
    <w:name w:val="a-size-large"/>
    <w:basedOn w:val="DefaultParagraphFont"/>
    <w:rsid w:val="00F92752"/>
  </w:style>
  <w:style w:type="character" w:customStyle="1" w:styleId="a-size-medium">
    <w:name w:val="a-size-medium"/>
    <w:basedOn w:val="DefaultParagraphFont"/>
    <w:rsid w:val="00F92752"/>
  </w:style>
  <w:style w:type="character" w:customStyle="1" w:styleId="author">
    <w:name w:val="author"/>
    <w:basedOn w:val="DefaultParagraphFont"/>
    <w:rsid w:val="00F92752"/>
  </w:style>
  <w:style w:type="character" w:customStyle="1" w:styleId="a-declarative">
    <w:name w:val="a-declarative"/>
    <w:basedOn w:val="DefaultParagraphFont"/>
    <w:rsid w:val="00F92752"/>
  </w:style>
  <w:style w:type="character" w:customStyle="1" w:styleId="a-color-secondary">
    <w:name w:val="a-color-secondary"/>
    <w:basedOn w:val="DefaultParagraphFont"/>
    <w:rsid w:val="00F92752"/>
  </w:style>
  <w:style w:type="character" w:customStyle="1" w:styleId="linkcolor">
    <w:name w:val="linkcolor"/>
    <w:basedOn w:val="DefaultParagraphFont"/>
    <w:rsid w:val="00C96754"/>
  </w:style>
  <w:style w:type="character" w:customStyle="1" w:styleId="title-text">
    <w:name w:val="title-text"/>
    <w:basedOn w:val="DefaultParagraphFont"/>
    <w:rsid w:val="009D050E"/>
  </w:style>
  <w:style w:type="character" w:customStyle="1" w:styleId="sr-only">
    <w:name w:val="sr-only"/>
    <w:basedOn w:val="DefaultParagraphFont"/>
    <w:rsid w:val="009D050E"/>
  </w:style>
  <w:style w:type="character" w:customStyle="1" w:styleId="text">
    <w:name w:val="text"/>
    <w:basedOn w:val="DefaultParagraphFont"/>
    <w:rsid w:val="009D050E"/>
  </w:style>
  <w:style w:type="character" w:customStyle="1" w:styleId="author-ref">
    <w:name w:val="author-ref"/>
    <w:basedOn w:val="DefaultParagraphFont"/>
    <w:rsid w:val="009D050E"/>
  </w:style>
  <w:style w:type="character" w:customStyle="1" w:styleId="personname">
    <w:name w:val="person_name"/>
    <w:basedOn w:val="DefaultParagraphFont"/>
    <w:rsid w:val="0001360C"/>
  </w:style>
  <w:style w:type="character" w:customStyle="1" w:styleId="articlebreadcrumbs">
    <w:name w:val="article__breadcrumbs"/>
    <w:basedOn w:val="DefaultParagraphFont"/>
    <w:rsid w:val="00B236DB"/>
  </w:style>
  <w:style w:type="character" w:customStyle="1" w:styleId="citationtopitem">
    <w:name w:val="citation__top__item"/>
    <w:basedOn w:val="DefaultParagraphFont"/>
    <w:rsid w:val="00B236DB"/>
  </w:style>
  <w:style w:type="character" w:customStyle="1" w:styleId="citationaccesstype">
    <w:name w:val="citation__access__type"/>
    <w:basedOn w:val="DefaultParagraphFont"/>
    <w:rsid w:val="00B236DB"/>
  </w:style>
  <w:style w:type="character" w:customStyle="1" w:styleId="ellipsis">
    <w:name w:val="ellipsis"/>
    <w:basedOn w:val="DefaultParagraphFont"/>
    <w:rsid w:val="00B236DB"/>
  </w:style>
  <w:style w:type="character" w:customStyle="1" w:styleId="epub-sectionitem">
    <w:name w:val="epub-section__item"/>
    <w:basedOn w:val="DefaultParagraphFont"/>
    <w:rsid w:val="00B236DB"/>
  </w:style>
  <w:style w:type="character" w:customStyle="1" w:styleId="epub-sectionstate">
    <w:name w:val="epub-section__state"/>
    <w:basedOn w:val="DefaultParagraphFont"/>
    <w:rsid w:val="00B236DB"/>
  </w:style>
  <w:style w:type="character" w:customStyle="1" w:styleId="epub-sectiondate">
    <w:name w:val="epub-section__date"/>
    <w:basedOn w:val="DefaultParagraphFont"/>
    <w:rsid w:val="00B236DB"/>
  </w:style>
  <w:style w:type="character" w:customStyle="1" w:styleId="orcid-id-https">
    <w:name w:val="orcid-id-https"/>
    <w:basedOn w:val="DefaultParagraphFont"/>
    <w:rsid w:val="009A5919"/>
  </w:style>
  <w:style w:type="paragraph" w:styleId="Revision">
    <w:name w:val="Revision"/>
    <w:hidden/>
    <w:uiPriority w:val="99"/>
    <w:semiHidden/>
    <w:rsid w:val="00D874C2"/>
    <w:pPr>
      <w:spacing w:after="0" w:line="240" w:lineRule="auto"/>
    </w:pPr>
  </w:style>
  <w:style w:type="character" w:customStyle="1" w:styleId="UnresolvedMention3">
    <w:name w:val="Unresolved Mention3"/>
    <w:basedOn w:val="DefaultParagraphFont"/>
    <w:uiPriority w:val="99"/>
    <w:semiHidden/>
    <w:unhideWhenUsed/>
    <w:rsid w:val="006809DF"/>
    <w:rPr>
      <w:color w:val="605E5C"/>
      <w:shd w:val="clear" w:color="auto" w:fill="E1DFDD"/>
    </w:rPr>
  </w:style>
  <w:style w:type="character" w:styleId="LineNumber">
    <w:name w:val="line number"/>
    <w:basedOn w:val="DefaultParagraphFont"/>
    <w:uiPriority w:val="99"/>
    <w:semiHidden/>
    <w:unhideWhenUsed/>
    <w:rsid w:val="004C2A42"/>
  </w:style>
  <w:style w:type="paragraph" w:styleId="EndnoteText">
    <w:name w:val="endnote text"/>
    <w:basedOn w:val="Normal"/>
    <w:link w:val="EndnoteTextChar"/>
    <w:uiPriority w:val="99"/>
    <w:unhideWhenUsed/>
    <w:rsid w:val="00CA59B3"/>
    <w:pPr>
      <w:spacing w:after="0" w:line="240" w:lineRule="auto"/>
    </w:pPr>
    <w:rPr>
      <w:sz w:val="20"/>
      <w:szCs w:val="20"/>
    </w:rPr>
  </w:style>
  <w:style w:type="character" w:customStyle="1" w:styleId="EndnoteTextChar">
    <w:name w:val="Endnote Text Char"/>
    <w:basedOn w:val="DefaultParagraphFont"/>
    <w:link w:val="EndnoteText"/>
    <w:uiPriority w:val="99"/>
    <w:rsid w:val="00CA59B3"/>
    <w:rPr>
      <w:sz w:val="20"/>
      <w:szCs w:val="20"/>
    </w:rPr>
  </w:style>
  <w:style w:type="character" w:styleId="EndnoteReference">
    <w:name w:val="endnote reference"/>
    <w:basedOn w:val="DefaultParagraphFont"/>
    <w:uiPriority w:val="99"/>
    <w:semiHidden/>
    <w:unhideWhenUsed/>
    <w:rsid w:val="00CA59B3"/>
    <w:rPr>
      <w:vertAlign w:val="superscript"/>
    </w:rPr>
  </w:style>
  <w:style w:type="character" w:customStyle="1" w:styleId="UnresolvedMention4">
    <w:name w:val="Unresolved Mention4"/>
    <w:basedOn w:val="DefaultParagraphFont"/>
    <w:uiPriority w:val="99"/>
    <w:semiHidden/>
    <w:unhideWhenUsed/>
    <w:rsid w:val="00410C9B"/>
    <w:rPr>
      <w:color w:val="605E5C"/>
      <w:shd w:val="clear" w:color="auto" w:fill="E1DFDD"/>
    </w:rPr>
  </w:style>
  <w:style w:type="character" w:customStyle="1" w:styleId="UnresolvedMention5">
    <w:name w:val="Unresolved Mention5"/>
    <w:basedOn w:val="DefaultParagraphFont"/>
    <w:uiPriority w:val="99"/>
    <w:semiHidden/>
    <w:unhideWhenUsed/>
    <w:rsid w:val="008B5B66"/>
    <w:rPr>
      <w:color w:val="605E5C"/>
      <w:shd w:val="clear" w:color="auto" w:fill="E1DFDD"/>
    </w:rPr>
  </w:style>
  <w:style w:type="character" w:customStyle="1" w:styleId="UnresolvedMention6">
    <w:name w:val="Unresolved Mention6"/>
    <w:basedOn w:val="DefaultParagraphFont"/>
    <w:uiPriority w:val="99"/>
    <w:semiHidden/>
    <w:unhideWhenUsed/>
    <w:rsid w:val="00EE7964"/>
    <w:rPr>
      <w:color w:val="605E5C"/>
      <w:shd w:val="clear" w:color="auto" w:fill="E1DFDD"/>
    </w:rPr>
  </w:style>
  <w:style w:type="character" w:styleId="UnresolvedMention">
    <w:name w:val="Unresolved Mention"/>
    <w:basedOn w:val="DefaultParagraphFont"/>
    <w:uiPriority w:val="99"/>
    <w:semiHidden/>
    <w:unhideWhenUsed/>
    <w:rsid w:val="003D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803">
      <w:bodyDiv w:val="1"/>
      <w:marLeft w:val="0"/>
      <w:marRight w:val="0"/>
      <w:marTop w:val="0"/>
      <w:marBottom w:val="0"/>
      <w:divBdr>
        <w:top w:val="none" w:sz="0" w:space="0" w:color="auto"/>
        <w:left w:val="none" w:sz="0" w:space="0" w:color="auto"/>
        <w:bottom w:val="none" w:sz="0" w:space="0" w:color="auto"/>
        <w:right w:val="none" w:sz="0" w:space="0" w:color="auto"/>
      </w:divBdr>
    </w:div>
    <w:div w:id="13775162">
      <w:bodyDiv w:val="1"/>
      <w:marLeft w:val="0"/>
      <w:marRight w:val="0"/>
      <w:marTop w:val="0"/>
      <w:marBottom w:val="0"/>
      <w:divBdr>
        <w:top w:val="none" w:sz="0" w:space="0" w:color="auto"/>
        <w:left w:val="none" w:sz="0" w:space="0" w:color="auto"/>
        <w:bottom w:val="none" w:sz="0" w:space="0" w:color="auto"/>
        <w:right w:val="none" w:sz="0" w:space="0" w:color="auto"/>
      </w:divBdr>
    </w:div>
    <w:div w:id="31003174">
      <w:bodyDiv w:val="1"/>
      <w:marLeft w:val="0"/>
      <w:marRight w:val="0"/>
      <w:marTop w:val="0"/>
      <w:marBottom w:val="0"/>
      <w:divBdr>
        <w:top w:val="none" w:sz="0" w:space="0" w:color="auto"/>
        <w:left w:val="none" w:sz="0" w:space="0" w:color="auto"/>
        <w:bottom w:val="none" w:sz="0" w:space="0" w:color="auto"/>
        <w:right w:val="none" w:sz="0" w:space="0" w:color="auto"/>
      </w:divBdr>
    </w:div>
    <w:div w:id="68163204">
      <w:bodyDiv w:val="1"/>
      <w:marLeft w:val="0"/>
      <w:marRight w:val="0"/>
      <w:marTop w:val="0"/>
      <w:marBottom w:val="0"/>
      <w:divBdr>
        <w:top w:val="none" w:sz="0" w:space="0" w:color="auto"/>
        <w:left w:val="none" w:sz="0" w:space="0" w:color="auto"/>
        <w:bottom w:val="none" w:sz="0" w:space="0" w:color="auto"/>
        <w:right w:val="none" w:sz="0" w:space="0" w:color="auto"/>
      </w:divBdr>
    </w:div>
    <w:div w:id="70661845">
      <w:bodyDiv w:val="1"/>
      <w:marLeft w:val="0"/>
      <w:marRight w:val="0"/>
      <w:marTop w:val="0"/>
      <w:marBottom w:val="0"/>
      <w:divBdr>
        <w:top w:val="none" w:sz="0" w:space="0" w:color="auto"/>
        <w:left w:val="none" w:sz="0" w:space="0" w:color="auto"/>
        <w:bottom w:val="none" w:sz="0" w:space="0" w:color="auto"/>
        <w:right w:val="none" w:sz="0" w:space="0" w:color="auto"/>
      </w:divBdr>
    </w:div>
    <w:div w:id="88157263">
      <w:bodyDiv w:val="1"/>
      <w:marLeft w:val="0"/>
      <w:marRight w:val="0"/>
      <w:marTop w:val="0"/>
      <w:marBottom w:val="0"/>
      <w:divBdr>
        <w:top w:val="none" w:sz="0" w:space="0" w:color="auto"/>
        <w:left w:val="none" w:sz="0" w:space="0" w:color="auto"/>
        <w:bottom w:val="none" w:sz="0" w:space="0" w:color="auto"/>
        <w:right w:val="none" w:sz="0" w:space="0" w:color="auto"/>
      </w:divBdr>
    </w:div>
    <w:div w:id="217252493">
      <w:bodyDiv w:val="1"/>
      <w:marLeft w:val="0"/>
      <w:marRight w:val="0"/>
      <w:marTop w:val="0"/>
      <w:marBottom w:val="0"/>
      <w:divBdr>
        <w:top w:val="none" w:sz="0" w:space="0" w:color="auto"/>
        <w:left w:val="none" w:sz="0" w:space="0" w:color="auto"/>
        <w:bottom w:val="none" w:sz="0" w:space="0" w:color="auto"/>
        <w:right w:val="none" w:sz="0" w:space="0" w:color="auto"/>
      </w:divBdr>
    </w:div>
    <w:div w:id="219175128">
      <w:bodyDiv w:val="1"/>
      <w:marLeft w:val="0"/>
      <w:marRight w:val="0"/>
      <w:marTop w:val="0"/>
      <w:marBottom w:val="0"/>
      <w:divBdr>
        <w:top w:val="none" w:sz="0" w:space="0" w:color="auto"/>
        <w:left w:val="none" w:sz="0" w:space="0" w:color="auto"/>
        <w:bottom w:val="none" w:sz="0" w:space="0" w:color="auto"/>
        <w:right w:val="none" w:sz="0" w:space="0" w:color="auto"/>
      </w:divBdr>
    </w:div>
    <w:div w:id="224031008">
      <w:bodyDiv w:val="1"/>
      <w:marLeft w:val="0"/>
      <w:marRight w:val="0"/>
      <w:marTop w:val="0"/>
      <w:marBottom w:val="0"/>
      <w:divBdr>
        <w:top w:val="none" w:sz="0" w:space="0" w:color="auto"/>
        <w:left w:val="none" w:sz="0" w:space="0" w:color="auto"/>
        <w:bottom w:val="none" w:sz="0" w:space="0" w:color="auto"/>
        <w:right w:val="none" w:sz="0" w:space="0" w:color="auto"/>
      </w:divBdr>
      <w:divsChild>
        <w:div w:id="1728257243">
          <w:marLeft w:val="0"/>
          <w:marRight w:val="0"/>
          <w:marTop w:val="0"/>
          <w:marBottom w:val="0"/>
          <w:divBdr>
            <w:top w:val="none" w:sz="0" w:space="0" w:color="auto"/>
            <w:left w:val="none" w:sz="0" w:space="0" w:color="auto"/>
            <w:bottom w:val="none" w:sz="0" w:space="0" w:color="auto"/>
            <w:right w:val="none" w:sz="0" w:space="0" w:color="auto"/>
          </w:divBdr>
          <w:divsChild>
            <w:div w:id="1117870526">
              <w:marLeft w:val="0"/>
              <w:marRight w:val="0"/>
              <w:marTop w:val="0"/>
              <w:marBottom w:val="0"/>
              <w:divBdr>
                <w:top w:val="none" w:sz="0" w:space="0" w:color="auto"/>
                <w:left w:val="none" w:sz="0" w:space="0" w:color="auto"/>
                <w:bottom w:val="none" w:sz="0" w:space="0" w:color="auto"/>
                <w:right w:val="none" w:sz="0" w:space="0" w:color="auto"/>
              </w:divBdr>
              <w:divsChild>
                <w:div w:id="1183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0537">
      <w:bodyDiv w:val="1"/>
      <w:marLeft w:val="0"/>
      <w:marRight w:val="0"/>
      <w:marTop w:val="0"/>
      <w:marBottom w:val="0"/>
      <w:divBdr>
        <w:top w:val="none" w:sz="0" w:space="0" w:color="auto"/>
        <w:left w:val="none" w:sz="0" w:space="0" w:color="auto"/>
        <w:bottom w:val="none" w:sz="0" w:space="0" w:color="auto"/>
        <w:right w:val="none" w:sz="0" w:space="0" w:color="auto"/>
      </w:divBdr>
    </w:div>
    <w:div w:id="237600201">
      <w:bodyDiv w:val="1"/>
      <w:marLeft w:val="0"/>
      <w:marRight w:val="0"/>
      <w:marTop w:val="0"/>
      <w:marBottom w:val="0"/>
      <w:divBdr>
        <w:top w:val="none" w:sz="0" w:space="0" w:color="auto"/>
        <w:left w:val="none" w:sz="0" w:space="0" w:color="auto"/>
        <w:bottom w:val="none" w:sz="0" w:space="0" w:color="auto"/>
        <w:right w:val="none" w:sz="0" w:space="0" w:color="auto"/>
      </w:divBdr>
    </w:div>
    <w:div w:id="293684382">
      <w:bodyDiv w:val="1"/>
      <w:marLeft w:val="0"/>
      <w:marRight w:val="0"/>
      <w:marTop w:val="0"/>
      <w:marBottom w:val="0"/>
      <w:divBdr>
        <w:top w:val="none" w:sz="0" w:space="0" w:color="auto"/>
        <w:left w:val="none" w:sz="0" w:space="0" w:color="auto"/>
        <w:bottom w:val="none" w:sz="0" w:space="0" w:color="auto"/>
        <w:right w:val="none" w:sz="0" w:space="0" w:color="auto"/>
      </w:divBdr>
    </w:div>
    <w:div w:id="343047730">
      <w:bodyDiv w:val="1"/>
      <w:marLeft w:val="0"/>
      <w:marRight w:val="0"/>
      <w:marTop w:val="0"/>
      <w:marBottom w:val="0"/>
      <w:divBdr>
        <w:top w:val="none" w:sz="0" w:space="0" w:color="auto"/>
        <w:left w:val="none" w:sz="0" w:space="0" w:color="auto"/>
        <w:bottom w:val="none" w:sz="0" w:space="0" w:color="auto"/>
        <w:right w:val="none" w:sz="0" w:space="0" w:color="auto"/>
      </w:divBdr>
      <w:divsChild>
        <w:div w:id="78674574">
          <w:marLeft w:val="0"/>
          <w:marRight w:val="0"/>
          <w:marTop w:val="0"/>
          <w:marBottom w:val="0"/>
          <w:divBdr>
            <w:top w:val="none" w:sz="0" w:space="0" w:color="auto"/>
            <w:left w:val="none" w:sz="0" w:space="0" w:color="auto"/>
            <w:bottom w:val="none" w:sz="0" w:space="0" w:color="auto"/>
            <w:right w:val="none" w:sz="0" w:space="0" w:color="auto"/>
          </w:divBdr>
          <w:divsChild>
            <w:div w:id="1910193233">
              <w:marLeft w:val="0"/>
              <w:marRight w:val="0"/>
              <w:marTop w:val="0"/>
              <w:marBottom w:val="120"/>
              <w:divBdr>
                <w:top w:val="none" w:sz="0" w:space="0" w:color="auto"/>
                <w:left w:val="none" w:sz="0" w:space="0" w:color="auto"/>
                <w:bottom w:val="none" w:sz="0" w:space="0" w:color="auto"/>
                <w:right w:val="none" w:sz="0" w:space="0" w:color="auto"/>
              </w:divBdr>
            </w:div>
          </w:divsChild>
        </w:div>
        <w:div w:id="1377002490">
          <w:marLeft w:val="0"/>
          <w:marRight w:val="0"/>
          <w:marTop w:val="0"/>
          <w:marBottom w:val="0"/>
          <w:divBdr>
            <w:top w:val="none" w:sz="0" w:space="0" w:color="auto"/>
            <w:left w:val="none" w:sz="0" w:space="0" w:color="auto"/>
            <w:bottom w:val="none" w:sz="0" w:space="0" w:color="auto"/>
            <w:right w:val="none" w:sz="0" w:space="0" w:color="auto"/>
          </w:divBdr>
        </w:div>
      </w:divsChild>
    </w:div>
    <w:div w:id="364794842">
      <w:bodyDiv w:val="1"/>
      <w:marLeft w:val="0"/>
      <w:marRight w:val="0"/>
      <w:marTop w:val="0"/>
      <w:marBottom w:val="0"/>
      <w:divBdr>
        <w:top w:val="none" w:sz="0" w:space="0" w:color="auto"/>
        <w:left w:val="none" w:sz="0" w:space="0" w:color="auto"/>
        <w:bottom w:val="none" w:sz="0" w:space="0" w:color="auto"/>
        <w:right w:val="none" w:sz="0" w:space="0" w:color="auto"/>
      </w:divBdr>
    </w:div>
    <w:div w:id="378477476">
      <w:bodyDiv w:val="1"/>
      <w:marLeft w:val="0"/>
      <w:marRight w:val="0"/>
      <w:marTop w:val="0"/>
      <w:marBottom w:val="0"/>
      <w:divBdr>
        <w:top w:val="none" w:sz="0" w:space="0" w:color="auto"/>
        <w:left w:val="none" w:sz="0" w:space="0" w:color="auto"/>
        <w:bottom w:val="none" w:sz="0" w:space="0" w:color="auto"/>
        <w:right w:val="none" w:sz="0" w:space="0" w:color="auto"/>
      </w:divBdr>
    </w:div>
    <w:div w:id="387657428">
      <w:bodyDiv w:val="1"/>
      <w:marLeft w:val="0"/>
      <w:marRight w:val="0"/>
      <w:marTop w:val="0"/>
      <w:marBottom w:val="0"/>
      <w:divBdr>
        <w:top w:val="none" w:sz="0" w:space="0" w:color="auto"/>
        <w:left w:val="none" w:sz="0" w:space="0" w:color="auto"/>
        <w:bottom w:val="none" w:sz="0" w:space="0" w:color="auto"/>
        <w:right w:val="none" w:sz="0" w:space="0" w:color="auto"/>
      </w:divBdr>
    </w:div>
    <w:div w:id="398021690">
      <w:bodyDiv w:val="1"/>
      <w:marLeft w:val="0"/>
      <w:marRight w:val="0"/>
      <w:marTop w:val="0"/>
      <w:marBottom w:val="0"/>
      <w:divBdr>
        <w:top w:val="none" w:sz="0" w:space="0" w:color="auto"/>
        <w:left w:val="none" w:sz="0" w:space="0" w:color="auto"/>
        <w:bottom w:val="none" w:sz="0" w:space="0" w:color="auto"/>
        <w:right w:val="none" w:sz="0" w:space="0" w:color="auto"/>
      </w:divBdr>
    </w:div>
    <w:div w:id="446237216">
      <w:bodyDiv w:val="1"/>
      <w:marLeft w:val="0"/>
      <w:marRight w:val="0"/>
      <w:marTop w:val="0"/>
      <w:marBottom w:val="0"/>
      <w:divBdr>
        <w:top w:val="none" w:sz="0" w:space="0" w:color="auto"/>
        <w:left w:val="none" w:sz="0" w:space="0" w:color="auto"/>
        <w:bottom w:val="none" w:sz="0" w:space="0" w:color="auto"/>
        <w:right w:val="none" w:sz="0" w:space="0" w:color="auto"/>
      </w:divBdr>
    </w:div>
    <w:div w:id="461575185">
      <w:bodyDiv w:val="1"/>
      <w:marLeft w:val="0"/>
      <w:marRight w:val="0"/>
      <w:marTop w:val="0"/>
      <w:marBottom w:val="0"/>
      <w:divBdr>
        <w:top w:val="none" w:sz="0" w:space="0" w:color="auto"/>
        <w:left w:val="none" w:sz="0" w:space="0" w:color="auto"/>
        <w:bottom w:val="none" w:sz="0" w:space="0" w:color="auto"/>
        <w:right w:val="none" w:sz="0" w:space="0" w:color="auto"/>
      </w:divBdr>
    </w:div>
    <w:div w:id="499539876">
      <w:bodyDiv w:val="1"/>
      <w:marLeft w:val="0"/>
      <w:marRight w:val="0"/>
      <w:marTop w:val="0"/>
      <w:marBottom w:val="0"/>
      <w:divBdr>
        <w:top w:val="none" w:sz="0" w:space="0" w:color="auto"/>
        <w:left w:val="none" w:sz="0" w:space="0" w:color="auto"/>
        <w:bottom w:val="none" w:sz="0" w:space="0" w:color="auto"/>
        <w:right w:val="none" w:sz="0" w:space="0" w:color="auto"/>
      </w:divBdr>
      <w:divsChild>
        <w:div w:id="408162960">
          <w:marLeft w:val="0"/>
          <w:marRight w:val="0"/>
          <w:marTop w:val="0"/>
          <w:marBottom w:val="0"/>
          <w:divBdr>
            <w:top w:val="none" w:sz="0" w:space="0" w:color="auto"/>
            <w:left w:val="none" w:sz="0" w:space="0" w:color="auto"/>
            <w:bottom w:val="none" w:sz="0" w:space="0" w:color="auto"/>
            <w:right w:val="none" w:sz="0" w:space="0" w:color="auto"/>
          </w:divBdr>
          <w:divsChild>
            <w:div w:id="1388996087">
              <w:marLeft w:val="0"/>
              <w:marRight w:val="0"/>
              <w:marTop w:val="0"/>
              <w:marBottom w:val="0"/>
              <w:divBdr>
                <w:top w:val="none" w:sz="0" w:space="0" w:color="auto"/>
                <w:left w:val="none" w:sz="0" w:space="0" w:color="auto"/>
                <w:bottom w:val="none" w:sz="0" w:space="0" w:color="auto"/>
                <w:right w:val="none" w:sz="0" w:space="0" w:color="auto"/>
              </w:divBdr>
            </w:div>
            <w:div w:id="1653484444">
              <w:marLeft w:val="0"/>
              <w:marRight w:val="0"/>
              <w:marTop w:val="0"/>
              <w:marBottom w:val="0"/>
              <w:divBdr>
                <w:top w:val="none" w:sz="0" w:space="0" w:color="auto"/>
                <w:left w:val="none" w:sz="0" w:space="0" w:color="auto"/>
                <w:bottom w:val="none" w:sz="0" w:space="0" w:color="auto"/>
                <w:right w:val="none" w:sz="0" w:space="0" w:color="auto"/>
              </w:divBdr>
            </w:div>
            <w:div w:id="5229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309">
      <w:bodyDiv w:val="1"/>
      <w:marLeft w:val="0"/>
      <w:marRight w:val="0"/>
      <w:marTop w:val="0"/>
      <w:marBottom w:val="0"/>
      <w:divBdr>
        <w:top w:val="none" w:sz="0" w:space="0" w:color="auto"/>
        <w:left w:val="none" w:sz="0" w:space="0" w:color="auto"/>
        <w:bottom w:val="none" w:sz="0" w:space="0" w:color="auto"/>
        <w:right w:val="none" w:sz="0" w:space="0" w:color="auto"/>
      </w:divBdr>
    </w:div>
    <w:div w:id="541599621">
      <w:bodyDiv w:val="1"/>
      <w:marLeft w:val="0"/>
      <w:marRight w:val="0"/>
      <w:marTop w:val="0"/>
      <w:marBottom w:val="0"/>
      <w:divBdr>
        <w:top w:val="none" w:sz="0" w:space="0" w:color="auto"/>
        <w:left w:val="none" w:sz="0" w:space="0" w:color="auto"/>
        <w:bottom w:val="none" w:sz="0" w:space="0" w:color="auto"/>
        <w:right w:val="none" w:sz="0" w:space="0" w:color="auto"/>
      </w:divBdr>
    </w:div>
    <w:div w:id="551624125">
      <w:bodyDiv w:val="1"/>
      <w:marLeft w:val="0"/>
      <w:marRight w:val="0"/>
      <w:marTop w:val="0"/>
      <w:marBottom w:val="0"/>
      <w:divBdr>
        <w:top w:val="none" w:sz="0" w:space="0" w:color="auto"/>
        <w:left w:val="none" w:sz="0" w:space="0" w:color="auto"/>
        <w:bottom w:val="none" w:sz="0" w:space="0" w:color="auto"/>
        <w:right w:val="none" w:sz="0" w:space="0" w:color="auto"/>
      </w:divBdr>
    </w:div>
    <w:div w:id="553544282">
      <w:bodyDiv w:val="1"/>
      <w:marLeft w:val="0"/>
      <w:marRight w:val="0"/>
      <w:marTop w:val="0"/>
      <w:marBottom w:val="0"/>
      <w:divBdr>
        <w:top w:val="none" w:sz="0" w:space="0" w:color="auto"/>
        <w:left w:val="none" w:sz="0" w:space="0" w:color="auto"/>
        <w:bottom w:val="none" w:sz="0" w:space="0" w:color="auto"/>
        <w:right w:val="none" w:sz="0" w:space="0" w:color="auto"/>
      </w:divBdr>
    </w:div>
    <w:div w:id="607585683">
      <w:bodyDiv w:val="1"/>
      <w:marLeft w:val="0"/>
      <w:marRight w:val="0"/>
      <w:marTop w:val="0"/>
      <w:marBottom w:val="0"/>
      <w:divBdr>
        <w:top w:val="none" w:sz="0" w:space="0" w:color="auto"/>
        <w:left w:val="none" w:sz="0" w:space="0" w:color="auto"/>
        <w:bottom w:val="none" w:sz="0" w:space="0" w:color="auto"/>
        <w:right w:val="none" w:sz="0" w:space="0" w:color="auto"/>
      </w:divBdr>
    </w:div>
    <w:div w:id="669023082">
      <w:bodyDiv w:val="1"/>
      <w:marLeft w:val="0"/>
      <w:marRight w:val="0"/>
      <w:marTop w:val="0"/>
      <w:marBottom w:val="0"/>
      <w:divBdr>
        <w:top w:val="none" w:sz="0" w:space="0" w:color="auto"/>
        <w:left w:val="none" w:sz="0" w:space="0" w:color="auto"/>
        <w:bottom w:val="none" w:sz="0" w:space="0" w:color="auto"/>
        <w:right w:val="none" w:sz="0" w:space="0" w:color="auto"/>
      </w:divBdr>
    </w:div>
    <w:div w:id="671101739">
      <w:bodyDiv w:val="1"/>
      <w:marLeft w:val="0"/>
      <w:marRight w:val="0"/>
      <w:marTop w:val="0"/>
      <w:marBottom w:val="0"/>
      <w:divBdr>
        <w:top w:val="none" w:sz="0" w:space="0" w:color="auto"/>
        <w:left w:val="none" w:sz="0" w:space="0" w:color="auto"/>
        <w:bottom w:val="none" w:sz="0" w:space="0" w:color="auto"/>
        <w:right w:val="none" w:sz="0" w:space="0" w:color="auto"/>
      </w:divBdr>
    </w:div>
    <w:div w:id="766079824">
      <w:bodyDiv w:val="1"/>
      <w:marLeft w:val="0"/>
      <w:marRight w:val="0"/>
      <w:marTop w:val="0"/>
      <w:marBottom w:val="0"/>
      <w:divBdr>
        <w:top w:val="none" w:sz="0" w:space="0" w:color="auto"/>
        <w:left w:val="none" w:sz="0" w:space="0" w:color="auto"/>
        <w:bottom w:val="none" w:sz="0" w:space="0" w:color="auto"/>
        <w:right w:val="none" w:sz="0" w:space="0" w:color="auto"/>
      </w:divBdr>
    </w:div>
    <w:div w:id="775101145">
      <w:bodyDiv w:val="1"/>
      <w:marLeft w:val="0"/>
      <w:marRight w:val="0"/>
      <w:marTop w:val="0"/>
      <w:marBottom w:val="0"/>
      <w:divBdr>
        <w:top w:val="none" w:sz="0" w:space="0" w:color="auto"/>
        <w:left w:val="none" w:sz="0" w:space="0" w:color="auto"/>
        <w:bottom w:val="none" w:sz="0" w:space="0" w:color="auto"/>
        <w:right w:val="none" w:sz="0" w:space="0" w:color="auto"/>
      </w:divBdr>
    </w:div>
    <w:div w:id="782579293">
      <w:bodyDiv w:val="1"/>
      <w:marLeft w:val="0"/>
      <w:marRight w:val="0"/>
      <w:marTop w:val="0"/>
      <w:marBottom w:val="0"/>
      <w:divBdr>
        <w:top w:val="none" w:sz="0" w:space="0" w:color="auto"/>
        <w:left w:val="none" w:sz="0" w:space="0" w:color="auto"/>
        <w:bottom w:val="none" w:sz="0" w:space="0" w:color="auto"/>
        <w:right w:val="none" w:sz="0" w:space="0" w:color="auto"/>
      </w:divBdr>
    </w:div>
    <w:div w:id="790587957">
      <w:bodyDiv w:val="1"/>
      <w:marLeft w:val="0"/>
      <w:marRight w:val="0"/>
      <w:marTop w:val="0"/>
      <w:marBottom w:val="0"/>
      <w:divBdr>
        <w:top w:val="none" w:sz="0" w:space="0" w:color="auto"/>
        <w:left w:val="none" w:sz="0" w:space="0" w:color="auto"/>
        <w:bottom w:val="none" w:sz="0" w:space="0" w:color="auto"/>
        <w:right w:val="none" w:sz="0" w:space="0" w:color="auto"/>
      </w:divBdr>
    </w:div>
    <w:div w:id="791439717">
      <w:bodyDiv w:val="1"/>
      <w:marLeft w:val="0"/>
      <w:marRight w:val="0"/>
      <w:marTop w:val="0"/>
      <w:marBottom w:val="0"/>
      <w:divBdr>
        <w:top w:val="none" w:sz="0" w:space="0" w:color="auto"/>
        <w:left w:val="none" w:sz="0" w:space="0" w:color="auto"/>
        <w:bottom w:val="none" w:sz="0" w:space="0" w:color="auto"/>
        <w:right w:val="none" w:sz="0" w:space="0" w:color="auto"/>
      </w:divBdr>
    </w:div>
    <w:div w:id="877667560">
      <w:bodyDiv w:val="1"/>
      <w:marLeft w:val="0"/>
      <w:marRight w:val="0"/>
      <w:marTop w:val="0"/>
      <w:marBottom w:val="0"/>
      <w:divBdr>
        <w:top w:val="none" w:sz="0" w:space="0" w:color="auto"/>
        <w:left w:val="none" w:sz="0" w:space="0" w:color="auto"/>
        <w:bottom w:val="none" w:sz="0" w:space="0" w:color="auto"/>
        <w:right w:val="none" w:sz="0" w:space="0" w:color="auto"/>
      </w:divBdr>
    </w:div>
    <w:div w:id="887378567">
      <w:bodyDiv w:val="1"/>
      <w:marLeft w:val="0"/>
      <w:marRight w:val="0"/>
      <w:marTop w:val="0"/>
      <w:marBottom w:val="0"/>
      <w:divBdr>
        <w:top w:val="none" w:sz="0" w:space="0" w:color="auto"/>
        <w:left w:val="none" w:sz="0" w:space="0" w:color="auto"/>
        <w:bottom w:val="none" w:sz="0" w:space="0" w:color="auto"/>
        <w:right w:val="none" w:sz="0" w:space="0" w:color="auto"/>
      </w:divBdr>
    </w:div>
    <w:div w:id="896938385">
      <w:bodyDiv w:val="1"/>
      <w:marLeft w:val="0"/>
      <w:marRight w:val="0"/>
      <w:marTop w:val="0"/>
      <w:marBottom w:val="0"/>
      <w:divBdr>
        <w:top w:val="none" w:sz="0" w:space="0" w:color="auto"/>
        <w:left w:val="none" w:sz="0" w:space="0" w:color="auto"/>
        <w:bottom w:val="none" w:sz="0" w:space="0" w:color="auto"/>
        <w:right w:val="none" w:sz="0" w:space="0" w:color="auto"/>
      </w:divBdr>
    </w:div>
    <w:div w:id="923344885">
      <w:bodyDiv w:val="1"/>
      <w:marLeft w:val="0"/>
      <w:marRight w:val="0"/>
      <w:marTop w:val="0"/>
      <w:marBottom w:val="0"/>
      <w:divBdr>
        <w:top w:val="none" w:sz="0" w:space="0" w:color="auto"/>
        <w:left w:val="none" w:sz="0" w:space="0" w:color="auto"/>
        <w:bottom w:val="none" w:sz="0" w:space="0" w:color="auto"/>
        <w:right w:val="none" w:sz="0" w:space="0" w:color="auto"/>
      </w:divBdr>
    </w:div>
    <w:div w:id="932476480">
      <w:bodyDiv w:val="1"/>
      <w:marLeft w:val="0"/>
      <w:marRight w:val="0"/>
      <w:marTop w:val="0"/>
      <w:marBottom w:val="0"/>
      <w:divBdr>
        <w:top w:val="none" w:sz="0" w:space="0" w:color="auto"/>
        <w:left w:val="none" w:sz="0" w:space="0" w:color="auto"/>
        <w:bottom w:val="none" w:sz="0" w:space="0" w:color="auto"/>
        <w:right w:val="none" w:sz="0" w:space="0" w:color="auto"/>
      </w:divBdr>
    </w:div>
    <w:div w:id="942304174">
      <w:bodyDiv w:val="1"/>
      <w:marLeft w:val="0"/>
      <w:marRight w:val="0"/>
      <w:marTop w:val="0"/>
      <w:marBottom w:val="0"/>
      <w:divBdr>
        <w:top w:val="none" w:sz="0" w:space="0" w:color="auto"/>
        <w:left w:val="none" w:sz="0" w:space="0" w:color="auto"/>
        <w:bottom w:val="none" w:sz="0" w:space="0" w:color="auto"/>
        <w:right w:val="none" w:sz="0" w:space="0" w:color="auto"/>
      </w:divBdr>
    </w:div>
    <w:div w:id="978653595">
      <w:bodyDiv w:val="1"/>
      <w:marLeft w:val="0"/>
      <w:marRight w:val="0"/>
      <w:marTop w:val="0"/>
      <w:marBottom w:val="0"/>
      <w:divBdr>
        <w:top w:val="none" w:sz="0" w:space="0" w:color="auto"/>
        <w:left w:val="none" w:sz="0" w:space="0" w:color="auto"/>
        <w:bottom w:val="none" w:sz="0" w:space="0" w:color="auto"/>
        <w:right w:val="none" w:sz="0" w:space="0" w:color="auto"/>
      </w:divBdr>
    </w:div>
    <w:div w:id="979186541">
      <w:bodyDiv w:val="1"/>
      <w:marLeft w:val="0"/>
      <w:marRight w:val="0"/>
      <w:marTop w:val="0"/>
      <w:marBottom w:val="0"/>
      <w:divBdr>
        <w:top w:val="none" w:sz="0" w:space="0" w:color="auto"/>
        <w:left w:val="none" w:sz="0" w:space="0" w:color="auto"/>
        <w:bottom w:val="none" w:sz="0" w:space="0" w:color="auto"/>
        <w:right w:val="none" w:sz="0" w:space="0" w:color="auto"/>
      </w:divBdr>
      <w:divsChild>
        <w:div w:id="1378971851">
          <w:marLeft w:val="0"/>
          <w:marRight w:val="0"/>
          <w:marTop w:val="0"/>
          <w:marBottom w:val="120"/>
          <w:divBdr>
            <w:top w:val="none" w:sz="0" w:space="0" w:color="auto"/>
            <w:left w:val="none" w:sz="0" w:space="0" w:color="auto"/>
            <w:bottom w:val="single" w:sz="12" w:space="9" w:color="EBEBEB"/>
            <w:right w:val="none" w:sz="0" w:space="0" w:color="auto"/>
          </w:divBdr>
          <w:divsChild>
            <w:div w:id="1380934381">
              <w:marLeft w:val="0"/>
              <w:marRight w:val="0"/>
              <w:marTop w:val="100"/>
              <w:marBottom w:val="100"/>
              <w:divBdr>
                <w:top w:val="none" w:sz="0" w:space="0" w:color="auto"/>
                <w:left w:val="none" w:sz="0" w:space="0" w:color="auto"/>
                <w:bottom w:val="none" w:sz="0" w:space="0" w:color="auto"/>
                <w:right w:val="none" w:sz="0" w:space="0" w:color="auto"/>
              </w:divBdr>
              <w:divsChild>
                <w:div w:id="1079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596">
          <w:marLeft w:val="0"/>
          <w:marRight w:val="0"/>
          <w:marTop w:val="0"/>
          <w:marBottom w:val="120"/>
          <w:divBdr>
            <w:top w:val="none" w:sz="0" w:space="0" w:color="auto"/>
            <w:left w:val="none" w:sz="0" w:space="0" w:color="auto"/>
            <w:bottom w:val="none" w:sz="0" w:space="0" w:color="auto"/>
            <w:right w:val="none" w:sz="0" w:space="0" w:color="auto"/>
          </w:divBdr>
          <w:divsChild>
            <w:div w:id="688724596">
              <w:marLeft w:val="0"/>
              <w:marRight w:val="0"/>
              <w:marTop w:val="0"/>
              <w:marBottom w:val="0"/>
              <w:divBdr>
                <w:top w:val="none" w:sz="0" w:space="0" w:color="auto"/>
                <w:left w:val="none" w:sz="0" w:space="0" w:color="auto"/>
                <w:bottom w:val="none" w:sz="0" w:space="0" w:color="auto"/>
                <w:right w:val="none" w:sz="0" w:space="0" w:color="auto"/>
              </w:divBdr>
              <w:divsChild>
                <w:div w:id="2080705828">
                  <w:marLeft w:val="0"/>
                  <w:marRight w:val="0"/>
                  <w:marTop w:val="0"/>
                  <w:marBottom w:val="0"/>
                  <w:divBdr>
                    <w:top w:val="none" w:sz="0" w:space="0" w:color="auto"/>
                    <w:left w:val="none" w:sz="0" w:space="0" w:color="auto"/>
                    <w:bottom w:val="none" w:sz="0" w:space="0" w:color="auto"/>
                    <w:right w:val="none" w:sz="0" w:space="0" w:color="auto"/>
                  </w:divBdr>
                  <w:divsChild>
                    <w:div w:id="8678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734">
          <w:marLeft w:val="0"/>
          <w:marRight w:val="0"/>
          <w:marTop w:val="0"/>
          <w:marBottom w:val="0"/>
          <w:divBdr>
            <w:top w:val="none" w:sz="0" w:space="0" w:color="auto"/>
            <w:left w:val="none" w:sz="0" w:space="0" w:color="auto"/>
            <w:bottom w:val="none" w:sz="0" w:space="0" w:color="auto"/>
            <w:right w:val="none" w:sz="0" w:space="0" w:color="auto"/>
          </w:divBdr>
        </w:div>
      </w:divsChild>
    </w:div>
    <w:div w:id="995497325">
      <w:bodyDiv w:val="1"/>
      <w:marLeft w:val="0"/>
      <w:marRight w:val="0"/>
      <w:marTop w:val="0"/>
      <w:marBottom w:val="0"/>
      <w:divBdr>
        <w:top w:val="none" w:sz="0" w:space="0" w:color="auto"/>
        <w:left w:val="none" w:sz="0" w:space="0" w:color="auto"/>
        <w:bottom w:val="none" w:sz="0" w:space="0" w:color="auto"/>
        <w:right w:val="none" w:sz="0" w:space="0" w:color="auto"/>
      </w:divBdr>
    </w:div>
    <w:div w:id="1004473877">
      <w:bodyDiv w:val="1"/>
      <w:marLeft w:val="0"/>
      <w:marRight w:val="0"/>
      <w:marTop w:val="0"/>
      <w:marBottom w:val="0"/>
      <w:divBdr>
        <w:top w:val="none" w:sz="0" w:space="0" w:color="auto"/>
        <w:left w:val="none" w:sz="0" w:space="0" w:color="auto"/>
        <w:bottom w:val="none" w:sz="0" w:space="0" w:color="auto"/>
        <w:right w:val="none" w:sz="0" w:space="0" w:color="auto"/>
      </w:divBdr>
      <w:divsChild>
        <w:div w:id="796990213">
          <w:marLeft w:val="1166"/>
          <w:marRight w:val="0"/>
          <w:marTop w:val="0"/>
          <w:marBottom w:val="160"/>
          <w:divBdr>
            <w:top w:val="none" w:sz="0" w:space="0" w:color="auto"/>
            <w:left w:val="none" w:sz="0" w:space="0" w:color="auto"/>
            <w:bottom w:val="none" w:sz="0" w:space="0" w:color="auto"/>
            <w:right w:val="none" w:sz="0" w:space="0" w:color="auto"/>
          </w:divBdr>
        </w:div>
        <w:div w:id="980697956">
          <w:marLeft w:val="1166"/>
          <w:marRight w:val="0"/>
          <w:marTop w:val="0"/>
          <w:marBottom w:val="160"/>
          <w:divBdr>
            <w:top w:val="none" w:sz="0" w:space="0" w:color="auto"/>
            <w:left w:val="none" w:sz="0" w:space="0" w:color="auto"/>
            <w:bottom w:val="none" w:sz="0" w:space="0" w:color="auto"/>
            <w:right w:val="none" w:sz="0" w:space="0" w:color="auto"/>
          </w:divBdr>
        </w:div>
        <w:div w:id="1054278537">
          <w:marLeft w:val="1166"/>
          <w:marRight w:val="0"/>
          <w:marTop w:val="0"/>
          <w:marBottom w:val="160"/>
          <w:divBdr>
            <w:top w:val="none" w:sz="0" w:space="0" w:color="auto"/>
            <w:left w:val="none" w:sz="0" w:space="0" w:color="auto"/>
            <w:bottom w:val="none" w:sz="0" w:space="0" w:color="auto"/>
            <w:right w:val="none" w:sz="0" w:space="0" w:color="auto"/>
          </w:divBdr>
        </w:div>
        <w:div w:id="1150903741">
          <w:marLeft w:val="1166"/>
          <w:marRight w:val="0"/>
          <w:marTop w:val="0"/>
          <w:marBottom w:val="160"/>
          <w:divBdr>
            <w:top w:val="none" w:sz="0" w:space="0" w:color="auto"/>
            <w:left w:val="none" w:sz="0" w:space="0" w:color="auto"/>
            <w:bottom w:val="none" w:sz="0" w:space="0" w:color="auto"/>
            <w:right w:val="none" w:sz="0" w:space="0" w:color="auto"/>
          </w:divBdr>
        </w:div>
        <w:div w:id="1450120886">
          <w:marLeft w:val="1166"/>
          <w:marRight w:val="0"/>
          <w:marTop w:val="0"/>
          <w:marBottom w:val="160"/>
          <w:divBdr>
            <w:top w:val="none" w:sz="0" w:space="0" w:color="auto"/>
            <w:left w:val="none" w:sz="0" w:space="0" w:color="auto"/>
            <w:bottom w:val="none" w:sz="0" w:space="0" w:color="auto"/>
            <w:right w:val="none" w:sz="0" w:space="0" w:color="auto"/>
          </w:divBdr>
        </w:div>
        <w:div w:id="1711568790">
          <w:marLeft w:val="1166"/>
          <w:marRight w:val="0"/>
          <w:marTop w:val="0"/>
          <w:marBottom w:val="160"/>
          <w:divBdr>
            <w:top w:val="none" w:sz="0" w:space="0" w:color="auto"/>
            <w:left w:val="none" w:sz="0" w:space="0" w:color="auto"/>
            <w:bottom w:val="none" w:sz="0" w:space="0" w:color="auto"/>
            <w:right w:val="none" w:sz="0" w:space="0" w:color="auto"/>
          </w:divBdr>
        </w:div>
      </w:divsChild>
    </w:div>
    <w:div w:id="1028095134">
      <w:bodyDiv w:val="1"/>
      <w:marLeft w:val="0"/>
      <w:marRight w:val="0"/>
      <w:marTop w:val="0"/>
      <w:marBottom w:val="0"/>
      <w:divBdr>
        <w:top w:val="none" w:sz="0" w:space="0" w:color="auto"/>
        <w:left w:val="none" w:sz="0" w:space="0" w:color="auto"/>
        <w:bottom w:val="none" w:sz="0" w:space="0" w:color="auto"/>
        <w:right w:val="none" w:sz="0" w:space="0" w:color="auto"/>
      </w:divBdr>
    </w:div>
    <w:div w:id="1031689689">
      <w:bodyDiv w:val="1"/>
      <w:marLeft w:val="0"/>
      <w:marRight w:val="0"/>
      <w:marTop w:val="0"/>
      <w:marBottom w:val="0"/>
      <w:divBdr>
        <w:top w:val="none" w:sz="0" w:space="0" w:color="auto"/>
        <w:left w:val="none" w:sz="0" w:space="0" w:color="auto"/>
        <w:bottom w:val="none" w:sz="0" w:space="0" w:color="auto"/>
        <w:right w:val="none" w:sz="0" w:space="0" w:color="auto"/>
      </w:divBdr>
    </w:div>
    <w:div w:id="1053654286">
      <w:bodyDiv w:val="1"/>
      <w:marLeft w:val="0"/>
      <w:marRight w:val="0"/>
      <w:marTop w:val="0"/>
      <w:marBottom w:val="0"/>
      <w:divBdr>
        <w:top w:val="none" w:sz="0" w:space="0" w:color="auto"/>
        <w:left w:val="none" w:sz="0" w:space="0" w:color="auto"/>
        <w:bottom w:val="none" w:sz="0" w:space="0" w:color="auto"/>
        <w:right w:val="none" w:sz="0" w:space="0" w:color="auto"/>
      </w:divBdr>
      <w:divsChild>
        <w:div w:id="1032416786">
          <w:marLeft w:val="0"/>
          <w:marRight w:val="0"/>
          <w:marTop w:val="225"/>
          <w:marBottom w:val="0"/>
          <w:divBdr>
            <w:top w:val="none" w:sz="0" w:space="0" w:color="auto"/>
            <w:left w:val="none" w:sz="0" w:space="0" w:color="auto"/>
            <w:bottom w:val="none" w:sz="0" w:space="0" w:color="auto"/>
            <w:right w:val="none" w:sz="0" w:space="0" w:color="auto"/>
          </w:divBdr>
        </w:div>
        <w:div w:id="1395742627">
          <w:marLeft w:val="0"/>
          <w:marRight w:val="0"/>
          <w:marTop w:val="0"/>
          <w:marBottom w:val="0"/>
          <w:divBdr>
            <w:top w:val="none" w:sz="0" w:space="0" w:color="auto"/>
            <w:left w:val="none" w:sz="0" w:space="0" w:color="auto"/>
            <w:bottom w:val="none" w:sz="0" w:space="0" w:color="auto"/>
            <w:right w:val="none" w:sz="0" w:space="0" w:color="auto"/>
          </w:divBdr>
        </w:div>
        <w:div w:id="2024277741">
          <w:marLeft w:val="0"/>
          <w:marRight w:val="0"/>
          <w:marTop w:val="0"/>
          <w:marBottom w:val="0"/>
          <w:divBdr>
            <w:top w:val="none" w:sz="0" w:space="0" w:color="auto"/>
            <w:left w:val="none" w:sz="0" w:space="0" w:color="auto"/>
            <w:bottom w:val="none" w:sz="0" w:space="0" w:color="auto"/>
            <w:right w:val="none" w:sz="0" w:space="0" w:color="auto"/>
          </w:divBdr>
          <w:divsChild>
            <w:div w:id="448664904">
              <w:marLeft w:val="0"/>
              <w:marRight w:val="0"/>
              <w:marTop w:val="0"/>
              <w:marBottom w:val="0"/>
              <w:divBdr>
                <w:top w:val="none" w:sz="0" w:space="0" w:color="auto"/>
                <w:left w:val="none" w:sz="0" w:space="0" w:color="auto"/>
                <w:bottom w:val="none" w:sz="0" w:space="0" w:color="auto"/>
                <w:right w:val="none" w:sz="0" w:space="0" w:color="auto"/>
              </w:divBdr>
              <w:divsChild>
                <w:div w:id="867107577">
                  <w:marLeft w:val="0"/>
                  <w:marRight w:val="0"/>
                  <w:marTop w:val="0"/>
                  <w:marBottom w:val="0"/>
                  <w:divBdr>
                    <w:top w:val="none" w:sz="0" w:space="0" w:color="auto"/>
                    <w:left w:val="none" w:sz="0" w:space="0" w:color="auto"/>
                    <w:bottom w:val="none" w:sz="0" w:space="0" w:color="auto"/>
                    <w:right w:val="none" w:sz="0" w:space="0" w:color="auto"/>
                  </w:divBdr>
                  <w:divsChild>
                    <w:div w:id="11157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2752">
      <w:bodyDiv w:val="1"/>
      <w:marLeft w:val="0"/>
      <w:marRight w:val="0"/>
      <w:marTop w:val="0"/>
      <w:marBottom w:val="0"/>
      <w:divBdr>
        <w:top w:val="none" w:sz="0" w:space="0" w:color="auto"/>
        <w:left w:val="none" w:sz="0" w:space="0" w:color="auto"/>
        <w:bottom w:val="none" w:sz="0" w:space="0" w:color="auto"/>
        <w:right w:val="none" w:sz="0" w:space="0" w:color="auto"/>
      </w:divBdr>
    </w:div>
    <w:div w:id="1105930263">
      <w:bodyDiv w:val="1"/>
      <w:marLeft w:val="0"/>
      <w:marRight w:val="0"/>
      <w:marTop w:val="0"/>
      <w:marBottom w:val="0"/>
      <w:divBdr>
        <w:top w:val="none" w:sz="0" w:space="0" w:color="auto"/>
        <w:left w:val="none" w:sz="0" w:space="0" w:color="auto"/>
        <w:bottom w:val="none" w:sz="0" w:space="0" w:color="auto"/>
        <w:right w:val="none" w:sz="0" w:space="0" w:color="auto"/>
      </w:divBdr>
    </w:div>
    <w:div w:id="1115757965">
      <w:bodyDiv w:val="1"/>
      <w:marLeft w:val="0"/>
      <w:marRight w:val="0"/>
      <w:marTop w:val="0"/>
      <w:marBottom w:val="0"/>
      <w:divBdr>
        <w:top w:val="none" w:sz="0" w:space="0" w:color="auto"/>
        <w:left w:val="none" w:sz="0" w:space="0" w:color="auto"/>
        <w:bottom w:val="none" w:sz="0" w:space="0" w:color="auto"/>
        <w:right w:val="none" w:sz="0" w:space="0" w:color="auto"/>
      </w:divBdr>
    </w:div>
    <w:div w:id="1173568785">
      <w:bodyDiv w:val="1"/>
      <w:marLeft w:val="0"/>
      <w:marRight w:val="0"/>
      <w:marTop w:val="0"/>
      <w:marBottom w:val="0"/>
      <w:divBdr>
        <w:top w:val="none" w:sz="0" w:space="0" w:color="auto"/>
        <w:left w:val="none" w:sz="0" w:space="0" w:color="auto"/>
        <w:bottom w:val="none" w:sz="0" w:space="0" w:color="auto"/>
        <w:right w:val="none" w:sz="0" w:space="0" w:color="auto"/>
      </w:divBdr>
      <w:divsChild>
        <w:div w:id="724065442">
          <w:marLeft w:val="0"/>
          <w:marRight w:val="0"/>
          <w:marTop w:val="300"/>
          <w:marBottom w:val="0"/>
          <w:divBdr>
            <w:top w:val="none" w:sz="0" w:space="0" w:color="auto"/>
            <w:left w:val="none" w:sz="0" w:space="0" w:color="auto"/>
            <w:bottom w:val="none" w:sz="0" w:space="0" w:color="auto"/>
            <w:right w:val="none" w:sz="0" w:space="0" w:color="auto"/>
          </w:divBdr>
          <w:divsChild>
            <w:div w:id="1299921645">
              <w:marLeft w:val="0"/>
              <w:marRight w:val="0"/>
              <w:marTop w:val="0"/>
              <w:marBottom w:val="0"/>
              <w:divBdr>
                <w:top w:val="none" w:sz="0" w:space="0" w:color="auto"/>
                <w:left w:val="none" w:sz="0" w:space="0" w:color="auto"/>
                <w:bottom w:val="none" w:sz="0" w:space="0" w:color="auto"/>
                <w:right w:val="none" w:sz="0" w:space="0" w:color="auto"/>
              </w:divBdr>
              <w:divsChild>
                <w:div w:id="12209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739">
          <w:marLeft w:val="0"/>
          <w:marRight w:val="0"/>
          <w:marTop w:val="0"/>
          <w:marBottom w:val="0"/>
          <w:divBdr>
            <w:top w:val="none" w:sz="0" w:space="0" w:color="auto"/>
            <w:left w:val="none" w:sz="0" w:space="0" w:color="auto"/>
            <w:bottom w:val="none" w:sz="0" w:space="0" w:color="auto"/>
            <w:right w:val="none" w:sz="0" w:space="0" w:color="auto"/>
          </w:divBdr>
          <w:divsChild>
            <w:div w:id="7708">
              <w:marLeft w:val="0"/>
              <w:marRight w:val="0"/>
              <w:marTop w:val="0"/>
              <w:marBottom w:val="0"/>
              <w:divBdr>
                <w:top w:val="none" w:sz="0" w:space="0" w:color="auto"/>
                <w:left w:val="none" w:sz="0" w:space="0" w:color="auto"/>
                <w:bottom w:val="single" w:sz="12" w:space="0" w:color="D8D9DA"/>
                <w:right w:val="none" w:sz="0" w:space="0" w:color="auto"/>
              </w:divBdr>
              <w:divsChild>
                <w:div w:id="1326083199">
                  <w:marLeft w:val="0"/>
                  <w:marRight w:val="0"/>
                  <w:marTop w:val="0"/>
                  <w:marBottom w:val="0"/>
                  <w:divBdr>
                    <w:top w:val="none" w:sz="0" w:space="0" w:color="auto"/>
                    <w:left w:val="none" w:sz="0" w:space="0" w:color="auto"/>
                    <w:bottom w:val="none" w:sz="0" w:space="0" w:color="auto"/>
                    <w:right w:val="none" w:sz="0" w:space="0" w:color="auto"/>
                  </w:divBdr>
                  <w:divsChild>
                    <w:div w:id="2141874499">
                      <w:marLeft w:val="0"/>
                      <w:marRight w:val="0"/>
                      <w:marTop w:val="0"/>
                      <w:marBottom w:val="0"/>
                      <w:divBdr>
                        <w:top w:val="none" w:sz="0" w:space="0" w:color="auto"/>
                        <w:left w:val="none" w:sz="0" w:space="0" w:color="auto"/>
                        <w:bottom w:val="none" w:sz="0" w:space="0" w:color="auto"/>
                        <w:right w:val="none" w:sz="0" w:space="0" w:color="auto"/>
                      </w:divBdr>
                    </w:div>
                  </w:divsChild>
                </w:div>
                <w:div w:id="1530951288">
                  <w:marLeft w:val="0"/>
                  <w:marRight w:val="0"/>
                  <w:marTop w:val="0"/>
                  <w:marBottom w:val="0"/>
                  <w:divBdr>
                    <w:top w:val="none" w:sz="0" w:space="0" w:color="auto"/>
                    <w:left w:val="none" w:sz="0" w:space="0" w:color="auto"/>
                    <w:bottom w:val="none" w:sz="0" w:space="0" w:color="auto"/>
                    <w:right w:val="none" w:sz="0" w:space="0" w:color="auto"/>
                  </w:divBdr>
                  <w:divsChild>
                    <w:div w:id="213736615">
                      <w:marLeft w:val="270"/>
                      <w:marRight w:val="0"/>
                      <w:marTop w:val="0"/>
                      <w:marBottom w:val="0"/>
                      <w:divBdr>
                        <w:top w:val="none" w:sz="0" w:space="0" w:color="auto"/>
                        <w:left w:val="none" w:sz="0" w:space="0" w:color="auto"/>
                        <w:bottom w:val="none" w:sz="0" w:space="0" w:color="auto"/>
                        <w:right w:val="none" w:sz="0" w:space="0" w:color="auto"/>
                      </w:divBdr>
                    </w:div>
                    <w:div w:id="575936613">
                      <w:marLeft w:val="270"/>
                      <w:marRight w:val="0"/>
                      <w:marTop w:val="0"/>
                      <w:marBottom w:val="0"/>
                      <w:divBdr>
                        <w:top w:val="none" w:sz="0" w:space="0" w:color="auto"/>
                        <w:left w:val="none" w:sz="0" w:space="0" w:color="auto"/>
                        <w:bottom w:val="none" w:sz="0" w:space="0" w:color="auto"/>
                        <w:right w:val="none" w:sz="0" w:space="0" w:color="auto"/>
                      </w:divBdr>
                    </w:div>
                    <w:div w:id="1784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2787">
          <w:marLeft w:val="0"/>
          <w:marRight w:val="0"/>
          <w:marTop w:val="0"/>
          <w:marBottom w:val="270"/>
          <w:divBdr>
            <w:top w:val="none" w:sz="0" w:space="0" w:color="auto"/>
            <w:left w:val="none" w:sz="0" w:space="0" w:color="auto"/>
            <w:bottom w:val="none" w:sz="0" w:space="0" w:color="auto"/>
            <w:right w:val="none" w:sz="0" w:space="0" w:color="auto"/>
          </w:divBdr>
          <w:divsChild>
            <w:div w:id="361517904">
              <w:marLeft w:val="0"/>
              <w:marRight w:val="0"/>
              <w:marTop w:val="0"/>
              <w:marBottom w:val="0"/>
              <w:divBdr>
                <w:top w:val="none" w:sz="0" w:space="0" w:color="auto"/>
                <w:left w:val="none" w:sz="0" w:space="0" w:color="auto"/>
                <w:bottom w:val="none" w:sz="0" w:space="0" w:color="auto"/>
                <w:right w:val="none" w:sz="0" w:space="0" w:color="auto"/>
              </w:divBdr>
              <w:divsChild>
                <w:div w:id="207451942">
                  <w:marLeft w:val="0"/>
                  <w:marRight w:val="0"/>
                  <w:marTop w:val="225"/>
                  <w:marBottom w:val="225"/>
                  <w:divBdr>
                    <w:top w:val="none" w:sz="0" w:space="0" w:color="auto"/>
                    <w:left w:val="none" w:sz="0" w:space="0" w:color="auto"/>
                    <w:bottom w:val="none" w:sz="0" w:space="0" w:color="auto"/>
                    <w:right w:val="none" w:sz="0" w:space="0" w:color="auto"/>
                  </w:divBdr>
                  <w:divsChild>
                    <w:div w:id="267197956">
                      <w:marLeft w:val="0"/>
                      <w:marRight w:val="0"/>
                      <w:marTop w:val="0"/>
                      <w:marBottom w:val="0"/>
                      <w:divBdr>
                        <w:top w:val="none" w:sz="0" w:space="0" w:color="auto"/>
                        <w:left w:val="none" w:sz="0" w:space="0" w:color="auto"/>
                        <w:bottom w:val="none" w:sz="0" w:space="0" w:color="auto"/>
                        <w:right w:val="none" w:sz="0" w:space="0" w:color="auto"/>
                      </w:divBdr>
                    </w:div>
                    <w:div w:id="339507739">
                      <w:marLeft w:val="0"/>
                      <w:marRight w:val="0"/>
                      <w:marTop w:val="0"/>
                      <w:marBottom w:val="0"/>
                      <w:divBdr>
                        <w:top w:val="none" w:sz="0" w:space="0" w:color="auto"/>
                        <w:left w:val="none" w:sz="0" w:space="0" w:color="auto"/>
                        <w:bottom w:val="none" w:sz="0" w:space="0" w:color="auto"/>
                        <w:right w:val="none" w:sz="0" w:space="0" w:color="auto"/>
                      </w:divBdr>
                    </w:div>
                    <w:div w:id="346955421">
                      <w:marLeft w:val="0"/>
                      <w:marRight w:val="0"/>
                      <w:marTop w:val="0"/>
                      <w:marBottom w:val="0"/>
                      <w:divBdr>
                        <w:top w:val="none" w:sz="0" w:space="0" w:color="auto"/>
                        <w:left w:val="none" w:sz="0" w:space="0" w:color="auto"/>
                        <w:bottom w:val="none" w:sz="0" w:space="0" w:color="auto"/>
                        <w:right w:val="none" w:sz="0" w:space="0" w:color="auto"/>
                      </w:divBdr>
                    </w:div>
                  </w:divsChild>
                </w:div>
                <w:div w:id="1760640221">
                  <w:marLeft w:val="0"/>
                  <w:marRight w:val="0"/>
                  <w:marTop w:val="225"/>
                  <w:marBottom w:val="225"/>
                  <w:divBdr>
                    <w:top w:val="none" w:sz="0" w:space="0" w:color="auto"/>
                    <w:left w:val="none" w:sz="0" w:space="0" w:color="auto"/>
                    <w:bottom w:val="none" w:sz="0" w:space="0" w:color="auto"/>
                    <w:right w:val="none" w:sz="0" w:space="0" w:color="auto"/>
                  </w:divBdr>
                  <w:divsChild>
                    <w:div w:id="417556603">
                      <w:marLeft w:val="0"/>
                      <w:marRight w:val="0"/>
                      <w:marTop w:val="0"/>
                      <w:marBottom w:val="0"/>
                      <w:divBdr>
                        <w:top w:val="none" w:sz="0" w:space="0" w:color="auto"/>
                        <w:left w:val="none" w:sz="0" w:space="0" w:color="auto"/>
                        <w:bottom w:val="none" w:sz="0" w:space="0" w:color="auto"/>
                        <w:right w:val="none" w:sz="0" w:space="0" w:color="auto"/>
                      </w:divBdr>
                      <w:divsChild>
                        <w:div w:id="663047547">
                          <w:marLeft w:val="0"/>
                          <w:marRight w:val="0"/>
                          <w:marTop w:val="0"/>
                          <w:marBottom w:val="0"/>
                          <w:divBdr>
                            <w:top w:val="none" w:sz="0" w:space="0" w:color="auto"/>
                            <w:left w:val="none" w:sz="0" w:space="0" w:color="auto"/>
                            <w:bottom w:val="none" w:sz="0" w:space="0" w:color="auto"/>
                            <w:right w:val="none" w:sz="0" w:space="0" w:color="auto"/>
                          </w:divBdr>
                          <w:divsChild>
                            <w:div w:id="66733539">
                              <w:marLeft w:val="0"/>
                              <w:marRight w:val="0"/>
                              <w:marTop w:val="0"/>
                              <w:marBottom w:val="0"/>
                              <w:divBdr>
                                <w:top w:val="none" w:sz="0" w:space="0" w:color="auto"/>
                                <w:left w:val="none" w:sz="0" w:space="0" w:color="auto"/>
                                <w:bottom w:val="none" w:sz="0" w:space="0" w:color="auto"/>
                                <w:right w:val="none" w:sz="0" w:space="0" w:color="auto"/>
                              </w:divBdr>
                            </w:div>
                            <w:div w:id="685257389">
                              <w:marLeft w:val="0"/>
                              <w:marRight w:val="0"/>
                              <w:marTop w:val="0"/>
                              <w:marBottom w:val="0"/>
                              <w:divBdr>
                                <w:top w:val="none" w:sz="0" w:space="0" w:color="auto"/>
                                <w:left w:val="none" w:sz="0" w:space="0" w:color="auto"/>
                                <w:bottom w:val="none" w:sz="0" w:space="0" w:color="auto"/>
                                <w:right w:val="none" w:sz="0" w:space="0" w:color="auto"/>
                              </w:divBdr>
                            </w:div>
                            <w:div w:id="775716774">
                              <w:marLeft w:val="0"/>
                              <w:marRight w:val="0"/>
                              <w:marTop w:val="0"/>
                              <w:marBottom w:val="0"/>
                              <w:divBdr>
                                <w:top w:val="none" w:sz="0" w:space="0" w:color="auto"/>
                                <w:left w:val="none" w:sz="0" w:space="0" w:color="auto"/>
                                <w:bottom w:val="none" w:sz="0" w:space="0" w:color="auto"/>
                                <w:right w:val="none" w:sz="0" w:space="0" w:color="auto"/>
                              </w:divBdr>
                            </w:div>
                            <w:div w:id="823207827">
                              <w:marLeft w:val="0"/>
                              <w:marRight w:val="0"/>
                              <w:marTop w:val="0"/>
                              <w:marBottom w:val="0"/>
                              <w:divBdr>
                                <w:top w:val="none" w:sz="0" w:space="0" w:color="auto"/>
                                <w:left w:val="none" w:sz="0" w:space="0" w:color="auto"/>
                                <w:bottom w:val="none" w:sz="0" w:space="0" w:color="auto"/>
                                <w:right w:val="none" w:sz="0" w:space="0" w:color="auto"/>
                              </w:divBdr>
                            </w:div>
                            <w:div w:id="934240760">
                              <w:marLeft w:val="0"/>
                              <w:marRight w:val="0"/>
                              <w:marTop w:val="0"/>
                              <w:marBottom w:val="0"/>
                              <w:divBdr>
                                <w:top w:val="none" w:sz="0" w:space="0" w:color="auto"/>
                                <w:left w:val="none" w:sz="0" w:space="0" w:color="auto"/>
                                <w:bottom w:val="none" w:sz="0" w:space="0" w:color="auto"/>
                                <w:right w:val="none" w:sz="0" w:space="0" w:color="auto"/>
                              </w:divBdr>
                            </w:div>
                            <w:div w:id="1027291436">
                              <w:marLeft w:val="0"/>
                              <w:marRight w:val="0"/>
                              <w:marTop w:val="0"/>
                              <w:marBottom w:val="0"/>
                              <w:divBdr>
                                <w:top w:val="none" w:sz="0" w:space="0" w:color="auto"/>
                                <w:left w:val="none" w:sz="0" w:space="0" w:color="auto"/>
                                <w:bottom w:val="none" w:sz="0" w:space="0" w:color="auto"/>
                                <w:right w:val="none" w:sz="0" w:space="0" w:color="auto"/>
                              </w:divBdr>
                            </w:div>
                            <w:div w:id="1128933885">
                              <w:marLeft w:val="0"/>
                              <w:marRight w:val="0"/>
                              <w:marTop w:val="0"/>
                              <w:marBottom w:val="0"/>
                              <w:divBdr>
                                <w:top w:val="none" w:sz="0" w:space="0" w:color="auto"/>
                                <w:left w:val="none" w:sz="0" w:space="0" w:color="auto"/>
                                <w:bottom w:val="none" w:sz="0" w:space="0" w:color="auto"/>
                                <w:right w:val="none" w:sz="0" w:space="0" w:color="auto"/>
                              </w:divBdr>
                            </w:div>
                            <w:div w:id="1642883494">
                              <w:marLeft w:val="0"/>
                              <w:marRight w:val="0"/>
                              <w:marTop w:val="0"/>
                              <w:marBottom w:val="0"/>
                              <w:divBdr>
                                <w:top w:val="none" w:sz="0" w:space="0" w:color="auto"/>
                                <w:left w:val="none" w:sz="0" w:space="0" w:color="auto"/>
                                <w:bottom w:val="none" w:sz="0" w:space="0" w:color="auto"/>
                                <w:right w:val="none" w:sz="0" w:space="0" w:color="auto"/>
                              </w:divBdr>
                            </w:div>
                            <w:div w:id="16455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0475">
      <w:bodyDiv w:val="1"/>
      <w:marLeft w:val="0"/>
      <w:marRight w:val="0"/>
      <w:marTop w:val="0"/>
      <w:marBottom w:val="0"/>
      <w:divBdr>
        <w:top w:val="none" w:sz="0" w:space="0" w:color="auto"/>
        <w:left w:val="none" w:sz="0" w:space="0" w:color="auto"/>
        <w:bottom w:val="none" w:sz="0" w:space="0" w:color="auto"/>
        <w:right w:val="none" w:sz="0" w:space="0" w:color="auto"/>
      </w:divBdr>
    </w:div>
    <w:div w:id="1230455009">
      <w:bodyDiv w:val="1"/>
      <w:marLeft w:val="0"/>
      <w:marRight w:val="0"/>
      <w:marTop w:val="0"/>
      <w:marBottom w:val="0"/>
      <w:divBdr>
        <w:top w:val="none" w:sz="0" w:space="0" w:color="auto"/>
        <w:left w:val="none" w:sz="0" w:space="0" w:color="auto"/>
        <w:bottom w:val="none" w:sz="0" w:space="0" w:color="auto"/>
        <w:right w:val="none" w:sz="0" w:space="0" w:color="auto"/>
      </w:divBdr>
    </w:div>
    <w:div w:id="1249927981">
      <w:bodyDiv w:val="1"/>
      <w:marLeft w:val="0"/>
      <w:marRight w:val="0"/>
      <w:marTop w:val="0"/>
      <w:marBottom w:val="0"/>
      <w:divBdr>
        <w:top w:val="none" w:sz="0" w:space="0" w:color="auto"/>
        <w:left w:val="none" w:sz="0" w:space="0" w:color="auto"/>
        <w:bottom w:val="none" w:sz="0" w:space="0" w:color="auto"/>
        <w:right w:val="none" w:sz="0" w:space="0" w:color="auto"/>
      </w:divBdr>
    </w:div>
    <w:div w:id="1253392939">
      <w:bodyDiv w:val="1"/>
      <w:marLeft w:val="0"/>
      <w:marRight w:val="0"/>
      <w:marTop w:val="0"/>
      <w:marBottom w:val="0"/>
      <w:divBdr>
        <w:top w:val="none" w:sz="0" w:space="0" w:color="auto"/>
        <w:left w:val="none" w:sz="0" w:space="0" w:color="auto"/>
        <w:bottom w:val="none" w:sz="0" w:space="0" w:color="auto"/>
        <w:right w:val="none" w:sz="0" w:space="0" w:color="auto"/>
      </w:divBdr>
    </w:div>
    <w:div w:id="1268385276">
      <w:bodyDiv w:val="1"/>
      <w:marLeft w:val="0"/>
      <w:marRight w:val="0"/>
      <w:marTop w:val="0"/>
      <w:marBottom w:val="0"/>
      <w:divBdr>
        <w:top w:val="none" w:sz="0" w:space="0" w:color="auto"/>
        <w:left w:val="none" w:sz="0" w:space="0" w:color="auto"/>
        <w:bottom w:val="none" w:sz="0" w:space="0" w:color="auto"/>
        <w:right w:val="none" w:sz="0" w:space="0" w:color="auto"/>
      </w:divBdr>
      <w:divsChild>
        <w:div w:id="697201397">
          <w:marLeft w:val="0"/>
          <w:marRight w:val="0"/>
          <w:marTop w:val="225"/>
          <w:marBottom w:val="600"/>
          <w:divBdr>
            <w:top w:val="none" w:sz="0" w:space="0" w:color="auto"/>
            <w:left w:val="none" w:sz="0" w:space="0" w:color="auto"/>
            <w:bottom w:val="none" w:sz="0" w:space="0" w:color="auto"/>
            <w:right w:val="none" w:sz="0" w:space="0" w:color="auto"/>
          </w:divBdr>
        </w:div>
        <w:div w:id="1418819280">
          <w:marLeft w:val="0"/>
          <w:marRight w:val="0"/>
          <w:marTop w:val="0"/>
          <w:marBottom w:val="0"/>
          <w:divBdr>
            <w:top w:val="none" w:sz="0" w:space="0" w:color="auto"/>
            <w:left w:val="none" w:sz="0" w:space="0" w:color="auto"/>
            <w:bottom w:val="none" w:sz="0" w:space="0" w:color="auto"/>
            <w:right w:val="none" w:sz="0" w:space="0" w:color="auto"/>
          </w:divBdr>
          <w:divsChild>
            <w:div w:id="426929932">
              <w:marLeft w:val="0"/>
              <w:marRight w:val="0"/>
              <w:marTop w:val="225"/>
              <w:marBottom w:val="0"/>
              <w:divBdr>
                <w:top w:val="none" w:sz="0" w:space="0" w:color="auto"/>
                <w:left w:val="none" w:sz="0" w:space="0" w:color="auto"/>
                <w:bottom w:val="none" w:sz="0" w:space="0" w:color="auto"/>
                <w:right w:val="none" w:sz="0" w:space="0" w:color="auto"/>
              </w:divBdr>
            </w:div>
            <w:div w:id="2099018035">
              <w:marLeft w:val="0"/>
              <w:marRight w:val="0"/>
              <w:marTop w:val="0"/>
              <w:marBottom w:val="120"/>
              <w:divBdr>
                <w:top w:val="none" w:sz="0" w:space="0" w:color="auto"/>
                <w:left w:val="none" w:sz="0" w:space="0" w:color="auto"/>
                <w:bottom w:val="none" w:sz="0" w:space="0" w:color="auto"/>
                <w:right w:val="none" w:sz="0" w:space="0" w:color="auto"/>
              </w:divBdr>
              <w:divsChild>
                <w:div w:id="1581602598">
                  <w:marLeft w:val="0"/>
                  <w:marRight w:val="0"/>
                  <w:marTop w:val="0"/>
                  <w:marBottom w:val="0"/>
                  <w:divBdr>
                    <w:top w:val="none" w:sz="0" w:space="0" w:color="auto"/>
                    <w:left w:val="none" w:sz="0" w:space="0" w:color="auto"/>
                    <w:bottom w:val="none" w:sz="0" w:space="0" w:color="auto"/>
                    <w:right w:val="none" w:sz="0" w:space="0" w:color="auto"/>
                  </w:divBdr>
                  <w:divsChild>
                    <w:div w:id="1314724298">
                      <w:marLeft w:val="0"/>
                      <w:marRight w:val="0"/>
                      <w:marTop w:val="0"/>
                      <w:marBottom w:val="0"/>
                      <w:divBdr>
                        <w:top w:val="none" w:sz="0" w:space="0" w:color="auto"/>
                        <w:left w:val="none" w:sz="0" w:space="0" w:color="auto"/>
                        <w:bottom w:val="none" w:sz="0" w:space="0" w:color="auto"/>
                        <w:right w:val="none" w:sz="0" w:space="0" w:color="auto"/>
                      </w:divBdr>
                      <w:divsChild>
                        <w:div w:id="189994747">
                          <w:marLeft w:val="0"/>
                          <w:marRight w:val="0"/>
                          <w:marTop w:val="0"/>
                          <w:marBottom w:val="0"/>
                          <w:divBdr>
                            <w:top w:val="none" w:sz="0" w:space="0" w:color="auto"/>
                            <w:left w:val="none" w:sz="0" w:space="0" w:color="auto"/>
                            <w:bottom w:val="none" w:sz="0" w:space="0" w:color="auto"/>
                            <w:right w:val="none" w:sz="0" w:space="0" w:color="auto"/>
                          </w:divBdr>
                        </w:div>
                        <w:div w:id="241530782">
                          <w:marLeft w:val="0"/>
                          <w:marRight w:val="0"/>
                          <w:marTop w:val="0"/>
                          <w:marBottom w:val="0"/>
                          <w:divBdr>
                            <w:top w:val="none" w:sz="0" w:space="0" w:color="auto"/>
                            <w:left w:val="none" w:sz="0" w:space="0" w:color="auto"/>
                            <w:bottom w:val="none" w:sz="0" w:space="0" w:color="auto"/>
                            <w:right w:val="none" w:sz="0" w:space="0" w:color="auto"/>
                          </w:divBdr>
                        </w:div>
                        <w:div w:id="375348929">
                          <w:marLeft w:val="0"/>
                          <w:marRight w:val="0"/>
                          <w:marTop w:val="0"/>
                          <w:marBottom w:val="0"/>
                          <w:divBdr>
                            <w:top w:val="none" w:sz="0" w:space="0" w:color="auto"/>
                            <w:left w:val="none" w:sz="0" w:space="0" w:color="auto"/>
                            <w:bottom w:val="none" w:sz="0" w:space="0" w:color="auto"/>
                            <w:right w:val="none" w:sz="0" w:space="0" w:color="auto"/>
                          </w:divBdr>
                        </w:div>
                        <w:div w:id="441609130">
                          <w:marLeft w:val="0"/>
                          <w:marRight w:val="0"/>
                          <w:marTop w:val="0"/>
                          <w:marBottom w:val="0"/>
                          <w:divBdr>
                            <w:top w:val="none" w:sz="0" w:space="0" w:color="auto"/>
                            <w:left w:val="none" w:sz="0" w:space="0" w:color="auto"/>
                            <w:bottom w:val="none" w:sz="0" w:space="0" w:color="auto"/>
                            <w:right w:val="none" w:sz="0" w:space="0" w:color="auto"/>
                          </w:divBdr>
                        </w:div>
                        <w:div w:id="456337518">
                          <w:marLeft w:val="0"/>
                          <w:marRight w:val="0"/>
                          <w:marTop w:val="0"/>
                          <w:marBottom w:val="0"/>
                          <w:divBdr>
                            <w:top w:val="none" w:sz="0" w:space="0" w:color="auto"/>
                            <w:left w:val="none" w:sz="0" w:space="0" w:color="auto"/>
                            <w:bottom w:val="none" w:sz="0" w:space="0" w:color="auto"/>
                            <w:right w:val="none" w:sz="0" w:space="0" w:color="auto"/>
                          </w:divBdr>
                        </w:div>
                        <w:div w:id="538012736">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 w:id="697438859">
                          <w:marLeft w:val="0"/>
                          <w:marRight w:val="0"/>
                          <w:marTop w:val="0"/>
                          <w:marBottom w:val="0"/>
                          <w:divBdr>
                            <w:top w:val="none" w:sz="0" w:space="0" w:color="auto"/>
                            <w:left w:val="none" w:sz="0" w:space="0" w:color="auto"/>
                            <w:bottom w:val="none" w:sz="0" w:space="0" w:color="auto"/>
                            <w:right w:val="none" w:sz="0" w:space="0" w:color="auto"/>
                          </w:divBdr>
                        </w:div>
                        <w:div w:id="739253219">
                          <w:marLeft w:val="0"/>
                          <w:marRight w:val="0"/>
                          <w:marTop w:val="0"/>
                          <w:marBottom w:val="0"/>
                          <w:divBdr>
                            <w:top w:val="none" w:sz="0" w:space="0" w:color="auto"/>
                            <w:left w:val="none" w:sz="0" w:space="0" w:color="auto"/>
                            <w:bottom w:val="none" w:sz="0" w:space="0" w:color="auto"/>
                            <w:right w:val="none" w:sz="0" w:space="0" w:color="auto"/>
                          </w:divBdr>
                        </w:div>
                        <w:div w:id="822697953">
                          <w:marLeft w:val="0"/>
                          <w:marRight w:val="0"/>
                          <w:marTop w:val="0"/>
                          <w:marBottom w:val="0"/>
                          <w:divBdr>
                            <w:top w:val="none" w:sz="0" w:space="0" w:color="auto"/>
                            <w:left w:val="none" w:sz="0" w:space="0" w:color="auto"/>
                            <w:bottom w:val="none" w:sz="0" w:space="0" w:color="auto"/>
                            <w:right w:val="none" w:sz="0" w:space="0" w:color="auto"/>
                          </w:divBdr>
                        </w:div>
                        <w:div w:id="897208603">
                          <w:marLeft w:val="0"/>
                          <w:marRight w:val="0"/>
                          <w:marTop w:val="0"/>
                          <w:marBottom w:val="0"/>
                          <w:divBdr>
                            <w:top w:val="none" w:sz="0" w:space="0" w:color="auto"/>
                            <w:left w:val="none" w:sz="0" w:space="0" w:color="auto"/>
                            <w:bottom w:val="none" w:sz="0" w:space="0" w:color="auto"/>
                            <w:right w:val="none" w:sz="0" w:space="0" w:color="auto"/>
                          </w:divBdr>
                        </w:div>
                        <w:div w:id="1144854207">
                          <w:marLeft w:val="0"/>
                          <w:marRight w:val="0"/>
                          <w:marTop w:val="0"/>
                          <w:marBottom w:val="0"/>
                          <w:divBdr>
                            <w:top w:val="none" w:sz="0" w:space="0" w:color="auto"/>
                            <w:left w:val="none" w:sz="0" w:space="0" w:color="auto"/>
                            <w:bottom w:val="none" w:sz="0" w:space="0" w:color="auto"/>
                            <w:right w:val="none" w:sz="0" w:space="0" w:color="auto"/>
                          </w:divBdr>
                        </w:div>
                        <w:div w:id="1345129495">
                          <w:marLeft w:val="0"/>
                          <w:marRight w:val="0"/>
                          <w:marTop w:val="0"/>
                          <w:marBottom w:val="0"/>
                          <w:divBdr>
                            <w:top w:val="none" w:sz="0" w:space="0" w:color="auto"/>
                            <w:left w:val="none" w:sz="0" w:space="0" w:color="auto"/>
                            <w:bottom w:val="none" w:sz="0" w:space="0" w:color="auto"/>
                            <w:right w:val="none" w:sz="0" w:space="0" w:color="auto"/>
                          </w:divBdr>
                        </w:div>
                        <w:div w:id="1446389461">
                          <w:marLeft w:val="0"/>
                          <w:marRight w:val="0"/>
                          <w:marTop w:val="0"/>
                          <w:marBottom w:val="0"/>
                          <w:divBdr>
                            <w:top w:val="none" w:sz="0" w:space="0" w:color="auto"/>
                            <w:left w:val="none" w:sz="0" w:space="0" w:color="auto"/>
                            <w:bottom w:val="none" w:sz="0" w:space="0" w:color="auto"/>
                            <w:right w:val="none" w:sz="0" w:space="0" w:color="auto"/>
                          </w:divBdr>
                        </w:div>
                        <w:div w:id="1647584646">
                          <w:marLeft w:val="0"/>
                          <w:marRight w:val="0"/>
                          <w:marTop w:val="0"/>
                          <w:marBottom w:val="0"/>
                          <w:divBdr>
                            <w:top w:val="none" w:sz="0" w:space="0" w:color="auto"/>
                            <w:left w:val="none" w:sz="0" w:space="0" w:color="auto"/>
                            <w:bottom w:val="none" w:sz="0" w:space="0" w:color="auto"/>
                            <w:right w:val="none" w:sz="0" w:space="0" w:color="auto"/>
                          </w:divBdr>
                        </w:div>
                        <w:div w:id="1692025657">
                          <w:marLeft w:val="0"/>
                          <w:marRight w:val="0"/>
                          <w:marTop w:val="0"/>
                          <w:marBottom w:val="0"/>
                          <w:divBdr>
                            <w:top w:val="none" w:sz="0" w:space="0" w:color="auto"/>
                            <w:left w:val="none" w:sz="0" w:space="0" w:color="auto"/>
                            <w:bottom w:val="none" w:sz="0" w:space="0" w:color="auto"/>
                            <w:right w:val="none" w:sz="0" w:space="0" w:color="auto"/>
                          </w:divBdr>
                        </w:div>
                        <w:div w:id="1727029854">
                          <w:marLeft w:val="0"/>
                          <w:marRight w:val="0"/>
                          <w:marTop w:val="0"/>
                          <w:marBottom w:val="0"/>
                          <w:divBdr>
                            <w:top w:val="none" w:sz="0" w:space="0" w:color="auto"/>
                            <w:left w:val="none" w:sz="0" w:space="0" w:color="auto"/>
                            <w:bottom w:val="none" w:sz="0" w:space="0" w:color="auto"/>
                            <w:right w:val="none" w:sz="0" w:space="0" w:color="auto"/>
                          </w:divBdr>
                        </w:div>
                        <w:div w:id="1778139560">
                          <w:marLeft w:val="0"/>
                          <w:marRight w:val="0"/>
                          <w:marTop w:val="0"/>
                          <w:marBottom w:val="0"/>
                          <w:divBdr>
                            <w:top w:val="none" w:sz="0" w:space="0" w:color="auto"/>
                            <w:left w:val="none" w:sz="0" w:space="0" w:color="auto"/>
                            <w:bottom w:val="none" w:sz="0" w:space="0" w:color="auto"/>
                            <w:right w:val="none" w:sz="0" w:space="0" w:color="auto"/>
                          </w:divBdr>
                        </w:div>
                        <w:div w:id="1991670618">
                          <w:marLeft w:val="0"/>
                          <w:marRight w:val="0"/>
                          <w:marTop w:val="0"/>
                          <w:marBottom w:val="0"/>
                          <w:divBdr>
                            <w:top w:val="none" w:sz="0" w:space="0" w:color="auto"/>
                            <w:left w:val="none" w:sz="0" w:space="0" w:color="auto"/>
                            <w:bottom w:val="none" w:sz="0" w:space="0" w:color="auto"/>
                            <w:right w:val="none" w:sz="0" w:space="0" w:color="auto"/>
                          </w:divBdr>
                        </w:div>
                        <w:div w:id="2006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851">
      <w:bodyDiv w:val="1"/>
      <w:marLeft w:val="0"/>
      <w:marRight w:val="0"/>
      <w:marTop w:val="0"/>
      <w:marBottom w:val="0"/>
      <w:divBdr>
        <w:top w:val="none" w:sz="0" w:space="0" w:color="auto"/>
        <w:left w:val="none" w:sz="0" w:space="0" w:color="auto"/>
        <w:bottom w:val="none" w:sz="0" w:space="0" w:color="auto"/>
        <w:right w:val="none" w:sz="0" w:space="0" w:color="auto"/>
      </w:divBdr>
    </w:div>
    <w:div w:id="1301492562">
      <w:bodyDiv w:val="1"/>
      <w:marLeft w:val="0"/>
      <w:marRight w:val="0"/>
      <w:marTop w:val="0"/>
      <w:marBottom w:val="0"/>
      <w:divBdr>
        <w:top w:val="none" w:sz="0" w:space="0" w:color="auto"/>
        <w:left w:val="none" w:sz="0" w:space="0" w:color="auto"/>
        <w:bottom w:val="none" w:sz="0" w:space="0" w:color="auto"/>
        <w:right w:val="none" w:sz="0" w:space="0" w:color="auto"/>
      </w:divBdr>
    </w:div>
    <w:div w:id="1305235044">
      <w:bodyDiv w:val="1"/>
      <w:marLeft w:val="0"/>
      <w:marRight w:val="0"/>
      <w:marTop w:val="0"/>
      <w:marBottom w:val="0"/>
      <w:divBdr>
        <w:top w:val="none" w:sz="0" w:space="0" w:color="auto"/>
        <w:left w:val="none" w:sz="0" w:space="0" w:color="auto"/>
        <w:bottom w:val="none" w:sz="0" w:space="0" w:color="auto"/>
        <w:right w:val="none" w:sz="0" w:space="0" w:color="auto"/>
      </w:divBdr>
    </w:div>
    <w:div w:id="1314482587">
      <w:bodyDiv w:val="1"/>
      <w:marLeft w:val="0"/>
      <w:marRight w:val="0"/>
      <w:marTop w:val="0"/>
      <w:marBottom w:val="0"/>
      <w:divBdr>
        <w:top w:val="none" w:sz="0" w:space="0" w:color="auto"/>
        <w:left w:val="none" w:sz="0" w:space="0" w:color="auto"/>
        <w:bottom w:val="none" w:sz="0" w:space="0" w:color="auto"/>
        <w:right w:val="none" w:sz="0" w:space="0" w:color="auto"/>
      </w:divBdr>
      <w:divsChild>
        <w:div w:id="2100902431">
          <w:marLeft w:val="0"/>
          <w:marRight w:val="0"/>
          <w:marTop w:val="90"/>
          <w:marBottom w:val="330"/>
          <w:divBdr>
            <w:top w:val="none" w:sz="0" w:space="0" w:color="auto"/>
            <w:left w:val="none" w:sz="0" w:space="0" w:color="auto"/>
            <w:bottom w:val="none" w:sz="0" w:space="0" w:color="auto"/>
            <w:right w:val="none" w:sz="0" w:space="0" w:color="auto"/>
          </w:divBdr>
        </w:div>
        <w:div w:id="2102333024">
          <w:marLeft w:val="0"/>
          <w:marRight w:val="0"/>
          <w:marTop w:val="0"/>
          <w:marBottom w:val="330"/>
          <w:divBdr>
            <w:top w:val="none" w:sz="0" w:space="0" w:color="auto"/>
            <w:left w:val="none" w:sz="0" w:space="0" w:color="auto"/>
            <w:bottom w:val="none" w:sz="0" w:space="0" w:color="auto"/>
            <w:right w:val="none" w:sz="0" w:space="0" w:color="auto"/>
          </w:divBdr>
        </w:div>
      </w:divsChild>
    </w:div>
    <w:div w:id="1321347883">
      <w:bodyDiv w:val="1"/>
      <w:marLeft w:val="0"/>
      <w:marRight w:val="0"/>
      <w:marTop w:val="0"/>
      <w:marBottom w:val="0"/>
      <w:divBdr>
        <w:top w:val="none" w:sz="0" w:space="0" w:color="auto"/>
        <w:left w:val="none" w:sz="0" w:space="0" w:color="auto"/>
        <w:bottom w:val="none" w:sz="0" w:space="0" w:color="auto"/>
        <w:right w:val="none" w:sz="0" w:space="0" w:color="auto"/>
      </w:divBdr>
    </w:div>
    <w:div w:id="1471095221">
      <w:bodyDiv w:val="1"/>
      <w:marLeft w:val="0"/>
      <w:marRight w:val="0"/>
      <w:marTop w:val="0"/>
      <w:marBottom w:val="0"/>
      <w:divBdr>
        <w:top w:val="none" w:sz="0" w:space="0" w:color="auto"/>
        <w:left w:val="none" w:sz="0" w:space="0" w:color="auto"/>
        <w:bottom w:val="none" w:sz="0" w:space="0" w:color="auto"/>
        <w:right w:val="none" w:sz="0" w:space="0" w:color="auto"/>
      </w:divBdr>
    </w:div>
    <w:div w:id="1494488411">
      <w:bodyDiv w:val="1"/>
      <w:marLeft w:val="0"/>
      <w:marRight w:val="0"/>
      <w:marTop w:val="0"/>
      <w:marBottom w:val="0"/>
      <w:divBdr>
        <w:top w:val="none" w:sz="0" w:space="0" w:color="auto"/>
        <w:left w:val="none" w:sz="0" w:space="0" w:color="auto"/>
        <w:bottom w:val="none" w:sz="0" w:space="0" w:color="auto"/>
        <w:right w:val="none" w:sz="0" w:space="0" w:color="auto"/>
      </w:divBdr>
    </w:div>
    <w:div w:id="1499346889">
      <w:bodyDiv w:val="1"/>
      <w:marLeft w:val="0"/>
      <w:marRight w:val="0"/>
      <w:marTop w:val="0"/>
      <w:marBottom w:val="0"/>
      <w:divBdr>
        <w:top w:val="none" w:sz="0" w:space="0" w:color="auto"/>
        <w:left w:val="none" w:sz="0" w:space="0" w:color="auto"/>
        <w:bottom w:val="none" w:sz="0" w:space="0" w:color="auto"/>
        <w:right w:val="none" w:sz="0" w:space="0" w:color="auto"/>
      </w:divBdr>
    </w:div>
    <w:div w:id="1543975205">
      <w:bodyDiv w:val="1"/>
      <w:marLeft w:val="0"/>
      <w:marRight w:val="0"/>
      <w:marTop w:val="0"/>
      <w:marBottom w:val="0"/>
      <w:divBdr>
        <w:top w:val="none" w:sz="0" w:space="0" w:color="auto"/>
        <w:left w:val="none" w:sz="0" w:space="0" w:color="auto"/>
        <w:bottom w:val="none" w:sz="0" w:space="0" w:color="auto"/>
        <w:right w:val="none" w:sz="0" w:space="0" w:color="auto"/>
      </w:divBdr>
    </w:div>
    <w:div w:id="1593902741">
      <w:bodyDiv w:val="1"/>
      <w:marLeft w:val="0"/>
      <w:marRight w:val="0"/>
      <w:marTop w:val="0"/>
      <w:marBottom w:val="0"/>
      <w:divBdr>
        <w:top w:val="none" w:sz="0" w:space="0" w:color="auto"/>
        <w:left w:val="none" w:sz="0" w:space="0" w:color="auto"/>
        <w:bottom w:val="none" w:sz="0" w:space="0" w:color="auto"/>
        <w:right w:val="none" w:sz="0" w:space="0" w:color="auto"/>
      </w:divBdr>
    </w:div>
    <w:div w:id="1600605844">
      <w:bodyDiv w:val="1"/>
      <w:marLeft w:val="0"/>
      <w:marRight w:val="0"/>
      <w:marTop w:val="0"/>
      <w:marBottom w:val="0"/>
      <w:divBdr>
        <w:top w:val="none" w:sz="0" w:space="0" w:color="auto"/>
        <w:left w:val="none" w:sz="0" w:space="0" w:color="auto"/>
        <w:bottom w:val="none" w:sz="0" w:space="0" w:color="auto"/>
        <w:right w:val="none" w:sz="0" w:space="0" w:color="auto"/>
      </w:divBdr>
      <w:divsChild>
        <w:div w:id="249579529">
          <w:marLeft w:val="0"/>
          <w:marRight w:val="0"/>
          <w:marTop w:val="0"/>
          <w:marBottom w:val="0"/>
          <w:divBdr>
            <w:top w:val="none" w:sz="0" w:space="0" w:color="auto"/>
            <w:left w:val="none" w:sz="0" w:space="0" w:color="auto"/>
            <w:bottom w:val="none" w:sz="0" w:space="0" w:color="auto"/>
            <w:right w:val="none" w:sz="0" w:space="0" w:color="auto"/>
          </w:divBdr>
        </w:div>
        <w:div w:id="492649186">
          <w:marLeft w:val="0"/>
          <w:marRight w:val="0"/>
          <w:marTop w:val="0"/>
          <w:marBottom w:val="120"/>
          <w:divBdr>
            <w:top w:val="none" w:sz="0" w:space="0" w:color="auto"/>
            <w:left w:val="none" w:sz="0" w:space="0" w:color="auto"/>
            <w:bottom w:val="none" w:sz="0" w:space="0" w:color="auto"/>
            <w:right w:val="none" w:sz="0" w:space="0" w:color="auto"/>
          </w:divBdr>
          <w:divsChild>
            <w:div w:id="1381437342">
              <w:marLeft w:val="0"/>
              <w:marRight w:val="0"/>
              <w:marTop w:val="0"/>
              <w:marBottom w:val="0"/>
              <w:divBdr>
                <w:top w:val="none" w:sz="0" w:space="0" w:color="auto"/>
                <w:left w:val="none" w:sz="0" w:space="0" w:color="auto"/>
                <w:bottom w:val="none" w:sz="0" w:space="0" w:color="auto"/>
                <w:right w:val="none" w:sz="0" w:space="0" w:color="auto"/>
              </w:divBdr>
              <w:divsChild>
                <w:div w:id="1330404941">
                  <w:marLeft w:val="0"/>
                  <w:marRight w:val="0"/>
                  <w:marTop w:val="0"/>
                  <w:marBottom w:val="0"/>
                  <w:divBdr>
                    <w:top w:val="none" w:sz="0" w:space="0" w:color="auto"/>
                    <w:left w:val="none" w:sz="0" w:space="0" w:color="auto"/>
                    <w:bottom w:val="none" w:sz="0" w:space="0" w:color="auto"/>
                    <w:right w:val="none" w:sz="0" w:space="0" w:color="auto"/>
                  </w:divBdr>
                  <w:divsChild>
                    <w:div w:id="14509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8080">
          <w:marLeft w:val="0"/>
          <w:marRight w:val="0"/>
          <w:marTop w:val="0"/>
          <w:marBottom w:val="0"/>
          <w:divBdr>
            <w:top w:val="none" w:sz="0" w:space="0" w:color="auto"/>
            <w:left w:val="none" w:sz="0" w:space="0" w:color="auto"/>
            <w:bottom w:val="none" w:sz="0" w:space="0" w:color="auto"/>
            <w:right w:val="none" w:sz="0" w:space="0" w:color="auto"/>
          </w:divBdr>
          <w:divsChild>
            <w:div w:id="1196234109">
              <w:marLeft w:val="0"/>
              <w:marRight w:val="0"/>
              <w:marTop w:val="0"/>
              <w:marBottom w:val="120"/>
              <w:divBdr>
                <w:top w:val="none" w:sz="0" w:space="0" w:color="auto"/>
                <w:left w:val="none" w:sz="0" w:space="0" w:color="auto"/>
                <w:bottom w:val="none" w:sz="0" w:space="0" w:color="auto"/>
                <w:right w:val="none" w:sz="0" w:space="0" w:color="auto"/>
              </w:divBdr>
              <w:divsChild>
                <w:div w:id="1365785109">
                  <w:marLeft w:val="0"/>
                  <w:marRight w:val="0"/>
                  <w:marTop w:val="0"/>
                  <w:marBottom w:val="0"/>
                  <w:divBdr>
                    <w:top w:val="none" w:sz="0" w:space="0" w:color="auto"/>
                    <w:left w:val="none" w:sz="0" w:space="0" w:color="auto"/>
                    <w:bottom w:val="none" w:sz="0" w:space="0" w:color="auto"/>
                    <w:right w:val="none" w:sz="0" w:space="0" w:color="auto"/>
                  </w:divBdr>
                </w:div>
              </w:divsChild>
            </w:div>
            <w:div w:id="1757508384">
              <w:marLeft w:val="0"/>
              <w:marRight w:val="0"/>
              <w:marTop w:val="0"/>
              <w:marBottom w:val="120"/>
              <w:divBdr>
                <w:top w:val="none" w:sz="0" w:space="0" w:color="auto"/>
                <w:left w:val="none" w:sz="0" w:space="0" w:color="auto"/>
                <w:bottom w:val="none" w:sz="0" w:space="0" w:color="auto"/>
                <w:right w:val="none" w:sz="0" w:space="0" w:color="auto"/>
              </w:divBdr>
              <w:divsChild>
                <w:div w:id="17639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8161">
          <w:marLeft w:val="0"/>
          <w:marRight w:val="0"/>
          <w:marTop w:val="0"/>
          <w:marBottom w:val="30"/>
          <w:divBdr>
            <w:top w:val="none" w:sz="0" w:space="0" w:color="auto"/>
            <w:left w:val="none" w:sz="0" w:space="0" w:color="auto"/>
            <w:bottom w:val="none" w:sz="0" w:space="0" w:color="auto"/>
            <w:right w:val="none" w:sz="0" w:space="0" w:color="auto"/>
          </w:divBdr>
          <w:divsChild>
            <w:div w:id="386300865">
              <w:marLeft w:val="0"/>
              <w:marRight w:val="0"/>
              <w:marTop w:val="0"/>
              <w:marBottom w:val="0"/>
              <w:divBdr>
                <w:top w:val="none" w:sz="0" w:space="0" w:color="auto"/>
                <w:left w:val="none" w:sz="0" w:space="0" w:color="auto"/>
                <w:bottom w:val="none" w:sz="0" w:space="0" w:color="auto"/>
                <w:right w:val="none" w:sz="0" w:space="0" w:color="auto"/>
              </w:divBdr>
            </w:div>
            <w:div w:id="14037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1919">
      <w:bodyDiv w:val="1"/>
      <w:marLeft w:val="0"/>
      <w:marRight w:val="0"/>
      <w:marTop w:val="0"/>
      <w:marBottom w:val="0"/>
      <w:divBdr>
        <w:top w:val="none" w:sz="0" w:space="0" w:color="auto"/>
        <w:left w:val="none" w:sz="0" w:space="0" w:color="auto"/>
        <w:bottom w:val="none" w:sz="0" w:space="0" w:color="auto"/>
        <w:right w:val="none" w:sz="0" w:space="0" w:color="auto"/>
      </w:divBdr>
    </w:div>
    <w:div w:id="1665401714">
      <w:bodyDiv w:val="1"/>
      <w:marLeft w:val="0"/>
      <w:marRight w:val="0"/>
      <w:marTop w:val="0"/>
      <w:marBottom w:val="0"/>
      <w:divBdr>
        <w:top w:val="none" w:sz="0" w:space="0" w:color="auto"/>
        <w:left w:val="none" w:sz="0" w:space="0" w:color="auto"/>
        <w:bottom w:val="none" w:sz="0" w:space="0" w:color="auto"/>
        <w:right w:val="none" w:sz="0" w:space="0" w:color="auto"/>
      </w:divBdr>
    </w:div>
    <w:div w:id="1682731625">
      <w:bodyDiv w:val="1"/>
      <w:marLeft w:val="0"/>
      <w:marRight w:val="0"/>
      <w:marTop w:val="0"/>
      <w:marBottom w:val="0"/>
      <w:divBdr>
        <w:top w:val="none" w:sz="0" w:space="0" w:color="auto"/>
        <w:left w:val="none" w:sz="0" w:space="0" w:color="auto"/>
        <w:bottom w:val="none" w:sz="0" w:space="0" w:color="auto"/>
        <w:right w:val="none" w:sz="0" w:space="0" w:color="auto"/>
      </w:divBdr>
    </w:div>
    <w:div w:id="1684239019">
      <w:bodyDiv w:val="1"/>
      <w:marLeft w:val="0"/>
      <w:marRight w:val="0"/>
      <w:marTop w:val="0"/>
      <w:marBottom w:val="0"/>
      <w:divBdr>
        <w:top w:val="none" w:sz="0" w:space="0" w:color="auto"/>
        <w:left w:val="none" w:sz="0" w:space="0" w:color="auto"/>
        <w:bottom w:val="none" w:sz="0" w:space="0" w:color="auto"/>
        <w:right w:val="none" w:sz="0" w:space="0" w:color="auto"/>
      </w:divBdr>
    </w:div>
    <w:div w:id="1728070277">
      <w:bodyDiv w:val="1"/>
      <w:marLeft w:val="0"/>
      <w:marRight w:val="0"/>
      <w:marTop w:val="0"/>
      <w:marBottom w:val="0"/>
      <w:divBdr>
        <w:top w:val="none" w:sz="0" w:space="0" w:color="auto"/>
        <w:left w:val="none" w:sz="0" w:space="0" w:color="auto"/>
        <w:bottom w:val="none" w:sz="0" w:space="0" w:color="auto"/>
        <w:right w:val="none" w:sz="0" w:space="0" w:color="auto"/>
      </w:divBdr>
    </w:div>
    <w:div w:id="1869677212">
      <w:bodyDiv w:val="1"/>
      <w:marLeft w:val="0"/>
      <w:marRight w:val="0"/>
      <w:marTop w:val="0"/>
      <w:marBottom w:val="0"/>
      <w:divBdr>
        <w:top w:val="none" w:sz="0" w:space="0" w:color="auto"/>
        <w:left w:val="none" w:sz="0" w:space="0" w:color="auto"/>
        <w:bottom w:val="none" w:sz="0" w:space="0" w:color="auto"/>
        <w:right w:val="none" w:sz="0" w:space="0" w:color="auto"/>
      </w:divBdr>
    </w:div>
    <w:div w:id="1883058657">
      <w:bodyDiv w:val="1"/>
      <w:marLeft w:val="0"/>
      <w:marRight w:val="0"/>
      <w:marTop w:val="0"/>
      <w:marBottom w:val="0"/>
      <w:divBdr>
        <w:top w:val="none" w:sz="0" w:space="0" w:color="auto"/>
        <w:left w:val="none" w:sz="0" w:space="0" w:color="auto"/>
        <w:bottom w:val="none" w:sz="0" w:space="0" w:color="auto"/>
        <w:right w:val="none" w:sz="0" w:space="0" w:color="auto"/>
      </w:divBdr>
    </w:div>
    <w:div w:id="1928229414">
      <w:bodyDiv w:val="1"/>
      <w:marLeft w:val="0"/>
      <w:marRight w:val="0"/>
      <w:marTop w:val="0"/>
      <w:marBottom w:val="0"/>
      <w:divBdr>
        <w:top w:val="none" w:sz="0" w:space="0" w:color="auto"/>
        <w:left w:val="none" w:sz="0" w:space="0" w:color="auto"/>
        <w:bottom w:val="none" w:sz="0" w:space="0" w:color="auto"/>
        <w:right w:val="none" w:sz="0" w:space="0" w:color="auto"/>
      </w:divBdr>
    </w:div>
    <w:div w:id="1932464913">
      <w:bodyDiv w:val="1"/>
      <w:marLeft w:val="0"/>
      <w:marRight w:val="0"/>
      <w:marTop w:val="0"/>
      <w:marBottom w:val="0"/>
      <w:divBdr>
        <w:top w:val="none" w:sz="0" w:space="0" w:color="auto"/>
        <w:left w:val="none" w:sz="0" w:space="0" w:color="auto"/>
        <w:bottom w:val="none" w:sz="0" w:space="0" w:color="auto"/>
        <w:right w:val="none" w:sz="0" w:space="0" w:color="auto"/>
      </w:divBdr>
    </w:div>
    <w:div w:id="1978103690">
      <w:bodyDiv w:val="1"/>
      <w:marLeft w:val="0"/>
      <w:marRight w:val="0"/>
      <w:marTop w:val="0"/>
      <w:marBottom w:val="0"/>
      <w:divBdr>
        <w:top w:val="none" w:sz="0" w:space="0" w:color="auto"/>
        <w:left w:val="none" w:sz="0" w:space="0" w:color="auto"/>
        <w:bottom w:val="none" w:sz="0" w:space="0" w:color="auto"/>
        <w:right w:val="none" w:sz="0" w:space="0" w:color="auto"/>
      </w:divBdr>
    </w:div>
    <w:div w:id="2069375204">
      <w:bodyDiv w:val="1"/>
      <w:marLeft w:val="0"/>
      <w:marRight w:val="0"/>
      <w:marTop w:val="0"/>
      <w:marBottom w:val="0"/>
      <w:divBdr>
        <w:top w:val="none" w:sz="0" w:space="0" w:color="auto"/>
        <w:left w:val="none" w:sz="0" w:space="0" w:color="auto"/>
        <w:bottom w:val="none" w:sz="0" w:space="0" w:color="auto"/>
        <w:right w:val="none" w:sz="0" w:space="0" w:color="auto"/>
      </w:divBdr>
    </w:div>
    <w:div w:id="2096658850">
      <w:bodyDiv w:val="1"/>
      <w:marLeft w:val="0"/>
      <w:marRight w:val="0"/>
      <w:marTop w:val="0"/>
      <w:marBottom w:val="0"/>
      <w:divBdr>
        <w:top w:val="none" w:sz="0" w:space="0" w:color="auto"/>
        <w:left w:val="none" w:sz="0" w:space="0" w:color="auto"/>
        <w:bottom w:val="none" w:sz="0" w:space="0" w:color="auto"/>
        <w:right w:val="none" w:sz="0" w:space="0" w:color="auto"/>
      </w:divBdr>
      <w:divsChild>
        <w:div w:id="1217661656">
          <w:marLeft w:val="0"/>
          <w:marRight w:val="0"/>
          <w:marTop w:val="0"/>
          <w:marBottom w:val="0"/>
          <w:divBdr>
            <w:top w:val="none" w:sz="0" w:space="0" w:color="auto"/>
            <w:left w:val="none" w:sz="0" w:space="0" w:color="auto"/>
            <w:bottom w:val="none" w:sz="0" w:space="0" w:color="auto"/>
            <w:right w:val="none" w:sz="0" w:space="0" w:color="auto"/>
          </w:divBdr>
          <w:divsChild>
            <w:div w:id="1978679989">
              <w:marLeft w:val="0"/>
              <w:marRight w:val="0"/>
              <w:marTop w:val="0"/>
              <w:marBottom w:val="0"/>
              <w:divBdr>
                <w:top w:val="none" w:sz="0" w:space="0" w:color="auto"/>
                <w:left w:val="none" w:sz="0" w:space="0" w:color="auto"/>
                <w:bottom w:val="none" w:sz="0" w:space="0" w:color="auto"/>
                <w:right w:val="none" w:sz="0" w:space="0" w:color="auto"/>
              </w:divBdr>
              <w:divsChild>
                <w:div w:id="11996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476">
          <w:marLeft w:val="0"/>
          <w:marRight w:val="0"/>
          <w:marTop w:val="0"/>
          <w:marBottom w:val="225"/>
          <w:divBdr>
            <w:top w:val="none" w:sz="0" w:space="0" w:color="auto"/>
            <w:left w:val="none" w:sz="0" w:space="0" w:color="auto"/>
            <w:bottom w:val="none" w:sz="0" w:space="0" w:color="auto"/>
            <w:right w:val="none" w:sz="0" w:space="0" w:color="auto"/>
          </w:divBdr>
          <w:divsChild>
            <w:div w:id="1990742347">
              <w:marLeft w:val="0"/>
              <w:marRight w:val="0"/>
              <w:marTop w:val="0"/>
              <w:marBottom w:val="0"/>
              <w:divBdr>
                <w:top w:val="none" w:sz="0" w:space="0" w:color="auto"/>
                <w:left w:val="none" w:sz="0" w:space="0" w:color="auto"/>
                <w:bottom w:val="none" w:sz="0" w:space="0" w:color="auto"/>
                <w:right w:val="none" w:sz="0" w:space="0" w:color="auto"/>
              </w:divBdr>
              <w:divsChild>
                <w:div w:id="2063169307">
                  <w:marLeft w:val="0"/>
                  <w:marRight w:val="0"/>
                  <w:marTop w:val="0"/>
                  <w:marBottom w:val="0"/>
                  <w:divBdr>
                    <w:top w:val="none" w:sz="0" w:space="0" w:color="auto"/>
                    <w:left w:val="none" w:sz="0" w:space="0" w:color="auto"/>
                    <w:bottom w:val="none" w:sz="0" w:space="0" w:color="auto"/>
                    <w:right w:val="none" w:sz="0" w:space="0" w:color="auto"/>
                  </w:divBdr>
                  <w:divsChild>
                    <w:div w:id="3975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ecosystem/" TargetMode="External"/><Relationship Id="rId18" Type="http://schemas.openxmlformats.org/officeDocument/2006/relationships/hyperlink" Target="https://www.gov.uk/government/consultations/advancing-our-health-prevention-in-the-2020s/advancing-our-health-prevention-in-the-2020s-consultation-document" TargetMode="External"/><Relationship Id="rId26" Type="http://schemas.openxmlformats.org/officeDocument/2006/relationships/hyperlink" Target="https://www.eea.europa.eu/soer-2020/intro" TargetMode="External"/><Relationship Id="rId39" Type="http://schemas.openxmlformats.org/officeDocument/2006/relationships/hyperlink" Target="https://assets.publishing.service.gov.uk/government/uploads/system/uploads/attachment_data/file/771309/Global_Strategic_Trends_-_The_Future_Starts_Today.pdf" TargetMode="External"/><Relationship Id="rId21" Type="http://schemas.openxmlformats.org/officeDocument/2006/relationships/hyperlink" Target="https://www.dwrcymru.com/en/WaterSource/Brecon-Beacons-Mega-Catchment.aspx" TargetMode="External"/><Relationship Id="rId34" Type="http://schemas.openxmlformats.org/officeDocument/2006/relationships/hyperlink" Target="https://www.ipcc.ch/site/assets/uploads/sites/4/2020/02/SPM_Updated-Jan20.pdf" TargetMode="External"/><Relationship Id="rId42" Type="http://schemas.openxmlformats.org/officeDocument/2006/relationships/hyperlink" Target="https://www.naturalcapitalinitiative.org.uk/wholescapes/" TargetMode="External"/><Relationship Id="rId47" Type="http://schemas.openxmlformats.org/officeDocument/2006/relationships/hyperlink" Target="https://assets.publishing.service.gov.uk/government/uploads/system/uploads/attachment_data/file/757756/Cycling_and_walking_for_individual_and_population_health_benefits.pdf" TargetMode="External"/><Relationship Id="rId50" Type="http://schemas.openxmlformats.org/officeDocument/2006/relationships/hyperlink" Target="https://doi.org/10.1007/s10584-008-9429-6" TargetMode="External"/><Relationship Id="rId55" Type="http://schemas.openxmlformats.org/officeDocument/2006/relationships/hyperlink" Target="https://sustainabledevelopment.un.org/?menu=1300" TargetMode="External"/><Relationship Id="rId63" Type="http://schemas.openxmlformats.org/officeDocument/2006/relationships/hyperlink" Target="http://shaperssurvey2017.org/static/data/WEF_GSC_Annual_Survey_2017.pdf"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82222/The_Economics_of_Biodiversity_The_Dasgupta_Review_Interim_Report.pdf" TargetMode="External"/><Relationship Id="rId29" Type="http://schemas.openxmlformats.org/officeDocument/2006/relationships/hyperlink" Target="https://doi.org/10.1596/978-1-4648-05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1934/national_risk_register.pdf" TargetMode="External"/><Relationship Id="rId24" Type="http://schemas.openxmlformats.org/officeDocument/2006/relationships/hyperlink" Target="https://doi.org/10.1016/j.ecoser.2012.08.001" TargetMode="External"/><Relationship Id="rId32" Type="http://schemas.openxmlformats.org/officeDocument/2006/relationships/hyperlink" Target="https://www.gov.uk/government/publications/interim-report-the-dasgupta-review-independent-review-on-the-economics-of-biodiversity" TargetMode="External"/><Relationship Id="rId37" Type="http://schemas.openxmlformats.org/officeDocument/2006/relationships/hyperlink" Target="http://dx.doi.org/10.3991/ijac.v7i2.3850" TargetMode="External"/><Relationship Id="rId40" Type="http://schemas.openxmlformats.org/officeDocument/2006/relationships/hyperlink" Target="https://doi.org/10.1016/j.rser.2014.10.060" TargetMode="External"/><Relationship Id="rId45" Type="http://schemas.openxmlformats.org/officeDocument/2006/relationships/hyperlink" Target="https://doi.org/10.1146/annurev.polisci.2.1.493" TargetMode="External"/><Relationship Id="rId53" Type="http://schemas.openxmlformats.org/officeDocument/2006/relationships/hyperlink" Target="https://www.biologicaldiversity.org/programs/population_and_sustainability/extinction/" TargetMode="External"/><Relationship Id="rId58" Type="http://schemas.openxmlformats.org/officeDocument/2006/relationships/hyperlink" Target="https://www.unenvironment.org/news-and-stories/story/new-un-decade-ecosystem-restoration-inspire-bold-un-environment-assembly" TargetMode="External"/><Relationship Id="rId66" Type="http://schemas.openxmlformats.org/officeDocument/2006/relationships/hyperlink" Target="https://doi.org/10.1016/j.scitotenv.2020.138813" TargetMode="External"/><Relationship Id="rId5" Type="http://schemas.openxmlformats.org/officeDocument/2006/relationships/webSettings" Target="webSettings.xml"/><Relationship Id="rId15" Type="http://schemas.openxmlformats.org/officeDocument/2006/relationships/hyperlink" Target="https://doi.org/10.9707/1944-5660.1284" TargetMode="External"/><Relationship Id="rId23" Type="http://schemas.openxmlformats.org/officeDocument/2006/relationships/hyperlink" Target="https://doi.org/10.2800/96749" TargetMode="External"/><Relationship Id="rId28" Type="http://schemas.openxmlformats.org/officeDocument/2006/relationships/hyperlink" Target="https://doi.org/10.21061/jte.v7i1.a.2" TargetMode="External"/><Relationship Id="rId36" Type="http://schemas.openxmlformats.org/officeDocument/2006/relationships/hyperlink" Target="https://webarchive.nationalarchives.gov.uk/20130402170324/http:/archive.defra.gov.uk/environment/biodiversity/documents/201009space-for-nature.pdf" TargetMode="External"/><Relationship Id="rId49" Type="http://schemas.openxmlformats.org/officeDocument/2006/relationships/hyperlink" Target="https://doi.org/10.5465/amj.2011.61968107" TargetMode="External"/><Relationship Id="rId57" Type="http://schemas.openxmlformats.org/officeDocument/2006/relationships/hyperlink" Target="https://www.cambridge.org/gb/academic/subjects/earth-and-environmental-science/environmental-policy-economics-and-law/global-environment-outlook-geo-6-summary-policymakers?format=PB&amp;isbn=9781108707688" TargetMode="External"/><Relationship Id="rId61" Type="http://schemas.openxmlformats.org/officeDocument/2006/relationships/hyperlink" Target="https://www.un.org/sustainabledevelopment/education/" TargetMode="External"/><Relationship Id="rId10" Type="http://schemas.openxmlformats.org/officeDocument/2006/relationships/hyperlink" Target="https://www.ipbes.net/global-assessment-biodiversity-ecosystem-services" TargetMode="External"/><Relationship Id="rId19" Type="http://schemas.openxmlformats.org/officeDocument/2006/relationships/hyperlink" Target="https://www.gov.uk/government/publications/reducing-emissions-from-road-transport-road-to-zero-strategy" TargetMode="External"/><Relationship Id="rId31" Type="http://schemas.openxmlformats.org/officeDocument/2006/relationships/hyperlink" Target="https://www.gov.uk/government/publications/25-year-environment-plan" TargetMode="External"/><Relationship Id="rId44" Type="http://schemas.openxmlformats.org/officeDocument/2006/relationships/hyperlink" Target="https://www.oecd.org/regional/regional-policy/profile-Denmark.pdf" TargetMode="External"/><Relationship Id="rId52" Type="http://schemas.openxmlformats.org/officeDocument/2006/relationships/hyperlink" Target="https://doi.org/10.4324/9780429507090" TargetMode="External"/><Relationship Id="rId60" Type="http://schemas.openxmlformats.org/officeDocument/2006/relationships/hyperlink" Target="https://www.un.org/en/events/citiesday/assets/pdf/the_worlds_cities_in_2018_data_booklet.pdf" TargetMode="External"/><Relationship Id="rId65" Type="http://schemas.openxmlformats.org/officeDocument/2006/relationships/hyperlink" Target="https://www.woodlandtrust.org.uk/publications/2013/02/pontbren-project-sustainable-uplands-management/" TargetMode="External"/><Relationship Id="rId4" Type="http://schemas.openxmlformats.org/officeDocument/2006/relationships/settings" Target="settings.xml"/><Relationship Id="rId9" Type="http://schemas.openxmlformats.org/officeDocument/2006/relationships/hyperlink" Target="https://doi.org/10.1371/journal.pone.0128339" TargetMode="External"/><Relationship Id="rId14" Type="http://schemas.openxmlformats.org/officeDocument/2006/relationships/hyperlink" Target="https://doi.org/10.1016/j.foreco.2015.03.014" TargetMode="External"/><Relationship Id="rId22" Type="http://schemas.openxmlformats.org/officeDocument/2006/relationships/hyperlink" Target="https://doi.org/10.1073/pnas.1609425113" TargetMode="External"/><Relationship Id="rId27" Type="http://schemas.openxmlformats.org/officeDocument/2006/relationships/hyperlink" Target="http://www.footprintnetwork.org/en/index.php/GFN/" TargetMode="External"/><Relationship Id="rId30" Type="http://schemas.openxmlformats.org/officeDocument/2006/relationships/hyperlink" Target="https://www.gov.uk/government/publications/the-natural-choice-securing-the-value-of-nature" TargetMode="External"/><Relationship Id="rId35" Type="http://schemas.openxmlformats.org/officeDocument/2006/relationships/hyperlink" Target="https://ipbes.net/sites/default/files/ipbes-7-6_en_next_wp.pdf" TargetMode="External"/><Relationship Id="rId43" Type="http://schemas.openxmlformats.org/officeDocument/2006/relationships/hyperlink" Target="https://www.dni.gov/files/documents/nic/GT-Full-Report.pdf" TargetMode="External"/><Relationship Id="rId48" Type="http://schemas.openxmlformats.org/officeDocument/2006/relationships/hyperlink" Target="https://regenerationinternational.org/why-regenerative-agriculture/" TargetMode="External"/><Relationship Id="rId56" Type="http://schemas.openxmlformats.org/officeDocument/2006/relationships/hyperlink" Target="https://www.unenvironment.org/resources/global-environment-outlook-6" TargetMode="External"/><Relationship Id="rId64" Type="http://schemas.openxmlformats.org/officeDocument/2006/relationships/hyperlink" Target="http://dx.doi.org/10.1177/0021886391272001" TargetMode="External"/><Relationship Id="rId69" Type="http://schemas.openxmlformats.org/officeDocument/2006/relationships/fontTable" Target="fontTable.xml"/><Relationship Id="rId8" Type="http://schemas.openxmlformats.org/officeDocument/2006/relationships/hyperlink" Target="mailto:mark.everard@uwe.ac.uk" TargetMode="External"/><Relationship Id="rId51" Type="http://schemas.openxmlformats.org/officeDocument/2006/relationships/hyperlink" Target="https://doi.org/10.1080/14461242.2020.1784019" TargetMode="External"/><Relationship Id="rId3" Type="http://schemas.openxmlformats.org/officeDocument/2006/relationships/styles" Target="styles.xml"/><Relationship Id="rId12" Type="http://schemas.openxmlformats.org/officeDocument/2006/relationships/hyperlink" Target="https://www.cityofadelaide.com.au/about-adelaide/our-sustainable-city/" TargetMode="External"/><Relationship Id="rId17" Type="http://schemas.openxmlformats.org/officeDocument/2006/relationships/hyperlink" Target="https://www.gov.uk/government/news/new-farming-rules-for-water" TargetMode="External"/><Relationship Id="rId25" Type="http://schemas.openxmlformats.org/officeDocument/2006/relationships/hyperlink" Target="https://doi.org/10.1016/j.envsci.2020.05.017" TargetMode="External"/><Relationship Id="rId33" Type="http://schemas.openxmlformats.org/officeDocument/2006/relationships/hyperlink" Target="https://ipbes.net/models-drivers-biodiversity-ecosystem-change" TargetMode="External"/><Relationship Id="rId38" Type="http://schemas.openxmlformats.org/officeDocument/2006/relationships/hyperlink" Target="https://doi.org/10.3390/en11102771" TargetMode="External"/><Relationship Id="rId46" Type="http://schemas.openxmlformats.org/officeDocument/2006/relationships/hyperlink" Target="https://doi.org/10.1002/j.1662-6370.2000.tb00285.x" TargetMode="External"/><Relationship Id="rId59" Type="http://schemas.openxmlformats.org/officeDocument/2006/relationships/hyperlink" Target="https://www.undrr.org/" TargetMode="External"/><Relationship Id="rId67" Type="http://schemas.openxmlformats.org/officeDocument/2006/relationships/header" Target="header1.xml"/><Relationship Id="rId20" Type="http://schemas.openxmlformats.org/officeDocument/2006/relationships/hyperlink" Target="https://science.sciencemag.org/content/sci/366/6471/eaax3100.full.pdf" TargetMode="External"/><Relationship Id="rId41" Type="http://schemas.openxmlformats.org/officeDocument/2006/relationships/hyperlink" Target="https://assets.publishing.service.gov.uk/government/uploads/system/uploads/attachment_data/file/858739/ncc-annual-report-2020.pdf" TargetMode="External"/><Relationship Id="rId54" Type="http://schemas.openxmlformats.org/officeDocument/2006/relationships/hyperlink" Target="https://www.cbd.int/doc/publications/ea-text-en.pdf" TargetMode="External"/><Relationship Id="rId62" Type="http://schemas.openxmlformats.org/officeDocument/2006/relationships/hyperlink" Target="http://uknea.unep-wcmc.org/"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 TargetMode="External"/><Relationship Id="rId1" Type="http://schemas.openxmlformats.org/officeDocument/2006/relationships/hyperlink" Target="https://www.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2289-9367-4B1A-BFAA-96C30A7A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14035</Words>
  <Characters>80000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Everard</dc:creator>
  <cp:keywords/>
  <dc:description/>
  <cp:lastModifiedBy>Mark Everard</cp:lastModifiedBy>
  <cp:revision>3</cp:revision>
  <dcterms:created xsi:type="dcterms:W3CDTF">2020-11-09T08:00:00Z</dcterms:created>
  <dcterms:modified xsi:type="dcterms:W3CDTF">2020-11-09T08:09:00Z</dcterms:modified>
</cp:coreProperties>
</file>