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572DA" w14:textId="5ECF5760" w:rsidR="007D4A75" w:rsidRPr="00497E98" w:rsidRDefault="00D35385" w:rsidP="00380B5B">
      <w:pPr>
        <w:pStyle w:val="MDPI11articletype"/>
        <w:contextualSpacing/>
      </w:pPr>
      <w:r>
        <w:t>Article</w:t>
      </w:r>
    </w:p>
    <w:p w14:paraId="5123D0B0" w14:textId="18C620F0" w:rsidR="007D4A75" w:rsidRPr="00DF51A2" w:rsidRDefault="00D35385" w:rsidP="00380B5B">
      <w:pPr>
        <w:pStyle w:val="MDPI12title"/>
        <w:spacing w:line="240" w:lineRule="auto"/>
        <w:contextualSpacing/>
      </w:pPr>
      <w:r w:rsidRPr="00DF51A2">
        <w:rPr>
          <w:bCs/>
          <w:sz w:val="24"/>
          <w:szCs w:val="24"/>
        </w:rPr>
        <w:t xml:space="preserve">Daily medical liaison is associated with reduced length of stay </w:t>
      </w:r>
      <w:r w:rsidR="00056D56">
        <w:rPr>
          <w:bCs/>
          <w:sz w:val="24"/>
          <w:szCs w:val="24"/>
        </w:rPr>
        <w:t xml:space="preserve">and complications </w:t>
      </w:r>
      <w:r w:rsidRPr="00DF51A2">
        <w:rPr>
          <w:bCs/>
          <w:sz w:val="24"/>
          <w:szCs w:val="24"/>
        </w:rPr>
        <w:t xml:space="preserve">in </w:t>
      </w:r>
      <w:r w:rsidR="00056D56">
        <w:rPr>
          <w:bCs/>
          <w:sz w:val="24"/>
          <w:szCs w:val="24"/>
        </w:rPr>
        <w:t xml:space="preserve">selected patients admitted to </w:t>
      </w:r>
      <w:r w:rsidRPr="00DF51A2">
        <w:rPr>
          <w:bCs/>
          <w:sz w:val="24"/>
          <w:szCs w:val="24"/>
        </w:rPr>
        <w:t>a regional vascular surgery service.</w:t>
      </w:r>
    </w:p>
    <w:p w14:paraId="17B9C84A" w14:textId="25725EFA" w:rsidR="00D35385" w:rsidRPr="00DF51A2" w:rsidRDefault="00D35385" w:rsidP="00380B5B">
      <w:pPr>
        <w:spacing w:line="240" w:lineRule="auto"/>
        <w:contextualSpacing/>
        <w:rPr>
          <w:rFonts w:ascii="Palatino Linotype" w:hAnsi="Palatino Linotype"/>
          <w:bCs/>
          <w:sz w:val="20"/>
        </w:rPr>
      </w:pPr>
      <w:r w:rsidRPr="00DF51A2">
        <w:rPr>
          <w:rFonts w:ascii="Palatino Linotype" w:hAnsi="Palatino Linotype"/>
          <w:bCs/>
          <w:sz w:val="20"/>
        </w:rPr>
        <w:t>Emma Mitchell</w:t>
      </w:r>
      <w:r w:rsidRPr="00DF51A2">
        <w:rPr>
          <w:rFonts w:ascii="Palatino Linotype" w:hAnsi="Palatino Linotype"/>
          <w:bCs/>
          <w:sz w:val="20"/>
          <w:vertAlign w:val="superscript"/>
        </w:rPr>
        <w:t>1</w:t>
      </w:r>
      <w:r w:rsidRPr="00DF51A2">
        <w:rPr>
          <w:rFonts w:ascii="Palatino Linotype" w:hAnsi="Palatino Linotype"/>
          <w:bCs/>
          <w:sz w:val="20"/>
        </w:rPr>
        <w:t>, Roisin Coary</w:t>
      </w:r>
      <w:r w:rsidRPr="00DF51A2">
        <w:rPr>
          <w:rFonts w:ascii="Palatino Linotype" w:hAnsi="Palatino Linotype"/>
          <w:bCs/>
          <w:sz w:val="20"/>
          <w:vertAlign w:val="superscript"/>
        </w:rPr>
        <w:t>2</w:t>
      </w:r>
      <w:r w:rsidRPr="00DF51A2">
        <w:rPr>
          <w:rFonts w:ascii="Palatino Linotype" w:hAnsi="Palatino Linotype"/>
          <w:bCs/>
          <w:sz w:val="20"/>
        </w:rPr>
        <w:t>, Paul White</w:t>
      </w:r>
      <w:r w:rsidRPr="00DF51A2">
        <w:rPr>
          <w:rFonts w:ascii="Palatino Linotype" w:hAnsi="Palatino Linotype"/>
          <w:bCs/>
          <w:sz w:val="20"/>
          <w:vertAlign w:val="superscript"/>
        </w:rPr>
        <w:t>3</w:t>
      </w:r>
      <w:r w:rsidRPr="00DF51A2">
        <w:rPr>
          <w:rFonts w:ascii="Palatino Linotype" w:hAnsi="Palatino Linotype"/>
          <w:bCs/>
          <w:sz w:val="20"/>
        </w:rPr>
        <w:t>, Emily Farrow</w:t>
      </w:r>
      <w:r w:rsidRPr="00DF51A2">
        <w:rPr>
          <w:rFonts w:ascii="Palatino Linotype" w:hAnsi="Palatino Linotype"/>
          <w:bCs/>
          <w:sz w:val="20"/>
          <w:vertAlign w:val="superscript"/>
        </w:rPr>
        <w:t>1</w:t>
      </w:r>
      <w:r w:rsidRPr="00DF51A2">
        <w:rPr>
          <w:rFonts w:ascii="Palatino Linotype" w:hAnsi="Palatino Linotype"/>
          <w:bCs/>
          <w:sz w:val="20"/>
        </w:rPr>
        <w:t>, Amy Crees</w:t>
      </w:r>
      <w:r w:rsidRPr="00DF51A2">
        <w:rPr>
          <w:rFonts w:ascii="Palatino Linotype" w:hAnsi="Palatino Linotype"/>
          <w:bCs/>
          <w:sz w:val="20"/>
          <w:vertAlign w:val="superscript"/>
        </w:rPr>
        <w:t>1</w:t>
      </w:r>
      <w:r w:rsidRPr="00DF51A2">
        <w:rPr>
          <w:rFonts w:ascii="Palatino Linotype" w:hAnsi="Palatino Linotype"/>
          <w:bCs/>
          <w:sz w:val="20"/>
        </w:rPr>
        <w:t>, William Beedham</w:t>
      </w:r>
      <w:r w:rsidR="00056D56">
        <w:rPr>
          <w:rFonts w:ascii="Palatino Linotype" w:hAnsi="Palatino Linotype"/>
          <w:bCs/>
          <w:sz w:val="20"/>
          <w:vertAlign w:val="superscript"/>
        </w:rPr>
        <w:t>4</w:t>
      </w:r>
      <w:r w:rsidRPr="00DF51A2">
        <w:rPr>
          <w:rFonts w:ascii="Palatino Linotype" w:hAnsi="Palatino Linotype"/>
          <w:bCs/>
          <w:sz w:val="20"/>
        </w:rPr>
        <w:t>, Mark Devine</w:t>
      </w:r>
      <w:r w:rsidRPr="00DF51A2">
        <w:rPr>
          <w:rFonts w:ascii="Palatino Linotype" w:hAnsi="Palatino Linotype"/>
          <w:bCs/>
          <w:sz w:val="20"/>
          <w:vertAlign w:val="superscript"/>
        </w:rPr>
        <w:t>1</w:t>
      </w:r>
      <w:r w:rsidRPr="00DF51A2">
        <w:rPr>
          <w:rFonts w:ascii="Palatino Linotype" w:hAnsi="Palatino Linotype"/>
          <w:bCs/>
          <w:sz w:val="20"/>
        </w:rPr>
        <w:t>, Rebecca Winterborn</w:t>
      </w:r>
      <w:r w:rsidRPr="00DF51A2">
        <w:rPr>
          <w:rFonts w:ascii="Palatino Linotype" w:hAnsi="Palatino Linotype"/>
          <w:bCs/>
          <w:sz w:val="20"/>
          <w:vertAlign w:val="superscript"/>
        </w:rPr>
        <w:t>1</w:t>
      </w:r>
      <w:r w:rsidRPr="00DF51A2">
        <w:rPr>
          <w:rFonts w:ascii="Palatino Linotype" w:hAnsi="Palatino Linotype"/>
          <w:bCs/>
          <w:sz w:val="20"/>
        </w:rPr>
        <w:t>, David Shipway</w:t>
      </w:r>
      <w:r w:rsidRPr="00DF51A2">
        <w:rPr>
          <w:rFonts w:ascii="Palatino Linotype" w:hAnsi="Palatino Linotype"/>
          <w:bCs/>
          <w:sz w:val="20"/>
          <w:vertAlign w:val="superscript"/>
        </w:rPr>
        <w:t>1</w:t>
      </w:r>
      <w:r w:rsidR="00845DAE">
        <w:rPr>
          <w:rFonts w:ascii="Palatino Linotype" w:hAnsi="Palatino Linotype"/>
          <w:bCs/>
          <w:sz w:val="20"/>
          <w:vertAlign w:val="superscript"/>
        </w:rPr>
        <w:t>,</w:t>
      </w:r>
      <w:r w:rsidR="00056D56">
        <w:rPr>
          <w:rFonts w:ascii="Palatino Linotype" w:hAnsi="Palatino Linotype"/>
          <w:bCs/>
          <w:sz w:val="20"/>
          <w:vertAlign w:val="superscript"/>
        </w:rPr>
        <w:t>5</w:t>
      </w:r>
      <w:r w:rsidRPr="00DF51A2">
        <w:rPr>
          <w:rFonts w:ascii="Palatino Linotype" w:hAnsi="Palatino Linotype"/>
          <w:bCs/>
          <w:sz w:val="20"/>
        </w:rPr>
        <w:t>.</w:t>
      </w:r>
    </w:p>
    <w:p w14:paraId="4C1A61B7" w14:textId="77777777" w:rsidR="00D35385" w:rsidRDefault="00D35385" w:rsidP="00380B5B">
      <w:pPr>
        <w:pStyle w:val="MDPI13authornames"/>
        <w:spacing w:line="240" w:lineRule="auto"/>
        <w:contextualSpacing/>
      </w:pPr>
    </w:p>
    <w:p w14:paraId="21D65A39" w14:textId="20BD0A98" w:rsidR="007D4A75" w:rsidRPr="00497E98" w:rsidRDefault="007D4A75" w:rsidP="00380B5B">
      <w:pPr>
        <w:pStyle w:val="MDPI16affiliation"/>
        <w:spacing w:line="240" w:lineRule="auto"/>
        <w:contextualSpacing/>
      </w:pPr>
      <w:r w:rsidRPr="00497E98">
        <w:rPr>
          <w:vertAlign w:val="superscript"/>
        </w:rPr>
        <w:t>1</w:t>
      </w:r>
      <w:r w:rsidRPr="00497E98">
        <w:tab/>
      </w:r>
      <w:r w:rsidR="00D35385">
        <w:t xml:space="preserve">North Bristol NHS Trust; </w:t>
      </w:r>
      <w:r w:rsidR="00F67101">
        <w:t>David.shipway@nbt.nhs.uk</w:t>
      </w:r>
    </w:p>
    <w:p w14:paraId="37500CA8" w14:textId="0A1E1286" w:rsidR="007D4A75" w:rsidRDefault="007D4A75" w:rsidP="00380B5B">
      <w:pPr>
        <w:pStyle w:val="MDPI16affiliation"/>
        <w:spacing w:line="240" w:lineRule="auto"/>
        <w:contextualSpacing/>
        <w:rPr>
          <w:szCs w:val="20"/>
        </w:rPr>
      </w:pPr>
      <w:r w:rsidRPr="00497E98">
        <w:rPr>
          <w:szCs w:val="20"/>
          <w:vertAlign w:val="superscript"/>
        </w:rPr>
        <w:t>2</w:t>
      </w:r>
      <w:r w:rsidRPr="00497E98">
        <w:rPr>
          <w:szCs w:val="20"/>
        </w:rPr>
        <w:tab/>
      </w:r>
      <w:r w:rsidR="00D35385">
        <w:rPr>
          <w:szCs w:val="20"/>
        </w:rPr>
        <w:t>St James’s Hospital, Dublin</w:t>
      </w:r>
      <w:r w:rsidRPr="00497E98">
        <w:rPr>
          <w:szCs w:val="20"/>
        </w:rPr>
        <w:t xml:space="preserve">; </w:t>
      </w:r>
      <w:r w:rsidR="00D35385">
        <w:rPr>
          <w:szCs w:val="20"/>
        </w:rPr>
        <w:t>coaryr@tcd.ie</w:t>
      </w:r>
    </w:p>
    <w:p w14:paraId="6F9209D0" w14:textId="68C6FBB7" w:rsidR="00D35385" w:rsidRDefault="00D35385" w:rsidP="00380B5B">
      <w:pPr>
        <w:pStyle w:val="MDPI16affiliation"/>
        <w:spacing w:line="240" w:lineRule="auto"/>
        <w:contextualSpacing/>
        <w:rPr>
          <w:rStyle w:val="Hyperlink"/>
          <w:szCs w:val="20"/>
        </w:rPr>
      </w:pPr>
      <w:r w:rsidRPr="00D35385">
        <w:rPr>
          <w:szCs w:val="20"/>
          <w:vertAlign w:val="superscript"/>
        </w:rPr>
        <w:t>3</w:t>
      </w:r>
      <w:r>
        <w:rPr>
          <w:szCs w:val="20"/>
        </w:rPr>
        <w:t xml:space="preserve"> University of the West of England; </w:t>
      </w:r>
      <w:hyperlink r:id="rId8" w:history="1">
        <w:r w:rsidR="00845DAE" w:rsidRPr="00C53389">
          <w:rPr>
            <w:rStyle w:val="Hyperlink"/>
            <w:szCs w:val="20"/>
          </w:rPr>
          <w:t>paul.white@uwe.ac.uk</w:t>
        </w:r>
      </w:hyperlink>
    </w:p>
    <w:p w14:paraId="1438A82C" w14:textId="55BFD0D1" w:rsidR="00056D56" w:rsidRDefault="00056D56" w:rsidP="00380B5B">
      <w:pPr>
        <w:pStyle w:val="MDPI16affiliation"/>
        <w:spacing w:line="240" w:lineRule="auto"/>
        <w:contextualSpacing/>
        <w:rPr>
          <w:szCs w:val="20"/>
        </w:rPr>
      </w:pPr>
      <w:r>
        <w:rPr>
          <w:rStyle w:val="Hyperlink"/>
          <w:szCs w:val="20"/>
        </w:rPr>
        <w:t>4 Medical Student, University of Birmingham</w:t>
      </w:r>
    </w:p>
    <w:p w14:paraId="7A18964A" w14:textId="0537DF08" w:rsidR="00845DAE" w:rsidRDefault="00056D56" w:rsidP="00380B5B">
      <w:pPr>
        <w:pStyle w:val="MDPI16affiliation"/>
        <w:spacing w:line="240" w:lineRule="auto"/>
        <w:contextualSpacing/>
        <w:rPr>
          <w:szCs w:val="20"/>
        </w:rPr>
      </w:pPr>
      <w:r>
        <w:rPr>
          <w:bCs/>
          <w:sz w:val="20"/>
          <w:vertAlign w:val="superscript"/>
        </w:rPr>
        <w:t>5</w:t>
      </w:r>
      <w:r w:rsidR="00845DAE" w:rsidRPr="00DF51A2">
        <w:rPr>
          <w:bCs/>
          <w:sz w:val="20"/>
        </w:rPr>
        <w:t>.</w:t>
      </w:r>
      <w:r w:rsidR="00845DAE">
        <w:rPr>
          <w:szCs w:val="20"/>
        </w:rPr>
        <w:t>University of Bristol, UK</w:t>
      </w:r>
    </w:p>
    <w:p w14:paraId="15025B9B" w14:textId="3186BE5C" w:rsidR="007D4A75" w:rsidRPr="00497E98" w:rsidRDefault="007D4A75" w:rsidP="00380B5B">
      <w:pPr>
        <w:pStyle w:val="MDPI14history"/>
        <w:spacing w:before="0" w:line="240" w:lineRule="auto"/>
        <w:ind w:left="311" w:hanging="198"/>
        <w:contextualSpacing/>
      </w:pPr>
      <w:r w:rsidRPr="00497E98">
        <w:rPr>
          <w:b/>
        </w:rPr>
        <w:t>*</w:t>
      </w:r>
      <w:r w:rsidRPr="00497E98">
        <w:tab/>
        <w:t xml:space="preserve">Correspondence: </w:t>
      </w:r>
      <w:r w:rsidR="00D35385">
        <w:t>David.shipway@nbt.nhs.uk</w:t>
      </w:r>
      <w:r w:rsidRPr="00497E98">
        <w:t xml:space="preserve">; </w:t>
      </w:r>
      <w:r w:rsidR="003E7996">
        <w:t>Tel.:</w:t>
      </w:r>
      <w:r w:rsidR="00D35385">
        <w:t xml:space="preserve"> +44 7786 857149</w:t>
      </w:r>
    </w:p>
    <w:p w14:paraId="1681033B" w14:textId="77777777" w:rsidR="007D4A75" w:rsidRPr="00497E98" w:rsidRDefault="007D4A75" w:rsidP="00380B5B">
      <w:pPr>
        <w:pStyle w:val="MDPI14history"/>
        <w:spacing w:line="240" w:lineRule="auto"/>
        <w:contextualSpacing/>
      </w:pPr>
      <w:r w:rsidRPr="00497E98">
        <w:t>Received: date; Accepted: date; Published: date</w:t>
      </w:r>
    </w:p>
    <w:p w14:paraId="60B65AFA" w14:textId="4C95916A" w:rsidR="00380B5B" w:rsidRPr="005E1846" w:rsidRDefault="007D4A75" w:rsidP="005E1846">
      <w:pPr>
        <w:pStyle w:val="MDPI17abstract"/>
        <w:spacing w:line="240" w:lineRule="auto"/>
        <w:ind w:left="0"/>
        <w:contextualSpacing/>
        <w:rPr>
          <w:b/>
        </w:rPr>
      </w:pPr>
      <w:r w:rsidRPr="00497E98">
        <w:rPr>
          <w:b/>
        </w:rPr>
        <w:t xml:space="preserve">Abstract: </w:t>
      </w:r>
      <w:r w:rsidR="00056D56">
        <w:t>O</w:t>
      </w:r>
      <w:r w:rsidR="00857BA5" w:rsidRPr="00361091">
        <w:t xml:space="preserve">lder adults undergoing </w:t>
      </w:r>
      <w:r w:rsidR="00056D56">
        <w:t xml:space="preserve">vascular </w:t>
      </w:r>
      <w:r w:rsidR="00857BA5" w:rsidRPr="00361091">
        <w:t xml:space="preserve">surgery, are particularly vulnerable </w:t>
      </w:r>
      <w:r w:rsidR="00056D56">
        <w:t>to adverse outcomes by virtue of their vascular risk factors and medical comorbidities</w:t>
      </w:r>
      <w:r w:rsidR="00857BA5" w:rsidRPr="00361091">
        <w:t xml:space="preserve">. </w:t>
      </w:r>
      <w:r w:rsidR="00380B5B" w:rsidRPr="00361091">
        <w:t>T</w:t>
      </w:r>
      <w:r w:rsidR="00857BA5" w:rsidRPr="00361091">
        <w:t>his study</w:t>
      </w:r>
      <w:r w:rsidR="00EA74D1" w:rsidRPr="00361091">
        <w:t xml:space="preserve"> aimed to</w:t>
      </w:r>
      <w:r w:rsidR="00380B5B" w:rsidRPr="00361091">
        <w:t xml:space="preserve"> determine the impact of daily medical liaison </w:t>
      </w:r>
      <w:r w:rsidR="00594176" w:rsidRPr="00361091">
        <w:t>for</w:t>
      </w:r>
      <w:r w:rsidR="00380B5B" w:rsidRPr="00361091">
        <w:t xml:space="preserve"> patients aged 65 years </w:t>
      </w:r>
      <w:r w:rsidR="00CF0956">
        <w:t xml:space="preserve">and older </w:t>
      </w:r>
      <w:r w:rsidR="00056D56">
        <w:t>admitted to a</w:t>
      </w:r>
      <w:r w:rsidR="00380B5B" w:rsidRPr="00361091">
        <w:t xml:space="preserve"> regional vascular surgery centre. </w:t>
      </w:r>
      <w:r w:rsidR="0015231C" w:rsidRPr="00361091">
        <w:t>This was a d</w:t>
      </w:r>
      <w:r w:rsidR="00380B5B" w:rsidRPr="00361091">
        <w:t xml:space="preserve">escriptive before-and-after study concerning 375 patients. </w:t>
      </w:r>
      <w:r w:rsidR="00EA74D1" w:rsidRPr="00361091">
        <w:t xml:space="preserve">Primary </w:t>
      </w:r>
      <w:r w:rsidR="00380B5B" w:rsidRPr="00361091">
        <w:t xml:space="preserve">outcome measure was length of stay (LOS). </w:t>
      </w:r>
      <w:r w:rsidR="0058718C" w:rsidRPr="00361091">
        <w:t xml:space="preserve">Following intervention, we identified </w:t>
      </w:r>
      <w:r w:rsidR="00380B5B" w:rsidRPr="00361091">
        <w:t xml:space="preserve">a reduction in </w:t>
      </w:r>
      <w:r w:rsidR="00056D56">
        <w:t xml:space="preserve">mean </w:t>
      </w:r>
      <w:r w:rsidR="00380B5B" w:rsidRPr="00361091">
        <w:t xml:space="preserve">LOS </w:t>
      </w:r>
      <w:r w:rsidR="00B83CB5">
        <w:t xml:space="preserve">in the sample </w:t>
      </w:r>
      <w:r w:rsidR="00380B5B" w:rsidRPr="00361091">
        <w:t xml:space="preserve">from 10.75 to 7.95 days (p=0.635, 95% CI 0 – </w:t>
      </w:r>
      <w:r w:rsidR="0081052C">
        <w:t>5</w:t>
      </w:r>
      <w:r w:rsidR="00380B5B" w:rsidRPr="00361091">
        <w:t xml:space="preserve"> day</w:t>
      </w:r>
      <w:r w:rsidR="0011671E">
        <w:t>s</w:t>
      </w:r>
      <w:r w:rsidR="00380B5B" w:rsidRPr="00361091">
        <w:t>) with</w:t>
      </w:r>
      <w:r w:rsidR="00B83CB5">
        <w:t xml:space="preserve"> a</w:t>
      </w:r>
      <w:r w:rsidR="00380B5B" w:rsidRPr="00361091">
        <w:t xml:space="preserve"> </w:t>
      </w:r>
      <w:r w:rsidR="00056D56">
        <w:t>statistically</w:t>
      </w:r>
      <w:r w:rsidR="00380B5B" w:rsidRPr="00361091">
        <w:t xml:space="preserve"> significant reduction in mean LOS for </w:t>
      </w:r>
      <w:r w:rsidR="00056D56">
        <w:t>“stranded“</w:t>
      </w:r>
      <w:r w:rsidR="00B83CB5">
        <w:t xml:space="preserve"> </w:t>
      </w:r>
      <w:r w:rsidR="00380B5B" w:rsidRPr="00361091">
        <w:t xml:space="preserve">patients admitted </w:t>
      </w:r>
      <w:r w:rsidR="00CF0956">
        <w:t xml:space="preserve">for more than </w:t>
      </w:r>
      <w:r w:rsidR="00380B5B" w:rsidRPr="00361091">
        <w:t>seven days (</w:t>
      </w:r>
      <w:r w:rsidR="00056D56">
        <w:t xml:space="preserve">mean </w:t>
      </w:r>
      <w:r w:rsidR="00380B5B" w:rsidRPr="00361091">
        <w:t>7.84 days</w:t>
      </w:r>
      <w:r w:rsidR="00056D56">
        <w:t xml:space="preserve"> reduction</w:t>
      </w:r>
      <w:r w:rsidR="00380B5B" w:rsidRPr="00361091">
        <w:t xml:space="preserve">, p=0.025, 95% CI for mean difference, 1.5 to 14 days). </w:t>
      </w:r>
      <w:r w:rsidR="00056D56">
        <w:t xml:space="preserve">These patients did not display an elevated </w:t>
      </w:r>
      <w:r w:rsidR="00380B5B" w:rsidRPr="00361091">
        <w:t xml:space="preserve">30-day readmission rates (12/60 to 8/72, p=0.156, 95% CI -3% to 21%). </w:t>
      </w:r>
      <w:r w:rsidR="00056D56">
        <w:t xml:space="preserve">A non-significant </w:t>
      </w:r>
      <w:r w:rsidR="00380B5B" w:rsidRPr="00361091">
        <w:t xml:space="preserve"> reduction in postoperative complications was seen</w:t>
      </w:r>
      <w:r w:rsidR="00056D56">
        <w:t xml:space="preserve"> in all patients in the post-intervention cohort</w:t>
      </w:r>
      <w:r w:rsidR="00380B5B" w:rsidRPr="00361091">
        <w:t xml:space="preserve"> (1.09 to 0.86 per person, p=0.181, 95% CI -0.11 to 0.56), </w:t>
      </w:r>
      <w:r w:rsidR="007024B9" w:rsidRPr="00361091">
        <w:t>reaching</w:t>
      </w:r>
      <w:r w:rsidR="00380B5B" w:rsidRPr="00361091">
        <w:t xml:space="preserve"> statistical significance in emergency </w:t>
      </w:r>
      <w:r w:rsidR="00056D56">
        <w:t xml:space="preserve">vascular </w:t>
      </w:r>
      <w:r w:rsidR="00380B5B" w:rsidRPr="00361091">
        <w:t xml:space="preserve">admissions (1.81 to 0.97 </w:t>
      </w:r>
      <w:r w:rsidR="00056D56">
        <w:t xml:space="preserve">complications </w:t>
      </w:r>
      <w:r w:rsidR="00380B5B" w:rsidRPr="00361091">
        <w:t>per person, p=0.01, mean difference = 0.84, 95% CI 0.21 – 1.46). This study demonstrated reduced LOS and complications</w:t>
      </w:r>
      <w:r w:rsidR="00056D56">
        <w:t xml:space="preserve"> </w:t>
      </w:r>
      <w:r w:rsidR="00380B5B" w:rsidRPr="00361091">
        <w:t>in selected older patients admitted under vascular surgery</w:t>
      </w:r>
      <w:r w:rsidR="00056D56">
        <w:t xml:space="preserve"> after introduction of a daily medical liaison model</w:t>
      </w:r>
      <w:r w:rsidR="00380B5B" w:rsidRPr="00361091">
        <w:t xml:space="preserve">. These data are amongst the first to reproduce </w:t>
      </w:r>
      <w:r w:rsidR="00380B5B" w:rsidRPr="00FD6D35">
        <w:rPr>
          <w:lang w:val="en-GB"/>
        </w:rPr>
        <w:t>randomised</w:t>
      </w:r>
      <w:r w:rsidR="00380B5B" w:rsidRPr="00361091">
        <w:t xml:space="preserve"> control</w:t>
      </w:r>
      <w:r w:rsidR="00B83CB5">
        <w:t>led</w:t>
      </w:r>
      <w:r w:rsidR="00380B5B" w:rsidRPr="00361091">
        <w:t xml:space="preserve"> trial findings in a non-trial setting</w:t>
      </w:r>
      <w:r w:rsidR="00056D56">
        <w:t xml:space="preserve">. Subgroup analysis </w:t>
      </w:r>
      <w:r w:rsidR="00380B5B" w:rsidRPr="00361091">
        <w:t>indicate</w:t>
      </w:r>
      <w:r w:rsidR="00056D56">
        <w:t>s</w:t>
      </w:r>
      <w:r w:rsidR="00380B5B" w:rsidRPr="00361091">
        <w:t xml:space="preserve"> </w:t>
      </w:r>
      <w:r w:rsidR="00056D56">
        <w:t xml:space="preserve">that </w:t>
      </w:r>
      <w:r w:rsidR="00FD6D35">
        <w:t>patients</w:t>
      </w:r>
      <w:r w:rsidR="00056D56">
        <w:t xml:space="preserve"> admitted with acute pathology and those with long LOS </w:t>
      </w:r>
      <w:r w:rsidR="00380B5B" w:rsidRPr="00361091">
        <w:t xml:space="preserve">may benefit most from </w:t>
      </w:r>
      <w:r w:rsidR="00056D56">
        <w:t xml:space="preserve">medical liaison </w:t>
      </w:r>
      <w:r w:rsidR="00380B5B" w:rsidRPr="00361091">
        <w:t xml:space="preserve">where resources are finite. </w:t>
      </w:r>
    </w:p>
    <w:p w14:paraId="30099DC4" w14:textId="77777777" w:rsidR="00380B5B" w:rsidRDefault="00380B5B" w:rsidP="00D34CC9">
      <w:pPr>
        <w:pStyle w:val="MDPI17abstract"/>
        <w:spacing w:line="240" w:lineRule="auto"/>
        <w:ind w:left="0"/>
        <w:contextualSpacing/>
        <w:rPr>
          <w:b/>
        </w:rPr>
      </w:pPr>
    </w:p>
    <w:p w14:paraId="4E59FE49" w14:textId="652A12D1" w:rsidR="007D4A75" w:rsidRPr="00497E98" w:rsidRDefault="007D4A75" w:rsidP="00380B5B">
      <w:pPr>
        <w:pStyle w:val="MDPI18keywords"/>
        <w:spacing w:line="240" w:lineRule="auto"/>
        <w:contextualSpacing/>
      </w:pPr>
      <w:r w:rsidRPr="00497E98">
        <w:rPr>
          <w:b/>
        </w:rPr>
        <w:t xml:space="preserve">Keywords: </w:t>
      </w:r>
      <w:r w:rsidR="001F6D8A">
        <w:t>surgery</w:t>
      </w:r>
      <w:r w:rsidRPr="00497E98">
        <w:t xml:space="preserve">; </w:t>
      </w:r>
      <w:r w:rsidR="001F6D8A">
        <w:t>ageing</w:t>
      </w:r>
      <w:r w:rsidRPr="00497E98">
        <w:t xml:space="preserve">; </w:t>
      </w:r>
      <w:r w:rsidR="001F6D8A">
        <w:t xml:space="preserve">perioperative medicine, postoperative complications. </w:t>
      </w:r>
    </w:p>
    <w:p w14:paraId="6D7D2509" w14:textId="77777777" w:rsidR="007D4A75" w:rsidRPr="00497E98" w:rsidRDefault="007D4A75" w:rsidP="00380B5B">
      <w:pPr>
        <w:pStyle w:val="MDPI19line"/>
        <w:spacing w:line="240" w:lineRule="auto"/>
        <w:contextualSpacing/>
      </w:pPr>
    </w:p>
    <w:p w14:paraId="307B934E" w14:textId="77777777" w:rsidR="007D4A75" w:rsidRPr="00497E98" w:rsidRDefault="007D4A75" w:rsidP="00380B5B">
      <w:pPr>
        <w:pStyle w:val="MDPI21heading1"/>
        <w:spacing w:line="240" w:lineRule="auto"/>
        <w:contextualSpacing/>
      </w:pPr>
      <w:r w:rsidRPr="00497E98">
        <w:rPr>
          <w:lang w:eastAsia="zh-CN"/>
        </w:rPr>
        <w:t xml:space="preserve">1. </w:t>
      </w:r>
      <w:r w:rsidRPr="00497E98">
        <w:t>Introduction</w:t>
      </w:r>
    </w:p>
    <w:p w14:paraId="7EDF6792" w14:textId="78AC3CD6" w:rsidR="0011671E" w:rsidRDefault="00280BC0" w:rsidP="009875A1">
      <w:pPr>
        <w:spacing w:line="240" w:lineRule="auto"/>
        <w:contextualSpacing/>
        <w:rPr>
          <w:rFonts w:ascii="Palatino Linotype" w:hAnsi="Palatino Linotype"/>
          <w:sz w:val="20"/>
        </w:rPr>
      </w:pPr>
      <w:bookmarkStart w:id="0" w:name="OLE_LINK1"/>
      <w:bookmarkStart w:id="1" w:name="OLE_LINK2"/>
      <w:r w:rsidRPr="00280BC0">
        <w:rPr>
          <w:rFonts w:ascii="Palatino Linotype" w:hAnsi="Palatino Linotype"/>
          <w:sz w:val="20"/>
        </w:rPr>
        <w:t>The proportion of older people undergoing surgery is increasing faster than the rate of population ageing</w:t>
      </w:r>
      <w:r>
        <w:rPr>
          <w:rFonts w:ascii="Palatino Linotype" w:hAnsi="Palatino Linotype"/>
          <w:sz w:val="20"/>
        </w:rPr>
        <w:t xml:space="preserve"> [1-2]</w:t>
      </w:r>
      <w:r w:rsidRPr="00280BC0">
        <w:rPr>
          <w:rFonts w:ascii="Palatino Linotype" w:hAnsi="Palatino Linotype"/>
          <w:sz w:val="20"/>
        </w:rPr>
        <w:t>. This is representative of advances in surgical and anaesthetic techniques. However, it is well</w:t>
      </w:r>
      <w:r w:rsidR="0011671E">
        <w:rPr>
          <w:rFonts w:ascii="Palatino Linotype" w:hAnsi="Palatino Linotype"/>
          <w:sz w:val="20"/>
        </w:rPr>
        <w:t xml:space="preserve"> </w:t>
      </w:r>
      <w:r w:rsidRPr="00280BC0">
        <w:rPr>
          <w:rFonts w:ascii="Palatino Linotype" w:hAnsi="Palatino Linotype"/>
          <w:sz w:val="20"/>
        </w:rPr>
        <w:t xml:space="preserve">established that </w:t>
      </w:r>
      <w:r w:rsidR="00F6465B">
        <w:rPr>
          <w:rFonts w:ascii="Palatino Linotype" w:hAnsi="Palatino Linotype"/>
          <w:sz w:val="20"/>
        </w:rPr>
        <w:t>older patients</w:t>
      </w:r>
      <w:r w:rsidRPr="00280BC0">
        <w:rPr>
          <w:rFonts w:ascii="Palatino Linotype" w:hAnsi="Palatino Linotype"/>
          <w:sz w:val="20"/>
        </w:rPr>
        <w:t xml:space="preserve"> are more susceptible to adverse outcomes</w:t>
      </w:r>
      <w:r w:rsidR="008933F5">
        <w:rPr>
          <w:rFonts w:ascii="Palatino Linotype" w:hAnsi="Palatino Linotype"/>
          <w:sz w:val="20"/>
        </w:rPr>
        <w:t xml:space="preserve"> </w:t>
      </w:r>
      <w:r w:rsidR="00167714">
        <w:rPr>
          <w:rFonts w:ascii="Palatino Linotype" w:hAnsi="Palatino Linotype"/>
          <w:sz w:val="20"/>
        </w:rPr>
        <w:t>and those</w:t>
      </w:r>
      <w:r w:rsidR="009875A1" w:rsidRPr="00280BC0">
        <w:rPr>
          <w:rFonts w:ascii="Palatino Linotype" w:hAnsi="Palatino Linotype"/>
          <w:sz w:val="20"/>
        </w:rPr>
        <w:t xml:space="preserve"> undergoing vascular surgery are a particularly vulnerable, high-risk group</w:t>
      </w:r>
      <w:r w:rsidR="004717E8">
        <w:rPr>
          <w:rFonts w:ascii="Palatino Linotype" w:hAnsi="Palatino Linotype"/>
          <w:sz w:val="20"/>
        </w:rPr>
        <w:t xml:space="preserve"> [2-3]</w:t>
      </w:r>
      <w:r w:rsidR="009875A1" w:rsidRPr="00280BC0">
        <w:rPr>
          <w:rFonts w:ascii="Palatino Linotype" w:hAnsi="Palatino Linotype"/>
          <w:sz w:val="20"/>
        </w:rPr>
        <w:t xml:space="preserve">. This frequently reflects the presence of multiple comorbidities </w:t>
      </w:r>
      <w:r w:rsidR="009875A1">
        <w:rPr>
          <w:rFonts w:ascii="Palatino Linotype" w:hAnsi="Palatino Linotype"/>
          <w:sz w:val="20"/>
        </w:rPr>
        <w:t xml:space="preserve">(multimorbidity) </w:t>
      </w:r>
      <w:r w:rsidR="009875A1" w:rsidRPr="00280BC0">
        <w:rPr>
          <w:rFonts w:ascii="Palatino Linotype" w:hAnsi="Palatino Linotype"/>
          <w:sz w:val="20"/>
        </w:rPr>
        <w:t>including hypertension, diabetes, ischaemic heart disease and additional lifestyle risk factors such as smoking.</w:t>
      </w:r>
      <w:r w:rsidR="00576E30">
        <w:rPr>
          <w:rFonts w:ascii="Palatino Linotype" w:hAnsi="Palatino Linotype"/>
          <w:sz w:val="20"/>
        </w:rPr>
        <w:t xml:space="preserve"> </w:t>
      </w:r>
      <w:r w:rsidR="00834200">
        <w:rPr>
          <w:rFonts w:ascii="Palatino Linotype" w:hAnsi="Palatino Linotype"/>
          <w:sz w:val="20"/>
        </w:rPr>
        <w:t>D</w:t>
      </w:r>
      <w:r w:rsidR="00576E30">
        <w:rPr>
          <w:rFonts w:ascii="Palatino Linotype" w:hAnsi="Palatino Linotype"/>
          <w:sz w:val="20"/>
        </w:rPr>
        <w:t>istinct from older age and multimorbid</w:t>
      </w:r>
      <w:r w:rsidR="0011671E">
        <w:rPr>
          <w:rFonts w:ascii="Palatino Linotype" w:hAnsi="Palatino Linotype"/>
          <w:sz w:val="20"/>
        </w:rPr>
        <w:t>i</w:t>
      </w:r>
      <w:r w:rsidR="00576E30">
        <w:rPr>
          <w:rFonts w:ascii="Palatino Linotype" w:hAnsi="Palatino Linotype"/>
          <w:sz w:val="20"/>
        </w:rPr>
        <w:t>ty</w:t>
      </w:r>
      <w:r w:rsidR="00834200">
        <w:rPr>
          <w:rFonts w:ascii="Palatino Linotype" w:hAnsi="Palatino Linotype"/>
          <w:sz w:val="20"/>
        </w:rPr>
        <w:t xml:space="preserve"> is </w:t>
      </w:r>
      <w:r w:rsidR="005525F1" w:rsidRPr="0011671E">
        <w:rPr>
          <w:rFonts w:ascii="Palatino Linotype" w:hAnsi="Palatino Linotype"/>
          <w:sz w:val="20"/>
        </w:rPr>
        <w:t>frailty</w:t>
      </w:r>
      <w:r w:rsidR="005525F1">
        <w:rPr>
          <w:rFonts w:ascii="Palatino Linotype" w:hAnsi="Palatino Linotype"/>
          <w:sz w:val="20"/>
        </w:rPr>
        <w:t>,</w:t>
      </w:r>
      <w:r w:rsidR="00B30E3B">
        <w:rPr>
          <w:rFonts w:ascii="Palatino Linotype" w:hAnsi="Palatino Linotype"/>
          <w:sz w:val="20"/>
        </w:rPr>
        <w:t xml:space="preserve"> a syndrome </w:t>
      </w:r>
      <w:r w:rsidR="00CE33F3">
        <w:rPr>
          <w:rFonts w:ascii="Palatino Linotype" w:hAnsi="Palatino Linotype"/>
          <w:sz w:val="20"/>
        </w:rPr>
        <w:t xml:space="preserve">of vulnerability to minor stressors </w:t>
      </w:r>
      <w:proofErr w:type="gramStart"/>
      <w:r w:rsidR="00CE33F3">
        <w:rPr>
          <w:rFonts w:ascii="Palatino Linotype" w:hAnsi="Palatino Linotype"/>
          <w:sz w:val="20"/>
        </w:rPr>
        <w:t xml:space="preserve">as </w:t>
      </w:r>
      <w:r w:rsidR="00BB58AB">
        <w:rPr>
          <w:rFonts w:ascii="Palatino Linotype" w:hAnsi="Palatino Linotype"/>
          <w:sz w:val="20"/>
        </w:rPr>
        <w:t>a</w:t>
      </w:r>
      <w:r w:rsidR="00CE33F3">
        <w:rPr>
          <w:rFonts w:ascii="Palatino Linotype" w:hAnsi="Palatino Linotype"/>
          <w:sz w:val="20"/>
        </w:rPr>
        <w:t xml:space="preserve"> consequence of</w:t>
      </w:r>
      <w:proofErr w:type="gramEnd"/>
      <w:r w:rsidR="00CE33F3">
        <w:rPr>
          <w:rFonts w:ascii="Palatino Linotype" w:hAnsi="Palatino Linotype"/>
          <w:sz w:val="20"/>
        </w:rPr>
        <w:t xml:space="preserve"> accumulat</w:t>
      </w:r>
      <w:r w:rsidR="00BB58AB">
        <w:rPr>
          <w:rFonts w:ascii="Palatino Linotype" w:hAnsi="Palatino Linotype"/>
          <w:sz w:val="20"/>
        </w:rPr>
        <w:t>ed</w:t>
      </w:r>
      <w:r w:rsidR="0011671E">
        <w:rPr>
          <w:rFonts w:ascii="Palatino Linotype" w:hAnsi="Palatino Linotype"/>
          <w:sz w:val="20"/>
        </w:rPr>
        <w:t xml:space="preserve"> </w:t>
      </w:r>
      <w:r w:rsidR="00CE33F3">
        <w:rPr>
          <w:rFonts w:ascii="Palatino Linotype" w:hAnsi="Palatino Linotype"/>
          <w:sz w:val="20"/>
        </w:rPr>
        <w:t xml:space="preserve">deficits over </w:t>
      </w:r>
      <w:r w:rsidR="00BB58AB">
        <w:rPr>
          <w:rFonts w:ascii="Palatino Linotype" w:hAnsi="Palatino Linotype"/>
          <w:sz w:val="20"/>
        </w:rPr>
        <w:t>an individual’s lifetime leading to reduced physiological reserve</w:t>
      </w:r>
      <w:r w:rsidR="00834200">
        <w:rPr>
          <w:rFonts w:ascii="Palatino Linotype" w:hAnsi="Palatino Linotype"/>
          <w:sz w:val="20"/>
        </w:rPr>
        <w:t xml:space="preserve">. </w:t>
      </w:r>
      <w:r w:rsidR="00BB58AB">
        <w:rPr>
          <w:rFonts w:ascii="Palatino Linotype" w:hAnsi="Palatino Linotype"/>
          <w:sz w:val="20"/>
        </w:rPr>
        <w:t>Frailty also predicts adverse outcomes after major vascular surgery [</w:t>
      </w:r>
      <w:r w:rsidR="004717E8">
        <w:rPr>
          <w:rFonts w:ascii="Palatino Linotype" w:hAnsi="Palatino Linotype"/>
          <w:sz w:val="20"/>
        </w:rPr>
        <w:t>4</w:t>
      </w:r>
      <w:r w:rsidR="00364C84">
        <w:rPr>
          <w:rFonts w:ascii="Palatino Linotype" w:hAnsi="Palatino Linotype"/>
          <w:sz w:val="20"/>
        </w:rPr>
        <w:t>].</w:t>
      </w:r>
      <w:r w:rsidR="004717E8">
        <w:rPr>
          <w:rFonts w:ascii="Palatino Linotype" w:hAnsi="Palatino Linotype"/>
          <w:sz w:val="20"/>
        </w:rPr>
        <w:t xml:space="preserve"> </w:t>
      </w:r>
    </w:p>
    <w:p w14:paraId="0814FCA7" w14:textId="77777777" w:rsidR="0011671E" w:rsidRDefault="0011671E" w:rsidP="009875A1">
      <w:pPr>
        <w:spacing w:line="240" w:lineRule="auto"/>
        <w:contextualSpacing/>
        <w:rPr>
          <w:rFonts w:ascii="Palatino Linotype" w:hAnsi="Palatino Linotype"/>
          <w:sz w:val="20"/>
        </w:rPr>
      </w:pPr>
    </w:p>
    <w:p w14:paraId="47298AA9" w14:textId="263997A3" w:rsidR="009875A1" w:rsidRDefault="009875A1" w:rsidP="009875A1">
      <w:pPr>
        <w:spacing w:line="240" w:lineRule="auto"/>
        <w:contextualSpacing/>
        <w:rPr>
          <w:rFonts w:ascii="Palatino Linotype" w:hAnsi="Palatino Linotype"/>
          <w:sz w:val="20"/>
        </w:rPr>
      </w:pPr>
      <w:r>
        <w:rPr>
          <w:rFonts w:ascii="Palatino Linotype" w:hAnsi="Palatino Linotype"/>
          <w:sz w:val="20"/>
        </w:rPr>
        <w:t>Given the increasing volumes of older adults and</w:t>
      </w:r>
      <w:r w:rsidR="00A43AB4">
        <w:rPr>
          <w:rFonts w:ascii="Palatino Linotype" w:hAnsi="Palatino Linotype"/>
          <w:sz w:val="20"/>
        </w:rPr>
        <w:t>/or</w:t>
      </w:r>
      <w:r>
        <w:rPr>
          <w:rFonts w:ascii="Palatino Linotype" w:hAnsi="Palatino Linotype"/>
          <w:sz w:val="20"/>
        </w:rPr>
        <w:t xml:space="preserve"> those with multimorbidity </w:t>
      </w:r>
      <w:r w:rsidR="00055250">
        <w:rPr>
          <w:rFonts w:ascii="Palatino Linotype" w:hAnsi="Palatino Linotype"/>
          <w:sz w:val="20"/>
        </w:rPr>
        <w:t xml:space="preserve">and frailty </w:t>
      </w:r>
      <w:r>
        <w:rPr>
          <w:rFonts w:ascii="Palatino Linotype" w:hAnsi="Palatino Linotype"/>
          <w:sz w:val="20"/>
        </w:rPr>
        <w:t xml:space="preserve">presenting to vascular centres, decision-making with regards to patient selection for </w:t>
      </w:r>
      <w:r w:rsidR="00BB58AB">
        <w:rPr>
          <w:rFonts w:ascii="Palatino Linotype" w:hAnsi="Palatino Linotype"/>
          <w:sz w:val="20"/>
        </w:rPr>
        <w:t>surgery are</w:t>
      </w:r>
      <w:r>
        <w:rPr>
          <w:rFonts w:ascii="Palatino Linotype" w:hAnsi="Palatino Linotype"/>
          <w:sz w:val="20"/>
        </w:rPr>
        <w:t xml:space="preserve"> often complex. There can be a fine balance between the perceiv</w:t>
      </w:r>
      <w:r w:rsidR="00BB58AB">
        <w:rPr>
          <w:rFonts w:ascii="Palatino Linotype" w:hAnsi="Palatino Linotype"/>
          <w:sz w:val="20"/>
        </w:rPr>
        <w:t>ed</w:t>
      </w:r>
      <w:r>
        <w:rPr>
          <w:rFonts w:ascii="Palatino Linotype" w:hAnsi="Palatino Linotype"/>
          <w:sz w:val="20"/>
        </w:rPr>
        <w:t xml:space="preserve"> risks and benefits </w:t>
      </w:r>
      <w:r w:rsidR="001573F4">
        <w:rPr>
          <w:rFonts w:ascii="Palatino Linotype" w:hAnsi="Palatino Linotype"/>
          <w:sz w:val="20"/>
        </w:rPr>
        <w:t xml:space="preserve">of surgical intervention, </w:t>
      </w:r>
      <w:r>
        <w:rPr>
          <w:rFonts w:ascii="Palatino Linotype" w:hAnsi="Palatino Linotype"/>
          <w:sz w:val="20"/>
        </w:rPr>
        <w:t xml:space="preserve">and therefore decisions need to be pragmatic and patient centred. </w:t>
      </w:r>
      <w:r w:rsidRPr="00280BC0">
        <w:rPr>
          <w:rFonts w:ascii="Palatino Linotype" w:hAnsi="Palatino Linotype"/>
          <w:sz w:val="20"/>
        </w:rPr>
        <w:t>Despite an elevated risk profile, older patients can have good outcomes from vascular surgery</w:t>
      </w:r>
      <w:r w:rsidR="001573F4">
        <w:rPr>
          <w:rFonts w:ascii="Palatino Linotype" w:hAnsi="Palatino Linotype"/>
          <w:sz w:val="20"/>
        </w:rPr>
        <w:t>,</w:t>
      </w:r>
      <w:r w:rsidR="00D63FF4">
        <w:rPr>
          <w:rFonts w:ascii="Palatino Linotype" w:hAnsi="Palatino Linotype"/>
          <w:sz w:val="20"/>
        </w:rPr>
        <w:t xml:space="preserve"> especially when the natural history of surgical disease is considered in context</w:t>
      </w:r>
      <w:r w:rsidRPr="00280BC0">
        <w:rPr>
          <w:rFonts w:ascii="Palatino Linotype" w:hAnsi="Palatino Linotype"/>
          <w:sz w:val="20"/>
        </w:rPr>
        <w:t xml:space="preserve">. </w:t>
      </w:r>
      <w:r>
        <w:rPr>
          <w:rFonts w:ascii="Palatino Linotype" w:hAnsi="Palatino Linotype"/>
          <w:sz w:val="20"/>
        </w:rPr>
        <w:t>Although the prognosis of aortic aneurysms is well understood and clear annuali</w:t>
      </w:r>
      <w:r w:rsidR="00D63FF4">
        <w:rPr>
          <w:rFonts w:ascii="Palatino Linotype" w:hAnsi="Palatino Linotype"/>
          <w:sz w:val="20"/>
        </w:rPr>
        <w:t>s</w:t>
      </w:r>
      <w:r>
        <w:rPr>
          <w:rFonts w:ascii="Palatino Linotype" w:hAnsi="Palatino Linotype"/>
          <w:sz w:val="20"/>
        </w:rPr>
        <w:t>ed risk of rupture can be estimated, the natural history of peripheral vascular disease is less clear [</w:t>
      </w:r>
      <w:r w:rsidR="004717E8">
        <w:rPr>
          <w:rFonts w:ascii="Palatino Linotype" w:hAnsi="Palatino Linotype"/>
          <w:sz w:val="20"/>
        </w:rPr>
        <w:t>5</w:t>
      </w:r>
      <w:r w:rsidR="00364C84">
        <w:rPr>
          <w:rFonts w:ascii="Palatino Linotype" w:hAnsi="Palatino Linotype"/>
          <w:sz w:val="20"/>
        </w:rPr>
        <w:t>-6</w:t>
      </w:r>
      <w:r>
        <w:rPr>
          <w:rFonts w:ascii="Palatino Linotype" w:hAnsi="Palatino Linotype"/>
          <w:sz w:val="20"/>
        </w:rPr>
        <w:t>]</w:t>
      </w:r>
      <w:r w:rsidR="00364C84">
        <w:rPr>
          <w:rFonts w:ascii="Palatino Linotype" w:hAnsi="Palatino Linotype"/>
          <w:sz w:val="20"/>
        </w:rPr>
        <w:t>.</w:t>
      </w:r>
      <w:r>
        <w:rPr>
          <w:rFonts w:ascii="Palatino Linotype" w:hAnsi="Palatino Linotype"/>
          <w:sz w:val="20"/>
        </w:rPr>
        <w:t xml:space="preserve"> </w:t>
      </w:r>
      <w:r w:rsidR="00D63FF4">
        <w:rPr>
          <w:rFonts w:ascii="Palatino Linotype" w:hAnsi="Palatino Linotype"/>
          <w:sz w:val="20"/>
        </w:rPr>
        <w:t xml:space="preserve">Moreover, </w:t>
      </w:r>
      <w:r w:rsidR="00D63FF4" w:rsidRPr="00280BC0">
        <w:rPr>
          <w:rFonts w:ascii="Palatino Linotype" w:hAnsi="Palatino Linotype"/>
          <w:sz w:val="20"/>
        </w:rPr>
        <w:t>limited data have been reported describing outcomes</w:t>
      </w:r>
      <w:r w:rsidR="00D63FF4">
        <w:rPr>
          <w:rFonts w:ascii="Palatino Linotype" w:hAnsi="Palatino Linotype"/>
          <w:sz w:val="20"/>
        </w:rPr>
        <w:t xml:space="preserve"> of revascularisation surgery with</w:t>
      </w:r>
      <w:r w:rsidR="00D63FF4" w:rsidRPr="00280BC0">
        <w:rPr>
          <w:rFonts w:ascii="Palatino Linotype" w:hAnsi="Palatino Linotype"/>
          <w:sz w:val="20"/>
        </w:rPr>
        <w:t xml:space="preserve"> matched patients</w:t>
      </w:r>
      <w:r w:rsidR="00D63FF4">
        <w:rPr>
          <w:rFonts w:ascii="Palatino Linotype" w:hAnsi="Palatino Linotype"/>
          <w:sz w:val="20"/>
        </w:rPr>
        <w:t xml:space="preserve"> pursuing a conservative route</w:t>
      </w:r>
      <w:r w:rsidR="00364C84">
        <w:rPr>
          <w:rFonts w:ascii="Palatino Linotype" w:hAnsi="Palatino Linotype"/>
          <w:sz w:val="20"/>
        </w:rPr>
        <w:t xml:space="preserve"> [7-8]</w:t>
      </w:r>
      <w:r w:rsidR="00D63FF4">
        <w:rPr>
          <w:rFonts w:ascii="Palatino Linotype" w:hAnsi="Palatino Linotype"/>
          <w:sz w:val="20"/>
        </w:rPr>
        <w:t>.</w:t>
      </w:r>
      <w:r w:rsidR="00D63FF4" w:rsidRPr="00280BC0">
        <w:rPr>
          <w:rFonts w:ascii="Palatino Linotype" w:hAnsi="Palatino Linotype"/>
          <w:sz w:val="20"/>
        </w:rPr>
        <w:t xml:space="preserve"> </w:t>
      </w:r>
      <w:r w:rsidRPr="00280BC0">
        <w:rPr>
          <w:rFonts w:ascii="Palatino Linotype" w:hAnsi="Palatino Linotype"/>
          <w:sz w:val="20"/>
        </w:rPr>
        <w:t xml:space="preserve">Nonetheless, the postoperative period is often protracted in older patients and syndromes such as delirium commonly lead to functional decline and increased dependency. </w:t>
      </w:r>
      <w:r w:rsidR="00D63FF4">
        <w:rPr>
          <w:rFonts w:ascii="Palatino Linotype" w:hAnsi="Palatino Linotype"/>
          <w:sz w:val="20"/>
        </w:rPr>
        <w:t xml:space="preserve">Long hospital admissions and complex discharges are commonplace in this setting. </w:t>
      </w:r>
    </w:p>
    <w:p w14:paraId="1FB9487E" w14:textId="77777777" w:rsidR="009875A1" w:rsidRDefault="009875A1" w:rsidP="009875A1">
      <w:pPr>
        <w:spacing w:line="240" w:lineRule="auto"/>
        <w:contextualSpacing/>
        <w:rPr>
          <w:rFonts w:ascii="Palatino Linotype" w:hAnsi="Palatino Linotype"/>
          <w:sz w:val="20"/>
        </w:rPr>
      </w:pPr>
    </w:p>
    <w:p w14:paraId="30527586" w14:textId="7C15BF6D" w:rsidR="009875A1" w:rsidRDefault="001573F4" w:rsidP="009875A1">
      <w:pPr>
        <w:spacing w:line="240" w:lineRule="auto"/>
        <w:contextualSpacing/>
        <w:rPr>
          <w:rFonts w:ascii="Palatino Linotype" w:hAnsi="Palatino Linotype"/>
          <w:sz w:val="20"/>
        </w:rPr>
      </w:pPr>
      <w:r>
        <w:rPr>
          <w:rFonts w:ascii="Palatino Linotype" w:hAnsi="Palatino Linotype"/>
          <w:sz w:val="20"/>
        </w:rPr>
        <w:t xml:space="preserve">Comprehensive Geriatric Assessment (CGA) is an evidence-based tool utilised by geriatricians to improve clinical outcomes for older people. </w:t>
      </w:r>
      <w:r w:rsidRPr="0011671E">
        <w:rPr>
          <w:rFonts w:ascii="Palatino Linotype" w:hAnsi="Palatino Linotype"/>
          <w:sz w:val="20"/>
        </w:rPr>
        <w:t xml:space="preserve">CGA has been defined within a Cochrane systematic review as a </w:t>
      </w:r>
      <w:r w:rsidRPr="0011671E">
        <w:rPr>
          <w:rFonts w:ascii="Palatino Linotype" w:hAnsi="Palatino Linotype" w:cs="Arial"/>
          <w:sz w:val="20"/>
        </w:rPr>
        <w:t>“</w:t>
      </w:r>
      <w:r w:rsidRPr="0011671E">
        <w:rPr>
          <w:rFonts w:ascii="Palatino Linotype" w:hAnsi="Palatino Linotype" w:cs="Arial"/>
          <w:i/>
          <w:iCs/>
          <w:sz w:val="20"/>
        </w:rPr>
        <w:t>multi</w:t>
      </w:r>
      <w:r w:rsidRPr="0011671E">
        <w:rPr>
          <w:rFonts w:ascii="Palatino Linotype" w:hAnsi="Palatino Linotype" w:cs="Cambria Math"/>
          <w:i/>
          <w:iCs/>
          <w:sz w:val="20"/>
        </w:rPr>
        <w:t>‐</w:t>
      </w:r>
      <w:r w:rsidRPr="0011671E">
        <w:rPr>
          <w:rFonts w:ascii="Palatino Linotype" w:hAnsi="Palatino Linotype" w:cs="Arial"/>
          <w:i/>
          <w:iCs/>
          <w:sz w:val="20"/>
        </w:rPr>
        <w:t>dimensional, multi</w:t>
      </w:r>
      <w:r w:rsidRPr="0011671E">
        <w:rPr>
          <w:rFonts w:ascii="Palatino Linotype" w:hAnsi="Palatino Linotype" w:cs="Cambria Math"/>
          <w:i/>
          <w:iCs/>
          <w:sz w:val="20"/>
        </w:rPr>
        <w:t>‐</w:t>
      </w:r>
      <w:r w:rsidRPr="0011671E">
        <w:rPr>
          <w:rFonts w:ascii="Palatino Linotype" w:hAnsi="Palatino Linotype" w:cs="Arial"/>
          <w:i/>
          <w:iCs/>
          <w:sz w:val="20"/>
        </w:rPr>
        <w:t>disciplinary diagnostic and therapeutic process</w:t>
      </w:r>
      <w:r w:rsidRPr="0011671E">
        <w:rPr>
          <w:rFonts w:ascii="Palatino Linotype" w:hAnsi="Palatino Linotype"/>
          <w:i/>
          <w:iCs/>
          <w:sz w:val="20"/>
        </w:rPr>
        <w:t>,</w:t>
      </w:r>
      <w:r w:rsidRPr="0011671E">
        <w:rPr>
          <w:rFonts w:ascii="Palatino Linotype" w:hAnsi="Palatino Linotype" w:cs="Arial"/>
          <w:i/>
          <w:iCs/>
          <w:sz w:val="20"/>
        </w:rPr>
        <w:t xml:space="preserve"> conducted to determine the medical, mental, and functional problems of older people with frailty</w:t>
      </w:r>
      <w:r w:rsidRPr="0011671E">
        <w:rPr>
          <w:rFonts w:ascii="Palatino Linotype" w:hAnsi="Palatino Linotype"/>
          <w:i/>
          <w:iCs/>
          <w:sz w:val="20"/>
        </w:rPr>
        <w:t>,</w:t>
      </w:r>
      <w:r w:rsidRPr="0011671E">
        <w:rPr>
          <w:rFonts w:ascii="Palatino Linotype" w:hAnsi="Palatino Linotype" w:cs="Arial"/>
          <w:i/>
          <w:iCs/>
          <w:sz w:val="20"/>
        </w:rPr>
        <w:t xml:space="preserve"> so that a co</w:t>
      </w:r>
      <w:r w:rsidRPr="0011671E">
        <w:rPr>
          <w:rFonts w:ascii="Palatino Linotype" w:hAnsi="Palatino Linotype" w:cs="Cambria Math"/>
          <w:i/>
          <w:iCs/>
          <w:sz w:val="20"/>
        </w:rPr>
        <w:t>‐</w:t>
      </w:r>
      <w:r w:rsidRPr="0011671E">
        <w:rPr>
          <w:rFonts w:ascii="Palatino Linotype" w:hAnsi="Palatino Linotype" w:cs="Arial"/>
          <w:i/>
          <w:iCs/>
          <w:sz w:val="20"/>
        </w:rPr>
        <w:t>ordinated and integrated plan for treatment and follow</w:t>
      </w:r>
      <w:r w:rsidRPr="0011671E">
        <w:rPr>
          <w:rFonts w:ascii="Palatino Linotype" w:hAnsi="Palatino Linotype" w:cs="Cambria Math"/>
          <w:i/>
          <w:iCs/>
          <w:sz w:val="20"/>
        </w:rPr>
        <w:t>‐</w:t>
      </w:r>
      <w:r w:rsidRPr="0011671E">
        <w:rPr>
          <w:rFonts w:ascii="Palatino Linotype" w:hAnsi="Palatino Linotype" w:cs="Arial"/>
          <w:i/>
          <w:iCs/>
          <w:sz w:val="20"/>
        </w:rPr>
        <w:t>up can be developed</w:t>
      </w:r>
      <w:r w:rsidRPr="0011671E">
        <w:rPr>
          <w:rFonts w:ascii="Palatino Linotype" w:hAnsi="Palatino Linotype" w:cs="Arial"/>
          <w:sz w:val="20"/>
        </w:rPr>
        <w:t>” [</w:t>
      </w:r>
      <w:r w:rsidR="00396C41">
        <w:rPr>
          <w:rFonts w:ascii="Palatino Linotype" w:hAnsi="Palatino Linotype" w:cs="Arial"/>
          <w:sz w:val="20"/>
        </w:rPr>
        <w:t>9</w:t>
      </w:r>
      <w:r w:rsidRPr="0011671E">
        <w:rPr>
          <w:rFonts w:ascii="Palatino Linotype" w:hAnsi="Palatino Linotype" w:cs="Arial"/>
          <w:sz w:val="20"/>
        </w:rPr>
        <w:t>].</w:t>
      </w:r>
      <w:r w:rsidR="0011671E">
        <w:rPr>
          <w:rFonts w:ascii="Palatino Linotype" w:hAnsi="Palatino Linotype" w:cs="Arial"/>
          <w:sz w:val="20"/>
        </w:rPr>
        <w:t xml:space="preserve"> </w:t>
      </w:r>
      <w:r w:rsidR="009875A1" w:rsidRPr="00280BC0">
        <w:rPr>
          <w:rFonts w:ascii="Palatino Linotype" w:hAnsi="Palatino Linotype"/>
          <w:sz w:val="20"/>
        </w:rPr>
        <w:t>Perioperative Comprehensive Geriatric Assessment (CGA)</w:t>
      </w:r>
      <w:r>
        <w:rPr>
          <w:rFonts w:ascii="Palatino Linotype" w:hAnsi="Palatino Linotype"/>
          <w:sz w:val="20"/>
        </w:rPr>
        <w:t xml:space="preserve"> has been</w:t>
      </w:r>
      <w:r w:rsidR="009875A1" w:rsidRPr="00280BC0">
        <w:rPr>
          <w:rFonts w:ascii="Palatino Linotype" w:hAnsi="Palatino Linotype"/>
          <w:sz w:val="20"/>
        </w:rPr>
        <w:t xml:space="preserve"> utilised in the context of older patients undergoing vascular surgery has been shown to reduce length of stay (LOS)</w:t>
      </w:r>
      <w:r>
        <w:rPr>
          <w:rFonts w:ascii="Palatino Linotype" w:hAnsi="Palatino Linotype"/>
          <w:sz w:val="20"/>
        </w:rPr>
        <w:t xml:space="preserve"> in a randomised trial setting</w:t>
      </w:r>
      <w:r w:rsidR="009875A1">
        <w:rPr>
          <w:rFonts w:ascii="Palatino Linotype" w:hAnsi="Palatino Linotype"/>
          <w:sz w:val="20"/>
        </w:rPr>
        <w:t xml:space="preserve"> [</w:t>
      </w:r>
      <w:r w:rsidR="00396C41">
        <w:rPr>
          <w:rFonts w:ascii="Palatino Linotype" w:hAnsi="Palatino Linotype"/>
          <w:sz w:val="20"/>
        </w:rPr>
        <w:t>10-11</w:t>
      </w:r>
      <w:r w:rsidR="009875A1">
        <w:rPr>
          <w:rFonts w:ascii="Palatino Linotype" w:hAnsi="Palatino Linotype"/>
          <w:sz w:val="20"/>
        </w:rPr>
        <w:t>]</w:t>
      </w:r>
      <w:r w:rsidR="009875A1" w:rsidRPr="00280BC0">
        <w:rPr>
          <w:rFonts w:ascii="Palatino Linotype" w:hAnsi="Palatino Linotype"/>
          <w:sz w:val="20"/>
        </w:rPr>
        <w:t xml:space="preserve">. Replicating aspects of the CGA service evaluated in </w:t>
      </w:r>
      <w:r>
        <w:rPr>
          <w:rFonts w:ascii="Palatino Linotype" w:hAnsi="Palatino Linotype"/>
          <w:sz w:val="20"/>
        </w:rPr>
        <w:t xml:space="preserve">this </w:t>
      </w:r>
      <w:r w:rsidR="009875A1" w:rsidRPr="00280BC0">
        <w:rPr>
          <w:rFonts w:ascii="Palatino Linotype" w:hAnsi="Palatino Linotype"/>
          <w:sz w:val="20"/>
        </w:rPr>
        <w:t>trial conducted by Partridge et al, we aimed to assess the impact of daily</w:t>
      </w:r>
      <w:r w:rsidR="00AF319E">
        <w:rPr>
          <w:rFonts w:ascii="Palatino Linotype" w:hAnsi="Palatino Linotype"/>
          <w:sz w:val="20"/>
        </w:rPr>
        <w:t>,</w:t>
      </w:r>
      <w:r w:rsidR="009875A1" w:rsidRPr="00280BC0">
        <w:rPr>
          <w:rFonts w:ascii="Palatino Linotype" w:hAnsi="Palatino Linotype"/>
          <w:sz w:val="20"/>
        </w:rPr>
        <w:t xml:space="preserve"> senior-led medical liaison provided for patients aged 65 years and older admitted to our regional tertiary vascular centre. Prior to the introduction of this service development, </w:t>
      </w:r>
      <w:r w:rsidR="009875A1" w:rsidRPr="00280BC0">
        <w:rPr>
          <w:rFonts w:ascii="Palatino Linotype" w:hAnsi="Palatino Linotype"/>
          <w:i/>
          <w:sz w:val="20"/>
        </w:rPr>
        <w:t>ad hoc</w:t>
      </w:r>
      <w:r w:rsidR="009875A1" w:rsidRPr="00280BC0">
        <w:rPr>
          <w:rFonts w:ascii="Palatino Linotype" w:hAnsi="Palatino Linotype"/>
          <w:sz w:val="20"/>
        </w:rPr>
        <w:t xml:space="preserve"> reactive review was provided on demand by the duty medical registrar. Our primary outcome measure was reduction in LOS. Our secondary outcome measure was reduction in the number of postoperative complications. </w:t>
      </w:r>
    </w:p>
    <w:p w14:paraId="4F7B2948" w14:textId="77777777" w:rsidR="009875A1" w:rsidRDefault="009875A1" w:rsidP="009875A1">
      <w:pPr>
        <w:spacing w:line="240" w:lineRule="auto"/>
        <w:contextualSpacing/>
        <w:rPr>
          <w:rFonts w:ascii="Palatino Linotype" w:hAnsi="Palatino Linotype"/>
          <w:sz w:val="20"/>
        </w:rPr>
      </w:pPr>
    </w:p>
    <w:bookmarkEnd w:id="0"/>
    <w:bookmarkEnd w:id="1"/>
    <w:p w14:paraId="0D0D8ACE" w14:textId="77777777" w:rsidR="007D4A75" w:rsidRPr="00497E98" w:rsidRDefault="007D4A75" w:rsidP="00380B5B">
      <w:pPr>
        <w:pStyle w:val="MDPI21heading1"/>
        <w:spacing w:line="240" w:lineRule="auto"/>
        <w:contextualSpacing/>
      </w:pPr>
      <w:r w:rsidRPr="00497E98">
        <w:rPr>
          <w:lang w:eastAsia="zh-CN"/>
        </w:rPr>
        <w:t xml:space="preserve">2. </w:t>
      </w:r>
      <w:r w:rsidRPr="00497E98">
        <w:t xml:space="preserve">Materials and Methods </w:t>
      </w:r>
    </w:p>
    <w:p w14:paraId="7CC875A5" w14:textId="776C8894" w:rsidR="009875A1" w:rsidRPr="0004443F" w:rsidRDefault="009875A1" w:rsidP="009875A1">
      <w:pPr>
        <w:spacing w:line="240" w:lineRule="auto"/>
        <w:contextualSpacing/>
        <w:rPr>
          <w:rFonts w:ascii="Palatino Linotype" w:hAnsi="Palatino Linotype"/>
          <w:sz w:val="20"/>
        </w:rPr>
      </w:pPr>
      <w:r w:rsidRPr="0004443F">
        <w:rPr>
          <w:rFonts w:ascii="Palatino Linotype" w:hAnsi="Palatino Linotype"/>
          <w:sz w:val="20"/>
        </w:rPr>
        <w:t xml:space="preserve">The study was conducted at an 800-bedded hospital providing tertiary-level care for vascular surgery patients. This was a single-centre, non-randomised, before-and-after </w:t>
      </w:r>
      <w:r>
        <w:rPr>
          <w:rFonts w:ascii="Palatino Linotype" w:hAnsi="Palatino Linotype"/>
          <w:sz w:val="20"/>
        </w:rPr>
        <w:t xml:space="preserve">study </w:t>
      </w:r>
      <w:r w:rsidRPr="0004443F">
        <w:rPr>
          <w:rFonts w:ascii="Palatino Linotype" w:hAnsi="Palatino Linotype"/>
          <w:sz w:val="20"/>
        </w:rPr>
        <w:t xml:space="preserve">design comparing pre-existing </w:t>
      </w:r>
      <w:r>
        <w:rPr>
          <w:rFonts w:ascii="Palatino Linotype" w:hAnsi="Palatino Linotype"/>
          <w:sz w:val="20"/>
        </w:rPr>
        <w:t xml:space="preserve">conventional </w:t>
      </w:r>
      <w:r w:rsidRPr="0004443F">
        <w:rPr>
          <w:rFonts w:ascii="Palatino Linotype" w:hAnsi="Palatino Linotype"/>
          <w:sz w:val="20"/>
        </w:rPr>
        <w:t xml:space="preserve">practice with a model of care previously shown to be effective in other surgical </w:t>
      </w:r>
      <w:r w:rsidRPr="002D1CF3">
        <w:rPr>
          <w:rFonts w:ascii="Palatino Linotype" w:hAnsi="Palatino Linotype"/>
          <w:sz w:val="20"/>
        </w:rPr>
        <w:t>settings [1</w:t>
      </w:r>
      <w:r w:rsidR="00396C41" w:rsidRPr="002D1CF3">
        <w:rPr>
          <w:rFonts w:ascii="Palatino Linotype" w:hAnsi="Palatino Linotype"/>
          <w:sz w:val="20"/>
        </w:rPr>
        <w:t>2</w:t>
      </w:r>
      <w:r w:rsidRPr="002D1CF3">
        <w:rPr>
          <w:rFonts w:ascii="Palatino Linotype" w:hAnsi="Palatino Linotype"/>
          <w:sz w:val="20"/>
        </w:rPr>
        <w:t>].</w:t>
      </w:r>
      <w:r w:rsidRPr="0004443F">
        <w:rPr>
          <w:rFonts w:ascii="Palatino Linotype" w:hAnsi="Palatino Linotype"/>
          <w:sz w:val="20"/>
        </w:rPr>
        <w:t xml:space="preserve"> This comprised daily senior-led (registrar/consultant) medical liaison review provided by geriatric medicine physicians.</w:t>
      </w:r>
      <w:r>
        <w:rPr>
          <w:rFonts w:ascii="Palatino Linotype" w:hAnsi="Palatino Linotype"/>
          <w:sz w:val="20"/>
        </w:rPr>
        <w:t xml:space="preserve"> A summary of the acute presenting issues, underlying </w:t>
      </w:r>
      <w:proofErr w:type="gramStart"/>
      <w:r>
        <w:rPr>
          <w:rFonts w:ascii="Palatino Linotype" w:hAnsi="Palatino Linotype"/>
          <w:sz w:val="20"/>
        </w:rPr>
        <w:t>comorbidities</w:t>
      </w:r>
      <w:proofErr w:type="gramEnd"/>
      <w:r>
        <w:rPr>
          <w:rFonts w:ascii="Palatino Linotype" w:hAnsi="Palatino Linotype"/>
          <w:sz w:val="20"/>
        </w:rPr>
        <w:t xml:space="preserve"> and relevant psychosocial factors such as a history of cognitive impairment would be explored.</w:t>
      </w:r>
      <w:r w:rsidRPr="0004443F">
        <w:rPr>
          <w:rFonts w:ascii="Palatino Linotype" w:hAnsi="Palatino Linotype"/>
          <w:sz w:val="20"/>
        </w:rPr>
        <w:t xml:space="preserve"> </w:t>
      </w:r>
      <w:r>
        <w:rPr>
          <w:rFonts w:ascii="Palatino Linotype" w:hAnsi="Palatino Linotype"/>
          <w:sz w:val="20"/>
        </w:rPr>
        <w:t xml:space="preserve">With this information, a problem list </w:t>
      </w:r>
      <w:r w:rsidR="001573F4">
        <w:rPr>
          <w:rFonts w:ascii="Palatino Linotype" w:hAnsi="Palatino Linotype"/>
          <w:sz w:val="20"/>
        </w:rPr>
        <w:t>was</w:t>
      </w:r>
      <w:r>
        <w:rPr>
          <w:rFonts w:ascii="Palatino Linotype" w:hAnsi="Palatino Linotype"/>
          <w:sz w:val="20"/>
        </w:rPr>
        <w:t xml:space="preserve"> created</w:t>
      </w:r>
      <w:r w:rsidR="001573F4">
        <w:rPr>
          <w:rFonts w:ascii="Palatino Linotype" w:hAnsi="Palatino Linotype"/>
          <w:sz w:val="20"/>
        </w:rPr>
        <w:t>,</w:t>
      </w:r>
      <w:r>
        <w:rPr>
          <w:rFonts w:ascii="Palatino Linotype" w:hAnsi="Palatino Linotype"/>
          <w:sz w:val="20"/>
        </w:rPr>
        <w:t xml:space="preserve"> inclusive of perioperative risk stratification and the identification of patient-specific factors that might make an individual susceptible to postoperative complications. The plan and follow-up </w:t>
      </w:r>
      <w:r w:rsidR="00AF319E">
        <w:rPr>
          <w:rFonts w:ascii="Palatino Linotype" w:hAnsi="Palatino Linotype"/>
          <w:sz w:val="20"/>
        </w:rPr>
        <w:t>were</w:t>
      </w:r>
      <w:r>
        <w:rPr>
          <w:rFonts w:ascii="Palatino Linotype" w:hAnsi="Palatino Linotype"/>
          <w:sz w:val="20"/>
        </w:rPr>
        <w:t xml:space="preserve"> executed by the vascular surgery team with our liaison service providing repeated reviews where necessary. </w:t>
      </w:r>
      <w:r w:rsidRPr="0004443F">
        <w:rPr>
          <w:rFonts w:ascii="Palatino Linotype" w:hAnsi="Palatino Linotype"/>
          <w:sz w:val="20"/>
        </w:rPr>
        <w:t xml:space="preserve">This service was provided within normal working hours (0800-1700, Monday to Friday). Patient identification was triggered through direct liaison with the vascular surgery team and daily attendance to the vascular </w:t>
      </w:r>
      <w:r w:rsidRPr="0004443F">
        <w:rPr>
          <w:rFonts w:ascii="Palatino Linotype" w:hAnsi="Palatino Linotype"/>
          <w:sz w:val="20"/>
        </w:rPr>
        <w:lastRenderedPageBreak/>
        <w:t>surgery ward to case-find.</w:t>
      </w:r>
      <w:r>
        <w:rPr>
          <w:rFonts w:ascii="Palatino Linotype" w:hAnsi="Palatino Linotype"/>
          <w:sz w:val="20"/>
        </w:rPr>
        <w:t xml:space="preserve"> Patients </w:t>
      </w:r>
      <w:r w:rsidR="001573F4">
        <w:rPr>
          <w:rFonts w:ascii="Palatino Linotype" w:hAnsi="Palatino Linotype"/>
          <w:sz w:val="20"/>
        </w:rPr>
        <w:t>were</w:t>
      </w:r>
      <w:r>
        <w:rPr>
          <w:rFonts w:ascii="Palatino Linotype" w:hAnsi="Palatino Linotype"/>
          <w:sz w:val="20"/>
        </w:rPr>
        <w:t xml:space="preserve"> seen either in a preoperative capacity (often aiding surgical decision making) or, in the immediate postoperative period. </w:t>
      </w:r>
      <w:r w:rsidRPr="0004443F">
        <w:rPr>
          <w:rFonts w:ascii="Palatino Linotype" w:hAnsi="Palatino Linotype"/>
          <w:sz w:val="20"/>
        </w:rPr>
        <w:t xml:space="preserve"> </w:t>
      </w:r>
    </w:p>
    <w:p w14:paraId="31563766" w14:textId="77777777" w:rsidR="009875A1" w:rsidRDefault="009875A1" w:rsidP="009875A1">
      <w:pPr>
        <w:spacing w:line="240" w:lineRule="auto"/>
        <w:contextualSpacing/>
        <w:rPr>
          <w:rFonts w:ascii="Palatino Linotype" w:hAnsi="Palatino Linotype"/>
          <w:sz w:val="20"/>
        </w:rPr>
      </w:pPr>
    </w:p>
    <w:p w14:paraId="539812A7" w14:textId="77777777" w:rsidR="009875A1" w:rsidRPr="0004443F" w:rsidRDefault="009875A1" w:rsidP="009875A1">
      <w:pPr>
        <w:spacing w:line="240" w:lineRule="auto"/>
        <w:contextualSpacing/>
        <w:rPr>
          <w:rFonts w:ascii="Palatino Linotype" w:hAnsi="Palatino Linotype"/>
          <w:sz w:val="20"/>
        </w:rPr>
      </w:pPr>
      <w:r w:rsidRPr="0004443F">
        <w:rPr>
          <w:rFonts w:ascii="Palatino Linotype" w:hAnsi="Palatino Linotype"/>
          <w:sz w:val="20"/>
        </w:rPr>
        <w:t xml:space="preserve">Electronic records and patient case notes were analysed for all patients aged 65 years and older admitted for one or more nights. Notes were analysed retrospectively during two three-month periods across two consecutive years (January-March 2017 and 2018) to allow pre- and post-intervention analysis. </w:t>
      </w:r>
    </w:p>
    <w:p w14:paraId="0C107F44" w14:textId="77777777" w:rsidR="009875A1" w:rsidRPr="0004443F" w:rsidRDefault="009875A1" w:rsidP="009875A1">
      <w:pPr>
        <w:spacing w:line="240" w:lineRule="auto"/>
        <w:contextualSpacing/>
        <w:rPr>
          <w:rFonts w:ascii="Palatino Linotype" w:hAnsi="Palatino Linotype"/>
          <w:sz w:val="20"/>
        </w:rPr>
      </w:pPr>
    </w:p>
    <w:p w14:paraId="6FEF0B13" w14:textId="78E6CD92" w:rsidR="009875A1" w:rsidRPr="0004443F" w:rsidRDefault="009875A1" w:rsidP="009875A1">
      <w:pPr>
        <w:spacing w:line="240" w:lineRule="auto"/>
        <w:contextualSpacing/>
        <w:rPr>
          <w:rFonts w:ascii="Palatino Linotype" w:hAnsi="Palatino Linotype"/>
          <w:sz w:val="20"/>
        </w:rPr>
      </w:pPr>
      <w:r w:rsidRPr="0004443F">
        <w:rPr>
          <w:rFonts w:ascii="Palatino Linotype" w:hAnsi="Palatino Linotype"/>
          <w:sz w:val="20"/>
        </w:rPr>
        <w:t xml:space="preserve">Data collection was conducted by a team of doctors and one medical student working within the Department of Medicine for Older People. Patient demographics were recorded including sex, age, admission type (emergency/elective), source of admission (home/other hospital/care home), operation type, comorbidities and frailty scores. Comorbidities were recorded using the </w:t>
      </w:r>
      <w:proofErr w:type="spellStart"/>
      <w:r w:rsidRPr="0004443F">
        <w:rPr>
          <w:rFonts w:ascii="Palatino Linotype" w:hAnsi="Palatino Linotype"/>
          <w:sz w:val="20"/>
        </w:rPr>
        <w:t>Charlson</w:t>
      </w:r>
      <w:proofErr w:type="spellEnd"/>
      <w:r w:rsidRPr="0004443F">
        <w:rPr>
          <w:rFonts w:ascii="Palatino Linotype" w:hAnsi="Palatino Linotype"/>
          <w:sz w:val="20"/>
        </w:rPr>
        <w:t xml:space="preserve"> comorbidity index</w:t>
      </w:r>
      <w:r>
        <w:rPr>
          <w:rFonts w:ascii="Palatino Linotype" w:hAnsi="Palatino Linotype"/>
          <w:sz w:val="20"/>
        </w:rPr>
        <w:t xml:space="preserve"> </w:t>
      </w:r>
      <w:r w:rsidRPr="00396C41">
        <w:rPr>
          <w:rFonts w:ascii="Palatino Linotype" w:hAnsi="Palatino Linotype"/>
          <w:sz w:val="20"/>
        </w:rPr>
        <w:t>[1</w:t>
      </w:r>
      <w:r w:rsidR="00396C41">
        <w:rPr>
          <w:rFonts w:ascii="Palatino Linotype" w:hAnsi="Palatino Linotype"/>
          <w:sz w:val="20"/>
        </w:rPr>
        <w:t>3</w:t>
      </w:r>
      <w:r w:rsidRPr="00396C41">
        <w:rPr>
          <w:rFonts w:ascii="Palatino Linotype" w:hAnsi="Palatino Linotype"/>
          <w:sz w:val="20"/>
        </w:rPr>
        <w:t>].</w:t>
      </w:r>
      <w:r w:rsidRPr="0004443F">
        <w:rPr>
          <w:rFonts w:ascii="Palatino Linotype" w:hAnsi="Palatino Linotype"/>
          <w:sz w:val="20"/>
        </w:rPr>
        <w:t xml:space="preserve"> Frailty was recorded using the Clinical Frailty Scale</w:t>
      </w:r>
      <w:r>
        <w:rPr>
          <w:rFonts w:ascii="Palatino Linotype" w:hAnsi="Palatino Linotype"/>
          <w:sz w:val="20"/>
        </w:rPr>
        <w:t xml:space="preserve"> </w:t>
      </w:r>
      <w:r w:rsidR="00624BBB">
        <w:rPr>
          <w:rFonts w:ascii="Palatino Linotype" w:hAnsi="Palatino Linotype"/>
          <w:sz w:val="20"/>
        </w:rPr>
        <w:t xml:space="preserve">(CFS) </w:t>
      </w:r>
      <w:r>
        <w:rPr>
          <w:rFonts w:ascii="Palatino Linotype" w:hAnsi="Palatino Linotype"/>
          <w:sz w:val="20"/>
        </w:rPr>
        <w:t>[1</w:t>
      </w:r>
      <w:r w:rsidR="00396C41">
        <w:rPr>
          <w:rFonts w:ascii="Palatino Linotype" w:hAnsi="Palatino Linotype"/>
          <w:sz w:val="20"/>
        </w:rPr>
        <w:t>4</w:t>
      </w:r>
      <w:r>
        <w:rPr>
          <w:rFonts w:ascii="Palatino Linotype" w:hAnsi="Palatino Linotype"/>
          <w:sz w:val="20"/>
        </w:rPr>
        <w:t>]</w:t>
      </w:r>
      <w:r w:rsidRPr="0004443F">
        <w:rPr>
          <w:rFonts w:ascii="Palatino Linotype" w:hAnsi="Palatino Linotype"/>
          <w:sz w:val="20"/>
        </w:rPr>
        <w:t xml:space="preserve">. Outcome variables included LOS and for patients undergoing surgery, the number of complications suffered. Complications were recorded according to actual number and using guidance from The </w:t>
      </w:r>
      <w:proofErr w:type="spellStart"/>
      <w:r w:rsidRPr="0004443F">
        <w:rPr>
          <w:rFonts w:ascii="Palatino Linotype" w:hAnsi="Palatino Linotype"/>
          <w:sz w:val="20"/>
        </w:rPr>
        <w:t>Clavien-Dindo</w:t>
      </w:r>
      <w:proofErr w:type="spellEnd"/>
      <w:r w:rsidRPr="0004443F">
        <w:rPr>
          <w:rFonts w:ascii="Palatino Linotype" w:hAnsi="Palatino Linotype"/>
          <w:sz w:val="20"/>
        </w:rPr>
        <w:t xml:space="preserve"> system</w:t>
      </w:r>
      <w:r>
        <w:rPr>
          <w:rFonts w:ascii="Palatino Linotype" w:hAnsi="Palatino Linotype"/>
          <w:sz w:val="20"/>
        </w:rPr>
        <w:t xml:space="preserve"> [1</w:t>
      </w:r>
      <w:r w:rsidR="00396C41">
        <w:rPr>
          <w:rFonts w:ascii="Palatino Linotype" w:hAnsi="Palatino Linotype"/>
          <w:sz w:val="20"/>
        </w:rPr>
        <w:t>5</w:t>
      </w:r>
      <w:r>
        <w:rPr>
          <w:rFonts w:ascii="Palatino Linotype" w:hAnsi="Palatino Linotype"/>
          <w:sz w:val="20"/>
        </w:rPr>
        <w:t>]</w:t>
      </w:r>
      <w:r w:rsidRPr="0004443F">
        <w:rPr>
          <w:rFonts w:ascii="Palatino Linotype" w:hAnsi="Palatino Linotype"/>
          <w:sz w:val="20"/>
        </w:rPr>
        <w:t xml:space="preserve">. Other information recorded included admission to intensive care, 30-day readmission rates and inpatient mortality. </w:t>
      </w:r>
    </w:p>
    <w:p w14:paraId="4088BAA8" w14:textId="77777777" w:rsidR="009875A1" w:rsidRPr="0004443F" w:rsidRDefault="009875A1" w:rsidP="009875A1">
      <w:pPr>
        <w:spacing w:line="240" w:lineRule="auto"/>
        <w:contextualSpacing/>
        <w:rPr>
          <w:rFonts w:ascii="Palatino Linotype" w:hAnsi="Palatino Linotype"/>
          <w:sz w:val="20"/>
        </w:rPr>
      </w:pPr>
    </w:p>
    <w:p w14:paraId="586DA874" w14:textId="48ED24D6" w:rsidR="009875A1" w:rsidRPr="0023192B" w:rsidRDefault="009875A1" w:rsidP="009875A1">
      <w:pPr>
        <w:tabs>
          <w:tab w:val="left" w:pos="3360"/>
        </w:tabs>
        <w:spacing w:line="240" w:lineRule="auto"/>
        <w:contextualSpacing/>
        <w:rPr>
          <w:rFonts w:ascii="Palatino Linotype" w:hAnsi="Palatino Linotype"/>
          <w:sz w:val="20"/>
        </w:rPr>
      </w:pPr>
      <w:r w:rsidRPr="0004443F">
        <w:rPr>
          <w:rFonts w:ascii="Palatino Linotype" w:hAnsi="Palatino Linotype"/>
          <w:sz w:val="20"/>
        </w:rPr>
        <w:t>Statistical analysis was performed using SPSS Statistics 23. Between-group differences were analysed using correlation analysis, chi-square test of association, odds ratios, two-sample independent tests, and Kaplan-Meier analysis as appropriate.</w:t>
      </w:r>
      <w:r>
        <w:rPr>
          <w:rFonts w:ascii="Palatino Linotype" w:hAnsi="Palatino Linotype"/>
          <w:sz w:val="20"/>
        </w:rPr>
        <w:t xml:space="preserve"> We determined that </w:t>
      </w:r>
      <w:r w:rsidR="008D5968">
        <w:rPr>
          <w:rFonts w:ascii="Palatino Linotype" w:hAnsi="Palatino Linotype"/>
          <w:sz w:val="20"/>
        </w:rPr>
        <w:t xml:space="preserve">for moderate but clinically important effects, </w:t>
      </w:r>
      <w:r>
        <w:rPr>
          <w:rFonts w:ascii="Palatino Linotype" w:hAnsi="Palatino Linotype"/>
          <w:sz w:val="20"/>
        </w:rPr>
        <w:t xml:space="preserve">a sample size of 150 patients in each of the pre- and post-intervention cohorts would provide this study with a power in excess of 80% for detecting a standardised difference of 0.35 standard deviations (SD), a correlation of r = 0.25 and for detecting an odds ratio of 2:1 over a range of proportions likely to be encountered in practice. </w:t>
      </w:r>
    </w:p>
    <w:p w14:paraId="1A7E6DF6" w14:textId="77777777" w:rsidR="009875A1" w:rsidRDefault="009875A1" w:rsidP="0004443F">
      <w:pPr>
        <w:spacing w:line="240" w:lineRule="auto"/>
        <w:contextualSpacing/>
        <w:rPr>
          <w:rFonts w:ascii="Palatino Linotype" w:hAnsi="Palatino Linotype"/>
          <w:sz w:val="20"/>
        </w:rPr>
      </w:pPr>
    </w:p>
    <w:p w14:paraId="353BC2C9" w14:textId="7857BEDC" w:rsidR="007D4A75" w:rsidRDefault="007D4A75" w:rsidP="00380B5B">
      <w:pPr>
        <w:pStyle w:val="MDPI21heading1"/>
        <w:spacing w:line="240" w:lineRule="auto"/>
        <w:contextualSpacing/>
      </w:pPr>
      <w:r w:rsidRPr="00497E98">
        <w:t>3. Results</w:t>
      </w:r>
    </w:p>
    <w:p w14:paraId="21D68807" w14:textId="77777777" w:rsidR="009616DA" w:rsidRDefault="009616DA" w:rsidP="00380B5B">
      <w:pPr>
        <w:pStyle w:val="MDPI21heading1"/>
        <w:spacing w:line="240" w:lineRule="auto"/>
        <w:contextualSpacing/>
      </w:pPr>
    </w:p>
    <w:p w14:paraId="5941F701" w14:textId="1A51DD6D" w:rsidR="00DB4DBE" w:rsidRPr="00497E98" w:rsidRDefault="00BE5808" w:rsidP="00380B5B">
      <w:pPr>
        <w:pStyle w:val="MDPI21heading1"/>
        <w:spacing w:line="240" w:lineRule="auto"/>
        <w:contextualSpacing/>
      </w:pPr>
      <w:r>
        <w:t xml:space="preserve">3.1 </w:t>
      </w:r>
      <w:r w:rsidR="002201D8">
        <w:t xml:space="preserve">Study Population Characteristics </w:t>
      </w:r>
    </w:p>
    <w:p w14:paraId="739E219A" w14:textId="5B7B72B7" w:rsidR="000F355C" w:rsidRPr="000F355C" w:rsidRDefault="000F355C" w:rsidP="000F355C">
      <w:pPr>
        <w:spacing w:line="240" w:lineRule="auto"/>
        <w:contextualSpacing/>
        <w:rPr>
          <w:rFonts w:ascii="Palatino Linotype" w:hAnsi="Palatino Linotype"/>
          <w:sz w:val="20"/>
        </w:rPr>
      </w:pPr>
      <w:r w:rsidRPr="000F355C">
        <w:rPr>
          <w:rFonts w:ascii="Palatino Linotype" w:hAnsi="Palatino Linotype"/>
          <w:sz w:val="20"/>
        </w:rPr>
        <w:t>In the pre-intervention group, 171 patient case-notes were reviewed with 205 in the post-intervention group. Average age was 76 (range 65-95) pre-</w:t>
      </w:r>
      <w:r w:rsidR="007D79DF">
        <w:rPr>
          <w:rFonts w:ascii="Palatino Linotype" w:hAnsi="Palatino Linotype"/>
          <w:sz w:val="20"/>
        </w:rPr>
        <w:t>intervention</w:t>
      </w:r>
      <w:r w:rsidRPr="000F355C">
        <w:rPr>
          <w:rFonts w:ascii="Palatino Linotype" w:hAnsi="Palatino Linotype"/>
          <w:sz w:val="20"/>
        </w:rPr>
        <w:t xml:space="preserve"> and 77 (range 65-97) post-intervention (mean difference = -0.4, p=0.607, 95% confidence interval [CI] -1.4 to 1.8). </w:t>
      </w:r>
      <w:r w:rsidR="00C613F9">
        <w:rPr>
          <w:rFonts w:ascii="Palatino Linotype" w:hAnsi="Palatino Linotype"/>
          <w:sz w:val="20"/>
        </w:rPr>
        <w:t xml:space="preserve">Average </w:t>
      </w:r>
      <w:r w:rsidR="00624BBB">
        <w:rPr>
          <w:rFonts w:ascii="Palatino Linotype" w:hAnsi="Palatino Linotype"/>
          <w:sz w:val="20"/>
        </w:rPr>
        <w:t>CFS</w:t>
      </w:r>
      <w:r w:rsidR="0052146F">
        <w:rPr>
          <w:rFonts w:ascii="Palatino Linotype" w:hAnsi="Palatino Linotype"/>
          <w:sz w:val="20"/>
        </w:rPr>
        <w:t xml:space="preserve"> scores were 4.08 pre-intervention and 4.27 post-intervention (p=0.058) </w:t>
      </w:r>
      <w:r w:rsidR="00624BBB">
        <w:rPr>
          <w:rFonts w:ascii="Palatino Linotype" w:hAnsi="Palatino Linotype"/>
          <w:sz w:val="20"/>
        </w:rPr>
        <w:t>corresponding with</w:t>
      </w:r>
      <w:r w:rsidR="0051028B">
        <w:rPr>
          <w:rFonts w:ascii="Palatino Linotype" w:hAnsi="Palatino Linotype"/>
          <w:sz w:val="20"/>
        </w:rPr>
        <w:t xml:space="preserve"> “vulnera</w:t>
      </w:r>
      <w:r w:rsidR="00624BBB">
        <w:rPr>
          <w:rFonts w:ascii="Palatino Linotype" w:hAnsi="Palatino Linotype"/>
          <w:sz w:val="20"/>
        </w:rPr>
        <w:t>bility</w:t>
      </w:r>
      <w:r w:rsidR="0051028B">
        <w:rPr>
          <w:rFonts w:ascii="Palatino Linotype" w:hAnsi="Palatino Linotype"/>
          <w:sz w:val="20"/>
        </w:rPr>
        <w:t>” rather than frail</w:t>
      </w:r>
      <w:r w:rsidR="00624BBB">
        <w:rPr>
          <w:rFonts w:ascii="Palatino Linotype" w:hAnsi="Palatino Linotype"/>
          <w:sz w:val="20"/>
        </w:rPr>
        <w:t>ty, which is classed as a CFS score of ≥5</w:t>
      </w:r>
      <w:r w:rsidR="0051028B">
        <w:rPr>
          <w:rFonts w:ascii="Palatino Linotype" w:hAnsi="Palatino Linotype"/>
          <w:sz w:val="20"/>
        </w:rPr>
        <w:t xml:space="preserve">. </w:t>
      </w:r>
      <w:r w:rsidRPr="000F355C">
        <w:rPr>
          <w:rFonts w:ascii="Palatino Linotype" w:hAnsi="Palatino Linotype"/>
          <w:sz w:val="20"/>
        </w:rPr>
        <w:t>The frequency of admission to intensive care remained stable at 20% following intervention (34/171 pre and 41/204 post-intervention, 95% CI -8.3% to 7.9%), and 30-day readmission rates remained unchanged (22/171 versus 24/204, p=0.746, 95% CI -5.6% to 7.8%). Mortality showed a</w:t>
      </w:r>
      <w:r w:rsidR="007D79DF">
        <w:rPr>
          <w:rFonts w:ascii="Palatino Linotype" w:hAnsi="Palatino Linotype"/>
          <w:sz w:val="20"/>
        </w:rPr>
        <w:t xml:space="preserve"> non-significant</w:t>
      </w:r>
      <w:r w:rsidRPr="000F355C">
        <w:rPr>
          <w:rFonts w:ascii="Palatino Linotype" w:hAnsi="Palatino Linotype"/>
          <w:sz w:val="20"/>
        </w:rPr>
        <w:t xml:space="preserve"> reduction of 1.4% (9/171 to 8/204, p=0.534, 95% CI -2.9% to 5.6%). See Table 1 for further patient demographic details. </w:t>
      </w:r>
    </w:p>
    <w:p w14:paraId="147C18CB" w14:textId="01B7954F" w:rsidR="000F355C" w:rsidRDefault="000F355C" w:rsidP="000F355C">
      <w:pPr>
        <w:spacing w:after="100" w:afterAutospacing="1" w:line="240" w:lineRule="auto"/>
        <w:contextualSpacing/>
        <w:textAlignment w:val="baseline"/>
        <w:rPr>
          <w:rFonts w:ascii="Palatino Linotype" w:hAnsi="Palatino Linotype"/>
          <w:b/>
          <w:bCs/>
          <w:sz w:val="20"/>
          <w:lang w:eastAsia="en-GB"/>
        </w:rPr>
      </w:pPr>
    </w:p>
    <w:p w14:paraId="6686C225" w14:textId="0E2EF1F0" w:rsidR="0019260D" w:rsidRPr="000F355C" w:rsidRDefault="009616DA" w:rsidP="000F355C">
      <w:pPr>
        <w:spacing w:after="100" w:afterAutospacing="1" w:line="240" w:lineRule="auto"/>
        <w:contextualSpacing/>
        <w:textAlignment w:val="baseline"/>
        <w:rPr>
          <w:rFonts w:ascii="Palatino Linotype" w:hAnsi="Palatino Linotype"/>
          <w:b/>
          <w:bCs/>
          <w:sz w:val="20"/>
          <w:lang w:eastAsia="en-GB"/>
        </w:rPr>
      </w:pPr>
      <w:r>
        <w:rPr>
          <w:noProof/>
          <w:lang w:eastAsia="en-GB"/>
        </w:rPr>
        <w:lastRenderedPageBreak/>
        <w:drawing>
          <wp:inline distT="0" distB="0" distL="0" distR="0" wp14:anchorId="53696405" wp14:editId="5F8BB86C">
            <wp:extent cx="5610225" cy="58959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5895975"/>
                    </a:xfrm>
                    <a:prstGeom prst="rect">
                      <a:avLst/>
                    </a:prstGeom>
                    <a:noFill/>
                    <a:ln>
                      <a:noFill/>
                    </a:ln>
                  </pic:spPr>
                </pic:pic>
              </a:graphicData>
            </a:graphic>
          </wp:inline>
        </w:drawing>
      </w:r>
    </w:p>
    <w:p w14:paraId="1015DCBE" w14:textId="77777777" w:rsidR="002201D8" w:rsidRDefault="002201D8" w:rsidP="000F355C">
      <w:pPr>
        <w:shd w:val="clear" w:color="auto" w:fill="FFFFFF"/>
        <w:spacing w:line="240" w:lineRule="auto"/>
        <w:textAlignment w:val="baseline"/>
        <w:rPr>
          <w:rFonts w:ascii="Palatino Linotype" w:hAnsi="Palatino Linotype"/>
          <w:sz w:val="20"/>
        </w:rPr>
      </w:pPr>
      <w:r w:rsidRPr="002201D8">
        <w:rPr>
          <w:rFonts w:ascii="Palatino Linotype" w:hAnsi="Palatino Linotype"/>
          <w:b/>
          <w:bCs/>
          <w:sz w:val="20"/>
        </w:rPr>
        <w:t>3.2 Length of Stay</w:t>
      </w:r>
    </w:p>
    <w:p w14:paraId="77CFE35B" w14:textId="210D43E0" w:rsidR="000F355C" w:rsidRPr="000F355C" w:rsidRDefault="000F355C" w:rsidP="000F355C">
      <w:pPr>
        <w:shd w:val="clear" w:color="auto" w:fill="FFFFFF"/>
        <w:spacing w:line="240" w:lineRule="auto"/>
        <w:textAlignment w:val="baseline"/>
        <w:rPr>
          <w:rFonts w:ascii="Palatino Linotype" w:hAnsi="Palatino Linotype"/>
          <w:sz w:val="20"/>
        </w:rPr>
      </w:pPr>
      <w:r w:rsidRPr="000F355C">
        <w:rPr>
          <w:rFonts w:ascii="Palatino Linotype" w:hAnsi="Palatino Linotype"/>
          <w:sz w:val="20"/>
        </w:rPr>
        <w:t xml:space="preserve">Following implementation of our medical liaison service, overall mean LOS showed a </w:t>
      </w:r>
      <w:r w:rsidR="00D63FF4">
        <w:rPr>
          <w:rFonts w:ascii="Palatino Linotype" w:hAnsi="Palatino Linotype"/>
          <w:sz w:val="20"/>
        </w:rPr>
        <w:t xml:space="preserve">favourable </w:t>
      </w:r>
      <w:r w:rsidRPr="000F355C">
        <w:rPr>
          <w:rFonts w:ascii="Palatino Linotype" w:hAnsi="Palatino Linotype"/>
          <w:sz w:val="20"/>
        </w:rPr>
        <w:t>reduction from 10.75 to 7.95 days</w:t>
      </w:r>
      <w:r w:rsidR="00491120">
        <w:rPr>
          <w:rFonts w:ascii="Palatino Linotype" w:hAnsi="Palatino Linotype"/>
          <w:sz w:val="20"/>
        </w:rPr>
        <w:t xml:space="preserve"> which did not reach statistical significance</w:t>
      </w:r>
      <w:r w:rsidRPr="000F355C">
        <w:rPr>
          <w:rFonts w:ascii="Palatino Linotype" w:hAnsi="Palatino Linotype"/>
          <w:sz w:val="20"/>
        </w:rPr>
        <w:t xml:space="preserve"> (p=0.635, CI 0 to </w:t>
      </w:r>
      <w:r w:rsidR="0081052C">
        <w:rPr>
          <w:rFonts w:ascii="Palatino Linotype" w:hAnsi="Palatino Linotype"/>
          <w:sz w:val="20"/>
        </w:rPr>
        <w:t>5</w:t>
      </w:r>
      <w:r w:rsidRPr="000F355C">
        <w:rPr>
          <w:rFonts w:ascii="Palatino Linotype" w:hAnsi="Palatino Linotype"/>
          <w:sz w:val="20"/>
        </w:rPr>
        <w:t xml:space="preserve"> day</w:t>
      </w:r>
      <w:r w:rsidR="0081052C">
        <w:rPr>
          <w:rFonts w:ascii="Palatino Linotype" w:hAnsi="Palatino Linotype"/>
          <w:sz w:val="20"/>
        </w:rPr>
        <w:t>s</w:t>
      </w:r>
      <w:r w:rsidRPr="000F355C">
        <w:rPr>
          <w:rFonts w:ascii="Palatino Linotype" w:hAnsi="Palatino Linotype"/>
          <w:sz w:val="20"/>
        </w:rPr>
        <w:t xml:space="preserve">). When comparing the impact of our intervention on LOS for patients admitted either acutely or electively, there was no significant reduction seen (p=0.103, 95% CI 0 to 5 days and p=0.890, 95% CI -1 to 0 days respectively). </w:t>
      </w:r>
    </w:p>
    <w:p w14:paraId="7D52226D" w14:textId="77777777" w:rsidR="000F355C" w:rsidRPr="000F355C" w:rsidRDefault="000F355C" w:rsidP="000F355C">
      <w:pPr>
        <w:shd w:val="clear" w:color="auto" w:fill="FFFFFF"/>
        <w:spacing w:line="240" w:lineRule="auto"/>
        <w:textAlignment w:val="baseline"/>
        <w:rPr>
          <w:rFonts w:ascii="Palatino Linotype" w:hAnsi="Palatino Linotype"/>
          <w:sz w:val="20"/>
        </w:rPr>
      </w:pPr>
    </w:p>
    <w:p w14:paraId="52FF9FEA" w14:textId="35EEFF7B" w:rsidR="000F355C" w:rsidRDefault="00491120" w:rsidP="000F355C">
      <w:pPr>
        <w:shd w:val="clear" w:color="auto" w:fill="FFFFFF"/>
        <w:spacing w:line="240" w:lineRule="auto"/>
        <w:textAlignment w:val="baseline"/>
        <w:rPr>
          <w:rFonts w:ascii="Palatino Linotype" w:hAnsi="Palatino Linotype"/>
          <w:sz w:val="20"/>
        </w:rPr>
      </w:pPr>
      <w:r>
        <w:rPr>
          <w:rFonts w:ascii="Palatino Linotype" w:hAnsi="Palatino Linotype"/>
          <w:sz w:val="20"/>
        </w:rPr>
        <w:t>Post hoc</w:t>
      </w:r>
      <w:r w:rsidR="000F355C" w:rsidRPr="000F355C">
        <w:rPr>
          <w:rFonts w:ascii="Palatino Linotype" w:hAnsi="Palatino Linotype"/>
          <w:sz w:val="20"/>
        </w:rPr>
        <w:t xml:space="preserve"> Kaplan-Meier analysis (Figure 1) and a comparison of means showed a significant reduction from 25.12 to 17.28 days in mean LOS for patients admitted for more than seven days (p=0.025, 95% CI for mean difference 1.5 to 14 days). </w:t>
      </w:r>
      <w:r w:rsidR="00A518B0">
        <w:rPr>
          <w:rFonts w:ascii="Palatino Linotype" w:hAnsi="Palatino Linotype"/>
          <w:iCs/>
          <w:sz w:val="20"/>
          <w:lang w:eastAsia="en-GB"/>
        </w:rPr>
        <w:t>Closer evaluation of th</w:t>
      </w:r>
      <w:r w:rsidR="00B07E5E">
        <w:rPr>
          <w:rFonts w:ascii="Palatino Linotype" w:hAnsi="Palatino Linotype"/>
          <w:iCs/>
          <w:sz w:val="20"/>
          <w:lang w:eastAsia="en-GB"/>
        </w:rPr>
        <w:t>is</w:t>
      </w:r>
      <w:r w:rsidR="00A518B0">
        <w:rPr>
          <w:rFonts w:ascii="Palatino Linotype" w:hAnsi="Palatino Linotype"/>
          <w:iCs/>
          <w:sz w:val="20"/>
          <w:lang w:eastAsia="en-GB"/>
        </w:rPr>
        <w:t xml:space="preserve"> cohort</w:t>
      </w:r>
      <w:r w:rsidR="000F355C" w:rsidRPr="000F355C">
        <w:rPr>
          <w:rFonts w:ascii="Palatino Linotype" w:hAnsi="Palatino Linotype"/>
          <w:iCs/>
          <w:sz w:val="20"/>
          <w:lang w:eastAsia="en-GB"/>
        </w:rPr>
        <w:t xml:space="preserve"> </w:t>
      </w:r>
      <w:r w:rsidR="00A518B0">
        <w:rPr>
          <w:rFonts w:ascii="Palatino Linotype" w:hAnsi="Palatino Linotype"/>
          <w:iCs/>
          <w:sz w:val="20"/>
          <w:lang w:eastAsia="en-GB"/>
        </w:rPr>
        <w:t xml:space="preserve">demonstrated well-matched </w:t>
      </w:r>
      <w:r w:rsidR="000F355C" w:rsidRPr="000F355C">
        <w:rPr>
          <w:rFonts w:ascii="Palatino Linotype" w:hAnsi="Palatino Linotype"/>
          <w:iCs/>
          <w:sz w:val="20"/>
          <w:lang w:eastAsia="en-GB"/>
        </w:rPr>
        <w:t>demographic data</w:t>
      </w:r>
      <w:r w:rsidR="00B07E5E">
        <w:rPr>
          <w:rFonts w:ascii="Palatino Linotype" w:hAnsi="Palatino Linotype"/>
          <w:iCs/>
          <w:sz w:val="20"/>
          <w:lang w:eastAsia="en-GB"/>
        </w:rPr>
        <w:t>; s</w:t>
      </w:r>
      <w:r w:rsidR="000F355C" w:rsidRPr="000F355C">
        <w:rPr>
          <w:rFonts w:ascii="Palatino Linotype" w:hAnsi="Palatino Linotype"/>
          <w:iCs/>
          <w:sz w:val="20"/>
          <w:lang w:eastAsia="en-GB"/>
        </w:rPr>
        <w:t xml:space="preserve">pecifically, there </w:t>
      </w:r>
      <w:r w:rsidR="00A518B0">
        <w:rPr>
          <w:rFonts w:ascii="Palatino Linotype" w:hAnsi="Palatino Linotype"/>
          <w:iCs/>
          <w:sz w:val="20"/>
          <w:lang w:eastAsia="en-GB"/>
        </w:rPr>
        <w:t>were</w:t>
      </w:r>
      <w:r w:rsidR="000F355C" w:rsidRPr="000F355C">
        <w:rPr>
          <w:rFonts w:ascii="Palatino Linotype" w:hAnsi="Palatino Linotype"/>
          <w:iCs/>
          <w:sz w:val="20"/>
          <w:lang w:eastAsia="en-GB"/>
        </w:rPr>
        <w:t xml:space="preserve"> no differences in patient sex (p=0.774), age (p=0.923), type of surgery (elective/acute) (p=0.710) or rates of intensive care admission (p=0.696). </w:t>
      </w:r>
      <w:r w:rsidR="00147F0B" w:rsidRPr="000F355C">
        <w:rPr>
          <w:rFonts w:ascii="Palatino Linotype" w:hAnsi="Palatino Linotype"/>
          <w:sz w:val="20"/>
        </w:rPr>
        <w:t xml:space="preserve">Utilising correlation analysis, age did not significantly correlate with LOS either pre-intervention (r= -0.11, p=0.171) nor post-intervention (r= -0.127, p=0.064). </w:t>
      </w:r>
      <w:r w:rsidR="000F355C" w:rsidRPr="000F355C">
        <w:rPr>
          <w:rFonts w:ascii="Palatino Linotype" w:hAnsi="Palatino Linotype"/>
          <w:iCs/>
          <w:sz w:val="20"/>
          <w:lang w:eastAsia="en-GB"/>
        </w:rPr>
        <w:t xml:space="preserve">Lastly, </w:t>
      </w:r>
      <w:r w:rsidR="000F355C" w:rsidRPr="000F355C">
        <w:rPr>
          <w:rFonts w:ascii="Palatino Linotype" w:hAnsi="Palatino Linotype"/>
          <w:sz w:val="20"/>
        </w:rPr>
        <w:t xml:space="preserve">for patients admitted for longer than seven </w:t>
      </w:r>
      <w:r w:rsidR="000F355C" w:rsidRPr="000F355C">
        <w:rPr>
          <w:rFonts w:ascii="Palatino Linotype" w:hAnsi="Palatino Linotype"/>
          <w:sz w:val="20"/>
        </w:rPr>
        <w:lastRenderedPageBreak/>
        <w:t xml:space="preserve">days, 30-day readmission rates </w:t>
      </w:r>
      <w:r w:rsidR="00A518B0">
        <w:rPr>
          <w:rFonts w:ascii="Palatino Linotype" w:hAnsi="Palatino Linotype"/>
          <w:sz w:val="20"/>
        </w:rPr>
        <w:t xml:space="preserve">showed </w:t>
      </w:r>
      <w:r w:rsidR="008D5968">
        <w:rPr>
          <w:rFonts w:ascii="Palatino Linotype" w:hAnsi="Palatino Linotype"/>
          <w:sz w:val="20"/>
        </w:rPr>
        <w:t xml:space="preserve">a non-significant </w:t>
      </w:r>
      <w:r w:rsidR="00A518B0">
        <w:rPr>
          <w:rFonts w:ascii="Palatino Linotype" w:hAnsi="Palatino Linotype"/>
          <w:sz w:val="20"/>
        </w:rPr>
        <w:t>reduction</w:t>
      </w:r>
      <w:r w:rsidR="00A518B0" w:rsidRPr="000F355C">
        <w:rPr>
          <w:rFonts w:ascii="Palatino Linotype" w:hAnsi="Palatino Linotype"/>
          <w:sz w:val="20"/>
        </w:rPr>
        <w:t xml:space="preserve"> </w:t>
      </w:r>
      <w:r w:rsidR="000F355C" w:rsidRPr="000F355C">
        <w:rPr>
          <w:rFonts w:ascii="Palatino Linotype" w:hAnsi="Palatino Linotype"/>
          <w:sz w:val="20"/>
        </w:rPr>
        <w:t xml:space="preserve">from 12/50 (20.0%) to 8/72 (11.1%), (p=0.156, 95% CI -3% to 21%). </w:t>
      </w:r>
    </w:p>
    <w:p w14:paraId="2724A241" w14:textId="6B87773C" w:rsidR="00865E0B" w:rsidRDefault="00865E0B" w:rsidP="000F355C">
      <w:pPr>
        <w:shd w:val="clear" w:color="auto" w:fill="FFFFFF"/>
        <w:spacing w:line="240" w:lineRule="auto"/>
        <w:textAlignment w:val="baseline"/>
        <w:rPr>
          <w:rFonts w:ascii="Palatino Linotype" w:hAnsi="Palatino Linotype"/>
          <w:sz w:val="20"/>
        </w:rPr>
      </w:pPr>
    </w:p>
    <w:p w14:paraId="33A6B8A3" w14:textId="32BD7ED7" w:rsidR="000F355C" w:rsidRPr="00D34CC9" w:rsidRDefault="009616DA" w:rsidP="00D34CC9">
      <w:pPr>
        <w:shd w:val="clear" w:color="auto" w:fill="FFFFFF"/>
        <w:spacing w:line="240" w:lineRule="auto"/>
        <w:jc w:val="center"/>
        <w:textAlignment w:val="baseline"/>
        <w:rPr>
          <w:rFonts w:ascii="Palatino Linotype" w:hAnsi="Palatino Linotype"/>
          <w:sz w:val="20"/>
        </w:rPr>
      </w:pPr>
      <w:r>
        <w:rPr>
          <w:noProof/>
          <w:lang w:eastAsia="en-GB"/>
        </w:rPr>
        <w:drawing>
          <wp:inline distT="0" distB="0" distL="0" distR="0" wp14:anchorId="4D0D8A1D" wp14:editId="0291E9A8">
            <wp:extent cx="4457700" cy="5895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5895975"/>
                    </a:xfrm>
                    <a:prstGeom prst="rect">
                      <a:avLst/>
                    </a:prstGeom>
                    <a:noFill/>
                    <a:ln>
                      <a:noFill/>
                    </a:ln>
                  </pic:spPr>
                </pic:pic>
              </a:graphicData>
            </a:graphic>
          </wp:inline>
        </w:drawing>
      </w:r>
    </w:p>
    <w:p w14:paraId="3C4C1B07" w14:textId="29BE7140" w:rsidR="002201D8" w:rsidRPr="002201D8" w:rsidRDefault="002201D8" w:rsidP="000F355C">
      <w:pPr>
        <w:spacing w:line="240" w:lineRule="auto"/>
        <w:contextualSpacing/>
        <w:rPr>
          <w:rFonts w:ascii="Palatino Linotype" w:hAnsi="Palatino Linotype"/>
          <w:b/>
          <w:bCs/>
          <w:sz w:val="20"/>
        </w:rPr>
      </w:pPr>
      <w:r w:rsidRPr="002201D8">
        <w:rPr>
          <w:rFonts w:ascii="Palatino Linotype" w:hAnsi="Palatino Linotype"/>
          <w:b/>
          <w:bCs/>
          <w:sz w:val="20"/>
        </w:rPr>
        <w:t>3.3 Postoperative Complications</w:t>
      </w:r>
    </w:p>
    <w:p w14:paraId="1E061CE2" w14:textId="0472685C" w:rsidR="000F355C" w:rsidRPr="000F355C" w:rsidRDefault="000F355C" w:rsidP="000F355C">
      <w:pPr>
        <w:spacing w:line="240" w:lineRule="auto"/>
        <w:contextualSpacing/>
        <w:rPr>
          <w:rFonts w:ascii="Palatino Linotype" w:hAnsi="Palatino Linotype"/>
          <w:sz w:val="20"/>
        </w:rPr>
      </w:pPr>
      <w:r w:rsidRPr="000F355C">
        <w:rPr>
          <w:rFonts w:ascii="Palatino Linotype" w:hAnsi="Palatino Linotype"/>
          <w:sz w:val="20"/>
        </w:rPr>
        <w:t>The total number of postoperative complications suffered per p</w:t>
      </w:r>
      <w:r w:rsidR="00A518B0">
        <w:rPr>
          <w:rFonts w:ascii="Palatino Linotype" w:hAnsi="Palatino Linotype"/>
          <w:sz w:val="20"/>
        </w:rPr>
        <w:t>atient</w:t>
      </w:r>
      <w:r w:rsidRPr="000F355C">
        <w:rPr>
          <w:rFonts w:ascii="Palatino Linotype" w:hAnsi="Palatino Linotype"/>
          <w:sz w:val="20"/>
        </w:rPr>
        <w:t xml:space="preserve"> demonstrated a</w:t>
      </w:r>
      <w:r w:rsidR="00A518B0">
        <w:rPr>
          <w:rFonts w:ascii="Palatino Linotype" w:hAnsi="Palatino Linotype"/>
          <w:sz w:val="20"/>
        </w:rPr>
        <w:t xml:space="preserve"> non-significant</w:t>
      </w:r>
      <w:r w:rsidRPr="000F355C">
        <w:rPr>
          <w:rFonts w:ascii="Palatino Linotype" w:hAnsi="Palatino Linotype"/>
          <w:sz w:val="20"/>
        </w:rPr>
        <w:t xml:space="preserve"> reduction </w:t>
      </w:r>
      <w:r w:rsidR="00B07E5E">
        <w:rPr>
          <w:rFonts w:ascii="Palatino Linotype" w:hAnsi="Palatino Linotype"/>
          <w:sz w:val="20"/>
        </w:rPr>
        <w:t xml:space="preserve">for all patients </w:t>
      </w:r>
      <w:r w:rsidRPr="000F355C">
        <w:rPr>
          <w:rFonts w:ascii="Palatino Linotype" w:hAnsi="Palatino Linotype"/>
          <w:sz w:val="20"/>
        </w:rPr>
        <w:t xml:space="preserve">following service implementation (1.09 to 0.86 per person, p=0.181, CI -0.11 to 0.56). Complications suffered by patients admitted acutely were more frequent compared to those admitted electively (1.35 versus 0.71 per person, p&lt;0.001, mean difference = 0.64, 95% CI 0.29 to 0.98). When evaluating complication frequency following service implementation in elective patients, there was no significant reduction (0.63 to 0.79 per person, p=0.373, mean difference -0.16, 95% CI -0.60 to 0.19). However, when evaluating complication frequency in the acute patients following service implementation, there was a significant reduction (1.81 to 0.97 per person, p=0.01, mean difference = 0.84, 95% CI 0.21 to 1.46). </w:t>
      </w:r>
      <w:r w:rsidR="009959CB">
        <w:rPr>
          <w:rFonts w:ascii="Palatino Linotype" w:hAnsi="Palatino Linotype"/>
          <w:sz w:val="20"/>
        </w:rPr>
        <w:t xml:space="preserve">Correlation analysis found that age </w:t>
      </w:r>
      <w:r w:rsidR="009959CB" w:rsidRPr="000F355C">
        <w:rPr>
          <w:rFonts w:ascii="Palatino Linotype" w:hAnsi="Palatino Linotype"/>
          <w:sz w:val="20"/>
        </w:rPr>
        <w:t xml:space="preserve">did not significantly correlate with </w:t>
      </w:r>
      <w:r w:rsidR="009959CB" w:rsidRPr="000F355C">
        <w:rPr>
          <w:rFonts w:ascii="Palatino Linotype" w:hAnsi="Palatino Linotype"/>
          <w:sz w:val="20"/>
        </w:rPr>
        <w:lastRenderedPageBreak/>
        <w:t xml:space="preserve">frequency of complications either pre-intervention (r= -0.069, p=0.405) nor post-intervention (r= -0.120, p=0.122). </w:t>
      </w:r>
    </w:p>
    <w:p w14:paraId="4760BBDA" w14:textId="77777777" w:rsidR="000F355C" w:rsidRDefault="000F355C" w:rsidP="000F355C">
      <w:pPr>
        <w:pStyle w:val="MDPI31text"/>
        <w:spacing w:line="240" w:lineRule="auto"/>
        <w:ind w:firstLine="0"/>
        <w:contextualSpacing/>
      </w:pPr>
    </w:p>
    <w:p w14:paraId="523BA16C" w14:textId="77777777" w:rsidR="007D4A75" w:rsidRPr="00497E98" w:rsidRDefault="007D4A75" w:rsidP="00380B5B">
      <w:pPr>
        <w:pStyle w:val="MDPI21heading1"/>
        <w:spacing w:line="240" w:lineRule="auto"/>
        <w:contextualSpacing/>
      </w:pPr>
      <w:r w:rsidRPr="00497E98">
        <w:t>4. Discussion</w:t>
      </w:r>
    </w:p>
    <w:p w14:paraId="417A899B" w14:textId="71EFEBE7" w:rsidR="004D61E9" w:rsidRDefault="00E70A5F" w:rsidP="00E70A5F">
      <w:pPr>
        <w:spacing w:line="240" w:lineRule="auto"/>
        <w:contextualSpacing/>
        <w:rPr>
          <w:rFonts w:ascii="Palatino Linotype" w:hAnsi="Palatino Linotype"/>
          <w:sz w:val="20"/>
        </w:rPr>
      </w:pPr>
      <w:bookmarkStart w:id="2" w:name="_Hlk53083771"/>
      <w:r w:rsidRPr="00E70A5F">
        <w:rPr>
          <w:rFonts w:ascii="Palatino Linotype" w:hAnsi="Palatino Linotype"/>
          <w:sz w:val="20"/>
        </w:rPr>
        <w:t>This study</w:t>
      </w:r>
      <w:r w:rsidR="004D61E9">
        <w:rPr>
          <w:rFonts w:ascii="Palatino Linotype" w:hAnsi="Palatino Linotype"/>
          <w:sz w:val="20"/>
        </w:rPr>
        <w:t>, evaluating the initial impact of our service,</w:t>
      </w:r>
      <w:r w:rsidRPr="00E70A5F">
        <w:rPr>
          <w:rFonts w:ascii="Palatino Linotype" w:hAnsi="Palatino Linotype"/>
          <w:sz w:val="20"/>
        </w:rPr>
        <w:t xml:space="preserve"> has demonstrated </w:t>
      </w:r>
      <w:r w:rsidR="00F654E7">
        <w:rPr>
          <w:rFonts w:ascii="Palatino Linotype" w:hAnsi="Palatino Linotype"/>
          <w:sz w:val="20"/>
        </w:rPr>
        <w:t>that</w:t>
      </w:r>
      <w:r w:rsidR="004D61E9">
        <w:rPr>
          <w:rFonts w:ascii="Palatino Linotype" w:hAnsi="Palatino Linotype"/>
          <w:sz w:val="20"/>
        </w:rPr>
        <w:t xml:space="preserve"> </w:t>
      </w:r>
      <w:r w:rsidRPr="00E70A5F">
        <w:rPr>
          <w:rFonts w:ascii="Palatino Linotype" w:hAnsi="Palatino Linotype"/>
          <w:sz w:val="20"/>
        </w:rPr>
        <w:t xml:space="preserve">routine, proactive, senior-led medical liaison </w:t>
      </w:r>
      <w:r w:rsidR="00F654E7">
        <w:rPr>
          <w:rFonts w:ascii="Palatino Linotype" w:hAnsi="Palatino Linotype"/>
          <w:sz w:val="20"/>
        </w:rPr>
        <w:t>for</w:t>
      </w:r>
      <w:r w:rsidR="00F654E7" w:rsidRPr="00E70A5F">
        <w:rPr>
          <w:rFonts w:ascii="Palatino Linotype" w:hAnsi="Palatino Linotype"/>
          <w:sz w:val="20"/>
        </w:rPr>
        <w:t xml:space="preserve"> </w:t>
      </w:r>
      <w:r w:rsidRPr="00E70A5F">
        <w:rPr>
          <w:rFonts w:ascii="Palatino Linotype" w:hAnsi="Palatino Linotype"/>
          <w:sz w:val="20"/>
        </w:rPr>
        <w:t>older multimorbid patients admitted under vascular surgery</w:t>
      </w:r>
      <w:r w:rsidR="00F654E7">
        <w:rPr>
          <w:rFonts w:ascii="Palatino Linotype" w:hAnsi="Palatino Linotype"/>
          <w:sz w:val="20"/>
        </w:rPr>
        <w:t xml:space="preserve"> can have clinical benefits for selected patients</w:t>
      </w:r>
      <w:r w:rsidRPr="00E70A5F">
        <w:rPr>
          <w:rFonts w:ascii="Palatino Linotype" w:hAnsi="Palatino Linotype"/>
          <w:sz w:val="20"/>
        </w:rPr>
        <w:t xml:space="preserve">. </w:t>
      </w:r>
      <w:r w:rsidR="004D61E9" w:rsidRPr="00E70A5F">
        <w:rPr>
          <w:rFonts w:ascii="Palatino Linotype" w:hAnsi="Palatino Linotype"/>
          <w:sz w:val="20"/>
        </w:rPr>
        <w:t>Firstly, a</w:t>
      </w:r>
      <w:r w:rsidR="004D61E9">
        <w:rPr>
          <w:rFonts w:ascii="Palatino Linotype" w:hAnsi="Palatino Linotype"/>
          <w:sz w:val="20"/>
        </w:rPr>
        <w:t xml:space="preserve"> favourable </w:t>
      </w:r>
      <w:r w:rsidR="004D61E9" w:rsidRPr="00E70A5F">
        <w:rPr>
          <w:rFonts w:ascii="Palatino Linotype" w:hAnsi="Palatino Linotype"/>
          <w:sz w:val="20"/>
        </w:rPr>
        <w:t xml:space="preserve">reduction in </w:t>
      </w:r>
      <w:r w:rsidR="004D61E9">
        <w:rPr>
          <w:rFonts w:ascii="Palatino Linotype" w:hAnsi="Palatino Linotype"/>
          <w:sz w:val="20"/>
        </w:rPr>
        <w:t xml:space="preserve">mean </w:t>
      </w:r>
      <w:r w:rsidR="004D61E9" w:rsidRPr="00E70A5F">
        <w:rPr>
          <w:rFonts w:ascii="Palatino Linotype" w:hAnsi="Palatino Linotype"/>
          <w:sz w:val="20"/>
        </w:rPr>
        <w:t xml:space="preserve">LOS </w:t>
      </w:r>
      <w:r w:rsidR="004D61E9">
        <w:rPr>
          <w:rFonts w:ascii="Palatino Linotype" w:hAnsi="Palatino Linotype"/>
          <w:sz w:val="20"/>
        </w:rPr>
        <w:t>by</w:t>
      </w:r>
      <w:r w:rsidR="004D61E9" w:rsidRPr="00E70A5F">
        <w:rPr>
          <w:rFonts w:ascii="Palatino Linotype" w:hAnsi="Palatino Linotype"/>
          <w:sz w:val="20"/>
        </w:rPr>
        <w:t xml:space="preserve"> 2.8 days </w:t>
      </w:r>
      <w:r w:rsidR="004D61E9">
        <w:rPr>
          <w:rFonts w:ascii="Palatino Linotype" w:hAnsi="Palatino Linotype"/>
          <w:sz w:val="20"/>
        </w:rPr>
        <w:t xml:space="preserve">was observed, </w:t>
      </w:r>
      <w:r w:rsidR="004D61E9" w:rsidRPr="00E70A5F">
        <w:rPr>
          <w:rFonts w:ascii="Palatino Linotype" w:hAnsi="Palatino Linotype"/>
          <w:sz w:val="20"/>
        </w:rPr>
        <w:t xml:space="preserve">with a significant reduction (7.84 days) in LOS for </w:t>
      </w:r>
      <w:r w:rsidR="004D61E9">
        <w:rPr>
          <w:rFonts w:ascii="Palatino Linotype" w:hAnsi="Palatino Linotype"/>
          <w:sz w:val="20"/>
        </w:rPr>
        <w:t xml:space="preserve">a subgroup of </w:t>
      </w:r>
      <w:r w:rsidR="004D61E9" w:rsidRPr="00E70A5F">
        <w:rPr>
          <w:rFonts w:ascii="Palatino Linotype" w:hAnsi="Palatino Linotype"/>
          <w:sz w:val="20"/>
        </w:rPr>
        <w:t>patients admitted for more than seven days</w:t>
      </w:r>
      <w:r w:rsidR="003E5134">
        <w:rPr>
          <w:rFonts w:ascii="Palatino Linotype" w:hAnsi="Palatino Linotype"/>
          <w:sz w:val="20"/>
        </w:rPr>
        <w:t>. This was seen</w:t>
      </w:r>
      <w:r w:rsidR="004D61E9">
        <w:rPr>
          <w:rFonts w:ascii="Palatino Linotype" w:hAnsi="Palatino Linotype"/>
          <w:sz w:val="20"/>
        </w:rPr>
        <w:t xml:space="preserve"> without a rise in readmission rates</w:t>
      </w:r>
      <w:r w:rsidR="004D61E9" w:rsidRPr="00E70A5F">
        <w:rPr>
          <w:rFonts w:ascii="Palatino Linotype" w:hAnsi="Palatino Linotype"/>
          <w:sz w:val="20"/>
        </w:rPr>
        <w:t xml:space="preserve">. </w:t>
      </w:r>
      <w:r w:rsidR="004D61E9" w:rsidRPr="000F355C">
        <w:rPr>
          <w:rFonts w:ascii="Palatino Linotype" w:hAnsi="Palatino Linotype"/>
          <w:sz w:val="20"/>
        </w:rPr>
        <w:t xml:space="preserve">This </w:t>
      </w:r>
      <w:proofErr w:type="gramStart"/>
      <w:r w:rsidR="004D61E9" w:rsidRPr="000F355C">
        <w:rPr>
          <w:rFonts w:ascii="Palatino Linotype" w:hAnsi="Palatino Linotype"/>
          <w:sz w:val="20"/>
        </w:rPr>
        <w:t>time period</w:t>
      </w:r>
      <w:proofErr w:type="gramEnd"/>
      <w:r w:rsidR="004D61E9" w:rsidRPr="000F355C">
        <w:rPr>
          <w:rFonts w:ascii="Palatino Linotype" w:hAnsi="Palatino Linotype"/>
          <w:sz w:val="20"/>
        </w:rPr>
        <w:t xml:space="preserve"> </w:t>
      </w:r>
      <w:r w:rsidR="004D61E9">
        <w:rPr>
          <w:rFonts w:ascii="Palatino Linotype" w:hAnsi="Palatino Linotype"/>
          <w:sz w:val="20"/>
        </w:rPr>
        <w:t>reflects “stranded</w:t>
      </w:r>
      <w:r w:rsidR="008D5968">
        <w:rPr>
          <w:rFonts w:ascii="Palatino Linotype" w:hAnsi="Palatino Linotype"/>
          <w:sz w:val="20"/>
        </w:rPr>
        <w:t>”</w:t>
      </w:r>
      <w:r w:rsidR="004D61E9">
        <w:rPr>
          <w:rFonts w:ascii="Palatino Linotype" w:hAnsi="Palatino Linotype"/>
          <w:sz w:val="20"/>
        </w:rPr>
        <w:t xml:space="preserve"> patient status and is an </w:t>
      </w:r>
      <w:r w:rsidR="00396C41">
        <w:rPr>
          <w:rFonts w:ascii="Palatino Linotype" w:hAnsi="Palatino Linotype"/>
          <w:sz w:val="20"/>
        </w:rPr>
        <w:t>increasingly used</w:t>
      </w:r>
      <w:r w:rsidR="004D61E9">
        <w:rPr>
          <w:rFonts w:ascii="Palatino Linotype" w:hAnsi="Palatino Linotype"/>
          <w:sz w:val="20"/>
        </w:rPr>
        <w:t xml:space="preserve"> metric utilised in the NHS to identify patients with complexity and delayed discharge</w:t>
      </w:r>
      <w:r w:rsidR="00396C41">
        <w:rPr>
          <w:rFonts w:ascii="Palatino Linotype" w:hAnsi="Palatino Linotype"/>
          <w:sz w:val="20"/>
        </w:rPr>
        <w:t xml:space="preserve"> [16]</w:t>
      </w:r>
      <w:r w:rsidR="004D61E9">
        <w:rPr>
          <w:rFonts w:ascii="Palatino Linotype" w:hAnsi="Palatino Linotype"/>
          <w:sz w:val="20"/>
        </w:rPr>
        <w:t xml:space="preserve">. </w:t>
      </w:r>
      <w:r w:rsidR="004D61E9" w:rsidRPr="00E70A5F">
        <w:rPr>
          <w:rFonts w:ascii="Palatino Linotype" w:hAnsi="Palatino Linotype"/>
          <w:sz w:val="20"/>
        </w:rPr>
        <w:t xml:space="preserve">Secondly, there was a </w:t>
      </w:r>
      <w:r w:rsidR="004D61E9">
        <w:rPr>
          <w:rFonts w:ascii="Palatino Linotype" w:hAnsi="Palatino Linotype"/>
          <w:sz w:val="20"/>
        </w:rPr>
        <w:t>favourable, albeit non-significant</w:t>
      </w:r>
      <w:r w:rsidR="004D61E9" w:rsidRPr="00E70A5F">
        <w:rPr>
          <w:rFonts w:ascii="Palatino Linotype" w:hAnsi="Palatino Linotype"/>
          <w:sz w:val="20"/>
        </w:rPr>
        <w:t xml:space="preserve"> reduction in complication frequency</w:t>
      </w:r>
      <w:r w:rsidR="004D61E9">
        <w:rPr>
          <w:rFonts w:ascii="Palatino Linotype" w:hAnsi="Palatino Linotype"/>
          <w:sz w:val="20"/>
        </w:rPr>
        <w:t xml:space="preserve"> in all patients </w:t>
      </w:r>
      <w:r w:rsidR="004D61E9" w:rsidRPr="00E70A5F">
        <w:rPr>
          <w:rFonts w:ascii="Palatino Linotype" w:hAnsi="Palatino Linotype"/>
          <w:sz w:val="20"/>
        </w:rPr>
        <w:t>following service implementation</w:t>
      </w:r>
      <w:r w:rsidR="003E5134">
        <w:rPr>
          <w:rFonts w:ascii="Palatino Linotype" w:hAnsi="Palatino Linotype"/>
          <w:sz w:val="20"/>
        </w:rPr>
        <w:t>,</w:t>
      </w:r>
      <w:r w:rsidR="004D61E9">
        <w:rPr>
          <w:rFonts w:ascii="Palatino Linotype" w:hAnsi="Palatino Linotype"/>
          <w:sz w:val="20"/>
        </w:rPr>
        <w:t xml:space="preserve"> with statistically s</w:t>
      </w:r>
      <w:r w:rsidR="004D61E9" w:rsidRPr="00E70A5F">
        <w:rPr>
          <w:rFonts w:ascii="Palatino Linotype" w:hAnsi="Palatino Linotype"/>
          <w:sz w:val="20"/>
        </w:rPr>
        <w:t xml:space="preserve">ignificant reductions </w:t>
      </w:r>
      <w:r w:rsidR="004D61E9">
        <w:rPr>
          <w:rFonts w:ascii="Palatino Linotype" w:hAnsi="Palatino Linotype"/>
          <w:sz w:val="20"/>
        </w:rPr>
        <w:t xml:space="preserve">seen in patients admitted acutely. This </w:t>
      </w:r>
      <w:r w:rsidR="004D61E9" w:rsidRPr="00E70A5F">
        <w:rPr>
          <w:rFonts w:ascii="Palatino Linotype" w:hAnsi="Palatino Linotype"/>
          <w:sz w:val="20"/>
        </w:rPr>
        <w:t xml:space="preserve">may indicate that patients who gain most from </w:t>
      </w:r>
      <w:r w:rsidR="004D61E9">
        <w:rPr>
          <w:rFonts w:ascii="Palatino Linotype" w:hAnsi="Palatino Linotype"/>
          <w:sz w:val="20"/>
        </w:rPr>
        <w:t>medical liaison are</w:t>
      </w:r>
      <w:r w:rsidR="004D61E9" w:rsidRPr="00E70A5F">
        <w:rPr>
          <w:rFonts w:ascii="Palatino Linotype" w:hAnsi="Palatino Linotype"/>
          <w:sz w:val="20"/>
        </w:rPr>
        <w:t xml:space="preserve"> those admitted </w:t>
      </w:r>
      <w:r w:rsidR="004D61E9">
        <w:rPr>
          <w:rFonts w:ascii="Palatino Linotype" w:hAnsi="Palatino Linotype"/>
          <w:sz w:val="20"/>
        </w:rPr>
        <w:t>with acute pathology</w:t>
      </w:r>
      <w:r w:rsidR="004D61E9" w:rsidRPr="00E70A5F">
        <w:rPr>
          <w:rFonts w:ascii="Palatino Linotype" w:hAnsi="Palatino Linotype"/>
          <w:sz w:val="20"/>
        </w:rPr>
        <w:t>, and those who sustain a long length of stay. Long length of stay is typically associated with complexity and complications, and it therefore plausible that medical liaison may be of most value in this patient group.</w:t>
      </w:r>
      <w:r w:rsidR="00CF0956">
        <w:rPr>
          <w:rFonts w:ascii="Palatino Linotype" w:hAnsi="Palatino Linotype"/>
          <w:sz w:val="20"/>
        </w:rPr>
        <w:t xml:space="preserve"> Note should be made that the primary outcome measure of reduced length of stay in all patients did not reach statistical significance. This may reflect patient characteristics such as frailty, or that the intervention was insufficiently intense to be able to influence outcome in this </w:t>
      </w:r>
      <w:r w:rsidR="003E5134">
        <w:rPr>
          <w:rFonts w:ascii="Palatino Linotype" w:hAnsi="Palatino Linotype"/>
          <w:sz w:val="20"/>
        </w:rPr>
        <w:t>study</w:t>
      </w:r>
      <w:r w:rsidR="00CF0956">
        <w:rPr>
          <w:rFonts w:ascii="Palatino Linotype" w:hAnsi="Palatino Linotype"/>
          <w:sz w:val="20"/>
        </w:rPr>
        <w:t xml:space="preserve">. </w:t>
      </w:r>
      <w:r w:rsidR="00B07E5E">
        <w:rPr>
          <w:rFonts w:ascii="Palatino Linotype" w:hAnsi="Palatino Linotype"/>
          <w:sz w:val="20"/>
        </w:rPr>
        <w:t>Furthermore, neither LOS nor complication frequency was associated with age</w:t>
      </w:r>
      <w:r w:rsidR="00DB0A8E">
        <w:rPr>
          <w:rFonts w:ascii="Palatino Linotype" w:hAnsi="Palatino Linotype"/>
          <w:sz w:val="20"/>
        </w:rPr>
        <w:t>,</w:t>
      </w:r>
      <w:r w:rsidR="00B07E5E">
        <w:rPr>
          <w:rFonts w:ascii="Palatino Linotype" w:hAnsi="Palatino Linotype"/>
          <w:sz w:val="20"/>
        </w:rPr>
        <w:t xml:space="preserve"> supporting the notion that age alone should not be used to inform surgical decision making. </w:t>
      </w:r>
    </w:p>
    <w:p w14:paraId="261EA035" w14:textId="77777777" w:rsidR="004D61E9" w:rsidRDefault="004D61E9" w:rsidP="00E70A5F">
      <w:pPr>
        <w:spacing w:line="240" w:lineRule="auto"/>
        <w:contextualSpacing/>
        <w:rPr>
          <w:rFonts w:ascii="Palatino Linotype" w:hAnsi="Palatino Linotype"/>
          <w:sz w:val="20"/>
        </w:rPr>
      </w:pPr>
    </w:p>
    <w:p w14:paraId="74A91FAE" w14:textId="2235678E" w:rsidR="00E70A5F" w:rsidRPr="00E70A5F" w:rsidRDefault="00CF0956" w:rsidP="00E70A5F">
      <w:pPr>
        <w:spacing w:line="240" w:lineRule="auto"/>
        <w:contextualSpacing/>
        <w:rPr>
          <w:rFonts w:ascii="Palatino Linotype" w:hAnsi="Palatino Linotype"/>
          <w:sz w:val="20"/>
        </w:rPr>
      </w:pPr>
      <w:r w:rsidRPr="00E70A5F">
        <w:rPr>
          <w:rFonts w:ascii="Palatino Linotype" w:hAnsi="Palatino Linotype"/>
          <w:sz w:val="20"/>
        </w:rPr>
        <w:t>The</w:t>
      </w:r>
      <w:r>
        <w:rPr>
          <w:rFonts w:ascii="Palatino Linotype" w:hAnsi="Palatino Linotype"/>
          <w:sz w:val="20"/>
        </w:rPr>
        <w:t xml:space="preserve"> </w:t>
      </w:r>
      <w:r w:rsidRPr="00E70A5F">
        <w:rPr>
          <w:rFonts w:ascii="Palatino Linotype" w:hAnsi="Palatino Linotype"/>
          <w:sz w:val="20"/>
        </w:rPr>
        <w:t>findings</w:t>
      </w:r>
      <w:r>
        <w:rPr>
          <w:rFonts w:ascii="Palatino Linotype" w:hAnsi="Palatino Linotype"/>
          <w:sz w:val="20"/>
        </w:rPr>
        <w:t xml:space="preserve"> of this study</w:t>
      </w:r>
      <w:r w:rsidR="00E70A5F" w:rsidRPr="00E70A5F">
        <w:rPr>
          <w:rFonts w:ascii="Palatino Linotype" w:hAnsi="Palatino Linotype"/>
          <w:sz w:val="20"/>
        </w:rPr>
        <w:t xml:space="preserve"> </w:t>
      </w:r>
      <w:r w:rsidR="00F654E7">
        <w:rPr>
          <w:rFonts w:ascii="Palatino Linotype" w:hAnsi="Palatino Linotype"/>
          <w:sz w:val="20"/>
        </w:rPr>
        <w:t>are similar to reports</w:t>
      </w:r>
      <w:r w:rsidR="00F654E7" w:rsidRPr="00E70A5F">
        <w:rPr>
          <w:rFonts w:ascii="Palatino Linotype" w:hAnsi="Palatino Linotype"/>
          <w:sz w:val="20"/>
        </w:rPr>
        <w:t xml:space="preserve"> </w:t>
      </w:r>
      <w:r w:rsidR="00E70A5F" w:rsidRPr="00E70A5F">
        <w:rPr>
          <w:rFonts w:ascii="Palatino Linotype" w:hAnsi="Palatino Linotype"/>
          <w:sz w:val="20"/>
        </w:rPr>
        <w:t>assessing the impact of geriatric liaison in orthopaedic, urological and gastrointestinal surgery</w:t>
      </w:r>
      <w:r w:rsidR="00F654E7">
        <w:rPr>
          <w:rFonts w:ascii="Palatino Linotype" w:hAnsi="Palatino Linotype"/>
          <w:sz w:val="20"/>
        </w:rPr>
        <w:t>. CGA is the uni</w:t>
      </w:r>
      <w:r w:rsidR="00D16EE7">
        <w:rPr>
          <w:rFonts w:ascii="Palatino Linotype" w:hAnsi="Palatino Linotype"/>
          <w:sz w:val="20"/>
        </w:rPr>
        <w:t>ted methodology behind these stu</w:t>
      </w:r>
      <w:r w:rsidR="00F654E7">
        <w:rPr>
          <w:rFonts w:ascii="Palatino Linotype" w:hAnsi="Palatino Linotype"/>
          <w:sz w:val="20"/>
        </w:rPr>
        <w:t>dies, and it has been proposed that clinical benefits may be achieved through</w:t>
      </w:r>
      <w:r w:rsidR="00E70A5F" w:rsidRPr="00E70A5F">
        <w:rPr>
          <w:rFonts w:ascii="Palatino Linotype" w:hAnsi="Palatino Linotype"/>
          <w:sz w:val="20"/>
        </w:rPr>
        <w:t xml:space="preserve"> prompt recognition and management of postoperative complications</w:t>
      </w:r>
      <w:r w:rsidR="00D16EE7">
        <w:rPr>
          <w:rFonts w:ascii="Palatino Linotype" w:hAnsi="Palatino Linotype"/>
          <w:sz w:val="20"/>
        </w:rPr>
        <w:t>,</w:t>
      </w:r>
      <w:r w:rsidR="00E70A5F" w:rsidRPr="00E70A5F">
        <w:rPr>
          <w:rFonts w:ascii="Palatino Linotype" w:hAnsi="Palatino Linotype"/>
          <w:sz w:val="20"/>
        </w:rPr>
        <w:t xml:space="preserve"> and a proactive approach to postoperative goal-setting and discharge planning</w:t>
      </w:r>
      <w:r w:rsidR="000F355C">
        <w:rPr>
          <w:rFonts w:ascii="Palatino Linotype" w:hAnsi="Palatino Linotype"/>
          <w:sz w:val="20"/>
        </w:rPr>
        <w:t xml:space="preserve"> [</w:t>
      </w:r>
      <w:r w:rsidR="00396C41">
        <w:rPr>
          <w:rFonts w:ascii="Palatino Linotype" w:hAnsi="Palatino Linotype"/>
          <w:sz w:val="20"/>
        </w:rPr>
        <w:t>10</w:t>
      </w:r>
      <w:r w:rsidR="000F355C">
        <w:rPr>
          <w:rFonts w:ascii="Palatino Linotype" w:hAnsi="Palatino Linotype"/>
          <w:sz w:val="20"/>
        </w:rPr>
        <w:t>,1</w:t>
      </w:r>
      <w:r w:rsidR="00396C41">
        <w:rPr>
          <w:rFonts w:ascii="Palatino Linotype" w:hAnsi="Palatino Linotype"/>
          <w:sz w:val="20"/>
        </w:rPr>
        <w:t>2</w:t>
      </w:r>
      <w:r w:rsidR="000F355C">
        <w:rPr>
          <w:rFonts w:ascii="Palatino Linotype" w:hAnsi="Palatino Linotype"/>
          <w:sz w:val="20"/>
        </w:rPr>
        <w:t>,1</w:t>
      </w:r>
      <w:r w:rsidR="00396C41">
        <w:rPr>
          <w:rFonts w:ascii="Palatino Linotype" w:hAnsi="Palatino Linotype"/>
          <w:sz w:val="20"/>
        </w:rPr>
        <w:t>7</w:t>
      </w:r>
      <w:r w:rsidR="000F355C">
        <w:rPr>
          <w:rFonts w:ascii="Palatino Linotype" w:hAnsi="Palatino Linotype"/>
          <w:sz w:val="20"/>
        </w:rPr>
        <w:t>]</w:t>
      </w:r>
      <w:r w:rsidR="00E70A5F" w:rsidRPr="00E70A5F">
        <w:rPr>
          <w:rFonts w:ascii="Palatino Linotype" w:hAnsi="Palatino Linotype"/>
          <w:sz w:val="20"/>
        </w:rPr>
        <w:t>.</w:t>
      </w:r>
      <w:r w:rsidR="00E70A5F" w:rsidRPr="00E70A5F">
        <w:rPr>
          <w:rFonts w:ascii="Palatino Linotype" w:hAnsi="Palatino Linotype"/>
          <w:sz w:val="20"/>
          <w:vertAlign w:val="superscript"/>
        </w:rPr>
        <w:t xml:space="preserve"> </w:t>
      </w:r>
      <w:r w:rsidR="00E70A5F" w:rsidRPr="00E70A5F">
        <w:rPr>
          <w:rFonts w:ascii="Palatino Linotype" w:hAnsi="Palatino Linotype"/>
          <w:sz w:val="20"/>
        </w:rPr>
        <w:t>As Partridge et al established in their randomised control</w:t>
      </w:r>
      <w:r w:rsidR="00A04EC8">
        <w:rPr>
          <w:rFonts w:ascii="Palatino Linotype" w:hAnsi="Palatino Linotype"/>
          <w:sz w:val="20"/>
        </w:rPr>
        <w:t>led</w:t>
      </w:r>
      <w:r w:rsidR="00E70A5F" w:rsidRPr="00E70A5F">
        <w:rPr>
          <w:rFonts w:ascii="Palatino Linotype" w:hAnsi="Palatino Linotype"/>
          <w:sz w:val="20"/>
        </w:rPr>
        <w:t xml:space="preserve"> trial concerning patients scheduled for vascular surgery, CGA can provide an opportunity to recognise previously undiagnosed pathology across several domains including delirium and comorbidity</w:t>
      </w:r>
      <w:r w:rsidR="000F355C">
        <w:rPr>
          <w:rFonts w:ascii="Palatino Linotype" w:hAnsi="Palatino Linotype"/>
          <w:sz w:val="20"/>
        </w:rPr>
        <w:t xml:space="preserve"> [</w:t>
      </w:r>
      <w:r w:rsidR="00396C41">
        <w:rPr>
          <w:rFonts w:ascii="Palatino Linotype" w:hAnsi="Palatino Linotype"/>
          <w:sz w:val="20"/>
        </w:rPr>
        <w:t>11</w:t>
      </w:r>
      <w:r w:rsidR="000F355C">
        <w:rPr>
          <w:rFonts w:ascii="Palatino Linotype" w:hAnsi="Palatino Linotype"/>
          <w:sz w:val="20"/>
        </w:rPr>
        <w:t>]</w:t>
      </w:r>
      <w:r w:rsidR="00E70A5F" w:rsidRPr="00E70A5F">
        <w:rPr>
          <w:rFonts w:ascii="Palatino Linotype" w:hAnsi="Palatino Linotype"/>
          <w:sz w:val="20"/>
        </w:rPr>
        <w:t xml:space="preserve">. </w:t>
      </w:r>
    </w:p>
    <w:p w14:paraId="17313A8B" w14:textId="77777777" w:rsidR="00E70A5F" w:rsidRPr="00E70A5F" w:rsidRDefault="00E70A5F" w:rsidP="00E70A5F">
      <w:pPr>
        <w:spacing w:line="240" w:lineRule="auto"/>
        <w:contextualSpacing/>
        <w:rPr>
          <w:rFonts w:ascii="Palatino Linotype" w:hAnsi="Palatino Linotype"/>
          <w:sz w:val="20"/>
        </w:rPr>
      </w:pPr>
    </w:p>
    <w:p w14:paraId="569FA25D" w14:textId="589804CC" w:rsidR="00E70A5F" w:rsidRPr="00E70A5F" w:rsidRDefault="00E70A5F" w:rsidP="00E70A5F">
      <w:pPr>
        <w:spacing w:line="240" w:lineRule="auto"/>
        <w:contextualSpacing/>
        <w:rPr>
          <w:rFonts w:ascii="Palatino Linotype" w:hAnsi="Palatino Linotype"/>
          <w:sz w:val="20"/>
        </w:rPr>
      </w:pPr>
      <w:r w:rsidRPr="00E70A5F">
        <w:rPr>
          <w:rFonts w:ascii="Palatino Linotype" w:hAnsi="Palatino Linotype"/>
          <w:sz w:val="20"/>
        </w:rPr>
        <w:t xml:space="preserve">This study included all patients aged 65 years and older admitted for one or more nights; </w:t>
      </w:r>
      <w:r w:rsidR="003E5134">
        <w:rPr>
          <w:rFonts w:ascii="Palatino Linotype" w:hAnsi="Palatino Linotype"/>
          <w:sz w:val="20"/>
        </w:rPr>
        <w:t xml:space="preserve">this </w:t>
      </w:r>
      <w:r w:rsidRPr="00E70A5F">
        <w:rPr>
          <w:rFonts w:ascii="Palatino Linotype" w:hAnsi="Palatino Linotype"/>
          <w:sz w:val="20"/>
        </w:rPr>
        <w:t>enhances the generalisability of our results</w:t>
      </w:r>
      <w:r w:rsidR="00D16EE7">
        <w:rPr>
          <w:rFonts w:ascii="Palatino Linotype" w:hAnsi="Palatino Linotype"/>
          <w:sz w:val="20"/>
        </w:rPr>
        <w:t>.</w:t>
      </w:r>
      <w:r w:rsidRPr="00E70A5F">
        <w:rPr>
          <w:rFonts w:ascii="Palatino Linotype" w:hAnsi="Palatino Linotype"/>
          <w:sz w:val="20"/>
        </w:rPr>
        <w:t xml:space="preserve"> Few demographic differences were seen between the pre-intervention and post-intervention groups and none reached statistical significance. Notably, the potential benefits of length of stay reduction were not offset by increased readmission rates. </w:t>
      </w:r>
      <w:r w:rsidR="00D16EE7">
        <w:rPr>
          <w:rFonts w:ascii="Palatino Linotype" w:hAnsi="Palatino Linotype"/>
          <w:sz w:val="20"/>
        </w:rPr>
        <w:t xml:space="preserve">However, note should be made that the average CFS frailty score in both groups </w:t>
      </w:r>
      <w:r w:rsidR="00CF0956">
        <w:rPr>
          <w:rFonts w:ascii="Palatino Linotype" w:hAnsi="Palatino Linotype"/>
          <w:sz w:val="20"/>
        </w:rPr>
        <w:t xml:space="preserve">was </w:t>
      </w:r>
      <w:r w:rsidR="003E5134">
        <w:rPr>
          <w:rFonts w:ascii="Palatino Linotype" w:hAnsi="Palatino Linotype"/>
          <w:sz w:val="20"/>
        </w:rPr>
        <w:t xml:space="preserve">respectively </w:t>
      </w:r>
      <w:r w:rsidR="00D16EE7">
        <w:rPr>
          <w:rFonts w:ascii="Palatino Linotype" w:hAnsi="Palatino Linotype"/>
          <w:sz w:val="20"/>
        </w:rPr>
        <w:t xml:space="preserve">4.08 and 4.27. A typical threshold of CFS </w:t>
      </w:r>
      <w:r w:rsidR="00C610F3">
        <w:rPr>
          <w:rFonts w:ascii="Palatino Linotype" w:hAnsi="Palatino Linotype"/>
          <w:sz w:val="20"/>
        </w:rPr>
        <w:t>≥</w:t>
      </w:r>
      <w:r w:rsidR="00D16EE7">
        <w:rPr>
          <w:rFonts w:ascii="Palatino Linotype" w:hAnsi="Palatino Linotype"/>
          <w:sz w:val="20"/>
        </w:rPr>
        <w:t>5 is accepted to indicate frailty, and it is therefore possible that many patients in our study were insufficiently frail to benefit from CGA</w:t>
      </w:r>
      <w:r w:rsidR="00D16EE7" w:rsidRPr="00E70A5F">
        <w:rPr>
          <w:rFonts w:ascii="Palatino Linotype" w:hAnsi="Palatino Linotype"/>
          <w:sz w:val="20"/>
        </w:rPr>
        <w:t>.</w:t>
      </w:r>
      <w:r w:rsidR="00CF0956">
        <w:rPr>
          <w:rFonts w:ascii="Palatino Linotype" w:hAnsi="Palatino Linotype"/>
          <w:sz w:val="20"/>
        </w:rPr>
        <w:t xml:space="preserve"> </w:t>
      </w:r>
      <w:r w:rsidR="00D16EE7">
        <w:rPr>
          <w:rFonts w:ascii="Palatino Linotype" w:hAnsi="Palatino Linotype"/>
          <w:sz w:val="20"/>
        </w:rPr>
        <w:t>This may explain why trend reductions not reaching statistical significance were seen in the primary outcome measures, and only found in sub-group analysis.</w:t>
      </w:r>
      <w:r w:rsidR="00766BC0">
        <w:rPr>
          <w:rFonts w:ascii="Palatino Linotype" w:hAnsi="Palatino Linotype"/>
          <w:sz w:val="20"/>
        </w:rPr>
        <w:t xml:space="preserve"> </w:t>
      </w:r>
    </w:p>
    <w:p w14:paraId="4524A8A5" w14:textId="77777777" w:rsidR="00E70A5F" w:rsidRPr="00E70A5F" w:rsidRDefault="00E70A5F" w:rsidP="00E70A5F">
      <w:pPr>
        <w:spacing w:line="240" w:lineRule="auto"/>
        <w:contextualSpacing/>
        <w:rPr>
          <w:rFonts w:ascii="Palatino Linotype" w:hAnsi="Palatino Linotype"/>
          <w:sz w:val="20"/>
        </w:rPr>
      </w:pPr>
    </w:p>
    <w:p w14:paraId="2A669A22" w14:textId="2013A830" w:rsidR="00E70A5F" w:rsidRPr="00E70A5F" w:rsidRDefault="00D16EE7" w:rsidP="00E70A5F">
      <w:pPr>
        <w:spacing w:line="240" w:lineRule="auto"/>
        <w:contextualSpacing/>
        <w:rPr>
          <w:rFonts w:ascii="Palatino Linotype" w:hAnsi="Palatino Linotype"/>
          <w:sz w:val="20"/>
        </w:rPr>
      </w:pPr>
      <w:r>
        <w:rPr>
          <w:rFonts w:ascii="Palatino Linotype" w:hAnsi="Palatino Linotype"/>
          <w:sz w:val="20"/>
        </w:rPr>
        <w:t>Furthermore,</w:t>
      </w:r>
      <w:r w:rsidR="00E70A5F" w:rsidRPr="00E70A5F">
        <w:rPr>
          <w:rFonts w:ascii="Palatino Linotype" w:hAnsi="Palatino Linotype"/>
          <w:sz w:val="20"/>
        </w:rPr>
        <w:t xml:space="preserve"> th</w:t>
      </w:r>
      <w:r w:rsidR="003E5134">
        <w:rPr>
          <w:rFonts w:ascii="Palatino Linotype" w:hAnsi="Palatino Linotype"/>
          <w:sz w:val="20"/>
        </w:rPr>
        <w:t>is study has</w:t>
      </w:r>
      <w:r w:rsidR="00E70A5F" w:rsidRPr="00E70A5F">
        <w:rPr>
          <w:rFonts w:ascii="Palatino Linotype" w:hAnsi="Palatino Linotype"/>
          <w:sz w:val="20"/>
        </w:rPr>
        <w:t xml:space="preserve"> important limitations</w:t>
      </w:r>
      <w:r w:rsidR="003E5134">
        <w:rPr>
          <w:rFonts w:ascii="Palatino Linotype" w:hAnsi="Palatino Linotype"/>
          <w:sz w:val="20"/>
        </w:rPr>
        <w:t xml:space="preserve"> which may have introduced uncontrolled bias</w:t>
      </w:r>
      <w:r w:rsidR="00E70A5F" w:rsidRPr="00E70A5F">
        <w:rPr>
          <w:rFonts w:ascii="Palatino Linotype" w:hAnsi="Palatino Linotype"/>
          <w:sz w:val="20"/>
        </w:rPr>
        <w:t>. These include retrospective and single</w:t>
      </w:r>
      <w:r>
        <w:rPr>
          <w:rFonts w:ascii="Palatino Linotype" w:hAnsi="Palatino Linotype"/>
          <w:sz w:val="20"/>
        </w:rPr>
        <w:t>-</w:t>
      </w:r>
      <w:r w:rsidR="00E70A5F" w:rsidRPr="00E70A5F">
        <w:rPr>
          <w:rFonts w:ascii="Palatino Linotype" w:hAnsi="Palatino Linotype"/>
          <w:sz w:val="20"/>
        </w:rPr>
        <w:t>centre</w:t>
      </w:r>
      <w:r w:rsidR="003E5134" w:rsidRPr="003E5134">
        <w:rPr>
          <w:rFonts w:ascii="Palatino Linotype" w:hAnsi="Palatino Linotype"/>
          <w:sz w:val="20"/>
        </w:rPr>
        <w:t xml:space="preserve"> </w:t>
      </w:r>
      <w:r w:rsidR="003E5134" w:rsidRPr="00E70A5F">
        <w:rPr>
          <w:rFonts w:ascii="Palatino Linotype" w:hAnsi="Palatino Linotype"/>
          <w:sz w:val="20"/>
        </w:rPr>
        <w:t>study design</w:t>
      </w:r>
      <w:r w:rsidR="003E5134">
        <w:rPr>
          <w:rFonts w:ascii="Palatino Linotype" w:hAnsi="Palatino Linotype"/>
          <w:sz w:val="20"/>
        </w:rPr>
        <w:t xml:space="preserve">, where data extraction from case notes </w:t>
      </w:r>
      <w:r w:rsidR="003E5134">
        <w:rPr>
          <w:rFonts w:ascii="Palatino Linotype" w:hAnsi="Palatino Linotype"/>
          <w:sz w:val="20"/>
        </w:rPr>
        <w:lastRenderedPageBreak/>
        <w:t xml:space="preserve">was performed by in part by clinicians who participated in clinical reviews. Furthermore, there was </w:t>
      </w:r>
      <w:r w:rsidR="00E70A5F" w:rsidRPr="00E70A5F">
        <w:rPr>
          <w:rFonts w:ascii="Palatino Linotype" w:hAnsi="Palatino Linotype"/>
          <w:sz w:val="20"/>
        </w:rPr>
        <w:t xml:space="preserve">a focus on service development </w:t>
      </w:r>
      <w:r w:rsidR="003E5134">
        <w:rPr>
          <w:rFonts w:ascii="Palatino Linotype" w:hAnsi="Palatino Linotype"/>
          <w:sz w:val="20"/>
        </w:rPr>
        <w:t xml:space="preserve">with </w:t>
      </w:r>
      <w:r w:rsidR="00E70A5F" w:rsidRPr="00E70A5F">
        <w:rPr>
          <w:rFonts w:ascii="Palatino Linotype" w:hAnsi="Palatino Linotype"/>
          <w:sz w:val="20"/>
        </w:rPr>
        <w:t xml:space="preserve">reliance on clinical records to capture clinical details. To minimise </w:t>
      </w:r>
      <w:r w:rsidR="00115AE0">
        <w:rPr>
          <w:rFonts w:ascii="Palatino Linotype" w:hAnsi="Palatino Linotype"/>
          <w:sz w:val="20"/>
        </w:rPr>
        <w:t>the risk of incomplete data</w:t>
      </w:r>
      <w:r w:rsidR="00E70A5F" w:rsidRPr="00E70A5F">
        <w:rPr>
          <w:rFonts w:ascii="Palatino Linotype" w:hAnsi="Palatino Linotype"/>
          <w:sz w:val="20"/>
        </w:rPr>
        <w:t>, electronic records such as discharge letters were cross-referenced with the clinical notes to enhance accuracy. It was noted that discharge letters did not often comprehensively summarise key medical issues</w:t>
      </w:r>
      <w:r>
        <w:rPr>
          <w:rFonts w:ascii="Palatino Linotype" w:hAnsi="Palatino Linotype"/>
          <w:sz w:val="20"/>
        </w:rPr>
        <w:t>, potentially leading to underreporting of complications</w:t>
      </w:r>
      <w:r w:rsidR="00E70A5F" w:rsidRPr="00E70A5F">
        <w:rPr>
          <w:rFonts w:ascii="Palatino Linotype" w:hAnsi="Palatino Linotype"/>
          <w:sz w:val="20"/>
        </w:rPr>
        <w:t xml:space="preserve">. Another limitation was that the service was delivered during normal working hours (0800-1700, Monday to Friday) and therefore results must be interpreted with the understanding that outside of these hours, a reactive method was adopted which was reliant on acute services such </w:t>
      </w:r>
      <w:r w:rsidR="003E5134">
        <w:rPr>
          <w:rFonts w:ascii="Palatino Linotype" w:hAnsi="Palatino Linotype"/>
          <w:sz w:val="20"/>
        </w:rPr>
        <w:t>ad hoc referral to</w:t>
      </w:r>
      <w:r w:rsidR="00E70A5F" w:rsidRPr="00E70A5F">
        <w:rPr>
          <w:rFonts w:ascii="Palatino Linotype" w:hAnsi="Palatino Linotype"/>
          <w:sz w:val="20"/>
        </w:rPr>
        <w:t xml:space="preserve"> the </w:t>
      </w:r>
      <w:r w:rsidR="003E5134">
        <w:rPr>
          <w:rFonts w:ascii="Palatino Linotype" w:hAnsi="Palatino Linotype"/>
          <w:sz w:val="20"/>
        </w:rPr>
        <w:t xml:space="preserve">duty </w:t>
      </w:r>
      <w:r w:rsidR="00E70A5F" w:rsidRPr="00E70A5F">
        <w:rPr>
          <w:rFonts w:ascii="Palatino Linotype" w:hAnsi="Palatino Linotype"/>
          <w:sz w:val="20"/>
        </w:rPr>
        <w:t xml:space="preserve">medical registrar. </w:t>
      </w:r>
    </w:p>
    <w:p w14:paraId="04A4863E" w14:textId="77777777" w:rsidR="00927E4C" w:rsidRPr="00927E4C" w:rsidRDefault="00927E4C" w:rsidP="00927E4C">
      <w:pPr>
        <w:pStyle w:val="MDPI31text"/>
        <w:spacing w:line="240" w:lineRule="auto"/>
        <w:ind w:firstLine="0"/>
        <w:contextualSpacing/>
        <w:rPr>
          <w:color w:val="FF0000"/>
        </w:rPr>
      </w:pPr>
    </w:p>
    <w:p w14:paraId="7824E9A4" w14:textId="77777777" w:rsidR="007D4A75" w:rsidRPr="00497E98" w:rsidRDefault="007D4A75" w:rsidP="00380B5B">
      <w:pPr>
        <w:pStyle w:val="MDPI21heading1"/>
        <w:spacing w:line="240" w:lineRule="auto"/>
        <w:contextualSpacing/>
      </w:pPr>
      <w:r>
        <w:t>5. Conclusions</w:t>
      </w:r>
    </w:p>
    <w:p w14:paraId="748E0FB6" w14:textId="00D66684" w:rsidR="00AF4015" w:rsidRPr="00AF4015" w:rsidRDefault="00AF4015" w:rsidP="00AF4015">
      <w:pPr>
        <w:spacing w:line="240" w:lineRule="auto"/>
        <w:contextualSpacing/>
        <w:rPr>
          <w:rFonts w:ascii="Palatino Linotype" w:hAnsi="Palatino Linotype"/>
          <w:sz w:val="20"/>
        </w:rPr>
      </w:pPr>
      <w:r w:rsidRPr="00AF4015">
        <w:rPr>
          <w:rFonts w:ascii="Palatino Linotype" w:hAnsi="Palatino Linotype"/>
          <w:sz w:val="20"/>
        </w:rPr>
        <w:t xml:space="preserve">In conclusion, these data indicate that existing RCT results demonstrating the benefits of proactive medical liaison for complex older patients undergoing vascular surgery may be </w:t>
      </w:r>
      <w:r w:rsidR="00D16EE7">
        <w:rPr>
          <w:rFonts w:ascii="Palatino Linotype" w:hAnsi="Palatino Linotype"/>
          <w:sz w:val="20"/>
        </w:rPr>
        <w:t xml:space="preserve">partially </w:t>
      </w:r>
      <w:r w:rsidRPr="00AF4015">
        <w:rPr>
          <w:rFonts w:ascii="Palatino Linotype" w:hAnsi="Palatino Linotype"/>
          <w:sz w:val="20"/>
        </w:rPr>
        <w:t>reproduced in a service development setting</w:t>
      </w:r>
      <w:r w:rsidR="00115AE0">
        <w:rPr>
          <w:rFonts w:ascii="Palatino Linotype" w:hAnsi="Palatino Linotype"/>
          <w:sz w:val="20"/>
        </w:rPr>
        <w:t xml:space="preserve"> with modest resource allocation</w:t>
      </w:r>
      <w:r w:rsidR="00D16EE7">
        <w:rPr>
          <w:rFonts w:ascii="Palatino Linotype" w:hAnsi="Palatino Linotype"/>
          <w:sz w:val="20"/>
        </w:rPr>
        <w:t>. The study indicates that daily medical liaison</w:t>
      </w:r>
      <w:r w:rsidR="00B07E5E">
        <w:rPr>
          <w:rFonts w:ascii="Palatino Linotype" w:hAnsi="Palatino Linotype"/>
          <w:sz w:val="20"/>
        </w:rPr>
        <w:t xml:space="preserve"> </w:t>
      </w:r>
      <w:r w:rsidRPr="00AF4015">
        <w:rPr>
          <w:rFonts w:ascii="Palatino Linotype" w:hAnsi="Palatino Linotype"/>
          <w:sz w:val="20"/>
        </w:rPr>
        <w:t xml:space="preserve">can generate </w:t>
      </w:r>
      <w:r w:rsidR="00D16EE7">
        <w:rPr>
          <w:rFonts w:ascii="Palatino Linotype" w:hAnsi="Palatino Linotype"/>
          <w:sz w:val="20"/>
        </w:rPr>
        <w:t xml:space="preserve">some clinically significant </w:t>
      </w:r>
      <w:r w:rsidRPr="00AF4015">
        <w:rPr>
          <w:rFonts w:ascii="Palatino Linotype" w:hAnsi="Palatino Linotype"/>
          <w:sz w:val="20"/>
        </w:rPr>
        <w:t>reductions in length of stay, complication frequency and readmission rates in selected patients. These effects reached statistical significance in patients admitted acutely and in those with longer lengths of stay. These clinical and economic advantages</w:t>
      </w:r>
      <w:r w:rsidR="00D16EE7">
        <w:rPr>
          <w:rFonts w:ascii="Palatino Linotype" w:hAnsi="Palatino Linotype"/>
          <w:sz w:val="20"/>
        </w:rPr>
        <w:t xml:space="preserve"> for selected patients </w:t>
      </w:r>
      <w:r w:rsidRPr="00AF4015">
        <w:rPr>
          <w:rFonts w:ascii="Palatino Linotype" w:hAnsi="Palatino Linotype"/>
          <w:sz w:val="20"/>
        </w:rPr>
        <w:t xml:space="preserve">indicate that long-term investment in medical liaison for patients admitted </w:t>
      </w:r>
      <w:r w:rsidR="00D16EE7">
        <w:rPr>
          <w:rFonts w:ascii="Palatino Linotype" w:hAnsi="Palatino Linotype"/>
          <w:sz w:val="20"/>
        </w:rPr>
        <w:t xml:space="preserve">acutely </w:t>
      </w:r>
      <w:r w:rsidRPr="00AF4015">
        <w:rPr>
          <w:rFonts w:ascii="Palatino Linotype" w:hAnsi="Palatino Linotype"/>
          <w:sz w:val="20"/>
        </w:rPr>
        <w:t>under vascular surgery</w:t>
      </w:r>
      <w:r w:rsidR="00D16EE7">
        <w:rPr>
          <w:rFonts w:ascii="Palatino Linotype" w:hAnsi="Palatino Linotype"/>
          <w:sz w:val="20"/>
        </w:rPr>
        <w:t>, or those sustaining long LOS,</w:t>
      </w:r>
      <w:r w:rsidRPr="00AF4015">
        <w:rPr>
          <w:rFonts w:ascii="Palatino Linotype" w:hAnsi="Palatino Linotype"/>
          <w:sz w:val="20"/>
        </w:rPr>
        <w:t xml:space="preserve"> may be justified</w:t>
      </w:r>
      <w:r w:rsidR="008A5ECB">
        <w:rPr>
          <w:rFonts w:ascii="Palatino Linotype" w:hAnsi="Palatino Linotype"/>
          <w:sz w:val="20"/>
        </w:rPr>
        <w:t xml:space="preserve"> [1</w:t>
      </w:r>
      <w:r w:rsidR="00396C41">
        <w:rPr>
          <w:rFonts w:ascii="Palatino Linotype" w:hAnsi="Palatino Linotype"/>
          <w:sz w:val="20"/>
        </w:rPr>
        <w:t>2</w:t>
      </w:r>
      <w:r w:rsidR="008A5ECB">
        <w:rPr>
          <w:rFonts w:ascii="Palatino Linotype" w:hAnsi="Palatino Linotype"/>
          <w:sz w:val="20"/>
        </w:rPr>
        <w:t>]</w:t>
      </w:r>
      <w:r w:rsidRPr="00AF4015">
        <w:rPr>
          <w:rFonts w:ascii="Palatino Linotype" w:hAnsi="Palatino Linotype"/>
          <w:sz w:val="20"/>
        </w:rPr>
        <w:t xml:space="preserve">. </w:t>
      </w:r>
      <w:r w:rsidR="00D16EE7">
        <w:rPr>
          <w:rFonts w:ascii="Palatino Linotype" w:hAnsi="Palatino Linotype"/>
          <w:sz w:val="20"/>
        </w:rPr>
        <w:t>Where medical liaison resource is limited, we advocate deployment of</w:t>
      </w:r>
      <w:r w:rsidR="00115AE0">
        <w:rPr>
          <w:rFonts w:ascii="Palatino Linotype" w:hAnsi="Palatino Linotype"/>
          <w:sz w:val="20"/>
        </w:rPr>
        <w:t xml:space="preserve"> available</w:t>
      </w:r>
      <w:r w:rsidR="00D16EE7">
        <w:rPr>
          <w:rFonts w:ascii="Palatino Linotype" w:hAnsi="Palatino Linotype"/>
          <w:sz w:val="20"/>
        </w:rPr>
        <w:t xml:space="preserve"> resource to target vascular surgery patients with long LOS and those admitted </w:t>
      </w:r>
      <w:r w:rsidR="00B07E5E">
        <w:rPr>
          <w:rFonts w:ascii="Palatino Linotype" w:hAnsi="Palatino Linotype"/>
          <w:sz w:val="20"/>
        </w:rPr>
        <w:t>w</w:t>
      </w:r>
      <w:r w:rsidR="00D16EE7">
        <w:rPr>
          <w:rFonts w:ascii="Palatino Linotype" w:hAnsi="Palatino Linotype"/>
          <w:sz w:val="20"/>
        </w:rPr>
        <w:t xml:space="preserve">ith acute vascular pathology. </w:t>
      </w:r>
    </w:p>
    <w:bookmarkEnd w:id="2"/>
    <w:p w14:paraId="55E1EBA7" w14:textId="77777777" w:rsidR="00AF4015" w:rsidRPr="00E70A5F" w:rsidRDefault="00AF4015" w:rsidP="00AF4015">
      <w:pPr>
        <w:pStyle w:val="MDPI31text"/>
        <w:spacing w:line="240" w:lineRule="auto"/>
        <w:ind w:firstLine="0"/>
        <w:contextualSpacing/>
        <w:rPr>
          <w:color w:val="FF0000"/>
        </w:rPr>
      </w:pPr>
    </w:p>
    <w:p w14:paraId="00FFF2D7" w14:textId="55CED134" w:rsidR="0068160F" w:rsidRPr="00497E98" w:rsidRDefault="0068160F" w:rsidP="00380B5B">
      <w:pPr>
        <w:pStyle w:val="MDPI61Supplementary"/>
        <w:spacing w:line="240" w:lineRule="auto"/>
        <w:contextualSpacing/>
      </w:pPr>
      <w:r w:rsidRPr="00497E98">
        <w:rPr>
          <w:b/>
        </w:rPr>
        <w:t>Supplementary Materials:</w:t>
      </w:r>
      <w:r w:rsidRPr="00497E98">
        <w:t xml:space="preserve"> </w:t>
      </w:r>
      <w:r w:rsidR="00AB0B06">
        <w:t>nil</w:t>
      </w:r>
      <w:r w:rsidR="00DE2BDA">
        <w:t>.</w:t>
      </w:r>
    </w:p>
    <w:p w14:paraId="18AD6AD2" w14:textId="4C754D9F" w:rsidR="006D399E" w:rsidRDefault="0047776E" w:rsidP="00380B5B">
      <w:pPr>
        <w:pStyle w:val="MDPI62Acknowledgments"/>
        <w:spacing w:line="240" w:lineRule="auto"/>
        <w:contextualSpacing/>
      </w:pPr>
      <w:r>
        <w:rPr>
          <w:b/>
        </w:rPr>
        <w:t xml:space="preserve">Author Contributions: </w:t>
      </w:r>
      <w:r w:rsidR="003C168D" w:rsidRPr="0047776E">
        <w:t>Conceptualization</w:t>
      </w:r>
      <w:r w:rsidRPr="0047776E">
        <w:t xml:space="preserve">, </w:t>
      </w:r>
      <w:r w:rsidR="00AB0B06">
        <w:t>D</w:t>
      </w:r>
      <w:r w:rsidRPr="0047776E">
        <w:t>.</w:t>
      </w:r>
      <w:r w:rsidR="00AB0B06">
        <w:t>S</w:t>
      </w:r>
      <w:r w:rsidRPr="0047776E">
        <w:t>.</w:t>
      </w:r>
      <w:r w:rsidR="000C31A6">
        <w:t>;</w:t>
      </w:r>
      <w:r w:rsidRPr="0047776E">
        <w:t xml:space="preserve"> </w:t>
      </w:r>
      <w:r w:rsidR="000C31A6">
        <w:t>R</w:t>
      </w:r>
      <w:r w:rsidRPr="0047776E">
        <w:t>.</w:t>
      </w:r>
      <w:r w:rsidR="000C31A6">
        <w:t>W</w:t>
      </w:r>
      <w:r w:rsidRPr="0047776E">
        <w:t>.</w:t>
      </w:r>
      <w:r w:rsidR="000C31A6">
        <w:t xml:space="preserve"> and M.D.</w:t>
      </w:r>
      <w:r w:rsidRPr="0047776E">
        <w:t xml:space="preserve"> </w:t>
      </w:r>
      <w:r w:rsidR="006D399E">
        <w:t>M</w:t>
      </w:r>
      <w:r w:rsidRPr="0047776E">
        <w:t xml:space="preserve">ethodology, </w:t>
      </w:r>
      <w:r w:rsidR="000C31A6">
        <w:t>D</w:t>
      </w:r>
      <w:r w:rsidRPr="0047776E">
        <w:t>.</w:t>
      </w:r>
      <w:r w:rsidR="000C31A6">
        <w:t>S</w:t>
      </w:r>
      <w:r w:rsidRPr="0047776E">
        <w:t>.;</w:t>
      </w:r>
      <w:r w:rsidR="000C31A6">
        <w:t xml:space="preserve"> R.W. and M.D.</w:t>
      </w:r>
      <w:r w:rsidR="00316E88">
        <w:t xml:space="preserve"> </w:t>
      </w:r>
      <w:r w:rsidR="006D399E">
        <w:t>F</w:t>
      </w:r>
      <w:r w:rsidRPr="0047776E">
        <w:t xml:space="preserve">ormal analysis, </w:t>
      </w:r>
      <w:r w:rsidR="00B74005">
        <w:t>P</w:t>
      </w:r>
      <w:r w:rsidRPr="0047776E">
        <w:t>.</w:t>
      </w:r>
      <w:r w:rsidR="00B74005">
        <w:t>W</w:t>
      </w:r>
      <w:r w:rsidRPr="0047776E">
        <w:t xml:space="preserve">. </w:t>
      </w:r>
      <w:r w:rsidR="006D399E">
        <w:t>I</w:t>
      </w:r>
      <w:r w:rsidRPr="0047776E">
        <w:t xml:space="preserve">nvestigation, </w:t>
      </w:r>
      <w:r w:rsidR="00B74005">
        <w:t>D</w:t>
      </w:r>
      <w:r w:rsidRPr="0047776E">
        <w:t>.</w:t>
      </w:r>
      <w:r w:rsidR="00B74005">
        <w:t>S</w:t>
      </w:r>
      <w:r w:rsidRPr="0047776E">
        <w:t>.;</w:t>
      </w:r>
      <w:r w:rsidR="00B74005">
        <w:t xml:space="preserve"> E.M</w:t>
      </w:r>
      <w:r w:rsidR="001A1D94">
        <w:t>.;</w:t>
      </w:r>
      <w:r w:rsidR="00C154DC">
        <w:t xml:space="preserve"> </w:t>
      </w:r>
      <w:r w:rsidR="001A1D94">
        <w:t>E.F.;</w:t>
      </w:r>
      <w:r w:rsidR="00C154DC">
        <w:t xml:space="preserve"> </w:t>
      </w:r>
      <w:r w:rsidR="001A1D94">
        <w:t>W.B.; A.C. and R.C.</w:t>
      </w:r>
      <w:r w:rsidR="0086085E">
        <w:t xml:space="preserve"> </w:t>
      </w:r>
      <w:r w:rsidR="006D399E">
        <w:t>D</w:t>
      </w:r>
      <w:r w:rsidRPr="0047776E">
        <w:t xml:space="preserve">ata curation, </w:t>
      </w:r>
      <w:r w:rsidR="0086085E">
        <w:t>P</w:t>
      </w:r>
      <w:r w:rsidRPr="0047776E">
        <w:t>.</w:t>
      </w:r>
      <w:r w:rsidR="0086085E">
        <w:t>W</w:t>
      </w:r>
      <w:r w:rsidRPr="0047776E">
        <w:t xml:space="preserve">. </w:t>
      </w:r>
      <w:r w:rsidR="006D399E">
        <w:t>W</w:t>
      </w:r>
      <w:r w:rsidRPr="0047776E">
        <w:t xml:space="preserve">riting—original draft preparation, </w:t>
      </w:r>
      <w:r w:rsidR="001A1D94">
        <w:t>E</w:t>
      </w:r>
      <w:r w:rsidRPr="0047776E">
        <w:t>.</w:t>
      </w:r>
      <w:r w:rsidR="001A1D94">
        <w:t>M</w:t>
      </w:r>
      <w:r w:rsidRPr="0047776E">
        <w:t>.</w:t>
      </w:r>
      <w:r w:rsidR="0086085E">
        <w:t xml:space="preserve"> </w:t>
      </w:r>
      <w:r w:rsidR="006D399E">
        <w:t>W</w:t>
      </w:r>
      <w:r w:rsidRPr="0047776E">
        <w:t xml:space="preserve">riting—review and editing, </w:t>
      </w:r>
      <w:r w:rsidR="00DE2BDA">
        <w:t>E</w:t>
      </w:r>
      <w:r w:rsidRPr="0047776E">
        <w:t>.</w:t>
      </w:r>
      <w:r w:rsidR="00DE2BDA">
        <w:t>M</w:t>
      </w:r>
      <w:r w:rsidRPr="0047776E">
        <w:t>.;</w:t>
      </w:r>
      <w:r w:rsidR="00DE2BDA">
        <w:t xml:space="preserve"> D.S.; R.C.</w:t>
      </w:r>
      <w:r w:rsidRPr="0047776E">
        <w:t xml:space="preserve"> </w:t>
      </w:r>
      <w:r w:rsidR="006D399E">
        <w:t>S</w:t>
      </w:r>
      <w:r w:rsidRPr="0047776E">
        <w:t xml:space="preserve">upervision, </w:t>
      </w:r>
      <w:r w:rsidR="00DE2BDA">
        <w:t>D</w:t>
      </w:r>
      <w:r w:rsidRPr="0047776E">
        <w:t>.</w:t>
      </w:r>
      <w:r w:rsidR="00DE2BDA">
        <w:t>S</w:t>
      </w:r>
      <w:r w:rsidRPr="0047776E">
        <w:t xml:space="preserve">. </w:t>
      </w:r>
      <w:r w:rsidR="006D399E">
        <w:t>P</w:t>
      </w:r>
      <w:r w:rsidRPr="0047776E">
        <w:t xml:space="preserve">roject administration, </w:t>
      </w:r>
      <w:r w:rsidR="00DE2BDA">
        <w:t>D</w:t>
      </w:r>
      <w:r w:rsidRPr="0047776E">
        <w:t>.</w:t>
      </w:r>
      <w:r w:rsidR="00DE2BDA">
        <w:t>S</w:t>
      </w:r>
      <w:r w:rsidRPr="0047776E">
        <w:t>.</w:t>
      </w:r>
      <w:r w:rsidR="00DE2BDA">
        <w:t xml:space="preserve"> and E.M</w:t>
      </w:r>
      <w:r w:rsidR="0086085E">
        <w:t>.</w:t>
      </w:r>
      <w:r w:rsidRPr="0047776E">
        <w:t xml:space="preserve"> </w:t>
      </w:r>
      <w:r w:rsidR="00133BFD">
        <w:t xml:space="preserve"> </w:t>
      </w:r>
    </w:p>
    <w:p w14:paraId="7613CBEA" w14:textId="45F04714" w:rsidR="0047776E" w:rsidRPr="0047776E" w:rsidRDefault="00133BFD" w:rsidP="00380B5B">
      <w:pPr>
        <w:pStyle w:val="MDPI62Acknowledgments"/>
        <w:spacing w:line="240" w:lineRule="auto"/>
        <w:contextualSpacing/>
      </w:pPr>
      <w:r>
        <w:t>All authors have read and agreed to the published version of the manuscript.</w:t>
      </w:r>
    </w:p>
    <w:p w14:paraId="7082B77B" w14:textId="2C6A18FB" w:rsidR="00074BA2" w:rsidRPr="00074BA2" w:rsidRDefault="00074BA2" w:rsidP="00380B5B">
      <w:pPr>
        <w:pStyle w:val="MDPI62Acknowledgments"/>
        <w:spacing w:line="240" w:lineRule="auto"/>
        <w:contextualSpacing/>
      </w:pPr>
      <w:r>
        <w:rPr>
          <w:b/>
        </w:rPr>
        <w:t xml:space="preserve">Funding: </w:t>
      </w:r>
      <w:r w:rsidRPr="00074BA2">
        <w:t>This research received no external funding</w:t>
      </w:r>
      <w:r w:rsidR="00DE2BDA">
        <w:t>.</w:t>
      </w:r>
    </w:p>
    <w:p w14:paraId="61C5EF94" w14:textId="001FE910" w:rsidR="0068160F" w:rsidRPr="00D5082B" w:rsidRDefault="00D5082B" w:rsidP="00380B5B">
      <w:pPr>
        <w:pStyle w:val="MDPI62Acknowledgments"/>
        <w:spacing w:line="240" w:lineRule="auto"/>
        <w:contextualSpacing/>
      </w:pPr>
      <w:r>
        <w:rPr>
          <w:b/>
        </w:rPr>
        <w:t>Acknowledgments:</w:t>
      </w:r>
      <w:r w:rsidRPr="00D5082B">
        <w:t xml:space="preserve"> </w:t>
      </w:r>
      <w:r w:rsidR="001A5BF3">
        <w:t>nil</w:t>
      </w:r>
      <w:r w:rsidR="00DE2BDA">
        <w:t>.</w:t>
      </w:r>
    </w:p>
    <w:p w14:paraId="0184F163" w14:textId="181D7B37" w:rsidR="0068160F" w:rsidRDefault="0068160F" w:rsidP="00380B5B">
      <w:pPr>
        <w:pStyle w:val="MDPI64CoI"/>
        <w:spacing w:line="240" w:lineRule="auto"/>
        <w:contextualSpacing/>
      </w:pPr>
      <w:r w:rsidRPr="00497E98">
        <w:rPr>
          <w:b/>
        </w:rPr>
        <w:t>Conflicts of Interest:</w:t>
      </w:r>
      <w:r w:rsidRPr="00497E98">
        <w:t xml:space="preserve"> The authors declare no conflict of interest.</w:t>
      </w:r>
    </w:p>
    <w:p w14:paraId="544F1886" w14:textId="3A027CF0" w:rsidR="00C154DC" w:rsidRDefault="00C154DC" w:rsidP="00C154DC">
      <w:pPr>
        <w:pStyle w:val="MDPI31text"/>
        <w:spacing w:line="240" w:lineRule="auto"/>
        <w:ind w:firstLine="0"/>
        <w:contextualSpacing/>
        <w:rPr>
          <w:color w:val="FF0000"/>
        </w:rPr>
      </w:pPr>
    </w:p>
    <w:p w14:paraId="27C2E755" w14:textId="77777777" w:rsidR="007D4A75" w:rsidRPr="00497E98" w:rsidRDefault="007D4A75" w:rsidP="00380B5B">
      <w:pPr>
        <w:pStyle w:val="MDPI21heading1"/>
        <w:spacing w:line="240" w:lineRule="auto"/>
        <w:contextualSpacing/>
      </w:pPr>
      <w:r w:rsidRPr="00497E98">
        <w:t>References</w:t>
      </w:r>
    </w:p>
    <w:p w14:paraId="61F27479" w14:textId="77777777" w:rsidR="007D4A75" w:rsidRPr="00497E98" w:rsidRDefault="007D4A75" w:rsidP="006D399E">
      <w:pPr>
        <w:pStyle w:val="MDPI71References"/>
        <w:numPr>
          <w:ilvl w:val="0"/>
          <w:numId w:val="0"/>
        </w:numPr>
        <w:spacing w:line="240" w:lineRule="auto"/>
        <w:ind w:left="425" w:hanging="425"/>
        <w:contextualSpacing/>
      </w:pPr>
    </w:p>
    <w:p w14:paraId="07E34E82" w14:textId="2774DEC8" w:rsidR="0049527B" w:rsidRPr="002D1CF3" w:rsidRDefault="0049527B" w:rsidP="0049527B">
      <w:pPr>
        <w:pStyle w:val="ListParagraph"/>
        <w:ind w:left="0"/>
        <w:jc w:val="both"/>
        <w:rPr>
          <w:rFonts w:ascii="Palatino Linotype" w:hAnsi="Palatino Linotype"/>
          <w:sz w:val="20"/>
          <w:szCs w:val="20"/>
        </w:rPr>
      </w:pPr>
      <w:r w:rsidRPr="002D1CF3">
        <w:rPr>
          <w:rFonts w:ascii="Palatino Linotype" w:hAnsi="Palatino Linotype"/>
          <w:color w:val="000000"/>
          <w:sz w:val="20"/>
          <w:szCs w:val="20"/>
          <w:shd w:val="clear" w:color="auto" w:fill="FFFFFF"/>
        </w:rPr>
        <w:t>1. Etzioni, D., Liu, J. and O'Connell, J. Elderly patients in surgical workloads: a population-based analysis.</w:t>
      </w:r>
      <w:r w:rsidRPr="002D1CF3">
        <w:rPr>
          <w:rStyle w:val="apple-converted-space"/>
          <w:rFonts w:ascii="Palatino Linotype" w:hAnsi="Palatino Linotype"/>
          <w:color w:val="000000"/>
          <w:sz w:val="20"/>
          <w:szCs w:val="20"/>
          <w:shd w:val="clear" w:color="auto" w:fill="FFFFFF"/>
        </w:rPr>
        <w:t> </w:t>
      </w:r>
      <w:r w:rsidRPr="002D1CF3">
        <w:rPr>
          <w:rFonts w:ascii="Palatino Linotype" w:hAnsi="Palatino Linotype"/>
          <w:i/>
          <w:iCs/>
          <w:color w:val="000000"/>
          <w:sz w:val="20"/>
          <w:szCs w:val="20"/>
        </w:rPr>
        <w:t>Am Surg</w:t>
      </w:r>
      <w:proofErr w:type="gramStart"/>
      <w:r w:rsidRPr="002D1CF3">
        <w:rPr>
          <w:rFonts w:ascii="Palatino Linotype" w:hAnsi="Palatino Linotype"/>
          <w:color w:val="000000"/>
          <w:sz w:val="20"/>
          <w:szCs w:val="20"/>
        </w:rPr>
        <w:t>2019;69:</w:t>
      </w:r>
      <w:r w:rsidRPr="002D1CF3">
        <w:rPr>
          <w:rFonts w:ascii="Palatino Linotype" w:hAnsi="Palatino Linotype"/>
          <w:color w:val="000000"/>
          <w:sz w:val="20"/>
          <w:szCs w:val="20"/>
          <w:shd w:val="clear" w:color="auto" w:fill="FFFFFF"/>
        </w:rPr>
        <w:t>961</w:t>
      </w:r>
      <w:proofErr w:type="gramEnd"/>
      <w:r w:rsidRPr="002D1CF3">
        <w:rPr>
          <w:rFonts w:ascii="Palatino Linotype" w:hAnsi="Palatino Linotype"/>
          <w:color w:val="000000"/>
          <w:sz w:val="20"/>
          <w:szCs w:val="20"/>
          <w:shd w:val="clear" w:color="auto" w:fill="FFFFFF"/>
        </w:rPr>
        <w:t>-5.</w:t>
      </w:r>
    </w:p>
    <w:p w14:paraId="364782C1" w14:textId="219CBB28" w:rsidR="0049527B" w:rsidRPr="002D1CF3" w:rsidRDefault="0049527B" w:rsidP="0049527B">
      <w:pPr>
        <w:pStyle w:val="ListParagraph"/>
        <w:ind w:left="0"/>
        <w:jc w:val="both"/>
        <w:rPr>
          <w:rFonts w:ascii="Palatino Linotype" w:hAnsi="Palatino Linotype"/>
          <w:sz w:val="20"/>
          <w:szCs w:val="20"/>
        </w:rPr>
      </w:pPr>
      <w:r w:rsidRPr="002D1CF3">
        <w:rPr>
          <w:rFonts w:ascii="Palatino Linotype" w:hAnsi="Palatino Linotype"/>
          <w:color w:val="000000"/>
          <w:sz w:val="20"/>
          <w:szCs w:val="20"/>
          <w:shd w:val="clear" w:color="auto" w:fill="FFFFFF"/>
        </w:rPr>
        <w:t xml:space="preserve">2. Hamel, M., Henderson, W., </w:t>
      </w:r>
      <w:proofErr w:type="spellStart"/>
      <w:r w:rsidRPr="002D1CF3">
        <w:rPr>
          <w:rFonts w:ascii="Palatino Linotype" w:hAnsi="Palatino Linotype"/>
          <w:color w:val="000000"/>
          <w:sz w:val="20"/>
          <w:szCs w:val="20"/>
          <w:shd w:val="clear" w:color="auto" w:fill="FFFFFF"/>
        </w:rPr>
        <w:t>Khuri</w:t>
      </w:r>
      <w:proofErr w:type="spellEnd"/>
      <w:r w:rsidRPr="002D1CF3">
        <w:rPr>
          <w:rFonts w:ascii="Palatino Linotype" w:hAnsi="Palatino Linotype"/>
          <w:color w:val="000000"/>
          <w:sz w:val="20"/>
          <w:szCs w:val="20"/>
          <w:shd w:val="clear" w:color="auto" w:fill="FFFFFF"/>
        </w:rPr>
        <w:t>, S. et al. Surgical Outcomes for Patients Aged 80 and Older: Morbidity and Mortality from Major Noncardiac Surgery.</w:t>
      </w:r>
      <w:r w:rsidRPr="002D1CF3">
        <w:rPr>
          <w:rStyle w:val="apple-converted-space"/>
          <w:rFonts w:ascii="Palatino Linotype" w:hAnsi="Palatino Linotype"/>
          <w:color w:val="000000"/>
          <w:sz w:val="20"/>
          <w:szCs w:val="20"/>
          <w:shd w:val="clear" w:color="auto" w:fill="FFFFFF"/>
        </w:rPr>
        <w:t> </w:t>
      </w:r>
      <w:r w:rsidRPr="002D1CF3">
        <w:rPr>
          <w:rFonts w:ascii="Palatino Linotype" w:hAnsi="Palatino Linotype"/>
          <w:i/>
          <w:iCs/>
          <w:color w:val="000000"/>
          <w:sz w:val="20"/>
          <w:szCs w:val="20"/>
        </w:rPr>
        <w:t>Journal of the American Geriatrics Society</w:t>
      </w:r>
      <w:r w:rsidRPr="002D1CF3">
        <w:rPr>
          <w:rFonts w:ascii="Palatino Linotype" w:hAnsi="Palatino Linotype"/>
          <w:color w:val="000000"/>
          <w:sz w:val="20"/>
          <w:szCs w:val="20"/>
        </w:rPr>
        <w:t>2005;</w:t>
      </w:r>
      <w:r w:rsidRPr="002D1CF3">
        <w:rPr>
          <w:rFonts w:ascii="Palatino Linotype" w:hAnsi="Palatino Linotype"/>
          <w:color w:val="000000"/>
          <w:sz w:val="20"/>
          <w:szCs w:val="20"/>
          <w:shd w:val="clear" w:color="auto" w:fill="FFFFFF"/>
        </w:rPr>
        <w:t>53(3):424-429.</w:t>
      </w:r>
    </w:p>
    <w:p w14:paraId="7070026C" w14:textId="13F01D03" w:rsidR="0049527B" w:rsidRPr="002D1CF3" w:rsidRDefault="0049527B" w:rsidP="0049527B">
      <w:pPr>
        <w:pStyle w:val="ListParagraph"/>
        <w:ind w:left="0"/>
        <w:jc w:val="both"/>
        <w:rPr>
          <w:rFonts w:ascii="Palatino Linotype" w:hAnsi="Palatino Linotype"/>
          <w:color w:val="000000"/>
          <w:sz w:val="20"/>
          <w:szCs w:val="20"/>
          <w:shd w:val="clear" w:color="auto" w:fill="FFFFFF"/>
        </w:rPr>
      </w:pPr>
      <w:r w:rsidRPr="002D1CF3">
        <w:rPr>
          <w:rFonts w:ascii="Palatino Linotype" w:hAnsi="Palatino Linotype"/>
          <w:sz w:val="20"/>
          <w:szCs w:val="20"/>
        </w:rPr>
        <w:t xml:space="preserve">3. </w:t>
      </w:r>
      <w:proofErr w:type="spellStart"/>
      <w:r w:rsidRPr="002D1CF3">
        <w:rPr>
          <w:rFonts w:ascii="Palatino Linotype" w:hAnsi="Palatino Linotype"/>
          <w:color w:val="000000"/>
          <w:sz w:val="20"/>
          <w:szCs w:val="20"/>
          <w:shd w:val="clear" w:color="auto" w:fill="FFFFFF"/>
        </w:rPr>
        <w:t>Turrentine</w:t>
      </w:r>
      <w:proofErr w:type="spellEnd"/>
      <w:r w:rsidRPr="002D1CF3">
        <w:rPr>
          <w:rFonts w:ascii="Palatino Linotype" w:hAnsi="Palatino Linotype"/>
          <w:color w:val="000000"/>
          <w:sz w:val="20"/>
          <w:szCs w:val="20"/>
          <w:shd w:val="clear" w:color="auto" w:fill="FFFFFF"/>
        </w:rPr>
        <w:t>, F., Wang, H., Simpson, V. et al. Surgical risk factors, morbidity, and mortality in elderly patients.</w:t>
      </w:r>
      <w:r w:rsidRPr="002D1CF3">
        <w:rPr>
          <w:rStyle w:val="apple-converted-space"/>
          <w:rFonts w:ascii="Palatino Linotype" w:hAnsi="Palatino Linotype"/>
          <w:color w:val="000000"/>
          <w:sz w:val="20"/>
          <w:szCs w:val="20"/>
          <w:shd w:val="clear" w:color="auto" w:fill="FFFFFF"/>
        </w:rPr>
        <w:t> </w:t>
      </w:r>
      <w:r w:rsidRPr="002D1CF3">
        <w:rPr>
          <w:rFonts w:ascii="Palatino Linotype" w:hAnsi="Palatino Linotype"/>
          <w:i/>
          <w:iCs/>
          <w:color w:val="000000"/>
          <w:sz w:val="20"/>
          <w:szCs w:val="20"/>
        </w:rPr>
        <w:t>Critical Reviews in Oncology/Hematology</w:t>
      </w:r>
      <w:r w:rsidRPr="002D1CF3">
        <w:rPr>
          <w:rFonts w:ascii="Palatino Linotype" w:hAnsi="Palatino Linotype"/>
          <w:color w:val="000000"/>
          <w:sz w:val="20"/>
          <w:szCs w:val="20"/>
        </w:rPr>
        <w:t>2008;</w:t>
      </w:r>
      <w:proofErr w:type="gramStart"/>
      <w:r w:rsidRPr="002D1CF3">
        <w:rPr>
          <w:rFonts w:ascii="Palatino Linotype" w:hAnsi="Palatino Linotype"/>
          <w:color w:val="000000"/>
          <w:sz w:val="20"/>
          <w:szCs w:val="20"/>
          <w:shd w:val="clear" w:color="auto" w:fill="FFFFFF"/>
        </w:rPr>
        <w:t>68;S</w:t>
      </w:r>
      <w:proofErr w:type="gramEnd"/>
      <w:r w:rsidRPr="002D1CF3">
        <w:rPr>
          <w:rFonts w:ascii="Palatino Linotype" w:hAnsi="Palatino Linotype"/>
          <w:color w:val="000000"/>
          <w:sz w:val="20"/>
          <w:szCs w:val="20"/>
          <w:shd w:val="clear" w:color="auto" w:fill="FFFFFF"/>
        </w:rPr>
        <w:t>13.</w:t>
      </w:r>
    </w:p>
    <w:p w14:paraId="7D95AFF0" w14:textId="72526E17" w:rsidR="00364C84" w:rsidRPr="002D1CF3" w:rsidRDefault="00364C84" w:rsidP="0049527B">
      <w:pPr>
        <w:pStyle w:val="ListParagraph"/>
        <w:ind w:left="0"/>
        <w:jc w:val="both"/>
        <w:rPr>
          <w:rFonts w:ascii="Palatino Linotype" w:hAnsi="Palatino Linotype"/>
          <w:sz w:val="20"/>
          <w:szCs w:val="20"/>
        </w:rPr>
      </w:pPr>
      <w:r w:rsidRPr="002D1CF3">
        <w:rPr>
          <w:rFonts w:ascii="Palatino Linotype" w:hAnsi="Palatino Linotype"/>
          <w:color w:val="000000"/>
          <w:sz w:val="20"/>
          <w:szCs w:val="20"/>
          <w:shd w:val="clear" w:color="auto" w:fill="FFFFFF"/>
        </w:rPr>
        <w:lastRenderedPageBreak/>
        <w:t xml:space="preserve">4. </w:t>
      </w:r>
      <w:r w:rsidRPr="002D1CF3">
        <w:rPr>
          <w:rFonts w:ascii="Palatino Linotype" w:hAnsi="Palatino Linotype" w:cs="Arial"/>
          <w:sz w:val="20"/>
          <w:szCs w:val="20"/>
          <w:shd w:val="clear" w:color="auto" w:fill="FFFFFF"/>
        </w:rPr>
        <w:t>Wang, J., Zou, Y., Zhao, J., Schneider, D., Yang, Y., Ma, Y., Huang, B. and Yuan, D., 2018. The Impact of Frailty on Outcomes of Elderly Patients After Major Vascular Surgery: A Systematic Review and Meta-analysis. </w:t>
      </w:r>
      <w:r w:rsidRPr="002D1CF3">
        <w:rPr>
          <w:rFonts w:ascii="Palatino Linotype" w:hAnsi="Palatino Linotype" w:cs="Arial"/>
          <w:i/>
          <w:iCs/>
          <w:sz w:val="20"/>
          <w:szCs w:val="20"/>
          <w:shd w:val="clear" w:color="auto" w:fill="FFFFFF"/>
        </w:rPr>
        <w:t>European Journal of Vascular and Endovascular Surgery</w:t>
      </w:r>
      <w:r w:rsidRPr="002D1CF3">
        <w:rPr>
          <w:rFonts w:ascii="Palatino Linotype" w:hAnsi="Palatino Linotype" w:cs="Arial"/>
          <w:sz w:val="20"/>
          <w:szCs w:val="20"/>
          <w:shd w:val="clear" w:color="auto" w:fill="FFFFFF"/>
        </w:rPr>
        <w:t>, 56(4), pp.591-602.</w:t>
      </w:r>
    </w:p>
    <w:p w14:paraId="1419E10C" w14:textId="538050A1" w:rsidR="0049527B" w:rsidRPr="002D1CF3" w:rsidRDefault="00364C84" w:rsidP="0049527B">
      <w:pPr>
        <w:pStyle w:val="ListParagraph"/>
        <w:ind w:left="0"/>
        <w:jc w:val="both"/>
        <w:rPr>
          <w:rStyle w:val="apple-converted-space"/>
          <w:rFonts w:ascii="Palatino Linotype" w:hAnsi="Palatino Linotype"/>
          <w:sz w:val="20"/>
          <w:szCs w:val="20"/>
        </w:rPr>
      </w:pPr>
      <w:r w:rsidRPr="002D1CF3">
        <w:rPr>
          <w:rFonts w:ascii="Palatino Linotype" w:hAnsi="Palatino Linotype"/>
          <w:color w:val="000000"/>
          <w:sz w:val="20"/>
          <w:szCs w:val="20"/>
          <w:shd w:val="clear" w:color="auto" w:fill="FFFFFF"/>
        </w:rPr>
        <w:t>5</w:t>
      </w:r>
      <w:r w:rsidR="0049527B" w:rsidRPr="002D1CF3">
        <w:rPr>
          <w:rFonts w:ascii="Palatino Linotype" w:hAnsi="Palatino Linotype"/>
          <w:color w:val="000000"/>
          <w:sz w:val="20"/>
          <w:szCs w:val="20"/>
          <w:shd w:val="clear" w:color="auto" w:fill="FFFFFF"/>
        </w:rPr>
        <w:t>. Hinchliffe, R. and Earnshaw, J. (2016). Vascular interventions in the elderly.</w:t>
      </w:r>
      <w:r w:rsidR="0049527B" w:rsidRPr="002D1CF3">
        <w:rPr>
          <w:rStyle w:val="apple-converted-space"/>
          <w:rFonts w:ascii="Palatino Linotype" w:hAnsi="Palatino Linotype"/>
          <w:color w:val="000000"/>
          <w:sz w:val="20"/>
          <w:szCs w:val="20"/>
          <w:shd w:val="clear" w:color="auto" w:fill="FFFFFF"/>
        </w:rPr>
        <w:t> </w:t>
      </w:r>
      <w:r w:rsidR="0049527B" w:rsidRPr="002D1CF3">
        <w:rPr>
          <w:rFonts w:ascii="Palatino Linotype" w:hAnsi="Palatino Linotype"/>
          <w:i/>
          <w:iCs/>
          <w:color w:val="000000"/>
          <w:sz w:val="20"/>
          <w:szCs w:val="20"/>
        </w:rPr>
        <w:t>British Journal of Surgery</w:t>
      </w:r>
      <w:r w:rsidR="0049527B" w:rsidRPr="002D1CF3">
        <w:rPr>
          <w:rFonts w:ascii="Palatino Linotype" w:hAnsi="Palatino Linotype"/>
          <w:color w:val="000000"/>
          <w:sz w:val="20"/>
          <w:szCs w:val="20"/>
          <w:shd w:val="clear" w:color="auto" w:fill="FFFFFF"/>
        </w:rPr>
        <w:t xml:space="preserve">, 103(2), </w:t>
      </w:r>
      <w:proofErr w:type="gramStart"/>
      <w:r w:rsidR="0049527B" w:rsidRPr="002D1CF3">
        <w:rPr>
          <w:rFonts w:ascii="Palatino Linotype" w:hAnsi="Palatino Linotype"/>
          <w:color w:val="000000"/>
          <w:sz w:val="20"/>
          <w:szCs w:val="20"/>
          <w:shd w:val="clear" w:color="auto" w:fill="FFFFFF"/>
        </w:rPr>
        <w:t>pp.e</w:t>
      </w:r>
      <w:proofErr w:type="gramEnd"/>
      <w:r w:rsidR="0049527B" w:rsidRPr="002D1CF3">
        <w:rPr>
          <w:rFonts w:ascii="Palatino Linotype" w:hAnsi="Palatino Linotype"/>
          <w:color w:val="000000"/>
          <w:sz w:val="20"/>
          <w:szCs w:val="20"/>
          <w:shd w:val="clear" w:color="auto" w:fill="FFFFFF"/>
        </w:rPr>
        <w:t>16-e18.</w:t>
      </w:r>
    </w:p>
    <w:p w14:paraId="5B4911ED" w14:textId="260876C2" w:rsidR="0049527B" w:rsidRPr="002D1CF3" w:rsidRDefault="0049527B" w:rsidP="0049527B">
      <w:pPr>
        <w:pStyle w:val="ListParagraph"/>
        <w:ind w:left="0"/>
        <w:jc w:val="both"/>
        <w:rPr>
          <w:rFonts w:ascii="Palatino Linotype" w:hAnsi="Palatino Linotype"/>
          <w:sz w:val="20"/>
          <w:szCs w:val="20"/>
        </w:rPr>
      </w:pPr>
      <w:r w:rsidRPr="002D1CF3">
        <w:rPr>
          <w:rFonts w:ascii="Palatino Linotype" w:hAnsi="Palatino Linotype"/>
          <w:color w:val="000000"/>
          <w:sz w:val="20"/>
          <w:szCs w:val="20"/>
          <w:shd w:val="clear" w:color="auto" w:fill="FFFFFF"/>
        </w:rPr>
        <w:t xml:space="preserve">6. </w:t>
      </w:r>
      <w:proofErr w:type="spellStart"/>
      <w:r w:rsidRPr="002D1CF3">
        <w:rPr>
          <w:rFonts w:ascii="Palatino Linotype" w:hAnsi="Palatino Linotype"/>
          <w:color w:val="000000"/>
          <w:sz w:val="20"/>
          <w:szCs w:val="20"/>
          <w:shd w:val="clear" w:color="auto" w:fill="FFFFFF"/>
        </w:rPr>
        <w:t>Henebiens</w:t>
      </w:r>
      <w:proofErr w:type="spellEnd"/>
      <w:r w:rsidRPr="002D1CF3">
        <w:rPr>
          <w:rFonts w:ascii="Palatino Linotype" w:hAnsi="Palatino Linotype"/>
          <w:color w:val="000000"/>
          <w:sz w:val="20"/>
          <w:szCs w:val="20"/>
          <w:shd w:val="clear" w:color="auto" w:fill="FFFFFF"/>
        </w:rPr>
        <w:t xml:space="preserve">, M., </w:t>
      </w:r>
      <w:proofErr w:type="spellStart"/>
      <w:r w:rsidRPr="002D1CF3">
        <w:rPr>
          <w:rFonts w:ascii="Palatino Linotype" w:hAnsi="Palatino Linotype"/>
          <w:color w:val="000000"/>
          <w:sz w:val="20"/>
          <w:szCs w:val="20"/>
          <w:shd w:val="clear" w:color="auto" w:fill="FFFFFF"/>
        </w:rPr>
        <w:t>Vahl</w:t>
      </w:r>
      <w:proofErr w:type="spellEnd"/>
      <w:r w:rsidRPr="002D1CF3">
        <w:rPr>
          <w:rFonts w:ascii="Palatino Linotype" w:hAnsi="Palatino Linotype"/>
          <w:color w:val="000000"/>
          <w:sz w:val="20"/>
          <w:szCs w:val="20"/>
          <w:shd w:val="clear" w:color="auto" w:fill="FFFFFF"/>
        </w:rPr>
        <w:t xml:space="preserve">, A. and </w:t>
      </w:r>
      <w:proofErr w:type="spellStart"/>
      <w:r w:rsidRPr="002D1CF3">
        <w:rPr>
          <w:rFonts w:ascii="Palatino Linotype" w:hAnsi="Palatino Linotype"/>
          <w:color w:val="000000"/>
          <w:sz w:val="20"/>
          <w:szCs w:val="20"/>
          <w:shd w:val="clear" w:color="auto" w:fill="FFFFFF"/>
        </w:rPr>
        <w:t>Koelemay</w:t>
      </w:r>
      <w:proofErr w:type="spellEnd"/>
      <w:r w:rsidRPr="002D1CF3">
        <w:rPr>
          <w:rFonts w:ascii="Palatino Linotype" w:hAnsi="Palatino Linotype"/>
          <w:color w:val="000000"/>
          <w:sz w:val="20"/>
          <w:szCs w:val="20"/>
          <w:shd w:val="clear" w:color="auto" w:fill="FFFFFF"/>
        </w:rPr>
        <w:t>, M. Elective surgery of abdominal aortic aneurysms in octogenarians: A systematic review.</w:t>
      </w:r>
      <w:r w:rsidRPr="002D1CF3">
        <w:rPr>
          <w:rStyle w:val="apple-converted-space"/>
          <w:rFonts w:ascii="Palatino Linotype" w:hAnsi="Palatino Linotype"/>
          <w:color w:val="000000"/>
          <w:sz w:val="20"/>
          <w:szCs w:val="20"/>
          <w:shd w:val="clear" w:color="auto" w:fill="FFFFFF"/>
        </w:rPr>
        <w:t> </w:t>
      </w:r>
      <w:r w:rsidRPr="002D1CF3">
        <w:rPr>
          <w:rFonts w:ascii="Palatino Linotype" w:hAnsi="Palatino Linotype"/>
          <w:i/>
          <w:iCs/>
          <w:color w:val="000000"/>
          <w:sz w:val="20"/>
          <w:szCs w:val="20"/>
        </w:rPr>
        <w:t>Journal of Vascular Surgery</w:t>
      </w:r>
      <w:r w:rsidRPr="002D1CF3">
        <w:rPr>
          <w:rFonts w:ascii="Palatino Linotype" w:hAnsi="Palatino Linotype"/>
          <w:color w:val="000000"/>
          <w:sz w:val="20"/>
          <w:szCs w:val="20"/>
        </w:rPr>
        <w:t>2008</w:t>
      </w:r>
      <w:r w:rsidRPr="002D1CF3">
        <w:rPr>
          <w:rFonts w:ascii="Palatino Linotype" w:hAnsi="Palatino Linotype"/>
          <w:color w:val="000000"/>
          <w:sz w:val="20"/>
          <w:szCs w:val="20"/>
          <w:shd w:val="clear" w:color="auto" w:fill="FFFFFF"/>
        </w:rPr>
        <w:t>;47(3):676-681.</w:t>
      </w:r>
    </w:p>
    <w:p w14:paraId="1FF7F3CF" w14:textId="7FA245D1" w:rsidR="00364C84" w:rsidRPr="002D1CF3" w:rsidRDefault="0049527B" w:rsidP="0049527B">
      <w:pPr>
        <w:pStyle w:val="ListParagraph"/>
        <w:ind w:left="0"/>
        <w:jc w:val="both"/>
        <w:rPr>
          <w:rFonts w:ascii="Palatino Linotype" w:hAnsi="Palatino Linotype"/>
          <w:color w:val="000000"/>
          <w:sz w:val="20"/>
          <w:szCs w:val="20"/>
          <w:shd w:val="clear" w:color="auto" w:fill="FFFFFF"/>
        </w:rPr>
      </w:pPr>
      <w:r w:rsidRPr="002D1CF3">
        <w:rPr>
          <w:rFonts w:ascii="Palatino Linotype" w:hAnsi="Palatino Linotype"/>
          <w:color w:val="000000"/>
          <w:sz w:val="20"/>
          <w:szCs w:val="20"/>
          <w:shd w:val="clear" w:color="auto" w:fill="FFFFFF"/>
        </w:rPr>
        <w:t xml:space="preserve">7. Campbell, W. </w:t>
      </w:r>
      <w:proofErr w:type="gramStart"/>
      <w:r w:rsidRPr="002D1CF3">
        <w:rPr>
          <w:rFonts w:ascii="Palatino Linotype" w:hAnsi="Palatino Linotype"/>
          <w:color w:val="000000"/>
          <w:sz w:val="20"/>
          <w:szCs w:val="20"/>
          <w:shd w:val="clear" w:color="auto" w:fill="FFFFFF"/>
        </w:rPr>
        <w:t>Non-intervention</w:t>
      </w:r>
      <w:proofErr w:type="gramEnd"/>
      <w:r w:rsidRPr="002D1CF3">
        <w:rPr>
          <w:rFonts w:ascii="Palatino Linotype" w:hAnsi="Palatino Linotype"/>
          <w:color w:val="000000"/>
          <w:sz w:val="20"/>
          <w:szCs w:val="20"/>
          <w:shd w:val="clear" w:color="auto" w:fill="FFFFFF"/>
        </w:rPr>
        <w:t xml:space="preserve"> and palliative care in vascular patients.</w:t>
      </w:r>
      <w:r w:rsidRPr="002D1CF3">
        <w:rPr>
          <w:rStyle w:val="apple-converted-space"/>
          <w:rFonts w:ascii="Palatino Linotype" w:hAnsi="Palatino Linotype"/>
          <w:color w:val="000000"/>
          <w:sz w:val="20"/>
          <w:szCs w:val="20"/>
          <w:shd w:val="clear" w:color="auto" w:fill="FFFFFF"/>
        </w:rPr>
        <w:t> </w:t>
      </w:r>
      <w:r w:rsidRPr="002D1CF3">
        <w:rPr>
          <w:rFonts w:ascii="Palatino Linotype" w:hAnsi="Palatino Linotype"/>
          <w:i/>
          <w:iCs/>
          <w:color w:val="000000"/>
          <w:sz w:val="20"/>
          <w:szCs w:val="20"/>
        </w:rPr>
        <w:t>British Journal of Surgery</w:t>
      </w:r>
      <w:r w:rsidRPr="002D1CF3">
        <w:rPr>
          <w:rFonts w:ascii="Palatino Linotype" w:hAnsi="Palatino Linotype"/>
          <w:color w:val="000000"/>
          <w:sz w:val="20"/>
          <w:szCs w:val="20"/>
        </w:rPr>
        <w:t>2000</w:t>
      </w:r>
      <w:r w:rsidRPr="002D1CF3">
        <w:rPr>
          <w:rFonts w:ascii="Palatino Linotype" w:hAnsi="Palatino Linotype"/>
          <w:color w:val="000000"/>
          <w:sz w:val="20"/>
          <w:szCs w:val="20"/>
          <w:shd w:val="clear" w:color="auto" w:fill="FFFFFF"/>
        </w:rPr>
        <w:t>;87(12):1601-1602.</w:t>
      </w:r>
    </w:p>
    <w:p w14:paraId="79560A02" w14:textId="32C92B51" w:rsidR="0049527B" w:rsidRPr="002D1CF3" w:rsidRDefault="0049527B" w:rsidP="0049527B">
      <w:pPr>
        <w:pStyle w:val="ListParagraph"/>
        <w:ind w:left="0"/>
        <w:jc w:val="both"/>
        <w:rPr>
          <w:rFonts w:ascii="Palatino Linotype" w:hAnsi="Palatino Linotype"/>
          <w:sz w:val="20"/>
          <w:szCs w:val="20"/>
        </w:rPr>
      </w:pPr>
      <w:r w:rsidRPr="002D1CF3">
        <w:rPr>
          <w:rFonts w:ascii="Palatino Linotype" w:hAnsi="Palatino Linotype"/>
          <w:color w:val="000000"/>
          <w:sz w:val="20"/>
          <w:szCs w:val="20"/>
          <w:shd w:val="clear" w:color="auto" w:fill="FFFFFF"/>
        </w:rPr>
        <w:t xml:space="preserve">8. </w:t>
      </w:r>
    </w:p>
    <w:p w14:paraId="4EB5C354" w14:textId="5D7DFEBF" w:rsidR="00396C41" w:rsidRPr="002D1CF3" w:rsidRDefault="0049527B" w:rsidP="0049527B">
      <w:pPr>
        <w:pStyle w:val="ListParagraph"/>
        <w:ind w:left="0"/>
        <w:jc w:val="both"/>
        <w:rPr>
          <w:rFonts w:ascii="Palatino Linotype" w:hAnsi="Palatino Linotype"/>
          <w:color w:val="000000"/>
          <w:sz w:val="20"/>
          <w:szCs w:val="20"/>
          <w:shd w:val="clear" w:color="auto" w:fill="FFFFFF"/>
        </w:rPr>
      </w:pPr>
      <w:r w:rsidRPr="002D1CF3">
        <w:rPr>
          <w:rFonts w:ascii="Palatino Linotype" w:hAnsi="Palatino Linotype"/>
          <w:color w:val="000000"/>
          <w:sz w:val="20"/>
          <w:szCs w:val="20"/>
          <w:shd w:val="clear" w:color="auto" w:fill="FFFFFF"/>
        </w:rPr>
        <w:t>9.</w:t>
      </w:r>
      <w:r w:rsidR="00396C41" w:rsidRPr="002D1CF3">
        <w:rPr>
          <w:rFonts w:ascii="Palatino Linotype" w:hAnsi="Palatino Linotype"/>
          <w:color w:val="000000"/>
          <w:sz w:val="20"/>
          <w:szCs w:val="20"/>
          <w:shd w:val="clear" w:color="auto" w:fill="FFFFFF"/>
        </w:rPr>
        <w:t xml:space="preserve"> </w:t>
      </w:r>
      <w:r w:rsidR="00396C41" w:rsidRPr="002D1CF3">
        <w:rPr>
          <w:rFonts w:ascii="Palatino Linotype" w:hAnsi="Palatino Linotype"/>
          <w:color w:val="000000"/>
          <w:sz w:val="20"/>
          <w:szCs w:val="20"/>
          <w:shd w:val="clear" w:color="auto" w:fill="F0EFEF"/>
        </w:rPr>
        <w:t xml:space="preserve">Ellis  G, Gardner  M, </w:t>
      </w:r>
      <w:proofErr w:type="spellStart"/>
      <w:r w:rsidR="00396C41" w:rsidRPr="002D1CF3">
        <w:rPr>
          <w:rFonts w:ascii="Palatino Linotype" w:hAnsi="Palatino Linotype"/>
          <w:color w:val="000000"/>
          <w:sz w:val="20"/>
          <w:szCs w:val="20"/>
          <w:shd w:val="clear" w:color="auto" w:fill="F0EFEF"/>
        </w:rPr>
        <w:t>Tsiachristas</w:t>
      </w:r>
      <w:proofErr w:type="spellEnd"/>
      <w:r w:rsidR="00396C41" w:rsidRPr="002D1CF3">
        <w:rPr>
          <w:rFonts w:ascii="Palatino Linotype" w:hAnsi="Palatino Linotype"/>
          <w:color w:val="000000"/>
          <w:sz w:val="20"/>
          <w:szCs w:val="20"/>
          <w:shd w:val="clear" w:color="auto" w:fill="F0EFEF"/>
        </w:rPr>
        <w:t xml:space="preserve">  A, Langhorne  P, Burke  O, Harwood  RH, Conroy  SP, Kircher  T, Somme  D, </w:t>
      </w:r>
      <w:proofErr w:type="spellStart"/>
      <w:r w:rsidR="00396C41" w:rsidRPr="002D1CF3">
        <w:rPr>
          <w:rFonts w:ascii="Palatino Linotype" w:hAnsi="Palatino Linotype"/>
          <w:color w:val="000000"/>
          <w:sz w:val="20"/>
          <w:szCs w:val="20"/>
          <w:shd w:val="clear" w:color="auto" w:fill="F0EFEF"/>
        </w:rPr>
        <w:t>Saltvedt</w:t>
      </w:r>
      <w:proofErr w:type="spellEnd"/>
      <w:r w:rsidR="00396C41" w:rsidRPr="002D1CF3">
        <w:rPr>
          <w:rFonts w:ascii="Palatino Linotype" w:hAnsi="Palatino Linotype"/>
          <w:color w:val="000000"/>
          <w:sz w:val="20"/>
          <w:szCs w:val="20"/>
          <w:shd w:val="clear" w:color="auto" w:fill="F0EFEF"/>
        </w:rPr>
        <w:t>  I, Wald  H, O'Neill  D, Robinson  D, Shepperd  S. Comprehensive geriatric assessment for older adults admitted to hospital. Cochrane Database of Systematic Reviews 2017, Issue 9. Art. No.: CD006211. DOI: 10.1002/14651858.CD006211.pub3.</w:t>
      </w:r>
      <w:r w:rsidRPr="002D1CF3">
        <w:rPr>
          <w:rFonts w:ascii="Palatino Linotype" w:hAnsi="Palatino Linotype"/>
          <w:color w:val="000000"/>
          <w:sz w:val="20"/>
          <w:szCs w:val="20"/>
          <w:shd w:val="clear" w:color="auto" w:fill="FFFFFF"/>
        </w:rPr>
        <w:t xml:space="preserve"> </w:t>
      </w:r>
    </w:p>
    <w:p w14:paraId="74CAE389" w14:textId="53C1883B" w:rsidR="0049527B" w:rsidRPr="002D1CF3" w:rsidRDefault="00396C41" w:rsidP="0049527B">
      <w:pPr>
        <w:pStyle w:val="ListParagraph"/>
        <w:ind w:left="0"/>
        <w:jc w:val="both"/>
        <w:rPr>
          <w:rFonts w:ascii="Palatino Linotype" w:hAnsi="Palatino Linotype"/>
          <w:sz w:val="20"/>
          <w:szCs w:val="20"/>
        </w:rPr>
      </w:pPr>
      <w:r w:rsidRPr="002D1CF3">
        <w:rPr>
          <w:rFonts w:ascii="Palatino Linotype" w:hAnsi="Palatino Linotype"/>
          <w:color w:val="000000"/>
          <w:sz w:val="20"/>
          <w:szCs w:val="20"/>
          <w:shd w:val="clear" w:color="auto" w:fill="FFFFFF"/>
          <w:lang w:val="fr-FR"/>
        </w:rPr>
        <w:t xml:space="preserve">10. </w:t>
      </w:r>
      <w:r w:rsidR="0049527B" w:rsidRPr="002D1CF3">
        <w:rPr>
          <w:rFonts w:ascii="Palatino Linotype" w:hAnsi="Palatino Linotype"/>
          <w:color w:val="000000"/>
          <w:sz w:val="20"/>
          <w:szCs w:val="20"/>
          <w:shd w:val="clear" w:color="auto" w:fill="FFFFFF"/>
          <w:lang w:val="fr-FR"/>
        </w:rPr>
        <w:t xml:space="preserve">Harari, D., Hopper, A., </w:t>
      </w:r>
      <w:proofErr w:type="spellStart"/>
      <w:r w:rsidR="0049527B" w:rsidRPr="002D1CF3">
        <w:rPr>
          <w:rFonts w:ascii="Palatino Linotype" w:hAnsi="Palatino Linotype"/>
          <w:color w:val="000000"/>
          <w:sz w:val="20"/>
          <w:szCs w:val="20"/>
          <w:shd w:val="clear" w:color="auto" w:fill="FFFFFF"/>
          <w:lang w:val="fr-FR"/>
        </w:rPr>
        <w:t>Dhesi</w:t>
      </w:r>
      <w:proofErr w:type="spellEnd"/>
      <w:r w:rsidR="0049527B" w:rsidRPr="002D1CF3">
        <w:rPr>
          <w:rFonts w:ascii="Palatino Linotype" w:hAnsi="Palatino Linotype"/>
          <w:color w:val="000000"/>
          <w:sz w:val="20"/>
          <w:szCs w:val="20"/>
          <w:shd w:val="clear" w:color="auto" w:fill="FFFFFF"/>
          <w:lang w:val="fr-FR"/>
        </w:rPr>
        <w:t xml:space="preserve">, J. et al. </w:t>
      </w:r>
      <w:r w:rsidR="0049527B" w:rsidRPr="002D1CF3">
        <w:rPr>
          <w:rFonts w:ascii="Palatino Linotype" w:hAnsi="Palatino Linotype"/>
          <w:color w:val="000000"/>
          <w:sz w:val="20"/>
          <w:szCs w:val="20"/>
          <w:shd w:val="clear" w:color="auto" w:fill="FFFFFF"/>
        </w:rPr>
        <w:t xml:space="preserve">Proactive care of older people undergoing surgery ('POPS'): Designing, embedding, </w:t>
      </w:r>
      <w:proofErr w:type="gramStart"/>
      <w:r w:rsidR="0049527B" w:rsidRPr="002D1CF3">
        <w:rPr>
          <w:rFonts w:ascii="Palatino Linotype" w:hAnsi="Palatino Linotype"/>
          <w:color w:val="000000"/>
          <w:sz w:val="20"/>
          <w:szCs w:val="20"/>
          <w:shd w:val="clear" w:color="auto" w:fill="FFFFFF"/>
        </w:rPr>
        <w:t>evaluating</w:t>
      </w:r>
      <w:proofErr w:type="gramEnd"/>
      <w:r w:rsidR="0049527B" w:rsidRPr="002D1CF3">
        <w:rPr>
          <w:rFonts w:ascii="Palatino Linotype" w:hAnsi="Palatino Linotype"/>
          <w:color w:val="000000"/>
          <w:sz w:val="20"/>
          <w:szCs w:val="20"/>
          <w:shd w:val="clear" w:color="auto" w:fill="FFFFFF"/>
        </w:rPr>
        <w:t xml:space="preserve"> and funding a comprehensive geriatric assessment service for older elective surgical patients.</w:t>
      </w:r>
      <w:r w:rsidR="0049527B" w:rsidRPr="002D1CF3">
        <w:rPr>
          <w:rStyle w:val="apple-converted-space"/>
          <w:rFonts w:ascii="Palatino Linotype" w:hAnsi="Palatino Linotype"/>
          <w:color w:val="000000"/>
          <w:sz w:val="20"/>
          <w:szCs w:val="20"/>
          <w:shd w:val="clear" w:color="auto" w:fill="FFFFFF"/>
        </w:rPr>
        <w:t> </w:t>
      </w:r>
      <w:r w:rsidR="0049527B" w:rsidRPr="002D1CF3">
        <w:rPr>
          <w:rFonts w:ascii="Palatino Linotype" w:hAnsi="Palatino Linotype"/>
          <w:i/>
          <w:iCs/>
          <w:color w:val="000000"/>
          <w:sz w:val="20"/>
          <w:szCs w:val="20"/>
        </w:rPr>
        <w:t>Age and Ageing</w:t>
      </w:r>
      <w:r w:rsidR="0049527B" w:rsidRPr="002D1CF3">
        <w:rPr>
          <w:rFonts w:ascii="Palatino Linotype" w:hAnsi="Palatino Linotype"/>
          <w:color w:val="000000"/>
          <w:sz w:val="20"/>
          <w:szCs w:val="20"/>
        </w:rPr>
        <w:t>2007;</w:t>
      </w:r>
      <w:r w:rsidR="0049527B" w:rsidRPr="002D1CF3">
        <w:rPr>
          <w:rFonts w:ascii="Palatino Linotype" w:hAnsi="Palatino Linotype"/>
          <w:color w:val="000000"/>
          <w:sz w:val="20"/>
          <w:szCs w:val="20"/>
          <w:shd w:val="clear" w:color="auto" w:fill="FFFFFF"/>
        </w:rPr>
        <w:t>36(2):190-196.</w:t>
      </w:r>
    </w:p>
    <w:p w14:paraId="268805DE" w14:textId="084178E2" w:rsidR="0049527B" w:rsidRPr="002D1CF3" w:rsidRDefault="0049527B" w:rsidP="0049527B">
      <w:pPr>
        <w:pStyle w:val="ListParagraph"/>
        <w:ind w:left="0"/>
        <w:rPr>
          <w:rFonts w:ascii="Palatino Linotype" w:hAnsi="Palatino Linotype"/>
          <w:sz w:val="20"/>
          <w:szCs w:val="20"/>
        </w:rPr>
      </w:pPr>
      <w:r w:rsidRPr="002D1CF3">
        <w:rPr>
          <w:rFonts w:ascii="Palatino Linotype" w:hAnsi="Palatino Linotype"/>
          <w:color w:val="000000"/>
          <w:sz w:val="20"/>
          <w:szCs w:val="20"/>
          <w:shd w:val="clear" w:color="auto" w:fill="FFFFFF"/>
          <w:lang w:val="fr-FR"/>
        </w:rPr>
        <w:t>1</w:t>
      </w:r>
      <w:r w:rsidR="00396C41" w:rsidRPr="002D1CF3">
        <w:rPr>
          <w:rFonts w:ascii="Palatino Linotype" w:hAnsi="Palatino Linotype"/>
          <w:color w:val="000000"/>
          <w:sz w:val="20"/>
          <w:szCs w:val="20"/>
          <w:shd w:val="clear" w:color="auto" w:fill="FFFFFF"/>
          <w:lang w:val="fr-FR"/>
        </w:rPr>
        <w:t>1</w:t>
      </w:r>
      <w:r w:rsidRPr="002D1CF3">
        <w:rPr>
          <w:rFonts w:ascii="Palatino Linotype" w:hAnsi="Palatino Linotype"/>
          <w:color w:val="000000"/>
          <w:sz w:val="20"/>
          <w:szCs w:val="20"/>
          <w:shd w:val="clear" w:color="auto" w:fill="FFFFFF"/>
          <w:lang w:val="fr-FR"/>
        </w:rPr>
        <w:t xml:space="preserve">. Partridge, J., Harari, D., Martin, F. et al. </w:t>
      </w:r>
      <w:r w:rsidRPr="002D1CF3">
        <w:rPr>
          <w:rFonts w:ascii="Palatino Linotype" w:hAnsi="Palatino Linotype"/>
          <w:color w:val="000000"/>
          <w:sz w:val="20"/>
          <w:szCs w:val="20"/>
          <w:shd w:val="clear" w:color="auto" w:fill="FFFFFF"/>
        </w:rPr>
        <w:t>Randomized clinical trial of comprehensive geriatric assessment and optimization in vascular surgery. </w:t>
      </w:r>
      <w:r w:rsidRPr="002D1CF3">
        <w:rPr>
          <w:rFonts w:ascii="Palatino Linotype" w:hAnsi="Palatino Linotype"/>
          <w:i/>
          <w:iCs/>
          <w:color w:val="000000"/>
          <w:sz w:val="20"/>
          <w:szCs w:val="20"/>
        </w:rPr>
        <w:t>British Journal of Surgery</w:t>
      </w:r>
      <w:r w:rsidRPr="002D1CF3">
        <w:rPr>
          <w:rFonts w:ascii="Palatino Linotype" w:hAnsi="Palatino Linotype"/>
          <w:color w:val="000000"/>
          <w:sz w:val="20"/>
          <w:szCs w:val="20"/>
        </w:rPr>
        <w:t>2017</w:t>
      </w:r>
      <w:r w:rsidRPr="002D1CF3">
        <w:rPr>
          <w:rFonts w:ascii="Palatino Linotype" w:hAnsi="Palatino Linotype"/>
          <w:color w:val="000000"/>
          <w:sz w:val="20"/>
          <w:szCs w:val="20"/>
          <w:shd w:val="clear" w:color="auto" w:fill="FFFFFF"/>
        </w:rPr>
        <w:t>;</w:t>
      </w:r>
      <w:r w:rsidRPr="002D1CF3">
        <w:rPr>
          <w:rFonts w:ascii="Palatino Linotype" w:hAnsi="Palatino Linotype"/>
          <w:sz w:val="20"/>
          <w:szCs w:val="20"/>
          <w:shd w:val="clear" w:color="auto" w:fill="FFFFFF"/>
        </w:rPr>
        <w:t>104(6):679-687.</w:t>
      </w:r>
    </w:p>
    <w:p w14:paraId="4B55DC4E" w14:textId="1A317406" w:rsidR="0049527B" w:rsidRPr="002D1CF3" w:rsidRDefault="0049527B" w:rsidP="0049527B">
      <w:pPr>
        <w:pStyle w:val="ListParagraph"/>
        <w:ind w:left="0"/>
        <w:rPr>
          <w:rFonts w:ascii="Palatino Linotype" w:hAnsi="Palatino Linotype"/>
          <w:sz w:val="20"/>
          <w:szCs w:val="20"/>
          <w:lang w:val="fr-FR"/>
        </w:rPr>
      </w:pPr>
      <w:r w:rsidRPr="002D1CF3">
        <w:rPr>
          <w:rFonts w:ascii="Palatino Linotype" w:hAnsi="Palatino Linotype"/>
          <w:bCs/>
          <w:sz w:val="20"/>
          <w:szCs w:val="20"/>
          <w:lang w:val="en" w:eastAsia="en-GB"/>
        </w:rPr>
        <w:t>1</w:t>
      </w:r>
      <w:r w:rsidR="00396C41" w:rsidRPr="002D1CF3">
        <w:rPr>
          <w:rFonts w:ascii="Palatino Linotype" w:hAnsi="Palatino Linotype"/>
          <w:bCs/>
          <w:sz w:val="20"/>
          <w:szCs w:val="20"/>
          <w:lang w:val="en" w:eastAsia="en-GB"/>
        </w:rPr>
        <w:t>2</w:t>
      </w:r>
      <w:r w:rsidRPr="002D1CF3">
        <w:rPr>
          <w:rFonts w:ascii="Palatino Linotype" w:hAnsi="Palatino Linotype"/>
          <w:bCs/>
          <w:sz w:val="20"/>
          <w:szCs w:val="20"/>
          <w:lang w:val="en" w:eastAsia="en-GB"/>
        </w:rPr>
        <w:t>. Shipway D</w:t>
      </w:r>
      <w:r w:rsidRPr="002D1CF3">
        <w:rPr>
          <w:rFonts w:ascii="Palatino Linotype" w:hAnsi="Palatino Linotype"/>
          <w:sz w:val="20"/>
          <w:szCs w:val="20"/>
          <w:lang w:val="en" w:eastAsia="en-GB"/>
        </w:rPr>
        <w:t xml:space="preserve">, </w:t>
      </w:r>
      <w:proofErr w:type="spellStart"/>
      <w:r w:rsidRPr="002D1CF3">
        <w:rPr>
          <w:rFonts w:ascii="Palatino Linotype" w:hAnsi="Palatino Linotype"/>
          <w:sz w:val="20"/>
          <w:szCs w:val="20"/>
          <w:lang w:val="en" w:eastAsia="en-GB"/>
        </w:rPr>
        <w:t>Koizia</w:t>
      </w:r>
      <w:proofErr w:type="spellEnd"/>
      <w:r w:rsidRPr="002D1CF3">
        <w:rPr>
          <w:rFonts w:ascii="Palatino Linotype" w:hAnsi="Palatino Linotype"/>
          <w:sz w:val="20"/>
          <w:szCs w:val="20"/>
          <w:lang w:val="en" w:eastAsia="en-GB"/>
        </w:rPr>
        <w:t xml:space="preserve"> L, Winterkorn N, et al. </w:t>
      </w:r>
      <w:hyperlink r:id="rId11" w:history="1">
        <w:r w:rsidRPr="002D1CF3">
          <w:rPr>
            <w:rFonts w:ascii="Palatino Linotype" w:hAnsi="Palatino Linotype"/>
            <w:sz w:val="20"/>
            <w:szCs w:val="20"/>
            <w:lang w:val="en"/>
          </w:rPr>
          <w:t>Embedded geriatric surgical liaison is associated with reduced inpatient length of stay in older patients admitted for gastrointestinal surgery.</w:t>
        </w:r>
      </w:hyperlink>
      <w:r w:rsidRPr="002D1CF3">
        <w:rPr>
          <w:rFonts w:ascii="Palatino Linotype" w:hAnsi="Palatino Linotype"/>
          <w:sz w:val="20"/>
          <w:szCs w:val="20"/>
          <w:lang w:val="en"/>
        </w:rPr>
        <w:t xml:space="preserve"> </w:t>
      </w:r>
      <w:r w:rsidRPr="002D1CF3">
        <w:rPr>
          <w:rFonts w:ascii="Palatino Linotype" w:hAnsi="Palatino Linotype"/>
          <w:i/>
          <w:iCs/>
          <w:sz w:val="20"/>
          <w:szCs w:val="20"/>
          <w:lang w:val="fr-FR"/>
        </w:rPr>
        <w:t>Future Hospital Journal</w:t>
      </w:r>
      <w:r w:rsidR="00A04EC8" w:rsidRPr="002D1CF3">
        <w:rPr>
          <w:rFonts w:ascii="Palatino Linotype" w:hAnsi="Palatino Linotype"/>
          <w:i/>
          <w:iCs/>
          <w:sz w:val="20"/>
          <w:szCs w:val="20"/>
          <w:lang w:val="fr-FR"/>
        </w:rPr>
        <w:t xml:space="preserve"> </w:t>
      </w:r>
      <w:r w:rsidRPr="002D1CF3">
        <w:rPr>
          <w:rFonts w:ascii="Palatino Linotype" w:hAnsi="Palatino Linotype"/>
          <w:sz w:val="20"/>
          <w:szCs w:val="20"/>
          <w:lang w:val="fr-FR"/>
        </w:rPr>
        <w:t>2018;5(2):108-116.</w:t>
      </w:r>
      <w:r w:rsidRPr="002D1CF3">
        <w:rPr>
          <w:rFonts w:ascii="Palatino Linotype" w:hAnsi="Palatino Linotype"/>
          <w:sz w:val="20"/>
          <w:szCs w:val="20"/>
          <w:u w:val="single"/>
          <w:lang w:val="fr-FR"/>
        </w:rPr>
        <w:t xml:space="preserve"> </w:t>
      </w:r>
    </w:p>
    <w:p w14:paraId="37F18131" w14:textId="373D90E4" w:rsidR="0049527B" w:rsidRPr="002D1CF3" w:rsidRDefault="0049527B" w:rsidP="0049527B">
      <w:pPr>
        <w:pStyle w:val="ListParagraph"/>
        <w:ind w:left="0"/>
        <w:jc w:val="both"/>
        <w:rPr>
          <w:rFonts w:ascii="Palatino Linotype" w:hAnsi="Palatino Linotype"/>
          <w:sz w:val="20"/>
          <w:szCs w:val="20"/>
        </w:rPr>
      </w:pPr>
      <w:r w:rsidRPr="002D1CF3">
        <w:rPr>
          <w:rFonts w:ascii="Palatino Linotype" w:hAnsi="Palatino Linotype"/>
          <w:sz w:val="20"/>
          <w:szCs w:val="20"/>
          <w:shd w:val="clear" w:color="auto" w:fill="FFFFFF"/>
          <w:lang w:val="fr-FR"/>
        </w:rPr>
        <w:t>1</w:t>
      </w:r>
      <w:r w:rsidR="00396C41" w:rsidRPr="002D1CF3">
        <w:rPr>
          <w:rFonts w:ascii="Palatino Linotype" w:hAnsi="Palatino Linotype"/>
          <w:sz w:val="20"/>
          <w:szCs w:val="20"/>
          <w:shd w:val="clear" w:color="auto" w:fill="FFFFFF"/>
          <w:lang w:val="fr-FR"/>
        </w:rPr>
        <w:t>3</w:t>
      </w:r>
      <w:r w:rsidRPr="002D1CF3">
        <w:rPr>
          <w:rFonts w:ascii="Palatino Linotype" w:hAnsi="Palatino Linotype"/>
          <w:sz w:val="20"/>
          <w:szCs w:val="20"/>
          <w:shd w:val="clear" w:color="auto" w:fill="FFFFFF"/>
          <w:lang w:val="fr-FR"/>
        </w:rPr>
        <w:t xml:space="preserve">. </w:t>
      </w:r>
      <w:proofErr w:type="spellStart"/>
      <w:r w:rsidRPr="002D1CF3">
        <w:rPr>
          <w:rFonts w:ascii="Palatino Linotype" w:hAnsi="Palatino Linotype"/>
          <w:sz w:val="20"/>
          <w:szCs w:val="20"/>
          <w:shd w:val="clear" w:color="auto" w:fill="FFFFFF"/>
          <w:lang w:val="fr-FR"/>
        </w:rPr>
        <w:t>Charlson</w:t>
      </w:r>
      <w:proofErr w:type="spellEnd"/>
      <w:r w:rsidRPr="002D1CF3">
        <w:rPr>
          <w:rFonts w:ascii="Palatino Linotype" w:hAnsi="Palatino Linotype"/>
          <w:sz w:val="20"/>
          <w:szCs w:val="20"/>
          <w:shd w:val="clear" w:color="auto" w:fill="FFFFFF"/>
          <w:lang w:val="fr-FR"/>
        </w:rPr>
        <w:t xml:space="preserve">, M., </w:t>
      </w:r>
      <w:proofErr w:type="spellStart"/>
      <w:r w:rsidRPr="002D1CF3">
        <w:rPr>
          <w:rFonts w:ascii="Palatino Linotype" w:hAnsi="Palatino Linotype"/>
          <w:sz w:val="20"/>
          <w:szCs w:val="20"/>
          <w:shd w:val="clear" w:color="auto" w:fill="FFFFFF"/>
          <w:lang w:val="fr-FR"/>
        </w:rPr>
        <w:t>Pompei</w:t>
      </w:r>
      <w:proofErr w:type="spellEnd"/>
      <w:r w:rsidRPr="002D1CF3">
        <w:rPr>
          <w:rFonts w:ascii="Palatino Linotype" w:hAnsi="Palatino Linotype"/>
          <w:sz w:val="20"/>
          <w:szCs w:val="20"/>
          <w:shd w:val="clear" w:color="auto" w:fill="FFFFFF"/>
          <w:lang w:val="fr-FR"/>
        </w:rPr>
        <w:t xml:space="preserve">, P., Ales, K. et al. </w:t>
      </w:r>
      <w:r w:rsidRPr="002D1CF3">
        <w:rPr>
          <w:rFonts w:ascii="Palatino Linotype" w:hAnsi="Palatino Linotype"/>
          <w:color w:val="000000"/>
          <w:sz w:val="20"/>
          <w:szCs w:val="20"/>
          <w:shd w:val="clear" w:color="auto" w:fill="FFFFFF"/>
        </w:rPr>
        <w:t>A new method of classifying prognostic comorbidity in longitudinal studies: Development and validation.</w:t>
      </w:r>
      <w:r w:rsidRPr="002D1CF3">
        <w:rPr>
          <w:rStyle w:val="apple-converted-space"/>
          <w:rFonts w:ascii="Palatino Linotype" w:hAnsi="Palatino Linotype"/>
          <w:color w:val="000000"/>
          <w:sz w:val="20"/>
          <w:szCs w:val="20"/>
          <w:shd w:val="clear" w:color="auto" w:fill="FFFFFF"/>
        </w:rPr>
        <w:t> </w:t>
      </w:r>
      <w:r w:rsidRPr="002D1CF3">
        <w:rPr>
          <w:rFonts w:ascii="Palatino Linotype" w:hAnsi="Palatino Linotype"/>
          <w:i/>
          <w:iCs/>
          <w:color w:val="000000"/>
          <w:sz w:val="20"/>
          <w:szCs w:val="20"/>
        </w:rPr>
        <w:t>Journal of Chronic Diseases</w:t>
      </w:r>
      <w:r w:rsidRPr="002D1CF3">
        <w:rPr>
          <w:rFonts w:ascii="Palatino Linotype" w:hAnsi="Palatino Linotype"/>
          <w:color w:val="000000"/>
          <w:sz w:val="20"/>
          <w:szCs w:val="20"/>
        </w:rPr>
        <w:t>1987</w:t>
      </w:r>
      <w:r w:rsidRPr="002D1CF3">
        <w:rPr>
          <w:rFonts w:ascii="Palatino Linotype" w:hAnsi="Palatino Linotype"/>
          <w:color w:val="000000"/>
          <w:sz w:val="20"/>
          <w:szCs w:val="20"/>
          <w:shd w:val="clear" w:color="auto" w:fill="FFFFFF"/>
        </w:rPr>
        <w:t>;40(5):373-383.</w:t>
      </w:r>
    </w:p>
    <w:p w14:paraId="46F5FB02" w14:textId="31A53AD4" w:rsidR="0049527B" w:rsidRPr="002D1CF3" w:rsidRDefault="0049527B" w:rsidP="0049527B">
      <w:pPr>
        <w:pStyle w:val="ListParagraph"/>
        <w:ind w:left="0"/>
        <w:jc w:val="both"/>
        <w:rPr>
          <w:rFonts w:ascii="Palatino Linotype" w:hAnsi="Palatino Linotype"/>
          <w:sz w:val="20"/>
          <w:szCs w:val="20"/>
        </w:rPr>
      </w:pPr>
      <w:r w:rsidRPr="002D1CF3">
        <w:rPr>
          <w:rFonts w:ascii="Palatino Linotype" w:hAnsi="Palatino Linotype"/>
          <w:color w:val="000000"/>
          <w:sz w:val="20"/>
          <w:szCs w:val="20"/>
          <w:shd w:val="clear" w:color="auto" w:fill="FFFFFF"/>
        </w:rPr>
        <w:t>1</w:t>
      </w:r>
      <w:r w:rsidR="00396C41" w:rsidRPr="002D1CF3">
        <w:rPr>
          <w:rFonts w:ascii="Palatino Linotype" w:hAnsi="Palatino Linotype"/>
          <w:color w:val="000000"/>
          <w:sz w:val="20"/>
          <w:szCs w:val="20"/>
          <w:shd w:val="clear" w:color="auto" w:fill="FFFFFF"/>
        </w:rPr>
        <w:t>4</w:t>
      </w:r>
      <w:r w:rsidRPr="002D1CF3">
        <w:rPr>
          <w:rFonts w:ascii="Palatino Linotype" w:hAnsi="Palatino Linotype"/>
          <w:color w:val="000000"/>
          <w:sz w:val="20"/>
          <w:szCs w:val="20"/>
          <w:shd w:val="clear" w:color="auto" w:fill="FFFFFF"/>
        </w:rPr>
        <w:t xml:space="preserve">. Rockwood, K. and </w:t>
      </w:r>
      <w:proofErr w:type="spellStart"/>
      <w:r w:rsidRPr="002D1CF3">
        <w:rPr>
          <w:rFonts w:ascii="Palatino Linotype" w:hAnsi="Palatino Linotype"/>
          <w:color w:val="000000"/>
          <w:sz w:val="20"/>
          <w:szCs w:val="20"/>
          <w:shd w:val="clear" w:color="auto" w:fill="FFFFFF"/>
        </w:rPr>
        <w:t>Mitnitski</w:t>
      </w:r>
      <w:proofErr w:type="spellEnd"/>
      <w:r w:rsidRPr="002D1CF3">
        <w:rPr>
          <w:rFonts w:ascii="Palatino Linotype" w:hAnsi="Palatino Linotype"/>
          <w:color w:val="000000"/>
          <w:sz w:val="20"/>
          <w:szCs w:val="20"/>
          <w:shd w:val="clear" w:color="auto" w:fill="FFFFFF"/>
        </w:rPr>
        <w:t>, A. Frailty in Relation to the Accumulation of Deficits.</w:t>
      </w:r>
      <w:r w:rsidRPr="002D1CF3">
        <w:rPr>
          <w:rStyle w:val="apple-converted-space"/>
          <w:rFonts w:ascii="Palatino Linotype" w:hAnsi="Palatino Linotype"/>
          <w:color w:val="000000"/>
          <w:sz w:val="20"/>
          <w:szCs w:val="20"/>
          <w:shd w:val="clear" w:color="auto" w:fill="FFFFFF"/>
        </w:rPr>
        <w:t> </w:t>
      </w:r>
      <w:r w:rsidRPr="002D1CF3">
        <w:rPr>
          <w:rFonts w:ascii="Palatino Linotype" w:hAnsi="Palatino Linotype"/>
          <w:i/>
          <w:iCs/>
          <w:color w:val="000000"/>
          <w:sz w:val="20"/>
          <w:szCs w:val="20"/>
        </w:rPr>
        <w:t>The Journals of Gerontology Series A: Biological Sciences and Medical Sciences</w:t>
      </w:r>
      <w:r w:rsidRPr="002D1CF3">
        <w:rPr>
          <w:rFonts w:ascii="Palatino Linotype" w:hAnsi="Palatino Linotype"/>
          <w:color w:val="000000"/>
          <w:sz w:val="20"/>
          <w:szCs w:val="20"/>
        </w:rPr>
        <w:t>2007</w:t>
      </w:r>
      <w:r w:rsidRPr="002D1CF3">
        <w:rPr>
          <w:rFonts w:ascii="Palatino Linotype" w:hAnsi="Palatino Linotype"/>
          <w:color w:val="000000"/>
          <w:sz w:val="20"/>
          <w:szCs w:val="20"/>
          <w:shd w:val="clear" w:color="auto" w:fill="FFFFFF"/>
        </w:rPr>
        <w:t>;62(7):722-727.</w:t>
      </w:r>
    </w:p>
    <w:p w14:paraId="65AB5D22" w14:textId="272EEAE0" w:rsidR="0049527B" w:rsidRPr="002D1CF3" w:rsidRDefault="0049527B" w:rsidP="0049527B">
      <w:pPr>
        <w:pStyle w:val="ListParagraph"/>
        <w:ind w:left="0"/>
        <w:rPr>
          <w:rFonts w:ascii="Palatino Linotype" w:hAnsi="Palatino Linotype"/>
          <w:color w:val="000000"/>
          <w:sz w:val="20"/>
          <w:szCs w:val="20"/>
          <w:shd w:val="clear" w:color="auto" w:fill="FFFFFF"/>
          <w:lang w:eastAsia="en-GB"/>
        </w:rPr>
      </w:pPr>
      <w:r w:rsidRPr="002D1CF3">
        <w:rPr>
          <w:rFonts w:ascii="Palatino Linotype" w:hAnsi="Palatino Linotype"/>
          <w:color w:val="000000"/>
          <w:sz w:val="20"/>
          <w:szCs w:val="20"/>
          <w:shd w:val="clear" w:color="auto" w:fill="FFFFFF"/>
          <w:lang w:eastAsia="en-GB"/>
        </w:rPr>
        <w:t>1</w:t>
      </w:r>
      <w:r w:rsidR="00396C41" w:rsidRPr="002D1CF3">
        <w:rPr>
          <w:rFonts w:ascii="Palatino Linotype" w:hAnsi="Palatino Linotype"/>
          <w:color w:val="000000"/>
          <w:sz w:val="20"/>
          <w:szCs w:val="20"/>
          <w:shd w:val="clear" w:color="auto" w:fill="FFFFFF"/>
          <w:lang w:eastAsia="en-GB"/>
        </w:rPr>
        <w:t>5</w:t>
      </w:r>
      <w:r w:rsidRPr="002D1CF3">
        <w:rPr>
          <w:rFonts w:ascii="Palatino Linotype" w:hAnsi="Palatino Linotype"/>
          <w:color w:val="000000"/>
          <w:sz w:val="20"/>
          <w:szCs w:val="20"/>
          <w:shd w:val="clear" w:color="auto" w:fill="FFFFFF"/>
          <w:lang w:eastAsia="en-GB"/>
        </w:rPr>
        <w:t xml:space="preserve">. </w:t>
      </w:r>
      <w:proofErr w:type="spellStart"/>
      <w:r w:rsidRPr="002D1CF3">
        <w:rPr>
          <w:rFonts w:ascii="Palatino Linotype" w:hAnsi="Palatino Linotype"/>
          <w:color w:val="000000"/>
          <w:sz w:val="20"/>
          <w:szCs w:val="20"/>
          <w:shd w:val="clear" w:color="auto" w:fill="FFFFFF"/>
          <w:lang w:eastAsia="en-GB"/>
        </w:rPr>
        <w:t>Dindo</w:t>
      </w:r>
      <w:proofErr w:type="spellEnd"/>
      <w:r w:rsidRPr="002D1CF3">
        <w:rPr>
          <w:rFonts w:ascii="Palatino Linotype" w:hAnsi="Palatino Linotype"/>
          <w:color w:val="000000"/>
          <w:sz w:val="20"/>
          <w:szCs w:val="20"/>
          <w:shd w:val="clear" w:color="auto" w:fill="FFFFFF"/>
          <w:lang w:eastAsia="en-GB"/>
        </w:rPr>
        <w:t xml:space="preserve">, D., </w:t>
      </w:r>
      <w:proofErr w:type="spellStart"/>
      <w:r w:rsidRPr="002D1CF3">
        <w:rPr>
          <w:rFonts w:ascii="Palatino Linotype" w:hAnsi="Palatino Linotype"/>
          <w:color w:val="000000"/>
          <w:sz w:val="20"/>
          <w:szCs w:val="20"/>
          <w:shd w:val="clear" w:color="auto" w:fill="FFFFFF"/>
          <w:lang w:eastAsia="en-GB"/>
        </w:rPr>
        <w:t>Demartines</w:t>
      </w:r>
      <w:proofErr w:type="spellEnd"/>
      <w:r w:rsidRPr="002D1CF3">
        <w:rPr>
          <w:rFonts w:ascii="Palatino Linotype" w:hAnsi="Palatino Linotype"/>
          <w:color w:val="000000"/>
          <w:sz w:val="20"/>
          <w:szCs w:val="20"/>
          <w:shd w:val="clear" w:color="auto" w:fill="FFFFFF"/>
          <w:lang w:eastAsia="en-GB"/>
        </w:rPr>
        <w:t xml:space="preserve">, N. and </w:t>
      </w:r>
      <w:proofErr w:type="spellStart"/>
      <w:r w:rsidRPr="002D1CF3">
        <w:rPr>
          <w:rFonts w:ascii="Palatino Linotype" w:hAnsi="Palatino Linotype"/>
          <w:color w:val="000000"/>
          <w:sz w:val="20"/>
          <w:szCs w:val="20"/>
          <w:shd w:val="clear" w:color="auto" w:fill="FFFFFF"/>
          <w:lang w:eastAsia="en-GB"/>
        </w:rPr>
        <w:t>Clavien</w:t>
      </w:r>
      <w:proofErr w:type="spellEnd"/>
      <w:r w:rsidRPr="002D1CF3">
        <w:rPr>
          <w:rFonts w:ascii="Palatino Linotype" w:hAnsi="Palatino Linotype"/>
          <w:color w:val="000000"/>
          <w:sz w:val="20"/>
          <w:szCs w:val="20"/>
          <w:shd w:val="clear" w:color="auto" w:fill="FFFFFF"/>
          <w:lang w:eastAsia="en-GB"/>
        </w:rPr>
        <w:t>, P. Classification of Surgical Complications. </w:t>
      </w:r>
      <w:r w:rsidRPr="002D1CF3">
        <w:rPr>
          <w:rFonts w:ascii="Palatino Linotype" w:hAnsi="Palatino Linotype"/>
          <w:i/>
          <w:iCs/>
          <w:color w:val="000000"/>
          <w:sz w:val="20"/>
          <w:szCs w:val="20"/>
          <w:lang w:eastAsia="en-GB"/>
        </w:rPr>
        <w:t>Annals of Surgery</w:t>
      </w:r>
      <w:r w:rsidRPr="002D1CF3">
        <w:rPr>
          <w:rFonts w:ascii="Palatino Linotype" w:hAnsi="Palatino Linotype"/>
          <w:color w:val="000000"/>
          <w:sz w:val="20"/>
          <w:szCs w:val="20"/>
          <w:lang w:eastAsia="en-GB"/>
        </w:rPr>
        <w:t>2004</w:t>
      </w:r>
      <w:r w:rsidRPr="002D1CF3">
        <w:rPr>
          <w:rFonts w:ascii="Palatino Linotype" w:hAnsi="Palatino Linotype"/>
          <w:color w:val="000000"/>
          <w:sz w:val="20"/>
          <w:szCs w:val="20"/>
          <w:shd w:val="clear" w:color="auto" w:fill="FFFFFF"/>
          <w:lang w:eastAsia="en-GB"/>
        </w:rPr>
        <w:t>;240(2):205-213.</w:t>
      </w:r>
    </w:p>
    <w:p w14:paraId="59A4E743" w14:textId="14A0C243" w:rsidR="00396C41" w:rsidRPr="002D1CF3" w:rsidRDefault="00396C41" w:rsidP="0049527B">
      <w:pPr>
        <w:pStyle w:val="ListParagraph"/>
        <w:ind w:left="0"/>
        <w:rPr>
          <w:rFonts w:ascii="Palatino Linotype" w:hAnsi="Palatino Linotype"/>
          <w:sz w:val="20"/>
          <w:szCs w:val="20"/>
          <w:lang w:eastAsia="en-GB"/>
        </w:rPr>
      </w:pPr>
      <w:r w:rsidRPr="002D1CF3">
        <w:rPr>
          <w:rFonts w:ascii="Palatino Linotype" w:hAnsi="Palatino Linotype"/>
          <w:color w:val="000000"/>
          <w:sz w:val="20"/>
          <w:szCs w:val="20"/>
          <w:shd w:val="clear" w:color="auto" w:fill="FFFFFF"/>
          <w:lang w:eastAsia="en-GB"/>
        </w:rPr>
        <w:t xml:space="preserve">16. </w:t>
      </w:r>
      <w:r w:rsidRPr="002D1CF3">
        <w:rPr>
          <w:rFonts w:ascii="Palatino Linotype" w:hAnsi="Palatino Linotype" w:cs="Arial"/>
          <w:color w:val="000000"/>
          <w:sz w:val="20"/>
          <w:szCs w:val="20"/>
          <w:shd w:val="clear" w:color="auto" w:fill="FFFFFF"/>
        </w:rPr>
        <w:t>Improvement.nhs.uk. 2020. </w:t>
      </w:r>
      <w:r w:rsidRPr="002D1CF3">
        <w:rPr>
          <w:rFonts w:ascii="Palatino Linotype" w:hAnsi="Palatino Linotype" w:cs="Arial"/>
          <w:i/>
          <w:iCs/>
          <w:color w:val="000000"/>
          <w:sz w:val="20"/>
          <w:szCs w:val="20"/>
          <w:shd w:val="clear" w:color="auto" w:fill="FFFFFF"/>
        </w:rPr>
        <w:t xml:space="preserve">Reviewing ‘Stranded’ Patients In Hospital - What Are Patients Waiting </w:t>
      </w:r>
      <w:proofErr w:type="gramStart"/>
      <w:r w:rsidRPr="002D1CF3">
        <w:rPr>
          <w:rFonts w:ascii="Palatino Linotype" w:hAnsi="Palatino Linotype" w:cs="Arial"/>
          <w:i/>
          <w:iCs/>
          <w:color w:val="000000"/>
          <w:sz w:val="20"/>
          <w:szCs w:val="20"/>
          <w:shd w:val="clear" w:color="auto" w:fill="FFFFFF"/>
        </w:rPr>
        <w:t>For?</w:t>
      </w:r>
      <w:r w:rsidRPr="002D1CF3">
        <w:rPr>
          <w:rFonts w:ascii="Palatino Linotype" w:hAnsi="Palatino Linotype" w:cs="Arial"/>
          <w:color w:val="000000"/>
          <w:sz w:val="20"/>
          <w:szCs w:val="20"/>
          <w:shd w:val="clear" w:color="auto" w:fill="FFFFFF"/>
        </w:rPr>
        <w:t>.</w:t>
      </w:r>
      <w:proofErr w:type="gramEnd"/>
      <w:r w:rsidRPr="002D1CF3">
        <w:rPr>
          <w:rFonts w:ascii="Palatino Linotype" w:hAnsi="Palatino Linotype" w:cs="Arial"/>
          <w:color w:val="000000"/>
          <w:sz w:val="20"/>
          <w:szCs w:val="20"/>
          <w:shd w:val="clear" w:color="auto" w:fill="FFFFFF"/>
        </w:rPr>
        <w:t xml:space="preserve"> [online] Available at: &lt;https://improvement.nhs.uk/documents/631/reviewing-stranded-patients-in-hospital-RIG.pdf&gt; [Accessed 12 October 2020].</w:t>
      </w:r>
    </w:p>
    <w:p w14:paraId="7A20C048" w14:textId="296C8B53" w:rsidR="0049527B" w:rsidRPr="002D1CF3" w:rsidRDefault="0049527B" w:rsidP="0049527B">
      <w:pPr>
        <w:pStyle w:val="ListParagraph"/>
        <w:ind w:left="0"/>
        <w:rPr>
          <w:rFonts w:ascii="Palatino Linotype" w:hAnsi="Palatino Linotype"/>
          <w:color w:val="000000"/>
          <w:sz w:val="20"/>
          <w:szCs w:val="20"/>
          <w:shd w:val="clear" w:color="auto" w:fill="FFFFFF"/>
        </w:rPr>
      </w:pPr>
      <w:r w:rsidRPr="002D1CF3">
        <w:rPr>
          <w:rFonts w:ascii="Palatino Linotype" w:hAnsi="Palatino Linotype"/>
          <w:color w:val="000000"/>
          <w:sz w:val="20"/>
          <w:szCs w:val="20"/>
          <w:shd w:val="clear" w:color="auto" w:fill="FFFFFF"/>
          <w:lang w:val="fr-FR"/>
        </w:rPr>
        <w:t>1</w:t>
      </w:r>
      <w:r w:rsidR="00396C41" w:rsidRPr="002D1CF3">
        <w:rPr>
          <w:rFonts w:ascii="Palatino Linotype" w:hAnsi="Palatino Linotype"/>
          <w:color w:val="000000"/>
          <w:sz w:val="20"/>
          <w:szCs w:val="20"/>
          <w:shd w:val="clear" w:color="auto" w:fill="FFFFFF"/>
          <w:lang w:val="fr-FR"/>
        </w:rPr>
        <w:t>7</w:t>
      </w:r>
      <w:r w:rsidRPr="002D1CF3">
        <w:rPr>
          <w:rFonts w:ascii="Palatino Linotype" w:hAnsi="Palatino Linotype"/>
          <w:color w:val="000000"/>
          <w:sz w:val="20"/>
          <w:szCs w:val="20"/>
          <w:shd w:val="clear" w:color="auto" w:fill="FFFFFF"/>
          <w:lang w:val="fr-FR"/>
        </w:rPr>
        <w:t xml:space="preserve">. </w:t>
      </w:r>
      <w:proofErr w:type="spellStart"/>
      <w:r w:rsidRPr="002D1CF3">
        <w:rPr>
          <w:rFonts w:ascii="Palatino Linotype" w:hAnsi="Palatino Linotype"/>
          <w:color w:val="000000"/>
          <w:sz w:val="20"/>
          <w:szCs w:val="20"/>
          <w:shd w:val="clear" w:color="auto" w:fill="FFFFFF"/>
          <w:lang w:val="fr-FR"/>
        </w:rPr>
        <w:t>Braude</w:t>
      </w:r>
      <w:proofErr w:type="spellEnd"/>
      <w:r w:rsidRPr="002D1CF3">
        <w:rPr>
          <w:rFonts w:ascii="Palatino Linotype" w:hAnsi="Palatino Linotype"/>
          <w:color w:val="000000"/>
          <w:sz w:val="20"/>
          <w:szCs w:val="20"/>
          <w:shd w:val="clear" w:color="auto" w:fill="FFFFFF"/>
          <w:lang w:val="fr-FR"/>
        </w:rPr>
        <w:t xml:space="preserve">, P., Goodman, A., Elias, T. et al. </w:t>
      </w:r>
      <w:r w:rsidRPr="002D1CF3">
        <w:rPr>
          <w:rFonts w:ascii="Palatino Linotype" w:hAnsi="Palatino Linotype"/>
          <w:color w:val="000000"/>
          <w:sz w:val="20"/>
          <w:szCs w:val="20"/>
          <w:shd w:val="clear" w:color="auto" w:fill="FFFFFF"/>
        </w:rPr>
        <w:t>Evaluation and establishment of a ward-based geriatric liaison service for older urological surgical patients: Proactive care of Older People undergoing Surgery (POPS)-Urology. </w:t>
      </w:r>
      <w:r w:rsidRPr="002D1CF3">
        <w:rPr>
          <w:rFonts w:ascii="Palatino Linotype" w:hAnsi="Palatino Linotype"/>
          <w:i/>
          <w:iCs/>
          <w:color w:val="000000"/>
          <w:sz w:val="20"/>
          <w:szCs w:val="20"/>
        </w:rPr>
        <w:t>BJU International</w:t>
      </w:r>
      <w:r w:rsidRPr="002D1CF3">
        <w:rPr>
          <w:rFonts w:ascii="Palatino Linotype" w:hAnsi="Palatino Linotype"/>
          <w:color w:val="000000"/>
          <w:sz w:val="20"/>
          <w:szCs w:val="20"/>
        </w:rPr>
        <w:t>2016</w:t>
      </w:r>
      <w:r w:rsidRPr="002D1CF3">
        <w:rPr>
          <w:rFonts w:ascii="Palatino Linotype" w:hAnsi="Palatino Linotype"/>
          <w:color w:val="000000"/>
          <w:sz w:val="20"/>
          <w:szCs w:val="20"/>
          <w:shd w:val="clear" w:color="auto" w:fill="FFFFFF"/>
        </w:rPr>
        <w:t>;120(1):123-129.</w:t>
      </w:r>
    </w:p>
    <w:tbl>
      <w:tblPr>
        <w:tblStyle w:val="PlainTable42"/>
        <w:tblW w:w="0" w:type="auto"/>
        <w:jc w:val="center"/>
        <w:tblLook w:val="04A0" w:firstRow="1" w:lastRow="0" w:firstColumn="1" w:lastColumn="0" w:noHBand="0" w:noVBand="1"/>
      </w:tblPr>
      <w:tblGrid>
        <w:gridCol w:w="1707"/>
        <w:gridCol w:w="7137"/>
      </w:tblGrid>
      <w:tr w:rsidR="005E1846" w:rsidRPr="002D1CF3" w14:paraId="64A344E7" w14:textId="77777777" w:rsidTr="005E18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1DF608" w14:textId="02F80F96" w:rsidR="005E1846" w:rsidRPr="002D1CF3" w:rsidRDefault="005E1846" w:rsidP="005E1846">
            <w:pPr>
              <w:pStyle w:val="MDPI71References"/>
              <w:numPr>
                <w:ilvl w:val="0"/>
                <w:numId w:val="0"/>
              </w:numPr>
              <w:spacing w:before="240"/>
              <w:ind w:left="-85"/>
              <w:contextualSpacing/>
              <w:rPr>
                <w:rFonts w:eastAsia="SimSun"/>
                <w:b w:val="0"/>
                <w:sz w:val="20"/>
              </w:rPr>
            </w:pPr>
            <w:r w:rsidRPr="002D1CF3">
              <w:rPr>
                <w:rFonts w:eastAsia="SimSun"/>
                <w:noProof/>
                <w:snapToGrid/>
                <w:sz w:val="20"/>
                <w:lang w:val="en-GB" w:eastAsia="en-GB" w:bidi="ar-SA"/>
              </w:rPr>
              <w:drawing>
                <wp:inline distT="0" distB="0" distL="0" distR="0" wp14:anchorId="017AA8C4" wp14:editId="1D6CA029">
                  <wp:extent cx="1000800" cy="360000"/>
                  <wp:effectExtent l="0" t="0" r="0" b="254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0800" cy="360000"/>
                          </a:xfrm>
                          <a:prstGeom prst="rect">
                            <a:avLst/>
                          </a:prstGeom>
                        </pic:spPr>
                      </pic:pic>
                    </a:graphicData>
                  </a:graphic>
                </wp:inline>
              </w:drawing>
            </w:r>
          </w:p>
        </w:tc>
        <w:tc>
          <w:tcPr>
            <w:tcW w:w="7149" w:type="dxa"/>
            <w:vAlign w:val="center"/>
          </w:tcPr>
          <w:p w14:paraId="2D746068" w14:textId="021EFC68" w:rsidR="005E1846" w:rsidRPr="002D1CF3" w:rsidRDefault="005E1846" w:rsidP="005E1846">
            <w:pPr>
              <w:pStyle w:val="MDPI71References"/>
              <w:numPr>
                <w:ilvl w:val="0"/>
                <w:numId w:val="0"/>
              </w:numPr>
              <w:spacing w:before="240"/>
              <w:ind w:left="-85"/>
              <w:contextualSpacing/>
              <w:cnfStyle w:val="100000000000" w:firstRow="1" w:lastRow="0" w:firstColumn="0" w:lastColumn="0" w:oddVBand="0" w:evenVBand="0" w:oddHBand="0" w:evenHBand="0" w:firstRowFirstColumn="0" w:firstRowLastColumn="0" w:lastRowFirstColumn="0" w:lastRowLastColumn="0"/>
              <w:rPr>
                <w:rFonts w:eastAsia="SimSun"/>
                <w:b w:val="0"/>
                <w:sz w:val="20"/>
              </w:rPr>
            </w:pPr>
            <w:r w:rsidRPr="002D1CF3">
              <w:rPr>
                <w:rFonts w:eastAsia="SimSun"/>
                <w:b w:val="0"/>
                <w:sz w:val="20"/>
              </w:rPr>
              <w:t>© 2020 by the authors. Submitted for possible open access publication under the terms and conditions of the Creative Commons Attribution (CC BY) license (http://creativecommons.org/licenses/by/4.0/).</w:t>
            </w:r>
          </w:p>
        </w:tc>
      </w:tr>
    </w:tbl>
    <w:p w14:paraId="2D8C1E77" w14:textId="77777777" w:rsidR="00692393" w:rsidRPr="002F54FC" w:rsidRDefault="00692393" w:rsidP="00380B5B">
      <w:pPr>
        <w:pStyle w:val="MDPI71References"/>
        <w:numPr>
          <w:ilvl w:val="0"/>
          <w:numId w:val="0"/>
        </w:numPr>
        <w:spacing w:after="240" w:line="240" w:lineRule="auto"/>
        <w:contextualSpacing/>
        <w:rPr>
          <w:rFonts w:eastAsia="SimSun"/>
        </w:rPr>
      </w:pPr>
    </w:p>
    <w:sectPr w:rsidR="00692393" w:rsidRPr="002F54FC" w:rsidSect="007D4A75">
      <w:headerReference w:type="even" r:id="rId13"/>
      <w:headerReference w:type="default" r:id="rId14"/>
      <w:headerReference w:type="first" r:id="rId15"/>
      <w:footerReference w:type="first" r:id="rId16"/>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78346" w14:textId="77777777" w:rsidR="003412D7" w:rsidRDefault="003412D7">
      <w:pPr>
        <w:spacing w:line="240" w:lineRule="auto"/>
      </w:pPr>
      <w:r>
        <w:separator/>
      </w:r>
    </w:p>
  </w:endnote>
  <w:endnote w:type="continuationSeparator" w:id="0">
    <w:p w14:paraId="18E91F5F" w14:textId="77777777" w:rsidR="003412D7" w:rsidRDefault="00341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FB185" w14:textId="77777777" w:rsidR="003E5134" w:rsidRPr="00D35385" w:rsidRDefault="003E5134" w:rsidP="003C168D">
    <w:pPr>
      <w:tabs>
        <w:tab w:val="right" w:pos="8844"/>
      </w:tabs>
      <w:adjustRightInd w:val="0"/>
      <w:snapToGrid w:val="0"/>
      <w:spacing w:before="120" w:line="240" w:lineRule="auto"/>
      <w:rPr>
        <w:rFonts w:ascii="Palatino Linotype" w:hAnsi="Palatino Linotype"/>
        <w:sz w:val="16"/>
        <w:szCs w:val="16"/>
      </w:rPr>
    </w:pPr>
    <w:r w:rsidRPr="00B65510">
      <w:rPr>
        <w:rFonts w:ascii="Palatino Linotype" w:hAnsi="Palatino Linotype"/>
        <w:i/>
        <w:sz w:val="16"/>
        <w:szCs w:val="16"/>
      </w:rPr>
      <w:t>Geriatrics</w:t>
    </w:r>
    <w:r w:rsidRPr="00B65510">
      <w:rPr>
        <w:rFonts w:ascii="Palatino Linotype" w:hAnsi="Palatino Linotype"/>
        <w:iCs/>
        <w:sz w:val="16"/>
        <w:szCs w:val="16"/>
      </w:rPr>
      <w:t xml:space="preserve"> </w:t>
    </w:r>
    <w:r w:rsidRPr="003E7996">
      <w:rPr>
        <w:rFonts w:ascii="Palatino Linotype" w:hAnsi="Palatino Linotype"/>
        <w:b/>
        <w:bCs/>
        <w:iCs/>
        <w:sz w:val="16"/>
        <w:szCs w:val="16"/>
      </w:rPr>
      <w:t>20</w:t>
    </w:r>
    <w:r>
      <w:rPr>
        <w:rFonts w:ascii="Palatino Linotype" w:hAnsi="Palatino Linotype"/>
        <w:b/>
        <w:bCs/>
        <w:iCs/>
        <w:sz w:val="16"/>
        <w:szCs w:val="16"/>
      </w:rPr>
      <w:t>20</w:t>
    </w:r>
    <w:r w:rsidRPr="003E7996">
      <w:rPr>
        <w:rFonts w:ascii="Palatino Linotype" w:hAnsi="Palatino Linotype"/>
        <w:bCs/>
        <w:iCs/>
        <w:sz w:val="16"/>
        <w:szCs w:val="16"/>
      </w:rPr>
      <w:t xml:space="preserve">, </w:t>
    </w:r>
    <w:r>
      <w:rPr>
        <w:rFonts w:ascii="Palatino Linotype" w:hAnsi="Palatino Linotype"/>
        <w:bCs/>
        <w:i/>
        <w:iCs/>
        <w:sz w:val="16"/>
        <w:szCs w:val="16"/>
      </w:rPr>
      <w:t>5</w:t>
    </w:r>
    <w:r w:rsidRPr="003E7996">
      <w:rPr>
        <w:rFonts w:ascii="Palatino Linotype" w:hAnsi="Palatino Linotype"/>
        <w:bCs/>
        <w:iCs/>
        <w:sz w:val="16"/>
        <w:szCs w:val="16"/>
      </w:rPr>
      <w:t xml:space="preserve">, </w:t>
    </w:r>
    <w:r>
      <w:rPr>
        <w:rFonts w:ascii="Palatino Linotype" w:hAnsi="Palatino Linotype"/>
        <w:bCs/>
        <w:iCs/>
        <w:sz w:val="16"/>
        <w:szCs w:val="16"/>
      </w:rPr>
      <w:t xml:space="preserve">x; </w:t>
    </w:r>
    <w:proofErr w:type="spellStart"/>
    <w:r>
      <w:rPr>
        <w:rFonts w:ascii="Palatino Linotype" w:hAnsi="Palatino Linotype"/>
        <w:bCs/>
        <w:iCs/>
        <w:sz w:val="16"/>
        <w:szCs w:val="16"/>
      </w:rPr>
      <w:t>doi</w:t>
    </w:r>
    <w:proofErr w:type="spellEnd"/>
    <w:r>
      <w:rPr>
        <w:rFonts w:ascii="Palatino Linotype" w:hAnsi="Palatino Linotype"/>
        <w:bCs/>
        <w:iCs/>
        <w:sz w:val="16"/>
        <w:szCs w:val="16"/>
      </w:rPr>
      <w:t>: FOR PEER REVIEW</w:t>
    </w:r>
    <w:r w:rsidRPr="00D35385">
      <w:rPr>
        <w:rFonts w:ascii="Palatino Linotype" w:hAnsi="Palatino Linotype"/>
        <w:sz w:val="16"/>
        <w:szCs w:val="16"/>
      </w:rPr>
      <w:tab/>
      <w:t>www.mdpi.com/journal/</w:t>
    </w:r>
    <w:r>
      <w:rPr>
        <w:rFonts w:ascii="Palatino Linotype" w:hAnsi="Palatino Linotype"/>
        <w:sz w:val="16"/>
        <w:szCs w:val="16"/>
      </w:rPr>
      <w:t>g</w:t>
    </w:r>
    <w:r w:rsidRPr="00372FCD">
      <w:rPr>
        <w:rFonts w:ascii="Palatino Linotype" w:hAnsi="Palatino Linotype"/>
        <w:sz w:val="16"/>
        <w:szCs w:val="16"/>
      </w:rPr>
      <w:t>eriatrics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A0F26" w14:textId="77777777" w:rsidR="003412D7" w:rsidRDefault="003412D7">
      <w:pPr>
        <w:spacing w:line="240" w:lineRule="auto"/>
      </w:pPr>
      <w:r>
        <w:separator/>
      </w:r>
    </w:p>
  </w:footnote>
  <w:footnote w:type="continuationSeparator" w:id="0">
    <w:p w14:paraId="62585BA6" w14:textId="77777777" w:rsidR="003412D7" w:rsidRDefault="003412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60340" w14:textId="77777777" w:rsidR="003E5134" w:rsidRDefault="003E5134" w:rsidP="003E093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B15DC" w14:textId="77777777" w:rsidR="003E5134" w:rsidRPr="00976A90" w:rsidRDefault="003E5134" w:rsidP="003C168D">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Geriatrics </w:t>
    </w:r>
    <w:r w:rsidRPr="003E7996">
      <w:rPr>
        <w:rFonts w:ascii="Palatino Linotype" w:hAnsi="Palatino Linotype"/>
        <w:b/>
        <w:sz w:val="16"/>
      </w:rPr>
      <w:t>20</w:t>
    </w:r>
    <w:r>
      <w:rPr>
        <w:rFonts w:ascii="Palatino Linotype" w:hAnsi="Palatino Linotype"/>
        <w:b/>
        <w:sz w:val="16"/>
      </w:rPr>
      <w:t>20</w:t>
    </w:r>
    <w:r w:rsidRPr="003E7996">
      <w:rPr>
        <w:rFonts w:ascii="Palatino Linotype" w:hAnsi="Palatino Linotype"/>
        <w:sz w:val="16"/>
      </w:rPr>
      <w:t xml:space="preserve">, </w:t>
    </w:r>
    <w:r>
      <w:rPr>
        <w:rFonts w:ascii="Palatino Linotype" w:hAnsi="Palatino Linotype"/>
        <w:i/>
        <w:sz w:val="16"/>
      </w:rPr>
      <w:t>5</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7</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8</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908B1" w14:textId="0423D923" w:rsidR="003E5134" w:rsidRDefault="003E5134" w:rsidP="003E0936">
    <w:pPr>
      <w:pStyle w:val="MDPIheaderjournallogo"/>
    </w:pPr>
    <w:r>
      <w:rPr>
        <w:i w:val="0"/>
        <w:noProof/>
        <w:szCs w:val="16"/>
        <w:lang w:val="en-GB" w:eastAsia="en-GB"/>
      </w:rPr>
      <mc:AlternateContent>
        <mc:Choice Requires="wps">
          <w:drawing>
            <wp:anchor distT="45720" distB="45720" distL="114300" distR="114300" simplePos="0" relativeHeight="251657728" behindDoc="1" locked="0" layoutInCell="1" allowOverlap="1" wp14:anchorId="67BA43EE" wp14:editId="792B1079">
              <wp:simplePos x="0" y="0"/>
              <wp:positionH relativeFrom="page">
                <wp:posOffset>6029960</wp:posOffset>
              </wp:positionH>
              <wp:positionV relativeFrom="page">
                <wp:posOffset>647700</wp:posOffset>
              </wp:positionV>
              <wp:extent cx="540385" cy="70929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14:paraId="2341F0E9" w14:textId="2A8CCD95" w:rsidR="003E5134" w:rsidRDefault="003E5134" w:rsidP="003E0936">
                          <w:pPr>
                            <w:pStyle w:val="MDPIheaderjournallogo"/>
                            <w:jc w:val="center"/>
                            <w:textboxTightWrap w:val="allLines"/>
                            <w:rPr>
                              <w:i w:val="0"/>
                              <w:szCs w:val="16"/>
                            </w:rPr>
                          </w:pPr>
                          <w:r>
                            <w:rPr>
                              <w:i w:val="0"/>
                              <w:noProof/>
                              <w:szCs w:val="16"/>
                              <w:lang w:val="en-GB" w:eastAsia="en-GB"/>
                            </w:rPr>
                            <w:drawing>
                              <wp:inline distT="0" distB="0" distL="0" distR="0" wp14:anchorId="303D27E2" wp14:editId="072ED422">
                                <wp:extent cx="542925" cy="352425"/>
                                <wp:effectExtent l="0" t="0" r="9525" b="9525"/>
                                <wp:docPr id="6" name="Picture 3" descr="logo-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A43EE"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" stroked="f">
              <v:textbox inset="0,0,0,0">
                <w:txbxContent>
                  <w:p w14:paraId="2341F0E9" w14:textId="2A8CCD95" w:rsidR="003E5134" w:rsidRDefault="003E5134" w:rsidP="003E0936">
                    <w:pPr>
                      <w:pStyle w:val="MDPIheaderjournallogo"/>
                      <w:jc w:val="center"/>
                      <w:textboxTightWrap w:val="allLines"/>
                      <w:rPr>
                        <w:i w:val="0"/>
                        <w:szCs w:val="16"/>
                      </w:rPr>
                    </w:pPr>
                    <w:r>
                      <w:rPr>
                        <w:i w:val="0"/>
                        <w:noProof/>
                        <w:szCs w:val="16"/>
                        <w:lang w:val="en-GB" w:eastAsia="en-GB"/>
                      </w:rPr>
                      <w:drawing>
                        <wp:inline distT="0" distB="0" distL="0" distR="0" wp14:anchorId="303D27E2" wp14:editId="072ED422">
                          <wp:extent cx="542925" cy="352425"/>
                          <wp:effectExtent l="0" t="0" r="9525" b="9525"/>
                          <wp:docPr id="6" name="Picture 3" descr="logo-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txbxContent>
              </v:textbox>
              <w10:wrap anchorx="page" anchory="page"/>
            </v:shape>
          </w:pict>
        </mc:Fallback>
      </mc:AlternateContent>
    </w:r>
    <w:r>
      <w:rPr>
        <w:noProof/>
        <w:lang w:val="en-GB" w:eastAsia="en-GB"/>
      </w:rPr>
      <w:drawing>
        <wp:inline distT="0" distB="0" distL="0" distR="0" wp14:anchorId="6FCCEA35" wp14:editId="53E759FD">
          <wp:extent cx="1685925" cy="438150"/>
          <wp:effectExtent l="0" t="0" r="9525" b="0"/>
          <wp:docPr id="7" name="Picture 5" descr="geriatric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iatrics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85"/>
    <w:rsid w:val="0004443F"/>
    <w:rsid w:val="00053E65"/>
    <w:rsid w:val="00055250"/>
    <w:rsid w:val="00056D56"/>
    <w:rsid w:val="00072BD2"/>
    <w:rsid w:val="00074BA2"/>
    <w:rsid w:val="0008505F"/>
    <w:rsid w:val="000A25B6"/>
    <w:rsid w:val="000C31A6"/>
    <w:rsid w:val="000D0B2D"/>
    <w:rsid w:val="000D6ADD"/>
    <w:rsid w:val="000F355C"/>
    <w:rsid w:val="001122A2"/>
    <w:rsid w:val="001145BC"/>
    <w:rsid w:val="00115AE0"/>
    <w:rsid w:val="0011671E"/>
    <w:rsid w:val="00116A41"/>
    <w:rsid w:val="00121073"/>
    <w:rsid w:val="00130F75"/>
    <w:rsid w:val="00133BFD"/>
    <w:rsid w:val="00141677"/>
    <w:rsid w:val="00143B93"/>
    <w:rsid w:val="00147F0B"/>
    <w:rsid w:val="0015231C"/>
    <w:rsid w:val="00153754"/>
    <w:rsid w:val="001573F4"/>
    <w:rsid w:val="00167714"/>
    <w:rsid w:val="001723F0"/>
    <w:rsid w:val="0019260D"/>
    <w:rsid w:val="001A1D94"/>
    <w:rsid w:val="001A5BF3"/>
    <w:rsid w:val="001E2AEB"/>
    <w:rsid w:val="001F4327"/>
    <w:rsid w:val="001F6D8A"/>
    <w:rsid w:val="002143AA"/>
    <w:rsid w:val="002201D8"/>
    <w:rsid w:val="00280BC0"/>
    <w:rsid w:val="002A049E"/>
    <w:rsid w:val="002D1CF3"/>
    <w:rsid w:val="002F54FC"/>
    <w:rsid w:val="00316E88"/>
    <w:rsid w:val="00326141"/>
    <w:rsid w:val="003412D7"/>
    <w:rsid w:val="00361091"/>
    <w:rsid w:val="00364C84"/>
    <w:rsid w:val="00373B6E"/>
    <w:rsid w:val="00380B5B"/>
    <w:rsid w:val="00390395"/>
    <w:rsid w:val="00396C41"/>
    <w:rsid w:val="003C07FE"/>
    <w:rsid w:val="003C168D"/>
    <w:rsid w:val="003E0936"/>
    <w:rsid w:val="003E5134"/>
    <w:rsid w:val="003E7996"/>
    <w:rsid w:val="00401D30"/>
    <w:rsid w:val="00420B1E"/>
    <w:rsid w:val="0043794B"/>
    <w:rsid w:val="004659B1"/>
    <w:rsid w:val="004717E8"/>
    <w:rsid w:val="0047776E"/>
    <w:rsid w:val="0048301F"/>
    <w:rsid w:val="00491120"/>
    <w:rsid w:val="00492A6D"/>
    <w:rsid w:val="0049527B"/>
    <w:rsid w:val="004C2617"/>
    <w:rsid w:val="004D61E9"/>
    <w:rsid w:val="004F2A97"/>
    <w:rsid w:val="0051028B"/>
    <w:rsid w:val="0052146F"/>
    <w:rsid w:val="00522E75"/>
    <w:rsid w:val="00532568"/>
    <w:rsid w:val="005364C7"/>
    <w:rsid w:val="00546FA7"/>
    <w:rsid w:val="005525F1"/>
    <w:rsid w:val="005669B9"/>
    <w:rsid w:val="00576E30"/>
    <w:rsid w:val="0058718C"/>
    <w:rsid w:val="00594176"/>
    <w:rsid w:val="005C2963"/>
    <w:rsid w:val="005C697B"/>
    <w:rsid w:val="005E1846"/>
    <w:rsid w:val="0061795A"/>
    <w:rsid w:val="00622FB5"/>
    <w:rsid w:val="00624BBB"/>
    <w:rsid w:val="00642D3D"/>
    <w:rsid w:val="00664DD4"/>
    <w:rsid w:val="0068160F"/>
    <w:rsid w:val="0068739F"/>
    <w:rsid w:val="00692393"/>
    <w:rsid w:val="006B5CE8"/>
    <w:rsid w:val="006C46B6"/>
    <w:rsid w:val="006D399E"/>
    <w:rsid w:val="006E2DB0"/>
    <w:rsid w:val="006E5E3C"/>
    <w:rsid w:val="006E7AD7"/>
    <w:rsid w:val="006F436E"/>
    <w:rsid w:val="006F788B"/>
    <w:rsid w:val="007024B9"/>
    <w:rsid w:val="00725E09"/>
    <w:rsid w:val="00766BC0"/>
    <w:rsid w:val="007B0F22"/>
    <w:rsid w:val="007C055C"/>
    <w:rsid w:val="007D4A75"/>
    <w:rsid w:val="007D79DF"/>
    <w:rsid w:val="00806299"/>
    <w:rsid w:val="0081052C"/>
    <w:rsid w:val="00826A37"/>
    <w:rsid w:val="00834200"/>
    <w:rsid w:val="00845DAE"/>
    <w:rsid w:val="00857BA5"/>
    <w:rsid w:val="0086085E"/>
    <w:rsid w:val="00865E0B"/>
    <w:rsid w:val="008933F5"/>
    <w:rsid w:val="008A5ECB"/>
    <w:rsid w:val="008A6836"/>
    <w:rsid w:val="008B6087"/>
    <w:rsid w:val="008C50A4"/>
    <w:rsid w:val="008C5708"/>
    <w:rsid w:val="008D5968"/>
    <w:rsid w:val="008E4108"/>
    <w:rsid w:val="008E583C"/>
    <w:rsid w:val="009234E7"/>
    <w:rsid w:val="00927E4C"/>
    <w:rsid w:val="009616DA"/>
    <w:rsid w:val="00962EA8"/>
    <w:rsid w:val="009875A1"/>
    <w:rsid w:val="009959CB"/>
    <w:rsid w:val="009B7FBC"/>
    <w:rsid w:val="009D053D"/>
    <w:rsid w:val="009F70E6"/>
    <w:rsid w:val="00A04EC8"/>
    <w:rsid w:val="00A42ED3"/>
    <w:rsid w:val="00A43AB4"/>
    <w:rsid w:val="00A518B0"/>
    <w:rsid w:val="00A77038"/>
    <w:rsid w:val="00AB0B06"/>
    <w:rsid w:val="00AB14A0"/>
    <w:rsid w:val="00AB229F"/>
    <w:rsid w:val="00AD3286"/>
    <w:rsid w:val="00AF319E"/>
    <w:rsid w:val="00AF4015"/>
    <w:rsid w:val="00AF509E"/>
    <w:rsid w:val="00B07E5E"/>
    <w:rsid w:val="00B30E3B"/>
    <w:rsid w:val="00B74005"/>
    <w:rsid w:val="00B83CB5"/>
    <w:rsid w:val="00B912C3"/>
    <w:rsid w:val="00BA44A7"/>
    <w:rsid w:val="00BB58AB"/>
    <w:rsid w:val="00BD271C"/>
    <w:rsid w:val="00BD27E9"/>
    <w:rsid w:val="00BD7DEA"/>
    <w:rsid w:val="00BE5808"/>
    <w:rsid w:val="00BE5DE6"/>
    <w:rsid w:val="00C154DC"/>
    <w:rsid w:val="00C1777E"/>
    <w:rsid w:val="00C610F3"/>
    <w:rsid w:val="00C613F9"/>
    <w:rsid w:val="00C65CF6"/>
    <w:rsid w:val="00C67651"/>
    <w:rsid w:val="00C91D1E"/>
    <w:rsid w:val="00C93460"/>
    <w:rsid w:val="00CA581D"/>
    <w:rsid w:val="00CC0A0D"/>
    <w:rsid w:val="00CC107A"/>
    <w:rsid w:val="00CE2597"/>
    <w:rsid w:val="00CE33F3"/>
    <w:rsid w:val="00CF0956"/>
    <w:rsid w:val="00D16EE7"/>
    <w:rsid w:val="00D34CC9"/>
    <w:rsid w:val="00D3508D"/>
    <w:rsid w:val="00D35385"/>
    <w:rsid w:val="00D47DFA"/>
    <w:rsid w:val="00D5082B"/>
    <w:rsid w:val="00D63FF4"/>
    <w:rsid w:val="00D80A5B"/>
    <w:rsid w:val="00DB0A8E"/>
    <w:rsid w:val="00DB4DBE"/>
    <w:rsid w:val="00DD2CDD"/>
    <w:rsid w:val="00DD30CC"/>
    <w:rsid w:val="00DD630B"/>
    <w:rsid w:val="00DE2BDA"/>
    <w:rsid w:val="00DF0A30"/>
    <w:rsid w:val="00DF4FA5"/>
    <w:rsid w:val="00DF51A2"/>
    <w:rsid w:val="00E42E4A"/>
    <w:rsid w:val="00E61A77"/>
    <w:rsid w:val="00E70A5F"/>
    <w:rsid w:val="00EA74D1"/>
    <w:rsid w:val="00EC148C"/>
    <w:rsid w:val="00F0493C"/>
    <w:rsid w:val="00F154C5"/>
    <w:rsid w:val="00F2265C"/>
    <w:rsid w:val="00F31A02"/>
    <w:rsid w:val="00F3593B"/>
    <w:rsid w:val="00F35CDC"/>
    <w:rsid w:val="00F62508"/>
    <w:rsid w:val="00F6465B"/>
    <w:rsid w:val="00F654E7"/>
    <w:rsid w:val="00F67101"/>
    <w:rsid w:val="00F817D8"/>
    <w:rsid w:val="00FD2D94"/>
    <w:rsid w:val="00FD4E7F"/>
    <w:rsid w:val="00FD6D35"/>
    <w:rsid w:val="00FE34F4"/>
    <w:rsid w:val="00FE50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918BF"/>
  <w15:docId w15:val="{14CF3EE1-968B-4BB3-80B0-F01DAAE0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75"/>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7D4A75"/>
    <w:pPr>
      <w:spacing w:before="240" w:line="240" w:lineRule="auto"/>
      <w:ind w:firstLine="0"/>
      <w:jc w:val="left"/>
    </w:pPr>
    <w:rPr>
      <w:i/>
    </w:rPr>
  </w:style>
  <w:style w:type="paragraph" w:customStyle="1" w:styleId="MDPI12title">
    <w:name w:val="MDPI_1.2_title"/>
    <w:next w:val="MDPI13authornames"/>
    <w:qFormat/>
    <w:rsid w:val="007D4A75"/>
    <w:pPr>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basedOn w:val="MDPI31text"/>
    <w:next w:val="MDPI14history"/>
    <w:qFormat/>
    <w:rsid w:val="007D4A75"/>
    <w:pPr>
      <w:spacing w:after="120"/>
      <w:ind w:firstLine="0"/>
      <w:jc w:val="left"/>
    </w:pPr>
    <w:rPr>
      <w:b/>
      <w:snapToGrid/>
    </w:rPr>
  </w:style>
  <w:style w:type="paragraph" w:customStyle="1" w:styleId="MDPI14history">
    <w:name w:val="MDPI_1.4_history"/>
    <w:basedOn w:val="MDPI62Acknowledgments"/>
    <w:next w:val="Normal"/>
    <w:qFormat/>
    <w:rsid w:val="007D4A75"/>
    <w:pPr>
      <w:ind w:left="113"/>
      <w:jc w:val="left"/>
    </w:pPr>
    <w:rPr>
      <w:snapToGrid/>
    </w:rPr>
  </w:style>
  <w:style w:type="paragraph" w:customStyle="1" w:styleId="MDPI16affiliation">
    <w:name w:val="MDPI_1.6_affiliation"/>
    <w:basedOn w:val="MDPI62Acknowledgments"/>
    <w:qFormat/>
    <w:rsid w:val="007D4A75"/>
    <w:pPr>
      <w:spacing w:before="0"/>
      <w:ind w:left="311" w:hanging="198"/>
      <w:jc w:val="left"/>
    </w:pPr>
    <w:rPr>
      <w:snapToGrid/>
      <w:szCs w:val="18"/>
    </w:rPr>
  </w:style>
  <w:style w:type="paragraph" w:customStyle="1" w:styleId="MDPI17abstract">
    <w:name w:val="MDPI_1.7_abstract"/>
    <w:basedOn w:val="MDPI31text"/>
    <w:next w:val="MDPI18keywords"/>
    <w:qFormat/>
    <w:rsid w:val="007D4A75"/>
    <w:pPr>
      <w:spacing w:before="240"/>
      <w:ind w:left="113" w:firstLine="0"/>
    </w:pPr>
    <w:rPr>
      <w:snapToGrid/>
    </w:rPr>
  </w:style>
  <w:style w:type="paragraph" w:customStyle="1" w:styleId="MDPI18keywords">
    <w:name w:val="MDPI_1.8_keywords"/>
    <w:basedOn w:val="MDPI31text"/>
    <w:next w:val="Normal"/>
    <w:qFormat/>
    <w:rsid w:val="007D4A75"/>
    <w:pPr>
      <w:spacing w:before="240"/>
      <w:ind w:left="113" w:firstLine="0"/>
    </w:pPr>
  </w:style>
  <w:style w:type="paragraph" w:customStyle="1" w:styleId="MDPI19line">
    <w:name w:val="MDPI_1.9_line"/>
    <w:basedOn w:val="MDPI31text"/>
    <w:qFormat/>
    <w:rsid w:val="007D4A75"/>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7D4A75"/>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7D4A7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D4A7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7D4A75"/>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7D4A75"/>
    <w:pPr>
      <w:adjustRightInd w:val="0"/>
      <w:snapToGrid w:val="0"/>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7D4A75"/>
    <w:pPr>
      <w:ind w:firstLine="0"/>
    </w:pPr>
  </w:style>
  <w:style w:type="paragraph" w:customStyle="1" w:styleId="MDPI33textspaceafter">
    <w:name w:val="MDPI_3.3_text_space_after"/>
    <w:basedOn w:val="MDPI31text"/>
    <w:qFormat/>
    <w:rsid w:val="007D4A75"/>
    <w:pPr>
      <w:spacing w:after="240"/>
    </w:pPr>
  </w:style>
  <w:style w:type="paragraph" w:customStyle="1" w:styleId="MDPI34textspacebefore">
    <w:name w:val="MDPI_3.4_text_space_before"/>
    <w:basedOn w:val="MDPI31text"/>
    <w:qFormat/>
    <w:rsid w:val="007D4A75"/>
    <w:pPr>
      <w:spacing w:before="240"/>
    </w:pPr>
  </w:style>
  <w:style w:type="paragraph" w:customStyle="1" w:styleId="MDPI35textbeforelist">
    <w:name w:val="MDPI_3.5_text_before_list"/>
    <w:basedOn w:val="MDPI31text"/>
    <w:qFormat/>
    <w:rsid w:val="007D4A75"/>
    <w:pPr>
      <w:spacing w:after="120"/>
    </w:pPr>
  </w:style>
  <w:style w:type="paragraph" w:customStyle="1" w:styleId="MDPI36textafterlist">
    <w:name w:val="MDPI_3.6_text_after_list"/>
    <w:basedOn w:val="MDPI31text"/>
    <w:qFormat/>
    <w:rsid w:val="007D4A75"/>
    <w:pPr>
      <w:spacing w:before="120"/>
    </w:pPr>
  </w:style>
  <w:style w:type="paragraph" w:customStyle="1" w:styleId="MDPI37itemize">
    <w:name w:val="MDPI_3.7_itemize"/>
    <w:basedOn w:val="MDPI31text"/>
    <w:qFormat/>
    <w:rsid w:val="007D4A75"/>
    <w:pPr>
      <w:numPr>
        <w:numId w:val="1"/>
      </w:numPr>
      <w:ind w:left="425" w:hanging="425"/>
    </w:pPr>
  </w:style>
  <w:style w:type="paragraph" w:customStyle="1" w:styleId="MDPI38bullet">
    <w:name w:val="MDPI_3.8_bullet"/>
    <w:basedOn w:val="MDPI31text"/>
    <w:qFormat/>
    <w:rsid w:val="007D4A75"/>
    <w:pPr>
      <w:numPr>
        <w:numId w:val="2"/>
      </w:numPr>
      <w:ind w:left="425" w:hanging="425"/>
    </w:pPr>
  </w:style>
  <w:style w:type="paragraph" w:customStyle="1" w:styleId="MDPI39equation">
    <w:name w:val="MDPI_3.9_equation"/>
    <w:basedOn w:val="MDPI31text"/>
    <w:qFormat/>
    <w:rsid w:val="007D4A75"/>
    <w:pPr>
      <w:spacing w:before="120" w:after="120"/>
      <w:ind w:left="709" w:firstLine="0"/>
      <w:jc w:val="center"/>
    </w:pPr>
  </w:style>
  <w:style w:type="paragraph" w:customStyle="1" w:styleId="MDPI3aequationnumber">
    <w:name w:val="MDPI_3.a_equation_number"/>
    <w:basedOn w:val="MDPI31text"/>
    <w:qFormat/>
    <w:rsid w:val="007D4A75"/>
    <w:pPr>
      <w:spacing w:before="120" w:after="120" w:line="240" w:lineRule="auto"/>
      <w:ind w:firstLine="0"/>
      <w:jc w:val="right"/>
    </w:pPr>
  </w:style>
  <w:style w:type="paragraph" w:customStyle="1" w:styleId="MDPI62Acknowledgments">
    <w:name w:val="MDPI_6.2_Acknowledgments"/>
    <w:qFormat/>
    <w:rsid w:val="007D4A75"/>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41tablecaption">
    <w:name w:val="MDPI_4.1_table_caption"/>
    <w:basedOn w:val="MDPI62Acknowledgments"/>
    <w:qFormat/>
    <w:rsid w:val="007D4A75"/>
    <w:pPr>
      <w:spacing w:before="240" w:after="120" w:line="260" w:lineRule="atLeast"/>
      <w:ind w:left="425" w:right="425"/>
    </w:pPr>
    <w:rPr>
      <w:snapToGrid/>
      <w:szCs w:val="22"/>
    </w:rPr>
  </w:style>
  <w:style w:type="paragraph" w:customStyle="1" w:styleId="MDPI42tablebody">
    <w:name w:val="MDPI_4.2_table_body"/>
    <w:qFormat/>
    <w:rsid w:val="00F62508"/>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7D4A75"/>
    <w:pPr>
      <w:spacing w:before="0"/>
      <w:ind w:left="0" w:right="0"/>
    </w:pPr>
  </w:style>
  <w:style w:type="paragraph" w:customStyle="1" w:styleId="MDPI51figurecaption">
    <w:name w:val="MDPI_5.1_figure_caption"/>
    <w:basedOn w:val="MDPI62Acknowledgments"/>
    <w:qFormat/>
    <w:rsid w:val="007D4A75"/>
    <w:pPr>
      <w:spacing w:after="240" w:line="260" w:lineRule="atLeast"/>
      <w:ind w:left="425" w:right="425"/>
    </w:pPr>
    <w:rPr>
      <w:snapToGrid/>
    </w:rPr>
  </w:style>
  <w:style w:type="paragraph" w:customStyle="1" w:styleId="MDPI52figure">
    <w:name w:val="MDPI_5.2_figure"/>
    <w:qFormat/>
    <w:rsid w:val="007D4A75"/>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qFormat/>
    <w:rsid w:val="007D4A75"/>
    <w:pPr>
      <w:spacing w:before="240"/>
    </w:pPr>
    <w:rPr>
      <w:lang w:eastAsia="en-US"/>
    </w:rPr>
  </w:style>
  <w:style w:type="paragraph" w:customStyle="1" w:styleId="MDPI63AuthorContributions">
    <w:name w:val="MDPI_6.3_AuthorContributions"/>
    <w:basedOn w:val="MDPI62Acknowledgments"/>
    <w:qFormat/>
    <w:rsid w:val="007D4A75"/>
    <w:rPr>
      <w:rFonts w:eastAsia="SimSun"/>
      <w:color w:val="auto"/>
      <w:lang w:eastAsia="en-US"/>
    </w:rPr>
  </w:style>
  <w:style w:type="paragraph" w:customStyle="1" w:styleId="MDPI64CoI">
    <w:name w:val="MDPI_6.4_CoI"/>
    <w:basedOn w:val="MDPI62Acknowledgments"/>
    <w:qFormat/>
    <w:rsid w:val="007D4A75"/>
  </w:style>
  <w:style w:type="paragraph" w:customStyle="1" w:styleId="MDPI81theorem">
    <w:name w:val="MDPI_8.1_theorem"/>
    <w:basedOn w:val="MDPI32textnoindent"/>
    <w:qFormat/>
    <w:rsid w:val="007D4A75"/>
    <w:rPr>
      <w:i/>
    </w:rPr>
  </w:style>
  <w:style w:type="paragraph" w:customStyle="1" w:styleId="MDPI82proof">
    <w:name w:val="MDPI_8.2_proof"/>
    <w:basedOn w:val="MDPI32textnoindent"/>
    <w:qFormat/>
    <w:rsid w:val="007D4A75"/>
  </w:style>
  <w:style w:type="paragraph" w:customStyle="1" w:styleId="MDPI31text">
    <w:name w:val="MDPI_3.1_text"/>
    <w:qFormat/>
    <w:rsid w:val="007D4A75"/>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23heading3">
    <w:name w:val="MDPI_2.3_heading3"/>
    <w:basedOn w:val="MDPI31text"/>
    <w:qFormat/>
    <w:rsid w:val="007D4A75"/>
    <w:pPr>
      <w:spacing w:before="240" w:after="120"/>
      <w:ind w:firstLine="0"/>
      <w:jc w:val="left"/>
      <w:outlineLvl w:val="2"/>
    </w:pPr>
  </w:style>
  <w:style w:type="paragraph" w:customStyle="1" w:styleId="MDPI21heading1">
    <w:name w:val="MDPI_2.1_heading1"/>
    <w:basedOn w:val="MDPI23heading3"/>
    <w:qFormat/>
    <w:rsid w:val="007D4A75"/>
    <w:pPr>
      <w:outlineLvl w:val="0"/>
    </w:pPr>
    <w:rPr>
      <w:b/>
    </w:rPr>
  </w:style>
  <w:style w:type="paragraph" w:customStyle="1" w:styleId="MDPI22heading2">
    <w:name w:val="MDPI_2.2_heading2"/>
    <w:basedOn w:val="Normal"/>
    <w:qFormat/>
    <w:rsid w:val="007D4A75"/>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7D4A75"/>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7D4A75"/>
    <w:pPr>
      <w:spacing w:line="240" w:lineRule="auto"/>
    </w:pPr>
    <w:rPr>
      <w:sz w:val="18"/>
      <w:szCs w:val="18"/>
    </w:rPr>
  </w:style>
  <w:style w:type="character" w:customStyle="1" w:styleId="BalloonTextChar">
    <w:name w:val="Balloon Text Char"/>
    <w:link w:val="BalloonText"/>
    <w:uiPriority w:val="99"/>
    <w:semiHidden/>
    <w:rsid w:val="007D4A75"/>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7D4A75"/>
  </w:style>
  <w:style w:type="table" w:customStyle="1" w:styleId="MDPI41threelinetable">
    <w:name w:val="MDPI_4.1_three_line_table"/>
    <w:basedOn w:val="TableNormal"/>
    <w:uiPriority w:val="99"/>
    <w:rsid w:val="00F6250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9234E7"/>
    <w:rPr>
      <w:color w:val="0563C1"/>
      <w:u w:val="single"/>
    </w:rPr>
  </w:style>
  <w:style w:type="character" w:customStyle="1" w:styleId="UnresolvedMention1">
    <w:name w:val="Unresolved Mention1"/>
    <w:uiPriority w:val="99"/>
    <w:semiHidden/>
    <w:unhideWhenUsed/>
    <w:rsid w:val="00116A41"/>
    <w:rPr>
      <w:color w:val="605E5C"/>
      <w:shd w:val="clear" w:color="auto" w:fill="E1DFDD"/>
    </w:rPr>
  </w:style>
  <w:style w:type="paragraph" w:styleId="Footer">
    <w:name w:val="footer"/>
    <w:basedOn w:val="Normal"/>
    <w:link w:val="FooterChar"/>
    <w:uiPriority w:val="99"/>
    <w:unhideWhenUsed/>
    <w:rsid w:val="003E7996"/>
    <w:pPr>
      <w:tabs>
        <w:tab w:val="center" w:pos="4153"/>
        <w:tab w:val="right" w:pos="8306"/>
      </w:tabs>
    </w:pPr>
  </w:style>
  <w:style w:type="character" w:customStyle="1" w:styleId="FooterChar">
    <w:name w:val="Footer Char"/>
    <w:link w:val="Footer"/>
    <w:uiPriority w:val="99"/>
    <w:rsid w:val="003E7996"/>
    <w:rPr>
      <w:rFonts w:ascii="Times New Roman" w:eastAsia="Times New Roman" w:hAnsi="Times New Roman"/>
      <w:color w:val="000000"/>
      <w:sz w:val="24"/>
      <w:lang w:eastAsia="de-DE"/>
    </w:rPr>
  </w:style>
  <w:style w:type="table" w:customStyle="1" w:styleId="PlainTable41">
    <w:name w:val="Plain Table 41"/>
    <w:basedOn w:val="TableNormal"/>
    <w:uiPriority w:val="44"/>
    <w:rsid w:val="003E79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basedOn w:val="Normal"/>
    <w:uiPriority w:val="34"/>
    <w:qFormat/>
    <w:rsid w:val="0049527B"/>
    <w:pPr>
      <w:spacing w:line="240" w:lineRule="auto"/>
      <w:ind w:left="720"/>
      <w:contextualSpacing/>
      <w:jc w:val="left"/>
    </w:pPr>
    <w:rPr>
      <w:color w:val="auto"/>
      <w:szCs w:val="24"/>
      <w:lang w:eastAsia="en-US"/>
    </w:rPr>
  </w:style>
  <w:style w:type="character" w:customStyle="1" w:styleId="apple-converted-space">
    <w:name w:val="apple-converted-space"/>
    <w:rsid w:val="0049527B"/>
  </w:style>
  <w:style w:type="character" w:customStyle="1" w:styleId="selectable">
    <w:name w:val="selectable"/>
    <w:rsid w:val="0049527B"/>
  </w:style>
  <w:style w:type="table" w:customStyle="1" w:styleId="PlainTable42">
    <w:name w:val="Plain Table 42"/>
    <w:basedOn w:val="TableNormal"/>
    <w:uiPriority w:val="44"/>
    <w:rsid w:val="005E184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D79DF"/>
    <w:rPr>
      <w:sz w:val="16"/>
      <w:szCs w:val="16"/>
    </w:rPr>
  </w:style>
  <w:style w:type="paragraph" w:styleId="CommentText">
    <w:name w:val="annotation text"/>
    <w:basedOn w:val="Normal"/>
    <w:link w:val="CommentTextChar"/>
    <w:uiPriority w:val="99"/>
    <w:unhideWhenUsed/>
    <w:rsid w:val="007D79DF"/>
    <w:pPr>
      <w:spacing w:line="240" w:lineRule="auto"/>
    </w:pPr>
    <w:rPr>
      <w:sz w:val="20"/>
    </w:rPr>
  </w:style>
  <w:style w:type="character" w:customStyle="1" w:styleId="CommentTextChar">
    <w:name w:val="Comment Text Char"/>
    <w:basedOn w:val="DefaultParagraphFont"/>
    <w:link w:val="CommentText"/>
    <w:uiPriority w:val="99"/>
    <w:rsid w:val="007D79DF"/>
    <w:rPr>
      <w:rFonts w:ascii="Times New Roman" w:eastAsia="Times New Roman" w:hAnsi="Times New Roman"/>
      <w:color w:val="000000"/>
      <w:lang w:val="en-US" w:eastAsia="de-DE"/>
    </w:rPr>
  </w:style>
  <w:style w:type="paragraph" w:styleId="CommentSubject">
    <w:name w:val="annotation subject"/>
    <w:basedOn w:val="CommentText"/>
    <w:next w:val="CommentText"/>
    <w:link w:val="CommentSubjectChar"/>
    <w:uiPriority w:val="99"/>
    <w:semiHidden/>
    <w:unhideWhenUsed/>
    <w:rsid w:val="007D79DF"/>
    <w:rPr>
      <w:b/>
      <w:bCs/>
    </w:rPr>
  </w:style>
  <w:style w:type="character" w:customStyle="1" w:styleId="CommentSubjectChar">
    <w:name w:val="Comment Subject Char"/>
    <w:basedOn w:val="CommentTextChar"/>
    <w:link w:val="CommentSubject"/>
    <w:uiPriority w:val="99"/>
    <w:semiHidden/>
    <w:rsid w:val="007D79DF"/>
    <w:rPr>
      <w:rFonts w:ascii="Times New Roman" w:eastAsia="Times New Roman" w:hAnsi="Times New Roman"/>
      <w:b/>
      <w:bCs/>
      <w:color w:val="000000"/>
      <w:lang w:val="en-US" w:eastAsia="de-DE"/>
    </w:rPr>
  </w:style>
  <w:style w:type="character" w:styleId="FollowedHyperlink">
    <w:name w:val="FollowedHyperlink"/>
    <w:basedOn w:val="DefaultParagraphFont"/>
    <w:uiPriority w:val="99"/>
    <w:semiHidden/>
    <w:unhideWhenUsed/>
    <w:rsid w:val="00364C84"/>
    <w:rPr>
      <w:color w:val="954F72" w:themeColor="followedHyperlink"/>
      <w:u w:val="single"/>
    </w:rPr>
  </w:style>
  <w:style w:type="character" w:styleId="UnresolvedMention">
    <w:name w:val="Unresolved Mention"/>
    <w:basedOn w:val="DefaultParagraphFont"/>
    <w:uiPriority w:val="99"/>
    <w:semiHidden/>
    <w:unhideWhenUsed/>
    <w:rsid w:val="00E4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447877">
      <w:bodyDiv w:val="1"/>
      <w:marLeft w:val="0"/>
      <w:marRight w:val="0"/>
      <w:marTop w:val="0"/>
      <w:marBottom w:val="0"/>
      <w:divBdr>
        <w:top w:val="none" w:sz="0" w:space="0" w:color="auto"/>
        <w:left w:val="none" w:sz="0" w:space="0" w:color="auto"/>
        <w:bottom w:val="none" w:sz="0" w:space="0" w:color="auto"/>
        <w:right w:val="none" w:sz="0" w:space="0" w:color="auto"/>
      </w:divBdr>
      <w:divsChild>
        <w:div w:id="54856956">
          <w:marLeft w:val="270"/>
          <w:marRight w:val="0"/>
          <w:marTop w:val="0"/>
          <w:marBottom w:val="0"/>
          <w:divBdr>
            <w:top w:val="none" w:sz="0" w:space="0" w:color="auto"/>
            <w:left w:val="none" w:sz="0" w:space="0" w:color="auto"/>
            <w:bottom w:val="none" w:sz="0" w:space="0" w:color="auto"/>
            <w:right w:val="none" w:sz="0" w:space="0" w:color="auto"/>
          </w:divBdr>
          <w:divsChild>
            <w:div w:id="940798960">
              <w:marLeft w:val="1380"/>
              <w:marRight w:val="0"/>
              <w:marTop w:val="0"/>
              <w:marBottom w:val="0"/>
              <w:divBdr>
                <w:top w:val="none" w:sz="0" w:space="0" w:color="auto"/>
                <w:left w:val="none" w:sz="0" w:space="0" w:color="auto"/>
                <w:bottom w:val="none" w:sz="0" w:space="0" w:color="auto"/>
                <w:right w:val="none" w:sz="0" w:space="0" w:color="auto"/>
              </w:divBdr>
              <w:divsChild>
                <w:div w:id="1348752725">
                  <w:marLeft w:val="0"/>
                  <w:marRight w:val="0"/>
                  <w:marTop w:val="0"/>
                  <w:marBottom w:val="0"/>
                  <w:divBdr>
                    <w:top w:val="none" w:sz="0" w:space="0" w:color="auto"/>
                    <w:left w:val="none" w:sz="0" w:space="0" w:color="auto"/>
                    <w:bottom w:val="none" w:sz="0" w:space="0" w:color="auto"/>
                    <w:right w:val="none" w:sz="0" w:space="0" w:color="auto"/>
                  </w:divBdr>
                </w:div>
              </w:divsChild>
            </w:div>
            <w:div w:id="324431647">
              <w:marLeft w:val="0"/>
              <w:marRight w:val="0"/>
              <w:marTop w:val="0"/>
              <w:marBottom w:val="0"/>
              <w:divBdr>
                <w:top w:val="none" w:sz="0" w:space="0" w:color="auto"/>
                <w:left w:val="none" w:sz="0" w:space="0" w:color="auto"/>
                <w:bottom w:val="none" w:sz="0" w:space="0" w:color="auto"/>
                <w:right w:val="none" w:sz="0" w:space="0" w:color="auto"/>
              </w:divBdr>
              <w:divsChild>
                <w:div w:id="1552035163">
                  <w:marLeft w:val="0"/>
                  <w:marRight w:val="0"/>
                  <w:marTop w:val="0"/>
                  <w:marBottom w:val="0"/>
                  <w:divBdr>
                    <w:top w:val="none" w:sz="0" w:space="0" w:color="auto"/>
                    <w:left w:val="none" w:sz="0" w:space="0" w:color="auto"/>
                    <w:bottom w:val="none" w:sz="0" w:space="0" w:color="auto"/>
                    <w:right w:val="none" w:sz="0" w:space="0" w:color="auto"/>
                  </w:divBdr>
                  <w:divsChild>
                    <w:div w:id="1441607732">
                      <w:marLeft w:val="0"/>
                      <w:marRight w:val="0"/>
                      <w:marTop w:val="0"/>
                      <w:marBottom w:val="0"/>
                      <w:divBdr>
                        <w:top w:val="single" w:sz="6" w:space="0" w:color="C6C6C6"/>
                        <w:left w:val="single" w:sz="6" w:space="0" w:color="C6C6C6"/>
                        <w:bottom w:val="single" w:sz="6" w:space="0" w:color="C6C6C6"/>
                        <w:right w:val="single" w:sz="6" w:space="0" w:color="C6C6C6"/>
                      </w:divBdr>
                    </w:div>
                  </w:divsChild>
                </w:div>
              </w:divsChild>
            </w:div>
            <w:div w:id="427969937">
              <w:marLeft w:val="0"/>
              <w:marRight w:val="0"/>
              <w:marTop w:val="0"/>
              <w:marBottom w:val="0"/>
              <w:divBdr>
                <w:top w:val="none" w:sz="0" w:space="0" w:color="auto"/>
                <w:left w:val="none" w:sz="0" w:space="0" w:color="auto"/>
                <w:bottom w:val="none" w:sz="0" w:space="0" w:color="auto"/>
                <w:right w:val="none" w:sz="0" w:space="0" w:color="auto"/>
              </w:divBdr>
            </w:div>
            <w:div w:id="1195732020">
              <w:marLeft w:val="0"/>
              <w:marRight w:val="0"/>
              <w:marTop w:val="0"/>
              <w:marBottom w:val="0"/>
              <w:divBdr>
                <w:top w:val="none" w:sz="0" w:space="0" w:color="auto"/>
                <w:left w:val="none" w:sz="0" w:space="0" w:color="auto"/>
                <w:bottom w:val="none" w:sz="0" w:space="0" w:color="auto"/>
                <w:right w:val="none" w:sz="0" w:space="0" w:color="auto"/>
              </w:divBdr>
              <w:divsChild>
                <w:div w:id="1468621179">
                  <w:marLeft w:val="0"/>
                  <w:marRight w:val="0"/>
                  <w:marTop w:val="120"/>
                  <w:marBottom w:val="120"/>
                  <w:divBdr>
                    <w:top w:val="none" w:sz="0" w:space="0" w:color="auto"/>
                    <w:left w:val="none" w:sz="0" w:space="0" w:color="auto"/>
                    <w:bottom w:val="none" w:sz="0" w:space="0" w:color="auto"/>
                    <w:right w:val="none" w:sz="0" w:space="0" w:color="auto"/>
                  </w:divBdr>
                </w:div>
              </w:divsChild>
            </w:div>
            <w:div w:id="1810054268">
              <w:marLeft w:val="0"/>
              <w:marRight w:val="0"/>
              <w:marTop w:val="0"/>
              <w:marBottom w:val="0"/>
              <w:divBdr>
                <w:top w:val="none" w:sz="0" w:space="0" w:color="auto"/>
                <w:left w:val="none" w:sz="0" w:space="0" w:color="auto"/>
                <w:bottom w:val="none" w:sz="0" w:space="0" w:color="auto"/>
                <w:right w:val="none" w:sz="0" w:space="0" w:color="auto"/>
              </w:divBdr>
              <w:divsChild>
                <w:div w:id="1209957664">
                  <w:marLeft w:val="0"/>
                  <w:marRight w:val="0"/>
                  <w:marTop w:val="0"/>
                  <w:marBottom w:val="0"/>
                  <w:divBdr>
                    <w:top w:val="none" w:sz="0" w:space="0" w:color="auto"/>
                    <w:left w:val="none" w:sz="0" w:space="0" w:color="auto"/>
                    <w:bottom w:val="none" w:sz="0" w:space="0" w:color="auto"/>
                    <w:right w:val="none" w:sz="0" w:space="0" w:color="auto"/>
                  </w:divBdr>
                  <w:divsChild>
                    <w:div w:id="232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white@uwe.ac.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3109854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m\Downloads\geriatri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42BA3-D4B5-4027-96A7-EE1CE130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geriatrics-template</Template>
  <TotalTime>2</TotalTime>
  <Pages>8</Pages>
  <Words>3194</Words>
  <Characters>18209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21361</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mitchell</dc:creator>
  <cp:lastModifiedBy>Paul White</cp:lastModifiedBy>
  <cp:revision>2</cp:revision>
  <cp:lastPrinted>2020-08-27T04:15:00Z</cp:lastPrinted>
  <dcterms:created xsi:type="dcterms:W3CDTF">2020-10-15T20:13:00Z</dcterms:created>
  <dcterms:modified xsi:type="dcterms:W3CDTF">2020-10-15T20:13:00Z</dcterms:modified>
</cp:coreProperties>
</file>