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1FE77" w14:textId="77777777" w:rsidR="005E6520" w:rsidRDefault="005E6520" w:rsidP="005E6520">
      <w:pPr>
        <w:rPr>
          <w:rFonts w:ascii="Times New Roman" w:hAnsi="Times New Roman" w:cs="Times New Roman"/>
          <w:b/>
          <w:sz w:val="24"/>
          <w:szCs w:val="24"/>
        </w:rPr>
      </w:pPr>
    </w:p>
    <w:p w14:paraId="047C087B" w14:textId="77777777" w:rsidR="005E6520" w:rsidRDefault="005E6520" w:rsidP="005E6520">
      <w:pPr>
        <w:rPr>
          <w:rFonts w:ascii="Times New Roman" w:hAnsi="Times New Roman" w:cs="Times New Roman"/>
          <w:b/>
          <w:sz w:val="24"/>
          <w:szCs w:val="24"/>
        </w:rPr>
      </w:pPr>
    </w:p>
    <w:p w14:paraId="255E03B8" w14:textId="77777777" w:rsidR="005E6520" w:rsidRDefault="005E6520" w:rsidP="005E6520">
      <w:pPr>
        <w:rPr>
          <w:rFonts w:ascii="Times New Roman" w:hAnsi="Times New Roman" w:cs="Times New Roman"/>
          <w:b/>
          <w:sz w:val="24"/>
          <w:szCs w:val="24"/>
        </w:rPr>
      </w:pPr>
    </w:p>
    <w:p w14:paraId="22C163B1" w14:textId="77777777" w:rsidR="005E6520" w:rsidRDefault="005E6520" w:rsidP="005E6520">
      <w:pPr>
        <w:rPr>
          <w:rFonts w:ascii="Times New Roman" w:hAnsi="Times New Roman" w:cs="Times New Roman"/>
          <w:b/>
          <w:sz w:val="24"/>
          <w:szCs w:val="24"/>
        </w:rPr>
      </w:pPr>
    </w:p>
    <w:p w14:paraId="701A3977" w14:textId="77777777" w:rsidR="005E6520" w:rsidRDefault="005E6520" w:rsidP="005E6520">
      <w:pPr>
        <w:rPr>
          <w:rFonts w:ascii="Times New Roman" w:hAnsi="Times New Roman" w:cs="Times New Roman"/>
          <w:b/>
          <w:sz w:val="24"/>
          <w:szCs w:val="24"/>
        </w:rPr>
      </w:pPr>
    </w:p>
    <w:p w14:paraId="391B84F7" w14:textId="77777777" w:rsidR="005E6520" w:rsidRDefault="005E6520" w:rsidP="005E6520">
      <w:pPr>
        <w:rPr>
          <w:rFonts w:ascii="Times New Roman" w:hAnsi="Times New Roman" w:cs="Times New Roman"/>
          <w:b/>
          <w:sz w:val="24"/>
          <w:szCs w:val="24"/>
        </w:rPr>
      </w:pPr>
    </w:p>
    <w:p w14:paraId="6FC8BF96" w14:textId="77777777" w:rsidR="005E6520" w:rsidRDefault="005E6520" w:rsidP="005E6520">
      <w:pPr>
        <w:rPr>
          <w:rFonts w:ascii="Times New Roman" w:hAnsi="Times New Roman" w:cs="Times New Roman"/>
          <w:b/>
          <w:sz w:val="24"/>
          <w:szCs w:val="24"/>
        </w:rPr>
      </w:pPr>
    </w:p>
    <w:p w14:paraId="036ABEC1" w14:textId="7DACDC14" w:rsidR="00B44FF9" w:rsidRDefault="00B44FF9" w:rsidP="00974E84">
      <w:pPr>
        <w:spacing w:line="480" w:lineRule="auto"/>
        <w:rPr>
          <w:rFonts w:ascii="Times New Roman" w:hAnsi="Times New Roman" w:cs="Times New Roman"/>
          <w:sz w:val="24"/>
          <w:szCs w:val="24"/>
        </w:rPr>
      </w:pPr>
      <w:r>
        <w:rPr>
          <w:rFonts w:ascii="Times New Roman" w:hAnsi="Times New Roman" w:cs="Times New Roman"/>
          <w:sz w:val="24"/>
          <w:szCs w:val="24"/>
        </w:rPr>
        <w:t>INTENSITY OF FOREIGN INVESTMENT PROMOTION AN</w:t>
      </w:r>
      <w:r w:rsidR="003700AF">
        <w:rPr>
          <w:rFonts w:ascii="Times New Roman" w:hAnsi="Times New Roman" w:cs="Times New Roman"/>
          <w:sz w:val="24"/>
          <w:szCs w:val="24"/>
        </w:rPr>
        <w:t>D DEVELOPMENT LEVELS IN CENTRAL-</w:t>
      </w:r>
      <w:r>
        <w:rPr>
          <w:rFonts w:ascii="Times New Roman" w:hAnsi="Times New Roman" w:cs="Times New Roman"/>
          <w:sz w:val="24"/>
          <w:szCs w:val="24"/>
        </w:rPr>
        <w:t>EASTER</w:t>
      </w:r>
      <w:r w:rsidR="003700AF">
        <w:rPr>
          <w:rFonts w:ascii="Times New Roman" w:hAnsi="Times New Roman" w:cs="Times New Roman"/>
          <w:sz w:val="24"/>
          <w:szCs w:val="24"/>
        </w:rPr>
        <w:t>N</w:t>
      </w:r>
      <w:r>
        <w:rPr>
          <w:rFonts w:ascii="Times New Roman" w:hAnsi="Times New Roman" w:cs="Times New Roman"/>
          <w:sz w:val="24"/>
          <w:szCs w:val="24"/>
        </w:rPr>
        <w:t xml:space="preserve"> EUROPEAN REGIONS</w:t>
      </w:r>
    </w:p>
    <w:p w14:paraId="31249CE6" w14:textId="77777777" w:rsidR="00B44FF9" w:rsidRDefault="00B44FF9" w:rsidP="005E6520">
      <w:pPr>
        <w:spacing w:line="480" w:lineRule="auto"/>
        <w:rPr>
          <w:rFonts w:ascii="Times New Roman" w:hAnsi="Times New Roman" w:cs="Times New Roman"/>
          <w:b/>
          <w:sz w:val="24"/>
          <w:szCs w:val="24"/>
        </w:rPr>
      </w:pPr>
    </w:p>
    <w:p w14:paraId="64A3F287" w14:textId="77777777" w:rsidR="00B44FF9" w:rsidRDefault="00B44FF9" w:rsidP="005E6520">
      <w:pPr>
        <w:spacing w:line="480" w:lineRule="auto"/>
        <w:rPr>
          <w:rFonts w:ascii="Times New Roman" w:hAnsi="Times New Roman" w:cs="Times New Roman"/>
          <w:b/>
          <w:sz w:val="24"/>
          <w:szCs w:val="24"/>
        </w:rPr>
      </w:pPr>
    </w:p>
    <w:p w14:paraId="009C101F" w14:textId="77777777" w:rsidR="005E6520" w:rsidRDefault="005E6520" w:rsidP="005E6520">
      <w:pPr>
        <w:rPr>
          <w:rFonts w:ascii="Times New Roman" w:hAnsi="Times New Roman" w:cs="Times New Roman"/>
          <w:sz w:val="24"/>
          <w:szCs w:val="24"/>
        </w:rPr>
      </w:pPr>
    </w:p>
    <w:p w14:paraId="7E231806" w14:textId="77777777" w:rsidR="005E6520" w:rsidRDefault="005E6520" w:rsidP="005E6520">
      <w:pPr>
        <w:rPr>
          <w:rFonts w:ascii="Times New Roman" w:hAnsi="Times New Roman" w:cs="Times New Roman"/>
          <w:sz w:val="24"/>
          <w:szCs w:val="24"/>
        </w:rPr>
      </w:pPr>
    </w:p>
    <w:p w14:paraId="235DA92D" w14:textId="77777777" w:rsidR="005E6520" w:rsidRDefault="005E6520" w:rsidP="005E6520">
      <w:pPr>
        <w:rPr>
          <w:rFonts w:ascii="Times New Roman" w:hAnsi="Times New Roman" w:cs="Times New Roman"/>
          <w:sz w:val="24"/>
          <w:szCs w:val="24"/>
        </w:rPr>
      </w:pPr>
    </w:p>
    <w:p w14:paraId="5B2FE043" w14:textId="77777777" w:rsidR="005E6520" w:rsidRDefault="005E6520" w:rsidP="005E6520">
      <w:pPr>
        <w:rPr>
          <w:rFonts w:ascii="Times New Roman" w:hAnsi="Times New Roman" w:cs="Times New Roman"/>
          <w:sz w:val="24"/>
          <w:szCs w:val="24"/>
        </w:rPr>
      </w:pPr>
    </w:p>
    <w:p w14:paraId="56BB5E07" w14:textId="77777777" w:rsidR="005E6520" w:rsidRDefault="005E6520" w:rsidP="005E6520">
      <w:pPr>
        <w:rPr>
          <w:rFonts w:ascii="Times New Roman" w:hAnsi="Times New Roman" w:cs="Times New Roman"/>
          <w:sz w:val="24"/>
          <w:szCs w:val="24"/>
        </w:rPr>
      </w:pPr>
    </w:p>
    <w:p w14:paraId="6D131DC3" w14:textId="77777777" w:rsidR="005E6520" w:rsidRDefault="005E6520" w:rsidP="005E6520">
      <w:pPr>
        <w:rPr>
          <w:rFonts w:ascii="Times New Roman" w:hAnsi="Times New Roman" w:cs="Times New Roman"/>
          <w:sz w:val="24"/>
          <w:szCs w:val="24"/>
        </w:rPr>
      </w:pPr>
    </w:p>
    <w:p w14:paraId="1169BF46" w14:textId="3EE2876B" w:rsidR="000679D7" w:rsidRDefault="000679D7">
      <w:pPr>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br w:type="page"/>
      </w:r>
    </w:p>
    <w:p w14:paraId="20DB969B" w14:textId="77777777" w:rsidR="005E6520" w:rsidRDefault="005E6520" w:rsidP="005E6520">
      <w:pPr>
        <w:pStyle w:val="BodyText"/>
        <w:kinsoku w:val="0"/>
        <w:overflowPunct w:val="0"/>
        <w:spacing w:before="52" w:line="480" w:lineRule="auto"/>
        <w:ind w:left="0"/>
        <w:rPr>
          <w:b/>
          <w:bCs/>
          <w:sz w:val="24"/>
          <w:szCs w:val="24"/>
        </w:rPr>
      </w:pPr>
      <w:r>
        <w:rPr>
          <w:b/>
          <w:bCs/>
          <w:sz w:val="24"/>
          <w:szCs w:val="24"/>
        </w:rPr>
        <w:lastRenderedPageBreak/>
        <w:t>Introduction</w:t>
      </w:r>
    </w:p>
    <w:p w14:paraId="232D784D" w14:textId="332871CC" w:rsidR="005E6520" w:rsidRDefault="005E6520" w:rsidP="005E6520">
      <w:pPr>
        <w:pStyle w:val="BodyText"/>
        <w:kinsoku w:val="0"/>
        <w:overflowPunct w:val="0"/>
        <w:spacing w:line="480" w:lineRule="auto"/>
        <w:ind w:left="0" w:firstLine="720"/>
        <w:rPr>
          <w:sz w:val="24"/>
          <w:szCs w:val="24"/>
        </w:rPr>
      </w:pPr>
      <w:r>
        <w:rPr>
          <w:sz w:val="24"/>
          <w:szCs w:val="24"/>
        </w:rPr>
        <w:t>Foreign direct investment (FDI) has been considered instrumental in the restructuring of the</w:t>
      </w:r>
      <w:r>
        <w:rPr>
          <w:spacing w:val="-28"/>
          <w:sz w:val="24"/>
          <w:szCs w:val="24"/>
        </w:rPr>
        <w:t xml:space="preserve"> </w:t>
      </w:r>
      <w:r>
        <w:rPr>
          <w:sz w:val="24"/>
          <w:szCs w:val="24"/>
        </w:rPr>
        <w:t>Czech, Polish and Slovak regiona</w:t>
      </w:r>
      <w:r w:rsidR="00810303">
        <w:rPr>
          <w:sz w:val="24"/>
          <w:szCs w:val="24"/>
        </w:rPr>
        <w:t xml:space="preserve">l economies, and </w:t>
      </w:r>
      <w:r>
        <w:rPr>
          <w:sz w:val="24"/>
          <w:szCs w:val="24"/>
        </w:rPr>
        <w:t>courted by the governments and regional</w:t>
      </w:r>
      <w:r>
        <w:rPr>
          <w:spacing w:val="-30"/>
          <w:sz w:val="24"/>
          <w:szCs w:val="24"/>
        </w:rPr>
        <w:t xml:space="preserve"> </w:t>
      </w:r>
      <w:r>
        <w:rPr>
          <w:sz w:val="24"/>
          <w:szCs w:val="24"/>
        </w:rPr>
        <w:t>authorities since the beginning of the systemic transformation in the early 1990s (Domański,</w:t>
      </w:r>
      <w:r>
        <w:rPr>
          <w:spacing w:val="-22"/>
          <w:sz w:val="24"/>
          <w:szCs w:val="24"/>
        </w:rPr>
        <w:t xml:space="preserve"> </w:t>
      </w:r>
      <w:r>
        <w:rPr>
          <w:sz w:val="24"/>
          <w:szCs w:val="24"/>
        </w:rPr>
        <w:t>2001</w:t>
      </w:r>
      <w:r w:rsidR="00942051">
        <w:rPr>
          <w:sz w:val="24"/>
          <w:szCs w:val="24"/>
        </w:rPr>
        <w:t xml:space="preserve">; </w:t>
      </w:r>
      <w:r w:rsidR="00A15FF1">
        <w:rPr>
          <w:sz w:val="24"/>
          <w:szCs w:val="24"/>
        </w:rPr>
        <w:t>Bradshaw 2005</w:t>
      </w:r>
      <w:r w:rsidR="00942051">
        <w:rPr>
          <w:sz w:val="24"/>
          <w:szCs w:val="24"/>
        </w:rPr>
        <w:t>;</w:t>
      </w:r>
      <w:r w:rsidR="00A15FF1">
        <w:rPr>
          <w:sz w:val="24"/>
          <w:szCs w:val="24"/>
        </w:rPr>
        <w:t xml:space="preserve"> </w:t>
      </w:r>
      <w:r>
        <w:rPr>
          <w:sz w:val="24"/>
          <w:szCs w:val="24"/>
        </w:rPr>
        <w:t xml:space="preserve">Bandelj </w:t>
      </w:r>
      <w:r>
        <w:rPr>
          <w:i/>
          <w:sz w:val="24"/>
          <w:szCs w:val="24"/>
        </w:rPr>
        <w:t>et al.,</w:t>
      </w:r>
      <w:r>
        <w:rPr>
          <w:sz w:val="24"/>
          <w:szCs w:val="24"/>
        </w:rPr>
        <w:t xml:space="preserve"> 2015). Accession to the European Union (EU) offered further potential</w:t>
      </w:r>
      <w:r>
        <w:rPr>
          <w:spacing w:val="-21"/>
          <w:sz w:val="24"/>
          <w:szCs w:val="24"/>
        </w:rPr>
        <w:t xml:space="preserve"> </w:t>
      </w:r>
      <w:r>
        <w:rPr>
          <w:sz w:val="24"/>
          <w:szCs w:val="24"/>
        </w:rPr>
        <w:t xml:space="preserve">for FDI attraction, and resulted in </w:t>
      </w:r>
      <w:r w:rsidR="00FA41BF">
        <w:rPr>
          <w:sz w:val="24"/>
          <w:szCs w:val="24"/>
        </w:rPr>
        <w:t xml:space="preserve">the </w:t>
      </w:r>
      <w:r>
        <w:rPr>
          <w:sz w:val="24"/>
          <w:szCs w:val="24"/>
        </w:rPr>
        <w:t>transfer of greater powers to the regional authorities which</w:t>
      </w:r>
      <w:r w:rsidR="00842312">
        <w:rPr>
          <w:sz w:val="24"/>
          <w:szCs w:val="24"/>
        </w:rPr>
        <w:t>,</w:t>
      </w:r>
      <w:r>
        <w:rPr>
          <w:sz w:val="24"/>
          <w:szCs w:val="24"/>
        </w:rPr>
        <w:t xml:space="preserve"> next</w:t>
      </w:r>
      <w:r>
        <w:rPr>
          <w:spacing w:val="-26"/>
          <w:sz w:val="24"/>
          <w:szCs w:val="24"/>
        </w:rPr>
        <w:t xml:space="preserve"> </w:t>
      </w:r>
      <w:r>
        <w:rPr>
          <w:sz w:val="24"/>
          <w:szCs w:val="24"/>
        </w:rPr>
        <w:t>to National Investment Promotion Agencies (NIPAs)</w:t>
      </w:r>
      <w:r w:rsidR="00842312">
        <w:rPr>
          <w:sz w:val="24"/>
          <w:szCs w:val="24"/>
        </w:rPr>
        <w:t>,</w:t>
      </w:r>
      <w:r>
        <w:rPr>
          <w:sz w:val="24"/>
          <w:szCs w:val="24"/>
        </w:rPr>
        <w:t xml:space="preserve"> became key players in the inward</w:t>
      </w:r>
      <w:r>
        <w:rPr>
          <w:spacing w:val="-20"/>
          <w:sz w:val="24"/>
          <w:szCs w:val="24"/>
        </w:rPr>
        <w:t xml:space="preserve"> </w:t>
      </w:r>
      <w:r>
        <w:rPr>
          <w:sz w:val="24"/>
          <w:szCs w:val="24"/>
        </w:rPr>
        <w:t>investment promotion process (Young,</w:t>
      </w:r>
      <w:r>
        <w:rPr>
          <w:spacing w:val="-5"/>
          <w:sz w:val="24"/>
          <w:szCs w:val="24"/>
        </w:rPr>
        <w:t xml:space="preserve"> </w:t>
      </w:r>
      <w:r>
        <w:rPr>
          <w:sz w:val="24"/>
          <w:szCs w:val="24"/>
        </w:rPr>
        <w:t>2005, Sellar and Pástor, 2015).</w:t>
      </w:r>
    </w:p>
    <w:p w14:paraId="226CDA19" w14:textId="2AF3764B" w:rsidR="005E6520" w:rsidRDefault="005E6520" w:rsidP="005E6520">
      <w:pPr>
        <w:pStyle w:val="BodyText"/>
        <w:kinsoku w:val="0"/>
        <w:overflowPunct w:val="0"/>
        <w:spacing w:line="480" w:lineRule="auto"/>
        <w:ind w:left="0"/>
        <w:rPr>
          <w:sz w:val="24"/>
          <w:szCs w:val="24"/>
        </w:rPr>
      </w:pPr>
      <w:r>
        <w:rPr>
          <w:sz w:val="24"/>
          <w:szCs w:val="24"/>
        </w:rPr>
        <w:tab/>
        <w:t>Yet, despite wide-ranging locational advantages suited to diverse industry branches and the</w:t>
      </w:r>
      <w:r>
        <w:rPr>
          <w:spacing w:val="-28"/>
          <w:sz w:val="24"/>
          <w:szCs w:val="24"/>
        </w:rPr>
        <w:t xml:space="preserve"> </w:t>
      </w:r>
      <w:r>
        <w:rPr>
          <w:sz w:val="24"/>
          <w:szCs w:val="24"/>
        </w:rPr>
        <w:t xml:space="preserve">increasing flows of FDI, in the </w:t>
      </w:r>
      <w:r w:rsidR="00202F62">
        <w:rPr>
          <w:sz w:val="24"/>
          <w:szCs w:val="24"/>
        </w:rPr>
        <w:t>first half of the 2000s Central-</w:t>
      </w:r>
      <w:r>
        <w:rPr>
          <w:sz w:val="24"/>
          <w:szCs w:val="24"/>
        </w:rPr>
        <w:t>Eastern European Countries</w:t>
      </w:r>
      <w:r>
        <w:rPr>
          <w:rStyle w:val="FootnoteReference"/>
          <w:sz w:val="24"/>
          <w:szCs w:val="24"/>
        </w:rPr>
        <w:footnoteReference w:id="1"/>
      </w:r>
      <w:r>
        <w:rPr>
          <w:sz w:val="24"/>
          <w:szCs w:val="24"/>
        </w:rPr>
        <w:t xml:space="preserve"> (CEEC)</w:t>
      </w:r>
      <w:r>
        <w:rPr>
          <w:spacing w:val="6"/>
          <w:sz w:val="24"/>
          <w:szCs w:val="24"/>
        </w:rPr>
        <w:t xml:space="preserve"> </w:t>
      </w:r>
      <w:r>
        <w:rPr>
          <w:sz w:val="24"/>
          <w:szCs w:val="24"/>
        </w:rPr>
        <w:t>were attracting a mere fraction of cross-border investments conducted by multinational enterprises</w:t>
      </w:r>
      <w:r>
        <w:rPr>
          <w:spacing w:val="-29"/>
          <w:sz w:val="24"/>
          <w:szCs w:val="24"/>
        </w:rPr>
        <w:t xml:space="preserve"> </w:t>
      </w:r>
      <w:r>
        <w:rPr>
          <w:sz w:val="24"/>
          <w:szCs w:val="24"/>
        </w:rPr>
        <w:t>(MNEs) (UNCTAD, 2007</w:t>
      </w:r>
      <w:r w:rsidR="00942051">
        <w:rPr>
          <w:sz w:val="24"/>
          <w:szCs w:val="24"/>
        </w:rPr>
        <w:t>;</w:t>
      </w:r>
      <w:r>
        <w:rPr>
          <w:sz w:val="24"/>
          <w:szCs w:val="24"/>
        </w:rPr>
        <w:t xml:space="preserve"> Ascani </w:t>
      </w:r>
      <w:r>
        <w:rPr>
          <w:i/>
          <w:sz w:val="24"/>
          <w:szCs w:val="24"/>
        </w:rPr>
        <w:t>et al.,</w:t>
      </w:r>
      <w:r>
        <w:rPr>
          <w:sz w:val="24"/>
          <w:szCs w:val="24"/>
        </w:rPr>
        <w:t xml:space="preserve"> 2017). Arguably,</w:t>
      </w:r>
      <w:r w:rsidR="00EE01AA">
        <w:rPr>
          <w:sz w:val="24"/>
          <w:szCs w:val="24"/>
        </w:rPr>
        <w:t xml:space="preserve"> beyond the wider exogenous and geopolitical factors,</w:t>
      </w:r>
      <w:r>
        <w:rPr>
          <w:sz w:val="24"/>
          <w:szCs w:val="24"/>
        </w:rPr>
        <w:t xml:space="preserve"> this could be attributed to regional authorities'</w:t>
      </w:r>
      <w:r>
        <w:rPr>
          <w:spacing w:val="-21"/>
          <w:sz w:val="24"/>
          <w:szCs w:val="24"/>
        </w:rPr>
        <w:t xml:space="preserve"> </w:t>
      </w:r>
      <w:r>
        <w:rPr>
          <w:sz w:val="24"/>
          <w:szCs w:val="24"/>
        </w:rPr>
        <w:t>limited engagement in, and poor execution of promotion aimed at investment attraction. Exploration of</w:t>
      </w:r>
      <w:r>
        <w:rPr>
          <w:spacing w:val="-18"/>
          <w:sz w:val="24"/>
          <w:szCs w:val="24"/>
        </w:rPr>
        <w:t xml:space="preserve"> </w:t>
      </w:r>
      <w:r>
        <w:rPr>
          <w:sz w:val="24"/>
          <w:szCs w:val="24"/>
        </w:rPr>
        <w:t>this perspective comprises the core argument presented in the</w:t>
      </w:r>
      <w:r>
        <w:rPr>
          <w:spacing w:val="-17"/>
          <w:sz w:val="24"/>
          <w:szCs w:val="24"/>
        </w:rPr>
        <w:t xml:space="preserve"> </w:t>
      </w:r>
      <w:r>
        <w:rPr>
          <w:sz w:val="24"/>
          <w:szCs w:val="24"/>
        </w:rPr>
        <w:t>paper.</w:t>
      </w:r>
    </w:p>
    <w:p w14:paraId="44F7A66E" w14:textId="3BDE37AB" w:rsidR="005E6520" w:rsidRDefault="00AD06AE" w:rsidP="005E6520">
      <w:pPr>
        <w:pStyle w:val="BodyText"/>
        <w:kinsoku w:val="0"/>
        <w:overflowPunct w:val="0"/>
        <w:spacing w:line="480" w:lineRule="auto"/>
        <w:ind w:left="0" w:firstLine="720"/>
        <w:rPr>
          <w:sz w:val="24"/>
          <w:szCs w:val="24"/>
        </w:rPr>
      </w:pPr>
      <w:r>
        <w:rPr>
          <w:sz w:val="24"/>
          <w:szCs w:val="24"/>
        </w:rPr>
        <w:t xml:space="preserve">Previous </w:t>
      </w:r>
      <w:r w:rsidR="005E6520">
        <w:rPr>
          <w:sz w:val="24"/>
          <w:szCs w:val="24"/>
        </w:rPr>
        <w:t>studies (e.g. Young and Kaczmarek, 2000</w:t>
      </w:r>
      <w:r w:rsidR="00942051">
        <w:rPr>
          <w:sz w:val="24"/>
          <w:szCs w:val="24"/>
        </w:rPr>
        <w:t>;</w:t>
      </w:r>
      <w:r w:rsidR="005E6520">
        <w:rPr>
          <w:sz w:val="24"/>
          <w:szCs w:val="24"/>
        </w:rPr>
        <w:t xml:space="preserve"> Flor</w:t>
      </w:r>
      <w:r w:rsidR="001859D1">
        <w:rPr>
          <w:sz w:val="24"/>
          <w:szCs w:val="24"/>
        </w:rPr>
        <w:t>ek, 2003</w:t>
      </w:r>
      <w:r w:rsidR="00942051">
        <w:rPr>
          <w:sz w:val="24"/>
          <w:szCs w:val="24"/>
        </w:rPr>
        <w:t>;</w:t>
      </w:r>
      <w:r w:rsidR="001859D1">
        <w:rPr>
          <w:sz w:val="24"/>
          <w:szCs w:val="24"/>
        </w:rPr>
        <w:t xml:space="preserve"> </w:t>
      </w:r>
      <w:r w:rsidR="00803475">
        <w:rPr>
          <w:sz w:val="24"/>
          <w:szCs w:val="24"/>
        </w:rPr>
        <w:t>Capik 2019</w:t>
      </w:r>
      <w:r w:rsidR="001859D1">
        <w:rPr>
          <w:sz w:val="24"/>
          <w:szCs w:val="24"/>
        </w:rPr>
        <w:t>) indicate</w:t>
      </w:r>
      <w:r w:rsidR="005E6520">
        <w:rPr>
          <w:sz w:val="24"/>
          <w:szCs w:val="24"/>
        </w:rPr>
        <w:t xml:space="preserve"> CEE </w:t>
      </w:r>
      <w:r w:rsidR="00CE3A8D">
        <w:rPr>
          <w:sz w:val="24"/>
          <w:szCs w:val="24"/>
        </w:rPr>
        <w:t xml:space="preserve">regional and local authorities </w:t>
      </w:r>
      <w:r w:rsidR="005E6520">
        <w:rPr>
          <w:sz w:val="24"/>
          <w:szCs w:val="24"/>
        </w:rPr>
        <w:t xml:space="preserve">are interested and active in investment promotion to a varying degree, which presents an opportunity to study why this might be the case. This paper explores the answer from one possible perspective, namely the socio-economic conditions prevailing in regions. </w:t>
      </w:r>
      <w:r w:rsidR="005644DE">
        <w:rPr>
          <w:sz w:val="24"/>
          <w:szCs w:val="24"/>
        </w:rPr>
        <w:t>Resultantly</w:t>
      </w:r>
      <w:r w:rsidR="005E63C5">
        <w:rPr>
          <w:sz w:val="24"/>
          <w:szCs w:val="24"/>
        </w:rPr>
        <w:t>,</w:t>
      </w:r>
      <w:r w:rsidR="005E6520">
        <w:rPr>
          <w:sz w:val="24"/>
          <w:szCs w:val="24"/>
        </w:rPr>
        <w:t xml:space="preserve"> it </w:t>
      </w:r>
      <w:r w:rsidR="005E63C5">
        <w:rPr>
          <w:sz w:val="24"/>
          <w:szCs w:val="24"/>
        </w:rPr>
        <w:t xml:space="preserve">attempts to start the debate and </w:t>
      </w:r>
      <w:r w:rsidR="005E6520">
        <w:rPr>
          <w:sz w:val="24"/>
          <w:szCs w:val="24"/>
        </w:rPr>
        <w:t>offer a</w:t>
      </w:r>
      <w:r w:rsidR="006B59C0">
        <w:rPr>
          <w:sz w:val="24"/>
          <w:szCs w:val="24"/>
        </w:rPr>
        <w:t>n early</w:t>
      </w:r>
      <w:r w:rsidR="005E6520">
        <w:rPr>
          <w:sz w:val="24"/>
          <w:szCs w:val="24"/>
        </w:rPr>
        <w:t xml:space="preserve"> contribution </w:t>
      </w:r>
      <w:r>
        <w:rPr>
          <w:sz w:val="24"/>
          <w:szCs w:val="24"/>
        </w:rPr>
        <w:t>to</w:t>
      </w:r>
      <w:r w:rsidR="005E6520">
        <w:rPr>
          <w:sz w:val="24"/>
          <w:szCs w:val="24"/>
        </w:rPr>
        <w:t xml:space="preserve"> developing the missing link between investment promotion and regional development.</w:t>
      </w:r>
    </w:p>
    <w:p w14:paraId="6BB8B063" w14:textId="2D456D32" w:rsidR="005E6520" w:rsidRDefault="005E6520" w:rsidP="005E6520">
      <w:pPr>
        <w:pStyle w:val="BodyText"/>
        <w:kinsoku w:val="0"/>
        <w:overflowPunct w:val="0"/>
        <w:spacing w:line="480" w:lineRule="auto"/>
        <w:ind w:left="0"/>
        <w:rPr>
          <w:sz w:val="24"/>
          <w:szCs w:val="24"/>
        </w:rPr>
      </w:pPr>
      <w:r>
        <w:rPr>
          <w:sz w:val="24"/>
          <w:szCs w:val="24"/>
        </w:rPr>
        <w:lastRenderedPageBreak/>
        <w:tab/>
        <w:t>The Czech Republic, Poland and Slovakia began emerging on the global map of FDI destinations</w:t>
      </w:r>
      <w:r>
        <w:rPr>
          <w:spacing w:val="-18"/>
          <w:sz w:val="24"/>
          <w:szCs w:val="24"/>
        </w:rPr>
        <w:t xml:space="preserve"> </w:t>
      </w:r>
      <w:r>
        <w:rPr>
          <w:sz w:val="24"/>
          <w:szCs w:val="24"/>
        </w:rPr>
        <w:t>only since the beginning of 1990s. As relative newcomers</w:t>
      </w:r>
      <w:r w:rsidR="00974E84">
        <w:rPr>
          <w:sz w:val="24"/>
          <w:szCs w:val="24"/>
        </w:rPr>
        <w:t>,</w:t>
      </w:r>
      <w:r>
        <w:rPr>
          <w:sz w:val="24"/>
          <w:szCs w:val="24"/>
        </w:rPr>
        <w:t xml:space="preserve"> they had to compete</w:t>
      </w:r>
      <w:r>
        <w:rPr>
          <w:spacing w:val="-18"/>
          <w:sz w:val="24"/>
          <w:szCs w:val="24"/>
        </w:rPr>
        <w:t xml:space="preserve"> </w:t>
      </w:r>
      <w:r>
        <w:rPr>
          <w:sz w:val="24"/>
          <w:szCs w:val="24"/>
        </w:rPr>
        <w:t>with established Western European destinations, with themselves and other locations in the</w:t>
      </w:r>
      <w:r>
        <w:rPr>
          <w:spacing w:val="-22"/>
          <w:sz w:val="24"/>
          <w:szCs w:val="24"/>
        </w:rPr>
        <w:t xml:space="preserve"> </w:t>
      </w:r>
      <w:r>
        <w:rPr>
          <w:sz w:val="24"/>
          <w:szCs w:val="24"/>
        </w:rPr>
        <w:t xml:space="preserve">neighbouring countries, Asia and Latin America (Helinska-Hughes and Hughes, 2003, Dogaru </w:t>
      </w:r>
      <w:r>
        <w:rPr>
          <w:i/>
          <w:sz w:val="24"/>
          <w:szCs w:val="24"/>
        </w:rPr>
        <w:t>et al.,</w:t>
      </w:r>
      <w:r>
        <w:rPr>
          <w:sz w:val="24"/>
          <w:szCs w:val="24"/>
        </w:rPr>
        <w:t xml:space="preserve"> 2015). Additionally, accession to</w:t>
      </w:r>
      <w:r>
        <w:rPr>
          <w:spacing w:val="-23"/>
          <w:sz w:val="24"/>
          <w:szCs w:val="24"/>
        </w:rPr>
        <w:t xml:space="preserve"> </w:t>
      </w:r>
      <w:r>
        <w:rPr>
          <w:sz w:val="24"/>
          <w:szCs w:val="24"/>
        </w:rPr>
        <w:t>the European Union in May 20</w:t>
      </w:r>
      <w:r w:rsidR="005A2DDD">
        <w:rPr>
          <w:sz w:val="24"/>
          <w:szCs w:val="24"/>
        </w:rPr>
        <w:t>04 and the implementation of</w:t>
      </w:r>
      <w:r>
        <w:rPr>
          <w:sz w:val="24"/>
          <w:szCs w:val="24"/>
        </w:rPr>
        <w:t xml:space="preserve"> </w:t>
      </w:r>
      <w:r>
        <w:rPr>
          <w:i/>
          <w:iCs/>
          <w:sz w:val="24"/>
          <w:szCs w:val="24"/>
        </w:rPr>
        <w:t xml:space="preserve">acquis communautaire </w:t>
      </w:r>
      <w:r>
        <w:rPr>
          <w:sz w:val="24"/>
          <w:szCs w:val="24"/>
        </w:rPr>
        <w:t>levelled</w:t>
      </w:r>
      <w:r>
        <w:rPr>
          <w:spacing w:val="-19"/>
          <w:sz w:val="24"/>
          <w:szCs w:val="24"/>
        </w:rPr>
        <w:t xml:space="preserve"> </w:t>
      </w:r>
      <w:r>
        <w:rPr>
          <w:sz w:val="24"/>
          <w:szCs w:val="24"/>
        </w:rPr>
        <w:t>the playing field and strengthened the competition between them. It also fostered wide-ranging</w:t>
      </w:r>
      <w:r>
        <w:rPr>
          <w:spacing w:val="-24"/>
          <w:sz w:val="24"/>
          <w:szCs w:val="24"/>
        </w:rPr>
        <w:t xml:space="preserve"> </w:t>
      </w:r>
      <w:r w:rsidR="00DB028C">
        <w:rPr>
          <w:sz w:val="24"/>
          <w:szCs w:val="24"/>
        </w:rPr>
        <w:t xml:space="preserve">reforms, including </w:t>
      </w:r>
      <w:r>
        <w:rPr>
          <w:sz w:val="24"/>
          <w:szCs w:val="24"/>
        </w:rPr>
        <w:t xml:space="preserve">reorganisation of sub-national administrative structures </w:t>
      </w:r>
      <w:r w:rsidR="005A2DDD">
        <w:rPr>
          <w:sz w:val="24"/>
          <w:szCs w:val="24"/>
        </w:rPr>
        <w:t xml:space="preserve">leading to </w:t>
      </w:r>
      <w:r>
        <w:rPr>
          <w:sz w:val="24"/>
          <w:szCs w:val="24"/>
        </w:rPr>
        <w:t>more autonomy</w:t>
      </w:r>
      <w:r>
        <w:rPr>
          <w:spacing w:val="-32"/>
          <w:sz w:val="24"/>
          <w:szCs w:val="24"/>
        </w:rPr>
        <w:t xml:space="preserve"> </w:t>
      </w:r>
      <w:r>
        <w:rPr>
          <w:sz w:val="24"/>
          <w:szCs w:val="24"/>
        </w:rPr>
        <w:t>and responsibility in regional and local governance (Blokker and Dallago,</w:t>
      </w:r>
      <w:r>
        <w:rPr>
          <w:spacing w:val="-22"/>
          <w:sz w:val="24"/>
          <w:szCs w:val="24"/>
        </w:rPr>
        <w:t xml:space="preserve"> </w:t>
      </w:r>
      <w:r>
        <w:rPr>
          <w:sz w:val="24"/>
          <w:szCs w:val="24"/>
        </w:rPr>
        <w:t xml:space="preserve">2009, Ascani </w:t>
      </w:r>
      <w:r>
        <w:rPr>
          <w:i/>
          <w:sz w:val="24"/>
          <w:szCs w:val="24"/>
        </w:rPr>
        <w:t>et al.,</w:t>
      </w:r>
      <w:r>
        <w:rPr>
          <w:sz w:val="24"/>
          <w:szCs w:val="24"/>
        </w:rPr>
        <w:t xml:space="preserve"> 201</w:t>
      </w:r>
      <w:r w:rsidR="005A2DDD">
        <w:rPr>
          <w:sz w:val="24"/>
          <w:szCs w:val="24"/>
        </w:rPr>
        <w:t xml:space="preserve">7). An increasing number of </w:t>
      </w:r>
      <w:r>
        <w:rPr>
          <w:sz w:val="24"/>
          <w:szCs w:val="24"/>
        </w:rPr>
        <w:t>newly created regional authorities across</w:t>
      </w:r>
      <w:r>
        <w:rPr>
          <w:spacing w:val="-21"/>
          <w:sz w:val="24"/>
          <w:szCs w:val="24"/>
        </w:rPr>
        <w:t xml:space="preserve"> </w:t>
      </w:r>
      <w:r w:rsidR="006E5109">
        <w:rPr>
          <w:sz w:val="24"/>
          <w:szCs w:val="24"/>
        </w:rPr>
        <w:t>C</w:t>
      </w:r>
      <w:r w:rsidR="005A2DDD">
        <w:rPr>
          <w:sz w:val="24"/>
          <w:szCs w:val="24"/>
        </w:rPr>
        <w:t>EEC</w:t>
      </w:r>
      <w:r>
        <w:rPr>
          <w:sz w:val="24"/>
          <w:szCs w:val="24"/>
        </w:rPr>
        <w:t xml:space="preserve"> soon began playing a part in place promotion by engaging in some form of</w:t>
      </w:r>
      <w:r>
        <w:rPr>
          <w:spacing w:val="-29"/>
          <w:sz w:val="24"/>
          <w:szCs w:val="24"/>
        </w:rPr>
        <w:t xml:space="preserve"> </w:t>
      </w:r>
      <w:r>
        <w:rPr>
          <w:sz w:val="24"/>
          <w:szCs w:val="24"/>
        </w:rPr>
        <w:t>foreign investment attraction (Young, 2005, Sellar and Pástor, 2015, Capik, 2019).</w:t>
      </w:r>
    </w:p>
    <w:p w14:paraId="2753AB6B" w14:textId="255D4109" w:rsidR="005E6520" w:rsidRDefault="005E6520" w:rsidP="005E6520">
      <w:pPr>
        <w:pStyle w:val="BodyText"/>
        <w:kinsoku w:val="0"/>
        <w:overflowPunct w:val="0"/>
        <w:spacing w:line="480" w:lineRule="auto"/>
        <w:ind w:left="0"/>
        <w:rPr>
          <w:color w:val="FF0000"/>
          <w:sz w:val="24"/>
          <w:szCs w:val="24"/>
        </w:rPr>
      </w:pPr>
      <w:r>
        <w:rPr>
          <w:sz w:val="24"/>
          <w:szCs w:val="24"/>
        </w:rPr>
        <w:tab/>
      </w:r>
      <w:r w:rsidR="007717ED">
        <w:rPr>
          <w:sz w:val="24"/>
          <w:szCs w:val="24"/>
        </w:rPr>
        <w:t xml:space="preserve">Despite </w:t>
      </w:r>
      <w:r w:rsidR="008816B9">
        <w:rPr>
          <w:sz w:val="24"/>
          <w:szCs w:val="24"/>
        </w:rPr>
        <w:t xml:space="preserve">recognised </w:t>
      </w:r>
      <w:r w:rsidR="007717ED">
        <w:rPr>
          <w:sz w:val="24"/>
          <w:szCs w:val="24"/>
        </w:rPr>
        <w:t>shortcomings</w:t>
      </w:r>
      <w:r w:rsidR="008816B9">
        <w:rPr>
          <w:sz w:val="24"/>
          <w:szCs w:val="24"/>
        </w:rPr>
        <w:t xml:space="preserve"> </w:t>
      </w:r>
      <w:r w:rsidR="00A15FF1">
        <w:rPr>
          <w:sz w:val="24"/>
          <w:szCs w:val="24"/>
        </w:rPr>
        <w:t>in</w:t>
      </w:r>
      <w:r w:rsidR="002F233F">
        <w:rPr>
          <w:sz w:val="24"/>
          <w:szCs w:val="24"/>
        </w:rPr>
        <w:t xml:space="preserve"> MNEs</w:t>
      </w:r>
      <w:r w:rsidR="00A15FF1">
        <w:rPr>
          <w:sz w:val="24"/>
          <w:szCs w:val="24"/>
        </w:rPr>
        <w:t>’</w:t>
      </w:r>
      <w:r w:rsidR="002F233F">
        <w:rPr>
          <w:sz w:val="24"/>
          <w:szCs w:val="24"/>
        </w:rPr>
        <w:t xml:space="preserve"> </w:t>
      </w:r>
      <w:r w:rsidR="00C355E6">
        <w:rPr>
          <w:sz w:val="24"/>
          <w:szCs w:val="24"/>
        </w:rPr>
        <w:t xml:space="preserve">developmental impacts – </w:t>
      </w:r>
      <w:r w:rsidR="008816B9">
        <w:rPr>
          <w:sz w:val="24"/>
          <w:szCs w:val="24"/>
        </w:rPr>
        <w:t xml:space="preserve">limited local </w:t>
      </w:r>
      <w:r w:rsidR="00AD06AE">
        <w:rPr>
          <w:sz w:val="24"/>
          <w:szCs w:val="24"/>
        </w:rPr>
        <w:t>embeddedness</w:t>
      </w:r>
      <w:r w:rsidR="002F233F">
        <w:rPr>
          <w:sz w:val="24"/>
          <w:szCs w:val="24"/>
        </w:rPr>
        <w:t xml:space="preserve"> and</w:t>
      </w:r>
      <w:r w:rsidR="00C355E6">
        <w:rPr>
          <w:sz w:val="24"/>
          <w:szCs w:val="24"/>
        </w:rPr>
        <w:t xml:space="preserve"> multiplier effects, </w:t>
      </w:r>
      <w:r w:rsidR="002F233F">
        <w:rPr>
          <w:sz w:val="24"/>
          <w:szCs w:val="24"/>
        </w:rPr>
        <w:t xml:space="preserve">crowding out of local businesses (Bradshaw 2005, </w:t>
      </w:r>
      <w:r w:rsidR="00C54315">
        <w:rPr>
          <w:sz w:val="24"/>
          <w:szCs w:val="24"/>
        </w:rPr>
        <w:t>Capik and Drahokoupil 2011</w:t>
      </w:r>
      <w:r w:rsidR="002F233F">
        <w:rPr>
          <w:sz w:val="24"/>
          <w:szCs w:val="24"/>
        </w:rPr>
        <w:t xml:space="preserve">, Dogaru </w:t>
      </w:r>
      <w:r w:rsidR="002F233F">
        <w:rPr>
          <w:i/>
          <w:sz w:val="24"/>
          <w:szCs w:val="24"/>
        </w:rPr>
        <w:t>et al.</w:t>
      </w:r>
      <w:r w:rsidR="00C355E6">
        <w:rPr>
          <w:sz w:val="24"/>
          <w:szCs w:val="24"/>
        </w:rPr>
        <w:t xml:space="preserve"> 2015) – </w:t>
      </w:r>
      <w:r w:rsidR="002F233F">
        <w:rPr>
          <w:sz w:val="24"/>
          <w:szCs w:val="24"/>
        </w:rPr>
        <w:t>the c</w:t>
      </w:r>
      <w:r w:rsidR="00C355E6">
        <w:rPr>
          <w:sz w:val="24"/>
          <w:szCs w:val="24"/>
        </w:rPr>
        <w:t xml:space="preserve">ontinued interest from </w:t>
      </w:r>
      <w:r>
        <w:rPr>
          <w:sz w:val="24"/>
          <w:szCs w:val="24"/>
        </w:rPr>
        <w:t>region</w:t>
      </w:r>
      <w:r w:rsidR="00C54315">
        <w:rPr>
          <w:sz w:val="24"/>
          <w:szCs w:val="24"/>
        </w:rPr>
        <w:t xml:space="preserve">al authorities </w:t>
      </w:r>
      <w:r>
        <w:rPr>
          <w:sz w:val="24"/>
          <w:szCs w:val="24"/>
        </w:rPr>
        <w:t>in attracting operations of foreign companies is</w:t>
      </w:r>
      <w:r>
        <w:rPr>
          <w:spacing w:val="-25"/>
          <w:sz w:val="24"/>
          <w:szCs w:val="24"/>
        </w:rPr>
        <w:t xml:space="preserve"> </w:t>
      </w:r>
      <w:r>
        <w:rPr>
          <w:sz w:val="24"/>
          <w:szCs w:val="24"/>
        </w:rPr>
        <w:t xml:space="preserve">underpinned by two </w:t>
      </w:r>
      <w:r w:rsidR="00DB028C">
        <w:rPr>
          <w:sz w:val="24"/>
          <w:szCs w:val="24"/>
        </w:rPr>
        <w:t>sets of factors. Firstly</w:t>
      </w:r>
      <w:r>
        <w:rPr>
          <w:sz w:val="24"/>
          <w:szCs w:val="24"/>
        </w:rPr>
        <w:t>, the prospects</w:t>
      </w:r>
      <w:r>
        <w:rPr>
          <w:spacing w:val="-29"/>
          <w:sz w:val="24"/>
          <w:szCs w:val="24"/>
        </w:rPr>
        <w:t xml:space="preserve"> </w:t>
      </w:r>
      <w:r>
        <w:rPr>
          <w:sz w:val="24"/>
          <w:szCs w:val="24"/>
        </w:rPr>
        <w:t xml:space="preserve">of benefiting from their expertise, technology, capital and created employment (Bonetti and Masiello, 2014, Ascani </w:t>
      </w:r>
      <w:r>
        <w:rPr>
          <w:i/>
          <w:sz w:val="24"/>
          <w:szCs w:val="24"/>
        </w:rPr>
        <w:t>et al.,</w:t>
      </w:r>
      <w:r>
        <w:rPr>
          <w:sz w:val="24"/>
          <w:szCs w:val="24"/>
        </w:rPr>
        <w:t xml:space="preserve"> 2017). Secondly, the increasing mobility</w:t>
      </w:r>
      <w:r>
        <w:rPr>
          <w:spacing w:val="-19"/>
          <w:sz w:val="24"/>
          <w:szCs w:val="24"/>
        </w:rPr>
        <w:t xml:space="preserve"> </w:t>
      </w:r>
      <w:r>
        <w:rPr>
          <w:sz w:val="24"/>
          <w:szCs w:val="24"/>
        </w:rPr>
        <w:t xml:space="preserve">of multinational enterprises (MNEs) and its integral part </w:t>
      </w:r>
      <w:r w:rsidR="001015EE">
        <w:rPr>
          <w:sz w:val="24"/>
          <w:szCs w:val="24"/>
        </w:rPr>
        <w:t>–</w:t>
      </w:r>
      <w:r>
        <w:rPr>
          <w:sz w:val="24"/>
          <w:szCs w:val="24"/>
        </w:rPr>
        <w:t xml:space="preserve"> </w:t>
      </w:r>
      <w:r w:rsidR="001015EE">
        <w:rPr>
          <w:sz w:val="24"/>
          <w:szCs w:val="24"/>
        </w:rPr>
        <w:t xml:space="preserve">the </w:t>
      </w:r>
      <w:r>
        <w:rPr>
          <w:sz w:val="24"/>
          <w:szCs w:val="24"/>
        </w:rPr>
        <w:t>imperfect knowledge of available</w:t>
      </w:r>
      <w:r>
        <w:rPr>
          <w:spacing w:val="-27"/>
          <w:sz w:val="24"/>
          <w:szCs w:val="24"/>
        </w:rPr>
        <w:t xml:space="preserve"> </w:t>
      </w:r>
      <w:r>
        <w:rPr>
          <w:sz w:val="24"/>
          <w:szCs w:val="24"/>
        </w:rPr>
        <w:t>locations (Aharoni, 2010, Harding and Javorcik, 2</w:t>
      </w:r>
      <w:r w:rsidR="00DB028C">
        <w:rPr>
          <w:sz w:val="24"/>
          <w:szCs w:val="24"/>
        </w:rPr>
        <w:t>012, Schotter and Beamish, 2013</w:t>
      </w:r>
      <w:r>
        <w:rPr>
          <w:sz w:val="24"/>
          <w:szCs w:val="24"/>
        </w:rPr>
        <w:t>). At their disposal regional authorities have</w:t>
      </w:r>
      <w:r>
        <w:rPr>
          <w:spacing w:val="-26"/>
          <w:sz w:val="24"/>
          <w:szCs w:val="24"/>
        </w:rPr>
        <w:t xml:space="preserve"> </w:t>
      </w:r>
      <w:r>
        <w:rPr>
          <w:sz w:val="24"/>
          <w:szCs w:val="24"/>
        </w:rPr>
        <w:t>a range of channels and instruments to rectify this. Directly, for example by participating in</w:t>
      </w:r>
      <w:r>
        <w:rPr>
          <w:spacing w:val="-31"/>
          <w:sz w:val="24"/>
          <w:szCs w:val="24"/>
        </w:rPr>
        <w:t xml:space="preserve"> </w:t>
      </w:r>
      <w:r>
        <w:rPr>
          <w:sz w:val="24"/>
          <w:szCs w:val="24"/>
        </w:rPr>
        <w:t>investment negotiations and employing different forms of promotion, and indirectly by influencing aspects of</w:t>
      </w:r>
      <w:r>
        <w:rPr>
          <w:spacing w:val="-28"/>
          <w:sz w:val="24"/>
          <w:szCs w:val="24"/>
        </w:rPr>
        <w:t xml:space="preserve"> </w:t>
      </w:r>
      <w:r>
        <w:rPr>
          <w:sz w:val="24"/>
          <w:szCs w:val="24"/>
        </w:rPr>
        <w:t xml:space="preserve">regional </w:t>
      </w:r>
      <w:r w:rsidR="00FA41BF">
        <w:rPr>
          <w:sz w:val="24"/>
          <w:szCs w:val="24"/>
        </w:rPr>
        <w:t xml:space="preserve">location advantages </w:t>
      </w:r>
      <w:r>
        <w:rPr>
          <w:sz w:val="24"/>
          <w:szCs w:val="24"/>
        </w:rPr>
        <w:t xml:space="preserve">through infrastructural investments (Metaxas, 2010, Wilson </w:t>
      </w:r>
      <w:r>
        <w:rPr>
          <w:i/>
          <w:sz w:val="24"/>
          <w:szCs w:val="24"/>
        </w:rPr>
        <w:t>et al.</w:t>
      </w:r>
      <w:r w:rsidR="008F3151">
        <w:rPr>
          <w:sz w:val="24"/>
          <w:szCs w:val="24"/>
        </w:rPr>
        <w:t>, 2014).</w:t>
      </w:r>
    </w:p>
    <w:p w14:paraId="4FE3FF9D" w14:textId="1287F3F6" w:rsidR="005E6520" w:rsidRDefault="005E6520" w:rsidP="005E6520">
      <w:pPr>
        <w:pStyle w:val="BodyText"/>
        <w:kinsoku w:val="0"/>
        <w:overflowPunct w:val="0"/>
        <w:spacing w:line="480" w:lineRule="auto"/>
        <w:ind w:left="0"/>
        <w:rPr>
          <w:sz w:val="24"/>
          <w:szCs w:val="24"/>
        </w:rPr>
      </w:pPr>
      <w:r>
        <w:rPr>
          <w:sz w:val="24"/>
          <w:szCs w:val="24"/>
        </w:rPr>
        <w:lastRenderedPageBreak/>
        <w:tab/>
      </w:r>
      <w:r w:rsidR="00F762FF">
        <w:rPr>
          <w:sz w:val="24"/>
          <w:szCs w:val="24"/>
        </w:rPr>
        <w:t>General p</w:t>
      </w:r>
      <w:r w:rsidR="0063729A">
        <w:rPr>
          <w:sz w:val="24"/>
          <w:szCs w:val="24"/>
        </w:rPr>
        <w:t xml:space="preserve">lace promotion, </w:t>
      </w:r>
      <w:r>
        <w:rPr>
          <w:sz w:val="24"/>
          <w:szCs w:val="24"/>
        </w:rPr>
        <w:t>marketing</w:t>
      </w:r>
      <w:r w:rsidR="0063729A">
        <w:rPr>
          <w:sz w:val="24"/>
          <w:szCs w:val="24"/>
        </w:rPr>
        <w:t xml:space="preserve"> and branding</w:t>
      </w:r>
      <w:r w:rsidR="00D041B4">
        <w:rPr>
          <w:rStyle w:val="FootnoteReference"/>
          <w:sz w:val="24"/>
          <w:szCs w:val="24"/>
        </w:rPr>
        <w:footnoteReference w:id="2"/>
      </w:r>
      <w:r>
        <w:rPr>
          <w:sz w:val="24"/>
          <w:szCs w:val="24"/>
        </w:rPr>
        <w:t xml:space="preserve"> approaches are often criticised for a lack of tangible outcomes and</w:t>
      </w:r>
      <w:r>
        <w:rPr>
          <w:spacing w:val="-31"/>
          <w:sz w:val="24"/>
          <w:szCs w:val="24"/>
        </w:rPr>
        <w:t xml:space="preserve"> </w:t>
      </w:r>
      <w:r>
        <w:rPr>
          <w:sz w:val="24"/>
          <w:szCs w:val="24"/>
        </w:rPr>
        <w:t>measures allowing for assessment of their effectiveness (e.g. Pasquinelli and Teräs, 2013</w:t>
      </w:r>
      <w:r w:rsidR="005046BC">
        <w:rPr>
          <w:sz w:val="24"/>
          <w:szCs w:val="24"/>
        </w:rPr>
        <w:t>;</w:t>
      </w:r>
      <w:r>
        <w:rPr>
          <w:sz w:val="24"/>
          <w:szCs w:val="24"/>
        </w:rPr>
        <w:t xml:space="preserve"> Cleave </w:t>
      </w:r>
      <w:r>
        <w:rPr>
          <w:i/>
          <w:sz w:val="24"/>
          <w:szCs w:val="24"/>
        </w:rPr>
        <w:t>et al.,</w:t>
      </w:r>
      <w:r>
        <w:rPr>
          <w:sz w:val="24"/>
          <w:szCs w:val="24"/>
        </w:rPr>
        <w:t xml:space="preserve"> 2016</w:t>
      </w:r>
      <w:r w:rsidR="005046BC">
        <w:rPr>
          <w:sz w:val="24"/>
          <w:szCs w:val="24"/>
        </w:rPr>
        <w:t>;</w:t>
      </w:r>
      <w:r w:rsidR="00FA41BF">
        <w:rPr>
          <w:sz w:val="24"/>
          <w:szCs w:val="24"/>
        </w:rPr>
        <w:t xml:space="preserve"> Boisen </w:t>
      </w:r>
      <w:r w:rsidR="00FA41BF">
        <w:rPr>
          <w:i/>
          <w:sz w:val="24"/>
          <w:szCs w:val="24"/>
        </w:rPr>
        <w:t>et al.</w:t>
      </w:r>
      <w:r w:rsidR="00FA41BF">
        <w:rPr>
          <w:sz w:val="24"/>
          <w:szCs w:val="24"/>
        </w:rPr>
        <w:t>, 2018</w:t>
      </w:r>
      <w:r>
        <w:rPr>
          <w:sz w:val="24"/>
          <w:szCs w:val="24"/>
        </w:rPr>
        <w:t xml:space="preserve">). </w:t>
      </w:r>
      <w:r w:rsidR="00FA41BF">
        <w:rPr>
          <w:sz w:val="24"/>
          <w:szCs w:val="24"/>
        </w:rPr>
        <w:t>Similarly,</w:t>
      </w:r>
      <w:r>
        <w:rPr>
          <w:sz w:val="24"/>
          <w:szCs w:val="24"/>
        </w:rPr>
        <w:t xml:space="preserve"> the value</w:t>
      </w:r>
      <w:r>
        <w:rPr>
          <w:spacing w:val="-26"/>
          <w:sz w:val="24"/>
          <w:szCs w:val="24"/>
        </w:rPr>
        <w:t xml:space="preserve"> </w:t>
      </w:r>
      <w:r>
        <w:rPr>
          <w:sz w:val="24"/>
          <w:szCs w:val="24"/>
        </w:rPr>
        <w:t>of investment promotion</w:t>
      </w:r>
      <w:r w:rsidR="00F762FF">
        <w:rPr>
          <w:sz w:val="24"/>
          <w:szCs w:val="24"/>
        </w:rPr>
        <w:t>, borrowing elements from all three,</w:t>
      </w:r>
      <w:r>
        <w:rPr>
          <w:sz w:val="24"/>
          <w:szCs w:val="24"/>
        </w:rPr>
        <w:t xml:space="preserve"> is difficult to capture</w:t>
      </w:r>
      <w:r w:rsidR="00AD06AE">
        <w:rPr>
          <w:sz w:val="24"/>
          <w:szCs w:val="24"/>
        </w:rPr>
        <w:t xml:space="preserve">. </w:t>
      </w:r>
      <w:r w:rsidR="00FA41BF">
        <w:rPr>
          <w:sz w:val="24"/>
          <w:szCs w:val="24"/>
        </w:rPr>
        <w:t>However</w:t>
      </w:r>
      <w:r w:rsidR="00974E84">
        <w:rPr>
          <w:sz w:val="24"/>
          <w:szCs w:val="24"/>
        </w:rPr>
        <w:t>,</w:t>
      </w:r>
      <w:r w:rsidR="00AD06AE">
        <w:rPr>
          <w:sz w:val="24"/>
          <w:szCs w:val="24"/>
        </w:rPr>
        <w:t xml:space="preserve"> </w:t>
      </w:r>
      <w:r>
        <w:rPr>
          <w:sz w:val="24"/>
          <w:szCs w:val="24"/>
        </w:rPr>
        <w:t xml:space="preserve">there is enough evidence to </w:t>
      </w:r>
      <w:r w:rsidR="00C355E6">
        <w:rPr>
          <w:sz w:val="24"/>
          <w:szCs w:val="24"/>
        </w:rPr>
        <w:t xml:space="preserve">suggest </w:t>
      </w:r>
      <w:r>
        <w:rPr>
          <w:sz w:val="24"/>
          <w:szCs w:val="24"/>
        </w:rPr>
        <w:t>its</w:t>
      </w:r>
      <w:r>
        <w:rPr>
          <w:spacing w:val="-30"/>
          <w:sz w:val="24"/>
          <w:szCs w:val="24"/>
        </w:rPr>
        <w:t xml:space="preserve"> </w:t>
      </w:r>
      <w:r>
        <w:rPr>
          <w:sz w:val="24"/>
          <w:szCs w:val="24"/>
        </w:rPr>
        <w:t xml:space="preserve">positive impact on FDI flows at country and regional levels. International business </w:t>
      </w:r>
      <w:r w:rsidR="00C355E6">
        <w:rPr>
          <w:sz w:val="24"/>
          <w:szCs w:val="24"/>
        </w:rPr>
        <w:t xml:space="preserve">and </w:t>
      </w:r>
      <w:r>
        <w:rPr>
          <w:sz w:val="24"/>
          <w:szCs w:val="24"/>
        </w:rPr>
        <w:t>regional development literature</w:t>
      </w:r>
      <w:r w:rsidR="00220EE8">
        <w:rPr>
          <w:sz w:val="24"/>
          <w:szCs w:val="24"/>
        </w:rPr>
        <w:t xml:space="preserve"> </w:t>
      </w:r>
      <w:r w:rsidR="004649C0">
        <w:rPr>
          <w:sz w:val="24"/>
          <w:szCs w:val="24"/>
        </w:rPr>
        <w:t xml:space="preserve">also </w:t>
      </w:r>
      <w:r w:rsidR="00640D6D">
        <w:rPr>
          <w:sz w:val="24"/>
          <w:szCs w:val="24"/>
        </w:rPr>
        <w:t>reaffirm</w:t>
      </w:r>
      <w:r w:rsidR="004649C0">
        <w:rPr>
          <w:sz w:val="24"/>
          <w:szCs w:val="24"/>
        </w:rPr>
        <w:t>s</w:t>
      </w:r>
      <w:r>
        <w:rPr>
          <w:sz w:val="24"/>
          <w:szCs w:val="24"/>
        </w:rPr>
        <w:t xml:space="preserve"> </w:t>
      </w:r>
      <w:r w:rsidR="00220EE8">
        <w:rPr>
          <w:sz w:val="24"/>
          <w:szCs w:val="24"/>
        </w:rPr>
        <w:t>the</w:t>
      </w:r>
      <w:r>
        <w:rPr>
          <w:sz w:val="24"/>
          <w:szCs w:val="24"/>
        </w:rPr>
        <w:t xml:space="preserve"> positive role of quality investment promotion in </w:t>
      </w:r>
      <w:r w:rsidR="00C355E6">
        <w:rPr>
          <w:sz w:val="24"/>
          <w:szCs w:val="24"/>
        </w:rPr>
        <w:t>influencing</w:t>
      </w:r>
      <w:r>
        <w:rPr>
          <w:sz w:val="24"/>
          <w:szCs w:val="24"/>
        </w:rPr>
        <w:t xml:space="preserve"> FDI location decision (e.g. A</w:t>
      </w:r>
      <w:r w:rsidR="008F3151">
        <w:rPr>
          <w:sz w:val="24"/>
          <w:szCs w:val="24"/>
        </w:rPr>
        <w:t>haroni</w:t>
      </w:r>
      <w:r>
        <w:rPr>
          <w:i/>
          <w:sz w:val="24"/>
          <w:szCs w:val="24"/>
        </w:rPr>
        <w:t>,</w:t>
      </w:r>
      <w:r>
        <w:rPr>
          <w:sz w:val="24"/>
          <w:szCs w:val="24"/>
        </w:rPr>
        <w:t xml:space="preserve"> 2010</w:t>
      </w:r>
      <w:r w:rsidR="008F3151">
        <w:rPr>
          <w:sz w:val="24"/>
          <w:szCs w:val="24"/>
        </w:rPr>
        <w:t>;</w:t>
      </w:r>
      <w:r>
        <w:rPr>
          <w:sz w:val="24"/>
          <w:szCs w:val="24"/>
        </w:rPr>
        <w:t xml:space="preserve"> Wilson </w:t>
      </w:r>
      <w:r>
        <w:rPr>
          <w:i/>
          <w:sz w:val="24"/>
          <w:szCs w:val="24"/>
        </w:rPr>
        <w:t>et al.,</w:t>
      </w:r>
      <w:r>
        <w:rPr>
          <w:sz w:val="24"/>
          <w:szCs w:val="24"/>
        </w:rPr>
        <w:t xml:space="preserve"> 2014</w:t>
      </w:r>
      <w:r w:rsidR="008F3151">
        <w:rPr>
          <w:sz w:val="24"/>
          <w:szCs w:val="24"/>
        </w:rPr>
        <w:t>;</w:t>
      </w:r>
      <w:r w:rsidR="00FA41BF">
        <w:rPr>
          <w:sz w:val="24"/>
          <w:szCs w:val="24"/>
        </w:rPr>
        <w:t xml:space="preserve"> </w:t>
      </w:r>
      <w:r w:rsidR="008F3151">
        <w:rPr>
          <w:sz w:val="24"/>
          <w:szCs w:val="24"/>
        </w:rPr>
        <w:t>World Bank 2017;</w:t>
      </w:r>
      <w:r w:rsidR="005E63C5">
        <w:rPr>
          <w:sz w:val="24"/>
          <w:szCs w:val="24"/>
        </w:rPr>
        <w:t xml:space="preserve"> </w:t>
      </w:r>
      <w:r w:rsidR="00FA41BF">
        <w:rPr>
          <w:sz w:val="24"/>
          <w:szCs w:val="24"/>
        </w:rPr>
        <w:t>Wilson and Baack, 20</w:t>
      </w:r>
      <w:r w:rsidR="001525AB">
        <w:rPr>
          <w:sz w:val="24"/>
          <w:szCs w:val="24"/>
        </w:rPr>
        <w:t>20</w:t>
      </w:r>
      <w:r>
        <w:rPr>
          <w:sz w:val="24"/>
          <w:szCs w:val="24"/>
        </w:rPr>
        <w:t xml:space="preserve">), and consequently investment inflows (e.g. Almond </w:t>
      </w:r>
      <w:r>
        <w:rPr>
          <w:i/>
          <w:sz w:val="24"/>
          <w:szCs w:val="24"/>
        </w:rPr>
        <w:t>et al.,</w:t>
      </w:r>
      <w:r w:rsidR="008F3151">
        <w:rPr>
          <w:sz w:val="24"/>
          <w:szCs w:val="24"/>
        </w:rPr>
        <w:t xml:space="preserve"> 2015;</w:t>
      </w:r>
      <w:r>
        <w:rPr>
          <w:sz w:val="24"/>
          <w:szCs w:val="24"/>
        </w:rPr>
        <w:t xml:space="preserve"> OECD 201</w:t>
      </w:r>
      <w:r w:rsidR="006E57A0">
        <w:rPr>
          <w:sz w:val="24"/>
          <w:szCs w:val="24"/>
        </w:rPr>
        <w:t>8</w:t>
      </w:r>
      <w:r>
        <w:rPr>
          <w:sz w:val="24"/>
          <w:szCs w:val="24"/>
        </w:rPr>
        <w:t xml:space="preserve">). Harding and Javorcik (2012) indicate that investment promotion is a cost-effective way of attracting FDI particularly to less developed countries, as it helps to rectify the negative effects of information asymmetries present in foreign investors location decision process (Aharoni </w:t>
      </w:r>
      <w:r>
        <w:rPr>
          <w:i/>
          <w:sz w:val="24"/>
          <w:szCs w:val="24"/>
        </w:rPr>
        <w:t>et al.,</w:t>
      </w:r>
      <w:r w:rsidR="009B33B1">
        <w:rPr>
          <w:sz w:val="24"/>
          <w:szCs w:val="24"/>
        </w:rPr>
        <w:t xml:space="preserve"> 2010</w:t>
      </w:r>
      <w:r>
        <w:rPr>
          <w:sz w:val="24"/>
          <w:szCs w:val="24"/>
        </w:rPr>
        <w:t xml:space="preserve">). This is corroborated by the results of Kulchina’s (2014) study of </w:t>
      </w:r>
      <w:r w:rsidR="00220EE8">
        <w:rPr>
          <w:sz w:val="24"/>
          <w:szCs w:val="24"/>
        </w:rPr>
        <w:t xml:space="preserve">the </w:t>
      </w:r>
      <w:r>
        <w:rPr>
          <w:sz w:val="24"/>
          <w:szCs w:val="24"/>
        </w:rPr>
        <w:t>intensity of media presence and investment inflows to locations in Russia. Similarly</w:t>
      </w:r>
      <w:r w:rsidR="006E57A0">
        <w:rPr>
          <w:sz w:val="24"/>
          <w:szCs w:val="24"/>
        </w:rPr>
        <w:t>,</w:t>
      </w:r>
      <w:r>
        <w:rPr>
          <w:sz w:val="24"/>
          <w:szCs w:val="24"/>
        </w:rPr>
        <w:t xml:space="preserve"> Morisett and Andrews-Johnson (2003) </w:t>
      </w:r>
      <w:r w:rsidR="00C355E6">
        <w:rPr>
          <w:sz w:val="24"/>
          <w:szCs w:val="24"/>
        </w:rPr>
        <w:t xml:space="preserve">and </w:t>
      </w:r>
      <w:r>
        <w:rPr>
          <w:sz w:val="24"/>
          <w:szCs w:val="24"/>
        </w:rPr>
        <w:t>Lim (2008) found a positive relationship between promotional spending and FDI inflows.</w:t>
      </w:r>
    </w:p>
    <w:p w14:paraId="78D1F868" w14:textId="72D1A45B" w:rsidR="005E6520" w:rsidRDefault="005E6520" w:rsidP="005E6520">
      <w:pPr>
        <w:pStyle w:val="BodyText"/>
        <w:kinsoku w:val="0"/>
        <w:overflowPunct w:val="0"/>
        <w:spacing w:line="480" w:lineRule="auto"/>
        <w:rPr>
          <w:sz w:val="24"/>
          <w:szCs w:val="24"/>
        </w:rPr>
      </w:pPr>
      <w:r>
        <w:rPr>
          <w:sz w:val="24"/>
          <w:szCs w:val="24"/>
        </w:rPr>
        <w:tab/>
        <w:t>To date, the regional scale in investment promotion, particularly in the context of levels of</w:t>
      </w:r>
      <w:r>
        <w:rPr>
          <w:spacing w:val="-25"/>
          <w:sz w:val="24"/>
          <w:szCs w:val="24"/>
        </w:rPr>
        <w:t xml:space="preserve"> </w:t>
      </w:r>
      <w:r>
        <w:rPr>
          <w:sz w:val="24"/>
          <w:szCs w:val="24"/>
        </w:rPr>
        <w:t>development remains an unexplored phenomenon in CEE</w:t>
      </w:r>
      <w:r w:rsidR="00BE4354">
        <w:rPr>
          <w:sz w:val="24"/>
          <w:szCs w:val="24"/>
        </w:rPr>
        <w:t>C</w:t>
      </w:r>
      <w:r>
        <w:rPr>
          <w:sz w:val="24"/>
          <w:szCs w:val="24"/>
        </w:rPr>
        <w:t xml:space="preserve"> and beyond. Existing studies tend</w:t>
      </w:r>
      <w:r w:rsidR="00640D6D">
        <w:rPr>
          <w:sz w:val="24"/>
          <w:szCs w:val="24"/>
        </w:rPr>
        <w:t xml:space="preserve"> to be limited and </w:t>
      </w:r>
      <w:r>
        <w:rPr>
          <w:sz w:val="24"/>
          <w:szCs w:val="24"/>
        </w:rPr>
        <w:t>focus on image, brand building and</w:t>
      </w:r>
      <w:r w:rsidR="008F3151">
        <w:rPr>
          <w:sz w:val="24"/>
          <w:szCs w:val="24"/>
        </w:rPr>
        <w:t xml:space="preserve"> their</w:t>
      </w:r>
      <w:r>
        <w:rPr>
          <w:sz w:val="24"/>
          <w:szCs w:val="24"/>
        </w:rPr>
        <w:t xml:space="preserve"> perception</w:t>
      </w:r>
      <w:r w:rsidR="008F3151">
        <w:rPr>
          <w:sz w:val="24"/>
          <w:szCs w:val="24"/>
        </w:rPr>
        <w:t>s</w:t>
      </w:r>
      <w:r>
        <w:rPr>
          <w:sz w:val="24"/>
          <w:szCs w:val="24"/>
        </w:rPr>
        <w:t xml:space="preserve"> by general audiences, and</w:t>
      </w:r>
      <w:r>
        <w:rPr>
          <w:spacing w:val="-31"/>
          <w:sz w:val="24"/>
          <w:szCs w:val="24"/>
        </w:rPr>
        <w:t xml:space="preserve"> </w:t>
      </w:r>
      <w:r>
        <w:rPr>
          <w:sz w:val="24"/>
          <w:szCs w:val="24"/>
        </w:rPr>
        <w:t>tourist target groups. Equally, the scalar dimension of research is biased towards nations and</w:t>
      </w:r>
      <w:r>
        <w:rPr>
          <w:spacing w:val="-23"/>
          <w:sz w:val="24"/>
          <w:szCs w:val="24"/>
        </w:rPr>
        <w:t xml:space="preserve"> </w:t>
      </w:r>
      <w:r>
        <w:rPr>
          <w:sz w:val="24"/>
          <w:szCs w:val="24"/>
        </w:rPr>
        <w:t>cities, predominantly in the post-industrial context of Western, developed economies. Additionally, the</w:t>
      </w:r>
      <w:r>
        <w:rPr>
          <w:spacing w:val="-21"/>
          <w:sz w:val="24"/>
          <w:szCs w:val="24"/>
        </w:rPr>
        <w:t xml:space="preserve"> </w:t>
      </w:r>
      <w:r>
        <w:rPr>
          <w:sz w:val="24"/>
          <w:szCs w:val="24"/>
        </w:rPr>
        <w:t xml:space="preserve">studies of investment attraction practices </w:t>
      </w:r>
      <w:r w:rsidR="005E63C5">
        <w:rPr>
          <w:sz w:val="24"/>
          <w:szCs w:val="24"/>
        </w:rPr>
        <w:t xml:space="preserve">tend to be </w:t>
      </w:r>
      <w:r>
        <w:rPr>
          <w:sz w:val="24"/>
          <w:szCs w:val="24"/>
        </w:rPr>
        <w:t>limited to the analysis of strategies pursued by</w:t>
      </w:r>
      <w:r>
        <w:rPr>
          <w:spacing w:val="-27"/>
          <w:sz w:val="24"/>
          <w:szCs w:val="24"/>
        </w:rPr>
        <w:t xml:space="preserve"> </w:t>
      </w:r>
      <w:r>
        <w:rPr>
          <w:sz w:val="24"/>
          <w:szCs w:val="24"/>
        </w:rPr>
        <w:t>National Investment Promotion Agencies</w:t>
      </w:r>
      <w:r w:rsidR="005E63C5">
        <w:rPr>
          <w:sz w:val="24"/>
          <w:szCs w:val="24"/>
        </w:rPr>
        <w:t xml:space="preserve"> (e.g. Young 2005, World Bank 2017, UNCTAD 2018)</w:t>
      </w:r>
      <w:r>
        <w:rPr>
          <w:sz w:val="24"/>
          <w:szCs w:val="24"/>
        </w:rPr>
        <w:t xml:space="preserve">, and case studies of </w:t>
      </w:r>
      <w:r w:rsidR="00C41E50">
        <w:rPr>
          <w:sz w:val="24"/>
          <w:szCs w:val="24"/>
        </w:rPr>
        <w:t>MNE</w:t>
      </w:r>
      <w:r>
        <w:rPr>
          <w:sz w:val="24"/>
          <w:szCs w:val="24"/>
        </w:rPr>
        <w:t>–</w:t>
      </w:r>
      <w:r>
        <w:rPr>
          <w:sz w:val="24"/>
          <w:szCs w:val="24"/>
        </w:rPr>
        <w:lastRenderedPageBreak/>
        <w:t>government bargaining. Yet, little has</w:t>
      </w:r>
      <w:r>
        <w:rPr>
          <w:spacing w:val="-25"/>
          <w:sz w:val="24"/>
          <w:szCs w:val="24"/>
        </w:rPr>
        <w:t xml:space="preserve"> </w:t>
      </w:r>
      <w:r>
        <w:rPr>
          <w:sz w:val="24"/>
          <w:szCs w:val="24"/>
        </w:rPr>
        <w:t>been said about how investment promotion is pursued at times of fast evolving business environments, at the sub-national level, in the circumstances</w:t>
      </w:r>
      <w:r>
        <w:rPr>
          <w:spacing w:val="-25"/>
          <w:sz w:val="24"/>
          <w:szCs w:val="24"/>
        </w:rPr>
        <w:t xml:space="preserve"> </w:t>
      </w:r>
      <w:r>
        <w:rPr>
          <w:sz w:val="24"/>
          <w:szCs w:val="24"/>
        </w:rPr>
        <w:t>of increased institutional thickness, intra-national competition between locales within a country or</w:t>
      </w:r>
      <w:r>
        <w:rPr>
          <w:spacing w:val="-26"/>
          <w:sz w:val="24"/>
          <w:szCs w:val="24"/>
        </w:rPr>
        <w:t xml:space="preserve"> </w:t>
      </w:r>
      <w:r>
        <w:rPr>
          <w:sz w:val="24"/>
          <w:szCs w:val="24"/>
        </w:rPr>
        <w:t>a trading bloc, and in the context of purposeful regional policies aimed at levelling out</w:t>
      </w:r>
      <w:r>
        <w:rPr>
          <w:spacing w:val="-22"/>
          <w:sz w:val="24"/>
          <w:szCs w:val="24"/>
        </w:rPr>
        <w:t xml:space="preserve"> </w:t>
      </w:r>
      <w:r>
        <w:rPr>
          <w:sz w:val="24"/>
          <w:szCs w:val="24"/>
        </w:rPr>
        <w:t xml:space="preserve">disparities between areas. </w:t>
      </w:r>
      <w:r w:rsidR="00B07BE6">
        <w:rPr>
          <w:sz w:val="24"/>
          <w:szCs w:val="24"/>
        </w:rPr>
        <w:t>This paper</w:t>
      </w:r>
      <w:r w:rsidR="00B07BE6">
        <w:rPr>
          <w:spacing w:val="-18"/>
          <w:sz w:val="24"/>
          <w:szCs w:val="24"/>
        </w:rPr>
        <w:t xml:space="preserve"> </w:t>
      </w:r>
      <w:r w:rsidR="00B07BE6">
        <w:rPr>
          <w:sz w:val="24"/>
          <w:szCs w:val="24"/>
        </w:rPr>
        <w:t xml:space="preserve">is motivated by </w:t>
      </w:r>
      <w:r w:rsidR="00B07BE6">
        <w:rPr>
          <w:sz w:val="24"/>
          <w:szCs w:val="24"/>
        </w:rPr>
        <w:t xml:space="preserve">such </w:t>
      </w:r>
      <w:r w:rsidR="00B07BE6">
        <w:rPr>
          <w:sz w:val="24"/>
          <w:szCs w:val="24"/>
        </w:rPr>
        <w:t xml:space="preserve">a persisting lack of discussion of investment promotion </w:t>
      </w:r>
      <w:r w:rsidR="006A33C7">
        <w:rPr>
          <w:sz w:val="24"/>
          <w:szCs w:val="24"/>
        </w:rPr>
        <w:t xml:space="preserve">within the context of </w:t>
      </w:r>
      <w:r w:rsidR="00B07BE6">
        <w:rPr>
          <w:sz w:val="24"/>
          <w:szCs w:val="24"/>
        </w:rPr>
        <w:t>development of regions</w:t>
      </w:r>
      <w:r w:rsidR="00BE4354">
        <w:rPr>
          <w:sz w:val="24"/>
          <w:szCs w:val="24"/>
        </w:rPr>
        <w:t>.</w:t>
      </w:r>
      <w:r w:rsidR="00B07BE6">
        <w:rPr>
          <w:sz w:val="24"/>
          <w:szCs w:val="24"/>
        </w:rPr>
        <w:t xml:space="preserve"> It </w:t>
      </w:r>
      <w:r w:rsidR="00AD06AE">
        <w:rPr>
          <w:sz w:val="24"/>
          <w:szCs w:val="24"/>
        </w:rPr>
        <w:t>a</w:t>
      </w:r>
      <w:r w:rsidR="00640D6D">
        <w:rPr>
          <w:sz w:val="24"/>
          <w:szCs w:val="24"/>
        </w:rPr>
        <w:t xml:space="preserve">ddresses </w:t>
      </w:r>
      <w:r>
        <w:rPr>
          <w:sz w:val="24"/>
          <w:szCs w:val="24"/>
        </w:rPr>
        <w:t>some of the</w:t>
      </w:r>
      <w:r w:rsidR="006A33C7">
        <w:rPr>
          <w:sz w:val="24"/>
          <w:szCs w:val="24"/>
        </w:rPr>
        <w:t xml:space="preserve"> knowledge </w:t>
      </w:r>
      <w:r>
        <w:rPr>
          <w:sz w:val="24"/>
          <w:szCs w:val="24"/>
        </w:rPr>
        <w:t>gaps by</w:t>
      </w:r>
      <w:r>
        <w:rPr>
          <w:spacing w:val="-22"/>
          <w:sz w:val="24"/>
          <w:szCs w:val="24"/>
        </w:rPr>
        <w:t xml:space="preserve"> </w:t>
      </w:r>
      <w:r w:rsidR="006A33C7">
        <w:rPr>
          <w:sz w:val="24"/>
          <w:szCs w:val="24"/>
        </w:rPr>
        <w:t>investigating the levels of intensity and coherence of</w:t>
      </w:r>
      <w:r w:rsidR="006E5109">
        <w:rPr>
          <w:sz w:val="24"/>
          <w:szCs w:val="24"/>
        </w:rPr>
        <w:t xml:space="preserve"> Central-</w:t>
      </w:r>
      <w:r>
        <w:rPr>
          <w:sz w:val="24"/>
          <w:szCs w:val="24"/>
        </w:rPr>
        <w:t>Eastern European regional</w:t>
      </w:r>
      <w:r>
        <w:rPr>
          <w:spacing w:val="-17"/>
          <w:sz w:val="24"/>
          <w:szCs w:val="24"/>
        </w:rPr>
        <w:t xml:space="preserve"> </w:t>
      </w:r>
      <w:r>
        <w:rPr>
          <w:sz w:val="24"/>
          <w:szCs w:val="24"/>
        </w:rPr>
        <w:t>investment promotion</w:t>
      </w:r>
      <w:r w:rsidR="006A33C7">
        <w:rPr>
          <w:sz w:val="24"/>
          <w:szCs w:val="24"/>
        </w:rPr>
        <w:t>,</w:t>
      </w:r>
      <w:r w:rsidR="000D73BE">
        <w:rPr>
          <w:sz w:val="24"/>
          <w:szCs w:val="24"/>
        </w:rPr>
        <w:t xml:space="preserve"> </w:t>
      </w:r>
      <w:r w:rsidR="006A33C7">
        <w:rPr>
          <w:sz w:val="24"/>
          <w:szCs w:val="24"/>
        </w:rPr>
        <w:t>and examining</w:t>
      </w:r>
      <w:r>
        <w:rPr>
          <w:sz w:val="24"/>
          <w:szCs w:val="24"/>
        </w:rPr>
        <w:t xml:space="preserve"> </w:t>
      </w:r>
      <w:r w:rsidR="00AD06AE">
        <w:rPr>
          <w:sz w:val="24"/>
          <w:szCs w:val="24"/>
        </w:rPr>
        <w:t>their</w:t>
      </w:r>
      <w:r w:rsidR="006A33C7">
        <w:rPr>
          <w:sz w:val="24"/>
          <w:szCs w:val="24"/>
        </w:rPr>
        <w:t xml:space="preserve"> relationship </w:t>
      </w:r>
      <w:r w:rsidR="00AD06AE">
        <w:rPr>
          <w:sz w:val="24"/>
          <w:szCs w:val="24"/>
        </w:rPr>
        <w:t>to</w:t>
      </w:r>
      <w:r w:rsidR="006A33C7">
        <w:rPr>
          <w:sz w:val="24"/>
          <w:szCs w:val="24"/>
        </w:rPr>
        <w:t xml:space="preserve"> developmental</w:t>
      </w:r>
      <w:r w:rsidR="00873D50">
        <w:rPr>
          <w:sz w:val="24"/>
          <w:szCs w:val="24"/>
        </w:rPr>
        <w:t xml:space="preserve"> levels of </w:t>
      </w:r>
      <w:r w:rsidR="00D03B24">
        <w:rPr>
          <w:sz w:val="24"/>
          <w:szCs w:val="24"/>
        </w:rPr>
        <w:t>regions</w:t>
      </w:r>
      <w:r w:rsidR="00DD573C">
        <w:rPr>
          <w:sz w:val="24"/>
          <w:szCs w:val="24"/>
        </w:rPr>
        <w:t xml:space="preserve">. </w:t>
      </w:r>
      <w:r w:rsidR="001203BF">
        <w:rPr>
          <w:sz w:val="24"/>
          <w:szCs w:val="24"/>
        </w:rPr>
        <w:t>Thus</w:t>
      </w:r>
      <w:r>
        <w:rPr>
          <w:sz w:val="24"/>
          <w:szCs w:val="24"/>
        </w:rPr>
        <w:t xml:space="preserve">, it </w:t>
      </w:r>
      <w:r w:rsidR="00DD573C">
        <w:rPr>
          <w:sz w:val="24"/>
          <w:szCs w:val="24"/>
        </w:rPr>
        <w:t xml:space="preserve">offers </w:t>
      </w:r>
      <w:r>
        <w:rPr>
          <w:sz w:val="24"/>
          <w:szCs w:val="24"/>
        </w:rPr>
        <w:t xml:space="preserve">new </w:t>
      </w:r>
      <w:r w:rsidR="00D03B24">
        <w:rPr>
          <w:sz w:val="24"/>
          <w:szCs w:val="24"/>
        </w:rPr>
        <w:t>perspectives</w:t>
      </w:r>
      <w:r>
        <w:rPr>
          <w:sz w:val="24"/>
          <w:szCs w:val="24"/>
        </w:rPr>
        <w:t xml:space="preserve"> as to whether investment promotion is a universal developmental tool or a privilege of regions bearing certain characteristics. </w:t>
      </w:r>
    </w:p>
    <w:p w14:paraId="2A33ADD6" w14:textId="3D081FB0" w:rsidR="005E6520" w:rsidRDefault="005E6520" w:rsidP="005E6520">
      <w:pPr>
        <w:pStyle w:val="BodyText"/>
        <w:kinsoku w:val="0"/>
        <w:overflowPunct w:val="0"/>
        <w:spacing w:line="480" w:lineRule="auto"/>
        <w:ind w:left="0"/>
        <w:rPr>
          <w:sz w:val="24"/>
          <w:szCs w:val="24"/>
        </w:rPr>
      </w:pPr>
      <w:r>
        <w:rPr>
          <w:sz w:val="24"/>
          <w:szCs w:val="24"/>
        </w:rPr>
        <w:tab/>
        <w:t xml:space="preserve">The conceptual debate draws on place marketing </w:t>
      </w:r>
      <w:r w:rsidR="006E57A0">
        <w:rPr>
          <w:sz w:val="24"/>
          <w:szCs w:val="24"/>
        </w:rPr>
        <w:t xml:space="preserve">and regional development </w:t>
      </w:r>
      <w:r>
        <w:rPr>
          <w:sz w:val="24"/>
          <w:szCs w:val="24"/>
        </w:rPr>
        <w:t>literature. It</w:t>
      </w:r>
      <w:r w:rsidR="001203BF">
        <w:rPr>
          <w:sz w:val="24"/>
          <w:szCs w:val="24"/>
        </w:rPr>
        <w:t xml:space="preserve"> provides an innovative approach by d</w:t>
      </w:r>
      <w:r w:rsidR="00D52059">
        <w:rPr>
          <w:sz w:val="24"/>
          <w:szCs w:val="24"/>
        </w:rPr>
        <w:t>emonstrat</w:t>
      </w:r>
      <w:r w:rsidR="001203BF">
        <w:rPr>
          <w:sz w:val="24"/>
          <w:szCs w:val="24"/>
        </w:rPr>
        <w:t xml:space="preserve">ing </w:t>
      </w:r>
      <w:r>
        <w:rPr>
          <w:sz w:val="24"/>
          <w:szCs w:val="24"/>
        </w:rPr>
        <w:t xml:space="preserve">how place </w:t>
      </w:r>
      <w:r w:rsidR="00D52059">
        <w:rPr>
          <w:sz w:val="24"/>
          <w:szCs w:val="24"/>
        </w:rPr>
        <w:t xml:space="preserve">promotion, </w:t>
      </w:r>
      <w:r>
        <w:rPr>
          <w:sz w:val="24"/>
          <w:szCs w:val="24"/>
        </w:rPr>
        <w:t>marketing</w:t>
      </w:r>
      <w:r w:rsidR="00D52059">
        <w:rPr>
          <w:sz w:val="24"/>
          <w:szCs w:val="24"/>
        </w:rPr>
        <w:t xml:space="preserve"> and branding</w:t>
      </w:r>
      <w:r>
        <w:rPr>
          <w:sz w:val="24"/>
          <w:szCs w:val="24"/>
        </w:rPr>
        <w:t xml:space="preserve"> </w:t>
      </w:r>
      <w:r w:rsidR="00C945DC">
        <w:rPr>
          <w:sz w:val="24"/>
          <w:szCs w:val="24"/>
        </w:rPr>
        <w:t xml:space="preserve">concepts and principles </w:t>
      </w:r>
      <w:r w:rsidR="00BE4354">
        <w:rPr>
          <w:sz w:val="24"/>
          <w:szCs w:val="24"/>
        </w:rPr>
        <w:t>can</w:t>
      </w:r>
      <w:r>
        <w:rPr>
          <w:sz w:val="24"/>
          <w:szCs w:val="24"/>
        </w:rPr>
        <w:t xml:space="preserve"> be translated into policies and activities</w:t>
      </w:r>
      <w:r>
        <w:rPr>
          <w:spacing w:val="-23"/>
          <w:sz w:val="24"/>
          <w:szCs w:val="24"/>
        </w:rPr>
        <w:t xml:space="preserve"> </w:t>
      </w:r>
      <w:r>
        <w:rPr>
          <w:sz w:val="24"/>
          <w:szCs w:val="24"/>
        </w:rPr>
        <w:t>of regional promotion aimed at investment attraction. The empirical analysis utilises survey data collected from regional authorities in the Czech Republic, Poland and</w:t>
      </w:r>
      <w:r>
        <w:rPr>
          <w:spacing w:val="13"/>
          <w:sz w:val="24"/>
          <w:szCs w:val="24"/>
        </w:rPr>
        <w:t xml:space="preserve"> </w:t>
      </w:r>
      <w:r>
        <w:rPr>
          <w:sz w:val="24"/>
          <w:szCs w:val="24"/>
        </w:rPr>
        <w:t xml:space="preserve">Slovakia, and relevant secondary statistical data. </w:t>
      </w:r>
      <w:r w:rsidR="002E3096">
        <w:rPr>
          <w:sz w:val="24"/>
          <w:szCs w:val="24"/>
        </w:rPr>
        <w:t>Resulting a</w:t>
      </w:r>
      <w:r>
        <w:rPr>
          <w:sz w:val="24"/>
          <w:szCs w:val="24"/>
        </w:rPr>
        <w:t>nalysis</w:t>
      </w:r>
      <w:r w:rsidR="002E3096">
        <w:rPr>
          <w:sz w:val="24"/>
          <w:szCs w:val="24"/>
        </w:rPr>
        <w:t xml:space="preserve"> </w:t>
      </w:r>
      <w:r>
        <w:rPr>
          <w:sz w:val="24"/>
          <w:szCs w:val="24"/>
        </w:rPr>
        <w:t>leads to the identification of</w:t>
      </w:r>
      <w:r w:rsidR="00BA0E69">
        <w:rPr>
          <w:sz w:val="24"/>
          <w:szCs w:val="24"/>
        </w:rPr>
        <w:t xml:space="preserve"> </w:t>
      </w:r>
      <w:r w:rsidR="002E3096">
        <w:rPr>
          <w:sz w:val="24"/>
          <w:szCs w:val="24"/>
        </w:rPr>
        <w:t xml:space="preserve">different </w:t>
      </w:r>
      <w:r w:rsidR="00BA0E69">
        <w:rPr>
          <w:sz w:val="24"/>
          <w:szCs w:val="24"/>
        </w:rPr>
        <w:t>levels of intensity and coherence of</w:t>
      </w:r>
      <w:r>
        <w:rPr>
          <w:sz w:val="24"/>
          <w:szCs w:val="24"/>
        </w:rPr>
        <w:t xml:space="preserve"> regional authorities' involvement in investment promotion and relat</w:t>
      </w:r>
      <w:r w:rsidR="002E3096">
        <w:rPr>
          <w:sz w:val="24"/>
          <w:szCs w:val="24"/>
        </w:rPr>
        <w:t>es them to regional socio-economic conditions</w:t>
      </w:r>
      <w:r>
        <w:rPr>
          <w:sz w:val="24"/>
          <w:szCs w:val="24"/>
        </w:rPr>
        <w:t xml:space="preserve">. </w:t>
      </w:r>
    </w:p>
    <w:p w14:paraId="1BA0AE8E" w14:textId="21EDDB89" w:rsidR="005E6520" w:rsidRDefault="008F3151" w:rsidP="005E6520">
      <w:pPr>
        <w:pStyle w:val="BodyText"/>
        <w:kinsoku w:val="0"/>
        <w:overflowPunct w:val="0"/>
        <w:spacing w:line="480" w:lineRule="auto"/>
        <w:ind w:left="0" w:firstLine="720"/>
        <w:rPr>
          <w:sz w:val="24"/>
          <w:szCs w:val="24"/>
        </w:rPr>
      </w:pPr>
      <w:r>
        <w:rPr>
          <w:sz w:val="24"/>
          <w:szCs w:val="24"/>
        </w:rPr>
        <w:t xml:space="preserve">The discussion focuses on </w:t>
      </w:r>
      <w:r w:rsidR="005E6520">
        <w:rPr>
          <w:sz w:val="24"/>
          <w:szCs w:val="24"/>
        </w:rPr>
        <w:t xml:space="preserve">years soon after CEEC joined the EU allowing </w:t>
      </w:r>
      <w:r w:rsidR="006E57A0">
        <w:rPr>
          <w:sz w:val="24"/>
          <w:szCs w:val="24"/>
        </w:rPr>
        <w:t xml:space="preserve">to </w:t>
      </w:r>
      <w:r w:rsidR="005E6520">
        <w:rPr>
          <w:sz w:val="24"/>
          <w:szCs w:val="24"/>
        </w:rPr>
        <w:t xml:space="preserve">control for the ‘EU effect’ in FDI flows which appeared in the subsequent </w:t>
      </w:r>
      <w:r w:rsidR="003A0706">
        <w:rPr>
          <w:sz w:val="24"/>
          <w:szCs w:val="24"/>
        </w:rPr>
        <w:t>period</w:t>
      </w:r>
      <w:r w:rsidR="005E6520">
        <w:rPr>
          <w:sz w:val="24"/>
          <w:szCs w:val="24"/>
        </w:rPr>
        <w:t xml:space="preserve"> (Bandelj, 2010</w:t>
      </w:r>
      <w:r w:rsidR="005E6520">
        <w:rPr>
          <w:sz w:val="24"/>
          <w:szCs w:val="24"/>
        </w:rPr>
        <w:t xml:space="preserve">). </w:t>
      </w:r>
      <w:r w:rsidR="006E57A0">
        <w:rPr>
          <w:sz w:val="24"/>
          <w:szCs w:val="24"/>
        </w:rPr>
        <w:t>In spite of</w:t>
      </w:r>
      <w:r w:rsidR="003A0706">
        <w:rPr>
          <w:sz w:val="24"/>
          <w:szCs w:val="24"/>
        </w:rPr>
        <w:t xml:space="preserve"> the passage of time </w:t>
      </w:r>
      <w:r w:rsidR="005E6520">
        <w:rPr>
          <w:sz w:val="24"/>
          <w:szCs w:val="24"/>
        </w:rPr>
        <w:t xml:space="preserve">the analysis remains relevant for </w:t>
      </w:r>
      <w:r w:rsidR="006E57A0">
        <w:rPr>
          <w:sz w:val="24"/>
          <w:szCs w:val="24"/>
        </w:rPr>
        <w:t>a number of reasons.</w:t>
      </w:r>
      <w:r w:rsidR="000D73BE">
        <w:rPr>
          <w:sz w:val="24"/>
          <w:szCs w:val="24"/>
        </w:rPr>
        <w:t xml:space="preserve"> </w:t>
      </w:r>
      <w:r w:rsidR="005E6520">
        <w:rPr>
          <w:sz w:val="24"/>
          <w:szCs w:val="24"/>
        </w:rPr>
        <w:t>T</w:t>
      </w:r>
      <w:r w:rsidR="005E6520">
        <w:rPr>
          <w:sz w:val="24"/>
          <w:szCs w:val="24"/>
        </w:rPr>
        <w:t>here ha</w:t>
      </w:r>
      <w:r w:rsidR="00E26BC9">
        <w:rPr>
          <w:sz w:val="24"/>
          <w:szCs w:val="24"/>
        </w:rPr>
        <w:t>ve</w:t>
      </w:r>
      <w:r w:rsidR="005E6520">
        <w:rPr>
          <w:sz w:val="24"/>
          <w:szCs w:val="24"/>
        </w:rPr>
        <w:t xml:space="preserve"> been no major reform</w:t>
      </w:r>
      <w:r w:rsidR="00E26BC9">
        <w:rPr>
          <w:sz w:val="24"/>
          <w:szCs w:val="24"/>
        </w:rPr>
        <w:t>s</w:t>
      </w:r>
      <w:r w:rsidR="00873D50">
        <w:rPr>
          <w:sz w:val="24"/>
          <w:szCs w:val="24"/>
        </w:rPr>
        <w:t xml:space="preserve"> of </w:t>
      </w:r>
      <w:r w:rsidR="005E6520">
        <w:rPr>
          <w:sz w:val="24"/>
          <w:szCs w:val="24"/>
        </w:rPr>
        <w:t>regional governance system</w:t>
      </w:r>
      <w:r w:rsidR="00CF2331">
        <w:rPr>
          <w:sz w:val="24"/>
          <w:szCs w:val="24"/>
        </w:rPr>
        <w:t>s</w:t>
      </w:r>
      <w:r w:rsidR="005E6520">
        <w:rPr>
          <w:sz w:val="24"/>
          <w:szCs w:val="24"/>
        </w:rPr>
        <w:t xml:space="preserve"> in any of the studied countries since the</w:t>
      </w:r>
      <w:r w:rsidR="006E57A0">
        <w:rPr>
          <w:sz w:val="24"/>
          <w:szCs w:val="24"/>
        </w:rPr>
        <w:t xml:space="preserve"> completion of the</w:t>
      </w:r>
      <w:r w:rsidR="005E6520">
        <w:rPr>
          <w:sz w:val="24"/>
          <w:szCs w:val="24"/>
        </w:rPr>
        <w:t xml:space="preserve"> </w:t>
      </w:r>
      <w:r w:rsidR="002E3096">
        <w:rPr>
          <w:sz w:val="24"/>
          <w:szCs w:val="24"/>
        </w:rPr>
        <w:t>research</w:t>
      </w:r>
      <w:r w:rsidR="005E6520">
        <w:rPr>
          <w:sz w:val="24"/>
          <w:szCs w:val="24"/>
        </w:rPr>
        <w:t>. The scope of regional author</w:t>
      </w:r>
      <w:r w:rsidR="00873D50">
        <w:rPr>
          <w:sz w:val="24"/>
          <w:szCs w:val="24"/>
        </w:rPr>
        <w:t>ities’ responsibilities</w:t>
      </w:r>
      <w:r w:rsidR="005E6520">
        <w:rPr>
          <w:sz w:val="24"/>
          <w:szCs w:val="24"/>
        </w:rPr>
        <w:t xml:space="preserve"> related to FDI promotion established in the reforms pre-EU accession of May 2004, remained the same </w:t>
      </w:r>
      <w:r w:rsidR="005E6520">
        <w:rPr>
          <w:sz w:val="24"/>
          <w:szCs w:val="24"/>
        </w:rPr>
        <w:lastRenderedPageBreak/>
        <w:t xml:space="preserve">and by 2005 when the </w:t>
      </w:r>
      <w:r w:rsidR="002E3096">
        <w:rPr>
          <w:sz w:val="24"/>
          <w:szCs w:val="24"/>
        </w:rPr>
        <w:t xml:space="preserve">study </w:t>
      </w:r>
      <w:r w:rsidR="005E6520">
        <w:rPr>
          <w:sz w:val="24"/>
          <w:szCs w:val="24"/>
        </w:rPr>
        <w:t xml:space="preserve">took place, the relevant systems have been in place and continue largely unchanged since. </w:t>
      </w:r>
      <w:r w:rsidR="00CF2331">
        <w:rPr>
          <w:sz w:val="24"/>
          <w:szCs w:val="24"/>
        </w:rPr>
        <w:t>Moreover</w:t>
      </w:r>
      <w:r w:rsidR="005E6520">
        <w:rPr>
          <w:sz w:val="24"/>
          <w:szCs w:val="24"/>
        </w:rPr>
        <w:t>, from the perspective of the paper’s theoretical contribution</w:t>
      </w:r>
      <w:r w:rsidR="002E3096">
        <w:rPr>
          <w:sz w:val="24"/>
          <w:szCs w:val="24"/>
        </w:rPr>
        <w:t>, the problem it addresses (</w:t>
      </w:r>
      <w:r w:rsidR="005E6520">
        <w:rPr>
          <w:sz w:val="24"/>
          <w:szCs w:val="24"/>
        </w:rPr>
        <w:t xml:space="preserve">relationship between regional authorities’ investment promotion and </w:t>
      </w:r>
      <w:r w:rsidR="00E674BC">
        <w:rPr>
          <w:sz w:val="24"/>
          <w:szCs w:val="24"/>
        </w:rPr>
        <w:t xml:space="preserve">levels of </w:t>
      </w:r>
      <w:r w:rsidR="005E6520">
        <w:rPr>
          <w:sz w:val="24"/>
          <w:szCs w:val="24"/>
        </w:rPr>
        <w:t xml:space="preserve">regional development) remains unexplored as evidenced by several recent publications (e.g. Monaghan </w:t>
      </w:r>
      <w:r w:rsidR="005E6520">
        <w:rPr>
          <w:i/>
          <w:sz w:val="24"/>
          <w:szCs w:val="24"/>
        </w:rPr>
        <w:t>et al.,</w:t>
      </w:r>
      <w:r w:rsidR="005E6520">
        <w:rPr>
          <w:sz w:val="24"/>
          <w:szCs w:val="24"/>
        </w:rPr>
        <w:t xml:space="preserve"> 2014, Almond </w:t>
      </w:r>
      <w:r w:rsidR="005E6520">
        <w:rPr>
          <w:i/>
          <w:sz w:val="24"/>
          <w:szCs w:val="24"/>
        </w:rPr>
        <w:t>et al.,</w:t>
      </w:r>
      <w:r w:rsidR="005E6520">
        <w:rPr>
          <w:sz w:val="24"/>
          <w:szCs w:val="24"/>
        </w:rPr>
        <w:t xml:space="preserve"> 2015, Cleave </w:t>
      </w:r>
      <w:r w:rsidR="005E6520">
        <w:rPr>
          <w:i/>
          <w:sz w:val="24"/>
          <w:szCs w:val="24"/>
        </w:rPr>
        <w:t>et al.,</w:t>
      </w:r>
      <w:r w:rsidR="005E6520">
        <w:rPr>
          <w:sz w:val="24"/>
          <w:szCs w:val="24"/>
        </w:rPr>
        <w:t xml:space="preserve"> 2016, Wilson and Baack 20</w:t>
      </w:r>
      <w:r w:rsidR="006E57A0">
        <w:rPr>
          <w:sz w:val="24"/>
          <w:szCs w:val="24"/>
        </w:rPr>
        <w:t>20</w:t>
      </w:r>
      <w:r w:rsidR="005E6520">
        <w:rPr>
          <w:sz w:val="24"/>
          <w:szCs w:val="24"/>
        </w:rPr>
        <w:t xml:space="preserve">). In this context, the lessons from </w:t>
      </w:r>
      <w:r w:rsidR="006E57A0">
        <w:rPr>
          <w:sz w:val="24"/>
          <w:szCs w:val="24"/>
        </w:rPr>
        <w:t xml:space="preserve">the past </w:t>
      </w:r>
      <w:r w:rsidR="005E6520">
        <w:rPr>
          <w:sz w:val="24"/>
          <w:szCs w:val="24"/>
        </w:rPr>
        <w:t>remain relevant and exhibit potential to influence the future, if discussed in the public domain.</w:t>
      </w:r>
    </w:p>
    <w:p w14:paraId="7E553FD2" w14:textId="5C56960B" w:rsidR="005E6520" w:rsidRDefault="005E6520" w:rsidP="005E6520">
      <w:pPr>
        <w:pStyle w:val="BodyText"/>
        <w:kinsoku w:val="0"/>
        <w:overflowPunct w:val="0"/>
        <w:spacing w:line="480" w:lineRule="auto"/>
        <w:ind w:left="0" w:firstLine="720"/>
        <w:rPr>
          <w:sz w:val="24"/>
          <w:szCs w:val="24"/>
        </w:rPr>
      </w:pPr>
      <w:r>
        <w:rPr>
          <w:sz w:val="24"/>
          <w:szCs w:val="24"/>
        </w:rPr>
        <w:t>The argument proceeds as follows. The next section</w:t>
      </w:r>
      <w:r>
        <w:rPr>
          <w:spacing w:val="38"/>
          <w:sz w:val="24"/>
          <w:szCs w:val="24"/>
        </w:rPr>
        <w:t xml:space="preserve"> </w:t>
      </w:r>
      <w:r>
        <w:rPr>
          <w:sz w:val="24"/>
          <w:szCs w:val="24"/>
        </w:rPr>
        <w:t xml:space="preserve">explores the role of CEEC in global FDI inflows and demonstrates </w:t>
      </w:r>
      <w:r w:rsidR="000C7942">
        <w:rPr>
          <w:sz w:val="24"/>
          <w:szCs w:val="24"/>
        </w:rPr>
        <w:t xml:space="preserve">national and regional </w:t>
      </w:r>
      <w:r>
        <w:rPr>
          <w:sz w:val="24"/>
          <w:szCs w:val="24"/>
        </w:rPr>
        <w:t>potential for investment</w:t>
      </w:r>
      <w:r>
        <w:rPr>
          <w:spacing w:val="-24"/>
          <w:sz w:val="24"/>
          <w:szCs w:val="24"/>
        </w:rPr>
        <w:t xml:space="preserve"> </w:t>
      </w:r>
      <w:r>
        <w:rPr>
          <w:sz w:val="24"/>
          <w:szCs w:val="24"/>
        </w:rPr>
        <w:t>attraction. Subsequent parts ex</w:t>
      </w:r>
      <w:r w:rsidR="00873D50">
        <w:rPr>
          <w:sz w:val="24"/>
          <w:szCs w:val="24"/>
        </w:rPr>
        <w:t xml:space="preserve">amine </w:t>
      </w:r>
      <w:r>
        <w:rPr>
          <w:sz w:val="24"/>
          <w:szCs w:val="24"/>
        </w:rPr>
        <w:t>regional governance in the Czech Republic, Poland and Slovakia</w:t>
      </w:r>
      <w:r>
        <w:rPr>
          <w:spacing w:val="-20"/>
          <w:sz w:val="24"/>
          <w:szCs w:val="24"/>
        </w:rPr>
        <w:t xml:space="preserve"> </w:t>
      </w:r>
      <w:r>
        <w:rPr>
          <w:sz w:val="24"/>
          <w:szCs w:val="24"/>
        </w:rPr>
        <w:t xml:space="preserve">and identify regional authorities’ prerogatives associated with FDI attraction. </w:t>
      </w:r>
      <w:r w:rsidR="00873D50">
        <w:rPr>
          <w:sz w:val="24"/>
          <w:szCs w:val="24"/>
        </w:rPr>
        <w:t xml:space="preserve">Next, </w:t>
      </w:r>
      <w:r>
        <w:rPr>
          <w:sz w:val="24"/>
          <w:szCs w:val="24"/>
        </w:rPr>
        <w:t>the scope and aims of investment promotion, and factors associated with success of</w:t>
      </w:r>
      <w:r>
        <w:rPr>
          <w:spacing w:val="-16"/>
          <w:sz w:val="24"/>
          <w:szCs w:val="24"/>
        </w:rPr>
        <w:t xml:space="preserve"> </w:t>
      </w:r>
      <w:r>
        <w:rPr>
          <w:sz w:val="24"/>
          <w:szCs w:val="24"/>
        </w:rPr>
        <w:t>the practice</w:t>
      </w:r>
      <w:r w:rsidR="00873D50">
        <w:rPr>
          <w:sz w:val="24"/>
          <w:szCs w:val="24"/>
        </w:rPr>
        <w:t xml:space="preserve"> are discussed</w:t>
      </w:r>
      <w:r>
        <w:rPr>
          <w:sz w:val="24"/>
          <w:szCs w:val="24"/>
        </w:rPr>
        <w:t xml:space="preserve">. Methods employed to complete the study are elaborated </w:t>
      </w:r>
      <w:r w:rsidR="00873D50">
        <w:rPr>
          <w:sz w:val="24"/>
          <w:szCs w:val="24"/>
        </w:rPr>
        <w:t xml:space="preserve">in the </w:t>
      </w:r>
      <w:r>
        <w:rPr>
          <w:sz w:val="24"/>
          <w:szCs w:val="24"/>
        </w:rPr>
        <w:t>next</w:t>
      </w:r>
      <w:r w:rsidR="00873D50">
        <w:rPr>
          <w:sz w:val="24"/>
          <w:szCs w:val="24"/>
        </w:rPr>
        <w:t xml:space="preserve"> section</w:t>
      </w:r>
      <w:r>
        <w:rPr>
          <w:sz w:val="24"/>
          <w:szCs w:val="24"/>
        </w:rPr>
        <w:t>. Results and the discussion</w:t>
      </w:r>
      <w:r>
        <w:rPr>
          <w:spacing w:val="-26"/>
          <w:sz w:val="24"/>
          <w:szCs w:val="24"/>
        </w:rPr>
        <w:t xml:space="preserve"> </w:t>
      </w:r>
      <w:r>
        <w:rPr>
          <w:sz w:val="24"/>
          <w:szCs w:val="24"/>
        </w:rPr>
        <w:t>of the proposed Investment Promotion Index (IPI) and regional development in CEE follow and</w:t>
      </w:r>
      <w:r>
        <w:rPr>
          <w:spacing w:val="-14"/>
          <w:sz w:val="24"/>
          <w:szCs w:val="24"/>
        </w:rPr>
        <w:t xml:space="preserve"> </w:t>
      </w:r>
      <w:r>
        <w:rPr>
          <w:sz w:val="24"/>
          <w:szCs w:val="24"/>
        </w:rPr>
        <w:t>is complemented by conclusions indic</w:t>
      </w:r>
      <w:r w:rsidR="000C7942">
        <w:rPr>
          <w:sz w:val="24"/>
          <w:szCs w:val="24"/>
        </w:rPr>
        <w:t xml:space="preserve">ating </w:t>
      </w:r>
      <w:r w:rsidR="00873D50">
        <w:rPr>
          <w:sz w:val="24"/>
          <w:szCs w:val="24"/>
        </w:rPr>
        <w:t xml:space="preserve">paper’s </w:t>
      </w:r>
      <w:r w:rsidR="000C7942">
        <w:rPr>
          <w:sz w:val="24"/>
          <w:szCs w:val="24"/>
        </w:rPr>
        <w:t>main contributions</w:t>
      </w:r>
      <w:r>
        <w:rPr>
          <w:sz w:val="24"/>
          <w:szCs w:val="24"/>
        </w:rPr>
        <w:t xml:space="preserve"> and charting directions</w:t>
      </w:r>
      <w:r>
        <w:rPr>
          <w:spacing w:val="-26"/>
          <w:sz w:val="24"/>
          <w:szCs w:val="24"/>
        </w:rPr>
        <w:t xml:space="preserve"> </w:t>
      </w:r>
      <w:r>
        <w:rPr>
          <w:sz w:val="24"/>
          <w:szCs w:val="24"/>
        </w:rPr>
        <w:t>for further</w:t>
      </w:r>
      <w:r>
        <w:rPr>
          <w:spacing w:val="-2"/>
          <w:sz w:val="24"/>
          <w:szCs w:val="24"/>
        </w:rPr>
        <w:t xml:space="preserve"> </w:t>
      </w:r>
      <w:r>
        <w:rPr>
          <w:sz w:val="24"/>
          <w:szCs w:val="24"/>
        </w:rPr>
        <w:t xml:space="preserve">studies. </w:t>
      </w:r>
    </w:p>
    <w:p w14:paraId="4F85A795" w14:textId="77777777" w:rsidR="000C7942" w:rsidRDefault="000C7942" w:rsidP="005E6520">
      <w:pPr>
        <w:pStyle w:val="BodyText"/>
        <w:kinsoku w:val="0"/>
        <w:overflowPunct w:val="0"/>
        <w:spacing w:line="480" w:lineRule="auto"/>
        <w:ind w:left="0" w:firstLine="720"/>
        <w:rPr>
          <w:sz w:val="24"/>
          <w:szCs w:val="24"/>
        </w:rPr>
      </w:pPr>
    </w:p>
    <w:p w14:paraId="161848BB" w14:textId="77777777" w:rsidR="005E6520" w:rsidRDefault="005E6520" w:rsidP="005E6520">
      <w:pPr>
        <w:pStyle w:val="BodyText"/>
        <w:kinsoku w:val="0"/>
        <w:overflowPunct w:val="0"/>
        <w:spacing w:line="480" w:lineRule="auto"/>
        <w:ind w:left="0"/>
        <w:rPr>
          <w:b/>
          <w:bCs/>
          <w:sz w:val="24"/>
          <w:szCs w:val="24"/>
        </w:rPr>
      </w:pPr>
      <w:r>
        <w:rPr>
          <w:b/>
          <w:bCs/>
          <w:sz w:val="24"/>
          <w:szCs w:val="24"/>
        </w:rPr>
        <w:t>Global Investment Flows and Central-Eastern</w:t>
      </w:r>
      <w:r>
        <w:rPr>
          <w:b/>
          <w:bCs/>
          <w:spacing w:val="-17"/>
          <w:sz w:val="24"/>
          <w:szCs w:val="24"/>
        </w:rPr>
        <w:t xml:space="preserve"> </w:t>
      </w:r>
      <w:r>
        <w:rPr>
          <w:b/>
          <w:bCs/>
          <w:sz w:val="24"/>
          <w:szCs w:val="24"/>
        </w:rPr>
        <w:t>Europe</w:t>
      </w:r>
    </w:p>
    <w:p w14:paraId="3CAAF258" w14:textId="77777777" w:rsidR="005E6520" w:rsidRDefault="005E6520" w:rsidP="005E6520">
      <w:pPr>
        <w:pStyle w:val="BodyText"/>
        <w:kinsoku w:val="0"/>
        <w:overflowPunct w:val="0"/>
        <w:spacing w:before="10" w:line="480" w:lineRule="auto"/>
        <w:ind w:left="0" w:firstLine="720"/>
        <w:rPr>
          <w:sz w:val="24"/>
          <w:szCs w:val="24"/>
        </w:rPr>
      </w:pPr>
    </w:p>
    <w:p w14:paraId="051FED98" w14:textId="56FCE9D4" w:rsidR="00C96DD8" w:rsidRDefault="005E6520" w:rsidP="00C96DD8">
      <w:pPr>
        <w:pStyle w:val="BodyText"/>
        <w:kinsoku w:val="0"/>
        <w:overflowPunct w:val="0"/>
        <w:spacing w:line="480" w:lineRule="auto"/>
        <w:ind w:left="0" w:firstLine="720"/>
        <w:rPr>
          <w:sz w:val="24"/>
          <w:szCs w:val="24"/>
        </w:rPr>
      </w:pPr>
      <w:r>
        <w:rPr>
          <w:sz w:val="24"/>
          <w:szCs w:val="24"/>
        </w:rPr>
        <w:t>The dyn</w:t>
      </w:r>
      <w:r w:rsidR="006E5109">
        <w:rPr>
          <w:sz w:val="24"/>
          <w:szCs w:val="24"/>
        </w:rPr>
        <w:t>amics of FDI inflows to Central-</w:t>
      </w:r>
      <w:r w:rsidR="00725E13">
        <w:rPr>
          <w:sz w:val="24"/>
          <w:szCs w:val="24"/>
        </w:rPr>
        <w:t>Eastern Europe</w:t>
      </w:r>
      <w:r>
        <w:rPr>
          <w:sz w:val="24"/>
          <w:szCs w:val="24"/>
        </w:rPr>
        <w:t xml:space="preserve"> t</w:t>
      </w:r>
      <w:r w:rsidR="00725E13">
        <w:rPr>
          <w:sz w:val="24"/>
          <w:szCs w:val="24"/>
        </w:rPr>
        <w:t xml:space="preserve">ypically </w:t>
      </w:r>
      <w:r>
        <w:rPr>
          <w:sz w:val="24"/>
          <w:szCs w:val="24"/>
        </w:rPr>
        <w:t>mirrored global</w:t>
      </w:r>
      <w:r>
        <w:rPr>
          <w:spacing w:val="-21"/>
          <w:sz w:val="24"/>
          <w:szCs w:val="24"/>
        </w:rPr>
        <w:t xml:space="preserve"> </w:t>
      </w:r>
      <w:r>
        <w:rPr>
          <w:sz w:val="24"/>
          <w:szCs w:val="24"/>
        </w:rPr>
        <w:t>trends, with the area gaining an increasing share only in the latter part of the 2000s</w:t>
      </w:r>
      <w:r>
        <w:rPr>
          <w:rStyle w:val="FootnoteReference"/>
          <w:sz w:val="24"/>
          <w:szCs w:val="24"/>
        </w:rPr>
        <w:footnoteReference w:id="3"/>
      </w:r>
      <w:r>
        <w:rPr>
          <w:sz w:val="24"/>
          <w:szCs w:val="24"/>
        </w:rPr>
        <w:t>. Earlier</w:t>
      </w:r>
      <w:r w:rsidR="000C7942">
        <w:rPr>
          <w:sz w:val="24"/>
          <w:szCs w:val="24"/>
        </w:rPr>
        <w:t>,</w:t>
      </w:r>
      <w:r>
        <w:rPr>
          <w:sz w:val="24"/>
          <w:szCs w:val="24"/>
        </w:rPr>
        <w:t xml:space="preserve"> despite</w:t>
      </w:r>
      <w:r>
        <w:rPr>
          <w:spacing w:val="-25"/>
          <w:sz w:val="24"/>
          <w:szCs w:val="24"/>
        </w:rPr>
        <w:t xml:space="preserve"> </w:t>
      </w:r>
      <w:r>
        <w:rPr>
          <w:sz w:val="24"/>
          <w:szCs w:val="24"/>
        </w:rPr>
        <w:t>extensive reforms and improvements in the general business environment since the beginning of</w:t>
      </w:r>
      <w:r>
        <w:rPr>
          <w:spacing w:val="-23"/>
          <w:sz w:val="24"/>
          <w:szCs w:val="24"/>
        </w:rPr>
        <w:t xml:space="preserve"> </w:t>
      </w:r>
      <w:r>
        <w:rPr>
          <w:sz w:val="24"/>
          <w:szCs w:val="24"/>
        </w:rPr>
        <w:t xml:space="preserve">the systemic transformation in 1989, CEEC share of </w:t>
      </w:r>
      <w:r w:rsidR="00725E13">
        <w:rPr>
          <w:sz w:val="24"/>
          <w:szCs w:val="24"/>
        </w:rPr>
        <w:t xml:space="preserve">foreign investment </w:t>
      </w:r>
      <w:r>
        <w:rPr>
          <w:sz w:val="24"/>
          <w:szCs w:val="24"/>
        </w:rPr>
        <w:t xml:space="preserve">inflows </w:t>
      </w:r>
      <w:r>
        <w:rPr>
          <w:sz w:val="24"/>
          <w:szCs w:val="24"/>
        </w:rPr>
        <w:lastRenderedPageBreak/>
        <w:t xml:space="preserve">remained limited. In </w:t>
      </w:r>
      <w:r w:rsidR="00725E13">
        <w:rPr>
          <w:sz w:val="24"/>
          <w:szCs w:val="24"/>
        </w:rPr>
        <w:t xml:space="preserve">1990 FDI </w:t>
      </w:r>
      <w:r>
        <w:rPr>
          <w:sz w:val="24"/>
          <w:szCs w:val="24"/>
        </w:rPr>
        <w:t>inflow</w:t>
      </w:r>
      <w:r w:rsidR="00725E13">
        <w:rPr>
          <w:sz w:val="24"/>
          <w:szCs w:val="24"/>
        </w:rPr>
        <w:t>s</w:t>
      </w:r>
      <w:r>
        <w:rPr>
          <w:sz w:val="24"/>
          <w:szCs w:val="24"/>
        </w:rPr>
        <w:t xml:space="preserve"> to Czechoslovakia and Poland equalled a mere 0.15% of</w:t>
      </w:r>
      <w:r>
        <w:rPr>
          <w:spacing w:val="-17"/>
          <w:sz w:val="24"/>
          <w:szCs w:val="24"/>
        </w:rPr>
        <w:t xml:space="preserve"> </w:t>
      </w:r>
      <w:r w:rsidR="00725E13">
        <w:rPr>
          <w:spacing w:val="-17"/>
          <w:sz w:val="24"/>
          <w:szCs w:val="24"/>
        </w:rPr>
        <w:t>in</w:t>
      </w:r>
      <w:r>
        <w:rPr>
          <w:sz w:val="24"/>
          <w:szCs w:val="24"/>
        </w:rPr>
        <w:t xml:space="preserve">flows </w:t>
      </w:r>
      <w:r w:rsidR="00725E13">
        <w:rPr>
          <w:sz w:val="24"/>
          <w:szCs w:val="24"/>
        </w:rPr>
        <w:t>r</w:t>
      </w:r>
      <w:r>
        <w:rPr>
          <w:sz w:val="24"/>
          <w:szCs w:val="24"/>
        </w:rPr>
        <w:t>eceived by developed economies. Ten years later the share received by the Czech Republic,</w:t>
      </w:r>
      <w:r>
        <w:rPr>
          <w:spacing w:val="-29"/>
          <w:sz w:val="24"/>
          <w:szCs w:val="24"/>
        </w:rPr>
        <w:t xml:space="preserve"> </w:t>
      </w:r>
      <w:r>
        <w:rPr>
          <w:sz w:val="24"/>
          <w:szCs w:val="24"/>
        </w:rPr>
        <w:t>Slovakia and Poland increased to 1.45% and in 2005, the first full year of their EU membership, it reached</w:t>
      </w:r>
      <w:r>
        <w:rPr>
          <w:spacing w:val="-22"/>
          <w:sz w:val="24"/>
          <w:szCs w:val="24"/>
        </w:rPr>
        <w:t xml:space="preserve"> </w:t>
      </w:r>
      <w:r>
        <w:rPr>
          <w:sz w:val="24"/>
          <w:szCs w:val="24"/>
        </w:rPr>
        <w:t>4%. Despite the positive trend and the fact that the three countries attracted almost 65% of all</w:t>
      </w:r>
      <w:r>
        <w:rPr>
          <w:spacing w:val="-18"/>
          <w:sz w:val="24"/>
          <w:szCs w:val="24"/>
        </w:rPr>
        <w:t xml:space="preserve"> </w:t>
      </w:r>
      <w:r>
        <w:rPr>
          <w:sz w:val="24"/>
          <w:szCs w:val="24"/>
        </w:rPr>
        <w:t>inward investments into the ten new EU Member States, this result still place</w:t>
      </w:r>
      <w:r w:rsidR="007964E6">
        <w:rPr>
          <w:sz w:val="24"/>
          <w:szCs w:val="24"/>
        </w:rPr>
        <w:t>d</w:t>
      </w:r>
      <w:r>
        <w:rPr>
          <w:sz w:val="24"/>
          <w:szCs w:val="24"/>
        </w:rPr>
        <w:t xml:space="preserve"> the </w:t>
      </w:r>
      <w:r w:rsidR="00407E0B">
        <w:rPr>
          <w:sz w:val="24"/>
          <w:szCs w:val="24"/>
        </w:rPr>
        <w:t xml:space="preserve">CEEC </w:t>
      </w:r>
      <w:r>
        <w:rPr>
          <w:sz w:val="24"/>
          <w:szCs w:val="24"/>
        </w:rPr>
        <w:t>considerably behind other European nations</w:t>
      </w:r>
      <w:r w:rsidR="0082287A">
        <w:rPr>
          <w:sz w:val="24"/>
          <w:szCs w:val="24"/>
        </w:rPr>
        <w:t xml:space="preserve"> (e.g. </w:t>
      </w:r>
      <w:r>
        <w:rPr>
          <w:sz w:val="24"/>
          <w:szCs w:val="24"/>
        </w:rPr>
        <w:t>Netherlands and Belgium attracted 4.4% and 3.6% of global</w:t>
      </w:r>
      <w:r>
        <w:rPr>
          <w:spacing w:val="-25"/>
          <w:sz w:val="24"/>
          <w:szCs w:val="24"/>
        </w:rPr>
        <w:t xml:space="preserve"> </w:t>
      </w:r>
      <w:r>
        <w:rPr>
          <w:sz w:val="24"/>
          <w:szCs w:val="24"/>
        </w:rPr>
        <w:t xml:space="preserve">FDI </w:t>
      </w:r>
      <w:r w:rsidR="0082287A">
        <w:rPr>
          <w:sz w:val="24"/>
          <w:szCs w:val="24"/>
        </w:rPr>
        <w:t>in</w:t>
      </w:r>
      <w:r>
        <w:rPr>
          <w:sz w:val="24"/>
          <w:szCs w:val="24"/>
        </w:rPr>
        <w:t>flows</w:t>
      </w:r>
      <w:r w:rsidR="0082287A">
        <w:rPr>
          <w:sz w:val="24"/>
          <w:szCs w:val="24"/>
        </w:rPr>
        <w:t>)</w:t>
      </w:r>
      <w:r>
        <w:rPr>
          <w:sz w:val="24"/>
          <w:szCs w:val="24"/>
        </w:rPr>
        <w:t>. Furthermore, other co</w:t>
      </w:r>
      <w:r w:rsidR="00725E13">
        <w:rPr>
          <w:sz w:val="24"/>
          <w:szCs w:val="24"/>
        </w:rPr>
        <w:t>untries in the region</w:t>
      </w:r>
      <w:r>
        <w:rPr>
          <w:sz w:val="24"/>
          <w:szCs w:val="24"/>
        </w:rPr>
        <w:t xml:space="preserve"> became increasingly appealing</w:t>
      </w:r>
      <w:r>
        <w:rPr>
          <w:spacing w:val="-18"/>
          <w:sz w:val="24"/>
          <w:szCs w:val="24"/>
        </w:rPr>
        <w:t xml:space="preserve"> </w:t>
      </w:r>
      <w:r w:rsidR="00725E13">
        <w:rPr>
          <w:spacing w:val="-18"/>
          <w:sz w:val="24"/>
          <w:szCs w:val="24"/>
        </w:rPr>
        <w:t xml:space="preserve">to </w:t>
      </w:r>
      <w:r w:rsidR="00725E13">
        <w:rPr>
          <w:sz w:val="24"/>
          <w:szCs w:val="24"/>
        </w:rPr>
        <w:t>investors and began</w:t>
      </w:r>
      <w:r w:rsidR="00E94DC9">
        <w:rPr>
          <w:sz w:val="24"/>
          <w:szCs w:val="24"/>
        </w:rPr>
        <w:t xml:space="preserve"> captur</w:t>
      </w:r>
      <w:r w:rsidR="00725E13">
        <w:rPr>
          <w:sz w:val="24"/>
          <w:szCs w:val="24"/>
        </w:rPr>
        <w:t>ing</w:t>
      </w:r>
      <w:r w:rsidR="00E94DC9">
        <w:rPr>
          <w:sz w:val="24"/>
          <w:szCs w:val="24"/>
        </w:rPr>
        <w:t xml:space="preserve"> </w:t>
      </w:r>
      <w:r>
        <w:rPr>
          <w:sz w:val="24"/>
          <w:szCs w:val="24"/>
        </w:rPr>
        <w:t>considerable amount of FDI</w:t>
      </w:r>
      <w:r w:rsidR="0082287A">
        <w:rPr>
          <w:sz w:val="24"/>
          <w:szCs w:val="24"/>
        </w:rPr>
        <w:t xml:space="preserve"> </w:t>
      </w:r>
      <w:r w:rsidR="00E94DC9">
        <w:rPr>
          <w:sz w:val="24"/>
          <w:szCs w:val="24"/>
        </w:rPr>
        <w:t xml:space="preserve">– </w:t>
      </w:r>
      <w:r>
        <w:rPr>
          <w:sz w:val="24"/>
          <w:szCs w:val="24"/>
        </w:rPr>
        <w:t>Romania,</w:t>
      </w:r>
      <w:r>
        <w:rPr>
          <w:spacing w:val="-23"/>
          <w:sz w:val="24"/>
          <w:szCs w:val="24"/>
        </w:rPr>
        <w:t xml:space="preserve"> </w:t>
      </w:r>
      <w:r>
        <w:rPr>
          <w:sz w:val="24"/>
          <w:szCs w:val="24"/>
        </w:rPr>
        <w:t>Bulgaria and Ukraine received almost 2% of global investment flows, a significant increase from 0.4% in</w:t>
      </w:r>
      <w:r>
        <w:rPr>
          <w:spacing w:val="-29"/>
          <w:sz w:val="24"/>
          <w:szCs w:val="24"/>
        </w:rPr>
        <w:t xml:space="preserve"> </w:t>
      </w:r>
      <w:r w:rsidR="00F72686">
        <w:rPr>
          <w:sz w:val="24"/>
          <w:szCs w:val="24"/>
        </w:rPr>
        <w:t>2002 (UNCTAD,</w:t>
      </w:r>
      <w:r>
        <w:rPr>
          <w:spacing w:val="-7"/>
          <w:sz w:val="24"/>
          <w:szCs w:val="24"/>
        </w:rPr>
        <w:t xml:space="preserve"> </w:t>
      </w:r>
      <w:r>
        <w:rPr>
          <w:sz w:val="24"/>
          <w:szCs w:val="24"/>
        </w:rPr>
        <w:t xml:space="preserve">2007). Although in the first half of the </w:t>
      </w:r>
      <w:r>
        <w:rPr>
          <w:sz w:val="24"/>
          <w:szCs w:val="24"/>
        </w:rPr>
        <w:t xml:space="preserve">2000s </w:t>
      </w:r>
      <w:r w:rsidR="00FB7559">
        <w:rPr>
          <w:sz w:val="24"/>
          <w:szCs w:val="24"/>
        </w:rPr>
        <w:t xml:space="preserve">the </w:t>
      </w:r>
      <w:r>
        <w:rPr>
          <w:sz w:val="24"/>
          <w:szCs w:val="24"/>
        </w:rPr>
        <w:t>Czech Republic, Poland and Slovakia</w:t>
      </w:r>
      <w:r>
        <w:rPr>
          <w:spacing w:val="-24"/>
          <w:sz w:val="24"/>
          <w:szCs w:val="24"/>
        </w:rPr>
        <w:t xml:space="preserve"> </w:t>
      </w:r>
      <w:r>
        <w:rPr>
          <w:sz w:val="24"/>
          <w:szCs w:val="24"/>
        </w:rPr>
        <w:t xml:space="preserve">recorded a significant increase of </w:t>
      </w:r>
      <w:r w:rsidR="00F72686">
        <w:rPr>
          <w:sz w:val="24"/>
          <w:szCs w:val="24"/>
        </w:rPr>
        <w:t>FDI in</w:t>
      </w:r>
      <w:r w:rsidR="00C96DD8">
        <w:rPr>
          <w:sz w:val="24"/>
          <w:szCs w:val="24"/>
        </w:rPr>
        <w:t>flows</w:t>
      </w:r>
      <w:r>
        <w:rPr>
          <w:sz w:val="24"/>
          <w:szCs w:val="24"/>
        </w:rPr>
        <w:t>, they continued to lag behind</w:t>
      </w:r>
      <w:r>
        <w:rPr>
          <w:spacing w:val="-26"/>
          <w:sz w:val="24"/>
          <w:szCs w:val="24"/>
        </w:rPr>
        <w:t xml:space="preserve"> </w:t>
      </w:r>
      <w:r>
        <w:rPr>
          <w:sz w:val="24"/>
          <w:szCs w:val="24"/>
        </w:rPr>
        <w:t xml:space="preserve">other developed economies and </w:t>
      </w:r>
      <w:r w:rsidR="00C96DD8">
        <w:rPr>
          <w:sz w:val="24"/>
          <w:szCs w:val="24"/>
        </w:rPr>
        <w:t xml:space="preserve">had to </w:t>
      </w:r>
      <w:r>
        <w:rPr>
          <w:sz w:val="24"/>
          <w:szCs w:val="24"/>
        </w:rPr>
        <w:t>fac</w:t>
      </w:r>
      <w:r w:rsidR="00C96DD8">
        <w:rPr>
          <w:sz w:val="24"/>
          <w:szCs w:val="24"/>
        </w:rPr>
        <w:t xml:space="preserve">e </w:t>
      </w:r>
      <w:r>
        <w:rPr>
          <w:sz w:val="24"/>
          <w:szCs w:val="24"/>
        </w:rPr>
        <w:t>new competition from upcoming</w:t>
      </w:r>
      <w:r>
        <w:rPr>
          <w:spacing w:val="-19"/>
          <w:sz w:val="24"/>
          <w:szCs w:val="24"/>
        </w:rPr>
        <w:t xml:space="preserve"> </w:t>
      </w:r>
      <w:r>
        <w:rPr>
          <w:sz w:val="24"/>
          <w:szCs w:val="24"/>
        </w:rPr>
        <w:t>rivals</w:t>
      </w:r>
      <w:r w:rsidR="00C36DCE">
        <w:rPr>
          <w:sz w:val="24"/>
          <w:szCs w:val="24"/>
        </w:rPr>
        <w:t xml:space="preserve"> in the Balkans and South East Asia</w:t>
      </w:r>
      <w:r>
        <w:rPr>
          <w:sz w:val="24"/>
          <w:szCs w:val="24"/>
        </w:rPr>
        <w:t xml:space="preserve"> (Ascani </w:t>
      </w:r>
      <w:r>
        <w:rPr>
          <w:i/>
          <w:sz w:val="24"/>
          <w:szCs w:val="24"/>
        </w:rPr>
        <w:t>et al.,</w:t>
      </w:r>
      <w:r>
        <w:rPr>
          <w:sz w:val="24"/>
          <w:szCs w:val="24"/>
        </w:rPr>
        <w:t xml:space="preserve"> 2017).</w:t>
      </w:r>
    </w:p>
    <w:p w14:paraId="34EA889B" w14:textId="77777777" w:rsidR="005E6520" w:rsidRDefault="005E6520" w:rsidP="005E6520">
      <w:pPr>
        <w:pStyle w:val="BodyText"/>
        <w:kinsoku w:val="0"/>
        <w:overflowPunct w:val="0"/>
        <w:spacing w:before="8" w:line="480" w:lineRule="auto"/>
        <w:ind w:left="0"/>
        <w:rPr>
          <w:sz w:val="24"/>
          <w:szCs w:val="24"/>
        </w:rPr>
      </w:pPr>
    </w:p>
    <w:p w14:paraId="2487787A" w14:textId="77777777" w:rsidR="005E6520" w:rsidRDefault="005E6520" w:rsidP="005E6520">
      <w:pPr>
        <w:pStyle w:val="BodyText"/>
        <w:kinsoku w:val="0"/>
        <w:overflowPunct w:val="0"/>
        <w:spacing w:before="8" w:line="480" w:lineRule="auto"/>
        <w:ind w:left="0"/>
        <w:jc w:val="center"/>
        <w:rPr>
          <w:b/>
          <w:sz w:val="24"/>
          <w:szCs w:val="24"/>
        </w:rPr>
      </w:pPr>
      <w:r>
        <w:rPr>
          <w:b/>
          <w:sz w:val="24"/>
          <w:szCs w:val="24"/>
        </w:rPr>
        <w:t>Table 1 about here</w:t>
      </w:r>
    </w:p>
    <w:p w14:paraId="7C25B5CF" w14:textId="77777777" w:rsidR="005E6520" w:rsidRDefault="005E6520" w:rsidP="005E6520">
      <w:pPr>
        <w:pStyle w:val="BodyText"/>
        <w:kinsoku w:val="0"/>
        <w:overflowPunct w:val="0"/>
        <w:spacing w:line="480" w:lineRule="auto"/>
        <w:ind w:left="0"/>
        <w:rPr>
          <w:sz w:val="24"/>
          <w:szCs w:val="24"/>
        </w:rPr>
      </w:pPr>
    </w:p>
    <w:p w14:paraId="4DBCD011" w14:textId="705EC2DB" w:rsidR="005E6520" w:rsidRDefault="005E6520" w:rsidP="005E6520">
      <w:pPr>
        <w:pStyle w:val="BodyText"/>
        <w:kinsoku w:val="0"/>
        <w:overflowPunct w:val="0"/>
        <w:spacing w:line="480" w:lineRule="auto"/>
        <w:ind w:left="0"/>
        <w:rPr>
          <w:sz w:val="24"/>
          <w:szCs w:val="24"/>
        </w:rPr>
      </w:pPr>
      <w:r>
        <w:rPr>
          <w:sz w:val="24"/>
          <w:szCs w:val="24"/>
        </w:rPr>
        <w:tab/>
        <w:t xml:space="preserve">The number of greenfield projects </w:t>
      </w:r>
      <w:r w:rsidR="00725E13">
        <w:rPr>
          <w:sz w:val="24"/>
          <w:szCs w:val="24"/>
        </w:rPr>
        <w:t xml:space="preserve">further </w:t>
      </w:r>
      <w:r>
        <w:rPr>
          <w:sz w:val="24"/>
          <w:szCs w:val="24"/>
        </w:rPr>
        <w:t>illustrates this (Table 1). Similarly</w:t>
      </w:r>
      <w:r w:rsidR="0082287A">
        <w:rPr>
          <w:sz w:val="24"/>
          <w:szCs w:val="24"/>
        </w:rPr>
        <w:t>,</w:t>
      </w:r>
      <w:r>
        <w:rPr>
          <w:sz w:val="24"/>
          <w:szCs w:val="24"/>
        </w:rPr>
        <w:t xml:space="preserve"> to the rest</w:t>
      </w:r>
      <w:r>
        <w:rPr>
          <w:spacing w:val="-33"/>
          <w:sz w:val="24"/>
          <w:szCs w:val="24"/>
        </w:rPr>
        <w:t xml:space="preserve"> </w:t>
      </w:r>
      <w:r>
        <w:rPr>
          <w:sz w:val="24"/>
          <w:szCs w:val="24"/>
        </w:rPr>
        <w:t xml:space="preserve">of the world, CEEC experienced a major increase (157%) in </w:t>
      </w:r>
      <w:r w:rsidR="00FB7559">
        <w:rPr>
          <w:sz w:val="24"/>
          <w:szCs w:val="24"/>
        </w:rPr>
        <w:t>project numbers</w:t>
      </w:r>
      <w:r>
        <w:rPr>
          <w:sz w:val="24"/>
          <w:szCs w:val="24"/>
        </w:rPr>
        <w:t xml:space="preserve"> between 2002 and</w:t>
      </w:r>
      <w:r>
        <w:rPr>
          <w:spacing w:val="-27"/>
          <w:sz w:val="24"/>
          <w:szCs w:val="24"/>
        </w:rPr>
        <w:t xml:space="preserve"> </w:t>
      </w:r>
      <w:r>
        <w:rPr>
          <w:sz w:val="24"/>
          <w:szCs w:val="24"/>
        </w:rPr>
        <w:t xml:space="preserve">2003. It exceeded growth </w:t>
      </w:r>
      <w:r>
        <w:rPr>
          <w:sz w:val="24"/>
          <w:szCs w:val="24"/>
        </w:rPr>
        <w:t>within the EU (147%), but was less significant than the change</w:t>
      </w:r>
      <w:r>
        <w:rPr>
          <w:spacing w:val="-18"/>
          <w:sz w:val="24"/>
          <w:szCs w:val="24"/>
        </w:rPr>
        <w:t xml:space="preserve"> </w:t>
      </w:r>
      <w:r>
        <w:rPr>
          <w:sz w:val="24"/>
          <w:szCs w:val="24"/>
        </w:rPr>
        <w:t>globally (166%). While there were differences between the three countries, collectively in 2005, they</w:t>
      </w:r>
      <w:r>
        <w:rPr>
          <w:spacing w:val="-30"/>
          <w:sz w:val="24"/>
          <w:szCs w:val="24"/>
        </w:rPr>
        <w:t xml:space="preserve"> </w:t>
      </w:r>
      <w:r>
        <w:rPr>
          <w:sz w:val="24"/>
          <w:szCs w:val="24"/>
        </w:rPr>
        <w:t>attracted 536 out of 3527 new projects completed in Europe (15%), or 5% of project globally</w:t>
      </w:r>
      <w:r>
        <w:rPr>
          <w:spacing w:val="-23"/>
          <w:sz w:val="24"/>
          <w:szCs w:val="24"/>
        </w:rPr>
        <w:t xml:space="preserve"> </w:t>
      </w:r>
      <w:r>
        <w:rPr>
          <w:sz w:val="24"/>
          <w:szCs w:val="24"/>
        </w:rPr>
        <w:t>(10442).</w:t>
      </w:r>
    </w:p>
    <w:p w14:paraId="5F86FE68" w14:textId="3AB71895" w:rsidR="005E6520" w:rsidRDefault="00A21294" w:rsidP="005E6520">
      <w:pPr>
        <w:pStyle w:val="BodyText"/>
        <w:kinsoku w:val="0"/>
        <w:overflowPunct w:val="0"/>
        <w:spacing w:before="9" w:line="480" w:lineRule="auto"/>
        <w:ind w:left="0" w:firstLine="720"/>
        <w:rPr>
          <w:sz w:val="24"/>
          <w:szCs w:val="24"/>
        </w:rPr>
      </w:pPr>
      <w:r>
        <w:rPr>
          <w:sz w:val="24"/>
          <w:szCs w:val="24"/>
        </w:rPr>
        <w:t xml:space="preserve"> Overall,</w:t>
      </w:r>
      <w:r w:rsidR="005E6520">
        <w:rPr>
          <w:sz w:val="24"/>
          <w:szCs w:val="24"/>
        </w:rPr>
        <w:t xml:space="preserve"> despite considerable advances</w:t>
      </w:r>
      <w:r w:rsidR="005E6520">
        <w:rPr>
          <w:spacing w:val="-26"/>
          <w:sz w:val="24"/>
          <w:szCs w:val="24"/>
        </w:rPr>
        <w:t xml:space="preserve"> </w:t>
      </w:r>
      <w:r w:rsidR="005E6520">
        <w:rPr>
          <w:sz w:val="24"/>
          <w:szCs w:val="24"/>
        </w:rPr>
        <w:t>and increasingly wider application of active investment promotion measures (Young, 2005), the</w:t>
      </w:r>
      <w:r w:rsidR="005E6520">
        <w:rPr>
          <w:spacing w:val="-18"/>
          <w:sz w:val="24"/>
          <w:szCs w:val="24"/>
        </w:rPr>
        <w:t xml:space="preserve"> </w:t>
      </w:r>
      <w:r w:rsidR="005E6520">
        <w:rPr>
          <w:sz w:val="24"/>
          <w:szCs w:val="24"/>
        </w:rPr>
        <w:t>Czech Republic, Poland and Slovakia even after becoming full EU members attracted a mere fraction of</w:t>
      </w:r>
      <w:r w:rsidR="005E6520">
        <w:rPr>
          <w:spacing w:val="-29"/>
          <w:sz w:val="24"/>
          <w:szCs w:val="24"/>
        </w:rPr>
        <w:t xml:space="preserve"> </w:t>
      </w:r>
      <w:r w:rsidR="005E6520">
        <w:rPr>
          <w:sz w:val="24"/>
          <w:szCs w:val="24"/>
        </w:rPr>
        <w:t xml:space="preserve">FDI compared to other </w:t>
      </w:r>
      <w:r w:rsidR="005E6520">
        <w:rPr>
          <w:sz w:val="24"/>
          <w:szCs w:val="24"/>
        </w:rPr>
        <w:lastRenderedPageBreak/>
        <w:t>European and global economies. Additionally, the majority of regions</w:t>
      </w:r>
      <w:r w:rsidR="005E6520">
        <w:rPr>
          <w:spacing w:val="-24"/>
          <w:sz w:val="24"/>
          <w:szCs w:val="24"/>
        </w:rPr>
        <w:t xml:space="preserve"> </w:t>
      </w:r>
      <w:r w:rsidR="005E6520">
        <w:rPr>
          <w:sz w:val="24"/>
          <w:szCs w:val="24"/>
        </w:rPr>
        <w:t>in CEE</w:t>
      </w:r>
      <w:r w:rsidR="001B110A">
        <w:rPr>
          <w:sz w:val="24"/>
          <w:szCs w:val="24"/>
        </w:rPr>
        <w:t>C</w:t>
      </w:r>
      <w:r w:rsidR="005E6520">
        <w:rPr>
          <w:sz w:val="24"/>
          <w:szCs w:val="24"/>
        </w:rPr>
        <w:t xml:space="preserve"> </w:t>
      </w:r>
      <w:r w:rsidR="00F72686">
        <w:rPr>
          <w:sz w:val="24"/>
          <w:szCs w:val="24"/>
        </w:rPr>
        <w:t xml:space="preserve">received </w:t>
      </w:r>
      <w:r w:rsidR="005E6520">
        <w:rPr>
          <w:sz w:val="24"/>
          <w:szCs w:val="24"/>
        </w:rPr>
        <w:t xml:space="preserve">less inward investment than their </w:t>
      </w:r>
      <w:r w:rsidR="001B110A">
        <w:rPr>
          <w:sz w:val="24"/>
          <w:szCs w:val="24"/>
        </w:rPr>
        <w:t>national capital-</w:t>
      </w:r>
      <w:r w:rsidR="005E6520">
        <w:rPr>
          <w:sz w:val="24"/>
          <w:szCs w:val="24"/>
        </w:rPr>
        <w:t>city regions and areas in</w:t>
      </w:r>
      <w:r w:rsidR="005E6520">
        <w:rPr>
          <w:spacing w:val="-29"/>
          <w:sz w:val="24"/>
          <w:szCs w:val="24"/>
        </w:rPr>
        <w:t xml:space="preserve"> </w:t>
      </w:r>
      <w:r w:rsidR="005E6520">
        <w:rPr>
          <w:sz w:val="24"/>
          <w:szCs w:val="24"/>
        </w:rPr>
        <w:t>other European</w:t>
      </w:r>
      <w:r w:rsidR="005E6520">
        <w:rPr>
          <w:spacing w:val="-4"/>
          <w:sz w:val="24"/>
          <w:szCs w:val="24"/>
        </w:rPr>
        <w:t xml:space="preserve"> </w:t>
      </w:r>
      <w:r w:rsidR="005E6520">
        <w:rPr>
          <w:sz w:val="24"/>
          <w:szCs w:val="24"/>
        </w:rPr>
        <w:t>countries.</w:t>
      </w:r>
    </w:p>
    <w:p w14:paraId="58DABAA4" w14:textId="77777777" w:rsidR="005E6520" w:rsidRDefault="005E6520" w:rsidP="005E6520">
      <w:pPr>
        <w:pStyle w:val="BodyText"/>
        <w:kinsoku w:val="0"/>
        <w:overflowPunct w:val="0"/>
        <w:spacing w:line="480" w:lineRule="auto"/>
        <w:ind w:left="0"/>
        <w:rPr>
          <w:sz w:val="24"/>
          <w:szCs w:val="24"/>
        </w:rPr>
      </w:pPr>
    </w:p>
    <w:p w14:paraId="5A36FDC4" w14:textId="77777777" w:rsidR="005E6520" w:rsidRDefault="005E6520" w:rsidP="005E6520">
      <w:pPr>
        <w:pStyle w:val="BodyText"/>
        <w:kinsoku w:val="0"/>
        <w:overflowPunct w:val="0"/>
        <w:spacing w:line="480" w:lineRule="auto"/>
        <w:ind w:left="0"/>
        <w:rPr>
          <w:b/>
          <w:bCs/>
          <w:sz w:val="24"/>
          <w:szCs w:val="24"/>
        </w:rPr>
      </w:pPr>
      <w:r w:rsidRPr="00725E13">
        <w:rPr>
          <w:b/>
          <w:bCs/>
          <w:sz w:val="24"/>
          <w:szCs w:val="24"/>
        </w:rPr>
        <w:t>FDI and Regional Governance in Central-Eastern Europe</w:t>
      </w:r>
    </w:p>
    <w:p w14:paraId="0AB24064" w14:textId="77777777" w:rsidR="005E6520" w:rsidRDefault="005E6520" w:rsidP="005E6520">
      <w:pPr>
        <w:pStyle w:val="BodyText"/>
        <w:kinsoku w:val="0"/>
        <w:overflowPunct w:val="0"/>
        <w:spacing w:line="480" w:lineRule="auto"/>
        <w:ind w:left="0"/>
        <w:rPr>
          <w:sz w:val="24"/>
          <w:szCs w:val="24"/>
        </w:rPr>
      </w:pPr>
    </w:p>
    <w:p w14:paraId="735CFD4A" w14:textId="39E618B0" w:rsidR="005E6520" w:rsidRDefault="00725E13" w:rsidP="005E652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w:t>
      </w:r>
      <w:r w:rsidR="005E6520">
        <w:rPr>
          <w:rFonts w:ascii="Times New Roman" w:hAnsi="Times New Roman" w:cs="Times New Roman"/>
          <w:sz w:val="24"/>
          <w:szCs w:val="24"/>
        </w:rPr>
        <w:t xml:space="preserve">neven distribution of FDI within the </w:t>
      </w:r>
      <w:r w:rsidR="00C53578">
        <w:rPr>
          <w:rFonts w:ascii="Times New Roman" w:hAnsi="Times New Roman" w:cs="Times New Roman"/>
          <w:sz w:val="24"/>
          <w:szCs w:val="24"/>
        </w:rPr>
        <w:t xml:space="preserve">CEE </w:t>
      </w:r>
      <w:r w:rsidR="005E6520">
        <w:rPr>
          <w:rFonts w:ascii="Times New Roman" w:hAnsi="Times New Roman" w:cs="Times New Roman"/>
          <w:sz w:val="24"/>
          <w:szCs w:val="24"/>
        </w:rPr>
        <w:t>countries further limit</w:t>
      </w:r>
      <w:r w:rsidR="00C53578">
        <w:rPr>
          <w:rFonts w:ascii="Times New Roman" w:hAnsi="Times New Roman" w:cs="Times New Roman"/>
          <w:sz w:val="24"/>
          <w:szCs w:val="24"/>
        </w:rPr>
        <w:t>ed</w:t>
      </w:r>
      <w:r w:rsidR="005E6520">
        <w:rPr>
          <w:rFonts w:ascii="Times New Roman" w:hAnsi="Times New Roman" w:cs="Times New Roman"/>
          <w:sz w:val="24"/>
          <w:szCs w:val="24"/>
        </w:rPr>
        <w:t xml:space="preserve"> the potential developmental</w:t>
      </w:r>
      <w:r w:rsidR="005E6520">
        <w:rPr>
          <w:rFonts w:ascii="Times New Roman" w:hAnsi="Times New Roman" w:cs="Times New Roman"/>
          <w:spacing w:val="-27"/>
          <w:sz w:val="24"/>
          <w:szCs w:val="24"/>
        </w:rPr>
        <w:t xml:space="preserve"> </w:t>
      </w:r>
      <w:r w:rsidR="005E6520">
        <w:rPr>
          <w:rFonts w:ascii="Times New Roman" w:hAnsi="Times New Roman" w:cs="Times New Roman"/>
          <w:sz w:val="24"/>
          <w:szCs w:val="24"/>
        </w:rPr>
        <w:t>benefits they bring. Investments tend</w:t>
      </w:r>
      <w:r w:rsidR="00C53578">
        <w:rPr>
          <w:rFonts w:ascii="Times New Roman" w:hAnsi="Times New Roman" w:cs="Times New Roman"/>
          <w:sz w:val="24"/>
          <w:szCs w:val="24"/>
        </w:rPr>
        <w:t>ed</w:t>
      </w:r>
      <w:r w:rsidR="005E6520">
        <w:rPr>
          <w:rFonts w:ascii="Times New Roman" w:hAnsi="Times New Roman" w:cs="Times New Roman"/>
          <w:sz w:val="24"/>
          <w:szCs w:val="24"/>
        </w:rPr>
        <w:t xml:space="preserve"> to concentrate in more developed and industrialised areas, capital</w:t>
      </w:r>
      <w:r w:rsidR="005E6520">
        <w:rPr>
          <w:rFonts w:ascii="Times New Roman" w:hAnsi="Times New Roman" w:cs="Times New Roman"/>
          <w:spacing w:val="-22"/>
          <w:sz w:val="24"/>
          <w:szCs w:val="24"/>
        </w:rPr>
        <w:t xml:space="preserve"> </w:t>
      </w:r>
      <w:r w:rsidR="005E6520">
        <w:rPr>
          <w:rFonts w:ascii="Times New Roman" w:hAnsi="Times New Roman" w:cs="Times New Roman"/>
          <w:sz w:val="24"/>
          <w:szCs w:val="24"/>
        </w:rPr>
        <w:t>city regions, and around</w:t>
      </w:r>
      <w:r w:rsidR="00602E09">
        <w:rPr>
          <w:rFonts w:ascii="Times New Roman" w:hAnsi="Times New Roman" w:cs="Times New Roman"/>
          <w:sz w:val="24"/>
          <w:szCs w:val="24"/>
        </w:rPr>
        <w:t xml:space="preserve"> large cities, generally in </w:t>
      </w:r>
      <w:r w:rsidR="005E6520">
        <w:rPr>
          <w:rFonts w:ascii="Times New Roman" w:hAnsi="Times New Roman" w:cs="Times New Roman"/>
          <w:sz w:val="24"/>
          <w:szCs w:val="24"/>
        </w:rPr>
        <w:t>western parts of the countries, closer to the</w:t>
      </w:r>
      <w:r w:rsidR="005E6520">
        <w:rPr>
          <w:rFonts w:ascii="Times New Roman" w:hAnsi="Times New Roman" w:cs="Times New Roman"/>
          <w:spacing w:val="-29"/>
          <w:sz w:val="24"/>
          <w:szCs w:val="24"/>
        </w:rPr>
        <w:t xml:space="preserve"> </w:t>
      </w:r>
      <w:r w:rsidR="005E6520">
        <w:rPr>
          <w:rFonts w:ascii="Times New Roman" w:hAnsi="Times New Roman" w:cs="Times New Roman"/>
          <w:sz w:val="24"/>
          <w:szCs w:val="24"/>
        </w:rPr>
        <w:t xml:space="preserve">European markets, </w:t>
      </w:r>
      <w:r w:rsidR="008A2920">
        <w:rPr>
          <w:rFonts w:ascii="Times New Roman" w:hAnsi="Times New Roman" w:cs="Times New Roman"/>
          <w:sz w:val="24"/>
          <w:szCs w:val="24"/>
        </w:rPr>
        <w:t>which escalated</w:t>
      </w:r>
      <w:r w:rsidR="005E6520">
        <w:rPr>
          <w:rFonts w:ascii="Times New Roman" w:hAnsi="Times New Roman" w:cs="Times New Roman"/>
          <w:sz w:val="24"/>
          <w:szCs w:val="24"/>
        </w:rPr>
        <w:t xml:space="preserve"> regional disparities (Domański, 2001</w:t>
      </w:r>
      <w:r w:rsidR="002D5F16">
        <w:rPr>
          <w:rFonts w:ascii="Times New Roman" w:hAnsi="Times New Roman" w:cs="Times New Roman"/>
          <w:sz w:val="24"/>
          <w:szCs w:val="24"/>
        </w:rPr>
        <w:t>;</w:t>
      </w:r>
      <w:r w:rsidR="005E6520">
        <w:rPr>
          <w:rFonts w:ascii="Times New Roman" w:hAnsi="Times New Roman" w:cs="Times New Roman"/>
          <w:sz w:val="24"/>
          <w:szCs w:val="24"/>
        </w:rPr>
        <w:t xml:space="preserve"> Ascani </w:t>
      </w:r>
      <w:r w:rsidR="005E6520">
        <w:rPr>
          <w:rFonts w:ascii="Times New Roman" w:hAnsi="Times New Roman" w:cs="Times New Roman"/>
          <w:i/>
          <w:sz w:val="24"/>
          <w:szCs w:val="24"/>
        </w:rPr>
        <w:t>et al.,</w:t>
      </w:r>
      <w:r w:rsidR="002D5F16">
        <w:rPr>
          <w:rFonts w:ascii="Times New Roman" w:hAnsi="Times New Roman" w:cs="Times New Roman"/>
          <w:sz w:val="24"/>
          <w:szCs w:val="24"/>
        </w:rPr>
        <w:t xml:space="preserve"> 2015;</w:t>
      </w:r>
      <w:r w:rsidR="005E6520">
        <w:rPr>
          <w:rFonts w:ascii="Times New Roman" w:hAnsi="Times New Roman" w:cs="Times New Roman"/>
          <w:sz w:val="24"/>
          <w:szCs w:val="24"/>
        </w:rPr>
        <w:t xml:space="preserve"> Dogaru </w:t>
      </w:r>
      <w:r w:rsidR="005E6520">
        <w:rPr>
          <w:rFonts w:ascii="Times New Roman" w:hAnsi="Times New Roman" w:cs="Times New Roman"/>
          <w:i/>
          <w:sz w:val="24"/>
          <w:szCs w:val="24"/>
        </w:rPr>
        <w:t>et al.,</w:t>
      </w:r>
      <w:r w:rsidR="005E6520">
        <w:rPr>
          <w:rFonts w:ascii="Times New Roman" w:hAnsi="Times New Roman" w:cs="Times New Roman"/>
          <w:sz w:val="24"/>
          <w:szCs w:val="24"/>
        </w:rPr>
        <w:t xml:space="preserve"> 2015).</w:t>
      </w:r>
      <w:r w:rsidR="005E6520">
        <w:rPr>
          <w:rFonts w:ascii="Times New Roman" w:hAnsi="Times New Roman" w:cs="Times New Roman"/>
          <w:spacing w:val="-27"/>
          <w:sz w:val="24"/>
          <w:szCs w:val="24"/>
        </w:rPr>
        <w:t xml:space="preserve"> </w:t>
      </w:r>
      <w:r w:rsidR="005E6520">
        <w:rPr>
          <w:rFonts w:ascii="Times New Roman" w:hAnsi="Times New Roman" w:cs="Times New Roman"/>
          <w:sz w:val="24"/>
          <w:szCs w:val="24"/>
        </w:rPr>
        <w:t>For example</w:t>
      </w:r>
      <w:r w:rsidR="00A21294">
        <w:rPr>
          <w:rFonts w:ascii="Times New Roman" w:hAnsi="Times New Roman" w:cs="Times New Roman"/>
          <w:sz w:val="24"/>
          <w:szCs w:val="24"/>
        </w:rPr>
        <w:t>,</w:t>
      </w:r>
      <w:r w:rsidR="005E6520">
        <w:rPr>
          <w:rFonts w:ascii="Times New Roman" w:hAnsi="Times New Roman" w:cs="Times New Roman"/>
          <w:sz w:val="24"/>
          <w:szCs w:val="24"/>
        </w:rPr>
        <w:t xml:space="preserve"> by 2005 almost 67% of FDI stock in Slovakia </w:t>
      </w:r>
      <w:r w:rsidR="00C53578">
        <w:rPr>
          <w:rFonts w:ascii="Times New Roman" w:hAnsi="Times New Roman" w:cs="Times New Roman"/>
          <w:sz w:val="24"/>
          <w:szCs w:val="24"/>
        </w:rPr>
        <w:t>was</w:t>
      </w:r>
      <w:r w:rsidR="005E6520">
        <w:rPr>
          <w:rFonts w:ascii="Times New Roman" w:hAnsi="Times New Roman" w:cs="Times New Roman"/>
          <w:sz w:val="24"/>
          <w:szCs w:val="24"/>
        </w:rPr>
        <w:t xml:space="preserve"> concentrated in </w:t>
      </w:r>
      <w:r w:rsidR="005E6520">
        <w:rPr>
          <w:rFonts w:ascii="Times New Roman" w:eastAsia="Times New Roman" w:hAnsi="Times New Roman" w:cs="Times New Roman"/>
          <w:sz w:val="24"/>
          <w:szCs w:val="24"/>
          <w:lang w:eastAsia="en-GB"/>
        </w:rPr>
        <w:t>Bratislavský kraj, the capital city region. Košický kraj, country’s 2</w:t>
      </w:r>
      <w:r w:rsidR="005E6520">
        <w:rPr>
          <w:rFonts w:ascii="Times New Roman" w:eastAsia="Times New Roman" w:hAnsi="Times New Roman" w:cs="Times New Roman"/>
          <w:sz w:val="24"/>
          <w:szCs w:val="24"/>
          <w:vertAlign w:val="superscript"/>
          <w:lang w:eastAsia="en-GB"/>
        </w:rPr>
        <w:t>nd</w:t>
      </w:r>
      <w:r w:rsidR="005E6520">
        <w:rPr>
          <w:rFonts w:ascii="Times New Roman" w:eastAsia="Times New Roman" w:hAnsi="Times New Roman" w:cs="Times New Roman"/>
          <w:sz w:val="24"/>
          <w:szCs w:val="24"/>
          <w:lang w:eastAsia="en-GB"/>
        </w:rPr>
        <w:t xml:space="preserve"> largest regional economy accumulated 8.6%. Similarly</w:t>
      </w:r>
      <w:r w:rsidR="009E5FBA">
        <w:rPr>
          <w:rFonts w:ascii="Times New Roman" w:eastAsia="Times New Roman" w:hAnsi="Times New Roman" w:cs="Times New Roman"/>
          <w:sz w:val="24"/>
          <w:szCs w:val="24"/>
          <w:lang w:eastAsia="en-GB"/>
        </w:rPr>
        <w:t>,</w:t>
      </w:r>
      <w:r w:rsidR="005E6520">
        <w:rPr>
          <w:rFonts w:ascii="Times New Roman" w:eastAsia="Times New Roman" w:hAnsi="Times New Roman" w:cs="Times New Roman"/>
          <w:sz w:val="24"/>
          <w:szCs w:val="24"/>
          <w:lang w:eastAsia="en-GB"/>
        </w:rPr>
        <w:t xml:space="preserve"> </w:t>
      </w:r>
      <w:r w:rsidR="005E6520">
        <w:rPr>
          <w:rFonts w:ascii="Times New Roman" w:hAnsi="Times New Roman" w:cs="Times New Roman"/>
          <w:sz w:val="24"/>
          <w:szCs w:val="24"/>
        </w:rPr>
        <w:t xml:space="preserve">over 64% of FDI stock in the Czech Republic </w:t>
      </w:r>
      <w:r w:rsidR="00C53578">
        <w:rPr>
          <w:rFonts w:ascii="Times New Roman" w:hAnsi="Times New Roman" w:cs="Times New Roman"/>
          <w:sz w:val="24"/>
          <w:szCs w:val="24"/>
        </w:rPr>
        <w:t>was</w:t>
      </w:r>
      <w:r w:rsidR="005E6520">
        <w:rPr>
          <w:rFonts w:ascii="Times New Roman" w:hAnsi="Times New Roman" w:cs="Times New Roman"/>
          <w:sz w:val="24"/>
          <w:szCs w:val="24"/>
        </w:rPr>
        <w:t xml:space="preserve"> concentrated in Praha and the neighbouring Středočesk</w:t>
      </w:r>
      <w:r w:rsidR="005E6520">
        <w:rPr>
          <w:rFonts w:ascii="Times New Roman" w:hAnsi="Times New Roman" w:cs="Times New Roman"/>
          <w:sz w:val="24"/>
          <w:szCs w:val="24"/>
          <w:lang w:val="cs-CZ"/>
        </w:rPr>
        <w:t xml:space="preserve">ý kraj. </w:t>
      </w:r>
      <w:r w:rsidR="005E6520">
        <w:rPr>
          <w:rFonts w:ascii="Times New Roman" w:eastAsia="Times New Roman" w:hAnsi="Times New Roman" w:cs="Times New Roman"/>
          <w:sz w:val="24"/>
          <w:szCs w:val="24"/>
          <w:lang w:eastAsia="en-GB"/>
        </w:rPr>
        <w:t>Moravskoslezsk</w:t>
      </w:r>
      <w:r w:rsidR="005E6520">
        <w:rPr>
          <w:rFonts w:ascii="Times New Roman" w:hAnsi="Times New Roman" w:cs="Times New Roman"/>
          <w:sz w:val="24"/>
          <w:szCs w:val="24"/>
          <w:lang w:val="cs-CZ"/>
        </w:rPr>
        <w:t>ý</w:t>
      </w:r>
      <w:r w:rsidR="00F52033">
        <w:rPr>
          <w:rFonts w:ascii="Times New Roman" w:hAnsi="Times New Roman" w:cs="Times New Roman"/>
          <w:sz w:val="24"/>
          <w:szCs w:val="24"/>
          <w:lang w:val="cs-CZ"/>
        </w:rPr>
        <w:t xml:space="preserve"> (6%)</w:t>
      </w:r>
      <w:r w:rsidR="005E6520">
        <w:rPr>
          <w:rFonts w:ascii="Times New Roman" w:hAnsi="Times New Roman" w:cs="Times New Roman"/>
          <w:sz w:val="24"/>
          <w:szCs w:val="24"/>
          <w:lang w:val="cs-CZ"/>
        </w:rPr>
        <w:t xml:space="preserve"> and Jihomoravský</w:t>
      </w:r>
      <w:r w:rsidR="00F52033">
        <w:rPr>
          <w:rFonts w:ascii="Times New Roman" w:hAnsi="Times New Roman" w:cs="Times New Roman"/>
          <w:sz w:val="24"/>
          <w:szCs w:val="24"/>
          <w:lang w:val="cs-CZ"/>
        </w:rPr>
        <w:t xml:space="preserve"> (4%)</w:t>
      </w:r>
      <w:r w:rsidR="005E6520">
        <w:rPr>
          <w:rFonts w:ascii="Times New Roman" w:hAnsi="Times New Roman" w:cs="Times New Roman"/>
          <w:sz w:val="24"/>
          <w:szCs w:val="24"/>
          <w:lang w:val="cs-CZ"/>
        </w:rPr>
        <w:t xml:space="preserve"> </w:t>
      </w:r>
      <w:r w:rsidR="005E6520">
        <w:rPr>
          <w:rFonts w:ascii="Times New Roman" w:hAnsi="Times New Roman" w:cs="Times New Roman"/>
          <w:sz w:val="24"/>
          <w:szCs w:val="24"/>
          <w:lang w:val="cs-CZ"/>
        </w:rPr>
        <w:t>krajs, respectively the 3</w:t>
      </w:r>
      <w:r w:rsidR="005E6520">
        <w:rPr>
          <w:rFonts w:ascii="Times New Roman" w:hAnsi="Times New Roman" w:cs="Times New Roman"/>
          <w:sz w:val="24"/>
          <w:szCs w:val="24"/>
          <w:vertAlign w:val="superscript"/>
          <w:lang w:val="cs-CZ"/>
        </w:rPr>
        <w:t>rd</w:t>
      </w:r>
      <w:r w:rsidR="005E6520">
        <w:rPr>
          <w:rFonts w:ascii="Times New Roman" w:hAnsi="Times New Roman" w:cs="Times New Roman"/>
          <w:sz w:val="24"/>
          <w:szCs w:val="24"/>
          <w:lang w:val="cs-CZ"/>
        </w:rPr>
        <w:t xml:space="preserve"> and 2</w:t>
      </w:r>
      <w:r w:rsidR="005E6520">
        <w:rPr>
          <w:rFonts w:ascii="Times New Roman" w:hAnsi="Times New Roman" w:cs="Times New Roman"/>
          <w:sz w:val="24"/>
          <w:szCs w:val="24"/>
          <w:vertAlign w:val="superscript"/>
          <w:lang w:val="cs-CZ"/>
        </w:rPr>
        <w:t>nd</w:t>
      </w:r>
      <w:r w:rsidR="005E6520">
        <w:rPr>
          <w:rFonts w:ascii="Times New Roman" w:hAnsi="Times New Roman" w:cs="Times New Roman"/>
          <w:sz w:val="24"/>
          <w:szCs w:val="24"/>
          <w:lang w:val="cs-CZ"/>
        </w:rPr>
        <w:t xml:space="preserve"> largest regional economies, </w:t>
      </w:r>
      <w:r w:rsidR="002D5F16">
        <w:rPr>
          <w:rFonts w:ascii="Times New Roman" w:hAnsi="Times New Roman" w:cs="Times New Roman"/>
          <w:sz w:val="24"/>
          <w:szCs w:val="24"/>
          <w:lang w:val="cs-CZ"/>
        </w:rPr>
        <w:t>occupied</w:t>
      </w:r>
      <w:r w:rsidR="005E6520">
        <w:rPr>
          <w:rFonts w:ascii="Times New Roman" w:hAnsi="Times New Roman" w:cs="Times New Roman"/>
          <w:sz w:val="24"/>
          <w:szCs w:val="24"/>
          <w:lang w:val="cs-CZ"/>
        </w:rPr>
        <w:t xml:space="preserve"> subsequent places. Mazowieckie voivodship, the capital city region in Poland, accumulated over 50% of country’s FDI stock, </w:t>
      </w:r>
      <w:r w:rsidR="005E6520">
        <w:rPr>
          <w:rFonts w:ascii="Times New Roman" w:hAnsi="Times New Roman" w:cs="Times New Roman"/>
          <w:sz w:val="24"/>
          <w:szCs w:val="24"/>
          <w:lang w:val="cs-CZ"/>
        </w:rPr>
        <w:t>while further 25</w:t>
      </w:r>
      <w:r w:rsidR="008A2920">
        <w:rPr>
          <w:rFonts w:ascii="Times New Roman" w:hAnsi="Times New Roman" w:cs="Times New Roman"/>
          <w:sz w:val="24"/>
          <w:szCs w:val="24"/>
          <w:lang w:val="cs-CZ"/>
        </w:rPr>
        <w:t>% concentrated</w:t>
      </w:r>
      <w:r w:rsidR="005E6520">
        <w:rPr>
          <w:rFonts w:ascii="Times New Roman" w:hAnsi="Times New Roman" w:cs="Times New Roman"/>
          <w:sz w:val="24"/>
          <w:szCs w:val="24"/>
          <w:lang w:val="cs-CZ"/>
        </w:rPr>
        <w:t xml:space="preserve"> in Śląskie and Wielkopolskie voivodsh</w:t>
      </w:r>
      <w:r w:rsidR="005E6520">
        <w:rPr>
          <w:rFonts w:ascii="Times New Roman" w:hAnsi="Times New Roman" w:cs="Times New Roman"/>
          <w:sz w:val="24"/>
          <w:szCs w:val="24"/>
          <w:lang w:val="cs-CZ"/>
        </w:rPr>
        <w:t>ips, respectively the 2</w:t>
      </w:r>
      <w:r w:rsidR="005E6520">
        <w:rPr>
          <w:rFonts w:ascii="Times New Roman" w:hAnsi="Times New Roman" w:cs="Times New Roman"/>
          <w:sz w:val="24"/>
          <w:szCs w:val="24"/>
          <w:vertAlign w:val="superscript"/>
          <w:lang w:val="cs-CZ"/>
        </w:rPr>
        <w:t>nd</w:t>
      </w:r>
      <w:r w:rsidR="005E6520">
        <w:rPr>
          <w:rFonts w:ascii="Times New Roman" w:hAnsi="Times New Roman" w:cs="Times New Roman"/>
          <w:sz w:val="24"/>
          <w:szCs w:val="24"/>
          <w:lang w:val="cs-CZ"/>
        </w:rPr>
        <w:t xml:space="preserve"> and 3</w:t>
      </w:r>
      <w:r w:rsidR="005E6520">
        <w:rPr>
          <w:rFonts w:ascii="Times New Roman" w:hAnsi="Times New Roman" w:cs="Times New Roman"/>
          <w:sz w:val="24"/>
          <w:szCs w:val="24"/>
          <w:vertAlign w:val="superscript"/>
          <w:lang w:val="cs-CZ"/>
        </w:rPr>
        <w:t>rd</w:t>
      </w:r>
      <w:r w:rsidR="005E6520">
        <w:rPr>
          <w:rFonts w:ascii="Times New Roman" w:hAnsi="Times New Roman" w:cs="Times New Roman"/>
          <w:sz w:val="24"/>
          <w:szCs w:val="24"/>
          <w:lang w:val="cs-CZ"/>
        </w:rPr>
        <w:t xml:space="preserve"> largest regional economies in the west of the count</w:t>
      </w:r>
      <w:r w:rsidR="00025D08">
        <w:rPr>
          <w:rFonts w:ascii="Times New Roman" w:hAnsi="Times New Roman" w:cs="Times New Roman"/>
          <w:sz w:val="24"/>
          <w:szCs w:val="24"/>
          <w:lang w:val="cs-CZ"/>
        </w:rPr>
        <w:t xml:space="preserve">ry (CNB, CzechInvest, GUS, </w:t>
      </w:r>
      <w:r w:rsidR="005E6520">
        <w:rPr>
          <w:rFonts w:ascii="Times New Roman" w:hAnsi="Times New Roman" w:cs="Times New Roman"/>
          <w:sz w:val="24"/>
          <w:szCs w:val="24"/>
          <w:lang w:val="cs-CZ"/>
        </w:rPr>
        <w:t>SARIO data in Capik, 2019).</w:t>
      </w:r>
    </w:p>
    <w:p w14:paraId="516DEC3A" w14:textId="1D5D7DBB" w:rsidR="005E6520" w:rsidRDefault="005E6520" w:rsidP="005E6520">
      <w:pPr>
        <w:pStyle w:val="BodyText"/>
        <w:kinsoku w:val="0"/>
        <w:overflowPunct w:val="0"/>
        <w:spacing w:before="9" w:line="480" w:lineRule="auto"/>
        <w:ind w:left="0"/>
        <w:rPr>
          <w:sz w:val="24"/>
          <w:szCs w:val="24"/>
        </w:rPr>
      </w:pPr>
      <w:r>
        <w:rPr>
          <w:sz w:val="24"/>
          <w:szCs w:val="24"/>
        </w:rPr>
        <w:tab/>
        <w:t xml:space="preserve">Partially, this can be explained by </w:t>
      </w:r>
      <w:r w:rsidR="00555A8A">
        <w:rPr>
          <w:sz w:val="24"/>
          <w:szCs w:val="24"/>
        </w:rPr>
        <w:t xml:space="preserve">the </w:t>
      </w:r>
      <w:r>
        <w:rPr>
          <w:sz w:val="24"/>
          <w:szCs w:val="24"/>
        </w:rPr>
        <w:t>investment climate and infrastructural</w:t>
      </w:r>
      <w:r>
        <w:rPr>
          <w:spacing w:val="-22"/>
          <w:sz w:val="24"/>
          <w:szCs w:val="24"/>
        </w:rPr>
        <w:t xml:space="preserve"> </w:t>
      </w:r>
      <w:r>
        <w:rPr>
          <w:sz w:val="24"/>
          <w:szCs w:val="24"/>
        </w:rPr>
        <w:t>deficiencies prevailing in more peripheral regions (Meyer and Jensesn 2005), but as will be</w:t>
      </w:r>
      <w:r>
        <w:rPr>
          <w:spacing w:val="-26"/>
          <w:sz w:val="24"/>
          <w:szCs w:val="24"/>
        </w:rPr>
        <w:t xml:space="preserve"> </w:t>
      </w:r>
      <w:r>
        <w:rPr>
          <w:sz w:val="24"/>
          <w:szCs w:val="24"/>
        </w:rPr>
        <w:t>argued later, it is also the result of only evolving approaches to investment attraction amongst</w:t>
      </w:r>
      <w:r>
        <w:rPr>
          <w:spacing w:val="-24"/>
          <w:sz w:val="24"/>
          <w:szCs w:val="24"/>
        </w:rPr>
        <w:t xml:space="preserve"> </w:t>
      </w:r>
      <w:r>
        <w:rPr>
          <w:sz w:val="24"/>
          <w:szCs w:val="24"/>
        </w:rPr>
        <w:t>regional authorities in</w:t>
      </w:r>
      <w:r>
        <w:rPr>
          <w:spacing w:val="-5"/>
          <w:sz w:val="24"/>
          <w:szCs w:val="24"/>
        </w:rPr>
        <w:t xml:space="preserve"> </w:t>
      </w:r>
      <w:r>
        <w:rPr>
          <w:sz w:val="24"/>
          <w:szCs w:val="24"/>
        </w:rPr>
        <w:t>CEEC.</w:t>
      </w:r>
    </w:p>
    <w:p w14:paraId="52CEFEDD" w14:textId="5D1CDFF7" w:rsidR="005E6520" w:rsidRDefault="005E6520" w:rsidP="005E6520">
      <w:pPr>
        <w:pStyle w:val="BodyText"/>
        <w:kinsoku w:val="0"/>
        <w:overflowPunct w:val="0"/>
        <w:spacing w:before="9" w:line="480" w:lineRule="auto"/>
        <w:ind w:left="0"/>
        <w:rPr>
          <w:sz w:val="24"/>
          <w:szCs w:val="24"/>
        </w:rPr>
      </w:pPr>
      <w:r>
        <w:rPr>
          <w:sz w:val="24"/>
          <w:szCs w:val="24"/>
        </w:rPr>
        <w:tab/>
        <w:t>The EU focus on a ‘regional’ rather than a ‘sectoral’ approach to policy-making led to</w:t>
      </w:r>
      <w:r>
        <w:rPr>
          <w:spacing w:val="-28"/>
          <w:sz w:val="24"/>
          <w:szCs w:val="24"/>
        </w:rPr>
        <w:t xml:space="preserve"> </w:t>
      </w:r>
      <w:r>
        <w:rPr>
          <w:sz w:val="24"/>
          <w:szCs w:val="24"/>
        </w:rPr>
        <w:lastRenderedPageBreak/>
        <w:t>changes in policy design and implementation, making ‘region’ the focal unit of problem</w:t>
      </w:r>
      <w:r>
        <w:rPr>
          <w:spacing w:val="-27"/>
          <w:sz w:val="24"/>
          <w:szCs w:val="24"/>
        </w:rPr>
        <w:t xml:space="preserve"> </w:t>
      </w:r>
      <w:r>
        <w:rPr>
          <w:sz w:val="24"/>
          <w:szCs w:val="24"/>
        </w:rPr>
        <w:t>identification and design of strategies (Ferry and McMaster, 2013). New regional and local</w:t>
      </w:r>
      <w:r>
        <w:rPr>
          <w:spacing w:val="-17"/>
          <w:sz w:val="24"/>
          <w:szCs w:val="24"/>
        </w:rPr>
        <w:t xml:space="preserve"> </w:t>
      </w:r>
      <w:r>
        <w:rPr>
          <w:sz w:val="24"/>
          <w:szCs w:val="24"/>
        </w:rPr>
        <w:t>governance structures established as a result of EU-stipulated administrative reforms were expected to provide</w:t>
      </w:r>
      <w:r>
        <w:rPr>
          <w:spacing w:val="-27"/>
          <w:sz w:val="24"/>
          <w:szCs w:val="24"/>
        </w:rPr>
        <w:t xml:space="preserve"> </w:t>
      </w:r>
      <w:r>
        <w:rPr>
          <w:sz w:val="24"/>
          <w:szCs w:val="24"/>
        </w:rPr>
        <w:t xml:space="preserve">a framework for tackling regional problems with fresh, bottom-up policies (Blazyca </w:t>
      </w:r>
      <w:r>
        <w:rPr>
          <w:i/>
          <w:iCs/>
          <w:sz w:val="24"/>
          <w:szCs w:val="24"/>
        </w:rPr>
        <w:t xml:space="preserve">et al., </w:t>
      </w:r>
      <w:r>
        <w:rPr>
          <w:sz w:val="24"/>
          <w:szCs w:val="24"/>
        </w:rPr>
        <w:t>2002).</w:t>
      </w:r>
      <w:r>
        <w:rPr>
          <w:spacing w:val="-22"/>
          <w:sz w:val="24"/>
          <w:szCs w:val="24"/>
        </w:rPr>
        <w:t xml:space="preserve"> </w:t>
      </w:r>
      <w:r>
        <w:rPr>
          <w:sz w:val="24"/>
          <w:szCs w:val="24"/>
        </w:rPr>
        <w:t>In reality, in the initial years</w:t>
      </w:r>
      <w:r>
        <w:rPr>
          <w:sz w:val="24"/>
          <w:szCs w:val="24"/>
        </w:rPr>
        <w:t xml:space="preserve"> the administrative reform proved to be a common challenge among the</w:t>
      </w:r>
      <w:r>
        <w:rPr>
          <w:spacing w:val="-31"/>
          <w:sz w:val="24"/>
          <w:szCs w:val="24"/>
        </w:rPr>
        <w:t xml:space="preserve"> </w:t>
      </w:r>
      <w:r>
        <w:rPr>
          <w:sz w:val="24"/>
          <w:szCs w:val="24"/>
        </w:rPr>
        <w:t>CEE countries. At the point of departure</w:t>
      </w:r>
      <w:r w:rsidR="00D465AF">
        <w:rPr>
          <w:sz w:val="24"/>
          <w:szCs w:val="24"/>
        </w:rPr>
        <w:t>,</w:t>
      </w:r>
      <w:r>
        <w:rPr>
          <w:sz w:val="24"/>
          <w:szCs w:val="24"/>
        </w:rPr>
        <w:t xml:space="preserve"> the structures of regional (and local) government were largely underdevel</w:t>
      </w:r>
      <w:r w:rsidR="00263F89">
        <w:rPr>
          <w:sz w:val="24"/>
          <w:szCs w:val="24"/>
        </w:rPr>
        <w:t>oped and participatory decision-making</w:t>
      </w:r>
      <w:r>
        <w:rPr>
          <w:sz w:val="24"/>
          <w:szCs w:val="24"/>
        </w:rPr>
        <w:t xml:space="preserve"> non</w:t>
      </w:r>
      <w:r w:rsidR="00263F89">
        <w:rPr>
          <w:sz w:val="24"/>
          <w:szCs w:val="24"/>
        </w:rPr>
        <w:t>-</w:t>
      </w:r>
      <w:r>
        <w:rPr>
          <w:sz w:val="24"/>
          <w:szCs w:val="24"/>
        </w:rPr>
        <w:t>existent, with policies imposed</w:t>
      </w:r>
      <w:r>
        <w:rPr>
          <w:spacing w:val="-26"/>
          <w:sz w:val="24"/>
          <w:szCs w:val="24"/>
        </w:rPr>
        <w:t xml:space="preserve"> </w:t>
      </w:r>
      <w:r>
        <w:rPr>
          <w:sz w:val="24"/>
          <w:szCs w:val="24"/>
        </w:rPr>
        <w:t>by the central government pursuing its own</w:t>
      </w:r>
      <w:r w:rsidR="002B7650">
        <w:rPr>
          <w:sz w:val="24"/>
          <w:szCs w:val="24"/>
        </w:rPr>
        <w:t xml:space="preserve"> political agenda (</w:t>
      </w:r>
      <w:r>
        <w:rPr>
          <w:sz w:val="24"/>
          <w:szCs w:val="24"/>
        </w:rPr>
        <w:t>O’Dwyer, 2006</w:t>
      </w:r>
      <w:r w:rsidR="002D5F16">
        <w:rPr>
          <w:sz w:val="24"/>
          <w:szCs w:val="24"/>
        </w:rPr>
        <w:t>;</w:t>
      </w:r>
      <w:r>
        <w:rPr>
          <w:sz w:val="24"/>
          <w:szCs w:val="24"/>
        </w:rPr>
        <w:t xml:space="preserve"> Swianewicz, 2014). </w:t>
      </w:r>
      <w:r w:rsidR="00125DC9">
        <w:rPr>
          <w:sz w:val="24"/>
          <w:szCs w:val="24"/>
        </w:rPr>
        <w:t>P</w:t>
      </w:r>
      <w:r>
        <w:rPr>
          <w:sz w:val="24"/>
          <w:szCs w:val="24"/>
        </w:rPr>
        <w:t>artial reforms introduced throughout the 1990s brought about only marginal change in this</w:t>
      </w:r>
      <w:r>
        <w:rPr>
          <w:spacing w:val="-27"/>
          <w:sz w:val="24"/>
          <w:szCs w:val="24"/>
        </w:rPr>
        <w:t xml:space="preserve"> </w:t>
      </w:r>
      <w:r>
        <w:rPr>
          <w:sz w:val="24"/>
          <w:szCs w:val="24"/>
        </w:rPr>
        <w:t xml:space="preserve">respect but resulted in </w:t>
      </w:r>
      <w:r w:rsidR="00602E09">
        <w:rPr>
          <w:sz w:val="24"/>
          <w:szCs w:val="24"/>
        </w:rPr>
        <w:t xml:space="preserve">a </w:t>
      </w:r>
      <w:r>
        <w:rPr>
          <w:sz w:val="24"/>
          <w:szCs w:val="24"/>
        </w:rPr>
        <w:t>better understanding of the nature and extent of regional problems and identification</w:t>
      </w:r>
      <w:r>
        <w:rPr>
          <w:spacing w:val="-29"/>
          <w:sz w:val="24"/>
          <w:szCs w:val="24"/>
        </w:rPr>
        <w:t xml:space="preserve"> </w:t>
      </w:r>
      <w:r>
        <w:rPr>
          <w:sz w:val="24"/>
          <w:szCs w:val="24"/>
        </w:rPr>
        <w:t xml:space="preserve">of geographical assisted areas (Illner, 2002). </w:t>
      </w:r>
      <w:r>
        <w:rPr>
          <w:sz w:val="24"/>
          <w:szCs w:val="24"/>
        </w:rPr>
        <w:t>The more substantial</w:t>
      </w:r>
      <w:r>
        <w:rPr>
          <w:spacing w:val="-21"/>
          <w:sz w:val="24"/>
          <w:szCs w:val="24"/>
        </w:rPr>
        <w:t xml:space="preserve"> </w:t>
      </w:r>
      <w:r>
        <w:rPr>
          <w:sz w:val="24"/>
          <w:szCs w:val="24"/>
        </w:rPr>
        <w:t xml:space="preserve">reforms </w:t>
      </w:r>
      <w:r w:rsidR="00C546B5">
        <w:rPr>
          <w:sz w:val="24"/>
          <w:szCs w:val="24"/>
        </w:rPr>
        <w:t xml:space="preserve">implemented </w:t>
      </w:r>
      <w:r>
        <w:rPr>
          <w:sz w:val="24"/>
          <w:szCs w:val="24"/>
        </w:rPr>
        <w:t xml:space="preserve">in Poland in 1999, and 2001 in the Czech Republic and Slovakia, </w:t>
      </w:r>
      <w:r w:rsidR="00602E09">
        <w:rPr>
          <w:sz w:val="24"/>
          <w:szCs w:val="24"/>
        </w:rPr>
        <w:t>resulted in r</w:t>
      </w:r>
      <w:r>
        <w:rPr>
          <w:sz w:val="24"/>
          <w:szCs w:val="24"/>
        </w:rPr>
        <w:t>edesign</w:t>
      </w:r>
      <w:r w:rsidR="00125DC9">
        <w:rPr>
          <w:sz w:val="24"/>
          <w:szCs w:val="24"/>
        </w:rPr>
        <w:t xml:space="preserve">ing </w:t>
      </w:r>
      <w:r>
        <w:rPr>
          <w:sz w:val="24"/>
          <w:szCs w:val="24"/>
        </w:rPr>
        <w:t>regional boundaries, varying but overall increased decentralisation</w:t>
      </w:r>
      <w:r w:rsidR="00125DC9">
        <w:rPr>
          <w:sz w:val="24"/>
          <w:szCs w:val="24"/>
        </w:rPr>
        <w:t>,</w:t>
      </w:r>
      <w:r>
        <w:rPr>
          <w:sz w:val="24"/>
          <w:szCs w:val="24"/>
        </w:rPr>
        <w:t xml:space="preserve"> and the creation of</w:t>
      </w:r>
      <w:r>
        <w:rPr>
          <w:spacing w:val="-27"/>
          <w:sz w:val="24"/>
          <w:szCs w:val="24"/>
        </w:rPr>
        <w:t xml:space="preserve"> </w:t>
      </w:r>
      <w:r>
        <w:rPr>
          <w:sz w:val="24"/>
          <w:szCs w:val="24"/>
        </w:rPr>
        <w:t xml:space="preserve">regional governance structures where the new self-governing authorities </w:t>
      </w:r>
      <w:r w:rsidR="00CD30BA">
        <w:rPr>
          <w:sz w:val="24"/>
          <w:szCs w:val="24"/>
        </w:rPr>
        <w:t>were</w:t>
      </w:r>
      <w:r>
        <w:rPr>
          <w:sz w:val="24"/>
          <w:szCs w:val="24"/>
        </w:rPr>
        <w:t xml:space="preserve"> equipped with</w:t>
      </w:r>
      <w:r>
        <w:rPr>
          <w:spacing w:val="-18"/>
          <w:sz w:val="24"/>
          <w:szCs w:val="24"/>
        </w:rPr>
        <w:t xml:space="preserve"> </w:t>
      </w:r>
      <w:r>
        <w:rPr>
          <w:sz w:val="24"/>
          <w:szCs w:val="24"/>
        </w:rPr>
        <w:t>policy design and implementation p</w:t>
      </w:r>
      <w:r w:rsidR="004075B5">
        <w:rPr>
          <w:sz w:val="24"/>
          <w:szCs w:val="24"/>
        </w:rPr>
        <w:t>owers</w:t>
      </w:r>
      <w:r w:rsidR="00A356C7">
        <w:rPr>
          <w:sz w:val="24"/>
          <w:szCs w:val="24"/>
        </w:rPr>
        <w:t xml:space="preserve"> </w:t>
      </w:r>
      <w:r>
        <w:rPr>
          <w:sz w:val="24"/>
          <w:szCs w:val="24"/>
        </w:rPr>
        <w:t>(Ferry and McMaster, 20</w:t>
      </w:r>
      <w:r w:rsidR="00F62D28">
        <w:rPr>
          <w:sz w:val="24"/>
          <w:szCs w:val="24"/>
        </w:rPr>
        <w:t>13</w:t>
      </w:r>
      <w:r>
        <w:rPr>
          <w:sz w:val="24"/>
          <w:szCs w:val="24"/>
        </w:rPr>
        <w:t>).</w:t>
      </w:r>
      <w:r w:rsidR="00C546B5">
        <w:rPr>
          <w:sz w:val="24"/>
          <w:szCs w:val="24"/>
        </w:rPr>
        <w:t xml:space="preserve"> </w:t>
      </w:r>
      <w:r>
        <w:rPr>
          <w:sz w:val="24"/>
          <w:szCs w:val="24"/>
        </w:rPr>
        <w:t xml:space="preserve">Despite their shortcomings, </w:t>
      </w:r>
      <w:r w:rsidR="00C546B5">
        <w:rPr>
          <w:sz w:val="24"/>
          <w:szCs w:val="24"/>
        </w:rPr>
        <w:t xml:space="preserve">in </w:t>
      </w:r>
      <w:r w:rsidR="00602E09">
        <w:rPr>
          <w:sz w:val="24"/>
          <w:szCs w:val="24"/>
        </w:rPr>
        <w:t xml:space="preserve">consequence </w:t>
      </w:r>
      <w:r>
        <w:rPr>
          <w:sz w:val="24"/>
          <w:szCs w:val="24"/>
        </w:rPr>
        <w:t>of the reforms by 2005</w:t>
      </w:r>
      <w:r>
        <w:rPr>
          <w:spacing w:val="-16"/>
          <w:sz w:val="24"/>
          <w:szCs w:val="24"/>
        </w:rPr>
        <w:t xml:space="preserve"> </w:t>
      </w:r>
      <w:r>
        <w:rPr>
          <w:sz w:val="24"/>
          <w:szCs w:val="24"/>
        </w:rPr>
        <w:t xml:space="preserve">regional and local governance structures </w:t>
      </w:r>
      <w:r w:rsidR="00CD30BA">
        <w:rPr>
          <w:sz w:val="24"/>
          <w:szCs w:val="24"/>
        </w:rPr>
        <w:t>were</w:t>
      </w:r>
      <w:r>
        <w:rPr>
          <w:sz w:val="24"/>
          <w:szCs w:val="24"/>
        </w:rPr>
        <w:t xml:space="preserve"> firmly in place in </w:t>
      </w:r>
      <w:r w:rsidR="00125DC9">
        <w:rPr>
          <w:sz w:val="24"/>
          <w:szCs w:val="24"/>
        </w:rPr>
        <w:t xml:space="preserve">all </w:t>
      </w:r>
      <w:r>
        <w:rPr>
          <w:sz w:val="24"/>
          <w:szCs w:val="24"/>
        </w:rPr>
        <w:t>three countries.</w:t>
      </w:r>
      <w:r>
        <w:rPr>
          <w:spacing w:val="-29"/>
          <w:sz w:val="24"/>
          <w:szCs w:val="24"/>
        </w:rPr>
        <w:t xml:space="preserve"> </w:t>
      </w:r>
    </w:p>
    <w:p w14:paraId="3EA9E669" w14:textId="03CC5DC4" w:rsidR="00C546B5" w:rsidRDefault="005E6520" w:rsidP="00C546B5">
      <w:pPr>
        <w:pStyle w:val="BodyText"/>
        <w:kinsoku w:val="0"/>
        <w:overflowPunct w:val="0"/>
        <w:spacing w:line="480" w:lineRule="auto"/>
        <w:ind w:left="0"/>
        <w:rPr>
          <w:sz w:val="24"/>
          <w:szCs w:val="24"/>
        </w:rPr>
      </w:pPr>
      <w:r>
        <w:rPr>
          <w:sz w:val="24"/>
          <w:szCs w:val="24"/>
        </w:rPr>
        <w:tab/>
      </w:r>
      <w:r w:rsidR="00F50E5E">
        <w:rPr>
          <w:sz w:val="24"/>
          <w:szCs w:val="24"/>
        </w:rPr>
        <w:t>Much like in other countries, CEE regional authorities have a wide spectrum of duties (W</w:t>
      </w:r>
      <w:r w:rsidR="00F50E5E" w:rsidRPr="00F50E5E">
        <w:rPr>
          <w:sz w:val="24"/>
          <w:szCs w:val="24"/>
        </w:rPr>
        <w:t>æ</w:t>
      </w:r>
      <w:r w:rsidR="00F50E5E">
        <w:rPr>
          <w:sz w:val="24"/>
          <w:szCs w:val="24"/>
        </w:rPr>
        <w:t xml:space="preserve">raas </w:t>
      </w:r>
      <w:r w:rsidR="00F50E5E" w:rsidRPr="00BD53E3">
        <w:rPr>
          <w:i/>
          <w:sz w:val="24"/>
          <w:szCs w:val="24"/>
        </w:rPr>
        <w:t>et al.</w:t>
      </w:r>
      <w:r w:rsidR="00F50E5E">
        <w:rPr>
          <w:i/>
          <w:sz w:val="24"/>
          <w:szCs w:val="24"/>
        </w:rPr>
        <w:t>,</w:t>
      </w:r>
      <w:r w:rsidR="00F50E5E">
        <w:rPr>
          <w:sz w:val="24"/>
          <w:szCs w:val="24"/>
        </w:rPr>
        <w:t xml:space="preserve"> 2015), but i</w:t>
      </w:r>
      <w:r>
        <w:rPr>
          <w:sz w:val="24"/>
          <w:szCs w:val="24"/>
        </w:rPr>
        <w:t>n the context of inward investment promotion, a set of key prerogatives and responsibilities</w:t>
      </w:r>
      <w:r>
        <w:rPr>
          <w:spacing w:val="27"/>
          <w:sz w:val="24"/>
          <w:szCs w:val="24"/>
        </w:rPr>
        <w:t xml:space="preserve"> </w:t>
      </w:r>
      <w:r>
        <w:rPr>
          <w:sz w:val="24"/>
          <w:szCs w:val="24"/>
        </w:rPr>
        <w:t>can be distinguished. As units of self-governance</w:t>
      </w:r>
      <w:r w:rsidR="00F50E5E">
        <w:rPr>
          <w:sz w:val="24"/>
          <w:szCs w:val="24"/>
        </w:rPr>
        <w:t>,</w:t>
      </w:r>
      <w:r>
        <w:rPr>
          <w:sz w:val="24"/>
          <w:szCs w:val="24"/>
        </w:rPr>
        <w:t xml:space="preserve"> </w:t>
      </w:r>
      <w:r w:rsidR="00F50E5E">
        <w:rPr>
          <w:sz w:val="24"/>
          <w:szCs w:val="24"/>
        </w:rPr>
        <w:t xml:space="preserve">they </w:t>
      </w:r>
      <w:r>
        <w:rPr>
          <w:sz w:val="24"/>
          <w:szCs w:val="24"/>
        </w:rPr>
        <w:t>are legal entities a</w:t>
      </w:r>
      <w:r w:rsidR="00C546B5">
        <w:rPr>
          <w:sz w:val="24"/>
          <w:szCs w:val="24"/>
        </w:rPr>
        <w:t xml:space="preserve">cting on their own behalf, and </w:t>
      </w:r>
      <w:r>
        <w:rPr>
          <w:sz w:val="24"/>
          <w:szCs w:val="24"/>
        </w:rPr>
        <w:t>manag</w:t>
      </w:r>
      <w:r w:rsidR="00602E09">
        <w:rPr>
          <w:sz w:val="24"/>
          <w:szCs w:val="24"/>
        </w:rPr>
        <w:t xml:space="preserve">ing </w:t>
      </w:r>
      <w:r>
        <w:rPr>
          <w:sz w:val="24"/>
          <w:szCs w:val="24"/>
        </w:rPr>
        <w:t>their propert</w:t>
      </w:r>
      <w:r w:rsidR="00602E09">
        <w:rPr>
          <w:sz w:val="24"/>
          <w:szCs w:val="24"/>
        </w:rPr>
        <w:t>ies</w:t>
      </w:r>
      <w:r>
        <w:rPr>
          <w:sz w:val="24"/>
          <w:szCs w:val="24"/>
        </w:rPr>
        <w:t xml:space="preserve"> and finances.</w:t>
      </w:r>
      <w:r>
        <w:rPr>
          <w:spacing w:val="-22"/>
          <w:sz w:val="24"/>
          <w:szCs w:val="24"/>
        </w:rPr>
        <w:t xml:space="preserve"> </w:t>
      </w:r>
      <w:r>
        <w:rPr>
          <w:sz w:val="24"/>
          <w:szCs w:val="24"/>
        </w:rPr>
        <w:t xml:space="preserve">Self-government is executed through </w:t>
      </w:r>
      <w:r w:rsidR="00C546B5">
        <w:rPr>
          <w:sz w:val="24"/>
          <w:szCs w:val="24"/>
        </w:rPr>
        <w:t xml:space="preserve">directly elected </w:t>
      </w:r>
      <w:r>
        <w:rPr>
          <w:sz w:val="24"/>
          <w:szCs w:val="24"/>
        </w:rPr>
        <w:t>regional assemblies with several</w:t>
      </w:r>
      <w:r>
        <w:rPr>
          <w:spacing w:val="-28"/>
          <w:sz w:val="24"/>
          <w:szCs w:val="24"/>
        </w:rPr>
        <w:t xml:space="preserve"> </w:t>
      </w:r>
      <w:r w:rsidR="00C546B5">
        <w:rPr>
          <w:sz w:val="24"/>
          <w:szCs w:val="24"/>
        </w:rPr>
        <w:t xml:space="preserve">law-making powers. </w:t>
      </w:r>
    </w:p>
    <w:p w14:paraId="2504F5BF" w14:textId="05B8DDBB" w:rsidR="005E6520" w:rsidRDefault="005E6520" w:rsidP="00C546B5">
      <w:pPr>
        <w:pStyle w:val="BodyText"/>
        <w:kinsoku w:val="0"/>
        <w:overflowPunct w:val="0"/>
        <w:spacing w:line="480" w:lineRule="auto"/>
        <w:ind w:left="0" w:firstLine="720"/>
        <w:rPr>
          <w:sz w:val="24"/>
          <w:szCs w:val="24"/>
        </w:rPr>
      </w:pPr>
      <w:r>
        <w:rPr>
          <w:sz w:val="24"/>
          <w:szCs w:val="24"/>
        </w:rPr>
        <w:t>The detailed set of their core responsibilities related to regional development</w:t>
      </w:r>
      <w:r w:rsidR="009E5FBA">
        <w:rPr>
          <w:sz w:val="24"/>
          <w:szCs w:val="24"/>
        </w:rPr>
        <w:t>,</w:t>
      </w:r>
      <w:r>
        <w:rPr>
          <w:sz w:val="24"/>
          <w:szCs w:val="24"/>
        </w:rPr>
        <w:t xml:space="preserve"> and</w:t>
      </w:r>
      <w:r>
        <w:rPr>
          <w:spacing w:val="-26"/>
          <w:sz w:val="24"/>
          <w:szCs w:val="24"/>
        </w:rPr>
        <w:t xml:space="preserve"> </w:t>
      </w:r>
      <w:r>
        <w:rPr>
          <w:sz w:val="24"/>
          <w:szCs w:val="24"/>
        </w:rPr>
        <w:lastRenderedPageBreak/>
        <w:t>investment attraction in particular</w:t>
      </w:r>
      <w:r w:rsidR="009E5FBA">
        <w:rPr>
          <w:sz w:val="24"/>
          <w:szCs w:val="24"/>
        </w:rPr>
        <w:t>,</w:t>
      </w:r>
      <w:r>
        <w:rPr>
          <w:sz w:val="24"/>
          <w:szCs w:val="24"/>
        </w:rPr>
        <w:t xml:space="preserve"> var</w:t>
      </w:r>
      <w:r w:rsidR="00C62486">
        <w:rPr>
          <w:sz w:val="24"/>
          <w:szCs w:val="24"/>
        </w:rPr>
        <w:t>ies</w:t>
      </w:r>
      <w:r>
        <w:rPr>
          <w:sz w:val="24"/>
          <w:szCs w:val="24"/>
        </w:rPr>
        <w:t xml:space="preserve"> between the three countries. For example, while the Czech</w:t>
      </w:r>
      <w:r>
        <w:rPr>
          <w:spacing w:val="-30"/>
          <w:sz w:val="24"/>
          <w:szCs w:val="24"/>
        </w:rPr>
        <w:t xml:space="preserve"> </w:t>
      </w:r>
      <w:r>
        <w:rPr>
          <w:sz w:val="24"/>
          <w:szCs w:val="24"/>
        </w:rPr>
        <w:t>regional authorities are responsible for transport infrastructure management, the Slovak ones deal</w:t>
      </w:r>
      <w:r>
        <w:rPr>
          <w:spacing w:val="-16"/>
          <w:sz w:val="24"/>
          <w:szCs w:val="24"/>
        </w:rPr>
        <w:t xml:space="preserve"> </w:t>
      </w:r>
      <w:r>
        <w:rPr>
          <w:sz w:val="24"/>
          <w:szCs w:val="24"/>
        </w:rPr>
        <w:t xml:space="preserve">with transport and communication infrastructure planning (Brusis, 2003). </w:t>
      </w:r>
      <w:r w:rsidR="00C62486">
        <w:rPr>
          <w:sz w:val="24"/>
          <w:szCs w:val="24"/>
        </w:rPr>
        <w:t>R</w:t>
      </w:r>
      <w:r>
        <w:rPr>
          <w:sz w:val="24"/>
          <w:szCs w:val="24"/>
        </w:rPr>
        <w:t>egional authorities are</w:t>
      </w:r>
      <w:r w:rsidR="00C62486">
        <w:rPr>
          <w:sz w:val="24"/>
          <w:szCs w:val="24"/>
        </w:rPr>
        <w:t xml:space="preserve"> generally</w:t>
      </w:r>
      <w:r>
        <w:rPr>
          <w:sz w:val="24"/>
          <w:szCs w:val="24"/>
        </w:rPr>
        <w:t xml:space="preserve"> tasked with regional strategy design and execution, physical planning,</w:t>
      </w:r>
      <w:r>
        <w:rPr>
          <w:spacing w:val="-21"/>
          <w:sz w:val="24"/>
          <w:szCs w:val="24"/>
        </w:rPr>
        <w:t xml:space="preserve"> </w:t>
      </w:r>
      <w:r>
        <w:rPr>
          <w:sz w:val="24"/>
          <w:szCs w:val="24"/>
        </w:rPr>
        <w:t>public transportation, regional road infrastructure, selected functions in education development</w:t>
      </w:r>
      <w:r>
        <w:rPr>
          <w:spacing w:val="-12"/>
          <w:sz w:val="24"/>
          <w:szCs w:val="24"/>
        </w:rPr>
        <w:t xml:space="preserve"> </w:t>
      </w:r>
      <w:r>
        <w:rPr>
          <w:sz w:val="24"/>
          <w:szCs w:val="24"/>
        </w:rPr>
        <w:t>and management, and social and hea</w:t>
      </w:r>
      <w:r w:rsidR="002D5F16">
        <w:rPr>
          <w:sz w:val="24"/>
          <w:szCs w:val="24"/>
        </w:rPr>
        <w:t>lth care services (Illner, 2002;</w:t>
      </w:r>
      <w:r>
        <w:rPr>
          <w:sz w:val="24"/>
          <w:szCs w:val="24"/>
        </w:rPr>
        <w:t xml:space="preserve"> Swianewicz, 2014).</w:t>
      </w:r>
      <w:r>
        <w:rPr>
          <w:spacing w:val="-16"/>
          <w:sz w:val="24"/>
          <w:szCs w:val="24"/>
        </w:rPr>
        <w:t xml:space="preserve"> </w:t>
      </w:r>
      <w:r>
        <w:rPr>
          <w:sz w:val="24"/>
          <w:szCs w:val="24"/>
        </w:rPr>
        <w:t>Such portfolio of duties offers a clear scope for active involvement in investment promotion and impact</w:t>
      </w:r>
      <w:r>
        <w:rPr>
          <w:spacing w:val="-26"/>
          <w:sz w:val="24"/>
          <w:szCs w:val="24"/>
        </w:rPr>
        <w:t xml:space="preserve"> </w:t>
      </w:r>
      <w:r w:rsidR="00602E09">
        <w:rPr>
          <w:sz w:val="24"/>
          <w:szCs w:val="24"/>
        </w:rPr>
        <w:t>on</w:t>
      </w:r>
      <w:r>
        <w:rPr>
          <w:sz w:val="24"/>
          <w:szCs w:val="24"/>
        </w:rPr>
        <w:t xml:space="preserve"> </w:t>
      </w:r>
      <w:r w:rsidR="00D465AF">
        <w:rPr>
          <w:sz w:val="24"/>
          <w:szCs w:val="24"/>
        </w:rPr>
        <w:t xml:space="preserve">regional locational advantages. </w:t>
      </w:r>
    </w:p>
    <w:p w14:paraId="4A546A1E" w14:textId="77777777" w:rsidR="005E6520" w:rsidRDefault="005E6520" w:rsidP="005E6520">
      <w:pPr>
        <w:pStyle w:val="BodyText"/>
        <w:kinsoku w:val="0"/>
        <w:overflowPunct w:val="0"/>
        <w:spacing w:before="8" w:line="480" w:lineRule="auto"/>
        <w:ind w:left="0"/>
        <w:rPr>
          <w:sz w:val="24"/>
          <w:szCs w:val="24"/>
        </w:rPr>
      </w:pPr>
    </w:p>
    <w:p w14:paraId="2377D08D" w14:textId="64C9ECAA" w:rsidR="005E6520" w:rsidRDefault="009E5FBA" w:rsidP="005E6520">
      <w:pPr>
        <w:pStyle w:val="BodyText"/>
        <w:kinsoku w:val="0"/>
        <w:overflowPunct w:val="0"/>
        <w:spacing w:line="480" w:lineRule="auto"/>
        <w:ind w:left="0"/>
        <w:rPr>
          <w:b/>
          <w:bCs/>
          <w:sz w:val="24"/>
          <w:szCs w:val="24"/>
        </w:rPr>
      </w:pPr>
      <w:r w:rsidRPr="00976358">
        <w:rPr>
          <w:b/>
          <w:bCs/>
          <w:sz w:val="24"/>
          <w:szCs w:val="24"/>
        </w:rPr>
        <w:t>Scope and Aims of Investment</w:t>
      </w:r>
      <w:r>
        <w:rPr>
          <w:b/>
          <w:bCs/>
          <w:sz w:val="24"/>
          <w:szCs w:val="24"/>
        </w:rPr>
        <w:t xml:space="preserve"> P</w:t>
      </w:r>
      <w:r w:rsidRPr="009E5FBA">
        <w:rPr>
          <w:b/>
          <w:bCs/>
          <w:sz w:val="24"/>
          <w:szCs w:val="24"/>
        </w:rPr>
        <w:t>romotion</w:t>
      </w:r>
      <w:r w:rsidR="005E6520">
        <w:rPr>
          <w:b/>
          <w:bCs/>
          <w:spacing w:val="-25"/>
          <w:sz w:val="24"/>
          <w:szCs w:val="24"/>
        </w:rPr>
        <w:t xml:space="preserve"> </w:t>
      </w:r>
    </w:p>
    <w:p w14:paraId="468867EC" w14:textId="77777777" w:rsidR="005E6520" w:rsidRDefault="005E6520" w:rsidP="005E6520">
      <w:pPr>
        <w:pStyle w:val="BodyText"/>
        <w:kinsoku w:val="0"/>
        <w:overflowPunct w:val="0"/>
        <w:spacing w:line="480" w:lineRule="auto"/>
        <w:ind w:left="0"/>
        <w:rPr>
          <w:sz w:val="24"/>
          <w:szCs w:val="24"/>
        </w:rPr>
      </w:pPr>
    </w:p>
    <w:p w14:paraId="7A079323" w14:textId="414478EE" w:rsidR="005E6520" w:rsidRDefault="005E6520" w:rsidP="005E6520">
      <w:pPr>
        <w:pStyle w:val="BodyText"/>
        <w:kinsoku w:val="0"/>
        <w:overflowPunct w:val="0"/>
        <w:spacing w:line="480" w:lineRule="auto"/>
        <w:ind w:left="0"/>
        <w:rPr>
          <w:sz w:val="24"/>
          <w:szCs w:val="24"/>
        </w:rPr>
      </w:pPr>
      <w:r>
        <w:rPr>
          <w:sz w:val="24"/>
          <w:szCs w:val="24"/>
        </w:rPr>
        <w:t xml:space="preserve">Contrary to common misconceptions, often fuelled by politicians looking for quick fixes, investment promotion is not an event, but encompasses a set of complex, intertwined </w:t>
      </w:r>
      <w:r w:rsidR="009E5FBA">
        <w:rPr>
          <w:sz w:val="24"/>
          <w:szCs w:val="24"/>
        </w:rPr>
        <w:t>processes, which</w:t>
      </w:r>
      <w:r>
        <w:rPr>
          <w:sz w:val="24"/>
          <w:szCs w:val="24"/>
        </w:rPr>
        <w:t xml:space="preserve"> usually take time to develop, implement and bear fruit. Investment promotion, as defined originally by Wells and Wint (2000, p.4) comprises ‘</w:t>
      </w:r>
      <w:r>
        <w:rPr>
          <w:i/>
          <w:iCs/>
          <w:sz w:val="24"/>
          <w:szCs w:val="24"/>
        </w:rPr>
        <w:t>activities</w:t>
      </w:r>
      <w:r>
        <w:rPr>
          <w:i/>
          <w:iCs/>
          <w:spacing w:val="-31"/>
          <w:sz w:val="24"/>
          <w:szCs w:val="24"/>
        </w:rPr>
        <w:t xml:space="preserve"> </w:t>
      </w:r>
      <w:r>
        <w:rPr>
          <w:i/>
          <w:iCs/>
          <w:sz w:val="24"/>
          <w:szCs w:val="24"/>
        </w:rPr>
        <w:t>that disseminate information about, or attempt to create an image of the investment site and</w:t>
      </w:r>
      <w:r>
        <w:rPr>
          <w:i/>
          <w:iCs/>
          <w:spacing w:val="-17"/>
          <w:sz w:val="24"/>
          <w:szCs w:val="24"/>
        </w:rPr>
        <w:t xml:space="preserve"> </w:t>
      </w:r>
      <w:r>
        <w:rPr>
          <w:i/>
          <w:iCs/>
          <w:sz w:val="24"/>
          <w:szCs w:val="24"/>
        </w:rPr>
        <w:t>provide investment services for prospective investors</w:t>
      </w:r>
      <w:r>
        <w:rPr>
          <w:sz w:val="24"/>
          <w:szCs w:val="24"/>
        </w:rPr>
        <w:t xml:space="preserve">.’ </w:t>
      </w:r>
      <w:r w:rsidR="00CB0829">
        <w:rPr>
          <w:sz w:val="24"/>
          <w:szCs w:val="24"/>
        </w:rPr>
        <w:t>I</w:t>
      </w:r>
      <w:r>
        <w:rPr>
          <w:sz w:val="24"/>
          <w:szCs w:val="24"/>
        </w:rPr>
        <w:t>t extends beyond the most visible aspect</w:t>
      </w:r>
      <w:r w:rsidR="00C62486">
        <w:rPr>
          <w:sz w:val="24"/>
          <w:szCs w:val="24"/>
        </w:rPr>
        <w:t>s</w:t>
      </w:r>
      <w:r>
        <w:rPr>
          <w:sz w:val="24"/>
          <w:szCs w:val="24"/>
        </w:rPr>
        <w:t xml:space="preserve"> of</w:t>
      </w:r>
      <w:r>
        <w:rPr>
          <w:spacing w:val="-25"/>
          <w:sz w:val="24"/>
          <w:szCs w:val="24"/>
        </w:rPr>
        <w:t xml:space="preserve"> </w:t>
      </w:r>
      <w:r>
        <w:rPr>
          <w:sz w:val="24"/>
          <w:szCs w:val="24"/>
        </w:rPr>
        <w:t xml:space="preserve">the process </w:t>
      </w:r>
      <w:r w:rsidR="003F2534">
        <w:rPr>
          <w:sz w:val="24"/>
          <w:szCs w:val="24"/>
        </w:rPr>
        <w:t xml:space="preserve">– </w:t>
      </w:r>
      <w:r>
        <w:rPr>
          <w:sz w:val="24"/>
          <w:szCs w:val="24"/>
        </w:rPr>
        <w:t>image and advertising campaigns</w:t>
      </w:r>
      <w:r w:rsidR="003F2534">
        <w:rPr>
          <w:sz w:val="24"/>
          <w:szCs w:val="24"/>
        </w:rPr>
        <w:t xml:space="preserve"> – </w:t>
      </w:r>
      <w:r>
        <w:rPr>
          <w:sz w:val="24"/>
          <w:szCs w:val="24"/>
        </w:rPr>
        <w:t>to include a comprehensive set of activities</w:t>
      </w:r>
      <w:r>
        <w:rPr>
          <w:spacing w:val="-22"/>
          <w:sz w:val="24"/>
          <w:szCs w:val="24"/>
        </w:rPr>
        <w:t xml:space="preserve"> </w:t>
      </w:r>
      <w:r>
        <w:rPr>
          <w:sz w:val="24"/>
          <w:szCs w:val="24"/>
        </w:rPr>
        <w:t>and policies oriented towards investment generation, and methods of their application</w:t>
      </w:r>
      <w:r w:rsidR="00872B3E">
        <w:rPr>
          <w:sz w:val="24"/>
          <w:szCs w:val="24"/>
        </w:rPr>
        <w:t xml:space="preserve">, similar to </w:t>
      </w:r>
      <w:r w:rsidR="00EC1EB5">
        <w:rPr>
          <w:sz w:val="24"/>
          <w:szCs w:val="24"/>
        </w:rPr>
        <w:t>place mark</w:t>
      </w:r>
      <w:r w:rsidR="00C62486">
        <w:rPr>
          <w:sz w:val="24"/>
          <w:szCs w:val="24"/>
        </w:rPr>
        <w:t>et</w:t>
      </w:r>
      <w:r w:rsidR="00EC1EB5">
        <w:rPr>
          <w:sz w:val="24"/>
          <w:szCs w:val="24"/>
        </w:rPr>
        <w:t xml:space="preserve">ing and branding practices (Boisen </w:t>
      </w:r>
      <w:r w:rsidR="00EC1EB5" w:rsidRPr="00BD53E3">
        <w:rPr>
          <w:i/>
          <w:sz w:val="24"/>
          <w:szCs w:val="24"/>
        </w:rPr>
        <w:t>et al.,</w:t>
      </w:r>
      <w:r w:rsidR="00EC1EB5">
        <w:rPr>
          <w:sz w:val="24"/>
          <w:szCs w:val="24"/>
        </w:rPr>
        <w:t xml:space="preserve"> 2018). </w:t>
      </w:r>
      <w:r>
        <w:rPr>
          <w:sz w:val="24"/>
          <w:szCs w:val="24"/>
        </w:rPr>
        <w:t>Loewendahl</w:t>
      </w:r>
      <w:r>
        <w:rPr>
          <w:spacing w:val="-27"/>
          <w:sz w:val="24"/>
          <w:szCs w:val="24"/>
        </w:rPr>
        <w:t xml:space="preserve"> </w:t>
      </w:r>
      <w:r>
        <w:rPr>
          <w:sz w:val="24"/>
          <w:szCs w:val="24"/>
        </w:rPr>
        <w:t>(2001) distinguishes four consecutive stages of investment promotion: (1) strategy and</w:t>
      </w:r>
      <w:r>
        <w:rPr>
          <w:spacing w:val="-12"/>
          <w:sz w:val="24"/>
          <w:szCs w:val="24"/>
        </w:rPr>
        <w:t xml:space="preserve"> </w:t>
      </w:r>
      <w:r>
        <w:rPr>
          <w:sz w:val="24"/>
          <w:szCs w:val="24"/>
        </w:rPr>
        <w:t>organisation (including setting the development policy context, structure of investment promotion,</w:t>
      </w:r>
      <w:r>
        <w:rPr>
          <w:spacing w:val="-19"/>
          <w:sz w:val="24"/>
          <w:szCs w:val="24"/>
        </w:rPr>
        <w:t xml:space="preserve"> </w:t>
      </w:r>
      <w:r>
        <w:rPr>
          <w:sz w:val="24"/>
          <w:szCs w:val="24"/>
        </w:rPr>
        <w:t>competitive positioning, and sector targeting strategy), (2) lead generation (targeted promotion), (3)</w:t>
      </w:r>
      <w:r>
        <w:rPr>
          <w:spacing w:val="-25"/>
          <w:sz w:val="24"/>
          <w:szCs w:val="24"/>
        </w:rPr>
        <w:t xml:space="preserve"> </w:t>
      </w:r>
      <w:r>
        <w:rPr>
          <w:sz w:val="24"/>
          <w:szCs w:val="24"/>
        </w:rPr>
        <w:t>facilitation (project handling) and (4) investment services (aftercare, product improvement,</w:t>
      </w:r>
      <w:r>
        <w:rPr>
          <w:spacing w:val="-12"/>
          <w:sz w:val="24"/>
          <w:szCs w:val="24"/>
        </w:rPr>
        <w:t xml:space="preserve"> </w:t>
      </w:r>
      <w:r>
        <w:rPr>
          <w:sz w:val="24"/>
          <w:szCs w:val="24"/>
        </w:rPr>
        <w:t xml:space="preserve">monitoring, evaluation). While the initial stage is concerned </w:t>
      </w:r>
      <w:r>
        <w:rPr>
          <w:sz w:val="24"/>
          <w:szCs w:val="24"/>
        </w:rPr>
        <w:lastRenderedPageBreak/>
        <w:t>with planning and strategy setting, the</w:t>
      </w:r>
      <w:r>
        <w:rPr>
          <w:spacing w:val="16"/>
          <w:sz w:val="24"/>
          <w:szCs w:val="24"/>
        </w:rPr>
        <w:t xml:space="preserve"> </w:t>
      </w:r>
      <w:r>
        <w:rPr>
          <w:sz w:val="24"/>
          <w:szCs w:val="24"/>
        </w:rPr>
        <w:t xml:space="preserve">remaining three involve concrete actions and activities, and thus could be termed promotion </w:t>
      </w:r>
      <w:r>
        <w:rPr>
          <w:i/>
          <w:iCs/>
          <w:sz w:val="24"/>
          <w:szCs w:val="24"/>
        </w:rPr>
        <w:t>per</w:t>
      </w:r>
      <w:r>
        <w:rPr>
          <w:i/>
          <w:iCs/>
          <w:spacing w:val="-25"/>
          <w:sz w:val="24"/>
          <w:szCs w:val="24"/>
        </w:rPr>
        <w:t xml:space="preserve"> </w:t>
      </w:r>
      <w:r>
        <w:rPr>
          <w:i/>
          <w:iCs/>
          <w:sz w:val="24"/>
          <w:szCs w:val="24"/>
        </w:rPr>
        <w:t>se</w:t>
      </w:r>
      <w:r>
        <w:rPr>
          <w:sz w:val="24"/>
          <w:szCs w:val="24"/>
        </w:rPr>
        <w:t>.</w:t>
      </w:r>
    </w:p>
    <w:p w14:paraId="0FA48DB8" w14:textId="77777777" w:rsidR="005E6520" w:rsidRDefault="005E6520" w:rsidP="005E6520">
      <w:pPr>
        <w:pStyle w:val="BodyText"/>
        <w:kinsoku w:val="0"/>
        <w:overflowPunct w:val="0"/>
        <w:spacing w:line="480" w:lineRule="auto"/>
        <w:ind w:left="0"/>
        <w:rPr>
          <w:sz w:val="24"/>
          <w:szCs w:val="24"/>
        </w:rPr>
      </w:pPr>
      <w:r>
        <w:rPr>
          <w:sz w:val="24"/>
          <w:szCs w:val="24"/>
        </w:rPr>
        <w:tab/>
      </w:r>
      <w:r w:rsidR="00301D33">
        <w:rPr>
          <w:sz w:val="24"/>
          <w:szCs w:val="24"/>
        </w:rPr>
        <w:t>Consequently,</w:t>
      </w:r>
      <w:r>
        <w:rPr>
          <w:sz w:val="24"/>
          <w:szCs w:val="24"/>
        </w:rPr>
        <w:t xml:space="preserve"> regional promotion aimed at investment attraction strives to achieve the</w:t>
      </w:r>
      <w:r>
        <w:rPr>
          <w:spacing w:val="-24"/>
          <w:sz w:val="24"/>
          <w:szCs w:val="24"/>
        </w:rPr>
        <w:t xml:space="preserve"> </w:t>
      </w:r>
      <w:r>
        <w:rPr>
          <w:sz w:val="24"/>
          <w:szCs w:val="24"/>
        </w:rPr>
        <w:t>following interconnected</w:t>
      </w:r>
      <w:r>
        <w:rPr>
          <w:spacing w:val="-7"/>
          <w:sz w:val="24"/>
          <w:szCs w:val="24"/>
        </w:rPr>
        <w:t xml:space="preserve"> </w:t>
      </w:r>
      <w:r>
        <w:rPr>
          <w:sz w:val="24"/>
          <w:szCs w:val="24"/>
        </w:rPr>
        <w:t>objectives:</w:t>
      </w:r>
    </w:p>
    <w:p w14:paraId="36DD83D1" w14:textId="77777777" w:rsidR="00736380" w:rsidRDefault="00736380" w:rsidP="00736380">
      <w:pPr>
        <w:pStyle w:val="ListParagraph"/>
        <w:numPr>
          <w:ilvl w:val="0"/>
          <w:numId w:val="2"/>
        </w:numPr>
        <w:tabs>
          <w:tab w:val="left" w:pos="548"/>
        </w:tabs>
        <w:kinsoku w:val="0"/>
        <w:overflowPunct w:val="0"/>
        <w:spacing w:line="480" w:lineRule="auto"/>
      </w:pPr>
      <w:r w:rsidRPr="00736380">
        <w:t>enhance the image of the location held by the investment</w:t>
      </w:r>
      <w:r w:rsidRPr="00736380">
        <w:rPr>
          <w:spacing w:val="-9"/>
        </w:rPr>
        <w:t xml:space="preserve"> </w:t>
      </w:r>
      <w:r w:rsidRPr="00736380">
        <w:t>community;</w:t>
      </w:r>
    </w:p>
    <w:p w14:paraId="6B16B6B3" w14:textId="77777777" w:rsidR="005E6520" w:rsidRDefault="005E6520" w:rsidP="005E6520">
      <w:pPr>
        <w:pStyle w:val="ListParagraph"/>
        <w:numPr>
          <w:ilvl w:val="0"/>
          <w:numId w:val="2"/>
        </w:numPr>
        <w:tabs>
          <w:tab w:val="left" w:pos="548"/>
        </w:tabs>
        <w:kinsoku w:val="0"/>
        <w:overflowPunct w:val="0"/>
        <w:spacing w:line="480" w:lineRule="auto"/>
      </w:pPr>
      <w:r>
        <w:t>generate</w:t>
      </w:r>
      <w:r>
        <w:rPr>
          <w:spacing w:val="-1"/>
        </w:rPr>
        <w:t xml:space="preserve"> </w:t>
      </w:r>
      <w:r>
        <w:t>investment;</w:t>
      </w:r>
    </w:p>
    <w:p w14:paraId="616BDFB2" w14:textId="77777777" w:rsidR="005E6520" w:rsidRDefault="005E6520" w:rsidP="005E6520">
      <w:pPr>
        <w:pStyle w:val="ListParagraph"/>
        <w:numPr>
          <w:ilvl w:val="0"/>
          <w:numId w:val="2"/>
        </w:numPr>
        <w:tabs>
          <w:tab w:val="left" w:pos="548"/>
        </w:tabs>
        <w:kinsoku w:val="0"/>
        <w:overflowPunct w:val="0"/>
        <w:spacing w:line="480" w:lineRule="auto"/>
      </w:pPr>
      <w:r>
        <w:t>provide investment and post-investment services (Wells and Wint, 2000, OECD, 2018).</w:t>
      </w:r>
    </w:p>
    <w:p w14:paraId="02719472" w14:textId="797638D7" w:rsidR="00736380" w:rsidRPr="00736380" w:rsidRDefault="005E6520" w:rsidP="00736380">
      <w:pPr>
        <w:pStyle w:val="BodyText"/>
        <w:kinsoku w:val="0"/>
        <w:overflowPunct w:val="0"/>
        <w:spacing w:line="480" w:lineRule="auto"/>
        <w:ind w:left="0" w:firstLine="720"/>
        <w:rPr>
          <w:sz w:val="24"/>
          <w:szCs w:val="24"/>
        </w:rPr>
      </w:pPr>
      <w:r>
        <w:rPr>
          <w:sz w:val="24"/>
          <w:szCs w:val="24"/>
        </w:rPr>
        <w:t xml:space="preserve">Meeting these objectives </w:t>
      </w:r>
      <w:r w:rsidR="00976358">
        <w:rPr>
          <w:sz w:val="24"/>
          <w:szCs w:val="24"/>
        </w:rPr>
        <w:t>is enabled</w:t>
      </w:r>
      <w:r>
        <w:rPr>
          <w:sz w:val="24"/>
          <w:szCs w:val="24"/>
        </w:rPr>
        <w:t xml:space="preserve"> by a number of promotional tools</w:t>
      </w:r>
      <w:r w:rsidR="00470652">
        <w:rPr>
          <w:sz w:val="24"/>
          <w:szCs w:val="24"/>
        </w:rPr>
        <w:t>,</w:t>
      </w:r>
      <w:r>
        <w:rPr>
          <w:sz w:val="24"/>
          <w:szCs w:val="24"/>
        </w:rPr>
        <w:t xml:space="preserve"> which emphasises</w:t>
      </w:r>
      <w:r>
        <w:rPr>
          <w:spacing w:val="-21"/>
          <w:sz w:val="24"/>
          <w:szCs w:val="24"/>
        </w:rPr>
        <w:t xml:space="preserve"> </w:t>
      </w:r>
      <w:r>
        <w:rPr>
          <w:sz w:val="24"/>
          <w:szCs w:val="24"/>
        </w:rPr>
        <w:t xml:space="preserve">the link between investment attraction and promotion. </w:t>
      </w:r>
      <w:r w:rsidR="00976358">
        <w:rPr>
          <w:sz w:val="24"/>
          <w:szCs w:val="24"/>
        </w:rPr>
        <w:t xml:space="preserve">For example, </w:t>
      </w:r>
      <w:r w:rsidR="00736380" w:rsidRPr="00736380">
        <w:rPr>
          <w:sz w:val="24"/>
          <w:szCs w:val="24"/>
        </w:rPr>
        <w:t>creation or enhancement of</w:t>
      </w:r>
      <w:r w:rsidR="00736380" w:rsidRPr="00736380">
        <w:rPr>
          <w:spacing w:val="-28"/>
          <w:sz w:val="24"/>
          <w:szCs w:val="24"/>
        </w:rPr>
        <w:t xml:space="preserve"> </w:t>
      </w:r>
      <w:r w:rsidR="00736380" w:rsidRPr="00736380">
        <w:rPr>
          <w:sz w:val="24"/>
          <w:szCs w:val="24"/>
        </w:rPr>
        <w:t>image can be aided by advertising campaigns, publicity and PR activities (e.g. Kulchina, 2014, Oh, 2014, Wilson and Baack, 2019), as well as personal selling (</w:t>
      </w:r>
      <w:r w:rsidR="00976358">
        <w:rPr>
          <w:sz w:val="24"/>
          <w:szCs w:val="24"/>
        </w:rPr>
        <w:t xml:space="preserve">e.g. </w:t>
      </w:r>
      <w:r w:rsidR="00736380" w:rsidRPr="00736380">
        <w:rPr>
          <w:sz w:val="24"/>
          <w:szCs w:val="24"/>
        </w:rPr>
        <w:t>negotiations be</w:t>
      </w:r>
      <w:r w:rsidR="00976358">
        <w:rPr>
          <w:sz w:val="24"/>
          <w:szCs w:val="24"/>
        </w:rPr>
        <w:t>tween regional officials and</w:t>
      </w:r>
      <w:r w:rsidR="00736380" w:rsidRPr="00736380">
        <w:rPr>
          <w:sz w:val="24"/>
          <w:szCs w:val="24"/>
        </w:rPr>
        <w:t xml:space="preserve"> potential investor</w:t>
      </w:r>
      <w:r w:rsidR="00976358">
        <w:rPr>
          <w:sz w:val="24"/>
          <w:szCs w:val="24"/>
        </w:rPr>
        <w:t>s</w:t>
      </w:r>
      <w:r w:rsidR="00736380" w:rsidRPr="00736380">
        <w:rPr>
          <w:sz w:val="24"/>
          <w:szCs w:val="24"/>
        </w:rPr>
        <w:t>). Investment generation benefits mostly from the use of</w:t>
      </w:r>
      <w:r w:rsidR="00736380" w:rsidRPr="00736380">
        <w:rPr>
          <w:spacing w:val="-29"/>
          <w:sz w:val="24"/>
          <w:szCs w:val="24"/>
        </w:rPr>
        <w:t xml:space="preserve"> </w:t>
      </w:r>
      <w:r w:rsidR="00736380" w:rsidRPr="00736380">
        <w:rPr>
          <w:sz w:val="24"/>
          <w:szCs w:val="24"/>
        </w:rPr>
        <w:t>direct marketing actions, sales promotion (i.e. investment incentives) and personal</w:t>
      </w:r>
      <w:r w:rsidR="00736380" w:rsidRPr="00736380">
        <w:rPr>
          <w:spacing w:val="-20"/>
          <w:sz w:val="24"/>
          <w:szCs w:val="24"/>
        </w:rPr>
        <w:t xml:space="preserve"> </w:t>
      </w:r>
      <w:r w:rsidR="00736380" w:rsidRPr="00736380">
        <w:rPr>
          <w:sz w:val="24"/>
          <w:szCs w:val="24"/>
        </w:rPr>
        <w:t>selling. Similarly, the latter are the basis for the provision of investment services, which</w:t>
      </w:r>
      <w:r w:rsidR="00736380" w:rsidRPr="00736380">
        <w:rPr>
          <w:spacing w:val="-26"/>
          <w:sz w:val="24"/>
          <w:szCs w:val="24"/>
        </w:rPr>
        <w:t xml:space="preserve"> </w:t>
      </w:r>
      <w:r w:rsidR="00736380" w:rsidRPr="00736380">
        <w:rPr>
          <w:sz w:val="24"/>
          <w:szCs w:val="24"/>
        </w:rPr>
        <w:t xml:space="preserve">additionally can be supported by publicity and PR activities </w:t>
      </w:r>
      <w:r w:rsidR="00470652">
        <w:rPr>
          <w:sz w:val="24"/>
          <w:szCs w:val="24"/>
        </w:rPr>
        <w:t>(</w:t>
      </w:r>
      <w:r w:rsidR="00736380" w:rsidRPr="00736380">
        <w:rPr>
          <w:sz w:val="24"/>
          <w:szCs w:val="24"/>
        </w:rPr>
        <w:t>Capik,</w:t>
      </w:r>
      <w:r w:rsidR="00736380" w:rsidRPr="00736380">
        <w:rPr>
          <w:spacing w:val="-15"/>
          <w:sz w:val="24"/>
          <w:szCs w:val="24"/>
        </w:rPr>
        <w:t xml:space="preserve"> </w:t>
      </w:r>
      <w:r w:rsidR="00736380" w:rsidRPr="00736380">
        <w:rPr>
          <w:sz w:val="24"/>
          <w:szCs w:val="24"/>
        </w:rPr>
        <w:t>2019).</w:t>
      </w:r>
    </w:p>
    <w:p w14:paraId="5A5898A7" w14:textId="02D830AD" w:rsidR="005E6520" w:rsidRDefault="005E6520" w:rsidP="005E6520">
      <w:pPr>
        <w:pStyle w:val="BodyText"/>
        <w:kinsoku w:val="0"/>
        <w:overflowPunct w:val="0"/>
        <w:spacing w:before="9" w:line="480" w:lineRule="auto"/>
        <w:ind w:left="0"/>
        <w:rPr>
          <w:sz w:val="24"/>
          <w:szCs w:val="24"/>
        </w:rPr>
      </w:pPr>
      <w:r>
        <w:rPr>
          <w:sz w:val="24"/>
          <w:szCs w:val="24"/>
        </w:rPr>
        <w:tab/>
        <w:t>In their study of activities of several national investment promotion agencies</w:t>
      </w:r>
      <w:r w:rsidR="00A2253E">
        <w:rPr>
          <w:sz w:val="24"/>
          <w:szCs w:val="24"/>
        </w:rPr>
        <w:t>,</w:t>
      </w:r>
      <w:r>
        <w:rPr>
          <w:sz w:val="24"/>
          <w:szCs w:val="24"/>
        </w:rPr>
        <w:t xml:space="preserve"> Wells and Wint</w:t>
      </w:r>
      <w:r>
        <w:rPr>
          <w:spacing w:val="-18"/>
          <w:sz w:val="24"/>
          <w:szCs w:val="24"/>
        </w:rPr>
        <w:t xml:space="preserve"> </w:t>
      </w:r>
      <w:r>
        <w:rPr>
          <w:sz w:val="24"/>
          <w:szCs w:val="24"/>
        </w:rPr>
        <w:t>(2000)</w:t>
      </w:r>
      <w:r w:rsidR="00677329">
        <w:rPr>
          <w:sz w:val="24"/>
          <w:szCs w:val="24"/>
        </w:rPr>
        <w:t xml:space="preserve"> demonstrate a typically evolutionary approach </w:t>
      </w:r>
      <w:r>
        <w:rPr>
          <w:sz w:val="24"/>
          <w:szCs w:val="24"/>
        </w:rPr>
        <w:t>– initially NIPAs are more concerned</w:t>
      </w:r>
      <w:r>
        <w:rPr>
          <w:spacing w:val="-26"/>
          <w:sz w:val="24"/>
          <w:szCs w:val="24"/>
        </w:rPr>
        <w:t xml:space="preserve"> </w:t>
      </w:r>
      <w:r>
        <w:rPr>
          <w:sz w:val="24"/>
          <w:szCs w:val="24"/>
        </w:rPr>
        <w:t>with image building activities, and gradually move towards investment generation and service</w:t>
      </w:r>
      <w:r>
        <w:rPr>
          <w:spacing w:val="-24"/>
          <w:sz w:val="24"/>
          <w:szCs w:val="24"/>
        </w:rPr>
        <w:t xml:space="preserve"> </w:t>
      </w:r>
      <w:r>
        <w:rPr>
          <w:sz w:val="24"/>
          <w:szCs w:val="24"/>
        </w:rPr>
        <w:t>provision. All three objectives are interlinked, and should be</w:t>
      </w:r>
      <w:r>
        <w:rPr>
          <w:spacing w:val="-25"/>
          <w:sz w:val="24"/>
          <w:szCs w:val="24"/>
        </w:rPr>
        <w:t xml:space="preserve"> </w:t>
      </w:r>
      <w:r>
        <w:rPr>
          <w:sz w:val="24"/>
          <w:szCs w:val="24"/>
        </w:rPr>
        <w:t xml:space="preserve">considered as </w:t>
      </w:r>
      <w:r w:rsidR="00E97565">
        <w:rPr>
          <w:sz w:val="24"/>
          <w:szCs w:val="24"/>
        </w:rPr>
        <w:t xml:space="preserve">complementary. </w:t>
      </w:r>
      <w:r w:rsidR="00FB4112">
        <w:rPr>
          <w:sz w:val="24"/>
          <w:szCs w:val="24"/>
        </w:rPr>
        <w:t xml:space="preserve">Image-building is a complex, long-term </w:t>
      </w:r>
      <w:r w:rsidR="00A90B82" w:rsidRPr="00A90B82">
        <w:rPr>
          <w:sz w:val="24"/>
          <w:szCs w:val="24"/>
        </w:rPr>
        <w:t>process.</w:t>
      </w:r>
      <w:r w:rsidR="00A90B82">
        <w:rPr>
          <w:sz w:val="24"/>
          <w:szCs w:val="24"/>
        </w:rPr>
        <w:t xml:space="preserve"> </w:t>
      </w:r>
      <w:r>
        <w:rPr>
          <w:sz w:val="24"/>
          <w:szCs w:val="24"/>
        </w:rPr>
        <w:t>Some techniques and tools it requires</w:t>
      </w:r>
      <w:r w:rsidR="005B6887">
        <w:rPr>
          <w:sz w:val="24"/>
          <w:szCs w:val="24"/>
        </w:rPr>
        <w:t>,</w:t>
      </w:r>
      <w:r>
        <w:rPr>
          <w:sz w:val="24"/>
          <w:szCs w:val="24"/>
        </w:rPr>
        <w:t xml:space="preserve"> are also used in achieving the two</w:t>
      </w:r>
      <w:r>
        <w:rPr>
          <w:spacing w:val="-11"/>
          <w:sz w:val="24"/>
          <w:szCs w:val="24"/>
        </w:rPr>
        <w:t xml:space="preserve"> </w:t>
      </w:r>
      <w:r>
        <w:rPr>
          <w:sz w:val="24"/>
          <w:szCs w:val="24"/>
        </w:rPr>
        <w:t>remaining objectives. Investment-generating activities (e.g. investment and trade missions, participation</w:t>
      </w:r>
      <w:r>
        <w:rPr>
          <w:spacing w:val="-14"/>
          <w:sz w:val="24"/>
          <w:szCs w:val="24"/>
        </w:rPr>
        <w:t xml:space="preserve"> </w:t>
      </w:r>
      <w:r>
        <w:rPr>
          <w:sz w:val="24"/>
          <w:szCs w:val="24"/>
        </w:rPr>
        <w:t>in investment exhibitions, preparation and implementation of investment incentives schemes) can</w:t>
      </w:r>
      <w:r>
        <w:rPr>
          <w:spacing w:val="-19"/>
          <w:sz w:val="24"/>
          <w:szCs w:val="24"/>
        </w:rPr>
        <w:t xml:space="preserve"> </w:t>
      </w:r>
      <w:r>
        <w:rPr>
          <w:sz w:val="24"/>
          <w:szCs w:val="24"/>
        </w:rPr>
        <w:t>be used to create an image of a region as a place welcoming for the investors – a</w:t>
      </w:r>
      <w:r>
        <w:rPr>
          <w:spacing w:val="-10"/>
          <w:sz w:val="24"/>
          <w:szCs w:val="24"/>
        </w:rPr>
        <w:t xml:space="preserve"> </w:t>
      </w:r>
      <w:r>
        <w:rPr>
          <w:sz w:val="24"/>
          <w:szCs w:val="24"/>
        </w:rPr>
        <w:t xml:space="preserve">perception that can be further </w:t>
      </w:r>
      <w:r>
        <w:rPr>
          <w:sz w:val="24"/>
          <w:szCs w:val="24"/>
        </w:rPr>
        <w:lastRenderedPageBreak/>
        <w:t>strengthened by swift provision of adequate services for both potential and</w:t>
      </w:r>
      <w:r>
        <w:rPr>
          <w:spacing w:val="-25"/>
          <w:sz w:val="24"/>
          <w:szCs w:val="24"/>
        </w:rPr>
        <w:t xml:space="preserve"> </w:t>
      </w:r>
      <w:r>
        <w:rPr>
          <w:sz w:val="24"/>
          <w:szCs w:val="24"/>
        </w:rPr>
        <w:t>current investors. Promotion</w:t>
      </w:r>
      <w:r w:rsidR="00DB2C0E">
        <w:rPr>
          <w:sz w:val="24"/>
          <w:szCs w:val="24"/>
        </w:rPr>
        <w:t>,</w:t>
      </w:r>
      <w:r>
        <w:rPr>
          <w:sz w:val="24"/>
          <w:szCs w:val="24"/>
        </w:rPr>
        <w:t xml:space="preserve"> thus</w:t>
      </w:r>
      <w:r w:rsidR="00DB2C0E">
        <w:rPr>
          <w:sz w:val="24"/>
          <w:szCs w:val="24"/>
        </w:rPr>
        <w:t>,</w:t>
      </w:r>
      <w:r>
        <w:rPr>
          <w:sz w:val="24"/>
          <w:szCs w:val="24"/>
        </w:rPr>
        <w:t xml:space="preserve"> does not stop with successful attraction of an investor. Aftercare</w:t>
      </w:r>
      <w:r>
        <w:rPr>
          <w:spacing w:val="-27"/>
          <w:sz w:val="24"/>
          <w:szCs w:val="24"/>
        </w:rPr>
        <w:t xml:space="preserve"> </w:t>
      </w:r>
      <w:r>
        <w:rPr>
          <w:sz w:val="24"/>
          <w:szCs w:val="24"/>
        </w:rPr>
        <w:t xml:space="preserve">services aim to encourage the </w:t>
      </w:r>
      <w:r>
        <w:rPr>
          <w:sz w:val="24"/>
          <w:szCs w:val="24"/>
        </w:rPr>
        <w:t>company to expand, but also by word-of-mouth communicate the</w:t>
      </w:r>
      <w:r>
        <w:rPr>
          <w:spacing w:val="-19"/>
          <w:sz w:val="24"/>
          <w:szCs w:val="24"/>
        </w:rPr>
        <w:t xml:space="preserve"> </w:t>
      </w:r>
      <w:r>
        <w:rPr>
          <w:sz w:val="24"/>
          <w:szCs w:val="24"/>
        </w:rPr>
        <w:t xml:space="preserve">positive impressions of the place and attitudes of its authorities. </w:t>
      </w:r>
      <w:r w:rsidR="00D041B4">
        <w:rPr>
          <w:sz w:val="24"/>
          <w:szCs w:val="24"/>
        </w:rPr>
        <w:t>However, o</w:t>
      </w:r>
      <w:r>
        <w:rPr>
          <w:sz w:val="24"/>
          <w:szCs w:val="24"/>
        </w:rPr>
        <w:t>ften this part is</w:t>
      </w:r>
      <w:r>
        <w:rPr>
          <w:spacing w:val="14"/>
          <w:sz w:val="24"/>
          <w:szCs w:val="24"/>
        </w:rPr>
        <w:t xml:space="preserve"> </w:t>
      </w:r>
      <w:r>
        <w:rPr>
          <w:sz w:val="24"/>
          <w:szCs w:val="24"/>
        </w:rPr>
        <w:t>unjustly considered as less important</w:t>
      </w:r>
      <w:r w:rsidR="00A2253E">
        <w:rPr>
          <w:sz w:val="24"/>
          <w:szCs w:val="24"/>
        </w:rPr>
        <w:t xml:space="preserve">, with </w:t>
      </w:r>
      <w:r>
        <w:rPr>
          <w:sz w:val="24"/>
          <w:szCs w:val="24"/>
        </w:rPr>
        <w:t xml:space="preserve">promoters </w:t>
      </w:r>
      <w:r w:rsidR="00A2253E">
        <w:rPr>
          <w:sz w:val="24"/>
          <w:szCs w:val="24"/>
        </w:rPr>
        <w:t xml:space="preserve">focusing </w:t>
      </w:r>
      <w:r>
        <w:rPr>
          <w:sz w:val="24"/>
          <w:szCs w:val="24"/>
        </w:rPr>
        <w:t>their efforts on either image building or investment</w:t>
      </w:r>
      <w:r>
        <w:rPr>
          <w:spacing w:val="-19"/>
          <w:sz w:val="24"/>
          <w:szCs w:val="24"/>
        </w:rPr>
        <w:t xml:space="preserve"> </w:t>
      </w:r>
      <w:r>
        <w:rPr>
          <w:sz w:val="24"/>
          <w:szCs w:val="24"/>
        </w:rPr>
        <w:t>generation</w:t>
      </w:r>
      <w:r w:rsidR="00A2253E">
        <w:rPr>
          <w:sz w:val="24"/>
          <w:szCs w:val="24"/>
        </w:rPr>
        <w:t xml:space="preserve"> (World Bank, 2017)</w:t>
      </w:r>
      <w:r>
        <w:rPr>
          <w:sz w:val="24"/>
          <w:szCs w:val="24"/>
        </w:rPr>
        <w:t>.</w:t>
      </w:r>
    </w:p>
    <w:p w14:paraId="13E52433" w14:textId="77777777" w:rsidR="005E6520" w:rsidRDefault="005E6520" w:rsidP="005E6520">
      <w:pPr>
        <w:pStyle w:val="BodyText"/>
        <w:kinsoku w:val="0"/>
        <w:overflowPunct w:val="0"/>
        <w:spacing w:line="480" w:lineRule="auto"/>
        <w:ind w:left="0"/>
        <w:rPr>
          <w:sz w:val="24"/>
          <w:szCs w:val="24"/>
        </w:rPr>
      </w:pPr>
    </w:p>
    <w:p w14:paraId="58AA87BA" w14:textId="77777777" w:rsidR="005E6520" w:rsidRDefault="00C36DCE" w:rsidP="005E6520">
      <w:pPr>
        <w:pStyle w:val="BodyText"/>
        <w:kinsoku w:val="0"/>
        <w:overflowPunct w:val="0"/>
        <w:spacing w:line="480" w:lineRule="auto"/>
        <w:ind w:left="0"/>
        <w:rPr>
          <w:i/>
          <w:iCs/>
          <w:sz w:val="24"/>
          <w:szCs w:val="24"/>
        </w:rPr>
      </w:pPr>
      <w:r>
        <w:rPr>
          <w:i/>
          <w:iCs/>
          <w:sz w:val="24"/>
          <w:szCs w:val="24"/>
        </w:rPr>
        <w:t>Criteria for E</w:t>
      </w:r>
      <w:r w:rsidRPr="00C36DCE">
        <w:rPr>
          <w:i/>
          <w:iCs/>
          <w:sz w:val="24"/>
          <w:szCs w:val="24"/>
        </w:rPr>
        <w:t xml:space="preserve">ffective </w:t>
      </w:r>
      <w:r w:rsidR="005E6520">
        <w:rPr>
          <w:i/>
          <w:iCs/>
          <w:sz w:val="24"/>
          <w:szCs w:val="24"/>
        </w:rPr>
        <w:t>Investment</w:t>
      </w:r>
      <w:r w:rsidR="005E6520">
        <w:rPr>
          <w:i/>
          <w:iCs/>
          <w:spacing w:val="-9"/>
          <w:sz w:val="24"/>
          <w:szCs w:val="24"/>
        </w:rPr>
        <w:t xml:space="preserve"> </w:t>
      </w:r>
      <w:r w:rsidR="005E6520">
        <w:rPr>
          <w:i/>
          <w:iCs/>
          <w:sz w:val="24"/>
          <w:szCs w:val="24"/>
        </w:rPr>
        <w:t>Promotion</w:t>
      </w:r>
    </w:p>
    <w:p w14:paraId="2125C430" w14:textId="54F51085" w:rsidR="005E6520" w:rsidRDefault="005E6520" w:rsidP="005E6520">
      <w:pPr>
        <w:pStyle w:val="BodyText"/>
        <w:kinsoku w:val="0"/>
        <w:overflowPunct w:val="0"/>
        <w:spacing w:line="480" w:lineRule="auto"/>
        <w:ind w:left="0"/>
        <w:rPr>
          <w:sz w:val="24"/>
          <w:szCs w:val="24"/>
        </w:rPr>
      </w:pPr>
      <w:r>
        <w:rPr>
          <w:sz w:val="24"/>
          <w:szCs w:val="24"/>
        </w:rPr>
        <w:t xml:space="preserve">Reviewing practices of cities and regions in Western Europe, Canada and America, Ward (1998, p.208) observed </w:t>
      </w:r>
      <w:r w:rsidR="00395FA6">
        <w:rPr>
          <w:sz w:val="24"/>
          <w:szCs w:val="24"/>
        </w:rPr>
        <w:t xml:space="preserve">that </w:t>
      </w:r>
      <w:r>
        <w:rPr>
          <w:sz w:val="24"/>
          <w:szCs w:val="24"/>
        </w:rPr>
        <w:t>‘</w:t>
      </w:r>
      <w:r w:rsidR="00395FA6">
        <w:rPr>
          <w:i/>
          <w:iCs/>
          <w:sz w:val="24"/>
          <w:szCs w:val="24"/>
        </w:rPr>
        <w:t>T</w:t>
      </w:r>
      <w:r>
        <w:rPr>
          <w:i/>
          <w:iCs/>
          <w:sz w:val="24"/>
          <w:szCs w:val="24"/>
        </w:rPr>
        <w:t>he most popular approach in city marketing simply reflects what appear to have</w:t>
      </w:r>
      <w:r>
        <w:rPr>
          <w:i/>
          <w:iCs/>
          <w:spacing w:val="-18"/>
          <w:sz w:val="24"/>
          <w:szCs w:val="24"/>
        </w:rPr>
        <w:t xml:space="preserve"> </w:t>
      </w:r>
      <w:r>
        <w:rPr>
          <w:i/>
          <w:iCs/>
          <w:sz w:val="24"/>
          <w:szCs w:val="24"/>
        </w:rPr>
        <w:t xml:space="preserve">worked somewhere else.’ </w:t>
      </w:r>
      <w:r>
        <w:rPr>
          <w:sz w:val="24"/>
          <w:szCs w:val="24"/>
        </w:rPr>
        <w:t>Other authors (e.g.</w:t>
      </w:r>
      <w:r w:rsidR="00CD09E7">
        <w:rPr>
          <w:sz w:val="24"/>
          <w:szCs w:val="24"/>
        </w:rPr>
        <w:t xml:space="preserve"> Quelch and Jocz, 2005, OECD 2018</w:t>
      </w:r>
      <w:r>
        <w:rPr>
          <w:sz w:val="24"/>
          <w:szCs w:val="24"/>
        </w:rPr>
        <w:t>) discuss a range of</w:t>
      </w:r>
      <w:r>
        <w:rPr>
          <w:spacing w:val="-25"/>
          <w:sz w:val="24"/>
          <w:szCs w:val="24"/>
        </w:rPr>
        <w:t xml:space="preserve"> </w:t>
      </w:r>
      <w:r>
        <w:rPr>
          <w:sz w:val="24"/>
          <w:szCs w:val="24"/>
        </w:rPr>
        <w:t xml:space="preserve">success factors, i.e. </w:t>
      </w:r>
      <w:r w:rsidR="00C36DCE">
        <w:rPr>
          <w:sz w:val="24"/>
          <w:szCs w:val="24"/>
        </w:rPr>
        <w:t xml:space="preserve">criteria </w:t>
      </w:r>
      <w:r w:rsidR="00702571">
        <w:rPr>
          <w:sz w:val="24"/>
          <w:szCs w:val="24"/>
        </w:rPr>
        <w:t xml:space="preserve">expected to </w:t>
      </w:r>
      <w:r>
        <w:rPr>
          <w:sz w:val="24"/>
          <w:szCs w:val="24"/>
        </w:rPr>
        <w:t xml:space="preserve">lead to a successful outcome of the promotional (marketing, branding) effort. </w:t>
      </w:r>
      <w:r w:rsidR="00FB4112">
        <w:rPr>
          <w:sz w:val="24"/>
          <w:szCs w:val="24"/>
        </w:rPr>
        <w:t xml:space="preserve">These principles are also relevant in investment promotion, a fact usually omitted in </w:t>
      </w:r>
      <w:r w:rsidR="00C36DCE">
        <w:rPr>
          <w:sz w:val="24"/>
          <w:szCs w:val="24"/>
        </w:rPr>
        <w:t xml:space="preserve">the </w:t>
      </w:r>
      <w:r w:rsidR="00FB4112">
        <w:rPr>
          <w:sz w:val="24"/>
          <w:szCs w:val="24"/>
        </w:rPr>
        <w:t xml:space="preserve">literature. </w:t>
      </w:r>
      <w:r w:rsidR="00702571">
        <w:rPr>
          <w:sz w:val="24"/>
          <w:szCs w:val="24"/>
        </w:rPr>
        <w:t xml:space="preserve">However, </w:t>
      </w:r>
      <w:r>
        <w:rPr>
          <w:sz w:val="24"/>
          <w:szCs w:val="24"/>
        </w:rPr>
        <w:t xml:space="preserve">current </w:t>
      </w:r>
      <w:r w:rsidR="00FB4112">
        <w:rPr>
          <w:sz w:val="24"/>
          <w:szCs w:val="24"/>
        </w:rPr>
        <w:t>studies</w:t>
      </w:r>
      <w:r>
        <w:rPr>
          <w:sz w:val="24"/>
          <w:szCs w:val="24"/>
        </w:rPr>
        <w:t xml:space="preserve"> fall short of providing a recipe for</w:t>
      </w:r>
      <w:r w:rsidR="0064169D">
        <w:rPr>
          <w:sz w:val="24"/>
          <w:szCs w:val="24"/>
        </w:rPr>
        <w:t xml:space="preserve"> </w:t>
      </w:r>
      <w:r>
        <w:rPr>
          <w:sz w:val="24"/>
          <w:szCs w:val="24"/>
        </w:rPr>
        <w:t xml:space="preserve">success in </w:t>
      </w:r>
      <w:r>
        <w:rPr>
          <w:spacing w:val="-31"/>
          <w:sz w:val="24"/>
          <w:szCs w:val="24"/>
        </w:rPr>
        <w:t xml:space="preserve"> </w:t>
      </w:r>
      <w:r>
        <w:rPr>
          <w:sz w:val="24"/>
          <w:szCs w:val="24"/>
        </w:rPr>
        <w:t>general place promotion,</w:t>
      </w:r>
      <w:r w:rsidR="0064169D">
        <w:rPr>
          <w:sz w:val="24"/>
          <w:szCs w:val="24"/>
        </w:rPr>
        <w:t xml:space="preserve"> marketing and branding,</w:t>
      </w:r>
      <w:r>
        <w:rPr>
          <w:sz w:val="24"/>
          <w:szCs w:val="24"/>
        </w:rPr>
        <w:t xml:space="preserve"> and promotional activities aimed at investment attraction alike.  One reason for</w:t>
      </w:r>
      <w:r>
        <w:rPr>
          <w:spacing w:val="-24"/>
          <w:sz w:val="24"/>
          <w:szCs w:val="24"/>
        </w:rPr>
        <w:t xml:space="preserve"> </w:t>
      </w:r>
      <w:r>
        <w:rPr>
          <w:sz w:val="24"/>
          <w:szCs w:val="24"/>
        </w:rPr>
        <w:t>this is the persistent lack of universally defined measures of effectiveness of promotion, and</w:t>
      </w:r>
      <w:r>
        <w:rPr>
          <w:spacing w:val="-23"/>
          <w:sz w:val="24"/>
          <w:szCs w:val="24"/>
        </w:rPr>
        <w:t xml:space="preserve"> </w:t>
      </w:r>
      <w:r>
        <w:rPr>
          <w:sz w:val="24"/>
          <w:szCs w:val="24"/>
        </w:rPr>
        <w:t>resulting from it, a subjective approach to success evalu</w:t>
      </w:r>
      <w:r w:rsidR="00DB2C0E">
        <w:rPr>
          <w:sz w:val="24"/>
          <w:szCs w:val="24"/>
        </w:rPr>
        <w:t>ation based on promotional</w:t>
      </w:r>
      <w:r w:rsidR="00DB2C0E">
        <w:rPr>
          <w:spacing w:val="-28"/>
          <w:sz w:val="24"/>
          <w:szCs w:val="24"/>
        </w:rPr>
        <w:t xml:space="preserve"> </w:t>
      </w:r>
      <w:r w:rsidR="00DB2C0E">
        <w:rPr>
          <w:sz w:val="24"/>
          <w:szCs w:val="24"/>
        </w:rPr>
        <w:t>goals set earlier</w:t>
      </w:r>
      <w:r>
        <w:rPr>
          <w:sz w:val="24"/>
          <w:szCs w:val="24"/>
        </w:rPr>
        <w:t xml:space="preserve">. </w:t>
      </w:r>
      <w:r w:rsidR="00702571">
        <w:rPr>
          <w:sz w:val="24"/>
          <w:szCs w:val="24"/>
        </w:rPr>
        <w:t>Nevertheless</w:t>
      </w:r>
      <w:r>
        <w:rPr>
          <w:sz w:val="24"/>
          <w:szCs w:val="24"/>
        </w:rPr>
        <w:t>, based on wider approaches within place marketing</w:t>
      </w:r>
      <w:r w:rsidR="00480E02">
        <w:rPr>
          <w:sz w:val="24"/>
          <w:szCs w:val="24"/>
        </w:rPr>
        <w:t>, branding</w:t>
      </w:r>
      <w:r>
        <w:rPr>
          <w:sz w:val="24"/>
          <w:szCs w:val="24"/>
        </w:rPr>
        <w:t xml:space="preserve"> and regional development</w:t>
      </w:r>
      <w:r>
        <w:rPr>
          <w:spacing w:val="-21"/>
          <w:sz w:val="24"/>
          <w:szCs w:val="24"/>
        </w:rPr>
        <w:t xml:space="preserve"> </w:t>
      </w:r>
      <w:r>
        <w:rPr>
          <w:sz w:val="24"/>
          <w:szCs w:val="24"/>
        </w:rPr>
        <w:t>governance</w:t>
      </w:r>
      <w:r w:rsidR="00E52F07">
        <w:rPr>
          <w:sz w:val="24"/>
          <w:szCs w:val="24"/>
        </w:rPr>
        <w:t>,</w:t>
      </w:r>
      <w:r>
        <w:rPr>
          <w:sz w:val="24"/>
          <w:szCs w:val="24"/>
        </w:rPr>
        <w:t xml:space="preserve"> several ‘good practice’ </w:t>
      </w:r>
      <w:r w:rsidR="00C36DCE">
        <w:rPr>
          <w:sz w:val="24"/>
          <w:szCs w:val="24"/>
        </w:rPr>
        <w:t xml:space="preserve">criteria </w:t>
      </w:r>
      <w:r>
        <w:rPr>
          <w:sz w:val="24"/>
          <w:szCs w:val="24"/>
        </w:rPr>
        <w:t>can be identified</w:t>
      </w:r>
      <w:r w:rsidR="00E52F07">
        <w:rPr>
          <w:sz w:val="24"/>
          <w:szCs w:val="24"/>
        </w:rPr>
        <w:t>,</w:t>
      </w:r>
      <w:r>
        <w:rPr>
          <w:sz w:val="24"/>
          <w:szCs w:val="24"/>
        </w:rPr>
        <w:t xml:space="preserve"> which contribute to more</w:t>
      </w:r>
      <w:r>
        <w:rPr>
          <w:spacing w:val="-14"/>
          <w:sz w:val="24"/>
          <w:szCs w:val="24"/>
        </w:rPr>
        <w:t xml:space="preserve"> </w:t>
      </w:r>
      <w:r w:rsidR="00DB2C0E">
        <w:rPr>
          <w:sz w:val="24"/>
          <w:szCs w:val="24"/>
        </w:rPr>
        <w:t xml:space="preserve">coherent and </w:t>
      </w:r>
      <w:r>
        <w:rPr>
          <w:sz w:val="24"/>
          <w:szCs w:val="24"/>
        </w:rPr>
        <w:t>comprehensive</w:t>
      </w:r>
      <w:r w:rsidR="00DB2C0E">
        <w:rPr>
          <w:sz w:val="24"/>
          <w:szCs w:val="24"/>
        </w:rPr>
        <w:t xml:space="preserve"> </w:t>
      </w:r>
      <w:r>
        <w:rPr>
          <w:sz w:val="24"/>
          <w:szCs w:val="24"/>
        </w:rPr>
        <w:t>investment promotion, and thus should be included</w:t>
      </w:r>
      <w:r>
        <w:rPr>
          <w:spacing w:val="-17"/>
          <w:sz w:val="24"/>
          <w:szCs w:val="24"/>
        </w:rPr>
        <w:t xml:space="preserve"> </w:t>
      </w:r>
      <w:r>
        <w:rPr>
          <w:sz w:val="24"/>
          <w:szCs w:val="24"/>
        </w:rPr>
        <w:t xml:space="preserve">in promotional efforts of regions striving to </w:t>
      </w:r>
      <w:r w:rsidR="00DB2C0E">
        <w:rPr>
          <w:sz w:val="24"/>
          <w:szCs w:val="24"/>
        </w:rPr>
        <w:t xml:space="preserve">attract </w:t>
      </w:r>
      <w:r>
        <w:rPr>
          <w:sz w:val="24"/>
          <w:szCs w:val="24"/>
        </w:rPr>
        <w:t>FDI inflows. Two categories of such elements can</w:t>
      </w:r>
      <w:r>
        <w:rPr>
          <w:spacing w:val="-32"/>
          <w:sz w:val="24"/>
          <w:szCs w:val="24"/>
        </w:rPr>
        <w:t xml:space="preserve"> </w:t>
      </w:r>
      <w:r>
        <w:rPr>
          <w:sz w:val="24"/>
          <w:szCs w:val="24"/>
        </w:rPr>
        <w:t>be disti</w:t>
      </w:r>
      <w:r w:rsidR="00033642">
        <w:rPr>
          <w:sz w:val="24"/>
          <w:szCs w:val="24"/>
        </w:rPr>
        <w:t>nguished – those linked with 1)</w:t>
      </w:r>
      <w:r>
        <w:rPr>
          <w:sz w:val="24"/>
          <w:szCs w:val="24"/>
        </w:rPr>
        <w:t xml:space="preserve"> organisation </w:t>
      </w:r>
      <w:r w:rsidR="00033642">
        <w:rPr>
          <w:sz w:val="24"/>
          <w:szCs w:val="24"/>
        </w:rPr>
        <w:t xml:space="preserve">and 2) implementation </w:t>
      </w:r>
      <w:r>
        <w:rPr>
          <w:sz w:val="24"/>
          <w:szCs w:val="24"/>
        </w:rPr>
        <w:t>of promotion (Table 2). The former type is anchored in regional science and governance</w:t>
      </w:r>
      <w:r w:rsidR="0064169D">
        <w:rPr>
          <w:sz w:val="24"/>
          <w:szCs w:val="24"/>
        </w:rPr>
        <w:t xml:space="preserve"> literature</w:t>
      </w:r>
      <w:r>
        <w:rPr>
          <w:sz w:val="24"/>
          <w:szCs w:val="24"/>
        </w:rPr>
        <w:t>, while</w:t>
      </w:r>
      <w:r>
        <w:rPr>
          <w:spacing w:val="-25"/>
          <w:sz w:val="24"/>
          <w:szCs w:val="24"/>
        </w:rPr>
        <w:t xml:space="preserve"> </w:t>
      </w:r>
      <w:r>
        <w:rPr>
          <w:sz w:val="24"/>
          <w:szCs w:val="24"/>
        </w:rPr>
        <w:t>the latter associated with marketin</w:t>
      </w:r>
      <w:r w:rsidR="00480E02">
        <w:rPr>
          <w:sz w:val="24"/>
          <w:szCs w:val="24"/>
        </w:rPr>
        <w:t>g and branding principles</w:t>
      </w:r>
      <w:r>
        <w:rPr>
          <w:sz w:val="24"/>
          <w:szCs w:val="24"/>
        </w:rPr>
        <w:t>.</w:t>
      </w:r>
    </w:p>
    <w:p w14:paraId="40E42234" w14:textId="172B745B" w:rsidR="005E6520" w:rsidRDefault="005E6520" w:rsidP="005E6520">
      <w:pPr>
        <w:pStyle w:val="BodyText"/>
        <w:kinsoku w:val="0"/>
        <w:overflowPunct w:val="0"/>
        <w:spacing w:before="9" w:line="480" w:lineRule="auto"/>
        <w:ind w:left="0"/>
        <w:rPr>
          <w:sz w:val="24"/>
          <w:szCs w:val="24"/>
        </w:rPr>
      </w:pPr>
      <w:r>
        <w:rPr>
          <w:sz w:val="24"/>
          <w:szCs w:val="24"/>
        </w:rPr>
        <w:lastRenderedPageBreak/>
        <w:tab/>
        <w:t>On an organisational level</w:t>
      </w:r>
      <w:r w:rsidR="00E52F07">
        <w:rPr>
          <w:sz w:val="24"/>
          <w:szCs w:val="24"/>
        </w:rPr>
        <w:t>,</w:t>
      </w:r>
      <w:r>
        <w:rPr>
          <w:sz w:val="24"/>
          <w:szCs w:val="24"/>
        </w:rPr>
        <w:t xml:space="preserve"> the cooperation of a wide gro</w:t>
      </w:r>
      <w:r w:rsidR="00033642">
        <w:rPr>
          <w:sz w:val="24"/>
          <w:szCs w:val="24"/>
        </w:rPr>
        <w:t xml:space="preserve">up </w:t>
      </w:r>
      <w:r w:rsidR="00033642">
        <w:rPr>
          <w:sz w:val="24"/>
          <w:szCs w:val="24"/>
        </w:rPr>
        <w:t xml:space="preserve">of </w:t>
      </w:r>
      <w:r w:rsidR="00E52F07">
        <w:rPr>
          <w:sz w:val="24"/>
          <w:szCs w:val="24"/>
        </w:rPr>
        <w:t xml:space="preserve">regional </w:t>
      </w:r>
      <w:r w:rsidR="00033642">
        <w:rPr>
          <w:sz w:val="24"/>
          <w:szCs w:val="24"/>
        </w:rPr>
        <w:t xml:space="preserve">stakeholders, </w:t>
      </w:r>
      <w:r>
        <w:rPr>
          <w:sz w:val="24"/>
          <w:szCs w:val="24"/>
        </w:rPr>
        <w:t>or</w:t>
      </w:r>
      <w:r w:rsidR="009C02B0">
        <w:rPr>
          <w:sz w:val="24"/>
          <w:szCs w:val="24"/>
        </w:rPr>
        <w:t>ganising capacity, and quality and dedication o</w:t>
      </w:r>
      <w:r>
        <w:rPr>
          <w:sz w:val="24"/>
          <w:szCs w:val="24"/>
        </w:rPr>
        <w:t>f leadership</w:t>
      </w:r>
      <w:r w:rsidR="009C02B0">
        <w:rPr>
          <w:sz w:val="24"/>
          <w:szCs w:val="24"/>
        </w:rPr>
        <w:t xml:space="preserve"> are</w:t>
      </w:r>
      <w:r>
        <w:rPr>
          <w:sz w:val="24"/>
          <w:szCs w:val="24"/>
        </w:rPr>
        <w:t xml:space="preserve"> considered </w:t>
      </w:r>
      <w:r w:rsidR="00030A55">
        <w:rPr>
          <w:sz w:val="24"/>
          <w:szCs w:val="24"/>
        </w:rPr>
        <w:t xml:space="preserve">pivotal </w:t>
      </w:r>
      <w:r>
        <w:rPr>
          <w:sz w:val="24"/>
          <w:szCs w:val="24"/>
        </w:rPr>
        <w:t>in</w:t>
      </w:r>
      <w:r>
        <w:rPr>
          <w:spacing w:val="-21"/>
          <w:sz w:val="24"/>
          <w:szCs w:val="24"/>
        </w:rPr>
        <w:t xml:space="preserve"> </w:t>
      </w:r>
      <w:r>
        <w:rPr>
          <w:sz w:val="24"/>
          <w:szCs w:val="24"/>
        </w:rPr>
        <w:t>regional promotion (</w:t>
      </w:r>
      <w:r w:rsidRPr="007B1C6D">
        <w:rPr>
          <w:sz w:val="24"/>
          <w:szCs w:val="24"/>
        </w:rPr>
        <w:t>Tewdwr-Jones</w:t>
      </w:r>
      <w:r w:rsidR="00461E3A">
        <w:rPr>
          <w:sz w:val="24"/>
          <w:szCs w:val="24"/>
        </w:rPr>
        <w:t xml:space="preserve"> and Phelps, 2000;</w:t>
      </w:r>
      <w:r>
        <w:rPr>
          <w:sz w:val="24"/>
          <w:szCs w:val="24"/>
        </w:rPr>
        <w:t xml:space="preserve"> Fuller </w:t>
      </w:r>
      <w:r>
        <w:rPr>
          <w:i/>
          <w:sz w:val="24"/>
          <w:szCs w:val="24"/>
        </w:rPr>
        <w:t>et al.,</w:t>
      </w:r>
      <w:r w:rsidR="00461E3A">
        <w:rPr>
          <w:sz w:val="24"/>
          <w:szCs w:val="24"/>
        </w:rPr>
        <w:t xml:space="preserve"> 2003;</w:t>
      </w:r>
      <w:r>
        <w:rPr>
          <w:sz w:val="24"/>
          <w:szCs w:val="24"/>
        </w:rPr>
        <w:t xml:space="preserve"> Sellar and Pástor, 2015). Effective place promotion depends on stakeholders </w:t>
      </w:r>
      <w:r w:rsidR="007B1C6D">
        <w:rPr>
          <w:sz w:val="24"/>
          <w:szCs w:val="24"/>
        </w:rPr>
        <w:t xml:space="preserve">sharing vision </w:t>
      </w:r>
      <w:r>
        <w:rPr>
          <w:sz w:val="24"/>
          <w:szCs w:val="24"/>
        </w:rPr>
        <w:t>and rallying around</w:t>
      </w:r>
      <w:r>
        <w:rPr>
          <w:spacing w:val="-25"/>
          <w:sz w:val="24"/>
          <w:szCs w:val="24"/>
        </w:rPr>
        <w:t xml:space="preserve"> </w:t>
      </w:r>
      <w:r>
        <w:rPr>
          <w:sz w:val="24"/>
          <w:szCs w:val="24"/>
        </w:rPr>
        <w:t>the chosen strategy (</w:t>
      </w:r>
      <w:r w:rsidR="004512EC" w:rsidRPr="004E013B">
        <w:rPr>
          <w:sz w:val="24"/>
          <w:szCs w:val="24"/>
        </w:rPr>
        <w:t>Wæraas, 2015</w:t>
      </w:r>
      <w:r>
        <w:rPr>
          <w:sz w:val="24"/>
          <w:szCs w:val="24"/>
        </w:rPr>
        <w:t xml:space="preserve">). </w:t>
      </w:r>
      <w:r w:rsidR="00A90B82" w:rsidRPr="00A90B82">
        <w:rPr>
          <w:sz w:val="24"/>
          <w:szCs w:val="24"/>
        </w:rPr>
        <w:t>Equally, regional development</w:t>
      </w:r>
      <w:r w:rsidR="004512EC">
        <w:rPr>
          <w:sz w:val="24"/>
          <w:szCs w:val="24"/>
        </w:rPr>
        <w:t xml:space="preserve"> and public management</w:t>
      </w:r>
      <w:r w:rsidR="00A90B82" w:rsidRPr="00A90B82">
        <w:rPr>
          <w:sz w:val="24"/>
          <w:szCs w:val="24"/>
        </w:rPr>
        <w:t xml:space="preserve"> literature</w:t>
      </w:r>
      <w:r w:rsidR="00A90B82" w:rsidRPr="00A90B82">
        <w:rPr>
          <w:spacing w:val="-30"/>
          <w:sz w:val="24"/>
          <w:szCs w:val="24"/>
        </w:rPr>
        <w:t xml:space="preserve"> </w:t>
      </w:r>
      <w:r w:rsidR="00A90B82" w:rsidRPr="00A90B82">
        <w:rPr>
          <w:sz w:val="24"/>
          <w:szCs w:val="24"/>
        </w:rPr>
        <w:t xml:space="preserve">stresses the interactive nature of </w:t>
      </w:r>
      <w:r w:rsidR="000D6D1C">
        <w:rPr>
          <w:sz w:val="24"/>
          <w:szCs w:val="24"/>
        </w:rPr>
        <w:t xml:space="preserve">regional </w:t>
      </w:r>
      <w:r w:rsidR="00A90B82" w:rsidRPr="00A90B82">
        <w:rPr>
          <w:sz w:val="24"/>
          <w:szCs w:val="24"/>
        </w:rPr>
        <w:t>governance and demonstrates public administration</w:t>
      </w:r>
      <w:r w:rsidR="00A90B82" w:rsidRPr="00A90B82">
        <w:rPr>
          <w:spacing w:val="-21"/>
          <w:sz w:val="24"/>
          <w:szCs w:val="24"/>
        </w:rPr>
        <w:t xml:space="preserve"> </w:t>
      </w:r>
      <w:r w:rsidR="00A90B82" w:rsidRPr="00A90B82">
        <w:rPr>
          <w:sz w:val="24"/>
          <w:szCs w:val="24"/>
        </w:rPr>
        <w:t>dependence on other stakeholders of the developmental processes (e.g. businesses, civic organisations) and how these tend to be</w:t>
      </w:r>
      <w:r w:rsidR="00A90B82" w:rsidRPr="00A90B82">
        <w:rPr>
          <w:spacing w:val="-18"/>
          <w:sz w:val="24"/>
          <w:szCs w:val="24"/>
        </w:rPr>
        <w:t xml:space="preserve"> </w:t>
      </w:r>
      <w:r w:rsidR="00A90B82" w:rsidRPr="00A90B82">
        <w:rPr>
          <w:sz w:val="24"/>
          <w:szCs w:val="24"/>
        </w:rPr>
        <w:t xml:space="preserve">more successful when a broad set of actors are involved </w:t>
      </w:r>
      <w:r>
        <w:rPr>
          <w:sz w:val="24"/>
          <w:szCs w:val="24"/>
        </w:rPr>
        <w:t xml:space="preserve">(Klijn </w:t>
      </w:r>
      <w:r>
        <w:rPr>
          <w:i/>
          <w:sz w:val="24"/>
          <w:szCs w:val="24"/>
        </w:rPr>
        <w:t>et al.,</w:t>
      </w:r>
      <w:r>
        <w:rPr>
          <w:spacing w:val="-25"/>
          <w:sz w:val="24"/>
          <w:szCs w:val="24"/>
        </w:rPr>
        <w:t xml:space="preserve"> </w:t>
      </w:r>
      <w:r w:rsidR="00461E3A">
        <w:rPr>
          <w:sz w:val="24"/>
          <w:szCs w:val="24"/>
        </w:rPr>
        <w:t>2012;</w:t>
      </w:r>
      <w:r>
        <w:rPr>
          <w:sz w:val="24"/>
          <w:szCs w:val="24"/>
        </w:rPr>
        <w:t xml:space="preserve"> Almond </w:t>
      </w:r>
      <w:r>
        <w:rPr>
          <w:i/>
          <w:sz w:val="24"/>
          <w:szCs w:val="24"/>
        </w:rPr>
        <w:t>et al.,</w:t>
      </w:r>
      <w:r w:rsidR="00461E3A">
        <w:rPr>
          <w:sz w:val="24"/>
          <w:szCs w:val="24"/>
        </w:rPr>
        <w:t xml:space="preserve"> 2015;</w:t>
      </w:r>
      <w:r>
        <w:rPr>
          <w:sz w:val="24"/>
          <w:szCs w:val="24"/>
        </w:rPr>
        <w:t xml:space="preserve"> Baccarani </w:t>
      </w:r>
      <w:r>
        <w:rPr>
          <w:i/>
          <w:sz w:val="24"/>
          <w:szCs w:val="24"/>
        </w:rPr>
        <w:t>et al.,</w:t>
      </w:r>
      <w:r>
        <w:rPr>
          <w:sz w:val="24"/>
          <w:szCs w:val="24"/>
        </w:rPr>
        <w:t xml:space="preserve"> 2019). The scale of the place impacts the complexity </w:t>
      </w:r>
      <w:r w:rsidR="00902008">
        <w:rPr>
          <w:sz w:val="24"/>
          <w:szCs w:val="24"/>
        </w:rPr>
        <w:t xml:space="preserve">and constellation </w:t>
      </w:r>
      <w:r>
        <w:rPr>
          <w:sz w:val="24"/>
          <w:szCs w:val="24"/>
        </w:rPr>
        <w:t>of the set</w:t>
      </w:r>
      <w:r w:rsidR="00902008">
        <w:rPr>
          <w:sz w:val="24"/>
          <w:szCs w:val="24"/>
        </w:rPr>
        <w:t xml:space="preserve"> (Quelch and Jocz, 2005</w:t>
      </w:r>
      <w:r>
        <w:rPr>
          <w:sz w:val="24"/>
          <w:szCs w:val="24"/>
        </w:rPr>
        <w:t>).</w:t>
      </w:r>
    </w:p>
    <w:p w14:paraId="0B010AA6" w14:textId="77777777" w:rsidR="005E6520" w:rsidRDefault="005E6520" w:rsidP="005E6520">
      <w:pPr>
        <w:pStyle w:val="BodyText"/>
        <w:kinsoku w:val="0"/>
        <w:overflowPunct w:val="0"/>
        <w:spacing w:line="480" w:lineRule="auto"/>
        <w:ind w:left="0"/>
        <w:rPr>
          <w:sz w:val="24"/>
          <w:szCs w:val="24"/>
        </w:rPr>
      </w:pPr>
    </w:p>
    <w:p w14:paraId="4202290B" w14:textId="77777777" w:rsidR="005E6520" w:rsidRDefault="005E6520" w:rsidP="005E6520">
      <w:pPr>
        <w:pStyle w:val="BodyText"/>
        <w:kinsoku w:val="0"/>
        <w:overflowPunct w:val="0"/>
        <w:spacing w:line="480" w:lineRule="auto"/>
        <w:ind w:left="0"/>
        <w:jc w:val="center"/>
        <w:rPr>
          <w:b/>
          <w:sz w:val="24"/>
          <w:szCs w:val="24"/>
        </w:rPr>
      </w:pPr>
      <w:r>
        <w:rPr>
          <w:b/>
          <w:sz w:val="24"/>
          <w:szCs w:val="24"/>
        </w:rPr>
        <w:t>Table 2 about here</w:t>
      </w:r>
    </w:p>
    <w:p w14:paraId="67ED6150" w14:textId="77777777" w:rsidR="005E6520" w:rsidRDefault="005E6520" w:rsidP="005E6520">
      <w:pPr>
        <w:pStyle w:val="BodyText"/>
        <w:kinsoku w:val="0"/>
        <w:overflowPunct w:val="0"/>
        <w:spacing w:before="10" w:line="480" w:lineRule="auto"/>
        <w:ind w:left="0"/>
        <w:rPr>
          <w:sz w:val="24"/>
          <w:szCs w:val="24"/>
        </w:rPr>
      </w:pPr>
    </w:p>
    <w:p w14:paraId="18BB1D7F" w14:textId="37E0148F" w:rsidR="005E6520" w:rsidRDefault="005E6520" w:rsidP="005E6520">
      <w:pPr>
        <w:pStyle w:val="BodyText"/>
        <w:kinsoku w:val="0"/>
        <w:overflowPunct w:val="0"/>
        <w:spacing w:before="52" w:line="480" w:lineRule="auto"/>
        <w:ind w:left="0"/>
        <w:rPr>
          <w:sz w:val="24"/>
          <w:szCs w:val="24"/>
        </w:rPr>
      </w:pPr>
      <w:r>
        <w:rPr>
          <w:sz w:val="24"/>
          <w:szCs w:val="24"/>
        </w:rPr>
        <w:tab/>
      </w:r>
      <w:r w:rsidR="000B5604">
        <w:rPr>
          <w:sz w:val="24"/>
          <w:szCs w:val="24"/>
        </w:rPr>
        <w:t>S</w:t>
      </w:r>
      <w:r>
        <w:rPr>
          <w:sz w:val="24"/>
          <w:szCs w:val="24"/>
        </w:rPr>
        <w:t>ome authors argue that a regional promotional programme needs to be more than the</w:t>
      </w:r>
      <w:r>
        <w:rPr>
          <w:spacing w:val="-31"/>
          <w:sz w:val="24"/>
          <w:szCs w:val="24"/>
        </w:rPr>
        <w:t xml:space="preserve"> </w:t>
      </w:r>
      <w:r>
        <w:rPr>
          <w:sz w:val="24"/>
          <w:szCs w:val="24"/>
        </w:rPr>
        <w:t>sum of its parts. In ensuring that, a strong cooperation between participating agents</w:t>
      </w:r>
      <w:r>
        <w:rPr>
          <w:spacing w:val="-22"/>
          <w:sz w:val="24"/>
          <w:szCs w:val="24"/>
        </w:rPr>
        <w:t xml:space="preserve"> </w:t>
      </w:r>
      <w:r>
        <w:rPr>
          <w:sz w:val="24"/>
          <w:szCs w:val="24"/>
        </w:rPr>
        <w:t xml:space="preserve">becomes compulsory (Florek, 2005, Monaghan </w:t>
      </w:r>
      <w:r>
        <w:rPr>
          <w:i/>
          <w:sz w:val="24"/>
          <w:szCs w:val="24"/>
        </w:rPr>
        <w:t>et al.,</w:t>
      </w:r>
      <w:r w:rsidR="00EF6B50">
        <w:rPr>
          <w:sz w:val="24"/>
          <w:szCs w:val="24"/>
        </w:rPr>
        <w:t xml:space="preserve"> 2014</w:t>
      </w:r>
      <w:r>
        <w:rPr>
          <w:sz w:val="24"/>
          <w:szCs w:val="24"/>
        </w:rPr>
        <w:t>)</w:t>
      </w:r>
      <w:r w:rsidR="00FB4112">
        <w:rPr>
          <w:sz w:val="24"/>
          <w:szCs w:val="24"/>
        </w:rPr>
        <w:t xml:space="preserve"> and adds to the democratic legitimacy of actions (</w:t>
      </w:r>
      <w:r w:rsidR="00FB4112" w:rsidRPr="00FB4112">
        <w:rPr>
          <w:sz w:val="24"/>
          <w:szCs w:val="24"/>
        </w:rPr>
        <w:t>Wæraas</w:t>
      </w:r>
      <w:r w:rsidR="00FB4112">
        <w:rPr>
          <w:sz w:val="24"/>
          <w:szCs w:val="24"/>
        </w:rPr>
        <w:t xml:space="preserve"> </w:t>
      </w:r>
      <w:r w:rsidR="00FB4112">
        <w:rPr>
          <w:i/>
          <w:sz w:val="24"/>
          <w:szCs w:val="24"/>
        </w:rPr>
        <w:t>et al</w:t>
      </w:r>
      <w:r w:rsidR="00FB4112">
        <w:rPr>
          <w:sz w:val="24"/>
          <w:szCs w:val="24"/>
        </w:rPr>
        <w:t>., 2015)</w:t>
      </w:r>
      <w:r w:rsidR="009C02B0">
        <w:rPr>
          <w:sz w:val="24"/>
          <w:szCs w:val="24"/>
        </w:rPr>
        <w:t>.</w:t>
      </w:r>
      <w:r>
        <w:rPr>
          <w:sz w:val="24"/>
          <w:szCs w:val="24"/>
        </w:rPr>
        <w:t xml:space="preserve"> </w:t>
      </w:r>
      <w:r w:rsidR="009C02B0">
        <w:rPr>
          <w:sz w:val="24"/>
          <w:szCs w:val="24"/>
        </w:rPr>
        <w:t>I</w:t>
      </w:r>
      <w:r>
        <w:rPr>
          <w:sz w:val="24"/>
          <w:szCs w:val="24"/>
        </w:rPr>
        <w:t xml:space="preserve">nvestment </w:t>
      </w:r>
      <w:r w:rsidR="00E52F07">
        <w:rPr>
          <w:sz w:val="24"/>
          <w:szCs w:val="24"/>
        </w:rPr>
        <w:t xml:space="preserve">agencies </w:t>
      </w:r>
      <w:r>
        <w:rPr>
          <w:sz w:val="24"/>
          <w:szCs w:val="24"/>
        </w:rPr>
        <w:t>need to work with</w:t>
      </w:r>
      <w:r>
        <w:rPr>
          <w:spacing w:val="-27"/>
          <w:sz w:val="24"/>
          <w:szCs w:val="24"/>
        </w:rPr>
        <w:t xml:space="preserve"> </w:t>
      </w:r>
      <w:r>
        <w:rPr>
          <w:sz w:val="24"/>
          <w:szCs w:val="24"/>
        </w:rPr>
        <w:t xml:space="preserve">export promoting organisations and the chamber of commerce, tourist </w:t>
      </w:r>
      <w:r>
        <w:rPr>
          <w:sz w:val="24"/>
          <w:szCs w:val="24"/>
        </w:rPr>
        <w:t>board</w:t>
      </w:r>
      <w:r w:rsidR="00E52F07">
        <w:rPr>
          <w:sz w:val="24"/>
          <w:szCs w:val="24"/>
        </w:rPr>
        <w:t>s</w:t>
      </w:r>
      <w:r>
        <w:rPr>
          <w:sz w:val="24"/>
          <w:szCs w:val="24"/>
        </w:rPr>
        <w:t xml:space="preserve"> with </w:t>
      </w:r>
      <w:r w:rsidR="00FA41EE">
        <w:rPr>
          <w:sz w:val="24"/>
          <w:szCs w:val="24"/>
        </w:rPr>
        <w:t xml:space="preserve">the </w:t>
      </w:r>
      <w:r>
        <w:rPr>
          <w:sz w:val="24"/>
          <w:szCs w:val="24"/>
        </w:rPr>
        <w:t>national airline</w:t>
      </w:r>
      <w:r w:rsidR="00FA41EE">
        <w:rPr>
          <w:sz w:val="24"/>
          <w:szCs w:val="24"/>
        </w:rPr>
        <w:t>,</w:t>
      </w:r>
      <w:r>
        <w:rPr>
          <w:sz w:val="24"/>
          <w:szCs w:val="24"/>
        </w:rPr>
        <w:t xml:space="preserve"> and regional promotional efforts should be coordinated </w:t>
      </w:r>
      <w:r w:rsidR="009C02B0">
        <w:rPr>
          <w:sz w:val="24"/>
          <w:szCs w:val="24"/>
        </w:rPr>
        <w:t xml:space="preserve">between </w:t>
      </w:r>
      <w:r>
        <w:rPr>
          <w:sz w:val="24"/>
          <w:szCs w:val="24"/>
        </w:rPr>
        <w:t>national and local levels (Quelch and Jocz,</w:t>
      </w:r>
      <w:r>
        <w:rPr>
          <w:spacing w:val="-27"/>
          <w:sz w:val="24"/>
          <w:szCs w:val="24"/>
        </w:rPr>
        <w:t xml:space="preserve"> </w:t>
      </w:r>
      <w:r>
        <w:rPr>
          <w:sz w:val="24"/>
          <w:szCs w:val="24"/>
        </w:rPr>
        <w:t>2005</w:t>
      </w:r>
      <w:r w:rsidR="00461E3A">
        <w:rPr>
          <w:sz w:val="24"/>
          <w:szCs w:val="24"/>
        </w:rPr>
        <w:t>;</w:t>
      </w:r>
      <w:r>
        <w:rPr>
          <w:sz w:val="24"/>
          <w:szCs w:val="24"/>
        </w:rPr>
        <w:t xml:space="preserve"> Young, 2005</w:t>
      </w:r>
      <w:r w:rsidR="00461E3A">
        <w:rPr>
          <w:sz w:val="24"/>
          <w:szCs w:val="24"/>
        </w:rPr>
        <w:t>;</w:t>
      </w:r>
      <w:r>
        <w:rPr>
          <w:sz w:val="24"/>
          <w:szCs w:val="24"/>
        </w:rPr>
        <w:t xml:space="preserve"> Sellar and Pástor</w:t>
      </w:r>
      <w:r w:rsidR="00461E3A">
        <w:rPr>
          <w:sz w:val="24"/>
          <w:szCs w:val="24"/>
        </w:rPr>
        <w:t>;</w:t>
      </w:r>
      <w:r>
        <w:rPr>
          <w:sz w:val="24"/>
          <w:szCs w:val="24"/>
        </w:rPr>
        <w:t xml:space="preserve"> 2015</w:t>
      </w:r>
      <w:r w:rsidR="00766790">
        <w:rPr>
          <w:sz w:val="24"/>
          <w:szCs w:val="24"/>
        </w:rPr>
        <w:t>, Capik 2019</w:t>
      </w:r>
      <w:r>
        <w:rPr>
          <w:sz w:val="24"/>
          <w:szCs w:val="24"/>
        </w:rPr>
        <w:t xml:space="preserve">). Such cooperation (or partnership) is </w:t>
      </w:r>
      <w:r w:rsidR="003C4FD4">
        <w:rPr>
          <w:sz w:val="24"/>
          <w:szCs w:val="24"/>
        </w:rPr>
        <w:t xml:space="preserve">expected </w:t>
      </w:r>
      <w:r>
        <w:rPr>
          <w:sz w:val="24"/>
          <w:szCs w:val="24"/>
        </w:rPr>
        <w:t xml:space="preserve">to </w:t>
      </w:r>
      <w:r w:rsidR="003C4FD4">
        <w:rPr>
          <w:sz w:val="24"/>
          <w:szCs w:val="24"/>
        </w:rPr>
        <w:t>lead to a greater</w:t>
      </w:r>
      <w:r>
        <w:rPr>
          <w:sz w:val="24"/>
          <w:szCs w:val="24"/>
        </w:rPr>
        <w:t xml:space="preserve"> consistency in</w:t>
      </w:r>
      <w:r>
        <w:rPr>
          <w:spacing w:val="-30"/>
          <w:sz w:val="24"/>
          <w:szCs w:val="24"/>
        </w:rPr>
        <w:t xml:space="preserve"> </w:t>
      </w:r>
      <w:r>
        <w:rPr>
          <w:sz w:val="24"/>
          <w:szCs w:val="24"/>
        </w:rPr>
        <w:t xml:space="preserve">strategy design and implementation (Tewdwr-Jones and Phelps, </w:t>
      </w:r>
      <w:r w:rsidR="00461E3A">
        <w:rPr>
          <w:sz w:val="24"/>
          <w:szCs w:val="24"/>
        </w:rPr>
        <w:t>2000;</w:t>
      </w:r>
      <w:r>
        <w:rPr>
          <w:sz w:val="24"/>
          <w:szCs w:val="24"/>
        </w:rPr>
        <w:t xml:space="preserve"> Lodge, 2002</w:t>
      </w:r>
      <w:r w:rsidR="00461E3A">
        <w:rPr>
          <w:sz w:val="24"/>
          <w:szCs w:val="24"/>
        </w:rPr>
        <w:t>;</w:t>
      </w:r>
      <w:r>
        <w:rPr>
          <w:sz w:val="24"/>
          <w:szCs w:val="24"/>
        </w:rPr>
        <w:t xml:space="preserve"> Almond </w:t>
      </w:r>
      <w:r>
        <w:rPr>
          <w:i/>
          <w:sz w:val="24"/>
          <w:szCs w:val="24"/>
        </w:rPr>
        <w:t>et al.,</w:t>
      </w:r>
      <w:r>
        <w:rPr>
          <w:sz w:val="24"/>
          <w:szCs w:val="24"/>
        </w:rPr>
        <w:t xml:space="preserve"> 2015),</w:t>
      </w:r>
      <w:r>
        <w:rPr>
          <w:spacing w:val="-21"/>
          <w:sz w:val="24"/>
          <w:szCs w:val="24"/>
        </w:rPr>
        <w:t xml:space="preserve"> </w:t>
      </w:r>
      <w:r w:rsidR="003C4FD4">
        <w:rPr>
          <w:sz w:val="24"/>
          <w:szCs w:val="24"/>
        </w:rPr>
        <w:t xml:space="preserve">as well as enhance </w:t>
      </w:r>
      <w:r>
        <w:rPr>
          <w:sz w:val="24"/>
          <w:szCs w:val="24"/>
        </w:rPr>
        <w:t xml:space="preserve">the coherence of approaches adopted and the overall promotional message (Klijn </w:t>
      </w:r>
      <w:r>
        <w:rPr>
          <w:i/>
          <w:sz w:val="24"/>
          <w:szCs w:val="24"/>
        </w:rPr>
        <w:t>et al.,</w:t>
      </w:r>
      <w:r>
        <w:rPr>
          <w:sz w:val="24"/>
          <w:szCs w:val="24"/>
        </w:rPr>
        <w:t xml:space="preserve"> 2012</w:t>
      </w:r>
      <w:r w:rsidR="00461E3A">
        <w:rPr>
          <w:sz w:val="24"/>
          <w:szCs w:val="24"/>
        </w:rPr>
        <w:t>;</w:t>
      </w:r>
      <w:r w:rsidR="00480E02" w:rsidRPr="00480E02">
        <w:rPr>
          <w:sz w:val="24"/>
          <w:szCs w:val="24"/>
        </w:rPr>
        <w:t xml:space="preserve"> </w:t>
      </w:r>
      <w:r w:rsidR="00480E02">
        <w:rPr>
          <w:sz w:val="24"/>
          <w:szCs w:val="24"/>
        </w:rPr>
        <w:t xml:space="preserve">Boisen </w:t>
      </w:r>
      <w:r w:rsidR="00480E02">
        <w:rPr>
          <w:i/>
          <w:sz w:val="24"/>
          <w:szCs w:val="24"/>
        </w:rPr>
        <w:t>et al.</w:t>
      </w:r>
      <w:r w:rsidR="00480E02">
        <w:rPr>
          <w:sz w:val="24"/>
          <w:szCs w:val="24"/>
        </w:rPr>
        <w:t xml:space="preserve"> 2018</w:t>
      </w:r>
      <w:r>
        <w:rPr>
          <w:sz w:val="24"/>
          <w:szCs w:val="24"/>
        </w:rPr>
        <w:t>).</w:t>
      </w:r>
    </w:p>
    <w:p w14:paraId="5D674609" w14:textId="5F288CC8" w:rsidR="005E6520" w:rsidRDefault="005E6520" w:rsidP="005E6520">
      <w:pPr>
        <w:pStyle w:val="BodyText"/>
        <w:kinsoku w:val="0"/>
        <w:overflowPunct w:val="0"/>
        <w:spacing w:before="9" w:line="480" w:lineRule="auto"/>
        <w:ind w:left="0"/>
        <w:rPr>
          <w:sz w:val="24"/>
          <w:szCs w:val="24"/>
        </w:rPr>
      </w:pPr>
      <w:r>
        <w:rPr>
          <w:sz w:val="24"/>
          <w:szCs w:val="24"/>
        </w:rPr>
        <w:tab/>
        <w:t>Dedicated and committed leadership is another element of good practice in regional</w:t>
      </w:r>
      <w:r>
        <w:rPr>
          <w:spacing w:val="-19"/>
          <w:sz w:val="24"/>
          <w:szCs w:val="24"/>
        </w:rPr>
        <w:t xml:space="preserve"> </w:t>
      </w:r>
      <w:r>
        <w:rPr>
          <w:sz w:val="24"/>
          <w:szCs w:val="24"/>
        </w:rPr>
        <w:lastRenderedPageBreak/>
        <w:t xml:space="preserve">promotion (Almond </w:t>
      </w:r>
      <w:r>
        <w:rPr>
          <w:i/>
          <w:sz w:val="24"/>
          <w:szCs w:val="24"/>
        </w:rPr>
        <w:t>et al.,</w:t>
      </w:r>
      <w:r>
        <w:rPr>
          <w:sz w:val="24"/>
          <w:szCs w:val="24"/>
        </w:rPr>
        <w:t xml:space="preserve"> 2015). Strong leadership has </w:t>
      </w:r>
      <w:r w:rsidR="00FA41EE">
        <w:rPr>
          <w:sz w:val="24"/>
          <w:szCs w:val="24"/>
        </w:rPr>
        <w:t>the</w:t>
      </w:r>
      <w:r>
        <w:rPr>
          <w:sz w:val="24"/>
          <w:szCs w:val="24"/>
        </w:rPr>
        <w:t xml:space="preserve"> potential to </w:t>
      </w:r>
      <w:r>
        <w:rPr>
          <w:sz w:val="24"/>
          <w:szCs w:val="24"/>
        </w:rPr>
        <w:t xml:space="preserve">mobilise partnership </w:t>
      </w:r>
      <w:r w:rsidR="00E52F07">
        <w:rPr>
          <w:sz w:val="24"/>
          <w:szCs w:val="24"/>
        </w:rPr>
        <w:t xml:space="preserve">members </w:t>
      </w:r>
      <w:r>
        <w:rPr>
          <w:sz w:val="24"/>
          <w:szCs w:val="24"/>
        </w:rPr>
        <w:t>and boost the activities tow</w:t>
      </w:r>
      <w:r>
        <w:rPr>
          <w:sz w:val="24"/>
          <w:szCs w:val="24"/>
        </w:rPr>
        <w:t>ards a common goal (Parkerson and Saunders, 2005).</w:t>
      </w:r>
      <w:r>
        <w:rPr>
          <w:spacing w:val="-25"/>
          <w:sz w:val="24"/>
          <w:szCs w:val="24"/>
        </w:rPr>
        <w:t xml:space="preserve"> </w:t>
      </w:r>
      <w:r>
        <w:rPr>
          <w:sz w:val="24"/>
          <w:szCs w:val="24"/>
        </w:rPr>
        <w:t xml:space="preserve">Lodge (2002: 384), by comparing the successful branding campaign of New Zealand with the </w:t>
      </w:r>
      <w:r w:rsidR="009C02B0">
        <w:rPr>
          <w:sz w:val="24"/>
          <w:szCs w:val="24"/>
        </w:rPr>
        <w:t xml:space="preserve">failed </w:t>
      </w:r>
      <w:r>
        <w:rPr>
          <w:sz w:val="24"/>
          <w:szCs w:val="24"/>
        </w:rPr>
        <w:t xml:space="preserve">efforts </w:t>
      </w:r>
      <w:r w:rsidR="009C02B0">
        <w:rPr>
          <w:sz w:val="24"/>
          <w:szCs w:val="24"/>
        </w:rPr>
        <w:t>in</w:t>
      </w:r>
      <w:r>
        <w:rPr>
          <w:sz w:val="24"/>
          <w:szCs w:val="24"/>
        </w:rPr>
        <w:t xml:space="preserve"> Ontario, emphasi</w:t>
      </w:r>
      <w:r w:rsidR="00FA41EE">
        <w:rPr>
          <w:sz w:val="24"/>
          <w:szCs w:val="24"/>
        </w:rPr>
        <w:t>s</w:t>
      </w:r>
      <w:r>
        <w:rPr>
          <w:sz w:val="24"/>
          <w:szCs w:val="24"/>
        </w:rPr>
        <w:t>es the quality aspects of leadership and stresses the importance</w:t>
      </w:r>
      <w:r>
        <w:rPr>
          <w:spacing w:val="-24"/>
          <w:sz w:val="24"/>
          <w:szCs w:val="24"/>
        </w:rPr>
        <w:t xml:space="preserve"> </w:t>
      </w:r>
      <w:r>
        <w:rPr>
          <w:sz w:val="24"/>
          <w:szCs w:val="24"/>
        </w:rPr>
        <w:t>of decision-making powers and ‘</w:t>
      </w:r>
      <w:r>
        <w:rPr>
          <w:i/>
          <w:iCs/>
          <w:sz w:val="24"/>
          <w:szCs w:val="24"/>
        </w:rPr>
        <w:t>a corporate mind’</w:t>
      </w:r>
      <w:r>
        <w:rPr>
          <w:sz w:val="24"/>
          <w:szCs w:val="24"/>
        </w:rPr>
        <w:t xml:space="preserve"> attitude of </w:t>
      </w:r>
      <w:r w:rsidR="009C02B0">
        <w:rPr>
          <w:sz w:val="24"/>
          <w:szCs w:val="24"/>
        </w:rPr>
        <w:t xml:space="preserve">leaders </w:t>
      </w:r>
      <w:r>
        <w:rPr>
          <w:sz w:val="24"/>
          <w:szCs w:val="24"/>
        </w:rPr>
        <w:t>chairing the</w:t>
      </w:r>
      <w:r>
        <w:rPr>
          <w:spacing w:val="-29"/>
          <w:sz w:val="24"/>
          <w:szCs w:val="24"/>
        </w:rPr>
        <w:t xml:space="preserve"> </w:t>
      </w:r>
      <w:r>
        <w:rPr>
          <w:sz w:val="24"/>
          <w:szCs w:val="24"/>
        </w:rPr>
        <w:t>campaign.</w:t>
      </w:r>
    </w:p>
    <w:p w14:paraId="5DF6AA40" w14:textId="51D1D134" w:rsidR="005E6520" w:rsidRDefault="005E6520" w:rsidP="005E6520">
      <w:pPr>
        <w:pStyle w:val="BodyText"/>
        <w:kinsoku w:val="0"/>
        <w:overflowPunct w:val="0"/>
        <w:spacing w:before="9" w:line="480" w:lineRule="auto"/>
        <w:ind w:left="0" w:firstLine="720"/>
        <w:rPr>
          <w:sz w:val="24"/>
          <w:szCs w:val="24"/>
        </w:rPr>
      </w:pPr>
      <w:r>
        <w:rPr>
          <w:sz w:val="24"/>
          <w:szCs w:val="24"/>
        </w:rPr>
        <w:t xml:space="preserve">Regional promotion is a lengthy </w:t>
      </w:r>
      <w:r w:rsidR="003C4FD4">
        <w:rPr>
          <w:sz w:val="24"/>
          <w:szCs w:val="24"/>
        </w:rPr>
        <w:t xml:space="preserve">and expensive process </w:t>
      </w:r>
      <w:r>
        <w:rPr>
          <w:sz w:val="24"/>
          <w:szCs w:val="24"/>
        </w:rPr>
        <w:t xml:space="preserve">(Quelch and Jocz, 2005), therefore </w:t>
      </w:r>
      <w:r w:rsidR="009C02B0">
        <w:rPr>
          <w:sz w:val="24"/>
          <w:szCs w:val="24"/>
        </w:rPr>
        <w:t xml:space="preserve">another important organisational element is the </w:t>
      </w:r>
      <w:r>
        <w:rPr>
          <w:sz w:val="24"/>
          <w:szCs w:val="24"/>
        </w:rPr>
        <w:t>dedication of the authorities reflected i</w:t>
      </w:r>
      <w:r w:rsidR="009C02B0">
        <w:rPr>
          <w:sz w:val="24"/>
          <w:szCs w:val="24"/>
        </w:rPr>
        <w:t xml:space="preserve">n their </w:t>
      </w:r>
      <w:r>
        <w:rPr>
          <w:sz w:val="24"/>
          <w:szCs w:val="24"/>
        </w:rPr>
        <w:t>bud</w:t>
      </w:r>
      <w:r w:rsidR="00461E3A">
        <w:rPr>
          <w:sz w:val="24"/>
          <w:szCs w:val="24"/>
        </w:rPr>
        <w:t>getary commitments (Lodge, 2002;</w:t>
      </w:r>
      <w:r>
        <w:rPr>
          <w:sz w:val="24"/>
          <w:szCs w:val="24"/>
        </w:rPr>
        <w:t xml:space="preserve"> Morisett and</w:t>
      </w:r>
      <w:r>
        <w:rPr>
          <w:spacing w:val="-29"/>
          <w:sz w:val="24"/>
          <w:szCs w:val="24"/>
        </w:rPr>
        <w:t xml:space="preserve"> </w:t>
      </w:r>
      <w:r w:rsidR="00461E3A">
        <w:rPr>
          <w:sz w:val="24"/>
          <w:szCs w:val="24"/>
        </w:rPr>
        <w:t>Andrews-Johnson, 2003;</w:t>
      </w:r>
      <w:r>
        <w:rPr>
          <w:sz w:val="24"/>
          <w:szCs w:val="24"/>
        </w:rPr>
        <w:t xml:space="preserve"> Cleave </w:t>
      </w:r>
      <w:r>
        <w:rPr>
          <w:i/>
          <w:sz w:val="24"/>
          <w:szCs w:val="24"/>
        </w:rPr>
        <w:t>et al.,</w:t>
      </w:r>
      <w:r>
        <w:rPr>
          <w:sz w:val="24"/>
          <w:szCs w:val="24"/>
        </w:rPr>
        <w:t xml:space="preserve"> 2016). </w:t>
      </w:r>
      <w:r w:rsidR="003C4FD4">
        <w:rPr>
          <w:sz w:val="24"/>
          <w:szCs w:val="24"/>
        </w:rPr>
        <w:t>Adopting a country-level perspective</w:t>
      </w:r>
      <w:r>
        <w:rPr>
          <w:sz w:val="24"/>
          <w:szCs w:val="24"/>
        </w:rPr>
        <w:t>, Quelch and Jocz (2005) additionally highlight the significance</w:t>
      </w:r>
      <w:r>
        <w:rPr>
          <w:spacing w:val="-20"/>
          <w:sz w:val="24"/>
          <w:szCs w:val="24"/>
        </w:rPr>
        <w:t xml:space="preserve"> </w:t>
      </w:r>
      <w:r>
        <w:rPr>
          <w:sz w:val="24"/>
          <w:szCs w:val="24"/>
        </w:rPr>
        <w:t>of involving a leader in the promotional programme. The authors point to three benefits of head of</w:t>
      </w:r>
      <w:r>
        <w:rPr>
          <w:spacing w:val="-28"/>
          <w:sz w:val="24"/>
          <w:szCs w:val="24"/>
        </w:rPr>
        <w:t xml:space="preserve"> </w:t>
      </w:r>
      <w:r>
        <w:rPr>
          <w:sz w:val="24"/>
          <w:szCs w:val="24"/>
        </w:rPr>
        <w:t>state participation. Firstly, it emphasises the importance of a campaign and shows the commitment of</w:t>
      </w:r>
      <w:r>
        <w:rPr>
          <w:spacing w:val="-20"/>
          <w:sz w:val="24"/>
          <w:szCs w:val="24"/>
        </w:rPr>
        <w:t xml:space="preserve"> </w:t>
      </w:r>
      <w:r>
        <w:rPr>
          <w:sz w:val="24"/>
          <w:szCs w:val="24"/>
        </w:rPr>
        <w:t>the government. Secondly, their personal involvement in promoting the location potentially can</w:t>
      </w:r>
      <w:r>
        <w:rPr>
          <w:spacing w:val="-22"/>
          <w:sz w:val="24"/>
          <w:szCs w:val="24"/>
        </w:rPr>
        <w:t xml:space="preserve"> </w:t>
      </w:r>
      <w:r>
        <w:rPr>
          <w:sz w:val="24"/>
          <w:szCs w:val="24"/>
        </w:rPr>
        <w:t>impress the MNE executives contemplating investment. Thirdly, such high level of commitment is</w:t>
      </w:r>
      <w:r>
        <w:rPr>
          <w:spacing w:val="-23"/>
          <w:sz w:val="24"/>
          <w:szCs w:val="24"/>
        </w:rPr>
        <w:t xml:space="preserve"> </w:t>
      </w:r>
      <w:r>
        <w:rPr>
          <w:sz w:val="24"/>
          <w:szCs w:val="24"/>
        </w:rPr>
        <w:t xml:space="preserve">necessary to motivate the different </w:t>
      </w:r>
      <w:r w:rsidR="003C4FD4">
        <w:rPr>
          <w:sz w:val="24"/>
          <w:szCs w:val="24"/>
        </w:rPr>
        <w:t xml:space="preserve">stakeholder </w:t>
      </w:r>
      <w:r>
        <w:rPr>
          <w:sz w:val="24"/>
          <w:szCs w:val="24"/>
        </w:rPr>
        <w:t>groups within the region</w:t>
      </w:r>
      <w:r w:rsidR="003C4FD4">
        <w:rPr>
          <w:sz w:val="24"/>
          <w:szCs w:val="24"/>
        </w:rPr>
        <w:t xml:space="preserve"> </w:t>
      </w:r>
      <w:r>
        <w:rPr>
          <w:sz w:val="24"/>
          <w:szCs w:val="24"/>
        </w:rPr>
        <w:t xml:space="preserve">(Baccarani </w:t>
      </w:r>
      <w:r>
        <w:rPr>
          <w:i/>
          <w:sz w:val="24"/>
          <w:szCs w:val="24"/>
        </w:rPr>
        <w:t>et al.,</w:t>
      </w:r>
      <w:r>
        <w:rPr>
          <w:sz w:val="24"/>
          <w:szCs w:val="24"/>
        </w:rPr>
        <w:t xml:space="preserve"> 2019). </w:t>
      </w:r>
      <w:r w:rsidR="009C02B0">
        <w:rPr>
          <w:sz w:val="24"/>
          <w:szCs w:val="24"/>
        </w:rPr>
        <w:t xml:space="preserve">Additionally, </w:t>
      </w:r>
      <w:r>
        <w:rPr>
          <w:sz w:val="24"/>
          <w:szCs w:val="24"/>
        </w:rPr>
        <w:t>continuous leadership guarantees sustained commitment and</w:t>
      </w:r>
      <w:r>
        <w:rPr>
          <w:spacing w:val="-29"/>
          <w:sz w:val="24"/>
          <w:szCs w:val="24"/>
        </w:rPr>
        <w:t xml:space="preserve"> </w:t>
      </w:r>
      <w:r>
        <w:rPr>
          <w:sz w:val="24"/>
          <w:szCs w:val="24"/>
        </w:rPr>
        <w:t>long-term coherence</w:t>
      </w:r>
      <w:r w:rsidR="009C02B0" w:rsidRPr="009C02B0">
        <w:rPr>
          <w:sz w:val="24"/>
          <w:szCs w:val="24"/>
        </w:rPr>
        <w:t xml:space="preserve"> </w:t>
      </w:r>
      <w:r w:rsidR="009C02B0">
        <w:rPr>
          <w:sz w:val="24"/>
          <w:szCs w:val="24"/>
        </w:rPr>
        <w:t>(Quelch and Jocz</w:t>
      </w:r>
      <w:r w:rsidR="00461E3A">
        <w:rPr>
          <w:sz w:val="24"/>
          <w:szCs w:val="24"/>
        </w:rPr>
        <w:t xml:space="preserve"> 2005</w:t>
      </w:r>
      <w:r w:rsidR="009C02B0">
        <w:rPr>
          <w:sz w:val="24"/>
          <w:szCs w:val="24"/>
        </w:rPr>
        <w:t>)</w:t>
      </w:r>
      <w:r>
        <w:rPr>
          <w:sz w:val="24"/>
          <w:szCs w:val="24"/>
        </w:rPr>
        <w:t>. All three points are relevant when considering the involvement of regional</w:t>
      </w:r>
      <w:r>
        <w:rPr>
          <w:spacing w:val="-28"/>
          <w:sz w:val="24"/>
          <w:szCs w:val="24"/>
        </w:rPr>
        <w:t xml:space="preserve"> </w:t>
      </w:r>
      <w:r>
        <w:rPr>
          <w:sz w:val="24"/>
          <w:szCs w:val="24"/>
        </w:rPr>
        <w:t>leadership.</w:t>
      </w:r>
    </w:p>
    <w:p w14:paraId="5AEE3111" w14:textId="0F58D283" w:rsidR="005E6520" w:rsidRDefault="005E6520" w:rsidP="005E6520">
      <w:pPr>
        <w:pStyle w:val="BodyText"/>
        <w:kinsoku w:val="0"/>
        <w:overflowPunct w:val="0"/>
        <w:spacing w:line="480" w:lineRule="auto"/>
        <w:ind w:left="0" w:firstLine="720"/>
        <w:rPr>
          <w:sz w:val="24"/>
          <w:szCs w:val="24"/>
        </w:rPr>
      </w:pPr>
      <w:r>
        <w:rPr>
          <w:sz w:val="24"/>
          <w:szCs w:val="24"/>
        </w:rPr>
        <w:t>The main elements of good practice at the operational level (Table 2) include targeting, recognition</w:t>
      </w:r>
      <w:r>
        <w:rPr>
          <w:spacing w:val="-30"/>
          <w:sz w:val="24"/>
          <w:szCs w:val="24"/>
        </w:rPr>
        <w:t xml:space="preserve"> </w:t>
      </w:r>
      <w:r>
        <w:rPr>
          <w:sz w:val="24"/>
          <w:szCs w:val="24"/>
        </w:rPr>
        <w:t>of competitors, positioning, image-related matters, research at various stages of the</w:t>
      </w:r>
      <w:r>
        <w:rPr>
          <w:spacing w:val="-14"/>
          <w:sz w:val="24"/>
          <w:szCs w:val="24"/>
        </w:rPr>
        <w:t xml:space="preserve"> </w:t>
      </w:r>
      <w:r>
        <w:rPr>
          <w:sz w:val="24"/>
          <w:szCs w:val="24"/>
        </w:rPr>
        <w:t>promotional programme and embeddedness of the promotional campaign within the wider development</w:t>
      </w:r>
      <w:r>
        <w:rPr>
          <w:spacing w:val="-26"/>
          <w:sz w:val="24"/>
          <w:szCs w:val="24"/>
        </w:rPr>
        <w:t xml:space="preserve"> </w:t>
      </w:r>
      <w:r>
        <w:rPr>
          <w:sz w:val="24"/>
          <w:szCs w:val="24"/>
        </w:rPr>
        <w:t xml:space="preserve">strategy. Targeting </w:t>
      </w:r>
      <w:r w:rsidR="00C467BB">
        <w:rPr>
          <w:sz w:val="24"/>
          <w:szCs w:val="24"/>
        </w:rPr>
        <w:t>of</w:t>
      </w:r>
      <w:r>
        <w:rPr>
          <w:sz w:val="24"/>
          <w:szCs w:val="24"/>
        </w:rPr>
        <w:t xml:space="preserve"> promotion increases chan</w:t>
      </w:r>
      <w:r w:rsidR="00461E3A">
        <w:rPr>
          <w:sz w:val="24"/>
          <w:szCs w:val="24"/>
        </w:rPr>
        <w:t xml:space="preserve">ces for its internal coherence, and </w:t>
      </w:r>
      <w:r>
        <w:rPr>
          <w:sz w:val="24"/>
          <w:szCs w:val="24"/>
        </w:rPr>
        <w:t>particul</w:t>
      </w:r>
      <w:r w:rsidR="00461E3A">
        <w:rPr>
          <w:sz w:val="24"/>
          <w:szCs w:val="24"/>
        </w:rPr>
        <w:t xml:space="preserve">arly in the FDI context, </w:t>
      </w:r>
      <w:r>
        <w:rPr>
          <w:sz w:val="24"/>
          <w:szCs w:val="24"/>
        </w:rPr>
        <w:t>raises the efficiency of often limited funds by directing</w:t>
      </w:r>
      <w:r>
        <w:rPr>
          <w:spacing w:val="-22"/>
          <w:sz w:val="24"/>
          <w:szCs w:val="24"/>
        </w:rPr>
        <w:t xml:space="preserve"> </w:t>
      </w:r>
      <w:r>
        <w:rPr>
          <w:sz w:val="24"/>
          <w:szCs w:val="24"/>
        </w:rPr>
        <w:t>investment flows into priority sect</w:t>
      </w:r>
      <w:r w:rsidR="00461E3A">
        <w:rPr>
          <w:sz w:val="24"/>
          <w:szCs w:val="24"/>
        </w:rPr>
        <w:t>ors (Harding and Javorcik, 2012;</w:t>
      </w:r>
      <w:r>
        <w:rPr>
          <w:sz w:val="24"/>
          <w:szCs w:val="24"/>
        </w:rPr>
        <w:t xml:space="preserve"> </w:t>
      </w:r>
      <w:r w:rsidR="00704442">
        <w:rPr>
          <w:sz w:val="24"/>
          <w:szCs w:val="24"/>
        </w:rPr>
        <w:t xml:space="preserve">Bonetti and </w:t>
      </w:r>
      <w:r w:rsidR="00704442">
        <w:rPr>
          <w:sz w:val="24"/>
          <w:szCs w:val="24"/>
        </w:rPr>
        <w:lastRenderedPageBreak/>
        <w:t>Masiello, 2014</w:t>
      </w:r>
      <w:r>
        <w:rPr>
          <w:sz w:val="24"/>
          <w:szCs w:val="24"/>
        </w:rPr>
        <w:t>) and avoiding the situation</w:t>
      </w:r>
      <w:r>
        <w:rPr>
          <w:spacing w:val="-25"/>
          <w:sz w:val="24"/>
          <w:szCs w:val="24"/>
        </w:rPr>
        <w:t xml:space="preserve"> </w:t>
      </w:r>
      <w:r>
        <w:rPr>
          <w:sz w:val="24"/>
          <w:szCs w:val="24"/>
        </w:rPr>
        <w:t xml:space="preserve">when everything is promoted to everybody (Kotler </w:t>
      </w:r>
      <w:r>
        <w:rPr>
          <w:i/>
          <w:sz w:val="24"/>
          <w:szCs w:val="24"/>
        </w:rPr>
        <w:t>et al.,</w:t>
      </w:r>
      <w:r>
        <w:rPr>
          <w:sz w:val="24"/>
          <w:szCs w:val="24"/>
        </w:rPr>
        <w:t xml:space="preserve"> 1999). Recognising competitors (potential and actual) and their activities allows regional authorities to prepare a distinctive offer for the targeted investors. It also helps to position place’s offer, and appraise reasons behind its popularity with the target groups in relation to its competitors (</w:t>
      </w:r>
      <w:r w:rsidR="004B1D37">
        <w:rPr>
          <w:sz w:val="24"/>
          <w:szCs w:val="24"/>
        </w:rPr>
        <w:t xml:space="preserve">World Bank 2017, Boisen </w:t>
      </w:r>
      <w:r w:rsidR="004B1D37">
        <w:rPr>
          <w:i/>
          <w:sz w:val="24"/>
          <w:szCs w:val="24"/>
        </w:rPr>
        <w:t>et al.</w:t>
      </w:r>
      <w:r w:rsidR="004B1D37">
        <w:rPr>
          <w:sz w:val="24"/>
          <w:szCs w:val="24"/>
        </w:rPr>
        <w:t xml:space="preserve"> 2018</w:t>
      </w:r>
      <w:r>
        <w:rPr>
          <w:sz w:val="24"/>
          <w:szCs w:val="24"/>
        </w:rPr>
        <w:t xml:space="preserve">). Considering the vast location possibilities at the MNEs’ disposal, a clear positioning must be included in place’s promotional </w:t>
      </w:r>
      <w:r w:rsidR="00480E02">
        <w:rPr>
          <w:sz w:val="24"/>
          <w:szCs w:val="24"/>
        </w:rPr>
        <w:t xml:space="preserve">practice. </w:t>
      </w:r>
      <w:r>
        <w:rPr>
          <w:sz w:val="24"/>
          <w:szCs w:val="24"/>
        </w:rPr>
        <w:t>By setting out to the targeted group a superiority claim and reasons why those claims shoul</w:t>
      </w:r>
      <w:r w:rsidR="00350788">
        <w:rPr>
          <w:sz w:val="24"/>
          <w:szCs w:val="24"/>
        </w:rPr>
        <w:t xml:space="preserve">d be believed, positioning </w:t>
      </w:r>
      <w:r>
        <w:rPr>
          <w:sz w:val="24"/>
          <w:szCs w:val="24"/>
        </w:rPr>
        <w:t>helps</w:t>
      </w:r>
      <w:r w:rsidR="00CE3A8D">
        <w:rPr>
          <w:sz w:val="24"/>
          <w:szCs w:val="24"/>
        </w:rPr>
        <w:t xml:space="preserve"> locations</w:t>
      </w:r>
      <w:r>
        <w:rPr>
          <w:sz w:val="24"/>
          <w:szCs w:val="24"/>
        </w:rPr>
        <w:t xml:space="preserve"> to avoid competing merely on cost reducing investment incentives (Loewendahl, 2001, Bonetti and Masiello, 2014, Cleave </w:t>
      </w:r>
      <w:r>
        <w:rPr>
          <w:i/>
          <w:sz w:val="24"/>
          <w:szCs w:val="24"/>
        </w:rPr>
        <w:t>et al.,</w:t>
      </w:r>
      <w:r>
        <w:rPr>
          <w:sz w:val="24"/>
          <w:szCs w:val="24"/>
        </w:rPr>
        <w:t xml:space="preserve"> 2016).</w:t>
      </w:r>
    </w:p>
    <w:p w14:paraId="064E79E3" w14:textId="347A34B6" w:rsidR="005E6520" w:rsidRDefault="005E6520" w:rsidP="005E6520">
      <w:pPr>
        <w:pStyle w:val="BodyText"/>
        <w:kinsoku w:val="0"/>
        <w:overflowPunct w:val="0"/>
        <w:spacing w:line="480" w:lineRule="auto"/>
        <w:ind w:left="0"/>
        <w:rPr>
          <w:sz w:val="24"/>
          <w:szCs w:val="24"/>
        </w:rPr>
      </w:pPr>
      <w:r>
        <w:rPr>
          <w:sz w:val="24"/>
          <w:szCs w:val="24"/>
        </w:rPr>
        <w:tab/>
      </w:r>
      <w:r w:rsidR="008106EA">
        <w:rPr>
          <w:sz w:val="24"/>
          <w:szCs w:val="24"/>
        </w:rPr>
        <w:t>In order to be convincing, a regional image should match the observable reality of regional characteristics and communicate coherent and consistent</w:t>
      </w:r>
      <w:r w:rsidR="008106EA">
        <w:rPr>
          <w:sz w:val="24"/>
          <w:szCs w:val="24"/>
        </w:rPr>
        <w:t xml:space="preserve"> messages to the target groups </w:t>
      </w:r>
      <w:r w:rsidR="008106EA">
        <w:rPr>
          <w:sz w:val="24"/>
          <w:szCs w:val="24"/>
        </w:rPr>
        <w:t xml:space="preserve">(Boisen </w:t>
      </w:r>
      <w:r w:rsidR="008106EA">
        <w:rPr>
          <w:i/>
          <w:sz w:val="24"/>
          <w:szCs w:val="24"/>
        </w:rPr>
        <w:t>et al.,</w:t>
      </w:r>
      <w:r w:rsidR="008106EA">
        <w:rPr>
          <w:sz w:val="24"/>
          <w:szCs w:val="24"/>
        </w:rPr>
        <w:t xml:space="preserve"> 2018).</w:t>
      </w:r>
      <w:r w:rsidR="008106EA">
        <w:rPr>
          <w:sz w:val="24"/>
          <w:szCs w:val="24"/>
        </w:rPr>
        <w:t xml:space="preserve"> </w:t>
      </w:r>
      <w:r>
        <w:rPr>
          <w:sz w:val="24"/>
          <w:szCs w:val="24"/>
        </w:rPr>
        <w:t xml:space="preserve">Furthermore, communication to a variety of targets should not be divergent, as those </w:t>
      </w:r>
      <w:r w:rsidR="008106EA">
        <w:rPr>
          <w:sz w:val="24"/>
          <w:szCs w:val="24"/>
        </w:rPr>
        <w:t xml:space="preserve">while </w:t>
      </w:r>
      <w:r>
        <w:rPr>
          <w:sz w:val="24"/>
          <w:szCs w:val="24"/>
        </w:rPr>
        <w:t xml:space="preserve">distinct </w:t>
      </w:r>
      <w:r w:rsidR="008106EA">
        <w:rPr>
          <w:sz w:val="24"/>
          <w:szCs w:val="24"/>
        </w:rPr>
        <w:t xml:space="preserve">are not separate, and </w:t>
      </w:r>
      <w:r>
        <w:rPr>
          <w:sz w:val="24"/>
          <w:szCs w:val="24"/>
        </w:rPr>
        <w:t xml:space="preserve">today's tourist may turn </w:t>
      </w:r>
      <w:r w:rsidR="008106EA">
        <w:rPr>
          <w:sz w:val="24"/>
          <w:szCs w:val="24"/>
        </w:rPr>
        <w:t xml:space="preserve">into </w:t>
      </w:r>
      <w:r>
        <w:rPr>
          <w:sz w:val="24"/>
          <w:szCs w:val="24"/>
        </w:rPr>
        <w:t xml:space="preserve">a potential future investor (Kotler </w:t>
      </w:r>
      <w:r>
        <w:rPr>
          <w:i/>
          <w:sz w:val="24"/>
          <w:szCs w:val="24"/>
        </w:rPr>
        <w:t>et al.,</w:t>
      </w:r>
      <w:r w:rsidR="008106EA">
        <w:rPr>
          <w:sz w:val="24"/>
          <w:szCs w:val="24"/>
        </w:rPr>
        <w:t xml:space="preserve"> 1999;</w:t>
      </w:r>
      <w:r>
        <w:rPr>
          <w:sz w:val="24"/>
          <w:szCs w:val="24"/>
        </w:rPr>
        <w:t xml:space="preserve"> Schotter and Beamish, 2013). As people tend to merge their various exposures and experiences of a place into one general impression – good, bad or indifferent – paying attention to many aspects of the customer experience can be an important source of the differential advantage (Kotler and Gertner, 2002, Quelch and Jocz, 2005).</w:t>
      </w:r>
    </w:p>
    <w:p w14:paraId="16C94E42" w14:textId="0E5E144E" w:rsidR="005E6520" w:rsidRDefault="00734EB8" w:rsidP="00350788">
      <w:pPr>
        <w:pStyle w:val="BodyText"/>
        <w:kinsoku w:val="0"/>
        <w:overflowPunct w:val="0"/>
        <w:spacing w:line="480" w:lineRule="auto"/>
        <w:ind w:left="0"/>
        <w:rPr>
          <w:sz w:val="24"/>
          <w:szCs w:val="24"/>
        </w:rPr>
      </w:pPr>
      <w:r>
        <w:rPr>
          <w:sz w:val="24"/>
          <w:szCs w:val="24"/>
        </w:rPr>
        <w:tab/>
        <w:t xml:space="preserve">All of the above-mentioned criteria </w:t>
      </w:r>
      <w:r w:rsidR="005E6520">
        <w:rPr>
          <w:sz w:val="24"/>
          <w:szCs w:val="24"/>
        </w:rPr>
        <w:t xml:space="preserve">should come together in a good investment promotion approach but also need to be underpinned by </w:t>
      </w:r>
      <w:r w:rsidR="00030A55">
        <w:rPr>
          <w:sz w:val="24"/>
          <w:szCs w:val="24"/>
        </w:rPr>
        <w:t>appropriate</w:t>
      </w:r>
      <w:r w:rsidR="005E6520">
        <w:rPr>
          <w:sz w:val="24"/>
          <w:szCs w:val="24"/>
        </w:rPr>
        <w:t xml:space="preserve"> research conducted before, during and after the implementation of the promotional programme (Pasquinelli and Teräs, 2013).</w:t>
      </w:r>
      <w:r w:rsidR="00350788">
        <w:rPr>
          <w:sz w:val="24"/>
          <w:szCs w:val="24"/>
        </w:rPr>
        <w:t xml:space="preserve"> </w:t>
      </w:r>
      <w:r w:rsidR="005E6520">
        <w:rPr>
          <w:sz w:val="24"/>
          <w:szCs w:val="24"/>
        </w:rPr>
        <w:t>Research activit</w:t>
      </w:r>
      <w:r w:rsidR="00ED2769">
        <w:rPr>
          <w:sz w:val="24"/>
          <w:szCs w:val="24"/>
        </w:rPr>
        <w:t>y</w:t>
      </w:r>
      <w:r w:rsidR="005E6520">
        <w:rPr>
          <w:sz w:val="24"/>
          <w:szCs w:val="24"/>
        </w:rPr>
        <w:t xml:space="preserve"> </w:t>
      </w:r>
      <w:r>
        <w:rPr>
          <w:sz w:val="24"/>
          <w:szCs w:val="24"/>
        </w:rPr>
        <w:t>need</w:t>
      </w:r>
      <w:r w:rsidR="00ED2769">
        <w:rPr>
          <w:sz w:val="24"/>
          <w:szCs w:val="24"/>
        </w:rPr>
        <w:t>s</w:t>
      </w:r>
      <w:r>
        <w:rPr>
          <w:sz w:val="24"/>
          <w:szCs w:val="24"/>
        </w:rPr>
        <w:t xml:space="preserve"> to </w:t>
      </w:r>
      <w:r w:rsidR="005E6520">
        <w:rPr>
          <w:sz w:val="24"/>
          <w:szCs w:val="24"/>
        </w:rPr>
        <w:t xml:space="preserve">encompass a broad scope of issues including awareness levels and perceptions (favourable or not, gaps between image and reality) held by the target audiences, the competitors’ position, actions and successes, the unique advantages </w:t>
      </w:r>
      <w:r w:rsidR="005E6520">
        <w:rPr>
          <w:sz w:val="24"/>
          <w:szCs w:val="24"/>
        </w:rPr>
        <w:lastRenderedPageBreak/>
        <w:t xml:space="preserve">(and disadvantages) of the place with regard to targeted investors and potential benefits and risks associated with the promotional campaign (Kotler </w:t>
      </w:r>
      <w:r w:rsidR="005E6520">
        <w:rPr>
          <w:i/>
          <w:sz w:val="24"/>
          <w:szCs w:val="24"/>
        </w:rPr>
        <w:t>et al.,</w:t>
      </w:r>
      <w:r w:rsidR="008106EA">
        <w:rPr>
          <w:sz w:val="24"/>
          <w:szCs w:val="24"/>
        </w:rPr>
        <w:t xml:space="preserve"> 1999;</w:t>
      </w:r>
      <w:r w:rsidR="005E6520">
        <w:rPr>
          <w:sz w:val="24"/>
          <w:szCs w:val="24"/>
        </w:rPr>
        <w:t xml:space="preserve"> Quelch and Jocz, 2005).</w:t>
      </w:r>
    </w:p>
    <w:p w14:paraId="50BCE5C4" w14:textId="78326FA1" w:rsidR="00182DEB" w:rsidRDefault="005E6520" w:rsidP="00182DEB">
      <w:pPr>
        <w:pStyle w:val="BodyText"/>
        <w:kinsoku w:val="0"/>
        <w:overflowPunct w:val="0"/>
        <w:spacing w:line="480" w:lineRule="auto"/>
        <w:ind w:left="0"/>
        <w:rPr>
          <w:sz w:val="24"/>
          <w:szCs w:val="24"/>
        </w:rPr>
      </w:pPr>
      <w:r>
        <w:rPr>
          <w:sz w:val="24"/>
          <w:szCs w:val="24"/>
        </w:rPr>
        <w:tab/>
      </w:r>
      <w:r w:rsidR="00182DEB">
        <w:rPr>
          <w:sz w:val="24"/>
          <w:szCs w:val="24"/>
        </w:rPr>
        <w:t>Finally, regional promotion, particularly aimed at FDI attraction, should contribute to the develo</w:t>
      </w:r>
      <w:r w:rsidR="008106EA">
        <w:rPr>
          <w:sz w:val="24"/>
          <w:szCs w:val="24"/>
        </w:rPr>
        <w:t>pment of the place (Lim 2008;</w:t>
      </w:r>
      <w:r w:rsidR="00182DEB">
        <w:rPr>
          <w:sz w:val="24"/>
          <w:szCs w:val="24"/>
        </w:rPr>
        <w:t xml:space="preserve"> Harding and Javorcik</w:t>
      </w:r>
      <w:r w:rsidR="008106EA">
        <w:rPr>
          <w:sz w:val="24"/>
          <w:szCs w:val="24"/>
        </w:rPr>
        <w:t>, 2012;</w:t>
      </w:r>
      <w:r w:rsidR="00182DEB">
        <w:rPr>
          <w:sz w:val="24"/>
          <w:szCs w:val="24"/>
        </w:rPr>
        <w:t xml:space="preserve"> OECD, 2015). To secure this, it needs to be linked to local circumstances and development goals of the area</w:t>
      </w:r>
      <w:r w:rsidR="008106EA">
        <w:rPr>
          <w:sz w:val="24"/>
          <w:szCs w:val="24"/>
        </w:rPr>
        <w:t xml:space="preserve"> (Leowendahl, 2001; Pasquinelli and Teräs, 2013;</w:t>
      </w:r>
      <w:r w:rsidR="00182DEB">
        <w:rPr>
          <w:sz w:val="24"/>
          <w:szCs w:val="24"/>
        </w:rPr>
        <w:t xml:space="preserve"> Cleave </w:t>
      </w:r>
      <w:r w:rsidR="00182DEB">
        <w:rPr>
          <w:i/>
          <w:sz w:val="24"/>
          <w:szCs w:val="24"/>
        </w:rPr>
        <w:t>et al.,</w:t>
      </w:r>
      <w:r w:rsidR="008106EA">
        <w:rPr>
          <w:sz w:val="24"/>
          <w:szCs w:val="24"/>
        </w:rPr>
        <w:t xml:space="preserve"> 2016; </w:t>
      </w:r>
      <w:r w:rsidR="00182DEB">
        <w:rPr>
          <w:sz w:val="24"/>
          <w:szCs w:val="24"/>
        </w:rPr>
        <w:t xml:space="preserve">UNCTAD 2018). For example, China and Ireland, while granting some of their investment incentives, require investors to recruit high skilled workers locally and to cooperate with local research institutes and universities (Zanatta </w:t>
      </w:r>
      <w:r w:rsidR="00182DEB">
        <w:rPr>
          <w:i/>
          <w:sz w:val="24"/>
          <w:szCs w:val="24"/>
        </w:rPr>
        <w:t>et al.,</w:t>
      </w:r>
      <w:r w:rsidR="00EB7915">
        <w:rPr>
          <w:sz w:val="24"/>
          <w:szCs w:val="24"/>
        </w:rPr>
        <w:t xml:space="preserve"> 2006; </w:t>
      </w:r>
      <w:r w:rsidR="00182DEB">
        <w:rPr>
          <w:sz w:val="24"/>
          <w:szCs w:val="24"/>
        </w:rPr>
        <w:t xml:space="preserve">Bonetti and Masiello, 2014). Furthermore, the awareness and image-building activities must go hand in hand with improvements to regional location advantages, i.e. infrastructural investments, labour force training, property provision, etc. (Kotler </w:t>
      </w:r>
      <w:r w:rsidR="00182DEB">
        <w:rPr>
          <w:i/>
          <w:sz w:val="24"/>
          <w:szCs w:val="24"/>
        </w:rPr>
        <w:t>et al.,</w:t>
      </w:r>
      <w:r w:rsidR="00E14794">
        <w:rPr>
          <w:sz w:val="24"/>
          <w:szCs w:val="24"/>
        </w:rPr>
        <w:t xml:space="preserve"> 1999;</w:t>
      </w:r>
      <w:r w:rsidR="00182DEB">
        <w:rPr>
          <w:sz w:val="24"/>
          <w:szCs w:val="24"/>
        </w:rPr>
        <w:t xml:space="preserve"> Cleave </w:t>
      </w:r>
      <w:r w:rsidR="00182DEB">
        <w:rPr>
          <w:i/>
          <w:sz w:val="24"/>
          <w:szCs w:val="24"/>
        </w:rPr>
        <w:t>et al.,</w:t>
      </w:r>
      <w:r w:rsidR="00182DEB">
        <w:rPr>
          <w:sz w:val="24"/>
          <w:szCs w:val="24"/>
        </w:rPr>
        <w:t xml:space="preserve"> 2016). Focusing solely on the attraction of inward investment Loewendahl (2001) provides the following deter</w:t>
      </w:r>
      <w:r w:rsidR="00350788">
        <w:rPr>
          <w:sz w:val="24"/>
          <w:szCs w:val="24"/>
        </w:rPr>
        <w:t>minants of successful promotion</w:t>
      </w:r>
      <w:r w:rsidR="00182DEB">
        <w:rPr>
          <w:sz w:val="24"/>
          <w:szCs w:val="24"/>
        </w:rPr>
        <w:t>, encapsulating the elements discussed above:</w:t>
      </w:r>
    </w:p>
    <w:p w14:paraId="79C77474" w14:textId="77777777" w:rsidR="00182DEB" w:rsidRDefault="00182DEB" w:rsidP="00182DEB">
      <w:pPr>
        <w:pStyle w:val="BodyText"/>
        <w:numPr>
          <w:ilvl w:val="0"/>
          <w:numId w:val="3"/>
        </w:numPr>
        <w:kinsoku w:val="0"/>
        <w:overflowPunct w:val="0"/>
        <w:spacing w:line="480" w:lineRule="auto"/>
        <w:ind w:left="567" w:hanging="283"/>
        <w:rPr>
          <w:sz w:val="24"/>
          <w:szCs w:val="24"/>
        </w:rPr>
      </w:pPr>
      <w:r>
        <w:rPr>
          <w:sz w:val="24"/>
          <w:szCs w:val="24"/>
        </w:rPr>
        <w:t>An effective promotion approach should include coherent objectives set by the major stakeholders, underpinned by thorough analysis of location’s competitive position; coordination between industrial policy and FDI promotion on various administrative levels.</w:t>
      </w:r>
    </w:p>
    <w:p w14:paraId="73CB87B0" w14:textId="77777777" w:rsidR="00182DEB" w:rsidRDefault="00182DEB" w:rsidP="00182DEB">
      <w:pPr>
        <w:pStyle w:val="BodyText"/>
        <w:numPr>
          <w:ilvl w:val="0"/>
          <w:numId w:val="3"/>
        </w:numPr>
        <w:kinsoku w:val="0"/>
        <w:overflowPunct w:val="0"/>
        <w:spacing w:line="480" w:lineRule="auto"/>
        <w:ind w:left="567" w:hanging="283"/>
        <w:rPr>
          <w:sz w:val="24"/>
          <w:szCs w:val="24"/>
        </w:rPr>
      </w:pPr>
      <w:r>
        <w:rPr>
          <w:sz w:val="24"/>
          <w:szCs w:val="24"/>
        </w:rPr>
        <w:t>Investment generation is most effective when long-term relationship building with targeted investors (in priority sectors) is supported by focused communication activities.</w:t>
      </w:r>
    </w:p>
    <w:p w14:paraId="62216D63" w14:textId="77777777" w:rsidR="00182DEB" w:rsidRDefault="00182DEB" w:rsidP="00182DEB">
      <w:pPr>
        <w:pStyle w:val="BodyText"/>
        <w:numPr>
          <w:ilvl w:val="0"/>
          <w:numId w:val="3"/>
        </w:numPr>
        <w:kinsoku w:val="0"/>
        <w:overflowPunct w:val="0"/>
        <w:spacing w:line="480" w:lineRule="auto"/>
        <w:ind w:left="567" w:hanging="283"/>
        <w:rPr>
          <w:sz w:val="24"/>
          <w:szCs w:val="24"/>
        </w:rPr>
      </w:pPr>
      <w:r>
        <w:rPr>
          <w:sz w:val="24"/>
          <w:szCs w:val="24"/>
        </w:rPr>
        <w:t>Effective facilitation is essential if leads are to be transformed into actual projects; this requires professional approach to project handling and coordinated provision of quality services on various levels of administrative hierarchy.</w:t>
      </w:r>
    </w:p>
    <w:p w14:paraId="376E51F2" w14:textId="77777777" w:rsidR="00182DEB" w:rsidRDefault="00182DEB" w:rsidP="00182DEB">
      <w:pPr>
        <w:pStyle w:val="BodyText"/>
        <w:numPr>
          <w:ilvl w:val="0"/>
          <w:numId w:val="3"/>
        </w:numPr>
        <w:kinsoku w:val="0"/>
        <w:overflowPunct w:val="0"/>
        <w:spacing w:line="480" w:lineRule="auto"/>
        <w:ind w:left="567" w:hanging="283"/>
        <w:rPr>
          <w:sz w:val="24"/>
          <w:szCs w:val="24"/>
        </w:rPr>
      </w:pPr>
      <w:r>
        <w:rPr>
          <w:sz w:val="24"/>
          <w:szCs w:val="24"/>
        </w:rPr>
        <w:t xml:space="preserve">To exploit the long-term benefits from FDI and to maintain and further develop the </w:t>
      </w:r>
      <w:r>
        <w:rPr>
          <w:sz w:val="24"/>
          <w:szCs w:val="24"/>
        </w:rPr>
        <w:lastRenderedPageBreak/>
        <w:t>competitive position of a location, aftercare and product improvement activities should form an integral part of investment promotion actions.</w:t>
      </w:r>
    </w:p>
    <w:p w14:paraId="1E4A88BB" w14:textId="3A193150" w:rsidR="00182DEB" w:rsidRDefault="00182DEB" w:rsidP="00182DEB">
      <w:pPr>
        <w:pStyle w:val="BodyText"/>
        <w:kinsoku w:val="0"/>
        <w:overflowPunct w:val="0"/>
        <w:spacing w:line="480" w:lineRule="auto"/>
        <w:ind w:left="0"/>
        <w:rPr>
          <w:sz w:val="24"/>
          <w:szCs w:val="24"/>
        </w:rPr>
      </w:pPr>
      <w:r>
        <w:rPr>
          <w:sz w:val="24"/>
          <w:szCs w:val="24"/>
        </w:rPr>
        <w:t>It is such a set of elements of good practice that have been used in this research to establish the coherence and intensity investment promotion performe</w:t>
      </w:r>
      <w:r w:rsidR="006E5109">
        <w:rPr>
          <w:sz w:val="24"/>
          <w:szCs w:val="24"/>
        </w:rPr>
        <w:t>d by Central-</w:t>
      </w:r>
      <w:r>
        <w:rPr>
          <w:sz w:val="24"/>
          <w:szCs w:val="24"/>
        </w:rPr>
        <w:t>Eastern European regional authorities.</w:t>
      </w:r>
    </w:p>
    <w:p w14:paraId="2C6C4347" w14:textId="77777777" w:rsidR="00182DEB" w:rsidRDefault="00182DEB" w:rsidP="00182DEB">
      <w:pPr>
        <w:pStyle w:val="BodyText"/>
        <w:kinsoku w:val="0"/>
        <w:overflowPunct w:val="0"/>
        <w:spacing w:line="480" w:lineRule="auto"/>
        <w:ind w:left="0"/>
        <w:rPr>
          <w:sz w:val="24"/>
          <w:szCs w:val="24"/>
        </w:rPr>
      </w:pPr>
    </w:p>
    <w:p w14:paraId="505DD05C" w14:textId="77777777" w:rsidR="00182DEB" w:rsidRDefault="00182DEB" w:rsidP="00182DEB">
      <w:pPr>
        <w:pStyle w:val="BodyText"/>
        <w:kinsoku w:val="0"/>
        <w:overflowPunct w:val="0"/>
        <w:spacing w:line="480" w:lineRule="auto"/>
        <w:ind w:left="0"/>
        <w:rPr>
          <w:b/>
          <w:bCs/>
          <w:sz w:val="24"/>
          <w:szCs w:val="24"/>
        </w:rPr>
      </w:pPr>
      <w:r>
        <w:rPr>
          <w:b/>
          <w:bCs/>
          <w:sz w:val="24"/>
          <w:szCs w:val="24"/>
        </w:rPr>
        <w:t>Methods</w:t>
      </w:r>
    </w:p>
    <w:p w14:paraId="3A0F43E5" w14:textId="77777777" w:rsidR="00182DEB" w:rsidRDefault="00182DEB" w:rsidP="00182DEB">
      <w:pPr>
        <w:pStyle w:val="BodyText"/>
        <w:kinsoku w:val="0"/>
        <w:overflowPunct w:val="0"/>
        <w:spacing w:line="480" w:lineRule="auto"/>
        <w:ind w:left="0"/>
        <w:rPr>
          <w:sz w:val="24"/>
          <w:szCs w:val="24"/>
        </w:rPr>
      </w:pPr>
    </w:p>
    <w:p w14:paraId="76AC864C" w14:textId="5D57CE67" w:rsidR="00182DEB" w:rsidRDefault="00182DEB" w:rsidP="00182DEB">
      <w:pPr>
        <w:pStyle w:val="BodyText"/>
        <w:kinsoku w:val="0"/>
        <w:overflowPunct w:val="0"/>
        <w:spacing w:line="480" w:lineRule="auto"/>
        <w:ind w:left="0" w:firstLine="720"/>
        <w:rPr>
          <w:sz w:val="24"/>
          <w:szCs w:val="24"/>
        </w:rPr>
      </w:pPr>
      <w:r>
        <w:rPr>
          <w:sz w:val="24"/>
          <w:szCs w:val="24"/>
        </w:rPr>
        <w:t xml:space="preserve">The approach adopted in this study builds on works of Burgess (1982), Wells and Wint (2000), Florek (2003, 2005), Young (2005) and Sáez </w:t>
      </w:r>
      <w:r>
        <w:rPr>
          <w:i/>
          <w:sz w:val="24"/>
          <w:szCs w:val="24"/>
        </w:rPr>
        <w:t>et al.</w:t>
      </w:r>
      <w:r>
        <w:rPr>
          <w:sz w:val="24"/>
          <w:szCs w:val="24"/>
        </w:rPr>
        <w:t xml:space="preserve"> (2017) </w:t>
      </w:r>
      <w:r w:rsidRPr="001720EF">
        <w:rPr>
          <w:sz w:val="24"/>
          <w:szCs w:val="24"/>
        </w:rPr>
        <w:t xml:space="preserve">to develop a methodology </w:t>
      </w:r>
      <w:r>
        <w:rPr>
          <w:sz w:val="24"/>
          <w:szCs w:val="24"/>
        </w:rPr>
        <w:t xml:space="preserve">that allows for </w:t>
      </w:r>
      <w:r w:rsidRPr="001720EF">
        <w:rPr>
          <w:sz w:val="24"/>
          <w:szCs w:val="24"/>
        </w:rPr>
        <w:t xml:space="preserve">addressing research questions </w:t>
      </w:r>
      <w:r w:rsidRPr="00137363">
        <w:rPr>
          <w:sz w:val="24"/>
          <w:szCs w:val="24"/>
        </w:rPr>
        <w:t xml:space="preserve">about the levels of intensity and coherence of </w:t>
      </w:r>
      <w:r w:rsidR="006E5109">
        <w:rPr>
          <w:sz w:val="24"/>
          <w:szCs w:val="24"/>
        </w:rPr>
        <w:t>Central-</w:t>
      </w:r>
      <w:r w:rsidRPr="001720EF">
        <w:rPr>
          <w:sz w:val="24"/>
          <w:szCs w:val="24"/>
        </w:rPr>
        <w:t>Eastern European regional investment promotion</w:t>
      </w:r>
      <w:r w:rsidRPr="00B82E2A">
        <w:rPr>
          <w:sz w:val="24"/>
          <w:szCs w:val="24"/>
        </w:rPr>
        <w:t xml:space="preserve">, and </w:t>
      </w:r>
      <w:r w:rsidRPr="00137363">
        <w:rPr>
          <w:sz w:val="24"/>
          <w:szCs w:val="24"/>
        </w:rPr>
        <w:t xml:space="preserve">the relationship with the developmental </w:t>
      </w:r>
      <w:r w:rsidRPr="001720EF">
        <w:rPr>
          <w:sz w:val="24"/>
          <w:szCs w:val="24"/>
        </w:rPr>
        <w:t xml:space="preserve">factors determining </w:t>
      </w:r>
      <w:r w:rsidRPr="00137363">
        <w:rPr>
          <w:sz w:val="24"/>
          <w:szCs w:val="24"/>
        </w:rPr>
        <w:t xml:space="preserve">it. </w:t>
      </w:r>
    </w:p>
    <w:p w14:paraId="53A91735" w14:textId="2FAA886B" w:rsidR="00182DEB" w:rsidRDefault="00182DEB" w:rsidP="00182DEB">
      <w:pPr>
        <w:pStyle w:val="BodyText"/>
        <w:kinsoku w:val="0"/>
        <w:overflowPunct w:val="0"/>
        <w:spacing w:line="480" w:lineRule="auto"/>
        <w:ind w:left="0"/>
        <w:rPr>
          <w:sz w:val="24"/>
          <w:szCs w:val="24"/>
        </w:rPr>
      </w:pPr>
      <w:r>
        <w:rPr>
          <w:sz w:val="24"/>
          <w:szCs w:val="24"/>
        </w:rPr>
        <w:tab/>
        <w:t xml:space="preserve">Country </w:t>
      </w:r>
      <w:r>
        <w:rPr>
          <w:sz w:val="24"/>
          <w:szCs w:val="24"/>
        </w:rPr>
        <w:t>selection has been guided by several factors. The Czech Republic, Poland and Slovakia are</w:t>
      </w:r>
      <w:r w:rsidR="00BB4BFA">
        <w:rPr>
          <w:sz w:val="24"/>
          <w:szCs w:val="24"/>
        </w:rPr>
        <w:t xml:space="preserve"> </w:t>
      </w:r>
      <w:r>
        <w:rPr>
          <w:sz w:val="24"/>
          <w:szCs w:val="24"/>
        </w:rPr>
        <w:t xml:space="preserve">often </w:t>
      </w:r>
      <w:r w:rsidR="00BB4BFA">
        <w:rPr>
          <w:sz w:val="24"/>
          <w:szCs w:val="24"/>
        </w:rPr>
        <w:t>directly</w:t>
      </w:r>
      <w:r>
        <w:rPr>
          <w:sz w:val="24"/>
          <w:szCs w:val="24"/>
        </w:rPr>
        <w:t xml:space="preserve"> competin</w:t>
      </w:r>
      <w:r w:rsidR="00BB4BFA">
        <w:rPr>
          <w:sz w:val="24"/>
          <w:szCs w:val="24"/>
        </w:rPr>
        <w:t>g</w:t>
      </w:r>
      <w:r>
        <w:rPr>
          <w:sz w:val="24"/>
          <w:szCs w:val="24"/>
        </w:rPr>
        <w:t xml:space="preserve"> for FDI projects in this part of E</w:t>
      </w:r>
      <w:r w:rsidR="00E146B6">
        <w:rPr>
          <w:sz w:val="24"/>
          <w:szCs w:val="24"/>
        </w:rPr>
        <w:t>urope (</w:t>
      </w:r>
      <w:r w:rsidR="00E146B6">
        <w:rPr>
          <w:sz w:val="24"/>
          <w:szCs w:val="24"/>
        </w:rPr>
        <w:t>Helinska-</w:t>
      </w:r>
      <w:r>
        <w:rPr>
          <w:sz w:val="24"/>
          <w:szCs w:val="24"/>
        </w:rPr>
        <w:t>Hughes and Hughes, 2003</w:t>
      </w:r>
      <w:r w:rsidR="00BB4BFA">
        <w:rPr>
          <w:sz w:val="24"/>
          <w:szCs w:val="24"/>
        </w:rPr>
        <w:t>;</w:t>
      </w:r>
      <w:r>
        <w:rPr>
          <w:sz w:val="24"/>
          <w:szCs w:val="24"/>
        </w:rPr>
        <w:t xml:space="preserve"> Ascani </w:t>
      </w:r>
      <w:r>
        <w:rPr>
          <w:i/>
          <w:sz w:val="24"/>
          <w:szCs w:val="24"/>
        </w:rPr>
        <w:t>et al.,</w:t>
      </w:r>
      <w:r>
        <w:rPr>
          <w:sz w:val="24"/>
          <w:szCs w:val="24"/>
        </w:rPr>
        <w:t xml:space="preserve"> 2017). They regularly occupy proximate positions on the UNCTAD Inward FDI Potential Index. </w:t>
      </w:r>
      <w:r w:rsidR="00BB4BFA">
        <w:rPr>
          <w:sz w:val="24"/>
          <w:szCs w:val="24"/>
        </w:rPr>
        <w:t>In</w:t>
      </w:r>
      <w:r>
        <w:rPr>
          <w:sz w:val="24"/>
          <w:szCs w:val="24"/>
        </w:rPr>
        <w:t xml:space="preserve"> 2003</w:t>
      </w:r>
      <w:r w:rsidR="00BB4BFA">
        <w:rPr>
          <w:sz w:val="24"/>
          <w:szCs w:val="24"/>
        </w:rPr>
        <w:t>,</w:t>
      </w:r>
      <w:r>
        <w:rPr>
          <w:sz w:val="24"/>
          <w:szCs w:val="24"/>
        </w:rPr>
        <w:t xml:space="preserve"> the Czech Republic was ranked 39, Poland 43 and Slovakia 46. The following years brought only minor changes and in 2005, when this research was conducted, the countries were ranked 38, 44 and 52 respectively. Additionally, all three countries have been receiving significant inflows of the foreign capital, large parts of which were </w:t>
      </w:r>
      <w:r w:rsidR="00424295">
        <w:rPr>
          <w:sz w:val="24"/>
          <w:szCs w:val="24"/>
        </w:rPr>
        <w:t xml:space="preserve">greenfield in nature (UNCTAD </w:t>
      </w:r>
      <w:r>
        <w:rPr>
          <w:sz w:val="24"/>
          <w:szCs w:val="24"/>
        </w:rPr>
        <w:t xml:space="preserve">2005, 2007). Furthermore, they share a number of institutional similarities, which permitted controlling for divergent approach to regional governance. As an effect of negotiations prior to their entry to the EU, and one of the conditions for accession, the previously heavily centralised administrations devolved powers to the newly formed regional structures. Within the broad framework of </w:t>
      </w:r>
      <w:r>
        <w:rPr>
          <w:sz w:val="24"/>
          <w:szCs w:val="24"/>
        </w:rPr>
        <w:lastRenderedPageBreak/>
        <w:t>decentralisation the particular reforms took different directions and pace, however, by 2001 all three countries implemented the changes and created self-managing regions (Ferry and McMaster, 2013, Swianiewicz, 2014). By the day of accession to the EU on the 1st of May 2004, regional authorities in CEE had at least a few years to stabilise, establish effective self-governance mechanisms and design development strategies, including those related to investment promotion.</w:t>
      </w:r>
    </w:p>
    <w:p w14:paraId="18EC2100" w14:textId="12C8EA76" w:rsidR="00182DEB" w:rsidRDefault="00182DEB" w:rsidP="00182DEB">
      <w:pPr>
        <w:pStyle w:val="BodyText"/>
        <w:kinsoku w:val="0"/>
        <w:overflowPunct w:val="0"/>
        <w:spacing w:line="480" w:lineRule="auto"/>
        <w:ind w:left="0" w:firstLine="720"/>
        <w:rPr>
          <w:sz w:val="24"/>
          <w:szCs w:val="24"/>
        </w:rPr>
      </w:pPr>
      <w:r>
        <w:rPr>
          <w:sz w:val="24"/>
          <w:szCs w:val="24"/>
        </w:rPr>
        <w:t xml:space="preserve">Another factor favouring the study of three countries has been the steady increase in FDI inflows associated with the EU membership (Badelj, 2010). The years immediately before the accession to the EU marked renewed interests of </w:t>
      </w:r>
      <w:r w:rsidR="00E146B6">
        <w:rPr>
          <w:sz w:val="24"/>
          <w:szCs w:val="24"/>
        </w:rPr>
        <w:t xml:space="preserve">MNEs </w:t>
      </w:r>
      <w:r>
        <w:rPr>
          <w:sz w:val="24"/>
          <w:szCs w:val="24"/>
        </w:rPr>
        <w:t xml:space="preserve">in </w:t>
      </w:r>
      <w:r w:rsidR="006E5109">
        <w:rPr>
          <w:sz w:val="24"/>
          <w:szCs w:val="24"/>
        </w:rPr>
        <w:t>Central-</w:t>
      </w:r>
      <w:r>
        <w:rPr>
          <w:sz w:val="24"/>
          <w:szCs w:val="24"/>
        </w:rPr>
        <w:t xml:space="preserve">Eastern Europe. After the accession, this interest was </w:t>
      </w:r>
      <w:r w:rsidR="00E146B6">
        <w:rPr>
          <w:sz w:val="24"/>
          <w:szCs w:val="24"/>
        </w:rPr>
        <w:t xml:space="preserve">further </w:t>
      </w:r>
      <w:r>
        <w:rPr>
          <w:sz w:val="24"/>
          <w:szCs w:val="24"/>
        </w:rPr>
        <w:t>strengthened as in 2005 $11.7 million marked the highest inflow of foreign capital to the Czech Republic to this day, while in 2006 and 2007 both Slovakia and Poland received their record levels of FDI, $5.8 and $22.6 million respectively (UNCTAD 2007, 2009). It is the set of such rationale which favoured the selection of the Czech Republic, Poland and Slovakia for this study exploring regional promotion aimed at investment attraction</w:t>
      </w:r>
      <w:r>
        <w:rPr>
          <w:rStyle w:val="FootnoteReference"/>
          <w:sz w:val="24"/>
          <w:szCs w:val="24"/>
        </w:rPr>
        <w:footnoteReference w:id="4"/>
      </w:r>
      <w:r>
        <w:rPr>
          <w:sz w:val="24"/>
          <w:szCs w:val="24"/>
        </w:rPr>
        <w:t>.</w:t>
      </w:r>
    </w:p>
    <w:p w14:paraId="35BAC130" w14:textId="0FC73B7F" w:rsidR="00182DEB" w:rsidRDefault="00182DEB" w:rsidP="00182DEB">
      <w:pPr>
        <w:pStyle w:val="BodyText"/>
        <w:kinsoku w:val="0"/>
        <w:overflowPunct w:val="0"/>
        <w:spacing w:line="480" w:lineRule="auto"/>
        <w:ind w:left="0"/>
        <w:rPr>
          <w:sz w:val="24"/>
          <w:szCs w:val="24"/>
        </w:rPr>
      </w:pPr>
      <w:r>
        <w:rPr>
          <w:sz w:val="24"/>
          <w:szCs w:val="24"/>
        </w:rPr>
        <w:tab/>
        <w:t xml:space="preserve"> Empirical research comprised a census of all regional authorities in the Czech Republic (14), Poland (16) and Slovakia (8). The regional authorities surveyed reflect administrative arrangements of regional governance in the three countries. The primary purpose of the census was to gather data on promotional pra</w:t>
      </w:r>
      <w:r w:rsidR="00673567">
        <w:rPr>
          <w:sz w:val="24"/>
          <w:szCs w:val="24"/>
        </w:rPr>
        <w:t xml:space="preserve">ctices to allow </w:t>
      </w:r>
      <w:r>
        <w:rPr>
          <w:sz w:val="24"/>
          <w:szCs w:val="24"/>
        </w:rPr>
        <w:t>examination of links between</w:t>
      </w:r>
      <w:r w:rsidR="008C30FE">
        <w:rPr>
          <w:sz w:val="24"/>
          <w:szCs w:val="24"/>
        </w:rPr>
        <w:t xml:space="preserve"> regional</w:t>
      </w:r>
      <w:r>
        <w:rPr>
          <w:sz w:val="24"/>
          <w:szCs w:val="24"/>
        </w:rPr>
        <w:t xml:space="preserve"> authorities' involvement in investment promotion and the socio-economic conditions prevailing in the regions. Ensuring data validity, the questionnaires in native languages, were sent to heads of regional development departments and, where such </w:t>
      </w:r>
      <w:r>
        <w:rPr>
          <w:sz w:val="24"/>
          <w:szCs w:val="24"/>
        </w:rPr>
        <w:lastRenderedPageBreak/>
        <w:t>were identifiable, the directors of promotion offices. Initially, in September 2005, the questionnaires were distributed by post, and subsequently upon request an electronic copy was provided. The final response rate reached 100%, i.e. all 38 regional authorities responded to the survey by January 2006. The questionnaires comprised four sections exploring different aspects of investment promotion related to the '</w:t>
      </w:r>
      <w:r w:rsidR="0071555D">
        <w:rPr>
          <w:sz w:val="24"/>
          <w:szCs w:val="24"/>
        </w:rPr>
        <w:t>criteria for effective investment promotion</w:t>
      </w:r>
      <w:r w:rsidR="00CD777E">
        <w:rPr>
          <w:sz w:val="24"/>
          <w:szCs w:val="24"/>
        </w:rPr>
        <w:t xml:space="preserve">' </w:t>
      </w:r>
      <w:r w:rsidR="0071555D">
        <w:rPr>
          <w:sz w:val="24"/>
          <w:szCs w:val="24"/>
        </w:rPr>
        <w:t xml:space="preserve">discussed </w:t>
      </w:r>
      <w:r w:rsidR="00CD777E">
        <w:rPr>
          <w:sz w:val="24"/>
          <w:szCs w:val="24"/>
        </w:rPr>
        <w:t>above</w:t>
      </w:r>
      <w:r w:rsidR="0071555D">
        <w:rPr>
          <w:sz w:val="24"/>
          <w:szCs w:val="24"/>
        </w:rPr>
        <w:t xml:space="preserve">: scope and type of promotional activities, </w:t>
      </w:r>
      <w:r>
        <w:rPr>
          <w:sz w:val="24"/>
          <w:szCs w:val="24"/>
        </w:rPr>
        <w:t xml:space="preserve">importance of foreign investors amongst other target groups, extent </w:t>
      </w:r>
      <w:r w:rsidRPr="00DC4D87">
        <w:rPr>
          <w:sz w:val="24"/>
          <w:szCs w:val="24"/>
        </w:rPr>
        <w:t xml:space="preserve">of promotional activities aimed specifically at foreign investors, </w:t>
      </w:r>
      <w:r w:rsidR="00667302" w:rsidRPr="00DC4D87">
        <w:rPr>
          <w:sz w:val="24"/>
          <w:szCs w:val="24"/>
        </w:rPr>
        <w:t xml:space="preserve">and organisation of </w:t>
      </w:r>
      <w:r w:rsidRPr="00DC4D87">
        <w:rPr>
          <w:sz w:val="24"/>
          <w:szCs w:val="24"/>
        </w:rPr>
        <w:t xml:space="preserve">promotion. Table 3 presents the proxies </w:t>
      </w:r>
      <w:r w:rsidR="0071555D" w:rsidRPr="00DC4D87">
        <w:rPr>
          <w:sz w:val="24"/>
          <w:szCs w:val="24"/>
        </w:rPr>
        <w:t xml:space="preserve">matching </w:t>
      </w:r>
      <w:r w:rsidRPr="00DC4D87">
        <w:rPr>
          <w:sz w:val="24"/>
          <w:szCs w:val="24"/>
        </w:rPr>
        <w:t xml:space="preserve">each of the </w:t>
      </w:r>
      <w:r w:rsidR="0071555D" w:rsidRPr="00DC4D87">
        <w:rPr>
          <w:sz w:val="24"/>
          <w:szCs w:val="24"/>
        </w:rPr>
        <w:t>criterion</w:t>
      </w:r>
      <w:r w:rsidRPr="00DC4D87">
        <w:rPr>
          <w:sz w:val="24"/>
          <w:szCs w:val="24"/>
        </w:rPr>
        <w:t xml:space="preserve">. The proxies </w:t>
      </w:r>
      <w:r w:rsidR="008464FC" w:rsidRPr="00DC4D87">
        <w:rPr>
          <w:sz w:val="24"/>
          <w:szCs w:val="24"/>
        </w:rPr>
        <w:t xml:space="preserve">were </w:t>
      </w:r>
      <w:r w:rsidRPr="00DC4D87">
        <w:rPr>
          <w:sz w:val="24"/>
          <w:szCs w:val="24"/>
        </w:rPr>
        <w:t>developed based directly on the questionnaire data and are discussed next.</w:t>
      </w:r>
    </w:p>
    <w:p w14:paraId="58920D27" w14:textId="77777777" w:rsidR="00182DEB" w:rsidRDefault="00182DEB" w:rsidP="00182DEB">
      <w:pPr>
        <w:pStyle w:val="BodyText"/>
        <w:kinsoku w:val="0"/>
        <w:overflowPunct w:val="0"/>
        <w:spacing w:line="480" w:lineRule="auto"/>
        <w:ind w:left="0"/>
        <w:rPr>
          <w:sz w:val="24"/>
          <w:szCs w:val="24"/>
        </w:rPr>
      </w:pPr>
    </w:p>
    <w:p w14:paraId="760F6C47" w14:textId="77777777" w:rsidR="00182DEB" w:rsidRPr="00245485" w:rsidRDefault="00182DEB" w:rsidP="00182DEB">
      <w:pPr>
        <w:pStyle w:val="BodyText"/>
        <w:kinsoku w:val="0"/>
        <w:overflowPunct w:val="0"/>
        <w:spacing w:line="480" w:lineRule="auto"/>
        <w:ind w:left="0"/>
        <w:rPr>
          <w:i/>
          <w:iCs/>
          <w:sz w:val="24"/>
          <w:szCs w:val="24"/>
        </w:rPr>
      </w:pPr>
      <w:r w:rsidRPr="00245485">
        <w:rPr>
          <w:i/>
          <w:iCs/>
          <w:sz w:val="24"/>
          <w:szCs w:val="24"/>
        </w:rPr>
        <w:t>Investment Promotion Index</w:t>
      </w:r>
    </w:p>
    <w:p w14:paraId="48B9DB33" w14:textId="151A7EB5" w:rsidR="00182DEB" w:rsidRDefault="00182DEB" w:rsidP="00182DEB">
      <w:pPr>
        <w:pStyle w:val="BodyText"/>
        <w:kinsoku w:val="0"/>
        <w:overflowPunct w:val="0"/>
        <w:spacing w:line="480" w:lineRule="auto"/>
        <w:ind w:left="0"/>
        <w:rPr>
          <w:sz w:val="24"/>
          <w:szCs w:val="24"/>
        </w:rPr>
      </w:pPr>
      <w:r>
        <w:rPr>
          <w:sz w:val="24"/>
          <w:szCs w:val="24"/>
        </w:rPr>
        <w:t xml:space="preserve">Scoring on each of the </w:t>
      </w:r>
      <w:r w:rsidR="0071555D">
        <w:rPr>
          <w:sz w:val="24"/>
          <w:szCs w:val="24"/>
        </w:rPr>
        <w:t xml:space="preserve">criterion </w:t>
      </w:r>
      <w:r>
        <w:rPr>
          <w:sz w:val="24"/>
          <w:szCs w:val="24"/>
        </w:rPr>
        <w:t>allowed the creation of the Investment Promotion Index (IPI), which measures the coherence of investment attraction activities performed by regional authorities in the Czech Republic, Poland and Slovakia. For example, 'Wide Participation' was measured by a number of types of partner institutions</w:t>
      </w:r>
      <w:r w:rsidR="00DC4D87">
        <w:rPr>
          <w:sz w:val="24"/>
          <w:szCs w:val="24"/>
        </w:rPr>
        <w:t xml:space="preserve"> (e.g. chamber of commerce, industrial association, regional development agencies) </w:t>
      </w:r>
      <w:r>
        <w:rPr>
          <w:sz w:val="24"/>
          <w:szCs w:val="24"/>
        </w:rPr>
        <w:t>that regional authorities cooperated with on investment promotion.</w:t>
      </w:r>
    </w:p>
    <w:p w14:paraId="1D1B13AA" w14:textId="77777777" w:rsidR="00182DEB" w:rsidRDefault="00182DEB" w:rsidP="00182DEB">
      <w:pPr>
        <w:pStyle w:val="BodyText"/>
        <w:kinsoku w:val="0"/>
        <w:overflowPunct w:val="0"/>
        <w:spacing w:line="480" w:lineRule="auto"/>
        <w:ind w:left="0"/>
        <w:rPr>
          <w:sz w:val="24"/>
          <w:szCs w:val="24"/>
        </w:rPr>
      </w:pPr>
    </w:p>
    <w:p w14:paraId="32CE15F5" w14:textId="77777777" w:rsidR="00182DEB" w:rsidRDefault="00182DEB" w:rsidP="00182DEB">
      <w:pPr>
        <w:pStyle w:val="BodyText"/>
        <w:kinsoku w:val="0"/>
        <w:overflowPunct w:val="0"/>
        <w:spacing w:line="480" w:lineRule="auto"/>
        <w:ind w:left="0"/>
        <w:jc w:val="center"/>
        <w:rPr>
          <w:b/>
          <w:sz w:val="24"/>
          <w:szCs w:val="24"/>
        </w:rPr>
      </w:pPr>
      <w:r>
        <w:rPr>
          <w:b/>
          <w:sz w:val="24"/>
          <w:szCs w:val="24"/>
        </w:rPr>
        <w:t>Table 3 about here</w:t>
      </w:r>
    </w:p>
    <w:p w14:paraId="272D307F" w14:textId="77777777" w:rsidR="00182DEB" w:rsidRDefault="00182DEB" w:rsidP="00182DEB">
      <w:pPr>
        <w:pStyle w:val="BodyText"/>
        <w:kinsoku w:val="0"/>
        <w:overflowPunct w:val="0"/>
        <w:spacing w:line="480" w:lineRule="auto"/>
        <w:ind w:left="0"/>
        <w:rPr>
          <w:sz w:val="24"/>
          <w:szCs w:val="24"/>
        </w:rPr>
      </w:pPr>
    </w:p>
    <w:p w14:paraId="0BAA3F79" w14:textId="160D34C8" w:rsidR="00182DEB" w:rsidRDefault="00182DEB" w:rsidP="00182DEB">
      <w:pPr>
        <w:pStyle w:val="BodyText"/>
        <w:kinsoku w:val="0"/>
        <w:overflowPunct w:val="0"/>
        <w:spacing w:line="480" w:lineRule="auto"/>
        <w:ind w:left="0"/>
        <w:rPr>
          <w:sz w:val="24"/>
          <w:szCs w:val="24"/>
        </w:rPr>
      </w:pPr>
      <w:r>
        <w:rPr>
          <w:sz w:val="24"/>
          <w:szCs w:val="24"/>
        </w:rPr>
        <w:tab/>
        <w:t xml:space="preserve">If the number was above the average, regional authorities received the score of 1, and 0 in cases when it was below. Equally, for 'Partnership' regional authorities were awarded 1 if the total number of partner institutions was greater than the average. In case of ‘Leadership’ a score of 1 reflects the presence of a dedicated investment promotion office within the </w:t>
      </w:r>
      <w:r>
        <w:rPr>
          <w:sz w:val="24"/>
          <w:szCs w:val="24"/>
        </w:rPr>
        <w:lastRenderedPageBreak/>
        <w:t xml:space="preserve">structures of the regional authority. 'Commitment' </w:t>
      </w:r>
      <w:r w:rsidR="005E4CC8">
        <w:rPr>
          <w:sz w:val="24"/>
          <w:szCs w:val="24"/>
        </w:rPr>
        <w:t xml:space="preserve">was </w:t>
      </w:r>
      <w:r>
        <w:rPr>
          <w:sz w:val="24"/>
          <w:szCs w:val="24"/>
        </w:rPr>
        <w:t xml:space="preserve">measured by positive (1) or negative (0) change in the promotional budget between 2004 and 2005. If investment promotion was integrated within the formal Regional Development Strategy document, it was deemed coherent with developmental objectives of the region. Regional authorities' promotion was considered to be targeted if in the survey they explicitly identified either sectoral or geographical targets of their activities. Ability to name direct international competitors was used as a proxy reflecting regional authorities’ ability to recognise competition. Similarly, identification of advantages the region provides to investors </w:t>
      </w:r>
      <w:r w:rsidR="005E4CC8">
        <w:rPr>
          <w:sz w:val="24"/>
          <w:szCs w:val="24"/>
        </w:rPr>
        <w:t xml:space="preserve">was </w:t>
      </w:r>
      <w:r>
        <w:rPr>
          <w:sz w:val="24"/>
          <w:szCs w:val="24"/>
        </w:rPr>
        <w:t xml:space="preserve">considered as good practice in positioning of the promotional message. Investment Promotion Index, similarly to UNCTAD Inward FDI Potential Index, has been calculated as non-weighted average of individual sums acquired by each of the 38 regional authorities surveyed, as each indicator is taken as being equal. Consequently, the IPI is expressed by the following formula: </w:t>
      </w:r>
    </w:p>
    <w:p w14:paraId="1D51B570" w14:textId="77777777" w:rsidR="00182DEB" w:rsidRDefault="00182DEB" w:rsidP="00182DEB">
      <w:pPr>
        <w:pStyle w:val="BodyText"/>
        <w:kinsoku w:val="0"/>
        <w:overflowPunct w:val="0"/>
        <w:spacing w:line="480" w:lineRule="auto"/>
        <w:ind w:left="0"/>
        <w:rPr>
          <w:sz w:val="24"/>
          <w:szCs w:val="24"/>
        </w:rPr>
      </w:pPr>
      <m:oMathPara>
        <m:oMath>
          <m:r>
            <w:rPr>
              <w:rFonts w:ascii="Cambria Math" w:hAnsi="Cambria Math"/>
              <w:sz w:val="24"/>
              <w:szCs w:val="24"/>
            </w:rPr>
            <m:t>IPI=</m:t>
          </m:r>
          <m:nary>
            <m:naryPr>
              <m:chr m:val="∑"/>
              <m:grow m:val="1"/>
              <m:ctrlPr>
                <w:rPr>
                  <w:rFonts w:ascii="Cambria Math" w:hAnsi="Cambria Math"/>
                  <w:sz w:val="24"/>
                  <w:szCs w:val="24"/>
                </w:rPr>
              </m:ctrlPr>
            </m:naryPr>
            <m:sub>
              <m:r>
                <w:rPr>
                  <w:rFonts w:ascii="Cambria Math" w:hAnsi="Cambria Math"/>
                  <w:sz w:val="24"/>
                  <w:szCs w:val="24"/>
                </w:rPr>
                <m:t>n</m:t>
              </m:r>
            </m:sub>
            <m:sup>
              <m:r>
                <w:rPr>
                  <w:rFonts w:ascii="Cambria Math" w:hAnsi="Cambria Math"/>
                  <w:sz w:val="24"/>
                  <w:szCs w:val="24"/>
                </w:rPr>
                <m:t>∞</m:t>
              </m:r>
            </m:sup>
            <m:e>
              <m:d>
                <m:dPr>
                  <m:ctrlPr>
                    <w:rPr>
                      <w:rFonts w:ascii="Cambria Math" w:hAnsi="Cambria Math"/>
                      <w:sz w:val="24"/>
                      <w:szCs w:val="24"/>
                    </w:rPr>
                  </m:ctrlPr>
                </m:dPr>
                <m:e>
                  <m:r>
                    <w:rPr>
                      <w:rFonts w:ascii="Cambria Math" w:hAnsi="Cambria Math"/>
                      <w:sz w:val="24"/>
                      <w:szCs w:val="24"/>
                    </w:rPr>
                    <m:t>X/n</m:t>
                  </m:r>
                </m:e>
              </m:d>
            </m:e>
          </m:nary>
        </m:oMath>
      </m:oMathPara>
    </w:p>
    <w:p w14:paraId="62AA512B" w14:textId="77777777" w:rsidR="00182DEB" w:rsidRDefault="00182DEB" w:rsidP="00182DEB">
      <w:pPr>
        <w:pStyle w:val="BodyText"/>
        <w:kinsoku w:val="0"/>
        <w:overflowPunct w:val="0"/>
        <w:spacing w:line="480" w:lineRule="auto"/>
        <w:ind w:left="0"/>
        <w:rPr>
          <w:sz w:val="24"/>
          <w:szCs w:val="24"/>
        </w:rPr>
      </w:pPr>
      <w:r>
        <w:rPr>
          <w:sz w:val="24"/>
          <w:szCs w:val="24"/>
        </w:rPr>
        <w:t xml:space="preserve">Where ‘x’ is a vector of factors of successful place promotion (Table 2), ‘n’ is the total number of factors. Therefore, expanding above equation yields the following:  </w:t>
      </w:r>
    </w:p>
    <w:p w14:paraId="3AF8C366" w14:textId="77777777" w:rsidR="00182DEB" w:rsidRDefault="00182DEB" w:rsidP="00182DEB">
      <w:pPr>
        <w:pStyle w:val="BodyText"/>
        <w:kinsoku w:val="0"/>
        <w:overflowPunct w:val="0"/>
        <w:spacing w:line="480" w:lineRule="auto"/>
        <w:ind w:left="0"/>
        <w:rPr>
          <w:sz w:val="24"/>
          <w:szCs w:val="24"/>
        </w:rPr>
      </w:pPr>
      <m:oMathPara>
        <m:oMath>
          <m:r>
            <w:rPr>
              <w:rFonts w:ascii="Cambria Math" w:hAnsi="Cambria Math"/>
              <w:sz w:val="24"/>
              <w:szCs w:val="24"/>
            </w:rPr>
            <m:t>IPI=[</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7</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8</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9</m:t>
              </m:r>
            </m:sub>
          </m:sSub>
          <m:r>
            <w:rPr>
              <w:rFonts w:ascii="Cambria Math" w:hAnsi="Cambria Math"/>
              <w:sz w:val="24"/>
              <w:szCs w:val="24"/>
            </w:rPr>
            <m:t>/n]</m:t>
          </m:r>
        </m:oMath>
      </m:oMathPara>
    </w:p>
    <w:p w14:paraId="746D05A8" w14:textId="77777777" w:rsidR="00182DEB" w:rsidRDefault="00182DEB" w:rsidP="00182DEB">
      <w:pPr>
        <w:pStyle w:val="BodyText"/>
        <w:kinsoku w:val="0"/>
        <w:overflowPunct w:val="0"/>
        <w:spacing w:line="480" w:lineRule="auto"/>
        <w:ind w:left="0"/>
        <w:rPr>
          <w:sz w:val="24"/>
          <w:szCs w:val="24"/>
        </w:rPr>
      </w:pPr>
    </w:p>
    <w:p w14:paraId="157EE390" w14:textId="32C2158E" w:rsidR="00182DEB" w:rsidRDefault="00E14794" w:rsidP="00182DEB">
      <w:pPr>
        <w:pStyle w:val="BodyText"/>
        <w:kinsoku w:val="0"/>
        <w:overflowPunct w:val="0"/>
        <w:spacing w:line="480" w:lineRule="auto"/>
        <w:ind w:left="0"/>
        <w:rPr>
          <w:sz w:val="24"/>
          <w:szCs w:val="24"/>
        </w:rPr>
      </w:pPr>
      <w:r>
        <w:rPr>
          <w:sz w:val="24"/>
          <w:szCs w:val="24"/>
        </w:rPr>
        <w:t>IPI</w:t>
      </w:r>
      <w:r w:rsidR="00182DEB">
        <w:rPr>
          <w:sz w:val="24"/>
          <w:szCs w:val="24"/>
        </w:rPr>
        <w:t xml:space="preserve"> was used as a comprehensive measure of coherence and robustness of investment promotion conducted by CEE regional authorities. The correlation of IPI with socio-economic variables determining the levels of regional developmen</w:t>
      </w:r>
      <w:r w:rsidR="005E4CC8">
        <w:rPr>
          <w:sz w:val="24"/>
          <w:szCs w:val="24"/>
        </w:rPr>
        <w:t>t such as unemployment rate,</w:t>
      </w:r>
      <w:r w:rsidR="00182DEB">
        <w:rPr>
          <w:sz w:val="24"/>
          <w:szCs w:val="24"/>
        </w:rPr>
        <w:t xml:space="preserve"> dynamics of the regional economy (regional </w:t>
      </w:r>
      <w:r w:rsidR="005E4CC8">
        <w:rPr>
          <w:sz w:val="24"/>
          <w:szCs w:val="24"/>
        </w:rPr>
        <w:t xml:space="preserve">GDP </w:t>
      </w:r>
      <w:r w:rsidR="00182DEB">
        <w:rPr>
          <w:sz w:val="24"/>
          <w:szCs w:val="24"/>
        </w:rPr>
        <w:t xml:space="preserve">growth rate), wealth (regional GDP per capita) and regional share of national FDI stock, provided insights into the relationship between the process of investment promotion and the development of regions. Secondary data </w:t>
      </w:r>
      <w:r w:rsidR="005F3C24">
        <w:rPr>
          <w:sz w:val="24"/>
          <w:szCs w:val="24"/>
        </w:rPr>
        <w:t xml:space="preserve">was </w:t>
      </w:r>
      <w:r w:rsidR="00182DEB">
        <w:rPr>
          <w:sz w:val="24"/>
          <w:szCs w:val="24"/>
        </w:rPr>
        <w:t xml:space="preserve">sourced from national statistical offices, national banks and investment promotion </w:t>
      </w:r>
      <w:r w:rsidR="00182DEB">
        <w:rPr>
          <w:sz w:val="24"/>
          <w:szCs w:val="24"/>
        </w:rPr>
        <w:lastRenderedPageBreak/>
        <w:t xml:space="preserve">agencies in the three countries. </w:t>
      </w:r>
    </w:p>
    <w:p w14:paraId="3FECC395" w14:textId="22F217C5" w:rsidR="00182DEB" w:rsidRDefault="00182DEB" w:rsidP="00182DEB">
      <w:pPr>
        <w:pStyle w:val="BodyText"/>
        <w:kinsoku w:val="0"/>
        <w:overflowPunct w:val="0"/>
        <w:spacing w:line="480" w:lineRule="auto"/>
        <w:ind w:left="0" w:firstLine="720"/>
        <w:rPr>
          <w:sz w:val="24"/>
          <w:szCs w:val="24"/>
        </w:rPr>
      </w:pPr>
      <w:r>
        <w:rPr>
          <w:sz w:val="24"/>
          <w:szCs w:val="24"/>
        </w:rPr>
        <w:t>Non- parametric, two-tailed Spearman</w:t>
      </w:r>
      <w:r w:rsidR="00532120">
        <w:rPr>
          <w:sz w:val="24"/>
          <w:szCs w:val="24"/>
        </w:rPr>
        <w:t>’</w:t>
      </w:r>
      <w:r>
        <w:rPr>
          <w:sz w:val="24"/>
          <w:szCs w:val="24"/>
        </w:rPr>
        <w:t>s correlation test allowed investigating the relationship between IPI and regional development variables without implying the direction of causality. Kr</w:t>
      </w:r>
      <w:r w:rsidR="00532120">
        <w:rPr>
          <w:sz w:val="24"/>
          <w:szCs w:val="24"/>
        </w:rPr>
        <w:t>u</w:t>
      </w:r>
      <w:r>
        <w:rPr>
          <w:sz w:val="24"/>
          <w:szCs w:val="24"/>
        </w:rPr>
        <w:t xml:space="preserve">skall-Wallis, a non-parametric test of difference </w:t>
      </w:r>
      <w:r w:rsidR="005E4CC8">
        <w:rPr>
          <w:sz w:val="24"/>
          <w:szCs w:val="24"/>
        </w:rPr>
        <w:t xml:space="preserve">was </w:t>
      </w:r>
      <w:r>
        <w:rPr>
          <w:sz w:val="24"/>
          <w:szCs w:val="24"/>
        </w:rPr>
        <w:t>to investigate statistical significance of differences in mean values between the three countries.</w:t>
      </w:r>
    </w:p>
    <w:p w14:paraId="18B75246" w14:textId="77777777" w:rsidR="005E4CC8" w:rsidRDefault="005E4CC8" w:rsidP="00182DEB">
      <w:pPr>
        <w:pStyle w:val="BodyText"/>
        <w:kinsoku w:val="0"/>
        <w:overflowPunct w:val="0"/>
        <w:spacing w:line="480" w:lineRule="auto"/>
        <w:ind w:left="0" w:firstLine="720"/>
        <w:rPr>
          <w:sz w:val="24"/>
          <w:szCs w:val="24"/>
        </w:rPr>
      </w:pPr>
    </w:p>
    <w:p w14:paraId="2BE1F47B" w14:textId="77777777" w:rsidR="00182DEB" w:rsidRDefault="00182DEB" w:rsidP="00182DEB">
      <w:pPr>
        <w:pStyle w:val="BodyText"/>
        <w:kinsoku w:val="0"/>
        <w:overflowPunct w:val="0"/>
        <w:spacing w:line="480" w:lineRule="auto"/>
        <w:ind w:left="0"/>
        <w:rPr>
          <w:b/>
          <w:bCs/>
          <w:sz w:val="24"/>
          <w:szCs w:val="24"/>
        </w:rPr>
      </w:pPr>
      <w:r>
        <w:rPr>
          <w:b/>
          <w:bCs/>
          <w:sz w:val="24"/>
          <w:szCs w:val="24"/>
        </w:rPr>
        <w:t>Intensity of Investment Promotion in Central-Eastern European Regions</w:t>
      </w:r>
    </w:p>
    <w:p w14:paraId="166CD29A" w14:textId="77777777" w:rsidR="00182DEB" w:rsidRDefault="00182DEB" w:rsidP="00182DEB">
      <w:pPr>
        <w:pStyle w:val="BodyText"/>
        <w:kinsoku w:val="0"/>
        <w:overflowPunct w:val="0"/>
        <w:spacing w:line="480" w:lineRule="auto"/>
        <w:ind w:left="0"/>
        <w:rPr>
          <w:sz w:val="24"/>
          <w:szCs w:val="24"/>
        </w:rPr>
      </w:pPr>
    </w:p>
    <w:p w14:paraId="67D80F19" w14:textId="6259BC54" w:rsidR="00182DEB" w:rsidRDefault="00182DEB" w:rsidP="00182DEB">
      <w:pPr>
        <w:pStyle w:val="BodyText"/>
        <w:kinsoku w:val="0"/>
        <w:overflowPunct w:val="0"/>
        <w:spacing w:line="480" w:lineRule="auto"/>
        <w:ind w:left="0"/>
        <w:rPr>
          <w:sz w:val="24"/>
          <w:szCs w:val="24"/>
        </w:rPr>
      </w:pPr>
      <w:r>
        <w:rPr>
          <w:sz w:val="24"/>
          <w:szCs w:val="24"/>
        </w:rPr>
        <w:t>The analysis of the results allows several main observations. Overall, the intensity of regional investment promotion is medium to high, but this varie</w:t>
      </w:r>
      <w:r w:rsidR="00532120">
        <w:rPr>
          <w:sz w:val="24"/>
          <w:szCs w:val="24"/>
        </w:rPr>
        <w:t>d</w:t>
      </w:r>
      <w:r>
        <w:rPr>
          <w:sz w:val="24"/>
          <w:szCs w:val="24"/>
        </w:rPr>
        <w:t xml:space="preserve"> across the Czech Republic, Poland and Slovakia. There are considerable differences between the countries, as well as within each one of them. The average value of the Investment Promotion Index for the three countries equals 0.646, with the majority of regions (22 out of 38) scor</w:t>
      </w:r>
      <w:r w:rsidR="00532120">
        <w:rPr>
          <w:sz w:val="24"/>
          <w:szCs w:val="24"/>
        </w:rPr>
        <w:t>ing</w:t>
      </w:r>
      <w:r>
        <w:rPr>
          <w:sz w:val="24"/>
          <w:szCs w:val="24"/>
        </w:rPr>
        <w:t xml:space="preserve"> in the top third (between 0.67 and 1). However, with</w:t>
      </w:r>
      <w:r w:rsidR="005E4CC8">
        <w:rPr>
          <w:sz w:val="24"/>
          <w:szCs w:val="24"/>
        </w:rPr>
        <w:t xml:space="preserve"> an average of 0.766, the IPI of</w:t>
      </w:r>
      <w:r>
        <w:rPr>
          <w:sz w:val="24"/>
          <w:szCs w:val="24"/>
        </w:rPr>
        <w:t xml:space="preserve"> Polish regions is considerably higher than in Slovakia</w:t>
      </w:r>
      <w:r w:rsidR="00532120">
        <w:rPr>
          <w:sz w:val="24"/>
          <w:szCs w:val="24"/>
        </w:rPr>
        <w:t xml:space="preserve"> (0.614)</w:t>
      </w:r>
      <w:r>
        <w:rPr>
          <w:sz w:val="24"/>
          <w:szCs w:val="24"/>
        </w:rPr>
        <w:t xml:space="preserve"> and the Czech Republic</w:t>
      </w:r>
      <w:r w:rsidR="00532120">
        <w:rPr>
          <w:sz w:val="24"/>
          <w:szCs w:val="24"/>
        </w:rPr>
        <w:t xml:space="preserve"> (</w:t>
      </w:r>
      <w:r>
        <w:rPr>
          <w:sz w:val="24"/>
          <w:szCs w:val="24"/>
        </w:rPr>
        <w:t>0.566</w:t>
      </w:r>
      <w:r w:rsidR="00532120">
        <w:rPr>
          <w:sz w:val="24"/>
          <w:szCs w:val="24"/>
        </w:rPr>
        <w:t>)</w:t>
      </w:r>
      <w:r>
        <w:rPr>
          <w:sz w:val="24"/>
          <w:szCs w:val="24"/>
        </w:rPr>
        <w:t>. Similarly, the difference between the highest and lowest IPI values is smaller amongst Polish regions (0.44), but considerably higher in Slovakia (0.78) and the Czech Republic (0.67). Consequently, in line with earlier studies (e.g. Young, 2005</w:t>
      </w:r>
      <w:r w:rsidR="00532120">
        <w:rPr>
          <w:sz w:val="24"/>
          <w:szCs w:val="24"/>
        </w:rPr>
        <w:t>;</w:t>
      </w:r>
      <w:r>
        <w:rPr>
          <w:sz w:val="24"/>
          <w:szCs w:val="24"/>
        </w:rPr>
        <w:t xml:space="preserve"> Capik 2019) Polish regional authorities are on average more engaged with investment promotion than their Slovak and Czech counterparts. The involvement of Slovak regions is more uneven with some regional authorities scoring lowest on the IPI, and others achieving almost the top score. This may reflect the developmental stage of investment promotion in the country, where the boundaries of responsibilities between regional authorities and the NIPA are still being shaped. In the Czech Republic, whilst the difference between maximum and minimum values of IPI is lower than in the Slova</w:t>
      </w:r>
      <w:r w:rsidR="005E4CC8">
        <w:rPr>
          <w:sz w:val="24"/>
          <w:szCs w:val="24"/>
        </w:rPr>
        <w:t xml:space="preserve">k case, overall </w:t>
      </w:r>
      <w:r>
        <w:rPr>
          <w:sz w:val="24"/>
          <w:szCs w:val="24"/>
        </w:rPr>
        <w:t xml:space="preserve">regional authorities' investment promotion is the least intense </w:t>
      </w:r>
      <w:r>
        <w:rPr>
          <w:sz w:val="24"/>
          <w:szCs w:val="24"/>
        </w:rPr>
        <w:lastRenderedPageBreak/>
        <w:t xml:space="preserve">and coherent. </w:t>
      </w:r>
      <w:r w:rsidRPr="003360A8">
        <w:rPr>
          <w:sz w:val="24"/>
          <w:szCs w:val="24"/>
        </w:rPr>
        <w:t xml:space="preserve">Such results corroborate other studies (e.g. </w:t>
      </w:r>
      <w:r w:rsidRPr="00CE3A8D">
        <w:rPr>
          <w:sz w:val="24"/>
          <w:szCs w:val="24"/>
        </w:rPr>
        <w:t>Young 2005</w:t>
      </w:r>
      <w:r w:rsidR="00532120">
        <w:rPr>
          <w:sz w:val="24"/>
          <w:szCs w:val="24"/>
        </w:rPr>
        <w:t xml:space="preserve">; </w:t>
      </w:r>
      <w:r w:rsidRPr="00137363">
        <w:rPr>
          <w:sz w:val="24"/>
          <w:szCs w:val="24"/>
        </w:rPr>
        <w:t>World Bank 2017</w:t>
      </w:r>
      <w:r w:rsidRPr="003360A8">
        <w:rPr>
          <w:sz w:val="24"/>
          <w:szCs w:val="24"/>
        </w:rPr>
        <w:t>) indicating</w:t>
      </w:r>
      <w:r w:rsidRPr="00CE3A8D">
        <w:rPr>
          <w:sz w:val="24"/>
          <w:szCs w:val="24"/>
        </w:rPr>
        <w:t xml:space="preserve"> varied levels of engagement</w:t>
      </w:r>
      <w:r w:rsidRPr="00137363">
        <w:rPr>
          <w:sz w:val="24"/>
          <w:szCs w:val="24"/>
        </w:rPr>
        <w:t xml:space="preserve"> across CEEC, which some authors (e.g. Capik 2019) attribute to the strength and level of dominance of the </w:t>
      </w:r>
      <w:r w:rsidR="00532120">
        <w:rPr>
          <w:sz w:val="24"/>
          <w:szCs w:val="24"/>
        </w:rPr>
        <w:t>NIPA</w:t>
      </w:r>
      <w:r w:rsidRPr="00137363">
        <w:rPr>
          <w:sz w:val="24"/>
          <w:szCs w:val="24"/>
        </w:rPr>
        <w:t>.</w:t>
      </w:r>
      <w:r>
        <w:rPr>
          <w:sz w:val="24"/>
          <w:szCs w:val="24"/>
        </w:rPr>
        <w:t xml:space="preserve"> The next stage of analysis provided insights into the relationship between IPI and the factors reflecting the state of regional economy including regional GDP growth, GDP per capita, unemployment rate and regional share in country's inward FDI stock.</w:t>
      </w:r>
    </w:p>
    <w:p w14:paraId="66C811EA" w14:textId="77777777" w:rsidR="00182DEB" w:rsidRDefault="00182DEB" w:rsidP="00182DEB">
      <w:pPr>
        <w:pStyle w:val="BodyText"/>
        <w:kinsoku w:val="0"/>
        <w:overflowPunct w:val="0"/>
        <w:spacing w:line="480" w:lineRule="auto"/>
        <w:ind w:left="0"/>
        <w:rPr>
          <w:sz w:val="24"/>
          <w:szCs w:val="24"/>
        </w:rPr>
      </w:pPr>
    </w:p>
    <w:p w14:paraId="24642410" w14:textId="259BE999" w:rsidR="00182DEB" w:rsidRPr="00BC2392" w:rsidRDefault="00182DEB" w:rsidP="00182DEB">
      <w:pPr>
        <w:pStyle w:val="BodyText"/>
        <w:kinsoku w:val="0"/>
        <w:overflowPunct w:val="0"/>
        <w:spacing w:line="480" w:lineRule="auto"/>
        <w:ind w:left="0"/>
        <w:rPr>
          <w:i/>
          <w:iCs/>
          <w:sz w:val="24"/>
          <w:szCs w:val="24"/>
        </w:rPr>
      </w:pPr>
      <w:r w:rsidRPr="00002098">
        <w:rPr>
          <w:i/>
          <w:iCs/>
          <w:sz w:val="24"/>
          <w:szCs w:val="24"/>
        </w:rPr>
        <w:t>Inves</w:t>
      </w:r>
      <w:r w:rsidR="005E4CC8">
        <w:rPr>
          <w:i/>
          <w:iCs/>
          <w:sz w:val="24"/>
          <w:szCs w:val="24"/>
        </w:rPr>
        <w:t>tment Promotion and</w:t>
      </w:r>
      <w:r w:rsidRPr="00002098">
        <w:rPr>
          <w:i/>
          <w:iCs/>
          <w:sz w:val="24"/>
          <w:szCs w:val="24"/>
        </w:rPr>
        <w:t xml:space="preserve"> Regional Development </w:t>
      </w:r>
      <w:r w:rsidR="005B3E81">
        <w:rPr>
          <w:i/>
          <w:iCs/>
          <w:sz w:val="24"/>
          <w:szCs w:val="24"/>
        </w:rPr>
        <w:t>Levels</w:t>
      </w:r>
      <w:r w:rsidRPr="00BC2392">
        <w:rPr>
          <w:i/>
          <w:iCs/>
          <w:sz w:val="24"/>
          <w:szCs w:val="24"/>
        </w:rPr>
        <w:t xml:space="preserve"> </w:t>
      </w:r>
    </w:p>
    <w:p w14:paraId="0CC2E76F" w14:textId="7F9594D0" w:rsidR="00182DEB" w:rsidRDefault="00182DEB" w:rsidP="001634F9">
      <w:pPr>
        <w:pStyle w:val="BodyText"/>
        <w:kinsoku w:val="0"/>
        <w:overflowPunct w:val="0"/>
        <w:spacing w:line="480" w:lineRule="auto"/>
        <w:ind w:left="0"/>
        <w:rPr>
          <w:sz w:val="24"/>
          <w:szCs w:val="24"/>
        </w:rPr>
      </w:pPr>
      <w:r>
        <w:rPr>
          <w:sz w:val="24"/>
          <w:szCs w:val="24"/>
        </w:rPr>
        <w:t>Investigation of</w:t>
      </w:r>
      <w:r>
        <w:rPr>
          <w:sz w:val="24"/>
          <w:szCs w:val="24"/>
        </w:rPr>
        <w:t xml:space="preserve"> the relationship between IPI values and selected factors determining levels of regional development</w:t>
      </w:r>
      <w:r w:rsidR="007B4582">
        <w:rPr>
          <w:sz w:val="24"/>
          <w:szCs w:val="24"/>
        </w:rPr>
        <w:t xml:space="preserve"> revealed</w:t>
      </w:r>
      <w:r>
        <w:rPr>
          <w:sz w:val="24"/>
          <w:szCs w:val="24"/>
        </w:rPr>
        <w:t xml:space="preserve"> correlation with only limited number of them (Table 4). </w:t>
      </w:r>
      <w:r w:rsidR="0078228F">
        <w:rPr>
          <w:sz w:val="24"/>
          <w:szCs w:val="24"/>
        </w:rPr>
        <w:t xml:space="preserve"> </w:t>
      </w:r>
      <w:r>
        <w:rPr>
          <w:sz w:val="24"/>
          <w:szCs w:val="24"/>
        </w:rPr>
        <w:t>IPI is negatively related to the GDP per capita levels.</w:t>
      </w:r>
      <w:r w:rsidR="0078228F">
        <w:rPr>
          <w:sz w:val="24"/>
          <w:szCs w:val="24"/>
        </w:rPr>
        <w:t xml:space="preserve"> </w:t>
      </w:r>
      <w:r>
        <w:rPr>
          <w:sz w:val="24"/>
          <w:szCs w:val="24"/>
        </w:rPr>
        <w:t>The wealthier regions, with overall healthier economies characterised by higher personal incomes, are less interested in developing coherent, intensive inward investment promotion practices. Instead, more consistent and comprehensive promotion activities are found in regions with lower GDP per capita.</w:t>
      </w:r>
    </w:p>
    <w:p w14:paraId="2C354BE4" w14:textId="77777777" w:rsidR="00182DEB" w:rsidRDefault="00182DEB" w:rsidP="00182DEB">
      <w:pPr>
        <w:pStyle w:val="BodyText"/>
        <w:kinsoku w:val="0"/>
        <w:overflowPunct w:val="0"/>
        <w:spacing w:line="480" w:lineRule="auto"/>
        <w:ind w:left="0"/>
        <w:rPr>
          <w:sz w:val="24"/>
          <w:szCs w:val="24"/>
        </w:rPr>
      </w:pPr>
    </w:p>
    <w:p w14:paraId="13AD3702" w14:textId="77777777" w:rsidR="00182DEB" w:rsidRDefault="00182DEB" w:rsidP="00182DEB">
      <w:pPr>
        <w:pStyle w:val="BodyText"/>
        <w:kinsoku w:val="0"/>
        <w:overflowPunct w:val="0"/>
        <w:spacing w:line="480" w:lineRule="auto"/>
        <w:ind w:left="0"/>
        <w:jc w:val="center"/>
        <w:rPr>
          <w:b/>
          <w:sz w:val="24"/>
          <w:szCs w:val="24"/>
        </w:rPr>
      </w:pPr>
      <w:r>
        <w:rPr>
          <w:b/>
          <w:sz w:val="24"/>
          <w:szCs w:val="24"/>
        </w:rPr>
        <w:t>Table 4 about here</w:t>
      </w:r>
    </w:p>
    <w:p w14:paraId="7723FEA5" w14:textId="77777777" w:rsidR="00182DEB" w:rsidRDefault="00182DEB" w:rsidP="00182DEB">
      <w:pPr>
        <w:pStyle w:val="BodyText"/>
        <w:kinsoku w:val="0"/>
        <w:overflowPunct w:val="0"/>
        <w:spacing w:line="480" w:lineRule="auto"/>
        <w:ind w:left="0"/>
        <w:rPr>
          <w:sz w:val="24"/>
          <w:szCs w:val="24"/>
        </w:rPr>
      </w:pPr>
    </w:p>
    <w:p w14:paraId="3AED059D" w14:textId="27AF3DC0" w:rsidR="00182DEB" w:rsidRDefault="00182DEB" w:rsidP="00182DEB">
      <w:pPr>
        <w:pStyle w:val="BodyText"/>
        <w:kinsoku w:val="0"/>
        <w:overflowPunct w:val="0"/>
        <w:spacing w:line="480" w:lineRule="auto"/>
        <w:ind w:left="0"/>
        <w:rPr>
          <w:sz w:val="24"/>
          <w:szCs w:val="24"/>
        </w:rPr>
      </w:pPr>
      <w:r>
        <w:rPr>
          <w:sz w:val="24"/>
          <w:szCs w:val="24"/>
        </w:rPr>
        <w:tab/>
        <w:t xml:space="preserve">Correspondingly, the IPI displays a positive relationship to the levels of unemployment - the higher the regional unemployment rate pushing incomes down, the higher the IPI value. It is apparent that CEE regional authorities see foreign investors primarily as creators of employment and develop comprehensive approaches aimed at attracting them particularly when the regional labour market is in poor condition. Other factors, such as GDP growth rates, seem to bear no relation to the IPI levels. This is significant, as it demonstrates that neither good nor poor performance of regional economy is an incentive for the authorities to develop comprehensive investment promotion. This is in </w:t>
      </w:r>
      <w:r>
        <w:rPr>
          <w:sz w:val="24"/>
          <w:szCs w:val="24"/>
        </w:rPr>
        <w:lastRenderedPageBreak/>
        <w:t>stark contradiction with earlier studies stressing the contribution of FDI to the restructuring of regional economies (e.g. Domański 2001</w:t>
      </w:r>
      <w:r w:rsidR="005F3C24">
        <w:rPr>
          <w:sz w:val="24"/>
          <w:szCs w:val="24"/>
        </w:rPr>
        <w:t>;</w:t>
      </w:r>
      <w:r>
        <w:rPr>
          <w:sz w:val="24"/>
          <w:szCs w:val="24"/>
        </w:rPr>
        <w:t xml:space="preserve"> Dogaru </w:t>
      </w:r>
      <w:r>
        <w:rPr>
          <w:i/>
          <w:sz w:val="24"/>
          <w:szCs w:val="24"/>
        </w:rPr>
        <w:t>et al.</w:t>
      </w:r>
      <w:r>
        <w:rPr>
          <w:sz w:val="24"/>
          <w:szCs w:val="24"/>
        </w:rPr>
        <w:t xml:space="preserve"> 2015). Additional fact that regional share of national FDI stock is not related to IPI, corroborates this observation. In other words, previous success (or lack of it) in securing FDI inflows, does not push regional authorities to greater promotional effort in order to secure futur</w:t>
      </w:r>
      <w:bookmarkStart w:id="0" w:name="_GoBack"/>
      <w:bookmarkEnd w:id="0"/>
      <w:r>
        <w:rPr>
          <w:sz w:val="24"/>
          <w:szCs w:val="24"/>
        </w:rPr>
        <w:t xml:space="preserve">e investments and continue the restructuring and growth of the economy. </w:t>
      </w:r>
    </w:p>
    <w:p w14:paraId="31FD33AC" w14:textId="77777777" w:rsidR="00182DEB" w:rsidRDefault="00182DEB" w:rsidP="00182DEB">
      <w:pPr>
        <w:pStyle w:val="BodyText"/>
        <w:kinsoku w:val="0"/>
        <w:overflowPunct w:val="0"/>
        <w:spacing w:line="480" w:lineRule="auto"/>
        <w:ind w:left="0"/>
        <w:rPr>
          <w:sz w:val="24"/>
          <w:szCs w:val="24"/>
        </w:rPr>
      </w:pPr>
    </w:p>
    <w:p w14:paraId="59B42CF1" w14:textId="77777777" w:rsidR="00182DEB" w:rsidRDefault="00182DEB" w:rsidP="00182DEB">
      <w:pPr>
        <w:pStyle w:val="BodyText"/>
        <w:kinsoku w:val="0"/>
        <w:overflowPunct w:val="0"/>
        <w:spacing w:line="480" w:lineRule="auto"/>
        <w:ind w:left="0"/>
        <w:rPr>
          <w:b/>
          <w:bCs/>
          <w:sz w:val="24"/>
          <w:szCs w:val="24"/>
        </w:rPr>
      </w:pPr>
      <w:r>
        <w:rPr>
          <w:b/>
          <w:bCs/>
          <w:sz w:val="24"/>
          <w:szCs w:val="24"/>
        </w:rPr>
        <w:t>Conclusions</w:t>
      </w:r>
    </w:p>
    <w:p w14:paraId="702D031F" w14:textId="77777777" w:rsidR="00182DEB" w:rsidRDefault="00182DEB" w:rsidP="00182DEB">
      <w:pPr>
        <w:pStyle w:val="BodyText"/>
        <w:kinsoku w:val="0"/>
        <w:overflowPunct w:val="0"/>
        <w:spacing w:line="480" w:lineRule="auto"/>
        <w:ind w:left="0"/>
        <w:rPr>
          <w:sz w:val="24"/>
          <w:szCs w:val="24"/>
        </w:rPr>
      </w:pPr>
    </w:p>
    <w:p w14:paraId="09DDB9D8" w14:textId="799C392A" w:rsidR="00182DEB" w:rsidRDefault="00182DEB" w:rsidP="00182DEB">
      <w:pPr>
        <w:pStyle w:val="BodyText"/>
        <w:kinsoku w:val="0"/>
        <w:overflowPunct w:val="0"/>
        <w:spacing w:before="52" w:line="480" w:lineRule="auto"/>
        <w:ind w:left="0"/>
        <w:rPr>
          <w:sz w:val="24"/>
          <w:szCs w:val="24"/>
        </w:rPr>
      </w:pPr>
      <w:r>
        <w:rPr>
          <w:sz w:val="24"/>
          <w:szCs w:val="24"/>
        </w:rPr>
        <w:t xml:space="preserve">The rationale underlying this paper was threefold. </w:t>
      </w:r>
      <w:r w:rsidR="004825E4">
        <w:rPr>
          <w:sz w:val="24"/>
          <w:szCs w:val="24"/>
        </w:rPr>
        <w:t>Firstly, it was motivated by</w:t>
      </w:r>
      <w:r>
        <w:rPr>
          <w:sz w:val="24"/>
          <w:szCs w:val="24"/>
        </w:rPr>
        <w:t xml:space="preserve"> existing gaps in knowledge resulting from the thematical, geographical and scalar focus of previous studies</w:t>
      </w:r>
      <w:r w:rsidR="00C64540">
        <w:rPr>
          <w:sz w:val="24"/>
          <w:szCs w:val="24"/>
        </w:rPr>
        <w:t xml:space="preserve"> that </w:t>
      </w:r>
      <w:r>
        <w:rPr>
          <w:sz w:val="24"/>
          <w:szCs w:val="24"/>
        </w:rPr>
        <w:t xml:space="preserve">explore </w:t>
      </w:r>
      <w:r>
        <w:rPr>
          <w:sz w:val="24"/>
          <w:szCs w:val="24"/>
        </w:rPr>
        <w:t>general or tourism-oriented promotional practices of predominantly developed countries and their (post-industrial) cities. Secondly, in line with the increase o</w:t>
      </w:r>
      <w:r w:rsidR="006E5109">
        <w:rPr>
          <w:sz w:val="24"/>
          <w:szCs w:val="24"/>
        </w:rPr>
        <w:t>f global capital flows, Central-</w:t>
      </w:r>
      <w:r>
        <w:rPr>
          <w:sz w:val="24"/>
          <w:szCs w:val="24"/>
        </w:rPr>
        <w:t>Eastern European countries in the initial years of the</w:t>
      </w:r>
      <w:r>
        <w:rPr>
          <w:spacing w:val="-29"/>
          <w:sz w:val="24"/>
          <w:szCs w:val="24"/>
        </w:rPr>
        <w:t xml:space="preserve"> </w:t>
      </w:r>
      <w:r>
        <w:rPr>
          <w:sz w:val="24"/>
          <w:szCs w:val="24"/>
        </w:rPr>
        <w:t>new millennium have witnessed growing volumes of FDI inflows, yet the distribution of foreign</w:t>
      </w:r>
      <w:r>
        <w:rPr>
          <w:spacing w:val="-28"/>
          <w:sz w:val="24"/>
          <w:szCs w:val="24"/>
        </w:rPr>
        <w:t xml:space="preserve"> </w:t>
      </w:r>
      <w:r>
        <w:rPr>
          <w:sz w:val="24"/>
          <w:szCs w:val="24"/>
        </w:rPr>
        <w:t>capital and location of FDI projects varied considerably within and between the countries and</w:t>
      </w:r>
      <w:r>
        <w:rPr>
          <w:spacing w:val="-23"/>
          <w:sz w:val="24"/>
          <w:szCs w:val="24"/>
        </w:rPr>
        <w:t xml:space="preserve"> </w:t>
      </w:r>
      <w:r>
        <w:rPr>
          <w:sz w:val="24"/>
          <w:szCs w:val="24"/>
        </w:rPr>
        <w:t>remained biased towards the capital city regions. Thirdly, the popularity of investment promotion</w:t>
      </w:r>
      <w:r>
        <w:rPr>
          <w:spacing w:val="-24"/>
          <w:sz w:val="24"/>
          <w:szCs w:val="24"/>
        </w:rPr>
        <w:t xml:space="preserve"> </w:t>
      </w:r>
      <w:r>
        <w:rPr>
          <w:sz w:val="24"/>
          <w:szCs w:val="24"/>
        </w:rPr>
        <w:t>practices across the globe – as evidenced by</w:t>
      </w:r>
      <w:r w:rsidR="009911D8">
        <w:rPr>
          <w:sz w:val="24"/>
          <w:szCs w:val="24"/>
        </w:rPr>
        <w:t xml:space="preserve"> </w:t>
      </w:r>
      <w:r>
        <w:rPr>
          <w:sz w:val="24"/>
          <w:szCs w:val="24"/>
        </w:rPr>
        <w:t>the growing number of investment</w:t>
      </w:r>
      <w:r>
        <w:rPr>
          <w:spacing w:val="-17"/>
          <w:sz w:val="24"/>
          <w:szCs w:val="24"/>
        </w:rPr>
        <w:t xml:space="preserve"> </w:t>
      </w:r>
      <w:r>
        <w:rPr>
          <w:sz w:val="24"/>
          <w:szCs w:val="24"/>
        </w:rPr>
        <w:t>promotion agencies and consulting firms – calls for systematic international research and a switch o</w:t>
      </w:r>
      <w:r w:rsidR="004825E4">
        <w:rPr>
          <w:sz w:val="24"/>
          <w:szCs w:val="24"/>
        </w:rPr>
        <w:t xml:space="preserve">f its focus from </w:t>
      </w:r>
      <w:r>
        <w:rPr>
          <w:sz w:val="24"/>
          <w:szCs w:val="24"/>
        </w:rPr>
        <w:t>image-making activities to comprehensive investment promotion process</w:t>
      </w:r>
      <w:r w:rsidR="002A0265">
        <w:rPr>
          <w:sz w:val="24"/>
          <w:szCs w:val="24"/>
        </w:rPr>
        <w:t>es</w:t>
      </w:r>
      <w:r>
        <w:rPr>
          <w:sz w:val="24"/>
          <w:szCs w:val="24"/>
        </w:rPr>
        <w:t>. This, in</w:t>
      </w:r>
      <w:r>
        <w:rPr>
          <w:spacing w:val="-29"/>
          <w:sz w:val="24"/>
          <w:szCs w:val="24"/>
        </w:rPr>
        <w:t xml:space="preserve"> </w:t>
      </w:r>
      <w:r>
        <w:rPr>
          <w:sz w:val="24"/>
          <w:szCs w:val="24"/>
        </w:rPr>
        <w:t>turn, calls for exploration of the link between investment promotion practice and regional</w:t>
      </w:r>
      <w:r>
        <w:rPr>
          <w:spacing w:val="-23"/>
          <w:sz w:val="24"/>
          <w:szCs w:val="24"/>
        </w:rPr>
        <w:t xml:space="preserve"> </w:t>
      </w:r>
      <w:r>
        <w:rPr>
          <w:sz w:val="24"/>
          <w:szCs w:val="24"/>
        </w:rPr>
        <w:t>development.</w:t>
      </w:r>
    </w:p>
    <w:p w14:paraId="1A2F576E" w14:textId="29609482" w:rsidR="00182DEB" w:rsidRDefault="00182DEB" w:rsidP="00182DEB">
      <w:pPr>
        <w:pStyle w:val="BodyText"/>
        <w:kinsoku w:val="0"/>
        <w:overflowPunct w:val="0"/>
        <w:spacing w:before="7" w:line="480" w:lineRule="auto"/>
        <w:ind w:left="0"/>
        <w:rPr>
          <w:sz w:val="24"/>
          <w:szCs w:val="24"/>
        </w:rPr>
      </w:pPr>
      <w:r>
        <w:rPr>
          <w:sz w:val="24"/>
          <w:szCs w:val="24"/>
        </w:rPr>
        <w:tab/>
        <w:t>In this respect, the paper</w:t>
      </w:r>
      <w:r w:rsidR="002A0265">
        <w:rPr>
          <w:sz w:val="24"/>
          <w:szCs w:val="24"/>
        </w:rPr>
        <w:t>’s</w:t>
      </w:r>
      <w:r>
        <w:rPr>
          <w:sz w:val="24"/>
          <w:szCs w:val="24"/>
        </w:rPr>
        <w:t xml:space="preserve"> </w:t>
      </w:r>
      <w:r w:rsidR="002A0265">
        <w:rPr>
          <w:sz w:val="24"/>
          <w:szCs w:val="24"/>
        </w:rPr>
        <w:t>theoretical and practical contributions are as follows; f</w:t>
      </w:r>
      <w:r>
        <w:rPr>
          <w:sz w:val="24"/>
          <w:szCs w:val="24"/>
        </w:rPr>
        <w:t xml:space="preserve">irstly, it provided a novel conceptual approach by explicitly linking relevant aspects of place promotion, marketing and branding with investment promotion domain. </w:t>
      </w:r>
      <w:r w:rsidR="002A0265">
        <w:rPr>
          <w:sz w:val="24"/>
          <w:szCs w:val="24"/>
        </w:rPr>
        <w:t>S</w:t>
      </w:r>
      <w:r>
        <w:rPr>
          <w:sz w:val="24"/>
          <w:szCs w:val="24"/>
        </w:rPr>
        <w:t xml:space="preserve">econdly, it </w:t>
      </w:r>
      <w:r>
        <w:rPr>
          <w:sz w:val="24"/>
          <w:szCs w:val="24"/>
        </w:rPr>
        <w:lastRenderedPageBreak/>
        <w:t>proposed a systematic way</w:t>
      </w:r>
      <w:r>
        <w:rPr>
          <w:spacing w:val="-17"/>
          <w:sz w:val="24"/>
          <w:szCs w:val="24"/>
        </w:rPr>
        <w:t xml:space="preserve"> </w:t>
      </w:r>
      <w:r>
        <w:rPr>
          <w:sz w:val="24"/>
          <w:szCs w:val="24"/>
        </w:rPr>
        <w:t>of measuring regional authorities' engagement with investment promotion. Thirdly, by investigating</w:t>
      </w:r>
      <w:r>
        <w:rPr>
          <w:spacing w:val="-29"/>
          <w:sz w:val="24"/>
          <w:szCs w:val="24"/>
        </w:rPr>
        <w:t xml:space="preserve"> </w:t>
      </w:r>
      <w:r>
        <w:rPr>
          <w:sz w:val="24"/>
          <w:szCs w:val="24"/>
        </w:rPr>
        <w:t xml:space="preserve">its relationship to features determining the levels of regional development, it </w:t>
      </w:r>
      <w:r>
        <w:rPr>
          <w:sz w:val="24"/>
          <w:szCs w:val="24"/>
        </w:rPr>
        <w:t>provided early insights into the</w:t>
      </w:r>
      <w:r>
        <w:rPr>
          <w:spacing w:val="-23"/>
          <w:sz w:val="24"/>
          <w:szCs w:val="24"/>
        </w:rPr>
        <w:t xml:space="preserve"> </w:t>
      </w:r>
      <w:r>
        <w:rPr>
          <w:sz w:val="24"/>
          <w:szCs w:val="24"/>
        </w:rPr>
        <w:t>links between investment promotion and wider development of regions</w:t>
      </w:r>
      <w:r w:rsidR="002A0265">
        <w:rPr>
          <w:sz w:val="24"/>
          <w:szCs w:val="24"/>
        </w:rPr>
        <w:t xml:space="preserve">, thus </w:t>
      </w:r>
      <w:r>
        <w:rPr>
          <w:sz w:val="24"/>
          <w:szCs w:val="24"/>
        </w:rPr>
        <w:t>fill</w:t>
      </w:r>
      <w:r w:rsidR="002A0265">
        <w:rPr>
          <w:sz w:val="24"/>
          <w:szCs w:val="24"/>
        </w:rPr>
        <w:t>ing</w:t>
      </w:r>
      <w:r>
        <w:rPr>
          <w:sz w:val="24"/>
          <w:szCs w:val="24"/>
        </w:rPr>
        <w:t xml:space="preserve"> the persistent gap in current literature. </w:t>
      </w:r>
    </w:p>
    <w:p w14:paraId="2539E723" w14:textId="7C7D44D6" w:rsidR="00182DEB" w:rsidRDefault="00182DEB" w:rsidP="00182DEB">
      <w:pPr>
        <w:pStyle w:val="BodyText"/>
        <w:kinsoku w:val="0"/>
        <w:overflowPunct w:val="0"/>
        <w:spacing w:before="9" w:line="480" w:lineRule="auto"/>
        <w:ind w:left="0"/>
        <w:rPr>
          <w:sz w:val="24"/>
          <w:szCs w:val="24"/>
        </w:rPr>
      </w:pPr>
      <w:r>
        <w:rPr>
          <w:sz w:val="24"/>
          <w:szCs w:val="24"/>
        </w:rPr>
        <w:tab/>
        <w:t>Investmen</w:t>
      </w:r>
      <w:r w:rsidR="00FC1B8F">
        <w:rPr>
          <w:sz w:val="24"/>
          <w:szCs w:val="24"/>
        </w:rPr>
        <w:t>t promotion of</w:t>
      </w:r>
      <w:r w:rsidR="006E5109">
        <w:rPr>
          <w:sz w:val="24"/>
          <w:szCs w:val="24"/>
        </w:rPr>
        <w:t xml:space="preserve"> Central-</w:t>
      </w:r>
      <w:r>
        <w:rPr>
          <w:sz w:val="24"/>
          <w:szCs w:val="24"/>
        </w:rPr>
        <w:t>Eastern European regional authorities is at developmental stage,</w:t>
      </w:r>
      <w:r>
        <w:rPr>
          <w:spacing w:val="-21"/>
          <w:sz w:val="24"/>
          <w:szCs w:val="24"/>
        </w:rPr>
        <w:t xml:space="preserve"> </w:t>
      </w:r>
      <w:r>
        <w:rPr>
          <w:sz w:val="24"/>
          <w:szCs w:val="24"/>
        </w:rPr>
        <w:t xml:space="preserve">and often lacks consistency and robustness. However, </w:t>
      </w:r>
      <w:r>
        <w:rPr>
          <w:sz w:val="24"/>
          <w:szCs w:val="24"/>
        </w:rPr>
        <w:t xml:space="preserve">overall </w:t>
      </w:r>
      <w:r>
        <w:rPr>
          <w:sz w:val="24"/>
          <w:szCs w:val="24"/>
        </w:rPr>
        <w:t>it seems to comprise a set of</w:t>
      </w:r>
      <w:r>
        <w:rPr>
          <w:spacing w:val="-18"/>
          <w:sz w:val="24"/>
          <w:szCs w:val="24"/>
        </w:rPr>
        <w:t xml:space="preserve"> </w:t>
      </w:r>
      <w:r>
        <w:rPr>
          <w:sz w:val="24"/>
          <w:szCs w:val="24"/>
        </w:rPr>
        <w:t xml:space="preserve">deliberate actions, believed to bear fruit. The intensity of promotion, as measured by the </w:t>
      </w:r>
      <w:r w:rsidR="002A0265">
        <w:rPr>
          <w:sz w:val="24"/>
          <w:szCs w:val="24"/>
        </w:rPr>
        <w:t>IPI</w:t>
      </w:r>
      <w:r>
        <w:rPr>
          <w:sz w:val="24"/>
          <w:szCs w:val="24"/>
        </w:rPr>
        <w:t xml:space="preserve">, is related to the </w:t>
      </w:r>
      <w:r w:rsidR="00FC1B8F">
        <w:rPr>
          <w:sz w:val="24"/>
          <w:szCs w:val="24"/>
        </w:rPr>
        <w:t xml:space="preserve">condition of </w:t>
      </w:r>
      <w:r>
        <w:rPr>
          <w:sz w:val="24"/>
          <w:szCs w:val="24"/>
        </w:rPr>
        <w:t>the regional labour market. Regions characterised by</w:t>
      </w:r>
      <w:r>
        <w:rPr>
          <w:spacing w:val="-27"/>
          <w:sz w:val="24"/>
          <w:szCs w:val="24"/>
        </w:rPr>
        <w:t xml:space="preserve"> </w:t>
      </w:r>
      <w:r>
        <w:rPr>
          <w:sz w:val="24"/>
          <w:szCs w:val="24"/>
        </w:rPr>
        <w:t>higher unemployment rate and lower income levels developed more holistic investment</w:t>
      </w:r>
      <w:r>
        <w:rPr>
          <w:spacing w:val="-15"/>
          <w:sz w:val="24"/>
          <w:szCs w:val="24"/>
        </w:rPr>
        <w:t xml:space="preserve"> </w:t>
      </w:r>
      <w:r>
        <w:rPr>
          <w:sz w:val="24"/>
          <w:szCs w:val="24"/>
        </w:rPr>
        <w:t>promotion approaches. In other words, active, more coherent investment promotion is utilised by regional authorities looking to attract jobs.</w:t>
      </w:r>
    </w:p>
    <w:p w14:paraId="3964EAD4" w14:textId="77777777" w:rsidR="00182DEB" w:rsidRDefault="00182DEB" w:rsidP="00182DEB">
      <w:pPr>
        <w:pStyle w:val="BodyText"/>
        <w:kinsoku w:val="0"/>
        <w:overflowPunct w:val="0"/>
        <w:spacing w:before="9" w:line="480" w:lineRule="auto"/>
        <w:ind w:left="0" w:firstLine="720"/>
        <w:rPr>
          <w:sz w:val="24"/>
          <w:szCs w:val="24"/>
        </w:rPr>
      </w:pPr>
      <w:r>
        <w:rPr>
          <w:sz w:val="24"/>
          <w:szCs w:val="24"/>
        </w:rPr>
        <w:t>The approaches of some regional authorities are more developed than others, and there are clear differences within</w:t>
      </w:r>
      <w:r>
        <w:rPr>
          <w:spacing w:val="-29"/>
          <w:sz w:val="24"/>
          <w:szCs w:val="24"/>
        </w:rPr>
        <w:t xml:space="preserve"> </w:t>
      </w:r>
      <w:r>
        <w:rPr>
          <w:sz w:val="24"/>
          <w:szCs w:val="24"/>
        </w:rPr>
        <w:t>and between the countries. Presence of regions with high unemployment, displaying both 'advanced'</w:t>
      </w:r>
      <w:r>
        <w:rPr>
          <w:spacing w:val="-24"/>
          <w:sz w:val="24"/>
          <w:szCs w:val="24"/>
        </w:rPr>
        <w:t xml:space="preserve"> </w:t>
      </w:r>
      <w:r>
        <w:rPr>
          <w:sz w:val="24"/>
          <w:szCs w:val="24"/>
        </w:rPr>
        <w:t>and 'emerging' approaches in each of the countries studied, reflects similarity of regional</w:t>
      </w:r>
      <w:r>
        <w:rPr>
          <w:spacing w:val="-22"/>
          <w:sz w:val="24"/>
          <w:szCs w:val="24"/>
        </w:rPr>
        <w:t xml:space="preserve"> </w:t>
      </w:r>
      <w:r>
        <w:rPr>
          <w:sz w:val="24"/>
          <w:szCs w:val="24"/>
        </w:rPr>
        <w:t>authorities prerogatives related to investment attraction, but also suggests existence of institutional</w:t>
      </w:r>
      <w:r>
        <w:rPr>
          <w:spacing w:val="-14"/>
          <w:sz w:val="24"/>
          <w:szCs w:val="24"/>
        </w:rPr>
        <w:t xml:space="preserve"> </w:t>
      </w:r>
      <w:r>
        <w:rPr>
          <w:sz w:val="24"/>
          <w:szCs w:val="24"/>
        </w:rPr>
        <w:t>factors determining their engagement with</w:t>
      </w:r>
      <w:r>
        <w:rPr>
          <w:spacing w:val="-9"/>
          <w:sz w:val="24"/>
          <w:szCs w:val="24"/>
        </w:rPr>
        <w:t xml:space="preserve"> </w:t>
      </w:r>
      <w:r>
        <w:rPr>
          <w:sz w:val="24"/>
          <w:szCs w:val="24"/>
        </w:rPr>
        <w:t>promotion.</w:t>
      </w:r>
    </w:p>
    <w:p w14:paraId="6F919AEF" w14:textId="28A7388F" w:rsidR="00182DEB" w:rsidRDefault="00182DEB" w:rsidP="00182DEB">
      <w:pPr>
        <w:pStyle w:val="BodyText"/>
        <w:kinsoku w:val="0"/>
        <w:overflowPunct w:val="0"/>
        <w:spacing w:before="9" w:line="480" w:lineRule="auto"/>
        <w:ind w:left="0"/>
        <w:rPr>
          <w:sz w:val="24"/>
          <w:szCs w:val="24"/>
        </w:rPr>
      </w:pPr>
      <w:r>
        <w:rPr>
          <w:sz w:val="24"/>
          <w:szCs w:val="24"/>
        </w:rPr>
        <w:tab/>
        <w:t xml:space="preserve">The approach developed in this paper permits the </w:t>
      </w:r>
      <w:r w:rsidR="002A0265">
        <w:rPr>
          <w:sz w:val="24"/>
          <w:szCs w:val="24"/>
        </w:rPr>
        <w:t>IPI</w:t>
      </w:r>
      <w:r>
        <w:rPr>
          <w:sz w:val="24"/>
          <w:szCs w:val="24"/>
        </w:rPr>
        <w:t xml:space="preserve"> in its current form to</w:t>
      </w:r>
      <w:r>
        <w:rPr>
          <w:spacing w:val="-26"/>
          <w:sz w:val="24"/>
          <w:szCs w:val="24"/>
        </w:rPr>
        <w:t xml:space="preserve"> </w:t>
      </w:r>
      <w:r>
        <w:rPr>
          <w:sz w:val="24"/>
          <w:szCs w:val="24"/>
        </w:rPr>
        <w:t>be readily used in practice or research without invalidating other indices such as UNCTAD’s FDI Attraction Index and FDI Potential Index, or the FDI Potential Index proposed by Maza and Villaverde (2015). IPI serves as an</w:t>
      </w:r>
      <w:r>
        <w:rPr>
          <w:spacing w:val="-25"/>
          <w:sz w:val="24"/>
          <w:szCs w:val="24"/>
        </w:rPr>
        <w:t xml:space="preserve"> </w:t>
      </w:r>
      <w:r>
        <w:rPr>
          <w:sz w:val="24"/>
          <w:szCs w:val="24"/>
        </w:rPr>
        <w:t>important instrument that combines different elements of investment promotion to evaluate the coherence</w:t>
      </w:r>
      <w:r>
        <w:rPr>
          <w:spacing w:val="-23"/>
          <w:sz w:val="24"/>
          <w:szCs w:val="24"/>
        </w:rPr>
        <w:t xml:space="preserve"> </w:t>
      </w:r>
      <w:r>
        <w:rPr>
          <w:sz w:val="24"/>
          <w:szCs w:val="24"/>
        </w:rPr>
        <w:t xml:space="preserve">and intensity of promotional activities of places. </w:t>
      </w:r>
      <w:r w:rsidR="00FC1B8F">
        <w:rPr>
          <w:sz w:val="24"/>
          <w:szCs w:val="24"/>
        </w:rPr>
        <w:t>Thus, i</w:t>
      </w:r>
      <w:r>
        <w:rPr>
          <w:sz w:val="24"/>
          <w:szCs w:val="24"/>
        </w:rPr>
        <w:t>t adds to the better understanding of the process</w:t>
      </w:r>
      <w:r>
        <w:rPr>
          <w:spacing w:val="-23"/>
          <w:sz w:val="24"/>
          <w:szCs w:val="24"/>
        </w:rPr>
        <w:t xml:space="preserve"> </w:t>
      </w:r>
      <w:r>
        <w:rPr>
          <w:sz w:val="24"/>
          <w:szCs w:val="24"/>
        </w:rPr>
        <w:t>by reviewing and embedding it firmly within place promotion, marketing and branding</w:t>
      </w:r>
      <w:r w:rsidR="002A0265">
        <w:rPr>
          <w:sz w:val="24"/>
          <w:szCs w:val="24"/>
        </w:rPr>
        <w:t>,</w:t>
      </w:r>
      <w:r>
        <w:rPr>
          <w:sz w:val="24"/>
          <w:szCs w:val="24"/>
        </w:rPr>
        <w:t xml:space="preserve"> as well as regional development</w:t>
      </w:r>
      <w:r>
        <w:rPr>
          <w:spacing w:val="-24"/>
          <w:sz w:val="24"/>
          <w:szCs w:val="24"/>
        </w:rPr>
        <w:t xml:space="preserve"> </w:t>
      </w:r>
      <w:r>
        <w:rPr>
          <w:sz w:val="24"/>
          <w:szCs w:val="24"/>
        </w:rPr>
        <w:t xml:space="preserve">concepts. </w:t>
      </w:r>
    </w:p>
    <w:p w14:paraId="3FF1AD73" w14:textId="0E22039C" w:rsidR="00182DEB" w:rsidRDefault="00182DEB" w:rsidP="00182DEB">
      <w:pPr>
        <w:pStyle w:val="BodyText"/>
        <w:kinsoku w:val="0"/>
        <w:overflowPunct w:val="0"/>
        <w:spacing w:line="480" w:lineRule="auto"/>
        <w:ind w:left="0" w:firstLine="720"/>
        <w:rPr>
          <w:sz w:val="24"/>
          <w:szCs w:val="24"/>
        </w:rPr>
      </w:pPr>
      <w:r>
        <w:rPr>
          <w:sz w:val="24"/>
          <w:szCs w:val="24"/>
        </w:rPr>
        <w:lastRenderedPageBreak/>
        <w:t xml:space="preserve">However, this research is not without limitations. </w:t>
      </w:r>
      <w:r w:rsidR="002A0265">
        <w:rPr>
          <w:sz w:val="24"/>
          <w:szCs w:val="24"/>
        </w:rPr>
        <w:t>The IPI</w:t>
      </w:r>
      <w:r>
        <w:rPr>
          <w:sz w:val="24"/>
          <w:szCs w:val="24"/>
        </w:rPr>
        <w:t xml:space="preserve"> is to</w:t>
      </w:r>
      <w:r>
        <w:rPr>
          <w:spacing w:val="-26"/>
          <w:sz w:val="24"/>
          <w:szCs w:val="24"/>
        </w:rPr>
        <w:t xml:space="preserve"> </w:t>
      </w:r>
      <w:r>
        <w:rPr>
          <w:sz w:val="24"/>
          <w:szCs w:val="24"/>
        </w:rPr>
        <w:t xml:space="preserve">an extent a temporal phenomenon that is prone to change over time. </w:t>
      </w:r>
      <w:r w:rsidR="002A0265">
        <w:rPr>
          <w:sz w:val="24"/>
          <w:szCs w:val="24"/>
        </w:rPr>
        <w:t>As</w:t>
      </w:r>
      <w:r>
        <w:rPr>
          <w:spacing w:val="-17"/>
          <w:sz w:val="24"/>
          <w:szCs w:val="24"/>
        </w:rPr>
        <w:t xml:space="preserve"> </w:t>
      </w:r>
      <w:r>
        <w:rPr>
          <w:sz w:val="24"/>
          <w:szCs w:val="24"/>
        </w:rPr>
        <w:t>regional governance s</w:t>
      </w:r>
      <w:r w:rsidR="006E5109">
        <w:rPr>
          <w:sz w:val="24"/>
          <w:szCs w:val="24"/>
        </w:rPr>
        <w:t>ystems and practices in Central-</w:t>
      </w:r>
      <w:r>
        <w:rPr>
          <w:sz w:val="24"/>
          <w:szCs w:val="24"/>
        </w:rPr>
        <w:t>Eastern Europe develop and regional</w:t>
      </w:r>
      <w:r>
        <w:rPr>
          <w:spacing w:val="-17"/>
          <w:sz w:val="24"/>
          <w:szCs w:val="24"/>
        </w:rPr>
        <w:t xml:space="preserve"> </w:t>
      </w:r>
      <w:r>
        <w:rPr>
          <w:sz w:val="24"/>
          <w:szCs w:val="24"/>
        </w:rPr>
        <w:t>authorities’ promotional approaches advance, in time they should lead to higher IPI scores. Conversely, politically-motivated changes in attitudes towards regional governance and investment promotion may lead</w:t>
      </w:r>
      <w:r>
        <w:rPr>
          <w:spacing w:val="-23"/>
          <w:sz w:val="24"/>
          <w:szCs w:val="24"/>
        </w:rPr>
        <w:t xml:space="preserve"> </w:t>
      </w:r>
      <w:r>
        <w:rPr>
          <w:sz w:val="24"/>
          <w:szCs w:val="24"/>
        </w:rPr>
        <w:t>to further fragmentation of FDI attraction practices and lower IPI scores. Additionally, global economic trends and FDI flows, as well as the condition of public finances, may lead regional authorities to a deeper or lesser engagement with investment promotion. This opens avenues for</w:t>
      </w:r>
      <w:r>
        <w:rPr>
          <w:spacing w:val="-29"/>
          <w:sz w:val="24"/>
          <w:szCs w:val="24"/>
        </w:rPr>
        <w:t xml:space="preserve"> </w:t>
      </w:r>
      <w:r>
        <w:rPr>
          <w:sz w:val="24"/>
          <w:szCs w:val="24"/>
        </w:rPr>
        <w:t>future studies exploring such changes by examining investment promotion activities in a longitudinal manner and developing robust datasets</w:t>
      </w:r>
      <w:r w:rsidR="00843D5D">
        <w:rPr>
          <w:sz w:val="24"/>
          <w:szCs w:val="24"/>
        </w:rPr>
        <w:t xml:space="preserve"> that can </w:t>
      </w:r>
      <w:r>
        <w:rPr>
          <w:sz w:val="24"/>
          <w:szCs w:val="24"/>
        </w:rPr>
        <w:t>lead to a set of informed policy implications. Additionally, the IPI could be complemented by outcome-focused indices, which could lead</w:t>
      </w:r>
      <w:r>
        <w:rPr>
          <w:spacing w:val="-25"/>
          <w:sz w:val="24"/>
          <w:szCs w:val="24"/>
        </w:rPr>
        <w:t xml:space="preserve"> </w:t>
      </w:r>
      <w:r>
        <w:rPr>
          <w:sz w:val="24"/>
          <w:szCs w:val="24"/>
        </w:rPr>
        <w:t>onto the other element of future regional investment promotion research focusing on development</w:t>
      </w:r>
      <w:r>
        <w:rPr>
          <w:spacing w:val="-15"/>
          <w:sz w:val="24"/>
          <w:szCs w:val="24"/>
        </w:rPr>
        <w:t xml:space="preserve"> </w:t>
      </w:r>
      <w:r>
        <w:rPr>
          <w:sz w:val="24"/>
          <w:szCs w:val="24"/>
        </w:rPr>
        <w:t>of investment effectiveness</w:t>
      </w:r>
      <w:r>
        <w:rPr>
          <w:spacing w:val="-12"/>
          <w:sz w:val="24"/>
          <w:szCs w:val="24"/>
        </w:rPr>
        <w:t xml:space="preserve"> </w:t>
      </w:r>
      <w:r>
        <w:rPr>
          <w:sz w:val="24"/>
          <w:szCs w:val="24"/>
        </w:rPr>
        <w:t>measurements. Another direction for future research is extending the scale of the survey to include other European regions. A more robust dataset</w:t>
      </w:r>
      <w:r w:rsidR="00FC1B8F">
        <w:rPr>
          <w:sz w:val="24"/>
          <w:szCs w:val="24"/>
        </w:rPr>
        <w:t xml:space="preserve"> may help the development of</w:t>
      </w:r>
      <w:r>
        <w:rPr>
          <w:sz w:val="24"/>
          <w:szCs w:val="24"/>
        </w:rPr>
        <w:t xml:space="preserve"> IPI, and potentially include an introduction of weightings of its components, and allow econometric modelling further exploring the relationship between promotion intensity and regional development. Beyond this focus, future studies should look to firm up the relationship between investment promotion and the inflow of FDI.</w:t>
      </w:r>
    </w:p>
    <w:p w14:paraId="3597DA89" w14:textId="77777777" w:rsidR="00182DEB" w:rsidRDefault="00182DEB" w:rsidP="00182DEB">
      <w:pPr>
        <w:pStyle w:val="BodyText"/>
        <w:kinsoku w:val="0"/>
        <w:overflowPunct w:val="0"/>
        <w:spacing w:line="480" w:lineRule="auto"/>
        <w:ind w:left="0"/>
        <w:rPr>
          <w:sz w:val="24"/>
          <w:szCs w:val="24"/>
        </w:rPr>
      </w:pPr>
    </w:p>
    <w:p w14:paraId="1DA797BB" w14:textId="77777777" w:rsidR="00182DEB" w:rsidRPr="005752AC" w:rsidRDefault="00182DEB" w:rsidP="00182DEB">
      <w:pPr>
        <w:spacing w:line="480" w:lineRule="auto"/>
        <w:rPr>
          <w:rFonts w:ascii="Times New Roman" w:eastAsiaTheme="minorEastAsia" w:hAnsi="Times New Roman" w:cs="Times New Roman"/>
          <w:b/>
          <w:sz w:val="24"/>
          <w:szCs w:val="24"/>
          <w:lang w:eastAsia="en-GB"/>
        </w:rPr>
      </w:pPr>
      <w:r w:rsidRPr="005752AC">
        <w:rPr>
          <w:rFonts w:ascii="Times New Roman" w:eastAsiaTheme="minorEastAsia" w:hAnsi="Times New Roman" w:cs="Times New Roman"/>
          <w:b/>
          <w:sz w:val="24"/>
          <w:szCs w:val="24"/>
          <w:lang w:eastAsia="en-GB"/>
        </w:rPr>
        <w:t>Acknowledgements</w:t>
      </w:r>
    </w:p>
    <w:p w14:paraId="4174B23B" w14:textId="76AB426D" w:rsidR="00182DEB" w:rsidRDefault="00182DEB" w:rsidP="00182DEB">
      <w:pPr>
        <w:spacing w:line="48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 xml:space="preserve">I am grateful to the anonymous reviewers </w:t>
      </w:r>
      <w:r w:rsidR="00FC1B8F">
        <w:rPr>
          <w:rFonts w:ascii="Times New Roman" w:eastAsiaTheme="minorEastAsia" w:hAnsi="Times New Roman" w:cs="Times New Roman"/>
          <w:sz w:val="24"/>
          <w:szCs w:val="24"/>
          <w:lang w:eastAsia="en-GB"/>
        </w:rPr>
        <w:t>for co</w:t>
      </w:r>
      <w:r>
        <w:rPr>
          <w:rFonts w:ascii="Times New Roman" w:eastAsiaTheme="minorEastAsia" w:hAnsi="Times New Roman" w:cs="Times New Roman"/>
          <w:sz w:val="24"/>
          <w:szCs w:val="24"/>
          <w:lang w:eastAsia="en-GB"/>
        </w:rPr>
        <w:t xml:space="preserve">nstructive </w:t>
      </w:r>
      <w:r w:rsidR="00FC1B8F">
        <w:rPr>
          <w:rFonts w:ascii="Times New Roman" w:eastAsiaTheme="minorEastAsia" w:hAnsi="Times New Roman" w:cs="Times New Roman"/>
          <w:sz w:val="24"/>
          <w:szCs w:val="24"/>
          <w:lang w:eastAsia="en-GB"/>
        </w:rPr>
        <w:t>feedback informing improvements of</w:t>
      </w:r>
      <w:r>
        <w:rPr>
          <w:rFonts w:ascii="Times New Roman" w:eastAsiaTheme="minorEastAsia" w:hAnsi="Times New Roman" w:cs="Times New Roman"/>
          <w:sz w:val="24"/>
          <w:szCs w:val="24"/>
          <w:lang w:eastAsia="en-GB"/>
        </w:rPr>
        <w:t xml:space="preserve"> this paper. </w:t>
      </w:r>
      <w:r w:rsidRPr="00F30801">
        <w:rPr>
          <w:rFonts w:ascii="Times New Roman" w:eastAsiaTheme="minorEastAsia" w:hAnsi="Times New Roman" w:cs="Times New Roman"/>
          <w:sz w:val="24"/>
          <w:szCs w:val="24"/>
          <w:lang w:eastAsia="en-GB"/>
        </w:rPr>
        <w:t xml:space="preserve">Thank you to Dr Andrew Johnston for help with statistical </w:t>
      </w:r>
      <w:r>
        <w:rPr>
          <w:rFonts w:ascii="Times New Roman" w:eastAsiaTheme="minorEastAsia" w:hAnsi="Times New Roman" w:cs="Times New Roman"/>
          <w:sz w:val="24"/>
          <w:szCs w:val="24"/>
          <w:lang w:eastAsia="en-GB"/>
        </w:rPr>
        <w:t>calculations. I extend my thanks</w:t>
      </w:r>
      <w:r w:rsidRPr="00F30801">
        <w:rPr>
          <w:rFonts w:ascii="Times New Roman" w:eastAsiaTheme="minorEastAsia" w:hAnsi="Times New Roman" w:cs="Times New Roman"/>
          <w:sz w:val="24"/>
          <w:szCs w:val="24"/>
          <w:lang w:eastAsia="en-GB"/>
        </w:rPr>
        <w:t xml:space="preserve"> to Place Management and Branding and Academy of International </w:t>
      </w:r>
      <w:r w:rsidRPr="00F30801">
        <w:rPr>
          <w:rFonts w:ascii="Times New Roman" w:eastAsiaTheme="minorEastAsia" w:hAnsi="Times New Roman" w:cs="Times New Roman"/>
          <w:sz w:val="24"/>
          <w:szCs w:val="24"/>
          <w:lang w:eastAsia="en-GB"/>
        </w:rPr>
        <w:lastRenderedPageBreak/>
        <w:t xml:space="preserve">Business conference participants for helpful suggestions </w:t>
      </w:r>
      <w:r>
        <w:rPr>
          <w:rFonts w:ascii="Times New Roman" w:eastAsiaTheme="minorEastAsia" w:hAnsi="Times New Roman" w:cs="Times New Roman"/>
          <w:sz w:val="24"/>
          <w:szCs w:val="24"/>
          <w:lang w:eastAsia="en-GB"/>
        </w:rPr>
        <w:t xml:space="preserve">on early versions of the paper. </w:t>
      </w:r>
      <w:r w:rsidRPr="00F30801">
        <w:rPr>
          <w:rFonts w:ascii="Times New Roman" w:eastAsiaTheme="minorEastAsia" w:hAnsi="Times New Roman" w:cs="Times New Roman"/>
          <w:sz w:val="24"/>
          <w:szCs w:val="24"/>
          <w:lang w:eastAsia="en-GB"/>
        </w:rPr>
        <w:t>Remaining imperfections remain my own responsibility.</w:t>
      </w:r>
    </w:p>
    <w:p w14:paraId="36CCB66A" w14:textId="77777777" w:rsidR="00182DEB" w:rsidRDefault="00182DEB">
      <w:pPr>
        <w:rPr>
          <w:rFonts w:ascii="Times New Roman" w:eastAsiaTheme="minorEastAsia" w:hAnsi="Times New Roman" w:cs="Times New Roman"/>
          <w:b/>
          <w:bCs/>
          <w:sz w:val="24"/>
          <w:szCs w:val="24"/>
          <w:lang w:eastAsia="en-GB"/>
        </w:rPr>
      </w:pPr>
      <w:r>
        <w:rPr>
          <w:b/>
          <w:bCs/>
          <w:sz w:val="24"/>
          <w:szCs w:val="24"/>
        </w:rPr>
        <w:br w:type="page"/>
      </w:r>
    </w:p>
    <w:p w14:paraId="65D333B7" w14:textId="55263BB0" w:rsidR="005E6520" w:rsidRDefault="005E6520" w:rsidP="005E6520">
      <w:pPr>
        <w:pStyle w:val="BodyText"/>
        <w:kinsoku w:val="0"/>
        <w:overflowPunct w:val="0"/>
        <w:spacing w:before="52" w:line="480" w:lineRule="auto"/>
        <w:ind w:left="0" w:right="-46"/>
        <w:rPr>
          <w:b/>
          <w:bCs/>
          <w:sz w:val="24"/>
          <w:szCs w:val="24"/>
        </w:rPr>
      </w:pPr>
      <w:r>
        <w:rPr>
          <w:b/>
          <w:bCs/>
          <w:sz w:val="24"/>
          <w:szCs w:val="24"/>
        </w:rPr>
        <w:lastRenderedPageBreak/>
        <w:t>References</w:t>
      </w:r>
    </w:p>
    <w:p w14:paraId="7273D064" w14:textId="77777777" w:rsidR="005E6520" w:rsidRDefault="005E6520" w:rsidP="005E6520">
      <w:pPr>
        <w:pStyle w:val="BodyText"/>
        <w:kinsoku w:val="0"/>
        <w:overflowPunct w:val="0"/>
        <w:spacing w:line="480" w:lineRule="auto"/>
        <w:ind w:left="142" w:right="-46" w:hanging="142"/>
        <w:rPr>
          <w:sz w:val="24"/>
          <w:szCs w:val="24"/>
        </w:rPr>
      </w:pPr>
      <w:r>
        <w:rPr>
          <w:sz w:val="24"/>
          <w:szCs w:val="24"/>
        </w:rPr>
        <w:t>Aharoni,</w:t>
      </w:r>
      <w:r>
        <w:rPr>
          <w:spacing w:val="22"/>
          <w:sz w:val="24"/>
          <w:szCs w:val="24"/>
        </w:rPr>
        <w:t xml:space="preserve"> </w:t>
      </w:r>
      <w:r>
        <w:rPr>
          <w:sz w:val="24"/>
          <w:szCs w:val="24"/>
        </w:rPr>
        <w:t>Y.</w:t>
      </w:r>
      <w:r>
        <w:rPr>
          <w:spacing w:val="22"/>
          <w:sz w:val="24"/>
          <w:szCs w:val="24"/>
        </w:rPr>
        <w:t xml:space="preserve"> </w:t>
      </w:r>
      <w:r>
        <w:rPr>
          <w:sz w:val="24"/>
          <w:szCs w:val="24"/>
        </w:rPr>
        <w:t>(2010),</w:t>
      </w:r>
      <w:r>
        <w:rPr>
          <w:spacing w:val="23"/>
          <w:sz w:val="24"/>
          <w:szCs w:val="24"/>
        </w:rPr>
        <w:t xml:space="preserve"> “</w:t>
      </w:r>
      <w:r>
        <w:rPr>
          <w:sz w:val="24"/>
          <w:szCs w:val="24"/>
        </w:rPr>
        <w:t>Behavioural</w:t>
      </w:r>
      <w:r>
        <w:rPr>
          <w:spacing w:val="20"/>
          <w:sz w:val="24"/>
          <w:szCs w:val="24"/>
        </w:rPr>
        <w:t xml:space="preserve"> </w:t>
      </w:r>
      <w:r>
        <w:rPr>
          <w:sz w:val="24"/>
          <w:szCs w:val="24"/>
        </w:rPr>
        <w:t>elements</w:t>
      </w:r>
      <w:r>
        <w:rPr>
          <w:spacing w:val="20"/>
          <w:sz w:val="24"/>
          <w:szCs w:val="24"/>
        </w:rPr>
        <w:t xml:space="preserve"> </w:t>
      </w:r>
      <w:r>
        <w:rPr>
          <w:sz w:val="24"/>
          <w:szCs w:val="24"/>
        </w:rPr>
        <w:t>in</w:t>
      </w:r>
      <w:r>
        <w:rPr>
          <w:spacing w:val="22"/>
          <w:sz w:val="24"/>
          <w:szCs w:val="24"/>
        </w:rPr>
        <w:t xml:space="preserve"> </w:t>
      </w:r>
      <w:r>
        <w:rPr>
          <w:sz w:val="24"/>
          <w:szCs w:val="24"/>
        </w:rPr>
        <w:t>foreign</w:t>
      </w:r>
      <w:r>
        <w:rPr>
          <w:spacing w:val="22"/>
          <w:sz w:val="24"/>
          <w:szCs w:val="24"/>
        </w:rPr>
        <w:t xml:space="preserve"> </w:t>
      </w:r>
      <w:r>
        <w:rPr>
          <w:sz w:val="24"/>
          <w:szCs w:val="24"/>
        </w:rPr>
        <w:t>direct</w:t>
      </w:r>
      <w:r>
        <w:rPr>
          <w:spacing w:val="23"/>
          <w:sz w:val="24"/>
          <w:szCs w:val="24"/>
        </w:rPr>
        <w:t xml:space="preserve"> </w:t>
      </w:r>
      <w:r>
        <w:rPr>
          <w:sz w:val="24"/>
          <w:szCs w:val="24"/>
        </w:rPr>
        <w:t>investment</w:t>
      </w:r>
      <w:r>
        <w:rPr>
          <w:spacing w:val="23"/>
          <w:sz w:val="24"/>
          <w:szCs w:val="24"/>
        </w:rPr>
        <w:t xml:space="preserve"> </w:t>
      </w:r>
      <w:r>
        <w:rPr>
          <w:sz w:val="24"/>
          <w:szCs w:val="24"/>
        </w:rPr>
        <w:t>decisions”,</w:t>
      </w:r>
      <w:r>
        <w:rPr>
          <w:spacing w:val="19"/>
          <w:sz w:val="24"/>
          <w:szCs w:val="24"/>
        </w:rPr>
        <w:t xml:space="preserve"> </w:t>
      </w:r>
      <w:r>
        <w:rPr>
          <w:i/>
          <w:sz w:val="24"/>
          <w:szCs w:val="24"/>
        </w:rPr>
        <w:t>Advances in International Management</w:t>
      </w:r>
      <w:r>
        <w:rPr>
          <w:sz w:val="24"/>
          <w:szCs w:val="24"/>
        </w:rPr>
        <w:t>, Vol. 23, pp. 73-111.</w:t>
      </w:r>
    </w:p>
    <w:p w14:paraId="600E6F28" w14:textId="77777777" w:rsidR="005E6520" w:rsidRDefault="005E6520" w:rsidP="005E6520">
      <w:pPr>
        <w:pStyle w:val="BodyText"/>
        <w:kinsoku w:val="0"/>
        <w:overflowPunct w:val="0"/>
        <w:spacing w:line="480" w:lineRule="auto"/>
        <w:ind w:left="142" w:right="-46" w:hanging="142"/>
        <w:rPr>
          <w:sz w:val="24"/>
          <w:szCs w:val="24"/>
        </w:rPr>
      </w:pPr>
      <w:r>
        <w:rPr>
          <w:sz w:val="24"/>
          <w:szCs w:val="24"/>
        </w:rPr>
        <w:t>Almond,</w:t>
      </w:r>
      <w:r>
        <w:rPr>
          <w:spacing w:val="17"/>
          <w:sz w:val="24"/>
          <w:szCs w:val="24"/>
        </w:rPr>
        <w:t xml:space="preserve"> </w:t>
      </w:r>
      <w:r>
        <w:rPr>
          <w:sz w:val="24"/>
          <w:szCs w:val="24"/>
        </w:rPr>
        <w:t>P.,</w:t>
      </w:r>
      <w:r>
        <w:rPr>
          <w:spacing w:val="17"/>
          <w:sz w:val="24"/>
          <w:szCs w:val="24"/>
        </w:rPr>
        <w:t xml:space="preserve"> </w:t>
      </w:r>
      <w:r>
        <w:rPr>
          <w:sz w:val="24"/>
          <w:szCs w:val="24"/>
        </w:rPr>
        <w:t>Ferner,</w:t>
      </w:r>
      <w:r>
        <w:rPr>
          <w:spacing w:val="17"/>
          <w:sz w:val="24"/>
          <w:szCs w:val="24"/>
        </w:rPr>
        <w:t xml:space="preserve"> </w:t>
      </w:r>
      <w:r>
        <w:rPr>
          <w:sz w:val="24"/>
          <w:szCs w:val="24"/>
        </w:rPr>
        <w:t>A.,</w:t>
      </w:r>
      <w:r>
        <w:rPr>
          <w:spacing w:val="12"/>
          <w:sz w:val="24"/>
          <w:szCs w:val="24"/>
        </w:rPr>
        <w:t xml:space="preserve"> </w:t>
      </w:r>
      <w:r>
        <w:rPr>
          <w:sz w:val="24"/>
          <w:szCs w:val="24"/>
        </w:rPr>
        <w:t>Tregasis,</w:t>
      </w:r>
      <w:r>
        <w:rPr>
          <w:spacing w:val="15"/>
          <w:sz w:val="24"/>
          <w:szCs w:val="24"/>
        </w:rPr>
        <w:t xml:space="preserve"> </w:t>
      </w:r>
      <w:r>
        <w:rPr>
          <w:sz w:val="24"/>
          <w:szCs w:val="24"/>
        </w:rPr>
        <w:t>O.</w:t>
      </w:r>
      <w:r>
        <w:rPr>
          <w:spacing w:val="15"/>
          <w:sz w:val="24"/>
          <w:szCs w:val="24"/>
        </w:rPr>
        <w:t xml:space="preserve"> </w:t>
      </w:r>
      <w:r>
        <w:rPr>
          <w:sz w:val="24"/>
          <w:szCs w:val="24"/>
        </w:rPr>
        <w:t>(2015),</w:t>
      </w:r>
      <w:r>
        <w:rPr>
          <w:spacing w:val="15"/>
          <w:sz w:val="24"/>
          <w:szCs w:val="24"/>
        </w:rPr>
        <w:t xml:space="preserve"> “</w:t>
      </w:r>
      <w:r>
        <w:rPr>
          <w:sz w:val="24"/>
          <w:szCs w:val="24"/>
        </w:rPr>
        <w:t>The</w:t>
      </w:r>
      <w:r>
        <w:rPr>
          <w:spacing w:val="15"/>
          <w:sz w:val="24"/>
          <w:szCs w:val="24"/>
        </w:rPr>
        <w:t xml:space="preserve"> </w:t>
      </w:r>
      <w:r>
        <w:rPr>
          <w:sz w:val="24"/>
          <w:szCs w:val="24"/>
        </w:rPr>
        <w:t>changing</w:t>
      </w:r>
      <w:r>
        <w:rPr>
          <w:spacing w:val="15"/>
          <w:sz w:val="24"/>
          <w:szCs w:val="24"/>
        </w:rPr>
        <w:t xml:space="preserve"> </w:t>
      </w:r>
      <w:r>
        <w:rPr>
          <w:sz w:val="24"/>
          <w:szCs w:val="24"/>
        </w:rPr>
        <w:t>context</w:t>
      </w:r>
      <w:r>
        <w:rPr>
          <w:spacing w:val="18"/>
          <w:sz w:val="24"/>
          <w:szCs w:val="24"/>
        </w:rPr>
        <w:t xml:space="preserve"> </w:t>
      </w:r>
      <w:r>
        <w:rPr>
          <w:sz w:val="24"/>
          <w:szCs w:val="24"/>
        </w:rPr>
        <w:t>of</w:t>
      </w:r>
      <w:r>
        <w:rPr>
          <w:spacing w:val="15"/>
          <w:sz w:val="24"/>
          <w:szCs w:val="24"/>
        </w:rPr>
        <w:t xml:space="preserve"> </w:t>
      </w:r>
      <w:r>
        <w:rPr>
          <w:sz w:val="24"/>
          <w:szCs w:val="24"/>
        </w:rPr>
        <w:t>regional</w:t>
      </w:r>
      <w:r>
        <w:rPr>
          <w:spacing w:val="16"/>
          <w:sz w:val="24"/>
          <w:szCs w:val="24"/>
        </w:rPr>
        <w:t xml:space="preserve"> </w:t>
      </w:r>
      <w:r>
        <w:rPr>
          <w:sz w:val="24"/>
          <w:szCs w:val="24"/>
        </w:rPr>
        <w:t>governance</w:t>
      </w:r>
      <w:r>
        <w:rPr>
          <w:spacing w:val="15"/>
          <w:sz w:val="24"/>
          <w:szCs w:val="24"/>
        </w:rPr>
        <w:t xml:space="preserve"> </w:t>
      </w:r>
      <w:r>
        <w:rPr>
          <w:sz w:val="24"/>
          <w:szCs w:val="24"/>
        </w:rPr>
        <w:t>of</w:t>
      </w:r>
      <w:r>
        <w:rPr>
          <w:spacing w:val="15"/>
          <w:sz w:val="24"/>
          <w:szCs w:val="24"/>
        </w:rPr>
        <w:t xml:space="preserve"> </w:t>
      </w:r>
      <w:r>
        <w:rPr>
          <w:sz w:val="24"/>
          <w:szCs w:val="24"/>
        </w:rPr>
        <w:t>FDI</w:t>
      </w:r>
      <w:r>
        <w:rPr>
          <w:spacing w:val="13"/>
          <w:sz w:val="24"/>
          <w:szCs w:val="24"/>
        </w:rPr>
        <w:t xml:space="preserve"> </w:t>
      </w:r>
      <w:r>
        <w:rPr>
          <w:sz w:val="24"/>
          <w:szCs w:val="24"/>
        </w:rPr>
        <w:t xml:space="preserve">in England”, </w:t>
      </w:r>
      <w:r>
        <w:rPr>
          <w:i/>
          <w:iCs/>
          <w:sz w:val="24"/>
          <w:szCs w:val="24"/>
        </w:rPr>
        <w:t>European Urban and Regional Studies</w:t>
      </w:r>
      <w:r>
        <w:rPr>
          <w:sz w:val="24"/>
          <w:szCs w:val="24"/>
        </w:rPr>
        <w:t>,</w:t>
      </w:r>
      <w:r>
        <w:rPr>
          <w:spacing w:val="-17"/>
          <w:sz w:val="24"/>
          <w:szCs w:val="24"/>
        </w:rPr>
        <w:t xml:space="preserve"> Vol.  22 , No. 1, pp. 61-76.</w:t>
      </w:r>
    </w:p>
    <w:p w14:paraId="24CB41DA"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 xml:space="preserve">Ascani, A., Crescenzi, R., Iammarino, S., (2017), “The Geography of Foreign Investments in the EU Neighbourhood”, </w:t>
      </w:r>
      <w:r>
        <w:rPr>
          <w:i/>
          <w:sz w:val="24"/>
          <w:szCs w:val="24"/>
        </w:rPr>
        <w:t xml:space="preserve">Tijdschrift voor economische en socialte geografie, </w:t>
      </w:r>
      <w:r>
        <w:rPr>
          <w:sz w:val="24"/>
          <w:szCs w:val="24"/>
        </w:rPr>
        <w:t>Vol. 108 No. 1, pp. 76-91.</w:t>
      </w:r>
    </w:p>
    <w:p w14:paraId="24AA0663"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 xml:space="preserve">Baccarani, C., Cassia, F., Rossato, C. and Cavallo, D. (2019), "Territory, firms and value co-creation synergies", </w:t>
      </w:r>
      <w:r>
        <w:rPr>
          <w:i/>
          <w:sz w:val="24"/>
          <w:szCs w:val="24"/>
        </w:rPr>
        <w:t>Journal of Place Management and Development</w:t>
      </w:r>
      <w:r>
        <w:rPr>
          <w:sz w:val="24"/>
          <w:szCs w:val="24"/>
        </w:rPr>
        <w:t>, Vol. 12 No. 2, pp. 197-208</w:t>
      </w:r>
    </w:p>
    <w:p w14:paraId="58C24949"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 xml:space="preserve">Bandelj, N. (2010), “How EU Integration and Legacies Mattered for Foreign Direct Investment into Central and Eastern Europe”, </w:t>
      </w:r>
      <w:r>
        <w:rPr>
          <w:i/>
          <w:sz w:val="24"/>
          <w:szCs w:val="24"/>
        </w:rPr>
        <w:t>Europe-Asia Studies</w:t>
      </w:r>
      <w:r>
        <w:rPr>
          <w:sz w:val="24"/>
          <w:szCs w:val="24"/>
        </w:rPr>
        <w:t>, Vol. 62 No. 3, pp. 481-501.</w:t>
      </w:r>
    </w:p>
    <w:p w14:paraId="308252F5"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 xml:space="preserve">Bandelj, N., Mahutga, M.C., Shorette, K. (2015), “Signalling Demand for Foreign Investment: Postsocialist Countries in the Global Bilateral Investment Treaties Network”, </w:t>
      </w:r>
      <w:r>
        <w:rPr>
          <w:i/>
          <w:sz w:val="24"/>
          <w:szCs w:val="24"/>
        </w:rPr>
        <w:t>Europe-Asia Studies</w:t>
      </w:r>
      <w:r>
        <w:rPr>
          <w:sz w:val="24"/>
          <w:szCs w:val="24"/>
        </w:rPr>
        <w:t>, Vol. 67 No. 6, pp. 870-892.</w:t>
      </w:r>
    </w:p>
    <w:p w14:paraId="4F93A2DC"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Blazyca, G., Heffner, K., Helińska-Hughes, E. (2002), “Poland – Can Regional Policy Meet</w:t>
      </w:r>
      <w:r>
        <w:rPr>
          <w:spacing w:val="-29"/>
          <w:sz w:val="24"/>
          <w:szCs w:val="24"/>
        </w:rPr>
        <w:t xml:space="preserve"> </w:t>
      </w:r>
      <w:r>
        <w:rPr>
          <w:sz w:val="24"/>
          <w:szCs w:val="24"/>
        </w:rPr>
        <w:t xml:space="preserve">the Challenge of Regional Problems?”, </w:t>
      </w:r>
      <w:r>
        <w:rPr>
          <w:i/>
          <w:iCs/>
          <w:sz w:val="24"/>
          <w:szCs w:val="24"/>
        </w:rPr>
        <w:t xml:space="preserve">European Urban and Regional Studies, </w:t>
      </w:r>
      <w:r>
        <w:rPr>
          <w:iCs/>
          <w:sz w:val="24"/>
          <w:szCs w:val="24"/>
        </w:rPr>
        <w:t xml:space="preserve">Vol. </w:t>
      </w:r>
      <w:r>
        <w:rPr>
          <w:sz w:val="24"/>
          <w:szCs w:val="24"/>
        </w:rPr>
        <w:t>9 No. 3, pp. 263-276.</w:t>
      </w:r>
    </w:p>
    <w:p w14:paraId="6DDBB221"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Blokker, P. and Dallago, B. (2009), “Introduction: Regional diversity and local development in</w:t>
      </w:r>
      <w:r>
        <w:rPr>
          <w:spacing w:val="17"/>
          <w:sz w:val="24"/>
          <w:szCs w:val="24"/>
        </w:rPr>
        <w:t xml:space="preserve"> </w:t>
      </w:r>
      <w:r>
        <w:rPr>
          <w:sz w:val="24"/>
          <w:szCs w:val="24"/>
        </w:rPr>
        <w:t xml:space="preserve">new Member states”, in (eds) </w:t>
      </w:r>
      <w:r>
        <w:rPr>
          <w:i/>
          <w:iCs/>
          <w:sz w:val="24"/>
          <w:szCs w:val="24"/>
        </w:rPr>
        <w:t>Regional Diversity and Local Development in the New Member</w:t>
      </w:r>
      <w:r>
        <w:rPr>
          <w:i/>
          <w:iCs/>
          <w:spacing w:val="8"/>
          <w:sz w:val="24"/>
          <w:szCs w:val="24"/>
        </w:rPr>
        <w:t xml:space="preserve"> </w:t>
      </w:r>
      <w:r>
        <w:rPr>
          <w:i/>
          <w:iCs/>
          <w:sz w:val="24"/>
          <w:szCs w:val="24"/>
        </w:rPr>
        <w:t xml:space="preserve">States, </w:t>
      </w:r>
      <w:r>
        <w:rPr>
          <w:sz w:val="24"/>
          <w:szCs w:val="24"/>
        </w:rPr>
        <w:t>PalgraveMcmilan, Basingstoke.</w:t>
      </w:r>
    </w:p>
    <w:p w14:paraId="204D7E85" w14:textId="77777777" w:rsidR="00F30170" w:rsidRPr="00F30170" w:rsidRDefault="00F30170" w:rsidP="005E6520">
      <w:pPr>
        <w:pStyle w:val="BodyText"/>
        <w:kinsoku w:val="0"/>
        <w:overflowPunct w:val="0"/>
        <w:spacing w:before="7" w:line="480" w:lineRule="auto"/>
        <w:ind w:left="142" w:right="-46" w:hanging="142"/>
        <w:rPr>
          <w:sz w:val="24"/>
          <w:szCs w:val="24"/>
        </w:rPr>
      </w:pPr>
      <w:r>
        <w:rPr>
          <w:sz w:val="24"/>
          <w:szCs w:val="24"/>
        </w:rPr>
        <w:t xml:space="preserve">Boisen, M., Terlouw, K., Groote, P., Couwenberg, O. (2018), “Reframing place promotion, place marketing, and place branding – moving beyond conceptual confusion”, </w:t>
      </w:r>
      <w:r>
        <w:rPr>
          <w:i/>
          <w:sz w:val="24"/>
          <w:szCs w:val="24"/>
        </w:rPr>
        <w:t>Cities</w:t>
      </w:r>
      <w:r>
        <w:rPr>
          <w:sz w:val="24"/>
          <w:szCs w:val="24"/>
        </w:rPr>
        <w:t xml:space="preserve">, </w:t>
      </w:r>
      <w:r>
        <w:rPr>
          <w:sz w:val="24"/>
          <w:szCs w:val="24"/>
        </w:rPr>
        <w:lastRenderedPageBreak/>
        <w:t>Vol.80, pp.4-11.</w:t>
      </w:r>
    </w:p>
    <w:p w14:paraId="57FB88C2"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 xml:space="preserve">Bonetti, E. and Masiello, B. (2014), “Attracting R&amp;D foreign direct investment through an evolutionary model of place marketing. The case of Ireland”, </w:t>
      </w:r>
      <w:r>
        <w:rPr>
          <w:i/>
          <w:iCs/>
          <w:sz w:val="24"/>
          <w:szCs w:val="24"/>
        </w:rPr>
        <w:t>International Journal of Management Cases</w:t>
      </w:r>
      <w:r>
        <w:rPr>
          <w:sz w:val="24"/>
          <w:szCs w:val="24"/>
        </w:rPr>
        <w:t>, Vol. 16 No. 4, pp. 4-17.</w:t>
      </w:r>
    </w:p>
    <w:p w14:paraId="7654EA26" w14:textId="6040F51C" w:rsidR="005E6520" w:rsidRDefault="005E6520" w:rsidP="005E6520">
      <w:pPr>
        <w:pStyle w:val="BodyText"/>
        <w:kinsoku w:val="0"/>
        <w:overflowPunct w:val="0"/>
        <w:spacing w:before="9" w:line="480" w:lineRule="auto"/>
        <w:ind w:left="142" w:right="-46" w:hanging="142"/>
        <w:rPr>
          <w:sz w:val="24"/>
          <w:szCs w:val="24"/>
        </w:rPr>
      </w:pPr>
      <w:r>
        <w:rPr>
          <w:sz w:val="24"/>
          <w:szCs w:val="24"/>
        </w:rPr>
        <w:t>Bradshaw, M. (2005), “Foreign direct investment and economic transformation in Central and</w:t>
      </w:r>
      <w:r>
        <w:rPr>
          <w:spacing w:val="37"/>
          <w:sz w:val="24"/>
          <w:szCs w:val="24"/>
        </w:rPr>
        <w:t xml:space="preserve"> </w:t>
      </w:r>
      <w:r>
        <w:rPr>
          <w:sz w:val="24"/>
          <w:szCs w:val="24"/>
        </w:rPr>
        <w:t xml:space="preserve">Eastern Europe”, Turnock, D. (ed), </w:t>
      </w:r>
      <w:r>
        <w:rPr>
          <w:i/>
          <w:iCs/>
          <w:sz w:val="24"/>
          <w:szCs w:val="24"/>
        </w:rPr>
        <w:t>Foreign Direct Investment and Regional Development in East</w:t>
      </w:r>
      <w:r>
        <w:rPr>
          <w:i/>
          <w:iCs/>
          <w:spacing w:val="47"/>
          <w:sz w:val="24"/>
          <w:szCs w:val="24"/>
        </w:rPr>
        <w:t xml:space="preserve"> </w:t>
      </w:r>
      <w:r>
        <w:rPr>
          <w:i/>
          <w:iCs/>
          <w:sz w:val="24"/>
          <w:szCs w:val="24"/>
        </w:rPr>
        <w:t xml:space="preserve">Central Europe and Former Soviet Union, </w:t>
      </w:r>
      <w:r>
        <w:rPr>
          <w:sz w:val="24"/>
          <w:szCs w:val="24"/>
        </w:rPr>
        <w:t>Ashgate, Aldershot.</w:t>
      </w:r>
    </w:p>
    <w:p w14:paraId="32A7B3C9"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Brusis,</w:t>
      </w:r>
      <w:r>
        <w:rPr>
          <w:spacing w:val="24"/>
          <w:sz w:val="24"/>
          <w:szCs w:val="24"/>
        </w:rPr>
        <w:t xml:space="preserve"> </w:t>
      </w:r>
      <w:r>
        <w:rPr>
          <w:sz w:val="24"/>
          <w:szCs w:val="24"/>
        </w:rPr>
        <w:t>M.</w:t>
      </w:r>
      <w:r>
        <w:rPr>
          <w:spacing w:val="24"/>
          <w:sz w:val="24"/>
          <w:szCs w:val="24"/>
        </w:rPr>
        <w:t xml:space="preserve"> </w:t>
      </w:r>
      <w:r>
        <w:rPr>
          <w:sz w:val="24"/>
          <w:szCs w:val="24"/>
        </w:rPr>
        <w:t>(2003),</w:t>
      </w:r>
      <w:r>
        <w:rPr>
          <w:spacing w:val="23"/>
          <w:sz w:val="24"/>
          <w:szCs w:val="24"/>
        </w:rPr>
        <w:t xml:space="preserve"> “</w:t>
      </w:r>
      <w:r>
        <w:rPr>
          <w:sz w:val="24"/>
          <w:szCs w:val="24"/>
        </w:rPr>
        <w:t>Regionalisation</w:t>
      </w:r>
      <w:r>
        <w:rPr>
          <w:spacing w:val="24"/>
          <w:sz w:val="24"/>
          <w:szCs w:val="24"/>
        </w:rPr>
        <w:t xml:space="preserve"> </w:t>
      </w:r>
      <w:r>
        <w:rPr>
          <w:sz w:val="24"/>
          <w:szCs w:val="24"/>
        </w:rPr>
        <w:t>In</w:t>
      </w:r>
      <w:r>
        <w:rPr>
          <w:spacing w:val="24"/>
          <w:sz w:val="24"/>
          <w:szCs w:val="24"/>
        </w:rPr>
        <w:t xml:space="preserve"> </w:t>
      </w:r>
      <w:r>
        <w:rPr>
          <w:sz w:val="24"/>
          <w:szCs w:val="24"/>
        </w:rPr>
        <w:t>The</w:t>
      </w:r>
      <w:r>
        <w:rPr>
          <w:spacing w:val="25"/>
          <w:sz w:val="24"/>
          <w:szCs w:val="24"/>
        </w:rPr>
        <w:t xml:space="preserve"> </w:t>
      </w:r>
      <w:r>
        <w:rPr>
          <w:sz w:val="24"/>
          <w:szCs w:val="24"/>
        </w:rPr>
        <w:t>Czech</w:t>
      </w:r>
      <w:r>
        <w:rPr>
          <w:spacing w:val="24"/>
          <w:sz w:val="24"/>
          <w:szCs w:val="24"/>
        </w:rPr>
        <w:t xml:space="preserve"> </w:t>
      </w:r>
      <w:r>
        <w:rPr>
          <w:sz w:val="24"/>
          <w:szCs w:val="24"/>
        </w:rPr>
        <w:t>and</w:t>
      </w:r>
      <w:r>
        <w:rPr>
          <w:spacing w:val="22"/>
          <w:sz w:val="24"/>
          <w:szCs w:val="24"/>
        </w:rPr>
        <w:t xml:space="preserve"> </w:t>
      </w:r>
      <w:r>
        <w:rPr>
          <w:sz w:val="24"/>
          <w:szCs w:val="24"/>
        </w:rPr>
        <w:t>Slovak</w:t>
      </w:r>
      <w:r>
        <w:rPr>
          <w:spacing w:val="22"/>
          <w:sz w:val="24"/>
          <w:szCs w:val="24"/>
        </w:rPr>
        <w:t xml:space="preserve"> </w:t>
      </w:r>
      <w:r>
        <w:rPr>
          <w:sz w:val="24"/>
          <w:szCs w:val="24"/>
        </w:rPr>
        <w:t>Republics: Comparing</w:t>
      </w:r>
      <w:r>
        <w:rPr>
          <w:spacing w:val="22"/>
          <w:sz w:val="24"/>
          <w:szCs w:val="24"/>
        </w:rPr>
        <w:t xml:space="preserve"> </w:t>
      </w:r>
      <w:r>
        <w:rPr>
          <w:sz w:val="24"/>
          <w:szCs w:val="24"/>
        </w:rPr>
        <w:t>the</w:t>
      </w:r>
      <w:r>
        <w:rPr>
          <w:spacing w:val="25"/>
          <w:sz w:val="24"/>
          <w:szCs w:val="24"/>
        </w:rPr>
        <w:t xml:space="preserve"> </w:t>
      </w:r>
      <w:r>
        <w:rPr>
          <w:sz w:val="24"/>
          <w:szCs w:val="24"/>
        </w:rPr>
        <w:t>Influence</w:t>
      </w:r>
      <w:r>
        <w:rPr>
          <w:spacing w:val="25"/>
          <w:sz w:val="24"/>
          <w:szCs w:val="24"/>
        </w:rPr>
        <w:t xml:space="preserve"> </w:t>
      </w:r>
      <w:r>
        <w:rPr>
          <w:sz w:val="24"/>
          <w:szCs w:val="24"/>
        </w:rPr>
        <w:t>of The</w:t>
      </w:r>
      <w:r>
        <w:rPr>
          <w:spacing w:val="35"/>
          <w:sz w:val="24"/>
          <w:szCs w:val="24"/>
        </w:rPr>
        <w:t xml:space="preserve"> </w:t>
      </w:r>
      <w:r>
        <w:rPr>
          <w:sz w:val="24"/>
          <w:szCs w:val="24"/>
        </w:rPr>
        <w:t>European</w:t>
      </w:r>
      <w:r>
        <w:rPr>
          <w:spacing w:val="35"/>
          <w:sz w:val="24"/>
          <w:szCs w:val="24"/>
        </w:rPr>
        <w:t xml:space="preserve"> </w:t>
      </w:r>
      <w:r>
        <w:rPr>
          <w:sz w:val="24"/>
          <w:szCs w:val="24"/>
        </w:rPr>
        <w:t>Union”, Keating, M. and Hughes,</w:t>
      </w:r>
      <w:r>
        <w:rPr>
          <w:spacing w:val="35"/>
          <w:sz w:val="24"/>
          <w:szCs w:val="24"/>
        </w:rPr>
        <w:t xml:space="preserve"> </w:t>
      </w:r>
      <w:r>
        <w:rPr>
          <w:sz w:val="24"/>
          <w:szCs w:val="24"/>
        </w:rPr>
        <w:t>J. (eds)</w:t>
      </w:r>
      <w:r>
        <w:rPr>
          <w:spacing w:val="36"/>
          <w:sz w:val="24"/>
          <w:szCs w:val="24"/>
        </w:rPr>
        <w:t xml:space="preserve"> </w:t>
      </w:r>
      <w:r>
        <w:rPr>
          <w:i/>
          <w:iCs/>
          <w:sz w:val="24"/>
          <w:szCs w:val="24"/>
        </w:rPr>
        <w:t>The</w:t>
      </w:r>
      <w:r>
        <w:rPr>
          <w:i/>
          <w:iCs/>
          <w:spacing w:val="38"/>
          <w:sz w:val="24"/>
          <w:szCs w:val="24"/>
        </w:rPr>
        <w:t xml:space="preserve"> </w:t>
      </w:r>
      <w:r>
        <w:rPr>
          <w:i/>
          <w:iCs/>
          <w:sz w:val="24"/>
          <w:szCs w:val="24"/>
        </w:rPr>
        <w:t>Regional</w:t>
      </w:r>
      <w:r>
        <w:rPr>
          <w:i/>
          <w:iCs/>
          <w:spacing w:val="38"/>
          <w:sz w:val="24"/>
          <w:szCs w:val="24"/>
        </w:rPr>
        <w:t xml:space="preserve"> </w:t>
      </w:r>
      <w:r>
        <w:rPr>
          <w:i/>
          <w:iCs/>
          <w:sz w:val="24"/>
          <w:szCs w:val="24"/>
        </w:rPr>
        <w:t>Challenge</w:t>
      </w:r>
      <w:r>
        <w:rPr>
          <w:i/>
          <w:iCs/>
          <w:spacing w:val="38"/>
          <w:sz w:val="24"/>
          <w:szCs w:val="24"/>
        </w:rPr>
        <w:t xml:space="preserve"> </w:t>
      </w:r>
      <w:r>
        <w:rPr>
          <w:i/>
          <w:iCs/>
          <w:sz w:val="24"/>
          <w:szCs w:val="24"/>
        </w:rPr>
        <w:t>in</w:t>
      </w:r>
      <w:r>
        <w:rPr>
          <w:i/>
          <w:iCs/>
          <w:spacing w:val="37"/>
          <w:sz w:val="24"/>
          <w:szCs w:val="24"/>
        </w:rPr>
        <w:t xml:space="preserve"> </w:t>
      </w:r>
      <w:r>
        <w:rPr>
          <w:i/>
          <w:iCs/>
          <w:sz w:val="24"/>
          <w:szCs w:val="24"/>
        </w:rPr>
        <w:t>Central</w:t>
      </w:r>
      <w:r>
        <w:rPr>
          <w:i/>
          <w:iCs/>
          <w:spacing w:val="38"/>
          <w:sz w:val="24"/>
          <w:szCs w:val="24"/>
        </w:rPr>
        <w:t xml:space="preserve"> </w:t>
      </w:r>
      <w:r>
        <w:rPr>
          <w:i/>
          <w:iCs/>
          <w:sz w:val="24"/>
          <w:szCs w:val="24"/>
        </w:rPr>
        <w:t xml:space="preserve">and Eastern Europe, Territorial Restructuring and European Integration, </w:t>
      </w:r>
      <w:r>
        <w:rPr>
          <w:sz w:val="24"/>
          <w:szCs w:val="24"/>
        </w:rPr>
        <w:t>Presses interuniversitaires européennes/Peter</w:t>
      </w:r>
      <w:r>
        <w:rPr>
          <w:spacing w:val="-16"/>
          <w:sz w:val="24"/>
          <w:szCs w:val="24"/>
        </w:rPr>
        <w:t xml:space="preserve"> </w:t>
      </w:r>
      <w:r>
        <w:rPr>
          <w:sz w:val="24"/>
          <w:szCs w:val="24"/>
        </w:rPr>
        <w:t>Lang, Paris.</w:t>
      </w:r>
    </w:p>
    <w:p w14:paraId="66A8E2C9"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 xml:space="preserve">Burgess, J. (1982), “Selling places: environmental images for the executive”, </w:t>
      </w:r>
      <w:r>
        <w:rPr>
          <w:i/>
          <w:sz w:val="24"/>
          <w:szCs w:val="24"/>
        </w:rPr>
        <w:t>Regional Studies</w:t>
      </w:r>
      <w:r>
        <w:rPr>
          <w:sz w:val="24"/>
          <w:szCs w:val="24"/>
        </w:rPr>
        <w:t>, Vol. 16 No. 1, pp. 1-17.</w:t>
      </w:r>
    </w:p>
    <w:p w14:paraId="78111EC5" w14:textId="77777777" w:rsidR="005E6520" w:rsidRDefault="005E6520" w:rsidP="005E6520">
      <w:pPr>
        <w:pStyle w:val="BodyText"/>
        <w:kinsoku w:val="0"/>
        <w:overflowPunct w:val="0"/>
        <w:spacing w:before="52" w:line="480" w:lineRule="auto"/>
        <w:ind w:left="142" w:right="-46" w:hanging="142"/>
        <w:rPr>
          <w:sz w:val="24"/>
          <w:szCs w:val="24"/>
        </w:rPr>
      </w:pPr>
      <w:r>
        <w:rPr>
          <w:sz w:val="24"/>
          <w:szCs w:val="24"/>
        </w:rPr>
        <w:t xml:space="preserve">Capik, P. (2019), </w:t>
      </w:r>
      <w:r>
        <w:rPr>
          <w:i/>
          <w:sz w:val="24"/>
          <w:szCs w:val="24"/>
        </w:rPr>
        <w:t>Foreign Investment Promotion: Governance and Implementation in Central-Eastern European Regions</w:t>
      </w:r>
      <w:r>
        <w:rPr>
          <w:sz w:val="24"/>
          <w:szCs w:val="24"/>
        </w:rPr>
        <w:t>, Palgrave Macmillan, Cham.</w:t>
      </w:r>
    </w:p>
    <w:p w14:paraId="43D65F08" w14:textId="77777777" w:rsidR="005E6520" w:rsidRDefault="005E6520" w:rsidP="005E6520">
      <w:pPr>
        <w:pStyle w:val="BodyText"/>
        <w:kinsoku w:val="0"/>
        <w:overflowPunct w:val="0"/>
        <w:spacing w:before="52" w:line="480" w:lineRule="auto"/>
        <w:ind w:left="142" w:right="-46" w:hanging="142"/>
        <w:rPr>
          <w:sz w:val="24"/>
          <w:szCs w:val="24"/>
        </w:rPr>
      </w:pPr>
      <w:r>
        <w:rPr>
          <w:sz w:val="24"/>
          <w:szCs w:val="24"/>
        </w:rPr>
        <w:t>Capik, P. and Drahokoupil, J. (2011), “Foreign Direct Investments in Business Services: Transforming</w:t>
      </w:r>
      <w:r>
        <w:rPr>
          <w:spacing w:val="36"/>
          <w:sz w:val="24"/>
          <w:szCs w:val="24"/>
        </w:rPr>
        <w:t xml:space="preserve"> </w:t>
      </w:r>
      <w:r>
        <w:rPr>
          <w:sz w:val="24"/>
          <w:szCs w:val="24"/>
        </w:rPr>
        <w:t>the Visegrád</w:t>
      </w:r>
      <w:r>
        <w:rPr>
          <w:spacing w:val="19"/>
          <w:sz w:val="24"/>
          <w:szCs w:val="24"/>
        </w:rPr>
        <w:t xml:space="preserve"> </w:t>
      </w:r>
      <w:r>
        <w:rPr>
          <w:sz w:val="24"/>
          <w:szCs w:val="24"/>
        </w:rPr>
        <w:t>Four</w:t>
      </w:r>
      <w:r>
        <w:rPr>
          <w:spacing w:val="20"/>
          <w:sz w:val="24"/>
          <w:szCs w:val="24"/>
        </w:rPr>
        <w:t xml:space="preserve"> </w:t>
      </w:r>
      <w:r>
        <w:rPr>
          <w:sz w:val="24"/>
          <w:szCs w:val="24"/>
        </w:rPr>
        <w:t>Region</w:t>
      </w:r>
      <w:r>
        <w:rPr>
          <w:spacing w:val="17"/>
          <w:sz w:val="24"/>
          <w:szCs w:val="24"/>
        </w:rPr>
        <w:t xml:space="preserve"> </w:t>
      </w:r>
      <w:r>
        <w:rPr>
          <w:sz w:val="24"/>
          <w:szCs w:val="24"/>
        </w:rPr>
        <w:t>into</w:t>
      </w:r>
      <w:r>
        <w:rPr>
          <w:spacing w:val="17"/>
          <w:sz w:val="24"/>
          <w:szCs w:val="24"/>
        </w:rPr>
        <w:t xml:space="preserve"> </w:t>
      </w:r>
      <w:r>
        <w:rPr>
          <w:sz w:val="24"/>
          <w:szCs w:val="24"/>
        </w:rPr>
        <w:t>a</w:t>
      </w:r>
      <w:r>
        <w:rPr>
          <w:spacing w:val="20"/>
          <w:sz w:val="24"/>
          <w:szCs w:val="24"/>
        </w:rPr>
        <w:t xml:space="preserve"> </w:t>
      </w:r>
      <w:r>
        <w:rPr>
          <w:sz w:val="24"/>
          <w:szCs w:val="24"/>
        </w:rPr>
        <w:t>Knowledge-Based</w:t>
      </w:r>
      <w:r>
        <w:rPr>
          <w:spacing w:val="19"/>
          <w:sz w:val="24"/>
          <w:szCs w:val="24"/>
        </w:rPr>
        <w:t xml:space="preserve"> </w:t>
      </w:r>
      <w:r>
        <w:rPr>
          <w:sz w:val="24"/>
          <w:szCs w:val="24"/>
        </w:rPr>
        <w:t>Economy?”,</w:t>
      </w:r>
      <w:r>
        <w:rPr>
          <w:spacing w:val="19"/>
          <w:sz w:val="24"/>
          <w:szCs w:val="24"/>
        </w:rPr>
        <w:t xml:space="preserve"> </w:t>
      </w:r>
      <w:r>
        <w:rPr>
          <w:i/>
          <w:sz w:val="24"/>
          <w:szCs w:val="24"/>
        </w:rPr>
        <w:t>European</w:t>
      </w:r>
      <w:r>
        <w:rPr>
          <w:i/>
          <w:spacing w:val="19"/>
          <w:sz w:val="24"/>
          <w:szCs w:val="24"/>
        </w:rPr>
        <w:t xml:space="preserve"> </w:t>
      </w:r>
      <w:r>
        <w:rPr>
          <w:i/>
          <w:sz w:val="24"/>
          <w:szCs w:val="24"/>
        </w:rPr>
        <w:t>Planning</w:t>
      </w:r>
      <w:r>
        <w:rPr>
          <w:i/>
          <w:spacing w:val="17"/>
          <w:sz w:val="24"/>
          <w:szCs w:val="24"/>
        </w:rPr>
        <w:t xml:space="preserve"> </w:t>
      </w:r>
      <w:r>
        <w:rPr>
          <w:i/>
          <w:sz w:val="24"/>
          <w:szCs w:val="24"/>
        </w:rPr>
        <w:t>Studies</w:t>
      </w:r>
      <w:r>
        <w:rPr>
          <w:sz w:val="24"/>
          <w:szCs w:val="24"/>
        </w:rPr>
        <w:t>,</w:t>
      </w:r>
      <w:r>
        <w:rPr>
          <w:spacing w:val="19"/>
          <w:sz w:val="24"/>
          <w:szCs w:val="24"/>
        </w:rPr>
        <w:t xml:space="preserve"> Vol. </w:t>
      </w:r>
      <w:r>
        <w:rPr>
          <w:sz w:val="24"/>
          <w:szCs w:val="24"/>
        </w:rPr>
        <w:t>19 No. 9, pp. 1611-1631.</w:t>
      </w:r>
    </w:p>
    <w:p w14:paraId="12088C4D"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Charlton,</w:t>
      </w:r>
      <w:r>
        <w:rPr>
          <w:spacing w:val="25"/>
          <w:sz w:val="24"/>
          <w:szCs w:val="24"/>
        </w:rPr>
        <w:t xml:space="preserve"> </w:t>
      </w:r>
      <w:r>
        <w:rPr>
          <w:sz w:val="24"/>
          <w:szCs w:val="24"/>
        </w:rPr>
        <w:t>A.,</w:t>
      </w:r>
      <w:r>
        <w:rPr>
          <w:spacing w:val="25"/>
          <w:sz w:val="24"/>
          <w:szCs w:val="24"/>
        </w:rPr>
        <w:t xml:space="preserve"> </w:t>
      </w:r>
      <w:r>
        <w:rPr>
          <w:sz w:val="24"/>
          <w:szCs w:val="24"/>
        </w:rPr>
        <w:t>Davis,</w:t>
      </w:r>
      <w:r>
        <w:rPr>
          <w:spacing w:val="25"/>
          <w:sz w:val="24"/>
          <w:szCs w:val="24"/>
        </w:rPr>
        <w:t xml:space="preserve"> </w:t>
      </w:r>
      <w:r>
        <w:rPr>
          <w:sz w:val="24"/>
          <w:szCs w:val="24"/>
        </w:rPr>
        <w:t>N.,</w:t>
      </w:r>
      <w:r>
        <w:rPr>
          <w:spacing w:val="25"/>
          <w:sz w:val="24"/>
          <w:szCs w:val="24"/>
        </w:rPr>
        <w:t xml:space="preserve"> </w:t>
      </w:r>
      <w:r>
        <w:rPr>
          <w:sz w:val="24"/>
          <w:szCs w:val="24"/>
        </w:rPr>
        <w:t>Faye,</w:t>
      </w:r>
      <w:r>
        <w:rPr>
          <w:spacing w:val="25"/>
          <w:sz w:val="24"/>
          <w:szCs w:val="24"/>
        </w:rPr>
        <w:t xml:space="preserve"> </w:t>
      </w:r>
      <w:r>
        <w:rPr>
          <w:sz w:val="24"/>
          <w:szCs w:val="24"/>
        </w:rPr>
        <w:t>M.,</w:t>
      </w:r>
      <w:r>
        <w:rPr>
          <w:spacing w:val="25"/>
          <w:sz w:val="24"/>
          <w:szCs w:val="24"/>
        </w:rPr>
        <w:t xml:space="preserve"> </w:t>
      </w:r>
      <w:r>
        <w:rPr>
          <w:sz w:val="24"/>
          <w:szCs w:val="24"/>
        </w:rPr>
        <w:t>Haddock,</w:t>
      </w:r>
      <w:r>
        <w:rPr>
          <w:spacing w:val="23"/>
          <w:sz w:val="24"/>
          <w:szCs w:val="24"/>
        </w:rPr>
        <w:t xml:space="preserve"> </w:t>
      </w:r>
      <w:r>
        <w:rPr>
          <w:sz w:val="24"/>
          <w:szCs w:val="24"/>
        </w:rPr>
        <w:t>J.,</w:t>
      </w:r>
      <w:r>
        <w:rPr>
          <w:spacing w:val="25"/>
          <w:sz w:val="24"/>
          <w:szCs w:val="24"/>
        </w:rPr>
        <w:t xml:space="preserve"> </w:t>
      </w:r>
      <w:r>
        <w:rPr>
          <w:sz w:val="24"/>
          <w:szCs w:val="24"/>
        </w:rPr>
        <w:t>Lamb,</w:t>
      </w:r>
      <w:r>
        <w:rPr>
          <w:spacing w:val="25"/>
          <w:sz w:val="24"/>
          <w:szCs w:val="24"/>
        </w:rPr>
        <w:t xml:space="preserve"> </w:t>
      </w:r>
      <w:r>
        <w:rPr>
          <w:sz w:val="24"/>
          <w:szCs w:val="24"/>
        </w:rPr>
        <w:t>C.</w:t>
      </w:r>
      <w:r>
        <w:rPr>
          <w:spacing w:val="25"/>
          <w:sz w:val="24"/>
          <w:szCs w:val="24"/>
        </w:rPr>
        <w:t xml:space="preserve"> </w:t>
      </w:r>
      <w:r>
        <w:rPr>
          <w:sz w:val="24"/>
          <w:szCs w:val="24"/>
        </w:rPr>
        <w:t>(2004),</w:t>
      </w:r>
      <w:r>
        <w:rPr>
          <w:spacing w:val="26"/>
          <w:sz w:val="24"/>
          <w:szCs w:val="24"/>
        </w:rPr>
        <w:t xml:space="preserve"> “</w:t>
      </w:r>
      <w:r>
        <w:rPr>
          <w:sz w:val="24"/>
          <w:szCs w:val="24"/>
        </w:rPr>
        <w:t>Industry</w:t>
      </w:r>
      <w:r>
        <w:rPr>
          <w:spacing w:val="23"/>
          <w:sz w:val="24"/>
          <w:szCs w:val="24"/>
        </w:rPr>
        <w:t xml:space="preserve"> </w:t>
      </w:r>
      <w:r>
        <w:rPr>
          <w:sz w:val="24"/>
          <w:szCs w:val="24"/>
        </w:rPr>
        <w:t>targeting</w:t>
      </w:r>
      <w:r>
        <w:rPr>
          <w:spacing w:val="23"/>
          <w:sz w:val="24"/>
          <w:szCs w:val="24"/>
        </w:rPr>
        <w:t xml:space="preserve"> </w:t>
      </w:r>
      <w:r>
        <w:rPr>
          <w:sz w:val="24"/>
          <w:szCs w:val="24"/>
        </w:rPr>
        <w:t>within</w:t>
      </w:r>
      <w:r>
        <w:rPr>
          <w:spacing w:val="25"/>
          <w:sz w:val="24"/>
          <w:szCs w:val="24"/>
        </w:rPr>
        <w:t xml:space="preserve"> </w:t>
      </w:r>
      <w:r>
        <w:rPr>
          <w:sz w:val="24"/>
          <w:szCs w:val="24"/>
        </w:rPr>
        <w:t xml:space="preserve">Foreign Investment Promotion”, </w:t>
      </w:r>
      <w:r>
        <w:rPr>
          <w:i/>
          <w:iCs/>
          <w:sz w:val="24"/>
          <w:szCs w:val="24"/>
        </w:rPr>
        <w:t>Oxford Investment Research Working Paper</w:t>
      </w:r>
      <w:r>
        <w:rPr>
          <w:sz w:val="24"/>
          <w:szCs w:val="24"/>
        </w:rPr>
        <w:t>,</w:t>
      </w:r>
      <w:r>
        <w:rPr>
          <w:spacing w:val="-17"/>
          <w:sz w:val="24"/>
          <w:szCs w:val="24"/>
        </w:rPr>
        <w:t xml:space="preserve"> </w:t>
      </w:r>
      <w:r>
        <w:rPr>
          <w:sz w:val="24"/>
          <w:szCs w:val="24"/>
        </w:rPr>
        <w:t>Oxford.</w:t>
      </w:r>
    </w:p>
    <w:p w14:paraId="6CFB2A01"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 xml:space="preserve">Cleave, E., Godwin, A., Sadler, R., Gilliland, J. (2016), “The role of place branding in local and regional economic development: bridging the gap between policy and practicality”, </w:t>
      </w:r>
      <w:r>
        <w:rPr>
          <w:i/>
          <w:sz w:val="24"/>
          <w:szCs w:val="24"/>
        </w:rPr>
        <w:t>Regional Studies, Regional Science</w:t>
      </w:r>
      <w:r>
        <w:rPr>
          <w:sz w:val="24"/>
          <w:szCs w:val="24"/>
        </w:rPr>
        <w:t>, Vol. 3 No. 1, pp. 207-228.</w:t>
      </w:r>
    </w:p>
    <w:p w14:paraId="7A8765DD" w14:textId="77777777" w:rsidR="005E6520" w:rsidRDefault="005E6520" w:rsidP="005E6520">
      <w:pPr>
        <w:pStyle w:val="BodyText"/>
        <w:kinsoku w:val="0"/>
        <w:overflowPunct w:val="0"/>
        <w:spacing w:before="9" w:line="480" w:lineRule="auto"/>
        <w:ind w:left="142" w:right="-45" w:hanging="142"/>
        <w:rPr>
          <w:sz w:val="24"/>
          <w:szCs w:val="24"/>
        </w:rPr>
      </w:pPr>
      <w:r>
        <w:rPr>
          <w:sz w:val="24"/>
          <w:szCs w:val="24"/>
        </w:rPr>
        <w:t>Dingsdale, A. (1999), “Redefining “Eastern Europe”: a new regional geography of post-</w:t>
      </w:r>
      <w:r>
        <w:rPr>
          <w:sz w:val="24"/>
          <w:szCs w:val="24"/>
        </w:rPr>
        <w:lastRenderedPageBreak/>
        <w:t xml:space="preserve">socialist Europe?”, </w:t>
      </w:r>
      <w:r>
        <w:rPr>
          <w:i/>
          <w:sz w:val="24"/>
          <w:szCs w:val="24"/>
        </w:rPr>
        <w:t>Geography</w:t>
      </w:r>
      <w:r>
        <w:rPr>
          <w:sz w:val="24"/>
          <w:szCs w:val="24"/>
        </w:rPr>
        <w:t>, Vol. 84 No. 3, pp. 204-221.</w:t>
      </w:r>
    </w:p>
    <w:p w14:paraId="375BD914" w14:textId="77777777" w:rsidR="005E6520" w:rsidRDefault="005E6520" w:rsidP="005E6520">
      <w:pPr>
        <w:pStyle w:val="BodyText"/>
        <w:kinsoku w:val="0"/>
        <w:overflowPunct w:val="0"/>
        <w:spacing w:before="9" w:line="480" w:lineRule="auto"/>
        <w:ind w:left="142" w:right="-45" w:hanging="142"/>
        <w:rPr>
          <w:sz w:val="24"/>
          <w:szCs w:val="24"/>
        </w:rPr>
      </w:pPr>
      <w:r>
        <w:rPr>
          <w:sz w:val="24"/>
          <w:szCs w:val="24"/>
        </w:rPr>
        <w:t xml:space="preserve">Dogaru, T., Burger, M., Karreman, B., Van Oort, F., (2015), “Functional and Sectoral Division of Labour within Central and Eastern European Countries: Evidence from Greenfield FDI”, </w:t>
      </w:r>
      <w:r>
        <w:rPr>
          <w:i/>
          <w:sz w:val="24"/>
          <w:szCs w:val="24"/>
        </w:rPr>
        <w:t>Tijdschrift voor economische en socialte geografie</w:t>
      </w:r>
      <w:r>
        <w:rPr>
          <w:sz w:val="24"/>
          <w:szCs w:val="24"/>
        </w:rPr>
        <w:t>, Vol. 106 No. 1, pp. 120-129.</w:t>
      </w:r>
    </w:p>
    <w:p w14:paraId="59A3AF9A" w14:textId="77777777" w:rsidR="005E6520" w:rsidRDefault="005E6520" w:rsidP="005E6520">
      <w:pPr>
        <w:pStyle w:val="BodyText"/>
        <w:kinsoku w:val="0"/>
        <w:overflowPunct w:val="0"/>
        <w:spacing w:before="9" w:line="480" w:lineRule="auto"/>
        <w:ind w:left="142" w:right="-45" w:hanging="142"/>
        <w:rPr>
          <w:sz w:val="24"/>
          <w:szCs w:val="24"/>
        </w:rPr>
      </w:pPr>
      <w:r>
        <w:rPr>
          <w:sz w:val="24"/>
          <w:szCs w:val="24"/>
        </w:rPr>
        <w:t>Domański, B. (2001), “</w:t>
      </w:r>
      <w:r>
        <w:rPr>
          <w:i/>
          <w:iCs/>
          <w:sz w:val="24"/>
          <w:szCs w:val="24"/>
        </w:rPr>
        <w:t>Kapitał zagraniczny w przemy</w:t>
      </w:r>
      <w:r>
        <w:rPr>
          <w:sz w:val="24"/>
          <w:szCs w:val="24"/>
        </w:rPr>
        <w:t>ś</w:t>
      </w:r>
      <w:r>
        <w:rPr>
          <w:i/>
          <w:iCs/>
          <w:sz w:val="24"/>
          <w:szCs w:val="24"/>
        </w:rPr>
        <w:t>le Polski”</w:t>
      </w:r>
      <w:r>
        <w:rPr>
          <w:iCs/>
          <w:sz w:val="24"/>
          <w:szCs w:val="24"/>
        </w:rPr>
        <w:t>, I</w:t>
      </w:r>
      <w:r>
        <w:rPr>
          <w:sz w:val="24"/>
          <w:szCs w:val="24"/>
        </w:rPr>
        <w:t>GiGP Uniwersytetu</w:t>
      </w:r>
      <w:r>
        <w:rPr>
          <w:spacing w:val="-26"/>
          <w:sz w:val="24"/>
          <w:szCs w:val="24"/>
        </w:rPr>
        <w:t xml:space="preserve"> </w:t>
      </w:r>
      <w:r>
        <w:rPr>
          <w:sz w:val="24"/>
          <w:szCs w:val="24"/>
        </w:rPr>
        <w:t>Jagiellońskiego, Kraków.</w:t>
      </w:r>
    </w:p>
    <w:p w14:paraId="198774E4" w14:textId="77777777" w:rsidR="005E6520" w:rsidRDefault="005E6520" w:rsidP="005E6520">
      <w:pPr>
        <w:pStyle w:val="BodyText"/>
        <w:kinsoku w:val="0"/>
        <w:overflowPunct w:val="0"/>
        <w:spacing w:before="12" w:line="480" w:lineRule="auto"/>
        <w:ind w:left="142" w:right="-45" w:hanging="142"/>
        <w:rPr>
          <w:sz w:val="24"/>
          <w:szCs w:val="24"/>
        </w:rPr>
      </w:pPr>
      <w:r>
        <w:rPr>
          <w:sz w:val="24"/>
          <w:szCs w:val="24"/>
        </w:rPr>
        <w:t>Eurostat  (2007),  “</w:t>
      </w:r>
      <w:r>
        <w:rPr>
          <w:i/>
          <w:iCs/>
          <w:sz w:val="24"/>
          <w:szCs w:val="24"/>
        </w:rPr>
        <w:t>Regions  in  the  European  Union:  Nomenklature  of  territorial  units  for</w:t>
      </w:r>
      <w:r>
        <w:rPr>
          <w:i/>
          <w:iCs/>
          <w:spacing w:val="27"/>
          <w:sz w:val="24"/>
          <w:szCs w:val="24"/>
        </w:rPr>
        <w:t xml:space="preserve"> </w:t>
      </w:r>
      <w:r>
        <w:rPr>
          <w:i/>
          <w:iCs/>
          <w:sz w:val="24"/>
          <w:szCs w:val="24"/>
        </w:rPr>
        <w:t xml:space="preserve">statistics”, </w:t>
      </w:r>
      <w:r>
        <w:rPr>
          <w:sz w:val="24"/>
          <w:szCs w:val="24"/>
        </w:rPr>
        <w:t>European Communities, Luxembourg.</w:t>
      </w:r>
    </w:p>
    <w:p w14:paraId="7C9BFE41" w14:textId="77777777" w:rsidR="005E6520" w:rsidRDefault="005E6520" w:rsidP="005E6520">
      <w:pPr>
        <w:pStyle w:val="BodyText"/>
        <w:kinsoku w:val="0"/>
        <w:overflowPunct w:val="0"/>
        <w:spacing w:line="480" w:lineRule="auto"/>
        <w:ind w:left="142" w:right="-45" w:hanging="142"/>
        <w:rPr>
          <w:sz w:val="24"/>
          <w:szCs w:val="24"/>
        </w:rPr>
      </w:pPr>
      <w:r>
        <w:rPr>
          <w:sz w:val="24"/>
          <w:szCs w:val="24"/>
        </w:rPr>
        <w:t xml:space="preserve">Ferry, M. and McMaster, I. (2013), “Cohesion Policy and the Evolution of Regional Policy in Central and Eastern Europe”, </w:t>
      </w:r>
      <w:r>
        <w:rPr>
          <w:i/>
          <w:sz w:val="24"/>
          <w:szCs w:val="24"/>
        </w:rPr>
        <w:t>Europe-Asia Studies</w:t>
      </w:r>
      <w:r>
        <w:rPr>
          <w:sz w:val="24"/>
          <w:szCs w:val="24"/>
        </w:rPr>
        <w:t>, Vol. 65 No. 8, pp. 1502-1528.</w:t>
      </w:r>
    </w:p>
    <w:p w14:paraId="077602FF" w14:textId="77777777" w:rsidR="005E6520" w:rsidRDefault="005E6520" w:rsidP="005E6520">
      <w:pPr>
        <w:pStyle w:val="BodyText"/>
        <w:kinsoku w:val="0"/>
        <w:overflowPunct w:val="0"/>
        <w:spacing w:line="480" w:lineRule="auto"/>
        <w:ind w:left="142" w:right="-45" w:hanging="142"/>
        <w:rPr>
          <w:sz w:val="24"/>
          <w:szCs w:val="24"/>
        </w:rPr>
      </w:pPr>
      <w:r>
        <w:rPr>
          <w:sz w:val="24"/>
          <w:szCs w:val="24"/>
        </w:rPr>
        <w:t xml:space="preserve">Fitzsimons, D.S. (1995), “Planning and promotion: city reimaging in the 1980s and 1990s”, Neill,W.J.V, Fitzsimons, D.S., and Murtagh, B. (eds) </w:t>
      </w:r>
      <w:r>
        <w:rPr>
          <w:i/>
          <w:iCs/>
          <w:sz w:val="24"/>
          <w:szCs w:val="24"/>
        </w:rPr>
        <w:t>Reimaging the pariah city; urban development in</w:t>
      </w:r>
      <w:r>
        <w:rPr>
          <w:i/>
          <w:iCs/>
          <w:spacing w:val="44"/>
          <w:sz w:val="24"/>
          <w:szCs w:val="24"/>
        </w:rPr>
        <w:t xml:space="preserve"> </w:t>
      </w:r>
      <w:r>
        <w:rPr>
          <w:i/>
          <w:iCs/>
          <w:sz w:val="24"/>
          <w:szCs w:val="24"/>
        </w:rPr>
        <w:t xml:space="preserve">Belfast and Detroit, </w:t>
      </w:r>
      <w:r>
        <w:rPr>
          <w:sz w:val="24"/>
          <w:szCs w:val="24"/>
        </w:rPr>
        <w:t>Aldershot, Avebury.</w:t>
      </w:r>
    </w:p>
    <w:p w14:paraId="555D9C05"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Florek,</w:t>
      </w:r>
      <w:r>
        <w:rPr>
          <w:spacing w:val="35"/>
          <w:sz w:val="24"/>
          <w:szCs w:val="24"/>
        </w:rPr>
        <w:t xml:space="preserve"> </w:t>
      </w:r>
      <w:r>
        <w:rPr>
          <w:sz w:val="24"/>
          <w:szCs w:val="24"/>
        </w:rPr>
        <w:t>M.</w:t>
      </w:r>
      <w:r>
        <w:rPr>
          <w:spacing w:val="35"/>
          <w:sz w:val="24"/>
          <w:szCs w:val="24"/>
        </w:rPr>
        <w:t xml:space="preserve"> </w:t>
      </w:r>
      <w:r>
        <w:rPr>
          <w:sz w:val="24"/>
          <w:szCs w:val="24"/>
        </w:rPr>
        <w:t>(2005),</w:t>
      </w:r>
      <w:r>
        <w:rPr>
          <w:spacing w:val="31"/>
          <w:sz w:val="24"/>
          <w:szCs w:val="24"/>
        </w:rPr>
        <w:t xml:space="preserve"> “</w:t>
      </w:r>
      <w:r>
        <w:rPr>
          <w:sz w:val="24"/>
          <w:szCs w:val="24"/>
        </w:rPr>
        <w:t>The</w:t>
      </w:r>
      <w:r>
        <w:rPr>
          <w:spacing w:val="33"/>
          <w:sz w:val="24"/>
          <w:szCs w:val="24"/>
        </w:rPr>
        <w:t xml:space="preserve"> </w:t>
      </w:r>
      <w:r>
        <w:rPr>
          <w:sz w:val="24"/>
          <w:szCs w:val="24"/>
        </w:rPr>
        <w:t>country</w:t>
      </w:r>
      <w:r>
        <w:rPr>
          <w:spacing w:val="32"/>
          <w:sz w:val="24"/>
          <w:szCs w:val="24"/>
        </w:rPr>
        <w:t xml:space="preserve"> </w:t>
      </w:r>
      <w:r>
        <w:rPr>
          <w:sz w:val="24"/>
          <w:szCs w:val="24"/>
        </w:rPr>
        <w:t>Brand</w:t>
      </w:r>
      <w:r>
        <w:rPr>
          <w:spacing w:val="35"/>
          <w:sz w:val="24"/>
          <w:szCs w:val="24"/>
        </w:rPr>
        <w:t xml:space="preserve"> </w:t>
      </w:r>
      <w:r>
        <w:rPr>
          <w:sz w:val="24"/>
          <w:szCs w:val="24"/>
        </w:rPr>
        <w:t>as</w:t>
      </w:r>
      <w:r>
        <w:rPr>
          <w:spacing w:val="35"/>
          <w:sz w:val="24"/>
          <w:szCs w:val="24"/>
        </w:rPr>
        <w:t xml:space="preserve"> </w:t>
      </w:r>
      <w:r>
        <w:rPr>
          <w:sz w:val="24"/>
          <w:szCs w:val="24"/>
        </w:rPr>
        <w:t>a</w:t>
      </w:r>
      <w:r>
        <w:rPr>
          <w:spacing w:val="33"/>
          <w:sz w:val="24"/>
          <w:szCs w:val="24"/>
        </w:rPr>
        <w:t xml:space="preserve"> </w:t>
      </w:r>
      <w:r>
        <w:rPr>
          <w:sz w:val="24"/>
          <w:szCs w:val="24"/>
        </w:rPr>
        <w:t>new</w:t>
      </w:r>
      <w:r>
        <w:rPr>
          <w:spacing w:val="34"/>
          <w:sz w:val="24"/>
          <w:szCs w:val="24"/>
        </w:rPr>
        <w:t xml:space="preserve"> </w:t>
      </w:r>
      <w:r>
        <w:rPr>
          <w:sz w:val="24"/>
          <w:szCs w:val="24"/>
        </w:rPr>
        <w:t>challenge</w:t>
      </w:r>
      <w:r>
        <w:rPr>
          <w:spacing w:val="35"/>
          <w:sz w:val="24"/>
          <w:szCs w:val="24"/>
        </w:rPr>
        <w:t xml:space="preserve"> </w:t>
      </w:r>
      <w:r>
        <w:rPr>
          <w:sz w:val="24"/>
          <w:szCs w:val="24"/>
        </w:rPr>
        <w:t>for</w:t>
      </w:r>
      <w:r>
        <w:rPr>
          <w:spacing w:val="33"/>
          <w:sz w:val="24"/>
          <w:szCs w:val="24"/>
        </w:rPr>
        <w:t xml:space="preserve"> </w:t>
      </w:r>
      <w:r>
        <w:rPr>
          <w:sz w:val="24"/>
          <w:szCs w:val="24"/>
        </w:rPr>
        <w:t>Poland”,</w:t>
      </w:r>
      <w:r>
        <w:rPr>
          <w:spacing w:val="35"/>
          <w:sz w:val="24"/>
          <w:szCs w:val="24"/>
        </w:rPr>
        <w:t xml:space="preserve"> </w:t>
      </w:r>
      <w:r>
        <w:rPr>
          <w:i/>
          <w:iCs/>
          <w:sz w:val="24"/>
          <w:szCs w:val="24"/>
        </w:rPr>
        <w:t>Place</w:t>
      </w:r>
      <w:r>
        <w:rPr>
          <w:i/>
          <w:iCs/>
          <w:spacing w:val="33"/>
          <w:sz w:val="24"/>
          <w:szCs w:val="24"/>
        </w:rPr>
        <w:t xml:space="preserve"> </w:t>
      </w:r>
      <w:r>
        <w:rPr>
          <w:i/>
          <w:iCs/>
          <w:sz w:val="24"/>
          <w:szCs w:val="24"/>
        </w:rPr>
        <w:t>Branding</w:t>
      </w:r>
      <w:r>
        <w:rPr>
          <w:i/>
          <w:iCs/>
          <w:spacing w:val="35"/>
          <w:sz w:val="24"/>
          <w:szCs w:val="24"/>
        </w:rPr>
        <w:t xml:space="preserve"> </w:t>
      </w:r>
      <w:r>
        <w:rPr>
          <w:i/>
          <w:iCs/>
          <w:sz w:val="24"/>
          <w:szCs w:val="24"/>
        </w:rPr>
        <w:t>and</w:t>
      </w:r>
      <w:r>
        <w:rPr>
          <w:i/>
          <w:iCs/>
          <w:spacing w:val="32"/>
          <w:sz w:val="24"/>
          <w:szCs w:val="24"/>
        </w:rPr>
        <w:t xml:space="preserve"> </w:t>
      </w:r>
      <w:r>
        <w:rPr>
          <w:i/>
          <w:iCs/>
          <w:sz w:val="24"/>
          <w:szCs w:val="24"/>
        </w:rPr>
        <w:t>Public Diplomacy</w:t>
      </w:r>
      <w:r>
        <w:rPr>
          <w:sz w:val="24"/>
          <w:szCs w:val="24"/>
        </w:rPr>
        <w:t>, Vol. 1 No. 2, pp. 205-214.</w:t>
      </w:r>
    </w:p>
    <w:p w14:paraId="03374C2E"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Florek, M. (2003), “Territorial marketing: theoretical issues and empirical survey in</w:t>
      </w:r>
      <w:r>
        <w:rPr>
          <w:spacing w:val="-15"/>
          <w:sz w:val="24"/>
          <w:szCs w:val="24"/>
        </w:rPr>
        <w:t xml:space="preserve"> </w:t>
      </w:r>
      <w:r>
        <w:rPr>
          <w:sz w:val="24"/>
          <w:szCs w:val="24"/>
        </w:rPr>
        <w:t xml:space="preserve">wielkopolska communes”, </w:t>
      </w:r>
      <w:r>
        <w:rPr>
          <w:i/>
          <w:iCs/>
          <w:sz w:val="24"/>
          <w:szCs w:val="24"/>
        </w:rPr>
        <w:t>Quaderno di ricerca</w:t>
      </w:r>
      <w:r>
        <w:rPr>
          <w:sz w:val="24"/>
          <w:szCs w:val="24"/>
        </w:rPr>
        <w:t>, Vol. 2 No. 1, pp. 1-28.</w:t>
      </w:r>
    </w:p>
    <w:p w14:paraId="7B722473"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Fuller, C., Bennett, R.J., Ramsden, M. (2003), “Organised for inward investment?</w:t>
      </w:r>
      <w:r>
        <w:rPr>
          <w:spacing w:val="29"/>
          <w:sz w:val="24"/>
          <w:szCs w:val="24"/>
        </w:rPr>
        <w:t xml:space="preserve"> </w:t>
      </w:r>
      <w:r>
        <w:rPr>
          <w:sz w:val="24"/>
          <w:szCs w:val="24"/>
        </w:rPr>
        <w:t xml:space="preserve">Development agencies, local government, and firms in the inward investment process”, </w:t>
      </w:r>
      <w:r>
        <w:rPr>
          <w:i/>
          <w:iCs/>
          <w:sz w:val="24"/>
          <w:szCs w:val="24"/>
        </w:rPr>
        <w:t>Environment and</w:t>
      </w:r>
      <w:r>
        <w:rPr>
          <w:i/>
          <w:iCs/>
          <w:spacing w:val="-9"/>
          <w:sz w:val="24"/>
          <w:szCs w:val="24"/>
        </w:rPr>
        <w:t xml:space="preserve"> </w:t>
      </w:r>
      <w:r>
        <w:rPr>
          <w:i/>
          <w:iCs/>
          <w:sz w:val="24"/>
          <w:szCs w:val="24"/>
        </w:rPr>
        <w:t>Planning: A</w:t>
      </w:r>
      <w:r>
        <w:rPr>
          <w:sz w:val="24"/>
          <w:szCs w:val="24"/>
        </w:rPr>
        <w:t>, Vol. 35 No. 11, pp. 2025-2051.</w:t>
      </w:r>
    </w:p>
    <w:p w14:paraId="0A994E21" w14:textId="77777777" w:rsidR="005E6520" w:rsidRDefault="005E6520" w:rsidP="005E6520">
      <w:pPr>
        <w:pStyle w:val="BodyText"/>
        <w:kinsoku w:val="0"/>
        <w:overflowPunct w:val="0"/>
        <w:spacing w:before="52" w:line="480" w:lineRule="auto"/>
        <w:ind w:left="142" w:right="-46" w:hanging="142"/>
        <w:rPr>
          <w:sz w:val="24"/>
          <w:szCs w:val="24"/>
        </w:rPr>
      </w:pPr>
      <w:r>
        <w:rPr>
          <w:sz w:val="24"/>
          <w:szCs w:val="24"/>
        </w:rPr>
        <w:t xml:space="preserve">Harding, T. and Javorcik, B. (2012), “Investment promotion and FDI inflows: Quality matters”, </w:t>
      </w:r>
      <w:r>
        <w:rPr>
          <w:i/>
          <w:sz w:val="24"/>
          <w:szCs w:val="24"/>
        </w:rPr>
        <w:t>University of Oxford Department of Economics Discussion Paper Series</w:t>
      </w:r>
      <w:r>
        <w:rPr>
          <w:sz w:val="24"/>
          <w:szCs w:val="24"/>
        </w:rPr>
        <w:t>, No. 612.</w:t>
      </w:r>
    </w:p>
    <w:p w14:paraId="40FCE149" w14:textId="77777777" w:rsidR="005E6520" w:rsidRDefault="005E6520" w:rsidP="005E6520">
      <w:pPr>
        <w:pStyle w:val="BodyText"/>
        <w:kinsoku w:val="0"/>
        <w:overflowPunct w:val="0"/>
        <w:spacing w:line="480" w:lineRule="auto"/>
        <w:ind w:left="142" w:right="-46" w:hanging="142"/>
        <w:rPr>
          <w:sz w:val="24"/>
          <w:szCs w:val="24"/>
        </w:rPr>
      </w:pPr>
      <w:r>
        <w:rPr>
          <w:sz w:val="24"/>
          <w:szCs w:val="24"/>
        </w:rPr>
        <w:t>Helinska-Hughes, E. and Hughes, M. (2003), “Joining the competition: Central and Eastern</w:t>
      </w:r>
      <w:r>
        <w:rPr>
          <w:spacing w:val="-18"/>
          <w:sz w:val="24"/>
          <w:szCs w:val="24"/>
        </w:rPr>
        <w:t xml:space="preserve"> </w:t>
      </w:r>
      <w:r>
        <w:rPr>
          <w:sz w:val="24"/>
          <w:szCs w:val="24"/>
        </w:rPr>
        <w:t xml:space="preserve">European Challenge to Established FDI Destinations?” in Phelps, N. and Raines, P. (eds) </w:t>
      </w:r>
      <w:r>
        <w:rPr>
          <w:i/>
          <w:iCs/>
          <w:sz w:val="24"/>
          <w:szCs w:val="24"/>
        </w:rPr>
        <w:lastRenderedPageBreak/>
        <w:t>The New Competition</w:t>
      </w:r>
      <w:r>
        <w:rPr>
          <w:i/>
          <w:iCs/>
          <w:spacing w:val="-29"/>
          <w:sz w:val="24"/>
          <w:szCs w:val="24"/>
        </w:rPr>
        <w:t xml:space="preserve"> </w:t>
      </w:r>
      <w:r>
        <w:rPr>
          <w:i/>
          <w:iCs/>
          <w:sz w:val="24"/>
          <w:szCs w:val="24"/>
        </w:rPr>
        <w:t xml:space="preserve">for Inward Investment, </w:t>
      </w:r>
      <w:r>
        <w:rPr>
          <w:sz w:val="24"/>
          <w:szCs w:val="24"/>
        </w:rPr>
        <w:t>Edward Elgar, Cheltenham.</w:t>
      </w:r>
    </w:p>
    <w:p w14:paraId="079A7362"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Illner, M. (2002), “Multilevel government in three Central Eastern European Countries and its</w:t>
      </w:r>
      <w:r>
        <w:rPr>
          <w:spacing w:val="-30"/>
          <w:sz w:val="24"/>
          <w:szCs w:val="24"/>
        </w:rPr>
        <w:t xml:space="preserve"> </w:t>
      </w:r>
      <w:r>
        <w:rPr>
          <w:sz w:val="24"/>
          <w:szCs w:val="24"/>
        </w:rPr>
        <w:t xml:space="preserve">reforms since 1989”, </w:t>
      </w:r>
      <w:r>
        <w:rPr>
          <w:i/>
          <w:iCs/>
          <w:sz w:val="24"/>
          <w:szCs w:val="24"/>
        </w:rPr>
        <w:t>EUI Working Papers</w:t>
      </w:r>
      <w:r>
        <w:rPr>
          <w:sz w:val="24"/>
          <w:szCs w:val="24"/>
        </w:rPr>
        <w:t>, no</w:t>
      </w:r>
      <w:r>
        <w:rPr>
          <w:spacing w:val="-5"/>
          <w:sz w:val="24"/>
          <w:szCs w:val="24"/>
        </w:rPr>
        <w:t xml:space="preserve"> </w:t>
      </w:r>
      <w:r>
        <w:rPr>
          <w:sz w:val="24"/>
          <w:szCs w:val="24"/>
        </w:rPr>
        <w:t>2002/07.</w:t>
      </w:r>
    </w:p>
    <w:p w14:paraId="50533946" w14:textId="77777777" w:rsidR="005E6520" w:rsidRDefault="005E6520" w:rsidP="005E6520">
      <w:pPr>
        <w:pStyle w:val="BodyText"/>
        <w:kinsoku w:val="0"/>
        <w:overflowPunct w:val="0"/>
        <w:spacing w:line="480" w:lineRule="auto"/>
        <w:ind w:left="142" w:right="-46" w:hanging="142"/>
        <w:rPr>
          <w:sz w:val="24"/>
          <w:szCs w:val="24"/>
        </w:rPr>
      </w:pPr>
      <w:r>
        <w:rPr>
          <w:sz w:val="24"/>
          <w:szCs w:val="24"/>
        </w:rPr>
        <w:t>Klijn, E.H.,</w:t>
      </w:r>
      <w:r>
        <w:rPr>
          <w:spacing w:val="36"/>
          <w:sz w:val="24"/>
          <w:szCs w:val="24"/>
        </w:rPr>
        <w:t xml:space="preserve"> </w:t>
      </w:r>
      <w:r>
        <w:rPr>
          <w:sz w:val="24"/>
          <w:szCs w:val="24"/>
        </w:rPr>
        <w:t>Eshuis,</w:t>
      </w:r>
      <w:r>
        <w:rPr>
          <w:spacing w:val="34"/>
          <w:sz w:val="24"/>
          <w:szCs w:val="24"/>
        </w:rPr>
        <w:t xml:space="preserve"> </w:t>
      </w:r>
      <w:r>
        <w:rPr>
          <w:sz w:val="24"/>
          <w:szCs w:val="24"/>
        </w:rPr>
        <w:t>J.,</w:t>
      </w:r>
      <w:r>
        <w:rPr>
          <w:spacing w:val="36"/>
          <w:sz w:val="24"/>
          <w:szCs w:val="24"/>
        </w:rPr>
        <w:t xml:space="preserve"> </w:t>
      </w:r>
      <w:r>
        <w:rPr>
          <w:sz w:val="24"/>
          <w:szCs w:val="24"/>
        </w:rPr>
        <w:t>Braun,</w:t>
      </w:r>
      <w:r>
        <w:rPr>
          <w:spacing w:val="34"/>
          <w:sz w:val="24"/>
          <w:szCs w:val="24"/>
        </w:rPr>
        <w:t xml:space="preserve"> </w:t>
      </w:r>
      <w:r>
        <w:rPr>
          <w:sz w:val="24"/>
          <w:szCs w:val="24"/>
        </w:rPr>
        <w:t>E.</w:t>
      </w:r>
      <w:r>
        <w:rPr>
          <w:spacing w:val="34"/>
          <w:sz w:val="24"/>
          <w:szCs w:val="24"/>
        </w:rPr>
        <w:t xml:space="preserve"> </w:t>
      </w:r>
      <w:r>
        <w:rPr>
          <w:sz w:val="24"/>
          <w:szCs w:val="24"/>
        </w:rPr>
        <w:t>(2012),</w:t>
      </w:r>
      <w:r>
        <w:rPr>
          <w:spacing w:val="35"/>
          <w:sz w:val="24"/>
          <w:szCs w:val="24"/>
        </w:rPr>
        <w:t xml:space="preserve"> “</w:t>
      </w:r>
      <w:r>
        <w:rPr>
          <w:sz w:val="24"/>
          <w:szCs w:val="24"/>
        </w:rPr>
        <w:t>The</w:t>
      </w:r>
      <w:r>
        <w:rPr>
          <w:spacing w:val="37"/>
          <w:sz w:val="24"/>
          <w:szCs w:val="24"/>
        </w:rPr>
        <w:t xml:space="preserve"> </w:t>
      </w:r>
      <w:r>
        <w:rPr>
          <w:sz w:val="24"/>
          <w:szCs w:val="24"/>
        </w:rPr>
        <w:t>Influence</w:t>
      </w:r>
      <w:r>
        <w:rPr>
          <w:spacing w:val="37"/>
          <w:sz w:val="24"/>
          <w:szCs w:val="24"/>
        </w:rPr>
        <w:t xml:space="preserve"> </w:t>
      </w:r>
      <w:r>
        <w:rPr>
          <w:sz w:val="24"/>
          <w:szCs w:val="24"/>
        </w:rPr>
        <w:t>of</w:t>
      </w:r>
      <w:r>
        <w:rPr>
          <w:spacing w:val="37"/>
          <w:sz w:val="24"/>
          <w:szCs w:val="24"/>
        </w:rPr>
        <w:t xml:space="preserve"> </w:t>
      </w:r>
      <w:r>
        <w:rPr>
          <w:sz w:val="24"/>
          <w:szCs w:val="24"/>
        </w:rPr>
        <w:t>Stakeholder</w:t>
      </w:r>
      <w:r>
        <w:rPr>
          <w:spacing w:val="35"/>
          <w:sz w:val="24"/>
          <w:szCs w:val="24"/>
        </w:rPr>
        <w:t xml:space="preserve"> </w:t>
      </w:r>
      <w:r>
        <w:rPr>
          <w:sz w:val="24"/>
          <w:szCs w:val="24"/>
        </w:rPr>
        <w:t>Involvement</w:t>
      </w:r>
      <w:r>
        <w:rPr>
          <w:spacing w:val="37"/>
          <w:sz w:val="24"/>
          <w:szCs w:val="24"/>
        </w:rPr>
        <w:t xml:space="preserve"> </w:t>
      </w:r>
      <w:r>
        <w:rPr>
          <w:sz w:val="24"/>
          <w:szCs w:val="24"/>
        </w:rPr>
        <w:t>on</w:t>
      </w:r>
      <w:r>
        <w:rPr>
          <w:spacing w:val="34"/>
          <w:sz w:val="24"/>
          <w:szCs w:val="24"/>
        </w:rPr>
        <w:t xml:space="preserve"> </w:t>
      </w:r>
      <w:r>
        <w:rPr>
          <w:sz w:val="24"/>
          <w:szCs w:val="24"/>
        </w:rPr>
        <w:t xml:space="preserve">The Effectiveness of Place Branding”, </w:t>
      </w:r>
      <w:r>
        <w:rPr>
          <w:i/>
          <w:iCs/>
          <w:sz w:val="24"/>
          <w:szCs w:val="24"/>
        </w:rPr>
        <w:t>Public Management Review</w:t>
      </w:r>
      <w:r>
        <w:rPr>
          <w:sz w:val="24"/>
          <w:szCs w:val="24"/>
        </w:rPr>
        <w:t>, Vol. 14 No. 4, pp. 499-519.</w:t>
      </w:r>
    </w:p>
    <w:p w14:paraId="23C915F0"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Kotler, P. and Gertner, D. (2002), “Country as brand, product and beyond: A place marketing and</w:t>
      </w:r>
      <w:r>
        <w:rPr>
          <w:spacing w:val="38"/>
          <w:sz w:val="24"/>
          <w:szCs w:val="24"/>
        </w:rPr>
        <w:t xml:space="preserve"> </w:t>
      </w:r>
      <w:r>
        <w:rPr>
          <w:sz w:val="24"/>
          <w:szCs w:val="24"/>
        </w:rPr>
        <w:t xml:space="preserve">brand management perspective”, </w:t>
      </w:r>
      <w:r>
        <w:rPr>
          <w:i/>
          <w:iCs/>
          <w:sz w:val="24"/>
          <w:szCs w:val="24"/>
        </w:rPr>
        <w:t>Brand Management</w:t>
      </w:r>
      <w:r>
        <w:rPr>
          <w:sz w:val="24"/>
          <w:szCs w:val="24"/>
        </w:rPr>
        <w:t>, Vol. 9 No. 4-5, pp. 249-261.</w:t>
      </w:r>
    </w:p>
    <w:p w14:paraId="745B540D" w14:textId="77777777" w:rsidR="005E6520" w:rsidRDefault="005E6520" w:rsidP="005E6520">
      <w:pPr>
        <w:pStyle w:val="BodyText"/>
        <w:kinsoku w:val="0"/>
        <w:overflowPunct w:val="0"/>
        <w:spacing w:before="12" w:line="480" w:lineRule="auto"/>
        <w:ind w:left="142" w:right="-46" w:hanging="142"/>
        <w:rPr>
          <w:sz w:val="24"/>
          <w:szCs w:val="24"/>
        </w:rPr>
      </w:pPr>
      <w:r>
        <w:rPr>
          <w:sz w:val="24"/>
          <w:szCs w:val="24"/>
        </w:rPr>
        <w:t>Kotler,</w:t>
      </w:r>
      <w:r>
        <w:rPr>
          <w:spacing w:val="32"/>
          <w:sz w:val="24"/>
          <w:szCs w:val="24"/>
        </w:rPr>
        <w:t xml:space="preserve"> </w:t>
      </w:r>
      <w:r>
        <w:rPr>
          <w:sz w:val="24"/>
          <w:szCs w:val="24"/>
        </w:rPr>
        <w:t>P.,</w:t>
      </w:r>
      <w:r>
        <w:rPr>
          <w:spacing w:val="32"/>
          <w:sz w:val="24"/>
          <w:szCs w:val="24"/>
        </w:rPr>
        <w:t xml:space="preserve"> </w:t>
      </w:r>
      <w:r>
        <w:rPr>
          <w:sz w:val="24"/>
          <w:szCs w:val="24"/>
        </w:rPr>
        <w:t>Apslund,</w:t>
      </w:r>
      <w:r>
        <w:rPr>
          <w:spacing w:val="30"/>
          <w:sz w:val="24"/>
          <w:szCs w:val="24"/>
        </w:rPr>
        <w:t xml:space="preserve"> </w:t>
      </w:r>
      <w:r>
        <w:rPr>
          <w:sz w:val="24"/>
          <w:szCs w:val="24"/>
        </w:rPr>
        <w:t>C.,</w:t>
      </w:r>
      <w:r>
        <w:rPr>
          <w:spacing w:val="32"/>
          <w:sz w:val="24"/>
          <w:szCs w:val="24"/>
        </w:rPr>
        <w:t xml:space="preserve"> </w:t>
      </w:r>
      <w:r>
        <w:rPr>
          <w:sz w:val="24"/>
          <w:szCs w:val="24"/>
        </w:rPr>
        <w:t>Rein,</w:t>
      </w:r>
      <w:r>
        <w:rPr>
          <w:spacing w:val="30"/>
          <w:sz w:val="24"/>
          <w:szCs w:val="24"/>
        </w:rPr>
        <w:t xml:space="preserve"> </w:t>
      </w:r>
      <w:r>
        <w:rPr>
          <w:sz w:val="24"/>
          <w:szCs w:val="24"/>
        </w:rPr>
        <w:t>I.,</w:t>
      </w:r>
      <w:r>
        <w:rPr>
          <w:spacing w:val="32"/>
          <w:sz w:val="24"/>
          <w:szCs w:val="24"/>
        </w:rPr>
        <w:t xml:space="preserve"> </w:t>
      </w:r>
      <w:r>
        <w:rPr>
          <w:sz w:val="24"/>
          <w:szCs w:val="24"/>
        </w:rPr>
        <w:t>Haider,</w:t>
      </w:r>
      <w:r>
        <w:rPr>
          <w:spacing w:val="30"/>
          <w:sz w:val="24"/>
          <w:szCs w:val="24"/>
        </w:rPr>
        <w:t xml:space="preserve"> </w:t>
      </w:r>
      <w:r>
        <w:rPr>
          <w:sz w:val="24"/>
          <w:szCs w:val="24"/>
        </w:rPr>
        <w:t>D.H.</w:t>
      </w:r>
      <w:r>
        <w:rPr>
          <w:spacing w:val="30"/>
          <w:sz w:val="24"/>
          <w:szCs w:val="24"/>
        </w:rPr>
        <w:t xml:space="preserve"> </w:t>
      </w:r>
      <w:r>
        <w:rPr>
          <w:sz w:val="24"/>
          <w:szCs w:val="24"/>
        </w:rPr>
        <w:t>(1999),</w:t>
      </w:r>
      <w:r>
        <w:rPr>
          <w:spacing w:val="31"/>
          <w:sz w:val="24"/>
          <w:szCs w:val="24"/>
        </w:rPr>
        <w:t xml:space="preserve"> “</w:t>
      </w:r>
      <w:r>
        <w:rPr>
          <w:i/>
          <w:iCs/>
          <w:sz w:val="24"/>
          <w:szCs w:val="24"/>
        </w:rPr>
        <w:t>Marketing</w:t>
      </w:r>
      <w:r>
        <w:rPr>
          <w:i/>
          <w:iCs/>
          <w:spacing w:val="30"/>
          <w:sz w:val="24"/>
          <w:szCs w:val="24"/>
        </w:rPr>
        <w:t xml:space="preserve"> </w:t>
      </w:r>
      <w:r>
        <w:rPr>
          <w:i/>
          <w:iCs/>
          <w:sz w:val="24"/>
          <w:szCs w:val="24"/>
        </w:rPr>
        <w:t>places</w:t>
      </w:r>
      <w:r>
        <w:rPr>
          <w:i/>
          <w:iCs/>
          <w:spacing w:val="30"/>
          <w:sz w:val="24"/>
          <w:szCs w:val="24"/>
        </w:rPr>
        <w:t xml:space="preserve"> </w:t>
      </w:r>
      <w:r>
        <w:rPr>
          <w:i/>
          <w:iCs/>
          <w:sz w:val="24"/>
          <w:szCs w:val="24"/>
        </w:rPr>
        <w:t>–</w:t>
      </w:r>
      <w:r>
        <w:rPr>
          <w:i/>
          <w:iCs/>
          <w:spacing w:val="32"/>
          <w:sz w:val="24"/>
          <w:szCs w:val="24"/>
        </w:rPr>
        <w:t xml:space="preserve"> </w:t>
      </w:r>
      <w:r>
        <w:rPr>
          <w:i/>
          <w:iCs/>
          <w:sz w:val="24"/>
          <w:szCs w:val="24"/>
        </w:rPr>
        <w:t>Europe:</w:t>
      </w:r>
      <w:r>
        <w:rPr>
          <w:i/>
          <w:iCs/>
          <w:spacing w:val="33"/>
          <w:sz w:val="24"/>
          <w:szCs w:val="24"/>
        </w:rPr>
        <w:t xml:space="preserve"> </w:t>
      </w:r>
      <w:r>
        <w:rPr>
          <w:i/>
          <w:iCs/>
          <w:sz w:val="24"/>
          <w:szCs w:val="24"/>
        </w:rPr>
        <w:t>How</w:t>
      </w:r>
      <w:r>
        <w:rPr>
          <w:i/>
          <w:iCs/>
          <w:spacing w:val="29"/>
          <w:sz w:val="24"/>
          <w:szCs w:val="24"/>
        </w:rPr>
        <w:t xml:space="preserve"> </w:t>
      </w:r>
      <w:r>
        <w:rPr>
          <w:i/>
          <w:iCs/>
          <w:sz w:val="24"/>
          <w:szCs w:val="24"/>
        </w:rPr>
        <w:t>to</w:t>
      </w:r>
      <w:r>
        <w:rPr>
          <w:i/>
          <w:iCs/>
          <w:spacing w:val="30"/>
          <w:sz w:val="24"/>
          <w:szCs w:val="24"/>
        </w:rPr>
        <w:t xml:space="preserve"> </w:t>
      </w:r>
      <w:r>
        <w:rPr>
          <w:i/>
          <w:iCs/>
          <w:sz w:val="24"/>
          <w:szCs w:val="24"/>
        </w:rPr>
        <w:t>attract investments, industries, residents and visitors to cities, communities, regions and nations in</w:t>
      </w:r>
      <w:r>
        <w:rPr>
          <w:i/>
          <w:iCs/>
          <w:spacing w:val="50"/>
          <w:sz w:val="24"/>
          <w:szCs w:val="24"/>
        </w:rPr>
        <w:t xml:space="preserve"> </w:t>
      </w:r>
      <w:r>
        <w:rPr>
          <w:i/>
          <w:iCs/>
          <w:sz w:val="24"/>
          <w:szCs w:val="24"/>
        </w:rPr>
        <w:t xml:space="preserve">Europe”, </w:t>
      </w:r>
      <w:r>
        <w:rPr>
          <w:sz w:val="24"/>
          <w:szCs w:val="24"/>
        </w:rPr>
        <w:t>Financial Times-Prentice Hall, London.</w:t>
      </w:r>
    </w:p>
    <w:p w14:paraId="6EB47BF1"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 xml:space="preserve">Kulchina, E. (2014), “Media coverage and location choice”, </w:t>
      </w:r>
      <w:r>
        <w:rPr>
          <w:i/>
          <w:sz w:val="24"/>
          <w:szCs w:val="24"/>
        </w:rPr>
        <w:t>Strategic Management Journal</w:t>
      </w:r>
      <w:r>
        <w:rPr>
          <w:sz w:val="24"/>
          <w:szCs w:val="24"/>
        </w:rPr>
        <w:t>, Vol. 35 No. 4, pp. 596-605.</w:t>
      </w:r>
    </w:p>
    <w:p w14:paraId="1D03CB42"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Lim,</w:t>
      </w:r>
      <w:r>
        <w:rPr>
          <w:spacing w:val="17"/>
          <w:sz w:val="24"/>
          <w:szCs w:val="24"/>
        </w:rPr>
        <w:t xml:space="preserve"> </w:t>
      </w:r>
      <w:r>
        <w:rPr>
          <w:sz w:val="24"/>
          <w:szCs w:val="24"/>
        </w:rPr>
        <w:t>S.H.</w:t>
      </w:r>
      <w:r>
        <w:rPr>
          <w:spacing w:val="17"/>
          <w:sz w:val="24"/>
          <w:szCs w:val="24"/>
        </w:rPr>
        <w:t xml:space="preserve"> </w:t>
      </w:r>
      <w:r>
        <w:rPr>
          <w:sz w:val="24"/>
          <w:szCs w:val="24"/>
        </w:rPr>
        <w:t>(2008),</w:t>
      </w:r>
      <w:r>
        <w:rPr>
          <w:spacing w:val="18"/>
          <w:sz w:val="24"/>
          <w:szCs w:val="24"/>
        </w:rPr>
        <w:t xml:space="preserve"> “</w:t>
      </w:r>
      <w:r>
        <w:rPr>
          <w:sz w:val="24"/>
          <w:szCs w:val="24"/>
        </w:rPr>
        <w:t>How</w:t>
      </w:r>
      <w:r>
        <w:rPr>
          <w:spacing w:val="16"/>
          <w:sz w:val="24"/>
          <w:szCs w:val="24"/>
        </w:rPr>
        <w:t xml:space="preserve"> </w:t>
      </w:r>
      <w:r>
        <w:rPr>
          <w:sz w:val="24"/>
          <w:szCs w:val="24"/>
        </w:rPr>
        <w:t>investment</w:t>
      </w:r>
      <w:r>
        <w:rPr>
          <w:spacing w:val="18"/>
          <w:sz w:val="24"/>
          <w:szCs w:val="24"/>
        </w:rPr>
        <w:t xml:space="preserve"> </w:t>
      </w:r>
      <w:r>
        <w:rPr>
          <w:sz w:val="24"/>
          <w:szCs w:val="24"/>
        </w:rPr>
        <w:t>promotion</w:t>
      </w:r>
      <w:r>
        <w:rPr>
          <w:spacing w:val="17"/>
          <w:sz w:val="24"/>
          <w:szCs w:val="24"/>
        </w:rPr>
        <w:t xml:space="preserve"> </w:t>
      </w:r>
      <w:r>
        <w:rPr>
          <w:sz w:val="24"/>
          <w:szCs w:val="24"/>
        </w:rPr>
        <w:t>affects</w:t>
      </w:r>
      <w:r>
        <w:rPr>
          <w:spacing w:val="15"/>
          <w:sz w:val="24"/>
          <w:szCs w:val="24"/>
        </w:rPr>
        <w:t xml:space="preserve"> </w:t>
      </w:r>
      <w:r>
        <w:rPr>
          <w:sz w:val="24"/>
          <w:szCs w:val="24"/>
        </w:rPr>
        <w:t>attracting</w:t>
      </w:r>
      <w:r>
        <w:rPr>
          <w:spacing w:val="15"/>
          <w:sz w:val="24"/>
          <w:szCs w:val="24"/>
        </w:rPr>
        <w:t xml:space="preserve"> </w:t>
      </w:r>
      <w:r>
        <w:rPr>
          <w:sz w:val="24"/>
          <w:szCs w:val="24"/>
        </w:rPr>
        <w:t>foreign</w:t>
      </w:r>
      <w:r>
        <w:rPr>
          <w:spacing w:val="17"/>
          <w:sz w:val="24"/>
          <w:szCs w:val="24"/>
        </w:rPr>
        <w:t xml:space="preserve"> </w:t>
      </w:r>
      <w:r>
        <w:rPr>
          <w:sz w:val="24"/>
          <w:szCs w:val="24"/>
        </w:rPr>
        <w:t>direct</w:t>
      </w:r>
      <w:r>
        <w:rPr>
          <w:spacing w:val="16"/>
          <w:sz w:val="24"/>
          <w:szCs w:val="24"/>
        </w:rPr>
        <w:t xml:space="preserve"> </w:t>
      </w:r>
      <w:r>
        <w:rPr>
          <w:sz w:val="24"/>
          <w:szCs w:val="24"/>
        </w:rPr>
        <w:t>investment:</w:t>
      </w:r>
      <w:r>
        <w:rPr>
          <w:spacing w:val="18"/>
          <w:sz w:val="24"/>
          <w:szCs w:val="24"/>
        </w:rPr>
        <w:t xml:space="preserve"> </w:t>
      </w:r>
      <w:r>
        <w:rPr>
          <w:sz w:val="24"/>
          <w:szCs w:val="24"/>
        </w:rPr>
        <w:t xml:space="preserve">Analytical argument and empirical analyses”, </w:t>
      </w:r>
      <w:r>
        <w:rPr>
          <w:i/>
          <w:iCs/>
          <w:sz w:val="24"/>
          <w:szCs w:val="24"/>
        </w:rPr>
        <w:t>International Business Review</w:t>
      </w:r>
      <w:r>
        <w:rPr>
          <w:sz w:val="24"/>
          <w:szCs w:val="24"/>
        </w:rPr>
        <w:t>, Vol. 17 No. 1, pp. 39-53.</w:t>
      </w:r>
    </w:p>
    <w:p w14:paraId="35995C73"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Lodge,</w:t>
      </w:r>
      <w:r>
        <w:rPr>
          <w:spacing w:val="15"/>
          <w:sz w:val="24"/>
          <w:szCs w:val="24"/>
        </w:rPr>
        <w:t xml:space="preserve"> </w:t>
      </w:r>
      <w:r>
        <w:rPr>
          <w:sz w:val="24"/>
          <w:szCs w:val="24"/>
        </w:rPr>
        <w:t>C.</w:t>
      </w:r>
      <w:r>
        <w:rPr>
          <w:spacing w:val="15"/>
          <w:sz w:val="24"/>
          <w:szCs w:val="24"/>
        </w:rPr>
        <w:t xml:space="preserve"> </w:t>
      </w:r>
      <w:r>
        <w:rPr>
          <w:sz w:val="24"/>
          <w:szCs w:val="24"/>
        </w:rPr>
        <w:t>(2002),</w:t>
      </w:r>
      <w:r>
        <w:rPr>
          <w:spacing w:val="15"/>
          <w:sz w:val="24"/>
          <w:szCs w:val="24"/>
        </w:rPr>
        <w:t xml:space="preserve"> “</w:t>
      </w:r>
      <w:r>
        <w:rPr>
          <w:sz w:val="24"/>
          <w:szCs w:val="24"/>
        </w:rPr>
        <w:t>Success</w:t>
      </w:r>
      <w:r>
        <w:rPr>
          <w:spacing w:val="13"/>
          <w:sz w:val="24"/>
          <w:szCs w:val="24"/>
        </w:rPr>
        <w:t xml:space="preserve"> </w:t>
      </w:r>
      <w:r>
        <w:rPr>
          <w:sz w:val="24"/>
          <w:szCs w:val="24"/>
        </w:rPr>
        <w:t>and</w:t>
      </w:r>
      <w:r>
        <w:rPr>
          <w:spacing w:val="12"/>
          <w:sz w:val="24"/>
          <w:szCs w:val="24"/>
        </w:rPr>
        <w:t xml:space="preserve"> </w:t>
      </w:r>
      <w:r>
        <w:rPr>
          <w:sz w:val="24"/>
          <w:szCs w:val="24"/>
        </w:rPr>
        <w:t>failure:</w:t>
      </w:r>
      <w:r>
        <w:rPr>
          <w:spacing w:val="13"/>
          <w:sz w:val="24"/>
          <w:szCs w:val="24"/>
        </w:rPr>
        <w:t xml:space="preserve"> </w:t>
      </w:r>
      <w:r>
        <w:rPr>
          <w:sz w:val="24"/>
          <w:szCs w:val="24"/>
        </w:rPr>
        <w:t>The</w:t>
      </w:r>
      <w:r>
        <w:rPr>
          <w:spacing w:val="15"/>
          <w:sz w:val="24"/>
          <w:szCs w:val="24"/>
        </w:rPr>
        <w:t xml:space="preserve"> </w:t>
      </w:r>
      <w:r>
        <w:rPr>
          <w:sz w:val="24"/>
          <w:szCs w:val="24"/>
        </w:rPr>
        <w:t>brand</w:t>
      </w:r>
      <w:r>
        <w:rPr>
          <w:spacing w:val="12"/>
          <w:sz w:val="24"/>
          <w:szCs w:val="24"/>
        </w:rPr>
        <w:t xml:space="preserve"> </w:t>
      </w:r>
      <w:r>
        <w:rPr>
          <w:sz w:val="24"/>
          <w:szCs w:val="24"/>
        </w:rPr>
        <w:t>stories</w:t>
      </w:r>
      <w:r>
        <w:rPr>
          <w:spacing w:val="13"/>
          <w:sz w:val="24"/>
          <w:szCs w:val="24"/>
        </w:rPr>
        <w:t xml:space="preserve"> </w:t>
      </w:r>
      <w:r>
        <w:rPr>
          <w:sz w:val="24"/>
          <w:szCs w:val="24"/>
        </w:rPr>
        <w:t>of</w:t>
      </w:r>
      <w:r>
        <w:rPr>
          <w:spacing w:val="13"/>
          <w:sz w:val="24"/>
          <w:szCs w:val="24"/>
        </w:rPr>
        <w:t xml:space="preserve"> </w:t>
      </w:r>
      <w:r>
        <w:rPr>
          <w:sz w:val="24"/>
          <w:szCs w:val="24"/>
        </w:rPr>
        <w:t>two</w:t>
      </w:r>
      <w:r>
        <w:rPr>
          <w:spacing w:val="12"/>
          <w:sz w:val="24"/>
          <w:szCs w:val="24"/>
        </w:rPr>
        <w:t xml:space="preserve"> </w:t>
      </w:r>
      <w:r>
        <w:rPr>
          <w:sz w:val="24"/>
          <w:szCs w:val="24"/>
        </w:rPr>
        <w:t>countries”,</w:t>
      </w:r>
      <w:r>
        <w:rPr>
          <w:spacing w:val="12"/>
          <w:sz w:val="24"/>
          <w:szCs w:val="24"/>
        </w:rPr>
        <w:t xml:space="preserve"> </w:t>
      </w:r>
      <w:r>
        <w:rPr>
          <w:i/>
          <w:iCs/>
          <w:sz w:val="24"/>
          <w:szCs w:val="24"/>
        </w:rPr>
        <w:t>Brand</w:t>
      </w:r>
      <w:r>
        <w:rPr>
          <w:i/>
          <w:iCs/>
          <w:spacing w:val="12"/>
          <w:sz w:val="24"/>
          <w:szCs w:val="24"/>
        </w:rPr>
        <w:t xml:space="preserve"> </w:t>
      </w:r>
      <w:r>
        <w:rPr>
          <w:i/>
          <w:iCs/>
          <w:sz w:val="24"/>
          <w:szCs w:val="24"/>
        </w:rPr>
        <w:t>Management</w:t>
      </w:r>
      <w:r>
        <w:rPr>
          <w:sz w:val="24"/>
          <w:szCs w:val="24"/>
        </w:rPr>
        <w:t>,</w:t>
      </w:r>
      <w:r>
        <w:rPr>
          <w:spacing w:val="12"/>
          <w:sz w:val="24"/>
          <w:szCs w:val="24"/>
        </w:rPr>
        <w:t xml:space="preserve"> Vol. </w:t>
      </w:r>
      <w:r>
        <w:rPr>
          <w:sz w:val="24"/>
          <w:szCs w:val="24"/>
        </w:rPr>
        <w:t>9 No. 4-5, pp. 372-384.</w:t>
      </w:r>
    </w:p>
    <w:p w14:paraId="577C6777" w14:textId="77777777" w:rsidR="005E6520" w:rsidRDefault="005E6520" w:rsidP="005E6520">
      <w:pPr>
        <w:pStyle w:val="BodyText"/>
        <w:kinsoku w:val="0"/>
        <w:overflowPunct w:val="0"/>
        <w:spacing w:line="480" w:lineRule="auto"/>
        <w:ind w:left="142" w:right="-46" w:hanging="142"/>
        <w:rPr>
          <w:sz w:val="24"/>
          <w:szCs w:val="24"/>
        </w:rPr>
      </w:pPr>
      <w:r>
        <w:rPr>
          <w:sz w:val="24"/>
          <w:szCs w:val="24"/>
        </w:rPr>
        <w:t>Loewendahl,</w:t>
      </w:r>
      <w:r>
        <w:rPr>
          <w:spacing w:val="18"/>
          <w:sz w:val="24"/>
          <w:szCs w:val="24"/>
        </w:rPr>
        <w:t xml:space="preserve"> </w:t>
      </w:r>
      <w:r>
        <w:rPr>
          <w:sz w:val="24"/>
          <w:szCs w:val="24"/>
        </w:rPr>
        <w:t>H.</w:t>
      </w:r>
      <w:r>
        <w:rPr>
          <w:spacing w:val="18"/>
          <w:sz w:val="24"/>
          <w:szCs w:val="24"/>
        </w:rPr>
        <w:t xml:space="preserve"> </w:t>
      </w:r>
      <w:r>
        <w:rPr>
          <w:sz w:val="24"/>
          <w:szCs w:val="24"/>
        </w:rPr>
        <w:t>(2001),</w:t>
      </w:r>
      <w:r>
        <w:rPr>
          <w:spacing w:val="19"/>
          <w:sz w:val="24"/>
          <w:szCs w:val="24"/>
        </w:rPr>
        <w:t xml:space="preserve"> “</w:t>
      </w:r>
      <w:r>
        <w:rPr>
          <w:sz w:val="24"/>
          <w:szCs w:val="24"/>
        </w:rPr>
        <w:t>A</w:t>
      </w:r>
      <w:r>
        <w:rPr>
          <w:spacing w:val="17"/>
          <w:sz w:val="24"/>
          <w:szCs w:val="24"/>
        </w:rPr>
        <w:t xml:space="preserve"> </w:t>
      </w:r>
      <w:r>
        <w:rPr>
          <w:sz w:val="24"/>
          <w:szCs w:val="24"/>
        </w:rPr>
        <w:t>framework</w:t>
      </w:r>
      <w:r>
        <w:rPr>
          <w:spacing w:val="16"/>
          <w:sz w:val="24"/>
          <w:szCs w:val="24"/>
        </w:rPr>
        <w:t xml:space="preserve"> </w:t>
      </w:r>
      <w:r>
        <w:rPr>
          <w:sz w:val="24"/>
          <w:szCs w:val="24"/>
        </w:rPr>
        <w:t>for</w:t>
      </w:r>
      <w:r>
        <w:rPr>
          <w:spacing w:val="19"/>
          <w:sz w:val="24"/>
          <w:szCs w:val="24"/>
        </w:rPr>
        <w:t xml:space="preserve"> </w:t>
      </w:r>
      <w:r>
        <w:rPr>
          <w:sz w:val="24"/>
          <w:szCs w:val="24"/>
        </w:rPr>
        <w:t>FDI</w:t>
      </w:r>
      <w:r>
        <w:rPr>
          <w:spacing w:val="14"/>
          <w:sz w:val="24"/>
          <w:szCs w:val="24"/>
        </w:rPr>
        <w:t xml:space="preserve"> </w:t>
      </w:r>
      <w:r>
        <w:rPr>
          <w:sz w:val="24"/>
          <w:szCs w:val="24"/>
        </w:rPr>
        <w:t>promotion”,</w:t>
      </w:r>
      <w:r>
        <w:rPr>
          <w:spacing w:val="18"/>
          <w:sz w:val="24"/>
          <w:szCs w:val="24"/>
        </w:rPr>
        <w:t xml:space="preserve"> </w:t>
      </w:r>
      <w:r>
        <w:rPr>
          <w:i/>
          <w:iCs/>
          <w:sz w:val="24"/>
          <w:szCs w:val="24"/>
        </w:rPr>
        <w:t>Transnational</w:t>
      </w:r>
      <w:r>
        <w:rPr>
          <w:i/>
          <w:iCs/>
          <w:spacing w:val="19"/>
          <w:sz w:val="24"/>
          <w:szCs w:val="24"/>
        </w:rPr>
        <w:t xml:space="preserve"> </w:t>
      </w:r>
      <w:r>
        <w:rPr>
          <w:i/>
          <w:iCs/>
          <w:sz w:val="24"/>
          <w:szCs w:val="24"/>
        </w:rPr>
        <w:t>Corporations</w:t>
      </w:r>
      <w:r>
        <w:rPr>
          <w:sz w:val="24"/>
          <w:szCs w:val="24"/>
        </w:rPr>
        <w:t>,</w:t>
      </w:r>
      <w:r>
        <w:rPr>
          <w:spacing w:val="18"/>
          <w:sz w:val="24"/>
          <w:szCs w:val="24"/>
        </w:rPr>
        <w:t xml:space="preserve"> Vol. </w:t>
      </w:r>
      <w:r>
        <w:rPr>
          <w:sz w:val="24"/>
          <w:szCs w:val="24"/>
        </w:rPr>
        <w:t>10 No. 1, pp. 1-42.</w:t>
      </w:r>
    </w:p>
    <w:p w14:paraId="5A9A2934" w14:textId="77777777" w:rsidR="005E6520" w:rsidRDefault="005E6520" w:rsidP="005E6520">
      <w:pPr>
        <w:pStyle w:val="BodyText"/>
        <w:kinsoku w:val="0"/>
        <w:overflowPunct w:val="0"/>
        <w:spacing w:before="52" w:line="480" w:lineRule="auto"/>
        <w:ind w:left="142" w:right="-46" w:hanging="142"/>
        <w:rPr>
          <w:sz w:val="24"/>
          <w:szCs w:val="24"/>
        </w:rPr>
      </w:pPr>
      <w:r>
        <w:rPr>
          <w:sz w:val="24"/>
          <w:szCs w:val="24"/>
        </w:rPr>
        <w:t xml:space="preserve">Maza, A. and Villaverde, J. (2015), “A New FDI Potential Index: Design and Application to the EU Regions”, </w:t>
      </w:r>
      <w:r>
        <w:rPr>
          <w:i/>
          <w:sz w:val="24"/>
          <w:szCs w:val="24"/>
        </w:rPr>
        <w:t>European Planning Studies</w:t>
      </w:r>
      <w:r>
        <w:rPr>
          <w:sz w:val="24"/>
          <w:szCs w:val="24"/>
        </w:rPr>
        <w:t>, Vol. 23 No. 12, pp. 2535-2565.</w:t>
      </w:r>
    </w:p>
    <w:p w14:paraId="672B9C16" w14:textId="77777777" w:rsidR="005E6520" w:rsidRDefault="005E6520" w:rsidP="005E6520">
      <w:pPr>
        <w:pStyle w:val="BodyText"/>
        <w:kinsoku w:val="0"/>
        <w:overflowPunct w:val="0"/>
        <w:spacing w:before="52" w:line="480" w:lineRule="auto"/>
        <w:ind w:left="142" w:right="-46" w:hanging="142"/>
        <w:rPr>
          <w:sz w:val="24"/>
          <w:szCs w:val="24"/>
        </w:rPr>
      </w:pPr>
      <w:r>
        <w:rPr>
          <w:sz w:val="24"/>
          <w:szCs w:val="24"/>
        </w:rPr>
        <w:t xml:space="preserve">Metaxas, T. (2010), “Place marketing, place branding and foreign direct investments: Defining their relationship in the frame of local economic development process”, </w:t>
      </w:r>
      <w:r>
        <w:rPr>
          <w:i/>
          <w:iCs/>
          <w:sz w:val="24"/>
          <w:szCs w:val="24"/>
        </w:rPr>
        <w:t>Place Branding and Public Diplomacy</w:t>
      </w:r>
      <w:r>
        <w:rPr>
          <w:sz w:val="24"/>
          <w:szCs w:val="24"/>
        </w:rPr>
        <w:t>, Vol. 6 No. 3, pp. 228-243.</w:t>
      </w:r>
    </w:p>
    <w:p w14:paraId="0F0FDCED" w14:textId="77777777" w:rsidR="005E6520" w:rsidRDefault="005E6520" w:rsidP="005E6520">
      <w:pPr>
        <w:pStyle w:val="BodyText"/>
        <w:kinsoku w:val="0"/>
        <w:overflowPunct w:val="0"/>
        <w:spacing w:before="52" w:line="480" w:lineRule="auto"/>
        <w:ind w:left="142" w:right="-46" w:hanging="142"/>
        <w:rPr>
          <w:sz w:val="24"/>
          <w:szCs w:val="24"/>
        </w:rPr>
      </w:pPr>
      <w:r>
        <w:rPr>
          <w:sz w:val="24"/>
          <w:szCs w:val="24"/>
        </w:rPr>
        <w:lastRenderedPageBreak/>
        <w:t>Meyer,</w:t>
      </w:r>
      <w:r>
        <w:rPr>
          <w:spacing w:val="31"/>
          <w:sz w:val="24"/>
          <w:szCs w:val="24"/>
        </w:rPr>
        <w:t xml:space="preserve"> </w:t>
      </w:r>
      <w:r>
        <w:rPr>
          <w:sz w:val="24"/>
          <w:szCs w:val="24"/>
        </w:rPr>
        <w:t>K.E. and Jensen,</w:t>
      </w:r>
      <w:r>
        <w:rPr>
          <w:spacing w:val="34"/>
          <w:sz w:val="24"/>
          <w:szCs w:val="24"/>
        </w:rPr>
        <w:t xml:space="preserve"> </w:t>
      </w:r>
      <w:r>
        <w:rPr>
          <w:sz w:val="24"/>
          <w:szCs w:val="24"/>
        </w:rPr>
        <w:t>C.</w:t>
      </w:r>
      <w:r>
        <w:rPr>
          <w:spacing w:val="34"/>
          <w:sz w:val="24"/>
          <w:szCs w:val="24"/>
        </w:rPr>
        <w:t xml:space="preserve"> </w:t>
      </w:r>
      <w:r>
        <w:rPr>
          <w:sz w:val="24"/>
          <w:szCs w:val="24"/>
        </w:rPr>
        <w:t>(2005),</w:t>
      </w:r>
      <w:r>
        <w:rPr>
          <w:spacing w:val="35"/>
          <w:sz w:val="24"/>
          <w:szCs w:val="24"/>
        </w:rPr>
        <w:t xml:space="preserve"> “</w:t>
      </w:r>
      <w:r>
        <w:rPr>
          <w:sz w:val="24"/>
          <w:szCs w:val="24"/>
        </w:rPr>
        <w:t>Foreign</w:t>
      </w:r>
      <w:r>
        <w:rPr>
          <w:spacing w:val="34"/>
          <w:sz w:val="24"/>
          <w:szCs w:val="24"/>
        </w:rPr>
        <w:t xml:space="preserve"> </w:t>
      </w:r>
      <w:r>
        <w:rPr>
          <w:sz w:val="24"/>
          <w:szCs w:val="24"/>
        </w:rPr>
        <w:t>Direct</w:t>
      </w:r>
      <w:r>
        <w:rPr>
          <w:spacing w:val="35"/>
          <w:sz w:val="24"/>
          <w:szCs w:val="24"/>
        </w:rPr>
        <w:t xml:space="preserve"> </w:t>
      </w:r>
      <w:r>
        <w:rPr>
          <w:sz w:val="24"/>
          <w:szCs w:val="24"/>
        </w:rPr>
        <w:t>Investment</w:t>
      </w:r>
      <w:r>
        <w:rPr>
          <w:spacing w:val="35"/>
          <w:sz w:val="24"/>
          <w:szCs w:val="24"/>
        </w:rPr>
        <w:t xml:space="preserve"> </w:t>
      </w:r>
      <w:r>
        <w:rPr>
          <w:sz w:val="24"/>
          <w:szCs w:val="24"/>
        </w:rPr>
        <w:t>and</w:t>
      </w:r>
      <w:r>
        <w:rPr>
          <w:spacing w:val="34"/>
          <w:sz w:val="24"/>
          <w:szCs w:val="24"/>
        </w:rPr>
        <w:t xml:space="preserve"> </w:t>
      </w:r>
      <w:r>
        <w:rPr>
          <w:sz w:val="24"/>
          <w:szCs w:val="24"/>
        </w:rPr>
        <w:t>Government</w:t>
      </w:r>
      <w:r>
        <w:rPr>
          <w:spacing w:val="35"/>
          <w:sz w:val="24"/>
          <w:szCs w:val="24"/>
        </w:rPr>
        <w:t xml:space="preserve"> </w:t>
      </w:r>
      <w:r>
        <w:rPr>
          <w:sz w:val="24"/>
          <w:szCs w:val="24"/>
        </w:rPr>
        <w:t>Policy</w:t>
      </w:r>
      <w:r>
        <w:rPr>
          <w:spacing w:val="31"/>
          <w:sz w:val="24"/>
          <w:szCs w:val="24"/>
        </w:rPr>
        <w:t xml:space="preserve"> </w:t>
      </w:r>
      <w:r>
        <w:rPr>
          <w:sz w:val="24"/>
          <w:szCs w:val="24"/>
        </w:rPr>
        <w:t>in</w:t>
      </w:r>
      <w:r>
        <w:rPr>
          <w:spacing w:val="34"/>
          <w:sz w:val="24"/>
          <w:szCs w:val="24"/>
        </w:rPr>
        <w:t xml:space="preserve"> </w:t>
      </w:r>
      <w:r>
        <w:rPr>
          <w:sz w:val="24"/>
          <w:szCs w:val="24"/>
        </w:rPr>
        <w:t>Central</w:t>
      </w:r>
      <w:r>
        <w:rPr>
          <w:spacing w:val="35"/>
          <w:sz w:val="24"/>
          <w:szCs w:val="24"/>
        </w:rPr>
        <w:t xml:space="preserve"> </w:t>
      </w:r>
      <w:r>
        <w:rPr>
          <w:sz w:val="24"/>
          <w:szCs w:val="24"/>
        </w:rPr>
        <w:t xml:space="preserve">and Eastern Europe” in Grosse, R. (ed), </w:t>
      </w:r>
      <w:r>
        <w:rPr>
          <w:i/>
          <w:iCs/>
          <w:sz w:val="24"/>
          <w:szCs w:val="24"/>
        </w:rPr>
        <w:t>International Business and Government Relations in the</w:t>
      </w:r>
      <w:r>
        <w:rPr>
          <w:i/>
          <w:iCs/>
          <w:spacing w:val="41"/>
          <w:sz w:val="24"/>
          <w:szCs w:val="24"/>
        </w:rPr>
        <w:t xml:space="preserve"> </w:t>
      </w:r>
      <w:r>
        <w:rPr>
          <w:i/>
          <w:iCs/>
          <w:sz w:val="24"/>
          <w:szCs w:val="24"/>
        </w:rPr>
        <w:t xml:space="preserve">21st Century, </w:t>
      </w:r>
      <w:r>
        <w:rPr>
          <w:iCs/>
          <w:sz w:val="24"/>
          <w:szCs w:val="24"/>
        </w:rPr>
        <w:t>(</w:t>
      </w:r>
      <w:r>
        <w:rPr>
          <w:sz w:val="24"/>
          <w:szCs w:val="24"/>
        </w:rPr>
        <w:t>Cambridge, Cambridge University Press).</w:t>
      </w:r>
    </w:p>
    <w:p w14:paraId="6E9B16E8"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Monaghan, S., Gunnigle, P., Lavelle, J. (2014), “Courting the multinational”: Subnational</w:t>
      </w:r>
      <w:r>
        <w:rPr>
          <w:spacing w:val="42"/>
          <w:sz w:val="24"/>
          <w:szCs w:val="24"/>
        </w:rPr>
        <w:t xml:space="preserve"> </w:t>
      </w:r>
      <w:r>
        <w:rPr>
          <w:sz w:val="24"/>
          <w:szCs w:val="24"/>
        </w:rPr>
        <w:t xml:space="preserve">institutional capacity and foreign market insidership”, </w:t>
      </w:r>
      <w:r>
        <w:rPr>
          <w:i/>
          <w:iCs/>
          <w:sz w:val="24"/>
          <w:szCs w:val="24"/>
        </w:rPr>
        <w:t>Journal of International Business Studies</w:t>
      </w:r>
      <w:r>
        <w:rPr>
          <w:sz w:val="24"/>
          <w:szCs w:val="24"/>
        </w:rPr>
        <w:t>, Vol. 45 No. 2, pp. 131-150.</w:t>
      </w:r>
    </w:p>
    <w:p w14:paraId="4ECAC5EE"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Morisset, J. and Andrews-Johnson, K. (2003), “The effectiveness of promotion agencies in</w:t>
      </w:r>
      <w:r>
        <w:rPr>
          <w:spacing w:val="32"/>
          <w:sz w:val="24"/>
          <w:szCs w:val="24"/>
        </w:rPr>
        <w:t xml:space="preserve"> </w:t>
      </w:r>
      <w:r>
        <w:rPr>
          <w:sz w:val="24"/>
          <w:szCs w:val="24"/>
        </w:rPr>
        <w:t xml:space="preserve">attracting foreign direct investment”, </w:t>
      </w:r>
      <w:r>
        <w:rPr>
          <w:i/>
          <w:iCs/>
          <w:sz w:val="24"/>
          <w:szCs w:val="24"/>
        </w:rPr>
        <w:t>FIAS Occasional Paper 16</w:t>
      </w:r>
      <w:r>
        <w:rPr>
          <w:sz w:val="24"/>
          <w:szCs w:val="24"/>
        </w:rPr>
        <w:t>, IFC-MIGA,</w:t>
      </w:r>
      <w:r>
        <w:rPr>
          <w:spacing w:val="-19"/>
          <w:sz w:val="24"/>
          <w:szCs w:val="24"/>
        </w:rPr>
        <w:t xml:space="preserve"> </w:t>
      </w:r>
      <w:r>
        <w:rPr>
          <w:sz w:val="24"/>
          <w:szCs w:val="24"/>
        </w:rPr>
        <w:t>Washington.</w:t>
      </w:r>
    </w:p>
    <w:p w14:paraId="54181AD8"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 xml:space="preserve">OECD (2018), </w:t>
      </w:r>
      <w:r>
        <w:rPr>
          <w:i/>
          <w:sz w:val="24"/>
          <w:szCs w:val="24"/>
        </w:rPr>
        <w:t>Mapping of Investment Promotion Agencies in OECD Countries</w:t>
      </w:r>
    </w:p>
    <w:p w14:paraId="3BCAB313"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 xml:space="preserve">   </w:t>
      </w:r>
      <w:hyperlink r:id="rId11" w:history="1">
        <w:r>
          <w:rPr>
            <w:rStyle w:val="Hyperlink"/>
            <w:sz w:val="24"/>
            <w:szCs w:val="24"/>
          </w:rPr>
          <w:t>www.oecd.org/investment/Mapping-of-Investment-Promotion-Agencies-in-OECD-Countries.pdf</w:t>
        </w:r>
      </w:hyperlink>
      <w:r>
        <w:rPr>
          <w:sz w:val="24"/>
          <w:szCs w:val="24"/>
        </w:rPr>
        <w:t xml:space="preserve"> </w:t>
      </w:r>
    </w:p>
    <w:p w14:paraId="6A44BB3D"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 xml:space="preserve">OECD (2015), </w:t>
      </w:r>
      <w:r>
        <w:rPr>
          <w:i/>
          <w:sz w:val="24"/>
          <w:szCs w:val="24"/>
        </w:rPr>
        <w:t>Policy Framework for Investment 2015 Edition</w:t>
      </w:r>
      <w:r>
        <w:rPr>
          <w:sz w:val="24"/>
          <w:szCs w:val="24"/>
        </w:rPr>
        <w:t>, OECD Publishing, Paris.</w:t>
      </w:r>
    </w:p>
    <w:p w14:paraId="69CFFD1B"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 xml:space="preserve">Oh, Y. (2014), “Korean Television Dramas and the Political Economy of City Promotion”, </w:t>
      </w:r>
      <w:r>
        <w:rPr>
          <w:i/>
          <w:sz w:val="24"/>
          <w:szCs w:val="24"/>
        </w:rPr>
        <w:t>International Journal of Urban and Regional Research</w:t>
      </w:r>
      <w:r>
        <w:rPr>
          <w:sz w:val="24"/>
          <w:szCs w:val="24"/>
        </w:rPr>
        <w:t>, Vol. 38 No. 6, pp. 2141-2155.</w:t>
      </w:r>
    </w:p>
    <w:p w14:paraId="5C31905D"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O’Dwyer,</w:t>
      </w:r>
      <w:r>
        <w:rPr>
          <w:spacing w:val="38"/>
          <w:sz w:val="24"/>
          <w:szCs w:val="24"/>
        </w:rPr>
        <w:t xml:space="preserve"> </w:t>
      </w:r>
      <w:r>
        <w:rPr>
          <w:sz w:val="24"/>
          <w:szCs w:val="24"/>
        </w:rPr>
        <w:t>C.</w:t>
      </w:r>
      <w:r>
        <w:rPr>
          <w:spacing w:val="38"/>
          <w:sz w:val="24"/>
          <w:szCs w:val="24"/>
        </w:rPr>
        <w:t xml:space="preserve"> </w:t>
      </w:r>
      <w:r>
        <w:rPr>
          <w:sz w:val="24"/>
          <w:szCs w:val="24"/>
        </w:rPr>
        <w:t>(2006),</w:t>
      </w:r>
      <w:r>
        <w:rPr>
          <w:spacing w:val="38"/>
          <w:sz w:val="24"/>
          <w:szCs w:val="24"/>
        </w:rPr>
        <w:t xml:space="preserve"> “</w:t>
      </w:r>
      <w:r>
        <w:rPr>
          <w:sz w:val="24"/>
          <w:szCs w:val="24"/>
        </w:rPr>
        <w:t>Reforming</w:t>
      </w:r>
      <w:r>
        <w:rPr>
          <w:spacing w:val="38"/>
          <w:sz w:val="24"/>
          <w:szCs w:val="24"/>
        </w:rPr>
        <w:t xml:space="preserve"> </w:t>
      </w:r>
      <w:r>
        <w:rPr>
          <w:sz w:val="24"/>
          <w:szCs w:val="24"/>
        </w:rPr>
        <w:t>Regional</w:t>
      </w:r>
      <w:r>
        <w:rPr>
          <w:spacing w:val="39"/>
          <w:sz w:val="24"/>
          <w:szCs w:val="24"/>
        </w:rPr>
        <w:t xml:space="preserve"> </w:t>
      </w:r>
      <w:r>
        <w:rPr>
          <w:sz w:val="24"/>
          <w:szCs w:val="24"/>
        </w:rPr>
        <w:t>Governance</w:t>
      </w:r>
      <w:r>
        <w:rPr>
          <w:spacing w:val="38"/>
          <w:sz w:val="24"/>
          <w:szCs w:val="24"/>
        </w:rPr>
        <w:t xml:space="preserve"> </w:t>
      </w:r>
      <w:r>
        <w:rPr>
          <w:sz w:val="24"/>
          <w:szCs w:val="24"/>
        </w:rPr>
        <w:t>in</w:t>
      </w:r>
      <w:r>
        <w:rPr>
          <w:spacing w:val="38"/>
          <w:sz w:val="24"/>
          <w:szCs w:val="24"/>
        </w:rPr>
        <w:t xml:space="preserve"> </w:t>
      </w:r>
      <w:r>
        <w:rPr>
          <w:sz w:val="24"/>
          <w:szCs w:val="24"/>
        </w:rPr>
        <w:t>East</w:t>
      </w:r>
      <w:r>
        <w:rPr>
          <w:spacing w:val="39"/>
          <w:sz w:val="24"/>
          <w:szCs w:val="24"/>
        </w:rPr>
        <w:t xml:space="preserve"> </w:t>
      </w:r>
      <w:r>
        <w:rPr>
          <w:sz w:val="24"/>
          <w:szCs w:val="24"/>
        </w:rPr>
        <w:t>Central</w:t>
      </w:r>
      <w:r>
        <w:rPr>
          <w:spacing w:val="39"/>
          <w:sz w:val="24"/>
          <w:szCs w:val="24"/>
        </w:rPr>
        <w:t xml:space="preserve"> </w:t>
      </w:r>
      <w:r>
        <w:rPr>
          <w:sz w:val="24"/>
          <w:szCs w:val="24"/>
        </w:rPr>
        <w:t>Europe:</w:t>
      </w:r>
      <w:r>
        <w:rPr>
          <w:spacing w:val="36"/>
          <w:sz w:val="24"/>
          <w:szCs w:val="24"/>
        </w:rPr>
        <w:t xml:space="preserve"> </w:t>
      </w:r>
      <w:r>
        <w:rPr>
          <w:sz w:val="24"/>
          <w:szCs w:val="24"/>
        </w:rPr>
        <w:t>Europeanization</w:t>
      </w:r>
      <w:r>
        <w:rPr>
          <w:spacing w:val="38"/>
          <w:sz w:val="24"/>
          <w:szCs w:val="24"/>
        </w:rPr>
        <w:t xml:space="preserve"> </w:t>
      </w:r>
      <w:r>
        <w:rPr>
          <w:sz w:val="24"/>
          <w:szCs w:val="24"/>
        </w:rPr>
        <w:t xml:space="preserve">or Domestic Politics as Usual?”, </w:t>
      </w:r>
      <w:r>
        <w:rPr>
          <w:i/>
          <w:iCs/>
          <w:sz w:val="24"/>
          <w:szCs w:val="24"/>
        </w:rPr>
        <w:t>East European Politics and Societies</w:t>
      </w:r>
      <w:r>
        <w:rPr>
          <w:sz w:val="24"/>
          <w:szCs w:val="24"/>
        </w:rPr>
        <w:t>, Vol. 20 No. 2, pp. 219-253.</w:t>
      </w:r>
    </w:p>
    <w:p w14:paraId="747C3831"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Parkerson, B. and Saunders J. (2005), “City branding: Can goods and services branding models be used</w:t>
      </w:r>
      <w:r>
        <w:rPr>
          <w:spacing w:val="-31"/>
          <w:sz w:val="24"/>
          <w:szCs w:val="24"/>
        </w:rPr>
        <w:t xml:space="preserve"> </w:t>
      </w:r>
      <w:r>
        <w:rPr>
          <w:sz w:val="24"/>
          <w:szCs w:val="24"/>
        </w:rPr>
        <w:t xml:space="preserve">to brand cities?”, </w:t>
      </w:r>
      <w:r>
        <w:rPr>
          <w:i/>
          <w:iCs/>
          <w:sz w:val="24"/>
          <w:szCs w:val="24"/>
        </w:rPr>
        <w:t>Place Branding and Public Diplomacy</w:t>
      </w:r>
      <w:r>
        <w:rPr>
          <w:sz w:val="24"/>
          <w:szCs w:val="24"/>
        </w:rPr>
        <w:t>, Vol. 1 No. 3, pp. 242-264.</w:t>
      </w:r>
    </w:p>
    <w:p w14:paraId="5C84AC08"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Pasquinelli, C. and Teräs, J. (2013), “Branding Knowledge-intensive Regions: A Comparative Study</w:t>
      </w:r>
      <w:r>
        <w:rPr>
          <w:spacing w:val="27"/>
          <w:sz w:val="24"/>
          <w:szCs w:val="24"/>
        </w:rPr>
        <w:t xml:space="preserve"> </w:t>
      </w:r>
      <w:r>
        <w:rPr>
          <w:sz w:val="24"/>
          <w:szCs w:val="24"/>
        </w:rPr>
        <w:t xml:space="preserve">of Pisa and Oulu High-Tech Brands”, </w:t>
      </w:r>
      <w:r>
        <w:rPr>
          <w:i/>
          <w:iCs/>
          <w:sz w:val="24"/>
          <w:szCs w:val="24"/>
        </w:rPr>
        <w:t>European Planning Studies</w:t>
      </w:r>
      <w:r>
        <w:rPr>
          <w:sz w:val="24"/>
          <w:szCs w:val="24"/>
        </w:rPr>
        <w:t>, Vol. 21 No. 10, pp. 1611-1629.</w:t>
      </w:r>
    </w:p>
    <w:p w14:paraId="18D8ACA8" w14:textId="77777777" w:rsidR="005E6520" w:rsidRDefault="005E6520" w:rsidP="005E6520">
      <w:pPr>
        <w:pStyle w:val="BodyText"/>
        <w:kinsoku w:val="0"/>
        <w:overflowPunct w:val="0"/>
        <w:spacing w:line="480" w:lineRule="auto"/>
        <w:ind w:left="142" w:right="-45" w:hanging="142"/>
        <w:rPr>
          <w:sz w:val="24"/>
          <w:szCs w:val="24"/>
        </w:rPr>
      </w:pPr>
      <w:r>
        <w:rPr>
          <w:sz w:val="24"/>
          <w:szCs w:val="24"/>
        </w:rPr>
        <w:t xml:space="preserve">Quelch, J. and Jocz., K. (2005), “Positioning the nation-state”, </w:t>
      </w:r>
      <w:r>
        <w:rPr>
          <w:i/>
          <w:iCs/>
          <w:sz w:val="24"/>
          <w:szCs w:val="24"/>
        </w:rPr>
        <w:t>Place Branding and Public Diplomacy</w:t>
      </w:r>
      <w:r>
        <w:rPr>
          <w:sz w:val="24"/>
          <w:szCs w:val="24"/>
        </w:rPr>
        <w:t>,</w:t>
      </w:r>
      <w:r>
        <w:rPr>
          <w:spacing w:val="-27"/>
          <w:sz w:val="24"/>
          <w:szCs w:val="24"/>
        </w:rPr>
        <w:t xml:space="preserve"> Vol. </w:t>
      </w:r>
      <w:r>
        <w:rPr>
          <w:sz w:val="24"/>
          <w:szCs w:val="24"/>
        </w:rPr>
        <w:t>1 No. 3, pp. 229-237.</w:t>
      </w:r>
    </w:p>
    <w:p w14:paraId="673A567F" w14:textId="77777777" w:rsidR="005E6520" w:rsidRDefault="005E6520" w:rsidP="005E6520">
      <w:pPr>
        <w:pStyle w:val="BodyText"/>
        <w:kinsoku w:val="0"/>
        <w:overflowPunct w:val="0"/>
        <w:spacing w:line="480" w:lineRule="auto"/>
        <w:ind w:left="142" w:right="-45" w:hanging="142"/>
        <w:rPr>
          <w:sz w:val="24"/>
          <w:szCs w:val="24"/>
        </w:rPr>
      </w:pPr>
      <w:r>
        <w:rPr>
          <w:sz w:val="24"/>
          <w:szCs w:val="24"/>
        </w:rPr>
        <w:lastRenderedPageBreak/>
        <w:t xml:space="preserve">Sellar, C. and Pástor, R. (2015), “Mutating Neoliberalism: The Promotion of Italian Investors in Slovakia before and after the Global Financial Crisis”, </w:t>
      </w:r>
      <w:r>
        <w:rPr>
          <w:i/>
          <w:sz w:val="24"/>
          <w:szCs w:val="24"/>
        </w:rPr>
        <w:t>International Journal of Urban and Regional Research</w:t>
      </w:r>
      <w:r>
        <w:rPr>
          <w:sz w:val="24"/>
          <w:szCs w:val="24"/>
        </w:rPr>
        <w:t>, Vol. 39 No. 2, pp. 342-360.</w:t>
      </w:r>
    </w:p>
    <w:p w14:paraId="44152FDC" w14:textId="77777777" w:rsidR="005E6520" w:rsidRDefault="005E6520" w:rsidP="005E6520">
      <w:pPr>
        <w:pStyle w:val="BodyText"/>
        <w:kinsoku w:val="0"/>
        <w:overflowPunct w:val="0"/>
        <w:spacing w:line="480" w:lineRule="auto"/>
        <w:ind w:left="142" w:right="-45" w:hanging="142"/>
        <w:rPr>
          <w:sz w:val="24"/>
          <w:szCs w:val="24"/>
        </w:rPr>
      </w:pPr>
      <w:r>
        <w:rPr>
          <w:sz w:val="24"/>
          <w:szCs w:val="24"/>
        </w:rPr>
        <w:t>Schotter, A. and Beamish, P.W (2013), “The hassle factor: an explanation for managerial location</w:t>
      </w:r>
      <w:r>
        <w:rPr>
          <w:spacing w:val="-12"/>
          <w:sz w:val="24"/>
          <w:szCs w:val="24"/>
        </w:rPr>
        <w:t xml:space="preserve"> </w:t>
      </w:r>
      <w:r>
        <w:rPr>
          <w:sz w:val="24"/>
          <w:szCs w:val="24"/>
        </w:rPr>
        <w:t xml:space="preserve">shunning”, </w:t>
      </w:r>
      <w:r>
        <w:rPr>
          <w:i/>
          <w:iCs/>
          <w:sz w:val="24"/>
          <w:szCs w:val="24"/>
        </w:rPr>
        <w:t>Journal of International Business Studies</w:t>
      </w:r>
      <w:r>
        <w:rPr>
          <w:sz w:val="24"/>
          <w:szCs w:val="24"/>
        </w:rPr>
        <w:t>, Vol. 44 No. 5, pp. 521-544.</w:t>
      </w:r>
    </w:p>
    <w:p w14:paraId="7BD9F012" w14:textId="77777777" w:rsidR="005E6520" w:rsidRDefault="005E6520" w:rsidP="005E6520">
      <w:pPr>
        <w:pStyle w:val="BodyText"/>
        <w:kinsoku w:val="0"/>
        <w:overflowPunct w:val="0"/>
        <w:spacing w:line="480" w:lineRule="auto"/>
        <w:ind w:left="142" w:right="-46" w:hanging="142"/>
        <w:rPr>
          <w:sz w:val="24"/>
          <w:szCs w:val="24"/>
        </w:rPr>
      </w:pPr>
      <w:r>
        <w:rPr>
          <w:sz w:val="24"/>
          <w:szCs w:val="24"/>
        </w:rPr>
        <w:t xml:space="preserve">Sáez, L., Periáñez, I. and Heras-Saizarbitoria, I. (2017), "Measuring urban competitiveness: ranking European large urban zones", </w:t>
      </w:r>
      <w:r>
        <w:rPr>
          <w:i/>
          <w:sz w:val="24"/>
          <w:szCs w:val="24"/>
        </w:rPr>
        <w:t>Journal of Place Management and Development</w:t>
      </w:r>
      <w:r>
        <w:rPr>
          <w:sz w:val="24"/>
          <w:szCs w:val="24"/>
        </w:rPr>
        <w:t>, Vol. 10 No. 5, pp. 479-496.</w:t>
      </w:r>
    </w:p>
    <w:p w14:paraId="72DBEAFB" w14:textId="77777777" w:rsidR="005E6520" w:rsidRDefault="005E6520" w:rsidP="005E6520">
      <w:pPr>
        <w:pStyle w:val="BodyText"/>
        <w:kinsoku w:val="0"/>
        <w:overflowPunct w:val="0"/>
        <w:spacing w:line="480" w:lineRule="auto"/>
        <w:ind w:left="142" w:right="-46" w:hanging="142"/>
        <w:rPr>
          <w:sz w:val="24"/>
          <w:szCs w:val="24"/>
        </w:rPr>
      </w:pPr>
      <w:r>
        <w:rPr>
          <w:sz w:val="24"/>
          <w:szCs w:val="24"/>
        </w:rPr>
        <w:t xml:space="preserve">Swianiewicz, P. (2014), “An Empirical Typology of Local Government Systems in Eastern Europe”, </w:t>
      </w:r>
      <w:r>
        <w:rPr>
          <w:i/>
          <w:sz w:val="24"/>
          <w:szCs w:val="24"/>
        </w:rPr>
        <w:t>Local Government Studies</w:t>
      </w:r>
      <w:r>
        <w:rPr>
          <w:sz w:val="24"/>
          <w:szCs w:val="24"/>
        </w:rPr>
        <w:t>, Vol. 40 No. 2, pp. 292-311.</w:t>
      </w:r>
    </w:p>
    <w:p w14:paraId="79D2968B" w14:textId="1AA5F1DC" w:rsidR="005E6520" w:rsidRDefault="005E6520" w:rsidP="005E6520">
      <w:pPr>
        <w:pStyle w:val="BodyText"/>
        <w:kinsoku w:val="0"/>
        <w:overflowPunct w:val="0"/>
        <w:spacing w:line="480" w:lineRule="auto"/>
        <w:ind w:left="142" w:right="-46" w:hanging="142"/>
        <w:rPr>
          <w:sz w:val="24"/>
          <w:szCs w:val="24"/>
        </w:rPr>
      </w:pPr>
      <w:r>
        <w:rPr>
          <w:sz w:val="24"/>
          <w:szCs w:val="24"/>
        </w:rPr>
        <w:t>Tewdwr-Jones, M. and Phelps, N. (2000), “Levelling the uneven playing field: inward</w:t>
      </w:r>
      <w:r>
        <w:rPr>
          <w:spacing w:val="24"/>
          <w:sz w:val="24"/>
          <w:szCs w:val="24"/>
        </w:rPr>
        <w:t xml:space="preserve"> </w:t>
      </w:r>
      <w:r>
        <w:rPr>
          <w:sz w:val="24"/>
          <w:szCs w:val="24"/>
        </w:rPr>
        <w:t xml:space="preserve">investment, interregional </w:t>
      </w:r>
      <w:r w:rsidR="007673E6">
        <w:rPr>
          <w:sz w:val="24"/>
          <w:szCs w:val="24"/>
        </w:rPr>
        <w:t>rivalry</w:t>
      </w:r>
      <w:r>
        <w:rPr>
          <w:sz w:val="24"/>
          <w:szCs w:val="24"/>
        </w:rPr>
        <w:t xml:space="preserve"> and the planning system”, </w:t>
      </w:r>
      <w:r>
        <w:rPr>
          <w:i/>
          <w:iCs/>
          <w:sz w:val="24"/>
          <w:szCs w:val="24"/>
        </w:rPr>
        <w:t>Regional Studies</w:t>
      </w:r>
      <w:r>
        <w:rPr>
          <w:sz w:val="24"/>
          <w:szCs w:val="24"/>
        </w:rPr>
        <w:t>, Vol. 34 No. 5, pp. 429-440.</w:t>
      </w:r>
    </w:p>
    <w:p w14:paraId="1EE639F9"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Turnock, D. (1997), “Urban and regional restructuring in Eastern Europe: the role of foreign</w:t>
      </w:r>
      <w:r>
        <w:rPr>
          <w:spacing w:val="-14"/>
          <w:sz w:val="24"/>
          <w:szCs w:val="24"/>
        </w:rPr>
        <w:t xml:space="preserve"> </w:t>
      </w:r>
      <w:r>
        <w:rPr>
          <w:sz w:val="24"/>
          <w:szCs w:val="24"/>
        </w:rPr>
        <w:t xml:space="preserve">investment”, </w:t>
      </w:r>
      <w:r>
        <w:rPr>
          <w:i/>
          <w:iCs/>
          <w:sz w:val="24"/>
          <w:szCs w:val="24"/>
        </w:rPr>
        <w:t>GeoJournal</w:t>
      </w:r>
      <w:r>
        <w:rPr>
          <w:sz w:val="24"/>
          <w:szCs w:val="24"/>
        </w:rPr>
        <w:t>, Vol. 42 No. 4, pp.457-464.</w:t>
      </w:r>
    </w:p>
    <w:p w14:paraId="2F85025F" w14:textId="77777777" w:rsidR="00D23C30" w:rsidRDefault="00D23C30" w:rsidP="005E6520">
      <w:pPr>
        <w:pStyle w:val="BodyText"/>
        <w:kinsoku w:val="0"/>
        <w:overflowPunct w:val="0"/>
        <w:spacing w:before="9" w:line="480" w:lineRule="auto"/>
        <w:ind w:left="142" w:right="-46" w:hanging="142"/>
        <w:rPr>
          <w:sz w:val="24"/>
          <w:szCs w:val="24"/>
        </w:rPr>
      </w:pPr>
      <w:r>
        <w:rPr>
          <w:sz w:val="24"/>
          <w:szCs w:val="24"/>
        </w:rPr>
        <w:t>UNCTAD</w:t>
      </w:r>
      <w:r w:rsidRPr="00D23C30">
        <w:rPr>
          <w:sz w:val="24"/>
          <w:szCs w:val="24"/>
        </w:rPr>
        <w:t xml:space="preserve"> </w:t>
      </w:r>
      <w:r>
        <w:rPr>
          <w:sz w:val="24"/>
          <w:szCs w:val="24"/>
        </w:rPr>
        <w:t>(</w:t>
      </w:r>
      <w:r w:rsidRPr="00D23C30">
        <w:rPr>
          <w:sz w:val="24"/>
          <w:szCs w:val="24"/>
        </w:rPr>
        <w:t>2018</w:t>
      </w:r>
      <w:r>
        <w:rPr>
          <w:sz w:val="24"/>
          <w:szCs w:val="24"/>
        </w:rPr>
        <w:t>)</w:t>
      </w:r>
      <w:r w:rsidRPr="00D23C30">
        <w:rPr>
          <w:sz w:val="24"/>
          <w:szCs w:val="24"/>
        </w:rPr>
        <w:t xml:space="preserve">, </w:t>
      </w:r>
      <w:r w:rsidRPr="005752AC">
        <w:rPr>
          <w:i/>
          <w:sz w:val="24"/>
          <w:szCs w:val="24"/>
        </w:rPr>
        <w:t>Word Investment Report: Investment and New Industrial Policies</w:t>
      </w:r>
      <w:r w:rsidRPr="00D23C30">
        <w:rPr>
          <w:sz w:val="24"/>
          <w:szCs w:val="24"/>
        </w:rPr>
        <w:t>, United Nations, Geneva.</w:t>
      </w:r>
    </w:p>
    <w:p w14:paraId="757A93C4"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 xml:space="preserve">UNCTAD (2007), </w:t>
      </w:r>
      <w:r>
        <w:rPr>
          <w:i/>
          <w:iCs/>
          <w:sz w:val="24"/>
          <w:szCs w:val="24"/>
        </w:rPr>
        <w:t>World Investment Report 2007: Transnational Corporations, Extractive</w:t>
      </w:r>
      <w:r>
        <w:rPr>
          <w:i/>
          <w:iCs/>
          <w:spacing w:val="-24"/>
          <w:sz w:val="24"/>
          <w:szCs w:val="24"/>
        </w:rPr>
        <w:t xml:space="preserve"> </w:t>
      </w:r>
      <w:r>
        <w:rPr>
          <w:i/>
          <w:iCs/>
          <w:sz w:val="24"/>
          <w:szCs w:val="24"/>
        </w:rPr>
        <w:t>Industries and Development,</w:t>
      </w:r>
      <w:r>
        <w:rPr>
          <w:sz w:val="24"/>
          <w:szCs w:val="24"/>
        </w:rPr>
        <w:t xml:space="preserve"> United</w:t>
      </w:r>
      <w:r>
        <w:rPr>
          <w:spacing w:val="-21"/>
          <w:sz w:val="24"/>
          <w:szCs w:val="24"/>
        </w:rPr>
        <w:t xml:space="preserve"> </w:t>
      </w:r>
      <w:r>
        <w:rPr>
          <w:sz w:val="24"/>
          <w:szCs w:val="24"/>
        </w:rPr>
        <w:t>Nations, Geneva.</w:t>
      </w:r>
      <w:r>
        <w:rPr>
          <w:i/>
          <w:iCs/>
          <w:sz w:val="24"/>
          <w:szCs w:val="24"/>
        </w:rPr>
        <w:t xml:space="preserve"> </w:t>
      </w:r>
    </w:p>
    <w:p w14:paraId="7A83CD1C" w14:textId="77777777" w:rsidR="005E6520" w:rsidRDefault="005E6520" w:rsidP="005E6520">
      <w:pPr>
        <w:pStyle w:val="BodyText"/>
        <w:kinsoku w:val="0"/>
        <w:overflowPunct w:val="0"/>
        <w:spacing w:before="12" w:line="480" w:lineRule="auto"/>
        <w:ind w:left="142" w:right="-46" w:hanging="142"/>
        <w:rPr>
          <w:sz w:val="24"/>
          <w:szCs w:val="24"/>
        </w:rPr>
      </w:pPr>
      <w:r>
        <w:rPr>
          <w:sz w:val="24"/>
          <w:szCs w:val="24"/>
        </w:rPr>
        <w:t>UNCTAD</w:t>
      </w:r>
      <w:r>
        <w:rPr>
          <w:spacing w:val="17"/>
          <w:sz w:val="24"/>
          <w:szCs w:val="24"/>
        </w:rPr>
        <w:t xml:space="preserve"> </w:t>
      </w:r>
      <w:r>
        <w:rPr>
          <w:sz w:val="24"/>
          <w:szCs w:val="24"/>
        </w:rPr>
        <w:t>(2006),</w:t>
      </w:r>
      <w:r>
        <w:rPr>
          <w:spacing w:val="19"/>
          <w:sz w:val="24"/>
          <w:szCs w:val="24"/>
        </w:rPr>
        <w:t xml:space="preserve"> </w:t>
      </w:r>
      <w:r>
        <w:rPr>
          <w:i/>
          <w:iCs/>
          <w:sz w:val="24"/>
          <w:szCs w:val="24"/>
        </w:rPr>
        <w:t>World</w:t>
      </w:r>
      <w:r>
        <w:rPr>
          <w:i/>
          <w:iCs/>
          <w:spacing w:val="18"/>
          <w:sz w:val="24"/>
          <w:szCs w:val="24"/>
        </w:rPr>
        <w:t xml:space="preserve"> </w:t>
      </w:r>
      <w:r>
        <w:rPr>
          <w:i/>
          <w:iCs/>
          <w:sz w:val="24"/>
          <w:szCs w:val="24"/>
        </w:rPr>
        <w:t>Investment</w:t>
      </w:r>
      <w:r>
        <w:rPr>
          <w:i/>
          <w:iCs/>
          <w:spacing w:val="19"/>
          <w:sz w:val="24"/>
          <w:szCs w:val="24"/>
        </w:rPr>
        <w:t xml:space="preserve"> </w:t>
      </w:r>
      <w:r>
        <w:rPr>
          <w:i/>
          <w:iCs/>
          <w:sz w:val="24"/>
          <w:szCs w:val="24"/>
        </w:rPr>
        <w:t>Report</w:t>
      </w:r>
      <w:r>
        <w:rPr>
          <w:i/>
          <w:iCs/>
          <w:spacing w:val="19"/>
          <w:sz w:val="24"/>
          <w:szCs w:val="24"/>
        </w:rPr>
        <w:t xml:space="preserve"> </w:t>
      </w:r>
      <w:r>
        <w:rPr>
          <w:i/>
          <w:iCs/>
          <w:sz w:val="24"/>
          <w:szCs w:val="24"/>
        </w:rPr>
        <w:t>2006:</w:t>
      </w:r>
      <w:r>
        <w:rPr>
          <w:i/>
          <w:iCs/>
          <w:spacing w:val="19"/>
          <w:sz w:val="24"/>
          <w:szCs w:val="24"/>
        </w:rPr>
        <w:t xml:space="preserve"> </w:t>
      </w:r>
      <w:r>
        <w:rPr>
          <w:i/>
          <w:iCs/>
          <w:sz w:val="24"/>
          <w:szCs w:val="24"/>
        </w:rPr>
        <w:t>FDI</w:t>
      </w:r>
      <w:r>
        <w:rPr>
          <w:i/>
          <w:iCs/>
          <w:spacing w:val="19"/>
          <w:sz w:val="24"/>
          <w:szCs w:val="24"/>
        </w:rPr>
        <w:t xml:space="preserve"> </w:t>
      </w:r>
      <w:r>
        <w:rPr>
          <w:i/>
          <w:iCs/>
          <w:sz w:val="24"/>
          <w:szCs w:val="24"/>
        </w:rPr>
        <w:t>from</w:t>
      </w:r>
      <w:r>
        <w:rPr>
          <w:i/>
          <w:iCs/>
          <w:spacing w:val="17"/>
          <w:sz w:val="24"/>
          <w:szCs w:val="24"/>
        </w:rPr>
        <w:t xml:space="preserve"> </w:t>
      </w:r>
      <w:r>
        <w:rPr>
          <w:i/>
          <w:iCs/>
          <w:sz w:val="24"/>
          <w:szCs w:val="24"/>
        </w:rPr>
        <w:t>Developing</w:t>
      </w:r>
      <w:r>
        <w:rPr>
          <w:i/>
          <w:iCs/>
          <w:spacing w:val="18"/>
          <w:sz w:val="24"/>
          <w:szCs w:val="24"/>
        </w:rPr>
        <w:t xml:space="preserve"> </w:t>
      </w:r>
      <w:r>
        <w:rPr>
          <w:i/>
          <w:iCs/>
          <w:sz w:val="24"/>
          <w:szCs w:val="24"/>
        </w:rPr>
        <w:t>and</w:t>
      </w:r>
      <w:r>
        <w:rPr>
          <w:i/>
          <w:iCs/>
          <w:spacing w:val="18"/>
          <w:sz w:val="24"/>
          <w:szCs w:val="24"/>
        </w:rPr>
        <w:t xml:space="preserve"> </w:t>
      </w:r>
      <w:r>
        <w:rPr>
          <w:i/>
          <w:iCs/>
          <w:sz w:val="24"/>
          <w:szCs w:val="24"/>
        </w:rPr>
        <w:t>Transition</w:t>
      </w:r>
      <w:r>
        <w:rPr>
          <w:i/>
          <w:iCs/>
          <w:spacing w:val="18"/>
          <w:sz w:val="24"/>
          <w:szCs w:val="24"/>
        </w:rPr>
        <w:t xml:space="preserve"> </w:t>
      </w:r>
      <w:r>
        <w:rPr>
          <w:i/>
          <w:iCs/>
          <w:sz w:val="24"/>
          <w:szCs w:val="24"/>
        </w:rPr>
        <w:t>Economies: Implications for Development,</w:t>
      </w:r>
      <w:r>
        <w:rPr>
          <w:sz w:val="24"/>
          <w:szCs w:val="24"/>
        </w:rPr>
        <w:t xml:space="preserve"> United</w:t>
      </w:r>
      <w:r>
        <w:rPr>
          <w:spacing w:val="-21"/>
          <w:sz w:val="24"/>
          <w:szCs w:val="24"/>
        </w:rPr>
        <w:t xml:space="preserve"> </w:t>
      </w:r>
      <w:r>
        <w:rPr>
          <w:sz w:val="24"/>
          <w:szCs w:val="24"/>
        </w:rPr>
        <w:t>Nations, Geneva.</w:t>
      </w:r>
    </w:p>
    <w:p w14:paraId="2D6099FE" w14:textId="77777777" w:rsidR="005E6520" w:rsidRDefault="005E6520" w:rsidP="005E6520">
      <w:pPr>
        <w:pStyle w:val="BodyText"/>
        <w:kinsoku w:val="0"/>
        <w:overflowPunct w:val="0"/>
        <w:spacing w:before="12" w:line="480" w:lineRule="auto"/>
        <w:ind w:left="142" w:right="-45" w:hanging="142"/>
        <w:rPr>
          <w:sz w:val="24"/>
          <w:szCs w:val="24"/>
        </w:rPr>
      </w:pPr>
      <w:r>
        <w:rPr>
          <w:sz w:val="24"/>
          <w:szCs w:val="24"/>
        </w:rPr>
        <w:t xml:space="preserve">UNCTAD (2005), </w:t>
      </w:r>
      <w:r>
        <w:rPr>
          <w:i/>
          <w:sz w:val="24"/>
          <w:szCs w:val="24"/>
        </w:rPr>
        <w:t>World Investment Report 2005: Transnational Corporations and the Internationalisation of R&amp;D</w:t>
      </w:r>
      <w:r>
        <w:rPr>
          <w:i/>
          <w:iCs/>
          <w:sz w:val="24"/>
          <w:szCs w:val="24"/>
        </w:rPr>
        <w:t>,</w:t>
      </w:r>
      <w:r>
        <w:rPr>
          <w:sz w:val="24"/>
          <w:szCs w:val="24"/>
        </w:rPr>
        <w:t xml:space="preserve"> United</w:t>
      </w:r>
      <w:r>
        <w:rPr>
          <w:spacing w:val="-21"/>
          <w:sz w:val="24"/>
          <w:szCs w:val="24"/>
        </w:rPr>
        <w:t xml:space="preserve"> </w:t>
      </w:r>
      <w:r>
        <w:rPr>
          <w:sz w:val="24"/>
          <w:szCs w:val="24"/>
        </w:rPr>
        <w:t>Nations, Geneva.</w:t>
      </w:r>
    </w:p>
    <w:p w14:paraId="2213E47D" w14:textId="77777777" w:rsidR="005E6520" w:rsidRDefault="005E6520" w:rsidP="005E6520">
      <w:pPr>
        <w:pStyle w:val="BodyText"/>
        <w:kinsoku w:val="0"/>
        <w:overflowPunct w:val="0"/>
        <w:spacing w:before="9" w:line="480" w:lineRule="auto"/>
        <w:ind w:left="142" w:right="-45" w:hanging="142"/>
        <w:rPr>
          <w:sz w:val="24"/>
          <w:szCs w:val="24"/>
        </w:rPr>
      </w:pPr>
      <w:r>
        <w:rPr>
          <w:sz w:val="24"/>
          <w:szCs w:val="24"/>
        </w:rPr>
        <w:t xml:space="preserve">Ward, S.V. (1998), </w:t>
      </w:r>
      <w:r>
        <w:rPr>
          <w:i/>
          <w:iCs/>
          <w:sz w:val="24"/>
          <w:szCs w:val="24"/>
        </w:rPr>
        <w:t>Selling places, The marketing and promotion of towns and cities</w:t>
      </w:r>
      <w:r>
        <w:rPr>
          <w:i/>
          <w:iCs/>
          <w:spacing w:val="-20"/>
          <w:sz w:val="24"/>
          <w:szCs w:val="24"/>
        </w:rPr>
        <w:t xml:space="preserve"> </w:t>
      </w:r>
      <w:r>
        <w:rPr>
          <w:i/>
          <w:iCs/>
          <w:sz w:val="24"/>
          <w:szCs w:val="24"/>
        </w:rPr>
        <w:t xml:space="preserve">1850-2000, </w:t>
      </w:r>
      <w:r>
        <w:rPr>
          <w:sz w:val="24"/>
          <w:szCs w:val="24"/>
        </w:rPr>
        <w:t>E&amp;FN Spon,</w:t>
      </w:r>
      <w:r>
        <w:rPr>
          <w:spacing w:val="-4"/>
          <w:sz w:val="24"/>
          <w:szCs w:val="24"/>
        </w:rPr>
        <w:t xml:space="preserve"> </w:t>
      </w:r>
      <w:r>
        <w:rPr>
          <w:sz w:val="24"/>
          <w:szCs w:val="24"/>
        </w:rPr>
        <w:t>London.</w:t>
      </w:r>
    </w:p>
    <w:p w14:paraId="70314F79" w14:textId="5513D0BA" w:rsidR="004512EC" w:rsidRPr="004512EC" w:rsidRDefault="004512EC" w:rsidP="005E6520">
      <w:pPr>
        <w:pStyle w:val="BodyText"/>
        <w:kinsoku w:val="0"/>
        <w:overflowPunct w:val="0"/>
        <w:spacing w:line="480" w:lineRule="auto"/>
        <w:ind w:left="142" w:right="-45" w:hanging="142"/>
        <w:rPr>
          <w:sz w:val="24"/>
          <w:szCs w:val="24"/>
        </w:rPr>
      </w:pPr>
      <w:r w:rsidRPr="005752AC">
        <w:rPr>
          <w:sz w:val="24"/>
          <w:szCs w:val="24"/>
        </w:rPr>
        <w:lastRenderedPageBreak/>
        <w:t>Wæraas, A., Bjørnå, H. and Moldenæs, T. (2015), “Place, Organizatio</w:t>
      </w:r>
      <w:r w:rsidR="00CD09E7">
        <w:rPr>
          <w:sz w:val="24"/>
          <w:szCs w:val="24"/>
        </w:rPr>
        <w:t>n, Democracy: Three Strategies f</w:t>
      </w:r>
      <w:r w:rsidRPr="005752AC">
        <w:rPr>
          <w:sz w:val="24"/>
          <w:szCs w:val="24"/>
        </w:rPr>
        <w:t xml:space="preserve">or Municipal Branding”, </w:t>
      </w:r>
      <w:r w:rsidRPr="005752AC">
        <w:rPr>
          <w:i/>
          <w:sz w:val="24"/>
          <w:szCs w:val="24"/>
        </w:rPr>
        <w:t>Public Management Review</w:t>
      </w:r>
      <w:r w:rsidRPr="005752AC">
        <w:rPr>
          <w:sz w:val="24"/>
          <w:szCs w:val="24"/>
        </w:rPr>
        <w:t>, Vol.17, No.9, pp.1282-1304</w:t>
      </w:r>
    </w:p>
    <w:p w14:paraId="2EC2BA69" w14:textId="77777777" w:rsidR="005E6520" w:rsidRDefault="005E6520" w:rsidP="005E6520">
      <w:pPr>
        <w:pStyle w:val="BodyText"/>
        <w:kinsoku w:val="0"/>
        <w:overflowPunct w:val="0"/>
        <w:spacing w:line="480" w:lineRule="auto"/>
        <w:ind w:left="142" w:right="-45" w:hanging="142"/>
        <w:rPr>
          <w:sz w:val="24"/>
          <w:szCs w:val="24"/>
        </w:rPr>
      </w:pPr>
      <w:r>
        <w:rPr>
          <w:sz w:val="24"/>
          <w:szCs w:val="24"/>
        </w:rPr>
        <w:t>Wells,</w:t>
      </w:r>
      <w:r>
        <w:rPr>
          <w:spacing w:val="13"/>
          <w:sz w:val="24"/>
          <w:szCs w:val="24"/>
        </w:rPr>
        <w:t xml:space="preserve"> </w:t>
      </w:r>
      <w:r>
        <w:rPr>
          <w:sz w:val="24"/>
          <w:szCs w:val="24"/>
        </w:rPr>
        <w:t>T.L.JR. and</w:t>
      </w:r>
      <w:r>
        <w:rPr>
          <w:spacing w:val="13"/>
          <w:sz w:val="24"/>
          <w:szCs w:val="24"/>
        </w:rPr>
        <w:t xml:space="preserve"> </w:t>
      </w:r>
      <w:r>
        <w:rPr>
          <w:sz w:val="24"/>
          <w:szCs w:val="24"/>
        </w:rPr>
        <w:t>Wint,</w:t>
      </w:r>
      <w:r>
        <w:rPr>
          <w:spacing w:val="16"/>
          <w:sz w:val="24"/>
          <w:szCs w:val="24"/>
        </w:rPr>
        <w:t xml:space="preserve"> </w:t>
      </w:r>
      <w:r>
        <w:rPr>
          <w:sz w:val="24"/>
          <w:szCs w:val="24"/>
        </w:rPr>
        <w:t>A.G.</w:t>
      </w:r>
      <w:r>
        <w:rPr>
          <w:spacing w:val="13"/>
          <w:sz w:val="24"/>
          <w:szCs w:val="24"/>
        </w:rPr>
        <w:t xml:space="preserve"> (</w:t>
      </w:r>
      <w:r>
        <w:rPr>
          <w:sz w:val="24"/>
          <w:szCs w:val="24"/>
        </w:rPr>
        <w:t>2000)</w:t>
      </w:r>
      <w:r>
        <w:rPr>
          <w:spacing w:val="16"/>
          <w:sz w:val="24"/>
          <w:szCs w:val="24"/>
        </w:rPr>
        <w:t xml:space="preserve"> “</w:t>
      </w:r>
      <w:r>
        <w:rPr>
          <w:sz w:val="24"/>
          <w:szCs w:val="24"/>
        </w:rPr>
        <w:t>Marketing</w:t>
      </w:r>
      <w:r>
        <w:rPr>
          <w:spacing w:val="13"/>
          <w:sz w:val="24"/>
          <w:szCs w:val="24"/>
        </w:rPr>
        <w:t xml:space="preserve"> </w:t>
      </w:r>
      <w:r>
        <w:rPr>
          <w:sz w:val="24"/>
          <w:szCs w:val="24"/>
        </w:rPr>
        <w:t>a</w:t>
      </w:r>
      <w:r>
        <w:rPr>
          <w:spacing w:val="16"/>
          <w:sz w:val="24"/>
          <w:szCs w:val="24"/>
        </w:rPr>
        <w:t xml:space="preserve"> </w:t>
      </w:r>
      <w:r>
        <w:rPr>
          <w:sz w:val="24"/>
          <w:szCs w:val="24"/>
        </w:rPr>
        <w:t>country</w:t>
      </w:r>
      <w:r>
        <w:rPr>
          <w:spacing w:val="13"/>
          <w:sz w:val="24"/>
          <w:szCs w:val="24"/>
        </w:rPr>
        <w:t xml:space="preserve"> </w:t>
      </w:r>
      <w:r>
        <w:rPr>
          <w:sz w:val="24"/>
          <w:szCs w:val="24"/>
        </w:rPr>
        <w:t>–</w:t>
      </w:r>
      <w:r>
        <w:rPr>
          <w:spacing w:val="16"/>
          <w:sz w:val="24"/>
          <w:szCs w:val="24"/>
        </w:rPr>
        <w:t xml:space="preserve"> </w:t>
      </w:r>
      <w:r>
        <w:rPr>
          <w:sz w:val="24"/>
          <w:szCs w:val="24"/>
        </w:rPr>
        <w:t>Promotion</w:t>
      </w:r>
      <w:r>
        <w:rPr>
          <w:spacing w:val="16"/>
          <w:sz w:val="24"/>
          <w:szCs w:val="24"/>
        </w:rPr>
        <w:t xml:space="preserve"> </w:t>
      </w:r>
      <w:r>
        <w:rPr>
          <w:sz w:val="24"/>
          <w:szCs w:val="24"/>
        </w:rPr>
        <w:t>as</w:t>
      </w:r>
      <w:r>
        <w:rPr>
          <w:spacing w:val="16"/>
          <w:sz w:val="24"/>
          <w:szCs w:val="24"/>
        </w:rPr>
        <w:t xml:space="preserve"> </w:t>
      </w:r>
      <w:r>
        <w:rPr>
          <w:sz w:val="24"/>
          <w:szCs w:val="24"/>
        </w:rPr>
        <w:t>a</w:t>
      </w:r>
      <w:r>
        <w:rPr>
          <w:spacing w:val="14"/>
          <w:sz w:val="24"/>
          <w:szCs w:val="24"/>
        </w:rPr>
        <w:t xml:space="preserve"> </w:t>
      </w:r>
      <w:r>
        <w:rPr>
          <w:sz w:val="24"/>
          <w:szCs w:val="24"/>
        </w:rPr>
        <w:t>Tool</w:t>
      </w:r>
      <w:r>
        <w:rPr>
          <w:spacing w:val="17"/>
          <w:sz w:val="24"/>
          <w:szCs w:val="24"/>
        </w:rPr>
        <w:t xml:space="preserve"> </w:t>
      </w:r>
      <w:r>
        <w:rPr>
          <w:sz w:val="24"/>
          <w:szCs w:val="24"/>
        </w:rPr>
        <w:t>for</w:t>
      </w:r>
      <w:r>
        <w:rPr>
          <w:spacing w:val="16"/>
          <w:sz w:val="24"/>
          <w:szCs w:val="24"/>
        </w:rPr>
        <w:t xml:space="preserve"> </w:t>
      </w:r>
      <w:r>
        <w:rPr>
          <w:sz w:val="24"/>
          <w:szCs w:val="24"/>
        </w:rPr>
        <w:t>Attracting</w:t>
      </w:r>
      <w:r>
        <w:rPr>
          <w:spacing w:val="13"/>
          <w:sz w:val="24"/>
          <w:szCs w:val="24"/>
        </w:rPr>
        <w:t xml:space="preserve"> </w:t>
      </w:r>
      <w:r>
        <w:rPr>
          <w:sz w:val="24"/>
          <w:szCs w:val="24"/>
        </w:rPr>
        <w:t xml:space="preserve">Foreign Direct Investment”, </w:t>
      </w:r>
      <w:r>
        <w:rPr>
          <w:i/>
          <w:iCs/>
          <w:sz w:val="24"/>
          <w:szCs w:val="24"/>
        </w:rPr>
        <w:t>FIAS Occasional Paper 13</w:t>
      </w:r>
      <w:r>
        <w:rPr>
          <w:sz w:val="24"/>
          <w:szCs w:val="24"/>
        </w:rPr>
        <w:t>, IFC-MIGA,</w:t>
      </w:r>
      <w:r>
        <w:rPr>
          <w:spacing w:val="-16"/>
          <w:sz w:val="24"/>
          <w:szCs w:val="24"/>
        </w:rPr>
        <w:t xml:space="preserve"> </w:t>
      </w:r>
      <w:r>
        <w:rPr>
          <w:sz w:val="24"/>
          <w:szCs w:val="24"/>
        </w:rPr>
        <w:t>Washington.</w:t>
      </w:r>
    </w:p>
    <w:p w14:paraId="7F7625E2"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Wilson, R.T., Baack, D.W. (20</w:t>
      </w:r>
      <w:r w:rsidR="00634C90">
        <w:rPr>
          <w:sz w:val="24"/>
          <w:szCs w:val="24"/>
        </w:rPr>
        <w:t>20</w:t>
      </w:r>
      <w:r>
        <w:rPr>
          <w:sz w:val="24"/>
          <w:szCs w:val="24"/>
        </w:rPr>
        <w:t xml:space="preserve">), “An Exploration of Advertorials Used to Attract Foreign Direct Investment”, </w:t>
      </w:r>
      <w:r>
        <w:rPr>
          <w:i/>
          <w:sz w:val="24"/>
          <w:szCs w:val="24"/>
        </w:rPr>
        <w:t>Journal of Current Issues and Research in Advertising</w:t>
      </w:r>
      <w:r>
        <w:rPr>
          <w:sz w:val="24"/>
          <w:szCs w:val="24"/>
        </w:rPr>
        <w:t xml:space="preserve">, </w:t>
      </w:r>
      <w:r w:rsidR="00634C90">
        <w:rPr>
          <w:sz w:val="24"/>
          <w:szCs w:val="24"/>
        </w:rPr>
        <w:t>Vol.41, No.1, pp.36-53.</w:t>
      </w:r>
      <w:hyperlink w:history="1"/>
      <w:r>
        <w:rPr>
          <w:sz w:val="24"/>
          <w:szCs w:val="24"/>
        </w:rPr>
        <w:t xml:space="preserve">  </w:t>
      </w:r>
    </w:p>
    <w:p w14:paraId="729843D6"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 xml:space="preserve">Wilson, R.T., Baack, D.W., Baack, D. (2014), “Foreign Direct Investment Promotion: Using Advertising to Change Attitudes and Behaviors”, </w:t>
      </w:r>
      <w:r>
        <w:rPr>
          <w:i/>
          <w:sz w:val="24"/>
          <w:szCs w:val="24"/>
        </w:rPr>
        <w:t>Marketing Management Journal</w:t>
      </w:r>
      <w:r>
        <w:rPr>
          <w:sz w:val="24"/>
          <w:szCs w:val="24"/>
        </w:rPr>
        <w:t>, Fall 2014, pp. 108-123.</w:t>
      </w:r>
    </w:p>
    <w:p w14:paraId="566F68F2" w14:textId="77777777" w:rsidR="00D96949" w:rsidRPr="00D96949" w:rsidRDefault="00D96949" w:rsidP="005E6520">
      <w:pPr>
        <w:pStyle w:val="BodyText"/>
        <w:kinsoku w:val="0"/>
        <w:overflowPunct w:val="0"/>
        <w:spacing w:before="7" w:line="480" w:lineRule="auto"/>
        <w:ind w:left="142" w:right="-46" w:hanging="142"/>
        <w:rPr>
          <w:sz w:val="24"/>
          <w:szCs w:val="24"/>
        </w:rPr>
      </w:pPr>
      <w:r>
        <w:rPr>
          <w:sz w:val="24"/>
          <w:szCs w:val="24"/>
        </w:rPr>
        <w:t xml:space="preserve">World Bank (2017), </w:t>
      </w:r>
      <w:r>
        <w:rPr>
          <w:i/>
          <w:sz w:val="24"/>
          <w:szCs w:val="24"/>
        </w:rPr>
        <w:t>Global Survey of Investment Promotion Agencies</w:t>
      </w:r>
      <w:r>
        <w:rPr>
          <w:sz w:val="24"/>
          <w:szCs w:val="24"/>
        </w:rPr>
        <w:t xml:space="preserve">, World Bank Group, Washington. </w:t>
      </w:r>
    </w:p>
    <w:p w14:paraId="7A597CC0" w14:textId="77777777" w:rsidR="005E6520" w:rsidRDefault="005E6520" w:rsidP="005E6520">
      <w:pPr>
        <w:pStyle w:val="BodyText"/>
        <w:kinsoku w:val="0"/>
        <w:overflowPunct w:val="0"/>
        <w:spacing w:before="7" w:line="480" w:lineRule="auto"/>
        <w:ind w:left="142" w:right="-46" w:hanging="142"/>
        <w:rPr>
          <w:sz w:val="24"/>
          <w:szCs w:val="24"/>
        </w:rPr>
      </w:pPr>
      <w:r>
        <w:rPr>
          <w:sz w:val="24"/>
          <w:szCs w:val="24"/>
        </w:rPr>
        <w:t>Young,</w:t>
      </w:r>
      <w:r>
        <w:rPr>
          <w:spacing w:val="24"/>
          <w:sz w:val="24"/>
          <w:szCs w:val="24"/>
        </w:rPr>
        <w:t xml:space="preserve"> </w:t>
      </w:r>
      <w:r>
        <w:rPr>
          <w:sz w:val="24"/>
          <w:szCs w:val="24"/>
        </w:rPr>
        <w:t>C.</w:t>
      </w:r>
      <w:r>
        <w:rPr>
          <w:spacing w:val="24"/>
          <w:sz w:val="24"/>
          <w:szCs w:val="24"/>
        </w:rPr>
        <w:t xml:space="preserve"> </w:t>
      </w:r>
      <w:r>
        <w:rPr>
          <w:sz w:val="24"/>
          <w:szCs w:val="24"/>
        </w:rPr>
        <w:t>(2005),</w:t>
      </w:r>
      <w:r>
        <w:rPr>
          <w:spacing w:val="25"/>
          <w:sz w:val="24"/>
          <w:szCs w:val="24"/>
        </w:rPr>
        <w:t xml:space="preserve"> “</w:t>
      </w:r>
      <w:r>
        <w:rPr>
          <w:sz w:val="24"/>
          <w:szCs w:val="24"/>
        </w:rPr>
        <w:t>Place</w:t>
      </w:r>
      <w:r>
        <w:rPr>
          <w:spacing w:val="25"/>
          <w:sz w:val="24"/>
          <w:szCs w:val="24"/>
        </w:rPr>
        <w:t xml:space="preserve"> </w:t>
      </w:r>
      <w:r>
        <w:rPr>
          <w:sz w:val="24"/>
          <w:szCs w:val="24"/>
        </w:rPr>
        <w:t>marketing</w:t>
      </w:r>
      <w:r>
        <w:rPr>
          <w:spacing w:val="22"/>
          <w:sz w:val="24"/>
          <w:szCs w:val="24"/>
        </w:rPr>
        <w:t xml:space="preserve"> </w:t>
      </w:r>
      <w:r>
        <w:rPr>
          <w:sz w:val="24"/>
          <w:szCs w:val="24"/>
        </w:rPr>
        <w:t>for</w:t>
      </w:r>
      <w:r>
        <w:rPr>
          <w:spacing w:val="25"/>
          <w:sz w:val="24"/>
          <w:szCs w:val="24"/>
        </w:rPr>
        <w:t xml:space="preserve"> </w:t>
      </w:r>
      <w:r>
        <w:rPr>
          <w:sz w:val="24"/>
          <w:szCs w:val="24"/>
        </w:rPr>
        <w:t>foreign</w:t>
      </w:r>
      <w:r>
        <w:rPr>
          <w:spacing w:val="24"/>
          <w:sz w:val="24"/>
          <w:szCs w:val="24"/>
        </w:rPr>
        <w:t xml:space="preserve"> </w:t>
      </w:r>
      <w:r>
        <w:rPr>
          <w:sz w:val="24"/>
          <w:szCs w:val="24"/>
        </w:rPr>
        <w:t>direct</w:t>
      </w:r>
      <w:r>
        <w:rPr>
          <w:spacing w:val="23"/>
          <w:sz w:val="24"/>
          <w:szCs w:val="24"/>
        </w:rPr>
        <w:t xml:space="preserve"> </w:t>
      </w:r>
      <w:r>
        <w:rPr>
          <w:sz w:val="24"/>
          <w:szCs w:val="24"/>
        </w:rPr>
        <w:t>investment</w:t>
      </w:r>
      <w:r>
        <w:rPr>
          <w:spacing w:val="25"/>
          <w:sz w:val="24"/>
          <w:szCs w:val="24"/>
        </w:rPr>
        <w:t xml:space="preserve"> </w:t>
      </w:r>
      <w:r>
        <w:rPr>
          <w:sz w:val="24"/>
          <w:szCs w:val="24"/>
        </w:rPr>
        <w:t>in</w:t>
      </w:r>
      <w:r>
        <w:rPr>
          <w:spacing w:val="24"/>
          <w:sz w:val="24"/>
          <w:szCs w:val="24"/>
        </w:rPr>
        <w:t xml:space="preserve"> </w:t>
      </w:r>
      <w:r>
        <w:rPr>
          <w:sz w:val="24"/>
          <w:szCs w:val="24"/>
        </w:rPr>
        <w:t>Central</w:t>
      </w:r>
      <w:r>
        <w:rPr>
          <w:spacing w:val="25"/>
          <w:sz w:val="24"/>
          <w:szCs w:val="24"/>
        </w:rPr>
        <w:t xml:space="preserve"> </w:t>
      </w:r>
      <w:r>
        <w:rPr>
          <w:sz w:val="24"/>
          <w:szCs w:val="24"/>
        </w:rPr>
        <w:t>and</w:t>
      </w:r>
      <w:r>
        <w:rPr>
          <w:spacing w:val="22"/>
          <w:sz w:val="24"/>
          <w:szCs w:val="24"/>
        </w:rPr>
        <w:t xml:space="preserve"> </w:t>
      </w:r>
      <w:r>
        <w:rPr>
          <w:sz w:val="24"/>
          <w:szCs w:val="24"/>
        </w:rPr>
        <w:t>Eastern</w:t>
      </w:r>
      <w:r>
        <w:rPr>
          <w:spacing w:val="24"/>
          <w:sz w:val="24"/>
          <w:szCs w:val="24"/>
        </w:rPr>
        <w:t xml:space="preserve"> </w:t>
      </w:r>
      <w:r>
        <w:rPr>
          <w:sz w:val="24"/>
          <w:szCs w:val="24"/>
        </w:rPr>
        <w:t>Europe”,</w:t>
      </w:r>
      <w:r>
        <w:rPr>
          <w:spacing w:val="24"/>
          <w:sz w:val="24"/>
          <w:szCs w:val="24"/>
        </w:rPr>
        <w:t xml:space="preserve"> </w:t>
      </w:r>
      <w:r>
        <w:rPr>
          <w:sz w:val="24"/>
          <w:szCs w:val="24"/>
        </w:rPr>
        <w:t>Turnock</w:t>
      </w:r>
      <w:r>
        <w:rPr>
          <w:spacing w:val="19"/>
          <w:sz w:val="24"/>
          <w:szCs w:val="24"/>
        </w:rPr>
        <w:t>,D. (</w:t>
      </w:r>
      <w:r>
        <w:rPr>
          <w:sz w:val="24"/>
          <w:szCs w:val="24"/>
        </w:rPr>
        <w:t xml:space="preserve">ed), </w:t>
      </w:r>
      <w:r>
        <w:rPr>
          <w:i/>
          <w:iCs/>
          <w:sz w:val="24"/>
          <w:szCs w:val="24"/>
        </w:rPr>
        <w:t>Foreign</w:t>
      </w:r>
      <w:r>
        <w:rPr>
          <w:i/>
          <w:iCs/>
          <w:spacing w:val="22"/>
          <w:sz w:val="24"/>
          <w:szCs w:val="24"/>
        </w:rPr>
        <w:t xml:space="preserve"> </w:t>
      </w:r>
      <w:r>
        <w:rPr>
          <w:i/>
          <w:iCs/>
          <w:sz w:val="24"/>
          <w:szCs w:val="24"/>
        </w:rPr>
        <w:t>direct</w:t>
      </w:r>
      <w:r>
        <w:rPr>
          <w:i/>
          <w:iCs/>
          <w:spacing w:val="23"/>
          <w:sz w:val="24"/>
          <w:szCs w:val="24"/>
        </w:rPr>
        <w:t xml:space="preserve"> </w:t>
      </w:r>
      <w:r>
        <w:rPr>
          <w:i/>
          <w:iCs/>
          <w:sz w:val="24"/>
          <w:szCs w:val="24"/>
        </w:rPr>
        <w:t>investment</w:t>
      </w:r>
      <w:r>
        <w:rPr>
          <w:i/>
          <w:iCs/>
          <w:spacing w:val="23"/>
          <w:sz w:val="24"/>
          <w:szCs w:val="24"/>
        </w:rPr>
        <w:t xml:space="preserve"> </w:t>
      </w:r>
      <w:r>
        <w:rPr>
          <w:i/>
          <w:iCs/>
          <w:sz w:val="24"/>
          <w:szCs w:val="24"/>
        </w:rPr>
        <w:t>and</w:t>
      </w:r>
      <w:r>
        <w:rPr>
          <w:i/>
          <w:iCs/>
          <w:spacing w:val="22"/>
          <w:sz w:val="24"/>
          <w:szCs w:val="24"/>
        </w:rPr>
        <w:t xml:space="preserve"> </w:t>
      </w:r>
      <w:r>
        <w:rPr>
          <w:i/>
          <w:iCs/>
          <w:sz w:val="24"/>
          <w:szCs w:val="24"/>
        </w:rPr>
        <w:t>regional</w:t>
      </w:r>
      <w:r>
        <w:rPr>
          <w:i/>
          <w:iCs/>
          <w:spacing w:val="23"/>
          <w:sz w:val="24"/>
          <w:szCs w:val="24"/>
        </w:rPr>
        <w:t xml:space="preserve"> </w:t>
      </w:r>
      <w:r>
        <w:rPr>
          <w:i/>
          <w:iCs/>
          <w:sz w:val="24"/>
          <w:szCs w:val="24"/>
        </w:rPr>
        <w:t>development</w:t>
      </w:r>
      <w:r>
        <w:rPr>
          <w:i/>
          <w:iCs/>
          <w:spacing w:val="23"/>
          <w:sz w:val="24"/>
          <w:szCs w:val="24"/>
        </w:rPr>
        <w:t xml:space="preserve"> </w:t>
      </w:r>
      <w:r>
        <w:rPr>
          <w:i/>
          <w:iCs/>
          <w:sz w:val="24"/>
          <w:szCs w:val="24"/>
        </w:rPr>
        <w:t>in</w:t>
      </w:r>
      <w:r>
        <w:rPr>
          <w:i/>
          <w:iCs/>
          <w:spacing w:val="22"/>
          <w:sz w:val="24"/>
          <w:szCs w:val="24"/>
        </w:rPr>
        <w:t xml:space="preserve"> </w:t>
      </w:r>
      <w:r>
        <w:rPr>
          <w:i/>
          <w:iCs/>
          <w:sz w:val="24"/>
          <w:szCs w:val="24"/>
        </w:rPr>
        <w:t>East-Central</w:t>
      </w:r>
      <w:r>
        <w:rPr>
          <w:i/>
          <w:iCs/>
          <w:spacing w:val="23"/>
          <w:sz w:val="24"/>
          <w:szCs w:val="24"/>
        </w:rPr>
        <w:t xml:space="preserve"> </w:t>
      </w:r>
      <w:r>
        <w:rPr>
          <w:i/>
          <w:iCs/>
          <w:sz w:val="24"/>
          <w:szCs w:val="24"/>
        </w:rPr>
        <w:t>Europe</w:t>
      </w:r>
      <w:r>
        <w:rPr>
          <w:i/>
          <w:iCs/>
          <w:spacing w:val="22"/>
          <w:sz w:val="24"/>
          <w:szCs w:val="24"/>
        </w:rPr>
        <w:t xml:space="preserve"> </w:t>
      </w:r>
      <w:r>
        <w:rPr>
          <w:i/>
          <w:iCs/>
          <w:sz w:val="24"/>
          <w:szCs w:val="24"/>
        </w:rPr>
        <w:t>and the former Soviet Union,</w:t>
      </w:r>
      <w:r>
        <w:rPr>
          <w:sz w:val="24"/>
          <w:szCs w:val="24"/>
        </w:rPr>
        <w:t xml:space="preserve"> Ashgate, Kent.</w:t>
      </w:r>
    </w:p>
    <w:p w14:paraId="5613C237" w14:textId="77777777" w:rsidR="005E6520" w:rsidRDefault="005E6520" w:rsidP="005E6520">
      <w:pPr>
        <w:pStyle w:val="BodyText"/>
        <w:kinsoku w:val="0"/>
        <w:overflowPunct w:val="0"/>
        <w:spacing w:before="9" w:line="480" w:lineRule="auto"/>
        <w:ind w:left="142" w:right="-46" w:hanging="142"/>
        <w:rPr>
          <w:sz w:val="24"/>
          <w:szCs w:val="24"/>
        </w:rPr>
      </w:pPr>
      <w:r>
        <w:rPr>
          <w:sz w:val="24"/>
          <w:szCs w:val="24"/>
        </w:rPr>
        <w:t>Young, C. and Kaczmarek, S. (2000), “Local government, local economic development and quality of</w:t>
      </w:r>
      <w:r>
        <w:rPr>
          <w:spacing w:val="10"/>
          <w:sz w:val="24"/>
          <w:szCs w:val="24"/>
        </w:rPr>
        <w:t xml:space="preserve"> </w:t>
      </w:r>
      <w:r>
        <w:rPr>
          <w:sz w:val="24"/>
          <w:szCs w:val="24"/>
        </w:rPr>
        <w:t xml:space="preserve">life in Poland”, </w:t>
      </w:r>
      <w:r>
        <w:rPr>
          <w:i/>
          <w:iCs/>
          <w:sz w:val="24"/>
          <w:szCs w:val="24"/>
        </w:rPr>
        <w:t>GeoJournal</w:t>
      </w:r>
      <w:r>
        <w:rPr>
          <w:sz w:val="24"/>
          <w:szCs w:val="24"/>
        </w:rPr>
        <w:t>, Vol. 50 No. 2-3, pp. 225-234.</w:t>
      </w:r>
    </w:p>
    <w:p w14:paraId="365F94AD" w14:textId="0B68DD4A" w:rsidR="00C90AFF" w:rsidRPr="00F64D18" w:rsidRDefault="005E6520" w:rsidP="00F64D18">
      <w:pPr>
        <w:pStyle w:val="BodyText"/>
        <w:kinsoku w:val="0"/>
        <w:overflowPunct w:val="0"/>
        <w:spacing w:before="7" w:line="480" w:lineRule="auto"/>
        <w:ind w:left="142" w:right="-46" w:hanging="142"/>
        <w:rPr>
          <w:sz w:val="24"/>
          <w:szCs w:val="24"/>
        </w:rPr>
      </w:pPr>
      <w:r>
        <w:rPr>
          <w:sz w:val="24"/>
          <w:szCs w:val="24"/>
        </w:rPr>
        <w:t>Zanatta, M., Costa, I., Filippov, S. (2006), “</w:t>
      </w:r>
      <w:r>
        <w:rPr>
          <w:i/>
          <w:iCs/>
          <w:sz w:val="24"/>
          <w:szCs w:val="24"/>
        </w:rPr>
        <w:t>Foreign Direct Investment: Key Issues for</w:t>
      </w:r>
      <w:r>
        <w:rPr>
          <w:i/>
          <w:iCs/>
          <w:spacing w:val="-23"/>
          <w:sz w:val="24"/>
          <w:szCs w:val="24"/>
        </w:rPr>
        <w:t xml:space="preserve"> </w:t>
      </w:r>
      <w:r>
        <w:rPr>
          <w:i/>
          <w:iCs/>
          <w:sz w:val="24"/>
          <w:szCs w:val="24"/>
        </w:rPr>
        <w:t>Promotion Agencies”</w:t>
      </w:r>
      <w:r>
        <w:rPr>
          <w:sz w:val="24"/>
          <w:szCs w:val="24"/>
        </w:rPr>
        <w:t xml:space="preserve">, </w:t>
      </w:r>
      <w:r>
        <w:rPr>
          <w:i/>
          <w:iCs/>
          <w:sz w:val="24"/>
          <w:szCs w:val="24"/>
        </w:rPr>
        <w:t xml:space="preserve">UNU Policy Brief, </w:t>
      </w:r>
      <w:r>
        <w:rPr>
          <w:iCs/>
          <w:sz w:val="24"/>
          <w:szCs w:val="24"/>
        </w:rPr>
        <w:t>No.10.</w:t>
      </w:r>
    </w:p>
    <w:sectPr w:rsidR="00C90AFF" w:rsidRPr="00F64D18">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0B7071" w16cid:durableId="22CEC9CB"/>
  <w16cid:commentId w16cid:paraId="7360B25D" w16cid:durableId="22CEB20D"/>
  <w16cid:commentId w16cid:paraId="2E6AD97B" w16cid:durableId="22CEB272"/>
  <w16cid:commentId w16cid:paraId="08DD507A" w16cid:durableId="22CEB46F"/>
  <w16cid:commentId w16cid:paraId="636D0D62" w16cid:durableId="22CEB266"/>
  <w16cid:commentId w16cid:paraId="48F166D5" w16cid:durableId="22CEB8A0"/>
  <w16cid:commentId w16cid:paraId="39000BBC" w16cid:durableId="22CEBBA9"/>
  <w16cid:commentId w16cid:paraId="1A3471D0" w16cid:durableId="22CEC2B9"/>
  <w16cid:commentId w16cid:paraId="3FBE3D5B" w16cid:durableId="22CEC4A8"/>
  <w16cid:commentId w16cid:paraId="65CC83BB" w16cid:durableId="22CEC6BC"/>
  <w16cid:commentId w16cid:paraId="6D3DA2B2" w16cid:durableId="22CEC78F"/>
  <w16cid:commentId w16cid:paraId="467D8125" w16cid:durableId="22CEC81B"/>
  <w16cid:commentId w16cid:paraId="33C884E7" w16cid:durableId="22CECF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9CADB" w14:textId="77777777" w:rsidR="00415706" w:rsidRDefault="00415706" w:rsidP="005E6520">
      <w:pPr>
        <w:spacing w:after="0" w:line="240" w:lineRule="auto"/>
      </w:pPr>
      <w:r>
        <w:separator/>
      </w:r>
    </w:p>
  </w:endnote>
  <w:endnote w:type="continuationSeparator" w:id="0">
    <w:p w14:paraId="5DC37339" w14:textId="77777777" w:rsidR="00415706" w:rsidRDefault="00415706" w:rsidP="005E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63610"/>
      <w:docPartObj>
        <w:docPartGallery w:val="Page Numbers (Bottom of Page)"/>
        <w:docPartUnique/>
      </w:docPartObj>
    </w:sdtPr>
    <w:sdtEndPr>
      <w:rPr>
        <w:noProof/>
      </w:rPr>
    </w:sdtEndPr>
    <w:sdtContent>
      <w:p w14:paraId="24835620" w14:textId="063800E7" w:rsidR="00FE4A63" w:rsidRDefault="00FE4A63">
        <w:pPr>
          <w:pStyle w:val="Footer"/>
          <w:jc w:val="center"/>
        </w:pPr>
        <w:r>
          <w:fldChar w:fldCharType="begin"/>
        </w:r>
        <w:r>
          <w:instrText xml:space="preserve"> PAGE   \* MERGEFORMAT </w:instrText>
        </w:r>
        <w:r>
          <w:fldChar w:fldCharType="separate"/>
        </w:r>
        <w:r w:rsidR="00451BE5">
          <w:rPr>
            <w:noProof/>
          </w:rPr>
          <w:t>23</w:t>
        </w:r>
        <w:r>
          <w:rPr>
            <w:noProof/>
          </w:rPr>
          <w:fldChar w:fldCharType="end"/>
        </w:r>
      </w:p>
    </w:sdtContent>
  </w:sdt>
  <w:p w14:paraId="5D8BD4A0" w14:textId="77777777" w:rsidR="00FE4A63" w:rsidRDefault="00FE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7021" w14:textId="77777777" w:rsidR="00415706" w:rsidRDefault="00415706" w:rsidP="005E6520">
      <w:pPr>
        <w:spacing w:after="0" w:line="240" w:lineRule="auto"/>
      </w:pPr>
      <w:r>
        <w:separator/>
      </w:r>
    </w:p>
  </w:footnote>
  <w:footnote w:type="continuationSeparator" w:id="0">
    <w:p w14:paraId="39820474" w14:textId="77777777" w:rsidR="00415706" w:rsidRDefault="00415706" w:rsidP="005E6520">
      <w:pPr>
        <w:spacing w:after="0" w:line="240" w:lineRule="auto"/>
      </w:pPr>
      <w:r>
        <w:continuationSeparator/>
      </w:r>
    </w:p>
  </w:footnote>
  <w:footnote w:id="1">
    <w:p w14:paraId="75AC9CC6" w14:textId="0548051F" w:rsidR="005E6520" w:rsidRPr="001015EE" w:rsidRDefault="005E6520" w:rsidP="005E6520">
      <w:pPr>
        <w:pStyle w:val="FootnoteText"/>
        <w:rPr>
          <w:rFonts w:ascii="Times New Roman" w:hAnsi="Times New Roman" w:cs="Times New Roman"/>
        </w:rPr>
      </w:pPr>
      <w:r w:rsidRPr="001859D1">
        <w:footnoteRef/>
      </w:r>
      <w:r w:rsidRPr="001015EE">
        <w:rPr>
          <w:rFonts w:ascii="Times New Roman" w:hAnsi="Times New Roman" w:cs="Times New Roman"/>
        </w:rPr>
        <w:t xml:space="preserve"> </w:t>
      </w:r>
      <w:r w:rsidR="00725E13">
        <w:rPr>
          <w:rFonts w:ascii="Times New Roman" w:hAnsi="Times New Roman" w:cs="Times New Roman"/>
        </w:rPr>
        <w:t>For the purpose of the</w:t>
      </w:r>
      <w:r w:rsidR="005A2DDD">
        <w:rPr>
          <w:rFonts w:ascii="Times New Roman" w:hAnsi="Times New Roman" w:cs="Times New Roman"/>
        </w:rPr>
        <w:t xml:space="preserve"> paper </w:t>
      </w:r>
      <w:r w:rsidR="006E5109">
        <w:rPr>
          <w:rFonts w:ascii="Times New Roman" w:hAnsi="Times New Roman" w:cs="Times New Roman"/>
        </w:rPr>
        <w:t>Central-</w:t>
      </w:r>
      <w:r w:rsidRPr="001015EE">
        <w:rPr>
          <w:rFonts w:ascii="Times New Roman" w:hAnsi="Times New Roman" w:cs="Times New Roman"/>
        </w:rPr>
        <w:t xml:space="preserve">Eastern Europe is </w:t>
      </w:r>
      <w:r w:rsidR="00725E13">
        <w:rPr>
          <w:rFonts w:ascii="Times New Roman" w:hAnsi="Times New Roman" w:cs="Times New Roman"/>
        </w:rPr>
        <w:t xml:space="preserve">limited to </w:t>
      </w:r>
      <w:r w:rsidRPr="001015EE">
        <w:rPr>
          <w:rFonts w:ascii="Times New Roman" w:hAnsi="Times New Roman" w:cs="Times New Roman"/>
        </w:rPr>
        <w:t>the Czech Republic</w:t>
      </w:r>
      <w:r w:rsidR="005A2DDD">
        <w:rPr>
          <w:rFonts w:ascii="Times New Roman" w:hAnsi="Times New Roman" w:cs="Times New Roman"/>
        </w:rPr>
        <w:t>, Poland and Slovakia. For a</w:t>
      </w:r>
      <w:r w:rsidRPr="001015EE">
        <w:rPr>
          <w:rFonts w:ascii="Times New Roman" w:hAnsi="Times New Roman" w:cs="Times New Roman"/>
        </w:rPr>
        <w:t xml:space="preserve"> discussion of delimitations of ‘Eastern</w:t>
      </w:r>
      <w:r w:rsidRPr="001859D1">
        <w:rPr>
          <w:rFonts w:ascii="Times New Roman" w:hAnsi="Times New Roman" w:cs="Times New Roman"/>
        </w:rPr>
        <w:t xml:space="preserve"> </w:t>
      </w:r>
      <w:r w:rsidRPr="001015EE">
        <w:rPr>
          <w:rFonts w:ascii="Times New Roman" w:hAnsi="Times New Roman" w:cs="Times New Roman"/>
        </w:rPr>
        <w:t xml:space="preserve">Europe’ see for example Dingsdale (1999). The paper covers the period of time before formal change of country’s name from Czech Republic to Czechia, and the former name is used throughout for consistency. </w:t>
      </w:r>
    </w:p>
  </w:footnote>
  <w:footnote w:id="2">
    <w:p w14:paraId="7A0750C9" w14:textId="77777777" w:rsidR="00D041B4" w:rsidRPr="00974E84" w:rsidRDefault="00D041B4">
      <w:pPr>
        <w:pStyle w:val="FootnoteText"/>
        <w:rPr>
          <w:rFonts w:ascii="Times New Roman" w:hAnsi="Times New Roman" w:cs="Times New Roman"/>
        </w:rPr>
      </w:pPr>
      <w:r w:rsidRPr="00974E84">
        <w:rPr>
          <w:rStyle w:val="FootnoteReference"/>
          <w:rFonts w:ascii="Times New Roman" w:hAnsi="Times New Roman" w:cs="Times New Roman"/>
        </w:rPr>
        <w:footnoteRef/>
      </w:r>
      <w:r w:rsidRPr="00974E84">
        <w:rPr>
          <w:rFonts w:ascii="Times New Roman" w:hAnsi="Times New Roman" w:cs="Times New Roman"/>
        </w:rPr>
        <w:t xml:space="preserve"> The three distinct but interrelated concepts, all of which contribute to investment promotion. For a discussion of definitions, scope, overlaps and distinctive features of place promotion, marketing and branding see Boisen </w:t>
      </w:r>
      <w:r w:rsidRPr="00974E84">
        <w:rPr>
          <w:rFonts w:ascii="Times New Roman" w:hAnsi="Times New Roman" w:cs="Times New Roman"/>
          <w:i/>
        </w:rPr>
        <w:t>et al.,</w:t>
      </w:r>
      <w:r w:rsidRPr="00974E84">
        <w:rPr>
          <w:rFonts w:ascii="Times New Roman" w:hAnsi="Times New Roman" w:cs="Times New Roman"/>
        </w:rPr>
        <w:t xml:space="preserve"> (2018). </w:t>
      </w:r>
    </w:p>
  </w:footnote>
  <w:footnote w:id="3">
    <w:p w14:paraId="05B32EC7" w14:textId="550C137E" w:rsidR="005E6520" w:rsidRDefault="005E6520" w:rsidP="005E652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hd w:val="clear" w:color="auto" w:fill="FFFFFF"/>
        </w:rPr>
        <w:t>Data discussed in this part of the paper plays a twofold role. It provides r</w:t>
      </w:r>
      <w:r w:rsidR="000C7942">
        <w:rPr>
          <w:rFonts w:ascii="Times New Roman" w:hAnsi="Times New Roman" w:cs="Times New Roman"/>
          <w:shd w:val="clear" w:color="auto" w:fill="FFFFFF"/>
        </w:rPr>
        <w:t>ationale for country selection</w:t>
      </w:r>
      <w:r>
        <w:rPr>
          <w:rFonts w:ascii="Times New Roman" w:hAnsi="Times New Roman" w:cs="Times New Roman"/>
          <w:shd w:val="clear" w:color="auto" w:fill="FFFFFF"/>
        </w:rPr>
        <w:t xml:space="preserve"> and sets the scene for </w:t>
      </w:r>
      <w:r w:rsidR="00407E0B">
        <w:rPr>
          <w:rFonts w:ascii="Times New Roman" w:hAnsi="Times New Roman" w:cs="Times New Roman"/>
          <w:shd w:val="clear" w:color="auto" w:fill="FFFFFF"/>
        </w:rPr>
        <w:t>the forthcoming analysis. F</w:t>
      </w:r>
      <w:r>
        <w:rPr>
          <w:rFonts w:ascii="Times New Roman" w:hAnsi="Times New Roman" w:cs="Times New Roman"/>
          <w:shd w:val="clear" w:color="auto" w:fill="FFFFFF"/>
        </w:rPr>
        <w:t>or these reasons the data is predominantly limited to the first half of the 2000s.</w:t>
      </w:r>
    </w:p>
  </w:footnote>
  <w:footnote w:id="4">
    <w:p w14:paraId="34E65E58" w14:textId="2F742A41" w:rsidR="00182DEB" w:rsidRDefault="00182DEB" w:rsidP="00182DE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Hungary </w:t>
      </w:r>
      <w:r w:rsidR="0071555D">
        <w:rPr>
          <w:rFonts w:ascii="Times New Roman" w:hAnsi="Times New Roman" w:cs="Times New Roman"/>
        </w:rPr>
        <w:t xml:space="preserve">was </w:t>
      </w:r>
      <w:r>
        <w:rPr>
          <w:rFonts w:ascii="Times New Roman" w:hAnsi="Times New Roman" w:cs="Times New Roman"/>
        </w:rPr>
        <w:t xml:space="preserve">considered to be included in the research, however it did not match the selection criteria. </w:t>
      </w:r>
      <w:r w:rsidR="0071555D">
        <w:rPr>
          <w:rFonts w:ascii="Times New Roman" w:hAnsi="Times New Roman" w:cs="Times New Roman"/>
        </w:rPr>
        <w:t xml:space="preserve">At the time of the study, </w:t>
      </w:r>
      <w:r w:rsidRPr="00245485">
        <w:rPr>
          <w:rFonts w:ascii="Times New Roman" w:hAnsi="Times New Roman" w:cs="Times New Roman"/>
        </w:rPr>
        <w:t xml:space="preserve">Hungarian regional governance structures </w:t>
      </w:r>
      <w:r w:rsidR="0071555D">
        <w:rPr>
          <w:rFonts w:ascii="Times New Roman" w:hAnsi="Times New Roman" w:cs="Times New Roman"/>
        </w:rPr>
        <w:t xml:space="preserve">were </w:t>
      </w:r>
      <w:r w:rsidRPr="00245485">
        <w:rPr>
          <w:rFonts w:ascii="Times New Roman" w:hAnsi="Times New Roman" w:cs="Times New Roman"/>
        </w:rPr>
        <w:t xml:space="preserve">characterised by higher levels of centralisation and regional authorities prerogatives related to investment promotion were </w:t>
      </w:r>
      <w:r w:rsidR="0071555D">
        <w:rPr>
          <w:rFonts w:ascii="Times New Roman" w:hAnsi="Times New Roman" w:cs="Times New Roman"/>
        </w:rPr>
        <w:t xml:space="preserve">more limited than </w:t>
      </w:r>
      <w:r w:rsidRPr="00245485">
        <w:rPr>
          <w:rFonts w:ascii="Times New Roman" w:hAnsi="Times New Roman" w:cs="Times New Roman"/>
        </w:rPr>
        <w:t xml:space="preserve">those of Czech, Polish and Slovak </w:t>
      </w:r>
      <w:r w:rsidR="0071555D">
        <w:rPr>
          <w:rFonts w:ascii="Times New Roman" w:hAnsi="Times New Roman" w:cs="Times New Roman"/>
        </w:rPr>
        <w:t>ones</w:t>
      </w:r>
      <w:r w:rsidRPr="00245485">
        <w:rPr>
          <w:rFonts w:ascii="Times New Roman" w:hAnsi="Times New Roman" w:cs="Times New Roman"/>
        </w:rPr>
        <w:t xml:space="preserve"> (e.g. O’Dwyer, 2006, Swianiewicz, 2014). </w:t>
      </w:r>
      <w:r w:rsidR="0071555D">
        <w:rPr>
          <w:rFonts w:ascii="Times New Roman" w:hAnsi="Times New Roman" w:cs="Times New Roman"/>
        </w:rPr>
        <w:t xml:space="preserve">Additionally, </w:t>
      </w:r>
      <w:r w:rsidRPr="00245485">
        <w:rPr>
          <w:rFonts w:ascii="Times New Roman" w:hAnsi="Times New Roman" w:cs="Times New Roman"/>
        </w:rPr>
        <w:t>Hungary has been an FDI hotspot during the early years o</w:t>
      </w:r>
      <w:r w:rsidR="0071555D">
        <w:rPr>
          <w:rFonts w:ascii="Times New Roman" w:hAnsi="Times New Roman" w:cs="Times New Roman"/>
        </w:rPr>
        <w:t>f post-communist transformation, and a</w:t>
      </w:r>
      <w:r w:rsidRPr="00245485">
        <w:rPr>
          <w:rFonts w:ascii="Times New Roman" w:hAnsi="Times New Roman" w:cs="Times New Roman"/>
        </w:rPr>
        <w:t>t the time when the research took place its popularity with foreign investors</w:t>
      </w:r>
      <w:r w:rsidR="0071555D">
        <w:rPr>
          <w:rFonts w:ascii="Times New Roman" w:hAnsi="Times New Roman" w:cs="Times New Roman"/>
        </w:rPr>
        <w:t xml:space="preserve"> has been significantly</w:t>
      </w:r>
      <w:r w:rsidRPr="00245485">
        <w:rPr>
          <w:rFonts w:ascii="Times New Roman" w:hAnsi="Times New Roman" w:cs="Times New Roman"/>
        </w:rPr>
        <w:t xml:space="preserve"> diminished</w:t>
      </w:r>
      <w:r w:rsidR="0071555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A1557"/>
    <w:multiLevelType w:val="multilevel"/>
    <w:tmpl w:val="BD32AA28"/>
    <w:lvl w:ilvl="0">
      <w:start w:val="1"/>
      <w:numFmt w:val="bullet"/>
      <w:lvlText w:val=""/>
      <w:lvlJc w:val="left"/>
      <w:pPr>
        <w:ind w:left="547" w:hanging="286"/>
      </w:pPr>
      <w:rPr>
        <w:rFonts w:ascii="Symbol" w:hAnsi="Symbol" w:hint="default"/>
        <w:b w:val="0"/>
        <w:bCs w:val="0"/>
        <w:w w:val="100"/>
        <w:sz w:val="22"/>
        <w:szCs w:val="22"/>
      </w:rPr>
    </w:lvl>
    <w:lvl w:ilvl="1">
      <w:numFmt w:val="bullet"/>
      <w:lvlText w:val="•"/>
      <w:lvlJc w:val="left"/>
      <w:pPr>
        <w:ind w:left="1410" w:hanging="286"/>
      </w:pPr>
    </w:lvl>
    <w:lvl w:ilvl="2">
      <w:numFmt w:val="bullet"/>
      <w:lvlText w:val="•"/>
      <w:lvlJc w:val="left"/>
      <w:pPr>
        <w:ind w:left="2280" w:hanging="286"/>
      </w:pPr>
    </w:lvl>
    <w:lvl w:ilvl="3">
      <w:numFmt w:val="bullet"/>
      <w:lvlText w:val="•"/>
      <w:lvlJc w:val="left"/>
      <w:pPr>
        <w:ind w:left="3150" w:hanging="286"/>
      </w:pPr>
    </w:lvl>
    <w:lvl w:ilvl="4">
      <w:numFmt w:val="bullet"/>
      <w:lvlText w:val="•"/>
      <w:lvlJc w:val="left"/>
      <w:pPr>
        <w:ind w:left="4020" w:hanging="286"/>
      </w:pPr>
    </w:lvl>
    <w:lvl w:ilvl="5">
      <w:numFmt w:val="bullet"/>
      <w:lvlText w:val="•"/>
      <w:lvlJc w:val="left"/>
      <w:pPr>
        <w:ind w:left="4890" w:hanging="286"/>
      </w:pPr>
    </w:lvl>
    <w:lvl w:ilvl="6">
      <w:numFmt w:val="bullet"/>
      <w:lvlText w:val="•"/>
      <w:lvlJc w:val="left"/>
      <w:pPr>
        <w:ind w:left="5760" w:hanging="286"/>
      </w:pPr>
    </w:lvl>
    <w:lvl w:ilvl="7">
      <w:numFmt w:val="bullet"/>
      <w:lvlText w:val="•"/>
      <w:lvlJc w:val="left"/>
      <w:pPr>
        <w:ind w:left="6630" w:hanging="286"/>
      </w:pPr>
    </w:lvl>
    <w:lvl w:ilvl="8">
      <w:numFmt w:val="bullet"/>
      <w:lvlText w:val="•"/>
      <w:lvlJc w:val="left"/>
      <w:pPr>
        <w:ind w:left="7500" w:hanging="286"/>
      </w:pPr>
    </w:lvl>
  </w:abstractNum>
  <w:abstractNum w:abstractNumId="1" w15:restartNumberingAfterBreak="0">
    <w:nsid w:val="59997DD5"/>
    <w:multiLevelType w:val="hybridMultilevel"/>
    <w:tmpl w:val="3E62B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12"/>
    <w:rsid w:val="000221E1"/>
    <w:rsid w:val="00025D08"/>
    <w:rsid w:val="000268FF"/>
    <w:rsid w:val="00030A55"/>
    <w:rsid w:val="00033642"/>
    <w:rsid w:val="000679D7"/>
    <w:rsid w:val="00070C5C"/>
    <w:rsid w:val="0008297D"/>
    <w:rsid w:val="000858CE"/>
    <w:rsid w:val="000A781E"/>
    <w:rsid w:val="000B5604"/>
    <w:rsid w:val="000C7942"/>
    <w:rsid w:val="000D6D1C"/>
    <w:rsid w:val="000D73BE"/>
    <w:rsid w:val="000E262C"/>
    <w:rsid w:val="000F028C"/>
    <w:rsid w:val="000F2A71"/>
    <w:rsid w:val="001015EE"/>
    <w:rsid w:val="00101BA1"/>
    <w:rsid w:val="001060F3"/>
    <w:rsid w:val="001203BF"/>
    <w:rsid w:val="00125DC9"/>
    <w:rsid w:val="00137363"/>
    <w:rsid w:val="00147CBE"/>
    <w:rsid w:val="001525AB"/>
    <w:rsid w:val="001634F9"/>
    <w:rsid w:val="00167FDD"/>
    <w:rsid w:val="001720EF"/>
    <w:rsid w:val="00182DEB"/>
    <w:rsid w:val="001859D1"/>
    <w:rsid w:val="001B110A"/>
    <w:rsid w:val="001C3BBA"/>
    <w:rsid w:val="001D1FF2"/>
    <w:rsid w:val="001F215A"/>
    <w:rsid w:val="001F6112"/>
    <w:rsid w:val="00202F62"/>
    <w:rsid w:val="00220EE8"/>
    <w:rsid w:val="00247E1E"/>
    <w:rsid w:val="00256F89"/>
    <w:rsid w:val="00263F89"/>
    <w:rsid w:val="00287FC6"/>
    <w:rsid w:val="002A0265"/>
    <w:rsid w:val="002A2EC9"/>
    <w:rsid w:val="002B7650"/>
    <w:rsid w:val="002C72B4"/>
    <w:rsid w:val="002D5F16"/>
    <w:rsid w:val="002E3096"/>
    <w:rsid w:val="002E3ED2"/>
    <w:rsid w:val="002F233F"/>
    <w:rsid w:val="00301D33"/>
    <w:rsid w:val="0030572D"/>
    <w:rsid w:val="00312033"/>
    <w:rsid w:val="00312BB8"/>
    <w:rsid w:val="00322AEA"/>
    <w:rsid w:val="00334998"/>
    <w:rsid w:val="003360A8"/>
    <w:rsid w:val="00350788"/>
    <w:rsid w:val="003700AF"/>
    <w:rsid w:val="00382794"/>
    <w:rsid w:val="00395FA6"/>
    <w:rsid w:val="003A0706"/>
    <w:rsid w:val="003A2BA7"/>
    <w:rsid w:val="003C4FD4"/>
    <w:rsid w:val="003F2534"/>
    <w:rsid w:val="003F7AC6"/>
    <w:rsid w:val="00401EF2"/>
    <w:rsid w:val="0040267E"/>
    <w:rsid w:val="0040455E"/>
    <w:rsid w:val="004051F0"/>
    <w:rsid w:val="004057C5"/>
    <w:rsid w:val="00406A7F"/>
    <w:rsid w:val="004075B5"/>
    <w:rsid w:val="00407E0B"/>
    <w:rsid w:val="00415292"/>
    <w:rsid w:val="00415706"/>
    <w:rsid w:val="00424295"/>
    <w:rsid w:val="004512EC"/>
    <w:rsid w:val="004518F5"/>
    <w:rsid w:val="00451BE5"/>
    <w:rsid w:val="00461E3A"/>
    <w:rsid w:val="004649C0"/>
    <w:rsid w:val="00470652"/>
    <w:rsid w:val="004764C6"/>
    <w:rsid w:val="00480E02"/>
    <w:rsid w:val="004825E4"/>
    <w:rsid w:val="0049292E"/>
    <w:rsid w:val="004A7F30"/>
    <w:rsid w:val="004B1D37"/>
    <w:rsid w:val="004B3376"/>
    <w:rsid w:val="004C5985"/>
    <w:rsid w:val="004D1EB1"/>
    <w:rsid w:val="005046BC"/>
    <w:rsid w:val="00511B12"/>
    <w:rsid w:val="00532120"/>
    <w:rsid w:val="005339CA"/>
    <w:rsid w:val="00533F22"/>
    <w:rsid w:val="0053497E"/>
    <w:rsid w:val="00555A8A"/>
    <w:rsid w:val="005644DE"/>
    <w:rsid w:val="005752AC"/>
    <w:rsid w:val="005A2DDD"/>
    <w:rsid w:val="005B3E81"/>
    <w:rsid w:val="005B6887"/>
    <w:rsid w:val="005D140D"/>
    <w:rsid w:val="005D1B61"/>
    <w:rsid w:val="005E4CC8"/>
    <w:rsid w:val="005E63C5"/>
    <w:rsid w:val="005E6520"/>
    <w:rsid w:val="005F3C24"/>
    <w:rsid w:val="0060260F"/>
    <w:rsid w:val="00602E09"/>
    <w:rsid w:val="006215F2"/>
    <w:rsid w:val="00634C90"/>
    <w:rsid w:val="0063729A"/>
    <w:rsid w:val="00640D6D"/>
    <w:rsid w:val="0064169D"/>
    <w:rsid w:val="00642BAA"/>
    <w:rsid w:val="00667302"/>
    <w:rsid w:val="00673567"/>
    <w:rsid w:val="00677329"/>
    <w:rsid w:val="006A33C7"/>
    <w:rsid w:val="006B59C0"/>
    <w:rsid w:val="006C0C77"/>
    <w:rsid w:val="006C3049"/>
    <w:rsid w:val="006D66BB"/>
    <w:rsid w:val="006E5109"/>
    <w:rsid w:val="006E57A0"/>
    <w:rsid w:val="006E7CB2"/>
    <w:rsid w:val="006F1F4D"/>
    <w:rsid w:val="00702571"/>
    <w:rsid w:val="00702613"/>
    <w:rsid w:val="00704442"/>
    <w:rsid w:val="00706173"/>
    <w:rsid w:val="0071493D"/>
    <w:rsid w:val="0071555D"/>
    <w:rsid w:val="00715E08"/>
    <w:rsid w:val="00721F2E"/>
    <w:rsid w:val="00725E13"/>
    <w:rsid w:val="0073063B"/>
    <w:rsid w:val="0073139F"/>
    <w:rsid w:val="00734EB8"/>
    <w:rsid w:val="00736380"/>
    <w:rsid w:val="00766790"/>
    <w:rsid w:val="007673E6"/>
    <w:rsid w:val="007717ED"/>
    <w:rsid w:val="00777E4B"/>
    <w:rsid w:val="00780376"/>
    <w:rsid w:val="0078228F"/>
    <w:rsid w:val="007964E6"/>
    <w:rsid w:val="007B1042"/>
    <w:rsid w:val="007B1C6D"/>
    <w:rsid w:val="007B1E3D"/>
    <w:rsid w:val="007B4582"/>
    <w:rsid w:val="007C1280"/>
    <w:rsid w:val="007E593E"/>
    <w:rsid w:val="007F2E1C"/>
    <w:rsid w:val="0080156B"/>
    <w:rsid w:val="00803475"/>
    <w:rsid w:val="00810303"/>
    <w:rsid w:val="008106EA"/>
    <w:rsid w:val="0082287A"/>
    <w:rsid w:val="00824046"/>
    <w:rsid w:val="0083390F"/>
    <w:rsid w:val="00842312"/>
    <w:rsid w:val="00843D5D"/>
    <w:rsid w:val="008464FC"/>
    <w:rsid w:val="00863DB4"/>
    <w:rsid w:val="00870C38"/>
    <w:rsid w:val="00872B3E"/>
    <w:rsid w:val="00873D50"/>
    <w:rsid w:val="008816B9"/>
    <w:rsid w:val="008A2920"/>
    <w:rsid w:val="008C0A2E"/>
    <w:rsid w:val="008C30FE"/>
    <w:rsid w:val="008E00BF"/>
    <w:rsid w:val="008F1393"/>
    <w:rsid w:val="008F3151"/>
    <w:rsid w:val="00902008"/>
    <w:rsid w:val="00920651"/>
    <w:rsid w:val="00942051"/>
    <w:rsid w:val="009454E0"/>
    <w:rsid w:val="0094561D"/>
    <w:rsid w:val="00952010"/>
    <w:rsid w:val="00953537"/>
    <w:rsid w:val="0096054E"/>
    <w:rsid w:val="00973825"/>
    <w:rsid w:val="00974E84"/>
    <w:rsid w:val="00976358"/>
    <w:rsid w:val="009870F0"/>
    <w:rsid w:val="009911D8"/>
    <w:rsid w:val="009B33B1"/>
    <w:rsid w:val="009B636B"/>
    <w:rsid w:val="009C02B0"/>
    <w:rsid w:val="009C1A1A"/>
    <w:rsid w:val="009C29AA"/>
    <w:rsid w:val="009E5219"/>
    <w:rsid w:val="009E5FBA"/>
    <w:rsid w:val="00A14C1F"/>
    <w:rsid w:val="00A15FF1"/>
    <w:rsid w:val="00A2056F"/>
    <w:rsid w:val="00A21294"/>
    <w:rsid w:val="00A2253E"/>
    <w:rsid w:val="00A27D6A"/>
    <w:rsid w:val="00A356C7"/>
    <w:rsid w:val="00A45CEB"/>
    <w:rsid w:val="00A8567C"/>
    <w:rsid w:val="00A90B82"/>
    <w:rsid w:val="00AD06AE"/>
    <w:rsid w:val="00AD1856"/>
    <w:rsid w:val="00AD6129"/>
    <w:rsid w:val="00AE0F48"/>
    <w:rsid w:val="00B07BE6"/>
    <w:rsid w:val="00B14333"/>
    <w:rsid w:val="00B25E7A"/>
    <w:rsid w:val="00B33197"/>
    <w:rsid w:val="00B44FF9"/>
    <w:rsid w:val="00B66B5C"/>
    <w:rsid w:val="00B8272B"/>
    <w:rsid w:val="00B82E2A"/>
    <w:rsid w:val="00B912F7"/>
    <w:rsid w:val="00B92F13"/>
    <w:rsid w:val="00BA0E69"/>
    <w:rsid w:val="00BA7DE2"/>
    <w:rsid w:val="00BB4BFA"/>
    <w:rsid w:val="00BD53E3"/>
    <w:rsid w:val="00BE4354"/>
    <w:rsid w:val="00BF1306"/>
    <w:rsid w:val="00C0700E"/>
    <w:rsid w:val="00C355E6"/>
    <w:rsid w:val="00C36DCE"/>
    <w:rsid w:val="00C41E50"/>
    <w:rsid w:val="00C45AA6"/>
    <w:rsid w:val="00C467BB"/>
    <w:rsid w:val="00C53578"/>
    <w:rsid w:val="00C54315"/>
    <w:rsid w:val="00C546B5"/>
    <w:rsid w:val="00C62486"/>
    <w:rsid w:val="00C64540"/>
    <w:rsid w:val="00C945DC"/>
    <w:rsid w:val="00C96D5F"/>
    <w:rsid w:val="00C96DD8"/>
    <w:rsid w:val="00CA2121"/>
    <w:rsid w:val="00CB0829"/>
    <w:rsid w:val="00CB2135"/>
    <w:rsid w:val="00CD09E7"/>
    <w:rsid w:val="00CD30BA"/>
    <w:rsid w:val="00CD4582"/>
    <w:rsid w:val="00CD777E"/>
    <w:rsid w:val="00CE3A8D"/>
    <w:rsid w:val="00CF2331"/>
    <w:rsid w:val="00D03B24"/>
    <w:rsid w:val="00D041B4"/>
    <w:rsid w:val="00D23C30"/>
    <w:rsid w:val="00D26A38"/>
    <w:rsid w:val="00D465AF"/>
    <w:rsid w:val="00D52059"/>
    <w:rsid w:val="00D96949"/>
    <w:rsid w:val="00DA01F6"/>
    <w:rsid w:val="00DA1536"/>
    <w:rsid w:val="00DA4839"/>
    <w:rsid w:val="00DB028C"/>
    <w:rsid w:val="00DB2C0E"/>
    <w:rsid w:val="00DC07AC"/>
    <w:rsid w:val="00DC4D87"/>
    <w:rsid w:val="00DC6746"/>
    <w:rsid w:val="00DD573C"/>
    <w:rsid w:val="00DF26C3"/>
    <w:rsid w:val="00E146B6"/>
    <w:rsid w:val="00E14794"/>
    <w:rsid w:val="00E21B04"/>
    <w:rsid w:val="00E231FD"/>
    <w:rsid w:val="00E26BC9"/>
    <w:rsid w:val="00E42634"/>
    <w:rsid w:val="00E43B10"/>
    <w:rsid w:val="00E5094C"/>
    <w:rsid w:val="00E52F07"/>
    <w:rsid w:val="00E53BF1"/>
    <w:rsid w:val="00E674BC"/>
    <w:rsid w:val="00E94DC9"/>
    <w:rsid w:val="00E97565"/>
    <w:rsid w:val="00EB0E23"/>
    <w:rsid w:val="00EB7915"/>
    <w:rsid w:val="00EC1EB5"/>
    <w:rsid w:val="00ED2769"/>
    <w:rsid w:val="00EE01AA"/>
    <w:rsid w:val="00EF6B50"/>
    <w:rsid w:val="00F30170"/>
    <w:rsid w:val="00F30801"/>
    <w:rsid w:val="00F50E5E"/>
    <w:rsid w:val="00F52033"/>
    <w:rsid w:val="00F55DEC"/>
    <w:rsid w:val="00F62D28"/>
    <w:rsid w:val="00F64D18"/>
    <w:rsid w:val="00F72686"/>
    <w:rsid w:val="00F762FF"/>
    <w:rsid w:val="00F84B75"/>
    <w:rsid w:val="00FA41BF"/>
    <w:rsid w:val="00FA41EE"/>
    <w:rsid w:val="00FB4112"/>
    <w:rsid w:val="00FB7559"/>
    <w:rsid w:val="00FC1B8F"/>
    <w:rsid w:val="00FD3C14"/>
    <w:rsid w:val="00FE4A63"/>
    <w:rsid w:val="00FE5AF0"/>
    <w:rsid w:val="00FF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4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520"/>
    <w:rPr>
      <w:color w:val="0563C1" w:themeColor="hyperlink"/>
      <w:u w:val="single"/>
    </w:rPr>
  </w:style>
  <w:style w:type="character" w:styleId="FollowedHyperlink">
    <w:name w:val="FollowedHyperlink"/>
    <w:basedOn w:val="DefaultParagraphFont"/>
    <w:uiPriority w:val="99"/>
    <w:semiHidden/>
    <w:unhideWhenUsed/>
    <w:rsid w:val="005E6520"/>
    <w:rPr>
      <w:color w:val="954F72" w:themeColor="followedHyperlink"/>
      <w:u w:val="single"/>
    </w:rPr>
  </w:style>
  <w:style w:type="paragraph" w:customStyle="1" w:styleId="msonormal0">
    <w:name w:val="msonormal"/>
    <w:basedOn w:val="Normal"/>
    <w:rsid w:val="005E65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E65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520"/>
    <w:rPr>
      <w:sz w:val="20"/>
      <w:szCs w:val="20"/>
    </w:rPr>
  </w:style>
  <w:style w:type="paragraph" w:styleId="Header">
    <w:name w:val="header"/>
    <w:basedOn w:val="Normal"/>
    <w:link w:val="HeaderChar"/>
    <w:uiPriority w:val="99"/>
    <w:unhideWhenUsed/>
    <w:rsid w:val="005E6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20"/>
  </w:style>
  <w:style w:type="paragraph" w:styleId="Footer">
    <w:name w:val="footer"/>
    <w:basedOn w:val="Normal"/>
    <w:link w:val="FooterChar"/>
    <w:uiPriority w:val="99"/>
    <w:unhideWhenUsed/>
    <w:rsid w:val="005E6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20"/>
  </w:style>
  <w:style w:type="paragraph" w:styleId="EndnoteText">
    <w:name w:val="endnote text"/>
    <w:basedOn w:val="Normal"/>
    <w:link w:val="EndnoteTextChar"/>
    <w:uiPriority w:val="99"/>
    <w:semiHidden/>
    <w:unhideWhenUsed/>
    <w:rsid w:val="005E6520"/>
    <w:pPr>
      <w:widowControl w:val="0"/>
      <w:autoSpaceDE w:val="0"/>
      <w:autoSpaceDN w:val="0"/>
      <w:adjustRightInd w:val="0"/>
      <w:spacing w:after="0" w:line="240" w:lineRule="auto"/>
    </w:pPr>
    <w:rPr>
      <w:rFonts w:ascii="Times New Roman" w:eastAsiaTheme="minorEastAsia"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5E6520"/>
    <w:rPr>
      <w:rFonts w:ascii="Times New Roman" w:eastAsiaTheme="minorEastAsia" w:hAnsi="Times New Roman" w:cs="Times New Roman"/>
      <w:sz w:val="20"/>
      <w:szCs w:val="20"/>
      <w:lang w:eastAsia="en-GB"/>
    </w:rPr>
  </w:style>
  <w:style w:type="paragraph" w:styleId="BodyText">
    <w:name w:val="Body Text"/>
    <w:basedOn w:val="Normal"/>
    <w:link w:val="BodyTextChar"/>
    <w:uiPriority w:val="1"/>
    <w:unhideWhenUsed/>
    <w:qFormat/>
    <w:rsid w:val="005E6520"/>
    <w:pPr>
      <w:widowControl w:val="0"/>
      <w:autoSpaceDE w:val="0"/>
      <w:autoSpaceDN w:val="0"/>
      <w:adjustRightInd w:val="0"/>
      <w:spacing w:after="0" w:line="240" w:lineRule="auto"/>
      <w:ind w:left="119"/>
    </w:pPr>
    <w:rPr>
      <w:rFonts w:ascii="Times New Roman" w:eastAsiaTheme="minorEastAsia" w:hAnsi="Times New Roman" w:cs="Times New Roman"/>
      <w:lang w:eastAsia="en-GB"/>
    </w:rPr>
  </w:style>
  <w:style w:type="character" w:customStyle="1" w:styleId="BodyTextChar">
    <w:name w:val="Body Text Char"/>
    <w:basedOn w:val="DefaultParagraphFont"/>
    <w:link w:val="BodyText"/>
    <w:uiPriority w:val="1"/>
    <w:rsid w:val="005E6520"/>
    <w:rPr>
      <w:rFonts w:ascii="Times New Roman" w:eastAsiaTheme="minorEastAsia" w:hAnsi="Times New Roman" w:cs="Times New Roman"/>
      <w:lang w:eastAsia="en-GB"/>
    </w:rPr>
  </w:style>
  <w:style w:type="paragraph" w:styleId="BodyTextIndent2">
    <w:name w:val="Body Text Indent 2"/>
    <w:basedOn w:val="Normal"/>
    <w:link w:val="BodyTextIndent2Char"/>
    <w:uiPriority w:val="99"/>
    <w:semiHidden/>
    <w:unhideWhenUsed/>
    <w:rsid w:val="005E6520"/>
    <w:pPr>
      <w:spacing w:after="120" w:line="480" w:lineRule="auto"/>
      <w:ind w:left="283"/>
    </w:pPr>
  </w:style>
  <w:style w:type="character" w:customStyle="1" w:styleId="BodyTextIndent2Char">
    <w:name w:val="Body Text Indent 2 Char"/>
    <w:basedOn w:val="DefaultParagraphFont"/>
    <w:link w:val="BodyTextIndent2"/>
    <w:uiPriority w:val="99"/>
    <w:semiHidden/>
    <w:rsid w:val="005E6520"/>
  </w:style>
  <w:style w:type="paragraph" w:styleId="BalloonText">
    <w:name w:val="Balloon Text"/>
    <w:basedOn w:val="Normal"/>
    <w:link w:val="BalloonTextChar"/>
    <w:uiPriority w:val="99"/>
    <w:semiHidden/>
    <w:unhideWhenUsed/>
    <w:rsid w:val="005E6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20"/>
    <w:rPr>
      <w:rFonts w:ascii="Tahoma" w:hAnsi="Tahoma" w:cs="Tahoma"/>
      <w:sz w:val="16"/>
      <w:szCs w:val="16"/>
    </w:rPr>
  </w:style>
  <w:style w:type="paragraph" w:styleId="ListParagraph">
    <w:name w:val="List Paragraph"/>
    <w:basedOn w:val="Normal"/>
    <w:uiPriority w:val="1"/>
    <w:qFormat/>
    <w:rsid w:val="005E6520"/>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5E6520"/>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styleId="FootnoteReference">
    <w:name w:val="footnote reference"/>
    <w:basedOn w:val="DefaultParagraphFont"/>
    <w:uiPriority w:val="99"/>
    <w:semiHidden/>
    <w:unhideWhenUsed/>
    <w:rsid w:val="005E6520"/>
    <w:rPr>
      <w:vertAlign w:val="superscript"/>
    </w:rPr>
  </w:style>
  <w:style w:type="character" w:styleId="EndnoteReference">
    <w:name w:val="endnote reference"/>
    <w:basedOn w:val="DefaultParagraphFont"/>
    <w:uiPriority w:val="99"/>
    <w:semiHidden/>
    <w:unhideWhenUsed/>
    <w:rsid w:val="005E6520"/>
    <w:rPr>
      <w:vertAlign w:val="superscript"/>
    </w:rPr>
  </w:style>
  <w:style w:type="character" w:styleId="PlaceholderText">
    <w:name w:val="Placeholder Text"/>
    <w:basedOn w:val="DefaultParagraphFont"/>
    <w:uiPriority w:val="99"/>
    <w:semiHidden/>
    <w:rsid w:val="005E6520"/>
    <w:rPr>
      <w:color w:val="808080"/>
    </w:rPr>
  </w:style>
  <w:style w:type="character" w:customStyle="1" w:styleId="current-selection">
    <w:name w:val="current-selection"/>
    <w:basedOn w:val="DefaultParagraphFont"/>
    <w:rsid w:val="005E6520"/>
  </w:style>
  <w:style w:type="character" w:customStyle="1" w:styleId="a">
    <w:name w:val="_"/>
    <w:basedOn w:val="DefaultParagraphFont"/>
    <w:rsid w:val="005E6520"/>
  </w:style>
  <w:style w:type="character" w:styleId="CommentReference">
    <w:name w:val="annotation reference"/>
    <w:basedOn w:val="DefaultParagraphFont"/>
    <w:uiPriority w:val="99"/>
    <w:semiHidden/>
    <w:unhideWhenUsed/>
    <w:rsid w:val="00BA7DE2"/>
    <w:rPr>
      <w:sz w:val="16"/>
      <w:szCs w:val="16"/>
    </w:rPr>
  </w:style>
  <w:style w:type="paragraph" w:styleId="CommentText">
    <w:name w:val="annotation text"/>
    <w:basedOn w:val="Normal"/>
    <w:link w:val="CommentTextChar"/>
    <w:uiPriority w:val="99"/>
    <w:semiHidden/>
    <w:unhideWhenUsed/>
    <w:rsid w:val="00BA7DE2"/>
    <w:pPr>
      <w:spacing w:line="240" w:lineRule="auto"/>
    </w:pPr>
    <w:rPr>
      <w:sz w:val="20"/>
      <w:szCs w:val="20"/>
    </w:rPr>
  </w:style>
  <w:style w:type="character" w:customStyle="1" w:styleId="CommentTextChar">
    <w:name w:val="Comment Text Char"/>
    <w:basedOn w:val="DefaultParagraphFont"/>
    <w:link w:val="CommentText"/>
    <w:uiPriority w:val="99"/>
    <w:semiHidden/>
    <w:rsid w:val="00BA7DE2"/>
    <w:rPr>
      <w:sz w:val="20"/>
      <w:szCs w:val="20"/>
    </w:rPr>
  </w:style>
  <w:style w:type="paragraph" w:styleId="CommentSubject">
    <w:name w:val="annotation subject"/>
    <w:basedOn w:val="CommentText"/>
    <w:next w:val="CommentText"/>
    <w:link w:val="CommentSubjectChar"/>
    <w:uiPriority w:val="99"/>
    <w:semiHidden/>
    <w:unhideWhenUsed/>
    <w:rsid w:val="00BA7DE2"/>
    <w:rPr>
      <w:b/>
      <w:bCs/>
    </w:rPr>
  </w:style>
  <w:style w:type="character" w:customStyle="1" w:styleId="CommentSubjectChar">
    <w:name w:val="Comment Subject Char"/>
    <w:basedOn w:val="CommentTextChar"/>
    <w:link w:val="CommentSubject"/>
    <w:uiPriority w:val="99"/>
    <w:semiHidden/>
    <w:rsid w:val="00BA7DE2"/>
    <w:rPr>
      <w:b/>
      <w:bCs/>
      <w:sz w:val="20"/>
      <w:szCs w:val="20"/>
    </w:rPr>
  </w:style>
  <w:style w:type="paragraph" w:styleId="Revision">
    <w:name w:val="Revision"/>
    <w:hidden/>
    <w:uiPriority w:val="99"/>
    <w:semiHidden/>
    <w:rsid w:val="00085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7412">
      <w:bodyDiv w:val="1"/>
      <w:marLeft w:val="0"/>
      <w:marRight w:val="0"/>
      <w:marTop w:val="0"/>
      <w:marBottom w:val="0"/>
      <w:divBdr>
        <w:top w:val="none" w:sz="0" w:space="0" w:color="auto"/>
        <w:left w:val="none" w:sz="0" w:space="0" w:color="auto"/>
        <w:bottom w:val="none" w:sz="0" w:space="0" w:color="auto"/>
        <w:right w:val="none" w:sz="0" w:space="0" w:color="auto"/>
      </w:divBdr>
    </w:div>
    <w:div w:id="1248732786">
      <w:bodyDiv w:val="1"/>
      <w:marLeft w:val="0"/>
      <w:marRight w:val="0"/>
      <w:marTop w:val="0"/>
      <w:marBottom w:val="0"/>
      <w:divBdr>
        <w:top w:val="none" w:sz="0" w:space="0" w:color="auto"/>
        <w:left w:val="none" w:sz="0" w:space="0" w:color="auto"/>
        <w:bottom w:val="none" w:sz="0" w:space="0" w:color="auto"/>
        <w:right w:val="none" w:sz="0" w:space="0" w:color="auto"/>
      </w:divBdr>
    </w:div>
    <w:div w:id="1298411873">
      <w:bodyDiv w:val="1"/>
      <w:marLeft w:val="0"/>
      <w:marRight w:val="0"/>
      <w:marTop w:val="0"/>
      <w:marBottom w:val="0"/>
      <w:divBdr>
        <w:top w:val="none" w:sz="0" w:space="0" w:color="auto"/>
        <w:left w:val="none" w:sz="0" w:space="0" w:color="auto"/>
        <w:bottom w:val="none" w:sz="0" w:space="0" w:color="auto"/>
        <w:right w:val="none" w:sz="0" w:space="0" w:color="auto"/>
      </w:divBdr>
    </w:div>
    <w:div w:id="19938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investment/Mapping-of-Investment-Promotion-Agencies-in-OECD-Countries.pdf"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C3C247D0E2C44A99D5910B487F58F" ma:contentTypeVersion="9" ma:contentTypeDescription="Create a new document." ma:contentTypeScope="" ma:versionID="44f136d7053b81d413017f2f3b180150">
  <xsd:schema xmlns:xsd="http://www.w3.org/2001/XMLSchema" xmlns:xs="http://www.w3.org/2001/XMLSchema" xmlns:p="http://schemas.microsoft.com/office/2006/metadata/properties" xmlns:ns3="d19aee30-ceee-4085-baae-ef2f81727768" targetNamespace="http://schemas.microsoft.com/office/2006/metadata/properties" ma:root="true" ma:fieldsID="bf321fe38a665585be7de721d8030bf6" ns3:_="">
    <xsd:import namespace="d19aee30-ceee-4085-baae-ef2f817277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aee30-ceee-4085-baae-ef2f81727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4D9B-B8CF-4A14-B522-17BA24E0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aee30-ceee-4085-baae-ef2f81727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71BC7-BD58-4AB6-B92D-A7D392D5E84F}">
  <ds:schemaRefs>
    <ds:schemaRef ds:uri="http://schemas.microsoft.com/sharepoint/v3/contenttype/forms"/>
  </ds:schemaRefs>
</ds:datastoreItem>
</file>

<file path=customXml/itemProps3.xml><?xml version="1.0" encoding="utf-8"?>
<ds:datastoreItem xmlns:ds="http://schemas.openxmlformats.org/officeDocument/2006/customXml" ds:itemID="{9E4BAA83-3935-435E-A85B-6F64166C9D71}">
  <ds:schemaRefs>
    <ds:schemaRef ds:uri="http://purl.org/dc/elements/1.1/"/>
    <ds:schemaRef ds:uri="http://schemas.microsoft.com/office/2006/documentManagement/types"/>
    <ds:schemaRef ds:uri="http://schemas.openxmlformats.org/package/2006/metadata/core-properties"/>
    <ds:schemaRef ds:uri="d19aee30-ceee-4085-baae-ef2f81727768"/>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BF2E030-A73F-49AA-8965-5079A3D6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8820</Words>
  <Characters>50278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2020-08-05T19:11:00Z</dcterms:created>
  <dcterms:modified xsi:type="dcterms:W3CDTF">2020-08-05T19:51:00Z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0x010100A3CC3C247D0E2C44A99D5910B487F58F</vt:lpwstr>
  </property>
</Properties>
</file>