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1560" w14:textId="77470508" w:rsidR="006612ED" w:rsidRDefault="00DE6076">
      <w:r w:rsidRPr="00394062">
        <w:rPr>
          <w:b/>
        </w:rPr>
        <w:t>Title</w:t>
      </w:r>
      <w:r>
        <w:t xml:space="preserve">: </w:t>
      </w:r>
      <w:r w:rsidR="00DE67DD">
        <w:rPr>
          <w:rFonts w:ascii="Calibri" w:eastAsia="Times New Roman" w:hAnsi="Calibri" w:cs="Calibri"/>
          <w:color w:val="000000"/>
        </w:rPr>
        <w:t>Covid-19 mortality: a</w:t>
      </w:r>
      <w:r w:rsidR="00DE67DD">
        <w:rPr>
          <w:rFonts w:ascii="Calibri" w:eastAsia="Times New Roman" w:hAnsi="Calibri" w:cs="Calibri"/>
          <w:color w:val="323130"/>
          <w:shd w:val="clear" w:color="auto" w:fill="FFFFFF"/>
        </w:rPr>
        <w:t> multivariate ecological analysis in relation to ethnicity, population density, obesity, deprivation and pollution</w:t>
      </w:r>
    </w:p>
    <w:p w14:paraId="43742A95" w14:textId="77777777" w:rsidR="005D4391" w:rsidRDefault="005D4391" w:rsidP="005D4391">
      <w:pPr>
        <w:rPr>
          <w:rFonts w:ascii="Calibri" w:eastAsia="Times New Roman" w:hAnsi="Calibri" w:cs="Calibri"/>
          <w:color w:val="323130"/>
          <w:shd w:val="clear" w:color="auto" w:fill="FFFFFF"/>
        </w:rPr>
      </w:pPr>
      <w:r w:rsidRPr="005C7999">
        <w:rPr>
          <w:rFonts w:ascii="Calibri" w:eastAsia="Times New Roman" w:hAnsi="Calibri" w:cs="Calibri"/>
          <w:b/>
          <w:color w:val="323130"/>
          <w:shd w:val="clear" w:color="auto" w:fill="FFFFFF"/>
        </w:rPr>
        <w:t>Authors:</w:t>
      </w:r>
      <w:r>
        <w:rPr>
          <w:rFonts w:ascii="Calibri" w:eastAsia="Times New Roman" w:hAnsi="Calibri" w:cs="Calibri"/>
          <w:b/>
          <w:color w:val="323130"/>
          <w:shd w:val="clear" w:color="auto" w:fill="FFFFFF"/>
        </w:rPr>
        <w:t xml:space="preserve"> </w:t>
      </w:r>
      <w:r w:rsidRPr="005C7999">
        <w:rPr>
          <w:rFonts w:ascii="Calibri" w:eastAsia="Times New Roman" w:hAnsi="Calibri" w:cs="Calibri"/>
          <w:color w:val="323130"/>
          <w:shd w:val="clear" w:color="auto" w:fill="FFFFFF"/>
        </w:rPr>
        <w:t>Isabelle Bray, Andy Gibson, Jo White</w:t>
      </w:r>
    </w:p>
    <w:p w14:paraId="5A926900" w14:textId="77777777" w:rsidR="005D4391" w:rsidRPr="005C7999" w:rsidRDefault="005D4391" w:rsidP="005D4391">
      <w:pPr>
        <w:rPr>
          <w:b/>
        </w:rPr>
      </w:pPr>
      <w:r w:rsidRPr="005C7999">
        <w:rPr>
          <w:rFonts w:ascii="Calibri" w:eastAsia="Times New Roman" w:hAnsi="Calibri" w:cs="Calibri"/>
          <w:b/>
          <w:color w:val="323130"/>
          <w:shd w:val="clear" w:color="auto" w:fill="FFFFFF"/>
        </w:rPr>
        <w:t>Affiliation:</w:t>
      </w:r>
      <w:r>
        <w:rPr>
          <w:rFonts w:ascii="Calibri" w:eastAsia="Times New Roman" w:hAnsi="Calibri" w:cs="Calibri"/>
          <w:color w:val="323130"/>
          <w:shd w:val="clear" w:color="auto" w:fill="FFFFFF"/>
        </w:rPr>
        <w:t xml:space="preserve"> Centre for Public Health and Wellbeing, University of the West of England, Bristol BS16 1QY</w:t>
      </w:r>
    </w:p>
    <w:p w14:paraId="5920E0E0" w14:textId="77777777" w:rsidR="000D707E" w:rsidRDefault="000D707E">
      <w:pPr>
        <w:rPr>
          <w:b/>
        </w:rPr>
      </w:pPr>
    </w:p>
    <w:p w14:paraId="0740B0BC" w14:textId="72C05F9C" w:rsidR="006612ED" w:rsidRPr="00394062" w:rsidRDefault="006612ED">
      <w:pPr>
        <w:rPr>
          <w:b/>
        </w:rPr>
      </w:pPr>
      <w:r w:rsidRPr="00394062">
        <w:rPr>
          <w:b/>
        </w:rPr>
        <w:t>Abstract</w:t>
      </w:r>
    </w:p>
    <w:p w14:paraId="5FA65CF9" w14:textId="6382E6F8" w:rsidR="006612ED" w:rsidRDefault="006612ED">
      <w:r w:rsidRPr="00394062">
        <w:rPr>
          <w:b/>
        </w:rPr>
        <w:t>Background</w:t>
      </w:r>
      <w:r>
        <w:t>: There is emerging evidence about characteristics that may increas</w:t>
      </w:r>
      <w:r w:rsidR="00DE6076">
        <w:t>e the risk of</w:t>
      </w:r>
      <w:r>
        <w:t xml:space="preserve"> Covid-19</w:t>
      </w:r>
      <w:r w:rsidR="00DE6076">
        <w:t xml:space="preserve"> mortality</w:t>
      </w:r>
      <w:r>
        <w:t>, but they are highly correlated</w:t>
      </w:r>
    </w:p>
    <w:p w14:paraId="61CB2F6D" w14:textId="77777777" w:rsidR="006612ED" w:rsidRDefault="006612ED">
      <w:r w:rsidRPr="00394062">
        <w:rPr>
          <w:b/>
        </w:rPr>
        <w:t>Methods</w:t>
      </w:r>
      <w:r>
        <w:t>: An ecological analysis was used to estimate associations between these variables and age-standardised Covid-19 mortality rates at the Local Authority level.</w:t>
      </w:r>
    </w:p>
    <w:p w14:paraId="1B664C62" w14:textId="2FE390F6" w:rsidR="006612ED" w:rsidRDefault="006612ED">
      <w:r w:rsidRPr="00394062">
        <w:rPr>
          <w:b/>
        </w:rPr>
        <w:t>Results</w:t>
      </w:r>
      <w:r>
        <w:t xml:space="preserve">: Ethnicity, population density and overweight/obesity were all found to have </w:t>
      </w:r>
      <w:proofErr w:type="gramStart"/>
      <w:r>
        <w:t>strong  independent</w:t>
      </w:r>
      <w:proofErr w:type="gramEnd"/>
      <w:r>
        <w:t xml:space="preserve"> associations with Covid-19 mortality, at the Local Authority level</w:t>
      </w:r>
      <w:r w:rsidR="00DE6076">
        <w:t>.</w:t>
      </w:r>
    </w:p>
    <w:p w14:paraId="5CE93A18" w14:textId="75EBF21E" w:rsidR="006612ED" w:rsidRDefault="006612ED">
      <w:r w:rsidRPr="00394062">
        <w:rPr>
          <w:b/>
        </w:rPr>
        <w:t>Discussion</w:t>
      </w:r>
      <w:r>
        <w:t xml:space="preserve">: This analysis provides some preliminary evidence about which variables are independently associated with Covid-19 mortality, and suggests that others (deprivation and pollution) are </w:t>
      </w:r>
      <w:r w:rsidR="00326292">
        <w:t>not directly linked.</w:t>
      </w:r>
      <w:r w:rsidR="00BC2F85">
        <w:t xml:space="preserve"> It highlights the importance of multivariate analyses to understand the factors that increase vulnerability to Covid-19.</w:t>
      </w:r>
    </w:p>
    <w:p w14:paraId="530B011C" w14:textId="77777777" w:rsidR="006612ED" w:rsidRDefault="006612ED"/>
    <w:p w14:paraId="05FF79C5" w14:textId="6D117D90" w:rsidR="006612ED" w:rsidRDefault="006612ED">
      <w:r w:rsidRPr="00394062">
        <w:rPr>
          <w:b/>
        </w:rPr>
        <w:t>Keywords</w:t>
      </w:r>
      <w:r>
        <w:t xml:space="preserve">: Covid-19, deprivation, ethnicity, pollution, overweight, obesity, population density     </w:t>
      </w:r>
    </w:p>
    <w:p w14:paraId="0D52C824" w14:textId="77777777" w:rsidR="006612ED" w:rsidRDefault="006612ED"/>
    <w:p w14:paraId="789FB3D9" w14:textId="15CE3B4C" w:rsidR="00E105ED" w:rsidRDefault="006612ED">
      <w:r w:rsidRPr="00394062">
        <w:rPr>
          <w:b/>
        </w:rPr>
        <w:t>Main text</w:t>
      </w:r>
    </w:p>
    <w:p w14:paraId="21C37E40" w14:textId="2BB25545" w:rsidR="00E105ED" w:rsidRDefault="00E105ED">
      <w:r>
        <w:t>There is emerging evidence that certain groups are more susceptible t</w:t>
      </w:r>
      <w:r w:rsidR="00373DE0">
        <w:t>o complications from Covid-19 (f</w:t>
      </w:r>
      <w:r w:rsidR="00FE186D">
        <w:t xml:space="preserve">or example, people </w:t>
      </w:r>
      <w:r w:rsidR="00A10B16">
        <w:t>who are obese</w:t>
      </w:r>
      <w:r w:rsidR="00E70846" w:rsidRPr="00E70846">
        <w:rPr>
          <w:vertAlign w:val="superscript"/>
        </w:rPr>
        <w:t>1</w:t>
      </w:r>
      <w:r w:rsidR="00FE186D">
        <w:t xml:space="preserve"> and </w:t>
      </w:r>
      <w:r>
        <w:t>people from ethnic minorities</w:t>
      </w:r>
      <w:r w:rsidR="00085BBD" w:rsidRPr="00085BBD">
        <w:rPr>
          <w:vertAlign w:val="superscript"/>
        </w:rPr>
        <w:t>2</w:t>
      </w:r>
      <w:r w:rsidR="001C3BEF">
        <w:rPr>
          <w:vertAlign w:val="superscript"/>
        </w:rPr>
        <w:t>,3</w:t>
      </w:r>
      <w:r w:rsidR="00373DE0">
        <w:t xml:space="preserve">) and that </w:t>
      </w:r>
      <w:r w:rsidR="00FE186D">
        <w:t xml:space="preserve">neighbourhood characteristics, such as </w:t>
      </w:r>
      <w:r w:rsidR="00F21194">
        <w:t>population density</w:t>
      </w:r>
      <w:r w:rsidR="001C3BEF">
        <w:rPr>
          <w:vertAlign w:val="superscript"/>
        </w:rPr>
        <w:t>4</w:t>
      </w:r>
      <w:r w:rsidR="00F21194">
        <w:t xml:space="preserve"> and </w:t>
      </w:r>
      <w:r w:rsidR="00FE186D">
        <w:t>pollution</w:t>
      </w:r>
      <w:r w:rsidR="001C3BEF">
        <w:rPr>
          <w:vertAlign w:val="superscript"/>
        </w:rPr>
        <w:t>5</w:t>
      </w:r>
      <w:r w:rsidR="00FE186D">
        <w:t>, might also play a role</w:t>
      </w:r>
      <w:r>
        <w:t>.</w:t>
      </w:r>
      <w:r w:rsidR="002C6C83">
        <w:t xml:space="preserve"> </w:t>
      </w:r>
      <w:r w:rsidR="00EA4584">
        <w:t>Estimating the importance of the various risk factors is complicated by the f</w:t>
      </w:r>
      <w:r w:rsidR="00FE186D">
        <w:t>act that they are highly correlated</w:t>
      </w:r>
      <w:r w:rsidR="00EA4584">
        <w:t xml:space="preserve">, </w:t>
      </w:r>
      <w:r w:rsidR="009A044F">
        <w:t xml:space="preserve">so it is difficult to work out the relative contribution of each </w:t>
      </w:r>
      <w:r w:rsidR="006C2AD8">
        <w:t xml:space="preserve">or if some are simply confounders. </w:t>
      </w:r>
      <w:r w:rsidR="00EA4584">
        <w:t xml:space="preserve"> However, t</w:t>
      </w:r>
      <w:r>
        <w:t>hese factors are all positively associated with deprivation</w:t>
      </w:r>
      <w:r w:rsidR="006C2AD8">
        <w:t xml:space="preserve">. Research on health inequalities, </w:t>
      </w:r>
      <w:r w:rsidR="00B845BC">
        <w:t>from</w:t>
      </w:r>
      <w:r w:rsidR="006C2AD8">
        <w:t xml:space="preserve"> the Black Report</w:t>
      </w:r>
      <w:r w:rsidR="001C3BEF">
        <w:rPr>
          <w:vertAlign w:val="superscript"/>
        </w:rPr>
        <w:t>6</w:t>
      </w:r>
      <w:r w:rsidR="00B845BC" w:rsidRPr="00B845BC">
        <w:t xml:space="preserve"> </w:t>
      </w:r>
      <w:r w:rsidR="00B845BC">
        <w:t>to the Marmot review</w:t>
      </w:r>
      <w:r w:rsidR="001C3BEF">
        <w:rPr>
          <w:vertAlign w:val="superscript"/>
        </w:rPr>
        <w:t>7</w:t>
      </w:r>
      <w:r w:rsidR="006C2AD8">
        <w:t>, has emphasised the importance of material</w:t>
      </w:r>
      <w:r w:rsidR="00B845BC">
        <w:t xml:space="preserve"> and social inequality as</w:t>
      </w:r>
      <w:r w:rsidR="006C2AD8">
        <w:t xml:space="preserve"> cause</w:t>
      </w:r>
      <w:r w:rsidR="00B845BC">
        <w:t>s</w:t>
      </w:r>
      <w:r w:rsidR="006C2AD8">
        <w:t xml:space="preserve"> of health inequality</w:t>
      </w:r>
      <w:r w:rsidR="00C30912">
        <w:t xml:space="preserve">, and age-standardised mortality rates </w:t>
      </w:r>
      <w:r w:rsidR="006F38E8">
        <w:t>of deaths involving</w:t>
      </w:r>
      <w:r w:rsidR="00C30912">
        <w:t xml:space="preserve"> Covid-19 in the most deprived areas of England are more than double those in the more affluent areas</w:t>
      </w:r>
      <w:r w:rsidR="001C3BEF">
        <w:rPr>
          <w:vertAlign w:val="superscript"/>
        </w:rPr>
        <w:t>8</w:t>
      </w:r>
      <w:r w:rsidR="006C2AD8">
        <w:t xml:space="preserve">. We </w:t>
      </w:r>
      <w:r>
        <w:t xml:space="preserve">hypothesize that </w:t>
      </w:r>
      <w:r w:rsidR="006F38E8">
        <w:t>deprivation</w:t>
      </w:r>
      <w:r>
        <w:t xml:space="preserve"> </w:t>
      </w:r>
      <w:r w:rsidR="002C6C83">
        <w:t>is</w:t>
      </w:r>
      <w:r>
        <w:t xml:space="preserve"> an important underlying risk factor</w:t>
      </w:r>
      <w:r w:rsidR="00C30912">
        <w:t xml:space="preserve"> for Covid-19</w:t>
      </w:r>
      <w:r>
        <w:t>.</w:t>
      </w:r>
      <w:r w:rsidR="00EA4584">
        <w:t xml:space="preserve"> Although </w:t>
      </w:r>
      <w:r w:rsidR="00C30912">
        <w:t>several</w:t>
      </w:r>
      <w:r w:rsidR="00EA4584">
        <w:t xml:space="preserve"> </w:t>
      </w:r>
      <w:r w:rsidR="00C30912">
        <w:t xml:space="preserve">socio-demographic </w:t>
      </w:r>
      <w:r w:rsidR="00EA4584">
        <w:t>factors ha</w:t>
      </w:r>
      <w:r w:rsidR="00C30912">
        <w:t>ve</w:t>
      </w:r>
      <w:r w:rsidR="00EA4584">
        <w:t xml:space="preserve"> been considered in isolation, there is no analysis to date which simultaneously includes </w:t>
      </w:r>
      <w:r w:rsidR="006C2AD8">
        <w:t xml:space="preserve">and </w:t>
      </w:r>
      <w:r w:rsidR="00EA4584">
        <w:t xml:space="preserve">adjusts for </w:t>
      </w:r>
      <w:r w:rsidR="00153818">
        <w:t>all</w:t>
      </w:r>
      <w:r w:rsidR="001C3BEF">
        <w:t xml:space="preserve"> these variables</w:t>
      </w:r>
      <w:r w:rsidR="00EA4584">
        <w:t xml:space="preserve">. </w:t>
      </w:r>
    </w:p>
    <w:p w14:paraId="1BDDE8EE" w14:textId="214A4ED8" w:rsidR="00EA4584" w:rsidRDefault="00E105ED">
      <w:r>
        <w:t xml:space="preserve">Age-standardised </w:t>
      </w:r>
      <w:r w:rsidR="00614780">
        <w:t>mortality</w:t>
      </w:r>
      <w:r w:rsidR="00EA4584">
        <w:t xml:space="preserve"> </w:t>
      </w:r>
      <w:r>
        <w:t xml:space="preserve">rates </w:t>
      </w:r>
      <w:r w:rsidR="00614780" w:rsidRPr="00614780">
        <w:t>of deaths involving</w:t>
      </w:r>
      <w:r w:rsidR="00614780">
        <w:rPr>
          <w:rFonts w:ascii="Arial" w:hAnsi="Arial" w:cs="Arial"/>
          <w:sz w:val="20"/>
          <w:szCs w:val="20"/>
        </w:rPr>
        <w:t xml:space="preserve"> </w:t>
      </w:r>
      <w:r w:rsidR="00EA4584">
        <w:t>Covid-19 for the period</w:t>
      </w:r>
      <w:r>
        <w:t xml:space="preserve"> </w:t>
      </w:r>
      <w:r w:rsidRPr="00E105ED">
        <w:t xml:space="preserve">1st March 2020 </w:t>
      </w:r>
      <w:r w:rsidR="006F38E8">
        <w:t>to</w:t>
      </w:r>
      <w:r w:rsidRPr="00E105ED">
        <w:t xml:space="preserve"> 17th April 2020</w:t>
      </w:r>
      <w:r>
        <w:t xml:space="preserve"> were published by the ONS on the 1</w:t>
      </w:r>
      <w:r w:rsidRPr="00E105ED">
        <w:rPr>
          <w:vertAlign w:val="superscript"/>
        </w:rPr>
        <w:t>st</w:t>
      </w:r>
      <w:r w:rsidR="00EA4584">
        <w:t xml:space="preserve"> May 2020, for</w:t>
      </w:r>
      <w:r>
        <w:t xml:space="preserve"> </w:t>
      </w:r>
      <w:r w:rsidR="00EA4584">
        <w:t xml:space="preserve">each </w:t>
      </w:r>
      <w:r>
        <w:t>Local Authority</w:t>
      </w:r>
      <w:r w:rsidR="005621A6">
        <w:t xml:space="preserve"> in England and Wales</w:t>
      </w:r>
      <w:r w:rsidR="001C3BEF">
        <w:rPr>
          <w:vertAlign w:val="superscript"/>
        </w:rPr>
        <w:t>8</w:t>
      </w:r>
      <w:r>
        <w:t xml:space="preserve">. </w:t>
      </w:r>
      <w:r w:rsidR="00EA4584">
        <w:t xml:space="preserve">We have conducted an ecological analysis to assess possible </w:t>
      </w:r>
      <w:r w:rsidR="005621A6">
        <w:t>associations</w:t>
      </w:r>
      <w:r w:rsidR="00EA4584">
        <w:t xml:space="preserve"> </w:t>
      </w:r>
      <w:r w:rsidR="005621A6">
        <w:t>with</w:t>
      </w:r>
      <w:r w:rsidR="00EA4584">
        <w:t xml:space="preserve"> a range of socio-demographic variables </w:t>
      </w:r>
      <w:r w:rsidR="00F22436">
        <w:t xml:space="preserve">using routinely available data for Local Authorities </w:t>
      </w:r>
      <w:r w:rsidR="00EA4584">
        <w:t xml:space="preserve">– </w:t>
      </w:r>
      <w:r w:rsidR="00F22436">
        <w:t>ethnicity, overweight and obesity, population density, deprivation</w:t>
      </w:r>
      <w:r w:rsidR="00FE186D">
        <w:t xml:space="preserve"> and pollution</w:t>
      </w:r>
      <w:r w:rsidR="00F22436">
        <w:t xml:space="preserve">. These variables were calculated as follows: </w:t>
      </w:r>
      <w:r w:rsidR="00EA4584">
        <w:t>percentage of the population who are white</w:t>
      </w:r>
      <w:r w:rsidR="00D60C8F">
        <w:t xml:space="preserve"> (2011 census)</w:t>
      </w:r>
      <w:r w:rsidR="00EA4584">
        <w:t xml:space="preserve">, </w:t>
      </w:r>
      <w:r w:rsidR="00480FC8">
        <w:t>percentage of the population who are overweight or obese</w:t>
      </w:r>
      <w:r w:rsidR="00D60C8F">
        <w:t xml:space="preserve"> (2013-15)</w:t>
      </w:r>
      <w:r w:rsidR="005A755B">
        <w:t>,</w:t>
      </w:r>
      <w:r w:rsidR="00480FC8">
        <w:t xml:space="preserve"> people per squ</w:t>
      </w:r>
      <w:r w:rsidR="00FE186D">
        <w:t>a</w:t>
      </w:r>
      <w:r w:rsidR="00480FC8">
        <w:t>re k</w:t>
      </w:r>
      <w:r w:rsidR="00236209">
        <w:t>ilo</w:t>
      </w:r>
      <w:r w:rsidR="00480FC8">
        <w:t>m</w:t>
      </w:r>
      <w:r w:rsidR="00236209">
        <w:t>etre</w:t>
      </w:r>
      <w:r w:rsidR="00480FC8">
        <w:t xml:space="preserve"> </w:t>
      </w:r>
      <w:r w:rsidR="00D60C8F">
        <w:t>(based on mid-</w:t>
      </w:r>
      <w:r w:rsidR="00D60C8F">
        <w:lastRenderedPageBreak/>
        <w:t xml:space="preserve">2018 </w:t>
      </w:r>
      <w:r w:rsidR="00480FC8">
        <w:t>estimates)</w:t>
      </w:r>
      <w:r w:rsidR="00DE7194">
        <w:t>,</w:t>
      </w:r>
      <w:r w:rsidR="00EA4584">
        <w:t xml:space="preserve"> </w:t>
      </w:r>
      <w:r w:rsidR="00480FC8">
        <w:t xml:space="preserve">median Index of Multiple Deprivation </w:t>
      </w:r>
      <w:r w:rsidR="00DE7194">
        <w:t>(</w:t>
      </w:r>
      <w:r w:rsidR="00394062">
        <w:t xml:space="preserve">IMD) for </w:t>
      </w:r>
      <w:r w:rsidR="00480FC8">
        <w:t>2019</w:t>
      </w:r>
      <w:r w:rsidR="00394062">
        <w:t>,</w:t>
      </w:r>
      <w:r w:rsidR="00DE7194">
        <w:t xml:space="preserve"> and </w:t>
      </w:r>
      <w:r w:rsidR="00D60C8F">
        <w:t>annual mean</w:t>
      </w:r>
      <w:r w:rsidR="00DE7194" w:rsidRPr="00DE7194">
        <w:t xml:space="preserve"> concentration </w:t>
      </w:r>
      <w:r w:rsidR="00A73993">
        <w:t xml:space="preserve">of particulate matter (PM2.5 </w:t>
      </w:r>
      <w:r w:rsidR="00274A0D" w:rsidRPr="00236209">
        <w:rPr>
          <w:rFonts w:cstheme="minorHAnsi"/>
        </w:rPr>
        <w:t>µ</w:t>
      </w:r>
      <w:r w:rsidR="00DE7194" w:rsidRPr="00DE7194">
        <w:t>g</w:t>
      </w:r>
      <w:r w:rsidR="00236209">
        <w:t xml:space="preserve"> </w:t>
      </w:r>
      <w:r w:rsidR="00DE7194" w:rsidRPr="00DE7194">
        <w:t>m</w:t>
      </w:r>
      <w:r w:rsidR="00DE7194" w:rsidRPr="00236209">
        <w:rPr>
          <w:vertAlign w:val="superscript"/>
        </w:rPr>
        <w:t>-3</w:t>
      </w:r>
      <w:r w:rsidR="00DE7194" w:rsidRPr="00DE7194">
        <w:t>)</w:t>
      </w:r>
      <w:r w:rsidR="00F076A8">
        <w:t xml:space="preserve"> </w:t>
      </w:r>
      <w:r w:rsidR="0017500A">
        <w:t>for 2018</w:t>
      </w:r>
      <w:r w:rsidR="00EA4584">
        <w:t>.</w:t>
      </w:r>
    </w:p>
    <w:p w14:paraId="2B3DC45C" w14:textId="03B840E9" w:rsidR="00480FC8" w:rsidRDefault="00480FC8">
      <w:r>
        <w:t xml:space="preserve">Data on all of these </w:t>
      </w:r>
      <w:r w:rsidR="00FE186D">
        <w:t>variables were available for 310</w:t>
      </w:r>
      <w:r>
        <w:t xml:space="preserve"> of 31</w:t>
      </w:r>
      <w:r w:rsidR="001B750B">
        <w:t>7</w:t>
      </w:r>
      <w:r>
        <w:t xml:space="preserve"> English Local Authorities </w:t>
      </w:r>
      <w:r w:rsidR="008F0763">
        <w:t xml:space="preserve">for which </w:t>
      </w:r>
      <w:r>
        <w:t xml:space="preserve">the </w:t>
      </w:r>
      <w:r w:rsidR="006F38E8">
        <w:t>Covid-19 m</w:t>
      </w:r>
      <w:r w:rsidR="00C056E5">
        <w:t>ortality rate</w:t>
      </w:r>
      <w:r w:rsidR="006F38E8">
        <w:t>s</w:t>
      </w:r>
      <w:r w:rsidR="00326292">
        <w:t xml:space="preserve"> have </w:t>
      </w:r>
      <w:r>
        <w:t xml:space="preserve">been </w:t>
      </w:r>
      <w:r w:rsidR="008F0763">
        <w:t>published</w:t>
      </w:r>
      <w:r w:rsidR="00153818">
        <w:rPr>
          <w:vertAlign w:val="superscript"/>
        </w:rPr>
        <w:t>8</w:t>
      </w:r>
      <w:r>
        <w:t xml:space="preserve">. </w:t>
      </w:r>
      <w:r w:rsidR="00FE186D">
        <w:t>Although it is widely reported that older people and men</w:t>
      </w:r>
      <w:r w:rsidR="00F076A8">
        <w:t xml:space="preserve"> </w:t>
      </w:r>
      <w:r w:rsidR="006F38E8">
        <w:t>are at increased risk</w:t>
      </w:r>
      <w:r w:rsidR="00FE186D">
        <w:t xml:space="preserve">, these variables are not included in this analysis (because the </w:t>
      </w:r>
      <w:r w:rsidR="00241419">
        <w:t xml:space="preserve">mortality </w:t>
      </w:r>
      <w:r w:rsidR="00FE186D">
        <w:t>rates are age-standardised</w:t>
      </w:r>
      <w:r w:rsidR="00DE7194">
        <w:t xml:space="preserve">, and because we would not expect to see sufficient variation in the percentage of Local Authority populations who are men).  </w:t>
      </w:r>
      <w:r w:rsidR="00FE186D">
        <w:t xml:space="preserve">  </w:t>
      </w:r>
    </w:p>
    <w:p w14:paraId="2E79F5EC" w14:textId="5C8A03F0" w:rsidR="003F039E" w:rsidRDefault="003F039E">
      <w:r>
        <w:t>Scatter plots and correlations between the outcome of interest and all pot</w:t>
      </w:r>
      <w:r w:rsidR="008F0763">
        <w:t>ential predictors were assessed</w:t>
      </w:r>
      <w:r w:rsidR="00FE186D">
        <w:t>.</w:t>
      </w:r>
      <w:r w:rsidR="008F0763">
        <w:t xml:space="preserve"> </w:t>
      </w:r>
      <w:r>
        <w:t xml:space="preserve">Spearman </w:t>
      </w:r>
      <w:r w:rsidR="00241419">
        <w:t xml:space="preserve">rank </w:t>
      </w:r>
      <w:r>
        <w:t>correlation coefficients are given in Table 1.</w:t>
      </w:r>
      <w:r w:rsidR="008F0763">
        <w:t xml:space="preserve"> These exploratory analyses confirm the strong associations of each of the variables considered and Covid-19 mortality rates</w:t>
      </w:r>
      <w:r w:rsidR="00DE7194">
        <w:t xml:space="preserve"> when they are considered in turn</w:t>
      </w:r>
      <w:r w:rsidR="008F0763">
        <w:t xml:space="preserve">, and </w:t>
      </w:r>
      <w:r w:rsidR="008D6FAB">
        <w:t>significant</w:t>
      </w:r>
      <w:r w:rsidR="008F0763">
        <w:t xml:space="preserve"> correlations between these potential predictors</w:t>
      </w:r>
      <w:r w:rsidR="00241419">
        <w:t xml:space="preserve"> of Covid-19 mortality</w:t>
      </w:r>
      <w:r w:rsidR="008F0763">
        <w:t xml:space="preserve">. </w:t>
      </w:r>
      <w:r w:rsidR="00241419">
        <w:t>T</w:t>
      </w:r>
      <w:r w:rsidR="005F7AA2">
        <w:t xml:space="preserve">he highest correlations </w:t>
      </w:r>
      <w:r w:rsidR="00241419">
        <w:t xml:space="preserve">with mortality rates </w:t>
      </w:r>
      <w:r w:rsidR="005F7AA2">
        <w:t xml:space="preserve">were </w:t>
      </w:r>
      <w:r w:rsidR="008969AE">
        <w:t xml:space="preserve">a positive association with population density (r=0.6) and a negative association with the proportion of the population who </w:t>
      </w:r>
      <w:r w:rsidR="008969AE" w:rsidRPr="00274A0D">
        <w:t>are white (</w:t>
      </w:r>
      <w:r w:rsidR="00274A0D" w:rsidRPr="00274A0D">
        <w:t>r=</w:t>
      </w:r>
      <w:r w:rsidR="008969AE" w:rsidRPr="00274A0D">
        <w:t>-0.6). There</w:t>
      </w:r>
      <w:r w:rsidR="008969AE">
        <w:t xml:space="preserve"> was a moderate positive association with PM2.5 (r=0.4) and a weaker positive association with median IMD score (r=0.2). Finally, there was a weak but unexpected negative correlation with the percentage of the population who are overweight or obese (r=-0.2). These correlation coefficients suggest that each of these variable</w:t>
      </w:r>
      <w:r w:rsidR="00A73993">
        <w:t>s</w:t>
      </w:r>
      <w:r w:rsidR="008969AE">
        <w:t xml:space="preserve">, taken in isolation, appears to predict </w:t>
      </w:r>
      <w:r w:rsidR="00326292">
        <w:t xml:space="preserve">the </w:t>
      </w:r>
      <w:r w:rsidR="00C056E5">
        <w:t>mortality rate</w:t>
      </w:r>
      <w:r w:rsidR="00326292">
        <w:t xml:space="preserve"> of deaths involving </w:t>
      </w:r>
      <w:r w:rsidR="008969AE">
        <w:t>Covid-19</w:t>
      </w:r>
      <w:r w:rsidR="00326292">
        <w:t xml:space="preserve">. </w:t>
      </w:r>
    </w:p>
    <w:p w14:paraId="17DC2BB0" w14:textId="77777777" w:rsidR="005A3964" w:rsidRDefault="005A3964">
      <w:pPr>
        <w:sectPr w:rsidR="005A3964" w:rsidSect="005F7AA2">
          <w:headerReference w:type="default" r:id="rId1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CF6813" w14:textId="4E6CCA58" w:rsidR="00EA4584" w:rsidRDefault="0031733D">
      <w:r>
        <w:t xml:space="preserve">Univariate linear regression models were fitted, along with a multiple linear regression </w:t>
      </w:r>
      <w:r w:rsidR="00153818">
        <w:t>model</w:t>
      </w:r>
      <w:r>
        <w:t xml:space="preserve"> which estimates independent effects of the variables of interest on Covid-19 mortality rates adjusted for the other variables in the model (see Table 2).</w:t>
      </w:r>
      <w:r w:rsidR="00245519">
        <w:t xml:space="preserve"> </w:t>
      </w:r>
      <w:r>
        <w:t xml:space="preserve">In line with our </w:t>
      </w:r>
      <w:r w:rsidR="00241419">
        <w:t>hypothesis</w:t>
      </w:r>
      <w:r w:rsidR="006F38E8">
        <w:t xml:space="preserve">, that deprivation </w:t>
      </w:r>
      <w:r>
        <w:t xml:space="preserve">underlies other </w:t>
      </w:r>
      <w:r w:rsidR="00153818">
        <w:t>risk factors</w:t>
      </w:r>
      <w:r>
        <w:t xml:space="preserve">, a univariate model predicts an increase in mortality rate of 0.9 </w:t>
      </w:r>
      <w:r w:rsidR="00241419">
        <w:t xml:space="preserve">per 100,000 for each unit increase in </w:t>
      </w:r>
      <w:r>
        <w:t xml:space="preserve">the median IMD score. </w:t>
      </w:r>
      <w:r w:rsidR="00FA3880">
        <w:t>However, t</w:t>
      </w:r>
      <w:r>
        <w:t xml:space="preserve">he multivariate model suggests </w:t>
      </w:r>
      <w:r w:rsidR="00FA3880">
        <w:t>that this effect is mediated by other variables. When ethnicity, overweight/obesity, population density and PM2.5 are included in the model, then the relationship between deprivation and Covid-19 mortality rate is no longer significant. The multivariate model suggests strong positive associations between both population density and overweight/obesity and mortality rate. Interestingly, adjusting for the other variables in the model has reversed the direction of the relationship for overweight/obesity</w:t>
      </w:r>
      <w:r w:rsidR="0023458A">
        <w:t xml:space="preserve"> in the univariate analyses,</w:t>
      </w:r>
      <w:r w:rsidR="00FA3880">
        <w:t xml:space="preserve"> </w:t>
      </w:r>
      <w:r w:rsidR="0023458A">
        <w:t>and</w:t>
      </w:r>
      <w:r w:rsidR="008D6FAB">
        <w:t xml:space="preserve"> the multivariate</w:t>
      </w:r>
      <w:r w:rsidR="00FA3880">
        <w:t xml:space="preserve"> model predicts a 0.7 </w:t>
      </w:r>
      <w:r w:rsidR="0023458A">
        <w:t xml:space="preserve">per 100,000 </w:t>
      </w:r>
      <w:r w:rsidR="00FA3880">
        <w:t xml:space="preserve">increase in mortality rate for each percentage point increase in overweight/obesity. There is also a strong association between ethnicity and </w:t>
      </w:r>
      <w:r w:rsidR="00326292">
        <w:t xml:space="preserve">the </w:t>
      </w:r>
      <w:r w:rsidR="00C056E5">
        <w:t>mortality rate</w:t>
      </w:r>
      <w:r w:rsidR="00326292">
        <w:t xml:space="preserve"> of deaths involving Covid-19</w:t>
      </w:r>
      <w:r w:rsidR="009F6662">
        <w:t xml:space="preserve"> – the model predicts a decrease of 1.2 </w:t>
      </w:r>
      <w:r w:rsidR="0023458A">
        <w:t xml:space="preserve">per 100,000 </w:t>
      </w:r>
      <w:r w:rsidR="009F6662">
        <w:t xml:space="preserve">for every percentage point increase in the proportion of the population who are white. </w:t>
      </w:r>
      <w:r>
        <w:t xml:space="preserve">This model provided strong evidence that ethnicity and population density are associated with </w:t>
      </w:r>
      <w:r w:rsidR="00326292">
        <w:t xml:space="preserve">the </w:t>
      </w:r>
      <w:r w:rsidR="00C056E5">
        <w:t>mortality</w:t>
      </w:r>
      <w:r w:rsidR="00326292">
        <w:t xml:space="preserve"> of deaths involving </w:t>
      </w:r>
      <w:r>
        <w:t>Covid-19 at the Local Authority level</w:t>
      </w:r>
      <w:r w:rsidR="009F6662">
        <w:t xml:space="preserve">, and also suggests that areas with higher rates of overweight/obesity have </w:t>
      </w:r>
      <w:r w:rsidR="004C35CE">
        <w:t xml:space="preserve">a </w:t>
      </w:r>
      <w:r w:rsidR="009F6662">
        <w:t xml:space="preserve">higher </w:t>
      </w:r>
      <w:r w:rsidR="00C056E5">
        <w:t>rate</w:t>
      </w:r>
      <w:r w:rsidR="004C35CE">
        <w:t xml:space="preserve"> of deaths involving </w:t>
      </w:r>
      <w:r w:rsidR="0023458A">
        <w:t>Covid-19</w:t>
      </w:r>
      <w:r w:rsidR="004C35CE">
        <w:t>.</w:t>
      </w:r>
      <w:r>
        <w:t xml:space="preserve"> </w:t>
      </w:r>
    </w:p>
    <w:p w14:paraId="67263BB4" w14:textId="54AFCE47" w:rsidR="003D5A6F" w:rsidRPr="003D5A6F" w:rsidRDefault="00DE6076" w:rsidP="003D5A6F">
      <w:r>
        <w:t>Of the variables considered, we</w:t>
      </w:r>
      <w:r w:rsidR="006633D4">
        <w:t xml:space="preserve"> found that the strongest predictors of</w:t>
      </w:r>
      <w:r w:rsidR="004C35CE">
        <w:t xml:space="preserve"> the </w:t>
      </w:r>
      <w:r w:rsidR="006F38E8">
        <w:t xml:space="preserve">mortality </w:t>
      </w:r>
      <w:r w:rsidR="00C056E5">
        <w:t>rate</w:t>
      </w:r>
      <w:r w:rsidR="004C35CE">
        <w:t xml:space="preserve"> of deaths involving</w:t>
      </w:r>
      <w:r w:rsidR="006633D4">
        <w:t xml:space="preserve"> Covid-19 at the Local Authority level were population density and ethnicity. While the spread of the infection in more densely populated areas </w:t>
      </w:r>
      <w:r w:rsidR="00D60C8F">
        <w:t>is unsurprising</w:t>
      </w:r>
      <w:r w:rsidR="006633D4">
        <w:t xml:space="preserve">, it is less clear why people from ethnic minorities </w:t>
      </w:r>
      <w:r w:rsidR="00CC5B7E">
        <w:t xml:space="preserve">appear to be at </w:t>
      </w:r>
      <w:r w:rsidR="00C056E5">
        <w:t>increased</w:t>
      </w:r>
      <w:r w:rsidR="006633D4">
        <w:t xml:space="preserve"> risk, and this is the topic of urgent research. It has been suggested that it may because they are </w:t>
      </w:r>
      <w:r w:rsidR="004C35CE">
        <w:t xml:space="preserve">more exposed to Covid-19 by their </w:t>
      </w:r>
      <w:r w:rsidR="006633D4">
        <w:t>over</w:t>
      </w:r>
      <w:r w:rsidR="006701B7">
        <w:t>-</w:t>
      </w:r>
      <w:r w:rsidR="006633D4">
        <w:t>represent</w:t>
      </w:r>
      <w:r w:rsidR="00703AA9">
        <w:t>ation</w:t>
      </w:r>
      <w:r w:rsidR="006633D4">
        <w:t xml:space="preserve"> in the caring professions </w:t>
      </w:r>
      <w:r w:rsidR="00703AA9">
        <w:t xml:space="preserve">and other ‘public-facing’ employment </w:t>
      </w:r>
      <w:r w:rsidR="008574E5">
        <w:t>or in urban populations</w:t>
      </w:r>
      <w:r w:rsidR="004C35CE">
        <w:t xml:space="preserve"> where Covid-19 is more prev</w:t>
      </w:r>
      <w:r w:rsidR="00703AA9">
        <w:t>ale</w:t>
      </w:r>
      <w:r w:rsidR="004C35CE">
        <w:t>nt</w:t>
      </w:r>
      <w:r w:rsidR="000D707E">
        <w:t>,</w:t>
      </w:r>
      <w:r w:rsidR="006701B7">
        <w:t xml:space="preserve"> or</w:t>
      </w:r>
      <w:r w:rsidR="006633D4">
        <w:t xml:space="preserve"> that </w:t>
      </w:r>
      <w:r w:rsidR="00C056E5">
        <w:t>it is</w:t>
      </w:r>
      <w:r w:rsidR="004C1185">
        <w:t xml:space="preserve"> due to </w:t>
      </w:r>
      <w:r w:rsidR="006701B7">
        <w:t xml:space="preserve">other </w:t>
      </w:r>
      <w:r w:rsidR="004C1185">
        <w:t xml:space="preserve">factors </w:t>
      </w:r>
      <w:proofErr w:type="gramStart"/>
      <w:r w:rsidR="004C1185">
        <w:t xml:space="preserve">including </w:t>
      </w:r>
      <w:r w:rsidR="006633D4">
        <w:t xml:space="preserve"> deprivation</w:t>
      </w:r>
      <w:proofErr w:type="gramEnd"/>
      <w:r w:rsidR="006633D4">
        <w:t xml:space="preserve">. </w:t>
      </w:r>
      <w:r w:rsidR="008C7660">
        <w:t>It is clear that ethnic minorities are over-represented in the NHS, where white people make up 79% of the workforce, compared with 86% of the entire working age population</w:t>
      </w:r>
      <w:r w:rsidR="008C7660">
        <w:rPr>
          <w:vertAlign w:val="superscript"/>
        </w:rPr>
        <w:t>8</w:t>
      </w:r>
      <w:r w:rsidR="008C7660">
        <w:t xml:space="preserve">. </w:t>
      </w:r>
      <w:r w:rsidR="006633D4">
        <w:t>Although w</w:t>
      </w:r>
      <w:r w:rsidR="00EA4584">
        <w:t xml:space="preserve">e have not been able to take </w:t>
      </w:r>
      <w:proofErr w:type="gramStart"/>
      <w:r w:rsidR="006701B7">
        <w:lastRenderedPageBreak/>
        <w:t>occupation</w:t>
      </w:r>
      <w:proofErr w:type="gramEnd"/>
      <w:r w:rsidR="006701B7">
        <w:t xml:space="preserve"> </w:t>
      </w:r>
      <w:r w:rsidR="00EA4584">
        <w:t>into account</w:t>
      </w:r>
      <w:r w:rsidR="006633D4">
        <w:t xml:space="preserve">, we have controlled for deprivation </w:t>
      </w:r>
      <w:r w:rsidR="008574E5">
        <w:t xml:space="preserve">and population density </w:t>
      </w:r>
      <w:r w:rsidR="006633D4">
        <w:t>in this ecological analysis, and found that the effect of ethnicity</w:t>
      </w:r>
      <w:r w:rsidR="004C1185">
        <w:t xml:space="preserve"> </w:t>
      </w:r>
      <w:r w:rsidR="00C056E5">
        <w:t>persisted</w:t>
      </w:r>
      <w:r w:rsidR="006633D4">
        <w:t xml:space="preserve">.  </w:t>
      </w:r>
    </w:p>
    <w:p w14:paraId="187F15F9" w14:textId="53CF3D68" w:rsidR="00E105ED" w:rsidRDefault="003D5A6F">
      <w:r>
        <w:t>Similarly</w:t>
      </w:r>
      <w:r w:rsidR="008F0763">
        <w:t xml:space="preserve">, the previously </w:t>
      </w:r>
      <w:r w:rsidR="008F0763" w:rsidRPr="00274A0D">
        <w:t>reported effect of obesity on Covi</w:t>
      </w:r>
      <w:r w:rsidR="00ED23E3" w:rsidRPr="00274A0D">
        <w:t>d-19 complications was supported by th</w:t>
      </w:r>
      <w:r w:rsidR="006701B7">
        <w:t>e multivariate</w:t>
      </w:r>
      <w:r w:rsidR="00ED23E3" w:rsidRPr="00274A0D">
        <w:t xml:space="preserve"> analysis, and does not appear to </w:t>
      </w:r>
      <w:r w:rsidR="00E70D7C" w:rsidRPr="00274A0D">
        <w:t xml:space="preserve">be </w:t>
      </w:r>
      <w:r w:rsidR="006701B7">
        <w:t>due to confounding by</w:t>
      </w:r>
      <w:r w:rsidR="00ED23E3">
        <w:t xml:space="preserve"> </w:t>
      </w:r>
      <w:r w:rsidR="0023458A">
        <w:t>deprivation</w:t>
      </w:r>
      <w:r w:rsidR="00ED23E3">
        <w:t xml:space="preserve">. </w:t>
      </w:r>
      <w:r w:rsidR="00E54485">
        <w:t xml:space="preserve">Data on co-morbidities such as diabetes would be useful to determine whether they explain this relationship. </w:t>
      </w:r>
      <w:r w:rsidR="009F6662">
        <w:t>While we confirmed a positive association between PM2.5 and Covid-19 mortality in univariate analyses</w:t>
      </w:r>
      <w:r w:rsidR="00E70D7C">
        <w:t xml:space="preserve"> (in agreement with a similar analysis </w:t>
      </w:r>
      <w:r w:rsidR="001B31AA">
        <w:t>o</w:t>
      </w:r>
      <w:r w:rsidR="00C55C18">
        <w:t>f case fatality rates</w:t>
      </w:r>
      <w:r w:rsidR="001B31AA">
        <w:t xml:space="preserve"> in London boroughs</w:t>
      </w:r>
      <w:r w:rsidR="00153818">
        <w:rPr>
          <w:vertAlign w:val="superscript"/>
        </w:rPr>
        <w:t>5</w:t>
      </w:r>
      <w:r w:rsidR="00E70D7C">
        <w:t>)</w:t>
      </w:r>
      <w:r w:rsidR="009F6662">
        <w:t>, there was no evidence of a significant association after controlling for other variables in the model.</w:t>
      </w:r>
      <w:r w:rsidR="00E70D7C">
        <w:t xml:space="preserve"> </w:t>
      </w:r>
      <w:r w:rsidR="00C55C18">
        <w:t xml:space="preserve">There are several possible reasons for this. Firstly, the outcomes considered </w:t>
      </w:r>
      <w:r w:rsidR="00C056E5">
        <w:t>in the earlier analysis</w:t>
      </w:r>
      <w:r w:rsidR="0023458A">
        <w:t xml:space="preserve"> </w:t>
      </w:r>
      <w:r w:rsidR="00C55C18">
        <w:t xml:space="preserve">were </w:t>
      </w:r>
      <w:r w:rsidR="008574E5">
        <w:t xml:space="preserve">the </w:t>
      </w:r>
      <w:r w:rsidR="00C55C18">
        <w:t>number of reported cases per borough, and case fatality rate per borough</w:t>
      </w:r>
      <w:r w:rsidR="00153818">
        <w:rPr>
          <w:vertAlign w:val="superscript"/>
        </w:rPr>
        <w:t>5</w:t>
      </w:r>
      <w:r w:rsidR="00C55C18">
        <w:t>. Secondly,</w:t>
      </w:r>
      <w:r w:rsidR="00E70D7C">
        <w:t xml:space="preserve"> the analysis of air pollution and Covid-19 mortality in London boroughs did </w:t>
      </w:r>
      <w:r w:rsidR="00B27CF3">
        <w:t xml:space="preserve">not </w:t>
      </w:r>
      <w:r w:rsidR="00E70D7C">
        <w:t>control for any other variables</w:t>
      </w:r>
      <w:r w:rsidR="00C55C18">
        <w:t>, and may therefore be confounded</w:t>
      </w:r>
      <w:r w:rsidR="00E54485">
        <w:t xml:space="preserve"> (an analysis of pollution levels in England found that concentrations were higher in areas with </w:t>
      </w:r>
      <w:proofErr w:type="gramStart"/>
      <w:r w:rsidR="00E54485">
        <w:t>more non</w:t>
      </w:r>
      <w:proofErr w:type="gramEnd"/>
      <w:r w:rsidR="00E54485">
        <w:t>-white residents</w:t>
      </w:r>
      <w:r w:rsidR="00153818">
        <w:rPr>
          <w:vertAlign w:val="superscript"/>
        </w:rPr>
        <w:t>10</w:t>
      </w:r>
      <w:r w:rsidR="00E54485">
        <w:t>)</w:t>
      </w:r>
      <w:r w:rsidR="00E70D7C">
        <w:t xml:space="preserve">. </w:t>
      </w:r>
      <w:r w:rsidR="00C55C18">
        <w:t>Finally</w:t>
      </w:r>
      <w:r w:rsidR="00B27CF3">
        <w:t>, previous research on neighbourhood pollution levels has concluded that air pollution inequalities are mainly an urban problem</w:t>
      </w:r>
      <w:r w:rsidR="00153818">
        <w:rPr>
          <w:vertAlign w:val="superscript"/>
        </w:rPr>
        <w:t>10</w:t>
      </w:r>
      <w:r w:rsidR="00C55C18">
        <w:t>;</w:t>
      </w:r>
      <w:r w:rsidR="00B27CF3">
        <w:t xml:space="preserve"> it is </w:t>
      </w:r>
      <w:r w:rsidR="00E54485">
        <w:t xml:space="preserve">therefore </w:t>
      </w:r>
      <w:r w:rsidR="00B27CF3">
        <w:t xml:space="preserve">possible that the association </w:t>
      </w:r>
      <w:r w:rsidR="00C55C18">
        <w:t>reported</w:t>
      </w:r>
      <w:r w:rsidR="00B27CF3">
        <w:t xml:space="preserve"> within London is diluted when studying Local Authorities across England. </w:t>
      </w:r>
      <w:r w:rsidR="00E70D7C">
        <w:t xml:space="preserve"> </w:t>
      </w:r>
    </w:p>
    <w:p w14:paraId="0B5018ED" w14:textId="5D5FDF4B" w:rsidR="002B2D2B" w:rsidRDefault="00AB0B22">
      <w:r>
        <w:t>Our findings suggest that indiv</w:t>
      </w:r>
      <w:r w:rsidR="006701B7">
        <w:t>idual factors such as ethnicity</w:t>
      </w:r>
      <w:r>
        <w:t xml:space="preserve"> and structural factors such as population density</w:t>
      </w:r>
      <w:r w:rsidR="00F43C69">
        <w:t xml:space="preserve"> are </w:t>
      </w:r>
      <w:r>
        <w:t>stronger predictors of Covid-19 mortality than deprivation</w:t>
      </w:r>
      <w:r w:rsidR="00F43C69">
        <w:t>.</w:t>
      </w:r>
      <w:r>
        <w:t xml:space="preserve"> </w:t>
      </w:r>
      <w:r w:rsidR="00F43C69">
        <w:t>However, a</w:t>
      </w:r>
      <w:r w:rsidR="00ED23E3">
        <w:t xml:space="preserve">n important limitation of this analysis is that it is conducted at </w:t>
      </w:r>
      <w:r w:rsidR="00443AA1">
        <w:t>the Local Authority</w:t>
      </w:r>
      <w:r w:rsidR="000D707E">
        <w:t xml:space="preserve"> level</w:t>
      </w:r>
      <w:r w:rsidR="00ED23E3">
        <w:t>,</w:t>
      </w:r>
      <w:r w:rsidR="00BD25CE">
        <w:t xml:space="preserve"> </w:t>
      </w:r>
      <w:r w:rsidR="00ED23E3">
        <w:t xml:space="preserve">and the associations observed do not necessarily hold at the individual level. </w:t>
      </w:r>
      <w:r w:rsidR="002B2D2B">
        <w:t>Another important limitation relat</w:t>
      </w:r>
      <w:r w:rsidR="00425DC6">
        <w:t>es</w:t>
      </w:r>
      <w:r w:rsidR="002B2D2B">
        <w:t xml:space="preserve"> to the measures included</w:t>
      </w:r>
      <w:r w:rsidR="000D707E">
        <w:t xml:space="preserve"> in the analysis. W</w:t>
      </w:r>
      <w:r w:rsidR="002B2D2B">
        <w:t>e used a very crude measure of ethnicity</w:t>
      </w:r>
      <w:r w:rsidR="000D707E">
        <w:t>, so</w:t>
      </w:r>
      <w:r w:rsidR="006701B7">
        <w:t xml:space="preserve"> did not estimate the risks for different non-white ethnicities</w:t>
      </w:r>
      <w:r w:rsidR="000D707E">
        <w:t>;</w:t>
      </w:r>
      <w:r w:rsidR="002B2D2B">
        <w:t xml:space="preserve"> </w:t>
      </w:r>
      <w:r w:rsidR="00F43C69">
        <w:t xml:space="preserve">the use of median IMD </w:t>
      </w:r>
      <w:r w:rsidR="002B2D2B">
        <w:t>masks inequa</w:t>
      </w:r>
      <w:r w:rsidR="000D707E">
        <w:t>lities within Local Authorities;</w:t>
      </w:r>
      <w:r w:rsidR="002B2D2B">
        <w:t xml:space="preserve"> and of the two pollutants identified as being linked to Covid-19</w:t>
      </w:r>
      <w:r w:rsidR="00153818">
        <w:rPr>
          <w:vertAlign w:val="superscript"/>
        </w:rPr>
        <w:t>5</w:t>
      </w:r>
      <w:r w:rsidR="002B2D2B">
        <w:t>, we used only</w:t>
      </w:r>
      <w:r w:rsidR="00DE67DD">
        <w:t xml:space="preserve"> one</w:t>
      </w:r>
      <w:r w:rsidR="002B2D2B">
        <w:t xml:space="preserve"> of these that was readily available for each Local Authority.</w:t>
      </w:r>
    </w:p>
    <w:p w14:paraId="2BD14EA2" w14:textId="33016477" w:rsidR="008C7660" w:rsidRPr="003D5A6F" w:rsidRDefault="00ED23E3" w:rsidP="008C7660">
      <w:r>
        <w:t xml:space="preserve">Nevertheless, </w:t>
      </w:r>
      <w:r w:rsidR="002B2D2B">
        <w:t>our analysis</w:t>
      </w:r>
      <w:r>
        <w:t xml:space="preserve"> provides some useful insights while detailed analyses of individual-level </w:t>
      </w:r>
      <w:r w:rsidR="00443AA1">
        <w:t xml:space="preserve">epidemiological </w:t>
      </w:r>
      <w:r>
        <w:t xml:space="preserve">data </w:t>
      </w:r>
      <w:r w:rsidR="00443AA1">
        <w:t>can be</w:t>
      </w:r>
      <w:r w:rsidR="00D10006">
        <w:t xml:space="preserve"> conducted to provide more reliable evidence.</w:t>
      </w:r>
      <w:r>
        <w:t xml:space="preserve"> </w:t>
      </w:r>
      <w:r w:rsidR="001B750B">
        <w:t>The forthcoming</w:t>
      </w:r>
      <w:r w:rsidR="00AB0B22">
        <w:t xml:space="preserve"> analysis by Public Health England of individual health records will consider age, gender, ethnicity, deprivation and obesity</w:t>
      </w:r>
      <w:r w:rsidR="00F43C69">
        <w:t>, and provide a more detailed understanding about how each of these individual variables affect Covid-19 mortality</w:t>
      </w:r>
      <w:r w:rsidR="00974380">
        <w:t>,</w:t>
      </w:r>
      <w:r w:rsidR="00F43C69">
        <w:t xml:space="preserve"> while controlling for confounders.</w:t>
      </w:r>
      <w:r w:rsidR="008C7660">
        <w:t xml:space="preserve"> The contribution of working in keyworker roles such as on public transport, as well as working in health and social care, to Covid-19 complications and mortality rates amongst ethnic minority staff should be investigated further. We </w:t>
      </w:r>
      <w:r w:rsidR="00CB2867">
        <w:t xml:space="preserve">support the call </w:t>
      </w:r>
      <w:r w:rsidR="008C7660" w:rsidRPr="008C7660">
        <w:t>for mixed methods research to explore the complex interplay between the various biological, social, and cultural factors underlying the observed increase in risk for ethnic minorities</w:t>
      </w:r>
      <w:r w:rsidR="000D707E" w:rsidRPr="008C7660">
        <w:rPr>
          <w:vertAlign w:val="superscript"/>
        </w:rPr>
        <w:t>2</w:t>
      </w:r>
      <w:r w:rsidR="008C7660" w:rsidRPr="008C7660">
        <w:t>.</w:t>
      </w:r>
      <w:r w:rsidR="008C7660" w:rsidRPr="003D5A6F">
        <w:t xml:space="preserve"> </w:t>
      </w:r>
    </w:p>
    <w:p w14:paraId="743533E8" w14:textId="2C578661" w:rsidR="001B750B" w:rsidRDefault="00AB0B22">
      <w:r>
        <w:t>Given the apparent importance of population density in our analysis, we recommend that future research should include individual-level data on</w:t>
      </w:r>
      <w:r w:rsidR="00974380">
        <w:t xml:space="preserve"> residential </w:t>
      </w:r>
      <w:r>
        <w:t>arrangements, such as multi-occupancy dwellings and multi-generational households</w:t>
      </w:r>
      <w:r w:rsidR="002B2D2B">
        <w:t>, as well as neighbourhood-level data on population density</w:t>
      </w:r>
      <w:r>
        <w:t>.</w:t>
      </w:r>
      <w:r w:rsidR="002B2D2B">
        <w:t xml:space="preserve"> </w:t>
      </w:r>
      <w:r w:rsidR="00E70846">
        <w:t xml:space="preserve">As alluded to above with respect to pollution, </w:t>
      </w:r>
      <w:r w:rsidR="008D6FAB">
        <w:t>we</w:t>
      </w:r>
      <w:r w:rsidR="00B27CF3">
        <w:t xml:space="preserve"> not</w:t>
      </w:r>
      <w:r w:rsidR="008D6FAB">
        <w:t>e</w:t>
      </w:r>
      <w:r w:rsidR="00B27CF3">
        <w:t xml:space="preserve"> that </w:t>
      </w:r>
      <w:r w:rsidR="00E70846">
        <w:t>associations between each of these risk factors and Covid-19 are likely to differ</w:t>
      </w:r>
      <w:r w:rsidR="00B27CF3">
        <w:t xml:space="preserve"> between urban and rural areas</w:t>
      </w:r>
      <w:r w:rsidR="00E70846">
        <w:t>, and sub-analyses may reveal different patterns according to geography</w:t>
      </w:r>
      <w:r w:rsidR="00B27CF3">
        <w:t xml:space="preserve">. </w:t>
      </w:r>
    </w:p>
    <w:p w14:paraId="175155CA" w14:textId="61CC567D" w:rsidR="00CB2867" w:rsidRDefault="00CB2867" w:rsidP="00CB2867">
      <w:r>
        <w:t>Our findings highlight the importance of multivariate analyses to understand the factors that increase risk of Covid-19 mortality. A</w:t>
      </w:r>
      <w:r w:rsidR="00F21194">
        <w:t>midst</w:t>
      </w:r>
      <w:r w:rsidR="001B750B">
        <w:t xml:space="preserve"> growing concerns that it is the most </w:t>
      </w:r>
      <w:r w:rsidR="001B750B" w:rsidRPr="00274A0D">
        <w:t xml:space="preserve">vulnerable who are most at risk during the current pandemic, </w:t>
      </w:r>
      <w:r w:rsidR="00F21194" w:rsidRPr="00274A0D">
        <w:t>it is crucial t</w:t>
      </w:r>
      <w:r w:rsidR="00274A0D" w:rsidRPr="00274A0D">
        <w:t>o</w:t>
      </w:r>
      <w:r w:rsidR="00F21194" w:rsidRPr="00274A0D">
        <w:t xml:space="preserve"> understand the complex </w:t>
      </w:r>
      <w:r>
        <w:t xml:space="preserve">causal </w:t>
      </w:r>
      <w:r w:rsidR="00F21194" w:rsidRPr="00274A0D">
        <w:t>pathways between</w:t>
      </w:r>
      <w:r w:rsidR="00974380">
        <w:t xml:space="preserve"> different vulnerabilities,</w:t>
      </w:r>
      <w:r w:rsidR="00446EB5">
        <w:t xml:space="preserve"> including</w:t>
      </w:r>
      <w:r w:rsidR="00F21194" w:rsidRPr="00274A0D">
        <w:t xml:space="preserve"> socio-economic disadvantage</w:t>
      </w:r>
      <w:r w:rsidR="00446EB5">
        <w:t>,</w:t>
      </w:r>
      <w:r w:rsidR="00F21194" w:rsidRPr="00274A0D">
        <w:t xml:space="preserve"> and Co</w:t>
      </w:r>
      <w:r w:rsidR="00DE6076" w:rsidRPr="00274A0D">
        <w:t>vid-19</w:t>
      </w:r>
      <w:r w:rsidR="001B750B" w:rsidRPr="00274A0D">
        <w:t xml:space="preserve"> </w:t>
      </w:r>
      <w:r w:rsidR="00F21194" w:rsidRPr="00274A0D">
        <w:t>infection, complications</w:t>
      </w:r>
      <w:r w:rsidR="00F21194">
        <w:t xml:space="preserve"> and </w:t>
      </w:r>
      <w:r w:rsidR="001B750B">
        <w:t>mortality</w:t>
      </w:r>
      <w:r w:rsidR="002B2D2B">
        <w:t xml:space="preserve">, </w:t>
      </w:r>
      <w:r w:rsidR="004608D7">
        <w:t xml:space="preserve">in order to </w:t>
      </w:r>
      <w:r w:rsidR="00F21194">
        <w:t>tackle these inequalities</w:t>
      </w:r>
      <w:r w:rsidR="00DE6076">
        <w:t>.</w:t>
      </w:r>
      <w:r>
        <w:t xml:space="preserve"> </w:t>
      </w:r>
    </w:p>
    <w:p w14:paraId="4C318256" w14:textId="0DE4A317" w:rsidR="003D5A6F" w:rsidRDefault="003D5A6F"/>
    <w:p w14:paraId="2F51D071" w14:textId="00A3DA3A" w:rsidR="00443AA1" w:rsidRDefault="00443AA1" w:rsidP="00443AA1">
      <w:r w:rsidRPr="005059FD">
        <w:rPr>
          <w:b/>
        </w:rPr>
        <w:t>Table 1</w:t>
      </w:r>
      <w:r w:rsidR="005059FD">
        <w:rPr>
          <w:b/>
        </w:rPr>
        <w:t>.</w:t>
      </w:r>
      <w:r>
        <w:t xml:space="preserve"> Bivariate Spearman correlation coefficients for all variables.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83"/>
        <w:gridCol w:w="1552"/>
        <w:gridCol w:w="1276"/>
        <w:gridCol w:w="1134"/>
        <w:gridCol w:w="872"/>
      </w:tblGrid>
      <w:tr w:rsidR="00350C40" w14:paraId="0D62D069" w14:textId="77777777" w:rsidTr="00737A7D"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70B63F43" w14:textId="77777777" w:rsidR="00443AA1" w:rsidRDefault="00443AA1" w:rsidP="00206198"/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1AA5E0BB" w14:textId="04CD9594" w:rsidR="00443AA1" w:rsidRDefault="00B44E2D" w:rsidP="00206198">
            <w:r>
              <w:t>Covid-19 mortality rate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8" w:space="0" w:color="auto"/>
            </w:tcBorders>
          </w:tcPr>
          <w:p w14:paraId="68AB3548" w14:textId="7710FD62" w:rsidR="00443AA1" w:rsidRDefault="00350C40" w:rsidP="00206198">
            <w:r>
              <w:t>Percentage</w:t>
            </w:r>
            <w:r w:rsidR="00443AA1">
              <w:t xml:space="preserve"> white</w:t>
            </w:r>
          </w:p>
        </w:tc>
        <w:tc>
          <w:tcPr>
            <w:tcW w:w="1552" w:type="dxa"/>
            <w:tcBorders>
              <w:top w:val="single" w:sz="8" w:space="0" w:color="auto"/>
              <w:bottom w:val="single" w:sz="8" w:space="0" w:color="auto"/>
            </w:tcBorders>
          </w:tcPr>
          <w:p w14:paraId="0B27F2B6" w14:textId="5F0E3118" w:rsidR="00443AA1" w:rsidRDefault="00350C40" w:rsidP="00206198">
            <w:r>
              <w:t xml:space="preserve">Percentage </w:t>
            </w:r>
            <w:r w:rsidR="00443AA1">
              <w:t>overweight or obese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1696E4A5" w14:textId="77777777" w:rsidR="00443AA1" w:rsidRDefault="00443AA1" w:rsidP="00206198">
            <w:r>
              <w:t>Population density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35CE4E15" w14:textId="77777777" w:rsidR="00443AA1" w:rsidRDefault="00443AA1" w:rsidP="00206198">
            <w:r>
              <w:t>Median IMD</w:t>
            </w:r>
          </w:p>
        </w:tc>
        <w:tc>
          <w:tcPr>
            <w:tcW w:w="872" w:type="dxa"/>
            <w:tcBorders>
              <w:top w:val="single" w:sz="8" w:space="0" w:color="auto"/>
              <w:bottom w:val="single" w:sz="8" w:space="0" w:color="auto"/>
            </w:tcBorders>
          </w:tcPr>
          <w:p w14:paraId="469641B0" w14:textId="77777777" w:rsidR="00443AA1" w:rsidRDefault="00443AA1" w:rsidP="00206198">
            <w:r>
              <w:t>PM2.5</w:t>
            </w:r>
          </w:p>
        </w:tc>
      </w:tr>
      <w:tr w:rsidR="00350C40" w14:paraId="6BC272C2" w14:textId="77777777" w:rsidTr="00737A7D">
        <w:tc>
          <w:tcPr>
            <w:tcW w:w="1555" w:type="dxa"/>
            <w:tcBorders>
              <w:top w:val="single" w:sz="8" w:space="0" w:color="auto"/>
            </w:tcBorders>
          </w:tcPr>
          <w:p w14:paraId="22E20CF6" w14:textId="47164247" w:rsidR="00443AA1" w:rsidRDefault="00350C40" w:rsidP="00B44E2D">
            <w:r>
              <w:t>Covid-19 mor</w:t>
            </w:r>
            <w:r w:rsidR="00B44E2D">
              <w:t>t</w:t>
            </w:r>
            <w:r>
              <w:t xml:space="preserve">ality </w:t>
            </w:r>
            <w:proofErr w:type="spellStart"/>
            <w:r>
              <w:t>r</w:t>
            </w:r>
            <w:r w:rsidR="00443AA1">
              <w:t>ate</w:t>
            </w:r>
            <w:r w:rsidR="00737A7D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517F16A" w14:textId="77777777" w:rsidR="00443AA1" w:rsidRPr="008F0763" w:rsidRDefault="00443AA1" w:rsidP="00206198">
            <w:r w:rsidRPr="008F0763">
              <w:t>1.00</w:t>
            </w:r>
          </w:p>
        </w:tc>
        <w:tc>
          <w:tcPr>
            <w:tcW w:w="1283" w:type="dxa"/>
            <w:tcBorders>
              <w:top w:val="single" w:sz="8" w:space="0" w:color="auto"/>
            </w:tcBorders>
          </w:tcPr>
          <w:p w14:paraId="12954441" w14:textId="4D44F443" w:rsidR="00443AA1" w:rsidRPr="008F0763" w:rsidRDefault="00443AA1" w:rsidP="00206198">
            <w:pPr>
              <w:rPr>
                <w:b/>
              </w:rPr>
            </w:pPr>
          </w:p>
        </w:tc>
        <w:tc>
          <w:tcPr>
            <w:tcW w:w="1552" w:type="dxa"/>
            <w:tcBorders>
              <w:top w:val="single" w:sz="8" w:space="0" w:color="auto"/>
            </w:tcBorders>
          </w:tcPr>
          <w:p w14:paraId="036835CD" w14:textId="7636AD62" w:rsidR="00443AA1" w:rsidRPr="008F0763" w:rsidRDefault="00443AA1" w:rsidP="0020619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4FE4B830" w14:textId="4EB07D0D" w:rsidR="00443AA1" w:rsidRPr="008F0763" w:rsidRDefault="00443AA1" w:rsidP="0020619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47AE48E" w14:textId="7C4EE855" w:rsidR="00443AA1" w:rsidRPr="008F0763" w:rsidRDefault="00443AA1" w:rsidP="00206198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8" w:space="0" w:color="auto"/>
            </w:tcBorders>
          </w:tcPr>
          <w:p w14:paraId="499ECA44" w14:textId="35FF079E" w:rsidR="00443AA1" w:rsidRPr="008F0763" w:rsidRDefault="00443AA1" w:rsidP="00206198">
            <w:pPr>
              <w:rPr>
                <w:b/>
              </w:rPr>
            </w:pPr>
          </w:p>
        </w:tc>
      </w:tr>
      <w:tr w:rsidR="00350C40" w14:paraId="316F7117" w14:textId="77777777" w:rsidTr="00737A7D">
        <w:tc>
          <w:tcPr>
            <w:tcW w:w="1555" w:type="dxa"/>
          </w:tcPr>
          <w:p w14:paraId="1DB97770" w14:textId="75B40BB3" w:rsidR="00443AA1" w:rsidRDefault="00350C40" w:rsidP="00206198">
            <w:r>
              <w:t>Percentage</w:t>
            </w:r>
            <w:r w:rsidR="00443AA1">
              <w:t xml:space="preserve"> white</w:t>
            </w:r>
            <w:r w:rsidR="00737A7D">
              <w:rPr>
                <w:vertAlign w:val="superscript"/>
              </w:rPr>
              <w:t>d</w:t>
            </w:r>
          </w:p>
        </w:tc>
        <w:tc>
          <w:tcPr>
            <w:tcW w:w="1275" w:type="dxa"/>
          </w:tcPr>
          <w:p w14:paraId="6F27BA02" w14:textId="0A5CC266" w:rsidR="00443AA1" w:rsidRPr="005F7AA2" w:rsidRDefault="00443AA1" w:rsidP="00206198">
            <w:r w:rsidRPr="005F7AA2">
              <w:t>-0.607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283" w:type="dxa"/>
          </w:tcPr>
          <w:p w14:paraId="6217D303" w14:textId="77777777" w:rsidR="00443AA1" w:rsidRPr="005F7AA2" w:rsidRDefault="00443AA1" w:rsidP="00206198">
            <w:r w:rsidRPr="005F7AA2">
              <w:t>1.00</w:t>
            </w:r>
          </w:p>
        </w:tc>
        <w:tc>
          <w:tcPr>
            <w:tcW w:w="1552" w:type="dxa"/>
          </w:tcPr>
          <w:p w14:paraId="470716B2" w14:textId="77777777" w:rsidR="00443AA1" w:rsidRPr="005F7AA2" w:rsidRDefault="00443AA1" w:rsidP="00206198"/>
        </w:tc>
        <w:tc>
          <w:tcPr>
            <w:tcW w:w="1276" w:type="dxa"/>
          </w:tcPr>
          <w:p w14:paraId="75FE871F" w14:textId="77777777" w:rsidR="00443AA1" w:rsidRPr="005F7AA2" w:rsidRDefault="00443AA1" w:rsidP="00206198"/>
        </w:tc>
        <w:tc>
          <w:tcPr>
            <w:tcW w:w="1134" w:type="dxa"/>
          </w:tcPr>
          <w:p w14:paraId="4092B602" w14:textId="77777777" w:rsidR="00443AA1" w:rsidRPr="005F7AA2" w:rsidRDefault="00443AA1" w:rsidP="00206198"/>
        </w:tc>
        <w:tc>
          <w:tcPr>
            <w:tcW w:w="872" w:type="dxa"/>
          </w:tcPr>
          <w:p w14:paraId="575D4D68" w14:textId="77777777" w:rsidR="00443AA1" w:rsidRPr="008F0763" w:rsidRDefault="00443AA1" w:rsidP="00206198">
            <w:pPr>
              <w:rPr>
                <w:b/>
              </w:rPr>
            </w:pPr>
          </w:p>
        </w:tc>
      </w:tr>
      <w:tr w:rsidR="00350C40" w14:paraId="66AA2793" w14:textId="77777777" w:rsidTr="00737A7D">
        <w:tc>
          <w:tcPr>
            <w:tcW w:w="1555" w:type="dxa"/>
          </w:tcPr>
          <w:p w14:paraId="1E137993" w14:textId="77777777" w:rsidR="00350C40" w:rsidRDefault="00350C40" w:rsidP="00206198">
            <w:r>
              <w:t>Percentage</w:t>
            </w:r>
          </w:p>
          <w:p w14:paraId="1B523ED3" w14:textId="143C9A0A" w:rsidR="00443AA1" w:rsidRDefault="00443AA1" w:rsidP="00206198">
            <w:r>
              <w:t xml:space="preserve">overweight or </w:t>
            </w:r>
            <w:proofErr w:type="spellStart"/>
            <w:r>
              <w:t>obese</w:t>
            </w:r>
            <w:r w:rsidR="00737A7D">
              <w:rPr>
                <w:vertAlign w:val="superscript"/>
              </w:rPr>
              <w:t>e</w:t>
            </w:r>
            <w:proofErr w:type="spellEnd"/>
          </w:p>
        </w:tc>
        <w:tc>
          <w:tcPr>
            <w:tcW w:w="1275" w:type="dxa"/>
          </w:tcPr>
          <w:p w14:paraId="3D40D25C" w14:textId="55557CF5" w:rsidR="00443AA1" w:rsidRPr="005F7AA2" w:rsidRDefault="00443AA1" w:rsidP="00206198">
            <w:r w:rsidRPr="005F7AA2">
              <w:t>-0.198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283" w:type="dxa"/>
          </w:tcPr>
          <w:p w14:paraId="7AD2E59D" w14:textId="50CDB193" w:rsidR="00443AA1" w:rsidRPr="005F7AA2" w:rsidRDefault="00443AA1" w:rsidP="00206198">
            <w:r w:rsidRPr="005F7AA2">
              <w:t>0.450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552" w:type="dxa"/>
          </w:tcPr>
          <w:p w14:paraId="07BFC235" w14:textId="77777777" w:rsidR="00443AA1" w:rsidRPr="005F7AA2" w:rsidRDefault="00443AA1" w:rsidP="00206198">
            <w:r w:rsidRPr="005F7AA2">
              <w:t>1.00</w:t>
            </w:r>
          </w:p>
        </w:tc>
        <w:tc>
          <w:tcPr>
            <w:tcW w:w="1276" w:type="dxa"/>
          </w:tcPr>
          <w:p w14:paraId="628A1CA1" w14:textId="77777777" w:rsidR="00443AA1" w:rsidRPr="005F7AA2" w:rsidRDefault="00443AA1" w:rsidP="00206198"/>
        </w:tc>
        <w:tc>
          <w:tcPr>
            <w:tcW w:w="1134" w:type="dxa"/>
          </w:tcPr>
          <w:p w14:paraId="67794139" w14:textId="77777777" w:rsidR="00443AA1" w:rsidRPr="005F7AA2" w:rsidRDefault="00443AA1" w:rsidP="00206198"/>
        </w:tc>
        <w:tc>
          <w:tcPr>
            <w:tcW w:w="872" w:type="dxa"/>
          </w:tcPr>
          <w:p w14:paraId="31C827C3" w14:textId="77777777" w:rsidR="00443AA1" w:rsidRPr="008F0763" w:rsidRDefault="00443AA1" w:rsidP="00206198">
            <w:pPr>
              <w:rPr>
                <w:b/>
              </w:rPr>
            </w:pPr>
          </w:p>
        </w:tc>
      </w:tr>
      <w:tr w:rsidR="00350C40" w14:paraId="1A3867DE" w14:textId="77777777" w:rsidTr="00737A7D">
        <w:tc>
          <w:tcPr>
            <w:tcW w:w="1555" w:type="dxa"/>
          </w:tcPr>
          <w:p w14:paraId="28BD1409" w14:textId="3B690CD4" w:rsidR="00443AA1" w:rsidRDefault="00443AA1" w:rsidP="00206198">
            <w:r>
              <w:t xml:space="preserve">Population </w:t>
            </w:r>
            <w:proofErr w:type="spellStart"/>
            <w:r>
              <w:t>density</w:t>
            </w:r>
            <w:r w:rsidR="00737A7D">
              <w:rPr>
                <w:vertAlign w:val="superscript"/>
              </w:rPr>
              <w:t>f</w:t>
            </w:r>
            <w:proofErr w:type="spellEnd"/>
          </w:p>
        </w:tc>
        <w:tc>
          <w:tcPr>
            <w:tcW w:w="1275" w:type="dxa"/>
          </w:tcPr>
          <w:p w14:paraId="78B66ABE" w14:textId="0DD619A1" w:rsidR="00443AA1" w:rsidRPr="005F7AA2" w:rsidRDefault="00443AA1" w:rsidP="00206198">
            <w:r w:rsidRPr="005F7AA2">
              <w:t>0.615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283" w:type="dxa"/>
          </w:tcPr>
          <w:p w14:paraId="0929F430" w14:textId="72C090B6" w:rsidR="00443AA1" w:rsidRPr="005F7AA2" w:rsidRDefault="00443AA1" w:rsidP="00206198">
            <w:r w:rsidRPr="005F7AA2">
              <w:t>-0.760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552" w:type="dxa"/>
          </w:tcPr>
          <w:p w14:paraId="29897DFA" w14:textId="77FE2B57" w:rsidR="00443AA1" w:rsidRPr="005F7AA2" w:rsidRDefault="00443AA1" w:rsidP="00206198">
            <w:r w:rsidRPr="005F7AA2">
              <w:t>-0.251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276" w:type="dxa"/>
          </w:tcPr>
          <w:p w14:paraId="1AB29D90" w14:textId="77777777" w:rsidR="00443AA1" w:rsidRPr="005F7AA2" w:rsidRDefault="00443AA1" w:rsidP="00206198">
            <w:r w:rsidRPr="005F7AA2">
              <w:t>1.00</w:t>
            </w:r>
          </w:p>
        </w:tc>
        <w:tc>
          <w:tcPr>
            <w:tcW w:w="1134" w:type="dxa"/>
          </w:tcPr>
          <w:p w14:paraId="51536A90" w14:textId="77777777" w:rsidR="00443AA1" w:rsidRPr="005F7AA2" w:rsidRDefault="00443AA1" w:rsidP="00206198"/>
        </w:tc>
        <w:tc>
          <w:tcPr>
            <w:tcW w:w="872" w:type="dxa"/>
          </w:tcPr>
          <w:p w14:paraId="082BFA92" w14:textId="77777777" w:rsidR="00443AA1" w:rsidRPr="008F0763" w:rsidRDefault="00443AA1" w:rsidP="00206198">
            <w:pPr>
              <w:rPr>
                <w:b/>
              </w:rPr>
            </w:pPr>
          </w:p>
        </w:tc>
      </w:tr>
      <w:tr w:rsidR="00350C40" w14:paraId="4E8F7D42" w14:textId="77777777" w:rsidTr="00737A7D">
        <w:tc>
          <w:tcPr>
            <w:tcW w:w="1555" w:type="dxa"/>
          </w:tcPr>
          <w:p w14:paraId="00F5654D" w14:textId="6464E87F" w:rsidR="00443AA1" w:rsidRDefault="00443AA1" w:rsidP="00206198">
            <w:r>
              <w:t xml:space="preserve">Median </w:t>
            </w:r>
            <w:proofErr w:type="spellStart"/>
            <w:r>
              <w:t>IMD</w:t>
            </w:r>
            <w:r w:rsidR="00737A7D">
              <w:rPr>
                <w:vertAlign w:val="superscript"/>
              </w:rPr>
              <w:t>g</w:t>
            </w:r>
            <w:proofErr w:type="spellEnd"/>
          </w:p>
        </w:tc>
        <w:tc>
          <w:tcPr>
            <w:tcW w:w="1275" w:type="dxa"/>
          </w:tcPr>
          <w:p w14:paraId="613BF08B" w14:textId="6616FED2" w:rsidR="00443AA1" w:rsidRPr="005F7AA2" w:rsidRDefault="00443AA1" w:rsidP="00206198">
            <w:r w:rsidRPr="005F7AA2">
              <w:t>0.243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283" w:type="dxa"/>
          </w:tcPr>
          <w:p w14:paraId="5387FFD4" w14:textId="7460B4F8" w:rsidR="00443AA1" w:rsidRPr="005F7AA2" w:rsidRDefault="00443AA1" w:rsidP="00206198">
            <w:r w:rsidRPr="005F7AA2">
              <w:t>-0.183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552" w:type="dxa"/>
          </w:tcPr>
          <w:p w14:paraId="236E4C92" w14:textId="5B88D424" w:rsidR="00443AA1" w:rsidRPr="005F7AA2" w:rsidRDefault="00443AA1" w:rsidP="00206198">
            <w:r w:rsidRPr="005F7AA2">
              <w:t>0.382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276" w:type="dxa"/>
          </w:tcPr>
          <w:p w14:paraId="597C4DBC" w14:textId="3A4D7152" w:rsidR="00443AA1" w:rsidRPr="005F7AA2" w:rsidRDefault="00443AA1" w:rsidP="00206198">
            <w:r w:rsidRPr="005F7AA2">
              <w:t>0.459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10BF1731" w14:textId="77777777" w:rsidR="00443AA1" w:rsidRPr="005F7AA2" w:rsidRDefault="00443AA1" w:rsidP="00206198">
            <w:r w:rsidRPr="005F7AA2">
              <w:t>1.00</w:t>
            </w:r>
          </w:p>
        </w:tc>
        <w:tc>
          <w:tcPr>
            <w:tcW w:w="872" w:type="dxa"/>
          </w:tcPr>
          <w:p w14:paraId="0DE969E0" w14:textId="77777777" w:rsidR="00443AA1" w:rsidRPr="008F0763" w:rsidRDefault="00443AA1" w:rsidP="00206198">
            <w:pPr>
              <w:rPr>
                <w:b/>
              </w:rPr>
            </w:pPr>
          </w:p>
        </w:tc>
      </w:tr>
      <w:tr w:rsidR="00350C40" w14:paraId="3052C42A" w14:textId="77777777" w:rsidTr="00737A7D">
        <w:tc>
          <w:tcPr>
            <w:tcW w:w="1555" w:type="dxa"/>
            <w:tcBorders>
              <w:bottom w:val="single" w:sz="4" w:space="0" w:color="auto"/>
            </w:tcBorders>
          </w:tcPr>
          <w:p w14:paraId="71C5205E" w14:textId="33F3887C" w:rsidR="00443AA1" w:rsidRDefault="00443AA1" w:rsidP="00206198">
            <w:r>
              <w:t>PM2.5</w:t>
            </w:r>
            <w:r w:rsidR="00737A7D">
              <w:rPr>
                <w:vertAlign w:val="superscript"/>
              </w:rPr>
              <w:t>h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77BCB9" w14:textId="56F57835" w:rsidR="00443AA1" w:rsidRPr="005F7AA2" w:rsidRDefault="00443AA1" w:rsidP="00206198">
            <w:r w:rsidRPr="005F7AA2">
              <w:t>0.405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368FC160" w14:textId="725BC382" w:rsidR="00443AA1" w:rsidRPr="005F7AA2" w:rsidRDefault="00443AA1" w:rsidP="00206198">
            <w:r w:rsidRPr="005F7AA2">
              <w:t>-0.671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43FA543F" w14:textId="3BDCF9AD" w:rsidR="00443AA1" w:rsidRPr="005F7AA2" w:rsidRDefault="00443AA1" w:rsidP="00206198">
            <w:r w:rsidRPr="005F7AA2">
              <w:t>-0.410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7EBC97" w14:textId="0093C2EA" w:rsidR="00443AA1" w:rsidRPr="005F7AA2" w:rsidRDefault="00443AA1" w:rsidP="00206198">
            <w:r w:rsidRPr="005F7AA2">
              <w:t>0.531</w:t>
            </w:r>
            <w:r w:rsidR="00737A7D">
              <w:rPr>
                <w:vertAlign w:val="superscript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15E68B" w14:textId="29A4CC18" w:rsidR="00443AA1" w:rsidRPr="005F7AA2" w:rsidRDefault="00443AA1" w:rsidP="00206198">
            <w:r w:rsidRPr="005F7AA2">
              <w:t>-0.143</w:t>
            </w:r>
            <w:r w:rsidR="00737A7D">
              <w:rPr>
                <w:vertAlign w:val="superscript"/>
              </w:rPr>
              <w:t>b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53A155F" w14:textId="77777777" w:rsidR="00443AA1" w:rsidRPr="008F0763" w:rsidRDefault="00443AA1" w:rsidP="00206198">
            <w:r w:rsidRPr="008F0763">
              <w:t>1.00</w:t>
            </w:r>
          </w:p>
        </w:tc>
      </w:tr>
    </w:tbl>
    <w:p w14:paraId="723C5340" w14:textId="77777777" w:rsidR="00443AA1" w:rsidRDefault="00443AA1" w:rsidP="00443AA1">
      <w:pPr>
        <w:sectPr w:rsidR="00443AA1" w:rsidSect="005F7AA2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3230D7D" w14:textId="5B7547AE" w:rsidR="00737A7D" w:rsidRPr="005F7AA2" w:rsidRDefault="00737A7D" w:rsidP="00737A7D">
      <w:pPr>
        <w:spacing w:after="0" w:line="24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  <w:vertAlign w:val="superscript"/>
        </w:rPr>
        <w:t>a</w:t>
      </w:r>
      <w:r w:rsidRPr="005F7AA2">
        <w:rPr>
          <w:sz w:val="20"/>
          <w:szCs w:val="20"/>
        </w:rPr>
        <w:t>p</w:t>
      </w:r>
      <w:proofErr w:type="spellEnd"/>
      <w:r w:rsidRPr="005F7AA2">
        <w:rPr>
          <w:sz w:val="20"/>
          <w:szCs w:val="20"/>
        </w:rPr>
        <w:t>&lt;</w:t>
      </w:r>
      <w:proofErr w:type="gramEnd"/>
      <w:r w:rsidRPr="005F7AA2">
        <w:rPr>
          <w:sz w:val="20"/>
          <w:szCs w:val="20"/>
        </w:rPr>
        <w:t>0.01</w:t>
      </w:r>
    </w:p>
    <w:p w14:paraId="52C968FF" w14:textId="50757E34" w:rsidR="00737A7D" w:rsidRPr="005F7AA2" w:rsidRDefault="00737A7D" w:rsidP="00737A7D">
      <w:pPr>
        <w:spacing w:after="0" w:line="24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  <w:vertAlign w:val="superscript"/>
        </w:rPr>
        <w:t>b</w:t>
      </w:r>
      <w:r w:rsidRPr="005F7AA2">
        <w:rPr>
          <w:sz w:val="20"/>
          <w:szCs w:val="20"/>
        </w:rPr>
        <w:t>p</w:t>
      </w:r>
      <w:proofErr w:type="spellEnd"/>
      <w:r w:rsidRPr="005F7AA2">
        <w:rPr>
          <w:sz w:val="20"/>
          <w:szCs w:val="20"/>
        </w:rPr>
        <w:t>&lt;</w:t>
      </w:r>
      <w:proofErr w:type="gramEnd"/>
      <w:r w:rsidRPr="005F7AA2">
        <w:rPr>
          <w:sz w:val="20"/>
          <w:szCs w:val="20"/>
        </w:rPr>
        <w:t>0.05</w:t>
      </w:r>
    </w:p>
    <w:p w14:paraId="7CA96ED7" w14:textId="42E35D76" w:rsidR="002612D8" w:rsidRPr="0017500A" w:rsidRDefault="00737A7D" w:rsidP="0017500A">
      <w:pPr>
        <w:spacing w:after="0" w:line="240" w:lineRule="auto"/>
        <w:rPr>
          <w:sz w:val="20"/>
          <w:szCs w:val="20"/>
          <w:vertAlign w:val="superscript"/>
        </w:rPr>
      </w:pPr>
      <w:proofErr w:type="gramStart"/>
      <w:r>
        <w:rPr>
          <w:sz w:val="20"/>
          <w:szCs w:val="20"/>
          <w:vertAlign w:val="superscript"/>
        </w:rPr>
        <w:t>c</w:t>
      </w:r>
      <w:proofErr w:type="gramEnd"/>
      <w:r>
        <w:fldChar w:fldCharType="begin"/>
      </w:r>
      <w:r>
        <w:instrText xml:space="preserve"> HYPERLINK "https://www.ons.gov.uk/peoplepopulationandcommunity/birthsdeathsandmarriages/deaths/datasets/deathsinvolvingcovid19bylocalareaanddeprivation" </w:instrText>
      </w:r>
      <w:r>
        <w:fldChar w:fldCharType="separate"/>
      </w:r>
      <w:r w:rsidR="002612D8" w:rsidRPr="0017500A">
        <w:rPr>
          <w:rStyle w:val="Hyperlink"/>
          <w:sz w:val="20"/>
          <w:szCs w:val="20"/>
        </w:rPr>
        <w:t>https://www.ons.gov.uk/peoplepopulationandcommunity/birthsdeathsandmarriages/deaths/datasets/deathsinvolvingcovid19bylocalareaanddeprivation</w:t>
      </w:r>
      <w:r>
        <w:rPr>
          <w:rStyle w:val="Hyperlink"/>
          <w:sz w:val="20"/>
          <w:szCs w:val="20"/>
        </w:rPr>
        <w:fldChar w:fldCharType="end"/>
      </w:r>
    </w:p>
    <w:p w14:paraId="517EFFE4" w14:textId="22410952" w:rsidR="002612D8" w:rsidRPr="0017500A" w:rsidRDefault="00737A7D" w:rsidP="0017500A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d</w:t>
      </w:r>
      <w:proofErr w:type="gramEnd"/>
      <w:r>
        <w:fldChar w:fldCharType="begin"/>
      </w:r>
      <w:r>
        <w:instrText xml:space="preserve"> HYPERLINK "https://www.ethnicity-facts-figures.service.gov.uk/uk-population-by-ethnicity/national-and-regional-populations/regional-ethnic-diversity/latest" \l "ethnic-diversity-by-area" </w:instrText>
      </w:r>
      <w:r>
        <w:fldChar w:fldCharType="separate"/>
      </w:r>
      <w:r w:rsidR="002612D8" w:rsidRPr="0017500A">
        <w:rPr>
          <w:rStyle w:val="Hyperlink"/>
          <w:sz w:val="20"/>
          <w:szCs w:val="20"/>
        </w:rPr>
        <w:t>https://www.ethnicity-facts-figures.service.gov.uk/uk-population-by-ethnicity/national-and-regional-populations/regional-ethnic-diversity/latest#ethnic-diversity-by-area</w:t>
      </w:r>
      <w:r>
        <w:rPr>
          <w:rStyle w:val="Hyperlink"/>
          <w:sz w:val="20"/>
          <w:szCs w:val="20"/>
        </w:rPr>
        <w:fldChar w:fldCharType="end"/>
      </w:r>
    </w:p>
    <w:p w14:paraId="095198BB" w14:textId="33BE30E1" w:rsidR="002612D8" w:rsidRPr="0017500A" w:rsidRDefault="00737A7D" w:rsidP="0017500A">
      <w:pPr>
        <w:spacing w:after="0" w:line="240" w:lineRule="auto"/>
        <w:rPr>
          <w:sz w:val="20"/>
          <w:szCs w:val="20"/>
          <w:vertAlign w:val="superscript"/>
        </w:rPr>
      </w:pPr>
      <w:proofErr w:type="gramStart"/>
      <w:r>
        <w:rPr>
          <w:sz w:val="20"/>
          <w:szCs w:val="20"/>
          <w:vertAlign w:val="superscript"/>
        </w:rPr>
        <w:t>e</w:t>
      </w:r>
      <w:proofErr w:type="gramEnd"/>
      <w:r w:rsidR="002612D8" w:rsidRPr="0017500A">
        <w:rPr>
          <w:sz w:val="20"/>
          <w:szCs w:val="20"/>
          <w:vertAlign w:val="superscript"/>
        </w:rPr>
        <w:t xml:space="preserve"> </w:t>
      </w:r>
      <w:r w:rsidR="002612D8" w:rsidRPr="0017500A">
        <w:rPr>
          <w:sz w:val="20"/>
          <w:szCs w:val="20"/>
        </w:rPr>
        <w:t>Public Health England, Prevalence of underweight, healthy weight, overweight, obesity, and excess weight among adults at local authority level for England</w:t>
      </w:r>
      <w:r w:rsidR="0017500A" w:rsidRPr="0017500A">
        <w:rPr>
          <w:sz w:val="20"/>
          <w:szCs w:val="20"/>
        </w:rPr>
        <w:t>, available from Knowledge Hub</w:t>
      </w:r>
      <w:r w:rsidR="00D60C8F">
        <w:rPr>
          <w:sz w:val="20"/>
          <w:szCs w:val="20"/>
        </w:rPr>
        <w:t xml:space="preserve">, available </w:t>
      </w:r>
      <w:proofErr w:type="spellStart"/>
      <w:r w:rsidR="00D60C8F">
        <w:rPr>
          <w:sz w:val="20"/>
          <w:szCs w:val="20"/>
        </w:rPr>
        <w:t>fron</w:t>
      </w:r>
      <w:proofErr w:type="spellEnd"/>
      <w:r w:rsidR="0017500A" w:rsidRPr="0017500A">
        <w:rPr>
          <w:sz w:val="20"/>
          <w:szCs w:val="20"/>
        </w:rPr>
        <w:t xml:space="preserve"> </w:t>
      </w:r>
      <w:hyperlink r:id="rId11" w:history="1">
        <w:r w:rsidR="0017500A" w:rsidRPr="0017500A">
          <w:rPr>
            <w:rStyle w:val="Hyperlink"/>
            <w:sz w:val="20"/>
            <w:szCs w:val="20"/>
          </w:rPr>
          <w:t>https://khub.net/group/guest</w:t>
        </w:r>
      </w:hyperlink>
    </w:p>
    <w:p w14:paraId="3A10781F" w14:textId="7E1D13FB" w:rsidR="002612D8" w:rsidRPr="00D60C8F" w:rsidRDefault="00737A7D" w:rsidP="0017500A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  <w:vertAlign w:val="superscript"/>
        </w:rPr>
        <w:t>f</w:t>
      </w:r>
      <w:r w:rsidR="00D60C8F">
        <w:rPr>
          <w:sz w:val="20"/>
          <w:szCs w:val="20"/>
        </w:rPr>
        <w:t>Office</w:t>
      </w:r>
      <w:proofErr w:type="spellEnd"/>
      <w:r w:rsidR="00D60C8F">
        <w:rPr>
          <w:sz w:val="20"/>
          <w:szCs w:val="20"/>
        </w:rPr>
        <w:t xml:space="preserve"> for National Statistics, </w:t>
      </w:r>
      <w:r w:rsidR="00D60C8F" w:rsidRPr="00D60C8F">
        <w:rPr>
          <w:sz w:val="20"/>
          <w:szCs w:val="20"/>
        </w:rPr>
        <w:t>Population Estimates for UK, England and Wales, Scotland and Northern Ireland: mid-2018, using pre-April 2019 local authority district geography</w:t>
      </w:r>
      <w:r w:rsidR="00D60C8F">
        <w:rPr>
          <w:sz w:val="20"/>
          <w:szCs w:val="20"/>
        </w:rPr>
        <w:t xml:space="preserve">, available from </w:t>
      </w:r>
      <w:hyperlink r:id="rId12" w:history="1">
        <w:r w:rsidR="00D60C8F" w:rsidRPr="00D60C8F">
          <w:rPr>
            <w:rStyle w:val="Hyperlink"/>
            <w:sz w:val="20"/>
            <w:szCs w:val="20"/>
          </w:rPr>
          <w:t>https://www.ons.gov.uk/peoplepopulationandcommunity/populationandmigration/populationestimates/datasets/populationestimatesforukenglandandwalesscotlandandnorthernireland</w:t>
        </w:r>
      </w:hyperlink>
    </w:p>
    <w:p w14:paraId="3CF07481" w14:textId="0EDDCF3C" w:rsidR="002612D8" w:rsidRPr="0017500A" w:rsidRDefault="00737A7D" w:rsidP="0017500A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g</w:t>
      </w:r>
      <w:proofErr w:type="gramEnd"/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</w:instrText>
      </w:r>
      <w:r w:rsidRPr="00737A7D">
        <w:rPr>
          <w:sz w:val="20"/>
          <w:szCs w:val="20"/>
        </w:rPr>
        <w:instrText>https://www.gov.uk/government/statistics/english-indices-of-deprivation-2019</w:instrText>
      </w:r>
      <w:r>
        <w:rPr>
          <w:sz w:val="20"/>
          <w:szCs w:val="20"/>
        </w:rPr>
        <w:instrText xml:space="preserve">" </w:instrText>
      </w:r>
      <w:r>
        <w:rPr>
          <w:sz w:val="20"/>
          <w:szCs w:val="20"/>
        </w:rPr>
        <w:fldChar w:fldCharType="separate"/>
      </w:r>
      <w:r w:rsidRPr="00344A8F">
        <w:rPr>
          <w:rStyle w:val="Hyperlink"/>
          <w:sz w:val="20"/>
          <w:szCs w:val="20"/>
        </w:rPr>
        <w:t>https://www.gov.uk/government/statistics/english-indices-of-deprivation-2019</w:t>
      </w:r>
      <w:r>
        <w:rPr>
          <w:sz w:val="20"/>
          <w:szCs w:val="20"/>
        </w:rPr>
        <w:fldChar w:fldCharType="end"/>
      </w:r>
    </w:p>
    <w:p w14:paraId="7CAC0D23" w14:textId="7BEA42CB" w:rsidR="002612D8" w:rsidRPr="0017500A" w:rsidRDefault="00737A7D" w:rsidP="0017500A">
      <w:pPr>
        <w:spacing w:after="0" w:line="240" w:lineRule="auto"/>
        <w:rPr>
          <w:sz w:val="20"/>
          <w:szCs w:val="20"/>
          <w:vertAlign w:val="superscript"/>
        </w:rPr>
      </w:pPr>
      <w:proofErr w:type="gramStart"/>
      <w:r>
        <w:rPr>
          <w:sz w:val="20"/>
          <w:szCs w:val="20"/>
          <w:vertAlign w:val="superscript"/>
        </w:rPr>
        <w:t>h</w:t>
      </w:r>
      <w:proofErr w:type="gramEnd"/>
      <w:r>
        <w:fldChar w:fldCharType="begin"/>
      </w:r>
      <w:r>
        <w:instrText xml:space="preserve"> HYPERLINK "https://uk-air.defra.gov.uk/data/pcm-data" \l "population_weighted_annual_mean_pm25_data" </w:instrText>
      </w:r>
      <w:r>
        <w:fldChar w:fldCharType="separate"/>
      </w:r>
      <w:r w:rsidR="0017500A" w:rsidRPr="0017500A">
        <w:rPr>
          <w:rStyle w:val="Hyperlink"/>
          <w:sz w:val="20"/>
          <w:szCs w:val="20"/>
        </w:rPr>
        <w:t>https://uk-air.defra.gov.uk/data/pcm-data#population_weighted_annual_mean_pm25_data</w:t>
      </w:r>
      <w:r>
        <w:rPr>
          <w:rStyle w:val="Hyperlink"/>
          <w:sz w:val="20"/>
          <w:szCs w:val="20"/>
        </w:rPr>
        <w:fldChar w:fldCharType="end"/>
      </w:r>
    </w:p>
    <w:p w14:paraId="4A4215B3" w14:textId="77777777" w:rsidR="002612D8" w:rsidRDefault="002612D8" w:rsidP="00443AA1">
      <w:pPr>
        <w:spacing w:after="0" w:line="240" w:lineRule="auto"/>
        <w:rPr>
          <w:sz w:val="20"/>
          <w:szCs w:val="20"/>
          <w:vertAlign w:val="superscript"/>
        </w:rPr>
      </w:pPr>
    </w:p>
    <w:p w14:paraId="7AE01B91" w14:textId="4F7E4393" w:rsidR="00E105ED" w:rsidRDefault="00E105ED"/>
    <w:p w14:paraId="43654CD3" w14:textId="6A140BE0" w:rsidR="00443AA1" w:rsidRDefault="00443AA1" w:rsidP="00443AA1">
      <w:r w:rsidRPr="005059FD">
        <w:rPr>
          <w:b/>
        </w:rPr>
        <w:t>Table 2</w:t>
      </w:r>
      <w:r w:rsidR="005059FD">
        <w:rPr>
          <w:b/>
        </w:rPr>
        <w:t>.</w:t>
      </w:r>
      <w:r w:rsidR="00737A7D">
        <w:t xml:space="preserve"> </w:t>
      </w:r>
      <w:proofErr w:type="gramStart"/>
      <w:r w:rsidR="00737A7D">
        <w:t>univariate</w:t>
      </w:r>
      <w:proofErr w:type="gramEnd"/>
      <w:r w:rsidR="00737A7D">
        <w:t xml:space="preserve"> and m</w:t>
      </w:r>
      <w:r>
        <w:t xml:space="preserve">ultivariate linear regression models for </w:t>
      </w:r>
      <w:r w:rsidR="006F38E8">
        <w:t xml:space="preserve">mortality rates of deaths involving </w:t>
      </w:r>
      <w:r>
        <w:t xml:space="preserve">Covid-19 </w:t>
      </w:r>
      <w:r w:rsidR="006F38E8">
        <w:t>(per 100,000)</w:t>
      </w:r>
      <w:r>
        <w:t xml:space="preserve"> by Local Authority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1605"/>
        <w:gridCol w:w="1605"/>
        <w:gridCol w:w="1919"/>
        <w:gridCol w:w="1763"/>
      </w:tblGrid>
      <w:tr w:rsidR="00443AA1" w14:paraId="37BD7412" w14:textId="77777777" w:rsidTr="00737A7D">
        <w:tc>
          <w:tcPr>
            <w:tcW w:w="2124" w:type="dxa"/>
            <w:tcBorders>
              <w:top w:val="single" w:sz="8" w:space="0" w:color="auto"/>
            </w:tcBorders>
          </w:tcPr>
          <w:p w14:paraId="20410F53" w14:textId="77777777" w:rsidR="00443AA1" w:rsidRPr="009F66A1" w:rsidRDefault="00443AA1" w:rsidP="00206198">
            <w:pPr>
              <w:rPr>
                <w:b/>
              </w:rPr>
            </w:pPr>
          </w:p>
        </w:tc>
        <w:tc>
          <w:tcPr>
            <w:tcW w:w="3210" w:type="dxa"/>
            <w:gridSpan w:val="2"/>
            <w:tcBorders>
              <w:top w:val="single" w:sz="8" w:space="0" w:color="auto"/>
            </w:tcBorders>
          </w:tcPr>
          <w:p w14:paraId="7AF5A05E" w14:textId="77777777" w:rsidR="00443AA1" w:rsidRPr="009F66A1" w:rsidRDefault="00443AA1" w:rsidP="00206198">
            <w:pPr>
              <w:rPr>
                <w:b/>
              </w:rPr>
            </w:pPr>
            <w:r>
              <w:rPr>
                <w:b/>
              </w:rPr>
              <w:t>Univariate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</w:tcBorders>
          </w:tcPr>
          <w:p w14:paraId="3C161F59" w14:textId="77777777" w:rsidR="00443AA1" w:rsidRPr="009F66A1" w:rsidRDefault="00443AA1" w:rsidP="00206198">
            <w:pPr>
              <w:rPr>
                <w:b/>
              </w:rPr>
            </w:pPr>
            <w:r>
              <w:rPr>
                <w:b/>
              </w:rPr>
              <w:t>Multivariate</w:t>
            </w:r>
          </w:p>
        </w:tc>
      </w:tr>
      <w:tr w:rsidR="00443AA1" w14:paraId="274EC37E" w14:textId="77777777" w:rsidTr="00737A7D">
        <w:tc>
          <w:tcPr>
            <w:tcW w:w="2124" w:type="dxa"/>
            <w:tcBorders>
              <w:bottom w:val="single" w:sz="8" w:space="0" w:color="auto"/>
            </w:tcBorders>
          </w:tcPr>
          <w:p w14:paraId="7A1AAF1A" w14:textId="77777777" w:rsidR="00443AA1" w:rsidRPr="009F66A1" w:rsidRDefault="00443AA1" w:rsidP="00206198">
            <w:pPr>
              <w:rPr>
                <w:b/>
              </w:rPr>
            </w:pPr>
            <w:r>
              <w:rPr>
                <w:b/>
              </w:rPr>
              <w:t xml:space="preserve">Explanatory </w:t>
            </w:r>
            <w:r w:rsidRPr="009F66A1">
              <w:rPr>
                <w:b/>
              </w:rPr>
              <w:t>Variable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14:paraId="6CBC6D1B" w14:textId="77777777" w:rsidR="00443AA1" w:rsidRPr="009F66A1" w:rsidRDefault="00443AA1" w:rsidP="00206198">
            <w:pPr>
              <w:rPr>
                <w:b/>
              </w:rPr>
            </w:pPr>
            <w:r w:rsidRPr="009F66A1">
              <w:rPr>
                <w:b/>
              </w:rPr>
              <w:t>Coefficient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14:paraId="13B29DF8" w14:textId="77777777" w:rsidR="00443AA1" w:rsidRPr="009F66A1" w:rsidRDefault="00443AA1" w:rsidP="00206198">
            <w:pPr>
              <w:rPr>
                <w:b/>
              </w:rPr>
            </w:pPr>
            <w:r w:rsidRPr="009F66A1">
              <w:rPr>
                <w:b/>
              </w:rPr>
              <w:t>p-value</w:t>
            </w:r>
          </w:p>
        </w:tc>
        <w:tc>
          <w:tcPr>
            <w:tcW w:w="1919" w:type="dxa"/>
            <w:tcBorders>
              <w:bottom w:val="single" w:sz="8" w:space="0" w:color="auto"/>
            </w:tcBorders>
          </w:tcPr>
          <w:p w14:paraId="466301FE" w14:textId="77777777" w:rsidR="00443AA1" w:rsidRPr="009F66A1" w:rsidRDefault="00443AA1" w:rsidP="00206198">
            <w:pPr>
              <w:rPr>
                <w:b/>
              </w:rPr>
            </w:pPr>
            <w:r w:rsidRPr="009F66A1">
              <w:rPr>
                <w:b/>
              </w:rPr>
              <w:t>Coefficient</w:t>
            </w:r>
          </w:p>
        </w:tc>
        <w:tc>
          <w:tcPr>
            <w:tcW w:w="1763" w:type="dxa"/>
            <w:tcBorders>
              <w:bottom w:val="single" w:sz="8" w:space="0" w:color="auto"/>
            </w:tcBorders>
          </w:tcPr>
          <w:p w14:paraId="5F505160" w14:textId="77777777" w:rsidR="00443AA1" w:rsidRPr="009F66A1" w:rsidRDefault="00443AA1" w:rsidP="00206198">
            <w:pPr>
              <w:rPr>
                <w:b/>
              </w:rPr>
            </w:pPr>
            <w:r w:rsidRPr="009F66A1">
              <w:rPr>
                <w:b/>
              </w:rPr>
              <w:t>p-value</w:t>
            </w:r>
          </w:p>
        </w:tc>
      </w:tr>
      <w:tr w:rsidR="00443AA1" w14:paraId="505E601F" w14:textId="77777777" w:rsidTr="00737A7D">
        <w:tc>
          <w:tcPr>
            <w:tcW w:w="2124" w:type="dxa"/>
            <w:tcBorders>
              <w:top w:val="single" w:sz="8" w:space="0" w:color="auto"/>
            </w:tcBorders>
          </w:tcPr>
          <w:p w14:paraId="13AE76AB" w14:textId="77777777" w:rsidR="00443AA1" w:rsidRDefault="00443AA1" w:rsidP="00206198">
            <w:r>
              <w:t>Percentage white</w:t>
            </w:r>
          </w:p>
        </w:tc>
        <w:tc>
          <w:tcPr>
            <w:tcW w:w="1605" w:type="dxa"/>
            <w:tcBorders>
              <w:top w:val="single" w:sz="8" w:space="0" w:color="auto"/>
            </w:tcBorders>
          </w:tcPr>
          <w:p w14:paraId="270B32F3" w14:textId="77777777" w:rsidR="00443AA1" w:rsidRDefault="00443AA1" w:rsidP="00206198">
            <w:r>
              <w:t>-1.548</w:t>
            </w:r>
          </w:p>
        </w:tc>
        <w:tc>
          <w:tcPr>
            <w:tcW w:w="1605" w:type="dxa"/>
            <w:tcBorders>
              <w:top w:val="single" w:sz="8" w:space="0" w:color="auto"/>
            </w:tcBorders>
          </w:tcPr>
          <w:p w14:paraId="73AE49EC" w14:textId="77777777" w:rsidR="00443AA1" w:rsidRDefault="00443AA1" w:rsidP="00206198">
            <w:r>
              <w:t>0.000</w:t>
            </w:r>
          </w:p>
        </w:tc>
        <w:tc>
          <w:tcPr>
            <w:tcW w:w="1919" w:type="dxa"/>
            <w:tcBorders>
              <w:top w:val="single" w:sz="8" w:space="0" w:color="auto"/>
            </w:tcBorders>
          </w:tcPr>
          <w:p w14:paraId="0056E50A" w14:textId="77777777" w:rsidR="00443AA1" w:rsidRDefault="00443AA1" w:rsidP="00206198">
            <w:r>
              <w:t>-1.172</w:t>
            </w:r>
          </w:p>
        </w:tc>
        <w:tc>
          <w:tcPr>
            <w:tcW w:w="1763" w:type="dxa"/>
            <w:tcBorders>
              <w:top w:val="single" w:sz="8" w:space="0" w:color="auto"/>
            </w:tcBorders>
          </w:tcPr>
          <w:p w14:paraId="209D5F51" w14:textId="77777777" w:rsidR="00443AA1" w:rsidRDefault="00443AA1" w:rsidP="00206198">
            <w:r>
              <w:t>0.000</w:t>
            </w:r>
          </w:p>
        </w:tc>
      </w:tr>
      <w:tr w:rsidR="00443AA1" w14:paraId="19CB648E" w14:textId="77777777" w:rsidTr="00737A7D">
        <w:tc>
          <w:tcPr>
            <w:tcW w:w="2124" w:type="dxa"/>
          </w:tcPr>
          <w:p w14:paraId="4F9A683E" w14:textId="77777777" w:rsidR="00443AA1" w:rsidRDefault="00443AA1" w:rsidP="00206198">
            <w:r>
              <w:t>Percentage overweight/obese</w:t>
            </w:r>
          </w:p>
        </w:tc>
        <w:tc>
          <w:tcPr>
            <w:tcW w:w="1605" w:type="dxa"/>
          </w:tcPr>
          <w:p w14:paraId="719DEA56" w14:textId="77777777" w:rsidR="00443AA1" w:rsidRDefault="00443AA1" w:rsidP="00206198">
            <w:r>
              <w:t>-0.1662</w:t>
            </w:r>
          </w:p>
        </w:tc>
        <w:tc>
          <w:tcPr>
            <w:tcW w:w="1605" w:type="dxa"/>
          </w:tcPr>
          <w:p w14:paraId="5233E0F3" w14:textId="77777777" w:rsidR="00443AA1" w:rsidRDefault="00443AA1" w:rsidP="00206198">
            <w:r>
              <w:t>0.000</w:t>
            </w:r>
          </w:p>
        </w:tc>
        <w:tc>
          <w:tcPr>
            <w:tcW w:w="1919" w:type="dxa"/>
          </w:tcPr>
          <w:p w14:paraId="2B499FEC" w14:textId="77777777" w:rsidR="00443AA1" w:rsidRDefault="00443AA1" w:rsidP="00206198">
            <w:r>
              <w:t>0.739</w:t>
            </w:r>
          </w:p>
        </w:tc>
        <w:tc>
          <w:tcPr>
            <w:tcW w:w="1763" w:type="dxa"/>
          </w:tcPr>
          <w:p w14:paraId="4288EBD0" w14:textId="77777777" w:rsidR="00443AA1" w:rsidRDefault="00443AA1" w:rsidP="00206198">
            <w:r>
              <w:t>0.003</w:t>
            </w:r>
          </w:p>
        </w:tc>
      </w:tr>
      <w:tr w:rsidR="00443AA1" w14:paraId="25F0069D" w14:textId="77777777" w:rsidTr="00737A7D">
        <w:tc>
          <w:tcPr>
            <w:tcW w:w="2124" w:type="dxa"/>
          </w:tcPr>
          <w:p w14:paraId="2ADD54D5" w14:textId="77777777" w:rsidR="00443AA1" w:rsidRDefault="00443AA1" w:rsidP="00206198">
            <w:r>
              <w:t>Population density</w:t>
            </w:r>
          </w:p>
        </w:tc>
        <w:tc>
          <w:tcPr>
            <w:tcW w:w="1605" w:type="dxa"/>
          </w:tcPr>
          <w:p w14:paraId="080C4088" w14:textId="77777777" w:rsidR="00443AA1" w:rsidRDefault="00443AA1" w:rsidP="00206198">
            <w:r>
              <w:t>0.007</w:t>
            </w:r>
          </w:p>
        </w:tc>
        <w:tc>
          <w:tcPr>
            <w:tcW w:w="1605" w:type="dxa"/>
          </w:tcPr>
          <w:p w14:paraId="59144A04" w14:textId="77777777" w:rsidR="00443AA1" w:rsidRDefault="00443AA1" w:rsidP="00206198">
            <w:r>
              <w:t>0.000</w:t>
            </w:r>
          </w:p>
        </w:tc>
        <w:tc>
          <w:tcPr>
            <w:tcW w:w="1919" w:type="dxa"/>
          </w:tcPr>
          <w:p w14:paraId="7A686686" w14:textId="77777777" w:rsidR="00443AA1" w:rsidRDefault="00443AA1" w:rsidP="00206198">
            <w:r>
              <w:t>0.003</w:t>
            </w:r>
          </w:p>
        </w:tc>
        <w:tc>
          <w:tcPr>
            <w:tcW w:w="1763" w:type="dxa"/>
          </w:tcPr>
          <w:p w14:paraId="1232122D" w14:textId="77777777" w:rsidR="00443AA1" w:rsidRDefault="00443AA1" w:rsidP="00206198">
            <w:r>
              <w:t>0.000</w:t>
            </w:r>
          </w:p>
        </w:tc>
      </w:tr>
      <w:tr w:rsidR="00443AA1" w14:paraId="11292619" w14:textId="77777777" w:rsidTr="00737A7D">
        <w:tc>
          <w:tcPr>
            <w:tcW w:w="2124" w:type="dxa"/>
          </w:tcPr>
          <w:p w14:paraId="043A8CB5" w14:textId="77777777" w:rsidR="00443AA1" w:rsidRDefault="00443AA1" w:rsidP="00206198">
            <w:r>
              <w:t>Median IMD score</w:t>
            </w:r>
          </w:p>
        </w:tc>
        <w:tc>
          <w:tcPr>
            <w:tcW w:w="1605" w:type="dxa"/>
          </w:tcPr>
          <w:p w14:paraId="55349CCC" w14:textId="77777777" w:rsidR="00443AA1" w:rsidRDefault="00443AA1" w:rsidP="00206198">
            <w:r>
              <w:t>0.885</w:t>
            </w:r>
          </w:p>
        </w:tc>
        <w:tc>
          <w:tcPr>
            <w:tcW w:w="1605" w:type="dxa"/>
          </w:tcPr>
          <w:p w14:paraId="5E701BEB" w14:textId="77777777" w:rsidR="00443AA1" w:rsidRDefault="00443AA1" w:rsidP="00206198">
            <w:r>
              <w:t>0.000</w:t>
            </w:r>
          </w:p>
        </w:tc>
        <w:tc>
          <w:tcPr>
            <w:tcW w:w="1919" w:type="dxa"/>
          </w:tcPr>
          <w:p w14:paraId="0DEBF019" w14:textId="77777777" w:rsidR="00443AA1" w:rsidRDefault="00443AA1" w:rsidP="00206198">
            <w:r>
              <w:t>-0.139</w:t>
            </w:r>
          </w:p>
        </w:tc>
        <w:tc>
          <w:tcPr>
            <w:tcW w:w="1763" w:type="dxa"/>
          </w:tcPr>
          <w:p w14:paraId="2F66ADE0" w14:textId="77777777" w:rsidR="00443AA1" w:rsidRDefault="00443AA1" w:rsidP="00206198">
            <w:r>
              <w:t>0.343</w:t>
            </w:r>
          </w:p>
        </w:tc>
      </w:tr>
      <w:tr w:rsidR="00443AA1" w14:paraId="6190F3BA" w14:textId="77777777" w:rsidTr="00737A7D">
        <w:tc>
          <w:tcPr>
            <w:tcW w:w="2124" w:type="dxa"/>
            <w:tcBorders>
              <w:bottom w:val="single" w:sz="8" w:space="0" w:color="auto"/>
            </w:tcBorders>
          </w:tcPr>
          <w:p w14:paraId="72A737A3" w14:textId="77777777" w:rsidR="00443AA1" w:rsidRDefault="00443AA1" w:rsidP="00206198">
            <w:r>
              <w:t>PM2.5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14:paraId="140E6F04" w14:textId="77777777" w:rsidR="00443AA1" w:rsidRDefault="00443AA1" w:rsidP="00206198">
            <w:r>
              <w:t>7.707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14:paraId="08C5973E" w14:textId="77777777" w:rsidR="00443AA1" w:rsidRDefault="00443AA1" w:rsidP="00206198">
            <w:r>
              <w:t>0.000</w:t>
            </w:r>
          </w:p>
        </w:tc>
        <w:tc>
          <w:tcPr>
            <w:tcW w:w="1919" w:type="dxa"/>
            <w:tcBorders>
              <w:bottom w:val="single" w:sz="8" w:space="0" w:color="auto"/>
            </w:tcBorders>
          </w:tcPr>
          <w:p w14:paraId="1F47CE23" w14:textId="77777777" w:rsidR="00443AA1" w:rsidRDefault="00443AA1" w:rsidP="00206198">
            <w:r>
              <w:t>0.047</w:t>
            </w:r>
          </w:p>
        </w:tc>
        <w:tc>
          <w:tcPr>
            <w:tcW w:w="1763" w:type="dxa"/>
            <w:tcBorders>
              <w:bottom w:val="single" w:sz="8" w:space="0" w:color="auto"/>
            </w:tcBorders>
          </w:tcPr>
          <w:p w14:paraId="20BBD96D" w14:textId="77777777" w:rsidR="00443AA1" w:rsidRDefault="00443AA1" w:rsidP="00206198">
            <w:r>
              <w:t>0.946</w:t>
            </w:r>
          </w:p>
        </w:tc>
      </w:tr>
    </w:tbl>
    <w:p w14:paraId="39F33C83" w14:textId="77777777" w:rsidR="00443AA1" w:rsidRDefault="00443AA1"/>
    <w:p w14:paraId="3BC3FF7D" w14:textId="438123A2" w:rsidR="00394062" w:rsidRPr="005D4391" w:rsidRDefault="00394062">
      <w:pPr>
        <w:rPr>
          <w:b/>
        </w:rPr>
      </w:pPr>
      <w:r>
        <w:br w:type="page"/>
      </w:r>
    </w:p>
    <w:p w14:paraId="27DAF2A1" w14:textId="2B908CA7" w:rsidR="00245519" w:rsidRPr="00394062" w:rsidRDefault="00245519">
      <w:pPr>
        <w:rPr>
          <w:b/>
        </w:rPr>
      </w:pPr>
      <w:bookmarkStart w:id="0" w:name="_GoBack"/>
      <w:bookmarkEnd w:id="0"/>
      <w:r w:rsidRPr="00394062">
        <w:rPr>
          <w:b/>
        </w:rPr>
        <w:lastRenderedPageBreak/>
        <w:t>References</w:t>
      </w:r>
    </w:p>
    <w:p w14:paraId="5E3FF7C8" w14:textId="4A3FF75C" w:rsidR="00A10B16" w:rsidRDefault="00A10B16" w:rsidP="002455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10B16">
        <w:t xml:space="preserve">Finer N, Garnett SP, </w:t>
      </w:r>
      <w:proofErr w:type="spellStart"/>
      <w:r w:rsidRPr="00A10B16">
        <w:t>Bruun</w:t>
      </w:r>
      <w:proofErr w:type="spellEnd"/>
      <w:r w:rsidRPr="00A10B16">
        <w:t xml:space="preserve"> JM. COVID‐19 and obesity. </w:t>
      </w:r>
      <w:proofErr w:type="spellStart"/>
      <w:r w:rsidRPr="00E70846">
        <w:rPr>
          <w:i/>
        </w:rPr>
        <w:t>Clin</w:t>
      </w:r>
      <w:proofErr w:type="spellEnd"/>
      <w:r w:rsidRPr="00E70846">
        <w:rPr>
          <w:i/>
        </w:rPr>
        <w:t xml:space="preserve"> </w:t>
      </w:r>
      <w:proofErr w:type="spellStart"/>
      <w:r w:rsidRPr="00E70846">
        <w:rPr>
          <w:i/>
        </w:rPr>
        <w:t>Obes</w:t>
      </w:r>
      <w:proofErr w:type="spellEnd"/>
      <w:r w:rsidRPr="00A10B16">
        <w:t xml:space="preserve">. </w:t>
      </w:r>
      <w:r w:rsidR="00085BBD">
        <w:t xml:space="preserve">2020; </w:t>
      </w:r>
      <w:r w:rsidRPr="00A10B16">
        <w:t>doi:</w:t>
      </w:r>
      <w:hyperlink r:id="rId13" w:history="1">
        <w:r w:rsidRPr="00A10B16">
          <w:t>10.1111/cob.12365</w:t>
        </w:r>
      </w:hyperlink>
    </w:p>
    <w:p w14:paraId="42A1D4BB" w14:textId="5202362B" w:rsidR="002C6C83" w:rsidRDefault="002C6C83" w:rsidP="002455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 w:rsidRPr="00A10B16">
        <w:t>Kamlesh</w:t>
      </w:r>
      <w:proofErr w:type="spellEnd"/>
      <w:r w:rsidRPr="00A10B16">
        <w:t xml:space="preserve"> K, Kumar SA, Manish P, </w:t>
      </w:r>
      <w:proofErr w:type="spellStart"/>
      <w:r w:rsidRPr="00A10B16">
        <w:t>Wasim</w:t>
      </w:r>
      <w:proofErr w:type="spellEnd"/>
      <w:r w:rsidRPr="00A10B16">
        <w:t xml:space="preserve"> H. Is ethnicity linked to incidence or outcomes of covid-19? </w:t>
      </w:r>
      <w:r w:rsidRPr="00085BBD">
        <w:rPr>
          <w:i/>
        </w:rPr>
        <w:t>BMJ</w:t>
      </w:r>
      <w:r w:rsidR="00085BBD">
        <w:rPr>
          <w:i/>
        </w:rPr>
        <w:t xml:space="preserve"> </w:t>
      </w:r>
      <w:r w:rsidR="00085BBD" w:rsidRPr="00085BBD">
        <w:t>2020</w:t>
      </w:r>
      <w:r w:rsidR="00085BBD">
        <w:rPr>
          <w:i/>
        </w:rPr>
        <w:t>;</w:t>
      </w:r>
      <w:r w:rsidRPr="00A10B16">
        <w:t> 369</w:t>
      </w:r>
      <w:r w:rsidR="00085BBD">
        <w:t>;</w:t>
      </w:r>
      <w:r w:rsidR="00A10B16">
        <w:t xml:space="preserve"> </w:t>
      </w:r>
      <w:r w:rsidRPr="00A10B16">
        <w:t>m1548</w:t>
      </w:r>
    </w:p>
    <w:p w14:paraId="226AF49C" w14:textId="3D652A6A" w:rsidR="001C3BEF" w:rsidRDefault="001C3BEF" w:rsidP="002A3AD1">
      <w:pPr>
        <w:pStyle w:val="CommentText"/>
        <w:numPr>
          <w:ilvl w:val="0"/>
          <w:numId w:val="1"/>
        </w:numPr>
        <w:autoSpaceDE w:val="0"/>
        <w:autoSpaceDN w:val="0"/>
        <w:adjustRightInd w:val="0"/>
        <w:spacing w:after="0"/>
      </w:pPr>
      <w:r>
        <w:t xml:space="preserve">Platt L, Warwick R. Are some ethnic groups more vulnerable to Covid-19 than other? The </w:t>
      </w:r>
      <w:proofErr w:type="spellStart"/>
      <w:r>
        <w:t>Insitute</w:t>
      </w:r>
      <w:proofErr w:type="spellEnd"/>
      <w:r>
        <w:t xml:space="preserve"> for Fiscal Studies, May 2020</w:t>
      </w:r>
    </w:p>
    <w:p w14:paraId="180097F3" w14:textId="70F281D0" w:rsidR="00274A0D" w:rsidRPr="00274A0D" w:rsidRDefault="000E21F3" w:rsidP="002A3AD1">
      <w:pPr>
        <w:pStyle w:val="CommentText"/>
        <w:numPr>
          <w:ilvl w:val="0"/>
          <w:numId w:val="1"/>
        </w:numPr>
        <w:autoSpaceDE w:val="0"/>
        <w:autoSpaceDN w:val="0"/>
        <w:adjustRightInd w:val="0"/>
        <w:spacing w:after="0"/>
      </w:pPr>
      <w:hyperlink r:id="rId14" w:history="1">
        <w:proofErr w:type="spellStart"/>
        <w:r w:rsidR="00274A0D" w:rsidRPr="00274A0D">
          <w:t>Khairat</w:t>
        </w:r>
        <w:proofErr w:type="spellEnd"/>
        <w:r w:rsidR="00274A0D" w:rsidRPr="00274A0D">
          <w:t xml:space="preserve"> S</w:t>
        </w:r>
      </w:hyperlink>
      <w:r w:rsidR="00274A0D" w:rsidRPr="00274A0D">
        <w:t>, </w:t>
      </w:r>
      <w:proofErr w:type="spellStart"/>
      <w:r w:rsidR="00737A7D">
        <w:fldChar w:fldCharType="begin"/>
      </w:r>
      <w:r w:rsidR="00737A7D">
        <w:instrText xml:space="preserve"> HYPERLINK "https://www.ncbi.nlm.nih.gov/pubmed/?term=Meng%20C%5BAuthor%5D&amp;cauthor=true&amp;cauthor_uid=32252023" </w:instrText>
      </w:r>
      <w:r w:rsidR="00737A7D">
        <w:fldChar w:fldCharType="separate"/>
      </w:r>
      <w:r w:rsidR="00274A0D" w:rsidRPr="00274A0D">
        <w:t>Meng</w:t>
      </w:r>
      <w:proofErr w:type="spellEnd"/>
      <w:r w:rsidR="00274A0D" w:rsidRPr="00274A0D">
        <w:t xml:space="preserve"> C</w:t>
      </w:r>
      <w:r w:rsidR="00737A7D">
        <w:fldChar w:fldCharType="end"/>
      </w:r>
      <w:r w:rsidR="00274A0D" w:rsidRPr="00274A0D">
        <w:t>, </w:t>
      </w:r>
      <w:hyperlink r:id="rId15" w:history="1">
        <w:r w:rsidR="00274A0D" w:rsidRPr="00274A0D">
          <w:t>Xu Y</w:t>
        </w:r>
      </w:hyperlink>
      <w:r w:rsidR="00274A0D" w:rsidRPr="00274A0D">
        <w:t>, </w:t>
      </w:r>
      <w:hyperlink r:id="rId16" w:history="1">
        <w:r w:rsidR="00274A0D" w:rsidRPr="00274A0D">
          <w:t>Edson B</w:t>
        </w:r>
      </w:hyperlink>
      <w:r w:rsidR="00274A0D" w:rsidRPr="00274A0D">
        <w:t>, </w:t>
      </w:r>
      <w:proofErr w:type="spellStart"/>
      <w:r w:rsidR="00737A7D">
        <w:fldChar w:fldCharType="begin"/>
      </w:r>
      <w:r w:rsidR="00737A7D">
        <w:instrText xml:space="preserve"> HYPERLINK "https://www.ncbi.nlm.nih.gov/pubmed/?term=Gianforcaro%20R%5BAuthor%5D&amp;cauthor=true&amp;cauthor_uid=32252023" </w:instrText>
      </w:r>
      <w:r w:rsidR="00737A7D">
        <w:fldChar w:fldCharType="separate"/>
      </w:r>
      <w:r w:rsidR="00274A0D" w:rsidRPr="00274A0D">
        <w:t>Gianforcaro</w:t>
      </w:r>
      <w:proofErr w:type="spellEnd"/>
      <w:r w:rsidR="00274A0D" w:rsidRPr="00274A0D">
        <w:t xml:space="preserve"> R</w:t>
      </w:r>
      <w:r w:rsidR="00737A7D">
        <w:fldChar w:fldCharType="end"/>
      </w:r>
      <w:r w:rsidR="00274A0D">
        <w:t xml:space="preserve">. </w:t>
      </w:r>
      <w:r w:rsidR="00274A0D" w:rsidRPr="00274A0D">
        <w:t>Interpreting COVID-19 and Virtual Care Trends: Cohort Study</w:t>
      </w:r>
      <w:r w:rsidR="00274A0D">
        <w:t>.</w:t>
      </w:r>
      <w:r w:rsidR="00274A0D" w:rsidRPr="00274A0D">
        <w:t xml:space="preserve"> </w:t>
      </w:r>
      <w:hyperlink r:id="rId17" w:tooltip="JMIR public health and surveillance." w:history="1">
        <w:r w:rsidR="00274A0D" w:rsidRPr="001C3BEF">
          <w:rPr>
            <w:i/>
          </w:rPr>
          <w:t xml:space="preserve">JMIR Public Health </w:t>
        </w:r>
        <w:proofErr w:type="spellStart"/>
        <w:r w:rsidR="00274A0D" w:rsidRPr="001C3BEF">
          <w:rPr>
            <w:i/>
          </w:rPr>
          <w:t>Surveill</w:t>
        </w:r>
        <w:proofErr w:type="spellEnd"/>
        <w:r w:rsidR="00274A0D" w:rsidRPr="00274A0D">
          <w:t>.</w:t>
        </w:r>
      </w:hyperlink>
      <w:r w:rsidR="00274A0D">
        <w:t>,</w:t>
      </w:r>
      <w:r w:rsidR="00274A0D" w:rsidRPr="00274A0D">
        <w:t> 2020</w:t>
      </w:r>
      <w:r w:rsidR="00236209">
        <w:t>;</w:t>
      </w:r>
      <w:r w:rsidR="00274A0D" w:rsidRPr="00274A0D">
        <w:t xml:space="preserve"> 6(2):e18811. </w:t>
      </w:r>
      <w:r w:rsidR="00236209">
        <w:t>DOI</w:t>
      </w:r>
      <w:r w:rsidR="00274A0D" w:rsidRPr="00274A0D">
        <w:t>: 10.2196/18811.</w:t>
      </w:r>
    </w:p>
    <w:p w14:paraId="77B665F6" w14:textId="3725B0C1" w:rsidR="00085BBD" w:rsidRDefault="00085BBD" w:rsidP="002455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Sasidharan</w:t>
      </w:r>
      <w:proofErr w:type="spellEnd"/>
      <w:r>
        <w:t xml:space="preserve"> M, Singh A, </w:t>
      </w:r>
      <w:proofErr w:type="spellStart"/>
      <w:r>
        <w:t>Torbaghan</w:t>
      </w:r>
      <w:proofErr w:type="spellEnd"/>
      <w:r>
        <w:t xml:space="preserve"> ME, </w:t>
      </w:r>
      <w:proofErr w:type="spellStart"/>
      <w:r>
        <w:t>Parlikad</w:t>
      </w:r>
      <w:proofErr w:type="spellEnd"/>
      <w:r>
        <w:t xml:space="preserve"> AJ. A vulnerability-based approach to human-mobility reduction for countering COVID-19 transmission in London while considering local air quality, </w:t>
      </w:r>
      <w:proofErr w:type="spellStart"/>
      <w:r w:rsidRPr="00085BBD">
        <w:rPr>
          <w:i/>
        </w:rPr>
        <w:t>MedRxiv</w:t>
      </w:r>
      <w:proofErr w:type="spellEnd"/>
      <w:r>
        <w:rPr>
          <w:i/>
        </w:rPr>
        <w:t xml:space="preserve"> </w:t>
      </w:r>
      <w:r>
        <w:t xml:space="preserve">2020; DOI: </w:t>
      </w:r>
      <w:hyperlink r:id="rId18" w:tgtFrame="_blank" w:history="1">
        <w:r w:rsidRPr="00085BBD">
          <w:rPr>
            <w:rStyle w:val="Hyperlink"/>
            <w:rFonts w:ascii="Gill Sans MT" w:hAnsi="Gill Sans MT"/>
            <w:color w:val="808080"/>
            <w:sz w:val="21"/>
            <w:szCs w:val="21"/>
            <w:bdr w:val="none" w:sz="0" w:space="0" w:color="auto" w:frame="1"/>
            <w:shd w:val="clear" w:color="auto" w:fill="FFFFFF"/>
          </w:rPr>
          <w:t>https://doi.org/10.1101/2020.04.13.20060798</w:t>
        </w:r>
      </w:hyperlink>
      <w:r>
        <w:t xml:space="preserve">  </w:t>
      </w:r>
    </w:p>
    <w:p w14:paraId="6E637E9C" w14:textId="4619763B" w:rsidR="0023458A" w:rsidRDefault="0023458A" w:rsidP="0023458A">
      <w:pPr>
        <w:pStyle w:val="ListParagraph"/>
        <w:numPr>
          <w:ilvl w:val="0"/>
          <w:numId w:val="1"/>
        </w:numPr>
      </w:pPr>
      <w:r w:rsidRPr="001B31AA">
        <w:t xml:space="preserve">Townsend </w:t>
      </w:r>
      <w:r>
        <w:t>P,</w:t>
      </w:r>
      <w:r w:rsidRPr="001B31AA">
        <w:t xml:space="preserve"> Davidson N. Inequalities in Health: The Black Report. </w:t>
      </w:r>
      <w:proofErr w:type="spellStart"/>
      <w:r w:rsidRPr="001B31AA">
        <w:t>Harmondsworth</w:t>
      </w:r>
      <w:proofErr w:type="spellEnd"/>
      <w:r w:rsidRPr="001B31AA">
        <w:t>: Penguin</w:t>
      </w:r>
      <w:r>
        <w:t>, 1988</w:t>
      </w:r>
    </w:p>
    <w:p w14:paraId="34E09FA6" w14:textId="78CBF9A5" w:rsidR="001C3BEF" w:rsidRPr="001C3BEF" w:rsidRDefault="001C3BEF" w:rsidP="001C3BEF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1C3BEF">
        <w:rPr>
          <w:rFonts w:eastAsia="Times New Roman" w:cstheme="minorHAnsi"/>
          <w:color w:val="333333"/>
        </w:rPr>
        <w:t>Strategic Review of Health Inequalities in England post-2010. (2010). </w:t>
      </w:r>
      <w:r w:rsidRPr="001C3BEF">
        <w:rPr>
          <w:rStyle w:val="Emphasis"/>
          <w:rFonts w:eastAsia="Times New Roman" w:cstheme="minorHAnsi"/>
          <w:color w:val="333333"/>
        </w:rPr>
        <w:t>Fair society, healthier lives: The Marmot review.</w:t>
      </w:r>
      <w:r w:rsidRPr="001C3BEF">
        <w:rPr>
          <w:rFonts w:eastAsia="Times New Roman" w:cstheme="minorHAnsi"/>
          <w:color w:val="333333"/>
        </w:rPr>
        <w:t> </w:t>
      </w:r>
      <w:r>
        <w:rPr>
          <w:rFonts w:eastAsia="Times New Roman" w:cstheme="minorHAnsi"/>
          <w:color w:val="333333"/>
        </w:rPr>
        <w:t>Available</w:t>
      </w:r>
      <w:r w:rsidRPr="001C3BEF">
        <w:rPr>
          <w:rFonts w:eastAsia="Times New Roman" w:cstheme="minorHAnsi"/>
          <w:color w:val="333333"/>
        </w:rPr>
        <w:t xml:space="preserve"> from </w:t>
      </w:r>
      <w:hyperlink r:id="rId19" w:history="1">
        <w:r w:rsidRPr="001C3BEF">
          <w:rPr>
            <w:rStyle w:val="Hyperlink"/>
            <w:rFonts w:eastAsia="Times New Roman" w:cstheme="minorHAnsi"/>
          </w:rPr>
          <w:t>http://www.instituteofhealthequity.org/resources-reports/fair-society-healthy-lives-the-marmot-review/fair-society-healthy-lives-the-marmot-review-full-report.pdf</w:t>
        </w:r>
      </w:hyperlink>
      <w:r>
        <w:rPr>
          <w:rFonts w:eastAsia="Times New Roman" w:cstheme="minorHAnsi"/>
          <w:color w:val="333333"/>
        </w:rPr>
        <w:t xml:space="preserve"> (accessed 5/5/20)</w:t>
      </w:r>
    </w:p>
    <w:p w14:paraId="5A8E57DD" w14:textId="7EE219E0" w:rsidR="00085BBD" w:rsidRDefault="00085BBD" w:rsidP="00085B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ONS Statistical Bulletin. </w:t>
      </w:r>
      <w:r w:rsidRPr="00245519">
        <w:t>Deaths involving COVID-19 by local area and</w:t>
      </w:r>
      <w:r>
        <w:t xml:space="preserve"> </w:t>
      </w:r>
      <w:r w:rsidRPr="00245519">
        <w:t>socioeconomic deprivation: deaths occurring</w:t>
      </w:r>
      <w:r>
        <w:t xml:space="preserve"> </w:t>
      </w:r>
      <w:r w:rsidRPr="00245519">
        <w:t>between 1 March and 17 April 2020</w:t>
      </w:r>
      <w:r>
        <w:t>. London, 2020</w:t>
      </w:r>
    </w:p>
    <w:p w14:paraId="42676CA5" w14:textId="77777777" w:rsidR="00E54485" w:rsidRDefault="001B31AA" w:rsidP="001B31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NHS Digital. </w:t>
      </w:r>
      <w:r w:rsidRPr="00350C40">
        <w:t>NHS Workforce Statistics - March 2019 (Including supplementary analysis on pay by ethnicity)</w:t>
      </w:r>
      <w:r>
        <w:t xml:space="preserve">. Available from </w:t>
      </w:r>
      <w:hyperlink r:id="rId20" w:history="1">
        <w:r>
          <w:rPr>
            <w:rStyle w:val="Hyperlink"/>
          </w:rPr>
          <w:t>https://digital.nhs.uk/data-and-information/publications/statistical/nhs-workforce-statistics/nhs-workforce-statistics---march-2019-provisional-statistics</w:t>
        </w:r>
      </w:hyperlink>
      <w:r>
        <w:t xml:space="preserve"> (accessed 5/5/20)</w:t>
      </w:r>
    </w:p>
    <w:p w14:paraId="586C9205" w14:textId="60C50773" w:rsidR="001B31AA" w:rsidRPr="00350C40" w:rsidRDefault="00E54485" w:rsidP="008B23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Fecht</w:t>
      </w:r>
      <w:proofErr w:type="spellEnd"/>
      <w:r>
        <w:t xml:space="preserve"> D, Fischer P, Fortunato L, Hoek G, de </w:t>
      </w:r>
      <w:proofErr w:type="spellStart"/>
      <w:r>
        <w:t>Hoogh</w:t>
      </w:r>
      <w:proofErr w:type="spellEnd"/>
      <w:r>
        <w:t xml:space="preserve"> K, </w:t>
      </w:r>
      <w:proofErr w:type="spellStart"/>
      <w:r>
        <w:t>Marra</w:t>
      </w:r>
      <w:proofErr w:type="spellEnd"/>
      <w:r>
        <w:t xml:space="preserve"> M, </w:t>
      </w:r>
      <w:proofErr w:type="spellStart"/>
      <w:r>
        <w:t>Kruize</w:t>
      </w:r>
      <w:proofErr w:type="spellEnd"/>
      <w:r>
        <w:t xml:space="preserve"> H, </w:t>
      </w:r>
      <w:proofErr w:type="spellStart"/>
      <w:r>
        <w:t>Vienneau</w:t>
      </w:r>
      <w:proofErr w:type="spellEnd"/>
      <w:r>
        <w:t xml:space="preserve"> D, </w:t>
      </w:r>
      <w:proofErr w:type="spellStart"/>
      <w:r>
        <w:t>Beelen</w:t>
      </w:r>
      <w:proofErr w:type="spellEnd"/>
      <w:r>
        <w:t xml:space="preserve"> R, </w:t>
      </w:r>
      <w:proofErr w:type="spellStart"/>
      <w:r>
        <w:t>Hansell</w:t>
      </w:r>
      <w:proofErr w:type="spellEnd"/>
      <w:r>
        <w:t xml:space="preserve"> A. Associations between air pollution and socioeconomic characteristics, ethnicity and age profile of neighbourhoods in England and the Netherlands. </w:t>
      </w:r>
      <w:r w:rsidRPr="00E54485">
        <w:rPr>
          <w:i/>
        </w:rPr>
        <w:t>Environmental Pollution</w:t>
      </w:r>
      <w:r>
        <w:t xml:space="preserve"> 2015; 198: 201-210</w:t>
      </w:r>
    </w:p>
    <w:p w14:paraId="3E50407F" w14:textId="2038F0C5" w:rsidR="002C6C83" w:rsidRDefault="002C6C83" w:rsidP="00F21194">
      <w:pPr>
        <w:pStyle w:val="ListParagraph"/>
        <w:autoSpaceDE w:val="0"/>
        <w:autoSpaceDN w:val="0"/>
        <w:adjustRightInd w:val="0"/>
        <w:spacing w:after="0" w:line="240" w:lineRule="auto"/>
      </w:pPr>
    </w:p>
    <w:p w14:paraId="09826C20" w14:textId="6B7ACF1B" w:rsidR="00A10B16" w:rsidRDefault="00A10B16" w:rsidP="00245519">
      <w:pPr>
        <w:autoSpaceDE w:val="0"/>
        <w:autoSpaceDN w:val="0"/>
        <w:adjustRightInd w:val="0"/>
        <w:spacing w:after="0" w:line="240" w:lineRule="auto"/>
      </w:pPr>
    </w:p>
    <w:p w14:paraId="38D7ABF1" w14:textId="77777777" w:rsidR="00F076A8" w:rsidRDefault="00F076A8" w:rsidP="00245519">
      <w:pPr>
        <w:autoSpaceDE w:val="0"/>
        <w:autoSpaceDN w:val="0"/>
        <w:adjustRightInd w:val="0"/>
        <w:spacing w:after="0" w:line="240" w:lineRule="auto"/>
      </w:pPr>
    </w:p>
    <w:p w14:paraId="43271E43" w14:textId="77777777" w:rsidR="004B3DB4" w:rsidRDefault="004B3DB4" w:rsidP="00245519">
      <w:pPr>
        <w:autoSpaceDE w:val="0"/>
        <w:autoSpaceDN w:val="0"/>
        <w:adjustRightInd w:val="0"/>
        <w:spacing w:after="0" w:line="240" w:lineRule="auto"/>
      </w:pPr>
    </w:p>
    <w:sectPr w:rsidR="004B3DB4" w:rsidSect="005F7AA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B51589" w16cid:durableId="225CFC10"/>
  <w16cid:commentId w16cid:paraId="6EA98489" w16cid:durableId="225CF4B0"/>
  <w16cid:commentId w16cid:paraId="514D068F" w16cid:durableId="225CF4B1"/>
  <w16cid:commentId w16cid:paraId="3143B101" w16cid:durableId="225CF4B2"/>
  <w16cid:commentId w16cid:paraId="0BC2C530" w16cid:durableId="225CF4B3"/>
  <w16cid:commentId w16cid:paraId="795C77FE" w16cid:durableId="225CF600"/>
  <w16cid:commentId w16cid:paraId="4B34D1A4" w16cid:durableId="225CFD27"/>
  <w16cid:commentId w16cid:paraId="41E0EC47" w16cid:durableId="225CFCAE"/>
  <w16cid:commentId w16cid:paraId="4D5B1EEB" w16cid:durableId="225CF9E2"/>
  <w16cid:commentId w16cid:paraId="57A52B69" w16cid:durableId="225CF72A"/>
  <w16cid:commentId w16cid:paraId="1AD60253" w16cid:durableId="225CFD63"/>
  <w16cid:commentId w16cid:paraId="00EBAEAF" w16cid:durableId="225CFABA"/>
  <w16cid:commentId w16cid:paraId="3CD6D84F" w16cid:durableId="225CF4B4"/>
  <w16cid:commentId w16cid:paraId="2F858C74" w16cid:durableId="225CFB49"/>
  <w16cid:commentId w16cid:paraId="31B45A13" w16cid:durableId="225CF4B5"/>
  <w16cid:commentId w16cid:paraId="03415BAB" w16cid:durableId="225CFB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769D0" w14:textId="77777777" w:rsidR="000E21F3" w:rsidRDefault="000E21F3" w:rsidP="005D4391">
      <w:pPr>
        <w:spacing w:after="0" w:line="240" w:lineRule="auto"/>
      </w:pPr>
      <w:r>
        <w:separator/>
      </w:r>
    </w:p>
  </w:endnote>
  <w:endnote w:type="continuationSeparator" w:id="0">
    <w:p w14:paraId="2B639CD9" w14:textId="77777777" w:rsidR="000E21F3" w:rsidRDefault="000E21F3" w:rsidP="005D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A766A" w14:textId="77777777" w:rsidR="000E21F3" w:rsidRDefault="000E21F3" w:rsidP="005D4391">
      <w:pPr>
        <w:spacing w:after="0" w:line="240" w:lineRule="auto"/>
      </w:pPr>
      <w:r>
        <w:separator/>
      </w:r>
    </w:p>
  </w:footnote>
  <w:footnote w:type="continuationSeparator" w:id="0">
    <w:p w14:paraId="677CD57E" w14:textId="77777777" w:rsidR="000E21F3" w:rsidRDefault="000E21F3" w:rsidP="005D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EE310" w14:textId="4C33CB79" w:rsidR="005D4391" w:rsidRDefault="005D4391">
    <w:pPr>
      <w:pStyle w:val="Header"/>
    </w:pPr>
  </w:p>
  <w:p w14:paraId="02BAF90F" w14:textId="77777777" w:rsidR="005D4391" w:rsidRDefault="005D4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13B43"/>
    <w:multiLevelType w:val="hybridMultilevel"/>
    <w:tmpl w:val="1F3A3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40"/>
    <w:rsid w:val="000200E2"/>
    <w:rsid w:val="00085BBD"/>
    <w:rsid w:val="000D3277"/>
    <w:rsid w:val="000D707E"/>
    <w:rsid w:val="000E21F3"/>
    <w:rsid w:val="00153818"/>
    <w:rsid w:val="0017500A"/>
    <w:rsid w:val="001B31AA"/>
    <w:rsid w:val="001B750B"/>
    <w:rsid w:val="001C3BEF"/>
    <w:rsid w:val="001C707F"/>
    <w:rsid w:val="0023458A"/>
    <w:rsid w:val="00236209"/>
    <w:rsid w:val="00241419"/>
    <w:rsid w:val="00245519"/>
    <w:rsid w:val="002612D8"/>
    <w:rsid w:val="00274A0D"/>
    <w:rsid w:val="002B2D2B"/>
    <w:rsid w:val="002C6C83"/>
    <w:rsid w:val="0031733D"/>
    <w:rsid w:val="00326292"/>
    <w:rsid w:val="00350C40"/>
    <w:rsid w:val="00373DE0"/>
    <w:rsid w:val="00386A97"/>
    <w:rsid w:val="00394062"/>
    <w:rsid w:val="003D5A6F"/>
    <w:rsid w:val="003F039E"/>
    <w:rsid w:val="00425DC6"/>
    <w:rsid w:val="00431520"/>
    <w:rsid w:val="00443AA1"/>
    <w:rsid w:val="00446EB5"/>
    <w:rsid w:val="004608D7"/>
    <w:rsid w:val="00480FC8"/>
    <w:rsid w:val="004B3DB4"/>
    <w:rsid w:val="004C1185"/>
    <w:rsid w:val="004C35CE"/>
    <w:rsid w:val="005059FD"/>
    <w:rsid w:val="005621A6"/>
    <w:rsid w:val="005A3964"/>
    <w:rsid w:val="005A755B"/>
    <w:rsid w:val="005D4391"/>
    <w:rsid w:val="005F7AA2"/>
    <w:rsid w:val="00603772"/>
    <w:rsid w:val="00614780"/>
    <w:rsid w:val="006612ED"/>
    <w:rsid w:val="006633D4"/>
    <w:rsid w:val="006701B7"/>
    <w:rsid w:val="006C2AD8"/>
    <w:rsid w:val="006C5631"/>
    <w:rsid w:val="006F38E8"/>
    <w:rsid w:val="00703AA9"/>
    <w:rsid w:val="00737A7D"/>
    <w:rsid w:val="008574E5"/>
    <w:rsid w:val="008969AE"/>
    <w:rsid w:val="008C7660"/>
    <w:rsid w:val="008D6FAB"/>
    <w:rsid w:val="008F0763"/>
    <w:rsid w:val="00974380"/>
    <w:rsid w:val="009A044F"/>
    <w:rsid w:val="009A34A8"/>
    <w:rsid w:val="009F6662"/>
    <w:rsid w:val="009F66A1"/>
    <w:rsid w:val="00A10B16"/>
    <w:rsid w:val="00A73993"/>
    <w:rsid w:val="00A74151"/>
    <w:rsid w:val="00AB0B22"/>
    <w:rsid w:val="00B27CF3"/>
    <w:rsid w:val="00B44E2D"/>
    <w:rsid w:val="00B845BC"/>
    <w:rsid w:val="00BC2F85"/>
    <w:rsid w:val="00BD25CE"/>
    <w:rsid w:val="00C056E5"/>
    <w:rsid w:val="00C30912"/>
    <w:rsid w:val="00C32B40"/>
    <w:rsid w:val="00C55C18"/>
    <w:rsid w:val="00CA50F0"/>
    <w:rsid w:val="00CB2867"/>
    <w:rsid w:val="00CC5B7E"/>
    <w:rsid w:val="00CF1AD5"/>
    <w:rsid w:val="00D10006"/>
    <w:rsid w:val="00D14542"/>
    <w:rsid w:val="00D26BA0"/>
    <w:rsid w:val="00D60C8F"/>
    <w:rsid w:val="00DC1CE8"/>
    <w:rsid w:val="00DE6076"/>
    <w:rsid w:val="00DE67DD"/>
    <w:rsid w:val="00DE7194"/>
    <w:rsid w:val="00E105ED"/>
    <w:rsid w:val="00E11FDC"/>
    <w:rsid w:val="00E26C1E"/>
    <w:rsid w:val="00E50D40"/>
    <w:rsid w:val="00E54485"/>
    <w:rsid w:val="00E70846"/>
    <w:rsid w:val="00E70D7C"/>
    <w:rsid w:val="00E71C80"/>
    <w:rsid w:val="00EA4584"/>
    <w:rsid w:val="00ED23E3"/>
    <w:rsid w:val="00EE4B11"/>
    <w:rsid w:val="00F076A8"/>
    <w:rsid w:val="00F21194"/>
    <w:rsid w:val="00F22436"/>
    <w:rsid w:val="00F43C69"/>
    <w:rsid w:val="00F85F55"/>
    <w:rsid w:val="00FA3880"/>
    <w:rsid w:val="00FC53CB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00C9"/>
  <w15:chartTrackingRefBased/>
  <w15:docId w15:val="{5C16D292-C9D6-4B25-A8AD-5DBE9B8A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4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B4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0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F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wire-cite-authors">
    <w:name w:val="highwire-cite-authors"/>
    <w:basedOn w:val="DefaultParagraphFont"/>
    <w:rsid w:val="002C6C83"/>
  </w:style>
  <w:style w:type="character" w:customStyle="1" w:styleId="nlm-surname">
    <w:name w:val="nlm-surname"/>
    <w:basedOn w:val="DefaultParagraphFont"/>
    <w:rsid w:val="002C6C83"/>
  </w:style>
  <w:style w:type="character" w:customStyle="1" w:styleId="nlm-given-names">
    <w:name w:val="nlm-given-names"/>
    <w:basedOn w:val="DefaultParagraphFont"/>
    <w:rsid w:val="002C6C83"/>
  </w:style>
  <w:style w:type="character" w:customStyle="1" w:styleId="highwire-cite-title">
    <w:name w:val="highwire-cite-title"/>
    <w:basedOn w:val="DefaultParagraphFont"/>
    <w:rsid w:val="002C6C83"/>
  </w:style>
  <w:style w:type="character" w:customStyle="1" w:styleId="highwire-cite-metadata-journal">
    <w:name w:val="highwire-cite-metadata-journal"/>
    <w:basedOn w:val="DefaultParagraphFont"/>
    <w:rsid w:val="002C6C83"/>
  </w:style>
  <w:style w:type="character" w:customStyle="1" w:styleId="highwire-cite-metadata-date">
    <w:name w:val="highwire-cite-metadata-date"/>
    <w:basedOn w:val="DefaultParagraphFont"/>
    <w:rsid w:val="002C6C83"/>
  </w:style>
  <w:style w:type="character" w:customStyle="1" w:styleId="highwire-cite-metadata-volume">
    <w:name w:val="highwire-cite-metadata-volume"/>
    <w:basedOn w:val="DefaultParagraphFont"/>
    <w:rsid w:val="002C6C83"/>
  </w:style>
  <w:style w:type="character" w:styleId="FollowedHyperlink">
    <w:name w:val="FollowedHyperlink"/>
    <w:basedOn w:val="DefaultParagraphFont"/>
    <w:uiPriority w:val="99"/>
    <w:semiHidden/>
    <w:unhideWhenUsed/>
    <w:rsid w:val="00F076A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0C4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D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0846"/>
    <w:pPr>
      <w:ind w:left="720"/>
      <w:contextualSpacing/>
    </w:pPr>
  </w:style>
  <w:style w:type="character" w:customStyle="1" w:styleId="highlight">
    <w:name w:val="highlight"/>
    <w:basedOn w:val="DefaultParagraphFont"/>
    <w:rsid w:val="00274A0D"/>
  </w:style>
  <w:style w:type="character" w:customStyle="1" w:styleId="Heading5Char">
    <w:name w:val="Heading 5 Char"/>
    <w:basedOn w:val="DefaultParagraphFont"/>
    <w:link w:val="Heading5"/>
    <w:uiPriority w:val="9"/>
    <w:semiHidden/>
    <w:rsid w:val="008574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4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ion">
    <w:name w:val="Revision"/>
    <w:hidden/>
    <w:uiPriority w:val="99"/>
    <w:semiHidden/>
    <w:rsid w:val="00BC2F8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3B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D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391"/>
  </w:style>
  <w:style w:type="paragraph" w:styleId="Footer">
    <w:name w:val="footer"/>
    <w:basedOn w:val="Normal"/>
    <w:link w:val="FooterChar"/>
    <w:uiPriority w:val="99"/>
    <w:unhideWhenUsed/>
    <w:rsid w:val="005D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111/cob.12365" TargetMode="External"/><Relationship Id="rId18" Type="http://schemas.openxmlformats.org/officeDocument/2006/relationships/hyperlink" Target="https://doi.org/10.1101/2020.04.13.20060798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ons.gov.uk/peoplepopulationandcommunity/populationandmigration/populationestimates/datasets/populationestimatesforukenglandandwalesscotlandandnorthernireland" TargetMode="External"/><Relationship Id="rId17" Type="http://schemas.openxmlformats.org/officeDocument/2006/relationships/hyperlink" Target="https://www.ncbi.nlm.nih.gov/pubmed/3225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bi.nlm.nih.gov/pubmed/?term=Edson%20B%5BAuthor%5D&amp;cauthor=true&amp;cauthor_uid=32252023" TargetMode="External"/><Relationship Id="rId20" Type="http://schemas.openxmlformats.org/officeDocument/2006/relationships/hyperlink" Target="https://digital.nhs.uk/data-and-information/publications/statistical/nhs-workforce-statistics/nhs-workforce-statistics---march-2019-provisional-statistic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hub.net/group/gues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cbi.nlm.nih.gov/pubmed/?term=Xu%20Y%5BAuthor%5D&amp;cauthor=true&amp;cauthor_uid=32252023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eur01.safelinks.protection.outlook.com/?url=http%3A%2F%2Fwww.instituteofhealthequity.org%2Fresources-reports%2Ffair-society-healthy-lives-the-marmot-review%2Ffair-society-healthy-lives-the-marmot-review-full-report.pdf&amp;data=02%7C01%7CIssy.Bray%40uwe.ac.uk%7C72e1898f9fff4c3c3ed908d7f19c2d48%7C07ef1208413c4b5e9cdd64ef305754f0%7C0%7C0%7C637243525398025804&amp;sdata=cappQprNHAHbbxExr9UURtvGaHO8%2B3BMqWZnHw0K9t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bi.nlm.nih.gov/pubmed/?term=Khairat%20S%5BAuthor%5D&amp;cauthor=true&amp;cauthor_uid=3225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C970D31B7A6418499D80A7F995CF1" ma:contentTypeVersion="13" ma:contentTypeDescription="Create a new document." ma:contentTypeScope="" ma:versionID="6e0e3adcb77c9d02c21dd8ce2ac7e713">
  <xsd:schema xmlns:xsd="http://www.w3.org/2001/XMLSchema" xmlns:xs="http://www.w3.org/2001/XMLSchema" xmlns:p="http://schemas.microsoft.com/office/2006/metadata/properties" xmlns:ns3="bb2645a7-5963-4ad7-b4a1-41491061760e" xmlns:ns4="b63eff7c-b0e0-4750-a407-01d8593cf234" targetNamespace="http://schemas.microsoft.com/office/2006/metadata/properties" ma:root="true" ma:fieldsID="bd4415ee068c0758d45ae451facc4d36" ns3:_="" ns4:_="">
    <xsd:import namespace="bb2645a7-5963-4ad7-b4a1-41491061760e"/>
    <xsd:import namespace="b63eff7c-b0e0-4750-a407-01d8593cf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645a7-5963-4ad7-b4a1-414910617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ff7c-b0e0-4750-a407-01d8593cf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44C5E-8D64-4F39-AA0D-BE353503E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327FD-4B24-4F2A-8E73-1B764EA0BA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51F0DE-27ED-4944-92C6-AB76D2829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645a7-5963-4ad7-b4a1-41491061760e"/>
    <ds:schemaRef ds:uri="b63eff7c-b0e0-4750-a407-01d8593cf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Bray</dc:creator>
  <cp:keywords/>
  <dc:description/>
  <cp:lastModifiedBy>Issy Bray</cp:lastModifiedBy>
  <cp:revision>2</cp:revision>
  <dcterms:created xsi:type="dcterms:W3CDTF">2020-05-12T13:40:00Z</dcterms:created>
  <dcterms:modified xsi:type="dcterms:W3CDTF">2020-05-12T13:40:00Z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0x010100647C970D31B7A6418499D80A7F995CF1</vt:lpwstr>
  </property>
</Properties>
</file>