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90DC3" w14:textId="77777777" w:rsidR="00EE6197" w:rsidRDefault="00EE6197" w:rsidP="0037670C">
      <w:pPr>
        <w:jc w:val="center"/>
        <w:rPr>
          <w:rFonts w:cs="Times New Roman"/>
          <w:b/>
        </w:rPr>
      </w:pPr>
      <w:bookmarkStart w:id="0" w:name="_GoBack"/>
      <w:bookmarkEnd w:id="0"/>
      <w:r>
        <w:t>Decent work in the UK: Context, conceptualization, and assessment</w:t>
      </w:r>
      <w:r w:rsidRPr="003204B4">
        <w:rPr>
          <w:rFonts w:cs="Times New Roman"/>
          <w:b/>
        </w:rPr>
        <w:t xml:space="preserve"> </w:t>
      </w:r>
    </w:p>
    <w:p w14:paraId="6E9C75F7" w14:textId="7B344FDB" w:rsidR="003A5AF2" w:rsidRPr="003204B4" w:rsidRDefault="004534FA" w:rsidP="0037670C">
      <w:pPr>
        <w:jc w:val="center"/>
        <w:rPr>
          <w:rFonts w:cs="Times New Roman"/>
          <w:b/>
        </w:rPr>
      </w:pPr>
      <w:r>
        <w:rPr>
          <w:rFonts w:cs="Times New Roman"/>
          <w:b/>
        </w:rPr>
        <w:t xml:space="preserve">1. </w:t>
      </w:r>
      <w:r w:rsidR="00114339" w:rsidRPr="003204B4">
        <w:rPr>
          <w:rFonts w:cs="Times New Roman"/>
          <w:b/>
        </w:rPr>
        <w:t>Introduction</w:t>
      </w:r>
    </w:p>
    <w:p w14:paraId="39B99F48" w14:textId="7923719E" w:rsidR="00FC720B" w:rsidRDefault="00FC720B" w:rsidP="0037670C">
      <w:pPr>
        <w:ind w:firstLine="720"/>
      </w:pPr>
      <w:r>
        <w:t>Access to decent work is an important goal for policy</w:t>
      </w:r>
      <w:r w:rsidR="00BC3FD6">
        <w:t>makers</w:t>
      </w:r>
      <w:r>
        <w:t xml:space="preserve"> and for individuals navigating their working lives.</w:t>
      </w:r>
      <w:r w:rsidR="007C6AF5">
        <w:t xml:space="preserve"> </w:t>
      </w:r>
      <w:r w:rsidR="00BC3FD6">
        <w:t xml:space="preserve">Decent work is a career goal for </w:t>
      </w:r>
      <w:r w:rsidR="0031691A">
        <w:t>individuals</w:t>
      </w:r>
      <w:r w:rsidR="00BC3FD6">
        <w:t xml:space="preserve">, for </w:t>
      </w:r>
      <w:r w:rsidR="00EE5C39">
        <w:t xml:space="preserve">employers </w:t>
      </w:r>
      <w:r w:rsidR="00BC3FD6">
        <w:t xml:space="preserve">who may </w:t>
      </w:r>
      <w:r w:rsidR="0031691A">
        <w:t xml:space="preserve">wish </w:t>
      </w:r>
      <w:r w:rsidR="00EE5C39">
        <w:t xml:space="preserve">to </w:t>
      </w:r>
      <w:r w:rsidR="00E02A33">
        <w:t xml:space="preserve">be seen to </w:t>
      </w:r>
      <w:r w:rsidR="00EE5C39">
        <w:t>provide decent work</w:t>
      </w:r>
      <w:r w:rsidR="00E02A33">
        <w:t xml:space="preserve"> for their employees</w:t>
      </w:r>
      <w:r w:rsidR="00EE5C39">
        <w:t xml:space="preserve"> and for policy makers </w:t>
      </w:r>
      <w:r w:rsidR="00E02A33">
        <w:t xml:space="preserve">for whom it has become an aim of employment policy. </w:t>
      </w:r>
      <w:r w:rsidR="002D3AEB">
        <w:t>Decent work forms part of the United Nations sustainable development goals</w:t>
      </w:r>
      <w:r w:rsidR="00891328">
        <w:t xml:space="preserve"> and the International L</w:t>
      </w:r>
      <w:r w:rsidR="002D3AEB">
        <w:t xml:space="preserve">abor </w:t>
      </w:r>
      <w:r w:rsidR="00EE5C39">
        <w:t>O</w:t>
      </w:r>
      <w:r w:rsidR="002D3AEB">
        <w:t>rganisation’s (ILO) Decent Work Agenda.</w:t>
      </w:r>
      <w:r w:rsidR="00891328">
        <w:t xml:space="preserve"> Decent </w:t>
      </w:r>
      <w:r w:rsidR="000E728A">
        <w:t>W</w:t>
      </w:r>
      <w:r w:rsidR="00891328">
        <w:t xml:space="preserve">ork </w:t>
      </w:r>
      <w:r w:rsidR="000E728A">
        <w:t xml:space="preserve">has </w:t>
      </w:r>
      <w:r w:rsidR="00E02A33">
        <w:t xml:space="preserve">also </w:t>
      </w:r>
      <w:r w:rsidR="000E728A">
        <w:t>been on the</w:t>
      </w:r>
      <w:r w:rsidR="00891328">
        <w:t xml:space="preserve"> </w:t>
      </w:r>
      <w:r w:rsidR="000E728A">
        <w:t xml:space="preserve">UK </w:t>
      </w:r>
      <w:r w:rsidR="00891328">
        <w:t xml:space="preserve">policy agenda for the </w:t>
      </w:r>
      <w:r w:rsidR="000E728A">
        <w:t>current government as</w:t>
      </w:r>
      <w:r w:rsidR="00891328">
        <w:t xml:space="preserve"> a result of the Taylor Review</w:t>
      </w:r>
      <w:r w:rsidR="000E728A">
        <w:t xml:space="preserve"> published in 2017.</w:t>
      </w:r>
      <w:r w:rsidR="007E6433">
        <w:t xml:space="preserve"> </w:t>
      </w:r>
    </w:p>
    <w:p w14:paraId="38956AD6" w14:textId="5755E649" w:rsidR="007E6433" w:rsidRDefault="007E6433" w:rsidP="0037670C">
      <w:pPr>
        <w:ind w:firstLine="720"/>
      </w:pPr>
      <w:r>
        <w:t xml:space="preserve">While macro-level indicators have been well developed to monitor access </w:t>
      </w:r>
      <w:r w:rsidR="00EE5C39">
        <w:t>to</w:t>
      </w:r>
      <w:r>
        <w:t xml:space="preserve"> decent work there have been few studies which attempt to understand decent work at the individual level. </w:t>
      </w:r>
      <w:r w:rsidR="00C71955">
        <w:t>As a result, our studies explore</w:t>
      </w:r>
      <w:r w:rsidR="00EE5C39">
        <w:t xml:space="preserve"> the measurement and definition of decent work in the UK. </w:t>
      </w:r>
      <w:r>
        <w:t>Study 1</w:t>
      </w:r>
      <w:r w:rsidR="00F2171A">
        <w:t xml:space="preserve"> </w:t>
      </w:r>
      <w:r w:rsidR="00EB1867">
        <w:t>investigates whether</w:t>
      </w:r>
      <w:r w:rsidR="00F2171A">
        <w:t xml:space="preserve"> the </w:t>
      </w:r>
      <w:r w:rsidR="00DB1213">
        <w:t>D</w:t>
      </w:r>
      <w:r w:rsidR="00F2171A">
        <w:t xml:space="preserve">ecent </w:t>
      </w:r>
      <w:r w:rsidR="00DB1213">
        <w:t>W</w:t>
      </w:r>
      <w:r w:rsidR="00F2171A">
        <w:t xml:space="preserve">ork </w:t>
      </w:r>
      <w:r w:rsidR="00DB1213">
        <w:t>S</w:t>
      </w:r>
      <w:r w:rsidR="00F2171A">
        <w:t>cale</w:t>
      </w:r>
      <w:r w:rsidR="006C13DD">
        <w:t xml:space="preserve"> (DWS)</w:t>
      </w:r>
      <w:r w:rsidR="00EB1867">
        <w:t xml:space="preserve"> is a valid measure for use in</w:t>
      </w:r>
      <w:r w:rsidR="00F2171A">
        <w:t xml:space="preserve"> the UK. </w:t>
      </w:r>
      <w:r>
        <w:t>Study 2 uses a qualitative approach to further understand what decent work means to working people in the UK</w:t>
      </w:r>
      <w:r w:rsidR="0045770F">
        <w:t xml:space="preserve"> and </w:t>
      </w:r>
      <w:r w:rsidR="00EE5C39">
        <w:t xml:space="preserve">explore the implications of this for the approach to the measurement of decent work </w:t>
      </w:r>
      <w:r w:rsidR="0045770F">
        <w:t>presented in the DWS</w:t>
      </w:r>
      <w:r>
        <w:t xml:space="preserve">. </w:t>
      </w:r>
    </w:p>
    <w:p w14:paraId="15706327" w14:textId="2F1909A0" w:rsidR="007F684B" w:rsidRPr="00510FCE" w:rsidRDefault="004534FA" w:rsidP="00510FCE">
      <w:pPr>
        <w:rPr>
          <w:b/>
        </w:rPr>
      </w:pPr>
      <w:r>
        <w:rPr>
          <w:b/>
        </w:rPr>
        <w:t xml:space="preserve">1.1 </w:t>
      </w:r>
      <w:r w:rsidR="007F684B" w:rsidRPr="00510FCE">
        <w:rPr>
          <w:b/>
        </w:rPr>
        <w:t xml:space="preserve">The </w:t>
      </w:r>
      <w:r w:rsidR="00856C3B" w:rsidRPr="00510FCE">
        <w:rPr>
          <w:b/>
        </w:rPr>
        <w:t>Psychology of Working Theory</w:t>
      </w:r>
    </w:p>
    <w:p w14:paraId="03666DDC" w14:textId="12036881" w:rsidR="00F17FCA" w:rsidRDefault="00EB1867" w:rsidP="0037670C">
      <w:pPr>
        <w:ind w:firstLine="720"/>
      </w:pPr>
      <w:r>
        <w:t xml:space="preserve">Work is central to our identity and the organization of daily life. The Psychology of Working Theory (PWT) suggests that access to decent work fulfils three </w:t>
      </w:r>
      <w:r w:rsidR="001005B0">
        <w:t xml:space="preserve">basic human </w:t>
      </w:r>
      <w:r>
        <w:t>needs: (1</w:t>
      </w:r>
      <w:r w:rsidR="001005B0">
        <w:t>) survival needs, (2) social connection needs and (3) self-determination needs. The PWT acknowledges that access to decent work may be constrained or enabled as a result of both psychological factors (e.g. work volition and career adaptability)</w:t>
      </w:r>
      <w:r w:rsidR="00684F28">
        <w:t xml:space="preserve"> of the individual</w:t>
      </w:r>
      <w:r w:rsidR="001005B0">
        <w:t xml:space="preserve"> and contextual factors (</w:t>
      </w:r>
      <w:r w:rsidR="00684F28">
        <w:t xml:space="preserve">e.g. economic uncertainty and social marginalization) </w:t>
      </w:r>
      <w:r w:rsidR="001005B0">
        <w:t xml:space="preserve">present in society. </w:t>
      </w:r>
      <w:r w:rsidR="00437A5B">
        <w:t>Duffy et al. (2016) created the DWS</w:t>
      </w:r>
      <w:r w:rsidR="00684F28">
        <w:t xml:space="preserve"> </w:t>
      </w:r>
      <w:r w:rsidR="00437A5B">
        <w:t xml:space="preserve">as </w:t>
      </w:r>
      <w:r w:rsidR="00D05666">
        <w:t>measurement tool</w:t>
      </w:r>
      <w:r w:rsidR="00F2171A">
        <w:t xml:space="preserve"> to understand decent work at the </w:t>
      </w:r>
      <w:r w:rsidR="00F2171A">
        <w:lastRenderedPageBreak/>
        <w:t>individual leve</w:t>
      </w:r>
      <w:r w:rsidR="00437A5B">
        <w:t>l</w:t>
      </w:r>
      <w:r w:rsidR="00F2171A">
        <w:t>.</w:t>
      </w:r>
      <w:r w:rsidR="00EE7725">
        <w:t xml:space="preserve"> </w:t>
      </w:r>
      <w:r w:rsidR="00F17FCA">
        <w:t xml:space="preserve">The PWT </w:t>
      </w:r>
      <w:r w:rsidR="009653BF">
        <w:t xml:space="preserve">is a model </w:t>
      </w:r>
      <w:r w:rsidR="00913E57">
        <w:t xml:space="preserve">which supports the investigation of </w:t>
      </w:r>
      <w:r w:rsidR="00F17FCA">
        <w:t>individuals</w:t>
      </w:r>
      <w:r w:rsidR="009653BF">
        <w:t>’</w:t>
      </w:r>
      <w:r w:rsidR="00F17FCA">
        <w:t xml:space="preserve"> experience </w:t>
      </w:r>
      <w:r w:rsidR="009653BF">
        <w:t xml:space="preserve">of </w:t>
      </w:r>
      <w:r w:rsidR="00F17FCA">
        <w:t>their working lives</w:t>
      </w:r>
      <w:r w:rsidR="009653BF">
        <w:t xml:space="preserve"> (Duffy, Allan, Blustein, England, Autin, Douglass, Ferreira</w:t>
      </w:r>
      <w:r w:rsidR="00EC1C2D">
        <w:t>,</w:t>
      </w:r>
      <w:r w:rsidR="009653BF">
        <w:t xml:space="preserve"> &amp; Santos, 2016).</w:t>
      </w:r>
      <w:r w:rsidR="00F17FCA">
        <w:t xml:space="preserve"> </w:t>
      </w:r>
    </w:p>
    <w:p w14:paraId="37C164B4" w14:textId="3D06B793" w:rsidR="00C73BB6" w:rsidRDefault="00C71A06" w:rsidP="007A6645">
      <w:pPr>
        <w:ind w:firstLine="720"/>
        <w:rPr>
          <w:rFonts w:cs="Times New Roman"/>
        </w:rPr>
      </w:pPr>
      <w:r>
        <w:rPr>
          <w:rFonts w:cs="Times New Roman"/>
        </w:rPr>
        <w:t>The PWT is a</w:t>
      </w:r>
      <w:r w:rsidR="00D302B4">
        <w:rPr>
          <w:rFonts w:cs="Times New Roman"/>
        </w:rPr>
        <w:t>n</w:t>
      </w:r>
      <w:r w:rsidR="00C73BB6">
        <w:rPr>
          <w:rFonts w:cs="Times New Roman"/>
        </w:rPr>
        <w:t xml:space="preserve"> epistemologically pluralist investigation into the psychology of working. It draws on the notion of </w:t>
      </w:r>
      <w:r w:rsidR="00C73BB6" w:rsidRPr="00811D23">
        <w:rPr>
          <w:rFonts w:cs="Times New Roman"/>
          <w:i/>
        </w:rPr>
        <w:t>homo faber</w:t>
      </w:r>
      <w:r w:rsidR="00C133A6" w:rsidRPr="00B764E7">
        <w:rPr>
          <w:rFonts w:cs="Times New Roman"/>
        </w:rPr>
        <w:t xml:space="preserve"> </w:t>
      </w:r>
      <w:r w:rsidR="00C133A6">
        <w:rPr>
          <w:rFonts w:cs="Times New Roman"/>
        </w:rPr>
        <w:t xml:space="preserve">(working man) </w:t>
      </w:r>
      <w:r w:rsidR="00C133A6" w:rsidRPr="00B764E7">
        <w:rPr>
          <w:rFonts w:cs="Times New Roman"/>
        </w:rPr>
        <w:t>(Arendt, 1958)</w:t>
      </w:r>
      <w:r w:rsidR="00C73BB6">
        <w:rPr>
          <w:rFonts w:cs="Times New Roman"/>
        </w:rPr>
        <w:t xml:space="preserve">, making the argument that work is integral to humanity and to human thriving. </w:t>
      </w:r>
      <w:r w:rsidR="00C133A6">
        <w:t xml:space="preserve">Work is, as Gini (2013) argues, ‘a fundamental part of our humanity’ (p.xii) albeit one which is often experienced in the current political economy in a degraded and alienated way. </w:t>
      </w:r>
      <w:r w:rsidR="00D302B4">
        <w:t>Access to decent</w:t>
      </w:r>
      <w:r w:rsidR="00C73BB6">
        <w:rPr>
          <w:rFonts w:cs="Times New Roman"/>
        </w:rPr>
        <w:t xml:space="preserve"> work</w:t>
      </w:r>
      <w:r w:rsidR="00D302B4">
        <w:rPr>
          <w:rFonts w:cs="Times New Roman"/>
        </w:rPr>
        <w:t xml:space="preserve"> </w:t>
      </w:r>
      <w:r w:rsidR="00593B76">
        <w:rPr>
          <w:rFonts w:cs="Times New Roman"/>
        </w:rPr>
        <w:t xml:space="preserve">as part of the PWT is theorized to </w:t>
      </w:r>
      <w:r w:rsidR="001D669B">
        <w:rPr>
          <w:rFonts w:cs="Times New Roman"/>
        </w:rPr>
        <w:t>fulfil</w:t>
      </w:r>
      <w:r w:rsidR="00C73BB6" w:rsidRPr="00094A53">
        <w:rPr>
          <w:rFonts w:cs="Times New Roman"/>
        </w:rPr>
        <w:t xml:space="preserve"> three fundamental human needs</w:t>
      </w:r>
      <w:r w:rsidR="00C73BB6">
        <w:rPr>
          <w:rFonts w:cs="Times New Roman"/>
        </w:rPr>
        <w:t xml:space="preserve">: (1) </w:t>
      </w:r>
      <w:r w:rsidR="00C73BB6" w:rsidRPr="00094A53">
        <w:rPr>
          <w:rFonts w:cs="Times New Roman"/>
        </w:rPr>
        <w:t xml:space="preserve">the need for survival and power; </w:t>
      </w:r>
      <w:r w:rsidR="00C73BB6">
        <w:rPr>
          <w:rFonts w:cs="Times New Roman"/>
        </w:rPr>
        <w:t xml:space="preserve">(2) </w:t>
      </w:r>
      <w:r w:rsidR="00C73BB6" w:rsidRPr="00094A53">
        <w:rPr>
          <w:rFonts w:cs="Times New Roman"/>
        </w:rPr>
        <w:t xml:space="preserve">the need for social connection; and </w:t>
      </w:r>
      <w:r w:rsidR="00C73BB6">
        <w:rPr>
          <w:rFonts w:cs="Times New Roman"/>
        </w:rPr>
        <w:t xml:space="preserve">(3) </w:t>
      </w:r>
      <w:r w:rsidR="00C73BB6" w:rsidRPr="00094A53">
        <w:rPr>
          <w:rFonts w:cs="Times New Roman"/>
        </w:rPr>
        <w:t>the need for self-determination</w:t>
      </w:r>
      <w:r w:rsidR="00D302B4">
        <w:rPr>
          <w:rFonts w:cs="Times New Roman"/>
        </w:rPr>
        <w:t xml:space="preserve"> (Duffy</w:t>
      </w:r>
      <w:r w:rsidR="0023608F">
        <w:rPr>
          <w:rFonts w:cs="Times New Roman"/>
        </w:rPr>
        <w:t xml:space="preserve"> </w:t>
      </w:r>
      <w:r w:rsidR="00D302B4">
        <w:rPr>
          <w:rFonts w:cs="Times New Roman"/>
        </w:rPr>
        <w:t>et al., 2016)</w:t>
      </w:r>
      <w:r w:rsidR="00C73BB6" w:rsidRPr="00094A53">
        <w:rPr>
          <w:rFonts w:cs="Times New Roman"/>
        </w:rPr>
        <w:t xml:space="preserve">. </w:t>
      </w:r>
    </w:p>
    <w:p w14:paraId="065F8C68" w14:textId="6AA1DD14" w:rsidR="00C045B2" w:rsidRDefault="00D302B4" w:rsidP="00677579">
      <w:pPr>
        <w:ind w:firstLine="720"/>
      </w:pPr>
      <w:r>
        <w:rPr>
          <w:rFonts w:cs="Times New Roman"/>
        </w:rPr>
        <w:t>A measurement tool for</w:t>
      </w:r>
      <w:r w:rsidR="00C73BB6">
        <w:rPr>
          <w:rFonts w:cs="Times New Roman"/>
        </w:rPr>
        <w:t xml:space="preserve"> decent work has been drawn from </w:t>
      </w:r>
      <w:r w:rsidR="00300BE6">
        <w:rPr>
          <w:rFonts w:cs="Times New Roman"/>
        </w:rPr>
        <w:t xml:space="preserve">the </w:t>
      </w:r>
      <w:r w:rsidR="00C73BB6">
        <w:rPr>
          <w:rFonts w:cs="Times New Roman"/>
        </w:rPr>
        <w:t xml:space="preserve">work of the International Labour Organisation (1999, 2018) and integrated </w:t>
      </w:r>
      <w:r w:rsidR="00593B76">
        <w:rPr>
          <w:rFonts w:cs="Times New Roman"/>
        </w:rPr>
        <w:t xml:space="preserve">to form a central part of the </w:t>
      </w:r>
      <w:r w:rsidR="00C73BB6">
        <w:rPr>
          <w:rFonts w:cs="Times New Roman"/>
        </w:rPr>
        <w:t>PWT (</w:t>
      </w:r>
      <w:r w:rsidR="0085416C">
        <w:rPr>
          <w:rFonts w:cs="Times New Roman"/>
        </w:rPr>
        <w:t>Duffy</w:t>
      </w:r>
      <w:r w:rsidR="00C73BB6">
        <w:rPr>
          <w:rFonts w:cs="Times New Roman"/>
        </w:rPr>
        <w:t xml:space="preserve"> et al., 2016). </w:t>
      </w:r>
      <w:r w:rsidR="00E2013D">
        <w:t xml:space="preserve">Duffy et al. (2016) defined five components of decent work: </w:t>
      </w:r>
      <w:r w:rsidR="00365A85">
        <w:t xml:space="preserve">(1) </w:t>
      </w:r>
      <w:r w:rsidR="00E2013D">
        <w:t xml:space="preserve">interpersonally and physically safe working environments; </w:t>
      </w:r>
      <w:r w:rsidR="00365A85">
        <w:t xml:space="preserve">(2) </w:t>
      </w:r>
      <w:r w:rsidR="00E2013D">
        <w:t xml:space="preserve">hours that allow for adequate free time and rest; </w:t>
      </w:r>
      <w:r w:rsidR="00365A85">
        <w:t xml:space="preserve">(3) </w:t>
      </w:r>
      <w:r w:rsidR="00E2013D">
        <w:t xml:space="preserve">organisational values aligned to individual and family values; </w:t>
      </w:r>
      <w:r w:rsidR="00365A85">
        <w:t xml:space="preserve">(4) </w:t>
      </w:r>
      <w:r w:rsidR="00E2013D">
        <w:t xml:space="preserve">adequate compensation; and </w:t>
      </w:r>
      <w:r w:rsidR="00365A85">
        <w:t xml:space="preserve">(5) </w:t>
      </w:r>
      <w:r w:rsidR="00E2013D">
        <w:t xml:space="preserve">access to adequate healthcare. </w:t>
      </w:r>
      <w:r w:rsidR="006930C0">
        <w:t xml:space="preserve">To date the DWS has been validated </w:t>
      </w:r>
      <w:r w:rsidR="0000725D">
        <w:t>on both</w:t>
      </w:r>
      <w:r w:rsidR="006930C0">
        <w:t xml:space="preserve"> a North American </w:t>
      </w:r>
      <w:r w:rsidR="0000725D">
        <w:t xml:space="preserve">and Turkish </w:t>
      </w:r>
      <w:r w:rsidR="006930C0">
        <w:t>sample</w:t>
      </w:r>
      <w:r w:rsidR="00417B73">
        <w:t xml:space="preserve"> (Duffy et al., 2016; Isik, Kozan &amp; Isik, 2018)</w:t>
      </w:r>
      <w:r w:rsidR="006930C0">
        <w:t xml:space="preserve">. </w:t>
      </w:r>
      <w:r w:rsidR="00C045B2">
        <w:t>These studies inform our research on the DWS in the UK.</w:t>
      </w:r>
      <w:r w:rsidR="00362423">
        <w:t xml:space="preserve"> We hypothesise that similar to Duffy et al., 2016 and Isik et al., 2018, data from the UK sample will fit a bifactor mode</w:t>
      </w:r>
      <w:r w:rsidR="007738E1">
        <w:t>l</w:t>
      </w:r>
      <w:r w:rsidR="007E063F">
        <w:t xml:space="preserve"> where items correspond to a single common factor (decent work) while also controlling for the multidimensionality of the five components listed above. In addition</w:t>
      </w:r>
      <w:r w:rsidR="00473983">
        <w:t>,</w:t>
      </w:r>
      <w:r w:rsidR="007E063F">
        <w:t xml:space="preserve"> we hypothesise that decent work will also significantly predict measures of job satisfaction, access to meaningful work and whether one intends to withdraw from their present job in order to extend evidence of the PWT (Duffy et al., 2016).</w:t>
      </w:r>
    </w:p>
    <w:p w14:paraId="1D4F8AF9" w14:textId="43279F04" w:rsidR="006930C0" w:rsidRPr="00677579" w:rsidRDefault="006930C0" w:rsidP="00677579">
      <w:pPr>
        <w:ind w:firstLine="720"/>
        <w:rPr>
          <w:rFonts w:cs="Times New Roman"/>
        </w:rPr>
      </w:pPr>
    </w:p>
    <w:p w14:paraId="7475E0E0" w14:textId="0F7153A4" w:rsidR="00CE0E24" w:rsidRDefault="004534FA" w:rsidP="007A6645">
      <w:pPr>
        <w:rPr>
          <w:rFonts w:cs="Times New Roman"/>
        </w:rPr>
      </w:pPr>
      <w:r>
        <w:rPr>
          <w:rFonts w:cs="Times New Roman"/>
          <w:b/>
        </w:rPr>
        <w:t xml:space="preserve">1.2 </w:t>
      </w:r>
      <w:r w:rsidR="00856C3B">
        <w:rPr>
          <w:rFonts w:cs="Times New Roman"/>
          <w:b/>
        </w:rPr>
        <w:t>The</w:t>
      </w:r>
      <w:r w:rsidR="00CE0E24" w:rsidRPr="003204B4">
        <w:rPr>
          <w:rFonts w:cs="Times New Roman"/>
          <w:b/>
        </w:rPr>
        <w:t xml:space="preserve"> UK </w:t>
      </w:r>
      <w:r w:rsidR="00E02A33">
        <w:rPr>
          <w:rFonts w:cs="Times New Roman"/>
          <w:b/>
        </w:rPr>
        <w:t>C</w:t>
      </w:r>
      <w:r w:rsidR="00E02A33" w:rsidRPr="003204B4">
        <w:rPr>
          <w:rFonts w:cs="Times New Roman"/>
          <w:b/>
        </w:rPr>
        <w:t>ontext</w:t>
      </w:r>
    </w:p>
    <w:p w14:paraId="2F2AF895" w14:textId="3550A841" w:rsidR="000E2FA2" w:rsidRDefault="00052C0E" w:rsidP="007A6645">
      <w:pPr>
        <w:ind w:firstLine="720"/>
        <w:rPr>
          <w:rFonts w:cs="Times New Roman"/>
        </w:rPr>
      </w:pPr>
      <w:r>
        <w:rPr>
          <w:rFonts w:cs="Times New Roman"/>
        </w:rPr>
        <w:t xml:space="preserve">The UK is a developed capitalist </w:t>
      </w:r>
      <w:r w:rsidR="00D41818">
        <w:rPr>
          <w:rFonts w:cs="Times New Roman"/>
        </w:rPr>
        <w:t xml:space="preserve">country </w:t>
      </w:r>
      <w:r>
        <w:rPr>
          <w:rFonts w:cs="Times New Roman"/>
        </w:rPr>
        <w:t xml:space="preserve">which is usually seen as </w:t>
      </w:r>
      <w:r w:rsidR="00D41818">
        <w:rPr>
          <w:rFonts w:cs="Times New Roman"/>
        </w:rPr>
        <w:t xml:space="preserve">having </w:t>
      </w:r>
      <w:r>
        <w:rPr>
          <w:rFonts w:cs="Times New Roman"/>
        </w:rPr>
        <w:t xml:space="preserve">a ‘liberal market economy’ </w:t>
      </w:r>
      <w:r w:rsidR="00CE0E24">
        <w:rPr>
          <w:rFonts w:cs="Times New Roman"/>
        </w:rPr>
        <w:t xml:space="preserve">although </w:t>
      </w:r>
      <w:r>
        <w:rPr>
          <w:rFonts w:cs="Times New Roman"/>
        </w:rPr>
        <w:t>Howell (2007) argues</w:t>
      </w:r>
      <w:r w:rsidR="00462EA4">
        <w:rPr>
          <w:rFonts w:cs="Times New Roman"/>
        </w:rPr>
        <w:t xml:space="preserve"> that it has many features which transcend this definition.</w:t>
      </w:r>
      <w:r>
        <w:rPr>
          <w:rFonts w:cs="Times New Roman"/>
        </w:rPr>
        <w:t xml:space="preserve"> </w:t>
      </w:r>
      <w:r w:rsidR="0085416C">
        <w:rPr>
          <w:rFonts w:cs="Times New Roman"/>
        </w:rPr>
        <w:t>The UK</w:t>
      </w:r>
      <w:r w:rsidR="00462EA4">
        <w:rPr>
          <w:rFonts w:cs="Times New Roman"/>
        </w:rPr>
        <w:t xml:space="preserve"> labour market is defined by high levels of </w:t>
      </w:r>
      <w:r w:rsidR="00D41818">
        <w:rPr>
          <w:rFonts w:cs="Times New Roman"/>
        </w:rPr>
        <w:t xml:space="preserve">employment, relatively weak structures for collective bargaining, sustained growth in self-employment, an increase in precarity, falling wages and a bifurcation in pay and conditions between high skill and low skill </w:t>
      </w:r>
      <w:r w:rsidR="00CE0E24">
        <w:rPr>
          <w:rFonts w:cs="Times New Roman"/>
        </w:rPr>
        <w:t xml:space="preserve">workers in </w:t>
      </w:r>
      <w:r w:rsidR="00D41818">
        <w:rPr>
          <w:rFonts w:cs="Times New Roman"/>
        </w:rPr>
        <w:t>the economy</w:t>
      </w:r>
      <w:r w:rsidR="00E155B6">
        <w:rPr>
          <w:rFonts w:cs="Times New Roman"/>
        </w:rPr>
        <w:t xml:space="preserve"> combined with a shrinking demand for intermediate skills (the so-called ‘hour-glass labour market’)</w:t>
      </w:r>
      <w:r w:rsidR="00D41818">
        <w:rPr>
          <w:rFonts w:cs="Times New Roman"/>
        </w:rPr>
        <w:t xml:space="preserve"> (UKCES, 2014). It is also charact</w:t>
      </w:r>
      <w:r w:rsidR="00300BE6">
        <w:rPr>
          <w:rFonts w:cs="Times New Roman"/>
        </w:rPr>
        <w:t>er</w:t>
      </w:r>
      <w:r w:rsidR="00D41818">
        <w:rPr>
          <w:rFonts w:cs="Times New Roman"/>
        </w:rPr>
        <w:t xml:space="preserve">ised by concerns about </w:t>
      </w:r>
      <w:r w:rsidR="003B1B28">
        <w:rPr>
          <w:rFonts w:cs="Times New Roman"/>
        </w:rPr>
        <w:t xml:space="preserve">its ability to emerge from ‘the great recession’, low </w:t>
      </w:r>
      <w:r w:rsidR="004C31A3">
        <w:rPr>
          <w:rFonts w:cs="Times New Roman"/>
        </w:rPr>
        <w:t xml:space="preserve">productivity, </w:t>
      </w:r>
      <w:r w:rsidR="00D41818">
        <w:rPr>
          <w:rFonts w:cs="Times New Roman"/>
        </w:rPr>
        <w:t>skills</w:t>
      </w:r>
      <w:r w:rsidR="00DE610B">
        <w:rPr>
          <w:rFonts w:cs="Times New Roman"/>
        </w:rPr>
        <w:t xml:space="preserve"> supply and skills</w:t>
      </w:r>
      <w:r w:rsidR="00D41818">
        <w:rPr>
          <w:rFonts w:cs="Times New Roman"/>
        </w:rPr>
        <w:t xml:space="preserve"> alignment</w:t>
      </w:r>
      <w:r w:rsidR="003B1B28">
        <w:rPr>
          <w:rFonts w:cs="Times New Roman"/>
        </w:rPr>
        <w:t xml:space="preserve"> (Coulter, 2016). </w:t>
      </w:r>
      <w:r w:rsidR="004C31A3">
        <w:rPr>
          <w:rFonts w:cs="Times New Roman"/>
        </w:rPr>
        <w:t>O</w:t>
      </w:r>
      <w:r w:rsidR="002F2AC8">
        <w:rPr>
          <w:rFonts w:cs="Times New Roman"/>
        </w:rPr>
        <w:t xml:space="preserve">ver the </w:t>
      </w:r>
      <w:r w:rsidR="00377E27">
        <w:rPr>
          <w:rFonts w:cs="Times New Roman"/>
        </w:rPr>
        <w:t>course</w:t>
      </w:r>
      <w:r w:rsidR="002F2AC8">
        <w:rPr>
          <w:rFonts w:cs="Times New Roman"/>
        </w:rPr>
        <w:t xml:space="preserve"> of the twentieth century </w:t>
      </w:r>
      <w:r w:rsidR="002A121F">
        <w:rPr>
          <w:rFonts w:cs="Times New Roman"/>
        </w:rPr>
        <w:t xml:space="preserve">– and </w:t>
      </w:r>
      <w:r w:rsidR="00300BE6">
        <w:rPr>
          <w:rFonts w:cs="Times New Roman"/>
        </w:rPr>
        <w:t>like</w:t>
      </w:r>
      <w:r w:rsidR="002A121F">
        <w:rPr>
          <w:rFonts w:cs="Times New Roman"/>
        </w:rPr>
        <w:t xml:space="preserve"> </w:t>
      </w:r>
      <w:r w:rsidR="00300BE6">
        <w:rPr>
          <w:rFonts w:cs="Times New Roman"/>
        </w:rPr>
        <w:t xml:space="preserve">many </w:t>
      </w:r>
      <w:r w:rsidR="002A121F">
        <w:rPr>
          <w:rFonts w:cs="Times New Roman"/>
        </w:rPr>
        <w:t xml:space="preserve">other developed countries - </w:t>
      </w:r>
      <w:r w:rsidR="002F2AC8">
        <w:rPr>
          <w:rFonts w:cs="Times New Roman"/>
        </w:rPr>
        <w:t>the UK l</w:t>
      </w:r>
      <w:r w:rsidR="00C274DF" w:rsidRPr="00C274DF">
        <w:rPr>
          <w:rFonts w:cs="Times New Roman"/>
        </w:rPr>
        <w:t>abour market</w:t>
      </w:r>
      <w:r w:rsidR="002F2AC8">
        <w:rPr>
          <w:rFonts w:cs="Times New Roman"/>
        </w:rPr>
        <w:t xml:space="preserve"> </w:t>
      </w:r>
      <w:r w:rsidR="00606452">
        <w:rPr>
          <w:rFonts w:cs="Times New Roman"/>
        </w:rPr>
        <w:t xml:space="preserve">has </w:t>
      </w:r>
      <w:r w:rsidR="002F2AC8">
        <w:rPr>
          <w:rFonts w:cs="Times New Roman"/>
        </w:rPr>
        <w:t xml:space="preserve">shifted from being one </w:t>
      </w:r>
      <w:r w:rsidR="00C274DF" w:rsidRPr="00C274DF">
        <w:rPr>
          <w:rFonts w:cs="Times New Roman"/>
        </w:rPr>
        <w:t xml:space="preserve">dominated by </w:t>
      </w:r>
      <w:r w:rsidR="008237BA">
        <w:rPr>
          <w:rFonts w:cs="Times New Roman"/>
        </w:rPr>
        <w:t xml:space="preserve">agriculture, </w:t>
      </w:r>
      <w:r w:rsidR="002F2AC8">
        <w:rPr>
          <w:rFonts w:cs="Times New Roman"/>
        </w:rPr>
        <w:t>extr</w:t>
      </w:r>
      <w:r w:rsidR="00E155B6">
        <w:rPr>
          <w:rFonts w:cs="Times New Roman"/>
        </w:rPr>
        <w:t xml:space="preserve">active and </w:t>
      </w:r>
      <w:r w:rsidR="00C274DF" w:rsidRPr="00C274DF">
        <w:rPr>
          <w:rFonts w:cs="Times New Roman"/>
        </w:rPr>
        <w:t xml:space="preserve">manufacturing </w:t>
      </w:r>
      <w:r w:rsidR="00E155B6">
        <w:rPr>
          <w:rFonts w:cs="Times New Roman"/>
        </w:rPr>
        <w:t xml:space="preserve">industries to one where employment is dominated by the </w:t>
      </w:r>
      <w:r w:rsidR="00C274DF" w:rsidRPr="00C274DF">
        <w:rPr>
          <w:rFonts w:cs="Times New Roman"/>
        </w:rPr>
        <w:t xml:space="preserve">service </w:t>
      </w:r>
      <w:r w:rsidR="00E155B6">
        <w:rPr>
          <w:rFonts w:cs="Times New Roman"/>
        </w:rPr>
        <w:t xml:space="preserve">and </w:t>
      </w:r>
      <w:r w:rsidR="00C274DF" w:rsidRPr="00C274DF">
        <w:rPr>
          <w:rFonts w:cs="Times New Roman"/>
        </w:rPr>
        <w:t xml:space="preserve">knowledge </w:t>
      </w:r>
      <w:r w:rsidR="00E155B6">
        <w:rPr>
          <w:rFonts w:cs="Times New Roman"/>
        </w:rPr>
        <w:t>sectors</w:t>
      </w:r>
      <w:r w:rsidR="002A121F">
        <w:rPr>
          <w:rFonts w:cs="Times New Roman"/>
        </w:rPr>
        <w:t xml:space="preserve"> (Bell, 1973</w:t>
      </w:r>
      <w:r w:rsidR="00423A24">
        <w:rPr>
          <w:rFonts w:cs="Times New Roman"/>
        </w:rPr>
        <w:t>; ONS, 2015</w:t>
      </w:r>
      <w:r w:rsidR="002A121F">
        <w:rPr>
          <w:rFonts w:cs="Times New Roman"/>
        </w:rPr>
        <w:t>)</w:t>
      </w:r>
      <w:r w:rsidR="004C31A3">
        <w:rPr>
          <w:rFonts w:cs="Times New Roman"/>
        </w:rPr>
        <w:t>.</w:t>
      </w:r>
      <w:r w:rsidR="00E155B6">
        <w:rPr>
          <w:rFonts w:cs="Times New Roman"/>
        </w:rPr>
        <w:t xml:space="preserve"> </w:t>
      </w:r>
      <w:r w:rsidR="004C31A3">
        <w:rPr>
          <w:rFonts w:cs="Times New Roman"/>
        </w:rPr>
        <w:t>These sectors</w:t>
      </w:r>
      <w:r w:rsidR="008237BA">
        <w:rPr>
          <w:rFonts w:cs="Times New Roman"/>
        </w:rPr>
        <w:t xml:space="preserve"> now account for 53% of employment </w:t>
      </w:r>
      <w:r w:rsidR="00DA297A">
        <w:rPr>
          <w:rFonts w:cs="Times New Roman"/>
        </w:rPr>
        <w:t>(</w:t>
      </w:r>
      <w:r w:rsidR="008237BA">
        <w:rPr>
          <w:rFonts w:cs="Times New Roman"/>
        </w:rPr>
        <w:t>ONS, 2018</w:t>
      </w:r>
      <w:r w:rsidR="00DA297A">
        <w:rPr>
          <w:rFonts w:cs="Times New Roman"/>
        </w:rPr>
        <w:t>)</w:t>
      </w:r>
      <w:r w:rsidR="00C274DF" w:rsidRPr="00C274DF">
        <w:rPr>
          <w:rFonts w:cs="Times New Roman"/>
        </w:rPr>
        <w:t xml:space="preserve">. </w:t>
      </w:r>
      <w:r w:rsidR="00E155B6">
        <w:rPr>
          <w:rFonts w:cs="Times New Roman"/>
        </w:rPr>
        <w:t xml:space="preserve">The growth of public sector employment has also been an important long-term </w:t>
      </w:r>
      <w:r w:rsidR="00300BE6">
        <w:rPr>
          <w:rFonts w:cs="Times New Roman"/>
        </w:rPr>
        <w:t>shift but</w:t>
      </w:r>
      <w:r w:rsidR="00E155B6">
        <w:rPr>
          <w:rFonts w:cs="Times New Roman"/>
        </w:rPr>
        <w:t xml:space="preserve"> </w:t>
      </w:r>
      <w:r w:rsidR="00CE3163">
        <w:rPr>
          <w:rFonts w:cs="Times New Roman"/>
        </w:rPr>
        <w:t>has</w:t>
      </w:r>
      <w:r w:rsidR="00E155B6">
        <w:rPr>
          <w:rFonts w:cs="Times New Roman"/>
        </w:rPr>
        <w:t xml:space="preserve"> </w:t>
      </w:r>
      <w:r w:rsidR="00606452">
        <w:rPr>
          <w:rFonts w:cs="Times New Roman"/>
        </w:rPr>
        <w:t xml:space="preserve">been </w:t>
      </w:r>
      <w:r w:rsidR="00E155B6">
        <w:rPr>
          <w:rFonts w:cs="Times New Roman"/>
        </w:rPr>
        <w:t>reverse</w:t>
      </w:r>
      <w:r w:rsidR="00CE3163">
        <w:rPr>
          <w:rFonts w:cs="Times New Roman"/>
        </w:rPr>
        <w:t>d</w:t>
      </w:r>
      <w:r w:rsidR="00E155B6">
        <w:rPr>
          <w:rFonts w:cs="Times New Roman"/>
        </w:rPr>
        <w:t xml:space="preserve"> since the recession through </w:t>
      </w:r>
      <w:r w:rsidR="008237BA">
        <w:rPr>
          <w:rFonts w:cs="Times New Roman"/>
        </w:rPr>
        <w:t>both a policy of austerity and through some privatisation and reclassification of formerly publicly run industries (ONS, 2018).</w:t>
      </w:r>
      <w:r w:rsidR="00E155B6">
        <w:rPr>
          <w:rFonts w:cs="Times New Roman"/>
        </w:rPr>
        <w:t xml:space="preserve"> </w:t>
      </w:r>
    </w:p>
    <w:p w14:paraId="0129035F" w14:textId="38CE7D96" w:rsidR="00236ADF" w:rsidRDefault="008237BA" w:rsidP="007A6645">
      <w:pPr>
        <w:ind w:firstLine="720"/>
        <w:rPr>
          <w:rFonts w:cs="Times New Roman"/>
        </w:rPr>
      </w:pPr>
      <w:r>
        <w:rPr>
          <w:rFonts w:cs="Times New Roman"/>
        </w:rPr>
        <w:t xml:space="preserve">The </w:t>
      </w:r>
      <w:r w:rsidR="003A22CE">
        <w:rPr>
          <w:rFonts w:cs="Times New Roman"/>
        </w:rPr>
        <w:t xml:space="preserve">level of </w:t>
      </w:r>
      <w:r w:rsidR="00372BF9">
        <w:rPr>
          <w:rFonts w:cs="Times New Roman"/>
        </w:rPr>
        <w:t xml:space="preserve">employment in the </w:t>
      </w:r>
      <w:r w:rsidR="00236ADF">
        <w:rPr>
          <w:rFonts w:cs="Times New Roman"/>
        </w:rPr>
        <w:t xml:space="preserve">UK is </w:t>
      </w:r>
      <w:r w:rsidR="00372BF9">
        <w:rPr>
          <w:rFonts w:cs="Times New Roman"/>
        </w:rPr>
        <w:t xml:space="preserve">at an </w:t>
      </w:r>
      <w:r w:rsidR="00CE3163">
        <w:rPr>
          <w:rFonts w:cs="Times New Roman"/>
        </w:rPr>
        <w:t>all-time</w:t>
      </w:r>
      <w:r w:rsidR="00372BF9">
        <w:rPr>
          <w:rFonts w:cs="Times New Roman"/>
        </w:rPr>
        <w:t xml:space="preserve"> high </w:t>
      </w:r>
      <w:r w:rsidR="00236ADF">
        <w:rPr>
          <w:rFonts w:cs="Times New Roman"/>
        </w:rPr>
        <w:t xml:space="preserve">(Taylor, Marsh, Nicol and Broadbent, 2017). </w:t>
      </w:r>
      <w:r w:rsidR="00372BF9">
        <w:rPr>
          <w:rFonts w:cs="Times New Roman"/>
        </w:rPr>
        <w:t xml:space="preserve">While other European countries have seen </w:t>
      </w:r>
      <w:r w:rsidR="00F36DF7">
        <w:rPr>
          <w:rFonts w:cs="Times New Roman"/>
        </w:rPr>
        <w:t xml:space="preserve">growing </w:t>
      </w:r>
      <w:r w:rsidR="00372BF9">
        <w:rPr>
          <w:rFonts w:cs="Times New Roman"/>
        </w:rPr>
        <w:t>levels of unemployment following the recession, the UK has continued to steadily increase the number of people employed. However, there has been criticism that th</w:t>
      </w:r>
      <w:r w:rsidR="003A22CE">
        <w:rPr>
          <w:rFonts w:cs="Times New Roman"/>
        </w:rPr>
        <w:t xml:space="preserve">e increase in </w:t>
      </w:r>
      <w:r w:rsidR="00CE0E24">
        <w:rPr>
          <w:rFonts w:cs="Times New Roman"/>
        </w:rPr>
        <w:t xml:space="preserve">the </w:t>
      </w:r>
      <w:r w:rsidR="003A22CE">
        <w:rPr>
          <w:rFonts w:cs="Times New Roman"/>
        </w:rPr>
        <w:t xml:space="preserve">quantity of employment has been made possible by a decrease in </w:t>
      </w:r>
      <w:r w:rsidR="00CE0E24">
        <w:rPr>
          <w:rFonts w:cs="Times New Roman"/>
        </w:rPr>
        <w:t xml:space="preserve">its </w:t>
      </w:r>
      <w:r w:rsidR="003A22CE">
        <w:rPr>
          <w:rFonts w:cs="Times New Roman"/>
        </w:rPr>
        <w:t xml:space="preserve">quality. </w:t>
      </w:r>
      <w:r w:rsidR="00B16E84">
        <w:rPr>
          <w:rFonts w:cs="Times New Roman"/>
        </w:rPr>
        <w:t xml:space="preserve">Taylor et al. report </w:t>
      </w:r>
      <w:r w:rsidR="00CE0E24">
        <w:rPr>
          <w:rFonts w:cs="Times New Roman"/>
        </w:rPr>
        <w:t xml:space="preserve">growing </w:t>
      </w:r>
      <w:r w:rsidR="00236ADF">
        <w:rPr>
          <w:rFonts w:cs="Times New Roman"/>
        </w:rPr>
        <w:t>precarity and uncertainty in the labour market</w:t>
      </w:r>
      <w:r w:rsidR="00B16E84">
        <w:rPr>
          <w:rFonts w:cs="Times New Roman"/>
        </w:rPr>
        <w:t xml:space="preserve"> with </w:t>
      </w:r>
      <w:r w:rsidR="00CE0E24">
        <w:rPr>
          <w:rFonts w:cs="Times New Roman"/>
        </w:rPr>
        <w:t xml:space="preserve">an increase in </w:t>
      </w:r>
      <w:r w:rsidR="00B16E84">
        <w:rPr>
          <w:rFonts w:cs="Times New Roman"/>
        </w:rPr>
        <w:t>z</w:t>
      </w:r>
      <w:r w:rsidR="00236ADF">
        <w:rPr>
          <w:rFonts w:cs="Times New Roman"/>
        </w:rPr>
        <w:t xml:space="preserve">ero-hour contracts, a lack </w:t>
      </w:r>
      <w:r w:rsidR="00236ADF">
        <w:rPr>
          <w:rFonts w:cs="Times New Roman"/>
        </w:rPr>
        <w:lastRenderedPageBreak/>
        <w:t>of worker’s rights in the ‘gig economy’ and economic uncertainty following the EU referendum</w:t>
      </w:r>
      <w:r w:rsidR="00B16E84">
        <w:rPr>
          <w:rFonts w:cs="Times New Roman"/>
        </w:rPr>
        <w:t xml:space="preserve">. </w:t>
      </w:r>
      <w:r w:rsidR="001D669B">
        <w:rPr>
          <w:rFonts w:cs="Times New Roman"/>
        </w:rPr>
        <w:t>These</w:t>
      </w:r>
      <w:r w:rsidR="00B16E84">
        <w:rPr>
          <w:rFonts w:cs="Times New Roman"/>
        </w:rPr>
        <w:t xml:space="preserve"> concerns make a focus on decent work highly relevant in the context of current working life in the UK. </w:t>
      </w:r>
    </w:p>
    <w:p w14:paraId="1BDBCEFA" w14:textId="23C2441C" w:rsidR="00DA4074" w:rsidRDefault="00451461" w:rsidP="007A6645">
      <w:pPr>
        <w:ind w:firstLine="720"/>
        <w:rPr>
          <w:rFonts w:cs="Times New Roman"/>
        </w:rPr>
      </w:pPr>
      <w:r>
        <w:rPr>
          <w:rFonts w:cs="Times New Roman"/>
        </w:rPr>
        <w:t>T</w:t>
      </w:r>
      <w:r w:rsidR="00DA4074">
        <w:rPr>
          <w:rFonts w:cs="Times New Roman"/>
        </w:rPr>
        <w:t xml:space="preserve">he concept of decent work has recently been discussed overtly by the Taylor Review (2017) </w:t>
      </w:r>
      <w:r>
        <w:rPr>
          <w:rFonts w:cs="Times New Roman"/>
        </w:rPr>
        <w:t xml:space="preserve">which </w:t>
      </w:r>
      <w:r w:rsidR="00DA4074">
        <w:rPr>
          <w:rFonts w:cs="Times New Roman"/>
        </w:rPr>
        <w:t xml:space="preserve">was commissioned by the UK government. This review sought to explore a growth in precarity and ensure that </w:t>
      </w:r>
      <w:r w:rsidR="00DA4074" w:rsidRPr="00BB0061">
        <w:rPr>
          <w:rFonts w:cs="Times New Roman"/>
          <w:i/>
        </w:rPr>
        <w:t>‘all work in the UK economy should be fair and decent with realistic scope for development and fulfilment’</w:t>
      </w:r>
      <w:r w:rsidR="00DA4074">
        <w:rPr>
          <w:rFonts w:cs="Times New Roman"/>
        </w:rPr>
        <w:t xml:space="preserve"> (p. 6). While the review is ultimately in favour of a flexible labour market with limited regulation, it points to several policy issues that the government must tackle to support job security and decent work. </w:t>
      </w:r>
    </w:p>
    <w:p w14:paraId="3528F90C" w14:textId="5C07F51A" w:rsidR="006B781D" w:rsidRPr="00D16D4C" w:rsidRDefault="00365A85" w:rsidP="007A6645">
      <w:pPr>
        <w:ind w:firstLine="720"/>
        <w:rPr>
          <w:rFonts w:cs="Times New Roman"/>
        </w:rPr>
      </w:pPr>
      <w:r>
        <w:rPr>
          <w:rFonts w:cs="Times New Roman"/>
        </w:rPr>
        <w:t xml:space="preserve">In this paper we will be </w:t>
      </w:r>
      <w:r w:rsidR="00072EE6">
        <w:rPr>
          <w:rFonts w:cs="Times New Roman"/>
        </w:rPr>
        <w:t xml:space="preserve">assessing the </w:t>
      </w:r>
      <w:r>
        <w:rPr>
          <w:rFonts w:cs="Times New Roman"/>
        </w:rPr>
        <w:t>valid</w:t>
      </w:r>
      <w:r w:rsidR="00072EE6">
        <w:rPr>
          <w:rFonts w:cs="Times New Roman"/>
        </w:rPr>
        <w:t>ity of</w:t>
      </w:r>
      <w:r>
        <w:rPr>
          <w:rFonts w:cs="Times New Roman"/>
        </w:rPr>
        <w:t xml:space="preserve"> the DWS in the context of the UK. </w:t>
      </w:r>
      <w:r w:rsidR="00072EE6">
        <w:rPr>
          <w:rFonts w:cs="Times New Roman"/>
        </w:rPr>
        <w:t>In our second study we</w:t>
      </w:r>
      <w:r>
        <w:rPr>
          <w:rFonts w:cs="Times New Roman"/>
        </w:rPr>
        <w:t xml:space="preserve"> reflect </w:t>
      </w:r>
      <w:r w:rsidR="00072EE6">
        <w:rPr>
          <w:rFonts w:cs="Times New Roman"/>
        </w:rPr>
        <w:t xml:space="preserve">on </w:t>
      </w:r>
      <w:r>
        <w:rPr>
          <w:rFonts w:cs="Times New Roman"/>
        </w:rPr>
        <w:t xml:space="preserve">the five </w:t>
      </w:r>
      <w:r w:rsidR="006B781D">
        <w:rPr>
          <w:rFonts w:cs="Times New Roman"/>
        </w:rPr>
        <w:t xml:space="preserve">components </w:t>
      </w:r>
      <w:r>
        <w:rPr>
          <w:rFonts w:cs="Times New Roman"/>
        </w:rPr>
        <w:t>that comprise the DWS and to consider what current issues in the UK are relevant to each of these components. The five components are summarised as:</w:t>
      </w:r>
      <w:r>
        <w:t xml:space="preserve"> (1) interpersonally and physically safe working environments; (2) hours that allow for adequate free time and rest; (3) organisational values aligned to individual and family values; (4) adequate compensation; and (5) access to adequate healthcare. </w:t>
      </w:r>
    </w:p>
    <w:p w14:paraId="55B9D5E8" w14:textId="18A28302" w:rsidR="00365A85" w:rsidRDefault="00CC230E" w:rsidP="007A6645">
      <w:pPr>
        <w:ind w:firstLine="720"/>
      </w:pPr>
      <w:r w:rsidRPr="00CC230E">
        <w:rPr>
          <w:i/>
        </w:rPr>
        <w:t>Interpersonally and physically safe working environments.</w:t>
      </w:r>
      <w:r w:rsidR="007202D0">
        <w:rPr>
          <w:i/>
        </w:rPr>
        <w:t xml:space="preserve"> </w:t>
      </w:r>
      <w:r w:rsidR="00365A85">
        <w:t xml:space="preserve">The UK has a developed regulatory framework for </w:t>
      </w:r>
      <w:r w:rsidR="00CE0E24">
        <w:t xml:space="preserve">managing the </w:t>
      </w:r>
      <w:r w:rsidR="00365A85">
        <w:t xml:space="preserve">physical, environmental and psychological aspects of working environments (Health and Safety Executive (HSE), n.d.). This </w:t>
      </w:r>
      <w:r w:rsidR="00BF3D38">
        <w:t xml:space="preserve">framework places responsibility on employers for ensuring safety, </w:t>
      </w:r>
      <w:r w:rsidR="00B50A4B">
        <w:t>protect</w:t>
      </w:r>
      <w:r w:rsidR="00BF3D38">
        <w:t>s</w:t>
      </w:r>
      <w:r w:rsidR="00B50A4B">
        <w:t xml:space="preserve"> workers so they can report hazardous issues</w:t>
      </w:r>
      <w:r w:rsidR="00BF3D38">
        <w:t xml:space="preserve"> and oversees the enforcement of the system through an inspectorate</w:t>
      </w:r>
      <w:r w:rsidR="00BF71F6">
        <w:t>.</w:t>
      </w:r>
      <w:r w:rsidR="007202D0">
        <w:t xml:space="preserve"> </w:t>
      </w:r>
    </w:p>
    <w:p w14:paraId="3B75847B" w14:textId="6FEECB97" w:rsidR="00CC230E" w:rsidRDefault="00B50A4B" w:rsidP="007A6645">
      <w:pPr>
        <w:ind w:firstLine="720"/>
      </w:pPr>
      <w:r>
        <w:t>Despite protections, workers continue to be at risk while on the job. While death at work continues to decline</w:t>
      </w:r>
      <w:r w:rsidR="00CE0E24">
        <w:t>,</w:t>
      </w:r>
      <w:r>
        <w:t xml:space="preserve"> 137 workers were killed at the workplace in 2016/2017</w:t>
      </w:r>
      <w:r w:rsidR="00EF092C">
        <w:t xml:space="preserve"> the largest proportions of which were in construction and agricultural industries</w:t>
      </w:r>
      <w:r>
        <w:t xml:space="preserve"> (HSE, 2017</w:t>
      </w:r>
      <w:r w:rsidR="00C608DC">
        <w:t>a</w:t>
      </w:r>
      <w:r>
        <w:t xml:space="preserve">). </w:t>
      </w:r>
      <w:r w:rsidR="00762605">
        <w:t>In</w:t>
      </w:r>
      <w:r w:rsidR="0056688A">
        <w:t xml:space="preserve"> white collar</w:t>
      </w:r>
      <w:r w:rsidR="00762605">
        <w:t xml:space="preserve"> industries ill health persists</w:t>
      </w:r>
      <w:r w:rsidR="00CE0E24">
        <w:t xml:space="preserve"> with </w:t>
      </w:r>
      <w:r w:rsidR="00762605">
        <w:t xml:space="preserve">stress related illnesses and musculoskeletal disorders </w:t>
      </w:r>
      <w:r w:rsidR="00762605">
        <w:lastRenderedPageBreak/>
        <w:t xml:space="preserve">in service and knowledge industries </w:t>
      </w:r>
      <w:r w:rsidR="008A6382">
        <w:t>prevalent</w:t>
      </w:r>
      <w:r w:rsidR="00C608DC">
        <w:t xml:space="preserve"> (HSE, 2017b; HSE 2017c</w:t>
      </w:r>
      <w:r w:rsidR="00762605">
        <w:t xml:space="preserve">). </w:t>
      </w:r>
      <w:r w:rsidR="000B312A">
        <w:t>Approximately 20 million working days were lost to these two conditions.</w:t>
      </w:r>
    </w:p>
    <w:p w14:paraId="06EA5717" w14:textId="37054B87" w:rsidR="000B3A99" w:rsidRPr="007202D0" w:rsidRDefault="000B3A99" w:rsidP="007A6645">
      <w:pPr>
        <w:ind w:firstLine="720"/>
        <w:rPr>
          <w:rFonts w:cs="Times New Roman"/>
        </w:rPr>
      </w:pPr>
      <w:r>
        <w:rPr>
          <w:rFonts w:cs="Times New Roman"/>
        </w:rPr>
        <w:t xml:space="preserve">The Trades Unions Congress’ </w:t>
      </w:r>
      <w:r w:rsidR="00F81BA6">
        <w:rPr>
          <w:rFonts w:cs="Times New Roman"/>
        </w:rPr>
        <w:t xml:space="preserve">(TUC) </w:t>
      </w:r>
      <w:r>
        <w:rPr>
          <w:rFonts w:cs="Times New Roman"/>
        </w:rPr>
        <w:t xml:space="preserve">(2016) research on workplace health and safety found that the five most common hazards reported by union safety representatives were stress, </w:t>
      </w:r>
      <w:r w:rsidRPr="000B3A99">
        <w:rPr>
          <w:rFonts w:cs="Times New Roman"/>
        </w:rPr>
        <w:t>bullying/harassment, overwork, back strains and long hours at work</w:t>
      </w:r>
      <w:r>
        <w:rPr>
          <w:rFonts w:cs="Times New Roman"/>
        </w:rPr>
        <w:t xml:space="preserve">. </w:t>
      </w:r>
      <w:r w:rsidR="007D3479">
        <w:rPr>
          <w:rFonts w:cs="Times New Roman"/>
        </w:rPr>
        <w:t>W</w:t>
      </w:r>
      <w:r>
        <w:rPr>
          <w:rFonts w:cs="Times New Roman"/>
        </w:rPr>
        <w:t xml:space="preserve">hile </w:t>
      </w:r>
      <w:r w:rsidR="00CE0E24">
        <w:rPr>
          <w:rFonts w:cs="Times New Roman"/>
        </w:rPr>
        <w:t>most</w:t>
      </w:r>
      <w:r>
        <w:rPr>
          <w:rFonts w:cs="Times New Roman"/>
        </w:rPr>
        <w:t xml:space="preserve"> employers conduct risk assessments and safety audits, around half of union safety reps found the</w:t>
      </w:r>
      <w:r w:rsidR="007D3479">
        <w:rPr>
          <w:rFonts w:cs="Times New Roman"/>
        </w:rPr>
        <w:t xml:space="preserve"> quality of these risk assessments to be inadequate. They also reported than inspection was rare, with around half saying that their organisation had never been inspected by an external agency. </w:t>
      </w:r>
    </w:p>
    <w:p w14:paraId="380575A5" w14:textId="23425DF9" w:rsidR="00C274DF" w:rsidRDefault="00CC230E" w:rsidP="007A6645">
      <w:pPr>
        <w:ind w:firstLine="720"/>
        <w:rPr>
          <w:rFonts w:cs="Times New Roman"/>
        </w:rPr>
      </w:pPr>
      <w:r w:rsidRPr="00CC230E">
        <w:rPr>
          <w:rFonts w:cs="Times New Roman"/>
          <w:i/>
        </w:rPr>
        <w:t>Free time and rest</w:t>
      </w:r>
      <w:r>
        <w:rPr>
          <w:rFonts w:cs="Times New Roman"/>
        </w:rPr>
        <w:t xml:space="preserve">. </w:t>
      </w:r>
      <w:r w:rsidR="005E18BA">
        <w:rPr>
          <w:rFonts w:cs="Times New Roman"/>
        </w:rPr>
        <w:t>R</w:t>
      </w:r>
      <w:r w:rsidR="005E18BA" w:rsidRPr="00EF1481">
        <w:rPr>
          <w:rFonts w:cs="Times New Roman"/>
        </w:rPr>
        <w:t xml:space="preserve">ecent studies have reported a positive attitude of British workers in relation to work-life balance (BIS, 2012). The average annual leave for a British worker is currently 25 days, excluding public holidays; however, nearly 25% of workers fail to take their full quota of annual leave. </w:t>
      </w:r>
      <w:r w:rsidR="005E18BA">
        <w:rPr>
          <w:rFonts w:cs="Times New Roman"/>
        </w:rPr>
        <w:t xml:space="preserve"> According to the UK’s Office of National Statistics (2015), the amount of free time/leisure (involving activities outside of paid work, commuting to work, study or caring responsibilities) individuals have in the UK is quite diverse. Following previous observations on the tendency for a work/life imbalance to be over-represented in higher managerial positions (McGinnity </w:t>
      </w:r>
      <w:r w:rsidR="00EC1C2D">
        <w:rPr>
          <w:rFonts w:cs="Times New Roman"/>
        </w:rPr>
        <w:t>&amp;</w:t>
      </w:r>
      <w:r w:rsidR="005E18BA">
        <w:rPr>
          <w:rFonts w:cs="Times New Roman"/>
        </w:rPr>
        <w:t xml:space="preserve"> Calvert, 2009; Ford </w:t>
      </w:r>
      <w:r w:rsidR="00EC1C2D">
        <w:rPr>
          <w:rFonts w:cs="Times New Roman"/>
        </w:rPr>
        <w:t>&amp;</w:t>
      </w:r>
      <w:r w:rsidR="005E18BA">
        <w:rPr>
          <w:rFonts w:cs="Times New Roman"/>
        </w:rPr>
        <w:t xml:space="preserve"> Collinson, 2011), ONS (2015) reports the lowest level of free time/rest is available in those in full-time employment and a reduction of 20% in daily free time/leisure for those in skilled trades, managers or professionals than those from other occupational classifications.  These results and previous literature support the recent BIS (2012) findings that over-time and</w:t>
      </w:r>
      <w:r w:rsidR="00423A24">
        <w:rPr>
          <w:rFonts w:cs="Times New Roman"/>
        </w:rPr>
        <w:t>,</w:t>
      </w:r>
      <w:r w:rsidR="005E18BA">
        <w:rPr>
          <w:rFonts w:cs="Times New Roman"/>
        </w:rPr>
        <w:t xml:space="preserve"> in particular</w:t>
      </w:r>
      <w:r w:rsidR="00423A24">
        <w:rPr>
          <w:rFonts w:cs="Times New Roman"/>
        </w:rPr>
        <w:t>,</w:t>
      </w:r>
      <w:r w:rsidR="005E18BA">
        <w:rPr>
          <w:rFonts w:cs="Times New Roman"/>
        </w:rPr>
        <w:t xml:space="preserve"> unpaid over-time was more common in high-paying and managerial positions, thus echoing the TUC’s findings (reported above) on overwork and long hours.  On a comparative European level, the amount of free time and rest individuals have in the UK currently reflects the </w:t>
      </w:r>
      <w:r w:rsidR="005E18BA">
        <w:rPr>
          <w:rFonts w:cs="Times New Roman"/>
        </w:rPr>
        <w:lastRenderedPageBreak/>
        <w:t xml:space="preserve">European Union average (Eurofound, 2017) and is slightly higher than the average amount of hours available each day for free time and rest reported by the OECD (2009).  </w:t>
      </w:r>
    </w:p>
    <w:p w14:paraId="3043A409" w14:textId="61B251AA" w:rsidR="00F65B21" w:rsidRDefault="00CC230E" w:rsidP="007A6645">
      <w:pPr>
        <w:ind w:firstLine="720"/>
        <w:rPr>
          <w:rFonts w:cs="Times New Roman"/>
        </w:rPr>
      </w:pPr>
      <w:r w:rsidRPr="00CC230E">
        <w:rPr>
          <w:rFonts w:cs="Times New Roman"/>
          <w:i/>
        </w:rPr>
        <w:t>Adequate compensation</w:t>
      </w:r>
      <w:r>
        <w:rPr>
          <w:rFonts w:cs="Times New Roman"/>
        </w:rPr>
        <w:t xml:space="preserve">. </w:t>
      </w:r>
      <w:r w:rsidR="00F65B21" w:rsidRPr="00F65B21">
        <w:rPr>
          <w:rFonts w:cs="Times New Roman"/>
        </w:rPr>
        <w:t xml:space="preserve">With the relative exception of the Asian economies, </w:t>
      </w:r>
      <w:r w:rsidR="00CE0E24">
        <w:rPr>
          <w:rFonts w:cs="Times New Roman"/>
        </w:rPr>
        <w:t xml:space="preserve">most </w:t>
      </w:r>
      <w:r w:rsidR="00F65B21" w:rsidRPr="00F65B21">
        <w:rPr>
          <w:rFonts w:cs="Times New Roman"/>
        </w:rPr>
        <w:t>post-industrial nations were significantly affected by the 2007/2008 financial c</w:t>
      </w:r>
      <w:r w:rsidR="003C42F4">
        <w:rPr>
          <w:rFonts w:cs="Times New Roman"/>
        </w:rPr>
        <w:t>risis</w:t>
      </w:r>
      <w:r w:rsidR="00285637">
        <w:rPr>
          <w:rFonts w:cs="Times New Roman"/>
        </w:rPr>
        <w:t>. The UK</w:t>
      </w:r>
      <w:r w:rsidR="00F65B21" w:rsidRPr="00F65B21">
        <w:rPr>
          <w:rFonts w:cs="Times New Roman"/>
        </w:rPr>
        <w:t xml:space="preserve"> reaction to the financial crash was to cut wages rather than cutting employment (Bell and Blanchflower, 2010; Blundell et al., 2014). Res</w:t>
      </w:r>
      <w:r w:rsidR="008D6115">
        <w:rPr>
          <w:rFonts w:cs="Times New Roman"/>
        </w:rPr>
        <w:t>earch from NatCen (2011) reported</w:t>
      </w:r>
      <w:r w:rsidR="00F65B21" w:rsidRPr="00F65B21">
        <w:rPr>
          <w:rFonts w:cs="Times New Roman"/>
        </w:rPr>
        <w:t xml:space="preserve"> that t</w:t>
      </w:r>
      <w:r w:rsidR="008D6115">
        <w:rPr>
          <w:rFonts w:cs="Times New Roman"/>
        </w:rPr>
        <w:t>he key strategies employed by UK</w:t>
      </w:r>
      <w:r w:rsidR="00F65B21" w:rsidRPr="00F65B21">
        <w:rPr>
          <w:rFonts w:cs="Times New Roman"/>
        </w:rPr>
        <w:t xml:space="preserve"> industry included freezing/cutting wages, postponing expansion, reducing training expenditure, freezing recruitment and increasing current employee workload responsibilities. The same research presented an overall fall in employees’ sense of job security. </w:t>
      </w:r>
      <w:r w:rsidR="00F5105F">
        <w:rPr>
          <w:rFonts w:cs="Times New Roman"/>
        </w:rPr>
        <w:t>There remains a p</w:t>
      </w:r>
      <w:r w:rsidR="00F65B21" w:rsidRPr="00F65B21">
        <w:rPr>
          <w:rFonts w:cs="Times New Roman"/>
        </w:rPr>
        <w:t>ost-recession trend for employees to have wages frozen or cut while b</w:t>
      </w:r>
      <w:r w:rsidR="003C42F4">
        <w:rPr>
          <w:rFonts w:cs="Times New Roman"/>
        </w:rPr>
        <w:t>eing responsible for more work.</w:t>
      </w:r>
      <w:r w:rsidR="00CE0E24">
        <w:rPr>
          <w:rFonts w:cs="Times New Roman"/>
        </w:rPr>
        <w:t xml:space="preserve"> D’Arcy (2017) highlights that such frozen wages have not been accompanied by static prices which has led to an overall pay-squeeze and falling standards of living. </w:t>
      </w:r>
      <w:r w:rsidR="0043761B">
        <w:rPr>
          <w:rFonts w:cs="Times New Roman"/>
        </w:rPr>
        <w:t>What is more the brunt of this pay squeeze is being born by young people who have been locked out of good paying jobs (Clarke &amp; D’Arcy, 2018).</w:t>
      </w:r>
    </w:p>
    <w:p w14:paraId="1FFA9351" w14:textId="455C4F2F" w:rsidR="001D3C6C" w:rsidRDefault="0033644D" w:rsidP="007A6645">
      <w:pPr>
        <w:ind w:firstLine="720"/>
        <w:rPr>
          <w:rFonts w:cs="Times New Roman"/>
        </w:rPr>
      </w:pPr>
      <w:r w:rsidRPr="0033644D">
        <w:rPr>
          <w:rFonts w:cs="Times New Roman"/>
          <w:i/>
        </w:rPr>
        <w:t>Organisational values</w:t>
      </w:r>
      <w:r w:rsidR="001B3AE2">
        <w:rPr>
          <w:rFonts w:cs="Times New Roman"/>
          <w:i/>
        </w:rPr>
        <w:t xml:space="preserve"> aligned to family and individual values</w:t>
      </w:r>
      <w:r w:rsidRPr="0033644D">
        <w:rPr>
          <w:rFonts w:cs="Times New Roman"/>
          <w:i/>
        </w:rPr>
        <w:t>.</w:t>
      </w:r>
      <w:r w:rsidR="001B3AE2">
        <w:rPr>
          <w:rFonts w:cs="Times New Roman"/>
          <w:i/>
        </w:rPr>
        <w:t xml:space="preserve"> </w:t>
      </w:r>
      <w:r w:rsidR="00CF56E9">
        <w:rPr>
          <w:rFonts w:cs="Times New Roman"/>
        </w:rPr>
        <w:t xml:space="preserve">Both </w:t>
      </w:r>
      <w:r w:rsidR="009E6FF4">
        <w:rPr>
          <w:rFonts w:cs="Times New Roman"/>
        </w:rPr>
        <w:t>p</w:t>
      </w:r>
      <w:r w:rsidR="00DF7EAE">
        <w:rPr>
          <w:rFonts w:cs="Times New Roman"/>
        </w:rPr>
        <w:t xml:space="preserve">ersonal </w:t>
      </w:r>
      <w:r w:rsidR="00CF56E9">
        <w:rPr>
          <w:rFonts w:cs="Times New Roman"/>
        </w:rPr>
        <w:t xml:space="preserve">and organisational </w:t>
      </w:r>
      <w:r w:rsidR="00DF7EAE">
        <w:rPr>
          <w:rFonts w:cs="Times New Roman"/>
        </w:rPr>
        <w:t xml:space="preserve">values </w:t>
      </w:r>
      <w:r w:rsidR="00CF56E9">
        <w:rPr>
          <w:rFonts w:cs="Times New Roman"/>
        </w:rPr>
        <w:t>drive both priorities and actions</w:t>
      </w:r>
      <w:r w:rsidR="00DF7EAE">
        <w:rPr>
          <w:rFonts w:cs="Times New Roman"/>
        </w:rPr>
        <w:t xml:space="preserve"> (</w:t>
      </w:r>
      <w:r w:rsidR="006E18EA">
        <w:rPr>
          <w:rFonts w:cs="Times New Roman"/>
        </w:rPr>
        <w:t xml:space="preserve">Christensen, 2001; </w:t>
      </w:r>
      <w:r w:rsidR="00DF7EAE">
        <w:rPr>
          <w:rFonts w:cs="Times New Roman"/>
        </w:rPr>
        <w:t>Zhang &amp; Austin, 2006).</w:t>
      </w:r>
      <w:r w:rsidR="00CF56E9">
        <w:rPr>
          <w:rFonts w:cs="Times New Roman"/>
        </w:rPr>
        <w:t xml:space="preserve"> </w:t>
      </w:r>
      <w:r w:rsidR="001D3C6C">
        <w:rPr>
          <w:rFonts w:cs="Times New Roman"/>
        </w:rPr>
        <w:t xml:space="preserve">Where such values are aligned they can have the effect of increasing employee engagement and linking individuals more strongly to their </w:t>
      </w:r>
      <w:r w:rsidR="007202D0">
        <w:rPr>
          <w:rFonts w:cs="Times New Roman"/>
        </w:rPr>
        <w:t>organisation.</w:t>
      </w:r>
      <w:r w:rsidR="006C29EA">
        <w:rPr>
          <w:rFonts w:cs="Times New Roman"/>
        </w:rPr>
        <w:t xml:space="preserve"> </w:t>
      </w:r>
      <w:r w:rsidR="001D3C6C">
        <w:rPr>
          <w:rFonts w:cs="Times New Roman"/>
        </w:rPr>
        <w:t>Schuh et al</w:t>
      </w:r>
      <w:r w:rsidR="00451461">
        <w:rPr>
          <w:rFonts w:cs="Times New Roman"/>
        </w:rPr>
        <w:t>.</w:t>
      </w:r>
      <w:r w:rsidR="001D3C6C">
        <w:rPr>
          <w:rFonts w:cs="Times New Roman"/>
        </w:rPr>
        <w:t xml:space="preserve"> (2016) argue that it is equally important to attend to value misalignment and to note not just where employees are aligned with their employer, but also where they are actively misaligned. Where the fit between employer and employee values is weak the employee is more likely to </w:t>
      </w:r>
      <w:r w:rsidR="00E42186">
        <w:rPr>
          <w:rFonts w:cs="Times New Roman"/>
        </w:rPr>
        <w:t xml:space="preserve">(1) </w:t>
      </w:r>
      <w:r w:rsidR="001D3C6C">
        <w:rPr>
          <w:rFonts w:cs="Times New Roman"/>
        </w:rPr>
        <w:t xml:space="preserve">express </w:t>
      </w:r>
      <w:r w:rsidR="00E42186">
        <w:rPr>
          <w:rFonts w:cs="Times New Roman"/>
        </w:rPr>
        <w:t xml:space="preserve">dissatisfaction with </w:t>
      </w:r>
      <w:r w:rsidR="001D3C6C">
        <w:rPr>
          <w:rFonts w:cs="Times New Roman"/>
        </w:rPr>
        <w:t xml:space="preserve">the </w:t>
      </w:r>
      <w:r w:rsidR="00E42186">
        <w:rPr>
          <w:rFonts w:cs="Times New Roman"/>
        </w:rPr>
        <w:t>workplace</w:t>
      </w:r>
      <w:r w:rsidR="001D3C6C">
        <w:rPr>
          <w:rFonts w:cs="Times New Roman"/>
        </w:rPr>
        <w:t xml:space="preserve">; </w:t>
      </w:r>
      <w:r w:rsidR="00E42186">
        <w:rPr>
          <w:rFonts w:cs="Times New Roman"/>
        </w:rPr>
        <w:t xml:space="preserve">(2) </w:t>
      </w:r>
      <w:r w:rsidR="001D3C6C">
        <w:rPr>
          <w:rFonts w:cs="Times New Roman"/>
        </w:rPr>
        <w:t xml:space="preserve">determine </w:t>
      </w:r>
      <w:r w:rsidR="00E42186">
        <w:rPr>
          <w:rFonts w:cs="Times New Roman"/>
        </w:rPr>
        <w:t xml:space="preserve">to </w:t>
      </w:r>
      <w:r w:rsidR="001D3C6C">
        <w:rPr>
          <w:rFonts w:cs="Times New Roman"/>
        </w:rPr>
        <w:t xml:space="preserve">try and </w:t>
      </w:r>
      <w:r w:rsidR="00E42186">
        <w:rPr>
          <w:rFonts w:cs="Times New Roman"/>
        </w:rPr>
        <w:t xml:space="preserve">change </w:t>
      </w:r>
      <w:r w:rsidR="001D3C6C">
        <w:rPr>
          <w:rFonts w:cs="Times New Roman"/>
        </w:rPr>
        <w:t xml:space="preserve">the values of their </w:t>
      </w:r>
      <w:r w:rsidR="00E42186">
        <w:rPr>
          <w:rFonts w:cs="Times New Roman"/>
        </w:rPr>
        <w:t>employer or (3) resign</w:t>
      </w:r>
      <w:r w:rsidR="001D3C6C">
        <w:rPr>
          <w:rFonts w:cs="Times New Roman"/>
        </w:rPr>
        <w:t xml:space="preserve"> from their </w:t>
      </w:r>
      <w:r w:rsidR="00E42186">
        <w:rPr>
          <w:rFonts w:cs="Times New Roman"/>
        </w:rPr>
        <w:t>job (Hoffman, 1993).</w:t>
      </w:r>
      <w:r w:rsidR="003738B0">
        <w:rPr>
          <w:rFonts w:cs="Times New Roman"/>
        </w:rPr>
        <w:t xml:space="preserve"> </w:t>
      </w:r>
      <w:r w:rsidR="001D3C6C">
        <w:rPr>
          <w:rFonts w:cs="Times New Roman"/>
        </w:rPr>
        <w:t xml:space="preserve">There is limited research which </w:t>
      </w:r>
      <w:r w:rsidR="001D3C6C">
        <w:rPr>
          <w:rFonts w:cs="Times New Roman"/>
        </w:rPr>
        <w:lastRenderedPageBreak/>
        <w:t xml:space="preserve">specifically explores value fit in UK organisations. This is one of the areas that the decent work research agenda in the UK could contribute more to. </w:t>
      </w:r>
    </w:p>
    <w:p w14:paraId="1D6D9C88" w14:textId="7045B23D" w:rsidR="002635D7" w:rsidRDefault="0033644D" w:rsidP="007A6645">
      <w:pPr>
        <w:ind w:firstLine="720"/>
        <w:rPr>
          <w:rFonts w:cs="Times New Roman"/>
        </w:rPr>
      </w:pPr>
      <w:r>
        <w:rPr>
          <w:rFonts w:cs="Times New Roman"/>
          <w:i/>
        </w:rPr>
        <w:t>Access to healthcare.</w:t>
      </w:r>
      <w:r w:rsidR="0043761B">
        <w:rPr>
          <w:rFonts w:cs="Times New Roman"/>
          <w:i/>
        </w:rPr>
        <w:t xml:space="preserve"> </w:t>
      </w:r>
      <w:r w:rsidR="0043761B">
        <w:rPr>
          <w:rFonts w:cs="Times New Roman"/>
        </w:rPr>
        <w:t xml:space="preserve">In </w:t>
      </w:r>
      <w:r w:rsidR="00945F6E">
        <w:rPr>
          <w:rFonts w:cs="Times New Roman"/>
        </w:rPr>
        <w:t>the UK there is a strong relationship between being economically active and health</w:t>
      </w:r>
      <w:r w:rsidR="002635D7">
        <w:rPr>
          <w:rFonts w:cs="Times New Roman"/>
        </w:rPr>
        <w:t xml:space="preserve"> (BMA, 2017)</w:t>
      </w:r>
      <w:r w:rsidR="00F76629">
        <w:rPr>
          <w:rFonts w:cs="Times New Roman"/>
        </w:rPr>
        <w:t>.</w:t>
      </w:r>
      <w:r w:rsidR="00945F6E">
        <w:rPr>
          <w:rFonts w:cs="Times New Roman"/>
        </w:rPr>
        <w:t xml:space="preserve"> </w:t>
      </w:r>
      <w:r w:rsidR="00F76629">
        <w:rPr>
          <w:rFonts w:cs="Times New Roman"/>
        </w:rPr>
        <w:t>T</w:t>
      </w:r>
      <w:r w:rsidR="00803114">
        <w:rPr>
          <w:rFonts w:cs="Times New Roman"/>
        </w:rPr>
        <w:t>here is a near mirror image between those employed (</w:t>
      </w:r>
      <w:r w:rsidR="006F6DFA">
        <w:rPr>
          <w:rFonts w:cs="Times New Roman"/>
        </w:rPr>
        <w:t>particularly</w:t>
      </w:r>
      <w:r w:rsidR="00803114">
        <w:rPr>
          <w:rFonts w:cs="Times New Roman"/>
        </w:rPr>
        <w:t xml:space="preserve"> in full-time work) and low levels of serious illness including heart attacks and certain forms of cancer</w:t>
      </w:r>
      <w:r w:rsidR="00F76629">
        <w:rPr>
          <w:rFonts w:cs="Times New Roman"/>
        </w:rPr>
        <w:t xml:space="preserve"> (Dorling, 2013)</w:t>
      </w:r>
      <w:r w:rsidR="00803114">
        <w:rPr>
          <w:rFonts w:cs="Times New Roman"/>
        </w:rPr>
        <w:t xml:space="preserve">. However, unlike other OECD countries such as the United States where access to healthcare is often provided by employment, the UK provides universal healthcare through the National Health Service. </w:t>
      </w:r>
      <w:r w:rsidR="00CD7488">
        <w:rPr>
          <w:rFonts w:cs="Times New Roman"/>
        </w:rPr>
        <w:t xml:space="preserve">In addition to the NHS some employers offer private health insurance as an overall package of benefits. The use of such ‘self pay’ routes remains </w:t>
      </w:r>
      <w:r w:rsidR="00EC1C2D">
        <w:rPr>
          <w:rFonts w:cs="Times New Roman"/>
        </w:rPr>
        <w:t>limited but</w:t>
      </w:r>
      <w:r w:rsidR="00CD7488">
        <w:rPr>
          <w:rFonts w:cs="Times New Roman"/>
        </w:rPr>
        <w:t xml:space="preserve"> has increased over recent years and are often utilised when wait times for NHS procedures are considered too long (Campbell, 2017). However, such self-pay routes are supplementary to universal healthcare rather than offering a full alternative to them. </w:t>
      </w:r>
      <w:r w:rsidR="00803114">
        <w:rPr>
          <w:rFonts w:cs="Times New Roman"/>
        </w:rPr>
        <w:t>Such a contrast between UK and US health provision is significan</w:t>
      </w:r>
      <w:r w:rsidR="00884926">
        <w:rPr>
          <w:rFonts w:cs="Times New Roman"/>
        </w:rPr>
        <w:t xml:space="preserve">t </w:t>
      </w:r>
      <w:r w:rsidR="002635D7">
        <w:rPr>
          <w:rFonts w:cs="Times New Roman"/>
        </w:rPr>
        <w:t xml:space="preserve">in </w:t>
      </w:r>
      <w:r w:rsidR="0043761B">
        <w:rPr>
          <w:rFonts w:cs="Times New Roman"/>
        </w:rPr>
        <w:t xml:space="preserve">thinking about how decent work is understood and measured in the two countries. </w:t>
      </w:r>
    </w:p>
    <w:p w14:paraId="2F029548" w14:textId="66E97ECC" w:rsidR="00856C3B" w:rsidRDefault="004534FA" w:rsidP="00856C3B">
      <w:pPr>
        <w:rPr>
          <w:rFonts w:cs="Times New Roman"/>
          <w:b/>
        </w:rPr>
      </w:pPr>
      <w:r>
        <w:rPr>
          <w:rFonts w:cs="Times New Roman"/>
          <w:b/>
        </w:rPr>
        <w:t xml:space="preserve">1.3 </w:t>
      </w:r>
      <w:r w:rsidR="00856C3B" w:rsidRPr="00510FCE">
        <w:rPr>
          <w:rFonts w:cs="Times New Roman"/>
          <w:b/>
        </w:rPr>
        <w:t>Aims</w:t>
      </w:r>
    </w:p>
    <w:p w14:paraId="0BAC417A" w14:textId="77777777" w:rsidR="007B7B0E" w:rsidRDefault="00856C3B" w:rsidP="008E6B88">
      <w:pPr>
        <w:ind w:firstLine="720"/>
      </w:pPr>
      <w:r>
        <w:t>This study explore</w:t>
      </w:r>
      <w:r w:rsidR="00CA579C">
        <w:t>s</w:t>
      </w:r>
      <w:r>
        <w:t xml:space="preserve"> the </w:t>
      </w:r>
      <w:r w:rsidR="00CA579C">
        <w:t xml:space="preserve">validity of the DWS for measuring decent work in the UK and examines what additional concepts might be important for people in the UK’s conception of decent work. </w:t>
      </w:r>
      <w:r>
        <w:t xml:space="preserve">The DWS was first validated with a North American sample. </w:t>
      </w:r>
      <w:r w:rsidR="00CA579C">
        <w:t xml:space="preserve">We hypothesise that the DWS will be valid in the UK and that it will predict </w:t>
      </w:r>
      <w:r w:rsidR="00CA579C" w:rsidRPr="00C32CC6">
        <w:rPr>
          <w:rFonts w:cs="Times New Roman"/>
        </w:rPr>
        <w:t>job satisfaction, work meaning and withdrawal intentions.</w:t>
      </w:r>
      <w:r w:rsidR="00CA579C">
        <w:t xml:space="preserve"> </w:t>
      </w:r>
    </w:p>
    <w:p w14:paraId="72B29924" w14:textId="77777777" w:rsidR="008E6B88" w:rsidRDefault="007B7B0E" w:rsidP="008E6B88">
      <w:pPr>
        <w:ind w:left="360" w:firstLine="360"/>
        <w:rPr>
          <w:rFonts w:cs="Times New Roman"/>
        </w:rPr>
      </w:pPr>
      <w:r>
        <w:rPr>
          <w:rFonts w:cs="Times New Roman"/>
        </w:rPr>
        <w:t xml:space="preserve">Our hypotheses were developed to determine model fit to the survey, predictive validity and to test the findings of the initial study. We developed two main hypotheses to guide the validation of the model. We then developed sub-hypotheses to deepen our enquiry. </w:t>
      </w:r>
    </w:p>
    <w:p w14:paraId="6A5895B9" w14:textId="3CD3D0FD" w:rsidR="007B7B0E" w:rsidRDefault="007B7B0E" w:rsidP="008E6B88">
      <w:pPr>
        <w:ind w:left="360" w:firstLine="360"/>
        <w:rPr>
          <w:rFonts w:cs="Times New Roman"/>
        </w:rPr>
      </w:pPr>
      <w:r>
        <w:rPr>
          <w:rFonts w:cs="Times New Roman"/>
        </w:rPr>
        <w:lastRenderedPageBreak/>
        <w:t>These hypotheses were directly based from the findings of the original Duffy et al. (2017) study.</w:t>
      </w:r>
    </w:p>
    <w:p w14:paraId="6374C115" w14:textId="77777777" w:rsidR="007B7B0E" w:rsidRPr="00DA4074" w:rsidRDefault="007B7B0E" w:rsidP="007B7B0E">
      <w:pPr>
        <w:pStyle w:val="ListParagraph"/>
        <w:numPr>
          <w:ilvl w:val="0"/>
          <w:numId w:val="1"/>
        </w:numPr>
        <w:spacing w:before="240"/>
        <w:rPr>
          <w:rFonts w:cs="Times New Roman"/>
        </w:rPr>
      </w:pPr>
      <w:r w:rsidRPr="00DA4074">
        <w:rPr>
          <w:rFonts w:cs="Times New Roman"/>
        </w:rPr>
        <w:t>Hypothesis 1. A bi-factor model will be the best fit for the DWS.</w:t>
      </w:r>
    </w:p>
    <w:p w14:paraId="11202B88" w14:textId="77777777" w:rsidR="007B7B0E" w:rsidRPr="00DA4074" w:rsidRDefault="007B7B0E" w:rsidP="007B7B0E">
      <w:pPr>
        <w:pStyle w:val="ListParagraph"/>
        <w:numPr>
          <w:ilvl w:val="1"/>
          <w:numId w:val="1"/>
        </w:numPr>
        <w:spacing w:before="240"/>
        <w:rPr>
          <w:rFonts w:cs="Times New Roman"/>
        </w:rPr>
      </w:pPr>
      <w:r w:rsidRPr="00DA4074">
        <w:rPr>
          <w:rFonts w:cs="Times New Roman"/>
        </w:rPr>
        <w:t>Hypothesis 1a. The bi-factor model will not vary based on gender, income or social class.</w:t>
      </w:r>
    </w:p>
    <w:p w14:paraId="1A32BF46" w14:textId="77777777" w:rsidR="007B7B0E" w:rsidRPr="00DA4074" w:rsidRDefault="007B7B0E" w:rsidP="007B7B0E">
      <w:pPr>
        <w:pStyle w:val="ListParagraph"/>
        <w:numPr>
          <w:ilvl w:val="0"/>
          <w:numId w:val="1"/>
        </w:numPr>
        <w:spacing w:before="240" w:after="0"/>
        <w:rPr>
          <w:rFonts w:cs="Times New Roman"/>
        </w:rPr>
      </w:pPr>
      <w:r w:rsidRPr="00DA4074">
        <w:rPr>
          <w:rFonts w:cs="Times New Roman"/>
        </w:rPr>
        <w:t xml:space="preserve">Hypothesis </w:t>
      </w:r>
      <w:r>
        <w:rPr>
          <w:rFonts w:cs="Times New Roman"/>
        </w:rPr>
        <w:t>2</w:t>
      </w:r>
      <w:r w:rsidRPr="00DA4074">
        <w:rPr>
          <w:rFonts w:cs="Times New Roman"/>
        </w:rPr>
        <w:t>. The DWS will have significant predictive validity.</w:t>
      </w:r>
    </w:p>
    <w:p w14:paraId="27E0A31E" w14:textId="77777777" w:rsidR="007B7B0E" w:rsidRPr="00C32CC6" w:rsidRDefault="007B7B0E" w:rsidP="007B7B0E">
      <w:pPr>
        <w:pStyle w:val="ListParagraph"/>
        <w:numPr>
          <w:ilvl w:val="1"/>
          <w:numId w:val="1"/>
        </w:numPr>
        <w:spacing w:before="240" w:after="0"/>
        <w:rPr>
          <w:rFonts w:cs="Times New Roman"/>
        </w:rPr>
      </w:pPr>
      <w:r w:rsidRPr="00DA4074">
        <w:rPr>
          <w:rFonts w:cs="Times New Roman"/>
        </w:rPr>
        <w:t xml:space="preserve">Hypothesis </w:t>
      </w:r>
      <w:r>
        <w:rPr>
          <w:rFonts w:cs="Times New Roman"/>
        </w:rPr>
        <w:t>2</w:t>
      </w:r>
      <w:r w:rsidRPr="00DA4074">
        <w:rPr>
          <w:rFonts w:cs="Times New Roman"/>
        </w:rPr>
        <w:t xml:space="preserve">a. </w:t>
      </w:r>
      <w:r w:rsidRPr="00C32CC6">
        <w:rPr>
          <w:rFonts w:cs="Times New Roman"/>
        </w:rPr>
        <w:t>Decent work will significantly predict dependent variables of job satisfaction, work meaning and withdrawal intentions.</w:t>
      </w:r>
    </w:p>
    <w:p w14:paraId="6FDE82B3" w14:textId="77777777" w:rsidR="007B7B0E" w:rsidRPr="007877CA" w:rsidRDefault="007B7B0E" w:rsidP="007B7B0E">
      <w:pPr>
        <w:pStyle w:val="ListParagraph"/>
        <w:numPr>
          <w:ilvl w:val="1"/>
          <w:numId w:val="1"/>
        </w:numPr>
        <w:spacing w:before="240" w:after="0"/>
        <w:rPr>
          <w:rFonts w:cs="Times New Roman"/>
          <w:i/>
        </w:rPr>
      </w:pPr>
      <w:r w:rsidRPr="00C32CC6">
        <w:rPr>
          <w:rFonts w:cs="Times New Roman"/>
        </w:rPr>
        <w:t xml:space="preserve">Hypothesis </w:t>
      </w:r>
      <w:r>
        <w:rPr>
          <w:rFonts w:cs="Times New Roman"/>
        </w:rPr>
        <w:t>2</w:t>
      </w:r>
      <w:r w:rsidRPr="00C32CC6">
        <w:rPr>
          <w:rFonts w:cs="Times New Roman"/>
        </w:rPr>
        <w:t>b. The adequate compensation and complementary values subscale will significantly predict all three dependent variables of job satisfac</w:t>
      </w:r>
      <w:r>
        <w:rPr>
          <w:rFonts w:cs="Times New Roman"/>
        </w:rPr>
        <w:t>tion, work meaning and withdrawal intentions.</w:t>
      </w:r>
    </w:p>
    <w:p w14:paraId="55F25818" w14:textId="77777777" w:rsidR="004534FA" w:rsidRDefault="004534FA" w:rsidP="008E6B88">
      <w:pPr>
        <w:ind w:firstLine="720"/>
        <w:rPr>
          <w:rFonts w:cs="Times New Roman"/>
        </w:rPr>
      </w:pPr>
      <w:r>
        <w:rPr>
          <w:rFonts w:cs="Times New Roman"/>
        </w:rPr>
        <w:t xml:space="preserve">Study 1 was in part a replication of Duffy et al. (2017) which aims to explore the validity of the DWS in the context of the UK. This study used confirmatory factor analysis (CFA), invariance testing and regression modelling to examine the factor structure and predictive validity of the DWS. </w:t>
      </w:r>
    </w:p>
    <w:p w14:paraId="320B6977" w14:textId="238797DA" w:rsidR="00856C3B" w:rsidRPr="00510FCE" w:rsidRDefault="004534FA" w:rsidP="008E6B88">
      <w:pPr>
        <w:ind w:firstLine="720"/>
        <w:rPr>
          <w:rFonts w:cs="Times New Roman"/>
          <w:b/>
          <w:i/>
        </w:rPr>
      </w:pPr>
      <w:r>
        <w:rPr>
          <w:rFonts w:cs="Times New Roman"/>
        </w:rPr>
        <w:t xml:space="preserve">Study 2 builds on the revalidation of the DWS through a qualitative approach to understand how workers in the UK define decent work in their own words. </w:t>
      </w:r>
      <w:r w:rsidR="000E7183">
        <w:rPr>
          <w:rFonts w:cs="Times New Roman"/>
        </w:rPr>
        <w:t xml:space="preserve">It explores </w:t>
      </w:r>
      <w:r w:rsidR="000E7183">
        <w:t>how UK residents</w:t>
      </w:r>
      <w:r w:rsidR="00856C3B">
        <w:t xml:space="preserve"> articulate decent work </w:t>
      </w:r>
      <w:r w:rsidR="000E7183">
        <w:t xml:space="preserve">and identifies additional components, beyond those contained in the DWS, </w:t>
      </w:r>
      <w:r w:rsidR="00856C3B">
        <w:t>which are important within the UK national context.</w:t>
      </w:r>
    </w:p>
    <w:p w14:paraId="5BA0684C" w14:textId="77777777" w:rsidR="004534FA" w:rsidRDefault="004534FA" w:rsidP="007A6645">
      <w:pPr>
        <w:jc w:val="center"/>
        <w:rPr>
          <w:rFonts w:cs="Times New Roman"/>
          <w:b/>
        </w:rPr>
      </w:pPr>
      <w:r>
        <w:rPr>
          <w:rFonts w:cs="Times New Roman"/>
          <w:b/>
        </w:rPr>
        <w:t>3. Study 1 – Validating the DWS for the UK context</w:t>
      </w:r>
    </w:p>
    <w:p w14:paraId="41EEE274" w14:textId="39C3575E" w:rsidR="006E1D11" w:rsidRPr="004C31A3" w:rsidRDefault="004534FA" w:rsidP="00510FCE">
      <w:pPr>
        <w:rPr>
          <w:rFonts w:cs="Times New Roman"/>
          <w:b/>
        </w:rPr>
      </w:pPr>
      <w:r>
        <w:rPr>
          <w:rFonts w:cs="Times New Roman"/>
          <w:b/>
        </w:rPr>
        <w:t xml:space="preserve">3.1 </w:t>
      </w:r>
      <w:r w:rsidR="006E1D11" w:rsidRPr="004C31A3">
        <w:rPr>
          <w:rFonts w:cs="Times New Roman"/>
          <w:b/>
        </w:rPr>
        <w:t>Method</w:t>
      </w:r>
    </w:p>
    <w:p w14:paraId="7ED37F8D" w14:textId="18A0E073" w:rsidR="007B7B0E" w:rsidRDefault="00CA579C" w:rsidP="00CA579C">
      <w:pPr>
        <w:ind w:firstLine="720"/>
      </w:pPr>
      <w:r w:rsidRPr="007A6645">
        <w:rPr>
          <w:b/>
        </w:rPr>
        <w:t>Participants</w:t>
      </w:r>
      <w:r>
        <w:rPr>
          <w:i/>
        </w:rPr>
        <w:t xml:space="preserve">. </w:t>
      </w:r>
      <w:r>
        <w:t xml:space="preserve">Three hundred and fifty-seven (357) individuals took part in the mixed mode survey. </w:t>
      </w:r>
      <w:r w:rsidR="007B7B0E">
        <w:t xml:space="preserve">The cleaned sample consisted of 294 completed responses with an average age of 41 (SD=12.11). Most respondents identified as female (n=203, 69.5%) while 30% of the </w:t>
      </w:r>
      <w:r w:rsidR="007B7B0E">
        <w:lastRenderedPageBreak/>
        <w:t xml:space="preserve">sample identified as male (n=88) and one respondent identified as other. The sample contained a larger proportion of females than the UK average (ONS, 2016). </w:t>
      </w:r>
    </w:p>
    <w:p w14:paraId="5AFE9515" w14:textId="629164C3" w:rsidR="007B7B0E" w:rsidRDefault="007B7B0E" w:rsidP="00CA579C">
      <w:pPr>
        <w:ind w:firstLine="720"/>
      </w:pPr>
      <w:r>
        <w:t>Over half (54.8%) were employed full time, 33.8% were employed part time, 2.8% were self-employed full time, 1.7% were self-employed part time and 6.8% classified their employment status as other. Two respondents (0.7%) chose not to disclose this information. The sample has a slightly larger proportion (88.6%) of those in work classed as employees (engaged in full or part time work) than the population estimate of 85% (ONS, 2018). The sample has a lower proportion of people in work who were self-employed (4.5%) than the national average of 14.7% (ONS, 2018).</w:t>
      </w:r>
    </w:p>
    <w:p w14:paraId="1B9540B4" w14:textId="77777777" w:rsidR="007B7B0E" w:rsidRDefault="007B7B0E" w:rsidP="00CA579C">
      <w:pPr>
        <w:ind w:firstLine="720"/>
      </w:pPr>
      <w:r w:rsidRPr="00510FCE">
        <w:rPr>
          <w:b/>
        </w:rPr>
        <w:t>Procedure.</w:t>
      </w:r>
      <w:r>
        <w:t xml:space="preserve"> </w:t>
      </w:r>
      <w:r w:rsidR="00CA579C">
        <w:t xml:space="preserve">We used purposive sampling procedures to recruit participants. Participants were recruited through social networks and social media, namely Twitter and Facebook. We recruited by asking potential participants to engage in research which aimed to “learn more about access to decent work in the UK.” When potential participants clicked on the link they received further information about the research aims as well as inclusion and exclusion criteria. </w:t>
      </w:r>
    </w:p>
    <w:p w14:paraId="4A3A4BEC" w14:textId="553A6326" w:rsidR="00CA579C" w:rsidRDefault="00CA579C" w:rsidP="00510FCE">
      <w:pPr>
        <w:ind w:firstLine="720"/>
      </w:pPr>
      <w:r>
        <w:t>In addition, undergraduate students, working with the project as research interns, were trained to collect data and administer the survey with their personal and professional networks. The 40 paper</w:t>
      </w:r>
      <w:r w:rsidR="007B7B0E">
        <w:t>-</w:t>
      </w:r>
      <w:r>
        <w:t>based surveys collected by the research interns were entered as part of the overall dataset. All paper-based surveys were self-administered to increase their alignment to those delivered online and reduce mode-based measurement error. The combination of data collection modes (online and onsite) is well established, useful in reducing costs and enhancing response rates (Hooley, Marriott</w:t>
      </w:r>
      <w:r w:rsidR="00EC1C2D">
        <w:t>,</w:t>
      </w:r>
      <w:r>
        <w:t xml:space="preserve"> &amp; Wellens, 2012). While there can be limited measurement impacts associated with different modes, particularly with complex question types and sensitive topics these can be reduced where survey instruments </w:t>
      </w:r>
      <w:r>
        <w:lastRenderedPageBreak/>
        <w:t>are carefully designed and implemented (</w:t>
      </w:r>
      <w:r w:rsidRPr="00E35D34">
        <w:t>Atkeson, Adams</w:t>
      </w:r>
      <w:r w:rsidR="00EC1C2D">
        <w:t>,</w:t>
      </w:r>
      <w:r w:rsidRPr="00E35D34">
        <w:t xml:space="preserve"> &amp; Alvarez, 2018</w:t>
      </w:r>
      <w:r>
        <w:t xml:space="preserve">; </w:t>
      </w:r>
      <w:r w:rsidRPr="00A45C13">
        <w:t xml:space="preserve">De Leeuw, 2005). </w:t>
      </w:r>
      <w:r>
        <w:t xml:space="preserve">It would be interesting to look at mode effect on the DWS in future research, but this is beyond the scope of the present paper. </w:t>
      </w:r>
    </w:p>
    <w:p w14:paraId="333096F5" w14:textId="5F91044E" w:rsidR="006811A1" w:rsidRDefault="000E7183" w:rsidP="00510FCE">
      <w:r>
        <w:rPr>
          <w:b/>
        </w:rPr>
        <w:tab/>
      </w:r>
      <w:r w:rsidR="00D85CB2" w:rsidRPr="00510FCE">
        <w:rPr>
          <w:rFonts w:cs="Times New Roman"/>
          <w:b/>
        </w:rPr>
        <w:t>Instruments</w:t>
      </w:r>
      <w:r>
        <w:rPr>
          <w:rFonts w:cs="Times New Roman"/>
          <w:b/>
        </w:rPr>
        <w:t xml:space="preserve">. </w:t>
      </w:r>
      <w:r w:rsidR="006811A1" w:rsidRPr="00510FCE">
        <w:rPr>
          <w:i/>
        </w:rPr>
        <w:t>Demographics</w:t>
      </w:r>
      <w:r w:rsidR="006811A1">
        <w:t>. Demographic characteristics including age, gender, qualification level, employment status household income</w:t>
      </w:r>
      <w:r w:rsidR="00C250FF">
        <w:t xml:space="preserve"> and social class</w:t>
      </w:r>
      <w:r w:rsidR="006811A1">
        <w:t xml:space="preserve"> were collected.</w:t>
      </w:r>
      <w:r w:rsidR="008419A3">
        <w:t xml:space="preserve"> These were collected as single items</w:t>
      </w:r>
      <w:r w:rsidR="00D34EFF">
        <w:t xml:space="preserve">: </w:t>
      </w:r>
      <w:r w:rsidR="00C250FF">
        <w:t>“What is your age?”</w:t>
      </w:r>
      <w:r w:rsidR="00D34EFF">
        <w:t>,</w:t>
      </w:r>
      <w:r w:rsidR="00C250FF">
        <w:t xml:space="preserve"> “What is your gender?”,</w:t>
      </w:r>
      <w:r w:rsidR="00773D29">
        <w:t xml:space="preserve"> </w:t>
      </w:r>
      <w:r w:rsidR="00C250FF">
        <w:t xml:space="preserve">“What is </w:t>
      </w:r>
      <w:r w:rsidR="00773D29">
        <w:t xml:space="preserve">the highest qualification that you hold?”, </w:t>
      </w:r>
      <w:r w:rsidR="00D34EFF">
        <w:t xml:space="preserve">“What is your employment status?” and </w:t>
      </w:r>
      <w:r w:rsidR="00773D29">
        <w:t>“What is your average yearly household income?</w:t>
      </w:r>
      <w:r w:rsidR="00D34EFF">
        <w:t xml:space="preserve"> Please include income fro</w:t>
      </w:r>
      <w:r w:rsidR="00F40BDA">
        <w:t>m your spouse/partner as well.”</w:t>
      </w:r>
      <w:r w:rsidR="00DA4074">
        <w:t xml:space="preserve"> </w:t>
      </w:r>
      <w:r w:rsidR="00D34EFF">
        <w:t>Social class was measured using several measures including the Macarthur Scale of Subjective Social Status</w:t>
      </w:r>
      <w:r w:rsidR="00C32CC6">
        <w:t xml:space="preserve"> </w:t>
      </w:r>
      <w:r w:rsidR="00FC0C72">
        <w:t xml:space="preserve">(Adler, Epel, Castellazzo, &amp; Ickovics, 2000). </w:t>
      </w:r>
      <w:r w:rsidR="00A50CB5">
        <w:t>This measure presents respondents with a picture of a ladder with ten rungs where they tick where they are in relation to the top of the ladder (10 or ‘best off’) or the bottom of the ladder (1 or ‘worst off’).</w:t>
      </w:r>
      <w:r w:rsidR="00B764E7">
        <w:t xml:space="preserve"> </w:t>
      </w:r>
      <w:r w:rsidR="00FC0C72">
        <w:t>A</w:t>
      </w:r>
      <w:r w:rsidR="00C32CC6">
        <w:t xml:space="preserve">nother subjective </w:t>
      </w:r>
      <w:r w:rsidR="00FC0C72">
        <w:t xml:space="preserve">class </w:t>
      </w:r>
      <w:r w:rsidR="00C32CC6">
        <w:t>measure</w:t>
      </w:r>
      <w:r w:rsidR="00FC0C72">
        <w:t xml:space="preserve"> simply asked the question,</w:t>
      </w:r>
      <w:r w:rsidR="00C32CC6">
        <w:t xml:space="preserve"> “What is your social class?”</w:t>
      </w:r>
      <w:r w:rsidR="00F40BDA">
        <w:t xml:space="preserve"> where respondents could choose “lower class,” “working class,” “middle class,” or “upper class.”</w:t>
      </w:r>
    </w:p>
    <w:p w14:paraId="3F1D8A24" w14:textId="54A8EFEB" w:rsidR="00542A02" w:rsidRDefault="00D34EFF" w:rsidP="007A6645">
      <w:pPr>
        <w:ind w:firstLine="720"/>
        <w:rPr>
          <w:rFonts w:cs="Times New Roman"/>
        </w:rPr>
      </w:pPr>
      <w:r w:rsidRPr="00D85CB2">
        <w:rPr>
          <w:rFonts w:cs="Times New Roman"/>
          <w:i/>
        </w:rPr>
        <w:t>Decent Work Scale</w:t>
      </w:r>
      <w:r w:rsidR="00C340D7" w:rsidRPr="00D85CB2">
        <w:rPr>
          <w:rFonts w:cs="Times New Roman"/>
          <w:i/>
        </w:rPr>
        <w:t xml:space="preserve"> (DWS)</w:t>
      </w:r>
      <w:r w:rsidRPr="00A7089C">
        <w:rPr>
          <w:rFonts w:cs="Times New Roman"/>
          <w:i/>
        </w:rPr>
        <w:t>.</w:t>
      </w:r>
      <w:r>
        <w:rPr>
          <w:rFonts w:cs="Times New Roman"/>
        </w:rPr>
        <w:t xml:space="preserve"> The </w:t>
      </w:r>
      <w:r w:rsidR="00C340D7">
        <w:rPr>
          <w:rFonts w:cs="Times New Roman"/>
        </w:rPr>
        <w:t>DWS</w:t>
      </w:r>
      <w:r>
        <w:rPr>
          <w:rFonts w:cs="Times New Roman"/>
        </w:rPr>
        <w:t xml:space="preserve"> is a 15 item instrument</w:t>
      </w:r>
      <w:r w:rsidR="001C5496">
        <w:rPr>
          <w:rFonts w:cs="Times New Roman"/>
        </w:rPr>
        <w:t xml:space="preserve"> with five factors using a 7 point Likert scale where 1 = </w:t>
      </w:r>
      <w:r w:rsidR="001C5496">
        <w:rPr>
          <w:rFonts w:cs="Times New Roman"/>
          <w:i/>
        </w:rPr>
        <w:t xml:space="preserve">strongly disagree </w:t>
      </w:r>
      <w:r w:rsidR="001C5496">
        <w:rPr>
          <w:rFonts w:cs="Times New Roman"/>
        </w:rPr>
        <w:t xml:space="preserve">to 7 = </w:t>
      </w:r>
      <w:r w:rsidR="00C71595">
        <w:rPr>
          <w:rFonts w:cs="Times New Roman"/>
          <w:i/>
        </w:rPr>
        <w:t>s</w:t>
      </w:r>
      <w:r w:rsidR="001C5496">
        <w:rPr>
          <w:rFonts w:cs="Times New Roman"/>
          <w:i/>
        </w:rPr>
        <w:t>trongly agree.</w:t>
      </w:r>
      <w:r>
        <w:rPr>
          <w:rFonts w:cs="Times New Roman"/>
        </w:rPr>
        <w:t xml:space="preserve"> </w:t>
      </w:r>
      <w:r w:rsidR="001F6FEA">
        <w:rPr>
          <w:rFonts w:cs="Times New Roman"/>
        </w:rPr>
        <w:t>While the sca</w:t>
      </w:r>
      <w:r w:rsidR="000C5A61">
        <w:rPr>
          <w:rFonts w:cs="Times New Roman"/>
        </w:rPr>
        <w:t>le did not have to be translated</w:t>
      </w:r>
      <w:r w:rsidR="001F6FEA">
        <w:rPr>
          <w:rFonts w:cs="Times New Roman"/>
        </w:rPr>
        <w:t>, s</w:t>
      </w:r>
      <w:r w:rsidR="005C689C">
        <w:rPr>
          <w:rFonts w:cs="Times New Roman"/>
        </w:rPr>
        <w:t xml:space="preserve">ome parts of the </w:t>
      </w:r>
      <w:r w:rsidR="00DB1213">
        <w:rPr>
          <w:rFonts w:cs="Times New Roman"/>
        </w:rPr>
        <w:t>scale</w:t>
      </w:r>
      <w:r w:rsidR="005C689C">
        <w:rPr>
          <w:rFonts w:cs="Times New Roman"/>
        </w:rPr>
        <w:t xml:space="preserve"> were ad</w:t>
      </w:r>
      <w:r w:rsidR="00C479D4">
        <w:rPr>
          <w:rFonts w:cs="Times New Roman"/>
        </w:rPr>
        <w:t>apted to fit the UK context. For the access to healthcare subscale, the following changes were made to the scale: “</w:t>
      </w:r>
      <w:r w:rsidR="00C479D4" w:rsidRPr="00C479D4">
        <w:rPr>
          <w:rFonts w:cs="Times New Roman"/>
        </w:rPr>
        <w:t>I get better healthcare benefits from my job than what is p</w:t>
      </w:r>
      <w:r w:rsidR="00C479D4">
        <w:rPr>
          <w:rFonts w:cs="Times New Roman"/>
        </w:rPr>
        <w:t>rovided by universal healthcare”, “</w:t>
      </w:r>
      <w:r w:rsidR="00C479D4" w:rsidRPr="00C479D4">
        <w:rPr>
          <w:rFonts w:cs="Times New Roman"/>
        </w:rPr>
        <w:t>I have a better healthcare plan at work than what is provided by universal h</w:t>
      </w:r>
      <w:r w:rsidR="00C479D4">
        <w:rPr>
          <w:rFonts w:cs="Times New Roman"/>
        </w:rPr>
        <w:t>ealthcare”, and “</w:t>
      </w:r>
      <w:r w:rsidR="00C479D4" w:rsidRPr="00C479D4">
        <w:rPr>
          <w:rFonts w:cs="Times New Roman"/>
        </w:rPr>
        <w:t>My employer provides more acceptable options for healthcare than what is available with universal healthcare.</w:t>
      </w:r>
      <w:r w:rsidR="00C479D4">
        <w:rPr>
          <w:rFonts w:cs="Times New Roman"/>
        </w:rPr>
        <w:t>”</w:t>
      </w:r>
      <w:r w:rsidR="005E38B2">
        <w:rPr>
          <w:rFonts w:cs="Times New Roman"/>
        </w:rPr>
        <w:t xml:space="preserve"> </w:t>
      </w:r>
      <w:r w:rsidR="0001115A">
        <w:rPr>
          <w:rFonts w:cs="Times New Roman"/>
        </w:rPr>
        <w:t xml:space="preserve"> Table 1</w:t>
      </w:r>
      <w:r w:rsidR="00542A02">
        <w:rPr>
          <w:rFonts w:cs="Times New Roman"/>
        </w:rPr>
        <w:t xml:space="preserve"> details the changes from the original scale to the revised scale.</w:t>
      </w:r>
    </w:p>
    <w:p w14:paraId="75E4ADE6" w14:textId="2BB095DD" w:rsidR="00542A02" w:rsidRDefault="0001115A" w:rsidP="00B764E7">
      <w:pPr>
        <w:jc w:val="center"/>
        <w:rPr>
          <w:rFonts w:cs="Times New Roman"/>
        </w:rPr>
      </w:pPr>
      <w:r>
        <w:rPr>
          <w:rFonts w:cs="Times New Roman"/>
        </w:rPr>
        <w:t>[Table 1]</w:t>
      </w:r>
    </w:p>
    <w:p w14:paraId="055F5DF2" w14:textId="64A93458" w:rsidR="00E16B6E" w:rsidRDefault="005E38B2" w:rsidP="007A6645">
      <w:pPr>
        <w:ind w:firstLine="720"/>
      </w:pPr>
      <w:r>
        <w:rPr>
          <w:rFonts w:cs="Times New Roman"/>
        </w:rPr>
        <w:lastRenderedPageBreak/>
        <w:t>Th</w:t>
      </w:r>
      <w:r w:rsidR="00520C23">
        <w:rPr>
          <w:rFonts w:cs="Times New Roman"/>
        </w:rPr>
        <w:t xml:space="preserve">ese changes were driven by the fact that </w:t>
      </w:r>
      <w:r w:rsidR="007E5F35">
        <w:rPr>
          <w:rFonts w:cs="Times New Roman"/>
        </w:rPr>
        <w:t>pub</w:t>
      </w:r>
      <w:r>
        <w:rPr>
          <w:rFonts w:cs="Times New Roman"/>
        </w:rPr>
        <w:t>lic single payer</w:t>
      </w:r>
      <w:r w:rsidR="00520C23">
        <w:rPr>
          <w:rFonts w:cs="Times New Roman"/>
        </w:rPr>
        <w:t xml:space="preserve"> healthcare (the</w:t>
      </w:r>
      <w:r>
        <w:rPr>
          <w:rFonts w:cs="Times New Roman"/>
        </w:rPr>
        <w:t xml:space="preserve"> National Health Service (NHS)</w:t>
      </w:r>
      <w:r w:rsidR="00520C23">
        <w:rPr>
          <w:rFonts w:cs="Times New Roman"/>
        </w:rPr>
        <w:t xml:space="preserve">) is </w:t>
      </w:r>
      <w:r>
        <w:rPr>
          <w:rFonts w:cs="Times New Roman"/>
        </w:rPr>
        <w:t xml:space="preserve">available in the UK </w:t>
      </w:r>
      <w:r w:rsidR="00520C23">
        <w:rPr>
          <w:rFonts w:cs="Times New Roman"/>
        </w:rPr>
        <w:t xml:space="preserve">and the fact that some </w:t>
      </w:r>
      <w:r>
        <w:rPr>
          <w:rFonts w:cs="Times New Roman"/>
        </w:rPr>
        <w:t xml:space="preserve">employers offer </w:t>
      </w:r>
      <w:r w:rsidR="00520C23">
        <w:rPr>
          <w:rFonts w:cs="Times New Roman"/>
        </w:rPr>
        <w:t xml:space="preserve">additional </w:t>
      </w:r>
      <w:r>
        <w:rPr>
          <w:rFonts w:cs="Times New Roman"/>
        </w:rPr>
        <w:t>private health care as a part of an overall package of benefits.</w:t>
      </w:r>
      <w:r w:rsidR="00E16B6E">
        <w:rPr>
          <w:rFonts w:cs="Times New Roman"/>
        </w:rPr>
        <w:t xml:space="preserve"> </w:t>
      </w:r>
      <w:r w:rsidR="00E16B6E">
        <w:t xml:space="preserve">The internal </w:t>
      </w:r>
      <w:r w:rsidR="00520C23">
        <w:t>consistency</w:t>
      </w:r>
      <w:r w:rsidR="00E16B6E">
        <w:t xml:space="preserve"> for the total </w:t>
      </w:r>
      <w:r w:rsidR="00266788">
        <w:t xml:space="preserve">DWS </w:t>
      </w:r>
      <w:r w:rsidR="00E16B6E">
        <w:t>score was α = .85</w:t>
      </w:r>
    </w:p>
    <w:p w14:paraId="4A0EA58C" w14:textId="151F0A48" w:rsidR="009D49A4" w:rsidRPr="00AB5413" w:rsidRDefault="00C8615A" w:rsidP="007A6645">
      <w:pPr>
        <w:ind w:firstLine="720"/>
        <w:rPr>
          <w:rFonts w:cs="Times New Roman"/>
        </w:rPr>
      </w:pPr>
      <w:r w:rsidRPr="00D85CB2">
        <w:rPr>
          <w:rFonts w:cs="Times New Roman"/>
          <w:i/>
        </w:rPr>
        <w:t xml:space="preserve">Job </w:t>
      </w:r>
      <w:r w:rsidR="001C7253" w:rsidRPr="00D85CB2">
        <w:rPr>
          <w:rFonts w:cs="Times New Roman"/>
          <w:i/>
        </w:rPr>
        <w:t>Satisfaction Scale</w:t>
      </w:r>
      <w:r>
        <w:rPr>
          <w:rFonts w:cs="Times New Roman"/>
          <w:i/>
        </w:rPr>
        <w:t xml:space="preserve">. </w:t>
      </w:r>
      <w:r>
        <w:rPr>
          <w:rFonts w:cs="Times New Roman"/>
        </w:rPr>
        <w:t xml:space="preserve">The 5 item Job Satisfaction Scale (JSS) was used to measure respondent satisfaction with </w:t>
      </w:r>
      <w:r w:rsidR="00C72426">
        <w:rPr>
          <w:rFonts w:cs="Times New Roman"/>
        </w:rPr>
        <w:t>the job the</w:t>
      </w:r>
      <w:r w:rsidR="00520C23">
        <w:rPr>
          <w:rFonts w:cs="Times New Roman"/>
        </w:rPr>
        <w:t>y</w:t>
      </w:r>
      <w:r w:rsidR="00C72426">
        <w:rPr>
          <w:rFonts w:cs="Times New Roman"/>
        </w:rPr>
        <w:t xml:space="preserve"> currently hold (</w:t>
      </w:r>
      <w:r w:rsidR="00837CCC">
        <w:rPr>
          <w:rFonts w:cs="Times New Roman"/>
        </w:rPr>
        <w:t>Judge, Locke, Durham</w:t>
      </w:r>
      <w:r w:rsidR="00EC1C2D">
        <w:rPr>
          <w:rFonts w:cs="Times New Roman"/>
        </w:rPr>
        <w:t>,</w:t>
      </w:r>
      <w:r w:rsidR="00837CCC">
        <w:rPr>
          <w:rFonts w:cs="Times New Roman"/>
        </w:rPr>
        <w:t xml:space="preserve"> </w:t>
      </w:r>
      <w:r w:rsidR="00EC1C2D">
        <w:rPr>
          <w:rFonts w:cs="Times New Roman"/>
        </w:rPr>
        <w:t>&amp;</w:t>
      </w:r>
      <w:r w:rsidR="00837CCC">
        <w:rPr>
          <w:rFonts w:cs="Times New Roman"/>
        </w:rPr>
        <w:t xml:space="preserve"> Kluger, 1998)</w:t>
      </w:r>
      <w:r>
        <w:rPr>
          <w:rFonts w:cs="Times New Roman"/>
        </w:rPr>
        <w:t>.</w:t>
      </w:r>
      <w:r w:rsidR="006A0F14">
        <w:rPr>
          <w:rFonts w:cs="Times New Roman"/>
        </w:rPr>
        <w:t xml:space="preserve"> </w:t>
      </w:r>
      <w:r w:rsidR="006B5B56">
        <w:rPr>
          <w:rFonts w:cs="Times New Roman"/>
        </w:rPr>
        <w:t xml:space="preserve">Several studies have found that </w:t>
      </w:r>
      <w:r w:rsidR="007F7C88">
        <w:rPr>
          <w:rFonts w:cs="Times New Roman"/>
        </w:rPr>
        <w:t xml:space="preserve">the JSS has valid psychometric properties (Judge, Hulin </w:t>
      </w:r>
      <w:r w:rsidR="00EC1C2D">
        <w:rPr>
          <w:rFonts w:cs="Times New Roman"/>
        </w:rPr>
        <w:t>&amp;</w:t>
      </w:r>
      <w:r w:rsidR="007F7C88">
        <w:rPr>
          <w:rFonts w:cs="Times New Roman"/>
        </w:rPr>
        <w:t xml:space="preserve"> Dalal, 2009). </w:t>
      </w:r>
      <w:r w:rsidR="006A0F14">
        <w:rPr>
          <w:rFonts w:cs="Times New Roman"/>
        </w:rPr>
        <w:t>Respondents were asked to tick their lev</w:t>
      </w:r>
      <w:r w:rsidR="00457168">
        <w:rPr>
          <w:rFonts w:cs="Times New Roman"/>
        </w:rPr>
        <w:t>el of agreement using a 7-point</w:t>
      </w:r>
      <w:r w:rsidR="006A0F14">
        <w:rPr>
          <w:rFonts w:cs="Times New Roman"/>
        </w:rPr>
        <w:t xml:space="preserve"> Likert scale from 1 = </w:t>
      </w:r>
      <w:r w:rsidR="006A0F14">
        <w:rPr>
          <w:rFonts w:cs="Times New Roman"/>
          <w:i/>
        </w:rPr>
        <w:t xml:space="preserve">strongly disagree </w:t>
      </w:r>
      <w:r w:rsidR="006A0F14">
        <w:rPr>
          <w:rFonts w:cs="Times New Roman"/>
        </w:rPr>
        <w:t xml:space="preserve">to 7 = </w:t>
      </w:r>
      <w:r w:rsidR="006A0F14">
        <w:rPr>
          <w:rFonts w:cs="Times New Roman"/>
          <w:i/>
        </w:rPr>
        <w:t>strongly agree.</w:t>
      </w:r>
      <w:r w:rsidR="00AB5413">
        <w:rPr>
          <w:rFonts w:cs="Times New Roman"/>
          <w:i/>
        </w:rPr>
        <w:t xml:space="preserve"> </w:t>
      </w:r>
      <w:r w:rsidR="00AB5413">
        <w:rPr>
          <w:rFonts w:cs="Times New Roman"/>
        </w:rPr>
        <w:t>The internal consistency of the JSS for the present study was</w:t>
      </w:r>
      <w:r w:rsidR="00AB5413" w:rsidRPr="00AB5413">
        <w:rPr>
          <w:rFonts w:cs="Times New Roman"/>
          <w:vanish/>
        </w:rPr>
        <w:br/>
        <w:t>{\displaystyle \alpha }</w:t>
      </w:r>
      <w:r w:rsidR="00AB5413" w:rsidRPr="00AB5413">
        <w:rPr>
          <w:rFonts w:cs="Times New Roman"/>
        </w:rPr>
        <w:t xml:space="preserve"> </w:t>
      </w:r>
      <w:r w:rsidR="00AB5413" w:rsidRPr="00AB5413">
        <w:rPr>
          <w:rFonts w:cs="Times New Roman"/>
          <w:shd w:val="clear" w:color="auto" w:fill="FFFFFF"/>
        </w:rPr>
        <w:t>α = .88.</w:t>
      </w:r>
    </w:p>
    <w:p w14:paraId="1D8D28BB" w14:textId="684C555F" w:rsidR="00577C30" w:rsidRDefault="00577C30" w:rsidP="007A6645">
      <w:pPr>
        <w:ind w:firstLine="720"/>
        <w:rPr>
          <w:rFonts w:cs="Times New Roman"/>
          <w:shd w:val="clear" w:color="auto" w:fill="FFFFFF"/>
        </w:rPr>
      </w:pPr>
      <w:r w:rsidRPr="00D85CB2">
        <w:rPr>
          <w:rFonts w:cs="Times New Roman"/>
          <w:i/>
        </w:rPr>
        <w:t>Withdrawal intentions</w:t>
      </w:r>
      <w:r>
        <w:rPr>
          <w:rFonts w:cs="Times New Roman"/>
          <w:i/>
        </w:rPr>
        <w:t>.</w:t>
      </w:r>
      <w:r w:rsidR="005A4B52">
        <w:rPr>
          <w:rFonts w:cs="Times New Roman"/>
        </w:rPr>
        <w:t xml:space="preserve"> Blau</w:t>
      </w:r>
      <w:r w:rsidR="00D87C61">
        <w:rPr>
          <w:rFonts w:cs="Times New Roman"/>
        </w:rPr>
        <w:t>’s</w:t>
      </w:r>
      <w:r w:rsidR="005A4B52">
        <w:rPr>
          <w:rFonts w:cs="Times New Roman"/>
        </w:rPr>
        <w:t xml:space="preserve"> (1985) 3 item measure on career commitment was use</w:t>
      </w:r>
      <w:r w:rsidR="00293E14">
        <w:rPr>
          <w:rFonts w:cs="Times New Roman"/>
        </w:rPr>
        <w:t>d</w:t>
      </w:r>
      <w:r w:rsidR="005A4B52">
        <w:rPr>
          <w:rFonts w:cs="Times New Roman"/>
        </w:rPr>
        <w:t xml:space="preserve"> to indicate a respondent’s intention to leave or withdraw from </w:t>
      </w:r>
      <w:r w:rsidR="000D2E93">
        <w:rPr>
          <w:rFonts w:cs="Times New Roman"/>
        </w:rPr>
        <w:t>their</w:t>
      </w:r>
      <w:r w:rsidR="005A4B52">
        <w:rPr>
          <w:rFonts w:cs="Times New Roman"/>
        </w:rPr>
        <w:t xml:space="preserve"> current occupation.</w:t>
      </w:r>
      <w:r w:rsidR="006F5330">
        <w:rPr>
          <w:rFonts w:cs="Times New Roman"/>
        </w:rPr>
        <w:t xml:space="preserve"> It </w:t>
      </w:r>
      <w:r w:rsidR="006668A3">
        <w:rPr>
          <w:rFonts w:cs="Times New Roman"/>
        </w:rPr>
        <w:t xml:space="preserve">is a valid measure which has previously been used to measure career commitment nurses, medical technologists and bank tellers (Jones, Zanko, </w:t>
      </w:r>
      <w:r w:rsidR="00EC1C2D">
        <w:rPr>
          <w:rFonts w:cs="Times New Roman"/>
        </w:rPr>
        <w:t>&amp;</w:t>
      </w:r>
      <w:r w:rsidR="006668A3">
        <w:rPr>
          <w:rFonts w:cs="Times New Roman"/>
        </w:rPr>
        <w:t xml:space="preserve"> Kriflik, 2006).</w:t>
      </w:r>
      <w:r w:rsidR="00C15A9D">
        <w:rPr>
          <w:rFonts w:cs="Times New Roman"/>
        </w:rPr>
        <w:t xml:space="preserve"> This </w:t>
      </w:r>
      <w:r w:rsidR="006E23FF">
        <w:rPr>
          <w:rFonts w:cs="Times New Roman"/>
        </w:rPr>
        <w:t>measure used a 5-point Likert sc</w:t>
      </w:r>
      <w:r w:rsidR="00C15A9D">
        <w:rPr>
          <w:rFonts w:cs="Times New Roman"/>
        </w:rPr>
        <w:t xml:space="preserve">ale where 1 = </w:t>
      </w:r>
      <w:r w:rsidR="00C15A9D">
        <w:rPr>
          <w:rFonts w:cs="Times New Roman"/>
          <w:i/>
        </w:rPr>
        <w:t xml:space="preserve">strongly disagree </w:t>
      </w:r>
      <w:r w:rsidR="00C15A9D">
        <w:rPr>
          <w:rFonts w:cs="Times New Roman"/>
        </w:rPr>
        <w:t xml:space="preserve">to 5 = </w:t>
      </w:r>
      <w:r w:rsidR="00C15A9D">
        <w:rPr>
          <w:rFonts w:cs="Times New Roman"/>
          <w:i/>
        </w:rPr>
        <w:t>strongly agree.</w:t>
      </w:r>
      <w:r w:rsidR="00AB5413">
        <w:rPr>
          <w:rFonts w:cs="Times New Roman"/>
          <w:i/>
        </w:rPr>
        <w:t xml:space="preserve"> </w:t>
      </w:r>
      <w:r w:rsidR="00AB5413">
        <w:rPr>
          <w:rFonts w:cs="Times New Roman"/>
        </w:rPr>
        <w:t>The internal consistency of the withdrawal intentions scale for the present study was</w:t>
      </w:r>
      <w:r w:rsidR="00AB5413" w:rsidRPr="00AB5413">
        <w:rPr>
          <w:rFonts w:cs="Times New Roman"/>
          <w:vanish/>
        </w:rPr>
        <w:br/>
        <w:t>{\displaystyle \alpha }</w:t>
      </w:r>
      <w:r w:rsidR="00AB5413" w:rsidRPr="00AB5413">
        <w:rPr>
          <w:rFonts w:cs="Times New Roman"/>
        </w:rPr>
        <w:t xml:space="preserve"> </w:t>
      </w:r>
      <w:r w:rsidR="00AB5413" w:rsidRPr="00AB5413">
        <w:rPr>
          <w:rFonts w:cs="Times New Roman"/>
          <w:shd w:val="clear" w:color="auto" w:fill="FFFFFF"/>
        </w:rPr>
        <w:t>α</w:t>
      </w:r>
      <w:r w:rsidR="00AB5413">
        <w:rPr>
          <w:rFonts w:cs="Times New Roman"/>
          <w:shd w:val="clear" w:color="auto" w:fill="FFFFFF"/>
        </w:rPr>
        <w:t xml:space="preserve"> = .90</w:t>
      </w:r>
      <w:r w:rsidR="00AB5413" w:rsidRPr="00AB5413">
        <w:rPr>
          <w:rFonts w:cs="Times New Roman"/>
          <w:shd w:val="clear" w:color="auto" w:fill="FFFFFF"/>
        </w:rPr>
        <w:t>.</w:t>
      </w:r>
    </w:p>
    <w:p w14:paraId="5D67AD3B" w14:textId="7CB1787E" w:rsidR="007D1348" w:rsidRPr="006173A5" w:rsidRDefault="007D1348" w:rsidP="007A6645">
      <w:pPr>
        <w:ind w:firstLine="720"/>
        <w:rPr>
          <w:rFonts w:cs="Times New Roman"/>
        </w:rPr>
      </w:pPr>
      <w:r w:rsidRPr="00D85CB2">
        <w:rPr>
          <w:rFonts w:cs="Times New Roman"/>
          <w:i/>
          <w:shd w:val="clear" w:color="auto" w:fill="FFFFFF"/>
        </w:rPr>
        <w:t>Work as meaning</w:t>
      </w:r>
      <w:r>
        <w:rPr>
          <w:rFonts w:cs="Times New Roman"/>
          <w:i/>
          <w:shd w:val="clear" w:color="auto" w:fill="FFFFFF"/>
        </w:rPr>
        <w:t>.</w:t>
      </w:r>
      <w:r w:rsidR="006173A5">
        <w:rPr>
          <w:rFonts w:cs="Times New Roman"/>
          <w:i/>
          <w:shd w:val="clear" w:color="auto" w:fill="FFFFFF"/>
        </w:rPr>
        <w:t xml:space="preserve"> </w:t>
      </w:r>
      <w:r w:rsidR="006173A5">
        <w:rPr>
          <w:rFonts w:cs="Times New Roman"/>
          <w:shd w:val="clear" w:color="auto" w:fill="FFFFFF"/>
        </w:rPr>
        <w:t>The Work and Meaning Inventory (WAMI) was used to measure respondents’ level of meaning they associate with their work (Steger et al., 2012).</w:t>
      </w:r>
      <w:r w:rsidR="00EC4CE7">
        <w:rPr>
          <w:rFonts w:cs="Times New Roman"/>
          <w:shd w:val="clear" w:color="auto" w:fill="FFFFFF"/>
        </w:rPr>
        <w:t xml:space="preserve"> </w:t>
      </w:r>
      <w:r w:rsidR="006F5330">
        <w:rPr>
          <w:rFonts w:cs="Times New Roman"/>
          <w:shd w:val="clear" w:color="auto" w:fill="FFFFFF"/>
        </w:rPr>
        <w:t xml:space="preserve">It has been found to be a valid and reliable measure. It is also used in the literature previously to measuring meaningful work in the context of the PWT (Allan et al., 2016; Duffy et al., 2017). </w:t>
      </w:r>
      <w:r w:rsidR="00EC4CE7">
        <w:rPr>
          <w:rFonts w:cs="Times New Roman"/>
          <w:shd w:val="clear" w:color="auto" w:fill="FFFFFF"/>
        </w:rPr>
        <w:t xml:space="preserve">It is a </w:t>
      </w:r>
      <w:r w:rsidR="00EC1C2D">
        <w:rPr>
          <w:rFonts w:cs="Times New Roman"/>
          <w:shd w:val="clear" w:color="auto" w:fill="FFFFFF"/>
        </w:rPr>
        <w:t>10-item</w:t>
      </w:r>
      <w:r w:rsidR="00EC4CE7">
        <w:rPr>
          <w:rFonts w:cs="Times New Roman"/>
          <w:shd w:val="clear" w:color="auto" w:fill="FFFFFF"/>
        </w:rPr>
        <w:t xml:space="preserve"> instrument which uses a 7-point Likert scale where 1 = </w:t>
      </w:r>
      <w:r w:rsidR="00EC4CE7">
        <w:rPr>
          <w:rFonts w:cs="Times New Roman"/>
          <w:i/>
          <w:shd w:val="clear" w:color="auto" w:fill="FFFFFF"/>
        </w:rPr>
        <w:t xml:space="preserve">strongly </w:t>
      </w:r>
      <w:r w:rsidR="00EC4CE7" w:rsidRPr="00B82EA3">
        <w:rPr>
          <w:rFonts w:cs="Times New Roman"/>
          <w:i/>
          <w:shd w:val="clear" w:color="auto" w:fill="FFFFFF"/>
        </w:rPr>
        <w:t>disagree</w:t>
      </w:r>
      <w:r w:rsidR="00EC4CE7">
        <w:rPr>
          <w:rFonts w:cs="Times New Roman"/>
          <w:shd w:val="clear" w:color="auto" w:fill="FFFFFF"/>
        </w:rPr>
        <w:t xml:space="preserve"> to 7 = </w:t>
      </w:r>
      <w:r w:rsidR="00EC4CE7">
        <w:rPr>
          <w:rFonts w:cs="Times New Roman"/>
          <w:i/>
          <w:shd w:val="clear" w:color="auto" w:fill="FFFFFF"/>
        </w:rPr>
        <w:t xml:space="preserve">strongly agree. </w:t>
      </w:r>
      <w:r w:rsidR="00EC4CE7" w:rsidRPr="00EC4CE7">
        <w:rPr>
          <w:rFonts w:cs="Times New Roman"/>
          <w:shd w:val="clear" w:color="auto" w:fill="FFFFFF"/>
        </w:rPr>
        <w:t>The</w:t>
      </w:r>
      <w:r w:rsidR="00EC4CE7">
        <w:rPr>
          <w:rFonts w:cs="Times New Roman"/>
          <w:shd w:val="clear" w:color="auto" w:fill="FFFFFF"/>
        </w:rPr>
        <w:t xml:space="preserve"> scale contains three factors which load onto one higher order factor. For this study we used the WAMI total score.</w:t>
      </w:r>
      <w:r w:rsidR="0095693C">
        <w:rPr>
          <w:rFonts w:cs="Times New Roman"/>
          <w:shd w:val="clear" w:color="auto" w:fill="FFFFFF"/>
        </w:rPr>
        <w:t xml:space="preserve"> The WAMI had an internal consistency of </w:t>
      </w:r>
      <w:r w:rsidR="0095693C" w:rsidRPr="00AB5413">
        <w:rPr>
          <w:rFonts w:cs="Times New Roman"/>
          <w:shd w:val="clear" w:color="auto" w:fill="FFFFFF"/>
        </w:rPr>
        <w:t>α</w:t>
      </w:r>
      <w:r w:rsidR="0095693C">
        <w:rPr>
          <w:rFonts w:cs="Times New Roman"/>
          <w:shd w:val="clear" w:color="auto" w:fill="FFFFFF"/>
        </w:rPr>
        <w:t xml:space="preserve"> = .94 for the present study.</w:t>
      </w:r>
    </w:p>
    <w:p w14:paraId="35741BD9" w14:textId="595EFC9A" w:rsidR="005B6E24" w:rsidRPr="000F391A" w:rsidRDefault="000E7183" w:rsidP="00510FCE">
      <w:pPr>
        <w:rPr>
          <w:rFonts w:cs="Times New Roman"/>
          <w:b/>
        </w:rPr>
      </w:pPr>
      <w:r>
        <w:rPr>
          <w:rFonts w:cs="Times New Roman"/>
          <w:b/>
        </w:rPr>
        <w:lastRenderedPageBreak/>
        <w:t xml:space="preserve">3.2 </w:t>
      </w:r>
      <w:r w:rsidR="007B7B0E">
        <w:rPr>
          <w:rFonts w:cs="Times New Roman"/>
          <w:b/>
        </w:rPr>
        <w:t>Results</w:t>
      </w:r>
    </w:p>
    <w:p w14:paraId="0A7D4323" w14:textId="3F687495" w:rsidR="00033B7E" w:rsidRDefault="00385B94" w:rsidP="00D85CB2">
      <w:pPr>
        <w:ind w:firstLine="720"/>
        <w:rPr>
          <w:rFonts w:cs="Times New Roman"/>
        </w:rPr>
      </w:pPr>
      <w:r w:rsidRPr="00510FCE">
        <w:rPr>
          <w:b/>
        </w:rPr>
        <w:t>Preliminary analysis</w:t>
      </w:r>
      <w:r w:rsidR="000E7183">
        <w:t xml:space="preserve">. </w:t>
      </w:r>
      <w:r w:rsidR="00033B7E">
        <w:rPr>
          <w:rFonts w:cs="Times New Roman"/>
        </w:rPr>
        <w:t>We did not include cases where an entire scale was missing from the analysis</w:t>
      </w:r>
      <w:r w:rsidR="00261B9D">
        <w:rPr>
          <w:rFonts w:cs="Times New Roman"/>
        </w:rPr>
        <w:t xml:space="preserve"> (Duffy et al., 2017)</w:t>
      </w:r>
      <w:r w:rsidR="00033B7E">
        <w:rPr>
          <w:rFonts w:cs="Times New Roman"/>
        </w:rPr>
        <w:t>. This resulted in the removal of 63 cases with 294 cases left in the sample.</w:t>
      </w:r>
      <w:r w:rsidR="00E5282D">
        <w:rPr>
          <w:rFonts w:cs="Times New Roman"/>
        </w:rPr>
        <w:t xml:space="preserve"> Twenty-seven (27) cases </w:t>
      </w:r>
      <w:r w:rsidR="00177910">
        <w:rPr>
          <w:rFonts w:cs="Times New Roman"/>
        </w:rPr>
        <w:t>had missing data from at least one of the four instruments</w:t>
      </w:r>
      <w:r w:rsidR="00261B9D">
        <w:rPr>
          <w:rFonts w:cs="Times New Roman"/>
        </w:rPr>
        <w:t>.</w:t>
      </w:r>
      <w:r w:rsidR="00177910">
        <w:rPr>
          <w:rFonts w:cs="Times New Roman"/>
        </w:rPr>
        <w:t xml:space="preserve"> </w:t>
      </w:r>
      <w:r w:rsidR="00261B9D">
        <w:rPr>
          <w:rFonts w:cs="Times New Roman"/>
        </w:rPr>
        <w:t>T</w:t>
      </w:r>
      <w:r w:rsidR="00177910">
        <w:rPr>
          <w:rFonts w:cs="Times New Roman"/>
        </w:rPr>
        <w:t>his represented less than 1% of the total dataset.</w:t>
      </w:r>
      <w:r w:rsidR="006958B7">
        <w:rPr>
          <w:rFonts w:cs="Times New Roman"/>
        </w:rPr>
        <w:t xml:space="preserve"> Mean </w:t>
      </w:r>
      <w:r w:rsidR="003C499C">
        <w:rPr>
          <w:rFonts w:cs="Times New Roman"/>
        </w:rPr>
        <w:t>substitution</w:t>
      </w:r>
      <w:r w:rsidR="006958B7">
        <w:rPr>
          <w:rFonts w:cs="Times New Roman"/>
        </w:rPr>
        <w:t xml:space="preserve"> was used due to the low level of missing data and the reliabili</w:t>
      </w:r>
      <w:r w:rsidR="000E0D29">
        <w:rPr>
          <w:rFonts w:cs="Times New Roman"/>
        </w:rPr>
        <w:t>ty of the scales (Parent, 2013).</w:t>
      </w:r>
      <w:r w:rsidR="00DE0BAB">
        <w:rPr>
          <w:rFonts w:cs="Times New Roman"/>
        </w:rPr>
        <w:t xml:space="preserve"> Variables were also inspected for outliers and normality.</w:t>
      </w:r>
      <w:r w:rsidR="000128F1">
        <w:rPr>
          <w:rFonts w:cs="Times New Roman"/>
        </w:rPr>
        <w:t xml:space="preserve"> Thr</w:t>
      </w:r>
      <w:r w:rsidR="00261B9D">
        <w:rPr>
          <w:rFonts w:cs="Times New Roman"/>
        </w:rPr>
        <w:t>ee of the five subscales (comple</w:t>
      </w:r>
      <w:r w:rsidR="000128F1">
        <w:rPr>
          <w:rFonts w:cs="Times New Roman"/>
        </w:rPr>
        <w:t xml:space="preserve">mentary values, free time and rest, and adequate compensation) all had absolute values of skewness and kurtosis under one. Access to healthcare </w:t>
      </w:r>
      <w:r w:rsidR="00DE5BF5">
        <w:rPr>
          <w:rFonts w:cs="Times New Roman"/>
        </w:rPr>
        <w:t>had skewness of up to 1.21. Safe working conditions had some negative skew (-1.58) and was kurtotic (2.20). There were also several extreme scores for one safe working conditions item. Two outliers were removed which improved the sub</w:t>
      </w:r>
      <w:r w:rsidR="0070621A">
        <w:rPr>
          <w:rFonts w:cs="Times New Roman"/>
        </w:rPr>
        <w:t>s</w:t>
      </w:r>
      <w:r w:rsidR="00DE5BF5">
        <w:rPr>
          <w:rFonts w:cs="Times New Roman"/>
        </w:rPr>
        <w:t>cale where skew was -1.46 and kurtosis was 1.61.</w:t>
      </w:r>
      <w:r w:rsidR="00FB5310">
        <w:rPr>
          <w:rFonts w:cs="Times New Roman"/>
        </w:rPr>
        <w:t xml:space="preserve"> Subscale two and four had skewness and </w:t>
      </w:r>
      <w:r w:rsidR="006E51FE">
        <w:rPr>
          <w:rFonts w:cs="Times New Roman"/>
        </w:rPr>
        <w:t>kurtosis</w:t>
      </w:r>
      <w:r w:rsidR="00FB5310">
        <w:rPr>
          <w:rFonts w:cs="Times New Roman"/>
        </w:rPr>
        <w:t xml:space="preserve"> absolute values under one.</w:t>
      </w:r>
      <w:r w:rsidR="00A818FC">
        <w:rPr>
          <w:rFonts w:cs="Times New Roman"/>
        </w:rPr>
        <w:t xml:space="preserve"> Table 2 details the correlations between the total scale and subscales </w:t>
      </w:r>
    </w:p>
    <w:p w14:paraId="10145655" w14:textId="1B50BAD8" w:rsidR="00A818FC" w:rsidRPr="00033B7E" w:rsidRDefault="00A818FC" w:rsidP="00A818FC">
      <w:pPr>
        <w:ind w:firstLine="720"/>
        <w:jc w:val="center"/>
        <w:rPr>
          <w:rFonts w:cs="Times New Roman"/>
        </w:rPr>
      </w:pPr>
      <w:r>
        <w:rPr>
          <w:rFonts w:cs="Times New Roman"/>
        </w:rPr>
        <w:t>[Table 2]</w:t>
      </w:r>
    </w:p>
    <w:p w14:paraId="2F1789DA" w14:textId="216FC639" w:rsidR="00326D05" w:rsidRDefault="00B5053D" w:rsidP="00D85CB2">
      <w:pPr>
        <w:ind w:firstLine="720"/>
        <w:rPr>
          <w:rFonts w:cs="Times New Roman"/>
        </w:rPr>
      </w:pPr>
      <w:r w:rsidRPr="007A6645">
        <w:rPr>
          <w:rFonts w:cs="Times New Roman"/>
          <w:b/>
        </w:rPr>
        <w:t>Hypothesis 1</w:t>
      </w:r>
      <w:r w:rsidR="000E7183">
        <w:rPr>
          <w:rFonts w:cs="Times New Roman"/>
          <w:b/>
        </w:rPr>
        <w:t xml:space="preserve">. </w:t>
      </w:r>
      <w:r w:rsidR="00024521" w:rsidRPr="00510FCE">
        <w:rPr>
          <w:rFonts w:cs="Times New Roman"/>
          <w:i/>
        </w:rPr>
        <w:t>Model Testing</w:t>
      </w:r>
      <w:r w:rsidR="00024521">
        <w:rPr>
          <w:rFonts w:cs="Times New Roman"/>
          <w:i/>
        </w:rPr>
        <w:t>.</w:t>
      </w:r>
      <w:r w:rsidR="0070621A">
        <w:rPr>
          <w:rFonts w:cs="Times New Roman"/>
          <w:i/>
        </w:rPr>
        <w:t xml:space="preserve"> </w:t>
      </w:r>
      <w:r w:rsidR="00024521">
        <w:rPr>
          <w:rFonts w:cs="Times New Roman"/>
        </w:rPr>
        <w:t>We used SPSS AMOS 24 in order</w:t>
      </w:r>
      <w:r w:rsidR="00A84329">
        <w:rPr>
          <w:rFonts w:cs="Times New Roman"/>
        </w:rPr>
        <w:t xml:space="preserve"> to conduct </w:t>
      </w:r>
      <w:r w:rsidR="001547CB">
        <w:rPr>
          <w:rFonts w:cs="Times New Roman"/>
        </w:rPr>
        <w:t xml:space="preserve">CFA </w:t>
      </w:r>
      <w:r w:rsidR="00A84329">
        <w:rPr>
          <w:rFonts w:cs="Times New Roman"/>
        </w:rPr>
        <w:t>on the DWS. We fitted</w:t>
      </w:r>
      <w:r w:rsidR="00024521">
        <w:rPr>
          <w:rFonts w:cs="Times New Roman"/>
        </w:rPr>
        <w:t xml:space="preserve"> three models: a correlational model</w:t>
      </w:r>
      <w:r w:rsidR="000B6730">
        <w:rPr>
          <w:rFonts w:cs="Times New Roman"/>
        </w:rPr>
        <w:t xml:space="preserve"> where the five subscales were allowed to be correlated</w:t>
      </w:r>
      <w:r w:rsidR="00E15B3C">
        <w:rPr>
          <w:rFonts w:cs="Times New Roman"/>
        </w:rPr>
        <w:t>;</w:t>
      </w:r>
      <w:r w:rsidR="00024521">
        <w:rPr>
          <w:rFonts w:cs="Times New Roman"/>
        </w:rPr>
        <w:t xml:space="preserve"> </w:t>
      </w:r>
      <w:r w:rsidR="000B6730">
        <w:rPr>
          <w:rFonts w:cs="Times New Roman"/>
        </w:rPr>
        <w:t>a</w:t>
      </w:r>
      <w:r w:rsidR="00024521">
        <w:rPr>
          <w:rFonts w:cs="Times New Roman"/>
        </w:rPr>
        <w:t xml:space="preserve"> higher-order model </w:t>
      </w:r>
      <w:r w:rsidR="000B6730">
        <w:rPr>
          <w:rFonts w:cs="Times New Roman"/>
        </w:rPr>
        <w:t>with a general decent work factor subsuming the five subscale factors</w:t>
      </w:r>
      <w:r w:rsidR="00E15B3C">
        <w:rPr>
          <w:rFonts w:cs="Times New Roman"/>
        </w:rPr>
        <w:t>;</w:t>
      </w:r>
      <w:r w:rsidR="000B6730">
        <w:rPr>
          <w:rFonts w:cs="Times New Roman"/>
        </w:rPr>
        <w:t xml:space="preserve"> </w:t>
      </w:r>
      <w:r w:rsidR="00024521">
        <w:rPr>
          <w:rFonts w:cs="Times New Roman"/>
        </w:rPr>
        <w:t>and a bifactor model</w:t>
      </w:r>
      <w:r w:rsidR="000B6730">
        <w:rPr>
          <w:rFonts w:cs="Times New Roman"/>
        </w:rPr>
        <w:t xml:space="preserve"> where all 15 items loaded onto a general decent work factor as well as five uncorrelate</w:t>
      </w:r>
      <w:r w:rsidR="00CE6056">
        <w:rPr>
          <w:rFonts w:cs="Times New Roman"/>
        </w:rPr>
        <w:t>d</w:t>
      </w:r>
      <w:r w:rsidR="000B6730">
        <w:rPr>
          <w:rFonts w:cs="Times New Roman"/>
        </w:rPr>
        <w:t xml:space="preserve"> factors</w:t>
      </w:r>
      <w:r w:rsidR="00024521">
        <w:rPr>
          <w:rFonts w:cs="Times New Roman"/>
        </w:rPr>
        <w:t xml:space="preserve">. </w:t>
      </w:r>
      <w:r w:rsidR="00950896">
        <w:rPr>
          <w:rFonts w:cs="Times New Roman"/>
        </w:rPr>
        <w:t>We used the following indicators of fit: chi-square, the comparative fit index (CFI), the Tucker-Lewis Index (TLI) and the root mean square error of approximation (RMSEA)</w:t>
      </w:r>
      <w:r w:rsidR="000C617E" w:rsidRPr="000C617E">
        <w:rPr>
          <w:rFonts w:cs="Times New Roman"/>
        </w:rPr>
        <w:t>. CFI and TLI are considered acceptable above .90 (Kline, 2011) while RMSEA is considered acceptable at .08 and excellent at .06.</w:t>
      </w:r>
      <w:r w:rsidR="000C617E">
        <w:rPr>
          <w:rFonts w:cs="Times New Roman"/>
        </w:rPr>
        <w:t xml:space="preserve"> A </w:t>
      </w:r>
      <w:r w:rsidR="000C617E">
        <w:rPr>
          <w:rFonts w:cs="Times New Roman"/>
        </w:rPr>
        <w:lastRenderedPageBreak/>
        <w:t>significant chi-square can indicate a poorly fitting model but this indicator is unreliable with large sample sizes.</w:t>
      </w:r>
    </w:p>
    <w:p w14:paraId="64235971" w14:textId="6428EB4F" w:rsidR="000B6730" w:rsidRDefault="000B6730" w:rsidP="007A6645">
      <w:pPr>
        <w:ind w:firstLine="720"/>
        <w:rPr>
          <w:rFonts w:cs="Times New Roman"/>
        </w:rPr>
      </w:pPr>
      <w:r w:rsidRPr="007A6645">
        <w:rPr>
          <w:rFonts w:cs="Times New Roman"/>
          <w:i/>
        </w:rPr>
        <w:t>Correlational Model.</w:t>
      </w:r>
      <w:r>
        <w:rPr>
          <w:rFonts w:cs="Times New Roman"/>
        </w:rPr>
        <w:t xml:space="preserve"> </w:t>
      </w:r>
      <w:r w:rsidR="00B8777A">
        <w:rPr>
          <w:rFonts w:cs="Times New Roman"/>
        </w:rPr>
        <w:t xml:space="preserve">The correlational model had a good fit to the data, </w:t>
      </w:r>
      <w:r w:rsidR="00B8777A" w:rsidRPr="00B8777A">
        <w:rPr>
          <w:rFonts w:cs="Times New Roman"/>
        </w:rPr>
        <w:t xml:space="preserve">χ2 </w:t>
      </w:r>
      <w:r w:rsidR="00B8777A">
        <w:rPr>
          <w:rFonts w:cs="Times New Roman"/>
        </w:rPr>
        <w:t xml:space="preserve">(80) = 124.76, </w:t>
      </w:r>
      <w:r w:rsidR="00B8777A">
        <w:rPr>
          <w:rFonts w:cs="Times New Roman"/>
          <w:i/>
        </w:rPr>
        <w:t xml:space="preserve">p </w:t>
      </w:r>
      <w:r w:rsidR="00B8777A" w:rsidRPr="00B8777A">
        <w:rPr>
          <w:rFonts w:cs="Times New Roman"/>
        </w:rPr>
        <w:t>=</w:t>
      </w:r>
      <w:r w:rsidR="00B8777A">
        <w:rPr>
          <w:rFonts w:cs="Times New Roman"/>
        </w:rPr>
        <w:t xml:space="preserve"> </w:t>
      </w:r>
      <w:r w:rsidR="00B8777A" w:rsidRPr="00B8777A">
        <w:rPr>
          <w:rFonts w:cs="Times New Roman"/>
        </w:rPr>
        <w:t>&lt;</w:t>
      </w:r>
      <w:r w:rsidR="00B8777A">
        <w:rPr>
          <w:rFonts w:cs="Times New Roman"/>
        </w:rPr>
        <w:t>.001, CFI = .99, TLI = .98, RMSEA = .04.</w:t>
      </w:r>
    </w:p>
    <w:p w14:paraId="10D83202" w14:textId="19246D80" w:rsidR="00B8777A" w:rsidRDefault="00B8777A" w:rsidP="007A6645">
      <w:pPr>
        <w:ind w:firstLine="720"/>
        <w:rPr>
          <w:rFonts w:cs="Times New Roman"/>
        </w:rPr>
      </w:pPr>
      <w:r w:rsidRPr="007A6645">
        <w:rPr>
          <w:rFonts w:cs="Times New Roman"/>
          <w:i/>
        </w:rPr>
        <w:t>Higher order model.</w:t>
      </w:r>
      <w:r>
        <w:rPr>
          <w:rFonts w:cs="Times New Roman"/>
        </w:rPr>
        <w:t xml:space="preserve"> </w:t>
      </w:r>
      <w:r w:rsidR="00EF2C38">
        <w:rPr>
          <w:rFonts w:cs="Times New Roman"/>
        </w:rPr>
        <w:t xml:space="preserve">The higher order model indicators showed a slightly worse fit than the correlational model, </w:t>
      </w:r>
      <w:r w:rsidR="00EF2C38" w:rsidRPr="00EF2C38">
        <w:rPr>
          <w:rFonts w:cs="Times New Roman"/>
        </w:rPr>
        <w:t>χ2</w:t>
      </w:r>
      <w:r w:rsidR="00AE3340">
        <w:rPr>
          <w:rFonts w:cs="Times New Roman"/>
        </w:rPr>
        <w:t xml:space="preserve"> </w:t>
      </w:r>
      <w:r w:rsidR="00EF2C38">
        <w:rPr>
          <w:rFonts w:cs="Times New Roman"/>
        </w:rPr>
        <w:t xml:space="preserve">(85) = 150.66, </w:t>
      </w:r>
      <w:r w:rsidR="00EF2C38">
        <w:rPr>
          <w:rFonts w:cs="Times New Roman"/>
          <w:i/>
        </w:rPr>
        <w:t xml:space="preserve">p </w:t>
      </w:r>
      <w:r w:rsidR="00EF2C38">
        <w:rPr>
          <w:rFonts w:cs="Times New Roman"/>
        </w:rPr>
        <w:t>=.000, CFI = .98</w:t>
      </w:r>
      <w:r w:rsidR="000F580E">
        <w:rPr>
          <w:rFonts w:cs="Times New Roman"/>
        </w:rPr>
        <w:t>, TLI = .98 and</w:t>
      </w:r>
      <w:r w:rsidR="00EF2C38">
        <w:rPr>
          <w:rFonts w:cs="Times New Roman"/>
        </w:rPr>
        <w:t xml:space="preserve"> RMSEA = .05</w:t>
      </w:r>
      <w:r w:rsidR="000F580E">
        <w:rPr>
          <w:rFonts w:cs="Times New Roman"/>
        </w:rPr>
        <w:t>. The change in CFI was .007 less than the threshold of .01 suggesting the models were not significantly different (Cheun &amp; Rensvold, 2002).</w:t>
      </w:r>
    </w:p>
    <w:p w14:paraId="66CE0606" w14:textId="057FC6DA" w:rsidR="00022DBA" w:rsidRPr="00EF2C38" w:rsidRDefault="00295B7A" w:rsidP="007A6645">
      <w:pPr>
        <w:ind w:firstLine="720"/>
        <w:rPr>
          <w:rFonts w:cs="Times New Roman"/>
        </w:rPr>
      </w:pPr>
      <w:r w:rsidRPr="007A6645">
        <w:rPr>
          <w:rFonts w:cs="Times New Roman"/>
          <w:i/>
        </w:rPr>
        <w:t>Bif</w:t>
      </w:r>
      <w:r w:rsidR="00022DBA" w:rsidRPr="007A6645">
        <w:rPr>
          <w:rFonts w:cs="Times New Roman"/>
          <w:i/>
        </w:rPr>
        <w:t>actor model</w:t>
      </w:r>
      <w:r w:rsidR="00283DFB" w:rsidRPr="007A6645">
        <w:rPr>
          <w:rFonts w:cs="Times New Roman"/>
          <w:i/>
        </w:rPr>
        <w:t xml:space="preserve"> (hypothesis 1)</w:t>
      </w:r>
      <w:r w:rsidR="00022DBA" w:rsidRPr="007A6645">
        <w:rPr>
          <w:rFonts w:cs="Times New Roman"/>
          <w:i/>
        </w:rPr>
        <w:t>.</w:t>
      </w:r>
      <w:r w:rsidR="00AE6CE4">
        <w:rPr>
          <w:rFonts w:cs="Times New Roman"/>
        </w:rPr>
        <w:t xml:space="preserve"> The Bifactor model was a good</w:t>
      </w:r>
      <w:r>
        <w:rPr>
          <w:rFonts w:cs="Times New Roman"/>
        </w:rPr>
        <w:t xml:space="preserve"> fit to the data, </w:t>
      </w:r>
      <w:r w:rsidRPr="00295B7A">
        <w:rPr>
          <w:rFonts w:cs="Times New Roman"/>
        </w:rPr>
        <w:t>χ2</w:t>
      </w:r>
      <w:r>
        <w:rPr>
          <w:rFonts w:cs="Times New Roman"/>
        </w:rPr>
        <w:t>(79) = 98.67, p &gt; .05, CFI = .99, TLI = .99 and RMSEA = .03. It was significantly different in relationship to the higher order model (</w:t>
      </w:r>
      <w:r w:rsidRPr="00295B7A">
        <w:rPr>
          <w:rFonts w:cs="Times New Roman"/>
        </w:rPr>
        <w:t>∆</w:t>
      </w:r>
      <w:r>
        <w:rPr>
          <w:rFonts w:cs="Times New Roman"/>
        </w:rPr>
        <w:t>CFI = .014) but not with the correlational model (</w:t>
      </w:r>
      <w:r w:rsidRPr="00295B7A">
        <w:rPr>
          <w:rFonts w:cs="Times New Roman"/>
        </w:rPr>
        <w:t>∆</w:t>
      </w:r>
      <w:r>
        <w:rPr>
          <w:rFonts w:cs="Times New Roman"/>
        </w:rPr>
        <w:t>CFI = .007).</w:t>
      </w:r>
    </w:p>
    <w:p w14:paraId="505B3EAC" w14:textId="6E81E6BB" w:rsidR="00A22A0D" w:rsidRPr="005D45CF" w:rsidRDefault="005D45CF" w:rsidP="005D45CF">
      <w:pPr>
        <w:jc w:val="center"/>
        <w:rPr>
          <w:rFonts w:cs="Times New Roman"/>
        </w:rPr>
      </w:pPr>
      <w:r>
        <w:rPr>
          <w:rFonts w:cs="Times New Roman"/>
        </w:rPr>
        <w:t>[Figure 1]</w:t>
      </w:r>
    </w:p>
    <w:p w14:paraId="39FA3266" w14:textId="56727F8E" w:rsidR="00773346" w:rsidRDefault="00C13C22" w:rsidP="00D85CB2">
      <w:pPr>
        <w:ind w:firstLine="720"/>
      </w:pPr>
      <w:r w:rsidRPr="007A6645">
        <w:rPr>
          <w:b/>
        </w:rPr>
        <w:t>Hypothesis 1a.</w:t>
      </w:r>
      <w:r w:rsidR="000E7183">
        <w:rPr>
          <w:b/>
        </w:rPr>
        <w:t xml:space="preserve"> </w:t>
      </w:r>
      <w:r w:rsidR="0037533E" w:rsidRPr="00510FCE">
        <w:rPr>
          <w:i/>
        </w:rPr>
        <w:t>Invariance Testing</w:t>
      </w:r>
      <w:r w:rsidR="0037533E" w:rsidRPr="007A6645">
        <w:rPr>
          <w:b/>
        </w:rPr>
        <w:t>.</w:t>
      </w:r>
      <w:r w:rsidR="0037533E">
        <w:t xml:space="preserve"> Invariance tests were conducted on the bi-factor model.</w:t>
      </w:r>
      <w:r w:rsidR="000A4472">
        <w:t xml:space="preserve"> </w:t>
      </w:r>
      <w:r w:rsidR="00A7089C">
        <w:t>P</w:t>
      </w:r>
      <w:r w:rsidR="000A4472">
        <w:t>revious studies have found the bi-factor model to be the best fit for the data (Duffy</w:t>
      </w:r>
      <w:r w:rsidR="0023608F">
        <w:t xml:space="preserve"> </w:t>
      </w:r>
      <w:r w:rsidR="000A4472">
        <w:t xml:space="preserve">et al., 2017; Isik et al., 2018). Although there were moderate positive correlations between some subscales </w:t>
      </w:r>
      <w:r w:rsidR="00773346">
        <w:t>there</w:t>
      </w:r>
      <w:r w:rsidR="000A4472">
        <w:t xml:space="preserve"> was no evidence of strong correlations higher than 0.70. </w:t>
      </w:r>
      <w:r w:rsidR="00D563D2">
        <w:t>The correlations found</w:t>
      </w:r>
      <w:r w:rsidR="009D7CDD">
        <w:t xml:space="preserve"> among subscales</w:t>
      </w:r>
      <w:r w:rsidR="00D563D2">
        <w:t xml:space="preserve"> were similar to those in the original Duffy et al. (2017) study therefore we conducted invariance tests using the bi-factor model.</w:t>
      </w:r>
    </w:p>
    <w:p w14:paraId="0E61E316" w14:textId="608F1CBD" w:rsidR="00F06952" w:rsidRDefault="00CC5A3C" w:rsidP="00CC5A3C">
      <w:pPr>
        <w:ind w:firstLine="720"/>
      </w:pPr>
      <w:r>
        <w:t xml:space="preserve">We conducted both configural and metric invariance tests on each of the three variables. For </w:t>
      </w:r>
      <w:r w:rsidRPr="00BD4F46">
        <w:t>configural</w:t>
      </w:r>
      <w:r w:rsidR="00837F52">
        <w:t xml:space="preserve"> invariance we are testing whether </w:t>
      </w:r>
      <w:r w:rsidR="00EB1CB0">
        <w:t xml:space="preserve">the constructs are measuring the same thing across </w:t>
      </w:r>
      <w:r w:rsidR="00993309">
        <w:t>defined</w:t>
      </w:r>
      <w:r w:rsidR="00EB1CB0">
        <w:t xml:space="preserve"> groups </w:t>
      </w:r>
      <w:r>
        <w:t>(</w:t>
      </w:r>
      <w:r w:rsidR="00EB1CB0">
        <w:t>Bialosiewicz, Murphy</w:t>
      </w:r>
      <w:r w:rsidR="00EC1C2D">
        <w:t>,</w:t>
      </w:r>
      <w:r w:rsidR="00EB1CB0">
        <w:t xml:space="preserve"> </w:t>
      </w:r>
      <w:r w:rsidR="00EC1C2D">
        <w:t>&amp;</w:t>
      </w:r>
      <w:r w:rsidR="00EB1CB0">
        <w:t xml:space="preserve"> Berry, 2013</w:t>
      </w:r>
      <w:r>
        <w:t>)</w:t>
      </w:r>
      <w:r w:rsidRPr="00BD4F46">
        <w:t xml:space="preserve">. </w:t>
      </w:r>
      <w:r w:rsidR="00993309">
        <w:t>The</w:t>
      </w:r>
      <w:r w:rsidRPr="00BD4F46">
        <w:t xml:space="preserve"> </w:t>
      </w:r>
      <w:r>
        <w:t xml:space="preserve">metric invariance models </w:t>
      </w:r>
      <w:r w:rsidR="00993309">
        <w:t>hold</w:t>
      </w:r>
      <w:r w:rsidRPr="00BD4F46">
        <w:t xml:space="preserve"> all factor loadings </w:t>
      </w:r>
      <w:r>
        <w:t>constant</w:t>
      </w:r>
      <w:r w:rsidRPr="00BD4F46">
        <w:t xml:space="preserve"> </w:t>
      </w:r>
      <w:r w:rsidR="00993309">
        <w:t>to determine whether there is difference between</w:t>
      </w:r>
      <w:r>
        <w:t xml:space="preserve"> each group. If the configural model has a significantly worse fit than the metric </w:t>
      </w:r>
      <w:r>
        <w:lastRenderedPageBreak/>
        <w:t>model then</w:t>
      </w:r>
      <w:r w:rsidRPr="00BD4F46">
        <w:t xml:space="preserve"> factor loadings </w:t>
      </w:r>
      <w:r>
        <w:t xml:space="preserve">may </w:t>
      </w:r>
      <w:r w:rsidRPr="00BD4F46">
        <w:t>vary in size between the two groups.</w:t>
      </w:r>
      <w:r w:rsidR="00993309">
        <w:t xml:space="preserve"> If this is the case, it suggests that for different defined groups the constructs </w:t>
      </w:r>
      <w:r w:rsidR="00905BCA">
        <w:t>may have different meanings</w:t>
      </w:r>
      <w:r w:rsidRPr="00BD4F46">
        <w:t xml:space="preserve"> </w:t>
      </w:r>
      <w:r w:rsidR="00905BCA">
        <w:t xml:space="preserve">(Bialosiewicz </w:t>
      </w:r>
      <w:r w:rsidR="00EC1C2D">
        <w:t>et al.,</w:t>
      </w:r>
      <w:r w:rsidR="00905BCA">
        <w:t xml:space="preserve"> 2013)</w:t>
      </w:r>
      <w:r w:rsidR="00905BCA" w:rsidRPr="00BD4F46">
        <w:t xml:space="preserve">. </w:t>
      </w:r>
    </w:p>
    <w:p w14:paraId="449287F0" w14:textId="2CFA036B" w:rsidR="00CC5A3C" w:rsidRDefault="00CC5A3C" w:rsidP="00CC5A3C">
      <w:pPr>
        <w:ind w:firstLine="720"/>
      </w:pPr>
      <w:r>
        <w:t>Indicators of fit for both invariance models must be acceptable in line with the model testing section. In addition, in order to determine whether the model fit significantly changes in terms of the two invariance tests we test according to a change in CFI of at least 0.01. We are looking for no significant difference across the two models in order to support that the factor structure does not vary across the three characteristics.</w:t>
      </w:r>
    </w:p>
    <w:p w14:paraId="3E77E12D" w14:textId="6D4E605D" w:rsidR="00733DFC" w:rsidRPr="008F72B0" w:rsidRDefault="00B8032C" w:rsidP="007A6645">
      <w:pPr>
        <w:ind w:firstLine="720"/>
      </w:pPr>
      <w:r>
        <w:t>We used the following variables for the invariance tests: gender, income and subjective social class.</w:t>
      </w:r>
      <w:r w:rsidR="00792C1D">
        <w:t xml:space="preserve"> We created categorical variables for each, with only two categories per group.</w:t>
      </w:r>
      <w:r w:rsidR="00066074">
        <w:t xml:space="preserve"> For gender we conducted invariance tests on men and women. For income we created a dichotomous variable for those with household income above £52,000 and those with household income lower than £52,000.</w:t>
      </w:r>
      <w:r w:rsidR="00371D89">
        <w:t xml:space="preserve"> </w:t>
      </w:r>
      <w:r w:rsidR="00B614F0">
        <w:t>The basic Office for National Statistics (ONS) income classification cut point is at £52,000. Earnings above this are classified as ‘higher incomes’ which served as a useful point to dichotomise</w:t>
      </w:r>
      <w:r w:rsidR="00005F81">
        <w:t xml:space="preserve"> the data</w:t>
      </w:r>
      <w:r w:rsidR="00B614F0">
        <w:t xml:space="preserve">. </w:t>
      </w:r>
      <w:r w:rsidR="00371D89">
        <w:t xml:space="preserve">For social class we split two </w:t>
      </w:r>
      <w:r w:rsidR="00DA4074">
        <w:t>categories</w:t>
      </w:r>
      <w:r w:rsidR="00371D89">
        <w:t xml:space="preserve"> based upon the mean response (5.26) of the </w:t>
      </w:r>
      <w:r w:rsidR="00371D89" w:rsidRPr="008F72B0">
        <w:t>MacArthur Scale of Subjective Social Status (Duffy et al, 2017).</w:t>
      </w:r>
    </w:p>
    <w:p w14:paraId="0D3E08E5" w14:textId="12A32B7D" w:rsidR="00A41659" w:rsidRDefault="00A41659" w:rsidP="00A41659">
      <w:pPr>
        <w:ind w:firstLine="720"/>
        <w:rPr>
          <w:rFonts w:cs="Times New Roman"/>
          <w:szCs w:val="24"/>
        </w:rPr>
      </w:pPr>
      <w:r w:rsidRPr="00A41659">
        <w:rPr>
          <w:rFonts w:cs="Times New Roman"/>
          <w:i/>
          <w:szCs w:val="24"/>
        </w:rPr>
        <w:t>Gender.</w:t>
      </w:r>
      <w:r>
        <w:rPr>
          <w:rFonts w:cs="Times New Roman"/>
          <w:szCs w:val="24"/>
        </w:rPr>
        <w:t xml:space="preserve"> The configural model for gender had a good fit, </w:t>
      </w:r>
      <w:r w:rsidRPr="00D96AF2">
        <w:rPr>
          <w:rFonts w:cs="Times New Roman"/>
          <w:szCs w:val="24"/>
        </w:rPr>
        <w:t>χ²</w:t>
      </w:r>
      <w:r w:rsidRPr="00D96AF2">
        <w:rPr>
          <w:rFonts w:cs="Times New Roman"/>
          <w:szCs w:val="24"/>
          <w:vertAlign w:val="superscript"/>
        </w:rPr>
        <w:t xml:space="preserve"> </w:t>
      </w:r>
      <w:r w:rsidRPr="00D96AF2">
        <w:rPr>
          <w:rFonts w:cs="Times New Roman"/>
          <w:szCs w:val="24"/>
        </w:rPr>
        <w:t>(</w:t>
      </w:r>
      <w:r>
        <w:rPr>
          <w:rFonts w:cs="Times New Roman"/>
          <w:szCs w:val="24"/>
        </w:rPr>
        <w:t>159</w:t>
      </w:r>
      <w:r w:rsidRPr="00D96AF2">
        <w:rPr>
          <w:rFonts w:cs="Times New Roman"/>
          <w:szCs w:val="24"/>
        </w:rPr>
        <w:t>)</w:t>
      </w:r>
      <w:r>
        <w:rPr>
          <w:rFonts w:cs="Times New Roman"/>
          <w:szCs w:val="24"/>
        </w:rPr>
        <w:t xml:space="preserve">=206.52 </w:t>
      </w:r>
      <w:r w:rsidRPr="00D96AF2">
        <w:rPr>
          <w:rFonts w:cs="Times New Roman"/>
          <w:i/>
          <w:iCs/>
          <w:szCs w:val="24"/>
        </w:rPr>
        <w:t>p</w:t>
      </w:r>
      <w:r w:rsidRPr="00D96AF2">
        <w:rPr>
          <w:rFonts w:cs="Times New Roman"/>
          <w:szCs w:val="24"/>
        </w:rPr>
        <w:t xml:space="preserve"> &lt; .001, CFI = .9</w:t>
      </w:r>
      <w:r w:rsidR="0003354C">
        <w:rPr>
          <w:rFonts w:cs="Times New Roman"/>
          <w:szCs w:val="24"/>
        </w:rPr>
        <w:t>9</w:t>
      </w:r>
      <w:r w:rsidRPr="00D96AF2">
        <w:rPr>
          <w:rFonts w:cs="Times New Roman"/>
          <w:szCs w:val="24"/>
        </w:rPr>
        <w:t xml:space="preserve">, </w:t>
      </w:r>
      <w:r>
        <w:rPr>
          <w:rFonts w:cs="Times New Roman"/>
          <w:szCs w:val="24"/>
        </w:rPr>
        <w:t xml:space="preserve">TLI = .98, </w:t>
      </w:r>
      <w:r w:rsidRPr="00D96AF2">
        <w:rPr>
          <w:rFonts w:cs="Times New Roman"/>
          <w:szCs w:val="24"/>
        </w:rPr>
        <w:t>RMSEA = .0</w:t>
      </w:r>
      <w:r>
        <w:rPr>
          <w:rFonts w:cs="Times New Roman"/>
          <w:szCs w:val="24"/>
        </w:rPr>
        <w:t>3.</w:t>
      </w:r>
      <w:r w:rsidR="0003354C">
        <w:rPr>
          <w:rFonts w:cs="Times New Roman"/>
          <w:szCs w:val="24"/>
        </w:rPr>
        <w:t xml:space="preserve"> Fit was not significantly different for the metric invariance model where </w:t>
      </w:r>
      <w:r w:rsidR="0003354C" w:rsidRPr="00D96AF2">
        <w:rPr>
          <w:rFonts w:cs="Times New Roman"/>
          <w:szCs w:val="24"/>
        </w:rPr>
        <w:t>χ²</w:t>
      </w:r>
      <w:r w:rsidR="0003354C" w:rsidRPr="00D96AF2">
        <w:rPr>
          <w:rFonts w:cs="Times New Roman"/>
          <w:szCs w:val="24"/>
          <w:vertAlign w:val="superscript"/>
        </w:rPr>
        <w:t xml:space="preserve"> </w:t>
      </w:r>
      <w:r w:rsidR="0003354C" w:rsidRPr="00D96AF2">
        <w:rPr>
          <w:rFonts w:cs="Times New Roman"/>
          <w:szCs w:val="24"/>
        </w:rPr>
        <w:t>(</w:t>
      </w:r>
      <w:r w:rsidR="0003354C">
        <w:rPr>
          <w:rFonts w:cs="Times New Roman"/>
          <w:szCs w:val="24"/>
        </w:rPr>
        <w:t>189</w:t>
      </w:r>
      <w:r w:rsidR="0003354C" w:rsidRPr="00D96AF2">
        <w:rPr>
          <w:rFonts w:cs="Times New Roman"/>
          <w:szCs w:val="24"/>
        </w:rPr>
        <w:t>)</w:t>
      </w:r>
      <w:r w:rsidR="0003354C">
        <w:rPr>
          <w:rFonts w:cs="Times New Roman"/>
          <w:szCs w:val="24"/>
        </w:rPr>
        <w:t xml:space="preserve">=268.92 </w:t>
      </w:r>
      <w:r w:rsidR="0003354C" w:rsidRPr="00D96AF2">
        <w:rPr>
          <w:rFonts w:cs="Times New Roman"/>
          <w:i/>
          <w:iCs/>
          <w:szCs w:val="24"/>
        </w:rPr>
        <w:t>p</w:t>
      </w:r>
      <w:r w:rsidR="0003354C" w:rsidRPr="00D96AF2">
        <w:rPr>
          <w:rFonts w:cs="Times New Roman"/>
          <w:szCs w:val="24"/>
        </w:rPr>
        <w:t xml:space="preserve"> &lt; .001, CFI = .9</w:t>
      </w:r>
      <w:r w:rsidR="0003354C">
        <w:rPr>
          <w:rFonts w:cs="Times New Roman"/>
          <w:szCs w:val="24"/>
        </w:rPr>
        <w:t>8</w:t>
      </w:r>
      <w:r w:rsidR="0003354C" w:rsidRPr="00D96AF2">
        <w:rPr>
          <w:rFonts w:cs="Times New Roman"/>
          <w:szCs w:val="24"/>
        </w:rPr>
        <w:t xml:space="preserve">, </w:t>
      </w:r>
      <w:r w:rsidR="0003354C">
        <w:rPr>
          <w:rFonts w:cs="Times New Roman"/>
          <w:szCs w:val="24"/>
        </w:rPr>
        <w:t xml:space="preserve">TLI = .97, </w:t>
      </w:r>
      <w:r w:rsidR="0003354C" w:rsidRPr="00D96AF2">
        <w:rPr>
          <w:rFonts w:cs="Times New Roman"/>
          <w:szCs w:val="24"/>
        </w:rPr>
        <w:t>RMSEA = .0</w:t>
      </w:r>
      <w:r w:rsidR="0003354C">
        <w:rPr>
          <w:rFonts w:cs="Times New Roman"/>
          <w:szCs w:val="24"/>
        </w:rPr>
        <w:t>4</w:t>
      </w:r>
      <w:r w:rsidR="000E4512">
        <w:rPr>
          <w:rFonts w:cs="Times New Roman"/>
          <w:szCs w:val="24"/>
        </w:rPr>
        <w:t xml:space="preserve"> with a </w:t>
      </w:r>
      <w:r w:rsidR="000E4512" w:rsidRPr="00295B7A">
        <w:rPr>
          <w:rFonts w:cs="Times New Roman"/>
        </w:rPr>
        <w:t>∆</w:t>
      </w:r>
      <w:r w:rsidR="000E4512">
        <w:rPr>
          <w:rFonts w:cs="Times New Roman"/>
        </w:rPr>
        <w:t>CFI = .007</w:t>
      </w:r>
      <w:r w:rsidR="0003354C">
        <w:rPr>
          <w:rFonts w:cs="Times New Roman"/>
          <w:szCs w:val="24"/>
        </w:rPr>
        <w:t>.</w:t>
      </w:r>
    </w:p>
    <w:p w14:paraId="68CDE5FE" w14:textId="35F62A53" w:rsidR="00D21625" w:rsidRDefault="000F6BD3" w:rsidP="00D21625">
      <w:pPr>
        <w:ind w:firstLine="720"/>
        <w:rPr>
          <w:rFonts w:cs="Times New Roman"/>
          <w:szCs w:val="24"/>
        </w:rPr>
      </w:pPr>
      <w:r>
        <w:rPr>
          <w:rFonts w:cs="Times New Roman"/>
          <w:i/>
          <w:szCs w:val="24"/>
        </w:rPr>
        <w:t>Income.</w:t>
      </w:r>
      <w:r w:rsidR="00D21625">
        <w:rPr>
          <w:rFonts w:cs="Times New Roman"/>
          <w:i/>
          <w:szCs w:val="24"/>
        </w:rPr>
        <w:t xml:space="preserve"> </w:t>
      </w:r>
      <w:r w:rsidR="00D21625">
        <w:rPr>
          <w:rFonts w:cs="Times New Roman"/>
          <w:szCs w:val="24"/>
        </w:rPr>
        <w:t xml:space="preserve">The configural model for income had a good fit, </w:t>
      </w:r>
      <w:r w:rsidR="00D21625" w:rsidRPr="00D96AF2">
        <w:rPr>
          <w:rFonts w:cs="Times New Roman"/>
          <w:szCs w:val="24"/>
        </w:rPr>
        <w:t>χ²</w:t>
      </w:r>
      <w:r w:rsidR="00D21625" w:rsidRPr="00D96AF2">
        <w:rPr>
          <w:rFonts w:cs="Times New Roman"/>
          <w:szCs w:val="24"/>
          <w:vertAlign w:val="superscript"/>
        </w:rPr>
        <w:t xml:space="preserve"> </w:t>
      </w:r>
      <w:r w:rsidR="00D21625" w:rsidRPr="00D96AF2">
        <w:rPr>
          <w:rFonts w:cs="Times New Roman"/>
          <w:szCs w:val="24"/>
        </w:rPr>
        <w:t>(</w:t>
      </w:r>
      <w:r w:rsidR="00D21625">
        <w:rPr>
          <w:rFonts w:cs="Times New Roman"/>
          <w:szCs w:val="24"/>
        </w:rPr>
        <w:t>159</w:t>
      </w:r>
      <w:r w:rsidR="00D21625" w:rsidRPr="00D96AF2">
        <w:rPr>
          <w:rFonts w:cs="Times New Roman"/>
          <w:szCs w:val="24"/>
        </w:rPr>
        <w:t>)</w:t>
      </w:r>
      <w:r w:rsidR="00D21625">
        <w:rPr>
          <w:rFonts w:cs="Times New Roman"/>
          <w:szCs w:val="24"/>
        </w:rPr>
        <w:t xml:space="preserve">=168.077 </w:t>
      </w:r>
      <w:r w:rsidR="00D21625" w:rsidRPr="00D96AF2">
        <w:rPr>
          <w:rFonts w:cs="Times New Roman"/>
          <w:i/>
          <w:iCs/>
          <w:szCs w:val="24"/>
        </w:rPr>
        <w:t>p</w:t>
      </w:r>
      <w:r w:rsidR="00D21625">
        <w:rPr>
          <w:rFonts w:cs="Times New Roman"/>
          <w:szCs w:val="24"/>
        </w:rPr>
        <w:t xml:space="preserve"> &gt;</w:t>
      </w:r>
      <w:r w:rsidR="00D21625" w:rsidRPr="00D96AF2">
        <w:rPr>
          <w:rFonts w:cs="Times New Roman"/>
          <w:szCs w:val="24"/>
        </w:rPr>
        <w:t xml:space="preserve"> .001, CFI = .9</w:t>
      </w:r>
      <w:r w:rsidR="00D21625">
        <w:rPr>
          <w:rFonts w:cs="Times New Roman"/>
          <w:szCs w:val="24"/>
        </w:rPr>
        <w:t>9</w:t>
      </w:r>
      <w:r w:rsidR="00D21625" w:rsidRPr="00D96AF2">
        <w:rPr>
          <w:rFonts w:cs="Times New Roman"/>
          <w:szCs w:val="24"/>
        </w:rPr>
        <w:t xml:space="preserve">, </w:t>
      </w:r>
      <w:r w:rsidR="00D21625">
        <w:rPr>
          <w:rFonts w:cs="Times New Roman"/>
          <w:szCs w:val="24"/>
        </w:rPr>
        <w:t xml:space="preserve">TLI = .99, </w:t>
      </w:r>
      <w:r w:rsidR="00D21625" w:rsidRPr="00D96AF2">
        <w:rPr>
          <w:rFonts w:cs="Times New Roman"/>
          <w:szCs w:val="24"/>
        </w:rPr>
        <w:t>RMSEA = .0</w:t>
      </w:r>
      <w:r w:rsidR="00D21625">
        <w:rPr>
          <w:rFonts w:cs="Times New Roman"/>
          <w:szCs w:val="24"/>
        </w:rPr>
        <w:t xml:space="preserve">1. Fit was not significantly different for the metric </w:t>
      </w:r>
      <w:r w:rsidR="00D21625">
        <w:rPr>
          <w:rFonts w:cs="Times New Roman"/>
          <w:szCs w:val="24"/>
        </w:rPr>
        <w:lastRenderedPageBreak/>
        <w:t xml:space="preserve">invariance model where </w:t>
      </w:r>
      <w:r w:rsidR="00D21625" w:rsidRPr="00D96AF2">
        <w:rPr>
          <w:rFonts w:cs="Times New Roman"/>
          <w:szCs w:val="24"/>
        </w:rPr>
        <w:t>χ²</w:t>
      </w:r>
      <w:r w:rsidR="00D21625" w:rsidRPr="00D96AF2">
        <w:rPr>
          <w:rFonts w:cs="Times New Roman"/>
          <w:szCs w:val="24"/>
          <w:vertAlign w:val="superscript"/>
        </w:rPr>
        <w:t xml:space="preserve"> </w:t>
      </w:r>
      <w:r w:rsidR="00D21625" w:rsidRPr="00D96AF2">
        <w:rPr>
          <w:rFonts w:cs="Times New Roman"/>
          <w:szCs w:val="24"/>
        </w:rPr>
        <w:t>(</w:t>
      </w:r>
      <w:r w:rsidR="00D21625">
        <w:rPr>
          <w:rFonts w:cs="Times New Roman"/>
          <w:szCs w:val="24"/>
        </w:rPr>
        <w:t>174</w:t>
      </w:r>
      <w:r w:rsidR="00D21625" w:rsidRPr="00D96AF2">
        <w:rPr>
          <w:rFonts w:cs="Times New Roman"/>
          <w:szCs w:val="24"/>
        </w:rPr>
        <w:t>)</w:t>
      </w:r>
      <w:r w:rsidR="00D21625">
        <w:rPr>
          <w:rFonts w:cs="Times New Roman"/>
          <w:szCs w:val="24"/>
        </w:rPr>
        <w:t xml:space="preserve">=192.96 </w:t>
      </w:r>
      <w:r w:rsidR="00D21625" w:rsidRPr="00D96AF2">
        <w:rPr>
          <w:rFonts w:cs="Times New Roman"/>
          <w:i/>
          <w:iCs/>
          <w:szCs w:val="24"/>
        </w:rPr>
        <w:t>p</w:t>
      </w:r>
      <w:r w:rsidR="00D21625">
        <w:rPr>
          <w:rFonts w:cs="Times New Roman"/>
          <w:szCs w:val="24"/>
        </w:rPr>
        <w:t xml:space="preserve"> &gt;</w:t>
      </w:r>
      <w:r w:rsidR="00D21625" w:rsidRPr="00D96AF2">
        <w:rPr>
          <w:rFonts w:cs="Times New Roman"/>
          <w:szCs w:val="24"/>
        </w:rPr>
        <w:t xml:space="preserve"> .001, CFI = .9</w:t>
      </w:r>
      <w:r w:rsidR="00D21625">
        <w:rPr>
          <w:rFonts w:cs="Times New Roman"/>
          <w:szCs w:val="24"/>
        </w:rPr>
        <w:t>9</w:t>
      </w:r>
      <w:r w:rsidR="00D21625" w:rsidRPr="00D96AF2">
        <w:rPr>
          <w:rFonts w:cs="Times New Roman"/>
          <w:szCs w:val="24"/>
        </w:rPr>
        <w:t xml:space="preserve">, </w:t>
      </w:r>
      <w:r w:rsidR="00D21625">
        <w:rPr>
          <w:rFonts w:cs="Times New Roman"/>
          <w:szCs w:val="24"/>
        </w:rPr>
        <w:t xml:space="preserve">TLI = .99, </w:t>
      </w:r>
      <w:r w:rsidR="00D21625" w:rsidRPr="00D96AF2">
        <w:rPr>
          <w:rFonts w:cs="Times New Roman"/>
          <w:szCs w:val="24"/>
        </w:rPr>
        <w:t>RMSEA = .0</w:t>
      </w:r>
      <w:r w:rsidR="00D21625">
        <w:rPr>
          <w:rFonts w:cs="Times New Roman"/>
          <w:szCs w:val="24"/>
        </w:rPr>
        <w:t xml:space="preserve">2 with a </w:t>
      </w:r>
      <w:r w:rsidR="00D21625" w:rsidRPr="00295B7A">
        <w:rPr>
          <w:rFonts w:cs="Times New Roman"/>
        </w:rPr>
        <w:t>∆</w:t>
      </w:r>
      <w:r w:rsidR="00D21625">
        <w:rPr>
          <w:rFonts w:cs="Times New Roman"/>
        </w:rPr>
        <w:t>CFI = .002</w:t>
      </w:r>
      <w:r w:rsidR="00D21625">
        <w:rPr>
          <w:rFonts w:cs="Times New Roman"/>
          <w:szCs w:val="24"/>
        </w:rPr>
        <w:t>.</w:t>
      </w:r>
    </w:p>
    <w:p w14:paraId="2729A14E" w14:textId="6A60D37F" w:rsidR="00064934" w:rsidRDefault="00064934" w:rsidP="00D21625">
      <w:pPr>
        <w:ind w:firstLine="720"/>
        <w:rPr>
          <w:rFonts w:cs="Times New Roman"/>
          <w:szCs w:val="24"/>
        </w:rPr>
      </w:pPr>
      <w:r>
        <w:rPr>
          <w:rFonts w:cs="Times New Roman"/>
          <w:i/>
          <w:szCs w:val="24"/>
        </w:rPr>
        <w:t>Class.</w:t>
      </w:r>
      <w:r w:rsidR="000E45B6" w:rsidRPr="000E45B6">
        <w:rPr>
          <w:rFonts w:cs="Times New Roman"/>
          <w:szCs w:val="24"/>
        </w:rPr>
        <w:t xml:space="preserve"> </w:t>
      </w:r>
      <w:r w:rsidR="000E45B6">
        <w:rPr>
          <w:rFonts w:cs="Times New Roman"/>
          <w:szCs w:val="24"/>
        </w:rPr>
        <w:t xml:space="preserve">The configural model for class had a good fit, </w:t>
      </w:r>
      <w:r w:rsidR="000E45B6" w:rsidRPr="00D96AF2">
        <w:rPr>
          <w:rFonts w:cs="Times New Roman"/>
          <w:szCs w:val="24"/>
        </w:rPr>
        <w:t>χ²</w:t>
      </w:r>
      <w:r w:rsidR="000E45B6" w:rsidRPr="00D96AF2">
        <w:rPr>
          <w:rFonts w:cs="Times New Roman"/>
          <w:szCs w:val="24"/>
          <w:vertAlign w:val="superscript"/>
        </w:rPr>
        <w:t xml:space="preserve"> </w:t>
      </w:r>
      <w:r w:rsidR="000E45B6" w:rsidRPr="00D96AF2">
        <w:rPr>
          <w:rFonts w:cs="Times New Roman"/>
          <w:szCs w:val="24"/>
        </w:rPr>
        <w:t>(</w:t>
      </w:r>
      <w:r w:rsidR="000E45B6">
        <w:rPr>
          <w:rFonts w:cs="Times New Roman"/>
          <w:szCs w:val="24"/>
        </w:rPr>
        <w:t>159</w:t>
      </w:r>
      <w:r w:rsidR="000E45B6" w:rsidRPr="00D96AF2">
        <w:rPr>
          <w:rFonts w:cs="Times New Roman"/>
          <w:szCs w:val="24"/>
        </w:rPr>
        <w:t>)</w:t>
      </w:r>
      <w:r w:rsidR="000E45B6">
        <w:rPr>
          <w:rFonts w:cs="Times New Roman"/>
          <w:szCs w:val="24"/>
        </w:rPr>
        <w:t xml:space="preserve">=195.46 </w:t>
      </w:r>
      <w:r w:rsidR="000E45B6" w:rsidRPr="00D96AF2">
        <w:rPr>
          <w:rFonts w:cs="Times New Roman"/>
          <w:i/>
          <w:iCs/>
          <w:szCs w:val="24"/>
        </w:rPr>
        <w:t>p</w:t>
      </w:r>
      <w:r w:rsidR="000E45B6">
        <w:rPr>
          <w:rFonts w:cs="Times New Roman"/>
          <w:szCs w:val="24"/>
        </w:rPr>
        <w:t xml:space="preserve"> &gt;</w:t>
      </w:r>
      <w:r w:rsidR="000E45B6" w:rsidRPr="00D96AF2">
        <w:rPr>
          <w:rFonts w:cs="Times New Roman"/>
          <w:szCs w:val="24"/>
        </w:rPr>
        <w:t xml:space="preserve"> .001, CFI = .9</w:t>
      </w:r>
      <w:r w:rsidR="000E45B6">
        <w:rPr>
          <w:rFonts w:cs="Times New Roman"/>
          <w:szCs w:val="24"/>
        </w:rPr>
        <w:t>9</w:t>
      </w:r>
      <w:r w:rsidR="000E45B6" w:rsidRPr="00D96AF2">
        <w:rPr>
          <w:rFonts w:cs="Times New Roman"/>
          <w:szCs w:val="24"/>
        </w:rPr>
        <w:t xml:space="preserve">, </w:t>
      </w:r>
      <w:r w:rsidR="000E45B6">
        <w:rPr>
          <w:rFonts w:cs="Times New Roman"/>
          <w:szCs w:val="24"/>
        </w:rPr>
        <w:t xml:space="preserve">TLI = .98, </w:t>
      </w:r>
      <w:r w:rsidR="000E45B6" w:rsidRPr="00D96AF2">
        <w:rPr>
          <w:rFonts w:cs="Times New Roman"/>
          <w:szCs w:val="24"/>
        </w:rPr>
        <w:t>RMSEA = .0</w:t>
      </w:r>
      <w:r w:rsidR="000E45B6">
        <w:rPr>
          <w:rFonts w:cs="Times New Roman"/>
          <w:szCs w:val="24"/>
        </w:rPr>
        <w:t>3</w:t>
      </w:r>
      <w:r w:rsidR="00AE51DC">
        <w:rPr>
          <w:rFonts w:cs="Times New Roman"/>
          <w:szCs w:val="24"/>
        </w:rPr>
        <w:t>.</w:t>
      </w:r>
      <w:r w:rsidR="000E45B6">
        <w:rPr>
          <w:rFonts w:cs="Times New Roman"/>
          <w:szCs w:val="24"/>
        </w:rPr>
        <w:t xml:space="preserve"> Fit was not significantly different for the metric invariance model where </w:t>
      </w:r>
      <w:r w:rsidR="000E45B6" w:rsidRPr="00D96AF2">
        <w:rPr>
          <w:rFonts w:cs="Times New Roman"/>
          <w:szCs w:val="24"/>
        </w:rPr>
        <w:t>χ²</w:t>
      </w:r>
      <w:r w:rsidR="000E45B6" w:rsidRPr="00D96AF2">
        <w:rPr>
          <w:rFonts w:cs="Times New Roman"/>
          <w:szCs w:val="24"/>
          <w:vertAlign w:val="superscript"/>
        </w:rPr>
        <w:t xml:space="preserve"> </w:t>
      </w:r>
      <w:r w:rsidR="000E45B6" w:rsidRPr="00D96AF2">
        <w:rPr>
          <w:rFonts w:cs="Times New Roman"/>
          <w:szCs w:val="24"/>
        </w:rPr>
        <w:t>(</w:t>
      </w:r>
      <w:r w:rsidR="000E45B6">
        <w:rPr>
          <w:rFonts w:cs="Times New Roman"/>
          <w:szCs w:val="24"/>
        </w:rPr>
        <w:t>174</w:t>
      </w:r>
      <w:r w:rsidR="000E45B6" w:rsidRPr="00D96AF2">
        <w:rPr>
          <w:rFonts w:cs="Times New Roman"/>
          <w:szCs w:val="24"/>
        </w:rPr>
        <w:t>)</w:t>
      </w:r>
      <w:r w:rsidR="000E45B6">
        <w:rPr>
          <w:rFonts w:cs="Times New Roman"/>
          <w:szCs w:val="24"/>
        </w:rPr>
        <w:t xml:space="preserve">=209.71 </w:t>
      </w:r>
      <w:r w:rsidR="000E45B6" w:rsidRPr="00D96AF2">
        <w:rPr>
          <w:rFonts w:cs="Times New Roman"/>
          <w:i/>
          <w:iCs/>
          <w:szCs w:val="24"/>
        </w:rPr>
        <w:t>p</w:t>
      </w:r>
      <w:r w:rsidR="000E45B6">
        <w:rPr>
          <w:rFonts w:cs="Times New Roman"/>
          <w:szCs w:val="24"/>
        </w:rPr>
        <w:t xml:space="preserve"> &gt;</w:t>
      </w:r>
      <w:r w:rsidR="000E45B6" w:rsidRPr="00D96AF2">
        <w:rPr>
          <w:rFonts w:cs="Times New Roman"/>
          <w:szCs w:val="24"/>
        </w:rPr>
        <w:t xml:space="preserve"> .001, CFI = .9</w:t>
      </w:r>
      <w:r w:rsidR="000E45B6">
        <w:rPr>
          <w:rFonts w:cs="Times New Roman"/>
          <w:szCs w:val="24"/>
        </w:rPr>
        <w:t>9</w:t>
      </w:r>
      <w:r w:rsidR="000E45B6" w:rsidRPr="00D96AF2">
        <w:rPr>
          <w:rFonts w:cs="Times New Roman"/>
          <w:szCs w:val="24"/>
        </w:rPr>
        <w:t xml:space="preserve">, </w:t>
      </w:r>
      <w:r w:rsidR="000E45B6">
        <w:rPr>
          <w:rFonts w:cs="Times New Roman"/>
          <w:szCs w:val="24"/>
        </w:rPr>
        <w:t xml:space="preserve">TLI = .99, </w:t>
      </w:r>
      <w:r w:rsidR="000E45B6" w:rsidRPr="00D96AF2">
        <w:rPr>
          <w:rFonts w:cs="Times New Roman"/>
          <w:szCs w:val="24"/>
        </w:rPr>
        <w:t>RMSEA = .0</w:t>
      </w:r>
      <w:r w:rsidR="000E45B6">
        <w:rPr>
          <w:rFonts w:cs="Times New Roman"/>
          <w:szCs w:val="24"/>
        </w:rPr>
        <w:t xml:space="preserve">3 with a </w:t>
      </w:r>
      <w:r w:rsidR="000E45B6" w:rsidRPr="00295B7A">
        <w:rPr>
          <w:rFonts w:cs="Times New Roman"/>
        </w:rPr>
        <w:t>∆</w:t>
      </w:r>
      <w:r w:rsidR="000E45B6">
        <w:rPr>
          <w:rFonts w:cs="Times New Roman"/>
        </w:rPr>
        <w:t>CFI = .002</w:t>
      </w:r>
      <w:r w:rsidR="000E45B6">
        <w:rPr>
          <w:rFonts w:cs="Times New Roman"/>
          <w:szCs w:val="24"/>
        </w:rPr>
        <w:t>.</w:t>
      </w:r>
    </w:p>
    <w:p w14:paraId="7A86ACFA" w14:textId="1C28D3A2" w:rsidR="00014B3E" w:rsidRDefault="000F391A" w:rsidP="00D85CB2">
      <w:pPr>
        <w:ind w:firstLine="720"/>
        <w:rPr>
          <w:rFonts w:cs="Times New Roman"/>
        </w:rPr>
      </w:pPr>
      <w:r w:rsidRPr="007A6645">
        <w:rPr>
          <w:rFonts w:cs="Times New Roman"/>
          <w:b/>
        </w:rPr>
        <w:t xml:space="preserve">Hypothesis </w:t>
      </w:r>
      <w:r w:rsidR="0008086E" w:rsidRPr="007A6645">
        <w:rPr>
          <w:rFonts w:cs="Times New Roman"/>
          <w:b/>
        </w:rPr>
        <w:t>2</w:t>
      </w:r>
      <w:r w:rsidR="000E7183">
        <w:rPr>
          <w:rFonts w:cs="Times New Roman"/>
          <w:b/>
        </w:rPr>
        <w:t xml:space="preserve">. </w:t>
      </w:r>
      <w:r w:rsidR="006F4849" w:rsidRPr="00510FCE">
        <w:rPr>
          <w:rFonts w:cs="Times New Roman"/>
          <w:i/>
        </w:rPr>
        <w:t>Predictive validity</w:t>
      </w:r>
      <w:r w:rsidR="006F4849" w:rsidRPr="007A6645">
        <w:rPr>
          <w:rFonts w:cs="Times New Roman"/>
          <w:b/>
        </w:rPr>
        <w:t>.</w:t>
      </w:r>
      <w:r w:rsidR="00970BBA">
        <w:rPr>
          <w:rFonts w:cs="Times New Roman"/>
          <w:i/>
        </w:rPr>
        <w:t xml:space="preserve"> </w:t>
      </w:r>
      <w:r w:rsidR="006110CF">
        <w:rPr>
          <w:rFonts w:cs="Times New Roman"/>
        </w:rPr>
        <w:t>In order to determine the predictive validity of the DWS</w:t>
      </w:r>
      <w:r w:rsidR="0079654D">
        <w:rPr>
          <w:rFonts w:cs="Times New Roman"/>
        </w:rPr>
        <w:t xml:space="preserve"> subscales</w:t>
      </w:r>
      <w:r w:rsidR="006110CF">
        <w:rPr>
          <w:rFonts w:cs="Times New Roman"/>
        </w:rPr>
        <w:t xml:space="preserve"> we conducted</w:t>
      </w:r>
      <w:r w:rsidR="008A6849">
        <w:rPr>
          <w:rFonts w:cs="Times New Roman"/>
        </w:rPr>
        <w:t xml:space="preserve"> three hierarchical regressions on the dependent variables of job satisfaction, work as meaning and withdrawal intentions</w:t>
      </w:r>
      <w:r w:rsidR="005D45CF">
        <w:rPr>
          <w:rFonts w:cs="Times New Roman"/>
        </w:rPr>
        <w:t xml:space="preserve"> (see Table </w:t>
      </w:r>
      <w:r w:rsidR="0099130A">
        <w:rPr>
          <w:rFonts w:cs="Times New Roman"/>
        </w:rPr>
        <w:t>3</w:t>
      </w:r>
      <w:r w:rsidR="005D45CF">
        <w:rPr>
          <w:rFonts w:cs="Times New Roman"/>
        </w:rPr>
        <w:t>)</w:t>
      </w:r>
      <w:r w:rsidR="008A6849">
        <w:rPr>
          <w:rFonts w:cs="Times New Roman"/>
        </w:rPr>
        <w:t>.</w:t>
      </w:r>
      <w:r w:rsidR="0079654D">
        <w:rPr>
          <w:rFonts w:cs="Times New Roman"/>
        </w:rPr>
        <w:t xml:space="preserve"> The decent work</w:t>
      </w:r>
      <w:r w:rsidR="0013557E">
        <w:rPr>
          <w:rFonts w:cs="Times New Roman"/>
        </w:rPr>
        <w:t xml:space="preserve"> subscales accounted for 41% of the variance in job satisfaction, 28% of the variance in work as meaning and 20% of the variance in withdrawal intentions</w:t>
      </w:r>
      <w:r w:rsidR="004253EB">
        <w:rPr>
          <w:rFonts w:cs="Times New Roman"/>
        </w:rPr>
        <w:t xml:space="preserve"> (</w:t>
      </w:r>
      <w:r w:rsidR="004253EB" w:rsidRPr="004253EB">
        <w:rPr>
          <w:rFonts w:cs="Times New Roman"/>
          <w:i/>
        </w:rPr>
        <w:t xml:space="preserve">hypothesis </w:t>
      </w:r>
      <w:r w:rsidR="000A2068">
        <w:rPr>
          <w:rFonts w:cs="Times New Roman"/>
          <w:i/>
        </w:rPr>
        <w:t>2</w:t>
      </w:r>
      <w:r w:rsidR="004253EB" w:rsidRPr="004253EB">
        <w:rPr>
          <w:rFonts w:cs="Times New Roman"/>
          <w:i/>
        </w:rPr>
        <w:t>a</w:t>
      </w:r>
      <w:r w:rsidR="004253EB">
        <w:rPr>
          <w:rFonts w:cs="Times New Roman"/>
        </w:rPr>
        <w:t>)</w:t>
      </w:r>
      <w:r w:rsidR="0013557E">
        <w:rPr>
          <w:rFonts w:cs="Times New Roman"/>
        </w:rPr>
        <w:t>.</w:t>
      </w:r>
      <w:r w:rsidR="004F6A9C">
        <w:rPr>
          <w:rFonts w:cs="Times New Roman"/>
        </w:rPr>
        <w:t xml:space="preserve"> Multiple factors</w:t>
      </w:r>
      <w:r w:rsidR="004D11E4">
        <w:rPr>
          <w:rFonts w:cs="Times New Roman"/>
        </w:rPr>
        <w:t xml:space="preserve"> of decent work were significantly associated (p &lt; .05) with job satisfaction including safe working conditions, adequate compensation and complementary values</w:t>
      </w:r>
      <w:r w:rsidR="004974FF">
        <w:rPr>
          <w:rFonts w:cs="Times New Roman"/>
        </w:rPr>
        <w:t xml:space="preserve"> while controlling for other factors of decent work</w:t>
      </w:r>
      <w:r w:rsidR="004D11E4">
        <w:rPr>
          <w:rFonts w:cs="Times New Roman"/>
        </w:rPr>
        <w:t xml:space="preserve">. </w:t>
      </w:r>
      <w:r w:rsidR="004974FF">
        <w:rPr>
          <w:rFonts w:cs="Times New Roman"/>
        </w:rPr>
        <w:t>Safe working conditions and complementary values were significantly associated with work as meaning controlling for other factors of decent work. Finally, adequate compensation and complementary values were significantly associated with withdrawal intentions while controlling for other factors of decent work</w:t>
      </w:r>
      <w:r w:rsidR="004253EB">
        <w:rPr>
          <w:rFonts w:cs="Times New Roman"/>
        </w:rPr>
        <w:t xml:space="preserve"> (</w:t>
      </w:r>
      <w:r w:rsidR="004253EB">
        <w:rPr>
          <w:rFonts w:cs="Times New Roman"/>
          <w:i/>
        </w:rPr>
        <w:t xml:space="preserve">hypothesis </w:t>
      </w:r>
      <w:r w:rsidR="000A2068">
        <w:rPr>
          <w:rFonts w:cs="Times New Roman"/>
          <w:i/>
        </w:rPr>
        <w:t>2</w:t>
      </w:r>
      <w:r w:rsidR="004253EB">
        <w:rPr>
          <w:rFonts w:cs="Times New Roman"/>
          <w:i/>
        </w:rPr>
        <w:t>b)</w:t>
      </w:r>
      <w:r w:rsidR="004974FF">
        <w:rPr>
          <w:rFonts w:cs="Times New Roman"/>
        </w:rPr>
        <w:t>.</w:t>
      </w:r>
      <w:r w:rsidR="00B8445E">
        <w:rPr>
          <w:rFonts w:cs="Times New Roman"/>
        </w:rPr>
        <w:t xml:space="preserve"> Neither the access to healthcare subscale nor the free time and rest subscale were significant predictors for the three outcome variables.</w:t>
      </w:r>
    </w:p>
    <w:p w14:paraId="25DFFB5F" w14:textId="57E78878" w:rsidR="005D45CF" w:rsidRDefault="005D45CF" w:rsidP="005D45CF">
      <w:pPr>
        <w:jc w:val="center"/>
        <w:rPr>
          <w:rFonts w:cs="Times New Roman"/>
        </w:rPr>
      </w:pPr>
      <w:r>
        <w:rPr>
          <w:rFonts w:cs="Times New Roman"/>
        </w:rPr>
        <w:t xml:space="preserve">[Table </w:t>
      </w:r>
      <w:r w:rsidR="0099130A">
        <w:rPr>
          <w:rFonts w:cs="Times New Roman"/>
        </w:rPr>
        <w:t>3</w:t>
      </w:r>
      <w:r>
        <w:rPr>
          <w:rFonts w:cs="Times New Roman"/>
        </w:rPr>
        <w:t>]</w:t>
      </w:r>
    </w:p>
    <w:p w14:paraId="0669DA15" w14:textId="600AD2A7" w:rsidR="005D45CF" w:rsidRDefault="000E7183" w:rsidP="00D85CB2">
      <w:pPr>
        <w:jc w:val="center"/>
        <w:rPr>
          <w:rFonts w:cs="Times New Roman"/>
          <w:b/>
        </w:rPr>
      </w:pPr>
      <w:r>
        <w:rPr>
          <w:rFonts w:cs="Times New Roman"/>
          <w:b/>
        </w:rPr>
        <w:t xml:space="preserve">4. </w:t>
      </w:r>
      <w:r w:rsidR="00DA2B2D" w:rsidRPr="00B764E7">
        <w:rPr>
          <w:rFonts w:cs="Times New Roman"/>
          <w:b/>
        </w:rPr>
        <w:t>Study 2</w:t>
      </w:r>
      <w:r w:rsidR="00D85CB2">
        <w:rPr>
          <w:rFonts w:cs="Times New Roman"/>
          <w:b/>
        </w:rPr>
        <w:t xml:space="preserve"> – Exploring decent work in the UK</w:t>
      </w:r>
    </w:p>
    <w:p w14:paraId="1A402D6F" w14:textId="2D50AF66" w:rsidR="00D85CB2" w:rsidRDefault="00D85CB2" w:rsidP="00D85CB2">
      <w:pPr>
        <w:rPr>
          <w:rFonts w:cs="Times New Roman"/>
          <w:b/>
        </w:rPr>
      </w:pPr>
      <w:r>
        <w:rPr>
          <w:rFonts w:cs="Times New Roman"/>
          <w:b/>
        </w:rPr>
        <w:t>4.1 Method</w:t>
      </w:r>
    </w:p>
    <w:p w14:paraId="4F368367" w14:textId="77777777" w:rsidR="00D85CB2" w:rsidRDefault="00D85CB2" w:rsidP="00385B94">
      <w:pPr>
        <w:ind w:firstLine="720"/>
        <w:rPr>
          <w:rFonts w:cs="Times New Roman"/>
        </w:rPr>
      </w:pPr>
      <w:r w:rsidRPr="00385B94">
        <w:rPr>
          <w:rFonts w:cs="Times New Roman"/>
          <w:b/>
        </w:rPr>
        <w:t>Participants</w:t>
      </w:r>
      <w:r>
        <w:rPr>
          <w:rFonts w:cs="Times New Roman"/>
          <w:b/>
        </w:rPr>
        <w:t xml:space="preserve">. </w:t>
      </w:r>
      <w:r>
        <w:rPr>
          <w:rFonts w:cs="Times New Roman"/>
        </w:rPr>
        <w:t xml:space="preserve">One hundred twenty-four respondents (124) began the survey. Ninety-nine (99) respondents completed the qualitative question. Two respondents were deleted from </w:t>
      </w:r>
      <w:r>
        <w:rPr>
          <w:rFonts w:cs="Times New Roman"/>
        </w:rPr>
        <w:lastRenderedPageBreak/>
        <w:t>the analysis due to a lack of meaningful data. A total of 97 responses were analysed. Most (72%) respondents were female. The average age of respondents was 43 years with a standard deviation of 8.55 years. The largest proportion of respondents (73%) were on permanent contracts while 10% of respondents were on fixed term contracts and 9% were self-employed. Approximately 8% had other working arrangements.</w:t>
      </w:r>
    </w:p>
    <w:p w14:paraId="7F4C60B1" w14:textId="28D411FD" w:rsidR="002F226F" w:rsidRDefault="00D85CB2" w:rsidP="00D85CB2">
      <w:pPr>
        <w:ind w:firstLine="720"/>
        <w:rPr>
          <w:rFonts w:cs="Times New Roman"/>
        </w:rPr>
      </w:pPr>
      <w:r w:rsidRPr="00510FCE">
        <w:rPr>
          <w:rFonts w:cs="Times New Roman"/>
          <w:b/>
        </w:rPr>
        <w:t>Proceedure.</w:t>
      </w:r>
      <w:r>
        <w:rPr>
          <w:rFonts w:cs="Times New Roman"/>
        </w:rPr>
        <w:t xml:space="preserve"> </w:t>
      </w:r>
      <w:r w:rsidR="00F708BD">
        <w:rPr>
          <w:rFonts w:cs="Times New Roman"/>
        </w:rPr>
        <w:t xml:space="preserve">We devised a short, open-ended survey to collect data about thoughts on decent work in the UK. </w:t>
      </w:r>
      <w:r w:rsidR="00CF021C">
        <w:rPr>
          <w:rFonts w:cs="Times New Roman"/>
        </w:rPr>
        <w:t>We</w:t>
      </w:r>
      <w:r w:rsidR="002F226F">
        <w:rPr>
          <w:rFonts w:cs="Times New Roman"/>
        </w:rPr>
        <w:t xml:space="preserve"> recruited </w:t>
      </w:r>
      <w:r w:rsidR="00F26BBF">
        <w:rPr>
          <w:rFonts w:cs="Times New Roman"/>
        </w:rPr>
        <w:t xml:space="preserve">an opportunity sample of </w:t>
      </w:r>
      <w:r w:rsidR="002F226F">
        <w:rPr>
          <w:rFonts w:cs="Times New Roman"/>
        </w:rPr>
        <w:t>participants</w:t>
      </w:r>
      <w:r w:rsidR="00CF021C">
        <w:rPr>
          <w:rFonts w:cs="Times New Roman"/>
        </w:rPr>
        <w:t xml:space="preserve"> in October 2018</w:t>
      </w:r>
      <w:r w:rsidR="002F226F">
        <w:rPr>
          <w:rFonts w:cs="Times New Roman"/>
        </w:rPr>
        <w:t xml:space="preserve"> </w:t>
      </w:r>
      <w:r w:rsidR="00581254">
        <w:rPr>
          <w:rFonts w:cs="Times New Roman"/>
        </w:rPr>
        <w:t xml:space="preserve">via </w:t>
      </w:r>
      <w:r w:rsidR="002F226F">
        <w:rPr>
          <w:rFonts w:cs="Times New Roman"/>
        </w:rPr>
        <w:t>social media outlets</w:t>
      </w:r>
      <w:r w:rsidR="00581254">
        <w:rPr>
          <w:rFonts w:cs="Times New Roman"/>
        </w:rPr>
        <w:t xml:space="preserve"> particularly Twitter and Facebook</w:t>
      </w:r>
      <w:r w:rsidR="002F226F">
        <w:rPr>
          <w:rFonts w:cs="Times New Roman"/>
        </w:rPr>
        <w:t xml:space="preserve">. </w:t>
      </w:r>
      <w:r w:rsidR="009534EA">
        <w:rPr>
          <w:rFonts w:cs="Times New Roman"/>
        </w:rPr>
        <w:t>Our tweets asked potential</w:t>
      </w:r>
      <w:r w:rsidR="002F226F">
        <w:rPr>
          <w:rFonts w:cs="Times New Roman"/>
        </w:rPr>
        <w:t xml:space="preserve"> </w:t>
      </w:r>
      <w:r w:rsidR="00F26BBF">
        <w:rPr>
          <w:rFonts w:cs="Times New Roman"/>
        </w:rPr>
        <w:t xml:space="preserve">UK </w:t>
      </w:r>
      <w:r w:rsidR="002F226F">
        <w:rPr>
          <w:rFonts w:cs="Times New Roman"/>
        </w:rPr>
        <w:t>participants to “</w:t>
      </w:r>
      <w:r w:rsidR="009534EA">
        <w:rPr>
          <w:rFonts w:cs="Times New Roman"/>
        </w:rPr>
        <w:t>h</w:t>
      </w:r>
      <w:r w:rsidR="002F226F">
        <w:rPr>
          <w:rFonts w:cs="Times New Roman"/>
        </w:rPr>
        <w:t>ave their say on decent work” or to tell us “what decent work meant to them.” Potential participants clicked on a link which detailed the research and engaged them in an informed consent process.</w:t>
      </w:r>
    </w:p>
    <w:p w14:paraId="20141910" w14:textId="77777777" w:rsidR="00D85CB2" w:rsidRDefault="00D85CB2" w:rsidP="00D85CB2">
      <w:pPr>
        <w:ind w:firstLine="720"/>
        <w:rPr>
          <w:rFonts w:cs="Times New Roman"/>
        </w:rPr>
      </w:pPr>
      <w:r>
        <w:rPr>
          <w:rFonts w:cs="Times New Roman"/>
        </w:rPr>
        <w:t xml:space="preserve">We used content analysis techniques to code the qualitative data (Krippendorf, 2004). We </w:t>
      </w:r>
      <w:r w:rsidRPr="00F702E2">
        <w:rPr>
          <w:rFonts w:cs="Times New Roman"/>
        </w:rPr>
        <w:t>adopted the two models of analysis suggested by Angrosino (2007)</w:t>
      </w:r>
      <w:r>
        <w:rPr>
          <w:rFonts w:cs="Times New Roman"/>
        </w:rPr>
        <w:t>, beginning with</w:t>
      </w:r>
      <w:r w:rsidRPr="00F702E2">
        <w:rPr>
          <w:rFonts w:cs="Times New Roman"/>
        </w:rPr>
        <w:t xml:space="preserve"> </w:t>
      </w:r>
      <w:r w:rsidRPr="006B4D75">
        <w:rPr>
          <w:rFonts w:cs="Times New Roman"/>
          <w:i/>
        </w:rPr>
        <w:t>descriptive analysis</w:t>
      </w:r>
      <w:r w:rsidRPr="00F702E2">
        <w:rPr>
          <w:rFonts w:cs="Times New Roman"/>
        </w:rPr>
        <w:t xml:space="preserve"> – essentially breaking down the data into themes to appreciate patterns</w:t>
      </w:r>
      <w:r>
        <w:rPr>
          <w:rFonts w:cs="Times New Roman"/>
        </w:rPr>
        <w:t xml:space="preserve"> before moving on to </w:t>
      </w:r>
      <w:r w:rsidRPr="006B4D75">
        <w:rPr>
          <w:rFonts w:cs="Times New Roman"/>
          <w:i/>
        </w:rPr>
        <w:t>theoretical analysis</w:t>
      </w:r>
      <w:r w:rsidRPr="00F702E2">
        <w:rPr>
          <w:rFonts w:cs="Times New Roman"/>
        </w:rPr>
        <w:t xml:space="preserve">, employing theory to make sense of these themes or regularities. </w:t>
      </w:r>
      <w:r>
        <w:rPr>
          <w:rFonts w:cs="Times New Roman"/>
        </w:rPr>
        <w:t>To ensure the reliability of the coding an intercoder agreement approach was taken (</w:t>
      </w:r>
      <w:r w:rsidRPr="005D1ED7">
        <w:rPr>
          <w:rFonts w:cs="Times New Roman"/>
        </w:rPr>
        <w:t>Campbell, Quincy, Osserman, Pedersen, 2013).</w:t>
      </w:r>
      <w:r>
        <w:rPr>
          <w:rFonts w:cs="Times New Roman"/>
        </w:rPr>
        <w:t xml:space="preserve"> Two researchers coded samples of the data separately then worked together to create a shared codebook. The full dataset was then coded by both researchers and any areas where disagreement was found were discussed until a consensus was found. </w:t>
      </w:r>
    </w:p>
    <w:p w14:paraId="0C1DC954" w14:textId="209951DA" w:rsidR="00F708BD" w:rsidRDefault="00D85CB2" w:rsidP="00385B94">
      <w:pPr>
        <w:ind w:firstLine="720"/>
        <w:rPr>
          <w:rFonts w:cs="Times New Roman"/>
        </w:rPr>
      </w:pPr>
      <w:r w:rsidRPr="00510FCE">
        <w:rPr>
          <w:rFonts w:cs="Times New Roman"/>
          <w:b/>
        </w:rPr>
        <w:t xml:space="preserve">Instruments. </w:t>
      </w:r>
      <w:r w:rsidR="008E6B88">
        <w:rPr>
          <w:rFonts w:cs="Times New Roman"/>
        </w:rPr>
        <w:t xml:space="preserve">We developed a short survey which collected demographic information of our participants. </w:t>
      </w:r>
      <w:r w:rsidR="00F708BD">
        <w:rPr>
          <w:rFonts w:cs="Times New Roman"/>
        </w:rPr>
        <w:t xml:space="preserve">Our main question was this: </w:t>
      </w:r>
      <w:r w:rsidR="00F708BD" w:rsidRPr="00B764E7">
        <w:rPr>
          <w:rFonts w:cs="Times New Roman"/>
          <w:i/>
        </w:rPr>
        <w:t xml:space="preserve">Decent work is employment that meets the minimum acceptable standards for a ‘good life’. What components do you feel a job needs to </w:t>
      </w:r>
      <w:r w:rsidR="00F708BD" w:rsidRPr="00B764E7">
        <w:rPr>
          <w:rFonts w:cs="Times New Roman"/>
          <w:i/>
        </w:rPr>
        <w:lastRenderedPageBreak/>
        <w:t>have to be considered 'decent' or 'acceptable'?</w:t>
      </w:r>
      <w:r w:rsidR="00056D22">
        <w:rPr>
          <w:rFonts w:cs="Times New Roman"/>
        </w:rPr>
        <w:t xml:space="preserve"> </w:t>
      </w:r>
      <w:r w:rsidR="008E6B88">
        <w:rPr>
          <w:rFonts w:cs="Times New Roman"/>
        </w:rPr>
        <w:t>The question was open-ended to allow for participants to write and reflect on what they understand as decent work.</w:t>
      </w:r>
    </w:p>
    <w:p w14:paraId="1F5FEC5F" w14:textId="159F79FD" w:rsidR="00D2226C" w:rsidRPr="00B764E7" w:rsidRDefault="00D85CB2" w:rsidP="00D85CB2">
      <w:pPr>
        <w:rPr>
          <w:rFonts w:cs="Times New Roman"/>
          <w:b/>
        </w:rPr>
      </w:pPr>
      <w:r>
        <w:rPr>
          <w:rFonts w:cs="Times New Roman"/>
          <w:b/>
        </w:rPr>
        <w:t xml:space="preserve">4.2 </w:t>
      </w:r>
      <w:r w:rsidR="0036354C">
        <w:rPr>
          <w:rFonts w:cs="Times New Roman"/>
          <w:b/>
        </w:rPr>
        <w:t>Results</w:t>
      </w:r>
    </w:p>
    <w:p w14:paraId="58B25E8B" w14:textId="459DA009" w:rsidR="00202C28" w:rsidRDefault="00202C28" w:rsidP="00385B94">
      <w:pPr>
        <w:spacing w:after="0"/>
        <w:ind w:firstLine="720"/>
        <w:rPr>
          <w:rFonts w:eastAsia="Calibri" w:cs="Times New Roman"/>
        </w:rPr>
      </w:pPr>
      <w:r>
        <w:rPr>
          <w:rFonts w:eastAsia="Calibri" w:cs="Times New Roman"/>
        </w:rPr>
        <w:t xml:space="preserve">There were </w:t>
      </w:r>
      <w:r w:rsidR="00385B94">
        <w:rPr>
          <w:rFonts w:eastAsia="Calibri" w:cs="Times New Roman"/>
        </w:rPr>
        <w:t>fourteen (</w:t>
      </w:r>
      <w:r>
        <w:rPr>
          <w:rFonts w:eastAsia="Calibri" w:cs="Times New Roman"/>
        </w:rPr>
        <w:t>14</w:t>
      </w:r>
      <w:r w:rsidR="00385B94">
        <w:rPr>
          <w:rFonts w:eastAsia="Calibri" w:cs="Times New Roman"/>
        </w:rPr>
        <w:t>)</w:t>
      </w:r>
      <w:r>
        <w:rPr>
          <w:rFonts w:eastAsia="Calibri" w:cs="Times New Roman"/>
        </w:rPr>
        <w:t xml:space="preserve"> meta concepts that emerged from the analysis. Each meta concept had up to four concepts labelled as pa</w:t>
      </w:r>
      <w:r w:rsidR="0099130A">
        <w:rPr>
          <w:rFonts w:eastAsia="Calibri" w:cs="Times New Roman"/>
        </w:rPr>
        <w:t>rt of the meta concepts. Table 4</w:t>
      </w:r>
      <w:r>
        <w:rPr>
          <w:rFonts w:eastAsia="Calibri" w:cs="Times New Roman"/>
        </w:rPr>
        <w:t xml:space="preserve"> details the meta concepts, their </w:t>
      </w:r>
      <w:r w:rsidR="005A4AE2">
        <w:rPr>
          <w:rFonts w:eastAsia="Calibri" w:cs="Times New Roman"/>
        </w:rPr>
        <w:t>related concepts and the frequency in</w:t>
      </w:r>
      <w:r>
        <w:rPr>
          <w:rFonts w:eastAsia="Calibri" w:cs="Times New Roman"/>
        </w:rPr>
        <w:t xml:space="preserve"> which they occurred in the data.</w:t>
      </w:r>
    </w:p>
    <w:p w14:paraId="5EFE3334" w14:textId="0EBCAAB6" w:rsidR="00202C28" w:rsidRDefault="0099130A" w:rsidP="00B764E7">
      <w:pPr>
        <w:spacing w:after="0"/>
        <w:jc w:val="center"/>
        <w:rPr>
          <w:rFonts w:eastAsia="Calibri" w:cs="Times New Roman"/>
        </w:rPr>
      </w:pPr>
      <w:r>
        <w:rPr>
          <w:rFonts w:eastAsia="Calibri" w:cs="Times New Roman"/>
        </w:rPr>
        <w:t>[Table 4</w:t>
      </w:r>
      <w:r w:rsidR="00202C28">
        <w:rPr>
          <w:rFonts w:eastAsia="Calibri" w:cs="Times New Roman"/>
        </w:rPr>
        <w:t>]</w:t>
      </w:r>
    </w:p>
    <w:p w14:paraId="79B8A9F8" w14:textId="3B25D800" w:rsidR="00DC5475" w:rsidRPr="003B6CDA" w:rsidRDefault="00665A4A" w:rsidP="003B6CDA">
      <w:pPr>
        <w:spacing w:after="0"/>
        <w:ind w:firstLine="720"/>
        <w:rPr>
          <w:rFonts w:eastAsia="Calibri" w:cs="Times New Roman"/>
        </w:rPr>
      </w:pPr>
      <w:r>
        <w:rPr>
          <w:rFonts w:eastAsia="Calibri" w:cs="Times New Roman"/>
        </w:rPr>
        <w:t>Respondent</w:t>
      </w:r>
      <w:r w:rsidR="006634CB" w:rsidRPr="00B764E7">
        <w:rPr>
          <w:rFonts w:eastAsia="Calibri" w:cs="Times New Roman"/>
          <w:sz w:val="22"/>
        </w:rPr>
        <w:t xml:space="preserve"> defin</w:t>
      </w:r>
      <w:r>
        <w:rPr>
          <w:rFonts w:eastAsia="Calibri" w:cs="Times New Roman"/>
        </w:rPr>
        <w:t xml:space="preserve">itions of decent work </w:t>
      </w:r>
      <w:r w:rsidR="006634CB" w:rsidRPr="00B764E7">
        <w:rPr>
          <w:rFonts w:eastAsia="Calibri" w:cs="Times New Roman"/>
          <w:sz w:val="22"/>
        </w:rPr>
        <w:t xml:space="preserve">largely </w:t>
      </w:r>
      <w:r>
        <w:rPr>
          <w:rFonts w:eastAsia="Calibri" w:cs="Times New Roman"/>
        </w:rPr>
        <w:t>reflect</w:t>
      </w:r>
      <w:r w:rsidR="00F15062">
        <w:rPr>
          <w:rFonts w:eastAsia="Calibri" w:cs="Times New Roman"/>
        </w:rPr>
        <w:t>ed</w:t>
      </w:r>
      <w:r>
        <w:rPr>
          <w:rFonts w:eastAsia="Calibri" w:cs="Times New Roman"/>
        </w:rPr>
        <w:t xml:space="preserve"> the domains of the DWS</w:t>
      </w:r>
      <w:r w:rsidR="006634CB" w:rsidRPr="00B764E7">
        <w:rPr>
          <w:rFonts w:eastAsia="Calibri" w:cs="Times New Roman"/>
          <w:sz w:val="22"/>
        </w:rPr>
        <w:t>.</w:t>
      </w:r>
      <w:r w:rsidR="00056D22">
        <w:rPr>
          <w:rFonts w:eastAsia="Calibri" w:cs="Times New Roman"/>
        </w:rPr>
        <w:t xml:space="preserve"> Four out </w:t>
      </w:r>
      <w:r w:rsidR="0066343C">
        <w:rPr>
          <w:rFonts w:eastAsia="Calibri" w:cs="Times New Roman"/>
        </w:rPr>
        <w:t xml:space="preserve">of five domains from the DWS were </w:t>
      </w:r>
      <w:r w:rsidR="00C90427">
        <w:rPr>
          <w:rFonts w:eastAsia="Calibri" w:cs="Times New Roman"/>
        </w:rPr>
        <w:t xml:space="preserve">well </w:t>
      </w:r>
      <w:r w:rsidR="0066343C">
        <w:rPr>
          <w:rFonts w:eastAsia="Calibri" w:cs="Times New Roman"/>
        </w:rPr>
        <w:t>represented in the qualitative data.</w:t>
      </w:r>
      <w:r w:rsidR="006634CB" w:rsidRPr="00B764E7">
        <w:rPr>
          <w:rFonts w:eastAsia="Calibri" w:cs="Times New Roman"/>
          <w:sz w:val="22"/>
        </w:rPr>
        <w:t xml:space="preserve"> </w:t>
      </w:r>
      <w:r w:rsidR="00600FD9">
        <w:rPr>
          <w:rFonts w:eastAsia="Calibri" w:cs="Times New Roman"/>
          <w:lang w:val="en-US"/>
        </w:rPr>
        <w:t xml:space="preserve">Responses related to adequate compensation were mentioned </w:t>
      </w:r>
      <w:r w:rsidR="00600FD9">
        <w:rPr>
          <w:rFonts w:eastAsia="Calibri" w:cs="Times New Roman"/>
        </w:rPr>
        <w:t>78 times</w:t>
      </w:r>
      <w:r w:rsidR="00C90427">
        <w:rPr>
          <w:rFonts w:eastAsia="Calibri" w:cs="Times New Roman"/>
        </w:rPr>
        <w:t xml:space="preserve">, </w:t>
      </w:r>
      <w:r w:rsidR="006634CB" w:rsidRPr="00B764E7">
        <w:rPr>
          <w:rFonts w:eastAsia="Calibri" w:cs="Times New Roman"/>
          <w:sz w:val="22"/>
          <w:lang w:val="en-US"/>
        </w:rPr>
        <w:t xml:space="preserve">hours that allow for free time and </w:t>
      </w:r>
      <w:r w:rsidR="006634CB" w:rsidRPr="00756559">
        <w:rPr>
          <w:rFonts w:eastAsia="Calibri" w:cs="Times New Roman"/>
          <w:szCs w:val="24"/>
          <w:lang w:val="en-US"/>
        </w:rPr>
        <w:t>rest</w:t>
      </w:r>
      <w:r w:rsidR="00C90427" w:rsidRPr="00756559">
        <w:rPr>
          <w:rFonts w:eastAsia="Calibri" w:cs="Times New Roman"/>
          <w:szCs w:val="24"/>
          <w:lang w:val="en-US"/>
        </w:rPr>
        <w:t xml:space="preserve"> were mentioned 52 </w:t>
      </w:r>
      <w:r w:rsidR="00DC5475" w:rsidRPr="00756559">
        <w:rPr>
          <w:rFonts w:eastAsia="Calibri" w:cs="Times New Roman"/>
          <w:szCs w:val="24"/>
          <w:lang w:val="en-US"/>
        </w:rPr>
        <w:t xml:space="preserve">times, </w:t>
      </w:r>
      <w:r w:rsidR="00DC5475" w:rsidRPr="00756559">
        <w:rPr>
          <w:rFonts w:eastAsia="Calibri" w:cs="Times New Roman"/>
          <w:szCs w:val="24"/>
        </w:rPr>
        <w:t>physically</w:t>
      </w:r>
      <w:r w:rsidR="006634CB" w:rsidRPr="00756559">
        <w:rPr>
          <w:rFonts w:eastAsia="Calibri" w:cs="Times New Roman"/>
          <w:szCs w:val="24"/>
          <w:lang w:val="en-US"/>
        </w:rPr>
        <w:t xml:space="preserve"> and interper</w:t>
      </w:r>
      <w:r w:rsidR="00C90427" w:rsidRPr="00756559">
        <w:rPr>
          <w:rFonts w:eastAsia="Calibri" w:cs="Times New Roman"/>
          <w:szCs w:val="24"/>
          <w:lang w:val="en-US"/>
        </w:rPr>
        <w:t>sonally safe working conditions were mentioned</w:t>
      </w:r>
      <w:r w:rsidR="00C90427" w:rsidRPr="00756559">
        <w:rPr>
          <w:rFonts w:eastAsia="Calibri" w:cs="Times New Roman"/>
          <w:szCs w:val="24"/>
        </w:rPr>
        <w:t xml:space="preserve"> 34 times and </w:t>
      </w:r>
      <w:r w:rsidR="00756559" w:rsidRPr="00756559">
        <w:rPr>
          <w:rFonts w:eastAsia="Calibri" w:cs="Times New Roman"/>
          <w:szCs w:val="24"/>
          <w:lang w:val="en-US"/>
        </w:rPr>
        <w:t>organizational</w:t>
      </w:r>
      <w:r w:rsidR="006634CB" w:rsidRPr="00756559">
        <w:rPr>
          <w:rFonts w:eastAsia="Calibri" w:cs="Times New Roman"/>
          <w:szCs w:val="24"/>
          <w:lang w:val="en-US"/>
        </w:rPr>
        <w:t xml:space="preserve"> values that compl</w:t>
      </w:r>
      <w:r w:rsidR="00C90427" w:rsidRPr="00756559">
        <w:rPr>
          <w:rFonts w:eastAsia="Calibri" w:cs="Times New Roman"/>
          <w:szCs w:val="24"/>
          <w:lang w:val="en-US"/>
        </w:rPr>
        <w:t>ement family and social values were mentioned 28 times.</w:t>
      </w:r>
      <w:r w:rsidR="003B6CDA">
        <w:rPr>
          <w:rFonts w:eastAsia="Calibri" w:cs="Times New Roman"/>
        </w:rPr>
        <w:t xml:space="preserve"> </w:t>
      </w:r>
      <w:r w:rsidR="00C90427">
        <w:rPr>
          <w:rFonts w:eastAsia="Calibri" w:cs="Times New Roman"/>
        </w:rPr>
        <w:t xml:space="preserve">In contrast </w:t>
      </w:r>
      <w:r w:rsidR="006634CB" w:rsidRPr="00B764E7">
        <w:rPr>
          <w:rFonts w:eastAsia="Calibri" w:cs="Times New Roman"/>
          <w:sz w:val="22"/>
          <w:lang w:val="en-US"/>
        </w:rPr>
        <w:t>access to health care</w:t>
      </w:r>
      <w:r w:rsidR="00A02B50">
        <w:rPr>
          <w:rFonts w:eastAsia="Calibri" w:cs="Times New Roman"/>
          <w:lang w:val="en-US"/>
        </w:rPr>
        <w:t xml:space="preserve"> was</w:t>
      </w:r>
      <w:r w:rsidR="00F15062">
        <w:rPr>
          <w:rFonts w:eastAsia="Calibri" w:cs="Times New Roman"/>
          <w:lang w:val="en-US"/>
        </w:rPr>
        <w:t xml:space="preserve"> least likely to be</w:t>
      </w:r>
      <w:r w:rsidR="00A02B50">
        <w:rPr>
          <w:rFonts w:eastAsia="Calibri" w:cs="Times New Roman"/>
          <w:lang w:val="en-US"/>
        </w:rPr>
        <w:t xml:space="preserve"> mentioned</w:t>
      </w:r>
      <w:r w:rsidR="00F15062">
        <w:rPr>
          <w:rFonts w:eastAsia="Calibri" w:cs="Times New Roman"/>
          <w:lang w:val="en-US"/>
        </w:rPr>
        <w:t xml:space="preserve"> in the qualitative data</w:t>
      </w:r>
      <w:r w:rsidR="00BC262D">
        <w:rPr>
          <w:rFonts w:eastAsia="Calibri" w:cs="Times New Roman"/>
          <w:lang w:val="en-US"/>
        </w:rPr>
        <w:t xml:space="preserve"> (n=2</w:t>
      </w:r>
      <w:r w:rsidR="00F15062">
        <w:rPr>
          <w:rFonts w:eastAsia="Calibri" w:cs="Times New Roman"/>
          <w:lang w:val="en-US"/>
        </w:rPr>
        <w:t>).</w:t>
      </w:r>
      <w:r w:rsidR="00BC262D">
        <w:rPr>
          <w:rFonts w:eastAsia="Calibri" w:cs="Times New Roman"/>
          <w:lang w:val="en-US"/>
        </w:rPr>
        <w:t xml:space="preserve"> </w:t>
      </w:r>
      <w:r w:rsidR="003A0CED">
        <w:rPr>
          <w:rFonts w:eastAsia="Calibri" w:cs="Times New Roman"/>
          <w:lang w:val="en-US"/>
        </w:rPr>
        <w:t>In both instances this was related to access to sick pay rather than healthcare explicitly.</w:t>
      </w:r>
    </w:p>
    <w:p w14:paraId="4F6F898A" w14:textId="7D36D98A" w:rsidR="006634CB" w:rsidRPr="001C2407" w:rsidRDefault="003B6CDA" w:rsidP="003B6CDA">
      <w:pPr>
        <w:spacing w:after="0"/>
        <w:ind w:firstLine="720"/>
        <w:rPr>
          <w:rFonts w:eastAsia="Calibri" w:cs="Times New Roman"/>
          <w:szCs w:val="24"/>
        </w:rPr>
      </w:pPr>
      <w:r>
        <w:rPr>
          <w:rFonts w:eastAsia="Calibri" w:cs="Times New Roman"/>
          <w:szCs w:val="24"/>
        </w:rPr>
        <w:t>Our sample had a varied understanding of what decent work meant to them. In addition to concepts which mapped onto the DWS, a</w:t>
      </w:r>
      <w:r w:rsidR="006634CB" w:rsidRPr="00A4173E">
        <w:rPr>
          <w:rFonts w:eastAsia="Calibri" w:cs="Times New Roman"/>
          <w:szCs w:val="24"/>
        </w:rPr>
        <w:t xml:space="preserve">dditional </w:t>
      </w:r>
      <w:r>
        <w:rPr>
          <w:rFonts w:eastAsia="Calibri" w:cs="Times New Roman"/>
          <w:szCs w:val="24"/>
        </w:rPr>
        <w:t xml:space="preserve">concepts were found. </w:t>
      </w:r>
      <w:r w:rsidR="006634CB" w:rsidRPr="00A4173E">
        <w:rPr>
          <w:rFonts w:eastAsia="Calibri" w:cs="Times New Roman"/>
          <w:szCs w:val="24"/>
        </w:rPr>
        <w:t>The first component</w:t>
      </w:r>
      <w:r>
        <w:rPr>
          <w:rFonts w:eastAsia="Calibri" w:cs="Times New Roman"/>
          <w:szCs w:val="24"/>
        </w:rPr>
        <w:t>,</w:t>
      </w:r>
      <w:r w:rsidR="006634CB" w:rsidRPr="00A4173E">
        <w:rPr>
          <w:rFonts w:eastAsia="Calibri" w:cs="Times New Roman"/>
          <w:szCs w:val="24"/>
        </w:rPr>
        <w:t xml:space="preserve"> </w:t>
      </w:r>
      <w:r>
        <w:rPr>
          <w:rFonts w:eastAsia="Calibri" w:cs="Times New Roman"/>
          <w:szCs w:val="24"/>
        </w:rPr>
        <w:t>C</w:t>
      </w:r>
      <w:r w:rsidR="006634CB" w:rsidRPr="00A4173E">
        <w:rPr>
          <w:rFonts w:eastAsia="Calibri" w:cs="Times New Roman"/>
          <w:szCs w:val="24"/>
        </w:rPr>
        <w:t xml:space="preserve">ontrol over </w:t>
      </w:r>
      <w:r>
        <w:rPr>
          <w:rFonts w:eastAsia="Calibri" w:cs="Times New Roman"/>
          <w:szCs w:val="24"/>
        </w:rPr>
        <w:t>W</w:t>
      </w:r>
      <w:r w:rsidR="006634CB" w:rsidRPr="00A4173E">
        <w:rPr>
          <w:rFonts w:eastAsia="Calibri" w:cs="Times New Roman"/>
          <w:szCs w:val="24"/>
        </w:rPr>
        <w:t xml:space="preserve">orking </w:t>
      </w:r>
      <w:r>
        <w:rPr>
          <w:rFonts w:eastAsia="Calibri" w:cs="Times New Roman"/>
          <w:szCs w:val="24"/>
        </w:rPr>
        <w:t>L</w:t>
      </w:r>
      <w:r w:rsidR="006634CB" w:rsidRPr="00A4173E">
        <w:rPr>
          <w:rFonts w:eastAsia="Calibri" w:cs="Times New Roman"/>
          <w:szCs w:val="24"/>
        </w:rPr>
        <w:t>ife</w:t>
      </w:r>
      <w:r>
        <w:rPr>
          <w:rFonts w:eastAsia="Calibri" w:cs="Times New Roman"/>
          <w:szCs w:val="24"/>
        </w:rPr>
        <w:t>,</w:t>
      </w:r>
      <w:r w:rsidR="006634CB" w:rsidRPr="00A4173E">
        <w:rPr>
          <w:rFonts w:eastAsia="Calibri" w:cs="Times New Roman"/>
          <w:szCs w:val="24"/>
        </w:rPr>
        <w:t xml:space="preserve"> appear</w:t>
      </w:r>
      <w:r>
        <w:rPr>
          <w:rFonts w:eastAsia="Calibri" w:cs="Times New Roman"/>
          <w:szCs w:val="24"/>
        </w:rPr>
        <w:t>ed</w:t>
      </w:r>
      <w:r w:rsidR="006634CB" w:rsidRPr="00A4173E">
        <w:rPr>
          <w:rFonts w:eastAsia="Calibri" w:cs="Times New Roman"/>
          <w:szCs w:val="24"/>
        </w:rPr>
        <w:t xml:space="preserve"> in 25 of the 97 definitions from respon</w:t>
      </w:r>
      <w:r w:rsidR="00804D22" w:rsidRPr="00A4173E">
        <w:rPr>
          <w:rFonts w:eastAsia="Calibri" w:cs="Times New Roman"/>
          <w:szCs w:val="24"/>
        </w:rPr>
        <w:t>dents.  This component included</w:t>
      </w:r>
      <w:r w:rsidR="006634CB" w:rsidRPr="00A4173E">
        <w:rPr>
          <w:rFonts w:eastAsia="Calibri" w:cs="Times New Roman"/>
          <w:szCs w:val="24"/>
        </w:rPr>
        <w:t xml:space="preserve"> concepts of autonomy, influence at work and union representation</w:t>
      </w:r>
      <w:r w:rsidR="00804D22" w:rsidRPr="00A4173E">
        <w:rPr>
          <w:rFonts w:eastAsia="Calibri" w:cs="Times New Roman"/>
          <w:szCs w:val="24"/>
        </w:rPr>
        <w:t>.</w:t>
      </w:r>
      <w:r w:rsidR="006634CB" w:rsidRPr="00A4173E">
        <w:rPr>
          <w:rFonts w:eastAsia="Calibri" w:cs="Times New Roman"/>
          <w:szCs w:val="24"/>
        </w:rPr>
        <w:t xml:space="preserve"> </w:t>
      </w:r>
      <w:r w:rsidR="00804D22" w:rsidRPr="00A4173E">
        <w:rPr>
          <w:rFonts w:eastAsia="Calibri" w:cs="Times New Roman"/>
          <w:szCs w:val="24"/>
        </w:rPr>
        <w:t xml:space="preserve">One </w:t>
      </w:r>
      <w:r>
        <w:rPr>
          <w:rFonts w:eastAsia="Calibri" w:cs="Times New Roman"/>
          <w:szCs w:val="24"/>
        </w:rPr>
        <w:t>participant</w:t>
      </w:r>
      <w:r w:rsidR="00804D22" w:rsidRPr="00A4173E">
        <w:rPr>
          <w:rFonts w:eastAsia="Calibri" w:cs="Times New Roman"/>
          <w:szCs w:val="24"/>
        </w:rPr>
        <w:t xml:space="preserve"> articulated that decent work meant</w:t>
      </w:r>
      <w:r w:rsidR="004C20B2" w:rsidRPr="00A4173E">
        <w:rPr>
          <w:rFonts w:eastAsia="Calibri" w:cs="Times New Roman"/>
          <w:szCs w:val="24"/>
        </w:rPr>
        <w:t xml:space="preserve"> individuals ha</w:t>
      </w:r>
      <w:r w:rsidR="00070917" w:rsidRPr="00A4173E">
        <w:rPr>
          <w:rFonts w:eastAsia="Calibri" w:cs="Times New Roman"/>
          <w:szCs w:val="24"/>
        </w:rPr>
        <w:t>ve</w:t>
      </w:r>
      <w:r w:rsidR="00804D22" w:rsidRPr="00A4173E">
        <w:rPr>
          <w:rFonts w:eastAsia="Calibri" w:cs="Times New Roman"/>
          <w:szCs w:val="24"/>
        </w:rPr>
        <w:t>,</w:t>
      </w:r>
      <w:r w:rsidR="006634CB" w:rsidRPr="00A4173E">
        <w:rPr>
          <w:rFonts w:eastAsia="Calibri" w:cs="Times New Roman"/>
          <w:szCs w:val="24"/>
        </w:rPr>
        <w:t xml:space="preserve"> </w:t>
      </w:r>
      <w:r w:rsidRPr="003B6CDA">
        <w:rPr>
          <w:rFonts w:eastAsia="Calibri" w:cs="Times New Roman"/>
          <w:szCs w:val="24"/>
        </w:rPr>
        <w:t>“</w:t>
      </w:r>
      <w:r w:rsidR="00804D22" w:rsidRPr="003B6CDA">
        <w:rPr>
          <w:rFonts w:eastAsia="Calibri" w:cs="Times New Roman"/>
          <w:szCs w:val="24"/>
        </w:rPr>
        <w:t>s</w:t>
      </w:r>
      <w:r w:rsidR="006634CB" w:rsidRPr="003B6CDA">
        <w:rPr>
          <w:rFonts w:eastAsia="Calibri" w:cs="Times New Roman"/>
          <w:szCs w:val="24"/>
        </w:rPr>
        <w:t>ome control over the place and circumstances in which I w</w:t>
      </w:r>
      <w:r w:rsidR="00804D22" w:rsidRPr="003B6CDA">
        <w:rPr>
          <w:rFonts w:eastAsia="Calibri" w:cs="Times New Roman"/>
          <w:szCs w:val="24"/>
        </w:rPr>
        <w:t>ork</w:t>
      </w:r>
      <w:r>
        <w:rPr>
          <w:rFonts w:eastAsia="Calibri" w:cs="Times New Roman"/>
          <w:szCs w:val="24"/>
        </w:rPr>
        <w:t>.</w:t>
      </w:r>
      <w:r w:rsidRPr="003B6CDA">
        <w:rPr>
          <w:rFonts w:eastAsia="Calibri" w:cs="Times New Roman"/>
          <w:szCs w:val="24"/>
        </w:rPr>
        <w:t>”</w:t>
      </w:r>
    </w:p>
    <w:p w14:paraId="764C514B" w14:textId="45772DF1" w:rsidR="006634CB" w:rsidRPr="00A4173E" w:rsidRDefault="003B6CDA" w:rsidP="00A4173E">
      <w:pPr>
        <w:spacing w:after="0"/>
        <w:ind w:firstLine="720"/>
        <w:rPr>
          <w:rFonts w:eastAsia="Calibri" w:cs="Times New Roman"/>
          <w:szCs w:val="24"/>
        </w:rPr>
      </w:pPr>
      <w:r>
        <w:rPr>
          <w:rFonts w:eastAsia="Calibri" w:cs="Times New Roman"/>
          <w:szCs w:val="24"/>
        </w:rPr>
        <w:t xml:space="preserve">The </w:t>
      </w:r>
      <w:r w:rsidR="00070917" w:rsidRPr="00A4173E">
        <w:rPr>
          <w:rFonts w:eastAsia="Calibri" w:cs="Times New Roman"/>
          <w:szCs w:val="24"/>
        </w:rPr>
        <w:t xml:space="preserve">Career </w:t>
      </w:r>
      <w:r>
        <w:rPr>
          <w:rFonts w:eastAsia="Calibri" w:cs="Times New Roman"/>
          <w:szCs w:val="24"/>
        </w:rPr>
        <w:t>D</w:t>
      </w:r>
      <w:r w:rsidR="00070917" w:rsidRPr="00A4173E">
        <w:rPr>
          <w:rFonts w:eastAsia="Calibri" w:cs="Times New Roman"/>
          <w:szCs w:val="24"/>
        </w:rPr>
        <w:t xml:space="preserve">evelopment </w:t>
      </w:r>
      <w:r>
        <w:rPr>
          <w:rFonts w:eastAsia="Calibri" w:cs="Times New Roman"/>
          <w:szCs w:val="24"/>
        </w:rPr>
        <w:t>category</w:t>
      </w:r>
      <w:r w:rsidR="00070917" w:rsidRPr="00A4173E">
        <w:rPr>
          <w:rFonts w:eastAsia="Calibri" w:cs="Times New Roman"/>
          <w:szCs w:val="24"/>
        </w:rPr>
        <w:t xml:space="preserve"> appeared</w:t>
      </w:r>
      <w:r w:rsidR="006634CB" w:rsidRPr="00A4173E">
        <w:rPr>
          <w:rFonts w:eastAsia="Calibri" w:cs="Times New Roman"/>
          <w:szCs w:val="24"/>
        </w:rPr>
        <w:t xml:space="preserve"> in 19 of the 97 definitions from respon</w:t>
      </w:r>
      <w:r w:rsidR="00301432" w:rsidRPr="00A4173E">
        <w:rPr>
          <w:rFonts w:eastAsia="Calibri" w:cs="Times New Roman"/>
          <w:szCs w:val="24"/>
        </w:rPr>
        <w:t xml:space="preserve">dents. This </w:t>
      </w:r>
      <w:r>
        <w:rPr>
          <w:rFonts w:eastAsia="Calibri" w:cs="Times New Roman"/>
          <w:szCs w:val="24"/>
        </w:rPr>
        <w:t>category</w:t>
      </w:r>
      <w:r w:rsidR="00301432" w:rsidRPr="00A4173E">
        <w:rPr>
          <w:rFonts w:eastAsia="Calibri" w:cs="Times New Roman"/>
          <w:szCs w:val="24"/>
        </w:rPr>
        <w:t xml:space="preserve"> included</w:t>
      </w:r>
      <w:r w:rsidR="006634CB" w:rsidRPr="00A4173E">
        <w:rPr>
          <w:rFonts w:eastAsia="Calibri" w:cs="Times New Roman"/>
          <w:szCs w:val="24"/>
        </w:rPr>
        <w:t xml:space="preserve"> </w:t>
      </w:r>
      <w:r>
        <w:rPr>
          <w:rFonts w:eastAsia="Calibri" w:cs="Times New Roman"/>
          <w:szCs w:val="24"/>
        </w:rPr>
        <w:t xml:space="preserve">a discussion of </w:t>
      </w:r>
      <w:r w:rsidR="00301432" w:rsidRPr="00A4173E">
        <w:rPr>
          <w:rFonts w:eastAsia="Calibri" w:cs="Times New Roman"/>
          <w:szCs w:val="24"/>
        </w:rPr>
        <w:t xml:space="preserve">the need for work to provide </w:t>
      </w:r>
      <w:r w:rsidR="00D22D7E" w:rsidRPr="00A4173E">
        <w:rPr>
          <w:rFonts w:eastAsia="Calibri" w:cs="Times New Roman"/>
          <w:szCs w:val="24"/>
        </w:rPr>
        <w:t xml:space="preserve">an </w:t>
      </w:r>
      <w:r w:rsidR="00301432" w:rsidRPr="00A4173E">
        <w:rPr>
          <w:rFonts w:eastAsia="Calibri" w:cs="Times New Roman"/>
          <w:szCs w:val="24"/>
        </w:rPr>
        <w:t>opportunity for</w:t>
      </w:r>
      <w:r w:rsidR="006634CB" w:rsidRPr="00A4173E">
        <w:rPr>
          <w:rFonts w:eastAsia="Calibri" w:cs="Times New Roman"/>
          <w:szCs w:val="24"/>
        </w:rPr>
        <w:t xml:space="preserve"> career progression and training</w:t>
      </w:r>
      <w:r w:rsidR="00301432" w:rsidRPr="00A4173E">
        <w:rPr>
          <w:rFonts w:eastAsia="Calibri" w:cs="Times New Roman"/>
          <w:szCs w:val="24"/>
        </w:rPr>
        <w:t>.</w:t>
      </w:r>
      <w:r w:rsidR="006634CB" w:rsidRPr="00A4173E">
        <w:rPr>
          <w:rFonts w:eastAsia="Calibri" w:cs="Times New Roman"/>
          <w:szCs w:val="24"/>
        </w:rPr>
        <w:t xml:space="preserve"> </w:t>
      </w:r>
      <w:r w:rsidR="00301432" w:rsidRPr="00A4173E">
        <w:rPr>
          <w:rFonts w:eastAsia="Calibri" w:cs="Times New Roman"/>
          <w:szCs w:val="24"/>
        </w:rPr>
        <w:t xml:space="preserve">One </w:t>
      </w:r>
      <w:r>
        <w:rPr>
          <w:rFonts w:eastAsia="Calibri" w:cs="Times New Roman"/>
          <w:szCs w:val="24"/>
        </w:rPr>
        <w:t>participant</w:t>
      </w:r>
      <w:r w:rsidR="00301432" w:rsidRPr="00A4173E">
        <w:rPr>
          <w:rFonts w:eastAsia="Calibri" w:cs="Times New Roman"/>
          <w:szCs w:val="24"/>
        </w:rPr>
        <w:t xml:space="preserve"> suggested that decent work </w:t>
      </w:r>
      <w:r w:rsidR="00301432" w:rsidRPr="00A4173E">
        <w:rPr>
          <w:rFonts w:eastAsia="Calibri" w:cs="Times New Roman"/>
          <w:szCs w:val="24"/>
        </w:rPr>
        <w:lastRenderedPageBreak/>
        <w:t xml:space="preserve">meant individuals </w:t>
      </w:r>
      <w:r w:rsidR="00A4173E" w:rsidRPr="00A4173E">
        <w:rPr>
          <w:rFonts w:eastAsia="Calibri" w:cs="Times New Roman"/>
          <w:szCs w:val="24"/>
        </w:rPr>
        <w:t>have,</w:t>
      </w:r>
      <w:r w:rsidR="00A4173E" w:rsidRPr="003B6CDA">
        <w:rPr>
          <w:rFonts w:eastAsia="Calibri" w:cs="Times New Roman"/>
          <w:szCs w:val="24"/>
        </w:rPr>
        <w:t xml:space="preserve"> </w:t>
      </w:r>
      <w:r w:rsidRPr="003B6CDA">
        <w:rPr>
          <w:rFonts w:eastAsia="Calibri" w:cs="Times New Roman"/>
          <w:szCs w:val="24"/>
        </w:rPr>
        <w:t>“</w:t>
      </w:r>
      <w:r w:rsidR="00A4173E" w:rsidRPr="003B6CDA">
        <w:rPr>
          <w:rFonts w:eastAsia="Calibri" w:cs="Times New Roman"/>
          <w:szCs w:val="24"/>
        </w:rPr>
        <w:t>good</w:t>
      </w:r>
      <w:r w:rsidR="006634CB" w:rsidRPr="003B6CDA">
        <w:rPr>
          <w:rFonts w:eastAsia="Calibri" w:cs="Times New Roman"/>
          <w:szCs w:val="24"/>
        </w:rPr>
        <w:t xml:space="preserve"> opportunities to move forward; progress in both skills an</w:t>
      </w:r>
      <w:r w:rsidR="00301432" w:rsidRPr="003B6CDA">
        <w:rPr>
          <w:rFonts w:eastAsia="Calibri" w:cs="Times New Roman"/>
          <w:szCs w:val="24"/>
        </w:rPr>
        <w:t>d levels of responsibility</w:t>
      </w:r>
      <w:r w:rsidR="00BC262D" w:rsidRPr="003B6CDA">
        <w:rPr>
          <w:rFonts w:eastAsia="Calibri" w:cs="Times New Roman"/>
          <w:szCs w:val="24"/>
        </w:rPr>
        <w:t>.</w:t>
      </w:r>
      <w:r w:rsidRPr="003B6CDA">
        <w:rPr>
          <w:rFonts w:eastAsia="Calibri" w:cs="Times New Roman"/>
          <w:szCs w:val="24"/>
        </w:rPr>
        <w:t>”</w:t>
      </w:r>
    </w:p>
    <w:p w14:paraId="68D7A760" w14:textId="77777777" w:rsidR="006634CB" w:rsidRPr="00A4173E" w:rsidRDefault="006634CB" w:rsidP="006634CB">
      <w:pPr>
        <w:spacing w:after="0" w:line="240" w:lineRule="auto"/>
        <w:rPr>
          <w:rFonts w:eastAsia="Calibri" w:cs="Times New Roman"/>
          <w:szCs w:val="24"/>
        </w:rPr>
      </w:pPr>
    </w:p>
    <w:p w14:paraId="7E322F27" w14:textId="37F2E29F" w:rsidR="00045C5F" w:rsidRPr="00A4173E" w:rsidRDefault="00BC262D" w:rsidP="00A4173E">
      <w:pPr>
        <w:ind w:firstLine="720"/>
        <w:rPr>
          <w:rFonts w:ascii="Calibri" w:eastAsia="Times New Roman" w:hAnsi="Calibri" w:cs="Calibri"/>
          <w:color w:val="000000"/>
          <w:szCs w:val="24"/>
          <w:lang w:eastAsia="en-GB"/>
        </w:rPr>
      </w:pPr>
      <w:r w:rsidRPr="00A4173E">
        <w:rPr>
          <w:rFonts w:eastAsia="Calibri" w:cs="Times New Roman"/>
          <w:szCs w:val="24"/>
        </w:rPr>
        <w:t>J</w:t>
      </w:r>
      <w:r w:rsidR="006634CB" w:rsidRPr="00A4173E">
        <w:rPr>
          <w:rFonts w:eastAsia="Calibri" w:cs="Times New Roman"/>
          <w:szCs w:val="24"/>
        </w:rPr>
        <w:t xml:space="preserve">ob </w:t>
      </w:r>
      <w:r w:rsidR="00CB166F">
        <w:rPr>
          <w:rFonts w:eastAsia="Calibri" w:cs="Times New Roman"/>
          <w:szCs w:val="24"/>
        </w:rPr>
        <w:t>S</w:t>
      </w:r>
      <w:r w:rsidR="006634CB" w:rsidRPr="00A4173E">
        <w:rPr>
          <w:rFonts w:eastAsia="Calibri" w:cs="Times New Roman"/>
          <w:szCs w:val="24"/>
        </w:rPr>
        <w:t xml:space="preserve">atisfaction </w:t>
      </w:r>
      <w:r w:rsidRPr="00A4173E">
        <w:rPr>
          <w:rFonts w:eastAsia="Calibri" w:cs="Times New Roman"/>
          <w:szCs w:val="24"/>
        </w:rPr>
        <w:t xml:space="preserve">was </w:t>
      </w:r>
      <w:r w:rsidR="00AF6836">
        <w:rPr>
          <w:rFonts w:eastAsia="Calibri" w:cs="Times New Roman"/>
          <w:szCs w:val="24"/>
        </w:rPr>
        <w:t>a decent work</w:t>
      </w:r>
      <w:r w:rsidR="00CB166F">
        <w:rPr>
          <w:rFonts w:eastAsia="Calibri" w:cs="Times New Roman"/>
          <w:szCs w:val="24"/>
        </w:rPr>
        <w:t xml:space="preserve"> cate</w:t>
      </w:r>
      <w:r w:rsidR="00AF6836">
        <w:rPr>
          <w:rFonts w:eastAsia="Calibri" w:cs="Times New Roman"/>
          <w:szCs w:val="24"/>
        </w:rPr>
        <w:t>gory that</w:t>
      </w:r>
      <w:r w:rsidRPr="00A4173E">
        <w:rPr>
          <w:rFonts w:eastAsia="Calibri" w:cs="Times New Roman"/>
          <w:szCs w:val="24"/>
        </w:rPr>
        <w:t xml:space="preserve"> appeared </w:t>
      </w:r>
      <w:r w:rsidR="006634CB" w:rsidRPr="00A4173E">
        <w:rPr>
          <w:rFonts w:eastAsia="Calibri" w:cs="Times New Roman"/>
          <w:szCs w:val="24"/>
        </w:rPr>
        <w:t xml:space="preserve">16 </w:t>
      </w:r>
      <w:r w:rsidRPr="00A4173E">
        <w:rPr>
          <w:rFonts w:eastAsia="Calibri" w:cs="Times New Roman"/>
          <w:szCs w:val="24"/>
        </w:rPr>
        <w:t xml:space="preserve">times in the </w:t>
      </w:r>
      <w:r w:rsidR="00AF6836" w:rsidRPr="00A4173E">
        <w:rPr>
          <w:rFonts w:eastAsia="Calibri" w:cs="Times New Roman"/>
          <w:szCs w:val="24"/>
        </w:rPr>
        <w:t>data</w:t>
      </w:r>
      <w:r w:rsidR="00AF6836">
        <w:rPr>
          <w:rFonts w:eastAsia="Calibri" w:cs="Times New Roman"/>
          <w:szCs w:val="24"/>
        </w:rPr>
        <w:t xml:space="preserve"> but </w:t>
      </w:r>
      <w:r w:rsidR="00045C5F" w:rsidRPr="00A4173E">
        <w:rPr>
          <w:rFonts w:eastAsia="Calibri" w:cs="Times New Roman"/>
          <w:szCs w:val="24"/>
        </w:rPr>
        <w:t xml:space="preserve">was often presented in conjunction with other domains. One </w:t>
      </w:r>
      <w:r w:rsidR="00AF6836">
        <w:rPr>
          <w:rFonts w:eastAsia="Calibri" w:cs="Times New Roman"/>
          <w:szCs w:val="24"/>
        </w:rPr>
        <w:t>participant</w:t>
      </w:r>
      <w:r w:rsidR="00045C5F" w:rsidRPr="00A4173E">
        <w:rPr>
          <w:rFonts w:eastAsia="Calibri" w:cs="Times New Roman"/>
          <w:szCs w:val="24"/>
        </w:rPr>
        <w:t xml:space="preserve"> wrote, </w:t>
      </w:r>
      <w:r w:rsidR="00AF6836">
        <w:rPr>
          <w:rFonts w:eastAsia="Calibri" w:cs="Times New Roman"/>
          <w:szCs w:val="24"/>
        </w:rPr>
        <w:t>“</w:t>
      </w:r>
      <w:r w:rsidR="00045C5F" w:rsidRPr="00AF6836">
        <w:rPr>
          <w:rFonts w:eastAsia="Times New Roman" w:cs="Times New Roman"/>
          <w:color w:val="000000"/>
          <w:szCs w:val="24"/>
          <w:lang w:eastAsia="en-GB"/>
        </w:rPr>
        <w:t xml:space="preserve">decent work I think is, which you enjoy and earn enough to </w:t>
      </w:r>
      <w:r w:rsidR="00D22D7E" w:rsidRPr="00AF6836">
        <w:rPr>
          <w:rFonts w:eastAsia="Times New Roman" w:cs="Times New Roman"/>
          <w:color w:val="000000"/>
          <w:szCs w:val="24"/>
          <w:lang w:eastAsia="en-GB"/>
        </w:rPr>
        <w:t>fulfil</w:t>
      </w:r>
      <w:r w:rsidR="00045C5F" w:rsidRPr="00AF6836">
        <w:rPr>
          <w:rFonts w:eastAsia="Times New Roman" w:cs="Times New Roman"/>
          <w:color w:val="000000"/>
          <w:szCs w:val="24"/>
          <w:lang w:eastAsia="en-GB"/>
        </w:rPr>
        <w:t xml:space="preserve"> your everyday needs and some money to save.</w:t>
      </w:r>
      <w:r w:rsidR="00045C5F" w:rsidRPr="00AF6836">
        <w:rPr>
          <w:rFonts w:ascii="Calibri" w:eastAsia="Times New Roman" w:hAnsi="Calibri" w:cs="Calibri"/>
          <w:color w:val="000000"/>
          <w:szCs w:val="24"/>
          <w:lang w:eastAsia="en-GB"/>
        </w:rPr>
        <w:t xml:space="preserve"> </w:t>
      </w:r>
      <w:r w:rsidR="00045C5F" w:rsidRPr="00AF6836">
        <w:rPr>
          <w:rFonts w:eastAsia="Times New Roman" w:cs="Times New Roman"/>
          <w:color w:val="000000"/>
          <w:szCs w:val="24"/>
          <w:lang w:eastAsia="en-GB"/>
        </w:rPr>
        <w:t>Another respondent stated decent work means, job satisfaction in k</w:t>
      </w:r>
      <w:r w:rsidR="00F2768E" w:rsidRPr="00AF6836">
        <w:rPr>
          <w:rFonts w:eastAsia="Times New Roman" w:cs="Times New Roman"/>
          <w:color w:val="000000"/>
          <w:szCs w:val="24"/>
          <w:lang w:eastAsia="en-GB"/>
        </w:rPr>
        <w:t>nowing that what you do makes a</w:t>
      </w:r>
      <w:r w:rsidR="00045C5F" w:rsidRPr="00AF6836">
        <w:rPr>
          <w:rFonts w:eastAsia="Times New Roman" w:cs="Times New Roman"/>
          <w:color w:val="000000"/>
          <w:szCs w:val="24"/>
          <w:lang w:eastAsia="en-GB"/>
        </w:rPr>
        <w:t xml:space="preserve"> difference to someone or something</w:t>
      </w:r>
      <w:r w:rsidR="00F2768E" w:rsidRPr="00AF6836">
        <w:rPr>
          <w:rFonts w:eastAsia="Times New Roman" w:cs="Times New Roman"/>
          <w:color w:val="000000"/>
          <w:szCs w:val="24"/>
          <w:lang w:eastAsia="en-GB"/>
        </w:rPr>
        <w:t>.</w:t>
      </w:r>
      <w:r w:rsidR="00AF6836" w:rsidRPr="00AF6836">
        <w:rPr>
          <w:rFonts w:eastAsia="Times New Roman" w:cs="Times New Roman"/>
          <w:color w:val="000000"/>
          <w:szCs w:val="24"/>
          <w:lang w:eastAsia="en-GB"/>
        </w:rPr>
        <w:t>”</w:t>
      </w:r>
      <w:r w:rsidR="00045C5F" w:rsidRPr="00AF6836">
        <w:rPr>
          <w:rFonts w:ascii="Calibri" w:eastAsia="Times New Roman" w:hAnsi="Calibri" w:cs="Calibri"/>
          <w:color w:val="000000"/>
          <w:szCs w:val="24"/>
          <w:lang w:eastAsia="en-GB"/>
        </w:rPr>
        <w:t xml:space="preserve"> </w:t>
      </w:r>
    </w:p>
    <w:p w14:paraId="503C2D0B" w14:textId="1233F67F" w:rsidR="006634CB" w:rsidRPr="00A4173E" w:rsidRDefault="00AB16FF" w:rsidP="00A4173E">
      <w:pPr>
        <w:spacing w:after="0"/>
        <w:ind w:firstLine="720"/>
        <w:rPr>
          <w:rFonts w:eastAsia="Calibri" w:cs="Times New Roman"/>
          <w:i/>
          <w:szCs w:val="24"/>
        </w:rPr>
      </w:pPr>
      <w:r w:rsidRPr="00A4173E">
        <w:rPr>
          <w:rFonts w:eastAsia="Calibri" w:cs="Times New Roman"/>
          <w:szCs w:val="24"/>
        </w:rPr>
        <w:t xml:space="preserve">Effective </w:t>
      </w:r>
      <w:r w:rsidR="00AF6836">
        <w:rPr>
          <w:rFonts w:eastAsia="Calibri" w:cs="Times New Roman"/>
          <w:szCs w:val="24"/>
        </w:rPr>
        <w:t>M</w:t>
      </w:r>
      <w:r w:rsidRPr="00A4173E">
        <w:rPr>
          <w:rFonts w:eastAsia="Calibri" w:cs="Times New Roman"/>
          <w:szCs w:val="24"/>
        </w:rPr>
        <w:t xml:space="preserve">anagement was </w:t>
      </w:r>
      <w:r w:rsidR="00AF6836">
        <w:rPr>
          <w:rFonts w:eastAsia="Calibri" w:cs="Times New Roman"/>
          <w:szCs w:val="24"/>
        </w:rPr>
        <w:t>another category associated with decent work.</w:t>
      </w:r>
      <w:r w:rsidRPr="00A4173E">
        <w:rPr>
          <w:rFonts w:eastAsia="Calibri" w:cs="Times New Roman"/>
          <w:szCs w:val="24"/>
        </w:rPr>
        <w:t xml:space="preserve"> </w:t>
      </w:r>
      <w:r w:rsidR="00AF6836">
        <w:rPr>
          <w:rFonts w:eastAsia="Calibri" w:cs="Times New Roman"/>
          <w:szCs w:val="24"/>
        </w:rPr>
        <w:t>F</w:t>
      </w:r>
      <w:r w:rsidRPr="00A4173E">
        <w:rPr>
          <w:rFonts w:eastAsia="Calibri" w:cs="Times New Roman"/>
          <w:szCs w:val="24"/>
        </w:rPr>
        <w:t xml:space="preserve">ifteen </w:t>
      </w:r>
      <w:r w:rsidR="00AF6836">
        <w:rPr>
          <w:rFonts w:eastAsia="Calibri" w:cs="Times New Roman"/>
          <w:szCs w:val="24"/>
        </w:rPr>
        <w:t>participants wrote that f</w:t>
      </w:r>
      <w:r w:rsidR="00BD545B" w:rsidRPr="00A4173E">
        <w:rPr>
          <w:rFonts w:eastAsia="Calibri" w:cs="Times New Roman"/>
          <w:szCs w:val="24"/>
        </w:rPr>
        <w:t>or them securing decent work included working within</w:t>
      </w:r>
      <w:r w:rsidR="006634CB" w:rsidRPr="00A4173E">
        <w:rPr>
          <w:rFonts w:eastAsia="Calibri" w:cs="Times New Roman"/>
          <w:szCs w:val="24"/>
        </w:rPr>
        <w:t xml:space="preserve"> good management </w:t>
      </w:r>
      <w:r w:rsidR="00BD545B" w:rsidRPr="00A4173E">
        <w:rPr>
          <w:rFonts w:eastAsia="Calibri" w:cs="Times New Roman"/>
          <w:szCs w:val="24"/>
        </w:rPr>
        <w:t>structures as well as having a</w:t>
      </w:r>
      <w:r w:rsidR="006634CB" w:rsidRPr="00A4173E">
        <w:rPr>
          <w:rFonts w:eastAsia="Calibri" w:cs="Times New Roman"/>
          <w:szCs w:val="24"/>
        </w:rPr>
        <w:t xml:space="preserve"> </w:t>
      </w:r>
      <w:r w:rsidR="00BD545B" w:rsidRPr="00A4173E">
        <w:rPr>
          <w:rFonts w:eastAsia="Calibri" w:cs="Times New Roman"/>
          <w:szCs w:val="24"/>
        </w:rPr>
        <w:t xml:space="preserve">clearly defined role. </w:t>
      </w:r>
      <w:r w:rsidR="00FF1A51" w:rsidRPr="00A4173E">
        <w:rPr>
          <w:rFonts w:eastAsia="Calibri" w:cs="Times New Roman"/>
          <w:szCs w:val="24"/>
        </w:rPr>
        <w:t xml:space="preserve">One </w:t>
      </w:r>
      <w:r w:rsidR="00AF6836">
        <w:rPr>
          <w:rFonts w:eastAsia="Calibri" w:cs="Times New Roman"/>
          <w:szCs w:val="24"/>
        </w:rPr>
        <w:t>participant</w:t>
      </w:r>
      <w:r w:rsidR="00FF1A51" w:rsidRPr="00A4173E">
        <w:rPr>
          <w:rFonts w:eastAsia="Calibri" w:cs="Times New Roman"/>
          <w:szCs w:val="24"/>
        </w:rPr>
        <w:t xml:space="preserve"> reported that decent work meant having </w:t>
      </w:r>
      <w:r w:rsidR="00AF6836">
        <w:rPr>
          <w:rFonts w:eastAsia="Calibri" w:cs="Times New Roman"/>
          <w:szCs w:val="24"/>
        </w:rPr>
        <w:t>“</w:t>
      </w:r>
      <w:r w:rsidR="00FF1A51" w:rsidRPr="00AF6836">
        <w:rPr>
          <w:rFonts w:eastAsia="Calibri" w:cs="Times New Roman"/>
          <w:szCs w:val="24"/>
        </w:rPr>
        <w:t xml:space="preserve">strong and clear </w:t>
      </w:r>
      <w:r w:rsidR="005D4CDC" w:rsidRPr="00AF6836">
        <w:rPr>
          <w:rFonts w:eastAsia="Calibri" w:cs="Times New Roman"/>
          <w:szCs w:val="24"/>
        </w:rPr>
        <w:t>leadership</w:t>
      </w:r>
      <w:r w:rsidR="005D4CDC" w:rsidRPr="00A4173E">
        <w:rPr>
          <w:rFonts w:eastAsia="Calibri" w:cs="Times New Roman"/>
          <w:i/>
          <w:szCs w:val="24"/>
        </w:rPr>
        <w:t>.</w:t>
      </w:r>
      <w:r w:rsidR="00AF6836">
        <w:rPr>
          <w:rFonts w:eastAsia="Calibri" w:cs="Times New Roman"/>
          <w:szCs w:val="24"/>
        </w:rPr>
        <w:t>”</w:t>
      </w:r>
      <w:r w:rsidR="005D4CDC" w:rsidRPr="00A4173E">
        <w:rPr>
          <w:rFonts w:eastAsia="Calibri" w:cs="Times New Roman"/>
          <w:szCs w:val="24"/>
        </w:rPr>
        <w:t xml:space="preserve"> Another </w:t>
      </w:r>
      <w:r w:rsidR="00AF6836">
        <w:rPr>
          <w:rFonts w:eastAsia="Calibri" w:cs="Times New Roman"/>
          <w:szCs w:val="24"/>
        </w:rPr>
        <w:t>participant</w:t>
      </w:r>
      <w:r w:rsidR="005D4CDC" w:rsidRPr="00A4173E">
        <w:rPr>
          <w:rFonts w:eastAsia="Calibri" w:cs="Times New Roman"/>
          <w:szCs w:val="24"/>
        </w:rPr>
        <w:t xml:space="preserve"> suggested that decent work meant having </w:t>
      </w:r>
      <w:r w:rsidR="00AF6836">
        <w:rPr>
          <w:rFonts w:eastAsia="Calibri" w:cs="Times New Roman"/>
          <w:szCs w:val="24"/>
        </w:rPr>
        <w:t>“</w:t>
      </w:r>
      <w:r w:rsidR="005D4CDC" w:rsidRPr="00AF6836">
        <w:rPr>
          <w:rFonts w:eastAsia="Calibri" w:cs="Times New Roman"/>
          <w:szCs w:val="24"/>
        </w:rPr>
        <w:t>support at work when requested or needed.</w:t>
      </w:r>
      <w:r w:rsidR="00AF6836">
        <w:rPr>
          <w:rFonts w:eastAsia="Calibri" w:cs="Times New Roman"/>
          <w:szCs w:val="24"/>
        </w:rPr>
        <w:t>”</w:t>
      </w:r>
    </w:p>
    <w:p w14:paraId="2F98DCF5" w14:textId="77777777" w:rsidR="006634CB" w:rsidRPr="00A4173E" w:rsidRDefault="006634CB" w:rsidP="006634CB">
      <w:pPr>
        <w:spacing w:after="0" w:line="240" w:lineRule="auto"/>
        <w:rPr>
          <w:rFonts w:eastAsia="Calibri" w:cs="Times New Roman"/>
          <w:szCs w:val="24"/>
        </w:rPr>
      </w:pPr>
    </w:p>
    <w:p w14:paraId="72863AF9" w14:textId="4283A60D" w:rsidR="006634CB" w:rsidRPr="00A4173E" w:rsidRDefault="00D45D65" w:rsidP="00A4173E">
      <w:pPr>
        <w:spacing w:after="0"/>
        <w:ind w:firstLine="720"/>
        <w:jc w:val="both"/>
        <w:rPr>
          <w:rFonts w:eastAsia="Calibri" w:cs="Times New Roman"/>
          <w:szCs w:val="24"/>
        </w:rPr>
      </w:pPr>
      <w:r w:rsidRPr="00A4173E">
        <w:rPr>
          <w:rFonts w:eastAsia="Calibri" w:cs="Times New Roman"/>
          <w:szCs w:val="24"/>
        </w:rPr>
        <w:t>G</w:t>
      </w:r>
      <w:r w:rsidR="006634CB" w:rsidRPr="00A4173E">
        <w:rPr>
          <w:rFonts w:eastAsia="Calibri" w:cs="Times New Roman"/>
          <w:szCs w:val="24"/>
        </w:rPr>
        <w:t>oo</w:t>
      </w:r>
      <w:r w:rsidR="00CF11E0" w:rsidRPr="00A4173E">
        <w:rPr>
          <w:rFonts w:eastAsia="Calibri" w:cs="Times New Roman"/>
          <w:szCs w:val="24"/>
        </w:rPr>
        <w:t xml:space="preserve">d </w:t>
      </w:r>
      <w:r w:rsidR="004307EE">
        <w:rPr>
          <w:rFonts w:eastAsia="Calibri" w:cs="Times New Roman"/>
          <w:szCs w:val="24"/>
        </w:rPr>
        <w:t>M</w:t>
      </w:r>
      <w:r w:rsidR="00CF11E0" w:rsidRPr="00A4173E">
        <w:rPr>
          <w:rFonts w:eastAsia="Calibri" w:cs="Times New Roman"/>
          <w:szCs w:val="24"/>
        </w:rPr>
        <w:t xml:space="preserve">atch for </w:t>
      </w:r>
      <w:r w:rsidR="004307EE">
        <w:rPr>
          <w:rFonts w:eastAsia="Calibri" w:cs="Times New Roman"/>
          <w:szCs w:val="24"/>
        </w:rPr>
        <w:t>A</w:t>
      </w:r>
      <w:r w:rsidR="00CF11E0" w:rsidRPr="00A4173E">
        <w:rPr>
          <w:rFonts w:eastAsia="Calibri" w:cs="Times New Roman"/>
          <w:szCs w:val="24"/>
        </w:rPr>
        <w:t>bilities appeared</w:t>
      </w:r>
      <w:r w:rsidR="006634CB" w:rsidRPr="00A4173E">
        <w:rPr>
          <w:rFonts w:eastAsia="Calibri" w:cs="Times New Roman"/>
          <w:szCs w:val="24"/>
        </w:rPr>
        <w:t xml:space="preserve"> </w:t>
      </w:r>
      <w:r w:rsidR="00CF11E0" w:rsidRPr="00A4173E">
        <w:rPr>
          <w:rFonts w:eastAsia="Calibri" w:cs="Times New Roman"/>
          <w:szCs w:val="24"/>
        </w:rPr>
        <w:t>fourteen times</w:t>
      </w:r>
      <w:r w:rsidR="007C7DD0" w:rsidRPr="00A4173E">
        <w:rPr>
          <w:rFonts w:eastAsia="Calibri" w:cs="Times New Roman"/>
          <w:szCs w:val="24"/>
        </w:rPr>
        <w:t xml:space="preserve"> in the data</w:t>
      </w:r>
      <w:r w:rsidR="006634CB" w:rsidRPr="00A4173E">
        <w:rPr>
          <w:rFonts w:eastAsia="Calibri" w:cs="Times New Roman"/>
          <w:szCs w:val="24"/>
        </w:rPr>
        <w:t>.</w:t>
      </w:r>
      <w:r w:rsidR="00CF11E0" w:rsidRPr="00A4173E">
        <w:rPr>
          <w:rFonts w:eastAsia="Calibri" w:cs="Times New Roman"/>
          <w:szCs w:val="24"/>
        </w:rPr>
        <w:t xml:space="preserve"> </w:t>
      </w:r>
      <w:r w:rsidR="00D22D7E" w:rsidRPr="00A4173E">
        <w:rPr>
          <w:rFonts w:eastAsia="Calibri" w:cs="Times New Roman"/>
          <w:szCs w:val="24"/>
        </w:rPr>
        <w:t>This component include</w:t>
      </w:r>
      <w:r w:rsidR="00E7089B">
        <w:rPr>
          <w:rFonts w:eastAsia="Calibri" w:cs="Times New Roman"/>
          <w:szCs w:val="24"/>
        </w:rPr>
        <w:t>d</w:t>
      </w:r>
      <w:r w:rsidR="00D22D7E" w:rsidRPr="00A4173E">
        <w:rPr>
          <w:rFonts w:eastAsia="Calibri" w:cs="Times New Roman"/>
          <w:szCs w:val="24"/>
        </w:rPr>
        <w:t xml:space="preserve"> </w:t>
      </w:r>
      <w:r w:rsidR="00B07545">
        <w:rPr>
          <w:rFonts w:eastAsia="Calibri" w:cs="Times New Roman"/>
          <w:szCs w:val="24"/>
        </w:rPr>
        <w:t>participant</w:t>
      </w:r>
      <w:r w:rsidR="00D22D7E" w:rsidRPr="00A4173E">
        <w:rPr>
          <w:rFonts w:eastAsia="Calibri" w:cs="Times New Roman"/>
          <w:szCs w:val="24"/>
        </w:rPr>
        <w:t xml:space="preserve"> reporting that they wanted work that was </w:t>
      </w:r>
      <w:r w:rsidR="000C5B49">
        <w:rPr>
          <w:rFonts w:eastAsia="Calibri" w:cs="Times New Roman"/>
          <w:szCs w:val="24"/>
        </w:rPr>
        <w:t>“</w:t>
      </w:r>
      <w:r w:rsidR="00D22D7E" w:rsidRPr="00880692">
        <w:rPr>
          <w:rFonts w:eastAsia="Calibri" w:cs="Times New Roman"/>
          <w:szCs w:val="24"/>
        </w:rPr>
        <w:t>doable</w:t>
      </w:r>
      <w:r w:rsidR="000C5B49" w:rsidRPr="00880692">
        <w:rPr>
          <w:rFonts w:eastAsia="Calibri" w:cs="Times New Roman"/>
          <w:szCs w:val="24"/>
        </w:rPr>
        <w:t>…</w:t>
      </w:r>
      <w:r w:rsidR="00CF11E0" w:rsidRPr="00880692">
        <w:rPr>
          <w:rFonts w:eastAsia="Calibri" w:cs="Times New Roman"/>
          <w:szCs w:val="24"/>
        </w:rPr>
        <w:t xml:space="preserve"> linked to area of interest, values and skill set</w:t>
      </w:r>
      <w:r w:rsidR="00D22D7E" w:rsidRPr="00880692">
        <w:rPr>
          <w:rFonts w:eastAsia="Calibri" w:cs="Times New Roman"/>
          <w:szCs w:val="24"/>
        </w:rPr>
        <w:t>,</w:t>
      </w:r>
      <w:r w:rsidR="00880692" w:rsidRPr="00880692">
        <w:rPr>
          <w:rFonts w:eastAsia="Calibri" w:cs="Times New Roman"/>
          <w:szCs w:val="24"/>
        </w:rPr>
        <w:t>”</w:t>
      </w:r>
      <w:r w:rsidR="00D22D7E" w:rsidRPr="00880692">
        <w:rPr>
          <w:rFonts w:eastAsia="Calibri" w:cs="Times New Roman"/>
          <w:szCs w:val="24"/>
        </w:rPr>
        <w:t xml:space="preserve"> </w:t>
      </w:r>
      <w:r w:rsidR="00D22D7E" w:rsidRPr="00A4173E">
        <w:rPr>
          <w:rFonts w:eastAsia="Calibri" w:cs="Times New Roman"/>
          <w:szCs w:val="24"/>
        </w:rPr>
        <w:t xml:space="preserve">had </w:t>
      </w:r>
      <w:r w:rsidR="00880692">
        <w:rPr>
          <w:rFonts w:eastAsia="Calibri" w:cs="Times New Roman"/>
          <w:szCs w:val="24"/>
        </w:rPr>
        <w:t>“</w:t>
      </w:r>
      <w:r w:rsidR="00CF11E0" w:rsidRPr="00880692">
        <w:rPr>
          <w:rFonts w:eastAsia="Calibri" w:cs="Times New Roman"/>
          <w:szCs w:val="24"/>
        </w:rPr>
        <w:t>g</w:t>
      </w:r>
      <w:r w:rsidR="006634CB" w:rsidRPr="00880692">
        <w:rPr>
          <w:rFonts w:eastAsia="Calibri" w:cs="Times New Roman"/>
          <w:szCs w:val="24"/>
        </w:rPr>
        <w:t>ood skill utilisation</w:t>
      </w:r>
      <w:r w:rsidR="00CF11E0" w:rsidRPr="00A4173E">
        <w:rPr>
          <w:rFonts w:eastAsia="Calibri" w:cs="Times New Roman"/>
          <w:szCs w:val="24"/>
        </w:rPr>
        <w:t xml:space="preserve"> [in the workplace]</w:t>
      </w:r>
      <w:r w:rsidR="00880692">
        <w:rPr>
          <w:rFonts w:eastAsia="Calibri" w:cs="Times New Roman"/>
          <w:szCs w:val="24"/>
        </w:rPr>
        <w:t>”</w:t>
      </w:r>
      <w:r w:rsidR="00D22D7E" w:rsidRPr="00A4173E">
        <w:rPr>
          <w:rFonts w:eastAsia="Calibri" w:cs="Times New Roman"/>
          <w:szCs w:val="24"/>
        </w:rPr>
        <w:t xml:space="preserve"> and which offered the </w:t>
      </w:r>
      <w:r w:rsidR="00880692">
        <w:rPr>
          <w:rFonts w:eastAsia="Calibri" w:cs="Times New Roman"/>
          <w:szCs w:val="24"/>
        </w:rPr>
        <w:t>“</w:t>
      </w:r>
      <w:r w:rsidR="00D22D7E" w:rsidRPr="00880692">
        <w:rPr>
          <w:rFonts w:eastAsia="Calibri" w:cs="Times New Roman"/>
          <w:szCs w:val="24"/>
        </w:rPr>
        <w:t>chance to use gained qualifications</w:t>
      </w:r>
      <w:r w:rsidR="00CF11E0" w:rsidRPr="00880692">
        <w:rPr>
          <w:rFonts w:eastAsia="Calibri" w:cs="Times New Roman"/>
          <w:szCs w:val="24"/>
        </w:rPr>
        <w:t>.</w:t>
      </w:r>
      <w:r w:rsidR="00880692" w:rsidRPr="00880692">
        <w:rPr>
          <w:rFonts w:eastAsia="Calibri" w:cs="Times New Roman"/>
          <w:szCs w:val="24"/>
        </w:rPr>
        <w:t>”</w:t>
      </w:r>
      <w:r w:rsidR="00D22D7E" w:rsidRPr="00A4173E">
        <w:rPr>
          <w:rFonts w:eastAsia="Calibri" w:cs="Times New Roman"/>
          <w:szCs w:val="24"/>
        </w:rPr>
        <w:t xml:space="preserve"> This sense of the alignment between the capabilities of the individual and the requirements of the job is an important aspect to note as it highlights the fact that different people may find the same or similar jobs to be variable in their decency. </w:t>
      </w:r>
    </w:p>
    <w:p w14:paraId="69FCED68" w14:textId="57192B54" w:rsidR="006634CB" w:rsidRPr="00A4173E" w:rsidRDefault="00601089" w:rsidP="00A4173E">
      <w:pPr>
        <w:spacing w:after="0"/>
        <w:ind w:firstLine="720"/>
        <w:rPr>
          <w:rFonts w:eastAsia="Calibri" w:cs="Times New Roman"/>
          <w:szCs w:val="24"/>
        </w:rPr>
      </w:pPr>
      <w:r w:rsidRPr="00A4173E">
        <w:rPr>
          <w:rFonts w:eastAsia="Calibri" w:cs="Times New Roman"/>
          <w:szCs w:val="24"/>
        </w:rPr>
        <w:t>A</w:t>
      </w:r>
      <w:r w:rsidR="006634CB" w:rsidRPr="00A4173E">
        <w:rPr>
          <w:rFonts w:eastAsia="Calibri" w:cs="Times New Roman"/>
          <w:szCs w:val="24"/>
        </w:rPr>
        <w:t>ccess t</w:t>
      </w:r>
      <w:r w:rsidRPr="00A4173E">
        <w:rPr>
          <w:rFonts w:eastAsia="Calibri" w:cs="Times New Roman"/>
          <w:szCs w:val="24"/>
        </w:rPr>
        <w:t xml:space="preserve">o </w:t>
      </w:r>
      <w:r w:rsidR="00EB78D0">
        <w:rPr>
          <w:rFonts w:eastAsia="Calibri" w:cs="Times New Roman"/>
          <w:szCs w:val="24"/>
        </w:rPr>
        <w:t>W</w:t>
      </w:r>
      <w:r w:rsidRPr="00A4173E">
        <w:rPr>
          <w:rFonts w:eastAsia="Calibri" w:cs="Times New Roman"/>
          <w:szCs w:val="24"/>
        </w:rPr>
        <w:t xml:space="preserve">ork-related </w:t>
      </w:r>
      <w:r w:rsidR="00EB78D0">
        <w:rPr>
          <w:rFonts w:eastAsia="Calibri" w:cs="Times New Roman"/>
          <w:szCs w:val="24"/>
        </w:rPr>
        <w:t>B</w:t>
      </w:r>
      <w:r w:rsidRPr="00A4173E">
        <w:rPr>
          <w:rFonts w:eastAsia="Calibri" w:cs="Times New Roman"/>
          <w:szCs w:val="24"/>
        </w:rPr>
        <w:t>enefits</w:t>
      </w:r>
      <w:r w:rsidR="00EB78D0">
        <w:rPr>
          <w:rFonts w:eastAsia="Calibri" w:cs="Times New Roman"/>
          <w:szCs w:val="24"/>
        </w:rPr>
        <w:t xml:space="preserve"> also</w:t>
      </w:r>
      <w:r w:rsidRPr="00A4173E">
        <w:rPr>
          <w:rFonts w:eastAsia="Calibri" w:cs="Times New Roman"/>
          <w:szCs w:val="24"/>
        </w:rPr>
        <w:t xml:space="preserve"> appeared fourteen times</w:t>
      </w:r>
      <w:r w:rsidR="003B46B9" w:rsidRPr="00A4173E">
        <w:rPr>
          <w:rFonts w:eastAsia="Calibri" w:cs="Times New Roman"/>
          <w:szCs w:val="24"/>
        </w:rPr>
        <w:t xml:space="preserve"> in the data</w:t>
      </w:r>
      <w:r w:rsidRPr="00A4173E">
        <w:rPr>
          <w:rFonts w:eastAsia="Calibri" w:cs="Times New Roman"/>
          <w:szCs w:val="24"/>
        </w:rPr>
        <w:t xml:space="preserve">. </w:t>
      </w:r>
      <w:r w:rsidR="006634CB" w:rsidRPr="00A4173E">
        <w:rPr>
          <w:rFonts w:eastAsia="Calibri" w:cs="Times New Roman"/>
          <w:szCs w:val="24"/>
        </w:rPr>
        <w:t>This component incl</w:t>
      </w:r>
      <w:r w:rsidR="007C7DD0" w:rsidRPr="00A4173E">
        <w:rPr>
          <w:rFonts w:eastAsia="Calibri" w:cs="Times New Roman"/>
          <w:szCs w:val="24"/>
        </w:rPr>
        <w:t>uded benefits such as</w:t>
      </w:r>
      <w:r w:rsidR="006634CB" w:rsidRPr="00A4173E">
        <w:rPr>
          <w:rFonts w:eastAsia="Calibri" w:cs="Times New Roman"/>
          <w:szCs w:val="24"/>
        </w:rPr>
        <w:t xml:space="preserve"> access to pensions and paid holiday </w:t>
      </w:r>
      <w:r w:rsidR="007C7DD0" w:rsidRPr="00A4173E">
        <w:rPr>
          <w:rFonts w:eastAsia="Calibri" w:cs="Times New Roman"/>
          <w:szCs w:val="24"/>
        </w:rPr>
        <w:t>leave.</w:t>
      </w:r>
      <w:r w:rsidR="00084CC4" w:rsidRPr="00A4173E">
        <w:rPr>
          <w:rFonts w:eastAsia="Calibri" w:cs="Times New Roman"/>
          <w:szCs w:val="24"/>
        </w:rPr>
        <w:t xml:space="preserve">  </w:t>
      </w:r>
      <w:r w:rsidR="000D3C57" w:rsidRPr="00A4173E">
        <w:rPr>
          <w:rFonts w:eastAsia="Calibri" w:cs="Times New Roman"/>
          <w:szCs w:val="24"/>
        </w:rPr>
        <w:t xml:space="preserve">One </w:t>
      </w:r>
      <w:r w:rsidR="00B07545">
        <w:rPr>
          <w:rFonts w:eastAsia="Calibri" w:cs="Times New Roman"/>
          <w:szCs w:val="24"/>
        </w:rPr>
        <w:t>participant</w:t>
      </w:r>
      <w:r w:rsidR="00084CC4" w:rsidRPr="00A4173E">
        <w:rPr>
          <w:rFonts w:eastAsia="Calibri" w:cs="Times New Roman"/>
          <w:szCs w:val="24"/>
        </w:rPr>
        <w:t xml:space="preserve"> suggested that decent work meant having, </w:t>
      </w:r>
      <w:r w:rsidR="00EB78D0">
        <w:rPr>
          <w:rFonts w:eastAsia="Calibri" w:cs="Times New Roman"/>
          <w:szCs w:val="24"/>
        </w:rPr>
        <w:t>“</w:t>
      </w:r>
      <w:r w:rsidR="00084CC4" w:rsidRPr="00EB78D0">
        <w:rPr>
          <w:rFonts w:eastAsia="Calibri" w:cs="Times New Roman"/>
          <w:szCs w:val="24"/>
        </w:rPr>
        <w:t>good terms and conditions - holidays/special leave, sick pay, pension scheme.</w:t>
      </w:r>
      <w:r w:rsidR="00EB78D0" w:rsidRPr="00EB78D0">
        <w:rPr>
          <w:rFonts w:eastAsia="Calibri" w:cs="Times New Roman"/>
          <w:szCs w:val="24"/>
        </w:rPr>
        <w:t>”</w:t>
      </w:r>
      <w:r w:rsidR="00084CC4" w:rsidRPr="00A4173E">
        <w:rPr>
          <w:rFonts w:eastAsia="Calibri" w:cs="Times New Roman"/>
          <w:szCs w:val="24"/>
        </w:rPr>
        <w:t xml:space="preserve">  </w:t>
      </w:r>
    </w:p>
    <w:p w14:paraId="13D99780" w14:textId="0D20181F" w:rsidR="006634CB" w:rsidRPr="00A4173E" w:rsidRDefault="006634CB" w:rsidP="00A4173E">
      <w:pPr>
        <w:spacing w:after="0"/>
        <w:ind w:firstLine="720"/>
        <w:rPr>
          <w:rFonts w:eastAsia="Calibri" w:cs="Times New Roman"/>
          <w:szCs w:val="24"/>
        </w:rPr>
      </w:pPr>
      <w:r w:rsidRPr="00A4173E">
        <w:rPr>
          <w:rFonts w:eastAsia="Calibri" w:cs="Times New Roman"/>
          <w:szCs w:val="24"/>
        </w:rPr>
        <w:t xml:space="preserve">The next </w:t>
      </w:r>
      <w:r w:rsidR="00B07545">
        <w:rPr>
          <w:rFonts w:eastAsia="Calibri" w:cs="Times New Roman"/>
          <w:szCs w:val="24"/>
        </w:rPr>
        <w:t>category</w:t>
      </w:r>
      <w:r w:rsidRPr="00A4173E">
        <w:rPr>
          <w:rFonts w:eastAsia="Calibri" w:cs="Times New Roman"/>
          <w:szCs w:val="24"/>
        </w:rPr>
        <w:t xml:space="preserve"> was </w:t>
      </w:r>
      <w:r w:rsidR="00B07545">
        <w:rPr>
          <w:rFonts w:eastAsia="Calibri" w:cs="Times New Roman"/>
          <w:szCs w:val="24"/>
        </w:rPr>
        <w:t>R</w:t>
      </w:r>
      <w:r w:rsidRPr="00A4173E">
        <w:rPr>
          <w:rFonts w:eastAsia="Calibri" w:cs="Times New Roman"/>
          <w:szCs w:val="24"/>
        </w:rPr>
        <w:t xml:space="preserve">ecognition and </w:t>
      </w:r>
      <w:r w:rsidR="00B07545">
        <w:rPr>
          <w:rFonts w:eastAsia="Calibri" w:cs="Times New Roman"/>
          <w:szCs w:val="24"/>
        </w:rPr>
        <w:t>Status</w:t>
      </w:r>
      <w:r w:rsidRPr="00A4173E">
        <w:rPr>
          <w:rFonts w:eastAsia="Calibri" w:cs="Times New Roman"/>
          <w:szCs w:val="24"/>
        </w:rPr>
        <w:t xml:space="preserve"> </w:t>
      </w:r>
      <w:r w:rsidR="00691434" w:rsidRPr="00A4173E">
        <w:rPr>
          <w:rFonts w:eastAsia="Calibri" w:cs="Times New Roman"/>
          <w:szCs w:val="24"/>
        </w:rPr>
        <w:t xml:space="preserve">coded twelve times in the data. One </w:t>
      </w:r>
      <w:r w:rsidR="00B07545">
        <w:rPr>
          <w:rFonts w:eastAsia="Calibri" w:cs="Times New Roman"/>
          <w:szCs w:val="24"/>
        </w:rPr>
        <w:t>participant</w:t>
      </w:r>
      <w:r w:rsidR="00691434" w:rsidRPr="00A4173E">
        <w:rPr>
          <w:rFonts w:eastAsia="Calibri" w:cs="Times New Roman"/>
          <w:szCs w:val="24"/>
        </w:rPr>
        <w:t xml:space="preserve"> suggested that decent work means, </w:t>
      </w:r>
      <w:r w:rsidR="00B07545">
        <w:rPr>
          <w:rFonts w:eastAsia="Calibri" w:cs="Times New Roman"/>
          <w:szCs w:val="24"/>
        </w:rPr>
        <w:t>“</w:t>
      </w:r>
      <w:r w:rsidR="00691434" w:rsidRPr="00B07545">
        <w:rPr>
          <w:rFonts w:eastAsia="Calibri" w:cs="Times New Roman"/>
          <w:szCs w:val="24"/>
        </w:rPr>
        <w:t>b</w:t>
      </w:r>
      <w:r w:rsidRPr="00B07545">
        <w:rPr>
          <w:rFonts w:eastAsia="Calibri" w:cs="Times New Roman"/>
          <w:szCs w:val="24"/>
        </w:rPr>
        <w:t>eing appreciated by your boss</w:t>
      </w:r>
      <w:r w:rsidR="00691434" w:rsidRPr="00B07545">
        <w:rPr>
          <w:rFonts w:eastAsia="Calibri" w:cs="Times New Roman"/>
          <w:szCs w:val="24"/>
        </w:rPr>
        <w:t>.</w:t>
      </w:r>
      <w:r w:rsidR="00B07545" w:rsidRPr="00B07545">
        <w:rPr>
          <w:rFonts w:eastAsia="Calibri" w:cs="Times New Roman"/>
          <w:szCs w:val="24"/>
        </w:rPr>
        <w:t>”</w:t>
      </w:r>
    </w:p>
    <w:p w14:paraId="583BF2D7" w14:textId="4ACB5E96" w:rsidR="006634CB" w:rsidRPr="00A4173E" w:rsidRDefault="00DB32EF" w:rsidP="00A4173E">
      <w:pPr>
        <w:spacing w:after="0"/>
        <w:ind w:firstLine="720"/>
        <w:rPr>
          <w:rFonts w:eastAsia="Calibri" w:cs="Times New Roman"/>
          <w:szCs w:val="24"/>
        </w:rPr>
      </w:pPr>
      <w:r w:rsidRPr="00A4173E">
        <w:rPr>
          <w:rFonts w:eastAsia="Calibri" w:cs="Times New Roman"/>
          <w:szCs w:val="24"/>
        </w:rPr>
        <w:lastRenderedPageBreak/>
        <w:t>J</w:t>
      </w:r>
      <w:r w:rsidR="006634CB" w:rsidRPr="00A4173E">
        <w:rPr>
          <w:rFonts w:eastAsia="Calibri" w:cs="Times New Roman"/>
          <w:szCs w:val="24"/>
        </w:rPr>
        <w:t xml:space="preserve">ob </w:t>
      </w:r>
      <w:r w:rsidR="00B07545">
        <w:rPr>
          <w:rFonts w:eastAsia="Calibri" w:cs="Times New Roman"/>
          <w:szCs w:val="24"/>
        </w:rPr>
        <w:t>S</w:t>
      </w:r>
      <w:r w:rsidR="006634CB" w:rsidRPr="00A4173E">
        <w:rPr>
          <w:rFonts w:eastAsia="Calibri" w:cs="Times New Roman"/>
          <w:szCs w:val="24"/>
        </w:rPr>
        <w:t xml:space="preserve">ecurity </w:t>
      </w:r>
      <w:r w:rsidRPr="00A4173E">
        <w:rPr>
          <w:rFonts w:eastAsia="Calibri" w:cs="Times New Roman"/>
          <w:szCs w:val="24"/>
        </w:rPr>
        <w:t>was coded eleven times in the data.</w:t>
      </w:r>
      <w:r w:rsidR="006634CB" w:rsidRPr="00A4173E">
        <w:rPr>
          <w:rFonts w:eastAsia="Calibri" w:cs="Times New Roman"/>
          <w:szCs w:val="24"/>
        </w:rPr>
        <w:t xml:space="preserve">  </w:t>
      </w:r>
      <w:r w:rsidRPr="00A4173E">
        <w:rPr>
          <w:rFonts w:eastAsia="Calibri" w:cs="Times New Roman"/>
          <w:szCs w:val="24"/>
        </w:rPr>
        <w:t xml:space="preserve">One </w:t>
      </w:r>
      <w:r w:rsidR="00B07545">
        <w:rPr>
          <w:rFonts w:eastAsia="Calibri" w:cs="Times New Roman"/>
          <w:szCs w:val="24"/>
        </w:rPr>
        <w:t>participant</w:t>
      </w:r>
      <w:r w:rsidRPr="00A4173E">
        <w:rPr>
          <w:rFonts w:eastAsia="Calibri" w:cs="Times New Roman"/>
          <w:szCs w:val="24"/>
        </w:rPr>
        <w:t xml:space="preserve"> summed up how decent work was also job </w:t>
      </w:r>
      <w:r w:rsidR="00DB42F4" w:rsidRPr="00A4173E">
        <w:rPr>
          <w:rFonts w:eastAsia="Calibri" w:cs="Times New Roman"/>
          <w:szCs w:val="24"/>
        </w:rPr>
        <w:t>security;</w:t>
      </w:r>
      <w:r w:rsidRPr="00A4173E">
        <w:rPr>
          <w:rFonts w:eastAsia="Calibri" w:cs="Times New Roman"/>
          <w:szCs w:val="24"/>
        </w:rPr>
        <w:t xml:space="preserve"> </w:t>
      </w:r>
      <w:r w:rsidR="00B07545">
        <w:rPr>
          <w:rFonts w:eastAsia="Calibri" w:cs="Times New Roman"/>
          <w:szCs w:val="24"/>
        </w:rPr>
        <w:t>“</w:t>
      </w:r>
      <w:r w:rsidRPr="00B07545">
        <w:rPr>
          <w:rFonts w:eastAsia="Calibri" w:cs="Times New Roman"/>
          <w:szCs w:val="24"/>
        </w:rPr>
        <w:t>y</w:t>
      </w:r>
      <w:r w:rsidR="006634CB" w:rsidRPr="00B07545">
        <w:rPr>
          <w:rFonts w:eastAsia="Calibri" w:cs="Times New Roman"/>
          <w:szCs w:val="24"/>
        </w:rPr>
        <w:t>our work is predictable and stable enough that you can plan on the basis of expected income. This last point is vital - zero hours contracts are fine, but they have to be reliable enough</w:t>
      </w:r>
      <w:r w:rsidRPr="00B07545">
        <w:rPr>
          <w:rFonts w:eastAsia="Calibri" w:cs="Times New Roman"/>
          <w:szCs w:val="24"/>
        </w:rPr>
        <w:t>.</w:t>
      </w:r>
      <w:r w:rsidR="00B07545" w:rsidRPr="00B07545">
        <w:rPr>
          <w:rFonts w:eastAsia="Calibri" w:cs="Times New Roman"/>
          <w:szCs w:val="24"/>
        </w:rPr>
        <w:t>”</w:t>
      </w:r>
    </w:p>
    <w:p w14:paraId="4515886F" w14:textId="15FDEC85" w:rsidR="006634CB" w:rsidRPr="00A4173E" w:rsidRDefault="006634CB" w:rsidP="00A4173E">
      <w:pPr>
        <w:spacing w:after="0"/>
        <w:ind w:firstLine="720"/>
        <w:rPr>
          <w:rFonts w:eastAsia="Calibri" w:cs="Times New Roman"/>
          <w:szCs w:val="24"/>
        </w:rPr>
      </w:pPr>
      <w:r w:rsidRPr="00A4173E">
        <w:rPr>
          <w:rFonts w:eastAsia="Calibri" w:cs="Times New Roman"/>
          <w:szCs w:val="24"/>
        </w:rPr>
        <w:t>The</w:t>
      </w:r>
      <w:r w:rsidR="00DB42F4" w:rsidRPr="00A4173E">
        <w:rPr>
          <w:rFonts w:eastAsia="Calibri" w:cs="Times New Roman"/>
          <w:szCs w:val="24"/>
        </w:rPr>
        <w:t xml:space="preserve"> </w:t>
      </w:r>
      <w:r w:rsidR="00B362A6" w:rsidRPr="00A4173E">
        <w:rPr>
          <w:rFonts w:eastAsia="Calibri" w:cs="Times New Roman"/>
          <w:szCs w:val="24"/>
        </w:rPr>
        <w:t xml:space="preserve">last </w:t>
      </w:r>
      <w:r w:rsidR="00B07545">
        <w:rPr>
          <w:rFonts w:eastAsia="Calibri" w:cs="Times New Roman"/>
          <w:szCs w:val="24"/>
        </w:rPr>
        <w:t>category</w:t>
      </w:r>
      <w:r w:rsidR="00B362A6" w:rsidRPr="00A4173E">
        <w:rPr>
          <w:rFonts w:eastAsia="Calibri" w:cs="Times New Roman"/>
          <w:szCs w:val="24"/>
        </w:rPr>
        <w:t xml:space="preserve"> of decent work</w:t>
      </w:r>
      <w:r w:rsidR="00DB42F4" w:rsidRPr="00A4173E">
        <w:rPr>
          <w:rFonts w:eastAsia="Calibri" w:cs="Times New Roman"/>
          <w:szCs w:val="24"/>
        </w:rPr>
        <w:t xml:space="preserve"> (outside of the five core constructs)</w:t>
      </w:r>
      <w:r w:rsidR="00B362A6" w:rsidRPr="00A4173E">
        <w:rPr>
          <w:rFonts w:eastAsia="Calibri" w:cs="Times New Roman"/>
          <w:szCs w:val="24"/>
        </w:rPr>
        <w:t xml:space="preserve"> </w:t>
      </w:r>
      <w:r w:rsidRPr="00A4173E">
        <w:rPr>
          <w:rFonts w:eastAsia="Calibri" w:cs="Times New Roman"/>
          <w:szCs w:val="24"/>
        </w:rPr>
        <w:t>was</w:t>
      </w:r>
      <w:r w:rsidR="00B07545">
        <w:rPr>
          <w:rFonts w:eastAsia="Calibri" w:cs="Times New Roman"/>
          <w:szCs w:val="24"/>
        </w:rPr>
        <w:t xml:space="preserve"> P</w:t>
      </w:r>
      <w:r w:rsidR="00B362A6" w:rsidRPr="00A4173E">
        <w:rPr>
          <w:rFonts w:eastAsia="Calibri" w:cs="Times New Roman"/>
          <w:szCs w:val="24"/>
        </w:rPr>
        <w:t xml:space="preserve">ositive </w:t>
      </w:r>
      <w:r w:rsidR="00B07545">
        <w:rPr>
          <w:rFonts w:eastAsia="Calibri" w:cs="Times New Roman"/>
          <w:szCs w:val="24"/>
        </w:rPr>
        <w:t>S</w:t>
      </w:r>
      <w:r w:rsidRPr="00A4173E">
        <w:rPr>
          <w:rFonts w:eastAsia="Calibri" w:cs="Times New Roman"/>
          <w:szCs w:val="24"/>
        </w:rPr>
        <w:t>ocial</w:t>
      </w:r>
      <w:r w:rsidR="00B362A6" w:rsidRPr="00A4173E">
        <w:rPr>
          <w:rFonts w:eastAsia="Calibri" w:cs="Times New Roman"/>
          <w:szCs w:val="24"/>
        </w:rPr>
        <w:t xml:space="preserve"> </w:t>
      </w:r>
      <w:r w:rsidR="00B07545">
        <w:rPr>
          <w:rFonts w:eastAsia="Calibri" w:cs="Times New Roman"/>
          <w:szCs w:val="24"/>
        </w:rPr>
        <w:t>A</w:t>
      </w:r>
      <w:r w:rsidR="00B362A6" w:rsidRPr="00A4173E">
        <w:rPr>
          <w:rFonts w:eastAsia="Calibri" w:cs="Times New Roman"/>
          <w:szCs w:val="24"/>
        </w:rPr>
        <w:t xml:space="preserve">spects of </w:t>
      </w:r>
      <w:r w:rsidR="00B07545">
        <w:rPr>
          <w:rFonts w:eastAsia="Calibri" w:cs="Times New Roman"/>
          <w:szCs w:val="24"/>
        </w:rPr>
        <w:t>W</w:t>
      </w:r>
      <w:r w:rsidR="00B362A6" w:rsidRPr="00A4173E">
        <w:rPr>
          <w:rFonts w:eastAsia="Calibri" w:cs="Times New Roman"/>
          <w:szCs w:val="24"/>
        </w:rPr>
        <w:t>ork</w:t>
      </w:r>
      <w:r w:rsidR="00DB42F4" w:rsidRPr="00A4173E">
        <w:rPr>
          <w:rFonts w:eastAsia="Calibri" w:cs="Times New Roman"/>
          <w:szCs w:val="24"/>
        </w:rPr>
        <w:t>.</w:t>
      </w:r>
      <w:r w:rsidRPr="00A4173E">
        <w:rPr>
          <w:rFonts w:eastAsia="Calibri" w:cs="Times New Roman"/>
          <w:szCs w:val="24"/>
        </w:rPr>
        <w:t xml:space="preserve"> </w:t>
      </w:r>
      <w:r w:rsidR="00DB42F4" w:rsidRPr="00A4173E">
        <w:rPr>
          <w:rFonts w:eastAsia="Calibri" w:cs="Times New Roman"/>
          <w:szCs w:val="24"/>
        </w:rPr>
        <w:t>This appeared</w:t>
      </w:r>
      <w:r w:rsidRPr="00A4173E">
        <w:rPr>
          <w:rFonts w:eastAsia="Calibri" w:cs="Times New Roman"/>
          <w:szCs w:val="24"/>
        </w:rPr>
        <w:t xml:space="preserve"> in </w:t>
      </w:r>
      <w:r w:rsidR="00DB42F4" w:rsidRPr="00A4173E">
        <w:rPr>
          <w:rFonts w:eastAsia="Calibri" w:cs="Times New Roman"/>
          <w:szCs w:val="24"/>
        </w:rPr>
        <w:t>ten responses.  This component included creating and maintaining</w:t>
      </w:r>
      <w:r w:rsidRPr="00A4173E">
        <w:rPr>
          <w:rFonts w:eastAsia="Calibri" w:cs="Times New Roman"/>
          <w:szCs w:val="24"/>
        </w:rPr>
        <w:t xml:space="preserve"> good </w:t>
      </w:r>
      <w:r w:rsidR="00DB42F4" w:rsidRPr="00A4173E">
        <w:rPr>
          <w:rFonts w:eastAsia="Calibri" w:cs="Times New Roman"/>
          <w:szCs w:val="24"/>
        </w:rPr>
        <w:t xml:space="preserve">professional </w:t>
      </w:r>
      <w:r w:rsidRPr="00A4173E">
        <w:rPr>
          <w:rFonts w:eastAsia="Calibri" w:cs="Times New Roman"/>
          <w:szCs w:val="24"/>
        </w:rPr>
        <w:t xml:space="preserve">relationships </w:t>
      </w:r>
      <w:r w:rsidR="00DB42F4" w:rsidRPr="00A4173E">
        <w:rPr>
          <w:rFonts w:eastAsia="Calibri" w:cs="Times New Roman"/>
          <w:szCs w:val="24"/>
        </w:rPr>
        <w:t>as well as an</w:t>
      </w:r>
      <w:r w:rsidRPr="00A4173E">
        <w:rPr>
          <w:rFonts w:eastAsia="Calibri" w:cs="Times New Roman"/>
          <w:szCs w:val="24"/>
        </w:rPr>
        <w:t xml:space="preserve"> opportunity </w:t>
      </w:r>
      <w:r w:rsidR="00DB42F4" w:rsidRPr="00A4173E">
        <w:rPr>
          <w:rFonts w:eastAsia="Calibri" w:cs="Times New Roman"/>
          <w:szCs w:val="24"/>
        </w:rPr>
        <w:t>to collaborate with colleagues.</w:t>
      </w:r>
      <w:r w:rsidRPr="00A4173E">
        <w:rPr>
          <w:rFonts w:eastAsia="Calibri" w:cs="Times New Roman"/>
          <w:szCs w:val="24"/>
        </w:rPr>
        <w:t xml:space="preserve"> </w:t>
      </w:r>
      <w:r w:rsidR="00EE5B64" w:rsidRPr="00A4173E">
        <w:rPr>
          <w:rFonts w:eastAsia="Calibri" w:cs="Times New Roman"/>
          <w:szCs w:val="24"/>
        </w:rPr>
        <w:t xml:space="preserve">One </w:t>
      </w:r>
      <w:r w:rsidR="00B07545">
        <w:rPr>
          <w:rFonts w:eastAsia="Calibri" w:cs="Times New Roman"/>
          <w:szCs w:val="24"/>
        </w:rPr>
        <w:t>participant</w:t>
      </w:r>
      <w:r w:rsidR="00EE5B64" w:rsidRPr="00A4173E">
        <w:rPr>
          <w:rFonts w:eastAsia="Calibri" w:cs="Times New Roman"/>
          <w:szCs w:val="24"/>
        </w:rPr>
        <w:t xml:space="preserve"> stated that decent work meant the </w:t>
      </w:r>
      <w:r w:rsidR="00B07545">
        <w:rPr>
          <w:rFonts w:eastAsia="Calibri" w:cs="Times New Roman"/>
          <w:szCs w:val="24"/>
        </w:rPr>
        <w:t>“</w:t>
      </w:r>
      <w:r w:rsidR="00EE5B64" w:rsidRPr="00B07545">
        <w:rPr>
          <w:rFonts w:eastAsia="Calibri" w:cs="Times New Roman"/>
          <w:szCs w:val="24"/>
        </w:rPr>
        <w:t>c</w:t>
      </w:r>
      <w:r w:rsidRPr="00B07545">
        <w:rPr>
          <w:rFonts w:eastAsia="Calibri" w:cs="Times New Roman"/>
          <w:szCs w:val="24"/>
        </w:rPr>
        <w:t>hance to network and share good practise</w:t>
      </w:r>
      <w:r w:rsidR="00EE5B64" w:rsidRPr="00B07545">
        <w:rPr>
          <w:rFonts w:eastAsia="Calibri" w:cs="Times New Roman"/>
          <w:szCs w:val="24"/>
        </w:rPr>
        <w:t>.</w:t>
      </w:r>
      <w:r w:rsidR="00B07545" w:rsidRPr="00B07545">
        <w:rPr>
          <w:rFonts w:eastAsia="Calibri" w:cs="Times New Roman"/>
          <w:szCs w:val="24"/>
        </w:rPr>
        <w:t>”</w:t>
      </w:r>
      <w:r w:rsidR="00EE5B64" w:rsidRPr="00B07545">
        <w:rPr>
          <w:rFonts w:eastAsia="Calibri" w:cs="Times New Roman"/>
          <w:szCs w:val="24"/>
        </w:rPr>
        <w:t xml:space="preserve"> </w:t>
      </w:r>
      <w:r w:rsidR="00EE5B64" w:rsidRPr="00A4173E">
        <w:rPr>
          <w:rFonts w:eastAsia="Calibri" w:cs="Times New Roman"/>
          <w:szCs w:val="24"/>
        </w:rPr>
        <w:t>Another respondent suggested that decent work was an environment where</w:t>
      </w:r>
      <w:r w:rsidR="00EE5B64" w:rsidRPr="00A4173E">
        <w:rPr>
          <w:rFonts w:eastAsia="Calibri" w:cs="Times New Roman"/>
          <w:i/>
          <w:szCs w:val="24"/>
        </w:rPr>
        <w:t xml:space="preserve"> </w:t>
      </w:r>
      <w:r w:rsidR="00B07545" w:rsidRPr="00B07545">
        <w:rPr>
          <w:rFonts w:eastAsia="Calibri" w:cs="Times New Roman"/>
          <w:szCs w:val="24"/>
        </w:rPr>
        <w:t>“</w:t>
      </w:r>
      <w:r w:rsidR="00EE5B64" w:rsidRPr="00B07545">
        <w:rPr>
          <w:rFonts w:eastAsia="Calibri" w:cs="Times New Roman"/>
          <w:szCs w:val="24"/>
        </w:rPr>
        <w:t xml:space="preserve">the people you work with </w:t>
      </w:r>
      <w:r w:rsidR="006027A5" w:rsidRPr="00B07545">
        <w:rPr>
          <w:rFonts w:eastAsia="Calibri" w:cs="Times New Roman"/>
          <w:szCs w:val="24"/>
        </w:rPr>
        <w:t>[</w:t>
      </w:r>
      <w:r w:rsidR="00EE5B64" w:rsidRPr="00B07545">
        <w:rPr>
          <w:rFonts w:eastAsia="Calibri" w:cs="Times New Roman"/>
          <w:szCs w:val="24"/>
        </w:rPr>
        <w:t>are</w:t>
      </w:r>
      <w:r w:rsidR="006027A5" w:rsidRPr="00B07545">
        <w:rPr>
          <w:rFonts w:eastAsia="Calibri" w:cs="Times New Roman"/>
          <w:szCs w:val="24"/>
        </w:rPr>
        <w:t>]</w:t>
      </w:r>
      <w:r w:rsidR="00EE5B64" w:rsidRPr="00B07545">
        <w:rPr>
          <w:rFonts w:eastAsia="Calibri" w:cs="Times New Roman"/>
          <w:szCs w:val="24"/>
        </w:rPr>
        <w:t xml:space="preserve"> pleasant and helpful to their colleagues.</w:t>
      </w:r>
      <w:r w:rsidR="00B07545" w:rsidRPr="00B07545">
        <w:rPr>
          <w:rFonts w:eastAsia="Calibri" w:cs="Times New Roman"/>
          <w:szCs w:val="24"/>
        </w:rPr>
        <w:t>”</w:t>
      </w:r>
    </w:p>
    <w:p w14:paraId="665E4676" w14:textId="462543B0" w:rsidR="00DB73AA" w:rsidRPr="00AA7130" w:rsidRDefault="00D85CB2" w:rsidP="00D85CB2">
      <w:pPr>
        <w:jc w:val="center"/>
        <w:rPr>
          <w:rFonts w:cs="Times New Roman"/>
          <w:b/>
        </w:rPr>
      </w:pPr>
      <w:r>
        <w:rPr>
          <w:rFonts w:cs="Times New Roman"/>
          <w:b/>
        </w:rPr>
        <w:t xml:space="preserve">5. </w:t>
      </w:r>
      <w:r w:rsidR="00DB73AA" w:rsidRPr="00AA7130">
        <w:rPr>
          <w:rFonts w:cs="Times New Roman"/>
          <w:b/>
        </w:rPr>
        <w:t>Discussion</w:t>
      </w:r>
    </w:p>
    <w:p w14:paraId="2301C59D" w14:textId="5F3A8979" w:rsidR="00D85CB2" w:rsidRDefault="00D85CB2" w:rsidP="00A4173E">
      <w:pPr>
        <w:ind w:firstLine="720"/>
        <w:rPr>
          <w:rFonts w:cs="Times New Roman"/>
        </w:rPr>
      </w:pPr>
      <w:r>
        <w:rPr>
          <w:rFonts w:cs="Times New Roman"/>
        </w:rPr>
        <w:t xml:space="preserve">This section brings together the results from both studies and discusses them in relation to the future of the Decent Work Scale in the UK. </w:t>
      </w:r>
    </w:p>
    <w:p w14:paraId="63B8DE64" w14:textId="574A7745" w:rsidR="00D85CB2" w:rsidRPr="00510FCE" w:rsidRDefault="00D85CB2" w:rsidP="00510FCE">
      <w:pPr>
        <w:rPr>
          <w:rFonts w:cs="Times New Roman"/>
          <w:b/>
        </w:rPr>
      </w:pPr>
      <w:r w:rsidRPr="00510FCE">
        <w:rPr>
          <w:rFonts w:cs="Times New Roman"/>
          <w:b/>
        </w:rPr>
        <w:t>5.1 Applicability of the DWS to the UK</w:t>
      </w:r>
    </w:p>
    <w:p w14:paraId="2F9EDD3B" w14:textId="30D2729B" w:rsidR="003538CA" w:rsidRDefault="00D24BA5" w:rsidP="00A4173E">
      <w:pPr>
        <w:ind w:firstLine="720"/>
        <w:rPr>
          <w:rFonts w:cs="Times New Roman"/>
        </w:rPr>
      </w:pPr>
      <w:r>
        <w:rPr>
          <w:rFonts w:cs="Times New Roman"/>
        </w:rPr>
        <w:t>S</w:t>
      </w:r>
      <w:r w:rsidR="00FD5FC9">
        <w:rPr>
          <w:rFonts w:cs="Times New Roman"/>
        </w:rPr>
        <w:t xml:space="preserve">tudy </w:t>
      </w:r>
      <w:r>
        <w:rPr>
          <w:rFonts w:cs="Times New Roman"/>
        </w:rPr>
        <w:t xml:space="preserve">1 </w:t>
      </w:r>
      <w:r w:rsidR="00FD5FC9">
        <w:rPr>
          <w:rFonts w:cs="Times New Roman"/>
        </w:rPr>
        <w:t>tested the applicability of</w:t>
      </w:r>
      <w:r w:rsidR="005E4003">
        <w:rPr>
          <w:rFonts w:cs="Times New Roman"/>
        </w:rPr>
        <w:t xml:space="preserve"> the DWS on a</w:t>
      </w:r>
      <w:r w:rsidR="00AB3DE4">
        <w:rPr>
          <w:rFonts w:cs="Times New Roman"/>
        </w:rPr>
        <w:t xml:space="preserve"> sample drawn from the</w:t>
      </w:r>
      <w:r w:rsidR="005E4003">
        <w:rPr>
          <w:rFonts w:cs="Times New Roman"/>
        </w:rPr>
        <w:t xml:space="preserve"> UK.</w:t>
      </w:r>
      <w:r w:rsidR="00F8701E">
        <w:rPr>
          <w:rFonts w:cs="Times New Roman"/>
        </w:rPr>
        <w:t xml:space="preserve"> </w:t>
      </w:r>
      <w:r w:rsidR="004371FA">
        <w:rPr>
          <w:rFonts w:cs="Times New Roman"/>
        </w:rPr>
        <w:t xml:space="preserve">We articulated </w:t>
      </w:r>
      <w:r w:rsidR="00220C49">
        <w:rPr>
          <w:rFonts w:cs="Times New Roman"/>
        </w:rPr>
        <w:t>three</w:t>
      </w:r>
      <w:r w:rsidR="004371FA">
        <w:rPr>
          <w:rFonts w:cs="Times New Roman"/>
        </w:rPr>
        <w:t xml:space="preserve"> hypothes</w:t>
      </w:r>
      <w:r w:rsidR="003C499C">
        <w:rPr>
          <w:rFonts w:cs="Times New Roman"/>
        </w:rPr>
        <w:t>e</w:t>
      </w:r>
      <w:r w:rsidR="004371FA">
        <w:rPr>
          <w:rFonts w:cs="Times New Roman"/>
        </w:rPr>
        <w:t>s based on the PWT and the initial validation</w:t>
      </w:r>
      <w:r w:rsidR="00B62B33">
        <w:rPr>
          <w:rFonts w:cs="Times New Roman"/>
        </w:rPr>
        <w:t xml:space="preserve"> study</w:t>
      </w:r>
      <w:r w:rsidR="004371FA">
        <w:rPr>
          <w:rFonts w:cs="Times New Roman"/>
        </w:rPr>
        <w:t xml:space="preserve"> (Duffy et al., 2016; Duffy et al., 2017).</w:t>
      </w:r>
      <w:r w:rsidR="00515401">
        <w:rPr>
          <w:rFonts w:cs="Times New Roman"/>
        </w:rPr>
        <w:t xml:space="preserve"> </w:t>
      </w:r>
      <w:r w:rsidR="00D06BEC">
        <w:rPr>
          <w:rFonts w:cs="Times New Roman"/>
        </w:rPr>
        <w:t xml:space="preserve">This study supports the DWS as a </w:t>
      </w:r>
      <w:r w:rsidR="00A87127">
        <w:rPr>
          <w:rFonts w:cs="Times New Roman"/>
        </w:rPr>
        <w:t xml:space="preserve">valid </w:t>
      </w:r>
      <w:r w:rsidR="00D06BEC">
        <w:rPr>
          <w:rFonts w:cs="Times New Roman"/>
        </w:rPr>
        <w:t>psychometric measure of decent work</w:t>
      </w:r>
      <w:r w:rsidR="00A87127">
        <w:rPr>
          <w:rFonts w:cs="Times New Roman"/>
        </w:rPr>
        <w:t xml:space="preserve"> in the UK</w:t>
      </w:r>
      <w:r w:rsidR="00D06BEC">
        <w:rPr>
          <w:rFonts w:cs="Times New Roman"/>
        </w:rPr>
        <w:t xml:space="preserve">. </w:t>
      </w:r>
      <w:r w:rsidR="009D4679">
        <w:rPr>
          <w:rFonts w:cs="Times New Roman"/>
        </w:rPr>
        <w:t>In terms of the first hypothesis, a</w:t>
      </w:r>
      <w:r w:rsidR="009C4EB5">
        <w:rPr>
          <w:rFonts w:cs="Times New Roman"/>
        </w:rPr>
        <w:t xml:space="preserve"> CFA found that while the bi-factor model was the best fit to the data it was not significantly different to the correlational model.</w:t>
      </w:r>
      <w:r w:rsidR="00515401">
        <w:rPr>
          <w:rFonts w:cs="Times New Roman"/>
        </w:rPr>
        <w:t xml:space="preserve"> While this supports evidence that the DWS represents a bifactor model it does also suggest that a correlational model may also fit the data effectively.</w:t>
      </w:r>
      <w:r w:rsidR="000D234E">
        <w:rPr>
          <w:rFonts w:cs="Times New Roman"/>
        </w:rPr>
        <w:t xml:space="preserve"> </w:t>
      </w:r>
      <w:r w:rsidR="009D4679">
        <w:rPr>
          <w:rFonts w:cs="Times New Roman"/>
        </w:rPr>
        <w:t>Through both configural and metric invariance testing we found that the DWS</w:t>
      </w:r>
      <w:r w:rsidR="00662FF2">
        <w:rPr>
          <w:rFonts w:cs="Times New Roman"/>
        </w:rPr>
        <w:t xml:space="preserve"> bi-factor model</w:t>
      </w:r>
      <w:r w:rsidR="009D4679">
        <w:rPr>
          <w:rFonts w:cs="Times New Roman"/>
        </w:rPr>
        <w:t xml:space="preserve"> did not differ significantly between gender, </w:t>
      </w:r>
      <w:r w:rsidR="00B20B7A">
        <w:rPr>
          <w:rFonts w:cs="Times New Roman"/>
        </w:rPr>
        <w:t>income</w:t>
      </w:r>
      <w:r w:rsidR="009D4679">
        <w:rPr>
          <w:rFonts w:cs="Times New Roman"/>
        </w:rPr>
        <w:t xml:space="preserve"> and </w:t>
      </w:r>
      <w:r w:rsidR="00662FF2">
        <w:rPr>
          <w:rFonts w:cs="Times New Roman"/>
        </w:rPr>
        <w:t>social</w:t>
      </w:r>
      <w:r w:rsidR="009D4679">
        <w:rPr>
          <w:rFonts w:cs="Times New Roman"/>
        </w:rPr>
        <w:t xml:space="preserve"> class. </w:t>
      </w:r>
    </w:p>
    <w:p w14:paraId="348E97E2" w14:textId="2D62C2D7" w:rsidR="00D85CB2" w:rsidRPr="00510FCE" w:rsidRDefault="00D85CB2" w:rsidP="00510FCE">
      <w:pPr>
        <w:rPr>
          <w:rFonts w:cs="Times New Roman"/>
          <w:b/>
        </w:rPr>
      </w:pPr>
      <w:r w:rsidRPr="00510FCE">
        <w:rPr>
          <w:rFonts w:cs="Times New Roman"/>
          <w:b/>
        </w:rPr>
        <w:t xml:space="preserve">5.2 </w:t>
      </w:r>
      <w:r w:rsidR="00FA7884" w:rsidRPr="00510FCE">
        <w:rPr>
          <w:rFonts w:cs="Times New Roman"/>
          <w:b/>
        </w:rPr>
        <w:t>Predictive validity of the DWS</w:t>
      </w:r>
    </w:p>
    <w:p w14:paraId="4DF48AC7" w14:textId="420FF7F8" w:rsidR="008F72B0" w:rsidRDefault="00A555D4" w:rsidP="00A4173E">
      <w:pPr>
        <w:ind w:firstLine="720"/>
        <w:rPr>
          <w:rFonts w:cs="Times New Roman"/>
        </w:rPr>
      </w:pPr>
      <w:r>
        <w:rPr>
          <w:rFonts w:cs="Times New Roman"/>
        </w:rPr>
        <w:lastRenderedPageBreak/>
        <w:t xml:space="preserve">For hypothesis </w:t>
      </w:r>
      <w:r w:rsidR="000818C1">
        <w:rPr>
          <w:rFonts w:cs="Times New Roman"/>
        </w:rPr>
        <w:t>2</w:t>
      </w:r>
      <w:r>
        <w:rPr>
          <w:rFonts w:cs="Times New Roman"/>
        </w:rPr>
        <w:t xml:space="preserve"> we tested whether there was</w:t>
      </w:r>
      <w:r w:rsidR="0037163C">
        <w:rPr>
          <w:rFonts w:cs="Times New Roman"/>
        </w:rPr>
        <w:t xml:space="preserve"> evidence of predictive validity</w:t>
      </w:r>
      <w:r w:rsidR="009578A1">
        <w:rPr>
          <w:rFonts w:cs="Times New Roman"/>
        </w:rPr>
        <w:t xml:space="preserve"> for the DWS</w:t>
      </w:r>
      <w:r w:rsidR="0037163C">
        <w:rPr>
          <w:rFonts w:cs="Times New Roman"/>
        </w:rPr>
        <w:t>. At least one or more subscales significantly predicted job satisfaction, work as meaning and withdrawal intentions.</w:t>
      </w:r>
      <w:r w:rsidR="00293DBA">
        <w:rPr>
          <w:rFonts w:cs="Times New Roman"/>
        </w:rPr>
        <w:t xml:space="preserve"> </w:t>
      </w:r>
      <w:r w:rsidR="00EE030E">
        <w:rPr>
          <w:rFonts w:cs="Times New Roman"/>
        </w:rPr>
        <w:t>Consistent with Duffy et al. (2017)</w:t>
      </w:r>
      <w:r w:rsidR="00293DBA">
        <w:rPr>
          <w:rFonts w:cs="Times New Roman"/>
        </w:rPr>
        <w:t xml:space="preserve"> the complementary values subscale was a unique predictor fo</w:t>
      </w:r>
      <w:r w:rsidR="00516FFE">
        <w:rPr>
          <w:rFonts w:cs="Times New Roman"/>
        </w:rPr>
        <w:t>r all three dependent variables</w:t>
      </w:r>
      <w:r w:rsidR="00D52365">
        <w:rPr>
          <w:rFonts w:cs="Times New Roman"/>
        </w:rPr>
        <w:t>;</w:t>
      </w:r>
      <w:r w:rsidR="00516FFE">
        <w:rPr>
          <w:rFonts w:cs="Times New Roman"/>
        </w:rPr>
        <w:t xml:space="preserve"> however adequate compensation significantly predicted </w:t>
      </w:r>
      <w:r w:rsidR="00D52365">
        <w:rPr>
          <w:rFonts w:cs="Times New Roman"/>
        </w:rPr>
        <w:t>only</w:t>
      </w:r>
      <w:r w:rsidR="003538CA">
        <w:rPr>
          <w:rFonts w:cs="Times New Roman"/>
        </w:rPr>
        <w:t xml:space="preserve"> </w:t>
      </w:r>
      <w:r w:rsidR="00516FFE">
        <w:rPr>
          <w:rFonts w:cs="Times New Roman"/>
        </w:rPr>
        <w:t xml:space="preserve">two of three dependent variables. This is in contrast to Duffy et al. (2017) where adequate compensation significantly predicted all three dependent variables. </w:t>
      </w:r>
      <w:r w:rsidR="000645D6">
        <w:rPr>
          <w:rFonts w:cs="Times New Roman"/>
        </w:rPr>
        <w:t>As a cross cultural measure complementary values may be the most important component of decent work.</w:t>
      </w:r>
      <w:r w:rsidR="00CB1B4F">
        <w:rPr>
          <w:rFonts w:cs="Times New Roman"/>
        </w:rPr>
        <w:t xml:space="preserve"> Access to healthcare and access to free time and rest did not predict the three dependent variables. </w:t>
      </w:r>
      <w:r w:rsidR="00D24BA5">
        <w:rPr>
          <w:rFonts w:cs="Times New Roman"/>
        </w:rPr>
        <w:t>As t</w:t>
      </w:r>
      <w:r w:rsidR="00CB1B4F">
        <w:rPr>
          <w:rFonts w:cs="Times New Roman"/>
        </w:rPr>
        <w:t>he UK has a single payer system of healthcare</w:t>
      </w:r>
      <w:r w:rsidR="00D24BA5">
        <w:rPr>
          <w:rFonts w:cs="Times New Roman"/>
        </w:rPr>
        <w:t xml:space="preserve"> i</w:t>
      </w:r>
      <w:r w:rsidR="00CB1B4F">
        <w:rPr>
          <w:rFonts w:cs="Times New Roman"/>
        </w:rPr>
        <w:t xml:space="preserve">t may be that most of the sample did not receive or use benefits in excess of those available in the NHS. </w:t>
      </w:r>
      <w:r w:rsidR="008F72B0">
        <w:rPr>
          <w:rFonts w:cs="Times New Roman"/>
        </w:rPr>
        <w:t xml:space="preserve">This subscale should be further considered </w:t>
      </w:r>
      <w:r w:rsidR="004729A5">
        <w:rPr>
          <w:rFonts w:cs="Times New Roman"/>
        </w:rPr>
        <w:t xml:space="preserve">for its appropriateness </w:t>
      </w:r>
      <w:r w:rsidR="008F72B0">
        <w:rPr>
          <w:rFonts w:cs="Times New Roman"/>
        </w:rPr>
        <w:t xml:space="preserve">as it is tested in countries with universal healthcare systems and cultures with universal healthcare systems alongside private healthcare systems. </w:t>
      </w:r>
      <w:r w:rsidR="00D24BA5">
        <w:rPr>
          <w:rFonts w:cs="Times New Roman"/>
        </w:rPr>
        <w:t xml:space="preserve">This finding was also borne out by Study 2 which suggested that people from the UK did not typically include access to healthcare when defining decent work. </w:t>
      </w:r>
    </w:p>
    <w:p w14:paraId="19EFB3B3" w14:textId="64C65A6A" w:rsidR="00395BC3" w:rsidRDefault="008F72B0" w:rsidP="00A4173E">
      <w:pPr>
        <w:ind w:firstLine="720"/>
        <w:rPr>
          <w:rFonts w:cs="Times New Roman"/>
        </w:rPr>
      </w:pPr>
      <w:r>
        <w:rPr>
          <w:rFonts w:cs="Times New Roman"/>
        </w:rPr>
        <w:t>The free time and rest subscale did not predict the three dependent variables. This may be due in part to worker protections available in the UK despite increased precarious working. This was a surprising finding which should be researched further</w:t>
      </w:r>
      <w:r w:rsidR="00D24BA5">
        <w:rPr>
          <w:rFonts w:cs="Times New Roman"/>
        </w:rPr>
        <w:t xml:space="preserve"> especially in the light of study 2 where over half of respondents spontaneously included this component in their definitions of </w:t>
      </w:r>
      <w:r w:rsidR="00185641">
        <w:rPr>
          <w:rFonts w:cs="Times New Roman"/>
        </w:rPr>
        <w:t xml:space="preserve">decent work. </w:t>
      </w:r>
    </w:p>
    <w:p w14:paraId="288783C7" w14:textId="37F68970" w:rsidR="00FA7884" w:rsidRPr="00510FCE" w:rsidRDefault="00FA7884" w:rsidP="00510FCE">
      <w:pPr>
        <w:rPr>
          <w:rFonts w:cs="Times New Roman"/>
          <w:b/>
        </w:rPr>
      </w:pPr>
      <w:r w:rsidRPr="00510FCE">
        <w:rPr>
          <w:rFonts w:cs="Times New Roman"/>
          <w:b/>
        </w:rPr>
        <w:t xml:space="preserve">5.3 Future </w:t>
      </w:r>
      <w:r>
        <w:rPr>
          <w:rFonts w:cs="Times New Roman"/>
          <w:b/>
        </w:rPr>
        <w:t>development of the DWS in the UK</w:t>
      </w:r>
    </w:p>
    <w:p w14:paraId="41CBD5B5" w14:textId="5927AEB4" w:rsidR="00D24BA5" w:rsidRDefault="00D24BA5" w:rsidP="00A4173E">
      <w:pPr>
        <w:ind w:firstLine="720"/>
        <w:rPr>
          <w:rFonts w:cs="Times New Roman"/>
        </w:rPr>
      </w:pPr>
      <w:r>
        <w:rPr>
          <w:rFonts w:cs="Times New Roman"/>
        </w:rPr>
        <w:t xml:space="preserve">Study 2 broadly supported the findings of study 1, </w:t>
      </w:r>
      <w:r w:rsidR="00EC1C2D">
        <w:rPr>
          <w:rFonts w:cs="Times New Roman"/>
        </w:rPr>
        <w:t>and</w:t>
      </w:r>
      <w:r>
        <w:rPr>
          <w:rFonts w:cs="Times New Roman"/>
        </w:rPr>
        <w:t xml:space="preserve"> suggested that the DWS was a valid and relevant measure for the UK. </w:t>
      </w:r>
      <w:r w:rsidR="00185641">
        <w:rPr>
          <w:rFonts w:cs="Times New Roman"/>
        </w:rPr>
        <w:t xml:space="preserve">It raises an important question about the relevance of the access to healthcare component. It will be important to test this further and to consider </w:t>
      </w:r>
      <w:r w:rsidR="00185641">
        <w:rPr>
          <w:rFonts w:cs="Times New Roman"/>
        </w:rPr>
        <w:lastRenderedPageBreak/>
        <w:t xml:space="preserve">whether these items could be dropped when using the instrument in the UK (and potentially in other countries where access to healthcare is not directly linked to work). </w:t>
      </w:r>
    </w:p>
    <w:p w14:paraId="1F896E80" w14:textId="3389701F" w:rsidR="00185641" w:rsidRDefault="00185641" w:rsidP="00A4173E">
      <w:pPr>
        <w:ind w:firstLine="720"/>
        <w:rPr>
          <w:rFonts w:cs="Times New Roman"/>
        </w:rPr>
      </w:pPr>
      <w:r>
        <w:rPr>
          <w:rFonts w:cs="Times New Roman"/>
        </w:rPr>
        <w:t xml:space="preserve">Study 2 also identified nine addition concepts which could potentially be included in a UK measure of decent work (control over working life, career development, job satisfaction, effective management, good match for abilities, access to work related benefits, recognition and status, job security and social aspects of work). </w:t>
      </w:r>
      <w:r w:rsidRPr="00185641">
        <w:rPr>
          <w:rFonts w:cs="Times New Roman"/>
        </w:rPr>
        <w:t>Watson</w:t>
      </w:r>
      <w:r>
        <w:rPr>
          <w:rFonts w:cs="Times New Roman"/>
        </w:rPr>
        <w:t>, Duarte and Glavin</w:t>
      </w:r>
      <w:r w:rsidR="00F8701E">
        <w:rPr>
          <w:rFonts w:cs="Times New Roman"/>
        </w:rPr>
        <w:t xml:space="preserve"> (2011)</w:t>
      </w:r>
      <w:r>
        <w:rPr>
          <w:rFonts w:cs="Times New Roman"/>
        </w:rPr>
        <w:t xml:space="preserve"> </w:t>
      </w:r>
      <w:r w:rsidR="00F8701E">
        <w:rPr>
          <w:rFonts w:cs="Times New Roman"/>
        </w:rPr>
        <w:t xml:space="preserve">make a distinction between </w:t>
      </w:r>
      <w:r w:rsidRPr="00185641">
        <w:rPr>
          <w:rFonts w:cs="Times New Roman"/>
        </w:rPr>
        <w:t>attending to cultural</w:t>
      </w:r>
      <w:r w:rsidR="00F8701E">
        <w:rPr>
          <w:rFonts w:cs="Times New Roman"/>
        </w:rPr>
        <w:t xml:space="preserve"> </w:t>
      </w:r>
      <w:r w:rsidRPr="00185641">
        <w:rPr>
          <w:rFonts w:cs="Times New Roman"/>
        </w:rPr>
        <w:t>validity (does a particular instrument remain valid when used in a different cultural context to</w:t>
      </w:r>
      <w:r w:rsidR="00F8701E">
        <w:rPr>
          <w:rFonts w:cs="Times New Roman"/>
        </w:rPr>
        <w:t xml:space="preserve"> </w:t>
      </w:r>
      <w:r w:rsidRPr="00185641">
        <w:rPr>
          <w:rFonts w:cs="Times New Roman"/>
        </w:rPr>
        <w:t>the one in which it was originated) and attending to cultural specificity (does an instrument</w:t>
      </w:r>
      <w:r w:rsidR="00F8701E">
        <w:rPr>
          <w:rFonts w:cs="Times New Roman"/>
        </w:rPr>
        <w:t xml:space="preserve"> </w:t>
      </w:r>
      <w:r w:rsidRPr="00185641">
        <w:rPr>
          <w:rFonts w:cs="Times New Roman"/>
        </w:rPr>
        <w:t>recognise the concepts that are culturally important and meaningful).</w:t>
      </w:r>
      <w:r w:rsidR="00F8701E">
        <w:rPr>
          <w:rFonts w:cs="Times New Roman"/>
        </w:rPr>
        <w:t xml:space="preserve"> Study 1 demonstrates that the DWS has validity in the UK, but study 2 raises some questions about whether it is sufficiently attending to cultural specificity. </w:t>
      </w:r>
    </w:p>
    <w:p w14:paraId="5C301D02" w14:textId="4AC93335" w:rsidR="00F8701E" w:rsidRDefault="00F8701E" w:rsidP="00A4173E">
      <w:pPr>
        <w:ind w:firstLine="720"/>
        <w:rPr>
          <w:rFonts w:cs="Times New Roman"/>
        </w:rPr>
      </w:pPr>
      <w:r>
        <w:rPr>
          <w:rFonts w:cs="Times New Roman"/>
        </w:rPr>
        <w:t xml:space="preserve">Many of the concepts identified by study 2 can be measured by existing instruments, although not necessarily by instruments that have been validated in the UK. For example, the </w:t>
      </w:r>
      <w:r w:rsidRPr="00B764E7">
        <w:rPr>
          <w:rFonts w:cs="Times New Roman"/>
        </w:rPr>
        <w:t xml:space="preserve">Job </w:t>
      </w:r>
      <w:r w:rsidR="001C7253" w:rsidRPr="00B764E7">
        <w:rPr>
          <w:rFonts w:cs="Times New Roman"/>
        </w:rPr>
        <w:t>S</w:t>
      </w:r>
      <w:r w:rsidRPr="00B764E7">
        <w:rPr>
          <w:rFonts w:cs="Times New Roman"/>
        </w:rPr>
        <w:t xml:space="preserve">atisfaction </w:t>
      </w:r>
      <w:r w:rsidR="001C7253" w:rsidRPr="00B764E7">
        <w:rPr>
          <w:rFonts w:cs="Times New Roman"/>
        </w:rPr>
        <w:t>S</w:t>
      </w:r>
      <w:r w:rsidRPr="00B764E7">
        <w:rPr>
          <w:rFonts w:cs="Times New Roman"/>
        </w:rPr>
        <w:t>cale</w:t>
      </w:r>
      <w:r w:rsidRPr="001C7253">
        <w:rPr>
          <w:rFonts w:cs="Times New Roman"/>
        </w:rPr>
        <w:t xml:space="preserve"> </w:t>
      </w:r>
      <w:r>
        <w:rPr>
          <w:rFonts w:cs="Times New Roman"/>
        </w:rPr>
        <w:t>(Judge, Locke, Durham</w:t>
      </w:r>
      <w:r w:rsidR="00933A25">
        <w:rPr>
          <w:rFonts w:cs="Times New Roman"/>
        </w:rPr>
        <w:t>,</w:t>
      </w:r>
      <w:r>
        <w:rPr>
          <w:rFonts w:cs="Times New Roman"/>
        </w:rPr>
        <w:t xml:space="preserve"> </w:t>
      </w:r>
      <w:r w:rsidR="006F6F76">
        <w:rPr>
          <w:rFonts w:cs="Times New Roman"/>
        </w:rPr>
        <w:t>&amp;</w:t>
      </w:r>
      <w:r>
        <w:rPr>
          <w:rFonts w:cs="Times New Roman"/>
        </w:rPr>
        <w:t xml:space="preserve"> Kluger, 1998) used in this study </w:t>
      </w:r>
      <w:r w:rsidR="001C7253">
        <w:rPr>
          <w:rFonts w:cs="Times New Roman"/>
        </w:rPr>
        <w:t xml:space="preserve">could be used to measure job satisfaction </w:t>
      </w:r>
      <w:r>
        <w:rPr>
          <w:rFonts w:cs="Times New Roman"/>
        </w:rPr>
        <w:t>or the</w:t>
      </w:r>
      <w:r w:rsidR="001C7253">
        <w:rPr>
          <w:rFonts w:cs="Times New Roman"/>
        </w:rPr>
        <w:t xml:space="preserve"> Organisational Constraints Scale (Spector &amp; Jex, 1998) could be used to measure the control over life theme. However, there are other areas such as access to work related benefits where no existing measurements can be identified and where cultural specificity is likely to be paramount. Further development of the DWS which seeks to increase the cultural specificity of the instrument in a UK context will therefore need to consider what additional concepts it would be useful to bring into the instrument, how these concepts interact with those within the existing instrument and how this can be achieved while ensuring that the scale remains parsimonious and usable. </w:t>
      </w:r>
    </w:p>
    <w:p w14:paraId="7EB561BF" w14:textId="316E926C" w:rsidR="001B4F69" w:rsidRPr="00AA30A6" w:rsidRDefault="00FA7884" w:rsidP="00D85CB2">
      <w:pPr>
        <w:rPr>
          <w:rFonts w:cs="Times New Roman"/>
          <w:b/>
        </w:rPr>
      </w:pPr>
      <w:r>
        <w:rPr>
          <w:rFonts w:cs="Times New Roman"/>
          <w:b/>
        </w:rPr>
        <w:t>5</w:t>
      </w:r>
      <w:r w:rsidR="00D85CB2">
        <w:rPr>
          <w:rFonts w:cs="Times New Roman"/>
          <w:b/>
        </w:rPr>
        <w:t>.</w:t>
      </w:r>
      <w:r>
        <w:rPr>
          <w:rFonts w:cs="Times New Roman"/>
          <w:b/>
        </w:rPr>
        <w:t>4</w:t>
      </w:r>
      <w:r w:rsidR="00D85CB2">
        <w:rPr>
          <w:rFonts w:cs="Times New Roman"/>
          <w:b/>
        </w:rPr>
        <w:t xml:space="preserve"> </w:t>
      </w:r>
      <w:r w:rsidR="001B4F69" w:rsidRPr="00AA30A6">
        <w:rPr>
          <w:rFonts w:cs="Times New Roman"/>
          <w:b/>
        </w:rPr>
        <w:t>Limitations</w:t>
      </w:r>
    </w:p>
    <w:p w14:paraId="0F73D121" w14:textId="14837622" w:rsidR="001B4F69" w:rsidRDefault="001B4F69" w:rsidP="00A4173E">
      <w:pPr>
        <w:ind w:firstLine="720"/>
        <w:rPr>
          <w:rFonts w:cs="Times New Roman"/>
        </w:rPr>
      </w:pPr>
      <w:r>
        <w:rPr>
          <w:rFonts w:cs="Times New Roman"/>
        </w:rPr>
        <w:lastRenderedPageBreak/>
        <w:t xml:space="preserve">This study has a number of limitations. </w:t>
      </w:r>
      <w:r w:rsidR="0028768E">
        <w:rPr>
          <w:rFonts w:cs="Times New Roman"/>
        </w:rPr>
        <w:t xml:space="preserve">The DWS is </w:t>
      </w:r>
      <w:r>
        <w:rPr>
          <w:rFonts w:cs="Times New Roman"/>
        </w:rPr>
        <w:t xml:space="preserve">a self-report tool which could be affected by social desirability </w:t>
      </w:r>
      <w:r w:rsidR="004F5A65">
        <w:rPr>
          <w:rFonts w:cs="Times New Roman"/>
        </w:rPr>
        <w:t>bias</w:t>
      </w:r>
      <w:r>
        <w:rPr>
          <w:rFonts w:cs="Times New Roman"/>
        </w:rPr>
        <w:t xml:space="preserve"> (Duffy et al, 2017). In addition</w:t>
      </w:r>
      <w:r w:rsidR="003538CA">
        <w:rPr>
          <w:rFonts w:cs="Times New Roman"/>
        </w:rPr>
        <w:t>, the sample was constructed using</w:t>
      </w:r>
      <w:r w:rsidR="0028768E">
        <w:rPr>
          <w:rFonts w:cs="Times New Roman"/>
        </w:rPr>
        <w:t xml:space="preserve"> </w:t>
      </w:r>
      <w:r>
        <w:rPr>
          <w:rFonts w:cs="Times New Roman"/>
        </w:rPr>
        <w:t xml:space="preserve">purposive snowball sampling rather than a random sampling method which may decrease the representativeness of this sample </w:t>
      </w:r>
      <w:r w:rsidR="003538CA">
        <w:rPr>
          <w:rFonts w:cs="Times New Roman"/>
        </w:rPr>
        <w:t xml:space="preserve">to </w:t>
      </w:r>
      <w:r>
        <w:rPr>
          <w:rFonts w:cs="Times New Roman"/>
        </w:rPr>
        <w:t xml:space="preserve">the UK population. </w:t>
      </w:r>
      <w:r w:rsidR="00B42FA9">
        <w:rPr>
          <w:rFonts w:cs="Times New Roman"/>
        </w:rPr>
        <w:t xml:space="preserve">While the sample was broadly similar to the working population in the UK it was limited by recruitment largely through researcher social media networks. This means that the sample is largely “white collar,” professional and middle class. </w:t>
      </w:r>
      <w:r w:rsidR="00552C46">
        <w:rPr>
          <w:rFonts w:cs="Times New Roman"/>
        </w:rPr>
        <w:t>There</w:t>
      </w:r>
      <w:r w:rsidR="00B42FA9">
        <w:rPr>
          <w:rFonts w:cs="Times New Roman"/>
        </w:rPr>
        <w:t xml:space="preserve"> is a need to conduct future research with rigorous sampling frames and to conduct research on more diverse samples in general.</w:t>
      </w:r>
    </w:p>
    <w:p w14:paraId="49FA3B01" w14:textId="1E28AEEC" w:rsidR="00C133A6" w:rsidRDefault="00C133A6" w:rsidP="00F06952">
      <w:pPr>
        <w:ind w:firstLine="720"/>
        <w:rPr>
          <w:rFonts w:cs="Times New Roman"/>
        </w:rPr>
      </w:pPr>
      <w:r>
        <w:rPr>
          <w:rFonts w:cs="Times New Roman"/>
        </w:rPr>
        <w:t xml:space="preserve">With respect to Study 2 the survey method generated a broad range of data which helped to inform our understanding about UK conceptions of decent work. However, the data was often suggestive of bigger issues and it was impossible to ask follow-up questions. As part of further enquiries into decent work in the UK it would be valuable to include deeper qualitative methods to allow for the generation of richer data and the further exploration of some of the issues </w:t>
      </w:r>
      <w:r w:rsidR="004F5A65">
        <w:rPr>
          <w:rFonts w:cs="Times New Roman"/>
        </w:rPr>
        <w:t xml:space="preserve">identified </w:t>
      </w:r>
      <w:r>
        <w:rPr>
          <w:rFonts w:cs="Times New Roman"/>
        </w:rPr>
        <w:t xml:space="preserve">by this study. </w:t>
      </w:r>
    </w:p>
    <w:p w14:paraId="2882DCC1" w14:textId="77777777" w:rsidR="00F06952" w:rsidRPr="007A6645" w:rsidRDefault="00F06952" w:rsidP="00F06952">
      <w:pPr>
        <w:ind w:firstLine="720"/>
        <w:rPr>
          <w:rFonts w:cs="Times New Roman"/>
        </w:rPr>
      </w:pPr>
      <w:r w:rsidRPr="007A6645">
        <w:rPr>
          <w:rFonts w:cs="Times New Roman"/>
        </w:rPr>
        <w:t xml:space="preserve">It is important to note that due to the low sample size (n=294) the multiple groups testing may be underpowered. This </w:t>
      </w:r>
      <w:r>
        <w:rPr>
          <w:rFonts w:cs="Times New Roman"/>
        </w:rPr>
        <w:t>may</w:t>
      </w:r>
      <w:r w:rsidRPr="007A6645">
        <w:rPr>
          <w:rFonts w:cs="Times New Roman"/>
        </w:rPr>
        <w:t xml:space="preserve"> explain the failure to find group differences in the configural and metric invariance models.</w:t>
      </w:r>
      <w:r>
        <w:rPr>
          <w:rFonts w:cs="Times New Roman"/>
        </w:rPr>
        <w:t xml:space="preserve"> In the future invariance models should be run with larger sample sizes.</w:t>
      </w:r>
    </w:p>
    <w:p w14:paraId="258234EA" w14:textId="66CDD5ED" w:rsidR="00A87127" w:rsidRPr="00BF71F6" w:rsidRDefault="00FA7884" w:rsidP="00DB73AA">
      <w:pPr>
        <w:rPr>
          <w:rFonts w:cs="Times New Roman"/>
          <w:b/>
        </w:rPr>
      </w:pPr>
      <w:r>
        <w:rPr>
          <w:rFonts w:cs="Times New Roman"/>
          <w:b/>
        </w:rPr>
        <w:t>5.5 U</w:t>
      </w:r>
      <w:r w:rsidR="00A87127" w:rsidRPr="00BF71F6">
        <w:rPr>
          <w:rFonts w:cs="Times New Roman"/>
          <w:b/>
        </w:rPr>
        <w:t>sefulness of the DWS in the UK</w:t>
      </w:r>
    </w:p>
    <w:p w14:paraId="3CF57495" w14:textId="1257C2D2" w:rsidR="00220C49" w:rsidRDefault="00220C49" w:rsidP="00A4173E">
      <w:pPr>
        <w:ind w:firstLine="720"/>
        <w:rPr>
          <w:rFonts w:cs="Times New Roman"/>
        </w:rPr>
      </w:pPr>
      <w:r>
        <w:rPr>
          <w:rFonts w:cs="Times New Roman"/>
        </w:rPr>
        <w:t>Decent work has been recognised as a human right (ILO, 1999). However</w:t>
      </w:r>
      <w:r w:rsidR="003538CA">
        <w:rPr>
          <w:rFonts w:cs="Times New Roman"/>
        </w:rPr>
        <w:t>,</w:t>
      </w:r>
      <w:r>
        <w:rPr>
          <w:rFonts w:cs="Times New Roman"/>
        </w:rPr>
        <w:t xml:space="preserve"> challenges to labour market structures and working life, increases in inequality and the rise of precarious work have created threats to decent work (Blustein et al., 2018). </w:t>
      </w:r>
      <w:r w:rsidR="003538CA">
        <w:rPr>
          <w:rFonts w:cs="Times New Roman"/>
        </w:rPr>
        <w:t xml:space="preserve">As we have argued these issues are relevant to the UK and merit further investigation. </w:t>
      </w:r>
      <w:r>
        <w:rPr>
          <w:rFonts w:cs="Times New Roman"/>
        </w:rPr>
        <w:t>This study provides evidence that the DWS is a valid scale for use in</w:t>
      </w:r>
      <w:r w:rsidR="003538CA">
        <w:rPr>
          <w:rFonts w:cs="Times New Roman"/>
        </w:rPr>
        <w:t xml:space="preserve"> such an investigation in</w:t>
      </w:r>
      <w:r>
        <w:rPr>
          <w:rFonts w:cs="Times New Roman"/>
        </w:rPr>
        <w:t xml:space="preserve"> the UK. </w:t>
      </w:r>
      <w:r w:rsidR="004729A5">
        <w:rPr>
          <w:rFonts w:cs="Times New Roman"/>
        </w:rPr>
        <w:t xml:space="preserve">While there are </w:t>
      </w:r>
      <w:r w:rsidR="004D73A0">
        <w:rPr>
          <w:rFonts w:cs="Times New Roman"/>
        </w:rPr>
        <w:t xml:space="preserve">some </w:t>
      </w:r>
      <w:r w:rsidR="004729A5">
        <w:rPr>
          <w:rFonts w:cs="Times New Roman"/>
        </w:rPr>
        <w:lastRenderedPageBreak/>
        <w:t xml:space="preserve">similarities between the UK and the USA in terms of </w:t>
      </w:r>
      <w:r w:rsidR="00CD7488">
        <w:rPr>
          <w:rFonts w:cs="Times New Roman"/>
        </w:rPr>
        <w:t xml:space="preserve">the </w:t>
      </w:r>
      <w:r w:rsidR="004729A5">
        <w:rPr>
          <w:rFonts w:cs="Times New Roman"/>
        </w:rPr>
        <w:t xml:space="preserve">lived experience of work the </w:t>
      </w:r>
      <w:r w:rsidR="004D73A0">
        <w:rPr>
          <w:rFonts w:cs="Times New Roman"/>
        </w:rPr>
        <w:t xml:space="preserve">labour markets and the </w:t>
      </w:r>
      <w:r w:rsidR="004729A5">
        <w:rPr>
          <w:rFonts w:cs="Times New Roman"/>
        </w:rPr>
        <w:t xml:space="preserve">policy and cultural context </w:t>
      </w:r>
      <w:r w:rsidR="004D73A0">
        <w:rPr>
          <w:rFonts w:cs="Times New Roman"/>
        </w:rPr>
        <w:t xml:space="preserve">are </w:t>
      </w:r>
      <w:r w:rsidR="004729A5">
        <w:rPr>
          <w:rFonts w:cs="Times New Roman"/>
        </w:rPr>
        <w:t xml:space="preserve">distinct. There may be scope for further iterations of the scale or complementary scale development in order to fully measure the </w:t>
      </w:r>
      <w:r w:rsidR="004D73A0">
        <w:rPr>
          <w:rFonts w:cs="Times New Roman"/>
        </w:rPr>
        <w:t xml:space="preserve">cultural specificity of </w:t>
      </w:r>
      <w:r w:rsidR="00A82387">
        <w:rPr>
          <w:rFonts w:cs="Times New Roman"/>
        </w:rPr>
        <w:t>working lives in the UK.</w:t>
      </w:r>
    </w:p>
    <w:p w14:paraId="52DB6472" w14:textId="4BD9A08F" w:rsidR="006E13B8" w:rsidRDefault="00395BC3" w:rsidP="00A4173E">
      <w:pPr>
        <w:ind w:firstLine="720"/>
        <w:rPr>
          <w:rFonts w:cs="Times New Roman"/>
        </w:rPr>
      </w:pPr>
      <w:r>
        <w:rPr>
          <w:rFonts w:cs="Times New Roman"/>
        </w:rPr>
        <w:t>In order to further develop and test the scale</w:t>
      </w:r>
      <w:r w:rsidR="004C1DC4">
        <w:rPr>
          <w:rFonts w:cs="Times New Roman"/>
        </w:rPr>
        <w:t xml:space="preserve"> in the UK</w:t>
      </w:r>
      <w:r>
        <w:rPr>
          <w:rFonts w:cs="Times New Roman"/>
        </w:rPr>
        <w:t xml:space="preserve"> it would be important for researchers to test the </w:t>
      </w:r>
      <w:r w:rsidR="004C1DC4">
        <w:rPr>
          <w:rFonts w:cs="Times New Roman"/>
        </w:rPr>
        <w:t>relationship between decent work</w:t>
      </w:r>
      <w:r>
        <w:rPr>
          <w:rFonts w:cs="Times New Roman"/>
        </w:rPr>
        <w:t xml:space="preserve"> with measure</w:t>
      </w:r>
      <w:r w:rsidR="004C1DC4">
        <w:rPr>
          <w:rFonts w:cs="Times New Roman"/>
        </w:rPr>
        <w:t>s of subjective wellbeing such as</w:t>
      </w:r>
      <w:r>
        <w:rPr>
          <w:rFonts w:cs="Times New Roman"/>
        </w:rPr>
        <w:t xml:space="preserve"> life sati</w:t>
      </w:r>
      <w:r w:rsidR="004C1DC4">
        <w:rPr>
          <w:rFonts w:cs="Times New Roman"/>
        </w:rPr>
        <w:t>sfaction. This is an important proposition of the PWT</w:t>
      </w:r>
      <w:r w:rsidR="00CB3081">
        <w:rPr>
          <w:rFonts w:cs="Times New Roman"/>
        </w:rPr>
        <w:t xml:space="preserve"> and is considered an outcome of securing decent work (Duffy et al., 2016). </w:t>
      </w:r>
      <w:r w:rsidR="003A1983">
        <w:rPr>
          <w:rFonts w:cs="Times New Roman"/>
        </w:rPr>
        <w:t xml:space="preserve">Components that can be operationalised at the individual level such as access to professional development opportunities and experience of </w:t>
      </w:r>
      <w:r w:rsidR="00400D75">
        <w:rPr>
          <w:rFonts w:cs="Times New Roman"/>
        </w:rPr>
        <w:t xml:space="preserve">transparent </w:t>
      </w:r>
      <w:r w:rsidR="003A1983">
        <w:rPr>
          <w:rFonts w:cs="Times New Roman"/>
        </w:rPr>
        <w:t xml:space="preserve">workplace structures (among others) </w:t>
      </w:r>
      <w:r w:rsidR="0032467F">
        <w:rPr>
          <w:rFonts w:cs="Times New Roman"/>
        </w:rPr>
        <w:t>could</w:t>
      </w:r>
      <w:r w:rsidR="003A1983">
        <w:rPr>
          <w:rFonts w:cs="Times New Roman"/>
        </w:rPr>
        <w:t xml:space="preserve"> be developed and tested alongside the DWS.</w:t>
      </w:r>
      <w:r w:rsidR="002E6108">
        <w:rPr>
          <w:rFonts w:cs="Times New Roman"/>
        </w:rPr>
        <w:t xml:space="preserve"> </w:t>
      </w:r>
    </w:p>
    <w:p w14:paraId="021407FA" w14:textId="5D6FEF31" w:rsidR="002E6108" w:rsidRDefault="002E6108" w:rsidP="00A4173E">
      <w:pPr>
        <w:ind w:firstLine="720"/>
        <w:rPr>
          <w:rFonts w:cs="Times New Roman"/>
        </w:rPr>
      </w:pPr>
      <w:r>
        <w:rPr>
          <w:rFonts w:cs="Times New Roman"/>
        </w:rPr>
        <w:t>As scholarship moves forward</w:t>
      </w:r>
      <w:r w:rsidR="000334A2">
        <w:rPr>
          <w:rFonts w:cs="Times New Roman"/>
        </w:rPr>
        <w:t>,</w:t>
      </w:r>
      <w:r>
        <w:rPr>
          <w:rFonts w:cs="Times New Roman"/>
        </w:rPr>
        <w:t xml:space="preserve"> further research into the PWT within the UK context </w:t>
      </w:r>
      <w:r w:rsidR="000334A2">
        <w:rPr>
          <w:rFonts w:cs="Times New Roman"/>
        </w:rPr>
        <w:t>should</w:t>
      </w:r>
      <w:r>
        <w:rPr>
          <w:rFonts w:cs="Times New Roman"/>
        </w:rPr>
        <w:t xml:space="preserve"> be undertaken. Other variables which</w:t>
      </w:r>
      <w:r w:rsidR="009E273F">
        <w:rPr>
          <w:rFonts w:cs="Times New Roman"/>
        </w:rPr>
        <w:t xml:space="preserve"> have been tested in the US and</w:t>
      </w:r>
      <w:r>
        <w:rPr>
          <w:rFonts w:cs="Times New Roman"/>
        </w:rPr>
        <w:t xml:space="preserve"> serve as </w:t>
      </w:r>
      <w:r w:rsidR="009E273F">
        <w:rPr>
          <w:rFonts w:cs="Times New Roman"/>
        </w:rPr>
        <w:t xml:space="preserve">theoretical </w:t>
      </w:r>
      <w:r>
        <w:rPr>
          <w:rFonts w:cs="Times New Roman"/>
        </w:rPr>
        <w:t>moderators</w:t>
      </w:r>
      <w:r w:rsidR="009E273F">
        <w:rPr>
          <w:rFonts w:cs="Times New Roman"/>
        </w:rPr>
        <w:t xml:space="preserve"> or mediators</w:t>
      </w:r>
      <w:r>
        <w:rPr>
          <w:rFonts w:cs="Times New Roman"/>
        </w:rPr>
        <w:t xml:space="preserve"> to decent work such as proactive personality, critical consciousness, social support</w:t>
      </w:r>
      <w:r w:rsidR="009E273F">
        <w:rPr>
          <w:rFonts w:cs="Times New Roman"/>
        </w:rPr>
        <w:t>, work volition and career adaptability</w:t>
      </w:r>
      <w:r>
        <w:rPr>
          <w:rFonts w:cs="Times New Roman"/>
        </w:rPr>
        <w:t xml:space="preserve"> could be modelled </w:t>
      </w:r>
      <w:r w:rsidR="00946FE5">
        <w:rPr>
          <w:rFonts w:cs="Times New Roman"/>
        </w:rPr>
        <w:t>in order to test the theories</w:t>
      </w:r>
      <w:r w:rsidR="009E273F">
        <w:rPr>
          <w:rFonts w:cs="Times New Roman"/>
        </w:rPr>
        <w:t xml:space="preserve"> central to PWT (see Allan, Tebbe, Bouchard</w:t>
      </w:r>
      <w:r w:rsidR="006F6F76">
        <w:rPr>
          <w:rFonts w:cs="Times New Roman"/>
        </w:rPr>
        <w:t>,</w:t>
      </w:r>
      <w:r w:rsidR="009E273F">
        <w:rPr>
          <w:rFonts w:cs="Times New Roman"/>
        </w:rPr>
        <w:t xml:space="preserve"> &amp; Duffy, 2018; Douglass, Velez, Conlin Duffy, &amp; England, 2017; Tokar &amp; Kaut, 2018).</w:t>
      </w:r>
      <w:r w:rsidR="0072543B">
        <w:rPr>
          <w:rFonts w:cs="Times New Roman"/>
        </w:rPr>
        <w:t xml:space="preserve"> As the UK continues to enjoy high levels of employment it provides an opportunity to further test moderator variable such as economic conditions within the PWT model.  </w:t>
      </w:r>
    </w:p>
    <w:p w14:paraId="59704A6E" w14:textId="0DFA8DB2" w:rsidR="003538CA" w:rsidRDefault="003538CA" w:rsidP="00A4173E">
      <w:pPr>
        <w:ind w:firstLine="720"/>
        <w:rPr>
          <w:rFonts w:cs="Times New Roman"/>
        </w:rPr>
      </w:pPr>
      <w:r>
        <w:rPr>
          <w:rFonts w:cs="Times New Roman"/>
        </w:rPr>
        <w:t xml:space="preserve">Another important area for investigation is the relationship between </w:t>
      </w:r>
      <w:r w:rsidR="00BD0EAD">
        <w:rPr>
          <w:rFonts w:cs="Times New Roman"/>
        </w:rPr>
        <w:t xml:space="preserve">the ILO’s measurement of decent work as an objective measure of labour market conditions and decent work as a psychological construct as measured by the DWS. Is it possible for someone to be working in objectively indecent conditions but still to feel that they have decent work? Such tensions have important political consequences and open up more critical investigations about how consent and acquiescence is brought about in systems where workers often face inequality and oppression.   </w:t>
      </w:r>
    </w:p>
    <w:p w14:paraId="3DC3805F" w14:textId="462A4A4E" w:rsidR="003538CA" w:rsidRDefault="003538CA" w:rsidP="00A4173E">
      <w:pPr>
        <w:ind w:firstLine="720"/>
        <w:rPr>
          <w:rFonts w:cs="Times New Roman"/>
        </w:rPr>
      </w:pPr>
      <w:r>
        <w:rPr>
          <w:rFonts w:cs="Times New Roman"/>
        </w:rPr>
        <w:t xml:space="preserve">Substantively the validation of the DWS in the UK </w:t>
      </w:r>
      <w:r w:rsidR="006F6F76">
        <w:rPr>
          <w:rFonts w:cs="Times New Roman"/>
        </w:rPr>
        <w:t>opens</w:t>
      </w:r>
      <w:r>
        <w:rPr>
          <w:rFonts w:cs="Times New Roman"/>
        </w:rPr>
        <w:t xml:space="preserve"> the possibility of looking at the different psychologies of working of different groups within the country. For example</w:t>
      </w:r>
      <w:r w:rsidR="0028768E">
        <w:rPr>
          <w:rFonts w:cs="Times New Roman"/>
        </w:rPr>
        <w:t>,</w:t>
      </w:r>
      <w:r>
        <w:rPr>
          <w:rFonts w:cs="Times New Roman"/>
        </w:rPr>
        <w:t xml:space="preserve"> it would be interesting to use the scale to investigate substantive differences in decent work between different groups in the UK this might include examination of gender, class, income, sector and geographical factors amongst some other issues. In the light of the Taylor review it would also be interesting to quantify decent work in relation to those in gig and precarious work as opposed to those in more stable forms of work. </w:t>
      </w:r>
    </w:p>
    <w:p w14:paraId="455A02E2" w14:textId="4AD8C67E" w:rsidR="004D73A0" w:rsidRDefault="004D73A0" w:rsidP="00A4173E">
      <w:pPr>
        <w:ind w:firstLine="720"/>
        <w:rPr>
          <w:rFonts w:cs="Times New Roman"/>
        </w:rPr>
      </w:pPr>
      <w:r>
        <w:rPr>
          <w:rFonts w:cs="Times New Roman"/>
        </w:rPr>
        <w:t xml:space="preserve">Finally, the use of the DWS within career interventions could be usefully explored. There has been a growing movement to consider how career development interventions could be used to foster critical consciousness and support social justice (Hooley, Sultana &amp; Thompson, 2018). The DWS has the potential to serve as a useful reflective tool within career development interventions helping educators and counsellors to </w:t>
      </w:r>
      <w:r w:rsidR="00696B24">
        <w:rPr>
          <w:rFonts w:cs="Times New Roman"/>
        </w:rPr>
        <w:t xml:space="preserve">open up questions about the decency of work and to move discussion of these issues beyond an individual frame. Because the concept of decent work is rooted in an analysis of objective labour market conditions and a political attempt to place some limits around oppression, the measurement and reflection on individuals experience of decent work has the potential to be empowering. </w:t>
      </w:r>
    </w:p>
    <w:p w14:paraId="7943B573" w14:textId="7A7EA678" w:rsidR="00696B24" w:rsidRDefault="00696B24" w:rsidP="00A4173E">
      <w:pPr>
        <w:ind w:firstLine="720"/>
        <w:rPr>
          <w:rFonts w:cs="Times New Roman"/>
        </w:rPr>
      </w:pPr>
      <w:r>
        <w:rPr>
          <w:rFonts w:cs="Times New Roman"/>
        </w:rPr>
        <w:t xml:space="preserve">This article </w:t>
      </w:r>
      <w:r w:rsidR="009410A3">
        <w:rPr>
          <w:rFonts w:cs="Times New Roman"/>
        </w:rPr>
        <w:t>argues</w:t>
      </w:r>
      <w:r>
        <w:rPr>
          <w:rFonts w:cs="Times New Roman"/>
        </w:rPr>
        <w:t xml:space="preserve"> that the </w:t>
      </w:r>
      <w:r w:rsidR="004C46AB">
        <w:rPr>
          <w:rFonts w:cs="Times New Roman"/>
        </w:rPr>
        <w:t>DWS</w:t>
      </w:r>
      <w:r>
        <w:rPr>
          <w:rFonts w:cs="Times New Roman"/>
        </w:rPr>
        <w:t xml:space="preserve"> offers a useful tool which can be deployed in a UK context. We have made </w:t>
      </w:r>
      <w:r w:rsidR="009410A3">
        <w:rPr>
          <w:rFonts w:cs="Times New Roman"/>
        </w:rPr>
        <w:t>several</w:t>
      </w:r>
      <w:r>
        <w:rPr>
          <w:rFonts w:cs="Times New Roman"/>
        </w:rPr>
        <w:t xml:space="preserve"> suggestions of way</w:t>
      </w:r>
      <w:r w:rsidR="009410A3">
        <w:rPr>
          <w:rFonts w:cs="Times New Roman"/>
        </w:rPr>
        <w:t>s</w:t>
      </w:r>
      <w:r>
        <w:rPr>
          <w:rFonts w:cs="Times New Roman"/>
        </w:rPr>
        <w:t xml:space="preserve"> in which the scale might be iterated and improved, but it is also important to assert that it adds a useful tool to the toolbox of UK based career researchers and career practitioners. It is hoped that researchers will make use of it and continue the tools development in the future.</w:t>
      </w:r>
    </w:p>
    <w:p w14:paraId="6AA39185" w14:textId="77777777" w:rsidR="00EE6197" w:rsidRDefault="00EE6197">
      <w:pPr>
        <w:spacing w:line="259" w:lineRule="auto"/>
        <w:rPr>
          <w:rFonts w:cs="Times New Roman"/>
          <w:szCs w:val="24"/>
        </w:rPr>
      </w:pPr>
      <w:r>
        <w:rPr>
          <w:rFonts w:cs="Times New Roman"/>
          <w:szCs w:val="24"/>
        </w:rPr>
        <w:br w:type="page"/>
      </w:r>
    </w:p>
    <w:p w14:paraId="51E2C191" w14:textId="3AB3A1F6" w:rsidR="00BC78AC" w:rsidRPr="006260B8" w:rsidRDefault="006260B8" w:rsidP="00A4173E">
      <w:pPr>
        <w:jc w:val="center"/>
        <w:rPr>
          <w:rFonts w:cs="Times New Roman"/>
          <w:b/>
          <w:szCs w:val="24"/>
        </w:rPr>
      </w:pPr>
      <w:r>
        <w:rPr>
          <w:rFonts w:cs="Times New Roman"/>
          <w:b/>
          <w:szCs w:val="24"/>
        </w:rPr>
        <w:t xml:space="preserve">6. </w:t>
      </w:r>
      <w:r w:rsidR="00BC78AC" w:rsidRPr="006260B8">
        <w:rPr>
          <w:rFonts w:cs="Times New Roman"/>
          <w:b/>
          <w:szCs w:val="24"/>
        </w:rPr>
        <w:t>References</w:t>
      </w:r>
    </w:p>
    <w:p w14:paraId="02A1539F" w14:textId="38D08A35" w:rsidR="00222E32" w:rsidRDefault="00222E32" w:rsidP="00044334">
      <w:pPr>
        <w:spacing w:after="0"/>
        <w:ind w:left="720" w:hanging="720"/>
        <w:rPr>
          <w:rFonts w:cs="Times New Roman"/>
          <w:szCs w:val="24"/>
        </w:rPr>
      </w:pPr>
      <w:r w:rsidRPr="00222E32">
        <w:rPr>
          <w:rFonts w:cs="Times New Roman"/>
          <w:szCs w:val="24"/>
        </w:rPr>
        <w:t xml:space="preserve">Adler, N. E., Epel, E. S., Castellazzo, G., &amp; Ickovics, J. R. (2000). Relationship of subjective and objective social status with psychological and physiological functioning: Preliminary data in healthy, White women. </w:t>
      </w:r>
      <w:r w:rsidRPr="00B764E7">
        <w:rPr>
          <w:rFonts w:cs="Times New Roman"/>
          <w:i/>
          <w:szCs w:val="24"/>
        </w:rPr>
        <w:t>Health Psychology</w:t>
      </w:r>
      <w:r w:rsidRPr="00222E32">
        <w:rPr>
          <w:rFonts w:cs="Times New Roman"/>
          <w:szCs w:val="24"/>
        </w:rPr>
        <w:t>,</w:t>
      </w:r>
      <w:r w:rsidRPr="004C46AB">
        <w:rPr>
          <w:rFonts w:cs="Times New Roman"/>
          <w:i/>
          <w:szCs w:val="24"/>
        </w:rPr>
        <w:t xml:space="preserve"> 19</w:t>
      </w:r>
      <w:r w:rsidRPr="00222E32">
        <w:rPr>
          <w:rFonts w:cs="Times New Roman"/>
          <w:szCs w:val="24"/>
        </w:rPr>
        <w:t>(6), 586-592.</w:t>
      </w:r>
      <w:r w:rsidR="000F7814">
        <w:rPr>
          <w:rFonts w:cs="Times New Roman"/>
          <w:szCs w:val="24"/>
        </w:rPr>
        <w:t xml:space="preserve"> </w:t>
      </w:r>
      <w:hyperlink r:id="rId11" w:history="1">
        <w:r w:rsidR="000F7814" w:rsidRPr="00706316">
          <w:rPr>
            <w:rStyle w:val="Hyperlink"/>
            <w:rFonts w:cs="Times New Roman"/>
            <w:szCs w:val="24"/>
          </w:rPr>
          <w:t>http://dx.doi.org/10.1037/0278-6133.19.6.586</w:t>
        </w:r>
      </w:hyperlink>
      <w:r w:rsidR="000F7814">
        <w:rPr>
          <w:rFonts w:cs="Times New Roman"/>
          <w:szCs w:val="24"/>
        </w:rPr>
        <w:t xml:space="preserve"> </w:t>
      </w:r>
    </w:p>
    <w:p w14:paraId="0C492985" w14:textId="2ADCFC99" w:rsidR="00F702E2" w:rsidRDefault="00F702E2" w:rsidP="00044334">
      <w:pPr>
        <w:spacing w:after="0"/>
        <w:ind w:left="720" w:hanging="720"/>
        <w:rPr>
          <w:rFonts w:cs="Times New Roman"/>
          <w:szCs w:val="24"/>
        </w:rPr>
      </w:pPr>
      <w:r w:rsidRPr="00F702E2">
        <w:rPr>
          <w:rFonts w:cs="Times New Roman"/>
          <w:szCs w:val="24"/>
        </w:rPr>
        <w:t>Angrosino, M. (2007)</w:t>
      </w:r>
      <w:r>
        <w:rPr>
          <w:rFonts w:cs="Times New Roman"/>
          <w:szCs w:val="24"/>
        </w:rPr>
        <w:t>.</w:t>
      </w:r>
      <w:r w:rsidRPr="00F702E2">
        <w:rPr>
          <w:rFonts w:cs="Times New Roman"/>
          <w:szCs w:val="24"/>
        </w:rPr>
        <w:t xml:space="preserve"> </w:t>
      </w:r>
      <w:r w:rsidRPr="00510FCE">
        <w:rPr>
          <w:rFonts w:cs="Times New Roman"/>
          <w:i/>
          <w:szCs w:val="24"/>
        </w:rPr>
        <w:t>Doing ethnographic and observational research</w:t>
      </w:r>
      <w:r w:rsidRPr="00F702E2">
        <w:rPr>
          <w:rFonts w:cs="Times New Roman"/>
          <w:szCs w:val="24"/>
        </w:rPr>
        <w:t>. London: Sage Publications.</w:t>
      </w:r>
    </w:p>
    <w:p w14:paraId="0328B351" w14:textId="2DBB7A22" w:rsidR="00BC78AC" w:rsidRPr="000B1DE6" w:rsidRDefault="00BC78AC" w:rsidP="00044334">
      <w:pPr>
        <w:spacing w:after="0"/>
        <w:ind w:left="720" w:hanging="720"/>
        <w:rPr>
          <w:rFonts w:cs="Times New Roman"/>
          <w:szCs w:val="24"/>
        </w:rPr>
      </w:pPr>
      <w:r w:rsidRPr="000B1DE6">
        <w:rPr>
          <w:rFonts w:cs="Times New Roman"/>
          <w:szCs w:val="24"/>
        </w:rPr>
        <w:t>Allan, B. A., Tebbe, E., Bouchard, L. M., &amp; Duffy, R. D. (2018). Access to decent and meaningful work in a sexual minority population.</w:t>
      </w:r>
      <w:r w:rsidRPr="000B1DE6">
        <w:rPr>
          <w:rFonts w:cs="Times New Roman"/>
          <w:i/>
          <w:szCs w:val="24"/>
        </w:rPr>
        <w:t xml:space="preserve"> Journal of Career Assessment</w:t>
      </w:r>
      <w:r w:rsidRPr="000B1DE6">
        <w:rPr>
          <w:rFonts w:cs="Times New Roman"/>
          <w:szCs w:val="24"/>
        </w:rPr>
        <w:t>. Advance online publication.</w:t>
      </w:r>
      <w:r w:rsidR="00D84957">
        <w:rPr>
          <w:rFonts w:cs="Times New Roman"/>
          <w:szCs w:val="24"/>
        </w:rPr>
        <w:t xml:space="preserve"> </w:t>
      </w:r>
      <w:hyperlink r:id="rId12" w:history="1">
        <w:r w:rsidR="00D84957" w:rsidRPr="00D84957">
          <w:rPr>
            <w:rStyle w:val="Hyperlink"/>
            <w:rFonts w:cs="Times New Roman"/>
            <w:szCs w:val="24"/>
          </w:rPr>
          <w:t>https://doi.org/10.1177/1069072718758064</w:t>
        </w:r>
      </w:hyperlink>
    </w:p>
    <w:p w14:paraId="1C7BC179" w14:textId="0E100F58" w:rsidR="00C133A6" w:rsidRDefault="00C133A6" w:rsidP="00044334">
      <w:pPr>
        <w:ind w:left="709" w:hanging="720"/>
      </w:pPr>
      <w:r>
        <w:t xml:space="preserve">Arendt, H. (1958). </w:t>
      </w:r>
      <w:r w:rsidR="00A008B6">
        <w:rPr>
          <w:i/>
        </w:rPr>
        <w:t>The human c</w:t>
      </w:r>
      <w:r w:rsidRPr="00ED27CF">
        <w:rPr>
          <w:i/>
        </w:rPr>
        <w:t>ondition</w:t>
      </w:r>
      <w:r>
        <w:t xml:space="preserve">. Chicago: University of Chicago Press. </w:t>
      </w:r>
    </w:p>
    <w:p w14:paraId="19296908" w14:textId="4CB1194F" w:rsidR="00E35D34" w:rsidRPr="00C133A6" w:rsidRDefault="00E35D34" w:rsidP="00044334">
      <w:pPr>
        <w:ind w:left="709" w:hanging="720"/>
      </w:pPr>
      <w:r w:rsidRPr="00E35D34">
        <w:t xml:space="preserve">Atkeson, L. R., Adams, A. N., &amp; Alvarez, R. M. (2018). Mixing </w:t>
      </w:r>
      <w:r w:rsidR="00A45C13">
        <w:t>s</w:t>
      </w:r>
      <w:r w:rsidRPr="00E35D34">
        <w:t xml:space="preserve">urvey </w:t>
      </w:r>
      <w:r w:rsidR="00A45C13">
        <w:t>m</w:t>
      </w:r>
      <w:r w:rsidRPr="00E35D34">
        <w:t xml:space="preserve">odes and </w:t>
      </w:r>
      <w:r w:rsidR="00A45C13">
        <w:t>i</w:t>
      </w:r>
      <w:r w:rsidRPr="00E35D34">
        <w:t xml:space="preserve">ts </w:t>
      </w:r>
      <w:r w:rsidR="00A45C13">
        <w:t>i</w:t>
      </w:r>
      <w:r w:rsidRPr="00E35D34">
        <w:t xml:space="preserve">mplications. In </w:t>
      </w:r>
      <w:r w:rsidR="00A45C13">
        <w:t xml:space="preserve">Atkeson, L.R. </w:t>
      </w:r>
      <w:r w:rsidR="00A45C13" w:rsidRPr="00E35D34">
        <w:t>&amp; Alvarez, R. M. (</w:t>
      </w:r>
      <w:r w:rsidR="00A45C13">
        <w:t>Eds.</w:t>
      </w:r>
      <w:r w:rsidR="00A45C13" w:rsidRPr="00E35D34">
        <w:t>)</w:t>
      </w:r>
      <w:r w:rsidR="00A45C13">
        <w:t xml:space="preserve"> </w:t>
      </w:r>
      <w:r w:rsidRPr="00510FCE">
        <w:rPr>
          <w:i/>
        </w:rPr>
        <w:t>The Oxford Handbook of Polling and Survey Methods</w:t>
      </w:r>
      <w:r w:rsidR="00A45C13">
        <w:rPr>
          <w:i/>
        </w:rPr>
        <w:t xml:space="preserve"> </w:t>
      </w:r>
      <w:r w:rsidR="00A45C13" w:rsidRPr="00E35D34">
        <w:t>(p</w:t>
      </w:r>
      <w:r w:rsidR="00A45C13">
        <w:t>p</w:t>
      </w:r>
      <w:r w:rsidR="00A45C13" w:rsidRPr="00E35D34">
        <w:t>.53</w:t>
      </w:r>
      <w:r w:rsidR="00A45C13">
        <w:t>-75</w:t>
      </w:r>
      <w:r w:rsidR="00A45C13" w:rsidRPr="00E35D34">
        <w:t>)</w:t>
      </w:r>
      <w:r w:rsidRPr="00E35D34">
        <w:t xml:space="preserve">. </w:t>
      </w:r>
      <w:r w:rsidR="00A45C13">
        <w:t xml:space="preserve">Oxford: </w:t>
      </w:r>
      <w:r w:rsidRPr="00E35D34">
        <w:t>Oxford University Press.</w:t>
      </w:r>
    </w:p>
    <w:p w14:paraId="4B73E385" w14:textId="5F6550C7" w:rsidR="00BC78AC" w:rsidRDefault="00BC78AC" w:rsidP="00044334">
      <w:pPr>
        <w:autoSpaceDE w:val="0"/>
        <w:autoSpaceDN w:val="0"/>
        <w:adjustRightInd w:val="0"/>
        <w:spacing w:after="0"/>
        <w:ind w:left="720" w:hanging="720"/>
        <w:rPr>
          <w:rFonts w:cs="Times New Roman"/>
          <w:szCs w:val="24"/>
        </w:rPr>
      </w:pPr>
      <w:r w:rsidRPr="000B1DE6">
        <w:rPr>
          <w:rFonts w:cs="Times New Roman"/>
          <w:szCs w:val="24"/>
        </w:rPr>
        <w:t>Autin, K. L., Douglass, R. P., Duffy, R. D., England, J. W., &amp; Allan, B. A. (2017).</w:t>
      </w:r>
      <w:r>
        <w:rPr>
          <w:rFonts w:cs="Times New Roman"/>
          <w:szCs w:val="24"/>
        </w:rPr>
        <w:t xml:space="preserve"> Subjective social status, work </w:t>
      </w:r>
      <w:r w:rsidRPr="000B1DE6">
        <w:rPr>
          <w:rFonts w:cs="Times New Roman"/>
          <w:szCs w:val="24"/>
        </w:rPr>
        <w:t>volition, and career adaptability: A</w:t>
      </w:r>
      <w:r>
        <w:rPr>
          <w:rFonts w:cs="Times New Roman"/>
          <w:szCs w:val="24"/>
        </w:rPr>
        <w:t xml:space="preserve"> longitudinal study. </w:t>
      </w:r>
      <w:r w:rsidRPr="00DE11D0">
        <w:rPr>
          <w:rFonts w:cs="Times New Roman"/>
          <w:i/>
          <w:szCs w:val="24"/>
        </w:rPr>
        <w:t>Journal of Vocational Behavior, 99</w:t>
      </w:r>
      <w:r>
        <w:rPr>
          <w:rFonts w:cs="Times New Roman"/>
          <w:szCs w:val="24"/>
        </w:rPr>
        <w:t>, 1–10.</w:t>
      </w:r>
      <w:r w:rsidR="000F748E">
        <w:rPr>
          <w:rFonts w:cs="Times New Roman"/>
          <w:szCs w:val="24"/>
        </w:rPr>
        <w:t xml:space="preserve"> </w:t>
      </w:r>
      <w:hyperlink r:id="rId13" w:tgtFrame="_blank" w:tooltip="Persistent link using digital object identifier" w:history="1">
        <w:r w:rsidR="000F748E" w:rsidRPr="000F748E">
          <w:rPr>
            <w:rStyle w:val="Hyperlink"/>
            <w:rFonts w:cs="Times New Roman"/>
            <w:szCs w:val="24"/>
          </w:rPr>
          <w:t>https://doi.org/10.1016/j.jvb.2016.11.007</w:t>
        </w:r>
      </w:hyperlink>
    </w:p>
    <w:p w14:paraId="7F9B6F0B" w14:textId="264E8F01" w:rsidR="00BC78AC" w:rsidRDefault="00BC78AC" w:rsidP="00044334">
      <w:pPr>
        <w:pStyle w:val="NoSpacing"/>
        <w:spacing w:line="480" w:lineRule="auto"/>
        <w:ind w:left="720" w:hanging="720"/>
        <w:rPr>
          <w:rFonts w:ascii="Times New Roman" w:hAnsi="Times New Roman" w:cs="Times New Roman"/>
          <w:color w:val="141413"/>
          <w:sz w:val="24"/>
          <w:szCs w:val="24"/>
        </w:rPr>
      </w:pPr>
      <w:r w:rsidRPr="000B1DE6">
        <w:rPr>
          <w:rFonts w:ascii="Times New Roman" w:hAnsi="Times New Roman" w:cs="Times New Roman"/>
          <w:color w:val="141413"/>
          <w:sz w:val="24"/>
          <w:szCs w:val="24"/>
        </w:rPr>
        <w:t>Bell, D. and Blanchflower, D. (2010)</w:t>
      </w:r>
      <w:r w:rsidR="00696B24">
        <w:rPr>
          <w:rFonts w:ascii="Times New Roman" w:hAnsi="Times New Roman" w:cs="Times New Roman"/>
          <w:color w:val="141413"/>
          <w:sz w:val="24"/>
          <w:szCs w:val="24"/>
        </w:rPr>
        <w:t>.</w:t>
      </w:r>
      <w:r w:rsidRPr="000B1DE6">
        <w:rPr>
          <w:rFonts w:ascii="Times New Roman" w:hAnsi="Times New Roman" w:cs="Times New Roman"/>
          <w:color w:val="141413"/>
          <w:sz w:val="24"/>
          <w:szCs w:val="24"/>
        </w:rPr>
        <w:t xml:space="preserve"> UK Un- emp</w:t>
      </w:r>
      <w:r>
        <w:rPr>
          <w:rFonts w:ascii="Times New Roman" w:hAnsi="Times New Roman" w:cs="Times New Roman"/>
          <w:color w:val="141413"/>
          <w:sz w:val="24"/>
          <w:szCs w:val="24"/>
        </w:rPr>
        <w:t>loyment in the Great Recession.</w:t>
      </w:r>
      <w:r w:rsidRPr="000B1DE6">
        <w:rPr>
          <w:rFonts w:ascii="Times New Roman" w:hAnsi="Times New Roman" w:cs="Times New Roman"/>
          <w:color w:val="141413"/>
          <w:sz w:val="24"/>
          <w:szCs w:val="24"/>
        </w:rPr>
        <w:t xml:space="preserve"> </w:t>
      </w:r>
      <w:r w:rsidRPr="00DE11D0">
        <w:rPr>
          <w:rFonts w:ascii="Times New Roman" w:hAnsi="Times New Roman" w:cs="Times New Roman"/>
          <w:i/>
          <w:color w:val="141413"/>
          <w:sz w:val="24"/>
          <w:szCs w:val="24"/>
        </w:rPr>
        <w:t>National</w:t>
      </w:r>
      <w:r w:rsidR="004C46AB">
        <w:rPr>
          <w:rFonts w:ascii="Times New Roman" w:hAnsi="Times New Roman" w:cs="Times New Roman"/>
          <w:i/>
          <w:color w:val="141413"/>
          <w:sz w:val="24"/>
          <w:szCs w:val="24"/>
        </w:rPr>
        <w:t xml:space="preserve"> Institute Economic Review, 214</w:t>
      </w:r>
      <w:r>
        <w:rPr>
          <w:rFonts w:ascii="Times New Roman" w:hAnsi="Times New Roman" w:cs="Times New Roman"/>
          <w:color w:val="141413"/>
          <w:sz w:val="24"/>
          <w:szCs w:val="24"/>
        </w:rPr>
        <w:t>(1),</w:t>
      </w:r>
      <w:r w:rsidRPr="000B1DE6">
        <w:rPr>
          <w:rFonts w:ascii="Times New Roman" w:hAnsi="Times New Roman" w:cs="Times New Roman"/>
          <w:color w:val="141413"/>
          <w:sz w:val="24"/>
          <w:szCs w:val="24"/>
        </w:rPr>
        <w:t xml:space="preserve"> R3–25.</w:t>
      </w:r>
      <w:r w:rsidR="009D199E">
        <w:rPr>
          <w:rFonts w:ascii="Times New Roman" w:hAnsi="Times New Roman" w:cs="Times New Roman"/>
          <w:color w:val="141413"/>
          <w:sz w:val="24"/>
          <w:szCs w:val="24"/>
        </w:rPr>
        <w:t xml:space="preserve"> </w:t>
      </w:r>
      <w:hyperlink r:id="rId14" w:history="1">
        <w:r w:rsidR="009D199E" w:rsidRPr="009D199E">
          <w:rPr>
            <w:rStyle w:val="Hyperlink"/>
            <w:rFonts w:ascii="Times New Roman" w:hAnsi="Times New Roman" w:cs="Times New Roman"/>
            <w:sz w:val="24"/>
            <w:szCs w:val="24"/>
          </w:rPr>
          <w:t>https://doi.org/10.1177/0027950110389755</w:t>
        </w:r>
      </w:hyperlink>
    </w:p>
    <w:p w14:paraId="438C98B5" w14:textId="5F0AE559" w:rsidR="0096615B" w:rsidRDefault="0096615B" w:rsidP="00044334">
      <w:pPr>
        <w:pStyle w:val="NoSpacing"/>
        <w:spacing w:line="480" w:lineRule="auto"/>
        <w:ind w:left="720" w:hanging="720"/>
        <w:rPr>
          <w:rFonts w:ascii="Times New Roman" w:hAnsi="Times New Roman" w:cs="Times New Roman"/>
          <w:color w:val="141413"/>
          <w:sz w:val="24"/>
          <w:szCs w:val="24"/>
        </w:rPr>
      </w:pPr>
      <w:r>
        <w:rPr>
          <w:rFonts w:ascii="Times New Roman" w:hAnsi="Times New Roman" w:cs="Times New Roman"/>
          <w:color w:val="141413"/>
          <w:sz w:val="24"/>
          <w:szCs w:val="24"/>
        </w:rPr>
        <w:t>Bialosiewicz, S, Murphy, K, &amp; Berry, T. (2013). Do our measures measure up? The critical role of measurement invariance. Claremont, CA: Claremont Evaluation Center.</w:t>
      </w:r>
    </w:p>
    <w:p w14:paraId="57DFE94F" w14:textId="77777777" w:rsidR="001B6F51" w:rsidRPr="001B6F51" w:rsidRDefault="00BC78AC" w:rsidP="001B6F51">
      <w:pPr>
        <w:spacing w:after="0"/>
        <w:ind w:left="720" w:hanging="720"/>
        <w:rPr>
          <w:rFonts w:cs="Times New Roman"/>
          <w:szCs w:val="24"/>
        </w:rPr>
      </w:pPr>
      <w:r w:rsidRPr="00A2360A">
        <w:rPr>
          <w:rFonts w:cs="Times New Roman"/>
          <w:szCs w:val="24"/>
        </w:rPr>
        <w:t>Black, B. (1999). National culture and labour-market flexibility.</w:t>
      </w:r>
      <w:r w:rsidRPr="00BC78AC">
        <w:rPr>
          <w:rFonts w:cs="Times New Roman"/>
          <w:i/>
          <w:szCs w:val="24"/>
        </w:rPr>
        <w:t xml:space="preserve"> International Journal of Human Resource Management</w:t>
      </w:r>
      <w:r w:rsidRPr="00A2360A">
        <w:rPr>
          <w:rFonts w:cs="Times New Roman"/>
          <w:szCs w:val="24"/>
        </w:rPr>
        <w:t xml:space="preserve">, </w:t>
      </w:r>
      <w:r w:rsidRPr="004C46AB">
        <w:rPr>
          <w:rFonts w:cs="Times New Roman"/>
          <w:i/>
          <w:szCs w:val="24"/>
        </w:rPr>
        <w:t>10</w:t>
      </w:r>
      <w:r w:rsidRPr="00A2360A">
        <w:rPr>
          <w:rFonts w:cs="Times New Roman"/>
          <w:szCs w:val="24"/>
        </w:rPr>
        <w:t>(4), 592-605.</w:t>
      </w:r>
      <w:r w:rsidR="001B6F51">
        <w:rPr>
          <w:rFonts w:cs="Times New Roman"/>
          <w:szCs w:val="24"/>
        </w:rPr>
        <w:t xml:space="preserve"> </w:t>
      </w:r>
      <w:hyperlink r:id="rId15" w:history="1">
        <w:r w:rsidR="001B6F51" w:rsidRPr="001B6F51">
          <w:rPr>
            <w:rStyle w:val="Hyperlink"/>
            <w:rFonts w:cs="Times New Roman"/>
            <w:szCs w:val="24"/>
          </w:rPr>
          <w:t>https://doi.org/10.1080/095851999340288</w:t>
        </w:r>
      </w:hyperlink>
    </w:p>
    <w:p w14:paraId="73178FD5" w14:textId="52B8977E" w:rsidR="00BC78AC" w:rsidRPr="000B1DE6" w:rsidRDefault="00BC78AC" w:rsidP="00044334">
      <w:pPr>
        <w:ind w:left="720" w:hanging="720"/>
      </w:pPr>
      <w:r w:rsidRPr="000B1DE6">
        <w:t xml:space="preserve">Blau, G.J. (1985). The measurement and prediction of career commitment. </w:t>
      </w:r>
      <w:r w:rsidRPr="000B1DE6">
        <w:rPr>
          <w:i/>
        </w:rPr>
        <w:t xml:space="preserve">Journal of Occupational Psychology, </w:t>
      </w:r>
      <w:r w:rsidRPr="00DE11D0">
        <w:rPr>
          <w:i/>
        </w:rPr>
        <w:t>58</w:t>
      </w:r>
      <w:r w:rsidRPr="000B1DE6">
        <w:t>, 277 – 288.</w:t>
      </w:r>
      <w:r w:rsidR="00D86553">
        <w:t xml:space="preserve"> </w:t>
      </w:r>
      <w:hyperlink r:id="rId16" w:tgtFrame="_blank" w:history="1">
        <w:r w:rsidR="00D86553" w:rsidRPr="00D86553">
          <w:rPr>
            <w:rStyle w:val="Hyperlink"/>
          </w:rPr>
          <w:t>http://dx.doi.org/10.1111/j.2044-8325.1985.tb00201</w:t>
        </w:r>
      </w:hyperlink>
    </w:p>
    <w:p w14:paraId="69F5C973" w14:textId="63B2B7C0" w:rsidR="00BC78AC" w:rsidRPr="000B1DE6" w:rsidRDefault="00BC78AC" w:rsidP="00044334">
      <w:pPr>
        <w:pStyle w:val="NoSpacing"/>
        <w:spacing w:line="480" w:lineRule="auto"/>
        <w:ind w:left="720" w:hanging="720"/>
        <w:rPr>
          <w:rFonts w:ascii="Times New Roman" w:hAnsi="Times New Roman" w:cs="Times New Roman"/>
          <w:sz w:val="24"/>
          <w:szCs w:val="24"/>
        </w:rPr>
      </w:pPr>
      <w:r w:rsidRPr="000B1DE6">
        <w:rPr>
          <w:rFonts w:ascii="Times New Roman" w:hAnsi="Times New Roman" w:cs="Times New Roman"/>
          <w:sz w:val="24"/>
          <w:szCs w:val="24"/>
        </w:rPr>
        <w:t>Blundell R</w:t>
      </w:r>
      <w:r>
        <w:rPr>
          <w:rFonts w:ascii="Times New Roman" w:hAnsi="Times New Roman" w:cs="Times New Roman"/>
          <w:sz w:val="24"/>
          <w:szCs w:val="24"/>
        </w:rPr>
        <w:t>.</w:t>
      </w:r>
      <w:r w:rsidRPr="000B1DE6">
        <w:rPr>
          <w:rFonts w:ascii="Times New Roman" w:hAnsi="Times New Roman" w:cs="Times New Roman"/>
          <w:sz w:val="24"/>
          <w:szCs w:val="24"/>
        </w:rPr>
        <w:t>, Crawford C</w:t>
      </w:r>
      <w:r>
        <w:rPr>
          <w:rFonts w:ascii="Times New Roman" w:hAnsi="Times New Roman" w:cs="Times New Roman"/>
          <w:sz w:val="24"/>
          <w:szCs w:val="24"/>
        </w:rPr>
        <w:t>.</w:t>
      </w:r>
      <w:r w:rsidRPr="000B1DE6">
        <w:rPr>
          <w:rFonts w:ascii="Times New Roman" w:hAnsi="Times New Roman" w:cs="Times New Roman"/>
          <w:sz w:val="24"/>
          <w:szCs w:val="24"/>
        </w:rPr>
        <w:t xml:space="preserve"> and Jin W</w:t>
      </w:r>
      <w:r>
        <w:rPr>
          <w:rFonts w:ascii="Times New Roman" w:hAnsi="Times New Roman" w:cs="Times New Roman"/>
          <w:sz w:val="24"/>
          <w:szCs w:val="24"/>
        </w:rPr>
        <w:t>. (2014).</w:t>
      </w:r>
      <w:r w:rsidRPr="000B1DE6">
        <w:rPr>
          <w:rFonts w:ascii="Times New Roman" w:hAnsi="Times New Roman" w:cs="Times New Roman"/>
          <w:sz w:val="24"/>
          <w:szCs w:val="24"/>
        </w:rPr>
        <w:t xml:space="preserve"> What can wages and employment tell us about the UK’s productivity puzzle? </w:t>
      </w:r>
      <w:r w:rsidRPr="000B1DE6">
        <w:rPr>
          <w:rFonts w:ascii="Times New Roman" w:hAnsi="Times New Roman" w:cs="Times New Roman"/>
          <w:i/>
          <w:sz w:val="24"/>
          <w:szCs w:val="24"/>
        </w:rPr>
        <w:t>Economic Journal</w:t>
      </w:r>
      <w:r w:rsidRPr="000B1DE6">
        <w:rPr>
          <w:rFonts w:ascii="Times New Roman" w:hAnsi="Times New Roman" w:cs="Times New Roman"/>
          <w:sz w:val="24"/>
          <w:szCs w:val="24"/>
        </w:rPr>
        <w:t xml:space="preserve">, </w:t>
      </w:r>
      <w:r w:rsidRPr="00DE11D0">
        <w:rPr>
          <w:rFonts w:ascii="Times New Roman" w:hAnsi="Times New Roman" w:cs="Times New Roman"/>
          <w:i/>
          <w:sz w:val="24"/>
          <w:szCs w:val="24"/>
        </w:rPr>
        <w:t>124</w:t>
      </w:r>
      <w:r>
        <w:rPr>
          <w:rFonts w:ascii="Times New Roman" w:hAnsi="Times New Roman" w:cs="Times New Roman"/>
          <w:sz w:val="24"/>
          <w:szCs w:val="24"/>
        </w:rPr>
        <w:t xml:space="preserve"> (576),</w:t>
      </w:r>
      <w:r w:rsidRPr="000B1DE6">
        <w:rPr>
          <w:rFonts w:ascii="Times New Roman" w:hAnsi="Times New Roman" w:cs="Times New Roman"/>
          <w:sz w:val="24"/>
          <w:szCs w:val="24"/>
        </w:rPr>
        <w:t xml:space="preserve"> 377–407.</w:t>
      </w:r>
      <w:r w:rsidR="001E6CC9">
        <w:rPr>
          <w:rFonts w:ascii="Times New Roman" w:hAnsi="Times New Roman" w:cs="Times New Roman"/>
          <w:sz w:val="24"/>
          <w:szCs w:val="24"/>
        </w:rPr>
        <w:t xml:space="preserve"> </w:t>
      </w:r>
      <w:hyperlink r:id="rId17" w:history="1">
        <w:r w:rsidR="001E6CC9" w:rsidRPr="00547DF3">
          <w:rPr>
            <w:rStyle w:val="Hyperlink"/>
            <w:rFonts w:ascii="Times New Roman" w:hAnsi="Times New Roman" w:cs="Times New Roman"/>
            <w:bCs/>
            <w:sz w:val="24"/>
            <w:szCs w:val="24"/>
          </w:rPr>
          <w:t>https://doi.org/10.1111/ecoj.12138</w:t>
        </w:r>
      </w:hyperlink>
    </w:p>
    <w:p w14:paraId="0DD18B92" w14:textId="4BD9F644" w:rsidR="00BC78AC" w:rsidRDefault="00BC78AC" w:rsidP="00044334">
      <w:pPr>
        <w:spacing w:after="0"/>
        <w:ind w:left="720" w:hanging="720"/>
        <w:rPr>
          <w:rFonts w:cs="Times New Roman"/>
          <w:szCs w:val="24"/>
        </w:rPr>
      </w:pPr>
      <w:r w:rsidRPr="000B1DE6">
        <w:rPr>
          <w:rFonts w:cs="Times New Roman"/>
          <w:szCs w:val="24"/>
        </w:rPr>
        <w:t xml:space="preserve">Blustein, D.L. (2011). A relational theory of working. </w:t>
      </w:r>
      <w:r>
        <w:rPr>
          <w:rFonts w:cs="Times New Roman"/>
          <w:i/>
          <w:szCs w:val="24"/>
        </w:rPr>
        <w:t>Journal of Vocational Behavio</w:t>
      </w:r>
      <w:r w:rsidRPr="000B1DE6">
        <w:rPr>
          <w:rFonts w:cs="Times New Roman"/>
          <w:i/>
          <w:szCs w:val="24"/>
        </w:rPr>
        <w:t>r,</w:t>
      </w:r>
      <w:r w:rsidRPr="00DE11D0">
        <w:rPr>
          <w:rFonts w:cs="Times New Roman"/>
          <w:i/>
          <w:szCs w:val="24"/>
        </w:rPr>
        <w:t xml:space="preserve"> 79</w:t>
      </w:r>
      <w:r w:rsidRPr="000B1DE6">
        <w:rPr>
          <w:rFonts w:cs="Times New Roman"/>
          <w:szCs w:val="24"/>
        </w:rPr>
        <w:t>, 1-17.</w:t>
      </w:r>
      <w:r w:rsidR="00547DF3">
        <w:rPr>
          <w:rFonts w:cs="Times New Roman"/>
          <w:szCs w:val="24"/>
        </w:rPr>
        <w:t xml:space="preserve"> </w:t>
      </w:r>
      <w:hyperlink r:id="rId18" w:tgtFrame="_blank" w:tooltip="Persistent link using digital object identifier" w:history="1">
        <w:r w:rsidR="00547DF3" w:rsidRPr="00547DF3">
          <w:rPr>
            <w:rStyle w:val="Hyperlink"/>
            <w:rFonts w:cs="Times New Roman"/>
            <w:szCs w:val="24"/>
          </w:rPr>
          <w:t>https://doi.org/10.1016/j.jvb.2010.10.004</w:t>
        </w:r>
      </w:hyperlink>
    </w:p>
    <w:p w14:paraId="3AE40D39" w14:textId="0194CCA7" w:rsidR="00BC78AC" w:rsidRPr="000B1DE6" w:rsidRDefault="00BC78AC" w:rsidP="00044334">
      <w:pPr>
        <w:spacing w:after="0"/>
        <w:ind w:left="720" w:hanging="720"/>
        <w:rPr>
          <w:rFonts w:cs="Times New Roman"/>
          <w:szCs w:val="24"/>
        </w:rPr>
      </w:pPr>
      <w:r w:rsidRPr="00A2360A">
        <w:rPr>
          <w:rFonts w:cs="Times New Roman"/>
          <w:szCs w:val="24"/>
        </w:rPr>
        <w:t xml:space="preserve">Blustein, D. L. (2013). The psychology of working: A new perspective for a new era. In D. L. Blustein (Ed.), </w:t>
      </w:r>
      <w:r w:rsidRPr="00A008B6">
        <w:rPr>
          <w:rFonts w:cs="Times New Roman"/>
          <w:i/>
          <w:szCs w:val="24"/>
        </w:rPr>
        <w:t xml:space="preserve">Oxford </w:t>
      </w:r>
      <w:r w:rsidR="00AE5260">
        <w:rPr>
          <w:rFonts w:cs="Times New Roman"/>
          <w:i/>
          <w:szCs w:val="24"/>
        </w:rPr>
        <w:t>h</w:t>
      </w:r>
      <w:r w:rsidRPr="00A008B6">
        <w:rPr>
          <w:rFonts w:cs="Times New Roman"/>
          <w:i/>
          <w:szCs w:val="24"/>
        </w:rPr>
        <w:t xml:space="preserve">andbook of </w:t>
      </w:r>
      <w:r w:rsidR="00AE5260">
        <w:rPr>
          <w:rFonts w:cs="Times New Roman"/>
          <w:i/>
          <w:szCs w:val="24"/>
        </w:rPr>
        <w:t>the psychology of w</w:t>
      </w:r>
      <w:r w:rsidRPr="00A008B6">
        <w:rPr>
          <w:rFonts w:cs="Times New Roman"/>
          <w:i/>
          <w:szCs w:val="24"/>
        </w:rPr>
        <w:t>orking</w:t>
      </w:r>
      <w:r w:rsidRPr="00A2360A">
        <w:rPr>
          <w:rFonts w:cs="Times New Roman"/>
          <w:szCs w:val="24"/>
        </w:rPr>
        <w:t>. Oxford: OUP.</w:t>
      </w:r>
    </w:p>
    <w:p w14:paraId="59DC0B7D" w14:textId="0F85247F" w:rsidR="00BC78AC" w:rsidRPr="000B1DE6" w:rsidRDefault="00BC78AC" w:rsidP="00044334">
      <w:pPr>
        <w:spacing w:after="0"/>
        <w:ind w:left="720" w:hanging="720"/>
        <w:rPr>
          <w:rFonts w:cs="Times New Roman"/>
          <w:szCs w:val="24"/>
        </w:rPr>
      </w:pPr>
      <w:r w:rsidRPr="000B1DE6">
        <w:rPr>
          <w:rFonts w:cs="Times New Roman"/>
          <w:szCs w:val="24"/>
        </w:rPr>
        <w:t xml:space="preserve">Blustein, D.L., Kenny, M.E., Di Fabio, A., &amp; Guichard, J. (2018). Expanding the impact of the psychology of working: engaging psychology in the struggle for decent work and human rights. </w:t>
      </w:r>
      <w:r w:rsidRPr="000B1DE6">
        <w:rPr>
          <w:rFonts w:cs="Times New Roman"/>
          <w:i/>
          <w:szCs w:val="24"/>
        </w:rPr>
        <w:t>Journal of Career Assessment</w:t>
      </w:r>
      <w:r w:rsidR="00AE5260">
        <w:rPr>
          <w:rFonts w:cs="Times New Roman"/>
          <w:i/>
          <w:szCs w:val="24"/>
        </w:rPr>
        <w:t xml:space="preserve">. </w:t>
      </w:r>
      <w:r w:rsidR="00AE5260">
        <w:rPr>
          <w:rFonts w:cs="Times New Roman"/>
          <w:szCs w:val="24"/>
        </w:rPr>
        <w:t>(Advance online publication).</w:t>
      </w:r>
      <w:r w:rsidRPr="000B1DE6">
        <w:rPr>
          <w:rFonts w:cs="Times New Roman"/>
          <w:szCs w:val="24"/>
        </w:rPr>
        <w:t xml:space="preserve"> </w:t>
      </w:r>
      <w:hyperlink r:id="rId19" w:history="1">
        <w:r w:rsidR="0092757A" w:rsidRPr="0092757A">
          <w:rPr>
            <w:rStyle w:val="Hyperlink"/>
            <w:rFonts w:cs="Times New Roman"/>
            <w:szCs w:val="24"/>
          </w:rPr>
          <w:t>https://doi.org/10.1177/1069072718774002</w:t>
        </w:r>
      </w:hyperlink>
    </w:p>
    <w:p w14:paraId="69B194B2" w14:textId="45673F31" w:rsidR="00BC78AC" w:rsidRPr="000B1DE6" w:rsidRDefault="00BC78AC" w:rsidP="00044334">
      <w:pPr>
        <w:spacing w:after="0"/>
        <w:ind w:left="720" w:hanging="720"/>
        <w:rPr>
          <w:rFonts w:cs="Times New Roman"/>
          <w:szCs w:val="24"/>
        </w:rPr>
      </w:pPr>
      <w:r w:rsidRPr="000B1DE6">
        <w:rPr>
          <w:rFonts w:cs="Times New Roman"/>
          <w:szCs w:val="24"/>
        </w:rPr>
        <w:t xml:space="preserve">Blustein, D.L., Olle, C., Connors-Kellgren, A.C. &amp; Diamonti. A.J. (2016). Decent work: a psychological perspective. </w:t>
      </w:r>
      <w:r w:rsidRPr="000B1DE6">
        <w:rPr>
          <w:rFonts w:cs="Times New Roman"/>
          <w:i/>
          <w:szCs w:val="24"/>
        </w:rPr>
        <w:t xml:space="preserve">Frontiers in Psychology, </w:t>
      </w:r>
      <w:r w:rsidRPr="00A008B6">
        <w:rPr>
          <w:rFonts w:cs="Times New Roman"/>
          <w:i/>
          <w:szCs w:val="24"/>
        </w:rPr>
        <w:t>7</w:t>
      </w:r>
      <w:r w:rsidRPr="000B1DE6">
        <w:rPr>
          <w:rFonts w:cs="Times New Roman"/>
          <w:szCs w:val="24"/>
        </w:rPr>
        <w:t xml:space="preserve">, 1-10. </w:t>
      </w:r>
      <w:hyperlink r:id="rId20" w:history="1">
        <w:r w:rsidR="00857356" w:rsidRPr="00857356">
          <w:rPr>
            <w:rStyle w:val="Hyperlink"/>
            <w:rFonts w:cs="Times New Roman"/>
            <w:szCs w:val="24"/>
          </w:rPr>
          <w:t>https://doi.org/10.3389/fpsyg.2016.00407</w:t>
        </w:r>
      </w:hyperlink>
    </w:p>
    <w:p w14:paraId="5CA26C25" w14:textId="77777777" w:rsidR="00BC78AC" w:rsidRDefault="00BC78AC" w:rsidP="0004433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BMA. (2017). </w:t>
      </w:r>
      <w:r w:rsidRPr="00B764E7">
        <w:rPr>
          <w:rFonts w:ascii="Times New Roman" w:hAnsi="Times New Roman" w:cs="Times New Roman"/>
          <w:i/>
          <w:sz w:val="24"/>
          <w:szCs w:val="24"/>
        </w:rPr>
        <w:t>Health at a price: reducing the impact of poverty</w:t>
      </w:r>
      <w:r>
        <w:rPr>
          <w:rFonts w:ascii="Times New Roman" w:hAnsi="Times New Roman" w:cs="Times New Roman"/>
          <w:sz w:val="24"/>
          <w:szCs w:val="24"/>
        </w:rPr>
        <w:t>. London: BMA.</w:t>
      </w:r>
    </w:p>
    <w:p w14:paraId="67010211" w14:textId="1DF7D5A0" w:rsidR="00BC78AC" w:rsidRDefault="00BC78AC" w:rsidP="00044334">
      <w:pPr>
        <w:pStyle w:val="NoSpacing"/>
        <w:spacing w:line="480" w:lineRule="auto"/>
        <w:ind w:left="720" w:hanging="720"/>
        <w:rPr>
          <w:rFonts w:ascii="Times New Roman" w:hAnsi="Times New Roman" w:cs="Times New Roman"/>
          <w:sz w:val="24"/>
          <w:szCs w:val="24"/>
        </w:rPr>
      </w:pPr>
      <w:r w:rsidRPr="00A2360A">
        <w:rPr>
          <w:rFonts w:ascii="Times New Roman" w:hAnsi="Times New Roman" w:cs="Times New Roman"/>
          <w:sz w:val="24"/>
          <w:szCs w:val="24"/>
        </w:rPr>
        <w:t xml:space="preserve">Bonoli, G. (2010). The political economy of active labor-market policy. </w:t>
      </w:r>
      <w:r w:rsidRPr="00B764E7">
        <w:rPr>
          <w:rFonts w:ascii="Times New Roman" w:hAnsi="Times New Roman" w:cs="Times New Roman"/>
          <w:i/>
          <w:sz w:val="24"/>
          <w:szCs w:val="24"/>
        </w:rPr>
        <w:t>Politics &amp; Society</w:t>
      </w:r>
      <w:r w:rsidRPr="00A2360A">
        <w:rPr>
          <w:rFonts w:ascii="Times New Roman" w:hAnsi="Times New Roman" w:cs="Times New Roman"/>
          <w:sz w:val="24"/>
          <w:szCs w:val="24"/>
        </w:rPr>
        <w:t>, 38(4), 435-457.</w:t>
      </w:r>
      <w:r w:rsidR="00954453">
        <w:rPr>
          <w:rFonts w:ascii="Times New Roman" w:hAnsi="Times New Roman" w:cs="Times New Roman"/>
          <w:sz w:val="24"/>
          <w:szCs w:val="24"/>
        </w:rPr>
        <w:t xml:space="preserve"> </w:t>
      </w:r>
      <w:hyperlink r:id="rId21" w:history="1">
        <w:r w:rsidR="00954453" w:rsidRPr="00954453">
          <w:rPr>
            <w:rStyle w:val="Hyperlink"/>
            <w:rFonts w:ascii="Times New Roman" w:hAnsi="Times New Roman" w:cs="Times New Roman"/>
            <w:sz w:val="24"/>
            <w:szCs w:val="24"/>
          </w:rPr>
          <w:t>https://doi.org/10.1177/0032329210381235</w:t>
        </w:r>
      </w:hyperlink>
    </w:p>
    <w:p w14:paraId="5586C5B1" w14:textId="1F18013F" w:rsidR="00BC78AC" w:rsidRDefault="00BC78AC" w:rsidP="00044334">
      <w:pPr>
        <w:pStyle w:val="NoSpacing"/>
        <w:spacing w:line="480" w:lineRule="auto"/>
        <w:ind w:left="720" w:hanging="720"/>
        <w:rPr>
          <w:rFonts w:ascii="Times New Roman" w:hAnsi="Times New Roman" w:cs="Times New Roman"/>
          <w:sz w:val="24"/>
          <w:szCs w:val="24"/>
        </w:rPr>
      </w:pPr>
      <w:r w:rsidRPr="00A2360A">
        <w:rPr>
          <w:rFonts w:ascii="Times New Roman" w:hAnsi="Times New Roman" w:cs="Times New Roman"/>
          <w:sz w:val="24"/>
          <w:szCs w:val="24"/>
        </w:rPr>
        <w:t xml:space="preserve">Budig, M. J., Misra, J., &amp; Boeckmann, I. (2016). Work–family policy trade-offs for mothers? Unpacking the cross-national variation in motherhood earnings penalties. </w:t>
      </w:r>
      <w:r w:rsidRPr="00B764E7">
        <w:rPr>
          <w:rFonts w:ascii="Times New Roman" w:hAnsi="Times New Roman" w:cs="Times New Roman"/>
          <w:i/>
          <w:sz w:val="24"/>
          <w:szCs w:val="24"/>
        </w:rPr>
        <w:t>Work and Occupations</w:t>
      </w:r>
      <w:r w:rsidRPr="00A2360A">
        <w:rPr>
          <w:rFonts w:ascii="Times New Roman" w:hAnsi="Times New Roman" w:cs="Times New Roman"/>
          <w:sz w:val="24"/>
          <w:szCs w:val="24"/>
        </w:rPr>
        <w:t>, 43(2), 119-177.</w:t>
      </w:r>
      <w:r w:rsidR="00954453">
        <w:rPr>
          <w:rFonts w:ascii="Times New Roman" w:hAnsi="Times New Roman" w:cs="Times New Roman"/>
          <w:sz w:val="24"/>
          <w:szCs w:val="24"/>
        </w:rPr>
        <w:t xml:space="preserve"> </w:t>
      </w:r>
      <w:hyperlink r:id="rId22" w:history="1">
        <w:r w:rsidR="00954453" w:rsidRPr="00954453">
          <w:rPr>
            <w:rStyle w:val="Hyperlink"/>
            <w:rFonts w:ascii="Times New Roman" w:hAnsi="Times New Roman" w:cs="Times New Roman"/>
            <w:sz w:val="24"/>
            <w:szCs w:val="24"/>
          </w:rPr>
          <w:t>https://doi.org/10.1177/0730888415615385</w:t>
        </w:r>
      </w:hyperlink>
    </w:p>
    <w:p w14:paraId="39E69E50" w14:textId="3E59E8C7" w:rsidR="00BC78AC" w:rsidRDefault="00BC78AC" w:rsidP="00044334">
      <w:pPr>
        <w:spacing w:before="240" w:after="0"/>
        <w:ind w:left="720" w:hanging="720"/>
        <w:rPr>
          <w:rFonts w:cs="Times New Roman"/>
          <w:szCs w:val="24"/>
        </w:rPr>
      </w:pPr>
      <w:r w:rsidRPr="00994F1A">
        <w:rPr>
          <w:rFonts w:cs="Times New Roman"/>
          <w:szCs w:val="24"/>
        </w:rPr>
        <w:t xml:space="preserve">Campbell, D. (2017, 11 September). NHS waiting times 'driving people to turn to private treatment. </w:t>
      </w:r>
      <w:r w:rsidRPr="00A008B6">
        <w:rPr>
          <w:rFonts w:cs="Times New Roman"/>
          <w:i/>
          <w:szCs w:val="24"/>
        </w:rPr>
        <w:t>The Guardian</w:t>
      </w:r>
      <w:r w:rsidRPr="00994F1A">
        <w:rPr>
          <w:rFonts w:cs="Times New Roman"/>
          <w:szCs w:val="24"/>
        </w:rPr>
        <w:t xml:space="preserve">. Retrieved from: https://www.theguardian.com/society/2017/sep/11/nhs-waiting-times-driving-people-to-turn-to-private-treatment. </w:t>
      </w:r>
    </w:p>
    <w:p w14:paraId="13B5AF66" w14:textId="47E7312A" w:rsidR="005D1ED7" w:rsidRDefault="005D1ED7" w:rsidP="00044334">
      <w:pPr>
        <w:spacing w:before="240" w:after="0"/>
        <w:ind w:left="720" w:hanging="720"/>
        <w:rPr>
          <w:rFonts w:cs="Times New Roman"/>
          <w:szCs w:val="24"/>
        </w:rPr>
      </w:pPr>
      <w:r w:rsidRPr="005D1ED7">
        <w:rPr>
          <w:rFonts w:cs="Times New Roman"/>
          <w:szCs w:val="24"/>
        </w:rPr>
        <w:t xml:space="preserve">Campbell, J. L., Quincy, C., Osserman, J., &amp; Pedersen, O. K. (2013). Coding in-depth semistructured interviews: Problems of unitization and intercoder reliability and agreement. </w:t>
      </w:r>
      <w:r w:rsidRPr="00510FCE">
        <w:rPr>
          <w:rFonts w:cs="Times New Roman"/>
          <w:i/>
          <w:szCs w:val="24"/>
        </w:rPr>
        <w:t>Sociological Methods &amp; Research</w:t>
      </w:r>
      <w:r w:rsidRPr="005D1ED7">
        <w:rPr>
          <w:rFonts w:cs="Times New Roman"/>
          <w:szCs w:val="24"/>
        </w:rPr>
        <w:t>, 42(3), 294-320.</w:t>
      </w:r>
    </w:p>
    <w:p w14:paraId="2E5B036C" w14:textId="38CFB73F" w:rsidR="00BC78AC" w:rsidRPr="000B1DE6" w:rsidRDefault="00BC78AC" w:rsidP="00044334">
      <w:pPr>
        <w:spacing w:before="240" w:after="0"/>
        <w:ind w:left="720" w:hanging="720"/>
        <w:rPr>
          <w:rFonts w:cs="Times New Roman"/>
          <w:szCs w:val="24"/>
        </w:rPr>
      </w:pPr>
      <w:r w:rsidRPr="000B1DE6">
        <w:rPr>
          <w:rFonts w:cs="Times New Roman"/>
          <w:szCs w:val="24"/>
        </w:rPr>
        <w:t xml:space="preserve">Cheung, G.W. &amp; Rensvold, R.B. (2002). Evaluating goodness-of-fit indexes for testing measurement invariance. </w:t>
      </w:r>
      <w:r w:rsidRPr="000B1DE6">
        <w:rPr>
          <w:rFonts w:cs="Times New Roman"/>
          <w:i/>
          <w:szCs w:val="24"/>
        </w:rPr>
        <w:t>Structural Equation Modeling,</w:t>
      </w:r>
      <w:r w:rsidRPr="00DE11D0">
        <w:rPr>
          <w:rFonts w:cs="Times New Roman"/>
          <w:i/>
          <w:szCs w:val="24"/>
        </w:rPr>
        <w:t xml:space="preserve"> 9</w:t>
      </w:r>
      <w:r w:rsidRPr="000B1DE6">
        <w:rPr>
          <w:rFonts w:cs="Times New Roman"/>
          <w:szCs w:val="24"/>
        </w:rPr>
        <w:t>, 233 – 255.</w:t>
      </w:r>
      <w:r w:rsidR="00347E57" w:rsidRPr="00347E57">
        <w:t xml:space="preserve"> </w:t>
      </w:r>
      <w:hyperlink r:id="rId23" w:tgtFrame="_blank" w:history="1">
        <w:r w:rsidR="00347E57" w:rsidRPr="00347E57">
          <w:rPr>
            <w:rStyle w:val="Hyperlink"/>
            <w:rFonts w:cs="Times New Roman"/>
            <w:szCs w:val="24"/>
          </w:rPr>
          <w:t>http://dx.doi.org/10.1207/S15328007SEM0902_5</w:t>
        </w:r>
      </w:hyperlink>
    </w:p>
    <w:p w14:paraId="183C6377" w14:textId="231560D8" w:rsidR="00BC78AC" w:rsidRPr="0057787E" w:rsidRDefault="00BC78AC" w:rsidP="00347E57">
      <w:pPr>
        <w:spacing w:after="0"/>
        <w:ind w:left="720" w:hanging="720"/>
        <w:rPr>
          <w:rFonts w:eastAsia="Times New Roman" w:cs="Times New Roman"/>
          <w:sz w:val="23"/>
          <w:szCs w:val="23"/>
          <w:lang w:eastAsia="en-GB"/>
        </w:rPr>
      </w:pPr>
      <w:r w:rsidRPr="0057787E">
        <w:rPr>
          <w:rFonts w:eastAsia="Times New Roman" w:cs="Times New Roman"/>
          <w:sz w:val="23"/>
          <w:szCs w:val="23"/>
          <w:lang w:eastAsia="en-GB"/>
        </w:rPr>
        <w:t>Christensen, C. M. (2001)</w:t>
      </w:r>
      <w:r w:rsidR="00696B24">
        <w:rPr>
          <w:rFonts w:eastAsia="Times New Roman" w:cs="Times New Roman"/>
          <w:sz w:val="23"/>
          <w:szCs w:val="23"/>
          <w:lang w:eastAsia="en-GB"/>
        </w:rPr>
        <w:t>.</w:t>
      </w:r>
      <w:r w:rsidRPr="0057787E">
        <w:rPr>
          <w:rFonts w:eastAsia="Times New Roman" w:cs="Times New Roman"/>
          <w:sz w:val="23"/>
          <w:szCs w:val="23"/>
          <w:lang w:eastAsia="en-GB"/>
        </w:rPr>
        <w:t xml:space="preserve"> Assessing </w:t>
      </w:r>
      <w:r w:rsidR="00696B24">
        <w:rPr>
          <w:rFonts w:eastAsia="Times New Roman" w:cs="Times New Roman"/>
          <w:sz w:val="23"/>
          <w:szCs w:val="23"/>
          <w:lang w:eastAsia="en-GB"/>
        </w:rPr>
        <w:t>y</w:t>
      </w:r>
      <w:r w:rsidR="00696B24" w:rsidRPr="0057787E">
        <w:rPr>
          <w:rFonts w:eastAsia="Times New Roman" w:cs="Times New Roman"/>
          <w:sz w:val="23"/>
          <w:szCs w:val="23"/>
          <w:lang w:eastAsia="en-GB"/>
        </w:rPr>
        <w:t>our</w:t>
      </w:r>
      <w:r w:rsidR="00696B24">
        <w:rPr>
          <w:rFonts w:eastAsia="Times New Roman" w:cs="Times New Roman"/>
          <w:sz w:val="23"/>
          <w:szCs w:val="23"/>
          <w:lang w:eastAsia="en-GB"/>
        </w:rPr>
        <w:t xml:space="preserve"> o</w:t>
      </w:r>
      <w:r w:rsidR="00696B24" w:rsidRPr="0057787E">
        <w:rPr>
          <w:rFonts w:eastAsia="Times New Roman" w:cs="Times New Roman"/>
          <w:sz w:val="23"/>
          <w:szCs w:val="23"/>
          <w:lang w:eastAsia="en-GB"/>
        </w:rPr>
        <w:t xml:space="preserve">rganization’s </w:t>
      </w:r>
      <w:r w:rsidR="00696B24">
        <w:rPr>
          <w:rFonts w:eastAsia="Times New Roman" w:cs="Times New Roman"/>
          <w:sz w:val="23"/>
          <w:szCs w:val="23"/>
          <w:lang w:eastAsia="en-GB"/>
        </w:rPr>
        <w:t>i</w:t>
      </w:r>
      <w:r w:rsidR="00696B24" w:rsidRPr="0057787E">
        <w:rPr>
          <w:rFonts w:eastAsia="Times New Roman" w:cs="Times New Roman"/>
          <w:sz w:val="23"/>
          <w:szCs w:val="23"/>
          <w:lang w:eastAsia="en-GB"/>
        </w:rPr>
        <w:t xml:space="preserve">nnovation </w:t>
      </w:r>
      <w:r w:rsidR="00696B24">
        <w:rPr>
          <w:rFonts w:eastAsia="Times New Roman" w:cs="Times New Roman"/>
          <w:sz w:val="23"/>
          <w:szCs w:val="23"/>
          <w:lang w:eastAsia="en-GB"/>
        </w:rPr>
        <w:t>c</w:t>
      </w:r>
      <w:r w:rsidR="00696B24" w:rsidRPr="0057787E">
        <w:rPr>
          <w:rFonts w:eastAsia="Times New Roman" w:cs="Times New Roman"/>
          <w:sz w:val="23"/>
          <w:szCs w:val="23"/>
          <w:lang w:eastAsia="en-GB"/>
        </w:rPr>
        <w:t>apabilities</w:t>
      </w:r>
      <w:r w:rsidRPr="0057787E">
        <w:rPr>
          <w:rFonts w:eastAsia="Times New Roman" w:cs="Times New Roman"/>
          <w:sz w:val="23"/>
          <w:szCs w:val="23"/>
          <w:lang w:eastAsia="en-GB"/>
        </w:rPr>
        <w:t xml:space="preserve">. </w:t>
      </w:r>
      <w:r w:rsidRPr="00B764E7">
        <w:rPr>
          <w:rFonts w:eastAsia="Times New Roman" w:cs="Times New Roman"/>
          <w:i/>
          <w:sz w:val="23"/>
          <w:szCs w:val="23"/>
          <w:lang w:eastAsia="en-GB"/>
        </w:rPr>
        <w:t>Leader to Leader</w:t>
      </w:r>
      <w:r w:rsidRPr="0057787E">
        <w:rPr>
          <w:rFonts w:eastAsia="Times New Roman" w:cs="Times New Roman"/>
          <w:sz w:val="23"/>
          <w:szCs w:val="23"/>
          <w:lang w:eastAsia="en-GB"/>
        </w:rPr>
        <w:t xml:space="preserve">, 21 Summer 2001. </w:t>
      </w:r>
    </w:p>
    <w:p w14:paraId="5FC082DA" w14:textId="77777777" w:rsidR="00BC78AC" w:rsidRDefault="00BC78AC" w:rsidP="00347E57">
      <w:pPr>
        <w:spacing w:before="240" w:after="0"/>
        <w:ind w:left="720" w:hanging="720"/>
        <w:rPr>
          <w:rFonts w:cs="Times New Roman"/>
          <w:szCs w:val="24"/>
        </w:rPr>
      </w:pPr>
      <w:r w:rsidRPr="00994F1A">
        <w:rPr>
          <w:rFonts w:cs="Times New Roman"/>
          <w:szCs w:val="24"/>
        </w:rPr>
        <w:t xml:space="preserve">Clarke, S. and D’Arcy, C. (2018). </w:t>
      </w:r>
      <w:r w:rsidRPr="00B764E7">
        <w:rPr>
          <w:rFonts w:cs="Times New Roman"/>
          <w:i/>
          <w:szCs w:val="24"/>
        </w:rPr>
        <w:t>The kids aren’t alright.</w:t>
      </w:r>
      <w:r w:rsidRPr="00994F1A">
        <w:rPr>
          <w:rFonts w:cs="Times New Roman"/>
          <w:szCs w:val="24"/>
        </w:rPr>
        <w:t xml:space="preserve"> London: The Resolution Foundation.</w:t>
      </w:r>
    </w:p>
    <w:p w14:paraId="7768CEFE" w14:textId="62A2E7E0" w:rsidR="00BC78AC" w:rsidRDefault="00BC78AC" w:rsidP="00044334">
      <w:pPr>
        <w:spacing w:before="240" w:after="0"/>
        <w:ind w:left="720" w:hanging="720"/>
        <w:rPr>
          <w:rFonts w:cs="Times New Roman"/>
          <w:szCs w:val="24"/>
        </w:rPr>
      </w:pPr>
      <w:r w:rsidRPr="00A2360A">
        <w:rPr>
          <w:rFonts w:cs="Times New Roman"/>
          <w:szCs w:val="24"/>
        </w:rPr>
        <w:t xml:space="preserve">Coulter, S. (2016). The UK labour market and the ‘great recession’. In </w:t>
      </w:r>
      <w:r w:rsidR="00203659">
        <w:rPr>
          <w:rFonts w:cs="Times New Roman"/>
          <w:szCs w:val="24"/>
        </w:rPr>
        <w:t xml:space="preserve">M. </w:t>
      </w:r>
      <w:r w:rsidRPr="00A2360A">
        <w:rPr>
          <w:rFonts w:cs="Times New Roman"/>
          <w:szCs w:val="24"/>
        </w:rPr>
        <w:t>Myant</w:t>
      </w:r>
      <w:r w:rsidR="00203659">
        <w:rPr>
          <w:rFonts w:cs="Times New Roman"/>
          <w:szCs w:val="24"/>
        </w:rPr>
        <w:t xml:space="preserve">, </w:t>
      </w:r>
      <w:r w:rsidRPr="00A2360A">
        <w:rPr>
          <w:rFonts w:cs="Times New Roman"/>
          <w:szCs w:val="24"/>
        </w:rPr>
        <w:t xml:space="preserve"> </w:t>
      </w:r>
      <w:r w:rsidR="00203659">
        <w:rPr>
          <w:rFonts w:cs="Times New Roman"/>
          <w:szCs w:val="24"/>
        </w:rPr>
        <w:t xml:space="preserve">S. </w:t>
      </w:r>
      <w:r w:rsidRPr="00A2360A">
        <w:rPr>
          <w:rFonts w:cs="Times New Roman"/>
          <w:szCs w:val="24"/>
        </w:rPr>
        <w:t xml:space="preserve">Theodoropoulou, &amp; </w:t>
      </w:r>
      <w:r w:rsidR="00203659">
        <w:rPr>
          <w:rFonts w:cs="Times New Roman"/>
          <w:szCs w:val="24"/>
        </w:rPr>
        <w:t xml:space="preserve">A. </w:t>
      </w:r>
      <w:r w:rsidRPr="00A2360A">
        <w:rPr>
          <w:rFonts w:cs="Times New Roman"/>
          <w:szCs w:val="24"/>
        </w:rPr>
        <w:t>Piasna (Eds.)</w:t>
      </w:r>
      <w:r w:rsidR="000A02A2">
        <w:rPr>
          <w:rFonts w:cs="Times New Roman"/>
          <w:szCs w:val="24"/>
        </w:rPr>
        <w:t>,</w:t>
      </w:r>
      <w:r w:rsidRPr="00A2360A">
        <w:rPr>
          <w:rFonts w:cs="Times New Roman"/>
          <w:szCs w:val="24"/>
        </w:rPr>
        <w:t xml:space="preserve"> </w:t>
      </w:r>
      <w:r w:rsidRPr="00B764E7">
        <w:rPr>
          <w:rFonts w:cs="Times New Roman"/>
          <w:i/>
          <w:szCs w:val="24"/>
        </w:rPr>
        <w:t xml:space="preserve">Unemployment, </w:t>
      </w:r>
      <w:r w:rsidR="000A02A2" w:rsidRPr="00B764E7">
        <w:rPr>
          <w:rFonts w:cs="Times New Roman"/>
          <w:i/>
          <w:szCs w:val="24"/>
        </w:rPr>
        <w:t xml:space="preserve">internal devaluation </w:t>
      </w:r>
      <w:r w:rsidRPr="00B764E7">
        <w:rPr>
          <w:rFonts w:cs="Times New Roman"/>
          <w:i/>
          <w:szCs w:val="24"/>
        </w:rPr>
        <w:t xml:space="preserve">and </w:t>
      </w:r>
      <w:r w:rsidR="000A02A2" w:rsidRPr="00B764E7">
        <w:rPr>
          <w:rFonts w:cs="Times New Roman"/>
          <w:i/>
          <w:szCs w:val="24"/>
        </w:rPr>
        <w:t xml:space="preserve">labour market deregulation </w:t>
      </w:r>
      <w:r w:rsidRPr="00B764E7">
        <w:rPr>
          <w:rFonts w:cs="Times New Roman"/>
          <w:i/>
          <w:szCs w:val="24"/>
        </w:rPr>
        <w:t>in Europe</w:t>
      </w:r>
      <w:r w:rsidR="000A02A2">
        <w:rPr>
          <w:rFonts w:cs="Times New Roman"/>
          <w:szCs w:val="24"/>
        </w:rPr>
        <w:t xml:space="preserve"> (</w:t>
      </w:r>
      <w:r w:rsidR="000A02A2" w:rsidRPr="00A2360A">
        <w:rPr>
          <w:rFonts w:cs="Times New Roman"/>
          <w:szCs w:val="24"/>
        </w:rPr>
        <w:t>pp. 197-227</w:t>
      </w:r>
      <w:r w:rsidR="000A02A2">
        <w:rPr>
          <w:rFonts w:cs="Times New Roman"/>
          <w:szCs w:val="24"/>
        </w:rPr>
        <w:t>)</w:t>
      </w:r>
      <w:r w:rsidRPr="00A2360A">
        <w:rPr>
          <w:rFonts w:cs="Times New Roman"/>
          <w:szCs w:val="24"/>
        </w:rPr>
        <w:t>. Brussels, Belgium: European Trade Union Institute.</w:t>
      </w:r>
    </w:p>
    <w:p w14:paraId="0AD9D266" w14:textId="520365F3" w:rsidR="00BC78AC" w:rsidRDefault="00BC78AC" w:rsidP="00044334">
      <w:pPr>
        <w:spacing w:after="0"/>
        <w:rPr>
          <w:rFonts w:cs="Times New Roman"/>
          <w:szCs w:val="24"/>
        </w:rPr>
      </w:pPr>
      <w:r w:rsidRPr="00994F1A">
        <w:rPr>
          <w:rFonts w:cs="Times New Roman"/>
          <w:szCs w:val="24"/>
        </w:rPr>
        <w:t xml:space="preserve">D’Arcy, C. (2017). </w:t>
      </w:r>
      <w:r w:rsidRPr="00B764E7">
        <w:rPr>
          <w:rFonts w:cs="Times New Roman"/>
          <w:i/>
          <w:szCs w:val="24"/>
        </w:rPr>
        <w:t>Low pay Britain 2017</w:t>
      </w:r>
      <w:r w:rsidRPr="00994F1A">
        <w:rPr>
          <w:rFonts w:cs="Times New Roman"/>
          <w:szCs w:val="24"/>
        </w:rPr>
        <w:t xml:space="preserve">. London: The Resolution Foundation.  </w:t>
      </w:r>
    </w:p>
    <w:p w14:paraId="676B0A52" w14:textId="74F91DB7" w:rsidR="00A45C13" w:rsidRDefault="00A45C13" w:rsidP="00044334">
      <w:pPr>
        <w:spacing w:after="0"/>
        <w:rPr>
          <w:rFonts w:cs="Times New Roman"/>
          <w:szCs w:val="24"/>
        </w:rPr>
      </w:pPr>
      <w:r w:rsidRPr="00A45C13">
        <w:rPr>
          <w:rFonts w:cs="Times New Roman"/>
          <w:szCs w:val="24"/>
        </w:rPr>
        <w:t xml:space="preserve">De Leeuw, E. D. (2005). To mix or not to mix data collection modes in surveys. </w:t>
      </w:r>
      <w:r w:rsidRPr="00510FCE">
        <w:rPr>
          <w:rFonts w:cs="Times New Roman"/>
          <w:i/>
          <w:szCs w:val="24"/>
        </w:rPr>
        <w:t xml:space="preserve">Journal of </w:t>
      </w:r>
      <w:r>
        <w:rPr>
          <w:rFonts w:cs="Times New Roman"/>
          <w:i/>
          <w:szCs w:val="24"/>
        </w:rPr>
        <w:t>O</w:t>
      </w:r>
      <w:r w:rsidRPr="00510FCE">
        <w:rPr>
          <w:rFonts w:cs="Times New Roman"/>
          <w:i/>
          <w:szCs w:val="24"/>
        </w:rPr>
        <w:t xml:space="preserve">fficial </w:t>
      </w:r>
      <w:r>
        <w:rPr>
          <w:rFonts w:cs="Times New Roman"/>
          <w:i/>
          <w:szCs w:val="24"/>
        </w:rPr>
        <w:t>S</w:t>
      </w:r>
      <w:r w:rsidRPr="00510FCE">
        <w:rPr>
          <w:rFonts w:cs="Times New Roman"/>
          <w:i/>
          <w:szCs w:val="24"/>
        </w:rPr>
        <w:t>tatistics</w:t>
      </w:r>
      <w:r w:rsidRPr="00A45C13">
        <w:rPr>
          <w:rFonts w:cs="Times New Roman"/>
          <w:szCs w:val="24"/>
        </w:rPr>
        <w:t>, 21(5), 233-255.</w:t>
      </w:r>
    </w:p>
    <w:p w14:paraId="61694ABA" w14:textId="6C54539E" w:rsidR="00BC78AC" w:rsidRPr="000B1DE6" w:rsidRDefault="00BC78AC" w:rsidP="00044334">
      <w:pPr>
        <w:spacing w:after="0"/>
        <w:ind w:left="720" w:hanging="720"/>
        <w:rPr>
          <w:rFonts w:cs="Times New Roman"/>
          <w:szCs w:val="24"/>
        </w:rPr>
      </w:pPr>
      <w:r w:rsidRPr="000B1DE6">
        <w:rPr>
          <w:rFonts w:cs="Times New Roman"/>
          <w:szCs w:val="24"/>
        </w:rPr>
        <w:t>Department for Business, Energy and Industrial Strategy</w:t>
      </w:r>
      <w:r>
        <w:rPr>
          <w:rFonts w:cs="Times New Roman"/>
          <w:szCs w:val="24"/>
        </w:rPr>
        <w:t>.</w:t>
      </w:r>
      <w:r w:rsidRPr="000B1DE6">
        <w:rPr>
          <w:rFonts w:cs="Times New Roman"/>
          <w:szCs w:val="24"/>
        </w:rPr>
        <w:t xml:space="preserve"> (2018)</w:t>
      </w:r>
      <w:r>
        <w:rPr>
          <w:rFonts w:cs="Times New Roman"/>
          <w:szCs w:val="24"/>
        </w:rPr>
        <w:t>.</w:t>
      </w:r>
      <w:r w:rsidRPr="000B1DE6">
        <w:rPr>
          <w:rFonts w:cs="Times New Roman"/>
          <w:szCs w:val="24"/>
        </w:rPr>
        <w:t xml:space="preserve"> </w:t>
      </w:r>
      <w:r w:rsidRPr="00B764E7">
        <w:rPr>
          <w:rFonts w:cs="Times New Roman"/>
          <w:i/>
          <w:szCs w:val="24"/>
        </w:rPr>
        <w:t xml:space="preserve">The </w:t>
      </w:r>
      <w:r w:rsidR="000A02A2" w:rsidRPr="00B764E7">
        <w:rPr>
          <w:rFonts w:cs="Times New Roman"/>
          <w:i/>
          <w:szCs w:val="24"/>
        </w:rPr>
        <w:t>c</w:t>
      </w:r>
      <w:r w:rsidRPr="00B764E7">
        <w:rPr>
          <w:rFonts w:cs="Times New Roman"/>
          <w:i/>
          <w:szCs w:val="24"/>
        </w:rPr>
        <w:t xml:space="preserve">haracteristics of </w:t>
      </w:r>
      <w:r w:rsidR="000A02A2" w:rsidRPr="00B764E7">
        <w:rPr>
          <w:rFonts w:cs="Times New Roman"/>
          <w:i/>
          <w:szCs w:val="24"/>
        </w:rPr>
        <w:t xml:space="preserve">those </w:t>
      </w:r>
      <w:r w:rsidRPr="00B764E7">
        <w:rPr>
          <w:rFonts w:cs="Times New Roman"/>
          <w:i/>
          <w:szCs w:val="24"/>
        </w:rPr>
        <w:t xml:space="preserve">in the </w:t>
      </w:r>
      <w:r w:rsidR="000A02A2" w:rsidRPr="00B764E7">
        <w:rPr>
          <w:rFonts w:cs="Times New Roman"/>
          <w:i/>
          <w:szCs w:val="24"/>
        </w:rPr>
        <w:t>gig economy</w:t>
      </w:r>
      <w:r w:rsidRPr="000B1DE6">
        <w:rPr>
          <w:rFonts w:cs="Times New Roman"/>
          <w:szCs w:val="24"/>
        </w:rPr>
        <w:t xml:space="preserve">. </w:t>
      </w:r>
      <w:r w:rsidR="00203659">
        <w:rPr>
          <w:rFonts w:cs="Times New Roman"/>
          <w:szCs w:val="24"/>
        </w:rPr>
        <w:t>R</w:t>
      </w:r>
      <w:r>
        <w:rPr>
          <w:rFonts w:cs="Times New Roman"/>
          <w:szCs w:val="24"/>
        </w:rPr>
        <w:t>etrieved</w:t>
      </w:r>
      <w:r w:rsidRPr="000B1DE6">
        <w:rPr>
          <w:rFonts w:cs="Times New Roman"/>
          <w:szCs w:val="24"/>
        </w:rPr>
        <w:t xml:space="preserve"> from: </w:t>
      </w:r>
      <w:hyperlink r:id="rId24" w:history="1">
        <w:r w:rsidR="00347E57" w:rsidRPr="00706316">
          <w:rPr>
            <w:rStyle w:val="Hyperlink"/>
            <w:rFonts w:cs="Times New Roman"/>
            <w:szCs w:val="24"/>
          </w:rPr>
          <w:t>https://assets.publishing.service.gov.uk/government/uploads/system/uploads/attachment_data/file/687553/The_characteristics_of_those_in_the_gig_economy.pdf</w:t>
        </w:r>
      </w:hyperlink>
      <w:r w:rsidR="00347E57">
        <w:rPr>
          <w:rFonts w:cs="Times New Roman"/>
          <w:szCs w:val="24"/>
        </w:rPr>
        <w:t xml:space="preserve"> </w:t>
      </w:r>
    </w:p>
    <w:p w14:paraId="1F6499D7" w14:textId="47A6CC8D" w:rsidR="00BC78AC" w:rsidRPr="000B1DE6" w:rsidRDefault="00BC78AC" w:rsidP="00044334">
      <w:pPr>
        <w:spacing w:before="240" w:after="0"/>
        <w:ind w:left="720" w:hanging="720"/>
        <w:rPr>
          <w:rFonts w:cs="Times New Roman"/>
          <w:szCs w:val="24"/>
        </w:rPr>
      </w:pPr>
      <w:r w:rsidRPr="000B1DE6">
        <w:rPr>
          <w:rFonts w:cs="Times New Roman"/>
          <w:szCs w:val="24"/>
        </w:rPr>
        <w:t>Department for Business, Innovation and Skills (BIS)</w:t>
      </w:r>
      <w:r>
        <w:rPr>
          <w:rFonts w:cs="Times New Roman"/>
          <w:szCs w:val="24"/>
        </w:rPr>
        <w:t>.</w:t>
      </w:r>
      <w:r w:rsidRPr="000B1DE6">
        <w:rPr>
          <w:rFonts w:cs="Times New Roman"/>
          <w:szCs w:val="24"/>
        </w:rPr>
        <w:t xml:space="preserve"> (2012)</w:t>
      </w:r>
      <w:r>
        <w:rPr>
          <w:rFonts w:cs="Times New Roman"/>
          <w:szCs w:val="24"/>
        </w:rPr>
        <w:t>.</w:t>
      </w:r>
      <w:r w:rsidRPr="000B1DE6">
        <w:rPr>
          <w:rFonts w:cs="Times New Roman"/>
          <w:szCs w:val="24"/>
        </w:rPr>
        <w:t xml:space="preserve"> </w:t>
      </w:r>
      <w:r w:rsidRPr="00B764E7">
        <w:rPr>
          <w:rFonts w:cs="Times New Roman"/>
          <w:i/>
          <w:szCs w:val="24"/>
        </w:rPr>
        <w:t xml:space="preserve">The </w:t>
      </w:r>
      <w:r w:rsidR="000A02A2" w:rsidRPr="00B764E7">
        <w:rPr>
          <w:rFonts w:cs="Times New Roman"/>
          <w:i/>
          <w:szCs w:val="24"/>
        </w:rPr>
        <w:t>fourth employee work</w:t>
      </w:r>
      <w:r w:rsidRPr="00B764E7">
        <w:rPr>
          <w:rFonts w:cs="Times New Roman"/>
          <w:i/>
          <w:szCs w:val="24"/>
        </w:rPr>
        <w:t>-</w:t>
      </w:r>
      <w:r w:rsidR="000A02A2" w:rsidRPr="00B764E7">
        <w:rPr>
          <w:rFonts w:cs="Times New Roman"/>
          <w:i/>
          <w:szCs w:val="24"/>
        </w:rPr>
        <w:t>life balance employee survey</w:t>
      </w:r>
      <w:r w:rsidRPr="000B1DE6">
        <w:rPr>
          <w:rFonts w:cs="Times New Roman"/>
          <w:szCs w:val="24"/>
        </w:rPr>
        <w:t xml:space="preserve">. </w:t>
      </w:r>
      <w:r w:rsidR="000A02A2">
        <w:rPr>
          <w:rFonts w:cs="Times New Roman"/>
          <w:szCs w:val="24"/>
        </w:rPr>
        <w:t>R</w:t>
      </w:r>
      <w:r>
        <w:rPr>
          <w:rFonts w:cs="Times New Roman"/>
          <w:szCs w:val="24"/>
        </w:rPr>
        <w:t>etrieved</w:t>
      </w:r>
      <w:r w:rsidRPr="000B1DE6">
        <w:rPr>
          <w:rFonts w:cs="Times New Roman"/>
          <w:szCs w:val="24"/>
        </w:rPr>
        <w:t xml:space="preserve"> from: </w:t>
      </w:r>
      <w:hyperlink r:id="rId25" w:history="1">
        <w:r w:rsidRPr="000B1DE6">
          <w:rPr>
            <w:rStyle w:val="Hyperlink"/>
            <w:rFonts w:cs="Times New Roman"/>
            <w:szCs w:val="24"/>
          </w:rPr>
          <w:t>http://natcen.ac.uk/media/27899/fourth-work-life-balancestudy.pdf</w:t>
        </w:r>
      </w:hyperlink>
      <w:r w:rsidR="00203659">
        <w:rPr>
          <w:rStyle w:val="Hyperlink"/>
          <w:rFonts w:cs="Times New Roman"/>
          <w:szCs w:val="24"/>
        </w:rPr>
        <w:t>.</w:t>
      </w:r>
    </w:p>
    <w:p w14:paraId="716E7F88" w14:textId="01E6F392" w:rsidR="00BC78AC" w:rsidRPr="000B1DE6" w:rsidRDefault="00BC78AC" w:rsidP="00044334">
      <w:pPr>
        <w:spacing w:after="0"/>
        <w:ind w:left="720" w:hanging="720"/>
        <w:rPr>
          <w:rFonts w:eastAsia="Times New Roman" w:cs="Times New Roman"/>
          <w:szCs w:val="24"/>
          <w:lang w:eastAsia="en-GB"/>
        </w:rPr>
      </w:pPr>
      <w:r w:rsidRPr="009B52D4">
        <w:rPr>
          <w:rFonts w:eastAsia="Times New Roman" w:cs="Times New Roman"/>
          <w:szCs w:val="24"/>
          <w:lang w:eastAsia="en-GB"/>
        </w:rPr>
        <w:t>Douglass, R. P., Velez, B. L., Conlin, S. E., Duffy, R. D., &amp; England, J. W. (2017). Examining the psychology</w:t>
      </w:r>
      <w:r w:rsidRPr="000B1DE6">
        <w:rPr>
          <w:rFonts w:eastAsia="Times New Roman" w:cs="Times New Roman"/>
          <w:szCs w:val="24"/>
          <w:lang w:eastAsia="en-GB"/>
        </w:rPr>
        <w:t xml:space="preserve"> </w:t>
      </w:r>
      <w:r w:rsidRPr="009B52D4">
        <w:rPr>
          <w:rFonts w:eastAsia="Times New Roman" w:cs="Times New Roman"/>
          <w:szCs w:val="24"/>
          <w:lang w:eastAsia="en-GB"/>
        </w:rPr>
        <w:t>of working theory: Decent work among sexual minorities.</w:t>
      </w:r>
      <w:r w:rsidRPr="000B1DE6">
        <w:rPr>
          <w:rFonts w:eastAsia="Times New Roman" w:cs="Times New Roman"/>
          <w:szCs w:val="24"/>
          <w:lang w:eastAsia="en-GB"/>
        </w:rPr>
        <w:t xml:space="preserve"> </w:t>
      </w:r>
      <w:r w:rsidRPr="000B1DE6">
        <w:rPr>
          <w:rFonts w:eastAsia="Times New Roman" w:cs="Times New Roman"/>
          <w:i/>
          <w:szCs w:val="24"/>
          <w:lang w:eastAsia="en-GB"/>
        </w:rPr>
        <w:t xml:space="preserve">Journal of Counseling </w:t>
      </w:r>
      <w:r w:rsidRPr="009B52D4">
        <w:rPr>
          <w:rFonts w:eastAsia="Times New Roman" w:cs="Times New Roman"/>
          <w:i/>
          <w:szCs w:val="24"/>
          <w:lang w:eastAsia="en-GB"/>
        </w:rPr>
        <w:t>Psychology</w:t>
      </w:r>
      <w:r w:rsidRPr="004C46AB">
        <w:rPr>
          <w:rFonts w:eastAsia="Times New Roman" w:cs="Times New Roman"/>
          <w:i/>
          <w:szCs w:val="24"/>
          <w:lang w:eastAsia="en-GB"/>
        </w:rPr>
        <w:t>, 64,</w:t>
      </w:r>
      <w:r w:rsidRPr="009B52D4">
        <w:rPr>
          <w:rFonts w:eastAsia="Times New Roman" w:cs="Times New Roman"/>
          <w:szCs w:val="24"/>
          <w:lang w:eastAsia="en-GB"/>
        </w:rPr>
        <w:t xml:space="preserve"> 550–559.</w:t>
      </w:r>
      <w:r w:rsidR="000361AB">
        <w:rPr>
          <w:rFonts w:eastAsia="Times New Roman" w:cs="Times New Roman"/>
          <w:szCs w:val="24"/>
          <w:lang w:eastAsia="en-GB"/>
        </w:rPr>
        <w:t xml:space="preserve"> </w:t>
      </w:r>
      <w:hyperlink r:id="rId26" w:tgtFrame="_blank" w:history="1">
        <w:r w:rsidR="000361AB" w:rsidRPr="000361AB">
          <w:rPr>
            <w:rStyle w:val="Hyperlink"/>
            <w:rFonts w:eastAsia="Times New Roman" w:cs="Times New Roman"/>
            <w:szCs w:val="24"/>
            <w:lang w:eastAsia="en-GB"/>
          </w:rPr>
          <w:t>http://dx.doi.org/10.1037/cou0000212</w:t>
        </w:r>
      </w:hyperlink>
    </w:p>
    <w:p w14:paraId="4AD6B864" w14:textId="7CE3D91D" w:rsidR="00BC78AC" w:rsidRPr="00795B71" w:rsidRDefault="00BC78AC" w:rsidP="00044334">
      <w:pPr>
        <w:spacing w:before="240" w:after="0"/>
        <w:rPr>
          <w:rFonts w:cs="Times New Roman"/>
          <w:szCs w:val="24"/>
        </w:rPr>
      </w:pPr>
      <w:r>
        <w:rPr>
          <w:rFonts w:cs="Times New Roman"/>
          <w:szCs w:val="24"/>
        </w:rPr>
        <w:t xml:space="preserve">Dorling, D. (2013). </w:t>
      </w:r>
      <w:r w:rsidR="006E474E">
        <w:rPr>
          <w:rFonts w:cs="Times New Roman"/>
          <w:i/>
          <w:szCs w:val="24"/>
        </w:rPr>
        <w:t>The population of the UK. (2</w:t>
      </w:r>
      <w:r w:rsidR="006E474E" w:rsidRPr="006E474E">
        <w:rPr>
          <w:rFonts w:cs="Times New Roman"/>
          <w:i/>
          <w:szCs w:val="24"/>
          <w:vertAlign w:val="superscript"/>
        </w:rPr>
        <w:t>nd</w:t>
      </w:r>
      <w:r w:rsidR="006E474E">
        <w:rPr>
          <w:rFonts w:cs="Times New Roman"/>
          <w:i/>
          <w:szCs w:val="24"/>
        </w:rPr>
        <w:t xml:space="preserve"> ed.)</w:t>
      </w:r>
      <w:r>
        <w:rPr>
          <w:rFonts w:cs="Times New Roman"/>
          <w:i/>
          <w:szCs w:val="24"/>
        </w:rPr>
        <w:t xml:space="preserve"> </w:t>
      </w:r>
      <w:r>
        <w:rPr>
          <w:rFonts w:cs="Times New Roman"/>
          <w:szCs w:val="24"/>
        </w:rPr>
        <w:t xml:space="preserve">London: </w:t>
      </w:r>
      <w:r w:rsidR="006E474E">
        <w:rPr>
          <w:rFonts w:cs="Times New Roman"/>
          <w:szCs w:val="24"/>
        </w:rPr>
        <w:t>SAGE</w:t>
      </w:r>
      <w:r>
        <w:rPr>
          <w:rFonts w:cs="Times New Roman"/>
          <w:szCs w:val="24"/>
        </w:rPr>
        <w:t>.</w:t>
      </w:r>
    </w:p>
    <w:p w14:paraId="2A6CC3AC" w14:textId="09074FFB" w:rsidR="00BC78AC" w:rsidRPr="000B1DE6" w:rsidRDefault="00BC78AC" w:rsidP="00044334">
      <w:pPr>
        <w:spacing w:before="240" w:after="0"/>
        <w:ind w:left="720" w:hanging="720"/>
        <w:rPr>
          <w:rFonts w:cs="Times New Roman"/>
          <w:szCs w:val="24"/>
        </w:rPr>
      </w:pPr>
      <w:r w:rsidRPr="000B1DE6">
        <w:rPr>
          <w:rFonts w:cs="Times New Roman"/>
          <w:szCs w:val="24"/>
        </w:rPr>
        <w:t xml:space="preserve">Duffy, R. D., Blustein, D. L., Diemer, M. A., &amp; Autin, K. L. (2016). The psychology of working theory. </w:t>
      </w:r>
      <w:r w:rsidRPr="00B764E7">
        <w:rPr>
          <w:rFonts w:cs="Times New Roman"/>
          <w:i/>
          <w:szCs w:val="24"/>
        </w:rPr>
        <w:t>Journal</w:t>
      </w:r>
      <w:r w:rsidR="000A02A2" w:rsidRPr="00B764E7">
        <w:rPr>
          <w:rFonts w:cs="Times New Roman"/>
          <w:i/>
          <w:szCs w:val="24"/>
        </w:rPr>
        <w:t xml:space="preserve"> </w:t>
      </w:r>
      <w:r w:rsidRPr="00B764E7">
        <w:rPr>
          <w:rFonts w:cs="Times New Roman"/>
          <w:i/>
          <w:szCs w:val="24"/>
        </w:rPr>
        <w:t>of Counseling Psychology</w:t>
      </w:r>
      <w:r w:rsidRPr="000B1DE6">
        <w:rPr>
          <w:rFonts w:cs="Times New Roman"/>
          <w:szCs w:val="24"/>
        </w:rPr>
        <w:t xml:space="preserve">, </w:t>
      </w:r>
      <w:r w:rsidRPr="004C46AB">
        <w:rPr>
          <w:rFonts w:cs="Times New Roman"/>
          <w:i/>
          <w:szCs w:val="24"/>
        </w:rPr>
        <w:t>63</w:t>
      </w:r>
      <w:r w:rsidRPr="000B1DE6">
        <w:rPr>
          <w:rFonts w:cs="Times New Roman"/>
          <w:szCs w:val="24"/>
        </w:rPr>
        <w:t>, 127–148.</w:t>
      </w:r>
      <w:r w:rsidR="00ED5824">
        <w:rPr>
          <w:rFonts w:cs="Times New Roman"/>
          <w:szCs w:val="24"/>
        </w:rPr>
        <w:t xml:space="preserve"> </w:t>
      </w:r>
      <w:hyperlink r:id="rId27" w:tgtFrame="_blank" w:history="1">
        <w:r w:rsidR="00ED5824" w:rsidRPr="00ED5824">
          <w:rPr>
            <w:rStyle w:val="Hyperlink"/>
            <w:rFonts w:cs="Times New Roman"/>
            <w:szCs w:val="24"/>
          </w:rPr>
          <w:t>http://dx.doi.org/10.1037/cou0000140</w:t>
        </w:r>
      </w:hyperlink>
    </w:p>
    <w:p w14:paraId="299B742E" w14:textId="1CABA4AC" w:rsidR="00BC78AC" w:rsidRDefault="00BC78AC" w:rsidP="00044334">
      <w:pPr>
        <w:spacing w:before="240"/>
        <w:ind w:left="720" w:hanging="720"/>
        <w:rPr>
          <w:rFonts w:cs="Times New Roman"/>
          <w:szCs w:val="24"/>
        </w:rPr>
      </w:pPr>
      <w:r w:rsidRPr="000B1DE6">
        <w:rPr>
          <w:rFonts w:cs="Times New Roman"/>
          <w:szCs w:val="24"/>
        </w:rPr>
        <w:t xml:space="preserve">Duffy, R.D., Allan, B.A., Blustein, D.L., England, J.W., Autin, K.L., Douglass, R.P., Ferreira, J., &amp; Santos, E.J.R. (2017). The development and initial validation of the </w:t>
      </w:r>
      <w:r w:rsidR="00DB1213">
        <w:rPr>
          <w:rFonts w:cs="Times New Roman"/>
          <w:szCs w:val="24"/>
        </w:rPr>
        <w:t>D</w:t>
      </w:r>
      <w:r w:rsidRPr="000B1DE6">
        <w:rPr>
          <w:rFonts w:cs="Times New Roman"/>
          <w:szCs w:val="24"/>
        </w:rPr>
        <w:t xml:space="preserve">ecent </w:t>
      </w:r>
      <w:r w:rsidR="00DB1213">
        <w:rPr>
          <w:rFonts w:cs="Times New Roman"/>
          <w:szCs w:val="24"/>
        </w:rPr>
        <w:t>W</w:t>
      </w:r>
      <w:r w:rsidRPr="000B1DE6">
        <w:rPr>
          <w:rFonts w:cs="Times New Roman"/>
          <w:szCs w:val="24"/>
        </w:rPr>
        <w:t xml:space="preserve">ork </w:t>
      </w:r>
      <w:r w:rsidR="00DB1213">
        <w:rPr>
          <w:rFonts w:cs="Times New Roman"/>
          <w:szCs w:val="24"/>
        </w:rPr>
        <w:t>S</w:t>
      </w:r>
      <w:r w:rsidRPr="000B1DE6">
        <w:rPr>
          <w:rFonts w:cs="Times New Roman"/>
          <w:szCs w:val="24"/>
        </w:rPr>
        <w:t xml:space="preserve">cale. </w:t>
      </w:r>
      <w:r w:rsidRPr="000B1DE6">
        <w:rPr>
          <w:rFonts w:cs="Times New Roman"/>
          <w:i/>
          <w:szCs w:val="24"/>
        </w:rPr>
        <w:t>Journal of Counseling Psychology, 64</w:t>
      </w:r>
      <w:r w:rsidRPr="000B1DE6">
        <w:rPr>
          <w:rFonts w:cs="Times New Roman"/>
          <w:szCs w:val="24"/>
        </w:rPr>
        <w:t xml:space="preserve">, 206-221. </w:t>
      </w:r>
      <w:hyperlink r:id="rId28" w:tgtFrame="_blank" w:history="1">
        <w:r w:rsidR="007F13A3" w:rsidRPr="007F13A3">
          <w:rPr>
            <w:rStyle w:val="Hyperlink"/>
            <w:rFonts w:cs="Times New Roman"/>
            <w:szCs w:val="24"/>
          </w:rPr>
          <w:t>http://dx.doi.org/10.1037/cou0000191</w:t>
        </w:r>
      </w:hyperlink>
    </w:p>
    <w:p w14:paraId="35BF17D7" w14:textId="728707F9" w:rsidR="00ED1599" w:rsidRPr="00ED1599" w:rsidRDefault="00ED1599" w:rsidP="00044334">
      <w:pPr>
        <w:ind w:left="720" w:hanging="720"/>
        <w:rPr>
          <w:rFonts w:eastAsia="Calibri" w:cs="Times New Roman"/>
        </w:rPr>
      </w:pPr>
      <w:r w:rsidRPr="00ED1599">
        <w:rPr>
          <w:rFonts w:eastAsia="Calibri" w:cs="Times New Roman"/>
        </w:rPr>
        <w:t xml:space="preserve">Eurofound. (2017). </w:t>
      </w:r>
      <w:r w:rsidRPr="00ED1599">
        <w:rPr>
          <w:rFonts w:eastAsia="Calibri" w:cs="Times New Roman"/>
          <w:i/>
        </w:rPr>
        <w:t xml:space="preserve">European </w:t>
      </w:r>
      <w:r w:rsidR="00203659">
        <w:rPr>
          <w:rFonts w:eastAsia="Calibri" w:cs="Times New Roman"/>
          <w:i/>
        </w:rPr>
        <w:t>q</w:t>
      </w:r>
      <w:r w:rsidR="00203659" w:rsidRPr="00ED1599">
        <w:rPr>
          <w:rFonts w:eastAsia="Calibri" w:cs="Times New Roman"/>
          <w:i/>
        </w:rPr>
        <w:t xml:space="preserve">uality </w:t>
      </w:r>
      <w:r w:rsidRPr="00ED1599">
        <w:rPr>
          <w:rFonts w:eastAsia="Calibri" w:cs="Times New Roman"/>
          <w:i/>
        </w:rPr>
        <w:t xml:space="preserve">of </w:t>
      </w:r>
      <w:r w:rsidR="00203659">
        <w:rPr>
          <w:rFonts w:eastAsia="Calibri" w:cs="Times New Roman"/>
          <w:i/>
        </w:rPr>
        <w:t>l</w:t>
      </w:r>
      <w:r w:rsidR="00203659" w:rsidRPr="00ED1599">
        <w:rPr>
          <w:rFonts w:eastAsia="Calibri" w:cs="Times New Roman"/>
          <w:i/>
        </w:rPr>
        <w:t xml:space="preserve">ife </w:t>
      </w:r>
      <w:r w:rsidR="00203659">
        <w:rPr>
          <w:rFonts w:eastAsia="Calibri" w:cs="Times New Roman"/>
          <w:i/>
        </w:rPr>
        <w:t>s</w:t>
      </w:r>
      <w:r w:rsidR="00203659" w:rsidRPr="00ED1599">
        <w:rPr>
          <w:rFonts w:eastAsia="Calibri" w:cs="Times New Roman"/>
          <w:i/>
        </w:rPr>
        <w:t xml:space="preserve">urvey </w:t>
      </w:r>
      <w:r w:rsidRPr="00ED1599">
        <w:rPr>
          <w:rFonts w:eastAsia="Calibri" w:cs="Times New Roman"/>
          <w:i/>
        </w:rPr>
        <w:t>2016</w:t>
      </w:r>
      <w:r w:rsidR="00203659">
        <w:rPr>
          <w:rFonts w:eastAsia="Calibri" w:cs="Times New Roman"/>
          <w:i/>
        </w:rPr>
        <w:t xml:space="preserve">. </w:t>
      </w:r>
      <w:r w:rsidR="00203659">
        <w:rPr>
          <w:rFonts w:eastAsia="Calibri" w:cs="Times New Roman"/>
        </w:rPr>
        <w:t>Retrieved from</w:t>
      </w:r>
      <w:r w:rsidRPr="00ED1599">
        <w:rPr>
          <w:rFonts w:eastAsia="Calibri" w:cs="Times New Roman"/>
        </w:rPr>
        <w:t xml:space="preserve">: </w:t>
      </w:r>
    </w:p>
    <w:p w14:paraId="7F02526B" w14:textId="06093F46" w:rsidR="00ED1599" w:rsidRPr="00ED1599" w:rsidRDefault="00502702" w:rsidP="00044334">
      <w:pPr>
        <w:ind w:left="720"/>
        <w:rPr>
          <w:rFonts w:eastAsia="Calibri" w:cs="Times New Roman"/>
          <w:color w:val="0563C1"/>
          <w:u w:val="single"/>
        </w:rPr>
      </w:pPr>
      <w:hyperlink r:id="rId29" w:history="1">
        <w:r w:rsidR="00ED1599" w:rsidRPr="00ED1599">
          <w:rPr>
            <w:rFonts w:eastAsia="Calibri" w:cs="Times New Roman"/>
            <w:color w:val="0563C1"/>
            <w:u w:val="single"/>
          </w:rPr>
          <w:t>https://www.eurofound.europa.eu/sites/default/files/ef_publication/field_ef_document/ef1733en.pdf</w:t>
        </w:r>
      </w:hyperlink>
      <w:r w:rsidR="00203659">
        <w:rPr>
          <w:rFonts w:eastAsia="Calibri" w:cs="Times New Roman"/>
          <w:color w:val="0563C1"/>
          <w:u w:val="single"/>
        </w:rPr>
        <w:t xml:space="preserve">. </w:t>
      </w:r>
    </w:p>
    <w:p w14:paraId="4BC4C241" w14:textId="460CE240" w:rsidR="00BC78AC" w:rsidRPr="000B1DE6" w:rsidRDefault="00BC78AC" w:rsidP="00044334">
      <w:pPr>
        <w:ind w:left="720" w:hanging="720"/>
        <w:rPr>
          <w:rFonts w:cs="Times New Roman"/>
          <w:szCs w:val="24"/>
        </w:rPr>
      </w:pPr>
      <w:r w:rsidRPr="000B1DE6">
        <w:rPr>
          <w:rFonts w:cs="Times New Roman"/>
          <w:szCs w:val="24"/>
        </w:rPr>
        <w:t>Fawcett Society</w:t>
      </w:r>
      <w:r>
        <w:rPr>
          <w:rFonts w:cs="Times New Roman"/>
          <w:szCs w:val="24"/>
        </w:rPr>
        <w:t>.</w:t>
      </w:r>
      <w:r w:rsidRPr="000B1DE6">
        <w:rPr>
          <w:rFonts w:cs="Times New Roman"/>
          <w:szCs w:val="24"/>
        </w:rPr>
        <w:t xml:space="preserve"> (2018)</w:t>
      </w:r>
      <w:r>
        <w:rPr>
          <w:rFonts w:cs="Times New Roman"/>
          <w:szCs w:val="24"/>
        </w:rPr>
        <w:t>.</w:t>
      </w:r>
      <w:r w:rsidRPr="000B1DE6">
        <w:rPr>
          <w:rFonts w:cs="Times New Roman"/>
          <w:szCs w:val="24"/>
        </w:rPr>
        <w:t xml:space="preserve"> </w:t>
      </w:r>
      <w:r w:rsidRPr="00A008B6">
        <w:rPr>
          <w:rFonts w:cs="Times New Roman"/>
          <w:i/>
          <w:szCs w:val="24"/>
        </w:rPr>
        <w:t xml:space="preserve">Close the </w:t>
      </w:r>
      <w:r w:rsidR="00203659" w:rsidRPr="00A008B6">
        <w:rPr>
          <w:rFonts w:cs="Times New Roman"/>
          <w:i/>
          <w:szCs w:val="24"/>
        </w:rPr>
        <w:t>gender pay gap</w:t>
      </w:r>
      <w:r w:rsidRPr="000B1DE6">
        <w:rPr>
          <w:rFonts w:cs="Times New Roman"/>
          <w:szCs w:val="24"/>
        </w:rPr>
        <w:t xml:space="preserve">. </w:t>
      </w:r>
      <w:r w:rsidR="00203659">
        <w:rPr>
          <w:rFonts w:cs="Times New Roman"/>
          <w:szCs w:val="24"/>
        </w:rPr>
        <w:t>R</w:t>
      </w:r>
      <w:r>
        <w:rPr>
          <w:rFonts w:cs="Times New Roman"/>
          <w:szCs w:val="24"/>
        </w:rPr>
        <w:t>etrieved</w:t>
      </w:r>
      <w:r w:rsidRPr="000B1DE6">
        <w:rPr>
          <w:rFonts w:cs="Times New Roman"/>
          <w:szCs w:val="24"/>
        </w:rPr>
        <w:t xml:space="preserve"> from: </w:t>
      </w:r>
      <w:hyperlink r:id="rId30" w:history="1">
        <w:r w:rsidRPr="000B1DE6">
          <w:rPr>
            <w:rStyle w:val="Hyperlink"/>
            <w:rFonts w:cs="Times New Roman"/>
            <w:szCs w:val="24"/>
          </w:rPr>
          <w:t>https://www.fawcettsociety.org.uk/close-gender-pay-gap</w:t>
        </w:r>
      </w:hyperlink>
      <w:r w:rsidR="00203659">
        <w:rPr>
          <w:rStyle w:val="Hyperlink"/>
          <w:rFonts w:cs="Times New Roman"/>
          <w:szCs w:val="24"/>
        </w:rPr>
        <w:t>.</w:t>
      </w:r>
      <w:r w:rsidRPr="000B1DE6">
        <w:rPr>
          <w:rFonts w:cs="Times New Roman"/>
          <w:szCs w:val="24"/>
        </w:rPr>
        <w:t xml:space="preserve"> </w:t>
      </w:r>
    </w:p>
    <w:p w14:paraId="0638EA5F" w14:textId="54965D5F" w:rsidR="00D54644" w:rsidRDefault="00D54644" w:rsidP="00044334">
      <w:pPr>
        <w:spacing w:after="0"/>
        <w:ind w:left="720" w:hanging="720"/>
        <w:rPr>
          <w:rFonts w:eastAsia="Times New Roman" w:cs="Times New Roman"/>
          <w:szCs w:val="24"/>
        </w:rPr>
      </w:pPr>
      <w:r w:rsidRPr="00DA5E68">
        <w:rPr>
          <w:rFonts w:eastAsia="Times New Roman" w:cs="Times New Roman"/>
          <w:szCs w:val="24"/>
        </w:rPr>
        <w:t xml:space="preserve">Ford, J. </w:t>
      </w:r>
      <w:r>
        <w:rPr>
          <w:rFonts w:eastAsia="Times New Roman" w:cs="Times New Roman"/>
          <w:szCs w:val="24"/>
        </w:rPr>
        <w:t>&amp;</w:t>
      </w:r>
      <w:r w:rsidRPr="00DA5E68">
        <w:rPr>
          <w:rFonts w:eastAsia="Times New Roman" w:cs="Times New Roman"/>
          <w:szCs w:val="24"/>
        </w:rPr>
        <w:t xml:space="preserve"> Collinson, D. </w:t>
      </w:r>
      <w:r>
        <w:rPr>
          <w:rFonts w:eastAsia="Times New Roman" w:cs="Times New Roman"/>
          <w:szCs w:val="24"/>
        </w:rPr>
        <w:t>(</w:t>
      </w:r>
      <w:r w:rsidRPr="00DA5E68">
        <w:rPr>
          <w:rFonts w:eastAsia="Times New Roman" w:cs="Times New Roman"/>
          <w:szCs w:val="24"/>
        </w:rPr>
        <w:t>2011</w:t>
      </w:r>
      <w:r>
        <w:rPr>
          <w:rFonts w:eastAsia="Times New Roman" w:cs="Times New Roman"/>
          <w:szCs w:val="24"/>
        </w:rPr>
        <w:t xml:space="preserve">). </w:t>
      </w:r>
      <w:r w:rsidRPr="00DA5E68">
        <w:rPr>
          <w:rFonts w:eastAsia="Times New Roman" w:cs="Times New Roman"/>
          <w:szCs w:val="24"/>
        </w:rPr>
        <w:t xml:space="preserve">In </w:t>
      </w:r>
      <w:r w:rsidR="00203659">
        <w:rPr>
          <w:rFonts w:eastAsia="Times New Roman" w:cs="Times New Roman"/>
          <w:szCs w:val="24"/>
        </w:rPr>
        <w:t>s</w:t>
      </w:r>
      <w:r w:rsidRPr="00DA5E68">
        <w:rPr>
          <w:rFonts w:eastAsia="Times New Roman" w:cs="Times New Roman"/>
          <w:szCs w:val="24"/>
        </w:rPr>
        <w:t xml:space="preserve">earch of the </w:t>
      </w:r>
      <w:r w:rsidR="00203659">
        <w:rPr>
          <w:rFonts w:eastAsia="Times New Roman" w:cs="Times New Roman"/>
          <w:szCs w:val="24"/>
        </w:rPr>
        <w:t>p</w:t>
      </w:r>
      <w:r w:rsidR="00203659" w:rsidRPr="00DA5E68">
        <w:rPr>
          <w:rFonts w:eastAsia="Times New Roman" w:cs="Times New Roman"/>
          <w:szCs w:val="24"/>
        </w:rPr>
        <w:t xml:space="preserve">erfect </w:t>
      </w:r>
      <w:r w:rsidR="00203659">
        <w:rPr>
          <w:rFonts w:eastAsia="Times New Roman" w:cs="Times New Roman"/>
          <w:szCs w:val="24"/>
        </w:rPr>
        <w:t>m</w:t>
      </w:r>
      <w:r w:rsidR="00203659" w:rsidRPr="00DA5E68">
        <w:rPr>
          <w:rFonts w:eastAsia="Times New Roman" w:cs="Times New Roman"/>
          <w:szCs w:val="24"/>
        </w:rPr>
        <w:t>anager</w:t>
      </w:r>
      <w:r w:rsidRPr="00DA5E68">
        <w:rPr>
          <w:rFonts w:eastAsia="Times New Roman" w:cs="Times New Roman"/>
          <w:szCs w:val="24"/>
        </w:rPr>
        <w:t>? Work-l</w:t>
      </w:r>
      <w:r>
        <w:rPr>
          <w:rFonts w:eastAsia="Times New Roman" w:cs="Times New Roman"/>
          <w:szCs w:val="24"/>
        </w:rPr>
        <w:t xml:space="preserve">ife </w:t>
      </w:r>
      <w:r w:rsidR="00203659">
        <w:rPr>
          <w:rFonts w:eastAsia="Times New Roman" w:cs="Times New Roman"/>
          <w:szCs w:val="24"/>
        </w:rPr>
        <w:t xml:space="preserve">balance </w:t>
      </w:r>
      <w:r>
        <w:rPr>
          <w:rFonts w:eastAsia="Times New Roman" w:cs="Times New Roman"/>
          <w:szCs w:val="24"/>
        </w:rPr>
        <w:t xml:space="preserve">and </w:t>
      </w:r>
      <w:r w:rsidR="00203659">
        <w:rPr>
          <w:rFonts w:eastAsia="Times New Roman" w:cs="Times New Roman"/>
          <w:szCs w:val="24"/>
        </w:rPr>
        <w:t>managerial work</w:t>
      </w:r>
      <w:r>
        <w:rPr>
          <w:rFonts w:eastAsia="Times New Roman" w:cs="Times New Roman"/>
          <w:szCs w:val="24"/>
        </w:rPr>
        <w:t>.</w:t>
      </w:r>
      <w:r w:rsidRPr="00DA5E68">
        <w:rPr>
          <w:rFonts w:eastAsia="Times New Roman" w:cs="Times New Roman"/>
          <w:szCs w:val="24"/>
        </w:rPr>
        <w:t xml:space="preserve"> </w:t>
      </w:r>
      <w:r w:rsidRPr="00F3258E">
        <w:rPr>
          <w:rFonts w:eastAsia="Times New Roman" w:cs="Times New Roman"/>
          <w:i/>
          <w:szCs w:val="24"/>
        </w:rPr>
        <w:t>Work Employment Society,</w:t>
      </w:r>
      <w:r w:rsidRPr="00DA5E68">
        <w:rPr>
          <w:rFonts w:eastAsia="Times New Roman" w:cs="Times New Roman"/>
          <w:szCs w:val="24"/>
        </w:rPr>
        <w:t xml:space="preserve"> </w:t>
      </w:r>
      <w:r w:rsidRPr="00F3258E">
        <w:rPr>
          <w:rFonts w:eastAsia="Times New Roman" w:cs="Times New Roman"/>
          <w:i/>
          <w:szCs w:val="24"/>
        </w:rPr>
        <w:t>25</w:t>
      </w:r>
      <w:r>
        <w:rPr>
          <w:rFonts w:eastAsia="Times New Roman" w:cs="Times New Roman"/>
          <w:szCs w:val="24"/>
        </w:rPr>
        <w:t>(2),</w:t>
      </w:r>
      <w:r w:rsidRPr="00DA5E68">
        <w:rPr>
          <w:rFonts w:eastAsia="Times New Roman" w:cs="Times New Roman"/>
          <w:szCs w:val="24"/>
        </w:rPr>
        <w:t xml:space="preserve"> 257-273.</w:t>
      </w:r>
      <w:r w:rsidR="000331FB">
        <w:rPr>
          <w:rFonts w:eastAsia="Times New Roman" w:cs="Times New Roman"/>
          <w:szCs w:val="24"/>
        </w:rPr>
        <w:t xml:space="preserve"> </w:t>
      </w:r>
      <w:hyperlink r:id="rId31" w:history="1">
        <w:r w:rsidR="000331FB" w:rsidRPr="000331FB">
          <w:rPr>
            <w:rStyle w:val="Hyperlink"/>
            <w:rFonts w:eastAsia="Times New Roman" w:cs="Times New Roman"/>
            <w:szCs w:val="24"/>
          </w:rPr>
          <w:t>https://doi.org/10.1177/0950017011398895</w:t>
        </w:r>
      </w:hyperlink>
    </w:p>
    <w:p w14:paraId="5355E0D1" w14:textId="3F086B49" w:rsidR="00C133A6" w:rsidRDefault="00C133A6" w:rsidP="00044334">
      <w:pPr>
        <w:spacing w:before="240" w:after="0"/>
        <w:ind w:left="720" w:hanging="720"/>
        <w:rPr>
          <w:rFonts w:cs="Times New Roman"/>
          <w:szCs w:val="24"/>
        </w:rPr>
      </w:pPr>
      <w:r w:rsidRPr="00C133A6">
        <w:rPr>
          <w:rFonts w:cs="Times New Roman"/>
          <w:szCs w:val="24"/>
        </w:rPr>
        <w:t xml:space="preserve">Gini, A. (2013). </w:t>
      </w:r>
      <w:r w:rsidRPr="00B764E7">
        <w:rPr>
          <w:rFonts w:cs="Times New Roman"/>
          <w:i/>
          <w:szCs w:val="24"/>
        </w:rPr>
        <w:t>My job, my self: Work and the creation of the modern individual</w:t>
      </w:r>
      <w:r w:rsidRPr="00C133A6">
        <w:rPr>
          <w:rFonts w:cs="Times New Roman"/>
          <w:szCs w:val="24"/>
        </w:rPr>
        <w:t>. London: Routledge.</w:t>
      </w:r>
    </w:p>
    <w:p w14:paraId="565D24A2" w14:textId="7B38BAF9" w:rsidR="00BC78AC" w:rsidRDefault="00BC78AC" w:rsidP="00044334">
      <w:pPr>
        <w:spacing w:before="240" w:after="0"/>
        <w:ind w:left="720" w:hanging="720"/>
        <w:rPr>
          <w:rFonts w:cs="Times New Roman"/>
          <w:szCs w:val="24"/>
        </w:rPr>
      </w:pPr>
      <w:r w:rsidRPr="00A2360A">
        <w:rPr>
          <w:rFonts w:cs="Times New Roman"/>
          <w:szCs w:val="24"/>
        </w:rPr>
        <w:t xml:space="preserve">Hall, P. A. (2015). </w:t>
      </w:r>
      <w:r w:rsidRPr="00A008B6">
        <w:rPr>
          <w:rFonts w:cs="Times New Roman"/>
          <w:szCs w:val="24"/>
        </w:rPr>
        <w:t>Varieties of capitalism</w:t>
      </w:r>
      <w:r w:rsidRPr="00B764E7">
        <w:rPr>
          <w:rFonts w:cs="Times New Roman"/>
          <w:i/>
          <w:szCs w:val="24"/>
        </w:rPr>
        <w:t xml:space="preserve">. </w:t>
      </w:r>
      <w:r w:rsidR="007E1D41">
        <w:rPr>
          <w:rFonts w:cs="Times New Roman"/>
          <w:szCs w:val="24"/>
        </w:rPr>
        <w:t xml:space="preserve">In </w:t>
      </w:r>
      <w:r w:rsidR="00203659">
        <w:rPr>
          <w:rFonts w:cs="Times New Roman"/>
          <w:szCs w:val="24"/>
        </w:rPr>
        <w:t xml:space="preserve">R.A. </w:t>
      </w:r>
      <w:r w:rsidR="00AA20E0">
        <w:rPr>
          <w:rFonts w:cs="Times New Roman"/>
          <w:szCs w:val="24"/>
        </w:rPr>
        <w:t xml:space="preserve">Scott, </w:t>
      </w:r>
      <w:r w:rsidR="00203659">
        <w:rPr>
          <w:rFonts w:cs="Times New Roman"/>
          <w:szCs w:val="24"/>
        </w:rPr>
        <w:t xml:space="preserve">S.M. </w:t>
      </w:r>
      <w:r w:rsidR="00AA20E0">
        <w:rPr>
          <w:rFonts w:cs="Times New Roman"/>
          <w:szCs w:val="24"/>
        </w:rPr>
        <w:t xml:space="preserve">Kosslyn, &amp; </w:t>
      </w:r>
      <w:r w:rsidR="00203659">
        <w:rPr>
          <w:rFonts w:cs="Times New Roman"/>
          <w:szCs w:val="24"/>
        </w:rPr>
        <w:t xml:space="preserve">M. </w:t>
      </w:r>
      <w:r w:rsidR="00AA20E0">
        <w:rPr>
          <w:rFonts w:cs="Times New Roman"/>
          <w:szCs w:val="24"/>
        </w:rPr>
        <w:t>Buchmann</w:t>
      </w:r>
      <w:r w:rsidR="00AA20E0" w:rsidRPr="00A2360A">
        <w:rPr>
          <w:rFonts w:cs="Times New Roman"/>
          <w:szCs w:val="24"/>
        </w:rPr>
        <w:t xml:space="preserve"> </w:t>
      </w:r>
      <w:r w:rsidR="00AA20E0">
        <w:rPr>
          <w:rFonts w:cs="Times New Roman"/>
          <w:szCs w:val="24"/>
        </w:rPr>
        <w:t>(</w:t>
      </w:r>
      <w:r w:rsidR="00203659">
        <w:rPr>
          <w:rFonts w:cs="Times New Roman"/>
          <w:szCs w:val="24"/>
        </w:rPr>
        <w:t>Eds</w:t>
      </w:r>
      <w:r w:rsidR="00AA20E0">
        <w:rPr>
          <w:rFonts w:cs="Times New Roman"/>
          <w:szCs w:val="24"/>
        </w:rPr>
        <w:t xml:space="preserve">). </w:t>
      </w:r>
      <w:r w:rsidRPr="00B764E7">
        <w:rPr>
          <w:rFonts w:cs="Times New Roman"/>
          <w:i/>
          <w:szCs w:val="24"/>
        </w:rPr>
        <w:t xml:space="preserve">Emerging </w:t>
      </w:r>
      <w:r w:rsidR="000A02A2" w:rsidRPr="00B764E7">
        <w:rPr>
          <w:rFonts w:cs="Times New Roman"/>
          <w:i/>
          <w:szCs w:val="24"/>
        </w:rPr>
        <w:t>t</w:t>
      </w:r>
      <w:r w:rsidRPr="00B764E7">
        <w:rPr>
          <w:rFonts w:cs="Times New Roman"/>
          <w:i/>
          <w:szCs w:val="24"/>
        </w:rPr>
        <w:t xml:space="preserve">rends in the </w:t>
      </w:r>
      <w:r w:rsidR="000A02A2" w:rsidRPr="00B764E7">
        <w:rPr>
          <w:rFonts w:cs="Times New Roman"/>
          <w:i/>
          <w:szCs w:val="24"/>
        </w:rPr>
        <w:t xml:space="preserve">social </w:t>
      </w:r>
      <w:r w:rsidRPr="00B764E7">
        <w:rPr>
          <w:rFonts w:cs="Times New Roman"/>
          <w:i/>
          <w:szCs w:val="24"/>
        </w:rPr>
        <w:t xml:space="preserve">and </w:t>
      </w:r>
      <w:r w:rsidR="000A02A2" w:rsidRPr="00B764E7">
        <w:rPr>
          <w:rFonts w:cs="Times New Roman"/>
          <w:i/>
          <w:szCs w:val="24"/>
        </w:rPr>
        <w:t>behavioral sciences</w:t>
      </w:r>
      <w:r w:rsidRPr="00B764E7">
        <w:rPr>
          <w:rFonts w:cs="Times New Roman"/>
          <w:i/>
          <w:szCs w:val="24"/>
        </w:rPr>
        <w:t xml:space="preserve">: An </w:t>
      </w:r>
      <w:r w:rsidR="000A02A2" w:rsidRPr="00B764E7">
        <w:rPr>
          <w:rFonts w:cs="Times New Roman"/>
          <w:i/>
          <w:szCs w:val="24"/>
        </w:rPr>
        <w:t>interdisciplinary</w:t>
      </w:r>
      <w:r w:rsidRPr="00B764E7">
        <w:rPr>
          <w:rFonts w:cs="Times New Roman"/>
          <w:i/>
          <w:szCs w:val="24"/>
        </w:rPr>
        <w:t xml:space="preserve">, </w:t>
      </w:r>
      <w:r w:rsidR="000A02A2" w:rsidRPr="00B764E7">
        <w:rPr>
          <w:rFonts w:cs="Times New Roman"/>
          <w:i/>
          <w:szCs w:val="24"/>
        </w:rPr>
        <w:t>searchable</w:t>
      </w:r>
      <w:r w:rsidRPr="00B764E7">
        <w:rPr>
          <w:rFonts w:cs="Times New Roman"/>
          <w:i/>
          <w:szCs w:val="24"/>
        </w:rPr>
        <w:t xml:space="preserve">, and </w:t>
      </w:r>
      <w:r w:rsidR="000A02A2" w:rsidRPr="00B764E7">
        <w:rPr>
          <w:rFonts w:cs="Times New Roman"/>
          <w:i/>
          <w:szCs w:val="24"/>
        </w:rPr>
        <w:t>linkable resource</w:t>
      </w:r>
      <w:r w:rsidR="00203659">
        <w:rPr>
          <w:rFonts w:cs="Times New Roman"/>
          <w:i/>
          <w:szCs w:val="24"/>
        </w:rPr>
        <w:t xml:space="preserve"> </w:t>
      </w:r>
      <w:r w:rsidR="00203659" w:rsidRPr="00A008B6">
        <w:rPr>
          <w:rFonts w:cs="Times New Roman"/>
          <w:szCs w:val="24"/>
        </w:rPr>
        <w:t>(pp.1-15)</w:t>
      </w:r>
      <w:r w:rsidRPr="00A2360A">
        <w:rPr>
          <w:rFonts w:cs="Times New Roman"/>
          <w:szCs w:val="24"/>
        </w:rPr>
        <w:t>.</w:t>
      </w:r>
      <w:r w:rsidR="007E1D41">
        <w:rPr>
          <w:rFonts w:cs="Times New Roman"/>
          <w:szCs w:val="24"/>
        </w:rPr>
        <w:t xml:space="preserve"> Hoboken, NJ: John Wiley &amp; Sons.</w:t>
      </w:r>
    </w:p>
    <w:p w14:paraId="5BD16E84" w14:textId="6C70AE5B" w:rsidR="00C133A6" w:rsidRDefault="00C133A6" w:rsidP="00044334">
      <w:pPr>
        <w:spacing w:before="240" w:after="0"/>
        <w:rPr>
          <w:rFonts w:cs="Times New Roman"/>
          <w:szCs w:val="24"/>
        </w:rPr>
      </w:pPr>
      <w:r>
        <w:rPr>
          <w:rFonts w:cs="Times New Roman"/>
          <w:szCs w:val="24"/>
        </w:rPr>
        <w:t xml:space="preserve">Hall, P.A. &amp; Soskice, D. (2001). </w:t>
      </w:r>
      <w:r w:rsidRPr="00B764E7">
        <w:rPr>
          <w:rFonts w:cs="Times New Roman"/>
          <w:i/>
          <w:szCs w:val="24"/>
        </w:rPr>
        <w:t>Varieties of capitalism</w:t>
      </w:r>
      <w:r>
        <w:rPr>
          <w:rFonts w:cs="Times New Roman"/>
          <w:szCs w:val="24"/>
        </w:rPr>
        <w:t xml:space="preserve">. Oxford: Oxford University Press. </w:t>
      </w:r>
    </w:p>
    <w:p w14:paraId="4E533FB4" w14:textId="7C845EA1" w:rsidR="00BC78AC" w:rsidRDefault="00BC78AC" w:rsidP="00044334">
      <w:pPr>
        <w:spacing w:before="240" w:after="0"/>
        <w:ind w:left="720" w:hanging="720"/>
        <w:rPr>
          <w:rFonts w:cs="Times New Roman"/>
          <w:szCs w:val="24"/>
        </w:rPr>
      </w:pPr>
      <w:r>
        <w:rPr>
          <w:rFonts w:cs="Times New Roman"/>
          <w:szCs w:val="24"/>
        </w:rPr>
        <w:t xml:space="preserve">Health &amp; Saftety Executive. (n.d.) </w:t>
      </w:r>
      <w:r w:rsidRPr="00B764E7">
        <w:rPr>
          <w:rFonts w:cs="Times New Roman"/>
          <w:i/>
          <w:szCs w:val="24"/>
        </w:rPr>
        <w:t>A guide to health and safety regulation in Great Britain</w:t>
      </w:r>
      <w:r>
        <w:rPr>
          <w:rFonts w:cs="Times New Roman"/>
          <w:szCs w:val="24"/>
        </w:rPr>
        <w:t>.</w:t>
      </w:r>
      <w:r w:rsidR="000A02A2">
        <w:rPr>
          <w:rFonts w:cs="Times New Roman"/>
          <w:szCs w:val="24"/>
        </w:rPr>
        <w:t xml:space="preserve"> Retrieved from</w:t>
      </w:r>
      <w:r>
        <w:rPr>
          <w:rFonts w:cs="Times New Roman"/>
          <w:szCs w:val="24"/>
        </w:rPr>
        <w:t xml:space="preserve"> </w:t>
      </w:r>
      <w:hyperlink r:id="rId32" w:history="1">
        <w:r w:rsidRPr="00223429">
          <w:rPr>
            <w:rStyle w:val="Hyperlink"/>
            <w:rFonts w:cs="Times New Roman"/>
            <w:szCs w:val="24"/>
          </w:rPr>
          <w:t>http://www.hse.gov.uk/pubns/hse49.pdf</w:t>
        </w:r>
      </w:hyperlink>
      <w:r>
        <w:rPr>
          <w:rFonts w:cs="Times New Roman"/>
          <w:szCs w:val="24"/>
        </w:rPr>
        <w:t xml:space="preserve">. </w:t>
      </w:r>
    </w:p>
    <w:p w14:paraId="6ABFC8F6" w14:textId="3DDABF87" w:rsidR="00BC78AC" w:rsidRDefault="00BC78AC" w:rsidP="00044334">
      <w:pPr>
        <w:spacing w:before="240" w:after="0"/>
        <w:ind w:left="720" w:hanging="720"/>
        <w:rPr>
          <w:rFonts w:cs="Times New Roman"/>
          <w:szCs w:val="24"/>
        </w:rPr>
      </w:pPr>
      <w:r>
        <w:rPr>
          <w:rFonts w:cs="Times New Roman"/>
          <w:szCs w:val="24"/>
        </w:rPr>
        <w:t xml:space="preserve">Health &amp; Safety Executive. (2017a). </w:t>
      </w:r>
      <w:r w:rsidRPr="00B764E7">
        <w:rPr>
          <w:rFonts w:cs="Times New Roman"/>
          <w:i/>
          <w:szCs w:val="24"/>
        </w:rPr>
        <w:t>Fatal injuries from accidents at work in Great Britain</w:t>
      </w:r>
      <w:r>
        <w:rPr>
          <w:rFonts w:cs="Times New Roman"/>
          <w:szCs w:val="24"/>
        </w:rPr>
        <w:t xml:space="preserve"> 2017. </w:t>
      </w:r>
      <w:r w:rsidR="000A02A2">
        <w:rPr>
          <w:rFonts w:cs="Times New Roman"/>
          <w:szCs w:val="24"/>
        </w:rPr>
        <w:t>Retrieved from</w:t>
      </w:r>
      <w:r>
        <w:rPr>
          <w:rFonts w:cs="Times New Roman"/>
          <w:szCs w:val="24"/>
        </w:rPr>
        <w:t xml:space="preserve"> </w:t>
      </w:r>
      <w:hyperlink r:id="rId33" w:history="1">
        <w:r w:rsidRPr="00122D7B">
          <w:rPr>
            <w:rStyle w:val="Hyperlink"/>
            <w:rFonts w:cs="Times New Roman"/>
            <w:szCs w:val="24"/>
          </w:rPr>
          <w:t>http://www.hse.gov.uk/statistics/pdf/fatalinjuries.pdf</w:t>
        </w:r>
      </w:hyperlink>
      <w:r>
        <w:rPr>
          <w:rFonts w:cs="Times New Roman"/>
          <w:szCs w:val="24"/>
        </w:rPr>
        <w:t xml:space="preserve">]. </w:t>
      </w:r>
    </w:p>
    <w:p w14:paraId="5A8D66C6" w14:textId="236CE895" w:rsidR="00BC78AC" w:rsidRDefault="00BC78AC" w:rsidP="00044334">
      <w:pPr>
        <w:spacing w:before="240" w:after="0"/>
        <w:ind w:left="720" w:hanging="720"/>
        <w:rPr>
          <w:rFonts w:cs="Times New Roman"/>
          <w:szCs w:val="24"/>
        </w:rPr>
      </w:pPr>
      <w:r>
        <w:rPr>
          <w:rFonts w:cs="Times New Roman"/>
          <w:szCs w:val="24"/>
        </w:rPr>
        <w:t xml:space="preserve">Health &amp; Safety Executive. (2017b). </w:t>
      </w:r>
      <w:r w:rsidRPr="00B764E7">
        <w:rPr>
          <w:rFonts w:cs="Times New Roman"/>
          <w:i/>
          <w:szCs w:val="24"/>
        </w:rPr>
        <w:t>Work-related musculoskeletal disorders</w:t>
      </w:r>
      <w:r>
        <w:rPr>
          <w:rFonts w:cs="Times New Roman"/>
          <w:szCs w:val="24"/>
        </w:rPr>
        <w:t xml:space="preserve">. </w:t>
      </w:r>
      <w:r w:rsidR="000A02A2">
        <w:rPr>
          <w:rFonts w:cs="Times New Roman"/>
          <w:szCs w:val="24"/>
        </w:rPr>
        <w:t xml:space="preserve">Retrieved from </w:t>
      </w:r>
      <w:hyperlink r:id="rId34" w:history="1">
        <w:r w:rsidRPr="00122D7B">
          <w:rPr>
            <w:rStyle w:val="Hyperlink"/>
            <w:rFonts w:cs="Times New Roman"/>
            <w:szCs w:val="24"/>
          </w:rPr>
          <w:t>http://www.hse.gov.uk/statistics/causdis/musculoskeletal/index.htm</w:t>
        </w:r>
      </w:hyperlink>
      <w:r>
        <w:rPr>
          <w:rFonts w:cs="Times New Roman"/>
          <w:szCs w:val="24"/>
        </w:rPr>
        <w:t>.</w:t>
      </w:r>
    </w:p>
    <w:p w14:paraId="7DAC98DC" w14:textId="7F5FA05F" w:rsidR="00BC78AC" w:rsidRDefault="00BC78AC" w:rsidP="00044334">
      <w:pPr>
        <w:spacing w:before="240" w:after="0"/>
        <w:ind w:left="720" w:hanging="720"/>
        <w:rPr>
          <w:rFonts w:cs="Times New Roman"/>
          <w:szCs w:val="24"/>
        </w:rPr>
      </w:pPr>
      <w:r>
        <w:rPr>
          <w:rFonts w:cs="Times New Roman"/>
          <w:szCs w:val="24"/>
        </w:rPr>
        <w:t xml:space="preserve">Health &amp; Safety Executive. (2017c). </w:t>
      </w:r>
      <w:r w:rsidRPr="00B764E7">
        <w:rPr>
          <w:rFonts w:cs="Times New Roman"/>
          <w:i/>
          <w:szCs w:val="24"/>
        </w:rPr>
        <w:t>Work related stress, depression or anxiety</w:t>
      </w:r>
      <w:r>
        <w:rPr>
          <w:rFonts w:cs="Times New Roman"/>
          <w:szCs w:val="24"/>
        </w:rPr>
        <w:t xml:space="preserve">. </w:t>
      </w:r>
      <w:r w:rsidR="000A02A2">
        <w:rPr>
          <w:rFonts w:cs="Times New Roman"/>
          <w:szCs w:val="24"/>
        </w:rPr>
        <w:t xml:space="preserve">Retrieved from </w:t>
      </w:r>
      <w:hyperlink r:id="rId35" w:history="1">
        <w:r w:rsidR="000A02A2" w:rsidRPr="000A02A2">
          <w:rPr>
            <w:rStyle w:val="Hyperlink"/>
            <w:rFonts w:cs="Times New Roman"/>
            <w:szCs w:val="24"/>
          </w:rPr>
          <w:t>http://www.hse.gov.uk/statistics/causdis/stress/index.htm</w:t>
        </w:r>
      </w:hyperlink>
      <w:r>
        <w:rPr>
          <w:rFonts w:cs="Times New Roman"/>
          <w:szCs w:val="24"/>
        </w:rPr>
        <w:t>.</w:t>
      </w:r>
    </w:p>
    <w:p w14:paraId="61713571" w14:textId="6FCE901D" w:rsidR="00BC78AC" w:rsidRPr="000B1DE6" w:rsidRDefault="00BC78AC" w:rsidP="00044334">
      <w:pPr>
        <w:spacing w:before="240" w:after="0"/>
        <w:ind w:left="720" w:hanging="720"/>
        <w:rPr>
          <w:rFonts w:cs="Times New Roman"/>
          <w:szCs w:val="24"/>
        </w:rPr>
      </w:pPr>
      <w:r w:rsidRPr="000B1DE6">
        <w:rPr>
          <w:rFonts w:cs="Times New Roman"/>
          <w:szCs w:val="24"/>
        </w:rPr>
        <w:t>Hill, S. (2015)</w:t>
      </w:r>
      <w:r>
        <w:rPr>
          <w:rFonts w:cs="Times New Roman"/>
          <w:szCs w:val="24"/>
        </w:rPr>
        <w:t>.</w:t>
      </w:r>
      <w:r w:rsidRPr="000B1DE6">
        <w:rPr>
          <w:rFonts w:cs="Times New Roman"/>
          <w:szCs w:val="24"/>
        </w:rPr>
        <w:t xml:space="preserve"> </w:t>
      </w:r>
      <w:r w:rsidRPr="00EA4A37">
        <w:rPr>
          <w:rFonts w:cs="Times New Roman"/>
          <w:i/>
          <w:szCs w:val="24"/>
        </w:rPr>
        <w:t xml:space="preserve">Raw </w:t>
      </w:r>
      <w:r w:rsidR="000A02A2">
        <w:rPr>
          <w:rFonts w:cs="Times New Roman"/>
          <w:i/>
          <w:szCs w:val="24"/>
        </w:rPr>
        <w:t>d</w:t>
      </w:r>
      <w:r w:rsidR="000A02A2" w:rsidRPr="00EA4A37">
        <w:rPr>
          <w:rFonts w:cs="Times New Roman"/>
          <w:i/>
          <w:szCs w:val="24"/>
        </w:rPr>
        <w:t>eal</w:t>
      </w:r>
      <w:r w:rsidRPr="00EA4A37">
        <w:rPr>
          <w:rFonts w:cs="Times New Roman"/>
          <w:i/>
          <w:szCs w:val="24"/>
        </w:rPr>
        <w:t xml:space="preserve">: How the ‘Uber economy’ and the </w:t>
      </w:r>
      <w:r w:rsidR="000A02A2">
        <w:rPr>
          <w:rFonts w:cs="Times New Roman"/>
          <w:i/>
          <w:szCs w:val="24"/>
        </w:rPr>
        <w:t>r</w:t>
      </w:r>
      <w:r w:rsidR="000A02A2" w:rsidRPr="00EA4A37">
        <w:rPr>
          <w:rFonts w:cs="Times New Roman"/>
          <w:i/>
          <w:szCs w:val="24"/>
        </w:rPr>
        <w:t xml:space="preserve">unaway </w:t>
      </w:r>
      <w:r w:rsidRPr="00EA4A37">
        <w:rPr>
          <w:rFonts w:cs="Times New Roman"/>
          <w:i/>
          <w:szCs w:val="24"/>
        </w:rPr>
        <w:t xml:space="preserve">are </w:t>
      </w:r>
      <w:r w:rsidR="000A02A2">
        <w:rPr>
          <w:rFonts w:cs="Times New Roman"/>
          <w:i/>
          <w:szCs w:val="24"/>
        </w:rPr>
        <w:t>s</w:t>
      </w:r>
      <w:r w:rsidR="000A02A2" w:rsidRPr="00EA4A37">
        <w:rPr>
          <w:rFonts w:cs="Times New Roman"/>
          <w:i/>
          <w:szCs w:val="24"/>
        </w:rPr>
        <w:t xml:space="preserve">crewing </w:t>
      </w:r>
      <w:r w:rsidRPr="00EA4A37">
        <w:rPr>
          <w:rFonts w:cs="Times New Roman"/>
          <w:i/>
          <w:szCs w:val="24"/>
        </w:rPr>
        <w:t xml:space="preserve">American </w:t>
      </w:r>
      <w:r w:rsidR="000A02A2">
        <w:rPr>
          <w:rFonts w:cs="Times New Roman"/>
          <w:i/>
          <w:szCs w:val="24"/>
        </w:rPr>
        <w:t>w</w:t>
      </w:r>
      <w:r w:rsidR="000A02A2" w:rsidRPr="00EA4A37">
        <w:rPr>
          <w:rFonts w:cs="Times New Roman"/>
          <w:i/>
          <w:szCs w:val="24"/>
        </w:rPr>
        <w:t>orkers</w:t>
      </w:r>
      <w:r w:rsidRPr="00EA4A37">
        <w:rPr>
          <w:rFonts w:cs="Times New Roman"/>
          <w:i/>
          <w:szCs w:val="24"/>
        </w:rPr>
        <w:t>.</w:t>
      </w:r>
      <w:r w:rsidR="007E1D41">
        <w:rPr>
          <w:rFonts w:cs="Times New Roman"/>
          <w:szCs w:val="24"/>
        </w:rPr>
        <w:t xml:space="preserve"> New York:</w:t>
      </w:r>
      <w:r>
        <w:rPr>
          <w:rFonts w:cs="Times New Roman"/>
          <w:szCs w:val="24"/>
        </w:rPr>
        <w:t xml:space="preserve"> St. Martin’s Press. </w:t>
      </w:r>
    </w:p>
    <w:p w14:paraId="4F1C2444" w14:textId="794C0FFC" w:rsidR="00BC78AC" w:rsidRPr="00EA64DC" w:rsidRDefault="00BC78AC" w:rsidP="006C123A">
      <w:pPr>
        <w:spacing w:before="240" w:after="0"/>
        <w:ind w:left="720" w:hanging="720"/>
        <w:rPr>
          <w:rFonts w:cs="Times New Roman"/>
          <w:szCs w:val="24"/>
        </w:rPr>
      </w:pPr>
      <w:r>
        <w:rPr>
          <w:rFonts w:cs="Times New Roman"/>
          <w:szCs w:val="24"/>
        </w:rPr>
        <w:t xml:space="preserve">Hoffman, A.J. (1993). The importance of fit between individual values and organisational culture in the greening of industry. </w:t>
      </w:r>
      <w:r>
        <w:rPr>
          <w:rFonts w:cs="Times New Roman"/>
          <w:i/>
          <w:szCs w:val="24"/>
        </w:rPr>
        <w:t xml:space="preserve">Business Strategy and the Environment, </w:t>
      </w:r>
      <w:r w:rsidR="00203659" w:rsidRPr="00A008B6">
        <w:rPr>
          <w:rFonts w:cs="Times New Roman"/>
          <w:i/>
          <w:szCs w:val="24"/>
        </w:rPr>
        <w:t>2</w:t>
      </w:r>
      <w:r w:rsidR="00203659">
        <w:rPr>
          <w:rFonts w:cs="Times New Roman"/>
          <w:szCs w:val="24"/>
        </w:rPr>
        <w:t>(4), 10-18</w:t>
      </w:r>
      <w:r>
        <w:rPr>
          <w:rFonts w:cs="Times New Roman"/>
          <w:szCs w:val="24"/>
        </w:rPr>
        <w:t>.</w:t>
      </w:r>
      <w:r w:rsidR="006C123A">
        <w:rPr>
          <w:rFonts w:cs="Times New Roman"/>
          <w:szCs w:val="24"/>
        </w:rPr>
        <w:t xml:space="preserve"> </w:t>
      </w:r>
      <w:r w:rsidR="006C123A" w:rsidRPr="006C123A">
        <w:rPr>
          <w:rFonts w:cs="Times New Roman"/>
          <w:szCs w:val="24"/>
        </w:rPr>
        <w:t> </w:t>
      </w:r>
      <w:hyperlink r:id="rId36" w:history="1">
        <w:r w:rsidR="006C123A" w:rsidRPr="00706316">
          <w:rPr>
            <w:rStyle w:val="Hyperlink"/>
            <w:rFonts w:cs="Times New Roman"/>
            <w:bCs/>
            <w:szCs w:val="24"/>
          </w:rPr>
          <w:t>https://doi.org/10.1002/bse.3280020402</w:t>
        </w:r>
      </w:hyperlink>
    </w:p>
    <w:p w14:paraId="7B2A656E" w14:textId="77777777" w:rsidR="006C123A" w:rsidRPr="006C123A" w:rsidRDefault="00BC78AC" w:rsidP="006C123A">
      <w:pPr>
        <w:spacing w:before="240" w:after="0"/>
        <w:ind w:left="720" w:hanging="720"/>
        <w:rPr>
          <w:rFonts w:cs="Times New Roman"/>
          <w:szCs w:val="24"/>
        </w:rPr>
      </w:pPr>
      <w:r w:rsidRPr="00A2360A">
        <w:rPr>
          <w:rFonts w:cs="Times New Roman"/>
          <w:szCs w:val="24"/>
        </w:rPr>
        <w:t xml:space="preserve">Hofstede, G. (1983). National cultures in four dimensions: A research-based theory of cultural differences among nations. </w:t>
      </w:r>
      <w:r w:rsidRPr="00B764E7">
        <w:rPr>
          <w:rFonts w:cs="Times New Roman"/>
          <w:i/>
          <w:szCs w:val="24"/>
        </w:rPr>
        <w:t>International Studies of Management &amp; Organization</w:t>
      </w:r>
      <w:r w:rsidRPr="00A2360A">
        <w:rPr>
          <w:rFonts w:cs="Times New Roman"/>
          <w:szCs w:val="24"/>
        </w:rPr>
        <w:t xml:space="preserve">, </w:t>
      </w:r>
      <w:r w:rsidRPr="006C123A">
        <w:rPr>
          <w:rFonts w:cs="Times New Roman"/>
          <w:i/>
          <w:szCs w:val="24"/>
        </w:rPr>
        <w:t>13</w:t>
      </w:r>
      <w:r w:rsidRPr="00A2360A">
        <w:rPr>
          <w:rFonts w:cs="Times New Roman"/>
          <w:szCs w:val="24"/>
        </w:rPr>
        <w:t>(1-2), 46-74.</w:t>
      </w:r>
      <w:r w:rsidR="006C123A">
        <w:rPr>
          <w:rFonts w:cs="Times New Roman"/>
          <w:szCs w:val="24"/>
        </w:rPr>
        <w:t xml:space="preserve"> </w:t>
      </w:r>
      <w:hyperlink r:id="rId37" w:history="1">
        <w:r w:rsidR="006C123A" w:rsidRPr="006C123A">
          <w:rPr>
            <w:rStyle w:val="Hyperlink"/>
            <w:rFonts w:cs="Times New Roman"/>
            <w:szCs w:val="24"/>
          </w:rPr>
          <w:t>https://doi.org/10.1080/00208825.1983.11656358</w:t>
        </w:r>
      </w:hyperlink>
    </w:p>
    <w:p w14:paraId="02F1F877" w14:textId="4C53A51E" w:rsidR="00E35D34" w:rsidRDefault="00E35D34" w:rsidP="00044334">
      <w:pPr>
        <w:spacing w:before="240" w:after="0"/>
        <w:ind w:left="720" w:hanging="720"/>
        <w:rPr>
          <w:lang w:val="en"/>
        </w:rPr>
      </w:pPr>
      <w:r>
        <w:rPr>
          <w:lang w:val="en"/>
        </w:rPr>
        <w:t xml:space="preserve">Hooley, T., Marriott, J. &amp; Wellens, J. (2012). </w:t>
      </w:r>
      <w:r w:rsidRPr="00510FCE">
        <w:rPr>
          <w:i/>
          <w:lang w:val="en"/>
        </w:rPr>
        <w:t>What is online research?</w:t>
      </w:r>
      <w:r>
        <w:rPr>
          <w:lang w:val="en"/>
        </w:rPr>
        <w:t xml:space="preserve"> London: Bloomsbury.  </w:t>
      </w:r>
    </w:p>
    <w:p w14:paraId="0DFAE96D" w14:textId="447BD731" w:rsidR="004D73A0" w:rsidRDefault="004D73A0" w:rsidP="00044334">
      <w:pPr>
        <w:spacing w:before="240" w:after="0"/>
        <w:ind w:left="720" w:hanging="720"/>
        <w:rPr>
          <w:rFonts w:cs="Times New Roman"/>
          <w:szCs w:val="24"/>
        </w:rPr>
      </w:pPr>
      <w:r>
        <w:rPr>
          <w:lang w:val="en"/>
        </w:rPr>
        <w:t xml:space="preserve">Hooley, T., Sultana, R. </w:t>
      </w:r>
      <w:r w:rsidR="00E35D34">
        <w:rPr>
          <w:lang w:val="en"/>
        </w:rPr>
        <w:t xml:space="preserve">&amp; </w:t>
      </w:r>
      <w:r>
        <w:rPr>
          <w:lang w:val="en"/>
        </w:rPr>
        <w:t>Thomsen, R.</w:t>
      </w:r>
      <w:r w:rsidRPr="007E1D41">
        <w:rPr>
          <w:rFonts w:cs="Times New Roman"/>
          <w:lang w:val="en"/>
        </w:rPr>
        <w:t xml:space="preserve"> (2018).</w:t>
      </w:r>
      <w:r w:rsidR="00B764E7">
        <w:rPr>
          <w:lang w:val="en"/>
        </w:rPr>
        <w:t xml:space="preserve"> </w:t>
      </w:r>
      <w:r w:rsidR="00B764E7" w:rsidRPr="00A008B6">
        <w:rPr>
          <w:i/>
          <w:lang w:val="en"/>
        </w:rPr>
        <w:t>Career guidance for social justice: Contesting neoliberalism</w:t>
      </w:r>
      <w:r w:rsidR="00B764E7">
        <w:rPr>
          <w:lang w:val="en"/>
        </w:rPr>
        <w:t>.</w:t>
      </w:r>
      <w:r>
        <w:rPr>
          <w:lang w:val="en"/>
        </w:rPr>
        <w:t xml:space="preserve"> London: Routledge.</w:t>
      </w:r>
    </w:p>
    <w:p w14:paraId="1C133E68" w14:textId="58B0DB98" w:rsidR="00BC78AC" w:rsidRDefault="00BC78AC" w:rsidP="00044334">
      <w:pPr>
        <w:spacing w:before="240"/>
        <w:ind w:left="720" w:hanging="720"/>
        <w:rPr>
          <w:rFonts w:cs="Times New Roman"/>
          <w:szCs w:val="24"/>
        </w:rPr>
      </w:pPr>
      <w:r w:rsidRPr="000B1DE6">
        <w:rPr>
          <w:rFonts w:cs="Times New Roman"/>
          <w:szCs w:val="24"/>
        </w:rPr>
        <w:t>House of Commons Library</w:t>
      </w:r>
      <w:r>
        <w:rPr>
          <w:rFonts w:cs="Times New Roman"/>
          <w:szCs w:val="24"/>
        </w:rPr>
        <w:t>.</w:t>
      </w:r>
      <w:r w:rsidRPr="000B1DE6">
        <w:rPr>
          <w:rFonts w:cs="Times New Roman"/>
          <w:szCs w:val="24"/>
        </w:rPr>
        <w:t xml:space="preserve"> (2018)</w:t>
      </w:r>
      <w:r>
        <w:rPr>
          <w:rFonts w:cs="Times New Roman"/>
          <w:szCs w:val="24"/>
        </w:rPr>
        <w:t>.</w:t>
      </w:r>
      <w:r w:rsidRPr="000B1DE6">
        <w:rPr>
          <w:rFonts w:cs="Times New Roman"/>
          <w:szCs w:val="24"/>
        </w:rPr>
        <w:t xml:space="preserve"> </w:t>
      </w:r>
      <w:r w:rsidRPr="00A008B6">
        <w:rPr>
          <w:rFonts w:cs="Times New Roman"/>
          <w:i/>
          <w:szCs w:val="24"/>
        </w:rPr>
        <w:t xml:space="preserve">Unemployment by </w:t>
      </w:r>
      <w:r w:rsidR="000A02A2" w:rsidRPr="00A008B6">
        <w:rPr>
          <w:rFonts w:cs="Times New Roman"/>
          <w:i/>
          <w:szCs w:val="24"/>
        </w:rPr>
        <w:t>ethnic background</w:t>
      </w:r>
      <w:r w:rsidRPr="000B1DE6">
        <w:rPr>
          <w:rFonts w:cs="Times New Roman"/>
          <w:szCs w:val="24"/>
        </w:rPr>
        <w:t xml:space="preserve">. </w:t>
      </w:r>
      <w:r w:rsidR="000A02A2">
        <w:rPr>
          <w:rFonts w:cs="Times New Roman"/>
          <w:szCs w:val="24"/>
        </w:rPr>
        <w:t>R</w:t>
      </w:r>
      <w:r>
        <w:rPr>
          <w:rFonts w:cs="Times New Roman"/>
          <w:szCs w:val="24"/>
        </w:rPr>
        <w:t>etrieved</w:t>
      </w:r>
      <w:r w:rsidRPr="000B1DE6">
        <w:rPr>
          <w:rFonts w:cs="Times New Roman"/>
          <w:szCs w:val="24"/>
        </w:rPr>
        <w:t xml:space="preserve"> from </w:t>
      </w:r>
      <w:r w:rsidR="00A74567" w:rsidRPr="00A74567">
        <w:rPr>
          <w:rStyle w:val="Hyperlink"/>
          <w:rFonts w:cs="Times New Roman"/>
          <w:szCs w:val="24"/>
        </w:rPr>
        <w:t>https://researchbriefings.parliament.uk/ResearchBriefing/Summary/SN06385</w:t>
      </w:r>
      <w:r w:rsidR="000A02A2">
        <w:rPr>
          <w:rFonts w:cs="Times New Roman"/>
          <w:szCs w:val="24"/>
        </w:rPr>
        <w:t xml:space="preserve">. </w:t>
      </w:r>
    </w:p>
    <w:p w14:paraId="6166D08C" w14:textId="1D918826" w:rsidR="00BC78AC" w:rsidRDefault="00BC78AC" w:rsidP="00044334">
      <w:pPr>
        <w:ind w:left="720" w:hanging="720"/>
        <w:rPr>
          <w:rFonts w:eastAsia="Times New Roman" w:cs="Times New Roman"/>
          <w:szCs w:val="24"/>
          <w:lang w:eastAsia="en-GB"/>
        </w:rPr>
      </w:pPr>
      <w:r w:rsidRPr="00A2360A">
        <w:rPr>
          <w:rFonts w:eastAsia="Times New Roman" w:cs="Times New Roman"/>
          <w:szCs w:val="24"/>
          <w:lang w:eastAsia="en-GB"/>
        </w:rPr>
        <w:t xml:space="preserve">Howell, C. (2007). The British variety of capitalism: Institutional change, industrial relations and British politics. </w:t>
      </w:r>
      <w:r w:rsidRPr="00B764E7">
        <w:rPr>
          <w:rFonts w:eastAsia="Times New Roman" w:cs="Times New Roman"/>
          <w:i/>
          <w:szCs w:val="24"/>
          <w:lang w:eastAsia="en-GB"/>
        </w:rPr>
        <w:t>British Politics</w:t>
      </w:r>
      <w:r w:rsidRPr="00A2360A">
        <w:rPr>
          <w:rFonts w:eastAsia="Times New Roman" w:cs="Times New Roman"/>
          <w:szCs w:val="24"/>
          <w:lang w:eastAsia="en-GB"/>
        </w:rPr>
        <w:t xml:space="preserve">, </w:t>
      </w:r>
      <w:r w:rsidRPr="00A008B6">
        <w:rPr>
          <w:rFonts w:eastAsia="Times New Roman" w:cs="Times New Roman"/>
          <w:i/>
          <w:szCs w:val="24"/>
          <w:lang w:eastAsia="en-GB"/>
        </w:rPr>
        <w:t>2</w:t>
      </w:r>
      <w:r w:rsidRPr="00A2360A">
        <w:rPr>
          <w:rFonts w:eastAsia="Times New Roman" w:cs="Times New Roman"/>
          <w:szCs w:val="24"/>
          <w:lang w:eastAsia="en-GB"/>
        </w:rPr>
        <w:t>(2), 239-263.</w:t>
      </w:r>
    </w:p>
    <w:p w14:paraId="5B288C26" w14:textId="50CB62A6" w:rsidR="00BC78AC" w:rsidRPr="000B1DE6" w:rsidRDefault="00BC78AC" w:rsidP="00044334">
      <w:pPr>
        <w:ind w:left="720" w:hanging="720"/>
        <w:rPr>
          <w:rFonts w:eastAsia="Times New Roman" w:cs="Times New Roman"/>
          <w:szCs w:val="24"/>
          <w:lang w:eastAsia="en-GB"/>
        </w:rPr>
      </w:pPr>
      <w:r w:rsidRPr="00054ECE">
        <w:rPr>
          <w:rFonts w:eastAsia="Times New Roman" w:cs="Times New Roman"/>
          <w:szCs w:val="24"/>
          <w:lang w:eastAsia="en-GB"/>
        </w:rPr>
        <w:t>International Labo</w:t>
      </w:r>
      <w:r w:rsidRPr="000B1DE6">
        <w:rPr>
          <w:rFonts w:eastAsia="Times New Roman" w:cs="Times New Roman"/>
          <w:szCs w:val="24"/>
          <w:lang w:eastAsia="en-GB"/>
        </w:rPr>
        <w:t>u</w:t>
      </w:r>
      <w:r w:rsidRPr="00054ECE">
        <w:rPr>
          <w:rFonts w:eastAsia="Times New Roman" w:cs="Times New Roman"/>
          <w:szCs w:val="24"/>
          <w:lang w:eastAsia="en-GB"/>
        </w:rPr>
        <w:t>r Organization. (1999).</w:t>
      </w:r>
      <w:r w:rsidRPr="000B1DE6">
        <w:rPr>
          <w:rFonts w:eastAsia="Times New Roman" w:cs="Times New Roman"/>
          <w:szCs w:val="24"/>
          <w:lang w:eastAsia="en-GB"/>
        </w:rPr>
        <w:t xml:space="preserve"> </w:t>
      </w:r>
      <w:r w:rsidRPr="00054ECE">
        <w:rPr>
          <w:rFonts w:eastAsia="Times New Roman" w:cs="Times New Roman"/>
          <w:i/>
          <w:szCs w:val="24"/>
          <w:lang w:eastAsia="en-GB"/>
        </w:rPr>
        <w:t>Report of the director-general: Decent work</w:t>
      </w:r>
      <w:r w:rsidRPr="00054ECE">
        <w:rPr>
          <w:rFonts w:eastAsia="Times New Roman" w:cs="Times New Roman"/>
          <w:szCs w:val="24"/>
          <w:lang w:eastAsia="en-GB"/>
        </w:rPr>
        <w:t>. International Labour</w:t>
      </w:r>
      <w:r w:rsidRPr="000B1DE6">
        <w:rPr>
          <w:rFonts w:eastAsia="Times New Roman" w:cs="Times New Roman"/>
          <w:szCs w:val="24"/>
          <w:lang w:eastAsia="en-GB"/>
        </w:rPr>
        <w:t xml:space="preserve"> </w:t>
      </w:r>
      <w:r w:rsidRPr="00054ECE">
        <w:rPr>
          <w:rFonts w:eastAsia="Times New Roman" w:cs="Times New Roman"/>
          <w:szCs w:val="24"/>
          <w:lang w:eastAsia="en-GB"/>
        </w:rPr>
        <w:t>Conference, 87 Session, Geneva.</w:t>
      </w:r>
    </w:p>
    <w:p w14:paraId="29D81E0B" w14:textId="2930783D" w:rsidR="00BC78AC" w:rsidRDefault="00BC78AC" w:rsidP="00044334">
      <w:pPr>
        <w:spacing w:before="240" w:after="0"/>
        <w:ind w:left="720" w:hanging="720"/>
        <w:rPr>
          <w:rFonts w:cs="Times New Roman"/>
          <w:szCs w:val="24"/>
        </w:rPr>
      </w:pPr>
      <w:r w:rsidRPr="003B22B6">
        <w:rPr>
          <w:rFonts w:cs="Times New Roman"/>
          <w:szCs w:val="24"/>
        </w:rPr>
        <w:t xml:space="preserve">International Labour Organisation. (ILO). (2018). </w:t>
      </w:r>
      <w:r w:rsidRPr="00B764E7">
        <w:rPr>
          <w:rFonts w:cs="Times New Roman"/>
          <w:i/>
          <w:szCs w:val="24"/>
        </w:rPr>
        <w:t>Decent work</w:t>
      </w:r>
      <w:r w:rsidRPr="003B22B6">
        <w:rPr>
          <w:rFonts w:cs="Times New Roman"/>
          <w:szCs w:val="24"/>
        </w:rPr>
        <w:t xml:space="preserve">. </w:t>
      </w:r>
      <w:r w:rsidR="000A02A2">
        <w:rPr>
          <w:rFonts w:cs="Times New Roman"/>
          <w:szCs w:val="24"/>
        </w:rPr>
        <w:t xml:space="preserve">Retrieved from </w:t>
      </w:r>
      <w:r w:rsidRPr="003B22B6">
        <w:rPr>
          <w:rFonts w:cs="Times New Roman"/>
          <w:szCs w:val="24"/>
        </w:rPr>
        <w:t>http://www.ilo.org/global/topics/decent-work/lang--en/index.htm.</w:t>
      </w:r>
    </w:p>
    <w:p w14:paraId="5EB3B059" w14:textId="5298F3F6" w:rsidR="00BC78AC" w:rsidRPr="000B1DE6" w:rsidRDefault="00BC78AC" w:rsidP="00044334">
      <w:pPr>
        <w:spacing w:before="240" w:after="0"/>
        <w:ind w:left="720" w:hanging="720"/>
        <w:rPr>
          <w:rFonts w:eastAsia="Times New Roman" w:cs="Times New Roman"/>
          <w:szCs w:val="24"/>
          <w:lang w:eastAsia="en-GB"/>
        </w:rPr>
      </w:pPr>
      <w:r w:rsidRPr="000B1DE6">
        <w:rPr>
          <w:rFonts w:cs="Times New Roman"/>
          <w:szCs w:val="24"/>
        </w:rPr>
        <w:t xml:space="preserve">Isık, E., Kozan, S., &amp; Isik, A. N. (2018). Cross-cultural validation of the Turkish version of the </w:t>
      </w:r>
      <w:r w:rsidR="00DB1213">
        <w:rPr>
          <w:rFonts w:cs="Times New Roman"/>
          <w:szCs w:val="24"/>
        </w:rPr>
        <w:t>D</w:t>
      </w:r>
      <w:r w:rsidRPr="000B1DE6">
        <w:rPr>
          <w:rFonts w:cs="Times New Roman"/>
          <w:szCs w:val="24"/>
        </w:rPr>
        <w:t xml:space="preserve">ecent </w:t>
      </w:r>
      <w:r w:rsidR="00DB1213">
        <w:rPr>
          <w:rFonts w:cs="Times New Roman"/>
          <w:szCs w:val="24"/>
        </w:rPr>
        <w:t>W</w:t>
      </w:r>
      <w:r w:rsidRPr="000B1DE6">
        <w:rPr>
          <w:rFonts w:cs="Times New Roman"/>
          <w:szCs w:val="24"/>
        </w:rPr>
        <w:t xml:space="preserve">ork </w:t>
      </w:r>
      <w:r w:rsidR="00DB1213">
        <w:rPr>
          <w:rFonts w:cs="Times New Roman"/>
          <w:szCs w:val="24"/>
        </w:rPr>
        <w:t>S</w:t>
      </w:r>
      <w:r w:rsidRPr="000B1DE6">
        <w:rPr>
          <w:rFonts w:cs="Times New Roman"/>
          <w:szCs w:val="24"/>
        </w:rPr>
        <w:t xml:space="preserve">cale. </w:t>
      </w:r>
      <w:r w:rsidRPr="00EA4A37">
        <w:rPr>
          <w:rFonts w:cs="Times New Roman"/>
          <w:i/>
          <w:szCs w:val="24"/>
        </w:rPr>
        <w:t>Journal of Career Assessment</w:t>
      </w:r>
      <w:r w:rsidRPr="000B1DE6">
        <w:rPr>
          <w:rFonts w:cs="Times New Roman"/>
          <w:szCs w:val="24"/>
        </w:rPr>
        <w:t>. Advance online publication.</w:t>
      </w:r>
      <w:r w:rsidR="00096419">
        <w:rPr>
          <w:rFonts w:cs="Times New Roman"/>
          <w:szCs w:val="24"/>
        </w:rPr>
        <w:t xml:space="preserve"> </w:t>
      </w:r>
      <w:hyperlink r:id="rId38" w:history="1">
        <w:r w:rsidR="00096419" w:rsidRPr="00706316">
          <w:rPr>
            <w:rStyle w:val="Hyperlink"/>
            <w:rFonts w:cs="Times New Roman"/>
            <w:szCs w:val="24"/>
          </w:rPr>
          <w:t>https://doi.org/10.1207/s15327752jpa4901_13</w:t>
        </w:r>
      </w:hyperlink>
      <w:r w:rsidR="00096419">
        <w:rPr>
          <w:rFonts w:cs="Times New Roman"/>
          <w:szCs w:val="24"/>
        </w:rPr>
        <w:t xml:space="preserve"> </w:t>
      </w:r>
    </w:p>
    <w:p w14:paraId="0D9BBAF7" w14:textId="1D91FDE5" w:rsidR="008D2007" w:rsidRDefault="008D2007" w:rsidP="00044334">
      <w:pPr>
        <w:spacing w:before="240" w:after="0"/>
        <w:ind w:left="720" w:hanging="720"/>
        <w:rPr>
          <w:rFonts w:cs="Times New Roman"/>
          <w:szCs w:val="24"/>
        </w:rPr>
      </w:pPr>
      <w:r>
        <w:rPr>
          <w:rFonts w:cs="Times New Roman"/>
          <w:szCs w:val="24"/>
        </w:rPr>
        <w:t>Jones, M.L., Zanko, M., &amp; Kriflik, G. (2006). On the antecedents of career commitment. In J. Kennedy &amp; L. Di Milia (Eds.), Procee</w:t>
      </w:r>
      <w:r w:rsidR="000D3D8E">
        <w:rPr>
          <w:rFonts w:cs="Times New Roman"/>
          <w:szCs w:val="24"/>
        </w:rPr>
        <w:t>d</w:t>
      </w:r>
      <w:r>
        <w:rPr>
          <w:rFonts w:cs="Times New Roman"/>
          <w:szCs w:val="24"/>
        </w:rPr>
        <w:t>ings of the Australian and New Zealand Academy of Management Conference (pp. 1-22). Rockhampton, Australia: Australian and New Zealand Academy of Management.</w:t>
      </w:r>
    </w:p>
    <w:p w14:paraId="04C5FA09" w14:textId="5F8C80C4" w:rsidR="007F7C88" w:rsidRPr="007F7C88" w:rsidRDefault="007F7C88" w:rsidP="00044334">
      <w:pPr>
        <w:spacing w:before="240" w:after="0"/>
        <w:ind w:left="720" w:hanging="720"/>
        <w:rPr>
          <w:rFonts w:cs="Times New Roman"/>
          <w:szCs w:val="24"/>
        </w:rPr>
      </w:pPr>
      <w:r>
        <w:rPr>
          <w:rFonts w:cs="Times New Roman"/>
          <w:szCs w:val="24"/>
        </w:rPr>
        <w:t xml:space="preserve">Judge, T.A., Hulin, C.L., &amp; Dalal, R.S. Job satisfaction and job affect. In </w:t>
      </w:r>
      <w:r>
        <w:t>S. W. J. Kozlowski (Ed.),</w:t>
      </w:r>
      <w:r>
        <w:rPr>
          <w:rFonts w:cs="Times New Roman"/>
          <w:szCs w:val="24"/>
        </w:rPr>
        <w:t xml:space="preserve"> </w:t>
      </w:r>
      <w:r>
        <w:rPr>
          <w:rFonts w:cs="Times New Roman"/>
          <w:i/>
          <w:szCs w:val="24"/>
        </w:rPr>
        <w:t xml:space="preserve">The Oxford Handbook of Industrial and Organizational Psychology. </w:t>
      </w:r>
      <w:r>
        <w:rPr>
          <w:rFonts w:cs="Times New Roman"/>
          <w:szCs w:val="24"/>
        </w:rPr>
        <w:t>New York: Oxford University Press.</w:t>
      </w:r>
    </w:p>
    <w:p w14:paraId="2E812784" w14:textId="5907718B" w:rsidR="00BC78AC" w:rsidRPr="000B1DE6" w:rsidRDefault="00BC78AC" w:rsidP="00044334">
      <w:pPr>
        <w:spacing w:before="240" w:after="0"/>
        <w:ind w:left="720" w:hanging="720"/>
        <w:rPr>
          <w:rFonts w:cs="Times New Roman"/>
          <w:szCs w:val="24"/>
        </w:rPr>
      </w:pPr>
      <w:r w:rsidRPr="000B1DE6">
        <w:rPr>
          <w:rFonts w:cs="Times New Roman"/>
          <w:szCs w:val="24"/>
        </w:rPr>
        <w:t xml:space="preserve">Judge, T.A., Locke, E.A., Durham, C.C. &amp; Kluger, A.N. (1998). Dispositional effects on job and life satisfaction: The role of core evaluations. </w:t>
      </w:r>
      <w:r w:rsidRPr="000B1DE6">
        <w:rPr>
          <w:rFonts w:cs="Times New Roman"/>
          <w:i/>
          <w:szCs w:val="24"/>
        </w:rPr>
        <w:t xml:space="preserve">Journal of Applied Psychology, </w:t>
      </w:r>
      <w:r w:rsidRPr="00EA4A37">
        <w:rPr>
          <w:rFonts w:cs="Times New Roman"/>
          <w:i/>
          <w:szCs w:val="24"/>
        </w:rPr>
        <w:t>83</w:t>
      </w:r>
      <w:r w:rsidRPr="000B1DE6">
        <w:rPr>
          <w:rFonts w:cs="Times New Roman"/>
          <w:szCs w:val="24"/>
        </w:rPr>
        <w:t>, 17-34.</w:t>
      </w:r>
      <w:r w:rsidR="003036F4">
        <w:rPr>
          <w:rFonts w:cs="Times New Roman"/>
          <w:szCs w:val="24"/>
        </w:rPr>
        <w:t xml:space="preserve"> </w:t>
      </w:r>
      <w:hyperlink r:id="rId39" w:tgtFrame="_blank" w:history="1">
        <w:r w:rsidR="003036F4" w:rsidRPr="003036F4">
          <w:rPr>
            <w:rStyle w:val="Hyperlink"/>
            <w:rFonts w:cs="Times New Roman"/>
            <w:szCs w:val="24"/>
          </w:rPr>
          <w:t>http://dx.doi.org/10.1037/0021-9010.83.1.17</w:t>
        </w:r>
      </w:hyperlink>
    </w:p>
    <w:p w14:paraId="2BD5BCFC" w14:textId="026B4D2D" w:rsidR="00BC78AC" w:rsidRPr="000B1DE6" w:rsidRDefault="00BC78AC" w:rsidP="00044334">
      <w:pPr>
        <w:spacing w:before="240" w:after="0"/>
        <w:ind w:left="720" w:hanging="720"/>
        <w:rPr>
          <w:rFonts w:cs="Times New Roman"/>
          <w:szCs w:val="24"/>
        </w:rPr>
      </w:pPr>
      <w:r w:rsidRPr="000B1DE6">
        <w:rPr>
          <w:rFonts w:cs="Times New Roman"/>
          <w:szCs w:val="24"/>
        </w:rPr>
        <w:t xml:space="preserve">Kline, R.B. </w:t>
      </w:r>
      <w:r w:rsidRPr="000B1DE6">
        <w:rPr>
          <w:rFonts w:cs="Times New Roman"/>
          <w:i/>
          <w:szCs w:val="24"/>
        </w:rPr>
        <w:t xml:space="preserve">Priniciples and </w:t>
      </w:r>
      <w:r w:rsidR="000A02A2">
        <w:rPr>
          <w:rFonts w:cs="Times New Roman"/>
          <w:i/>
          <w:szCs w:val="24"/>
        </w:rPr>
        <w:t>p</w:t>
      </w:r>
      <w:r w:rsidR="000A02A2" w:rsidRPr="000B1DE6">
        <w:rPr>
          <w:rFonts w:cs="Times New Roman"/>
          <w:i/>
          <w:szCs w:val="24"/>
        </w:rPr>
        <w:t xml:space="preserve">ractice </w:t>
      </w:r>
      <w:r w:rsidRPr="000B1DE6">
        <w:rPr>
          <w:rFonts w:cs="Times New Roman"/>
          <w:i/>
          <w:szCs w:val="24"/>
        </w:rPr>
        <w:t xml:space="preserve">of </w:t>
      </w:r>
      <w:r w:rsidR="000A02A2">
        <w:rPr>
          <w:rFonts w:cs="Times New Roman"/>
          <w:i/>
          <w:szCs w:val="24"/>
        </w:rPr>
        <w:t>s</w:t>
      </w:r>
      <w:r w:rsidR="000A02A2" w:rsidRPr="000B1DE6">
        <w:rPr>
          <w:rFonts w:cs="Times New Roman"/>
          <w:i/>
          <w:szCs w:val="24"/>
        </w:rPr>
        <w:t xml:space="preserve">tructural </w:t>
      </w:r>
      <w:r w:rsidR="000A02A2">
        <w:rPr>
          <w:rFonts w:cs="Times New Roman"/>
          <w:i/>
          <w:szCs w:val="24"/>
        </w:rPr>
        <w:t>e</w:t>
      </w:r>
      <w:r w:rsidR="000A02A2" w:rsidRPr="000B1DE6">
        <w:rPr>
          <w:rFonts w:cs="Times New Roman"/>
          <w:i/>
          <w:szCs w:val="24"/>
        </w:rPr>
        <w:t xml:space="preserve">quation </w:t>
      </w:r>
      <w:r w:rsidR="000A02A2">
        <w:rPr>
          <w:rFonts w:cs="Times New Roman"/>
          <w:i/>
          <w:szCs w:val="24"/>
        </w:rPr>
        <w:t>m</w:t>
      </w:r>
      <w:r w:rsidR="000A02A2" w:rsidRPr="000B1DE6">
        <w:rPr>
          <w:rFonts w:cs="Times New Roman"/>
          <w:i/>
          <w:szCs w:val="24"/>
        </w:rPr>
        <w:t>odeling</w:t>
      </w:r>
      <w:r w:rsidRPr="000B1DE6">
        <w:rPr>
          <w:rFonts w:cs="Times New Roman"/>
          <w:i/>
          <w:szCs w:val="24"/>
        </w:rPr>
        <w:t xml:space="preserve">. </w:t>
      </w:r>
      <w:r w:rsidRPr="000B1DE6">
        <w:rPr>
          <w:rFonts w:cs="Times New Roman"/>
          <w:szCs w:val="24"/>
        </w:rPr>
        <w:t>New York: Guildford Publications.</w:t>
      </w:r>
    </w:p>
    <w:p w14:paraId="4219E78F" w14:textId="7E5A1146" w:rsidR="00BC78AC" w:rsidRDefault="00524F09" w:rsidP="00044334">
      <w:pPr>
        <w:spacing w:before="240" w:after="0"/>
        <w:ind w:left="720" w:hanging="720"/>
        <w:rPr>
          <w:rFonts w:cs="Times New Roman"/>
          <w:i/>
          <w:szCs w:val="24"/>
        </w:rPr>
      </w:pPr>
      <w:r>
        <w:rPr>
          <w:rFonts w:cs="Times New Roman"/>
          <w:szCs w:val="24"/>
        </w:rPr>
        <w:t xml:space="preserve">Krippendorf, K. (2004). </w:t>
      </w:r>
      <w:r>
        <w:rPr>
          <w:rFonts w:cs="Times New Roman"/>
          <w:i/>
          <w:szCs w:val="24"/>
        </w:rPr>
        <w:t>Content analysis: An introduction to its methodology.</w:t>
      </w:r>
      <w:r>
        <w:rPr>
          <w:rFonts w:cs="Times New Roman"/>
          <w:szCs w:val="24"/>
        </w:rPr>
        <w:t xml:space="preserve"> Thousand Oaks, CA: Sage.</w:t>
      </w:r>
      <w:r>
        <w:rPr>
          <w:rFonts w:cs="Times New Roman"/>
          <w:i/>
          <w:szCs w:val="24"/>
        </w:rPr>
        <w:t xml:space="preserve"> </w:t>
      </w:r>
    </w:p>
    <w:p w14:paraId="52A7ED5A" w14:textId="23610F36" w:rsidR="00D54644" w:rsidRDefault="00D54644" w:rsidP="00044334">
      <w:pPr>
        <w:spacing w:before="240" w:after="0"/>
        <w:ind w:left="720" w:hanging="720"/>
        <w:rPr>
          <w:rFonts w:eastAsia="Times New Roman" w:cs="Times New Roman"/>
          <w:szCs w:val="24"/>
        </w:rPr>
      </w:pPr>
      <w:r w:rsidRPr="00DA5E68">
        <w:rPr>
          <w:rFonts w:eastAsia="Times New Roman" w:cs="Times New Roman"/>
          <w:szCs w:val="24"/>
        </w:rPr>
        <w:t xml:space="preserve">McGinnity, F. </w:t>
      </w:r>
      <w:r>
        <w:rPr>
          <w:rFonts w:eastAsia="Times New Roman" w:cs="Times New Roman"/>
          <w:szCs w:val="24"/>
        </w:rPr>
        <w:t>&amp;</w:t>
      </w:r>
      <w:r w:rsidRPr="00DA5E68">
        <w:rPr>
          <w:rFonts w:eastAsia="Times New Roman" w:cs="Times New Roman"/>
          <w:szCs w:val="24"/>
        </w:rPr>
        <w:t xml:space="preserve"> Calvert, E. </w:t>
      </w:r>
      <w:r>
        <w:rPr>
          <w:rFonts w:eastAsia="Times New Roman" w:cs="Times New Roman"/>
          <w:szCs w:val="24"/>
        </w:rPr>
        <w:t>(</w:t>
      </w:r>
      <w:r w:rsidRPr="00DA5E68">
        <w:rPr>
          <w:rFonts w:eastAsia="Times New Roman" w:cs="Times New Roman"/>
          <w:szCs w:val="24"/>
        </w:rPr>
        <w:t>2009</w:t>
      </w:r>
      <w:r>
        <w:rPr>
          <w:rFonts w:eastAsia="Times New Roman" w:cs="Times New Roman"/>
          <w:szCs w:val="24"/>
        </w:rPr>
        <w:t xml:space="preserve">). </w:t>
      </w:r>
      <w:r w:rsidRPr="00DA5E68">
        <w:rPr>
          <w:rFonts w:eastAsia="Times New Roman" w:cs="Times New Roman"/>
          <w:szCs w:val="24"/>
        </w:rPr>
        <w:t>Work-</w:t>
      </w:r>
      <w:r w:rsidR="00A74567">
        <w:rPr>
          <w:rFonts w:eastAsia="Times New Roman" w:cs="Times New Roman"/>
          <w:szCs w:val="24"/>
        </w:rPr>
        <w:t>l</w:t>
      </w:r>
      <w:r w:rsidR="00A74567" w:rsidRPr="00DA5E68">
        <w:rPr>
          <w:rFonts w:eastAsia="Times New Roman" w:cs="Times New Roman"/>
          <w:szCs w:val="24"/>
        </w:rPr>
        <w:t xml:space="preserve">ife </w:t>
      </w:r>
      <w:r w:rsidR="00A74567">
        <w:rPr>
          <w:rFonts w:eastAsia="Times New Roman" w:cs="Times New Roman"/>
          <w:szCs w:val="24"/>
        </w:rPr>
        <w:t>c</w:t>
      </w:r>
      <w:r w:rsidR="00A74567" w:rsidRPr="00DA5E68">
        <w:rPr>
          <w:rFonts w:eastAsia="Times New Roman" w:cs="Times New Roman"/>
          <w:szCs w:val="24"/>
        </w:rPr>
        <w:t xml:space="preserve">onflict </w:t>
      </w:r>
      <w:r w:rsidRPr="00DA5E68">
        <w:rPr>
          <w:rFonts w:eastAsia="Times New Roman" w:cs="Times New Roman"/>
          <w:szCs w:val="24"/>
        </w:rPr>
        <w:t xml:space="preserve">and </w:t>
      </w:r>
      <w:r w:rsidR="00A74567">
        <w:rPr>
          <w:rFonts w:eastAsia="Times New Roman" w:cs="Times New Roman"/>
          <w:szCs w:val="24"/>
        </w:rPr>
        <w:t>s</w:t>
      </w:r>
      <w:r w:rsidR="00A74567" w:rsidRPr="00DA5E68">
        <w:rPr>
          <w:rFonts w:eastAsia="Times New Roman" w:cs="Times New Roman"/>
          <w:szCs w:val="24"/>
        </w:rPr>
        <w:t>oci</w:t>
      </w:r>
      <w:r w:rsidR="00A74567">
        <w:rPr>
          <w:rFonts w:eastAsia="Times New Roman" w:cs="Times New Roman"/>
          <w:szCs w:val="24"/>
        </w:rPr>
        <w:t xml:space="preserve">al inequality </w:t>
      </w:r>
      <w:r>
        <w:rPr>
          <w:rFonts w:eastAsia="Times New Roman" w:cs="Times New Roman"/>
          <w:szCs w:val="24"/>
        </w:rPr>
        <w:t>in Western Europe.</w:t>
      </w:r>
      <w:r w:rsidRPr="00DA5E68">
        <w:rPr>
          <w:rFonts w:eastAsia="Times New Roman" w:cs="Times New Roman"/>
          <w:szCs w:val="24"/>
        </w:rPr>
        <w:t xml:space="preserve"> </w:t>
      </w:r>
      <w:r w:rsidRPr="00F3258E">
        <w:rPr>
          <w:rFonts w:eastAsia="Times New Roman" w:cs="Times New Roman"/>
          <w:i/>
          <w:szCs w:val="24"/>
        </w:rPr>
        <w:t>Social Indicators Research, 93</w:t>
      </w:r>
      <w:r>
        <w:rPr>
          <w:rFonts w:eastAsia="Times New Roman" w:cs="Times New Roman"/>
          <w:szCs w:val="24"/>
        </w:rPr>
        <w:t>(3),</w:t>
      </w:r>
      <w:r w:rsidRPr="00DA5E68">
        <w:rPr>
          <w:rFonts w:eastAsia="Times New Roman" w:cs="Times New Roman"/>
          <w:szCs w:val="24"/>
        </w:rPr>
        <w:t xml:space="preserve"> 489-508.</w:t>
      </w:r>
      <w:r w:rsidR="00147A33">
        <w:rPr>
          <w:rFonts w:eastAsia="Times New Roman" w:cs="Times New Roman"/>
          <w:szCs w:val="24"/>
        </w:rPr>
        <w:t xml:space="preserve"> </w:t>
      </w:r>
      <w:r w:rsidR="00A8787A" w:rsidRPr="00A8787A">
        <w:rPr>
          <w:rFonts w:eastAsia="Times New Roman" w:cs="Times New Roman"/>
          <w:szCs w:val="24"/>
        </w:rPr>
        <w:t>https://doi.org/10.1007/978-94-007-0753-5_3727</w:t>
      </w:r>
    </w:p>
    <w:p w14:paraId="50C3B8C8" w14:textId="3B4B07C7" w:rsidR="00BC78AC" w:rsidRPr="000B1DE6" w:rsidRDefault="00BC78AC" w:rsidP="00044334">
      <w:pPr>
        <w:spacing w:before="240" w:after="0"/>
        <w:ind w:left="720" w:hanging="720"/>
        <w:rPr>
          <w:rFonts w:cs="Times New Roman"/>
          <w:szCs w:val="24"/>
        </w:rPr>
      </w:pPr>
      <w:r w:rsidRPr="000B1DE6">
        <w:rPr>
          <w:rFonts w:cs="Times New Roman"/>
          <w:szCs w:val="24"/>
        </w:rPr>
        <w:t xml:space="preserve">Muthén, L. K., &amp; Muthén, B. O. (2012). </w:t>
      </w:r>
      <w:r w:rsidRPr="00B764E7">
        <w:rPr>
          <w:rFonts w:cs="Times New Roman"/>
          <w:i/>
          <w:szCs w:val="24"/>
        </w:rPr>
        <w:t xml:space="preserve">Mplus </w:t>
      </w:r>
      <w:r w:rsidR="00A74567">
        <w:rPr>
          <w:rFonts w:cs="Times New Roman"/>
          <w:i/>
          <w:szCs w:val="24"/>
        </w:rPr>
        <w:t>u</w:t>
      </w:r>
      <w:r w:rsidR="00A74567" w:rsidRPr="00B764E7">
        <w:rPr>
          <w:rFonts w:cs="Times New Roman"/>
          <w:i/>
          <w:szCs w:val="24"/>
        </w:rPr>
        <w:t xml:space="preserve">ser's </w:t>
      </w:r>
      <w:r w:rsidR="00A74567">
        <w:rPr>
          <w:rFonts w:cs="Times New Roman"/>
          <w:i/>
          <w:szCs w:val="24"/>
        </w:rPr>
        <w:t>g</w:t>
      </w:r>
      <w:r w:rsidR="00A74567" w:rsidRPr="00B764E7">
        <w:rPr>
          <w:rFonts w:cs="Times New Roman"/>
          <w:i/>
          <w:szCs w:val="24"/>
        </w:rPr>
        <w:t>uide</w:t>
      </w:r>
      <w:r w:rsidRPr="00B764E7">
        <w:rPr>
          <w:rFonts w:cs="Times New Roman"/>
          <w:i/>
          <w:szCs w:val="24"/>
        </w:rPr>
        <w:t xml:space="preserve">. Seventh </w:t>
      </w:r>
      <w:r w:rsidR="00A74567">
        <w:rPr>
          <w:rFonts w:cs="Times New Roman"/>
          <w:i/>
          <w:szCs w:val="24"/>
        </w:rPr>
        <w:t>e</w:t>
      </w:r>
      <w:r w:rsidR="00A74567" w:rsidRPr="00B764E7">
        <w:rPr>
          <w:rFonts w:cs="Times New Roman"/>
          <w:i/>
          <w:szCs w:val="24"/>
        </w:rPr>
        <w:t>dition</w:t>
      </w:r>
      <w:r w:rsidRPr="000B1DE6">
        <w:rPr>
          <w:rFonts w:cs="Times New Roman"/>
          <w:szCs w:val="24"/>
        </w:rPr>
        <w:t>. Los Angeles, CA: Muthén &amp; Muthén.</w:t>
      </w:r>
    </w:p>
    <w:p w14:paraId="7F94AAA4" w14:textId="483DB1AB" w:rsidR="00BC78AC" w:rsidRDefault="00BC78AC" w:rsidP="00044334">
      <w:pPr>
        <w:spacing w:before="240" w:after="0"/>
        <w:ind w:left="720" w:hanging="720"/>
        <w:rPr>
          <w:rFonts w:cs="Times New Roman"/>
          <w:szCs w:val="24"/>
        </w:rPr>
      </w:pPr>
      <w:r w:rsidRPr="000B1DE6">
        <w:rPr>
          <w:rFonts w:cs="Times New Roman"/>
          <w:szCs w:val="24"/>
        </w:rPr>
        <w:t>NatCen</w:t>
      </w:r>
      <w:r>
        <w:rPr>
          <w:rFonts w:cs="Times New Roman"/>
          <w:szCs w:val="24"/>
        </w:rPr>
        <w:t>.</w:t>
      </w:r>
      <w:r w:rsidRPr="000B1DE6">
        <w:rPr>
          <w:rFonts w:cs="Times New Roman"/>
          <w:szCs w:val="24"/>
        </w:rPr>
        <w:t xml:space="preserve"> (2011)</w:t>
      </w:r>
      <w:r>
        <w:rPr>
          <w:rFonts w:cs="Times New Roman"/>
          <w:szCs w:val="24"/>
        </w:rPr>
        <w:t>.</w:t>
      </w:r>
      <w:r w:rsidRPr="000B1DE6">
        <w:rPr>
          <w:rFonts w:cs="Times New Roman"/>
          <w:szCs w:val="24"/>
        </w:rPr>
        <w:t xml:space="preserve"> </w:t>
      </w:r>
      <w:r w:rsidRPr="00B764E7">
        <w:rPr>
          <w:rFonts w:cs="Times New Roman"/>
          <w:i/>
          <w:szCs w:val="24"/>
        </w:rPr>
        <w:t xml:space="preserve">The 2011 </w:t>
      </w:r>
      <w:r w:rsidR="000A02A2">
        <w:rPr>
          <w:rFonts w:cs="Times New Roman"/>
          <w:i/>
          <w:szCs w:val="24"/>
        </w:rPr>
        <w:t>w</w:t>
      </w:r>
      <w:r w:rsidR="000A02A2" w:rsidRPr="00B764E7">
        <w:rPr>
          <w:rFonts w:cs="Times New Roman"/>
          <w:i/>
          <w:szCs w:val="24"/>
        </w:rPr>
        <w:t xml:space="preserve">orkplace </w:t>
      </w:r>
      <w:r w:rsidR="000A02A2">
        <w:rPr>
          <w:rFonts w:cs="Times New Roman"/>
          <w:i/>
          <w:szCs w:val="24"/>
        </w:rPr>
        <w:t>e</w:t>
      </w:r>
      <w:r w:rsidR="000A02A2" w:rsidRPr="00B764E7">
        <w:rPr>
          <w:rFonts w:cs="Times New Roman"/>
          <w:i/>
          <w:szCs w:val="24"/>
        </w:rPr>
        <w:t xml:space="preserve">mployment </w:t>
      </w:r>
      <w:r w:rsidR="000A02A2">
        <w:rPr>
          <w:rFonts w:cs="Times New Roman"/>
          <w:i/>
          <w:szCs w:val="24"/>
        </w:rPr>
        <w:t>r</w:t>
      </w:r>
      <w:r w:rsidR="000A02A2" w:rsidRPr="00B764E7">
        <w:rPr>
          <w:rFonts w:cs="Times New Roman"/>
          <w:i/>
          <w:szCs w:val="24"/>
        </w:rPr>
        <w:t xml:space="preserve">elations </w:t>
      </w:r>
      <w:r w:rsidR="000A02A2">
        <w:rPr>
          <w:rFonts w:cs="Times New Roman"/>
          <w:i/>
          <w:szCs w:val="24"/>
        </w:rPr>
        <w:t>s</w:t>
      </w:r>
      <w:r w:rsidR="000A02A2" w:rsidRPr="00B764E7">
        <w:rPr>
          <w:rFonts w:cs="Times New Roman"/>
          <w:i/>
          <w:szCs w:val="24"/>
        </w:rPr>
        <w:t>tudy</w:t>
      </w:r>
      <w:r w:rsidRPr="000B1DE6">
        <w:rPr>
          <w:rFonts w:cs="Times New Roman"/>
          <w:szCs w:val="24"/>
        </w:rPr>
        <w:t xml:space="preserve">. </w:t>
      </w:r>
      <w:r w:rsidR="000A02A2">
        <w:rPr>
          <w:rFonts w:cs="Times New Roman"/>
          <w:szCs w:val="24"/>
        </w:rPr>
        <w:t>R</w:t>
      </w:r>
      <w:r>
        <w:rPr>
          <w:rFonts w:cs="Times New Roman"/>
          <w:szCs w:val="24"/>
        </w:rPr>
        <w:t>etrieved</w:t>
      </w:r>
      <w:r w:rsidRPr="000B1DE6">
        <w:rPr>
          <w:rFonts w:cs="Times New Roman"/>
          <w:szCs w:val="24"/>
        </w:rPr>
        <w:t xml:space="preserve"> from: </w:t>
      </w:r>
      <w:hyperlink r:id="rId40" w:history="1">
        <w:r w:rsidRPr="009D4364">
          <w:rPr>
            <w:rStyle w:val="Hyperlink"/>
            <w:rFonts w:cs="Times New Roman"/>
            <w:szCs w:val="24"/>
          </w:rPr>
          <w:t>http://natcen.ac.uk/media/176092/13-535-the-2011-workplace-employment-relations-study-first-findings.pdf</w:t>
        </w:r>
        <w:r w:rsidR="000A02A2" w:rsidRPr="009D4364">
          <w:rPr>
            <w:rStyle w:val="Hyperlink"/>
            <w:rFonts w:cs="Times New Roman"/>
            <w:szCs w:val="24"/>
          </w:rPr>
          <w:t>.</w:t>
        </w:r>
      </w:hyperlink>
    </w:p>
    <w:p w14:paraId="3193A57C" w14:textId="0A72248A" w:rsidR="0077704A" w:rsidRPr="0077704A" w:rsidRDefault="0077704A" w:rsidP="00044334">
      <w:pPr>
        <w:spacing w:after="0"/>
        <w:ind w:left="720" w:hanging="720"/>
        <w:rPr>
          <w:rFonts w:eastAsia="Calibri" w:cs="Times New Roman"/>
        </w:rPr>
      </w:pPr>
      <w:r w:rsidRPr="0077704A">
        <w:rPr>
          <w:rFonts w:eastAsia="Calibri" w:cs="Times New Roman"/>
        </w:rPr>
        <w:t>OECD</w:t>
      </w:r>
      <w:r>
        <w:rPr>
          <w:rFonts w:eastAsia="Calibri" w:cs="Times New Roman"/>
        </w:rPr>
        <w:t>.</w:t>
      </w:r>
      <w:r w:rsidRPr="0077704A">
        <w:rPr>
          <w:rFonts w:eastAsia="Calibri" w:cs="Times New Roman"/>
        </w:rPr>
        <w:t xml:space="preserve"> (2009)</w:t>
      </w:r>
      <w:r>
        <w:rPr>
          <w:rFonts w:eastAsia="Calibri" w:cs="Times New Roman"/>
        </w:rPr>
        <w:t>.</w:t>
      </w:r>
      <w:r w:rsidRPr="0077704A">
        <w:rPr>
          <w:rFonts w:eastAsia="Calibri" w:cs="Times New Roman"/>
        </w:rPr>
        <w:t xml:space="preserve"> </w:t>
      </w:r>
      <w:r w:rsidRPr="0077704A">
        <w:rPr>
          <w:rFonts w:eastAsia="Calibri" w:cs="Times New Roman"/>
          <w:i/>
        </w:rPr>
        <w:t xml:space="preserve">Society at a </w:t>
      </w:r>
      <w:r w:rsidR="00A74567">
        <w:rPr>
          <w:rFonts w:eastAsia="Calibri" w:cs="Times New Roman"/>
          <w:i/>
        </w:rPr>
        <w:t>g</w:t>
      </w:r>
      <w:r w:rsidR="00A74567" w:rsidRPr="0077704A">
        <w:rPr>
          <w:rFonts w:eastAsia="Calibri" w:cs="Times New Roman"/>
          <w:i/>
        </w:rPr>
        <w:t xml:space="preserve">lance </w:t>
      </w:r>
      <w:r w:rsidRPr="0077704A">
        <w:rPr>
          <w:rFonts w:eastAsia="Calibri" w:cs="Times New Roman"/>
          <w:i/>
        </w:rPr>
        <w:t xml:space="preserve">2009. </w:t>
      </w:r>
      <w:r w:rsidR="00A74567">
        <w:rPr>
          <w:rFonts w:eastAsia="Calibri" w:cs="Times New Roman"/>
        </w:rPr>
        <w:t xml:space="preserve">Retrieved from: </w:t>
      </w:r>
      <w:hyperlink r:id="rId41" w:history="1">
        <w:r w:rsidRPr="0077704A">
          <w:rPr>
            <w:rFonts w:eastAsia="Calibri" w:cs="Times New Roman"/>
            <w:color w:val="0563C1"/>
            <w:u w:val="single"/>
          </w:rPr>
          <w:t>https://www.oecd.org/berlin/42675407.pdf</w:t>
        </w:r>
      </w:hyperlink>
      <w:r w:rsidR="00A74567">
        <w:rPr>
          <w:rFonts w:eastAsia="Calibri" w:cs="Times New Roman"/>
          <w:color w:val="0563C1"/>
          <w:u w:val="single"/>
        </w:rPr>
        <w:t>.</w:t>
      </w:r>
    </w:p>
    <w:p w14:paraId="527AC23F" w14:textId="3DF0FDF3" w:rsidR="00E12A1A" w:rsidRDefault="00E12A1A" w:rsidP="00044334">
      <w:pPr>
        <w:spacing w:after="0"/>
        <w:ind w:left="720" w:hanging="720"/>
        <w:rPr>
          <w:rFonts w:eastAsia="Calibri" w:cs="Times New Roman"/>
        </w:rPr>
      </w:pPr>
      <w:r w:rsidRPr="000B1DE6">
        <w:rPr>
          <w:rFonts w:cs="Times New Roman"/>
          <w:szCs w:val="24"/>
        </w:rPr>
        <w:t xml:space="preserve">Office for National Statistics. </w:t>
      </w:r>
      <w:r w:rsidRPr="00E12A1A">
        <w:rPr>
          <w:rFonts w:eastAsia="Calibri" w:cs="Times New Roman"/>
        </w:rPr>
        <w:t>(2015)</w:t>
      </w:r>
      <w:r>
        <w:rPr>
          <w:rFonts w:eastAsia="Calibri" w:cs="Times New Roman"/>
        </w:rPr>
        <w:t>.</w:t>
      </w:r>
      <w:r w:rsidRPr="00E12A1A">
        <w:rPr>
          <w:rFonts w:eastAsia="Calibri" w:cs="Times New Roman"/>
        </w:rPr>
        <w:t xml:space="preserve"> </w:t>
      </w:r>
      <w:r w:rsidRPr="00A008B6">
        <w:rPr>
          <w:rFonts w:eastAsia="Calibri" w:cs="Times New Roman"/>
          <w:i/>
        </w:rPr>
        <w:t xml:space="preserve">Leisure </w:t>
      </w:r>
      <w:r w:rsidR="00A74567" w:rsidRPr="00A008B6">
        <w:rPr>
          <w:rFonts w:eastAsia="Calibri" w:cs="Times New Roman"/>
          <w:i/>
        </w:rPr>
        <w:t xml:space="preserve">time </w:t>
      </w:r>
      <w:r w:rsidRPr="00A008B6">
        <w:rPr>
          <w:rFonts w:eastAsia="Calibri" w:cs="Times New Roman"/>
          <w:i/>
        </w:rPr>
        <w:t>in the UK: 2015</w:t>
      </w:r>
      <w:r w:rsidRPr="00E12A1A">
        <w:rPr>
          <w:rFonts w:eastAsia="Calibri" w:cs="Times New Roman"/>
        </w:rPr>
        <w:t xml:space="preserve">. </w:t>
      </w:r>
      <w:r w:rsidR="00A74567">
        <w:rPr>
          <w:rFonts w:eastAsia="Calibri" w:cs="Times New Roman"/>
        </w:rPr>
        <w:t>Retrieved from</w:t>
      </w:r>
      <w:r w:rsidRPr="00E12A1A">
        <w:rPr>
          <w:rFonts w:eastAsia="Calibri" w:cs="Times New Roman"/>
        </w:rPr>
        <w:t xml:space="preserve">: </w:t>
      </w:r>
      <w:hyperlink r:id="rId42" w:history="1">
        <w:r w:rsidRPr="00E12A1A">
          <w:rPr>
            <w:rFonts w:eastAsia="Calibri" w:cs="Times New Roman"/>
            <w:color w:val="0563C1"/>
            <w:u w:val="single"/>
          </w:rPr>
          <w:t>https://www.ons.gov.uk/economy/nationalaccounts/satelliteaccounts/articles/leisuretimeintheuk/2015</w:t>
        </w:r>
      </w:hyperlink>
      <w:r w:rsidR="00A74567">
        <w:rPr>
          <w:rFonts w:eastAsia="Calibri" w:cs="Times New Roman"/>
          <w:color w:val="0563C1"/>
          <w:u w:val="single"/>
        </w:rPr>
        <w:t>.</w:t>
      </w:r>
      <w:r w:rsidRPr="00E12A1A">
        <w:rPr>
          <w:rFonts w:eastAsia="Calibri" w:cs="Times New Roman"/>
        </w:rPr>
        <w:t xml:space="preserve"> </w:t>
      </w:r>
    </w:p>
    <w:p w14:paraId="5FEFDE2E" w14:textId="582F1609" w:rsidR="00423A24" w:rsidRPr="00E12A1A" w:rsidRDefault="00423A24" w:rsidP="00044334">
      <w:pPr>
        <w:spacing w:after="0"/>
        <w:ind w:left="720" w:hanging="720"/>
        <w:rPr>
          <w:rFonts w:eastAsia="Calibri" w:cs="Times New Roman"/>
        </w:rPr>
      </w:pPr>
      <w:r>
        <w:rPr>
          <w:rFonts w:eastAsia="Calibri" w:cs="Times New Roman"/>
        </w:rPr>
        <w:t xml:space="preserve">Office for National Statistics. (2015). </w:t>
      </w:r>
      <w:r w:rsidRPr="00A008B6">
        <w:rPr>
          <w:rFonts w:eastAsia="Calibri" w:cs="Times New Roman"/>
          <w:i/>
        </w:rPr>
        <w:t>Transition from a manufacturing to service led labour market over past 170 years</w:t>
      </w:r>
      <w:r>
        <w:rPr>
          <w:rFonts w:eastAsia="Calibri" w:cs="Times New Roman"/>
        </w:rPr>
        <w:t xml:space="preserve">. </w:t>
      </w:r>
      <w:r w:rsidR="00A74567">
        <w:rPr>
          <w:rFonts w:eastAsia="Calibri" w:cs="Times New Roman"/>
        </w:rPr>
        <w:t>Retrieved</w:t>
      </w:r>
      <w:r>
        <w:rPr>
          <w:rFonts w:eastAsia="Calibri" w:cs="Times New Roman"/>
        </w:rPr>
        <w:t xml:space="preserve"> from: </w:t>
      </w:r>
      <w:hyperlink r:id="rId43" w:history="1">
        <w:r w:rsidRPr="009F6BF2">
          <w:rPr>
            <w:rStyle w:val="Hyperlink"/>
            <w:rFonts w:eastAsia="Calibri" w:cs="Times New Roman"/>
          </w:rPr>
          <w:t>https://www.ons.gov.uk/employmentandlabourmarket/peopleinwork/earningsandworkinghours/articles/transitionfromamanufacturingtoserviceledlabourmarketoverpast170years/2015-08-06</w:t>
        </w:r>
        <w:r w:rsidR="00A74567" w:rsidRPr="009F6BF2">
          <w:rPr>
            <w:rStyle w:val="Hyperlink"/>
            <w:rFonts w:eastAsia="Calibri" w:cs="Times New Roman"/>
          </w:rPr>
          <w:t>.</w:t>
        </w:r>
      </w:hyperlink>
    </w:p>
    <w:p w14:paraId="05635B8E" w14:textId="5029422D" w:rsidR="00BC78AC" w:rsidRPr="000B1DE6" w:rsidRDefault="00BC78AC" w:rsidP="00044334">
      <w:pPr>
        <w:spacing w:before="240" w:after="0"/>
        <w:ind w:left="720" w:hanging="720"/>
        <w:rPr>
          <w:rFonts w:cs="Times New Roman"/>
          <w:szCs w:val="24"/>
        </w:rPr>
      </w:pPr>
      <w:r w:rsidRPr="000B1DE6">
        <w:rPr>
          <w:rFonts w:cs="Times New Roman"/>
          <w:szCs w:val="24"/>
        </w:rPr>
        <w:t>Office for National Statistics. (2016)</w:t>
      </w:r>
      <w:r w:rsidR="000A02A2">
        <w:rPr>
          <w:rFonts w:cs="Times New Roman"/>
          <w:szCs w:val="24"/>
        </w:rPr>
        <w:t>.</w:t>
      </w:r>
      <w:r w:rsidRPr="000B1DE6">
        <w:rPr>
          <w:rFonts w:cs="Times New Roman"/>
          <w:szCs w:val="24"/>
        </w:rPr>
        <w:t xml:space="preserve"> </w:t>
      </w:r>
      <w:r w:rsidRPr="00B764E7">
        <w:rPr>
          <w:rFonts w:cs="Times New Roman"/>
          <w:i/>
          <w:szCs w:val="24"/>
        </w:rPr>
        <w:t>Overview of the UK population: February 2016</w:t>
      </w:r>
      <w:r w:rsidRPr="000B1DE6">
        <w:rPr>
          <w:rFonts w:cs="Times New Roman"/>
          <w:szCs w:val="24"/>
        </w:rPr>
        <w:t xml:space="preserve">. </w:t>
      </w:r>
      <w:r w:rsidR="000A02A2">
        <w:rPr>
          <w:rFonts w:cs="Times New Roman"/>
          <w:szCs w:val="24"/>
        </w:rPr>
        <w:t>R</w:t>
      </w:r>
      <w:r>
        <w:rPr>
          <w:rFonts w:cs="Times New Roman"/>
          <w:szCs w:val="24"/>
        </w:rPr>
        <w:t>etrieved</w:t>
      </w:r>
      <w:r w:rsidRPr="000B1DE6">
        <w:rPr>
          <w:rFonts w:cs="Times New Roman"/>
          <w:szCs w:val="24"/>
        </w:rPr>
        <w:t xml:space="preserve"> from</w:t>
      </w:r>
      <w:r w:rsidR="00A74567">
        <w:rPr>
          <w:rFonts w:cs="Times New Roman"/>
          <w:szCs w:val="24"/>
        </w:rPr>
        <w:t>:</w:t>
      </w:r>
      <w:r w:rsidRPr="000B1DE6">
        <w:rPr>
          <w:rFonts w:cs="Times New Roman"/>
          <w:szCs w:val="24"/>
        </w:rPr>
        <w:t xml:space="preserve"> </w:t>
      </w:r>
      <w:hyperlink r:id="rId44" w:history="1">
        <w:r w:rsidRPr="000B1DE6">
          <w:rPr>
            <w:rStyle w:val="Hyperlink"/>
            <w:rFonts w:cs="Times New Roman"/>
            <w:szCs w:val="24"/>
          </w:rPr>
          <w:t>https://www.ons.gov.uk/peoplepopulationandcommunity/populationandmigration/populationestimates/articles/overviewoftheukpopulation/february2016</w:t>
        </w:r>
      </w:hyperlink>
      <w:r w:rsidR="000A02A2">
        <w:rPr>
          <w:rStyle w:val="Hyperlink"/>
          <w:rFonts w:cs="Times New Roman"/>
          <w:szCs w:val="24"/>
        </w:rPr>
        <w:t>.</w:t>
      </w:r>
      <w:r w:rsidRPr="000B1DE6">
        <w:rPr>
          <w:rFonts w:cs="Times New Roman"/>
          <w:szCs w:val="24"/>
        </w:rPr>
        <w:t xml:space="preserve"> </w:t>
      </w:r>
    </w:p>
    <w:p w14:paraId="4FBC015F" w14:textId="6B187FFA" w:rsidR="00BC78AC" w:rsidRPr="000B1DE6" w:rsidRDefault="00BC78AC" w:rsidP="00044334">
      <w:pPr>
        <w:spacing w:before="240" w:after="0"/>
        <w:ind w:left="720" w:hanging="720"/>
        <w:rPr>
          <w:rFonts w:cs="Times New Roman"/>
          <w:szCs w:val="24"/>
        </w:rPr>
      </w:pPr>
      <w:r w:rsidRPr="000B1DE6">
        <w:rPr>
          <w:rFonts w:cs="Times New Roman"/>
          <w:szCs w:val="24"/>
        </w:rPr>
        <w:t>Office for National Statistics</w:t>
      </w:r>
      <w:r>
        <w:rPr>
          <w:rFonts w:cs="Times New Roman"/>
          <w:szCs w:val="24"/>
        </w:rPr>
        <w:t>.</w:t>
      </w:r>
      <w:r w:rsidRPr="000B1DE6">
        <w:rPr>
          <w:rFonts w:cs="Times New Roman"/>
          <w:szCs w:val="24"/>
        </w:rPr>
        <w:t xml:space="preserve"> (2018)</w:t>
      </w:r>
      <w:r>
        <w:rPr>
          <w:rFonts w:cs="Times New Roman"/>
          <w:szCs w:val="24"/>
        </w:rPr>
        <w:t>.</w:t>
      </w:r>
      <w:r w:rsidRPr="000B1DE6">
        <w:rPr>
          <w:rFonts w:cs="Times New Roman"/>
          <w:szCs w:val="24"/>
        </w:rPr>
        <w:t xml:space="preserve"> </w:t>
      </w:r>
      <w:r w:rsidRPr="00B764E7">
        <w:rPr>
          <w:rFonts w:cs="Times New Roman"/>
          <w:i/>
          <w:szCs w:val="24"/>
        </w:rPr>
        <w:t xml:space="preserve">UK </w:t>
      </w:r>
      <w:r w:rsidR="000A02A2">
        <w:rPr>
          <w:rFonts w:cs="Times New Roman"/>
          <w:i/>
          <w:szCs w:val="24"/>
        </w:rPr>
        <w:t>l</w:t>
      </w:r>
      <w:r w:rsidR="000A02A2" w:rsidRPr="00B764E7">
        <w:rPr>
          <w:rFonts w:cs="Times New Roman"/>
          <w:i/>
          <w:szCs w:val="24"/>
        </w:rPr>
        <w:t xml:space="preserve">abour </w:t>
      </w:r>
      <w:r w:rsidR="000A02A2">
        <w:rPr>
          <w:rFonts w:cs="Times New Roman"/>
          <w:i/>
          <w:szCs w:val="24"/>
        </w:rPr>
        <w:t>m</w:t>
      </w:r>
      <w:r w:rsidR="000A02A2" w:rsidRPr="00B764E7">
        <w:rPr>
          <w:rFonts w:cs="Times New Roman"/>
          <w:i/>
          <w:szCs w:val="24"/>
        </w:rPr>
        <w:t>arket</w:t>
      </w:r>
      <w:r w:rsidRPr="00B764E7">
        <w:rPr>
          <w:rFonts w:cs="Times New Roman"/>
          <w:i/>
          <w:szCs w:val="24"/>
        </w:rPr>
        <w:t>: May 2018</w:t>
      </w:r>
      <w:r w:rsidRPr="000B1DE6">
        <w:rPr>
          <w:rFonts w:cs="Times New Roman"/>
          <w:szCs w:val="24"/>
        </w:rPr>
        <w:t xml:space="preserve">. </w:t>
      </w:r>
      <w:r w:rsidR="000A02A2">
        <w:rPr>
          <w:rFonts w:cs="Times New Roman"/>
          <w:szCs w:val="24"/>
        </w:rPr>
        <w:t>R</w:t>
      </w:r>
      <w:r>
        <w:rPr>
          <w:rFonts w:cs="Times New Roman"/>
          <w:szCs w:val="24"/>
        </w:rPr>
        <w:t>etrieved</w:t>
      </w:r>
      <w:r w:rsidRPr="000B1DE6">
        <w:rPr>
          <w:rFonts w:cs="Times New Roman"/>
          <w:szCs w:val="24"/>
        </w:rPr>
        <w:t xml:space="preserve"> from</w:t>
      </w:r>
      <w:r w:rsidR="0036157E">
        <w:rPr>
          <w:rFonts w:cs="Times New Roman"/>
          <w:szCs w:val="24"/>
        </w:rPr>
        <w:t>:</w:t>
      </w:r>
      <w:r w:rsidR="000A02A2">
        <w:rPr>
          <w:rFonts w:cs="Times New Roman"/>
          <w:szCs w:val="24"/>
        </w:rPr>
        <w:t xml:space="preserve"> </w:t>
      </w:r>
      <w:hyperlink r:id="rId45" w:history="1">
        <w:r w:rsidRPr="00552B24">
          <w:rPr>
            <w:rStyle w:val="Hyperlink"/>
            <w:rFonts w:cs="Times New Roman"/>
            <w:szCs w:val="24"/>
          </w:rPr>
          <w:t>https://www.ons.gov.uk/employmentandlabourmarket/peopleinwork/employmentandemployeetypes/bulletins/uklabourmarket/may2018#young-people-in-the-labour-market</w:t>
        </w:r>
        <w:r w:rsidR="000A02A2" w:rsidRPr="00552B24">
          <w:rPr>
            <w:rStyle w:val="Hyperlink"/>
            <w:rFonts w:cs="Times New Roman"/>
            <w:szCs w:val="24"/>
          </w:rPr>
          <w:t>.</w:t>
        </w:r>
      </w:hyperlink>
      <w:r w:rsidRPr="000B1DE6">
        <w:rPr>
          <w:rFonts w:cs="Times New Roman"/>
          <w:szCs w:val="24"/>
        </w:rPr>
        <w:t xml:space="preserve"> </w:t>
      </w:r>
    </w:p>
    <w:p w14:paraId="7A8D687C" w14:textId="58B200BF" w:rsidR="00BC78AC" w:rsidRPr="000B1DE6" w:rsidRDefault="00BC78AC" w:rsidP="00044334">
      <w:pPr>
        <w:spacing w:before="240" w:after="0"/>
        <w:ind w:left="720" w:hanging="720"/>
        <w:rPr>
          <w:rFonts w:cs="Times New Roman"/>
          <w:szCs w:val="24"/>
        </w:rPr>
      </w:pPr>
      <w:r w:rsidRPr="000B1DE6">
        <w:rPr>
          <w:rFonts w:cs="Times New Roman"/>
          <w:szCs w:val="24"/>
        </w:rPr>
        <w:t xml:space="preserve">Parent, M.C. (2013). Handling missing data: simpler is just as good. </w:t>
      </w:r>
      <w:r w:rsidRPr="000B1DE6">
        <w:rPr>
          <w:rFonts w:cs="Times New Roman"/>
          <w:i/>
          <w:szCs w:val="24"/>
        </w:rPr>
        <w:t>The Counseling Psychologist, 41</w:t>
      </w:r>
      <w:r>
        <w:rPr>
          <w:rFonts w:cs="Times New Roman"/>
          <w:szCs w:val="24"/>
        </w:rPr>
        <w:t>(4)</w:t>
      </w:r>
      <w:r w:rsidRPr="000B1DE6">
        <w:rPr>
          <w:rFonts w:cs="Times New Roman"/>
          <w:szCs w:val="24"/>
        </w:rPr>
        <w:t xml:space="preserve"> 568 – 600.</w:t>
      </w:r>
      <w:r w:rsidR="00552B24">
        <w:rPr>
          <w:rFonts w:cs="Times New Roman"/>
          <w:szCs w:val="24"/>
        </w:rPr>
        <w:t xml:space="preserve"> </w:t>
      </w:r>
      <w:hyperlink r:id="rId46" w:tgtFrame="_blank" w:history="1">
        <w:r w:rsidR="00552B24" w:rsidRPr="00552B24">
          <w:rPr>
            <w:rStyle w:val="Hyperlink"/>
            <w:rFonts w:cs="Times New Roman"/>
            <w:szCs w:val="24"/>
          </w:rPr>
          <w:t>http://dx.doi.org/10.1177/0011000012445176</w:t>
        </w:r>
      </w:hyperlink>
    </w:p>
    <w:p w14:paraId="1DEE481F" w14:textId="1F43B7D1" w:rsidR="00BC78AC" w:rsidRDefault="00BC78AC" w:rsidP="00044334">
      <w:pPr>
        <w:spacing w:before="240" w:after="0"/>
        <w:ind w:left="720" w:hanging="720"/>
        <w:rPr>
          <w:rFonts w:cs="Times New Roman"/>
          <w:szCs w:val="24"/>
        </w:rPr>
      </w:pPr>
      <w:r w:rsidRPr="000B1DE6">
        <w:rPr>
          <w:rFonts w:cs="Times New Roman"/>
          <w:szCs w:val="24"/>
        </w:rPr>
        <w:t>Ross, A. (2003)</w:t>
      </w:r>
      <w:r>
        <w:rPr>
          <w:rFonts w:cs="Times New Roman"/>
          <w:szCs w:val="24"/>
        </w:rPr>
        <w:t xml:space="preserve">. </w:t>
      </w:r>
      <w:r w:rsidRPr="000B1DE6">
        <w:rPr>
          <w:rFonts w:cs="Times New Roman"/>
          <w:szCs w:val="24"/>
        </w:rPr>
        <w:t xml:space="preserve">Access to </w:t>
      </w:r>
      <w:r w:rsidR="003A2818">
        <w:rPr>
          <w:rFonts w:cs="Times New Roman"/>
          <w:szCs w:val="24"/>
        </w:rPr>
        <w:t>h</w:t>
      </w:r>
      <w:r w:rsidR="003A2818" w:rsidRPr="000B1DE6">
        <w:rPr>
          <w:rFonts w:cs="Times New Roman"/>
          <w:szCs w:val="24"/>
        </w:rPr>
        <w:t xml:space="preserve">igher </w:t>
      </w:r>
      <w:r w:rsidR="003A2818">
        <w:rPr>
          <w:rFonts w:cs="Times New Roman"/>
          <w:szCs w:val="24"/>
        </w:rPr>
        <w:t>e</w:t>
      </w:r>
      <w:r w:rsidR="003A2818" w:rsidRPr="000B1DE6">
        <w:rPr>
          <w:rFonts w:cs="Times New Roman"/>
          <w:szCs w:val="24"/>
        </w:rPr>
        <w:t>ducat</w:t>
      </w:r>
      <w:r w:rsidR="003A2818">
        <w:rPr>
          <w:rFonts w:cs="Times New Roman"/>
          <w:szCs w:val="24"/>
        </w:rPr>
        <w:t>ion</w:t>
      </w:r>
      <w:r>
        <w:rPr>
          <w:rFonts w:cs="Times New Roman"/>
          <w:szCs w:val="24"/>
        </w:rPr>
        <w:t xml:space="preserve">: Inclusion for the </w:t>
      </w:r>
      <w:r w:rsidR="003A2818">
        <w:rPr>
          <w:rFonts w:cs="Times New Roman"/>
          <w:szCs w:val="24"/>
        </w:rPr>
        <w:t>masses</w:t>
      </w:r>
      <w:r>
        <w:rPr>
          <w:rFonts w:cs="Times New Roman"/>
          <w:szCs w:val="24"/>
        </w:rPr>
        <w:t>?</w:t>
      </w:r>
      <w:r w:rsidRPr="000B1DE6">
        <w:rPr>
          <w:rFonts w:cs="Times New Roman"/>
          <w:szCs w:val="24"/>
        </w:rPr>
        <w:t xml:space="preserve"> In </w:t>
      </w:r>
      <w:r w:rsidR="00A74567">
        <w:rPr>
          <w:rFonts w:cs="Times New Roman"/>
          <w:szCs w:val="24"/>
        </w:rPr>
        <w:t xml:space="preserve">L. </w:t>
      </w:r>
      <w:r w:rsidRPr="000B1DE6">
        <w:rPr>
          <w:rFonts w:cs="Times New Roman"/>
          <w:szCs w:val="24"/>
        </w:rPr>
        <w:t xml:space="preserve">Archer., </w:t>
      </w:r>
      <w:r w:rsidR="00A74567">
        <w:rPr>
          <w:rFonts w:cs="Times New Roman"/>
          <w:szCs w:val="24"/>
        </w:rPr>
        <w:t xml:space="preserve">M. </w:t>
      </w:r>
      <w:r w:rsidRPr="000B1DE6">
        <w:rPr>
          <w:rFonts w:cs="Times New Roman"/>
          <w:szCs w:val="24"/>
        </w:rPr>
        <w:t xml:space="preserve">Hutchings, </w:t>
      </w:r>
      <w:r w:rsidR="00A74567">
        <w:rPr>
          <w:rFonts w:cs="Times New Roman"/>
          <w:szCs w:val="24"/>
        </w:rPr>
        <w:t>&amp; A.</w:t>
      </w:r>
      <w:r w:rsidRPr="000B1DE6">
        <w:rPr>
          <w:rFonts w:cs="Times New Roman"/>
          <w:szCs w:val="24"/>
        </w:rPr>
        <w:t xml:space="preserve"> Ross (</w:t>
      </w:r>
      <w:r w:rsidR="00A74567">
        <w:rPr>
          <w:rFonts w:cs="Times New Roman"/>
          <w:szCs w:val="24"/>
        </w:rPr>
        <w:t>E</w:t>
      </w:r>
      <w:r w:rsidR="00A74567" w:rsidRPr="000B1DE6">
        <w:rPr>
          <w:rFonts w:cs="Times New Roman"/>
          <w:szCs w:val="24"/>
        </w:rPr>
        <w:t>ds</w:t>
      </w:r>
      <w:r w:rsidRPr="000B1DE6">
        <w:rPr>
          <w:rFonts w:cs="Times New Roman"/>
          <w:szCs w:val="24"/>
        </w:rPr>
        <w:t xml:space="preserve">.) </w:t>
      </w:r>
      <w:r w:rsidRPr="005B4D19">
        <w:rPr>
          <w:rFonts w:cs="Times New Roman"/>
          <w:i/>
          <w:szCs w:val="24"/>
        </w:rPr>
        <w:t xml:space="preserve">Higher </w:t>
      </w:r>
      <w:r w:rsidR="003A2818">
        <w:rPr>
          <w:rFonts w:cs="Times New Roman"/>
          <w:i/>
          <w:szCs w:val="24"/>
        </w:rPr>
        <w:t>e</w:t>
      </w:r>
      <w:r w:rsidR="003A2818" w:rsidRPr="005B4D19">
        <w:rPr>
          <w:rFonts w:cs="Times New Roman"/>
          <w:i/>
          <w:szCs w:val="24"/>
        </w:rPr>
        <w:t xml:space="preserve">ducation </w:t>
      </w:r>
      <w:r w:rsidRPr="005B4D19">
        <w:rPr>
          <w:rFonts w:cs="Times New Roman"/>
          <w:i/>
          <w:szCs w:val="24"/>
        </w:rPr>
        <w:t xml:space="preserve">and </w:t>
      </w:r>
      <w:r w:rsidR="003A2818">
        <w:rPr>
          <w:rFonts w:cs="Times New Roman"/>
          <w:i/>
          <w:szCs w:val="24"/>
        </w:rPr>
        <w:t>s</w:t>
      </w:r>
      <w:r w:rsidR="003A2818" w:rsidRPr="005B4D19">
        <w:rPr>
          <w:rFonts w:cs="Times New Roman"/>
          <w:i/>
          <w:szCs w:val="24"/>
        </w:rPr>
        <w:t xml:space="preserve">ocial </w:t>
      </w:r>
      <w:r w:rsidR="003A2818">
        <w:rPr>
          <w:rFonts w:cs="Times New Roman"/>
          <w:i/>
          <w:szCs w:val="24"/>
        </w:rPr>
        <w:t>c</w:t>
      </w:r>
      <w:r w:rsidR="003A2818" w:rsidRPr="005B4D19">
        <w:rPr>
          <w:rFonts w:cs="Times New Roman"/>
          <w:i/>
          <w:szCs w:val="24"/>
        </w:rPr>
        <w:t>lass</w:t>
      </w:r>
      <w:r w:rsidRPr="005B4D19">
        <w:rPr>
          <w:rFonts w:cs="Times New Roman"/>
          <w:i/>
          <w:szCs w:val="24"/>
        </w:rPr>
        <w:t xml:space="preserve">: Issues of </w:t>
      </w:r>
      <w:r w:rsidR="003A2818">
        <w:rPr>
          <w:rFonts w:cs="Times New Roman"/>
          <w:i/>
          <w:szCs w:val="24"/>
        </w:rPr>
        <w:t>e</w:t>
      </w:r>
      <w:r w:rsidR="003A2818" w:rsidRPr="005B4D19">
        <w:rPr>
          <w:rFonts w:cs="Times New Roman"/>
          <w:i/>
          <w:szCs w:val="24"/>
        </w:rPr>
        <w:t xml:space="preserve">xclusion </w:t>
      </w:r>
      <w:r w:rsidRPr="005B4D19">
        <w:rPr>
          <w:rFonts w:cs="Times New Roman"/>
          <w:i/>
          <w:szCs w:val="24"/>
        </w:rPr>
        <w:t xml:space="preserve">and </w:t>
      </w:r>
      <w:r w:rsidR="003A2818">
        <w:rPr>
          <w:rFonts w:cs="Times New Roman"/>
          <w:i/>
          <w:szCs w:val="24"/>
        </w:rPr>
        <w:t>i</w:t>
      </w:r>
      <w:r w:rsidR="003A2818" w:rsidRPr="005B4D19">
        <w:rPr>
          <w:rFonts w:cs="Times New Roman"/>
          <w:i/>
          <w:szCs w:val="24"/>
        </w:rPr>
        <w:t>nclusion</w:t>
      </w:r>
      <w:r w:rsidR="003A2818">
        <w:rPr>
          <w:rFonts w:cs="Times New Roman"/>
          <w:i/>
          <w:szCs w:val="24"/>
        </w:rPr>
        <w:t xml:space="preserve"> (</w:t>
      </w:r>
      <w:r w:rsidR="003A2818" w:rsidRPr="000B1DE6">
        <w:rPr>
          <w:rFonts w:cs="Times New Roman"/>
          <w:szCs w:val="24"/>
        </w:rPr>
        <w:t>pp. 45-75</w:t>
      </w:r>
      <w:r w:rsidR="003A2818">
        <w:rPr>
          <w:rFonts w:cs="Times New Roman"/>
          <w:szCs w:val="24"/>
        </w:rPr>
        <w:t>)</w:t>
      </w:r>
      <w:r w:rsidRPr="005B4D19">
        <w:rPr>
          <w:rFonts w:cs="Times New Roman"/>
          <w:i/>
          <w:szCs w:val="24"/>
        </w:rPr>
        <w:t xml:space="preserve">. </w:t>
      </w:r>
      <w:r w:rsidRPr="000B1DE6">
        <w:rPr>
          <w:rFonts w:cs="Times New Roman"/>
          <w:szCs w:val="24"/>
        </w:rPr>
        <w:t>London: Routledge Falmer.</w:t>
      </w:r>
    </w:p>
    <w:p w14:paraId="6ABCD00E" w14:textId="62E0AF13" w:rsidR="00BC78AC" w:rsidRDefault="00AA20E0" w:rsidP="00044334">
      <w:pPr>
        <w:spacing w:before="240"/>
        <w:ind w:left="720" w:hanging="720"/>
        <w:rPr>
          <w:rFonts w:cs="Times New Roman"/>
          <w:szCs w:val="24"/>
        </w:rPr>
      </w:pPr>
      <w:r>
        <w:rPr>
          <w:rFonts w:cs="Times New Roman"/>
          <w:szCs w:val="24"/>
        </w:rPr>
        <w:t>S</w:t>
      </w:r>
      <w:r w:rsidR="00BC78AC" w:rsidRPr="000B1DE6">
        <w:rPr>
          <w:rFonts w:cs="Times New Roman"/>
          <w:szCs w:val="24"/>
        </w:rPr>
        <w:t xml:space="preserve">avage, M., </w:t>
      </w:r>
      <w:r w:rsidR="00BC78AC" w:rsidRPr="000B1DE6">
        <w:rPr>
          <w:rFonts w:eastAsia="Times New Roman" w:cs="Times New Roman"/>
          <w:bCs/>
          <w:szCs w:val="24"/>
          <w:shd w:val="clear" w:color="auto" w:fill="FFFFFF"/>
        </w:rPr>
        <w:t>Cunningham</w:t>
      </w:r>
      <w:r w:rsidR="00BC78AC" w:rsidRPr="000B1DE6">
        <w:rPr>
          <w:rFonts w:eastAsia="Times New Roman" w:cs="Times New Roman"/>
          <w:szCs w:val="24"/>
          <w:shd w:val="clear" w:color="auto" w:fill="FFFFFF"/>
        </w:rPr>
        <w:t>,</w:t>
      </w:r>
      <w:r w:rsidR="003A2818">
        <w:rPr>
          <w:rFonts w:eastAsia="Times New Roman" w:cs="Times New Roman"/>
          <w:szCs w:val="24"/>
          <w:shd w:val="clear" w:color="auto" w:fill="FFFFFF"/>
        </w:rPr>
        <w:t xml:space="preserve"> </w:t>
      </w:r>
      <w:r w:rsidR="00BC78AC" w:rsidRPr="000B1DE6">
        <w:rPr>
          <w:rFonts w:eastAsia="Times New Roman" w:cs="Times New Roman"/>
          <w:szCs w:val="24"/>
          <w:shd w:val="clear" w:color="auto" w:fill="FFFFFF"/>
        </w:rPr>
        <w:t xml:space="preserve">N., </w:t>
      </w:r>
      <w:r w:rsidR="00BC78AC" w:rsidRPr="000B1DE6">
        <w:rPr>
          <w:rFonts w:eastAsia="Times New Roman" w:cs="Times New Roman"/>
          <w:bCs/>
          <w:szCs w:val="24"/>
          <w:shd w:val="clear" w:color="auto" w:fill="FFFFFF"/>
        </w:rPr>
        <w:t>Devine</w:t>
      </w:r>
      <w:r w:rsidR="00BC78AC" w:rsidRPr="000B1DE6">
        <w:rPr>
          <w:rFonts w:eastAsia="Times New Roman" w:cs="Times New Roman"/>
          <w:szCs w:val="24"/>
          <w:shd w:val="clear" w:color="auto" w:fill="FFFFFF"/>
        </w:rPr>
        <w:t>,</w:t>
      </w:r>
      <w:r w:rsidR="003A2818">
        <w:rPr>
          <w:rFonts w:eastAsia="Times New Roman" w:cs="Times New Roman"/>
          <w:szCs w:val="24"/>
          <w:shd w:val="clear" w:color="auto" w:fill="FFFFFF"/>
        </w:rPr>
        <w:t xml:space="preserve"> </w:t>
      </w:r>
      <w:r w:rsidR="00BC78AC" w:rsidRPr="000B1DE6">
        <w:rPr>
          <w:rFonts w:eastAsia="Times New Roman" w:cs="Times New Roman"/>
          <w:szCs w:val="24"/>
          <w:shd w:val="clear" w:color="auto" w:fill="FFFFFF"/>
        </w:rPr>
        <w:t xml:space="preserve">F., </w:t>
      </w:r>
      <w:r w:rsidR="00BC78AC" w:rsidRPr="000B1DE6">
        <w:rPr>
          <w:rFonts w:eastAsia="Times New Roman" w:cs="Times New Roman"/>
          <w:bCs/>
          <w:szCs w:val="24"/>
          <w:shd w:val="clear" w:color="auto" w:fill="FFFFFF"/>
        </w:rPr>
        <w:t>Friedman</w:t>
      </w:r>
      <w:r w:rsidR="00BC78AC" w:rsidRPr="000B1DE6">
        <w:rPr>
          <w:rFonts w:eastAsia="Times New Roman" w:cs="Times New Roman"/>
          <w:szCs w:val="24"/>
          <w:shd w:val="clear" w:color="auto" w:fill="FFFFFF"/>
        </w:rPr>
        <w:t>,</w:t>
      </w:r>
      <w:r w:rsidR="003A2818">
        <w:rPr>
          <w:rFonts w:eastAsia="Times New Roman" w:cs="Times New Roman"/>
          <w:szCs w:val="24"/>
          <w:shd w:val="clear" w:color="auto" w:fill="FFFFFF"/>
        </w:rPr>
        <w:t xml:space="preserve"> </w:t>
      </w:r>
      <w:r w:rsidR="00BC78AC" w:rsidRPr="000B1DE6">
        <w:rPr>
          <w:rFonts w:eastAsia="Times New Roman" w:cs="Times New Roman"/>
          <w:szCs w:val="24"/>
          <w:shd w:val="clear" w:color="auto" w:fill="FFFFFF"/>
        </w:rPr>
        <w:t xml:space="preserve">S., </w:t>
      </w:r>
      <w:r w:rsidR="00BC78AC" w:rsidRPr="000B1DE6">
        <w:rPr>
          <w:rFonts w:eastAsia="Times New Roman" w:cs="Times New Roman"/>
          <w:bCs/>
          <w:szCs w:val="24"/>
          <w:shd w:val="clear" w:color="auto" w:fill="FFFFFF"/>
        </w:rPr>
        <w:t>Laurison, D., Mckenzie</w:t>
      </w:r>
      <w:r w:rsidR="00BC78AC" w:rsidRPr="000B1DE6">
        <w:rPr>
          <w:rFonts w:eastAsia="Times New Roman" w:cs="Times New Roman"/>
          <w:szCs w:val="24"/>
          <w:shd w:val="clear" w:color="auto" w:fill="FFFFFF"/>
        </w:rPr>
        <w:t>,</w:t>
      </w:r>
      <w:r w:rsidR="003A2818">
        <w:rPr>
          <w:rFonts w:eastAsia="Times New Roman" w:cs="Times New Roman"/>
          <w:szCs w:val="24"/>
          <w:shd w:val="clear" w:color="auto" w:fill="FFFFFF"/>
        </w:rPr>
        <w:t xml:space="preserve"> </w:t>
      </w:r>
      <w:r w:rsidR="00BC78AC" w:rsidRPr="000B1DE6">
        <w:rPr>
          <w:rFonts w:eastAsia="Times New Roman" w:cs="Times New Roman"/>
          <w:szCs w:val="24"/>
          <w:shd w:val="clear" w:color="auto" w:fill="FFFFFF"/>
        </w:rPr>
        <w:t xml:space="preserve">L., </w:t>
      </w:r>
      <w:r w:rsidR="00BC78AC" w:rsidRPr="000B1DE6">
        <w:rPr>
          <w:rFonts w:eastAsia="Times New Roman" w:cs="Times New Roman"/>
          <w:bCs/>
          <w:szCs w:val="24"/>
          <w:shd w:val="clear" w:color="auto" w:fill="FFFFFF"/>
        </w:rPr>
        <w:t>Miles</w:t>
      </w:r>
      <w:r w:rsidR="00BC78AC" w:rsidRPr="000B1DE6">
        <w:rPr>
          <w:rFonts w:eastAsia="Times New Roman" w:cs="Times New Roman"/>
          <w:szCs w:val="24"/>
          <w:shd w:val="clear" w:color="auto" w:fill="FFFFFF"/>
        </w:rPr>
        <w:t>,</w:t>
      </w:r>
      <w:r w:rsidR="003A2818">
        <w:rPr>
          <w:rFonts w:eastAsia="Times New Roman" w:cs="Times New Roman"/>
          <w:szCs w:val="24"/>
          <w:shd w:val="clear" w:color="auto" w:fill="FFFFFF"/>
        </w:rPr>
        <w:t xml:space="preserve"> </w:t>
      </w:r>
      <w:r w:rsidR="00BC78AC" w:rsidRPr="000B1DE6">
        <w:rPr>
          <w:rFonts w:eastAsia="Times New Roman" w:cs="Times New Roman"/>
          <w:szCs w:val="24"/>
          <w:shd w:val="clear" w:color="auto" w:fill="FFFFFF"/>
        </w:rPr>
        <w:t>A.,</w:t>
      </w:r>
      <w:r w:rsidR="00BC78AC" w:rsidRPr="000B1DE6">
        <w:rPr>
          <w:rFonts w:eastAsia="Times New Roman" w:cs="Times New Roman"/>
          <w:bCs/>
          <w:szCs w:val="24"/>
          <w:shd w:val="clear" w:color="auto" w:fill="FFFFFF"/>
        </w:rPr>
        <w:t xml:space="preserve"> Snee, H. </w:t>
      </w:r>
      <w:r w:rsidR="00BC78AC" w:rsidRPr="000B1DE6">
        <w:rPr>
          <w:rFonts w:eastAsia="Times New Roman" w:cs="Times New Roman"/>
          <w:szCs w:val="24"/>
          <w:shd w:val="clear" w:color="auto" w:fill="FFFFFF"/>
        </w:rPr>
        <w:t>and</w:t>
      </w:r>
      <w:r w:rsidR="003A2818">
        <w:rPr>
          <w:rFonts w:eastAsia="Times New Roman" w:cs="Times New Roman"/>
          <w:szCs w:val="24"/>
          <w:shd w:val="clear" w:color="auto" w:fill="FFFFFF"/>
        </w:rPr>
        <w:t xml:space="preserve"> </w:t>
      </w:r>
      <w:r w:rsidR="00BC78AC" w:rsidRPr="000B1DE6">
        <w:rPr>
          <w:rFonts w:eastAsia="Times New Roman" w:cs="Times New Roman"/>
          <w:bCs/>
          <w:szCs w:val="24"/>
          <w:shd w:val="clear" w:color="auto" w:fill="FFFFFF"/>
        </w:rPr>
        <w:t>Wakeling, P</w:t>
      </w:r>
      <w:r w:rsidR="00BC78AC" w:rsidRPr="000B1DE6">
        <w:rPr>
          <w:rFonts w:eastAsia="Times New Roman" w:cs="Times New Roman"/>
          <w:szCs w:val="24"/>
          <w:shd w:val="clear" w:color="auto" w:fill="FFFFFF"/>
        </w:rPr>
        <w:t>.</w:t>
      </w:r>
      <w:r w:rsidR="00BC78AC" w:rsidRPr="000B1DE6">
        <w:rPr>
          <w:rFonts w:eastAsia="Times New Roman" w:cs="Times New Roman"/>
          <w:szCs w:val="24"/>
        </w:rPr>
        <w:t xml:space="preserve"> </w:t>
      </w:r>
      <w:r w:rsidR="00BC78AC" w:rsidRPr="000B1DE6">
        <w:rPr>
          <w:rFonts w:cs="Times New Roman"/>
          <w:szCs w:val="24"/>
        </w:rPr>
        <w:t>(2015)</w:t>
      </w:r>
      <w:r w:rsidR="003A2818">
        <w:rPr>
          <w:rFonts w:cs="Times New Roman"/>
          <w:szCs w:val="24"/>
        </w:rPr>
        <w:t>.</w:t>
      </w:r>
      <w:r w:rsidR="00BC78AC" w:rsidRPr="000B1DE6">
        <w:rPr>
          <w:rFonts w:cs="Times New Roman"/>
          <w:szCs w:val="24"/>
        </w:rPr>
        <w:t xml:space="preserve"> </w:t>
      </w:r>
      <w:r w:rsidR="00BC78AC" w:rsidRPr="000B1DE6">
        <w:rPr>
          <w:rFonts w:cs="Times New Roman"/>
          <w:i/>
          <w:szCs w:val="24"/>
        </w:rPr>
        <w:t xml:space="preserve">Social </w:t>
      </w:r>
      <w:r w:rsidR="003A2818">
        <w:rPr>
          <w:rFonts w:cs="Times New Roman"/>
          <w:i/>
          <w:szCs w:val="24"/>
        </w:rPr>
        <w:t>c</w:t>
      </w:r>
      <w:r w:rsidR="003A2818" w:rsidRPr="000B1DE6">
        <w:rPr>
          <w:rFonts w:cs="Times New Roman"/>
          <w:i/>
          <w:szCs w:val="24"/>
        </w:rPr>
        <w:t xml:space="preserve">lass </w:t>
      </w:r>
      <w:r w:rsidR="00BC78AC" w:rsidRPr="000B1DE6">
        <w:rPr>
          <w:rFonts w:cs="Times New Roman"/>
          <w:i/>
          <w:szCs w:val="24"/>
        </w:rPr>
        <w:t>in the 21</w:t>
      </w:r>
      <w:r w:rsidR="00BC78AC" w:rsidRPr="000B1DE6">
        <w:rPr>
          <w:rFonts w:cs="Times New Roman"/>
          <w:i/>
          <w:szCs w:val="24"/>
          <w:vertAlign w:val="superscript"/>
        </w:rPr>
        <w:t>st</w:t>
      </w:r>
      <w:r w:rsidR="00BC78AC" w:rsidRPr="000B1DE6">
        <w:rPr>
          <w:rFonts w:cs="Times New Roman"/>
          <w:i/>
          <w:szCs w:val="24"/>
        </w:rPr>
        <w:t xml:space="preserve"> </w:t>
      </w:r>
      <w:r w:rsidR="003A2818">
        <w:rPr>
          <w:rFonts w:cs="Times New Roman"/>
          <w:i/>
          <w:szCs w:val="24"/>
        </w:rPr>
        <w:t>c</w:t>
      </w:r>
      <w:r w:rsidR="003A2818" w:rsidRPr="000B1DE6">
        <w:rPr>
          <w:rFonts w:cs="Times New Roman"/>
          <w:i/>
          <w:szCs w:val="24"/>
        </w:rPr>
        <w:t>entury</w:t>
      </w:r>
      <w:r w:rsidR="00BC78AC" w:rsidRPr="000B1DE6">
        <w:rPr>
          <w:rFonts w:cs="Times New Roman"/>
          <w:i/>
          <w:szCs w:val="24"/>
        </w:rPr>
        <w:t xml:space="preserve">. </w:t>
      </w:r>
      <w:r w:rsidR="00BC78AC" w:rsidRPr="000B1DE6">
        <w:rPr>
          <w:rFonts w:cs="Times New Roman"/>
          <w:szCs w:val="24"/>
        </w:rPr>
        <w:t xml:space="preserve">London: Penguin Books. </w:t>
      </w:r>
    </w:p>
    <w:p w14:paraId="4CA51E8F" w14:textId="2950A65D" w:rsidR="00BC78AC" w:rsidRDefault="00BC78AC" w:rsidP="00044334">
      <w:pPr>
        <w:ind w:left="720" w:hanging="720"/>
        <w:rPr>
          <w:rFonts w:cs="Times New Roman"/>
          <w:szCs w:val="24"/>
        </w:rPr>
      </w:pPr>
      <w:r w:rsidRPr="0018080F">
        <w:rPr>
          <w:rFonts w:cs="Times New Roman"/>
          <w:szCs w:val="24"/>
        </w:rPr>
        <w:t xml:space="preserve">Schuh, S. C., Van Quaquebeke, N., Keck, N., Göritz, A. S., De Cremer, D., &amp; Xin, K. R. (2016). Does it take more than ideals? How counter-ideal value congruence shapes employees’ trust in the organization. </w:t>
      </w:r>
      <w:r w:rsidRPr="00B764E7">
        <w:rPr>
          <w:rFonts w:cs="Times New Roman"/>
          <w:i/>
          <w:szCs w:val="24"/>
        </w:rPr>
        <w:t>Journal of Business Ethics</w:t>
      </w:r>
      <w:r w:rsidRPr="0018080F">
        <w:rPr>
          <w:rFonts w:cs="Times New Roman"/>
          <w:szCs w:val="24"/>
        </w:rPr>
        <w:t xml:space="preserve">, </w:t>
      </w:r>
      <w:r w:rsidR="003A2818">
        <w:rPr>
          <w:rFonts w:cs="Times New Roman"/>
          <w:szCs w:val="24"/>
        </w:rPr>
        <w:t>149(4), 987-1003</w:t>
      </w:r>
      <w:r w:rsidRPr="0018080F">
        <w:rPr>
          <w:rFonts w:cs="Times New Roman"/>
          <w:szCs w:val="24"/>
        </w:rPr>
        <w:t>.</w:t>
      </w:r>
      <w:r w:rsidR="00632368">
        <w:rPr>
          <w:rFonts w:cs="Times New Roman"/>
          <w:szCs w:val="24"/>
        </w:rPr>
        <w:t xml:space="preserve"> </w:t>
      </w:r>
      <w:hyperlink r:id="rId47" w:tgtFrame="_blank" w:history="1">
        <w:r w:rsidR="00632368" w:rsidRPr="00632368">
          <w:rPr>
            <w:rStyle w:val="Hyperlink"/>
            <w:rFonts w:cs="Times New Roman"/>
            <w:szCs w:val="24"/>
          </w:rPr>
          <w:t>https://doi.org/10.1007/s10551-016-3097-7</w:t>
        </w:r>
      </w:hyperlink>
    </w:p>
    <w:p w14:paraId="11434197" w14:textId="7979B5E9" w:rsidR="00F225DA" w:rsidRPr="000B1DE6" w:rsidRDefault="00F225DA" w:rsidP="00044334">
      <w:pPr>
        <w:ind w:left="720" w:hanging="720"/>
        <w:rPr>
          <w:rFonts w:cs="Times New Roman"/>
          <w:szCs w:val="24"/>
        </w:rPr>
      </w:pPr>
      <w:r>
        <w:rPr>
          <w:color w:val="222222"/>
        </w:rPr>
        <w:t xml:space="preserve">Spector, P. E., &amp; Jex, S. M. (1998). Development of four self-report measures of job stressors and strain: interpersonal conflict at work scale, organizational constraints scale, quantitative workload inventory, and physical symptoms inventory. </w:t>
      </w:r>
      <w:r>
        <w:rPr>
          <w:i/>
          <w:iCs/>
          <w:color w:val="222222"/>
        </w:rPr>
        <w:t>Journal of Occupational Health Psychology</w:t>
      </w:r>
      <w:r>
        <w:rPr>
          <w:color w:val="222222"/>
        </w:rPr>
        <w:t xml:space="preserve">, </w:t>
      </w:r>
      <w:r>
        <w:rPr>
          <w:i/>
          <w:iCs/>
          <w:color w:val="222222"/>
        </w:rPr>
        <w:t>3</w:t>
      </w:r>
      <w:r>
        <w:rPr>
          <w:color w:val="222222"/>
        </w:rPr>
        <w:t>(4), 356.</w:t>
      </w:r>
      <w:r w:rsidR="000E1610">
        <w:rPr>
          <w:color w:val="222222"/>
        </w:rPr>
        <w:t xml:space="preserve"> </w:t>
      </w:r>
      <w:hyperlink r:id="rId48" w:tgtFrame="_blank" w:history="1">
        <w:r w:rsidR="000E1610" w:rsidRPr="000E1610">
          <w:rPr>
            <w:rStyle w:val="Hyperlink"/>
          </w:rPr>
          <w:t>http://dx.doi.org/10.1037/1076-8998.3.4.356</w:t>
        </w:r>
      </w:hyperlink>
    </w:p>
    <w:p w14:paraId="75924217" w14:textId="68DF922D" w:rsidR="00BC78AC" w:rsidRPr="000B1DE6" w:rsidRDefault="00BC78AC" w:rsidP="00044334">
      <w:pPr>
        <w:spacing w:before="240" w:after="0"/>
        <w:ind w:left="720" w:hanging="720"/>
        <w:rPr>
          <w:rFonts w:cs="Times New Roman"/>
          <w:szCs w:val="24"/>
        </w:rPr>
      </w:pPr>
      <w:r w:rsidRPr="000B1DE6">
        <w:rPr>
          <w:rFonts w:cs="Times New Roman"/>
          <w:szCs w:val="24"/>
        </w:rPr>
        <w:t xml:space="preserve">Standing, G. (2011). </w:t>
      </w:r>
      <w:r w:rsidRPr="000B1DE6">
        <w:rPr>
          <w:rFonts w:cs="Times New Roman"/>
          <w:i/>
          <w:szCs w:val="24"/>
        </w:rPr>
        <w:t xml:space="preserve">The </w:t>
      </w:r>
      <w:r w:rsidR="00A74567">
        <w:rPr>
          <w:rFonts w:cs="Times New Roman"/>
          <w:i/>
          <w:szCs w:val="24"/>
        </w:rPr>
        <w:t>p</w:t>
      </w:r>
      <w:r w:rsidR="00A74567" w:rsidRPr="000B1DE6">
        <w:rPr>
          <w:rFonts w:cs="Times New Roman"/>
          <w:i/>
          <w:szCs w:val="24"/>
        </w:rPr>
        <w:t>recariat</w:t>
      </w:r>
      <w:r w:rsidRPr="000B1DE6">
        <w:rPr>
          <w:rFonts w:cs="Times New Roman"/>
          <w:i/>
          <w:szCs w:val="24"/>
        </w:rPr>
        <w:t xml:space="preserve">: The </w:t>
      </w:r>
      <w:r w:rsidR="00A74567">
        <w:rPr>
          <w:rFonts w:cs="Times New Roman"/>
          <w:i/>
          <w:szCs w:val="24"/>
        </w:rPr>
        <w:t>n</w:t>
      </w:r>
      <w:r w:rsidR="00A74567" w:rsidRPr="000B1DE6">
        <w:rPr>
          <w:rFonts w:cs="Times New Roman"/>
          <w:i/>
          <w:szCs w:val="24"/>
        </w:rPr>
        <w:t xml:space="preserve">ew </w:t>
      </w:r>
      <w:r w:rsidR="00A74567">
        <w:rPr>
          <w:rFonts w:cs="Times New Roman"/>
          <w:i/>
          <w:szCs w:val="24"/>
        </w:rPr>
        <w:t>d</w:t>
      </w:r>
      <w:r w:rsidR="00A74567" w:rsidRPr="000B1DE6">
        <w:rPr>
          <w:rFonts w:cs="Times New Roman"/>
          <w:i/>
          <w:szCs w:val="24"/>
        </w:rPr>
        <w:t xml:space="preserve">angerous </w:t>
      </w:r>
      <w:r w:rsidR="00A74567">
        <w:rPr>
          <w:rFonts w:cs="Times New Roman"/>
          <w:i/>
          <w:szCs w:val="24"/>
        </w:rPr>
        <w:t>c</w:t>
      </w:r>
      <w:r w:rsidR="00A74567" w:rsidRPr="000B1DE6">
        <w:rPr>
          <w:rFonts w:cs="Times New Roman"/>
          <w:i/>
          <w:szCs w:val="24"/>
        </w:rPr>
        <w:t>lass</w:t>
      </w:r>
      <w:r w:rsidRPr="000B1DE6">
        <w:rPr>
          <w:rFonts w:cs="Times New Roman"/>
          <w:i/>
          <w:szCs w:val="24"/>
        </w:rPr>
        <w:t xml:space="preserve">. </w:t>
      </w:r>
      <w:r w:rsidRPr="000B1DE6">
        <w:rPr>
          <w:rFonts w:cs="Times New Roman"/>
          <w:szCs w:val="24"/>
        </w:rPr>
        <w:t>London: Bloomsbury Publishing.</w:t>
      </w:r>
    </w:p>
    <w:p w14:paraId="06FE6D03" w14:textId="034B00B5" w:rsidR="00BC78AC" w:rsidRDefault="00BC78AC" w:rsidP="00044334">
      <w:pPr>
        <w:spacing w:before="240" w:after="0"/>
        <w:ind w:left="720" w:hanging="720"/>
        <w:rPr>
          <w:rFonts w:cs="Times New Roman"/>
          <w:szCs w:val="24"/>
        </w:rPr>
      </w:pPr>
      <w:r w:rsidRPr="000B1DE6">
        <w:rPr>
          <w:rFonts w:cs="Times New Roman"/>
          <w:szCs w:val="24"/>
        </w:rPr>
        <w:t xml:space="preserve">Steger, M.F., Dik, B.J., &amp; Duffy, R.D. (2012). Measuring </w:t>
      </w:r>
      <w:r w:rsidR="003A2818">
        <w:rPr>
          <w:rFonts w:cs="Times New Roman"/>
          <w:szCs w:val="24"/>
        </w:rPr>
        <w:t>m</w:t>
      </w:r>
      <w:r w:rsidR="003A2818" w:rsidRPr="000B1DE6">
        <w:rPr>
          <w:rFonts w:cs="Times New Roman"/>
          <w:szCs w:val="24"/>
        </w:rPr>
        <w:t xml:space="preserve">eaningful </w:t>
      </w:r>
      <w:r w:rsidR="003A2818">
        <w:rPr>
          <w:rFonts w:cs="Times New Roman"/>
          <w:szCs w:val="24"/>
        </w:rPr>
        <w:t>w</w:t>
      </w:r>
      <w:r w:rsidR="003A2818" w:rsidRPr="000B1DE6">
        <w:rPr>
          <w:rFonts w:cs="Times New Roman"/>
          <w:szCs w:val="24"/>
        </w:rPr>
        <w:t>ork</w:t>
      </w:r>
      <w:r w:rsidRPr="000B1DE6">
        <w:rPr>
          <w:rFonts w:cs="Times New Roman"/>
          <w:szCs w:val="24"/>
        </w:rPr>
        <w:t xml:space="preserve">: The </w:t>
      </w:r>
      <w:r w:rsidR="003A2818">
        <w:rPr>
          <w:rFonts w:cs="Times New Roman"/>
          <w:szCs w:val="24"/>
        </w:rPr>
        <w:t>w</w:t>
      </w:r>
      <w:r w:rsidR="003A2818" w:rsidRPr="000B1DE6">
        <w:rPr>
          <w:rFonts w:cs="Times New Roman"/>
          <w:szCs w:val="24"/>
        </w:rPr>
        <w:t xml:space="preserve">ork </w:t>
      </w:r>
      <w:r w:rsidRPr="000B1DE6">
        <w:rPr>
          <w:rFonts w:cs="Times New Roman"/>
          <w:szCs w:val="24"/>
        </w:rPr>
        <w:t xml:space="preserve">and </w:t>
      </w:r>
      <w:r w:rsidR="003A2818">
        <w:rPr>
          <w:rFonts w:cs="Times New Roman"/>
          <w:szCs w:val="24"/>
        </w:rPr>
        <w:t>m</w:t>
      </w:r>
      <w:r w:rsidR="003A2818" w:rsidRPr="000B1DE6">
        <w:rPr>
          <w:rFonts w:cs="Times New Roman"/>
          <w:szCs w:val="24"/>
        </w:rPr>
        <w:t xml:space="preserve">eaning </w:t>
      </w:r>
      <w:r w:rsidR="003A2818">
        <w:rPr>
          <w:rFonts w:cs="Times New Roman"/>
          <w:szCs w:val="24"/>
        </w:rPr>
        <w:t>i</w:t>
      </w:r>
      <w:r w:rsidR="003A2818" w:rsidRPr="000B1DE6">
        <w:rPr>
          <w:rFonts w:cs="Times New Roman"/>
          <w:szCs w:val="24"/>
        </w:rPr>
        <w:t xml:space="preserve">nventory </w:t>
      </w:r>
      <w:r w:rsidRPr="000B1DE6">
        <w:rPr>
          <w:rFonts w:cs="Times New Roman"/>
          <w:szCs w:val="24"/>
        </w:rPr>
        <w:t xml:space="preserve">(WAMI). </w:t>
      </w:r>
      <w:r w:rsidRPr="000B1DE6">
        <w:rPr>
          <w:rFonts w:cs="Times New Roman"/>
          <w:i/>
          <w:szCs w:val="24"/>
        </w:rPr>
        <w:t xml:space="preserve">Journal of Career Assessment, 20, </w:t>
      </w:r>
      <w:r w:rsidRPr="000B1DE6">
        <w:rPr>
          <w:rFonts w:cs="Times New Roman"/>
          <w:szCs w:val="24"/>
        </w:rPr>
        <w:t>322- 337.</w:t>
      </w:r>
      <w:r w:rsidR="00DF3F87">
        <w:rPr>
          <w:rFonts w:cs="Times New Roman"/>
          <w:szCs w:val="24"/>
        </w:rPr>
        <w:t xml:space="preserve"> </w:t>
      </w:r>
      <w:hyperlink r:id="rId49" w:history="1">
        <w:r w:rsidR="00DF3F87" w:rsidRPr="00DF3F87">
          <w:rPr>
            <w:rStyle w:val="Hyperlink"/>
            <w:rFonts w:cs="Times New Roman"/>
            <w:szCs w:val="24"/>
          </w:rPr>
          <w:t>https://doi.org/10.1177/1069072711436160</w:t>
        </w:r>
      </w:hyperlink>
    </w:p>
    <w:p w14:paraId="0917B75F" w14:textId="3D29B9D6" w:rsidR="00BC78AC" w:rsidRPr="000B1DE6" w:rsidRDefault="00BC78AC" w:rsidP="00044334">
      <w:pPr>
        <w:spacing w:before="240"/>
        <w:ind w:left="720" w:hanging="720"/>
        <w:rPr>
          <w:rFonts w:cs="Times New Roman"/>
          <w:szCs w:val="24"/>
        </w:rPr>
      </w:pPr>
      <w:r w:rsidRPr="000B1DE6">
        <w:rPr>
          <w:rFonts w:cs="Times New Roman"/>
          <w:szCs w:val="24"/>
        </w:rPr>
        <w:t xml:space="preserve">Taylor, M., Marsh, G., Nicol, D., &amp; Broadbent, P. (2017). </w:t>
      </w:r>
      <w:r w:rsidRPr="000B1DE6">
        <w:rPr>
          <w:rFonts w:cs="Times New Roman"/>
          <w:i/>
          <w:szCs w:val="24"/>
        </w:rPr>
        <w:t xml:space="preserve">Good </w:t>
      </w:r>
      <w:r w:rsidR="00A74567">
        <w:rPr>
          <w:rFonts w:cs="Times New Roman"/>
          <w:i/>
          <w:szCs w:val="24"/>
        </w:rPr>
        <w:t>w</w:t>
      </w:r>
      <w:r w:rsidR="00A74567" w:rsidRPr="000B1DE6">
        <w:rPr>
          <w:rFonts w:cs="Times New Roman"/>
          <w:i/>
          <w:szCs w:val="24"/>
        </w:rPr>
        <w:t>ork</w:t>
      </w:r>
      <w:r w:rsidRPr="000B1DE6">
        <w:rPr>
          <w:rFonts w:cs="Times New Roman"/>
          <w:i/>
          <w:szCs w:val="24"/>
        </w:rPr>
        <w:t xml:space="preserve">: The Taylor </w:t>
      </w:r>
      <w:r w:rsidR="00A74567">
        <w:rPr>
          <w:rFonts w:cs="Times New Roman"/>
          <w:i/>
          <w:szCs w:val="24"/>
        </w:rPr>
        <w:t>r</w:t>
      </w:r>
      <w:r w:rsidR="00A74567" w:rsidRPr="000B1DE6">
        <w:rPr>
          <w:rFonts w:cs="Times New Roman"/>
          <w:i/>
          <w:szCs w:val="24"/>
        </w:rPr>
        <w:t xml:space="preserve">eview </w:t>
      </w:r>
      <w:r w:rsidRPr="000B1DE6">
        <w:rPr>
          <w:rFonts w:cs="Times New Roman"/>
          <w:i/>
          <w:szCs w:val="24"/>
        </w:rPr>
        <w:t xml:space="preserve">of </w:t>
      </w:r>
      <w:r w:rsidR="00A74567">
        <w:rPr>
          <w:rFonts w:cs="Times New Roman"/>
          <w:i/>
          <w:szCs w:val="24"/>
        </w:rPr>
        <w:t>m</w:t>
      </w:r>
      <w:r w:rsidR="00A74567" w:rsidRPr="000B1DE6">
        <w:rPr>
          <w:rFonts w:cs="Times New Roman"/>
          <w:i/>
          <w:szCs w:val="24"/>
        </w:rPr>
        <w:t xml:space="preserve">odern </w:t>
      </w:r>
      <w:r w:rsidR="00A74567">
        <w:rPr>
          <w:rFonts w:cs="Times New Roman"/>
          <w:i/>
          <w:szCs w:val="24"/>
        </w:rPr>
        <w:t>w</w:t>
      </w:r>
      <w:r w:rsidR="00A74567" w:rsidRPr="000B1DE6">
        <w:rPr>
          <w:rFonts w:cs="Times New Roman"/>
          <w:i/>
          <w:szCs w:val="24"/>
        </w:rPr>
        <w:t xml:space="preserve">orking </w:t>
      </w:r>
      <w:r w:rsidR="00A74567">
        <w:rPr>
          <w:rFonts w:cs="Times New Roman"/>
          <w:i/>
          <w:szCs w:val="24"/>
        </w:rPr>
        <w:t>p</w:t>
      </w:r>
      <w:r w:rsidR="00A74567" w:rsidRPr="000B1DE6">
        <w:rPr>
          <w:rFonts w:cs="Times New Roman"/>
          <w:i/>
          <w:szCs w:val="24"/>
        </w:rPr>
        <w:t>ractices</w:t>
      </w:r>
      <w:r w:rsidRPr="000B1DE6">
        <w:rPr>
          <w:rFonts w:cs="Times New Roman"/>
          <w:i/>
          <w:szCs w:val="24"/>
        </w:rPr>
        <w:t xml:space="preserve">. </w:t>
      </w:r>
      <w:r w:rsidRPr="000B1DE6">
        <w:rPr>
          <w:rFonts w:cs="Times New Roman"/>
          <w:szCs w:val="24"/>
        </w:rPr>
        <w:t>London: Department for Business, Energy and Industrial Strategy.</w:t>
      </w:r>
    </w:p>
    <w:p w14:paraId="6DE25D7F" w14:textId="7597386F" w:rsidR="00BC78AC" w:rsidRDefault="00BC78AC" w:rsidP="00044334">
      <w:pPr>
        <w:ind w:left="720" w:hanging="720"/>
        <w:rPr>
          <w:rFonts w:eastAsia="Times New Roman" w:cs="Times New Roman"/>
          <w:szCs w:val="24"/>
          <w:lang w:eastAsia="en-GB"/>
        </w:rPr>
      </w:pPr>
      <w:r w:rsidRPr="009B52D4">
        <w:rPr>
          <w:rFonts w:eastAsia="Times New Roman" w:cs="Times New Roman"/>
          <w:szCs w:val="24"/>
          <w:lang w:eastAsia="en-GB"/>
        </w:rPr>
        <w:t>Tokar, D. M., &amp; Kaut, K. P. (2018). Predictors of decent work among workers with Chiari malformation: An</w:t>
      </w:r>
      <w:r w:rsidRPr="000B1DE6">
        <w:rPr>
          <w:rFonts w:eastAsia="Times New Roman" w:cs="Times New Roman"/>
          <w:szCs w:val="24"/>
          <w:lang w:eastAsia="en-GB"/>
        </w:rPr>
        <w:t xml:space="preserve"> </w:t>
      </w:r>
      <w:r w:rsidRPr="009B52D4">
        <w:rPr>
          <w:rFonts w:eastAsia="Times New Roman" w:cs="Times New Roman"/>
          <w:szCs w:val="24"/>
          <w:lang w:eastAsia="en-GB"/>
        </w:rPr>
        <w:t>empirical test of the psychology of working theory.</w:t>
      </w:r>
      <w:r w:rsidRPr="000B1DE6">
        <w:rPr>
          <w:rFonts w:eastAsia="Times New Roman" w:cs="Times New Roman"/>
          <w:szCs w:val="24"/>
          <w:lang w:eastAsia="en-GB"/>
        </w:rPr>
        <w:t xml:space="preserve"> </w:t>
      </w:r>
      <w:r w:rsidRPr="00B764E7">
        <w:rPr>
          <w:rFonts w:eastAsia="Times New Roman" w:cs="Times New Roman"/>
          <w:i/>
          <w:szCs w:val="24"/>
          <w:lang w:eastAsia="en-GB"/>
        </w:rPr>
        <w:t>Journal of Vocational Behavior</w:t>
      </w:r>
      <w:r w:rsidRPr="009B52D4">
        <w:rPr>
          <w:rFonts w:eastAsia="Times New Roman" w:cs="Times New Roman"/>
          <w:szCs w:val="24"/>
          <w:lang w:eastAsia="en-GB"/>
        </w:rPr>
        <w:t>,</w:t>
      </w:r>
      <w:r w:rsidRPr="000B1DE6">
        <w:rPr>
          <w:rFonts w:eastAsia="Times New Roman" w:cs="Times New Roman"/>
          <w:szCs w:val="24"/>
          <w:lang w:eastAsia="en-GB"/>
        </w:rPr>
        <w:t xml:space="preserve"> </w:t>
      </w:r>
      <w:r w:rsidRPr="00530AD1">
        <w:rPr>
          <w:rFonts w:eastAsia="Times New Roman" w:cs="Times New Roman"/>
          <w:i/>
          <w:szCs w:val="24"/>
          <w:lang w:eastAsia="en-GB"/>
        </w:rPr>
        <w:t>106</w:t>
      </w:r>
      <w:r w:rsidRPr="009B52D4">
        <w:rPr>
          <w:rFonts w:eastAsia="Times New Roman" w:cs="Times New Roman"/>
          <w:szCs w:val="24"/>
          <w:lang w:eastAsia="en-GB"/>
        </w:rPr>
        <w:t>, 126–137.</w:t>
      </w:r>
      <w:r w:rsidR="00530AD1">
        <w:rPr>
          <w:rFonts w:eastAsia="Times New Roman" w:cs="Times New Roman"/>
          <w:szCs w:val="24"/>
          <w:lang w:eastAsia="en-GB"/>
        </w:rPr>
        <w:t xml:space="preserve"> </w:t>
      </w:r>
      <w:hyperlink r:id="rId50" w:tgtFrame="_blank" w:tooltip="Persistent link using digital object identifier" w:history="1">
        <w:r w:rsidR="00530AD1" w:rsidRPr="00530AD1">
          <w:rPr>
            <w:rStyle w:val="Hyperlink"/>
            <w:rFonts w:eastAsia="Times New Roman" w:cs="Times New Roman"/>
            <w:szCs w:val="24"/>
            <w:lang w:eastAsia="en-GB"/>
          </w:rPr>
          <w:t>https://doi.org/10.1016/j.jvb.2018.01.002</w:t>
        </w:r>
      </w:hyperlink>
    </w:p>
    <w:p w14:paraId="7FD7E258" w14:textId="77777777" w:rsidR="00BC78AC" w:rsidRDefault="00BC78AC" w:rsidP="00044334">
      <w:pPr>
        <w:ind w:left="720" w:hanging="720"/>
        <w:rPr>
          <w:rFonts w:eastAsia="Times New Roman" w:cs="Times New Roman"/>
          <w:szCs w:val="24"/>
          <w:lang w:eastAsia="en-GB"/>
        </w:rPr>
      </w:pPr>
      <w:r>
        <w:rPr>
          <w:rFonts w:eastAsia="Times New Roman" w:cs="Times New Roman"/>
          <w:szCs w:val="24"/>
          <w:lang w:eastAsia="en-GB"/>
        </w:rPr>
        <w:t xml:space="preserve">Trades Union Congress (TUC). (2016). </w:t>
      </w:r>
      <w:r w:rsidRPr="00B764E7">
        <w:rPr>
          <w:rFonts w:eastAsia="Times New Roman" w:cs="Times New Roman"/>
          <w:i/>
          <w:szCs w:val="24"/>
          <w:lang w:eastAsia="en-GB"/>
        </w:rPr>
        <w:t>Focus on health and safety. TUC biennial survey of safety reps 2016</w:t>
      </w:r>
      <w:r>
        <w:rPr>
          <w:rFonts w:eastAsia="Times New Roman" w:cs="Times New Roman"/>
          <w:szCs w:val="24"/>
          <w:lang w:eastAsia="en-GB"/>
        </w:rPr>
        <w:t xml:space="preserve">. London: TUC. </w:t>
      </w:r>
    </w:p>
    <w:p w14:paraId="38CED7C3" w14:textId="17D48A0B" w:rsidR="00BC78AC" w:rsidRDefault="00BC78AC" w:rsidP="00044334">
      <w:pPr>
        <w:ind w:left="720" w:hanging="720"/>
        <w:rPr>
          <w:rFonts w:eastAsia="Times New Roman" w:cs="Times New Roman"/>
          <w:szCs w:val="24"/>
          <w:lang w:eastAsia="en-GB"/>
        </w:rPr>
      </w:pPr>
      <w:r w:rsidRPr="006A1CE2">
        <w:rPr>
          <w:rFonts w:eastAsia="Times New Roman" w:cs="Times New Roman"/>
          <w:szCs w:val="24"/>
          <w:lang w:eastAsia="en-GB"/>
        </w:rPr>
        <w:t xml:space="preserve">UK Commission for Employment and Skills (UKCES). (2014). </w:t>
      </w:r>
      <w:r w:rsidRPr="00B764E7">
        <w:rPr>
          <w:rFonts w:eastAsia="Times New Roman" w:cs="Times New Roman"/>
          <w:i/>
          <w:szCs w:val="24"/>
          <w:lang w:eastAsia="en-GB"/>
        </w:rPr>
        <w:t xml:space="preserve">The </w:t>
      </w:r>
      <w:r w:rsidR="003A2818" w:rsidRPr="00B764E7">
        <w:rPr>
          <w:rFonts w:eastAsia="Times New Roman" w:cs="Times New Roman"/>
          <w:i/>
          <w:szCs w:val="24"/>
          <w:lang w:eastAsia="en-GB"/>
        </w:rPr>
        <w:t>labour market story</w:t>
      </w:r>
      <w:r w:rsidRPr="00B764E7">
        <w:rPr>
          <w:rFonts w:eastAsia="Times New Roman" w:cs="Times New Roman"/>
          <w:i/>
          <w:szCs w:val="24"/>
          <w:lang w:eastAsia="en-GB"/>
        </w:rPr>
        <w:t xml:space="preserve">: An </w:t>
      </w:r>
      <w:r w:rsidR="003A2818" w:rsidRPr="00B764E7">
        <w:rPr>
          <w:rFonts w:eastAsia="Times New Roman" w:cs="Times New Roman"/>
          <w:i/>
          <w:szCs w:val="24"/>
          <w:lang w:eastAsia="en-GB"/>
        </w:rPr>
        <w:t>overview</w:t>
      </w:r>
      <w:r w:rsidRPr="006A1CE2">
        <w:rPr>
          <w:rFonts w:eastAsia="Times New Roman" w:cs="Times New Roman"/>
          <w:szCs w:val="24"/>
          <w:lang w:eastAsia="en-GB"/>
        </w:rPr>
        <w:t>. London: UKCES.</w:t>
      </w:r>
    </w:p>
    <w:p w14:paraId="2E89CE52" w14:textId="5FCB62CF" w:rsidR="00F8701E" w:rsidRDefault="00F8701E" w:rsidP="00044334">
      <w:pPr>
        <w:ind w:left="720" w:hanging="720"/>
        <w:rPr>
          <w:rFonts w:eastAsia="Times New Roman" w:cs="Times New Roman"/>
          <w:szCs w:val="24"/>
          <w:lang w:eastAsia="en-GB"/>
        </w:rPr>
      </w:pPr>
      <w:r>
        <w:rPr>
          <w:rFonts w:eastAsia="Times New Roman" w:cs="Times New Roman"/>
          <w:szCs w:val="24"/>
          <w:lang w:eastAsia="en-GB"/>
        </w:rPr>
        <w:t xml:space="preserve">Watson, M., Duarte, M.E., &amp; Glavin, K. (2011). Cross-cultural perspectives on career assessment. </w:t>
      </w:r>
      <w:r w:rsidRPr="00B764E7">
        <w:rPr>
          <w:rFonts w:eastAsia="Times New Roman" w:cs="Times New Roman"/>
          <w:i/>
          <w:szCs w:val="24"/>
          <w:lang w:eastAsia="en-GB"/>
        </w:rPr>
        <w:t>The Career Development Quarterly</w:t>
      </w:r>
      <w:r>
        <w:rPr>
          <w:rFonts w:eastAsia="Times New Roman" w:cs="Times New Roman"/>
          <w:szCs w:val="24"/>
          <w:lang w:eastAsia="en-GB"/>
        </w:rPr>
        <w:t xml:space="preserve">, 54(1), 29-35. </w:t>
      </w:r>
      <w:hyperlink r:id="rId51" w:history="1">
        <w:r w:rsidR="00F26CE8" w:rsidRPr="00F26CE8">
          <w:rPr>
            <w:rStyle w:val="Hyperlink"/>
            <w:rFonts w:eastAsia="Times New Roman" w:cs="Times New Roman"/>
            <w:bCs/>
            <w:szCs w:val="24"/>
            <w:lang w:eastAsia="en-GB"/>
          </w:rPr>
          <w:t>https://doi.org/10.1002/j.2161-0045.2005.tb00138.x</w:t>
        </w:r>
      </w:hyperlink>
    </w:p>
    <w:p w14:paraId="6E8571AB" w14:textId="766B70B5" w:rsidR="00BC78AC" w:rsidRPr="00596157" w:rsidRDefault="00BC78AC" w:rsidP="00044334">
      <w:pPr>
        <w:ind w:left="720" w:hanging="720"/>
        <w:rPr>
          <w:rFonts w:ascii="Arial" w:eastAsia="Times New Roman" w:hAnsi="Arial" w:cs="Arial"/>
          <w:sz w:val="18"/>
          <w:szCs w:val="18"/>
          <w:lang w:eastAsia="en-GB"/>
        </w:rPr>
      </w:pPr>
      <w:r>
        <w:rPr>
          <w:rFonts w:cs="Times New Roman"/>
          <w:szCs w:val="24"/>
        </w:rPr>
        <w:t>Zhang, X., Austin, S.A. &amp; Glass, J. (2006). Linking individual and organisational values: a case study in UK construction. 22</w:t>
      </w:r>
      <w:r w:rsidRPr="00596157">
        <w:rPr>
          <w:rFonts w:cs="Times New Roman"/>
          <w:szCs w:val="24"/>
          <w:vertAlign w:val="superscript"/>
        </w:rPr>
        <w:t>nd</w:t>
      </w:r>
      <w:r>
        <w:rPr>
          <w:rFonts w:cs="Times New Roman"/>
          <w:szCs w:val="24"/>
        </w:rPr>
        <w:t xml:space="preserve"> Annual ARCOM Conference, </w:t>
      </w:r>
      <w:r w:rsidR="003A2818">
        <w:rPr>
          <w:rFonts w:cs="Times New Roman"/>
          <w:szCs w:val="24"/>
        </w:rPr>
        <w:t xml:space="preserve">Birmingham, UK, September 2006. </w:t>
      </w:r>
      <w:r w:rsidR="00CC1666">
        <w:rPr>
          <w:rFonts w:cs="Times New Roman"/>
          <w:szCs w:val="24"/>
        </w:rPr>
        <w:t xml:space="preserve">Birmingham: </w:t>
      </w:r>
      <w:r w:rsidR="00CC1666" w:rsidRPr="00CC1666">
        <w:rPr>
          <w:rFonts w:cs="Times New Roman"/>
          <w:szCs w:val="24"/>
        </w:rPr>
        <w:t>Association of Researchers in Construction Management</w:t>
      </w:r>
      <w:r w:rsidR="00CC1666">
        <w:rPr>
          <w:rFonts w:cs="Times New Roman"/>
          <w:szCs w:val="24"/>
        </w:rPr>
        <w:t xml:space="preserve">. </w:t>
      </w:r>
    </w:p>
    <w:sectPr w:rsidR="00BC78AC" w:rsidRPr="00596157" w:rsidSect="00510FCE">
      <w:headerReference w:type="default" r:id="rId52"/>
      <w:footerReference w:type="default" r:id="rI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E682" w14:textId="77777777" w:rsidR="00C61DB4" w:rsidRDefault="00C61DB4" w:rsidP="006C7CE9">
      <w:pPr>
        <w:spacing w:after="0" w:line="240" w:lineRule="auto"/>
      </w:pPr>
      <w:r>
        <w:separator/>
      </w:r>
    </w:p>
  </w:endnote>
  <w:endnote w:type="continuationSeparator" w:id="0">
    <w:p w14:paraId="12F1E54B" w14:textId="77777777" w:rsidR="00C61DB4" w:rsidRDefault="00C61DB4" w:rsidP="006C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C4FE" w14:textId="49DAADAA" w:rsidR="00A7089C" w:rsidRDefault="00A7089C">
    <w:pPr>
      <w:pStyle w:val="Footer"/>
      <w:jc w:val="right"/>
    </w:pPr>
  </w:p>
  <w:p w14:paraId="5987F19C" w14:textId="59B059C0" w:rsidR="00A7089C" w:rsidRDefault="00A7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838D2" w14:textId="77777777" w:rsidR="00C61DB4" w:rsidRDefault="00C61DB4" w:rsidP="006C7CE9">
      <w:pPr>
        <w:spacing w:after="0" w:line="240" w:lineRule="auto"/>
      </w:pPr>
      <w:r>
        <w:separator/>
      </w:r>
    </w:p>
  </w:footnote>
  <w:footnote w:type="continuationSeparator" w:id="0">
    <w:p w14:paraId="2E3FA6E2" w14:textId="77777777" w:rsidR="00C61DB4" w:rsidRDefault="00C61DB4" w:rsidP="006C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EB89" w14:textId="3561557F" w:rsidR="00E75984" w:rsidRDefault="00E75984" w:rsidP="00E75984">
    <w:pPr>
      <w:pStyle w:val="Header"/>
    </w:pPr>
    <w:r>
      <w:t>DECENT WORK IN THE UK</w:t>
    </w:r>
    <w:sdt>
      <w:sdtPr>
        <w:id w:val="1142235492"/>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sidR="0036354C">
          <w:rPr>
            <w:noProof/>
          </w:rPr>
          <w:t>14</w:t>
        </w:r>
        <w:r>
          <w:rPr>
            <w:noProof/>
          </w:rPr>
          <w:fldChar w:fldCharType="end"/>
        </w:r>
      </w:sdtContent>
    </w:sdt>
  </w:p>
  <w:p w14:paraId="72753097" w14:textId="70EBB702" w:rsidR="00080630" w:rsidRPr="00E75984" w:rsidRDefault="00080630" w:rsidP="00E75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0FB"/>
    <w:multiLevelType w:val="multilevel"/>
    <w:tmpl w:val="4BE2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7129B"/>
    <w:multiLevelType w:val="hybridMultilevel"/>
    <w:tmpl w:val="D9D42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E412A"/>
    <w:multiLevelType w:val="multilevel"/>
    <w:tmpl w:val="2DF0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15"/>
    <w:rsid w:val="00003978"/>
    <w:rsid w:val="00004321"/>
    <w:rsid w:val="00005F81"/>
    <w:rsid w:val="0000725D"/>
    <w:rsid w:val="00010302"/>
    <w:rsid w:val="0001115A"/>
    <w:rsid w:val="00012473"/>
    <w:rsid w:val="000128F1"/>
    <w:rsid w:val="00013B5F"/>
    <w:rsid w:val="00014B3E"/>
    <w:rsid w:val="00022DBA"/>
    <w:rsid w:val="00024521"/>
    <w:rsid w:val="000254C3"/>
    <w:rsid w:val="00030958"/>
    <w:rsid w:val="000331FB"/>
    <w:rsid w:val="000334A2"/>
    <w:rsid w:val="0003354C"/>
    <w:rsid w:val="00033B7E"/>
    <w:rsid w:val="000361AB"/>
    <w:rsid w:val="000400BD"/>
    <w:rsid w:val="00044334"/>
    <w:rsid w:val="00045C5F"/>
    <w:rsid w:val="0004692A"/>
    <w:rsid w:val="00052C0E"/>
    <w:rsid w:val="00056D22"/>
    <w:rsid w:val="000645D6"/>
    <w:rsid w:val="00064934"/>
    <w:rsid w:val="00066074"/>
    <w:rsid w:val="00070917"/>
    <w:rsid w:val="00072EE6"/>
    <w:rsid w:val="000730C6"/>
    <w:rsid w:val="00073CDD"/>
    <w:rsid w:val="00080630"/>
    <w:rsid w:val="0008086E"/>
    <w:rsid w:val="000818C1"/>
    <w:rsid w:val="00083157"/>
    <w:rsid w:val="00084CC4"/>
    <w:rsid w:val="00090411"/>
    <w:rsid w:val="00090C80"/>
    <w:rsid w:val="00096419"/>
    <w:rsid w:val="000A02A2"/>
    <w:rsid w:val="000A2068"/>
    <w:rsid w:val="000A4472"/>
    <w:rsid w:val="000A5E97"/>
    <w:rsid w:val="000B312A"/>
    <w:rsid w:val="000B3316"/>
    <w:rsid w:val="000B3440"/>
    <w:rsid w:val="000B3A99"/>
    <w:rsid w:val="000B470B"/>
    <w:rsid w:val="000B6730"/>
    <w:rsid w:val="000B6DB3"/>
    <w:rsid w:val="000C5A61"/>
    <w:rsid w:val="000C5B49"/>
    <w:rsid w:val="000C617E"/>
    <w:rsid w:val="000D1766"/>
    <w:rsid w:val="000D234E"/>
    <w:rsid w:val="000D2B2E"/>
    <w:rsid w:val="000D2E93"/>
    <w:rsid w:val="000D3C57"/>
    <w:rsid w:val="000D3D8E"/>
    <w:rsid w:val="000D53CB"/>
    <w:rsid w:val="000E0D29"/>
    <w:rsid w:val="000E1610"/>
    <w:rsid w:val="000E2FA2"/>
    <w:rsid w:val="000E4512"/>
    <w:rsid w:val="000E45B6"/>
    <w:rsid w:val="000E4B30"/>
    <w:rsid w:val="000E5254"/>
    <w:rsid w:val="000E7183"/>
    <w:rsid w:val="000E728A"/>
    <w:rsid w:val="000F29CD"/>
    <w:rsid w:val="000F391A"/>
    <w:rsid w:val="000F3F50"/>
    <w:rsid w:val="000F4542"/>
    <w:rsid w:val="000F55EE"/>
    <w:rsid w:val="000F580E"/>
    <w:rsid w:val="000F6BD3"/>
    <w:rsid w:val="000F748E"/>
    <w:rsid w:val="000F7814"/>
    <w:rsid w:val="001005B0"/>
    <w:rsid w:val="00104522"/>
    <w:rsid w:val="0011109F"/>
    <w:rsid w:val="0011219A"/>
    <w:rsid w:val="00114339"/>
    <w:rsid w:val="00122FD3"/>
    <w:rsid w:val="00124C34"/>
    <w:rsid w:val="0012616F"/>
    <w:rsid w:val="0013247F"/>
    <w:rsid w:val="00132F8A"/>
    <w:rsid w:val="0013557E"/>
    <w:rsid w:val="001433A8"/>
    <w:rsid w:val="00147A33"/>
    <w:rsid w:val="00150AD4"/>
    <w:rsid w:val="001547CB"/>
    <w:rsid w:val="00162023"/>
    <w:rsid w:val="001640AD"/>
    <w:rsid w:val="001714A6"/>
    <w:rsid w:val="0017497E"/>
    <w:rsid w:val="00177910"/>
    <w:rsid w:val="00182D6B"/>
    <w:rsid w:val="00185641"/>
    <w:rsid w:val="001A6021"/>
    <w:rsid w:val="001B193B"/>
    <w:rsid w:val="001B21C2"/>
    <w:rsid w:val="001B3AE2"/>
    <w:rsid w:val="001B4F69"/>
    <w:rsid w:val="001B6F51"/>
    <w:rsid w:val="001C2407"/>
    <w:rsid w:val="001C5496"/>
    <w:rsid w:val="001C60A6"/>
    <w:rsid w:val="001C680A"/>
    <w:rsid w:val="001C7253"/>
    <w:rsid w:val="001D3C6C"/>
    <w:rsid w:val="001D669B"/>
    <w:rsid w:val="001E6B95"/>
    <w:rsid w:val="001E6CC9"/>
    <w:rsid w:val="001F6FEA"/>
    <w:rsid w:val="001F713A"/>
    <w:rsid w:val="001F7EAE"/>
    <w:rsid w:val="00202C28"/>
    <w:rsid w:val="00203659"/>
    <w:rsid w:val="002051C5"/>
    <w:rsid w:val="0021187D"/>
    <w:rsid w:val="00220C49"/>
    <w:rsid w:val="00222E32"/>
    <w:rsid w:val="00227AB9"/>
    <w:rsid w:val="00232CF1"/>
    <w:rsid w:val="0023608F"/>
    <w:rsid w:val="00236ADF"/>
    <w:rsid w:val="00250E9D"/>
    <w:rsid w:val="002529C8"/>
    <w:rsid w:val="00253745"/>
    <w:rsid w:val="00261B9D"/>
    <w:rsid w:val="002635D7"/>
    <w:rsid w:val="00266788"/>
    <w:rsid w:val="00283DFB"/>
    <w:rsid w:val="00285637"/>
    <w:rsid w:val="00285CFD"/>
    <w:rsid w:val="0028768E"/>
    <w:rsid w:val="002905CC"/>
    <w:rsid w:val="00293DBA"/>
    <w:rsid w:val="00293E14"/>
    <w:rsid w:val="00295B7A"/>
    <w:rsid w:val="002975D1"/>
    <w:rsid w:val="00297704"/>
    <w:rsid w:val="002A121F"/>
    <w:rsid w:val="002A3742"/>
    <w:rsid w:val="002B4089"/>
    <w:rsid w:val="002B69B3"/>
    <w:rsid w:val="002B7247"/>
    <w:rsid w:val="002C10CF"/>
    <w:rsid w:val="002C5E91"/>
    <w:rsid w:val="002D1CA8"/>
    <w:rsid w:val="002D21AC"/>
    <w:rsid w:val="002D3AEB"/>
    <w:rsid w:val="002E335E"/>
    <w:rsid w:val="002E6108"/>
    <w:rsid w:val="002F1D7C"/>
    <w:rsid w:val="002F226F"/>
    <w:rsid w:val="002F2AC8"/>
    <w:rsid w:val="002F2E9B"/>
    <w:rsid w:val="002F39AB"/>
    <w:rsid w:val="00300BE6"/>
    <w:rsid w:val="00301432"/>
    <w:rsid w:val="003019E0"/>
    <w:rsid w:val="00302C46"/>
    <w:rsid w:val="003036F4"/>
    <w:rsid w:val="0030600E"/>
    <w:rsid w:val="00313FF5"/>
    <w:rsid w:val="0031691A"/>
    <w:rsid w:val="003204B4"/>
    <w:rsid w:val="0032467F"/>
    <w:rsid w:val="00326D05"/>
    <w:rsid w:val="003278AD"/>
    <w:rsid w:val="00335CB9"/>
    <w:rsid w:val="0033644D"/>
    <w:rsid w:val="00343C57"/>
    <w:rsid w:val="00344FB3"/>
    <w:rsid w:val="00347E57"/>
    <w:rsid w:val="00350B61"/>
    <w:rsid w:val="00351337"/>
    <w:rsid w:val="0035162B"/>
    <w:rsid w:val="003538CA"/>
    <w:rsid w:val="0036157E"/>
    <w:rsid w:val="00362423"/>
    <w:rsid w:val="00362D73"/>
    <w:rsid w:val="0036354C"/>
    <w:rsid w:val="00365A85"/>
    <w:rsid w:val="0037163C"/>
    <w:rsid w:val="0037166D"/>
    <w:rsid w:val="0037169C"/>
    <w:rsid w:val="00371D89"/>
    <w:rsid w:val="003722E4"/>
    <w:rsid w:val="00372BF9"/>
    <w:rsid w:val="003738B0"/>
    <w:rsid w:val="0037533E"/>
    <w:rsid w:val="0037670C"/>
    <w:rsid w:val="00377E27"/>
    <w:rsid w:val="00385B94"/>
    <w:rsid w:val="0039251D"/>
    <w:rsid w:val="003952B7"/>
    <w:rsid w:val="00395BC3"/>
    <w:rsid w:val="003960B6"/>
    <w:rsid w:val="003A0CED"/>
    <w:rsid w:val="003A1001"/>
    <w:rsid w:val="003A1983"/>
    <w:rsid w:val="003A22CE"/>
    <w:rsid w:val="003A2818"/>
    <w:rsid w:val="003A4850"/>
    <w:rsid w:val="003A5AF2"/>
    <w:rsid w:val="003A5C21"/>
    <w:rsid w:val="003B1B28"/>
    <w:rsid w:val="003B46B9"/>
    <w:rsid w:val="003B6CDA"/>
    <w:rsid w:val="003C0164"/>
    <w:rsid w:val="003C42F4"/>
    <w:rsid w:val="003C499C"/>
    <w:rsid w:val="003D0437"/>
    <w:rsid w:val="003D0AA4"/>
    <w:rsid w:val="003E4D80"/>
    <w:rsid w:val="003E56F3"/>
    <w:rsid w:val="003F4170"/>
    <w:rsid w:val="003F50BC"/>
    <w:rsid w:val="003F58A0"/>
    <w:rsid w:val="00400D75"/>
    <w:rsid w:val="00403C05"/>
    <w:rsid w:val="004126CB"/>
    <w:rsid w:val="00412B4F"/>
    <w:rsid w:val="00413468"/>
    <w:rsid w:val="0041388F"/>
    <w:rsid w:val="004167CF"/>
    <w:rsid w:val="00417092"/>
    <w:rsid w:val="004173E2"/>
    <w:rsid w:val="00417B73"/>
    <w:rsid w:val="00420DC6"/>
    <w:rsid w:val="00423A24"/>
    <w:rsid w:val="004253EB"/>
    <w:rsid w:val="004269A5"/>
    <w:rsid w:val="0042781B"/>
    <w:rsid w:val="004307EE"/>
    <w:rsid w:val="00434728"/>
    <w:rsid w:val="004371FA"/>
    <w:rsid w:val="0043761B"/>
    <w:rsid w:val="00437A5B"/>
    <w:rsid w:val="004453A7"/>
    <w:rsid w:val="00446281"/>
    <w:rsid w:val="004476D5"/>
    <w:rsid w:val="00451461"/>
    <w:rsid w:val="004534FA"/>
    <w:rsid w:val="00457168"/>
    <w:rsid w:val="0045770F"/>
    <w:rsid w:val="00461920"/>
    <w:rsid w:val="00462EA4"/>
    <w:rsid w:val="004729A5"/>
    <w:rsid w:val="00473983"/>
    <w:rsid w:val="00481A93"/>
    <w:rsid w:val="0048206D"/>
    <w:rsid w:val="00482A90"/>
    <w:rsid w:val="00483F5C"/>
    <w:rsid w:val="004974FF"/>
    <w:rsid w:val="004A329A"/>
    <w:rsid w:val="004A46B8"/>
    <w:rsid w:val="004A6294"/>
    <w:rsid w:val="004B3B82"/>
    <w:rsid w:val="004B5782"/>
    <w:rsid w:val="004B74B5"/>
    <w:rsid w:val="004B75B7"/>
    <w:rsid w:val="004C1DC4"/>
    <w:rsid w:val="004C20B2"/>
    <w:rsid w:val="004C31A3"/>
    <w:rsid w:val="004C46AB"/>
    <w:rsid w:val="004D11E4"/>
    <w:rsid w:val="004D123E"/>
    <w:rsid w:val="004D2B41"/>
    <w:rsid w:val="004D73A0"/>
    <w:rsid w:val="004E4AF6"/>
    <w:rsid w:val="004E6F10"/>
    <w:rsid w:val="004F2681"/>
    <w:rsid w:val="004F5A65"/>
    <w:rsid w:val="004F6A9C"/>
    <w:rsid w:val="00502702"/>
    <w:rsid w:val="0050341A"/>
    <w:rsid w:val="00503849"/>
    <w:rsid w:val="0050574A"/>
    <w:rsid w:val="00510C14"/>
    <w:rsid w:val="00510FCE"/>
    <w:rsid w:val="00515401"/>
    <w:rsid w:val="00516FFE"/>
    <w:rsid w:val="00517BF8"/>
    <w:rsid w:val="00520C23"/>
    <w:rsid w:val="00520C7A"/>
    <w:rsid w:val="0052162B"/>
    <w:rsid w:val="00524F09"/>
    <w:rsid w:val="00525D9B"/>
    <w:rsid w:val="00526EBC"/>
    <w:rsid w:val="00527661"/>
    <w:rsid w:val="00530AD1"/>
    <w:rsid w:val="00537E27"/>
    <w:rsid w:val="00542A02"/>
    <w:rsid w:val="00546A46"/>
    <w:rsid w:val="00546C7E"/>
    <w:rsid w:val="00547DF3"/>
    <w:rsid w:val="00551ADC"/>
    <w:rsid w:val="00552B24"/>
    <w:rsid w:val="00552C46"/>
    <w:rsid w:val="00563DC8"/>
    <w:rsid w:val="0056688A"/>
    <w:rsid w:val="00566A31"/>
    <w:rsid w:val="00575209"/>
    <w:rsid w:val="00576205"/>
    <w:rsid w:val="00577C30"/>
    <w:rsid w:val="00581254"/>
    <w:rsid w:val="005861FB"/>
    <w:rsid w:val="00587907"/>
    <w:rsid w:val="00591BE5"/>
    <w:rsid w:val="005921B9"/>
    <w:rsid w:val="00593B76"/>
    <w:rsid w:val="00597132"/>
    <w:rsid w:val="005A2701"/>
    <w:rsid w:val="005A2AD0"/>
    <w:rsid w:val="005A4AE2"/>
    <w:rsid w:val="005A4B52"/>
    <w:rsid w:val="005B6E24"/>
    <w:rsid w:val="005C689C"/>
    <w:rsid w:val="005D1ED7"/>
    <w:rsid w:val="005D45CF"/>
    <w:rsid w:val="005D4CDC"/>
    <w:rsid w:val="005E18BA"/>
    <w:rsid w:val="005E2695"/>
    <w:rsid w:val="005E2890"/>
    <w:rsid w:val="005E38B2"/>
    <w:rsid w:val="005E4003"/>
    <w:rsid w:val="005E7A81"/>
    <w:rsid w:val="006006B4"/>
    <w:rsid w:val="00600FD9"/>
    <w:rsid w:val="00601089"/>
    <w:rsid w:val="0060265C"/>
    <w:rsid w:val="0060266F"/>
    <w:rsid w:val="006027A5"/>
    <w:rsid w:val="00606452"/>
    <w:rsid w:val="006075E4"/>
    <w:rsid w:val="006110CF"/>
    <w:rsid w:val="0061460A"/>
    <w:rsid w:val="006173A5"/>
    <w:rsid w:val="006260B8"/>
    <w:rsid w:val="006319CB"/>
    <w:rsid w:val="00632368"/>
    <w:rsid w:val="00646EB4"/>
    <w:rsid w:val="00650701"/>
    <w:rsid w:val="00653A2E"/>
    <w:rsid w:val="00662FF2"/>
    <w:rsid w:val="0066343C"/>
    <w:rsid w:val="006634CB"/>
    <w:rsid w:val="00665A4A"/>
    <w:rsid w:val="006668A3"/>
    <w:rsid w:val="00676A33"/>
    <w:rsid w:val="00677579"/>
    <w:rsid w:val="006811A1"/>
    <w:rsid w:val="0068273C"/>
    <w:rsid w:val="00682F3A"/>
    <w:rsid w:val="006835AC"/>
    <w:rsid w:val="00684F28"/>
    <w:rsid w:val="00691434"/>
    <w:rsid w:val="006930C0"/>
    <w:rsid w:val="006958B7"/>
    <w:rsid w:val="00696B24"/>
    <w:rsid w:val="006A0F14"/>
    <w:rsid w:val="006A3D15"/>
    <w:rsid w:val="006B4A0D"/>
    <w:rsid w:val="006B5B56"/>
    <w:rsid w:val="006B781D"/>
    <w:rsid w:val="006C123A"/>
    <w:rsid w:val="006C13DD"/>
    <w:rsid w:val="006C224B"/>
    <w:rsid w:val="006C29EA"/>
    <w:rsid w:val="006C55E6"/>
    <w:rsid w:val="006C6A1E"/>
    <w:rsid w:val="006C7CE9"/>
    <w:rsid w:val="006D0ED3"/>
    <w:rsid w:val="006E0A17"/>
    <w:rsid w:val="006E13B8"/>
    <w:rsid w:val="006E18EA"/>
    <w:rsid w:val="006E1D11"/>
    <w:rsid w:val="006E23FF"/>
    <w:rsid w:val="006E474E"/>
    <w:rsid w:val="006E51FE"/>
    <w:rsid w:val="006E72BD"/>
    <w:rsid w:val="006F4849"/>
    <w:rsid w:val="006F5330"/>
    <w:rsid w:val="006F6DFA"/>
    <w:rsid w:val="006F6F76"/>
    <w:rsid w:val="006F7AE7"/>
    <w:rsid w:val="007038AE"/>
    <w:rsid w:val="007046A5"/>
    <w:rsid w:val="0070621A"/>
    <w:rsid w:val="007129BC"/>
    <w:rsid w:val="007151DD"/>
    <w:rsid w:val="007152A6"/>
    <w:rsid w:val="00715623"/>
    <w:rsid w:val="007202D0"/>
    <w:rsid w:val="00721EAF"/>
    <w:rsid w:val="00724EB9"/>
    <w:rsid w:val="0072543B"/>
    <w:rsid w:val="00733DFC"/>
    <w:rsid w:val="00734435"/>
    <w:rsid w:val="00745985"/>
    <w:rsid w:val="007472DB"/>
    <w:rsid w:val="00750ED0"/>
    <w:rsid w:val="00756559"/>
    <w:rsid w:val="0076142A"/>
    <w:rsid w:val="00762605"/>
    <w:rsid w:val="007633D6"/>
    <w:rsid w:val="007664D8"/>
    <w:rsid w:val="00773346"/>
    <w:rsid w:val="007738E1"/>
    <w:rsid w:val="00773D29"/>
    <w:rsid w:val="0077704A"/>
    <w:rsid w:val="00782992"/>
    <w:rsid w:val="007877CA"/>
    <w:rsid w:val="00792C1D"/>
    <w:rsid w:val="0079654D"/>
    <w:rsid w:val="007968DF"/>
    <w:rsid w:val="007A6645"/>
    <w:rsid w:val="007B7B0E"/>
    <w:rsid w:val="007C3CB8"/>
    <w:rsid w:val="007C6AF5"/>
    <w:rsid w:val="007C7BBE"/>
    <w:rsid w:val="007C7DD0"/>
    <w:rsid w:val="007D1348"/>
    <w:rsid w:val="007D3479"/>
    <w:rsid w:val="007E063F"/>
    <w:rsid w:val="007E1D41"/>
    <w:rsid w:val="007E4C61"/>
    <w:rsid w:val="007E5F35"/>
    <w:rsid w:val="007E6433"/>
    <w:rsid w:val="007F0310"/>
    <w:rsid w:val="007F0C8C"/>
    <w:rsid w:val="007F13A3"/>
    <w:rsid w:val="007F1DB7"/>
    <w:rsid w:val="007F442C"/>
    <w:rsid w:val="007F684B"/>
    <w:rsid w:val="007F7120"/>
    <w:rsid w:val="007F7C88"/>
    <w:rsid w:val="00800E83"/>
    <w:rsid w:val="00801159"/>
    <w:rsid w:val="00803114"/>
    <w:rsid w:val="0080401D"/>
    <w:rsid w:val="00804D22"/>
    <w:rsid w:val="00810213"/>
    <w:rsid w:val="0081056D"/>
    <w:rsid w:val="008200AC"/>
    <w:rsid w:val="0082099C"/>
    <w:rsid w:val="008237BA"/>
    <w:rsid w:val="008246BB"/>
    <w:rsid w:val="00826340"/>
    <w:rsid w:val="00832A83"/>
    <w:rsid w:val="008330FE"/>
    <w:rsid w:val="00837CCC"/>
    <w:rsid w:val="00837F52"/>
    <w:rsid w:val="008419A3"/>
    <w:rsid w:val="00843CC2"/>
    <w:rsid w:val="00851114"/>
    <w:rsid w:val="0085416C"/>
    <w:rsid w:val="00856C3B"/>
    <w:rsid w:val="00857356"/>
    <w:rsid w:val="00867558"/>
    <w:rsid w:val="0086778B"/>
    <w:rsid w:val="008719D8"/>
    <w:rsid w:val="00872D20"/>
    <w:rsid w:val="00880692"/>
    <w:rsid w:val="00884926"/>
    <w:rsid w:val="00885A93"/>
    <w:rsid w:val="00890707"/>
    <w:rsid w:val="00891328"/>
    <w:rsid w:val="008913B7"/>
    <w:rsid w:val="00897E41"/>
    <w:rsid w:val="008A559B"/>
    <w:rsid w:val="008A62E3"/>
    <w:rsid w:val="008A6382"/>
    <w:rsid w:val="008A6849"/>
    <w:rsid w:val="008B5E15"/>
    <w:rsid w:val="008B6A8F"/>
    <w:rsid w:val="008C4D79"/>
    <w:rsid w:val="008D023E"/>
    <w:rsid w:val="008D2007"/>
    <w:rsid w:val="008D218E"/>
    <w:rsid w:val="008D2373"/>
    <w:rsid w:val="008D3962"/>
    <w:rsid w:val="008D4DC0"/>
    <w:rsid w:val="008D6115"/>
    <w:rsid w:val="008D67AD"/>
    <w:rsid w:val="008E6B88"/>
    <w:rsid w:val="008E7C46"/>
    <w:rsid w:val="008F4ED0"/>
    <w:rsid w:val="008F67A1"/>
    <w:rsid w:val="008F72B0"/>
    <w:rsid w:val="00905BCA"/>
    <w:rsid w:val="00913E57"/>
    <w:rsid w:val="00916D40"/>
    <w:rsid w:val="00920D01"/>
    <w:rsid w:val="0092376F"/>
    <w:rsid w:val="009242C8"/>
    <w:rsid w:val="0092757A"/>
    <w:rsid w:val="00933970"/>
    <w:rsid w:val="00933A25"/>
    <w:rsid w:val="00934614"/>
    <w:rsid w:val="00940235"/>
    <w:rsid w:val="009410A3"/>
    <w:rsid w:val="00943496"/>
    <w:rsid w:val="00944E8F"/>
    <w:rsid w:val="009454EE"/>
    <w:rsid w:val="00945F6E"/>
    <w:rsid w:val="00946FE5"/>
    <w:rsid w:val="00950896"/>
    <w:rsid w:val="009534EA"/>
    <w:rsid w:val="00954453"/>
    <w:rsid w:val="0095693C"/>
    <w:rsid w:val="009578A1"/>
    <w:rsid w:val="0096355D"/>
    <w:rsid w:val="009638B1"/>
    <w:rsid w:val="009638B9"/>
    <w:rsid w:val="009653BF"/>
    <w:rsid w:val="0096615B"/>
    <w:rsid w:val="00970BBA"/>
    <w:rsid w:val="0097241B"/>
    <w:rsid w:val="00973EA5"/>
    <w:rsid w:val="00974CC1"/>
    <w:rsid w:val="00974F58"/>
    <w:rsid w:val="00981C88"/>
    <w:rsid w:val="0099130A"/>
    <w:rsid w:val="0099143C"/>
    <w:rsid w:val="00993309"/>
    <w:rsid w:val="00995229"/>
    <w:rsid w:val="009B481C"/>
    <w:rsid w:val="009B7693"/>
    <w:rsid w:val="009B7F5E"/>
    <w:rsid w:val="009C4EB5"/>
    <w:rsid w:val="009D0B87"/>
    <w:rsid w:val="009D199E"/>
    <w:rsid w:val="009D4364"/>
    <w:rsid w:val="009D4679"/>
    <w:rsid w:val="009D49A4"/>
    <w:rsid w:val="009D7CDD"/>
    <w:rsid w:val="009E2133"/>
    <w:rsid w:val="009E273F"/>
    <w:rsid w:val="009E6FF4"/>
    <w:rsid w:val="009F03C7"/>
    <w:rsid w:val="009F43C8"/>
    <w:rsid w:val="009F6BF2"/>
    <w:rsid w:val="00A003A1"/>
    <w:rsid w:val="00A008B6"/>
    <w:rsid w:val="00A02B50"/>
    <w:rsid w:val="00A10EE6"/>
    <w:rsid w:val="00A1586D"/>
    <w:rsid w:val="00A22A0D"/>
    <w:rsid w:val="00A27FBC"/>
    <w:rsid w:val="00A3455E"/>
    <w:rsid w:val="00A34896"/>
    <w:rsid w:val="00A41659"/>
    <w:rsid w:val="00A4173E"/>
    <w:rsid w:val="00A42773"/>
    <w:rsid w:val="00A45C13"/>
    <w:rsid w:val="00A47AF4"/>
    <w:rsid w:val="00A5053B"/>
    <w:rsid w:val="00A50CB5"/>
    <w:rsid w:val="00A51BFB"/>
    <w:rsid w:val="00A53A04"/>
    <w:rsid w:val="00A555D4"/>
    <w:rsid w:val="00A573AB"/>
    <w:rsid w:val="00A6411B"/>
    <w:rsid w:val="00A7089C"/>
    <w:rsid w:val="00A74567"/>
    <w:rsid w:val="00A74DB1"/>
    <w:rsid w:val="00A77978"/>
    <w:rsid w:val="00A8094C"/>
    <w:rsid w:val="00A818FC"/>
    <w:rsid w:val="00A8216D"/>
    <w:rsid w:val="00A82387"/>
    <w:rsid w:val="00A83538"/>
    <w:rsid w:val="00A84329"/>
    <w:rsid w:val="00A87127"/>
    <w:rsid w:val="00A8787A"/>
    <w:rsid w:val="00A9049A"/>
    <w:rsid w:val="00A96D45"/>
    <w:rsid w:val="00AA20E0"/>
    <w:rsid w:val="00AA30A6"/>
    <w:rsid w:val="00AA3D3A"/>
    <w:rsid w:val="00AA49FA"/>
    <w:rsid w:val="00AA7130"/>
    <w:rsid w:val="00AB0ADB"/>
    <w:rsid w:val="00AB16FF"/>
    <w:rsid w:val="00AB3DE4"/>
    <w:rsid w:val="00AB5413"/>
    <w:rsid w:val="00AB55D3"/>
    <w:rsid w:val="00AE1BF7"/>
    <w:rsid w:val="00AE3028"/>
    <w:rsid w:val="00AE3340"/>
    <w:rsid w:val="00AE51DC"/>
    <w:rsid w:val="00AE5260"/>
    <w:rsid w:val="00AE6CE4"/>
    <w:rsid w:val="00AF6836"/>
    <w:rsid w:val="00AF70D8"/>
    <w:rsid w:val="00B05DCE"/>
    <w:rsid w:val="00B07545"/>
    <w:rsid w:val="00B111C6"/>
    <w:rsid w:val="00B1233B"/>
    <w:rsid w:val="00B15BF5"/>
    <w:rsid w:val="00B16E84"/>
    <w:rsid w:val="00B20B7A"/>
    <w:rsid w:val="00B32C94"/>
    <w:rsid w:val="00B362A6"/>
    <w:rsid w:val="00B42FA9"/>
    <w:rsid w:val="00B5053D"/>
    <w:rsid w:val="00B50A4B"/>
    <w:rsid w:val="00B529BB"/>
    <w:rsid w:val="00B56687"/>
    <w:rsid w:val="00B614F0"/>
    <w:rsid w:val="00B62B33"/>
    <w:rsid w:val="00B67BDB"/>
    <w:rsid w:val="00B700A8"/>
    <w:rsid w:val="00B720C7"/>
    <w:rsid w:val="00B74AA7"/>
    <w:rsid w:val="00B75223"/>
    <w:rsid w:val="00B75498"/>
    <w:rsid w:val="00B75999"/>
    <w:rsid w:val="00B764E7"/>
    <w:rsid w:val="00B8032C"/>
    <w:rsid w:val="00B82EA3"/>
    <w:rsid w:val="00B8445E"/>
    <w:rsid w:val="00B858E2"/>
    <w:rsid w:val="00B8777A"/>
    <w:rsid w:val="00B94B92"/>
    <w:rsid w:val="00B96120"/>
    <w:rsid w:val="00BB0061"/>
    <w:rsid w:val="00BB09FD"/>
    <w:rsid w:val="00BC0447"/>
    <w:rsid w:val="00BC04CE"/>
    <w:rsid w:val="00BC262D"/>
    <w:rsid w:val="00BC3FD6"/>
    <w:rsid w:val="00BC4A68"/>
    <w:rsid w:val="00BC78AC"/>
    <w:rsid w:val="00BD0EAD"/>
    <w:rsid w:val="00BD545B"/>
    <w:rsid w:val="00BD6063"/>
    <w:rsid w:val="00BE071B"/>
    <w:rsid w:val="00BE41D2"/>
    <w:rsid w:val="00BF3D38"/>
    <w:rsid w:val="00BF540F"/>
    <w:rsid w:val="00BF71F6"/>
    <w:rsid w:val="00C0285E"/>
    <w:rsid w:val="00C045B2"/>
    <w:rsid w:val="00C06B49"/>
    <w:rsid w:val="00C133A6"/>
    <w:rsid w:val="00C13C22"/>
    <w:rsid w:val="00C15A9D"/>
    <w:rsid w:val="00C15FEA"/>
    <w:rsid w:val="00C250FF"/>
    <w:rsid w:val="00C274DF"/>
    <w:rsid w:val="00C300EA"/>
    <w:rsid w:val="00C32CC6"/>
    <w:rsid w:val="00C340D7"/>
    <w:rsid w:val="00C41777"/>
    <w:rsid w:val="00C479D4"/>
    <w:rsid w:val="00C51ED9"/>
    <w:rsid w:val="00C52746"/>
    <w:rsid w:val="00C608DC"/>
    <w:rsid w:val="00C61DB4"/>
    <w:rsid w:val="00C71595"/>
    <w:rsid w:val="00C71955"/>
    <w:rsid w:val="00C71A06"/>
    <w:rsid w:val="00C72426"/>
    <w:rsid w:val="00C73BB6"/>
    <w:rsid w:val="00C82159"/>
    <w:rsid w:val="00C8615A"/>
    <w:rsid w:val="00C90427"/>
    <w:rsid w:val="00C96CE1"/>
    <w:rsid w:val="00CA49EF"/>
    <w:rsid w:val="00CA579C"/>
    <w:rsid w:val="00CB166F"/>
    <w:rsid w:val="00CB1B4F"/>
    <w:rsid w:val="00CB3081"/>
    <w:rsid w:val="00CB4386"/>
    <w:rsid w:val="00CB6D3A"/>
    <w:rsid w:val="00CC1666"/>
    <w:rsid w:val="00CC230E"/>
    <w:rsid w:val="00CC43A0"/>
    <w:rsid w:val="00CC5A3C"/>
    <w:rsid w:val="00CD7488"/>
    <w:rsid w:val="00CE0E24"/>
    <w:rsid w:val="00CE3163"/>
    <w:rsid w:val="00CE5FD2"/>
    <w:rsid w:val="00CE6056"/>
    <w:rsid w:val="00CF021C"/>
    <w:rsid w:val="00CF11E0"/>
    <w:rsid w:val="00CF56E9"/>
    <w:rsid w:val="00D00BFC"/>
    <w:rsid w:val="00D05666"/>
    <w:rsid w:val="00D06BEC"/>
    <w:rsid w:val="00D07A6E"/>
    <w:rsid w:val="00D12740"/>
    <w:rsid w:val="00D12823"/>
    <w:rsid w:val="00D16D4C"/>
    <w:rsid w:val="00D21625"/>
    <w:rsid w:val="00D2226C"/>
    <w:rsid w:val="00D22D7E"/>
    <w:rsid w:val="00D24BA5"/>
    <w:rsid w:val="00D302B4"/>
    <w:rsid w:val="00D315BE"/>
    <w:rsid w:val="00D34EFF"/>
    <w:rsid w:val="00D41818"/>
    <w:rsid w:val="00D42332"/>
    <w:rsid w:val="00D43C94"/>
    <w:rsid w:val="00D45D65"/>
    <w:rsid w:val="00D52365"/>
    <w:rsid w:val="00D54644"/>
    <w:rsid w:val="00D563D2"/>
    <w:rsid w:val="00D7354C"/>
    <w:rsid w:val="00D73DE2"/>
    <w:rsid w:val="00D84957"/>
    <w:rsid w:val="00D85CB2"/>
    <w:rsid w:val="00D86553"/>
    <w:rsid w:val="00D8715E"/>
    <w:rsid w:val="00D87C61"/>
    <w:rsid w:val="00D912F0"/>
    <w:rsid w:val="00D95648"/>
    <w:rsid w:val="00DA297A"/>
    <w:rsid w:val="00DA2B2D"/>
    <w:rsid w:val="00DA3C2D"/>
    <w:rsid w:val="00DA4074"/>
    <w:rsid w:val="00DA5156"/>
    <w:rsid w:val="00DA564F"/>
    <w:rsid w:val="00DB1213"/>
    <w:rsid w:val="00DB32EF"/>
    <w:rsid w:val="00DB42F4"/>
    <w:rsid w:val="00DB4B04"/>
    <w:rsid w:val="00DB4D0F"/>
    <w:rsid w:val="00DB5F08"/>
    <w:rsid w:val="00DB73AA"/>
    <w:rsid w:val="00DC3A76"/>
    <w:rsid w:val="00DC5475"/>
    <w:rsid w:val="00DD3564"/>
    <w:rsid w:val="00DE0BAB"/>
    <w:rsid w:val="00DE5273"/>
    <w:rsid w:val="00DE5BF5"/>
    <w:rsid w:val="00DE610B"/>
    <w:rsid w:val="00DF09AB"/>
    <w:rsid w:val="00DF1F35"/>
    <w:rsid w:val="00DF2B0D"/>
    <w:rsid w:val="00DF3F87"/>
    <w:rsid w:val="00DF7ADB"/>
    <w:rsid w:val="00DF7EAE"/>
    <w:rsid w:val="00E02A33"/>
    <w:rsid w:val="00E12A1A"/>
    <w:rsid w:val="00E155B6"/>
    <w:rsid w:val="00E15B3C"/>
    <w:rsid w:val="00E16B6E"/>
    <w:rsid w:val="00E2013D"/>
    <w:rsid w:val="00E21CC7"/>
    <w:rsid w:val="00E35D34"/>
    <w:rsid w:val="00E42186"/>
    <w:rsid w:val="00E50B4C"/>
    <w:rsid w:val="00E5282D"/>
    <w:rsid w:val="00E54A30"/>
    <w:rsid w:val="00E64E88"/>
    <w:rsid w:val="00E65368"/>
    <w:rsid w:val="00E661FA"/>
    <w:rsid w:val="00E7089B"/>
    <w:rsid w:val="00E74B42"/>
    <w:rsid w:val="00E75984"/>
    <w:rsid w:val="00E76369"/>
    <w:rsid w:val="00E7679D"/>
    <w:rsid w:val="00E82D41"/>
    <w:rsid w:val="00E84DCC"/>
    <w:rsid w:val="00E8639B"/>
    <w:rsid w:val="00EA533E"/>
    <w:rsid w:val="00EB1867"/>
    <w:rsid w:val="00EB1CB0"/>
    <w:rsid w:val="00EB5016"/>
    <w:rsid w:val="00EB739D"/>
    <w:rsid w:val="00EB78D0"/>
    <w:rsid w:val="00EC08A8"/>
    <w:rsid w:val="00EC1C2D"/>
    <w:rsid w:val="00EC2D38"/>
    <w:rsid w:val="00EC4CE7"/>
    <w:rsid w:val="00EC6909"/>
    <w:rsid w:val="00ED1599"/>
    <w:rsid w:val="00ED244D"/>
    <w:rsid w:val="00ED5824"/>
    <w:rsid w:val="00ED78C4"/>
    <w:rsid w:val="00EE030E"/>
    <w:rsid w:val="00EE5B64"/>
    <w:rsid w:val="00EE5C39"/>
    <w:rsid w:val="00EE6197"/>
    <w:rsid w:val="00EE7725"/>
    <w:rsid w:val="00EF092C"/>
    <w:rsid w:val="00EF1481"/>
    <w:rsid w:val="00EF2C38"/>
    <w:rsid w:val="00F06952"/>
    <w:rsid w:val="00F14D64"/>
    <w:rsid w:val="00F15062"/>
    <w:rsid w:val="00F17FCA"/>
    <w:rsid w:val="00F2171A"/>
    <w:rsid w:val="00F225DA"/>
    <w:rsid w:val="00F26BBF"/>
    <w:rsid w:val="00F26CE8"/>
    <w:rsid w:val="00F2768E"/>
    <w:rsid w:val="00F36739"/>
    <w:rsid w:val="00F36DF7"/>
    <w:rsid w:val="00F40BDA"/>
    <w:rsid w:val="00F42584"/>
    <w:rsid w:val="00F42D2D"/>
    <w:rsid w:val="00F460B5"/>
    <w:rsid w:val="00F5105F"/>
    <w:rsid w:val="00F57CBE"/>
    <w:rsid w:val="00F6154E"/>
    <w:rsid w:val="00F64B94"/>
    <w:rsid w:val="00F65B21"/>
    <w:rsid w:val="00F668D6"/>
    <w:rsid w:val="00F702E2"/>
    <w:rsid w:val="00F708BD"/>
    <w:rsid w:val="00F76629"/>
    <w:rsid w:val="00F81BA6"/>
    <w:rsid w:val="00F82428"/>
    <w:rsid w:val="00F8701E"/>
    <w:rsid w:val="00F8773A"/>
    <w:rsid w:val="00F9392E"/>
    <w:rsid w:val="00FA227C"/>
    <w:rsid w:val="00FA2A4E"/>
    <w:rsid w:val="00FA7884"/>
    <w:rsid w:val="00FB5310"/>
    <w:rsid w:val="00FC0C72"/>
    <w:rsid w:val="00FC2CE0"/>
    <w:rsid w:val="00FC720B"/>
    <w:rsid w:val="00FC7B1B"/>
    <w:rsid w:val="00FD5FC9"/>
    <w:rsid w:val="00FF14B3"/>
    <w:rsid w:val="00FF1A51"/>
    <w:rsid w:val="00FF6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0D9F3"/>
  <w15:chartTrackingRefBased/>
  <w15:docId w15:val="{06A0EFFC-5C8A-4B00-8E39-55851B9A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B2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CE9"/>
  </w:style>
  <w:style w:type="paragraph" w:styleId="Footer">
    <w:name w:val="footer"/>
    <w:basedOn w:val="Normal"/>
    <w:link w:val="FooterChar"/>
    <w:uiPriority w:val="99"/>
    <w:unhideWhenUsed/>
    <w:rsid w:val="006C7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CE9"/>
  </w:style>
  <w:style w:type="character" w:styleId="CommentReference">
    <w:name w:val="annotation reference"/>
    <w:basedOn w:val="DefaultParagraphFont"/>
    <w:uiPriority w:val="99"/>
    <w:semiHidden/>
    <w:unhideWhenUsed/>
    <w:rsid w:val="00033B7E"/>
    <w:rPr>
      <w:sz w:val="16"/>
      <w:szCs w:val="16"/>
    </w:rPr>
  </w:style>
  <w:style w:type="paragraph" w:styleId="CommentText">
    <w:name w:val="annotation text"/>
    <w:basedOn w:val="Normal"/>
    <w:link w:val="CommentTextChar"/>
    <w:uiPriority w:val="99"/>
    <w:semiHidden/>
    <w:unhideWhenUsed/>
    <w:rsid w:val="00033B7E"/>
    <w:pPr>
      <w:spacing w:line="240" w:lineRule="auto"/>
    </w:pPr>
    <w:rPr>
      <w:sz w:val="20"/>
      <w:szCs w:val="20"/>
    </w:rPr>
  </w:style>
  <w:style w:type="character" w:customStyle="1" w:styleId="CommentTextChar">
    <w:name w:val="Comment Text Char"/>
    <w:basedOn w:val="DefaultParagraphFont"/>
    <w:link w:val="CommentText"/>
    <w:uiPriority w:val="99"/>
    <w:semiHidden/>
    <w:rsid w:val="00033B7E"/>
    <w:rPr>
      <w:sz w:val="20"/>
      <w:szCs w:val="20"/>
    </w:rPr>
  </w:style>
  <w:style w:type="paragraph" w:styleId="CommentSubject">
    <w:name w:val="annotation subject"/>
    <w:basedOn w:val="CommentText"/>
    <w:next w:val="CommentText"/>
    <w:link w:val="CommentSubjectChar"/>
    <w:uiPriority w:val="99"/>
    <w:semiHidden/>
    <w:unhideWhenUsed/>
    <w:rsid w:val="00033B7E"/>
    <w:rPr>
      <w:b/>
      <w:bCs/>
    </w:rPr>
  </w:style>
  <w:style w:type="character" w:customStyle="1" w:styleId="CommentSubjectChar">
    <w:name w:val="Comment Subject Char"/>
    <w:basedOn w:val="CommentTextChar"/>
    <w:link w:val="CommentSubject"/>
    <w:uiPriority w:val="99"/>
    <w:semiHidden/>
    <w:rsid w:val="00033B7E"/>
    <w:rPr>
      <w:b/>
      <w:bCs/>
      <w:sz w:val="20"/>
      <w:szCs w:val="20"/>
    </w:rPr>
  </w:style>
  <w:style w:type="paragraph" w:styleId="BalloonText">
    <w:name w:val="Balloon Text"/>
    <w:basedOn w:val="Normal"/>
    <w:link w:val="BalloonTextChar"/>
    <w:uiPriority w:val="99"/>
    <w:semiHidden/>
    <w:unhideWhenUsed/>
    <w:rsid w:val="00033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B7E"/>
    <w:rPr>
      <w:rFonts w:ascii="Segoe UI" w:hAnsi="Segoe UI" w:cs="Segoe UI"/>
      <w:sz w:val="18"/>
      <w:szCs w:val="18"/>
    </w:rPr>
  </w:style>
  <w:style w:type="character" w:styleId="Hyperlink">
    <w:name w:val="Hyperlink"/>
    <w:basedOn w:val="DefaultParagraphFont"/>
    <w:uiPriority w:val="99"/>
    <w:unhideWhenUsed/>
    <w:rsid w:val="00236ADF"/>
    <w:rPr>
      <w:color w:val="0563C1" w:themeColor="hyperlink"/>
      <w:u w:val="single"/>
    </w:rPr>
  </w:style>
  <w:style w:type="character" w:customStyle="1" w:styleId="UnresolvedMention1">
    <w:name w:val="Unresolved Mention1"/>
    <w:basedOn w:val="DefaultParagraphFont"/>
    <w:uiPriority w:val="99"/>
    <w:semiHidden/>
    <w:unhideWhenUsed/>
    <w:rsid w:val="00236ADF"/>
    <w:rPr>
      <w:color w:val="808080"/>
      <w:shd w:val="clear" w:color="auto" w:fill="E6E6E6"/>
    </w:rPr>
  </w:style>
  <w:style w:type="paragraph" w:styleId="ListParagraph">
    <w:name w:val="List Paragraph"/>
    <w:basedOn w:val="Normal"/>
    <w:uiPriority w:val="34"/>
    <w:qFormat/>
    <w:rsid w:val="00DA4074"/>
    <w:pPr>
      <w:ind w:left="720"/>
      <w:contextualSpacing/>
    </w:pPr>
  </w:style>
  <w:style w:type="character" w:customStyle="1" w:styleId="UnresolvedMention2">
    <w:name w:val="Unresolved Mention2"/>
    <w:basedOn w:val="DefaultParagraphFont"/>
    <w:uiPriority w:val="99"/>
    <w:rsid w:val="00E76369"/>
    <w:rPr>
      <w:color w:val="605E5C"/>
      <w:shd w:val="clear" w:color="auto" w:fill="E1DFDD"/>
    </w:rPr>
  </w:style>
  <w:style w:type="character" w:styleId="FollowedHyperlink">
    <w:name w:val="FollowedHyperlink"/>
    <w:basedOn w:val="DefaultParagraphFont"/>
    <w:uiPriority w:val="99"/>
    <w:semiHidden/>
    <w:unhideWhenUsed/>
    <w:rsid w:val="003738B0"/>
    <w:rPr>
      <w:color w:val="954F72" w:themeColor="followedHyperlink"/>
      <w:u w:val="single"/>
    </w:rPr>
  </w:style>
  <w:style w:type="paragraph" w:styleId="NoSpacing">
    <w:name w:val="No Spacing"/>
    <w:link w:val="NoSpacingChar"/>
    <w:uiPriority w:val="1"/>
    <w:qFormat/>
    <w:rsid w:val="00BC78AC"/>
    <w:pPr>
      <w:spacing w:after="0" w:line="240" w:lineRule="auto"/>
    </w:pPr>
  </w:style>
  <w:style w:type="character" w:customStyle="1" w:styleId="NoSpacingChar">
    <w:name w:val="No Spacing Char"/>
    <w:basedOn w:val="DefaultParagraphFont"/>
    <w:link w:val="NoSpacing"/>
    <w:uiPriority w:val="1"/>
    <w:rsid w:val="00BC78AC"/>
  </w:style>
  <w:style w:type="table" w:styleId="TableGrid">
    <w:name w:val="Table Grid"/>
    <w:basedOn w:val="TableNormal"/>
    <w:uiPriority w:val="39"/>
    <w:rsid w:val="0054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A02A2"/>
    <w:rPr>
      <w:color w:val="605E5C"/>
      <w:shd w:val="clear" w:color="auto" w:fill="E1DFDD"/>
    </w:rPr>
  </w:style>
  <w:style w:type="paragraph" w:styleId="Revision">
    <w:name w:val="Revision"/>
    <w:hidden/>
    <w:uiPriority w:val="99"/>
    <w:semiHidden/>
    <w:rsid w:val="00B764E7"/>
    <w:pPr>
      <w:spacing w:after="0" w:line="240" w:lineRule="auto"/>
    </w:pPr>
    <w:rPr>
      <w:rFonts w:ascii="Times New Roman" w:hAnsi="Times New Roman"/>
      <w:sz w:val="24"/>
    </w:rPr>
  </w:style>
  <w:style w:type="character" w:customStyle="1" w:styleId="UnresolvedMention4">
    <w:name w:val="Unresolved Mention4"/>
    <w:basedOn w:val="DefaultParagraphFont"/>
    <w:uiPriority w:val="99"/>
    <w:semiHidden/>
    <w:unhideWhenUsed/>
    <w:rsid w:val="000F7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7347">
      <w:bodyDiv w:val="1"/>
      <w:marLeft w:val="0"/>
      <w:marRight w:val="0"/>
      <w:marTop w:val="0"/>
      <w:marBottom w:val="0"/>
      <w:divBdr>
        <w:top w:val="none" w:sz="0" w:space="0" w:color="auto"/>
        <w:left w:val="none" w:sz="0" w:space="0" w:color="auto"/>
        <w:bottom w:val="none" w:sz="0" w:space="0" w:color="auto"/>
        <w:right w:val="none" w:sz="0" w:space="0" w:color="auto"/>
      </w:divBdr>
      <w:divsChild>
        <w:div w:id="1952129480">
          <w:marLeft w:val="0"/>
          <w:marRight w:val="0"/>
          <w:marTop w:val="0"/>
          <w:marBottom w:val="0"/>
          <w:divBdr>
            <w:top w:val="none" w:sz="0" w:space="0" w:color="auto"/>
            <w:left w:val="none" w:sz="0" w:space="0" w:color="auto"/>
            <w:bottom w:val="none" w:sz="0" w:space="0" w:color="auto"/>
            <w:right w:val="none" w:sz="0" w:space="0" w:color="auto"/>
          </w:divBdr>
        </w:div>
      </w:divsChild>
    </w:div>
    <w:div w:id="412241937">
      <w:bodyDiv w:val="1"/>
      <w:marLeft w:val="0"/>
      <w:marRight w:val="0"/>
      <w:marTop w:val="0"/>
      <w:marBottom w:val="0"/>
      <w:divBdr>
        <w:top w:val="none" w:sz="0" w:space="0" w:color="auto"/>
        <w:left w:val="none" w:sz="0" w:space="0" w:color="auto"/>
        <w:bottom w:val="none" w:sz="0" w:space="0" w:color="auto"/>
        <w:right w:val="none" w:sz="0" w:space="0" w:color="auto"/>
      </w:divBdr>
      <w:divsChild>
        <w:div w:id="68311267">
          <w:marLeft w:val="0"/>
          <w:marRight w:val="0"/>
          <w:marTop w:val="0"/>
          <w:marBottom w:val="0"/>
          <w:divBdr>
            <w:top w:val="none" w:sz="0" w:space="0" w:color="auto"/>
            <w:left w:val="none" w:sz="0" w:space="0" w:color="auto"/>
            <w:bottom w:val="none" w:sz="0" w:space="0" w:color="auto"/>
            <w:right w:val="none" w:sz="0" w:space="0" w:color="auto"/>
          </w:divBdr>
        </w:div>
      </w:divsChild>
    </w:div>
    <w:div w:id="432093238">
      <w:bodyDiv w:val="1"/>
      <w:marLeft w:val="0"/>
      <w:marRight w:val="0"/>
      <w:marTop w:val="0"/>
      <w:marBottom w:val="0"/>
      <w:divBdr>
        <w:top w:val="none" w:sz="0" w:space="0" w:color="auto"/>
        <w:left w:val="none" w:sz="0" w:space="0" w:color="auto"/>
        <w:bottom w:val="none" w:sz="0" w:space="0" w:color="auto"/>
        <w:right w:val="none" w:sz="0" w:space="0" w:color="auto"/>
      </w:divBdr>
    </w:div>
    <w:div w:id="923492807">
      <w:bodyDiv w:val="1"/>
      <w:marLeft w:val="0"/>
      <w:marRight w:val="0"/>
      <w:marTop w:val="0"/>
      <w:marBottom w:val="0"/>
      <w:divBdr>
        <w:top w:val="none" w:sz="0" w:space="0" w:color="auto"/>
        <w:left w:val="none" w:sz="0" w:space="0" w:color="auto"/>
        <w:bottom w:val="none" w:sz="0" w:space="0" w:color="auto"/>
        <w:right w:val="none" w:sz="0" w:space="0" w:color="auto"/>
      </w:divBdr>
    </w:div>
    <w:div w:id="984356061">
      <w:bodyDiv w:val="1"/>
      <w:marLeft w:val="0"/>
      <w:marRight w:val="0"/>
      <w:marTop w:val="0"/>
      <w:marBottom w:val="0"/>
      <w:divBdr>
        <w:top w:val="none" w:sz="0" w:space="0" w:color="auto"/>
        <w:left w:val="none" w:sz="0" w:space="0" w:color="auto"/>
        <w:bottom w:val="none" w:sz="0" w:space="0" w:color="auto"/>
        <w:right w:val="none" w:sz="0" w:space="0" w:color="auto"/>
      </w:divBdr>
    </w:div>
    <w:div w:id="992099039">
      <w:bodyDiv w:val="1"/>
      <w:marLeft w:val="0"/>
      <w:marRight w:val="0"/>
      <w:marTop w:val="0"/>
      <w:marBottom w:val="0"/>
      <w:divBdr>
        <w:top w:val="none" w:sz="0" w:space="0" w:color="auto"/>
        <w:left w:val="none" w:sz="0" w:space="0" w:color="auto"/>
        <w:bottom w:val="none" w:sz="0" w:space="0" w:color="auto"/>
        <w:right w:val="none" w:sz="0" w:space="0" w:color="auto"/>
      </w:divBdr>
    </w:div>
    <w:div w:id="1340231724">
      <w:bodyDiv w:val="1"/>
      <w:marLeft w:val="0"/>
      <w:marRight w:val="0"/>
      <w:marTop w:val="0"/>
      <w:marBottom w:val="0"/>
      <w:divBdr>
        <w:top w:val="none" w:sz="0" w:space="0" w:color="auto"/>
        <w:left w:val="none" w:sz="0" w:space="0" w:color="auto"/>
        <w:bottom w:val="none" w:sz="0" w:space="0" w:color="auto"/>
        <w:right w:val="none" w:sz="0" w:space="0" w:color="auto"/>
      </w:divBdr>
    </w:div>
    <w:div w:id="1374037241">
      <w:bodyDiv w:val="1"/>
      <w:marLeft w:val="0"/>
      <w:marRight w:val="0"/>
      <w:marTop w:val="0"/>
      <w:marBottom w:val="0"/>
      <w:divBdr>
        <w:top w:val="none" w:sz="0" w:space="0" w:color="auto"/>
        <w:left w:val="none" w:sz="0" w:space="0" w:color="auto"/>
        <w:bottom w:val="none" w:sz="0" w:space="0" w:color="auto"/>
        <w:right w:val="none" w:sz="0" w:space="0" w:color="auto"/>
      </w:divBdr>
      <w:divsChild>
        <w:div w:id="1916890542">
          <w:marLeft w:val="0"/>
          <w:marRight w:val="0"/>
          <w:marTop w:val="0"/>
          <w:marBottom w:val="0"/>
          <w:divBdr>
            <w:top w:val="none" w:sz="0" w:space="0" w:color="auto"/>
            <w:left w:val="none" w:sz="0" w:space="0" w:color="auto"/>
            <w:bottom w:val="none" w:sz="0" w:space="0" w:color="auto"/>
            <w:right w:val="none" w:sz="0" w:space="0" w:color="auto"/>
          </w:divBdr>
          <w:divsChild>
            <w:div w:id="170485577">
              <w:marLeft w:val="0"/>
              <w:marRight w:val="0"/>
              <w:marTop w:val="0"/>
              <w:marBottom w:val="0"/>
              <w:divBdr>
                <w:top w:val="none" w:sz="0" w:space="0" w:color="auto"/>
                <w:left w:val="none" w:sz="0" w:space="0" w:color="auto"/>
                <w:bottom w:val="none" w:sz="0" w:space="0" w:color="auto"/>
                <w:right w:val="none" w:sz="0" w:space="0" w:color="auto"/>
              </w:divBdr>
              <w:divsChild>
                <w:div w:id="745499422">
                  <w:marLeft w:val="0"/>
                  <w:marRight w:val="0"/>
                  <w:marTop w:val="0"/>
                  <w:marBottom w:val="0"/>
                  <w:divBdr>
                    <w:top w:val="none" w:sz="0" w:space="0" w:color="auto"/>
                    <w:left w:val="none" w:sz="0" w:space="0" w:color="auto"/>
                    <w:bottom w:val="none" w:sz="0" w:space="0" w:color="auto"/>
                    <w:right w:val="none" w:sz="0" w:space="0" w:color="auto"/>
                  </w:divBdr>
                  <w:divsChild>
                    <w:div w:id="1217660569">
                      <w:marLeft w:val="0"/>
                      <w:marRight w:val="0"/>
                      <w:marTop w:val="0"/>
                      <w:marBottom w:val="0"/>
                      <w:divBdr>
                        <w:top w:val="none" w:sz="0" w:space="0" w:color="auto"/>
                        <w:left w:val="none" w:sz="0" w:space="0" w:color="auto"/>
                        <w:bottom w:val="none" w:sz="0" w:space="0" w:color="auto"/>
                        <w:right w:val="none" w:sz="0" w:space="0" w:color="auto"/>
                      </w:divBdr>
                      <w:divsChild>
                        <w:div w:id="1412123351">
                          <w:marLeft w:val="0"/>
                          <w:marRight w:val="0"/>
                          <w:marTop w:val="0"/>
                          <w:marBottom w:val="0"/>
                          <w:divBdr>
                            <w:top w:val="none" w:sz="0" w:space="0" w:color="auto"/>
                            <w:left w:val="none" w:sz="0" w:space="0" w:color="auto"/>
                            <w:bottom w:val="none" w:sz="0" w:space="0" w:color="auto"/>
                            <w:right w:val="none" w:sz="0" w:space="0" w:color="auto"/>
                          </w:divBdr>
                          <w:divsChild>
                            <w:div w:id="2057778098">
                              <w:marLeft w:val="0"/>
                              <w:marRight w:val="0"/>
                              <w:marTop w:val="0"/>
                              <w:marBottom w:val="0"/>
                              <w:divBdr>
                                <w:top w:val="none" w:sz="0" w:space="0" w:color="auto"/>
                                <w:left w:val="none" w:sz="0" w:space="0" w:color="auto"/>
                                <w:bottom w:val="none" w:sz="0" w:space="0" w:color="auto"/>
                                <w:right w:val="none" w:sz="0" w:space="0" w:color="auto"/>
                              </w:divBdr>
                              <w:divsChild>
                                <w:div w:id="400760997">
                                  <w:marLeft w:val="-225"/>
                                  <w:marRight w:val="-225"/>
                                  <w:marTop w:val="0"/>
                                  <w:marBottom w:val="0"/>
                                  <w:divBdr>
                                    <w:top w:val="none" w:sz="0" w:space="0" w:color="auto"/>
                                    <w:left w:val="none" w:sz="0" w:space="0" w:color="auto"/>
                                    <w:bottom w:val="none" w:sz="0" w:space="0" w:color="auto"/>
                                    <w:right w:val="none" w:sz="0" w:space="0" w:color="auto"/>
                                  </w:divBdr>
                                  <w:divsChild>
                                    <w:div w:id="553471702">
                                      <w:marLeft w:val="0"/>
                                      <w:marRight w:val="0"/>
                                      <w:marTop w:val="0"/>
                                      <w:marBottom w:val="0"/>
                                      <w:divBdr>
                                        <w:top w:val="none" w:sz="0" w:space="0" w:color="auto"/>
                                        <w:left w:val="none" w:sz="0" w:space="0" w:color="auto"/>
                                        <w:bottom w:val="none" w:sz="0" w:space="0" w:color="auto"/>
                                        <w:right w:val="none" w:sz="0" w:space="0" w:color="auto"/>
                                      </w:divBdr>
                                      <w:divsChild>
                                        <w:div w:id="1087195809">
                                          <w:marLeft w:val="0"/>
                                          <w:marRight w:val="0"/>
                                          <w:marTop w:val="0"/>
                                          <w:marBottom w:val="0"/>
                                          <w:divBdr>
                                            <w:top w:val="none" w:sz="0" w:space="0" w:color="auto"/>
                                            <w:left w:val="none" w:sz="0" w:space="0" w:color="auto"/>
                                            <w:bottom w:val="none" w:sz="0" w:space="0" w:color="auto"/>
                                            <w:right w:val="none" w:sz="0" w:space="0" w:color="auto"/>
                                          </w:divBdr>
                                          <w:divsChild>
                                            <w:div w:id="954142796">
                                              <w:marLeft w:val="-225"/>
                                              <w:marRight w:val="-225"/>
                                              <w:marTop w:val="0"/>
                                              <w:marBottom w:val="0"/>
                                              <w:divBdr>
                                                <w:top w:val="none" w:sz="0" w:space="0" w:color="auto"/>
                                                <w:left w:val="none" w:sz="0" w:space="0" w:color="auto"/>
                                                <w:bottom w:val="none" w:sz="0" w:space="0" w:color="auto"/>
                                                <w:right w:val="none" w:sz="0" w:space="0" w:color="auto"/>
                                              </w:divBdr>
                                              <w:divsChild>
                                                <w:div w:id="1577934869">
                                                  <w:marLeft w:val="0"/>
                                                  <w:marRight w:val="0"/>
                                                  <w:marTop w:val="0"/>
                                                  <w:marBottom w:val="0"/>
                                                  <w:divBdr>
                                                    <w:top w:val="none" w:sz="0" w:space="0" w:color="auto"/>
                                                    <w:left w:val="none" w:sz="0" w:space="0" w:color="auto"/>
                                                    <w:bottom w:val="none" w:sz="0" w:space="0" w:color="auto"/>
                                                    <w:right w:val="none" w:sz="0" w:space="0" w:color="auto"/>
                                                  </w:divBdr>
                                                  <w:divsChild>
                                                    <w:div w:id="1448428221">
                                                      <w:marLeft w:val="0"/>
                                                      <w:marRight w:val="0"/>
                                                      <w:marTop w:val="0"/>
                                                      <w:marBottom w:val="0"/>
                                                      <w:divBdr>
                                                        <w:top w:val="none" w:sz="0" w:space="0" w:color="auto"/>
                                                        <w:left w:val="none" w:sz="0" w:space="0" w:color="auto"/>
                                                        <w:bottom w:val="none" w:sz="0" w:space="0" w:color="auto"/>
                                                        <w:right w:val="none" w:sz="0" w:space="0" w:color="auto"/>
                                                      </w:divBdr>
                                                      <w:divsChild>
                                                        <w:div w:id="1571310536">
                                                          <w:marLeft w:val="0"/>
                                                          <w:marRight w:val="0"/>
                                                          <w:marTop w:val="0"/>
                                                          <w:marBottom w:val="0"/>
                                                          <w:divBdr>
                                                            <w:top w:val="none" w:sz="0" w:space="0" w:color="auto"/>
                                                            <w:left w:val="none" w:sz="0" w:space="0" w:color="auto"/>
                                                            <w:bottom w:val="none" w:sz="0" w:space="0" w:color="auto"/>
                                                            <w:right w:val="none" w:sz="0" w:space="0" w:color="auto"/>
                                                          </w:divBdr>
                                                          <w:divsChild>
                                                            <w:div w:id="1370571249">
                                                              <w:marLeft w:val="0"/>
                                                              <w:marRight w:val="0"/>
                                                              <w:marTop w:val="225"/>
                                                              <w:marBottom w:val="225"/>
                                                              <w:divBdr>
                                                                <w:top w:val="none" w:sz="0" w:space="0" w:color="auto"/>
                                                                <w:left w:val="none" w:sz="0" w:space="0" w:color="auto"/>
                                                                <w:bottom w:val="none" w:sz="0" w:space="0" w:color="auto"/>
                                                                <w:right w:val="none" w:sz="0" w:space="0" w:color="auto"/>
                                                              </w:divBdr>
                                                              <w:divsChild>
                                                                <w:div w:id="1438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356276">
      <w:bodyDiv w:val="1"/>
      <w:marLeft w:val="0"/>
      <w:marRight w:val="0"/>
      <w:marTop w:val="0"/>
      <w:marBottom w:val="0"/>
      <w:divBdr>
        <w:top w:val="none" w:sz="0" w:space="0" w:color="auto"/>
        <w:left w:val="none" w:sz="0" w:space="0" w:color="auto"/>
        <w:bottom w:val="none" w:sz="0" w:space="0" w:color="auto"/>
        <w:right w:val="none" w:sz="0" w:space="0" w:color="auto"/>
      </w:divBdr>
    </w:div>
    <w:div w:id="1660301634">
      <w:bodyDiv w:val="1"/>
      <w:marLeft w:val="0"/>
      <w:marRight w:val="0"/>
      <w:marTop w:val="0"/>
      <w:marBottom w:val="0"/>
      <w:divBdr>
        <w:top w:val="none" w:sz="0" w:space="0" w:color="auto"/>
        <w:left w:val="none" w:sz="0" w:space="0" w:color="auto"/>
        <w:bottom w:val="none" w:sz="0" w:space="0" w:color="auto"/>
        <w:right w:val="none" w:sz="0" w:space="0" w:color="auto"/>
      </w:divBdr>
    </w:div>
    <w:div w:id="1970864419">
      <w:bodyDiv w:val="1"/>
      <w:marLeft w:val="0"/>
      <w:marRight w:val="0"/>
      <w:marTop w:val="0"/>
      <w:marBottom w:val="0"/>
      <w:divBdr>
        <w:top w:val="none" w:sz="0" w:space="0" w:color="auto"/>
        <w:left w:val="none" w:sz="0" w:space="0" w:color="auto"/>
        <w:bottom w:val="none" w:sz="0" w:space="0" w:color="auto"/>
        <w:right w:val="none" w:sz="0" w:space="0" w:color="auto"/>
      </w:divBdr>
    </w:div>
    <w:div w:id="1977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vb.2016.11.007" TargetMode="External"/><Relationship Id="rId18" Type="http://schemas.openxmlformats.org/officeDocument/2006/relationships/hyperlink" Target="https://doi.org/10.1016/j.jvb.2010.10.004" TargetMode="External"/><Relationship Id="rId26" Type="http://schemas.openxmlformats.org/officeDocument/2006/relationships/hyperlink" Target="https://psycnet.apa.org/doi/10.1037/cou0000212" TargetMode="External"/><Relationship Id="rId39" Type="http://schemas.openxmlformats.org/officeDocument/2006/relationships/hyperlink" Target="https://psycnet.apa.org/doi/10.1037/0021-9010.83.1.17" TargetMode="External"/><Relationship Id="rId21" Type="http://schemas.openxmlformats.org/officeDocument/2006/relationships/hyperlink" Target="https://doi.org/10.1177%2F0032329210381235" TargetMode="External"/><Relationship Id="rId34" Type="http://schemas.openxmlformats.org/officeDocument/2006/relationships/hyperlink" Target="http://www.hse.gov.uk/statistics/causdis/musculoskeletal/index.htm" TargetMode="External"/><Relationship Id="rId42" Type="http://schemas.openxmlformats.org/officeDocument/2006/relationships/hyperlink" Target="https://www.ons.gov.uk/economy/nationalaccounts/satelliteaccounts/articles/leisuretimeintheuk/2015" TargetMode="External"/><Relationship Id="rId47" Type="http://schemas.openxmlformats.org/officeDocument/2006/relationships/hyperlink" Target="https://doi.org/10.1007/s10551-016-3097-7" TargetMode="External"/><Relationship Id="rId50" Type="http://schemas.openxmlformats.org/officeDocument/2006/relationships/hyperlink" Target="https://doi.org/10.1016/j.jvb.2018.01.002"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177%2F1069072718758064" TargetMode="External"/><Relationship Id="rId17" Type="http://schemas.openxmlformats.org/officeDocument/2006/relationships/hyperlink" Target="https://doi.org/10.1111/ecoj.12138" TargetMode="External"/><Relationship Id="rId25" Type="http://schemas.openxmlformats.org/officeDocument/2006/relationships/hyperlink" Target="http://natcen.ac.uk/media/27899/fourth-work-life-balancestudy.pdf" TargetMode="External"/><Relationship Id="rId33" Type="http://schemas.openxmlformats.org/officeDocument/2006/relationships/hyperlink" Target="http://www.hse.gov.uk/statistics/pdf/fatalinjuries.pdf" TargetMode="External"/><Relationship Id="rId38" Type="http://schemas.openxmlformats.org/officeDocument/2006/relationships/hyperlink" Target="https://doi.org/10.1207/s15327752jpa4901_13" TargetMode="External"/><Relationship Id="rId46" Type="http://schemas.openxmlformats.org/officeDocument/2006/relationships/hyperlink" Target="https://psycnet.apa.org/doi/10.1177/0011000012445176" TargetMode="External"/><Relationship Id="rId2" Type="http://schemas.openxmlformats.org/officeDocument/2006/relationships/customXml" Target="../customXml/item2.xml"/><Relationship Id="rId16" Type="http://schemas.openxmlformats.org/officeDocument/2006/relationships/hyperlink" Target="https://psycnet.apa.org/doi/10.1111/j.2044-8325.1985.tb00201.x" TargetMode="External"/><Relationship Id="rId20" Type="http://schemas.openxmlformats.org/officeDocument/2006/relationships/hyperlink" Target="https://doi.org/10.3389/fpsyg.2016.00407" TargetMode="External"/><Relationship Id="rId29" Type="http://schemas.openxmlformats.org/officeDocument/2006/relationships/hyperlink" Target="https://www.eurofound.europa.eu/sites/default/files/ef_publication/field_ef_document/ef1733en.pdf" TargetMode="External"/><Relationship Id="rId41" Type="http://schemas.openxmlformats.org/officeDocument/2006/relationships/hyperlink" Target="https://www.oecd.org/berlin/42675407.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1037/0278-6133.19.6.586" TargetMode="External"/><Relationship Id="rId24" Type="http://schemas.openxmlformats.org/officeDocument/2006/relationships/hyperlink" Target="https://assets.publishing.service.gov.uk/government/uploads/system/uploads/attachment_data/file/687553/The_characteristics_of_those_in_the_gig_economy.pdf" TargetMode="External"/><Relationship Id="rId32" Type="http://schemas.openxmlformats.org/officeDocument/2006/relationships/hyperlink" Target="http://www.hse.gov.uk/pubns/hse49.pdf" TargetMode="External"/><Relationship Id="rId37" Type="http://schemas.openxmlformats.org/officeDocument/2006/relationships/hyperlink" Target="https://doi.org/10.1080/00208825.1983.11656358" TargetMode="External"/><Relationship Id="rId40" Type="http://schemas.openxmlformats.org/officeDocument/2006/relationships/hyperlink" Target="http://natcen.ac.uk/media/176092/13-535-the-2011-workplace-employment-relations-study-first-findings.pdf." TargetMode="External"/><Relationship Id="rId45" Type="http://schemas.openxmlformats.org/officeDocument/2006/relationships/hyperlink" Target="https://www.ons.gov.uk/employmentandlabourmarket/peopleinwork/employmentandemployeetypes/bulletins/uklabourmarket/may2018%23young-people-in-the-labour-market.%20"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1080/095851999340288" TargetMode="External"/><Relationship Id="rId23" Type="http://schemas.openxmlformats.org/officeDocument/2006/relationships/hyperlink" Target="https://psycnet.apa.org/doi/10.1207/S15328007SEM0902_5" TargetMode="External"/><Relationship Id="rId28" Type="http://schemas.openxmlformats.org/officeDocument/2006/relationships/hyperlink" Target="https://psycnet.apa.org/doi/10.1037/cou0000191" TargetMode="External"/><Relationship Id="rId36" Type="http://schemas.openxmlformats.org/officeDocument/2006/relationships/hyperlink" Target="https://doi.org/10.1002/bse.3280020402" TargetMode="External"/><Relationship Id="rId49" Type="http://schemas.openxmlformats.org/officeDocument/2006/relationships/hyperlink" Target="https://doi.org/10.1177%2F1069072711436160" TargetMode="External"/><Relationship Id="rId10" Type="http://schemas.openxmlformats.org/officeDocument/2006/relationships/endnotes" Target="endnotes.xml"/><Relationship Id="rId19" Type="http://schemas.openxmlformats.org/officeDocument/2006/relationships/hyperlink" Target="https://doi.org/10.1177%2F1069072718774002" TargetMode="External"/><Relationship Id="rId31" Type="http://schemas.openxmlformats.org/officeDocument/2006/relationships/hyperlink" Target="https://doi.org/10.1177%2F0950017011398895" TargetMode="External"/><Relationship Id="rId44" Type="http://schemas.openxmlformats.org/officeDocument/2006/relationships/hyperlink" Target="https://www.ons.gov.uk/peoplepopulationandcommunity/populationandmigration/populationestimates/articles/overviewoftheukpopulation/february2016"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77%2F0027950110389755" TargetMode="External"/><Relationship Id="rId22" Type="http://schemas.openxmlformats.org/officeDocument/2006/relationships/hyperlink" Target="https://doi.org/10.1177%2F0730888415615385" TargetMode="External"/><Relationship Id="rId27" Type="http://schemas.openxmlformats.org/officeDocument/2006/relationships/hyperlink" Target="https://psycnet.apa.org/doi/10.1037/cou0000140" TargetMode="External"/><Relationship Id="rId30" Type="http://schemas.openxmlformats.org/officeDocument/2006/relationships/hyperlink" Target="https://www.fawcettsociety.org.uk/close-gender-pay-gap" TargetMode="External"/><Relationship Id="rId35" Type="http://schemas.openxmlformats.org/officeDocument/2006/relationships/hyperlink" Target="http://www.hse.gov.uk/statistics/causdis/stress/index.htm" TargetMode="External"/><Relationship Id="rId43" Type="http://schemas.openxmlformats.org/officeDocument/2006/relationships/hyperlink" Target="https://www.ons.gov.uk/employmentandlabourmarket/peopleinwork/earningsandworkinghours/articles/transitionfromamanufacturingtoserviceledlabourmarketoverpast170years/2015-08-06." TargetMode="External"/><Relationship Id="rId48" Type="http://schemas.openxmlformats.org/officeDocument/2006/relationships/hyperlink" Target="https://psycnet.apa.org/doi/10.1037/1076-8998.3.4.356" TargetMode="External"/><Relationship Id="rId8" Type="http://schemas.openxmlformats.org/officeDocument/2006/relationships/webSettings" Target="webSettings.xml"/><Relationship Id="rId51" Type="http://schemas.openxmlformats.org/officeDocument/2006/relationships/hyperlink" Target="https://doi.org/10.1002/j.2161-0045.2005.tb00138.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89C2B03CC9B4B848357AD3FCA0F8D" ma:contentTypeVersion="6" ma:contentTypeDescription="Create a new document." ma:contentTypeScope="" ma:versionID="6b6b09a9d33bf16183064875f176181a">
  <xsd:schema xmlns:xsd="http://www.w3.org/2001/XMLSchema" xmlns:xs="http://www.w3.org/2001/XMLSchema" xmlns:p="http://schemas.microsoft.com/office/2006/metadata/properties" xmlns:ns3="0a63ec7c-6655-44e7-8cc1-d1896a7f84b6" targetNamespace="http://schemas.microsoft.com/office/2006/metadata/properties" ma:root="true" ma:fieldsID="a7b009aa5f82ff3edf8b86d486acfe0a" ns3:_="">
    <xsd:import namespace="0a63ec7c-6655-44e7-8cc1-d1896a7f84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3ec7c-6655-44e7-8cc1-d1896a7f8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AA6B-5E0F-44F6-A9C7-84789AAAA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3ec7c-6655-44e7-8cc1-d1896a7f8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590EB-AB9D-46FD-847E-810187EAB355}">
  <ds:schemaRefs>
    <ds:schemaRef ds:uri="http://schemas.microsoft.com/sharepoint/v3/contenttype/forms"/>
  </ds:schemaRefs>
</ds:datastoreItem>
</file>

<file path=customXml/itemProps3.xml><?xml version="1.0" encoding="utf-8"?>
<ds:datastoreItem xmlns:ds="http://schemas.openxmlformats.org/officeDocument/2006/customXml" ds:itemID="{8D955EE3-7324-445A-97C1-064139ECE5E6}">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a63ec7c-6655-44e7-8cc1-d1896a7f84b6"/>
    <ds:schemaRef ds:uri="http://www.w3.org/XML/1998/namespace"/>
    <ds:schemaRef ds:uri="http://purl.org/dc/dcmitype/"/>
  </ds:schemaRefs>
</ds:datastoreItem>
</file>

<file path=customXml/itemProps4.xml><?xml version="1.0" encoding="utf-8"?>
<ds:datastoreItem xmlns:ds="http://schemas.openxmlformats.org/officeDocument/2006/customXml" ds:itemID="{71E7855D-161C-4009-AFA6-C6CDEF55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9673</Words>
  <Characters>54169</Characters>
  <Application>Microsoft Office Word</Application>
  <DocSecurity>4</DocSecurity>
  <Lines>873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Dodd</dc:creator>
  <cp:keywords/>
  <dc:description/>
  <cp:lastModifiedBy>Ciaran Burke</cp:lastModifiedBy>
  <cp:revision>2</cp:revision>
  <cp:lastPrinted>2018-06-15T10:56:00Z</cp:lastPrinted>
  <dcterms:created xsi:type="dcterms:W3CDTF">2019-10-24T15:06:00Z</dcterms:created>
  <dcterms:modified xsi:type="dcterms:W3CDTF">2019-10-24T15:06:00Z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Ref">
    <vt:lpwstr>https://api.informationprotection.azure.com/api/98f1bb3a-5efa-4782-88ba-bd897db60e62</vt:lpwstr>
  </property>
  <property fmtid="{D5CDD505-2E9C-101B-9397-08002B2CF9AE}" pid="5" name="MSIP_Label_b47d098f-2640-4837-b575-e0be04df0525_Owner">
    <vt:lpwstr>783994@derby.ac.uk</vt:lpwstr>
  </property>
  <property fmtid="{D5CDD505-2E9C-101B-9397-08002B2CF9AE}" pid="6" name="MSIP_Label_b47d098f-2640-4837-b575-e0be04df0525_SetDate">
    <vt:lpwstr>2018-03-12T16:35:19.5927742+00:00</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Ref">
    <vt:lpwstr>https://api.informationprotection.azure.com/api/98f1bb3a-5efa-4782-88ba-bd897db60e62</vt:lpwstr>
  </property>
  <property fmtid="{D5CDD505-2E9C-101B-9397-08002B2CF9AE}" pid="13" name="MSIP_Label_501a0944-9d81-4c75-b857-2ec7863455b7_Owner">
    <vt:lpwstr>783994@derby.ac.uk</vt:lpwstr>
  </property>
  <property fmtid="{D5CDD505-2E9C-101B-9397-08002B2CF9AE}" pid="14" name="MSIP_Label_501a0944-9d81-4c75-b857-2ec7863455b7_SetDate">
    <vt:lpwstr>2018-03-12T16:35:19.5937742+00:00</vt:lpwstr>
  </property>
  <property fmtid="{D5CDD505-2E9C-101B-9397-08002B2CF9AE}" pid="15" name="MSIP_Label_501a0944-9d81-4c75-b857-2ec7863455b7_Name">
    <vt:lpwstr>Internal with visible marking</vt:lpwstr>
  </property>
  <property fmtid="{D5CDD505-2E9C-101B-9397-08002B2CF9AE}" pid="16" name="MSIP_Label_501a0944-9d81-4c75-b857-2ec7863455b7_Application">
    <vt:lpwstr>Microsoft Azure Information Protection</vt:lpwstr>
  </property>
  <property fmtid="{D5CDD505-2E9C-101B-9397-08002B2CF9AE}" pid="17" name="MSIP_Label_501a0944-9d81-4c75-b857-2ec7863455b7_Extended_MSFT_Method">
    <vt:lpwstr>Automatic</vt:lpwstr>
  </property>
  <property fmtid="{D5CDD505-2E9C-101B-9397-08002B2CF9AE}" pid="18" name="MSIP_Label_501a0944-9d81-4c75-b857-2ec7863455b7_Parent">
    <vt:lpwstr>b47d098f-2640-4837-b575-e0be04df0525</vt:lpwstr>
  </property>
  <property fmtid="{D5CDD505-2E9C-101B-9397-08002B2CF9AE}" pid="19" name="Sensitivity">
    <vt:lpwstr>Internal Internal with visible marking</vt:lpwstr>
  </property>
  <property fmtid="{D5CDD505-2E9C-101B-9397-08002B2CF9AE}" pid="20" name="ContentTypeId">
    <vt:lpwstr>0x01010078489C2B03CC9B4B848357AD3FCA0F8D</vt:lpwstr>
  </property>
</Properties>
</file>