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B1B" w:rsidRPr="00890B1B" w:rsidRDefault="001F1B03" w:rsidP="00890B1B">
      <w:pPr>
        <w:spacing w:line="100" w:lineRule="atLeast"/>
        <w:ind w:left="720" w:right="720"/>
        <w:rPr>
          <w:rFonts w:asciiTheme="minorHAnsi" w:eastAsia="Times New Roman" w:hAnsiTheme="minorHAnsi" w:cs="font237"/>
          <w:b/>
          <w:sz w:val="24"/>
          <w:szCs w:val="24"/>
        </w:rPr>
      </w:pPr>
      <w:r>
        <w:rPr>
          <w:rFonts w:asciiTheme="minorHAnsi" w:eastAsia="Times New Roman" w:hAnsiTheme="minorHAnsi" w:cs="font237"/>
          <w:b/>
          <w:sz w:val="24"/>
          <w:szCs w:val="24"/>
        </w:rPr>
        <w:t>This is a</w:t>
      </w:r>
      <w:r w:rsidR="008768BF">
        <w:rPr>
          <w:rFonts w:asciiTheme="minorHAnsi" w:eastAsia="Times New Roman" w:hAnsiTheme="minorHAnsi" w:cs="font237"/>
          <w:b/>
          <w:sz w:val="24"/>
          <w:szCs w:val="24"/>
        </w:rPr>
        <w:t xml:space="preserve"> </w:t>
      </w:r>
      <w:bookmarkStart w:id="0" w:name="_GoBack"/>
      <w:bookmarkEnd w:id="0"/>
      <w:r>
        <w:rPr>
          <w:rFonts w:asciiTheme="minorHAnsi" w:eastAsia="Times New Roman" w:hAnsiTheme="minorHAnsi" w:cs="font237"/>
          <w:b/>
          <w:sz w:val="24"/>
          <w:szCs w:val="24"/>
        </w:rPr>
        <w:t>m</w:t>
      </w:r>
      <w:r w:rsidR="00890B1B" w:rsidRPr="00890B1B">
        <w:rPr>
          <w:rFonts w:asciiTheme="minorHAnsi" w:eastAsia="Times New Roman" w:hAnsiTheme="minorHAnsi" w:cs="font237"/>
          <w:b/>
          <w:sz w:val="24"/>
          <w:szCs w:val="24"/>
        </w:rPr>
        <w:t>anuscript of the following article published on 19 January 2018</w:t>
      </w:r>
    </w:p>
    <w:p w:rsidR="00890B1B" w:rsidRDefault="00890B1B" w:rsidP="00890B1B">
      <w:pPr>
        <w:spacing w:line="100" w:lineRule="atLeast"/>
        <w:ind w:right="720"/>
        <w:rPr>
          <w:rFonts w:asciiTheme="minorHAnsi" w:eastAsia="Times New Roman" w:hAnsiTheme="minorHAnsi" w:cs="font237"/>
          <w:b/>
          <w:sz w:val="24"/>
          <w:szCs w:val="24"/>
        </w:rPr>
      </w:pPr>
    </w:p>
    <w:p w:rsidR="00890B1B" w:rsidRPr="00890B1B" w:rsidRDefault="00890B1B" w:rsidP="00890B1B">
      <w:pPr>
        <w:spacing w:line="100" w:lineRule="atLeast"/>
        <w:ind w:left="720" w:right="720"/>
        <w:jc w:val="both"/>
        <w:rPr>
          <w:rFonts w:asciiTheme="minorHAnsi" w:eastAsia="Times New Roman" w:hAnsiTheme="minorHAnsi" w:cs="font237"/>
          <w:sz w:val="24"/>
          <w:szCs w:val="24"/>
        </w:rPr>
      </w:pPr>
      <w:proofErr w:type="spellStart"/>
      <w:r w:rsidRPr="00890B1B">
        <w:rPr>
          <w:rFonts w:asciiTheme="minorHAnsi" w:eastAsia="Times New Roman" w:hAnsiTheme="minorHAnsi" w:cs="font237"/>
          <w:sz w:val="24"/>
          <w:szCs w:val="24"/>
        </w:rPr>
        <w:t>Pınar</w:t>
      </w:r>
      <w:proofErr w:type="spellEnd"/>
      <w:r w:rsidRPr="00890B1B">
        <w:rPr>
          <w:rFonts w:asciiTheme="minorHAnsi" w:eastAsia="Times New Roman" w:hAnsiTheme="minorHAnsi" w:cs="font237"/>
          <w:sz w:val="24"/>
          <w:szCs w:val="24"/>
        </w:rPr>
        <w:t xml:space="preserve"> E. </w:t>
      </w:r>
      <w:proofErr w:type="spellStart"/>
      <w:r w:rsidRPr="00890B1B">
        <w:rPr>
          <w:rFonts w:asciiTheme="minorHAnsi" w:eastAsia="Times New Roman" w:hAnsiTheme="minorHAnsi" w:cs="font237"/>
          <w:sz w:val="24"/>
          <w:szCs w:val="24"/>
        </w:rPr>
        <w:t>Dönmez</w:t>
      </w:r>
      <w:proofErr w:type="spellEnd"/>
      <w:r w:rsidRPr="00890B1B">
        <w:rPr>
          <w:rFonts w:asciiTheme="minorHAnsi" w:eastAsia="Times New Roman" w:hAnsiTheme="minorHAnsi" w:cs="font237"/>
          <w:sz w:val="24"/>
          <w:szCs w:val="24"/>
        </w:rPr>
        <w:t xml:space="preserve"> &amp; Eva J. </w:t>
      </w:r>
      <w:proofErr w:type="spellStart"/>
      <w:r w:rsidRPr="00890B1B">
        <w:rPr>
          <w:rFonts w:asciiTheme="minorHAnsi" w:eastAsia="Times New Roman" w:hAnsiTheme="minorHAnsi" w:cs="font237"/>
          <w:sz w:val="24"/>
          <w:szCs w:val="24"/>
        </w:rPr>
        <w:t>Zemandl</w:t>
      </w:r>
      <w:proofErr w:type="spellEnd"/>
      <w:r w:rsidRPr="00890B1B">
        <w:rPr>
          <w:rFonts w:asciiTheme="minorHAnsi" w:eastAsia="Times New Roman" w:hAnsiTheme="minorHAnsi" w:cs="font237"/>
          <w:sz w:val="24"/>
          <w:szCs w:val="24"/>
        </w:rPr>
        <w:t xml:space="preserve"> (2018): Crisis of Capitalism and </w:t>
      </w:r>
      <w:r>
        <w:rPr>
          <w:rFonts w:asciiTheme="minorHAnsi" w:eastAsia="Times New Roman" w:hAnsiTheme="minorHAnsi" w:cs="font237"/>
          <w:sz w:val="24"/>
          <w:szCs w:val="24"/>
        </w:rPr>
        <w:t>(De</w:t>
      </w:r>
      <w:r w:rsidRPr="00890B1B">
        <w:rPr>
          <w:rFonts w:asciiTheme="minorHAnsi" w:eastAsia="Times New Roman" w:hAnsiTheme="minorHAnsi" w:cs="font237"/>
          <w:sz w:val="24"/>
          <w:szCs w:val="24"/>
        </w:rPr>
        <w:t>)</w:t>
      </w:r>
      <w:r>
        <w:rPr>
          <w:rFonts w:asciiTheme="minorHAnsi" w:eastAsia="Times New Roman" w:hAnsiTheme="minorHAnsi" w:cs="font237"/>
          <w:sz w:val="24"/>
          <w:szCs w:val="24"/>
        </w:rPr>
        <w:t xml:space="preserve"> </w:t>
      </w:r>
      <w:proofErr w:type="spellStart"/>
      <w:r w:rsidRPr="00890B1B">
        <w:rPr>
          <w:rFonts w:asciiTheme="minorHAnsi" w:eastAsia="Times New Roman" w:hAnsiTheme="minorHAnsi" w:cs="font237"/>
          <w:sz w:val="24"/>
          <w:szCs w:val="24"/>
        </w:rPr>
        <w:t>Politicisation</w:t>
      </w:r>
      <w:proofErr w:type="spellEnd"/>
      <w:r w:rsidRPr="00890B1B">
        <w:rPr>
          <w:rFonts w:asciiTheme="minorHAnsi" w:eastAsia="Times New Roman" w:hAnsiTheme="minorHAnsi" w:cs="font237"/>
          <w:sz w:val="24"/>
          <w:szCs w:val="24"/>
        </w:rPr>
        <w:t xml:space="preserve"> of Monetary Policymaking: Reflections from Hungary and Turkey, New Political Economy, 24:1, 125-143</w:t>
      </w:r>
      <w:r>
        <w:rPr>
          <w:rFonts w:asciiTheme="minorHAnsi" w:eastAsia="Times New Roman" w:hAnsiTheme="minorHAnsi" w:cs="font237"/>
          <w:sz w:val="24"/>
          <w:szCs w:val="24"/>
        </w:rPr>
        <w:t>,</w:t>
      </w:r>
      <w:r w:rsidRPr="00890B1B">
        <w:t xml:space="preserve"> </w:t>
      </w:r>
      <w:r w:rsidRPr="00890B1B">
        <w:rPr>
          <w:rFonts w:asciiTheme="minorHAnsi" w:eastAsia="Times New Roman" w:hAnsiTheme="minorHAnsi" w:cs="font237"/>
          <w:sz w:val="24"/>
          <w:szCs w:val="24"/>
        </w:rPr>
        <w:t xml:space="preserve">available online: </w:t>
      </w:r>
      <w:hyperlink r:id="rId8" w:history="1">
        <w:r w:rsidRPr="00364C71">
          <w:rPr>
            <w:rStyle w:val="Hyperlink"/>
            <w:rFonts w:asciiTheme="minorHAnsi" w:eastAsia="Times New Roman" w:hAnsiTheme="minorHAnsi" w:cs="font237"/>
            <w:sz w:val="24"/>
            <w:szCs w:val="24"/>
          </w:rPr>
          <w:t>https://www.tandfonline.com/doi/full/10.1080/13563467.2017.1421624</w:t>
        </w:r>
      </w:hyperlink>
      <w:r>
        <w:rPr>
          <w:rFonts w:asciiTheme="minorHAnsi" w:eastAsia="Times New Roman" w:hAnsiTheme="minorHAnsi" w:cs="font237"/>
          <w:sz w:val="24"/>
          <w:szCs w:val="24"/>
        </w:rPr>
        <w:t xml:space="preserve"> </w:t>
      </w:r>
    </w:p>
    <w:p w:rsidR="00890B1B" w:rsidRDefault="00890B1B" w:rsidP="00890B1B">
      <w:pPr>
        <w:spacing w:line="100" w:lineRule="atLeast"/>
        <w:ind w:left="720" w:right="720"/>
        <w:jc w:val="center"/>
        <w:rPr>
          <w:rFonts w:asciiTheme="minorHAnsi" w:eastAsia="Times New Roman" w:hAnsiTheme="minorHAnsi" w:cs="font237"/>
          <w:b/>
          <w:sz w:val="24"/>
          <w:szCs w:val="24"/>
        </w:rPr>
      </w:pPr>
    </w:p>
    <w:p w:rsidR="00890B1B" w:rsidRDefault="00890B1B" w:rsidP="0079076D">
      <w:pPr>
        <w:spacing w:line="100" w:lineRule="atLeast"/>
        <w:ind w:left="720" w:right="720"/>
        <w:jc w:val="center"/>
        <w:rPr>
          <w:rFonts w:asciiTheme="minorHAnsi" w:eastAsia="Times New Roman" w:hAnsiTheme="minorHAnsi" w:cs="font237"/>
          <w:b/>
          <w:sz w:val="24"/>
          <w:szCs w:val="24"/>
        </w:rPr>
      </w:pPr>
    </w:p>
    <w:p w:rsidR="00C732A7" w:rsidRDefault="0042022C" w:rsidP="0079076D">
      <w:pPr>
        <w:spacing w:line="100" w:lineRule="atLeast"/>
        <w:ind w:left="720" w:right="720"/>
        <w:jc w:val="center"/>
        <w:rPr>
          <w:rFonts w:asciiTheme="minorHAnsi" w:eastAsia="Times New Roman" w:hAnsiTheme="minorHAnsi" w:cs="font237"/>
          <w:b/>
          <w:sz w:val="24"/>
          <w:szCs w:val="24"/>
        </w:rPr>
      </w:pPr>
      <w:r>
        <w:rPr>
          <w:rFonts w:asciiTheme="minorHAnsi" w:eastAsia="Times New Roman" w:hAnsiTheme="minorHAnsi" w:cs="font237"/>
          <w:b/>
          <w:sz w:val="24"/>
          <w:szCs w:val="24"/>
        </w:rPr>
        <w:t>Crisis of Capitalism and (De-)</w:t>
      </w:r>
      <w:proofErr w:type="spellStart"/>
      <w:r w:rsidR="00012425" w:rsidRPr="006931E8">
        <w:rPr>
          <w:rFonts w:asciiTheme="minorHAnsi" w:eastAsia="Times New Roman" w:hAnsiTheme="minorHAnsi" w:cs="font237"/>
          <w:b/>
          <w:sz w:val="24"/>
          <w:szCs w:val="24"/>
        </w:rPr>
        <w:t>P</w:t>
      </w:r>
      <w:r w:rsidR="00EF3A12" w:rsidRPr="006931E8">
        <w:rPr>
          <w:rFonts w:asciiTheme="minorHAnsi" w:eastAsia="Times New Roman" w:hAnsiTheme="minorHAnsi" w:cs="font237"/>
          <w:b/>
          <w:sz w:val="24"/>
          <w:szCs w:val="24"/>
        </w:rPr>
        <w:t>oliticisation</w:t>
      </w:r>
      <w:proofErr w:type="spellEnd"/>
      <w:r w:rsidR="0000432B">
        <w:rPr>
          <w:rFonts w:asciiTheme="minorHAnsi" w:eastAsia="Times New Roman" w:hAnsiTheme="minorHAnsi" w:cs="font237"/>
          <w:b/>
          <w:sz w:val="24"/>
          <w:szCs w:val="24"/>
        </w:rPr>
        <w:t xml:space="preserve"> </w:t>
      </w:r>
      <w:r w:rsidR="00EF3A12" w:rsidRPr="006931E8">
        <w:rPr>
          <w:rFonts w:asciiTheme="minorHAnsi" w:eastAsia="Times New Roman" w:hAnsiTheme="minorHAnsi" w:cs="font237"/>
          <w:b/>
          <w:sz w:val="24"/>
          <w:szCs w:val="24"/>
        </w:rPr>
        <w:t xml:space="preserve">of </w:t>
      </w:r>
      <w:r w:rsidR="006965CD" w:rsidRPr="006931E8">
        <w:rPr>
          <w:rFonts w:asciiTheme="minorHAnsi" w:eastAsia="Times New Roman" w:hAnsiTheme="minorHAnsi" w:cs="font237"/>
          <w:b/>
          <w:sz w:val="24"/>
          <w:szCs w:val="24"/>
        </w:rPr>
        <w:t>M</w:t>
      </w:r>
      <w:r w:rsidR="005D610E" w:rsidRPr="006931E8">
        <w:rPr>
          <w:rFonts w:asciiTheme="minorHAnsi" w:eastAsia="Times New Roman" w:hAnsiTheme="minorHAnsi" w:cs="font237"/>
          <w:b/>
          <w:sz w:val="24"/>
          <w:szCs w:val="24"/>
        </w:rPr>
        <w:t xml:space="preserve">onetary </w:t>
      </w:r>
      <w:r w:rsidR="006965CD" w:rsidRPr="006931E8">
        <w:rPr>
          <w:rFonts w:asciiTheme="minorHAnsi" w:eastAsia="Times New Roman" w:hAnsiTheme="minorHAnsi" w:cs="font237"/>
          <w:b/>
          <w:sz w:val="24"/>
          <w:szCs w:val="24"/>
        </w:rPr>
        <w:t>P</w:t>
      </w:r>
      <w:r w:rsidR="001A3159" w:rsidRPr="006931E8">
        <w:rPr>
          <w:rFonts w:asciiTheme="minorHAnsi" w:eastAsia="Times New Roman" w:hAnsiTheme="minorHAnsi" w:cs="font237"/>
          <w:b/>
          <w:sz w:val="24"/>
          <w:szCs w:val="24"/>
        </w:rPr>
        <w:t>olicy</w:t>
      </w:r>
      <w:r>
        <w:rPr>
          <w:rFonts w:asciiTheme="minorHAnsi" w:eastAsia="Times New Roman" w:hAnsiTheme="minorHAnsi" w:cs="font237"/>
          <w:b/>
          <w:sz w:val="24"/>
          <w:szCs w:val="24"/>
        </w:rPr>
        <w:t>making</w:t>
      </w:r>
      <w:r w:rsidR="001A3159" w:rsidRPr="006931E8">
        <w:rPr>
          <w:rFonts w:asciiTheme="minorHAnsi" w:eastAsia="Times New Roman" w:hAnsiTheme="minorHAnsi" w:cs="font237"/>
          <w:b/>
          <w:sz w:val="24"/>
          <w:szCs w:val="24"/>
        </w:rPr>
        <w:t xml:space="preserve">: Reflections from </w:t>
      </w:r>
      <w:r w:rsidR="00EF3A12" w:rsidRPr="006931E8">
        <w:rPr>
          <w:rFonts w:asciiTheme="minorHAnsi" w:eastAsia="Times New Roman" w:hAnsiTheme="minorHAnsi" w:cs="font237"/>
          <w:b/>
          <w:sz w:val="24"/>
          <w:szCs w:val="24"/>
        </w:rPr>
        <w:t>Hungary and Turkey</w:t>
      </w:r>
      <w:r w:rsidR="0065192D">
        <w:rPr>
          <w:rFonts w:asciiTheme="minorHAnsi" w:eastAsia="Times New Roman" w:hAnsiTheme="minorHAnsi" w:cs="font237"/>
          <w:b/>
          <w:sz w:val="24"/>
          <w:szCs w:val="24"/>
        </w:rPr>
        <w:t>*</w:t>
      </w:r>
    </w:p>
    <w:p w:rsidR="006767A3" w:rsidRPr="006931E8" w:rsidRDefault="006767A3" w:rsidP="0079076D">
      <w:pPr>
        <w:spacing w:line="100" w:lineRule="atLeast"/>
        <w:ind w:left="720" w:right="720"/>
        <w:jc w:val="both"/>
        <w:rPr>
          <w:rFonts w:asciiTheme="minorHAnsi" w:hAnsiTheme="minorHAnsi"/>
          <w:sz w:val="24"/>
          <w:szCs w:val="24"/>
        </w:rPr>
      </w:pPr>
    </w:p>
    <w:p w:rsidR="00B61018" w:rsidRPr="006931E8" w:rsidRDefault="00B61018" w:rsidP="0079076D">
      <w:pPr>
        <w:spacing w:line="100" w:lineRule="atLeast"/>
        <w:ind w:left="720" w:right="720"/>
        <w:jc w:val="both"/>
        <w:rPr>
          <w:rFonts w:asciiTheme="minorHAnsi" w:hAnsiTheme="minorHAnsi"/>
          <w:b/>
          <w:sz w:val="24"/>
          <w:szCs w:val="24"/>
        </w:rPr>
      </w:pPr>
      <w:r w:rsidRPr="006931E8">
        <w:rPr>
          <w:rFonts w:asciiTheme="minorHAnsi" w:hAnsiTheme="minorHAnsi"/>
          <w:b/>
          <w:sz w:val="24"/>
          <w:szCs w:val="24"/>
        </w:rPr>
        <w:t>Introduction</w:t>
      </w:r>
    </w:p>
    <w:p w:rsidR="00514438" w:rsidRDefault="0067704E" w:rsidP="0079076D">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The technocratic </w:t>
      </w:r>
      <w:r w:rsidR="00C732A7" w:rsidRPr="006931E8">
        <w:rPr>
          <w:rFonts w:asciiTheme="minorHAnsi" w:hAnsiTheme="minorHAnsi"/>
          <w:sz w:val="24"/>
          <w:szCs w:val="24"/>
        </w:rPr>
        <w:t>management of money</w:t>
      </w:r>
      <w:r w:rsidR="00A2100D" w:rsidRPr="006931E8">
        <w:rPr>
          <w:rFonts w:asciiTheme="minorHAnsi" w:hAnsiTheme="minorHAnsi"/>
          <w:sz w:val="24"/>
          <w:szCs w:val="24"/>
        </w:rPr>
        <w:t>—</w:t>
      </w:r>
      <w:r w:rsidR="00C732A7" w:rsidRPr="006931E8">
        <w:rPr>
          <w:rFonts w:asciiTheme="minorHAnsi" w:hAnsiTheme="minorHAnsi"/>
          <w:sz w:val="24"/>
          <w:szCs w:val="24"/>
        </w:rPr>
        <w:t>embodied in the practices of central banks</w:t>
      </w:r>
      <w:r w:rsidR="00A2100D" w:rsidRPr="006931E8">
        <w:rPr>
          <w:rFonts w:asciiTheme="minorHAnsi" w:hAnsiTheme="minorHAnsi"/>
          <w:sz w:val="24"/>
          <w:szCs w:val="24"/>
        </w:rPr>
        <w:t>—</w:t>
      </w:r>
      <w:r w:rsidR="0042022C">
        <w:rPr>
          <w:rFonts w:asciiTheme="minorHAnsi" w:hAnsiTheme="minorHAnsi"/>
          <w:sz w:val="24"/>
          <w:szCs w:val="24"/>
        </w:rPr>
        <w:t xml:space="preserve"> has </w:t>
      </w:r>
      <w:r w:rsidR="00954C45">
        <w:rPr>
          <w:rFonts w:asciiTheme="minorHAnsi" w:hAnsiTheme="minorHAnsi"/>
          <w:sz w:val="24"/>
          <w:szCs w:val="24"/>
        </w:rPr>
        <w:t xml:space="preserve">long </w:t>
      </w:r>
      <w:r w:rsidR="0042022C">
        <w:rPr>
          <w:rFonts w:asciiTheme="minorHAnsi" w:hAnsiTheme="minorHAnsi"/>
          <w:sz w:val="24"/>
          <w:szCs w:val="24"/>
        </w:rPr>
        <w:t>been</w:t>
      </w:r>
      <w:r w:rsidR="00AC482E">
        <w:rPr>
          <w:rFonts w:asciiTheme="minorHAnsi" w:hAnsiTheme="minorHAnsi"/>
          <w:sz w:val="24"/>
          <w:szCs w:val="24"/>
        </w:rPr>
        <w:t xml:space="preserve"> </w:t>
      </w:r>
      <w:r w:rsidR="00C732A7" w:rsidRPr="006931E8">
        <w:rPr>
          <w:rFonts w:asciiTheme="minorHAnsi" w:hAnsiTheme="minorHAnsi"/>
          <w:sz w:val="24"/>
          <w:szCs w:val="24"/>
        </w:rPr>
        <w:t>the underlying restructuring mechanism of national economies and polities</w:t>
      </w:r>
      <w:r w:rsidR="0042022C">
        <w:rPr>
          <w:rFonts w:asciiTheme="minorHAnsi" w:hAnsiTheme="minorHAnsi"/>
          <w:sz w:val="24"/>
          <w:szCs w:val="24"/>
        </w:rPr>
        <w:t xml:space="preserve"> </w:t>
      </w:r>
      <w:r w:rsidR="00954C45">
        <w:rPr>
          <w:rFonts w:asciiTheme="minorHAnsi" w:hAnsiTheme="minorHAnsi"/>
          <w:sz w:val="24"/>
          <w:szCs w:val="24"/>
        </w:rPr>
        <w:t>under capitalism</w:t>
      </w:r>
      <w:r w:rsidR="00C732A7" w:rsidRPr="006931E8">
        <w:rPr>
          <w:rFonts w:asciiTheme="minorHAnsi" w:hAnsiTheme="minorHAnsi"/>
          <w:sz w:val="24"/>
          <w:szCs w:val="24"/>
        </w:rPr>
        <w:t>.</w:t>
      </w:r>
      <w:r w:rsidR="00954C45">
        <w:rPr>
          <w:rFonts w:asciiTheme="minorHAnsi" w:hAnsiTheme="minorHAnsi"/>
          <w:sz w:val="24"/>
          <w:szCs w:val="24"/>
        </w:rPr>
        <w:t xml:space="preserve"> Monetary policy</w:t>
      </w:r>
      <w:r w:rsidR="00954C45" w:rsidRPr="006931E8">
        <w:rPr>
          <w:rFonts w:asciiTheme="minorHAnsi" w:hAnsiTheme="minorHAnsi"/>
          <w:sz w:val="24"/>
          <w:szCs w:val="24"/>
        </w:rPr>
        <w:t xml:space="preserve"> </w:t>
      </w:r>
      <w:r w:rsidR="00A2100D" w:rsidRPr="006931E8">
        <w:rPr>
          <w:rFonts w:asciiTheme="minorHAnsi" w:hAnsiTheme="minorHAnsi"/>
          <w:sz w:val="24"/>
          <w:szCs w:val="24"/>
        </w:rPr>
        <w:t>has become an increasingly attractive tool for</w:t>
      </w:r>
      <w:r w:rsidRPr="006931E8">
        <w:rPr>
          <w:rFonts w:asciiTheme="minorHAnsi" w:hAnsiTheme="minorHAnsi"/>
          <w:sz w:val="24"/>
          <w:szCs w:val="24"/>
        </w:rPr>
        <w:t xml:space="preserve"> governments</w:t>
      </w:r>
      <w:r w:rsidR="00954C45">
        <w:rPr>
          <w:rFonts w:asciiTheme="minorHAnsi" w:hAnsiTheme="minorHAnsi"/>
          <w:sz w:val="24"/>
          <w:szCs w:val="24"/>
        </w:rPr>
        <w:t xml:space="preserve"> particularly</w:t>
      </w:r>
      <w:r w:rsidR="007E33B6" w:rsidRPr="006931E8">
        <w:rPr>
          <w:rFonts w:asciiTheme="minorHAnsi" w:hAnsiTheme="minorHAnsi"/>
          <w:sz w:val="24"/>
          <w:szCs w:val="24"/>
        </w:rPr>
        <w:t xml:space="preserve"> </w:t>
      </w:r>
      <w:r w:rsidR="00A2100D" w:rsidRPr="006931E8">
        <w:rPr>
          <w:rFonts w:asciiTheme="minorHAnsi" w:hAnsiTheme="minorHAnsi"/>
          <w:sz w:val="24"/>
          <w:szCs w:val="24"/>
        </w:rPr>
        <w:t xml:space="preserve">in the post-2008 </w:t>
      </w:r>
      <w:r w:rsidR="00954C45">
        <w:rPr>
          <w:rFonts w:asciiTheme="minorHAnsi" w:hAnsiTheme="minorHAnsi"/>
          <w:sz w:val="24"/>
          <w:szCs w:val="24"/>
        </w:rPr>
        <w:t>global crisis context</w:t>
      </w:r>
      <w:r w:rsidR="00A2100D" w:rsidRPr="006931E8">
        <w:rPr>
          <w:rFonts w:asciiTheme="minorHAnsi" w:hAnsiTheme="minorHAnsi"/>
          <w:sz w:val="24"/>
          <w:szCs w:val="24"/>
        </w:rPr>
        <w:t xml:space="preserve">. </w:t>
      </w:r>
      <w:r w:rsidR="008536DE" w:rsidRPr="006931E8">
        <w:rPr>
          <w:rFonts w:asciiTheme="minorHAnsi" w:hAnsiTheme="minorHAnsi"/>
          <w:sz w:val="24"/>
          <w:szCs w:val="24"/>
        </w:rPr>
        <w:t>Nowhere is this phenomenon perhaps more apparent than in Europe’s periphery</w:t>
      </w:r>
      <w:r w:rsidR="00674D0D">
        <w:rPr>
          <w:rFonts w:asciiTheme="minorHAnsi" w:hAnsiTheme="minorHAnsi"/>
          <w:sz w:val="24"/>
          <w:szCs w:val="24"/>
        </w:rPr>
        <w:t xml:space="preserve"> where </w:t>
      </w:r>
      <w:r w:rsidR="000D343C" w:rsidRPr="006931E8">
        <w:rPr>
          <w:rFonts w:asciiTheme="minorHAnsi" w:hAnsiTheme="minorHAnsi"/>
          <w:sz w:val="24"/>
          <w:szCs w:val="24"/>
        </w:rPr>
        <w:t>the sharpening and irresolvable contradictions of the global crisis of capitalism</w:t>
      </w:r>
      <w:r w:rsidR="0057068D" w:rsidRPr="006931E8">
        <w:rPr>
          <w:rFonts w:asciiTheme="minorHAnsi" w:hAnsiTheme="minorHAnsi"/>
          <w:sz w:val="24"/>
          <w:szCs w:val="24"/>
        </w:rPr>
        <w:t xml:space="preserve"> and democracy</w:t>
      </w:r>
      <w:r w:rsidR="00674D0D">
        <w:rPr>
          <w:rFonts w:asciiTheme="minorHAnsi" w:hAnsiTheme="minorHAnsi"/>
          <w:sz w:val="24"/>
          <w:szCs w:val="24"/>
        </w:rPr>
        <w:t xml:space="preserve"> manifest themselves more discernably</w:t>
      </w:r>
      <w:r w:rsidR="008536DE" w:rsidRPr="006931E8">
        <w:rPr>
          <w:rFonts w:asciiTheme="minorHAnsi" w:hAnsiTheme="minorHAnsi"/>
          <w:sz w:val="24"/>
          <w:szCs w:val="24"/>
        </w:rPr>
        <w:t>.</w:t>
      </w:r>
      <w:r w:rsidR="00BC554B" w:rsidRPr="006931E8">
        <w:rPr>
          <w:rFonts w:asciiTheme="minorHAnsi" w:hAnsiTheme="minorHAnsi"/>
          <w:sz w:val="24"/>
          <w:szCs w:val="24"/>
        </w:rPr>
        <w:t xml:space="preserve"> The cases of Hungary and Turkey are a case in point.</w:t>
      </w:r>
      <w:r w:rsidR="008536DE" w:rsidRPr="006931E8">
        <w:rPr>
          <w:rFonts w:asciiTheme="minorHAnsi" w:hAnsiTheme="minorHAnsi"/>
          <w:sz w:val="24"/>
          <w:szCs w:val="24"/>
        </w:rPr>
        <w:t xml:space="preserve"> Given this observation, this </w:t>
      </w:r>
      <w:r w:rsidR="004B02FA" w:rsidRPr="006931E8">
        <w:rPr>
          <w:rFonts w:asciiTheme="minorHAnsi" w:hAnsiTheme="minorHAnsi"/>
          <w:sz w:val="24"/>
          <w:szCs w:val="24"/>
        </w:rPr>
        <w:t xml:space="preserve">article </w:t>
      </w:r>
      <w:r w:rsidR="008536DE" w:rsidRPr="006931E8">
        <w:rPr>
          <w:rFonts w:asciiTheme="minorHAnsi" w:hAnsiTheme="minorHAnsi"/>
          <w:sz w:val="24"/>
          <w:szCs w:val="24"/>
        </w:rPr>
        <w:t>explores the question: how can we conceptualize the direction of monetary policy in the European periphery</w:t>
      </w:r>
      <w:r w:rsidR="00514438" w:rsidRPr="006931E8">
        <w:rPr>
          <w:rStyle w:val="EndnoteReference"/>
          <w:rFonts w:asciiTheme="minorHAnsi" w:hAnsiTheme="minorHAnsi"/>
          <w:sz w:val="24"/>
          <w:szCs w:val="24"/>
        </w:rPr>
        <w:endnoteReference w:id="1"/>
      </w:r>
      <w:r w:rsidR="00514438" w:rsidRPr="006931E8">
        <w:rPr>
          <w:rFonts w:asciiTheme="minorHAnsi" w:hAnsiTheme="minorHAnsi"/>
          <w:sz w:val="24"/>
          <w:szCs w:val="24"/>
        </w:rPr>
        <w:t xml:space="preserve"> in the post-2008 context? </w:t>
      </w:r>
    </w:p>
    <w:p w:rsidR="00415D9B" w:rsidRPr="006931E8" w:rsidRDefault="00415D9B" w:rsidP="0079076D">
      <w:pPr>
        <w:spacing w:line="100" w:lineRule="atLeast"/>
        <w:ind w:left="720" w:right="720"/>
        <w:jc w:val="both"/>
        <w:rPr>
          <w:rFonts w:asciiTheme="minorHAnsi" w:hAnsiTheme="minorHAnsi"/>
          <w:sz w:val="24"/>
          <w:szCs w:val="24"/>
        </w:rPr>
      </w:pPr>
    </w:p>
    <w:p w:rsidR="00514438" w:rsidRPr="006931E8" w:rsidRDefault="00514438" w:rsidP="000F4BEA">
      <w:pPr>
        <w:spacing w:line="100" w:lineRule="atLeast"/>
        <w:ind w:left="720" w:right="720"/>
        <w:jc w:val="both"/>
        <w:rPr>
          <w:rFonts w:asciiTheme="minorHAnsi" w:hAnsiTheme="minorHAnsi"/>
          <w:sz w:val="24"/>
          <w:szCs w:val="24"/>
        </w:rPr>
      </w:pPr>
      <w:r w:rsidRPr="006931E8">
        <w:rPr>
          <w:rFonts w:asciiTheme="minorHAnsi" w:hAnsiTheme="minorHAnsi"/>
          <w:sz w:val="24"/>
          <w:szCs w:val="24"/>
        </w:rPr>
        <w:t>We approach this</w:t>
      </w:r>
      <w:r w:rsidR="00954C45">
        <w:rPr>
          <w:rFonts w:asciiTheme="minorHAnsi" w:hAnsiTheme="minorHAnsi"/>
          <w:sz w:val="24"/>
          <w:szCs w:val="24"/>
        </w:rPr>
        <w:t xml:space="preserve"> question </w:t>
      </w:r>
      <w:r w:rsidRPr="006931E8">
        <w:rPr>
          <w:rFonts w:asciiTheme="minorHAnsi" w:hAnsiTheme="minorHAnsi"/>
          <w:sz w:val="24"/>
          <w:szCs w:val="24"/>
        </w:rPr>
        <w:t xml:space="preserve">from the perspective that </w:t>
      </w:r>
      <w:r w:rsidR="00954C45">
        <w:rPr>
          <w:rFonts w:asciiTheme="minorHAnsi" w:hAnsiTheme="minorHAnsi"/>
          <w:sz w:val="24"/>
          <w:szCs w:val="24"/>
        </w:rPr>
        <w:t>monetary policymaking</w:t>
      </w:r>
      <w:r w:rsidR="00954C45" w:rsidRPr="006931E8">
        <w:rPr>
          <w:rFonts w:asciiTheme="minorHAnsi" w:hAnsiTheme="minorHAnsi"/>
          <w:sz w:val="24"/>
          <w:szCs w:val="24"/>
        </w:rPr>
        <w:t xml:space="preserve"> </w:t>
      </w:r>
      <w:r w:rsidRPr="006931E8">
        <w:rPr>
          <w:rFonts w:asciiTheme="minorHAnsi" w:hAnsiTheme="minorHAnsi"/>
          <w:sz w:val="24"/>
          <w:szCs w:val="24"/>
        </w:rPr>
        <w:t xml:space="preserve">is fundamentally connected to the political domain and the totality of capitalist social relations. First, we propose to conceptualize the direction of monetary policy in Hungary and Turkey as a </w:t>
      </w:r>
      <w:r w:rsidRPr="006931E8">
        <w:rPr>
          <w:rFonts w:asciiTheme="minorHAnsi" w:hAnsiTheme="minorHAnsi"/>
          <w:i/>
          <w:sz w:val="24"/>
          <w:szCs w:val="24"/>
        </w:rPr>
        <w:t>process of (re)</w:t>
      </w:r>
      <w:proofErr w:type="spellStart"/>
      <w:r w:rsidRPr="006931E8">
        <w:rPr>
          <w:rFonts w:asciiTheme="minorHAnsi" w:hAnsiTheme="minorHAnsi"/>
          <w:i/>
          <w:sz w:val="24"/>
          <w:szCs w:val="24"/>
        </w:rPr>
        <w:t>politicisation</w:t>
      </w:r>
      <w:proofErr w:type="spellEnd"/>
      <w:r w:rsidRPr="006931E8">
        <w:rPr>
          <w:rFonts w:asciiTheme="minorHAnsi" w:hAnsiTheme="minorHAnsi"/>
          <w:sz w:val="24"/>
          <w:szCs w:val="24"/>
        </w:rPr>
        <w:t xml:space="preserve"> with a characteristically repressive drift.</w:t>
      </w:r>
      <w:r w:rsidR="00954C45">
        <w:rPr>
          <w:rFonts w:asciiTheme="minorHAnsi" w:hAnsiTheme="minorHAnsi"/>
          <w:sz w:val="24"/>
          <w:szCs w:val="24"/>
        </w:rPr>
        <w:t xml:space="preserve"> T</w:t>
      </w:r>
      <w:r w:rsidRPr="006931E8">
        <w:rPr>
          <w:rFonts w:asciiTheme="minorHAnsi" w:hAnsiTheme="minorHAnsi"/>
          <w:sz w:val="24"/>
          <w:szCs w:val="24"/>
        </w:rPr>
        <w:t>he constitutive elements of the political discourse throughout the late 2000s in both countries emphasize, on the one hand, the victimization of the countries under the neoliberal austerity prescriptions of global financial capital and its “foreign” representatives and “lobbies.” On the other</w:t>
      </w:r>
      <w:r w:rsidR="00D470AB">
        <w:rPr>
          <w:rFonts w:asciiTheme="minorHAnsi" w:hAnsiTheme="minorHAnsi"/>
          <w:sz w:val="24"/>
          <w:szCs w:val="24"/>
        </w:rPr>
        <w:t xml:space="preserve"> hand</w:t>
      </w:r>
      <w:r w:rsidRPr="006931E8">
        <w:rPr>
          <w:rFonts w:asciiTheme="minorHAnsi" w:hAnsiTheme="minorHAnsi"/>
          <w:sz w:val="24"/>
          <w:szCs w:val="24"/>
        </w:rPr>
        <w:t>, this discourse</w:t>
      </w:r>
      <w:r w:rsidR="00D470AB">
        <w:rPr>
          <w:rFonts w:asciiTheme="minorHAnsi" w:hAnsiTheme="minorHAnsi"/>
          <w:sz w:val="24"/>
          <w:szCs w:val="24"/>
        </w:rPr>
        <w:t xml:space="preserve"> </w:t>
      </w:r>
      <w:r w:rsidRPr="006931E8">
        <w:rPr>
          <w:rFonts w:asciiTheme="minorHAnsi" w:hAnsiTheme="minorHAnsi"/>
          <w:sz w:val="24"/>
          <w:szCs w:val="24"/>
        </w:rPr>
        <w:t>emphasizes so-called “illiberal” development strategies. In both countries, this right-wing nationalist discourse appeal</w:t>
      </w:r>
      <w:r w:rsidR="00D470AB">
        <w:rPr>
          <w:rFonts w:asciiTheme="minorHAnsi" w:hAnsiTheme="minorHAnsi"/>
          <w:sz w:val="24"/>
          <w:szCs w:val="24"/>
        </w:rPr>
        <w:t>s</w:t>
      </w:r>
      <w:r w:rsidRPr="006931E8">
        <w:rPr>
          <w:rFonts w:asciiTheme="minorHAnsi" w:hAnsiTheme="minorHAnsi"/>
          <w:sz w:val="24"/>
          <w:szCs w:val="24"/>
        </w:rPr>
        <w:t xml:space="preserve"> to wide swaths of the population comprising marginalized socio-economic groups</w:t>
      </w:r>
      <w:r>
        <w:rPr>
          <w:rFonts w:asciiTheme="minorHAnsi" w:hAnsiTheme="minorHAnsi"/>
          <w:sz w:val="24"/>
          <w:szCs w:val="24"/>
        </w:rPr>
        <w:t xml:space="preserve"> while preserving the capitalist status quo</w:t>
      </w:r>
      <w:r w:rsidRPr="006931E8">
        <w:rPr>
          <w:rFonts w:asciiTheme="minorHAnsi" w:hAnsiTheme="minorHAnsi"/>
          <w:sz w:val="24"/>
          <w:szCs w:val="24"/>
        </w:rPr>
        <w:t xml:space="preserve">. Second, the process of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has </w:t>
      </w:r>
      <w:r w:rsidRPr="006931E8">
        <w:rPr>
          <w:rFonts w:asciiTheme="minorHAnsi" w:hAnsiTheme="minorHAnsi"/>
          <w:i/>
          <w:sz w:val="24"/>
          <w:szCs w:val="24"/>
        </w:rPr>
        <w:t>diverged in both countries</w:t>
      </w:r>
      <w:r w:rsidRPr="006931E8">
        <w:rPr>
          <w:rFonts w:asciiTheme="minorHAnsi" w:hAnsiTheme="minorHAnsi"/>
          <w:sz w:val="24"/>
          <w:szCs w:val="24"/>
        </w:rPr>
        <w:t>. In the Hungar</w:t>
      </w:r>
      <w:r>
        <w:rPr>
          <w:rFonts w:asciiTheme="minorHAnsi" w:hAnsiTheme="minorHAnsi"/>
          <w:sz w:val="24"/>
          <w:szCs w:val="24"/>
        </w:rPr>
        <w:t>ian case</w:t>
      </w:r>
      <w:r w:rsidRPr="006931E8">
        <w:rPr>
          <w:rFonts w:asciiTheme="minorHAnsi" w:hAnsiTheme="minorHAnsi"/>
          <w:sz w:val="24"/>
          <w:szCs w:val="24"/>
        </w:rPr>
        <w:t>, we identify numerous strategies by the political executive to exercis</w:t>
      </w:r>
      <w:r>
        <w:rPr>
          <w:rFonts w:asciiTheme="minorHAnsi" w:hAnsiTheme="minorHAnsi"/>
          <w:sz w:val="24"/>
          <w:szCs w:val="24"/>
        </w:rPr>
        <w:t>e overt control over the management of money legally and institutionally</w:t>
      </w:r>
      <w:r w:rsidRPr="006931E8">
        <w:rPr>
          <w:rFonts w:asciiTheme="minorHAnsi" w:hAnsiTheme="minorHAnsi"/>
          <w:sz w:val="24"/>
          <w:szCs w:val="24"/>
        </w:rPr>
        <w:t xml:space="preserve">. In </w:t>
      </w:r>
      <w:r>
        <w:rPr>
          <w:rFonts w:asciiTheme="minorHAnsi" w:hAnsiTheme="minorHAnsi"/>
          <w:sz w:val="24"/>
          <w:szCs w:val="24"/>
        </w:rPr>
        <w:t>Turkey</w:t>
      </w:r>
      <w:r w:rsidRPr="006931E8">
        <w:rPr>
          <w:rFonts w:asciiTheme="minorHAnsi" w:hAnsiTheme="minorHAnsi"/>
          <w:sz w:val="24"/>
          <w:szCs w:val="24"/>
        </w:rPr>
        <w:t xml:space="preserve">, alongside the changing discourse, </w:t>
      </w:r>
      <w:r>
        <w:rPr>
          <w:rFonts w:asciiTheme="minorHAnsi" w:hAnsiTheme="minorHAnsi"/>
          <w:sz w:val="24"/>
          <w:szCs w:val="24"/>
        </w:rPr>
        <w:t xml:space="preserve">we observe a similar trajectory of governmental </w:t>
      </w:r>
      <w:proofErr w:type="spellStart"/>
      <w:r>
        <w:rPr>
          <w:rFonts w:asciiTheme="minorHAnsi" w:hAnsiTheme="minorHAnsi"/>
          <w:sz w:val="24"/>
          <w:szCs w:val="24"/>
        </w:rPr>
        <w:t>politicisation</w:t>
      </w:r>
      <w:proofErr w:type="spellEnd"/>
      <w:r>
        <w:rPr>
          <w:rFonts w:asciiTheme="minorHAnsi" w:hAnsiTheme="minorHAnsi"/>
          <w:sz w:val="24"/>
          <w:szCs w:val="24"/>
        </w:rPr>
        <w:t xml:space="preserve"> in other issue and policy areas</w:t>
      </w:r>
      <w:r w:rsidR="0042022C">
        <w:rPr>
          <w:rFonts w:asciiTheme="minorHAnsi" w:hAnsiTheme="minorHAnsi"/>
          <w:sz w:val="24"/>
          <w:szCs w:val="24"/>
        </w:rPr>
        <w:t xml:space="preserve"> alongside a</w:t>
      </w:r>
      <w:r w:rsidR="00D470AB">
        <w:rPr>
          <w:rFonts w:asciiTheme="minorHAnsi" w:hAnsiTheme="minorHAnsi"/>
          <w:sz w:val="24"/>
          <w:szCs w:val="24"/>
        </w:rPr>
        <w:t>n active and</w:t>
      </w:r>
      <w:r w:rsidR="0042022C">
        <w:rPr>
          <w:rFonts w:asciiTheme="minorHAnsi" w:hAnsiTheme="minorHAnsi"/>
          <w:sz w:val="24"/>
          <w:szCs w:val="24"/>
        </w:rPr>
        <w:t xml:space="preserve"> systematic repression of progressive, </w:t>
      </w:r>
      <w:r w:rsidR="00735368">
        <w:rPr>
          <w:rFonts w:asciiTheme="minorHAnsi" w:hAnsiTheme="minorHAnsi"/>
          <w:sz w:val="24"/>
          <w:szCs w:val="24"/>
        </w:rPr>
        <w:t xml:space="preserve">radical </w:t>
      </w:r>
      <w:r w:rsidR="0042022C">
        <w:rPr>
          <w:rFonts w:asciiTheme="minorHAnsi" w:hAnsiTheme="minorHAnsi"/>
          <w:sz w:val="24"/>
          <w:szCs w:val="24"/>
        </w:rPr>
        <w:t>left politicizations</w:t>
      </w:r>
      <w:r>
        <w:rPr>
          <w:rFonts w:asciiTheme="minorHAnsi" w:hAnsiTheme="minorHAnsi"/>
          <w:sz w:val="24"/>
          <w:szCs w:val="24"/>
        </w:rPr>
        <w:t xml:space="preserve">. </w:t>
      </w:r>
      <w:proofErr w:type="gramStart"/>
      <w:r>
        <w:rPr>
          <w:rFonts w:asciiTheme="minorHAnsi" w:hAnsiTheme="minorHAnsi"/>
          <w:sz w:val="24"/>
          <w:szCs w:val="24"/>
        </w:rPr>
        <w:t>However</w:t>
      </w:r>
      <w:proofErr w:type="gramEnd"/>
      <w:r>
        <w:rPr>
          <w:rFonts w:asciiTheme="minorHAnsi" w:hAnsiTheme="minorHAnsi"/>
          <w:sz w:val="24"/>
          <w:szCs w:val="24"/>
        </w:rPr>
        <w:t xml:space="preserve"> such a trend</w:t>
      </w:r>
      <w:r w:rsidR="00D470AB">
        <w:rPr>
          <w:rFonts w:asciiTheme="minorHAnsi" w:hAnsiTheme="minorHAnsi"/>
          <w:sz w:val="24"/>
          <w:szCs w:val="24"/>
        </w:rPr>
        <w:t xml:space="preserve"> in monetary policymaking</w:t>
      </w:r>
      <w:r>
        <w:rPr>
          <w:rFonts w:asciiTheme="minorHAnsi" w:hAnsiTheme="minorHAnsi"/>
          <w:sz w:val="24"/>
          <w:szCs w:val="24"/>
        </w:rPr>
        <w:t xml:space="preserve"> has not been as </w:t>
      </w:r>
      <w:r w:rsidRPr="00357768">
        <w:rPr>
          <w:rFonts w:asciiTheme="minorHAnsi" w:hAnsiTheme="minorHAnsi"/>
          <w:i/>
          <w:sz w:val="24"/>
          <w:szCs w:val="24"/>
        </w:rPr>
        <w:t>visible</w:t>
      </w:r>
      <w:r>
        <w:rPr>
          <w:rFonts w:asciiTheme="minorHAnsi" w:hAnsiTheme="minorHAnsi"/>
          <w:sz w:val="24"/>
          <w:szCs w:val="24"/>
        </w:rPr>
        <w:t xml:space="preserve"> in </w:t>
      </w:r>
      <w:r w:rsidR="00D470AB">
        <w:rPr>
          <w:rFonts w:asciiTheme="minorHAnsi" w:hAnsiTheme="minorHAnsi"/>
          <w:sz w:val="24"/>
          <w:szCs w:val="24"/>
        </w:rPr>
        <w:t xml:space="preserve">Turkey </w:t>
      </w:r>
      <w:r>
        <w:rPr>
          <w:rFonts w:asciiTheme="minorHAnsi" w:hAnsiTheme="minorHAnsi"/>
          <w:sz w:val="24"/>
          <w:szCs w:val="24"/>
        </w:rPr>
        <w:t>as in the Hungarian case until recently</w:t>
      </w:r>
      <w:r w:rsidR="00C128C0">
        <w:rPr>
          <w:rFonts w:asciiTheme="minorHAnsi" w:hAnsiTheme="minorHAnsi"/>
          <w:sz w:val="24"/>
          <w:szCs w:val="24"/>
        </w:rPr>
        <w:t xml:space="preserve">. </w:t>
      </w:r>
      <w:r w:rsidR="0042022C">
        <w:rPr>
          <w:rFonts w:asciiTheme="minorHAnsi" w:hAnsiTheme="minorHAnsi"/>
          <w:sz w:val="24"/>
          <w:szCs w:val="24"/>
        </w:rPr>
        <w:t>Nevertheless</w:t>
      </w:r>
      <w:r w:rsidR="004B0FFD">
        <w:rPr>
          <w:rFonts w:asciiTheme="minorHAnsi" w:hAnsiTheme="minorHAnsi"/>
          <w:sz w:val="24"/>
          <w:szCs w:val="24"/>
        </w:rPr>
        <w:t>, the</w:t>
      </w:r>
      <w:r w:rsidR="00C128C0" w:rsidRPr="00C128C0">
        <w:rPr>
          <w:rFonts w:asciiTheme="minorHAnsi" w:hAnsiTheme="minorHAnsi"/>
          <w:sz w:val="24"/>
          <w:szCs w:val="24"/>
        </w:rPr>
        <w:t xml:space="preserve"> lack of visibility does not mean such governmental </w:t>
      </w:r>
      <w:proofErr w:type="spellStart"/>
      <w:r w:rsidR="00C128C0" w:rsidRPr="00C128C0">
        <w:rPr>
          <w:rFonts w:asciiTheme="minorHAnsi" w:hAnsiTheme="minorHAnsi"/>
          <w:sz w:val="24"/>
          <w:szCs w:val="24"/>
        </w:rPr>
        <w:t>politicising</w:t>
      </w:r>
      <w:proofErr w:type="spellEnd"/>
      <w:r w:rsidR="00C128C0" w:rsidRPr="00C128C0">
        <w:rPr>
          <w:rFonts w:asciiTheme="minorHAnsi" w:hAnsiTheme="minorHAnsi"/>
          <w:sz w:val="24"/>
          <w:szCs w:val="24"/>
        </w:rPr>
        <w:t xml:space="preserve"> efforts have not taken plac</w:t>
      </w:r>
      <w:r w:rsidR="00C128C0">
        <w:rPr>
          <w:rFonts w:asciiTheme="minorHAnsi" w:hAnsiTheme="minorHAnsi"/>
          <w:sz w:val="24"/>
          <w:szCs w:val="24"/>
        </w:rPr>
        <w:t>e in Turkey</w:t>
      </w:r>
      <w:r>
        <w:rPr>
          <w:rStyle w:val="EndnoteReference"/>
          <w:rFonts w:asciiTheme="minorHAnsi" w:hAnsiTheme="minorHAnsi"/>
          <w:sz w:val="24"/>
          <w:szCs w:val="24"/>
        </w:rPr>
        <w:endnoteReference w:id="2"/>
      </w:r>
      <w:r>
        <w:rPr>
          <w:rFonts w:asciiTheme="minorHAnsi" w:hAnsiTheme="minorHAnsi"/>
          <w:sz w:val="24"/>
          <w:szCs w:val="24"/>
        </w:rPr>
        <w:t>.</w:t>
      </w:r>
      <w:r w:rsidRPr="006931E8">
        <w:rPr>
          <w:rFonts w:asciiTheme="minorHAnsi" w:hAnsiTheme="minorHAnsi"/>
          <w:sz w:val="24"/>
          <w:szCs w:val="24"/>
        </w:rPr>
        <w:t xml:space="preserve"> Third, our exploratory research </w:t>
      </w:r>
      <w:r w:rsidRPr="006931E8">
        <w:rPr>
          <w:rFonts w:asciiTheme="minorHAnsi" w:hAnsiTheme="minorHAnsi"/>
          <w:sz w:val="24"/>
          <w:szCs w:val="24"/>
        </w:rPr>
        <w:lastRenderedPageBreak/>
        <w:t xml:space="preserve">highlights the importance of understanding the processes and goals of both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and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on the one hand, and their (un)intended consequences, on the other. This is possible if we have a contextual understanding of these processes linked to the historical specificity of capitalist</w:t>
      </w:r>
      <w:r w:rsidR="00735368">
        <w:rPr>
          <w:rFonts w:asciiTheme="minorHAnsi" w:hAnsiTheme="minorHAnsi"/>
          <w:sz w:val="24"/>
          <w:szCs w:val="24"/>
        </w:rPr>
        <w:t xml:space="preserve"> </w:t>
      </w:r>
      <w:r w:rsidRPr="006931E8">
        <w:rPr>
          <w:rFonts w:asciiTheme="minorHAnsi" w:hAnsiTheme="minorHAnsi"/>
          <w:sz w:val="24"/>
          <w:szCs w:val="24"/>
        </w:rPr>
        <w:t xml:space="preserve">social relations, state-form and modes of governance in each country. </w:t>
      </w:r>
      <w:r w:rsidR="00D470AB">
        <w:rPr>
          <w:rFonts w:asciiTheme="minorHAnsi" w:hAnsiTheme="minorHAnsi"/>
          <w:sz w:val="24"/>
          <w:szCs w:val="24"/>
        </w:rPr>
        <w:t>S</w:t>
      </w:r>
      <w:r w:rsidRPr="006931E8">
        <w:rPr>
          <w:rFonts w:asciiTheme="minorHAnsi" w:hAnsiTheme="minorHAnsi"/>
          <w:sz w:val="24"/>
          <w:szCs w:val="24"/>
        </w:rPr>
        <w:t>uch a stance allows for a two-layered critique of the so-called “orthodox” and “unorthodox” economic policies of the capitalist states without presenting one as an alternative to the other.</w:t>
      </w:r>
    </w:p>
    <w:p w:rsidR="00735368" w:rsidRDefault="00514438" w:rsidP="000F4BEA">
      <w:pPr>
        <w:autoSpaceDE w:val="0"/>
        <w:autoSpaceDN w:val="0"/>
        <w:adjustRightInd w:val="0"/>
        <w:ind w:left="720" w:right="720"/>
        <w:jc w:val="both"/>
        <w:rPr>
          <w:rFonts w:asciiTheme="minorHAnsi" w:hAnsiTheme="minorHAnsi"/>
          <w:sz w:val="24"/>
          <w:szCs w:val="24"/>
        </w:rPr>
      </w:pPr>
      <w:r w:rsidRPr="006931E8">
        <w:rPr>
          <w:rFonts w:asciiTheme="minorHAnsi" w:hAnsiTheme="minorHAnsi"/>
          <w:sz w:val="24"/>
          <w:szCs w:val="24"/>
        </w:rPr>
        <w:t>The mainstream scholarship on central bank independence and independent regulatory agencies have long tended to assert the innate effectiveness of distancing decision making mechanisms from elected officials and politicians</w:t>
      </w:r>
      <w:r w:rsidR="00B640E7">
        <w:rPr>
          <w:rFonts w:asciiTheme="minorHAnsi" w:hAnsiTheme="minorHAnsi"/>
          <w:sz w:val="24"/>
          <w:szCs w:val="24"/>
        </w:rPr>
        <w:t xml:space="preserve"> </w:t>
      </w:r>
      <w:r w:rsidRPr="006931E8">
        <w:rPr>
          <w:rFonts w:asciiTheme="minorHAnsi" w:hAnsiTheme="minorHAnsi"/>
          <w:sz w:val="24"/>
          <w:szCs w:val="24"/>
        </w:rPr>
        <w:t xml:space="preserve">due to </w:t>
      </w:r>
      <w:proofErr w:type="gramStart"/>
      <w:r w:rsidR="00B640E7">
        <w:rPr>
          <w:rFonts w:asciiTheme="minorHAnsi" w:hAnsiTheme="minorHAnsi"/>
          <w:sz w:val="24"/>
          <w:szCs w:val="24"/>
        </w:rPr>
        <w:t>latter’s</w:t>
      </w:r>
      <w:proofErr w:type="gramEnd"/>
      <w:r w:rsidR="00B640E7">
        <w:rPr>
          <w:rFonts w:asciiTheme="minorHAnsi" w:hAnsiTheme="minorHAnsi"/>
          <w:sz w:val="24"/>
          <w:szCs w:val="24"/>
        </w:rPr>
        <w:t xml:space="preserve"> </w:t>
      </w:r>
      <w:r w:rsidRPr="006931E8">
        <w:rPr>
          <w:rFonts w:asciiTheme="minorHAnsi" w:hAnsiTheme="minorHAnsi"/>
          <w:sz w:val="24"/>
          <w:szCs w:val="24"/>
        </w:rPr>
        <w:t xml:space="preserve">presumed </w:t>
      </w:r>
      <w:proofErr w:type="spellStart"/>
      <w:r w:rsidRPr="006931E8">
        <w:rPr>
          <w:rFonts w:asciiTheme="minorHAnsi" w:hAnsiTheme="minorHAnsi"/>
          <w:sz w:val="24"/>
          <w:szCs w:val="24"/>
        </w:rPr>
        <w:t>clientalistic</w:t>
      </w:r>
      <w:proofErr w:type="spellEnd"/>
      <w:r w:rsidRPr="006931E8">
        <w:rPr>
          <w:rFonts w:asciiTheme="minorHAnsi" w:hAnsiTheme="minorHAnsi"/>
          <w:sz w:val="24"/>
          <w:szCs w:val="24"/>
        </w:rPr>
        <w:t>, populist and corruptive tendencies (</w:t>
      </w:r>
      <w:proofErr w:type="spellStart"/>
      <w:r w:rsidRPr="006931E8">
        <w:rPr>
          <w:rFonts w:asciiTheme="minorHAnsi" w:hAnsiTheme="minorHAnsi"/>
          <w:sz w:val="24"/>
          <w:szCs w:val="24"/>
        </w:rPr>
        <w:t>Kydland</w:t>
      </w:r>
      <w:proofErr w:type="spellEnd"/>
      <w:r w:rsidRPr="006931E8">
        <w:rPr>
          <w:rFonts w:asciiTheme="minorHAnsi" w:hAnsiTheme="minorHAnsi"/>
          <w:sz w:val="24"/>
          <w:szCs w:val="24"/>
        </w:rPr>
        <w:t xml:space="preserve"> and Prescott, 1977, Barro and Gordon, 1983; Cukierman, 1992). These approaches </w:t>
      </w:r>
      <w:r>
        <w:rPr>
          <w:rFonts w:asciiTheme="minorHAnsi" w:hAnsiTheme="minorHAnsi"/>
          <w:sz w:val="24"/>
          <w:szCs w:val="24"/>
        </w:rPr>
        <w:t xml:space="preserve">can provide insights </w:t>
      </w:r>
      <w:r w:rsidRPr="006931E8">
        <w:rPr>
          <w:rFonts w:asciiTheme="minorHAnsi" w:hAnsiTheme="minorHAnsi"/>
          <w:sz w:val="24"/>
          <w:szCs w:val="24"/>
        </w:rPr>
        <w:t>in</w:t>
      </w:r>
      <w:r>
        <w:rPr>
          <w:rFonts w:asciiTheme="minorHAnsi" w:hAnsiTheme="minorHAnsi"/>
          <w:sz w:val="24"/>
          <w:szCs w:val="24"/>
        </w:rPr>
        <w:t>to</w:t>
      </w:r>
      <w:r w:rsidRPr="006931E8">
        <w:rPr>
          <w:rFonts w:asciiTheme="minorHAnsi" w:hAnsiTheme="minorHAnsi"/>
          <w:sz w:val="24"/>
          <w:szCs w:val="24"/>
        </w:rPr>
        <w:t xml:space="preserve"> investigating the particular relations between elected and appointed state managers and address the aforementioned </w:t>
      </w:r>
      <w:r w:rsidRPr="00B640E7">
        <w:rPr>
          <w:rFonts w:asciiTheme="minorHAnsi" w:hAnsiTheme="minorHAnsi"/>
          <w:i/>
          <w:sz w:val="24"/>
          <w:szCs w:val="24"/>
        </w:rPr>
        <w:t>symptoms</w:t>
      </w:r>
      <w:r w:rsidRPr="006931E8">
        <w:rPr>
          <w:rFonts w:asciiTheme="minorHAnsi" w:hAnsiTheme="minorHAnsi"/>
          <w:sz w:val="24"/>
          <w:szCs w:val="24"/>
        </w:rPr>
        <w:t xml:space="preserve"> of </w:t>
      </w:r>
      <w:proofErr w:type="spellStart"/>
      <w:r w:rsidRPr="006931E8">
        <w:rPr>
          <w:rFonts w:asciiTheme="minorHAnsi" w:hAnsiTheme="minorHAnsi"/>
          <w:sz w:val="24"/>
          <w:szCs w:val="24"/>
        </w:rPr>
        <w:t>clientalism</w:t>
      </w:r>
      <w:proofErr w:type="spellEnd"/>
      <w:r w:rsidRPr="006931E8">
        <w:rPr>
          <w:rFonts w:asciiTheme="minorHAnsi" w:hAnsiTheme="minorHAnsi"/>
          <w:sz w:val="24"/>
          <w:szCs w:val="24"/>
        </w:rPr>
        <w:t xml:space="preserve"> and corruption within the ranks of the state. While they highlight the urgency of these symptomatic </w:t>
      </w:r>
      <w:r>
        <w:rPr>
          <w:rFonts w:asciiTheme="minorHAnsi" w:hAnsiTheme="minorHAnsi"/>
          <w:sz w:val="24"/>
          <w:szCs w:val="24"/>
        </w:rPr>
        <w:t>issues</w:t>
      </w:r>
      <w:r w:rsidRPr="006931E8">
        <w:rPr>
          <w:rFonts w:asciiTheme="minorHAnsi" w:hAnsiTheme="minorHAnsi"/>
          <w:sz w:val="24"/>
          <w:szCs w:val="24"/>
        </w:rPr>
        <w:t xml:space="preserve">, they do not provide a comprehensive account of </w:t>
      </w:r>
      <w:r w:rsidR="00B640E7">
        <w:rPr>
          <w:rFonts w:asciiTheme="minorHAnsi" w:hAnsiTheme="minorHAnsi"/>
          <w:sz w:val="24"/>
          <w:szCs w:val="24"/>
        </w:rPr>
        <w:t>the root causes of</w:t>
      </w:r>
      <w:r w:rsidR="00B640E7" w:rsidRPr="006931E8">
        <w:rPr>
          <w:rFonts w:asciiTheme="minorHAnsi" w:hAnsiTheme="minorHAnsi"/>
          <w:sz w:val="24"/>
          <w:szCs w:val="24"/>
        </w:rPr>
        <w:t xml:space="preserve"> </w:t>
      </w:r>
      <w:r w:rsidRPr="006931E8">
        <w:rPr>
          <w:rFonts w:asciiTheme="minorHAnsi" w:hAnsiTheme="minorHAnsi"/>
          <w:sz w:val="24"/>
          <w:szCs w:val="24"/>
        </w:rPr>
        <w:t xml:space="preserve">such tendencies. </w:t>
      </w:r>
    </w:p>
    <w:p w:rsidR="00735368" w:rsidRDefault="00735368" w:rsidP="000F4BEA">
      <w:pPr>
        <w:autoSpaceDE w:val="0"/>
        <w:autoSpaceDN w:val="0"/>
        <w:adjustRightInd w:val="0"/>
        <w:ind w:left="720" w:right="720"/>
        <w:jc w:val="both"/>
        <w:rPr>
          <w:rFonts w:asciiTheme="minorHAnsi" w:hAnsiTheme="minorHAnsi"/>
          <w:sz w:val="24"/>
          <w:szCs w:val="24"/>
        </w:rPr>
      </w:pPr>
    </w:p>
    <w:p w:rsidR="00514438" w:rsidRPr="006931E8" w:rsidRDefault="00735368" w:rsidP="000F4BEA">
      <w:pPr>
        <w:autoSpaceDE w:val="0"/>
        <w:autoSpaceDN w:val="0"/>
        <w:adjustRightInd w:val="0"/>
        <w:ind w:left="720" w:right="720"/>
        <w:jc w:val="both"/>
        <w:rPr>
          <w:rFonts w:asciiTheme="minorHAnsi" w:hAnsiTheme="minorHAnsi"/>
          <w:sz w:val="24"/>
          <w:szCs w:val="24"/>
        </w:rPr>
      </w:pPr>
      <w:r>
        <w:rPr>
          <w:rFonts w:asciiTheme="minorHAnsi" w:hAnsiTheme="minorHAnsi"/>
          <w:sz w:val="24"/>
          <w:szCs w:val="24"/>
        </w:rPr>
        <w:t xml:space="preserve">We contend </w:t>
      </w:r>
      <w:r w:rsidR="00514438" w:rsidRPr="006931E8">
        <w:rPr>
          <w:rFonts w:asciiTheme="minorHAnsi" w:hAnsiTheme="minorHAnsi"/>
          <w:sz w:val="24"/>
          <w:szCs w:val="24"/>
        </w:rPr>
        <w:t>that this is because in large part they build on an externally defined relationship between state and societal processes</w:t>
      </w:r>
      <w:r w:rsidR="00B640E7">
        <w:rPr>
          <w:rFonts w:asciiTheme="minorHAnsi" w:hAnsiTheme="minorHAnsi"/>
          <w:sz w:val="24"/>
          <w:szCs w:val="24"/>
        </w:rPr>
        <w:t>;</w:t>
      </w:r>
      <w:r w:rsidR="00514438" w:rsidRPr="006931E8">
        <w:rPr>
          <w:rFonts w:asciiTheme="minorHAnsi" w:hAnsiTheme="minorHAnsi"/>
          <w:sz w:val="24"/>
          <w:szCs w:val="24"/>
        </w:rPr>
        <w:t xml:space="preserve"> separating the study of the structure and functioning of governmental actions and processes from societal dynamics. Moreover, these approaches often carry the implicit objective of achieving a set of desirable outcomes in economic management and </w:t>
      </w:r>
      <w:proofErr w:type="gramStart"/>
      <w:r w:rsidR="00514438" w:rsidRPr="006931E8">
        <w:rPr>
          <w:rFonts w:asciiTheme="minorHAnsi" w:hAnsiTheme="minorHAnsi"/>
          <w:sz w:val="24"/>
          <w:szCs w:val="24"/>
        </w:rPr>
        <w:t>governance  –</w:t>
      </w:r>
      <w:proofErr w:type="gramEnd"/>
      <w:r w:rsidR="00514438" w:rsidRPr="006931E8">
        <w:rPr>
          <w:rFonts w:asciiTheme="minorHAnsi" w:hAnsiTheme="minorHAnsi"/>
          <w:sz w:val="24"/>
          <w:szCs w:val="24"/>
        </w:rPr>
        <w:t xml:space="preserve"> the normative basis of which are often taken for granted as capitalist, neoliberal and orthodox. Thus, the drastic distributional effects and “social welfare function” (or lack thereof) of monetary policies—that is, their class character—which result in systematic income transfers from the working classes to the financial capital are sidelined and neglected (Watson, 2002: 187). In the absence of acknowledging these facets of monetary policymaking, we </w:t>
      </w:r>
      <w:r>
        <w:rPr>
          <w:rFonts w:asciiTheme="minorHAnsi" w:hAnsiTheme="minorHAnsi"/>
          <w:sz w:val="24"/>
          <w:szCs w:val="24"/>
        </w:rPr>
        <w:t>argue</w:t>
      </w:r>
      <w:r w:rsidRPr="006931E8">
        <w:rPr>
          <w:rFonts w:asciiTheme="minorHAnsi" w:hAnsiTheme="minorHAnsi"/>
          <w:sz w:val="24"/>
          <w:szCs w:val="24"/>
        </w:rPr>
        <w:t xml:space="preserve"> </w:t>
      </w:r>
      <w:r w:rsidR="00514438" w:rsidRPr="006931E8">
        <w:rPr>
          <w:rFonts w:asciiTheme="minorHAnsi" w:hAnsiTheme="minorHAnsi"/>
          <w:sz w:val="24"/>
          <w:szCs w:val="24"/>
        </w:rPr>
        <w:t xml:space="preserve">that the </w:t>
      </w:r>
      <w:r>
        <w:rPr>
          <w:rFonts w:asciiTheme="minorHAnsi" w:hAnsiTheme="minorHAnsi"/>
          <w:sz w:val="24"/>
          <w:szCs w:val="24"/>
        </w:rPr>
        <w:t xml:space="preserve">mainstream </w:t>
      </w:r>
      <w:r w:rsidR="00514438" w:rsidRPr="006931E8">
        <w:rPr>
          <w:rFonts w:asciiTheme="minorHAnsi" w:hAnsiTheme="minorHAnsi"/>
          <w:sz w:val="24"/>
          <w:szCs w:val="24"/>
        </w:rPr>
        <w:t>approaches fall short of fully accounting for the public disenchantment with global capitalism, financial establishment and economic orthodoxy which systematically produce social inequalities</w:t>
      </w:r>
      <w:r w:rsidR="00C255B1">
        <w:rPr>
          <w:rFonts w:asciiTheme="minorHAnsi" w:hAnsiTheme="minorHAnsi"/>
          <w:sz w:val="24"/>
          <w:szCs w:val="24"/>
        </w:rPr>
        <w:t>, asymmetries</w:t>
      </w:r>
      <w:r w:rsidR="00514438" w:rsidRPr="006931E8">
        <w:rPr>
          <w:rFonts w:asciiTheme="minorHAnsi" w:hAnsiTheme="minorHAnsi"/>
          <w:sz w:val="24"/>
          <w:szCs w:val="24"/>
        </w:rPr>
        <w:t xml:space="preserve"> and exclusion as the underlying reasons behind post-crisis </w:t>
      </w:r>
      <w:proofErr w:type="spellStart"/>
      <w:r w:rsidR="00514438" w:rsidRPr="006931E8">
        <w:rPr>
          <w:rFonts w:asciiTheme="minorHAnsi" w:hAnsiTheme="minorHAnsi"/>
          <w:sz w:val="24"/>
          <w:szCs w:val="24"/>
        </w:rPr>
        <w:t>politicisations</w:t>
      </w:r>
      <w:proofErr w:type="spellEnd"/>
      <w:r w:rsidR="00514438" w:rsidRPr="006931E8">
        <w:rPr>
          <w:rFonts w:asciiTheme="minorHAnsi" w:hAnsiTheme="minorHAnsi"/>
          <w:sz w:val="24"/>
          <w:szCs w:val="24"/>
        </w:rPr>
        <w:t>.</w:t>
      </w:r>
    </w:p>
    <w:p w:rsidR="00735368" w:rsidRDefault="00735368">
      <w:pPr>
        <w:autoSpaceDE w:val="0"/>
        <w:autoSpaceDN w:val="0"/>
        <w:adjustRightInd w:val="0"/>
        <w:ind w:left="720" w:right="720"/>
        <w:jc w:val="both"/>
        <w:rPr>
          <w:rFonts w:asciiTheme="minorHAnsi" w:hAnsiTheme="minorHAnsi"/>
          <w:sz w:val="24"/>
          <w:szCs w:val="24"/>
        </w:rPr>
      </w:pPr>
    </w:p>
    <w:p w:rsidR="00735368" w:rsidRDefault="004E7B40">
      <w:pPr>
        <w:autoSpaceDE w:val="0"/>
        <w:autoSpaceDN w:val="0"/>
        <w:adjustRightInd w:val="0"/>
        <w:ind w:left="720" w:right="720"/>
        <w:jc w:val="both"/>
        <w:rPr>
          <w:rFonts w:asciiTheme="minorHAnsi" w:hAnsiTheme="minorHAnsi"/>
          <w:sz w:val="24"/>
          <w:szCs w:val="24"/>
        </w:rPr>
      </w:pPr>
      <w:r>
        <w:rPr>
          <w:rFonts w:asciiTheme="minorHAnsi" w:hAnsiTheme="minorHAnsi"/>
          <w:sz w:val="24"/>
          <w:szCs w:val="24"/>
        </w:rPr>
        <w:t>W</w:t>
      </w:r>
      <w:r w:rsidR="00514438" w:rsidRPr="006931E8">
        <w:rPr>
          <w:rFonts w:asciiTheme="minorHAnsi" w:hAnsiTheme="minorHAnsi"/>
          <w:sz w:val="24"/>
          <w:szCs w:val="24"/>
        </w:rPr>
        <w:t xml:space="preserve">ithin the critical strand of political economy, the transformations in this contested policy field have been assessed on the basis of a set of </w:t>
      </w:r>
      <w:proofErr w:type="spellStart"/>
      <w:r w:rsidR="00514438" w:rsidRPr="006931E8">
        <w:rPr>
          <w:rFonts w:asciiTheme="minorHAnsi" w:hAnsiTheme="minorHAnsi"/>
          <w:sz w:val="24"/>
          <w:szCs w:val="24"/>
        </w:rPr>
        <w:t>depoliticisation</w:t>
      </w:r>
      <w:proofErr w:type="spellEnd"/>
      <w:r w:rsidR="00514438" w:rsidRPr="006931E8">
        <w:rPr>
          <w:rFonts w:asciiTheme="minorHAnsi" w:hAnsiTheme="minorHAnsi"/>
          <w:sz w:val="24"/>
          <w:szCs w:val="24"/>
        </w:rPr>
        <w:t xml:space="preserve"> strategies. That is to say: removing the </w:t>
      </w:r>
      <w:proofErr w:type="gramStart"/>
      <w:r w:rsidR="00514438" w:rsidRPr="006931E8">
        <w:rPr>
          <w:rFonts w:asciiTheme="minorHAnsi" w:hAnsiTheme="minorHAnsi"/>
          <w:sz w:val="24"/>
          <w:szCs w:val="24"/>
        </w:rPr>
        <w:t>decision making</w:t>
      </w:r>
      <w:proofErr w:type="gramEnd"/>
      <w:r w:rsidR="00514438" w:rsidRPr="006931E8">
        <w:rPr>
          <w:rFonts w:asciiTheme="minorHAnsi" w:hAnsiTheme="minorHAnsi"/>
          <w:sz w:val="24"/>
          <w:szCs w:val="24"/>
        </w:rPr>
        <w:t xml:space="preserve"> powers and responsibility away from the elected state managers in arms’ length fashion (Burnham, 1999, 2001, 2014; </w:t>
      </w:r>
      <w:proofErr w:type="spellStart"/>
      <w:r w:rsidR="00514438" w:rsidRPr="006931E8">
        <w:rPr>
          <w:rFonts w:asciiTheme="minorHAnsi" w:hAnsiTheme="minorHAnsi"/>
          <w:sz w:val="24"/>
          <w:szCs w:val="24"/>
        </w:rPr>
        <w:t>Kettell</w:t>
      </w:r>
      <w:proofErr w:type="spellEnd"/>
      <w:r w:rsidR="00514438" w:rsidRPr="006931E8">
        <w:rPr>
          <w:rFonts w:asciiTheme="minorHAnsi" w:hAnsiTheme="minorHAnsi"/>
          <w:sz w:val="24"/>
          <w:szCs w:val="24"/>
        </w:rPr>
        <w:t>, 2004, Rogers, 2009, 2013). The analytical strength of this scholarship</w:t>
      </w:r>
      <w:r w:rsidR="00674D0D">
        <w:rPr>
          <w:rFonts w:asciiTheme="minorHAnsi" w:hAnsiTheme="minorHAnsi"/>
          <w:sz w:val="24"/>
          <w:szCs w:val="24"/>
        </w:rPr>
        <w:t xml:space="preserve">, which builds </w:t>
      </w:r>
      <w:r w:rsidR="0079076D">
        <w:rPr>
          <w:rFonts w:asciiTheme="minorHAnsi" w:hAnsiTheme="minorHAnsi"/>
          <w:sz w:val="24"/>
          <w:szCs w:val="24"/>
        </w:rPr>
        <w:t xml:space="preserve">broadly </w:t>
      </w:r>
      <w:r w:rsidR="00674D0D">
        <w:rPr>
          <w:rFonts w:asciiTheme="minorHAnsi" w:hAnsiTheme="minorHAnsi"/>
          <w:sz w:val="24"/>
          <w:szCs w:val="24"/>
        </w:rPr>
        <w:t>on the Conference of Socialist Economis</w:t>
      </w:r>
      <w:r w:rsidR="0000432B">
        <w:rPr>
          <w:rFonts w:asciiTheme="minorHAnsi" w:hAnsiTheme="minorHAnsi"/>
          <w:sz w:val="24"/>
          <w:szCs w:val="24"/>
        </w:rPr>
        <w:t>ts</w:t>
      </w:r>
      <w:r w:rsidR="00674D0D">
        <w:rPr>
          <w:rFonts w:asciiTheme="minorHAnsi" w:hAnsiTheme="minorHAnsi"/>
          <w:sz w:val="24"/>
          <w:szCs w:val="24"/>
        </w:rPr>
        <w:t xml:space="preserve"> (CSE) approach</w:t>
      </w:r>
      <w:r w:rsidR="00735368">
        <w:rPr>
          <w:rFonts w:asciiTheme="minorHAnsi" w:hAnsiTheme="minorHAnsi"/>
          <w:sz w:val="24"/>
          <w:szCs w:val="24"/>
        </w:rPr>
        <w:t xml:space="preserve"> to state and global capitalism</w:t>
      </w:r>
      <w:r w:rsidR="00674D0D">
        <w:rPr>
          <w:rFonts w:asciiTheme="minorHAnsi" w:hAnsiTheme="minorHAnsi"/>
          <w:sz w:val="24"/>
          <w:szCs w:val="24"/>
        </w:rPr>
        <w:t>,</w:t>
      </w:r>
      <w:r w:rsidR="00514438" w:rsidRPr="006931E8">
        <w:rPr>
          <w:rFonts w:asciiTheme="minorHAnsi" w:hAnsiTheme="minorHAnsi"/>
          <w:sz w:val="24"/>
          <w:szCs w:val="24"/>
        </w:rPr>
        <w:t xml:space="preserve"> emanates from its holistic approach to forms of governing and social relations</w:t>
      </w:r>
      <w:r w:rsidR="00735368">
        <w:rPr>
          <w:rFonts w:asciiTheme="minorHAnsi" w:hAnsiTheme="minorHAnsi"/>
          <w:sz w:val="24"/>
          <w:szCs w:val="24"/>
        </w:rPr>
        <w:t>. It</w:t>
      </w:r>
      <w:r w:rsidR="00514438" w:rsidRPr="006931E8">
        <w:rPr>
          <w:rFonts w:asciiTheme="minorHAnsi" w:hAnsiTheme="minorHAnsi"/>
          <w:sz w:val="24"/>
          <w:szCs w:val="24"/>
        </w:rPr>
        <w:t xml:space="preserve"> allow</w:t>
      </w:r>
      <w:r w:rsidR="00735368">
        <w:rPr>
          <w:rFonts w:asciiTheme="minorHAnsi" w:hAnsiTheme="minorHAnsi"/>
          <w:sz w:val="24"/>
          <w:szCs w:val="24"/>
        </w:rPr>
        <w:t>s</w:t>
      </w:r>
      <w:r w:rsidR="00514438" w:rsidRPr="006931E8">
        <w:rPr>
          <w:rFonts w:asciiTheme="minorHAnsi" w:hAnsiTheme="minorHAnsi"/>
          <w:sz w:val="24"/>
          <w:szCs w:val="24"/>
        </w:rPr>
        <w:t xml:space="preserve"> the researcher to position the transformations that take place at policy level within a broader social and political </w:t>
      </w:r>
      <w:r w:rsidR="00514438" w:rsidRPr="006931E8">
        <w:rPr>
          <w:rFonts w:asciiTheme="minorHAnsi" w:hAnsiTheme="minorHAnsi"/>
          <w:sz w:val="24"/>
          <w:szCs w:val="24"/>
        </w:rPr>
        <w:lastRenderedPageBreak/>
        <w:t>critique. It accounts for their relational and conflict-ridden dynamics based on the class character of the social relations underlying them (</w:t>
      </w:r>
      <w:proofErr w:type="spellStart"/>
      <w:r w:rsidR="00514438" w:rsidRPr="006931E8">
        <w:rPr>
          <w:rFonts w:asciiTheme="minorHAnsi" w:hAnsiTheme="minorHAnsi"/>
          <w:sz w:val="24"/>
          <w:szCs w:val="24"/>
        </w:rPr>
        <w:t>Bonefeld</w:t>
      </w:r>
      <w:proofErr w:type="spellEnd"/>
      <w:r w:rsidR="00514438" w:rsidRPr="006931E8">
        <w:rPr>
          <w:rFonts w:asciiTheme="minorHAnsi" w:hAnsiTheme="minorHAnsi"/>
          <w:sz w:val="24"/>
          <w:szCs w:val="24"/>
        </w:rPr>
        <w:t xml:space="preserve">, 2014). </w:t>
      </w:r>
    </w:p>
    <w:p w:rsidR="00735368" w:rsidRDefault="00735368">
      <w:pPr>
        <w:autoSpaceDE w:val="0"/>
        <w:autoSpaceDN w:val="0"/>
        <w:adjustRightInd w:val="0"/>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eastAsia="Times New Roman" w:hAnsiTheme="minorHAnsi" w:cs="Times New Roman"/>
          <w:sz w:val="24"/>
          <w:szCs w:val="24"/>
        </w:rPr>
      </w:pPr>
      <w:r w:rsidRPr="006931E8">
        <w:rPr>
          <w:rFonts w:asciiTheme="minorHAnsi" w:hAnsiTheme="minorHAnsi"/>
          <w:sz w:val="24"/>
          <w:szCs w:val="24"/>
        </w:rPr>
        <w:t xml:space="preserve">This critical scholarship, however, has largely focused on the experience of core capitalist countries in their empirical research and theory building. </w:t>
      </w:r>
      <w:r w:rsidRPr="006931E8">
        <w:rPr>
          <w:rFonts w:asciiTheme="minorHAnsi" w:eastAsia="Times New Roman" w:hAnsiTheme="minorHAnsi" w:cs="Times New Roman"/>
          <w:sz w:val="24"/>
          <w:szCs w:val="24"/>
        </w:rPr>
        <w:t xml:space="preserve">This article aims to conceptually capture the recent trend of central banking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in Turkey and Hungary and, subsequently, raises the question of whether it carries within </w:t>
      </w:r>
      <w:proofErr w:type="gramStart"/>
      <w:r w:rsidRPr="006931E8">
        <w:rPr>
          <w:rFonts w:asciiTheme="minorHAnsi" w:eastAsia="Times New Roman" w:hAnsiTheme="minorHAnsi" w:cs="Times New Roman"/>
          <w:sz w:val="24"/>
          <w:szCs w:val="24"/>
        </w:rPr>
        <w:t>it</w:t>
      </w:r>
      <w:proofErr w:type="gramEnd"/>
      <w:r w:rsidRPr="006931E8">
        <w:rPr>
          <w:rFonts w:asciiTheme="minorHAnsi" w:eastAsia="Times New Roman" w:hAnsiTheme="minorHAnsi" w:cs="Times New Roman"/>
          <w:sz w:val="24"/>
          <w:szCs w:val="24"/>
        </w:rPr>
        <w:t xml:space="preserve"> objectives of </w:t>
      </w:r>
      <w:proofErr w:type="spellStart"/>
      <w:r w:rsidRPr="006931E8">
        <w:rPr>
          <w:rFonts w:asciiTheme="minorHAnsi" w:eastAsia="Times New Roman" w:hAnsiTheme="minorHAnsi" w:cs="Times New Roman"/>
          <w:sz w:val="24"/>
          <w:szCs w:val="24"/>
        </w:rPr>
        <w:t>depoliticisation</w:t>
      </w:r>
      <w:proofErr w:type="spellEnd"/>
      <w:r w:rsidRPr="006931E8">
        <w:rPr>
          <w:rFonts w:asciiTheme="minorHAnsi" w:eastAsia="Times New Roman" w:hAnsiTheme="minorHAnsi" w:cs="Times New Roman"/>
          <w:sz w:val="24"/>
          <w:szCs w:val="24"/>
        </w:rPr>
        <w:t xml:space="preserve"> in the</w:t>
      </w:r>
      <w:r w:rsidR="00735368">
        <w:rPr>
          <w:rFonts w:asciiTheme="minorHAnsi" w:eastAsia="Times New Roman" w:hAnsiTheme="minorHAnsi" w:cs="Times New Roman"/>
          <w:sz w:val="24"/>
          <w:szCs w:val="24"/>
        </w:rPr>
        <w:t>se countries</w:t>
      </w:r>
      <w:r w:rsidRPr="006931E8">
        <w:rPr>
          <w:rFonts w:asciiTheme="minorHAnsi" w:eastAsia="Times New Roman" w:hAnsiTheme="minorHAnsi" w:cs="Times New Roman"/>
          <w:sz w:val="24"/>
          <w:szCs w:val="24"/>
        </w:rPr>
        <w:t>- an observation recently made in the post-crisis UK context as well (Burnham, 2014). In so doing, we refer to the observation that repressive modes of governing in both countries risks locking in</w:t>
      </w:r>
      <w:r>
        <w:rPr>
          <w:rFonts w:asciiTheme="minorHAnsi" w:eastAsia="Times New Roman" w:hAnsiTheme="minorHAnsi" w:cs="Times New Roman"/>
          <w:sz w:val="24"/>
          <w:szCs w:val="24"/>
        </w:rPr>
        <w:t xml:space="preserve"> the </w:t>
      </w:r>
      <w:proofErr w:type="spellStart"/>
      <w:r>
        <w:rPr>
          <w:rFonts w:asciiTheme="minorHAnsi" w:eastAsia="Times New Roman" w:hAnsiTheme="minorHAnsi" w:cs="Times New Roman"/>
          <w:sz w:val="24"/>
          <w:szCs w:val="24"/>
        </w:rPr>
        <w:t>politicis</w:t>
      </w:r>
      <w:r w:rsidRPr="006931E8">
        <w:rPr>
          <w:rFonts w:asciiTheme="minorHAnsi" w:eastAsia="Times New Roman" w:hAnsiTheme="minorHAnsi" w:cs="Times New Roman"/>
          <w:sz w:val="24"/>
          <w:szCs w:val="24"/>
        </w:rPr>
        <w:t>ed</w:t>
      </w:r>
      <w:proofErr w:type="spellEnd"/>
      <w:r w:rsidRPr="006931E8">
        <w:rPr>
          <w:rFonts w:asciiTheme="minorHAnsi" w:eastAsia="Times New Roman" w:hAnsiTheme="minorHAnsi" w:cs="Times New Roman"/>
          <w:sz w:val="24"/>
          <w:szCs w:val="24"/>
        </w:rPr>
        <w:t xml:space="preserve"> monetary policy and isolating it from </w:t>
      </w:r>
      <w:r w:rsidR="004E7B40">
        <w:rPr>
          <w:rFonts w:asciiTheme="minorHAnsi" w:eastAsia="Times New Roman" w:hAnsiTheme="minorHAnsi" w:cs="Times New Roman"/>
          <w:sz w:val="24"/>
          <w:szCs w:val="24"/>
        </w:rPr>
        <w:t xml:space="preserve">progressive </w:t>
      </w:r>
      <w:r w:rsidRPr="006931E8">
        <w:rPr>
          <w:rFonts w:asciiTheme="minorHAnsi" w:eastAsia="Times New Roman" w:hAnsiTheme="minorHAnsi" w:cs="Times New Roman"/>
          <w:sz w:val="24"/>
          <w:szCs w:val="24"/>
        </w:rPr>
        <w:t xml:space="preserve">public critique and contestation. Therefore, we put forward a double-faceted critique of both the pre-crisis </w:t>
      </w:r>
      <w:proofErr w:type="spellStart"/>
      <w:r w:rsidRPr="006931E8">
        <w:rPr>
          <w:rFonts w:asciiTheme="minorHAnsi" w:eastAsia="Times New Roman" w:hAnsiTheme="minorHAnsi" w:cs="Times New Roman"/>
          <w:sz w:val="24"/>
          <w:szCs w:val="24"/>
        </w:rPr>
        <w:t>depoliticising</w:t>
      </w:r>
      <w:proofErr w:type="spellEnd"/>
      <w:r w:rsidRPr="006931E8">
        <w:rPr>
          <w:rFonts w:asciiTheme="minorHAnsi" w:eastAsia="Times New Roman" w:hAnsiTheme="minorHAnsi" w:cs="Times New Roman"/>
          <w:sz w:val="24"/>
          <w:szCs w:val="24"/>
        </w:rPr>
        <w:t xml:space="preserve"> policy prescriptions (Holmes, 2014) and the post-2008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in both countries. </w:t>
      </w:r>
      <w:r w:rsidR="0028568E">
        <w:rPr>
          <w:rFonts w:asciiTheme="minorHAnsi" w:eastAsia="Times New Roman" w:hAnsiTheme="minorHAnsi" w:cs="Times New Roman"/>
          <w:sz w:val="24"/>
          <w:szCs w:val="24"/>
        </w:rPr>
        <w:t>In our view a</w:t>
      </w:r>
      <w:r w:rsidRPr="006931E8">
        <w:rPr>
          <w:rFonts w:asciiTheme="minorHAnsi" w:eastAsia="Times New Roman" w:hAnsiTheme="minorHAnsi" w:cs="Times New Roman"/>
          <w:sz w:val="24"/>
          <w:szCs w:val="24"/>
        </w:rPr>
        <w:t xml:space="preserve"> political economy approach which explicitly </w:t>
      </w:r>
      <w:proofErr w:type="spellStart"/>
      <w:r w:rsidRPr="006931E8">
        <w:rPr>
          <w:rFonts w:asciiTheme="minorHAnsi" w:eastAsia="Times New Roman" w:hAnsiTheme="minorHAnsi" w:cs="Times New Roman"/>
          <w:sz w:val="24"/>
          <w:szCs w:val="24"/>
        </w:rPr>
        <w:t>problematises</w:t>
      </w:r>
      <w:proofErr w:type="spellEnd"/>
      <w:r w:rsidRPr="006931E8">
        <w:rPr>
          <w:rFonts w:asciiTheme="minorHAnsi" w:eastAsia="Times New Roman" w:hAnsiTheme="minorHAnsi" w:cs="Times New Roman"/>
          <w:sz w:val="24"/>
          <w:szCs w:val="24"/>
        </w:rPr>
        <w:t xml:space="preserve"> the capital logic and class character of policymaking processes under capitalism </w:t>
      </w:r>
      <w:r w:rsidR="0028568E">
        <w:rPr>
          <w:rFonts w:asciiTheme="minorHAnsi" w:eastAsia="Times New Roman" w:hAnsiTheme="minorHAnsi" w:cs="Times New Roman"/>
          <w:sz w:val="24"/>
          <w:szCs w:val="24"/>
        </w:rPr>
        <w:t xml:space="preserve">is required </w:t>
      </w:r>
      <w:r w:rsidRPr="006931E8">
        <w:rPr>
          <w:rFonts w:asciiTheme="minorHAnsi" w:eastAsia="Times New Roman" w:hAnsiTheme="minorHAnsi" w:cs="Times New Roman"/>
          <w:sz w:val="24"/>
          <w:szCs w:val="24"/>
        </w:rPr>
        <w:t xml:space="preserve">to put forward such a comprehensive critique. </w:t>
      </w:r>
      <w:r w:rsidR="0028568E">
        <w:rPr>
          <w:rFonts w:asciiTheme="minorHAnsi" w:hAnsiTheme="minorHAnsi"/>
          <w:sz w:val="24"/>
          <w:szCs w:val="24"/>
        </w:rPr>
        <w:t>On this basis t</w:t>
      </w:r>
      <w:r w:rsidRPr="006931E8">
        <w:rPr>
          <w:rFonts w:asciiTheme="minorHAnsi" w:hAnsiTheme="minorHAnsi"/>
          <w:sz w:val="24"/>
          <w:szCs w:val="24"/>
        </w:rPr>
        <w:t xml:space="preserve">he article </w:t>
      </w:r>
      <w:r w:rsidRPr="006931E8">
        <w:rPr>
          <w:rFonts w:asciiTheme="minorHAnsi" w:eastAsia="Times New Roman" w:hAnsiTheme="minorHAnsi" w:cs="Times New Roman"/>
          <w:sz w:val="24"/>
          <w:szCs w:val="24"/>
        </w:rPr>
        <w:t xml:space="preserve">presents reflections from an exploratory analysis </w:t>
      </w:r>
      <w:r w:rsidR="0028568E">
        <w:rPr>
          <w:rFonts w:asciiTheme="minorHAnsi" w:eastAsia="Times New Roman" w:hAnsiTheme="minorHAnsi" w:cs="Times New Roman"/>
          <w:sz w:val="24"/>
          <w:szCs w:val="24"/>
        </w:rPr>
        <w:t>of</w:t>
      </w:r>
      <w:r w:rsidR="0028568E" w:rsidRPr="006931E8">
        <w:rPr>
          <w:rFonts w:asciiTheme="minorHAnsi" w:eastAsia="Times New Roman" w:hAnsiTheme="minorHAnsi" w:cs="Times New Roman"/>
          <w:sz w:val="24"/>
          <w:szCs w:val="24"/>
        </w:rPr>
        <w:t xml:space="preserve"> </w:t>
      </w:r>
      <w:r w:rsidRPr="006931E8">
        <w:rPr>
          <w:rFonts w:asciiTheme="minorHAnsi" w:eastAsia="Times New Roman" w:hAnsiTheme="minorHAnsi" w:cs="Times New Roman"/>
          <w:sz w:val="24"/>
          <w:szCs w:val="24"/>
        </w:rPr>
        <w:t>two case-studies</w:t>
      </w:r>
      <w:r w:rsidR="0028568E">
        <w:rPr>
          <w:rFonts w:asciiTheme="minorHAnsi" w:eastAsia="Times New Roman" w:hAnsiTheme="minorHAnsi" w:cs="Times New Roman"/>
          <w:sz w:val="24"/>
          <w:szCs w:val="24"/>
        </w:rPr>
        <w:t xml:space="preserve"> </w:t>
      </w:r>
      <w:r w:rsidRPr="006931E8">
        <w:rPr>
          <w:rFonts w:asciiTheme="minorHAnsi" w:eastAsia="Times New Roman" w:hAnsiTheme="minorHAnsi" w:cs="Times New Roman"/>
          <w:sz w:val="24"/>
          <w:szCs w:val="24"/>
        </w:rPr>
        <w:t xml:space="preserve">with a specific focus on monetary policy. It aims to </w:t>
      </w:r>
      <w:proofErr w:type="gramStart"/>
      <w:r w:rsidRPr="006931E8">
        <w:rPr>
          <w:rFonts w:asciiTheme="minorHAnsi" w:eastAsia="Times New Roman" w:hAnsiTheme="minorHAnsi" w:cs="Times New Roman"/>
          <w:sz w:val="24"/>
          <w:szCs w:val="24"/>
        </w:rPr>
        <w:t>make a contribution</w:t>
      </w:r>
      <w:proofErr w:type="gramEnd"/>
      <w:r w:rsidRPr="006931E8">
        <w:rPr>
          <w:rFonts w:asciiTheme="minorHAnsi" w:eastAsia="Times New Roman" w:hAnsiTheme="minorHAnsi" w:cs="Times New Roman"/>
          <w:sz w:val="24"/>
          <w:szCs w:val="24"/>
        </w:rPr>
        <w:t xml:space="preserve"> to this critical scholarship through an illustration of these country cases.</w:t>
      </w:r>
    </w:p>
    <w:p w:rsidR="00415D9B" w:rsidRDefault="00415D9B">
      <w:pPr>
        <w:spacing w:line="100" w:lineRule="atLeast"/>
        <w:ind w:left="720" w:right="720"/>
        <w:jc w:val="both"/>
        <w:rPr>
          <w:rFonts w:asciiTheme="minorHAnsi" w:eastAsia="Times New Roman" w:hAnsiTheme="minorHAnsi" w:cs="Times New Roman"/>
          <w:sz w:val="24"/>
          <w:szCs w:val="24"/>
        </w:rPr>
      </w:pPr>
    </w:p>
    <w:p w:rsidR="00735368" w:rsidRDefault="00514438">
      <w:pPr>
        <w:spacing w:line="100" w:lineRule="atLeast"/>
        <w:ind w:left="720" w:right="720"/>
        <w:jc w:val="both"/>
        <w:rPr>
          <w:rFonts w:asciiTheme="minorHAnsi" w:eastAsia="Times New Roman" w:hAnsiTheme="minorHAnsi" w:cs="Times New Roman"/>
          <w:sz w:val="24"/>
          <w:szCs w:val="24"/>
        </w:rPr>
      </w:pPr>
      <w:r w:rsidRPr="006931E8">
        <w:rPr>
          <w:rFonts w:asciiTheme="minorHAnsi" w:eastAsia="Times New Roman" w:hAnsiTheme="minorHAnsi" w:cs="Times New Roman"/>
          <w:sz w:val="24"/>
          <w:szCs w:val="24"/>
        </w:rPr>
        <w:t xml:space="preserve">In the first section, we present the conceptual tools at our disposal. The second section provides a rationale for case selection and methods. The third section assesses the historical background in both countries, with a particular focus on the </w:t>
      </w:r>
      <w:proofErr w:type="spellStart"/>
      <w:r w:rsidRPr="006931E8">
        <w:rPr>
          <w:rFonts w:asciiTheme="minorHAnsi" w:eastAsia="Times New Roman" w:hAnsiTheme="minorHAnsi" w:cs="Times New Roman"/>
          <w:sz w:val="24"/>
          <w:szCs w:val="24"/>
        </w:rPr>
        <w:t>depoliticisation</w:t>
      </w:r>
      <w:proofErr w:type="spellEnd"/>
      <w:r w:rsidRPr="006931E8">
        <w:rPr>
          <w:rFonts w:asciiTheme="minorHAnsi" w:eastAsia="Times New Roman" w:hAnsiTheme="minorHAnsi" w:cs="Times New Roman"/>
          <w:sz w:val="24"/>
          <w:szCs w:val="24"/>
        </w:rPr>
        <w:t xml:space="preserve"> trajectory preceding the 2008 global and European crisis. The final section assesses the post-2008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developments of central banking and central bank-state relations in both countries. In conclusion, we reflect on the insights drawn from </w:t>
      </w:r>
      <w:r w:rsidR="00B722FF">
        <w:rPr>
          <w:rFonts w:asciiTheme="minorHAnsi" w:eastAsia="Times New Roman" w:hAnsiTheme="minorHAnsi" w:cs="Times New Roman"/>
          <w:sz w:val="24"/>
          <w:szCs w:val="24"/>
        </w:rPr>
        <w:t>th</w:t>
      </w:r>
      <w:r w:rsidR="0028568E">
        <w:rPr>
          <w:rFonts w:asciiTheme="minorHAnsi" w:eastAsia="Times New Roman" w:hAnsiTheme="minorHAnsi" w:cs="Times New Roman"/>
          <w:sz w:val="24"/>
          <w:szCs w:val="24"/>
        </w:rPr>
        <w:t xml:space="preserve">ese cases </w:t>
      </w:r>
      <w:r w:rsidRPr="006931E8">
        <w:rPr>
          <w:rFonts w:asciiTheme="minorHAnsi" w:eastAsia="Times New Roman" w:hAnsiTheme="minorHAnsi" w:cs="Times New Roman"/>
          <w:sz w:val="24"/>
          <w:szCs w:val="24"/>
        </w:rPr>
        <w:t xml:space="preserve">for broader debates and studies into </w:t>
      </w:r>
      <w:r w:rsidR="00B722FF">
        <w:rPr>
          <w:rFonts w:asciiTheme="minorHAnsi" w:eastAsia="Times New Roman" w:hAnsiTheme="minorHAnsi" w:cs="Times New Roman"/>
          <w:sz w:val="24"/>
          <w:szCs w:val="24"/>
        </w:rPr>
        <w:t>(</w:t>
      </w:r>
      <w:r w:rsidRPr="006931E8">
        <w:rPr>
          <w:rFonts w:asciiTheme="minorHAnsi" w:eastAsia="Times New Roman" w:hAnsiTheme="minorHAnsi" w:cs="Times New Roman"/>
          <w:sz w:val="24"/>
          <w:szCs w:val="24"/>
        </w:rPr>
        <w:t>de</w:t>
      </w:r>
      <w:r w:rsidR="00B722FF">
        <w:rPr>
          <w:rFonts w:asciiTheme="minorHAnsi" w:eastAsia="Times New Roman" w:hAnsiTheme="minorHAnsi" w:cs="Times New Roman"/>
          <w:sz w:val="24"/>
          <w:szCs w:val="24"/>
        </w:rPr>
        <w:t>)</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and critical political economy.</w:t>
      </w:r>
    </w:p>
    <w:p w:rsidR="00415D9B" w:rsidRDefault="00415D9B">
      <w:pPr>
        <w:spacing w:line="100" w:lineRule="atLeast"/>
        <w:ind w:left="720" w:right="720"/>
        <w:jc w:val="both"/>
        <w:rPr>
          <w:rFonts w:asciiTheme="minorHAnsi" w:eastAsia="Times New Roman" w:hAnsiTheme="minorHAnsi" w:cs="Times New Roman"/>
          <w:sz w:val="24"/>
          <w:szCs w:val="24"/>
        </w:rPr>
      </w:pPr>
    </w:p>
    <w:p w:rsidR="00735368" w:rsidRDefault="00514438">
      <w:pPr>
        <w:pStyle w:val="ListParagraph"/>
        <w:numPr>
          <w:ilvl w:val="0"/>
          <w:numId w:val="4"/>
        </w:numPr>
        <w:spacing w:line="100" w:lineRule="atLeast"/>
        <w:ind w:right="720"/>
        <w:jc w:val="both"/>
        <w:rPr>
          <w:rFonts w:asciiTheme="minorHAnsi" w:hAnsiTheme="minorHAnsi"/>
          <w:sz w:val="24"/>
          <w:szCs w:val="24"/>
        </w:rPr>
      </w:pPr>
      <w:r w:rsidRPr="006931E8">
        <w:rPr>
          <w:rFonts w:asciiTheme="minorHAnsi" w:eastAsia="Times New Roman" w:hAnsiTheme="minorHAnsi"/>
          <w:b/>
          <w:sz w:val="24"/>
          <w:szCs w:val="24"/>
        </w:rPr>
        <w:t>State, Crisis</w:t>
      </w:r>
      <w:r w:rsidR="00B722FF">
        <w:rPr>
          <w:rFonts w:asciiTheme="minorHAnsi" w:eastAsia="Times New Roman" w:hAnsiTheme="minorHAnsi"/>
          <w:b/>
          <w:sz w:val="24"/>
          <w:szCs w:val="24"/>
        </w:rPr>
        <w:t xml:space="preserve"> and</w:t>
      </w:r>
      <w:r w:rsidRPr="006931E8">
        <w:rPr>
          <w:rFonts w:asciiTheme="minorHAnsi" w:eastAsia="Times New Roman" w:hAnsiTheme="minorHAnsi"/>
          <w:b/>
          <w:sz w:val="24"/>
          <w:szCs w:val="24"/>
        </w:rPr>
        <w:t xml:space="preserve"> </w:t>
      </w:r>
      <w:r w:rsidR="00B722FF">
        <w:rPr>
          <w:rFonts w:asciiTheme="minorHAnsi" w:eastAsia="Times New Roman" w:hAnsiTheme="minorHAnsi"/>
          <w:b/>
          <w:sz w:val="24"/>
          <w:szCs w:val="24"/>
        </w:rPr>
        <w:t>(</w:t>
      </w:r>
      <w:r w:rsidRPr="006931E8">
        <w:rPr>
          <w:rFonts w:asciiTheme="minorHAnsi" w:eastAsia="Times New Roman" w:hAnsiTheme="minorHAnsi"/>
          <w:b/>
          <w:sz w:val="24"/>
          <w:szCs w:val="24"/>
        </w:rPr>
        <w:t>De</w:t>
      </w:r>
      <w:r w:rsidR="00B722FF">
        <w:rPr>
          <w:rFonts w:asciiTheme="minorHAnsi" w:eastAsia="Times New Roman" w:hAnsiTheme="minorHAnsi"/>
          <w:b/>
          <w:sz w:val="24"/>
          <w:szCs w:val="24"/>
        </w:rPr>
        <w:t>)</w:t>
      </w:r>
      <w:proofErr w:type="spellStart"/>
      <w:r w:rsidRPr="006931E8">
        <w:rPr>
          <w:rFonts w:asciiTheme="minorHAnsi" w:eastAsia="Times New Roman" w:hAnsiTheme="minorHAnsi"/>
          <w:b/>
          <w:sz w:val="24"/>
          <w:szCs w:val="24"/>
        </w:rPr>
        <w:t>politicisation</w:t>
      </w:r>
      <w:proofErr w:type="spellEnd"/>
      <w:r w:rsidRPr="006931E8">
        <w:rPr>
          <w:rFonts w:asciiTheme="minorHAnsi" w:eastAsia="Times New Roman" w:hAnsiTheme="minorHAnsi"/>
          <w:b/>
          <w:sz w:val="24"/>
          <w:szCs w:val="24"/>
        </w:rPr>
        <w:t xml:space="preserve"> in the Management of Money</w:t>
      </w: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In this article we adopt the view that the processes of (de)</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should be understood within a critical account of the state as a </w:t>
      </w:r>
      <w:r w:rsidRPr="006931E8">
        <w:rPr>
          <w:rFonts w:asciiTheme="minorHAnsi" w:hAnsiTheme="minorHAnsi"/>
          <w:i/>
          <w:sz w:val="24"/>
          <w:szCs w:val="24"/>
        </w:rPr>
        <w:t>form</w:t>
      </w:r>
      <w:r w:rsidRPr="006931E8">
        <w:rPr>
          <w:rFonts w:asciiTheme="minorHAnsi" w:hAnsiTheme="minorHAnsi"/>
          <w:sz w:val="24"/>
          <w:szCs w:val="24"/>
        </w:rPr>
        <w:t xml:space="preserve"> of social relations and the role of state managers in the management of these crisis-ridden social relations (Clarke, 1991; Burnham, 1994; </w:t>
      </w:r>
      <w:proofErr w:type="spellStart"/>
      <w:r w:rsidRPr="006931E8">
        <w:rPr>
          <w:rFonts w:asciiTheme="minorHAnsi" w:hAnsiTheme="minorHAnsi"/>
          <w:sz w:val="24"/>
          <w:szCs w:val="24"/>
        </w:rPr>
        <w:t>Bonefeld</w:t>
      </w:r>
      <w:proofErr w:type="spellEnd"/>
      <w:r w:rsidRPr="006931E8">
        <w:rPr>
          <w:rFonts w:asciiTheme="minorHAnsi" w:hAnsiTheme="minorHAnsi"/>
          <w:sz w:val="24"/>
          <w:szCs w:val="24"/>
        </w:rPr>
        <w:t xml:space="preserve"> et. al., 1995; </w:t>
      </w:r>
      <w:proofErr w:type="spellStart"/>
      <w:r w:rsidRPr="006931E8">
        <w:rPr>
          <w:rFonts w:asciiTheme="minorHAnsi" w:hAnsiTheme="minorHAnsi"/>
          <w:sz w:val="24"/>
          <w:szCs w:val="24"/>
        </w:rPr>
        <w:t>Bonefeld</w:t>
      </w:r>
      <w:proofErr w:type="spellEnd"/>
      <w:r w:rsidRPr="006931E8">
        <w:rPr>
          <w:rFonts w:asciiTheme="minorHAnsi" w:hAnsiTheme="minorHAnsi"/>
          <w:sz w:val="24"/>
          <w:szCs w:val="24"/>
        </w:rPr>
        <w:t xml:space="preserve">, 2014). Such an approach explicitly </w:t>
      </w:r>
      <w:proofErr w:type="spellStart"/>
      <w:r w:rsidRPr="006931E8">
        <w:rPr>
          <w:rFonts w:asciiTheme="minorHAnsi" w:hAnsiTheme="minorHAnsi"/>
          <w:sz w:val="24"/>
          <w:szCs w:val="24"/>
        </w:rPr>
        <w:t>problematises</w:t>
      </w:r>
      <w:proofErr w:type="spellEnd"/>
      <w:r w:rsidRPr="006931E8">
        <w:rPr>
          <w:rFonts w:asciiTheme="minorHAnsi" w:hAnsiTheme="minorHAnsi"/>
          <w:sz w:val="24"/>
          <w:szCs w:val="24"/>
        </w:rPr>
        <w:t xml:space="preserve"> the economic-political separation in capitalism that is taken for granted by the mainstream approaches and aims to demystify the existing power relations that it conceals and perpetuates. Through this critical lens, the necessarily conflictual and short-term orientation of the </w:t>
      </w:r>
      <w:proofErr w:type="spellStart"/>
      <w:r w:rsidRPr="006931E8">
        <w:rPr>
          <w:rFonts w:asciiTheme="minorHAnsi" w:hAnsiTheme="minorHAnsi"/>
          <w:i/>
          <w:sz w:val="24"/>
          <w:szCs w:val="24"/>
        </w:rPr>
        <w:t>depoliticisation</w:t>
      </w:r>
      <w:proofErr w:type="spellEnd"/>
      <w:r w:rsidRPr="006931E8">
        <w:rPr>
          <w:rFonts w:asciiTheme="minorHAnsi" w:hAnsiTheme="minorHAnsi"/>
          <w:sz w:val="24"/>
          <w:szCs w:val="24"/>
        </w:rPr>
        <w:t xml:space="preserve"> </w:t>
      </w:r>
      <w:r w:rsidRPr="006931E8">
        <w:rPr>
          <w:rFonts w:asciiTheme="minorHAnsi" w:hAnsiTheme="minorHAnsi"/>
          <w:i/>
          <w:sz w:val="24"/>
          <w:szCs w:val="24"/>
        </w:rPr>
        <w:t xml:space="preserve">processes </w:t>
      </w:r>
      <w:r w:rsidRPr="006931E8">
        <w:rPr>
          <w:rFonts w:asciiTheme="minorHAnsi" w:hAnsiTheme="minorHAnsi"/>
          <w:sz w:val="24"/>
          <w:szCs w:val="24"/>
        </w:rPr>
        <w:t xml:space="preserve">could be understood as facing constant opposition from </w:t>
      </w:r>
      <w:proofErr w:type="spellStart"/>
      <w:r w:rsidRPr="006931E8">
        <w:rPr>
          <w:rFonts w:asciiTheme="minorHAnsi" w:hAnsiTheme="minorHAnsi"/>
          <w:sz w:val="24"/>
          <w:szCs w:val="24"/>
        </w:rPr>
        <w:t>politicising</w:t>
      </w:r>
      <w:proofErr w:type="spellEnd"/>
      <w:r w:rsidRPr="006931E8">
        <w:rPr>
          <w:rFonts w:asciiTheme="minorHAnsi" w:hAnsiTheme="minorHAnsi"/>
          <w:sz w:val="24"/>
          <w:szCs w:val="24"/>
        </w:rPr>
        <w:t xml:space="preserve"> dynamics. In particular, these are intensified under crisis conditions, forcing the governments and politicians to reiterate and reinstate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in various forms (</w:t>
      </w:r>
      <w:proofErr w:type="spellStart"/>
      <w:r w:rsidRPr="006931E8">
        <w:rPr>
          <w:rFonts w:asciiTheme="minorHAnsi" w:hAnsiTheme="minorHAnsi"/>
          <w:sz w:val="24"/>
          <w:szCs w:val="24"/>
        </w:rPr>
        <w:t>Bonefeld</w:t>
      </w:r>
      <w:proofErr w:type="spellEnd"/>
      <w:r w:rsidRPr="006931E8">
        <w:rPr>
          <w:rFonts w:asciiTheme="minorHAnsi" w:hAnsiTheme="minorHAnsi"/>
          <w:sz w:val="24"/>
          <w:szCs w:val="24"/>
        </w:rPr>
        <w:t xml:space="preserve"> et. al., 1995; Burnham, 2001, 2014; </w:t>
      </w:r>
      <w:proofErr w:type="spellStart"/>
      <w:r w:rsidRPr="006931E8">
        <w:rPr>
          <w:rFonts w:asciiTheme="minorHAnsi" w:hAnsiTheme="minorHAnsi"/>
          <w:sz w:val="24"/>
          <w:szCs w:val="24"/>
        </w:rPr>
        <w:t>Kettell</w:t>
      </w:r>
      <w:proofErr w:type="spellEnd"/>
      <w:r w:rsidRPr="006931E8">
        <w:rPr>
          <w:rFonts w:asciiTheme="minorHAnsi" w:hAnsiTheme="minorHAnsi"/>
          <w:sz w:val="24"/>
          <w:szCs w:val="24"/>
        </w:rPr>
        <w:t>, 2004; Rogers, 2009; Sutton, 2016).</w:t>
      </w:r>
    </w:p>
    <w:p w:rsidR="00415D9B" w:rsidRDefault="00415D9B">
      <w:pPr>
        <w:spacing w:line="100" w:lineRule="atLeast"/>
        <w:ind w:left="720" w:right="720"/>
        <w:jc w:val="both"/>
        <w:rPr>
          <w:rFonts w:asciiTheme="minorHAnsi" w:hAnsiTheme="minorHAnsi"/>
          <w:sz w:val="24"/>
          <w:szCs w:val="24"/>
        </w:rPr>
      </w:pPr>
    </w:p>
    <w:p w:rsidR="00735368" w:rsidRDefault="00514438">
      <w:pPr>
        <w:pStyle w:val="Normal1"/>
        <w:spacing w:line="100" w:lineRule="atLeast"/>
        <w:ind w:left="720" w:right="720"/>
        <w:jc w:val="both"/>
        <w:rPr>
          <w:rFonts w:asciiTheme="minorHAnsi" w:hAnsiTheme="minorHAnsi"/>
          <w:sz w:val="24"/>
          <w:szCs w:val="24"/>
        </w:rPr>
      </w:pPr>
      <w:r w:rsidRPr="006931E8">
        <w:rPr>
          <w:rFonts w:asciiTheme="minorHAnsi" w:hAnsiTheme="minorHAnsi"/>
          <w:sz w:val="24"/>
          <w:szCs w:val="24"/>
        </w:rPr>
        <w:t>On this basis, the most prevalent definition of depoliticisation in the existing literature is the one developed by Peter Burnham with specific reference to the Blair government’s economic policies in the 1990s. Burnham defines depoliticisation as:</w:t>
      </w:r>
    </w:p>
    <w:p w:rsidR="00735368" w:rsidRDefault="00735368">
      <w:pPr>
        <w:pStyle w:val="Normal1"/>
        <w:spacing w:line="100" w:lineRule="atLeast"/>
        <w:ind w:left="720" w:right="720" w:firstLine="700"/>
        <w:jc w:val="both"/>
        <w:rPr>
          <w:rFonts w:asciiTheme="minorHAnsi" w:hAnsiTheme="minorHAnsi"/>
          <w:sz w:val="24"/>
          <w:szCs w:val="24"/>
        </w:rPr>
      </w:pPr>
    </w:p>
    <w:p w:rsidR="006A3E45" w:rsidRDefault="00514438">
      <w:pPr>
        <w:pStyle w:val="Normal1"/>
        <w:spacing w:line="100" w:lineRule="atLeast"/>
        <w:ind w:left="1440" w:right="720"/>
        <w:jc w:val="both"/>
        <w:rPr>
          <w:rFonts w:asciiTheme="minorHAnsi" w:hAnsiTheme="minorHAnsi"/>
          <w:sz w:val="24"/>
          <w:szCs w:val="24"/>
        </w:rPr>
      </w:pPr>
      <w:r w:rsidRPr="006931E8">
        <w:rPr>
          <w:rFonts w:asciiTheme="minorHAnsi" w:hAnsiTheme="minorHAnsi"/>
          <w:sz w:val="24"/>
          <w:szCs w:val="24"/>
        </w:rPr>
        <w:t>placing at one remove the political character of decision-making. In many respects, state managers retain arm’s-length control over crucial economic and social processes whilst simultaneously benefiting from the distancing effects of depoliticisation... By switching from a politicised (discretion-based) to a depoliticised (rule-based) system, governments establish credible rules for economic management, thereby altering expectations concerning wage claims, in addition to 'externalising' responsibility for the imposition of financial discipline (2001: 128).</w:t>
      </w:r>
    </w:p>
    <w:p w:rsidR="00514438" w:rsidRPr="006931E8" w:rsidRDefault="00514438" w:rsidP="0079076D">
      <w:pPr>
        <w:pStyle w:val="Normal1"/>
        <w:spacing w:line="100" w:lineRule="atLeast"/>
        <w:ind w:left="720" w:right="720" w:firstLine="700"/>
        <w:jc w:val="both"/>
        <w:rPr>
          <w:rFonts w:asciiTheme="minorHAnsi" w:hAnsiTheme="minorHAnsi"/>
          <w:sz w:val="24"/>
          <w:szCs w:val="24"/>
        </w:rPr>
      </w:pPr>
    </w:p>
    <w:p w:rsidR="00514438" w:rsidRPr="006931E8" w:rsidRDefault="00514438" w:rsidP="000F4BEA">
      <w:pPr>
        <w:pStyle w:val="Normal1"/>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Depoliticisation is conceived here as a </w:t>
      </w:r>
      <w:r w:rsidRPr="006931E8">
        <w:rPr>
          <w:rFonts w:asciiTheme="minorHAnsi" w:hAnsiTheme="minorHAnsi"/>
          <w:i/>
          <w:sz w:val="24"/>
          <w:szCs w:val="24"/>
        </w:rPr>
        <w:t>governing strategy</w:t>
      </w:r>
      <w:r w:rsidRPr="006931E8">
        <w:rPr>
          <w:rFonts w:asciiTheme="minorHAnsi" w:hAnsiTheme="minorHAnsi"/>
          <w:sz w:val="24"/>
          <w:szCs w:val="24"/>
        </w:rPr>
        <w:t xml:space="preserve"> and, therefore, retains its political character, albeit appearing otherwise. Recent research has drawn on this framework to move it beyond the governmental sphere (Hay, 2007: 82-9) and proposed “governmental/societal/discursive depoliticisation” on the basis of the actors and forms involved in particular issue areas and contexts (Wood and Flinders, 2014). </w:t>
      </w:r>
    </w:p>
    <w:p w:rsidR="00735368" w:rsidRDefault="00735368">
      <w:pPr>
        <w:pStyle w:val="Normal1"/>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A similar set of subtleties and complexities can be found with respect to the </w:t>
      </w:r>
      <w:proofErr w:type="spellStart"/>
      <w:r w:rsidRPr="006931E8">
        <w:rPr>
          <w:rFonts w:asciiTheme="minorHAnsi" w:hAnsiTheme="minorHAnsi"/>
          <w:sz w:val="24"/>
          <w:szCs w:val="24"/>
        </w:rPr>
        <w:t>conceptualisation</w:t>
      </w:r>
      <w:proofErr w:type="spellEnd"/>
      <w:r w:rsidRPr="006931E8">
        <w:rPr>
          <w:rFonts w:asciiTheme="minorHAnsi" w:hAnsiTheme="minorHAnsi"/>
          <w:sz w:val="24"/>
          <w:szCs w:val="24"/>
        </w:rPr>
        <w:t xml:space="preserve"> of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However, </w:t>
      </w:r>
      <w:r w:rsidR="00D67542">
        <w:rPr>
          <w:rFonts w:asciiTheme="minorHAnsi" w:hAnsiTheme="minorHAnsi"/>
          <w:sz w:val="24"/>
          <w:szCs w:val="24"/>
        </w:rPr>
        <w:t xml:space="preserve">it </w:t>
      </w:r>
      <w:r w:rsidRPr="006931E8">
        <w:rPr>
          <w:rFonts w:asciiTheme="minorHAnsi" w:hAnsiTheme="minorHAnsi"/>
          <w:sz w:val="24"/>
          <w:szCs w:val="24"/>
        </w:rPr>
        <w:t xml:space="preserve">remains more underspecified, leading to multiple, sometimes conflicting definitions and normative </w:t>
      </w:r>
      <w:r w:rsidR="00D67542">
        <w:rPr>
          <w:rFonts w:asciiTheme="minorHAnsi" w:hAnsiTheme="minorHAnsi"/>
          <w:sz w:val="24"/>
          <w:szCs w:val="24"/>
        </w:rPr>
        <w:t>values</w:t>
      </w:r>
      <w:r w:rsidR="00D67542" w:rsidRPr="006931E8">
        <w:rPr>
          <w:rFonts w:asciiTheme="minorHAnsi" w:hAnsiTheme="minorHAnsi"/>
          <w:sz w:val="24"/>
          <w:szCs w:val="24"/>
        </w:rPr>
        <w:t xml:space="preserve"> </w:t>
      </w:r>
      <w:r w:rsidR="00D67542">
        <w:rPr>
          <w:rFonts w:asciiTheme="minorHAnsi" w:hAnsiTheme="minorHAnsi"/>
          <w:sz w:val="24"/>
          <w:szCs w:val="24"/>
        </w:rPr>
        <w:t>attributed</w:t>
      </w:r>
      <w:r w:rsidR="00D67542" w:rsidRPr="006931E8">
        <w:rPr>
          <w:rFonts w:asciiTheme="minorHAnsi" w:hAnsiTheme="minorHAnsi"/>
          <w:sz w:val="24"/>
          <w:szCs w:val="24"/>
        </w:rPr>
        <w:t xml:space="preserve"> </w:t>
      </w:r>
      <w:r w:rsidRPr="006931E8">
        <w:rPr>
          <w:rFonts w:asciiTheme="minorHAnsi" w:hAnsiTheme="minorHAnsi"/>
          <w:sz w:val="24"/>
          <w:szCs w:val="24"/>
        </w:rPr>
        <w:t xml:space="preserve">to it. In the mainstream thinking, the link between unorthodox economic policy and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hinges on the notion of discretionary monetary policy, where the electoral cycle is coupled with the business cycle for “short-term elect</w:t>
      </w:r>
      <w:r w:rsidR="00D3110B">
        <w:rPr>
          <w:rFonts w:asciiTheme="minorHAnsi" w:hAnsiTheme="minorHAnsi"/>
          <w:sz w:val="24"/>
          <w:szCs w:val="24"/>
        </w:rPr>
        <w:t xml:space="preserve">oral expediency” (Hay, 2007: </w:t>
      </w:r>
      <w:r w:rsidRPr="006931E8">
        <w:rPr>
          <w:rFonts w:asciiTheme="minorHAnsi" w:hAnsiTheme="minorHAnsi"/>
          <w:sz w:val="24"/>
          <w:szCs w:val="24"/>
        </w:rPr>
        <w:t>115).  This more discretionary monetary policy then translates into control and management of governance by the executive, and autonomy of the said body is decreased. Unlike the mainstream scholarship which approaches these dynamics in a rather formalistic, binary fashion devoid of political content, the notion gains a critical character when, as outlined above, it is conceived within a broader perspective of diverse governing strategies of the capitalist states in historical perspective.</w:t>
      </w:r>
    </w:p>
    <w:p w:rsidR="00735368" w:rsidRDefault="00514438">
      <w:pPr>
        <w:pStyle w:val="Normal1"/>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It is therefore crucial to specify </w:t>
      </w:r>
      <w:r w:rsidRPr="006931E8">
        <w:rPr>
          <w:rFonts w:asciiTheme="minorHAnsi" w:hAnsiTheme="minorHAnsi"/>
          <w:i/>
          <w:sz w:val="24"/>
          <w:szCs w:val="24"/>
        </w:rPr>
        <w:t>what/which issue area</w:t>
      </w:r>
      <w:r w:rsidRPr="006931E8">
        <w:rPr>
          <w:rFonts w:asciiTheme="minorHAnsi" w:hAnsiTheme="minorHAnsi"/>
          <w:sz w:val="24"/>
          <w:szCs w:val="24"/>
        </w:rPr>
        <w:t xml:space="preserve"> is being (re)politicised, </w:t>
      </w:r>
      <w:r w:rsidRPr="006931E8">
        <w:rPr>
          <w:rFonts w:asciiTheme="minorHAnsi" w:hAnsiTheme="minorHAnsi"/>
          <w:i/>
          <w:sz w:val="24"/>
          <w:szCs w:val="24"/>
        </w:rPr>
        <w:t>by whom</w:t>
      </w:r>
      <w:r w:rsidRPr="006931E8">
        <w:rPr>
          <w:rFonts w:asciiTheme="minorHAnsi" w:hAnsiTheme="minorHAnsi"/>
          <w:sz w:val="24"/>
          <w:szCs w:val="24"/>
        </w:rPr>
        <w:t xml:space="preserve"> and in </w:t>
      </w:r>
      <w:r w:rsidRPr="006931E8">
        <w:rPr>
          <w:rFonts w:asciiTheme="minorHAnsi" w:hAnsiTheme="minorHAnsi"/>
          <w:i/>
          <w:sz w:val="24"/>
          <w:szCs w:val="24"/>
        </w:rPr>
        <w:t>what way/form</w:t>
      </w:r>
      <w:r w:rsidRPr="006931E8">
        <w:rPr>
          <w:rFonts w:asciiTheme="minorHAnsi" w:hAnsiTheme="minorHAnsi"/>
          <w:sz w:val="24"/>
          <w:szCs w:val="24"/>
        </w:rPr>
        <w:t xml:space="preserve"> in order to provide a meaningful critical assessment. In other words, instead of conceiving of (de)politicisation ‘in general’, we approach it as cases of (de)politicisation ‘in particular’ to be understood in contextual terms.</w:t>
      </w:r>
    </w:p>
    <w:p w:rsidR="00735368" w:rsidRDefault="00735368">
      <w:pPr>
        <w:pStyle w:val="Normal1"/>
        <w:spacing w:line="100" w:lineRule="atLeast"/>
        <w:ind w:left="720" w:right="720"/>
        <w:jc w:val="both"/>
        <w:rPr>
          <w:rFonts w:asciiTheme="minorHAnsi" w:hAnsiTheme="minorHAnsi"/>
          <w:sz w:val="24"/>
          <w:szCs w:val="24"/>
        </w:rPr>
      </w:pPr>
    </w:p>
    <w:p w:rsidR="00735368" w:rsidRDefault="00514438">
      <w:pPr>
        <w:pStyle w:val="Normal1"/>
        <w:spacing w:line="100" w:lineRule="atLeast"/>
        <w:ind w:left="720" w:right="720"/>
        <w:jc w:val="both"/>
        <w:rPr>
          <w:rFonts w:asciiTheme="minorHAnsi" w:hAnsiTheme="minorHAnsi"/>
          <w:sz w:val="24"/>
          <w:szCs w:val="24"/>
        </w:rPr>
      </w:pPr>
      <w:r w:rsidRPr="006931E8">
        <w:rPr>
          <w:rFonts w:asciiTheme="minorHAnsi" w:hAnsiTheme="minorHAnsi"/>
          <w:sz w:val="24"/>
          <w:szCs w:val="24"/>
        </w:rPr>
        <w:t>In this article, we conceive monetary policy to be closely connected with the governing forms of broader capitalist social relations of which the state is a constitutive part.</w:t>
      </w:r>
      <w:r w:rsidR="00D67542">
        <w:rPr>
          <w:rFonts w:asciiTheme="minorHAnsi" w:hAnsiTheme="minorHAnsi"/>
          <w:sz w:val="24"/>
          <w:szCs w:val="24"/>
        </w:rPr>
        <w:t xml:space="preserve"> Against this background</w:t>
      </w:r>
      <w:r w:rsidRPr="006931E8">
        <w:rPr>
          <w:rFonts w:asciiTheme="minorHAnsi" w:hAnsiTheme="minorHAnsi"/>
          <w:sz w:val="24"/>
          <w:szCs w:val="24"/>
        </w:rPr>
        <w:t xml:space="preserve">, the term </w:t>
      </w:r>
      <w:r w:rsidRPr="006931E8">
        <w:rPr>
          <w:rFonts w:asciiTheme="minorHAnsi" w:hAnsiTheme="minorHAnsi"/>
          <w:i/>
          <w:sz w:val="24"/>
          <w:szCs w:val="24"/>
        </w:rPr>
        <w:t>governmental politicisation</w:t>
      </w:r>
      <w:r w:rsidRPr="006931E8">
        <w:rPr>
          <w:rFonts w:asciiTheme="minorHAnsi" w:hAnsiTheme="minorHAnsi"/>
          <w:sz w:val="24"/>
          <w:szCs w:val="24"/>
        </w:rPr>
        <w:t xml:space="preserve"> will refer to the act of returning </w:t>
      </w:r>
      <w:r w:rsidRPr="006931E8">
        <w:rPr>
          <w:rFonts w:asciiTheme="minorHAnsi" w:hAnsiTheme="minorHAnsi"/>
          <w:i/>
          <w:sz w:val="24"/>
          <w:szCs w:val="24"/>
        </w:rPr>
        <w:t>visibility</w:t>
      </w:r>
      <w:r w:rsidRPr="006931E8">
        <w:rPr>
          <w:rFonts w:asciiTheme="minorHAnsi" w:hAnsiTheme="minorHAnsi"/>
          <w:sz w:val="24"/>
          <w:szCs w:val="24"/>
        </w:rPr>
        <w:t xml:space="preserve"> to the political character and control of </w:t>
      </w:r>
      <w:r w:rsidRPr="006931E8">
        <w:rPr>
          <w:rFonts w:asciiTheme="minorHAnsi" w:hAnsiTheme="minorHAnsi"/>
          <w:sz w:val="24"/>
          <w:szCs w:val="24"/>
        </w:rPr>
        <w:lastRenderedPageBreak/>
        <w:t>decision making by</w:t>
      </w:r>
      <w:r w:rsidR="00B722FF">
        <w:rPr>
          <w:rFonts w:asciiTheme="minorHAnsi" w:hAnsiTheme="minorHAnsi"/>
          <w:sz w:val="24"/>
          <w:szCs w:val="24"/>
        </w:rPr>
        <w:t xml:space="preserve"> </w:t>
      </w:r>
      <w:r w:rsidRPr="006931E8">
        <w:rPr>
          <w:rFonts w:asciiTheme="minorHAnsi" w:hAnsiTheme="minorHAnsi"/>
          <w:sz w:val="24"/>
          <w:szCs w:val="24"/>
        </w:rPr>
        <w:t xml:space="preserve">the government through substantive policy measures. Relatedly, </w:t>
      </w:r>
      <w:r w:rsidRPr="006931E8">
        <w:rPr>
          <w:rFonts w:asciiTheme="minorHAnsi" w:hAnsiTheme="minorHAnsi"/>
          <w:i/>
          <w:sz w:val="24"/>
          <w:szCs w:val="24"/>
        </w:rPr>
        <w:t>discursive politicisation</w:t>
      </w:r>
      <w:r w:rsidRPr="006931E8">
        <w:rPr>
          <w:rFonts w:asciiTheme="minorHAnsi" w:hAnsiTheme="minorHAnsi"/>
          <w:sz w:val="24"/>
          <w:szCs w:val="24"/>
        </w:rPr>
        <w:t xml:space="preserve"> will address the rhetorical problematisation of an alleged need to politicise decision making </w:t>
      </w:r>
      <w:r w:rsidRPr="006931E8">
        <w:rPr>
          <w:rFonts w:asciiTheme="minorHAnsi" w:hAnsiTheme="minorHAnsi"/>
          <w:i/>
          <w:sz w:val="24"/>
          <w:szCs w:val="24"/>
        </w:rPr>
        <w:t>by</w:t>
      </w:r>
      <w:r w:rsidRPr="006931E8">
        <w:rPr>
          <w:rFonts w:asciiTheme="minorHAnsi" w:hAnsiTheme="minorHAnsi"/>
          <w:sz w:val="24"/>
          <w:szCs w:val="24"/>
        </w:rPr>
        <w:t xml:space="preserve"> the state managers (with or without fully materialising in governmental politicisation</w:t>
      </w:r>
      <w:r w:rsidR="00D67542">
        <w:rPr>
          <w:rFonts w:asciiTheme="minorHAnsi" w:hAnsiTheme="minorHAnsi"/>
          <w:sz w:val="24"/>
          <w:szCs w:val="24"/>
        </w:rPr>
        <w:t xml:space="preserve"> or at times accompanied with the depoliticisation strategy</w:t>
      </w:r>
      <w:r w:rsidRPr="006931E8">
        <w:rPr>
          <w:rFonts w:asciiTheme="minorHAnsi" w:hAnsiTheme="minorHAnsi"/>
          <w:sz w:val="24"/>
          <w:szCs w:val="24"/>
        </w:rPr>
        <w:t>).</w:t>
      </w:r>
    </w:p>
    <w:p w:rsidR="00735368" w:rsidRDefault="00735368">
      <w:pPr>
        <w:pStyle w:val="Normal1"/>
        <w:spacing w:line="100" w:lineRule="atLeast"/>
        <w:ind w:left="720" w:right="720" w:firstLine="720"/>
        <w:jc w:val="both"/>
        <w:rPr>
          <w:rFonts w:asciiTheme="minorHAnsi" w:hAnsiTheme="minorHAnsi"/>
          <w:sz w:val="24"/>
          <w:szCs w:val="24"/>
        </w:rPr>
      </w:pPr>
    </w:p>
    <w:p w:rsidR="00735368" w:rsidRDefault="00514438" w:rsidP="00833C44">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Since the late 1970s, orthodox monetary policy has come to entail a “dedication to price </w:t>
      </w:r>
      <w:proofErr w:type="spellStart"/>
      <w:proofErr w:type="gramStart"/>
      <w:r w:rsidRPr="006931E8">
        <w:rPr>
          <w:rFonts w:asciiTheme="minorHAnsi" w:hAnsiTheme="minorHAnsi"/>
          <w:sz w:val="24"/>
          <w:szCs w:val="24"/>
        </w:rPr>
        <w:t>stability”</w:t>
      </w:r>
      <w:r w:rsidR="00833C44">
        <w:rPr>
          <w:rFonts w:asciiTheme="minorHAnsi" w:hAnsiTheme="minorHAnsi"/>
          <w:sz w:val="24"/>
          <w:szCs w:val="24"/>
        </w:rPr>
        <w:t>which</w:t>
      </w:r>
      <w:proofErr w:type="spellEnd"/>
      <w:proofErr w:type="gramEnd"/>
      <w:r w:rsidR="00833C44">
        <w:rPr>
          <w:rFonts w:asciiTheme="minorHAnsi" w:hAnsiTheme="minorHAnsi"/>
          <w:sz w:val="24"/>
          <w:szCs w:val="24"/>
        </w:rPr>
        <w:t xml:space="preserve"> implies </w:t>
      </w:r>
      <w:r w:rsidRPr="006931E8">
        <w:rPr>
          <w:rFonts w:asciiTheme="minorHAnsi" w:hAnsiTheme="minorHAnsi"/>
          <w:sz w:val="24"/>
          <w:szCs w:val="24"/>
        </w:rPr>
        <w:t>the seemingly non-negotiable subordination of so-called “real macro-economic outcomes” (e.g., (un)employment, real GDP and its growth rate) to maintaining the stability of the price level, as well as fiscal discipline) (</w:t>
      </w:r>
      <w:r w:rsidR="00D3110B">
        <w:rPr>
          <w:rFonts w:asciiTheme="minorHAnsi" w:hAnsiTheme="minorHAnsi"/>
          <w:sz w:val="24"/>
          <w:szCs w:val="24"/>
        </w:rPr>
        <w:t xml:space="preserve">Tobin, 1999: </w:t>
      </w:r>
      <w:r w:rsidR="00833C44" w:rsidRPr="006931E8">
        <w:rPr>
          <w:rFonts w:asciiTheme="minorHAnsi" w:hAnsiTheme="minorHAnsi"/>
          <w:sz w:val="24"/>
          <w:szCs w:val="24"/>
        </w:rPr>
        <w:t>14</w:t>
      </w:r>
      <w:r w:rsidRPr="006931E8">
        <w:rPr>
          <w:rFonts w:asciiTheme="minorHAnsi" w:hAnsiTheme="minorHAnsi"/>
          <w:sz w:val="24"/>
          <w:szCs w:val="24"/>
        </w:rPr>
        <w:t>). In this context central bank independence is conceived as a means to thwarting the “political business cycle” problem lamented by neoliberal and public choice theorists and “widely promoted by a range of international institutions, such as the World Bank, the International Monetary Fund, and the European Commission, as the most effective guarantor of sound monetary policy” (Hay, 2007: 113). Otherwise, in the interest of winning office, “rational</w:t>
      </w:r>
      <w:r w:rsidRPr="006931E8">
        <w:rPr>
          <w:rFonts w:asciiTheme="minorHAnsi" w:hAnsiTheme="minorHAnsi"/>
          <w:i/>
          <w:sz w:val="24"/>
          <w:szCs w:val="24"/>
        </w:rPr>
        <w:t xml:space="preserve"> </w:t>
      </w:r>
      <w:r w:rsidRPr="006931E8">
        <w:rPr>
          <w:rFonts w:asciiTheme="minorHAnsi" w:hAnsiTheme="minorHAnsi"/>
          <w:sz w:val="24"/>
          <w:szCs w:val="24"/>
        </w:rPr>
        <w:t xml:space="preserve">political actors” are incentivized to set inflation targets “that they have no intention of keeping” while market actors will theoretically “anticipate” inflation—a response resulting in higher average unemployment, inflation, and interest rates, as well as lower levels of </w:t>
      </w:r>
      <w:r w:rsidRPr="006931E8">
        <w:rPr>
          <w:rFonts w:asciiTheme="minorHAnsi" w:hAnsiTheme="minorHAnsi"/>
          <w:color w:val="000000"/>
          <w:sz w:val="24"/>
          <w:szCs w:val="24"/>
        </w:rPr>
        <w:t>investment (</w:t>
      </w:r>
      <w:proofErr w:type="spellStart"/>
      <w:r w:rsidRPr="006931E8">
        <w:rPr>
          <w:rFonts w:asciiTheme="minorHAnsi" w:hAnsiTheme="minorHAnsi"/>
          <w:color w:val="000000"/>
          <w:sz w:val="24"/>
          <w:szCs w:val="24"/>
        </w:rPr>
        <w:t>Alesina</w:t>
      </w:r>
      <w:proofErr w:type="spellEnd"/>
      <w:r w:rsidRPr="006931E8">
        <w:rPr>
          <w:rFonts w:asciiTheme="minorHAnsi" w:hAnsiTheme="minorHAnsi"/>
          <w:color w:val="000000"/>
          <w:sz w:val="24"/>
          <w:szCs w:val="24"/>
        </w:rPr>
        <w:t xml:space="preserve">, 1989; </w:t>
      </w:r>
      <w:proofErr w:type="spellStart"/>
      <w:r w:rsidRPr="006931E8">
        <w:rPr>
          <w:rFonts w:asciiTheme="minorHAnsi" w:hAnsiTheme="minorHAnsi"/>
          <w:color w:val="000000"/>
          <w:sz w:val="24"/>
          <w:szCs w:val="24"/>
        </w:rPr>
        <w:t>Kydland</w:t>
      </w:r>
      <w:proofErr w:type="spellEnd"/>
      <w:r w:rsidRPr="006931E8">
        <w:rPr>
          <w:rFonts w:asciiTheme="minorHAnsi" w:hAnsiTheme="minorHAnsi"/>
          <w:color w:val="000000"/>
          <w:sz w:val="24"/>
          <w:szCs w:val="24"/>
        </w:rPr>
        <w:t xml:space="preserve"> and Prescott, 1</w:t>
      </w:r>
      <w:r w:rsidR="00D3110B">
        <w:rPr>
          <w:rFonts w:asciiTheme="minorHAnsi" w:hAnsiTheme="minorHAnsi"/>
          <w:color w:val="000000"/>
          <w:sz w:val="24"/>
          <w:szCs w:val="24"/>
        </w:rPr>
        <w:t xml:space="preserve">977 in Hay, 2007: </w:t>
      </w:r>
      <w:r w:rsidRPr="006931E8">
        <w:rPr>
          <w:rFonts w:asciiTheme="minorHAnsi" w:hAnsiTheme="minorHAnsi"/>
          <w:color w:val="000000"/>
          <w:sz w:val="24"/>
          <w:szCs w:val="24"/>
        </w:rPr>
        <w:t xml:space="preserve">114). </w:t>
      </w:r>
      <w:r w:rsidRPr="006931E8">
        <w:rPr>
          <w:rFonts w:asciiTheme="minorHAnsi" w:hAnsiTheme="minorHAnsi"/>
          <w:sz w:val="24"/>
          <w:szCs w:val="24"/>
        </w:rPr>
        <w:t>Not bound by electoral commitments independent professional central bankers could treat “potential[</w:t>
      </w:r>
      <w:proofErr w:type="spellStart"/>
      <w:r w:rsidRPr="006931E8">
        <w:rPr>
          <w:rFonts w:asciiTheme="minorHAnsi" w:hAnsiTheme="minorHAnsi"/>
          <w:sz w:val="24"/>
          <w:szCs w:val="24"/>
        </w:rPr>
        <w:t>ly</w:t>
      </w:r>
      <w:proofErr w:type="spellEnd"/>
      <w:r w:rsidRPr="006931E8">
        <w:rPr>
          <w:rFonts w:asciiTheme="minorHAnsi" w:hAnsiTheme="minorHAnsi"/>
          <w:sz w:val="24"/>
          <w:szCs w:val="24"/>
        </w:rPr>
        <w:t>] public and political disputes about appropriate instruments and settings” as “purely private and technical matters” (Hay, 2007</w:t>
      </w:r>
      <w:r w:rsidR="00D3110B">
        <w:rPr>
          <w:rFonts w:asciiTheme="minorHAnsi" w:hAnsiTheme="minorHAnsi"/>
          <w:sz w:val="24"/>
          <w:szCs w:val="24"/>
        </w:rPr>
        <w:t xml:space="preserve">: </w:t>
      </w:r>
      <w:r w:rsidRPr="006931E8">
        <w:rPr>
          <w:rFonts w:asciiTheme="minorHAnsi" w:hAnsiTheme="minorHAnsi"/>
          <w:sz w:val="24"/>
          <w:szCs w:val="24"/>
        </w:rPr>
        <w:t xml:space="preserve">116-17). </w:t>
      </w:r>
    </w:p>
    <w:p w:rsidR="00415D9B" w:rsidRDefault="00415D9B" w:rsidP="00833C44">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From 2008 onwards, however,</w:t>
      </w:r>
      <w:r w:rsidR="00B722FF">
        <w:rPr>
          <w:rFonts w:asciiTheme="minorHAnsi" w:hAnsiTheme="minorHAnsi"/>
          <w:sz w:val="24"/>
          <w:szCs w:val="24"/>
        </w:rPr>
        <w:t xml:space="preserve"> </w:t>
      </w:r>
      <w:r w:rsidRPr="006931E8">
        <w:rPr>
          <w:rFonts w:asciiTheme="minorHAnsi" w:hAnsiTheme="minorHAnsi"/>
          <w:sz w:val="24"/>
          <w:szCs w:val="24"/>
        </w:rPr>
        <w:t>we observe an emerging trend of a re-consideration, critique and, in certain cases, reversal of the prior orthodox strategies p</w:t>
      </w:r>
      <w:r w:rsidR="00833C44">
        <w:rPr>
          <w:rFonts w:asciiTheme="minorHAnsi" w:hAnsiTheme="minorHAnsi"/>
          <w:sz w:val="24"/>
          <w:szCs w:val="24"/>
        </w:rPr>
        <w:t xml:space="preserve">ursued in economic management </w:t>
      </w:r>
      <w:r w:rsidRPr="006931E8">
        <w:rPr>
          <w:rFonts w:asciiTheme="minorHAnsi" w:hAnsiTheme="minorHAnsi"/>
          <w:sz w:val="24"/>
          <w:szCs w:val="24"/>
        </w:rPr>
        <w:t xml:space="preserve">(Morgan, 2009; </w:t>
      </w:r>
      <w:proofErr w:type="spellStart"/>
      <w:r w:rsidRPr="006931E8">
        <w:rPr>
          <w:rFonts w:asciiTheme="minorHAnsi" w:hAnsiTheme="minorHAnsi"/>
          <w:sz w:val="24"/>
          <w:szCs w:val="24"/>
        </w:rPr>
        <w:t>Mojon</w:t>
      </w:r>
      <w:proofErr w:type="spellEnd"/>
      <w:r w:rsidRPr="006931E8">
        <w:rPr>
          <w:rFonts w:asciiTheme="minorHAnsi" w:hAnsiTheme="minorHAnsi"/>
          <w:sz w:val="24"/>
          <w:szCs w:val="24"/>
        </w:rPr>
        <w:t xml:space="preserve">, 2010; Mackintosh, 2014, </w:t>
      </w:r>
      <w:proofErr w:type="spellStart"/>
      <w:r w:rsidRPr="006931E8">
        <w:rPr>
          <w:rFonts w:asciiTheme="minorHAnsi" w:hAnsiTheme="minorHAnsi"/>
          <w:sz w:val="24"/>
          <w:szCs w:val="24"/>
        </w:rPr>
        <w:t>Moschella</w:t>
      </w:r>
      <w:proofErr w:type="spellEnd"/>
      <w:r w:rsidRPr="006931E8">
        <w:rPr>
          <w:rFonts w:asciiTheme="minorHAnsi" w:hAnsiTheme="minorHAnsi"/>
          <w:sz w:val="24"/>
          <w:szCs w:val="24"/>
        </w:rPr>
        <w:t>, 2015). Especially evident from the early 2010s, these gradual and often ad-hoc changes in central banking practices across the globe have been accompanied by a discursive turn towards attributing a more active role to central banks in matters of growth, financial stability and employment (Cukierman, 2011). The crisis has also thrown into question the alleged credibility and trust of central bank policies in the eyes of the public (</w:t>
      </w:r>
      <w:proofErr w:type="spellStart"/>
      <w:r w:rsidRPr="006931E8">
        <w:rPr>
          <w:rFonts w:asciiTheme="minorHAnsi" w:hAnsiTheme="minorHAnsi"/>
          <w:sz w:val="24"/>
          <w:szCs w:val="24"/>
        </w:rPr>
        <w:t>Walti</w:t>
      </w:r>
      <w:proofErr w:type="spellEnd"/>
      <w:r w:rsidRPr="006931E8">
        <w:rPr>
          <w:rFonts w:asciiTheme="minorHAnsi" w:hAnsiTheme="minorHAnsi"/>
          <w:sz w:val="24"/>
          <w:szCs w:val="24"/>
        </w:rPr>
        <w:t>, 2012; Roth et. al., 2014). Against this background, we turn our attention to the two country cases to trace both the material and discursive changes in central banking and what they mean in terms of a larger scale transformation of state and social relations in times of crisis.</w:t>
      </w:r>
    </w:p>
    <w:p w:rsidR="00415D9B" w:rsidRDefault="00415D9B">
      <w:pPr>
        <w:spacing w:line="100" w:lineRule="atLeast"/>
        <w:ind w:left="720" w:right="720"/>
        <w:jc w:val="both"/>
        <w:rPr>
          <w:rFonts w:asciiTheme="minorHAnsi" w:hAnsiTheme="minorHAnsi"/>
          <w:b/>
          <w:sz w:val="24"/>
          <w:szCs w:val="24"/>
        </w:rPr>
      </w:pPr>
    </w:p>
    <w:p w:rsidR="00735368" w:rsidRDefault="00514438">
      <w:pPr>
        <w:pStyle w:val="ListParagraph"/>
        <w:numPr>
          <w:ilvl w:val="0"/>
          <w:numId w:val="4"/>
        </w:numPr>
        <w:spacing w:line="100" w:lineRule="atLeast"/>
        <w:ind w:right="720"/>
        <w:jc w:val="both"/>
        <w:rPr>
          <w:rFonts w:asciiTheme="minorHAnsi" w:hAnsiTheme="minorHAnsi"/>
          <w:sz w:val="24"/>
          <w:szCs w:val="24"/>
        </w:rPr>
      </w:pPr>
      <w:r w:rsidRPr="006931E8">
        <w:rPr>
          <w:rFonts w:asciiTheme="minorHAnsi" w:eastAsia="Times New Roman" w:hAnsiTheme="minorHAnsi"/>
          <w:b/>
          <w:sz w:val="24"/>
          <w:szCs w:val="24"/>
        </w:rPr>
        <w:t xml:space="preserve">Case Selection and Methods </w:t>
      </w:r>
    </w:p>
    <w:p w:rsidR="00132367" w:rsidRPr="00132367" w:rsidRDefault="00514438" w:rsidP="00132367">
      <w:pPr>
        <w:spacing w:line="100" w:lineRule="atLeast"/>
        <w:ind w:left="720" w:right="720"/>
        <w:jc w:val="both"/>
        <w:rPr>
          <w:rFonts w:asciiTheme="minorHAnsi" w:eastAsia="Times New Roman" w:hAnsiTheme="minorHAnsi"/>
          <w:sz w:val="24"/>
          <w:szCs w:val="24"/>
        </w:rPr>
      </w:pPr>
      <w:r w:rsidRPr="006931E8">
        <w:rPr>
          <w:rFonts w:asciiTheme="minorHAnsi" w:hAnsiTheme="minorHAnsi"/>
          <w:sz w:val="24"/>
          <w:szCs w:val="24"/>
        </w:rPr>
        <w:t xml:space="preserve">Turkey and Hungary </w:t>
      </w:r>
      <w:r w:rsidRPr="006931E8">
        <w:rPr>
          <w:rFonts w:asciiTheme="minorHAnsi" w:eastAsia="Times New Roman" w:hAnsiTheme="minorHAnsi"/>
          <w:sz w:val="24"/>
          <w:szCs w:val="24"/>
        </w:rPr>
        <w:t xml:space="preserve">have often been </w:t>
      </w:r>
      <w:proofErr w:type="spellStart"/>
      <w:r w:rsidRPr="006931E8">
        <w:rPr>
          <w:rFonts w:asciiTheme="minorHAnsi" w:eastAsia="Times New Roman" w:hAnsiTheme="minorHAnsi"/>
          <w:sz w:val="24"/>
          <w:szCs w:val="24"/>
        </w:rPr>
        <w:t>analysed</w:t>
      </w:r>
      <w:proofErr w:type="spellEnd"/>
      <w:r w:rsidRPr="006931E8">
        <w:rPr>
          <w:rFonts w:asciiTheme="minorHAnsi" w:eastAsia="Times New Roman" w:hAnsiTheme="minorHAnsi"/>
          <w:sz w:val="24"/>
          <w:szCs w:val="24"/>
        </w:rPr>
        <w:t xml:space="preserve"> in the scholarship as exceptional cases within their respective designated geographies of Central and Eastern and Southeastern Europe. Often particularistic and Eurocentric theoretical frameworks have been employed, perpetuating and deepening the stand-alone characteristics </w:t>
      </w:r>
      <w:r w:rsidRPr="006931E8">
        <w:rPr>
          <w:rFonts w:asciiTheme="minorHAnsi" w:eastAsia="Times New Roman" w:hAnsiTheme="minorHAnsi"/>
          <w:sz w:val="24"/>
          <w:szCs w:val="24"/>
        </w:rPr>
        <w:lastRenderedPageBreak/>
        <w:t xml:space="preserve">of each </w:t>
      </w:r>
      <w:r w:rsidR="00833C44">
        <w:rPr>
          <w:rFonts w:asciiTheme="minorHAnsi" w:eastAsia="Times New Roman" w:hAnsiTheme="minorHAnsi"/>
          <w:sz w:val="24"/>
          <w:szCs w:val="24"/>
        </w:rPr>
        <w:t>country case</w:t>
      </w:r>
      <w:r w:rsidRPr="006931E8">
        <w:rPr>
          <w:rFonts w:asciiTheme="minorHAnsi" w:eastAsia="Times New Roman" w:hAnsiTheme="minorHAnsi"/>
          <w:sz w:val="24"/>
          <w:szCs w:val="24"/>
        </w:rPr>
        <w:t>, in their deviation from the Western European ideal type</w:t>
      </w:r>
      <w:r w:rsidR="00132367">
        <w:rPr>
          <w:rFonts w:asciiTheme="minorHAnsi" w:eastAsia="Times New Roman" w:hAnsiTheme="minorHAnsi"/>
          <w:sz w:val="24"/>
          <w:szCs w:val="24"/>
        </w:rPr>
        <w:t xml:space="preserve"> </w:t>
      </w:r>
      <w:r w:rsidR="00132367" w:rsidRPr="00132367">
        <w:rPr>
          <w:rFonts w:asciiTheme="minorHAnsi" w:eastAsia="Times New Roman" w:hAnsiTheme="minorHAnsi"/>
          <w:sz w:val="24"/>
          <w:szCs w:val="24"/>
        </w:rPr>
        <w:t>(For a recent comparative assessment of the two country cases from such a perspective</w:t>
      </w:r>
    </w:p>
    <w:p w:rsidR="00833C44" w:rsidRPr="00132367" w:rsidRDefault="00132367" w:rsidP="00132367">
      <w:pPr>
        <w:spacing w:line="100" w:lineRule="atLeast"/>
        <w:ind w:left="720" w:right="720"/>
        <w:jc w:val="both"/>
        <w:rPr>
          <w:rFonts w:asciiTheme="minorHAnsi" w:eastAsia="Times New Roman" w:hAnsiTheme="minorHAnsi"/>
          <w:sz w:val="24"/>
          <w:szCs w:val="24"/>
        </w:rPr>
      </w:pPr>
      <w:r w:rsidRPr="00132367">
        <w:rPr>
          <w:rFonts w:asciiTheme="minorHAnsi" w:eastAsia="Times New Roman" w:hAnsiTheme="minorHAnsi"/>
          <w:sz w:val="24"/>
          <w:szCs w:val="24"/>
        </w:rPr>
        <w:t>with reference to the limits of the alleged ‘transformative power’</w:t>
      </w:r>
      <w:r>
        <w:rPr>
          <w:rFonts w:asciiTheme="minorHAnsi" w:eastAsia="Times New Roman" w:hAnsiTheme="minorHAnsi"/>
          <w:sz w:val="24"/>
          <w:szCs w:val="24"/>
        </w:rPr>
        <w:t xml:space="preserve"> of the EU, see </w:t>
      </w:r>
      <w:proofErr w:type="spellStart"/>
      <w:r>
        <w:rPr>
          <w:rFonts w:asciiTheme="minorHAnsi" w:eastAsia="Times New Roman" w:hAnsiTheme="minorHAnsi"/>
          <w:sz w:val="24"/>
          <w:szCs w:val="24"/>
        </w:rPr>
        <w:t>Onis</w:t>
      </w:r>
      <w:proofErr w:type="spellEnd"/>
      <w:r>
        <w:rPr>
          <w:rFonts w:asciiTheme="minorHAnsi" w:eastAsia="Times New Roman" w:hAnsiTheme="minorHAnsi"/>
          <w:sz w:val="24"/>
          <w:szCs w:val="24"/>
        </w:rPr>
        <w:t xml:space="preserve"> and </w:t>
      </w:r>
      <w:proofErr w:type="spellStart"/>
      <w:r>
        <w:rPr>
          <w:rFonts w:asciiTheme="minorHAnsi" w:eastAsia="Times New Roman" w:hAnsiTheme="minorHAnsi"/>
          <w:sz w:val="24"/>
          <w:szCs w:val="24"/>
        </w:rPr>
        <w:t>Kutlay</w:t>
      </w:r>
      <w:proofErr w:type="spellEnd"/>
      <w:r>
        <w:rPr>
          <w:rFonts w:asciiTheme="minorHAnsi" w:eastAsia="Times New Roman" w:hAnsiTheme="minorHAnsi"/>
          <w:sz w:val="24"/>
          <w:szCs w:val="24"/>
        </w:rPr>
        <w:t>, 2017)</w:t>
      </w:r>
      <w:r w:rsidR="00514438" w:rsidRPr="006931E8">
        <w:rPr>
          <w:rFonts w:asciiTheme="minorHAnsi" w:eastAsia="Times New Roman" w:hAnsiTheme="minorHAnsi"/>
          <w:sz w:val="24"/>
          <w:szCs w:val="24"/>
        </w:rPr>
        <w:t xml:space="preserve">. </w:t>
      </w:r>
      <w:r w:rsidR="00833C44">
        <w:rPr>
          <w:rFonts w:asciiTheme="minorHAnsi" w:hAnsiTheme="minorHAnsi"/>
          <w:sz w:val="24"/>
          <w:szCs w:val="24"/>
        </w:rPr>
        <w:t xml:space="preserve">Recent monetary policy changes in both countries </w:t>
      </w:r>
      <w:r w:rsidR="00514438" w:rsidRPr="006931E8">
        <w:rPr>
          <w:rFonts w:asciiTheme="minorHAnsi" w:hAnsiTheme="minorHAnsi"/>
          <w:sz w:val="24"/>
          <w:szCs w:val="24"/>
        </w:rPr>
        <w:t>have been previously</w:t>
      </w:r>
      <w:r w:rsidR="00833C44">
        <w:rPr>
          <w:rFonts w:asciiTheme="minorHAnsi" w:hAnsiTheme="minorHAnsi"/>
          <w:sz w:val="24"/>
          <w:szCs w:val="24"/>
        </w:rPr>
        <w:t xml:space="preserve"> assessed </w:t>
      </w:r>
      <w:r w:rsidR="000072A3">
        <w:rPr>
          <w:rFonts w:asciiTheme="minorHAnsi" w:hAnsiTheme="minorHAnsi"/>
          <w:sz w:val="24"/>
          <w:szCs w:val="24"/>
        </w:rPr>
        <w:t xml:space="preserve">either </w:t>
      </w:r>
      <w:r w:rsidR="00833C44">
        <w:rPr>
          <w:rFonts w:asciiTheme="minorHAnsi" w:hAnsiTheme="minorHAnsi"/>
          <w:sz w:val="24"/>
          <w:szCs w:val="24"/>
        </w:rPr>
        <w:t>in single case study design</w:t>
      </w:r>
      <w:r w:rsidR="00514438" w:rsidRPr="006931E8">
        <w:rPr>
          <w:rFonts w:asciiTheme="minorHAnsi" w:hAnsiTheme="minorHAnsi"/>
          <w:sz w:val="24"/>
          <w:szCs w:val="24"/>
        </w:rPr>
        <w:t xml:space="preserve"> (</w:t>
      </w:r>
      <w:proofErr w:type="spellStart"/>
      <w:r w:rsidR="00514438" w:rsidRPr="006931E8">
        <w:rPr>
          <w:rFonts w:asciiTheme="minorHAnsi" w:hAnsiTheme="minorHAnsi"/>
          <w:sz w:val="24"/>
          <w:szCs w:val="24"/>
        </w:rPr>
        <w:t>B</w:t>
      </w:r>
      <w:r w:rsidR="00833C44">
        <w:rPr>
          <w:rFonts w:asciiTheme="minorHAnsi" w:hAnsiTheme="minorHAnsi"/>
          <w:sz w:val="24"/>
          <w:szCs w:val="24"/>
        </w:rPr>
        <w:t>akir</w:t>
      </w:r>
      <w:proofErr w:type="spellEnd"/>
      <w:r w:rsidR="00833C44">
        <w:rPr>
          <w:rFonts w:asciiTheme="minorHAnsi" w:hAnsiTheme="minorHAnsi"/>
          <w:sz w:val="24"/>
          <w:szCs w:val="24"/>
        </w:rPr>
        <w:t xml:space="preserve">, 2007; </w:t>
      </w:r>
      <w:proofErr w:type="spellStart"/>
      <w:r w:rsidR="00833C44">
        <w:rPr>
          <w:rFonts w:asciiTheme="minorHAnsi" w:hAnsiTheme="minorHAnsi"/>
          <w:sz w:val="24"/>
          <w:szCs w:val="24"/>
        </w:rPr>
        <w:t>Akcay</w:t>
      </w:r>
      <w:proofErr w:type="spellEnd"/>
      <w:r w:rsidR="00833C44">
        <w:rPr>
          <w:rFonts w:asciiTheme="minorHAnsi" w:hAnsiTheme="minorHAnsi"/>
          <w:sz w:val="24"/>
          <w:szCs w:val="24"/>
        </w:rPr>
        <w:t>, 2009) or in</w:t>
      </w:r>
      <w:r w:rsidR="00514438" w:rsidRPr="006931E8">
        <w:rPr>
          <w:rFonts w:asciiTheme="minorHAnsi" w:hAnsiTheme="minorHAnsi"/>
          <w:sz w:val="24"/>
          <w:szCs w:val="24"/>
        </w:rPr>
        <w:t xml:space="preserve"> comparative research design which was positioned </w:t>
      </w:r>
      <w:r w:rsidR="000072A3">
        <w:rPr>
          <w:rFonts w:asciiTheme="minorHAnsi" w:hAnsiTheme="minorHAnsi"/>
          <w:sz w:val="24"/>
          <w:szCs w:val="24"/>
        </w:rPr>
        <w:t>within the geographical cluster</w:t>
      </w:r>
      <w:r w:rsidR="00514438" w:rsidRPr="006931E8">
        <w:rPr>
          <w:rFonts w:asciiTheme="minorHAnsi" w:hAnsiTheme="minorHAnsi"/>
          <w:sz w:val="24"/>
          <w:szCs w:val="24"/>
        </w:rPr>
        <w:t xml:space="preserve"> of Central </w:t>
      </w:r>
      <w:r w:rsidR="000072A3">
        <w:rPr>
          <w:rFonts w:asciiTheme="minorHAnsi" w:hAnsiTheme="minorHAnsi"/>
          <w:sz w:val="24"/>
          <w:szCs w:val="24"/>
        </w:rPr>
        <w:t xml:space="preserve">and Eastern Europe </w:t>
      </w:r>
      <w:r w:rsidR="00514438" w:rsidRPr="006931E8">
        <w:rPr>
          <w:rFonts w:asciiTheme="minorHAnsi" w:hAnsiTheme="minorHAnsi"/>
          <w:sz w:val="24"/>
          <w:szCs w:val="24"/>
        </w:rPr>
        <w:t xml:space="preserve">(Mero and </w:t>
      </w:r>
      <w:proofErr w:type="spellStart"/>
      <w:r w:rsidR="00514438" w:rsidRPr="006931E8">
        <w:rPr>
          <w:rFonts w:asciiTheme="minorHAnsi" w:hAnsiTheme="minorHAnsi"/>
          <w:sz w:val="24"/>
          <w:szCs w:val="24"/>
        </w:rPr>
        <w:t>Piroska</w:t>
      </w:r>
      <w:proofErr w:type="spellEnd"/>
      <w:r w:rsidR="00514438" w:rsidRPr="006931E8">
        <w:rPr>
          <w:rFonts w:asciiTheme="minorHAnsi" w:hAnsiTheme="minorHAnsi"/>
          <w:sz w:val="24"/>
          <w:szCs w:val="24"/>
        </w:rPr>
        <w:t xml:space="preserve">, 2016). </w:t>
      </w:r>
    </w:p>
    <w:p w:rsidR="005723B5" w:rsidRDefault="005723B5">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eastAsia="Times New Roman" w:hAnsiTheme="minorHAnsi"/>
          <w:sz w:val="24"/>
          <w:szCs w:val="24"/>
        </w:rPr>
        <w:t>Both countries underwent substantive restructuring in the pre-2008 context in line with both the framework of the Washington consensus</w:t>
      </w:r>
      <w:r>
        <w:rPr>
          <w:rFonts w:asciiTheme="minorHAnsi" w:eastAsia="Times New Roman" w:hAnsiTheme="minorHAnsi"/>
          <w:sz w:val="24"/>
          <w:szCs w:val="24"/>
        </w:rPr>
        <w:t xml:space="preserve"> </w:t>
      </w:r>
      <w:r w:rsidRPr="006931E8">
        <w:rPr>
          <w:rFonts w:asciiTheme="minorHAnsi" w:eastAsia="Times New Roman" w:hAnsiTheme="minorHAnsi"/>
          <w:sz w:val="24"/>
          <w:szCs w:val="24"/>
        </w:rPr>
        <w:t xml:space="preserve">and subsequent EU accession requirements (Sadler and Swain, 1994: 390-1; </w:t>
      </w:r>
      <w:proofErr w:type="spellStart"/>
      <w:r w:rsidRPr="006931E8">
        <w:rPr>
          <w:rFonts w:asciiTheme="minorHAnsi" w:eastAsia="Times New Roman" w:hAnsiTheme="minorHAnsi"/>
          <w:sz w:val="24"/>
          <w:szCs w:val="24"/>
        </w:rPr>
        <w:t>Bedirhanoglu</w:t>
      </w:r>
      <w:proofErr w:type="spellEnd"/>
      <w:r w:rsidRPr="006931E8">
        <w:rPr>
          <w:rFonts w:asciiTheme="minorHAnsi" w:eastAsia="Times New Roman" w:hAnsiTheme="minorHAnsi"/>
          <w:sz w:val="24"/>
          <w:szCs w:val="24"/>
        </w:rPr>
        <w:t xml:space="preserve">, 2007: 1246-8; Bohle and </w:t>
      </w:r>
      <w:proofErr w:type="spellStart"/>
      <w:r w:rsidRPr="006931E8">
        <w:rPr>
          <w:rFonts w:asciiTheme="minorHAnsi" w:eastAsia="Times New Roman" w:hAnsiTheme="minorHAnsi"/>
          <w:sz w:val="24"/>
          <w:szCs w:val="24"/>
        </w:rPr>
        <w:t>Greskovits</w:t>
      </w:r>
      <w:proofErr w:type="spellEnd"/>
      <w:r w:rsidRPr="006931E8">
        <w:rPr>
          <w:rFonts w:asciiTheme="minorHAnsi" w:eastAsia="Times New Roman" w:hAnsiTheme="minorHAnsi"/>
          <w:sz w:val="24"/>
          <w:szCs w:val="24"/>
        </w:rPr>
        <w:t xml:space="preserve">, 2007: 109, </w:t>
      </w:r>
      <w:proofErr w:type="spellStart"/>
      <w:r w:rsidRPr="006931E8">
        <w:rPr>
          <w:rFonts w:asciiTheme="minorHAnsi" w:eastAsia="Times New Roman" w:hAnsiTheme="minorHAnsi"/>
          <w:sz w:val="24"/>
          <w:szCs w:val="24"/>
        </w:rPr>
        <w:t>Bakir</w:t>
      </w:r>
      <w:proofErr w:type="spellEnd"/>
      <w:r w:rsidRPr="006931E8">
        <w:rPr>
          <w:rFonts w:asciiTheme="minorHAnsi" w:eastAsia="Times New Roman" w:hAnsiTheme="minorHAnsi"/>
          <w:sz w:val="24"/>
          <w:szCs w:val="24"/>
        </w:rPr>
        <w:t xml:space="preserve"> and </w:t>
      </w:r>
      <w:proofErr w:type="spellStart"/>
      <w:r w:rsidRPr="006931E8">
        <w:rPr>
          <w:rFonts w:asciiTheme="minorHAnsi" w:eastAsia="Times New Roman" w:hAnsiTheme="minorHAnsi"/>
          <w:sz w:val="24"/>
          <w:szCs w:val="24"/>
        </w:rPr>
        <w:t>Onis</w:t>
      </w:r>
      <w:proofErr w:type="spellEnd"/>
      <w:r w:rsidRPr="006931E8">
        <w:rPr>
          <w:rFonts w:asciiTheme="minorHAnsi" w:eastAsia="Times New Roman" w:hAnsiTheme="minorHAnsi"/>
          <w:sz w:val="24"/>
          <w:szCs w:val="24"/>
        </w:rPr>
        <w:t xml:space="preserve">, 2010; </w:t>
      </w:r>
      <w:proofErr w:type="spellStart"/>
      <w:r w:rsidRPr="006931E8">
        <w:rPr>
          <w:rFonts w:asciiTheme="minorHAnsi" w:eastAsia="Times New Roman" w:hAnsiTheme="minorHAnsi"/>
          <w:sz w:val="24"/>
          <w:szCs w:val="24"/>
        </w:rPr>
        <w:t>Sonmez</w:t>
      </w:r>
      <w:proofErr w:type="spellEnd"/>
      <w:r w:rsidRPr="006931E8">
        <w:rPr>
          <w:rFonts w:asciiTheme="minorHAnsi" w:eastAsia="Times New Roman" w:hAnsiTheme="minorHAnsi"/>
          <w:sz w:val="24"/>
          <w:szCs w:val="24"/>
        </w:rPr>
        <w:t xml:space="preserve">, 2011; </w:t>
      </w:r>
      <w:proofErr w:type="spellStart"/>
      <w:r w:rsidRPr="006931E8">
        <w:rPr>
          <w:rFonts w:asciiTheme="minorHAnsi" w:eastAsia="Times New Roman" w:hAnsiTheme="minorHAnsi"/>
          <w:sz w:val="24"/>
          <w:szCs w:val="24"/>
        </w:rPr>
        <w:t>Gagyi</w:t>
      </w:r>
      <w:proofErr w:type="spellEnd"/>
      <w:r w:rsidRPr="006931E8">
        <w:rPr>
          <w:rFonts w:asciiTheme="minorHAnsi" w:eastAsia="Times New Roman" w:hAnsiTheme="minorHAnsi"/>
          <w:sz w:val="24"/>
          <w:szCs w:val="24"/>
        </w:rPr>
        <w:t>, 2016</w:t>
      </w:r>
      <w:proofErr w:type="gramStart"/>
      <w:r w:rsidRPr="006931E8">
        <w:rPr>
          <w:rFonts w:asciiTheme="minorHAnsi" w:eastAsia="Times New Roman" w:hAnsiTheme="minorHAnsi"/>
          <w:sz w:val="24"/>
          <w:szCs w:val="24"/>
        </w:rPr>
        <w:t>).The</w:t>
      </w:r>
      <w:proofErr w:type="gramEnd"/>
      <w:r w:rsidRPr="006931E8">
        <w:rPr>
          <w:rFonts w:asciiTheme="minorHAnsi" w:eastAsia="Times New Roman" w:hAnsiTheme="minorHAnsi"/>
          <w:sz w:val="24"/>
          <w:szCs w:val="24"/>
        </w:rPr>
        <w:t xml:space="preserve"> global crisis from 2008 onwards has similarly witnessed the emergence of a period of questioning and revision of the pre-2008 policies.  </w:t>
      </w:r>
    </w:p>
    <w:p w:rsidR="00735368" w:rsidRDefault="00514438">
      <w:pPr>
        <w:spacing w:line="100" w:lineRule="atLeast"/>
        <w:ind w:left="720" w:right="720"/>
        <w:jc w:val="both"/>
        <w:rPr>
          <w:rFonts w:asciiTheme="minorHAnsi" w:eastAsia="Times New Roman" w:hAnsiTheme="minorHAnsi"/>
          <w:sz w:val="24"/>
          <w:szCs w:val="24"/>
        </w:rPr>
      </w:pPr>
      <w:r w:rsidRPr="006931E8">
        <w:rPr>
          <w:rFonts w:asciiTheme="minorHAnsi" w:hAnsiTheme="minorHAnsi"/>
          <w:sz w:val="24"/>
          <w:szCs w:val="24"/>
        </w:rPr>
        <w:t xml:space="preserve">Even though Hungary is an official EU member and Turkey is a candidate country, we contend that, within the scope of the management of money, </w:t>
      </w:r>
      <w:r w:rsidRPr="006931E8">
        <w:rPr>
          <w:rFonts w:asciiTheme="minorHAnsi" w:eastAsia="Times New Roman" w:hAnsiTheme="minorHAnsi"/>
          <w:sz w:val="24"/>
          <w:szCs w:val="24"/>
        </w:rPr>
        <w:t>the positioning of both economies outside the immediate Eurozone and official control of ECB makes them plausible cases for exploring the common and divergent strategies of the monetary policymakers within the structural constraints and autonomy provided in such a context.</w:t>
      </w:r>
    </w:p>
    <w:p w:rsidR="00415D9B" w:rsidRDefault="00415D9B">
      <w:pPr>
        <w:spacing w:line="100" w:lineRule="atLeast"/>
        <w:ind w:left="720" w:right="720"/>
        <w:jc w:val="both"/>
        <w:rPr>
          <w:rFonts w:asciiTheme="minorHAnsi" w:eastAsia="Times New Roman" w:hAnsiTheme="minorHAnsi"/>
          <w:sz w:val="24"/>
          <w:szCs w:val="24"/>
        </w:rPr>
      </w:pPr>
    </w:p>
    <w:p w:rsidR="006A3E45" w:rsidRDefault="00514438">
      <w:pPr>
        <w:spacing w:line="100" w:lineRule="atLeast"/>
        <w:ind w:left="720" w:right="720"/>
        <w:jc w:val="both"/>
        <w:rPr>
          <w:rFonts w:asciiTheme="minorHAnsi" w:hAnsiTheme="minorHAnsi"/>
          <w:sz w:val="24"/>
          <w:szCs w:val="24"/>
        </w:rPr>
      </w:pPr>
      <w:proofErr w:type="gramStart"/>
      <w:r w:rsidRPr="006931E8">
        <w:rPr>
          <w:rFonts w:asciiTheme="minorHAnsi" w:hAnsiTheme="minorHAnsi"/>
          <w:sz w:val="24"/>
          <w:szCs w:val="24"/>
        </w:rPr>
        <w:t>Therefore</w:t>
      </w:r>
      <w:proofErr w:type="gramEnd"/>
      <w:r w:rsidRPr="006931E8">
        <w:rPr>
          <w:rFonts w:asciiTheme="minorHAnsi" w:hAnsiTheme="minorHAnsi"/>
          <w:sz w:val="24"/>
          <w:szCs w:val="24"/>
        </w:rPr>
        <w:t xml:space="preserve"> the two countries set the ground for the assessment of both complex similarities and differences within a common conceptual framework, while critically exploring the plausibility of the said framework beyond established cases in an effort to challenge particularistic, Eurocentric approaches outlined above (George and Bennett, 2005: 19-22; 75-6; 83). To this end a qualitative, exploratory two-case study approach is adopted on the basis of critical textual analysis and supportive evidence from semi-structured interviews conducted in both countries. </w:t>
      </w:r>
    </w:p>
    <w:p w:rsidR="00415D9B" w:rsidRDefault="00415D9B">
      <w:pPr>
        <w:spacing w:line="100" w:lineRule="atLeast"/>
        <w:ind w:left="720" w:right="720"/>
        <w:jc w:val="both"/>
        <w:rPr>
          <w:rFonts w:asciiTheme="minorHAnsi" w:hAnsiTheme="minorHAnsi"/>
          <w:sz w:val="24"/>
          <w:szCs w:val="24"/>
        </w:rPr>
      </w:pPr>
    </w:p>
    <w:p w:rsidR="006A3E45"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Such an approach allows us to retain flexibility to pose a wider number of research questions in order to assess the suitability of the conceptual toolkit of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Focusing on the</w:t>
      </w:r>
      <w:r w:rsidR="006945BD">
        <w:rPr>
          <w:rFonts w:asciiTheme="minorHAnsi" w:hAnsiTheme="minorHAnsi"/>
          <w:sz w:val="24"/>
          <w:szCs w:val="24"/>
        </w:rPr>
        <w:t xml:space="preserve">se </w:t>
      </w:r>
      <w:r w:rsidRPr="006931E8">
        <w:rPr>
          <w:rFonts w:asciiTheme="minorHAnsi" w:hAnsiTheme="minorHAnsi"/>
          <w:sz w:val="24"/>
          <w:szCs w:val="24"/>
        </w:rPr>
        <w:t>country cases in an i</w:t>
      </w:r>
      <w:r w:rsidR="006945BD">
        <w:rPr>
          <w:rFonts w:asciiTheme="minorHAnsi" w:hAnsiTheme="minorHAnsi"/>
          <w:sz w:val="24"/>
          <w:szCs w:val="24"/>
        </w:rPr>
        <w:t>nterrelated, exploratory manner</w:t>
      </w:r>
      <w:r w:rsidRPr="006931E8">
        <w:rPr>
          <w:rFonts w:asciiTheme="minorHAnsi" w:hAnsiTheme="minorHAnsi"/>
          <w:sz w:val="24"/>
          <w:szCs w:val="24"/>
        </w:rPr>
        <w:t xml:space="preserve"> but not in strictly comparative terms, also cautions against producing rigid </w:t>
      </w:r>
      <w:proofErr w:type="spellStart"/>
      <w:r w:rsidRPr="006931E8">
        <w:rPr>
          <w:rFonts w:asciiTheme="minorHAnsi" w:hAnsiTheme="minorHAnsi"/>
          <w:sz w:val="24"/>
          <w:szCs w:val="24"/>
        </w:rPr>
        <w:t>periodisation</w:t>
      </w:r>
      <w:proofErr w:type="spellEnd"/>
      <w:r w:rsidRPr="006931E8">
        <w:rPr>
          <w:rFonts w:asciiTheme="minorHAnsi" w:hAnsiTheme="minorHAnsi"/>
          <w:sz w:val="24"/>
          <w:szCs w:val="24"/>
        </w:rPr>
        <w:t xml:space="preserve"> and categoriza</w:t>
      </w:r>
      <w:r w:rsidR="006945BD">
        <w:rPr>
          <w:rFonts w:asciiTheme="minorHAnsi" w:hAnsiTheme="minorHAnsi"/>
          <w:sz w:val="24"/>
          <w:szCs w:val="24"/>
        </w:rPr>
        <w:t xml:space="preserve">tion along ideal typical models. It </w:t>
      </w:r>
      <w:r w:rsidR="000072A3">
        <w:rPr>
          <w:rFonts w:asciiTheme="minorHAnsi" w:hAnsiTheme="minorHAnsi"/>
          <w:sz w:val="24"/>
          <w:szCs w:val="24"/>
        </w:rPr>
        <w:t>allows</w:t>
      </w:r>
      <w:r w:rsidRPr="006931E8">
        <w:rPr>
          <w:rFonts w:asciiTheme="minorHAnsi" w:hAnsiTheme="minorHAnsi"/>
          <w:sz w:val="24"/>
          <w:szCs w:val="24"/>
        </w:rPr>
        <w:t xml:space="preserve"> room to </w:t>
      </w:r>
      <w:r w:rsidR="000072A3">
        <w:rPr>
          <w:rFonts w:asciiTheme="minorHAnsi" w:hAnsiTheme="minorHAnsi"/>
          <w:sz w:val="24"/>
          <w:szCs w:val="24"/>
        </w:rPr>
        <w:t xml:space="preserve">assess </w:t>
      </w:r>
      <w:r w:rsidRPr="006931E8">
        <w:rPr>
          <w:rFonts w:asciiTheme="minorHAnsi" w:hAnsiTheme="minorHAnsi"/>
          <w:sz w:val="24"/>
          <w:szCs w:val="24"/>
        </w:rPr>
        <w:t xml:space="preserve">the changing direction of monetary policymaking in its open-ended, dynamic character (Yin, 2003). Since both the material objectives and discursive justifications </w:t>
      </w:r>
      <w:r w:rsidR="005723B5">
        <w:rPr>
          <w:rFonts w:asciiTheme="minorHAnsi" w:hAnsiTheme="minorHAnsi"/>
          <w:sz w:val="24"/>
          <w:szCs w:val="24"/>
        </w:rPr>
        <w:t xml:space="preserve">and the broader social and political impact </w:t>
      </w:r>
      <w:r w:rsidRPr="006931E8">
        <w:rPr>
          <w:rFonts w:asciiTheme="minorHAnsi" w:hAnsiTheme="minorHAnsi"/>
          <w:sz w:val="24"/>
          <w:szCs w:val="24"/>
        </w:rPr>
        <w:t xml:space="preserve">of the unfolding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w:t>
      </w:r>
      <w:r w:rsidR="005723B5">
        <w:rPr>
          <w:rFonts w:asciiTheme="minorHAnsi" w:hAnsiTheme="minorHAnsi"/>
          <w:sz w:val="24"/>
          <w:szCs w:val="24"/>
        </w:rPr>
        <w:t xml:space="preserve">as articulated and practiced by policymakers </w:t>
      </w:r>
      <w:r w:rsidRPr="006931E8">
        <w:rPr>
          <w:rFonts w:asciiTheme="minorHAnsi" w:hAnsiTheme="minorHAnsi"/>
          <w:sz w:val="24"/>
          <w:szCs w:val="24"/>
        </w:rPr>
        <w:t>are under scrutiny, qualitative methods are deemed most appropriate in both country cases in order to identify</w:t>
      </w:r>
      <w:r w:rsidR="000072A3">
        <w:rPr>
          <w:rFonts w:asciiTheme="minorHAnsi" w:hAnsiTheme="minorHAnsi"/>
          <w:sz w:val="24"/>
          <w:szCs w:val="24"/>
        </w:rPr>
        <w:t xml:space="preserve"> and give meaning to</w:t>
      </w:r>
      <w:r w:rsidRPr="006931E8">
        <w:rPr>
          <w:rFonts w:asciiTheme="minorHAnsi" w:hAnsiTheme="minorHAnsi"/>
          <w:sz w:val="24"/>
          <w:szCs w:val="24"/>
        </w:rPr>
        <w:t xml:space="preserve"> these mechanisms i</w:t>
      </w:r>
      <w:r w:rsidR="000072A3">
        <w:rPr>
          <w:rFonts w:asciiTheme="minorHAnsi" w:hAnsiTheme="minorHAnsi"/>
          <w:sz w:val="24"/>
          <w:szCs w:val="24"/>
        </w:rPr>
        <w:t>n depth</w:t>
      </w:r>
      <w:r w:rsidRPr="006931E8">
        <w:rPr>
          <w:rFonts w:asciiTheme="minorHAnsi" w:hAnsiTheme="minorHAnsi"/>
          <w:sz w:val="24"/>
          <w:szCs w:val="24"/>
        </w:rPr>
        <w:t>.</w:t>
      </w:r>
    </w:p>
    <w:p w:rsidR="00415D9B" w:rsidRDefault="00415D9B">
      <w:pPr>
        <w:spacing w:line="100" w:lineRule="atLeast"/>
        <w:ind w:left="720" w:right="720"/>
        <w:jc w:val="both"/>
        <w:rPr>
          <w:rFonts w:asciiTheme="minorHAnsi" w:hAnsiTheme="minorHAnsi"/>
          <w:sz w:val="24"/>
          <w:szCs w:val="24"/>
        </w:rPr>
      </w:pPr>
    </w:p>
    <w:p w:rsidR="006A3E45"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The article presents evidence from two prior, independent in-depth case studies (Donmez, 2012; </w:t>
      </w:r>
      <w:proofErr w:type="spellStart"/>
      <w:r w:rsidRPr="006931E8">
        <w:rPr>
          <w:rFonts w:asciiTheme="minorHAnsi" w:hAnsiTheme="minorHAnsi"/>
          <w:sz w:val="24"/>
          <w:szCs w:val="24"/>
        </w:rPr>
        <w:t>Zemandl</w:t>
      </w:r>
      <w:proofErr w:type="spellEnd"/>
      <w:r w:rsidRPr="006931E8">
        <w:rPr>
          <w:rFonts w:asciiTheme="minorHAnsi" w:hAnsiTheme="minorHAnsi"/>
          <w:sz w:val="24"/>
          <w:szCs w:val="24"/>
        </w:rPr>
        <w:t xml:space="preserve">, 2017). In the case of Turkey, key resources include CBRT’s annual reports, press releases, interest rate decisions and online media </w:t>
      </w:r>
      <w:r w:rsidRPr="006931E8">
        <w:rPr>
          <w:rFonts w:asciiTheme="minorHAnsi" w:hAnsiTheme="minorHAnsi"/>
          <w:sz w:val="24"/>
          <w:szCs w:val="24"/>
        </w:rPr>
        <w:lastRenderedPageBreak/>
        <w:t xml:space="preserve">coverage in the post-2001 context. In </w:t>
      </w:r>
      <w:proofErr w:type="gramStart"/>
      <w:r w:rsidRPr="006931E8">
        <w:rPr>
          <w:rFonts w:asciiTheme="minorHAnsi" w:hAnsiTheme="minorHAnsi"/>
          <w:sz w:val="24"/>
          <w:szCs w:val="24"/>
        </w:rPr>
        <w:t>addition</w:t>
      </w:r>
      <w:proofErr w:type="gramEnd"/>
      <w:r w:rsidR="006973B4">
        <w:rPr>
          <w:rFonts w:asciiTheme="minorHAnsi" w:hAnsiTheme="minorHAnsi"/>
          <w:sz w:val="24"/>
          <w:szCs w:val="24"/>
        </w:rPr>
        <w:t xml:space="preserve"> the article draws on the</w:t>
      </w:r>
      <w:r w:rsidRPr="006931E8">
        <w:rPr>
          <w:rFonts w:asciiTheme="minorHAnsi" w:hAnsiTheme="minorHAnsi"/>
          <w:sz w:val="24"/>
          <w:szCs w:val="24"/>
        </w:rPr>
        <w:t xml:space="preserve"> semi-structured interviews </w:t>
      </w:r>
      <w:r w:rsidR="006973B4">
        <w:rPr>
          <w:rFonts w:asciiTheme="minorHAnsi" w:hAnsiTheme="minorHAnsi"/>
          <w:sz w:val="24"/>
          <w:szCs w:val="24"/>
        </w:rPr>
        <w:t xml:space="preserve">that </w:t>
      </w:r>
      <w:r w:rsidRPr="006931E8">
        <w:rPr>
          <w:rFonts w:asciiTheme="minorHAnsi" w:hAnsiTheme="minorHAnsi"/>
          <w:sz w:val="24"/>
          <w:szCs w:val="24"/>
        </w:rPr>
        <w:t xml:space="preserve">were conducted </w:t>
      </w:r>
      <w:r w:rsidR="005723B5">
        <w:rPr>
          <w:rFonts w:asciiTheme="minorHAnsi" w:hAnsiTheme="minorHAnsi"/>
          <w:sz w:val="24"/>
          <w:szCs w:val="24"/>
        </w:rPr>
        <w:t xml:space="preserve">in Ankara and Istanbul </w:t>
      </w:r>
      <w:r w:rsidRPr="006931E8">
        <w:rPr>
          <w:rFonts w:asciiTheme="minorHAnsi" w:hAnsiTheme="minorHAnsi"/>
          <w:sz w:val="24"/>
          <w:szCs w:val="24"/>
        </w:rPr>
        <w:t>with the former senio</w:t>
      </w:r>
      <w:r w:rsidR="000072A3">
        <w:rPr>
          <w:rFonts w:asciiTheme="minorHAnsi" w:hAnsiTheme="minorHAnsi"/>
          <w:sz w:val="24"/>
          <w:szCs w:val="24"/>
        </w:rPr>
        <w:t>r CBRT officials in 2009-2010</w:t>
      </w:r>
      <w:r w:rsidRPr="006931E8">
        <w:rPr>
          <w:rFonts w:asciiTheme="minorHAnsi" w:hAnsiTheme="minorHAnsi"/>
          <w:sz w:val="24"/>
          <w:szCs w:val="24"/>
        </w:rPr>
        <w:t xml:space="preserve"> period</w:t>
      </w:r>
      <w:r w:rsidR="00AB3B66">
        <w:rPr>
          <w:rFonts w:asciiTheme="minorHAnsi" w:hAnsiTheme="minorHAnsi"/>
          <w:sz w:val="24"/>
          <w:szCs w:val="24"/>
        </w:rPr>
        <w:t xml:space="preserve">. </w:t>
      </w:r>
      <w:r w:rsidRPr="006931E8">
        <w:rPr>
          <w:rFonts w:asciiTheme="minorHAnsi" w:hAnsiTheme="minorHAnsi"/>
          <w:sz w:val="24"/>
          <w:szCs w:val="24"/>
        </w:rPr>
        <w:t>The interviewees were asked open-ended questions regarding their involvement in monetary policy formulation and implementation in the post-2001 context, the central bank-government-trea</w:t>
      </w:r>
      <w:r w:rsidR="0065258B">
        <w:rPr>
          <w:rFonts w:asciiTheme="minorHAnsi" w:hAnsiTheme="minorHAnsi"/>
          <w:sz w:val="24"/>
          <w:szCs w:val="24"/>
        </w:rPr>
        <w:t xml:space="preserve">sury relations, degree of </w:t>
      </w:r>
      <w:r w:rsidRPr="006931E8">
        <w:rPr>
          <w:rFonts w:asciiTheme="minorHAnsi" w:hAnsiTheme="minorHAnsi"/>
          <w:sz w:val="24"/>
          <w:szCs w:val="24"/>
        </w:rPr>
        <w:t xml:space="preserve">independence </w:t>
      </w:r>
      <w:r w:rsidR="0065258B">
        <w:rPr>
          <w:rFonts w:asciiTheme="minorHAnsi" w:hAnsiTheme="minorHAnsi"/>
          <w:sz w:val="24"/>
          <w:szCs w:val="24"/>
        </w:rPr>
        <w:t xml:space="preserve">that </w:t>
      </w:r>
      <w:r w:rsidRPr="006931E8">
        <w:rPr>
          <w:rFonts w:asciiTheme="minorHAnsi" w:hAnsiTheme="minorHAnsi"/>
          <w:sz w:val="24"/>
          <w:szCs w:val="24"/>
        </w:rPr>
        <w:t>the central bank and its s</w:t>
      </w:r>
      <w:r w:rsidR="006D1922">
        <w:rPr>
          <w:rFonts w:asciiTheme="minorHAnsi" w:hAnsiTheme="minorHAnsi"/>
          <w:sz w:val="24"/>
          <w:szCs w:val="24"/>
        </w:rPr>
        <w:t xml:space="preserve">taff exercised </w:t>
      </w:r>
      <w:r w:rsidRPr="006931E8">
        <w:rPr>
          <w:rFonts w:asciiTheme="minorHAnsi" w:hAnsiTheme="minorHAnsi"/>
          <w:sz w:val="24"/>
          <w:szCs w:val="24"/>
        </w:rPr>
        <w:t>vis a vis the government, business associations and trade unions</w:t>
      </w:r>
      <w:r w:rsidR="006D1922">
        <w:rPr>
          <w:rFonts w:asciiTheme="minorHAnsi" w:hAnsiTheme="minorHAnsi"/>
          <w:sz w:val="24"/>
          <w:szCs w:val="24"/>
        </w:rPr>
        <w:t xml:space="preserve"> in comparison to the pre-2001 period</w:t>
      </w:r>
      <w:r w:rsidRPr="006931E8">
        <w:rPr>
          <w:rFonts w:asciiTheme="minorHAnsi" w:hAnsiTheme="minorHAnsi"/>
          <w:sz w:val="24"/>
          <w:szCs w:val="24"/>
        </w:rPr>
        <w:t xml:space="preserve">. </w:t>
      </w:r>
      <w:proofErr w:type="gramStart"/>
      <w:r w:rsidR="00AB3B66">
        <w:rPr>
          <w:rFonts w:asciiTheme="minorHAnsi" w:hAnsiTheme="minorHAnsi"/>
          <w:sz w:val="24"/>
          <w:szCs w:val="24"/>
        </w:rPr>
        <w:t>However</w:t>
      </w:r>
      <w:proofErr w:type="gramEnd"/>
      <w:r w:rsidR="00AB3B66">
        <w:rPr>
          <w:rFonts w:asciiTheme="minorHAnsi" w:hAnsiTheme="minorHAnsi"/>
          <w:sz w:val="24"/>
          <w:szCs w:val="24"/>
        </w:rPr>
        <w:t xml:space="preserve"> g</w:t>
      </w:r>
      <w:r w:rsidR="00AB3B66" w:rsidRPr="000072A3">
        <w:rPr>
          <w:rFonts w:asciiTheme="minorHAnsi" w:hAnsiTheme="minorHAnsi"/>
          <w:sz w:val="24"/>
          <w:szCs w:val="24"/>
        </w:rPr>
        <w:t xml:space="preserve">aining access </w:t>
      </w:r>
      <w:r w:rsidR="00AB3B66">
        <w:rPr>
          <w:rFonts w:asciiTheme="minorHAnsi" w:hAnsiTheme="minorHAnsi"/>
          <w:sz w:val="24"/>
          <w:szCs w:val="24"/>
        </w:rPr>
        <w:t>to interview</w:t>
      </w:r>
      <w:r w:rsidR="00AB3B66" w:rsidRPr="000072A3">
        <w:rPr>
          <w:rFonts w:asciiTheme="minorHAnsi" w:hAnsiTheme="minorHAnsi"/>
          <w:sz w:val="24"/>
          <w:szCs w:val="24"/>
        </w:rPr>
        <w:t xml:space="preserve"> current CBRT officials has not been possible.</w:t>
      </w:r>
      <w:r w:rsidR="00117A3D">
        <w:rPr>
          <w:rFonts w:asciiTheme="minorHAnsi" w:hAnsiTheme="minorHAnsi"/>
          <w:sz w:val="24"/>
          <w:szCs w:val="24"/>
        </w:rPr>
        <w:t xml:space="preserve"> </w:t>
      </w:r>
      <w:r w:rsidR="00AB3B66">
        <w:rPr>
          <w:rFonts w:asciiTheme="minorHAnsi" w:hAnsiTheme="minorHAnsi"/>
          <w:sz w:val="24"/>
          <w:szCs w:val="24"/>
        </w:rPr>
        <w:t>Given this limitation</w:t>
      </w:r>
      <w:r w:rsidR="00117A3D">
        <w:rPr>
          <w:rFonts w:asciiTheme="minorHAnsi" w:hAnsiTheme="minorHAnsi"/>
          <w:sz w:val="24"/>
          <w:szCs w:val="24"/>
        </w:rPr>
        <w:t xml:space="preserve"> to</w:t>
      </w:r>
      <w:r w:rsidR="00117A3D" w:rsidRPr="00117A3D">
        <w:rPr>
          <w:rFonts w:asciiTheme="minorHAnsi" w:hAnsiTheme="minorHAnsi"/>
          <w:sz w:val="24"/>
          <w:szCs w:val="24"/>
        </w:rPr>
        <w:t xml:space="preserve"> </w:t>
      </w:r>
      <w:r w:rsidR="00117A3D">
        <w:rPr>
          <w:rFonts w:asciiTheme="minorHAnsi" w:hAnsiTheme="minorHAnsi"/>
          <w:sz w:val="24"/>
          <w:szCs w:val="24"/>
        </w:rPr>
        <w:t xml:space="preserve">investigate the internal transformation and </w:t>
      </w:r>
      <w:proofErr w:type="spellStart"/>
      <w:r w:rsidR="00117A3D">
        <w:rPr>
          <w:rFonts w:asciiTheme="minorHAnsi" w:hAnsiTheme="minorHAnsi"/>
          <w:sz w:val="24"/>
          <w:szCs w:val="24"/>
        </w:rPr>
        <w:t>politicisation</w:t>
      </w:r>
      <w:proofErr w:type="spellEnd"/>
      <w:r w:rsidR="00117A3D">
        <w:rPr>
          <w:rFonts w:asciiTheme="minorHAnsi" w:hAnsiTheme="minorHAnsi"/>
          <w:sz w:val="24"/>
          <w:szCs w:val="24"/>
        </w:rPr>
        <w:t xml:space="preserve"> of central banking in the post-2010 period</w:t>
      </w:r>
      <w:r w:rsidR="00AB3B66">
        <w:rPr>
          <w:rFonts w:asciiTheme="minorHAnsi" w:hAnsiTheme="minorHAnsi"/>
          <w:sz w:val="24"/>
          <w:szCs w:val="24"/>
        </w:rPr>
        <w:t>, t</w:t>
      </w:r>
      <w:r w:rsidRPr="006931E8">
        <w:rPr>
          <w:rFonts w:asciiTheme="minorHAnsi" w:hAnsiTheme="minorHAnsi"/>
          <w:sz w:val="24"/>
          <w:szCs w:val="24"/>
        </w:rPr>
        <w:t xml:space="preserve">he online database of parliamentary deliberations available from the website of Grand National Assembly of Turkey for the 1999-2015 period was also consulted in order to </w:t>
      </w:r>
      <w:r w:rsidR="00AB3B66">
        <w:rPr>
          <w:rFonts w:asciiTheme="minorHAnsi" w:hAnsiTheme="minorHAnsi"/>
          <w:sz w:val="24"/>
          <w:szCs w:val="24"/>
        </w:rPr>
        <w:t>gain insight into</w:t>
      </w:r>
      <w:r w:rsidRPr="006931E8">
        <w:rPr>
          <w:rFonts w:asciiTheme="minorHAnsi" w:hAnsiTheme="minorHAnsi"/>
          <w:sz w:val="24"/>
          <w:szCs w:val="24"/>
        </w:rPr>
        <w:t xml:space="preserve"> the content of</w:t>
      </w:r>
      <w:r w:rsidR="00AB3B66">
        <w:rPr>
          <w:rFonts w:asciiTheme="minorHAnsi" w:hAnsiTheme="minorHAnsi"/>
          <w:sz w:val="24"/>
          <w:szCs w:val="24"/>
        </w:rPr>
        <w:t xml:space="preserve"> the more recent and ongoing</w:t>
      </w:r>
      <w:r w:rsidRPr="006931E8">
        <w:rPr>
          <w:rFonts w:asciiTheme="minorHAnsi" w:hAnsiTheme="minorHAnsi"/>
          <w:sz w:val="24"/>
          <w:szCs w:val="24"/>
        </w:rPr>
        <w:t xml:space="preserve"> debates surrounding the central bank, government-central bank relations and the forms of framing of monetary policy consid</w:t>
      </w:r>
      <w:r w:rsidR="00AB3B66">
        <w:rPr>
          <w:rFonts w:asciiTheme="minorHAnsi" w:hAnsiTheme="minorHAnsi"/>
          <w:sz w:val="24"/>
          <w:szCs w:val="24"/>
        </w:rPr>
        <w:t>erations in the assembly</w:t>
      </w:r>
      <w:r w:rsidRPr="006931E8">
        <w:rPr>
          <w:rFonts w:asciiTheme="minorHAnsi" w:hAnsiTheme="minorHAnsi"/>
          <w:sz w:val="24"/>
          <w:szCs w:val="24"/>
        </w:rPr>
        <w:t xml:space="preserve">. In the case of Hungary, key resources include the National Bank of Hungary (MNB)’s annual reports, time-series data on monetary council decisions, minutes of the monetary council meetings, official opinions of the European Central Bank, press coverage available online and semi-structured, open-ended interviews with central bank insiders conducted during 2013, reflecting a mixed profile of policy preferences (i.e., orthodox approach versus new “unorthodox” approaches of the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 xml:space="preserve">-KDNP ruling government). The questions focused on what different respondents emphasized and considered salient in terms of the MNB’s policy goals, functions, and organizational culture under Governor </w:t>
      </w:r>
      <w:proofErr w:type="spellStart"/>
      <w:r w:rsidRPr="006931E8">
        <w:rPr>
          <w:rFonts w:asciiTheme="minorHAnsi" w:hAnsiTheme="minorHAnsi"/>
          <w:sz w:val="24"/>
          <w:szCs w:val="24"/>
        </w:rPr>
        <w:t>Simor</w:t>
      </w:r>
      <w:proofErr w:type="spellEnd"/>
      <w:r w:rsidRPr="006931E8">
        <w:rPr>
          <w:rFonts w:asciiTheme="minorHAnsi" w:hAnsiTheme="minorHAnsi"/>
          <w:sz w:val="24"/>
          <w:szCs w:val="24"/>
        </w:rPr>
        <w:t xml:space="preserve"> and changes under Governor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during the ruling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 go</w:t>
      </w:r>
      <w:r w:rsidR="00AB3B66">
        <w:rPr>
          <w:rFonts w:asciiTheme="minorHAnsi" w:hAnsiTheme="minorHAnsi"/>
          <w:sz w:val="24"/>
          <w:szCs w:val="24"/>
        </w:rPr>
        <w:t>vernment</w:t>
      </w:r>
      <w:r w:rsidRPr="006931E8">
        <w:rPr>
          <w:rFonts w:asciiTheme="minorHAnsi" w:hAnsiTheme="minorHAnsi"/>
          <w:sz w:val="24"/>
          <w:szCs w:val="24"/>
        </w:rPr>
        <w:t>.</w:t>
      </w:r>
    </w:p>
    <w:p w:rsidR="006A3E45" w:rsidRDefault="006A3E45">
      <w:pPr>
        <w:pStyle w:val="ListParagraph"/>
        <w:spacing w:line="100" w:lineRule="atLeast"/>
        <w:ind w:right="720"/>
        <w:jc w:val="both"/>
        <w:rPr>
          <w:rFonts w:asciiTheme="minorHAnsi" w:hAnsiTheme="minorHAnsi"/>
          <w:sz w:val="24"/>
          <w:szCs w:val="24"/>
        </w:rPr>
      </w:pPr>
    </w:p>
    <w:p w:rsidR="00514438" w:rsidRPr="006931E8" w:rsidRDefault="00514438" w:rsidP="0079076D">
      <w:pPr>
        <w:pStyle w:val="ListParagraph"/>
        <w:numPr>
          <w:ilvl w:val="0"/>
          <w:numId w:val="4"/>
        </w:numPr>
        <w:spacing w:line="100" w:lineRule="atLeast"/>
        <w:ind w:right="720"/>
        <w:jc w:val="both"/>
        <w:rPr>
          <w:rFonts w:asciiTheme="minorHAnsi" w:hAnsiTheme="minorHAnsi"/>
          <w:b/>
          <w:sz w:val="24"/>
          <w:szCs w:val="24"/>
        </w:rPr>
      </w:pPr>
      <w:r w:rsidRPr="006931E8">
        <w:rPr>
          <w:rFonts w:asciiTheme="minorHAnsi" w:hAnsiTheme="minorHAnsi"/>
          <w:b/>
          <w:sz w:val="24"/>
          <w:szCs w:val="24"/>
        </w:rPr>
        <w:t xml:space="preserve">Brief historical background in the pre-2008 context: Integration into the global capitalist system and </w:t>
      </w:r>
      <w:proofErr w:type="spellStart"/>
      <w:r w:rsidRPr="006931E8">
        <w:rPr>
          <w:rFonts w:asciiTheme="minorHAnsi" w:hAnsiTheme="minorHAnsi"/>
          <w:b/>
          <w:sz w:val="24"/>
          <w:szCs w:val="24"/>
        </w:rPr>
        <w:t>depoliticisation</w:t>
      </w:r>
      <w:proofErr w:type="spellEnd"/>
    </w:p>
    <w:p w:rsidR="006A3E45" w:rsidRDefault="00514438">
      <w:pPr>
        <w:pStyle w:val="Normal2"/>
        <w:spacing w:line="100" w:lineRule="atLeast"/>
        <w:ind w:left="720" w:right="720"/>
        <w:jc w:val="both"/>
        <w:rPr>
          <w:rFonts w:asciiTheme="minorHAnsi" w:hAnsiTheme="minorHAnsi"/>
          <w:sz w:val="24"/>
          <w:szCs w:val="24"/>
        </w:rPr>
      </w:pPr>
      <w:r w:rsidRPr="006931E8">
        <w:rPr>
          <w:rFonts w:asciiTheme="minorHAnsi" w:hAnsiTheme="minorHAnsi"/>
          <w:sz w:val="24"/>
          <w:szCs w:val="24"/>
        </w:rPr>
        <w:t>With the neoliberal capitalist restructuring of the national economies in the aftermath of the global crisis in the late 1970s, the depoliticisation attempts took the monetary form of disciplining through the initial promotion of privatisation and financialisation in Hungary and Turkey with the full support of the IMF and World Bank as noted earlier (Boratav, 1990)</w:t>
      </w:r>
      <w:r w:rsidRPr="006931E8">
        <w:rPr>
          <w:rStyle w:val="EndnoteReference"/>
          <w:rFonts w:asciiTheme="minorHAnsi" w:hAnsiTheme="minorHAnsi"/>
          <w:sz w:val="24"/>
          <w:szCs w:val="24"/>
        </w:rPr>
        <w:endnoteReference w:id="3"/>
      </w:r>
      <w:r w:rsidRPr="006931E8">
        <w:rPr>
          <w:rFonts w:asciiTheme="minorHAnsi" w:hAnsiTheme="minorHAnsi"/>
          <w:sz w:val="24"/>
          <w:szCs w:val="24"/>
        </w:rPr>
        <w:t>. In the Turkish context, privatisation efforts remained partial and incomplete</w:t>
      </w:r>
      <w:r w:rsidR="0079076D">
        <w:rPr>
          <w:rFonts w:asciiTheme="minorHAnsi" w:hAnsiTheme="minorHAnsi"/>
          <w:sz w:val="24"/>
          <w:szCs w:val="24"/>
        </w:rPr>
        <w:t xml:space="preserve"> despite substantial sales of large scale public sector companies and institutions, partly due</w:t>
      </w:r>
      <w:r w:rsidR="00356113">
        <w:rPr>
          <w:rFonts w:asciiTheme="minorHAnsi" w:hAnsiTheme="minorHAnsi"/>
          <w:sz w:val="24"/>
          <w:szCs w:val="24"/>
        </w:rPr>
        <w:t xml:space="preserve"> to</w:t>
      </w:r>
      <w:r w:rsidR="00F7376B">
        <w:rPr>
          <w:rFonts w:asciiTheme="minorHAnsi" w:hAnsiTheme="minorHAnsi"/>
          <w:sz w:val="24"/>
          <w:szCs w:val="24"/>
        </w:rPr>
        <w:t xml:space="preserve"> an emerging </w:t>
      </w:r>
      <w:r w:rsidR="00356113">
        <w:rPr>
          <w:rFonts w:asciiTheme="minorHAnsi" w:hAnsiTheme="minorHAnsi"/>
          <w:sz w:val="24"/>
          <w:szCs w:val="24"/>
        </w:rPr>
        <w:t>public sector workers’ movement a</w:t>
      </w:r>
      <w:r w:rsidR="0079076D">
        <w:rPr>
          <w:rFonts w:asciiTheme="minorHAnsi" w:hAnsiTheme="minorHAnsi"/>
          <w:sz w:val="24"/>
          <w:szCs w:val="24"/>
        </w:rPr>
        <w:t>nd unionising from 1987 onwards. E</w:t>
      </w:r>
      <w:r w:rsidRPr="006931E8">
        <w:rPr>
          <w:rFonts w:asciiTheme="minorHAnsi" w:hAnsiTheme="minorHAnsi"/>
          <w:sz w:val="24"/>
          <w:szCs w:val="24"/>
        </w:rPr>
        <w:t>ventually financialisation was forced to support the rolling over of public debt, which remained consistently high and fed the crisis dynamics of the 1990s, with the simultaneous development of fictitious capital accumulation (Akcay, 2009; Gungen, 2010).</w:t>
      </w:r>
    </w:p>
    <w:p w:rsidR="006A3E45" w:rsidRDefault="006A3E45">
      <w:pPr>
        <w:pStyle w:val="Normal2"/>
        <w:spacing w:line="100" w:lineRule="atLeast"/>
        <w:ind w:left="720" w:right="720"/>
        <w:jc w:val="both"/>
        <w:rPr>
          <w:rFonts w:asciiTheme="minorHAnsi" w:hAnsiTheme="minorHAnsi"/>
          <w:sz w:val="24"/>
          <w:szCs w:val="24"/>
        </w:rPr>
      </w:pPr>
    </w:p>
    <w:p w:rsidR="006A3E45" w:rsidRDefault="00514438">
      <w:pPr>
        <w:pStyle w:val="Normal2"/>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In the case of Hungary, the integration into the global circuit of capital visibly accelerated from 1989 onwards when the country officially became one of the Central and East European ‘transition’ countries (Borocz, 2000; 2012; Gagyi and Eber, 2015; Gagyi, 2016; Gerocs and Pinkasz, 2017). Gerocs and Pinkasz (2017), </w:t>
      </w:r>
      <w:r w:rsidRPr="006931E8">
        <w:rPr>
          <w:rFonts w:asciiTheme="minorHAnsi" w:hAnsiTheme="minorHAnsi"/>
          <w:sz w:val="24"/>
          <w:szCs w:val="24"/>
        </w:rPr>
        <w:lastRenderedPageBreak/>
        <w:t>with specific reference to the accumulation dynamics in the automative industry, argue that this integration has increasingly taken a dependent form with large scale privatisations, the foreign direct investment flows especially in electronics and car manufacturing sectors and European Union transfers as part of the global restructing of capital and labour in this period</w:t>
      </w:r>
      <w:r w:rsidRPr="006931E8">
        <w:rPr>
          <w:rStyle w:val="EndnoteReference"/>
          <w:rFonts w:asciiTheme="minorHAnsi" w:hAnsiTheme="minorHAnsi"/>
          <w:sz w:val="24"/>
          <w:szCs w:val="24"/>
        </w:rPr>
        <w:endnoteReference w:id="4"/>
      </w:r>
      <w:r w:rsidRPr="006931E8">
        <w:rPr>
          <w:rFonts w:asciiTheme="minorHAnsi" w:hAnsiTheme="minorHAnsi"/>
          <w:sz w:val="24"/>
          <w:szCs w:val="24"/>
        </w:rPr>
        <w:t>.</w:t>
      </w:r>
    </w:p>
    <w:p w:rsidR="006A3E45" w:rsidRDefault="006A3E45">
      <w:pPr>
        <w:pStyle w:val="Normal2"/>
        <w:spacing w:line="100" w:lineRule="atLeast"/>
        <w:ind w:left="720" w:right="720" w:firstLine="360"/>
        <w:jc w:val="both"/>
        <w:rPr>
          <w:rFonts w:asciiTheme="minorHAnsi" w:hAnsiTheme="minorHAnsi"/>
          <w:sz w:val="24"/>
          <w:szCs w:val="24"/>
        </w:rPr>
      </w:pPr>
    </w:p>
    <w:p w:rsidR="006A3E45" w:rsidRDefault="00514438">
      <w:pPr>
        <w:pStyle w:val="Normal2"/>
        <w:spacing w:line="100" w:lineRule="atLeast"/>
        <w:ind w:left="720" w:right="720" w:firstLine="360"/>
        <w:jc w:val="both"/>
        <w:rPr>
          <w:rFonts w:asciiTheme="minorHAnsi" w:hAnsiTheme="minorHAnsi"/>
          <w:b/>
          <w:sz w:val="24"/>
          <w:szCs w:val="24"/>
        </w:rPr>
      </w:pPr>
      <w:r w:rsidRPr="006931E8">
        <w:rPr>
          <w:rFonts w:asciiTheme="minorHAnsi" w:hAnsiTheme="minorHAnsi"/>
          <w:b/>
          <w:sz w:val="24"/>
          <w:szCs w:val="24"/>
        </w:rPr>
        <w:t>3.1 The strategy of depoliticisation: The 2000s in Turkey and Hungary</w:t>
      </w:r>
    </w:p>
    <w:p w:rsidR="006A3E45" w:rsidRDefault="00514438">
      <w:pPr>
        <w:pStyle w:val="Normal2"/>
        <w:spacing w:line="100" w:lineRule="atLeast"/>
        <w:ind w:left="720" w:right="720"/>
        <w:jc w:val="both"/>
        <w:rPr>
          <w:rFonts w:asciiTheme="minorHAnsi" w:hAnsiTheme="minorHAnsi"/>
          <w:sz w:val="24"/>
          <w:szCs w:val="24"/>
        </w:rPr>
      </w:pPr>
      <w:r w:rsidRPr="006931E8">
        <w:rPr>
          <w:rFonts w:asciiTheme="minorHAnsi" w:hAnsiTheme="minorHAnsi"/>
          <w:sz w:val="24"/>
          <w:szCs w:val="24"/>
        </w:rPr>
        <w:t>A series of crises (currency/banking in Turkey and debt/fiscal in Hungary) catapulted both countries onto the path of depoliticisation in central banking—the accepted conventional wisdom of the late 1980s and 1990s. The 2000-2001 financial crisis emerged as a key turning point for the thorough restructuring of social relations in Turkey. The double crises (November 2000 and February 2001) initially occurred as a currency and banking crisis which, as it unfolded, revealed the more serious structural problems inherent in capital accumulation and policy making (Akyuz and</w:t>
      </w:r>
      <w:r w:rsidR="006973B4">
        <w:rPr>
          <w:rFonts w:asciiTheme="minorHAnsi" w:hAnsiTheme="minorHAnsi"/>
          <w:sz w:val="24"/>
          <w:szCs w:val="24"/>
        </w:rPr>
        <w:t xml:space="preserve"> Boratav, 2003; Yeldan, 2002). As a number of interviewees suggest, the s</w:t>
      </w:r>
      <w:r w:rsidRPr="006931E8">
        <w:rPr>
          <w:rFonts w:asciiTheme="minorHAnsi" w:hAnsiTheme="minorHAnsi"/>
          <w:sz w:val="24"/>
          <w:szCs w:val="24"/>
        </w:rPr>
        <w:t xml:space="preserve">tate managers, especially in the Treasury and Central Bank, had been continuously deliberating the idea of putting forward a thorough depoliticisation agenda during the 1990s. However restructuring could not be initiated </w:t>
      </w:r>
      <w:r w:rsidR="00F81EB4">
        <w:rPr>
          <w:rFonts w:asciiTheme="minorHAnsi" w:hAnsiTheme="minorHAnsi"/>
          <w:sz w:val="24"/>
          <w:szCs w:val="24"/>
        </w:rPr>
        <w:t>until the crisis broke</w:t>
      </w:r>
      <w:r w:rsidRPr="006931E8">
        <w:rPr>
          <w:rFonts w:asciiTheme="minorHAnsi" w:hAnsiTheme="minorHAnsi"/>
          <w:sz w:val="24"/>
          <w:szCs w:val="24"/>
        </w:rPr>
        <w:t xml:space="preserve">. </w:t>
      </w:r>
    </w:p>
    <w:p w:rsidR="00514438" w:rsidRPr="006931E8" w:rsidRDefault="00514438" w:rsidP="0079076D">
      <w:pPr>
        <w:pStyle w:val="Normal2"/>
        <w:spacing w:line="100" w:lineRule="atLeast"/>
        <w:ind w:left="720" w:right="720" w:firstLine="700"/>
        <w:jc w:val="both"/>
        <w:rPr>
          <w:rFonts w:asciiTheme="minorHAnsi" w:hAnsiTheme="minorHAnsi"/>
          <w:sz w:val="24"/>
          <w:szCs w:val="24"/>
        </w:rPr>
      </w:pPr>
    </w:p>
    <w:p w:rsidR="00514438" w:rsidRDefault="00514438" w:rsidP="000F4BEA">
      <w:pPr>
        <w:pStyle w:val="Normal2"/>
        <w:spacing w:line="100" w:lineRule="atLeast"/>
        <w:ind w:left="720" w:right="720"/>
        <w:jc w:val="both"/>
        <w:rPr>
          <w:rFonts w:asciiTheme="minorHAnsi" w:hAnsiTheme="minorHAnsi"/>
          <w:sz w:val="24"/>
          <w:szCs w:val="24"/>
        </w:rPr>
      </w:pPr>
      <w:r w:rsidRPr="006931E8">
        <w:rPr>
          <w:rFonts w:asciiTheme="minorHAnsi" w:hAnsiTheme="minorHAnsi"/>
          <w:sz w:val="24"/>
          <w:szCs w:val="24"/>
        </w:rPr>
        <w:t>The outcome of the process was a de facto technocratic government in the post-2001 context and the appointment of one of the Vice Governors of the World Bank to the post of Minister of Economy</w:t>
      </w:r>
      <w:r w:rsidRPr="006931E8">
        <w:rPr>
          <w:rStyle w:val="EndnoteReference"/>
          <w:rFonts w:asciiTheme="minorHAnsi" w:hAnsiTheme="minorHAnsi"/>
          <w:sz w:val="24"/>
          <w:szCs w:val="24"/>
        </w:rPr>
        <w:endnoteReference w:id="5"/>
      </w:r>
      <w:r w:rsidRPr="006931E8">
        <w:rPr>
          <w:rFonts w:asciiTheme="minorHAnsi" w:hAnsiTheme="minorHAnsi"/>
          <w:sz w:val="24"/>
          <w:szCs w:val="24"/>
        </w:rPr>
        <w:t xml:space="preserve">. The ongoing ascendancy of the technocrats in economic policy making throughout the 1990s, a development </w:t>
      </w:r>
      <w:r w:rsidR="00117A3D">
        <w:rPr>
          <w:rFonts w:asciiTheme="minorHAnsi" w:hAnsiTheme="minorHAnsi"/>
          <w:sz w:val="24"/>
          <w:szCs w:val="24"/>
        </w:rPr>
        <w:t>which</w:t>
      </w:r>
      <w:r w:rsidRPr="006931E8">
        <w:rPr>
          <w:rFonts w:asciiTheme="minorHAnsi" w:hAnsiTheme="minorHAnsi"/>
          <w:sz w:val="24"/>
          <w:szCs w:val="24"/>
        </w:rPr>
        <w:t xml:space="preserve"> also took place in Hungary (Gagyi, 2015; Gerocs and Pinkasz, 2017), especially those of the Treasury and the Bank vis-à-vis the State Planning Organisation and Finance Ministry is noteworthy here. This is reflected in the fact that the IMF carried out negotiations primarily with the Treasury, the CBRT technocrats and only the Minister of State responsible for economy from the Cabinet </w:t>
      </w:r>
      <w:r w:rsidR="006973B4">
        <w:rPr>
          <w:rFonts w:asciiTheme="minorHAnsi" w:hAnsiTheme="minorHAnsi"/>
          <w:sz w:val="24"/>
          <w:szCs w:val="24"/>
        </w:rPr>
        <w:t>as</w:t>
      </w:r>
      <w:r w:rsidR="00117A3D">
        <w:rPr>
          <w:rFonts w:asciiTheme="minorHAnsi" w:hAnsiTheme="minorHAnsi"/>
          <w:sz w:val="24"/>
          <w:szCs w:val="24"/>
        </w:rPr>
        <w:t xml:space="preserve"> </w:t>
      </w:r>
      <w:r w:rsidR="00F81EB4">
        <w:rPr>
          <w:rFonts w:asciiTheme="minorHAnsi" w:hAnsiTheme="minorHAnsi"/>
          <w:sz w:val="24"/>
          <w:szCs w:val="24"/>
        </w:rPr>
        <w:t>a number of</w:t>
      </w:r>
      <w:r w:rsidR="006973B4">
        <w:rPr>
          <w:rFonts w:asciiTheme="minorHAnsi" w:hAnsiTheme="minorHAnsi"/>
          <w:sz w:val="24"/>
          <w:szCs w:val="24"/>
        </w:rPr>
        <w:t xml:space="preserve"> interviewees </w:t>
      </w:r>
      <w:r w:rsidR="00117A3D">
        <w:rPr>
          <w:rFonts w:asciiTheme="minorHAnsi" w:hAnsiTheme="minorHAnsi"/>
          <w:sz w:val="24"/>
          <w:szCs w:val="24"/>
        </w:rPr>
        <w:t>noted</w:t>
      </w:r>
      <w:r w:rsidRPr="006931E8">
        <w:rPr>
          <w:rFonts w:asciiTheme="minorHAnsi" w:hAnsiTheme="minorHAnsi"/>
          <w:sz w:val="24"/>
          <w:szCs w:val="24"/>
        </w:rPr>
        <w:t>. In other words the rule of the market was reinserted on social relations through independent regulatory agencies in the banking sector, agricultural and energy markets and, fundamentally, the disinflation strategy of an independent central bank (Bakir, 2007).</w:t>
      </w:r>
    </w:p>
    <w:p w:rsidR="00F7376B" w:rsidRPr="006931E8" w:rsidRDefault="00F7376B" w:rsidP="000F4BEA">
      <w:pPr>
        <w:pStyle w:val="Normal2"/>
        <w:spacing w:line="100" w:lineRule="atLeast"/>
        <w:ind w:left="720" w:right="720"/>
        <w:jc w:val="both"/>
        <w:rPr>
          <w:rFonts w:asciiTheme="minorHAnsi" w:hAnsiTheme="minorHAnsi"/>
          <w:sz w:val="24"/>
          <w:szCs w:val="24"/>
        </w:rPr>
      </w:pPr>
    </w:p>
    <w:p w:rsidR="006A3E45" w:rsidRDefault="00514438" w:rsidP="00415D9B">
      <w:pPr>
        <w:spacing w:line="100" w:lineRule="atLeast"/>
        <w:ind w:left="720" w:right="720"/>
        <w:jc w:val="both"/>
        <w:rPr>
          <w:rFonts w:asciiTheme="minorHAnsi" w:hAnsiTheme="minorHAnsi"/>
          <w:sz w:val="24"/>
          <w:szCs w:val="24"/>
        </w:rPr>
      </w:pPr>
      <w:r w:rsidRPr="006931E8">
        <w:rPr>
          <w:rFonts w:asciiTheme="minorHAnsi" w:hAnsiTheme="minorHAnsi"/>
          <w:sz w:val="24"/>
          <w:szCs w:val="24"/>
        </w:rPr>
        <w:t>While in Hungary there was no such landmark crisis</w:t>
      </w:r>
      <w:r w:rsidR="000F4BEA">
        <w:rPr>
          <w:rFonts w:asciiTheme="minorHAnsi" w:hAnsiTheme="minorHAnsi"/>
          <w:sz w:val="24"/>
          <w:szCs w:val="24"/>
        </w:rPr>
        <w:t xml:space="preserve"> in the same period</w:t>
      </w:r>
      <w:r w:rsidRPr="006931E8">
        <w:rPr>
          <w:rFonts w:asciiTheme="minorHAnsi" w:hAnsiTheme="minorHAnsi"/>
          <w:sz w:val="24"/>
          <w:szCs w:val="24"/>
        </w:rPr>
        <w:t>, widely accepted orthodox monetary policies were already being implemented under then-governo</w:t>
      </w:r>
      <w:r>
        <w:rPr>
          <w:rFonts w:asciiTheme="minorHAnsi" w:hAnsiTheme="minorHAnsi"/>
          <w:sz w:val="24"/>
          <w:szCs w:val="24"/>
        </w:rPr>
        <w:t xml:space="preserve">r </w:t>
      </w:r>
      <w:proofErr w:type="spellStart"/>
      <w:r>
        <w:rPr>
          <w:rFonts w:asciiTheme="minorHAnsi" w:hAnsiTheme="minorHAnsi"/>
          <w:sz w:val="24"/>
          <w:szCs w:val="24"/>
        </w:rPr>
        <w:t>Gyo</w:t>
      </w:r>
      <w:r w:rsidRPr="006931E8">
        <w:rPr>
          <w:rFonts w:asciiTheme="minorHAnsi" w:hAnsiTheme="minorHAnsi"/>
          <w:sz w:val="24"/>
          <w:szCs w:val="24"/>
        </w:rPr>
        <w:t>rgy</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S</w:t>
      </w:r>
      <w:r w:rsidR="00425EFE">
        <w:rPr>
          <w:rFonts w:asciiTheme="minorHAnsi" w:hAnsiTheme="minorHAnsi"/>
          <w:sz w:val="24"/>
          <w:szCs w:val="24"/>
        </w:rPr>
        <w:t>urányi</w:t>
      </w:r>
      <w:proofErr w:type="spellEnd"/>
      <w:r w:rsidR="00425EFE">
        <w:rPr>
          <w:rFonts w:asciiTheme="minorHAnsi" w:hAnsiTheme="minorHAnsi"/>
          <w:sz w:val="24"/>
          <w:szCs w:val="24"/>
        </w:rPr>
        <w:t xml:space="preserve"> of the MNB (1995-2001). </w:t>
      </w:r>
      <w:proofErr w:type="spellStart"/>
      <w:r w:rsidR="00425EFE">
        <w:rPr>
          <w:rFonts w:asciiTheme="minorHAnsi" w:hAnsiTheme="minorHAnsi"/>
          <w:sz w:val="24"/>
          <w:szCs w:val="24"/>
        </w:rPr>
        <w:t>Suranyi</w:t>
      </w:r>
      <w:proofErr w:type="spellEnd"/>
      <w:r w:rsidR="00425EFE">
        <w:rPr>
          <w:rFonts w:asciiTheme="minorHAnsi" w:hAnsiTheme="minorHAnsi"/>
          <w:sz w:val="24"/>
          <w:szCs w:val="24"/>
        </w:rPr>
        <w:t xml:space="preserve"> was a</w:t>
      </w:r>
      <w:r w:rsidRPr="006931E8">
        <w:rPr>
          <w:rFonts w:asciiTheme="minorHAnsi" w:hAnsiTheme="minorHAnsi"/>
          <w:sz w:val="24"/>
          <w:szCs w:val="24"/>
        </w:rPr>
        <w:t xml:space="preserve">ppointed by Prime Minister </w:t>
      </w:r>
      <w:proofErr w:type="spellStart"/>
      <w:r w:rsidRPr="006931E8">
        <w:rPr>
          <w:rFonts w:asciiTheme="minorHAnsi" w:hAnsiTheme="minorHAnsi"/>
          <w:sz w:val="24"/>
          <w:szCs w:val="24"/>
        </w:rPr>
        <w:t>Gyula</w:t>
      </w:r>
      <w:proofErr w:type="spellEnd"/>
      <w:r w:rsidRPr="006931E8">
        <w:rPr>
          <w:rFonts w:asciiTheme="minorHAnsi" w:hAnsiTheme="minorHAnsi"/>
          <w:sz w:val="24"/>
          <w:szCs w:val="24"/>
        </w:rPr>
        <w:t xml:space="preserve"> Horn, who was facing runaway economic debt in the mid-1990s and appointed several “pragmatic problem solvers” into his administration (Inglot, 2003:</w:t>
      </w:r>
      <w:r w:rsidR="00425EFE">
        <w:rPr>
          <w:rFonts w:asciiTheme="minorHAnsi" w:hAnsiTheme="minorHAnsi"/>
          <w:sz w:val="24"/>
          <w:szCs w:val="24"/>
        </w:rPr>
        <w:t xml:space="preserve"> 227, Hungarian Spectrum, 2009).</w:t>
      </w:r>
      <w:r w:rsidR="00DE561B">
        <w:rPr>
          <w:rFonts w:asciiTheme="minorHAnsi" w:hAnsiTheme="minorHAnsi"/>
          <w:sz w:val="24"/>
          <w:szCs w:val="24"/>
        </w:rPr>
        <w:t xml:space="preserve"> </w:t>
      </w:r>
      <w:proofErr w:type="spellStart"/>
      <w:r w:rsidR="00DE561B">
        <w:rPr>
          <w:rFonts w:asciiTheme="minorHAnsi" w:hAnsiTheme="minorHAnsi"/>
          <w:sz w:val="24"/>
          <w:szCs w:val="24"/>
        </w:rPr>
        <w:t>Surányi</w:t>
      </w:r>
      <w:proofErr w:type="spellEnd"/>
      <w:r w:rsidR="00DE561B">
        <w:rPr>
          <w:rFonts w:asciiTheme="minorHAnsi" w:hAnsiTheme="minorHAnsi"/>
          <w:sz w:val="24"/>
          <w:szCs w:val="24"/>
        </w:rPr>
        <w:t xml:space="preserve"> was </w:t>
      </w:r>
      <w:r w:rsidRPr="006931E8">
        <w:rPr>
          <w:rFonts w:asciiTheme="minorHAnsi" w:hAnsiTheme="minorHAnsi"/>
          <w:sz w:val="24"/>
          <w:szCs w:val="24"/>
        </w:rPr>
        <w:t xml:space="preserve">widely credited with bringing inflation under control, </w:t>
      </w:r>
      <w:r w:rsidR="00DE561B">
        <w:rPr>
          <w:rFonts w:asciiTheme="minorHAnsi" w:hAnsiTheme="minorHAnsi"/>
          <w:sz w:val="24"/>
          <w:szCs w:val="24"/>
        </w:rPr>
        <w:t>a</w:t>
      </w:r>
      <w:r w:rsidR="00C30435">
        <w:rPr>
          <w:rFonts w:asciiTheme="minorHAnsi" w:hAnsiTheme="minorHAnsi"/>
          <w:sz w:val="24"/>
          <w:szCs w:val="24"/>
        </w:rPr>
        <w:t>nd helping transform the MNB ‘</w:t>
      </w:r>
      <w:r w:rsidRPr="006931E8">
        <w:rPr>
          <w:rFonts w:asciiTheme="minorHAnsi" w:hAnsiTheme="minorHAnsi"/>
          <w:sz w:val="24"/>
          <w:szCs w:val="24"/>
        </w:rPr>
        <w:t>into a t</w:t>
      </w:r>
      <w:r w:rsidR="00C30435">
        <w:rPr>
          <w:rFonts w:asciiTheme="minorHAnsi" w:hAnsiTheme="minorHAnsi"/>
          <w:sz w:val="24"/>
          <w:szCs w:val="24"/>
        </w:rPr>
        <w:t xml:space="preserve">ruly independent central bank’ </w:t>
      </w:r>
      <w:r w:rsidRPr="006931E8">
        <w:rPr>
          <w:rFonts w:asciiTheme="minorHAnsi" w:hAnsiTheme="minorHAnsi"/>
          <w:sz w:val="24"/>
          <w:szCs w:val="24"/>
        </w:rPr>
        <w:t>(</w:t>
      </w:r>
      <w:proofErr w:type="spellStart"/>
      <w:r w:rsidRPr="006931E8">
        <w:rPr>
          <w:rFonts w:asciiTheme="minorHAnsi" w:hAnsiTheme="minorHAnsi"/>
          <w:sz w:val="24"/>
          <w:szCs w:val="24"/>
        </w:rPr>
        <w:t>Kopits</w:t>
      </w:r>
      <w:proofErr w:type="spellEnd"/>
      <w:r w:rsidRPr="006931E8">
        <w:rPr>
          <w:rFonts w:asciiTheme="minorHAnsi" w:hAnsiTheme="minorHAnsi"/>
          <w:sz w:val="24"/>
          <w:szCs w:val="24"/>
        </w:rPr>
        <w:t>, 2014: 104).</w:t>
      </w:r>
      <w:r w:rsidR="00E03B1B">
        <w:rPr>
          <w:rFonts w:asciiTheme="minorHAnsi" w:hAnsiTheme="minorHAnsi"/>
          <w:sz w:val="24"/>
          <w:szCs w:val="24"/>
        </w:rPr>
        <w:t xml:space="preserve"> </w:t>
      </w:r>
      <w:r w:rsidRPr="006931E8">
        <w:rPr>
          <w:rFonts w:asciiTheme="minorHAnsi" w:hAnsiTheme="minorHAnsi"/>
          <w:sz w:val="24"/>
          <w:szCs w:val="24"/>
        </w:rPr>
        <w:t>Similar to the Turkish case, this central banking approach remained largely unquestioned and taken for granted throughout the 20</w:t>
      </w:r>
      <w:r w:rsidR="00AD26BD">
        <w:rPr>
          <w:rFonts w:asciiTheme="minorHAnsi" w:hAnsiTheme="minorHAnsi"/>
          <w:sz w:val="24"/>
          <w:szCs w:val="24"/>
        </w:rPr>
        <w:t>00s. Even in the midst of crisis (2007-2013)</w:t>
      </w:r>
      <w:r w:rsidRPr="006931E8">
        <w:rPr>
          <w:rFonts w:asciiTheme="minorHAnsi" w:hAnsiTheme="minorHAnsi"/>
          <w:sz w:val="24"/>
          <w:szCs w:val="24"/>
        </w:rPr>
        <w:t xml:space="preserve">, the orthodox </w:t>
      </w:r>
      <w:r w:rsidRPr="006931E8">
        <w:rPr>
          <w:rFonts w:asciiTheme="minorHAnsi" w:hAnsiTheme="minorHAnsi"/>
          <w:sz w:val="24"/>
          <w:szCs w:val="24"/>
        </w:rPr>
        <w:lastRenderedPageBreak/>
        <w:t>position was notably reflected in the bank’s discourse about price stability and the emphasis on caution or risk aversion in times of crisis (e.g., MNB, 2012: 11, 18</w:t>
      </w:r>
      <w:r>
        <w:rPr>
          <w:rFonts w:asciiTheme="minorHAnsi" w:hAnsiTheme="minorHAnsi"/>
          <w:sz w:val="24"/>
          <w:szCs w:val="24"/>
        </w:rPr>
        <w:t xml:space="preserve">; </w:t>
      </w:r>
      <w:r w:rsidR="006973B4">
        <w:rPr>
          <w:rFonts w:asciiTheme="minorHAnsi" w:hAnsiTheme="minorHAnsi"/>
          <w:sz w:val="24"/>
          <w:szCs w:val="24"/>
        </w:rPr>
        <w:t xml:space="preserve">Johnson &amp; Barnes, 2015: </w:t>
      </w:r>
      <w:r w:rsidRPr="00813956">
        <w:rPr>
          <w:rFonts w:asciiTheme="minorHAnsi" w:hAnsiTheme="minorHAnsi"/>
          <w:sz w:val="24"/>
          <w:szCs w:val="24"/>
        </w:rPr>
        <w:t>548</w:t>
      </w:r>
      <w:r w:rsidRPr="006931E8">
        <w:rPr>
          <w:rFonts w:asciiTheme="minorHAnsi" w:hAnsiTheme="minorHAnsi"/>
          <w:sz w:val="24"/>
          <w:szCs w:val="24"/>
        </w:rPr>
        <w:t>).</w:t>
      </w:r>
    </w:p>
    <w:p w:rsidR="00415D9B" w:rsidRDefault="00415D9B" w:rsidP="00415D9B">
      <w:pPr>
        <w:spacing w:line="100" w:lineRule="atLeast"/>
        <w:ind w:left="720" w:right="720"/>
        <w:jc w:val="both"/>
        <w:rPr>
          <w:rFonts w:asciiTheme="minorHAnsi" w:hAnsiTheme="minorHAnsi"/>
          <w:sz w:val="24"/>
          <w:szCs w:val="24"/>
        </w:rPr>
      </w:pPr>
    </w:p>
    <w:p w:rsidR="00514438" w:rsidRDefault="00514438" w:rsidP="00117A3D">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Between 2001 and 2005, albeit numerous crisis potentialities in national and global terms,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efforts through central bank independence has delivered relatively “positive” material outcomes from the po</w:t>
      </w:r>
      <w:r w:rsidR="00117A3D">
        <w:rPr>
          <w:rFonts w:asciiTheme="minorHAnsi" w:hAnsiTheme="minorHAnsi"/>
          <w:sz w:val="24"/>
          <w:szCs w:val="24"/>
        </w:rPr>
        <w:t xml:space="preserve">int of view of state managers in Turkey as interviewees </w:t>
      </w:r>
      <w:r w:rsidR="00AD26BD">
        <w:rPr>
          <w:rFonts w:asciiTheme="minorHAnsi" w:hAnsiTheme="minorHAnsi"/>
          <w:sz w:val="24"/>
          <w:szCs w:val="24"/>
        </w:rPr>
        <w:t xml:space="preserve">also </w:t>
      </w:r>
      <w:r w:rsidR="00117A3D">
        <w:rPr>
          <w:rFonts w:asciiTheme="minorHAnsi" w:hAnsiTheme="minorHAnsi"/>
          <w:sz w:val="24"/>
          <w:szCs w:val="24"/>
        </w:rPr>
        <w:t xml:space="preserve">highlighted. Among them were </w:t>
      </w:r>
      <w:r w:rsidRPr="006931E8">
        <w:rPr>
          <w:rFonts w:asciiTheme="minorHAnsi" w:hAnsiTheme="minorHAnsi"/>
          <w:sz w:val="24"/>
          <w:szCs w:val="24"/>
        </w:rPr>
        <w:t>reduced inflation, growth reco</w:t>
      </w:r>
      <w:r w:rsidR="00117A3D">
        <w:rPr>
          <w:rFonts w:asciiTheme="minorHAnsi" w:hAnsiTheme="minorHAnsi"/>
          <w:sz w:val="24"/>
          <w:szCs w:val="24"/>
        </w:rPr>
        <w:t xml:space="preserve">very, enhanced competitiveness, </w:t>
      </w:r>
      <w:r w:rsidRPr="006931E8">
        <w:rPr>
          <w:rFonts w:asciiTheme="minorHAnsi" w:hAnsiTheme="minorHAnsi"/>
          <w:sz w:val="24"/>
          <w:szCs w:val="24"/>
        </w:rPr>
        <w:t>increased capital inflow</w:t>
      </w:r>
      <w:r w:rsidR="00117A3D">
        <w:rPr>
          <w:rFonts w:asciiTheme="minorHAnsi" w:hAnsiTheme="minorHAnsi"/>
          <w:sz w:val="24"/>
          <w:szCs w:val="24"/>
        </w:rPr>
        <w:t>s in line with the priorities and objectives of the policy. However</w:t>
      </w:r>
      <w:r w:rsidRPr="006931E8">
        <w:rPr>
          <w:rFonts w:asciiTheme="minorHAnsi" w:hAnsiTheme="minorHAnsi"/>
          <w:sz w:val="24"/>
          <w:szCs w:val="24"/>
        </w:rPr>
        <w:t xml:space="preserve"> high unemployment </w:t>
      </w:r>
      <w:r w:rsidR="00117A3D">
        <w:rPr>
          <w:rFonts w:asciiTheme="minorHAnsi" w:hAnsiTheme="minorHAnsi"/>
          <w:sz w:val="24"/>
          <w:szCs w:val="24"/>
        </w:rPr>
        <w:t xml:space="preserve">rate </w:t>
      </w:r>
      <w:r w:rsidRPr="006931E8">
        <w:rPr>
          <w:rFonts w:asciiTheme="minorHAnsi" w:hAnsiTheme="minorHAnsi"/>
          <w:sz w:val="24"/>
          <w:szCs w:val="24"/>
        </w:rPr>
        <w:t xml:space="preserve">coupled with a mounting private consumer debt problem and difficulties to </w:t>
      </w:r>
      <w:proofErr w:type="spellStart"/>
      <w:r w:rsidRPr="006931E8">
        <w:rPr>
          <w:rFonts w:asciiTheme="minorHAnsi" w:hAnsiTheme="minorHAnsi"/>
          <w:sz w:val="24"/>
          <w:szCs w:val="24"/>
        </w:rPr>
        <w:t>depoliticise</w:t>
      </w:r>
      <w:proofErr w:type="spellEnd"/>
      <w:r w:rsidRPr="006931E8">
        <w:rPr>
          <w:rFonts w:asciiTheme="minorHAnsi" w:hAnsiTheme="minorHAnsi"/>
          <w:sz w:val="24"/>
          <w:szCs w:val="24"/>
        </w:rPr>
        <w:t xml:space="preserve"> the tax and social security system </w:t>
      </w:r>
      <w:r w:rsidR="00117A3D">
        <w:rPr>
          <w:rFonts w:asciiTheme="minorHAnsi" w:hAnsiTheme="minorHAnsi"/>
          <w:sz w:val="24"/>
          <w:szCs w:val="24"/>
        </w:rPr>
        <w:t xml:space="preserve">persisted and deepened in this period simultaneously </w:t>
      </w:r>
      <w:r w:rsidRPr="006931E8">
        <w:rPr>
          <w:rFonts w:asciiTheme="minorHAnsi" w:hAnsiTheme="minorHAnsi"/>
          <w:sz w:val="24"/>
          <w:szCs w:val="24"/>
        </w:rPr>
        <w:t xml:space="preserve">(CBRT </w:t>
      </w:r>
      <w:r w:rsidR="00117A3D">
        <w:rPr>
          <w:rFonts w:asciiTheme="minorHAnsi" w:hAnsiTheme="minorHAnsi"/>
          <w:sz w:val="24"/>
          <w:szCs w:val="24"/>
        </w:rPr>
        <w:t>Data, Annual Reports, 2002-2006</w:t>
      </w:r>
      <w:r w:rsidRPr="006931E8">
        <w:rPr>
          <w:rFonts w:asciiTheme="minorHAnsi" w:hAnsiTheme="minorHAnsi"/>
          <w:sz w:val="24"/>
          <w:szCs w:val="24"/>
        </w:rPr>
        <w:t xml:space="preserve">). </w:t>
      </w:r>
      <w:proofErr w:type="spellStart"/>
      <w:r w:rsidRPr="006931E8">
        <w:rPr>
          <w:rFonts w:asciiTheme="minorHAnsi" w:hAnsiTheme="minorHAnsi"/>
          <w:sz w:val="24"/>
          <w:szCs w:val="24"/>
        </w:rPr>
        <w:t>Bakir</w:t>
      </w:r>
      <w:proofErr w:type="spellEnd"/>
      <w:r w:rsidRPr="006931E8">
        <w:rPr>
          <w:rFonts w:asciiTheme="minorHAnsi" w:hAnsiTheme="minorHAnsi"/>
          <w:sz w:val="24"/>
          <w:szCs w:val="24"/>
        </w:rPr>
        <w:t xml:space="preserve"> and </w:t>
      </w:r>
      <w:proofErr w:type="spellStart"/>
      <w:r w:rsidRPr="006931E8">
        <w:rPr>
          <w:rFonts w:asciiTheme="minorHAnsi" w:hAnsiTheme="minorHAnsi"/>
          <w:sz w:val="24"/>
          <w:szCs w:val="24"/>
        </w:rPr>
        <w:t>Onis</w:t>
      </w:r>
      <w:proofErr w:type="spellEnd"/>
      <w:r w:rsidRPr="006931E8">
        <w:rPr>
          <w:rFonts w:asciiTheme="minorHAnsi" w:hAnsiTheme="minorHAnsi"/>
          <w:sz w:val="24"/>
          <w:szCs w:val="24"/>
        </w:rPr>
        <w:t xml:space="preserve"> (2010: 79-80) explain these discrepancies in policy outcomes with the overemphasis of the reforms on ‘prudential regulation’ without sufficient attention paid to the rapid </w:t>
      </w:r>
      <w:proofErr w:type="spellStart"/>
      <w:r w:rsidRPr="006931E8">
        <w:rPr>
          <w:rFonts w:asciiTheme="minorHAnsi" w:hAnsiTheme="minorHAnsi"/>
          <w:sz w:val="24"/>
          <w:szCs w:val="24"/>
        </w:rPr>
        <w:t>financialisation</w:t>
      </w:r>
      <w:proofErr w:type="spellEnd"/>
      <w:r w:rsidRPr="006931E8">
        <w:rPr>
          <w:rFonts w:asciiTheme="minorHAnsi" w:hAnsiTheme="minorHAnsi"/>
          <w:sz w:val="24"/>
          <w:szCs w:val="24"/>
        </w:rPr>
        <w:t xml:space="preserve"> of the Turkish economy i</w:t>
      </w:r>
      <w:r w:rsidR="00AD26BD">
        <w:rPr>
          <w:rFonts w:asciiTheme="minorHAnsi" w:hAnsiTheme="minorHAnsi"/>
          <w:sz w:val="24"/>
          <w:szCs w:val="24"/>
        </w:rPr>
        <w:t>n this period. This process has</w:t>
      </w:r>
      <w:r w:rsidRPr="006931E8">
        <w:rPr>
          <w:rFonts w:asciiTheme="minorHAnsi" w:hAnsiTheme="minorHAnsi"/>
          <w:sz w:val="24"/>
          <w:szCs w:val="24"/>
        </w:rPr>
        <w:t xml:space="preserve"> further led to debt-led growth with dire consequences for income distribution away from households to the financial sector (ibid: 79)</w:t>
      </w:r>
      <w:r w:rsidR="00415D9B">
        <w:rPr>
          <w:rFonts w:asciiTheme="minorHAnsi" w:hAnsiTheme="minorHAnsi"/>
          <w:sz w:val="24"/>
          <w:szCs w:val="24"/>
        </w:rPr>
        <w:t>.</w:t>
      </w:r>
    </w:p>
    <w:p w:rsidR="00415D9B" w:rsidRPr="006931E8" w:rsidRDefault="00415D9B" w:rsidP="000F4BEA">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cs="TimesNewRomanPSMT"/>
          <w:color w:val="000000"/>
          <w:sz w:val="24"/>
          <w:szCs w:val="24"/>
        </w:rPr>
      </w:pPr>
      <w:r w:rsidRPr="006931E8">
        <w:rPr>
          <w:rFonts w:asciiTheme="minorHAnsi" w:hAnsiTheme="minorHAnsi"/>
          <w:sz w:val="24"/>
          <w:szCs w:val="24"/>
        </w:rPr>
        <w:t>In terms of its impact on public debate, the political interest and controversy over monetary policy</w:t>
      </w:r>
      <w:r>
        <w:rPr>
          <w:rFonts w:asciiTheme="minorHAnsi" w:hAnsiTheme="minorHAnsi"/>
          <w:sz w:val="24"/>
          <w:szCs w:val="24"/>
        </w:rPr>
        <w:t xml:space="preserve"> </w:t>
      </w:r>
      <w:r w:rsidRPr="006931E8">
        <w:rPr>
          <w:rFonts w:asciiTheme="minorHAnsi" w:hAnsiTheme="minorHAnsi"/>
          <w:sz w:val="24"/>
          <w:szCs w:val="24"/>
        </w:rPr>
        <w:t xml:space="preserve">indeed largely increased in this period in Turkey. However, following </w:t>
      </w:r>
      <w:proofErr w:type="spellStart"/>
      <w:r w:rsidRPr="006931E8">
        <w:rPr>
          <w:rFonts w:asciiTheme="minorHAnsi" w:hAnsiTheme="minorHAnsi"/>
          <w:sz w:val="24"/>
          <w:szCs w:val="24"/>
        </w:rPr>
        <w:t>Kettell</w:t>
      </w:r>
      <w:proofErr w:type="spellEnd"/>
      <w:r w:rsidRPr="006931E8">
        <w:rPr>
          <w:rFonts w:asciiTheme="minorHAnsi" w:hAnsiTheme="minorHAnsi"/>
          <w:sz w:val="24"/>
          <w:szCs w:val="24"/>
        </w:rPr>
        <w:t xml:space="preserve"> (2008), the form and character of the interest demonstrated the short-term “success” of the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strategy since the Central Bank was largely on target with most criticisms and controversy over monetary policy- shielding the governments from the effects of unpopular policies (</w:t>
      </w:r>
      <w:proofErr w:type="spellStart"/>
      <w:r w:rsidRPr="006931E8">
        <w:rPr>
          <w:rFonts w:asciiTheme="minorHAnsi" w:hAnsiTheme="minorHAnsi"/>
          <w:sz w:val="24"/>
          <w:szCs w:val="24"/>
        </w:rPr>
        <w:t>Akcay</w:t>
      </w:r>
      <w:proofErr w:type="spellEnd"/>
      <w:r w:rsidRPr="006931E8">
        <w:rPr>
          <w:rFonts w:asciiTheme="minorHAnsi" w:hAnsiTheme="minorHAnsi"/>
          <w:sz w:val="24"/>
          <w:szCs w:val="24"/>
        </w:rPr>
        <w:t xml:space="preserve">, 2009). </w:t>
      </w:r>
    </w:p>
    <w:p w:rsidR="006973B4" w:rsidRDefault="006973B4" w:rsidP="0079076D">
      <w:pPr>
        <w:spacing w:line="100" w:lineRule="atLeast"/>
        <w:ind w:left="720" w:right="720"/>
        <w:jc w:val="both"/>
        <w:rPr>
          <w:rFonts w:asciiTheme="minorHAnsi" w:hAnsiTheme="minorHAnsi"/>
          <w:sz w:val="24"/>
          <w:szCs w:val="24"/>
        </w:rPr>
      </w:pPr>
    </w:p>
    <w:p w:rsidR="00514438" w:rsidRPr="006931E8" w:rsidRDefault="00514438" w:rsidP="0079076D">
      <w:pPr>
        <w:spacing w:line="100" w:lineRule="atLeast"/>
        <w:ind w:left="720" w:right="720"/>
        <w:jc w:val="both"/>
        <w:rPr>
          <w:rFonts w:asciiTheme="minorHAnsi" w:hAnsiTheme="minorHAnsi"/>
          <w:sz w:val="24"/>
          <w:szCs w:val="24"/>
        </w:rPr>
      </w:pPr>
      <w:r w:rsidRPr="006931E8">
        <w:rPr>
          <w:rFonts w:asciiTheme="minorHAnsi" w:hAnsiTheme="minorHAnsi"/>
          <w:sz w:val="24"/>
          <w:szCs w:val="24"/>
        </w:rPr>
        <w:t>The pre-</w:t>
      </w:r>
      <w:r w:rsidR="00552970">
        <w:rPr>
          <w:rFonts w:asciiTheme="minorHAnsi" w:hAnsiTheme="minorHAnsi"/>
          <w:sz w:val="24"/>
          <w:szCs w:val="24"/>
        </w:rPr>
        <w:t>2013</w:t>
      </w:r>
      <w:r w:rsidRPr="006931E8">
        <w:rPr>
          <w:rFonts w:asciiTheme="minorHAnsi" w:hAnsiTheme="minorHAnsi"/>
          <w:sz w:val="24"/>
          <w:szCs w:val="24"/>
        </w:rPr>
        <w:t xml:space="preserve"> period of central banking in Hungary came to be associated with a quintessential marriage between the doctrine of monetary orthodoxy and notions of independent and non-bureaucratic, </w:t>
      </w:r>
      <w:r w:rsidR="00552970">
        <w:rPr>
          <w:rFonts w:asciiTheme="minorHAnsi" w:hAnsiTheme="minorHAnsi"/>
          <w:sz w:val="24"/>
          <w:szCs w:val="24"/>
        </w:rPr>
        <w:t xml:space="preserve">cooperative </w:t>
      </w:r>
      <w:r w:rsidRPr="006931E8">
        <w:rPr>
          <w:rFonts w:asciiTheme="minorHAnsi" w:hAnsiTheme="minorHAnsi"/>
          <w:sz w:val="24"/>
          <w:szCs w:val="24"/>
        </w:rPr>
        <w:t xml:space="preserve">working methods </w:t>
      </w:r>
      <w:r w:rsidR="00552970">
        <w:rPr>
          <w:rFonts w:asciiTheme="minorHAnsi" w:hAnsiTheme="minorHAnsi"/>
          <w:sz w:val="24"/>
          <w:szCs w:val="24"/>
        </w:rPr>
        <w:t>as many interviewees emphasized</w:t>
      </w:r>
      <w:r w:rsidRPr="006931E8">
        <w:rPr>
          <w:rFonts w:asciiTheme="minorHAnsi" w:hAnsiTheme="minorHAnsi"/>
          <w:sz w:val="24"/>
          <w:szCs w:val="24"/>
        </w:rPr>
        <w:t xml:space="preserve">. It lasted until the Pandora’s box of the global financial crisis was opened and the financial sector came to be discursively associated </w:t>
      </w:r>
      <w:r w:rsidRPr="006931E8">
        <w:rPr>
          <w:rFonts w:asciiTheme="minorHAnsi" w:hAnsiTheme="minorHAnsi"/>
          <w:i/>
          <w:sz w:val="24"/>
          <w:szCs w:val="24"/>
        </w:rPr>
        <w:t>not</w:t>
      </w:r>
      <w:r w:rsidRPr="006931E8">
        <w:rPr>
          <w:rFonts w:asciiTheme="minorHAnsi" w:hAnsiTheme="minorHAnsi"/>
          <w:sz w:val="24"/>
          <w:szCs w:val="24"/>
        </w:rPr>
        <w:t xml:space="preserve"> with independent, intellectual prudency as propagated, but with the reign of concentrated capitalist interest—backed by foreign interests and central banks. The effects of crisis eventually engulfed Hungary - and a land-slide election victory for the right-wing opposition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 to boot – was a game changer. The global financial crisis hit households and small businesses struggling to repay loans denominated in foreign currency. The new ruling coalition used the occasion to bring the virtues of orthodoxy to a debate and to exercise unprecedented political power over financial institutions, including the Central Bank</w:t>
      </w:r>
      <w:r w:rsidR="00552970">
        <w:rPr>
          <w:rFonts w:asciiTheme="minorHAnsi" w:hAnsiTheme="minorHAnsi"/>
          <w:sz w:val="24"/>
          <w:szCs w:val="24"/>
        </w:rPr>
        <w:t>, as well as in other</w:t>
      </w:r>
      <w:r w:rsidR="000F4BEA">
        <w:rPr>
          <w:rFonts w:asciiTheme="minorHAnsi" w:hAnsiTheme="minorHAnsi"/>
          <w:sz w:val="24"/>
          <w:szCs w:val="24"/>
        </w:rPr>
        <w:t xml:space="preserve"> policy areas</w:t>
      </w:r>
      <w:r w:rsidRPr="006931E8">
        <w:rPr>
          <w:rFonts w:asciiTheme="minorHAnsi" w:hAnsiTheme="minorHAnsi"/>
          <w:sz w:val="24"/>
          <w:szCs w:val="24"/>
        </w:rPr>
        <w:t xml:space="preserve"> (</w:t>
      </w:r>
      <w:proofErr w:type="spellStart"/>
      <w:r w:rsidR="000F4BEA">
        <w:rPr>
          <w:rFonts w:asciiTheme="minorHAnsi" w:hAnsiTheme="minorHAnsi"/>
          <w:sz w:val="24"/>
          <w:szCs w:val="24"/>
        </w:rPr>
        <w:t>Szikra</w:t>
      </w:r>
      <w:proofErr w:type="spellEnd"/>
      <w:r w:rsidR="000F4BEA">
        <w:rPr>
          <w:rFonts w:asciiTheme="minorHAnsi" w:hAnsiTheme="minorHAnsi"/>
          <w:sz w:val="24"/>
          <w:szCs w:val="24"/>
        </w:rPr>
        <w:t xml:space="preserve">, 2014; </w:t>
      </w:r>
      <w:r w:rsidRPr="006931E8">
        <w:rPr>
          <w:rFonts w:asciiTheme="minorHAnsi" w:hAnsiTheme="minorHAnsi"/>
          <w:sz w:val="24"/>
          <w:szCs w:val="24"/>
        </w:rPr>
        <w:t xml:space="preserve">Johnson and Barnes, 2015; see also </w:t>
      </w:r>
      <w:proofErr w:type="spellStart"/>
      <w:r w:rsidRPr="006931E8">
        <w:rPr>
          <w:rFonts w:asciiTheme="minorHAnsi" w:hAnsiTheme="minorHAnsi"/>
          <w:sz w:val="24"/>
          <w:szCs w:val="24"/>
        </w:rPr>
        <w:t>Zemandl</w:t>
      </w:r>
      <w:proofErr w:type="spellEnd"/>
      <w:r w:rsidRPr="006931E8">
        <w:rPr>
          <w:rFonts w:asciiTheme="minorHAnsi" w:hAnsiTheme="minorHAnsi"/>
          <w:sz w:val="24"/>
          <w:szCs w:val="24"/>
        </w:rPr>
        <w:t xml:space="preserve">, 2017).   </w:t>
      </w:r>
    </w:p>
    <w:p w:rsidR="00514438" w:rsidRPr="006931E8" w:rsidRDefault="00514438" w:rsidP="0079076D">
      <w:pPr>
        <w:spacing w:line="100" w:lineRule="atLeast"/>
        <w:ind w:left="720" w:right="720"/>
        <w:jc w:val="both"/>
        <w:rPr>
          <w:rFonts w:asciiTheme="minorHAnsi" w:hAnsiTheme="minorHAnsi"/>
          <w:b/>
          <w:sz w:val="24"/>
          <w:szCs w:val="24"/>
        </w:rPr>
      </w:pPr>
    </w:p>
    <w:p w:rsidR="00514438" w:rsidRPr="006931E8" w:rsidRDefault="00514438" w:rsidP="000F4BEA">
      <w:pPr>
        <w:pStyle w:val="ListParagraph"/>
        <w:numPr>
          <w:ilvl w:val="0"/>
          <w:numId w:val="4"/>
        </w:numPr>
        <w:spacing w:line="100" w:lineRule="atLeast"/>
        <w:ind w:right="720"/>
        <w:jc w:val="both"/>
        <w:rPr>
          <w:rFonts w:asciiTheme="minorHAnsi" w:hAnsiTheme="minorHAnsi"/>
          <w:sz w:val="24"/>
          <w:szCs w:val="24"/>
        </w:rPr>
      </w:pPr>
      <w:r w:rsidRPr="006931E8">
        <w:rPr>
          <w:rFonts w:asciiTheme="minorHAnsi" w:hAnsiTheme="minorHAnsi"/>
          <w:b/>
          <w:sz w:val="24"/>
          <w:szCs w:val="24"/>
        </w:rPr>
        <w:t xml:space="preserve">The emerging </w:t>
      </w:r>
      <w:proofErr w:type="spellStart"/>
      <w:r w:rsidRPr="006931E8">
        <w:rPr>
          <w:rFonts w:asciiTheme="minorHAnsi" w:hAnsiTheme="minorHAnsi"/>
          <w:b/>
          <w:sz w:val="24"/>
          <w:szCs w:val="24"/>
        </w:rPr>
        <w:t>politicisation</w:t>
      </w:r>
      <w:proofErr w:type="spellEnd"/>
      <w:r w:rsidRPr="006931E8">
        <w:rPr>
          <w:rFonts w:asciiTheme="minorHAnsi" w:hAnsiTheme="minorHAnsi"/>
          <w:b/>
          <w:sz w:val="24"/>
          <w:szCs w:val="24"/>
        </w:rPr>
        <w:t xml:space="preserve"> trajectory: The Impact of the 2008 Crisis and its Aftermath</w:t>
      </w: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lastRenderedPageBreak/>
        <w:t>In the context of the latest global crisis and austerity, several questions arise with regards to the mission of central banks.</w:t>
      </w:r>
      <w:r w:rsidR="000F4BEA">
        <w:rPr>
          <w:rFonts w:asciiTheme="minorHAnsi" w:hAnsiTheme="minorHAnsi"/>
          <w:sz w:val="24"/>
          <w:szCs w:val="24"/>
        </w:rPr>
        <w:t xml:space="preserve"> </w:t>
      </w:r>
      <w:r w:rsidRPr="006931E8">
        <w:rPr>
          <w:rFonts w:asciiTheme="minorHAnsi" w:hAnsiTheme="minorHAnsi"/>
          <w:sz w:val="24"/>
          <w:szCs w:val="24"/>
        </w:rPr>
        <w:t xml:space="preserve">The deepening of the crisis has called for more systemic and holistic responses in a political environment which has increasingly come to question the alleged credibility and legitimacy of the doctrine of independent central banking. From a critical political economy perspective, this process was closely linked to the return of Keynesian thinking and the resulting re-invention of the role of the state in the economy (Inman, 2013; Economist, 2016). </w:t>
      </w: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Within this context the following section analyses the manifestations and processes of post-crisis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of central banking in Hungary and Turkey, in terms of commonalities and divergent trends.</w:t>
      </w:r>
      <w:r w:rsidRPr="006931E8">
        <w:rPr>
          <w:rStyle w:val="EndnoteReference"/>
          <w:rFonts w:asciiTheme="minorHAnsi" w:hAnsiTheme="minorHAnsi"/>
          <w:sz w:val="24"/>
          <w:szCs w:val="24"/>
        </w:rPr>
        <w:t xml:space="preserve"> </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eastAsia="Times New Roman" w:hAnsiTheme="minorHAnsi" w:cs="Times New Roman"/>
          <w:b/>
          <w:sz w:val="24"/>
          <w:szCs w:val="24"/>
        </w:rPr>
      </w:pPr>
      <w:r w:rsidRPr="006931E8">
        <w:rPr>
          <w:rFonts w:asciiTheme="minorHAnsi" w:eastAsia="Times New Roman" w:hAnsiTheme="minorHAnsi" w:cs="Times New Roman"/>
          <w:b/>
          <w:sz w:val="24"/>
          <w:szCs w:val="24"/>
        </w:rPr>
        <w:t xml:space="preserve">4.1 The manifestations of discursive </w:t>
      </w:r>
      <w:proofErr w:type="spellStart"/>
      <w:r w:rsidRPr="006931E8">
        <w:rPr>
          <w:rFonts w:asciiTheme="minorHAnsi" w:eastAsia="Times New Roman" w:hAnsiTheme="minorHAnsi" w:cs="Times New Roman"/>
          <w:b/>
          <w:sz w:val="24"/>
          <w:szCs w:val="24"/>
        </w:rPr>
        <w:t>politicisation</w:t>
      </w:r>
      <w:proofErr w:type="spellEnd"/>
      <w:r w:rsidRPr="006931E8">
        <w:rPr>
          <w:rFonts w:asciiTheme="minorHAnsi" w:eastAsia="Times New Roman" w:hAnsiTheme="minorHAnsi" w:cs="Times New Roman"/>
          <w:b/>
          <w:sz w:val="24"/>
          <w:szCs w:val="24"/>
        </w:rPr>
        <w:t xml:space="preserve"> of monetary policy in Turkey and Hungary</w:t>
      </w:r>
    </w:p>
    <w:p w:rsidR="00735368" w:rsidRDefault="00514438">
      <w:pPr>
        <w:spacing w:line="100" w:lineRule="atLeast"/>
        <w:ind w:left="720" w:right="720"/>
        <w:jc w:val="both"/>
        <w:rPr>
          <w:rFonts w:asciiTheme="minorHAnsi" w:eastAsia="Times New Roman" w:hAnsiTheme="minorHAnsi" w:cs="Times New Roman"/>
          <w:sz w:val="24"/>
          <w:szCs w:val="24"/>
        </w:rPr>
      </w:pPr>
      <w:r w:rsidRPr="006931E8">
        <w:rPr>
          <w:rFonts w:asciiTheme="minorHAnsi" w:eastAsia="Times New Roman" w:hAnsiTheme="minorHAnsi" w:cs="Times New Roman"/>
          <w:sz w:val="24"/>
          <w:szCs w:val="24"/>
        </w:rPr>
        <w:t xml:space="preserve">We trace similar processes of </w:t>
      </w:r>
      <w:r w:rsidRPr="006931E8">
        <w:rPr>
          <w:rFonts w:asciiTheme="minorHAnsi" w:eastAsia="Times New Roman" w:hAnsiTheme="minorHAnsi" w:cs="Times New Roman"/>
          <w:i/>
          <w:sz w:val="24"/>
          <w:szCs w:val="24"/>
        </w:rPr>
        <w:t xml:space="preserve">discursive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in both countries, involving verbal attacks on central bank policies and the articulation of domestic alternatives to accepted policy doctrine. However, in the case of Turkey, the form of discursive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was </w:t>
      </w:r>
      <w:r w:rsidR="00E55AAF">
        <w:rPr>
          <w:rFonts w:asciiTheme="minorHAnsi" w:eastAsia="Times New Roman" w:hAnsiTheme="minorHAnsi" w:cs="Times New Roman"/>
          <w:sz w:val="24"/>
          <w:szCs w:val="24"/>
        </w:rPr>
        <w:t>directed at</w:t>
      </w:r>
      <w:r w:rsidRPr="006931E8">
        <w:rPr>
          <w:rFonts w:asciiTheme="minorHAnsi" w:eastAsia="Times New Roman" w:hAnsiTheme="minorHAnsi" w:cs="Times New Roman"/>
          <w:sz w:val="24"/>
          <w:szCs w:val="24"/>
        </w:rPr>
        <w:t xml:space="preserve"> the CBRT’s policy decisions. Substantive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was reserved for other domains of economic policy.   Not dissimilarly, in the case of Hungary, verbal attacks levelled at the MNB occurred in conjunction with the pursuit of the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of other domains of economic policy</w:t>
      </w:r>
      <w:r w:rsidR="00E55AAF">
        <w:rPr>
          <w:rFonts w:asciiTheme="minorHAnsi" w:eastAsia="Times New Roman" w:hAnsiTheme="minorHAnsi" w:cs="Times New Roman"/>
          <w:sz w:val="24"/>
          <w:szCs w:val="24"/>
        </w:rPr>
        <w:t xml:space="preserve"> led</w:t>
      </w:r>
      <w:r w:rsidRPr="006931E8">
        <w:rPr>
          <w:rFonts w:asciiTheme="minorHAnsi" w:eastAsia="Times New Roman" w:hAnsiTheme="minorHAnsi" w:cs="Times New Roman"/>
          <w:sz w:val="24"/>
          <w:szCs w:val="24"/>
        </w:rPr>
        <w:t xml:space="preserve"> by then-Minister of National Economy, </w:t>
      </w:r>
      <w:proofErr w:type="spellStart"/>
      <w:r w:rsidRPr="006931E8">
        <w:rPr>
          <w:rFonts w:asciiTheme="minorHAnsi" w:eastAsia="Times New Roman" w:hAnsiTheme="minorHAnsi" w:cs="Times New Roman"/>
          <w:sz w:val="24"/>
          <w:szCs w:val="24"/>
        </w:rPr>
        <w:t>Gy</w:t>
      </w:r>
      <w:r>
        <w:rPr>
          <w:rFonts w:asciiTheme="minorHAnsi" w:eastAsia="Times New Roman" w:hAnsiTheme="minorHAnsi" w:cstheme="minorHAnsi"/>
          <w:sz w:val="24"/>
          <w:szCs w:val="24"/>
        </w:rPr>
        <w:t>o</w:t>
      </w:r>
      <w:r w:rsidRPr="006931E8">
        <w:rPr>
          <w:rFonts w:asciiTheme="minorHAnsi" w:eastAsia="Times New Roman" w:hAnsiTheme="minorHAnsi" w:cs="Times New Roman"/>
          <w:sz w:val="24"/>
          <w:szCs w:val="24"/>
        </w:rPr>
        <w:t>rgy</w:t>
      </w:r>
      <w:proofErr w:type="spellEnd"/>
      <w:r w:rsidRPr="006931E8">
        <w:rPr>
          <w:rFonts w:asciiTheme="minorHAnsi" w:eastAsia="Times New Roman" w:hAnsiTheme="minorHAnsi" w:cs="Times New Roman"/>
          <w:sz w:val="24"/>
          <w:szCs w:val="24"/>
        </w:rPr>
        <w:t xml:space="preserve"> </w:t>
      </w:r>
      <w:proofErr w:type="spellStart"/>
      <w:r w:rsidRPr="006931E8">
        <w:rPr>
          <w:rFonts w:asciiTheme="minorHAnsi" w:eastAsia="Times New Roman" w:hAnsiTheme="minorHAnsi" w:cs="Times New Roman"/>
          <w:sz w:val="24"/>
          <w:szCs w:val="24"/>
        </w:rPr>
        <w:t>Matolcsy</w:t>
      </w:r>
      <w:proofErr w:type="spellEnd"/>
      <w:r w:rsidRPr="006931E8">
        <w:rPr>
          <w:rFonts w:asciiTheme="minorHAnsi" w:eastAsia="Times New Roman" w:hAnsiTheme="minorHAnsi" w:cs="Times New Roman"/>
          <w:sz w:val="24"/>
          <w:szCs w:val="24"/>
        </w:rPr>
        <w:t xml:space="preserve"> who would later be appointed Governor of the MNB. </w:t>
      </w:r>
      <w:r w:rsidR="00E55AAF">
        <w:rPr>
          <w:rFonts w:asciiTheme="minorHAnsi" w:eastAsia="Times New Roman" w:hAnsiTheme="minorHAnsi" w:cs="Times New Roman"/>
          <w:sz w:val="24"/>
          <w:szCs w:val="24"/>
        </w:rPr>
        <w:t>The</w:t>
      </w:r>
      <w:r w:rsidRPr="006931E8">
        <w:rPr>
          <w:rFonts w:asciiTheme="minorHAnsi" w:eastAsia="Times New Roman" w:hAnsiTheme="minorHAnsi" w:cs="Times New Roman"/>
          <w:sz w:val="24"/>
          <w:szCs w:val="24"/>
        </w:rPr>
        <w:t xml:space="preserve"> MNB’s discursive </w:t>
      </w:r>
      <w:proofErr w:type="spellStart"/>
      <w:r w:rsidRPr="006931E8">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 xml:space="preserve"> served as a harbinger of the institution’s </w:t>
      </w:r>
      <w:r w:rsidR="006B1504">
        <w:rPr>
          <w:rFonts w:asciiTheme="minorHAnsi" w:eastAsia="Times New Roman" w:hAnsiTheme="minorHAnsi" w:cs="Times New Roman"/>
          <w:sz w:val="24"/>
          <w:szCs w:val="24"/>
        </w:rPr>
        <w:t xml:space="preserve">subsequent </w:t>
      </w:r>
      <w:r w:rsidRPr="006931E8">
        <w:rPr>
          <w:rFonts w:asciiTheme="minorHAnsi" w:eastAsia="Times New Roman" w:hAnsiTheme="minorHAnsi" w:cs="Times New Roman"/>
          <w:sz w:val="24"/>
          <w:szCs w:val="24"/>
        </w:rPr>
        <w:t>g</w:t>
      </w:r>
      <w:r w:rsidR="006B1504">
        <w:rPr>
          <w:rFonts w:asciiTheme="minorHAnsi" w:eastAsia="Times New Roman" w:hAnsiTheme="minorHAnsi" w:cs="Times New Roman"/>
          <w:sz w:val="24"/>
          <w:szCs w:val="24"/>
        </w:rPr>
        <w:t xml:space="preserve">overnmental </w:t>
      </w:r>
      <w:proofErr w:type="spellStart"/>
      <w:r w:rsidR="006B1504">
        <w:rPr>
          <w:rFonts w:asciiTheme="minorHAnsi" w:eastAsia="Times New Roman" w:hAnsiTheme="minorHAnsi" w:cs="Times New Roman"/>
          <w:sz w:val="24"/>
          <w:szCs w:val="24"/>
        </w:rPr>
        <w:t>politicisation</w:t>
      </w:r>
      <w:proofErr w:type="spellEnd"/>
      <w:r w:rsidRPr="006931E8">
        <w:rPr>
          <w:rFonts w:asciiTheme="minorHAnsi" w:eastAsia="Times New Roman" w:hAnsiTheme="minorHAnsi" w:cs="Times New Roman"/>
          <w:sz w:val="24"/>
          <w:szCs w:val="24"/>
        </w:rPr>
        <w:t>.</w:t>
      </w:r>
    </w:p>
    <w:p w:rsidR="00415D9B" w:rsidRDefault="00415D9B">
      <w:pPr>
        <w:spacing w:line="100" w:lineRule="atLeast"/>
        <w:ind w:left="720" w:right="720"/>
        <w:jc w:val="both"/>
        <w:rPr>
          <w:rFonts w:asciiTheme="minorHAnsi" w:eastAsia="Times New Roman" w:hAnsiTheme="minorHAnsi" w:cs="Times New Roman"/>
          <w:sz w:val="24"/>
          <w:szCs w:val="24"/>
        </w:rPr>
      </w:pPr>
    </w:p>
    <w:p w:rsidR="00735368" w:rsidRDefault="006B1504">
      <w:pPr>
        <w:spacing w:line="100" w:lineRule="atLeast"/>
        <w:ind w:left="720" w:right="720"/>
        <w:jc w:val="both"/>
        <w:rPr>
          <w:rFonts w:asciiTheme="minorHAnsi" w:hAnsiTheme="minorHAnsi"/>
          <w:sz w:val="24"/>
          <w:szCs w:val="24"/>
        </w:rPr>
      </w:pPr>
      <w:r>
        <w:rPr>
          <w:rFonts w:asciiTheme="minorHAnsi" w:eastAsia="Times New Roman" w:hAnsiTheme="minorHAnsi" w:cs="Times New Roman"/>
          <w:sz w:val="24"/>
          <w:szCs w:val="24"/>
        </w:rPr>
        <w:t>In Turkey,</w:t>
      </w:r>
      <w:r w:rsidR="00514438" w:rsidRPr="006931E8">
        <w:rPr>
          <w:rFonts w:asciiTheme="minorHAnsi" w:eastAsia="Times New Roman" w:hAnsiTheme="minorHAnsi" w:cs="Times New Roman"/>
          <w:sz w:val="24"/>
          <w:szCs w:val="24"/>
        </w:rPr>
        <w:t xml:space="preserve"> </w:t>
      </w:r>
      <w:r w:rsidR="00514438" w:rsidRPr="006931E8">
        <w:rPr>
          <w:rFonts w:asciiTheme="minorHAnsi" w:hAnsiTheme="minorHAnsi"/>
          <w:sz w:val="24"/>
          <w:szCs w:val="24"/>
        </w:rPr>
        <w:t>two seriously contested policy rate increases took place in the summer of 2006 and in the autumn of 2008 at the onset of the global crisis (CBRT Annual Reports, 2006-8). It was also a period in which a major controversy over the appointment of the new Bank Governor (</w:t>
      </w:r>
      <w:proofErr w:type="spellStart"/>
      <w:r w:rsidR="00514438" w:rsidRPr="006931E8">
        <w:rPr>
          <w:rFonts w:asciiTheme="minorHAnsi" w:hAnsiTheme="minorHAnsi"/>
          <w:sz w:val="24"/>
          <w:szCs w:val="24"/>
        </w:rPr>
        <w:t>Durmus</w:t>
      </w:r>
      <w:proofErr w:type="spellEnd"/>
      <w:r w:rsidR="00514438" w:rsidRPr="006931E8">
        <w:rPr>
          <w:rFonts w:asciiTheme="minorHAnsi" w:hAnsiTheme="minorHAnsi"/>
          <w:sz w:val="24"/>
          <w:szCs w:val="24"/>
        </w:rPr>
        <w:t xml:space="preserve"> Yilmaz took office in 2006 for a period of five years) and the government's proposal to move the location of the Bank from Ankara to Istanbul broke out</w:t>
      </w:r>
      <w:r w:rsidR="00F17D47">
        <w:rPr>
          <w:rFonts w:asciiTheme="minorHAnsi" w:hAnsiTheme="minorHAnsi"/>
          <w:sz w:val="24"/>
          <w:szCs w:val="24"/>
        </w:rPr>
        <w:t xml:space="preserve"> </w:t>
      </w:r>
      <w:r w:rsidR="00E55AAF">
        <w:rPr>
          <w:rFonts w:asciiTheme="minorHAnsi" w:hAnsiTheme="minorHAnsi"/>
          <w:sz w:val="24"/>
          <w:szCs w:val="24"/>
        </w:rPr>
        <w:t>(</w:t>
      </w:r>
      <w:proofErr w:type="spellStart"/>
      <w:r w:rsidR="00E55AAF">
        <w:rPr>
          <w:rFonts w:asciiTheme="minorHAnsi" w:hAnsiTheme="minorHAnsi"/>
          <w:sz w:val="24"/>
          <w:szCs w:val="24"/>
        </w:rPr>
        <w:t>Akcay</w:t>
      </w:r>
      <w:proofErr w:type="spellEnd"/>
      <w:r w:rsidR="00E55AAF">
        <w:rPr>
          <w:rFonts w:asciiTheme="minorHAnsi" w:hAnsiTheme="minorHAnsi"/>
          <w:sz w:val="24"/>
          <w:szCs w:val="24"/>
        </w:rPr>
        <w:t xml:space="preserve">, </w:t>
      </w:r>
      <w:r w:rsidR="00F17D47" w:rsidRPr="00F17D47">
        <w:rPr>
          <w:rFonts w:asciiTheme="minorHAnsi" w:hAnsiTheme="minorHAnsi"/>
          <w:sz w:val="24"/>
          <w:szCs w:val="24"/>
        </w:rPr>
        <w:t>2009: 254-280)</w:t>
      </w:r>
      <w:r w:rsidR="00514438" w:rsidRPr="006931E8">
        <w:rPr>
          <w:rFonts w:asciiTheme="minorHAnsi" w:hAnsiTheme="minorHAnsi"/>
          <w:sz w:val="24"/>
          <w:szCs w:val="24"/>
        </w:rPr>
        <w:t xml:space="preserve">. </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This period reflec</w:t>
      </w:r>
      <w:r>
        <w:rPr>
          <w:rFonts w:asciiTheme="minorHAnsi" w:hAnsiTheme="minorHAnsi"/>
          <w:sz w:val="24"/>
          <w:szCs w:val="24"/>
        </w:rPr>
        <w:t xml:space="preserve">ted the consolidation of the </w:t>
      </w:r>
      <w:proofErr w:type="spellStart"/>
      <w:r>
        <w:rPr>
          <w:rFonts w:asciiTheme="minorHAnsi" w:hAnsiTheme="minorHAnsi"/>
          <w:sz w:val="24"/>
          <w:szCs w:val="24"/>
        </w:rPr>
        <w:t>de</w:t>
      </w:r>
      <w:r w:rsidRPr="006931E8">
        <w:rPr>
          <w:rFonts w:asciiTheme="minorHAnsi" w:hAnsiTheme="minorHAnsi"/>
          <w:sz w:val="24"/>
          <w:szCs w:val="24"/>
        </w:rPr>
        <w:t>politicising</w:t>
      </w:r>
      <w:proofErr w:type="spellEnd"/>
      <w:r w:rsidRPr="006931E8">
        <w:rPr>
          <w:rFonts w:asciiTheme="minorHAnsi" w:hAnsiTheme="minorHAnsi"/>
          <w:sz w:val="24"/>
          <w:szCs w:val="24"/>
        </w:rPr>
        <w:t xml:space="preserve"> impact of the strategy on the level and quality of public debate (Hay and Watson, 1999; </w:t>
      </w:r>
      <w:proofErr w:type="spellStart"/>
      <w:r w:rsidRPr="006931E8">
        <w:rPr>
          <w:rFonts w:asciiTheme="minorHAnsi" w:hAnsiTheme="minorHAnsi"/>
          <w:sz w:val="24"/>
          <w:szCs w:val="24"/>
        </w:rPr>
        <w:t>Kettell</w:t>
      </w:r>
      <w:proofErr w:type="spellEnd"/>
      <w:r w:rsidRPr="006931E8">
        <w:rPr>
          <w:rFonts w:asciiTheme="minorHAnsi" w:hAnsiTheme="minorHAnsi"/>
          <w:sz w:val="24"/>
          <w:szCs w:val="24"/>
        </w:rPr>
        <w:t>, 2008). There were a number of rhetori</w:t>
      </w:r>
      <w:r>
        <w:rPr>
          <w:rFonts w:asciiTheme="minorHAnsi" w:hAnsiTheme="minorHAnsi"/>
          <w:sz w:val="24"/>
          <w:szCs w:val="24"/>
        </w:rPr>
        <w:t xml:space="preserve">cal threats </w:t>
      </w:r>
      <w:r w:rsidRPr="006931E8">
        <w:rPr>
          <w:rFonts w:asciiTheme="minorHAnsi" w:hAnsiTheme="minorHAnsi"/>
          <w:sz w:val="24"/>
          <w:szCs w:val="24"/>
        </w:rPr>
        <w:t>from within the government</w:t>
      </w:r>
      <w:r w:rsidR="006B1504">
        <w:rPr>
          <w:rFonts w:asciiTheme="minorHAnsi" w:hAnsiTheme="minorHAnsi"/>
          <w:sz w:val="24"/>
          <w:szCs w:val="24"/>
        </w:rPr>
        <w:t xml:space="preserve"> to reverse the </w:t>
      </w:r>
      <w:proofErr w:type="gramStart"/>
      <w:r w:rsidR="006B1504">
        <w:rPr>
          <w:rFonts w:asciiTheme="minorHAnsi" w:hAnsiTheme="minorHAnsi"/>
          <w:sz w:val="24"/>
          <w:szCs w:val="24"/>
        </w:rPr>
        <w:t>Bank</w:t>
      </w:r>
      <w:r w:rsidR="006B1504" w:rsidRPr="006931E8">
        <w:rPr>
          <w:rFonts w:asciiTheme="minorHAnsi" w:hAnsiTheme="minorHAnsi"/>
          <w:sz w:val="24"/>
          <w:szCs w:val="24"/>
        </w:rPr>
        <w:t>‘</w:t>
      </w:r>
      <w:proofErr w:type="gramEnd"/>
      <w:r w:rsidR="006B1504" w:rsidRPr="006931E8">
        <w:rPr>
          <w:rFonts w:asciiTheme="minorHAnsi" w:hAnsiTheme="minorHAnsi"/>
          <w:sz w:val="24"/>
          <w:szCs w:val="24"/>
        </w:rPr>
        <w:t>s independence</w:t>
      </w:r>
      <w:r w:rsidRPr="006931E8">
        <w:rPr>
          <w:rFonts w:asciiTheme="minorHAnsi" w:hAnsiTheme="minorHAnsi"/>
          <w:sz w:val="24"/>
          <w:szCs w:val="24"/>
        </w:rPr>
        <w:t xml:space="preserve"> and explicit controversy between the government and the Bank over its </w:t>
      </w:r>
      <w:r w:rsidR="006B1504">
        <w:rPr>
          <w:rFonts w:asciiTheme="minorHAnsi" w:hAnsiTheme="minorHAnsi"/>
          <w:sz w:val="24"/>
          <w:szCs w:val="24"/>
        </w:rPr>
        <w:t>alleged</w:t>
      </w:r>
      <w:r w:rsidRPr="006931E8">
        <w:rPr>
          <w:rFonts w:asciiTheme="minorHAnsi" w:hAnsiTheme="minorHAnsi"/>
          <w:sz w:val="24"/>
          <w:szCs w:val="24"/>
        </w:rPr>
        <w:t xml:space="preserve"> “high interest rate, low exchange rate” policy, as reflected in the wide media coverage (Ankara Chamber of Commerce, 2007; </w:t>
      </w:r>
      <w:proofErr w:type="spellStart"/>
      <w:r w:rsidRPr="006931E8">
        <w:rPr>
          <w:rFonts w:asciiTheme="minorHAnsi" w:hAnsiTheme="minorHAnsi"/>
          <w:sz w:val="24"/>
          <w:szCs w:val="24"/>
        </w:rPr>
        <w:t>Ozatay</w:t>
      </w:r>
      <w:proofErr w:type="spellEnd"/>
      <w:r w:rsidRPr="006931E8">
        <w:rPr>
          <w:rFonts w:asciiTheme="minorHAnsi" w:hAnsiTheme="minorHAnsi"/>
          <w:sz w:val="24"/>
          <w:szCs w:val="24"/>
        </w:rPr>
        <w:t xml:space="preserve">, 2007; </w:t>
      </w:r>
      <w:proofErr w:type="spellStart"/>
      <w:r w:rsidRPr="006931E8">
        <w:rPr>
          <w:rFonts w:asciiTheme="minorHAnsi" w:hAnsiTheme="minorHAnsi"/>
          <w:sz w:val="24"/>
          <w:szCs w:val="24"/>
        </w:rPr>
        <w:t>Sonmez</w:t>
      </w:r>
      <w:proofErr w:type="spellEnd"/>
      <w:r w:rsidRPr="006931E8">
        <w:rPr>
          <w:rFonts w:asciiTheme="minorHAnsi" w:hAnsiTheme="minorHAnsi"/>
          <w:sz w:val="24"/>
          <w:szCs w:val="24"/>
        </w:rPr>
        <w:t>, 2007). However, no such rev</w:t>
      </w:r>
      <w:r w:rsidR="006B1504">
        <w:rPr>
          <w:rFonts w:asciiTheme="minorHAnsi" w:hAnsiTheme="minorHAnsi"/>
          <w:sz w:val="24"/>
          <w:szCs w:val="24"/>
        </w:rPr>
        <w:t>ersal actually took place. I</w:t>
      </w:r>
      <w:r w:rsidRPr="006931E8">
        <w:rPr>
          <w:rFonts w:asciiTheme="minorHAnsi" w:hAnsiTheme="minorHAnsi"/>
          <w:sz w:val="24"/>
          <w:szCs w:val="24"/>
        </w:rPr>
        <w:t>nstead the government exploited the opportunities of having transmitted its control over monetary policy to the independent central bank by jumping into the bandwagon of criticizing the Bank alongside business and exporters associations and unions. The Bank ultimately lowered policy rates from September 2007 and November 2008 onwards after the brief increases between May-July 2008 as an initial reaction to the global crisis (CBRT Interest Rates).</w:t>
      </w:r>
    </w:p>
    <w:p w:rsidR="006B1504" w:rsidRDefault="006B1504">
      <w:pPr>
        <w:spacing w:line="100" w:lineRule="atLeast"/>
        <w:ind w:left="720" w:right="720"/>
        <w:jc w:val="both"/>
        <w:rPr>
          <w:rFonts w:asciiTheme="minorHAnsi" w:hAnsiTheme="minorHAnsi" w:cs="TimesNewRomanPSMT"/>
          <w:color w:val="000000"/>
          <w:sz w:val="24"/>
          <w:szCs w:val="24"/>
        </w:rPr>
      </w:pPr>
    </w:p>
    <w:p w:rsidR="00735368" w:rsidRDefault="00514438">
      <w:pPr>
        <w:spacing w:line="100" w:lineRule="atLeast"/>
        <w:ind w:left="720" w:right="720"/>
        <w:jc w:val="both"/>
        <w:rPr>
          <w:rFonts w:asciiTheme="minorHAnsi" w:hAnsiTheme="minorHAnsi" w:cs="TimesNewRomanPSMT"/>
          <w:color w:val="000000"/>
          <w:sz w:val="24"/>
          <w:szCs w:val="24"/>
        </w:rPr>
      </w:pPr>
      <w:r w:rsidRPr="006931E8">
        <w:rPr>
          <w:rFonts w:asciiTheme="minorHAnsi" w:hAnsiTheme="minorHAnsi" w:cs="TimesNewRomanPSMT"/>
          <w:color w:val="000000"/>
          <w:sz w:val="24"/>
          <w:szCs w:val="24"/>
        </w:rPr>
        <w:t xml:space="preserve">Nevertheless, these developments did not result in fully fledged adoption of an </w:t>
      </w:r>
      <w:r w:rsidR="006B1504">
        <w:rPr>
          <w:rFonts w:asciiTheme="minorHAnsi" w:hAnsiTheme="minorHAnsi" w:cs="TimesNewRomanPSMT"/>
          <w:color w:val="000000"/>
          <w:sz w:val="24"/>
          <w:szCs w:val="24"/>
        </w:rPr>
        <w:t>‘</w:t>
      </w:r>
      <w:r w:rsidRPr="006931E8">
        <w:rPr>
          <w:rFonts w:asciiTheme="minorHAnsi" w:hAnsiTheme="minorHAnsi" w:cs="TimesNewRomanPSMT"/>
          <w:color w:val="000000"/>
          <w:sz w:val="24"/>
          <w:szCs w:val="24"/>
        </w:rPr>
        <w:t>unorthodox</w:t>
      </w:r>
      <w:r w:rsidR="006B1504">
        <w:rPr>
          <w:rFonts w:asciiTheme="minorHAnsi" w:hAnsiTheme="minorHAnsi" w:cs="TimesNewRomanPSMT"/>
          <w:color w:val="000000"/>
          <w:sz w:val="24"/>
          <w:szCs w:val="24"/>
        </w:rPr>
        <w:t>’</w:t>
      </w:r>
      <w:r w:rsidRPr="006931E8">
        <w:rPr>
          <w:rFonts w:asciiTheme="minorHAnsi" w:hAnsiTheme="minorHAnsi" w:cs="TimesNewRomanPSMT"/>
          <w:color w:val="000000"/>
          <w:sz w:val="24"/>
          <w:szCs w:val="24"/>
        </w:rPr>
        <w:t xml:space="preserve"> position in economic policy making due to the state managers' efforts to ensure that certain pillars of economic policymaking remained </w:t>
      </w:r>
      <w:r w:rsidRPr="006931E8">
        <w:rPr>
          <w:rFonts w:asciiTheme="minorHAnsi" w:hAnsiTheme="minorHAnsi" w:cs="TimesNewRomanPSMT"/>
          <w:i/>
          <w:color w:val="000000"/>
          <w:sz w:val="24"/>
          <w:szCs w:val="24"/>
        </w:rPr>
        <w:t>seemingly</w:t>
      </w:r>
      <w:r w:rsidRPr="006931E8">
        <w:rPr>
          <w:rFonts w:asciiTheme="minorHAnsi" w:hAnsiTheme="minorHAnsi" w:cs="TimesNewRomanPSMT"/>
          <w:color w:val="000000"/>
          <w:sz w:val="24"/>
          <w:szCs w:val="24"/>
        </w:rPr>
        <w:t xml:space="preserve"> outside the political process</w:t>
      </w:r>
      <w:r w:rsidRPr="006931E8">
        <w:rPr>
          <w:rStyle w:val="EndnoteReference"/>
          <w:rFonts w:asciiTheme="minorHAnsi" w:hAnsiTheme="minorHAnsi" w:cs="TimesNewRomanPSMT"/>
          <w:color w:val="000000"/>
          <w:sz w:val="24"/>
          <w:szCs w:val="24"/>
        </w:rPr>
        <w:endnoteReference w:id="6"/>
      </w:r>
      <w:r w:rsidRPr="006931E8">
        <w:rPr>
          <w:rFonts w:asciiTheme="minorHAnsi" w:hAnsiTheme="minorHAnsi" w:cs="TimesNewRomanPSMT"/>
          <w:color w:val="000000"/>
          <w:sz w:val="24"/>
          <w:szCs w:val="24"/>
        </w:rPr>
        <w:t xml:space="preserve">. On the other hand, the government </w:t>
      </w:r>
      <w:r w:rsidR="006B1504" w:rsidRPr="006931E8">
        <w:rPr>
          <w:rFonts w:asciiTheme="minorHAnsi" w:hAnsiTheme="minorHAnsi" w:cs="TimesNewRomanPSMT"/>
          <w:color w:val="000000"/>
          <w:sz w:val="24"/>
          <w:szCs w:val="24"/>
        </w:rPr>
        <w:t>articulated a</w:t>
      </w:r>
      <w:r w:rsidRPr="006931E8">
        <w:rPr>
          <w:rFonts w:asciiTheme="minorHAnsi" w:hAnsiTheme="minorHAnsi" w:cs="TimesNewRomanPSMT"/>
          <w:color w:val="000000"/>
          <w:sz w:val="24"/>
          <w:szCs w:val="24"/>
        </w:rPr>
        <w:t xml:space="preserve"> discourse which repeatedly promised the signing of a new IMF stand-by agreement from May 2008 onwards in order to garner credibility without an actual commitment (F</w:t>
      </w:r>
      <w:r w:rsidR="006B1504">
        <w:rPr>
          <w:rFonts w:asciiTheme="minorHAnsi" w:hAnsiTheme="minorHAnsi" w:cs="TimesNewRomanPSMT"/>
          <w:color w:val="000000"/>
          <w:sz w:val="24"/>
          <w:szCs w:val="24"/>
        </w:rPr>
        <w:t xml:space="preserve">inancial </w:t>
      </w:r>
      <w:r w:rsidRPr="006931E8">
        <w:rPr>
          <w:rFonts w:asciiTheme="minorHAnsi" w:hAnsiTheme="minorHAnsi" w:cs="TimesNewRomanPSMT"/>
          <w:color w:val="000000"/>
          <w:sz w:val="24"/>
          <w:szCs w:val="24"/>
        </w:rPr>
        <w:t>T</w:t>
      </w:r>
      <w:r w:rsidR="006B1504">
        <w:rPr>
          <w:rFonts w:asciiTheme="minorHAnsi" w:hAnsiTheme="minorHAnsi" w:cs="TimesNewRomanPSMT"/>
          <w:color w:val="000000"/>
          <w:sz w:val="24"/>
          <w:szCs w:val="24"/>
        </w:rPr>
        <w:t>imes</w:t>
      </w:r>
      <w:r w:rsidRPr="006931E8">
        <w:rPr>
          <w:rFonts w:asciiTheme="minorHAnsi" w:hAnsiTheme="minorHAnsi" w:cs="TimesNewRomanPSMT"/>
          <w:color w:val="000000"/>
          <w:sz w:val="24"/>
          <w:szCs w:val="24"/>
        </w:rPr>
        <w:t>, 5 Dec 2008; 27 Jan,</w:t>
      </w:r>
      <w:r w:rsidR="006B1504">
        <w:rPr>
          <w:rFonts w:asciiTheme="minorHAnsi" w:hAnsiTheme="minorHAnsi" w:cs="TimesNewRomanPSMT"/>
          <w:color w:val="000000"/>
          <w:sz w:val="24"/>
          <w:szCs w:val="24"/>
        </w:rPr>
        <w:t xml:space="preserve"> 10 Feb, 16 May, 20 June 2009). This stance presented </w:t>
      </w:r>
      <w:r w:rsidRPr="006931E8">
        <w:rPr>
          <w:rFonts w:asciiTheme="minorHAnsi" w:hAnsiTheme="minorHAnsi" w:cs="TimesNewRomanPSMT"/>
          <w:color w:val="000000"/>
          <w:sz w:val="24"/>
          <w:szCs w:val="24"/>
        </w:rPr>
        <w:t>the crisis as though it were outside the dynamics of the Turkish economy. It was argued that the economy proved much more resilient than it had been in the pre-2001 period (P</w:t>
      </w:r>
      <w:r w:rsidR="006B1504">
        <w:rPr>
          <w:rFonts w:asciiTheme="minorHAnsi" w:hAnsiTheme="minorHAnsi" w:cs="TimesNewRomanPSMT"/>
          <w:color w:val="000000"/>
          <w:sz w:val="24"/>
          <w:szCs w:val="24"/>
        </w:rPr>
        <w:t xml:space="preserve">rime </w:t>
      </w:r>
      <w:r w:rsidRPr="006931E8">
        <w:rPr>
          <w:rFonts w:asciiTheme="minorHAnsi" w:hAnsiTheme="minorHAnsi" w:cs="TimesNewRomanPSMT"/>
          <w:color w:val="000000"/>
          <w:sz w:val="24"/>
          <w:szCs w:val="24"/>
        </w:rPr>
        <w:t>M</w:t>
      </w:r>
      <w:r w:rsidR="006B1504">
        <w:rPr>
          <w:rFonts w:asciiTheme="minorHAnsi" w:hAnsiTheme="minorHAnsi" w:cs="TimesNewRomanPSMT"/>
          <w:color w:val="000000"/>
          <w:sz w:val="24"/>
          <w:szCs w:val="24"/>
        </w:rPr>
        <w:t>inister</w:t>
      </w:r>
      <w:r w:rsidRPr="006931E8">
        <w:rPr>
          <w:rFonts w:asciiTheme="minorHAnsi" w:hAnsiTheme="minorHAnsi" w:cs="TimesNewRomanPSMT"/>
          <w:color w:val="000000"/>
          <w:sz w:val="24"/>
          <w:szCs w:val="24"/>
        </w:rPr>
        <w:t xml:space="preserve"> Speeches, Sep-Dec 2008; see also </w:t>
      </w:r>
      <w:proofErr w:type="spellStart"/>
      <w:r w:rsidRPr="006931E8">
        <w:rPr>
          <w:rFonts w:asciiTheme="minorHAnsi" w:hAnsiTheme="minorHAnsi" w:cs="TimesNewRomanPSMT"/>
          <w:color w:val="000000"/>
          <w:sz w:val="24"/>
          <w:szCs w:val="24"/>
        </w:rPr>
        <w:t>Onis</w:t>
      </w:r>
      <w:proofErr w:type="spellEnd"/>
      <w:r w:rsidRPr="006931E8">
        <w:rPr>
          <w:rFonts w:asciiTheme="minorHAnsi" w:hAnsiTheme="minorHAnsi" w:cs="TimesNewRomanPSMT"/>
          <w:color w:val="000000"/>
          <w:sz w:val="24"/>
          <w:szCs w:val="24"/>
        </w:rPr>
        <w:t xml:space="preserve"> and </w:t>
      </w:r>
      <w:proofErr w:type="spellStart"/>
      <w:r w:rsidRPr="006931E8">
        <w:rPr>
          <w:rFonts w:asciiTheme="minorHAnsi" w:hAnsiTheme="minorHAnsi" w:cs="TimesNewRomanPSMT"/>
          <w:color w:val="000000"/>
          <w:sz w:val="24"/>
          <w:szCs w:val="24"/>
        </w:rPr>
        <w:t>Guven</w:t>
      </w:r>
      <w:proofErr w:type="spellEnd"/>
      <w:r w:rsidRPr="006931E8">
        <w:rPr>
          <w:rFonts w:asciiTheme="minorHAnsi" w:hAnsiTheme="minorHAnsi" w:cs="TimesNewRomanPSMT"/>
          <w:color w:val="000000"/>
          <w:sz w:val="24"/>
          <w:szCs w:val="24"/>
        </w:rPr>
        <w:t xml:space="preserve">, 2011). </w:t>
      </w:r>
    </w:p>
    <w:p w:rsidR="00735368" w:rsidRDefault="00735368">
      <w:pPr>
        <w:spacing w:line="100" w:lineRule="atLeast"/>
        <w:ind w:left="720" w:right="720"/>
        <w:jc w:val="both"/>
        <w:rPr>
          <w:rFonts w:asciiTheme="minorHAnsi" w:hAnsiTheme="minorHAnsi" w:cs="TimesNewRomanPSMT"/>
          <w:color w:val="000000"/>
          <w:sz w:val="24"/>
          <w:szCs w:val="24"/>
        </w:rPr>
      </w:pPr>
    </w:p>
    <w:p w:rsidR="00735368" w:rsidRPr="00731E44" w:rsidRDefault="00514438" w:rsidP="00731E44">
      <w:pPr>
        <w:spacing w:line="100" w:lineRule="atLeast"/>
        <w:ind w:left="720" w:right="720"/>
        <w:jc w:val="both"/>
        <w:rPr>
          <w:rFonts w:asciiTheme="minorHAnsi" w:hAnsiTheme="minorHAnsi" w:cs="Tahoma"/>
          <w:sz w:val="24"/>
          <w:szCs w:val="24"/>
          <w:lang w:val="en-GB" w:eastAsia="hi-IN" w:bidi="hi-IN"/>
        </w:rPr>
      </w:pPr>
      <w:r w:rsidRPr="006931E8">
        <w:rPr>
          <w:rFonts w:asciiTheme="minorHAnsi" w:hAnsiTheme="minorHAnsi" w:cs="Tahoma"/>
          <w:sz w:val="24"/>
          <w:szCs w:val="24"/>
          <w:lang w:val="en-GB" w:eastAsia="hi-IN" w:bidi="hi-IN"/>
        </w:rPr>
        <w:t xml:space="preserve">An overview of the content of parliamentary debates during the 2007-2010 period reveals </w:t>
      </w:r>
      <w:r w:rsidR="00731E44">
        <w:rPr>
          <w:rFonts w:asciiTheme="minorHAnsi" w:hAnsiTheme="minorHAnsi" w:cs="Tahoma"/>
          <w:sz w:val="24"/>
          <w:szCs w:val="24"/>
          <w:lang w:val="en-GB" w:eastAsia="hi-IN" w:bidi="hi-IN"/>
        </w:rPr>
        <w:t>that a</w:t>
      </w:r>
      <w:r w:rsidRPr="006931E8">
        <w:rPr>
          <w:rFonts w:asciiTheme="minorHAnsi" w:hAnsiTheme="minorHAnsi" w:cs="Tahoma"/>
          <w:sz w:val="24"/>
          <w:szCs w:val="24"/>
          <w:lang w:val="en-GB" w:eastAsia="hi-IN" w:bidi="hi-IN"/>
        </w:rPr>
        <w:t xml:space="preserve"> set of criticisms</w:t>
      </w:r>
      <w:r w:rsidR="00731E44">
        <w:rPr>
          <w:rFonts w:asciiTheme="minorHAnsi" w:hAnsiTheme="minorHAnsi" w:cs="Tahoma"/>
          <w:sz w:val="24"/>
          <w:szCs w:val="24"/>
          <w:lang w:val="en-GB" w:eastAsia="hi-IN" w:bidi="hi-IN"/>
        </w:rPr>
        <w:t xml:space="preserve"> were</w:t>
      </w:r>
      <w:r w:rsidRPr="006931E8">
        <w:rPr>
          <w:rFonts w:asciiTheme="minorHAnsi" w:hAnsiTheme="minorHAnsi" w:cs="Tahoma"/>
          <w:sz w:val="24"/>
          <w:szCs w:val="24"/>
          <w:lang w:val="en-GB" w:eastAsia="hi-IN" w:bidi="hi-IN"/>
        </w:rPr>
        <w:t xml:space="preserve"> </w:t>
      </w:r>
      <w:r w:rsidR="00731E44">
        <w:rPr>
          <w:rFonts w:asciiTheme="minorHAnsi" w:hAnsiTheme="minorHAnsi" w:cs="Tahoma"/>
          <w:sz w:val="24"/>
          <w:szCs w:val="24"/>
          <w:lang w:val="en-GB" w:eastAsia="hi-IN" w:bidi="hi-IN"/>
        </w:rPr>
        <w:t>initiated</w:t>
      </w:r>
      <w:r w:rsidRPr="006931E8">
        <w:rPr>
          <w:rFonts w:asciiTheme="minorHAnsi" w:hAnsiTheme="minorHAnsi" w:cs="Tahoma"/>
          <w:sz w:val="24"/>
          <w:szCs w:val="24"/>
          <w:lang w:val="en-GB" w:eastAsia="hi-IN" w:bidi="hi-IN"/>
        </w:rPr>
        <w:t xml:space="preserve"> against the effects of the Bank's monetary and credit policies on the “real” sector (Parliamentary Debates, 23. Term, 1-4 Legislative Years). </w:t>
      </w:r>
      <w:r w:rsidRPr="006931E8">
        <w:rPr>
          <w:rFonts w:asciiTheme="minorHAnsi" w:hAnsiTheme="minorHAnsi" w:cs="TimesNewRomanPSMT"/>
          <w:sz w:val="24"/>
          <w:szCs w:val="24"/>
        </w:rPr>
        <w:t xml:space="preserve">By late 2008, the Ministers responsible for economy came to explicitly acknowledge the effects of the deepening crisis on the domestic economy (3. Legislative Year </w:t>
      </w:r>
      <w:proofErr w:type="gramStart"/>
      <w:r w:rsidRPr="006931E8">
        <w:rPr>
          <w:rFonts w:asciiTheme="minorHAnsi" w:hAnsiTheme="minorHAnsi" w:cs="TimesNewRomanPSMT"/>
          <w:sz w:val="24"/>
          <w:szCs w:val="24"/>
        </w:rPr>
        <w:t>17.Meeting</w:t>
      </w:r>
      <w:proofErr w:type="gramEnd"/>
      <w:r w:rsidRPr="006931E8">
        <w:rPr>
          <w:rFonts w:asciiTheme="minorHAnsi" w:hAnsiTheme="minorHAnsi" w:cs="TimesNewRomanPSMT"/>
          <w:sz w:val="24"/>
          <w:szCs w:val="24"/>
        </w:rPr>
        <w:t xml:space="preserve"> 13/Nov/2008</w:t>
      </w:r>
      <w:r w:rsidRPr="006931E8">
        <w:rPr>
          <w:rFonts w:asciiTheme="minorHAnsi" w:hAnsiTheme="minorHAnsi" w:cs="TimesNewRomanPSMT"/>
          <w:color w:val="000000"/>
          <w:sz w:val="24"/>
          <w:szCs w:val="24"/>
        </w:rPr>
        <w:t xml:space="preserve"> </w:t>
      </w:r>
      <w:r w:rsidRPr="006931E8">
        <w:rPr>
          <w:rFonts w:asciiTheme="minorHAnsi" w:hAnsiTheme="minorHAnsi" w:cs="TimesNewRomanPSMT"/>
          <w:sz w:val="24"/>
          <w:szCs w:val="24"/>
        </w:rPr>
        <w:t>Thursday, p. 33). Nevertheless the-then Prime Minister and the Finance Minister were still insistent that “this is not an economic crisis but a financial crisis” and that</w:t>
      </w:r>
      <w:r w:rsidRPr="006931E8">
        <w:rPr>
          <w:rFonts w:asciiTheme="minorHAnsi" w:hAnsiTheme="minorHAnsi" w:cs="TimesNewRomanPSMT"/>
          <w:color w:val="000000"/>
          <w:sz w:val="24"/>
          <w:szCs w:val="24"/>
        </w:rPr>
        <w:t xml:space="preserve"> </w:t>
      </w:r>
      <w:r w:rsidRPr="006931E8">
        <w:rPr>
          <w:rFonts w:asciiTheme="minorHAnsi" w:hAnsiTheme="minorHAnsi" w:cs="TimesNewRomanPSMT"/>
          <w:sz w:val="24"/>
          <w:szCs w:val="24"/>
        </w:rPr>
        <w:t>“this crisis is not Turkey's crisis, this is a global crisis” (28. Meeting 16/Dec/2008</w:t>
      </w:r>
      <w:r w:rsidRPr="006931E8">
        <w:rPr>
          <w:rFonts w:asciiTheme="minorHAnsi" w:hAnsiTheme="minorHAnsi" w:cs="TimesNewRomanPSMT"/>
          <w:color w:val="000000"/>
          <w:sz w:val="24"/>
          <w:szCs w:val="24"/>
        </w:rPr>
        <w:t xml:space="preserve"> </w:t>
      </w:r>
      <w:r w:rsidRPr="006931E8">
        <w:rPr>
          <w:rFonts w:asciiTheme="minorHAnsi" w:hAnsiTheme="minorHAnsi" w:cs="TimesNewRomanPSMT"/>
          <w:sz w:val="24"/>
          <w:szCs w:val="24"/>
        </w:rPr>
        <w:t>Tuesday, p. 13, 67-8). The rhetoric of “turning crisis into opportunity” and emphasis on the “inevitability of change to which everyone needs to adapt” complemented this</w:t>
      </w:r>
      <w:r w:rsidRPr="006931E8">
        <w:rPr>
          <w:rFonts w:asciiTheme="minorHAnsi" w:hAnsiTheme="minorHAnsi" w:cs="TimesNewRomanPSMT"/>
          <w:color w:val="000000"/>
          <w:sz w:val="24"/>
          <w:szCs w:val="24"/>
        </w:rPr>
        <w:t xml:space="preserve"> re</w:t>
      </w:r>
      <w:r w:rsidRPr="006931E8">
        <w:rPr>
          <w:rFonts w:asciiTheme="minorHAnsi" w:hAnsiTheme="minorHAnsi" w:cs="TimesNewRomanPSMT"/>
          <w:sz w:val="24"/>
          <w:szCs w:val="24"/>
        </w:rPr>
        <w:t xml:space="preserve">presentation of crisis </w:t>
      </w:r>
      <w:r w:rsidRPr="006931E8">
        <w:rPr>
          <w:rFonts w:asciiTheme="minorHAnsi" w:hAnsiTheme="minorHAnsi" w:cs="TimesNewRomanPS-ItalicMT"/>
          <w:i/>
          <w:iCs/>
          <w:sz w:val="24"/>
          <w:szCs w:val="24"/>
        </w:rPr>
        <w:t xml:space="preserve">and </w:t>
      </w:r>
      <w:r w:rsidRPr="006931E8">
        <w:rPr>
          <w:rFonts w:asciiTheme="minorHAnsi" w:hAnsiTheme="minorHAnsi" w:cs="TimesNewRomanPSMT"/>
          <w:sz w:val="24"/>
          <w:szCs w:val="24"/>
        </w:rPr>
        <w:t>restructuring (ibid., p. 13, 15). The 2009 budget deliberations set off heated debates in the parliament, including discussions on the substantial modifications of the CBRT’s mandate.</w:t>
      </w:r>
      <w:r w:rsidR="00356113">
        <w:rPr>
          <w:rFonts w:asciiTheme="minorHAnsi" w:hAnsiTheme="minorHAnsi" w:cs="TimesNewRomanPSMT"/>
          <w:sz w:val="24"/>
          <w:szCs w:val="24"/>
        </w:rPr>
        <w:t xml:space="preserve"> </w:t>
      </w:r>
      <w:r w:rsidR="0016175C" w:rsidRPr="0016175C">
        <w:rPr>
          <w:sz w:val="24"/>
          <w:szCs w:val="24"/>
        </w:rPr>
        <w:t>As a member of parliament state</w:t>
      </w:r>
      <w:r w:rsidR="001B5B11">
        <w:rPr>
          <w:sz w:val="24"/>
          <w:szCs w:val="24"/>
        </w:rPr>
        <w:t>d</w:t>
      </w:r>
      <w:r w:rsidR="0016175C" w:rsidRPr="0016175C">
        <w:rPr>
          <w:sz w:val="24"/>
          <w:szCs w:val="24"/>
        </w:rPr>
        <w:t>: “The Central Bank must definitely take initiative in this process. [It] must be taken toward a policy orientation to look out for the real economy beyond its focus on the inflation target, monetary and credit policies.” (79. Meeting 21/Apr/2009 Tuesday, p. 7).</w:t>
      </w:r>
    </w:p>
    <w:p w:rsidR="00735368" w:rsidRDefault="00735368">
      <w:pPr>
        <w:spacing w:line="100" w:lineRule="atLeast"/>
        <w:ind w:left="720" w:right="720"/>
        <w:jc w:val="both"/>
        <w:rPr>
          <w:rFonts w:asciiTheme="minorHAnsi" w:hAnsiTheme="minorHAnsi" w:cs="TimesNewRomanPSMT"/>
          <w:sz w:val="24"/>
          <w:szCs w:val="24"/>
        </w:rPr>
      </w:pPr>
    </w:p>
    <w:p w:rsidR="00735368" w:rsidRDefault="00514438">
      <w:pPr>
        <w:spacing w:line="100" w:lineRule="atLeast"/>
        <w:ind w:left="720" w:right="720"/>
        <w:jc w:val="both"/>
        <w:rPr>
          <w:rFonts w:asciiTheme="minorHAnsi" w:hAnsiTheme="minorHAnsi" w:cs="TimesNewRomanPSMT"/>
          <w:sz w:val="24"/>
          <w:szCs w:val="24"/>
        </w:rPr>
      </w:pPr>
      <w:r w:rsidRPr="006931E8">
        <w:rPr>
          <w:rFonts w:asciiTheme="minorHAnsi" w:hAnsiTheme="minorHAnsi" w:cs="TimesNewRomanPSMT"/>
          <w:sz w:val="24"/>
          <w:szCs w:val="24"/>
        </w:rPr>
        <w:t xml:space="preserve">However, the Ministers' response to these challenges did not fundamentally divert from the </w:t>
      </w:r>
      <w:proofErr w:type="spellStart"/>
      <w:r w:rsidRPr="006931E8">
        <w:rPr>
          <w:rFonts w:asciiTheme="minorHAnsi" w:hAnsiTheme="minorHAnsi" w:cs="TimesNewRomanPSMT"/>
          <w:sz w:val="24"/>
          <w:szCs w:val="24"/>
        </w:rPr>
        <w:t>depoliticisation</w:t>
      </w:r>
      <w:proofErr w:type="spellEnd"/>
      <w:r w:rsidRPr="006931E8">
        <w:rPr>
          <w:rFonts w:asciiTheme="minorHAnsi" w:hAnsiTheme="minorHAnsi" w:cs="TimesNewRomanPSMT"/>
          <w:sz w:val="24"/>
          <w:szCs w:val="24"/>
        </w:rPr>
        <w:t xml:space="preserve"> principle in monetary policy making as they reiterated the importance of the CBRT's independence (37. Meeting 25/Dec/2008 Thursday, p. 126). Without explicitly impinging on the official status, institutional structure and governing of the Bank, the AKP government had instead chosen to </w:t>
      </w:r>
      <w:proofErr w:type="spellStart"/>
      <w:r w:rsidRPr="006931E8">
        <w:rPr>
          <w:rFonts w:asciiTheme="minorHAnsi" w:hAnsiTheme="minorHAnsi" w:cs="TimesNewRomanPSMT"/>
          <w:sz w:val="24"/>
          <w:szCs w:val="24"/>
        </w:rPr>
        <w:t>politicise</w:t>
      </w:r>
      <w:proofErr w:type="spellEnd"/>
      <w:r w:rsidRPr="006931E8">
        <w:rPr>
          <w:rFonts w:asciiTheme="minorHAnsi" w:hAnsiTheme="minorHAnsi" w:cs="TimesNewRomanPSMT"/>
          <w:sz w:val="24"/>
          <w:szCs w:val="24"/>
        </w:rPr>
        <w:t xml:space="preserve"> other areas of economic policy, namely fiscal policy and borrowing via increases in the Treasury borrowing limit (37. Meeting 25/Dec/2008 Thursday, p. 127), incentive/stimulus packages for select sectors and industries and a new public finance and debt management law (110. Meeting 25/Jun/2009, Thursday, p. 41). </w:t>
      </w:r>
    </w:p>
    <w:p w:rsidR="00735368" w:rsidRDefault="00735368">
      <w:pPr>
        <w:spacing w:line="100" w:lineRule="atLeast"/>
        <w:ind w:left="720" w:right="720"/>
        <w:jc w:val="both"/>
        <w:rPr>
          <w:rFonts w:asciiTheme="minorHAnsi" w:hAnsiTheme="minorHAnsi" w:cs="TimesNewRomanPSMT"/>
          <w:sz w:val="24"/>
          <w:szCs w:val="24"/>
        </w:rPr>
      </w:pPr>
    </w:p>
    <w:p w:rsidR="00735368" w:rsidRDefault="00514438" w:rsidP="008643AB">
      <w:pPr>
        <w:spacing w:line="100" w:lineRule="atLeast"/>
        <w:ind w:left="720" w:right="720"/>
        <w:jc w:val="both"/>
        <w:rPr>
          <w:rFonts w:asciiTheme="minorHAnsi" w:hAnsiTheme="minorHAnsi" w:cs="TimesNewRomanPSMT"/>
          <w:sz w:val="24"/>
          <w:szCs w:val="24"/>
        </w:rPr>
      </w:pPr>
      <w:r w:rsidRPr="006931E8">
        <w:rPr>
          <w:rFonts w:asciiTheme="minorHAnsi" w:hAnsiTheme="minorHAnsi" w:cs="TimesNewRomanPSMT"/>
          <w:sz w:val="24"/>
          <w:szCs w:val="24"/>
        </w:rPr>
        <w:t xml:space="preserve">The transformation of the crisis into a European sovereign debt crisis across the continent from 2010 onwards has had a lasting effect. This period also set off the </w:t>
      </w:r>
      <w:r w:rsidRPr="006931E8">
        <w:rPr>
          <w:rFonts w:asciiTheme="minorHAnsi" w:hAnsiTheme="minorHAnsi" w:cs="TimesNewRomanPSMT"/>
          <w:sz w:val="24"/>
          <w:szCs w:val="24"/>
        </w:rPr>
        <w:lastRenderedPageBreak/>
        <w:t xml:space="preserve">formulation of a policy mix </w:t>
      </w:r>
      <w:r w:rsidR="001A23F3">
        <w:rPr>
          <w:rFonts w:asciiTheme="minorHAnsi" w:hAnsiTheme="minorHAnsi" w:cs="TimesNewRomanPSMT"/>
          <w:sz w:val="24"/>
          <w:szCs w:val="24"/>
        </w:rPr>
        <w:t>towards ‘</w:t>
      </w:r>
      <w:r w:rsidR="001A23F3" w:rsidRPr="001A23F3">
        <w:rPr>
          <w:rFonts w:asciiTheme="minorHAnsi" w:hAnsiTheme="minorHAnsi" w:cs="TimesNewRomanPSMT"/>
          <w:sz w:val="24"/>
          <w:szCs w:val="24"/>
        </w:rPr>
        <w:t>a flexible monetary policy</w:t>
      </w:r>
      <w:r w:rsidR="001A23F3">
        <w:rPr>
          <w:rFonts w:asciiTheme="minorHAnsi" w:hAnsiTheme="minorHAnsi" w:cs="TimesNewRomanPSMT"/>
          <w:sz w:val="24"/>
          <w:szCs w:val="24"/>
        </w:rPr>
        <w:t>’</w:t>
      </w:r>
      <w:r w:rsidR="001A23F3" w:rsidRPr="001A23F3">
        <w:rPr>
          <w:rFonts w:asciiTheme="minorHAnsi" w:hAnsiTheme="minorHAnsi" w:cs="TimesNewRomanPSMT"/>
          <w:sz w:val="24"/>
          <w:szCs w:val="24"/>
        </w:rPr>
        <w:t xml:space="preserve"> </w:t>
      </w:r>
      <w:r w:rsidRPr="006931E8">
        <w:rPr>
          <w:rFonts w:asciiTheme="minorHAnsi" w:hAnsiTheme="minorHAnsi" w:cs="TimesNewRomanPSMT"/>
          <w:sz w:val="24"/>
          <w:szCs w:val="24"/>
        </w:rPr>
        <w:t>with “lower policy rates, a wider interest corridor and higher required reserve ratios” with a renewed and explicit mandate to uphold financial stability alongside price stability (CBRT AR, 2010: 27, 32, 43</w:t>
      </w:r>
      <w:r w:rsidR="001A23F3">
        <w:rPr>
          <w:rFonts w:asciiTheme="minorHAnsi" w:hAnsiTheme="minorHAnsi" w:cs="TimesNewRomanPSMT"/>
          <w:sz w:val="24"/>
          <w:szCs w:val="24"/>
        </w:rPr>
        <w:t xml:space="preserve">; CBRT </w:t>
      </w:r>
      <w:r w:rsidR="001A23F3" w:rsidRPr="001A23F3">
        <w:rPr>
          <w:rFonts w:asciiTheme="minorHAnsi" w:hAnsiTheme="minorHAnsi" w:cs="TimesNewRomanPSMT"/>
          <w:sz w:val="24"/>
          <w:szCs w:val="24"/>
        </w:rPr>
        <w:t>Press Release</w:t>
      </w:r>
      <w:r w:rsidR="001A23F3">
        <w:rPr>
          <w:rFonts w:asciiTheme="minorHAnsi" w:hAnsiTheme="minorHAnsi" w:cs="TimesNewRomanPSMT"/>
          <w:sz w:val="24"/>
          <w:szCs w:val="24"/>
        </w:rPr>
        <w:t>s</w:t>
      </w:r>
      <w:r w:rsidR="001A23F3" w:rsidRPr="001A23F3">
        <w:rPr>
          <w:rFonts w:asciiTheme="minorHAnsi" w:hAnsiTheme="minorHAnsi" w:cs="TimesNewRomanPSMT"/>
          <w:sz w:val="24"/>
          <w:szCs w:val="24"/>
        </w:rPr>
        <w:t>, No: 2011-23, 26-27, 29, 40-41</w:t>
      </w:r>
      <w:r w:rsidR="001A23F3">
        <w:rPr>
          <w:rFonts w:asciiTheme="minorHAnsi" w:hAnsiTheme="minorHAnsi" w:cs="TimesNewRomanPSMT"/>
          <w:sz w:val="24"/>
          <w:szCs w:val="24"/>
        </w:rPr>
        <w:t>; CBRT website</w:t>
      </w:r>
      <w:r w:rsidRPr="006931E8">
        <w:rPr>
          <w:rFonts w:asciiTheme="minorHAnsi" w:hAnsiTheme="minorHAnsi" w:cs="TimesNewRomanPSMT"/>
          <w:sz w:val="24"/>
          <w:szCs w:val="24"/>
        </w:rPr>
        <w:t>). These changes appear to have aimed at striking the balance between two objectives at the same time: providing the required amount of money into circulation to offset recessionary effects, facilitate the conditions for accumulation and avoid any medium-term inflationary effects and exchange rate risks due to the relaxed credit mechanism and easier borrowing conditions from the Bank (CBRT AR, 2010). In terms of the way these measures have been discussed in the public political domain, the occasional calls for the change of CBRT mandate to include the objectives of “production and employment”, the overhaul of the floating exchange rate regime and the issue of CBRT's location change from Ankara to Istanbul further intensified in the 2010-2011 period (Parliamentary Debates, 4</w:t>
      </w:r>
      <w:r w:rsidRPr="006931E8">
        <w:rPr>
          <w:rFonts w:asciiTheme="minorHAnsi" w:hAnsiTheme="minorHAnsi" w:cs="TimesNewRomanPSMT"/>
          <w:sz w:val="24"/>
          <w:szCs w:val="24"/>
          <w:vertAlign w:val="superscript"/>
        </w:rPr>
        <w:t>th</w:t>
      </w:r>
      <w:r w:rsidRPr="006931E8">
        <w:rPr>
          <w:rFonts w:asciiTheme="minorHAnsi" w:hAnsiTheme="minorHAnsi" w:cs="TimesNewRomanPSMT"/>
          <w:sz w:val="24"/>
          <w:szCs w:val="24"/>
        </w:rPr>
        <w:t xml:space="preserve"> and 5</w:t>
      </w:r>
      <w:r w:rsidRPr="006931E8">
        <w:rPr>
          <w:rFonts w:asciiTheme="minorHAnsi" w:hAnsiTheme="minorHAnsi" w:cs="TimesNewRomanPSMT"/>
          <w:sz w:val="24"/>
          <w:szCs w:val="24"/>
          <w:vertAlign w:val="superscript"/>
        </w:rPr>
        <w:t>th</w:t>
      </w:r>
      <w:r w:rsidRPr="006931E8">
        <w:rPr>
          <w:rFonts w:asciiTheme="minorHAnsi" w:hAnsiTheme="minorHAnsi" w:cs="TimesNewRomanPSMT"/>
          <w:sz w:val="24"/>
          <w:szCs w:val="24"/>
        </w:rPr>
        <w:t xml:space="preserve"> Legislative years</w:t>
      </w:r>
      <w:r w:rsidR="008643AB">
        <w:rPr>
          <w:rFonts w:asciiTheme="minorHAnsi" w:hAnsiTheme="minorHAnsi" w:cs="TimesNewRomanPSMT"/>
          <w:sz w:val="24"/>
          <w:szCs w:val="24"/>
        </w:rPr>
        <w:t>; Jul, Dec 2010; Jan-Feb</w:t>
      </w:r>
      <w:r w:rsidRPr="006931E8">
        <w:rPr>
          <w:rFonts w:asciiTheme="minorHAnsi" w:hAnsiTheme="minorHAnsi" w:cs="TimesNewRomanPSMT"/>
          <w:sz w:val="24"/>
          <w:szCs w:val="24"/>
        </w:rPr>
        <w:t xml:space="preserve"> 2011). The uncertainty surrounding the change of CBRT governor in 2011 also became a matter of contestation in this period.</w:t>
      </w:r>
      <w:r w:rsidR="008643AB">
        <w:rPr>
          <w:rFonts w:asciiTheme="minorHAnsi" w:hAnsiTheme="minorHAnsi" w:cs="TimesNewRomanPSMT"/>
          <w:sz w:val="24"/>
          <w:szCs w:val="24"/>
        </w:rPr>
        <w:t xml:space="preserve"> The</w:t>
      </w:r>
      <w:r w:rsidRPr="006931E8">
        <w:rPr>
          <w:rFonts w:asciiTheme="minorHAnsi" w:hAnsiTheme="minorHAnsi" w:cs="TimesNewRomanPSMT"/>
          <w:sz w:val="24"/>
          <w:szCs w:val="24"/>
        </w:rPr>
        <w:t xml:space="preserve"> “policy mix” </w:t>
      </w:r>
      <w:r w:rsidR="008643AB">
        <w:rPr>
          <w:rFonts w:asciiTheme="minorHAnsi" w:hAnsiTheme="minorHAnsi" w:cs="TimesNewRomanPSMT"/>
          <w:sz w:val="24"/>
          <w:szCs w:val="24"/>
        </w:rPr>
        <w:t xml:space="preserve">has continued </w:t>
      </w:r>
      <w:r w:rsidRPr="006931E8">
        <w:rPr>
          <w:rFonts w:asciiTheme="minorHAnsi" w:hAnsiTheme="minorHAnsi" w:cs="TimesNewRomanPSMT"/>
          <w:sz w:val="24"/>
          <w:szCs w:val="24"/>
        </w:rPr>
        <w:t>with intensifying foreign exchange interventions by the Bank to overcome periods of volatility and stabilize th</w:t>
      </w:r>
      <w:r w:rsidR="008643AB">
        <w:rPr>
          <w:rFonts w:asciiTheme="minorHAnsi" w:hAnsiTheme="minorHAnsi" w:cs="TimesNewRomanPSMT"/>
          <w:sz w:val="24"/>
          <w:szCs w:val="24"/>
        </w:rPr>
        <w:t>e exchange rate. C</w:t>
      </w:r>
      <w:r w:rsidRPr="006931E8">
        <w:rPr>
          <w:rFonts w:asciiTheme="minorHAnsi" w:hAnsiTheme="minorHAnsi" w:cs="TimesNewRomanPSMT"/>
          <w:sz w:val="24"/>
          <w:szCs w:val="24"/>
        </w:rPr>
        <w:t xml:space="preserve">ontinuous appraisals as well as criticisms within the public debate </w:t>
      </w:r>
      <w:r w:rsidR="008643AB">
        <w:rPr>
          <w:rFonts w:asciiTheme="minorHAnsi" w:hAnsiTheme="minorHAnsi" w:cs="TimesNewRomanPSMT"/>
          <w:sz w:val="24"/>
          <w:szCs w:val="24"/>
        </w:rPr>
        <w:t xml:space="preserve">have accompanied this process </w:t>
      </w:r>
      <w:r w:rsidRPr="006931E8">
        <w:rPr>
          <w:rFonts w:asciiTheme="minorHAnsi" w:hAnsiTheme="minorHAnsi" w:cs="TimesNewRomanPSMT"/>
          <w:sz w:val="24"/>
          <w:szCs w:val="24"/>
        </w:rPr>
        <w:t>as to whether this amorphous policy toolkit is and could indeed be a suc</w:t>
      </w:r>
      <w:r w:rsidR="008643AB">
        <w:rPr>
          <w:rFonts w:asciiTheme="minorHAnsi" w:hAnsiTheme="minorHAnsi" w:cs="TimesNewRomanPSMT"/>
          <w:sz w:val="24"/>
          <w:szCs w:val="24"/>
        </w:rPr>
        <w:t>cessful one (</w:t>
      </w:r>
      <w:proofErr w:type="spellStart"/>
      <w:r w:rsidR="008643AB">
        <w:rPr>
          <w:rFonts w:asciiTheme="minorHAnsi" w:hAnsiTheme="minorHAnsi" w:cs="TimesNewRomanPSMT"/>
          <w:sz w:val="24"/>
          <w:szCs w:val="24"/>
        </w:rPr>
        <w:t>Hurriyet</w:t>
      </w:r>
      <w:proofErr w:type="spellEnd"/>
      <w:r w:rsidR="008643AB">
        <w:rPr>
          <w:rFonts w:asciiTheme="minorHAnsi" w:hAnsiTheme="minorHAnsi" w:cs="TimesNewRomanPSMT"/>
          <w:sz w:val="24"/>
          <w:szCs w:val="24"/>
        </w:rPr>
        <w:t>, 4 Jan 2012; 8 Jan</w:t>
      </w:r>
      <w:r w:rsidRPr="006931E8">
        <w:rPr>
          <w:rFonts w:asciiTheme="minorHAnsi" w:hAnsiTheme="minorHAnsi" w:cs="TimesNewRomanPSMT"/>
          <w:sz w:val="24"/>
          <w:szCs w:val="24"/>
        </w:rPr>
        <w:t xml:space="preserve"> 2012; Parliamentary Debates, 24</w:t>
      </w:r>
      <w:r w:rsidRPr="006931E8">
        <w:rPr>
          <w:rFonts w:asciiTheme="minorHAnsi" w:hAnsiTheme="minorHAnsi" w:cs="TimesNewRomanPSMT"/>
          <w:sz w:val="24"/>
          <w:szCs w:val="24"/>
          <w:vertAlign w:val="superscript"/>
        </w:rPr>
        <w:t>th</w:t>
      </w:r>
      <w:r w:rsidRPr="006931E8">
        <w:rPr>
          <w:rFonts w:asciiTheme="minorHAnsi" w:hAnsiTheme="minorHAnsi" w:cs="TimesNewRomanPSMT"/>
          <w:sz w:val="24"/>
          <w:szCs w:val="24"/>
        </w:rPr>
        <w:t xml:space="preserve"> Term, 2</w:t>
      </w:r>
      <w:r w:rsidRPr="006931E8">
        <w:rPr>
          <w:rFonts w:asciiTheme="minorHAnsi" w:hAnsiTheme="minorHAnsi" w:cs="TimesNewRomanPSMT"/>
          <w:sz w:val="24"/>
          <w:szCs w:val="24"/>
          <w:vertAlign w:val="superscript"/>
        </w:rPr>
        <w:t>nd</w:t>
      </w:r>
      <w:r w:rsidR="008643AB">
        <w:rPr>
          <w:rFonts w:asciiTheme="minorHAnsi" w:hAnsiTheme="minorHAnsi" w:cs="TimesNewRomanPSMT"/>
          <w:sz w:val="24"/>
          <w:szCs w:val="24"/>
        </w:rPr>
        <w:t xml:space="preserve"> Legislative Year, Dec</w:t>
      </w:r>
      <w:r w:rsidRPr="006931E8">
        <w:rPr>
          <w:rFonts w:asciiTheme="minorHAnsi" w:hAnsiTheme="minorHAnsi" w:cs="TimesNewRomanPSMT"/>
          <w:sz w:val="24"/>
          <w:szCs w:val="24"/>
        </w:rPr>
        <w:t xml:space="preserve"> 2011). We observe that the post-2010 period was marked more by the debate and contestation over the exchange rate, growth and the current account deficit than inflation targeting and price stabi</w:t>
      </w:r>
      <w:r w:rsidR="008643AB">
        <w:rPr>
          <w:rFonts w:asciiTheme="minorHAnsi" w:hAnsiTheme="minorHAnsi" w:cs="TimesNewRomanPSMT"/>
          <w:sz w:val="24"/>
          <w:szCs w:val="24"/>
        </w:rPr>
        <w:t>lity (</w:t>
      </w:r>
      <w:proofErr w:type="spellStart"/>
      <w:r w:rsidR="008643AB">
        <w:rPr>
          <w:rFonts w:asciiTheme="minorHAnsi" w:hAnsiTheme="minorHAnsi" w:cs="TimesNewRomanPSMT"/>
          <w:sz w:val="24"/>
          <w:szCs w:val="24"/>
        </w:rPr>
        <w:t>Hurriyet</w:t>
      </w:r>
      <w:proofErr w:type="spellEnd"/>
      <w:r w:rsidR="008643AB">
        <w:rPr>
          <w:rFonts w:asciiTheme="minorHAnsi" w:hAnsiTheme="minorHAnsi" w:cs="TimesNewRomanPSMT"/>
          <w:sz w:val="24"/>
          <w:szCs w:val="24"/>
        </w:rPr>
        <w:t xml:space="preserve">, 9 Jan, 26 Jan </w:t>
      </w:r>
      <w:r w:rsidRPr="006931E8">
        <w:rPr>
          <w:rFonts w:asciiTheme="minorHAnsi" w:hAnsiTheme="minorHAnsi" w:cs="TimesNewRomanPSMT"/>
          <w:sz w:val="24"/>
          <w:szCs w:val="24"/>
        </w:rPr>
        <w:t>2012)</w:t>
      </w:r>
      <w:r w:rsidRPr="006931E8">
        <w:rPr>
          <w:rStyle w:val="EndnoteReference"/>
          <w:rFonts w:asciiTheme="minorHAnsi" w:hAnsiTheme="minorHAnsi" w:cs="TimesNewRomanPSMT"/>
          <w:sz w:val="24"/>
          <w:szCs w:val="24"/>
        </w:rPr>
        <w:endnoteReference w:id="7"/>
      </w:r>
      <w:r w:rsidRPr="006931E8">
        <w:rPr>
          <w:rFonts w:asciiTheme="minorHAnsi" w:hAnsiTheme="minorHAnsi" w:cs="TimesNewRomanPSMT"/>
          <w:sz w:val="24"/>
          <w:szCs w:val="24"/>
        </w:rPr>
        <w:t>.</w:t>
      </w:r>
    </w:p>
    <w:p w:rsidR="00735368" w:rsidRDefault="00735368">
      <w:pPr>
        <w:spacing w:line="100" w:lineRule="atLeast"/>
        <w:ind w:left="720" w:right="720"/>
        <w:jc w:val="both"/>
        <w:rPr>
          <w:rFonts w:asciiTheme="minorHAnsi" w:hAnsiTheme="minorHAnsi" w:cs="TimesNewRomanPSMT"/>
          <w:sz w:val="24"/>
          <w:szCs w:val="24"/>
        </w:rPr>
      </w:pPr>
    </w:p>
    <w:p w:rsidR="00735368" w:rsidRDefault="00514438" w:rsidP="00D3110B">
      <w:pPr>
        <w:spacing w:line="100" w:lineRule="atLeast"/>
        <w:ind w:left="720" w:right="720"/>
        <w:jc w:val="both"/>
        <w:rPr>
          <w:rFonts w:asciiTheme="minorHAnsi" w:hAnsiTheme="minorHAnsi"/>
          <w:sz w:val="24"/>
          <w:szCs w:val="24"/>
        </w:rPr>
      </w:pPr>
      <w:r w:rsidRPr="006931E8">
        <w:rPr>
          <w:rFonts w:asciiTheme="minorHAnsi" w:hAnsiTheme="minorHAnsi" w:cs="Tahoma"/>
          <w:sz w:val="24"/>
          <w:szCs w:val="24"/>
        </w:rPr>
        <w:t>In the case of Hungary, w</w:t>
      </w:r>
      <w:r w:rsidRPr="006931E8">
        <w:rPr>
          <w:rFonts w:asciiTheme="minorHAnsi" w:hAnsiTheme="minorHAnsi"/>
          <w:sz w:val="24"/>
          <w:szCs w:val="24"/>
        </w:rPr>
        <w:t xml:space="preserve">e characterize the form of discursive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as distinctly nationalist</w:t>
      </w:r>
      <w:r w:rsidRPr="006931E8">
        <w:rPr>
          <w:rStyle w:val="EndnoteReference"/>
          <w:rFonts w:asciiTheme="minorHAnsi" w:hAnsiTheme="minorHAnsi"/>
          <w:sz w:val="24"/>
          <w:szCs w:val="24"/>
        </w:rPr>
        <w:endnoteReference w:id="8"/>
      </w:r>
      <w:r w:rsidRPr="006931E8">
        <w:rPr>
          <w:rFonts w:asciiTheme="minorHAnsi" w:hAnsiTheme="minorHAnsi"/>
          <w:sz w:val="24"/>
          <w:szCs w:val="24"/>
        </w:rPr>
        <w:t xml:space="preserve"> (articulation of domesti</w:t>
      </w:r>
      <w:r w:rsidR="00D3110B">
        <w:rPr>
          <w:rFonts w:asciiTheme="minorHAnsi" w:hAnsiTheme="minorHAnsi"/>
          <w:sz w:val="24"/>
          <w:szCs w:val="24"/>
        </w:rPr>
        <w:t xml:space="preserve">c policy alternatives) and as a </w:t>
      </w:r>
      <w:r w:rsidRPr="006931E8">
        <w:rPr>
          <w:rFonts w:asciiTheme="minorHAnsi" w:hAnsiTheme="minorHAnsi"/>
          <w:sz w:val="24"/>
          <w:szCs w:val="24"/>
        </w:rPr>
        <w:t xml:space="preserve">harbinger of governmental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of the MNB. This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of monetary policy unfolded in a particular context – that of the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 ruling coalition two-thirds majority electoral victory and “so-called” mandate in 2010, the fall out in Hungary from the global financial crisis and recession, and the 2014 ele</w:t>
      </w:r>
      <w:r w:rsidR="008643AB">
        <w:rPr>
          <w:rFonts w:asciiTheme="minorHAnsi" w:hAnsiTheme="minorHAnsi"/>
          <w:sz w:val="24"/>
          <w:szCs w:val="24"/>
        </w:rPr>
        <w:t xml:space="preserve">ctions in which </w:t>
      </w:r>
      <w:proofErr w:type="spellStart"/>
      <w:r w:rsidR="008643AB">
        <w:rPr>
          <w:rFonts w:asciiTheme="minorHAnsi" w:hAnsiTheme="minorHAnsi"/>
          <w:sz w:val="24"/>
          <w:szCs w:val="24"/>
        </w:rPr>
        <w:t>Fidesz</w:t>
      </w:r>
      <w:proofErr w:type="spellEnd"/>
      <w:r w:rsidR="008643AB">
        <w:rPr>
          <w:rFonts w:asciiTheme="minorHAnsi" w:hAnsiTheme="minorHAnsi"/>
          <w:sz w:val="24"/>
          <w:szCs w:val="24"/>
        </w:rPr>
        <w:t>-KDNP were</w:t>
      </w:r>
      <w:r w:rsidRPr="006931E8">
        <w:rPr>
          <w:rFonts w:asciiTheme="minorHAnsi" w:hAnsiTheme="minorHAnsi"/>
          <w:sz w:val="24"/>
          <w:szCs w:val="24"/>
        </w:rPr>
        <w:t xml:space="preserve"> expected to retain power. These major events and their consequences led to a markedly more nationalist economic policy discourse on the part of the ruling coalition, emphasizing Hungary’s independence from the external influence of international financial institutions, credit rating agencies, and foreign banks (also reflected in its criticism of traditionally “western” and European values) and a call for national “cooperation” and “harmony”</w:t>
      </w:r>
      <w:r w:rsidR="00AC482E" w:rsidRPr="00AC482E">
        <w:rPr>
          <w:rFonts w:asciiTheme="minorHAnsi" w:hAnsiTheme="minorHAnsi"/>
          <w:sz w:val="24"/>
          <w:szCs w:val="24"/>
        </w:rPr>
        <w:t xml:space="preserve"> </w:t>
      </w:r>
      <w:r w:rsidR="00AC482E" w:rsidRPr="006931E8">
        <w:rPr>
          <w:rFonts w:asciiTheme="minorHAnsi" w:hAnsiTheme="minorHAnsi"/>
          <w:sz w:val="24"/>
          <w:szCs w:val="24"/>
        </w:rPr>
        <w:t xml:space="preserve">(Simon, 2011; K.A., 2013; K.M., 2013; </w:t>
      </w:r>
      <w:proofErr w:type="spellStart"/>
      <w:r w:rsidR="00AC482E" w:rsidRPr="006931E8">
        <w:rPr>
          <w:rFonts w:asciiTheme="minorHAnsi" w:hAnsiTheme="minorHAnsi"/>
          <w:sz w:val="24"/>
          <w:szCs w:val="24"/>
        </w:rPr>
        <w:t>Feher</w:t>
      </w:r>
      <w:proofErr w:type="spellEnd"/>
      <w:r w:rsidR="00AC482E" w:rsidRPr="006931E8">
        <w:rPr>
          <w:rFonts w:asciiTheme="minorHAnsi" w:hAnsiTheme="minorHAnsi"/>
          <w:sz w:val="24"/>
          <w:szCs w:val="24"/>
        </w:rPr>
        <w:t>, 2014).</w:t>
      </w:r>
      <w:r w:rsidR="00AC482E">
        <w:rPr>
          <w:rFonts w:asciiTheme="minorHAnsi" w:hAnsiTheme="minorHAnsi"/>
          <w:sz w:val="24"/>
          <w:szCs w:val="24"/>
        </w:rPr>
        <w:t xml:space="preserve">  </w:t>
      </w:r>
      <w:r w:rsidR="00AC482E" w:rsidRPr="00AC482E">
        <w:rPr>
          <w:rFonts w:asciiTheme="minorHAnsi" w:hAnsiTheme="minorHAnsi"/>
          <w:sz w:val="24"/>
          <w:szCs w:val="24"/>
        </w:rPr>
        <w:t xml:space="preserve">Among Prime Minister Viktor </w:t>
      </w:r>
      <w:proofErr w:type="spellStart"/>
      <w:r w:rsidR="00AC482E" w:rsidRPr="00AC482E">
        <w:rPr>
          <w:rFonts w:asciiTheme="minorHAnsi" w:hAnsiTheme="minorHAnsi"/>
          <w:sz w:val="24"/>
          <w:szCs w:val="24"/>
        </w:rPr>
        <w:t>Orban’s</w:t>
      </w:r>
      <w:proofErr w:type="spellEnd"/>
      <w:r w:rsidR="00AC482E" w:rsidRPr="00AC482E">
        <w:rPr>
          <w:rFonts w:asciiTheme="minorHAnsi" w:hAnsiTheme="minorHAnsi"/>
          <w:sz w:val="24"/>
          <w:szCs w:val="24"/>
        </w:rPr>
        <w:t xml:space="preserve"> declarations were that the country “had let go of neo-liberal economic policy” (e.g.,</w:t>
      </w:r>
      <w:r w:rsidR="008643AB">
        <w:rPr>
          <w:rFonts w:asciiTheme="minorHAnsi" w:hAnsiTheme="minorHAnsi"/>
          <w:sz w:val="24"/>
          <w:szCs w:val="24"/>
        </w:rPr>
        <w:t xml:space="preserve"> </w:t>
      </w:r>
      <w:r w:rsidR="00AC482E" w:rsidRPr="00AC482E">
        <w:rPr>
          <w:rFonts w:asciiTheme="minorHAnsi" w:hAnsiTheme="minorHAnsi"/>
          <w:sz w:val="24"/>
          <w:szCs w:val="24"/>
        </w:rPr>
        <w:t xml:space="preserve">“letting go of the policy of austerity, just before [Hungary was] about </w:t>
      </w:r>
      <w:r w:rsidR="008643AB">
        <w:rPr>
          <w:rFonts w:asciiTheme="minorHAnsi" w:hAnsiTheme="minorHAnsi"/>
          <w:sz w:val="24"/>
          <w:szCs w:val="24"/>
        </w:rPr>
        <w:t>to share the fate of Greece”). B</w:t>
      </w:r>
      <w:r w:rsidR="00AC482E" w:rsidRPr="00AC482E">
        <w:rPr>
          <w:rFonts w:asciiTheme="minorHAnsi" w:hAnsiTheme="minorHAnsi"/>
          <w:sz w:val="24"/>
          <w:szCs w:val="24"/>
        </w:rPr>
        <w:t>y 2014, Hungary had become “an economic success story, which Europe, too, is slowly beginning to acknowledge</w:t>
      </w:r>
      <w:r w:rsidR="008643AB">
        <w:rPr>
          <w:rFonts w:asciiTheme="minorHAnsi" w:hAnsiTheme="minorHAnsi"/>
          <w:sz w:val="24"/>
          <w:szCs w:val="24"/>
        </w:rPr>
        <w:t>”</w:t>
      </w:r>
      <w:r w:rsidR="00AC482E" w:rsidRPr="00AC482E">
        <w:rPr>
          <w:rFonts w:asciiTheme="minorHAnsi" w:hAnsiTheme="minorHAnsi"/>
          <w:sz w:val="24"/>
          <w:szCs w:val="24"/>
        </w:rPr>
        <w:t xml:space="preserve"> (</w:t>
      </w:r>
      <w:proofErr w:type="spellStart"/>
      <w:r w:rsidR="00AC482E" w:rsidRPr="00AC482E">
        <w:rPr>
          <w:rFonts w:asciiTheme="minorHAnsi" w:hAnsiTheme="minorHAnsi"/>
          <w:sz w:val="24"/>
          <w:szCs w:val="24"/>
        </w:rPr>
        <w:t>Orban</w:t>
      </w:r>
      <w:proofErr w:type="spellEnd"/>
      <w:r w:rsidR="00AC482E" w:rsidRPr="00AC482E">
        <w:rPr>
          <w:rFonts w:asciiTheme="minorHAnsi" w:hAnsiTheme="minorHAnsi"/>
          <w:sz w:val="24"/>
          <w:szCs w:val="24"/>
        </w:rPr>
        <w:t>, Sta</w:t>
      </w:r>
      <w:r w:rsidR="008643AB">
        <w:rPr>
          <w:rFonts w:asciiTheme="minorHAnsi" w:hAnsiTheme="minorHAnsi"/>
          <w:sz w:val="24"/>
          <w:szCs w:val="24"/>
        </w:rPr>
        <w:t>te of the Nation Address, 2015). “T</w:t>
      </w:r>
      <w:r w:rsidR="00AC482E" w:rsidRPr="00AC482E">
        <w:rPr>
          <w:rFonts w:asciiTheme="minorHAnsi" w:hAnsiTheme="minorHAnsi"/>
          <w:sz w:val="24"/>
          <w:szCs w:val="24"/>
        </w:rPr>
        <w:t xml:space="preserve">he most popular topic in thinking today is trying to </w:t>
      </w:r>
      <w:r w:rsidR="00AC482E" w:rsidRPr="00AC482E">
        <w:rPr>
          <w:rFonts w:asciiTheme="minorHAnsi" w:hAnsiTheme="minorHAnsi"/>
          <w:sz w:val="24"/>
          <w:szCs w:val="24"/>
        </w:rPr>
        <w:lastRenderedPageBreak/>
        <w:t>understand how systems that are not Western, not liberal, not liberal democracies and perhaps not even democracies, can nevertheless make their nations successful,” citing China, Turkey, and Russia as examples (</w:t>
      </w:r>
      <w:proofErr w:type="spellStart"/>
      <w:r w:rsidR="00AC482E" w:rsidRPr="00AC482E">
        <w:rPr>
          <w:rFonts w:asciiTheme="minorHAnsi" w:hAnsiTheme="minorHAnsi"/>
          <w:sz w:val="24"/>
          <w:szCs w:val="24"/>
        </w:rPr>
        <w:t>Orban</w:t>
      </w:r>
      <w:proofErr w:type="spellEnd"/>
      <w:r w:rsidR="00AC482E" w:rsidRPr="00AC482E">
        <w:rPr>
          <w:rFonts w:asciiTheme="minorHAnsi" w:hAnsiTheme="minorHAnsi"/>
          <w:sz w:val="24"/>
          <w:szCs w:val="24"/>
        </w:rPr>
        <w:t>, 2014)</w:t>
      </w:r>
      <w:r w:rsidR="00AC482E">
        <w:rPr>
          <w:rFonts w:asciiTheme="minorHAnsi" w:hAnsiTheme="minorHAnsi"/>
          <w:sz w:val="24"/>
          <w:szCs w:val="24"/>
        </w:rPr>
        <w:t>.</w:t>
      </w:r>
    </w:p>
    <w:p w:rsidR="00415D9B" w:rsidRDefault="00415D9B" w:rsidP="00AC482E">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Prime Minister referred to Hungary’s “new direction in 2010” as the moment when the “new era of national politics began” (</w:t>
      </w:r>
      <w:proofErr w:type="spellStart"/>
      <w:r w:rsidRPr="006931E8">
        <w:rPr>
          <w:rFonts w:asciiTheme="minorHAnsi" w:hAnsiTheme="minorHAnsi"/>
          <w:sz w:val="24"/>
          <w:szCs w:val="24"/>
        </w:rPr>
        <w:t>Orban</w:t>
      </w:r>
      <w:proofErr w:type="spellEnd"/>
      <w:r w:rsidRPr="006931E8">
        <w:rPr>
          <w:rFonts w:asciiTheme="minorHAnsi" w:hAnsiTheme="minorHAnsi"/>
          <w:sz w:val="24"/>
          <w:szCs w:val="24"/>
        </w:rPr>
        <w:t>, State of the Nation Address, 2015). This new direction was synonymous with a rejection of foreign debt and a departure from liberal democratic politics more generally (</w:t>
      </w:r>
      <w:proofErr w:type="spellStart"/>
      <w:r w:rsidRPr="006931E8">
        <w:rPr>
          <w:rFonts w:asciiTheme="minorHAnsi" w:hAnsiTheme="minorHAnsi"/>
          <w:sz w:val="24"/>
          <w:szCs w:val="24"/>
        </w:rPr>
        <w:t>Orban</w:t>
      </w:r>
      <w:proofErr w:type="spellEnd"/>
      <w:r w:rsidRPr="006931E8">
        <w:rPr>
          <w:rFonts w:asciiTheme="minorHAnsi" w:hAnsiTheme="minorHAnsi"/>
          <w:sz w:val="24"/>
          <w:szCs w:val="24"/>
        </w:rPr>
        <w:t xml:space="preserve">, 2014; 2015). Feeding off of nationalist sentiment, including from voters who had moved to the far-right due partly to wider disenchantment with neoliberal economic policies, the government’s discourse centered on Hungary’s independence from debt-led growth, which was argued to have lasted between 1960 and 2010 (ibid.). </w:t>
      </w:r>
      <w:proofErr w:type="gramStart"/>
      <w:r w:rsidRPr="006931E8">
        <w:rPr>
          <w:rFonts w:asciiTheme="minorHAnsi" w:hAnsiTheme="minorHAnsi"/>
          <w:sz w:val="24"/>
          <w:szCs w:val="24"/>
        </w:rPr>
        <w:t>However</w:t>
      </w:r>
      <w:proofErr w:type="gramEnd"/>
      <w:r w:rsidRPr="006931E8">
        <w:rPr>
          <w:rFonts w:asciiTheme="minorHAnsi" w:hAnsiTheme="minorHAnsi"/>
          <w:sz w:val="24"/>
          <w:szCs w:val="24"/>
        </w:rPr>
        <w:t xml:space="preserve"> it is crucial to </w:t>
      </w:r>
      <w:proofErr w:type="spellStart"/>
      <w:r w:rsidRPr="006931E8">
        <w:rPr>
          <w:rFonts w:asciiTheme="minorHAnsi" w:hAnsiTheme="minorHAnsi"/>
          <w:sz w:val="24"/>
          <w:szCs w:val="24"/>
        </w:rPr>
        <w:t>emphasise</w:t>
      </w:r>
      <w:proofErr w:type="spellEnd"/>
      <w:r w:rsidRPr="006931E8">
        <w:rPr>
          <w:rFonts w:asciiTheme="minorHAnsi" w:hAnsiTheme="minorHAnsi"/>
          <w:sz w:val="24"/>
          <w:szCs w:val="24"/>
        </w:rPr>
        <w:t xml:space="preserve"> that this discourse, albeit </w:t>
      </w:r>
      <w:r>
        <w:rPr>
          <w:rFonts w:asciiTheme="minorHAnsi" w:hAnsiTheme="minorHAnsi"/>
          <w:sz w:val="24"/>
          <w:szCs w:val="24"/>
        </w:rPr>
        <w:t>seemingly anti-liberal</w:t>
      </w:r>
      <w:r w:rsidRPr="006931E8">
        <w:rPr>
          <w:rFonts w:asciiTheme="minorHAnsi" w:hAnsiTheme="minorHAnsi"/>
          <w:sz w:val="24"/>
          <w:szCs w:val="24"/>
        </w:rPr>
        <w:t>, was not anti-capitalist.</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Since coming into power in 2010, the ruling government had repeatedly clashed with the EU and the ECB regarding taxes, constitutional issues, central bank independence, as well as the foreign-currency loans (e.g., </w:t>
      </w:r>
      <w:proofErr w:type="spellStart"/>
      <w:r w:rsidRPr="006931E8">
        <w:rPr>
          <w:rFonts w:asciiTheme="minorHAnsi" w:hAnsiTheme="minorHAnsi"/>
          <w:sz w:val="24"/>
          <w:szCs w:val="24"/>
        </w:rPr>
        <w:t>Feher</w:t>
      </w:r>
      <w:proofErr w:type="spellEnd"/>
      <w:r w:rsidRPr="006931E8">
        <w:rPr>
          <w:rFonts w:asciiTheme="minorHAnsi" w:hAnsiTheme="minorHAnsi"/>
          <w:sz w:val="24"/>
          <w:szCs w:val="24"/>
        </w:rPr>
        <w:t xml:space="preserve">, 2014). Much of this discourse was fueled by the foreign-currency loan fallout, in which hundreds of thousands of Hungarian borrowers’ monthly </w:t>
      </w:r>
      <w:r w:rsidR="00E037D7">
        <w:rPr>
          <w:rFonts w:asciiTheme="minorHAnsi" w:hAnsiTheme="minorHAnsi"/>
          <w:sz w:val="24"/>
          <w:szCs w:val="24"/>
        </w:rPr>
        <w:t>payments skyrocketed thanks to C</w:t>
      </w:r>
      <w:r w:rsidRPr="006931E8">
        <w:rPr>
          <w:rFonts w:asciiTheme="minorHAnsi" w:hAnsiTheme="minorHAnsi"/>
          <w:sz w:val="24"/>
          <w:szCs w:val="24"/>
        </w:rPr>
        <w:t xml:space="preserve">entral European currencies plummeting in value against the Swiss franc in 2008.  The foreign banks which had initially sold these loans at formerly favorable exchange rates became the target of widespread public anger—an important factor in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 garnering a landslide victory in 2010. The ruling coalition took it upon itself to find a nationalist solution to the problem in the run up to the 2014 elections. It passed legislation allowing borrowers to convert outstanding loans from francs and euros into forints at market rates, while also burdening the (mostly foreign) banking sector with</w:t>
      </w:r>
      <w:r w:rsidR="00E037D7">
        <w:rPr>
          <w:rFonts w:asciiTheme="minorHAnsi" w:hAnsiTheme="minorHAnsi"/>
          <w:sz w:val="24"/>
          <w:szCs w:val="24"/>
        </w:rPr>
        <w:t xml:space="preserve"> additional taxes (Economist, </w:t>
      </w:r>
      <w:r w:rsidRPr="006931E8">
        <w:rPr>
          <w:rFonts w:asciiTheme="minorHAnsi" w:hAnsiTheme="minorHAnsi"/>
          <w:sz w:val="24"/>
          <w:szCs w:val="24"/>
        </w:rPr>
        <w:t xml:space="preserve">2014). The ruling coalition’s credibility was further augmented in 2013 when Hungary repaid to the IMF its outstanding debt of 2.5 billion euros “from a 2008 emergency loan program” (Dunai &amp; </w:t>
      </w:r>
      <w:proofErr w:type="spellStart"/>
      <w:r w:rsidRPr="006931E8">
        <w:rPr>
          <w:rFonts w:asciiTheme="minorHAnsi" w:hAnsiTheme="minorHAnsi"/>
          <w:sz w:val="24"/>
          <w:szCs w:val="24"/>
        </w:rPr>
        <w:t>Szakacs</w:t>
      </w:r>
      <w:proofErr w:type="spellEnd"/>
      <w:r w:rsidRPr="006931E8">
        <w:rPr>
          <w:rFonts w:asciiTheme="minorHAnsi" w:hAnsiTheme="minorHAnsi"/>
          <w:sz w:val="24"/>
          <w:szCs w:val="24"/>
        </w:rPr>
        <w:t>, 2013) and the country was able to exit from the European Union’s excessive deficit procedure (Council of the European Union, 2013). Against the backdrop, the government could successfully position itself, both discursively and substantively, against the prevailing western dominance of its economy, including financial sector (</w:t>
      </w:r>
      <w:proofErr w:type="spellStart"/>
      <w:r w:rsidRPr="006931E8">
        <w:rPr>
          <w:rFonts w:asciiTheme="minorHAnsi" w:hAnsiTheme="minorHAnsi"/>
          <w:sz w:val="24"/>
          <w:szCs w:val="24"/>
        </w:rPr>
        <w:t>Gagyi</w:t>
      </w:r>
      <w:proofErr w:type="spellEnd"/>
      <w:r w:rsidRPr="006931E8">
        <w:rPr>
          <w:rFonts w:asciiTheme="minorHAnsi" w:hAnsiTheme="minorHAnsi"/>
          <w:sz w:val="24"/>
          <w:szCs w:val="24"/>
        </w:rPr>
        <w:t xml:space="preserve"> and Eber, 2015: 605-6; </w:t>
      </w:r>
      <w:proofErr w:type="spellStart"/>
      <w:r w:rsidRPr="006931E8">
        <w:rPr>
          <w:rFonts w:asciiTheme="minorHAnsi" w:hAnsiTheme="minorHAnsi"/>
          <w:sz w:val="24"/>
          <w:szCs w:val="24"/>
        </w:rPr>
        <w:t>Gagyi</w:t>
      </w:r>
      <w:proofErr w:type="spellEnd"/>
      <w:r w:rsidRPr="006931E8">
        <w:rPr>
          <w:rFonts w:asciiTheme="minorHAnsi" w:hAnsiTheme="minorHAnsi"/>
          <w:sz w:val="24"/>
          <w:szCs w:val="24"/>
        </w:rPr>
        <w:t>, 2016: 359-360).</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The engineer behind this discourse and subsequent policy measures was </w:t>
      </w:r>
      <w:proofErr w:type="spellStart"/>
      <w:r w:rsidRPr="006931E8">
        <w:rPr>
          <w:rFonts w:asciiTheme="minorHAnsi" w:hAnsiTheme="minorHAnsi"/>
          <w:sz w:val="24"/>
          <w:szCs w:val="24"/>
        </w:rPr>
        <w:t>Gy</w:t>
      </w:r>
      <w:r>
        <w:rPr>
          <w:rFonts w:asciiTheme="minorHAnsi" w:hAnsiTheme="minorHAnsi" w:cstheme="minorHAnsi"/>
          <w:sz w:val="24"/>
          <w:szCs w:val="24"/>
        </w:rPr>
        <w:t>o</w:t>
      </w:r>
      <w:r w:rsidRPr="006931E8">
        <w:rPr>
          <w:rFonts w:asciiTheme="minorHAnsi" w:hAnsiTheme="minorHAnsi"/>
          <w:sz w:val="24"/>
          <w:szCs w:val="24"/>
        </w:rPr>
        <w:t>rgy</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—a key figure inside the ruling </w:t>
      </w:r>
      <w:proofErr w:type="spellStart"/>
      <w:r w:rsidRPr="006931E8">
        <w:rPr>
          <w:rFonts w:asciiTheme="minorHAnsi" w:hAnsiTheme="minorHAnsi"/>
          <w:sz w:val="24"/>
          <w:szCs w:val="24"/>
        </w:rPr>
        <w:t>Fides</w:t>
      </w:r>
      <w:r w:rsidR="00E037D7">
        <w:rPr>
          <w:rFonts w:asciiTheme="minorHAnsi" w:hAnsiTheme="minorHAnsi"/>
          <w:sz w:val="24"/>
          <w:szCs w:val="24"/>
        </w:rPr>
        <w:t>z</w:t>
      </w:r>
      <w:proofErr w:type="spellEnd"/>
      <w:r w:rsidR="00E037D7">
        <w:rPr>
          <w:rFonts w:asciiTheme="minorHAnsi" w:hAnsiTheme="minorHAnsi"/>
          <w:sz w:val="24"/>
          <w:szCs w:val="24"/>
        </w:rPr>
        <w:t xml:space="preserve"> party and Prime Minister</w:t>
      </w:r>
      <w:r w:rsidRPr="006931E8">
        <w:rPr>
          <w:rFonts w:asciiTheme="minorHAnsi" w:hAnsiTheme="minorHAnsi"/>
          <w:sz w:val="24"/>
          <w:szCs w:val="24"/>
        </w:rPr>
        <w:t>’s “’right-hand man’” in economic affairs (Dunai, 2016)</w:t>
      </w:r>
      <w:r w:rsidRPr="006931E8">
        <w:rPr>
          <w:rStyle w:val="EndnoteReference"/>
          <w:rFonts w:asciiTheme="minorHAnsi" w:hAnsiTheme="minorHAnsi"/>
          <w:sz w:val="24"/>
          <w:szCs w:val="24"/>
        </w:rPr>
        <w:endnoteReference w:id="9"/>
      </w:r>
      <w:r w:rsidRPr="006931E8">
        <w:rPr>
          <w:rFonts w:asciiTheme="minorHAnsi" w:hAnsiTheme="minorHAnsi"/>
          <w:sz w:val="24"/>
          <w:szCs w:val="24"/>
        </w:rPr>
        <w:t xml:space="preserve">. Together with </w:t>
      </w:r>
      <w:r w:rsidR="00E037D7">
        <w:rPr>
          <w:rFonts w:asciiTheme="minorHAnsi" w:hAnsiTheme="minorHAnsi"/>
          <w:sz w:val="24"/>
          <w:szCs w:val="24"/>
        </w:rPr>
        <w:t>the PM</w:t>
      </w:r>
      <w:r w:rsidRPr="006931E8">
        <w:rPr>
          <w:rFonts w:asciiTheme="minorHAnsi" w:hAnsiTheme="minorHAnsi"/>
          <w:sz w:val="24"/>
          <w:szCs w:val="24"/>
        </w:rPr>
        <w:t xml:space="preserve">, </w:t>
      </w:r>
      <w:r w:rsidR="00E037D7">
        <w:rPr>
          <w:rFonts w:asciiTheme="minorHAnsi" w:hAnsiTheme="minorHAnsi"/>
          <w:sz w:val="24"/>
          <w:szCs w:val="24"/>
        </w:rPr>
        <w:t xml:space="preserve">he </w:t>
      </w:r>
      <w:r w:rsidRPr="006931E8">
        <w:rPr>
          <w:rFonts w:asciiTheme="minorHAnsi" w:hAnsiTheme="minorHAnsi"/>
          <w:sz w:val="24"/>
          <w:szCs w:val="24"/>
        </w:rPr>
        <w:t xml:space="preserve">“spearheaded the government’s criticism of the [MNB],” criticizing </w:t>
      </w:r>
      <w:r w:rsidR="00E037D7">
        <w:rPr>
          <w:rFonts w:asciiTheme="minorHAnsi" w:hAnsiTheme="minorHAnsi"/>
          <w:sz w:val="24"/>
          <w:szCs w:val="24"/>
        </w:rPr>
        <w:t>its</w:t>
      </w:r>
      <w:r w:rsidRPr="006931E8">
        <w:rPr>
          <w:rFonts w:asciiTheme="minorHAnsi" w:hAnsiTheme="minorHAnsi"/>
          <w:sz w:val="24"/>
          <w:szCs w:val="24"/>
        </w:rPr>
        <w:t xml:space="preserve"> “’strong forint’ policy” and favoring some measure of inflation in order to kick start economic growth and avoid deflation (Buckley &amp; Eddy, 2013; KA., 2013; Reuters, 2013; </w:t>
      </w:r>
      <w:proofErr w:type="spellStart"/>
      <w:r w:rsidRPr="006931E8">
        <w:rPr>
          <w:rFonts w:asciiTheme="minorHAnsi" w:hAnsiTheme="minorHAnsi"/>
          <w:sz w:val="24"/>
          <w:szCs w:val="24"/>
        </w:rPr>
        <w:t>Zemandl</w:t>
      </w:r>
      <w:proofErr w:type="spellEnd"/>
      <w:r w:rsidRPr="006931E8">
        <w:rPr>
          <w:rFonts w:asciiTheme="minorHAnsi" w:hAnsiTheme="minorHAnsi"/>
          <w:sz w:val="24"/>
          <w:szCs w:val="24"/>
        </w:rPr>
        <w:t xml:space="preserve">, 2017). Moreover, in positioning himself as a defender of national </w:t>
      </w:r>
      <w:r w:rsidRPr="006931E8">
        <w:rPr>
          <w:rFonts w:asciiTheme="minorHAnsi" w:hAnsiTheme="minorHAnsi"/>
          <w:sz w:val="24"/>
          <w:szCs w:val="24"/>
        </w:rPr>
        <w:lastRenderedPageBreak/>
        <w:t xml:space="preserve">interests,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had openly “called on the four major credit rating agencies to start negotiations on Hungary’s rating upgrade,” as well as on “the resignation of Olli Rehn” for having “conducted bad economic policy” at the European Commission (K.A., 2013). </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sz w:val="24"/>
          <w:szCs w:val="24"/>
        </w:rPr>
      </w:pP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furthermore cited “traditional economic policy” as the reason for the ousting of 19 failed EU member state governments at the polls. According to the bank governor, the unorthodox path deviates from the traditional one because it is built on “solidarity” rather than “austerity” (K.M., 2013). There was also a tendency to cast Hungary’s direction as the new normal.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had argued that the world’s largest central banks followed an unorthodox monetary policy after the great recession: “since August of last year, we, the majority of the monetary council were always right in this respect” (K.M., 2013). </w:t>
      </w:r>
    </w:p>
    <w:p w:rsidR="00735368" w:rsidRDefault="00735368">
      <w:pPr>
        <w:spacing w:line="100" w:lineRule="atLeast"/>
        <w:ind w:left="720" w:right="720"/>
        <w:jc w:val="both"/>
        <w:rPr>
          <w:rFonts w:asciiTheme="minorHAnsi" w:hAnsiTheme="minorHAnsi"/>
          <w:sz w:val="24"/>
          <w:szCs w:val="24"/>
        </w:rPr>
      </w:pPr>
    </w:p>
    <w:p w:rsidR="00735368" w:rsidRPr="00163CF7" w:rsidRDefault="00514438" w:rsidP="00163CF7">
      <w:pPr>
        <w:spacing w:line="100" w:lineRule="atLeast"/>
        <w:ind w:left="720" w:right="720"/>
        <w:jc w:val="both"/>
        <w:rPr>
          <w:rFonts w:asciiTheme="minorHAnsi" w:hAnsiTheme="minorHAnsi"/>
          <w:sz w:val="24"/>
          <w:szCs w:val="24"/>
          <w:lang w:val="en-GB"/>
        </w:rPr>
      </w:pPr>
      <w:r w:rsidRPr="006931E8">
        <w:rPr>
          <w:rFonts w:asciiTheme="minorHAnsi" w:hAnsiTheme="minorHAnsi"/>
          <w:sz w:val="24"/>
          <w:szCs w:val="24"/>
        </w:rPr>
        <w:t>Th</w:t>
      </w:r>
      <w:r w:rsidR="004B0FFD">
        <w:rPr>
          <w:rFonts w:asciiTheme="minorHAnsi" w:hAnsiTheme="minorHAnsi"/>
          <w:sz w:val="24"/>
          <w:szCs w:val="24"/>
        </w:rPr>
        <w:t xml:space="preserve">ese statements are </w:t>
      </w:r>
      <w:r w:rsidRPr="006931E8">
        <w:rPr>
          <w:rFonts w:asciiTheme="minorHAnsi" w:hAnsiTheme="minorHAnsi"/>
          <w:sz w:val="24"/>
          <w:szCs w:val="24"/>
        </w:rPr>
        <w:t>reflective of a repeated emphasis on</w:t>
      </w:r>
      <w:r w:rsidR="00E037D7">
        <w:rPr>
          <w:rFonts w:asciiTheme="minorHAnsi" w:hAnsiTheme="minorHAnsi"/>
          <w:sz w:val="24"/>
          <w:szCs w:val="24"/>
        </w:rPr>
        <w:t xml:space="preserve"> </w:t>
      </w:r>
      <w:r w:rsidRPr="006931E8">
        <w:rPr>
          <w:rFonts w:asciiTheme="minorHAnsi" w:hAnsiTheme="minorHAnsi"/>
          <w:sz w:val="24"/>
          <w:szCs w:val="24"/>
        </w:rPr>
        <w:t xml:space="preserve">the government’s overarching System of National Cooperation </w:t>
      </w:r>
      <w:r w:rsidR="00163CF7">
        <w:rPr>
          <w:rFonts w:asciiTheme="minorHAnsi" w:hAnsiTheme="minorHAnsi"/>
          <w:sz w:val="24"/>
          <w:szCs w:val="24"/>
        </w:rPr>
        <w:t xml:space="preserve">which was </w:t>
      </w:r>
      <w:r w:rsidR="00163CF7" w:rsidRPr="00163CF7">
        <w:rPr>
          <w:rFonts w:asciiTheme="minorHAnsi" w:hAnsiTheme="minorHAnsi"/>
          <w:sz w:val="24"/>
          <w:szCs w:val="24"/>
        </w:rPr>
        <w:t xml:space="preserve">authored by </w:t>
      </w:r>
      <w:proofErr w:type="spellStart"/>
      <w:r w:rsidR="00163CF7" w:rsidRPr="00163CF7">
        <w:rPr>
          <w:rFonts w:asciiTheme="minorHAnsi" w:hAnsiTheme="minorHAnsi"/>
          <w:sz w:val="24"/>
          <w:szCs w:val="24"/>
        </w:rPr>
        <w:t>Fidesz</w:t>
      </w:r>
      <w:proofErr w:type="spellEnd"/>
      <w:r w:rsidR="00163CF7" w:rsidRPr="00163CF7">
        <w:rPr>
          <w:rFonts w:asciiTheme="minorHAnsi" w:hAnsiTheme="minorHAnsi"/>
          <w:sz w:val="24"/>
          <w:szCs w:val="24"/>
        </w:rPr>
        <w:t>-KDNP with the supposed aim of defining the principles and common goals uniting Hungarian society</w:t>
      </w:r>
      <w:r w:rsidR="00163CF7">
        <w:rPr>
          <w:rFonts w:asciiTheme="minorHAnsi" w:hAnsiTheme="minorHAnsi"/>
          <w:sz w:val="24"/>
          <w:szCs w:val="24"/>
        </w:rPr>
        <w:t xml:space="preserve"> </w:t>
      </w:r>
      <w:r w:rsidRPr="006931E8">
        <w:rPr>
          <w:rFonts w:asciiTheme="minorHAnsi" w:hAnsiTheme="minorHAnsi"/>
          <w:sz w:val="24"/>
          <w:szCs w:val="24"/>
        </w:rPr>
        <w:t xml:space="preserve">(Lambert, 2016). There was a deliberate goal to “harmonize” fiscal and monetary policy (e.g., </w:t>
      </w:r>
      <w:proofErr w:type="gramStart"/>
      <w:r w:rsidRPr="006931E8">
        <w:rPr>
          <w:rFonts w:asciiTheme="minorHAnsi" w:hAnsiTheme="minorHAnsi"/>
          <w:sz w:val="24"/>
          <w:szCs w:val="24"/>
        </w:rPr>
        <w:t>Than</w:t>
      </w:r>
      <w:proofErr w:type="gramEnd"/>
      <w:r w:rsidRPr="006931E8">
        <w:rPr>
          <w:rFonts w:asciiTheme="minorHAnsi" w:hAnsiTheme="minorHAnsi"/>
          <w:sz w:val="24"/>
          <w:szCs w:val="24"/>
        </w:rPr>
        <w:t xml:space="preserve"> and </w:t>
      </w:r>
      <w:proofErr w:type="spellStart"/>
      <w:r w:rsidRPr="006931E8">
        <w:rPr>
          <w:rFonts w:asciiTheme="minorHAnsi" w:hAnsiTheme="minorHAnsi"/>
          <w:sz w:val="24"/>
          <w:szCs w:val="24"/>
        </w:rPr>
        <w:t>Szakacs</w:t>
      </w:r>
      <w:proofErr w:type="spellEnd"/>
      <w:r w:rsidRPr="006931E8">
        <w:rPr>
          <w:rFonts w:asciiTheme="minorHAnsi" w:hAnsiTheme="minorHAnsi"/>
          <w:sz w:val="24"/>
          <w:szCs w:val="24"/>
        </w:rPr>
        <w:t>, 2012) and to aim for a “strategic partnership” between the MNB and the cabinet while adhering to price stability (e.g., Reuters, 2013)</w:t>
      </w:r>
      <w:r w:rsidRPr="006931E8">
        <w:rPr>
          <w:rStyle w:val="EndnoteReference"/>
          <w:rFonts w:asciiTheme="minorHAnsi" w:hAnsiTheme="minorHAnsi"/>
          <w:sz w:val="24"/>
          <w:szCs w:val="24"/>
        </w:rPr>
        <w:endnoteReference w:id="10"/>
      </w:r>
      <w:r w:rsidRPr="006931E8">
        <w:rPr>
          <w:rFonts w:asciiTheme="minorHAnsi" w:hAnsiTheme="minorHAnsi"/>
          <w:sz w:val="24"/>
          <w:szCs w:val="24"/>
        </w:rPr>
        <w:t xml:space="preserve">. Thus, unlike in the case of Turkey, where discursive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w:t>
      </w:r>
      <w:r>
        <w:rPr>
          <w:rFonts w:asciiTheme="minorHAnsi" w:hAnsiTheme="minorHAnsi"/>
          <w:sz w:val="24"/>
          <w:szCs w:val="24"/>
        </w:rPr>
        <w:t xml:space="preserve">sustained </w:t>
      </w:r>
      <w:proofErr w:type="spellStart"/>
      <w:r>
        <w:rPr>
          <w:rFonts w:asciiTheme="minorHAnsi" w:hAnsiTheme="minorHAnsi"/>
          <w:sz w:val="24"/>
          <w:szCs w:val="24"/>
        </w:rPr>
        <w:t>depoliticis</w:t>
      </w:r>
      <w:r w:rsidRPr="006931E8">
        <w:rPr>
          <w:rFonts w:asciiTheme="minorHAnsi" w:hAnsiTheme="minorHAnsi"/>
          <w:sz w:val="24"/>
          <w:szCs w:val="24"/>
        </w:rPr>
        <w:t>ed</w:t>
      </w:r>
      <w:proofErr w:type="spellEnd"/>
      <w:r w:rsidRPr="006931E8">
        <w:rPr>
          <w:rFonts w:asciiTheme="minorHAnsi" w:hAnsiTheme="minorHAnsi"/>
          <w:sz w:val="24"/>
          <w:szCs w:val="24"/>
        </w:rPr>
        <w:t xml:space="preserve"> strategy in monetary policy materially, discursive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in Hungary signaled and was part of an evolving substantive paradigm shift.</w:t>
      </w:r>
    </w:p>
    <w:p w:rsidR="00735368" w:rsidRDefault="00735368">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b/>
          <w:sz w:val="24"/>
          <w:szCs w:val="24"/>
        </w:rPr>
      </w:pPr>
      <w:r w:rsidRPr="006931E8">
        <w:rPr>
          <w:rFonts w:asciiTheme="minorHAnsi" w:hAnsiTheme="minorHAnsi" w:cs="Tahoma"/>
          <w:b/>
          <w:sz w:val="24"/>
          <w:szCs w:val="24"/>
        </w:rPr>
        <w:t xml:space="preserve">4.2 Governmental </w:t>
      </w:r>
      <w:proofErr w:type="spellStart"/>
      <w:r w:rsidRPr="006931E8">
        <w:rPr>
          <w:rFonts w:asciiTheme="minorHAnsi" w:hAnsiTheme="minorHAnsi" w:cs="Tahoma"/>
          <w:b/>
          <w:sz w:val="24"/>
          <w:szCs w:val="24"/>
        </w:rPr>
        <w:t>politicisation</w:t>
      </w:r>
      <w:proofErr w:type="spellEnd"/>
      <w:r w:rsidRPr="006931E8">
        <w:rPr>
          <w:rFonts w:asciiTheme="minorHAnsi" w:hAnsiTheme="minorHAnsi" w:cs="Tahoma"/>
          <w:b/>
          <w:sz w:val="24"/>
          <w:szCs w:val="24"/>
        </w:rPr>
        <w:t xml:space="preserve"> of monetary policy in Hungary and reflections on Turkey</w:t>
      </w:r>
      <w:r w:rsidRPr="006931E8" w:rsidDel="000647DE">
        <w:rPr>
          <w:rFonts w:asciiTheme="minorHAnsi" w:hAnsiTheme="minorHAnsi"/>
          <w:b/>
          <w:sz w:val="24"/>
          <w:szCs w:val="24"/>
        </w:rPr>
        <w:t xml:space="preserve"> </w:t>
      </w: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This section analyses the </w:t>
      </w:r>
      <w:r w:rsidRPr="006931E8">
        <w:rPr>
          <w:rFonts w:asciiTheme="minorHAnsi" w:hAnsiTheme="minorHAnsi"/>
          <w:i/>
          <w:sz w:val="24"/>
          <w:szCs w:val="24"/>
        </w:rPr>
        <w:t xml:space="preserve">governmental </w:t>
      </w:r>
      <w:r w:rsidRPr="006931E8">
        <w:rPr>
          <w:rFonts w:asciiTheme="minorHAnsi" w:hAnsiTheme="minorHAnsi"/>
          <w:sz w:val="24"/>
          <w:szCs w:val="24"/>
        </w:rPr>
        <w:t xml:space="preserve">dimension of the MNB’s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with reflections on how the Turkish case thus differs. In the name of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-KDNP’s overwhelming electoral mandate, nationalist policy discourses developed in the general context of increasing centralization and ministerial take-over of previously more-or-</w:t>
      </w:r>
      <w:proofErr w:type="gramStart"/>
      <w:r w:rsidRPr="006931E8">
        <w:rPr>
          <w:rFonts w:asciiTheme="minorHAnsi" w:hAnsiTheme="minorHAnsi"/>
          <w:sz w:val="24"/>
          <w:szCs w:val="24"/>
        </w:rPr>
        <w:t>less</w:t>
      </w:r>
      <w:proofErr w:type="gramEnd"/>
      <w:r w:rsidRPr="006931E8">
        <w:rPr>
          <w:rFonts w:asciiTheme="minorHAnsi" w:hAnsiTheme="minorHAnsi"/>
          <w:sz w:val="24"/>
          <w:szCs w:val="24"/>
        </w:rPr>
        <w:t xml:space="preserve"> independent organization</w:t>
      </w:r>
      <w:r w:rsidR="00E037D7">
        <w:rPr>
          <w:rFonts w:asciiTheme="minorHAnsi" w:hAnsiTheme="minorHAnsi"/>
          <w:sz w:val="24"/>
          <w:szCs w:val="24"/>
        </w:rPr>
        <w:t>s. Between 2010 and 2013</w:t>
      </w:r>
      <w:r w:rsidRPr="006931E8">
        <w:rPr>
          <w:rFonts w:asciiTheme="minorHAnsi" w:hAnsiTheme="minorHAnsi"/>
          <w:sz w:val="24"/>
          <w:szCs w:val="24"/>
        </w:rPr>
        <w:t xml:space="preserve">, there has been a palpable endeavor to bring the Bank in line with the “electoral mandate”—a phrase often and strategically employed by the ruling coalition in its discursive defense of controversial policies. This is evidenced by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-KDNP’s controversial amendments to the MNB Act CCVIII of 2011 (</w:t>
      </w:r>
      <w:proofErr w:type="spellStart"/>
      <w:r w:rsidRPr="006931E8">
        <w:rPr>
          <w:rFonts w:asciiTheme="minorHAnsi" w:hAnsiTheme="minorHAnsi"/>
          <w:sz w:val="24"/>
          <w:szCs w:val="24"/>
        </w:rPr>
        <w:t>Zemandl</w:t>
      </w:r>
      <w:proofErr w:type="spellEnd"/>
      <w:r w:rsidRPr="006931E8">
        <w:rPr>
          <w:rFonts w:asciiTheme="minorHAnsi" w:hAnsiTheme="minorHAnsi"/>
          <w:sz w:val="24"/>
          <w:szCs w:val="24"/>
        </w:rPr>
        <w:t>, 2017)</w:t>
      </w:r>
      <w:r w:rsidRPr="006931E8">
        <w:rPr>
          <w:rStyle w:val="EndnoteReference"/>
          <w:rFonts w:asciiTheme="minorHAnsi" w:hAnsiTheme="minorHAnsi"/>
          <w:sz w:val="24"/>
          <w:szCs w:val="24"/>
        </w:rPr>
        <w:endnoteReference w:id="11"/>
      </w:r>
      <w:r w:rsidRPr="006931E8">
        <w:rPr>
          <w:rFonts w:asciiTheme="minorHAnsi" w:hAnsiTheme="minorHAnsi"/>
          <w:sz w:val="24"/>
          <w:szCs w:val="24"/>
        </w:rPr>
        <w:t>.</w:t>
      </w:r>
      <w:r>
        <w:rPr>
          <w:rFonts w:asciiTheme="minorHAnsi" w:hAnsiTheme="minorHAnsi"/>
          <w:sz w:val="24"/>
          <w:szCs w:val="24"/>
        </w:rPr>
        <w:t xml:space="preserve"> </w:t>
      </w:r>
      <w:r w:rsidRPr="006931E8">
        <w:rPr>
          <w:rFonts w:asciiTheme="minorHAnsi" w:hAnsiTheme="minorHAnsi"/>
          <w:sz w:val="24"/>
          <w:szCs w:val="24"/>
        </w:rPr>
        <w:t xml:space="preserve">There were two rounds of political appointments to the MNB monetary council made under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 xml:space="preserve">-KDNP. The first turnover took place in 2011. The second shake-up in 2013 saw the replacement of </w:t>
      </w:r>
      <w:proofErr w:type="spellStart"/>
      <w:r w:rsidRPr="006931E8">
        <w:rPr>
          <w:rFonts w:asciiTheme="minorHAnsi" w:hAnsiTheme="minorHAnsi"/>
          <w:sz w:val="24"/>
          <w:szCs w:val="24"/>
        </w:rPr>
        <w:t>Simor</w:t>
      </w:r>
      <w:proofErr w:type="spellEnd"/>
      <w:r w:rsidRPr="006931E8">
        <w:rPr>
          <w:rFonts w:asciiTheme="minorHAnsi" w:hAnsiTheme="minorHAnsi"/>
          <w:sz w:val="24"/>
          <w:szCs w:val="24"/>
        </w:rPr>
        <w:t xml:space="preserve"> and his two deputies</w:t>
      </w:r>
      <w:r w:rsidR="001B5B11">
        <w:rPr>
          <w:rFonts w:asciiTheme="minorHAnsi" w:hAnsiTheme="minorHAnsi"/>
          <w:sz w:val="24"/>
          <w:szCs w:val="24"/>
        </w:rPr>
        <w:t>,</w:t>
      </w:r>
      <w:r w:rsidRPr="006931E8">
        <w:rPr>
          <w:rFonts w:asciiTheme="minorHAnsi" w:hAnsiTheme="minorHAnsi"/>
          <w:sz w:val="24"/>
          <w:szCs w:val="24"/>
        </w:rPr>
        <w:t xml:space="preserve"> with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and three new deputies commencing the substantive policy changes at the MNB. Thereafter, the translation of the prevailing nationalist discourse into so-called unorthodox policy involved a pro-growth stance, including—among other measures—a preference for reducing and maintaining low interest rates, designing cheap, domestic financing instruments, the absorption of banking supervision (absorbing the </w:t>
      </w:r>
      <w:r w:rsidRPr="006931E8">
        <w:rPr>
          <w:rFonts w:asciiTheme="minorHAnsi" w:hAnsiTheme="minorHAnsi"/>
          <w:sz w:val="24"/>
          <w:szCs w:val="24"/>
        </w:rPr>
        <w:lastRenderedPageBreak/>
        <w:t xml:space="preserve">Hungarian Financial Supervisory Authority into the MNB), and the concept of “self-financing” in order to increase the bank </w:t>
      </w:r>
      <w:r w:rsidR="00E037D7">
        <w:rPr>
          <w:rFonts w:asciiTheme="minorHAnsi" w:hAnsiTheme="minorHAnsi"/>
          <w:sz w:val="24"/>
          <w:szCs w:val="24"/>
        </w:rPr>
        <w:t>deposit portfolio (MNB, 2014:</w:t>
      </w:r>
      <w:r w:rsidRPr="006931E8">
        <w:rPr>
          <w:rFonts w:asciiTheme="minorHAnsi" w:hAnsiTheme="minorHAnsi"/>
          <w:sz w:val="24"/>
          <w:szCs w:val="24"/>
        </w:rPr>
        <w:t xml:space="preserve"> 7).</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cs="Tahoma"/>
          <w:sz w:val="24"/>
          <w:szCs w:val="24"/>
        </w:rPr>
      </w:pPr>
      <w:proofErr w:type="spellStart"/>
      <w:r w:rsidRPr="006931E8">
        <w:rPr>
          <w:rFonts w:asciiTheme="minorHAnsi" w:hAnsiTheme="minorHAnsi"/>
          <w:sz w:val="24"/>
          <w:szCs w:val="24"/>
        </w:rPr>
        <w:t>Matolcsy’s</w:t>
      </w:r>
      <w:proofErr w:type="spellEnd"/>
      <w:r w:rsidRPr="006931E8">
        <w:rPr>
          <w:rFonts w:asciiTheme="minorHAnsi" w:hAnsiTheme="minorHAnsi"/>
          <w:sz w:val="24"/>
          <w:szCs w:val="24"/>
        </w:rPr>
        <w:t xml:space="preserve"> takeover also involved the passage of a new MNB Act entering into force on October 1, 2013. The Act integrated financial supervision and consumer protection functions into the central bank’s structure, and a Financial Stability Council was also established for micro and macro-prudential issues</w:t>
      </w:r>
      <w:r w:rsidRPr="006931E8">
        <w:rPr>
          <w:rStyle w:val="EndnoteReference"/>
          <w:rFonts w:asciiTheme="minorHAnsi" w:hAnsiTheme="minorHAnsi"/>
          <w:sz w:val="24"/>
          <w:szCs w:val="24"/>
        </w:rPr>
        <w:endnoteReference w:id="12"/>
      </w:r>
      <w:r w:rsidRPr="006931E8">
        <w:rPr>
          <w:rFonts w:asciiTheme="minorHAnsi" w:hAnsiTheme="minorHAnsi"/>
          <w:sz w:val="24"/>
          <w:szCs w:val="24"/>
        </w:rPr>
        <w:t xml:space="preserve">. </w:t>
      </w:r>
      <w:r w:rsidRPr="006931E8">
        <w:rPr>
          <w:rFonts w:asciiTheme="minorHAnsi" w:hAnsiTheme="minorHAnsi" w:cs="Tahoma"/>
          <w:sz w:val="24"/>
          <w:szCs w:val="24"/>
        </w:rPr>
        <w:t>While the previous crisis years saw mixed responses (rate cuts, increases,</w:t>
      </w:r>
      <w:r w:rsidR="00453E3D">
        <w:rPr>
          <w:rFonts w:asciiTheme="minorHAnsi" w:hAnsiTheme="minorHAnsi" w:cs="Tahoma"/>
          <w:sz w:val="24"/>
          <w:szCs w:val="24"/>
        </w:rPr>
        <w:t xml:space="preserve"> and rates unchanged), 2013 was </w:t>
      </w:r>
      <w:r w:rsidRPr="006931E8">
        <w:rPr>
          <w:rFonts w:asciiTheme="minorHAnsi" w:hAnsiTheme="minorHAnsi" w:cs="Tahoma"/>
          <w:sz w:val="24"/>
          <w:szCs w:val="24"/>
        </w:rPr>
        <w:t>characterized by consecutive rate cuts.</w:t>
      </w:r>
      <w:r w:rsidRPr="006931E8">
        <w:rPr>
          <w:rStyle w:val="EndnoteReference"/>
          <w:rFonts w:asciiTheme="minorHAnsi" w:hAnsiTheme="minorHAnsi" w:cs="Tahoma"/>
          <w:sz w:val="24"/>
          <w:szCs w:val="24"/>
        </w:rPr>
        <w:endnoteReference w:id="13"/>
      </w:r>
      <w:r w:rsidRPr="006931E8">
        <w:rPr>
          <w:rFonts w:asciiTheme="minorHAnsi" w:hAnsiTheme="minorHAnsi" w:cs="Tahoma"/>
          <w:sz w:val="24"/>
          <w:szCs w:val="24"/>
        </w:rPr>
        <w:t xml:space="preserve"> </w:t>
      </w:r>
    </w:p>
    <w:p w:rsidR="00415D9B" w:rsidRDefault="00415D9B">
      <w:pPr>
        <w:spacing w:line="100" w:lineRule="atLeast"/>
        <w:ind w:left="720" w:right="720"/>
        <w:jc w:val="both"/>
        <w:rPr>
          <w:rFonts w:asciiTheme="minorHAnsi" w:hAnsiTheme="minorHAnsi" w:cs="Tahoma"/>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sz w:val="24"/>
          <w:szCs w:val="24"/>
        </w:rPr>
        <w:t xml:space="preserve">The “policy dilemma” of the post-crisis period, or the problem of weak demand and subsequent calls for looser monetary policy, on the one hand, and persistently high inflation carrying implications for the medium-term, on the other, culminated in 2012 (MNB, 2012). The monetary council members appointed by the ruling coalition broke with the orthodox policy actors by the summer of 2012. From March 2013, with a new executive leadership at the helm, </w:t>
      </w:r>
      <w:r w:rsidR="00453E3D">
        <w:rPr>
          <w:rFonts w:asciiTheme="minorHAnsi" w:hAnsiTheme="minorHAnsi"/>
          <w:sz w:val="24"/>
          <w:szCs w:val="24"/>
        </w:rPr>
        <w:t>the Governor</w:t>
      </w:r>
      <w:r w:rsidRPr="006931E8">
        <w:rPr>
          <w:rFonts w:asciiTheme="minorHAnsi" w:hAnsiTheme="minorHAnsi"/>
          <w:sz w:val="24"/>
          <w:szCs w:val="24"/>
        </w:rPr>
        <w:t xml:space="preserve"> voted in favor of decreases for the remainder of the year, as did all other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 xml:space="preserve">-KDNP appointed members. The majority of council members continued to vote for rate reductions until August </w:t>
      </w:r>
      <w:r>
        <w:rPr>
          <w:rFonts w:asciiTheme="minorHAnsi" w:hAnsiTheme="minorHAnsi"/>
          <w:sz w:val="24"/>
          <w:szCs w:val="24"/>
        </w:rPr>
        <w:t xml:space="preserve">2014 (Magyar </w:t>
      </w:r>
      <w:proofErr w:type="spellStart"/>
      <w:r>
        <w:rPr>
          <w:rFonts w:asciiTheme="minorHAnsi" w:hAnsiTheme="minorHAnsi"/>
          <w:sz w:val="24"/>
          <w:szCs w:val="24"/>
        </w:rPr>
        <w:t>Nemzeti</w:t>
      </w:r>
      <w:proofErr w:type="spellEnd"/>
      <w:r>
        <w:rPr>
          <w:rFonts w:asciiTheme="minorHAnsi" w:hAnsiTheme="minorHAnsi"/>
          <w:sz w:val="24"/>
          <w:szCs w:val="24"/>
        </w:rPr>
        <w:t xml:space="preserve"> Bank, no date</w:t>
      </w:r>
      <w:r w:rsidRPr="006931E8">
        <w:rPr>
          <w:rFonts w:asciiTheme="minorHAnsi" w:hAnsiTheme="minorHAnsi"/>
          <w:sz w:val="24"/>
          <w:szCs w:val="24"/>
        </w:rPr>
        <w:t xml:space="preserve">). From August to December of 2014, members unanimously voted to maintain </w:t>
      </w:r>
      <w:r>
        <w:rPr>
          <w:rFonts w:asciiTheme="minorHAnsi" w:hAnsiTheme="minorHAnsi"/>
          <w:sz w:val="24"/>
          <w:szCs w:val="24"/>
        </w:rPr>
        <w:t xml:space="preserve">rates (Magyar </w:t>
      </w:r>
      <w:proofErr w:type="spellStart"/>
      <w:r>
        <w:rPr>
          <w:rFonts w:asciiTheme="minorHAnsi" w:hAnsiTheme="minorHAnsi"/>
          <w:sz w:val="24"/>
          <w:szCs w:val="24"/>
        </w:rPr>
        <w:t>Nemzeti</w:t>
      </w:r>
      <w:proofErr w:type="spellEnd"/>
      <w:r>
        <w:rPr>
          <w:rFonts w:asciiTheme="minorHAnsi" w:hAnsiTheme="minorHAnsi"/>
          <w:sz w:val="24"/>
          <w:szCs w:val="24"/>
        </w:rPr>
        <w:t xml:space="preserve"> Bank, no date)</w:t>
      </w:r>
      <w:r w:rsidRPr="006931E8">
        <w:rPr>
          <w:rFonts w:asciiTheme="minorHAnsi" w:hAnsiTheme="minorHAnsi"/>
          <w:sz w:val="24"/>
          <w:szCs w:val="24"/>
        </w:rPr>
        <w:t>.</w:t>
      </w:r>
    </w:p>
    <w:p w:rsidR="00415D9B" w:rsidRDefault="00415D9B">
      <w:pPr>
        <w:spacing w:line="100" w:lineRule="atLeast"/>
        <w:ind w:left="720" w:right="720"/>
        <w:jc w:val="both"/>
        <w:rPr>
          <w:rFonts w:asciiTheme="minorHAnsi" w:hAnsiTheme="minorHAnsi"/>
          <w:sz w:val="24"/>
          <w:szCs w:val="24"/>
        </w:rPr>
      </w:pPr>
    </w:p>
    <w:p w:rsidR="00735368" w:rsidRDefault="00514438" w:rsidP="00453E3D">
      <w:pPr>
        <w:spacing w:line="100" w:lineRule="atLeast"/>
        <w:ind w:left="720" w:right="720"/>
        <w:jc w:val="both"/>
        <w:rPr>
          <w:rFonts w:asciiTheme="minorHAnsi" w:hAnsiTheme="minorHAnsi"/>
          <w:sz w:val="24"/>
          <w:szCs w:val="24"/>
        </w:rPr>
      </w:pPr>
      <w:r>
        <w:rPr>
          <w:rFonts w:asciiTheme="minorHAnsi" w:hAnsiTheme="minorHAnsi"/>
          <w:sz w:val="24"/>
          <w:szCs w:val="24"/>
        </w:rPr>
        <w:t xml:space="preserve">Similar to CBRT, </w:t>
      </w:r>
      <w:r w:rsidRPr="006931E8">
        <w:rPr>
          <w:rFonts w:asciiTheme="minorHAnsi" w:hAnsiTheme="minorHAnsi"/>
          <w:sz w:val="24"/>
          <w:szCs w:val="24"/>
        </w:rPr>
        <w:t xml:space="preserve">MNB’s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had been visibly manifested through its internal structural changes, which sparked criticism in the media among policy experts and analysts because they featured a markedly stronger emphasis on loyalty to government policies (e.g., via select </w:t>
      </w:r>
      <w:proofErr w:type="spellStart"/>
      <w:r w:rsidRPr="006931E8">
        <w:rPr>
          <w:rFonts w:asciiTheme="minorHAnsi" w:hAnsiTheme="minorHAnsi"/>
          <w:sz w:val="24"/>
          <w:szCs w:val="24"/>
        </w:rPr>
        <w:t>hirings</w:t>
      </w:r>
      <w:proofErr w:type="spellEnd"/>
      <w:r w:rsidRPr="006931E8">
        <w:rPr>
          <w:rFonts w:asciiTheme="minorHAnsi" w:hAnsiTheme="minorHAnsi"/>
          <w:sz w:val="24"/>
          <w:szCs w:val="24"/>
        </w:rPr>
        <w:t>, firings, loyalty tests), a reinstituted hierarchical management structure</w:t>
      </w:r>
      <w:r>
        <w:rPr>
          <w:rFonts w:asciiTheme="minorHAnsi" w:hAnsiTheme="minorHAnsi"/>
          <w:sz w:val="24"/>
          <w:szCs w:val="24"/>
        </w:rPr>
        <w:t xml:space="preserve">, and a more </w:t>
      </w:r>
      <w:proofErr w:type="spellStart"/>
      <w:r>
        <w:rPr>
          <w:rFonts w:asciiTheme="minorHAnsi" w:hAnsiTheme="minorHAnsi"/>
          <w:sz w:val="24"/>
          <w:szCs w:val="24"/>
        </w:rPr>
        <w:t>politicis</w:t>
      </w:r>
      <w:r w:rsidR="00453E3D">
        <w:rPr>
          <w:rFonts w:asciiTheme="minorHAnsi" w:hAnsiTheme="minorHAnsi"/>
          <w:sz w:val="24"/>
          <w:szCs w:val="24"/>
        </w:rPr>
        <w:t>ed</w:t>
      </w:r>
      <w:proofErr w:type="spellEnd"/>
      <w:r w:rsidR="00453E3D">
        <w:rPr>
          <w:rFonts w:asciiTheme="minorHAnsi" w:hAnsiTheme="minorHAnsi"/>
          <w:sz w:val="24"/>
          <w:szCs w:val="24"/>
        </w:rPr>
        <w:t xml:space="preserve"> cadre of middle management </w:t>
      </w:r>
      <w:r w:rsidRPr="006931E8">
        <w:rPr>
          <w:rFonts w:asciiTheme="minorHAnsi" w:hAnsiTheme="minorHAnsi"/>
          <w:sz w:val="24"/>
          <w:szCs w:val="24"/>
        </w:rPr>
        <w:t>(</w:t>
      </w:r>
      <w:proofErr w:type="spellStart"/>
      <w:r>
        <w:rPr>
          <w:sz w:val="24"/>
          <w:szCs w:val="24"/>
        </w:rPr>
        <w:t>Va</w:t>
      </w:r>
      <w:r w:rsidRPr="00674E55">
        <w:rPr>
          <w:sz w:val="24"/>
          <w:szCs w:val="24"/>
        </w:rPr>
        <w:t>rkonyi</w:t>
      </w:r>
      <w:proofErr w:type="spellEnd"/>
      <w:r w:rsidRPr="00674E55">
        <w:rPr>
          <w:sz w:val="24"/>
          <w:szCs w:val="24"/>
        </w:rPr>
        <w:t xml:space="preserve">, 2013; </w:t>
      </w:r>
      <w:r w:rsidRPr="00674E55">
        <w:rPr>
          <w:rFonts w:asciiTheme="minorHAnsi" w:hAnsiTheme="minorHAnsi"/>
          <w:sz w:val="24"/>
          <w:szCs w:val="24"/>
        </w:rPr>
        <w:t xml:space="preserve">Simon, 2013; </w:t>
      </w:r>
      <w:r w:rsidRPr="00674E55">
        <w:rPr>
          <w:sz w:val="24"/>
          <w:szCs w:val="24"/>
        </w:rPr>
        <w:t xml:space="preserve">Reuters, 2013; </w:t>
      </w:r>
      <w:proofErr w:type="spellStart"/>
      <w:r w:rsidRPr="00674E55">
        <w:rPr>
          <w:rFonts w:asciiTheme="minorHAnsi" w:hAnsiTheme="minorHAnsi"/>
          <w:sz w:val="24"/>
          <w:szCs w:val="24"/>
        </w:rPr>
        <w:t>Zemandl</w:t>
      </w:r>
      <w:proofErr w:type="spellEnd"/>
      <w:r w:rsidRPr="00674E55">
        <w:rPr>
          <w:rFonts w:asciiTheme="minorHAnsi" w:hAnsiTheme="minorHAnsi"/>
          <w:sz w:val="24"/>
          <w:szCs w:val="24"/>
        </w:rPr>
        <w:t>, 2017).</w:t>
      </w:r>
      <w:r w:rsidRPr="006931E8">
        <w:rPr>
          <w:rFonts w:asciiTheme="minorHAnsi" w:hAnsiTheme="minorHAnsi"/>
          <w:sz w:val="24"/>
          <w:szCs w:val="24"/>
        </w:rPr>
        <w:t xml:space="preserve"> In this scenario, the doctrine of orthodoxy and the sheltered ivory tower of knowledge were not only questioned, but incrementally and partially dismantled in the interest of a</w:t>
      </w:r>
      <w:r>
        <w:rPr>
          <w:rFonts w:asciiTheme="minorHAnsi" w:hAnsiTheme="minorHAnsi"/>
          <w:sz w:val="24"/>
          <w:szCs w:val="24"/>
        </w:rPr>
        <w:t xml:space="preserve"> </w:t>
      </w:r>
      <w:r w:rsidRPr="006931E8">
        <w:rPr>
          <w:rFonts w:asciiTheme="minorHAnsi" w:hAnsiTheme="minorHAnsi"/>
          <w:sz w:val="24"/>
          <w:szCs w:val="24"/>
        </w:rPr>
        <w:t xml:space="preserve">nationalist capitalist political and economic agenda, i.e., garnering a secure super majority from the economically and politically disenchanted working classes and electorate in the context of crisis. The MNB’s path to </w:t>
      </w:r>
      <w:r w:rsidR="00453E3D">
        <w:rPr>
          <w:rFonts w:asciiTheme="minorHAnsi" w:hAnsiTheme="minorHAnsi"/>
          <w:sz w:val="24"/>
          <w:szCs w:val="24"/>
        </w:rPr>
        <w:t>‘</w:t>
      </w:r>
      <w:r w:rsidRPr="006931E8">
        <w:rPr>
          <w:rFonts w:asciiTheme="minorHAnsi" w:hAnsiTheme="minorHAnsi"/>
          <w:sz w:val="24"/>
          <w:szCs w:val="24"/>
        </w:rPr>
        <w:t>unorthodoxy</w:t>
      </w:r>
      <w:r w:rsidR="00453E3D">
        <w:rPr>
          <w:rFonts w:asciiTheme="minorHAnsi" w:hAnsiTheme="minorHAnsi"/>
          <w:sz w:val="24"/>
          <w:szCs w:val="24"/>
        </w:rPr>
        <w:t>’</w:t>
      </w:r>
      <w:r w:rsidRPr="006931E8">
        <w:rPr>
          <w:rFonts w:asciiTheme="minorHAnsi" w:hAnsiTheme="minorHAnsi"/>
          <w:sz w:val="24"/>
          <w:szCs w:val="24"/>
        </w:rPr>
        <w:t xml:space="preserve"> was legitimated by </w:t>
      </w:r>
      <w:proofErr w:type="spellStart"/>
      <w:r w:rsidRPr="006931E8">
        <w:rPr>
          <w:rFonts w:asciiTheme="minorHAnsi" w:hAnsiTheme="minorHAnsi"/>
          <w:sz w:val="24"/>
          <w:szCs w:val="24"/>
        </w:rPr>
        <w:t>Fidesz</w:t>
      </w:r>
      <w:proofErr w:type="spellEnd"/>
      <w:r w:rsidRPr="006931E8">
        <w:rPr>
          <w:rFonts w:asciiTheme="minorHAnsi" w:hAnsiTheme="minorHAnsi"/>
          <w:sz w:val="24"/>
          <w:szCs w:val="24"/>
        </w:rPr>
        <w:t>-KDNP’s electoral victory,</w:t>
      </w:r>
      <w:r>
        <w:rPr>
          <w:rFonts w:asciiTheme="minorHAnsi" w:hAnsiTheme="minorHAnsi"/>
          <w:sz w:val="24"/>
          <w:szCs w:val="24"/>
        </w:rPr>
        <w:t xml:space="preserve"> </w:t>
      </w:r>
      <w:r w:rsidRPr="006931E8">
        <w:rPr>
          <w:rFonts w:asciiTheme="minorHAnsi" w:hAnsiTheme="minorHAnsi"/>
          <w:sz w:val="24"/>
          <w:szCs w:val="24"/>
        </w:rPr>
        <w:t>paving the way for “harmonizing” fiscal and monetary policy.</w:t>
      </w:r>
    </w:p>
    <w:p w:rsidR="00415D9B" w:rsidRDefault="00415D9B">
      <w:pPr>
        <w:spacing w:line="100" w:lineRule="atLeast"/>
        <w:ind w:left="720" w:right="720"/>
        <w:jc w:val="both"/>
        <w:rPr>
          <w:rFonts w:asciiTheme="minorHAnsi" w:hAnsiTheme="minorHAnsi"/>
          <w:sz w:val="24"/>
          <w:szCs w:val="24"/>
        </w:rPr>
      </w:pPr>
    </w:p>
    <w:p w:rsidR="00735368" w:rsidRDefault="00514438">
      <w:pPr>
        <w:spacing w:line="100" w:lineRule="atLeast"/>
        <w:ind w:left="720" w:right="720"/>
        <w:jc w:val="both"/>
        <w:rPr>
          <w:rFonts w:asciiTheme="minorHAnsi" w:hAnsiTheme="minorHAnsi" w:cs="TimesNewRomanPSMT"/>
          <w:sz w:val="24"/>
          <w:szCs w:val="24"/>
        </w:rPr>
      </w:pPr>
      <w:r w:rsidRPr="006931E8">
        <w:rPr>
          <w:rFonts w:asciiTheme="minorHAnsi" w:hAnsiTheme="minorHAnsi" w:cs="TimesNewRomanPSMT"/>
          <w:sz w:val="24"/>
          <w:szCs w:val="24"/>
        </w:rPr>
        <w:t>In Turkey, by comparison, it was the proponents of the pre-2008 orthodoxy who were particularly critical of the pro-growth, low interest rate policy of the Bank during this period (</w:t>
      </w:r>
      <w:proofErr w:type="spellStart"/>
      <w:r w:rsidRPr="006931E8">
        <w:rPr>
          <w:rFonts w:asciiTheme="minorHAnsi" w:hAnsiTheme="minorHAnsi" w:cs="TimesNewRomanPSMT"/>
          <w:sz w:val="24"/>
          <w:szCs w:val="24"/>
        </w:rPr>
        <w:t>Hurriyet</w:t>
      </w:r>
      <w:proofErr w:type="spellEnd"/>
      <w:r w:rsidRPr="006931E8">
        <w:rPr>
          <w:rFonts w:asciiTheme="minorHAnsi" w:hAnsiTheme="minorHAnsi" w:cs="TimesNewRomanPSMT"/>
          <w:sz w:val="24"/>
          <w:szCs w:val="24"/>
        </w:rPr>
        <w:t>, 2 February 2012). The Bank’s interventions into the exchange rate have often been viewed as de facto competitive devaluations fueling growth and inflation simultaneously and, therefore, interpreted as the Bank’s implicit surrender to government pressure (Parliamentary Debates, 24</w:t>
      </w:r>
      <w:r w:rsidRPr="006931E8">
        <w:rPr>
          <w:rFonts w:asciiTheme="minorHAnsi" w:hAnsiTheme="minorHAnsi" w:cs="TimesNewRomanPSMT"/>
          <w:sz w:val="24"/>
          <w:szCs w:val="24"/>
          <w:vertAlign w:val="superscript"/>
        </w:rPr>
        <w:t>th</w:t>
      </w:r>
      <w:r w:rsidRPr="006931E8">
        <w:rPr>
          <w:rFonts w:asciiTheme="minorHAnsi" w:hAnsiTheme="minorHAnsi" w:cs="TimesNewRomanPSMT"/>
          <w:sz w:val="24"/>
          <w:szCs w:val="24"/>
        </w:rPr>
        <w:t xml:space="preserve"> Term, 2</w:t>
      </w:r>
      <w:r w:rsidRPr="006931E8">
        <w:rPr>
          <w:rFonts w:asciiTheme="minorHAnsi" w:hAnsiTheme="minorHAnsi" w:cs="TimesNewRomanPSMT"/>
          <w:sz w:val="24"/>
          <w:szCs w:val="24"/>
          <w:vertAlign w:val="superscript"/>
        </w:rPr>
        <w:t>nd</w:t>
      </w:r>
      <w:r w:rsidRPr="006931E8">
        <w:rPr>
          <w:rFonts w:asciiTheme="minorHAnsi" w:hAnsiTheme="minorHAnsi" w:cs="TimesNewRomanPSMT"/>
          <w:sz w:val="24"/>
          <w:szCs w:val="24"/>
        </w:rPr>
        <w:t>- 3</w:t>
      </w:r>
      <w:r w:rsidRPr="006931E8">
        <w:rPr>
          <w:rFonts w:asciiTheme="minorHAnsi" w:hAnsiTheme="minorHAnsi" w:cs="TimesNewRomanPSMT"/>
          <w:sz w:val="24"/>
          <w:szCs w:val="24"/>
          <w:vertAlign w:val="superscript"/>
        </w:rPr>
        <w:t>rd</w:t>
      </w:r>
      <w:r w:rsidRPr="006931E8">
        <w:rPr>
          <w:rFonts w:asciiTheme="minorHAnsi" w:hAnsiTheme="minorHAnsi" w:cs="TimesNewRomanPSMT"/>
          <w:sz w:val="24"/>
          <w:szCs w:val="24"/>
        </w:rPr>
        <w:t>- 5</w:t>
      </w:r>
      <w:r w:rsidRPr="006931E8">
        <w:rPr>
          <w:rFonts w:asciiTheme="minorHAnsi" w:hAnsiTheme="minorHAnsi" w:cs="TimesNewRomanPSMT"/>
          <w:sz w:val="24"/>
          <w:szCs w:val="24"/>
          <w:vertAlign w:val="superscript"/>
        </w:rPr>
        <w:t>th</w:t>
      </w:r>
      <w:r w:rsidR="00453E3D">
        <w:rPr>
          <w:rFonts w:asciiTheme="minorHAnsi" w:hAnsiTheme="minorHAnsi" w:cs="TimesNewRomanPSMT"/>
          <w:sz w:val="24"/>
          <w:szCs w:val="24"/>
        </w:rPr>
        <w:t xml:space="preserve"> Legislative Year, Feb</w:t>
      </w:r>
      <w:r w:rsidRPr="006931E8">
        <w:rPr>
          <w:rFonts w:asciiTheme="minorHAnsi" w:hAnsiTheme="minorHAnsi" w:cs="TimesNewRomanPSMT"/>
          <w:sz w:val="24"/>
          <w:szCs w:val="24"/>
        </w:rPr>
        <w:t xml:space="preserve">, Nov-Dec 2012, Feb-Apr 2013, Dec 2014). The </w:t>
      </w:r>
      <w:r w:rsidR="00453E3D">
        <w:rPr>
          <w:rFonts w:asciiTheme="minorHAnsi" w:hAnsiTheme="minorHAnsi" w:cs="TimesNewRomanPSMT"/>
          <w:sz w:val="24"/>
          <w:szCs w:val="24"/>
        </w:rPr>
        <w:t xml:space="preserve">Prime Minister </w:t>
      </w:r>
      <w:r w:rsidRPr="006931E8">
        <w:rPr>
          <w:rFonts w:asciiTheme="minorHAnsi" w:hAnsiTheme="minorHAnsi" w:cs="TimesNewRomanPSMT"/>
          <w:sz w:val="24"/>
          <w:szCs w:val="24"/>
        </w:rPr>
        <w:t xml:space="preserve">and his Cabinet ministers’ continuous mention of the “interest </w:t>
      </w:r>
      <w:r w:rsidRPr="006931E8">
        <w:rPr>
          <w:rFonts w:asciiTheme="minorHAnsi" w:hAnsiTheme="minorHAnsi" w:cs="TimesNewRomanPSMT"/>
          <w:sz w:val="24"/>
          <w:szCs w:val="24"/>
        </w:rPr>
        <w:lastRenderedPageBreak/>
        <w:t>rate lobby” and the need to support the exporting industries and foreign trade have also contributed to such an outcome (</w:t>
      </w:r>
      <w:proofErr w:type="spellStart"/>
      <w:r w:rsidRPr="006931E8">
        <w:rPr>
          <w:rFonts w:asciiTheme="minorHAnsi" w:hAnsiTheme="minorHAnsi" w:cs="TimesNewRomanPSMT"/>
          <w:sz w:val="24"/>
          <w:szCs w:val="24"/>
        </w:rPr>
        <w:t>Hurriyet</w:t>
      </w:r>
      <w:proofErr w:type="spellEnd"/>
      <w:r w:rsidRPr="006931E8">
        <w:rPr>
          <w:rFonts w:asciiTheme="minorHAnsi" w:hAnsiTheme="minorHAnsi" w:cs="TimesNewRomanPSMT"/>
          <w:sz w:val="24"/>
          <w:szCs w:val="24"/>
        </w:rPr>
        <w:t xml:space="preserve">, 2 </w:t>
      </w:r>
      <w:r>
        <w:rPr>
          <w:rFonts w:asciiTheme="minorHAnsi" w:hAnsiTheme="minorHAnsi" w:cs="TimesNewRomanPSMT"/>
          <w:sz w:val="24"/>
          <w:szCs w:val="24"/>
        </w:rPr>
        <w:t xml:space="preserve">March 2012; </w:t>
      </w:r>
      <w:proofErr w:type="spellStart"/>
      <w:r>
        <w:rPr>
          <w:rFonts w:asciiTheme="minorHAnsi" w:hAnsiTheme="minorHAnsi" w:cs="TimesNewRomanPSMT"/>
          <w:sz w:val="24"/>
          <w:szCs w:val="24"/>
        </w:rPr>
        <w:t>Akcay</w:t>
      </w:r>
      <w:proofErr w:type="spellEnd"/>
      <w:r>
        <w:rPr>
          <w:rFonts w:asciiTheme="minorHAnsi" w:hAnsiTheme="minorHAnsi" w:cs="TimesNewRomanPSMT"/>
          <w:sz w:val="24"/>
          <w:szCs w:val="24"/>
        </w:rPr>
        <w:t xml:space="preserve">, </w:t>
      </w:r>
      <w:r w:rsidRPr="006931E8">
        <w:rPr>
          <w:rFonts w:asciiTheme="minorHAnsi" w:hAnsiTheme="minorHAnsi" w:cs="TimesNewRomanPSMT"/>
          <w:sz w:val="24"/>
          <w:szCs w:val="24"/>
        </w:rPr>
        <w:t xml:space="preserve">2014; </w:t>
      </w:r>
      <w:proofErr w:type="spellStart"/>
      <w:r w:rsidRPr="006931E8">
        <w:rPr>
          <w:rFonts w:asciiTheme="minorHAnsi" w:hAnsiTheme="minorHAnsi" w:cs="TimesNewRomanPSMT"/>
          <w:sz w:val="24"/>
          <w:szCs w:val="24"/>
        </w:rPr>
        <w:t>Birgun</w:t>
      </w:r>
      <w:proofErr w:type="spellEnd"/>
      <w:r w:rsidRPr="006931E8">
        <w:rPr>
          <w:rFonts w:asciiTheme="minorHAnsi" w:hAnsiTheme="minorHAnsi" w:cs="TimesNewRomanPSMT"/>
          <w:sz w:val="24"/>
          <w:szCs w:val="24"/>
        </w:rPr>
        <w:t xml:space="preserve">, 8 March 2015; Parliamentary Debates, 1 July 2013, 19 Dec 2014). </w:t>
      </w:r>
    </w:p>
    <w:p w:rsidR="00735368" w:rsidRDefault="00735368">
      <w:pPr>
        <w:spacing w:line="100" w:lineRule="atLeast"/>
        <w:ind w:left="720" w:right="720"/>
        <w:jc w:val="both"/>
        <w:rPr>
          <w:rFonts w:asciiTheme="minorHAnsi" w:hAnsiTheme="minorHAnsi" w:cs="TimesNewRomanPSMT"/>
          <w:sz w:val="24"/>
          <w:szCs w:val="24"/>
        </w:rPr>
      </w:pPr>
    </w:p>
    <w:p w:rsidR="00735368" w:rsidRDefault="00514438">
      <w:pPr>
        <w:spacing w:line="100" w:lineRule="atLeast"/>
        <w:ind w:left="720" w:right="720"/>
        <w:jc w:val="both"/>
        <w:rPr>
          <w:rFonts w:asciiTheme="minorHAnsi" w:hAnsiTheme="minorHAnsi" w:cs="TimesNewRomanPSMT"/>
          <w:sz w:val="24"/>
          <w:szCs w:val="24"/>
        </w:rPr>
      </w:pPr>
      <w:r w:rsidRPr="006931E8">
        <w:rPr>
          <w:rFonts w:asciiTheme="minorHAnsi" w:hAnsiTheme="minorHAnsi" w:cs="TimesNewRomanPSMT"/>
          <w:sz w:val="24"/>
          <w:szCs w:val="24"/>
        </w:rPr>
        <w:t xml:space="preserve">The onset of the growing societal </w:t>
      </w:r>
      <w:proofErr w:type="spellStart"/>
      <w:r w:rsidRPr="006931E8">
        <w:rPr>
          <w:rFonts w:asciiTheme="minorHAnsi" w:hAnsiTheme="minorHAnsi" w:cs="TimesNewRomanPSMT"/>
          <w:sz w:val="24"/>
          <w:szCs w:val="24"/>
        </w:rPr>
        <w:t>politicisation</w:t>
      </w:r>
      <w:proofErr w:type="spellEnd"/>
      <w:r w:rsidRPr="006931E8">
        <w:rPr>
          <w:rFonts w:asciiTheme="minorHAnsi" w:hAnsiTheme="minorHAnsi" w:cs="TimesNewRomanPSMT"/>
          <w:sz w:val="24"/>
          <w:szCs w:val="24"/>
        </w:rPr>
        <w:t xml:space="preserve"> that reached its peak in June 2013 and the subsequent rifts within the ranks of the state and government set off a new period of monetary policy tightening (which subtly ensued in early 2013). It included policy rate increases in July 2013 and, finally, a very significant increase in January 2014</w:t>
      </w:r>
      <w:r w:rsidR="00C128C0">
        <w:rPr>
          <w:rFonts w:asciiTheme="minorHAnsi" w:hAnsiTheme="minorHAnsi" w:cs="TimesNewRomanPSMT"/>
          <w:sz w:val="24"/>
          <w:szCs w:val="24"/>
        </w:rPr>
        <w:t xml:space="preserve"> </w:t>
      </w:r>
      <w:r w:rsidR="00C128C0" w:rsidRPr="00C128C0">
        <w:rPr>
          <w:rFonts w:asciiTheme="minorHAnsi" w:hAnsiTheme="minorHAnsi" w:cs="TimesNewRomanPSMT"/>
          <w:sz w:val="24"/>
          <w:szCs w:val="24"/>
        </w:rPr>
        <w:t>(CBRT website, Policy Rates Data)</w:t>
      </w:r>
      <w:r>
        <w:rPr>
          <w:rFonts w:asciiTheme="minorHAnsi" w:hAnsiTheme="minorHAnsi" w:cs="TimesNewRomanPSMT"/>
          <w:sz w:val="24"/>
          <w:szCs w:val="24"/>
        </w:rPr>
        <w:t>.</w:t>
      </w:r>
      <w:r w:rsidRPr="006931E8">
        <w:rPr>
          <w:rFonts w:asciiTheme="minorHAnsi" w:hAnsiTheme="minorHAnsi" w:cs="TimesNewRomanPSMT"/>
          <w:sz w:val="24"/>
          <w:szCs w:val="24"/>
        </w:rPr>
        <w:t xml:space="preserve"> The process, while demonstrating that the Bank could still exercise its mandate in relation to price stability despite delay, also set off a renewed discursive battle between Erdogan in particular and the Bank, the </w:t>
      </w:r>
      <w:r w:rsidR="00D527F0">
        <w:rPr>
          <w:rFonts w:asciiTheme="minorHAnsi" w:hAnsiTheme="minorHAnsi" w:cs="TimesNewRomanPSMT"/>
          <w:sz w:val="24"/>
          <w:szCs w:val="24"/>
        </w:rPr>
        <w:t>recent</w:t>
      </w:r>
      <w:r w:rsidRPr="006931E8">
        <w:rPr>
          <w:rFonts w:asciiTheme="minorHAnsi" w:hAnsiTheme="minorHAnsi" w:cs="TimesNewRomanPSMT"/>
          <w:sz w:val="24"/>
          <w:szCs w:val="24"/>
        </w:rPr>
        <w:t xml:space="preserve"> manifestation of which could be observed from early 2015 (Guardian, 23 March 2015; Financial Times, 9, 12 March 2015; Parliamentary Debates, Feb-Mar 2015). This trend has become more pronounced from late 2015 onwards as the political pressure over the Bank in formulating and implementing its monetary policy found more space in the press. Efforts on the part of the government to support small and medium sized companies, the construction business and Islamic capital have been frequently highlighted (The Economist, 2016, 2016a; Al-Monitor, 2017).</w:t>
      </w:r>
      <w:r w:rsidR="006D7BF8">
        <w:rPr>
          <w:rFonts w:asciiTheme="minorHAnsi" w:hAnsiTheme="minorHAnsi" w:cs="TimesNewRomanPSMT"/>
          <w:sz w:val="24"/>
          <w:szCs w:val="24"/>
        </w:rPr>
        <w:t xml:space="preserve"> The internal struggle</w:t>
      </w:r>
      <w:r w:rsidR="00A37B57">
        <w:rPr>
          <w:rFonts w:asciiTheme="minorHAnsi" w:hAnsiTheme="minorHAnsi" w:cs="TimesNewRomanPSMT"/>
          <w:sz w:val="24"/>
          <w:szCs w:val="24"/>
        </w:rPr>
        <w:t xml:space="preserve"> and sharpening contradiction</w:t>
      </w:r>
      <w:r w:rsidR="006D7BF8">
        <w:rPr>
          <w:rFonts w:asciiTheme="minorHAnsi" w:hAnsiTheme="minorHAnsi" w:cs="TimesNewRomanPSMT"/>
          <w:sz w:val="24"/>
          <w:szCs w:val="24"/>
        </w:rPr>
        <w:t xml:space="preserve"> </w:t>
      </w:r>
      <w:r w:rsidR="006D7BF8" w:rsidRPr="006D7BF8">
        <w:rPr>
          <w:rFonts w:asciiTheme="minorHAnsi" w:hAnsiTheme="minorHAnsi" w:cs="TimesNewRomanPSMT"/>
          <w:sz w:val="24"/>
          <w:szCs w:val="24"/>
        </w:rPr>
        <w:t xml:space="preserve">within the capitalist state as revealed in the </w:t>
      </w:r>
      <w:r w:rsidR="00A37B57">
        <w:rPr>
          <w:rFonts w:asciiTheme="minorHAnsi" w:hAnsiTheme="minorHAnsi" w:cs="TimesNewRomanPSMT"/>
          <w:sz w:val="24"/>
          <w:szCs w:val="24"/>
        </w:rPr>
        <w:t>contested</w:t>
      </w:r>
      <w:r w:rsidR="006D7BF8" w:rsidRPr="006D7BF8">
        <w:rPr>
          <w:rFonts w:asciiTheme="minorHAnsi" w:hAnsiTheme="minorHAnsi" w:cs="TimesNewRomanPSMT"/>
          <w:sz w:val="24"/>
          <w:szCs w:val="24"/>
        </w:rPr>
        <w:t xml:space="preserve"> coup attempt in the country also contributes to </w:t>
      </w:r>
      <w:r w:rsidR="00A37B57">
        <w:rPr>
          <w:rFonts w:asciiTheme="minorHAnsi" w:hAnsiTheme="minorHAnsi" w:cs="TimesNewRomanPSMT"/>
          <w:sz w:val="24"/>
          <w:szCs w:val="24"/>
        </w:rPr>
        <w:t xml:space="preserve">the complex picture in </w:t>
      </w:r>
      <w:r w:rsidR="006D7BF8" w:rsidRPr="006D7BF8">
        <w:rPr>
          <w:rFonts w:asciiTheme="minorHAnsi" w:hAnsiTheme="minorHAnsi" w:cs="TimesNewRomanPSMT"/>
          <w:sz w:val="24"/>
          <w:szCs w:val="24"/>
        </w:rPr>
        <w:t xml:space="preserve">Turkey and the underlying dynamics of its divergence </w:t>
      </w:r>
      <w:r w:rsidR="006D7BF8">
        <w:rPr>
          <w:rFonts w:asciiTheme="minorHAnsi" w:hAnsiTheme="minorHAnsi" w:cs="TimesNewRomanPSMT"/>
          <w:sz w:val="24"/>
          <w:szCs w:val="24"/>
        </w:rPr>
        <w:t>from the case of Hungary</w:t>
      </w:r>
      <w:r w:rsidR="006D7BF8" w:rsidRPr="006D7BF8">
        <w:rPr>
          <w:rFonts w:asciiTheme="minorHAnsi" w:hAnsiTheme="minorHAnsi" w:cs="TimesNewRomanPSMT"/>
          <w:sz w:val="24"/>
          <w:szCs w:val="24"/>
        </w:rPr>
        <w:t xml:space="preserve">. In the </w:t>
      </w:r>
      <w:r w:rsidR="00A37B57">
        <w:rPr>
          <w:rFonts w:asciiTheme="minorHAnsi" w:hAnsiTheme="minorHAnsi" w:cs="TimesNewRomanPSMT"/>
          <w:sz w:val="24"/>
          <w:szCs w:val="24"/>
        </w:rPr>
        <w:t xml:space="preserve">post- July 2016 </w:t>
      </w:r>
      <w:r w:rsidR="006D7BF8" w:rsidRPr="006D7BF8">
        <w:rPr>
          <w:rFonts w:asciiTheme="minorHAnsi" w:hAnsiTheme="minorHAnsi" w:cs="TimesNewRomanPSMT"/>
          <w:sz w:val="24"/>
          <w:szCs w:val="24"/>
        </w:rPr>
        <w:t xml:space="preserve">purges, the central bank has been among the </w:t>
      </w:r>
      <w:r w:rsidR="00A37B57">
        <w:rPr>
          <w:rFonts w:asciiTheme="minorHAnsi" w:hAnsiTheme="minorHAnsi" w:cs="TimesNewRomanPSMT"/>
          <w:sz w:val="24"/>
          <w:szCs w:val="24"/>
        </w:rPr>
        <w:t xml:space="preserve">many </w:t>
      </w:r>
      <w:r w:rsidR="006D7BF8" w:rsidRPr="006D7BF8">
        <w:rPr>
          <w:rFonts w:asciiTheme="minorHAnsi" w:hAnsiTheme="minorHAnsi" w:cs="TimesNewRomanPSMT"/>
          <w:sz w:val="24"/>
          <w:szCs w:val="24"/>
        </w:rPr>
        <w:t>targeted state institutions with 105 employees dismissed (Bloomberg, 2017).</w:t>
      </w:r>
    </w:p>
    <w:p w:rsidR="00735368" w:rsidRDefault="00735368">
      <w:pPr>
        <w:spacing w:line="100" w:lineRule="atLeast"/>
        <w:ind w:left="720" w:right="720"/>
        <w:jc w:val="both"/>
        <w:rPr>
          <w:rFonts w:asciiTheme="minorHAnsi" w:hAnsiTheme="minorHAnsi" w:cs="TimesNewRomanPSMT"/>
          <w:sz w:val="24"/>
          <w:szCs w:val="24"/>
        </w:rPr>
      </w:pPr>
    </w:p>
    <w:p w:rsidR="00735368" w:rsidRDefault="00514438">
      <w:pPr>
        <w:spacing w:line="100" w:lineRule="atLeast"/>
        <w:ind w:left="720" w:right="720"/>
        <w:jc w:val="both"/>
        <w:rPr>
          <w:rFonts w:asciiTheme="minorHAnsi" w:hAnsiTheme="minorHAnsi"/>
          <w:sz w:val="24"/>
          <w:szCs w:val="24"/>
        </w:rPr>
      </w:pPr>
      <w:r w:rsidRPr="006931E8">
        <w:rPr>
          <w:rFonts w:asciiTheme="minorHAnsi" w:hAnsiTheme="minorHAnsi" w:cs="TimesNewRomanPSMT"/>
          <w:sz w:val="24"/>
          <w:szCs w:val="24"/>
        </w:rPr>
        <w:t xml:space="preserve">In the post-2008 context, the monetary policymaking and central banking has been rather discursively politicized by the government without an explicit legal/institutional revocation of the independent status of the Bank and its operations as observed in Hungary. This, in line with </w:t>
      </w:r>
      <w:proofErr w:type="spellStart"/>
      <w:r w:rsidRPr="006931E8">
        <w:rPr>
          <w:rFonts w:asciiTheme="minorHAnsi" w:hAnsiTheme="minorHAnsi" w:cs="TimesNewRomanPSMT"/>
          <w:sz w:val="24"/>
          <w:szCs w:val="24"/>
        </w:rPr>
        <w:t>Akcay</w:t>
      </w:r>
      <w:proofErr w:type="spellEnd"/>
      <w:r w:rsidRPr="006931E8">
        <w:rPr>
          <w:rFonts w:asciiTheme="minorHAnsi" w:hAnsiTheme="minorHAnsi" w:cs="TimesNewRomanPSMT"/>
          <w:sz w:val="24"/>
          <w:szCs w:val="24"/>
        </w:rPr>
        <w:t xml:space="preserve"> (2014), indeed meant that the formal independence of the Bank continued shielding the government from the impact of potential unpopular policies and, simultaneously, accrued credibility for those that become successful (Parliamentary Debates, 14 Dec 2013, 4 Sep 2014).  Building on this arm’s length control over the monetary policy pillar in this fashion has allowed space for the government, alongside other dynamics, to politicize and articulate a strongly oppressive discourse and practice in a number of other issue areas outside economic policy </w:t>
      </w:r>
      <w:r>
        <w:rPr>
          <w:rFonts w:asciiTheme="minorHAnsi" w:hAnsiTheme="minorHAnsi" w:cs="TimesNewRomanPSMT"/>
          <w:sz w:val="24"/>
          <w:szCs w:val="24"/>
        </w:rPr>
        <w:t>(Donmez, 2014</w:t>
      </w:r>
      <w:r w:rsidRPr="006931E8">
        <w:rPr>
          <w:rFonts w:asciiTheme="minorHAnsi" w:hAnsiTheme="minorHAnsi" w:cs="TimesNewRomanPSMT"/>
          <w:sz w:val="24"/>
          <w:szCs w:val="24"/>
        </w:rPr>
        <w:t xml:space="preserve">). </w:t>
      </w:r>
      <w:proofErr w:type="spellStart"/>
      <w:r w:rsidRPr="006931E8">
        <w:rPr>
          <w:rFonts w:asciiTheme="minorHAnsi" w:hAnsiTheme="minorHAnsi" w:cs="TimesNewRomanPSMT"/>
          <w:sz w:val="24"/>
          <w:szCs w:val="24"/>
        </w:rPr>
        <w:t>Depoliticisation</w:t>
      </w:r>
      <w:proofErr w:type="spellEnd"/>
      <w:r w:rsidRPr="006931E8">
        <w:rPr>
          <w:rFonts w:asciiTheme="minorHAnsi" w:hAnsiTheme="minorHAnsi" w:cs="TimesNewRomanPSMT"/>
          <w:sz w:val="24"/>
          <w:szCs w:val="24"/>
        </w:rPr>
        <w:t>, therefore, was no</w:t>
      </w:r>
      <w:r>
        <w:rPr>
          <w:rFonts w:asciiTheme="minorHAnsi" w:hAnsiTheme="minorHAnsi" w:cs="TimesNewRomanPSMT"/>
          <w:sz w:val="24"/>
          <w:szCs w:val="24"/>
        </w:rPr>
        <w:t xml:space="preserve">t absolute or all-encompassing. </w:t>
      </w:r>
      <w:r w:rsidRPr="006931E8">
        <w:rPr>
          <w:rFonts w:asciiTheme="minorHAnsi" w:hAnsiTheme="minorHAnsi" w:cs="TimesNewRomanPSMT"/>
          <w:sz w:val="24"/>
          <w:szCs w:val="24"/>
        </w:rPr>
        <w:t xml:space="preserve">While in the case of Hungary, the discursive </w:t>
      </w:r>
      <w:proofErr w:type="spellStart"/>
      <w:r w:rsidRPr="006931E8">
        <w:rPr>
          <w:rFonts w:asciiTheme="minorHAnsi" w:hAnsiTheme="minorHAnsi" w:cs="TimesNewRomanPSMT"/>
          <w:sz w:val="24"/>
          <w:szCs w:val="24"/>
        </w:rPr>
        <w:t>politicisation</w:t>
      </w:r>
      <w:proofErr w:type="spellEnd"/>
      <w:r w:rsidRPr="006931E8">
        <w:rPr>
          <w:rFonts w:asciiTheme="minorHAnsi" w:hAnsiTheme="minorHAnsi" w:cs="TimesNewRomanPSMT"/>
          <w:sz w:val="24"/>
          <w:szCs w:val="24"/>
        </w:rPr>
        <w:t xml:space="preserve"> was a </w:t>
      </w:r>
      <w:r w:rsidRPr="006931E8">
        <w:rPr>
          <w:rFonts w:asciiTheme="minorHAnsi" w:hAnsiTheme="minorHAnsi" w:cs="TimesNewRomanPSMT"/>
          <w:i/>
          <w:sz w:val="24"/>
          <w:szCs w:val="24"/>
        </w:rPr>
        <w:t>harbinger</w:t>
      </w:r>
      <w:r w:rsidRPr="006931E8">
        <w:rPr>
          <w:rFonts w:asciiTheme="minorHAnsi" w:hAnsiTheme="minorHAnsi" w:cs="TimesNewRomanPSMT"/>
          <w:sz w:val="24"/>
          <w:szCs w:val="24"/>
        </w:rPr>
        <w:t xml:space="preserve"> of governmental </w:t>
      </w:r>
      <w:proofErr w:type="spellStart"/>
      <w:r w:rsidRPr="006931E8">
        <w:rPr>
          <w:rFonts w:asciiTheme="minorHAnsi" w:hAnsiTheme="minorHAnsi" w:cs="TimesNewRomanPSMT"/>
          <w:sz w:val="24"/>
          <w:szCs w:val="24"/>
        </w:rPr>
        <w:t>politicisation</w:t>
      </w:r>
      <w:proofErr w:type="spellEnd"/>
      <w:r w:rsidRPr="006931E8">
        <w:rPr>
          <w:rFonts w:asciiTheme="minorHAnsi" w:hAnsiTheme="minorHAnsi" w:cs="TimesNewRomanPSMT"/>
          <w:sz w:val="24"/>
          <w:szCs w:val="24"/>
        </w:rPr>
        <w:t xml:space="preserve"> and the latter could be </w:t>
      </w:r>
      <w:proofErr w:type="spellStart"/>
      <w:r w:rsidRPr="006931E8">
        <w:rPr>
          <w:rFonts w:asciiTheme="minorHAnsi" w:hAnsiTheme="minorHAnsi" w:cs="TimesNewRomanPSMT"/>
          <w:sz w:val="24"/>
          <w:szCs w:val="24"/>
        </w:rPr>
        <w:t>legitimised</w:t>
      </w:r>
      <w:proofErr w:type="spellEnd"/>
      <w:r w:rsidRPr="006931E8">
        <w:rPr>
          <w:rFonts w:asciiTheme="minorHAnsi" w:hAnsiTheme="minorHAnsi" w:cs="TimesNewRomanPSMT"/>
          <w:sz w:val="24"/>
          <w:szCs w:val="24"/>
        </w:rPr>
        <w:t xml:space="preserve"> in the context of the ruling government’s seemingly “successful” nationalistic economic policy, the Turkish case demonstrates how</w:t>
      </w:r>
      <w:r w:rsidRPr="006931E8">
        <w:rPr>
          <w:rFonts w:asciiTheme="minorHAnsi" w:hAnsiTheme="minorHAnsi" w:cs="TimesNewRomanPSMT"/>
          <w:i/>
          <w:sz w:val="24"/>
          <w:szCs w:val="24"/>
        </w:rPr>
        <w:t xml:space="preserve"> limiting</w:t>
      </w:r>
      <w:r w:rsidRPr="006931E8">
        <w:rPr>
          <w:rFonts w:asciiTheme="minorHAnsi" w:hAnsiTheme="minorHAnsi" w:cs="TimesNewRomanPSMT"/>
          <w:sz w:val="24"/>
          <w:szCs w:val="24"/>
        </w:rPr>
        <w:t xml:space="preserve"> </w:t>
      </w:r>
      <w:proofErr w:type="spellStart"/>
      <w:r w:rsidRPr="006931E8">
        <w:rPr>
          <w:rFonts w:asciiTheme="minorHAnsi" w:hAnsiTheme="minorHAnsi" w:cs="TimesNewRomanPSMT"/>
          <w:sz w:val="24"/>
          <w:szCs w:val="24"/>
        </w:rPr>
        <w:t>politicisation</w:t>
      </w:r>
      <w:proofErr w:type="spellEnd"/>
      <w:r w:rsidRPr="006931E8">
        <w:rPr>
          <w:rFonts w:asciiTheme="minorHAnsi" w:hAnsiTheme="minorHAnsi" w:cs="TimesNewRomanPSMT"/>
          <w:sz w:val="24"/>
          <w:szCs w:val="24"/>
        </w:rPr>
        <w:t xml:space="preserve"> to the discursive form in monetary policy </w:t>
      </w:r>
      <w:r>
        <w:rPr>
          <w:rFonts w:asciiTheme="minorHAnsi" w:hAnsiTheme="minorHAnsi" w:cs="TimesNewRomanPSMT"/>
          <w:sz w:val="24"/>
          <w:szCs w:val="24"/>
        </w:rPr>
        <w:t xml:space="preserve">until recently </w:t>
      </w:r>
      <w:r w:rsidRPr="006931E8">
        <w:rPr>
          <w:rFonts w:asciiTheme="minorHAnsi" w:hAnsiTheme="minorHAnsi" w:cs="TimesNewRomanPSMT"/>
          <w:sz w:val="24"/>
          <w:szCs w:val="24"/>
        </w:rPr>
        <w:t xml:space="preserve">served to </w:t>
      </w:r>
      <w:proofErr w:type="spellStart"/>
      <w:r w:rsidRPr="006931E8">
        <w:rPr>
          <w:rFonts w:asciiTheme="minorHAnsi" w:hAnsiTheme="minorHAnsi" w:cs="TimesNewRomanPSMT"/>
          <w:sz w:val="24"/>
          <w:szCs w:val="24"/>
        </w:rPr>
        <w:t>legitimise</w:t>
      </w:r>
      <w:proofErr w:type="spellEnd"/>
      <w:r w:rsidRPr="006931E8">
        <w:rPr>
          <w:rFonts w:asciiTheme="minorHAnsi" w:hAnsiTheme="minorHAnsi" w:cs="TimesNewRomanPSMT"/>
          <w:sz w:val="24"/>
          <w:szCs w:val="24"/>
        </w:rPr>
        <w:t xml:space="preserve"> </w:t>
      </w:r>
      <w:proofErr w:type="spellStart"/>
      <w:r w:rsidRPr="006931E8">
        <w:rPr>
          <w:rFonts w:asciiTheme="minorHAnsi" w:hAnsiTheme="minorHAnsi" w:cs="TimesNewRomanPSMT"/>
          <w:sz w:val="24"/>
          <w:szCs w:val="24"/>
        </w:rPr>
        <w:t>politicisation</w:t>
      </w:r>
      <w:proofErr w:type="spellEnd"/>
      <w:r w:rsidRPr="006931E8">
        <w:rPr>
          <w:rFonts w:asciiTheme="minorHAnsi" w:hAnsiTheme="minorHAnsi" w:cs="TimesNewRomanPSMT"/>
          <w:sz w:val="24"/>
          <w:szCs w:val="24"/>
        </w:rPr>
        <w:t xml:space="preserve"> of other areas.</w:t>
      </w:r>
    </w:p>
    <w:p w:rsidR="00735368" w:rsidRDefault="00735368">
      <w:pPr>
        <w:spacing w:line="100" w:lineRule="atLeast"/>
        <w:ind w:left="720" w:right="720"/>
        <w:jc w:val="both"/>
        <w:rPr>
          <w:rFonts w:asciiTheme="minorHAnsi" w:hAnsiTheme="minorHAnsi"/>
          <w:b/>
          <w:sz w:val="24"/>
          <w:szCs w:val="24"/>
        </w:rPr>
      </w:pPr>
    </w:p>
    <w:p w:rsidR="00735368" w:rsidRDefault="00514438">
      <w:pPr>
        <w:spacing w:line="100" w:lineRule="atLeast"/>
        <w:ind w:left="720" w:right="720"/>
        <w:jc w:val="both"/>
        <w:rPr>
          <w:rStyle w:val="IntenseReference"/>
          <w:rFonts w:asciiTheme="minorHAnsi" w:hAnsiTheme="minorHAnsi"/>
          <w:color w:val="000000"/>
          <w:sz w:val="24"/>
          <w:szCs w:val="24"/>
        </w:rPr>
      </w:pPr>
      <w:r w:rsidRPr="006931E8">
        <w:rPr>
          <w:rFonts w:asciiTheme="minorHAnsi" w:hAnsiTheme="minorHAnsi"/>
          <w:b/>
          <w:color w:val="000000"/>
          <w:sz w:val="24"/>
          <w:szCs w:val="24"/>
        </w:rPr>
        <w:t>Conclusion</w:t>
      </w:r>
    </w:p>
    <w:p w:rsidR="00735368" w:rsidRDefault="00514438">
      <w:pPr>
        <w:ind w:left="720" w:right="720"/>
        <w:jc w:val="both"/>
        <w:rPr>
          <w:rFonts w:asciiTheme="minorHAnsi" w:hAnsiTheme="minorHAnsi"/>
          <w:sz w:val="24"/>
          <w:szCs w:val="24"/>
        </w:rPr>
      </w:pPr>
      <w:r w:rsidRPr="006931E8">
        <w:rPr>
          <w:rFonts w:asciiTheme="minorHAnsi" w:hAnsiTheme="minorHAnsi"/>
          <w:sz w:val="24"/>
          <w:szCs w:val="24"/>
        </w:rPr>
        <w:lastRenderedPageBreak/>
        <w:t xml:space="preserve">This </w:t>
      </w:r>
      <w:r w:rsidR="00D527F0">
        <w:rPr>
          <w:rFonts w:asciiTheme="minorHAnsi" w:hAnsiTheme="minorHAnsi"/>
          <w:sz w:val="24"/>
          <w:szCs w:val="24"/>
        </w:rPr>
        <w:t>article</w:t>
      </w:r>
      <w:r w:rsidRPr="006931E8">
        <w:rPr>
          <w:rFonts w:asciiTheme="minorHAnsi" w:hAnsiTheme="minorHAnsi"/>
          <w:sz w:val="24"/>
          <w:szCs w:val="24"/>
        </w:rPr>
        <w:t xml:space="preserve"> aimed to shed light on the contested post-crisis dynamics in monetary policymaking in two country cases, Hungary and Turkey. </w:t>
      </w:r>
      <w:r w:rsidR="00D7261F">
        <w:rPr>
          <w:rFonts w:asciiTheme="minorHAnsi" w:hAnsiTheme="minorHAnsi"/>
          <w:sz w:val="24"/>
          <w:szCs w:val="24"/>
        </w:rPr>
        <w:t xml:space="preserve">The peripheral </w:t>
      </w:r>
      <w:r w:rsidRPr="006931E8">
        <w:rPr>
          <w:rFonts w:asciiTheme="minorHAnsi" w:hAnsiTheme="minorHAnsi"/>
          <w:sz w:val="24"/>
          <w:szCs w:val="24"/>
        </w:rPr>
        <w:t xml:space="preserve">positioning </w:t>
      </w:r>
      <w:r w:rsidR="00D7261F">
        <w:rPr>
          <w:rFonts w:asciiTheme="minorHAnsi" w:hAnsiTheme="minorHAnsi"/>
          <w:sz w:val="24"/>
          <w:szCs w:val="24"/>
        </w:rPr>
        <w:t>of both countries has previously resulted</w:t>
      </w:r>
      <w:r w:rsidRPr="006931E8">
        <w:rPr>
          <w:rFonts w:asciiTheme="minorHAnsi" w:hAnsiTheme="minorHAnsi"/>
          <w:sz w:val="24"/>
          <w:szCs w:val="24"/>
        </w:rPr>
        <w:t xml:space="preserve"> in a rather constrained policy autonomy due to either the formal inclusion (Hungary) or potential promise of being part of the E</w:t>
      </w:r>
      <w:r w:rsidR="00D7261F">
        <w:rPr>
          <w:rFonts w:asciiTheme="minorHAnsi" w:hAnsiTheme="minorHAnsi"/>
          <w:sz w:val="24"/>
          <w:szCs w:val="24"/>
        </w:rPr>
        <w:t xml:space="preserve">uropean </w:t>
      </w:r>
      <w:r w:rsidRPr="006931E8">
        <w:rPr>
          <w:rFonts w:asciiTheme="minorHAnsi" w:hAnsiTheme="minorHAnsi"/>
          <w:sz w:val="24"/>
          <w:szCs w:val="24"/>
        </w:rPr>
        <w:t>U</w:t>
      </w:r>
      <w:r w:rsidR="00D7261F">
        <w:rPr>
          <w:rFonts w:asciiTheme="minorHAnsi" w:hAnsiTheme="minorHAnsi"/>
          <w:sz w:val="24"/>
          <w:szCs w:val="24"/>
        </w:rPr>
        <w:t>nion</w:t>
      </w:r>
      <w:r w:rsidRPr="006931E8">
        <w:rPr>
          <w:rFonts w:asciiTheme="minorHAnsi" w:hAnsiTheme="minorHAnsi"/>
          <w:sz w:val="24"/>
          <w:szCs w:val="24"/>
        </w:rPr>
        <w:t xml:space="preserve"> (Turkey). In addit</w:t>
      </w:r>
      <w:r w:rsidR="00D7261F">
        <w:rPr>
          <w:rFonts w:asciiTheme="minorHAnsi" w:hAnsiTheme="minorHAnsi"/>
          <w:sz w:val="24"/>
          <w:szCs w:val="24"/>
        </w:rPr>
        <w:t xml:space="preserve">ion, both followed the textbook </w:t>
      </w:r>
      <w:r w:rsidRPr="006931E8">
        <w:rPr>
          <w:rFonts w:asciiTheme="minorHAnsi" w:hAnsiTheme="minorHAnsi"/>
          <w:sz w:val="24"/>
          <w:szCs w:val="24"/>
        </w:rPr>
        <w:t>restructuring recipes streamlined by the IMF and EU from the early 1980s in the Turkish case and 1990s in the case of Hungary.</w:t>
      </w:r>
      <w:r w:rsidR="006A2113" w:rsidRPr="006931E8">
        <w:rPr>
          <w:rFonts w:asciiTheme="minorHAnsi" w:hAnsiTheme="minorHAnsi"/>
          <w:sz w:val="24"/>
          <w:szCs w:val="24"/>
        </w:rPr>
        <w:t xml:space="preserve"> Despite the divergent historical trajectories of the two countries, the </w:t>
      </w:r>
      <w:r w:rsidR="00685480" w:rsidRPr="006931E8">
        <w:rPr>
          <w:rFonts w:asciiTheme="minorHAnsi" w:hAnsiTheme="minorHAnsi"/>
          <w:sz w:val="24"/>
          <w:szCs w:val="24"/>
        </w:rPr>
        <w:t xml:space="preserve">situation </w:t>
      </w:r>
      <w:r w:rsidR="006A2113" w:rsidRPr="006931E8">
        <w:rPr>
          <w:rFonts w:asciiTheme="minorHAnsi" w:hAnsiTheme="minorHAnsi"/>
          <w:sz w:val="24"/>
          <w:szCs w:val="24"/>
        </w:rPr>
        <w:t>by the late 1990s and early 2000s was similar in both cases</w:t>
      </w:r>
      <w:r w:rsidR="00D92BFC" w:rsidRPr="006931E8">
        <w:rPr>
          <w:rFonts w:asciiTheme="minorHAnsi" w:hAnsiTheme="minorHAnsi"/>
          <w:sz w:val="24"/>
          <w:szCs w:val="24"/>
        </w:rPr>
        <w:t xml:space="preserve"> </w:t>
      </w:r>
      <w:r w:rsidR="007E19AF" w:rsidRPr="006931E8">
        <w:rPr>
          <w:rFonts w:asciiTheme="minorHAnsi" w:hAnsiTheme="minorHAnsi"/>
          <w:sz w:val="24"/>
          <w:szCs w:val="24"/>
        </w:rPr>
        <w:t xml:space="preserve">and </w:t>
      </w:r>
      <w:r w:rsidR="00D92BFC" w:rsidRPr="006931E8">
        <w:rPr>
          <w:rFonts w:asciiTheme="minorHAnsi" w:hAnsiTheme="minorHAnsi"/>
          <w:sz w:val="24"/>
          <w:szCs w:val="24"/>
        </w:rPr>
        <w:t>in line with the predominant trends seen elsewhere within the periphery of global capitalism</w:t>
      </w:r>
      <w:r w:rsidR="006A2113" w:rsidRPr="006931E8">
        <w:rPr>
          <w:rFonts w:asciiTheme="minorHAnsi" w:hAnsiTheme="minorHAnsi"/>
          <w:sz w:val="24"/>
          <w:szCs w:val="24"/>
        </w:rPr>
        <w:t>. This was also the ground upon which the post-2008</w:t>
      </w:r>
      <w:r w:rsidR="00511EA4" w:rsidRPr="006931E8">
        <w:rPr>
          <w:rFonts w:asciiTheme="minorHAnsi" w:hAnsiTheme="minorHAnsi"/>
          <w:sz w:val="24"/>
          <w:szCs w:val="24"/>
        </w:rPr>
        <w:t xml:space="preserve"> backlash and search for the </w:t>
      </w:r>
      <w:r w:rsidR="006A2113" w:rsidRPr="006931E8">
        <w:rPr>
          <w:rFonts w:asciiTheme="minorHAnsi" w:hAnsiTheme="minorHAnsi"/>
          <w:sz w:val="24"/>
          <w:szCs w:val="24"/>
        </w:rPr>
        <w:t xml:space="preserve">so-called </w:t>
      </w:r>
      <w:r w:rsidR="00EB09AC" w:rsidRPr="006931E8">
        <w:rPr>
          <w:rFonts w:asciiTheme="minorHAnsi" w:hAnsiTheme="minorHAnsi"/>
          <w:sz w:val="24"/>
          <w:szCs w:val="24"/>
        </w:rPr>
        <w:t>nationalist</w:t>
      </w:r>
      <w:r w:rsidR="006A2113" w:rsidRPr="006931E8">
        <w:rPr>
          <w:rFonts w:asciiTheme="minorHAnsi" w:hAnsiTheme="minorHAnsi"/>
          <w:sz w:val="24"/>
          <w:szCs w:val="24"/>
        </w:rPr>
        <w:t xml:space="preserve"> alternative </w:t>
      </w:r>
      <w:r w:rsidR="001E1D1C">
        <w:rPr>
          <w:rFonts w:asciiTheme="minorHAnsi" w:hAnsiTheme="minorHAnsi"/>
          <w:sz w:val="24"/>
          <w:szCs w:val="24"/>
        </w:rPr>
        <w:t>governing</w:t>
      </w:r>
      <w:r w:rsidR="006A2113" w:rsidRPr="006931E8">
        <w:rPr>
          <w:rFonts w:asciiTheme="minorHAnsi" w:hAnsiTheme="minorHAnsi"/>
          <w:sz w:val="24"/>
          <w:szCs w:val="24"/>
        </w:rPr>
        <w:t xml:space="preserve"> strategies emerged. </w:t>
      </w:r>
    </w:p>
    <w:p w:rsidR="00415D9B" w:rsidRDefault="00415D9B">
      <w:pPr>
        <w:ind w:left="720" w:right="720"/>
        <w:jc w:val="both"/>
        <w:rPr>
          <w:rFonts w:asciiTheme="minorHAnsi" w:hAnsiTheme="minorHAnsi"/>
          <w:sz w:val="24"/>
          <w:szCs w:val="24"/>
        </w:rPr>
      </w:pPr>
    </w:p>
    <w:p w:rsidR="00735368" w:rsidRDefault="00511EA4">
      <w:pPr>
        <w:pStyle w:val="ListParagraph"/>
        <w:ind w:right="720"/>
        <w:jc w:val="both"/>
        <w:rPr>
          <w:rFonts w:asciiTheme="minorHAnsi" w:hAnsiTheme="minorHAnsi"/>
          <w:sz w:val="24"/>
          <w:szCs w:val="24"/>
        </w:rPr>
      </w:pPr>
      <w:r w:rsidRPr="006931E8">
        <w:rPr>
          <w:rFonts w:asciiTheme="minorHAnsi" w:hAnsiTheme="minorHAnsi"/>
          <w:sz w:val="24"/>
          <w:szCs w:val="24"/>
        </w:rPr>
        <w:t>Against such a background</w:t>
      </w:r>
      <w:r w:rsidR="007E19AF" w:rsidRPr="006931E8">
        <w:rPr>
          <w:rFonts w:asciiTheme="minorHAnsi" w:hAnsiTheme="minorHAnsi"/>
          <w:sz w:val="24"/>
          <w:szCs w:val="24"/>
        </w:rPr>
        <w:t>,</w:t>
      </w:r>
      <w:r w:rsidRPr="006931E8">
        <w:rPr>
          <w:rFonts w:asciiTheme="minorHAnsi" w:hAnsiTheme="minorHAnsi"/>
          <w:sz w:val="24"/>
          <w:szCs w:val="24"/>
        </w:rPr>
        <w:t xml:space="preserve"> the global crisis </w:t>
      </w:r>
      <w:r w:rsidR="00A24429" w:rsidRPr="006931E8">
        <w:rPr>
          <w:rFonts w:asciiTheme="minorHAnsi" w:hAnsiTheme="minorHAnsi"/>
          <w:sz w:val="24"/>
          <w:szCs w:val="24"/>
        </w:rPr>
        <w:t xml:space="preserve">played </w:t>
      </w:r>
      <w:r w:rsidRPr="006931E8">
        <w:rPr>
          <w:rFonts w:asciiTheme="minorHAnsi" w:hAnsiTheme="minorHAnsi"/>
          <w:sz w:val="24"/>
          <w:szCs w:val="24"/>
        </w:rPr>
        <w:t xml:space="preserve">a </w:t>
      </w:r>
      <w:r w:rsidR="00D0292F" w:rsidRPr="006931E8">
        <w:rPr>
          <w:rFonts w:asciiTheme="minorHAnsi" w:hAnsiTheme="minorHAnsi"/>
          <w:sz w:val="24"/>
          <w:szCs w:val="24"/>
        </w:rPr>
        <w:t>crucial</w:t>
      </w:r>
      <w:r w:rsidRPr="006931E8">
        <w:rPr>
          <w:rFonts w:asciiTheme="minorHAnsi" w:hAnsiTheme="minorHAnsi"/>
          <w:sz w:val="24"/>
          <w:szCs w:val="24"/>
        </w:rPr>
        <w:t xml:space="preserve"> role </w:t>
      </w:r>
      <w:r w:rsidR="00A24429" w:rsidRPr="006931E8">
        <w:rPr>
          <w:rFonts w:asciiTheme="minorHAnsi" w:hAnsiTheme="minorHAnsi"/>
          <w:sz w:val="24"/>
          <w:szCs w:val="24"/>
        </w:rPr>
        <w:t xml:space="preserve">in </w:t>
      </w:r>
      <w:r w:rsidRPr="006931E8">
        <w:rPr>
          <w:rFonts w:asciiTheme="minorHAnsi" w:hAnsiTheme="minorHAnsi"/>
          <w:sz w:val="24"/>
          <w:szCs w:val="24"/>
        </w:rPr>
        <w:t>the changing trajectory of economic policy making</w:t>
      </w:r>
      <w:r w:rsidR="00D7261F">
        <w:rPr>
          <w:rFonts w:asciiTheme="minorHAnsi" w:hAnsiTheme="minorHAnsi"/>
          <w:sz w:val="24"/>
          <w:szCs w:val="24"/>
        </w:rPr>
        <w:t xml:space="preserve"> and discourse</w:t>
      </w:r>
      <w:r w:rsidRPr="006931E8">
        <w:rPr>
          <w:rFonts w:asciiTheme="minorHAnsi" w:hAnsiTheme="minorHAnsi"/>
          <w:sz w:val="24"/>
          <w:szCs w:val="24"/>
        </w:rPr>
        <w:t xml:space="preserve"> in both countries- with slight temporal variati</w:t>
      </w:r>
      <w:r w:rsidR="00092939" w:rsidRPr="006931E8">
        <w:rPr>
          <w:rFonts w:asciiTheme="minorHAnsi" w:hAnsiTheme="minorHAnsi"/>
          <w:sz w:val="24"/>
          <w:szCs w:val="24"/>
        </w:rPr>
        <w:t>on.</w:t>
      </w:r>
      <w:r w:rsidR="00272CAC" w:rsidRPr="006931E8">
        <w:rPr>
          <w:rFonts w:asciiTheme="minorHAnsi" w:hAnsiTheme="minorHAnsi"/>
          <w:sz w:val="24"/>
          <w:szCs w:val="24"/>
        </w:rPr>
        <w:t xml:space="preserve"> </w:t>
      </w:r>
      <w:r w:rsidR="00092939" w:rsidRPr="006931E8">
        <w:rPr>
          <w:rFonts w:asciiTheme="minorHAnsi" w:hAnsiTheme="minorHAnsi"/>
          <w:sz w:val="24"/>
          <w:szCs w:val="24"/>
        </w:rPr>
        <w:t xml:space="preserve">The discourse surrounding this trajectory change </w:t>
      </w:r>
      <w:r w:rsidR="0060096D" w:rsidRPr="006931E8">
        <w:rPr>
          <w:rFonts w:asciiTheme="minorHAnsi" w:hAnsiTheme="minorHAnsi"/>
          <w:sz w:val="24"/>
          <w:szCs w:val="24"/>
        </w:rPr>
        <w:t xml:space="preserve">was </w:t>
      </w:r>
      <w:r w:rsidR="00092939" w:rsidRPr="006931E8">
        <w:rPr>
          <w:rFonts w:asciiTheme="minorHAnsi" w:hAnsiTheme="minorHAnsi"/>
          <w:sz w:val="24"/>
          <w:szCs w:val="24"/>
        </w:rPr>
        <w:t xml:space="preserve">more about </w:t>
      </w:r>
      <w:r w:rsidR="00814B3E" w:rsidRPr="006931E8">
        <w:rPr>
          <w:rFonts w:asciiTheme="minorHAnsi" w:hAnsiTheme="minorHAnsi"/>
          <w:sz w:val="24"/>
          <w:szCs w:val="24"/>
        </w:rPr>
        <w:t>the so</w:t>
      </w:r>
      <w:r w:rsidR="000C06F7" w:rsidRPr="006931E8">
        <w:rPr>
          <w:rFonts w:asciiTheme="minorHAnsi" w:hAnsiTheme="minorHAnsi"/>
          <w:sz w:val="24"/>
          <w:szCs w:val="24"/>
        </w:rPr>
        <w:t xml:space="preserve">–called motto of </w:t>
      </w:r>
      <w:r w:rsidR="00092939" w:rsidRPr="006931E8">
        <w:rPr>
          <w:rFonts w:asciiTheme="minorHAnsi" w:hAnsiTheme="minorHAnsi"/>
          <w:sz w:val="24"/>
          <w:szCs w:val="24"/>
        </w:rPr>
        <w:t>“turning crisis into opportunity” in Turkey</w:t>
      </w:r>
      <w:r w:rsidR="00A24429" w:rsidRPr="006931E8">
        <w:rPr>
          <w:rFonts w:asciiTheme="minorHAnsi" w:hAnsiTheme="minorHAnsi"/>
          <w:sz w:val="24"/>
          <w:szCs w:val="24"/>
        </w:rPr>
        <w:t>,</w:t>
      </w:r>
      <w:r w:rsidR="00092939" w:rsidRPr="006931E8">
        <w:rPr>
          <w:rFonts w:asciiTheme="minorHAnsi" w:hAnsiTheme="minorHAnsi"/>
          <w:sz w:val="24"/>
          <w:szCs w:val="24"/>
        </w:rPr>
        <w:t xml:space="preserve"> while in Hungary it was rather a </w:t>
      </w:r>
      <w:r w:rsidR="00EB09AC" w:rsidRPr="006931E8">
        <w:rPr>
          <w:rFonts w:asciiTheme="minorHAnsi" w:hAnsiTheme="minorHAnsi"/>
          <w:sz w:val="24"/>
          <w:szCs w:val="24"/>
        </w:rPr>
        <w:t xml:space="preserve">nationalist </w:t>
      </w:r>
      <w:r w:rsidR="00092939" w:rsidRPr="006931E8">
        <w:rPr>
          <w:rFonts w:asciiTheme="minorHAnsi" w:hAnsiTheme="minorHAnsi"/>
          <w:sz w:val="24"/>
          <w:szCs w:val="24"/>
        </w:rPr>
        <w:t>reaction against the EU’s (mis)handling of the deepening crisis – with a rationale and final outcome not to</w:t>
      </w:r>
      <w:r w:rsidR="009A10AA" w:rsidRPr="006931E8">
        <w:rPr>
          <w:rFonts w:asciiTheme="minorHAnsi" w:hAnsiTheme="minorHAnsi"/>
          <w:sz w:val="24"/>
          <w:szCs w:val="24"/>
        </w:rPr>
        <w:t>o</w:t>
      </w:r>
      <w:r w:rsidR="00092939" w:rsidRPr="006931E8">
        <w:rPr>
          <w:rFonts w:asciiTheme="minorHAnsi" w:hAnsiTheme="minorHAnsi"/>
          <w:sz w:val="24"/>
          <w:szCs w:val="24"/>
        </w:rPr>
        <w:t xml:space="preserve"> dissimilar. </w:t>
      </w:r>
      <w:r w:rsidR="009F7480" w:rsidRPr="006931E8">
        <w:rPr>
          <w:rFonts w:asciiTheme="minorHAnsi" w:hAnsiTheme="minorHAnsi"/>
          <w:sz w:val="24"/>
          <w:szCs w:val="24"/>
        </w:rPr>
        <w:t>The</w:t>
      </w:r>
      <w:r w:rsidR="00D0292F" w:rsidRPr="006931E8">
        <w:rPr>
          <w:rFonts w:asciiTheme="minorHAnsi" w:hAnsiTheme="minorHAnsi"/>
          <w:sz w:val="24"/>
          <w:szCs w:val="24"/>
        </w:rPr>
        <w:t xml:space="preserve"> constitutive elements of this </w:t>
      </w:r>
      <w:r w:rsidR="00092939" w:rsidRPr="006931E8">
        <w:rPr>
          <w:rFonts w:asciiTheme="minorHAnsi" w:hAnsiTheme="minorHAnsi"/>
          <w:sz w:val="24"/>
          <w:szCs w:val="24"/>
        </w:rPr>
        <w:t>political discourse throughout the late 2000s also carry similar elements in both countries in terms of the victimization of the countries under austerity prescriptions of global financial capital and its “foreign” representatives and “lobbies”.</w:t>
      </w:r>
    </w:p>
    <w:p w:rsidR="00D7261F" w:rsidRDefault="00D7261F">
      <w:pPr>
        <w:pStyle w:val="ListParagraph"/>
        <w:ind w:right="720"/>
        <w:jc w:val="both"/>
        <w:rPr>
          <w:rFonts w:asciiTheme="minorHAnsi" w:hAnsiTheme="minorHAnsi"/>
          <w:sz w:val="24"/>
          <w:szCs w:val="24"/>
        </w:rPr>
      </w:pPr>
    </w:p>
    <w:p w:rsidR="00735368" w:rsidRDefault="00104378">
      <w:pPr>
        <w:ind w:left="720" w:right="720"/>
        <w:jc w:val="both"/>
        <w:rPr>
          <w:rFonts w:asciiTheme="minorHAnsi" w:hAnsiTheme="minorHAnsi"/>
          <w:sz w:val="24"/>
          <w:szCs w:val="24"/>
        </w:rPr>
      </w:pPr>
      <w:r w:rsidRPr="006931E8">
        <w:rPr>
          <w:rFonts w:asciiTheme="minorHAnsi" w:hAnsiTheme="minorHAnsi"/>
          <w:sz w:val="24"/>
          <w:szCs w:val="24"/>
        </w:rPr>
        <w:t xml:space="preserve">While both </w:t>
      </w:r>
      <w:r w:rsidR="0060096D" w:rsidRPr="006931E8">
        <w:rPr>
          <w:rFonts w:asciiTheme="minorHAnsi" w:hAnsiTheme="minorHAnsi"/>
          <w:sz w:val="24"/>
          <w:szCs w:val="24"/>
        </w:rPr>
        <w:t>central banks</w:t>
      </w:r>
      <w:r w:rsidRPr="006931E8">
        <w:rPr>
          <w:rFonts w:asciiTheme="minorHAnsi" w:hAnsiTheme="minorHAnsi"/>
          <w:sz w:val="24"/>
          <w:szCs w:val="24"/>
        </w:rPr>
        <w:t xml:space="preserve"> underwent discursive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in Hungary this was part of a broader nationalist discourse </w:t>
      </w:r>
      <w:r w:rsidR="00D7261F">
        <w:rPr>
          <w:rFonts w:asciiTheme="minorHAnsi" w:hAnsiTheme="minorHAnsi"/>
          <w:sz w:val="24"/>
          <w:szCs w:val="24"/>
        </w:rPr>
        <w:t>and changing economic paradigm. I</w:t>
      </w:r>
      <w:r w:rsidRPr="006931E8">
        <w:rPr>
          <w:rFonts w:asciiTheme="minorHAnsi" w:hAnsiTheme="minorHAnsi"/>
          <w:sz w:val="24"/>
          <w:szCs w:val="24"/>
        </w:rPr>
        <w:t xml:space="preserve">n Turkey it was confined to opportunistic verbal attacks against a backdrop of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of several </w:t>
      </w:r>
      <w:r w:rsidR="000C39D2" w:rsidRPr="006931E8">
        <w:rPr>
          <w:rFonts w:asciiTheme="minorHAnsi" w:hAnsiTheme="minorHAnsi"/>
          <w:sz w:val="24"/>
          <w:szCs w:val="24"/>
        </w:rPr>
        <w:t>(extra-)</w:t>
      </w:r>
      <w:r w:rsidRPr="006931E8">
        <w:rPr>
          <w:rFonts w:asciiTheme="minorHAnsi" w:hAnsiTheme="minorHAnsi"/>
          <w:sz w:val="24"/>
          <w:szCs w:val="24"/>
        </w:rPr>
        <w:t>economic domains. Moreover, in Hungary, we observe a more comprehensive</w:t>
      </w:r>
      <w:r w:rsidR="00A46DD7">
        <w:rPr>
          <w:rFonts w:asciiTheme="minorHAnsi" w:hAnsiTheme="minorHAnsi"/>
          <w:sz w:val="24"/>
          <w:szCs w:val="24"/>
        </w:rPr>
        <w:t xml:space="preserve"> and </w:t>
      </w:r>
      <w:r w:rsidR="001E1D1C">
        <w:rPr>
          <w:rFonts w:asciiTheme="minorHAnsi" w:hAnsiTheme="minorHAnsi"/>
          <w:sz w:val="24"/>
          <w:szCs w:val="24"/>
        </w:rPr>
        <w:t>systematic</w:t>
      </w:r>
      <w:r w:rsidRPr="006931E8">
        <w:rPr>
          <w:rFonts w:asciiTheme="minorHAnsi" w:hAnsiTheme="minorHAnsi"/>
          <w:sz w:val="24"/>
          <w:szCs w:val="24"/>
        </w:rPr>
        <w:t xml:space="preserve"> process of governmental </w:t>
      </w:r>
      <w:proofErr w:type="spellStart"/>
      <w:r w:rsidRPr="006931E8">
        <w:rPr>
          <w:rFonts w:asciiTheme="minorHAnsi" w:hAnsiTheme="minorHAnsi"/>
          <w:sz w:val="24"/>
          <w:szCs w:val="24"/>
        </w:rPr>
        <w:t>politicisation</w:t>
      </w:r>
      <w:proofErr w:type="spellEnd"/>
      <w:r w:rsidRPr="006931E8">
        <w:rPr>
          <w:rFonts w:asciiTheme="minorHAnsi" w:hAnsiTheme="minorHAnsi"/>
          <w:sz w:val="24"/>
          <w:szCs w:val="24"/>
        </w:rPr>
        <w:t xml:space="preserve">, </w:t>
      </w:r>
      <w:r w:rsidR="00A46DD7" w:rsidRPr="006931E8">
        <w:rPr>
          <w:rFonts w:asciiTheme="minorHAnsi" w:hAnsiTheme="minorHAnsi"/>
          <w:sz w:val="24"/>
          <w:szCs w:val="24"/>
        </w:rPr>
        <w:t>manifested as</w:t>
      </w:r>
      <w:r w:rsidRPr="006931E8">
        <w:rPr>
          <w:rFonts w:asciiTheme="minorHAnsi" w:hAnsiTheme="minorHAnsi"/>
          <w:sz w:val="24"/>
          <w:szCs w:val="24"/>
        </w:rPr>
        <w:t xml:space="preserve"> overt structural control </w:t>
      </w:r>
      <w:r w:rsidR="00A46DD7">
        <w:rPr>
          <w:rFonts w:asciiTheme="minorHAnsi" w:hAnsiTheme="minorHAnsi"/>
          <w:sz w:val="24"/>
          <w:szCs w:val="24"/>
        </w:rPr>
        <w:t>of</w:t>
      </w:r>
      <w:r w:rsidRPr="006931E8">
        <w:rPr>
          <w:rFonts w:asciiTheme="minorHAnsi" w:hAnsiTheme="minorHAnsi"/>
          <w:sz w:val="24"/>
          <w:szCs w:val="24"/>
        </w:rPr>
        <w:t xml:space="preserve"> central banking alongside a major paradigm shift in economic and monetary policy.</w:t>
      </w:r>
      <w:r w:rsidR="00F95FB4" w:rsidRPr="006931E8">
        <w:rPr>
          <w:rFonts w:asciiTheme="minorHAnsi" w:hAnsiTheme="minorHAnsi"/>
          <w:sz w:val="24"/>
          <w:szCs w:val="24"/>
        </w:rPr>
        <w:t xml:space="preserve"> I</w:t>
      </w:r>
      <w:r w:rsidR="004A52C3" w:rsidRPr="006931E8">
        <w:rPr>
          <w:rFonts w:asciiTheme="minorHAnsi" w:hAnsiTheme="minorHAnsi"/>
          <w:sz w:val="24"/>
          <w:szCs w:val="24"/>
        </w:rPr>
        <w:t>n the Turkish context</w:t>
      </w:r>
      <w:r w:rsidR="000E7D7A" w:rsidRPr="006931E8">
        <w:rPr>
          <w:rFonts w:asciiTheme="minorHAnsi" w:hAnsiTheme="minorHAnsi"/>
          <w:sz w:val="24"/>
          <w:szCs w:val="24"/>
        </w:rPr>
        <w:t>,</w:t>
      </w:r>
      <w:r w:rsidR="004A52C3" w:rsidRPr="006931E8">
        <w:rPr>
          <w:rFonts w:asciiTheme="minorHAnsi" w:hAnsiTheme="minorHAnsi"/>
          <w:sz w:val="24"/>
          <w:szCs w:val="24"/>
        </w:rPr>
        <w:t xml:space="preserve"> we are confronted with a more complex picture</w:t>
      </w:r>
      <w:r w:rsidR="00F93A97" w:rsidRPr="006931E8">
        <w:rPr>
          <w:rFonts w:asciiTheme="minorHAnsi" w:hAnsiTheme="minorHAnsi"/>
          <w:sz w:val="24"/>
          <w:szCs w:val="24"/>
        </w:rPr>
        <w:t xml:space="preserve"> </w:t>
      </w:r>
      <w:r w:rsidR="00EC3F2A" w:rsidRPr="006931E8">
        <w:rPr>
          <w:rFonts w:asciiTheme="minorHAnsi" w:hAnsiTheme="minorHAnsi"/>
          <w:sz w:val="24"/>
          <w:szCs w:val="24"/>
        </w:rPr>
        <w:t xml:space="preserve">due to the </w:t>
      </w:r>
      <w:r w:rsidR="00674E55">
        <w:rPr>
          <w:rFonts w:asciiTheme="minorHAnsi" w:hAnsiTheme="minorHAnsi"/>
          <w:sz w:val="24"/>
          <w:szCs w:val="24"/>
        </w:rPr>
        <w:t>presence and eventual sup</w:t>
      </w:r>
      <w:r w:rsidR="00106474">
        <w:rPr>
          <w:rFonts w:asciiTheme="minorHAnsi" w:hAnsiTheme="minorHAnsi"/>
          <w:sz w:val="24"/>
          <w:szCs w:val="24"/>
        </w:rPr>
        <w:t xml:space="preserve">pression of </w:t>
      </w:r>
      <w:r w:rsidR="00674E55">
        <w:rPr>
          <w:rFonts w:asciiTheme="minorHAnsi" w:hAnsiTheme="minorHAnsi"/>
          <w:sz w:val="24"/>
          <w:szCs w:val="24"/>
        </w:rPr>
        <w:t xml:space="preserve">a growing </w:t>
      </w:r>
      <w:r w:rsidR="00106474">
        <w:rPr>
          <w:rFonts w:asciiTheme="minorHAnsi" w:hAnsiTheme="minorHAnsi"/>
          <w:sz w:val="24"/>
          <w:szCs w:val="24"/>
        </w:rPr>
        <w:t>left</w:t>
      </w:r>
      <w:r w:rsidR="00674E55">
        <w:rPr>
          <w:rFonts w:asciiTheme="minorHAnsi" w:hAnsiTheme="minorHAnsi"/>
          <w:sz w:val="24"/>
          <w:szCs w:val="24"/>
        </w:rPr>
        <w:t>-wing</w:t>
      </w:r>
      <w:r w:rsidR="00106474">
        <w:rPr>
          <w:rFonts w:asciiTheme="minorHAnsi" w:hAnsiTheme="minorHAnsi"/>
          <w:sz w:val="24"/>
          <w:szCs w:val="24"/>
        </w:rPr>
        <w:t xml:space="preserve"> opposition in the post-2013 period and the strong </w:t>
      </w:r>
      <w:r w:rsidR="00EC3F2A" w:rsidRPr="006931E8">
        <w:rPr>
          <w:rFonts w:asciiTheme="minorHAnsi" w:hAnsiTheme="minorHAnsi"/>
          <w:sz w:val="24"/>
          <w:szCs w:val="24"/>
        </w:rPr>
        <w:t>explicit rift betwe</w:t>
      </w:r>
      <w:r w:rsidR="00106474">
        <w:rPr>
          <w:rFonts w:asciiTheme="minorHAnsi" w:hAnsiTheme="minorHAnsi"/>
          <w:sz w:val="24"/>
          <w:szCs w:val="24"/>
        </w:rPr>
        <w:t xml:space="preserve">en different ranks of the state </w:t>
      </w:r>
      <w:r w:rsidR="00EC3F2A" w:rsidRPr="006931E8">
        <w:rPr>
          <w:rFonts w:asciiTheme="minorHAnsi" w:hAnsiTheme="minorHAnsi"/>
          <w:sz w:val="24"/>
          <w:szCs w:val="24"/>
        </w:rPr>
        <w:t>(</w:t>
      </w:r>
      <w:r w:rsidR="0060096D" w:rsidRPr="006931E8">
        <w:rPr>
          <w:rFonts w:asciiTheme="minorHAnsi" w:hAnsiTheme="minorHAnsi"/>
          <w:sz w:val="24"/>
          <w:szCs w:val="24"/>
        </w:rPr>
        <w:t xml:space="preserve">i.e. </w:t>
      </w:r>
      <w:r w:rsidR="00EC3F2A" w:rsidRPr="006931E8">
        <w:rPr>
          <w:rFonts w:asciiTheme="minorHAnsi" w:hAnsiTheme="minorHAnsi"/>
          <w:sz w:val="24"/>
          <w:szCs w:val="24"/>
        </w:rPr>
        <w:t xml:space="preserve">Central Bank vs. government, government vs. president, </w:t>
      </w:r>
      <w:r w:rsidR="00F352DF">
        <w:rPr>
          <w:rFonts w:asciiTheme="minorHAnsi" w:hAnsiTheme="minorHAnsi"/>
          <w:sz w:val="24"/>
          <w:szCs w:val="24"/>
        </w:rPr>
        <w:t>judiciary and</w:t>
      </w:r>
      <w:r w:rsidR="00EC3F2A" w:rsidRPr="006931E8">
        <w:rPr>
          <w:rFonts w:asciiTheme="minorHAnsi" w:hAnsiTheme="minorHAnsi"/>
          <w:sz w:val="24"/>
          <w:szCs w:val="24"/>
        </w:rPr>
        <w:t xml:space="preserve"> police as it became evident with and escalated further from the corruption scandal </w:t>
      </w:r>
      <w:r w:rsidR="0060096D" w:rsidRPr="006931E8">
        <w:rPr>
          <w:rFonts w:asciiTheme="minorHAnsi" w:hAnsiTheme="minorHAnsi"/>
          <w:sz w:val="24"/>
          <w:szCs w:val="24"/>
        </w:rPr>
        <w:t xml:space="preserve">of </w:t>
      </w:r>
      <w:r w:rsidR="00EC3F2A" w:rsidRPr="006931E8">
        <w:rPr>
          <w:rFonts w:asciiTheme="minorHAnsi" w:hAnsiTheme="minorHAnsi"/>
          <w:sz w:val="24"/>
          <w:szCs w:val="24"/>
        </w:rPr>
        <w:t xml:space="preserve">late 2013). The latter dynamic, we suggest, may still </w:t>
      </w:r>
      <w:r w:rsidR="00F352DF">
        <w:rPr>
          <w:rFonts w:asciiTheme="minorHAnsi" w:hAnsiTheme="minorHAnsi"/>
          <w:sz w:val="24"/>
          <w:szCs w:val="24"/>
        </w:rPr>
        <w:t xml:space="preserve">lead to the </w:t>
      </w:r>
      <w:r w:rsidR="00106474">
        <w:rPr>
          <w:rFonts w:asciiTheme="minorHAnsi" w:hAnsiTheme="minorHAnsi"/>
          <w:sz w:val="24"/>
          <w:szCs w:val="24"/>
        </w:rPr>
        <w:t xml:space="preserve">overlapping of </w:t>
      </w:r>
      <w:proofErr w:type="spellStart"/>
      <w:r w:rsidR="00EC3F2A" w:rsidRPr="006931E8">
        <w:rPr>
          <w:rFonts w:asciiTheme="minorHAnsi" w:hAnsiTheme="minorHAnsi"/>
          <w:sz w:val="24"/>
          <w:szCs w:val="24"/>
        </w:rPr>
        <w:t>politicising</w:t>
      </w:r>
      <w:proofErr w:type="spellEnd"/>
      <w:r w:rsidR="00EC3F2A" w:rsidRPr="006931E8">
        <w:rPr>
          <w:rFonts w:asciiTheme="minorHAnsi" w:hAnsiTheme="minorHAnsi"/>
          <w:sz w:val="24"/>
          <w:szCs w:val="24"/>
        </w:rPr>
        <w:t xml:space="preserve"> d</w:t>
      </w:r>
      <w:r w:rsidR="00106474">
        <w:rPr>
          <w:rFonts w:asciiTheme="minorHAnsi" w:hAnsiTheme="minorHAnsi"/>
          <w:sz w:val="24"/>
          <w:szCs w:val="24"/>
        </w:rPr>
        <w:t xml:space="preserve">ynamics </w:t>
      </w:r>
      <w:r w:rsidR="00F93A97" w:rsidRPr="006931E8">
        <w:rPr>
          <w:rFonts w:asciiTheme="minorHAnsi" w:hAnsiTheme="minorHAnsi"/>
          <w:sz w:val="24"/>
          <w:szCs w:val="24"/>
        </w:rPr>
        <w:t xml:space="preserve">with </w:t>
      </w:r>
      <w:proofErr w:type="spellStart"/>
      <w:r w:rsidR="00012425" w:rsidRPr="006931E8">
        <w:rPr>
          <w:rFonts w:asciiTheme="minorHAnsi" w:hAnsiTheme="minorHAnsi"/>
          <w:sz w:val="24"/>
          <w:szCs w:val="24"/>
        </w:rPr>
        <w:t>depoliticise</w:t>
      </w:r>
      <w:r w:rsidR="00F93A97" w:rsidRPr="006931E8">
        <w:rPr>
          <w:rFonts w:asciiTheme="minorHAnsi" w:hAnsiTheme="minorHAnsi"/>
          <w:sz w:val="24"/>
          <w:szCs w:val="24"/>
        </w:rPr>
        <w:t>d</w:t>
      </w:r>
      <w:proofErr w:type="spellEnd"/>
      <w:r w:rsidR="00F93A97" w:rsidRPr="006931E8">
        <w:rPr>
          <w:rFonts w:asciiTheme="minorHAnsi" w:hAnsiTheme="minorHAnsi"/>
          <w:sz w:val="24"/>
          <w:szCs w:val="24"/>
        </w:rPr>
        <w:t xml:space="preserve"> form</w:t>
      </w:r>
      <w:r w:rsidR="000E7D7A" w:rsidRPr="006931E8">
        <w:rPr>
          <w:rFonts w:asciiTheme="minorHAnsi" w:hAnsiTheme="minorHAnsi"/>
          <w:sz w:val="24"/>
          <w:szCs w:val="24"/>
        </w:rPr>
        <w:t>s</w:t>
      </w:r>
      <w:r w:rsidR="00F93A97" w:rsidRPr="006931E8">
        <w:rPr>
          <w:rFonts w:asciiTheme="minorHAnsi" w:hAnsiTheme="minorHAnsi"/>
          <w:sz w:val="24"/>
          <w:szCs w:val="24"/>
        </w:rPr>
        <w:t xml:space="preserve"> of governing</w:t>
      </w:r>
      <w:r w:rsidR="00EC3F2A" w:rsidRPr="006931E8">
        <w:rPr>
          <w:rFonts w:asciiTheme="minorHAnsi" w:hAnsiTheme="minorHAnsi"/>
          <w:sz w:val="24"/>
          <w:szCs w:val="24"/>
        </w:rPr>
        <w:t xml:space="preserve"> in the Turkish context</w:t>
      </w:r>
      <w:r w:rsidR="000E7D7A" w:rsidRPr="006931E8">
        <w:rPr>
          <w:rFonts w:asciiTheme="minorHAnsi" w:hAnsiTheme="minorHAnsi"/>
          <w:sz w:val="24"/>
          <w:szCs w:val="24"/>
        </w:rPr>
        <w:t>,</w:t>
      </w:r>
      <w:r w:rsidR="00EC3F2A" w:rsidRPr="006931E8">
        <w:rPr>
          <w:rFonts w:asciiTheme="minorHAnsi" w:hAnsiTheme="minorHAnsi"/>
          <w:sz w:val="24"/>
          <w:szCs w:val="24"/>
        </w:rPr>
        <w:t xml:space="preserve"> while</w:t>
      </w:r>
      <w:r w:rsidR="000E7D7A" w:rsidRPr="006931E8">
        <w:rPr>
          <w:rFonts w:asciiTheme="minorHAnsi" w:hAnsiTheme="minorHAnsi"/>
          <w:sz w:val="24"/>
          <w:szCs w:val="24"/>
        </w:rPr>
        <w:t xml:space="preserve"> the</w:t>
      </w:r>
      <w:r w:rsidR="00EC3F2A" w:rsidRPr="006931E8">
        <w:rPr>
          <w:rFonts w:asciiTheme="minorHAnsi" w:hAnsiTheme="minorHAnsi"/>
          <w:sz w:val="24"/>
          <w:szCs w:val="24"/>
        </w:rPr>
        <w:t xml:space="preserve"> </w:t>
      </w:r>
      <w:proofErr w:type="spellStart"/>
      <w:r w:rsidR="00EC3F2A" w:rsidRPr="006931E8">
        <w:rPr>
          <w:rFonts w:asciiTheme="minorHAnsi" w:hAnsiTheme="minorHAnsi"/>
          <w:sz w:val="24"/>
          <w:szCs w:val="24"/>
        </w:rPr>
        <w:t>Orban</w:t>
      </w:r>
      <w:proofErr w:type="spellEnd"/>
      <w:r w:rsidR="00EC3F2A" w:rsidRPr="006931E8">
        <w:rPr>
          <w:rFonts w:asciiTheme="minorHAnsi" w:hAnsiTheme="minorHAnsi"/>
          <w:sz w:val="24"/>
          <w:szCs w:val="24"/>
        </w:rPr>
        <w:t xml:space="preserve"> government possesses a strong</w:t>
      </w:r>
      <w:r w:rsidR="00D0292F" w:rsidRPr="006931E8">
        <w:rPr>
          <w:rFonts w:asciiTheme="minorHAnsi" w:hAnsiTheme="minorHAnsi"/>
          <w:sz w:val="24"/>
          <w:szCs w:val="24"/>
        </w:rPr>
        <w:t>er grip</w:t>
      </w:r>
      <w:r w:rsidR="000E7D7A" w:rsidRPr="006931E8">
        <w:rPr>
          <w:rFonts w:asciiTheme="minorHAnsi" w:hAnsiTheme="minorHAnsi"/>
          <w:sz w:val="24"/>
          <w:szCs w:val="24"/>
        </w:rPr>
        <w:t xml:space="preserve">, </w:t>
      </w:r>
      <w:r w:rsidR="00EC3F2A" w:rsidRPr="006931E8">
        <w:rPr>
          <w:rFonts w:asciiTheme="minorHAnsi" w:hAnsiTheme="minorHAnsi"/>
          <w:sz w:val="24"/>
          <w:szCs w:val="24"/>
        </w:rPr>
        <w:t xml:space="preserve">enabling a tighter, </w:t>
      </w:r>
      <w:r w:rsidR="00227D65" w:rsidRPr="006931E8">
        <w:rPr>
          <w:rFonts w:asciiTheme="minorHAnsi" w:hAnsiTheme="minorHAnsi"/>
          <w:sz w:val="24"/>
          <w:szCs w:val="24"/>
        </w:rPr>
        <w:t>and more</w:t>
      </w:r>
      <w:r w:rsidR="00EC3F2A" w:rsidRPr="006931E8">
        <w:rPr>
          <w:rFonts w:asciiTheme="minorHAnsi" w:hAnsiTheme="minorHAnsi"/>
          <w:sz w:val="24"/>
          <w:szCs w:val="24"/>
        </w:rPr>
        <w:t xml:space="preserve"> </w:t>
      </w:r>
      <w:r w:rsidR="00F352DF">
        <w:rPr>
          <w:rFonts w:asciiTheme="minorHAnsi" w:hAnsiTheme="minorHAnsi"/>
          <w:sz w:val="24"/>
          <w:szCs w:val="24"/>
        </w:rPr>
        <w:t xml:space="preserve">centralized </w:t>
      </w:r>
      <w:r w:rsidR="00EC3F2A" w:rsidRPr="006931E8">
        <w:rPr>
          <w:rFonts w:asciiTheme="minorHAnsi" w:hAnsiTheme="minorHAnsi"/>
          <w:sz w:val="24"/>
          <w:szCs w:val="24"/>
        </w:rPr>
        <w:t xml:space="preserve">control over </w:t>
      </w:r>
      <w:r w:rsidR="000C39D2" w:rsidRPr="006931E8">
        <w:rPr>
          <w:rFonts w:asciiTheme="minorHAnsi" w:hAnsiTheme="minorHAnsi"/>
          <w:sz w:val="24"/>
          <w:szCs w:val="24"/>
        </w:rPr>
        <w:t xml:space="preserve">monetary </w:t>
      </w:r>
      <w:r w:rsidR="00EC3F2A" w:rsidRPr="006931E8">
        <w:rPr>
          <w:rFonts w:asciiTheme="minorHAnsi" w:hAnsiTheme="minorHAnsi"/>
          <w:sz w:val="24"/>
          <w:szCs w:val="24"/>
        </w:rPr>
        <w:t xml:space="preserve">policy making. </w:t>
      </w:r>
      <w:r w:rsidR="00106474">
        <w:rPr>
          <w:rFonts w:asciiTheme="minorHAnsi" w:hAnsiTheme="minorHAnsi"/>
          <w:sz w:val="24"/>
          <w:szCs w:val="24"/>
        </w:rPr>
        <w:t>Recently</w:t>
      </w:r>
      <w:r w:rsidR="00477E70" w:rsidRPr="006931E8">
        <w:rPr>
          <w:rFonts w:asciiTheme="minorHAnsi" w:hAnsiTheme="minorHAnsi"/>
          <w:sz w:val="24"/>
          <w:szCs w:val="24"/>
        </w:rPr>
        <w:t xml:space="preserve"> more fundamental </w:t>
      </w:r>
      <w:r w:rsidR="00106474">
        <w:rPr>
          <w:rFonts w:asciiTheme="minorHAnsi" w:hAnsiTheme="minorHAnsi"/>
          <w:sz w:val="24"/>
          <w:szCs w:val="24"/>
        </w:rPr>
        <w:t xml:space="preserve">and systematic substantive </w:t>
      </w:r>
      <w:proofErr w:type="spellStart"/>
      <w:r w:rsidR="00106474">
        <w:rPr>
          <w:rFonts w:asciiTheme="minorHAnsi" w:hAnsiTheme="minorHAnsi"/>
          <w:sz w:val="24"/>
          <w:szCs w:val="24"/>
        </w:rPr>
        <w:t>politicisation</w:t>
      </w:r>
      <w:proofErr w:type="spellEnd"/>
      <w:r w:rsidR="00477E70" w:rsidRPr="006931E8">
        <w:rPr>
          <w:rFonts w:asciiTheme="minorHAnsi" w:hAnsiTheme="minorHAnsi"/>
          <w:sz w:val="24"/>
          <w:szCs w:val="24"/>
        </w:rPr>
        <w:t xml:space="preserve"> </w:t>
      </w:r>
      <w:r w:rsidR="00106474">
        <w:rPr>
          <w:rFonts w:asciiTheme="minorHAnsi" w:hAnsiTheme="minorHAnsi"/>
          <w:sz w:val="24"/>
          <w:szCs w:val="24"/>
        </w:rPr>
        <w:t>efforts have become visible in this policy</w:t>
      </w:r>
      <w:r w:rsidR="00F352DF">
        <w:rPr>
          <w:rFonts w:asciiTheme="minorHAnsi" w:hAnsiTheme="minorHAnsi"/>
          <w:sz w:val="24"/>
          <w:szCs w:val="24"/>
        </w:rPr>
        <w:t xml:space="preserve"> field</w:t>
      </w:r>
      <w:r w:rsidR="00674E55">
        <w:rPr>
          <w:rFonts w:asciiTheme="minorHAnsi" w:hAnsiTheme="minorHAnsi"/>
          <w:sz w:val="24"/>
          <w:szCs w:val="24"/>
        </w:rPr>
        <w:t xml:space="preserve"> in Turkey</w:t>
      </w:r>
      <w:r w:rsidR="00106474">
        <w:rPr>
          <w:rFonts w:asciiTheme="minorHAnsi" w:hAnsiTheme="minorHAnsi"/>
          <w:sz w:val="24"/>
          <w:szCs w:val="24"/>
        </w:rPr>
        <w:t xml:space="preserve"> </w:t>
      </w:r>
      <w:r w:rsidR="00477E70" w:rsidRPr="006931E8">
        <w:rPr>
          <w:rFonts w:asciiTheme="minorHAnsi" w:hAnsiTheme="minorHAnsi"/>
          <w:sz w:val="24"/>
          <w:szCs w:val="24"/>
        </w:rPr>
        <w:t xml:space="preserve">along similar lines </w:t>
      </w:r>
      <w:r w:rsidR="007E78F1" w:rsidRPr="006931E8">
        <w:rPr>
          <w:rFonts w:asciiTheme="minorHAnsi" w:hAnsiTheme="minorHAnsi"/>
          <w:sz w:val="24"/>
          <w:szCs w:val="24"/>
        </w:rPr>
        <w:t xml:space="preserve">to </w:t>
      </w:r>
      <w:r w:rsidR="00272CAC" w:rsidRPr="006931E8">
        <w:rPr>
          <w:rFonts w:asciiTheme="minorHAnsi" w:hAnsiTheme="minorHAnsi"/>
          <w:sz w:val="24"/>
          <w:szCs w:val="24"/>
        </w:rPr>
        <w:t>the Hungarian case</w:t>
      </w:r>
      <w:r w:rsidR="00106474">
        <w:rPr>
          <w:rFonts w:asciiTheme="minorHAnsi" w:hAnsiTheme="minorHAnsi"/>
          <w:sz w:val="24"/>
          <w:szCs w:val="24"/>
        </w:rPr>
        <w:t xml:space="preserve"> as highlighted earlier</w:t>
      </w:r>
      <w:r w:rsidR="00015F7C">
        <w:rPr>
          <w:rFonts w:asciiTheme="minorHAnsi" w:hAnsiTheme="minorHAnsi"/>
          <w:sz w:val="24"/>
          <w:szCs w:val="24"/>
        </w:rPr>
        <w:t xml:space="preserve"> (</w:t>
      </w:r>
      <w:proofErr w:type="spellStart"/>
      <w:r w:rsidR="00015F7C">
        <w:rPr>
          <w:rFonts w:asciiTheme="minorHAnsi" w:hAnsiTheme="minorHAnsi"/>
          <w:sz w:val="24"/>
          <w:szCs w:val="24"/>
        </w:rPr>
        <w:t>Birgun</w:t>
      </w:r>
      <w:proofErr w:type="spellEnd"/>
      <w:r w:rsidR="00015F7C">
        <w:rPr>
          <w:rFonts w:asciiTheme="minorHAnsi" w:hAnsiTheme="minorHAnsi"/>
          <w:sz w:val="24"/>
          <w:szCs w:val="24"/>
        </w:rPr>
        <w:t>, 2015; 2015a; 2016; 2016a)</w:t>
      </w:r>
      <w:r w:rsidR="00477E70" w:rsidRPr="006931E8">
        <w:rPr>
          <w:rFonts w:asciiTheme="minorHAnsi" w:hAnsiTheme="minorHAnsi"/>
          <w:sz w:val="24"/>
          <w:szCs w:val="24"/>
        </w:rPr>
        <w:t>.</w:t>
      </w:r>
    </w:p>
    <w:p w:rsidR="00735368" w:rsidRDefault="00735368">
      <w:pPr>
        <w:ind w:left="720" w:right="720"/>
        <w:jc w:val="both"/>
        <w:rPr>
          <w:rFonts w:asciiTheme="minorHAnsi" w:hAnsiTheme="minorHAnsi"/>
          <w:sz w:val="24"/>
          <w:szCs w:val="24"/>
        </w:rPr>
      </w:pPr>
    </w:p>
    <w:p w:rsidR="00735368" w:rsidRDefault="007F66CB">
      <w:pPr>
        <w:ind w:left="720" w:right="720"/>
        <w:jc w:val="both"/>
        <w:rPr>
          <w:rFonts w:asciiTheme="minorHAnsi" w:hAnsiTheme="minorHAnsi"/>
          <w:sz w:val="24"/>
          <w:szCs w:val="24"/>
        </w:rPr>
      </w:pPr>
      <w:r w:rsidRPr="006931E8">
        <w:rPr>
          <w:rFonts w:asciiTheme="minorHAnsi" w:hAnsiTheme="minorHAnsi"/>
          <w:sz w:val="24"/>
          <w:szCs w:val="24"/>
        </w:rPr>
        <w:lastRenderedPageBreak/>
        <w:t xml:space="preserve">These </w:t>
      </w:r>
      <w:r w:rsidR="00674E55">
        <w:rPr>
          <w:rFonts w:asciiTheme="minorHAnsi" w:hAnsiTheme="minorHAnsi"/>
          <w:sz w:val="24"/>
          <w:szCs w:val="24"/>
        </w:rPr>
        <w:t>reflections</w:t>
      </w:r>
      <w:r w:rsidRPr="006931E8">
        <w:rPr>
          <w:rFonts w:asciiTheme="minorHAnsi" w:hAnsiTheme="minorHAnsi"/>
          <w:sz w:val="24"/>
          <w:szCs w:val="24"/>
        </w:rPr>
        <w:t xml:space="preserve"> bode well with an </w:t>
      </w:r>
      <w:r w:rsidR="00B3470D" w:rsidRPr="006931E8">
        <w:rPr>
          <w:rFonts w:asciiTheme="minorHAnsi" w:hAnsiTheme="minorHAnsi"/>
          <w:sz w:val="24"/>
          <w:szCs w:val="24"/>
        </w:rPr>
        <w:t xml:space="preserve">understanding which treats the politicizing and </w:t>
      </w:r>
      <w:proofErr w:type="spellStart"/>
      <w:r w:rsidR="00B3470D" w:rsidRPr="006931E8">
        <w:rPr>
          <w:rFonts w:asciiTheme="minorHAnsi" w:hAnsiTheme="minorHAnsi"/>
          <w:sz w:val="24"/>
          <w:szCs w:val="24"/>
        </w:rPr>
        <w:t>depoliticising</w:t>
      </w:r>
      <w:proofErr w:type="spellEnd"/>
      <w:r w:rsidRPr="006931E8">
        <w:rPr>
          <w:rFonts w:asciiTheme="minorHAnsi" w:hAnsiTheme="minorHAnsi"/>
          <w:sz w:val="24"/>
          <w:szCs w:val="24"/>
        </w:rPr>
        <w:t xml:space="preserve"> processes as part</w:t>
      </w:r>
      <w:r w:rsidR="00F352DF">
        <w:rPr>
          <w:rFonts w:asciiTheme="minorHAnsi" w:hAnsiTheme="minorHAnsi"/>
          <w:sz w:val="24"/>
          <w:szCs w:val="24"/>
        </w:rPr>
        <w:t>s</w:t>
      </w:r>
      <w:r w:rsidRPr="006931E8">
        <w:rPr>
          <w:rFonts w:asciiTheme="minorHAnsi" w:hAnsiTheme="minorHAnsi"/>
          <w:sz w:val="24"/>
          <w:szCs w:val="24"/>
        </w:rPr>
        <w:t xml:space="preserve"> of diver</w:t>
      </w:r>
      <w:r w:rsidR="00814B3E" w:rsidRPr="006931E8">
        <w:rPr>
          <w:rFonts w:asciiTheme="minorHAnsi" w:hAnsiTheme="minorHAnsi"/>
          <w:sz w:val="24"/>
          <w:szCs w:val="24"/>
        </w:rPr>
        <w:t xml:space="preserve">se governing strategies of the </w:t>
      </w:r>
      <w:r w:rsidRPr="006931E8">
        <w:rPr>
          <w:rFonts w:asciiTheme="minorHAnsi" w:hAnsiTheme="minorHAnsi"/>
          <w:sz w:val="24"/>
          <w:szCs w:val="24"/>
        </w:rPr>
        <w:t>state managers</w:t>
      </w:r>
      <w:r w:rsidR="0060096D" w:rsidRPr="006931E8">
        <w:rPr>
          <w:rFonts w:asciiTheme="minorHAnsi" w:hAnsiTheme="minorHAnsi"/>
          <w:sz w:val="24"/>
          <w:szCs w:val="24"/>
        </w:rPr>
        <w:t xml:space="preserve">. We contend that these are </w:t>
      </w:r>
      <w:r w:rsidRPr="006931E8">
        <w:rPr>
          <w:rFonts w:asciiTheme="minorHAnsi" w:hAnsiTheme="minorHAnsi"/>
          <w:sz w:val="24"/>
          <w:szCs w:val="24"/>
        </w:rPr>
        <w:t xml:space="preserve">not necessarily mutually exclusive or separable from each other on the basis of a strict historical </w:t>
      </w:r>
      <w:proofErr w:type="spellStart"/>
      <w:r w:rsidRPr="006931E8">
        <w:rPr>
          <w:rFonts w:asciiTheme="minorHAnsi" w:hAnsiTheme="minorHAnsi"/>
          <w:sz w:val="24"/>
          <w:szCs w:val="24"/>
        </w:rPr>
        <w:t>periodisation</w:t>
      </w:r>
      <w:proofErr w:type="spellEnd"/>
      <w:r w:rsidR="000E7D7A" w:rsidRPr="006931E8">
        <w:rPr>
          <w:rFonts w:asciiTheme="minorHAnsi" w:hAnsiTheme="minorHAnsi"/>
          <w:sz w:val="24"/>
          <w:szCs w:val="24"/>
        </w:rPr>
        <w:t>,</w:t>
      </w:r>
      <w:r w:rsidRPr="006931E8">
        <w:rPr>
          <w:rFonts w:asciiTheme="minorHAnsi" w:hAnsiTheme="minorHAnsi"/>
          <w:sz w:val="24"/>
          <w:szCs w:val="24"/>
        </w:rPr>
        <w:t xml:space="preserve"> but potentially co-existing and overlapping (Burnham, 2014). </w:t>
      </w:r>
      <w:r w:rsidR="001B5812" w:rsidRPr="006931E8">
        <w:rPr>
          <w:rFonts w:asciiTheme="minorHAnsi" w:hAnsiTheme="minorHAnsi"/>
          <w:sz w:val="24"/>
          <w:szCs w:val="24"/>
        </w:rPr>
        <w:t>Our research</w:t>
      </w:r>
      <w:r w:rsidR="001357A4" w:rsidRPr="006931E8">
        <w:rPr>
          <w:rFonts w:asciiTheme="minorHAnsi" w:hAnsiTheme="minorHAnsi"/>
          <w:sz w:val="24"/>
          <w:szCs w:val="24"/>
        </w:rPr>
        <w:t xml:space="preserve"> in the context of these two countr</w:t>
      </w:r>
      <w:r w:rsidR="002F26A9" w:rsidRPr="006931E8">
        <w:rPr>
          <w:rFonts w:asciiTheme="minorHAnsi" w:hAnsiTheme="minorHAnsi"/>
          <w:sz w:val="24"/>
          <w:szCs w:val="24"/>
        </w:rPr>
        <w:t>ies</w:t>
      </w:r>
      <w:r w:rsidR="001357A4" w:rsidRPr="006931E8">
        <w:rPr>
          <w:rFonts w:asciiTheme="minorHAnsi" w:hAnsiTheme="minorHAnsi"/>
          <w:sz w:val="24"/>
          <w:szCs w:val="24"/>
        </w:rPr>
        <w:t xml:space="preserve"> </w:t>
      </w:r>
      <w:r w:rsidR="001B5812" w:rsidRPr="006931E8">
        <w:rPr>
          <w:rFonts w:asciiTheme="minorHAnsi" w:hAnsiTheme="minorHAnsi"/>
          <w:sz w:val="24"/>
          <w:szCs w:val="24"/>
        </w:rPr>
        <w:t xml:space="preserve">also highlights the importance of </w:t>
      </w:r>
      <w:r w:rsidR="001357A4" w:rsidRPr="006931E8">
        <w:rPr>
          <w:rFonts w:asciiTheme="minorHAnsi" w:hAnsiTheme="minorHAnsi"/>
          <w:sz w:val="24"/>
          <w:szCs w:val="24"/>
        </w:rPr>
        <w:t xml:space="preserve">understanding both </w:t>
      </w:r>
      <w:r w:rsidR="001B5812" w:rsidRPr="006931E8">
        <w:rPr>
          <w:rFonts w:asciiTheme="minorHAnsi" w:hAnsiTheme="minorHAnsi"/>
          <w:sz w:val="24"/>
          <w:szCs w:val="24"/>
        </w:rPr>
        <w:t xml:space="preserve">the </w:t>
      </w:r>
      <w:r w:rsidR="00104378" w:rsidRPr="006931E8">
        <w:rPr>
          <w:rFonts w:asciiTheme="minorHAnsi" w:hAnsiTheme="minorHAnsi"/>
          <w:sz w:val="24"/>
          <w:szCs w:val="24"/>
        </w:rPr>
        <w:t>process</w:t>
      </w:r>
      <w:r w:rsidR="00304496" w:rsidRPr="006931E8">
        <w:rPr>
          <w:rFonts w:asciiTheme="minorHAnsi" w:hAnsiTheme="minorHAnsi"/>
          <w:sz w:val="24"/>
          <w:szCs w:val="24"/>
        </w:rPr>
        <w:t xml:space="preserve">, </w:t>
      </w:r>
      <w:r w:rsidR="00104378" w:rsidRPr="006931E8">
        <w:rPr>
          <w:rFonts w:asciiTheme="minorHAnsi" w:hAnsiTheme="minorHAnsi"/>
          <w:sz w:val="24"/>
          <w:szCs w:val="24"/>
        </w:rPr>
        <w:t>the goals and (intended/unintended) consequences o</w:t>
      </w:r>
      <w:r w:rsidR="00106474">
        <w:rPr>
          <w:rFonts w:asciiTheme="minorHAnsi" w:hAnsiTheme="minorHAnsi"/>
          <w:sz w:val="24"/>
          <w:szCs w:val="24"/>
        </w:rPr>
        <w:t>f (de)</w:t>
      </w:r>
      <w:proofErr w:type="spellStart"/>
      <w:r w:rsidR="00F352DF">
        <w:rPr>
          <w:rFonts w:asciiTheme="minorHAnsi" w:hAnsiTheme="minorHAnsi"/>
          <w:sz w:val="24"/>
          <w:szCs w:val="24"/>
        </w:rPr>
        <w:t>politicisations</w:t>
      </w:r>
      <w:proofErr w:type="spellEnd"/>
      <w:r w:rsidR="00106474">
        <w:rPr>
          <w:rFonts w:asciiTheme="minorHAnsi" w:hAnsiTheme="minorHAnsi"/>
          <w:sz w:val="24"/>
          <w:szCs w:val="24"/>
        </w:rPr>
        <w:t>. First</w:t>
      </w:r>
      <w:r w:rsidR="00104378" w:rsidRPr="006931E8">
        <w:rPr>
          <w:rFonts w:asciiTheme="minorHAnsi" w:hAnsiTheme="minorHAnsi"/>
          <w:sz w:val="24"/>
          <w:szCs w:val="24"/>
        </w:rPr>
        <w:t xml:space="preserve">, both country cases demonstrate how uncontested processes of </w:t>
      </w:r>
      <w:proofErr w:type="spellStart"/>
      <w:r w:rsidR="00B873E5" w:rsidRPr="006931E8">
        <w:rPr>
          <w:rFonts w:asciiTheme="minorHAnsi" w:hAnsiTheme="minorHAnsi"/>
          <w:sz w:val="24"/>
          <w:szCs w:val="24"/>
        </w:rPr>
        <w:t>depoliticisation</w:t>
      </w:r>
      <w:proofErr w:type="spellEnd"/>
      <w:r w:rsidR="00104378" w:rsidRPr="006931E8">
        <w:rPr>
          <w:rFonts w:asciiTheme="minorHAnsi" w:hAnsiTheme="minorHAnsi"/>
          <w:sz w:val="24"/>
          <w:szCs w:val="24"/>
        </w:rPr>
        <w:t xml:space="preserve"> stand on weak foundations of legitimacy and their institutions particularly vulnerable du</w:t>
      </w:r>
      <w:r w:rsidR="00106474">
        <w:rPr>
          <w:rFonts w:asciiTheme="minorHAnsi" w:hAnsiTheme="minorHAnsi"/>
          <w:sz w:val="24"/>
          <w:szCs w:val="24"/>
        </w:rPr>
        <w:t>ring major crises</w:t>
      </w:r>
      <w:r w:rsidR="00F352DF">
        <w:rPr>
          <w:rFonts w:asciiTheme="minorHAnsi" w:hAnsiTheme="minorHAnsi"/>
          <w:sz w:val="24"/>
          <w:szCs w:val="24"/>
        </w:rPr>
        <w:t>. Second</w:t>
      </w:r>
      <w:r w:rsidR="00104378" w:rsidRPr="006931E8">
        <w:rPr>
          <w:rFonts w:asciiTheme="minorHAnsi" w:hAnsiTheme="minorHAnsi"/>
          <w:sz w:val="24"/>
          <w:szCs w:val="24"/>
        </w:rPr>
        <w:t xml:space="preserve">, they demonstrate </w:t>
      </w:r>
      <w:r w:rsidR="00104378" w:rsidRPr="006931E8">
        <w:rPr>
          <w:rFonts w:asciiTheme="minorHAnsi" w:hAnsiTheme="minorHAnsi"/>
          <w:i/>
          <w:sz w:val="24"/>
          <w:szCs w:val="24"/>
        </w:rPr>
        <w:t>how</w:t>
      </w:r>
      <w:r w:rsidR="00104378" w:rsidRPr="006931E8">
        <w:rPr>
          <w:rFonts w:asciiTheme="minorHAnsi" w:hAnsiTheme="minorHAnsi"/>
          <w:sz w:val="24"/>
          <w:szCs w:val="24"/>
        </w:rPr>
        <w:t xml:space="preserve"> such crises can trigger various processes of </w:t>
      </w:r>
      <w:proofErr w:type="spellStart"/>
      <w:r w:rsidR="00104378" w:rsidRPr="006931E8">
        <w:rPr>
          <w:rFonts w:asciiTheme="minorHAnsi" w:hAnsiTheme="minorHAnsi"/>
          <w:sz w:val="24"/>
          <w:szCs w:val="24"/>
        </w:rPr>
        <w:t>politicisation</w:t>
      </w:r>
      <w:proofErr w:type="spellEnd"/>
      <w:r w:rsidR="00104378" w:rsidRPr="006931E8">
        <w:rPr>
          <w:rFonts w:asciiTheme="minorHAnsi" w:hAnsiTheme="minorHAnsi"/>
          <w:sz w:val="24"/>
          <w:szCs w:val="24"/>
        </w:rPr>
        <w:t xml:space="preserve">, potentially leading to increasing centralization and repressive governmental control. We argue that </w:t>
      </w:r>
      <w:r w:rsidR="007233B4" w:rsidRPr="006931E8">
        <w:rPr>
          <w:rFonts w:asciiTheme="minorHAnsi" w:hAnsiTheme="minorHAnsi"/>
          <w:sz w:val="24"/>
          <w:szCs w:val="24"/>
        </w:rPr>
        <w:t>it</w:t>
      </w:r>
      <w:r w:rsidR="00104378" w:rsidRPr="006931E8">
        <w:rPr>
          <w:rFonts w:asciiTheme="minorHAnsi" w:hAnsiTheme="minorHAnsi"/>
          <w:sz w:val="24"/>
          <w:szCs w:val="24"/>
        </w:rPr>
        <w:t xml:space="preserve"> is possible to recognize these dynamics</w:t>
      </w:r>
      <w:r w:rsidR="00255187" w:rsidRPr="006931E8">
        <w:rPr>
          <w:rFonts w:asciiTheme="minorHAnsi" w:hAnsiTheme="minorHAnsi"/>
          <w:sz w:val="24"/>
          <w:szCs w:val="24"/>
        </w:rPr>
        <w:t xml:space="preserve"> if </w:t>
      </w:r>
      <w:r w:rsidR="001357A4" w:rsidRPr="006931E8">
        <w:rPr>
          <w:rFonts w:asciiTheme="minorHAnsi" w:hAnsiTheme="minorHAnsi"/>
          <w:sz w:val="24"/>
          <w:szCs w:val="24"/>
        </w:rPr>
        <w:t>we</w:t>
      </w:r>
      <w:r w:rsidR="00477E70" w:rsidRPr="006931E8">
        <w:rPr>
          <w:rFonts w:asciiTheme="minorHAnsi" w:hAnsiTheme="minorHAnsi"/>
          <w:sz w:val="24"/>
          <w:szCs w:val="24"/>
        </w:rPr>
        <w:t xml:space="preserve"> have a contextual understanding of these processes within the historical specificity of the capitalist social relations, state-form and modes of governance</w:t>
      </w:r>
      <w:r w:rsidR="001357A4" w:rsidRPr="006931E8">
        <w:rPr>
          <w:rFonts w:asciiTheme="minorHAnsi" w:hAnsiTheme="minorHAnsi"/>
          <w:sz w:val="24"/>
          <w:szCs w:val="24"/>
        </w:rPr>
        <w:t xml:space="preserve"> </w:t>
      </w:r>
      <w:r w:rsidR="00477E70" w:rsidRPr="006931E8">
        <w:rPr>
          <w:rFonts w:asciiTheme="minorHAnsi" w:hAnsiTheme="minorHAnsi"/>
          <w:sz w:val="24"/>
          <w:szCs w:val="24"/>
        </w:rPr>
        <w:t>in particular contexts.</w:t>
      </w:r>
      <w:r w:rsidR="007233B4" w:rsidRPr="006931E8">
        <w:rPr>
          <w:rFonts w:asciiTheme="minorHAnsi" w:hAnsiTheme="minorHAnsi"/>
          <w:sz w:val="24"/>
          <w:szCs w:val="24"/>
        </w:rPr>
        <w:t xml:space="preserve"> Conceiving </w:t>
      </w:r>
      <w:r w:rsidR="00E714EB" w:rsidRPr="006931E8">
        <w:rPr>
          <w:rFonts w:asciiTheme="minorHAnsi" w:hAnsiTheme="minorHAnsi"/>
          <w:sz w:val="24"/>
          <w:szCs w:val="24"/>
        </w:rPr>
        <w:t xml:space="preserve">discursive </w:t>
      </w:r>
      <w:r w:rsidR="007233B4" w:rsidRPr="006931E8">
        <w:rPr>
          <w:rFonts w:asciiTheme="minorHAnsi" w:hAnsiTheme="minorHAnsi"/>
          <w:sz w:val="24"/>
          <w:szCs w:val="24"/>
        </w:rPr>
        <w:t xml:space="preserve">and governmental </w:t>
      </w:r>
      <w:proofErr w:type="spellStart"/>
      <w:r w:rsidR="00B873E5" w:rsidRPr="006931E8">
        <w:rPr>
          <w:rFonts w:asciiTheme="minorHAnsi" w:hAnsiTheme="minorHAnsi"/>
          <w:sz w:val="24"/>
          <w:szCs w:val="24"/>
        </w:rPr>
        <w:t>politicisation</w:t>
      </w:r>
      <w:proofErr w:type="spellEnd"/>
      <w:r w:rsidR="007233B4" w:rsidRPr="006931E8">
        <w:rPr>
          <w:rFonts w:asciiTheme="minorHAnsi" w:hAnsiTheme="minorHAnsi"/>
          <w:sz w:val="24"/>
          <w:szCs w:val="24"/>
        </w:rPr>
        <w:t xml:space="preserve"> as </w:t>
      </w:r>
      <w:r w:rsidR="00E714EB" w:rsidRPr="006931E8">
        <w:rPr>
          <w:rFonts w:asciiTheme="minorHAnsi" w:hAnsiTheme="minorHAnsi"/>
          <w:sz w:val="24"/>
          <w:szCs w:val="24"/>
        </w:rPr>
        <w:t xml:space="preserve">state strategies in this manner </w:t>
      </w:r>
      <w:r w:rsidR="0060096D" w:rsidRPr="006931E8">
        <w:rPr>
          <w:rFonts w:asciiTheme="minorHAnsi" w:hAnsiTheme="minorHAnsi"/>
          <w:sz w:val="24"/>
          <w:szCs w:val="24"/>
        </w:rPr>
        <w:t xml:space="preserve">allows us to uncover </w:t>
      </w:r>
      <w:r w:rsidR="007233B4" w:rsidRPr="006931E8">
        <w:rPr>
          <w:rFonts w:asciiTheme="minorHAnsi" w:hAnsiTheme="minorHAnsi"/>
          <w:sz w:val="24"/>
          <w:szCs w:val="24"/>
        </w:rPr>
        <w:t xml:space="preserve">that seemingly illiberal, anti-neoliberal discourses and policies </w:t>
      </w:r>
      <w:r w:rsidR="005C1AAD" w:rsidRPr="006931E8">
        <w:rPr>
          <w:rFonts w:asciiTheme="minorHAnsi" w:hAnsiTheme="minorHAnsi"/>
          <w:sz w:val="24"/>
          <w:szCs w:val="24"/>
        </w:rPr>
        <w:t>perpetuate</w:t>
      </w:r>
      <w:r w:rsidR="007233B4" w:rsidRPr="006931E8">
        <w:rPr>
          <w:rFonts w:asciiTheme="minorHAnsi" w:hAnsiTheme="minorHAnsi"/>
          <w:sz w:val="24"/>
          <w:szCs w:val="24"/>
        </w:rPr>
        <w:t xml:space="preserve"> the </w:t>
      </w:r>
      <w:r w:rsidR="00106474">
        <w:rPr>
          <w:rFonts w:asciiTheme="minorHAnsi" w:hAnsiTheme="minorHAnsi"/>
          <w:sz w:val="24"/>
          <w:szCs w:val="24"/>
        </w:rPr>
        <w:t xml:space="preserve">capitalist </w:t>
      </w:r>
      <w:r w:rsidR="007233B4" w:rsidRPr="006931E8">
        <w:rPr>
          <w:rFonts w:asciiTheme="minorHAnsi" w:hAnsiTheme="minorHAnsi"/>
          <w:sz w:val="24"/>
          <w:szCs w:val="24"/>
        </w:rPr>
        <w:t>status quo</w:t>
      </w:r>
      <w:r w:rsidR="00E714EB" w:rsidRPr="006931E8">
        <w:rPr>
          <w:rFonts w:asciiTheme="minorHAnsi" w:hAnsiTheme="minorHAnsi"/>
          <w:sz w:val="24"/>
          <w:szCs w:val="24"/>
        </w:rPr>
        <w:t xml:space="preserve"> </w:t>
      </w:r>
      <w:r w:rsidR="00106474">
        <w:rPr>
          <w:rFonts w:asciiTheme="minorHAnsi" w:hAnsiTheme="minorHAnsi"/>
          <w:sz w:val="24"/>
          <w:szCs w:val="24"/>
        </w:rPr>
        <w:t xml:space="preserve">in repressive form </w:t>
      </w:r>
      <w:r w:rsidR="00E714EB" w:rsidRPr="006931E8">
        <w:rPr>
          <w:rFonts w:asciiTheme="minorHAnsi" w:hAnsiTheme="minorHAnsi"/>
          <w:sz w:val="24"/>
          <w:szCs w:val="24"/>
        </w:rPr>
        <w:t>in the case of both countries</w:t>
      </w:r>
      <w:r w:rsidR="007233B4" w:rsidRPr="006931E8">
        <w:rPr>
          <w:rFonts w:asciiTheme="minorHAnsi" w:hAnsiTheme="minorHAnsi"/>
          <w:sz w:val="24"/>
          <w:szCs w:val="24"/>
        </w:rPr>
        <w:t xml:space="preserve">. </w:t>
      </w:r>
      <w:r w:rsidR="0007619B" w:rsidRPr="006931E8">
        <w:rPr>
          <w:rFonts w:asciiTheme="minorHAnsi" w:hAnsiTheme="minorHAnsi"/>
          <w:sz w:val="24"/>
          <w:szCs w:val="24"/>
        </w:rPr>
        <w:t>Such a stance also allows for the double critique of the so-called “orthodox” and “unorthodox” economic policies without presenting one as an alternative to the other. In this light w</w:t>
      </w:r>
      <w:r w:rsidR="0023371C" w:rsidRPr="006931E8">
        <w:rPr>
          <w:rFonts w:asciiTheme="minorHAnsi" w:hAnsiTheme="minorHAnsi"/>
          <w:sz w:val="24"/>
          <w:szCs w:val="24"/>
        </w:rPr>
        <w:t xml:space="preserve">e would like to further pose the question: </w:t>
      </w:r>
      <w:r w:rsidR="001357A4" w:rsidRPr="006931E8">
        <w:rPr>
          <w:rFonts w:asciiTheme="minorHAnsi" w:hAnsiTheme="minorHAnsi"/>
          <w:color w:val="000000"/>
          <w:sz w:val="24"/>
          <w:szCs w:val="24"/>
        </w:rPr>
        <w:t xml:space="preserve">Does the </w:t>
      </w:r>
      <w:proofErr w:type="spellStart"/>
      <w:r w:rsidR="00B873E5" w:rsidRPr="006931E8">
        <w:rPr>
          <w:rFonts w:asciiTheme="minorHAnsi" w:hAnsiTheme="minorHAnsi"/>
          <w:color w:val="000000"/>
          <w:sz w:val="24"/>
          <w:szCs w:val="24"/>
        </w:rPr>
        <w:t>politicisation</w:t>
      </w:r>
      <w:proofErr w:type="spellEnd"/>
      <w:r w:rsidR="001357A4" w:rsidRPr="006931E8">
        <w:rPr>
          <w:rFonts w:asciiTheme="minorHAnsi" w:hAnsiTheme="minorHAnsi"/>
          <w:color w:val="000000"/>
          <w:sz w:val="24"/>
          <w:szCs w:val="24"/>
        </w:rPr>
        <w:t xml:space="preserve"> process as identified here</w:t>
      </w:r>
      <w:r w:rsidR="00477E70" w:rsidRPr="006931E8">
        <w:rPr>
          <w:rFonts w:asciiTheme="minorHAnsi" w:hAnsiTheme="minorHAnsi"/>
          <w:color w:val="000000"/>
          <w:sz w:val="24"/>
          <w:szCs w:val="24"/>
        </w:rPr>
        <w:t xml:space="preserve"> in the cases of Hungary and Turkey</w:t>
      </w:r>
      <w:r w:rsidR="001357A4" w:rsidRPr="006931E8">
        <w:rPr>
          <w:rFonts w:asciiTheme="minorHAnsi" w:hAnsiTheme="minorHAnsi"/>
          <w:color w:val="000000"/>
          <w:sz w:val="24"/>
          <w:szCs w:val="24"/>
        </w:rPr>
        <w:t xml:space="preserve"> lead to policies that are </w:t>
      </w:r>
      <w:r w:rsidR="00477E70" w:rsidRPr="006931E8">
        <w:rPr>
          <w:rFonts w:asciiTheme="minorHAnsi" w:hAnsiTheme="minorHAnsi"/>
          <w:color w:val="000000"/>
          <w:sz w:val="24"/>
          <w:szCs w:val="24"/>
        </w:rPr>
        <w:t xml:space="preserve">nevertheless </w:t>
      </w:r>
      <w:r w:rsidR="0023371C" w:rsidRPr="006931E8">
        <w:rPr>
          <w:rFonts w:asciiTheme="minorHAnsi" w:hAnsiTheme="minorHAnsi"/>
          <w:color w:val="000000"/>
          <w:sz w:val="24"/>
          <w:szCs w:val="24"/>
        </w:rPr>
        <w:t xml:space="preserve">shielded from </w:t>
      </w:r>
      <w:r w:rsidR="001357A4" w:rsidRPr="006931E8">
        <w:rPr>
          <w:rFonts w:asciiTheme="minorHAnsi" w:hAnsiTheme="minorHAnsi"/>
          <w:color w:val="000000"/>
          <w:sz w:val="24"/>
          <w:szCs w:val="24"/>
        </w:rPr>
        <w:t>contestation</w:t>
      </w:r>
      <w:r w:rsidR="00272CAC" w:rsidRPr="006931E8">
        <w:rPr>
          <w:rFonts w:asciiTheme="minorHAnsi" w:hAnsiTheme="minorHAnsi"/>
          <w:color w:val="000000"/>
          <w:sz w:val="24"/>
          <w:szCs w:val="24"/>
        </w:rPr>
        <w:t xml:space="preserve"> and perpetuate</w:t>
      </w:r>
      <w:r w:rsidR="00F352DF">
        <w:rPr>
          <w:rFonts w:asciiTheme="minorHAnsi" w:hAnsiTheme="minorHAnsi"/>
          <w:color w:val="000000"/>
          <w:sz w:val="24"/>
          <w:szCs w:val="24"/>
        </w:rPr>
        <w:t xml:space="preserve"> existing class and power </w:t>
      </w:r>
      <w:r w:rsidR="0023371C" w:rsidRPr="006931E8">
        <w:rPr>
          <w:rFonts w:asciiTheme="minorHAnsi" w:hAnsiTheme="minorHAnsi"/>
          <w:color w:val="000000"/>
          <w:sz w:val="24"/>
          <w:szCs w:val="24"/>
        </w:rPr>
        <w:t xml:space="preserve">relations </w:t>
      </w:r>
      <w:r w:rsidR="001357A4" w:rsidRPr="006931E8">
        <w:rPr>
          <w:rFonts w:asciiTheme="minorHAnsi" w:hAnsiTheme="minorHAnsi"/>
          <w:color w:val="000000"/>
          <w:sz w:val="24"/>
          <w:szCs w:val="24"/>
        </w:rPr>
        <w:t xml:space="preserve">in a </w:t>
      </w:r>
      <w:r w:rsidR="0023371C" w:rsidRPr="006931E8">
        <w:rPr>
          <w:rFonts w:asciiTheme="minorHAnsi" w:hAnsiTheme="minorHAnsi"/>
          <w:color w:val="000000"/>
          <w:sz w:val="24"/>
          <w:szCs w:val="24"/>
        </w:rPr>
        <w:t>context</w:t>
      </w:r>
      <w:r w:rsidR="001357A4" w:rsidRPr="006931E8">
        <w:rPr>
          <w:rFonts w:asciiTheme="minorHAnsi" w:hAnsiTheme="minorHAnsi"/>
          <w:color w:val="000000"/>
          <w:sz w:val="24"/>
          <w:szCs w:val="24"/>
        </w:rPr>
        <w:t xml:space="preserve"> which is increasingly </w:t>
      </w:r>
      <w:r w:rsidR="0032241F" w:rsidRPr="006931E8">
        <w:rPr>
          <w:rFonts w:asciiTheme="minorHAnsi" w:hAnsiTheme="minorHAnsi"/>
          <w:color w:val="000000"/>
          <w:sz w:val="24"/>
          <w:szCs w:val="24"/>
        </w:rPr>
        <w:t xml:space="preserve">centralized </w:t>
      </w:r>
      <w:r w:rsidR="00272CAC" w:rsidRPr="006931E8">
        <w:rPr>
          <w:rFonts w:asciiTheme="minorHAnsi" w:hAnsiTheme="minorHAnsi"/>
          <w:color w:val="000000"/>
          <w:sz w:val="24"/>
          <w:szCs w:val="24"/>
        </w:rPr>
        <w:t>and ultimately</w:t>
      </w:r>
      <w:r w:rsidR="00477E70" w:rsidRPr="006931E8">
        <w:rPr>
          <w:rFonts w:asciiTheme="minorHAnsi" w:hAnsiTheme="minorHAnsi"/>
          <w:color w:val="000000"/>
          <w:sz w:val="24"/>
          <w:szCs w:val="24"/>
        </w:rPr>
        <w:t xml:space="preserve"> </w:t>
      </w:r>
      <w:proofErr w:type="spellStart"/>
      <w:r w:rsidR="00477E70" w:rsidRPr="006931E8">
        <w:rPr>
          <w:rFonts w:asciiTheme="minorHAnsi" w:hAnsiTheme="minorHAnsi"/>
          <w:color w:val="000000"/>
          <w:sz w:val="24"/>
          <w:szCs w:val="24"/>
        </w:rPr>
        <w:t>depoliticising</w:t>
      </w:r>
      <w:proofErr w:type="spellEnd"/>
      <w:r w:rsidR="001357A4" w:rsidRPr="006931E8">
        <w:rPr>
          <w:rFonts w:asciiTheme="minorHAnsi" w:hAnsiTheme="minorHAnsi"/>
          <w:color w:val="000000"/>
          <w:sz w:val="24"/>
          <w:szCs w:val="24"/>
        </w:rPr>
        <w:t>?</w:t>
      </w:r>
      <w:r w:rsidR="00477E70" w:rsidRPr="006931E8">
        <w:rPr>
          <w:rFonts w:asciiTheme="minorHAnsi" w:hAnsiTheme="minorHAnsi"/>
          <w:sz w:val="24"/>
          <w:szCs w:val="24"/>
        </w:rPr>
        <w:t xml:space="preserve"> </w:t>
      </w:r>
      <w:r w:rsidR="00E714EB" w:rsidRPr="006931E8">
        <w:rPr>
          <w:rFonts w:asciiTheme="minorHAnsi" w:hAnsiTheme="minorHAnsi"/>
          <w:sz w:val="24"/>
          <w:szCs w:val="24"/>
        </w:rPr>
        <w:t xml:space="preserve">If so, what forms of </w:t>
      </w:r>
      <w:proofErr w:type="spellStart"/>
      <w:r w:rsidR="00B873E5" w:rsidRPr="006931E8">
        <w:rPr>
          <w:rFonts w:asciiTheme="minorHAnsi" w:hAnsiTheme="minorHAnsi"/>
          <w:sz w:val="24"/>
          <w:szCs w:val="24"/>
        </w:rPr>
        <w:t>politicisation</w:t>
      </w:r>
      <w:proofErr w:type="spellEnd"/>
      <w:r w:rsidR="00E714EB" w:rsidRPr="006931E8">
        <w:rPr>
          <w:rFonts w:asciiTheme="minorHAnsi" w:hAnsiTheme="minorHAnsi"/>
          <w:sz w:val="24"/>
          <w:szCs w:val="24"/>
        </w:rPr>
        <w:t xml:space="preserve"> can lead to progressive, emancipatory outcomes</w:t>
      </w:r>
      <w:r w:rsidR="00F352DF">
        <w:rPr>
          <w:rFonts w:asciiTheme="minorHAnsi" w:hAnsiTheme="minorHAnsi"/>
          <w:sz w:val="24"/>
          <w:szCs w:val="24"/>
        </w:rPr>
        <w:t xml:space="preserve"> beyond these reactionary state-led variants</w:t>
      </w:r>
      <w:r w:rsidR="00E714EB" w:rsidRPr="006931E8">
        <w:rPr>
          <w:rFonts w:asciiTheme="minorHAnsi" w:hAnsiTheme="minorHAnsi"/>
          <w:sz w:val="24"/>
          <w:szCs w:val="24"/>
        </w:rPr>
        <w:t xml:space="preserve">? </w:t>
      </w:r>
      <w:r w:rsidR="008130AE" w:rsidRPr="006931E8">
        <w:rPr>
          <w:rFonts w:asciiTheme="minorHAnsi" w:hAnsiTheme="minorHAnsi"/>
          <w:sz w:val="24"/>
          <w:szCs w:val="24"/>
        </w:rPr>
        <w:t xml:space="preserve">The critical assessment of the Turkish and Hungarian cases </w:t>
      </w:r>
      <w:r w:rsidR="0060096D" w:rsidRPr="006931E8">
        <w:rPr>
          <w:rFonts w:asciiTheme="minorHAnsi" w:hAnsiTheme="minorHAnsi"/>
          <w:sz w:val="24"/>
          <w:szCs w:val="24"/>
        </w:rPr>
        <w:t xml:space="preserve">herein </w:t>
      </w:r>
      <w:r w:rsidR="008130AE" w:rsidRPr="006931E8">
        <w:rPr>
          <w:rFonts w:asciiTheme="minorHAnsi" w:hAnsiTheme="minorHAnsi"/>
          <w:sz w:val="24"/>
          <w:szCs w:val="24"/>
        </w:rPr>
        <w:t xml:space="preserve">sheds light on </w:t>
      </w:r>
      <w:r w:rsidR="000E71B8" w:rsidRPr="006931E8">
        <w:rPr>
          <w:rFonts w:asciiTheme="minorHAnsi" w:hAnsiTheme="minorHAnsi"/>
          <w:sz w:val="24"/>
          <w:szCs w:val="24"/>
        </w:rPr>
        <w:t>the need to continue further</w:t>
      </w:r>
      <w:r w:rsidR="008130AE" w:rsidRPr="006931E8">
        <w:rPr>
          <w:rFonts w:asciiTheme="minorHAnsi" w:hAnsiTheme="minorHAnsi"/>
          <w:sz w:val="24"/>
          <w:szCs w:val="24"/>
        </w:rPr>
        <w:t xml:space="preserve"> research in this direction </w:t>
      </w:r>
      <w:r w:rsidR="0060096D" w:rsidRPr="006931E8">
        <w:rPr>
          <w:rFonts w:asciiTheme="minorHAnsi" w:hAnsiTheme="minorHAnsi"/>
          <w:sz w:val="24"/>
          <w:szCs w:val="24"/>
        </w:rPr>
        <w:t>with the aim of uncovering</w:t>
      </w:r>
      <w:r w:rsidR="00477E70" w:rsidRPr="006931E8">
        <w:rPr>
          <w:rFonts w:asciiTheme="minorHAnsi" w:hAnsiTheme="minorHAnsi"/>
          <w:sz w:val="24"/>
          <w:szCs w:val="24"/>
        </w:rPr>
        <w:t xml:space="preserve"> these interrelated dynamics </w:t>
      </w:r>
      <w:r w:rsidR="0060096D" w:rsidRPr="006931E8">
        <w:rPr>
          <w:rFonts w:asciiTheme="minorHAnsi" w:hAnsiTheme="minorHAnsi"/>
          <w:sz w:val="24"/>
          <w:szCs w:val="24"/>
        </w:rPr>
        <w:t xml:space="preserve">and </w:t>
      </w:r>
      <w:r w:rsidR="00477E70" w:rsidRPr="006931E8">
        <w:rPr>
          <w:rFonts w:asciiTheme="minorHAnsi" w:hAnsiTheme="minorHAnsi"/>
          <w:sz w:val="24"/>
          <w:szCs w:val="24"/>
        </w:rPr>
        <w:t>demystify</w:t>
      </w:r>
      <w:r w:rsidR="0060096D" w:rsidRPr="006931E8">
        <w:rPr>
          <w:rFonts w:asciiTheme="minorHAnsi" w:hAnsiTheme="minorHAnsi"/>
          <w:sz w:val="24"/>
          <w:szCs w:val="24"/>
        </w:rPr>
        <w:t>ing</w:t>
      </w:r>
      <w:r w:rsidR="00477E70" w:rsidRPr="006931E8">
        <w:rPr>
          <w:rFonts w:asciiTheme="minorHAnsi" w:hAnsiTheme="minorHAnsi"/>
          <w:sz w:val="24"/>
          <w:szCs w:val="24"/>
        </w:rPr>
        <w:t xml:space="preserve"> the conflict-ridden nature of social relations and state </w:t>
      </w:r>
      <w:r w:rsidR="009A26A9" w:rsidRPr="006931E8">
        <w:rPr>
          <w:rFonts w:asciiTheme="minorHAnsi" w:hAnsiTheme="minorHAnsi"/>
          <w:sz w:val="24"/>
          <w:szCs w:val="24"/>
        </w:rPr>
        <w:t>under capitalism.</w:t>
      </w:r>
    </w:p>
    <w:p w:rsidR="00735368" w:rsidRDefault="00735368">
      <w:pPr>
        <w:ind w:left="720" w:right="720"/>
        <w:jc w:val="both"/>
        <w:rPr>
          <w:rFonts w:asciiTheme="minorHAnsi" w:hAnsiTheme="minorHAnsi"/>
          <w:sz w:val="24"/>
          <w:szCs w:val="24"/>
        </w:rPr>
      </w:pPr>
    </w:p>
    <w:p w:rsidR="00735368" w:rsidRDefault="00D03923">
      <w:pPr>
        <w:ind w:left="720" w:right="720"/>
        <w:jc w:val="both"/>
        <w:rPr>
          <w:rFonts w:asciiTheme="minorHAnsi" w:hAnsiTheme="minorHAnsi"/>
          <w:b/>
          <w:sz w:val="24"/>
          <w:szCs w:val="24"/>
        </w:rPr>
      </w:pPr>
      <w:r>
        <w:rPr>
          <w:rFonts w:asciiTheme="minorHAnsi" w:hAnsiTheme="minorHAnsi"/>
          <w:b/>
          <w:sz w:val="24"/>
          <w:szCs w:val="24"/>
        </w:rPr>
        <w:t xml:space="preserve">Acknowledgments: </w:t>
      </w:r>
    </w:p>
    <w:p w:rsidR="00B70571" w:rsidRDefault="00D03923" w:rsidP="00B70571">
      <w:pPr>
        <w:ind w:left="720" w:right="720"/>
        <w:jc w:val="both"/>
        <w:rPr>
          <w:rFonts w:asciiTheme="minorHAnsi" w:hAnsiTheme="minorHAnsi"/>
          <w:sz w:val="24"/>
          <w:szCs w:val="24"/>
        </w:rPr>
      </w:pPr>
      <w:r w:rsidRPr="00F17D47">
        <w:rPr>
          <w:rFonts w:asciiTheme="minorHAnsi" w:hAnsiTheme="minorHAnsi"/>
          <w:sz w:val="24"/>
          <w:szCs w:val="24"/>
        </w:rPr>
        <w:t>Earlier versions of this article have been presented at the 2015 ECPR Joint Sessions</w:t>
      </w:r>
      <w:r w:rsidR="00F352DF">
        <w:rPr>
          <w:rFonts w:asciiTheme="minorHAnsi" w:hAnsiTheme="minorHAnsi"/>
          <w:sz w:val="24"/>
          <w:szCs w:val="24"/>
        </w:rPr>
        <w:t>, the</w:t>
      </w:r>
      <w:r w:rsidR="00B70571">
        <w:rPr>
          <w:rFonts w:asciiTheme="minorHAnsi" w:hAnsiTheme="minorHAnsi"/>
          <w:sz w:val="24"/>
          <w:szCs w:val="24"/>
        </w:rPr>
        <w:t xml:space="preserve"> </w:t>
      </w:r>
      <w:r w:rsidRPr="00674D0D">
        <w:rPr>
          <w:rFonts w:asciiTheme="minorHAnsi" w:hAnsiTheme="minorHAnsi"/>
          <w:sz w:val="24"/>
          <w:szCs w:val="24"/>
        </w:rPr>
        <w:t xml:space="preserve">Conference on </w:t>
      </w:r>
      <w:r w:rsidR="0016175C" w:rsidRPr="0016175C">
        <w:rPr>
          <w:rFonts w:eastAsia="Times New Roman"/>
          <w:sz w:val="24"/>
          <w:szCs w:val="24"/>
        </w:rPr>
        <w:t>Hungarian Particularism in the European Union: Politico-Legal Perspectives</w:t>
      </w:r>
      <w:r w:rsidR="00F17D47">
        <w:rPr>
          <w:rFonts w:eastAsia="Times New Roman"/>
          <w:sz w:val="24"/>
          <w:szCs w:val="24"/>
        </w:rPr>
        <w:t xml:space="preserve"> </w:t>
      </w:r>
      <w:r w:rsidR="0016175C" w:rsidRPr="0016175C">
        <w:rPr>
          <w:rFonts w:eastAsia="Times New Roman"/>
          <w:sz w:val="24"/>
          <w:szCs w:val="24"/>
        </w:rPr>
        <w:t xml:space="preserve">and </w:t>
      </w:r>
      <w:r w:rsidR="0016175C" w:rsidRPr="0016175C">
        <w:rPr>
          <w:sz w:val="24"/>
          <w:szCs w:val="24"/>
        </w:rPr>
        <w:t>the Conference on The Role of State in Varieties of</w:t>
      </w:r>
      <w:r w:rsidR="00F352DF">
        <w:rPr>
          <w:sz w:val="24"/>
          <w:szCs w:val="24"/>
        </w:rPr>
        <w:t xml:space="preserve"> Capitalism in 2016</w:t>
      </w:r>
      <w:r w:rsidR="0016175C" w:rsidRPr="0016175C">
        <w:rPr>
          <w:sz w:val="24"/>
          <w:szCs w:val="24"/>
        </w:rPr>
        <w:t>.</w:t>
      </w:r>
      <w:r w:rsidR="0016175C" w:rsidRPr="0016175C">
        <w:rPr>
          <w:rFonts w:eastAsia="Times New Roman"/>
          <w:sz w:val="24"/>
          <w:szCs w:val="24"/>
        </w:rPr>
        <w:t xml:space="preserve">  </w:t>
      </w:r>
      <w:r w:rsidR="001E7662" w:rsidRPr="00F17D47">
        <w:rPr>
          <w:rFonts w:asciiTheme="minorHAnsi" w:hAnsiTheme="minorHAnsi"/>
          <w:sz w:val="24"/>
          <w:szCs w:val="24"/>
        </w:rPr>
        <w:t>We</w:t>
      </w:r>
      <w:r w:rsidRPr="00F17D47">
        <w:rPr>
          <w:rFonts w:asciiTheme="minorHAnsi" w:hAnsiTheme="minorHAnsi"/>
          <w:sz w:val="24"/>
          <w:szCs w:val="24"/>
        </w:rPr>
        <w:t xml:space="preserve"> would like to thank all panel participants for their valuable comments and particularly </w:t>
      </w:r>
      <w:r w:rsidR="001E7662" w:rsidRPr="00674D0D">
        <w:rPr>
          <w:rFonts w:asciiTheme="minorHAnsi" w:hAnsiTheme="minorHAnsi"/>
          <w:sz w:val="24"/>
          <w:szCs w:val="24"/>
        </w:rPr>
        <w:t xml:space="preserve">Alex Sutton, Tamas </w:t>
      </w:r>
      <w:proofErr w:type="spellStart"/>
      <w:r w:rsidR="001E7662" w:rsidRPr="00674D0D">
        <w:rPr>
          <w:rFonts w:asciiTheme="minorHAnsi" w:hAnsiTheme="minorHAnsi"/>
          <w:sz w:val="24"/>
          <w:szCs w:val="24"/>
        </w:rPr>
        <w:t>Gerocs</w:t>
      </w:r>
      <w:proofErr w:type="spellEnd"/>
      <w:r w:rsidR="001E7662" w:rsidRPr="00674D0D">
        <w:rPr>
          <w:rFonts w:asciiTheme="minorHAnsi" w:hAnsiTheme="minorHAnsi"/>
          <w:sz w:val="24"/>
          <w:szCs w:val="24"/>
        </w:rPr>
        <w:t xml:space="preserve">, </w:t>
      </w:r>
      <w:r w:rsidR="00F352DF">
        <w:rPr>
          <w:rFonts w:asciiTheme="minorHAnsi" w:hAnsiTheme="minorHAnsi"/>
          <w:sz w:val="24"/>
          <w:szCs w:val="24"/>
        </w:rPr>
        <w:t xml:space="preserve">and </w:t>
      </w:r>
      <w:r w:rsidR="001E7662" w:rsidRPr="00674D0D">
        <w:rPr>
          <w:rFonts w:asciiTheme="minorHAnsi" w:hAnsiTheme="minorHAnsi"/>
          <w:sz w:val="24"/>
          <w:szCs w:val="24"/>
        </w:rPr>
        <w:t xml:space="preserve">Dora </w:t>
      </w:r>
      <w:proofErr w:type="spellStart"/>
      <w:r w:rsidR="001E7662" w:rsidRPr="00674D0D">
        <w:rPr>
          <w:rFonts w:asciiTheme="minorHAnsi" w:hAnsiTheme="minorHAnsi"/>
          <w:sz w:val="24"/>
          <w:szCs w:val="24"/>
        </w:rPr>
        <w:t>Piroska</w:t>
      </w:r>
      <w:proofErr w:type="spellEnd"/>
      <w:r w:rsidR="001E7662" w:rsidRPr="00674D0D">
        <w:rPr>
          <w:rFonts w:asciiTheme="minorHAnsi" w:hAnsiTheme="minorHAnsi"/>
          <w:sz w:val="24"/>
          <w:szCs w:val="24"/>
        </w:rPr>
        <w:t xml:space="preserve"> for their meticulous reading and critical constructive feedback on the earlier drafts of the article.</w:t>
      </w:r>
      <w:r w:rsidR="00A46DD7" w:rsidRPr="0079076D">
        <w:rPr>
          <w:rFonts w:asciiTheme="minorHAnsi" w:hAnsiTheme="minorHAnsi"/>
          <w:sz w:val="24"/>
          <w:szCs w:val="24"/>
        </w:rPr>
        <w:t xml:space="preserve"> We also wish to tha</w:t>
      </w:r>
      <w:r w:rsidR="00A46DD7" w:rsidRPr="000F4BEA">
        <w:rPr>
          <w:rFonts w:asciiTheme="minorHAnsi" w:hAnsiTheme="minorHAnsi"/>
          <w:sz w:val="24"/>
          <w:szCs w:val="24"/>
        </w:rPr>
        <w:t xml:space="preserve">nk Andrea </w:t>
      </w:r>
      <w:proofErr w:type="spellStart"/>
      <w:r w:rsidR="00A46DD7" w:rsidRPr="000F4BEA">
        <w:rPr>
          <w:rFonts w:asciiTheme="minorHAnsi" w:hAnsiTheme="minorHAnsi"/>
          <w:sz w:val="24"/>
          <w:szCs w:val="24"/>
        </w:rPr>
        <w:t>Krizsan</w:t>
      </w:r>
      <w:proofErr w:type="spellEnd"/>
      <w:r w:rsidR="00A46DD7" w:rsidRPr="000F4BEA">
        <w:rPr>
          <w:rFonts w:asciiTheme="minorHAnsi" w:hAnsiTheme="minorHAnsi"/>
          <w:sz w:val="24"/>
          <w:szCs w:val="24"/>
        </w:rPr>
        <w:t xml:space="preserve"> at the CEU Center for Policy Studies for inspiring us to pursue this collaborative </w:t>
      </w:r>
      <w:r w:rsidR="00B70571">
        <w:rPr>
          <w:rFonts w:asciiTheme="minorHAnsi" w:hAnsiTheme="minorHAnsi"/>
          <w:sz w:val="24"/>
          <w:szCs w:val="24"/>
        </w:rPr>
        <w:t>study</w:t>
      </w:r>
      <w:r w:rsidR="00A46DD7" w:rsidRPr="000F4BEA">
        <w:rPr>
          <w:rFonts w:asciiTheme="minorHAnsi" w:hAnsiTheme="minorHAnsi"/>
          <w:sz w:val="24"/>
          <w:szCs w:val="24"/>
        </w:rPr>
        <w:t>.</w:t>
      </w:r>
      <w:r w:rsidR="001E7662" w:rsidRPr="000F4BEA">
        <w:rPr>
          <w:rFonts w:asciiTheme="minorHAnsi" w:hAnsiTheme="minorHAnsi"/>
          <w:sz w:val="24"/>
          <w:szCs w:val="24"/>
        </w:rPr>
        <w:t xml:space="preserve"> </w:t>
      </w:r>
      <w:proofErr w:type="gramStart"/>
      <w:r w:rsidR="001E7662" w:rsidRPr="000F4BEA">
        <w:rPr>
          <w:rFonts w:asciiTheme="minorHAnsi" w:hAnsiTheme="minorHAnsi"/>
          <w:sz w:val="24"/>
          <w:szCs w:val="24"/>
        </w:rPr>
        <w:t>Finally</w:t>
      </w:r>
      <w:proofErr w:type="gramEnd"/>
      <w:r w:rsidR="001E7662" w:rsidRPr="000F4BEA">
        <w:rPr>
          <w:rFonts w:asciiTheme="minorHAnsi" w:hAnsiTheme="minorHAnsi"/>
          <w:sz w:val="24"/>
          <w:szCs w:val="24"/>
        </w:rPr>
        <w:t xml:space="preserve"> we thank our two anonymous referees for their critical engagement and suggestions on the ideas presented in this article.</w:t>
      </w:r>
      <w:r w:rsidR="00B70571">
        <w:rPr>
          <w:rFonts w:asciiTheme="minorHAnsi" w:hAnsiTheme="minorHAnsi"/>
          <w:sz w:val="24"/>
          <w:szCs w:val="24"/>
        </w:rPr>
        <w:t xml:space="preserve"> Remaining mistakes belong to us. </w:t>
      </w:r>
    </w:p>
    <w:p w:rsidR="00415D9B" w:rsidRDefault="00415D9B" w:rsidP="00B70571">
      <w:pPr>
        <w:ind w:left="720" w:right="720"/>
        <w:jc w:val="both"/>
        <w:rPr>
          <w:rFonts w:asciiTheme="minorHAnsi" w:hAnsiTheme="minorHAnsi"/>
          <w:sz w:val="24"/>
          <w:szCs w:val="24"/>
        </w:rPr>
      </w:pPr>
    </w:p>
    <w:p w:rsidR="00A201F1" w:rsidRDefault="00B70571" w:rsidP="00B70571">
      <w:pPr>
        <w:ind w:left="720" w:right="720"/>
        <w:jc w:val="both"/>
        <w:rPr>
          <w:rFonts w:asciiTheme="minorHAnsi" w:hAnsiTheme="minorHAnsi"/>
          <w:sz w:val="24"/>
          <w:szCs w:val="24"/>
        </w:rPr>
      </w:pPr>
      <w:r w:rsidRPr="00415D9B">
        <w:rPr>
          <w:rFonts w:asciiTheme="minorHAnsi" w:hAnsiTheme="minorHAnsi"/>
          <w:b/>
          <w:sz w:val="24"/>
          <w:szCs w:val="24"/>
        </w:rPr>
        <w:lastRenderedPageBreak/>
        <w:t>Funding:</w:t>
      </w:r>
      <w:r>
        <w:rPr>
          <w:rFonts w:asciiTheme="minorHAnsi" w:hAnsiTheme="minorHAnsi"/>
          <w:sz w:val="24"/>
          <w:szCs w:val="24"/>
        </w:rPr>
        <w:t xml:space="preserve"> </w:t>
      </w:r>
      <w:r w:rsidR="00A201F1">
        <w:rPr>
          <w:rFonts w:asciiTheme="minorHAnsi" w:hAnsiTheme="minorHAnsi"/>
          <w:sz w:val="24"/>
          <w:szCs w:val="24"/>
        </w:rPr>
        <w:t xml:space="preserve">The </w:t>
      </w:r>
      <w:r>
        <w:rPr>
          <w:rFonts w:asciiTheme="minorHAnsi" w:hAnsiTheme="minorHAnsi"/>
          <w:sz w:val="24"/>
          <w:szCs w:val="24"/>
        </w:rPr>
        <w:t xml:space="preserve">authors </w:t>
      </w:r>
      <w:r w:rsidR="007410A6">
        <w:rPr>
          <w:rFonts w:asciiTheme="minorHAnsi" w:hAnsiTheme="minorHAnsi"/>
          <w:sz w:val="24"/>
          <w:szCs w:val="24"/>
        </w:rPr>
        <w:t xml:space="preserve">acknowledge the support </w:t>
      </w:r>
      <w:r>
        <w:rPr>
          <w:rFonts w:asciiTheme="minorHAnsi" w:hAnsiTheme="minorHAnsi"/>
          <w:sz w:val="24"/>
          <w:szCs w:val="24"/>
        </w:rPr>
        <w:t>of</w:t>
      </w:r>
      <w:r w:rsidR="007410A6">
        <w:rPr>
          <w:rFonts w:asciiTheme="minorHAnsi" w:hAnsiTheme="minorHAnsi"/>
          <w:sz w:val="24"/>
          <w:szCs w:val="24"/>
        </w:rPr>
        <w:t xml:space="preserve"> the University of Warwick, </w:t>
      </w:r>
      <w:r w:rsidR="00A201F1">
        <w:rPr>
          <w:rFonts w:asciiTheme="minorHAnsi" w:hAnsiTheme="minorHAnsi"/>
          <w:sz w:val="24"/>
          <w:szCs w:val="24"/>
        </w:rPr>
        <w:t>Central European University</w:t>
      </w:r>
      <w:r w:rsidR="007410A6">
        <w:rPr>
          <w:rFonts w:asciiTheme="minorHAnsi" w:hAnsiTheme="minorHAnsi"/>
          <w:sz w:val="24"/>
          <w:szCs w:val="24"/>
        </w:rPr>
        <w:t xml:space="preserve"> and Tempus Public Foundation during the research and writing up phases of this article</w:t>
      </w:r>
      <w:r w:rsidR="00A201F1">
        <w:rPr>
          <w:rFonts w:asciiTheme="minorHAnsi" w:hAnsiTheme="minorHAnsi"/>
          <w:sz w:val="24"/>
          <w:szCs w:val="24"/>
        </w:rPr>
        <w:t>.</w:t>
      </w:r>
      <w:r>
        <w:rPr>
          <w:rFonts w:asciiTheme="minorHAnsi" w:hAnsiTheme="minorHAnsi"/>
          <w:sz w:val="24"/>
          <w:szCs w:val="24"/>
        </w:rPr>
        <w:t xml:space="preserve"> </w:t>
      </w:r>
    </w:p>
    <w:p w:rsidR="00415D9B" w:rsidRPr="00A201F1" w:rsidRDefault="00415D9B" w:rsidP="00B70571">
      <w:pPr>
        <w:ind w:left="720" w:right="720"/>
        <w:jc w:val="both"/>
        <w:rPr>
          <w:rFonts w:asciiTheme="minorHAnsi" w:hAnsiTheme="minorHAnsi"/>
          <w:sz w:val="24"/>
          <w:szCs w:val="24"/>
        </w:rPr>
      </w:pPr>
    </w:p>
    <w:p w:rsidR="00EF3A12" w:rsidRPr="006931E8" w:rsidRDefault="00EF3A12" w:rsidP="00B70571">
      <w:pPr>
        <w:ind w:left="720" w:right="720"/>
        <w:jc w:val="both"/>
        <w:rPr>
          <w:rFonts w:asciiTheme="minorHAnsi" w:hAnsiTheme="minorHAnsi"/>
          <w:b/>
          <w:sz w:val="24"/>
          <w:szCs w:val="24"/>
        </w:rPr>
      </w:pPr>
      <w:r w:rsidRPr="006931E8">
        <w:rPr>
          <w:rFonts w:asciiTheme="minorHAnsi" w:hAnsiTheme="minorHAnsi"/>
          <w:b/>
          <w:sz w:val="24"/>
          <w:szCs w:val="24"/>
        </w:rPr>
        <w:t>References</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Akcay</w:t>
      </w:r>
      <w:proofErr w:type="spellEnd"/>
      <w:r w:rsidRPr="006931E8">
        <w:rPr>
          <w:rFonts w:asciiTheme="minorHAnsi" w:hAnsiTheme="minorHAnsi"/>
          <w:sz w:val="24"/>
          <w:szCs w:val="24"/>
        </w:rPr>
        <w:t xml:space="preserve"> U., (2009) Para, Banka, </w:t>
      </w:r>
      <w:proofErr w:type="spellStart"/>
      <w:r w:rsidRPr="006931E8">
        <w:rPr>
          <w:rFonts w:asciiTheme="minorHAnsi" w:hAnsiTheme="minorHAnsi"/>
          <w:sz w:val="24"/>
          <w:szCs w:val="24"/>
        </w:rPr>
        <w:t>Devlet</w:t>
      </w:r>
      <w:proofErr w:type="spellEnd"/>
      <w:r w:rsidRPr="006931E8">
        <w:rPr>
          <w:rFonts w:asciiTheme="minorHAnsi" w:hAnsiTheme="minorHAnsi"/>
          <w:sz w:val="24"/>
          <w:szCs w:val="24"/>
        </w:rPr>
        <w:t xml:space="preserve">: Merkez </w:t>
      </w:r>
      <w:proofErr w:type="spellStart"/>
      <w:r w:rsidRPr="006931E8">
        <w:rPr>
          <w:rFonts w:asciiTheme="minorHAnsi" w:hAnsiTheme="minorHAnsi"/>
          <w:sz w:val="24"/>
          <w:szCs w:val="24"/>
        </w:rPr>
        <w:t>Bankası</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Bağım</w:t>
      </w:r>
      <w:r w:rsidR="00C32491" w:rsidRPr="006931E8">
        <w:rPr>
          <w:rFonts w:asciiTheme="minorHAnsi" w:hAnsiTheme="minorHAnsi"/>
          <w:sz w:val="24"/>
          <w:szCs w:val="24"/>
        </w:rPr>
        <w:t>sızlaşmasının</w:t>
      </w:r>
      <w:proofErr w:type="spellEnd"/>
      <w:r w:rsidR="00C32491" w:rsidRPr="006931E8">
        <w:rPr>
          <w:rFonts w:asciiTheme="minorHAnsi" w:hAnsiTheme="minorHAnsi"/>
          <w:sz w:val="24"/>
          <w:szCs w:val="24"/>
        </w:rPr>
        <w:t xml:space="preserve"> </w:t>
      </w:r>
      <w:proofErr w:type="spellStart"/>
      <w:r w:rsidR="00C32491" w:rsidRPr="006931E8">
        <w:rPr>
          <w:rFonts w:asciiTheme="minorHAnsi" w:hAnsiTheme="minorHAnsi"/>
          <w:sz w:val="24"/>
          <w:szCs w:val="24"/>
        </w:rPr>
        <w:t>Ekonomi</w:t>
      </w:r>
      <w:proofErr w:type="spellEnd"/>
      <w:r w:rsidR="00C32491" w:rsidRPr="006931E8">
        <w:rPr>
          <w:rFonts w:asciiTheme="minorHAnsi" w:hAnsiTheme="minorHAnsi"/>
          <w:sz w:val="24"/>
          <w:szCs w:val="24"/>
        </w:rPr>
        <w:t xml:space="preserve"> </w:t>
      </w:r>
      <w:proofErr w:type="spellStart"/>
      <w:r w:rsidR="00C32491" w:rsidRPr="006931E8">
        <w:rPr>
          <w:rFonts w:asciiTheme="minorHAnsi" w:hAnsiTheme="minorHAnsi"/>
          <w:sz w:val="24"/>
          <w:szCs w:val="24"/>
        </w:rPr>
        <w:t>Politiği</w:t>
      </w:r>
      <w:proofErr w:type="spellEnd"/>
      <w:r w:rsidR="00444FE6" w:rsidRPr="006931E8">
        <w:rPr>
          <w:rFonts w:asciiTheme="minorHAnsi" w:hAnsiTheme="minorHAnsi"/>
          <w:sz w:val="24"/>
          <w:szCs w:val="24"/>
        </w:rPr>
        <w:t xml:space="preserve"> [Money, Bank, State: Political Economy of Central Bank Independence]</w:t>
      </w:r>
      <w:r w:rsidR="00C32491" w:rsidRPr="006931E8">
        <w:rPr>
          <w:rFonts w:asciiTheme="minorHAnsi" w:hAnsiTheme="minorHAnsi"/>
          <w:sz w:val="24"/>
          <w:szCs w:val="24"/>
        </w:rPr>
        <w:t xml:space="preserve">, </w:t>
      </w:r>
      <w:r w:rsidRPr="006931E8">
        <w:rPr>
          <w:rFonts w:asciiTheme="minorHAnsi" w:hAnsiTheme="minorHAnsi"/>
          <w:sz w:val="24"/>
          <w:szCs w:val="24"/>
        </w:rPr>
        <w:t xml:space="preserve">Istanbul: </w:t>
      </w:r>
      <w:proofErr w:type="spellStart"/>
      <w:r w:rsidRPr="006931E8">
        <w:rPr>
          <w:rFonts w:asciiTheme="minorHAnsi" w:hAnsiTheme="minorHAnsi"/>
          <w:sz w:val="24"/>
          <w:szCs w:val="24"/>
        </w:rPr>
        <w:t>Sosyal</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Arastırmalar</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Vakfı</w:t>
      </w:r>
      <w:proofErr w:type="spellEnd"/>
      <w:r w:rsidRPr="006931E8">
        <w:rPr>
          <w:rFonts w:asciiTheme="minorHAnsi" w:hAnsiTheme="minorHAnsi"/>
          <w:sz w:val="24"/>
          <w:szCs w:val="24"/>
        </w:rPr>
        <w:t>.</w:t>
      </w:r>
    </w:p>
    <w:p w:rsidR="00735368" w:rsidRDefault="007F2CC4">
      <w:pPr>
        <w:ind w:left="720" w:right="720"/>
        <w:jc w:val="both"/>
        <w:rPr>
          <w:rFonts w:asciiTheme="minorHAnsi" w:hAnsiTheme="minorHAnsi"/>
          <w:sz w:val="24"/>
          <w:szCs w:val="24"/>
        </w:rPr>
      </w:pPr>
      <w:proofErr w:type="spellStart"/>
      <w:r>
        <w:rPr>
          <w:rFonts w:asciiTheme="minorHAnsi" w:hAnsiTheme="minorHAnsi"/>
          <w:sz w:val="24"/>
          <w:szCs w:val="24"/>
        </w:rPr>
        <w:t>Akcay</w:t>
      </w:r>
      <w:proofErr w:type="spellEnd"/>
      <w:r>
        <w:rPr>
          <w:rFonts w:asciiTheme="minorHAnsi" w:hAnsiTheme="minorHAnsi"/>
          <w:sz w:val="24"/>
          <w:szCs w:val="24"/>
        </w:rPr>
        <w:t xml:space="preserve"> U. </w:t>
      </w:r>
      <w:r w:rsidRPr="006931E8">
        <w:rPr>
          <w:rFonts w:asciiTheme="minorHAnsi" w:hAnsiTheme="minorHAnsi"/>
          <w:sz w:val="24"/>
          <w:szCs w:val="24"/>
        </w:rPr>
        <w:t>(2014) “Exchange or interest rate? Waiting fo</w:t>
      </w:r>
      <w:r>
        <w:rPr>
          <w:rFonts w:asciiTheme="minorHAnsi" w:hAnsiTheme="minorHAnsi"/>
          <w:sz w:val="24"/>
          <w:szCs w:val="24"/>
        </w:rPr>
        <w:t xml:space="preserve">r the approaching crisis”, </w:t>
      </w:r>
      <w:proofErr w:type="spellStart"/>
      <w:r>
        <w:rPr>
          <w:rFonts w:asciiTheme="minorHAnsi" w:hAnsiTheme="minorHAnsi"/>
          <w:sz w:val="24"/>
          <w:szCs w:val="24"/>
        </w:rPr>
        <w:t>Baslangic</w:t>
      </w:r>
      <w:proofErr w:type="spellEnd"/>
      <w:r>
        <w:rPr>
          <w:rFonts w:asciiTheme="minorHAnsi" w:hAnsiTheme="minorHAnsi"/>
          <w:sz w:val="24"/>
          <w:szCs w:val="24"/>
        </w:rPr>
        <w:t xml:space="preserve"> </w:t>
      </w:r>
      <w:proofErr w:type="spellStart"/>
      <w:r>
        <w:rPr>
          <w:rFonts w:asciiTheme="minorHAnsi" w:hAnsiTheme="minorHAnsi"/>
          <w:sz w:val="24"/>
          <w:szCs w:val="24"/>
        </w:rPr>
        <w:t>Dergi</w:t>
      </w:r>
      <w:proofErr w:type="spellEnd"/>
      <w:r w:rsidRPr="006931E8">
        <w:rPr>
          <w:rFonts w:asciiTheme="minorHAnsi" w:hAnsiTheme="minorHAnsi"/>
          <w:sz w:val="24"/>
          <w:szCs w:val="24"/>
        </w:rPr>
        <w:t xml:space="preserve">, (translated from Turkish by the authors) </w:t>
      </w:r>
      <w:hyperlink r:id="rId9" w:history="1">
        <w:r w:rsidRPr="00637062">
          <w:rPr>
            <w:rStyle w:val="Hyperlink"/>
            <w:rFonts w:asciiTheme="minorHAnsi" w:hAnsiTheme="minorHAnsi"/>
            <w:sz w:val="24"/>
            <w:szCs w:val="24"/>
          </w:rPr>
          <w:t>http://baslangicdergi.org/kur-mu-faiz-mi-yaklasan-krizi-beklerken-umit-akcay/</w:t>
        </w:r>
      </w:hyperlink>
      <w:r>
        <w:rPr>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Akyuz</w:t>
      </w:r>
      <w:proofErr w:type="spellEnd"/>
      <w:r w:rsidRPr="006931E8">
        <w:rPr>
          <w:rFonts w:asciiTheme="minorHAnsi" w:hAnsiTheme="minorHAnsi"/>
          <w:sz w:val="24"/>
          <w:szCs w:val="24"/>
        </w:rPr>
        <w:t xml:space="preserve"> Y. </w:t>
      </w:r>
      <w:proofErr w:type="spellStart"/>
      <w:r w:rsidRPr="006931E8">
        <w:rPr>
          <w:rFonts w:asciiTheme="minorHAnsi" w:hAnsiTheme="minorHAnsi"/>
          <w:sz w:val="24"/>
          <w:szCs w:val="24"/>
        </w:rPr>
        <w:t>Boratav</w:t>
      </w:r>
      <w:proofErr w:type="spellEnd"/>
      <w:r w:rsidRPr="006931E8">
        <w:rPr>
          <w:rFonts w:asciiTheme="minorHAnsi" w:hAnsiTheme="minorHAnsi"/>
          <w:sz w:val="24"/>
          <w:szCs w:val="24"/>
        </w:rPr>
        <w:t xml:space="preserve"> K., (2003) “The Making of the Turkish Finan</w:t>
      </w:r>
      <w:r w:rsidR="00C32491" w:rsidRPr="006931E8">
        <w:rPr>
          <w:rFonts w:asciiTheme="minorHAnsi" w:hAnsiTheme="minorHAnsi"/>
          <w:sz w:val="24"/>
          <w:szCs w:val="24"/>
        </w:rPr>
        <w:t xml:space="preserve">cial </w:t>
      </w:r>
      <w:proofErr w:type="spellStart"/>
      <w:r w:rsidR="00C32491" w:rsidRPr="006931E8">
        <w:rPr>
          <w:rFonts w:asciiTheme="minorHAnsi" w:hAnsiTheme="minorHAnsi"/>
          <w:sz w:val="24"/>
          <w:szCs w:val="24"/>
        </w:rPr>
        <w:t>Crisis</w:t>
      </w:r>
      <w:proofErr w:type="gramStart"/>
      <w:r w:rsidR="00C32491" w:rsidRPr="006931E8">
        <w:rPr>
          <w:rFonts w:asciiTheme="minorHAnsi" w:hAnsiTheme="minorHAnsi"/>
          <w:sz w:val="24"/>
          <w:szCs w:val="24"/>
        </w:rPr>
        <w:t>”,World</w:t>
      </w:r>
      <w:proofErr w:type="spellEnd"/>
      <w:proofErr w:type="gramEnd"/>
      <w:r w:rsidR="00C32491" w:rsidRPr="006931E8">
        <w:rPr>
          <w:rFonts w:asciiTheme="minorHAnsi" w:hAnsiTheme="minorHAnsi"/>
          <w:sz w:val="24"/>
          <w:szCs w:val="24"/>
        </w:rPr>
        <w:t xml:space="preserve"> Development, Vol. 31, No. 9, pp. 1549–1566.</w:t>
      </w:r>
    </w:p>
    <w:p w:rsidR="00735368" w:rsidRDefault="00EA4BA6">
      <w:pPr>
        <w:ind w:left="720" w:right="720"/>
        <w:jc w:val="both"/>
        <w:rPr>
          <w:rFonts w:asciiTheme="minorHAnsi" w:hAnsiTheme="minorHAnsi"/>
          <w:sz w:val="24"/>
          <w:szCs w:val="24"/>
        </w:rPr>
      </w:pPr>
      <w:r w:rsidRPr="006931E8">
        <w:rPr>
          <w:rFonts w:asciiTheme="minorHAnsi" w:hAnsiTheme="minorHAnsi"/>
          <w:sz w:val="24"/>
          <w:szCs w:val="24"/>
        </w:rPr>
        <w:t>Ankara Chamber of Commerce (2007) “</w:t>
      </w:r>
      <w:proofErr w:type="spellStart"/>
      <w:r w:rsidRPr="006931E8">
        <w:rPr>
          <w:rFonts w:asciiTheme="minorHAnsi" w:hAnsiTheme="minorHAnsi"/>
          <w:sz w:val="24"/>
          <w:szCs w:val="24"/>
        </w:rPr>
        <w:t>Turkiye</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faize</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calisti</w:t>
      </w:r>
      <w:proofErr w:type="spellEnd"/>
      <w:r w:rsidRPr="006931E8">
        <w:rPr>
          <w:rFonts w:asciiTheme="minorHAnsi" w:hAnsiTheme="minorHAnsi"/>
          <w:sz w:val="24"/>
          <w:szCs w:val="24"/>
        </w:rPr>
        <w:t xml:space="preserve">”, 1 September, </w:t>
      </w:r>
      <w:hyperlink r:id="rId10" w:history="1">
        <w:r w:rsidRPr="006931E8">
          <w:rPr>
            <w:rStyle w:val="Hyperlink"/>
            <w:rFonts w:asciiTheme="minorHAnsi" w:hAnsiTheme="minorHAnsi"/>
            <w:sz w:val="24"/>
            <w:szCs w:val="24"/>
          </w:rPr>
          <w:t>http://www.atonet.org.tr/yeni/index.php?p=1371&amp;l=1</w:t>
        </w:r>
      </w:hyperlink>
      <w:r w:rsidRPr="006931E8">
        <w:rPr>
          <w:rFonts w:asciiTheme="minorHAnsi" w:hAnsiTheme="minorHAnsi"/>
          <w:sz w:val="24"/>
          <w:szCs w:val="24"/>
        </w:rPr>
        <w:t xml:space="preserve"> accessed on 25/9/2015.</w:t>
      </w:r>
    </w:p>
    <w:p w:rsidR="00735368" w:rsidRDefault="001B5812">
      <w:pPr>
        <w:ind w:left="720" w:right="720"/>
        <w:jc w:val="both"/>
        <w:rPr>
          <w:rFonts w:asciiTheme="minorHAnsi" w:hAnsiTheme="minorHAnsi"/>
          <w:sz w:val="24"/>
          <w:szCs w:val="24"/>
        </w:rPr>
      </w:pPr>
      <w:proofErr w:type="spellStart"/>
      <w:r w:rsidRPr="006931E8">
        <w:rPr>
          <w:rFonts w:asciiTheme="minorHAnsi" w:hAnsiTheme="minorHAnsi"/>
          <w:sz w:val="24"/>
          <w:szCs w:val="24"/>
        </w:rPr>
        <w:t>Bakir</w:t>
      </w:r>
      <w:proofErr w:type="spellEnd"/>
      <w:r w:rsidRPr="006931E8">
        <w:rPr>
          <w:rFonts w:asciiTheme="minorHAnsi" w:hAnsiTheme="minorHAnsi"/>
          <w:sz w:val="24"/>
          <w:szCs w:val="24"/>
        </w:rPr>
        <w:t xml:space="preserve"> C. (2007) </w:t>
      </w:r>
      <w:proofErr w:type="spellStart"/>
      <w:r w:rsidRPr="006931E8">
        <w:rPr>
          <w:rFonts w:asciiTheme="minorHAnsi" w:hAnsiTheme="minorHAnsi"/>
          <w:i/>
          <w:sz w:val="24"/>
          <w:szCs w:val="24"/>
        </w:rPr>
        <w:t>Merkezdeki</w:t>
      </w:r>
      <w:proofErr w:type="spellEnd"/>
      <w:r w:rsidRPr="006931E8">
        <w:rPr>
          <w:rFonts w:asciiTheme="minorHAnsi" w:hAnsiTheme="minorHAnsi"/>
          <w:i/>
          <w:sz w:val="24"/>
          <w:szCs w:val="24"/>
        </w:rPr>
        <w:t xml:space="preserve"> Banka: </w:t>
      </w:r>
      <w:proofErr w:type="spellStart"/>
      <w:r w:rsidRPr="006931E8">
        <w:rPr>
          <w:rFonts w:asciiTheme="minorHAnsi" w:hAnsiTheme="minorHAnsi"/>
          <w:i/>
          <w:sz w:val="24"/>
          <w:szCs w:val="24"/>
        </w:rPr>
        <w:t>Turkiye</w:t>
      </w:r>
      <w:proofErr w:type="spellEnd"/>
      <w:r w:rsidRPr="006931E8">
        <w:rPr>
          <w:rFonts w:asciiTheme="minorHAnsi" w:hAnsiTheme="minorHAnsi"/>
          <w:i/>
          <w:sz w:val="24"/>
          <w:szCs w:val="24"/>
        </w:rPr>
        <w:t xml:space="preserve"> Cumhuriyet Merkez </w:t>
      </w:r>
      <w:proofErr w:type="spellStart"/>
      <w:r w:rsidRPr="006931E8">
        <w:rPr>
          <w:rFonts w:asciiTheme="minorHAnsi" w:hAnsiTheme="minorHAnsi"/>
          <w:i/>
          <w:sz w:val="24"/>
          <w:szCs w:val="24"/>
        </w:rPr>
        <w:t>Bankası</w:t>
      </w:r>
      <w:proofErr w:type="spellEnd"/>
      <w:r w:rsidRPr="006931E8">
        <w:rPr>
          <w:rFonts w:asciiTheme="minorHAnsi" w:hAnsiTheme="minorHAnsi"/>
          <w:i/>
          <w:sz w:val="24"/>
          <w:szCs w:val="24"/>
        </w:rPr>
        <w:t xml:space="preserve"> </w:t>
      </w:r>
      <w:proofErr w:type="spellStart"/>
      <w:r w:rsidRPr="006931E8">
        <w:rPr>
          <w:rFonts w:asciiTheme="minorHAnsi" w:hAnsiTheme="minorHAnsi"/>
          <w:i/>
          <w:sz w:val="24"/>
          <w:szCs w:val="24"/>
        </w:rPr>
        <w:t>ve</w:t>
      </w:r>
      <w:proofErr w:type="spellEnd"/>
      <w:r w:rsidRPr="006931E8">
        <w:rPr>
          <w:rFonts w:asciiTheme="minorHAnsi" w:hAnsiTheme="minorHAnsi"/>
          <w:i/>
          <w:sz w:val="24"/>
          <w:szCs w:val="24"/>
        </w:rPr>
        <w:t xml:space="preserve"> </w:t>
      </w:r>
      <w:proofErr w:type="spellStart"/>
      <w:r w:rsidRPr="006931E8">
        <w:rPr>
          <w:rFonts w:asciiTheme="minorHAnsi" w:hAnsiTheme="minorHAnsi"/>
          <w:i/>
          <w:sz w:val="24"/>
          <w:szCs w:val="24"/>
        </w:rPr>
        <w:t>Uluslararası</w:t>
      </w:r>
      <w:proofErr w:type="spellEnd"/>
      <w:r w:rsidRPr="006931E8">
        <w:rPr>
          <w:rFonts w:asciiTheme="minorHAnsi" w:hAnsiTheme="minorHAnsi"/>
          <w:i/>
          <w:sz w:val="24"/>
          <w:szCs w:val="24"/>
        </w:rPr>
        <w:t xml:space="preserve"> Bir </w:t>
      </w:r>
      <w:proofErr w:type="spellStart"/>
      <w:r w:rsidRPr="006931E8">
        <w:rPr>
          <w:rFonts w:asciiTheme="minorHAnsi" w:hAnsiTheme="minorHAnsi"/>
          <w:i/>
          <w:sz w:val="24"/>
          <w:szCs w:val="24"/>
        </w:rPr>
        <w:t>Karşılaştırma</w:t>
      </w:r>
      <w:proofErr w:type="spellEnd"/>
      <w:r w:rsidRPr="006931E8">
        <w:rPr>
          <w:rFonts w:asciiTheme="minorHAnsi" w:hAnsiTheme="minorHAnsi"/>
          <w:sz w:val="24"/>
          <w:szCs w:val="24"/>
        </w:rPr>
        <w:t xml:space="preserve"> [Bank at the Center: Central Bank of Republic of Turkey and an International Comparison], İstanbul: Bilgi </w:t>
      </w:r>
      <w:proofErr w:type="spellStart"/>
      <w:r w:rsidRPr="006931E8">
        <w:rPr>
          <w:rFonts w:asciiTheme="minorHAnsi" w:hAnsiTheme="minorHAnsi"/>
          <w:sz w:val="24"/>
          <w:szCs w:val="24"/>
        </w:rPr>
        <w:t>Üniversitesi</w:t>
      </w:r>
      <w:proofErr w:type="spellEnd"/>
      <w:r w:rsidRPr="006931E8">
        <w:rPr>
          <w:rFonts w:asciiTheme="minorHAnsi" w:hAnsiTheme="minorHAnsi"/>
          <w:sz w:val="24"/>
          <w:szCs w:val="24"/>
        </w:rPr>
        <w:t xml:space="preserve">. </w:t>
      </w:r>
    </w:p>
    <w:p w:rsidR="00735368" w:rsidRDefault="00A05D10">
      <w:pPr>
        <w:ind w:left="720" w:right="720"/>
        <w:jc w:val="both"/>
        <w:rPr>
          <w:rFonts w:asciiTheme="minorHAnsi" w:hAnsiTheme="minorHAnsi"/>
          <w:sz w:val="24"/>
          <w:szCs w:val="24"/>
        </w:rPr>
      </w:pPr>
      <w:proofErr w:type="spellStart"/>
      <w:r w:rsidRPr="006931E8">
        <w:rPr>
          <w:rFonts w:asciiTheme="minorHAnsi" w:hAnsiTheme="minorHAnsi"/>
          <w:sz w:val="24"/>
          <w:szCs w:val="24"/>
        </w:rPr>
        <w:t>Bakir</w:t>
      </w:r>
      <w:proofErr w:type="spellEnd"/>
      <w:r w:rsidRPr="006931E8">
        <w:rPr>
          <w:rFonts w:asciiTheme="minorHAnsi" w:hAnsiTheme="minorHAnsi"/>
          <w:sz w:val="24"/>
          <w:szCs w:val="24"/>
        </w:rPr>
        <w:t xml:space="preserve"> C. (2009) ‘Policy Entrepreneurship and Institutional Change: Multilevel Governance of Central Banking Reform’, </w:t>
      </w:r>
      <w:r w:rsidR="00104378" w:rsidRPr="006931E8">
        <w:rPr>
          <w:rFonts w:asciiTheme="minorHAnsi" w:hAnsiTheme="minorHAnsi"/>
          <w:i/>
          <w:sz w:val="24"/>
          <w:szCs w:val="24"/>
        </w:rPr>
        <w:t>Governance</w:t>
      </w:r>
      <w:r w:rsidRPr="006931E8">
        <w:rPr>
          <w:rFonts w:asciiTheme="minorHAnsi" w:hAnsiTheme="minorHAnsi"/>
          <w:sz w:val="24"/>
          <w:szCs w:val="24"/>
        </w:rPr>
        <w:t xml:space="preserve">, 22:4, pp. 571-598. </w:t>
      </w:r>
    </w:p>
    <w:p w:rsidR="00735368" w:rsidRDefault="00A05D10">
      <w:pPr>
        <w:ind w:left="720" w:right="720"/>
        <w:jc w:val="both"/>
        <w:rPr>
          <w:rFonts w:asciiTheme="minorHAnsi" w:hAnsiTheme="minorHAnsi"/>
          <w:sz w:val="24"/>
          <w:szCs w:val="24"/>
        </w:rPr>
      </w:pPr>
      <w:proofErr w:type="spellStart"/>
      <w:r w:rsidRPr="006931E8">
        <w:rPr>
          <w:rFonts w:asciiTheme="minorHAnsi" w:hAnsiTheme="minorHAnsi"/>
          <w:sz w:val="24"/>
          <w:szCs w:val="24"/>
        </w:rPr>
        <w:t>Bakir</w:t>
      </w:r>
      <w:proofErr w:type="spellEnd"/>
      <w:r w:rsidRPr="006931E8">
        <w:rPr>
          <w:rFonts w:asciiTheme="minorHAnsi" w:hAnsiTheme="minorHAnsi"/>
          <w:sz w:val="24"/>
          <w:szCs w:val="24"/>
        </w:rPr>
        <w:t xml:space="preserve"> C. (2009a) ‘Wobbling but Still on its Feet: The Turkish Economy in the Global Financial Crisis’, </w:t>
      </w:r>
      <w:r w:rsidR="00104378" w:rsidRPr="006931E8">
        <w:rPr>
          <w:rFonts w:asciiTheme="minorHAnsi" w:hAnsiTheme="minorHAnsi"/>
          <w:i/>
          <w:sz w:val="24"/>
          <w:szCs w:val="24"/>
        </w:rPr>
        <w:t>South European Society and Politics</w:t>
      </w:r>
      <w:r w:rsidR="008B182C" w:rsidRPr="006931E8">
        <w:rPr>
          <w:rFonts w:asciiTheme="minorHAnsi" w:hAnsiTheme="minorHAnsi"/>
          <w:sz w:val="24"/>
          <w:szCs w:val="24"/>
        </w:rPr>
        <w:t xml:space="preserve">, Vol. </w:t>
      </w:r>
      <w:proofErr w:type="gramStart"/>
      <w:r w:rsidR="008B182C" w:rsidRPr="006931E8">
        <w:rPr>
          <w:rFonts w:asciiTheme="minorHAnsi" w:hAnsiTheme="minorHAnsi"/>
          <w:sz w:val="24"/>
          <w:szCs w:val="24"/>
        </w:rPr>
        <w:t>14 ,</w:t>
      </w:r>
      <w:proofErr w:type="gramEnd"/>
      <w:r w:rsidR="008B182C" w:rsidRPr="006931E8">
        <w:rPr>
          <w:rFonts w:asciiTheme="minorHAnsi" w:hAnsiTheme="minorHAnsi"/>
          <w:sz w:val="24"/>
          <w:szCs w:val="24"/>
        </w:rPr>
        <w:t xml:space="preserve"> Issue. 1, pp. 71-85.</w:t>
      </w:r>
    </w:p>
    <w:p w:rsidR="00735368" w:rsidRDefault="004F781E">
      <w:pPr>
        <w:ind w:left="720" w:right="720"/>
        <w:jc w:val="both"/>
        <w:rPr>
          <w:rFonts w:asciiTheme="minorHAnsi" w:hAnsiTheme="minorHAnsi"/>
          <w:sz w:val="24"/>
          <w:szCs w:val="24"/>
        </w:rPr>
      </w:pPr>
      <w:proofErr w:type="spellStart"/>
      <w:r w:rsidRPr="006931E8">
        <w:rPr>
          <w:rFonts w:asciiTheme="minorHAnsi" w:hAnsiTheme="minorHAnsi"/>
          <w:sz w:val="24"/>
          <w:szCs w:val="24"/>
        </w:rPr>
        <w:t>Bakir</w:t>
      </w:r>
      <w:proofErr w:type="spellEnd"/>
      <w:r w:rsidRPr="006931E8">
        <w:rPr>
          <w:rFonts w:asciiTheme="minorHAnsi" w:hAnsiTheme="minorHAnsi"/>
          <w:sz w:val="24"/>
          <w:szCs w:val="24"/>
        </w:rPr>
        <w:t xml:space="preserve"> C. and </w:t>
      </w:r>
      <w:proofErr w:type="spellStart"/>
      <w:r w:rsidRPr="006931E8">
        <w:rPr>
          <w:rFonts w:asciiTheme="minorHAnsi" w:hAnsiTheme="minorHAnsi"/>
          <w:sz w:val="24"/>
          <w:szCs w:val="24"/>
        </w:rPr>
        <w:t>Onis</w:t>
      </w:r>
      <w:proofErr w:type="spellEnd"/>
      <w:r w:rsidRPr="006931E8">
        <w:rPr>
          <w:rFonts w:asciiTheme="minorHAnsi" w:hAnsiTheme="minorHAnsi"/>
          <w:sz w:val="24"/>
          <w:szCs w:val="24"/>
        </w:rPr>
        <w:t xml:space="preserve"> Z. (2010) ‘The Regulatory State and Turkish Banking Reforms in the Age of Post-Washington Consensus’, </w:t>
      </w:r>
      <w:r w:rsidR="00104378" w:rsidRPr="006931E8">
        <w:rPr>
          <w:rFonts w:asciiTheme="minorHAnsi" w:hAnsiTheme="minorHAnsi"/>
          <w:i/>
          <w:sz w:val="24"/>
          <w:szCs w:val="24"/>
        </w:rPr>
        <w:t>Development and Change</w:t>
      </w:r>
      <w:r w:rsidRPr="006931E8">
        <w:rPr>
          <w:rFonts w:asciiTheme="minorHAnsi" w:hAnsiTheme="minorHAnsi"/>
          <w:sz w:val="24"/>
          <w:szCs w:val="24"/>
        </w:rPr>
        <w:t>, 41(1), pp. 77–106.</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Baksa</w:t>
      </w:r>
      <w:proofErr w:type="spellEnd"/>
      <w:r w:rsidRPr="006931E8">
        <w:rPr>
          <w:rFonts w:asciiTheme="minorHAnsi" w:hAnsiTheme="minorHAnsi"/>
          <w:sz w:val="24"/>
          <w:szCs w:val="24"/>
        </w:rPr>
        <w:t xml:space="preserve">, R. (2013). A </w:t>
      </w:r>
      <w:proofErr w:type="spellStart"/>
      <w:r w:rsidRPr="006931E8">
        <w:rPr>
          <w:rFonts w:asciiTheme="minorHAnsi" w:hAnsiTheme="minorHAnsi"/>
          <w:sz w:val="24"/>
          <w:szCs w:val="24"/>
        </w:rPr>
        <w:t>legjobb</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dolgozó</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sem</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kell</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Matolcsynak</w:t>
      </w:r>
      <w:proofErr w:type="spellEnd"/>
      <w:r w:rsidRPr="006931E8">
        <w:rPr>
          <w:rFonts w:asciiTheme="minorHAnsi" w:hAnsiTheme="minorHAnsi"/>
          <w:sz w:val="24"/>
          <w:szCs w:val="24"/>
        </w:rPr>
        <w:t xml:space="preserve"> (20</w:t>
      </w:r>
      <w:r w:rsidR="00C32491" w:rsidRPr="006931E8">
        <w:rPr>
          <w:rFonts w:asciiTheme="minorHAnsi" w:hAnsiTheme="minorHAnsi"/>
          <w:sz w:val="24"/>
          <w:szCs w:val="24"/>
        </w:rPr>
        <w:t xml:space="preserve">13, March 21). </w:t>
      </w:r>
      <w:proofErr w:type="spellStart"/>
      <w:r w:rsidR="00C32491" w:rsidRPr="006931E8">
        <w:rPr>
          <w:rFonts w:asciiTheme="minorHAnsi" w:hAnsiTheme="minorHAnsi"/>
          <w:sz w:val="24"/>
          <w:szCs w:val="24"/>
        </w:rPr>
        <w:t>Origo</w:t>
      </w:r>
      <w:proofErr w:type="spellEnd"/>
      <w:r w:rsidR="00C32491" w:rsidRPr="006931E8">
        <w:rPr>
          <w:rFonts w:asciiTheme="minorHAnsi" w:hAnsiTheme="minorHAnsi"/>
          <w:sz w:val="24"/>
          <w:szCs w:val="24"/>
        </w:rPr>
        <w:t xml:space="preserve">. Retrieved </w:t>
      </w:r>
      <w:r w:rsidRPr="006931E8">
        <w:rPr>
          <w:rFonts w:asciiTheme="minorHAnsi" w:hAnsiTheme="minorHAnsi"/>
          <w:sz w:val="24"/>
          <w:szCs w:val="24"/>
        </w:rPr>
        <w:t>23 March 2015 from http://www.origo.hu/gazdasag/20130320-lenduletet-vettek-a-kirugasokaz-mnbben-matolcsy-nagyszabasu-konferenciat-fujt.html.</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Barro R. J. Gordon D. B., (1983) “A Positive Theory of Mo</w:t>
      </w:r>
      <w:r w:rsidR="00C32491" w:rsidRPr="006931E8">
        <w:rPr>
          <w:rFonts w:asciiTheme="minorHAnsi" w:hAnsiTheme="minorHAnsi"/>
          <w:sz w:val="24"/>
          <w:szCs w:val="24"/>
        </w:rPr>
        <w:t xml:space="preserve">netary Policy in a Natural Rate </w:t>
      </w:r>
      <w:proofErr w:type="spellStart"/>
      <w:r w:rsidRPr="006931E8">
        <w:rPr>
          <w:rFonts w:asciiTheme="minorHAnsi" w:hAnsiTheme="minorHAnsi"/>
          <w:sz w:val="24"/>
          <w:szCs w:val="24"/>
        </w:rPr>
        <w:t>Model</w:t>
      </w:r>
      <w:proofErr w:type="gramStart"/>
      <w:r w:rsidRPr="006931E8">
        <w:rPr>
          <w:rFonts w:asciiTheme="minorHAnsi" w:hAnsiTheme="minorHAnsi"/>
          <w:sz w:val="24"/>
          <w:szCs w:val="24"/>
        </w:rPr>
        <w:t>”,The</w:t>
      </w:r>
      <w:proofErr w:type="spellEnd"/>
      <w:proofErr w:type="gramEnd"/>
      <w:r w:rsidRPr="006931E8">
        <w:rPr>
          <w:rFonts w:asciiTheme="minorHAnsi" w:hAnsiTheme="minorHAnsi"/>
          <w:sz w:val="24"/>
          <w:szCs w:val="24"/>
        </w:rPr>
        <w:t xml:space="preserve"> Journal of Political Economy, Vol. 91, No. 4, pp. 589-610.</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Birgun</w:t>
      </w:r>
      <w:proofErr w:type="spellEnd"/>
      <w:r w:rsidRPr="006931E8">
        <w:rPr>
          <w:rFonts w:asciiTheme="minorHAnsi" w:hAnsiTheme="minorHAnsi"/>
          <w:sz w:val="24"/>
          <w:szCs w:val="24"/>
        </w:rPr>
        <w:t xml:space="preserve"> (2015) “Central Bank rift within the power bloc: What is happening?”,</w:t>
      </w:r>
      <w:r w:rsidR="00166BCF" w:rsidRPr="006931E8">
        <w:rPr>
          <w:rFonts w:asciiTheme="minorHAnsi" w:hAnsiTheme="minorHAnsi"/>
          <w:sz w:val="24"/>
          <w:szCs w:val="24"/>
        </w:rPr>
        <w:t xml:space="preserve"> (translated from Turkish by the authors),</w:t>
      </w:r>
      <w:r w:rsidRPr="006931E8">
        <w:rPr>
          <w:rFonts w:asciiTheme="minorHAnsi" w:hAnsiTheme="minorHAnsi"/>
          <w:sz w:val="24"/>
          <w:szCs w:val="24"/>
        </w:rPr>
        <w:t xml:space="preserve"> Deniz Yildirim,</w:t>
      </w:r>
      <w:r w:rsidR="00C32491" w:rsidRPr="006931E8">
        <w:rPr>
          <w:rFonts w:asciiTheme="minorHAnsi" w:hAnsiTheme="minorHAnsi"/>
          <w:sz w:val="24"/>
          <w:szCs w:val="24"/>
        </w:rPr>
        <w:t xml:space="preserve"> </w:t>
      </w:r>
      <w:hyperlink r:id="rId11" w:history="1">
        <w:r w:rsidR="006A7944" w:rsidRPr="006931E8">
          <w:rPr>
            <w:rStyle w:val="Hyperlink"/>
            <w:rFonts w:asciiTheme="minorHAnsi" w:hAnsiTheme="minorHAnsi"/>
            <w:sz w:val="24"/>
            <w:szCs w:val="24"/>
          </w:rPr>
          <w:t>http://birgun.net/news/view/iktidar-blogunda-merkez-bankasi-catlagi-ne-oluyor/14753 accessed 10/3/2015</w:t>
        </w:r>
      </w:hyperlink>
      <w:r w:rsidRPr="006931E8">
        <w:rPr>
          <w:rFonts w:asciiTheme="minorHAnsi" w:hAnsiTheme="minorHAnsi"/>
          <w:sz w:val="24"/>
          <w:szCs w:val="24"/>
        </w:rPr>
        <w:t>.</w:t>
      </w:r>
    </w:p>
    <w:p w:rsidR="00735368" w:rsidRDefault="006A7944">
      <w:pPr>
        <w:ind w:left="720" w:right="720"/>
        <w:jc w:val="both"/>
        <w:rPr>
          <w:rFonts w:asciiTheme="minorHAnsi" w:hAnsiTheme="minorHAnsi"/>
          <w:sz w:val="24"/>
          <w:szCs w:val="24"/>
        </w:rPr>
      </w:pPr>
      <w:proofErr w:type="spellStart"/>
      <w:r w:rsidRPr="006931E8">
        <w:rPr>
          <w:rFonts w:asciiTheme="minorHAnsi" w:hAnsiTheme="minorHAnsi"/>
          <w:sz w:val="24"/>
          <w:szCs w:val="24"/>
        </w:rPr>
        <w:t>Birgun</w:t>
      </w:r>
      <w:proofErr w:type="spellEnd"/>
      <w:r w:rsidRPr="006931E8">
        <w:rPr>
          <w:rFonts w:asciiTheme="minorHAnsi" w:hAnsiTheme="minorHAnsi"/>
          <w:sz w:val="24"/>
          <w:szCs w:val="24"/>
        </w:rPr>
        <w:t xml:space="preserve"> (2015a) “Economy in the 10 articles of the 64</w:t>
      </w:r>
      <w:r w:rsidRPr="006931E8">
        <w:rPr>
          <w:rFonts w:asciiTheme="minorHAnsi" w:hAnsiTheme="minorHAnsi"/>
          <w:sz w:val="24"/>
          <w:szCs w:val="24"/>
          <w:vertAlign w:val="superscript"/>
        </w:rPr>
        <w:t>th</w:t>
      </w:r>
      <w:r w:rsidRPr="006931E8">
        <w:rPr>
          <w:rFonts w:asciiTheme="minorHAnsi" w:hAnsiTheme="minorHAnsi"/>
          <w:sz w:val="24"/>
          <w:szCs w:val="24"/>
        </w:rPr>
        <w:t xml:space="preserve"> Government </w:t>
      </w:r>
      <w:proofErr w:type="spellStart"/>
      <w:r w:rsidRPr="006931E8">
        <w:rPr>
          <w:rFonts w:asciiTheme="minorHAnsi" w:hAnsiTheme="minorHAnsi"/>
          <w:sz w:val="24"/>
          <w:szCs w:val="24"/>
        </w:rPr>
        <w:t>programme</w:t>
      </w:r>
      <w:proofErr w:type="spellEnd"/>
      <w:r w:rsidRPr="006931E8">
        <w:rPr>
          <w:rFonts w:asciiTheme="minorHAnsi" w:hAnsiTheme="minorHAnsi"/>
          <w:sz w:val="24"/>
          <w:szCs w:val="24"/>
        </w:rPr>
        <w:t xml:space="preserve">”, (translated from Turkish by the authors) </w:t>
      </w:r>
      <w:hyperlink r:id="rId12" w:history="1">
        <w:r w:rsidRPr="006931E8">
          <w:rPr>
            <w:rStyle w:val="Hyperlink"/>
            <w:rFonts w:asciiTheme="minorHAnsi" w:hAnsiTheme="minorHAnsi"/>
            <w:sz w:val="24"/>
            <w:szCs w:val="24"/>
          </w:rPr>
          <w:t>http://www.birgun.net/haber-detay/64-hukumet-programi-nda-10-maddede-ekonomi-programin-adi-yok-96423.html</w:t>
        </w:r>
      </w:hyperlink>
      <w:r w:rsidRPr="006931E8">
        <w:rPr>
          <w:rFonts w:asciiTheme="minorHAnsi" w:hAnsiTheme="minorHAnsi"/>
          <w:sz w:val="24"/>
          <w:szCs w:val="24"/>
        </w:rPr>
        <w:t xml:space="preserve"> , accessed 1/12/2015.</w:t>
      </w:r>
    </w:p>
    <w:p w:rsidR="00735368" w:rsidRDefault="0094220D">
      <w:pPr>
        <w:ind w:left="720" w:right="720"/>
        <w:jc w:val="both"/>
        <w:rPr>
          <w:rFonts w:asciiTheme="minorHAnsi" w:hAnsiTheme="minorHAnsi"/>
          <w:sz w:val="24"/>
          <w:szCs w:val="24"/>
        </w:rPr>
      </w:pPr>
      <w:proofErr w:type="spellStart"/>
      <w:r w:rsidRPr="006931E8">
        <w:rPr>
          <w:rFonts w:asciiTheme="minorHAnsi" w:hAnsiTheme="minorHAnsi"/>
          <w:sz w:val="24"/>
          <w:szCs w:val="24"/>
        </w:rPr>
        <w:t>Birgun</w:t>
      </w:r>
      <w:proofErr w:type="spellEnd"/>
      <w:r w:rsidRPr="006931E8">
        <w:rPr>
          <w:rFonts w:asciiTheme="minorHAnsi" w:hAnsiTheme="minorHAnsi"/>
          <w:sz w:val="24"/>
          <w:szCs w:val="24"/>
        </w:rPr>
        <w:t xml:space="preserve"> (2016) “Full text of the 65</w:t>
      </w:r>
      <w:r w:rsidRPr="006931E8">
        <w:rPr>
          <w:rFonts w:asciiTheme="minorHAnsi" w:hAnsiTheme="minorHAnsi"/>
          <w:sz w:val="24"/>
          <w:szCs w:val="24"/>
          <w:vertAlign w:val="superscript"/>
        </w:rPr>
        <w:t>th</w:t>
      </w:r>
      <w:r w:rsidRPr="006931E8">
        <w:rPr>
          <w:rFonts w:asciiTheme="minorHAnsi" w:hAnsiTheme="minorHAnsi"/>
          <w:sz w:val="24"/>
          <w:szCs w:val="24"/>
        </w:rPr>
        <w:t xml:space="preserve"> Government </w:t>
      </w:r>
      <w:proofErr w:type="spellStart"/>
      <w:r w:rsidRPr="006931E8">
        <w:rPr>
          <w:rFonts w:asciiTheme="minorHAnsi" w:hAnsiTheme="minorHAnsi"/>
          <w:sz w:val="24"/>
          <w:szCs w:val="24"/>
        </w:rPr>
        <w:t>Programme</w:t>
      </w:r>
      <w:proofErr w:type="spellEnd"/>
      <w:r w:rsidRPr="006931E8">
        <w:rPr>
          <w:rFonts w:asciiTheme="minorHAnsi" w:hAnsiTheme="minorHAnsi"/>
          <w:sz w:val="24"/>
          <w:szCs w:val="24"/>
        </w:rPr>
        <w:t xml:space="preserve">”, (translated from Turkish by the authors) </w:t>
      </w:r>
      <w:hyperlink r:id="rId13" w:history="1">
        <w:r w:rsidRPr="006931E8">
          <w:rPr>
            <w:rStyle w:val="Hyperlink"/>
            <w:rFonts w:asciiTheme="minorHAnsi" w:hAnsiTheme="minorHAnsi"/>
            <w:sz w:val="24"/>
            <w:szCs w:val="24"/>
          </w:rPr>
          <w:t>http://www.birgun.net/haber-detay/iste-65-hukumet-programinin-tam-metni-113426.html accessed 7/6/2016</w:t>
        </w:r>
      </w:hyperlink>
      <w:r w:rsidRPr="006931E8">
        <w:rPr>
          <w:rFonts w:asciiTheme="minorHAnsi" w:hAnsiTheme="minorHAnsi"/>
          <w:sz w:val="24"/>
          <w:szCs w:val="24"/>
        </w:rPr>
        <w:t>.</w:t>
      </w:r>
    </w:p>
    <w:p w:rsidR="00735368" w:rsidRDefault="00015F7C">
      <w:pPr>
        <w:ind w:left="720" w:right="720"/>
        <w:jc w:val="both"/>
        <w:rPr>
          <w:rFonts w:asciiTheme="minorHAnsi" w:hAnsiTheme="minorHAnsi"/>
          <w:sz w:val="24"/>
          <w:szCs w:val="24"/>
        </w:rPr>
      </w:pPr>
      <w:proofErr w:type="spellStart"/>
      <w:r>
        <w:rPr>
          <w:rFonts w:asciiTheme="minorHAnsi" w:hAnsiTheme="minorHAnsi"/>
          <w:sz w:val="24"/>
          <w:szCs w:val="24"/>
        </w:rPr>
        <w:lastRenderedPageBreak/>
        <w:t>Birgun</w:t>
      </w:r>
      <w:proofErr w:type="spellEnd"/>
      <w:r>
        <w:rPr>
          <w:rFonts w:asciiTheme="minorHAnsi" w:hAnsiTheme="minorHAnsi"/>
          <w:sz w:val="24"/>
          <w:szCs w:val="24"/>
        </w:rPr>
        <w:t xml:space="preserve"> (2016a) “Central Bank Law is Changing’ (translated from Turkish by the authors) </w:t>
      </w:r>
      <w:hyperlink r:id="rId14" w:history="1">
        <w:r w:rsidRPr="00637062">
          <w:rPr>
            <w:rStyle w:val="Hyperlink"/>
            <w:rFonts w:asciiTheme="minorHAnsi" w:hAnsiTheme="minorHAnsi"/>
            <w:sz w:val="24"/>
            <w:szCs w:val="24"/>
          </w:rPr>
          <w:t>https://www.birgun.net/haber-detay/merkez-bankasi-yasasi-degisiyor-135368.html</w:t>
        </w:r>
      </w:hyperlink>
      <w:r>
        <w:rPr>
          <w:rFonts w:asciiTheme="minorHAnsi" w:hAnsiTheme="minorHAnsi"/>
          <w:sz w:val="24"/>
          <w:szCs w:val="24"/>
        </w:rPr>
        <w:t xml:space="preserve"> accessed on 15/9/2017.</w:t>
      </w:r>
    </w:p>
    <w:p w:rsidR="00735368" w:rsidRDefault="00015F7C">
      <w:pPr>
        <w:ind w:left="720" w:right="720"/>
        <w:jc w:val="both"/>
        <w:rPr>
          <w:rFonts w:asciiTheme="minorHAnsi" w:hAnsiTheme="minorHAnsi"/>
          <w:sz w:val="24"/>
          <w:szCs w:val="24"/>
        </w:rPr>
      </w:pPr>
      <w:r>
        <w:rPr>
          <w:rFonts w:asciiTheme="minorHAnsi" w:hAnsiTheme="minorHAnsi"/>
          <w:sz w:val="24"/>
          <w:szCs w:val="24"/>
        </w:rPr>
        <w:t xml:space="preserve">Bloomberg (2017) “The Central Bank has terminated the employment contracts of 105 employees”, (translated from Turkish by the authors), 18 January, </w:t>
      </w:r>
      <w:hyperlink r:id="rId15" w:history="1">
        <w:r w:rsidRPr="00637062">
          <w:rPr>
            <w:rStyle w:val="Hyperlink"/>
            <w:rFonts w:asciiTheme="minorHAnsi" w:hAnsiTheme="minorHAnsi"/>
            <w:sz w:val="24"/>
            <w:szCs w:val="24"/>
          </w:rPr>
          <w:t xml:space="preserve">http://www.bloomberght.com/haberler/haber/1975753-merkez-bankasi-105-personelin-isine-son-verildi </w:t>
        </w:r>
        <w:r w:rsidRPr="00015F7C">
          <w:rPr>
            <w:rStyle w:val="Hyperlink"/>
            <w:rFonts w:asciiTheme="minorHAnsi" w:hAnsiTheme="minorHAnsi"/>
            <w:color w:val="auto"/>
            <w:sz w:val="24"/>
            <w:szCs w:val="24"/>
            <w:u w:val="none"/>
          </w:rPr>
          <w:t>accessed on 15/9/2017</w:t>
        </w:r>
      </w:hyperlink>
      <w:r>
        <w:rPr>
          <w:rFonts w:asciiTheme="minorHAnsi" w:hAnsiTheme="minorHAnsi"/>
          <w:sz w:val="24"/>
          <w:szCs w:val="24"/>
        </w:rPr>
        <w:t>.</w:t>
      </w:r>
    </w:p>
    <w:p w:rsidR="00735368" w:rsidRDefault="0094220D">
      <w:pPr>
        <w:ind w:left="720" w:right="720"/>
        <w:jc w:val="both"/>
        <w:rPr>
          <w:rFonts w:asciiTheme="minorHAnsi" w:hAnsiTheme="minorHAnsi"/>
          <w:sz w:val="24"/>
          <w:szCs w:val="24"/>
        </w:rPr>
      </w:pPr>
      <w:r w:rsidRPr="006931E8">
        <w:rPr>
          <w:rFonts w:asciiTheme="minorHAnsi" w:hAnsiTheme="minorHAnsi"/>
          <w:sz w:val="24"/>
          <w:szCs w:val="24"/>
        </w:rPr>
        <w:t xml:space="preserve">Bohle D. and </w:t>
      </w:r>
      <w:proofErr w:type="spellStart"/>
      <w:r w:rsidRPr="006931E8">
        <w:rPr>
          <w:rFonts w:asciiTheme="minorHAnsi" w:hAnsiTheme="minorHAnsi"/>
          <w:sz w:val="24"/>
          <w:szCs w:val="24"/>
        </w:rPr>
        <w:t>Greskovits</w:t>
      </w:r>
      <w:proofErr w:type="spellEnd"/>
      <w:r w:rsidRPr="006931E8">
        <w:rPr>
          <w:rFonts w:asciiTheme="minorHAnsi" w:hAnsiTheme="minorHAnsi"/>
          <w:sz w:val="24"/>
          <w:szCs w:val="24"/>
        </w:rPr>
        <w:t xml:space="preserve"> B. (2007) “The State, Internationalization, and Capitalist Diversity in Eastern Europe”, </w:t>
      </w:r>
      <w:r w:rsidRPr="006931E8">
        <w:rPr>
          <w:rFonts w:asciiTheme="minorHAnsi" w:hAnsiTheme="minorHAnsi"/>
          <w:i/>
          <w:sz w:val="24"/>
          <w:szCs w:val="24"/>
        </w:rPr>
        <w:t>Competition &amp; Change</w:t>
      </w:r>
      <w:r w:rsidRPr="006931E8">
        <w:rPr>
          <w:rFonts w:asciiTheme="minorHAnsi" w:hAnsiTheme="minorHAnsi"/>
          <w:sz w:val="24"/>
          <w:szCs w:val="24"/>
        </w:rPr>
        <w:t>, Vol. 11, No. 2, pp. 89-114.</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Bonefeld</w:t>
      </w:r>
      <w:proofErr w:type="spellEnd"/>
      <w:r w:rsidRPr="006931E8">
        <w:rPr>
          <w:rFonts w:asciiTheme="minorHAnsi" w:hAnsiTheme="minorHAnsi"/>
          <w:sz w:val="24"/>
          <w:szCs w:val="24"/>
        </w:rPr>
        <w:t xml:space="preserve">, W., Brown, A. and Burnham, P. (1995) </w:t>
      </w:r>
      <w:r w:rsidRPr="006931E8">
        <w:rPr>
          <w:rFonts w:asciiTheme="minorHAnsi" w:hAnsiTheme="minorHAnsi"/>
          <w:i/>
          <w:sz w:val="24"/>
          <w:szCs w:val="24"/>
        </w:rPr>
        <w:t xml:space="preserve">A Major Crisis? </w:t>
      </w:r>
      <w:r w:rsidR="00C32491" w:rsidRPr="006931E8">
        <w:rPr>
          <w:rFonts w:asciiTheme="minorHAnsi" w:hAnsiTheme="minorHAnsi"/>
          <w:i/>
          <w:sz w:val="24"/>
          <w:szCs w:val="24"/>
        </w:rPr>
        <w:t xml:space="preserve">The Politics of Economic Policy </w:t>
      </w:r>
      <w:r w:rsidRPr="006931E8">
        <w:rPr>
          <w:rFonts w:asciiTheme="minorHAnsi" w:hAnsiTheme="minorHAnsi"/>
          <w:i/>
          <w:sz w:val="24"/>
          <w:szCs w:val="24"/>
        </w:rPr>
        <w:t>in Britain in the 1990s,</w:t>
      </w:r>
      <w:r w:rsidRPr="006931E8">
        <w:rPr>
          <w:rFonts w:asciiTheme="minorHAnsi" w:hAnsiTheme="minorHAnsi"/>
          <w:sz w:val="24"/>
          <w:szCs w:val="24"/>
        </w:rPr>
        <w:t xml:space="preserve"> </w:t>
      </w:r>
      <w:proofErr w:type="spellStart"/>
      <w:r w:rsidRPr="006931E8">
        <w:rPr>
          <w:rFonts w:asciiTheme="minorHAnsi" w:hAnsiTheme="minorHAnsi"/>
          <w:sz w:val="24"/>
          <w:szCs w:val="24"/>
        </w:rPr>
        <w:t>Aldershot</w:t>
      </w:r>
      <w:proofErr w:type="spellEnd"/>
      <w:r w:rsidRPr="006931E8">
        <w:rPr>
          <w:rFonts w:asciiTheme="minorHAnsi" w:hAnsiTheme="minorHAnsi"/>
          <w:sz w:val="24"/>
          <w:szCs w:val="24"/>
        </w:rPr>
        <w:t>: Dartmouth.</w:t>
      </w:r>
    </w:p>
    <w:p w:rsidR="00735368" w:rsidRDefault="00ED0840">
      <w:pPr>
        <w:ind w:left="720" w:right="720"/>
        <w:jc w:val="both"/>
        <w:rPr>
          <w:rFonts w:asciiTheme="minorHAnsi" w:hAnsiTheme="minorHAnsi"/>
          <w:i/>
          <w:iCs/>
          <w:sz w:val="24"/>
          <w:szCs w:val="24"/>
          <w:lang w:val="en-GB"/>
        </w:rPr>
      </w:pPr>
      <w:proofErr w:type="spellStart"/>
      <w:r w:rsidRPr="00ED0840">
        <w:rPr>
          <w:rFonts w:asciiTheme="minorHAnsi" w:hAnsiTheme="minorHAnsi"/>
          <w:sz w:val="24"/>
          <w:szCs w:val="24"/>
          <w:lang w:val="en-GB"/>
        </w:rPr>
        <w:t>Bonefeld</w:t>
      </w:r>
      <w:proofErr w:type="spellEnd"/>
      <w:r w:rsidRPr="00ED0840">
        <w:rPr>
          <w:rFonts w:asciiTheme="minorHAnsi" w:hAnsiTheme="minorHAnsi"/>
          <w:sz w:val="24"/>
          <w:szCs w:val="24"/>
          <w:lang w:val="en-GB"/>
        </w:rPr>
        <w:t xml:space="preserve"> W (2014) </w:t>
      </w:r>
      <w:r w:rsidRPr="00ED0840">
        <w:rPr>
          <w:rFonts w:asciiTheme="minorHAnsi" w:hAnsiTheme="minorHAnsi"/>
          <w:i/>
          <w:iCs/>
          <w:sz w:val="24"/>
          <w:szCs w:val="24"/>
          <w:lang w:val="en-GB"/>
        </w:rPr>
        <w:t>Critical Theory and the Critique of Political Economy: On Subversion and Negative Reason</w:t>
      </w:r>
      <w:r w:rsidRPr="00ED0840">
        <w:rPr>
          <w:rFonts w:asciiTheme="minorHAnsi" w:hAnsiTheme="minorHAnsi"/>
          <w:sz w:val="24"/>
          <w:szCs w:val="24"/>
          <w:lang w:val="en-GB"/>
        </w:rPr>
        <w:t>. London: Bloomsbury.</w:t>
      </w:r>
      <w:r w:rsidRPr="00ED0840">
        <w:rPr>
          <w:rFonts w:asciiTheme="minorHAnsi" w:hAnsiTheme="minorHAnsi"/>
          <w:sz w:val="24"/>
          <w:szCs w:val="24"/>
        </w:rPr>
        <w:t xml:space="preserve"> </w:t>
      </w:r>
    </w:p>
    <w:p w:rsidR="00735368" w:rsidRDefault="0054173C">
      <w:pPr>
        <w:ind w:left="720" w:right="720"/>
        <w:jc w:val="both"/>
        <w:rPr>
          <w:rFonts w:asciiTheme="minorHAnsi" w:hAnsiTheme="minorHAnsi"/>
          <w:sz w:val="24"/>
          <w:szCs w:val="24"/>
        </w:rPr>
      </w:pPr>
      <w:proofErr w:type="spellStart"/>
      <w:r w:rsidRPr="006931E8">
        <w:rPr>
          <w:rFonts w:asciiTheme="minorHAnsi" w:hAnsiTheme="minorHAnsi"/>
          <w:sz w:val="24"/>
          <w:szCs w:val="24"/>
        </w:rPr>
        <w:t>Boratav</w:t>
      </w:r>
      <w:proofErr w:type="spellEnd"/>
      <w:r w:rsidRPr="006931E8">
        <w:rPr>
          <w:rFonts w:asciiTheme="minorHAnsi" w:hAnsiTheme="minorHAnsi"/>
          <w:sz w:val="24"/>
          <w:szCs w:val="24"/>
        </w:rPr>
        <w:t xml:space="preserve"> K., (1990) “Inter-Class and Intra-Class Relations of Distribution Under Structural Adjustment: Turkey During the 1980s” in </w:t>
      </w:r>
      <w:proofErr w:type="spellStart"/>
      <w:r w:rsidRPr="006931E8">
        <w:rPr>
          <w:rFonts w:asciiTheme="minorHAnsi" w:hAnsiTheme="minorHAnsi"/>
          <w:sz w:val="24"/>
          <w:szCs w:val="24"/>
        </w:rPr>
        <w:t>Aricanli</w:t>
      </w:r>
      <w:proofErr w:type="spellEnd"/>
      <w:r w:rsidRPr="006931E8">
        <w:rPr>
          <w:rFonts w:asciiTheme="minorHAnsi" w:hAnsiTheme="minorHAnsi"/>
          <w:sz w:val="24"/>
          <w:szCs w:val="24"/>
        </w:rPr>
        <w:t xml:space="preserve"> T., Rodrik D (eds) </w:t>
      </w:r>
      <w:r w:rsidR="00104378" w:rsidRPr="006931E8">
        <w:rPr>
          <w:rFonts w:asciiTheme="minorHAnsi" w:hAnsiTheme="minorHAnsi"/>
          <w:i/>
          <w:sz w:val="24"/>
          <w:szCs w:val="24"/>
        </w:rPr>
        <w:t>The Political Economy of Turkey: Debt, Adjustment and Sustainability</w:t>
      </w:r>
      <w:r w:rsidRPr="006931E8">
        <w:rPr>
          <w:rFonts w:asciiTheme="minorHAnsi" w:hAnsiTheme="minorHAnsi"/>
          <w:sz w:val="24"/>
          <w:szCs w:val="24"/>
        </w:rPr>
        <w:t>, Basingstoke: Macmillan.</w:t>
      </w:r>
    </w:p>
    <w:p w:rsidR="00735368" w:rsidRDefault="00D65AF9">
      <w:pPr>
        <w:ind w:left="720" w:right="720"/>
        <w:jc w:val="both"/>
        <w:rPr>
          <w:rFonts w:asciiTheme="minorHAnsi" w:hAnsiTheme="minorHAnsi"/>
          <w:sz w:val="24"/>
          <w:szCs w:val="24"/>
        </w:rPr>
      </w:pPr>
      <w:proofErr w:type="spellStart"/>
      <w:r w:rsidRPr="006931E8">
        <w:rPr>
          <w:rFonts w:asciiTheme="minorHAnsi" w:hAnsiTheme="minorHAnsi"/>
          <w:sz w:val="24"/>
          <w:szCs w:val="24"/>
        </w:rPr>
        <w:t>Borocz</w:t>
      </w:r>
      <w:proofErr w:type="spellEnd"/>
      <w:r w:rsidRPr="006931E8">
        <w:rPr>
          <w:rFonts w:asciiTheme="minorHAnsi" w:hAnsiTheme="minorHAnsi"/>
          <w:sz w:val="24"/>
          <w:szCs w:val="24"/>
        </w:rPr>
        <w:t xml:space="preserve"> J. (2000) "The Fox and the Raven: the European Union and Hungary Renegotiate the Margins of “Europe”." </w:t>
      </w:r>
      <w:r w:rsidRPr="006931E8">
        <w:rPr>
          <w:rFonts w:asciiTheme="minorHAnsi" w:hAnsiTheme="minorHAnsi"/>
          <w:i/>
          <w:iCs/>
          <w:sz w:val="24"/>
          <w:szCs w:val="24"/>
        </w:rPr>
        <w:t xml:space="preserve">Comparative Studies in Society and History, </w:t>
      </w:r>
      <w:r w:rsidRPr="006931E8">
        <w:rPr>
          <w:rFonts w:asciiTheme="minorHAnsi" w:hAnsiTheme="minorHAnsi"/>
          <w:sz w:val="24"/>
          <w:szCs w:val="24"/>
        </w:rPr>
        <w:t xml:space="preserve">42 (4), pp. 847-875. </w:t>
      </w:r>
    </w:p>
    <w:p w:rsidR="00735368" w:rsidRDefault="004B4E55">
      <w:pPr>
        <w:ind w:left="720" w:right="720"/>
        <w:jc w:val="both"/>
        <w:rPr>
          <w:rFonts w:asciiTheme="minorHAnsi" w:hAnsiTheme="minorHAnsi"/>
          <w:sz w:val="24"/>
          <w:szCs w:val="24"/>
        </w:rPr>
      </w:pPr>
      <w:proofErr w:type="spellStart"/>
      <w:r w:rsidRPr="006931E8">
        <w:rPr>
          <w:rFonts w:asciiTheme="minorHAnsi" w:hAnsiTheme="minorHAnsi"/>
          <w:sz w:val="24"/>
          <w:szCs w:val="24"/>
        </w:rPr>
        <w:t>Borocz</w:t>
      </w:r>
      <w:proofErr w:type="spellEnd"/>
      <w:r w:rsidRPr="006931E8">
        <w:rPr>
          <w:rFonts w:asciiTheme="minorHAnsi" w:hAnsiTheme="minorHAnsi"/>
          <w:sz w:val="24"/>
          <w:szCs w:val="24"/>
        </w:rPr>
        <w:t xml:space="preserve"> J. (2012) "Hungary in the European Union." </w:t>
      </w:r>
      <w:r w:rsidRPr="006931E8">
        <w:rPr>
          <w:rFonts w:asciiTheme="minorHAnsi" w:hAnsiTheme="minorHAnsi"/>
          <w:i/>
          <w:iCs/>
          <w:sz w:val="24"/>
          <w:szCs w:val="24"/>
        </w:rPr>
        <w:t xml:space="preserve">Economic &amp; Political Weekly </w:t>
      </w:r>
      <w:r w:rsidRPr="006931E8">
        <w:rPr>
          <w:rFonts w:asciiTheme="minorHAnsi" w:hAnsiTheme="minorHAnsi"/>
          <w:sz w:val="24"/>
          <w:szCs w:val="24"/>
        </w:rPr>
        <w:t xml:space="preserve">47 (23): 23-25. </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 xml:space="preserve">Buckley, N. &amp; Eddy, K. (2013, March 1).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named Hungary central bank chief. Financial Times. Retrieved 2 May 2016, from </w:t>
      </w:r>
      <w:hyperlink r:id="rId16" w:anchor="axzz47VxvGzQG" w:history="1">
        <w:r w:rsidRPr="006931E8">
          <w:rPr>
            <w:rStyle w:val="Hyperlink"/>
            <w:rFonts w:asciiTheme="minorHAnsi" w:hAnsiTheme="minorHAnsi"/>
            <w:sz w:val="24"/>
            <w:szCs w:val="24"/>
          </w:rPr>
          <w:t>http://www.ft.com/intl/cms/s/0/f65d7754-8256-11e2-8404-00144feabdc0.html#axzz47VxvGzQG</w:t>
        </w:r>
      </w:hyperlink>
      <w:r w:rsidRPr="006931E8">
        <w:rPr>
          <w:rFonts w:asciiTheme="minorHAnsi" w:hAnsiTheme="minorHAnsi"/>
          <w:sz w:val="24"/>
          <w:szCs w:val="24"/>
        </w:rPr>
        <w:t>.</w:t>
      </w:r>
    </w:p>
    <w:p w:rsidR="00735368" w:rsidRDefault="00927D52">
      <w:pPr>
        <w:ind w:left="720" w:right="720"/>
        <w:jc w:val="both"/>
        <w:rPr>
          <w:rFonts w:asciiTheme="minorHAnsi" w:hAnsiTheme="minorHAnsi"/>
          <w:sz w:val="24"/>
          <w:szCs w:val="24"/>
        </w:rPr>
      </w:pPr>
      <w:r w:rsidRPr="006931E8">
        <w:rPr>
          <w:rFonts w:asciiTheme="minorHAnsi" w:hAnsiTheme="minorHAnsi"/>
          <w:sz w:val="24"/>
          <w:szCs w:val="24"/>
        </w:rPr>
        <w:t xml:space="preserve">Burnham, Peter (1994b) “The </w:t>
      </w:r>
      <w:proofErr w:type="spellStart"/>
      <w:r w:rsidRPr="006931E8">
        <w:rPr>
          <w:rFonts w:asciiTheme="minorHAnsi" w:hAnsiTheme="minorHAnsi"/>
          <w:sz w:val="24"/>
          <w:szCs w:val="24"/>
        </w:rPr>
        <w:t>Organisational</w:t>
      </w:r>
      <w:proofErr w:type="spellEnd"/>
      <w:r w:rsidRPr="006931E8">
        <w:rPr>
          <w:rFonts w:asciiTheme="minorHAnsi" w:hAnsiTheme="minorHAnsi"/>
          <w:sz w:val="24"/>
          <w:szCs w:val="24"/>
        </w:rPr>
        <w:t xml:space="preserve"> View of the State”, </w:t>
      </w:r>
      <w:r w:rsidRPr="006931E8">
        <w:rPr>
          <w:rFonts w:asciiTheme="minorHAnsi" w:hAnsiTheme="minorHAnsi"/>
          <w:i/>
          <w:sz w:val="24"/>
          <w:szCs w:val="24"/>
        </w:rPr>
        <w:t>Politics</w:t>
      </w:r>
      <w:r w:rsidRPr="006931E8">
        <w:rPr>
          <w:rFonts w:asciiTheme="minorHAnsi" w:hAnsiTheme="minorHAnsi"/>
          <w:sz w:val="24"/>
          <w:szCs w:val="24"/>
        </w:rPr>
        <w:t>, 14:</w:t>
      </w:r>
      <w:proofErr w:type="gramStart"/>
      <w:r w:rsidRPr="006931E8">
        <w:rPr>
          <w:rFonts w:asciiTheme="minorHAnsi" w:hAnsiTheme="minorHAnsi"/>
          <w:sz w:val="24"/>
          <w:szCs w:val="24"/>
        </w:rPr>
        <w:t>1 .</w:t>
      </w:r>
      <w:proofErr w:type="gramEnd"/>
    </w:p>
    <w:p w:rsidR="00735368" w:rsidRDefault="003D2E8F">
      <w:pPr>
        <w:ind w:left="720" w:right="720"/>
        <w:jc w:val="both"/>
        <w:rPr>
          <w:rFonts w:asciiTheme="minorHAnsi" w:hAnsiTheme="minorHAnsi"/>
          <w:sz w:val="24"/>
          <w:szCs w:val="24"/>
        </w:rPr>
      </w:pPr>
      <w:r w:rsidRPr="006931E8">
        <w:rPr>
          <w:rFonts w:asciiTheme="minorHAnsi" w:hAnsiTheme="minorHAnsi"/>
          <w:sz w:val="24"/>
          <w:szCs w:val="24"/>
        </w:rPr>
        <w:t xml:space="preserve">Burnham P. (1999) “The politics of economic management in the 1990s”, </w:t>
      </w:r>
      <w:r w:rsidRPr="006931E8">
        <w:rPr>
          <w:rFonts w:asciiTheme="minorHAnsi" w:hAnsiTheme="minorHAnsi"/>
          <w:i/>
          <w:sz w:val="24"/>
          <w:szCs w:val="24"/>
        </w:rPr>
        <w:t>New Political Economy</w:t>
      </w:r>
      <w:r w:rsidRPr="006931E8">
        <w:rPr>
          <w:rFonts w:asciiTheme="minorHAnsi" w:hAnsiTheme="minorHAnsi"/>
          <w:sz w:val="24"/>
          <w:szCs w:val="24"/>
        </w:rPr>
        <w:t>, Vol. 4, Issue 1, pp. 37-54.</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Burnham P., (2001) `New </w:t>
      </w:r>
      <w:proofErr w:type="spellStart"/>
      <w:r w:rsidRPr="006931E8">
        <w:rPr>
          <w:rFonts w:asciiTheme="minorHAnsi" w:hAnsiTheme="minorHAnsi"/>
          <w:sz w:val="24"/>
          <w:szCs w:val="24"/>
        </w:rPr>
        <w:t>Labour</w:t>
      </w:r>
      <w:proofErr w:type="spellEnd"/>
      <w:r w:rsidRPr="006931E8">
        <w:rPr>
          <w:rFonts w:asciiTheme="minorHAnsi" w:hAnsiTheme="minorHAnsi"/>
          <w:sz w:val="24"/>
          <w:szCs w:val="24"/>
        </w:rPr>
        <w:t xml:space="preserve"> and the Politics of </w:t>
      </w:r>
      <w:proofErr w:type="spellStart"/>
      <w:r w:rsidRPr="006931E8">
        <w:rPr>
          <w:rFonts w:asciiTheme="minorHAnsi" w:hAnsiTheme="minorHAnsi"/>
          <w:sz w:val="24"/>
          <w:szCs w:val="24"/>
        </w:rPr>
        <w:t>Depoli</w:t>
      </w:r>
      <w:r w:rsidR="00E26157" w:rsidRPr="006931E8">
        <w:rPr>
          <w:rFonts w:asciiTheme="minorHAnsi" w:hAnsiTheme="minorHAnsi"/>
          <w:sz w:val="24"/>
          <w:szCs w:val="24"/>
        </w:rPr>
        <w:t>ticisation</w:t>
      </w:r>
      <w:proofErr w:type="spellEnd"/>
      <w:r w:rsidR="00E26157" w:rsidRPr="006931E8">
        <w:rPr>
          <w:rFonts w:asciiTheme="minorHAnsi" w:hAnsiTheme="minorHAnsi"/>
          <w:sz w:val="24"/>
          <w:szCs w:val="24"/>
        </w:rPr>
        <w:t xml:space="preserve">’, </w:t>
      </w:r>
      <w:r w:rsidR="00E26157" w:rsidRPr="006931E8">
        <w:rPr>
          <w:rFonts w:asciiTheme="minorHAnsi" w:hAnsiTheme="minorHAnsi"/>
          <w:i/>
          <w:sz w:val="24"/>
          <w:szCs w:val="24"/>
        </w:rPr>
        <w:t xml:space="preserve">British Journal of </w:t>
      </w:r>
      <w:r w:rsidRPr="006931E8">
        <w:rPr>
          <w:rFonts w:asciiTheme="minorHAnsi" w:hAnsiTheme="minorHAnsi"/>
          <w:i/>
          <w:sz w:val="24"/>
          <w:szCs w:val="24"/>
        </w:rPr>
        <w:t>Politics and International Relations</w:t>
      </w:r>
      <w:r w:rsidRPr="006931E8">
        <w:rPr>
          <w:rFonts w:asciiTheme="minorHAnsi" w:hAnsiTheme="minorHAnsi"/>
          <w:sz w:val="24"/>
          <w:szCs w:val="24"/>
        </w:rPr>
        <w:t>, Vol. 3, No. 2, June, pp. 127-149.</w:t>
      </w:r>
    </w:p>
    <w:p w:rsidR="00735368" w:rsidRDefault="000B1C52">
      <w:pPr>
        <w:ind w:left="720" w:right="720"/>
        <w:jc w:val="both"/>
        <w:rPr>
          <w:rFonts w:asciiTheme="minorHAnsi" w:hAnsiTheme="minorHAnsi"/>
          <w:sz w:val="24"/>
          <w:szCs w:val="24"/>
        </w:rPr>
      </w:pPr>
      <w:r w:rsidRPr="006931E8">
        <w:rPr>
          <w:rFonts w:asciiTheme="minorHAnsi" w:hAnsiTheme="minorHAnsi"/>
          <w:sz w:val="24"/>
          <w:szCs w:val="24"/>
        </w:rPr>
        <w:t>Burnham P. (2014)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economic crisis and political management”, </w:t>
      </w:r>
      <w:r w:rsidRPr="006931E8">
        <w:rPr>
          <w:rFonts w:asciiTheme="minorHAnsi" w:hAnsiTheme="minorHAnsi"/>
          <w:i/>
          <w:sz w:val="24"/>
          <w:szCs w:val="24"/>
        </w:rPr>
        <w:t>Policy and Politics</w:t>
      </w:r>
      <w:r w:rsidRPr="006931E8">
        <w:rPr>
          <w:rFonts w:asciiTheme="minorHAnsi" w:hAnsiTheme="minorHAnsi"/>
          <w:sz w:val="24"/>
          <w:szCs w:val="24"/>
        </w:rPr>
        <w:t xml:space="preserve">, Vol. 42, No: 2, April 2014, pp. 189-206. </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Central Ba</w:t>
      </w:r>
      <w:r w:rsidR="00C32491" w:rsidRPr="006931E8">
        <w:rPr>
          <w:rFonts w:asciiTheme="minorHAnsi" w:hAnsiTheme="minorHAnsi"/>
          <w:sz w:val="24"/>
          <w:szCs w:val="24"/>
        </w:rPr>
        <w:t xml:space="preserve">nk of </w:t>
      </w:r>
      <w:r w:rsidR="00EF1BC9" w:rsidRPr="006931E8">
        <w:rPr>
          <w:rFonts w:asciiTheme="minorHAnsi" w:hAnsiTheme="minorHAnsi"/>
          <w:sz w:val="24"/>
          <w:szCs w:val="24"/>
        </w:rPr>
        <w:t xml:space="preserve">Republic of </w:t>
      </w:r>
      <w:r w:rsidR="00C32491" w:rsidRPr="006931E8">
        <w:rPr>
          <w:rFonts w:asciiTheme="minorHAnsi" w:hAnsiTheme="minorHAnsi"/>
          <w:sz w:val="24"/>
          <w:szCs w:val="24"/>
        </w:rPr>
        <w:t>Turkey Annual Reports 2002-2008</w:t>
      </w:r>
      <w:r w:rsidRPr="006931E8">
        <w:rPr>
          <w:rFonts w:asciiTheme="minorHAnsi" w:hAnsiTheme="minorHAnsi"/>
          <w:sz w:val="24"/>
          <w:szCs w:val="24"/>
        </w:rPr>
        <w:t>.</w:t>
      </w:r>
    </w:p>
    <w:p w:rsidR="00735368" w:rsidRDefault="00EF3A12">
      <w:pPr>
        <w:ind w:left="720" w:right="720"/>
        <w:rPr>
          <w:rFonts w:asciiTheme="minorHAnsi" w:hAnsiTheme="minorHAnsi"/>
          <w:sz w:val="24"/>
          <w:szCs w:val="24"/>
        </w:rPr>
      </w:pPr>
      <w:r w:rsidRPr="006931E8">
        <w:rPr>
          <w:rFonts w:asciiTheme="minorHAnsi" w:hAnsiTheme="minorHAnsi"/>
          <w:sz w:val="24"/>
          <w:szCs w:val="24"/>
        </w:rPr>
        <w:t>Central Bank of</w:t>
      </w:r>
      <w:r w:rsidR="00EF1BC9" w:rsidRPr="006931E8">
        <w:rPr>
          <w:rFonts w:asciiTheme="minorHAnsi" w:hAnsiTheme="minorHAnsi"/>
          <w:sz w:val="24"/>
          <w:szCs w:val="24"/>
        </w:rPr>
        <w:t xml:space="preserve"> Republic of</w:t>
      </w:r>
      <w:r w:rsidRPr="006931E8">
        <w:rPr>
          <w:rFonts w:asciiTheme="minorHAnsi" w:hAnsiTheme="minorHAnsi"/>
          <w:sz w:val="24"/>
          <w:szCs w:val="24"/>
        </w:rPr>
        <w:t xml:space="preserve"> Turkey, Press Releases, http://tcmb.gov.tr/; </w:t>
      </w:r>
      <w:hyperlink r:id="rId17" w:history="1">
        <w:r w:rsidR="002C3C13" w:rsidRPr="006931E8">
          <w:rPr>
            <w:rStyle w:val="Hyperlink"/>
            <w:rFonts w:asciiTheme="minorHAnsi" w:hAnsiTheme="minorHAnsi"/>
            <w:sz w:val="24"/>
            <w:szCs w:val="24"/>
          </w:rPr>
          <w:t>http://tcmb.gov.tr/yeni/eng/</w:t>
        </w:r>
      </w:hyperlink>
      <w:r w:rsidR="002C3C13" w:rsidRPr="006931E8">
        <w:rPr>
          <w:rFonts w:asciiTheme="minorHAnsi" w:hAnsiTheme="minorHAnsi"/>
          <w:sz w:val="24"/>
          <w:szCs w:val="24"/>
        </w:rPr>
        <w:t xml:space="preserve"> </w:t>
      </w:r>
    </w:p>
    <w:p w:rsidR="00735368" w:rsidRDefault="00AC50B7">
      <w:pPr>
        <w:ind w:left="720" w:right="720"/>
        <w:rPr>
          <w:rFonts w:asciiTheme="minorHAnsi" w:hAnsiTheme="minorHAnsi"/>
          <w:sz w:val="24"/>
          <w:szCs w:val="24"/>
        </w:rPr>
      </w:pPr>
      <w:r w:rsidRPr="006931E8">
        <w:rPr>
          <w:rFonts w:asciiTheme="minorHAnsi" w:hAnsiTheme="minorHAnsi"/>
          <w:sz w:val="24"/>
          <w:szCs w:val="24"/>
        </w:rPr>
        <w:t xml:space="preserve">Central Bank of </w:t>
      </w:r>
      <w:r w:rsidR="00EF1BC9" w:rsidRPr="006931E8">
        <w:rPr>
          <w:rFonts w:asciiTheme="minorHAnsi" w:hAnsiTheme="minorHAnsi"/>
          <w:sz w:val="24"/>
          <w:szCs w:val="24"/>
        </w:rPr>
        <w:t xml:space="preserve">Republic of </w:t>
      </w:r>
      <w:r w:rsidRPr="006931E8">
        <w:rPr>
          <w:rFonts w:asciiTheme="minorHAnsi" w:hAnsiTheme="minorHAnsi"/>
          <w:sz w:val="24"/>
          <w:szCs w:val="24"/>
        </w:rPr>
        <w:t xml:space="preserve">Turkey, Interest Rates, accessed at </w:t>
      </w:r>
      <w:hyperlink r:id="rId18" w:history="1">
        <w:r w:rsidR="002E6F9F" w:rsidRPr="006931E8">
          <w:rPr>
            <w:rStyle w:val="Hyperlink"/>
            <w:rFonts w:asciiTheme="minorHAnsi" w:hAnsiTheme="minorHAnsi"/>
            <w:sz w:val="24"/>
            <w:szCs w:val="24"/>
          </w:rPr>
          <w:t>http://www.tcmb.gov.tr/yeni/evds/pgm/faiz/on.htm</w:t>
        </w:r>
      </w:hyperlink>
      <w:r w:rsidR="002E6F9F" w:rsidRPr="006931E8">
        <w:rPr>
          <w:rFonts w:asciiTheme="minorHAnsi" w:hAnsiTheme="minorHAnsi"/>
          <w:sz w:val="24"/>
          <w:szCs w:val="24"/>
        </w:rPr>
        <w:t xml:space="preserve"> </w:t>
      </w:r>
      <w:r w:rsidRPr="006931E8">
        <w:rPr>
          <w:rFonts w:asciiTheme="minorHAnsi" w:hAnsiTheme="minorHAnsi"/>
          <w:sz w:val="24"/>
          <w:szCs w:val="24"/>
        </w:rPr>
        <w:t>, on 15/03/2015</w:t>
      </w:r>
    </w:p>
    <w:p w:rsidR="00735368" w:rsidRDefault="008A5E6A">
      <w:pPr>
        <w:ind w:left="720" w:right="720"/>
        <w:rPr>
          <w:rFonts w:asciiTheme="minorHAnsi" w:hAnsiTheme="minorHAnsi"/>
          <w:sz w:val="24"/>
          <w:szCs w:val="24"/>
        </w:rPr>
      </w:pPr>
      <w:r w:rsidRPr="006931E8">
        <w:rPr>
          <w:rFonts w:asciiTheme="minorHAnsi" w:hAnsiTheme="minorHAnsi"/>
          <w:sz w:val="24"/>
          <w:szCs w:val="24"/>
        </w:rPr>
        <w:t xml:space="preserve">Central Bank of </w:t>
      </w:r>
      <w:r w:rsidR="00EF1BC9" w:rsidRPr="006931E8">
        <w:rPr>
          <w:rFonts w:asciiTheme="minorHAnsi" w:hAnsiTheme="minorHAnsi"/>
          <w:sz w:val="24"/>
          <w:szCs w:val="24"/>
        </w:rPr>
        <w:t xml:space="preserve">Republic of </w:t>
      </w:r>
      <w:r w:rsidRPr="006931E8">
        <w:rPr>
          <w:rFonts w:asciiTheme="minorHAnsi" w:hAnsiTheme="minorHAnsi"/>
          <w:sz w:val="24"/>
          <w:szCs w:val="24"/>
        </w:rPr>
        <w:t xml:space="preserve">Turkey, Inflation Targets, </w:t>
      </w:r>
      <w:hyperlink r:id="rId19" w:history="1">
        <w:r w:rsidRPr="006931E8">
          <w:rPr>
            <w:rStyle w:val="Hyperlink"/>
            <w:rFonts w:asciiTheme="minorHAnsi" w:hAnsiTheme="minorHAnsi"/>
            <w:sz w:val="24"/>
            <w:szCs w:val="24"/>
          </w:rPr>
          <w:t>http://www.tcmb.gov.tr/wps/wcm/connect/TCMB+EN/TCMB+EN/Main+Menu/MONETARY+POLICY/PRICE+STABILITY/Inflation+Targets</w:t>
        </w:r>
      </w:hyperlink>
      <w:r w:rsidRPr="006931E8">
        <w:rPr>
          <w:rFonts w:asciiTheme="minorHAnsi" w:hAnsiTheme="minorHAnsi"/>
          <w:sz w:val="24"/>
          <w:szCs w:val="24"/>
        </w:rPr>
        <w:t xml:space="preserve"> , accessed on 5/3/2015.</w:t>
      </w:r>
    </w:p>
    <w:p w:rsidR="00735368" w:rsidRDefault="005A032A">
      <w:pPr>
        <w:ind w:left="720" w:right="720"/>
        <w:rPr>
          <w:rFonts w:asciiTheme="minorHAnsi" w:hAnsiTheme="minorHAnsi"/>
          <w:sz w:val="24"/>
          <w:szCs w:val="24"/>
        </w:rPr>
      </w:pPr>
      <w:r w:rsidRPr="006931E8">
        <w:rPr>
          <w:rFonts w:asciiTheme="minorHAnsi" w:hAnsiTheme="minorHAnsi"/>
          <w:sz w:val="24"/>
          <w:szCs w:val="24"/>
        </w:rPr>
        <w:t>CBRT</w:t>
      </w:r>
      <w:r w:rsidR="002E6F9F" w:rsidRPr="006931E8">
        <w:rPr>
          <w:rFonts w:asciiTheme="minorHAnsi" w:hAnsiTheme="minorHAnsi"/>
          <w:sz w:val="24"/>
          <w:szCs w:val="24"/>
        </w:rPr>
        <w:t xml:space="preserve"> Policy rates, </w:t>
      </w:r>
      <w:hyperlink r:id="rId20" w:history="1">
        <w:r w:rsidR="002E6F9F" w:rsidRPr="006931E8">
          <w:rPr>
            <w:rStyle w:val="Hyperlink"/>
            <w:rFonts w:asciiTheme="minorHAnsi" w:hAnsiTheme="minorHAnsi"/>
            <w:sz w:val="24"/>
            <w:szCs w:val="24"/>
          </w:rPr>
          <w:t>http://www.tcmb.gov.tr/wps/wcm/connect/TCMB+EN/TCMB+EN/Main+Page+Site+Area/CBRT+POLICY+RATES</w:t>
        </w:r>
      </w:hyperlink>
      <w:r w:rsidR="002E6F9F" w:rsidRPr="006931E8">
        <w:rPr>
          <w:rFonts w:asciiTheme="minorHAnsi" w:hAnsiTheme="minorHAnsi"/>
          <w:sz w:val="24"/>
          <w:szCs w:val="24"/>
        </w:rPr>
        <w:t xml:space="preserve">  accessed on 10/3/2015</w:t>
      </w:r>
    </w:p>
    <w:p w:rsidR="00735368" w:rsidRDefault="00734E7A">
      <w:pPr>
        <w:ind w:left="720" w:right="720"/>
        <w:jc w:val="both"/>
        <w:rPr>
          <w:rFonts w:asciiTheme="minorHAnsi" w:hAnsiTheme="minorHAnsi"/>
          <w:sz w:val="24"/>
          <w:szCs w:val="24"/>
          <w:lang w:val="en-GB"/>
        </w:rPr>
      </w:pPr>
      <w:r w:rsidRPr="006931E8">
        <w:rPr>
          <w:rFonts w:asciiTheme="minorHAnsi" w:hAnsiTheme="minorHAnsi"/>
          <w:sz w:val="24"/>
          <w:szCs w:val="24"/>
          <w:lang w:val="en-GB"/>
        </w:rPr>
        <w:lastRenderedPageBreak/>
        <w:t>Clarke, S.</w:t>
      </w:r>
      <w:r w:rsidR="00927D52" w:rsidRPr="006931E8">
        <w:rPr>
          <w:rFonts w:asciiTheme="minorHAnsi" w:hAnsiTheme="minorHAnsi"/>
          <w:sz w:val="24"/>
          <w:szCs w:val="24"/>
          <w:lang w:val="en-GB"/>
        </w:rPr>
        <w:t xml:space="preserve"> (ed) (1991) </w:t>
      </w:r>
      <w:r w:rsidR="00927D52" w:rsidRPr="006931E8">
        <w:rPr>
          <w:rFonts w:asciiTheme="minorHAnsi" w:hAnsiTheme="minorHAnsi"/>
          <w:i/>
          <w:sz w:val="24"/>
          <w:szCs w:val="24"/>
          <w:lang w:val="en-GB"/>
        </w:rPr>
        <w:t>The State Debate</w:t>
      </w:r>
      <w:r w:rsidR="00927D52" w:rsidRPr="006931E8">
        <w:rPr>
          <w:rFonts w:asciiTheme="minorHAnsi" w:hAnsiTheme="minorHAnsi"/>
          <w:sz w:val="24"/>
          <w:szCs w:val="24"/>
          <w:lang w:val="en-GB"/>
        </w:rPr>
        <w:t xml:space="preserve"> Macmillan: London.</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Council of the European Union. (2013, June 21). Press release: Council closes excessive deficit procedures for Italy, Latvia, Lithuania, Hungary and Romania. Retrieved 11 February 2016, http://www.consilium.europa.eu/uedocs/cms_data/docs/pressdata/en/ecofin/137561.pdf.</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Cukierman A., (1992) </w:t>
      </w:r>
      <w:r w:rsidRPr="006931E8">
        <w:rPr>
          <w:rFonts w:asciiTheme="minorHAnsi" w:hAnsiTheme="minorHAnsi"/>
          <w:i/>
          <w:sz w:val="24"/>
          <w:szCs w:val="24"/>
        </w:rPr>
        <w:t>Central Bank Strategy, Credibilit</w:t>
      </w:r>
      <w:r w:rsidR="000A0C1C">
        <w:rPr>
          <w:rFonts w:asciiTheme="minorHAnsi" w:hAnsiTheme="minorHAnsi"/>
          <w:i/>
          <w:sz w:val="24"/>
          <w:szCs w:val="24"/>
        </w:rPr>
        <w:t xml:space="preserve">y, and Independence: Theory </w:t>
      </w:r>
      <w:r w:rsidR="00E26157" w:rsidRPr="006931E8">
        <w:rPr>
          <w:rFonts w:asciiTheme="minorHAnsi" w:hAnsiTheme="minorHAnsi"/>
          <w:i/>
          <w:sz w:val="24"/>
          <w:szCs w:val="24"/>
        </w:rPr>
        <w:t xml:space="preserve">and </w:t>
      </w:r>
      <w:r w:rsidRPr="006931E8">
        <w:rPr>
          <w:rFonts w:asciiTheme="minorHAnsi" w:hAnsiTheme="minorHAnsi"/>
          <w:i/>
          <w:sz w:val="24"/>
          <w:szCs w:val="24"/>
        </w:rPr>
        <w:t>Evidence</w:t>
      </w:r>
      <w:r w:rsidRPr="006931E8">
        <w:rPr>
          <w:rFonts w:asciiTheme="minorHAnsi" w:hAnsiTheme="minorHAnsi"/>
          <w:sz w:val="24"/>
          <w:szCs w:val="24"/>
        </w:rPr>
        <w:t>, Cambridge, Mass., London: The MIT Press.</w:t>
      </w:r>
    </w:p>
    <w:p w:rsidR="00735368" w:rsidRDefault="000A0C1C">
      <w:pPr>
        <w:ind w:left="720" w:right="720"/>
        <w:jc w:val="both"/>
        <w:rPr>
          <w:rFonts w:asciiTheme="minorHAnsi" w:hAnsiTheme="minorHAnsi"/>
          <w:sz w:val="24"/>
          <w:szCs w:val="24"/>
        </w:rPr>
      </w:pPr>
      <w:r>
        <w:rPr>
          <w:rFonts w:asciiTheme="minorHAnsi" w:hAnsiTheme="minorHAnsi"/>
          <w:sz w:val="24"/>
          <w:szCs w:val="24"/>
        </w:rPr>
        <w:t>Cukierman (2011)</w:t>
      </w:r>
      <w:r w:rsidR="00EF3A12" w:rsidRPr="006931E8">
        <w:rPr>
          <w:rFonts w:asciiTheme="minorHAnsi" w:hAnsiTheme="minorHAnsi"/>
          <w:sz w:val="24"/>
          <w:szCs w:val="24"/>
        </w:rPr>
        <w:t xml:space="preserve"> “Reflections on the Crisis and on its Lesson</w:t>
      </w:r>
      <w:r>
        <w:rPr>
          <w:rFonts w:asciiTheme="minorHAnsi" w:hAnsiTheme="minorHAnsi"/>
          <w:sz w:val="24"/>
          <w:szCs w:val="24"/>
        </w:rPr>
        <w:t xml:space="preserve">s for Regulatory </w:t>
      </w:r>
      <w:r w:rsidR="00E26157" w:rsidRPr="006931E8">
        <w:rPr>
          <w:rFonts w:asciiTheme="minorHAnsi" w:hAnsiTheme="minorHAnsi"/>
          <w:sz w:val="24"/>
          <w:szCs w:val="24"/>
        </w:rPr>
        <w:t xml:space="preserve">Reform and for </w:t>
      </w:r>
      <w:r w:rsidR="00EF3A12" w:rsidRPr="006931E8">
        <w:rPr>
          <w:rFonts w:asciiTheme="minorHAnsi" w:hAnsiTheme="minorHAnsi"/>
          <w:sz w:val="24"/>
          <w:szCs w:val="24"/>
        </w:rPr>
        <w:t xml:space="preserve">Central Bank Policies”, </w:t>
      </w:r>
      <w:r w:rsidR="00EF3A12" w:rsidRPr="006931E8">
        <w:rPr>
          <w:rFonts w:asciiTheme="minorHAnsi" w:hAnsiTheme="minorHAnsi"/>
          <w:i/>
          <w:sz w:val="24"/>
          <w:szCs w:val="24"/>
        </w:rPr>
        <w:t>Journal of Financial Stability</w:t>
      </w:r>
      <w:r w:rsidR="00EF3A12" w:rsidRPr="006931E8">
        <w:rPr>
          <w:rFonts w:asciiTheme="minorHAnsi" w:hAnsiTheme="minorHAnsi"/>
          <w:sz w:val="24"/>
          <w:szCs w:val="24"/>
        </w:rPr>
        <w:t>, 7, 26-37.</w:t>
      </w:r>
    </w:p>
    <w:p w:rsidR="006A3E45" w:rsidRDefault="00227D65">
      <w:pPr>
        <w:pStyle w:val="Default"/>
        <w:ind w:left="720" w:right="720"/>
        <w:jc w:val="both"/>
      </w:pPr>
      <w:r w:rsidRPr="000A0C1C">
        <w:rPr>
          <w:rFonts w:asciiTheme="minorHAnsi" w:hAnsiTheme="minorHAnsi"/>
        </w:rPr>
        <w:t xml:space="preserve">Donmez P. (2012) </w:t>
      </w:r>
      <w:r w:rsidR="000A0C1C" w:rsidRPr="000A0C1C">
        <w:rPr>
          <w:rFonts w:asciiTheme="minorHAnsi" w:hAnsiTheme="minorHAnsi"/>
          <w:i/>
        </w:rPr>
        <w:t xml:space="preserve">Politics of </w:t>
      </w:r>
      <w:proofErr w:type="spellStart"/>
      <w:r w:rsidR="000A0C1C" w:rsidRPr="000A0C1C">
        <w:rPr>
          <w:rFonts w:asciiTheme="minorHAnsi" w:hAnsiTheme="minorHAnsi"/>
          <w:i/>
        </w:rPr>
        <w:t>Depoliticisation</w:t>
      </w:r>
      <w:proofErr w:type="spellEnd"/>
      <w:r w:rsidR="000A0C1C" w:rsidRPr="000A0C1C">
        <w:rPr>
          <w:rFonts w:asciiTheme="minorHAnsi" w:hAnsiTheme="minorHAnsi"/>
          <w:i/>
        </w:rPr>
        <w:t>: A Re-assessment of the Post-2001 Restructuring of the State and Economic Policy Making in Turkey</w:t>
      </w:r>
      <w:r w:rsidR="000A0C1C">
        <w:rPr>
          <w:rFonts w:asciiTheme="minorHAnsi" w:hAnsiTheme="minorHAnsi"/>
        </w:rPr>
        <w:t xml:space="preserve">, </w:t>
      </w:r>
      <w:proofErr w:type="spellStart"/>
      <w:r w:rsidR="000A0C1C">
        <w:rPr>
          <w:rFonts w:asciiTheme="minorHAnsi" w:hAnsiTheme="minorHAnsi"/>
        </w:rPr>
        <w:t>npublished</w:t>
      </w:r>
      <w:proofErr w:type="spellEnd"/>
      <w:r w:rsidR="000A0C1C">
        <w:rPr>
          <w:rFonts w:asciiTheme="minorHAnsi" w:hAnsiTheme="minorHAnsi"/>
        </w:rPr>
        <w:t xml:space="preserve"> PhD t</w:t>
      </w:r>
      <w:r w:rsidR="000A0C1C" w:rsidRPr="000A0C1C">
        <w:rPr>
          <w:rFonts w:asciiTheme="minorHAnsi" w:hAnsiTheme="minorHAnsi"/>
        </w:rPr>
        <w:t xml:space="preserve">hesis, </w:t>
      </w:r>
      <w:r w:rsidR="000A0C1C">
        <w:rPr>
          <w:rFonts w:asciiTheme="minorHAnsi" w:hAnsiTheme="minorHAnsi"/>
        </w:rPr>
        <w:t>University of Warwick</w:t>
      </w:r>
      <w:r w:rsidR="000A0C1C" w:rsidRPr="000A0C1C">
        <w:rPr>
          <w:rFonts w:asciiTheme="minorHAnsi" w:hAnsiTheme="minorHAnsi"/>
        </w:rPr>
        <w:t xml:space="preserve">. </w:t>
      </w:r>
    </w:p>
    <w:p w:rsidR="00735368" w:rsidRDefault="00227D65">
      <w:pPr>
        <w:ind w:left="720" w:right="720"/>
        <w:jc w:val="both"/>
        <w:rPr>
          <w:sz w:val="24"/>
          <w:szCs w:val="24"/>
        </w:rPr>
      </w:pPr>
      <w:r w:rsidRPr="00227D65">
        <w:rPr>
          <w:sz w:val="24"/>
          <w:szCs w:val="24"/>
        </w:rPr>
        <w:t>Donmez P. (2014) “</w:t>
      </w:r>
      <w:r w:rsidRPr="00227D65">
        <w:rPr>
          <w:bCs/>
          <w:sz w:val="24"/>
          <w:szCs w:val="24"/>
        </w:rPr>
        <w:t xml:space="preserve">Crisis and Regional Governance Attempts: </w:t>
      </w:r>
      <w:proofErr w:type="gramStart"/>
      <w:r w:rsidRPr="00227D65">
        <w:rPr>
          <w:bCs/>
          <w:sz w:val="24"/>
          <w:szCs w:val="24"/>
        </w:rPr>
        <w:t>the</w:t>
      </w:r>
      <w:proofErr w:type="gramEnd"/>
      <w:r w:rsidRPr="00227D65">
        <w:rPr>
          <w:bCs/>
          <w:sz w:val="24"/>
          <w:szCs w:val="24"/>
        </w:rPr>
        <w:t xml:space="preserve"> Curious Case of Turkey in Critical Perspective</w:t>
      </w:r>
      <w:r w:rsidRPr="00227D65">
        <w:rPr>
          <w:sz w:val="24"/>
          <w:szCs w:val="24"/>
        </w:rPr>
        <w:t xml:space="preserve">”, in T. </w:t>
      </w:r>
      <w:proofErr w:type="spellStart"/>
      <w:r w:rsidRPr="00227D65">
        <w:rPr>
          <w:sz w:val="24"/>
          <w:szCs w:val="24"/>
        </w:rPr>
        <w:t>Haastrup</w:t>
      </w:r>
      <w:proofErr w:type="spellEnd"/>
      <w:r w:rsidRPr="00227D65">
        <w:rPr>
          <w:sz w:val="24"/>
          <w:szCs w:val="24"/>
        </w:rPr>
        <w:t xml:space="preserve"> and J. </w:t>
      </w:r>
      <w:proofErr w:type="spellStart"/>
      <w:r w:rsidRPr="00227D65">
        <w:rPr>
          <w:sz w:val="24"/>
          <w:szCs w:val="24"/>
        </w:rPr>
        <w:t>Eun</w:t>
      </w:r>
      <w:proofErr w:type="spellEnd"/>
      <w:r w:rsidRPr="00227D65">
        <w:rPr>
          <w:sz w:val="24"/>
          <w:szCs w:val="24"/>
        </w:rPr>
        <w:t xml:space="preserve"> (eds.), </w:t>
      </w:r>
      <w:proofErr w:type="spellStart"/>
      <w:r w:rsidRPr="00227D65">
        <w:rPr>
          <w:i/>
          <w:iCs/>
          <w:sz w:val="24"/>
          <w:szCs w:val="24"/>
        </w:rPr>
        <w:t>Regionalising</w:t>
      </w:r>
      <w:proofErr w:type="spellEnd"/>
      <w:r w:rsidRPr="00227D65">
        <w:rPr>
          <w:i/>
          <w:iCs/>
          <w:sz w:val="24"/>
          <w:szCs w:val="24"/>
        </w:rPr>
        <w:t xml:space="preserve"> Global Crises: The Financial Crisis and New Frontiers in Regional Governance, </w:t>
      </w:r>
      <w:r w:rsidRPr="00227D65">
        <w:rPr>
          <w:sz w:val="24"/>
          <w:szCs w:val="24"/>
        </w:rPr>
        <w:t xml:space="preserve">Palgrave MacMillan International Political Economy Series. </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 xml:space="preserve">Dunai, M. &amp; </w:t>
      </w:r>
      <w:proofErr w:type="spellStart"/>
      <w:r w:rsidRPr="006931E8">
        <w:rPr>
          <w:rFonts w:asciiTheme="minorHAnsi" w:hAnsiTheme="minorHAnsi"/>
          <w:sz w:val="24"/>
          <w:szCs w:val="24"/>
        </w:rPr>
        <w:t>Szakacs</w:t>
      </w:r>
      <w:proofErr w:type="spellEnd"/>
      <w:r w:rsidRPr="006931E8">
        <w:rPr>
          <w:rFonts w:asciiTheme="minorHAnsi" w:hAnsiTheme="minorHAnsi"/>
          <w:sz w:val="24"/>
          <w:szCs w:val="24"/>
        </w:rPr>
        <w:t xml:space="preserve">, G. (2013, August 12). Hungary repays 2008 IMF loan in full - government. Reuters. Retrieved 23 March 2015, from http://uk.reuters.com/article/uk-hungary-imf-repaid-idUKBRE97B07720130812. </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 xml:space="preserve">Dunai, M. (2016, May 23). INSIGHT-Hungarian media group </w:t>
      </w:r>
      <w:proofErr w:type="spellStart"/>
      <w:r w:rsidRPr="006931E8">
        <w:rPr>
          <w:rFonts w:asciiTheme="minorHAnsi" w:hAnsiTheme="minorHAnsi"/>
          <w:sz w:val="24"/>
          <w:szCs w:val="24"/>
        </w:rPr>
        <w:t>fuelled</w:t>
      </w:r>
      <w:proofErr w:type="spellEnd"/>
      <w:r w:rsidRPr="006931E8">
        <w:rPr>
          <w:rFonts w:asciiTheme="minorHAnsi" w:hAnsiTheme="minorHAnsi"/>
          <w:sz w:val="24"/>
          <w:szCs w:val="24"/>
        </w:rPr>
        <w:t xml:space="preserve"> with central bank cash. Reuters. Retrieved 7 June 2016, from http://www.cnbc.com/2016/05/23/reuters-america-insight-hungarian-media-group-fuelled-with-central-bank-cash.html.</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Economist</w:t>
      </w:r>
      <w:r w:rsidR="000215AF" w:rsidRPr="006931E8">
        <w:rPr>
          <w:rFonts w:asciiTheme="minorHAnsi" w:hAnsiTheme="minorHAnsi"/>
          <w:sz w:val="24"/>
          <w:szCs w:val="24"/>
        </w:rPr>
        <w:t xml:space="preserve"> </w:t>
      </w:r>
      <w:r w:rsidRPr="006931E8">
        <w:rPr>
          <w:rFonts w:asciiTheme="minorHAnsi" w:hAnsiTheme="minorHAnsi"/>
          <w:sz w:val="24"/>
          <w:szCs w:val="24"/>
        </w:rPr>
        <w:t>(2014). Hungary’s government gives stru</w:t>
      </w:r>
      <w:r w:rsidR="00E26157" w:rsidRPr="006931E8">
        <w:rPr>
          <w:rFonts w:asciiTheme="minorHAnsi" w:hAnsiTheme="minorHAnsi"/>
          <w:sz w:val="24"/>
          <w:szCs w:val="24"/>
        </w:rPr>
        <w:t xml:space="preserve">ggling borrowers a break </w:t>
      </w:r>
      <w:proofErr w:type="gramStart"/>
      <w:r w:rsidR="00E26157" w:rsidRPr="006931E8">
        <w:rPr>
          <w:rFonts w:asciiTheme="minorHAnsi" w:hAnsiTheme="minorHAnsi"/>
          <w:sz w:val="24"/>
          <w:szCs w:val="24"/>
        </w:rPr>
        <w:t xml:space="preserve">( </w:t>
      </w:r>
      <w:r w:rsidRPr="006931E8">
        <w:rPr>
          <w:rFonts w:asciiTheme="minorHAnsi" w:hAnsiTheme="minorHAnsi"/>
          <w:sz w:val="24"/>
          <w:szCs w:val="24"/>
        </w:rPr>
        <w:t>November</w:t>
      </w:r>
      <w:proofErr w:type="gramEnd"/>
      <w:r w:rsidRPr="006931E8">
        <w:rPr>
          <w:rFonts w:asciiTheme="minorHAnsi" w:hAnsiTheme="minorHAnsi"/>
          <w:sz w:val="24"/>
          <w:szCs w:val="24"/>
        </w:rPr>
        <w:t xml:space="preserve"> 5). The Economist</w:t>
      </w:r>
      <w:r w:rsidR="00E26157" w:rsidRPr="006931E8">
        <w:rPr>
          <w:rFonts w:asciiTheme="minorHAnsi" w:hAnsiTheme="minorHAnsi"/>
          <w:sz w:val="24"/>
          <w:szCs w:val="24"/>
        </w:rPr>
        <w:t xml:space="preserve">, </w:t>
      </w:r>
      <w:hyperlink r:id="rId21" w:history="1">
        <w:r w:rsidR="00791755" w:rsidRPr="006931E8">
          <w:rPr>
            <w:rStyle w:val="Hyperlink"/>
            <w:rFonts w:asciiTheme="minorHAnsi" w:hAnsiTheme="minorHAnsi"/>
            <w:sz w:val="24"/>
            <w:szCs w:val="24"/>
          </w:rPr>
          <w:t>http://www.economist.com/news/finance-and-economics/21632651-hungarys-governmentgives-struggling-borrowers-break-forint-exchange</w:t>
        </w:r>
      </w:hyperlink>
      <w:r w:rsidR="00791755" w:rsidRPr="006931E8">
        <w:rPr>
          <w:rFonts w:asciiTheme="minorHAnsi" w:hAnsiTheme="minorHAnsi"/>
          <w:sz w:val="24"/>
          <w:szCs w:val="24"/>
        </w:rPr>
        <w:t xml:space="preserve"> accessed 23/3/2015</w:t>
      </w:r>
      <w:r w:rsidRPr="006931E8">
        <w:rPr>
          <w:rFonts w:asciiTheme="minorHAnsi" w:hAnsiTheme="minorHAnsi"/>
          <w:sz w:val="24"/>
          <w:szCs w:val="24"/>
        </w:rPr>
        <w:t>.</w:t>
      </w:r>
    </w:p>
    <w:p w:rsidR="00735368" w:rsidRDefault="00104378">
      <w:pPr>
        <w:ind w:left="720" w:right="720"/>
        <w:jc w:val="both"/>
        <w:rPr>
          <w:rFonts w:asciiTheme="minorHAnsi" w:hAnsiTheme="minorHAnsi"/>
          <w:sz w:val="24"/>
          <w:szCs w:val="24"/>
        </w:rPr>
      </w:pPr>
      <w:r w:rsidRPr="006931E8">
        <w:rPr>
          <w:rFonts w:asciiTheme="minorHAnsi" w:hAnsiTheme="minorHAnsi"/>
          <w:sz w:val="24"/>
          <w:szCs w:val="24"/>
        </w:rPr>
        <w:t xml:space="preserve">Economist (2016) Unaccountable technocrats or convenient scapegoats? Rethinking central bank independence. (November 16). The Economist. </w:t>
      </w:r>
      <w:hyperlink r:id="rId22" w:history="1">
        <w:r w:rsidRPr="006931E8">
          <w:rPr>
            <w:rStyle w:val="Hyperlink"/>
            <w:rFonts w:asciiTheme="minorHAnsi" w:hAnsiTheme="minorHAnsi"/>
            <w:sz w:val="24"/>
            <w:szCs w:val="24"/>
          </w:rPr>
          <w:t>https://www.economist.com/blogs/buttonwood/2016/11/unaccountable-technocrats-or-convenient-scapegoats accessed on 10/8/2017</w:t>
        </w:r>
      </w:hyperlink>
      <w:r w:rsidRPr="006931E8">
        <w:rPr>
          <w:rFonts w:asciiTheme="minorHAnsi" w:hAnsiTheme="minorHAnsi"/>
          <w:sz w:val="24"/>
          <w:szCs w:val="24"/>
        </w:rPr>
        <w:t>.</w:t>
      </w:r>
    </w:p>
    <w:p w:rsidR="00735368" w:rsidRDefault="00104378">
      <w:pPr>
        <w:ind w:left="720" w:right="720"/>
        <w:jc w:val="both"/>
        <w:rPr>
          <w:rFonts w:asciiTheme="minorHAnsi" w:hAnsiTheme="minorHAnsi"/>
          <w:bCs/>
          <w:sz w:val="24"/>
          <w:szCs w:val="24"/>
          <w:lang w:val="en-GB"/>
        </w:rPr>
      </w:pPr>
      <w:r w:rsidRPr="006931E8">
        <w:rPr>
          <w:rFonts w:asciiTheme="minorHAnsi" w:hAnsiTheme="minorHAnsi"/>
          <w:sz w:val="24"/>
          <w:szCs w:val="24"/>
        </w:rPr>
        <w:t xml:space="preserve">Economist (2016a) </w:t>
      </w:r>
      <w:r w:rsidRPr="006931E8">
        <w:rPr>
          <w:rFonts w:asciiTheme="minorHAnsi" w:hAnsiTheme="minorHAnsi"/>
          <w:bCs/>
          <w:sz w:val="24"/>
          <w:szCs w:val="24"/>
          <w:lang w:val="en-GB"/>
        </w:rPr>
        <w:t xml:space="preserve">Turkey's central bank governor choice: crisis or compromise? (March 30), </w:t>
      </w:r>
      <w:hyperlink r:id="rId23" w:history="1">
        <w:r w:rsidRPr="006931E8">
          <w:rPr>
            <w:rStyle w:val="Hyperlink"/>
            <w:rFonts w:asciiTheme="minorHAnsi" w:hAnsiTheme="minorHAnsi"/>
            <w:sz w:val="24"/>
            <w:szCs w:val="24"/>
          </w:rPr>
          <w:t>http://www.eiu.com/industry/article/1614073145/turkeys-central-bank-governor-choice-crisis-or-compromise/2016-03-30</w:t>
        </w:r>
      </w:hyperlink>
      <w:r w:rsidRPr="006931E8">
        <w:rPr>
          <w:rFonts w:asciiTheme="minorHAnsi" w:hAnsiTheme="minorHAnsi"/>
          <w:sz w:val="24"/>
          <w:szCs w:val="24"/>
        </w:rPr>
        <w:t xml:space="preserve"> accessed on 21 July 2017.</w:t>
      </w:r>
    </w:p>
    <w:p w:rsidR="00735368" w:rsidRDefault="000215AF">
      <w:pPr>
        <w:ind w:left="720" w:right="720"/>
        <w:jc w:val="both"/>
        <w:rPr>
          <w:rFonts w:asciiTheme="minorHAnsi" w:hAnsiTheme="minorHAnsi"/>
          <w:sz w:val="24"/>
          <w:szCs w:val="24"/>
        </w:rPr>
      </w:pPr>
      <w:r w:rsidRPr="006931E8">
        <w:rPr>
          <w:rFonts w:asciiTheme="minorHAnsi" w:hAnsiTheme="minorHAnsi"/>
          <w:sz w:val="24"/>
          <w:szCs w:val="24"/>
        </w:rPr>
        <w:t>European Central Bank (ECB) Press Release (2011), “The ECB expresses concern about the independence of the central</w:t>
      </w:r>
      <w:r w:rsidR="00015F7C">
        <w:rPr>
          <w:rFonts w:asciiTheme="minorHAnsi" w:hAnsiTheme="minorHAnsi"/>
          <w:sz w:val="24"/>
          <w:szCs w:val="24"/>
        </w:rPr>
        <w:t xml:space="preserve"> bank of Hungary,” 22 December.</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European Central Bank (2011). </w:t>
      </w:r>
      <w:r w:rsidRPr="006931E8">
        <w:rPr>
          <w:rFonts w:asciiTheme="minorHAnsi" w:hAnsiTheme="minorHAnsi"/>
          <w:i/>
          <w:sz w:val="24"/>
          <w:szCs w:val="24"/>
        </w:rPr>
        <w:t>The monetary policy of th</w:t>
      </w:r>
      <w:r w:rsidR="00E26157" w:rsidRPr="006931E8">
        <w:rPr>
          <w:rFonts w:asciiTheme="minorHAnsi" w:hAnsiTheme="minorHAnsi"/>
          <w:i/>
          <w:sz w:val="24"/>
          <w:szCs w:val="24"/>
        </w:rPr>
        <w:t>e ECB</w:t>
      </w:r>
      <w:r w:rsidR="00272CAC" w:rsidRPr="006931E8">
        <w:rPr>
          <w:rFonts w:asciiTheme="minorHAnsi" w:hAnsiTheme="minorHAnsi"/>
          <w:sz w:val="24"/>
          <w:szCs w:val="24"/>
        </w:rPr>
        <w:t xml:space="preserve">, </w:t>
      </w:r>
      <w:r w:rsidR="00E26157" w:rsidRPr="006931E8">
        <w:rPr>
          <w:rFonts w:asciiTheme="minorHAnsi" w:hAnsiTheme="minorHAnsi"/>
          <w:sz w:val="24"/>
          <w:szCs w:val="24"/>
        </w:rPr>
        <w:t xml:space="preserve">Frankfurt: European </w:t>
      </w:r>
      <w:r w:rsidRPr="006931E8">
        <w:rPr>
          <w:rFonts w:asciiTheme="minorHAnsi" w:hAnsiTheme="minorHAnsi"/>
          <w:sz w:val="24"/>
          <w:szCs w:val="24"/>
        </w:rPr>
        <w:t xml:space="preserve">Central </w:t>
      </w:r>
      <w:proofErr w:type="spellStart"/>
      <w:r w:rsidRPr="006931E8">
        <w:rPr>
          <w:rFonts w:asciiTheme="minorHAnsi" w:hAnsiTheme="minorHAnsi"/>
          <w:sz w:val="24"/>
          <w:szCs w:val="24"/>
        </w:rPr>
        <w:t>Bank.Feher</w:t>
      </w:r>
      <w:proofErr w:type="spellEnd"/>
      <w:r w:rsidRPr="006931E8">
        <w:rPr>
          <w:rFonts w:asciiTheme="minorHAnsi" w:hAnsiTheme="minorHAnsi"/>
          <w:sz w:val="24"/>
          <w:szCs w:val="24"/>
        </w:rPr>
        <w:t>, M. (2014). Hungary objects to ECB warning on bank law (2014, August 6). WSJ.http://www.wsj.com/articles</w:t>
      </w:r>
      <w:r w:rsidR="00E26157" w:rsidRPr="006931E8">
        <w:rPr>
          <w:rFonts w:asciiTheme="minorHAnsi" w:hAnsiTheme="minorHAnsi"/>
          <w:sz w:val="24"/>
          <w:szCs w:val="24"/>
        </w:rPr>
        <w:t>/hungary-objects-to-ecbwarning-</w:t>
      </w:r>
      <w:r w:rsidRPr="006931E8">
        <w:rPr>
          <w:rFonts w:asciiTheme="minorHAnsi" w:hAnsiTheme="minorHAnsi"/>
          <w:sz w:val="24"/>
          <w:szCs w:val="24"/>
        </w:rPr>
        <w:t>on-bank-law-1407362156</w:t>
      </w:r>
      <w:r w:rsidR="00791755" w:rsidRPr="006931E8">
        <w:rPr>
          <w:rFonts w:asciiTheme="minorHAnsi" w:hAnsiTheme="minorHAnsi"/>
          <w:sz w:val="24"/>
          <w:szCs w:val="24"/>
        </w:rPr>
        <w:t xml:space="preserve"> accessed 23/3/2015</w:t>
      </w:r>
      <w:r w:rsidRPr="006931E8">
        <w:rPr>
          <w:rFonts w:asciiTheme="minorHAnsi" w:hAnsiTheme="minorHAnsi"/>
          <w:sz w:val="24"/>
          <w:szCs w:val="24"/>
        </w:rPr>
        <w:t>.</w:t>
      </w:r>
    </w:p>
    <w:p w:rsidR="00BF7938" w:rsidRDefault="00BF7938">
      <w:pPr>
        <w:ind w:left="720" w:right="720"/>
        <w:jc w:val="both"/>
        <w:rPr>
          <w:rFonts w:asciiTheme="minorHAnsi" w:hAnsiTheme="minorHAnsi"/>
          <w:sz w:val="24"/>
          <w:szCs w:val="24"/>
        </w:rPr>
      </w:pPr>
      <w:r>
        <w:rPr>
          <w:rFonts w:asciiTheme="minorHAnsi" w:hAnsiTheme="minorHAnsi"/>
          <w:sz w:val="24"/>
          <w:szCs w:val="24"/>
        </w:rPr>
        <w:t>Financial Times, various issues, 2008-2009.</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lastRenderedPageBreak/>
        <w:t>Financial Times (2015) “Erdogan backs off in bat</w:t>
      </w:r>
      <w:r w:rsidR="00E26157" w:rsidRPr="006931E8">
        <w:rPr>
          <w:rFonts w:asciiTheme="minorHAnsi" w:hAnsiTheme="minorHAnsi"/>
          <w:sz w:val="24"/>
          <w:szCs w:val="24"/>
        </w:rPr>
        <w:t xml:space="preserve">tle with Turkish Central Bank”, </w:t>
      </w:r>
      <w:r w:rsidRPr="006931E8">
        <w:rPr>
          <w:rFonts w:asciiTheme="minorHAnsi" w:hAnsiTheme="minorHAnsi"/>
          <w:sz w:val="24"/>
          <w:szCs w:val="24"/>
        </w:rPr>
        <w:t>http://www.ft.com/cms/s/0/205c72f6-c89d-11e4-8617-00144feab7de.html</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Financial Times (2015</w:t>
      </w:r>
      <w:r w:rsidR="00272CAC" w:rsidRPr="006931E8">
        <w:rPr>
          <w:rFonts w:asciiTheme="minorHAnsi" w:hAnsiTheme="minorHAnsi"/>
          <w:sz w:val="24"/>
          <w:szCs w:val="24"/>
        </w:rPr>
        <w:t>a</w:t>
      </w:r>
      <w:r w:rsidRPr="006931E8">
        <w:rPr>
          <w:rFonts w:asciiTheme="minorHAnsi" w:hAnsiTheme="minorHAnsi"/>
          <w:sz w:val="24"/>
          <w:szCs w:val="24"/>
        </w:rPr>
        <w:t>) “Critics blame Erdogan 'hubris' fo</w:t>
      </w:r>
      <w:r w:rsidR="00BF7938">
        <w:rPr>
          <w:rFonts w:asciiTheme="minorHAnsi" w:hAnsiTheme="minorHAnsi"/>
          <w:sz w:val="24"/>
          <w:szCs w:val="24"/>
        </w:rPr>
        <w:t>r currency weakness”</w:t>
      </w:r>
      <w:r w:rsidRPr="006931E8">
        <w:rPr>
          <w:rFonts w:asciiTheme="minorHAnsi" w:hAnsiTheme="minorHAnsi"/>
          <w:sz w:val="24"/>
          <w:szCs w:val="24"/>
        </w:rPr>
        <w:t>, http://www.ft.com/intl/c</w:t>
      </w:r>
      <w:r w:rsidR="00E26157" w:rsidRPr="006931E8">
        <w:rPr>
          <w:rFonts w:asciiTheme="minorHAnsi" w:hAnsiTheme="minorHAnsi"/>
          <w:sz w:val="24"/>
          <w:szCs w:val="24"/>
        </w:rPr>
        <w:t>ms/s/0/ec91b45e-c64e-11e4-add0-</w:t>
      </w:r>
      <w:r w:rsidRPr="006931E8">
        <w:rPr>
          <w:rFonts w:asciiTheme="minorHAnsi" w:hAnsiTheme="minorHAnsi"/>
          <w:sz w:val="24"/>
          <w:szCs w:val="24"/>
        </w:rPr>
        <w:t>00144feab7de.html#axzz3UBRxe1ZA accessed on 12/3/2015.</w:t>
      </w:r>
    </w:p>
    <w:p w:rsidR="00735368" w:rsidRDefault="00011C32">
      <w:pPr>
        <w:ind w:left="720" w:right="720"/>
        <w:jc w:val="both"/>
        <w:rPr>
          <w:rFonts w:asciiTheme="minorHAnsi" w:hAnsiTheme="minorHAnsi"/>
          <w:sz w:val="24"/>
          <w:szCs w:val="24"/>
        </w:rPr>
      </w:pPr>
      <w:proofErr w:type="spellStart"/>
      <w:r w:rsidRPr="006931E8">
        <w:rPr>
          <w:rFonts w:asciiTheme="minorHAnsi" w:hAnsiTheme="minorHAnsi"/>
          <w:sz w:val="24"/>
          <w:szCs w:val="24"/>
        </w:rPr>
        <w:t>Gagyi</w:t>
      </w:r>
      <w:proofErr w:type="spellEnd"/>
      <w:r w:rsidRPr="006931E8">
        <w:rPr>
          <w:rFonts w:asciiTheme="minorHAnsi" w:hAnsiTheme="minorHAnsi"/>
          <w:sz w:val="24"/>
          <w:szCs w:val="24"/>
        </w:rPr>
        <w:t xml:space="preserve">, A. (2015) “Reform Economics at the Financial Research Institute in Late Socialist Hungary: A Case of Globally Embedded Knowledge Production.” </w:t>
      </w:r>
      <w:r w:rsidRPr="006931E8">
        <w:rPr>
          <w:rFonts w:asciiTheme="minorHAnsi" w:hAnsiTheme="minorHAnsi"/>
          <w:i/>
          <w:sz w:val="24"/>
          <w:szCs w:val="24"/>
        </w:rPr>
        <w:t>Intersections: East European Journal of Society and Politics</w:t>
      </w:r>
      <w:r w:rsidRPr="006931E8">
        <w:rPr>
          <w:rFonts w:asciiTheme="minorHAnsi" w:hAnsiTheme="minorHAnsi"/>
          <w:sz w:val="24"/>
          <w:szCs w:val="24"/>
        </w:rPr>
        <w:t>, 1(2), pp. 59‒79.</w:t>
      </w:r>
    </w:p>
    <w:p w:rsidR="00735368" w:rsidRDefault="00011C32">
      <w:pPr>
        <w:ind w:left="720" w:right="720"/>
        <w:jc w:val="both"/>
        <w:rPr>
          <w:rFonts w:asciiTheme="minorHAnsi" w:hAnsiTheme="minorHAnsi"/>
          <w:sz w:val="24"/>
          <w:szCs w:val="24"/>
        </w:rPr>
      </w:pPr>
      <w:proofErr w:type="spellStart"/>
      <w:r w:rsidRPr="006931E8">
        <w:rPr>
          <w:rFonts w:asciiTheme="minorHAnsi" w:hAnsiTheme="minorHAnsi"/>
          <w:sz w:val="24"/>
          <w:szCs w:val="24"/>
        </w:rPr>
        <w:t>Gagyi</w:t>
      </w:r>
      <w:proofErr w:type="spellEnd"/>
      <w:r w:rsidRPr="006931E8">
        <w:rPr>
          <w:rFonts w:asciiTheme="minorHAnsi" w:hAnsiTheme="minorHAnsi"/>
          <w:sz w:val="24"/>
          <w:szCs w:val="24"/>
        </w:rPr>
        <w:t xml:space="preserve"> A. and Eber M. A (2015) ‘Class and Social Structure in Hungarian Sociology’, </w:t>
      </w:r>
      <w:r w:rsidRPr="006931E8">
        <w:rPr>
          <w:rFonts w:asciiTheme="minorHAnsi" w:hAnsiTheme="minorHAnsi"/>
          <w:i/>
          <w:sz w:val="24"/>
          <w:szCs w:val="24"/>
        </w:rPr>
        <w:t>East European Politics and Societies and Cultures</w:t>
      </w:r>
      <w:r w:rsidRPr="006931E8">
        <w:rPr>
          <w:rFonts w:asciiTheme="minorHAnsi" w:hAnsiTheme="minorHAnsi"/>
          <w:sz w:val="24"/>
          <w:szCs w:val="24"/>
        </w:rPr>
        <w:t>, Vol. 29 No. 3, pp. 598–609.</w:t>
      </w:r>
    </w:p>
    <w:p w:rsidR="00735368" w:rsidRDefault="00011C32">
      <w:pPr>
        <w:ind w:left="720" w:right="720"/>
        <w:jc w:val="both"/>
        <w:rPr>
          <w:rFonts w:asciiTheme="minorHAnsi" w:hAnsiTheme="minorHAnsi"/>
          <w:i/>
          <w:sz w:val="24"/>
          <w:szCs w:val="24"/>
        </w:rPr>
      </w:pPr>
      <w:proofErr w:type="spellStart"/>
      <w:r w:rsidRPr="006931E8">
        <w:rPr>
          <w:rFonts w:asciiTheme="minorHAnsi" w:hAnsiTheme="minorHAnsi"/>
          <w:sz w:val="24"/>
          <w:szCs w:val="24"/>
        </w:rPr>
        <w:t>Gagyi</w:t>
      </w:r>
      <w:proofErr w:type="spellEnd"/>
      <w:r w:rsidRPr="006931E8">
        <w:rPr>
          <w:rFonts w:asciiTheme="minorHAnsi" w:hAnsiTheme="minorHAnsi"/>
          <w:sz w:val="24"/>
          <w:szCs w:val="24"/>
        </w:rPr>
        <w:t xml:space="preserve"> A. (2016) ‘“Coloniality of Power” in East Central Europe: External Penetration as Internal Force in Post-Socialist Hungarian Politics’, </w:t>
      </w:r>
      <w:r w:rsidRPr="006931E8">
        <w:rPr>
          <w:rFonts w:asciiTheme="minorHAnsi" w:hAnsiTheme="minorHAnsi"/>
          <w:i/>
          <w:sz w:val="24"/>
          <w:szCs w:val="24"/>
        </w:rPr>
        <w:t xml:space="preserve">Journal of World-Systems Research, </w:t>
      </w:r>
      <w:r w:rsidRPr="006931E8">
        <w:rPr>
          <w:rFonts w:asciiTheme="minorHAnsi" w:hAnsiTheme="minorHAnsi"/>
          <w:sz w:val="24"/>
          <w:szCs w:val="24"/>
        </w:rPr>
        <w:t>Vol. 22 Issue 2, pp. 349-372.</w:t>
      </w:r>
      <w:r w:rsidRPr="006931E8">
        <w:rPr>
          <w:rFonts w:asciiTheme="minorHAnsi" w:hAnsiTheme="minorHAnsi"/>
          <w:i/>
          <w:sz w:val="24"/>
          <w:szCs w:val="24"/>
        </w:rPr>
        <w:t xml:space="preserve"> </w:t>
      </w:r>
    </w:p>
    <w:p w:rsidR="00735368" w:rsidRDefault="00EF3A12">
      <w:pPr>
        <w:ind w:left="720" w:right="720"/>
        <w:rPr>
          <w:rFonts w:asciiTheme="minorHAnsi" w:hAnsiTheme="minorHAnsi"/>
          <w:sz w:val="24"/>
          <w:szCs w:val="24"/>
        </w:rPr>
      </w:pPr>
      <w:r w:rsidRPr="006931E8">
        <w:rPr>
          <w:rFonts w:asciiTheme="minorHAnsi" w:hAnsiTheme="minorHAnsi"/>
          <w:sz w:val="24"/>
          <w:szCs w:val="24"/>
        </w:rPr>
        <w:t>Guardian (2015) “Turkey's president Erdogan told to 'stop interfering' in government business”,</w:t>
      </w:r>
      <w:r w:rsidR="00272CAC" w:rsidRPr="006931E8">
        <w:rPr>
          <w:rFonts w:asciiTheme="minorHAnsi" w:hAnsiTheme="minorHAnsi"/>
          <w:sz w:val="24"/>
          <w:szCs w:val="24"/>
        </w:rPr>
        <w:t xml:space="preserve"> </w:t>
      </w:r>
      <w:r w:rsidRPr="006931E8">
        <w:rPr>
          <w:rFonts w:asciiTheme="minorHAnsi" w:hAnsiTheme="minorHAnsi"/>
          <w:sz w:val="24"/>
          <w:szCs w:val="24"/>
        </w:rPr>
        <w:t>http://www.theguardian.com/world/2015/mar/23/erdogan-at-odds-withgovernment-over-kurdish-peace-process-0 accessed on 24/3/2015.</w:t>
      </w:r>
    </w:p>
    <w:p w:rsidR="00735368" w:rsidRDefault="00015F7C">
      <w:pPr>
        <w:ind w:left="720" w:right="720"/>
        <w:jc w:val="both"/>
        <w:rPr>
          <w:rFonts w:asciiTheme="minorHAnsi" w:hAnsiTheme="minorHAnsi"/>
          <w:sz w:val="24"/>
          <w:szCs w:val="24"/>
        </w:rPr>
      </w:pPr>
      <w:proofErr w:type="spellStart"/>
      <w:r>
        <w:rPr>
          <w:rFonts w:asciiTheme="minorHAnsi" w:hAnsiTheme="minorHAnsi"/>
          <w:sz w:val="24"/>
          <w:szCs w:val="24"/>
        </w:rPr>
        <w:t>Gurses</w:t>
      </w:r>
      <w:proofErr w:type="spellEnd"/>
      <w:r>
        <w:rPr>
          <w:rFonts w:asciiTheme="minorHAnsi" w:hAnsiTheme="minorHAnsi"/>
          <w:sz w:val="24"/>
          <w:szCs w:val="24"/>
        </w:rPr>
        <w:t xml:space="preserve"> U. (2016) “First the law, then the resume has changed”, (translated from Turkish by the authors), 13 April, </w:t>
      </w:r>
      <w:hyperlink r:id="rId24" w:history="1">
        <w:r w:rsidRPr="00637062">
          <w:rPr>
            <w:rStyle w:val="Hyperlink"/>
            <w:rFonts w:asciiTheme="minorHAnsi" w:hAnsiTheme="minorHAnsi"/>
            <w:sz w:val="24"/>
            <w:szCs w:val="24"/>
          </w:rPr>
          <w:t>http://www.hurriyet.com.tr/yazarlar/ugur-gurses/once-yasa-sonra-ozgecmis-degisti-40087951</w:t>
        </w:r>
      </w:hyperlink>
      <w:r>
        <w:rPr>
          <w:rFonts w:asciiTheme="minorHAnsi" w:hAnsiTheme="minorHAnsi"/>
          <w:sz w:val="24"/>
          <w:szCs w:val="24"/>
        </w:rPr>
        <w:t xml:space="preserve"> accessed on 15/9/2017.</w:t>
      </w:r>
      <w:r w:rsidRPr="00015F7C">
        <w:rPr>
          <w:rFonts w:asciiTheme="minorHAnsi" w:hAnsiTheme="minorHAnsi"/>
          <w:sz w:val="24"/>
          <w:szCs w:val="24"/>
        </w:rPr>
        <w:t xml:space="preserve"> </w:t>
      </w:r>
      <w:r>
        <w:rPr>
          <w:rFonts w:asciiTheme="minorHAnsi" w:hAnsiTheme="minorHAnsi"/>
          <w:sz w:val="24"/>
          <w:szCs w:val="24"/>
        </w:rPr>
        <w:t xml:space="preserve"> </w:t>
      </w:r>
    </w:p>
    <w:p w:rsidR="00735368" w:rsidRDefault="00467759">
      <w:pPr>
        <w:ind w:left="720" w:right="720"/>
        <w:jc w:val="both"/>
        <w:rPr>
          <w:rFonts w:asciiTheme="minorHAnsi" w:hAnsiTheme="minorHAnsi"/>
          <w:sz w:val="24"/>
          <w:szCs w:val="24"/>
        </w:rPr>
      </w:pPr>
      <w:r w:rsidRPr="006931E8">
        <w:rPr>
          <w:rFonts w:asciiTheme="minorHAnsi" w:hAnsiTheme="minorHAnsi"/>
          <w:sz w:val="24"/>
          <w:szCs w:val="24"/>
        </w:rPr>
        <w:t xml:space="preserve">George A. L. and Bennett A. (2005) </w:t>
      </w:r>
      <w:r w:rsidR="00104378" w:rsidRPr="006931E8">
        <w:rPr>
          <w:rFonts w:asciiTheme="minorHAnsi" w:hAnsiTheme="minorHAnsi"/>
          <w:i/>
          <w:sz w:val="24"/>
          <w:szCs w:val="24"/>
        </w:rPr>
        <w:t>Case Studies and Theory Development in the Social Sciences</w:t>
      </w:r>
      <w:r w:rsidRPr="006931E8">
        <w:rPr>
          <w:rFonts w:asciiTheme="minorHAnsi" w:hAnsiTheme="minorHAnsi"/>
          <w:sz w:val="24"/>
          <w:szCs w:val="24"/>
        </w:rPr>
        <w:t xml:space="preserve">, Cambridge, Massachusetts: MIT Press. </w:t>
      </w:r>
    </w:p>
    <w:p w:rsidR="00735368" w:rsidRDefault="00977F97">
      <w:pPr>
        <w:ind w:left="720" w:right="720"/>
        <w:jc w:val="both"/>
        <w:rPr>
          <w:rFonts w:asciiTheme="minorHAnsi" w:hAnsiTheme="minorHAnsi"/>
          <w:sz w:val="24"/>
          <w:szCs w:val="24"/>
        </w:rPr>
      </w:pPr>
      <w:proofErr w:type="spellStart"/>
      <w:r w:rsidRPr="006931E8">
        <w:rPr>
          <w:rFonts w:asciiTheme="minorHAnsi" w:hAnsiTheme="minorHAnsi"/>
          <w:sz w:val="24"/>
          <w:szCs w:val="24"/>
        </w:rPr>
        <w:t>Gerőcs</w:t>
      </w:r>
      <w:proofErr w:type="spellEnd"/>
      <w:r w:rsidRPr="006931E8">
        <w:rPr>
          <w:rFonts w:asciiTheme="minorHAnsi" w:hAnsiTheme="minorHAnsi"/>
          <w:sz w:val="24"/>
          <w:szCs w:val="24"/>
        </w:rPr>
        <w:t xml:space="preserve">, T. and </w:t>
      </w:r>
      <w:proofErr w:type="spellStart"/>
      <w:r w:rsidRPr="006931E8">
        <w:rPr>
          <w:rFonts w:asciiTheme="minorHAnsi" w:hAnsiTheme="minorHAnsi"/>
          <w:sz w:val="24"/>
          <w:szCs w:val="24"/>
        </w:rPr>
        <w:t>Pinkasz</w:t>
      </w:r>
      <w:proofErr w:type="spellEnd"/>
      <w:r w:rsidRPr="006931E8">
        <w:rPr>
          <w:rFonts w:asciiTheme="minorHAnsi" w:hAnsiTheme="minorHAnsi"/>
          <w:sz w:val="24"/>
          <w:szCs w:val="24"/>
        </w:rPr>
        <w:t xml:space="preserve">, A. (2017) ‘Debt-Ridden Development on Europe’s Eastern Periphery’ In M. </w:t>
      </w:r>
      <w:proofErr w:type="spellStart"/>
      <w:r w:rsidRPr="006931E8">
        <w:rPr>
          <w:rFonts w:asciiTheme="minorHAnsi" w:hAnsiTheme="minorHAnsi"/>
          <w:sz w:val="24"/>
          <w:szCs w:val="24"/>
        </w:rPr>
        <w:t>Boatcă</w:t>
      </w:r>
      <w:proofErr w:type="spellEnd"/>
      <w:r w:rsidRPr="006931E8">
        <w:rPr>
          <w:rFonts w:asciiTheme="minorHAnsi" w:hAnsiTheme="minorHAnsi"/>
          <w:sz w:val="24"/>
          <w:szCs w:val="24"/>
        </w:rPr>
        <w:t xml:space="preserve">, A. </w:t>
      </w:r>
      <w:proofErr w:type="spellStart"/>
      <w:r w:rsidRPr="006931E8">
        <w:rPr>
          <w:rFonts w:asciiTheme="minorHAnsi" w:hAnsiTheme="minorHAnsi"/>
          <w:sz w:val="24"/>
          <w:szCs w:val="24"/>
        </w:rPr>
        <w:t>Komlosy</w:t>
      </w:r>
      <w:proofErr w:type="spellEnd"/>
      <w:r w:rsidRPr="006931E8">
        <w:rPr>
          <w:rFonts w:asciiTheme="minorHAnsi" w:hAnsiTheme="minorHAnsi"/>
          <w:sz w:val="24"/>
          <w:szCs w:val="24"/>
        </w:rPr>
        <w:t xml:space="preserve">, &amp; H.-H. Nolte (Eds.), </w:t>
      </w:r>
      <w:r w:rsidR="00104378" w:rsidRPr="006931E8">
        <w:rPr>
          <w:rFonts w:asciiTheme="minorHAnsi" w:hAnsiTheme="minorHAnsi"/>
          <w:i/>
          <w:sz w:val="24"/>
          <w:szCs w:val="24"/>
        </w:rPr>
        <w:t>Global Inequalities in World-Systems Perspective</w:t>
      </w:r>
      <w:r w:rsidRPr="006931E8">
        <w:rPr>
          <w:rFonts w:asciiTheme="minorHAnsi" w:hAnsiTheme="minorHAnsi"/>
          <w:sz w:val="24"/>
          <w:szCs w:val="24"/>
        </w:rPr>
        <w:t>, Paradigm. Forthcoming.</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Hay C., (2007) </w:t>
      </w:r>
      <w:r w:rsidRPr="006931E8">
        <w:rPr>
          <w:rFonts w:asciiTheme="minorHAnsi" w:hAnsiTheme="minorHAnsi"/>
          <w:i/>
          <w:sz w:val="24"/>
          <w:szCs w:val="24"/>
        </w:rPr>
        <w:t xml:space="preserve">Why We Hate </w:t>
      </w:r>
      <w:proofErr w:type="gramStart"/>
      <w:r w:rsidRPr="006931E8">
        <w:rPr>
          <w:rFonts w:asciiTheme="minorHAnsi" w:hAnsiTheme="minorHAnsi"/>
          <w:i/>
          <w:sz w:val="24"/>
          <w:szCs w:val="24"/>
        </w:rPr>
        <w:t>Politics?</w:t>
      </w:r>
      <w:r w:rsidRPr="006931E8">
        <w:rPr>
          <w:rFonts w:asciiTheme="minorHAnsi" w:hAnsiTheme="minorHAnsi"/>
          <w:sz w:val="24"/>
          <w:szCs w:val="24"/>
        </w:rPr>
        <w:t>,</w:t>
      </w:r>
      <w:proofErr w:type="gramEnd"/>
      <w:r w:rsidRPr="006931E8">
        <w:rPr>
          <w:rFonts w:asciiTheme="minorHAnsi" w:hAnsiTheme="minorHAnsi"/>
          <w:sz w:val="24"/>
          <w:szCs w:val="24"/>
        </w:rPr>
        <w:t xml:space="preserve"> Cambridge: Malden, Polity Press.</w:t>
      </w:r>
    </w:p>
    <w:p w:rsidR="00735368" w:rsidRDefault="00CB3EB8">
      <w:pPr>
        <w:ind w:left="720" w:right="720"/>
        <w:jc w:val="both"/>
        <w:rPr>
          <w:rFonts w:asciiTheme="minorHAnsi" w:hAnsiTheme="minorHAnsi"/>
          <w:sz w:val="24"/>
          <w:szCs w:val="24"/>
        </w:rPr>
      </w:pPr>
      <w:r w:rsidRPr="006931E8">
        <w:rPr>
          <w:rFonts w:asciiTheme="minorHAnsi" w:hAnsiTheme="minorHAnsi"/>
          <w:sz w:val="24"/>
          <w:szCs w:val="24"/>
        </w:rPr>
        <w:t xml:space="preserve">Hay, C. and Watson, M. (1999) ‘The discourse of </w:t>
      </w:r>
      <w:proofErr w:type="spellStart"/>
      <w:r w:rsidRPr="006931E8">
        <w:rPr>
          <w:rFonts w:asciiTheme="minorHAnsi" w:hAnsiTheme="minorHAnsi"/>
          <w:sz w:val="24"/>
          <w:szCs w:val="24"/>
        </w:rPr>
        <w:t>globalisation</w:t>
      </w:r>
      <w:proofErr w:type="spellEnd"/>
      <w:r w:rsidRPr="006931E8">
        <w:rPr>
          <w:rFonts w:asciiTheme="minorHAnsi" w:hAnsiTheme="minorHAnsi"/>
          <w:sz w:val="24"/>
          <w:szCs w:val="24"/>
        </w:rPr>
        <w:t xml:space="preserve"> and the logic of no alternative: rendering the contingent necessary in the political economy of new </w:t>
      </w:r>
      <w:proofErr w:type="spellStart"/>
      <w:r w:rsidRPr="006931E8">
        <w:rPr>
          <w:rFonts w:asciiTheme="minorHAnsi" w:hAnsiTheme="minorHAnsi"/>
          <w:sz w:val="24"/>
          <w:szCs w:val="24"/>
        </w:rPr>
        <w:t>labour</w:t>
      </w:r>
      <w:proofErr w:type="spellEnd"/>
      <w:r w:rsidRPr="006931E8">
        <w:rPr>
          <w:rFonts w:asciiTheme="minorHAnsi" w:hAnsiTheme="minorHAnsi"/>
          <w:sz w:val="24"/>
          <w:szCs w:val="24"/>
        </w:rPr>
        <w:t xml:space="preserve">’, </w:t>
      </w:r>
      <w:r w:rsidR="00104378" w:rsidRPr="006931E8">
        <w:rPr>
          <w:rFonts w:asciiTheme="minorHAnsi" w:hAnsiTheme="minorHAnsi"/>
          <w:i/>
          <w:sz w:val="24"/>
          <w:szCs w:val="24"/>
        </w:rPr>
        <w:t>Policy and Politics</w:t>
      </w:r>
      <w:r w:rsidRPr="006931E8">
        <w:rPr>
          <w:rFonts w:asciiTheme="minorHAnsi" w:hAnsiTheme="minorHAnsi"/>
          <w:sz w:val="24"/>
          <w:szCs w:val="24"/>
        </w:rPr>
        <w:t>, 31(3), pp. 289–305.</w:t>
      </w:r>
    </w:p>
    <w:p w:rsidR="00735368" w:rsidRDefault="00255CA6">
      <w:pPr>
        <w:ind w:left="720" w:right="720"/>
        <w:jc w:val="both"/>
        <w:rPr>
          <w:rFonts w:asciiTheme="minorHAnsi" w:hAnsiTheme="minorHAnsi"/>
          <w:sz w:val="24"/>
          <w:szCs w:val="24"/>
        </w:rPr>
      </w:pPr>
      <w:r w:rsidRPr="00ED0840">
        <w:rPr>
          <w:rFonts w:asciiTheme="minorHAnsi" w:hAnsiTheme="minorHAnsi"/>
          <w:sz w:val="24"/>
          <w:szCs w:val="24"/>
        </w:rPr>
        <w:t>Holmes D.</w:t>
      </w:r>
      <w:r w:rsidR="00ED0840" w:rsidRPr="00ED0840">
        <w:rPr>
          <w:rFonts w:asciiTheme="minorHAnsi" w:hAnsiTheme="minorHAnsi"/>
          <w:sz w:val="24"/>
          <w:szCs w:val="24"/>
        </w:rPr>
        <w:t xml:space="preserve"> R.</w:t>
      </w:r>
      <w:r w:rsidRPr="00ED0840">
        <w:rPr>
          <w:rFonts w:asciiTheme="minorHAnsi" w:hAnsiTheme="minorHAnsi"/>
          <w:sz w:val="24"/>
          <w:szCs w:val="24"/>
        </w:rPr>
        <w:t xml:space="preserve"> (2014) </w:t>
      </w:r>
      <w:r w:rsidR="00ED0840" w:rsidRPr="00ED0840">
        <w:rPr>
          <w:rFonts w:asciiTheme="minorHAnsi" w:hAnsiTheme="minorHAnsi"/>
          <w:bCs/>
          <w:i/>
          <w:sz w:val="24"/>
          <w:szCs w:val="24"/>
        </w:rPr>
        <w:t>Economy of words: communicative imperatives in central banks</w:t>
      </w:r>
      <w:r w:rsidR="00ED0840" w:rsidRPr="00ED0840">
        <w:rPr>
          <w:rFonts w:asciiTheme="minorHAnsi" w:hAnsiTheme="minorHAnsi"/>
          <w:bCs/>
          <w:sz w:val="24"/>
          <w:szCs w:val="24"/>
        </w:rPr>
        <w:t xml:space="preserve">, </w:t>
      </w:r>
      <w:proofErr w:type="gramStart"/>
      <w:r w:rsidR="00ED0840" w:rsidRPr="00ED0840">
        <w:rPr>
          <w:rFonts w:asciiTheme="minorHAnsi" w:hAnsiTheme="minorHAnsi"/>
          <w:bCs/>
          <w:sz w:val="24"/>
          <w:szCs w:val="24"/>
        </w:rPr>
        <w:t>Chicago ;</w:t>
      </w:r>
      <w:proofErr w:type="gramEnd"/>
      <w:r w:rsidR="00ED0840" w:rsidRPr="00ED0840">
        <w:rPr>
          <w:rFonts w:asciiTheme="minorHAnsi" w:hAnsiTheme="minorHAnsi"/>
          <w:bCs/>
          <w:sz w:val="24"/>
          <w:szCs w:val="24"/>
        </w:rPr>
        <w:t xml:space="preserve"> London : University of Chicago Press.</w:t>
      </w:r>
    </w:p>
    <w:p w:rsidR="00735368" w:rsidRDefault="004F05AD">
      <w:pPr>
        <w:ind w:left="720" w:right="720"/>
        <w:jc w:val="both"/>
        <w:rPr>
          <w:rFonts w:asciiTheme="minorHAnsi" w:hAnsiTheme="minorHAnsi"/>
          <w:sz w:val="24"/>
          <w:szCs w:val="24"/>
        </w:rPr>
      </w:pPr>
      <w:r w:rsidRPr="006931E8">
        <w:rPr>
          <w:rFonts w:asciiTheme="minorHAnsi" w:hAnsiTheme="minorHAnsi"/>
          <w:sz w:val="24"/>
          <w:szCs w:val="24"/>
        </w:rPr>
        <w:t xml:space="preserve">Hungarian Spectrum (2009), “The </w:t>
      </w:r>
      <w:proofErr w:type="spellStart"/>
      <w:r w:rsidRPr="006931E8">
        <w:rPr>
          <w:rFonts w:asciiTheme="minorHAnsi" w:hAnsiTheme="minorHAnsi"/>
          <w:sz w:val="24"/>
          <w:szCs w:val="24"/>
        </w:rPr>
        <w:t>Bokros</w:t>
      </w:r>
      <w:proofErr w:type="spellEnd"/>
      <w:r w:rsidRPr="006931E8">
        <w:rPr>
          <w:rFonts w:asciiTheme="minorHAnsi" w:hAnsiTheme="minorHAnsi"/>
          <w:sz w:val="24"/>
          <w:szCs w:val="24"/>
        </w:rPr>
        <w:t xml:space="preserve"> Package: Pro and Con”, </w:t>
      </w:r>
      <w:hyperlink r:id="rId25" w:history="1">
        <w:r w:rsidRPr="006931E8">
          <w:rPr>
            <w:rStyle w:val="Hyperlink"/>
            <w:rFonts w:asciiTheme="minorHAnsi" w:hAnsiTheme="minorHAnsi"/>
            <w:sz w:val="24"/>
            <w:szCs w:val="24"/>
          </w:rPr>
          <w:t>http://hungarianspectrum.org/2009/03/12/the-bokros-package-pro-and-con/</w:t>
        </w:r>
      </w:hyperlink>
      <w:r w:rsidRPr="006931E8">
        <w:rPr>
          <w:rFonts w:asciiTheme="minorHAnsi" w:hAnsiTheme="minorHAnsi"/>
          <w:sz w:val="24"/>
          <w:szCs w:val="24"/>
        </w:rPr>
        <w:t xml:space="preserve"> accessed on 29/5/2016.</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(2012), “Does the Central Bank </w:t>
      </w:r>
      <w:r w:rsidR="00E26157" w:rsidRPr="006931E8">
        <w:rPr>
          <w:rFonts w:asciiTheme="minorHAnsi" w:hAnsiTheme="minorHAnsi"/>
          <w:sz w:val="24"/>
          <w:szCs w:val="24"/>
        </w:rPr>
        <w:t xml:space="preserve">know something we do not know?” </w:t>
      </w:r>
      <w:hyperlink r:id="rId26" w:history="1">
        <w:r w:rsidR="00E26157" w:rsidRPr="006931E8">
          <w:rPr>
            <w:rStyle w:val="Hyperlink"/>
            <w:rFonts w:asciiTheme="minorHAnsi" w:hAnsiTheme="minorHAnsi"/>
            <w:sz w:val="24"/>
            <w:szCs w:val="24"/>
          </w:rPr>
          <w:t>http://www.hurriyet.com.tr/ekonomi/19595856.asp</w:t>
        </w:r>
      </w:hyperlink>
      <w:r w:rsidR="00E26157" w:rsidRPr="006931E8">
        <w:rPr>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(2012a), </w:t>
      </w:r>
      <w:r w:rsidR="00166BCF" w:rsidRPr="006931E8">
        <w:rPr>
          <w:rFonts w:asciiTheme="minorHAnsi" w:hAnsiTheme="minorHAnsi"/>
          <w:sz w:val="24"/>
          <w:szCs w:val="24"/>
        </w:rPr>
        <w:t>“</w:t>
      </w:r>
      <w:proofErr w:type="spellStart"/>
      <w:r w:rsidRPr="006931E8">
        <w:rPr>
          <w:rFonts w:asciiTheme="minorHAnsi" w:hAnsiTheme="minorHAnsi"/>
          <w:sz w:val="24"/>
          <w:szCs w:val="24"/>
        </w:rPr>
        <w:t>Babacan</w:t>
      </w:r>
      <w:proofErr w:type="spellEnd"/>
      <w:r w:rsidRPr="006931E8">
        <w:rPr>
          <w:rFonts w:asciiTheme="minorHAnsi" w:hAnsiTheme="minorHAnsi"/>
          <w:sz w:val="24"/>
          <w:szCs w:val="24"/>
        </w:rPr>
        <w:t>: The Central Bank follows quite a successful strategy”,</w:t>
      </w:r>
      <w:r w:rsidR="00791755" w:rsidRPr="006931E8">
        <w:rPr>
          <w:rFonts w:asciiTheme="minorHAnsi" w:hAnsiTheme="minorHAnsi"/>
          <w:sz w:val="24"/>
          <w:szCs w:val="24"/>
        </w:rPr>
        <w:t xml:space="preserve"> (translated from Turkish by the authors)</w:t>
      </w:r>
      <w:r w:rsidR="006A7944" w:rsidRPr="006931E8">
        <w:rPr>
          <w:rFonts w:asciiTheme="minorHAnsi" w:hAnsiTheme="minorHAnsi"/>
          <w:sz w:val="24"/>
          <w:szCs w:val="24"/>
        </w:rPr>
        <w:t xml:space="preserve"> </w:t>
      </w:r>
      <w:hyperlink r:id="rId27" w:history="1">
        <w:r w:rsidRPr="006931E8">
          <w:rPr>
            <w:rStyle w:val="Hyperlink"/>
            <w:rFonts w:asciiTheme="minorHAnsi" w:hAnsiTheme="minorHAnsi"/>
            <w:sz w:val="24"/>
            <w:szCs w:val="24"/>
          </w:rPr>
          <w:t>http://www.hurriyet.com.tr/ekonomi/19633288.asp</w:t>
        </w:r>
      </w:hyperlink>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(2012b) “Central Bank governors who talk about the exchange rate”</w:t>
      </w:r>
      <w:r w:rsidR="00791755" w:rsidRPr="006931E8">
        <w:rPr>
          <w:rFonts w:asciiTheme="minorHAnsi" w:hAnsiTheme="minorHAnsi"/>
          <w:sz w:val="24"/>
          <w:szCs w:val="24"/>
        </w:rPr>
        <w:t>, (translated from Turkish by the authors)</w:t>
      </w:r>
      <w:r w:rsidR="00E26157" w:rsidRPr="006931E8">
        <w:rPr>
          <w:rFonts w:asciiTheme="minorHAnsi" w:hAnsiTheme="minorHAnsi"/>
          <w:sz w:val="24"/>
          <w:szCs w:val="24"/>
        </w:rPr>
        <w:t xml:space="preserve"> </w:t>
      </w:r>
      <w:hyperlink r:id="rId28" w:history="1">
        <w:r w:rsidR="00791755" w:rsidRPr="006931E8">
          <w:rPr>
            <w:rStyle w:val="Hyperlink"/>
            <w:rFonts w:asciiTheme="minorHAnsi" w:hAnsiTheme="minorHAnsi"/>
            <w:sz w:val="24"/>
            <w:szCs w:val="24"/>
          </w:rPr>
          <w:t>http://www.hurriyet.com.tr/yazarlar/19634595.asp</w:t>
        </w:r>
      </w:hyperlink>
      <w:r w:rsidR="00791755" w:rsidRPr="006931E8">
        <w:rPr>
          <w:rFonts w:asciiTheme="minorHAnsi" w:hAnsiTheme="minorHAnsi"/>
          <w:sz w:val="24"/>
          <w:szCs w:val="24"/>
        </w:rPr>
        <w:t xml:space="preserve"> </w:t>
      </w:r>
      <w:r w:rsidR="008A5E6A" w:rsidRPr="006931E8">
        <w:rPr>
          <w:rFonts w:asciiTheme="minorHAnsi" w:hAnsiTheme="minorHAnsi"/>
          <w:sz w:val="24"/>
          <w:szCs w:val="24"/>
        </w:rPr>
        <w:t>, accessed on 1/3/2015.</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(2012c) “</w:t>
      </w:r>
      <w:proofErr w:type="spellStart"/>
      <w:r w:rsidRPr="006931E8">
        <w:rPr>
          <w:rFonts w:asciiTheme="minorHAnsi" w:hAnsiTheme="minorHAnsi"/>
          <w:sz w:val="24"/>
          <w:szCs w:val="24"/>
        </w:rPr>
        <w:t>Basci</w:t>
      </w:r>
      <w:proofErr w:type="spellEnd"/>
      <w:r w:rsidRPr="006931E8">
        <w:rPr>
          <w:rFonts w:asciiTheme="minorHAnsi" w:hAnsiTheme="minorHAnsi"/>
          <w:sz w:val="24"/>
          <w:szCs w:val="24"/>
        </w:rPr>
        <w:t>: There are those who would like the Turkish Lira to depreciate, i</w:t>
      </w:r>
      <w:r w:rsidR="00E26157" w:rsidRPr="006931E8">
        <w:rPr>
          <w:rFonts w:asciiTheme="minorHAnsi" w:hAnsiTheme="minorHAnsi"/>
          <w:sz w:val="24"/>
          <w:szCs w:val="24"/>
        </w:rPr>
        <w:t xml:space="preserve">f we </w:t>
      </w:r>
      <w:r w:rsidRPr="006931E8">
        <w:rPr>
          <w:rFonts w:asciiTheme="minorHAnsi" w:hAnsiTheme="minorHAnsi"/>
          <w:sz w:val="24"/>
          <w:szCs w:val="24"/>
        </w:rPr>
        <w:t xml:space="preserve">grow by 4%, no one could talk about the current account deficit </w:t>
      </w:r>
      <w:r w:rsidRPr="006931E8">
        <w:rPr>
          <w:rFonts w:asciiTheme="minorHAnsi" w:hAnsiTheme="minorHAnsi"/>
          <w:sz w:val="24"/>
          <w:szCs w:val="24"/>
        </w:rPr>
        <w:lastRenderedPageBreak/>
        <w:t>in 3-4 months”,</w:t>
      </w:r>
      <w:r w:rsidR="00791755" w:rsidRPr="006931E8">
        <w:rPr>
          <w:rFonts w:asciiTheme="minorHAnsi" w:hAnsiTheme="minorHAnsi"/>
          <w:sz w:val="24"/>
          <w:szCs w:val="24"/>
        </w:rPr>
        <w:t xml:space="preserve"> (translated from Turkish by the authors)</w:t>
      </w:r>
      <w:r w:rsidR="00E26157" w:rsidRPr="006931E8">
        <w:rPr>
          <w:rFonts w:asciiTheme="minorHAnsi" w:hAnsiTheme="minorHAnsi"/>
          <w:sz w:val="24"/>
          <w:szCs w:val="24"/>
        </w:rPr>
        <w:t xml:space="preserve"> </w:t>
      </w:r>
      <w:hyperlink r:id="rId29" w:history="1">
        <w:r w:rsidR="00791755" w:rsidRPr="006931E8">
          <w:rPr>
            <w:rStyle w:val="Hyperlink"/>
            <w:rFonts w:asciiTheme="minorHAnsi" w:hAnsiTheme="minorHAnsi"/>
            <w:sz w:val="24"/>
            <w:szCs w:val="24"/>
          </w:rPr>
          <w:t>http://www.hurriyet.com.tr/ekonomi/19772728.asp</w:t>
        </w:r>
      </w:hyperlink>
      <w:r w:rsidR="00791755" w:rsidRPr="006931E8">
        <w:rPr>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(2012d) “Our currency now has credibility; the </w:t>
      </w:r>
      <w:r w:rsidR="00E26157" w:rsidRPr="006931E8">
        <w:rPr>
          <w:rFonts w:asciiTheme="minorHAnsi" w:hAnsiTheme="minorHAnsi"/>
          <w:sz w:val="24"/>
          <w:szCs w:val="24"/>
        </w:rPr>
        <w:t xml:space="preserve">interest rates should come down </w:t>
      </w:r>
      <w:r w:rsidRPr="006931E8">
        <w:rPr>
          <w:rFonts w:asciiTheme="minorHAnsi" w:hAnsiTheme="minorHAnsi"/>
          <w:sz w:val="24"/>
          <w:szCs w:val="24"/>
        </w:rPr>
        <w:t>even further”,</w:t>
      </w:r>
      <w:r w:rsidR="00791755" w:rsidRPr="006931E8">
        <w:rPr>
          <w:rFonts w:asciiTheme="minorHAnsi" w:hAnsiTheme="minorHAnsi"/>
          <w:sz w:val="24"/>
          <w:szCs w:val="24"/>
        </w:rPr>
        <w:t xml:space="preserve"> (translated from Turkish by the authors)</w:t>
      </w:r>
      <w:r w:rsidRPr="006931E8">
        <w:rPr>
          <w:rFonts w:asciiTheme="minorHAnsi" w:hAnsiTheme="minorHAnsi"/>
          <w:sz w:val="24"/>
          <w:szCs w:val="24"/>
        </w:rPr>
        <w:t xml:space="preserve"> </w:t>
      </w:r>
      <w:hyperlink r:id="rId30" w:history="1">
        <w:r w:rsidR="00E26157" w:rsidRPr="006931E8">
          <w:rPr>
            <w:rStyle w:val="Hyperlink"/>
            <w:rFonts w:asciiTheme="minorHAnsi" w:hAnsiTheme="minorHAnsi"/>
            <w:sz w:val="24"/>
            <w:szCs w:val="24"/>
          </w:rPr>
          <w:t>http://www.hurriyet.com.tr/ekonomi/20038979.asp</w:t>
        </w:r>
      </w:hyperlink>
      <w:r w:rsidR="00E26157" w:rsidRPr="006931E8">
        <w:rPr>
          <w:rFonts w:asciiTheme="minorHAnsi" w:hAnsiTheme="minorHAnsi"/>
          <w:sz w:val="24"/>
          <w:szCs w:val="24"/>
        </w:rPr>
        <w:t xml:space="preserve"> </w:t>
      </w:r>
      <w:r w:rsidR="006A7944" w:rsidRPr="006931E8">
        <w:rPr>
          <w:rFonts w:asciiTheme="minorHAnsi" w:hAnsiTheme="minorHAnsi"/>
          <w:sz w:val="24"/>
          <w:szCs w:val="24"/>
        </w:rPr>
        <w:t>accessed 1/12/2015.</w:t>
      </w:r>
    </w:p>
    <w:p w:rsidR="00735368" w:rsidRDefault="006A7944">
      <w:pPr>
        <w:ind w:left="720" w:right="720"/>
        <w:jc w:val="both"/>
        <w:rPr>
          <w:rFonts w:asciiTheme="minorHAnsi" w:hAnsiTheme="minorHAnsi"/>
          <w:sz w:val="24"/>
          <w:szCs w:val="24"/>
        </w:rPr>
      </w:pPr>
      <w:proofErr w:type="spellStart"/>
      <w:r w:rsidRPr="006931E8">
        <w:rPr>
          <w:rFonts w:asciiTheme="minorHAnsi" w:hAnsiTheme="minorHAnsi"/>
          <w:sz w:val="24"/>
          <w:szCs w:val="24"/>
        </w:rPr>
        <w:t>Hurriyet</w:t>
      </w:r>
      <w:proofErr w:type="spellEnd"/>
      <w:r w:rsidRPr="006931E8">
        <w:rPr>
          <w:rFonts w:asciiTheme="minorHAnsi" w:hAnsiTheme="minorHAnsi"/>
          <w:sz w:val="24"/>
          <w:szCs w:val="24"/>
        </w:rPr>
        <w:t xml:space="preserve"> (2015) “Independence retouch on the Central Bank”, (translated from Turkish by the authors) </w:t>
      </w:r>
      <w:hyperlink r:id="rId31" w:history="1">
        <w:r w:rsidRPr="006931E8">
          <w:rPr>
            <w:rStyle w:val="Hyperlink"/>
            <w:rFonts w:asciiTheme="minorHAnsi" w:hAnsiTheme="minorHAnsi"/>
            <w:sz w:val="24"/>
            <w:szCs w:val="24"/>
          </w:rPr>
          <w:t>http://www.hurriyet.com.tr/merkez-bankasina-bagimsizlik-rotusu-40018967</w:t>
        </w:r>
      </w:hyperlink>
      <w:r w:rsidRPr="006931E8">
        <w:rPr>
          <w:rFonts w:asciiTheme="minorHAnsi" w:hAnsiTheme="minorHAnsi"/>
          <w:sz w:val="24"/>
          <w:szCs w:val="24"/>
        </w:rPr>
        <w:t xml:space="preserve"> </w:t>
      </w:r>
    </w:p>
    <w:p w:rsidR="00735368" w:rsidRDefault="004F05AD">
      <w:pPr>
        <w:ind w:left="720" w:right="720"/>
        <w:jc w:val="both"/>
        <w:rPr>
          <w:rFonts w:asciiTheme="minorHAnsi" w:hAnsiTheme="minorHAnsi"/>
          <w:sz w:val="24"/>
          <w:szCs w:val="24"/>
        </w:rPr>
      </w:pPr>
      <w:r w:rsidRPr="006931E8">
        <w:rPr>
          <w:rFonts w:asciiTheme="minorHAnsi" w:hAnsiTheme="minorHAnsi"/>
          <w:sz w:val="24"/>
          <w:szCs w:val="24"/>
        </w:rPr>
        <w:t xml:space="preserve">Inglot T. (2003) “Historical legacies, institutions and the politics of social policy in Hungary and Poland, 1989–99”, in (eds) </w:t>
      </w:r>
      <w:proofErr w:type="spellStart"/>
      <w:r w:rsidRPr="006931E8">
        <w:rPr>
          <w:rFonts w:asciiTheme="minorHAnsi" w:hAnsiTheme="minorHAnsi"/>
          <w:sz w:val="24"/>
          <w:szCs w:val="24"/>
        </w:rPr>
        <w:t>Ekiert</w:t>
      </w:r>
      <w:proofErr w:type="spellEnd"/>
      <w:r w:rsidRPr="006931E8">
        <w:rPr>
          <w:rFonts w:asciiTheme="minorHAnsi" w:hAnsiTheme="minorHAnsi"/>
          <w:sz w:val="24"/>
          <w:szCs w:val="24"/>
        </w:rPr>
        <w:t xml:space="preserve">, G. and Hanson, S.E., </w:t>
      </w:r>
      <w:r w:rsidRPr="006931E8">
        <w:rPr>
          <w:rFonts w:asciiTheme="minorHAnsi" w:hAnsiTheme="minorHAnsi"/>
          <w:i/>
          <w:sz w:val="24"/>
          <w:szCs w:val="24"/>
        </w:rPr>
        <w:t>Capita</w:t>
      </w:r>
      <w:r w:rsidR="00272CAC" w:rsidRPr="006931E8">
        <w:rPr>
          <w:rFonts w:asciiTheme="minorHAnsi" w:hAnsiTheme="minorHAnsi"/>
          <w:i/>
          <w:sz w:val="24"/>
          <w:szCs w:val="24"/>
        </w:rPr>
        <w:t>l</w:t>
      </w:r>
      <w:r w:rsidRPr="006931E8">
        <w:rPr>
          <w:rFonts w:asciiTheme="minorHAnsi" w:hAnsiTheme="minorHAnsi"/>
          <w:i/>
          <w:sz w:val="24"/>
          <w:szCs w:val="24"/>
        </w:rPr>
        <w:t>ism and democracy in Central and Eastern Europe: Assessing the legacy of communist rule</w:t>
      </w:r>
      <w:r w:rsidRPr="006931E8">
        <w:rPr>
          <w:rFonts w:asciiTheme="minorHAnsi" w:hAnsiTheme="minorHAnsi"/>
          <w:sz w:val="24"/>
          <w:szCs w:val="24"/>
        </w:rPr>
        <w:t>. Cambridge: Cambridge University Press, pp. 210-247.</w:t>
      </w:r>
    </w:p>
    <w:p w:rsidR="00735368" w:rsidRDefault="00AE160B">
      <w:pPr>
        <w:ind w:left="720" w:right="720"/>
        <w:jc w:val="both"/>
        <w:rPr>
          <w:rFonts w:asciiTheme="minorHAnsi" w:hAnsiTheme="minorHAnsi"/>
          <w:sz w:val="24"/>
          <w:szCs w:val="24"/>
        </w:rPr>
      </w:pPr>
      <w:r w:rsidRPr="006931E8">
        <w:rPr>
          <w:rFonts w:asciiTheme="minorHAnsi" w:hAnsiTheme="minorHAnsi"/>
          <w:sz w:val="24"/>
          <w:szCs w:val="24"/>
        </w:rPr>
        <w:t xml:space="preserve">Inman, P. (2013). Paul Krugman's call to arms against austerity. (May 6) </w:t>
      </w:r>
      <w:r w:rsidRPr="006931E8">
        <w:rPr>
          <w:rFonts w:asciiTheme="minorHAnsi" w:hAnsiTheme="minorHAnsi"/>
          <w:i/>
          <w:sz w:val="24"/>
          <w:szCs w:val="24"/>
        </w:rPr>
        <w:t>The Guardian</w:t>
      </w:r>
      <w:r w:rsidRPr="006931E8">
        <w:rPr>
          <w:rFonts w:asciiTheme="minorHAnsi" w:hAnsiTheme="minorHAnsi"/>
          <w:sz w:val="24"/>
          <w:szCs w:val="24"/>
        </w:rPr>
        <w:t xml:space="preserve">. </w:t>
      </w:r>
      <w:hyperlink r:id="rId32" w:history="1">
        <w:r w:rsidRPr="006931E8">
          <w:rPr>
            <w:rStyle w:val="Hyperlink"/>
            <w:rFonts w:asciiTheme="minorHAnsi" w:hAnsiTheme="minorHAnsi"/>
            <w:sz w:val="24"/>
            <w:szCs w:val="24"/>
          </w:rPr>
          <w:t>https://www.theguardian.com/business/2013/may/06/paul-krugman-battle-against-austerity</w:t>
        </w:r>
      </w:hyperlink>
      <w:r w:rsidRPr="006931E8">
        <w:rPr>
          <w:rFonts w:asciiTheme="minorHAnsi" w:hAnsiTheme="minorHAnsi"/>
          <w:sz w:val="24"/>
          <w:szCs w:val="24"/>
        </w:rPr>
        <w:t xml:space="preserve"> accessed on 10/8/2017. </w:t>
      </w:r>
    </w:p>
    <w:p w:rsidR="00735368" w:rsidRDefault="00E367B3">
      <w:pPr>
        <w:ind w:left="720" w:right="720"/>
        <w:jc w:val="both"/>
        <w:rPr>
          <w:rFonts w:asciiTheme="minorHAnsi" w:hAnsiTheme="minorHAnsi"/>
          <w:sz w:val="24"/>
          <w:szCs w:val="24"/>
        </w:rPr>
      </w:pPr>
      <w:r w:rsidRPr="006931E8">
        <w:rPr>
          <w:rFonts w:asciiTheme="minorHAnsi" w:hAnsiTheme="minorHAnsi"/>
          <w:sz w:val="24"/>
          <w:szCs w:val="24"/>
        </w:rPr>
        <w:t xml:space="preserve">Interest rate decisions, MNB Monetary Council,  </w:t>
      </w:r>
      <w:hyperlink r:id="rId33" w:history="1">
        <w:r w:rsidRPr="006931E8">
          <w:rPr>
            <w:rStyle w:val="Hyperlink"/>
            <w:rFonts w:asciiTheme="minorHAnsi" w:hAnsiTheme="minorHAnsi"/>
            <w:sz w:val="24"/>
            <w:szCs w:val="24"/>
          </w:rPr>
          <w:t>http://english.mnb.hu/Monetaris_politika/decision-making/mnben_mttagok_kinevezese  accessed on 20/3/2015</w:t>
        </w:r>
      </w:hyperlink>
      <w:r w:rsidRPr="006931E8">
        <w:rPr>
          <w:rFonts w:asciiTheme="minorHAnsi" w:hAnsiTheme="minorHAnsi"/>
          <w:sz w:val="24"/>
          <w:szCs w:val="24"/>
        </w:rPr>
        <w:t xml:space="preserve">. </w:t>
      </w:r>
    </w:p>
    <w:p w:rsidR="00735368" w:rsidRDefault="003F5158">
      <w:pPr>
        <w:ind w:left="720" w:right="720"/>
        <w:jc w:val="both"/>
        <w:rPr>
          <w:rFonts w:asciiTheme="minorHAnsi" w:hAnsiTheme="minorHAnsi"/>
          <w:sz w:val="24"/>
          <w:szCs w:val="24"/>
        </w:rPr>
      </w:pPr>
      <w:r w:rsidRPr="006931E8">
        <w:rPr>
          <w:rFonts w:asciiTheme="minorHAnsi" w:hAnsiTheme="minorHAnsi"/>
          <w:sz w:val="24"/>
          <w:szCs w:val="24"/>
        </w:rPr>
        <w:t xml:space="preserve">Johnson, J. &amp; Barnes, A. (2015) “Financial nationalism and its international enablers: The Hungarian experience”, </w:t>
      </w:r>
      <w:r w:rsidR="00104378" w:rsidRPr="006931E8">
        <w:rPr>
          <w:rFonts w:asciiTheme="minorHAnsi" w:hAnsiTheme="minorHAnsi"/>
          <w:i/>
          <w:sz w:val="24"/>
          <w:szCs w:val="24"/>
        </w:rPr>
        <w:t>Review of International Political Economy</w:t>
      </w:r>
      <w:r w:rsidRPr="006931E8">
        <w:rPr>
          <w:rFonts w:asciiTheme="minorHAnsi" w:hAnsiTheme="minorHAnsi"/>
          <w:sz w:val="24"/>
          <w:szCs w:val="24"/>
        </w:rPr>
        <w:t>, 22(3), 535–569.</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 xml:space="preserve">K.A. (2013, November 28). </w:t>
      </w:r>
      <w:proofErr w:type="spellStart"/>
      <w:r w:rsidRPr="006931E8">
        <w:rPr>
          <w:rFonts w:asciiTheme="minorHAnsi" w:hAnsiTheme="minorHAnsi"/>
          <w:sz w:val="24"/>
          <w:szCs w:val="24"/>
        </w:rPr>
        <w:t>Matolcsy</w:t>
      </w:r>
      <w:proofErr w:type="spellEnd"/>
      <w:r w:rsidRPr="006931E8">
        <w:rPr>
          <w:rFonts w:asciiTheme="minorHAnsi" w:hAnsiTheme="minorHAnsi"/>
          <w:sz w:val="24"/>
          <w:szCs w:val="24"/>
        </w:rPr>
        <w:t xml:space="preserve">: Olli Rehn </w:t>
      </w:r>
      <w:proofErr w:type="spellStart"/>
      <w:r w:rsidRPr="006931E8">
        <w:rPr>
          <w:rFonts w:asciiTheme="minorHAnsi" w:hAnsiTheme="minorHAnsi"/>
          <w:sz w:val="24"/>
          <w:szCs w:val="24"/>
        </w:rPr>
        <w:t>mondjon</w:t>
      </w:r>
      <w:proofErr w:type="spellEnd"/>
      <w:r w:rsidRPr="006931E8">
        <w:rPr>
          <w:rFonts w:asciiTheme="minorHAnsi" w:hAnsiTheme="minorHAnsi"/>
          <w:sz w:val="24"/>
          <w:szCs w:val="24"/>
        </w:rPr>
        <w:t xml:space="preserve"> le! Magyar </w:t>
      </w:r>
      <w:proofErr w:type="spellStart"/>
      <w:r w:rsidRPr="006931E8">
        <w:rPr>
          <w:rFonts w:asciiTheme="minorHAnsi" w:hAnsiTheme="minorHAnsi"/>
          <w:sz w:val="24"/>
          <w:szCs w:val="24"/>
        </w:rPr>
        <w:t>Nemzet</w:t>
      </w:r>
      <w:proofErr w:type="spellEnd"/>
      <w:r w:rsidRPr="006931E8">
        <w:rPr>
          <w:rFonts w:asciiTheme="minorHAnsi" w:hAnsiTheme="minorHAnsi"/>
          <w:sz w:val="24"/>
          <w:szCs w:val="24"/>
        </w:rPr>
        <w:t xml:space="preserve"> Online. Retrieved 23 March 2015, from http://mno.hu/gazdasag/matolcsy-olli-rehn-mondjon-le-1197843.</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Kettell</w:t>
      </w:r>
      <w:proofErr w:type="spellEnd"/>
      <w:r w:rsidRPr="006931E8">
        <w:rPr>
          <w:rFonts w:asciiTheme="minorHAnsi" w:hAnsiTheme="minorHAnsi"/>
          <w:sz w:val="24"/>
          <w:szCs w:val="24"/>
        </w:rPr>
        <w:t xml:space="preserve"> (2004) The Political Economy of Exchange Rate Policy-Making: From</w:t>
      </w:r>
      <w:r w:rsidR="00E26157" w:rsidRPr="006931E8">
        <w:rPr>
          <w:rFonts w:asciiTheme="minorHAnsi" w:hAnsiTheme="minorHAnsi"/>
          <w:sz w:val="24"/>
          <w:szCs w:val="24"/>
        </w:rPr>
        <w:t xml:space="preserve"> the Gold Standard </w:t>
      </w:r>
      <w:r w:rsidRPr="006931E8">
        <w:rPr>
          <w:rFonts w:asciiTheme="minorHAnsi" w:hAnsiTheme="minorHAnsi"/>
          <w:sz w:val="24"/>
          <w:szCs w:val="24"/>
        </w:rPr>
        <w:t xml:space="preserve">to the Euro, </w:t>
      </w:r>
      <w:proofErr w:type="spellStart"/>
      <w:r w:rsidRPr="006931E8">
        <w:rPr>
          <w:rFonts w:asciiTheme="minorHAnsi" w:hAnsiTheme="minorHAnsi"/>
          <w:sz w:val="24"/>
          <w:szCs w:val="24"/>
        </w:rPr>
        <w:t>Houndmills</w:t>
      </w:r>
      <w:proofErr w:type="spellEnd"/>
      <w:r w:rsidRPr="006931E8">
        <w:rPr>
          <w:rFonts w:asciiTheme="minorHAnsi" w:hAnsiTheme="minorHAnsi"/>
          <w:sz w:val="24"/>
          <w:szCs w:val="24"/>
        </w:rPr>
        <w:t>, Basingstoke, Hampshire; New York: Palgrave Macmillan.</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K.M. (2013) </w:t>
      </w:r>
      <w:r w:rsidR="00272CAC" w:rsidRPr="006931E8">
        <w:rPr>
          <w:rFonts w:asciiTheme="minorHAnsi" w:hAnsiTheme="minorHAnsi"/>
          <w:sz w:val="24"/>
          <w:szCs w:val="24"/>
        </w:rPr>
        <w:t>“</w:t>
      </w:r>
      <w:proofErr w:type="spellStart"/>
      <w:r w:rsidRPr="006931E8">
        <w:rPr>
          <w:rFonts w:asciiTheme="minorHAnsi" w:hAnsiTheme="minorHAnsi"/>
          <w:sz w:val="24"/>
          <w:szCs w:val="24"/>
        </w:rPr>
        <w:t>Matol</w:t>
      </w:r>
      <w:r w:rsidR="00272CAC" w:rsidRPr="006931E8">
        <w:rPr>
          <w:rFonts w:asciiTheme="minorHAnsi" w:hAnsiTheme="minorHAnsi"/>
          <w:sz w:val="24"/>
          <w:szCs w:val="24"/>
        </w:rPr>
        <w:t>csy</w:t>
      </w:r>
      <w:proofErr w:type="spellEnd"/>
      <w:r w:rsidR="00272CAC" w:rsidRPr="006931E8">
        <w:rPr>
          <w:rFonts w:asciiTheme="minorHAnsi" w:hAnsiTheme="minorHAnsi"/>
          <w:sz w:val="24"/>
          <w:szCs w:val="24"/>
        </w:rPr>
        <w:t xml:space="preserve">: </w:t>
      </w:r>
      <w:proofErr w:type="spellStart"/>
      <w:r w:rsidR="00272CAC" w:rsidRPr="006931E8">
        <w:rPr>
          <w:rFonts w:asciiTheme="minorHAnsi" w:hAnsiTheme="minorHAnsi"/>
          <w:sz w:val="24"/>
          <w:szCs w:val="24"/>
        </w:rPr>
        <w:t>Siker</w:t>
      </w:r>
      <w:proofErr w:type="spellEnd"/>
      <w:r w:rsidR="00272CAC" w:rsidRPr="006931E8">
        <w:rPr>
          <w:rFonts w:asciiTheme="minorHAnsi" w:hAnsiTheme="minorHAnsi"/>
          <w:sz w:val="24"/>
          <w:szCs w:val="24"/>
        </w:rPr>
        <w:t xml:space="preserve">, </w:t>
      </w:r>
      <w:proofErr w:type="spellStart"/>
      <w:r w:rsidR="00272CAC" w:rsidRPr="006931E8">
        <w:rPr>
          <w:rFonts w:asciiTheme="minorHAnsi" w:hAnsiTheme="minorHAnsi"/>
          <w:sz w:val="24"/>
          <w:szCs w:val="24"/>
        </w:rPr>
        <w:t>siker</w:t>
      </w:r>
      <w:proofErr w:type="spellEnd"/>
      <w:r w:rsidR="00272CAC" w:rsidRPr="006931E8">
        <w:rPr>
          <w:rFonts w:asciiTheme="minorHAnsi" w:hAnsiTheme="minorHAnsi"/>
          <w:sz w:val="24"/>
          <w:szCs w:val="24"/>
        </w:rPr>
        <w:t xml:space="preserve">, </w:t>
      </w:r>
      <w:proofErr w:type="spellStart"/>
      <w:r w:rsidR="00272CAC" w:rsidRPr="006931E8">
        <w:rPr>
          <w:rFonts w:asciiTheme="minorHAnsi" w:hAnsiTheme="minorHAnsi"/>
          <w:sz w:val="24"/>
          <w:szCs w:val="24"/>
        </w:rPr>
        <w:t>siker</w:t>
      </w:r>
      <w:proofErr w:type="spellEnd"/>
      <w:r w:rsidR="00272CAC" w:rsidRPr="006931E8">
        <w:rPr>
          <w:rFonts w:asciiTheme="minorHAnsi" w:hAnsiTheme="minorHAnsi"/>
          <w:sz w:val="24"/>
          <w:szCs w:val="24"/>
        </w:rPr>
        <w:t xml:space="preserve">”, November 20, Index. </w:t>
      </w:r>
      <w:r w:rsidRPr="006931E8">
        <w:rPr>
          <w:rFonts w:asciiTheme="minorHAnsi" w:hAnsiTheme="minorHAnsi"/>
          <w:sz w:val="24"/>
          <w:szCs w:val="24"/>
        </w:rPr>
        <w:t xml:space="preserve"> </w:t>
      </w:r>
      <w:hyperlink r:id="rId34" w:history="1">
        <w:r w:rsidR="00272CAC" w:rsidRPr="006931E8">
          <w:rPr>
            <w:rStyle w:val="Hyperlink"/>
            <w:rFonts w:asciiTheme="minorHAnsi" w:hAnsiTheme="minorHAnsi"/>
            <w:sz w:val="24"/>
            <w:szCs w:val="24"/>
          </w:rPr>
          <w:t>http://index.hu/gazdasag/2013/11/20/matolcsy_siker_siker_siker/</w:t>
        </w:r>
      </w:hyperlink>
      <w:r w:rsidR="00272CAC" w:rsidRPr="006931E8">
        <w:rPr>
          <w:rFonts w:asciiTheme="minorHAnsi" w:hAnsiTheme="minorHAnsi"/>
          <w:sz w:val="24"/>
          <w:szCs w:val="24"/>
        </w:rPr>
        <w:t xml:space="preserve"> accessed on 23/3/2015.</w:t>
      </w:r>
    </w:p>
    <w:p w:rsidR="00735368" w:rsidRDefault="003A0EBE">
      <w:pPr>
        <w:ind w:left="720" w:right="720"/>
        <w:jc w:val="both"/>
        <w:rPr>
          <w:rFonts w:asciiTheme="minorHAnsi" w:hAnsiTheme="minorHAnsi"/>
          <w:sz w:val="24"/>
          <w:szCs w:val="24"/>
        </w:rPr>
      </w:pPr>
      <w:proofErr w:type="spellStart"/>
      <w:proofErr w:type="gramStart"/>
      <w:r w:rsidRPr="006931E8">
        <w:rPr>
          <w:rFonts w:asciiTheme="minorHAnsi" w:hAnsiTheme="minorHAnsi"/>
          <w:sz w:val="24"/>
          <w:szCs w:val="24"/>
        </w:rPr>
        <w:t>Kopits</w:t>
      </w:r>
      <w:proofErr w:type="spellEnd"/>
      <w:r w:rsidR="00716127" w:rsidRPr="006931E8">
        <w:rPr>
          <w:rFonts w:asciiTheme="minorHAnsi" w:hAnsiTheme="minorHAnsi"/>
          <w:sz w:val="24"/>
          <w:szCs w:val="24"/>
        </w:rPr>
        <w:t xml:space="preserve"> </w:t>
      </w:r>
      <w:r w:rsidRPr="006931E8">
        <w:rPr>
          <w:rFonts w:asciiTheme="minorHAnsi" w:hAnsiTheme="minorHAnsi"/>
          <w:sz w:val="24"/>
          <w:szCs w:val="24"/>
        </w:rPr>
        <w:t xml:space="preserve"> G.</w:t>
      </w:r>
      <w:proofErr w:type="gramEnd"/>
      <w:r w:rsidRPr="006931E8">
        <w:rPr>
          <w:rFonts w:asciiTheme="minorHAnsi" w:hAnsiTheme="minorHAnsi"/>
          <w:sz w:val="24"/>
          <w:szCs w:val="24"/>
        </w:rPr>
        <w:t xml:space="preserve"> (2014) “Macroeconomic Policymaking: Discretionary or Rules-Based?” In </w:t>
      </w:r>
      <w:proofErr w:type="spellStart"/>
      <w:r w:rsidRPr="006931E8">
        <w:rPr>
          <w:rFonts w:asciiTheme="minorHAnsi" w:hAnsiTheme="minorHAnsi"/>
          <w:sz w:val="24"/>
          <w:szCs w:val="24"/>
        </w:rPr>
        <w:t>Sebestény</w:t>
      </w:r>
      <w:proofErr w:type="spellEnd"/>
      <w:r w:rsidRPr="006931E8">
        <w:rPr>
          <w:rFonts w:asciiTheme="minorHAnsi" w:hAnsiTheme="minorHAnsi"/>
          <w:sz w:val="24"/>
          <w:szCs w:val="24"/>
        </w:rPr>
        <w:t xml:space="preserve"> K. (ed), </w:t>
      </w:r>
      <w:proofErr w:type="spellStart"/>
      <w:r w:rsidR="00790F6A" w:rsidRPr="006931E8">
        <w:rPr>
          <w:rFonts w:asciiTheme="minorHAnsi" w:hAnsiTheme="minorHAnsi"/>
          <w:i/>
          <w:sz w:val="24"/>
          <w:szCs w:val="24"/>
        </w:rPr>
        <w:t>Surányi</w:t>
      </w:r>
      <w:proofErr w:type="spellEnd"/>
      <w:r w:rsidR="00790F6A" w:rsidRPr="006931E8">
        <w:rPr>
          <w:rFonts w:asciiTheme="minorHAnsi" w:hAnsiTheme="minorHAnsi"/>
          <w:i/>
          <w:sz w:val="24"/>
          <w:szCs w:val="24"/>
        </w:rPr>
        <w:t xml:space="preserve"> </w:t>
      </w:r>
      <w:proofErr w:type="spellStart"/>
      <w:r w:rsidR="00790F6A" w:rsidRPr="006931E8">
        <w:rPr>
          <w:rFonts w:asciiTheme="minorHAnsi" w:hAnsiTheme="minorHAnsi"/>
          <w:i/>
          <w:sz w:val="24"/>
          <w:szCs w:val="24"/>
        </w:rPr>
        <w:t>György</w:t>
      </w:r>
      <w:proofErr w:type="spellEnd"/>
      <w:r w:rsidR="00790F6A" w:rsidRPr="006931E8">
        <w:rPr>
          <w:rFonts w:asciiTheme="minorHAnsi" w:hAnsiTheme="minorHAnsi"/>
          <w:i/>
          <w:sz w:val="24"/>
          <w:szCs w:val="24"/>
        </w:rPr>
        <w:t xml:space="preserve"> </w:t>
      </w:r>
      <w:proofErr w:type="spellStart"/>
      <w:r w:rsidR="00790F6A" w:rsidRPr="006931E8">
        <w:rPr>
          <w:rFonts w:asciiTheme="minorHAnsi" w:hAnsiTheme="minorHAnsi"/>
          <w:i/>
          <w:sz w:val="24"/>
          <w:szCs w:val="24"/>
        </w:rPr>
        <w:t>hatvanéves</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Pénzügykutató</w:t>
      </w:r>
      <w:proofErr w:type="spellEnd"/>
      <w:r w:rsidRPr="006931E8">
        <w:rPr>
          <w:rFonts w:asciiTheme="minorHAnsi" w:hAnsiTheme="minorHAnsi"/>
          <w:sz w:val="24"/>
          <w:szCs w:val="24"/>
        </w:rPr>
        <w:t xml:space="preserve"> Press, Budapest, pp. 94-109.</w:t>
      </w:r>
      <w:r w:rsidR="008E5941" w:rsidRPr="006931E8">
        <w:rPr>
          <w:rFonts w:asciiTheme="minorHAnsi" w:hAnsiTheme="minorHAnsi"/>
          <w:sz w:val="24"/>
          <w:szCs w:val="24"/>
        </w:rPr>
        <w:t xml:space="preserve">Lambert, S. (2016). The orange files – Declaration of National Cooperation. Retrieved 1 March 2017, from https://theorangefiles.hu/declaration-of-national-cooperation/. </w:t>
      </w:r>
    </w:p>
    <w:p w:rsidR="00735368" w:rsidRDefault="004B4E55">
      <w:pPr>
        <w:ind w:left="720" w:right="720"/>
        <w:jc w:val="both"/>
        <w:rPr>
          <w:rFonts w:asciiTheme="minorHAnsi" w:hAnsiTheme="minorHAnsi"/>
          <w:sz w:val="24"/>
          <w:szCs w:val="24"/>
        </w:rPr>
      </w:pPr>
      <w:proofErr w:type="spellStart"/>
      <w:r w:rsidRPr="006931E8">
        <w:rPr>
          <w:rFonts w:asciiTheme="minorHAnsi" w:hAnsiTheme="minorHAnsi"/>
          <w:sz w:val="24"/>
          <w:szCs w:val="24"/>
        </w:rPr>
        <w:t>Lapavitsas</w:t>
      </w:r>
      <w:proofErr w:type="spellEnd"/>
      <w:r w:rsidRPr="006931E8">
        <w:rPr>
          <w:rFonts w:asciiTheme="minorHAnsi" w:hAnsiTheme="minorHAnsi"/>
          <w:sz w:val="24"/>
          <w:szCs w:val="24"/>
        </w:rPr>
        <w:t xml:space="preserve"> C. et. al. (2010) ‘The Eurozone Between Austerity </w:t>
      </w:r>
      <w:proofErr w:type="gramStart"/>
      <w:r w:rsidRPr="006931E8">
        <w:rPr>
          <w:rFonts w:asciiTheme="minorHAnsi" w:hAnsiTheme="minorHAnsi"/>
          <w:sz w:val="24"/>
          <w:szCs w:val="24"/>
        </w:rPr>
        <w:t>And</w:t>
      </w:r>
      <w:proofErr w:type="gramEnd"/>
      <w:r w:rsidRPr="006931E8">
        <w:rPr>
          <w:rFonts w:asciiTheme="minorHAnsi" w:hAnsiTheme="minorHAnsi"/>
          <w:sz w:val="24"/>
          <w:szCs w:val="24"/>
        </w:rPr>
        <w:t xml:space="preserve"> Default’, </w:t>
      </w:r>
      <w:r w:rsidR="00104378" w:rsidRPr="006931E8">
        <w:rPr>
          <w:rFonts w:asciiTheme="minorHAnsi" w:hAnsiTheme="minorHAnsi"/>
          <w:i/>
          <w:sz w:val="24"/>
          <w:szCs w:val="24"/>
        </w:rPr>
        <w:t>Research on Money and Finance</w:t>
      </w:r>
      <w:r w:rsidR="00D3110B">
        <w:rPr>
          <w:rFonts w:asciiTheme="minorHAnsi" w:hAnsiTheme="minorHAnsi"/>
          <w:sz w:val="24"/>
          <w:szCs w:val="24"/>
        </w:rPr>
        <w:t>, Occasiona</w:t>
      </w:r>
      <w:r w:rsidRPr="006931E8">
        <w:rPr>
          <w:rFonts w:asciiTheme="minorHAnsi" w:hAnsiTheme="minorHAnsi"/>
          <w:sz w:val="24"/>
          <w:szCs w:val="24"/>
        </w:rPr>
        <w:t xml:space="preserve">l Report, September. </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Leighton, D. (2008). Why We Hate politics by Colin Hay - the politics we deserve?,</w:t>
      </w:r>
      <w:r w:rsidR="00E26157" w:rsidRPr="006931E8">
        <w:rPr>
          <w:rFonts w:asciiTheme="minorHAnsi" w:hAnsiTheme="minorHAnsi"/>
          <w:sz w:val="24"/>
          <w:szCs w:val="24"/>
        </w:rPr>
        <w:t xml:space="preserve"> </w:t>
      </w:r>
      <w:hyperlink r:id="rId35" w:history="1">
        <w:r w:rsidR="00E26157" w:rsidRPr="006931E8">
          <w:rPr>
            <w:rStyle w:val="Hyperlink"/>
            <w:rFonts w:asciiTheme="minorHAnsi" w:hAnsiTheme="minorHAnsi"/>
            <w:sz w:val="24"/>
            <w:szCs w:val="24"/>
          </w:rPr>
          <w:t>https://www.opendemocracy.net/ourkingdom/2008/01/29/why-we-hate-politics-by-colinhay-</w:t>
        </w:r>
      </w:hyperlink>
      <w:r w:rsidR="00E26157" w:rsidRPr="006931E8">
        <w:rPr>
          <w:rFonts w:asciiTheme="minorHAnsi" w:hAnsiTheme="minorHAnsi"/>
          <w:sz w:val="24"/>
          <w:szCs w:val="24"/>
        </w:rPr>
        <w:t xml:space="preserve"> </w:t>
      </w:r>
      <w:r w:rsidRPr="006931E8">
        <w:rPr>
          <w:rFonts w:asciiTheme="minorHAnsi" w:hAnsiTheme="minorHAnsi"/>
          <w:sz w:val="24"/>
          <w:szCs w:val="24"/>
        </w:rPr>
        <w:t>the-politics-we-deserve</w:t>
      </w:r>
    </w:p>
    <w:p w:rsidR="00D3110B" w:rsidRDefault="00DE2897">
      <w:pPr>
        <w:ind w:left="720" w:right="720"/>
        <w:jc w:val="both"/>
        <w:rPr>
          <w:rFonts w:asciiTheme="minorHAnsi" w:hAnsiTheme="minorHAnsi"/>
          <w:sz w:val="24"/>
          <w:szCs w:val="24"/>
        </w:rPr>
      </w:pPr>
      <w:proofErr w:type="spellStart"/>
      <w:r w:rsidRPr="006931E8">
        <w:rPr>
          <w:rFonts w:asciiTheme="minorHAnsi" w:hAnsiTheme="minorHAnsi"/>
          <w:sz w:val="24"/>
          <w:szCs w:val="24"/>
        </w:rPr>
        <w:t>Lütz</w:t>
      </w:r>
      <w:proofErr w:type="spellEnd"/>
      <w:r w:rsidRPr="006931E8">
        <w:rPr>
          <w:rFonts w:asciiTheme="minorHAnsi" w:hAnsiTheme="minorHAnsi"/>
          <w:sz w:val="24"/>
          <w:szCs w:val="24"/>
        </w:rPr>
        <w:t xml:space="preserve">, S. &amp; </w:t>
      </w:r>
      <w:proofErr w:type="spellStart"/>
      <w:r w:rsidRPr="006931E8">
        <w:rPr>
          <w:rFonts w:asciiTheme="minorHAnsi" w:hAnsiTheme="minorHAnsi"/>
          <w:sz w:val="24"/>
          <w:szCs w:val="24"/>
        </w:rPr>
        <w:t>Kranke</w:t>
      </w:r>
      <w:proofErr w:type="spellEnd"/>
      <w:r w:rsidRPr="006931E8">
        <w:rPr>
          <w:rFonts w:asciiTheme="minorHAnsi" w:hAnsiTheme="minorHAnsi"/>
          <w:sz w:val="24"/>
          <w:szCs w:val="24"/>
        </w:rPr>
        <w:t xml:space="preserve">, M. (2010). The European Rescue of the </w:t>
      </w:r>
      <w:proofErr w:type="gramStart"/>
      <w:r w:rsidRPr="006931E8">
        <w:rPr>
          <w:rFonts w:asciiTheme="minorHAnsi" w:hAnsiTheme="minorHAnsi"/>
          <w:sz w:val="24"/>
          <w:szCs w:val="24"/>
        </w:rPr>
        <w:t>Washington  Consensus</w:t>
      </w:r>
      <w:proofErr w:type="gramEnd"/>
      <w:r w:rsidRPr="006931E8">
        <w:rPr>
          <w:rFonts w:asciiTheme="minorHAnsi" w:hAnsiTheme="minorHAnsi"/>
          <w:sz w:val="24"/>
          <w:szCs w:val="24"/>
        </w:rPr>
        <w:t xml:space="preserve">? EU and IMF Lending to Central and Eastern European Countries. LSE ‘Europe in Question’ Discussion Paper Series, No. 22/2010. </w:t>
      </w:r>
      <w:hyperlink r:id="rId36" w:history="1">
        <w:r w:rsidRPr="006931E8">
          <w:rPr>
            <w:rStyle w:val="Hyperlink"/>
            <w:rFonts w:asciiTheme="minorHAnsi" w:hAnsiTheme="minorHAnsi"/>
            <w:sz w:val="24"/>
            <w:szCs w:val="24"/>
          </w:rPr>
          <w:t>http://www.lse.ac.uk/europeanInstitute/LEQS%20Discussion%20Paper%20Series/LEQSPaper22.pdf</w:t>
        </w:r>
      </w:hyperlink>
      <w:r w:rsidRPr="006931E8">
        <w:rPr>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Mackintosh S. P. M (2014) “Crises and Paradigm Shift</w:t>
      </w:r>
      <w:r w:rsidRPr="006931E8">
        <w:rPr>
          <w:rFonts w:asciiTheme="minorHAnsi" w:hAnsiTheme="minorHAnsi"/>
          <w:i/>
          <w:sz w:val="24"/>
          <w:szCs w:val="24"/>
        </w:rPr>
        <w:t>”, The</w:t>
      </w:r>
      <w:r w:rsidR="00E26157" w:rsidRPr="006931E8">
        <w:rPr>
          <w:rFonts w:asciiTheme="minorHAnsi" w:hAnsiTheme="minorHAnsi"/>
          <w:i/>
          <w:sz w:val="24"/>
          <w:szCs w:val="24"/>
        </w:rPr>
        <w:t xml:space="preserve"> Political Quarterly</w:t>
      </w:r>
      <w:r w:rsidR="002C3C13" w:rsidRPr="006931E8">
        <w:rPr>
          <w:rFonts w:asciiTheme="minorHAnsi" w:hAnsiTheme="minorHAnsi"/>
          <w:i/>
          <w:sz w:val="24"/>
          <w:szCs w:val="24"/>
        </w:rPr>
        <w:t>,</w:t>
      </w:r>
      <w:r w:rsidR="00E26157" w:rsidRPr="006931E8">
        <w:rPr>
          <w:rFonts w:asciiTheme="minorHAnsi" w:hAnsiTheme="minorHAnsi"/>
          <w:sz w:val="24"/>
          <w:szCs w:val="24"/>
        </w:rPr>
        <w:t xml:space="preserve"> Volume 85, </w:t>
      </w:r>
      <w:r w:rsidRPr="006931E8">
        <w:rPr>
          <w:rFonts w:asciiTheme="minorHAnsi" w:hAnsiTheme="minorHAnsi"/>
          <w:sz w:val="24"/>
          <w:szCs w:val="24"/>
        </w:rPr>
        <w:t>Issue 4, 406–41.</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w:t>
      </w:r>
      <w:r w:rsidRPr="006931E8">
        <w:rPr>
          <w:rFonts w:asciiTheme="minorHAnsi" w:hAnsiTheme="minorHAnsi"/>
          <w:i/>
          <w:sz w:val="24"/>
          <w:szCs w:val="24"/>
        </w:rPr>
        <w:t>Annual report</w:t>
      </w:r>
      <w:r w:rsidR="00EF08A5" w:rsidRPr="006931E8">
        <w:rPr>
          <w:rFonts w:asciiTheme="minorHAnsi" w:hAnsiTheme="minorHAnsi"/>
          <w:i/>
          <w:sz w:val="24"/>
          <w:szCs w:val="24"/>
        </w:rPr>
        <w:t>s</w:t>
      </w:r>
      <w:r w:rsidR="00A306D3">
        <w:rPr>
          <w:rFonts w:asciiTheme="minorHAnsi" w:hAnsiTheme="minorHAnsi"/>
          <w:i/>
          <w:sz w:val="24"/>
          <w:szCs w:val="24"/>
        </w:rPr>
        <w:t xml:space="preserve"> </w:t>
      </w:r>
      <w:r w:rsidRPr="006931E8">
        <w:rPr>
          <w:rFonts w:asciiTheme="minorHAnsi" w:hAnsiTheme="minorHAnsi"/>
          <w:sz w:val="24"/>
          <w:szCs w:val="24"/>
        </w:rPr>
        <w:t xml:space="preserve">Budapest: 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w:t>
      </w:r>
      <w:r w:rsidR="00EF08A5" w:rsidRPr="006931E8">
        <w:rPr>
          <w:rFonts w:asciiTheme="minorHAnsi" w:hAnsiTheme="minorHAnsi"/>
          <w:sz w:val="24"/>
          <w:szCs w:val="24"/>
        </w:rPr>
        <w:t xml:space="preserve">, 2011-2014. Budapest: Magyar </w:t>
      </w:r>
      <w:proofErr w:type="spellStart"/>
      <w:r w:rsidR="00EF08A5" w:rsidRPr="006931E8">
        <w:rPr>
          <w:rFonts w:asciiTheme="minorHAnsi" w:hAnsiTheme="minorHAnsi"/>
          <w:sz w:val="24"/>
          <w:szCs w:val="24"/>
        </w:rPr>
        <w:t>Nemzeti</w:t>
      </w:r>
      <w:proofErr w:type="spellEnd"/>
      <w:r w:rsidR="00EF08A5" w:rsidRPr="006931E8">
        <w:rPr>
          <w:rFonts w:asciiTheme="minorHAnsi" w:hAnsiTheme="minorHAnsi"/>
          <w:sz w:val="24"/>
          <w:szCs w:val="24"/>
        </w:rPr>
        <w:t xml:space="preserve"> Bank. Retrieved 1 July 2016, from </w:t>
      </w:r>
      <w:hyperlink r:id="rId37" w:history="1">
        <w:r w:rsidR="00EF08A5" w:rsidRPr="006931E8">
          <w:rPr>
            <w:rStyle w:val="Hyperlink"/>
            <w:rFonts w:asciiTheme="minorHAnsi" w:hAnsiTheme="minorHAnsi"/>
            <w:sz w:val="24"/>
            <w:szCs w:val="24"/>
          </w:rPr>
          <w:t>https://www.mnb.hu/letoltes/eves-jelentes-2012-en-1.pdf</w:t>
        </w:r>
      </w:hyperlink>
      <w:r w:rsidR="00EF08A5" w:rsidRPr="006931E8">
        <w:rPr>
          <w:rFonts w:asciiTheme="minorHAnsi" w:hAnsiTheme="minorHAnsi"/>
          <w:sz w:val="24"/>
          <w:szCs w:val="24"/>
        </w:rPr>
        <w:t xml:space="preserve">. </w:t>
      </w:r>
    </w:p>
    <w:p w:rsidR="00735368" w:rsidRDefault="00EF08A5">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(2012</w:t>
      </w:r>
      <w:r w:rsidR="008E5941" w:rsidRPr="006931E8">
        <w:rPr>
          <w:rFonts w:asciiTheme="minorHAnsi" w:hAnsiTheme="minorHAnsi"/>
          <w:sz w:val="24"/>
          <w:szCs w:val="24"/>
        </w:rPr>
        <w:t>a</w:t>
      </w:r>
      <w:r w:rsidRPr="006931E8">
        <w:rPr>
          <w:rFonts w:asciiTheme="minorHAnsi" w:hAnsiTheme="minorHAnsi"/>
          <w:sz w:val="24"/>
          <w:szCs w:val="24"/>
        </w:rPr>
        <w:t xml:space="preserve">) Minutes of the monetary council meeting of 28 August. Retrieved 1 July 2016, from </w:t>
      </w:r>
      <w:hyperlink r:id="rId38" w:history="1">
        <w:r w:rsidRPr="006931E8">
          <w:rPr>
            <w:rStyle w:val="Hyperlink"/>
            <w:rFonts w:asciiTheme="minorHAnsi" w:hAnsiTheme="minorHAnsi"/>
            <w:sz w:val="24"/>
            <w:szCs w:val="24"/>
          </w:rPr>
          <w:t>https://www.mnb.hu/letoltes/minutes-20120828-en.pdf</w:t>
        </w:r>
      </w:hyperlink>
      <w:r w:rsidRPr="006931E8">
        <w:rPr>
          <w:rFonts w:asciiTheme="minorHAnsi" w:hAnsiTheme="minorHAnsi"/>
          <w:sz w:val="24"/>
          <w:szCs w:val="24"/>
        </w:rPr>
        <w:t xml:space="preserve">. </w:t>
      </w:r>
    </w:p>
    <w:p w:rsidR="00735368" w:rsidRDefault="00571BAE">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(2013</w:t>
      </w:r>
      <w:r w:rsidR="00EF08A5" w:rsidRPr="006931E8">
        <w:rPr>
          <w:rFonts w:asciiTheme="minorHAnsi" w:hAnsiTheme="minorHAnsi"/>
          <w:sz w:val="24"/>
          <w:szCs w:val="24"/>
        </w:rPr>
        <w:t>a</w:t>
      </w:r>
      <w:r w:rsidRPr="006931E8">
        <w:rPr>
          <w:rFonts w:asciiTheme="minorHAnsi" w:hAnsiTheme="minorHAnsi"/>
          <w:sz w:val="24"/>
          <w:szCs w:val="24"/>
        </w:rPr>
        <w:t>). Statu</w:t>
      </w:r>
      <w:r w:rsidR="00E26157" w:rsidRPr="006931E8">
        <w:rPr>
          <w:rFonts w:asciiTheme="minorHAnsi" w:hAnsiTheme="minorHAnsi"/>
          <w:sz w:val="24"/>
          <w:szCs w:val="24"/>
        </w:rPr>
        <w:t xml:space="preserve">tes of the Magyar </w:t>
      </w:r>
      <w:proofErr w:type="spellStart"/>
      <w:r w:rsidR="00E26157" w:rsidRPr="006931E8">
        <w:rPr>
          <w:rFonts w:asciiTheme="minorHAnsi" w:hAnsiTheme="minorHAnsi"/>
          <w:sz w:val="24"/>
          <w:szCs w:val="24"/>
        </w:rPr>
        <w:t>Nemzeti</w:t>
      </w:r>
      <w:proofErr w:type="spellEnd"/>
      <w:r w:rsidR="00E26157" w:rsidRPr="006931E8">
        <w:rPr>
          <w:rFonts w:asciiTheme="minorHAnsi" w:hAnsiTheme="minorHAnsi"/>
          <w:sz w:val="24"/>
          <w:szCs w:val="24"/>
        </w:rPr>
        <w:t xml:space="preserve"> Bank. </w:t>
      </w:r>
      <w:r w:rsidRPr="006931E8">
        <w:rPr>
          <w:rFonts w:asciiTheme="minorHAnsi" w:hAnsiTheme="minorHAnsi"/>
          <w:sz w:val="24"/>
          <w:szCs w:val="24"/>
        </w:rPr>
        <w:t>http://english.mnb.hu/Root/Dokumentumtar/MNB/A_jegyb</w:t>
      </w:r>
      <w:r w:rsidR="00E26157" w:rsidRPr="006931E8">
        <w:rPr>
          <w:rFonts w:asciiTheme="minorHAnsi" w:hAnsiTheme="minorHAnsi"/>
          <w:sz w:val="24"/>
          <w:szCs w:val="24"/>
        </w:rPr>
        <w:t>ank/kozerdeku_informaciok/tevek</w:t>
      </w:r>
      <w:r w:rsidRPr="006931E8">
        <w:rPr>
          <w:rFonts w:asciiTheme="minorHAnsi" w:hAnsiTheme="minorHAnsi"/>
          <w:sz w:val="24"/>
          <w:szCs w:val="24"/>
        </w:rPr>
        <w:t>enysegre_mukodesre_adatok/mnbhu_szerv_alaptevekenyseg_hataskor/alapito_okirat_en.pdf</w:t>
      </w:r>
    </w:p>
    <w:p w:rsidR="00735368" w:rsidRDefault="00EF08A5">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(2013b). Minutes of the monetary council meeting of 26 March 2013. Retrieved 1 July 2016, from https://www.mnb.hu/letoltes/minutes-20130326-en.pdf. </w:t>
      </w:r>
    </w:p>
    <w:p w:rsidR="00735368" w:rsidRDefault="008E5941">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(2014a</w:t>
      </w:r>
      <w:r w:rsidR="00EF08A5" w:rsidRPr="006931E8">
        <w:rPr>
          <w:rFonts w:asciiTheme="minorHAnsi" w:hAnsiTheme="minorHAnsi"/>
          <w:sz w:val="24"/>
          <w:szCs w:val="24"/>
        </w:rPr>
        <w:t xml:space="preserve">). Minutes of the monetary council meeting of 26 August and 16 December.  Retrieved 1 July 2016, from </w:t>
      </w:r>
      <w:hyperlink r:id="rId39" w:history="1">
        <w:r w:rsidR="00197353" w:rsidRPr="006931E8">
          <w:rPr>
            <w:rStyle w:val="Hyperlink"/>
            <w:rFonts w:asciiTheme="minorHAnsi" w:hAnsiTheme="minorHAnsi"/>
            <w:sz w:val="24"/>
            <w:szCs w:val="24"/>
          </w:rPr>
          <w:t>https://www.mnb.hu/letoltes/minutes-201408-en-342027.pdf</w:t>
        </w:r>
      </w:hyperlink>
      <w:r w:rsidR="00EF08A5" w:rsidRPr="006931E8">
        <w:rPr>
          <w:rFonts w:asciiTheme="minorHAnsi" w:hAnsiTheme="minorHAnsi"/>
          <w:sz w:val="24"/>
          <w:szCs w:val="24"/>
        </w:rPr>
        <w:t xml:space="preserve">. </w:t>
      </w:r>
    </w:p>
    <w:p w:rsidR="00735368" w:rsidRDefault="00197353">
      <w:pPr>
        <w:ind w:left="720" w:right="720"/>
        <w:jc w:val="both"/>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w:t>
      </w:r>
      <w:proofErr w:type="spellEnd"/>
      <w:r w:rsidRPr="006931E8">
        <w:rPr>
          <w:rFonts w:asciiTheme="minorHAnsi" w:hAnsiTheme="minorHAnsi"/>
          <w:sz w:val="24"/>
          <w:szCs w:val="24"/>
        </w:rPr>
        <w:t xml:space="preserve"> Online (2013a). </w:t>
      </w:r>
      <w:proofErr w:type="spellStart"/>
      <w:r w:rsidRPr="006931E8">
        <w:rPr>
          <w:rFonts w:asciiTheme="minorHAnsi" w:hAnsiTheme="minorHAnsi"/>
          <w:sz w:val="24"/>
          <w:szCs w:val="24"/>
        </w:rPr>
        <w:t>Eltüntetik</w:t>
      </w:r>
      <w:proofErr w:type="spellEnd"/>
      <w:r w:rsidRPr="006931E8">
        <w:rPr>
          <w:rFonts w:asciiTheme="minorHAnsi" w:hAnsiTheme="minorHAnsi"/>
          <w:sz w:val="24"/>
          <w:szCs w:val="24"/>
        </w:rPr>
        <w:t xml:space="preserve"> a </w:t>
      </w:r>
      <w:proofErr w:type="spellStart"/>
      <w:r w:rsidRPr="006931E8">
        <w:rPr>
          <w:rFonts w:asciiTheme="minorHAnsi" w:hAnsiTheme="minorHAnsi"/>
          <w:sz w:val="24"/>
          <w:szCs w:val="24"/>
        </w:rPr>
        <w:t>veszteséget</w:t>
      </w:r>
      <w:proofErr w:type="spellEnd"/>
      <w:r w:rsidRPr="006931E8">
        <w:rPr>
          <w:rFonts w:asciiTheme="minorHAnsi" w:hAnsiTheme="minorHAnsi"/>
          <w:sz w:val="24"/>
          <w:szCs w:val="24"/>
        </w:rPr>
        <w:t xml:space="preserve"> a </w:t>
      </w:r>
      <w:proofErr w:type="spellStart"/>
      <w:r w:rsidRPr="006931E8">
        <w:rPr>
          <w:rFonts w:asciiTheme="minorHAnsi" w:hAnsiTheme="minorHAnsi"/>
          <w:sz w:val="24"/>
          <w:szCs w:val="24"/>
        </w:rPr>
        <w:t>jegybankban</w:t>
      </w:r>
      <w:proofErr w:type="spellEnd"/>
      <w:r w:rsidRPr="006931E8">
        <w:rPr>
          <w:rFonts w:asciiTheme="minorHAnsi" w:hAnsiTheme="minorHAnsi"/>
          <w:sz w:val="24"/>
          <w:szCs w:val="24"/>
        </w:rPr>
        <w:t xml:space="preserve"> (2013, October 10). MNO.</w:t>
      </w:r>
    </w:p>
    <w:p w:rsidR="006A3E45" w:rsidRDefault="00197353">
      <w:pPr>
        <w:ind w:left="720" w:right="720"/>
        <w:rPr>
          <w:rFonts w:asciiTheme="minorHAnsi" w:hAnsiTheme="minorHAnsi"/>
          <w:sz w:val="24"/>
          <w:szCs w:val="24"/>
        </w:rPr>
      </w:pPr>
      <w:r w:rsidRPr="006931E8">
        <w:rPr>
          <w:rFonts w:asciiTheme="minorHAnsi" w:hAnsiTheme="minorHAnsi"/>
          <w:sz w:val="24"/>
          <w:szCs w:val="24"/>
        </w:rPr>
        <w:t xml:space="preserve">Magyar </w:t>
      </w:r>
      <w:proofErr w:type="spellStart"/>
      <w:r w:rsidRPr="006931E8">
        <w:rPr>
          <w:rFonts w:asciiTheme="minorHAnsi" w:hAnsiTheme="minorHAnsi"/>
          <w:sz w:val="24"/>
          <w:szCs w:val="24"/>
        </w:rPr>
        <w:t>Nemzet</w:t>
      </w:r>
      <w:proofErr w:type="spellEnd"/>
      <w:r w:rsidRPr="006931E8">
        <w:rPr>
          <w:rFonts w:asciiTheme="minorHAnsi" w:hAnsiTheme="minorHAnsi"/>
          <w:sz w:val="24"/>
          <w:szCs w:val="24"/>
        </w:rPr>
        <w:t xml:space="preserve"> Online (2014) </w:t>
      </w:r>
      <w:proofErr w:type="spellStart"/>
      <w:r w:rsidRPr="006931E8">
        <w:rPr>
          <w:rFonts w:asciiTheme="minorHAnsi" w:hAnsiTheme="minorHAnsi"/>
          <w:sz w:val="24"/>
          <w:szCs w:val="24"/>
        </w:rPr>
        <w:t>Orbán</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gazdasági</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kérdésekről</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egyeztetett</w:t>
      </w:r>
      <w:proofErr w:type="spellEnd"/>
      <w:r w:rsidRPr="006931E8">
        <w:rPr>
          <w:rFonts w:asciiTheme="minorHAnsi" w:hAnsiTheme="minorHAnsi"/>
          <w:sz w:val="24"/>
          <w:szCs w:val="24"/>
        </w:rPr>
        <w:t xml:space="preserve"> (2014, May 13). </w:t>
      </w:r>
      <w:r w:rsidRPr="006931E8">
        <w:rPr>
          <w:rFonts w:asciiTheme="minorHAnsi" w:hAnsiTheme="minorHAnsi"/>
          <w:i/>
          <w:sz w:val="24"/>
          <w:szCs w:val="24"/>
        </w:rPr>
        <w:t xml:space="preserve">Magyar </w:t>
      </w:r>
      <w:proofErr w:type="spellStart"/>
      <w:r w:rsidRPr="006931E8">
        <w:rPr>
          <w:rFonts w:asciiTheme="minorHAnsi" w:hAnsiTheme="minorHAnsi"/>
          <w:i/>
          <w:sz w:val="24"/>
          <w:szCs w:val="24"/>
        </w:rPr>
        <w:t>Nemzet</w:t>
      </w:r>
      <w:proofErr w:type="spellEnd"/>
      <w:r w:rsidRPr="006931E8">
        <w:rPr>
          <w:rFonts w:asciiTheme="minorHAnsi" w:hAnsiTheme="minorHAnsi"/>
          <w:i/>
          <w:sz w:val="24"/>
          <w:szCs w:val="24"/>
        </w:rPr>
        <w:t xml:space="preserve"> Online.</w:t>
      </w:r>
      <w:r w:rsidRPr="006931E8">
        <w:rPr>
          <w:rFonts w:asciiTheme="minorHAnsi" w:hAnsiTheme="minorHAnsi"/>
          <w:sz w:val="24"/>
          <w:szCs w:val="24"/>
        </w:rPr>
        <w:t xml:space="preserve"> Retrieved 23 July 2014, from: </w:t>
      </w:r>
      <w:hyperlink r:id="rId40" w:history="1">
        <w:r w:rsidRPr="006931E8">
          <w:rPr>
            <w:rStyle w:val="Hyperlink"/>
            <w:rFonts w:asciiTheme="minorHAnsi" w:hAnsiTheme="minorHAnsi"/>
            <w:sz w:val="24"/>
            <w:szCs w:val="24"/>
          </w:rPr>
          <w:t>http://mno.hu/belfold/orban-gazdasagi-kerdesekrol-egyeztetett-1226218</w:t>
        </w:r>
      </w:hyperlink>
      <w:r w:rsidRPr="006931E8">
        <w:rPr>
          <w:rFonts w:asciiTheme="minorHAnsi" w:hAnsiTheme="minorHAnsi"/>
          <w:sz w:val="24"/>
          <w:szCs w:val="24"/>
        </w:rPr>
        <w:t xml:space="preserve">. </w:t>
      </w:r>
    </w:p>
    <w:p w:rsidR="00A05D10" w:rsidRPr="00ED0840" w:rsidRDefault="00ED0840" w:rsidP="0079076D">
      <w:pPr>
        <w:ind w:left="720" w:right="720"/>
        <w:jc w:val="both"/>
        <w:rPr>
          <w:rFonts w:asciiTheme="minorHAnsi" w:hAnsiTheme="minorHAnsi"/>
          <w:sz w:val="24"/>
          <w:szCs w:val="24"/>
        </w:rPr>
      </w:pPr>
      <w:r w:rsidRPr="00ED0840">
        <w:rPr>
          <w:rFonts w:asciiTheme="minorHAnsi" w:hAnsiTheme="minorHAnsi"/>
          <w:sz w:val="24"/>
          <w:szCs w:val="24"/>
        </w:rPr>
        <w:t xml:space="preserve">Mero K. and </w:t>
      </w:r>
      <w:proofErr w:type="spellStart"/>
      <w:r w:rsidRPr="00ED0840">
        <w:rPr>
          <w:rFonts w:asciiTheme="minorHAnsi" w:hAnsiTheme="minorHAnsi"/>
          <w:sz w:val="24"/>
          <w:szCs w:val="24"/>
        </w:rPr>
        <w:t>Piroska</w:t>
      </w:r>
      <w:proofErr w:type="spellEnd"/>
      <w:r w:rsidRPr="00ED0840">
        <w:rPr>
          <w:rFonts w:asciiTheme="minorHAnsi" w:hAnsiTheme="minorHAnsi"/>
          <w:sz w:val="24"/>
          <w:szCs w:val="24"/>
        </w:rPr>
        <w:t xml:space="preserve"> D. (2016) “Banking Union and banking nationalism – Explaining opt-out choices of Hungary, Poland and the Czech Republic”, </w:t>
      </w:r>
      <w:r w:rsidRPr="00ED0840">
        <w:rPr>
          <w:rFonts w:asciiTheme="minorHAnsi" w:hAnsiTheme="minorHAnsi"/>
          <w:i/>
          <w:sz w:val="24"/>
          <w:szCs w:val="24"/>
        </w:rPr>
        <w:t>Policy and Society</w:t>
      </w:r>
      <w:r w:rsidRPr="00ED0840">
        <w:rPr>
          <w:rFonts w:asciiTheme="minorHAnsi" w:hAnsiTheme="minorHAnsi"/>
          <w:sz w:val="24"/>
          <w:szCs w:val="24"/>
        </w:rPr>
        <w:t xml:space="preserve"> (in press).</w:t>
      </w:r>
    </w:p>
    <w:p w:rsidR="004B4E55" w:rsidRPr="006931E8" w:rsidRDefault="004B4E55" w:rsidP="000F4BEA">
      <w:pPr>
        <w:ind w:left="720" w:right="720"/>
        <w:jc w:val="both"/>
        <w:rPr>
          <w:rFonts w:asciiTheme="minorHAnsi" w:hAnsiTheme="minorHAnsi"/>
          <w:sz w:val="24"/>
          <w:szCs w:val="24"/>
        </w:rPr>
      </w:pPr>
      <w:proofErr w:type="spellStart"/>
      <w:r w:rsidRPr="006931E8">
        <w:rPr>
          <w:rFonts w:asciiTheme="minorHAnsi" w:hAnsiTheme="minorHAnsi"/>
          <w:sz w:val="24"/>
          <w:szCs w:val="24"/>
        </w:rPr>
        <w:t>Milios</w:t>
      </w:r>
      <w:proofErr w:type="spellEnd"/>
      <w:r w:rsidRPr="006931E8">
        <w:rPr>
          <w:rFonts w:asciiTheme="minorHAnsi" w:hAnsiTheme="minorHAnsi"/>
          <w:sz w:val="24"/>
          <w:szCs w:val="24"/>
        </w:rPr>
        <w:t xml:space="preserve"> J. and Sotiropoulos D. P. (2010) ‘Crisis of Greece or crisis of the euro? A view from the European ‘periphery’’, </w:t>
      </w:r>
      <w:r w:rsidR="00104378" w:rsidRPr="006931E8">
        <w:rPr>
          <w:rFonts w:asciiTheme="minorHAnsi" w:hAnsiTheme="minorHAnsi"/>
          <w:i/>
          <w:sz w:val="24"/>
          <w:szCs w:val="24"/>
        </w:rPr>
        <w:t>Journal of Balkan and Near Eastern Studies</w:t>
      </w:r>
      <w:r w:rsidRPr="006931E8">
        <w:rPr>
          <w:rFonts w:asciiTheme="minorHAnsi" w:hAnsiTheme="minorHAnsi"/>
          <w:sz w:val="24"/>
          <w:szCs w:val="24"/>
        </w:rPr>
        <w:t>, Vol. 12, No. 3, pp. 223-240.</w:t>
      </w:r>
    </w:p>
    <w:p w:rsidR="00EF3A12" w:rsidRPr="006931E8" w:rsidRDefault="00EF3A12" w:rsidP="000F4BEA">
      <w:pPr>
        <w:ind w:left="720" w:right="720"/>
        <w:jc w:val="both"/>
        <w:rPr>
          <w:rFonts w:asciiTheme="minorHAnsi" w:hAnsiTheme="minorHAnsi"/>
          <w:sz w:val="24"/>
          <w:szCs w:val="24"/>
        </w:rPr>
      </w:pPr>
      <w:proofErr w:type="spellStart"/>
      <w:r w:rsidRPr="006931E8">
        <w:rPr>
          <w:rFonts w:asciiTheme="minorHAnsi" w:hAnsiTheme="minorHAnsi"/>
          <w:sz w:val="24"/>
          <w:szCs w:val="24"/>
        </w:rPr>
        <w:t>Mojon</w:t>
      </w:r>
      <w:proofErr w:type="spellEnd"/>
      <w:r w:rsidRPr="006931E8">
        <w:rPr>
          <w:rFonts w:asciiTheme="minorHAnsi" w:hAnsiTheme="minorHAnsi"/>
          <w:sz w:val="24"/>
          <w:szCs w:val="24"/>
        </w:rPr>
        <w:t xml:space="preserve"> B. (2010). "The 2007–2009 Financial Crisis and the European Centra</w:t>
      </w:r>
      <w:r w:rsidR="00E26157" w:rsidRPr="006931E8">
        <w:rPr>
          <w:rFonts w:asciiTheme="minorHAnsi" w:hAnsiTheme="minorHAnsi"/>
          <w:sz w:val="24"/>
          <w:szCs w:val="24"/>
        </w:rPr>
        <w:t xml:space="preserve">l Bank," Open </w:t>
      </w:r>
      <w:r w:rsidRPr="006931E8">
        <w:rPr>
          <w:rFonts w:asciiTheme="minorHAnsi" w:hAnsiTheme="minorHAnsi"/>
          <w:sz w:val="24"/>
          <w:szCs w:val="24"/>
        </w:rPr>
        <w:t>Economies Review, Springer, vol. 21(1),175-182.</w:t>
      </w:r>
    </w:p>
    <w:p w:rsidR="00735368" w:rsidRDefault="004F05AD">
      <w:pPr>
        <w:ind w:left="720" w:right="720"/>
        <w:jc w:val="both"/>
        <w:rPr>
          <w:rFonts w:asciiTheme="minorHAnsi" w:hAnsiTheme="minorHAnsi"/>
          <w:sz w:val="24"/>
          <w:szCs w:val="24"/>
        </w:rPr>
      </w:pPr>
      <w:r w:rsidRPr="006931E8">
        <w:rPr>
          <w:rFonts w:asciiTheme="minorHAnsi" w:hAnsiTheme="minorHAnsi"/>
          <w:sz w:val="24"/>
          <w:szCs w:val="24"/>
        </w:rPr>
        <w:t xml:space="preserve">Monetary Council Members, 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w:t>
      </w:r>
      <w:hyperlink r:id="rId41" w:history="1">
        <w:r w:rsidRPr="006931E8">
          <w:rPr>
            <w:rStyle w:val="Hyperlink"/>
            <w:rFonts w:asciiTheme="minorHAnsi" w:hAnsiTheme="minorHAnsi"/>
            <w:sz w:val="24"/>
            <w:szCs w:val="24"/>
          </w:rPr>
          <w:t>https://www.mnb.hu/en/monetary-policy/the-monetary-council/members-of-the-monetary-council accessed on 29/5/2016</w:t>
        </w:r>
      </w:hyperlink>
      <w:r w:rsidRPr="006931E8">
        <w:rPr>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Morgan J. (2009) “The limits of central bank policy: econo</w:t>
      </w:r>
      <w:r w:rsidR="00E26157" w:rsidRPr="006931E8">
        <w:rPr>
          <w:rFonts w:asciiTheme="minorHAnsi" w:hAnsiTheme="minorHAnsi"/>
          <w:sz w:val="24"/>
          <w:szCs w:val="24"/>
        </w:rPr>
        <w:t xml:space="preserve">mic crisis and the challenge of </w:t>
      </w:r>
      <w:r w:rsidR="00444FE6" w:rsidRPr="006931E8">
        <w:rPr>
          <w:rFonts w:asciiTheme="minorHAnsi" w:hAnsiTheme="minorHAnsi"/>
          <w:sz w:val="24"/>
          <w:szCs w:val="24"/>
        </w:rPr>
        <w:t xml:space="preserve">effective solutions”, </w:t>
      </w:r>
      <w:r w:rsidR="00444FE6" w:rsidRPr="006931E8">
        <w:rPr>
          <w:rFonts w:asciiTheme="minorHAnsi" w:hAnsiTheme="minorHAnsi"/>
          <w:i/>
          <w:sz w:val="24"/>
          <w:szCs w:val="24"/>
        </w:rPr>
        <w:t>Cambridge Journal of Economy</w:t>
      </w:r>
      <w:r w:rsidRPr="006931E8">
        <w:rPr>
          <w:rFonts w:asciiTheme="minorHAnsi" w:hAnsiTheme="minorHAnsi"/>
          <w:sz w:val="24"/>
          <w:szCs w:val="24"/>
        </w:rPr>
        <w:t xml:space="preserve">, </w:t>
      </w:r>
      <w:r w:rsidR="00444FE6" w:rsidRPr="006931E8">
        <w:rPr>
          <w:rFonts w:asciiTheme="minorHAnsi" w:hAnsiTheme="minorHAnsi"/>
          <w:sz w:val="24"/>
          <w:szCs w:val="24"/>
        </w:rPr>
        <w:t>Vol. 33, No.4, pp.</w:t>
      </w:r>
      <w:r w:rsidRPr="006931E8">
        <w:rPr>
          <w:rFonts w:asciiTheme="minorHAnsi" w:hAnsiTheme="minorHAnsi"/>
          <w:sz w:val="24"/>
          <w:szCs w:val="24"/>
        </w:rPr>
        <w:t xml:space="preserve"> 581-608.</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Moschella</w:t>
      </w:r>
      <w:proofErr w:type="spellEnd"/>
      <w:r w:rsidRPr="006931E8">
        <w:rPr>
          <w:rFonts w:asciiTheme="minorHAnsi" w:hAnsiTheme="minorHAnsi"/>
          <w:sz w:val="24"/>
          <w:szCs w:val="24"/>
        </w:rPr>
        <w:t xml:space="preserve"> M. (2015) “Currency wars in the advanced world: Resi</w:t>
      </w:r>
      <w:r w:rsidR="00E26157" w:rsidRPr="006931E8">
        <w:rPr>
          <w:rFonts w:asciiTheme="minorHAnsi" w:hAnsiTheme="minorHAnsi"/>
          <w:sz w:val="24"/>
          <w:szCs w:val="24"/>
        </w:rPr>
        <w:t xml:space="preserve">sting appreciation at a time of </w:t>
      </w:r>
      <w:r w:rsidRPr="006931E8">
        <w:rPr>
          <w:rFonts w:asciiTheme="minorHAnsi" w:hAnsiTheme="minorHAnsi"/>
          <w:sz w:val="24"/>
          <w:szCs w:val="24"/>
        </w:rPr>
        <w:t xml:space="preserve">change in central banking monetary consensus”, </w:t>
      </w:r>
      <w:r w:rsidRPr="006931E8">
        <w:rPr>
          <w:rFonts w:asciiTheme="minorHAnsi" w:hAnsiTheme="minorHAnsi"/>
          <w:i/>
          <w:sz w:val="24"/>
          <w:szCs w:val="24"/>
        </w:rPr>
        <w:t>R</w:t>
      </w:r>
      <w:r w:rsidR="00444FE6" w:rsidRPr="006931E8">
        <w:rPr>
          <w:rFonts w:asciiTheme="minorHAnsi" w:hAnsiTheme="minorHAnsi"/>
          <w:i/>
          <w:sz w:val="24"/>
          <w:szCs w:val="24"/>
        </w:rPr>
        <w:t xml:space="preserve">eview of </w:t>
      </w:r>
      <w:r w:rsidRPr="006931E8">
        <w:rPr>
          <w:rFonts w:asciiTheme="minorHAnsi" w:hAnsiTheme="minorHAnsi"/>
          <w:i/>
          <w:sz w:val="24"/>
          <w:szCs w:val="24"/>
        </w:rPr>
        <w:t>I</w:t>
      </w:r>
      <w:r w:rsidR="00444FE6" w:rsidRPr="006931E8">
        <w:rPr>
          <w:rFonts w:asciiTheme="minorHAnsi" w:hAnsiTheme="minorHAnsi"/>
          <w:i/>
          <w:sz w:val="24"/>
          <w:szCs w:val="24"/>
        </w:rPr>
        <w:t xml:space="preserve">nternational </w:t>
      </w:r>
      <w:r w:rsidRPr="006931E8">
        <w:rPr>
          <w:rFonts w:asciiTheme="minorHAnsi" w:hAnsiTheme="minorHAnsi"/>
          <w:i/>
          <w:sz w:val="24"/>
          <w:szCs w:val="24"/>
        </w:rPr>
        <w:t>P</w:t>
      </w:r>
      <w:r w:rsidR="00444FE6" w:rsidRPr="006931E8">
        <w:rPr>
          <w:rFonts w:asciiTheme="minorHAnsi" w:hAnsiTheme="minorHAnsi"/>
          <w:i/>
          <w:sz w:val="24"/>
          <w:szCs w:val="24"/>
        </w:rPr>
        <w:t xml:space="preserve">olitical </w:t>
      </w:r>
      <w:r w:rsidRPr="006931E8">
        <w:rPr>
          <w:rFonts w:asciiTheme="minorHAnsi" w:hAnsiTheme="minorHAnsi"/>
          <w:i/>
          <w:sz w:val="24"/>
          <w:szCs w:val="24"/>
        </w:rPr>
        <w:t>E</w:t>
      </w:r>
      <w:r w:rsidR="00444FE6" w:rsidRPr="006931E8">
        <w:rPr>
          <w:rFonts w:asciiTheme="minorHAnsi" w:hAnsiTheme="minorHAnsi"/>
          <w:i/>
          <w:sz w:val="24"/>
          <w:szCs w:val="24"/>
        </w:rPr>
        <w:t>conomy</w:t>
      </w:r>
      <w:r w:rsidRPr="006931E8">
        <w:rPr>
          <w:rFonts w:asciiTheme="minorHAnsi" w:hAnsiTheme="minorHAnsi"/>
          <w:sz w:val="24"/>
          <w:szCs w:val="24"/>
        </w:rPr>
        <w:t>, Vol. 22, Issue 1.</w:t>
      </w:r>
    </w:p>
    <w:p w:rsidR="00735368" w:rsidRDefault="00011C32">
      <w:pPr>
        <w:ind w:left="720" w:right="720"/>
        <w:jc w:val="both"/>
        <w:rPr>
          <w:rFonts w:asciiTheme="minorHAnsi" w:hAnsiTheme="minorHAnsi"/>
          <w:sz w:val="24"/>
          <w:szCs w:val="24"/>
        </w:rPr>
      </w:pPr>
      <w:r w:rsidRPr="006931E8">
        <w:rPr>
          <w:rFonts w:asciiTheme="minorHAnsi" w:hAnsiTheme="minorHAnsi"/>
          <w:sz w:val="24"/>
          <w:szCs w:val="24"/>
        </w:rPr>
        <w:t xml:space="preserve">Novak, B. (2014, May 15). Peter </w:t>
      </w:r>
      <w:proofErr w:type="spellStart"/>
      <w:r w:rsidRPr="006931E8">
        <w:rPr>
          <w:rFonts w:asciiTheme="minorHAnsi" w:hAnsiTheme="minorHAnsi"/>
          <w:sz w:val="24"/>
          <w:szCs w:val="24"/>
        </w:rPr>
        <w:t>Felcsuti</w:t>
      </w:r>
      <w:proofErr w:type="spellEnd"/>
      <w:r w:rsidRPr="006931E8">
        <w:rPr>
          <w:rFonts w:asciiTheme="minorHAnsi" w:hAnsiTheme="minorHAnsi"/>
          <w:sz w:val="24"/>
          <w:szCs w:val="24"/>
        </w:rPr>
        <w:t xml:space="preserve">: </w:t>
      </w:r>
      <w:proofErr w:type="spellStart"/>
      <w:r w:rsidRPr="006931E8">
        <w:rPr>
          <w:rFonts w:asciiTheme="minorHAnsi" w:hAnsiTheme="minorHAnsi"/>
          <w:sz w:val="24"/>
          <w:szCs w:val="24"/>
        </w:rPr>
        <w:t>Orban</w:t>
      </w:r>
      <w:proofErr w:type="spellEnd"/>
      <w:r w:rsidRPr="006931E8">
        <w:rPr>
          <w:rFonts w:asciiTheme="minorHAnsi" w:hAnsiTheme="minorHAnsi"/>
          <w:sz w:val="24"/>
          <w:szCs w:val="24"/>
        </w:rPr>
        <w:t xml:space="preserve"> government’s highly centralized approach makes entire system vulnerable to mistakes. The Budapest Beacon. </w:t>
      </w:r>
      <w:r w:rsidRPr="006931E8">
        <w:rPr>
          <w:rFonts w:asciiTheme="minorHAnsi" w:hAnsiTheme="minorHAnsi"/>
          <w:sz w:val="24"/>
          <w:szCs w:val="24"/>
        </w:rPr>
        <w:lastRenderedPageBreak/>
        <w:t>Retrieved 3 October 2014, from http://budapestbeacon.com/public-policy/peter-felcsuti-orban-governments-highly-centralized-approach-makes-entire-system-vulnerable-to-mistakes/7957.</w:t>
      </w:r>
    </w:p>
    <w:p w:rsidR="00735368" w:rsidRDefault="00E567AC">
      <w:pPr>
        <w:ind w:left="720" w:right="720"/>
        <w:jc w:val="both"/>
        <w:rPr>
          <w:rFonts w:asciiTheme="minorHAnsi" w:hAnsiTheme="minorHAnsi"/>
          <w:sz w:val="24"/>
          <w:szCs w:val="24"/>
        </w:rPr>
      </w:pPr>
      <w:proofErr w:type="spellStart"/>
      <w:r w:rsidRPr="006931E8">
        <w:rPr>
          <w:rFonts w:asciiTheme="minorHAnsi" w:hAnsiTheme="minorHAnsi"/>
          <w:sz w:val="24"/>
          <w:szCs w:val="24"/>
        </w:rPr>
        <w:t>Onis</w:t>
      </w:r>
      <w:proofErr w:type="spellEnd"/>
      <w:r w:rsidRPr="006931E8">
        <w:rPr>
          <w:rFonts w:asciiTheme="minorHAnsi" w:hAnsiTheme="minorHAnsi"/>
          <w:sz w:val="24"/>
          <w:szCs w:val="24"/>
        </w:rPr>
        <w:t xml:space="preserve"> Z. and </w:t>
      </w:r>
      <w:proofErr w:type="spellStart"/>
      <w:r w:rsidRPr="006931E8">
        <w:rPr>
          <w:rFonts w:asciiTheme="minorHAnsi" w:hAnsiTheme="minorHAnsi"/>
          <w:sz w:val="24"/>
          <w:szCs w:val="24"/>
        </w:rPr>
        <w:t>Guven</w:t>
      </w:r>
      <w:proofErr w:type="spellEnd"/>
      <w:r w:rsidRPr="006931E8">
        <w:rPr>
          <w:rFonts w:asciiTheme="minorHAnsi" w:hAnsiTheme="minorHAnsi"/>
          <w:sz w:val="24"/>
          <w:szCs w:val="24"/>
        </w:rPr>
        <w:t xml:space="preserve"> A. B. (2011) “Global Crisis, National Responses: The Political Economy of Turkish Exceptionalism”, </w:t>
      </w:r>
      <w:r w:rsidRPr="006931E8">
        <w:rPr>
          <w:rFonts w:asciiTheme="minorHAnsi" w:hAnsiTheme="minorHAnsi"/>
          <w:i/>
          <w:sz w:val="24"/>
          <w:szCs w:val="24"/>
        </w:rPr>
        <w:t>New Political Economy</w:t>
      </w:r>
      <w:r w:rsidRPr="006931E8">
        <w:rPr>
          <w:rFonts w:asciiTheme="minorHAnsi" w:hAnsiTheme="minorHAnsi"/>
          <w:sz w:val="24"/>
          <w:szCs w:val="24"/>
        </w:rPr>
        <w:t>, Vol. 16, Issue: 5, pp. 585-608.</w:t>
      </w:r>
    </w:p>
    <w:p w:rsidR="00132367" w:rsidRDefault="00132367" w:rsidP="00132367">
      <w:pPr>
        <w:ind w:left="720" w:right="720"/>
        <w:jc w:val="both"/>
        <w:rPr>
          <w:rFonts w:asciiTheme="minorHAnsi" w:hAnsiTheme="minorHAnsi"/>
          <w:sz w:val="24"/>
          <w:szCs w:val="24"/>
        </w:rPr>
      </w:pPr>
      <w:proofErr w:type="spellStart"/>
      <w:r w:rsidRPr="00132367">
        <w:rPr>
          <w:rFonts w:asciiTheme="minorHAnsi" w:hAnsiTheme="minorHAnsi"/>
          <w:sz w:val="24"/>
          <w:szCs w:val="24"/>
        </w:rPr>
        <w:t>Onis</w:t>
      </w:r>
      <w:proofErr w:type="spellEnd"/>
      <w:r w:rsidRPr="00132367">
        <w:rPr>
          <w:rFonts w:asciiTheme="minorHAnsi" w:hAnsiTheme="minorHAnsi"/>
          <w:sz w:val="24"/>
          <w:szCs w:val="24"/>
        </w:rPr>
        <w:t xml:space="preserve">, Z. and </w:t>
      </w:r>
      <w:proofErr w:type="spellStart"/>
      <w:r w:rsidRPr="00132367">
        <w:rPr>
          <w:rFonts w:asciiTheme="minorHAnsi" w:hAnsiTheme="minorHAnsi"/>
          <w:sz w:val="24"/>
          <w:szCs w:val="24"/>
        </w:rPr>
        <w:t>Kutlay</w:t>
      </w:r>
      <w:proofErr w:type="spellEnd"/>
      <w:r w:rsidRPr="00132367">
        <w:rPr>
          <w:rFonts w:asciiTheme="minorHAnsi" w:hAnsiTheme="minorHAnsi"/>
          <w:sz w:val="24"/>
          <w:szCs w:val="24"/>
        </w:rPr>
        <w:t>, M. (2017), ‘Global Shifts and th</w:t>
      </w:r>
      <w:r>
        <w:rPr>
          <w:rFonts w:asciiTheme="minorHAnsi" w:hAnsiTheme="minorHAnsi"/>
          <w:sz w:val="24"/>
          <w:szCs w:val="24"/>
        </w:rPr>
        <w:t xml:space="preserve">e Limits of EU’s Transformative </w:t>
      </w:r>
      <w:r w:rsidRPr="00132367">
        <w:rPr>
          <w:rFonts w:asciiTheme="minorHAnsi" w:hAnsiTheme="minorHAnsi"/>
          <w:sz w:val="24"/>
          <w:szCs w:val="24"/>
        </w:rPr>
        <w:t>Power in the European Periphery:</w:t>
      </w:r>
      <w:r>
        <w:rPr>
          <w:rFonts w:asciiTheme="minorHAnsi" w:hAnsiTheme="minorHAnsi"/>
          <w:sz w:val="24"/>
          <w:szCs w:val="24"/>
        </w:rPr>
        <w:t xml:space="preserve"> </w:t>
      </w:r>
      <w:r w:rsidRPr="00132367">
        <w:rPr>
          <w:rFonts w:asciiTheme="minorHAnsi" w:hAnsiTheme="minorHAnsi"/>
          <w:sz w:val="24"/>
          <w:szCs w:val="24"/>
        </w:rPr>
        <w:t xml:space="preserve">Comparative Perspectives from Hungary and Turkey’, </w:t>
      </w:r>
      <w:r w:rsidRPr="00132367">
        <w:rPr>
          <w:rFonts w:asciiTheme="minorHAnsi" w:hAnsiTheme="minorHAnsi"/>
          <w:i/>
          <w:sz w:val="24"/>
          <w:szCs w:val="24"/>
        </w:rPr>
        <w:t>Government and Opposition</w:t>
      </w:r>
      <w:r w:rsidRPr="00132367">
        <w:rPr>
          <w:rFonts w:asciiTheme="minorHAnsi" w:hAnsiTheme="minorHAnsi"/>
          <w:sz w:val="24"/>
          <w:szCs w:val="24"/>
        </w:rPr>
        <w:t>, doi:10.1017/gov.2017.16.</w:t>
      </w:r>
    </w:p>
    <w:p w:rsidR="00045160" w:rsidRDefault="000215AF" w:rsidP="00132367">
      <w:pPr>
        <w:ind w:left="720" w:right="720"/>
        <w:jc w:val="both"/>
        <w:rPr>
          <w:rFonts w:asciiTheme="minorHAnsi" w:hAnsiTheme="minorHAnsi"/>
          <w:sz w:val="24"/>
          <w:szCs w:val="24"/>
        </w:rPr>
      </w:pPr>
      <w:r w:rsidRPr="006931E8">
        <w:rPr>
          <w:rFonts w:asciiTheme="minorHAnsi" w:hAnsiTheme="minorHAnsi"/>
          <w:sz w:val="24"/>
          <w:szCs w:val="24"/>
        </w:rPr>
        <w:t>Opinion of the European Central Bank (2012</w:t>
      </w:r>
      <w:proofErr w:type="gramStart"/>
      <w:r w:rsidRPr="006931E8">
        <w:rPr>
          <w:rFonts w:asciiTheme="minorHAnsi" w:hAnsiTheme="minorHAnsi"/>
          <w:sz w:val="24"/>
          <w:szCs w:val="24"/>
        </w:rPr>
        <w:t>) ,</w:t>
      </w:r>
      <w:proofErr w:type="gramEnd"/>
      <w:r w:rsidRPr="006931E8">
        <w:rPr>
          <w:rFonts w:asciiTheme="minorHAnsi" w:hAnsiTheme="minorHAnsi"/>
          <w:sz w:val="24"/>
          <w:szCs w:val="24"/>
        </w:rPr>
        <w:t xml:space="preserve"> 5 April, (CON/2012/26).</w:t>
      </w:r>
    </w:p>
    <w:p w:rsidR="000215AF" w:rsidRPr="006931E8" w:rsidRDefault="000215AF" w:rsidP="0079076D">
      <w:pPr>
        <w:ind w:left="720" w:right="720"/>
        <w:jc w:val="both"/>
        <w:rPr>
          <w:rFonts w:asciiTheme="minorHAnsi" w:hAnsiTheme="minorHAnsi"/>
          <w:sz w:val="24"/>
          <w:szCs w:val="24"/>
        </w:rPr>
      </w:pPr>
      <w:r w:rsidRPr="006931E8">
        <w:rPr>
          <w:rFonts w:asciiTheme="minorHAnsi" w:hAnsiTheme="minorHAnsi"/>
          <w:sz w:val="24"/>
          <w:szCs w:val="24"/>
        </w:rPr>
        <w:t xml:space="preserve">Opinion of the European Central Bank (2012) on the Magyar </w:t>
      </w:r>
      <w:proofErr w:type="spellStart"/>
      <w:r w:rsidRPr="006931E8">
        <w:rPr>
          <w:rFonts w:asciiTheme="minorHAnsi" w:hAnsiTheme="minorHAnsi"/>
          <w:sz w:val="24"/>
          <w:szCs w:val="24"/>
        </w:rPr>
        <w:t>Nemzeti</w:t>
      </w:r>
      <w:proofErr w:type="spellEnd"/>
      <w:r w:rsidRPr="006931E8">
        <w:rPr>
          <w:rFonts w:asciiTheme="minorHAnsi" w:hAnsiTheme="minorHAnsi"/>
          <w:sz w:val="24"/>
          <w:szCs w:val="24"/>
        </w:rPr>
        <w:t xml:space="preserve"> Bank, 28 June, (CON/2012/49).</w:t>
      </w:r>
    </w:p>
    <w:p w:rsidR="00444FE6" w:rsidRPr="006931E8" w:rsidRDefault="00444FE6" w:rsidP="000F4BEA">
      <w:pPr>
        <w:ind w:left="720" w:right="720"/>
        <w:jc w:val="both"/>
        <w:rPr>
          <w:rFonts w:asciiTheme="minorHAnsi" w:hAnsiTheme="minorHAnsi"/>
          <w:sz w:val="24"/>
          <w:szCs w:val="24"/>
        </w:rPr>
      </w:pPr>
      <w:proofErr w:type="spellStart"/>
      <w:r w:rsidRPr="006931E8">
        <w:rPr>
          <w:rFonts w:asciiTheme="minorHAnsi" w:hAnsiTheme="minorHAnsi"/>
          <w:sz w:val="24"/>
          <w:szCs w:val="24"/>
        </w:rPr>
        <w:t>Orban</w:t>
      </w:r>
      <w:proofErr w:type="spellEnd"/>
      <w:r w:rsidRPr="006931E8">
        <w:rPr>
          <w:rFonts w:asciiTheme="minorHAnsi" w:hAnsiTheme="minorHAnsi"/>
          <w:sz w:val="24"/>
          <w:szCs w:val="24"/>
        </w:rPr>
        <w:t xml:space="preserve"> V., 26 July 2014, Romania </w:t>
      </w:r>
      <w:hyperlink r:id="rId42" w:history="1">
        <w:r w:rsidRPr="006931E8">
          <w:rPr>
            <w:rStyle w:val="Hyperlink"/>
            <w:rFonts w:asciiTheme="minorHAnsi" w:hAnsiTheme="minorHAnsi"/>
            <w:sz w:val="24"/>
            <w:szCs w:val="24"/>
          </w:rPr>
          <w:t>http://www.kormany.hu/en/the-prime-minister/the-prime-minister-s-speeches/prime-minister-viktor-orban-s-speech-at-the-25th-balvanyos-summer-free-university-and-student-camp</w:t>
        </w:r>
      </w:hyperlink>
      <w:r w:rsidRPr="006931E8">
        <w:rPr>
          <w:rFonts w:asciiTheme="minorHAnsi" w:hAnsiTheme="minorHAnsi"/>
          <w:sz w:val="24"/>
          <w:szCs w:val="24"/>
        </w:rPr>
        <w:t xml:space="preserve"> , accessed on 10/03/2015 </w:t>
      </w:r>
    </w:p>
    <w:p w:rsidR="00735368" w:rsidRDefault="00444FE6">
      <w:pPr>
        <w:ind w:left="720" w:right="720"/>
        <w:jc w:val="both"/>
        <w:rPr>
          <w:rFonts w:asciiTheme="minorHAnsi" w:hAnsiTheme="minorHAnsi"/>
          <w:sz w:val="24"/>
          <w:szCs w:val="24"/>
        </w:rPr>
      </w:pPr>
      <w:proofErr w:type="spellStart"/>
      <w:r w:rsidRPr="006931E8">
        <w:rPr>
          <w:rFonts w:asciiTheme="minorHAnsi" w:hAnsiTheme="minorHAnsi"/>
          <w:sz w:val="24"/>
          <w:szCs w:val="24"/>
        </w:rPr>
        <w:t>Orban</w:t>
      </w:r>
      <w:proofErr w:type="spellEnd"/>
      <w:r w:rsidRPr="006931E8">
        <w:rPr>
          <w:rFonts w:asciiTheme="minorHAnsi" w:hAnsiTheme="minorHAnsi"/>
          <w:sz w:val="24"/>
          <w:szCs w:val="24"/>
        </w:rPr>
        <w:t xml:space="preserve"> V., State of the Nation Address, 27 February 2015, Budapest </w:t>
      </w:r>
      <w:hyperlink r:id="rId43" w:history="1">
        <w:r w:rsidRPr="006931E8">
          <w:rPr>
            <w:rStyle w:val="Hyperlink"/>
            <w:rFonts w:asciiTheme="minorHAnsi" w:hAnsiTheme="minorHAnsi"/>
            <w:sz w:val="24"/>
            <w:szCs w:val="24"/>
          </w:rPr>
          <w:t>http://www.kormany.hu/en/the-prime-minister/the-prime-minister-s-speeches/the-next-years-will-be-about-hardworking-people</w:t>
        </w:r>
      </w:hyperlink>
      <w:r w:rsidRPr="006931E8">
        <w:rPr>
          <w:rFonts w:asciiTheme="minorHAnsi" w:hAnsiTheme="minorHAnsi"/>
          <w:sz w:val="24"/>
          <w:szCs w:val="24"/>
        </w:rPr>
        <w:t xml:space="preserve">, accessed on 10/03/2015 </w:t>
      </w:r>
    </w:p>
    <w:p w:rsidR="00735368" w:rsidRDefault="00EA4BA6">
      <w:pPr>
        <w:ind w:left="720" w:right="720"/>
        <w:jc w:val="both"/>
        <w:rPr>
          <w:rFonts w:asciiTheme="minorHAnsi" w:hAnsiTheme="minorHAnsi"/>
          <w:sz w:val="24"/>
          <w:szCs w:val="24"/>
        </w:rPr>
      </w:pPr>
      <w:proofErr w:type="spellStart"/>
      <w:r w:rsidRPr="006931E8">
        <w:rPr>
          <w:rFonts w:asciiTheme="minorHAnsi" w:hAnsiTheme="minorHAnsi"/>
          <w:sz w:val="24"/>
          <w:szCs w:val="24"/>
        </w:rPr>
        <w:t>Ozatay</w:t>
      </w:r>
      <w:proofErr w:type="spellEnd"/>
      <w:r w:rsidR="00C13468">
        <w:rPr>
          <w:rFonts w:asciiTheme="minorHAnsi" w:hAnsiTheme="minorHAnsi"/>
          <w:sz w:val="24"/>
          <w:szCs w:val="24"/>
        </w:rPr>
        <w:t xml:space="preserve"> F.</w:t>
      </w:r>
      <w:r w:rsidRPr="006931E8">
        <w:rPr>
          <w:rFonts w:asciiTheme="minorHAnsi" w:hAnsiTheme="minorHAnsi"/>
          <w:sz w:val="24"/>
          <w:szCs w:val="24"/>
        </w:rPr>
        <w:t xml:space="preserve"> (2007) “The Central Bank has been implementing high interest rate, low exchange rate policy for a long time”</w:t>
      </w:r>
      <w:r w:rsidR="00571BAE" w:rsidRPr="006931E8">
        <w:rPr>
          <w:rFonts w:asciiTheme="minorHAnsi" w:hAnsiTheme="minorHAnsi"/>
          <w:sz w:val="24"/>
          <w:szCs w:val="24"/>
        </w:rPr>
        <w:t xml:space="preserve"> (translated from Turkish by the authors)</w:t>
      </w:r>
      <w:r w:rsidRPr="006931E8">
        <w:rPr>
          <w:rFonts w:asciiTheme="minorHAnsi" w:hAnsiTheme="minorHAnsi"/>
          <w:sz w:val="24"/>
          <w:szCs w:val="24"/>
        </w:rPr>
        <w:t xml:space="preserve">, </w:t>
      </w:r>
      <w:r w:rsidR="00571BAE" w:rsidRPr="006931E8">
        <w:rPr>
          <w:rFonts w:asciiTheme="minorHAnsi" w:hAnsiTheme="minorHAnsi"/>
          <w:sz w:val="24"/>
          <w:szCs w:val="24"/>
        </w:rPr>
        <w:t xml:space="preserve">11 February, </w:t>
      </w:r>
      <w:hyperlink r:id="rId44" w:history="1">
        <w:r w:rsidR="00571BAE" w:rsidRPr="006931E8">
          <w:rPr>
            <w:rStyle w:val="Hyperlink"/>
            <w:rFonts w:asciiTheme="minorHAnsi" w:hAnsiTheme="minorHAnsi"/>
            <w:sz w:val="24"/>
            <w:szCs w:val="24"/>
          </w:rPr>
          <w:t>http://www.tepav.org.tr/tr/kose-yazisi/s/686 accessed on 25/9/2015</w:t>
        </w:r>
      </w:hyperlink>
      <w:r w:rsidR="00571BAE" w:rsidRPr="006931E8">
        <w:rPr>
          <w:rFonts w:asciiTheme="minorHAnsi" w:hAnsiTheme="minorHAnsi"/>
          <w:sz w:val="24"/>
          <w:szCs w:val="24"/>
        </w:rPr>
        <w:t>.</w:t>
      </w:r>
    </w:p>
    <w:p w:rsidR="00735368" w:rsidRDefault="00C13468">
      <w:pPr>
        <w:ind w:left="720" w:right="720"/>
        <w:jc w:val="both"/>
        <w:rPr>
          <w:rFonts w:asciiTheme="minorHAnsi" w:hAnsiTheme="minorHAnsi"/>
          <w:sz w:val="24"/>
          <w:szCs w:val="24"/>
        </w:rPr>
      </w:pPr>
      <w:proofErr w:type="spellStart"/>
      <w:r>
        <w:rPr>
          <w:rFonts w:asciiTheme="minorHAnsi" w:hAnsiTheme="minorHAnsi"/>
          <w:sz w:val="24"/>
          <w:szCs w:val="24"/>
        </w:rPr>
        <w:t>Ozatay</w:t>
      </w:r>
      <w:proofErr w:type="spellEnd"/>
      <w:r>
        <w:rPr>
          <w:rFonts w:asciiTheme="minorHAnsi" w:hAnsiTheme="minorHAnsi"/>
          <w:sz w:val="24"/>
          <w:szCs w:val="24"/>
        </w:rPr>
        <w:t xml:space="preserve"> F. </w:t>
      </w:r>
      <w:r w:rsidR="00EF3A12" w:rsidRPr="006931E8">
        <w:rPr>
          <w:rFonts w:asciiTheme="minorHAnsi" w:hAnsiTheme="minorHAnsi"/>
          <w:sz w:val="24"/>
          <w:szCs w:val="24"/>
        </w:rPr>
        <w:t>(2009) “</w:t>
      </w:r>
      <w:proofErr w:type="spellStart"/>
      <w:r w:rsidR="00EF3A12" w:rsidRPr="006931E8">
        <w:rPr>
          <w:rFonts w:asciiTheme="minorHAnsi" w:hAnsiTheme="minorHAnsi"/>
          <w:sz w:val="24"/>
          <w:szCs w:val="24"/>
        </w:rPr>
        <w:t>Turkiye'de</w:t>
      </w:r>
      <w:proofErr w:type="spellEnd"/>
      <w:r w:rsidR="00EF3A12" w:rsidRPr="006931E8">
        <w:rPr>
          <w:rFonts w:asciiTheme="minorHAnsi" w:hAnsiTheme="minorHAnsi"/>
          <w:sz w:val="24"/>
          <w:szCs w:val="24"/>
        </w:rPr>
        <w:t xml:space="preserve"> 2000-2008 </w:t>
      </w:r>
      <w:proofErr w:type="spellStart"/>
      <w:r w:rsidR="00EF3A12" w:rsidRPr="006931E8">
        <w:rPr>
          <w:rFonts w:asciiTheme="minorHAnsi" w:hAnsiTheme="minorHAnsi"/>
          <w:sz w:val="24"/>
          <w:szCs w:val="24"/>
        </w:rPr>
        <w:t>Doneminde</w:t>
      </w:r>
      <w:proofErr w:type="spellEnd"/>
      <w:r w:rsidR="00EF3A12" w:rsidRPr="006931E8">
        <w:rPr>
          <w:rFonts w:asciiTheme="minorHAnsi" w:hAnsiTheme="minorHAnsi"/>
          <w:sz w:val="24"/>
          <w:szCs w:val="24"/>
        </w:rPr>
        <w:t xml:space="preserve"> Para </w:t>
      </w:r>
      <w:proofErr w:type="spellStart"/>
      <w:r w:rsidR="00EF3A12" w:rsidRPr="006931E8">
        <w:rPr>
          <w:rFonts w:asciiTheme="minorHAnsi" w:hAnsiTheme="minorHAnsi"/>
          <w:sz w:val="24"/>
          <w:szCs w:val="24"/>
        </w:rPr>
        <w:t>Politikası</w:t>
      </w:r>
      <w:proofErr w:type="spellEnd"/>
      <w:r w:rsidR="00EF3A12" w:rsidRPr="006931E8">
        <w:rPr>
          <w:rFonts w:asciiTheme="minorHAnsi" w:hAnsiTheme="minorHAnsi"/>
          <w:sz w:val="24"/>
          <w:szCs w:val="24"/>
        </w:rPr>
        <w:t>”</w:t>
      </w:r>
      <w:r w:rsidR="00444FE6" w:rsidRPr="006931E8">
        <w:rPr>
          <w:rFonts w:asciiTheme="minorHAnsi" w:hAnsiTheme="minorHAnsi"/>
          <w:sz w:val="24"/>
          <w:szCs w:val="24"/>
        </w:rPr>
        <w:t xml:space="preserve"> [Monetary Policy in Turkey between 2000-2008]</w:t>
      </w:r>
      <w:r w:rsidR="00E26157" w:rsidRPr="006931E8">
        <w:rPr>
          <w:rFonts w:asciiTheme="minorHAnsi" w:hAnsiTheme="minorHAnsi"/>
          <w:sz w:val="24"/>
          <w:szCs w:val="24"/>
        </w:rPr>
        <w:t xml:space="preserve">, </w:t>
      </w:r>
      <w:proofErr w:type="spellStart"/>
      <w:proofErr w:type="gramStart"/>
      <w:r w:rsidR="00E26157" w:rsidRPr="006931E8">
        <w:rPr>
          <w:rFonts w:asciiTheme="minorHAnsi" w:hAnsiTheme="minorHAnsi"/>
          <w:i/>
          <w:sz w:val="24"/>
          <w:szCs w:val="24"/>
        </w:rPr>
        <w:t>Iktisat,Isletme</w:t>
      </w:r>
      <w:proofErr w:type="spellEnd"/>
      <w:proofErr w:type="gramEnd"/>
      <w:r w:rsidR="00E26157" w:rsidRPr="006931E8">
        <w:rPr>
          <w:rFonts w:asciiTheme="minorHAnsi" w:hAnsiTheme="minorHAnsi"/>
          <w:i/>
          <w:sz w:val="24"/>
          <w:szCs w:val="24"/>
        </w:rPr>
        <w:t xml:space="preserve"> </w:t>
      </w:r>
      <w:proofErr w:type="spellStart"/>
      <w:r w:rsidR="00E26157" w:rsidRPr="006931E8">
        <w:rPr>
          <w:rFonts w:asciiTheme="minorHAnsi" w:hAnsiTheme="minorHAnsi"/>
          <w:i/>
          <w:sz w:val="24"/>
          <w:szCs w:val="24"/>
        </w:rPr>
        <w:t>ve</w:t>
      </w:r>
      <w:proofErr w:type="spellEnd"/>
      <w:r w:rsidR="00E26157" w:rsidRPr="006931E8">
        <w:rPr>
          <w:rFonts w:asciiTheme="minorHAnsi" w:hAnsiTheme="minorHAnsi"/>
          <w:i/>
          <w:sz w:val="24"/>
          <w:szCs w:val="24"/>
        </w:rPr>
        <w:t xml:space="preserve"> </w:t>
      </w:r>
      <w:proofErr w:type="spellStart"/>
      <w:r w:rsidR="00E26157" w:rsidRPr="006931E8">
        <w:rPr>
          <w:rFonts w:asciiTheme="minorHAnsi" w:hAnsiTheme="minorHAnsi"/>
          <w:i/>
          <w:sz w:val="24"/>
          <w:szCs w:val="24"/>
        </w:rPr>
        <w:t>Finans</w:t>
      </w:r>
      <w:proofErr w:type="spellEnd"/>
      <w:r w:rsidR="00E26157" w:rsidRPr="006931E8">
        <w:rPr>
          <w:rFonts w:asciiTheme="minorHAnsi" w:hAnsiTheme="minorHAnsi"/>
          <w:sz w:val="24"/>
          <w:szCs w:val="24"/>
        </w:rPr>
        <w:t xml:space="preserve">, 24 </w:t>
      </w:r>
      <w:r w:rsidR="00EF3A12" w:rsidRPr="006931E8">
        <w:rPr>
          <w:rFonts w:asciiTheme="minorHAnsi" w:hAnsiTheme="minorHAnsi"/>
          <w:sz w:val="24"/>
          <w:szCs w:val="24"/>
        </w:rPr>
        <w:t>(275), pp. 104-118.</w:t>
      </w:r>
    </w:p>
    <w:p w:rsidR="00735368" w:rsidRDefault="00C13468">
      <w:pPr>
        <w:ind w:left="720" w:right="720"/>
        <w:jc w:val="both"/>
        <w:rPr>
          <w:rFonts w:asciiTheme="minorHAnsi" w:hAnsiTheme="minorHAnsi"/>
          <w:sz w:val="24"/>
          <w:szCs w:val="24"/>
        </w:rPr>
      </w:pPr>
      <w:proofErr w:type="spellStart"/>
      <w:r>
        <w:rPr>
          <w:rFonts w:asciiTheme="minorHAnsi" w:hAnsiTheme="minorHAnsi"/>
          <w:sz w:val="24"/>
          <w:szCs w:val="24"/>
        </w:rPr>
        <w:t>Ozatay</w:t>
      </w:r>
      <w:proofErr w:type="spellEnd"/>
      <w:r>
        <w:rPr>
          <w:rFonts w:asciiTheme="minorHAnsi" w:hAnsiTheme="minorHAnsi"/>
          <w:sz w:val="24"/>
          <w:szCs w:val="24"/>
        </w:rPr>
        <w:t xml:space="preserve"> F. (2016) “What can the Central Bank do?” (Translated from Turkish by the authors), </w:t>
      </w:r>
      <w:proofErr w:type="spellStart"/>
      <w:r>
        <w:rPr>
          <w:rFonts w:asciiTheme="minorHAnsi" w:hAnsiTheme="minorHAnsi"/>
          <w:sz w:val="24"/>
          <w:szCs w:val="24"/>
        </w:rPr>
        <w:t>Dunya</w:t>
      </w:r>
      <w:proofErr w:type="spellEnd"/>
      <w:r>
        <w:rPr>
          <w:rFonts w:asciiTheme="minorHAnsi" w:hAnsiTheme="minorHAnsi"/>
          <w:sz w:val="24"/>
          <w:szCs w:val="24"/>
        </w:rPr>
        <w:t xml:space="preserve">, 23 November, </w:t>
      </w:r>
      <w:hyperlink r:id="rId45" w:history="1">
        <w:r w:rsidRPr="00EA76DD">
          <w:rPr>
            <w:rStyle w:val="Hyperlink"/>
            <w:rFonts w:asciiTheme="minorHAnsi" w:hAnsiTheme="minorHAnsi"/>
            <w:sz w:val="24"/>
            <w:szCs w:val="24"/>
          </w:rPr>
          <w:t>https://www.dunya.com/kose-yazisi/merkez-bankasi-ne-yapabilir/338987</w:t>
        </w:r>
      </w:hyperlink>
      <w:r>
        <w:rPr>
          <w:rFonts w:asciiTheme="minorHAnsi" w:hAnsiTheme="minorHAnsi"/>
          <w:sz w:val="24"/>
          <w:szCs w:val="24"/>
        </w:rPr>
        <w:t xml:space="preserve"> accessed on 15/9/2017.</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Parliamentary Debates 23.</w:t>
      </w:r>
      <w:r w:rsidR="00E26157" w:rsidRPr="006931E8">
        <w:rPr>
          <w:rFonts w:asciiTheme="minorHAnsi" w:hAnsiTheme="minorHAnsi"/>
          <w:sz w:val="24"/>
          <w:szCs w:val="24"/>
        </w:rPr>
        <w:t xml:space="preserve"> </w:t>
      </w:r>
      <w:r w:rsidR="004B3989" w:rsidRPr="006931E8">
        <w:rPr>
          <w:rFonts w:asciiTheme="minorHAnsi" w:hAnsiTheme="minorHAnsi"/>
          <w:sz w:val="24"/>
          <w:szCs w:val="24"/>
        </w:rPr>
        <w:t>and 24</w:t>
      </w:r>
      <w:r w:rsidR="004B3989" w:rsidRPr="006931E8">
        <w:rPr>
          <w:rFonts w:asciiTheme="minorHAnsi" w:hAnsiTheme="minorHAnsi"/>
          <w:sz w:val="24"/>
          <w:szCs w:val="24"/>
          <w:vertAlign w:val="superscript"/>
        </w:rPr>
        <w:t>th</w:t>
      </w:r>
      <w:r w:rsidR="004B3989" w:rsidRPr="006931E8">
        <w:rPr>
          <w:rFonts w:asciiTheme="minorHAnsi" w:hAnsiTheme="minorHAnsi"/>
          <w:sz w:val="24"/>
          <w:szCs w:val="24"/>
        </w:rPr>
        <w:t xml:space="preserve"> </w:t>
      </w:r>
      <w:r w:rsidR="00E26157" w:rsidRPr="006931E8">
        <w:rPr>
          <w:rFonts w:asciiTheme="minorHAnsi" w:hAnsiTheme="minorHAnsi"/>
          <w:sz w:val="24"/>
          <w:szCs w:val="24"/>
        </w:rPr>
        <w:t>Term 1.- 5. Legislative Years</w:t>
      </w:r>
      <w:r w:rsidR="008B5CE3" w:rsidRPr="006931E8">
        <w:rPr>
          <w:rFonts w:asciiTheme="minorHAnsi" w:hAnsiTheme="minorHAnsi"/>
          <w:sz w:val="24"/>
          <w:szCs w:val="24"/>
        </w:rPr>
        <w:t xml:space="preserve"> (2007-2011)</w:t>
      </w:r>
      <w:r w:rsidR="00E26157" w:rsidRPr="006931E8">
        <w:rPr>
          <w:rFonts w:asciiTheme="minorHAnsi" w:hAnsiTheme="minorHAnsi"/>
          <w:sz w:val="24"/>
          <w:szCs w:val="24"/>
        </w:rPr>
        <w:t xml:space="preserve">, </w:t>
      </w:r>
      <w:hyperlink r:id="rId46" w:history="1">
        <w:r w:rsidR="008B5CE3" w:rsidRPr="006931E8">
          <w:rPr>
            <w:rStyle w:val="Hyperlink"/>
            <w:rFonts w:asciiTheme="minorHAnsi" w:hAnsiTheme="minorHAnsi"/>
            <w:sz w:val="24"/>
            <w:szCs w:val="24"/>
          </w:rPr>
          <w:t>https://www.tbmm.gov.tr/tutanak/tutanaklar.htm</w:t>
        </w:r>
      </w:hyperlink>
      <w:r w:rsidR="008B5CE3" w:rsidRPr="006931E8">
        <w:rPr>
          <w:rFonts w:asciiTheme="minorHAnsi" w:hAnsiTheme="minorHAnsi"/>
          <w:sz w:val="24"/>
          <w:szCs w:val="24"/>
        </w:rPr>
        <w:t xml:space="preserve"> </w:t>
      </w:r>
    </w:p>
    <w:p w:rsidR="00735368" w:rsidRDefault="002C3C13">
      <w:pPr>
        <w:ind w:left="720" w:right="720"/>
        <w:rPr>
          <w:rFonts w:asciiTheme="minorHAnsi" w:hAnsiTheme="minorHAnsi"/>
          <w:sz w:val="24"/>
          <w:szCs w:val="24"/>
        </w:rPr>
      </w:pPr>
      <w:r w:rsidRPr="006931E8">
        <w:rPr>
          <w:rFonts w:asciiTheme="minorHAnsi" w:hAnsiTheme="minorHAnsi"/>
          <w:sz w:val="24"/>
          <w:szCs w:val="24"/>
        </w:rPr>
        <w:t>Reuters (2013) “</w:t>
      </w:r>
      <w:r w:rsidR="00EF3A12" w:rsidRPr="006931E8">
        <w:rPr>
          <w:rFonts w:asciiTheme="minorHAnsi" w:hAnsiTheme="minorHAnsi"/>
          <w:sz w:val="24"/>
          <w:szCs w:val="24"/>
        </w:rPr>
        <w:t>Hungary’s new central bank chief tightens</w:t>
      </w:r>
      <w:r w:rsidRPr="006931E8">
        <w:rPr>
          <w:rFonts w:asciiTheme="minorHAnsi" w:hAnsiTheme="minorHAnsi"/>
          <w:sz w:val="24"/>
          <w:szCs w:val="24"/>
        </w:rPr>
        <w:t xml:space="preserve"> grip”, March 4,</w:t>
      </w:r>
      <w:r w:rsidR="00E26157" w:rsidRPr="006931E8">
        <w:rPr>
          <w:rFonts w:asciiTheme="minorHAnsi" w:hAnsiTheme="minorHAnsi"/>
          <w:sz w:val="24"/>
          <w:szCs w:val="24"/>
        </w:rPr>
        <w:t xml:space="preserve"> New York </w:t>
      </w:r>
      <w:r w:rsidR="00EF3A12" w:rsidRPr="006931E8">
        <w:rPr>
          <w:rFonts w:asciiTheme="minorHAnsi" w:hAnsiTheme="minorHAnsi"/>
          <w:sz w:val="24"/>
          <w:szCs w:val="24"/>
        </w:rPr>
        <w:t>Time</w:t>
      </w:r>
      <w:r w:rsidRPr="006931E8">
        <w:rPr>
          <w:rFonts w:asciiTheme="minorHAnsi" w:hAnsiTheme="minorHAnsi"/>
          <w:sz w:val="24"/>
          <w:szCs w:val="24"/>
        </w:rPr>
        <w:t xml:space="preserve">s, </w:t>
      </w:r>
      <w:hyperlink r:id="rId47" w:history="1">
        <w:r w:rsidRPr="006931E8">
          <w:rPr>
            <w:rStyle w:val="Hyperlink"/>
            <w:rFonts w:asciiTheme="minorHAnsi" w:hAnsiTheme="minorHAnsi"/>
            <w:sz w:val="24"/>
            <w:szCs w:val="24"/>
          </w:rPr>
          <w:t>http://www.nytimes.com/2013/03/05/business/global/hungarys-new-central-bank-chieftightens-grip.html?_r=0</w:t>
        </w:r>
      </w:hyperlink>
      <w:r w:rsidRPr="006931E8">
        <w:rPr>
          <w:rFonts w:asciiTheme="minorHAnsi" w:hAnsiTheme="minorHAnsi"/>
          <w:sz w:val="24"/>
          <w:szCs w:val="24"/>
        </w:rPr>
        <w:t xml:space="preserve"> accessed on 23/3/2015.</w:t>
      </w:r>
    </w:p>
    <w:p w:rsidR="00735368" w:rsidRDefault="003D2E8F">
      <w:pPr>
        <w:ind w:left="720" w:right="720"/>
        <w:jc w:val="both"/>
        <w:rPr>
          <w:rFonts w:asciiTheme="minorHAnsi" w:hAnsiTheme="minorHAnsi"/>
          <w:sz w:val="24"/>
          <w:szCs w:val="24"/>
        </w:rPr>
      </w:pPr>
      <w:r w:rsidRPr="006931E8">
        <w:rPr>
          <w:rFonts w:asciiTheme="minorHAnsi" w:hAnsiTheme="minorHAnsi"/>
          <w:sz w:val="24"/>
          <w:szCs w:val="24"/>
        </w:rPr>
        <w:t>Rogers C. (2009</w:t>
      </w:r>
      <w:r w:rsidR="00EF3A12" w:rsidRPr="006931E8">
        <w:rPr>
          <w:rFonts w:asciiTheme="minorHAnsi" w:hAnsiTheme="minorHAnsi"/>
          <w:sz w:val="24"/>
          <w:szCs w:val="24"/>
        </w:rPr>
        <w:t>) 'The Politics of Economic Policy Making in Britain: A Re-</w:t>
      </w:r>
      <w:r w:rsidR="00E26157" w:rsidRPr="006931E8">
        <w:rPr>
          <w:rFonts w:asciiTheme="minorHAnsi" w:hAnsiTheme="minorHAnsi"/>
          <w:sz w:val="24"/>
          <w:szCs w:val="24"/>
        </w:rPr>
        <w:t xml:space="preserve">Assessment of the </w:t>
      </w:r>
      <w:r w:rsidR="00EF3A12" w:rsidRPr="006931E8">
        <w:rPr>
          <w:rFonts w:asciiTheme="minorHAnsi" w:hAnsiTheme="minorHAnsi"/>
          <w:sz w:val="24"/>
          <w:szCs w:val="24"/>
        </w:rPr>
        <w:t xml:space="preserve">1976 IMF Crisis' </w:t>
      </w:r>
      <w:r w:rsidR="00EF3A12" w:rsidRPr="006931E8">
        <w:rPr>
          <w:rFonts w:asciiTheme="minorHAnsi" w:hAnsiTheme="minorHAnsi"/>
          <w:i/>
          <w:sz w:val="24"/>
          <w:szCs w:val="24"/>
        </w:rPr>
        <w:t>Politics &amp; Policy</w:t>
      </w:r>
      <w:r w:rsidR="00EF3A12" w:rsidRPr="006931E8">
        <w:rPr>
          <w:rFonts w:asciiTheme="minorHAnsi" w:hAnsiTheme="minorHAnsi"/>
          <w:sz w:val="24"/>
          <w:szCs w:val="24"/>
        </w:rPr>
        <w:t>, 37-5, pp. 971-994.</w:t>
      </w:r>
    </w:p>
    <w:p w:rsidR="00735368" w:rsidRDefault="003D2E8F">
      <w:pPr>
        <w:ind w:left="720" w:right="720"/>
        <w:jc w:val="both"/>
        <w:rPr>
          <w:rFonts w:asciiTheme="minorHAnsi" w:hAnsiTheme="minorHAnsi"/>
          <w:sz w:val="24"/>
          <w:szCs w:val="24"/>
        </w:rPr>
      </w:pPr>
      <w:r w:rsidRPr="006931E8">
        <w:rPr>
          <w:rFonts w:asciiTheme="minorHAnsi" w:hAnsiTheme="minorHAnsi"/>
          <w:sz w:val="24"/>
          <w:szCs w:val="24"/>
        </w:rPr>
        <w:t xml:space="preserve">Rogers C. (2013) “Crisis, Ideas, and Economic Policy-making in Britain during the 1970s Stagflation”, New Political Economy, </w:t>
      </w:r>
      <w:r w:rsidRPr="006931E8">
        <w:rPr>
          <w:rStyle w:val="volume"/>
          <w:rFonts w:asciiTheme="minorHAnsi" w:hAnsiTheme="minorHAnsi"/>
          <w:sz w:val="24"/>
          <w:szCs w:val="24"/>
        </w:rPr>
        <w:t>Vol. 18, Issue 1, pp. 1-20.</w:t>
      </w:r>
      <w:r w:rsidRPr="006931E8">
        <w:rPr>
          <w:rStyle w:val="hlfld-title"/>
          <w:rFonts w:asciiTheme="minorHAnsi" w:hAnsiTheme="minorHAnsi"/>
          <w:sz w:val="24"/>
          <w:szCs w:val="24"/>
        </w:rPr>
        <w:t xml:space="preserve"> </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 xml:space="preserve">Roth F., Gros D. and Nowak-Lehmann D. F. (2014) “Crisis and </w:t>
      </w:r>
      <w:r w:rsidR="00E26157" w:rsidRPr="006931E8">
        <w:rPr>
          <w:rFonts w:asciiTheme="minorHAnsi" w:hAnsiTheme="minorHAnsi"/>
          <w:sz w:val="24"/>
          <w:szCs w:val="24"/>
        </w:rPr>
        <w:t xml:space="preserve">Citizens’ Trust in the European </w:t>
      </w:r>
      <w:r w:rsidRPr="006931E8">
        <w:rPr>
          <w:rFonts w:asciiTheme="minorHAnsi" w:hAnsiTheme="minorHAnsi"/>
          <w:sz w:val="24"/>
          <w:szCs w:val="24"/>
        </w:rPr>
        <w:t xml:space="preserve">Central Bank — Panel Data Evidence for the Euro Area, </w:t>
      </w:r>
      <w:r w:rsidR="00E26157" w:rsidRPr="006931E8">
        <w:rPr>
          <w:rFonts w:asciiTheme="minorHAnsi" w:hAnsiTheme="minorHAnsi"/>
          <w:sz w:val="24"/>
          <w:szCs w:val="24"/>
        </w:rPr>
        <w:t xml:space="preserve">1999–2012”, </w:t>
      </w:r>
      <w:r w:rsidR="00E26157" w:rsidRPr="006931E8">
        <w:rPr>
          <w:rFonts w:asciiTheme="minorHAnsi" w:hAnsiTheme="minorHAnsi"/>
          <w:i/>
          <w:sz w:val="24"/>
          <w:szCs w:val="24"/>
        </w:rPr>
        <w:t xml:space="preserve">Journal of European </w:t>
      </w:r>
      <w:r w:rsidRPr="006931E8">
        <w:rPr>
          <w:rFonts w:asciiTheme="minorHAnsi" w:hAnsiTheme="minorHAnsi"/>
          <w:i/>
          <w:sz w:val="24"/>
          <w:szCs w:val="24"/>
        </w:rPr>
        <w:t>Integration</w:t>
      </w:r>
      <w:r w:rsidRPr="006931E8">
        <w:rPr>
          <w:rFonts w:asciiTheme="minorHAnsi" w:hAnsiTheme="minorHAnsi"/>
          <w:sz w:val="24"/>
          <w:szCs w:val="24"/>
        </w:rPr>
        <w:t>, Vol: 36, No: 3.</w:t>
      </w:r>
    </w:p>
    <w:p w:rsidR="00735368" w:rsidRDefault="004F781E">
      <w:pPr>
        <w:ind w:left="720" w:right="720"/>
        <w:jc w:val="both"/>
        <w:rPr>
          <w:rFonts w:asciiTheme="minorHAnsi" w:hAnsiTheme="minorHAnsi"/>
          <w:sz w:val="24"/>
          <w:szCs w:val="24"/>
        </w:rPr>
      </w:pPr>
      <w:r w:rsidRPr="006931E8">
        <w:rPr>
          <w:rFonts w:asciiTheme="minorHAnsi" w:hAnsiTheme="minorHAnsi"/>
          <w:sz w:val="24"/>
          <w:szCs w:val="24"/>
        </w:rPr>
        <w:t xml:space="preserve">Sadler D. and Swain A. (1994) ‘State and Market in Eastern Europe: Regional Development and Workplace Implications of Direct Foreign Investment in the </w:t>
      </w:r>
      <w:r w:rsidRPr="006931E8">
        <w:rPr>
          <w:rFonts w:asciiTheme="minorHAnsi" w:hAnsiTheme="minorHAnsi"/>
          <w:sz w:val="24"/>
          <w:szCs w:val="24"/>
        </w:rPr>
        <w:lastRenderedPageBreak/>
        <w:t xml:space="preserve">Automobile Industry in Hungary’, </w:t>
      </w:r>
      <w:r w:rsidR="00104378" w:rsidRPr="006931E8">
        <w:rPr>
          <w:rFonts w:asciiTheme="minorHAnsi" w:hAnsiTheme="minorHAnsi"/>
          <w:i/>
          <w:sz w:val="24"/>
          <w:szCs w:val="24"/>
        </w:rPr>
        <w:t>Transactions of the Institute of British Geographers</w:t>
      </w:r>
      <w:r w:rsidRPr="006931E8">
        <w:rPr>
          <w:rFonts w:asciiTheme="minorHAnsi" w:hAnsiTheme="minorHAnsi"/>
          <w:sz w:val="24"/>
          <w:szCs w:val="24"/>
        </w:rPr>
        <w:t>, Vol. 19, No. 4, pp. 387-403.</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Saglam</w:t>
      </w:r>
      <w:proofErr w:type="spellEnd"/>
      <w:r w:rsidRPr="006931E8">
        <w:rPr>
          <w:rFonts w:asciiTheme="minorHAnsi" w:hAnsiTheme="minorHAnsi"/>
          <w:sz w:val="24"/>
          <w:szCs w:val="24"/>
        </w:rPr>
        <w:t xml:space="preserve"> E. (2012) “If the Central [Bank] bets on high g</w:t>
      </w:r>
      <w:r w:rsidR="00E26157" w:rsidRPr="006931E8">
        <w:rPr>
          <w:rFonts w:asciiTheme="minorHAnsi" w:hAnsiTheme="minorHAnsi"/>
          <w:sz w:val="24"/>
          <w:szCs w:val="24"/>
        </w:rPr>
        <w:t xml:space="preserve">rowth just like everyone else”, </w:t>
      </w:r>
      <w:r w:rsidRPr="006931E8">
        <w:rPr>
          <w:rFonts w:asciiTheme="minorHAnsi" w:hAnsiTheme="minorHAnsi"/>
          <w:sz w:val="24"/>
          <w:szCs w:val="24"/>
        </w:rPr>
        <w:t>http://www.hurriyet.com.tr/yazarlar/19823951.asp accessed on 1/3/2015.</w:t>
      </w:r>
    </w:p>
    <w:p w:rsidR="006A3E45" w:rsidRDefault="00011C32">
      <w:pPr>
        <w:ind w:left="720" w:right="720"/>
        <w:rPr>
          <w:rFonts w:asciiTheme="minorHAnsi" w:hAnsiTheme="minorHAnsi"/>
          <w:sz w:val="24"/>
          <w:szCs w:val="24"/>
        </w:rPr>
      </w:pPr>
      <w:r w:rsidRPr="006931E8">
        <w:rPr>
          <w:rFonts w:asciiTheme="minorHAnsi" w:hAnsiTheme="minorHAnsi"/>
          <w:sz w:val="24"/>
          <w:szCs w:val="24"/>
        </w:rPr>
        <w:t>Shulman, S. (2000). Nationalist sources of international economic integration.</w:t>
      </w:r>
      <w:r w:rsidRPr="006931E8">
        <w:rPr>
          <w:rFonts w:asciiTheme="minorHAnsi" w:hAnsiTheme="minorHAnsi"/>
          <w:i/>
          <w:sz w:val="24"/>
          <w:szCs w:val="24"/>
        </w:rPr>
        <w:t xml:space="preserve"> International Studies Quarterly, 44 </w:t>
      </w:r>
      <w:r w:rsidRPr="006931E8">
        <w:rPr>
          <w:rFonts w:asciiTheme="minorHAnsi" w:hAnsiTheme="minorHAnsi"/>
          <w:sz w:val="24"/>
          <w:szCs w:val="24"/>
        </w:rPr>
        <w:t>(3), 365-90.</w:t>
      </w:r>
    </w:p>
    <w:p w:rsidR="00011C32" w:rsidRPr="006931E8" w:rsidRDefault="00011C32" w:rsidP="0079076D">
      <w:pPr>
        <w:ind w:left="720" w:right="720"/>
        <w:jc w:val="both"/>
        <w:rPr>
          <w:rFonts w:asciiTheme="minorHAnsi" w:hAnsiTheme="minorHAnsi"/>
          <w:sz w:val="24"/>
          <w:szCs w:val="24"/>
        </w:rPr>
      </w:pPr>
      <w:r w:rsidRPr="006931E8">
        <w:rPr>
          <w:rFonts w:asciiTheme="minorHAnsi" w:hAnsiTheme="minorHAnsi"/>
          <w:sz w:val="24"/>
          <w:szCs w:val="24"/>
        </w:rPr>
        <w:t>Simon, Z. (2011, December 21). Hungary suffers second downgrade to junk as IMF talks stall. Bloomberg. Retrieved 4 May 2016, from http://www.bloomberg.com/news/articles/2011-12-21/hungary-downgraded-to-bb-by-s-p.</w:t>
      </w:r>
    </w:p>
    <w:p w:rsidR="00EF3A12" w:rsidRPr="006931E8" w:rsidRDefault="002C3C13" w:rsidP="000F4BEA">
      <w:pPr>
        <w:ind w:left="720" w:right="720"/>
        <w:jc w:val="both"/>
        <w:rPr>
          <w:rFonts w:asciiTheme="minorHAnsi" w:hAnsiTheme="minorHAnsi"/>
          <w:sz w:val="24"/>
          <w:szCs w:val="24"/>
        </w:rPr>
      </w:pPr>
      <w:r w:rsidRPr="006931E8">
        <w:rPr>
          <w:rFonts w:asciiTheme="minorHAnsi" w:hAnsiTheme="minorHAnsi"/>
          <w:sz w:val="24"/>
          <w:szCs w:val="24"/>
        </w:rPr>
        <w:t>Simon, Z. (2013) “</w:t>
      </w:r>
      <w:proofErr w:type="spellStart"/>
      <w:r w:rsidR="00EF3A12" w:rsidRPr="006931E8">
        <w:rPr>
          <w:rFonts w:asciiTheme="minorHAnsi" w:hAnsiTheme="minorHAnsi"/>
          <w:sz w:val="24"/>
          <w:szCs w:val="24"/>
        </w:rPr>
        <w:t>Matolcsy</w:t>
      </w:r>
      <w:proofErr w:type="spellEnd"/>
      <w:r w:rsidR="00EF3A12" w:rsidRPr="006931E8">
        <w:rPr>
          <w:rFonts w:asciiTheme="minorHAnsi" w:hAnsiTheme="minorHAnsi"/>
          <w:sz w:val="24"/>
          <w:szCs w:val="24"/>
        </w:rPr>
        <w:t xml:space="preserve"> strips Hungary bank deputies of po</w:t>
      </w:r>
      <w:r w:rsidRPr="006931E8">
        <w:rPr>
          <w:rFonts w:asciiTheme="minorHAnsi" w:hAnsiTheme="minorHAnsi"/>
          <w:sz w:val="24"/>
          <w:szCs w:val="24"/>
        </w:rPr>
        <w:t>wers, MTI says”, March 8,</w:t>
      </w:r>
      <w:r w:rsidR="00E26157" w:rsidRPr="006931E8">
        <w:rPr>
          <w:rFonts w:asciiTheme="minorHAnsi" w:hAnsiTheme="minorHAnsi"/>
          <w:sz w:val="24"/>
          <w:szCs w:val="24"/>
        </w:rPr>
        <w:t xml:space="preserve"> </w:t>
      </w:r>
      <w:r w:rsidR="00EF3A12" w:rsidRPr="006931E8">
        <w:rPr>
          <w:rFonts w:asciiTheme="minorHAnsi" w:hAnsiTheme="minorHAnsi"/>
          <w:sz w:val="24"/>
          <w:szCs w:val="24"/>
        </w:rPr>
        <w:t>Bl</w:t>
      </w:r>
      <w:r w:rsidRPr="006931E8">
        <w:rPr>
          <w:rFonts w:asciiTheme="minorHAnsi" w:hAnsiTheme="minorHAnsi"/>
          <w:sz w:val="24"/>
          <w:szCs w:val="24"/>
        </w:rPr>
        <w:t>oomberg</w:t>
      </w:r>
      <w:r w:rsidR="00EF3A12" w:rsidRPr="006931E8">
        <w:rPr>
          <w:rFonts w:asciiTheme="minorHAnsi" w:hAnsiTheme="minorHAnsi"/>
          <w:sz w:val="24"/>
          <w:szCs w:val="24"/>
        </w:rPr>
        <w:t xml:space="preserve">, </w:t>
      </w:r>
      <w:hyperlink r:id="rId48" w:history="1">
        <w:r w:rsidRPr="006931E8">
          <w:rPr>
            <w:rStyle w:val="Hyperlink"/>
            <w:rFonts w:asciiTheme="minorHAnsi" w:hAnsiTheme="minorHAnsi"/>
            <w:sz w:val="24"/>
            <w:szCs w:val="24"/>
          </w:rPr>
          <w:t>http://www.bloomberg.com/news/articles/2013-03-08/matolcsy-strips-hungary-bank-deputies-of-powers-mti-says</w:t>
        </w:r>
      </w:hyperlink>
      <w:r w:rsidRPr="006931E8">
        <w:rPr>
          <w:rFonts w:asciiTheme="minorHAnsi" w:hAnsiTheme="minorHAnsi"/>
          <w:sz w:val="24"/>
          <w:szCs w:val="24"/>
        </w:rPr>
        <w:t xml:space="preserve"> accessed on 23/3/2015. </w:t>
      </w:r>
    </w:p>
    <w:p w:rsidR="000F4BEA" w:rsidRDefault="000F4BEA" w:rsidP="000F4BEA">
      <w:pPr>
        <w:ind w:left="720" w:right="720"/>
        <w:jc w:val="both"/>
        <w:rPr>
          <w:rFonts w:asciiTheme="minorHAnsi" w:hAnsiTheme="minorHAnsi"/>
          <w:sz w:val="24"/>
          <w:szCs w:val="24"/>
        </w:rPr>
      </w:pPr>
      <w:proofErr w:type="spellStart"/>
      <w:r>
        <w:rPr>
          <w:rFonts w:asciiTheme="minorHAnsi" w:hAnsiTheme="minorHAnsi"/>
          <w:sz w:val="24"/>
          <w:szCs w:val="24"/>
        </w:rPr>
        <w:t>Szikra</w:t>
      </w:r>
      <w:proofErr w:type="spellEnd"/>
      <w:r>
        <w:rPr>
          <w:rFonts w:asciiTheme="minorHAnsi" w:hAnsiTheme="minorHAnsi"/>
          <w:sz w:val="24"/>
          <w:szCs w:val="24"/>
        </w:rPr>
        <w:t xml:space="preserve"> D. (2014) ‘Democracy and welfare in hard </w:t>
      </w:r>
      <w:r w:rsidRPr="000F4BEA">
        <w:rPr>
          <w:rFonts w:asciiTheme="minorHAnsi" w:hAnsiTheme="minorHAnsi"/>
          <w:sz w:val="24"/>
          <w:szCs w:val="24"/>
        </w:rPr>
        <w:t>ti</w:t>
      </w:r>
      <w:r>
        <w:rPr>
          <w:rFonts w:asciiTheme="minorHAnsi" w:hAnsiTheme="minorHAnsi"/>
          <w:sz w:val="24"/>
          <w:szCs w:val="24"/>
        </w:rPr>
        <w:t xml:space="preserve">mes: The social policy of </w:t>
      </w:r>
      <w:proofErr w:type="gramStart"/>
      <w:r>
        <w:rPr>
          <w:rFonts w:asciiTheme="minorHAnsi" w:hAnsiTheme="minorHAnsi"/>
          <w:sz w:val="24"/>
          <w:szCs w:val="24"/>
        </w:rPr>
        <w:t xml:space="preserve">the  </w:t>
      </w:r>
      <w:proofErr w:type="spellStart"/>
      <w:r>
        <w:rPr>
          <w:rFonts w:asciiTheme="minorHAnsi" w:hAnsiTheme="minorHAnsi"/>
          <w:sz w:val="24"/>
          <w:szCs w:val="24"/>
        </w:rPr>
        <w:t>Orbán</w:t>
      </w:r>
      <w:proofErr w:type="spellEnd"/>
      <w:proofErr w:type="gramEnd"/>
      <w:r>
        <w:rPr>
          <w:rFonts w:asciiTheme="minorHAnsi" w:hAnsiTheme="minorHAnsi"/>
          <w:sz w:val="24"/>
          <w:szCs w:val="24"/>
        </w:rPr>
        <w:t xml:space="preserve"> Government in Hungary </w:t>
      </w:r>
      <w:r w:rsidRPr="000F4BEA">
        <w:rPr>
          <w:rFonts w:asciiTheme="minorHAnsi" w:hAnsiTheme="minorHAnsi"/>
          <w:sz w:val="24"/>
          <w:szCs w:val="24"/>
        </w:rPr>
        <w:t>between 2010 and 2014</w:t>
      </w:r>
      <w:r>
        <w:rPr>
          <w:rFonts w:asciiTheme="minorHAnsi" w:hAnsiTheme="minorHAnsi"/>
          <w:sz w:val="24"/>
          <w:szCs w:val="24"/>
        </w:rPr>
        <w:t xml:space="preserve">’, </w:t>
      </w:r>
      <w:r w:rsidR="0016175C" w:rsidRPr="0016175C">
        <w:rPr>
          <w:rFonts w:asciiTheme="minorHAnsi" w:hAnsiTheme="minorHAnsi"/>
          <w:i/>
          <w:sz w:val="24"/>
          <w:szCs w:val="24"/>
        </w:rPr>
        <w:t>Journal of European Social Policy</w:t>
      </w:r>
      <w:r>
        <w:rPr>
          <w:rFonts w:asciiTheme="minorHAnsi" w:hAnsiTheme="minorHAnsi"/>
          <w:sz w:val="24"/>
          <w:szCs w:val="24"/>
        </w:rPr>
        <w:t>, Vol. 24, No: 5, pp. 486-500.</w:t>
      </w:r>
    </w:p>
    <w:p w:rsidR="00571BAE" w:rsidRPr="006931E8" w:rsidRDefault="00571BAE" w:rsidP="000F4BEA">
      <w:pPr>
        <w:ind w:left="720" w:right="720"/>
        <w:jc w:val="both"/>
        <w:rPr>
          <w:rFonts w:asciiTheme="minorHAnsi" w:hAnsiTheme="minorHAnsi"/>
          <w:sz w:val="24"/>
          <w:szCs w:val="24"/>
        </w:rPr>
      </w:pPr>
      <w:proofErr w:type="spellStart"/>
      <w:r w:rsidRPr="006931E8">
        <w:rPr>
          <w:rFonts w:asciiTheme="minorHAnsi" w:hAnsiTheme="minorHAnsi"/>
          <w:sz w:val="24"/>
          <w:szCs w:val="24"/>
        </w:rPr>
        <w:t>Sonmez</w:t>
      </w:r>
      <w:proofErr w:type="spellEnd"/>
      <w:r w:rsidRPr="006931E8">
        <w:rPr>
          <w:rFonts w:asciiTheme="minorHAnsi" w:hAnsiTheme="minorHAnsi"/>
          <w:sz w:val="24"/>
          <w:szCs w:val="24"/>
        </w:rPr>
        <w:t xml:space="preserve"> (2007) “External Debt Rise under AKP Rule” (translated from Turkish by the authors), </w:t>
      </w:r>
      <w:hyperlink r:id="rId49" w:history="1">
        <w:r w:rsidRPr="006931E8">
          <w:rPr>
            <w:rStyle w:val="Hyperlink"/>
            <w:rFonts w:asciiTheme="minorHAnsi" w:hAnsiTheme="minorHAnsi"/>
            <w:sz w:val="24"/>
            <w:szCs w:val="24"/>
          </w:rPr>
          <w:t>http://sendika1.org/2007/04/akp-iktidarinda-dis-borc-artisi-mustafa-sonmez/</w:t>
        </w:r>
      </w:hyperlink>
      <w:r w:rsidRPr="006931E8">
        <w:rPr>
          <w:rFonts w:asciiTheme="minorHAnsi" w:hAnsiTheme="minorHAnsi"/>
          <w:sz w:val="24"/>
          <w:szCs w:val="24"/>
        </w:rPr>
        <w:t xml:space="preserve"> accessed on 25/9/2015.</w:t>
      </w:r>
    </w:p>
    <w:p w:rsidR="00735368" w:rsidRDefault="00E567AC">
      <w:pPr>
        <w:ind w:left="720" w:right="720"/>
        <w:jc w:val="both"/>
        <w:rPr>
          <w:rFonts w:asciiTheme="minorHAnsi" w:hAnsiTheme="minorHAnsi"/>
          <w:sz w:val="24"/>
          <w:szCs w:val="24"/>
        </w:rPr>
      </w:pPr>
      <w:proofErr w:type="spellStart"/>
      <w:r w:rsidRPr="006931E8">
        <w:rPr>
          <w:rFonts w:asciiTheme="minorHAnsi" w:hAnsiTheme="minorHAnsi"/>
          <w:sz w:val="24"/>
          <w:szCs w:val="24"/>
        </w:rPr>
        <w:t>Sonmez</w:t>
      </w:r>
      <w:proofErr w:type="spellEnd"/>
      <w:r w:rsidRPr="006931E8">
        <w:rPr>
          <w:rFonts w:asciiTheme="minorHAnsi" w:hAnsiTheme="minorHAnsi"/>
          <w:sz w:val="24"/>
          <w:szCs w:val="24"/>
        </w:rPr>
        <w:t xml:space="preserve"> U. (2011) “The Political Economy of Market and Regulatory Reforms in Turkey: The Logic and Unintended Consequences of Ad-hoc Strategies”, </w:t>
      </w:r>
      <w:r w:rsidRPr="006931E8">
        <w:rPr>
          <w:rFonts w:asciiTheme="minorHAnsi" w:hAnsiTheme="minorHAnsi"/>
          <w:i/>
          <w:sz w:val="24"/>
          <w:szCs w:val="24"/>
        </w:rPr>
        <w:t>New Political Economy</w:t>
      </w:r>
      <w:r w:rsidRPr="006931E8">
        <w:rPr>
          <w:rFonts w:asciiTheme="minorHAnsi" w:hAnsiTheme="minorHAnsi"/>
          <w:sz w:val="24"/>
          <w:szCs w:val="24"/>
        </w:rPr>
        <w:t>, Vol. 16, Issue: 1, pp. 101-130.</w:t>
      </w:r>
    </w:p>
    <w:p w:rsidR="00735368" w:rsidRDefault="00977F97">
      <w:pPr>
        <w:ind w:left="720" w:right="720"/>
        <w:jc w:val="both"/>
        <w:rPr>
          <w:rFonts w:asciiTheme="minorHAnsi" w:hAnsiTheme="minorHAnsi"/>
          <w:sz w:val="24"/>
          <w:szCs w:val="24"/>
        </w:rPr>
      </w:pPr>
      <w:r w:rsidRPr="006931E8">
        <w:rPr>
          <w:rFonts w:asciiTheme="minorHAnsi" w:hAnsiTheme="minorHAnsi"/>
          <w:sz w:val="24"/>
          <w:szCs w:val="24"/>
        </w:rPr>
        <w:t>Sutton A. (2016)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and the politics of imperialism’, </w:t>
      </w:r>
      <w:r w:rsidR="00104378" w:rsidRPr="006931E8">
        <w:rPr>
          <w:rFonts w:asciiTheme="minorHAnsi" w:hAnsiTheme="minorHAnsi"/>
          <w:i/>
          <w:sz w:val="24"/>
          <w:szCs w:val="24"/>
        </w:rPr>
        <w:t>British Politics</w:t>
      </w:r>
      <w:r w:rsidRPr="006931E8">
        <w:rPr>
          <w:rFonts w:asciiTheme="minorHAnsi" w:hAnsiTheme="minorHAnsi"/>
          <w:i/>
          <w:sz w:val="24"/>
          <w:szCs w:val="24"/>
        </w:rPr>
        <w:t>.</w:t>
      </w:r>
    </w:p>
    <w:p w:rsidR="00735368" w:rsidRDefault="002C3C13">
      <w:pPr>
        <w:ind w:left="720" w:right="720"/>
        <w:rPr>
          <w:rFonts w:asciiTheme="minorHAnsi" w:hAnsiTheme="minorHAnsi"/>
          <w:sz w:val="24"/>
          <w:szCs w:val="24"/>
        </w:rPr>
      </w:pPr>
      <w:proofErr w:type="spellStart"/>
      <w:r w:rsidRPr="006931E8">
        <w:rPr>
          <w:rFonts w:asciiTheme="minorHAnsi" w:hAnsiTheme="minorHAnsi"/>
          <w:sz w:val="24"/>
          <w:szCs w:val="24"/>
        </w:rPr>
        <w:t>Than</w:t>
      </w:r>
      <w:proofErr w:type="spellEnd"/>
      <w:r w:rsidRPr="006931E8">
        <w:rPr>
          <w:rFonts w:asciiTheme="minorHAnsi" w:hAnsiTheme="minorHAnsi"/>
          <w:sz w:val="24"/>
          <w:szCs w:val="24"/>
        </w:rPr>
        <w:t xml:space="preserve">, K. &amp; </w:t>
      </w:r>
      <w:proofErr w:type="spellStart"/>
      <w:r w:rsidRPr="006931E8">
        <w:rPr>
          <w:rFonts w:asciiTheme="minorHAnsi" w:hAnsiTheme="minorHAnsi"/>
          <w:sz w:val="24"/>
          <w:szCs w:val="24"/>
        </w:rPr>
        <w:t>Szakacs</w:t>
      </w:r>
      <w:proofErr w:type="spellEnd"/>
      <w:r w:rsidRPr="006931E8">
        <w:rPr>
          <w:rFonts w:asciiTheme="minorHAnsi" w:hAnsiTheme="minorHAnsi"/>
          <w:sz w:val="24"/>
          <w:szCs w:val="24"/>
        </w:rPr>
        <w:t>, G.(2012) “</w:t>
      </w:r>
      <w:r w:rsidR="00EF3A12" w:rsidRPr="006931E8">
        <w:rPr>
          <w:rFonts w:asciiTheme="minorHAnsi" w:hAnsiTheme="minorHAnsi"/>
          <w:sz w:val="24"/>
          <w:szCs w:val="24"/>
        </w:rPr>
        <w:t>ECB warns Hungary again</w:t>
      </w:r>
      <w:r w:rsidRPr="006931E8">
        <w:rPr>
          <w:rFonts w:asciiTheme="minorHAnsi" w:hAnsiTheme="minorHAnsi"/>
          <w:sz w:val="24"/>
          <w:szCs w:val="24"/>
        </w:rPr>
        <w:t xml:space="preserve"> over central bank independence” </w:t>
      </w:r>
      <w:r w:rsidR="00E26157" w:rsidRPr="006931E8">
        <w:rPr>
          <w:rFonts w:asciiTheme="minorHAnsi" w:hAnsiTheme="minorHAnsi"/>
          <w:sz w:val="24"/>
          <w:szCs w:val="24"/>
        </w:rPr>
        <w:t>December 7</w:t>
      </w:r>
      <w:r w:rsidRPr="006931E8">
        <w:rPr>
          <w:rFonts w:asciiTheme="minorHAnsi" w:hAnsiTheme="minorHAnsi"/>
          <w:sz w:val="24"/>
          <w:szCs w:val="24"/>
        </w:rPr>
        <w:t>, Reuters,</w:t>
      </w:r>
      <w:r w:rsidR="00E26157" w:rsidRPr="006931E8">
        <w:rPr>
          <w:rFonts w:asciiTheme="minorHAnsi" w:hAnsiTheme="minorHAnsi"/>
          <w:sz w:val="24"/>
          <w:szCs w:val="24"/>
        </w:rPr>
        <w:t xml:space="preserve"> </w:t>
      </w:r>
      <w:hyperlink r:id="rId50" w:history="1">
        <w:r w:rsidRPr="006931E8">
          <w:rPr>
            <w:rStyle w:val="Hyperlink"/>
            <w:rFonts w:asciiTheme="minorHAnsi" w:hAnsiTheme="minorHAnsi"/>
            <w:sz w:val="24"/>
            <w:szCs w:val="24"/>
          </w:rPr>
          <w:t>http://www.foxbusiness.com/news/2012/12/07/ecb-warns-hungary-again-over-central-bankindependence/</w:t>
        </w:r>
      </w:hyperlink>
      <w:r w:rsidRPr="006931E8">
        <w:rPr>
          <w:rFonts w:asciiTheme="minorHAnsi" w:hAnsiTheme="minorHAnsi"/>
          <w:sz w:val="24"/>
          <w:szCs w:val="24"/>
        </w:rPr>
        <w:t xml:space="preserve"> accessed on 23/3/2015.</w:t>
      </w:r>
    </w:p>
    <w:p w:rsidR="00735368" w:rsidRDefault="00EF3A12">
      <w:pPr>
        <w:ind w:left="720" w:right="720"/>
        <w:rPr>
          <w:rFonts w:asciiTheme="minorHAnsi" w:hAnsiTheme="minorHAnsi"/>
          <w:sz w:val="24"/>
          <w:szCs w:val="24"/>
        </w:rPr>
      </w:pPr>
      <w:proofErr w:type="spellStart"/>
      <w:r w:rsidRPr="006931E8">
        <w:rPr>
          <w:rFonts w:asciiTheme="minorHAnsi" w:hAnsiTheme="minorHAnsi"/>
          <w:sz w:val="24"/>
          <w:szCs w:val="24"/>
        </w:rPr>
        <w:t>Than</w:t>
      </w:r>
      <w:proofErr w:type="spellEnd"/>
      <w:r w:rsidRPr="006931E8">
        <w:rPr>
          <w:rFonts w:asciiTheme="minorHAnsi" w:hAnsiTheme="minorHAnsi"/>
          <w:sz w:val="24"/>
          <w:szCs w:val="24"/>
        </w:rPr>
        <w:t xml:space="preserve">, K. &amp; </w:t>
      </w:r>
      <w:proofErr w:type="spellStart"/>
      <w:r w:rsidR="002C3C13" w:rsidRPr="006931E8">
        <w:rPr>
          <w:rFonts w:asciiTheme="minorHAnsi" w:hAnsiTheme="minorHAnsi"/>
          <w:sz w:val="24"/>
          <w:szCs w:val="24"/>
        </w:rPr>
        <w:t>Peto</w:t>
      </w:r>
      <w:proofErr w:type="spellEnd"/>
      <w:r w:rsidR="002C3C13" w:rsidRPr="006931E8">
        <w:rPr>
          <w:rFonts w:asciiTheme="minorHAnsi" w:hAnsiTheme="minorHAnsi"/>
          <w:sz w:val="24"/>
          <w:szCs w:val="24"/>
        </w:rPr>
        <w:t>. S. (2013) “</w:t>
      </w:r>
      <w:r w:rsidRPr="006931E8">
        <w:rPr>
          <w:rFonts w:asciiTheme="minorHAnsi" w:hAnsiTheme="minorHAnsi"/>
          <w:sz w:val="24"/>
          <w:szCs w:val="24"/>
        </w:rPr>
        <w:t>Exclusive: Hungary’s central ba</w:t>
      </w:r>
      <w:r w:rsidR="002C3C13" w:rsidRPr="006931E8">
        <w:rPr>
          <w:rFonts w:asciiTheme="minorHAnsi" w:hAnsiTheme="minorHAnsi"/>
          <w:sz w:val="24"/>
          <w:szCs w:val="24"/>
        </w:rPr>
        <w:t xml:space="preserve">nk reels from sweeping takeover”, March 14, </w:t>
      </w:r>
      <w:r w:rsidRPr="006931E8">
        <w:rPr>
          <w:rFonts w:asciiTheme="minorHAnsi" w:hAnsiTheme="minorHAnsi"/>
          <w:sz w:val="24"/>
          <w:szCs w:val="24"/>
        </w:rPr>
        <w:t>Reuters</w:t>
      </w:r>
      <w:r w:rsidR="002C3C13" w:rsidRPr="006931E8">
        <w:rPr>
          <w:rFonts w:asciiTheme="minorHAnsi" w:hAnsiTheme="minorHAnsi"/>
          <w:sz w:val="24"/>
          <w:szCs w:val="24"/>
        </w:rPr>
        <w:t xml:space="preserve">, </w:t>
      </w:r>
      <w:hyperlink r:id="rId51" w:history="1">
        <w:r w:rsidR="002C3C13" w:rsidRPr="006931E8">
          <w:rPr>
            <w:rStyle w:val="Hyperlink"/>
            <w:rFonts w:asciiTheme="minorHAnsi" w:hAnsiTheme="minorHAnsi"/>
            <w:sz w:val="24"/>
            <w:szCs w:val="24"/>
          </w:rPr>
          <w:t>http://www.foxbusiness.com/news/2013/03/14/exclusive-hungary-central-bank-reels-fromsweeping-takeover42875/</w:t>
        </w:r>
      </w:hyperlink>
      <w:r w:rsidR="002C3C13" w:rsidRPr="006931E8">
        <w:rPr>
          <w:rFonts w:asciiTheme="minorHAnsi" w:hAnsiTheme="minorHAnsi"/>
          <w:sz w:val="24"/>
          <w:szCs w:val="24"/>
        </w:rPr>
        <w:t xml:space="preserve"> accessed on 23/3/2015.</w:t>
      </w:r>
    </w:p>
    <w:p w:rsidR="00735368" w:rsidRDefault="00EF3A12">
      <w:pPr>
        <w:ind w:left="720" w:right="720"/>
        <w:jc w:val="both"/>
        <w:rPr>
          <w:rFonts w:asciiTheme="minorHAnsi" w:hAnsiTheme="minorHAnsi"/>
          <w:sz w:val="24"/>
          <w:szCs w:val="24"/>
        </w:rPr>
      </w:pPr>
      <w:r w:rsidRPr="006931E8">
        <w:rPr>
          <w:rFonts w:asciiTheme="minorHAnsi" w:hAnsiTheme="minorHAnsi"/>
          <w:sz w:val="24"/>
          <w:szCs w:val="24"/>
        </w:rPr>
        <w:t>Tobin, J. (1999). Monetary policy: Recent theory and practic</w:t>
      </w:r>
      <w:r w:rsidR="00E26157" w:rsidRPr="006931E8">
        <w:rPr>
          <w:rFonts w:asciiTheme="minorHAnsi" w:hAnsiTheme="minorHAnsi"/>
          <w:sz w:val="24"/>
          <w:szCs w:val="24"/>
        </w:rPr>
        <w:t xml:space="preserve">e. Cowles Foundation Paper, No. </w:t>
      </w:r>
      <w:r w:rsidRPr="006931E8">
        <w:rPr>
          <w:rFonts w:asciiTheme="minorHAnsi" w:hAnsiTheme="minorHAnsi"/>
          <w:sz w:val="24"/>
          <w:szCs w:val="24"/>
        </w:rPr>
        <w:t>975, 13-21.</w:t>
      </w:r>
    </w:p>
    <w:p w:rsidR="00735368" w:rsidRDefault="00015F7C">
      <w:pPr>
        <w:ind w:left="720" w:right="720"/>
        <w:rPr>
          <w:rFonts w:asciiTheme="minorHAnsi" w:hAnsiTheme="minorHAnsi"/>
          <w:sz w:val="24"/>
          <w:szCs w:val="24"/>
        </w:rPr>
      </w:pPr>
      <w:proofErr w:type="spellStart"/>
      <w:r>
        <w:rPr>
          <w:rFonts w:asciiTheme="minorHAnsi" w:hAnsiTheme="minorHAnsi"/>
          <w:sz w:val="24"/>
          <w:szCs w:val="24"/>
        </w:rPr>
        <w:t>Va</w:t>
      </w:r>
      <w:r w:rsidR="002C3C13" w:rsidRPr="006931E8">
        <w:rPr>
          <w:rFonts w:asciiTheme="minorHAnsi" w:hAnsiTheme="minorHAnsi"/>
          <w:sz w:val="24"/>
          <w:szCs w:val="24"/>
        </w:rPr>
        <w:t>rkonyi</w:t>
      </w:r>
      <w:proofErr w:type="spellEnd"/>
      <w:r w:rsidR="002C3C13" w:rsidRPr="006931E8">
        <w:rPr>
          <w:rFonts w:asciiTheme="minorHAnsi" w:hAnsiTheme="minorHAnsi"/>
          <w:sz w:val="24"/>
          <w:szCs w:val="24"/>
        </w:rPr>
        <w:t>, I. (2013) “</w:t>
      </w:r>
      <w:proofErr w:type="spellStart"/>
      <w:r w:rsidR="00790F6A" w:rsidRPr="006931E8">
        <w:rPr>
          <w:rFonts w:asciiTheme="minorHAnsi" w:hAnsiTheme="minorHAnsi"/>
          <w:sz w:val="24"/>
          <w:szCs w:val="24"/>
        </w:rPr>
        <w:t>Kezdődik</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Matolcsy</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saját</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embereivel</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tölti</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fel</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az</w:t>
      </w:r>
      <w:proofErr w:type="spellEnd"/>
      <w:r w:rsidR="00790F6A" w:rsidRPr="006931E8">
        <w:rPr>
          <w:rFonts w:asciiTheme="minorHAnsi" w:hAnsiTheme="minorHAnsi"/>
          <w:sz w:val="24"/>
          <w:szCs w:val="24"/>
        </w:rPr>
        <w:t> </w:t>
      </w:r>
      <w:proofErr w:type="spellStart"/>
      <w:r w:rsidR="00790F6A" w:rsidRPr="006931E8">
        <w:rPr>
          <w:rFonts w:asciiTheme="minorHAnsi" w:hAnsiTheme="minorHAnsi"/>
          <w:sz w:val="24"/>
          <w:szCs w:val="24"/>
        </w:rPr>
        <w:t>MNB­t</w:t>
      </w:r>
      <w:proofErr w:type="spellEnd"/>
      <w:r w:rsidR="002C3C13" w:rsidRPr="006931E8">
        <w:rPr>
          <w:rFonts w:asciiTheme="minorHAnsi" w:hAnsiTheme="minorHAnsi"/>
          <w:sz w:val="24"/>
          <w:szCs w:val="24"/>
        </w:rPr>
        <w:t>”, March 7,</w:t>
      </w:r>
      <w:r w:rsidR="00924D47" w:rsidRPr="006931E8">
        <w:rPr>
          <w:rFonts w:asciiTheme="minorHAnsi" w:hAnsiTheme="minorHAnsi"/>
          <w:sz w:val="24"/>
          <w:szCs w:val="24"/>
        </w:rPr>
        <w:t xml:space="preserve"> </w:t>
      </w:r>
      <w:proofErr w:type="spellStart"/>
      <w:r w:rsidR="00924D47" w:rsidRPr="006931E8">
        <w:rPr>
          <w:rFonts w:asciiTheme="minorHAnsi" w:hAnsiTheme="minorHAnsi"/>
          <w:sz w:val="24"/>
          <w:szCs w:val="24"/>
        </w:rPr>
        <w:t>Népszabad</w:t>
      </w:r>
      <w:r w:rsidR="002C3C13" w:rsidRPr="006931E8">
        <w:rPr>
          <w:rFonts w:asciiTheme="minorHAnsi" w:hAnsiTheme="minorHAnsi"/>
          <w:sz w:val="24"/>
          <w:szCs w:val="24"/>
        </w:rPr>
        <w:t>ság</w:t>
      </w:r>
      <w:proofErr w:type="spellEnd"/>
      <w:r w:rsidR="002C3C13" w:rsidRPr="006931E8">
        <w:rPr>
          <w:rFonts w:asciiTheme="minorHAnsi" w:hAnsiTheme="minorHAnsi"/>
          <w:sz w:val="24"/>
          <w:szCs w:val="24"/>
        </w:rPr>
        <w:t xml:space="preserve">, </w:t>
      </w:r>
      <w:r w:rsidR="00924D47" w:rsidRPr="006931E8">
        <w:rPr>
          <w:rFonts w:asciiTheme="minorHAnsi" w:hAnsiTheme="minorHAnsi"/>
          <w:sz w:val="24"/>
          <w:szCs w:val="24"/>
        </w:rPr>
        <w:t xml:space="preserve"> </w:t>
      </w:r>
      <w:hyperlink r:id="rId52" w:history="1">
        <w:r w:rsidR="00924D47" w:rsidRPr="006931E8">
          <w:rPr>
            <w:rStyle w:val="Hyperlink"/>
            <w:rFonts w:asciiTheme="minorHAnsi" w:hAnsiTheme="minorHAnsi"/>
            <w:sz w:val="24"/>
            <w:szCs w:val="24"/>
          </w:rPr>
          <w:t>http://nol.hu/gazdasag/kezdodik__matolcsy_sajat_embereivel_tolti_fel_az_mnb-t-1371775</w:t>
        </w:r>
      </w:hyperlink>
      <w:r w:rsidR="002C3C13" w:rsidRPr="006931E8">
        <w:rPr>
          <w:rFonts w:asciiTheme="minorHAnsi" w:hAnsiTheme="minorHAnsi"/>
          <w:sz w:val="24"/>
          <w:szCs w:val="24"/>
        </w:rPr>
        <w:t xml:space="preserve"> accessed on 13/5/2016.</w:t>
      </w:r>
    </w:p>
    <w:p w:rsidR="00735368" w:rsidRDefault="00EF3A12">
      <w:pPr>
        <w:ind w:left="720" w:right="720"/>
        <w:jc w:val="both"/>
        <w:rPr>
          <w:rFonts w:asciiTheme="minorHAnsi" w:hAnsiTheme="minorHAnsi"/>
          <w:sz w:val="24"/>
          <w:szCs w:val="24"/>
        </w:rPr>
      </w:pPr>
      <w:proofErr w:type="spellStart"/>
      <w:r w:rsidRPr="006931E8">
        <w:rPr>
          <w:rFonts w:asciiTheme="minorHAnsi" w:hAnsiTheme="minorHAnsi"/>
          <w:sz w:val="24"/>
          <w:szCs w:val="24"/>
        </w:rPr>
        <w:t>Walti</w:t>
      </w:r>
      <w:proofErr w:type="spellEnd"/>
      <w:r w:rsidRPr="006931E8">
        <w:rPr>
          <w:rFonts w:asciiTheme="minorHAnsi" w:hAnsiTheme="minorHAnsi"/>
          <w:sz w:val="24"/>
          <w:szCs w:val="24"/>
        </w:rPr>
        <w:t xml:space="preserve"> S. (2012) “Trust no more? The impact of the crisis on cit</w:t>
      </w:r>
      <w:r w:rsidR="00E26157" w:rsidRPr="006931E8">
        <w:rPr>
          <w:rFonts w:asciiTheme="minorHAnsi" w:hAnsiTheme="minorHAnsi"/>
          <w:sz w:val="24"/>
          <w:szCs w:val="24"/>
        </w:rPr>
        <w:t xml:space="preserve">izens’ trust in central banks”, </w:t>
      </w:r>
      <w:r w:rsidRPr="006931E8">
        <w:rPr>
          <w:rFonts w:asciiTheme="minorHAnsi" w:hAnsiTheme="minorHAnsi"/>
          <w:i/>
          <w:sz w:val="24"/>
          <w:szCs w:val="24"/>
        </w:rPr>
        <w:t>Journal of International Money and Finance</w:t>
      </w:r>
      <w:r w:rsidRPr="006931E8">
        <w:rPr>
          <w:rFonts w:asciiTheme="minorHAnsi" w:hAnsiTheme="minorHAnsi"/>
          <w:sz w:val="24"/>
          <w:szCs w:val="24"/>
        </w:rPr>
        <w:t xml:space="preserve">, Vol: 31, Issue: 3, </w:t>
      </w:r>
      <w:r w:rsidR="002C3C13" w:rsidRPr="006931E8">
        <w:rPr>
          <w:rFonts w:asciiTheme="minorHAnsi" w:hAnsiTheme="minorHAnsi"/>
          <w:sz w:val="24"/>
          <w:szCs w:val="24"/>
        </w:rPr>
        <w:t xml:space="preserve">pp. </w:t>
      </w:r>
      <w:r w:rsidRPr="006931E8">
        <w:rPr>
          <w:rFonts w:asciiTheme="minorHAnsi" w:hAnsiTheme="minorHAnsi"/>
          <w:sz w:val="24"/>
          <w:szCs w:val="24"/>
        </w:rPr>
        <w:t>593-605.</w:t>
      </w:r>
    </w:p>
    <w:p w:rsidR="00735368" w:rsidRDefault="004B4E55">
      <w:pPr>
        <w:ind w:left="720" w:right="720"/>
        <w:jc w:val="both"/>
        <w:rPr>
          <w:rFonts w:asciiTheme="minorHAnsi" w:hAnsiTheme="minorHAnsi"/>
          <w:sz w:val="24"/>
          <w:szCs w:val="24"/>
        </w:rPr>
      </w:pPr>
      <w:r w:rsidRPr="006931E8">
        <w:rPr>
          <w:rFonts w:asciiTheme="minorHAnsi" w:hAnsiTheme="minorHAnsi"/>
          <w:sz w:val="24"/>
          <w:szCs w:val="24"/>
        </w:rPr>
        <w:t xml:space="preserve">Watson M. (2002) ‘The institutional paradoxes of monetary orthodoxy: reflections on the political economy of central bank independence’, </w:t>
      </w:r>
      <w:r w:rsidR="00104378" w:rsidRPr="006931E8">
        <w:rPr>
          <w:rFonts w:asciiTheme="minorHAnsi" w:hAnsiTheme="minorHAnsi"/>
          <w:i/>
          <w:sz w:val="24"/>
          <w:szCs w:val="24"/>
        </w:rPr>
        <w:t>Review of International Political Economy</w:t>
      </w:r>
      <w:r w:rsidRPr="006931E8">
        <w:rPr>
          <w:rFonts w:asciiTheme="minorHAnsi" w:hAnsiTheme="minorHAnsi"/>
          <w:sz w:val="24"/>
          <w:szCs w:val="24"/>
        </w:rPr>
        <w:t>, 9:1, pp. 183-196.</w:t>
      </w:r>
    </w:p>
    <w:p w:rsidR="005357D1" w:rsidRPr="006931E8" w:rsidRDefault="005357D1" w:rsidP="0079076D">
      <w:pPr>
        <w:ind w:left="720" w:right="720"/>
        <w:jc w:val="both"/>
        <w:rPr>
          <w:rFonts w:asciiTheme="minorHAnsi" w:hAnsiTheme="minorHAnsi"/>
          <w:sz w:val="24"/>
          <w:szCs w:val="24"/>
        </w:rPr>
      </w:pPr>
      <w:r w:rsidRPr="006931E8">
        <w:rPr>
          <w:rFonts w:asciiTheme="minorHAnsi" w:hAnsiTheme="minorHAnsi"/>
          <w:sz w:val="24"/>
          <w:szCs w:val="24"/>
        </w:rPr>
        <w:lastRenderedPageBreak/>
        <w:t xml:space="preserve">Wood, M. and Flinders, M. (2014) ‘Rethinking </w:t>
      </w:r>
      <w:proofErr w:type="spellStart"/>
      <w:r w:rsidRPr="006931E8">
        <w:rPr>
          <w:rFonts w:asciiTheme="minorHAnsi" w:hAnsiTheme="minorHAnsi"/>
          <w:sz w:val="24"/>
          <w:szCs w:val="24"/>
        </w:rPr>
        <w:t>Depoliticisation</w:t>
      </w:r>
      <w:proofErr w:type="spellEnd"/>
      <w:r w:rsidRPr="006931E8">
        <w:rPr>
          <w:rFonts w:asciiTheme="minorHAnsi" w:hAnsiTheme="minorHAnsi"/>
          <w:sz w:val="24"/>
          <w:szCs w:val="24"/>
        </w:rPr>
        <w:t xml:space="preserve">: Beyond the Governmental’, </w:t>
      </w:r>
      <w:r w:rsidRPr="006931E8">
        <w:rPr>
          <w:rFonts w:asciiTheme="minorHAnsi" w:hAnsiTheme="minorHAnsi"/>
          <w:i/>
          <w:sz w:val="24"/>
          <w:szCs w:val="24"/>
        </w:rPr>
        <w:t>Policy and Politics</w:t>
      </w:r>
      <w:r w:rsidRPr="006931E8">
        <w:rPr>
          <w:rFonts w:asciiTheme="minorHAnsi" w:hAnsiTheme="minorHAnsi"/>
          <w:sz w:val="24"/>
          <w:szCs w:val="24"/>
        </w:rPr>
        <w:t>, 42 (4) 151-70.</w:t>
      </w:r>
    </w:p>
    <w:p w:rsidR="00EF3A12" w:rsidRPr="006931E8" w:rsidRDefault="00EF3A12" w:rsidP="000F4BEA">
      <w:pPr>
        <w:ind w:left="720" w:right="720"/>
        <w:jc w:val="both"/>
        <w:rPr>
          <w:rFonts w:asciiTheme="minorHAnsi" w:hAnsiTheme="minorHAnsi"/>
          <w:sz w:val="24"/>
          <w:szCs w:val="24"/>
        </w:rPr>
      </w:pPr>
      <w:proofErr w:type="spellStart"/>
      <w:r w:rsidRPr="006931E8">
        <w:rPr>
          <w:rFonts w:asciiTheme="minorHAnsi" w:hAnsiTheme="minorHAnsi"/>
          <w:sz w:val="24"/>
          <w:szCs w:val="24"/>
        </w:rPr>
        <w:t>Yeldan</w:t>
      </w:r>
      <w:proofErr w:type="spellEnd"/>
      <w:r w:rsidRPr="006931E8">
        <w:rPr>
          <w:rFonts w:asciiTheme="minorHAnsi" w:hAnsiTheme="minorHAnsi"/>
          <w:sz w:val="24"/>
          <w:szCs w:val="24"/>
        </w:rPr>
        <w:t xml:space="preserve"> E., (2002) “Behind the 2000/2001 Turkish Crisis: Stabilit</w:t>
      </w:r>
      <w:r w:rsidR="00444FE6" w:rsidRPr="006931E8">
        <w:rPr>
          <w:rFonts w:asciiTheme="minorHAnsi" w:hAnsiTheme="minorHAnsi"/>
          <w:sz w:val="24"/>
          <w:szCs w:val="24"/>
        </w:rPr>
        <w:t xml:space="preserve">y, Credibility, And Governance, </w:t>
      </w:r>
      <w:r w:rsidRPr="006931E8">
        <w:rPr>
          <w:rFonts w:asciiTheme="minorHAnsi" w:hAnsiTheme="minorHAnsi"/>
          <w:sz w:val="24"/>
          <w:szCs w:val="24"/>
        </w:rPr>
        <w:t>For Whom?” paper to be presented at the IDEAS Conference on International Money and Developing Countries: Theoretical and Policy Issues in the Current Context, Chennai, India,</w:t>
      </w:r>
      <w:r w:rsidR="00E26157" w:rsidRPr="006931E8">
        <w:rPr>
          <w:rFonts w:asciiTheme="minorHAnsi" w:hAnsiTheme="minorHAnsi"/>
          <w:sz w:val="24"/>
          <w:szCs w:val="24"/>
        </w:rPr>
        <w:t xml:space="preserve"> </w:t>
      </w:r>
      <w:r w:rsidRPr="006931E8">
        <w:rPr>
          <w:rFonts w:asciiTheme="minorHAnsi" w:hAnsiTheme="minorHAnsi"/>
          <w:sz w:val="24"/>
          <w:szCs w:val="24"/>
        </w:rPr>
        <w:t>16–19 December.</w:t>
      </w:r>
    </w:p>
    <w:p w:rsidR="00735368" w:rsidRDefault="004B4E55">
      <w:pPr>
        <w:ind w:left="720" w:right="720"/>
        <w:jc w:val="both"/>
        <w:rPr>
          <w:rFonts w:asciiTheme="minorHAnsi" w:hAnsiTheme="minorHAnsi"/>
          <w:sz w:val="24"/>
          <w:szCs w:val="24"/>
        </w:rPr>
      </w:pPr>
      <w:r w:rsidRPr="006931E8">
        <w:rPr>
          <w:rFonts w:asciiTheme="minorHAnsi" w:hAnsiTheme="minorHAnsi"/>
          <w:sz w:val="24"/>
          <w:szCs w:val="24"/>
        </w:rPr>
        <w:t xml:space="preserve">Yin, R. K. (2003) </w:t>
      </w:r>
      <w:r w:rsidR="00104378" w:rsidRPr="006931E8">
        <w:rPr>
          <w:rFonts w:asciiTheme="minorHAnsi" w:hAnsiTheme="minorHAnsi"/>
          <w:i/>
          <w:sz w:val="24"/>
          <w:szCs w:val="24"/>
        </w:rPr>
        <w:t>Case study research: Design and methods</w:t>
      </w:r>
      <w:r w:rsidRPr="006931E8">
        <w:rPr>
          <w:rFonts w:asciiTheme="minorHAnsi" w:hAnsiTheme="minorHAnsi"/>
          <w:sz w:val="24"/>
          <w:szCs w:val="24"/>
        </w:rPr>
        <w:t>, Thousand Oaks, CA: Sage.</w:t>
      </w:r>
    </w:p>
    <w:p w:rsidR="00735368" w:rsidRDefault="00812B70">
      <w:pPr>
        <w:ind w:left="720" w:right="720"/>
        <w:jc w:val="both"/>
        <w:rPr>
          <w:rFonts w:asciiTheme="minorHAnsi" w:hAnsiTheme="minorHAnsi"/>
          <w:sz w:val="24"/>
          <w:szCs w:val="24"/>
        </w:rPr>
      </w:pPr>
      <w:proofErr w:type="spellStart"/>
      <w:r w:rsidRPr="006931E8">
        <w:rPr>
          <w:rFonts w:asciiTheme="minorHAnsi" w:hAnsiTheme="minorHAnsi"/>
          <w:sz w:val="24"/>
          <w:szCs w:val="24"/>
        </w:rPr>
        <w:t>Zemandl</w:t>
      </w:r>
      <w:proofErr w:type="spellEnd"/>
      <w:r w:rsidRPr="006931E8">
        <w:rPr>
          <w:rFonts w:asciiTheme="minorHAnsi" w:hAnsiTheme="minorHAnsi"/>
          <w:sz w:val="24"/>
          <w:szCs w:val="24"/>
        </w:rPr>
        <w:t xml:space="preserve">, E. (2017). </w:t>
      </w:r>
      <w:r w:rsidRPr="006931E8">
        <w:rPr>
          <w:rFonts w:asciiTheme="minorHAnsi" w:hAnsiTheme="minorHAnsi"/>
          <w:i/>
          <w:sz w:val="24"/>
          <w:szCs w:val="24"/>
        </w:rPr>
        <w:t xml:space="preserve">Political servants, professional guardians, or both? Political appointees in independent organizations under the </w:t>
      </w:r>
      <w:proofErr w:type="spellStart"/>
      <w:r w:rsidRPr="006931E8">
        <w:rPr>
          <w:rFonts w:asciiTheme="minorHAnsi" w:hAnsiTheme="minorHAnsi"/>
          <w:i/>
          <w:sz w:val="24"/>
          <w:szCs w:val="24"/>
        </w:rPr>
        <w:t>Fidesz</w:t>
      </w:r>
      <w:proofErr w:type="spellEnd"/>
      <w:r w:rsidRPr="006931E8">
        <w:rPr>
          <w:rFonts w:asciiTheme="minorHAnsi" w:hAnsiTheme="minorHAnsi"/>
          <w:i/>
          <w:sz w:val="24"/>
          <w:szCs w:val="24"/>
        </w:rPr>
        <w:t>-KDNP supermajority in Hungary (2010-14)</w:t>
      </w:r>
      <w:r w:rsidR="000A0C1C">
        <w:rPr>
          <w:rFonts w:asciiTheme="minorHAnsi" w:hAnsiTheme="minorHAnsi"/>
          <w:sz w:val="24"/>
          <w:szCs w:val="24"/>
        </w:rPr>
        <w:t>, unpublished PhD thesis. Central European University.</w:t>
      </w:r>
    </w:p>
    <w:p w:rsidR="00735368" w:rsidRDefault="009C40F3">
      <w:pPr>
        <w:ind w:left="720" w:right="720"/>
        <w:jc w:val="both"/>
        <w:rPr>
          <w:rFonts w:asciiTheme="minorHAnsi" w:hAnsiTheme="minorHAnsi"/>
          <w:sz w:val="24"/>
          <w:szCs w:val="24"/>
        </w:rPr>
      </w:pPr>
      <w:hyperlink r:id="rId53" w:history="1">
        <w:r w:rsidR="006D5F7B" w:rsidRPr="006931E8">
          <w:rPr>
            <w:rStyle w:val="Hyperlink"/>
            <w:rFonts w:asciiTheme="minorHAnsi" w:hAnsiTheme="minorHAnsi"/>
            <w:sz w:val="24"/>
            <w:szCs w:val="24"/>
          </w:rPr>
          <w:t>http://english.mnb.hu/Root/Dokumentumtar/MNB/A_jegybank/kozerdeku_informaciok/tevekenysegre_mukodesre_adatok/mnbhu_szerv_alaptevekenyseg_hataskor/alapito_okirat_en.pdf</w:t>
        </w:r>
      </w:hyperlink>
    </w:p>
    <w:p w:rsidR="006A3E45" w:rsidRDefault="006A3E45">
      <w:pPr>
        <w:ind w:left="720" w:right="720"/>
        <w:jc w:val="both"/>
        <w:rPr>
          <w:rFonts w:asciiTheme="minorHAnsi" w:hAnsiTheme="minorHAnsi"/>
          <w:sz w:val="24"/>
          <w:szCs w:val="24"/>
        </w:rPr>
      </w:pPr>
    </w:p>
    <w:sectPr w:rsidR="006A3E45" w:rsidSect="00CC08AA">
      <w:footerReference w:type="default" r:id="rId54"/>
      <w:endnotePr>
        <w:numFmt w:val="decimal"/>
      </w:endnotePr>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0F3" w:rsidRDefault="009C40F3">
      <w:r>
        <w:separator/>
      </w:r>
    </w:p>
  </w:endnote>
  <w:endnote w:type="continuationSeparator" w:id="0">
    <w:p w:rsidR="009C40F3" w:rsidRDefault="009C40F3">
      <w:r>
        <w:continuationSeparator/>
      </w:r>
    </w:p>
  </w:endnote>
  <w:endnote w:id="1">
    <w:p w:rsidR="006A3E45" w:rsidRDefault="006A3E45" w:rsidP="0065192D">
      <w:pPr>
        <w:pStyle w:val="EndnoteText"/>
        <w:jc w:val="both"/>
      </w:pPr>
      <w:r>
        <w:t xml:space="preserve">* An earlier version of this article appeared as part of the CEU Centre for Policy Studies Working Paper Series. For further details, see Donmez P. and Zemandl E. </w:t>
      </w:r>
      <w:r w:rsidRPr="0065192D">
        <w:t>(2015) “</w:t>
      </w:r>
      <w:r w:rsidRPr="0065192D">
        <w:rPr>
          <w:b/>
        </w:rPr>
        <w:t>Crisis, Depolitic</w:t>
      </w:r>
      <w:r>
        <w:rPr>
          <w:b/>
        </w:rPr>
        <w:t xml:space="preserve">isation and Repoliticisation in </w:t>
      </w:r>
      <w:r w:rsidRPr="0065192D">
        <w:rPr>
          <w:b/>
        </w:rPr>
        <w:t>the European Periphery: Reflections from Hungary and Turkey</w:t>
      </w:r>
      <w:r>
        <w:t>”</w:t>
      </w:r>
      <w:r w:rsidRPr="0065192D">
        <w:t xml:space="preserve">, </w:t>
      </w:r>
      <w:r w:rsidRPr="0065192D">
        <w:rPr>
          <w:i/>
        </w:rPr>
        <w:t>CPS Working Paper</w:t>
      </w:r>
      <w:r w:rsidRPr="0065192D">
        <w:t xml:space="preserve">, No: 9, Budapest. </w:t>
      </w:r>
    </w:p>
    <w:p w:rsidR="006A3E45" w:rsidRPr="00F603CF" w:rsidRDefault="006A3E45" w:rsidP="00F603CF">
      <w:pPr>
        <w:pStyle w:val="EndnoteText"/>
        <w:jc w:val="both"/>
        <w:rPr>
          <w:lang w:val="en-GB"/>
        </w:rPr>
      </w:pPr>
      <w:r w:rsidRPr="00F603CF">
        <w:rPr>
          <w:rStyle w:val="EndnoteReference"/>
        </w:rPr>
        <w:endnoteRef/>
      </w:r>
      <w:r w:rsidRPr="00F603CF">
        <w:t xml:space="preserve"> For the purposes of this article ‘European periphery’ refers to an analytical, not a geographical, category referring to the hierarchical characteristic of European capitalism which became more overt with the unfolding global financial crisis since 2008(Milios and Sotiropoulos, 2010). </w:t>
      </w:r>
      <w:r w:rsidR="00163CF7">
        <w:t xml:space="preserve">While identifying </w:t>
      </w:r>
      <w:r w:rsidR="00163CF7">
        <w:rPr>
          <w:lang w:val="en-GB"/>
        </w:rPr>
        <w:t xml:space="preserve">Spain, Portugal, </w:t>
      </w:r>
      <w:r w:rsidR="00163CF7" w:rsidRPr="00F603CF">
        <w:rPr>
          <w:lang w:val="en-GB"/>
        </w:rPr>
        <w:t xml:space="preserve">Greece </w:t>
      </w:r>
      <w:r w:rsidR="00163CF7">
        <w:rPr>
          <w:lang w:val="en-GB"/>
        </w:rPr>
        <w:t xml:space="preserve">and Ireland as the ‘internal periphery’ of </w:t>
      </w:r>
      <w:r w:rsidR="00163CF7" w:rsidRPr="00F603CF">
        <w:rPr>
          <w:lang w:val="en-GB"/>
        </w:rPr>
        <w:t>the Eur</w:t>
      </w:r>
      <w:r w:rsidR="00163CF7">
        <w:rPr>
          <w:lang w:val="en-GB"/>
        </w:rPr>
        <w:t xml:space="preserve">ozone in line with </w:t>
      </w:r>
      <w:r w:rsidR="00163CF7" w:rsidRPr="00F603CF">
        <w:rPr>
          <w:lang w:val="en-GB"/>
        </w:rPr>
        <w:t>Lapavitsas et. al. (2010: 4)</w:t>
      </w:r>
      <w:r w:rsidR="00163CF7">
        <w:rPr>
          <w:lang w:val="en-GB"/>
        </w:rPr>
        <w:t xml:space="preserve">, </w:t>
      </w:r>
      <w:r w:rsidR="00163CF7" w:rsidRPr="00F603CF">
        <w:t>Milios and Sotiropoulos</w:t>
      </w:r>
      <w:r w:rsidR="00163CF7">
        <w:rPr>
          <w:lang w:val="en-GB"/>
        </w:rPr>
        <w:t xml:space="preserve"> (</w:t>
      </w:r>
      <w:r w:rsidR="00163CF7" w:rsidRPr="00227D65">
        <w:rPr>
          <w:lang w:val="en-GB"/>
        </w:rPr>
        <w:t>2010: 230</w:t>
      </w:r>
      <w:r w:rsidR="00163CF7">
        <w:rPr>
          <w:lang w:val="en-GB"/>
        </w:rPr>
        <w:t xml:space="preserve">) </w:t>
      </w:r>
      <w:r w:rsidR="00163CF7" w:rsidRPr="00F603CF">
        <w:rPr>
          <w:lang w:val="en-GB"/>
        </w:rPr>
        <w:t>emphasise that ‘there is an even sharper division between the core of the Eurozone and several countries in Eastern Europe, which might be called the external periphery. Since 2008 the latter has also entered a crisis with similar characteristics to that of the internal periphery’ (ibid.)</w:t>
      </w:r>
      <w:r w:rsidR="00362EA7">
        <w:rPr>
          <w:lang w:val="en-GB"/>
        </w:rPr>
        <w:t xml:space="preserve">. </w:t>
      </w:r>
      <w:r w:rsidR="001F0F74">
        <w:t xml:space="preserve">Therefore the concept does </w:t>
      </w:r>
      <w:r w:rsidR="00362EA7">
        <w:t>not</w:t>
      </w:r>
      <w:r w:rsidR="001F0F74">
        <w:t xml:space="preserve"> refer</w:t>
      </w:r>
      <w:r w:rsidR="00362EA7">
        <w:t xml:space="preserve"> </w:t>
      </w:r>
      <w:r w:rsidRPr="00F603CF">
        <w:t>to a specific typology of state in reified form</w:t>
      </w:r>
      <w:r>
        <w:t xml:space="preserve"> (peripheral vs. core) </w:t>
      </w:r>
      <w:r w:rsidRPr="00F603CF">
        <w:t>(Burnham, 1998 cited in Sutton, 2016).</w:t>
      </w:r>
    </w:p>
  </w:endnote>
  <w:endnote w:id="2">
    <w:p w:rsidR="006A3E45" w:rsidRDefault="006A3E45" w:rsidP="009A2B64">
      <w:pPr>
        <w:pStyle w:val="EndnoteText"/>
        <w:jc w:val="both"/>
      </w:pPr>
      <w:r>
        <w:rPr>
          <w:rStyle w:val="EndnoteReference"/>
        </w:rPr>
        <w:endnoteRef/>
      </w:r>
      <w:r>
        <w:t xml:space="preserve"> </w:t>
      </w:r>
      <w:r w:rsidR="00163CF7">
        <w:t>T</w:t>
      </w:r>
      <w:r>
        <w:t xml:space="preserve">he legal and institutional transformation of the management of money in a politicised manner have not been as rapid and observable in Turkey with systematic changes in the central bank law and direct political appointments from the Cabinet to the central bank governor post as in Hungary in the post-2010 period. However there have been incremental legal changes in appointment and selection criteria of the senior bank staff in 2012 and the appointment procedure, professional background and experience of the new Governor in 2016 in particular have been criticized strongly in the media (Gurses, 2016). The rise of visible political pressure over the central bank in Turkey through the Economic Coordination Board and the recent governmental proposal in changing the Central Bank Law, however, have come onto the governmental agenda and become more strongly pronounced in the media during the 2015-17 period (Ozatay, 2016. Birgun, 2016a). </w:t>
      </w:r>
    </w:p>
  </w:endnote>
  <w:endnote w:id="3">
    <w:p w:rsidR="006A3E45" w:rsidRPr="00F603CF" w:rsidRDefault="006A3E45" w:rsidP="00F603CF">
      <w:pPr>
        <w:pStyle w:val="EndnoteText"/>
        <w:jc w:val="both"/>
      </w:pPr>
      <w:r w:rsidRPr="00F603CF">
        <w:rPr>
          <w:rStyle w:val="EndnoteReference"/>
        </w:rPr>
        <w:endnoteRef/>
      </w:r>
      <w:r w:rsidRPr="00F603CF">
        <w:rPr>
          <w:lang w:val="tr-TR"/>
        </w:rPr>
        <w:t xml:space="preserve"> The seven-year long ban on union organisation and activism and party politics following the 1980 military coup certainly facilitated the swift adoption of these novel tactics by suppressing active dissent and opposition in the public political realm in Turkey. Boratav (1990: 224) suggests that the 1980s witnessed ‘fundamental deterioration in the relative economic position of labour in general against capital in general; and, secondarily to important changes in the balance of forces within the sub-groups of the dominant classes in the Turkish society’.</w:t>
      </w:r>
    </w:p>
  </w:endnote>
  <w:endnote w:id="4">
    <w:p w:rsidR="006A3E45" w:rsidRPr="00F603CF" w:rsidRDefault="006A3E45" w:rsidP="00F603CF">
      <w:pPr>
        <w:pStyle w:val="EndnoteText"/>
        <w:jc w:val="both"/>
        <w:rPr>
          <w:lang w:val="en-GB"/>
        </w:rPr>
      </w:pPr>
      <w:r w:rsidRPr="00F603CF">
        <w:rPr>
          <w:rStyle w:val="EndnoteReference"/>
        </w:rPr>
        <w:endnoteRef/>
      </w:r>
      <w:r w:rsidRPr="00F603CF">
        <w:t xml:space="preserve"> It drastically transformed the ownership structure</w:t>
      </w:r>
      <w:r>
        <w:t xml:space="preserve"> of the industries towards a concentration</w:t>
      </w:r>
      <w:r w:rsidRPr="00F603CF">
        <w:t xml:space="preserve"> in transnational corporations, led to profit and income transfers in the medium term and exacerbated the current account problems and external debt burden (Gerocs and Pinkasz, 2017). The presence of cheap, highly skilled labour power as well as geographical proximity and developed infrastructure was particularly attractive for global capital (ibid.).</w:t>
      </w:r>
    </w:p>
  </w:endnote>
  <w:endnote w:id="5">
    <w:p w:rsidR="006A3E45" w:rsidRPr="00F603CF" w:rsidRDefault="006A3E45" w:rsidP="00F603CF">
      <w:pPr>
        <w:pStyle w:val="EndnoteText"/>
        <w:jc w:val="both"/>
        <w:rPr>
          <w:lang w:val="en-GB"/>
        </w:rPr>
      </w:pPr>
      <w:r w:rsidRPr="00F603CF">
        <w:rPr>
          <w:rStyle w:val="EndnoteReference"/>
        </w:rPr>
        <w:endnoteRef/>
      </w:r>
      <w:r w:rsidRPr="00F603CF">
        <w:rPr>
          <w:lang w:val="en-GB"/>
        </w:rPr>
        <w:t xml:space="preserve"> </w:t>
      </w:r>
      <w:r w:rsidR="001F0F74">
        <w:rPr>
          <w:lang w:val="en-GB"/>
        </w:rPr>
        <w:t xml:space="preserve">Some </w:t>
      </w:r>
      <w:r w:rsidRPr="00F603CF">
        <w:rPr>
          <w:lang w:val="en-GB"/>
        </w:rPr>
        <w:t>analyses highlighted the ‘political’ and ‘institutional entrepreneurship’ of the former WB Vice Governor, new Economy Minister Kemal Dervis, in</w:t>
      </w:r>
      <w:r w:rsidR="001F0F74">
        <w:rPr>
          <w:lang w:val="en-GB"/>
        </w:rPr>
        <w:t xml:space="preserve"> </w:t>
      </w:r>
      <w:r w:rsidRPr="00F603CF">
        <w:rPr>
          <w:lang w:val="en-GB"/>
        </w:rPr>
        <w:t>facilitating and justifying th</w:t>
      </w:r>
      <w:r w:rsidR="001F0F74">
        <w:rPr>
          <w:lang w:val="en-GB"/>
        </w:rPr>
        <w:t>is</w:t>
      </w:r>
      <w:r w:rsidRPr="00F603CF">
        <w:rPr>
          <w:lang w:val="en-GB"/>
        </w:rPr>
        <w:t xml:space="preserve"> neoliberal policy framework</w:t>
      </w:r>
      <w:r w:rsidR="00552970">
        <w:rPr>
          <w:lang w:val="en-GB"/>
        </w:rPr>
        <w:t xml:space="preserve"> </w:t>
      </w:r>
      <w:r w:rsidRPr="00F603CF">
        <w:rPr>
          <w:lang w:val="en-GB"/>
        </w:rPr>
        <w:t>(Bakir, 2009).</w:t>
      </w:r>
    </w:p>
  </w:endnote>
  <w:endnote w:id="6">
    <w:p w:rsidR="006A3E45" w:rsidRPr="00F603CF" w:rsidRDefault="006A3E45" w:rsidP="00F603CF">
      <w:pPr>
        <w:pStyle w:val="EndnoteText"/>
        <w:jc w:val="both"/>
        <w:rPr>
          <w:lang w:val="en-GB"/>
        </w:rPr>
      </w:pPr>
      <w:r w:rsidRPr="00F603CF">
        <w:rPr>
          <w:rStyle w:val="EndnoteReference"/>
        </w:rPr>
        <w:endnoteRef/>
      </w:r>
      <w:r w:rsidRPr="00F603CF">
        <w:t xml:space="preserve"> </w:t>
      </w:r>
      <w:r w:rsidRPr="00F603CF">
        <w:rPr>
          <w:rFonts w:cs="TimesNewRomanPSMT"/>
          <w:color w:val="000000"/>
        </w:rPr>
        <w:t>Bakir (2009a: 73) argues that there was also reluctance and ‘ideational rigidity’ within the central bank itself towards implementing expansionary monetary policies in this early phase of the unfolding crisis.</w:t>
      </w:r>
    </w:p>
  </w:endnote>
  <w:endnote w:id="7">
    <w:p w:rsidR="006A3E45" w:rsidRPr="00F603CF" w:rsidRDefault="006A3E45" w:rsidP="00F603CF">
      <w:pPr>
        <w:pStyle w:val="EndnoteText"/>
        <w:jc w:val="both"/>
        <w:rPr>
          <w:lang w:val="en-GB"/>
        </w:rPr>
      </w:pPr>
      <w:r w:rsidRPr="00F603CF">
        <w:rPr>
          <w:rStyle w:val="EndnoteReference"/>
        </w:rPr>
        <w:endnoteRef/>
      </w:r>
      <w:r w:rsidRPr="00F603CF">
        <w:t xml:space="preserve"> </w:t>
      </w:r>
      <w:r w:rsidRPr="00F603CF">
        <w:rPr>
          <w:rFonts w:cs="TimesNewRomanPSMT"/>
        </w:rPr>
        <w:t>It should be noted that the fixed inflation rate target of 5% has not been met from 2012 onwards but it was achieved in 2009 and 2010 thanks to its upward revision (CBRT Website, Inflation Targets Data). Following a brief increase in its short term lending rate in 2010 and 2011, CBRT continuously lowered it until the summer of 2013 while also gradually lowering its borrowing rate until early 2014.</w:t>
      </w:r>
    </w:p>
  </w:endnote>
  <w:endnote w:id="8">
    <w:p w:rsidR="006A3E45" w:rsidRPr="00F603CF" w:rsidRDefault="006A3E45" w:rsidP="00F603CF">
      <w:pPr>
        <w:pStyle w:val="EndnoteText"/>
        <w:jc w:val="both"/>
        <w:rPr>
          <w:lang w:val="en-GB"/>
        </w:rPr>
      </w:pPr>
      <w:r w:rsidRPr="00F603CF">
        <w:rPr>
          <w:rStyle w:val="EndnoteReference"/>
        </w:rPr>
        <w:endnoteRef/>
      </w:r>
      <w:r w:rsidRPr="00F603CF">
        <w:t xml:space="preserve"> Nationalism is defined more broadly as “an ideology seeking to establish or promote the unity, identity, and autonomy of a nation or potential nation” (Shulman</w:t>
      </w:r>
      <w:r w:rsidR="00D3110B">
        <w:t xml:space="preserve">, 2000: </w:t>
      </w:r>
      <w:r w:rsidRPr="00F603CF">
        <w:t>368), while “financial nationalism" is more precisely “an economic strategy that employs ﬁnancial levers - including monetary policy, currency interventions, and other methods of interaction with local and international ﬁnancial systems - to promote the nation’s unity, autonomy, and identi</w:t>
      </w:r>
      <w:r w:rsidR="00D3110B">
        <w:t xml:space="preserve">ty” (Johnson &amp; Barnes, 2015: </w:t>
      </w:r>
      <w:r w:rsidRPr="00F603CF">
        <w:t>536).</w:t>
      </w:r>
    </w:p>
  </w:endnote>
  <w:endnote w:id="9">
    <w:p w:rsidR="006A3E45" w:rsidRPr="00F603CF" w:rsidRDefault="006A3E45" w:rsidP="00F603CF">
      <w:pPr>
        <w:pStyle w:val="EndnoteText"/>
        <w:jc w:val="both"/>
        <w:rPr>
          <w:lang w:val="en-GB"/>
        </w:rPr>
      </w:pPr>
      <w:r w:rsidRPr="00F603CF">
        <w:rPr>
          <w:rStyle w:val="EndnoteReference"/>
        </w:rPr>
        <w:endnoteRef/>
      </w:r>
      <w:r w:rsidRPr="00F603CF">
        <w:t xml:space="preserve"> </w:t>
      </w:r>
      <w:r>
        <w:t>Gyo</w:t>
      </w:r>
      <w:r w:rsidRPr="00F603CF">
        <w:t xml:space="preserve">rgy Matolcsy </w:t>
      </w:r>
      <w:r w:rsidR="001F0F74">
        <w:t xml:space="preserve">as economy minister (2010-13) </w:t>
      </w:r>
      <w:r w:rsidRPr="00F603CF">
        <w:t>had been one of the key authors of the ruling coalition’s economic policies</w:t>
      </w:r>
      <w:r w:rsidR="001F0F74">
        <w:t xml:space="preserve"> which were </w:t>
      </w:r>
      <w:r w:rsidRPr="00F603CF">
        <w:t>characteristically pro-Keynesian (e.g., Novak, 2014) and included hiking taxes on banks and other sectors, nationalizing private pension assets, and seizing private-sector assets for the state (e.g., Reuters, 2013; Than and Peto, 2013).</w:t>
      </w:r>
    </w:p>
  </w:endnote>
  <w:endnote w:id="10">
    <w:p w:rsidR="006A3E45" w:rsidRPr="00F603CF" w:rsidRDefault="006A3E45" w:rsidP="00F603CF">
      <w:pPr>
        <w:pStyle w:val="EndnoteText"/>
        <w:jc w:val="both"/>
      </w:pPr>
      <w:r w:rsidRPr="00F603CF">
        <w:rPr>
          <w:rStyle w:val="EndnoteReference"/>
        </w:rPr>
        <w:endnoteRef/>
      </w:r>
      <w:r w:rsidRPr="00F603CF">
        <w:t xml:space="preserve"> </w:t>
      </w:r>
      <w:r w:rsidR="001F0F74">
        <w:t>S</w:t>
      </w:r>
      <w:r w:rsidRPr="00F603CF">
        <w:t xml:space="preserve">everal of the MNB’s policies since Matolcsy’s takeover, including its tendency to reduce interest rates, the “Funding for Growth Scheme,” its expanded role as the country’s chief financial supervisory authority (having absorbed the Hungarian Financial Supervisory Authority),its highly controversial spending on real estate and other national assets, </w:t>
      </w:r>
      <w:r w:rsidR="001F0F74">
        <w:t xml:space="preserve">and </w:t>
      </w:r>
      <w:r w:rsidRPr="00F603CF">
        <w:t xml:space="preserve">its setting up of foundations which were shown to have benefitted close allies of Matolcsy and Fidesz </w:t>
      </w:r>
      <w:r w:rsidR="001F0F74">
        <w:t>are reflective of this policy and discourse</w:t>
      </w:r>
      <w:r w:rsidRPr="00F603CF">
        <w:t>. In the interest of space, this paper cannot cover each of these issues.</w:t>
      </w:r>
    </w:p>
  </w:endnote>
  <w:endnote w:id="11">
    <w:p w:rsidR="006A3E45" w:rsidRPr="00F603CF" w:rsidRDefault="006A3E45" w:rsidP="00F603CF">
      <w:pPr>
        <w:jc w:val="both"/>
        <w:rPr>
          <w:sz w:val="20"/>
          <w:szCs w:val="20"/>
          <w:lang w:val="en-GB"/>
        </w:rPr>
      </w:pPr>
      <w:r w:rsidRPr="00F603CF">
        <w:rPr>
          <w:rStyle w:val="EndnoteReference"/>
          <w:sz w:val="20"/>
          <w:szCs w:val="20"/>
        </w:rPr>
        <w:endnoteRef/>
      </w:r>
      <w:r w:rsidRPr="00F603CF">
        <w:rPr>
          <w:sz w:val="20"/>
          <w:szCs w:val="20"/>
        </w:rPr>
        <w:t xml:space="preserve"> In response to attempted amendments to the MNB Act, the ECB </w:t>
      </w:r>
      <w:r>
        <w:rPr>
          <w:sz w:val="20"/>
          <w:szCs w:val="20"/>
        </w:rPr>
        <w:t xml:space="preserve">and wider foreign press sounded </w:t>
      </w:r>
      <w:r w:rsidRPr="00F603CF">
        <w:rPr>
          <w:sz w:val="20"/>
          <w:szCs w:val="20"/>
        </w:rPr>
        <w:t>concerns (ECB Press Release, 2011, 2012). Th</w:t>
      </w:r>
      <w:r>
        <w:rPr>
          <w:sz w:val="20"/>
          <w:szCs w:val="20"/>
        </w:rPr>
        <w:t>is</w:t>
      </w:r>
      <w:r w:rsidRPr="00F603CF">
        <w:rPr>
          <w:sz w:val="20"/>
          <w:szCs w:val="20"/>
        </w:rPr>
        <w:t xml:space="preserve"> legal wrangling </w:t>
      </w:r>
      <w:r>
        <w:rPr>
          <w:sz w:val="20"/>
          <w:szCs w:val="20"/>
        </w:rPr>
        <w:t xml:space="preserve">is </w:t>
      </w:r>
      <w:r w:rsidRPr="00F603CF">
        <w:rPr>
          <w:sz w:val="20"/>
          <w:szCs w:val="20"/>
        </w:rPr>
        <w:t xml:space="preserve">illustrative of the </w:t>
      </w:r>
      <w:r>
        <w:rPr>
          <w:sz w:val="20"/>
          <w:szCs w:val="20"/>
        </w:rPr>
        <w:t>government’s</w:t>
      </w:r>
      <w:r w:rsidRPr="00F603CF">
        <w:rPr>
          <w:sz w:val="20"/>
          <w:szCs w:val="20"/>
        </w:rPr>
        <w:t xml:space="preserve"> attempt to pull the institution closer to its political agenda against largely unquestioned orthodox norms of central bank independence.</w:t>
      </w:r>
    </w:p>
  </w:endnote>
  <w:endnote w:id="12">
    <w:p w:rsidR="006A3E45" w:rsidRPr="00F603CF" w:rsidRDefault="006A3E45" w:rsidP="00F603CF">
      <w:pPr>
        <w:pStyle w:val="EndnoteText"/>
        <w:jc w:val="both"/>
      </w:pPr>
      <w:r w:rsidRPr="00F603CF">
        <w:rPr>
          <w:rStyle w:val="EndnoteReference"/>
        </w:rPr>
        <w:endnoteRef/>
      </w:r>
      <w:r w:rsidRPr="00F603CF">
        <w:t xml:space="preserve"> </w:t>
      </w:r>
      <w:r w:rsidRPr="00F603CF">
        <w:rPr>
          <w:rFonts w:asciiTheme="minorHAnsi" w:hAnsiTheme="minorHAnsi"/>
        </w:rPr>
        <w:t>The MNB made reference to the link between the passage of the act and the financial crisis</w:t>
      </w:r>
      <w:r w:rsidRPr="00F603CF">
        <w:t>. “</w:t>
      </w:r>
      <w:r>
        <w:t>T</w:t>
      </w:r>
      <w:r w:rsidRPr="00F603CF">
        <w:t>he  negative repercussions  of  the  financial  crisis  in  Hungary  and  the  best practices of several EU Member States have both demonstrated that the harmony between macro and micro level supervision is indispensable for the prevention and resolution of individual or systemic financial crises</w:t>
      </w:r>
      <w:r>
        <w:t>.</w:t>
      </w:r>
      <w:r w:rsidRPr="00F603CF">
        <w:t>”</w:t>
      </w:r>
      <w:r w:rsidR="00D3110B">
        <w:t xml:space="preserve"> (Magyar Nemzeti Bank, 2013: </w:t>
      </w:r>
      <w:r w:rsidRPr="00F603CF">
        <w:t>8).</w:t>
      </w:r>
    </w:p>
  </w:endnote>
  <w:endnote w:id="13">
    <w:p w:rsidR="006A3E45" w:rsidRPr="00F603CF" w:rsidRDefault="006A3E45" w:rsidP="00F603CF">
      <w:pPr>
        <w:pStyle w:val="EndnoteText"/>
        <w:jc w:val="both"/>
        <w:rPr>
          <w:lang w:val="en-GB"/>
        </w:rPr>
      </w:pPr>
      <w:r w:rsidRPr="00F603CF">
        <w:rPr>
          <w:rStyle w:val="EndnoteReference"/>
        </w:rPr>
        <w:endnoteRef/>
      </w:r>
      <w:r w:rsidRPr="00F603CF">
        <w:t xml:space="preserve"> </w:t>
      </w:r>
      <w:r w:rsidR="00AD26BD">
        <w:t>A</w:t>
      </w:r>
      <w:r w:rsidRPr="00F603CF">
        <w:t xml:space="preserve"> period of conservatism commences from January to August 2012, with </w:t>
      </w:r>
      <w:r w:rsidR="00AD26BD">
        <w:t>interest</w:t>
      </w:r>
      <w:r w:rsidRPr="00F603CF">
        <w:t xml:space="preserve"> rates</w:t>
      </w:r>
      <w:r w:rsidR="00AD26BD">
        <w:t xml:space="preserve"> either unchanged or increased</w:t>
      </w:r>
      <w:r w:rsidRPr="00F603CF">
        <w:t>. One interviewee described how “behavior changed” after the crisis, with policy experts becoming more “more risk-avers</w:t>
      </w:r>
      <w:r w:rsidR="00F81EB4">
        <w:t>e”</w:t>
      </w:r>
      <w:r w:rsidRPr="00F603CF">
        <w:t>. In the first half of 2012, the monetary council did toe the line of risk aversion, the majority deciding either to increase rates (Simor and his two deputies) or to maintain them at the current level (MNB, 2012: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ont237">
    <w:altName w:val="Times New Roman"/>
    <w:charset w:val="A2"/>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45" w:rsidRDefault="00835F61">
    <w:pPr>
      <w:pStyle w:val="Footer"/>
      <w:jc w:val="right"/>
    </w:pPr>
    <w:r>
      <w:fldChar w:fldCharType="begin"/>
    </w:r>
    <w:r>
      <w:instrText xml:space="preserve"> PAGE   \* MERGEFORMAT </w:instrText>
    </w:r>
    <w:r>
      <w:fldChar w:fldCharType="separate"/>
    </w:r>
    <w:r w:rsidR="001F1B03">
      <w:rPr>
        <w:noProof/>
      </w:rPr>
      <w:t>22</w:t>
    </w:r>
    <w:r>
      <w:rPr>
        <w:noProof/>
      </w:rPr>
      <w:fldChar w:fldCharType="end"/>
    </w:r>
  </w:p>
  <w:p w:rsidR="006A3E45" w:rsidRDefault="006A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0F3" w:rsidRDefault="009C40F3">
      <w:r>
        <w:separator/>
      </w:r>
    </w:p>
  </w:footnote>
  <w:footnote w:type="continuationSeparator" w:id="0">
    <w:p w:rsidR="009C40F3" w:rsidRDefault="009C4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EA6424"/>
    <w:multiLevelType w:val="hybridMultilevel"/>
    <w:tmpl w:val="ECD07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B437D"/>
    <w:multiLevelType w:val="hybridMultilevel"/>
    <w:tmpl w:val="9286C720"/>
    <w:lvl w:ilvl="0" w:tplc="CD5CC6F0">
      <w:start w:val="20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81EDB"/>
    <w:multiLevelType w:val="hybridMultilevel"/>
    <w:tmpl w:val="A6A207E8"/>
    <w:lvl w:ilvl="0" w:tplc="6CAEE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20D79"/>
    <w:multiLevelType w:val="hybridMultilevel"/>
    <w:tmpl w:val="B9928D20"/>
    <w:lvl w:ilvl="0" w:tplc="C12AF580">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14272"/>
    <w:multiLevelType w:val="hybridMultilevel"/>
    <w:tmpl w:val="E006EF44"/>
    <w:lvl w:ilvl="0" w:tplc="04CA0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97"/>
    <w:rsid w:val="00000CEF"/>
    <w:rsid w:val="000034B6"/>
    <w:rsid w:val="000035D5"/>
    <w:rsid w:val="00003BAD"/>
    <w:rsid w:val="0000432B"/>
    <w:rsid w:val="000072A3"/>
    <w:rsid w:val="00010D64"/>
    <w:rsid w:val="00011C32"/>
    <w:rsid w:val="00012425"/>
    <w:rsid w:val="000139BC"/>
    <w:rsid w:val="00015F7C"/>
    <w:rsid w:val="0001603F"/>
    <w:rsid w:val="000215AF"/>
    <w:rsid w:val="000218FE"/>
    <w:rsid w:val="000245CF"/>
    <w:rsid w:val="00024DB1"/>
    <w:rsid w:val="00025EB5"/>
    <w:rsid w:val="00025FE9"/>
    <w:rsid w:val="00027CF2"/>
    <w:rsid w:val="00031427"/>
    <w:rsid w:val="000321B3"/>
    <w:rsid w:val="00033CE9"/>
    <w:rsid w:val="00036E96"/>
    <w:rsid w:val="000426F8"/>
    <w:rsid w:val="00044F6B"/>
    <w:rsid w:val="00045160"/>
    <w:rsid w:val="00046BAF"/>
    <w:rsid w:val="00056327"/>
    <w:rsid w:val="00062D2C"/>
    <w:rsid w:val="000647DE"/>
    <w:rsid w:val="00067C20"/>
    <w:rsid w:val="000708B2"/>
    <w:rsid w:val="000735C3"/>
    <w:rsid w:val="0007619B"/>
    <w:rsid w:val="000764F4"/>
    <w:rsid w:val="00084C80"/>
    <w:rsid w:val="000869D3"/>
    <w:rsid w:val="00091069"/>
    <w:rsid w:val="00091BD2"/>
    <w:rsid w:val="00092303"/>
    <w:rsid w:val="00092939"/>
    <w:rsid w:val="00094E0A"/>
    <w:rsid w:val="000963DF"/>
    <w:rsid w:val="00097A94"/>
    <w:rsid w:val="000A0C1C"/>
    <w:rsid w:val="000A2988"/>
    <w:rsid w:val="000A2C8B"/>
    <w:rsid w:val="000A2F44"/>
    <w:rsid w:val="000A3121"/>
    <w:rsid w:val="000A3D12"/>
    <w:rsid w:val="000A441F"/>
    <w:rsid w:val="000A4B26"/>
    <w:rsid w:val="000A7E83"/>
    <w:rsid w:val="000B0ED3"/>
    <w:rsid w:val="000B1480"/>
    <w:rsid w:val="000B1C52"/>
    <w:rsid w:val="000B4170"/>
    <w:rsid w:val="000B459B"/>
    <w:rsid w:val="000B7228"/>
    <w:rsid w:val="000B78BE"/>
    <w:rsid w:val="000C01F4"/>
    <w:rsid w:val="000C06F7"/>
    <w:rsid w:val="000C39D2"/>
    <w:rsid w:val="000C4B2A"/>
    <w:rsid w:val="000C6E49"/>
    <w:rsid w:val="000C7BA0"/>
    <w:rsid w:val="000D0A1B"/>
    <w:rsid w:val="000D0BE1"/>
    <w:rsid w:val="000D1D7C"/>
    <w:rsid w:val="000D343C"/>
    <w:rsid w:val="000E3D55"/>
    <w:rsid w:val="000E71B8"/>
    <w:rsid w:val="000E7D7A"/>
    <w:rsid w:val="000F02AD"/>
    <w:rsid w:val="000F081B"/>
    <w:rsid w:val="000F141B"/>
    <w:rsid w:val="000F20F2"/>
    <w:rsid w:val="000F23A2"/>
    <w:rsid w:val="000F4BEA"/>
    <w:rsid w:val="000F7016"/>
    <w:rsid w:val="001015C4"/>
    <w:rsid w:val="00101ED5"/>
    <w:rsid w:val="00104378"/>
    <w:rsid w:val="00106474"/>
    <w:rsid w:val="001105BF"/>
    <w:rsid w:val="0011067C"/>
    <w:rsid w:val="0011363F"/>
    <w:rsid w:val="00116327"/>
    <w:rsid w:val="00117A3D"/>
    <w:rsid w:val="00117DB7"/>
    <w:rsid w:val="00123988"/>
    <w:rsid w:val="00126190"/>
    <w:rsid w:val="00132367"/>
    <w:rsid w:val="001357A4"/>
    <w:rsid w:val="00137217"/>
    <w:rsid w:val="00137F35"/>
    <w:rsid w:val="00140110"/>
    <w:rsid w:val="0014407C"/>
    <w:rsid w:val="0014716A"/>
    <w:rsid w:val="001514FC"/>
    <w:rsid w:val="00151911"/>
    <w:rsid w:val="00151A49"/>
    <w:rsid w:val="001521F9"/>
    <w:rsid w:val="00153284"/>
    <w:rsid w:val="00156F8F"/>
    <w:rsid w:val="0015773A"/>
    <w:rsid w:val="0016175C"/>
    <w:rsid w:val="001624A0"/>
    <w:rsid w:val="00163A38"/>
    <w:rsid w:val="00163ACA"/>
    <w:rsid w:val="00163CF7"/>
    <w:rsid w:val="00166BCF"/>
    <w:rsid w:val="00172CB6"/>
    <w:rsid w:val="00176C8C"/>
    <w:rsid w:val="001823EB"/>
    <w:rsid w:val="00186EB1"/>
    <w:rsid w:val="00190ABB"/>
    <w:rsid w:val="0019111D"/>
    <w:rsid w:val="00196940"/>
    <w:rsid w:val="00197353"/>
    <w:rsid w:val="00197448"/>
    <w:rsid w:val="001A1F9B"/>
    <w:rsid w:val="001A23F3"/>
    <w:rsid w:val="001A287F"/>
    <w:rsid w:val="001A3159"/>
    <w:rsid w:val="001A5326"/>
    <w:rsid w:val="001A5AE9"/>
    <w:rsid w:val="001A61F3"/>
    <w:rsid w:val="001B17FD"/>
    <w:rsid w:val="001B49B4"/>
    <w:rsid w:val="001B4B6A"/>
    <w:rsid w:val="001B5812"/>
    <w:rsid w:val="001B5B11"/>
    <w:rsid w:val="001B6C51"/>
    <w:rsid w:val="001B7000"/>
    <w:rsid w:val="001B78CA"/>
    <w:rsid w:val="001C38FF"/>
    <w:rsid w:val="001D1D84"/>
    <w:rsid w:val="001D3611"/>
    <w:rsid w:val="001D4735"/>
    <w:rsid w:val="001D52F4"/>
    <w:rsid w:val="001D5CD3"/>
    <w:rsid w:val="001E102C"/>
    <w:rsid w:val="001E1D1C"/>
    <w:rsid w:val="001E2FD9"/>
    <w:rsid w:val="001E7662"/>
    <w:rsid w:val="001F069B"/>
    <w:rsid w:val="001F0F74"/>
    <w:rsid w:val="001F1B03"/>
    <w:rsid w:val="001F7B3E"/>
    <w:rsid w:val="002125CB"/>
    <w:rsid w:val="002135F9"/>
    <w:rsid w:val="002138DA"/>
    <w:rsid w:val="002161F8"/>
    <w:rsid w:val="002214DD"/>
    <w:rsid w:val="002218EE"/>
    <w:rsid w:val="00222F93"/>
    <w:rsid w:val="002245B4"/>
    <w:rsid w:val="00227888"/>
    <w:rsid w:val="00227D65"/>
    <w:rsid w:val="002310AC"/>
    <w:rsid w:val="002329CA"/>
    <w:rsid w:val="0023371C"/>
    <w:rsid w:val="0023426C"/>
    <w:rsid w:val="00236536"/>
    <w:rsid w:val="00243663"/>
    <w:rsid w:val="00247D7B"/>
    <w:rsid w:val="00251639"/>
    <w:rsid w:val="002542B2"/>
    <w:rsid w:val="00255187"/>
    <w:rsid w:val="0025551A"/>
    <w:rsid w:val="00255CA6"/>
    <w:rsid w:val="00260D85"/>
    <w:rsid w:val="00261859"/>
    <w:rsid w:val="00261E8C"/>
    <w:rsid w:val="00272CAC"/>
    <w:rsid w:val="00275696"/>
    <w:rsid w:val="002773A9"/>
    <w:rsid w:val="002853D7"/>
    <w:rsid w:val="0028568E"/>
    <w:rsid w:val="00290B24"/>
    <w:rsid w:val="00295884"/>
    <w:rsid w:val="002A09D1"/>
    <w:rsid w:val="002A3269"/>
    <w:rsid w:val="002B56FB"/>
    <w:rsid w:val="002B6F09"/>
    <w:rsid w:val="002B7B66"/>
    <w:rsid w:val="002C01A5"/>
    <w:rsid w:val="002C0964"/>
    <w:rsid w:val="002C3C13"/>
    <w:rsid w:val="002D002F"/>
    <w:rsid w:val="002D36FC"/>
    <w:rsid w:val="002D549F"/>
    <w:rsid w:val="002E5A8A"/>
    <w:rsid w:val="002E6F9F"/>
    <w:rsid w:val="002E721F"/>
    <w:rsid w:val="002F26A9"/>
    <w:rsid w:val="00304496"/>
    <w:rsid w:val="00314006"/>
    <w:rsid w:val="003140EA"/>
    <w:rsid w:val="00316496"/>
    <w:rsid w:val="0032241F"/>
    <w:rsid w:val="00324BB4"/>
    <w:rsid w:val="00326387"/>
    <w:rsid w:val="0033722B"/>
    <w:rsid w:val="00337908"/>
    <w:rsid w:val="00337C5F"/>
    <w:rsid w:val="00342496"/>
    <w:rsid w:val="0034563F"/>
    <w:rsid w:val="00345F47"/>
    <w:rsid w:val="003462CA"/>
    <w:rsid w:val="00346E38"/>
    <w:rsid w:val="00356113"/>
    <w:rsid w:val="00357768"/>
    <w:rsid w:val="00362EA7"/>
    <w:rsid w:val="0036384F"/>
    <w:rsid w:val="00364E25"/>
    <w:rsid w:val="00364F9D"/>
    <w:rsid w:val="00366514"/>
    <w:rsid w:val="00367D6C"/>
    <w:rsid w:val="003755A5"/>
    <w:rsid w:val="00376310"/>
    <w:rsid w:val="00385376"/>
    <w:rsid w:val="00385C54"/>
    <w:rsid w:val="003860D1"/>
    <w:rsid w:val="0038687D"/>
    <w:rsid w:val="00392EB8"/>
    <w:rsid w:val="00394B8B"/>
    <w:rsid w:val="00396A9B"/>
    <w:rsid w:val="00396FAE"/>
    <w:rsid w:val="003A0EBE"/>
    <w:rsid w:val="003A2355"/>
    <w:rsid w:val="003A3898"/>
    <w:rsid w:val="003A67A5"/>
    <w:rsid w:val="003B0947"/>
    <w:rsid w:val="003B4B18"/>
    <w:rsid w:val="003B6F58"/>
    <w:rsid w:val="003C04B0"/>
    <w:rsid w:val="003C7B97"/>
    <w:rsid w:val="003D2E8F"/>
    <w:rsid w:val="003D4479"/>
    <w:rsid w:val="003D5208"/>
    <w:rsid w:val="003D6452"/>
    <w:rsid w:val="003D786B"/>
    <w:rsid w:val="003F3784"/>
    <w:rsid w:val="003F5158"/>
    <w:rsid w:val="00402A33"/>
    <w:rsid w:val="00403B51"/>
    <w:rsid w:val="00404395"/>
    <w:rsid w:val="0040540C"/>
    <w:rsid w:val="00410310"/>
    <w:rsid w:val="00415D9B"/>
    <w:rsid w:val="0042022C"/>
    <w:rsid w:val="0042082E"/>
    <w:rsid w:val="00421F6A"/>
    <w:rsid w:val="0042586E"/>
    <w:rsid w:val="00425EFE"/>
    <w:rsid w:val="00430635"/>
    <w:rsid w:val="004327EB"/>
    <w:rsid w:val="00433917"/>
    <w:rsid w:val="00435AF2"/>
    <w:rsid w:val="004379F9"/>
    <w:rsid w:val="00444FE6"/>
    <w:rsid w:val="00445DA6"/>
    <w:rsid w:val="0045089A"/>
    <w:rsid w:val="004510E8"/>
    <w:rsid w:val="00453E3D"/>
    <w:rsid w:val="00455B22"/>
    <w:rsid w:val="004622AF"/>
    <w:rsid w:val="00462C8E"/>
    <w:rsid w:val="00463DAA"/>
    <w:rsid w:val="00465998"/>
    <w:rsid w:val="004675A4"/>
    <w:rsid w:val="00467759"/>
    <w:rsid w:val="00472387"/>
    <w:rsid w:val="00473A9C"/>
    <w:rsid w:val="00474664"/>
    <w:rsid w:val="00475B49"/>
    <w:rsid w:val="00476A43"/>
    <w:rsid w:val="00477E70"/>
    <w:rsid w:val="00482028"/>
    <w:rsid w:val="00482FFC"/>
    <w:rsid w:val="00487C58"/>
    <w:rsid w:val="00487FDB"/>
    <w:rsid w:val="00491BF1"/>
    <w:rsid w:val="00491FFB"/>
    <w:rsid w:val="00492344"/>
    <w:rsid w:val="00492582"/>
    <w:rsid w:val="00493F57"/>
    <w:rsid w:val="00494157"/>
    <w:rsid w:val="00496E10"/>
    <w:rsid w:val="004A16BB"/>
    <w:rsid w:val="004A3372"/>
    <w:rsid w:val="004A442B"/>
    <w:rsid w:val="004A49ED"/>
    <w:rsid w:val="004A52C3"/>
    <w:rsid w:val="004A65FC"/>
    <w:rsid w:val="004A748E"/>
    <w:rsid w:val="004B02FA"/>
    <w:rsid w:val="004B0FFD"/>
    <w:rsid w:val="004B1B8A"/>
    <w:rsid w:val="004B37BE"/>
    <w:rsid w:val="004B3989"/>
    <w:rsid w:val="004B4E55"/>
    <w:rsid w:val="004B648D"/>
    <w:rsid w:val="004B75C5"/>
    <w:rsid w:val="004B7FF8"/>
    <w:rsid w:val="004C4AE9"/>
    <w:rsid w:val="004C7A2A"/>
    <w:rsid w:val="004D1650"/>
    <w:rsid w:val="004D62F9"/>
    <w:rsid w:val="004D64C4"/>
    <w:rsid w:val="004E1264"/>
    <w:rsid w:val="004E37B0"/>
    <w:rsid w:val="004E404A"/>
    <w:rsid w:val="004E4A12"/>
    <w:rsid w:val="004E7B40"/>
    <w:rsid w:val="004F05AD"/>
    <w:rsid w:val="004F0CF2"/>
    <w:rsid w:val="004F63B7"/>
    <w:rsid w:val="004F6B20"/>
    <w:rsid w:val="004F781E"/>
    <w:rsid w:val="004F7AAC"/>
    <w:rsid w:val="00501DF7"/>
    <w:rsid w:val="005044F4"/>
    <w:rsid w:val="005069C8"/>
    <w:rsid w:val="00511EA4"/>
    <w:rsid w:val="00514438"/>
    <w:rsid w:val="00516A8C"/>
    <w:rsid w:val="00517925"/>
    <w:rsid w:val="0052303E"/>
    <w:rsid w:val="00523603"/>
    <w:rsid w:val="00523867"/>
    <w:rsid w:val="00530664"/>
    <w:rsid w:val="005357D1"/>
    <w:rsid w:val="0053736F"/>
    <w:rsid w:val="005377A5"/>
    <w:rsid w:val="005400C3"/>
    <w:rsid w:val="0054173C"/>
    <w:rsid w:val="005452D5"/>
    <w:rsid w:val="0054536E"/>
    <w:rsid w:val="005453FC"/>
    <w:rsid w:val="00550180"/>
    <w:rsid w:val="005502BE"/>
    <w:rsid w:val="00552970"/>
    <w:rsid w:val="00553D46"/>
    <w:rsid w:val="00554979"/>
    <w:rsid w:val="00555D1F"/>
    <w:rsid w:val="00556253"/>
    <w:rsid w:val="0055703D"/>
    <w:rsid w:val="005603A2"/>
    <w:rsid w:val="0056114A"/>
    <w:rsid w:val="00565A2A"/>
    <w:rsid w:val="0057068D"/>
    <w:rsid w:val="005713CB"/>
    <w:rsid w:val="005718E5"/>
    <w:rsid w:val="00571BAE"/>
    <w:rsid w:val="005723B5"/>
    <w:rsid w:val="0057284B"/>
    <w:rsid w:val="005746F6"/>
    <w:rsid w:val="005759EE"/>
    <w:rsid w:val="00575FA0"/>
    <w:rsid w:val="0057672F"/>
    <w:rsid w:val="00580877"/>
    <w:rsid w:val="00580A4F"/>
    <w:rsid w:val="00580CC3"/>
    <w:rsid w:val="005830A1"/>
    <w:rsid w:val="0058500D"/>
    <w:rsid w:val="0058619D"/>
    <w:rsid w:val="005866ED"/>
    <w:rsid w:val="00586C07"/>
    <w:rsid w:val="00592707"/>
    <w:rsid w:val="00596B2F"/>
    <w:rsid w:val="005A032A"/>
    <w:rsid w:val="005A2C14"/>
    <w:rsid w:val="005A5DC9"/>
    <w:rsid w:val="005B0134"/>
    <w:rsid w:val="005B13CC"/>
    <w:rsid w:val="005B3CB9"/>
    <w:rsid w:val="005B7F91"/>
    <w:rsid w:val="005C1AAD"/>
    <w:rsid w:val="005C2E61"/>
    <w:rsid w:val="005C3D16"/>
    <w:rsid w:val="005C4F05"/>
    <w:rsid w:val="005D610E"/>
    <w:rsid w:val="005E05CE"/>
    <w:rsid w:val="005E2B15"/>
    <w:rsid w:val="005E3EC4"/>
    <w:rsid w:val="005E473C"/>
    <w:rsid w:val="005F4904"/>
    <w:rsid w:val="005F6B37"/>
    <w:rsid w:val="0060096D"/>
    <w:rsid w:val="0060348A"/>
    <w:rsid w:val="00604E89"/>
    <w:rsid w:val="006050FB"/>
    <w:rsid w:val="006051B5"/>
    <w:rsid w:val="0060646A"/>
    <w:rsid w:val="00617122"/>
    <w:rsid w:val="006213F3"/>
    <w:rsid w:val="00623033"/>
    <w:rsid w:val="00623341"/>
    <w:rsid w:val="00625750"/>
    <w:rsid w:val="00626ED2"/>
    <w:rsid w:val="006301FA"/>
    <w:rsid w:val="006313E6"/>
    <w:rsid w:val="00633025"/>
    <w:rsid w:val="00641C78"/>
    <w:rsid w:val="006451EE"/>
    <w:rsid w:val="006473A6"/>
    <w:rsid w:val="0065192D"/>
    <w:rsid w:val="00651D37"/>
    <w:rsid w:val="0065258B"/>
    <w:rsid w:val="00654946"/>
    <w:rsid w:val="00655470"/>
    <w:rsid w:val="006578A2"/>
    <w:rsid w:val="00657BDE"/>
    <w:rsid w:val="0066004E"/>
    <w:rsid w:val="006608A3"/>
    <w:rsid w:val="00663A8E"/>
    <w:rsid w:val="00670A11"/>
    <w:rsid w:val="0067261B"/>
    <w:rsid w:val="00674D0D"/>
    <w:rsid w:val="00674E55"/>
    <w:rsid w:val="006759A9"/>
    <w:rsid w:val="006766A6"/>
    <w:rsid w:val="006767A3"/>
    <w:rsid w:val="0067704E"/>
    <w:rsid w:val="006771AB"/>
    <w:rsid w:val="00685480"/>
    <w:rsid w:val="006868E5"/>
    <w:rsid w:val="0068726D"/>
    <w:rsid w:val="0068759E"/>
    <w:rsid w:val="006879CE"/>
    <w:rsid w:val="006904DB"/>
    <w:rsid w:val="006914AB"/>
    <w:rsid w:val="006925F5"/>
    <w:rsid w:val="006931E8"/>
    <w:rsid w:val="006945BD"/>
    <w:rsid w:val="00694B5D"/>
    <w:rsid w:val="00694DE7"/>
    <w:rsid w:val="006965CD"/>
    <w:rsid w:val="006973B4"/>
    <w:rsid w:val="00697C5D"/>
    <w:rsid w:val="00697D77"/>
    <w:rsid w:val="006A042B"/>
    <w:rsid w:val="006A078D"/>
    <w:rsid w:val="006A0953"/>
    <w:rsid w:val="006A0B43"/>
    <w:rsid w:val="006A1385"/>
    <w:rsid w:val="006A2113"/>
    <w:rsid w:val="006A3E45"/>
    <w:rsid w:val="006A6CF2"/>
    <w:rsid w:val="006A7944"/>
    <w:rsid w:val="006B1504"/>
    <w:rsid w:val="006B3B1C"/>
    <w:rsid w:val="006B6FFB"/>
    <w:rsid w:val="006C2A80"/>
    <w:rsid w:val="006C4012"/>
    <w:rsid w:val="006D1922"/>
    <w:rsid w:val="006D1F1E"/>
    <w:rsid w:val="006D22C8"/>
    <w:rsid w:val="006D53C3"/>
    <w:rsid w:val="006D5F7B"/>
    <w:rsid w:val="006D7388"/>
    <w:rsid w:val="006D7BF8"/>
    <w:rsid w:val="006E2F92"/>
    <w:rsid w:val="006E39FA"/>
    <w:rsid w:val="006E6C33"/>
    <w:rsid w:val="006F40A3"/>
    <w:rsid w:val="0070223E"/>
    <w:rsid w:val="00702C76"/>
    <w:rsid w:val="00702EDE"/>
    <w:rsid w:val="0070564D"/>
    <w:rsid w:val="00706F5C"/>
    <w:rsid w:val="00710EDA"/>
    <w:rsid w:val="0071535D"/>
    <w:rsid w:val="00715915"/>
    <w:rsid w:val="00715E71"/>
    <w:rsid w:val="00716127"/>
    <w:rsid w:val="00716471"/>
    <w:rsid w:val="007204DF"/>
    <w:rsid w:val="007204FD"/>
    <w:rsid w:val="00720EE8"/>
    <w:rsid w:val="00722306"/>
    <w:rsid w:val="007233B4"/>
    <w:rsid w:val="00727D61"/>
    <w:rsid w:val="007310D0"/>
    <w:rsid w:val="007316C5"/>
    <w:rsid w:val="00731E44"/>
    <w:rsid w:val="007341E9"/>
    <w:rsid w:val="007344F0"/>
    <w:rsid w:val="00734E7A"/>
    <w:rsid w:val="00735368"/>
    <w:rsid w:val="0073596C"/>
    <w:rsid w:val="00736A85"/>
    <w:rsid w:val="00737A85"/>
    <w:rsid w:val="00740CF2"/>
    <w:rsid w:val="007410A6"/>
    <w:rsid w:val="00742585"/>
    <w:rsid w:val="00742739"/>
    <w:rsid w:val="00745A98"/>
    <w:rsid w:val="00747AC4"/>
    <w:rsid w:val="00750A11"/>
    <w:rsid w:val="00752EE0"/>
    <w:rsid w:val="00753098"/>
    <w:rsid w:val="00754B51"/>
    <w:rsid w:val="007551EC"/>
    <w:rsid w:val="0075744C"/>
    <w:rsid w:val="00760CF9"/>
    <w:rsid w:val="007625EE"/>
    <w:rsid w:val="007664D9"/>
    <w:rsid w:val="00766754"/>
    <w:rsid w:val="0076779D"/>
    <w:rsid w:val="00772DCE"/>
    <w:rsid w:val="007738A8"/>
    <w:rsid w:val="00773CDC"/>
    <w:rsid w:val="0077515B"/>
    <w:rsid w:val="00781C39"/>
    <w:rsid w:val="00783835"/>
    <w:rsid w:val="00784B89"/>
    <w:rsid w:val="007854D1"/>
    <w:rsid w:val="0079076D"/>
    <w:rsid w:val="00790F6A"/>
    <w:rsid w:val="007911C6"/>
    <w:rsid w:val="00791755"/>
    <w:rsid w:val="0079349A"/>
    <w:rsid w:val="00795AFF"/>
    <w:rsid w:val="00797080"/>
    <w:rsid w:val="007A03AB"/>
    <w:rsid w:val="007A0406"/>
    <w:rsid w:val="007A3C08"/>
    <w:rsid w:val="007A6FFE"/>
    <w:rsid w:val="007A7F9A"/>
    <w:rsid w:val="007B2665"/>
    <w:rsid w:val="007B7B3E"/>
    <w:rsid w:val="007C1254"/>
    <w:rsid w:val="007C2CE7"/>
    <w:rsid w:val="007C3EE6"/>
    <w:rsid w:val="007C6CFE"/>
    <w:rsid w:val="007D32E5"/>
    <w:rsid w:val="007D3D7E"/>
    <w:rsid w:val="007D4D6C"/>
    <w:rsid w:val="007D529F"/>
    <w:rsid w:val="007E19AF"/>
    <w:rsid w:val="007E33B6"/>
    <w:rsid w:val="007E341C"/>
    <w:rsid w:val="007E78F1"/>
    <w:rsid w:val="007F21C9"/>
    <w:rsid w:val="007F2CC4"/>
    <w:rsid w:val="007F66CB"/>
    <w:rsid w:val="00803898"/>
    <w:rsid w:val="008104F0"/>
    <w:rsid w:val="00812B70"/>
    <w:rsid w:val="00812FE5"/>
    <w:rsid w:val="008130AE"/>
    <w:rsid w:val="00813956"/>
    <w:rsid w:val="00814B3E"/>
    <w:rsid w:val="00814FA4"/>
    <w:rsid w:val="0081701A"/>
    <w:rsid w:val="00823E74"/>
    <w:rsid w:val="0083310B"/>
    <w:rsid w:val="00833C44"/>
    <w:rsid w:val="00835F61"/>
    <w:rsid w:val="008369EE"/>
    <w:rsid w:val="00840FC1"/>
    <w:rsid w:val="00841171"/>
    <w:rsid w:val="00846CD5"/>
    <w:rsid w:val="008501CD"/>
    <w:rsid w:val="00850DB7"/>
    <w:rsid w:val="00852099"/>
    <w:rsid w:val="008532A6"/>
    <w:rsid w:val="008536DE"/>
    <w:rsid w:val="008542D5"/>
    <w:rsid w:val="008550CA"/>
    <w:rsid w:val="00855BD8"/>
    <w:rsid w:val="0086096B"/>
    <w:rsid w:val="00861B23"/>
    <w:rsid w:val="00862714"/>
    <w:rsid w:val="008643AB"/>
    <w:rsid w:val="008647E2"/>
    <w:rsid w:val="00865023"/>
    <w:rsid w:val="00866B4A"/>
    <w:rsid w:val="00871EC3"/>
    <w:rsid w:val="008721E1"/>
    <w:rsid w:val="0087281D"/>
    <w:rsid w:val="00873620"/>
    <w:rsid w:val="00876568"/>
    <w:rsid w:val="008767A8"/>
    <w:rsid w:val="008768BF"/>
    <w:rsid w:val="0088201E"/>
    <w:rsid w:val="0088457A"/>
    <w:rsid w:val="008866D0"/>
    <w:rsid w:val="00887C07"/>
    <w:rsid w:val="00890321"/>
    <w:rsid w:val="00890B1B"/>
    <w:rsid w:val="00891CF5"/>
    <w:rsid w:val="00896079"/>
    <w:rsid w:val="00896378"/>
    <w:rsid w:val="008A08E4"/>
    <w:rsid w:val="008A5E6A"/>
    <w:rsid w:val="008B182C"/>
    <w:rsid w:val="008B1978"/>
    <w:rsid w:val="008B5CE3"/>
    <w:rsid w:val="008B73CF"/>
    <w:rsid w:val="008C325B"/>
    <w:rsid w:val="008C3F10"/>
    <w:rsid w:val="008C4327"/>
    <w:rsid w:val="008C4872"/>
    <w:rsid w:val="008C4BB7"/>
    <w:rsid w:val="008C6AE8"/>
    <w:rsid w:val="008D053A"/>
    <w:rsid w:val="008D0F83"/>
    <w:rsid w:val="008D2098"/>
    <w:rsid w:val="008D2605"/>
    <w:rsid w:val="008E2063"/>
    <w:rsid w:val="008E2C4B"/>
    <w:rsid w:val="008E384E"/>
    <w:rsid w:val="008E4667"/>
    <w:rsid w:val="008E4C44"/>
    <w:rsid w:val="008E5941"/>
    <w:rsid w:val="008E6CA4"/>
    <w:rsid w:val="008E6CF2"/>
    <w:rsid w:val="008F11A2"/>
    <w:rsid w:val="008F44D6"/>
    <w:rsid w:val="00903297"/>
    <w:rsid w:val="00904362"/>
    <w:rsid w:val="0090528E"/>
    <w:rsid w:val="0091229E"/>
    <w:rsid w:val="00914BFE"/>
    <w:rsid w:val="00916D82"/>
    <w:rsid w:val="00922464"/>
    <w:rsid w:val="009232CB"/>
    <w:rsid w:val="00924D47"/>
    <w:rsid w:val="00925CCC"/>
    <w:rsid w:val="0092646A"/>
    <w:rsid w:val="00926ED1"/>
    <w:rsid w:val="00927D52"/>
    <w:rsid w:val="00933682"/>
    <w:rsid w:val="009353D7"/>
    <w:rsid w:val="00936C40"/>
    <w:rsid w:val="00937E07"/>
    <w:rsid w:val="009411B1"/>
    <w:rsid w:val="0094220D"/>
    <w:rsid w:val="00944533"/>
    <w:rsid w:val="009450D9"/>
    <w:rsid w:val="00950452"/>
    <w:rsid w:val="00951F59"/>
    <w:rsid w:val="00954C45"/>
    <w:rsid w:val="00955B44"/>
    <w:rsid w:val="00956729"/>
    <w:rsid w:val="009575C6"/>
    <w:rsid w:val="009604FD"/>
    <w:rsid w:val="00970928"/>
    <w:rsid w:val="009749DD"/>
    <w:rsid w:val="00977B6A"/>
    <w:rsid w:val="00977F97"/>
    <w:rsid w:val="00982918"/>
    <w:rsid w:val="00982D1A"/>
    <w:rsid w:val="009834F2"/>
    <w:rsid w:val="0098474D"/>
    <w:rsid w:val="009868BE"/>
    <w:rsid w:val="009870D6"/>
    <w:rsid w:val="00991B93"/>
    <w:rsid w:val="009A0B29"/>
    <w:rsid w:val="009A10AA"/>
    <w:rsid w:val="009A26A9"/>
    <w:rsid w:val="009A2B64"/>
    <w:rsid w:val="009A2D6E"/>
    <w:rsid w:val="009A2FDD"/>
    <w:rsid w:val="009B205B"/>
    <w:rsid w:val="009B27A1"/>
    <w:rsid w:val="009B2E7F"/>
    <w:rsid w:val="009B552E"/>
    <w:rsid w:val="009B55A3"/>
    <w:rsid w:val="009B58DA"/>
    <w:rsid w:val="009B5A28"/>
    <w:rsid w:val="009B5DE9"/>
    <w:rsid w:val="009B5EAE"/>
    <w:rsid w:val="009B6784"/>
    <w:rsid w:val="009B798C"/>
    <w:rsid w:val="009B7ED6"/>
    <w:rsid w:val="009C0947"/>
    <w:rsid w:val="009C0A8D"/>
    <w:rsid w:val="009C1FC9"/>
    <w:rsid w:val="009C40F3"/>
    <w:rsid w:val="009C786D"/>
    <w:rsid w:val="009C7F11"/>
    <w:rsid w:val="009D21EC"/>
    <w:rsid w:val="009D3EFA"/>
    <w:rsid w:val="009E5AA4"/>
    <w:rsid w:val="009F0905"/>
    <w:rsid w:val="009F21E9"/>
    <w:rsid w:val="009F2A37"/>
    <w:rsid w:val="009F3159"/>
    <w:rsid w:val="009F3B2F"/>
    <w:rsid w:val="009F6361"/>
    <w:rsid w:val="009F7480"/>
    <w:rsid w:val="00A01CCE"/>
    <w:rsid w:val="00A03650"/>
    <w:rsid w:val="00A05B51"/>
    <w:rsid w:val="00A05D10"/>
    <w:rsid w:val="00A06035"/>
    <w:rsid w:val="00A065E7"/>
    <w:rsid w:val="00A17E30"/>
    <w:rsid w:val="00A201F1"/>
    <w:rsid w:val="00A2100D"/>
    <w:rsid w:val="00A24429"/>
    <w:rsid w:val="00A245B4"/>
    <w:rsid w:val="00A24E0B"/>
    <w:rsid w:val="00A27772"/>
    <w:rsid w:val="00A306D3"/>
    <w:rsid w:val="00A37B57"/>
    <w:rsid w:val="00A42765"/>
    <w:rsid w:val="00A43443"/>
    <w:rsid w:val="00A43D7C"/>
    <w:rsid w:val="00A44769"/>
    <w:rsid w:val="00A45236"/>
    <w:rsid w:val="00A46DD7"/>
    <w:rsid w:val="00A47697"/>
    <w:rsid w:val="00A47F5F"/>
    <w:rsid w:val="00A52D12"/>
    <w:rsid w:val="00A52F28"/>
    <w:rsid w:val="00A54745"/>
    <w:rsid w:val="00A570C0"/>
    <w:rsid w:val="00A574C1"/>
    <w:rsid w:val="00A57808"/>
    <w:rsid w:val="00A62D69"/>
    <w:rsid w:val="00A63EA9"/>
    <w:rsid w:val="00A7253C"/>
    <w:rsid w:val="00A73C5A"/>
    <w:rsid w:val="00A7459D"/>
    <w:rsid w:val="00A74B22"/>
    <w:rsid w:val="00A74E5C"/>
    <w:rsid w:val="00A76FBD"/>
    <w:rsid w:val="00A837C5"/>
    <w:rsid w:val="00A876B9"/>
    <w:rsid w:val="00A902BA"/>
    <w:rsid w:val="00A9037A"/>
    <w:rsid w:val="00A91343"/>
    <w:rsid w:val="00A93759"/>
    <w:rsid w:val="00A941F6"/>
    <w:rsid w:val="00A9579B"/>
    <w:rsid w:val="00A96867"/>
    <w:rsid w:val="00A9692E"/>
    <w:rsid w:val="00AA5768"/>
    <w:rsid w:val="00AB3B66"/>
    <w:rsid w:val="00AB587C"/>
    <w:rsid w:val="00AB5A0C"/>
    <w:rsid w:val="00AC0D8D"/>
    <w:rsid w:val="00AC14CC"/>
    <w:rsid w:val="00AC482E"/>
    <w:rsid w:val="00AC50B7"/>
    <w:rsid w:val="00AD0542"/>
    <w:rsid w:val="00AD0A19"/>
    <w:rsid w:val="00AD2474"/>
    <w:rsid w:val="00AD26BD"/>
    <w:rsid w:val="00AE017E"/>
    <w:rsid w:val="00AE0F3C"/>
    <w:rsid w:val="00AE11B9"/>
    <w:rsid w:val="00AE160B"/>
    <w:rsid w:val="00AE283A"/>
    <w:rsid w:val="00AE554D"/>
    <w:rsid w:val="00AE6EE5"/>
    <w:rsid w:val="00AF05F1"/>
    <w:rsid w:val="00AF2EAA"/>
    <w:rsid w:val="00AF37BE"/>
    <w:rsid w:val="00AF674A"/>
    <w:rsid w:val="00AF6E38"/>
    <w:rsid w:val="00AF700B"/>
    <w:rsid w:val="00B00BC4"/>
    <w:rsid w:val="00B034B3"/>
    <w:rsid w:val="00B05079"/>
    <w:rsid w:val="00B0693C"/>
    <w:rsid w:val="00B073E0"/>
    <w:rsid w:val="00B12160"/>
    <w:rsid w:val="00B22B67"/>
    <w:rsid w:val="00B25051"/>
    <w:rsid w:val="00B2652A"/>
    <w:rsid w:val="00B31A99"/>
    <w:rsid w:val="00B32751"/>
    <w:rsid w:val="00B33C4E"/>
    <w:rsid w:val="00B3433D"/>
    <w:rsid w:val="00B3470D"/>
    <w:rsid w:val="00B462B9"/>
    <w:rsid w:val="00B5131F"/>
    <w:rsid w:val="00B546B4"/>
    <w:rsid w:val="00B61018"/>
    <w:rsid w:val="00B61DA7"/>
    <w:rsid w:val="00B62572"/>
    <w:rsid w:val="00B640E7"/>
    <w:rsid w:val="00B673F9"/>
    <w:rsid w:val="00B70532"/>
    <w:rsid w:val="00B70571"/>
    <w:rsid w:val="00B722FF"/>
    <w:rsid w:val="00B723B0"/>
    <w:rsid w:val="00B72800"/>
    <w:rsid w:val="00B72F7B"/>
    <w:rsid w:val="00B73FD8"/>
    <w:rsid w:val="00B75709"/>
    <w:rsid w:val="00B757B6"/>
    <w:rsid w:val="00B823B7"/>
    <w:rsid w:val="00B85822"/>
    <w:rsid w:val="00B873E5"/>
    <w:rsid w:val="00B93DB2"/>
    <w:rsid w:val="00B94B53"/>
    <w:rsid w:val="00B97E95"/>
    <w:rsid w:val="00BA0AE6"/>
    <w:rsid w:val="00BA0E1E"/>
    <w:rsid w:val="00BA33C0"/>
    <w:rsid w:val="00BA3D32"/>
    <w:rsid w:val="00BA7F02"/>
    <w:rsid w:val="00BB5D74"/>
    <w:rsid w:val="00BB6DCE"/>
    <w:rsid w:val="00BB6F2F"/>
    <w:rsid w:val="00BB7A2D"/>
    <w:rsid w:val="00BC0BCD"/>
    <w:rsid w:val="00BC554B"/>
    <w:rsid w:val="00BC5A49"/>
    <w:rsid w:val="00BD0B11"/>
    <w:rsid w:val="00BD1A7C"/>
    <w:rsid w:val="00BD33E1"/>
    <w:rsid w:val="00BD6E58"/>
    <w:rsid w:val="00BD763C"/>
    <w:rsid w:val="00BE3091"/>
    <w:rsid w:val="00BE3F4A"/>
    <w:rsid w:val="00BE56F1"/>
    <w:rsid w:val="00BE5F7B"/>
    <w:rsid w:val="00BF08F0"/>
    <w:rsid w:val="00BF148B"/>
    <w:rsid w:val="00BF2EC1"/>
    <w:rsid w:val="00BF30F5"/>
    <w:rsid w:val="00BF3228"/>
    <w:rsid w:val="00BF3EF3"/>
    <w:rsid w:val="00BF66ED"/>
    <w:rsid w:val="00BF6911"/>
    <w:rsid w:val="00BF7938"/>
    <w:rsid w:val="00C03DCA"/>
    <w:rsid w:val="00C052BE"/>
    <w:rsid w:val="00C05E86"/>
    <w:rsid w:val="00C069AC"/>
    <w:rsid w:val="00C104EF"/>
    <w:rsid w:val="00C128C0"/>
    <w:rsid w:val="00C13468"/>
    <w:rsid w:val="00C13EAA"/>
    <w:rsid w:val="00C15CFC"/>
    <w:rsid w:val="00C16363"/>
    <w:rsid w:val="00C1690E"/>
    <w:rsid w:val="00C20B80"/>
    <w:rsid w:val="00C22C79"/>
    <w:rsid w:val="00C237D6"/>
    <w:rsid w:val="00C255B1"/>
    <w:rsid w:val="00C30435"/>
    <w:rsid w:val="00C30479"/>
    <w:rsid w:val="00C32491"/>
    <w:rsid w:val="00C3658E"/>
    <w:rsid w:val="00C407AC"/>
    <w:rsid w:val="00C45B16"/>
    <w:rsid w:val="00C51871"/>
    <w:rsid w:val="00C56674"/>
    <w:rsid w:val="00C56B3F"/>
    <w:rsid w:val="00C60777"/>
    <w:rsid w:val="00C60A51"/>
    <w:rsid w:val="00C6519A"/>
    <w:rsid w:val="00C668C4"/>
    <w:rsid w:val="00C705DE"/>
    <w:rsid w:val="00C73064"/>
    <w:rsid w:val="00C732A7"/>
    <w:rsid w:val="00C733F5"/>
    <w:rsid w:val="00C734BB"/>
    <w:rsid w:val="00C76D56"/>
    <w:rsid w:val="00C77DFA"/>
    <w:rsid w:val="00C82B9B"/>
    <w:rsid w:val="00C84B4A"/>
    <w:rsid w:val="00C95EC4"/>
    <w:rsid w:val="00C961DE"/>
    <w:rsid w:val="00C9649B"/>
    <w:rsid w:val="00C9649F"/>
    <w:rsid w:val="00C97E00"/>
    <w:rsid w:val="00CA6854"/>
    <w:rsid w:val="00CB3EB8"/>
    <w:rsid w:val="00CB471F"/>
    <w:rsid w:val="00CB5CC6"/>
    <w:rsid w:val="00CC08AA"/>
    <w:rsid w:val="00CC389A"/>
    <w:rsid w:val="00CC3A61"/>
    <w:rsid w:val="00CD080A"/>
    <w:rsid w:val="00CD3B02"/>
    <w:rsid w:val="00CD4A22"/>
    <w:rsid w:val="00CD79B9"/>
    <w:rsid w:val="00CE0A7E"/>
    <w:rsid w:val="00CE312C"/>
    <w:rsid w:val="00CF0D50"/>
    <w:rsid w:val="00CF1298"/>
    <w:rsid w:val="00CF1EB5"/>
    <w:rsid w:val="00CF30BC"/>
    <w:rsid w:val="00CF4A07"/>
    <w:rsid w:val="00CF5F90"/>
    <w:rsid w:val="00CF7FCC"/>
    <w:rsid w:val="00D0292F"/>
    <w:rsid w:val="00D03923"/>
    <w:rsid w:val="00D0498A"/>
    <w:rsid w:val="00D06EBF"/>
    <w:rsid w:val="00D107B9"/>
    <w:rsid w:val="00D1253E"/>
    <w:rsid w:val="00D16468"/>
    <w:rsid w:val="00D20F27"/>
    <w:rsid w:val="00D249A2"/>
    <w:rsid w:val="00D2731B"/>
    <w:rsid w:val="00D3110B"/>
    <w:rsid w:val="00D33F45"/>
    <w:rsid w:val="00D35814"/>
    <w:rsid w:val="00D41539"/>
    <w:rsid w:val="00D42C3B"/>
    <w:rsid w:val="00D4469B"/>
    <w:rsid w:val="00D45831"/>
    <w:rsid w:val="00D46DC4"/>
    <w:rsid w:val="00D470AB"/>
    <w:rsid w:val="00D5077D"/>
    <w:rsid w:val="00D51C90"/>
    <w:rsid w:val="00D527F0"/>
    <w:rsid w:val="00D54664"/>
    <w:rsid w:val="00D5634C"/>
    <w:rsid w:val="00D56A6B"/>
    <w:rsid w:val="00D5738D"/>
    <w:rsid w:val="00D576FF"/>
    <w:rsid w:val="00D61362"/>
    <w:rsid w:val="00D63941"/>
    <w:rsid w:val="00D64DE0"/>
    <w:rsid w:val="00D65AF9"/>
    <w:rsid w:val="00D65D79"/>
    <w:rsid w:val="00D67542"/>
    <w:rsid w:val="00D7261F"/>
    <w:rsid w:val="00D76216"/>
    <w:rsid w:val="00D7701B"/>
    <w:rsid w:val="00D77D36"/>
    <w:rsid w:val="00D806CE"/>
    <w:rsid w:val="00D80FBC"/>
    <w:rsid w:val="00D92BFC"/>
    <w:rsid w:val="00D9349F"/>
    <w:rsid w:val="00D958D9"/>
    <w:rsid w:val="00DA044B"/>
    <w:rsid w:val="00DA2450"/>
    <w:rsid w:val="00DA2A38"/>
    <w:rsid w:val="00DA2AC6"/>
    <w:rsid w:val="00DA6276"/>
    <w:rsid w:val="00DA6F96"/>
    <w:rsid w:val="00DB2E3B"/>
    <w:rsid w:val="00DB39FE"/>
    <w:rsid w:val="00DC22DE"/>
    <w:rsid w:val="00DC2477"/>
    <w:rsid w:val="00DC42C3"/>
    <w:rsid w:val="00DC4B86"/>
    <w:rsid w:val="00DC5351"/>
    <w:rsid w:val="00DD21AB"/>
    <w:rsid w:val="00DD5C51"/>
    <w:rsid w:val="00DE1F19"/>
    <w:rsid w:val="00DE2897"/>
    <w:rsid w:val="00DE39D3"/>
    <w:rsid w:val="00DE561B"/>
    <w:rsid w:val="00DE5814"/>
    <w:rsid w:val="00DF0482"/>
    <w:rsid w:val="00DF6568"/>
    <w:rsid w:val="00E006D4"/>
    <w:rsid w:val="00E010CF"/>
    <w:rsid w:val="00E02687"/>
    <w:rsid w:val="00E0363E"/>
    <w:rsid w:val="00E037D7"/>
    <w:rsid w:val="00E0397F"/>
    <w:rsid w:val="00E03B1B"/>
    <w:rsid w:val="00E05418"/>
    <w:rsid w:val="00E05DE2"/>
    <w:rsid w:val="00E11641"/>
    <w:rsid w:val="00E1361E"/>
    <w:rsid w:val="00E14882"/>
    <w:rsid w:val="00E14C43"/>
    <w:rsid w:val="00E14F7A"/>
    <w:rsid w:val="00E16A5C"/>
    <w:rsid w:val="00E173DA"/>
    <w:rsid w:val="00E20768"/>
    <w:rsid w:val="00E223B2"/>
    <w:rsid w:val="00E2259D"/>
    <w:rsid w:val="00E25D84"/>
    <w:rsid w:val="00E26157"/>
    <w:rsid w:val="00E3110E"/>
    <w:rsid w:val="00E31E41"/>
    <w:rsid w:val="00E35960"/>
    <w:rsid w:val="00E359C8"/>
    <w:rsid w:val="00E367B3"/>
    <w:rsid w:val="00E40021"/>
    <w:rsid w:val="00E408C8"/>
    <w:rsid w:val="00E54912"/>
    <w:rsid w:val="00E54DDB"/>
    <w:rsid w:val="00E55592"/>
    <w:rsid w:val="00E55AAF"/>
    <w:rsid w:val="00E567AC"/>
    <w:rsid w:val="00E573C7"/>
    <w:rsid w:val="00E60720"/>
    <w:rsid w:val="00E60C4E"/>
    <w:rsid w:val="00E61DF3"/>
    <w:rsid w:val="00E62722"/>
    <w:rsid w:val="00E656B0"/>
    <w:rsid w:val="00E66F75"/>
    <w:rsid w:val="00E714EB"/>
    <w:rsid w:val="00E741F2"/>
    <w:rsid w:val="00E74771"/>
    <w:rsid w:val="00E856F8"/>
    <w:rsid w:val="00E93DA6"/>
    <w:rsid w:val="00E95FF6"/>
    <w:rsid w:val="00EA3C2E"/>
    <w:rsid w:val="00EA4BA6"/>
    <w:rsid w:val="00EB09AC"/>
    <w:rsid w:val="00EB4795"/>
    <w:rsid w:val="00EC2A4D"/>
    <w:rsid w:val="00EC3F2A"/>
    <w:rsid w:val="00EC45F8"/>
    <w:rsid w:val="00EC62F4"/>
    <w:rsid w:val="00EC7E71"/>
    <w:rsid w:val="00ED051C"/>
    <w:rsid w:val="00ED0840"/>
    <w:rsid w:val="00ED098E"/>
    <w:rsid w:val="00ED13DD"/>
    <w:rsid w:val="00ED2D7F"/>
    <w:rsid w:val="00ED3839"/>
    <w:rsid w:val="00ED49B6"/>
    <w:rsid w:val="00ED6F61"/>
    <w:rsid w:val="00ED7881"/>
    <w:rsid w:val="00ED7B8A"/>
    <w:rsid w:val="00EE0055"/>
    <w:rsid w:val="00EE1170"/>
    <w:rsid w:val="00EE3EFF"/>
    <w:rsid w:val="00EE722C"/>
    <w:rsid w:val="00EF08A5"/>
    <w:rsid w:val="00EF16B3"/>
    <w:rsid w:val="00EF1BC9"/>
    <w:rsid w:val="00EF3A12"/>
    <w:rsid w:val="00EF5E4C"/>
    <w:rsid w:val="00EF63F4"/>
    <w:rsid w:val="00EF7E2B"/>
    <w:rsid w:val="00F03187"/>
    <w:rsid w:val="00F053A6"/>
    <w:rsid w:val="00F10ED7"/>
    <w:rsid w:val="00F11F97"/>
    <w:rsid w:val="00F13566"/>
    <w:rsid w:val="00F16BAC"/>
    <w:rsid w:val="00F17D47"/>
    <w:rsid w:val="00F22CF2"/>
    <w:rsid w:val="00F26930"/>
    <w:rsid w:val="00F27A87"/>
    <w:rsid w:val="00F27BA1"/>
    <w:rsid w:val="00F352DF"/>
    <w:rsid w:val="00F35E5C"/>
    <w:rsid w:val="00F410A5"/>
    <w:rsid w:val="00F420AE"/>
    <w:rsid w:val="00F45346"/>
    <w:rsid w:val="00F45872"/>
    <w:rsid w:val="00F45D51"/>
    <w:rsid w:val="00F47EF9"/>
    <w:rsid w:val="00F50064"/>
    <w:rsid w:val="00F517B0"/>
    <w:rsid w:val="00F51C34"/>
    <w:rsid w:val="00F52105"/>
    <w:rsid w:val="00F52FC9"/>
    <w:rsid w:val="00F53F43"/>
    <w:rsid w:val="00F543BB"/>
    <w:rsid w:val="00F54487"/>
    <w:rsid w:val="00F55451"/>
    <w:rsid w:val="00F557D2"/>
    <w:rsid w:val="00F5703F"/>
    <w:rsid w:val="00F603CF"/>
    <w:rsid w:val="00F63588"/>
    <w:rsid w:val="00F65B4C"/>
    <w:rsid w:val="00F7376B"/>
    <w:rsid w:val="00F752F0"/>
    <w:rsid w:val="00F77A22"/>
    <w:rsid w:val="00F819C1"/>
    <w:rsid w:val="00F81EB4"/>
    <w:rsid w:val="00F857DE"/>
    <w:rsid w:val="00F90566"/>
    <w:rsid w:val="00F93A97"/>
    <w:rsid w:val="00F95FB4"/>
    <w:rsid w:val="00FA0374"/>
    <w:rsid w:val="00FA5489"/>
    <w:rsid w:val="00FB19D4"/>
    <w:rsid w:val="00FB32D4"/>
    <w:rsid w:val="00FB4A77"/>
    <w:rsid w:val="00FB4F3E"/>
    <w:rsid w:val="00FB6A23"/>
    <w:rsid w:val="00FB7C08"/>
    <w:rsid w:val="00FC1EF2"/>
    <w:rsid w:val="00FC37BB"/>
    <w:rsid w:val="00FC3DEB"/>
    <w:rsid w:val="00FC5C94"/>
    <w:rsid w:val="00FC6D14"/>
    <w:rsid w:val="00FD36A2"/>
    <w:rsid w:val="00FE16D5"/>
    <w:rsid w:val="00FE1878"/>
    <w:rsid w:val="00FE4ACD"/>
    <w:rsid w:val="00FF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9DED15"/>
  <w15:docId w15:val="{147110A4-E43E-475E-A362-1AF6186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8AA"/>
    <w:rPr>
      <w:rFonts w:ascii="Calibri" w:eastAsia="SimSun" w:hAnsi="Calibri" w:cs="Calibri"/>
      <w:kern w:val="1"/>
      <w:sz w:val="22"/>
      <w:szCs w:val="22"/>
      <w:lang w:val="en-US" w:eastAsia="ar-SA"/>
    </w:rPr>
  </w:style>
  <w:style w:type="paragraph" w:styleId="Heading1">
    <w:name w:val="heading 1"/>
    <w:basedOn w:val="Normal"/>
    <w:next w:val="BodyText"/>
    <w:qFormat/>
    <w:rsid w:val="00CC08AA"/>
    <w:pPr>
      <w:keepNext/>
      <w:keepLines/>
      <w:spacing w:before="240"/>
      <w:outlineLvl w:val="0"/>
    </w:pPr>
    <w:rPr>
      <w:rFonts w:ascii="Calibri Light" w:hAnsi="Calibri Light" w:cs="font237"/>
      <w:color w:val="2E74B5"/>
      <w:sz w:val="32"/>
      <w:szCs w:val="32"/>
    </w:rPr>
  </w:style>
  <w:style w:type="paragraph" w:styleId="Heading2">
    <w:name w:val="heading 2"/>
    <w:basedOn w:val="Normal"/>
    <w:next w:val="Normal"/>
    <w:link w:val="Heading2Char"/>
    <w:uiPriority w:val="9"/>
    <w:semiHidden/>
    <w:unhideWhenUsed/>
    <w:qFormat/>
    <w:rsid w:val="00444F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qFormat/>
    <w:rsid w:val="00CC08AA"/>
    <w:pPr>
      <w:keepNext/>
      <w:keepLines/>
      <w:numPr>
        <w:ilvl w:val="2"/>
        <w:numId w:val="1"/>
      </w:numPr>
      <w:spacing w:before="40"/>
      <w:outlineLvl w:val="2"/>
    </w:pPr>
    <w:rPr>
      <w:rFonts w:ascii="Calibri Light" w:hAnsi="Calibri Light" w:cs="font237"/>
      <w:color w:val="1F4D78"/>
      <w:sz w:val="24"/>
      <w:szCs w:val="24"/>
    </w:rPr>
  </w:style>
  <w:style w:type="paragraph" w:styleId="Heading4">
    <w:name w:val="heading 4"/>
    <w:basedOn w:val="Normal"/>
    <w:next w:val="BodyText"/>
    <w:qFormat/>
    <w:rsid w:val="00CC08AA"/>
    <w:pPr>
      <w:keepNext/>
      <w:keepLines/>
      <w:numPr>
        <w:ilvl w:val="3"/>
        <w:numId w:val="1"/>
      </w:numPr>
      <w:spacing w:before="40"/>
      <w:outlineLvl w:val="3"/>
    </w:pPr>
    <w:rPr>
      <w:rFonts w:ascii="Calibri Light" w:hAnsi="Calibri Light" w:cs="font237"/>
      <w:i/>
      <w:iCs/>
      <w:color w:val="2E74B5"/>
    </w:rPr>
  </w:style>
  <w:style w:type="paragraph" w:styleId="Heading5">
    <w:name w:val="heading 5"/>
    <w:basedOn w:val="Normal"/>
    <w:next w:val="BodyText"/>
    <w:qFormat/>
    <w:rsid w:val="00CC08AA"/>
    <w:pPr>
      <w:keepNext/>
      <w:keepLines/>
      <w:numPr>
        <w:ilvl w:val="4"/>
        <w:numId w:val="1"/>
      </w:numPr>
      <w:spacing w:before="40"/>
      <w:outlineLvl w:val="4"/>
    </w:pPr>
    <w:rPr>
      <w:rFonts w:ascii="Calibri Light" w:hAnsi="Calibri Light" w:cs="font237"/>
      <w:color w:val="2E74B5"/>
    </w:rPr>
  </w:style>
  <w:style w:type="paragraph" w:styleId="Heading6">
    <w:name w:val="heading 6"/>
    <w:basedOn w:val="Normal"/>
    <w:next w:val="BodyText"/>
    <w:qFormat/>
    <w:rsid w:val="00CC08AA"/>
    <w:pPr>
      <w:keepNext/>
      <w:keepLines/>
      <w:numPr>
        <w:ilvl w:val="5"/>
        <w:numId w:val="1"/>
      </w:numPr>
      <w:spacing w:before="40"/>
      <w:outlineLvl w:val="5"/>
    </w:pPr>
    <w:rPr>
      <w:rFonts w:ascii="Calibri Light" w:hAnsi="Calibri Light" w:cs="font237"/>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ebasemetropolisblue">
    <w:name w:val="dxebase_metropolisblue"/>
    <w:basedOn w:val="DefaultParagraphFont"/>
    <w:rsid w:val="00CC08AA"/>
  </w:style>
  <w:style w:type="character" w:customStyle="1" w:styleId="Heading1Char">
    <w:name w:val="Heading 1 Char"/>
    <w:rsid w:val="00CC08AA"/>
    <w:rPr>
      <w:rFonts w:ascii="Calibri Light" w:hAnsi="Calibri Light" w:cs="font237"/>
      <w:color w:val="2E74B5"/>
      <w:sz w:val="32"/>
      <w:szCs w:val="32"/>
    </w:rPr>
  </w:style>
  <w:style w:type="character" w:customStyle="1" w:styleId="FootnoteTextChar">
    <w:name w:val="Footnote Text Char"/>
    <w:uiPriority w:val="99"/>
    <w:rsid w:val="00CC08AA"/>
    <w:rPr>
      <w:rFonts w:ascii="Calibri" w:eastAsia="Times New Roman" w:hAnsi="Calibri" w:cs="Times New Roman"/>
      <w:sz w:val="20"/>
      <w:szCs w:val="20"/>
      <w:lang w:val="tr-TR"/>
    </w:rPr>
  </w:style>
  <w:style w:type="character" w:customStyle="1" w:styleId="Heading3Char">
    <w:name w:val="Heading 3 Char"/>
    <w:rsid w:val="00CC08AA"/>
    <w:rPr>
      <w:rFonts w:ascii="Calibri Light" w:hAnsi="Calibri Light" w:cs="font237"/>
      <w:color w:val="1F4D78"/>
      <w:sz w:val="24"/>
      <w:szCs w:val="24"/>
    </w:rPr>
  </w:style>
  <w:style w:type="character" w:customStyle="1" w:styleId="Heading4Char">
    <w:name w:val="Heading 4 Char"/>
    <w:rsid w:val="00CC08AA"/>
    <w:rPr>
      <w:rFonts w:ascii="Calibri Light" w:hAnsi="Calibri Light" w:cs="font237"/>
      <w:i/>
      <w:iCs/>
      <w:color w:val="2E74B5"/>
    </w:rPr>
  </w:style>
  <w:style w:type="character" w:customStyle="1" w:styleId="Heading5Char">
    <w:name w:val="Heading 5 Char"/>
    <w:rsid w:val="00CC08AA"/>
    <w:rPr>
      <w:rFonts w:ascii="Calibri Light" w:hAnsi="Calibri Light" w:cs="font237"/>
      <w:color w:val="2E74B5"/>
    </w:rPr>
  </w:style>
  <w:style w:type="character" w:customStyle="1" w:styleId="Heading6Char">
    <w:name w:val="Heading 6 Char"/>
    <w:rsid w:val="00CC08AA"/>
    <w:rPr>
      <w:rFonts w:ascii="Calibri Light" w:hAnsi="Calibri Light" w:cs="font237"/>
      <w:color w:val="1F4D78"/>
    </w:rPr>
  </w:style>
  <w:style w:type="character" w:customStyle="1" w:styleId="FootnoteReference1">
    <w:name w:val="Footnote Reference1"/>
    <w:rsid w:val="00CC08AA"/>
    <w:rPr>
      <w:vertAlign w:val="superscript"/>
    </w:rPr>
  </w:style>
  <w:style w:type="character" w:styleId="Hyperlink">
    <w:name w:val="Hyperlink"/>
    <w:rsid w:val="00CC08AA"/>
    <w:rPr>
      <w:color w:val="0563C1"/>
      <w:u w:val="single"/>
    </w:rPr>
  </w:style>
  <w:style w:type="character" w:customStyle="1" w:styleId="HeaderChar">
    <w:name w:val="Header Char"/>
    <w:basedOn w:val="DefaultParagraphFont"/>
    <w:rsid w:val="00CC08AA"/>
  </w:style>
  <w:style w:type="character" w:customStyle="1" w:styleId="FooterChar">
    <w:name w:val="Footer Char"/>
    <w:basedOn w:val="DefaultParagraphFont"/>
    <w:uiPriority w:val="99"/>
    <w:rsid w:val="00CC08AA"/>
  </w:style>
  <w:style w:type="character" w:customStyle="1" w:styleId="WW-Absatz-Standardschriftart11">
    <w:name w:val="WW-Absatz-Standardschriftart11"/>
    <w:rsid w:val="00CC08AA"/>
  </w:style>
  <w:style w:type="character" w:customStyle="1" w:styleId="BalloonTextChar">
    <w:name w:val="Balloon Text Char"/>
    <w:rsid w:val="00CC08AA"/>
    <w:rPr>
      <w:rFonts w:ascii="Segoe UI" w:hAnsi="Segoe UI" w:cs="Segoe UI"/>
      <w:sz w:val="18"/>
      <w:szCs w:val="18"/>
    </w:rPr>
  </w:style>
  <w:style w:type="character" w:styleId="FollowedHyperlink">
    <w:name w:val="FollowedHyperlink"/>
    <w:rsid w:val="00CC08AA"/>
    <w:rPr>
      <w:color w:val="954F72"/>
      <w:u w:val="single"/>
    </w:rPr>
  </w:style>
  <w:style w:type="character" w:customStyle="1" w:styleId="FootnoteCharacters">
    <w:name w:val="Footnote Characters"/>
    <w:rsid w:val="00CC08AA"/>
  </w:style>
  <w:style w:type="character" w:styleId="FootnoteReference">
    <w:name w:val="footnote reference"/>
    <w:uiPriority w:val="99"/>
    <w:rsid w:val="00CC08AA"/>
    <w:rPr>
      <w:vertAlign w:val="superscript"/>
    </w:rPr>
  </w:style>
  <w:style w:type="character" w:styleId="EndnoteReference">
    <w:name w:val="endnote reference"/>
    <w:rsid w:val="00CC08AA"/>
    <w:rPr>
      <w:vertAlign w:val="superscript"/>
    </w:rPr>
  </w:style>
  <w:style w:type="character" w:customStyle="1" w:styleId="EndnoteCharacters">
    <w:name w:val="Endnote Characters"/>
    <w:rsid w:val="00CC08AA"/>
  </w:style>
  <w:style w:type="paragraph" w:customStyle="1" w:styleId="Heading">
    <w:name w:val="Heading"/>
    <w:basedOn w:val="Normal"/>
    <w:next w:val="BodyText"/>
    <w:rsid w:val="00CC08AA"/>
    <w:pPr>
      <w:keepNext/>
      <w:spacing w:before="240" w:after="120"/>
    </w:pPr>
    <w:rPr>
      <w:rFonts w:ascii="Arial" w:eastAsia="Microsoft YaHei" w:hAnsi="Arial" w:cs="Mangal"/>
      <w:sz w:val="28"/>
      <w:szCs w:val="28"/>
    </w:rPr>
  </w:style>
  <w:style w:type="paragraph" w:styleId="BodyText">
    <w:name w:val="Body Text"/>
    <w:basedOn w:val="Normal"/>
    <w:rsid w:val="00CC08AA"/>
    <w:pPr>
      <w:spacing w:after="120"/>
    </w:pPr>
  </w:style>
  <w:style w:type="paragraph" w:styleId="List">
    <w:name w:val="List"/>
    <w:basedOn w:val="BodyText"/>
    <w:rsid w:val="00CC08AA"/>
    <w:rPr>
      <w:rFonts w:cs="Mangal"/>
    </w:rPr>
  </w:style>
  <w:style w:type="paragraph" w:styleId="Caption">
    <w:name w:val="caption"/>
    <w:basedOn w:val="Normal"/>
    <w:qFormat/>
    <w:rsid w:val="00CC08AA"/>
    <w:pPr>
      <w:suppressLineNumbers/>
      <w:spacing w:before="120" w:after="120"/>
    </w:pPr>
    <w:rPr>
      <w:rFonts w:cs="Mangal"/>
      <w:i/>
      <w:iCs/>
      <w:sz w:val="24"/>
      <w:szCs w:val="24"/>
    </w:rPr>
  </w:style>
  <w:style w:type="paragraph" w:customStyle="1" w:styleId="Index">
    <w:name w:val="Index"/>
    <w:basedOn w:val="Normal"/>
    <w:rsid w:val="00CC08AA"/>
    <w:pPr>
      <w:suppressLineNumbers/>
    </w:pPr>
    <w:rPr>
      <w:rFonts w:cs="Mangal"/>
    </w:rPr>
  </w:style>
  <w:style w:type="paragraph" w:customStyle="1" w:styleId="Normal1">
    <w:name w:val="Normal1"/>
    <w:rsid w:val="00CC08AA"/>
    <w:pPr>
      <w:suppressAutoHyphens/>
      <w:spacing w:line="276" w:lineRule="auto"/>
    </w:pPr>
    <w:rPr>
      <w:rFonts w:ascii="Arial" w:eastAsia="Arial" w:hAnsi="Arial" w:cs="Arial"/>
      <w:color w:val="000000"/>
      <w:kern w:val="1"/>
      <w:sz w:val="22"/>
      <w:szCs w:val="22"/>
      <w:lang w:val="tr-TR" w:eastAsia="ar-SA"/>
    </w:rPr>
  </w:style>
  <w:style w:type="paragraph" w:customStyle="1" w:styleId="Normal2">
    <w:name w:val="Normal2"/>
    <w:rsid w:val="00CC08AA"/>
    <w:pPr>
      <w:suppressAutoHyphens/>
      <w:spacing w:line="276" w:lineRule="auto"/>
    </w:pPr>
    <w:rPr>
      <w:rFonts w:ascii="Arial" w:eastAsia="Arial" w:hAnsi="Arial" w:cs="Arial"/>
      <w:color w:val="000000"/>
      <w:kern w:val="1"/>
      <w:sz w:val="22"/>
      <w:szCs w:val="22"/>
      <w:lang w:val="tr-TR" w:eastAsia="ar-SA"/>
    </w:rPr>
  </w:style>
  <w:style w:type="paragraph" w:customStyle="1" w:styleId="FootnoteText1">
    <w:name w:val="Footnote Text1"/>
    <w:basedOn w:val="Normal"/>
    <w:rsid w:val="00CC08AA"/>
    <w:pPr>
      <w:spacing w:after="200" w:line="276" w:lineRule="auto"/>
    </w:pPr>
    <w:rPr>
      <w:rFonts w:eastAsia="Times New Roman" w:cs="Times New Roman"/>
      <w:sz w:val="20"/>
      <w:szCs w:val="20"/>
      <w:lang w:val="tr-TR"/>
    </w:rPr>
  </w:style>
  <w:style w:type="paragraph" w:styleId="Header">
    <w:name w:val="header"/>
    <w:basedOn w:val="Normal"/>
    <w:rsid w:val="00CC08AA"/>
    <w:pPr>
      <w:suppressLineNumbers/>
      <w:tabs>
        <w:tab w:val="center" w:pos="4680"/>
        <w:tab w:val="right" w:pos="9360"/>
      </w:tabs>
      <w:spacing w:line="100" w:lineRule="atLeast"/>
    </w:pPr>
  </w:style>
  <w:style w:type="paragraph" w:styleId="Footer">
    <w:name w:val="footer"/>
    <w:basedOn w:val="Normal"/>
    <w:uiPriority w:val="99"/>
    <w:rsid w:val="00CC08AA"/>
    <w:pPr>
      <w:suppressLineNumbers/>
      <w:tabs>
        <w:tab w:val="center" w:pos="4680"/>
        <w:tab w:val="right" w:pos="9360"/>
      </w:tabs>
      <w:spacing w:line="100" w:lineRule="atLeast"/>
    </w:pPr>
  </w:style>
  <w:style w:type="paragraph" w:styleId="BalloonText">
    <w:name w:val="Balloon Text"/>
    <w:basedOn w:val="Normal"/>
    <w:rsid w:val="00CC08AA"/>
    <w:pPr>
      <w:spacing w:line="100" w:lineRule="atLeast"/>
    </w:pPr>
    <w:rPr>
      <w:rFonts w:ascii="Segoe UI" w:hAnsi="Segoe UI" w:cs="Segoe UI"/>
      <w:sz w:val="18"/>
      <w:szCs w:val="18"/>
    </w:rPr>
  </w:style>
  <w:style w:type="paragraph" w:styleId="FootnoteText">
    <w:name w:val="footnote text"/>
    <w:basedOn w:val="Normal"/>
    <w:uiPriority w:val="99"/>
    <w:rsid w:val="00CC08AA"/>
    <w:pPr>
      <w:suppressLineNumbers/>
      <w:ind w:left="283" w:hanging="283"/>
    </w:pPr>
    <w:rPr>
      <w:sz w:val="20"/>
      <w:szCs w:val="20"/>
    </w:rPr>
  </w:style>
  <w:style w:type="character" w:styleId="IntenseReference">
    <w:name w:val="Intense Reference"/>
    <w:uiPriority w:val="32"/>
    <w:qFormat/>
    <w:rsid w:val="003C7B97"/>
    <w:rPr>
      <w:b/>
      <w:bCs/>
      <w:smallCaps/>
      <w:color w:val="5B9BD5"/>
      <w:spacing w:val="5"/>
    </w:rPr>
  </w:style>
  <w:style w:type="paragraph" w:styleId="ListParagraph">
    <w:name w:val="List Paragraph"/>
    <w:basedOn w:val="Normal"/>
    <w:uiPriority w:val="34"/>
    <w:qFormat/>
    <w:rsid w:val="00511EA4"/>
    <w:pPr>
      <w:ind w:left="720"/>
      <w:contextualSpacing/>
    </w:pPr>
    <w:rPr>
      <w:rFonts w:eastAsia="Calibri" w:cs="Times New Roman"/>
      <w:kern w:val="0"/>
      <w:lang w:eastAsia="en-US"/>
    </w:rPr>
  </w:style>
  <w:style w:type="character" w:styleId="CommentReference">
    <w:name w:val="annotation reference"/>
    <w:basedOn w:val="DefaultParagraphFont"/>
    <w:uiPriority w:val="99"/>
    <w:semiHidden/>
    <w:unhideWhenUsed/>
    <w:rsid w:val="00E60720"/>
    <w:rPr>
      <w:sz w:val="16"/>
      <w:szCs w:val="16"/>
    </w:rPr>
  </w:style>
  <w:style w:type="paragraph" w:styleId="CommentText">
    <w:name w:val="annotation text"/>
    <w:basedOn w:val="Normal"/>
    <w:link w:val="CommentTextChar"/>
    <w:uiPriority w:val="99"/>
    <w:semiHidden/>
    <w:unhideWhenUsed/>
    <w:rsid w:val="00E60720"/>
    <w:rPr>
      <w:sz w:val="20"/>
      <w:szCs w:val="20"/>
    </w:rPr>
  </w:style>
  <w:style w:type="character" w:customStyle="1" w:styleId="CommentTextChar">
    <w:name w:val="Comment Text Char"/>
    <w:basedOn w:val="DefaultParagraphFont"/>
    <w:link w:val="CommentText"/>
    <w:uiPriority w:val="99"/>
    <w:semiHidden/>
    <w:rsid w:val="00E60720"/>
    <w:rPr>
      <w:rFonts w:ascii="Calibri" w:eastAsia="SimSun" w:hAnsi="Calibri" w:cs="Calibri"/>
      <w:kern w:val="1"/>
      <w:lang w:val="en-US" w:eastAsia="ar-SA"/>
    </w:rPr>
  </w:style>
  <w:style w:type="paragraph" w:styleId="CommentSubject">
    <w:name w:val="annotation subject"/>
    <w:basedOn w:val="CommentText"/>
    <w:next w:val="CommentText"/>
    <w:link w:val="CommentSubjectChar"/>
    <w:uiPriority w:val="99"/>
    <w:semiHidden/>
    <w:unhideWhenUsed/>
    <w:rsid w:val="00E60720"/>
    <w:rPr>
      <w:b/>
      <w:bCs/>
    </w:rPr>
  </w:style>
  <w:style w:type="character" w:customStyle="1" w:styleId="CommentSubjectChar">
    <w:name w:val="Comment Subject Char"/>
    <w:basedOn w:val="CommentTextChar"/>
    <w:link w:val="CommentSubject"/>
    <w:uiPriority w:val="99"/>
    <w:semiHidden/>
    <w:rsid w:val="00E60720"/>
    <w:rPr>
      <w:rFonts w:ascii="Calibri" w:eastAsia="SimSun" w:hAnsi="Calibri" w:cs="Calibri"/>
      <w:b/>
      <w:bCs/>
      <w:kern w:val="1"/>
      <w:lang w:val="en-US" w:eastAsia="ar-SA"/>
    </w:rPr>
  </w:style>
  <w:style w:type="character" w:customStyle="1" w:styleId="Heading2Char">
    <w:name w:val="Heading 2 Char"/>
    <w:basedOn w:val="DefaultParagraphFont"/>
    <w:link w:val="Heading2"/>
    <w:uiPriority w:val="9"/>
    <w:semiHidden/>
    <w:rsid w:val="00444FE6"/>
    <w:rPr>
      <w:rFonts w:asciiTheme="majorHAnsi" w:eastAsiaTheme="majorEastAsia" w:hAnsiTheme="majorHAnsi" w:cstheme="majorBidi"/>
      <w:color w:val="365F91" w:themeColor="accent1" w:themeShade="BF"/>
      <w:kern w:val="1"/>
      <w:sz w:val="26"/>
      <w:szCs w:val="26"/>
      <w:lang w:val="en-US" w:eastAsia="ar-SA"/>
    </w:rPr>
  </w:style>
  <w:style w:type="character" w:customStyle="1" w:styleId="hlfld-title">
    <w:name w:val="hlfld-title"/>
    <w:basedOn w:val="DefaultParagraphFont"/>
    <w:rsid w:val="003D2E8F"/>
  </w:style>
  <w:style w:type="character" w:customStyle="1" w:styleId="volume">
    <w:name w:val="volume"/>
    <w:basedOn w:val="DefaultParagraphFont"/>
    <w:rsid w:val="003D2E8F"/>
  </w:style>
  <w:style w:type="character" w:styleId="Strong">
    <w:name w:val="Strong"/>
    <w:basedOn w:val="DefaultParagraphFont"/>
    <w:uiPriority w:val="22"/>
    <w:qFormat/>
    <w:rsid w:val="00ED0840"/>
    <w:rPr>
      <w:b/>
      <w:bCs/>
    </w:rPr>
  </w:style>
  <w:style w:type="paragraph" w:customStyle="1" w:styleId="Default">
    <w:name w:val="Default"/>
    <w:rsid w:val="000A0C1C"/>
    <w:pPr>
      <w:autoSpaceDE w:val="0"/>
      <w:autoSpaceDN w:val="0"/>
      <w:adjustRightInd w:val="0"/>
    </w:pPr>
    <w:rPr>
      <w:color w:val="000000"/>
      <w:sz w:val="24"/>
      <w:szCs w:val="24"/>
      <w:lang w:val="en-US"/>
    </w:rPr>
  </w:style>
  <w:style w:type="paragraph" w:styleId="EndnoteText">
    <w:name w:val="endnote text"/>
    <w:basedOn w:val="Normal"/>
    <w:link w:val="EndnoteTextChar"/>
    <w:uiPriority w:val="99"/>
    <w:semiHidden/>
    <w:unhideWhenUsed/>
    <w:rsid w:val="00514438"/>
    <w:rPr>
      <w:sz w:val="20"/>
      <w:szCs w:val="20"/>
    </w:rPr>
  </w:style>
  <w:style w:type="character" w:customStyle="1" w:styleId="EndnoteTextChar">
    <w:name w:val="Endnote Text Char"/>
    <w:basedOn w:val="DefaultParagraphFont"/>
    <w:link w:val="EndnoteText"/>
    <w:uiPriority w:val="99"/>
    <w:semiHidden/>
    <w:rsid w:val="00514438"/>
    <w:rPr>
      <w:rFonts w:ascii="Calibri" w:eastAsia="SimSun" w:hAnsi="Calibri" w:cs="Calibri"/>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09115">
      <w:bodyDiv w:val="1"/>
      <w:marLeft w:val="0"/>
      <w:marRight w:val="0"/>
      <w:marTop w:val="0"/>
      <w:marBottom w:val="0"/>
      <w:divBdr>
        <w:top w:val="none" w:sz="0" w:space="0" w:color="auto"/>
        <w:left w:val="none" w:sz="0" w:space="0" w:color="auto"/>
        <w:bottom w:val="none" w:sz="0" w:space="0" w:color="auto"/>
        <w:right w:val="none" w:sz="0" w:space="0" w:color="auto"/>
      </w:divBdr>
    </w:div>
    <w:div w:id="246426548">
      <w:bodyDiv w:val="1"/>
      <w:marLeft w:val="0"/>
      <w:marRight w:val="0"/>
      <w:marTop w:val="0"/>
      <w:marBottom w:val="0"/>
      <w:divBdr>
        <w:top w:val="none" w:sz="0" w:space="0" w:color="auto"/>
        <w:left w:val="none" w:sz="0" w:space="0" w:color="auto"/>
        <w:bottom w:val="none" w:sz="0" w:space="0" w:color="auto"/>
        <w:right w:val="none" w:sz="0" w:space="0" w:color="auto"/>
      </w:divBdr>
    </w:div>
    <w:div w:id="300160146">
      <w:bodyDiv w:val="1"/>
      <w:marLeft w:val="0"/>
      <w:marRight w:val="0"/>
      <w:marTop w:val="0"/>
      <w:marBottom w:val="0"/>
      <w:divBdr>
        <w:top w:val="none" w:sz="0" w:space="0" w:color="auto"/>
        <w:left w:val="none" w:sz="0" w:space="0" w:color="auto"/>
        <w:bottom w:val="none" w:sz="0" w:space="0" w:color="auto"/>
        <w:right w:val="none" w:sz="0" w:space="0" w:color="auto"/>
      </w:divBdr>
    </w:div>
    <w:div w:id="393967990">
      <w:bodyDiv w:val="1"/>
      <w:marLeft w:val="0"/>
      <w:marRight w:val="0"/>
      <w:marTop w:val="0"/>
      <w:marBottom w:val="0"/>
      <w:divBdr>
        <w:top w:val="none" w:sz="0" w:space="0" w:color="auto"/>
        <w:left w:val="none" w:sz="0" w:space="0" w:color="auto"/>
        <w:bottom w:val="none" w:sz="0" w:space="0" w:color="auto"/>
        <w:right w:val="none" w:sz="0" w:space="0" w:color="auto"/>
      </w:divBdr>
    </w:div>
    <w:div w:id="437871031">
      <w:bodyDiv w:val="1"/>
      <w:marLeft w:val="0"/>
      <w:marRight w:val="0"/>
      <w:marTop w:val="0"/>
      <w:marBottom w:val="0"/>
      <w:divBdr>
        <w:top w:val="none" w:sz="0" w:space="0" w:color="auto"/>
        <w:left w:val="none" w:sz="0" w:space="0" w:color="auto"/>
        <w:bottom w:val="none" w:sz="0" w:space="0" w:color="auto"/>
        <w:right w:val="none" w:sz="0" w:space="0" w:color="auto"/>
      </w:divBdr>
    </w:div>
    <w:div w:id="549806001">
      <w:bodyDiv w:val="1"/>
      <w:marLeft w:val="0"/>
      <w:marRight w:val="0"/>
      <w:marTop w:val="0"/>
      <w:marBottom w:val="0"/>
      <w:divBdr>
        <w:top w:val="none" w:sz="0" w:space="0" w:color="auto"/>
        <w:left w:val="none" w:sz="0" w:space="0" w:color="auto"/>
        <w:bottom w:val="none" w:sz="0" w:space="0" w:color="auto"/>
        <w:right w:val="none" w:sz="0" w:space="0" w:color="auto"/>
      </w:divBdr>
      <w:divsChild>
        <w:div w:id="568462738">
          <w:marLeft w:val="0"/>
          <w:marRight w:val="0"/>
          <w:marTop w:val="0"/>
          <w:marBottom w:val="0"/>
          <w:divBdr>
            <w:top w:val="none" w:sz="0" w:space="0" w:color="auto"/>
            <w:left w:val="none" w:sz="0" w:space="0" w:color="auto"/>
            <w:bottom w:val="none" w:sz="0" w:space="0" w:color="auto"/>
            <w:right w:val="none" w:sz="0" w:space="0" w:color="auto"/>
          </w:divBdr>
        </w:div>
      </w:divsChild>
    </w:div>
    <w:div w:id="610012425">
      <w:bodyDiv w:val="1"/>
      <w:marLeft w:val="0"/>
      <w:marRight w:val="0"/>
      <w:marTop w:val="0"/>
      <w:marBottom w:val="0"/>
      <w:divBdr>
        <w:top w:val="none" w:sz="0" w:space="0" w:color="auto"/>
        <w:left w:val="none" w:sz="0" w:space="0" w:color="auto"/>
        <w:bottom w:val="none" w:sz="0" w:space="0" w:color="auto"/>
        <w:right w:val="none" w:sz="0" w:space="0" w:color="auto"/>
      </w:divBdr>
    </w:div>
    <w:div w:id="650596789">
      <w:bodyDiv w:val="1"/>
      <w:marLeft w:val="0"/>
      <w:marRight w:val="0"/>
      <w:marTop w:val="0"/>
      <w:marBottom w:val="0"/>
      <w:divBdr>
        <w:top w:val="none" w:sz="0" w:space="0" w:color="auto"/>
        <w:left w:val="none" w:sz="0" w:space="0" w:color="auto"/>
        <w:bottom w:val="none" w:sz="0" w:space="0" w:color="auto"/>
        <w:right w:val="none" w:sz="0" w:space="0" w:color="auto"/>
      </w:divBdr>
    </w:div>
    <w:div w:id="690111722">
      <w:bodyDiv w:val="1"/>
      <w:marLeft w:val="0"/>
      <w:marRight w:val="0"/>
      <w:marTop w:val="0"/>
      <w:marBottom w:val="0"/>
      <w:divBdr>
        <w:top w:val="none" w:sz="0" w:space="0" w:color="auto"/>
        <w:left w:val="none" w:sz="0" w:space="0" w:color="auto"/>
        <w:bottom w:val="none" w:sz="0" w:space="0" w:color="auto"/>
        <w:right w:val="none" w:sz="0" w:space="0" w:color="auto"/>
      </w:divBdr>
    </w:div>
    <w:div w:id="729887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207">
          <w:marLeft w:val="0"/>
          <w:marRight w:val="0"/>
          <w:marTop w:val="0"/>
          <w:marBottom w:val="0"/>
          <w:divBdr>
            <w:top w:val="none" w:sz="0" w:space="0" w:color="auto"/>
            <w:left w:val="none" w:sz="0" w:space="0" w:color="auto"/>
            <w:bottom w:val="none" w:sz="0" w:space="0" w:color="auto"/>
            <w:right w:val="none" w:sz="0" w:space="0" w:color="auto"/>
          </w:divBdr>
        </w:div>
        <w:div w:id="273362570">
          <w:marLeft w:val="0"/>
          <w:marRight w:val="0"/>
          <w:marTop w:val="0"/>
          <w:marBottom w:val="0"/>
          <w:divBdr>
            <w:top w:val="none" w:sz="0" w:space="0" w:color="auto"/>
            <w:left w:val="none" w:sz="0" w:space="0" w:color="auto"/>
            <w:bottom w:val="none" w:sz="0" w:space="0" w:color="auto"/>
            <w:right w:val="none" w:sz="0" w:space="0" w:color="auto"/>
          </w:divBdr>
        </w:div>
        <w:div w:id="732659341">
          <w:marLeft w:val="0"/>
          <w:marRight w:val="0"/>
          <w:marTop w:val="0"/>
          <w:marBottom w:val="0"/>
          <w:divBdr>
            <w:top w:val="none" w:sz="0" w:space="0" w:color="auto"/>
            <w:left w:val="none" w:sz="0" w:space="0" w:color="auto"/>
            <w:bottom w:val="none" w:sz="0" w:space="0" w:color="auto"/>
            <w:right w:val="none" w:sz="0" w:space="0" w:color="auto"/>
          </w:divBdr>
        </w:div>
      </w:divsChild>
    </w:div>
    <w:div w:id="824127699">
      <w:bodyDiv w:val="1"/>
      <w:marLeft w:val="0"/>
      <w:marRight w:val="0"/>
      <w:marTop w:val="0"/>
      <w:marBottom w:val="0"/>
      <w:divBdr>
        <w:top w:val="none" w:sz="0" w:space="0" w:color="auto"/>
        <w:left w:val="none" w:sz="0" w:space="0" w:color="auto"/>
        <w:bottom w:val="none" w:sz="0" w:space="0" w:color="auto"/>
        <w:right w:val="none" w:sz="0" w:space="0" w:color="auto"/>
      </w:divBdr>
      <w:divsChild>
        <w:div w:id="842401046">
          <w:marLeft w:val="0"/>
          <w:marRight w:val="0"/>
          <w:marTop w:val="0"/>
          <w:marBottom w:val="0"/>
          <w:divBdr>
            <w:top w:val="none" w:sz="0" w:space="0" w:color="auto"/>
            <w:left w:val="none" w:sz="0" w:space="0" w:color="auto"/>
            <w:bottom w:val="none" w:sz="0" w:space="0" w:color="auto"/>
            <w:right w:val="none" w:sz="0" w:space="0" w:color="auto"/>
          </w:divBdr>
        </w:div>
      </w:divsChild>
    </w:div>
    <w:div w:id="1017931259">
      <w:bodyDiv w:val="1"/>
      <w:marLeft w:val="0"/>
      <w:marRight w:val="0"/>
      <w:marTop w:val="0"/>
      <w:marBottom w:val="0"/>
      <w:divBdr>
        <w:top w:val="none" w:sz="0" w:space="0" w:color="auto"/>
        <w:left w:val="none" w:sz="0" w:space="0" w:color="auto"/>
        <w:bottom w:val="none" w:sz="0" w:space="0" w:color="auto"/>
        <w:right w:val="none" w:sz="0" w:space="0" w:color="auto"/>
      </w:divBdr>
    </w:div>
    <w:div w:id="1196500499">
      <w:bodyDiv w:val="1"/>
      <w:marLeft w:val="0"/>
      <w:marRight w:val="0"/>
      <w:marTop w:val="0"/>
      <w:marBottom w:val="0"/>
      <w:divBdr>
        <w:top w:val="none" w:sz="0" w:space="0" w:color="auto"/>
        <w:left w:val="none" w:sz="0" w:space="0" w:color="auto"/>
        <w:bottom w:val="none" w:sz="0" w:space="0" w:color="auto"/>
        <w:right w:val="none" w:sz="0" w:space="0" w:color="auto"/>
      </w:divBdr>
    </w:div>
    <w:div w:id="1298489928">
      <w:bodyDiv w:val="1"/>
      <w:marLeft w:val="0"/>
      <w:marRight w:val="0"/>
      <w:marTop w:val="0"/>
      <w:marBottom w:val="0"/>
      <w:divBdr>
        <w:top w:val="none" w:sz="0" w:space="0" w:color="auto"/>
        <w:left w:val="none" w:sz="0" w:space="0" w:color="auto"/>
        <w:bottom w:val="none" w:sz="0" w:space="0" w:color="auto"/>
        <w:right w:val="none" w:sz="0" w:space="0" w:color="auto"/>
      </w:divBdr>
    </w:div>
    <w:div w:id="1448812637">
      <w:bodyDiv w:val="1"/>
      <w:marLeft w:val="0"/>
      <w:marRight w:val="0"/>
      <w:marTop w:val="0"/>
      <w:marBottom w:val="0"/>
      <w:divBdr>
        <w:top w:val="none" w:sz="0" w:space="0" w:color="auto"/>
        <w:left w:val="none" w:sz="0" w:space="0" w:color="auto"/>
        <w:bottom w:val="none" w:sz="0" w:space="0" w:color="auto"/>
        <w:right w:val="none" w:sz="0" w:space="0" w:color="auto"/>
      </w:divBdr>
      <w:divsChild>
        <w:div w:id="1028679147">
          <w:marLeft w:val="0"/>
          <w:marRight w:val="0"/>
          <w:marTop w:val="0"/>
          <w:marBottom w:val="0"/>
          <w:divBdr>
            <w:top w:val="none" w:sz="0" w:space="0" w:color="auto"/>
            <w:left w:val="none" w:sz="0" w:space="0" w:color="auto"/>
            <w:bottom w:val="none" w:sz="0" w:space="0" w:color="auto"/>
            <w:right w:val="none" w:sz="0" w:space="0" w:color="auto"/>
          </w:divBdr>
        </w:div>
        <w:div w:id="92284593">
          <w:marLeft w:val="0"/>
          <w:marRight w:val="0"/>
          <w:marTop w:val="0"/>
          <w:marBottom w:val="0"/>
          <w:divBdr>
            <w:top w:val="none" w:sz="0" w:space="0" w:color="auto"/>
            <w:left w:val="none" w:sz="0" w:space="0" w:color="auto"/>
            <w:bottom w:val="none" w:sz="0" w:space="0" w:color="auto"/>
            <w:right w:val="none" w:sz="0" w:space="0" w:color="auto"/>
          </w:divBdr>
        </w:div>
        <w:div w:id="1924214673">
          <w:marLeft w:val="0"/>
          <w:marRight w:val="0"/>
          <w:marTop w:val="0"/>
          <w:marBottom w:val="0"/>
          <w:divBdr>
            <w:top w:val="none" w:sz="0" w:space="0" w:color="auto"/>
            <w:left w:val="none" w:sz="0" w:space="0" w:color="auto"/>
            <w:bottom w:val="none" w:sz="0" w:space="0" w:color="auto"/>
            <w:right w:val="none" w:sz="0" w:space="0" w:color="auto"/>
          </w:divBdr>
        </w:div>
        <w:div w:id="1922712286">
          <w:marLeft w:val="0"/>
          <w:marRight w:val="0"/>
          <w:marTop w:val="0"/>
          <w:marBottom w:val="0"/>
          <w:divBdr>
            <w:top w:val="none" w:sz="0" w:space="0" w:color="auto"/>
            <w:left w:val="none" w:sz="0" w:space="0" w:color="auto"/>
            <w:bottom w:val="none" w:sz="0" w:space="0" w:color="auto"/>
            <w:right w:val="none" w:sz="0" w:space="0" w:color="auto"/>
          </w:divBdr>
        </w:div>
      </w:divsChild>
    </w:div>
    <w:div w:id="1574587432">
      <w:bodyDiv w:val="1"/>
      <w:marLeft w:val="0"/>
      <w:marRight w:val="0"/>
      <w:marTop w:val="0"/>
      <w:marBottom w:val="0"/>
      <w:divBdr>
        <w:top w:val="none" w:sz="0" w:space="0" w:color="auto"/>
        <w:left w:val="none" w:sz="0" w:space="0" w:color="auto"/>
        <w:bottom w:val="none" w:sz="0" w:space="0" w:color="auto"/>
        <w:right w:val="none" w:sz="0" w:space="0" w:color="auto"/>
      </w:divBdr>
    </w:div>
    <w:div w:id="1578395496">
      <w:bodyDiv w:val="1"/>
      <w:marLeft w:val="0"/>
      <w:marRight w:val="0"/>
      <w:marTop w:val="0"/>
      <w:marBottom w:val="0"/>
      <w:divBdr>
        <w:top w:val="none" w:sz="0" w:space="0" w:color="auto"/>
        <w:left w:val="none" w:sz="0" w:space="0" w:color="auto"/>
        <w:bottom w:val="none" w:sz="0" w:space="0" w:color="auto"/>
        <w:right w:val="none" w:sz="0" w:space="0" w:color="auto"/>
      </w:divBdr>
      <w:divsChild>
        <w:div w:id="2127965166">
          <w:marLeft w:val="0"/>
          <w:marRight w:val="0"/>
          <w:marTop w:val="0"/>
          <w:marBottom w:val="0"/>
          <w:divBdr>
            <w:top w:val="none" w:sz="0" w:space="0" w:color="auto"/>
            <w:left w:val="none" w:sz="0" w:space="0" w:color="auto"/>
            <w:bottom w:val="none" w:sz="0" w:space="0" w:color="auto"/>
            <w:right w:val="none" w:sz="0" w:space="0" w:color="auto"/>
          </w:divBdr>
        </w:div>
      </w:divsChild>
    </w:div>
    <w:div w:id="1793085593">
      <w:bodyDiv w:val="1"/>
      <w:marLeft w:val="0"/>
      <w:marRight w:val="0"/>
      <w:marTop w:val="0"/>
      <w:marBottom w:val="0"/>
      <w:divBdr>
        <w:top w:val="none" w:sz="0" w:space="0" w:color="auto"/>
        <w:left w:val="none" w:sz="0" w:space="0" w:color="auto"/>
        <w:bottom w:val="none" w:sz="0" w:space="0" w:color="auto"/>
        <w:right w:val="none" w:sz="0" w:space="0" w:color="auto"/>
      </w:divBdr>
    </w:div>
    <w:div w:id="1807431655">
      <w:bodyDiv w:val="1"/>
      <w:marLeft w:val="0"/>
      <w:marRight w:val="0"/>
      <w:marTop w:val="0"/>
      <w:marBottom w:val="0"/>
      <w:divBdr>
        <w:top w:val="none" w:sz="0" w:space="0" w:color="auto"/>
        <w:left w:val="none" w:sz="0" w:space="0" w:color="auto"/>
        <w:bottom w:val="none" w:sz="0" w:space="0" w:color="auto"/>
        <w:right w:val="none" w:sz="0" w:space="0" w:color="auto"/>
      </w:divBdr>
      <w:divsChild>
        <w:div w:id="322122726">
          <w:marLeft w:val="0"/>
          <w:marRight w:val="0"/>
          <w:marTop w:val="0"/>
          <w:marBottom w:val="0"/>
          <w:divBdr>
            <w:top w:val="none" w:sz="0" w:space="0" w:color="auto"/>
            <w:left w:val="none" w:sz="0" w:space="0" w:color="auto"/>
            <w:bottom w:val="none" w:sz="0" w:space="0" w:color="auto"/>
            <w:right w:val="none" w:sz="0" w:space="0" w:color="auto"/>
          </w:divBdr>
        </w:div>
        <w:div w:id="408383699">
          <w:marLeft w:val="0"/>
          <w:marRight w:val="0"/>
          <w:marTop w:val="0"/>
          <w:marBottom w:val="0"/>
          <w:divBdr>
            <w:top w:val="none" w:sz="0" w:space="0" w:color="auto"/>
            <w:left w:val="none" w:sz="0" w:space="0" w:color="auto"/>
            <w:bottom w:val="none" w:sz="0" w:space="0" w:color="auto"/>
            <w:right w:val="none" w:sz="0" w:space="0" w:color="auto"/>
          </w:divBdr>
        </w:div>
      </w:divsChild>
    </w:div>
    <w:div w:id="1839881177">
      <w:bodyDiv w:val="1"/>
      <w:marLeft w:val="0"/>
      <w:marRight w:val="0"/>
      <w:marTop w:val="0"/>
      <w:marBottom w:val="0"/>
      <w:divBdr>
        <w:top w:val="none" w:sz="0" w:space="0" w:color="auto"/>
        <w:left w:val="none" w:sz="0" w:space="0" w:color="auto"/>
        <w:bottom w:val="none" w:sz="0" w:space="0" w:color="auto"/>
        <w:right w:val="none" w:sz="0" w:space="0" w:color="auto"/>
      </w:divBdr>
    </w:div>
    <w:div w:id="1863127306">
      <w:bodyDiv w:val="1"/>
      <w:marLeft w:val="0"/>
      <w:marRight w:val="0"/>
      <w:marTop w:val="0"/>
      <w:marBottom w:val="0"/>
      <w:divBdr>
        <w:top w:val="none" w:sz="0" w:space="0" w:color="auto"/>
        <w:left w:val="none" w:sz="0" w:space="0" w:color="auto"/>
        <w:bottom w:val="none" w:sz="0" w:space="0" w:color="auto"/>
        <w:right w:val="none" w:sz="0" w:space="0" w:color="auto"/>
      </w:divBdr>
    </w:div>
    <w:div w:id="20904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rgun.net/haber-detay/iste-65-hukumet-programinin-tam-metni-113426.html%20accessed%207/6/2016" TargetMode="External"/><Relationship Id="rId18" Type="http://schemas.openxmlformats.org/officeDocument/2006/relationships/hyperlink" Target="http://www.tcmb.gov.tr/yeni/evds/pgm/faiz/on.htm" TargetMode="External"/><Relationship Id="rId26" Type="http://schemas.openxmlformats.org/officeDocument/2006/relationships/hyperlink" Target="http://www.hurriyet.com.tr/ekonomi/19595856.asp" TargetMode="External"/><Relationship Id="rId39" Type="http://schemas.openxmlformats.org/officeDocument/2006/relationships/hyperlink" Target="https://www.mnb.hu/letoltes/minutes-201408-en-342027.pdf" TargetMode="External"/><Relationship Id="rId21" Type="http://schemas.openxmlformats.org/officeDocument/2006/relationships/hyperlink" Target="http://www.economist.com/news/finance-and-economics/21632651-hungarys-governmentgives-struggling-borrowers-break-forint-exchange" TargetMode="External"/><Relationship Id="rId34" Type="http://schemas.openxmlformats.org/officeDocument/2006/relationships/hyperlink" Target="http://index.hu/gazdasag/2013/11/20/matolcsy_siker_siker_siker/" TargetMode="External"/><Relationship Id="rId42" Type="http://schemas.openxmlformats.org/officeDocument/2006/relationships/hyperlink" Target="http://www.kormany.hu/en/the-prime-minister/the-prime-minister-s-speeches/prime-minister-viktor-orban-s-speech-at-the-25th-balvanyos-summer-free-university-and-student-camp" TargetMode="External"/><Relationship Id="rId47" Type="http://schemas.openxmlformats.org/officeDocument/2006/relationships/hyperlink" Target="http://www.nytimes.com/2013/03/05/business/global/hungarys-new-central-bank-chieftightens-grip.html?_r=0" TargetMode="External"/><Relationship Id="rId50" Type="http://schemas.openxmlformats.org/officeDocument/2006/relationships/hyperlink" Target="http://www.foxbusiness.com/news/2012/12/07/ecb-warns-hungary-again-over-central-bankindependenc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rgun.net/haber-detay/64-hukumet-programi-nda-10-maddede-ekonomi-programin-adi-yok-96423.html" TargetMode="External"/><Relationship Id="rId17" Type="http://schemas.openxmlformats.org/officeDocument/2006/relationships/hyperlink" Target="http://tcmb.gov.tr/yeni/eng/" TargetMode="External"/><Relationship Id="rId25" Type="http://schemas.openxmlformats.org/officeDocument/2006/relationships/hyperlink" Target="http://hungarianspectrum.org/2009/03/12/the-bokros-package-pro-and-con/" TargetMode="External"/><Relationship Id="rId33" Type="http://schemas.openxmlformats.org/officeDocument/2006/relationships/hyperlink" Target="http://english.mnb.hu/Monetaris_politika/decision-making/mnben_mttagok_kinevezese%20%20accessed%20on%2020/3/2015" TargetMode="External"/><Relationship Id="rId38" Type="http://schemas.openxmlformats.org/officeDocument/2006/relationships/hyperlink" Target="https://www.mnb.hu/letoltes/minutes-20120828-en.pdf" TargetMode="External"/><Relationship Id="rId46" Type="http://schemas.openxmlformats.org/officeDocument/2006/relationships/hyperlink" Target="https://www.tbmm.gov.tr/tutanak/tutanaklar.htm" TargetMode="External"/><Relationship Id="rId2" Type="http://schemas.openxmlformats.org/officeDocument/2006/relationships/numbering" Target="numbering.xml"/><Relationship Id="rId16" Type="http://schemas.openxmlformats.org/officeDocument/2006/relationships/hyperlink" Target="http://www.ft.com/intl/cms/s/0/f65d7754-8256-11e2-8404-00144feabdc0.html" TargetMode="External"/><Relationship Id="rId20" Type="http://schemas.openxmlformats.org/officeDocument/2006/relationships/hyperlink" Target="http://www.tcmb.gov.tr/wps/wcm/connect/TCMB+EN/TCMB+EN/Main+Page+Site+Area/CBRT+POLICY+RATES" TargetMode="External"/><Relationship Id="rId29" Type="http://schemas.openxmlformats.org/officeDocument/2006/relationships/hyperlink" Target="http://www.hurriyet.com.tr/ekonomi/19772728.asp" TargetMode="External"/><Relationship Id="rId41" Type="http://schemas.openxmlformats.org/officeDocument/2006/relationships/hyperlink" Target="https://www.mnb.hu/en/monetary-policy/the-monetary-council/members-of-the-monetary-council%20accessed%20on%2029/5/201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rgun.net/news/view/iktidar-blogunda-merkez-bankasi-catlagi-ne-oluyor/14753%20accessed%2010/3/2015" TargetMode="External"/><Relationship Id="rId24" Type="http://schemas.openxmlformats.org/officeDocument/2006/relationships/hyperlink" Target="http://www.hurriyet.com.tr/yazarlar/ugur-gurses/once-yasa-sonra-ozgecmis-degisti-40087951" TargetMode="External"/><Relationship Id="rId32" Type="http://schemas.openxmlformats.org/officeDocument/2006/relationships/hyperlink" Target="https://www.theguardian.com/business/2013/may/06/paul-krugman-battle-against-austerity" TargetMode="External"/><Relationship Id="rId37" Type="http://schemas.openxmlformats.org/officeDocument/2006/relationships/hyperlink" Target="https://www.mnb.hu/letoltes/eves-jelentes-2012-en-1.pdf" TargetMode="External"/><Relationship Id="rId40" Type="http://schemas.openxmlformats.org/officeDocument/2006/relationships/hyperlink" Target="http://mno.hu/belfold/orban-gazdasagi-kerdesekrol-egyeztetett-1226218" TargetMode="External"/><Relationship Id="rId45" Type="http://schemas.openxmlformats.org/officeDocument/2006/relationships/hyperlink" Target="https://www.dunya.com/kose-yazisi/merkez-bankasi-ne-yapabilir/338987" TargetMode="External"/><Relationship Id="rId53" Type="http://schemas.openxmlformats.org/officeDocument/2006/relationships/hyperlink" Target="http://english.mnb.hu/Root/Dokumentumtar/MNB/A_jegybank/kozerdeku_informaciok/tevekenysegre_mukodesre_adatok/mnbhu_szerv_alaptevekenyseg_hataskor/alapito_okirat_en.pdf" TargetMode="External"/><Relationship Id="rId5" Type="http://schemas.openxmlformats.org/officeDocument/2006/relationships/webSettings" Target="webSettings.xml"/><Relationship Id="rId15" Type="http://schemas.openxmlformats.org/officeDocument/2006/relationships/hyperlink" Target="http://www.bloomberght.com/haberler/haber/1975753-merkez-bankasi-105-personelin-isine-son-verildi%20accessed%20on%2015/9/2017" TargetMode="External"/><Relationship Id="rId23" Type="http://schemas.openxmlformats.org/officeDocument/2006/relationships/hyperlink" Target="http://www.eiu.com/industry/article/1614073145/turkeys-central-bank-governor-choice-crisis-or-compromise/2016-03-30" TargetMode="External"/><Relationship Id="rId28" Type="http://schemas.openxmlformats.org/officeDocument/2006/relationships/hyperlink" Target="http://www.hurriyet.com.tr/yazarlar/19634595.asp" TargetMode="External"/><Relationship Id="rId36" Type="http://schemas.openxmlformats.org/officeDocument/2006/relationships/hyperlink" Target="http://www.lse.ac.uk/europeanInstitute/LEQS%20Discussion%20Paper%20Series/LEQSPaper22.pdf" TargetMode="External"/><Relationship Id="rId49" Type="http://schemas.openxmlformats.org/officeDocument/2006/relationships/hyperlink" Target="http://sendika1.org/2007/04/akp-iktidarinda-dis-borc-artisi-mustafa-sonmez/" TargetMode="External"/><Relationship Id="rId10" Type="http://schemas.openxmlformats.org/officeDocument/2006/relationships/hyperlink" Target="http://www.atonet.org.tr/yeni/index.php?p=1371&amp;l=1" TargetMode="External"/><Relationship Id="rId19" Type="http://schemas.openxmlformats.org/officeDocument/2006/relationships/hyperlink" Target="http://www.tcmb.gov.tr/wps/wcm/connect/TCMB+EN/TCMB+EN/Main+Menu/MONETARY+POLICY/PRICE+STABILITY/Inflation+Targets" TargetMode="External"/><Relationship Id="rId31" Type="http://schemas.openxmlformats.org/officeDocument/2006/relationships/hyperlink" Target="http://www.hurriyet.com.tr/merkez-bankasina-bagimsizlik-rotusu-40018967" TargetMode="External"/><Relationship Id="rId44" Type="http://schemas.openxmlformats.org/officeDocument/2006/relationships/hyperlink" Target="http://www.tepav.org.tr/tr/kose-yazisi/s/686%20accessed%20on%2025/9/2015" TargetMode="External"/><Relationship Id="rId52" Type="http://schemas.openxmlformats.org/officeDocument/2006/relationships/hyperlink" Target="http://nol.hu/gazdasag/kezdodik__matolcsy_sajat_embereivel_tolti_fel_az_mnb-t-1371775" TargetMode="External"/><Relationship Id="rId4" Type="http://schemas.openxmlformats.org/officeDocument/2006/relationships/settings" Target="settings.xml"/><Relationship Id="rId9" Type="http://schemas.openxmlformats.org/officeDocument/2006/relationships/hyperlink" Target="http://baslangicdergi.org/kur-mu-faiz-mi-yaklasan-krizi-beklerken-umit-akcay/" TargetMode="External"/><Relationship Id="rId14" Type="http://schemas.openxmlformats.org/officeDocument/2006/relationships/hyperlink" Target="https://www.birgun.net/haber-detay/merkez-bankasi-yasasi-degisiyor-135368.html" TargetMode="External"/><Relationship Id="rId22" Type="http://schemas.openxmlformats.org/officeDocument/2006/relationships/hyperlink" Target="https://www.economist.com/blogs/buttonwood/2016/11/unaccountable-technocrats-or-convenient-scapegoats%20accessed%20on%2010/8/2017" TargetMode="External"/><Relationship Id="rId27" Type="http://schemas.openxmlformats.org/officeDocument/2006/relationships/hyperlink" Target="http://www.hurriyet.com.tr/ekonomi/19633288.asp" TargetMode="External"/><Relationship Id="rId30" Type="http://schemas.openxmlformats.org/officeDocument/2006/relationships/hyperlink" Target="http://www.hurriyet.com.tr/ekonomi/20038979.asp" TargetMode="External"/><Relationship Id="rId35" Type="http://schemas.openxmlformats.org/officeDocument/2006/relationships/hyperlink" Target="https://www.opendemocracy.net/ourkingdom/2008/01/29/why-we-hate-politics-by-colinhay-" TargetMode="External"/><Relationship Id="rId43" Type="http://schemas.openxmlformats.org/officeDocument/2006/relationships/hyperlink" Target="http://www.kormany.hu/en/the-prime-minister/the-prime-minister-s-speeches/the-next-years-will-be-about-hardworking-people" TargetMode="External"/><Relationship Id="rId48" Type="http://schemas.openxmlformats.org/officeDocument/2006/relationships/hyperlink" Target="http://www.bloomberg.com/news/articles/2013-03-08/matolcsy-strips-hungary-bank-deputies-of-powers-mti-says" TargetMode="External"/><Relationship Id="rId56" Type="http://schemas.openxmlformats.org/officeDocument/2006/relationships/theme" Target="theme/theme1.xml"/><Relationship Id="rId8" Type="http://schemas.openxmlformats.org/officeDocument/2006/relationships/hyperlink" Target="https://www.tandfonline.com/doi/full/10.1080/13563467.2017.1421624" TargetMode="External"/><Relationship Id="rId51" Type="http://schemas.openxmlformats.org/officeDocument/2006/relationships/hyperlink" Target="http://www.foxbusiness.com/news/2013/03/14/exclusive-hungary-central-bank-reels-fromsweeping-takeover4287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7D7E-BD4C-4CE9-88B5-CDC9631C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12463</Words>
  <Characters>71042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83339</CharactersWithSpaces>
  <SharedDoc>false</SharedDoc>
  <HLinks>
    <vt:vector size="204" baseType="variant">
      <vt:variant>
        <vt:i4>6357096</vt:i4>
      </vt:variant>
      <vt:variant>
        <vt:i4>33</vt:i4>
      </vt:variant>
      <vt:variant>
        <vt:i4>0</vt:i4>
      </vt:variant>
      <vt:variant>
        <vt:i4>5</vt:i4>
      </vt:variant>
      <vt:variant>
        <vt:lpwstr>http://sendika1.org/2007/04/akp-iktidarinda-dis-borc-artisi-mustafa-sonmez/</vt:lpwstr>
      </vt:variant>
      <vt:variant>
        <vt:lpwstr/>
      </vt:variant>
      <vt:variant>
        <vt:i4>3276860</vt:i4>
      </vt:variant>
      <vt:variant>
        <vt:i4>30</vt:i4>
      </vt:variant>
      <vt:variant>
        <vt:i4>0</vt:i4>
      </vt:variant>
      <vt:variant>
        <vt:i4>5</vt:i4>
      </vt:variant>
      <vt:variant>
        <vt:lpwstr>http://www.tepav.org.tr/tr/kose-yazisi/s/686 accessed on 25/9/2015</vt:lpwstr>
      </vt:variant>
      <vt:variant>
        <vt:lpwstr/>
      </vt:variant>
      <vt:variant>
        <vt:i4>262224</vt:i4>
      </vt:variant>
      <vt:variant>
        <vt:i4>27</vt:i4>
      </vt:variant>
      <vt:variant>
        <vt:i4>0</vt:i4>
      </vt:variant>
      <vt:variant>
        <vt:i4>5</vt:i4>
      </vt:variant>
      <vt:variant>
        <vt:lpwstr>https://www.opendemocracy.net/ourkingdom/2008/01/29/why-we-hate-politics-by-colinhay-</vt:lpwstr>
      </vt:variant>
      <vt:variant>
        <vt:lpwstr/>
      </vt:variant>
      <vt:variant>
        <vt:i4>7733370</vt:i4>
      </vt:variant>
      <vt:variant>
        <vt:i4>24</vt:i4>
      </vt:variant>
      <vt:variant>
        <vt:i4>0</vt:i4>
      </vt:variant>
      <vt:variant>
        <vt:i4>5</vt:i4>
      </vt:variant>
      <vt:variant>
        <vt:lpwstr>http://www.thenation.com/article/most-feminist-place-world/</vt:lpwstr>
      </vt:variant>
      <vt:variant>
        <vt:lpwstr/>
      </vt:variant>
      <vt:variant>
        <vt:i4>8126506</vt:i4>
      </vt:variant>
      <vt:variant>
        <vt:i4>21</vt:i4>
      </vt:variant>
      <vt:variant>
        <vt:i4>0</vt:i4>
      </vt:variant>
      <vt:variant>
        <vt:i4>5</vt:i4>
      </vt:variant>
      <vt:variant>
        <vt:lpwstr>http://www.hurriyet.com.tr/ekonomi/20038979.asp</vt:lpwstr>
      </vt:variant>
      <vt:variant>
        <vt:lpwstr/>
      </vt:variant>
      <vt:variant>
        <vt:i4>7798824</vt:i4>
      </vt:variant>
      <vt:variant>
        <vt:i4>18</vt:i4>
      </vt:variant>
      <vt:variant>
        <vt:i4>0</vt:i4>
      </vt:variant>
      <vt:variant>
        <vt:i4>5</vt:i4>
      </vt:variant>
      <vt:variant>
        <vt:lpwstr>http://www.hurriyet.com.tr/ekonomi/19772728.asp</vt:lpwstr>
      </vt:variant>
      <vt:variant>
        <vt:lpwstr/>
      </vt:variant>
      <vt:variant>
        <vt:i4>262214</vt:i4>
      </vt:variant>
      <vt:variant>
        <vt:i4>15</vt:i4>
      </vt:variant>
      <vt:variant>
        <vt:i4>0</vt:i4>
      </vt:variant>
      <vt:variant>
        <vt:i4>5</vt:i4>
      </vt:variant>
      <vt:variant>
        <vt:lpwstr>http://www.hurriyet.com.tr/yazarlar/19634595.asp</vt:lpwstr>
      </vt:variant>
      <vt:variant>
        <vt:lpwstr/>
      </vt:variant>
      <vt:variant>
        <vt:i4>8192041</vt:i4>
      </vt:variant>
      <vt:variant>
        <vt:i4>12</vt:i4>
      </vt:variant>
      <vt:variant>
        <vt:i4>0</vt:i4>
      </vt:variant>
      <vt:variant>
        <vt:i4>5</vt:i4>
      </vt:variant>
      <vt:variant>
        <vt:lpwstr>http://www.hurriyet.com.tr/ekonomi/19633288.asp</vt:lpwstr>
      </vt:variant>
      <vt:variant>
        <vt:lpwstr/>
      </vt:variant>
      <vt:variant>
        <vt:i4>7667751</vt:i4>
      </vt:variant>
      <vt:variant>
        <vt:i4>9</vt:i4>
      </vt:variant>
      <vt:variant>
        <vt:i4>0</vt:i4>
      </vt:variant>
      <vt:variant>
        <vt:i4>5</vt:i4>
      </vt:variant>
      <vt:variant>
        <vt:lpwstr>http://www.hurriyet.com.tr/ekonomi/19595856.asp</vt:lpwstr>
      </vt:variant>
      <vt:variant>
        <vt:lpwstr/>
      </vt:variant>
      <vt:variant>
        <vt:i4>65613</vt:i4>
      </vt:variant>
      <vt:variant>
        <vt:i4>6</vt:i4>
      </vt:variant>
      <vt:variant>
        <vt:i4>0</vt:i4>
      </vt:variant>
      <vt:variant>
        <vt:i4>5</vt:i4>
      </vt:variant>
      <vt:variant>
        <vt:lpwstr>http://www.economist.com/news/finance-and-economics/21632651-hungarys-governmentgives-struggling-borrowers-break-forint-exchange</vt:lpwstr>
      </vt:variant>
      <vt:variant>
        <vt:lpwstr/>
      </vt:variant>
      <vt:variant>
        <vt:i4>3145772</vt:i4>
      </vt:variant>
      <vt:variant>
        <vt:i4>3</vt:i4>
      </vt:variant>
      <vt:variant>
        <vt:i4>0</vt:i4>
      </vt:variant>
      <vt:variant>
        <vt:i4>5</vt:i4>
      </vt:variant>
      <vt:variant>
        <vt:lpwstr>http://birgun.net/news/view/iktidar-blogunda-merkez-bankasi-catlagi-ne-oluyor/14753</vt:lpwstr>
      </vt:variant>
      <vt:variant>
        <vt:lpwstr/>
      </vt:variant>
      <vt:variant>
        <vt:i4>6815865</vt:i4>
      </vt:variant>
      <vt:variant>
        <vt:i4>0</vt:i4>
      </vt:variant>
      <vt:variant>
        <vt:i4>0</vt:i4>
      </vt:variant>
      <vt:variant>
        <vt:i4>5</vt:i4>
      </vt:variant>
      <vt:variant>
        <vt:lpwstr>http://www.atonet.org.tr/yeni/index.php?p=1371&amp;l=1</vt:lpwstr>
      </vt:variant>
      <vt:variant>
        <vt:lpwstr/>
      </vt:variant>
      <vt:variant>
        <vt:i4>1900573</vt:i4>
      </vt:variant>
      <vt:variant>
        <vt:i4>63</vt:i4>
      </vt:variant>
      <vt:variant>
        <vt:i4>0</vt:i4>
      </vt:variant>
      <vt:variant>
        <vt:i4>5</vt:i4>
      </vt:variant>
      <vt:variant>
        <vt:lpwstr>http://www.kormany.hu/en/the-prime-minister/the-prime-minister-s-speeches/the-next-years-will-be-about-hardworking-people</vt:lpwstr>
      </vt:variant>
      <vt:variant>
        <vt:lpwstr/>
      </vt:variant>
      <vt:variant>
        <vt:i4>1900573</vt:i4>
      </vt:variant>
      <vt:variant>
        <vt:i4>60</vt:i4>
      </vt:variant>
      <vt:variant>
        <vt:i4>0</vt:i4>
      </vt:variant>
      <vt:variant>
        <vt:i4>5</vt:i4>
      </vt:variant>
      <vt:variant>
        <vt:lpwstr>http://www.kormany.hu/en/the-prime-minister/the-prime-minister-s-speeches/the-next-years-will-be-about-hardworking-people</vt:lpwstr>
      </vt:variant>
      <vt:variant>
        <vt:lpwstr/>
      </vt:variant>
      <vt:variant>
        <vt:i4>5111902</vt:i4>
      </vt:variant>
      <vt:variant>
        <vt:i4>57</vt:i4>
      </vt:variant>
      <vt:variant>
        <vt:i4>0</vt:i4>
      </vt:variant>
      <vt:variant>
        <vt:i4>5</vt:i4>
      </vt:variant>
      <vt:variant>
        <vt:lpwstr>http://www.kormany.hu/en/the-prime-minister/the-prime-minister-s-speeches/prime-minister-viktor-orban-s-speech-at-the-25th-balvanyos-summer-free-university-and-student-camp</vt:lpwstr>
      </vt:variant>
      <vt:variant>
        <vt:lpwstr/>
      </vt:variant>
      <vt:variant>
        <vt:i4>1900573</vt:i4>
      </vt:variant>
      <vt:variant>
        <vt:i4>54</vt:i4>
      </vt:variant>
      <vt:variant>
        <vt:i4>0</vt:i4>
      </vt:variant>
      <vt:variant>
        <vt:i4>5</vt:i4>
      </vt:variant>
      <vt:variant>
        <vt:lpwstr>http://www.kormany.hu/en/the-prime-minister/the-prime-minister-s-speeches/the-next-years-will-be-about-hardworking-people</vt:lpwstr>
      </vt:variant>
      <vt:variant>
        <vt:lpwstr/>
      </vt:variant>
      <vt:variant>
        <vt:i4>5111902</vt:i4>
      </vt:variant>
      <vt:variant>
        <vt:i4>51</vt:i4>
      </vt:variant>
      <vt:variant>
        <vt:i4>0</vt:i4>
      </vt:variant>
      <vt:variant>
        <vt:i4>5</vt:i4>
      </vt:variant>
      <vt:variant>
        <vt:lpwstr>http://www.kormany.hu/en/the-prime-minister/the-prime-minister-s-speeches/prime-minister-viktor-orban-s-speech-at-the-25th-balvanyos-summer-free-university-and-student-camp</vt:lpwstr>
      </vt:variant>
      <vt:variant>
        <vt:lpwstr/>
      </vt:variant>
      <vt:variant>
        <vt:i4>1900573</vt:i4>
      </vt:variant>
      <vt:variant>
        <vt:i4>48</vt:i4>
      </vt:variant>
      <vt:variant>
        <vt:i4>0</vt:i4>
      </vt:variant>
      <vt:variant>
        <vt:i4>5</vt:i4>
      </vt:variant>
      <vt:variant>
        <vt:lpwstr>http://www.kormany.hu/en/the-prime-minister/the-prime-minister-s-speeches/the-next-years-will-be-about-hardworking-people</vt:lpwstr>
      </vt:variant>
      <vt:variant>
        <vt:lpwstr/>
      </vt:variant>
      <vt:variant>
        <vt:i4>589847</vt:i4>
      </vt:variant>
      <vt:variant>
        <vt:i4>45</vt:i4>
      </vt:variant>
      <vt:variant>
        <vt:i4>0</vt:i4>
      </vt:variant>
      <vt:variant>
        <vt:i4>5</vt:i4>
      </vt:variant>
      <vt:variant>
        <vt:lpwstr>http://www.tcmb.gov.tr/wps/wcm/connect/TCMB+EN/TCMB+EN/Main+Page+Site+Area/CBRT+POLICY+RATES</vt:lpwstr>
      </vt:variant>
      <vt:variant>
        <vt:lpwstr/>
      </vt:variant>
      <vt:variant>
        <vt:i4>3145772</vt:i4>
      </vt:variant>
      <vt:variant>
        <vt:i4>42</vt:i4>
      </vt:variant>
      <vt:variant>
        <vt:i4>0</vt:i4>
      </vt:variant>
      <vt:variant>
        <vt:i4>5</vt:i4>
      </vt:variant>
      <vt:variant>
        <vt:lpwstr>http://birgun.net/news/view/iktidar-blogunda-merkez-bankasi-catlagi-ne-oluyor/14753</vt:lpwstr>
      </vt:variant>
      <vt:variant>
        <vt:lpwstr/>
      </vt:variant>
      <vt:variant>
        <vt:i4>196703</vt:i4>
      </vt:variant>
      <vt:variant>
        <vt:i4>39</vt:i4>
      </vt:variant>
      <vt:variant>
        <vt:i4>0</vt:i4>
      </vt:variant>
      <vt:variant>
        <vt:i4>5</vt:i4>
      </vt:variant>
      <vt:variant>
        <vt:lpwstr>http://baslangicdergi.org/kur-mu-faiz-mi-yaklasan-krizi-beklerken-umit-akcay/</vt:lpwstr>
      </vt:variant>
      <vt:variant>
        <vt:lpwstr/>
      </vt:variant>
      <vt:variant>
        <vt:i4>8126506</vt:i4>
      </vt:variant>
      <vt:variant>
        <vt:i4>36</vt:i4>
      </vt:variant>
      <vt:variant>
        <vt:i4>0</vt:i4>
      </vt:variant>
      <vt:variant>
        <vt:i4>5</vt:i4>
      </vt:variant>
      <vt:variant>
        <vt:lpwstr>http://www.hurriyet.com.tr/ekonomi/20038979.asp</vt:lpwstr>
      </vt:variant>
      <vt:variant>
        <vt:lpwstr/>
      </vt:variant>
      <vt:variant>
        <vt:i4>852035</vt:i4>
      </vt:variant>
      <vt:variant>
        <vt:i4>33</vt:i4>
      </vt:variant>
      <vt:variant>
        <vt:i4>0</vt:i4>
      </vt:variant>
      <vt:variant>
        <vt:i4>5</vt:i4>
      </vt:variant>
      <vt:variant>
        <vt:lpwstr>http://www.hurriyet.com.tr/yazarlar/19823951.asp</vt:lpwstr>
      </vt:variant>
      <vt:variant>
        <vt:lpwstr/>
      </vt:variant>
      <vt:variant>
        <vt:i4>2949247</vt:i4>
      </vt:variant>
      <vt:variant>
        <vt:i4>30</vt:i4>
      </vt:variant>
      <vt:variant>
        <vt:i4>0</vt:i4>
      </vt:variant>
      <vt:variant>
        <vt:i4>5</vt:i4>
      </vt:variant>
      <vt:variant>
        <vt:lpwstr>http://www.tcmb.gov.tr/wps/wcm/connect/TCMB+EN/TCMB+EN/Main+Menu/MONETARY+POLICY/PRICE+STABILITY/Inflation+Targets</vt:lpwstr>
      </vt:variant>
      <vt:variant>
        <vt:lpwstr/>
      </vt:variant>
      <vt:variant>
        <vt:i4>7798824</vt:i4>
      </vt:variant>
      <vt:variant>
        <vt:i4>27</vt:i4>
      </vt:variant>
      <vt:variant>
        <vt:i4>0</vt:i4>
      </vt:variant>
      <vt:variant>
        <vt:i4>5</vt:i4>
      </vt:variant>
      <vt:variant>
        <vt:lpwstr>http://www.hurriyet.com.tr/ekonomi/19772728.asp</vt:lpwstr>
      </vt:variant>
      <vt:variant>
        <vt:lpwstr/>
      </vt:variant>
      <vt:variant>
        <vt:i4>262214</vt:i4>
      </vt:variant>
      <vt:variant>
        <vt:i4>24</vt:i4>
      </vt:variant>
      <vt:variant>
        <vt:i4>0</vt:i4>
      </vt:variant>
      <vt:variant>
        <vt:i4>5</vt:i4>
      </vt:variant>
      <vt:variant>
        <vt:lpwstr>http://www.hurriyet.com.tr/yazarlar/19634595.asp</vt:lpwstr>
      </vt:variant>
      <vt:variant>
        <vt:lpwstr/>
      </vt:variant>
      <vt:variant>
        <vt:i4>8192041</vt:i4>
      </vt:variant>
      <vt:variant>
        <vt:i4>21</vt:i4>
      </vt:variant>
      <vt:variant>
        <vt:i4>0</vt:i4>
      </vt:variant>
      <vt:variant>
        <vt:i4>5</vt:i4>
      </vt:variant>
      <vt:variant>
        <vt:lpwstr>http://www.hurriyet.com.tr/ekonomi/19633288.asp</vt:lpwstr>
      </vt:variant>
      <vt:variant>
        <vt:lpwstr/>
      </vt:variant>
      <vt:variant>
        <vt:i4>7667751</vt:i4>
      </vt:variant>
      <vt:variant>
        <vt:i4>18</vt:i4>
      </vt:variant>
      <vt:variant>
        <vt:i4>0</vt:i4>
      </vt:variant>
      <vt:variant>
        <vt:i4>5</vt:i4>
      </vt:variant>
      <vt:variant>
        <vt:lpwstr>http://www.hurriyet.com.tr/ekonomi/19595856.asp</vt:lpwstr>
      </vt:variant>
      <vt:variant>
        <vt:lpwstr/>
      </vt:variant>
      <vt:variant>
        <vt:i4>655365</vt:i4>
      </vt:variant>
      <vt:variant>
        <vt:i4>15</vt:i4>
      </vt:variant>
      <vt:variant>
        <vt:i4>0</vt:i4>
      </vt:variant>
      <vt:variant>
        <vt:i4>5</vt:i4>
      </vt:variant>
      <vt:variant>
        <vt:lpwstr>http://www.tcmb.gov.tr/wps/wcm/connect/TCMB+EN/TCMB+EN/Main+Menu/MONETARY+POLICY/FINANCIAL+STABILITY/The+CBRT+and+Financial+Stability</vt:lpwstr>
      </vt:variant>
      <vt:variant>
        <vt:lpwstr/>
      </vt:variant>
      <vt:variant>
        <vt:i4>4456543</vt:i4>
      </vt:variant>
      <vt:variant>
        <vt:i4>12</vt:i4>
      </vt:variant>
      <vt:variant>
        <vt:i4>0</vt:i4>
      </vt:variant>
      <vt:variant>
        <vt:i4>5</vt:i4>
      </vt:variant>
      <vt:variant>
        <vt:lpwstr>http://www.tcmb.gov.tr/yeni/evds/pgm/faiz/on.htm</vt:lpwstr>
      </vt:variant>
      <vt:variant>
        <vt:lpwstr/>
      </vt:variant>
      <vt:variant>
        <vt:i4>6553608</vt:i4>
      </vt:variant>
      <vt:variant>
        <vt:i4>9</vt:i4>
      </vt:variant>
      <vt:variant>
        <vt:i4>0</vt:i4>
      </vt:variant>
      <vt:variant>
        <vt:i4>5</vt:i4>
      </vt:variant>
      <vt:variant>
        <vt:lpwstr>http://english.mnb.hu/Monetaris_politika/decision-making/mnben_mttagok_kinevezese</vt:lpwstr>
      </vt:variant>
      <vt:variant>
        <vt:lpwstr/>
      </vt:variant>
      <vt:variant>
        <vt:i4>65559</vt:i4>
      </vt:variant>
      <vt:variant>
        <vt:i4>6</vt:i4>
      </vt:variant>
      <vt:variant>
        <vt:i4>0</vt:i4>
      </vt:variant>
      <vt:variant>
        <vt:i4>5</vt:i4>
      </vt:variant>
      <vt:variant>
        <vt:lpwstr>https://www.opendemocracy.net/ourkingdom/2008/01/29/why-we-hate-politics-by-colin-hay-the-politics-we-deserve</vt:lpwstr>
      </vt:variant>
      <vt:variant>
        <vt:lpwstr/>
      </vt:variant>
      <vt:variant>
        <vt:i4>7405613</vt:i4>
      </vt:variant>
      <vt:variant>
        <vt:i4>3</vt:i4>
      </vt:variant>
      <vt:variant>
        <vt:i4>0</vt:i4>
      </vt:variant>
      <vt:variant>
        <vt:i4>5</vt:i4>
      </vt:variant>
      <vt:variant>
        <vt:lpwstr>http://mno.hu/belfold/budapestre-latogat-kedden-a-torok-miniszterelnok-1274218</vt:lpwstr>
      </vt:variant>
      <vt:variant>
        <vt:lpwstr/>
      </vt:variant>
      <vt:variant>
        <vt:i4>7995430</vt:i4>
      </vt:variant>
      <vt:variant>
        <vt:i4>0</vt:i4>
      </vt:variant>
      <vt:variant>
        <vt:i4>0</vt:i4>
      </vt:variant>
      <vt:variant>
        <vt:i4>5</vt:i4>
      </vt:variant>
      <vt:variant>
        <vt:lpwstr>http://www.sabah.com.tr/dunya/2015/02/24/turkiye-macaristan-iliskileri-ivme-kaydediyor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Pinar Donmez</cp:lastModifiedBy>
  <cp:revision>3</cp:revision>
  <cp:lastPrinted>2015-12-04T15:18:00Z</cp:lastPrinted>
  <dcterms:created xsi:type="dcterms:W3CDTF">2019-10-03T17:31:00Z</dcterms:created>
  <dcterms:modified xsi:type="dcterms:W3CDTF">2019-10-03T17:32:00Z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