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85257" w14:textId="4787168B" w:rsidR="00302D19" w:rsidRDefault="001D1869" w:rsidP="00E825A4">
      <w:pPr>
        <w:jc w:val="both"/>
        <w:rPr>
          <w:rFonts w:ascii="Garamond" w:hAnsi="Garamond"/>
          <w:b/>
          <w:bCs/>
          <w:sz w:val="32"/>
          <w:szCs w:val="32"/>
        </w:rPr>
      </w:pPr>
      <w:r>
        <w:rPr>
          <w:rFonts w:ascii="Garamond" w:hAnsi="Garamond"/>
          <w:b/>
          <w:bCs/>
          <w:sz w:val="32"/>
          <w:szCs w:val="32"/>
        </w:rPr>
        <w:t>The urban food question</w:t>
      </w:r>
      <w:r w:rsidR="00302D19" w:rsidRPr="00302D19">
        <w:rPr>
          <w:rFonts w:ascii="Garamond" w:hAnsi="Garamond"/>
          <w:b/>
          <w:bCs/>
          <w:sz w:val="32"/>
          <w:szCs w:val="32"/>
        </w:rPr>
        <w:t xml:space="preserve"> in the context of </w:t>
      </w:r>
      <w:r w:rsidR="00082CFB">
        <w:rPr>
          <w:rFonts w:ascii="Garamond" w:hAnsi="Garamond"/>
          <w:b/>
          <w:bCs/>
          <w:sz w:val="32"/>
          <w:szCs w:val="32"/>
        </w:rPr>
        <w:t xml:space="preserve">inequality and </w:t>
      </w:r>
      <w:r w:rsidR="00AD6F98">
        <w:rPr>
          <w:rFonts w:ascii="Garamond" w:hAnsi="Garamond"/>
          <w:b/>
          <w:bCs/>
          <w:sz w:val="32"/>
          <w:szCs w:val="32"/>
        </w:rPr>
        <w:t>dietary change:</w:t>
      </w:r>
      <w:r w:rsidR="00302D19" w:rsidRPr="00302D19">
        <w:rPr>
          <w:rFonts w:ascii="Garamond" w:hAnsi="Garamond"/>
          <w:b/>
          <w:bCs/>
          <w:sz w:val="32"/>
          <w:szCs w:val="32"/>
        </w:rPr>
        <w:t xml:space="preserve"> A study of schoolchildren in Accra</w:t>
      </w:r>
    </w:p>
    <w:p w14:paraId="546A03BE" w14:textId="476ACDAA" w:rsidR="00DE6128" w:rsidRPr="00DE6128" w:rsidRDefault="00DE6128" w:rsidP="00DE6128">
      <w:pPr>
        <w:jc w:val="both"/>
        <w:rPr>
          <w:rFonts w:ascii="Garamond" w:hAnsi="Garamond"/>
          <w:i/>
          <w:sz w:val="24"/>
          <w:szCs w:val="24"/>
          <w:lang w:val="it-IT"/>
        </w:rPr>
      </w:pPr>
      <w:r w:rsidRPr="00DE6128">
        <w:rPr>
          <w:rFonts w:ascii="Garamond" w:eastAsia="Times New Roman" w:hAnsi="Garamond" w:cs="Times New Roman"/>
          <w:bCs/>
          <w:sz w:val="24"/>
          <w:szCs w:val="24"/>
          <w:lang w:val="it-IT"/>
        </w:rPr>
        <w:t xml:space="preserve">Sara Stevano, Deborah Johnston, Emmanuel </w:t>
      </w:r>
      <w:proofErr w:type="spellStart"/>
      <w:r w:rsidRPr="00DE6128">
        <w:rPr>
          <w:rFonts w:ascii="Garamond" w:eastAsia="Times New Roman" w:hAnsi="Garamond" w:cs="Times New Roman"/>
          <w:bCs/>
          <w:sz w:val="24"/>
          <w:szCs w:val="24"/>
          <w:lang w:val="it-IT"/>
        </w:rPr>
        <w:t>Codjoe</w:t>
      </w:r>
      <w:proofErr w:type="spellEnd"/>
    </w:p>
    <w:p w14:paraId="6760D6A3" w14:textId="77777777" w:rsidR="00DE6128" w:rsidRDefault="00DE6128" w:rsidP="00DE6128">
      <w:pPr>
        <w:jc w:val="both"/>
        <w:rPr>
          <w:rFonts w:ascii="Garamond" w:hAnsi="Garamond"/>
          <w:i/>
          <w:sz w:val="24"/>
          <w:szCs w:val="24"/>
        </w:rPr>
      </w:pPr>
    </w:p>
    <w:p w14:paraId="17AE3B46" w14:textId="77777777" w:rsidR="00DE6128" w:rsidRPr="00B14A69" w:rsidRDefault="00DE6128" w:rsidP="00DE6128">
      <w:pPr>
        <w:jc w:val="both"/>
        <w:rPr>
          <w:rFonts w:ascii="Garamond" w:hAnsi="Garamond"/>
          <w:i/>
          <w:sz w:val="24"/>
          <w:szCs w:val="24"/>
        </w:rPr>
      </w:pPr>
      <w:r w:rsidRPr="00B14A69">
        <w:rPr>
          <w:rFonts w:ascii="Garamond" w:hAnsi="Garamond"/>
          <w:i/>
          <w:sz w:val="24"/>
          <w:szCs w:val="24"/>
        </w:rPr>
        <w:t>Abstract</w:t>
      </w:r>
    </w:p>
    <w:p w14:paraId="1224BD5B" w14:textId="77777777" w:rsidR="00DE6128" w:rsidRPr="00C54CDA" w:rsidRDefault="00DE6128" w:rsidP="00DE6128">
      <w:pPr>
        <w:jc w:val="both"/>
        <w:rPr>
          <w:rFonts w:ascii="Garamond" w:hAnsi="Garamond"/>
          <w:sz w:val="24"/>
          <w:szCs w:val="24"/>
        </w:rPr>
      </w:pPr>
      <w:r w:rsidRPr="00C54CDA">
        <w:rPr>
          <w:rFonts w:ascii="Garamond" w:hAnsi="Garamond"/>
          <w:sz w:val="24"/>
          <w:szCs w:val="24"/>
        </w:rPr>
        <w:t>Diets are changing globally, as agricultural and food systems have become globalised</w:t>
      </w:r>
      <w:r>
        <w:rPr>
          <w:rFonts w:ascii="Garamond" w:hAnsi="Garamond"/>
          <w:sz w:val="24"/>
          <w:szCs w:val="24"/>
        </w:rPr>
        <w:t xml:space="preserve">. </w:t>
      </w:r>
      <w:r w:rsidRPr="00C54CDA">
        <w:rPr>
          <w:rFonts w:ascii="Garamond" w:hAnsi="Garamond"/>
          <w:sz w:val="24"/>
          <w:szCs w:val="24"/>
        </w:rPr>
        <w:t xml:space="preserve">Understanding how patterns of globalisation affect </w:t>
      </w:r>
      <w:r>
        <w:rPr>
          <w:rFonts w:ascii="Garamond" w:hAnsi="Garamond"/>
          <w:sz w:val="24"/>
          <w:szCs w:val="24"/>
        </w:rPr>
        <w:t>welfare</w:t>
      </w:r>
      <w:r w:rsidRPr="00C54CDA">
        <w:rPr>
          <w:rFonts w:ascii="Garamond" w:hAnsi="Garamond"/>
          <w:sz w:val="24"/>
          <w:szCs w:val="24"/>
        </w:rPr>
        <w:t xml:space="preserve"> is a key development question, but we know little about the way that the globa</w:t>
      </w:r>
      <w:r>
        <w:rPr>
          <w:rFonts w:ascii="Garamond" w:hAnsi="Garamond"/>
          <w:sz w:val="24"/>
          <w:szCs w:val="24"/>
        </w:rPr>
        <w:t>lisation of food systems impacts different</w:t>
      </w:r>
      <w:r w:rsidRPr="00C54CDA">
        <w:rPr>
          <w:rFonts w:ascii="Garamond" w:hAnsi="Garamond"/>
          <w:sz w:val="24"/>
          <w:szCs w:val="24"/>
        </w:rPr>
        <w:t xml:space="preserve"> groups. </w:t>
      </w:r>
      <w:r>
        <w:rPr>
          <w:rFonts w:ascii="Garamond" w:hAnsi="Garamond"/>
          <w:sz w:val="24"/>
          <w:szCs w:val="24"/>
        </w:rPr>
        <w:t>This study explores food security and consumption among schoolchildren in Accra.</w:t>
      </w:r>
      <w:r w:rsidRPr="00C54CDA">
        <w:rPr>
          <w:rFonts w:ascii="Garamond" w:hAnsi="Garamond"/>
          <w:sz w:val="24"/>
          <w:szCs w:val="24"/>
        </w:rPr>
        <w:t xml:space="preserve"> We use a novel approach based on triangulation of </w:t>
      </w:r>
      <w:r w:rsidRPr="00C54CDA">
        <w:rPr>
          <w:rFonts w:ascii="Garamond" w:hAnsi="Garamond"/>
          <w:bCs/>
          <w:sz w:val="24"/>
          <w:szCs w:val="24"/>
        </w:rPr>
        <w:t>primary data on food consumption and a synthesis of secondary</w:t>
      </w:r>
      <w:r>
        <w:rPr>
          <w:rFonts w:ascii="Garamond" w:hAnsi="Garamond"/>
          <w:bCs/>
          <w:sz w:val="24"/>
          <w:szCs w:val="24"/>
        </w:rPr>
        <w:t xml:space="preserve"> literature on food trade, </w:t>
      </w:r>
      <w:r w:rsidRPr="00C54CDA">
        <w:rPr>
          <w:rFonts w:ascii="Garamond" w:hAnsi="Garamond"/>
          <w:bCs/>
          <w:sz w:val="24"/>
          <w:szCs w:val="24"/>
        </w:rPr>
        <w:t>policy and urban food environment. Thus, we bridge a divide between micro-level analyses of food consumption and macro-level studies of food systems</w:t>
      </w:r>
      <w:r>
        <w:rPr>
          <w:rFonts w:ascii="Garamond" w:hAnsi="Garamond"/>
          <w:bCs/>
          <w:sz w:val="24"/>
          <w:szCs w:val="24"/>
        </w:rPr>
        <w:t>.</w:t>
      </w:r>
      <w:r w:rsidRPr="00C54CDA">
        <w:rPr>
          <w:rFonts w:ascii="Garamond" w:hAnsi="Garamond"/>
          <w:sz w:val="24"/>
          <w:szCs w:val="24"/>
        </w:rPr>
        <w:t xml:space="preserve"> We find that socio-economic stat</w:t>
      </w:r>
      <w:r>
        <w:rPr>
          <w:rFonts w:ascii="Garamond" w:hAnsi="Garamond"/>
          <w:sz w:val="24"/>
          <w:szCs w:val="24"/>
        </w:rPr>
        <w:t>us is a critical dimension</w:t>
      </w:r>
      <w:r w:rsidRPr="00C54CDA">
        <w:rPr>
          <w:rFonts w:ascii="Garamond" w:hAnsi="Garamond"/>
          <w:sz w:val="24"/>
          <w:szCs w:val="24"/>
        </w:rPr>
        <w:t>, with poorer children more vulnerable to food insecurity and narrow dietary diversity. However, consumption of packaged and processed foods, often sugar-rich and nutrient-poor, cuts across wealth groups. We arg</w:t>
      </w:r>
      <w:r>
        <w:rPr>
          <w:rFonts w:ascii="Garamond" w:hAnsi="Garamond"/>
          <w:sz w:val="24"/>
          <w:szCs w:val="24"/>
        </w:rPr>
        <w:t xml:space="preserve">ue that the urban food </w:t>
      </w:r>
      <w:r w:rsidRPr="00C54CDA">
        <w:rPr>
          <w:rFonts w:ascii="Garamond" w:hAnsi="Garamond"/>
          <w:sz w:val="24"/>
          <w:szCs w:val="24"/>
        </w:rPr>
        <w:t>question today is defined by tw</w:t>
      </w:r>
      <w:r>
        <w:rPr>
          <w:rFonts w:ascii="Garamond" w:hAnsi="Garamond"/>
          <w:sz w:val="24"/>
          <w:szCs w:val="24"/>
        </w:rPr>
        <w:t xml:space="preserve">o intersecting phenomena: inequality and </w:t>
      </w:r>
      <w:r w:rsidRPr="00C54CDA">
        <w:rPr>
          <w:rFonts w:ascii="Garamond" w:hAnsi="Garamond"/>
          <w:sz w:val="24"/>
          <w:szCs w:val="24"/>
        </w:rPr>
        <w:t>dietary change. The urban poor continue to face the fundamental challenge of adequat</w:t>
      </w:r>
      <w:r>
        <w:rPr>
          <w:rFonts w:ascii="Garamond" w:hAnsi="Garamond"/>
          <w:sz w:val="24"/>
          <w:szCs w:val="24"/>
        </w:rPr>
        <w:t>e food access amidst</w:t>
      </w:r>
      <w:r w:rsidRPr="00C54CDA">
        <w:rPr>
          <w:rFonts w:ascii="Garamond" w:hAnsi="Garamond"/>
          <w:sz w:val="24"/>
          <w:szCs w:val="24"/>
        </w:rPr>
        <w:t xml:space="preserve"> a food environment that provides consumers with unhealthy</w:t>
      </w:r>
      <w:r>
        <w:rPr>
          <w:rFonts w:ascii="Garamond" w:hAnsi="Garamond"/>
          <w:sz w:val="24"/>
          <w:szCs w:val="24"/>
        </w:rPr>
        <w:t xml:space="preserve"> and cheap</w:t>
      </w:r>
      <w:r w:rsidRPr="00C54CDA">
        <w:rPr>
          <w:rFonts w:ascii="Garamond" w:hAnsi="Garamond"/>
          <w:sz w:val="24"/>
          <w:szCs w:val="24"/>
        </w:rPr>
        <w:t xml:space="preserve"> food options</w:t>
      </w:r>
      <w:r>
        <w:rPr>
          <w:rFonts w:ascii="Garamond" w:hAnsi="Garamond"/>
          <w:sz w:val="24"/>
          <w:szCs w:val="24"/>
        </w:rPr>
        <w:t>.</w:t>
      </w:r>
      <w:r w:rsidRPr="00C54CDA">
        <w:rPr>
          <w:rFonts w:ascii="Garamond" w:hAnsi="Garamond"/>
          <w:sz w:val="24"/>
          <w:szCs w:val="24"/>
        </w:rPr>
        <w:t xml:space="preserve"> </w:t>
      </w:r>
      <w:r>
        <w:rPr>
          <w:rFonts w:ascii="Garamond" w:hAnsi="Garamond"/>
          <w:sz w:val="24"/>
          <w:szCs w:val="24"/>
        </w:rPr>
        <w:t xml:space="preserve">Therefore food policy needs to regulate imports of cheap, unhealthy and enticing food. </w:t>
      </w:r>
    </w:p>
    <w:p w14:paraId="26810621" w14:textId="77777777" w:rsidR="00DE6128" w:rsidRDefault="00DE6128" w:rsidP="00DE6128">
      <w:pPr>
        <w:jc w:val="both"/>
        <w:rPr>
          <w:rFonts w:ascii="Garamond" w:hAnsi="Garamond"/>
          <w:sz w:val="24"/>
          <w:szCs w:val="24"/>
        </w:rPr>
      </w:pPr>
      <w:r>
        <w:rPr>
          <w:rFonts w:ascii="Garamond" w:hAnsi="Garamond"/>
          <w:sz w:val="24"/>
          <w:szCs w:val="24"/>
        </w:rPr>
        <w:t>Keywords: food consumption, food security, food systems, inequality, Ghana</w:t>
      </w:r>
    </w:p>
    <w:p w14:paraId="4033B3E8" w14:textId="77777777" w:rsidR="009B1519" w:rsidRDefault="009B1519" w:rsidP="00E825A4">
      <w:pPr>
        <w:jc w:val="both"/>
        <w:rPr>
          <w:rFonts w:ascii="Garamond" w:hAnsi="Garamond"/>
          <w:b/>
          <w:bCs/>
          <w:sz w:val="24"/>
          <w:szCs w:val="24"/>
        </w:rPr>
      </w:pPr>
    </w:p>
    <w:p w14:paraId="4479F01C" w14:textId="77777777" w:rsidR="009B1519" w:rsidRPr="00F9337F" w:rsidRDefault="009B1519" w:rsidP="00E825A4">
      <w:pPr>
        <w:jc w:val="both"/>
        <w:rPr>
          <w:rFonts w:ascii="Garamond" w:hAnsi="Garamond"/>
          <w:b/>
          <w:bCs/>
          <w:sz w:val="24"/>
          <w:szCs w:val="24"/>
        </w:rPr>
      </w:pPr>
    </w:p>
    <w:p w14:paraId="0436BB79" w14:textId="77777777" w:rsidR="00F9337F" w:rsidRDefault="00F9337F" w:rsidP="00E825A4">
      <w:pPr>
        <w:jc w:val="both"/>
        <w:rPr>
          <w:rFonts w:ascii="Garamond" w:hAnsi="Garamond"/>
          <w:b/>
          <w:bCs/>
          <w:sz w:val="24"/>
          <w:szCs w:val="24"/>
        </w:rPr>
      </w:pPr>
    </w:p>
    <w:p w14:paraId="42C2C422" w14:textId="77777777" w:rsidR="00F9337F" w:rsidRDefault="00F9337F" w:rsidP="00E825A4">
      <w:pPr>
        <w:jc w:val="both"/>
        <w:rPr>
          <w:rFonts w:ascii="Garamond" w:hAnsi="Garamond"/>
          <w:b/>
          <w:bCs/>
          <w:sz w:val="24"/>
          <w:szCs w:val="24"/>
        </w:rPr>
      </w:pPr>
    </w:p>
    <w:p w14:paraId="44EB2883" w14:textId="77777777" w:rsidR="00F9337F" w:rsidRDefault="00F9337F" w:rsidP="00E825A4">
      <w:pPr>
        <w:jc w:val="both"/>
        <w:rPr>
          <w:rFonts w:ascii="Garamond" w:hAnsi="Garamond"/>
          <w:b/>
          <w:bCs/>
          <w:sz w:val="24"/>
          <w:szCs w:val="24"/>
        </w:rPr>
      </w:pPr>
    </w:p>
    <w:p w14:paraId="0C7E1378" w14:textId="77777777" w:rsidR="00F9337F" w:rsidRDefault="00F9337F" w:rsidP="00E825A4">
      <w:pPr>
        <w:jc w:val="both"/>
        <w:rPr>
          <w:rFonts w:ascii="Garamond" w:hAnsi="Garamond"/>
          <w:b/>
          <w:bCs/>
          <w:sz w:val="24"/>
          <w:szCs w:val="24"/>
        </w:rPr>
      </w:pPr>
    </w:p>
    <w:p w14:paraId="5BBD88F5" w14:textId="77777777" w:rsidR="00F9337F" w:rsidRDefault="00F9337F" w:rsidP="00E825A4">
      <w:pPr>
        <w:jc w:val="both"/>
        <w:rPr>
          <w:rFonts w:ascii="Garamond" w:hAnsi="Garamond"/>
          <w:b/>
          <w:bCs/>
          <w:sz w:val="24"/>
          <w:szCs w:val="24"/>
        </w:rPr>
      </w:pPr>
    </w:p>
    <w:p w14:paraId="113BF8D9" w14:textId="77777777" w:rsidR="00F9337F" w:rsidRDefault="00F9337F" w:rsidP="00E825A4">
      <w:pPr>
        <w:jc w:val="both"/>
        <w:rPr>
          <w:rFonts w:ascii="Garamond" w:hAnsi="Garamond"/>
          <w:b/>
          <w:bCs/>
          <w:sz w:val="24"/>
          <w:szCs w:val="24"/>
        </w:rPr>
      </w:pPr>
    </w:p>
    <w:p w14:paraId="44C64824" w14:textId="77777777" w:rsidR="00F9337F" w:rsidRDefault="00F9337F" w:rsidP="00E825A4">
      <w:pPr>
        <w:jc w:val="both"/>
        <w:rPr>
          <w:rFonts w:ascii="Garamond" w:hAnsi="Garamond"/>
          <w:b/>
          <w:bCs/>
          <w:sz w:val="24"/>
          <w:szCs w:val="24"/>
        </w:rPr>
      </w:pPr>
    </w:p>
    <w:p w14:paraId="05CA6679" w14:textId="77777777" w:rsidR="00F9337F" w:rsidRDefault="00F9337F" w:rsidP="00E825A4">
      <w:pPr>
        <w:jc w:val="both"/>
        <w:rPr>
          <w:rFonts w:ascii="Garamond" w:hAnsi="Garamond"/>
          <w:b/>
          <w:bCs/>
          <w:sz w:val="24"/>
          <w:szCs w:val="24"/>
        </w:rPr>
      </w:pPr>
    </w:p>
    <w:p w14:paraId="40C9D7D2" w14:textId="77777777" w:rsidR="00F9337F" w:rsidRDefault="00F9337F" w:rsidP="00E825A4">
      <w:pPr>
        <w:jc w:val="both"/>
        <w:rPr>
          <w:rFonts w:ascii="Garamond" w:hAnsi="Garamond"/>
          <w:b/>
          <w:bCs/>
          <w:sz w:val="24"/>
          <w:szCs w:val="24"/>
        </w:rPr>
      </w:pPr>
    </w:p>
    <w:p w14:paraId="1A695F0B" w14:textId="77777777" w:rsidR="00F9337F" w:rsidRDefault="00F9337F" w:rsidP="00E825A4">
      <w:pPr>
        <w:jc w:val="both"/>
        <w:rPr>
          <w:rFonts w:ascii="Garamond" w:hAnsi="Garamond"/>
          <w:b/>
          <w:bCs/>
          <w:sz w:val="24"/>
          <w:szCs w:val="24"/>
        </w:rPr>
      </w:pPr>
    </w:p>
    <w:p w14:paraId="576FF4F9" w14:textId="77777777" w:rsidR="00F9337F" w:rsidRDefault="00F9337F" w:rsidP="00E825A4">
      <w:pPr>
        <w:jc w:val="both"/>
        <w:rPr>
          <w:rFonts w:ascii="Garamond" w:hAnsi="Garamond"/>
          <w:b/>
          <w:bCs/>
          <w:sz w:val="24"/>
          <w:szCs w:val="24"/>
        </w:rPr>
      </w:pPr>
    </w:p>
    <w:p w14:paraId="7D15D556" w14:textId="77777777" w:rsidR="00F9337F" w:rsidRDefault="00F9337F" w:rsidP="00E825A4">
      <w:pPr>
        <w:jc w:val="both"/>
        <w:rPr>
          <w:rFonts w:ascii="Garamond" w:hAnsi="Garamond"/>
          <w:b/>
          <w:bCs/>
          <w:sz w:val="24"/>
          <w:szCs w:val="24"/>
        </w:rPr>
      </w:pPr>
    </w:p>
    <w:p w14:paraId="09D08446" w14:textId="62B9F0C3" w:rsidR="00F9337F" w:rsidRDefault="00F9337F" w:rsidP="00E825A4">
      <w:pPr>
        <w:jc w:val="both"/>
        <w:rPr>
          <w:rFonts w:ascii="Garamond" w:hAnsi="Garamond"/>
          <w:b/>
          <w:bCs/>
          <w:sz w:val="24"/>
          <w:szCs w:val="24"/>
        </w:rPr>
      </w:pPr>
    </w:p>
    <w:p w14:paraId="5023B6C0" w14:textId="0200A0CA" w:rsidR="007F7B54" w:rsidRDefault="007D5BD1" w:rsidP="002B2349">
      <w:pPr>
        <w:spacing w:line="480" w:lineRule="auto"/>
        <w:jc w:val="both"/>
        <w:rPr>
          <w:rFonts w:ascii="Garamond" w:hAnsi="Garamond"/>
          <w:b/>
          <w:bCs/>
          <w:sz w:val="24"/>
          <w:szCs w:val="24"/>
        </w:rPr>
      </w:pPr>
      <w:r>
        <w:rPr>
          <w:rFonts w:ascii="Garamond" w:hAnsi="Garamond"/>
          <w:b/>
          <w:bCs/>
          <w:sz w:val="24"/>
          <w:szCs w:val="24"/>
        </w:rPr>
        <w:lastRenderedPageBreak/>
        <w:t xml:space="preserve">1 </w:t>
      </w:r>
      <w:r w:rsidR="00E825A4" w:rsidRPr="002B2349">
        <w:rPr>
          <w:rFonts w:ascii="Garamond" w:hAnsi="Garamond"/>
          <w:b/>
          <w:bCs/>
          <w:sz w:val="24"/>
          <w:szCs w:val="24"/>
        </w:rPr>
        <w:t>Introduction</w:t>
      </w:r>
    </w:p>
    <w:p w14:paraId="3B37FF08" w14:textId="48E2158E" w:rsidR="002B2349" w:rsidRPr="007F7B54" w:rsidRDefault="0052731F" w:rsidP="002B2349">
      <w:pPr>
        <w:spacing w:line="480" w:lineRule="auto"/>
        <w:jc w:val="both"/>
        <w:rPr>
          <w:rFonts w:ascii="Garamond" w:hAnsi="Garamond"/>
          <w:b/>
          <w:bCs/>
          <w:sz w:val="24"/>
          <w:szCs w:val="24"/>
        </w:rPr>
      </w:pPr>
      <w:r>
        <w:rPr>
          <w:rFonts w:ascii="Garamond" w:hAnsi="Garamond"/>
          <w:sz w:val="24"/>
          <w:szCs w:val="24"/>
        </w:rPr>
        <w:t>Urban diets</w:t>
      </w:r>
      <w:r w:rsidR="002B2349">
        <w:rPr>
          <w:rFonts w:ascii="Garamond" w:hAnsi="Garamond"/>
          <w:sz w:val="24"/>
          <w:szCs w:val="24"/>
        </w:rPr>
        <w:t xml:space="preserve"> are changing, as agricultural and food systems have become globalised and created new forms of food production, distribution, and trade (Hawkes et al.</w:t>
      </w:r>
      <w:r w:rsidR="00F449C8">
        <w:rPr>
          <w:rFonts w:ascii="Garamond" w:hAnsi="Garamond"/>
          <w:sz w:val="24"/>
          <w:szCs w:val="24"/>
        </w:rPr>
        <w:t xml:space="preserve"> 2010, </w:t>
      </w:r>
      <w:r w:rsidR="00F449C8" w:rsidRPr="0052731F">
        <w:rPr>
          <w:rFonts w:ascii="Garamond" w:hAnsi="Garamond"/>
          <w:sz w:val="24"/>
          <w:szCs w:val="24"/>
        </w:rPr>
        <w:t>Lerner et al</w:t>
      </w:r>
      <w:r w:rsidR="009F1561" w:rsidRPr="0052731F">
        <w:rPr>
          <w:rFonts w:ascii="Garamond" w:hAnsi="Garamond"/>
          <w:sz w:val="24"/>
          <w:szCs w:val="24"/>
        </w:rPr>
        <w:t>.</w:t>
      </w:r>
      <w:r w:rsidR="00F449C8" w:rsidRPr="0052731F">
        <w:rPr>
          <w:rFonts w:ascii="Garamond" w:hAnsi="Garamond"/>
          <w:sz w:val="24"/>
          <w:szCs w:val="24"/>
        </w:rPr>
        <w:t xml:space="preserve"> 2014</w:t>
      </w:r>
      <w:r w:rsidR="002B2349">
        <w:rPr>
          <w:rFonts w:ascii="Garamond" w:hAnsi="Garamond"/>
          <w:sz w:val="24"/>
          <w:szCs w:val="24"/>
        </w:rPr>
        <w:t xml:space="preserve">). The nutritional implications for the Global South are seen in rising obesity and non-communicable diseases alongside </w:t>
      </w:r>
      <w:r w:rsidR="00DB06CD">
        <w:rPr>
          <w:rFonts w:ascii="Garamond" w:hAnsi="Garamond"/>
          <w:sz w:val="24"/>
          <w:szCs w:val="24"/>
        </w:rPr>
        <w:t>persisting</w:t>
      </w:r>
      <w:r w:rsidR="002B2349">
        <w:rPr>
          <w:rFonts w:ascii="Garamond" w:hAnsi="Garamond"/>
          <w:sz w:val="24"/>
          <w:szCs w:val="24"/>
        </w:rPr>
        <w:t xml:space="preserve"> fo</w:t>
      </w:r>
      <w:r>
        <w:rPr>
          <w:rFonts w:ascii="Garamond" w:hAnsi="Garamond"/>
          <w:sz w:val="24"/>
          <w:szCs w:val="24"/>
        </w:rPr>
        <w:t>od insecurity and old-fashioned food policies</w:t>
      </w:r>
      <w:r w:rsidR="002B2349">
        <w:rPr>
          <w:rFonts w:ascii="Garamond" w:hAnsi="Garamond"/>
          <w:sz w:val="24"/>
          <w:szCs w:val="24"/>
        </w:rPr>
        <w:t xml:space="preserve"> (</w:t>
      </w:r>
      <w:proofErr w:type="spellStart"/>
      <w:r w:rsidR="002B2349">
        <w:rPr>
          <w:rFonts w:ascii="Garamond" w:hAnsi="Garamond"/>
          <w:sz w:val="24"/>
          <w:szCs w:val="24"/>
        </w:rPr>
        <w:t>Popkin</w:t>
      </w:r>
      <w:proofErr w:type="spellEnd"/>
      <w:r w:rsidR="002B2349">
        <w:rPr>
          <w:rFonts w:ascii="Garamond" w:hAnsi="Garamond"/>
          <w:sz w:val="24"/>
          <w:szCs w:val="24"/>
        </w:rPr>
        <w:t xml:space="preserve"> et al. 2012</w:t>
      </w:r>
      <w:r w:rsidR="004E1306">
        <w:rPr>
          <w:rFonts w:ascii="Garamond" w:hAnsi="Garamond"/>
          <w:sz w:val="24"/>
          <w:szCs w:val="24"/>
        </w:rPr>
        <w:t>; Masters et al. 2018</w:t>
      </w:r>
      <w:r w:rsidR="002B2349">
        <w:rPr>
          <w:rFonts w:ascii="Garamond" w:hAnsi="Garamond"/>
          <w:sz w:val="24"/>
          <w:szCs w:val="24"/>
        </w:rPr>
        <w:t xml:space="preserve">).  </w:t>
      </w:r>
      <w:r w:rsidR="004E1306" w:rsidRPr="004E1306">
        <w:rPr>
          <w:rFonts w:ascii="Garamond" w:hAnsi="Garamond"/>
          <w:sz w:val="24"/>
          <w:szCs w:val="24"/>
        </w:rPr>
        <w:t xml:space="preserve">Understanding how patterns of globalisation affect the welfare of populations is a key development question, but we know little about the way that the globalisation of food and agriculture systems affect different individuals or groups. Hawkes (2006) has suggested that dietary change will be experienced differently by rich and poor, by urban and rural populations. However, more context-specific evidence is needed to capture the complexity of impacts, and to </w:t>
      </w:r>
      <w:r w:rsidR="0099089F">
        <w:rPr>
          <w:rFonts w:ascii="Garamond" w:hAnsi="Garamond"/>
          <w:sz w:val="24"/>
          <w:szCs w:val="24"/>
        </w:rPr>
        <w:t>frame the urban food question in the</w:t>
      </w:r>
      <w:r w:rsidR="009F1561" w:rsidRPr="0002122F">
        <w:rPr>
          <w:rFonts w:ascii="Garamond" w:hAnsi="Garamond"/>
          <w:sz w:val="24"/>
          <w:szCs w:val="24"/>
        </w:rPr>
        <w:t xml:space="preserve"> economic, social and political factors that shape urban food systems.</w:t>
      </w:r>
      <w:r w:rsidR="009F1561">
        <w:rPr>
          <w:rFonts w:ascii="Garamond" w:hAnsi="Garamond"/>
          <w:sz w:val="24"/>
          <w:szCs w:val="24"/>
        </w:rPr>
        <w:t xml:space="preserve"> </w:t>
      </w:r>
      <w:r w:rsidR="002B2349">
        <w:rPr>
          <w:rFonts w:ascii="Garamond" w:hAnsi="Garamond"/>
          <w:sz w:val="24"/>
          <w:szCs w:val="24"/>
        </w:rPr>
        <w:t xml:space="preserve"> </w:t>
      </w:r>
    </w:p>
    <w:p w14:paraId="6E3F99B7" w14:textId="349DE269" w:rsidR="002B2349" w:rsidRDefault="002B2349" w:rsidP="002B2349">
      <w:pPr>
        <w:spacing w:line="480" w:lineRule="auto"/>
        <w:jc w:val="both"/>
        <w:rPr>
          <w:rFonts w:ascii="Garamond" w:hAnsi="Garamond"/>
          <w:sz w:val="24"/>
          <w:szCs w:val="24"/>
        </w:rPr>
      </w:pPr>
      <w:r>
        <w:rPr>
          <w:rFonts w:ascii="Garamond" w:hAnsi="Garamond"/>
          <w:sz w:val="24"/>
          <w:szCs w:val="24"/>
        </w:rPr>
        <w:t xml:space="preserve">This study explores food consumption among schoolchildren from different socio-economic backgrounds in Accra, using a novel approach based on triangulation of </w:t>
      </w:r>
      <w:r>
        <w:rPr>
          <w:rFonts w:ascii="Garamond" w:hAnsi="Garamond"/>
          <w:bCs/>
          <w:sz w:val="24"/>
          <w:szCs w:val="24"/>
        </w:rPr>
        <w:t>primary quantitative and qualitative data on food consumption and a synthesis of secondary</w:t>
      </w:r>
      <w:r w:rsidR="00DB06CD">
        <w:rPr>
          <w:rFonts w:ascii="Garamond" w:hAnsi="Garamond"/>
          <w:bCs/>
          <w:sz w:val="24"/>
          <w:szCs w:val="24"/>
        </w:rPr>
        <w:t xml:space="preserve"> literature on food trade, </w:t>
      </w:r>
      <w:r>
        <w:rPr>
          <w:rFonts w:ascii="Garamond" w:hAnsi="Garamond"/>
          <w:bCs/>
          <w:sz w:val="24"/>
          <w:szCs w:val="24"/>
        </w:rPr>
        <w:t xml:space="preserve">policy and urban food environment. Thus we bridge a divide between micro-level analyses of food consumption and macro-level studies of food systems. </w:t>
      </w:r>
      <w:r>
        <w:rPr>
          <w:rFonts w:ascii="Garamond" w:hAnsi="Garamond"/>
          <w:sz w:val="24"/>
          <w:szCs w:val="24"/>
        </w:rPr>
        <w:t xml:space="preserve">This paper has two main objectives. First, it seeks to extend the </w:t>
      </w:r>
      <w:r w:rsidR="00EF00D1">
        <w:rPr>
          <w:rFonts w:ascii="Garamond" w:hAnsi="Garamond"/>
          <w:sz w:val="24"/>
          <w:szCs w:val="24"/>
        </w:rPr>
        <w:t>literature on urban food consumption</w:t>
      </w:r>
      <w:r>
        <w:rPr>
          <w:rFonts w:ascii="Garamond" w:hAnsi="Garamond"/>
          <w:sz w:val="24"/>
          <w:szCs w:val="24"/>
        </w:rPr>
        <w:t xml:space="preserve"> through a case study of schoolchildren</w:t>
      </w:r>
      <w:r w:rsidR="00EF00D1">
        <w:rPr>
          <w:rFonts w:ascii="Garamond" w:hAnsi="Garamond"/>
          <w:sz w:val="24"/>
          <w:szCs w:val="24"/>
        </w:rPr>
        <w:t>, given the gap that persists in our knowledge on food access in the urban South (</w:t>
      </w:r>
      <w:proofErr w:type="spellStart"/>
      <w:r w:rsidR="00EF00D1">
        <w:rPr>
          <w:rFonts w:ascii="Garamond" w:hAnsi="Garamond"/>
          <w:sz w:val="24"/>
          <w:szCs w:val="24"/>
        </w:rPr>
        <w:t>Floro</w:t>
      </w:r>
      <w:proofErr w:type="spellEnd"/>
      <w:r w:rsidR="00EF00D1">
        <w:rPr>
          <w:rFonts w:ascii="Garamond" w:hAnsi="Garamond"/>
          <w:sz w:val="24"/>
          <w:szCs w:val="24"/>
        </w:rPr>
        <w:t xml:space="preserve"> and Swain 2013</w:t>
      </w:r>
      <w:r w:rsidR="00180AC4">
        <w:rPr>
          <w:rFonts w:ascii="Garamond" w:hAnsi="Garamond"/>
          <w:sz w:val="24"/>
          <w:szCs w:val="24"/>
        </w:rPr>
        <w:t>; Lagerkvist et al. 2013</w:t>
      </w:r>
      <w:r w:rsidR="00EF00D1">
        <w:rPr>
          <w:rFonts w:ascii="Garamond" w:hAnsi="Garamond"/>
          <w:sz w:val="24"/>
          <w:szCs w:val="24"/>
        </w:rPr>
        <w:t>)</w:t>
      </w:r>
      <w:r>
        <w:rPr>
          <w:rFonts w:ascii="Garamond" w:hAnsi="Garamond"/>
          <w:sz w:val="24"/>
          <w:szCs w:val="24"/>
        </w:rPr>
        <w:t>. Second, the paper inte</w:t>
      </w:r>
      <w:r w:rsidR="003A200F">
        <w:rPr>
          <w:rFonts w:ascii="Garamond" w:hAnsi="Garamond"/>
          <w:sz w:val="24"/>
          <w:szCs w:val="24"/>
        </w:rPr>
        <w:t>rrogates the urban food</w:t>
      </w:r>
      <w:r>
        <w:rPr>
          <w:rFonts w:ascii="Garamond" w:hAnsi="Garamond"/>
          <w:sz w:val="24"/>
          <w:szCs w:val="24"/>
        </w:rPr>
        <w:t xml:space="preserve"> question today, in the context of rising inequality and global dietary change. Thus it engages with studies </w:t>
      </w:r>
      <w:r w:rsidR="003979CC">
        <w:rPr>
          <w:rFonts w:ascii="Garamond" w:hAnsi="Garamond"/>
          <w:sz w:val="24"/>
          <w:szCs w:val="24"/>
        </w:rPr>
        <w:t>on inequality (</w:t>
      </w:r>
      <w:proofErr w:type="spellStart"/>
      <w:r w:rsidR="00EF00D1">
        <w:rPr>
          <w:rFonts w:ascii="Garamond" w:hAnsi="Garamond"/>
          <w:sz w:val="24"/>
          <w:szCs w:val="24"/>
        </w:rPr>
        <w:t>Kollamparambil</w:t>
      </w:r>
      <w:proofErr w:type="spellEnd"/>
      <w:r w:rsidR="00EF00D1">
        <w:rPr>
          <w:rFonts w:ascii="Garamond" w:hAnsi="Garamond"/>
          <w:sz w:val="24"/>
          <w:szCs w:val="24"/>
        </w:rPr>
        <w:t xml:space="preserve"> 2017; </w:t>
      </w:r>
      <w:proofErr w:type="spellStart"/>
      <w:r w:rsidR="003979CC">
        <w:rPr>
          <w:rFonts w:ascii="Garamond" w:hAnsi="Garamond"/>
          <w:sz w:val="24"/>
          <w:szCs w:val="24"/>
        </w:rPr>
        <w:t>Agyre-Tettey</w:t>
      </w:r>
      <w:proofErr w:type="spellEnd"/>
      <w:r w:rsidR="003979CC">
        <w:rPr>
          <w:rFonts w:ascii="Garamond" w:hAnsi="Garamond"/>
          <w:sz w:val="24"/>
          <w:szCs w:val="24"/>
        </w:rPr>
        <w:t xml:space="preserve"> et al. 2018)</w:t>
      </w:r>
      <w:r w:rsidR="00CD7857">
        <w:rPr>
          <w:rFonts w:ascii="Garamond" w:hAnsi="Garamond"/>
          <w:sz w:val="24"/>
          <w:szCs w:val="24"/>
        </w:rPr>
        <w:t xml:space="preserve"> and on </w:t>
      </w:r>
      <w:r>
        <w:rPr>
          <w:rFonts w:ascii="Garamond" w:hAnsi="Garamond"/>
          <w:sz w:val="24"/>
          <w:szCs w:val="24"/>
        </w:rPr>
        <w:t>the nature of urban food security in African cities in the 1990s</w:t>
      </w:r>
      <w:r w:rsidR="00CD7857">
        <w:rPr>
          <w:rFonts w:ascii="Garamond" w:hAnsi="Garamond"/>
          <w:sz w:val="24"/>
          <w:szCs w:val="24"/>
        </w:rPr>
        <w:t xml:space="preserve"> (</w:t>
      </w:r>
      <w:r>
        <w:rPr>
          <w:rFonts w:ascii="Garamond" w:hAnsi="Garamond"/>
          <w:sz w:val="24"/>
          <w:szCs w:val="24"/>
        </w:rPr>
        <w:t>Levin et al. 1999; Maxwell 1999</w:t>
      </w:r>
      <w:r w:rsidR="00330FA2">
        <w:rPr>
          <w:rFonts w:ascii="Garamond" w:hAnsi="Garamond"/>
          <w:sz w:val="24"/>
          <w:szCs w:val="24"/>
        </w:rPr>
        <w:t>; Maxwell et al. 2000</w:t>
      </w:r>
      <w:r w:rsidR="00CD7857">
        <w:rPr>
          <w:rFonts w:ascii="Garamond" w:hAnsi="Garamond"/>
          <w:sz w:val="24"/>
          <w:szCs w:val="24"/>
        </w:rPr>
        <w:t>).</w:t>
      </w:r>
      <w:r>
        <w:rPr>
          <w:rFonts w:ascii="Garamond" w:hAnsi="Garamond"/>
          <w:sz w:val="24"/>
          <w:szCs w:val="24"/>
        </w:rPr>
        <w:t xml:space="preserve"> Finally, this paper proposes that to better understand urban food consumption, we need an integration of the research approac</w:t>
      </w:r>
      <w:r w:rsidR="003A200F">
        <w:rPr>
          <w:rFonts w:ascii="Garamond" w:hAnsi="Garamond"/>
          <w:sz w:val="24"/>
          <w:szCs w:val="24"/>
        </w:rPr>
        <w:t>hes used in public health and</w:t>
      </w:r>
      <w:r w:rsidR="003979CC">
        <w:rPr>
          <w:rFonts w:ascii="Garamond" w:hAnsi="Garamond"/>
          <w:sz w:val="24"/>
          <w:szCs w:val="24"/>
        </w:rPr>
        <w:t xml:space="preserve"> the political economy of</w:t>
      </w:r>
      <w:r w:rsidR="003A200F">
        <w:rPr>
          <w:rFonts w:ascii="Garamond" w:hAnsi="Garamond"/>
          <w:sz w:val="24"/>
          <w:szCs w:val="24"/>
        </w:rPr>
        <w:t xml:space="preserve"> </w:t>
      </w:r>
      <w:r>
        <w:rPr>
          <w:rFonts w:ascii="Garamond" w:hAnsi="Garamond"/>
          <w:sz w:val="24"/>
          <w:szCs w:val="24"/>
        </w:rPr>
        <w:t>food</w:t>
      </w:r>
      <w:r w:rsidR="003A200F">
        <w:rPr>
          <w:rFonts w:ascii="Garamond" w:hAnsi="Garamond"/>
          <w:sz w:val="24"/>
          <w:szCs w:val="24"/>
        </w:rPr>
        <w:t xml:space="preserve"> provisioning</w:t>
      </w:r>
      <w:r>
        <w:rPr>
          <w:rFonts w:ascii="Garamond" w:hAnsi="Garamond"/>
          <w:sz w:val="24"/>
          <w:szCs w:val="24"/>
        </w:rPr>
        <w:t xml:space="preserve">.  </w:t>
      </w:r>
    </w:p>
    <w:p w14:paraId="18F8EA15" w14:textId="667AFDE1" w:rsidR="002B2349" w:rsidRPr="00E825A4" w:rsidRDefault="002B2349" w:rsidP="002B2349">
      <w:pPr>
        <w:spacing w:line="480" w:lineRule="auto"/>
        <w:jc w:val="both"/>
        <w:rPr>
          <w:rFonts w:ascii="Garamond" w:hAnsi="Garamond"/>
          <w:sz w:val="24"/>
          <w:szCs w:val="24"/>
        </w:rPr>
      </w:pPr>
      <w:r>
        <w:rPr>
          <w:rFonts w:ascii="Garamond" w:hAnsi="Garamond"/>
          <w:sz w:val="24"/>
          <w:szCs w:val="24"/>
        </w:rPr>
        <w:lastRenderedPageBreak/>
        <w:t>We find that socio-economic status is a critical dimension of food consumption, with poorer children more vulnerable to food insecurity and narrow dietary diversity. However, consumption of packaged and processed foods, often sugar-rich and nutrient-poor, cuts across wealt</w:t>
      </w:r>
      <w:r w:rsidR="003A200F">
        <w:rPr>
          <w:rFonts w:ascii="Garamond" w:hAnsi="Garamond"/>
          <w:sz w:val="24"/>
          <w:szCs w:val="24"/>
        </w:rPr>
        <w:t xml:space="preserve">h groups. This illustrates the </w:t>
      </w:r>
      <w:r>
        <w:rPr>
          <w:rFonts w:ascii="Garamond" w:hAnsi="Garamond"/>
          <w:sz w:val="24"/>
          <w:szCs w:val="24"/>
        </w:rPr>
        <w:t xml:space="preserve">widespread desirability and availability of cheap, ultra-processed foods, with concomitant implications for future welfare of urban populations </w:t>
      </w:r>
      <w:r w:rsidR="005B382B">
        <w:rPr>
          <w:rFonts w:ascii="Garamond" w:hAnsi="Garamond"/>
          <w:sz w:val="24"/>
          <w:szCs w:val="24"/>
        </w:rPr>
        <w:t xml:space="preserve">in developing countries </w:t>
      </w:r>
      <w:r>
        <w:rPr>
          <w:rFonts w:ascii="Garamond" w:hAnsi="Garamond"/>
          <w:sz w:val="24"/>
          <w:szCs w:val="24"/>
        </w:rPr>
        <w:t>(Monteiro et al 2013). Thus industrial and trade policies that regulate food processing and content, as well as production and imports of cheap unhealthy foods are much needed.</w:t>
      </w:r>
    </w:p>
    <w:p w14:paraId="2038F0FC" w14:textId="63C3A4A1" w:rsidR="002B2349" w:rsidRDefault="002B2349" w:rsidP="002B2349">
      <w:pPr>
        <w:spacing w:line="480" w:lineRule="auto"/>
        <w:jc w:val="both"/>
        <w:rPr>
          <w:rFonts w:ascii="Garamond" w:hAnsi="Garamond"/>
          <w:sz w:val="24"/>
          <w:szCs w:val="24"/>
        </w:rPr>
      </w:pPr>
      <w:r>
        <w:rPr>
          <w:rFonts w:ascii="Garamond" w:hAnsi="Garamond"/>
          <w:sz w:val="24"/>
          <w:szCs w:val="24"/>
        </w:rPr>
        <w:t>The next section provides t</w:t>
      </w:r>
      <w:r w:rsidR="007F3F87">
        <w:rPr>
          <w:rFonts w:ascii="Garamond" w:hAnsi="Garamond"/>
          <w:sz w:val="24"/>
          <w:szCs w:val="24"/>
        </w:rPr>
        <w:t>he background on</w:t>
      </w:r>
      <w:r>
        <w:rPr>
          <w:rFonts w:ascii="Garamond" w:hAnsi="Garamond"/>
          <w:sz w:val="24"/>
          <w:szCs w:val="24"/>
        </w:rPr>
        <w:t xml:space="preserve"> agr</w:t>
      </w:r>
      <w:r w:rsidR="007F3F87">
        <w:rPr>
          <w:rFonts w:ascii="Garamond" w:hAnsi="Garamond"/>
          <w:sz w:val="24"/>
          <w:szCs w:val="24"/>
        </w:rPr>
        <w:t xml:space="preserve">icultural policy, </w:t>
      </w:r>
      <w:r>
        <w:rPr>
          <w:rFonts w:ascii="Garamond" w:hAnsi="Garamond"/>
          <w:sz w:val="24"/>
          <w:szCs w:val="24"/>
        </w:rPr>
        <w:t>urban food security</w:t>
      </w:r>
      <w:r w:rsidR="007F3F87">
        <w:rPr>
          <w:rFonts w:ascii="Garamond" w:hAnsi="Garamond"/>
          <w:sz w:val="24"/>
          <w:szCs w:val="24"/>
        </w:rPr>
        <w:t xml:space="preserve"> and dietary change</w:t>
      </w:r>
      <w:r>
        <w:rPr>
          <w:rFonts w:ascii="Garamond" w:hAnsi="Garamond"/>
          <w:sz w:val="24"/>
          <w:szCs w:val="24"/>
        </w:rPr>
        <w:t xml:space="preserve"> in Ghana, highlighting how concerns about urban food security have changed over time. The third section describes the study setting</w:t>
      </w:r>
      <w:r w:rsidR="007F3F87">
        <w:rPr>
          <w:rFonts w:ascii="Garamond" w:hAnsi="Garamond"/>
          <w:sz w:val="24"/>
          <w:szCs w:val="24"/>
        </w:rPr>
        <w:t xml:space="preserve"> and the methodology. The four</w:t>
      </w:r>
      <w:r w:rsidR="00435074">
        <w:rPr>
          <w:rFonts w:ascii="Garamond" w:hAnsi="Garamond"/>
          <w:sz w:val="24"/>
          <w:szCs w:val="24"/>
        </w:rPr>
        <w:t xml:space="preserve">th section presents the </w:t>
      </w:r>
      <w:r w:rsidR="000E63E7">
        <w:rPr>
          <w:rFonts w:ascii="Garamond" w:hAnsi="Garamond"/>
          <w:sz w:val="24"/>
          <w:szCs w:val="24"/>
        </w:rPr>
        <w:t xml:space="preserve">findings </w:t>
      </w:r>
      <w:r w:rsidR="007F3F87">
        <w:rPr>
          <w:rFonts w:ascii="Garamond" w:hAnsi="Garamond"/>
          <w:sz w:val="24"/>
          <w:szCs w:val="24"/>
        </w:rPr>
        <w:t>on urban food provisioning</w:t>
      </w:r>
      <w:r w:rsidR="00435074">
        <w:rPr>
          <w:rFonts w:ascii="Garamond" w:hAnsi="Garamond"/>
          <w:sz w:val="24"/>
          <w:szCs w:val="24"/>
        </w:rPr>
        <w:t xml:space="preserve"> (4.1)</w:t>
      </w:r>
      <w:r w:rsidR="007F3F87">
        <w:rPr>
          <w:rFonts w:ascii="Garamond" w:hAnsi="Garamond"/>
          <w:sz w:val="24"/>
          <w:szCs w:val="24"/>
        </w:rPr>
        <w:t xml:space="preserve">, </w:t>
      </w:r>
      <w:r w:rsidR="00435074">
        <w:rPr>
          <w:rFonts w:ascii="Garamond" w:hAnsi="Garamond"/>
          <w:sz w:val="24"/>
          <w:szCs w:val="24"/>
        </w:rPr>
        <w:t xml:space="preserve">food security (4.2), </w:t>
      </w:r>
      <w:r w:rsidR="007F3F87">
        <w:rPr>
          <w:rFonts w:ascii="Garamond" w:hAnsi="Garamond"/>
          <w:sz w:val="24"/>
          <w:szCs w:val="24"/>
        </w:rPr>
        <w:t>food consumption</w:t>
      </w:r>
      <w:r w:rsidR="00435074">
        <w:rPr>
          <w:rFonts w:ascii="Garamond" w:hAnsi="Garamond"/>
          <w:sz w:val="24"/>
          <w:szCs w:val="24"/>
        </w:rPr>
        <w:t xml:space="preserve"> (4.3)</w:t>
      </w:r>
      <w:r w:rsidR="007F3F87">
        <w:rPr>
          <w:rFonts w:ascii="Garamond" w:hAnsi="Garamond"/>
          <w:sz w:val="24"/>
          <w:szCs w:val="24"/>
        </w:rPr>
        <w:t xml:space="preserve"> and </w:t>
      </w:r>
      <w:r w:rsidR="00435074">
        <w:rPr>
          <w:rFonts w:ascii="Garamond" w:hAnsi="Garamond"/>
          <w:sz w:val="24"/>
          <w:szCs w:val="24"/>
        </w:rPr>
        <w:t xml:space="preserve">food </w:t>
      </w:r>
      <w:r w:rsidR="007F3F87">
        <w:rPr>
          <w:rFonts w:ascii="Garamond" w:hAnsi="Garamond"/>
          <w:sz w:val="24"/>
          <w:szCs w:val="24"/>
        </w:rPr>
        <w:t>knowledge</w:t>
      </w:r>
      <w:r w:rsidR="00435074">
        <w:rPr>
          <w:rFonts w:ascii="Garamond" w:hAnsi="Garamond"/>
          <w:sz w:val="24"/>
          <w:szCs w:val="24"/>
        </w:rPr>
        <w:t xml:space="preserve"> (4.4)</w:t>
      </w:r>
      <w:r w:rsidR="007F3F87">
        <w:rPr>
          <w:rFonts w:ascii="Garamond" w:hAnsi="Garamond"/>
          <w:sz w:val="24"/>
          <w:szCs w:val="24"/>
        </w:rPr>
        <w:t>.</w:t>
      </w:r>
      <w:r>
        <w:rPr>
          <w:rFonts w:ascii="Garamond" w:hAnsi="Garamond"/>
          <w:sz w:val="24"/>
          <w:szCs w:val="24"/>
        </w:rPr>
        <w:t xml:space="preserve"> </w:t>
      </w:r>
      <w:r w:rsidR="009A1534">
        <w:rPr>
          <w:rFonts w:ascii="Garamond" w:hAnsi="Garamond"/>
          <w:sz w:val="24"/>
          <w:szCs w:val="24"/>
        </w:rPr>
        <w:t>The final section</w:t>
      </w:r>
      <w:r w:rsidR="003A200F">
        <w:rPr>
          <w:rFonts w:ascii="Garamond" w:hAnsi="Garamond"/>
          <w:sz w:val="24"/>
          <w:szCs w:val="24"/>
        </w:rPr>
        <w:t xml:space="preserve"> discus</w:t>
      </w:r>
      <w:r w:rsidR="009A1534">
        <w:rPr>
          <w:rFonts w:ascii="Garamond" w:hAnsi="Garamond"/>
          <w:sz w:val="24"/>
          <w:szCs w:val="24"/>
        </w:rPr>
        <w:t>ses th</w:t>
      </w:r>
      <w:r w:rsidR="000E63E7">
        <w:rPr>
          <w:rFonts w:ascii="Garamond" w:hAnsi="Garamond"/>
          <w:sz w:val="24"/>
          <w:szCs w:val="24"/>
        </w:rPr>
        <w:t>e results</w:t>
      </w:r>
      <w:r w:rsidR="009A1534">
        <w:rPr>
          <w:rFonts w:ascii="Garamond" w:hAnsi="Garamond"/>
          <w:sz w:val="24"/>
          <w:szCs w:val="24"/>
        </w:rPr>
        <w:t xml:space="preserve"> and concludes</w:t>
      </w:r>
      <w:r>
        <w:rPr>
          <w:rFonts w:ascii="Garamond" w:hAnsi="Garamond"/>
          <w:sz w:val="24"/>
          <w:szCs w:val="24"/>
        </w:rPr>
        <w:t xml:space="preserve">. </w:t>
      </w:r>
    </w:p>
    <w:p w14:paraId="0E132765" w14:textId="18D1F5F8" w:rsidR="004E00D4" w:rsidRDefault="00435074" w:rsidP="002B2349">
      <w:pPr>
        <w:spacing w:line="480" w:lineRule="auto"/>
        <w:jc w:val="both"/>
        <w:rPr>
          <w:rFonts w:ascii="Garamond" w:hAnsi="Garamond"/>
          <w:b/>
          <w:bCs/>
          <w:sz w:val="24"/>
          <w:szCs w:val="24"/>
        </w:rPr>
      </w:pPr>
      <w:r>
        <w:rPr>
          <w:rFonts w:ascii="Garamond" w:hAnsi="Garamond"/>
          <w:b/>
          <w:bCs/>
          <w:sz w:val="24"/>
          <w:szCs w:val="24"/>
        </w:rPr>
        <w:t xml:space="preserve">2 </w:t>
      </w:r>
      <w:r w:rsidR="00502B9A" w:rsidRPr="002B2349">
        <w:rPr>
          <w:rFonts w:ascii="Garamond" w:hAnsi="Garamond"/>
          <w:b/>
          <w:bCs/>
          <w:sz w:val="24"/>
          <w:szCs w:val="24"/>
        </w:rPr>
        <w:t>Agricultural policy, d</w:t>
      </w:r>
      <w:r w:rsidR="00BC4DDB" w:rsidRPr="002B2349">
        <w:rPr>
          <w:rFonts w:ascii="Garamond" w:hAnsi="Garamond"/>
          <w:b/>
          <w:bCs/>
          <w:sz w:val="24"/>
          <w:szCs w:val="24"/>
        </w:rPr>
        <w:t>ietary change</w:t>
      </w:r>
      <w:r w:rsidR="00502B9A" w:rsidRPr="002B2349">
        <w:rPr>
          <w:rFonts w:ascii="Garamond" w:hAnsi="Garamond"/>
          <w:b/>
          <w:bCs/>
          <w:sz w:val="24"/>
          <w:szCs w:val="24"/>
        </w:rPr>
        <w:t xml:space="preserve"> </w:t>
      </w:r>
      <w:r w:rsidR="00846CDC" w:rsidRPr="002B2349">
        <w:rPr>
          <w:rFonts w:ascii="Garamond" w:hAnsi="Garamond"/>
          <w:b/>
          <w:bCs/>
          <w:sz w:val="24"/>
          <w:szCs w:val="24"/>
        </w:rPr>
        <w:t>and urban food security</w:t>
      </w:r>
      <w:r w:rsidR="004E00D4" w:rsidRPr="002B2349">
        <w:rPr>
          <w:rFonts w:ascii="Garamond" w:hAnsi="Garamond"/>
          <w:b/>
          <w:bCs/>
          <w:sz w:val="24"/>
          <w:szCs w:val="24"/>
        </w:rPr>
        <w:t xml:space="preserve"> in Ghana</w:t>
      </w:r>
    </w:p>
    <w:p w14:paraId="4DBE3A01" w14:textId="77777777" w:rsidR="001F1340" w:rsidRDefault="001F1340" w:rsidP="001F1340">
      <w:pPr>
        <w:spacing w:line="480" w:lineRule="auto"/>
        <w:jc w:val="both"/>
        <w:rPr>
          <w:rFonts w:ascii="Garamond" w:hAnsi="Garamond"/>
          <w:sz w:val="24"/>
          <w:szCs w:val="24"/>
        </w:rPr>
      </w:pPr>
      <w:r>
        <w:rPr>
          <w:rFonts w:ascii="Garamond" w:hAnsi="Garamond"/>
          <w:sz w:val="24"/>
          <w:szCs w:val="24"/>
        </w:rPr>
        <w:t>Between 1970 and 1982, agricultural policy in Ghana had at its core Operation Feed Yourself (OFY), aimed at increased production of maize and rice to achieve national food self-sufficiency, especially for the growing urban population and the industrial sector (</w:t>
      </w:r>
      <w:proofErr w:type="spellStart"/>
      <w:r>
        <w:rPr>
          <w:rFonts w:ascii="Garamond" w:hAnsi="Garamond"/>
          <w:sz w:val="24"/>
          <w:szCs w:val="24"/>
        </w:rPr>
        <w:t>Girdner</w:t>
      </w:r>
      <w:proofErr w:type="spellEnd"/>
      <w:r>
        <w:rPr>
          <w:rFonts w:ascii="Garamond" w:hAnsi="Garamond"/>
          <w:sz w:val="24"/>
          <w:szCs w:val="24"/>
        </w:rPr>
        <w:t xml:space="preserve"> et al. 1980; </w:t>
      </w:r>
      <w:proofErr w:type="spellStart"/>
      <w:r>
        <w:rPr>
          <w:rFonts w:ascii="Garamond" w:hAnsi="Garamond"/>
          <w:sz w:val="24"/>
          <w:szCs w:val="24"/>
        </w:rPr>
        <w:t>Nyanteng</w:t>
      </w:r>
      <w:proofErr w:type="spellEnd"/>
      <w:r>
        <w:rPr>
          <w:rFonts w:ascii="Garamond" w:hAnsi="Garamond"/>
          <w:sz w:val="24"/>
          <w:szCs w:val="24"/>
        </w:rPr>
        <w:t xml:space="preserve"> and </w:t>
      </w:r>
      <w:proofErr w:type="spellStart"/>
      <w:r>
        <w:rPr>
          <w:rFonts w:ascii="Garamond" w:hAnsi="Garamond"/>
          <w:sz w:val="24"/>
          <w:szCs w:val="24"/>
        </w:rPr>
        <w:t>Seini</w:t>
      </w:r>
      <w:proofErr w:type="spellEnd"/>
      <w:r>
        <w:rPr>
          <w:rFonts w:ascii="Garamond" w:hAnsi="Garamond"/>
          <w:sz w:val="24"/>
          <w:szCs w:val="24"/>
        </w:rPr>
        <w:t xml:space="preserve"> 2000). Rice production increased and cocoa production, previously the dominant export crop, declined (</w:t>
      </w:r>
      <w:proofErr w:type="spellStart"/>
      <w:r>
        <w:rPr>
          <w:rFonts w:ascii="Garamond" w:hAnsi="Garamond"/>
          <w:sz w:val="24"/>
          <w:szCs w:val="24"/>
        </w:rPr>
        <w:t>Nyanteng</w:t>
      </w:r>
      <w:proofErr w:type="spellEnd"/>
      <w:r>
        <w:rPr>
          <w:rFonts w:ascii="Garamond" w:hAnsi="Garamond"/>
          <w:sz w:val="24"/>
          <w:szCs w:val="24"/>
        </w:rPr>
        <w:t xml:space="preserve"> and </w:t>
      </w:r>
      <w:proofErr w:type="spellStart"/>
      <w:r>
        <w:rPr>
          <w:rFonts w:ascii="Garamond" w:hAnsi="Garamond"/>
          <w:sz w:val="24"/>
          <w:szCs w:val="24"/>
        </w:rPr>
        <w:t>Seini</w:t>
      </w:r>
      <w:proofErr w:type="spellEnd"/>
      <w:r>
        <w:rPr>
          <w:rFonts w:ascii="Garamond" w:hAnsi="Garamond"/>
          <w:sz w:val="24"/>
          <w:szCs w:val="24"/>
        </w:rPr>
        <w:t xml:space="preserve"> 2000). </w:t>
      </w:r>
      <w:proofErr w:type="spellStart"/>
      <w:r>
        <w:rPr>
          <w:rFonts w:ascii="Garamond" w:hAnsi="Garamond"/>
          <w:sz w:val="24"/>
          <w:szCs w:val="24"/>
        </w:rPr>
        <w:t>Girdner</w:t>
      </w:r>
      <w:proofErr w:type="spellEnd"/>
      <w:r>
        <w:rPr>
          <w:rFonts w:ascii="Garamond" w:hAnsi="Garamond"/>
          <w:sz w:val="24"/>
          <w:szCs w:val="24"/>
        </w:rPr>
        <w:t xml:space="preserve"> et al. (1980) argue that, while agricultural policy of the 1970s promoted domestic food production, Ghana remained overly reliant on colonial export commodities – cocoa and palm oil – and, by consequence, had to pay a high bill for food imports. </w:t>
      </w:r>
    </w:p>
    <w:p w14:paraId="15C414E7" w14:textId="77777777" w:rsidR="001F1340" w:rsidRDefault="001F1340" w:rsidP="001F1340">
      <w:pPr>
        <w:spacing w:line="480" w:lineRule="auto"/>
        <w:jc w:val="both"/>
        <w:rPr>
          <w:rFonts w:ascii="Garamond" w:hAnsi="Garamond"/>
          <w:sz w:val="24"/>
          <w:szCs w:val="24"/>
        </w:rPr>
      </w:pPr>
      <w:r>
        <w:rPr>
          <w:rFonts w:ascii="Garamond" w:hAnsi="Garamond"/>
          <w:sz w:val="24"/>
          <w:szCs w:val="24"/>
        </w:rPr>
        <w:t>T</w:t>
      </w:r>
      <w:r w:rsidRPr="00F24DD8">
        <w:rPr>
          <w:rFonts w:ascii="Garamond" w:hAnsi="Garamond"/>
          <w:sz w:val="24"/>
          <w:szCs w:val="24"/>
        </w:rPr>
        <w:t>he Ghanaian economy was hit by macroeconomic and political instability in the second half of the 1970s</w:t>
      </w:r>
      <w:r>
        <w:rPr>
          <w:rFonts w:ascii="Garamond" w:hAnsi="Garamond"/>
          <w:sz w:val="24"/>
          <w:szCs w:val="24"/>
        </w:rPr>
        <w:t xml:space="preserve">, which resulted in urban protests driven by food shortages and high food prices (Maxwell 1999) and led to the implementation of the Economic Recovery Programme (ERP) in 1983, a set of reforms supported by the International Monetary Fund. At first, the ERP for the agricultural </w:t>
      </w:r>
      <w:r>
        <w:rPr>
          <w:rFonts w:ascii="Garamond" w:hAnsi="Garamond"/>
          <w:sz w:val="24"/>
          <w:szCs w:val="24"/>
        </w:rPr>
        <w:lastRenderedPageBreak/>
        <w:t>sector sought to maintain self-sufficiency in cereals production but also to boost cocoa exports (</w:t>
      </w:r>
      <w:proofErr w:type="spellStart"/>
      <w:r>
        <w:rPr>
          <w:rFonts w:ascii="Garamond" w:hAnsi="Garamond"/>
          <w:sz w:val="24"/>
          <w:szCs w:val="24"/>
        </w:rPr>
        <w:t>Nyanteng</w:t>
      </w:r>
      <w:proofErr w:type="spellEnd"/>
      <w:r>
        <w:rPr>
          <w:rFonts w:ascii="Garamond" w:hAnsi="Garamond"/>
          <w:sz w:val="24"/>
          <w:szCs w:val="24"/>
        </w:rPr>
        <w:t xml:space="preserve"> and </w:t>
      </w:r>
      <w:proofErr w:type="spellStart"/>
      <w:r>
        <w:rPr>
          <w:rFonts w:ascii="Garamond" w:hAnsi="Garamond"/>
          <w:sz w:val="24"/>
          <w:szCs w:val="24"/>
        </w:rPr>
        <w:t>Seini</w:t>
      </w:r>
      <w:proofErr w:type="spellEnd"/>
      <w:r>
        <w:rPr>
          <w:rFonts w:ascii="Garamond" w:hAnsi="Garamond"/>
          <w:sz w:val="24"/>
          <w:szCs w:val="24"/>
        </w:rPr>
        <w:t xml:space="preserve"> 2000). In later phases of the programme, focus shifted to non-traditional export crops due to decline of traditional commodity prices (</w:t>
      </w:r>
      <w:proofErr w:type="spellStart"/>
      <w:r>
        <w:rPr>
          <w:rFonts w:ascii="Garamond" w:hAnsi="Garamond"/>
          <w:sz w:val="24"/>
          <w:szCs w:val="24"/>
        </w:rPr>
        <w:t>Ouma</w:t>
      </w:r>
      <w:proofErr w:type="spellEnd"/>
      <w:r>
        <w:rPr>
          <w:rFonts w:ascii="Garamond" w:hAnsi="Garamond"/>
          <w:sz w:val="24"/>
          <w:szCs w:val="24"/>
        </w:rPr>
        <w:t xml:space="preserve"> 2015; </w:t>
      </w:r>
      <w:proofErr w:type="spellStart"/>
      <w:r>
        <w:rPr>
          <w:rFonts w:ascii="Garamond" w:hAnsi="Garamond"/>
          <w:sz w:val="24"/>
          <w:szCs w:val="24"/>
        </w:rPr>
        <w:t>Amanor</w:t>
      </w:r>
      <w:proofErr w:type="spellEnd"/>
      <w:r>
        <w:rPr>
          <w:rFonts w:ascii="Garamond" w:hAnsi="Garamond"/>
          <w:sz w:val="24"/>
          <w:szCs w:val="24"/>
        </w:rPr>
        <w:t xml:space="preserve"> and </w:t>
      </w:r>
      <w:proofErr w:type="spellStart"/>
      <w:r>
        <w:rPr>
          <w:rFonts w:ascii="Garamond" w:hAnsi="Garamond"/>
          <w:sz w:val="24"/>
          <w:szCs w:val="24"/>
        </w:rPr>
        <w:t>Chichava</w:t>
      </w:r>
      <w:proofErr w:type="spellEnd"/>
      <w:r>
        <w:rPr>
          <w:rFonts w:ascii="Garamond" w:hAnsi="Garamond"/>
          <w:sz w:val="24"/>
          <w:szCs w:val="24"/>
        </w:rPr>
        <w:t xml:space="preserve"> 2016). With the removal of agricultural subsidies and later expansion of export horticulture, food imports continued to grow (</w:t>
      </w:r>
      <w:proofErr w:type="spellStart"/>
      <w:r>
        <w:rPr>
          <w:rFonts w:ascii="Garamond" w:hAnsi="Garamond"/>
          <w:sz w:val="24"/>
          <w:szCs w:val="24"/>
        </w:rPr>
        <w:t>Amanor</w:t>
      </w:r>
      <w:proofErr w:type="spellEnd"/>
      <w:r>
        <w:rPr>
          <w:rFonts w:ascii="Garamond" w:hAnsi="Garamond"/>
          <w:sz w:val="24"/>
          <w:szCs w:val="24"/>
        </w:rPr>
        <w:t xml:space="preserve"> and </w:t>
      </w:r>
      <w:proofErr w:type="spellStart"/>
      <w:r>
        <w:rPr>
          <w:rFonts w:ascii="Garamond" w:hAnsi="Garamond"/>
          <w:sz w:val="24"/>
          <w:szCs w:val="24"/>
        </w:rPr>
        <w:t>Chichava</w:t>
      </w:r>
      <w:proofErr w:type="spellEnd"/>
      <w:r>
        <w:rPr>
          <w:rFonts w:ascii="Garamond" w:hAnsi="Garamond"/>
          <w:sz w:val="24"/>
          <w:szCs w:val="24"/>
        </w:rPr>
        <w:t xml:space="preserve"> 2016).</w:t>
      </w:r>
    </w:p>
    <w:p w14:paraId="1E62A1E9" w14:textId="7F21074A" w:rsidR="001F1340" w:rsidRDefault="001F1340" w:rsidP="001F1340">
      <w:pPr>
        <w:spacing w:line="480" w:lineRule="auto"/>
        <w:jc w:val="both"/>
        <w:rPr>
          <w:rFonts w:ascii="Garamond" w:hAnsi="Garamond"/>
          <w:sz w:val="24"/>
          <w:szCs w:val="24"/>
        </w:rPr>
      </w:pPr>
      <w:r>
        <w:rPr>
          <w:rFonts w:ascii="Garamond" w:hAnsi="Garamond"/>
          <w:sz w:val="24"/>
          <w:szCs w:val="24"/>
        </w:rPr>
        <w:t xml:space="preserve">Structural adjustment also caused rising unemployment and declining urban wages, thus affecting urban population’s ability to buy </w:t>
      </w:r>
      <w:r w:rsidR="007F3F87">
        <w:rPr>
          <w:rFonts w:ascii="Garamond" w:hAnsi="Garamond"/>
          <w:sz w:val="24"/>
          <w:szCs w:val="24"/>
        </w:rPr>
        <w:t>food (Maxwell 1999). In Accra,</w:t>
      </w:r>
      <w:r>
        <w:rPr>
          <w:rFonts w:ascii="Garamond" w:hAnsi="Garamond"/>
          <w:sz w:val="24"/>
          <w:szCs w:val="24"/>
        </w:rPr>
        <w:t xml:space="preserve"> households responded by diversifying income sources and taking up various paid jobs and cash-earning activities in the informal economy (Levin 1999; Maxwell 1999). Women’s increased participation in income-generating activities, such as petty trading and food preparation for sale, and increasing prominence of street food have been seen as outcomes of this period of economic liberalisation (</w:t>
      </w:r>
      <w:r w:rsidRPr="008477E1">
        <w:rPr>
          <w:rFonts w:ascii="Garamond" w:hAnsi="Garamond"/>
          <w:i/>
          <w:iCs/>
          <w:sz w:val="24"/>
          <w:szCs w:val="24"/>
        </w:rPr>
        <w:t>Ibid.</w:t>
      </w:r>
      <w:r>
        <w:rPr>
          <w:rFonts w:ascii="Garamond" w:hAnsi="Garamond"/>
          <w:sz w:val="24"/>
          <w:szCs w:val="24"/>
        </w:rPr>
        <w:t xml:space="preserve">). </w:t>
      </w:r>
    </w:p>
    <w:p w14:paraId="48EA1FC4" w14:textId="5D959CDE" w:rsidR="001F1340" w:rsidRDefault="001F1340" w:rsidP="001F1340">
      <w:pPr>
        <w:spacing w:line="480" w:lineRule="auto"/>
        <w:jc w:val="both"/>
        <w:rPr>
          <w:rFonts w:ascii="Garamond" w:hAnsi="Garamond"/>
          <w:sz w:val="24"/>
          <w:szCs w:val="24"/>
        </w:rPr>
      </w:pPr>
      <w:r>
        <w:rPr>
          <w:rFonts w:ascii="Garamond" w:hAnsi="Garamond"/>
          <w:sz w:val="24"/>
          <w:szCs w:val="24"/>
        </w:rPr>
        <w:t xml:space="preserve">Thus reliance on food imports and </w:t>
      </w:r>
      <w:proofErr w:type="spellStart"/>
      <w:r>
        <w:rPr>
          <w:rFonts w:ascii="Garamond" w:hAnsi="Garamond"/>
          <w:sz w:val="24"/>
          <w:szCs w:val="24"/>
        </w:rPr>
        <w:t>informalisation</w:t>
      </w:r>
      <w:proofErr w:type="spellEnd"/>
      <w:r>
        <w:rPr>
          <w:rFonts w:ascii="Garamond" w:hAnsi="Garamond"/>
          <w:sz w:val="24"/>
          <w:szCs w:val="24"/>
        </w:rPr>
        <w:t xml:space="preserve"> of employment, which has shaped food supply in urban areas through, </w:t>
      </w:r>
      <w:r>
        <w:rPr>
          <w:rFonts w:ascii="Garamond" w:hAnsi="Garamond"/>
          <w:i/>
          <w:iCs/>
          <w:sz w:val="24"/>
          <w:szCs w:val="24"/>
        </w:rPr>
        <w:t>inter alia</w:t>
      </w:r>
      <w:r>
        <w:rPr>
          <w:rFonts w:ascii="Garamond" w:hAnsi="Garamond"/>
          <w:sz w:val="24"/>
          <w:szCs w:val="24"/>
        </w:rPr>
        <w:t xml:space="preserve">, the expansion of street food and imported (packaged) foods, are key features of the Ghanaian food environment from the 1990s to the present. Based on broad national data, we know that Ghana produces approximately 50 per cent of its cereal and meat needs and </w:t>
      </w:r>
      <w:r w:rsidRPr="00815C86">
        <w:rPr>
          <w:rFonts w:ascii="Garamond" w:hAnsi="Garamond"/>
          <w:sz w:val="24"/>
          <w:szCs w:val="24"/>
        </w:rPr>
        <w:t>spends one billion USD on food imports</w:t>
      </w:r>
      <w:r>
        <w:rPr>
          <w:rFonts w:ascii="Garamond" w:hAnsi="Garamond"/>
          <w:sz w:val="24"/>
          <w:szCs w:val="24"/>
        </w:rPr>
        <w:t xml:space="preserve"> (</w:t>
      </w:r>
      <w:proofErr w:type="spellStart"/>
      <w:r>
        <w:rPr>
          <w:rFonts w:ascii="Garamond" w:hAnsi="Garamond"/>
          <w:sz w:val="24"/>
          <w:szCs w:val="24"/>
        </w:rPr>
        <w:t>Amanor</w:t>
      </w:r>
      <w:proofErr w:type="spellEnd"/>
      <w:r>
        <w:rPr>
          <w:rFonts w:ascii="Garamond" w:hAnsi="Garamond"/>
          <w:sz w:val="24"/>
          <w:szCs w:val="24"/>
        </w:rPr>
        <w:t xml:space="preserve"> and </w:t>
      </w:r>
      <w:proofErr w:type="spellStart"/>
      <w:r>
        <w:rPr>
          <w:rFonts w:ascii="Garamond" w:hAnsi="Garamond"/>
          <w:sz w:val="24"/>
          <w:szCs w:val="24"/>
        </w:rPr>
        <w:t>Chichava</w:t>
      </w:r>
      <w:proofErr w:type="spellEnd"/>
      <w:r>
        <w:rPr>
          <w:rFonts w:ascii="Garamond" w:hAnsi="Garamond"/>
          <w:sz w:val="24"/>
          <w:szCs w:val="24"/>
        </w:rPr>
        <w:t xml:space="preserve"> 2016). While the country is estimated to be self-sufficient in maize, cassava and yam production, it is dependent on imports of wheat and rice (</w:t>
      </w:r>
      <w:proofErr w:type="spellStart"/>
      <w:r>
        <w:rPr>
          <w:rFonts w:ascii="Garamond" w:hAnsi="Garamond"/>
          <w:sz w:val="24"/>
          <w:szCs w:val="24"/>
        </w:rPr>
        <w:t>Cudjoe</w:t>
      </w:r>
      <w:proofErr w:type="spellEnd"/>
      <w:r>
        <w:rPr>
          <w:rFonts w:ascii="Garamond" w:hAnsi="Garamond"/>
          <w:sz w:val="24"/>
          <w:szCs w:val="24"/>
        </w:rPr>
        <w:t xml:space="preserve"> et al. 2010). Over 70 per cent of rice, now the major staple in Ghana, is imported mostly from Thailand and Vietnam (</w:t>
      </w:r>
      <w:proofErr w:type="spellStart"/>
      <w:r>
        <w:rPr>
          <w:rFonts w:ascii="Garamond" w:hAnsi="Garamond"/>
          <w:sz w:val="24"/>
          <w:szCs w:val="24"/>
        </w:rPr>
        <w:t>Amanor</w:t>
      </w:r>
      <w:proofErr w:type="spellEnd"/>
      <w:r>
        <w:rPr>
          <w:rFonts w:ascii="Garamond" w:hAnsi="Garamond"/>
          <w:sz w:val="24"/>
          <w:szCs w:val="24"/>
        </w:rPr>
        <w:t xml:space="preserve"> 2015). </w:t>
      </w:r>
      <w:proofErr w:type="spellStart"/>
      <w:r>
        <w:rPr>
          <w:rFonts w:ascii="Garamond" w:hAnsi="Garamond"/>
          <w:sz w:val="24"/>
          <w:szCs w:val="24"/>
        </w:rPr>
        <w:t>Cudjoe</w:t>
      </w:r>
      <w:proofErr w:type="spellEnd"/>
      <w:r>
        <w:rPr>
          <w:rFonts w:ascii="Garamond" w:hAnsi="Garamond"/>
          <w:sz w:val="24"/>
          <w:szCs w:val="24"/>
        </w:rPr>
        <w:t xml:space="preserve"> et al. (2010) find that during the 2007-2008 food crisis, when international prices of wheat and rice sharply increased, the urban poor were the hardest hit because urban food prices follow more closely the movements of world prices. Thus the food crisis has exposed the country’s vulnerability due to dependence on food imports, and that the urban poor are at risk of food insecurity</w:t>
      </w:r>
      <w:r w:rsidR="00E45D77">
        <w:rPr>
          <w:rFonts w:ascii="Garamond" w:hAnsi="Garamond"/>
          <w:sz w:val="24"/>
          <w:szCs w:val="24"/>
        </w:rPr>
        <w:t>.</w:t>
      </w:r>
      <w:r>
        <w:rPr>
          <w:rFonts w:ascii="Garamond" w:hAnsi="Garamond"/>
          <w:sz w:val="24"/>
          <w:szCs w:val="24"/>
        </w:rPr>
        <w:t xml:space="preserve"> </w:t>
      </w:r>
    </w:p>
    <w:p w14:paraId="13E0B500" w14:textId="3B8B2870" w:rsidR="00D17ECF" w:rsidRDefault="001F1340" w:rsidP="001F1340">
      <w:pPr>
        <w:spacing w:line="480" w:lineRule="auto"/>
        <w:jc w:val="both"/>
        <w:rPr>
          <w:rFonts w:ascii="Garamond" w:hAnsi="Garamond"/>
          <w:sz w:val="24"/>
          <w:szCs w:val="24"/>
        </w:rPr>
      </w:pPr>
      <w:r>
        <w:rPr>
          <w:rFonts w:ascii="Garamond" w:hAnsi="Garamond"/>
          <w:sz w:val="24"/>
          <w:szCs w:val="24"/>
        </w:rPr>
        <w:lastRenderedPageBreak/>
        <w:t>What are the implications for pa</w:t>
      </w:r>
      <w:r w:rsidR="00E45D77">
        <w:rPr>
          <w:rFonts w:ascii="Garamond" w:hAnsi="Garamond"/>
          <w:sz w:val="24"/>
          <w:szCs w:val="24"/>
        </w:rPr>
        <w:t>tterns of urban diets</w:t>
      </w:r>
      <w:r>
        <w:rPr>
          <w:rFonts w:ascii="Garamond" w:hAnsi="Garamond"/>
          <w:sz w:val="24"/>
          <w:szCs w:val="24"/>
        </w:rPr>
        <w:t>? Over the past few decades, progress in reducing hunger and undernutrition has been remarkable in Ghana, with the Global Hunger Index (GHI) decreasing from 42.7 in 1992 to 13.9 in 2016 (GHI 2016).</w:t>
      </w:r>
      <w:r w:rsidR="00D17ECF">
        <w:rPr>
          <w:rStyle w:val="Rimandonotadichiusura"/>
          <w:rFonts w:ascii="Garamond" w:hAnsi="Garamond"/>
          <w:sz w:val="24"/>
          <w:szCs w:val="24"/>
        </w:rPr>
        <w:endnoteReference w:id="1"/>
      </w:r>
      <w:r w:rsidR="00D17ECF">
        <w:rPr>
          <w:rFonts w:ascii="Garamond" w:hAnsi="Garamond"/>
          <w:sz w:val="24"/>
          <w:szCs w:val="24"/>
        </w:rPr>
        <w:t xml:space="preserve"> Regional data </w:t>
      </w:r>
      <w:r w:rsidR="00D17ECF" w:rsidRPr="002F73BE">
        <w:rPr>
          <w:rFonts w:ascii="Garamond" w:hAnsi="Garamond"/>
          <w:sz w:val="24"/>
          <w:szCs w:val="24"/>
        </w:rPr>
        <w:t>suggest that child undernutrition is highest in the poorer region</w:t>
      </w:r>
      <w:r w:rsidR="00D17ECF">
        <w:rPr>
          <w:rFonts w:ascii="Garamond" w:hAnsi="Garamond"/>
          <w:sz w:val="24"/>
          <w:szCs w:val="24"/>
        </w:rPr>
        <w:t>s</w:t>
      </w:r>
      <w:r w:rsidR="00D17ECF" w:rsidRPr="002F73BE">
        <w:rPr>
          <w:rFonts w:ascii="Garamond" w:hAnsi="Garamond"/>
          <w:sz w:val="24"/>
          <w:szCs w:val="24"/>
        </w:rPr>
        <w:t xml:space="preserve"> of the North and lowest in Greater Accra (D</w:t>
      </w:r>
      <w:r w:rsidR="00D17ECF">
        <w:rPr>
          <w:rFonts w:ascii="Garamond" w:hAnsi="Garamond"/>
          <w:sz w:val="24"/>
          <w:szCs w:val="24"/>
        </w:rPr>
        <w:t>emographic and Health Survey [D</w:t>
      </w:r>
      <w:r w:rsidR="00D17ECF" w:rsidRPr="002F73BE">
        <w:rPr>
          <w:rFonts w:ascii="Garamond" w:hAnsi="Garamond"/>
          <w:sz w:val="24"/>
          <w:szCs w:val="24"/>
        </w:rPr>
        <w:t>HS</w:t>
      </w:r>
      <w:r w:rsidR="00D17ECF">
        <w:rPr>
          <w:rFonts w:ascii="Garamond" w:hAnsi="Garamond"/>
          <w:sz w:val="24"/>
          <w:szCs w:val="24"/>
        </w:rPr>
        <w:t>]</w:t>
      </w:r>
      <w:r w:rsidR="00D17ECF" w:rsidRPr="002F73BE">
        <w:rPr>
          <w:rFonts w:ascii="Garamond" w:hAnsi="Garamond"/>
          <w:sz w:val="24"/>
          <w:szCs w:val="24"/>
        </w:rPr>
        <w:t xml:space="preserve"> 2014). </w:t>
      </w:r>
      <w:r w:rsidR="00D17ECF">
        <w:rPr>
          <w:rFonts w:ascii="Garamond" w:hAnsi="Garamond"/>
          <w:sz w:val="24"/>
          <w:szCs w:val="24"/>
        </w:rPr>
        <w:t>At the same time, overweight and obesity are increasing (</w:t>
      </w:r>
      <w:proofErr w:type="spellStart"/>
      <w:r w:rsidR="00D17ECF">
        <w:rPr>
          <w:rFonts w:ascii="Garamond" w:hAnsi="Garamond"/>
          <w:sz w:val="24"/>
          <w:szCs w:val="24"/>
        </w:rPr>
        <w:t>Ofori-Asenso</w:t>
      </w:r>
      <w:proofErr w:type="spellEnd"/>
      <w:r w:rsidR="00D17ECF">
        <w:rPr>
          <w:rFonts w:ascii="Garamond" w:hAnsi="Garamond"/>
          <w:sz w:val="24"/>
          <w:szCs w:val="24"/>
        </w:rPr>
        <w:t xml:space="preserve"> et al. 2016). </w:t>
      </w:r>
      <w:proofErr w:type="spellStart"/>
      <w:r w:rsidR="00D17ECF">
        <w:rPr>
          <w:rFonts w:ascii="Garamond" w:hAnsi="Garamond"/>
          <w:sz w:val="24"/>
          <w:szCs w:val="24"/>
        </w:rPr>
        <w:t>Overnutrition</w:t>
      </w:r>
      <w:proofErr w:type="spellEnd"/>
      <w:r w:rsidR="00D17ECF">
        <w:rPr>
          <w:rFonts w:ascii="Garamond" w:hAnsi="Garamond"/>
          <w:sz w:val="24"/>
          <w:szCs w:val="24"/>
        </w:rPr>
        <w:t xml:space="preserve"> appears to affect predominantly urban and wealthier individuals, and it is higher among women than men (DHS 2014). However, national and regional averages do not illuminate the pathways of change and leave us with no tools to identify the most vulnerable. </w:t>
      </w:r>
    </w:p>
    <w:p w14:paraId="4854C1FE" w14:textId="7FFD87BD" w:rsidR="00D17ECF" w:rsidRDefault="00D17ECF" w:rsidP="001F1340">
      <w:pPr>
        <w:spacing w:line="480" w:lineRule="auto"/>
        <w:jc w:val="both"/>
        <w:rPr>
          <w:rFonts w:ascii="Garamond" w:hAnsi="Garamond"/>
          <w:sz w:val="24"/>
          <w:szCs w:val="24"/>
        </w:rPr>
      </w:pPr>
      <w:r>
        <w:rPr>
          <w:rFonts w:ascii="Garamond" w:hAnsi="Garamond"/>
          <w:sz w:val="24"/>
          <w:szCs w:val="24"/>
        </w:rPr>
        <w:t>D</w:t>
      </w:r>
      <w:r w:rsidRPr="004C550F">
        <w:rPr>
          <w:rFonts w:ascii="Garamond" w:hAnsi="Garamond"/>
          <w:sz w:val="24"/>
          <w:szCs w:val="24"/>
        </w:rPr>
        <w:t xml:space="preserve">ietary change is underway in Ghana. </w:t>
      </w:r>
      <w:r>
        <w:rPr>
          <w:rFonts w:ascii="Garamond" w:hAnsi="Garamond"/>
          <w:sz w:val="24"/>
          <w:szCs w:val="24"/>
        </w:rPr>
        <w:t xml:space="preserve">Broad brush estimates suggest that </w:t>
      </w:r>
      <w:r w:rsidRPr="00F27608">
        <w:rPr>
          <w:rFonts w:ascii="Garamond" w:hAnsi="Garamond"/>
          <w:sz w:val="24"/>
          <w:szCs w:val="24"/>
        </w:rPr>
        <w:t xml:space="preserve">staple consumption </w:t>
      </w:r>
      <w:r>
        <w:rPr>
          <w:rFonts w:ascii="Garamond" w:hAnsi="Garamond"/>
          <w:sz w:val="24"/>
          <w:szCs w:val="24"/>
        </w:rPr>
        <w:t>is changing in composition, with greater prevalence of rice, which shows increasing trends in both production and imports, especially in the early 2000s (FAOSTAT). However,</w:t>
      </w:r>
      <w:r w:rsidRPr="00F27608">
        <w:rPr>
          <w:rFonts w:ascii="Garamond" w:hAnsi="Garamond"/>
          <w:sz w:val="24"/>
          <w:szCs w:val="24"/>
        </w:rPr>
        <w:t xml:space="preserve"> </w:t>
      </w:r>
      <w:r>
        <w:rPr>
          <w:rFonts w:ascii="Garamond" w:hAnsi="Garamond"/>
          <w:sz w:val="24"/>
          <w:szCs w:val="24"/>
        </w:rPr>
        <w:t>t</w:t>
      </w:r>
      <w:r w:rsidRPr="004C550F">
        <w:rPr>
          <w:rFonts w:ascii="Garamond" w:hAnsi="Garamond"/>
          <w:sz w:val="24"/>
          <w:szCs w:val="24"/>
        </w:rPr>
        <w:t>he share of dietary energy supply derived from cereals, roots a</w:t>
      </w:r>
      <w:r>
        <w:rPr>
          <w:rFonts w:ascii="Garamond" w:hAnsi="Garamond"/>
          <w:sz w:val="24"/>
          <w:szCs w:val="24"/>
        </w:rPr>
        <w:t>nd tubers is decreasing (</w:t>
      </w:r>
      <w:r w:rsidRPr="00F27608">
        <w:rPr>
          <w:rFonts w:ascii="Garamond" w:hAnsi="Garamond"/>
          <w:i/>
          <w:sz w:val="24"/>
          <w:szCs w:val="24"/>
        </w:rPr>
        <w:t>Ibid.</w:t>
      </w:r>
      <w:r w:rsidRPr="004C550F">
        <w:rPr>
          <w:rFonts w:ascii="Garamond" w:hAnsi="Garamond"/>
          <w:sz w:val="24"/>
          <w:szCs w:val="24"/>
        </w:rPr>
        <w:t xml:space="preserve">), which </w:t>
      </w:r>
      <w:r>
        <w:rPr>
          <w:rFonts w:ascii="Garamond" w:hAnsi="Garamond"/>
          <w:sz w:val="24"/>
          <w:szCs w:val="24"/>
        </w:rPr>
        <w:t>indicates</w:t>
      </w:r>
      <w:r w:rsidRPr="004C550F">
        <w:rPr>
          <w:rFonts w:ascii="Garamond" w:hAnsi="Garamond"/>
          <w:sz w:val="24"/>
          <w:szCs w:val="24"/>
        </w:rPr>
        <w:t xml:space="preserve"> that diets are becoming less reliant on cereals and more reliant on other foodstuff.</w:t>
      </w:r>
      <w:r>
        <w:rPr>
          <w:rStyle w:val="Rimandonotadichiusura"/>
          <w:rFonts w:ascii="Garamond" w:hAnsi="Garamond"/>
          <w:sz w:val="24"/>
          <w:szCs w:val="24"/>
        </w:rPr>
        <w:endnoteReference w:id="2"/>
      </w:r>
      <w:r w:rsidRPr="004C550F">
        <w:rPr>
          <w:rFonts w:ascii="Garamond" w:hAnsi="Garamond"/>
          <w:sz w:val="24"/>
          <w:szCs w:val="24"/>
        </w:rPr>
        <w:t xml:space="preserve"> This is in line with data on caloric intake on developing countries as a group suggesting that relative importance of cereals is stagnant or decreasing, and that of vegetable oils, sugar and meat is increasing (Food and Agriculture Organisation [FAO] 2015). </w:t>
      </w:r>
      <w:r>
        <w:rPr>
          <w:rFonts w:ascii="Garamond" w:hAnsi="Garamond"/>
          <w:sz w:val="24"/>
          <w:szCs w:val="24"/>
        </w:rPr>
        <w:t xml:space="preserve">In addition, staple consumption is shifting towards rice, with increasing trends in rice production and imports (FAOSTAT). </w:t>
      </w:r>
      <w:r w:rsidRPr="004C550F">
        <w:rPr>
          <w:rFonts w:ascii="Garamond" w:hAnsi="Garamond"/>
          <w:sz w:val="24"/>
          <w:szCs w:val="24"/>
        </w:rPr>
        <w:t>National-level data on food trade</w:t>
      </w:r>
      <w:r>
        <w:rPr>
          <w:rFonts w:ascii="Garamond" w:hAnsi="Garamond"/>
          <w:sz w:val="24"/>
          <w:szCs w:val="24"/>
        </w:rPr>
        <w:t xml:space="preserve"> in Ghana</w:t>
      </w:r>
      <w:r w:rsidRPr="004C550F">
        <w:rPr>
          <w:rFonts w:ascii="Garamond" w:hAnsi="Garamond"/>
          <w:sz w:val="24"/>
          <w:szCs w:val="24"/>
        </w:rPr>
        <w:t xml:space="preserve"> also indicate that imports of milk, dairy products, poultry and sugar are on an upward trend since the mid-1990s. Imports of vegetable oils and fruit have exceeded exports since the early 2000s (FAOSTAT). </w:t>
      </w:r>
      <w:r>
        <w:rPr>
          <w:rFonts w:ascii="Garamond" w:hAnsi="Garamond"/>
          <w:sz w:val="24"/>
          <w:szCs w:val="24"/>
        </w:rPr>
        <w:t xml:space="preserve">These patterns may suggest that diets are diversifying; however, there are also concerns about the deterioration of diet quality, with increased consumption of sugar-rich, nutrient-poor and ultra-processed foods, which is in turn linked </w:t>
      </w:r>
      <w:r>
        <w:rPr>
          <w:rFonts w:ascii="Garamond" w:hAnsi="Garamond"/>
          <w:i/>
          <w:iCs/>
          <w:sz w:val="24"/>
          <w:szCs w:val="24"/>
        </w:rPr>
        <w:t xml:space="preserve">inter alia </w:t>
      </w:r>
      <w:r>
        <w:rPr>
          <w:rFonts w:ascii="Garamond" w:hAnsi="Garamond"/>
          <w:sz w:val="24"/>
          <w:szCs w:val="24"/>
        </w:rPr>
        <w:t xml:space="preserve">to globalisation and liberalisation of food trade (Hawkes 2006; Hawkes and Murphy 2010).  Between 1990 and 2010, diets changed in contradictory ways, with some dietary patterns showing higher consumption of healthy foods and others based on greater intake of unhealthy foods (Imamura et al., 2015). </w:t>
      </w:r>
      <w:r>
        <w:rPr>
          <w:rFonts w:ascii="Garamond" w:hAnsi="Garamond"/>
          <w:sz w:val="24"/>
          <w:szCs w:val="24"/>
        </w:rPr>
        <w:lastRenderedPageBreak/>
        <w:t>Middle-income countries, of which Ghana is part, embody this ambivalence by showing the worst shifts in terms of increased consumption of unhealthy foods, but also improvements in consumption of healthy foods (</w:t>
      </w:r>
      <w:r w:rsidRPr="00AD5476">
        <w:rPr>
          <w:rFonts w:ascii="Garamond" w:hAnsi="Garamond"/>
          <w:i/>
          <w:sz w:val="24"/>
          <w:szCs w:val="24"/>
        </w:rPr>
        <w:t>Ibid.</w:t>
      </w:r>
      <w:r>
        <w:rPr>
          <w:rFonts w:ascii="Garamond" w:hAnsi="Garamond"/>
          <w:sz w:val="24"/>
          <w:szCs w:val="24"/>
        </w:rPr>
        <w:t>). In Ghana, the market value of packaged food</w:t>
      </w:r>
      <w:r>
        <w:rPr>
          <w:rStyle w:val="Rimandonotadichiusura"/>
          <w:rFonts w:ascii="Garamond" w:hAnsi="Garamond"/>
          <w:sz w:val="24"/>
          <w:szCs w:val="24"/>
        </w:rPr>
        <w:endnoteReference w:id="3"/>
      </w:r>
      <w:r>
        <w:rPr>
          <w:rFonts w:ascii="Garamond" w:hAnsi="Garamond"/>
          <w:sz w:val="24"/>
          <w:szCs w:val="24"/>
        </w:rPr>
        <w:t xml:space="preserve"> tripled between 2012 and 2018 and is forecasted to grow at one of the highest rates worldwide; currently, snacks make up one third of the total market value for packaged foods (</w:t>
      </w:r>
      <w:proofErr w:type="spellStart"/>
      <w:r>
        <w:rPr>
          <w:rFonts w:ascii="Garamond" w:hAnsi="Garamond"/>
          <w:sz w:val="24"/>
          <w:szCs w:val="24"/>
        </w:rPr>
        <w:t>Euromonitor</w:t>
      </w:r>
      <w:proofErr w:type="spellEnd"/>
      <w:r>
        <w:rPr>
          <w:rFonts w:ascii="Garamond" w:hAnsi="Garamond"/>
          <w:sz w:val="24"/>
          <w:szCs w:val="24"/>
        </w:rPr>
        <w:t xml:space="preserve"> International). Per-capita expenditure on packaged food almost doubled since 2004 (160 USD in 2018) and is now remarkably higher than in Nigeria (32 USD) (</w:t>
      </w:r>
      <w:r w:rsidRPr="007C746F">
        <w:rPr>
          <w:rFonts w:ascii="Garamond" w:hAnsi="Garamond"/>
          <w:i/>
          <w:sz w:val="24"/>
          <w:szCs w:val="24"/>
        </w:rPr>
        <w:t>Ibid.</w:t>
      </w:r>
      <w:r>
        <w:rPr>
          <w:rFonts w:ascii="Garamond" w:hAnsi="Garamond"/>
          <w:sz w:val="24"/>
          <w:szCs w:val="24"/>
        </w:rPr>
        <w:t xml:space="preserve">).  </w:t>
      </w:r>
    </w:p>
    <w:p w14:paraId="604AEDEA" w14:textId="38743624" w:rsidR="00D17ECF" w:rsidRDefault="00D17ECF" w:rsidP="002F045C">
      <w:pPr>
        <w:spacing w:line="480" w:lineRule="auto"/>
        <w:jc w:val="both"/>
        <w:rPr>
          <w:rFonts w:ascii="Garamond" w:hAnsi="Garamond"/>
          <w:sz w:val="24"/>
          <w:szCs w:val="24"/>
        </w:rPr>
      </w:pPr>
      <w:r>
        <w:rPr>
          <w:rFonts w:ascii="Garamond" w:hAnsi="Garamond"/>
          <w:sz w:val="24"/>
          <w:szCs w:val="24"/>
        </w:rPr>
        <w:t xml:space="preserve">In 2010, Ghana attained lower middle-income country status </w:t>
      </w:r>
      <w:r w:rsidRPr="00C86788">
        <w:rPr>
          <w:rFonts w:ascii="Garamond" w:hAnsi="Garamond"/>
          <w:sz w:val="24"/>
          <w:szCs w:val="24"/>
        </w:rPr>
        <w:t>(</w:t>
      </w:r>
      <w:proofErr w:type="spellStart"/>
      <w:r w:rsidRPr="00C86788">
        <w:rPr>
          <w:rFonts w:ascii="Garamond" w:hAnsi="Garamond"/>
          <w:sz w:val="24"/>
          <w:szCs w:val="24"/>
        </w:rPr>
        <w:t>Jerven</w:t>
      </w:r>
      <w:proofErr w:type="spellEnd"/>
      <w:r w:rsidRPr="00C86788">
        <w:rPr>
          <w:rFonts w:ascii="Garamond" w:hAnsi="Garamond"/>
          <w:sz w:val="24"/>
          <w:szCs w:val="24"/>
        </w:rPr>
        <w:t xml:space="preserve"> 2016)</w:t>
      </w:r>
      <w:r>
        <w:rPr>
          <w:rFonts w:ascii="Garamond" w:hAnsi="Garamond"/>
          <w:sz w:val="24"/>
          <w:szCs w:val="24"/>
        </w:rPr>
        <w:t xml:space="preserve"> and is considered by many as a success story given sustained GDP growth and good performance on human development indicators (Cooke et al. 2016). This has contributed to the emergence, or expansion, of the so-called middle class (Luckman et al. 2005). However, as Lentz (2015) describes, much of the Ghanaian middle class laments it cannot make ends meet. The story of success has come under serious threat due to collapse in export revenues for oil, cocoa and gold in recent years, and a worsening fiscal position.</w:t>
      </w:r>
      <w:r>
        <w:rPr>
          <w:rStyle w:val="Rimandonotadichiusura"/>
          <w:rFonts w:ascii="Garamond" w:hAnsi="Garamond"/>
          <w:sz w:val="24"/>
          <w:szCs w:val="24"/>
        </w:rPr>
        <w:endnoteReference w:id="4"/>
      </w:r>
      <w:r>
        <w:rPr>
          <w:rFonts w:ascii="Garamond" w:hAnsi="Garamond"/>
          <w:sz w:val="24"/>
          <w:szCs w:val="24"/>
        </w:rPr>
        <w:t xml:space="preserve"> This was accompanied by increase in prices of fuel, water and electricity paid by consumers, resulting in malcontent and urban protests. Economic downturn and rising cost of living are concerning especially for the poorer population, and for the impact on poverty and inequality. While poverty rates have fallen, inequality in Ghana has been on the rise since the early 1990s, with the most vulnerable social class continuing to expand much more strongly than other social groups in 2012-2017 (</w:t>
      </w:r>
      <w:proofErr w:type="spellStart"/>
      <w:r>
        <w:rPr>
          <w:rFonts w:ascii="Garamond" w:hAnsi="Garamond"/>
          <w:sz w:val="24"/>
          <w:szCs w:val="24"/>
        </w:rPr>
        <w:t>Annim</w:t>
      </w:r>
      <w:proofErr w:type="spellEnd"/>
      <w:r>
        <w:rPr>
          <w:rFonts w:ascii="Garamond" w:hAnsi="Garamond"/>
          <w:sz w:val="24"/>
          <w:szCs w:val="24"/>
        </w:rPr>
        <w:t xml:space="preserve"> et al. 2012; </w:t>
      </w:r>
      <w:proofErr w:type="spellStart"/>
      <w:r>
        <w:rPr>
          <w:rFonts w:ascii="Garamond" w:hAnsi="Garamond"/>
          <w:sz w:val="24"/>
          <w:szCs w:val="24"/>
        </w:rPr>
        <w:t>Obeng-Odoom</w:t>
      </w:r>
      <w:proofErr w:type="spellEnd"/>
      <w:r>
        <w:rPr>
          <w:rFonts w:ascii="Garamond" w:hAnsi="Garamond"/>
          <w:sz w:val="24"/>
          <w:szCs w:val="24"/>
        </w:rPr>
        <w:t xml:space="preserve"> 2012; Cooke et al. 2016; </w:t>
      </w:r>
      <w:proofErr w:type="spellStart"/>
      <w:r w:rsidRPr="005B382B">
        <w:rPr>
          <w:rFonts w:ascii="Garamond" w:hAnsi="Garamond"/>
          <w:sz w:val="24"/>
          <w:szCs w:val="24"/>
        </w:rPr>
        <w:t>Agyre-Tettey</w:t>
      </w:r>
      <w:proofErr w:type="spellEnd"/>
      <w:r w:rsidRPr="005B382B">
        <w:rPr>
          <w:rFonts w:ascii="Garamond" w:hAnsi="Garamond"/>
          <w:sz w:val="24"/>
          <w:szCs w:val="24"/>
        </w:rPr>
        <w:t xml:space="preserve"> et al. 2018</w:t>
      </w:r>
      <w:r>
        <w:rPr>
          <w:rFonts w:ascii="Garamond" w:hAnsi="Garamond"/>
          <w:sz w:val="24"/>
          <w:szCs w:val="24"/>
        </w:rPr>
        <w:t xml:space="preserve">; </w:t>
      </w:r>
      <w:proofErr w:type="spellStart"/>
      <w:r>
        <w:rPr>
          <w:rFonts w:ascii="Garamond" w:hAnsi="Garamond"/>
          <w:sz w:val="24"/>
          <w:szCs w:val="24"/>
        </w:rPr>
        <w:t>Euromonitor</w:t>
      </w:r>
      <w:proofErr w:type="spellEnd"/>
      <w:r>
        <w:rPr>
          <w:rFonts w:ascii="Garamond" w:hAnsi="Garamond"/>
          <w:sz w:val="24"/>
          <w:szCs w:val="24"/>
        </w:rPr>
        <w:t xml:space="preserve"> International). </w:t>
      </w:r>
    </w:p>
    <w:p w14:paraId="359600C7" w14:textId="62020C19" w:rsidR="00D17ECF" w:rsidRDefault="00D17ECF" w:rsidP="002F045C">
      <w:pPr>
        <w:spacing w:line="480" w:lineRule="auto"/>
        <w:jc w:val="both"/>
        <w:rPr>
          <w:rFonts w:ascii="Garamond" w:hAnsi="Garamond"/>
          <w:sz w:val="24"/>
          <w:szCs w:val="24"/>
        </w:rPr>
      </w:pPr>
      <w:r>
        <w:rPr>
          <w:rFonts w:ascii="Garamond" w:hAnsi="Garamond"/>
          <w:sz w:val="24"/>
          <w:szCs w:val="24"/>
        </w:rPr>
        <w:t xml:space="preserve">The Greater Accra Region shows the fastest-growing consumer expenditure as well as the lowest levels of poverty and intra-regional inequality nationally, </w:t>
      </w:r>
      <w:r w:rsidRPr="00C86788">
        <w:rPr>
          <w:rFonts w:ascii="Garamond" w:hAnsi="Garamond"/>
          <w:sz w:val="24"/>
          <w:szCs w:val="24"/>
        </w:rPr>
        <w:t>with pov</w:t>
      </w:r>
      <w:r>
        <w:rPr>
          <w:rFonts w:ascii="Garamond" w:hAnsi="Garamond"/>
          <w:sz w:val="24"/>
          <w:szCs w:val="24"/>
        </w:rPr>
        <w:t xml:space="preserve">erty incidence at 2.6 per cent and a GINI coefficient of 35.4 (GSS 2015; </w:t>
      </w:r>
      <w:proofErr w:type="spellStart"/>
      <w:r>
        <w:rPr>
          <w:rFonts w:ascii="Garamond" w:hAnsi="Garamond"/>
          <w:sz w:val="24"/>
          <w:szCs w:val="24"/>
        </w:rPr>
        <w:t>Euromonitor</w:t>
      </w:r>
      <w:proofErr w:type="spellEnd"/>
      <w:r>
        <w:rPr>
          <w:rFonts w:ascii="Garamond" w:hAnsi="Garamond"/>
          <w:sz w:val="24"/>
          <w:szCs w:val="24"/>
        </w:rPr>
        <w:t xml:space="preserve"> International). However, these statistics hide dynamics of inequality that are visible only at the micro-level, beyond the level of the region or district. For instance, </w:t>
      </w:r>
      <w:proofErr w:type="spellStart"/>
      <w:r>
        <w:rPr>
          <w:rFonts w:ascii="Garamond" w:hAnsi="Garamond"/>
          <w:sz w:val="24"/>
          <w:szCs w:val="24"/>
        </w:rPr>
        <w:t>Obeng-Odoom</w:t>
      </w:r>
      <w:proofErr w:type="spellEnd"/>
      <w:r>
        <w:rPr>
          <w:rFonts w:ascii="Garamond" w:hAnsi="Garamond"/>
          <w:sz w:val="24"/>
          <w:szCs w:val="24"/>
        </w:rPr>
        <w:t xml:space="preserve"> (2012) suggests that inequality in Accra has been driven by </w:t>
      </w:r>
      <w:r>
        <w:rPr>
          <w:rFonts w:ascii="Garamond" w:hAnsi="Garamond"/>
          <w:sz w:val="24"/>
          <w:szCs w:val="24"/>
        </w:rPr>
        <w:lastRenderedPageBreak/>
        <w:t>in-migration of poorer people from other urban and rural areas. Studies of the housing market in Accra highlight precarious conditions, with rents gradually increasing and a lump-sum payment system of one or more years of advance rent that is particularly daunting for the poor (</w:t>
      </w:r>
      <w:proofErr w:type="spellStart"/>
      <w:r>
        <w:rPr>
          <w:rFonts w:ascii="Garamond" w:hAnsi="Garamond"/>
          <w:sz w:val="24"/>
          <w:szCs w:val="24"/>
        </w:rPr>
        <w:t>Arku</w:t>
      </w:r>
      <w:proofErr w:type="spellEnd"/>
      <w:r>
        <w:rPr>
          <w:rFonts w:ascii="Garamond" w:hAnsi="Garamond"/>
          <w:sz w:val="24"/>
          <w:szCs w:val="24"/>
        </w:rPr>
        <w:t xml:space="preserve"> et al. 2012). Earlier studies of livelihoods in Accra find that many households are vulnerable due to low-paid jobs and </w:t>
      </w:r>
      <w:proofErr w:type="spellStart"/>
      <w:r>
        <w:rPr>
          <w:rFonts w:ascii="Garamond" w:hAnsi="Garamond"/>
          <w:sz w:val="24"/>
          <w:szCs w:val="24"/>
        </w:rPr>
        <w:t>informalised</w:t>
      </w:r>
      <w:proofErr w:type="spellEnd"/>
      <w:r>
        <w:rPr>
          <w:rFonts w:ascii="Garamond" w:hAnsi="Garamond"/>
          <w:sz w:val="24"/>
          <w:szCs w:val="24"/>
        </w:rPr>
        <w:t xml:space="preserve">, unsecure employment (Maxwell et al. 2000). Thus, low levels of poverty in the Greater Accra Region, relative to other regions, obscure intra-regional and intra-urban vulnerabilities. </w:t>
      </w:r>
    </w:p>
    <w:p w14:paraId="43536FDF" w14:textId="42E16D50" w:rsidR="00D17ECF" w:rsidRPr="001F1340" w:rsidRDefault="00D17ECF" w:rsidP="002B2349">
      <w:pPr>
        <w:spacing w:line="480" w:lineRule="auto"/>
        <w:jc w:val="both"/>
        <w:rPr>
          <w:rFonts w:ascii="Garamond" w:hAnsi="Garamond"/>
          <w:sz w:val="24"/>
          <w:szCs w:val="24"/>
        </w:rPr>
      </w:pPr>
      <w:r>
        <w:rPr>
          <w:rFonts w:ascii="Garamond" w:hAnsi="Garamond"/>
          <w:sz w:val="24"/>
          <w:szCs w:val="24"/>
        </w:rPr>
        <w:t xml:space="preserve">Against this background, we will seek to integrate the analysis of food security and consumption in the functioning of urban food systems. </w:t>
      </w:r>
      <w:r w:rsidRPr="003E184B">
        <w:rPr>
          <w:rFonts w:ascii="Garamond" w:hAnsi="Garamond"/>
          <w:sz w:val="24"/>
          <w:szCs w:val="24"/>
        </w:rPr>
        <w:t xml:space="preserve">Debates on urban food security in the late 1990s, as illustrated by Maxwell (1999), were concerned with making urban food </w:t>
      </w:r>
      <w:r>
        <w:rPr>
          <w:rFonts w:ascii="Garamond" w:hAnsi="Garamond"/>
          <w:sz w:val="24"/>
          <w:szCs w:val="24"/>
        </w:rPr>
        <w:t xml:space="preserve">security visible </w:t>
      </w:r>
      <w:r w:rsidRPr="003E184B">
        <w:rPr>
          <w:rFonts w:ascii="Garamond" w:hAnsi="Garamond"/>
          <w:sz w:val="24"/>
          <w:szCs w:val="24"/>
        </w:rPr>
        <w:t xml:space="preserve">as a political issue in the context of urban poverty. The emphasis on urban poverty </w:t>
      </w:r>
      <w:r>
        <w:rPr>
          <w:rFonts w:ascii="Garamond" w:hAnsi="Garamond"/>
          <w:sz w:val="24"/>
          <w:szCs w:val="24"/>
        </w:rPr>
        <w:t>was renewed in the aftermath of the 2007 food crisis, when the food price shock brought to light the fragility of food security, especially for the urban poor. While urban poverty continues to need attention, due to rapid urbanisation and scarcity of decent employment across urban areas in the Global South (</w:t>
      </w:r>
      <w:proofErr w:type="spellStart"/>
      <w:r>
        <w:rPr>
          <w:rFonts w:ascii="Garamond" w:hAnsi="Garamond"/>
          <w:sz w:val="24"/>
          <w:szCs w:val="24"/>
        </w:rPr>
        <w:t>Floro</w:t>
      </w:r>
      <w:proofErr w:type="spellEnd"/>
      <w:r>
        <w:rPr>
          <w:rFonts w:ascii="Garamond" w:hAnsi="Garamond"/>
          <w:sz w:val="24"/>
          <w:szCs w:val="24"/>
        </w:rPr>
        <w:t xml:space="preserve"> and Swain 2013), we argue that </w:t>
      </w:r>
      <w:r w:rsidRPr="003E184B">
        <w:rPr>
          <w:rFonts w:ascii="Garamond" w:hAnsi="Garamond"/>
          <w:sz w:val="24"/>
          <w:szCs w:val="24"/>
        </w:rPr>
        <w:t xml:space="preserve">it is now </w:t>
      </w:r>
      <w:r>
        <w:rPr>
          <w:rFonts w:ascii="Garamond" w:hAnsi="Garamond"/>
          <w:sz w:val="24"/>
          <w:szCs w:val="24"/>
        </w:rPr>
        <w:t xml:space="preserve">also </w:t>
      </w:r>
      <w:r w:rsidRPr="003E184B">
        <w:rPr>
          <w:rFonts w:ascii="Garamond" w:hAnsi="Garamond"/>
          <w:sz w:val="24"/>
          <w:szCs w:val="24"/>
        </w:rPr>
        <w:t xml:space="preserve">necessary to look at </w:t>
      </w:r>
      <w:r>
        <w:rPr>
          <w:rFonts w:ascii="Garamond" w:hAnsi="Garamond"/>
          <w:sz w:val="24"/>
          <w:szCs w:val="24"/>
        </w:rPr>
        <w:t>the urban food question</w:t>
      </w:r>
      <w:r w:rsidRPr="003E184B">
        <w:rPr>
          <w:rFonts w:ascii="Garamond" w:hAnsi="Garamond"/>
          <w:sz w:val="24"/>
          <w:szCs w:val="24"/>
        </w:rPr>
        <w:t xml:space="preserve"> in the context of dietary change</w:t>
      </w:r>
      <w:r>
        <w:rPr>
          <w:rFonts w:ascii="Garamond" w:hAnsi="Garamond"/>
          <w:sz w:val="24"/>
          <w:szCs w:val="24"/>
        </w:rPr>
        <w:t xml:space="preserve"> and changing food quality</w:t>
      </w:r>
      <w:r w:rsidRPr="003E184B">
        <w:rPr>
          <w:rFonts w:ascii="Garamond" w:hAnsi="Garamond"/>
          <w:sz w:val="24"/>
          <w:szCs w:val="24"/>
        </w:rPr>
        <w:t xml:space="preserve">. </w:t>
      </w:r>
      <w:r>
        <w:rPr>
          <w:rFonts w:ascii="Garamond" w:hAnsi="Garamond"/>
          <w:sz w:val="24"/>
          <w:szCs w:val="24"/>
        </w:rPr>
        <w:t>It</w:t>
      </w:r>
      <w:r w:rsidRPr="003E184B">
        <w:rPr>
          <w:rFonts w:ascii="Garamond" w:hAnsi="Garamond"/>
          <w:sz w:val="24"/>
          <w:szCs w:val="24"/>
        </w:rPr>
        <w:t xml:space="preserve"> is necessary to capture the complexity of food consumption, </w:t>
      </w:r>
      <w:r>
        <w:rPr>
          <w:rFonts w:ascii="Garamond" w:hAnsi="Garamond"/>
          <w:sz w:val="24"/>
          <w:szCs w:val="24"/>
        </w:rPr>
        <w:t>by analysing the</w:t>
      </w:r>
      <w:r w:rsidRPr="003E184B">
        <w:rPr>
          <w:rFonts w:ascii="Garamond" w:hAnsi="Garamond"/>
          <w:sz w:val="24"/>
          <w:szCs w:val="24"/>
        </w:rPr>
        <w:t xml:space="preserve"> </w:t>
      </w:r>
      <w:r>
        <w:rPr>
          <w:rFonts w:ascii="Garamond" w:hAnsi="Garamond"/>
          <w:sz w:val="24"/>
          <w:szCs w:val="24"/>
        </w:rPr>
        <w:t>micro-level dynamics</w:t>
      </w:r>
      <w:r w:rsidRPr="003E184B">
        <w:rPr>
          <w:rFonts w:ascii="Garamond" w:hAnsi="Garamond"/>
          <w:sz w:val="24"/>
          <w:szCs w:val="24"/>
        </w:rPr>
        <w:t xml:space="preserve"> of urban food sourcing practices and </w:t>
      </w:r>
      <w:r>
        <w:rPr>
          <w:rFonts w:ascii="Garamond" w:hAnsi="Garamond"/>
          <w:sz w:val="24"/>
          <w:szCs w:val="24"/>
        </w:rPr>
        <w:t>food consumption</w:t>
      </w:r>
      <w:r w:rsidRPr="003E184B">
        <w:rPr>
          <w:rFonts w:ascii="Garamond" w:hAnsi="Garamond"/>
          <w:sz w:val="24"/>
          <w:szCs w:val="24"/>
        </w:rPr>
        <w:t>.</w:t>
      </w:r>
      <w:r>
        <w:rPr>
          <w:rFonts w:ascii="Garamond" w:hAnsi="Garamond"/>
          <w:sz w:val="24"/>
          <w:szCs w:val="24"/>
        </w:rPr>
        <w:t xml:space="preserve"> This </w:t>
      </w:r>
      <w:r w:rsidRPr="00320D4D">
        <w:rPr>
          <w:rFonts w:ascii="Garamond" w:hAnsi="Garamond"/>
          <w:sz w:val="24"/>
          <w:szCs w:val="24"/>
        </w:rPr>
        <w:t xml:space="preserve">overview </w:t>
      </w:r>
      <w:r>
        <w:rPr>
          <w:rFonts w:ascii="Garamond" w:hAnsi="Garamond"/>
          <w:sz w:val="24"/>
          <w:szCs w:val="24"/>
        </w:rPr>
        <w:t>provides the broader context</w:t>
      </w:r>
      <w:r w:rsidRPr="00320D4D">
        <w:rPr>
          <w:rFonts w:ascii="Garamond" w:hAnsi="Garamond"/>
          <w:sz w:val="24"/>
          <w:szCs w:val="24"/>
        </w:rPr>
        <w:t xml:space="preserve"> in which our micro-level analysis of urban food security and food consumption among schoolchildren is to be situated.</w:t>
      </w:r>
    </w:p>
    <w:p w14:paraId="00F7EAAC" w14:textId="49D5F4D3" w:rsidR="00D17ECF" w:rsidRDefault="00D17ECF" w:rsidP="002B2349">
      <w:pPr>
        <w:spacing w:line="480" w:lineRule="auto"/>
        <w:jc w:val="both"/>
        <w:rPr>
          <w:rFonts w:ascii="Garamond" w:hAnsi="Garamond"/>
          <w:b/>
          <w:bCs/>
          <w:sz w:val="24"/>
          <w:szCs w:val="24"/>
        </w:rPr>
      </w:pPr>
      <w:r>
        <w:rPr>
          <w:rFonts w:ascii="Garamond" w:hAnsi="Garamond"/>
          <w:b/>
          <w:bCs/>
          <w:sz w:val="24"/>
          <w:szCs w:val="24"/>
        </w:rPr>
        <w:t xml:space="preserve">3 </w:t>
      </w:r>
      <w:r w:rsidRPr="002B2349">
        <w:rPr>
          <w:rFonts w:ascii="Garamond" w:hAnsi="Garamond"/>
          <w:b/>
          <w:bCs/>
          <w:sz w:val="24"/>
          <w:szCs w:val="24"/>
        </w:rPr>
        <w:t>Study setting and methods</w:t>
      </w:r>
    </w:p>
    <w:p w14:paraId="551F0B5B" w14:textId="77777777" w:rsidR="00D17ECF" w:rsidRDefault="00D17ECF" w:rsidP="002B2349">
      <w:pPr>
        <w:spacing w:line="480" w:lineRule="auto"/>
        <w:jc w:val="both"/>
        <w:rPr>
          <w:rFonts w:ascii="Garamond" w:hAnsi="Garamond"/>
          <w:sz w:val="24"/>
          <w:szCs w:val="24"/>
        </w:rPr>
      </w:pPr>
      <w:r>
        <w:rPr>
          <w:rFonts w:ascii="Garamond" w:hAnsi="Garamond"/>
          <w:sz w:val="24"/>
          <w:szCs w:val="24"/>
        </w:rPr>
        <w:t xml:space="preserve">This study explores vulnerability through the lens of inequality in food consumption among schoolchildren in Accra. The findings presented in this paper are based on triangulation of primary and secondary data, which were collected and analysed between 2015 and 2017. Primary data collection consisted of a student survey and qualitative focus groups with schoolchildren in five Junior High Schools (JHS) in the Accra Metropolitan Area. In addition, throughout field research, </w:t>
      </w:r>
      <w:r>
        <w:rPr>
          <w:rFonts w:ascii="Garamond" w:hAnsi="Garamond"/>
          <w:sz w:val="24"/>
          <w:szCs w:val="24"/>
        </w:rPr>
        <w:lastRenderedPageBreak/>
        <w:t>semi-structured interviews were conducted with representatives of key governmental and non-governmental organisations as well as the food industry. A summary of the methods for primary data collection is provided in the table below, and the methodology used for interviewing schoolchildren is described in turn.</w:t>
      </w:r>
    </w:p>
    <w:p w14:paraId="5A834B1A" w14:textId="307E1B3D" w:rsidR="00D17ECF" w:rsidRDefault="00D17ECF" w:rsidP="002B2349">
      <w:pPr>
        <w:spacing w:line="480" w:lineRule="auto"/>
        <w:jc w:val="both"/>
        <w:rPr>
          <w:rFonts w:ascii="Garamond" w:hAnsi="Garamond"/>
          <w:sz w:val="24"/>
          <w:szCs w:val="24"/>
        </w:rPr>
      </w:pPr>
      <w:r>
        <w:rPr>
          <w:rFonts w:ascii="Garamond" w:hAnsi="Garamond"/>
          <w:sz w:val="24"/>
          <w:szCs w:val="24"/>
        </w:rPr>
        <w:t>Table 1 here</w:t>
      </w:r>
    </w:p>
    <w:p w14:paraId="54CAFB1B" w14:textId="77777777" w:rsidR="00D17ECF" w:rsidRDefault="00D17ECF" w:rsidP="00435074">
      <w:pPr>
        <w:spacing w:line="480" w:lineRule="auto"/>
        <w:jc w:val="both"/>
        <w:rPr>
          <w:rFonts w:ascii="Garamond" w:hAnsi="Garamond"/>
          <w:i/>
          <w:iCs/>
          <w:sz w:val="24"/>
          <w:szCs w:val="24"/>
        </w:rPr>
      </w:pPr>
      <w:r>
        <w:rPr>
          <w:rFonts w:ascii="Garamond" w:hAnsi="Garamond"/>
          <w:i/>
          <w:iCs/>
          <w:sz w:val="24"/>
          <w:szCs w:val="24"/>
        </w:rPr>
        <w:t xml:space="preserve">Selection of schools, </w:t>
      </w:r>
      <w:r w:rsidRPr="00F56676">
        <w:rPr>
          <w:rFonts w:ascii="Garamond" w:hAnsi="Garamond"/>
          <w:i/>
          <w:iCs/>
          <w:sz w:val="24"/>
          <w:szCs w:val="24"/>
        </w:rPr>
        <w:t>student survey</w:t>
      </w:r>
      <w:r>
        <w:rPr>
          <w:rFonts w:ascii="Garamond" w:hAnsi="Garamond"/>
          <w:i/>
          <w:iCs/>
          <w:sz w:val="24"/>
          <w:szCs w:val="24"/>
        </w:rPr>
        <w:t xml:space="preserve"> and focus groups</w:t>
      </w:r>
    </w:p>
    <w:p w14:paraId="088CD2AC" w14:textId="0A1018B3" w:rsidR="00D17ECF" w:rsidRPr="00435074" w:rsidRDefault="00D17ECF" w:rsidP="00435074">
      <w:pPr>
        <w:spacing w:line="480" w:lineRule="auto"/>
        <w:jc w:val="both"/>
        <w:rPr>
          <w:rFonts w:ascii="Garamond" w:hAnsi="Garamond"/>
          <w:i/>
          <w:iCs/>
          <w:sz w:val="24"/>
          <w:szCs w:val="24"/>
        </w:rPr>
      </w:pPr>
      <w:r>
        <w:rPr>
          <w:rFonts w:ascii="Garamond" w:hAnsi="Garamond"/>
          <w:sz w:val="24"/>
          <w:szCs w:val="24"/>
        </w:rPr>
        <w:t>Having gained permission from the Ghana Education Service (GES) to conduct research activities in JHS, we selected four schools in the Accra Metropolitan Area (AMA). Using key informant interviews and criteria such as school type (i.e. public or private), location, indicators of minimum teaching equipment and school’s infrastructure</w:t>
      </w:r>
      <w:r>
        <w:rPr>
          <w:rStyle w:val="Rimandonotadichiusura"/>
          <w:rFonts w:ascii="Garamond" w:hAnsi="Garamond"/>
          <w:sz w:val="24"/>
          <w:szCs w:val="24"/>
        </w:rPr>
        <w:endnoteReference w:id="5"/>
      </w:r>
      <w:r>
        <w:rPr>
          <w:rFonts w:ascii="Garamond" w:hAnsi="Garamond"/>
          <w:sz w:val="24"/>
          <w:szCs w:val="24"/>
        </w:rPr>
        <w:t xml:space="preserve">, the selection aimed to choose schools attended by children from different socio-economic backgrounds. Table 2 illustrates our selection, which represents a wide range, from a public school attended by many children in </w:t>
      </w:r>
      <w:proofErr w:type="spellStart"/>
      <w:r>
        <w:rPr>
          <w:rFonts w:ascii="Garamond" w:hAnsi="Garamond"/>
          <w:sz w:val="24"/>
          <w:szCs w:val="24"/>
        </w:rPr>
        <w:t>Nima</w:t>
      </w:r>
      <w:proofErr w:type="spellEnd"/>
      <w:r>
        <w:rPr>
          <w:rFonts w:ascii="Garamond" w:hAnsi="Garamond"/>
          <w:sz w:val="24"/>
          <w:szCs w:val="24"/>
        </w:rPr>
        <w:t>, a lower-class neighbourhood in Accra (</w:t>
      </w:r>
      <w:proofErr w:type="spellStart"/>
      <w:r>
        <w:rPr>
          <w:rFonts w:ascii="Garamond" w:hAnsi="Garamond"/>
          <w:sz w:val="24"/>
          <w:szCs w:val="24"/>
        </w:rPr>
        <w:t>Aguda</w:t>
      </w:r>
      <w:proofErr w:type="spellEnd"/>
      <w:r>
        <w:rPr>
          <w:rFonts w:ascii="Garamond" w:hAnsi="Garamond"/>
          <w:sz w:val="24"/>
          <w:szCs w:val="24"/>
        </w:rPr>
        <w:t xml:space="preserve"> 2009), to a top private school charging tuition fees in USD.</w:t>
      </w:r>
      <w:r>
        <w:rPr>
          <w:rStyle w:val="Rimandonotadichiusura"/>
          <w:rFonts w:ascii="Garamond" w:hAnsi="Garamond"/>
          <w:sz w:val="24"/>
          <w:szCs w:val="24"/>
        </w:rPr>
        <w:endnoteReference w:id="6"/>
      </w:r>
      <w:r>
        <w:rPr>
          <w:rFonts w:ascii="Garamond" w:hAnsi="Garamond"/>
          <w:sz w:val="24"/>
          <w:szCs w:val="24"/>
        </w:rPr>
        <w:t xml:space="preserve"> </w:t>
      </w:r>
    </w:p>
    <w:p w14:paraId="1418D796" w14:textId="6B78D176" w:rsidR="00D17ECF" w:rsidRDefault="00D17ECF" w:rsidP="002B2349">
      <w:pPr>
        <w:contextualSpacing/>
        <w:jc w:val="both"/>
        <w:rPr>
          <w:rFonts w:ascii="Garamond" w:hAnsi="Garamond"/>
          <w:sz w:val="24"/>
          <w:szCs w:val="24"/>
        </w:rPr>
      </w:pPr>
      <w:r>
        <w:rPr>
          <w:rFonts w:ascii="Garamond" w:hAnsi="Garamond"/>
          <w:sz w:val="24"/>
          <w:szCs w:val="24"/>
        </w:rPr>
        <w:t>Table 2 here</w:t>
      </w:r>
    </w:p>
    <w:p w14:paraId="4B50E5AF" w14:textId="77777777" w:rsidR="00D17ECF" w:rsidRDefault="00D17ECF" w:rsidP="002B2349">
      <w:pPr>
        <w:contextualSpacing/>
        <w:jc w:val="both"/>
        <w:rPr>
          <w:rFonts w:ascii="Garamond" w:hAnsi="Garamond"/>
          <w:sz w:val="24"/>
          <w:szCs w:val="24"/>
        </w:rPr>
      </w:pPr>
    </w:p>
    <w:p w14:paraId="1813417A" w14:textId="77777777" w:rsidR="00D17ECF" w:rsidRDefault="00D17ECF" w:rsidP="002B2349">
      <w:pPr>
        <w:spacing w:line="480" w:lineRule="auto"/>
        <w:jc w:val="both"/>
        <w:rPr>
          <w:rFonts w:ascii="Garamond" w:hAnsi="Garamond"/>
          <w:sz w:val="24"/>
          <w:szCs w:val="24"/>
        </w:rPr>
      </w:pPr>
      <w:r>
        <w:rPr>
          <w:rFonts w:ascii="Garamond" w:hAnsi="Garamond"/>
          <w:sz w:val="24"/>
          <w:szCs w:val="24"/>
        </w:rPr>
        <w:t>Respondents were selected randomly and the process was facilitated by teachers in each school.</w:t>
      </w:r>
      <w:r>
        <w:rPr>
          <w:rStyle w:val="Rimandonotadichiusura"/>
          <w:rFonts w:ascii="Garamond" w:hAnsi="Garamond"/>
          <w:sz w:val="24"/>
          <w:szCs w:val="24"/>
        </w:rPr>
        <w:endnoteReference w:id="7"/>
      </w:r>
      <w:r>
        <w:rPr>
          <w:rFonts w:ascii="Garamond" w:hAnsi="Garamond"/>
          <w:sz w:val="24"/>
          <w:szCs w:val="24"/>
        </w:rPr>
        <w:t xml:space="preserve">  We planned to conduct at least 30 structured interviews in each school. However, we could not complete all interviews at AIS and therefore added a fifth school, </w:t>
      </w:r>
      <w:proofErr w:type="spellStart"/>
      <w:r>
        <w:rPr>
          <w:rFonts w:ascii="Garamond" w:hAnsi="Garamond"/>
          <w:sz w:val="24"/>
          <w:szCs w:val="24"/>
        </w:rPr>
        <w:t>Tema</w:t>
      </w:r>
      <w:proofErr w:type="spellEnd"/>
      <w:r>
        <w:rPr>
          <w:rFonts w:ascii="Garamond" w:hAnsi="Garamond"/>
          <w:sz w:val="24"/>
          <w:szCs w:val="24"/>
        </w:rPr>
        <w:t xml:space="preserve"> International School (TIS), which is also a top private and boarding school. The overall sample is as reported in the table below.</w:t>
      </w:r>
    </w:p>
    <w:p w14:paraId="4093D55C" w14:textId="40FF3A1A" w:rsidR="00D17ECF" w:rsidRDefault="00D17ECF" w:rsidP="00630DD9">
      <w:pPr>
        <w:jc w:val="both"/>
        <w:rPr>
          <w:rFonts w:ascii="Garamond" w:hAnsi="Garamond"/>
          <w:sz w:val="24"/>
          <w:szCs w:val="24"/>
        </w:rPr>
      </w:pPr>
      <w:r>
        <w:rPr>
          <w:rFonts w:ascii="Garamond" w:hAnsi="Garamond"/>
          <w:sz w:val="24"/>
          <w:szCs w:val="24"/>
        </w:rPr>
        <w:t>Table 3 here</w:t>
      </w:r>
    </w:p>
    <w:p w14:paraId="06AAE5AA" w14:textId="77777777" w:rsidR="00D17ECF" w:rsidRPr="00D6229C" w:rsidRDefault="00D17ECF" w:rsidP="00630DD9">
      <w:pPr>
        <w:jc w:val="both"/>
        <w:rPr>
          <w:rFonts w:ascii="Garamond" w:hAnsi="Garamond"/>
          <w:sz w:val="21"/>
          <w:szCs w:val="21"/>
        </w:rPr>
      </w:pPr>
    </w:p>
    <w:p w14:paraId="29FBDF04" w14:textId="63A611F1" w:rsidR="00D17ECF" w:rsidRPr="00BC3ACF" w:rsidRDefault="00D17ECF" w:rsidP="002B2349">
      <w:pPr>
        <w:spacing w:line="480" w:lineRule="auto"/>
        <w:jc w:val="both"/>
        <w:rPr>
          <w:rFonts w:ascii="Garamond" w:hAnsi="Garamond"/>
          <w:sz w:val="24"/>
          <w:szCs w:val="24"/>
        </w:rPr>
      </w:pPr>
      <w:r>
        <w:rPr>
          <w:rFonts w:ascii="Garamond" w:hAnsi="Garamond"/>
          <w:sz w:val="24"/>
          <w:szCs w:val="24"/>
        </w:rPr>
        <w:t xml:space="preserve">The questionnaire was composed of the following components: basic demographic information, child’s assets, food security questions, child dietary diversity score, food knowledge and consumption questions. We measure children’s diets through indicators of food security, dietary </w:t>
      </w:r>
      <w:r>
        <w:rPr>
          <w:rFonts w:ascii="Garamond" w:hAnsi="Garamond"/>
          <w:sz w:val="24"/>
          <w:szCs w:val="24"/>
        </w:rPr>
        <w:lastRenderedPageBreak/>
        <w:t>diversity and food consumption, and link these to food provisioning practices, which told us more about the structural features of the urban food system.</w:t>
      </w:r>
    </w:p>
    <w:p w14:paraId="15E3E178" w14:textId="1097653E" w:rsidR="00D17ECF" w:rsidRDefault="00D17ECF" w:rsidP="00082470">
      <w:pPr>
        <w:spacing w:line="480" w:lineRule="auto"/>
        <w:jc w:val="both"/>
        <w:rPr>
          <w:rFonts w:ascii="Garamond" w:hAnsi="Garamond"/>
          <w:sz w:val="24"/>
          <w:szCs w:val="24"/>
        </w:rPr>
      </w:pPr>
      <w:r>
        <w:rPr>
          <w:rFonts w:ascii="Garamond" w:hAnsi="Garamond"/>
          <w:sz w:val="24"/>
          <w:szCs w:val="24"/>
        </w:rPr>
        <w:t xml:space="preserve">Based on a preliminary analysis of survey data, a sub-sample of 63 schoolchildren across the four schools in AMA were selected to take part in a series of qualitative focus groups grouped on three themes. Focus group 1 looked at patterns of intra-urban mobility and food acquisition practices. Focus group 2 explored the theme of children’s exposure to food advertising and food preferences. Focus group 3 investigated children’s food and nutrition knowledge, trying to discern whether knowledge shapes consumption. </w:t>
      </w:r>
    </w:p>
    <w:p w14:paraId="6B795273" w14:textId="77777777" w:rsidR="00D17ECF" w:rsidRDefault="00D17ECF" w:rsidP="00435074">
      <w:pPr>
        <w:spacing w:line="480" w:lineRule="auto"/>
        <w:jc w:val="both"/>
        <w:rPr>
          <w:rFonts w:ascii="Garamond" w:hAnsi="Garamond"/>
          <w:bCs/>
          <w:i/>
          <w:sz w:val="24"/>
          <w:szCs w:val="24"/>
        </w:rPr>
      </w:pPr>
      <w:r w:rsidRPr="003B1F56">
        <w:rPr>
          <w:rFonts w:ascii="Garamond" w:hAnsi="Garamond"/>
          <w:bCs/>
          <w:i/>
          <w:sz w:val="24"/>
          <w:szCs w:val="24"/>
        </w:rPr>
        <w:t>Child asset index</w:t>
      </w:r>
    </w:p>
    <w:p w14:paraId="5D500A0E" w14:textId="285CFB6B" w:rsidR="00D17ECF" w:rsidRPr="00435074" w:rsidRDefault="00D17ECF" w:rsidP="00435074">
      <w:pPr>
        <w:spacing w:line="480" w:lineRule="auto"/>
        <w:jc w:val="both"/>
        <w:rPr>
          <w:rFonts w:ascii="Garamond" w:hAnsi="Garamond"/>
          <w:bCs/>
          <w:i/>
          <w:sz w:val="24"/>
          <w:szCs w:val="24"/>
        </w:rPr>
      </w:pPr>
      <w:r>
        <w:rPr>
          <w:rFonts w:ascii="Garamond" w:hAnsi="Garamond"/>
          <w:bCs/>
          <w:sz w:val="24"/>
          <w:szCs w:val="24"/>
        </w:rPr>
        <w:t xml:space="preserve">Literature on child-based interviews discusses the challenges of measuring child poverty as children may not have good knowledge of household income, consumption or assets (Gordon et al. 2003; </w:t>
      </w:r>
      <w:proofErr w:type="spellStart"/>
      <w:r>
        <w:rPr>
          <w:rFonts w:ascii="Garamond" w:hAnsi="Garamond"/>
          <w:bCs/>
          <w:sz w:val="24"/>
          <w:szCs w:val="24"/>
        </w:rPr>
        <w:t>Hannum</w:t>
      </w:r>
      <w:proofErr w:type="spellEnd"/>
      <w:r>
        <w:rPr>
          <w:rFonts w:ascii="Garamond" w:hAnsi="Garamond"/>
          <w:bCs/>
          <w:sz w:val="24"/>
          <w:szCs w:val="24"/>
        </w:rPr>
        <w:t xml:space="preserve"> et al. 2016). One route is to collect data on children’s assets, which minimises measurement errors (</w:t>
      </w:r>
      <w:r w:rsidRPr="0096424A">
        <w:rPr>
          <w:rFonts w:ascii="Garamond" w:hAnsi="Garamond"/>
          <w:bCs/>
          <w:i/>
          <w:iCs/>
          <w:sz w:val="24"/>
          <w:szCs w:val="24"/>
        </w:rPr>
        <w:t>Ibid.</w:t>
      </w:r>
      <w:r>
        <w:rPr>
          <w:rFonts w:ascii="Garamond" w:hAnsi="Garamond"/>
          <w:bCs/>
          <w:sz w:val="24"/>
          <w:szCs w:val="24"/>
        </w:rPr>
        <w:t xml:space="preserve">). In this approach, an indicator based on children’s assets is a proxy of underlying household welfare (i.e. we assume that the child asset index varies with underlying household wealth), rather than the choice of asset that directly produce welfare (c.f. Johnston and Abreu 2016).  As such this is not a measure of child deprivation but a measure that correlates with household wealth. We collected data on a set of assets that children have direct access to – books, tablet, computer, </w:t>
      </w:r>
      <w:proofErr w:type="spellStart"/>
      <w:r>
        <w:rPr>
          <w:rFonts w:ascii="Garamond" w:hAnsi="Garamond"/>
          <w:bCs/>
          <w:sz w:val="24"/>
          <w:szCs w:val="24"/>
        </w:rPr>
        <w:t>dvd</w:t>
      </w:r>
      <w:proofErr w:type="spellEnd"/>
      <w:r>
        <w:rPr>
          <w:rFonts w:ascii="Garamond" w:hAnsi="Garamond"/>
          <w:bCs/>
          <w:sz w:val="24"/>
          <w:szCs w:val="24"/>
        </w:rPr>
        <w:t xml:space="preserve"> player, smartphone, video game console and own bedroom – and constructed a child’s asset index using </w:t>
      </w:r>
      <w:r w:rsidRPr="00B43C2F">
        <w:rPr>
          <w:rFonts w:ascii="Garamond" w:hAnsi="Garamond"/>
          <w:bCs/>
          <w:sz w:val="24"/>
          <w:szCs w:val="24"/>
        </w:rPr>
        <w:t xml:space="preserve">principal component analysis (PCA) </w:t>
      </w:r>
      <w:r>
        <w:rPr>
          <w:rFonts w:ascii="Garamond" w:hAnsi="Garamond"/>
          <w:bCs/>
          <w:sz w:val="24"/>
          <w:szCs w:val="24"/>
        </w:rPr>
        <w:t>(</w:t>
      </w:r>
      <w:proofErr w:type="spellStart"/>
      <w:r w:rsidRPr="00B43C2F">
        <w:rPr>
          <w:rFonts w:ascii="Garamond" w:hAnsi="Garamond"/>
          <w:bCs/>
          <w:sz w:val="24"/>
          <w:szCs w:val="24"/>
        </w:rPr>
        <w:t>Filmer</w:t>
      </w:r>
      <w:proofErr w:type="spellEnd"/>
      <w:r w:rsidRPr="00B43C2F">
        <w:rPr>
          <w:rFonts w:ascii="Garamond" w:hAnsi="Garamond"/>
          <w:bCs/>
          <w:sz w:val="24"/>
          <w:szCs w:val="24"/>
        </w:rPr>
        <w:t xml:space="preserve"> and Pritchett 2001, Wall and Johnston 2008 and Abreu 2012). </w:t>
      </w:r>
      <w:r>
        <w:rPr>
          <w:rFonts w:ascii="Garamond" w:hAnsi="Garamond"/>
          <w:bCs/>
          <w:sz w:val="24"/>
          <w:szCs w:val="24"/>
        </w:rPr>
        <w:t>The sample was then grouped in wealth quintiles based on the asset index.</w:t>
      </w:r>
    </w:p>
    <w:p w14:paraId="170F1BE2" w14:textId="1EB49877" w:rsidR="00D17ECF" w:rsidRDefault="00D17ECF" w:rsidP="002B2349">
      <w:pPr>
        <w:spacing w:line="480" w:lineRule="auto"/>
        <w:jc w:val="both"/>
        <w:rPr>
          <w:rFonts w:ascii="Garamond" w:hAnsi="Garamond"/>
          <w:bCs/>
          <w:i/>
          <w:sz w:val="24"/>
          <w:szCs w:val="24"/>
        </w:rPr>
      </w:pPr>
      <w:r>
        <w:rPr>
          <w:rFonts w:ascii="Garamond" w:hAnsi="Garamond"/>
          <w:bCs/>
          <w:i/>
          <w:sz w:val="24"/>
          <w:szCs w:val="24"/>
        </w:rPr>
        <w:t xml:space="preserve">Food and diet indicators </w:t>
      </w:r>
    </w:p>
    <w:p w14:paraId="0A5CF16B" w14:textId="774C9974" w:rsidR="00D17ECF" w:rsidRDefault="00D17ECF" w:rsidP="003766B3">
      <w:pPr>
        <w:spacing w:line="480" w:lineRule="auto"/>
        <w:jc w:val="both"/>
        <w:rPr>
          <w:rFonts w:ascii="Garamond" w:hAnsi="Garamond"/>
          <w:sz w:val="24"/>
          <w:szCs w:val="24"/>
        </w:rPr>
      </w:pPr>
      <w:r>
        <w:rPr>
          <w:rFonts w:ascii="Garamond" w:hAnsi="Garamond"/>
          <w:sz w:val="24"/>
          <w:szCs w:val="24"/>
        </w:rPr>
        <w:t xml:space="preserve">We use four key indicators to analyse food consumption and diets: one on access to food, two on diet quality and one on food knowledge. First, to assess food security we follow the approach used </w:t>
      </w:r>
      <w:r>
        <w:rPr>
          <w:rFonts w:ascii="Garamond" w:hAnsi="Garamond"/>
          <w:sz w:val="24"/>
          <w:szCs w:val="24"/>
        </w:rPr>
        <w:lastRenderedPageBreak/>
        <w:t>by the WHO Global School-Based Student Health Survey (WHO 2012), which consists of two questions: one on going hungry and one on having breakfast, with associated frequencies. Second, as proxies for diet quality, we use a standard dietary diversity indicator, based on 24h recall (</w:t>
      </w:r>
      <w:proofErr w:type="spellStart"/>
      <w:r>
        <w:rPr>
          <w:rFonts w:ascii="Garamond" w:hAnsi="Garamond"/>
          <w:sz w:val="24"/>
          <w:szCs w:val="24"/>
        </w:rPr>
        <w:t>Ruel</w:t>
      </w:r>
      <w:proofErr w:type="spellEnd"/>
      <w:r>
        <w:rPr>
          <w:rFonts w:ascii="Garamond" w:hAnsi="Garamond"/>
          <w:sz w:val="24"/>
          <w:szCs w:val="24"/>
        </w:rPr>
        <w:t xml:space="preserve"> 2002; </w:t>
      </w:r>
      <w:proofErr w:type="spellStart"/>
      <w:r>
        <w:rPr>
          <w:rFonts w:ascii="Garamond" w:hAnsi="Garamond"/>
          <w:sz w:val="24"/>
          <w:szCs w:val="24"/>
        </w:rPr>
        <w:t>Arimond</w:t>
      </w:r>
      <w:proofErr w:type="spellEnd"/>
      <w:r>
        <w:rPr>
          <w:rFonts w:ascii="Garamond" w:hAnsi="Garamond"/>
          <w:sz w:val="24"/>
          <w:szCs w:val="24"/>
        </w:rPr>
        <w:t xml:space="preserve"> et al. 2010; FAO 2010) and, in addition, </w:t>
      </w:r>
      <w:r w:rsidRPr="006251BA">
        <w:rPr>
          <w:rFonts w:ascii="Garamond" w:hAnsi="Garamond"/>
          <w:sz w:val="24"/>
          <w:szCs w:val="24"/>
        </w:rPr>
        <w:t xml:space="preserve">an </w:t>
      </w:r>
      <w:r>
        <w:rPr>
          <w:rFonts w:ascii="Garamond" w:hAnsi="Garamond"/>
          <w:sz w:val="24"/>
          <w:szCs w:val="24"/>
        </w:rPr>
        <w:t xml:space="preserve">adapted version of the </w:t>
      </w:r>
      <w:r w:rsidRPr="006251BA">
        <w:rPr>
          <w:rFonts w:ascii="Garamond" w:hAnsi="Garamond"/>
          <w:sz w:val="24"/>
          <w:szCs w:val="24"/>
        </w:rPr>
        <w:t>World Food Programme’s (WFP) Food Con</w:t>
      </w:r>
      <w:r>
        <w:rPr>
          <w:rFonts w:ascii="Garamond" w:hAnsi="Garamond"/>
          <w:sz w:val="24"/>
          <w:szCs w:val="24"/>
        </w:rPr>
        <w:t>sumption Score (FCS) (WFP 2008), which captures the consumption frequency of particular food items in the seven days before the interview.</w:t>
      </w:r>
      <w:r w:rsidRPr="006251BA">
        <w:rPr>
          <w:rFonts w:ascii="Garamond" w:hAnsi="Garamond"/>
          <w:sz w:val="24"/>
          <w:szCs w:val="24"/>
          <w:vertAlign w:val="superscript"/>
        </w:rPr>
        <w:endnoteReference w:id="8"/>
      </w:r>
      <w:r>
        <w:rPr>
          <w:rFonts w:ascii="Garamond" w:hAnsi="Garamond"/>
          <w:sz w:val="24"/>
          <w:szCs w:val="24"/>
        </w:rPr>
        <w:t xml:space="preserve"> Finally, we considered food knowledge, as f</w:t>
      </w:r>
      <w:r w:rsidRPr="003766B3">
        <w:rPr>
          <w:rFonts w:ascii="Garamond" w:hAnsi="Garamond"/>
          <w:sz w:val="24"/>
          <w:szCs w:val="24"/>
        </w:rPr>
        <w:t>ood and nutrition knowledge is often is a core component of nutrition interventions targeting schoolchildren or mothers (Adelman e</w:t>
      </w:r>
      <w:r>
        <w:rPr>
          <w:rFonts w:ascii="Garamond" w:hAnsi="Garamond"/>
          <w:sz w:val="24"/>
          <w:szCs w:val="24"/>
        </w:rPr>
        <w:t xml:space="preserve">t al. 2008; </w:t>
      </w:r>
      <w:proofErr w:type="spellStart"/>
      <w:r>
        <w:rPr>
          <w:rFonts w:ascii="Garamond" w:hAnsi="Garamond"/>
          <w:sz w:val="24"/>
          <w:szCs w:val="24"/>
        </w:rPr>
        <w:t>Imdad</w:t>
      </w:r>
      <w:proofErr w:type="spellEnd"/>
      <w:r>
        <w:rPr>
          <w:rFonts w:ascii="Garamond" w:hAnsi="Garamond"/>
          <w:sz w:val="24"/>
          <w:szCs w:val="24"/>
        </w:rPr>
        <w:t xml:space="preserve"> et al. 2011), and defined it as an awareness of key healthy foods, such as fruit and vegetables, or basic nutrition facts, such as the importance of balanced diets and nutrient intake. </w:t>
      </w:r>
    </w:p>
    <w:p w14:paraId="2DE8BEDD" w14:textId="7E870E4E" w:rsidR="00D17ECF" w:rsidRDefault="00D17ECF" w:rsidP="002B2349">
      <w:pPr>
        <w:spacing w:line="480" w:lineRule="auto"/>
        <w:jc w:val="both"/>
        <w:rPr>
          <w:rFonts w:ascii="Garamond" w:hAnsi="Garamond"/>
          <w:sz w:val="24"/>
          <w:szCs w:val="24"/>
        </w:rPr>
      </w:pPr>
      <w:r>
        <w:rPr>
          <w:rFonts w:ascii="Garamond" w:hAnsi="Garamond"/>
          <w:sz w:val="24"/>
          <w:szCs w:val="24"/>
        </w:rPr>
        <w:t xml:space="preserve">A central motivation of our analysis is to explore the association between dietary practices and socio-economic status, as measured by the child asset index. Thus, we explore associations between food indicators and wealth and conduct a basic regression analysis to sketch how age, gender, wealth and food knowledge may be associated with measures of diet quality. However, as this analysis alone is limited, we bring together qualitative insights on the food environment to reach a fuller understanding of food inequalities. </w:t>
      </w:r>
    </w:p>
    <w:p w14:paraId="1E3CCC3C" w14:textId="61EF92F2" w:rsidR="00D17ECF" w:rsidRPr="007D5BD1" w:rsidRDefault="00D17ECF" w:rsidP="002B2349">
      <w:pPr>
        <w:spacing w:line="480" w:lineRule="auto"/>
        <w:jc w:val="both"/>
        <w:rPr>
          <w:rFonts w:ascii="Garamond" w:hAnsi="Garamond"/>
          <w:b/>
          <w:sz w:val="24"/>
          <w:szCs w:val="24"/>
        </w:rPr>
      </w:pPr>
      <w:r>
        <w:rPr>
          <w:rFonts w:ascii="Garamond" w:hAnsi="Garamond"/>
          <w:b/>
          <w:sz w:val="24"/>
          <w:szCs w:val="24"/>
        </w:rPr>
        <w:t xml:space="preserve">4 </w:t>
      </w:r>
      <w:r w:rsidRPr="007D5BD1">
        <w:rPr>
          <w:rFonts w:ascii="Garamond" w:hAnsi="Garamond"/>
          <w:b/>
          <w:sz w:val="24"/>
          <w:szCs w:val="24"/>
        </w:rPr>
        <w:t>Results</w:t>
      </w:r>
    </w:p>
    <w:p w14:paraId="637A8BB0" w14:textId="3EE529C7" w:rsidR="00D17ECF" w:rsidRPr="00CA799C" w:rsidRDefault="00D17ECF" w:rsidP="005F732E">
      <w:pPr>
        <w:spacing w:line="480" w:lineRule="auto"/>
        <w:jc w:val="both"/>
        <w:rPr>
          <w:rFonts w:ascii="Garamond" w:hAnsi="Garamond"/>
          <w:b/>
          <w:bCs/>
          <w:sz w:val="24"/>
          <w:szCs w:val="24"/>
        </w:rPr>
      </w:pPr>
      <w:r>
        <w:rPr>
          <w:rFonts w:ascii="Garamond" w:hAnsi="Garamond"/>
          <w:b/>
          <w:bCs/>
          <w:sz w:val="24"/>
          <w:szCs w:val="24"/>
        </w:rPr>
        <w:t>4.1 Sites and means of schoolchildren’s urban food provisioning</w:t>
      </w:r>
      <w:r w:rsidRPr="00CA799C">
        <w:rPr>
          <w:rFonts w:ascii="Garamond" w:hAnsi="Garamond"/>
          <w:b/>
          <w:bCs/>
          <w:sz w:val="24"/>
          <w:szCs w:val="24"/>
        </w:rPr>
        <w:t xml:space="preserve"> </w:t>
      </w:r>
    </w:p>
    <w:p w14:paraId="181D4946" w14:textId="3545C6E6" w:rsidR="00D17ECF" w:rsidRDefault="00D17ECF" w:rsidP="005F732E">
      <w:pPr>
        <w:spacing w:line="480" w:lineRule="auto"/>
        <w:jc w:val="both"/>
        <w:rPr>
          <w:rFonts w:ascii="Garamond" w:hAnsi="Garamond"/>
          <w:sz w:val="24"/>
          <w:szCs w:val="24"/>
        </w:rPr>
      </w:pPr>
      <w:r>
        <w:rPr>
          <w:rFonts w:ascii="Garamond" w:hAnsi="Garamond"/>
          <w:sz w:val="24"/>
          <w:szCs w:val="24"/>
        </w:rPr>
        <w:t xml:space="preserve">The school is a central and heterogeneous site for children’s school provisioning. The private schools in our study have a canteen. In AIS, the canteen is run by a catering company and has a monthly menu with options selected in advance by children or their families. The canteen meal includes fruit or dessert, and vegetables as sides. Children can also buy snacks at break times from the canteen. In Jack &amp; Jill, however, children can buy snacks and drinks from vendors on the school’s premises, and in their canteen, children buy food by piece, not by meal. Thus the practice </w:t>
      </w:r>
      <w:r>
        <w:rPr>
          <w:rFonts w:ascii="Garamond" w:hAnsi="Garamond"/>
          <w:sz w:val="24"/>
          <w:szCs w:val="24"/>
        </w:rPr>
        <w:lastRenderedPageBreak/>
        <w:t xml:space="preserve">of pricing food by item, rather than by meal, implies that children buying food from the </w:t>
      </w:r>
      <w:r w:rsidRPr="009771F5">
        <w:rPr>
          <w:rFonts w:ascii="Garamond" w:hAnsi="Garamond"/>
          <w:iCs/>
          <w:sz w:val="24"/>
          <w:szCs w:val="24"/>
        </w:rPr>
        <w:t>same</w:t>
      </w:r>
      <w:r w:rsidRPr="009771F5">
        <w:rPr>
          <w:rFonts w:ascii="Garamond" w:hAnsi="Garamond"/>
          <w:sz w:val="24"/>
          <w:szCs w:val="24"/>
        </w:rPr>
        <w:t xml:space="preserve"> canteen have </w:t>
      </w:r>
      <w:r w:rsidRPr="009771F5">
        <w:rPr>
          <w:rFonts w:ascii="Garamond" w:hAnsi="Garamond"/>
          <w:iCs/>
          <w:sz w:val="24"/>
          <w:szCs w:val="24"/>
        </w:rPr>
        <w:t>varying</w:t>
      </w:r>
      <w:r>
        <w:rPr>
          <w:rFonts w:ascii="Garamond" w:hAnsi="Garamond"/>
          <w:sz w:val="24"/>
          <w:szCs w:val="24"/>
        </w:rPr>
        <w:t xml:space="preserve"> types and quantities of food.</w:t>
      </w:r>
    </w:p>
    <w:p w14:paraId="55AC74C3" w14:textId="77777777" w:rsidR="00D17ECF" w:rsidRDefault="00D17ECF" w:rsidP="005F732E">
      <w:pPr>
        <w:spacing w:line="480" w:lineRule="auto"/>
        <w:jc w:val="both"/>
        <w:rPr>
          <w:rFonts w:ascii="Garamond" w:hAnsi="Garamond"/>
          <w:sz w:val="24"/>
          <w:szCs w:val="24"/>
        </w:rPr>
      </w:pPr>
      <w:r>
        <w:rPr>
          <w:rFonts w:ascii="Garamond" w:hAnsi="Garamond"/>
          <w:sz w:val="24"/>
          <w:szCs w:val="24"/>
        </w:rPr>
        <w:t>In public schools, there are no canteens, and stationary food vendors operate within the school’s premises and in the surrounding areas. Where options are limited at school, children prefer to go to the street food vendors in the school’s surroundings.</w:t>
      </w:r>
      <w:r>
        <w:rPr>
          <w:rStyle w:val="Rimandonotadichiusura"/>
          <w:rFonts w:ascii="Garamond" w:hAnsi="Garamond"/>
          <w:sz w:val="24"/>
          <w:szCs w:val="24"/>
        </w:rPr>
        <w:endnoteReference w:id="9"/>
      </w:r>
      <w:r>
        <w:rPr>
          <w:rFonts w:ascii="Garamond" w:hAnsi="Garamond"/>
          <w:sz w:val="24"/>
          <w:szCs w:val="24"/>
        </w:rPr>
        <w:t xml:space="preserve"> Children may also buy food before entering the school in the morning. For example, at </w:t>
      </w:r>
      <w:proofErr w:type="spellStart"/>
      <w:proofErr w:type="gramStart"/>
      <w:r>
        <w:rPr>
          <w:rFonts w:ascii="Garamond" w:hAnsi="Garamond"/>
          <w:sz w:val="24"/>
          <w:szCs w:val="24"/>
        </w:rPr>
        <w:t>Osu</w:t>
      </w:r>
      <w:proofErr w:type="spellEnd"/>
      <w:proofErr w:type="gramEnd"/>
      <w:r>
        <w:rPr>
          <w:rFonts w:ascii="Garamond" w:hAnsi="Garamond"/>
          <w:sz w:val="24"/>
          <w:szCs w:val="24"/>
        </w:rPr>
        <w:t xml:space="preserve"> </w:t>
      </w:r>
      <w:proofErr w:type="spellStart"/>
      <w:r>
        <w:rPr>
          <w:rFonts w:ascii="Garamond" w:hAnsi="Garamond"/>
          <w:sz w:val="24"/>
          <w:szCs w:val="24"/>
        </w:rPr>
        <w:t>Presby</w:t>
      </w:r>
      <w:proofErr w:type="spellEnd"/>
      <w:r>
        <w:rPr>
          <w:rFonts w:ascii="Garamond" w:hAnsi="Garamond"/>
          <w:sz w:val="24"/>
          <w:szCs w:val="24"/>
        </w:rPr>
        <w:t xml:space="preserve">, it was common among schoolchildren to buy porridge from the stall in front of the school in the morning. Besides permanent food stalls in the proximity of schools, public schools tend to be a target of mobile food vendors, as we will discuss in more detail later. </w:t>
      </w:r>
    </w:p>
    <w:p w14:paraId="6B56D697" w14:textId="03758379" w:rsidR="00D17ECF" w:rsidRDefault="00D17ECF" w:rsidP="005F732E">
      <w:pPr>
        <w:spacing w:line="480" w:lineRule="auto"/>
        <w:jc w:val="both"/>
        <w:rPr>
          <w:rFonts w:ascii="Garamond" w:hAnsi="Garamond"/>
          <w:sz w:val="24"/>
          <w:szCs w:val="24"/>
        </w:rPr>
      </w:pPr>
      <w:r>
        <w:rPr>
          <w:rFonts w:ascii="Garamond" w:hAnsi="Garamond"/>
          <w:sz w:val="24"/>
          <w:szCs w:val="24"/>
        </w:rPr>
        <w:t>Street food, defined as ‘</w:t>
      </w:r>
      <w:r w:rsidRPr="00FE6211">
        <w:rPr>
          <w:rFonts w:ascii="Garamond" w:hAnsi="Garamond"/>
          <w:sz w:val="24"/>
          <w:szCs w:val="24"/>
        </w:rPr>
        <w:t>any ready to eat food or beverage sold and sometimes prepared in outdoor public spaces by vendors or cooks, either itinerant or stationary, either on foot or from mobile outlets</w:t>
      </w:r>
      <w:r>
        <w:rPr>
          <w:rFonts w:ascii="Garamond" w:hAnsi="Garamond"/>
          <w:sz w:val="24"/>
          <w:szCs w:val="24"/>
        </w:rPr>
        <w:t xml:space="preserve">’ (FAO 2016: 1), is central to urban children’s food provisioning, providing much of the food consumed, particularly in public schools.  </w:t>
      </w:r>
      <w:r w:rsidRPr="00FE6211">
        <w:rPr>
          <w:rFonts w:ascii="Garamond" w:hAnsi="Garamond"/>
          <w:sz w:val="24"/>
          <w:szCs w:val="24"/>
        </w:rPr>
        <w:t>Street food employs an estimated 60,000 individuals in Accra, many of whom are women, and its ubiquitous presence has directed attention to issues of food hygiene and safety (</w:t>
      </w:r>
      <w:proofErr w:type="spellStart"/>
      <w:r>
        <w:rPr>
          <w:rFonts w:ascii="Garamond" w:hAnsi="Garamond"/>
          <w:sz w:val="24"/>
          <w:szCs w:val="24"/>
        </w:rPr>
        <w:t>Ackah</w:t>
      </w:r>
      <w:proofErr w:type="spellEnd"/>
      <w:r>
        <w:rPr>
          <w:rFonts w:ascii="Garamond" w:hAnsi="Garamond"/>
          <w:sz w:val="24"/>
          <w:szCs w:val="24"/>
        </w:rPr>
        <w:t xml:space="preserve"> et al. 2011; </w:t>
      </w:r>
      <w:r w:rsidRPr="00FE6211">
        <w:rPr>
          <w:rFonts w:ascii="Garamond" w:hAnsi="Garamond"/>
          <w:sz w:val="24"/>
          <w:szCs w:val="24"/>
        </w:rPr>
        <w:t xml:space="preserve">FAO 2016). </w:t>
      </w:r>
      <w:r>
        <w:rPr>
          <w:rFonts w:ascii="Garamond" w:hAnsi="Garamond"/>
          <w:sz w:val="24"/>
          <w:szCs w:val="24"/>
        </w:rPr>
        <w:t xml:space="preserve">A high number of children in the sample, 72.6 per cent, had purchased street food at least once in the week before the interview. Interestingly, street food is especially important for children from poorer backgrounds, with 60 per cent and 75 per cent of children in the two poorest quintiles, respectively, who had bought street food more than once in the previous week. </w:t>
      </w:r>
    </w:p>
    <w:p w14:paraId="48F6AEF7" w14:textId="479D0F2C" w:rsidR="00D17ECF" w:rsidRDefault="00D17ECF" w:rsidP="005F732E">
      <w:pPr>
        <w:spacing w:line="480" w:lineRule="auto"/>
        <w:jc w:val="both"/>
        <w:rPr>
          <w:rFonts w:ascii="Garamond" w:hAnsi="Garamond"/>
          <w:sz w:val="24"/>
          <w:szCs w:val="24"/>
        </w:rPr>
      </w:pPr>
      <w:r>
        <w:rPr>
          <w:rFonts w:ascii="Garamond" w:hAnsi="Garamond"/>
          <w:sz w:val="24"/>
          <w:szCs w:val="24"/>
        </w:rPr>
        <w:t xml:space="preserve">How do children purchase food? Most children in the sample, everyone except from children at AIS and TIS, buy food for themselves with </w:t>
      </w:r>
      <w:r w:rsidRPr="0044561E">
        <w:rPr>
          <w:rFonts w:ascii="Garamond" w:hAnsi="Garamond"/>
          <w:i/>
          <w:sz w:val="24"/>
          <w:szCs w:val="24"/>
        </w:rPr>
        <w:t>chop</w:t>
      </w:r>
      <w:r>
        <w:rPr>
          <w:rFonts w:ascii="Garamond" w:hAnsi="Garamond"/>
          <w:sz w:val="24"/>
          <w:szCs w:val="24"/>
        </w:rPr>
        <w:t xml:space="preserve"> money. This is money handed out on a daily basis, unless the families cannot afford to do so daily,</w:t>
      </w:r>
      <w:r>
        <w:rPr>
          <w:rStyle w:val="Rimandonotadichiusura"/>
          <w:rFonts w:ascii="Garamond" w:hAnsi="Garamond"/>
          <w:sz w:val="24"/>
          <w:szCs w:val="24"/>
        </w:rPr>
        <w:endnoteReference w:id="10"/>
      </w:r>
      <w:r>
        <w:rPr>
          <w:rFonts w:ascii="Garamond" w:hAnsi="Garamond"/>
          <w:sz w:val="24"/>
          <w:szCs w:val="24"/>
        </w:rPr>
        <w:t xml:space="preserve"> and serves the specific purpose of buying food, and in some cases for other expenses, such as transportation. The amount of </w:t>
      </w:r>
      <w:r w:rsidRPr="000F10C1">
        <w:rPr>
          <w:rFonts w:ascii="Garamond" w:hAnsi="Garamond"/>
          <w:i/>
          <w:sz w:val="24"/>
          <w:szCs w:val="24"/>
        </w:rPr>
        <w:t>chop</w:t>
      </w:r>
      <w:r>
        <w:rPr>
          <w:rFonts w:ascii="Garamond" w:hAnsi="Garamond"/>
          <w:sz w:val="24"/>
          <w:szCs w:val="24"/>
        </w:rPr>
        <w:t xml:space="preserve"> money ranges from 1 or 2 GHS to 10 GHS per day, the average is 5 GHS/day. In contrast, children at AIS receive </w:t>
      </w:r>
      <w:r w:rsidRPr="000F10C1">
        <w:rPr>
          <w:rFonts w:ascii="Garamond" w:hAnsi="Garamond"/>
          <w:i/>
          <w:sz w:val="24"/>
          <w:szCs w:val="24"/>
        </w:rPr>
        <w:t>pocket</w:t>
      </w:r>
      <w:r>
        <w:rPr>
          <w:rFonts w:ascii="Garamond" w:hAnsi="Garamond"/>
          <w:sz w:val="24"/>
          <w:szCs w:val="24"/>
        </w:rPr>
        <w:t xml:space="preserve"> money, which is handed out mostly weekly and not used to buy meals. Meals are </w:t>
      </w:r>
      <w:r>
        <w:rPr>
          <w:rFonts w:ascii="Garamond" w:hAnsi="Garamond"/>
          <w:sz w:val="24"/>
          <w:szCs w:val="24"/>
        </w:rPr>
        <w:lastRenderedPageBreak/>
        <w:t xml:space="preserve">paid for by families in advance and therefore children can use </w:t>
      </w:r>
      <w:r w:rsidRPr="000F10C1">
        <w:rPr>
          <w:rFonts w:ascii="Garamond" w:hAnsi="Garamond"/>
          <w:i/>
          <w:sz w:val="24"/>
          <w:szCs w:val="24"/>
        </w:rPr>
        <w:t>pocket</w:t>
      </w:r>
      <w:r>
        <w:rPr>
          <w:rFonts w:ascii="Garamond" w:hAnsi="Garamond"/>
          <w:sz w:val="24"/>
          <w:szCs w:val="24"/>
        </w:rPr>
        <w:t xml:space="preserve"> money to buy some snacks. In focus groups at AIS, children explained that they use pocket money to buy food when they go to shopping malls with friends at weekends. This is a substantial difference for children from different socio-economic backgrounds and one that has direct implications on the quantity and quality of food consumed.       </w:t>
      </w:r>
    </w:p>
    <w:p w14:paraId="3AA30E7A" w14:textId="75866B74" w:rsidR="00D17ECF" w:rsidRPr="0021619A" w:rsidRDefault="00D17ECF" w:rsidP="005F732E">
      <w:pPr>
        <w:spacing w:line="480" w:lineRule="auto"/>
        <w:rPr>
          <w:rFonts w:ascii="Garamond" w:hAnsi="Garamond"/>
          <w:b/>
          <w:bCs/>
          <w:sz w:val="24"/>
          <w:szCs w:val="24"/>
        </w:rPr>
      </w:pPr>
      <w:r>
        <w:rPr>
          <w:rFonts w:ascii="Garamond" w:hAnsi="Garamond"/>
          <w:b/>
          <w:bCs/>
          <w:sz w:val="24"/>
          <w:szCs w:val="24"/>
        </w:rPr>
        <w:t xml:space="preserve">4.2 </w:t>
      </w:r>
      <w:r w:rsidRPr="0021619A">
        <w:rPr>
          <w:rFonts w:ascii="Garamond" w:hAnsi="Garamond"/>
          <w:b/>
          <w:bCs/>
          <w:sz w:val="24"/>
          <w:szCs w:val="24"/>
        </w:rPr>
        <w:t>Food security</w:t>
      </w:r>
      <w:r>
        <w:rPr>
          <w:rFonts w:ascii="Garamond" w:hAnsi="Garamond"/>
          <w:b/>
          <w:bCs/>
          <w:sz w:val="24"/>
          <w:szCs w:val="24"/>
        </w:rPr>
        <w:t xml:space="preserve"> </w:t>
      </w:r>
    </w:p>
    <w:p w14:paraId="6E8B93F0" w14:textId="302331A7" w:rsidR="00D17ECF" w:rsidRDefault="00D17ECF" w:rsidP="005F732E">
      <w:pPr>
        <w:spacing w:line="480" w:lineRule="auto"/>
        <w:jc w:val="both"/>
        <w:rPr>
          <w:rFonts w:ascii="Garamond" w:hAnsi="Garamond"/>
          <w:sz w:val="24"/>
          <w:szCs w:val="24"/>
        </w:rPr>
      </w:pPr>
      <w:r>
        <w:rPr>
          <w:rFonts w:ascii="Garamond" w:hAnsi="Garamond"/>
          <w:sz w:val="24"/>
          <w:szCs w:val="24"/>
        </w:rPr>
        <w:t>The majority of children in the sample, 76 per cent, have not gone hungry due to lack of food in the month before the interview. However, a remarkable 24 per cent of the sample reported that they felt hungry once or a few times due to lack of food. In a context characterised by the lowest levels of undernutrition in the country, this finding stands out. This result shows that inability to access sufficient quantities of food does occur among schoolchildren in Accra, thus suggesting that urban food insecurity is an issue that needs attention.</w:t>
      </w:r>
      <w:r>
        <w:rPr>
          <w:rStyle w:val="Rimandonotadichiusura"/>
          <w:rFonts w:ascii="Garamond" w:hAnsi="Garamond"/>
          <w:sz w:val="24"/>
          <w:szCs w:val="24"/>
        </w:rPr>
        <w:endnoteReference w:id="11"/>
      </w:r>
      <w:r>
        <w:rPr>
          <w:rFonts w:ascii="Garamond" w:hAnsi="Garamond"/>
          <w:sz w:val="24"/>
          <w:szCs w:val="24"/>
        </w:rPr>
        <w:t xml:space="preserve"> </w:t>
      </w:r>
    </w:p>
    <w:p w14:paraId="25775181" w14:textId="4CC01EAD" w:rsidR="00D17ECF" w:rsidRDefault="00D17ECF" w:rsidP="005F732E">
      <w:pPr>
        <w:spacing w:line="480" w:lineRule="auto"/>
        <w:jc w:val="both"/>
        <w:rPr>
          <w:rFonts w:ascii="Garamond" w:hAnsi="Garamond"/>
          <w:sz w:val="24"/>
          <w:szCs w:val="24"/>
        </w:rPr>
      </w:pPr>
      <w:r>
        <w:rPr>
          <w:rFonts w:ascii="Garamond" w:hAnsi="Garamond"/>
          <w:sz w:val="24"/>
          <w:szCs w:val="24"/>
        </w:rPr>
        <w:t xml:space="preserve">Who are the food insecure children? Looking at the association between food insecurity and wealth, we observe that most food insecure children are in the poorer quintiles. We find a negative and statistically significant association (p-value = 0.065) between food insecurity and wealth. The question on breakfast reveals that the majority of children interviewed, 68 per cent, have breakfast before going to school. However, a significant 32 per cent of children in the sample go to school without breakfast. Many of these children buy breakfast on their way to school, from street food vendors, or at school from the school canteen or on-site vendors. With the focus groups, we explored some of the reasons for not having breakfast at home. Children mentioned a variety of factors that may </w:t>
      </w:r>
      <w:r>
        <w:rPr>
          <w:rFonts w:ascii="Garamond" w:hAnsi="Garamond"/>
          <w:i/>
          <w:iCs/>
          <w:sz w:val="24"/>
          <w:szCs w:val="24"/>
        </w:rPr>
        <w:t xml:space="preserve">prima facie </w:t>
      </w:r>
      <w:r>
        <w:rPr>
          <w:rFonts w:ascii="Garamond" w:hAnsi="Garamond"/>
          <w:sz w:val="24"/>
          <w:szCs w:val="24"/>
        </w:rPr>
        <w:t xml:space="preserve">appear to reflect family’s practices and habits. For example, some children said they have to wake up very early to arrive at school on time and therefore indicated lack of time as the reason for not having breakfast at home, others said their parents do not prepare breakfast at home and instead give them money to buy breakfast on their way to school. However, </w:t>
      </w:r>
      <w:r>
        <w:rPr>
          <w:rFonts w:ascii="Garamond" w:hAnsi="Garamond"/>
          <w:sz w:val="24"/>
          <w:szCs w:val="24"/>
        </w:rPr>
        <w:lastRenderedPageBreak/>
        <w:t xml:space="preserve">we also find a negative association (p-value = 0.000) between not having breakfast before going to school and wealth, with the majority of children in this group in the two poorest quintiles. </w:t>
      </w:r>
    </w:p>
    <w:p w14:paraId="7A0863E6" w14:textId="77777777" w:rsidR="00D17ECF" w:rsidRDefault="00D17ECF" w:rsidP="005F732E">
      <w:pPr>
        <w:spacing w:line="480" w:lineRule="auto"/>
        <w:jc w:val="both"/>
        <w:rPr>
          <w:rFonts w:ascii="Garamond" w:hAnsi="Garamond"/>
          <w:sz w:val="24"/>
          <w:szCs w:val="24"/>
        </w:rPr>
      </w:pPr>
      <w:r>
        <w:rPr>
          <w:rFonts w:ascii="Garamond" w:hAnsi="Garamond"/>
          <w:sz w:val="24"/>
          <w:szCs w:val="24"/>
        </w:rPr>
        <w:t xml:space="preserve">This finding suggests that reasons mentioned for not having breakfast may conceal an underlying link with socio-economic status. Having to wake up very early in the morning may reflect the location and housing conditions of children’s homes, how they go to school, their parents’ occupations, and their roles within their households. For example, we find that 93.5 per cent of children in public schools walk to school while this percentage drops to only 10.4 per cent of children in private schools, as more than half of them are driven to schools. This shapes where children acquire food, with food vendors concentrating in proximity of public schools. </w:t>
      </w:r>
    </w:p>
    <w:p w14:paraId="2EED7667" w14:textId="77777777" w:rsidR="00D17ECF" w:rsidRDefault="00D17ECF" w:rsidP="005F732E">
      <w:pPr>
        <w:spacing w:line="480" w:lineRule="auto"/>
        <w:jc w:val="both"/>
        <w:rPr>
          <w:rFonts w:ascii="Garamond" w:hAnsi="Garamond"/>
          <w:sz w:val="24"/>
          <w:szCs w:val="24"/>
        </w:rPr>
      </w:pPr>
      <w:r>
        <w:rPr>
          <w:rFonts w:ascii="Garamond" w:hAnsi="Garamond"/>
          <w:sz w:val="24"/>
          <w:szCs w:val="24"/>
        </w:rPr>
        <w:t xml:space="preserve">With regard to food security, a key concern is the timing of the first meal. On the day before the interview 53.4% of the sample had breakfast by 7:30 while the rest of the sample had their first meal between 8:00 and 13:00. There was a group of children, 15 per cent, who had their first meal at the first school break, around 10:00 or later. Most of these children are in the two poorest wealth quintiles. This may reflect the lack of resources to have two meals in the morning, resulting in the practice of postponing breakfast. </w:t>
      </w:r>
    </w:p>
    <w:p w14:paraId="66E40D08" w14:textId="3E75D6E7" w:rsidR="00D17ECF" w:rsidRPr="00220C7B" w:rsidRDefault="00D17ECF" w:rsidP="005F732E">
      <w:pPr>
        <w:spacing w:line="480" w:lineRule="auto"/>
        <w:rPr>
          <w:rFonts w:ascii="Garamond" w:hAnsi="Garamond"/>
          <w:b/>
          <w:bCs/>
          <w:sz w:val="24"/>
          <w:szCs w:val="24"/>
        </w:rPr>
      </w:pPr>
      <w:r>
        <w:rPr>
          <w:rFonts w:ascii="Garamond" w:hAnsi="Garamond"/>
          <w:b/>
          <w:bCs/>
          <w:sz w:val="24"/>
          <w:szCs w:val="24"/>
        </w:rPr>
        <w:t xml:space="preserve">4.3 Diet quality </w:t>
      </w:r>
    </w:p>
    <w:p w14:paraId="55D4CDE9" w14:textId="09AD6D07" w:rsidR="00D17ECF" w:rsidRDefault="00D17ECF" w:rsidP="005F732E">
      <w:pPr>
        <w:spacing w:line="480" w:lineRule="auto"/>
        <w:jc w:val="both"/>
        <w:rPr>
          <w:rFonts w:ascii="Garamond" w:hAnsi="Garamond"/>
          <w:sz w:val="24"/>
          <w:szCs w:val="24"/>
        </w:rPr>
      </w:pPr>
      <w:r>
        <w:rPr>
          <w:rFonts w:ascii="Garamond" w:hAnsi="Garamond"/>
          <w:sz w:val="24"/>
          <w:szCs w:val="24"/>
        </w:rPr>
        <w:t xml:space="preserve">The dietary diversity indicator captures high consumption for cereals (99.3%), oils and fats (65.5%), sweets (50.4%), meat (48.2%), vegetables (48.2%) and dairy products (43.9%). Instead very low levels of consumption were recorded for vitamin-A-rich fruit and vegetables (3.6% and 9.4%, respectively) and nuts and seeds (9.4%). We find a positive and statistically significant association between dietary diversity and wealth (p-value = 0.007). </w:t>
      </w:r>
    </w:p>
    <w:p w14:paraId="085DE8ED" w14:textId="2E8DB9B2" w:rsidR="00D17ECF" w:rsidRDefault="00D17ECF" w:rsidP="005F732E">
      <w:pPr>
        <w:spacing w:line="480" w:lineRule="auto"/>
        <w:jc w:val="both"/>
        <w:rPr>
          <w:rFonts w:ascii="Garamond" w:hAnsi="Garamond"/>
          <w:sz w:val="24"/>
          <w:szCs w:val="24"/>
        </w:rPr>
      </w:pPr>
      <w:r>
        <w:rPr>
          <w:rFonts w:ascii="Garamond" w:hAnsi="Garamond"/>
          <w:sz w:val="24"/>
          <w:szCs w:val="24"/>
        </w:rPr>
        <w:t xml:space="preserve">The FCS is associated positively with wealth, with a high level of statistical significance (p-value = 0.000). This suggests that children in wealthier quintiles consume healthier foods. In particular, we see that dairy and vegetables consumption increases in frequency with wealth. However, for other </w:t>
      </w:r>
      <w:r>
        <w:rPr>
          <w:rFonts w:ascii="Garamond" w:hAnsi="Garamond"/>
          <w:sz w:val="24"/>
          <w:szCs w:val="24"/>
        </w:rPr>
        <w:lastRenderedPageBreak/>
        <w:t xml:space="preserve">food items the association with wealth is not clear-cut. In particular this appears to be the case for foods and drinks that are consumed as snacks. Consumption of packaged snacks and carbonated drinks appears to cut across wealth quintiles, with poorer and wealthier children reporting similar levels of consumption. We argue that these forms of food consumption reflect the widespread availability and relative affordability of these foods. Packaged snacks and soft drinks are sold by food vendors on the schools’ premises or in surrounding areas. Prices are such that most children can afford to buy these foods, at least occasionally. Indeed packaged snacks and soft drinks are among the cheapest foods at school or on the road. </w:t>
      </w:r>
    </w:p>
    <w:p w14:paraId="183595C5" w14:textId="038F92B8" w:rsidR="005F732E" w:rsidRPr="00220C7B" w:rsidRDefault="00D17ECF" w:rsidP="005F732E">
      <w:pPr>
        <w:spacing w:line="480" w:lineRule="auto"/>
        <w:jc w:val="both"/>
        <w:rPr>
          <w:rFonts w:ascii="Garamond" w:hAnsi="Garamond"/>
          <w:sz w:val="24"/>
          <w:szCs w:val="24"/>
        </w:rPr>
      </w:pPr>
      <w:r>
        <w:rPr>
          <w:rFonts w:ascii="Garamond" w:hAnsi="Garamond"/>
          <w:sz w:val="24"/>
          <w:szCs w:val="24"/>
        </w:rPr>
        <w:t xml:space="preserve">To provide an example, we briefly discuss </w:t>
      </w:r>
      <w:proofErr w:type="spellStart"/>
      <w:r>
        <w:rPr>
          <w:rFonts w:ascii="Garamond" w:hAnsi="Garamond"/>
          <w:sz w:val="24"/>
          <w:szCs w:val="24"/>
        </w:rPr>
        <w:t>FanMilk</w:t>
      </w:r>
      <w:proofErr w:type="spellEnd"/>
      <w:r>
        <w:rPr>
          <w:rFonts w:ascii="Garamond" w:hAnsi="Garamond"/>
          <w:sz w:val="24"/>
          <w:szCs w:val="24"/>
        </w:rPr>
        <w:t xml:space="preserve"> snacks. </w:t>
      </w:r>
      <w:proofErr w:type="spellStart"/>
      <w:r>
        <w:rPr>
          <w:rFonts w:ascii="Garamond" w:hAnsi="Garamond"/>
          <w:sz w:val="24"/>
          <w:szCs w:val="24"/>
        </w:rPr>
        <w:t>FanMilk</w:t>
      </w:r>
      <w:proofErr w:type="spellEnd"/>
      <w:r>
        <w:rPr>
          <w:rFonts w:ascii="Garamond" w:hAnsi="Garamond"/>
          <w:sz w:val="24"/>
          <w:szCs w:val="24"/>
        </w:rPr>
        <w:t xml:space="preserve"> is a multinational that has been present in Ghana since the 1960s. </w:t>
      </w:r>
      <w:proofErr w:type="spellStart"/>
      <w:r>
        <w:rPr>
          <w:rFonts w:ascii="Garamond" w:hAnsi="Garamond"/>
          <w:sz w:val="24"/>
          <w:szCs w:val="24"/>
        </w:rPr>
        <w:t>FanMilk’s</w:t>
      </w:r>
      <w:proofErr w:type="spellEnd"/>
      <w:r>
        <w:rPr>
          <w:rFonts w:ascii="Garamond" w:hAnsi="Garamond"/>
          <w:sz w:val="24"/>
          <w:szCs w:val="24"/>
        </w:rPr>
        <w:t xml:space="preserve"> distribution structure relies on thousands of mobile street vendors operating particularly in urban areas.</w:t>
      </w:r>
      <w:r>
        <w:rPr>
          <w:rStyle w:val="Rimandonotadichiusura"/>
          <w:rFonts w:ascii="Garamond" w:hAnsi="Garamond"/>
          <w:sz w:val="24"/>
          <w:szCs w:val="24"/>
        </w:rPr>
        <w:endnoteReference w:id="12"/>
      </w:r>
      <w:r>
        <w:rPr>
          <w:rFonts w:ascii="Garamond" w:hAnsi="Garamond"/>
          <w:sz w:val="24"/>
          <w:szCs w:val="24"/>
        </w:rPr>
        <w:t xml:space="preserve"> </w:t>
      </w:r>
      <w:r w:rsidR="005F732E">
        <w:rPr>
          <w:rFonts w:ascii="Garamond" w:hAnsi="Garamond"/>
          <w:sz w:val="24"/>
          <w:szCs w:val="24"/>
        </w:rPr>
        <w:t xml:space="preserve">Its main products are a range of packaged frozen snacks, which may be yoghurt-based, chocolate-based or have a fruit flavour. In interviews conducted with </w:t>
      </w:r>
      <w:proofErr w:type="spellStart"/>
      <w:r w:rsidR="005F732E">
        <w:rPr>
          <w:rFonts w:ascii="Garamond" w:hAnsi="Garamond"/>
          <w:sz w:val="24"/>
          <w:szCs w:val="24"/>
        </w:rPr>
        <w:t>FanMilk</w:t>
      </w:r>
      <w:proofErr w:type="spellEnd"/>
      <w:r w:rsidR="005F732E">
        <w:rPr>
          <w:rFonts w:ascii="Garamond" w:hAnsi="Garamond"/>
          <w:sz w:val="24"/>
          <w:szCs w:val="24"/>
        </w:rPr>
        <w:t xml:space="preserve"> vendors, it emerged that many vendors go to public schools at break times and at the end of the school day. According to the vendors, </w:t>
      </w:r>
      <w:proofErr w:type="spellStart"/>
      <w:r w:rsidR="005F732E">
        <w:rPr>
          <w:rFonts w:ascii="Garamond" w:hAnsi="Garamond"/>
          <w:sz w:val="24"/>
          <w:szCs w:val="24"/>
        </w:rPr>
        <w:t>FanMilk</w:t>
      </w:r>
      <w:proofErr w:type="spellEnd"/>
      <w:r w:rsidR="005F732E">
        <w:rPr>
          <w:rFonts w:ascii="Garamond" w:hAnsi="Garamond"/>
          <w:sz w:val="24"/>
          <w:szCs w:val="24"/>
        </w:rPr>
        <w:t xml:space="preserve"> snacks are popular among children, which is confirmed by 72.7 per cent of children in our sample reporting having eaten </w:t>
      </w:r>
      <w:proofErr w:type="spellStart"/>
      <w:r w:rsidR="005F732E">
        <w:rPr>
          <w:rFonts w:ascii="Garamond" w:hAnsi="Garamond"/>
          <w:sz w:val="24"/>
          <w:szCs w:val="24"/>
        </w:rPr>
        <w:t>FanMi</w:t>
      </w:r>
      <w:r w:rsidR="00D7250C">
        <w:rPr>
          <w:rFonts w:ascii="Garamond" w:hAnsi="Garamond"/>
          <w:sz w:val="24"/>
          <w:szCs w:val="24"/>
        </w:rPr>
        <w:t>lk</w:t>
      </w:r>
      <w:proofErr w:type="spellEnd"/>
      <w:r w:rsidR="00D7250C">
        <w:rPr>
          <w:rFonts w:ascii="Garamond" w:hAnsi="Garamond"/>
          <w:sz w:val="24"/>
          <w:szCs w:val="24"/>
        </w:rPr>
        <w:t xml:space="preserve"> snacks in the previous week, with the highest consumption frequency found in the middle wealth quintiles. </w:t>
      </w:r>
      <w:r w:rsidR="005F732E">
        <w:rPr>
          <w:rFonts w:ascii="Garamond" w:hAnsi="Garamond"/>
          <w:sz w:val="24"/>
          <w:szCs w:val="24"/>
        </w:rPr>
        <w:t>Children use their chop or pocket money to buy these snacks that are widely available and relatively affordable. These snacks are less available to children in top private schools because food vendors are not allowed to operate on the school’s premises and proximity. Conversely, children from the poorest quintile can easily find these snacks at school but the lower frequency reflects smaller amounts of chop money. At times, vendors cut the snacks in half so that two children can share the cos</w:t>
      </w:r>
      <w:r w:rsidR="00D7250C">
        <w:rPr>
          <w:rFonts w:ascii="Garamond" w:hAnsi="Garamond"/>
          <w:sz w:val="24"/>
          <w:szCs w:val="24"/>
        </w:rPr>
        <w:t xml:space="preserve">t. This example provides a glimpse on the functioning </w:t>
      </w:r>
      <w:r w:rsidR="002241ED">
        <w:rPr>
          <w:rFonts w:ascii="Garamond" w:hAnsi="Garamond"/>
          <w:sz w:val="24"/>
          <w:szCs w:val="24"/>
        </w:rPr>
        <w:t>of the urban food system</w:t>
      </w:r>
      <w:r w:rsidR="00D7250C">
        <w:rPr>
          <w:rFonts w:ascii="Garamond" w:hAnsi="Garamond"/>
          <w:sz w:val="24"/>
          <w:szCs w:val="24"/>
        </w:rPr>
        <w:t xml:space="preserve"> </w:t>
      </w:r>
      <w:r w:rsidR="002241ED">
        <w:rPr>
          <w:rFonts w:ascii="Garamond" w:hAnsi="Garamond"/>
          <w:sz w:val="24"/>
          <w:szCs w:val="24"/>
        </w:rPr>
        <w:t>where food companies make use of informal channels to boost sales of affordable and widely available packaged foods.</w:t>
      </w:r>
      <w:r w:rsidR="005F732E">
        <w:rPr>
          <w:rFonts w:ascii="Garamond" w:hAnsi="Garamond"/>
          <w:sz w:val="24"/>
          <w:szCs w:val="24"/>
        </w:rPr>
        <w:t xml:space="preserve"> </w:t>
      </w:r>
    </w:p>
    <w:p w14:paraId="5ABF5791" w14:textId="71748C5D" w:rsidR="005F732E" w:rsidRDefault="00435074" w:rsidP="005F732E">
      <w:pPr>
        <w:spacing w:line="480" w:lineRule="auto"/>
        <w:rPr>
          <w:rFonts w:ascii="Garamond" w:hAnsi="Garamond"/>
          <w:b/>
          <w:bCs/>
          <w:sz w:val="24"/>
          <w:szCs w:val="24"/>
        </w:rPr>
      </w:pPr>
      <w:r>
        <w:rPr>
          <w:rFonts w:ascii="Garamond" w:hAnsi="Garamond"/>
          <w:b/>
          <w:bCs/>
          <w:sz w:val="24"/>
          <w:szCs w:val="24"/>
        </w:rPr>
        <w:t xml:space="preserve">4.4 </w:t>
      </w:r>
      <w:r w:rsidR="005F732E" w:rsidRPr="00220C7B">
        <w:rPr>
          <w:rFonts w:ascii="Garamond" w:hAnsi="Garamond"/>
          <w:b/>
          <w:bCs/>
          <w:sz w:val="24"/>
          <w:szCs w:val="24"/>
        </w:rPr>
        <w:t>Food knowledge</w:t>
      </w:r>
    </w:p>
    <w:p w14:paraId="09ADB81F" w14:textId="0FF64F4B" w:rsidR="005F732E" w:rsidRDefault="007D5BD1" w:rsidP="005F732E">
      <w:pPr>
        <w:spacing w:line="480" w:lineRule="auto"/>
        <w:jc w:val="both"/>
        <w:rPr>
          <w:rFonts w:ascii="Garamond" w:hAnsi="Garamond"/>
          <w:sz w:val="24"/>
          <w:szCs w:val="24"/>
        </w:rPr>
      </w:pPr>
      <w:r w:rsidRPr="007D5BD1">
        <w:rPr>
          <w:rFonts w:ascii="Garamond" w:hAnsi="Garamond"/>
          <w:sz w:val="24"/>
          <w:szCs w:val="24"/>
        </w:rPr>
        <w:lastRenderedPageBreak/>
        <w:t>The majority of children in the sample (67.7 per cent) have basic food knowledge</w:t>
      </w:r>
      <w:r>
        <w:rPr>
          <w:rFonts w:ascii="Garamond" w:hAnsi="Garamond"/>
          <w:sz w:val="24"/>
          <w:szCs w:val="24"/>
        </w:rPr>
        <w:t xml:space="preserve">. </w:t>
      </w:r>
      <w:r w:rsidR="005F732E">
        <w:rPr>
          <w:rFonts w:ascii="Garamond" w:hAnsi="Garamond"/>
          <w:sz w:val="24"/>
          <w:szCs w:val="24"/>
        </w:rPr>
        <w:t xml:space="preserve">The association between food knowledge and wealth is positive but statistically insignificant </w:t>
      </w:r>
      <w:r w:rsidR="005F732E" w:rsidRPr="006A62FE">
        <w:rPr>
          <w:rFonts w:ascii="Garamond" w:hAnsi="Garamond"/>
          <w:sz w:val="24"/>
          <w:szCs w:val="24"/>
        </w:rPr>
        <w:t>(p-value = 0.107).</w:t>
      </w:r>
      <w:r w:rsidR="005F732E">
        <w:rPr>
          <w:rFonts w:ascii="Garamond" w:hAnsi="Garamond"/>
          <w:sz w:val="24"/>
          <w:szCs w:val="24"/>
        </w:rPr>
        <w:t xml:space="preserve"> It is</w:t>
      </w:r>
      <w:r w:rsidR="00284F8C">
        <w:rPr>
          <w:rFonts w:ascii="Garamond" w:hAnsi="Garamond"/>
          <w:sz w:val="24"/>
          <w:szCs w:val="24"/>
        </w:rPr>
        <w:t xml:space="preserve"> however</w:t>
      </w:r>
      <w:r w:rsidR="005F732E">
        <w:rPr>
          <w:rFonts w:ascii="Garamond" w:hAnsi="Garamond"/>
          <w:sz w:val="24"/>
          <w:szCs w:val="24"/>
        </w:rPr>
        <w:t xml:space="preserve"> unlikely that the association is driven by </w:t>
      </w:r>
      <w:r w:rsidR="00284F8C">
        <w:rPr>
          <w:rFonts w:ascii="Garamond" w:hAnsi="Garamond"/>
          <w:sz w:val="24"/>
          <w:szCs w:val="24"/>
        </w:rPr>
        <w:t xml:space="preserve">the </w:t>
      </w:r>
      <w:r w:rsidR="005F732E">
        <w:rPr>
          <w:rFonts w:ascii="Garamond" w:hAnsi="Garamond"/>
          <w:sz w:val="24"/>
          <w:szCs w:val="24"/>
        </w:rPr>
        <w:t>quality of nutrition education at school, as children in AIS and TIS, over-represented in the wealthiest quintile, do not have</w:t>
      </w:r>
      <w:r w:rsidR="00284F8C">
        <w:rPr>
          <w:rFonts w:ascii="Garamond" w:hAnsi="Garamond"/>
          <w:sz w:val="24"/>
          <w:szCs w:val="24"/>
        </w:rPr>
        <w:t xml:space="preserve"> home science classes </w:t>
      </w:r>
      <w:r w:rsidR="005F732E">
        <w:rPr>
          <w:rFonts w:ascii="Garamond" w:hAnsi="Garamond"/>
          <w:sz w:val="24"/>
          <w:szCs w:val="24"/>
        </w:rPr>
        <w:t xml:space="preserve">while all other children in the sample do. For example, in </w:t>
      </w:r>
      <w:proofErr w:type="spellStart"/>
      <w:r w:rsidR="005F732E">
        <w:rPr>
          <w:rFonts w:ascii="Garamond" w:hAnsi="Garamond"/>
          <w:sz w:val="24"/>
          <w:szCs w:val="24"/>
        </w:rPr>
        <w:t>Osu</w:t>
      </w:r>
      <w:proofErr w:type="spellEnd"/>
      <w:r w:rsidR="005F732E">
        <w:rPr>
          <w:rFonts w:ascii="Garamond" w:hAnsi="Garamond"/>
          <w:sz w:val="24"/>
          <w:szCs w:val="24"/>
        </w:rPr>
        <w:t xml:space="preserve"> </w:t>
      </w:r>
      <w:proofErr w:type="spellStart"/>
      <w:r w:rsidR="005F732E">
        <w:rPr>
          <w:rFonts w:ascii="Garamond" w:hAnsi="Garamond"/>
          <w:sz w:val="24"/>
          <w:szCs w:val="24"/>
        </w:rPr>
        <w:t>Presby</w:t>
      </w:r>
      <w:proofErr w:type="spellEnd"/>
      <w:r w:rsidR="005F732E">
        <w:rPr>
          <w:rFonts w:ascii="Garamond" w:hAnsi="Garamond"/>
          <w:sz w:val="24"/>
          <w:szCs w:val="24"/>
        </w:rPr>
        <w:t xml:space="preserve"> Girls, children were well aware of the importance of checking expiry dates and labels of purchased food as they were taught so by their home science teacher. In contrast, with the absence of home science class, it is more likely that children in the wealthier quintiles are more exposed to food and nutrition messages within their families. </w:t>
      </w:r>
      <w:r w:rsidR="006251BA" w:rsidRPr="006251BA">
        <w:rPr>
          <w:rFonts w:ascii="Garamond" w:hAnsi="Garamond"/>
          <w:sz w:val="24"/>
          <w:szCs w:val="24"/>
        </w:rPr>
        <w:t xml:space="preserve">In focus groups, it emerged that children learn about nutrition in a range of ways: at school, at home, through their families, or by watching television. </w:t>
      </w:r>
    </w:p>
    <w:p w14:paraId="2FB5FE39" w14:textId="68564CD1" w:rsidR="005F732E" w:rsidRDefault="005F732E" w:rsidP="005F732E">
      <w:pPr>
        <w:spacing w:line="480" w:lineRule="auto"/>
        <w:jc w:val="both"/>
        <w:rPr>
          <w:rFonts w:ascii="Garamond" w:hAnsi="Garamond"/>
          <w:sz w:val="24"/>
          <w:szCs w:val="24"/>
        </w:rPr>
      </w:pPr>
      <w:r>
        <w:rPr>
          <w:rFonts w:ascii="Garamond" w:hAnsi="Garamond"/>
          <w:sz w:val="24"/>
          <w:szCs w:val="24"/>
        </w:rPr>
        <w:t>In focus groups, children often mentioned the importance of hygiene.  Food safety is a priority in the national nutrition policy 2013-2017 (Ministry of Food and Agriculture [MOH] 2013), and has been incorporated into the teaching curriculum. The Ghanaian government, has paid attention to this issue, especially in relation to street food (MOH 2013; FAO 2016). In some interviews, children said that their mothers did not allow them to buy street food due to food safety concerns. Importantly, the focus groups participants in public schools believed that the food available to them during school time was not hygienic but the lack of alternative opt</w:t>
      </w:r>
      <w:r w:rsidR="00284F8C">
        <w:rPr>
          <w:rFonts w:ascii="Garamond" w:hAnsi="Garamond"/>
          <w:sz w:val="24"/>
          <w:szCs w:val="24"/>
        </w:rPr>
        <w:t>ions meant that they nonetheless</w:t>
      </w:r>
      <w:r>
        <w:rPr>
          <w:rFonts w:ascii="Garamond" w:hAnsi="Garamond"/>
          <w:sz w:val="24"/>
          <w:szCs w:val="24"/>
        </w:rPr>
        <w:t xml:space="preserve"> buy it.</w:t>
      </w:r>
    </w:p>
    <w:p w14:paraId="73E6AAD8" w14:textId="6212A65A" w:rsidR="005F732E" w:rsidRDefault="005F732E" w:rsidP="005F732E">
      <w:pPr>
        <w:spacing w:line="480" w:lineRule="auto"/>
        <w:jc w:val="both"/>
        <w:rPr>
          <w:rFonts w:ascii="Garamond" w:hAnsi="Garamond"/>
          <w:sz w:val="24"/>
          <w:szCs w:val="24"/>
        </w:rPr>
      </w:pPr>
      <w:r>
        <w:rPr>
          <w:rFonts w:ascii="Garamond" w:hAnsi="Garamond"/>
          <w:sz w:val="24"/>
          <w:szCs w:val="24"/>
        </w:rPr>
        <w:t xml:space="preserve">In the survey and in the focus groups, </w:t>
      </w:r>
      <w:r w:rsidRPr="005078E6">
        <w:rPr>
          <w:rFonts w:ascii="Garamond" w:hAnsi="Garamond"/>
          <w:sz w:val="24"/>
          <w:szCs w:val="24"/>
        </w:rPr>
        <w:t>children</w:t>
      </w:r>
      <w:r>
        <w:rPr>
          <w:rFonts w:ascii="Garamond" w:hAnsi="Garamond"/>
          <w:sz w:val="24"/>
          <w:szCs w:val="24"/>
        </w:rPr>
        <w:t xml:space="preserve"> </w:t>
      </w:r>
      <w:r w:rsidR="00AB1840">
        <w:rPr>
          <w:rFonts w:ascii="Garamond" w:hAnsi="Garamond"/>
          <w:sz w:val="24"/>
          <w:szCs w:val="24"/>
        </w:rPr>
        <w:t>uniformly reported that they have</w:t>
      </w:r>
      <w:r>
        <w:rPr>
          <w:rFonts w:ascii="Garamond" w:hAnsi="Garamond"/>
          <w:sz w:val="24"/>
          <w:szCs w:val="24"/>
        </w:rPr>
        <w:t xml:space="preserve"> </w:t>
      </w:r>
      <w:r w:rsidRPr="005078E6">
        <w:rPr>
          <w:rFonts w:ascii="Garamond" w:hAnsi="Garamond"/>
          <w:sz w:val="24"/>
          <w:szCs w:val="24"/>
        </w:rPr>
        <w:t>healthy foods at home and unhealthy f</w:t>
      </w:r>
      <w:r>
        <w:rPr>
          <w:rFonts w:ascii="Garamond" w:hAnsi="Garamond"/>
          <w:sz w:val="24"/>
          <w:szCs w:val="24"/>
        </w:rPr>
        <w:t>oods at school or in the street, ref</w:t>
      </w:r>
      <w:r w:rsidR="00AB1840">
        <w:rPr>
          <w:rFonts w:ascii="Garamond" w:hAnsi="Garamond"/>
          <w:sz w:val="24"/>
          <w:szCs w:val="24"/>
        </w:rPr>
        <w:t>lecting views food quality. N</w:t>
      </w:r>
      <w:r w:rsidR="003D2324">
        <w:rPr>
          <w:rFonts w:ascii="Garamond" w:hAnsi="Garamond"/>
          <w:sz w:val="24"/>
          <w:szCs w:val="24"/>
        </w:rPr>
        <w:t>evertheless, there are often gaps between taste and food knowledge</w:t>
      </w:r>
      <w:r>
        <w:rPr>
          <w:rFonts w:ascii="Garamond" w:hAnsi="Garamond"/>
          <w:sz w:val="24"/>
          <w:szCs w:val="24"/>
        </w:rPr>
        <w:t xml:space="preserve">, with many children mentioning fast foods as their favourite ones. Does nutrition knowledge inform food consumption then? Linear regression analysis suggests that food knowledge is positively associated with dietary diversity but the relationship with food consumption score is insignificant. The results reported in the table below suggest that wealth has a stronger explanatory power for both dietary diversity and food </w:t>
      </w:r>
      <w:r>
        <w:rPr>
          <w:rFonts w:ascii="Garamond" w:hAnsi="Garamond"/>
          <w:sz w:val="24"/>
          <w:szCs w:val="24"/>
        </w:rPr>
        <w:lastRenderedPageBreak/>
        <w:t xml:space="preserve">consumption. Food consumption appears to be negatively associated with the child’s age, which is a result that is difficult to interpret. </w:t>
      </w:r>
    </w:p>
    <w:p w14:paraId="538C1B4F" w14:textId="13A21548" w:rsidR="007B5B7F" w:rsidRDefault="003D2324" w:rsidP="005F732E">
      <w:pPr>
        <w:spacing w:line="480" w:lineRule="auto"/>
        <w:jc w:val="both"/>
        <w:rPr>
          <w:rFonts w:ascii="Garamond" w:hAnsi="Garamond"/>
          <w:sz w:val="24"/>
          <w:szCs w:val="24"/>
        </w:rPr>
      </w:pPr>
      <w:r>
        <w:rPr>
          <w:rFonts w:ascii="Garamond" w:hAnsi="Garamond"/>
          <w:sz w:val="24"/>
          <w:szCs w:val="24"/>
        </w:rPr>
        <w:t>Table 4</w:t>
      </w:r>
      <w:r w:rsidR="007B5B7F">
        <w:rPr>
          <w:rFonts w:ascii="Garamond" w:hAnsi="Garamond"/>
          <w:sz w:val="24"/>
          <w:szCs w:val="24"/>
        </w:rPr>
        <w:t xml:space="preserve"> here</w:t>
      </w:r>
    </w:p>
    <w:p w14:paraId="1194DEBF" w14:textId="50224DB5" w:rsidR="005F732E" w:rsidRDefault="005F732E" w:rsidP="005F732E">
      <w:pPr>
        <w:spacing w:line="480" w:lineRule="auto"/>
        <w:jc w:val="both"/>
        <w:rPr>
          <w:rFonts w:ascii="Garamond" w:hAnsi="Garamond"/>
          <w:sz w:val="24"/>
          <w:szCs w:val="24"/>
        </w:rPr>
      </w:pPr>
      <w:r>
        <w:rPr>
          <w:rFonts w:ascii="Garamond" w:hAnsi="Garamond"/>
          <w:sz w:val="24"/>
          <w:szCs w:val="24"/>
        </w:rPr>
        <w:t xml:space="preserve">Linear regression </w:t>
      </w:r>
      <w:r w:rsidR="003D2324">
        <w:rPr>
          <w:rFonts w:ascii="Garamond" w:hAnsi="Garamond"/>
          <w:sz w:val="24"/>
          <w:szCs w:val="24"/>
        </w:rPr>
        <w:t>analysis doe</w:t>
      </w:r>
      <w:r w:rsidR="001D2097">
        <w:rPr>
          <w:rFonts w:ascii="Garamond" w:hAnsi="Garamond"/>
          <w:sz w:val="24"/>
          <w:szCs w:val="24"/>
        </w:rPr>
        <w:t xml:space="preserve">s not illuminate </w:t>
      </w:r>
      <w:r w:rsidR="003D2324">
        <w:rPr>
          <w:rFonts w:ascii="Garamond" w:hAnsi="Garamond"/>
          <w:sz w:val="24"/>
          <w:szCs w:val="24"/>
        </w:rPr>
        <w:t>important</w:t>
      </w:r>
      <w:r>
        <w:rPr>
          <w:rFonts w:ascii="Garamond" w:hAnsi="Garamond"/>
          <w:sz w:val="24"/>
          <w:szCs w:val="24"/>
        </w:rPr>
        <w:t xml:space="preserve"> aspects of the relationship. In qualitative interviews, children said that they select foods based on taste and desirability,</w:t>
      </w:r>
      <w:r w:rsidR="003D2324">
        <w:rPr>
          <w:rFonts w:ascii="Garamond" w:hAnsi="Garamond"/>
          <w:sz w:val="24"/>
          <w:szCs w:val="24"/>
        </w:rPr>
        <w:t xml:space="preserve"> even if they are unhealthy.  Therefore,</w:t>
      </w:r>
      <w:r>
        <w:rPr>
          <w:rFonts w:ascii="Garamond" w:hAnsi="Garamond"/>
          <w:sz w:val="24"/>
          <w:szCs w:val="24"/>
        </w:rPr>
        <w:t xml:space="preserve"> a</w:t>
      </w:r>
      <w:r w:rsidRPr="00BA0877">
        <w:rPr>
          <w:rFonts w:ascii="Garamond" w:hAnsi="Garamond"/>
          <w:sz w:val="24"/>
          <w:szCs w:val="24"/>
        </w:rPr>
        <w:t xml:space="preserve">ccessibility, affordability and desirability of food are critical </w:t>
      </w:r>
      <w:r>
        <w:rPr>
          <w:rFonts w:ascii="Garamond" w:hAnsi="Garamond"/>
          <w:sz w:val="24"/>
          <w:szCs w:val="24"/>
        </w:rPr>
        <w:t xml:space="preserve">interacting </w:t>
      </w:r>
      <w:r w:rsidRPr="00BA0877">
        <w:rPr>
          <w:rFonts w:ascii="Garamond" w:hAnsi="Garamond"/>
          <w:sz w:val="24"/>
          <w:szCs w:val="24"/>
        </w:rPr>
        <w:t xml:space="preserve">factors. On visits to public schools, we occasionally found that all interviewed children had the same food for lunch because they all bought it from </w:t>
      </w:r>
      <w:r>
        <w:rPr>
          <w:rFonts w:ascii="Garamond" w:hAnsi="Garamond"/>
          <w:sz w:val="24"/>
          <w:szCs w:val="24"/>
        </w:rPr>
        <w:t xml:space="preserve">a convenient </w:t>
      </w:r>
      <w:r w:rsidRPr="00BA0877">
        <w:rPr>
          <w:rFonts w:ascii="Garamond" w:hAnsi="Garamond"/>
          <w:sz w:val="24"/>
          <w:szCs w:val="24"/>
        </w:rPr>
        <w:t>food stall. For children who buy food with chop money, food needs to be affordable</w:t>
      </w:r>
      <w:r>
        <w:rPr>
          <w:rFonts w:ascii="Garamond" w:hAnsi="Garamond"/>
          <w:sz w:val="24"/>
          <w:szCs w:val="24"/>
        </w:rPr>
        <w:t xml:space="preserve"> and</w:t>
      </w:r>
      <w:r w:rsidRPr="00BA0877">
        <w:rPr>
          <w:rFonts w:ascii="Garamond" w:hAnsi="Garamond"/>
          <w:sz w:val="24"/>
          <w:szCs w:val="24"/>
        </w:rPr>
        <w:t xml:space="preserve"> desirable. We explored children’s exposure to food advertisement and </w:t>
      </w:r>
      <w:r>
        <w:rPr>
          <w:rFonts w:ascii="Garamond" w:hAnsi="Garamond"/>
          <w:sz w:val="24"/>
          <w:szCs w:val="24"/>
        </w:rPr>
        <w:t>found</w:t>
      </w:r>
      <w:r w:rsidRPr="00BA0877">
        <w:rPr>
          <w:rFonts w:ascii="Garamond" w:hAnsi="Garamond"/>
          <w:sz w:val="24"/>
          <w:szCs w:val="24"/>
        </w:rPr>
        <w:t xml:space="preserve"> that most children could easily </w:t>
      </w:r>
      <w:r>
        <w:rPr>
          <w:rFonts w:ascii="Garamond" w:hAnsi="Garamond"/>
          <w:sz w:val="24"/>
          <w:szCs w:val="24"/>
        </w:rPr>
        <w:t>recall</w:t>
      </w:r>
      <w:r w:rsidRPr="00BA0877">
        <w:rPr>
          <w:rFonts w:ascii="Garamond" w:hAnsi="Garamond"/>
          <w:sz w:val="24"/>
          <w:szCs w:val="24"/>
        </w:rPr>
        <w:t xml:space="preserve"> food adverts </w:t>
      </w:r>
      <w:r>
        <w:rPr>
          <w:rFonts w:ascii="Garamond" w:hAnsi="Garamond"/>
          <w:sz w:val="24"/>
          <w:szCs w:val="24"/>
        </w:rPr>
        <w:t>seen</w:t>
      </w:r>
      <w:r w:rsidRPr="00BA0877">
        <w:rPr>
          <w:rFonts w:ascii="Garamond" w:hAnsi="Garamond"/>
          <w:sz w:val="24"/>
          <w:szCs w:val="24"/>
        </w:rPr>
        <w:t xml:space="preserve"> on television and on billboards. Many of them were also aware that some adverts target children specifically, using messages </w:t>
      </w:r>
      <w:r>
        <w:rPr>
          <w:rFonts w:ascii="Garamond" w:hAnsi="Garamond"/>
          <w:sz w:val="24"/>
          <w:szCs w:val="24"/>
        </w:rPr>
        <w:t>that</w:t>
      </w:r>
      <w:r w:rsidRPr="00BA0877">
        <w:rPr>
          <w:rFonts w:ascii="Garamond" w:hAnsi="Garamond"/>
          <w:sz w:val="24"/>
          <w:szCs w:val="24"/>
        </w:rPr>
        <w:t xml:space="preserve"> appeal to children, such as the promise of increased energy for sport, catchy colours and memorable jingles.</w:t>
      </w:r>
      <w:r>
        <w:rPr>
          <w:rFonts w:ascii="Garamond" w:hAnsi="Garamond"/>
          <w:sz w:val="24"/>
          <w:szCs w:val="24"/>
        </w:rPr>
        <w:t xml:space="preserve"> Interestingly, many children doubted of the reliability of advertisements and were particularly sceptical when foods are publicised as healthy and nutritious.</w:t>
      </w:r>
    </w:p>
    <w:p w14:paraId="68AEAC8B" w14:textId="1F39B0B7" w:rsidR="00F17F6F" w:rsidRPr="005F732E" w:rsidRDefault="00435074" w:rsidP="005F732E">
      <w:pPr>
        <w:spacing w:line="480" w:lineRule="auto"/>
        <w:jc w:val="both"/>
        <w:rPr>
          <w:rFonts w:ascii="Garamond" w:hAnsi="Garamond"/>
          <w:sz w:val="24"/>
          <w:szCs w:val="24"/>
        </w:rPr>
      </w:pPr>
      <w:r>
        <w:rPr>
          <w:rFonts w:ascii="Garamond" w:hAnsi="Garamond"/>
          <w:b/>
          <w:bCs/>
          <w:sz w:val="24"/>
          <w:szCs w:val="24"/>
        </w:rPr>
        <w:t xml:space="preserve">5 </w:t>
      </w:r>
      <w:r w:rsidR="002634C2" w:rsidRPr="00155B95">
        <w:rPr>
          <w:rFonts w:ascii="Garamond" w:hAnsi="Garamond"/>
          <w:b/>
          <w:bCs/>
          <w:sz w:val="24"/>
          <w:szCs w:val="24"/>
        </w:rPr>
        <w:t>Discussion</w:t>
      </w:r>
      <w:r w:rsidR="00DF48D2">
        <w:rPr>
          <w:rFonts w:ascii="Garamond" w:hAnsi="Garamond"/>
          <w:b/>
          <w:bCs/>
          <w:sz w:val="24"/>
          <w:szCs w:val="24"/>
        </w:rPr>
        <w:t xml:space="preserve"> and conclusions</w:t>
      </w:r>
      <w:r w:rsidR="00955D77" w:rsidRPr="00155B95">
        <w:rPr>
          <w:rFonts w:ascii="Garamond" w:hAnsi="Garamond"/>
          <w:b/>
          <w:bCs/>
          <w:sz w:val="24"/>
          <w:szCs w:val="24"/>
        </w:rPr>
        <w:t>: The urban food security question today</w:t>
      </w:r>
    </w:p>
    <w:p w14:paraId="7B1B90D1" w14:textId="73DCAC20" w:rsidR="00155B95" w:rsidRDefault="00155B95" w:rsidP="00155B95">
      <w:pPr>
        <w:spacing w:line="480" w:lineRule="auto"/>
        <w:jc w:val="both"/>
        <w:rPr>
          <w:rFonts w:ascii="Garamond" w:hAnsi="Garamond"/>
          <w:sz w:val="24"/>
          <w:szCs w:val="24"/>
        </w:rPr>
      </w:pPr>
      <w:r>
        <w:rPr>
          <w:rFonts w:ascii="Garamond" w:hAnsi="Garamond"/>
          <w:sz w:val="24"/>
          <w:szCs w:val="24"/>
        </w:rPr>
        <w:t>The results extend several debat</w:t>
      </w:r>
      <w:r w:rsidR="004F0F1D">
        <w:rPr>
          <w:rFonts w:ascii="Garamond" w:hAnsi="Garamond"/>
          <w:sz w:val="24"/>
          <w:szCs w:val="24"/>
        </w:rPr>
        <w:t>es on urban food consumption</w:t>
      </w:r>
      <w:r>
        <w:rPr>
          <w:rFonts w:ascii="Garamond" w:hAnsi="Garamond"/>
          <w:sz w:val="24"/>
          <w:szCs w:val="24"/>
        </w:rPr>
        <w:t xml:space="preserve">.  First, the evidence shows inequality in food quality and food consumption partly driven by socio-economic status. Children from poorer backgrounds are more vulnerable to food insecurity, lower dietary diversity, and poor food consumption. Thus food insecurity, far from being only a rural problem, concerns the urban poor too, and it does so even in the region with the lowest levels of undernutrition nationwide. Low or irregular chop money, which is most likely linked to low and fluctuating household incomes, poses a major obstacle to the ability of children to meet their food needs during the school day, and a group of children in the sample have their first meal at the first or second break during a school day. </w:t>
      </w:r>
    </w:p>
    <w:p w14:paraId="6B8FABDE" w14:textId="16F716BF" w:rsidR="00155B95" w:rsidRDefault="00155B95" w:rsidP="00155B95">
      <w:pPr>
        <w:spacing w:line="480" w:lineRule="auto"/>
        <w:jc w:val="both"/>
        <w:rPr>
          <w:rFonts w:ascii="Garamond" w:hAnsi="Garamond"/>
          <w:sz w:val="24"/>
          <w:szCs w:val="24"/>
        </w:rPr>
      </w:pPr>
      <w:r>
        <w:rPr>
          <w:rFonts w:ascii="Garamond" w:hAnsi="Garamond"/>
          <w:sz w:val="24"/>
          <w:szCs w:val="24"/>
        </w:rPr>
        <w:lastRenderedPageBreak/>
        <w:t>Although it is cl</w:t>
      </w:r>
      <w:r w:rsidR="00933835">
        <w:rPr>
          <w:rFonts w:ascii="Garamond" w:hAnsi="Garamond"/>
          <w:sz w:val="24"/>
          <w:szCs w:val="24"/>
        </w:rPr>
        <w:t>ear that urban food consumption</w:t>
      </w:r>
      <w:r>
        <w:rPr>
          <w:rFonts w:ascii="Garamond" w:hAnsi="Garamond"/>
          <w:sz w:val="24"/>
          <w:szCs w:val="24"/>
        </w:rPr>
        <w:t xml:space="preserve"> inequality is driven by wealth, the dynamics are complex. The consumption of packaged and processed foods (among the culprits of rising obesity and associated health problems</w:t>
      </w:r>
      <w:r w:rsidR="00933835">
        <w:rPr>
          <w:rFonts w:ascii="Garamond" w:hAnsi="Garamond"/>
          <w:sz w:val="24"/>
          <w:szCs w:val="24"/>
        </w:rPr>
        <w:t>, see</w:t>
      </w:r>
      <w:r>
        <w:rPr>
          <w:rFonts w:ascii="Garamond" w:hAnsi="Garamond"/>
          <w:sz w:val="24"/>
          <w:szCs w:val="24"/>
        </w:rPr>
        <w:t xml:space="preserve"> Monteiro et al. 2013) is not only accessible to the wealthier groups of the population, b</w:t>
      </w:r>
      <w:r w:rsidR="00933835">
        <w:rPr>
          <w:rFonts w:ascii="Garamond" w:hAnsi="Garamond"/>
          <w:sz w:val="24"/>
          <w:szCs w:val="24"/>
        </w:rPr>
        <w:t xml:space="preserve">ut cuts across wealth groups. </w:t>
      </w:r>
      <w:r>
        <w:rPr>
          <w:rFonts w:ascii="Garamond" w:hAnsi="Garamond"/>
          <w:sz w:val="24"/>
          <w:szCs w:val="24"/>
        </w:rPr>
        <w:t>These foods tend to be desirable, accessible and rel</w:t>
      </w:r>
      <w:r w:rsidR="00933835">
        <w:rPr>
          <w:rFonts w:ascii="Garamond" w:hAnsi="Garamond"/>
          <w:sz w:val="24"/>
          <w:szCs w:val="24"/>
        </w:rPr>
        <w:t>atively affordable</w:t>
      </w:r>
      <w:r>
        <w:rPr>
          <w:rFonts w:ascii="Garamond" w:hAnsi="Garamond"/>
          <w:sz w:val="24"/>
          <w:szCs w:val="24"/>
        </w:rPr>
        <w:t xml:space="preserve">. The use of informal distribution channels for packaged foods means they can be bought from street vendors at school and on the roadside, and not only at supermarkets, ensuring their accessibility. With regard to affordability, one </w:t>
      </w:r>
      <w:r w:rsidR="004F0F1D">
        <w:rPr>
          <w:rFonts w:ascii="Garamond" w:hAnsi="Garamond"/>
          <w:sz w:val="24"/>
          <w:szCs w:val="24"/>
        </w:rPr>
        <w:t>comprehensive study on food prices in middle-income countries found that, with the food industry being able to contain costs by using</w:t>
      </w:r>
      <w:r>
        <w:rPr>
          <w:rFonts w:ascii="Garamond" w:hAnsi="Garamond"/>
          <w:sz w:val="24"/>
          <w:szCs w:val="24"/>
        </w:rPr>
        <w:t xml:space="preserve"> cheap ingredients, the cost of processed foods has either stagnated or fallen while the price of fruit and vegetables has increased</w:t>
      </w:r>
      <w:r w:rsidR="004F0F1D">
        <w:rPr>
          <w:rFonts w:ascii="Garamond" w:hAnsi="Garamond"/>
          <w:sz w:val="24"/>
          <w:szCs w:val="24"/>
        </w:rPr>
        <w:t xml:space="preserve"> over time</w:t>
      </w:r>
      <w:r>
        <w:rPr>
          <w:rFonts w:ascii="Garamond" w:hAnsi="Garamond"/>
          <w:sz w:val="24"/>
          <w:szCs w:val="24"/>
        </w:rPr>
        <w:t xml:space="preserve"> (Wiggins et al. 2015). </w:t>
      </w:r>
    </w:p>
    <w:p w14:paraId="01C14CED" w14:textId="0A04DA5D" w:rsidR="00155B95" w:rsidRDefault="00155B95" w:rsidP="00155B95">
      <w:pPr>
        <w:spacing w:line="480" w:lineRule="auto"/>
        <w:jc w:val="both"/>
        <w:rPr>
          <w:rFonts w:ascii="Garamond" w:hAnsi="Garamond"/>
          <w:sz w:val="24"/>
          <w:szCs w:val="24"/>
        </w:rPr>
      </w:pPr>
      <w:r>
        <w:rPr>
          <w:rFonts w:ascii="Garamond" w:hAnsi="Garamond"/>
          <w:sz w:val="24"/>
          <w:szCs w:val="24"/>
        </w:rPr>
        <w:t>In the 1990s, the question of urban food security was seen as embedded in that of urban poverty (Maxwell 1999). We ar</w:t>
      </w:r>
      <w:r w:rsidR="004F0F1D">
        <w:rPr>
          <w:rFonts w:ascii="Garamond" w:hAnsi="Garamond"/>
          <w:sz w:val="24"/>
          <w:szCs w:val="24"/>
        </w:rPr>
        <w:t>gue that the urban food</w:t>
      </w:r>
      <w:r>
        <w:rPr>
          <w:rFonts w:ascii="Garamond" w:hAnsi="Garamond"/>
          <w:sz w:val="24"/>
          <w:szCs w:val="24"/>
        </w:rPr>
        <w:t xml:space="preserve"> question today is defined by two intersecting</w:t>
      </w:r>
      <w:r w:rsidR="004F0F1D">
        <w:rPr>
          <w:rFonts w:ascii="Garamond" w:hAnsi="Garamond"/>
          <w:sz w:val="24"/>
          <w:szCs w:val="24"/>
        </w:rPr>
        <w:t xml:space="preserve"> phenomena: </w:t>
      </w:r>
      <w:r>
        <w:rPr>
          <w:rFonts w:ascii="Garamond" w:hAnsi="Garamond"/>
          <w:sz w:val="24"/>
          <w:szCs w:val="24"/>
        </w:rPr>
        <w:t>urban inequality and global dietary change. Thus, while the urban poor continue to face the fundamental challenge of adequate food access, a broader definition of urban food secur</w:t>
      </w:r>
      <w:r w:rsidR="00933835">
        <w:rPr>
          <w:rFonts w:ascii="Garamond" w:hAnsi="Garamond"/>
          <w:sz w:val="24"/>
          <w:szCs w:val="24"/>
        </w:rPr>
        <w:t xml:space="preserve">ity recognises </w:t>
      </w:r>
      <w:r w:rsidR="00833C2D">
        <w:rPr>
          <w:rFonts w:ascii="Garamond" w:hAnsi="Garamond"/>
          <w:sz w:val="24"/>
          <w:szCs w:val="24"/>
        </w:rPr>
        <w:t xml:space="preserve">the political economy of food quality and the food industry’s </w:t>
      </w:r>
      <w:r w:rsidR="00DC79D2">
        <w:rPr>
          <w:rFonts w:ascii="Garamond" w:hAnsi="Garamond"/>
          <w:sz w:val="24"/>
          <w:szCs w:val="24"/>
        </w:rPr>
        <w:t xml:space="preserve">role in creating </w:t>
      </w:r>
      <w:r>
        <w:rPr>
          <w:rFonts w:ascii="Garamond" w:hAnsi="Garamond"/>
          <w:sz w:val="24"/>
          <w:szCs w:val="24"/>
        </w:rPr>
        <w:t xml:space="preserve">a food environment that provides consumers with unhealthy food options that are widely available, cheap and enticing. Therefore </w:t>
      </w:r>
      <w:r w:rsidR="00ED7D1B">
        <w:rPr>
          <w:rFonts w:ascii="Garamond" w:hAnsi="Garamond"/>
          <w:sz w:val="24"/>
          <w:szCs w:val="24"/>
        </w:rPr>
        <w:t xml:space="preserve">agricultural and food policies that seek to ensure availability of affordable staples for growing urban population through are no longer sufficient. However, Masters et al. (2018) show that food policy across African countries continues to pursue lower food prices. The urban food security question today can be addressed through </w:t>
      </w:r>
      <w:r>
        <w:rPr>
          <w:rFonts w:ascii="Garamond" w:hAnsi="Garamond"/>
          <w:sz w:val="24"/>
          <w:szCs w:val="24"/>
        </w:rPr>
        <w:t xml:space="preserve">agricultural, industrial and trade policies that regulate production of cheap, processed, unhealthy foods. </w:t>
      </w:r>
    </w:p>
    <w:p w14:paraId="03A7C02F" w14:textId="4C649498" w:rsidR="00BA776D" w:rsidRDefault="00155B95" w:rsidP="00D17ECF">
      <w:pPr>
        <w:spacing w:line="480" w:lineRule="auto"/>
        <w:jc w:val="both"/>
        <w:rPr>
          <w:rFonts w:ascii="Garamond" w:hAnsi="Garamond"/>
          <w:sz w:val="24"/>
          <w:szCs w:val="24"/>
        </w:rPr>
      </w:pPr>
      <w:r>
        <w:rPr>
          <w:rFonts w:ascii="Garamond" w:hAnsi="Garamond"/>
          <w:sz w:val="24"/>
          <w:szCs w:val="24"/>
        </w:rPr>
        <w:t>We recognise that our findings are limited by a narrow focus on schoolchildren</w:t>
      </w:r>
      <w:r w:rsidR="003F26F4">
        <w:rPr>
          <w:rFonts w:ascii="Garamond" w:hAnsi="Garamond"/>
          <w:sz w:val="24"/>
          <w:szCs w:val="24"/>
        </w:rPr>
        <w:t xml:space="preserve"> and more research is needed to grasp the complexity of urban food systems</w:t>
      </w:r>
      <w:r>
        <w:rPr>
          <w:rFonts w:ascii="Garamond" w:hAnsi="Garamond"/>
          <w:sz w:val="24"/>
          <w:szCs w:val="24"/>
        </w:rPr>
        <w:t>. We also hope that our paper stimulates a debate on the methodological advancemen</w:t>
      </w:r>
      <w:r w:rsidR="003F26F4">
        <w:rPr>
          <w:rFonts w:ascii="Garamond" w:hAnsi="Garamond"/>
          <w:sz w:val="24"/>
          <w:szCs w:val="24"/>
        </w:rPr>
        <w:t xml:space="preserve">ts needed to connect </w:t>
      </w:r>
      <w:r>
        <w:rPr>
          <w:rFonts w:ascii="Garamond" w:hAnsi="Garamond"/>
          <w:sz w:val="24"/>
          <w:szCs w:val="24"/>
        </w:rPr>
        <w:t>micro-level</w:t>
      </w:r>
      <w:r w:rsidR="003F26F4">
        <w:rPr>
          <w:rFonts w:ascii="Garamond" w:hAnsi="Garamond"/>
          <w:sz w:val="24"/>
          <w:szCs w:val="24"/>
        </w:rPr>
        <w:t xml:space="preserve"> food consumption and macro-level analysis of</w:t>
      </w:r>
      <w:r>
        <w:rPr>
          <w:rFonts w:ascii="Garamond" w:hAnsi="Garamond"/>
          <w:sz w:val="24"/>
          <w:szCs w:val="24"/>
        </w:rPr>
        <w:t xml:space="preserve"> food systems. W</w:t>
      </w:r>
      <w:r w:rsidR="003F26F4">
        <w:rPr>
          <w:rFonts w:ascii="Garamond" w:hAnsi="Garamond"/>
          <w:sz w:val="24"/>
          <w:szCs w:val="24"/>
        </w:rPr>
        <w:t>e conclude by highlighting two</w:t>
      </w:r>
      <w:r>
        <w:rPr>
          <w:rFonts w:ascii="Garamond" w:hAnsi="Garamond"/>
          <w:sz w:val="24"/>
          <w:szCs w:val="24"/>
        </w:rPr>
        <w:t xml:space="preserve"> lacunae where future </w:t>
      </w:r>
      <w:r>
        <w:rPr>
          <w:rFonts w:ascii="Garamond" w:hAnsi="Garamond"/>
          <w:sz w:val="24"/>
          <w:szCs w:val="24"/>
        </w:rPr>
        <w:lastRenderedPageBreak/>
        <w:t>research and policy should expand into to enhance our ability to respond to the questi</w:t>
      </w:r>
      <w:r w:rsidR="003F26F4">
        <w:rPr>
          <w:rFonts w:ascii="Garamond" w:hAnsi="Garamond"/>
          <w:sz w:val="24"/>
          <w:szCs w:val="24"/>
        </w:rPr>
        <w:t xml:space="preserve">on of urban food </w:t>
      </w:r>
      <w:r>
        <w:rPr>
          <w:rFonts w:ascii="Garamond" w:hAnsi="Garamond"/>
          <w:sz w:val="24"/>
          <w:szCs w:val="24"/>
        </w:rPr>
        <w:t>consumption amidst growing inequality and potentially harmful dietary change. First, scholars and policy makers are often guilty of overlooking food processing (</w:t>
      </w:r>
      <w:proofErr w:type="spellStart"/>
      <w:r>
        <w:rPr>
          <w:rFonts w:ascii="Garamond" w:hAnsi="Garamond"/>
          <w:sz w:val="24"/>
          <w:szCs w:val="24"/>
        </w:rPr>
        <w:t>Scrinis</w:t>
      </w:r>
      <w:proofErr w:type="spellEnd"/>
      <w:r>
        <w:rPr>
          <w:rFonts w:ascii="Garamond" w:hAnsi="Garamond"/>
          <w:sz w:val="24"/>
          <w:szCs w:val="24"/>
        </w:rPr>
        <w:t xml:space="preserve"> 2013).  This is important as the urban food question and urban poverty are not restricted to issue of food access but also encompass issues of diet quality. Second, while policies that can radically improve food environments are both necessary but complex, enhancing children’s food environment at school may be more straightforward. In Ghana there is currently no regulation on the types of food available to children at school.  Here the debates on food desert in the North can bring useful insights to policy makers hoping to improve children’s food consumption, with potential long-lasting benefits for them as future adults. </w:t>
      </w:r>
    </w:p>
    <w:p w14:paraId="11849718" w14:textId="77777777" w:rsidR="00D17ECF" w:rsidRDefault="00D17ECF" w:rsidP="00D17ECF">
      <w:pPr>
        <w:jc w:val="both"/>
        <w:rPr>
          <w:rFonts w:ascii="Garamond" w:hAnsi="Garamond"/>
          <w:b/>
          <w:bCs/>
          <w:sz w:val="24"/>
          <w:szCs w:val="24"/>
        </w:rPr>
      </w:pPr>
    </w:p>
    <w:p w14:paraId="26A52F83" w14:textId="77777777" w:rsidR="00D17ECF" w:rsidRDefault="00D17ECF" w:rsidP="00D17ECF">
      <w:pPr>
        <w:jc w:val="both"/>
        <w:rPr>
          <w:rFonts w:ascii="Garamond" w:hAnsi="Garamond"/>
          <w:b/>
          <w:bCs/>
          <w:sz w:val="24"/>
          <w:szCs w:val="24"/>
        </w:rPr>
      </w:pPr>
    </w:p>
    <w:p w14:paraId="2A1C8C7B" w14:textId="77777777" w:rsidR="00D17ECF" w:rsidRDefault="00D17ECF" w:rsidP="00D17ECF">
      <w:pPr>
        <w:jc w:val="both"/>
        <w:rPr>
          <w:rFonts w:ascii="Garamond" w:hAnsi="Garamond"/>
          <w:b/>
          <w:bCs/>
          <w:sz w:val="24"/>
          <w:szCs w:val="24"/>
        </w:rPr>
      </w:pPr>
    </w:p>
    <w:p w14:paraId="244626FF" w14:textId="77777777" w:rsidR="00D17ECF" w:rsidRDefault="00D17ECF" w:rsidP="00D17ECF">
      <w:pPr>
        <w:jc w:val="both"/>
        <w:rPr>
          <w:rFonts w:ascii="Garamond" w:hAnsi="Garamond"/>
          <w:b/>
          <w:bCs/>
          <w:sz w:val="24"/>
          <w:szCs w:val="24"/>
        </w:rPr>
      </w:pPr>
    </w:p>
    <w:p w14:paraId="3252D616" w14:textId="77777777" w:rsidR="00D17ECF" w:rsidRDefault="00D17ECF" w:rsidP="00D17ECF">
      <w:pPr>
        <w:jc w:val="both"/>
        <w:rPr>
          <w:rFonts w:ascii="Garamond" w:hAnsi="Garamond"/>
          <w:b/>
          <w:bCs/>
          <w:sz w:val="24"/>
          <w:szCs w:val="24"/>
        </w:rPr>
      </w:pPr>
    </w:p>
    <w:p w14:paraId="2EEBCE7A" w14:textId="77777777" w:rsidR="00D17ECF" w:rsidRDefault="00D17ECF" w:rsidP="00D17ECF">
      <w:pPr>
        <w:jc w:val="both"/>
        <w:rPr>
          <w:rFonts w:ascii="Garamond" w:hAnsi="Garamond"/>
          <w:b/>
          <w:bCs/>
          <w:sz w:val="24"/>
          <w:szCs w:val="24"/>
        </w:rPr>
      </w:pPr>
    </w:p>
    <w:p w14:paraId="275CF8E9" w14:textId="77777777" w:rsidR="00D17ECF" w:rsidRDefault="00D17ECF" w:rsidP="00D17ECF">
      <w:pPr>
        <w:jc w:val="both"/>
        <w:rPr>
          <w:rFonts w:ascii="Garamond" w:hAnsi="Garamond"/>
          <w:b/>
          <w:bCs/>
          <w:sz w:val="24"/>
          <w:szCs w:val="24"/>
        </w:rPr>
      </w:pPr>
    </w:p>
    <w:p w14:paraId="34C5CD46" w14:textId="77777777" w:rsidR="00D17ECF" w:rsidRDefault="00D17ECF" w:rsidP="00D17ECF">
      <w:pPr>
        <w:jc w:val="both"/>
        <w:rPr>
          <w:rFonts w:ascii="Garamond" w:hAnsi="Garamond"/>
          <w:b/>
          <w:bCs/>
          <w:sz w:val="24"/>
          <w:szCs w:val="24"/>
        </w:rPr>
      </w:pPr>
    </w:p>
    <w:p w14:paraId="2360CCF9" w14:textId="77777777" w:rsidR="00D17ECF" w:rsidRDefault="00D17ECF" w:rsidP="00D17ECF">
      <w:pPr>
        <w:jc w:val="both"/>
        <w:rPr>
          <w:rFonts w:ascii="Garamond" w:hAnsi="Garamond"/>
          <w:b/>
          <w:bCs/>
          <w:sz w:val="24"/>
          <w:szCs w:val="24"/>
        </w:rPr>
      </w:pPr>
    </w:p>
    <w:p w14:paraId="53A43E6D" w14:textId="77777777" w:rsidR="00D17ECF" w:rsidRDefault="00D17ECF" w:rsidP="00D17ECF">
      <w:pPr>
        <w:jc w:val="both"/>
        <w:rPr>
          <w:rFonts w:ascii="Garamond" w:hAnsi="Garamond"/>
          <w:b/>
          <w:bCs/>
          <w:sz w:val="24"/>
          <w:szCs w:val="24"/>
        </w:rPr>
      </w:pPr>
    </w:p>
    <w:p w14:paraId="091709EE" w14:textId="77777777" w:rsidR="00DE6128" w:rsidRDefault="00DE6128" w:rsidP="00DE6128">
      <w:pPr>
        <w:rPr>
          <w:rFonts w:ascii="Garamond" w:hAnsi="Garamond"/>
          <w:b/>
          <w:sz w:val="24"/>
          <w:szCs w:val="24"/>
        </w:rPr>
      </w:pPr>
    </w:p>
    <w:p w14:paraId="53E4935A" w14:textId="77777777" w:rsidR="00DE6128" w:rsidRDefault="00DE6128" w:rsidP="00DE6128">
      <w:pPr>
        <w:rPr>
          <w:rFonts w:ascii="Garamond" w:hAnsi="Garamond"/>
          <w:b/>
          <w:sz w:val="24"/>
          <w:szCs w:val="24"/>
        </w:rPr>
      </w:pPr>
    </w:p>
    <w:p w14:paraId="02F5BDC3" w14:textId="77777777" w:rsidR="00DE6128" w:rsidRDefault="00DE6128" w:rsidP="00DE6128">
      <w:pPr>
        <w:rPr>
          <w:rFonts w:ascii="Garamond" w:hAnsi="Garamond"/>
          <w:b/>
          <w:sz w:val="24"/>
          <w:szCs w:val="24"/>
        </w:rPr>
      </w:pPr>
    </w:p>
    <w:p w14:paraId="287DA20E" w14:textId="77777777" w:rsidR="00DE6128" w:rsidRDefault="00DE6128" w:rsidP="00DE6128">
      <w:pPr>
        <w:rPr>
          <w:rFonts w:ascii="Garamond" w:hAnsi="Garamond"/>
          <w:b/>
          <w:sz w:val="24"/>
          <w:szCs w:val="24"/>
        </w:rPr>
      </w:pPr>
    </w:p>
    <w:p w14:paraId="76BEC01D" w14:textId="77777777" w:rsidR="00DE6128" w:rsidRDefault="00DE6128" w:rsidP="00DE6128">
      <w:pPr>
        <w:rPr>
          <w:rFonts w:ascii="Garamond" w:hAnsi="Garamond"/>
          <w:b/>
          <w:sz w:val="24"/>
          <w:szCs w:val="24"/>
        </w:rPr>
      </w:pPr>
    </w:p>
    <w:p w14:paraId="0EDCFEE4" w14:textId="77777777" w:rsidR="00DE6128" w:rsidRDefault="00DE6128" w:rsidP="00DE6128">
      <w:pPr>
        <w:rPr>
          <w:rFonts w:ascii="Garamond" w:hAnsi="Garamond"/>
          <w:b/>
          <w:sz w:val="24"/>
          <w:szCs w:val="24"/>
        </w:rPr>
      </w:pPr>
    </w:p>
    <w:p w14:paraId="4F2B2919" w14:textId="77777777" w:rsidR="00DE6128" w:rsidRDefault="00DE6128" w:rsidP="00DE6128">
      <w:pPr>
        <w:rPr>
          <w:rFonts w:ascii="Garamond" w:hAnsi="Garamond"/>
          <w:b/>
          <w:sz w:val="24"/>
          <w:szCs w:val="24"/>
        </w:rPr>
      </w:pPr>
    </w:p>
    <w:p w14:paraId="45D48DBB" w14:textId="77777777" w:rsidR="00DE6128" w:rsidRDefault="00DE6128" w:rsidP="00DE6128">
      <w:pPr>
        <w:rPr>
          <w:rFonts w:ascii="Garamond" w:hAnsi="Garamond"/>
          <w:b/>
          <w:sz w:val="24"/>
          <w:szCs w:val="24"/>
        </w:rPr>
      </w:pPr>
    </w:p>
    <w:p w14:paraId="064E1D1F" w14:textId="77777777" w:rsidR="00DE6128" w:rsidRDefault="00DE6128" w:rsidP="00DE6128">
      <w:pPr>
        <w:rPr>
          <w:rFonts w:ascii="Garamond" w:hAnsi="Garamond"/>
          <w:b/>
          <w:sz w:val="24"/>
          <w:szCs w:val="24"/>
        </w:rPr>
      </w:pPr>
    </w:p>
    <w:p w14:paraId="7BD10228" w14:textId="77777777" w:rsidR="00DE6128" w:rsidRPr="000F1145" w:rsidRDefault="00DE6128" w:rsidP="00DE6128">
      <w:pPr>
        <w:rPr>
          <w:rFonts w:ascii="Garamond" w:hAnsi="Garamond"/>
          <w:b/>
          <w:sz w:val="24"/>
          <w:szCs w:val="24"/>
        </w:rPr>
      </w:pPr>
      <w:r w:rsidRPr="00C60E7F">
        <w:rPr>
          <w:rFonts w:ascii="Garamond" w:hAnsi="Garamond"/>
          <w:b/>
          <w:sz w:val="24"/>
          <w:szCs w:val="24"/>
        </w:rPr>
        <w:lastRenderedPageBreak/>
        <w:t>Tables</w:t>
      </w:r>
    </w:p>
    <w:p w14:paraId="1C4CA63B" w14:textId="77777777" w:rsidR="00DE6128" w:rsidRPr="0091426A" w:rsidRDefault="00DE6128" w:rsidP="00DE6128">
      <w:pPr>
        <w:jc w:val="both"/>
        <w:rPr>
          <w:rFonts w:ascii="Garamond" w:hAnsi="Garamond"/>
          <w:sz w:val="21"/>
          <w:szCs w:val="21"/>
        </w:rPr>
      </w:pPr>
      <w:r>
        <w:rPr>
          <w:rFonts w:ascii="Garamond" w:hAnsi="Garamond"/>
          <w:sz w:val="21"/>
          <w:szCs w:val="21"/>
        </w:rPr>
        <w:t>Table 1</w:t>
      </w:r>
      <w:r w:rsidRPr="0091426A">
        <w:rPr>
          <w:rFonts w:ascii="Garamond" w:hAnsi="Garamond"/>
          <w:sz w:val="21"/>
          <w:szCs w:val="21"/>
        </w:rPr>
        <w:t xml:space="preserve">. Summary of methods for primary data collection </w:t>
      </w:r>
    </w:p>
    <w:tbl>
      <w:tblPr>
        <w:tblStyle w:val="Sfondochiaro"/>
        <w:tblW w:w="0" w:type="auto"/>
        <w:tblLook w:val="04A0" w:firstRow="1" w:lastRow="0" w:firstColumn="1" w:lastColumn="0" w:noHBand="0" w:noVBand="1"/>
      </w:tblPr>
      <w:tblGrid>
        <w:gridCol w:w="954"/>
        <w:gridCol w:w="2909"/>
        <w:gridCol w:w="5163"/>
      </w:tblGrid>
      <w:tr w:rsidR="00DE6128" w:rsidRPr="0091426A" w14:paraId="499AF80A" w14:textId="77777777" w:rsidTr="00F84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391D5EA" w14:textId="77777777" w:rsidR="00DE6128" w:rsidRPr="0091426A" w:rsidRDefault="00DE6128" w:rsidP="00F8471A">
            <w:pPr>
              <w:jc w:val="both"/>
              <w:rPr>
                <w:rFonts w:ascii="Garamond" w:hAnsi="Garamond"/>
                <w:sz w:val="21"/>
                <w:szCs w:val="21"/>
              </w:rPr>
            </w:pPr>
            <w:r w:rsidRPr="0091426A">
              <w:rPr>
                <w:rFonts w:ascii="Garamond" w:hAnsi="Garamond"/>
                <w:sz w:val="21"/>
                <w:szCs w:val="21"/>
              </w:rPr>
              <w:t>Phase</w:t>
            </w:r>
          </w:p>
        </w:tc>
        <w:tc>
          <w:tcPr>
            <w:tcW w:w="2977" w:type="dxa"/>
          </w:tcPr>
          <w:p w14:paraId="4CC8397D" w14:textId="77777777" w:rsidR="00DE6128" w:rsidRPr="0091426A" w:rsidRDefault="00DE6128" w:rsidP="00F8471A">
            <w:pPr>
              <w:jc w:val="both"/>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Method</w:t>
            </w:r>
          </w:p>
        </w:tc>
        <w:tc>
          <w:tcPr>
            <w:tcW w:w="5306" w:type="dxa"/>
          </w:tcPr>
          <w:p w14:paraId="38525531" w14:textId="77777777" w:rsidR="00DE6128" w:rsidRPr="0091426A" w:rsidRDefault="00DE6128" w:rsidP="00F8471A">
            <w:pPr>
              <w:jc w:val="both"/>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Purpose</w:t>
            </w:r>
          </w:p>
        </w:tc>
      </w:tr>
      <w:tr w:rsidR="00DE6128" w:rsidRPr="0091426A" w14:paraId="0CC39D3B"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92A7D29" w14:textId="77777777" w:rsidR="00DE6128" w:rsidRPr="0091426A" w:rsidRDefault="00DE6128" w:rsidP="00F8471A">
            <w:pPr>
              <w:jc w:val="both"/>
              <w:rPr>
                <w:rFonts w:ascii="Garamond" w:hAnsi="Garamond"/>
                <w:sz w:val="21"/>
                <w:szCs w:val="21"/>
              </w:rPr>
            </w:pPr>
            <w:r w:rsidRPr="0091426A">
              <w:rPr>
                <w:rFonts w:ascii="Garamond" w:hAnsi="Garamond"/>
                <w:sz w:val="21"/>
                <w:szCs w:val="21"/>
              </w:rPr>
              <w:t>I</w:t>
            </w:r>
          </w:p>
        </w:tc>
        <w:tc>
          <w:tcPr>
            <w:tcW w:w="2977" w:type="dxa"/>
          </w:tcPr>
          <w:p w14:paraId="4E106C74" w14:textId="77777777" w:rsidR="00DE6128" w:rsidRPr="0091426A" w:rsidRDefault="00DE6128" w:rsidP="00F8471A">
            <w:p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Student survey on food consumption and nutrition knowledge (sample = 139 schoolchildren enrolled in JHS)</w:t>
            </w:r>
          </w:p>
        </w:tc>
        <w:tc>
          <w:tcPr>
            <w:tcW w:w="5306" w:type="dxa"/>
          </w:tcPr>
          <w:p w14:paraId="671D80D2"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To gather information on children’s</w:t>
            </w:r>
          </w:p>
          <w:p w14:paraId="71E3DA98" w14:textId="77777777" w:rsidR="00DE6128" w:rsidRPr="0091426A" w:rsidRDefault="00DE6128" w:rsidP="00F8471A">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Food security</w:t>
            </w:r>
          </w:p>
          <w:p w14:paraId="4D45DF0C" w14:textId="77777777" w:rsidR="00DE6128" w:rsidRPr="0091426A" w:rsidRDefault="00DE6128" w:rsidP="00F8471A">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Dietary Diversity</w:t>
            </w:r>
          </w:p>
          <w:p w14:paraId="0C8AA382" w14:textId="77777777" w:rsidR="00DE6128" w:rsidRPr="0091426A" w:rsidRDefault="00DE6128" w:rsidP="00F8471A">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Food preferences and nutrition knowledge</w:t>
            </w:r>
          </w:p>
          <w:p w14:paraId="3DAF6507" w14:textId="77777777" w:rsidR="00DE6128" w:rsidRPr="0091426A" w:rsidRDefault="00DE6128" w:rsidP="00F8471A">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Food consumption</w:t>
            </w:r>
          </w:p>
        </w:tc>
      </w:tr>
      <w:tr w:rsidR="00DE6128" w:rsidRPr="0091426A" w14:paraId="03798673" w14:textId="77777777" w:rsidTr="00F8471A">
        <w:tc>
          <w:tcPr>
            <w:cnfStyle w:val="001000000000" w:firstRow="0" w:lastRow="0" w:firstColumn="1" w:lastColumn="0" w:oddVBand="0" w:evenVBand="0" w:oddHBand="0" w:evenHBand="0" w:firstRowFirstColumn="0" w:firstRowLastColumn="0" w:lastRowFirstColumn="0" w:lastRowLastColumn="0"/>
            <w:tcW w:w="959" w:type="dxa"/>
          </w:tcPr>
          <w:p w14:paraId="47739230" w14:textId="77777777" w:rsidR="00DE6128" w:rsidRPr="0091426A" w:rsidRDefault="00DE6128" w:rsidP="00F8471A">
            <w:pPr>
              <w:jc w:val="both"/>
              <w:rPr>
                <w:rFonts w:ascii="Garamond" w:hAnsi="Garamond"/>
                <w:sz w:val="21"/>
                <w:szCs w:val="21"/>
              </w:rPr>
            </w:pPr>
            <w:r w:rsidRPr="0091426A">
              <w:rPr>
                <w:rFonts w:ascii="Garamond" w:hAnsi="Garamond"/>
                <w:sz w:val="21"/>
                <w:szCs w:val="21"/>
              </w:rPr>
              <w:t>II</w:t>
            </w:r>
          </w:p>
        </w:tc>
        <w:tc>
          <w:tcPr>
            <w:tcW w:w="2977" w:type="dxa"/>
          </w:tcPr>
          <w:p w14:paraId="37BC064B" w14:textId="77777777" w:rsidR="00DE6128" w:rsidRPr="0091426A" w:rsidRDefault="00DE6128" w:rsidP="00F8471A">
            <w:pPr>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Focus groups with sub-groups of survey respondents</w:t>
            </w:r>
          </w:p>
        </w:tc>
        <w:tc>
          <w:tcPr>
            <w:tcW w:w="5306" w:type="dxa"/>
          </w:tcPr>
          <w:p w14:paraId="434A3055"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To deepen understanding of</w:t>
            </w:r>
          </w:p>
          <w:p w14:paraId="102CF27E" w14:textId="77777777" w:rsidR="00DE6128" w:rsidRPr="0091426A" w:rsidRDefault="00DE6128" w:rsidP="00F8471A">
            <w:pPr>
              <w:pStyle w:val="Paragrafoelenco"/>
              <w:numPr>
                <w:ilvl w:val="0"/>
                <w:numId w:val="1"/>
              </w:num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Intra-urban mobility and food acquisition</w:t>
            </w:r>
          </w:p>
          <w:p w14:paraId="275F756F" w14:textId="77777777" w:rsidR="00DE6128" w:rsidRPr="0091426A" w:rsidRDefault="00DE6128" w:rsidP="00F8471A">
            <w:pPr>
              <w:pStyle w:val="Paragrafoelenco"/>
              <w:numPr>
                <w:ilvl w:val="0"/>
                <w:numId w:val="1"/>
              </w:num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Exposure to food advertising and food preferences</w:t>
            </w:r>
          </w:p>
          <w:p w14:paraId="1428FCDE" w14:textId="77777777" w:rsidR="00DE6128" w:rsidRPr="0091426A" w:rsidRDefault="00DE6128" w:rsidP="00F8471A">
            <w:pPr>
              <w:pStyle w:val="Paragrafoelenco"/>
              <w:numPr>
                <w:ilvl w:val="0"/>
                <w:numId w:val="1"/>
              </w:num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Nutrition knowledge and food consumption</w:t>
            </w:r>
          </w:p>
        </w:tc>
      </w:tr>
      <w:tr w:rsidR="00DE6128" w:rsidRPr="0091426A" w14:paraId="6993D4A5"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827AD49" w14:textId="77777777" w:rsidR="00DE6128" w:rsidRPr="0091426A" w:rsidRDefault="00DE6128" w:rsidP="00F8471A">
            <w:pPr>
              <w:jc w:val="both"/>
              <w:rPr>
                <w:rFonts w:ascii="Garamond" w:hAnsi="Garamond"/>
                <w:sz w:val="21"/>
                <w:szCs w:val="21"/>
              </w:rPr>
            </w:pPr>
            <w:r w:rsidRPr="0091426A">
              <w:rPr>
                <w:rFonts w:ascii="Garamond" w:hAnsi="Garamond"/>
                <w:sz w:val="21"/>
                <w:szCs w:val="21"/>
              </w:rPr>
              <w:t>Cross-cutting</w:t>
            </w:r>
          </w:p>
        </w:tc>
        <w:tc>
          <w:tcPr>
            <w:tcW w:w="2977" w:type="dxa"/>
          </w:tcPr>
          <w:p w14:paraId="552FBC9C" w14:textId="77777777" w:rsidR="00DE6128" w:rsidRPr="0091426A" w:rsidRDefault="00DE6128" w:rsidP="00F8471A">
            <w:p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Semi-structured interviews with key stakeholders (ministries, international organisations, food industry, school and street food vendors)</w:t>
            </w:r>
          </w:p>
        </w:tc>
        <w:tc>
          <w:tcPr>
            <w:tcW w:w="5306" w:type="dxa"/>
          </w:tcPr>
          <w:p w14:paraId="23638683" w14:textId="77777777" w:rsidR="00DE6128" w:rsidRPr="0091426A" w:rsidRDefault="00DE6128" w:rsidP="00F8471A">
            <w:p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To gather information on</w:t>
            </w:r>
          </w:p>
          <w:p w14:paraId="3C2C2143" w14:textId="77777777" w:rsidR="00DE6128" w:rsidRPr="0091426A" w:rsidRDefault="00DE6128" w:rsidP="00F8471A">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Children’s food environment</w:t>
            </w:r>
          </w:p>
          <w:p w14:paraId="0404E0BC" w14:textId="77777777" w:rsidR="00DE6128" w:rsidRPr="0091426A" w:rsidRDefault="00DE6128" w:rsidP="00F8471A">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Key stakeholders’ relations to nutrition narratives</w:t>
            </w:r>
          </w:p>
          <w:p w14:paraId="4A2E3429" w14:textId="77777777" w:rsidR="00DE6128" w:rsidRPr="0091426A" w:rsidRDefault="00DE6128" w:rsidP="00F8471A">
            <w:pPr>
              <w:pStyle w:val="Paragrafoelenco"/>
              <w:numPr>
                <w:ilvl w:val="0"/>
                <w:numId w:val="1"/>
              </w:num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Food and nutrition policy</w:t>
            </w:r>
          </w:p>
        </w:tc>
      </w:tr>
    </w:tbl>
    <w:p w14:paraId="6751B048" w14:textId="77777777" w:rsidR="00DE6128" w:rsidRPr="0091426A" w:rsidRDefault="00DE6128" w:rsidP="00DE6128">
      <w:pPr>
        <w:jc w:val="both"/>
        <w:rPr>
          <w:rFonts w:ascii="Garamond" w:hAnsi="Garamond"/>
          <w:sz w:val="21"/>
          <w:szCs w:val="21"/>
        </w:rPr>
      </w:pPr>
      <w:r w:rsidRPr="0091426A">
        <w:rPr>
          <w:rFonts w:ascii="Garamond" w:hAnsi="Garamond"/>
          <w:sz w:val="21"/>
          <w:szCs w:val="21"/>
        </w:rPr>
        <w:t>Source: Created by authors</w:t>
      </w:r>
    </w:p>
    <w:p w14:paraId="43E49B0A" w14:textId="77777777" w:rsidR="00DE6128" w:rsidRDefault="00DE6128" w:rsidP="00DE6128">
      <w:pPr>
        <w:jc w:val="both"/>
        <w:rPr>
          <w:rFonts w:ascii="Garamond" w:hAnsi="Garamond"/>
          <w:sz w:val="21"/>
          <w:szCs w:val="21"/>
        </w:rPr>
      </w:pPr>
    </w:p>
    <w:p w14:paraId="341CA327" w14:textId="77777777" w:rsidR="00DE6128" w:rsidRPr="0091426A" w:rsidRDefault="00DE6128" w:rsidP="00DE6128">
      <w:pPr>
        <w:jc w:val="both"/>
        <w:rPr>
          <w:rFonts w:ascii="Garamond" w:hAnsi="Garamond"/>
          <w:sz w:val="21"/>
          <w:szCs w:val="21"/>
        </w:rPr>
      </w:pPr>
      <w:r>
        <w:rPr>
          <w:rFonts w:ascii="Garamond" w:hAnsi="Garamond"/>
          <w:sz w:val="21"/>
          <w:szCs w:val="21"/>
        </w:rPr>
        <w:t>Table 2</w:t>
      </w:r>
      <w:r w:rsidRPr="0091426A">
        <w:rPr>
          <w:rFonts w:ascii="Garamond" w:hAnsi="Garamond"/>
          <w:sz w:val="21"/>
          <w:szCs w:val="21"/>
        </w:rPr>
        <w:t>. Key characteristics of four selected JHS in Accra Metropolitan Area</w:t>
      </w:r>
    </w:p>
    <w:tbl>
      <w:tblPr>
        <w:tblStyle w:val="Sfondochiaro"/>
        <w:tblW w:w="5000" w:type="pct"/>
        <w:tblLook w:val="04A0" w:firstRow="1" w:lastRow="0" w:firstColumn="1" w:lastColumn="0" w:noHBand="0" w:noVBand="1"/>
      </w:tblPr>
      <w:tblGrid>
        <w:gridCol w:w="2319"/>
        <w:gridCol w:w="1524"/>
        <w:gridCol w:w="1800"/>
        <w:gridCol w:w="1578"/>
        <w:gridCol w:w="1805"/>
      </w:tblGrid>
      <w:tr w:rsidR="00DE6128" w:rsidRPr="0091426A" w14:paraId="5B9D8118" w14:textId="77777777" w:rsidTr="00F84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49ABE4D0" w14:textId="77777777" w:rsidR="00DE6128" w:rsidRPr="0091426A" w:rsidRDefault="00DE6128" w:rsidP="00F8471A">
            <w:pPr>
              <w:jc w:val="both"/>
              <w:rPr>
                <w:rFonts w:ascii="Garamond" w:hAnsi="Garamond"/>
                <w:sz w:val="21"/>
                <w:szCs w:val="21"/>
              </w:rPr>
            </w:pPr>
            <w:r w:rsidRPr="0091426A">
              <w:rPr>
                <w:rFonts w:ascii="Garamond" w:hAnsi="Garamond"/>
                <w:sz w:val="21"/>
                <w:szCs w:val="21"/>
              </w:rPr>
              <w:t>School</w:t>
            </w:r>
          </w:p>
        </w:tc>
        <w:tc>
          <w:tcPr>
            <w:tcW w:w="844" w:type="pct"/>
          </w:tcPr>
          <w:p w14:paraId="6275CAA4" w14:textId="77777777" w:rsidR="00DE6128" w:rsidRPr="0091426A" w:rsidRDefault="00DE6128" w:rsidP="00F8471A">
            <w:pPr>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Kanda Estate Cluster</w:t>
            </w:r>
            <w:r>
              <w:rPr>
                <w:rStyle w:val="Rimandonotaapidipagina"/>
              </w:rPr>
              <w:t>¹</w:t>
            </w:r>
          </w:p>
        </w:tc>
        <w:tc>
          <w:tcPr>
            <w:tcW w:w="997" w:type="pct"/>
          </w:tcPr>
          <w:p w14:paraId="5BEBCF91" w14:textId="77777777" w:rsidR="00DE6128" w:rsidRPr="0091426A" w:rsidRDefault="00DE6128" w:rsidP="00F8471A">
            <w:pPr>
              <w:jc w:val="both"/>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proofErr w:type="spellStart"/>
            <w:r w:rsidRPr="0091426A">
              <w:rPr>
                <w:rFonts w:ascii="Garamond" w:hAnsi="Garamond"/>
                <w:sz w:val="21"/>
                <w:szCs w:val="21"/>
              </w:rPr>
              <w:t>Osu</w:t>
            </w:r>
            <w:proofErr w:type="spellEnd"/>
            <w:r w:rsidRPr="0091426A">
              <w:rPr>
                <w:rFonts w:ascii="Garamond" w:hAnsi="Garamond"/>
                <w:sz w:val="21"/>
                <w:szCs w:val="21"/>
              </w:rPr>
              <w:t xml:space="preserve"> Presby</w:t>
            </w:r>
            <w:r>
              <w:rPr>
                <w:rFonts w:ascii="Garamond" w:hAnsi="Garamond"/>
                <w:sz w:val="21"/>
                <w:szCs w:val="21"/>
              </w:rPr>
              <w:t>²</w:t>
            </w:r>
          </w:p>
        </w:tc>
        <w:tc>
          <w:tcPr>
            <w:tcW w:w="874" w:type="pct"/>
          </w:tcPr>
          <w:p w14:paraId="0086CD4A" w14:textId="77777777" w:rsidR="00DE6128" w:rsidRPr="0091426A" w:rsidRDefault="00DE6128" w:rsidP="00F8471A">
            <w:pPr>
              <w:jc w:val="both"/>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Jack &amp; Jill</w:t>
            </w:r>
          </w:p>
        </w:tc>
        <w:tc>
          <w:tcPr>
            <w:tcW w:w="1000" w:type="pct"/>
          </w:tcPr>
          <w:p w14:paraId="4E7E3AAB" w14:textId="77777777" w:rsidR="00DE6128" w:rsidRPr="0091426A" w:rsidRDefault="00DE6128" w:rsidP="00F8471A">
            <w:pPr>
              <w:jc w:val="both"/>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Association International School (AIS)</w:t>
            </w:r>
          </w:p>
        </w:tc>
      </w:tr>
      <w:tr w:rsidR="00DE6128" w:rsidRPr="0091426A" w14:paraId="6D18B98E"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446E6C41" w14:textId="77777777" w:rsidR="00DE6128" w:rsidRPr="0091426A" w:rsidRDefault="00DE6128" w:rsidP="00F8471A">
            <w:pPr>
              <w:rPr>
                <w:rFonts w:ascii="Garamond" w:hAnsi="Garamond"/>
                <w:sz w:val="21"/>
                <w:szCs w:val="21"/>
              </w:rPr>
            </w:pPr>
            <w:r w:rsidRPr="0091426A">
              <w:rPr>
                <w:rFonts w:ascii="Garamond" w:hAnsi="Garamond"/>
                <w:sz w:val="21"/>
                <w:szCs w:val="21"/>
              </w:rPr>
              <w:t>Location</w:t>
            </w:r>
          </w:p>
        </w:tc>
        <w:tc>
          <w:tcPr>
            <w:tcW w:w="844" w:type="pct"/>
          </w:tcPr>
          <w:p w14:paraId="5B3BE117"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proofErr w:type="spellStart"/>
            <w:r w:rsidRPr="0091426A">
              <w:rPr>
                <w:rFonts w:ascii="Garamond" w:hAnsi="Garamond"/>
                <w:sz w:val="21"/>
                <w:szCs w:val="21"/>
              </w:rPr>
              <w:t>Nima</w:t>
            </w:r>
            <w:proofErr w:type="spellEnd"/>
            <w:r w:rsidRPr="0091426A">
              <w:rPr>
                <w:rFonts w:ascii="Garamond" w:hAnsi="Garamond"/>
                <w:sz w:val="21"/>
                <w:szCs w:val="21"/>
              </w:rPr>
              <w:t>/Kanda</w:t>
            </w:r>
          </w:p>
        </w:tc>
        <w:tc>
          <w:tcPr>
            <w:tcW w:w="997" w:type="pct"/>
          </w:tcPr>
          <w:p w14:paraId="23370347"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proofErr w:type="spellStart"/>
            <w:r w:rsidRPr="0091426A">
              <w:rPr>
                <w:rFonts w:ascii="Garamond" w:hAnsi="Garamond"/>
                <w:sz w:val="21"/>
                <w:szCs w:val="21"/>
              </w:rPr>
              <w:t>Osu</w:t>
            </w:r>
            <w:proofErr w:type="spellEnd"/>
          </w:p>
        </w:tc>
        <w:tc>
          <w:tcPr>
            <w:tcW w:w="874" w:type="pct"/>
          </w:tcPr>
          <w:p w14:paraId="10857F0E"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Roman Ridge</w:t>
            </w:r>
          </w:p>
        </w:tc>
        <w:tc>
          <w:tcPr>
            <w:tcW w:w="1000" w:type="pct"/>
          </w:tcPr>
          <w:p w14:paraId="6C6801C4"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Airport Residential Area</w:t>
            </w:r>
          </w:p>
        </w:tc>
      </w:tr>
      <w:tr w:rsidR="00DE6128" w:rsidRPr="0091426A" w14:paraId="384C82CF" w14:textId="77777777" w:rsidTr="00F8471A">
        <w:tc>
          <w:tcPr>
            <w:cnfStyle w:val="001000000000" w:firstRow="0" w:lastRow="0" w:firstColumn="1" w:lastColumn="0" w:oddVBand="0" w:evenVBand="0" w:oddHBand="0" w:evenHBand="0" w:firstRowFirstColumn="0" w:firstRowLastColumn="0" w:lastRowFirstColumn="0" w:lastRowLastColumn="0"/>
            <w:tcW w:w="1285" w:type="pct"/>
          </w:tcPr>
          <w:p w14:paraId="68937871" w14:textId="77777777" w:rsidR="00DE6128" w:rsidRPr="0091426A" w:rsidRDefault="00DE6128" w:rsidP="00F8471A">
            <w:pPr>
              <w:rPr>
                <w:rFonts w:ascii="Garamond" w:hAnsi="Garamond"/>
                <w:sz w:val="21"/>
                <w:szCs w:val="21"/>
              </w:rPr>
            </w:pPr>
            <w:r w:rsidRPr="0091426A">
              <w:rPr>
                <w:rFonts w:ascii="Garamond" w:hAnsi="Garamond"/>
                <w:sz w:val="21"/>
                <w:szCs w:val="21"/>
              </w:rPr>
              <w:t>Type</w:t>
            </w:r>
          </w:p>
        </w:tc>
        <w:tc>
          <w:tcPr>
            <w:tcW w:w="844" w:type="pct"/>
          </w:tcPr>
          <w:p w14:paraId="7C806AA1"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Public</w:t>
            </w:r>
          </w:p>
        </w:tc>
        <w:tc>
          <w:tcPr>
            <w:tcW w:w="997" w:type="pct"/>
          </w:tcPr>
          <w:p w14:paraId="65878BB0"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Public</w:t>
            </w:r>
          </w:p>
        </w:tc>
        <w:tc>
          <w:tcPr>
            <w:tcW w:w="874" w:type="pct"/>
          </w:tcPr>
          <w:p w14:paraId="1C06B9AE"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Private</w:t>
            </w:r>
          </w:p>
        </w:tc>
        <w:tc>
          <w:tcPr>
            <w:tcW w:w="1000" w:type="pct"/>
          </w:tcPr>
          <w:p w14:paraId="490DFA6A"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Private</w:t>
            </w:r>
          </w:p>
        </w:tc>
      </w:tr>
      <w:tr w:rsidR="00DE6128" w:rsidRPr="0091426A" w14:paraId="34B6A727"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6A4311EB" w14:textId="77777777" w:rsidR="00DE6128" w:rsidRPr="0091426A" w:rsidRDefault="00DE6128" w:rsidP="00F8471A">
            <w:pPr>
              <w:rPr>
                <w:rFonts w:ascii="Garamond" w:hAnsi="Garamond"/>
                <w:sz w:val="21"/>
                <w:szCs w:val="21"/>
              </w:rPr>
            </w:pPr>
            <w:r w:rsidRPr="0091426A">
              <w:rPr>
                <w:rFonts w:ascii="Garamond" w:hAnsi="Garamond"/>
                <w:sz w:val="21"/>
                <w:szCs w:val="21"/>
              </w:rPr>
              <w:t>Student-teacher ratio</w:t>
            </w:r>
          </w:p>
        </w:tc>
        <w:tc>
          <w:tcPr>
            <w:tcW w:w="844" w:type="pct"/>
          </w:tcPr>
          <w:p w14:paraId="2A135298"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11.8</w:t>
            </w:r>
          </w:p>
        </w:tc>
        <w:tc>
          <w:tcPr>
            <w:tcW w:w="997" w:type="pct"/>
          </w:tcPr>
          <w:p w14:paraId="42544C1D"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15.7</w:t>
            </w:r>
          </w:p>
        </w:tc>
        <w:tc>
          <w:tcPr>
            <w:tcW w:w="874" w:type="pct"/>
          </w:tcPr>
          <w:p w14:paraId="36F8C589"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13.6</w:t>
            </w:r>
          </w:p>
        </w:tc>
        <w:tc>
          <w:tcPr>
            <w:tcW w:w="1000" w:type="pct"/>
          </w:tcPr>
          <w:p w14:paraId="00BED9D0"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5.4</w:t>
            </w:r>
          </w:p>
        </w:tc>
      </w:tr>
      <w:tr w:rsidR="00DE6128" w:rsidRPr="0091426A" w14:paraId="2B956347" w14:textId="77777777" w:rsidTr="00F8471A">
        <w:tc>
          <w:tcPr>
            <w:cnfStyle w:val="001000000000" w:firstRow="0" w:lastRow="0" w:firstColumn="1" w:lastColumn="0" w:oddVBand="0" w:evenVBand="0" w:oddHBand="0" w:evenHBand="0" w:firstRowFirstColumn="0" w:firstRowLastColumn="0" w:lastRowFirstColumn="0" w:lastRowLastColumn="0"/>
            <w:tcW w:w="1285" w:type="pct"/>
          </w:tcPr>
          <w:p w14:paraId="5E374B8C" w14:textId="77777777" w:rsidR="00DE6128" w:rsidRPr="0091426A" w:rsidRDefault="00DE6128" w:rsidP="00F8471A">
            <w:pPr>
              <w:rPr>
                <w:rFonts w:ascii="Garamond" w:hAnsi="Garamond"/>
                <w:sz w:val="21"/>
                <w:szCs w:val="21"/>
              </w:rPr>
            </w:pPr>
            <w:r w:rsidRPr="0091426A">
              <w:rPr>
                <w:rFonts w:ascii="Garamond" w:hAnsi="Garamond"/>
                <w:sz w:val="21"/>
                <w:szCs w:val="21"/>
              </w:rPr>
              <w:t>Access to functioning library</w:t>
            </w:r>
          </w:p>
        </w:tc>
        <w:tc>
          <w:tcPr>
            <w:tcW w:w="844" w:type="pct"/>
          </w:tcPr>
          <w:p w14:paraId="0A5A3109"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No</w:t>
            </w:r>
          </w:p>
        </w:tc>
        <w:tc>
          <w:tcPr>
            <w:tcW w:w="997" w:type="pct"/>
          </w:tcPr>
          <w:p w14:paraId="4117E91B" w14:textId="77777777" w:rsidR="00DE6128" w:rsidRPr="0091426A" w:rsidRDefault="00DE6128" w:rsidP="00F8471A">
            <w:pPr>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Yes (Girls)</w:t>
            </w:r>
          </w:p>
          <w:p w14:paraId="4D568B8C" w14:textId="77777777" w:rsidR="00DE6128" w:rsidRPr="0091426A" w:rsidRDefault="00DE6128" w:rsidP="00F8471A">
            <w:pPr>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No (Boys)</w:t>
            </w:r>
          </w:p>
        </w:tc>
        <w:tc>
          <w:tcPr>
            <w:tcW w:w="874" w:type="pct"/>
          </w:tcPr>
          <w:p w14:paraId="0C34526E"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c>
          <w:tcPr>
            <w:tcW w:w="1000" w:type="pct"/>
          </w:tcPr>
          <w:p w14:paraId="4E4AEDE6"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r>
      <w:tr w:rsidR="00DE6128" w:rsidRPr="0091426A" w14:paraId="69A22D6F"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1D0E62A7" w14:textId="77777777" w:rsidR="00DE6128" w:rsidRPr="0091426A" w:rsidRDefault="00DE6128" w:rsidP="00F8471A">
            <w:pPr>
              <w:rPr>
                <w:rFonts w:ascii="Garamond" w:hAnsi="Garamond"/>
                <w:sz w:val="21"/>
                <w:szCs w:val="21"/>
              </w:rPr>
            </w:pPr>
            <w:r w:rsidRPr="0091426A">
              <w:rPr>
                <w:rFonts w:ascii="Garamond" w:hAnsi="Garamond"/>
                <w:sz w:val="21"/>
                <w:szCs w:val="21"/>
              </w:rPr>
              <w:t>Access to functioning computer lab</w:t>
            </w:r>
          </w:p>
        </w:tc>
        <w:tc>
          <w:tcPr>
            <w:tcW w:w="844" w:type="pct"/>
          </w:tcPr>
          <w:p w14:paraId="4BEB5B90"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No</w:t>
            </w:r>
          </w:p>
        </w:tc>
        <w:tc>
          <w:tcPr>
            <w:tcW w:w="997" w:type="pct"/>
          </w:tcPr>
          <w:p w14:paraId="1F247450"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No</w:t>
            </w:r>
          </w:p>
        </w:tc>
        <w:tc>
          <w:tcPr>
            <w:tcW w:w="874" w:type="pct"/>
          </w:tcPr>
          <w:p w14:paraId="548EE219"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c>
          <w:tcPr>
            <w:tcW w:w="1000" w:type="pct"/>
          </w:tcPr>
          <w:p w14:paraId="0884CC66"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r>
      <w:tr w:rsidR="00DE6128" w:rsidRPr="0091426A" w14:paraId="72DB589E" w14:textId="77777777" w:rsidTr="00F8471A">
        <w:tc>
          <w:tcPr>
            <w:cnfStyle w:val="001000000000" w:firstRow="0" w:lastRow="0" w:firstColumn="1" w:lastColumn="0" w:oddVBand="0" w:evenVBand="0" w:oddHBand="0" w:evenHBand="0" w:firstRowFirstColumn="0" w:firstRowLastColumn="0" w:lastRowFirstColumn="0" w:lastRowLastColumn="0"/>
            <w:tcW w:w="1285" w:type="pct"/>
          </w:tcPr>
          <w:p w14:paraId="0DB5E700" w14:textId="77777777" w:rsidR="00DE6128" w:rsidRPr="0091426A" w:rsidRDefault="00DE6128" w:rsidP="00F8471A">
            <w:pPr>
              <w:rPr>
                <w:rFonts w:ascii="Garamond" w:hAnsi="Garamond"/>
                <w:sz w:val="21"/>
                <w:szCs w:val="21"/>
              </w:rPr>
            </w:pPr>
            <w:r w:rsidRPr="0091426A">
              <w:rPr>
                <w:rFonts w:ascii="Garamond" w:hAnsi="Garamond"/>
                <w:sz w:val="21"/>
                <w:szCs w:val="21"/>
              </w:rPr>
              <w:t>Minimum teaching equipment</w:t>
            </w:r>
          </w:p>
        </w:tc>
        <w:tc>
          <w:tcPr>
            <w:tcW w:w="844" w:type="pct"/>
          </w:tcPr>
          <w:p w14:paraId="166B9F27"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c>
          <w:tcPr>
            <w:tcW w:w="997" w:type="pct"/>
          </w:tcPr>
          <w:p w14:paraId="39C55ED4"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c>
          <w:tcPr>
            <w:tcW w:w="874" w:type="pct"/>
          </w:tcPr>
          <w:p w14:paraId="63D3C5AD"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c>
          <w:tcPr>
            <w:tcW w:w="1000" w:type="pct"/>
          </w:tcPr>
          <w:p w14:paraId="4E5375CF" w14:textId="77777777" w:rsidR="00DE6128" w:rsidRPr="0091426A"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r>
      <w:tr w:rsidR="00DE6128" w:rsidRPr="0091426A" w14:paraId="6C14114C"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14:paraId="63E39E1B" w14:textId="77777777" w:rsidR="00DE6128" w:rsidRPr="0091426A" w:rsidRDefault="00DE6128" w:rsidP="00F8471A">
            <w:pPr>
              <w:rPr>
                <w:rFonts w:ascii="Garamond" w:hAnsi="Garamond"/>
                <w:sz w:val="21"/>
                <w:szCs w:val="21"/>
              </w:rPr>
            </w:pPr>
            <w:r w:rsidRPr="0091426A">
              <w:rPr>
                <w:rFonts w:ascii="Garamond" w:hAnsi="Garamond"/>
                <w:sz w:val="21"/>
                <w:szCs w:val="21"/>
              </w:rPr>
              <w:t>Minimum school infrastructure</w:t>
            </w:r>
          </w:p>
        </w:tc>
        <w:tc>
          <w:tcPr>
            <w:tcW w:w="844" w:type="pct"/>
          </w:tcPr>
          <w:p w14:paraId="2E3563A0"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No</w:t>
            </w:r>
          </w:p>
        </w:tc>
        <w:tc>
          <w:tcPr>
            <w:tcW w:w="997" w:type="pct"/>
          </w:tcPr>
          <w:p w14:paraId="513BC797"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No</w:t>
            </w:r>
          </w:p>
        </w:tc>
        <w:tc>
          <w:tcPr>
            <w:tcW w:w="874" w:type="pct"/>
          </w:tcPr>
          <w:p w14:paraId="7D64DD38"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c>
          <w:tcPr>
            <w:tcW w:w="1000" w:type="pct"/>
          </w:tcPr>
          <w:p w14:paraId="2187A6BB" w14:textId="77777777" w:rsidR="00DE6128" w:rsidRPr="0091426A"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91426A">
              <w:rPr>
                <w:rFonts w:ascii="Garamond" w:hAnsi="Garamond"/>
                <w:sz w:val="21"/>
                <w:szCs w:val="21"/>
              </w:rPr>
              <w:t>Yes</w:t>
            </w:r>
          </w:p>
        </w:tc>
      </w:tr>
    </w:tbl>
    <w:p w14:paraId="58E887BF" w14:textId="77777777" w:rsidR="00DE6128" w:rsidRDefault="00DE6128" w:rsidP="00DE6128">
      <w:pPr>
        <w:pStyle w:val="Testonotaapidipagina"/>
        <w:rPr>
          <w:rFonts w:ascii="Garamond" w:hAnsi="Garamond"/>
          <w:sz w:val="21"/>
          <w:szCs w:val="21"/>
        </w:rPr>
      </w:pPr>
      <w:r w:rsidRPr="0091426A">
        <w:rPr>
          <w:rFonts w:ascii="Garamond" w:hAnsi="Garamond"/>
          <w:sz w:val="21"/>
          <w:szCs w:val="21"/>
        </w:rPr>
        <w:t>Source: Compiled by authors</w:t>
      </w:r>
    </w:p>
    <w:p w14:paraId="6BAC7D08" w14:textId="77777777" w:rsidR="00DE6128" w:rsidRPr="0091426A" w:rsidRDefault="00DE6128" w:rsidP="00DE6128">
      <w:pPr>
        <w:pStyle w:val="Testonotaapidipagina"/>
        <w:jc w:val="both"/>
        <w:rPr>
          <w:rFonts w:ascii="Garamond" w:hAnsi="Garamond"/>
          <w:sz w:val="21"/>
          <w:szCs w:val="21"/>
        </w:rPr>
      </w:pPr>
      <w:r>
        <w:rPr>
          <w:rFonts w:ascii="Garamond" w:hAnsi="Garamond"/>
          <w:sz w:val="21"/>
          <w:szCs w:val="21"/>
        </w:rPr>
        <w:t xml:space="preserve">¹ </w:t>
      </w:r>
      <w:r w:rsidRPr="0091426A">
        <w:rPr>
          <w:rFonts w:ascii="Garamond" w:hAnsi="Garamond"/>
          <w:sz w:val="21"/>
          <w:szCs w:val="21"/>
        </w:rPr>
        <w:t>Kanda Cluster includes four schools sharing the same courtyard, these are: Ring Road East, Kanda 1, Kanda 5 and Kanda A.M.A. Data on student-teacher ratio are given as the average across the four schools.</w:t>
      </w:r>
    </w:p>
    <w:p w14:paraId="53458328" w14:textId="77777777" w:rsidR="00DE6128" w:rsidRDefault="00DE6128" w:rsidP="00DE6128">
      <w:pPr>
        <w:rPr>
          <w:rFonts w:ascii="Garamond" w:hAnsi="Garamond"/>
          <w:sz w:val="21"/>
          <w:szCs w:val="21"/>
        </w:rPr>
      </w:pPr>
      <w:r>
        <w:rPr>
          <w:rFonts w:ascii="Garamond" w:hAnsi="Garamond"/>
          <w:sz w:val="21"/>
          <w:szCs w:val="21"/>
        </w:rPr>
        <w:t xml:space="preserve">² </w:t>
      </w:r>
      <w:proofErr w:type="spellStart"/>
      <w:proofErr w:type="gramStart"/>
      <w:r w:rsidRPr="0091426A">
        <w:rPr>
          <w:rFonts w:ascii="Garamond" w:hAnsi="Garamond"/>
          <w:sz w:val="21"/>
          <w:szCs w:val="21"/>
        </w:rPr>
        <w:t>Osu</w:t>
      </w:r>
      <w:proofErr w:type="spellEnd"/>
      <w:proofErr w:type="gramEnd"/>
      <w:r w:rsidRPr="0091426A">
        <w:rPr>
          <w:rFonts w:ascii="Garamond" w:hAnsi="Garamond"/>
          <w:sz w:val="21"/>
          <w:szCs w:val="21"/>
        </w:rPr>
        <w:t xml:space="preserve"> </w:t>
      </w:r>
      <w:proofErr w:type="spellStart"/>
      <w:r w:rsidRPr="0091426A">
        <w:rPr>
          <w:rFonts w:ascii="Garamond" w:hAnsi="Garamond"/>
          <w:sz w:val="21"/>
          <w:szCs w:val="21"/>
        </w:rPr>
        <w:t>Presby</w:t>
      </w:r>
      <w:proofErr w:type="spellEnd"/>
      <w:r w:rsidRPr="0091426A">
        <w:rPr>
          <w:rFonts w:ascii="Garamond" w:hAnsi="Garamond"/>
          <w:sz w:val="21"/>
          <w:szCs w:val="21"/>
        </w:rPr>
        <w:t xml:space="preserve"> includes </w:t>
      </w:r>
      <w:proofErr w:type="spellStart"/>
      <w:r w:rsidRPr="0091426A">
        <w:rPr>
          <w:rFonts w:ascii="Garamond" w:hAnsi="Garamond"/>
          <w:sz w:val="21"/>
          <w:szCs w:val="21"/>
        </w:rPr>
        <w:t>Osu</w:t>
      </w:r>
      <w:proofErr w:type="spellEnd"/>
      <w:r w:rsidRPr="0091426A">
        <w:rPr>
          <w:rFonts w:ascii="Garamond" w:hAnsi="Garamond"/>
          <w:sz w:val="21"/>
          <w:szCs w:val="21"/>
        </w:rPr>
        <w:t xml:space="preserve"> </w:t>
      </w:r>
      <w:proofErr w:type="spellStart"/>
      <w:r w:rsidRPr="0091426A">
        <w:rPr>
          <w:rFonts w:ascii="Garamond" w:hAnsi="Garamond"/>
          <w:sz w:val="21"/>
          <w:szCs w:val="21"/>
        </w:rPr>
        <w:t>Presby</w:t>
      </w:r>
      <w:proofErr w:type="spellEnd"/>
      <w:r w:rsidRPr="0091426A">
        <w:rPr>
          <w:rFonts w:ascii="Garamond" w:hAnsi="Garamond"/>
          <w:sz w:val="21"/>
          <w:szCs w:val="21"/>
        </w:rPr>
        <w:t xml:space="preserve"> Girls and </w:t>
      </w:r>
      <w:proofErr w:type="spellStart"/>
      <w:r w:rsidRPr="0091426A">
        <w:rPr>
          <w:rFonts w:ascii="Garamond" w:hAnsi="Garamond"/>
          <w:sz w:val="21"/>
          <w:szCs w:val="21"/>
        </w:rPr>
        <w:t>Osu</w:t>
      </w:r>
      <w:proofErr w:type="spellEnd"/>
      <w:r w:rsidRPr="0091426A">
        <w:rPr>
          <w:rFonts w:ascii="Garamond" w:hAnsi="Garamond"/>
          <w:sz w:val="21"/>
          <w:szCs w:val="21"/>
        </w:rPr>
        <w:t xml:space="preserve"> </w:t>
      </w:r>
      <w:proofErr w:type="spellStart"/>
      <w:r w:rsidRPr="0091426A">
        <w:rPr>
          <w:rFonts w:ascii="Garamond" w:hAnsi="Garamond"/>
          <w:sz w:val="21"/>
          <w:szCs w:val="21"/>
        </w:rPr>
        <w:t>Presby</w:t>
      </w:r>
      <w:proofErr w:type="spellEnd"/>
      <w:r w:rsidRPr="0091426A">
        <w:rPr>
          <w:rFonts w:ascii="Garamond" w:hAnsi="Garamond"/>
          <w:sz w:val="21"/>
          <w:szCs w:val="21"/>
        </w:rPr>
        <w:t xml:space="preserve"> Boys. Data on student-teacher ratio are given as the average between the two schools.</w:t>
      </w:r>
    </w:p>
    <w:p w14:paraId="2CC57B10" w14:textId="77777777" w:rsidR="00DE6128" w:rsidRDefault="00DE6128" w:rsidP="00DE6128">
      <w:pPr>
        <w:rPr>
          <w:rFonts w:ascii="Garamond" w:hAnsi="Garamond"/>
          <w:sz w:val="21"/>
          <w:szCs w:val="21"/>
        </w:rPr>
      </w:pPr>
    </w:p>
    <w:p w14:paraId="2F0ECD03" w14:textId="77777777" w:rsidR="00DE6128" w:rsidRPr="00D6229C" w:rsidRDefault="00DE6128" w:rsidP="00DE6128">
      <w:pPr>
        <w:jc w:val="both"/>
        <w:rPr>
          <w:rFonts w:ascii="Garamond" w:hAnsi="Garamond"/>
          <w:sz w:val="21"/>
          <w:szCs w:val="21"/>
        </w:rPr>
      </w:pPr>
      <w:r>
        <w:rPr>
          <w:rFonts w:ascii="Garamond" w:hAnsi="Garamond"/>
          <w:sz w:val="21"/>
          <w:szCs w:val="21"/>
        </w:rPr>
        <w:t>Table 3</w:t>
      </w:r>
      <w:r w:rsidRPr="00D6229C">
        <w:rPr>
          <w:rFonts w:ascii="Garamond" w:hAnsi="Garamond"/>
          <w:sz w:val="21"/>
          <w:szCs w:val="21"/>
        </w:rPr>
        <w:t>. Student survey sample</w:t>
      </w:r>
    </w:p>
    <w:tbl>
      <w:tblPr>
        <w:tblStyle w:val="Sfondochiaro"/>
        <w:tblW w:w="5000" w:type="pct"/>
        <w:tblLook w:val="04A0" w:firstRow="1" w:lastRow="0" w:firstColumn="1" w:lastColumn="0" w:noHBand="0" w:noVBand="1"/>
      </w:tblPr>
      <w:tblGrid>
        <w:gridCol w:w="4513"/>
        <w:gridCol w:w="4513"/>
      </w:tblGrid>
      <w:tr w:rsidR="00DE6128" w:rsidRPr="00D6229C" w14:paraId="2AB6B1D2" w14:textId="77777777" w:rsidTr="00F84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5DBA868" w14:textId="77777777" w:rsidR="00DE6128" w:rsidRPr="00D6229C" w:rsidRDefault="00DE6128" w:rsidP="00F8471A">
            <w:pPr>
              <w:rPr>
                <w:rFonts w:ascii="Garamond" w:hAnsi="Garamond"/>
                <w:sz w:val="21"/>
                <w:szCs w:val="21"/>
              </w:rPr>
            </w:pPr>
            <w:r w:rsidRPr="00D6229C">
              <w:rPr>
                <w:rFonts w:ascii="Garamond" w:hAnsi="Garamond"/>
                <w:sz w:val="21"/>
                <w:szCs w:val="21"/>
              </w:rPr>
              <w:t xml:space="preserve">School </w:t>
            </w:r>
          </w:p>
        </w:tc>
        <w:tc>
          <w:tcPr>
            <w:tcW w:w="2500" w:type="pct"/>
          </w:tcPr>
          <w:p w14:paraId="36D88017" w14:textId="77777777" w:rsidR="00DE6128" w:rsidRPr="00D6229C" w:rsidRDefault="00DE6128" w:rsidP="00F8471A">
            <w:pPr>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D6229C">
              <w:rPr>
                <w:rFonts w:ascii="Garamond" w:hAnsi="Garamond"/>
                <w:sz w:val="21"/>
                <w:szCs w:val="21"/>
              </w:rPr>
              <w:t>No. of students interviewed</w:t>
            </w:r>
          </w:p>
        </w:tc>
      </w:tr>
      <w:tr w:rsidR="00DE6128" w:rsidRPr="00D6229C" w14:paraId="178E0135"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DD0995C" w14:textId="77777777" w:rsidR="00DE6128" w:rsidRPr="00D6229C" w:rsidRDefault="00DE6128" w:rsidP="00F8471A">
            <w:pPr>
              <w:rPr>
                <w:rFonts w:ascii="Garamond" w:hAnsi="Garamond"/>
                <w:sz w:val="21"/>
                <w:szCs w:val="21"/>
              </w:rPr>
            </w:pPr>
            <w:proofErr w:type="spellStart"/>
            <w:r w:rsidRPr="00D6229C">
              <w:rPr>
                <w:rFonts w:ascii="Garamond" w:hAnsi="Garamond"/>
                <w:sz w:val="21"/>
                <w:szCs w:val="21"/>
              </w:rPr>
              <w:t>Osu</w:t>
            </w:r>
            <w:proofErr w:type="spellEnd"/>
            <w:r w:rsidRPr="00D6229C">
              <w:rPr>
                <w:rFonts w:ascii="Garamond" w:hAnsi="Garamond"/>
                <w:sz w:val="21"/>
                <w:szCs w:val="21"/>
              </w:rPr>
              <w:t xml:space="preserve"> </w:t>
            </w:r>
            <w:proofErr w:type="spellStart"/>
            <w:r w:rsidRPr="00D6229C">
              <w:rPr>
                <w:rFonts w:ascii="Garamond" w:hAnsi="Garamond"/>
                <w:sz w:val="21"/>
                <w:szCs w:val="21"/>
              </w:rPr>
              <w:t>Presby</w:t>
            </w:r>
            <w:proofErr w:type="spellEnd"/>
            <w:r w:rsidRPr="00D6229C">
              <w:rPr>
                <w:rFonts w:ascii="Garamond" w:hAnsi="Garamond"/>
                <w:sz w:val="21"/>
                <w:szCs w:val="21"/>
              </w:rPr>
              <w:t xml:space="preserve"> Boys and Girls</w:t>
            </w:r>
          </w:p>
        </w:tc>
        <w:tc>
          <w:tcPr>
            <w:tcW w:w="2500" w:type="pct"/>
          </w:tcPr>
          <w:p w14:paraId="0698309F" w14:textId="77777777" w:rsidR="00DE6128" w:rsidRPr="00D6229C" w:rsidRDefault="00DE6128" w:rsidP="00F8471A">
            <w:p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D6229C">
              <w:rPr>
                <w:rFonts w:ascii="Garamond" w:hAnsi="Garamond"/>
                <w:sz w:val="21"/>
                <w:szCs w:val="21"/>
              </w:rPr>
              <w:t>32</w:t>
            </w:r>
          </w:p>
        </w:tc>
      </w:tr>
      <w:tr w:rsidR="00DE6128" w:rsidRPr="00D6229C" w14:paraId="0F0762C3" w14:textId="77777777" w:rsidTr="00F8471A">
        <w:tc>
          <w:tcPr>
            <w:cnfStyle w:val="001000000000" w:firstRow="0" w:lastRow="0" w:firstColumn="1" w:lastColumn="0" w:oddVBand="0" w:evenVBand="0" w:oddHBand="0" w:evenHBand="0" w:firstRowFirstColumn="0" w:firstRowLastColumn="0" w:lastRowFirstColumn="0" w:lastRowLastColumn="0"/>
            <w:tcW w:w="2500" w:type="pct"/>
          </w:tcPr>
          <w:p w14:paraId="3DD0FFA2" w14:textId="77777777" w:rsidR="00DE6128" w:rsidRPr="00D6229C" w:rsidRDefault="00DE6128" w:rsidP="00F8471A">
            <w:pPr>
              <w:rPr>
                <w:rFonts w:ascii="Garamond" w:hAnsi="Garamond"/>
                <w:sz w:val="21"/>
                <w:szCs w:val="21"/>
              </w:rPr>
            </w:pPr>
            <w:r w:rsidRPr="00D6229C">
              <w:rPr>
                <w:rFonts w:ascii="Garamond" w:hAnsi="Garamond"/>
                <w:sz w:val="21"/>
                <w:szCs w:val="21"/>
              </w:rPr>
              <w:t>Kanda Estate Cluster</w:t>
            </w:r>
          </w:p>
        </w:tc>
        <w:tc>
          <w:tcPr>
            <w:tcW w:w="2500" w:type="pct"/>
          </w:tcPr>
          <w:p w14:paraId="15EBB83B" w14:textId="77777777" w:rsidR="00DE6128" w:rsidRPr="00D6229C" w:rsidRDefault="00DE6128" w:rsidP="00F8471A">
            <w:pPr>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D6229C">
              <w:rPr>
                <w:rFonts w:ascii="Garamond" w:hAnsi="Garamond"/>
                <w:sz w:val="21"/>
                <w:szCs w:val="21"/>
              </w:rPr>
              <w:t>30</w:t>
            </w:r>
          </w:p>
        </w:tc>
      </w:tr>
      <w:tr w:rsidR="00DE6128" w:rsidRPr="00D6229C" w14:paraId="520A91BF"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649694" w14:textId="77777777" w:rsidR="00DE6128" w:rsidRPr="00D6229C" w:rsidRDefault="00DE6128" w:rsidP="00F8471A">
            <w:pPr>
              <w:rPr>
                <w:rFonts w:ascii="Garamond" w:hAnsi="Garamond"/>
                <w:sz w:val="21"/>
                <w:szCs w:val="21"/>
              </w:rPr>
            </w:pPr>
            <w:r w:rsidRPr="00D6229C">
              <w:rPr>
                <w:rFonts w:ascii="Garamond" w:hAnsi="Garamond"/>
                <w:sz w:val="21"/>
                <w:szCs w:val="21"/>
              </w:rPr>
              <w:t>Jack &amp; Jill</w:t>
            </w:r>
          </w:p>
        </w:tc>
        <w:tc>
          <w:tcPr>
            <w:tcW w:w="2500" w:type="pct"/>
          </w:tcPr>
          <w:p w14:paraId="12F16709" w14:textId="77777777" w:rsidR="00DE6128" w:rsidRPr="00D6229C" w:rsidRDefault="00DE6128" w:rsidP="00F8471A">
            <w:p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D6229C">
              <w:rPr>
                <w:rFonts w:ascii="Garamond" w:hAnsi="Garamond"/>
                <w:sz w:val="21"/>
                <w:szCs w:val="21"/>
              </w:rPr>
              <w:t>31</w:t>
            </w:r>
          </w:p>
        </w:tc>
      </w:tr>
      <w:tr w:rsidR="00DE6128" w:rsidRPr="00D6229C" w14:paraId="3CCC80B1" w14:textId="77777777" w:rsidTr="00F8471A">
        <w:tc>
          <w:tcPr>
            <w:cnfStyle w:val="001000000000" w:firstRow="0" w:lastRow="0" w:firstColumn="1" w:lastColumn="0" w:oddVBand="0" w:evenVBand="0" w:oddHBand="0" w:evenHBand="0" w:firstRowFirstColumn="0" w:firstRowLastColumn="0" w:lastRowFirstColumn="0" w:lastRowLastColumn="0"/>
            <w:tcW w:w="2500" w:type="pct"/>
          </w:tcPr>
          <w:p w14:paraId="7A861F2E" w14:textId="77777777" w:rsidR="00DE6128" w:rsidRPr="00D6229C" w:rsidRDefault="00DE6128" w:rsidP="00F8471A">
            <w:pPr>
              <w:rPr>
                <w:rFonts w:ascii="Garamond" w:hAnsi="Garamond"/>
                <w:sz w:val="21"/>
                <w:szCs w:val="21"/>
              </w:rPr>
            </w:pPr>
            <w:r w:rsidRPr="00D6229C">
              <w:rPr>
                <w:rFonts w:ascii="Garamond" w:hAnsi="Garamond"/>
                <w:sz w:val="21"/>
                <w:szCs w:val="21"/>
              </w:rPr>
              <w:t>AIS</w:t>
            </w:r>
          </w:p>
        </w:tc>
        <w:tc>
          <w:tcPr>
            <w:tcW w:w="2500" w:type="pct"/>
          </w:tcPr>
          <w:p w14:paraId="06671CE7" w14:textId="77777777" w:rsidR="00DE6128" w:rsidRPr="00D6229C" w:rsidRDefault="00DE6128" w:rsidP="00F8471A">
            <w:pPr>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D6229C">
              <w:rPr>
                <w:rFonts w:ascii="Garamond" w:hAnsi="Garamond"/>
                <w:sz w:val="21"/>
                <w:szCs w:val="21"/>
              </w:rPr>
              <w:t>16</w:t>
            </w:r>
          </w:p>
        </w:tc>
      </w:tr>
      <w:tr w:rsidR="00DE6128" w:rsidRPr="00D6229C" w14:paraId="6F7F5F7E"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71D7AD" w14:textId="77777777" w:rsidR="00DE6128" w:rsidRPr="00D6229C" w:rsidRDefault="00DE6128" w:rsidP="00F8471A">
            <w:pPr>
              <w:rPr>
                <w:rFonts w:ascii="Garamond" w:hAnsi="Garamond"/>
                <w:sz w:val="21"/>
                <w:szCs w:val="21"/>
              </w:rPr>
            </w:pPr>
            <w:r w:rsidRPr="00D6229C">
              <w:rPr>
                <w:rFonts w:ascii="Garamond" w:hAnsi="Garamond"/>
                <w:sz w:val="21"/>
                <w:szCs w:val="21"/>
              </w:rPr>
              <w:t>TIS</w:t>
            </w:r>
          </w:p>
        </w:tc>
        <w:tc>
          <w:tcPr>
            <w:tcW w:w="2500" w:type="pct"/>
          </w:tcPr>
          <w:p w14:paraId="066BC55E" w14:textId="77777777" w:rsidR="00DE6128" w:rsidRPr="00D6229C" w:rsidRDefault="00DE6128" w:rsidP="00F8471A">
            <w:pPr>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D6229C">
              <w:rPr>
                <w:rFonts w:ascii="Garamond" w:hAnsi="Garamond"/>
                <w:sz w:val="21"/>
                <w:szCs w:val="21"/>
              </w:rPr>
              <w:t>30</w:t>
            </w:r>
          </w:p>
        </w:tc>
      </w:tr>
      <w:tr w:rsidR="00DE6128" w:rsidRPr="00D6229C" w14:paraId="0ABA3DC7" w14:textId="77777777" w:rsidTr="00F8471A">
        <w:tc>
          <w:tcPr>
            <w:cnfStyle w:val="001000000000" w:firstRow="0" w:lastRow="0" w:firstColumn="1" w:lastColumn="0" w:oddVBand="0" w:evenVBand="0" w:oddHBand="0" w:evenHBand="0" w:firstRowFirstColumn="0" w:firstRowLastColumn="0" w:lastRowFirstColumn="0" w:lastRowLastColumn="0"/>
            <w:tcW w:w="2500" w:type="pct"/>
          </w:tcPr>
          <w:p w14:paraId="047F5565" w14:textId="77777777" w:rsidR="00DE6128" w:rsidRPr="00D6229C" w:rsidRDefault="00DE6128" w:rsidP="00F8471A">
            <w:pPr>
              <w:rPr>
                <w:rFonts w:ascii="Garamond" w:hAnsi="Garamond"/>
                <w:sz w:val="21"/>
                <w:szCs w:val="21"/>
              </w:rPr>
            </w:pPr>
            <w:r w:rsidRPr="00D6229C">
              <w:rPr>
                <w:rFonts w:ascii="Garamond" w:hAnsi="Garamond"/>
                <w:sz w:val="21"/>
                <w:szCs w:val="21"/>
              </w:rPr>
              <w:t>Total</w:t>
            </w:r>
          </w:p>
        </w:tc>
        <w:tc>
          <w:tcPr>
            <w:tcW w:w="2500" w:type="pct"/>
          </w:tcPr>
          <w:p w14:paraId="23FBB778" w14:textId="77777777" w:rsidR="00DE6128" w:rsidRPr="00D6229C" w:rsidRDefault="00DE6128" w:rsidP="00F8471A">
            <w:pPr>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D6229C">
              <w:rPr>
                <w:rFonts w:ascii="Garamond" w:hAnsi="Garamond"/>
                <w:sz w:val="21"/>
                <w:szCs w:val="21"/>
              </w:rPr>
              <w:t>139</w:t>
            </w:r>
          </w:p>
        </w:tc>
      </w:tr>
    </w:tbl>
    <w:p w14:paraId="25E0C433" w14:textId="77777777" w:rsidR="00DE6128" w:rsidRDefault="00DE6128" w:rsidP="00DE6128">
      <w:pPr>
        <w:jc w:val="both"/>
        <w:rPr>
          <w:rFonts w:ascii="Garamond" w:hAnsi="Garamond"/>
          <w:sz w:val="21"/>
          <w:szCs w:val="21"/>
        </w:rPr>
      </w:pPr>
      <w:r w:rsidRPr="00D6229C">
        <w:rPr>
          <w:rFonts w:ascii="Garamond" w:hAnsi="Garamond"/>
          <w:sz w:val="21"/>
          <w:szCs w:val="21"/>
        </w:rPr>
        <w:t>Source: Compiled by authors</w:t>
      </w:r>
    </w:p>
    <w:p w14:paraId="3AD3A840" w14:textId="77777777" w:rsidR="00DE6128" w:rsidRPr="00BD68BD" w:rsidRDefault="00DE6128" w:rsidP="00DE6128">
      <w:pPr>
        <w:jc w:val="both"/>
        <w:rPr>
          <w:rFonts w:ascii="Garamond" w:hAnsi="Garamond"/>
          <w:sz w:val="21"/>
          <w:szCs w:val="21"/>
        </w:rPr>
      </w:pPr>
      <w:r w:rsidRPr="00BD68BD">
        <w:rPr>
          <w:rFonts w:ascii="Garamond" w:hAnsi="Garamond"/>
          <w:sz w:val="21"/>
          <w:szCs w:val="21"/>
        </w:rPr>
        <w:lastRenderedPageBreak/>
        <w:t xml:space="preserve">Table </w:t>
      </w:r>
      <w:r>
        <w:rPr>
          <w:rFonts w:ascii="Garamond" w:hAnsi="Garamond"/>
          <w:sz w:val="21"/>
          <w:szCs w:val="21"/>
        </w:rPr>
        <w:t>4</w:t>
      </w:r>
      <w:r w:rsidRPr="00BD68BD">
        <w:rPr>
          <w:rFonts w:ascii="Garamond" w:hAnsi="Garamond"/>
          <w:sz w:val="21"/>
          <w:szCs w:val="21"/>
        </w:rPr>
        <w:t>. Linear regression analysis</w:t>
      </w:r>
    </w:p>
    <w:tbl>
      <w:tblPr>
        <w:tblStyle w:val="PlainTable41"/>
        <w:tblW w:w="0" w:type="auto"/>
        <w:tblLook w:val="04A0" w:firstRow="1" w:lastRow="0" w:firstColumn="1" w:lastColumn="0" w:noHBand="0" w:noVBand="1"/>
      </w:tblPr>
      <w:tblGrid>
        <w:gridCol w:w="2998"/>
        <w:gridCol w:w="1510"/>
        <w:gridCol w:w="1499"/>
        <w:gridCol w:w="1515"/>
        <w:gridCol w:w="1504"/>
      </w:tblGrid>
      <w:tr w:rsidR="00DE6128" w:rsidRPr="00BD68BD" w14:paraId="1FDB2CA1" w14:textId="77777777" w:rsidTr="00F8471A">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080" w:type="dxa"/>
            <w:vMerge w:val="restart"/>
          </w:tcPr>
          <w:p w14:paraId="64EA8347" w14:textId="77777777" w:rsidR="00DE6128" w:rsidRPr="00BD68BD" w:rsidRDefault="00DE6128" w:rsidP="00F8471A">
            <w:pPr>
              <w:jc w:val="both"/>
              <w:rPr>
                <w:rFonts w:ascii="Garamond" w:hAnsi="Garamond"/>
                <w:sz w:val="21"/>
                <w:szCs w:val="21"/>
              </w:rPr>
            </w:pPr>
          </w:p>
        </w:tc>
        <w:tc>
          <w:tcPr>
            <w:tcW w:w="3081" w:type="dxa"/>
            <w:gridSpan w:val="2"/>
          </w:tcPr>
          <w:p w14:paraId="13BB2771" w14:textId="77777777" w:rsidR="00DE6128" w:rsidRPr="00BD68BD" w:rsidRDefault="00DE6128" w:rsidP="00F8471A">
            <w:pPr>
              <w:jc w:val="both"/>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Child dietary diversity</w:t>
            </w:r>
          </w:p>
        </w:tc>
        <w:tc>
          <w:tcPr>
            <w:tcW w:w="3081" w:type="dxa"/>
            <w:gridSpan w:val="2"/>
          </w:tcPr>
          <w:p w14:paraId="0DE4DC11" w14:textId="77777777" w:rsidR="00DE6128" w:rsidRPr="00BD68BD" w:rsidRDefault="00DE6128" w:rsidP="00F8471A">
            <w:pPr>
              <w:cnfStyle w:val="100000000000" w:firstRow="1"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Child food consumption score</w:t>
            </w:r>
          </w:p>
        </w:tc>
      </w:tr>
      <w:tr w:rsidR="00DE6128" w:rsidRPr="00BD68BD" w14:paraId="5D82BD90" w14:textId="77777777" w:rsidTr="00F8471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080" w:type="dxa"/>
            <w:vMerge/>
          </w:tcPr>
          <w:p w14:paraId="364BD5A9" w14:textId="77777777" w:rsidR="00DE6128" w:rsidRPr="00BD68BD" w:rsidRDefault="00DE6128" w:rsidP="00F8471A">
            <w:pPr>
              <w:jc w:val="both"/>
              <w:rPr>
                <w:rFonts w:ascii="Garamond" w:hAnsi="Garamond"/>
                <w:sz w:val="21"/>
                <w:szCs w:val="21"/>
              </w:rPr>
            </w:pPr>
          </w:p>
        </w:tc>
        <w:tc>
          <w:tcPr>
            <w:tcW w:w="1540" w:type="dxa"/>
          </w:tcPr>
          <w:p w14:paraId="16507E94"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b</w:t>
            </w:r>
          </w:p>
        </w:tc>
        <w:tc>
          <w:tcPr>
            <w:tcW w:w="1541" w:type="dxa"/>
          </w:tcPr>
          <w:p w14:paraId="2914A080"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SE</w:t>
            </w:r>
          </w:p>
        </w:tc>
        <w:tc>
          <w:tcPr>
            <w:tcW w:w="1540" w:type="dxa"/>
          </w:tcPr>
          <w:p w14:paraId="175E12D6"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B</w:t>
            </w:r>
          </w:p>
        </w:tc>
        <w:tc>
          <w:tcPr>
            <w:tcW w:w="1541" w:type="dxa"/>
          </w:tcPr>
          <w:p w14:paraId="0F056866"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SE</w:t>
            </w:r>
          </w:p>
        </w:tc>
      </w:tr>
      <w:tr w:rsidR="00DE6128" w:rsidRPr="00BD68BD" w14:paraId="516AAAE7" w14:textId="77777777" w:rsidTr="00F8471A">
        <w:tc>
          <w:tcPr>
            <w:cnfStyle w:val="001000000000" w:firstRow="0" w:lastRow="0" w:firstColumn="1" w:lastColumn="0" w:oddVBand="0" w:evenVBand="0" w:oddHBand="0" w:evenHBand="0" w:firstRowFirstColumn="0" w:firstRowLastColumn="0" w:lastRowFirstColumn="0" w:lastRowLastColumn="0"/>
            <w:tcW w:w="3080" w:type="dxa"/>
          </w:tcPr>
          <w:p w14:paraId="7BAF131A" w14:textId="77777777" w:rsidR="00DE6128" w:rsidRPr="00BD68BD" w:rsidRDefault="00DE6128" w:rsidP="00F8471A">
            <w:pPr>
              <w:jc w:val="both"/>
              <w:rPr>
                <w:rFonts w:ascii="Garamond" w:hAnsi="Garamond"/>
                <w:sz w:val="21"/>
                <w:szCs w:val="21"/>
              </w:rPr>
            </w:pPr>
            <w:r w:rsidRPr="00BD68BD">
              <w:rPr>
                <w:rFonts w:ascii="Garamond" w:hAnsi="Garamond"/>
                <w:sz w:val="21"/>
                <w:szCs w:val="21"/>
              </w:rPr>
              <w:t>Age</w:t>
            </w:r>
          </w:p>
        </w:tc>
        <w:tc>
          <w:tcPr>
            <w:tcW w:w="1540" w:type="dxa"/>
          </w:tcPr>
          <w:p w14:paraId="067CCBD4"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-0.118</w:t>
            </w:r>
          </w:p>
        </w:tc>
        <w:tc>
          <w:tcPr>
            <w:tcW w:w="1541" w:type="dxa"/>
          </w:tcPr>
          <w:p w14:paraId="7CA42F65"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(0.15)</w:t>
            </w:r>
          </w:p>
        </w:tc>
        <w:tc>
          <w:tcPr>
            <w:tcW w:w="1540" w:type="dxa"/>
          </w:tcPr>
          <w:p w14:paraId="41BB3C6A"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-3.247***</w:t>
            </w:r>
          </w:p>
        </w:tc>
        <w:tc>
          <w:tcPr>
            <w:tcW w:w="1541" w:type="dxa"/>
          </w:tcPr>
          <w:p w14:paraId="470978C3"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(0.94)</w:t>
            </w:r>
          </w:p>
        </w:tc>
      </w:tr>
      <w:tr w:rsidR="00DE6128" w:rsidRPr="00BD68BD" w14:paraId="0F8F53B4"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42B4680" w14:textId="77777777" w:rsidR="00DE6128" w:rsidRPr="00BD68BD" w:rsidRDefault="00DE6128" w:rsidP="00F8471A">
            <w:pPr>
              <w:jc w:val="both"/>
              <w:rPr>
                <w:rFonts w:ascii="Garamond" w:hAnsi="Garamond"/>
                <w:sz w:val="21"/>
                <w:szCs w:val="21"/>
              </w:rPr>
            </w:pPr>
            <w:r w:rsidRPr="00BD68BD">
              <w:rPr>
                <w:rFonts w:ascii="Garamond" w:hAnsi="Garamond"/>
                <w:sz w:val="21"/>
                <w:szCs w:val="21"/>
              </w:rPr>
              <w:t>Gender</w:t>
            </w:r>
          </w:p>
        </w:tc>
        <w:tc>
          <w:tcPr>
            <w:tcW w:w="1540" w:type="dxa"/>
          </w:tcPr>
          <w:p w14:paraId="0B3C432B"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0.615</w:t>
            </w:r>
          </w:p>
        </w:tc>
        <w:tc>
          <w:tcPr>
            <w:tcW w:w="1541" w:type="dxa"/>
          </w:tcPr>
          <w:p w14:paraId="21E9719C"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(0.39)</w:t>
            </w:r>
          </w:p>
        </w:tc>
        <w:tc>
          <w:tcPr>
            <w:tcW w:w="1540" w:type="dxa"/>
          </w:tcPr>
          <w:p w14:paraId="13B82EDD"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0.404</w:t>
            </w:r>
          </w:p>
        </w:tc>
        <w:tc>
          <w:tcPr>
            <w:tcW w:w="1541" w:type="dxa"/>
          </w:tcPr>
          <w:p w14:paraId="1BEA88D0"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(2.43)</w:t>
            </w:r>
          </w:p>
        </w:tc>
      </w:tr>
      <w:tr w:rsidR="00DE6128" w:rsidRPr="00BD68BD" w14:paraId="3B6DF253" w14:textId="77777777" w:rsidTr="00F8471A">
        <w:tc>
          <w:tcPr>
            <w:cnfStyle w:val="001000000000" w:firstRow="0" w:lastRow="0" w:firstColumn="1" w:lastColumn="0" w:oddVBand="0" w:evenVBand="0" w:oddHBand="0" w:evenHBand="0" w:firstRowFirstColumn="0" w:firstRowLastColumn="0" w:lastRowFirstColumn="0" w:lastRowLastColumn="0"/>
            <w:tcW w:w="3080" w:type="dxa"/>
          </w:tcPr>
          <w:p w14:paraId="088AE674" w14:textId="77777777" w:rsidR="00DE6128" w:rsidRPr="00BD68BD" w:rsidRDefault="00DE6128" w:rsidP="00F8471A">
            <w:pPr>
              <w:jc w:val="both"/>
              <w:rPr>
                <w:rFonts w:ascii="Garamond" w:hAnsi="Garamond"/>
                <w:sz w:val="21"/>
                <w:szCs w:val="21"/>
              </w:rPr>
            </w:pPr>
            <w:r w:rsidRPr="00BD68BD">
              <w:rPr>
                <w:rFonts w:ascii="Garamond" w:hAnsi="Garamond"/>
                <w:sz w:val="21"/>
                <w:szCs w:val="21"/>
              </w:rPr>
              <w:t>Wealth</w:t>
            </w:r>
          </w:p>
        </w:tc>
        <w:tc>
          <w:tcPr>
            <w:tcW w:w="1540" w:type="dxa"/>
          </w:tcPr>
          <w:p w14:paraId="53B79D3F"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1.621***</w:t>
            </w:r>
          </w:p>
        </w:tc>
        <w:tc>
          <w:tcPr>
            <w:tcW w:w="1541" w:type="dxa"/>
          </w:tcPr>
          <w:p w14:paraId="46186110"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(0.51)</w:t>
            </w:r>
          </w:p>
        </w:tc>
        <w:tc>
          <w:tcPr>
            <w:tcW w:w="1540" w:type="dxa"/>
          </w:tcPr>
          <w:p w14:paraId="30508139"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12.267***</w:t>
            </w:r>
          </w:p>
        </w:tc>
        <w:tc>
          <w:tcPr>
            <w:tcW w:w="1541" w:type="dxa"/>
          </w:tcPr>
          <w:p w14:paraId="1B7A3C74"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(3.14)</w:t>
            </w:r>
          </w:p>
        </w:tc>
      </w:tr>
      <w:tr w:rsidR="00DE6128" w:rsidRPr="00BD68BD" w14:paraId="1707D332"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3F63F3C" w14:textId="77777777" w:rsidR="00DE6128" w:rsidRPr="00BD68BD" w:rsidRDefault="00DE6128" w:rsidP="00F8471A">
            <w:pPr>
              <w:jc w:val="both"/>
              <w:rPr>
                <w:rFonts w:ascii="Garamond" w:hAnsi="Garamond"/>
                <w:sz w:val="21"/>
                <w:szCs w:val="21"/>
              </w:rPr>
            </w:pPr>
            <w:r w:rsidRPr="00BD68BD">
              <w:rPr>
                <w:rFonts w:ascii="Garamond" w:hAnsi="Garamond"/>
                <w:sz w:val="21"/>
                <w:szCs w:val="21"/>
              </w:rPr>
              <w:t>Food knowledge</w:t>
            </w:r>
          </w:p>
        </w:tc>
        <w:tc>
          <w:tcPr>
            <w:tcW w:w="1540" w:type="dxa"/>
          </w:tcPr>
          <w:p w14:paraId="18E4958D"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0.948*</w:t>
            </w:r>
          </w:p>
        </w:tc>
        <w:tc>
          <w:tcPr>
            <w:tcW w:w="1541" w:type="dxa"/>
          </w:tcPr>
          <w:p w14:paraId="1449F0E8"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(0.43)</w:t>
            </w:r>
          </w:p>
        </w:tc>
        <w:tc>
          <w:tcPr>
            <w:tcW w:w="1540" w:type="dxa"/>
          </w:tcPr>
          <w:p w14:paraId="73ABADF9"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2.35</w:t>
            </w:r>
          </w:p>
        </w:tc>
        <w:tc>
          <w:tcPr>
            <w:tcW w:w="1541" w:type="dxa"/>
          </w:tcPr>
          <w:p w14:paraId="1C3E246B"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(2.66)</w:t>
            </w:r>
          </w:p>
        </w:tc>
      </w:tr>
      <w:tr w:rsidR="00DE6128" w:rsidRPr="00BD68BD" w14:paraId="343036CF" w14:textId="77777777" w:rsidTr="00F8471A">
        <w:tc>
          <w:tcPr>
            <w:cnfStyle w:val="001000000000" w:firstRow="0" w:lastRow="0" w:firstColumn="1" w:lastColumn="0" w:oddVBand="0" w:evenVBand="0" w:oddHBand="0" w:evenHBand="0" w:firstRowFirstColumn="0" w:firstRowLastColumn="0" w:lastRowFirstColumn="0" w:lastRowLastColumn="0"/>
            <w:tcW w:w="3080" w:type="dxa"/>
          </w:tcPr>
          <w:p w14:paraId="223DF317" w14:textId="77777777" w:rsidR="00DE6128" w:rsidRPr="00BD68BD" w:rsidRDefault="00DE6128" w:rsidP="00F8471A">
            <w:pPr>
              <w:jc w:val="both"/>
              <w:rPr>
                <w:rFonts w:ascii="Garamond" w:hAnsi="Garamond"/>
                <w:sz w:val="21"/>
                <w:szCs w:val="21"/>
              </w:rPr>
            </w:pPr>
            <w:r w:rsidRPr="00BD68BD">
              <w:rPr>
                <w:rFonts w:ascii="Garamond" w:hAnsi="Garamond"/>
                <w:sz w:val="21"/>
                <w:szCs w:val="21"/>
              </w:rPr>
              <w:t>Constant</w:t>
            </w:r>
          </w:p>
        </w:tc>
        <w:tc>
          <w:tcPr>
            <w:tcW w:w="1540" w:type="dxa"/>
          </w:tcPr>
          <w:p w14:paraId="3DA38F99"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1.331</w:t>
            </w:r>
          </w:p>
        </w:tc>
        <w:tc>
          <w:tcPr>
            <w:tcW w:w="1541" w:type="dxa"/>
          </w:tcPr>
          <w:p w14:paraId="46C8BD0B"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(1.83)</w:t>
            </w:r>
          </w:p>
        </w:tc>
        <w:tc>
          <w:tcPr>
            <w:tcW w:w="1540" w:type="dxa"/>
          </w:tcPr>
          <w:p w14:paraId="1E092E62"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34.083***</w:t>
            </w:r>
          </w:p>
        </w:tc>
        <w:tc>
          <w:tcPr>
            <w:tcW w:w="1541" w:type="dxa"/>
          </w:tcPr>
          <w:p w14:paraId="614521D8"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(11.35)</w:t>
            </w:r>
          </w:p>
        </w:tc>
      </w:tr>
      <w:tr w:rsidR="00DE6128" w:rsidRPr="00BD68BD" w14:paraId="5F137092" w14:textId="77777777" w:rsidTr="00F84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8B366C9" w14:textId="77777777" w:rsidR="00DE6128" w:rsidRPr="00BD68BD" w:rsidRDefault="00DE6128" w:rsidP="00F8471A">
            <w:pPr>
              <w:jc w:val="both"/>
              <w:rPr>
                <w:rFonts w:ascii="Garamond" w:hAnsi="Garamond"/>
                <w:sz w:val="21"/>
                <w:szCs w:val="21"/>
              </w:rPr>
            </w:pPr>
            <w:r w:rsidRPr="00BD68BD">
              <w:rPr>
                <w:rFonts w:ascii="Garamond" w:hAnsi="Garamond"/>
                <w:sz w:val="21"/>
                <w:szCs w:val="21"/>
              </w:rPr>
              <w:t>R²</w:t>
            </w:r>
          </w:p>
        </w:tc>
        <w:tc>
          <w:tcPr>
            <w:tcW w:w="3081" w:type="dxa"/>
            <w:gridSpan w:val="2"/>
          </w:tcPr>
          <w:p w14:paraId="557B00B7"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0.120</w:t>
            </w:r>
          </w:p>
        </w:tc>
        <w:tc>
          <w:tcPr>
            <w:tcW w:w="3081" w:type="dxa"/>
            <w:gridSpan w:val="2"/>
          </w:tcPr>
          <w:p w14:paraId="6AD74232" w14:textId="77777777" w:rsidR="00DE6128" w:rsidRPr="00BD68BD" w:rsidRDefault="00DE6128" w:rsidP="00F8471A">
            <w:pPr>
              <w:jc w:val="both"/>
              <w:cnfStyle w:val="000000100000" w:firstRow="0" w:lastRow="0" w:firstColumn="0" w:lastColumn="0" w:oddVBand="0" w:evenVBand="0" w:oddHBand="1" w:evenHBand="0" w:firstRowFirstColumn="0" w:firstRowLastColumn="0" w:lastRowFirstColumn="0" w:lastRowLastColumn="0"/>
              <w:rPr>
                <w:rFonts w:ascii="Garamond" w:hAnsi="Garamond"/>
                <w:sz w:val="21"/>
                <w:szCs w:val="21"/>
              </w:rPr>
            </w:pPr>
            <w:r w:rsidRPr="00BD68BD">
              <w:rPr>
                <w:rFonts w:ascii="Garamond" w:hAnsi="Garamond"/>
                <w:sz w:val="21"/>
                <w:szCs w:val="21"/>
              </w:rPr>
              <w:t>0.256</w:t>
            </w:r>
          </w:p>
        </w:tc>
      </w:tr>
      <w:tr w:rsidR="00DE6128" w:rsidRPr="00BD68BD" w14:paraId="715C3744" w14:textId="77777777" w:rsidTr="00F8471A">
        <w:tc>
          <w:tcPr>
            <w:cnfStyle w:val="001000000000" w:firstRow="0" w:lastRow="0" w:firstColumn="1" w:lastColumn="0" w:oddVBand="0" w:evenVBand="0" w:oddHBand="0" w:evenHBand="0" w:firstRowFirstColumn="0" w:firstRowLastColumn="0" w:lastRowFirstColumn="0" w:lastRowLastColumn="0"/>
            <w:tcW w:w="3080" w:type="dxa"/>
          </w:tcPr>
          <w:p w14:paraId="07D28D59" w14:textId="77777777" w:rsidR="00DE6128" w:rsidRPr="00BD68BD" w:rsidRDefault="00DE6128" w:rsidP="00F8471A">
            <w:pPr>
              <w:jc w:val="both"/>
              <w:rPr>
                <w:rFonts w:ascii="Garamond" w:hAnsi="Garamond"/>
                <w:sz w:val="21"/>
                <w:szCs w:val="21"/>
              </w:rPr>
            </w:pPr>
            <w:r w:rsidRPr="00BD68BD">
              <w:rPr>
                <w:rFonts w:ascii="Garamond" w:hAnsi="Garamond"/>
                <w:sz w:val="21"/>
                <w:szCs w:val="21"/>
              </w:rPr>
              <w:t>Observations</w:t>
            </w:r>
          </w:p>
        </w:tc>
        <w:tc>
          <w:tcPr>
            <w:tcW w:w="3081" w:type="dxa"/>
            <w:gridSpan w:val="2"/>
          </w:tcPr>
          <w:p w14:paraId="33854FEC"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139</w:t>
            </w:r>
          </w:p>
        </w:tc>
        <w:tc>
          <w:tcPr>
            <w:tcW w:w="3081" w:type="dxa"/>
            <w:gridSpan w:val="2"/>
          </w:tcPr>
          <w:p w14:paraId="1C57DA3E" w14:textId="77777777" w:rsidR="00DE6128" w:rsidRPr="00BD68BD" w:rsidRDefault="00DE6128" w:rsidP="00F8471A">
            <w:pPr>
              <w:jc w:val="both"/>
              <w:cnfStyle w:val="000000000000" w:firstRow="0" w:lastRow="0" w:firstColumn="0" w:lastColumn="0" w:oddVBand="0" w:evenVBand="0" w:oddHBand="0" w:evenHBand="0" w:firstRowFirstColumn="0" w:firstRowLastColumn="0" w:lastRowFirstColumn="0" w:lastRowLastColumn="0"/>
              <w:rPr>
                <w:rFonts w:ascii="Garamond" w:hAnsi="Garamond"/>
                <w:sz w:val="21"/>
                <w:szCs w:val="21"/>
              </w:rPr>
            </w:pPr>
            <w:r w:rsidRPr="00BD68BD">
              <w:rPr>
                <w:rFonts w:ascii="Garamond" w:hAnsi="Garamond"/>
                <w:sz w:val="21"/>
                <w:szCs w:val="21"/>
              </w:rPr>
              <w:t>139</w:t>
            </w:r>
          </w:p>
        </w:tc>
      </w:tr>
    </w:tbl>
    <w:p w14:paraId="79C11520" w14:textId="77777777" w:rsidR="00DE6128" w:rsidRPr="00BD68BD" w:rsidRDefault="00DE6128" w:rsidP="00DE6128">
      <w:pPr>
        <w:contextualSpacing/>
        <w:jc w:val="both"/>
        <w:rPr>
          <w:rFonts w:ascii="Garamond" w:hAnsi="Garamond"/>
          <w:sz w:val="21"/>
          <w:szCs w:val="21"/>
        </w:rPr>
      </w:pPr>
      <w:r w:rsidRPr="00BD68BD">
        <w:rPr>
          <w:rFonts w:ascii="Garamond" w:hAnsi="Garamond"/>
          <w:sz w:val="21"/>
          <w:szCs w:val="21"/>
        </w:rPr>
        <w:t>Source: Own analysis from survey data</w:t>
      </w:r>
    </w:p>
    <w:p w14:paraId="7F545C57" w14:textId="77777777" w:rsidR="00DE6128" w:rsidRPr="00BD68BD" w:rsidRDefault="00DE6128" w:rsidP="00DE6128">
      <w:pPr>
        <w:jc w:val="both"/>
        <w:rPr>
          <w:rFonts w:ascii="Garamond" w:hAnsi="Garamond"/>
          <w:sz w:val="21"/>
          <w:szCs w:val="21"/>
        </w:rPr>
      </w:pPr>
      <w:r w:rsidRPr="00BD68BD">
        <w:rPr>
          <w:rFonts w:ascii="Garamond" w:hAnsi="Garamond"/>
          <w:sz w:val="21"/>
          <w:szCs w:val="21"/>
        </w:rPr>
        <w:t xml:space="preserve">*p&lt;0.10 **p&lt;0.05 ***p&lt;0.01 </w:t>
      </w:r>
    </w:p>
    <w:p w14:paraId="62676F36" w14:textId="77777777" w:rsidR="00DE6128" w:rsidRPr="00FC2AD2" w:rsidRDefault="00DE6128" w:rsidP="00DE6128">
      <w:pPr>
        <w:jc w:val="both"/>
        <w:rPr>
          <w:rFonts w:ascii="Garamond" w:hAnsi="Garamond"/>
          <w:sz w:val="21"/>
          <w:szCs w:val="21"/>
        </w:rPr>
      </w:pPr>
    </w:p>
    <w:p w14:paraId="35226354" w14:textId="77777777" w:rsidR="00DE6128" w:rsidRPr="00C60E7F" w:rsidRDefault="00DE6128" w:rsidP="00DE6128">
      <w:pPr>
        <w:rPr>
          <w:rFonts w:ascii="Garamond" w:hAnsi="Garamond"/>
          <w:sz w:val="24"/>
          <w:szCs w:val="24"/>
        </w:rPr>
      </w:pPr>
    </w:p>
    <w:p w14:paraId="5EFBD0DC" w14:textId="77777777" w:rsidR="00D17ECF" w:rsidRDefault="00D17ECF" w:rsidP="00D17ECF">
      <w:pPr>
        <w:jc w:val="both"/>
        <w:rPr>
          <w:rFonts w:ascii="Garamond" w:hAnsi="Garamond"/>
          <w:b/>
          <w:bCs/>
          <w:sz w:val="24"/>
          <w:szCs w:val="24"/>
        </w:rPr>
      </w:pPr>
    </w:p>
    <w:p w14:paraId="7D886C06" w14:textId="77777777" w:rsidR="00D17ECF" w:rsidRDefault="00D17ECF" w:rsidP="00D17ECF">
      <w:pPr>
        <w:jc w:val="both"/>
        <w:rPr>
          <w:rFonts w:ascii="Garamond" w:hAnsi="Garamond"/>
          <w:b/>
          <w:bCs/>
          <w:sz w:val="24"/>
          <w:szCs w:val="24"/>
        </w:rPr>
      </w:pPr>
    </w:p>
    <w:p w14:paraId="75A515CB" w14:textId="77777777" w:rsidR="00D17ECF" w:rsidRDefault="00D17ECF" w:rsidP="00D17ECF">
      <w:pPr>
        <w:jc w:val="both"/>
        <w:rPr>
          <w:rFonts w:ascii="Garamond" w:hAnsi="Garamond"/>
          <w:b/>
          <w:bCs/>
          <w:sz w:val="24"/>
          <w:szCs w:val="24"/>
        </w:rPr>
      </w:pPr>
    </w:p>
    <w:p w14:paraId="5941F113" w14:textId="77777777" w:rsidR="00D17ECF" w:rsidRDefault="00D17ECF" w:rsidP="00D17ECF">
      <w:pPr>
        <w:jc w:val="both"/>
        <w:rPr>
          <w:rFonts w:ascii="Garamond" w:hAnsi="Garamond"/>
          <w:b/>
          <w:bCs/>
          <w:sz w:val="24"/>
          <w:szCs w:val="24"/>
        </w:rPr>
      </w:pPr>
    </w:p>
    <w:p w14:paraId="51CA4822" w14:textId="77777777" w:rsidR="00D17ECF" w:rsidRDefault="00D17ECF" w:rsidP="00D17ECF">
      <w:pPr>
        <w:jc w:val="both"/>
        <w:rPr>
          <w:rFonts w:ascii="Garamond" w:hAnsi="Garamond"/>
          <w:b/>
          <w:bCs/>
          <w:sz w:val="24"/>
          <w:szCs w:val="24"/>
        </w:rPr>
      </w:pPr>
    </w:p>
    <w:p w14:paraId="583E1F36" w14:textId="77777777" w:rsidR="00D17ECF" w:rsidRDefault="00D17ECF" w:rsidP="00D17ECF">
      <w:pPr>
        <w:jc w:val="both"/>
        <w:rPr>
          <w:rFonts w:ascii="Garamond" w:hAnsi="Garamond"/>
          <w:b/>
          <w:bCs/>
          <w:sz w:val="24"/>
          <w:szCs w:val="24"/>
        </w:rPr>
      </w:pPr>
    </w:p>
    <w:p w14:paraId="624032CE" w14:textId="77777777" w:rsidR="00D17ECF" w:rsidRDefault="00D17ECF" w:rsidP="00D17ECF">
      <w:pPr>
        <w:jc w:val="both"/>
        <w:rPr>
          <w:rFonts w:ascii="Garamond" w:hAnsi="Garamond"/>
          <w:b/>
          <w:bCs/>
          <w:sz w:val="24"/>
          <w:szCs w:val="24"/>
        </w:rPr>
      </w:pPr>
    </w:p>
    <w:p w14:paraId="53EA0105" w14:textId="77777777" w:rsidR="00D17ECF" w:rsidRDefault="00D17ECF" w:rsidP="00D17ECF">
      <w:pPr>
        <w:jc w:val="both"/>
        <w:rPr>
          <w:rFonts w:ascii="Garamond" w:hAnsi="Garamond"/>
          <w:b/>
          <w:bCs/>
          <w:sz w:val="24"/>
          <w:szCs w:val="24"/>
        </w:rPr>
      </w:pPr>
    </w:p>
    <w:p w14:paraId="53360424" w14:textId="77777777" w:rsidR="00D17ECF" w:rsidRDefault="00D17ECF" w:rsidP="00D17ECF">
      <w:pPr>
        <w:jc w:val="both"/>
        <w:rPr>
          <w:rFonts w:ascii="Garamond" w:hAnsi="Garamond"/>
          <w:b/>
          <w:bCs/>
          <w:sz w:val="24"/>
          <w:szCs w:val="24"/>
        </w:rPr>
      </w:pPr>
    </w:p>
    <w:p w14:paraId="7DBFEE19" w14:textId="77777777" w:rsidR="00DE6128" w:rsidRDefault="00DE6128" w:rsidP="00D17ECF">
      <w:pPr>
        <w:jc w:val="both"/>
        <w:rPr>
          <w:rFonts w:ascii="Garamond" w:hAnsi="Garamond"/>
          <w:b/>
          <w:bCs/>
          <w:sz w:val="24"/>
          <w:szCs w:val="24"/>
        </w:rPr>
      </w:pPr>
    </w:p>
    <w:p w14:paraId="471E2BFE" w14:textId="77777777" w:rsidR="00DE6128" w:rsidRDefault="00DE6128" w:rsidP="00D17ECF">
      <w:pPr>
        <w:jc w:val="both"/>
        <w:rPr>
          <w:rFonts w:ascii="Garamond" w:hAnsi="Garamond"/>
          <w:b/>
          <w:bCs/>
          <w:sz w:val="24"/>
          <w:szCs w:val="24"/>
        </w:rPr>
      </w:pPr>
    </w:p>
    <w:p w14:paraId="6B8A934D" w14:textId="77777777" w:rsidR="00DE6128" w:rsidRDefault="00DE6128" w:rsidP="00D17ECF">
      <w:pPr>
        <w:jc w:val="both"/>
        <w:rPr>
          <w:rFonts w:ascii="Garamond" w:hAnsi="Garamond"/>
          <w:b/>
          <w:bCs/>
          <w:sz w:val="24"/>
          <w:szCs w:val="24"/>
        </w:rPr>
      </w:pPr>
    </w:p>
    <w:p w14:paraId="3E41DD9E" w14:textId="77777777" w:rsidR="00DE6128" w:rsidRDefault="00DE6128" w:rsidP="00D17ECF">
      <w:pPr>
        <w:jc w:val="both"/>
        <w:rPr>
          <w:rFonts w:ascii="Garamond" w:hAnsi="Garamond"/>
          <w:b/>
          <w:bCs/>
          <w:sz w:val="24"/>
          <w:szCs w:val="24"/>
        </w:rPr>
      </w:pPr>
    </w:p>
    <w:p w14:paraId="7FDFDEEB" w14:textId="77777777" w:rsidR="00DE6128" w:rsidRDefault="00DE6128" w:rsidP="00D17ECF">
      <w:pPr>
        <w:jc w:val="both"/>
        <w:rPr>
          <w:rFonts w:ascii="Garamond" w:hAnsi="Garamond"/>
          <w:b/>
          <w:bCs/>
          <w:sz w:val="24"/>
          <w:szCs w:val="24"/>
        </w:rPr>
      </w:pPr>
    </w:p>
    <w:p w14:paraId="4A77EC7C" w14:textId="77777777" w:rsidR="00DE6128" w:rsidRDefault="00DE6128" w:rsidP="00D17ECF">
      <w:pPr>
        <w:jc w:val="both"/>
        <w:rPr>
          <w:rFonts w:ascii="Garamond" w:hAnsi="Garamond"/>
          <w:b/>
          <w:bCs/>
          <w:sz w:val="24"/>
          <w:szCs w:val="24"/>
        </w:rPr>
      </w:pPr>
    </w:p>
    <w:p w14:paraId="75B8287C" w14:textId="77777777" w:rsidR="00DE6128" w:rsidRDefault="00DE6128" w:rsidP="00D17ECF">
      <w:pPr>
        <w:jc w:val="both"/>
        <w:rPr>
          <w:rFonts w:ascii="Garamond" w:hAnsi="Garamond"/>
          <w:b/>
          <w:bCs/>
          <w:sz w:val="24"/>
          <w:szCs w:val="24"/>
        </w:rPr>
      </w:pPr>
    </w:p>
    <w:p w14:paraId="34F61C47" w14:textId="77777777" w:rsidR="00DE6128" w:rsidRDefault="00DE6128" w:rsidP="00D17ECF">
      <w:pPr>
        <w:jc w:val="both"/>
        <w:rPr>
          <w:rFonts w:ascii="Garamond" w:hAnsi="Garamond"/>
          <w:b/>
          <w:bCs/>
          <w:sz w:val="24"/>
          <w:szCs w:val="24"/>
        </w:rPr>
      </w:pPr>
    </w:p>
    <w:p w14:paraId="60A793C0" w14:textId="77777777" w:rsidR="00DE6128" w:rsidRDefault="00DE6128" w:rsidP="00D17ECF">
      <w:pPr>
        <w:jc w:val="both"/>
        <w:rPr>
          <w:rFonts w:ascii="Garamond" w:hAnsi="Garamond"/>
          <w:b/>
          <w:bCs/>
          <w:sz w:val="24"/>
          <w:szCs w:val="24"/>
        </w:rPr>
      </w:pPr>
    </w:p>
    <w:p w14:paraId="17DC234A" w14:textId="77777777" w:rsidR="00DE6128" w:rsidRDefault="00DE6128" w:rsidP="00D17ECF">
      <w:pPr>
        <w:jc w:val="both"/>
        <w:rPr>
          <w:rFonts w:ascii="Garamond" w:hAnsi="Garamond"/>
          <w:b/>
          <w:bCs/>
          <w:sz w:val="24"/>
          <w:szCs w:val="24"/>
        </w:rPr>
      </w:pPr>
    </w:p>
    <w:p w14:paraId="73428EFE" w14:textId="77777777" w:rsidR="00DE6128" w:rsidRDefault="00DE6128" w:rsidP="00D17ECF">
      <w:pPr>
        <w:jc w:val="both"/>
        <w:rPr>
          <w:rFonts w:ascii="Garamond" w:hAnsi="Garamond"/>
          <w:b/>
          <w:bCs/>
          <w:sz w:val="24"/>
          <w:szCs w:val="24"/>
        </w:rPr>
      </w:pPr>
    </w:p>
    <w:p w14:paraId="5B74A08E" w14:textId="77777777" w:rsidR="00DE6128" w:rsidRDefault="00DE6128" w:rsidP="00D17ECF">
      <w:pPr>
        <w:jc w:val="both"/>
        <w:rPr>
          <w:rFonts w:ascii="Garamond" w:hAnsi="Garamond"/>
          <w:b/>
          <w:bCs/>
          <w:sz w:val="24"/>
          <w:szCs w:val="24"/>
        </w:rPr>
      </w:pPr>
    </w:p>
    <w:p w14:paraId="24405236" w14:textId="77777777" w:rsidR="00DE6128" w:rsidRDefault="00DE6128" w:rsidP="00D17ECF">
      <w:pPr>
        <w:jc w:val="both"/>
        <w:rPr>
          <w:rFonts w:ascii="Garamond" w:hAnsi="Garamond"/>
          <w:b/>
          <w:bCs/>
          <w:sz w:val="24"/>
          <w:szCs w:val="24"/>
        </w:rPr>
      </w:pPr>
    </w:p>
    <w:p w14:paraId="42B4FD94" w14:textId="77777777" w:rsidR="00D17ECF" w:rsidRPr="00677387" w:rsidRDefault="00D17ECF" w:rsidP="00D17ECF">
      <w:pPr>
        <w:jc w:val="both"/>
        <w:rPr>
          <w:rFonts w:ascii="Garamond" w:hAnsi="Garamond"/>
          <w:b/>
          <w:bCs/>
          <w:sz w:val="24"/>
          <w:szCs w:val="24"/>
        </w:rPr>
      </w:pPr>
      <w:r w:rsidRPr="00677387">
        <w:rPr>
          <w:rFonts w:ascii="Garamond" w:hAnsi="Garamond"/>
          <w:b/>
          <w:bCs/>
          <w:sz w:val="24"/>
          <w:szCs w:val="24"/>
        </w:rPr>
        <w:lastRenderedPageBreak/>
        <w:t>References</w:t>
      </w:r>
    </w:p>
    <w:p w14:paraId="3470DF99" w14:textId="77777777" w:rsidR="00D17ECF" w:rsidRDefault="00D17ECF" w:rsidP="00D17ECF">
      <w:pPr>
        <w:jc w:val="both"/>
        <w:rPr>
          <w:rFonts w:ascii="Garamond" w:hAnsi="Garamond"/>
          <w:sz w:val="24"/>
          <w:szCs w:val="24"/>
        </w:rPr>
      </w:pPr>
      <w:proofErr w:type="spellStart"/>
      <w:r w:rsidRPr="00C614D7">
        <w:rPr>
          <w:rFonts w:ascii="Garamond" w:hAnsi="Garamond"/>
          <w:sz w:val="24"/>
          <w:szCs w:val="24"/>
        </w:rPr>
        <w:t>Abdulai</w:t>
      </w:r>
      <w:proofErr w:type="spellEnd"/>
      <w:r w:rsidRPr="00C614D7">
        <w:rPr>
          <w:rFonts w:ascii="Garamond" w:hAnsi="Garamond"/>
          <w:sz w:val="24"/>
          <w:szCs w:val="24"/>
        </w:rPr>
        <w:t>, A. G., &amp; Hulme, D. (2015). The politics of regional inequality in Ghana: State elites, donors and PRSPs. </w:t>
      </w:r>
      <w:r w:rsidRPr="00C614D7">
        <w:rPr>
          <w:rFonts w:ascii="Garamond" w:hAnsi="Garamond"/>
          <w:i/>
          <w:iCs/>
          <w:sz w:val="24"/>
          <w:szCs w:val="24"/>
        </w:rPr>
        <w:t>Development Policy Review</w:t>
      </w:r>
      <w:r w:rsidRPr="00C614D7">
        <w:rPr>
          <w:rFonts w:ascii="Garamond" w:hAnsi="Garamond"/>
          <w:sz w:val="24"/>
          <w:szCs w:val="24"/>
        </w:rPr>
        <w:t>, </w:t>
      </w:r>
      <w:r w:rsidRPr="00C614D7">
        <w:rPr>
          <w:rFonts w:ascii="Garamond" w:hAnsi="Garamond"/>
          <w:i/>
          <w:iCs/>
          <w:sz w:val="24"/>
          <w:szCs w:val="24"/>
        </w:rPr>
        <w:t>33</w:t>
      </w:r>
      <w:r w:rsidRPr="00C614D7">
        <w:rPr>
          <w:rFonts w:ascii="Garamond" w:hAnsi="Garamond"/>
          <w:sz w:val="24"/>
          <w:szCs w:val="24"/>
        </w:rPr>
        <w:t>(5), 529-553.</w:t>
      </w:r>
    </w:p>
    <w:p w14:paraId="693EB956" w14:textId="77777777" w:rsidR="00D17ECF" w:rsidRDefault="00D17ECF" w:rsidP="00D17ECF">
      <w:pPr>
        <w:jc w:val="both"/>
        <w:rPr>
          <w:rFonts w:ascii="Garamond" w:hAnsi="Garamond"/>
          <w:sz w:val="24"/>
          <w:szCs w:val="24"/>
        </w:rPr>
      </w:pPr>
      <w:r>
        <w:rPr>
          <w:rFonts w:ascii="Garamond" w:hAnsi="Garamond"/>
          <w:sz w:val="24"/>
          <w:szCs w:val="24"/>
        </w:rPr>
        <w:t xml:space="preserve">Abreu, A. J. G. (2012) </w:t>
      </w:r>
      <w:r w:rsidRPr="00CD4A0F">
        <w:rPr>
          <w:rFonts w:ascii="Garamond" w:hAnsi="Garamond"/>
          <w:sz w:val="24"/>
          <w:szCs w:val="24"/>
        </w:rPr>
        <w:t>Migration and Development in Contemporary Guinea-</w:t>
      </w:r>
      <w:proofErr w:type="spellStart"/>
      <w:r w:rsidRPr="00CD4A0F">
        <w:rPr>
          <w:rFonts w:ascii="Garamond" w:hAnsi="Garamond"/>
          <w:sz w:val="24"/>
          <w:szCs w:val="24"/>
        </w:rPr>
        <w:t>Buissa</w:t>
      </w:r>
      <w:r>
        <w:rPr>
          <w:rFonts w:ascii="Garamond" w:hAnsi="Garamond"/>
          <w:sz w:val="24"/>
          <w:szCs w:val="24"/>
        </w:rPr>
        <w:t>u</w:t>
      </w:r>
      <w:proofErr w:type="spellEnd"/>
      <w:r>
        <w:rPr>
          <w:rFonts w:ascii="Garamond" w:hAnsi="Garamond"/>
          <w:sz w:val="24"/>
          <w:szCs w:val="24"/>
        </w:rPr>
        <w:t>: A Political Economy Approach</w:t>
      </w:r>
      <w:r w:rsidRPr="00CD4A0F">
        <w:rPr>
          <w:rFonts w:ascii="Garamond" w:hAnsi="Garamond"/>
          <w:sz w:val="24"/>
          <w:szCs w:val="24"/>
        </w:rPr>
        <w:t>, PhD thesis in Economics, SOAS University of London.</w:t>
      </w:r>
    </w:p>
    <w:p w14:paraId="26590065" w14:textId="77777777" w:rsidR="00D17ECF" w:rsidRDefault="00D17ECF" w:rsidP="00D17ECF">
      <w:pPr>
        <w:jc w:val="both"/>
        <w:rPr>
          <w:rFonts w:ascii="Garamond" w:hAnsi="Garamond"/>
          <w:sz w:val="24"/>
          <w:szCs w:val="24"/>
        </w:rPr>
      </w:pPr>
      <w:proofErr w:type="spellStart"/>
      <w:r w:rsidRPr="00CD4A0F">
        <w:rPr>
          <w:rFonts w:ascii="Garamond" w:hAnsi="Garamond"/>
          <w:sz w:val="24"/>
          <w:szCs w:val="24"/>
        </w:rPr>
        <w:t>Ackah</w:t>
      </w:r>
      <w:proofErr w:type="spellEnd"/>
      <w:r w:rsidRPr="00CD4A0F">
        <w:rPr>
          <w:rFonts w:ascii="Garamond" w:hAnsi="Garamond"/>
          <w:sz w:val="24"/>
          <w:szCs w:val="24"/>
        </w:rPr>
        <w:t xml:space="preserve">, M., </w:t>
      </w:r>
      <w:proofErr w:type="spellStart"/>
      <w:r w:rsidRPr="00CD4A0F">
        <w:rPr>
          <w:rFonts w:ascii="Garamond" w:hAnsi="Garamond"/>
          <w:sz w:val="24"/>
          <w:szCs w:val="24"/>
        </w:rPr>
        <w:t>Gyamfi</w:t>
      </w:r>
      <w:proofErr w:type="spellEnd"/>
      <w:r w:rsidRPr="00CD4A0F">
        <w:rPr>
          <w:rFonts w:ascii="Garamond" w:hAnsi="Garamond"/>
          <w:sz w:val="24"/>
          <w:szCs w:val="24"/>
        </w:rPr>
        <w:t xml:space="preserve">, E. T., </w:t>
      </w:r>
      <w:proofErr w:type="spellStart"/>
      <w:r w:rsidRPr="00CD4A0F">
        <w:rPr>
          <w:rFonts w:ascii="Garamond" w:hAnsi="Garamond"/>
          <w:sz w:val="24"/>
          <w:szCs w:val="24"/>
        </w:rPr>
        <w:t>Anim</w:t>
      </w:r>
      <w:proofErr w:type="spellEnd"/>
      <w:r w:rsidRPr="00CD4A0F">
        <w:rPr>
          <w:rFonts w:ascii="Garamond" w:hAnsi="Garamond"/>
          <w:sz w:val="24"/>
          <w:szCs w:val="24"/>
        </w:rPr>
        <w:t xml:space="preserve">, A. K., </w:t>
      </w:r>
      <w:proofErr w:type="spellStart"/>
      <w:r w:rsidRPr="00CD4A0F">
        <w:rPr>
          <w:rFonts w:ascii="Garamond" w:hAnsi="Garamond"/>
          <w:sz w:val="24"/>
          <w:szCs w:val="24"/>
        </w:rPr>
        <w:t>Osei</w:t>
      </w:r>
      <w:proofErr w:type="spellEnd"/>
      <w:r w:rsidRPr="00CD4A0F">
        <w:rPr>
          <w:rFonts w:ascii="Garamond" w:hAnsi="Garamond"/>
          <w:sz w:val="24"/>
          <w:szCs w:val="24"/>
        </w:rPr>
        <w:t xml:space="preserve">, J., Hansen, J. K., &amp; </w:t>
      </w:r>
      <w:proofErr w:type="spellStart"/>
      <w:r w:rsidRPr="00CD4A0F">
        <w:rPr>
          <w:rFonts w:ascii="Garamond" w:hAnsi="Garamond"/>
          <w:sz w:val="24"/>
          <w:szCs w:val="24"/>
        </w:rPr>
        <w:t>Agyemang</w:t>
      </w:r>
      <w:proofErr w:type="spellEnd"/>
      <w:r w:rsidRPr="00CD4A0F">
        <w:rPr>
          <w:rFonts w:ascii="Garamond" w:hAnsi="Garamond"/>
          <w:sz w:val="24"/>
          <w:szCs w:val="24"/>
        </w:rPr>
        <w:t>, O. (2011). Socio-Economic profile, knowledge of hygiene and food safety practices among street-food vendors in some parts of Accra-Ghana. </w:t>
      </w:r>
      <w:r w:rsidRPr="00CD4A0F">
        <w:rPr>
          <w:rFonts w:ascii="Garamond" w:hAnsi="Garamond"/>
          <w:i/>
          <w:iCs/>
          <w:sz w:val="24"/>
          <w:szCs w:val="24"/>
        </w:rPr>
        <w:t>Internet journal of food safety</w:t>
      </w:r>
      <w:r w:rsidRPr="00CD4A0F">
        <w:rPr>
          <w:rFonts w:ascii="Garamond" w:hAnsi="Garamond"/>
          <w:sz w:val="24"/>
          <w:szCs w:val="24"/>
        </w:rPr>
        <w:t>, </w:t>
      </w:r>
      <w:r w:rsidRPr="00CD4A0F">
        <w:rPr>
          <w:rFonts w:ascii="Garamond" w:hAnsi="Garamond"/>
          <w:i/>
          <w:iCs/>
          <w:sz w:val="24"/>
          <w:szCs w:val="24"/>
        </w:rPr>
        <w:t>13</w:t>
      </w:r>
      <w:r w:rsidRPr="00CD4A0F">
        <w:rPr>
          <w:rFonts w:ascii="Garamond" w:hAnsi="Garamond"/>
          <w:sz w:val="24"/>
          <w:szCs w:val="24"/>
        </w:rPr>
        <w:t>, 191-197.</w:t>
      </w:r>
    </w:p>
    <w:p w14:paraId="3F70E89A" w14:textId="1D0EB162" w:rsidR="00D17ECF" w:rsidRDefault="00D17ECF" w:rsidP="00D17ECF">
      <w:pPr>
        <w:jc w:val="both"/>
        <w:rPr>
          <w:rFonts w:ascii="Garamond" w:hAnsi="Garamond"/>
          <w:sz w:val="24"/>
          <w:szCs w:val="24"/>
        </w:rPr>
      </w:pPr>
      <w:r w:rsidRPr="00AB3206">
        <w:rPr>
          <w:rFonts w:ascii="Garamond" w:hAnsi="Garamond"/>
          <w:sz w:val="24"/>
          <w:szCs w:val="24"/>
        </w:rPr>
        <w:t>Adelman, S., Gilligan, D. and Lehrer, K. (2008)</w:t>
      </w:r>
      <w:r>
        <w:rPr>
          <w:rFonts w:ascii="Garamond" w:hAnsi="Garamond"/>
          <w:sz w:val="24"/>
          <w:szCs w:val="24"/>
        </w:rPr>
        <w:t>.</w:t>
      </w:r>
      <w:r w:rsidRPr="00AB3206">
        <w:rPr>
          <w:rFonts w:ascii="Garamond" w:hAnsi="Garamond"/>
          <w:sz w:val="24"/>
          <w:szCs w:val="24"/>
        </w:rPr>
        <w:t xml:space="preserve"> How effective are food for education programs? A critical assessment of the evidence from developing countries (Vol. 9). </w:t>
      </w:r>
      <w:r>
        <w:rPr>
          <w:rFonts w:ascii="Garamond" w:hAnsi="Garamond"/>
          <w:sz w:val="24"/>
          <w:szCs w:val="24"/>
        </w:rPr>
        <w:t xml:space="preserve">Washington D.C.: </w:t>
      </w:r>
      <w:r w:rsidRPr="00AB3206">
        <w:rPr>
          <w:rFonts w:ascii="Garamond" w:hAnsi="Garamond"/>
          <w:sz w:val="24"/>
          <w:szCs w:val="24"/>
        </w:rPr>
        <w:t>Int</w:t>
      </w:r>
      <w:r>
        <w:rPr>
          <w:rFonts w:ascii="Garamond" w:hAnsi="Garamond"/>
          <w:sz w:val="24"/>
          <w:szCs w:val="24"/>
        </w:rPr>
        <w:t>ernationa</w:t>
      </w:r>
      <w:r w:rsidRPr="00AB3206">
        <w:rPr>
          <w:rFonts w:ascii="Garamond" w:hAnsi="Garamond"/>
          <w:sz w:val="24"/>
          <w:szCs w:val="24"/>
        </w:rPr>
        <w:t>l Food Policy Research Inst</w:t>
      </w:r>
      <w:r>
        <w:rPr>
          <w:rFonts w:ascii="Garamond" w:hAnsi="Garamond"/>
          <w:sz w:val="24"/>
          <w:szCs w:val="24"/>
        </w:rPr>
        <w:t>itute</w:t>
      </w:r>
      <w:r w:rsidRPr="00AB3206">
        <w:rPr>
          <w:rFonts w:ascii="Garamond" w:hAnsi="Garamond"/>
          <w:sz w:val="24"/>
          <w:szCs w:val="24"/>
        </w:rPr>
        <w:t>.</w:t>
      </w:r>
    </w:p>
    <w:p w14:paraId="6998217A" w14:textId="77777777" w:rsidR="00D17ECF" w:rsidRDefault="00D17ECF" w:rsidP="00D17ECF">
      <w:pPr>
        <w:jc w:val="both"/>
        <w:rPr>
          <w:rFonts w:ascii="Garamond" w:hAnsi="Garamond"/>
          <w:sz w:val="24"/>
          <w:szCs w:val="24"/>
        </w:rPr>
      </w:pPr>
      <w:proofErr w:type="spellStart"/>
      <w:r w:rsidRPr="003E1EEC">
        <w:rPr>
          <w:rFonts w:ascii="Garamond" w:hAnsi="Garamond"/>
          <w:sz w:val="24"/>
          <w:szCs w:val="24"/>
        </w:rPr>
        <w:t>Aguda</w:t>
      </w:r>
      <w:proofErr w:type="spellEnd"/>
      <w:r w:rsidRPr="003E1EEC">
        <w:rPr>
          <w:rFonts w:ascii="Garamond" w:hAnsi="Garamond"/>
          <w:sz w:val="24"/>
          <w:szCs w:val="24"/>
        </w:rPr>
        <w:t>, N. D. </w:t>
      </w:r>
      <w:r>
        <w:rPr>
          <w:rFonts w:ascii="Garamond" w:hAnsi="Garamond"/>
          <w:sz w:val="24"/>
          <w:szCs w:val="24"/>
        </w:rPr>
        <w:t>(</w:t>
      </w:r>
      <w:r w:rsidRPr="003E1EEC">
        <w:rPr>
          <w:rFonts w:ascii="Garamond" w:hAnsi="Garamond"/>
          <w:sz w:val="24"/>
          <w:szCs w:val="24"/>
        </w:rPr>
        <w:t>2009</w:t>
      </w:r>
      <w:r>
        <w:rPr>
          <w:rFonts w:ascii="Garamond" w:hAnsi="Garamond"/>
          <w:sz w:val="24"/>
          <w:szCs w:val="24"/>
        </w:rPr>
        <w:t>)</w:t>
      </w:r>
      <w:r w:rsidRPr="003E1EEC">
        <w:rPr>
          <w:rFonts w:ascii="Garamond" w:hAnsi="Garamond"/>
          <w:sz w:val="24"/>
          <w:szCs w:val="24"/>
        </w:rPr>
        <w:t>. </w:t>
      </w:r>
      <w:r w:rsidRPr="003E1EEC">
        <w:rPr>
          <w:rFonts w:ascii="Garamond" w:hAnsi="Garamond"/>
          <w:i/>
          <w:iCs/>
          <w:sz w:val="24"/>
          <w:szCs w:val="24"/>
        </w:rPr>
        <w:t>Bringing food home: A study on the changing nature of household interaction with urban food markets in Accra, Ghana</w:t>
      </w:r>
      <w:r w:rsidRPr="003E1EEC">
        <w:rPr>
          <w:rFonts w:ascii="Garamond" w:hAnsi="Garamond"/>
          <w:sz w:val="24"/>
          <w:szCs w:val="24"/>
        </w:rPr>
        <w:t>, Ontario: PhD thesis, Department of Geography, Queen's University.</w:t>
      </w:r>
    </w:p>
    <w:p w14:paraId="0C4934BE" w14:textId="77777777" w:rsidR="00D17ECF" w:rsidRDefault="00D17ECF" w:rsidP="00D17ECF">
      <w:pPr>
        <w:jc w:val="both"/>
        <w:rPr>
          <w:rFonts w:ascii="Garamond" w:hAnsi="Garamond"/>
          <w:sz w:val="24"/>
          <w:szCs w:val="24"/>
        </w:rPr>
      </w:pPr>
      <w:proofErr w:type="spellStart"/>
      <w:r w:rsidRPr="003979CC">
        <w:rPr>
          <w:rFonts w:ascii="Garamond" w:hAnsi="Garamond"/>
          <w:sz w:val="24"/>
          <w:szCs w:val="24"/>
        </w:rPr>
        <w:t>Agyire-Tettey</w:t>
      </w:r>
      <w:proofErr w:type="spellEnd"/>
      <w:r w:rsidRPr="003979CC">
        <w:rPr>
          <w:rFonts w:ascii="Garamond" w:hAnsi="Garamond"/>
          <w:sz w:val="24"/>
          <w:szCs w:val="24"/>
        </w:rPr>
        <w:t xml:space="preserve">, F., </w:t>
      </w:r>
      <w:proofErr w:type="spellStart"/>
      <w:r w:rsidRPr="003979CC">
        <w:rPr>
          <w:rFonts w:ascii="Garamond" w:hAnsi="Garamond"/>
          <w:sz w:val="24"/>
          <w:szCs w:val="24"/>
        </w:rPr>
        <w:t>Ackah</w:t>
      </w:r>
      <w:proofErr w:type="spellEnd"/>
      <w:r w:rsidRPr="003979CC">
        <w:rPr>
          <w:rFonts w:ascii="Garamond" w:hAnsi="Garamond"/>
          <w:sz w:val="24"/>
          <w:szCs w:val="24"/>
        </w:rPr>
        <w:t xml:space="preserve">, C. G., &amp; </w:t>
      </w:r>
      <w:proofErr w:type="spellStart"/>
      <w:r w:rsidRPr="003979CC">
        <w:rPr>
          <w:rFonts w:ascii="Garamond" w:hAnsi="Garamond"/>
          <w:sz w:val="24"/>
          <w:szCs w:val="24"/>
        </w:rPr>
        <w:t>Asuman</w:t>
      </w:r>
      <w:proofErr w:type="spellEnd"/>
      <w:r w:rsidRPr="003979CC">
        <w:rPr>
          <w:rFonts w:ascii="Garamond" w:hAnsi="Garamond"/>
          <w:sz w:val="24"/>
          <w:szCs w:val="24"/>
        </w:rPr>
        <w:t>, D. (2018). An Unconditional Quantile Regression Based Decomposition of Spatial Welfare Inequalities in Ghana. </w:t>
      </w:r>
      <w:r w:rsidRPr="003979CC">
        <w:rPr>
          <w:rFonts w:ascii="Garamond" w:hAnsi="Garamond"/>
          <w:i/>
          <w:iCs/>
          <w:sz w:val="24"/>
          <w:szCs w:val="24"/>
        </w:rPr>
        <w:t>The Journal of Development Studies</w:t>
      </w:r>
      <w:r w:rsidRPr="003979CC">
        <w:rPr>
          <w:rFonts w:ascii="Garamond" w:hAnsi="Garamond"/>
          <w:sz w:val="24"/>
          <w:szCs w:val="24"/>
        </w:rPr>
        <w:t>, </w:t>
      </w:r>
      <w:r w:rsidRPr="003979CC">
        <w:rPr>
          <w:rFonts w:ascii="Garamond" w:hAnsi="Garamond"/>
          <w:i/>
          <w:iCs/>
          <w:sz w:val="24"/>
          <w:szCs w:val="24"/>
        </w:rPr>
        <w:t>54</w:t>
      </w:r>
      <w:r w:rsidRPr="003979CC">
        <w:rPr>
          <w:rFonts w:ascii="Garamond" w:hAnsi="Garamond"/>
          <w:sz w:val="24"/>
          <w:szCs w:val="24"/>
        </w:rPr>
        <w:t>(3), 537-556.</w:t>
      </w:r>
    </w:p>
    <w:p w14:paraId="6F791451" w14:textId="77777777" w:rsidR="00D17ECF" w:rsidRDefault="00D17ECF" w:rsidP="00D17ECF">
      <w:pPr>
        <w:jc w:val="both"/>
        <w:rPr>
          <w:rFonts w:ascii="Garamond" w:hAnsi="Garamond"/>
          <w:sz w:val="24"/>
          <w:szCs w:val="24"/>
        </w:rPr>
      </w:pPr>
      <w:proofErr w:type="spellStart"/>
      <w:r w:rsidRPr="00F378F6">
        <w:rPr>
          <w:rFonts w:ascii="Garamond" w:hAnsi="Garamond"/>
          <w:sz w:val="24"/>
          <w:szCs w:val="24"/>
        </w:rPr>
        <w:t>Amanor</w:t>
      </w:r>
      <w:proofErr w:type="spellEnd"/>
      <w:r w:rsidRPr="00F378F6">
        <w:rPr>
          <w:rFonts w:ascii="Garamond" w:hAnsi="Garamond"/>
          <w:sz w:val="24"/>
          <w:szCs w:val="24"/>
        </w:rPr>
        <w:t>, K. S. (2015). Rising powers and rice in Ghana: China, Brazil and African agricultural development. Working Paper,</w:t>
      </w:r>
      <w:r>
        <w:rPr>
          <w:rFonts w:ascii="Garamond" w:hAnsi="Garamond"/>
          <w:i/>
          <w:iCs/>
          <w:sz w:val="24"/>
          <w:szCs w:val="24"/>
        </w:rPr>
        <w:t xml:space="preserve"> </w:t>
      </w:r>
      <w:r w:rsidRPr="00F378F6">
        <w:rPr>
          <w:rFonts w:ascii="Garamond" w:hAnsi="Garamond"/>
          <w:i/>
          <w:iCs/>
          <w:sz w:val="24"/>
          <w:szCs w:val="24"/>
        </w:rPr>
        <w:t>Future Agricultures</w:t>
      </w:r>
      <w:r w:rsidRPr="00F378F6">
        <w:rPr>
          <w:rFonts w:ascii="Garamond" w:hAnsi="Garamond"/>
          <w:sz w:val="24"/>
          <w:szCs w:val="24"/>
        </w:rPr>
        <w:t>, (123).</w:t>
      </w:r>
    </w:p>
    <w:p w14:paraId="130D6994" w14:textId="77777777" w:rsidR="00D17ECF" w:rsidRDefault="00D17ECF" w:rsidP="00D17ECF">
      <w:pPr>
        <w:jc w:val="both"/>
        <w:rPr>
          <w:rFonts w:ascii="Garamond" w:hAnsi="Garamond"/>
          <w:sz w:val="24"/>
          <w:szCs w:val="24"/>
        </w:rPr>
      </w:pPr>
      <w:proofErr w:type="spellStart"/>
      <w:r w:rsidRPr="00D047D1">
        <w:rPr>
          <w:rFonts w:ascii="Garamond" w:hAnsi="Garamond"/>
          <w:sz w:val="24"/>
          <w:szCs w:val="24"/>
        </w:rPr>
        <w:t>Amanor</w:t>
      </w:r>
      <w:proofErr w:type="spellEnd"/>
      <w:r w:rsidRPr="00D047D1">
        <w:rPr>
          <w:rFonts w:ascii="Garamond" w:hAnsi="Garamond"/>
          <w:sz w:val="24"/>
          <w:szCs w:val="24"/>
        </w:rPr>
        <w:t xml:space="preserve">, K. S., &amp; </w:t>
      </w:r>
      <w:proofErr w:type="spellStart"/>
      <w:r w:rsidRPr="00D047D1">
        <w:rPr>
          <w:rFonts w:ascii="Garamond" w:hAnsi="Garamond"/>
          <w:sz w:val="24"/>
          <w:szCs w:val="24"/>
        </w:rPr>
        <w:t>Chichava</w:t>
      </w:r>
      <w:proofErr w:type="spellEnd"/>
      <w:r w:rsidRPr="00D047D1">
        <w:rPr>
          <w:rFonts w:ascii="Garamond" w:hAnsi="Garamond"/>
          <w:sz w:val="24"/>
          <w:szCs w:val="24"/>
        </w:rPr>
        <w:t>, S. (2016). South–south cooperation, agribusiness, and African agricultural development: Brazil and China in Ghana and Mozambique. </w:t>
      </w:r>
      <w:r w:rsidRPr="00D047D1">
        <w:rPr>
          <w:rFonts w:ascii="Garamond" w:hAnsi="Garamond"/>
          <w:i/>
          <w:iCs/>
          <w:sz w:val="24"/>
          <w:szCs w:val="24"/>
        </w:rPr>
        <w:t>World Development</w:t>
      </w:r>
      <w:r w:rsidRPr="00D047D1">
        <w:rPr>
          <w:rFonts w:ascii="Garamond" w:hAnsi="Garamond"/>
          <w:sz w:val="24"/>
          <w:szCs w:val="24"/>
        </w:rPr>
        <w:t>, </w:t>
      </w:r>
      <w:r w:rsidRPr="00D047D1">
        <w:rPr>
          <w:rFonts w:ascii="Garamond" w:hAnsi="Garamond"/>
          <w:i/>
          <w:iCs/>
          <w:sz w:val="24"/>
          <w:szCs w:val="24"/>
        </w:rPr>
        <w:t>81</w:t>
      </w:r>
      <w:r w:rsidRPr="00D047D1">
        <w:rPr>
          <w:rFonts w:ascii="Garamond" w:hAnsi="Garamond"/>
          <w:sz w:val="24"/>
          <w:szCs w:val="24"/>
        </w:rPr>
        <w:t>, 13-23.</w:t>
      </w:r>
    </w:p>
    <w:p w14:paraId="049819E0" w14:textId="77777777" w:rsidR="00D17ECF" w:rsidRPr="00F378F6" w:rsidRDefault="00D17ECF" w:rsidP="00D17ECF">
      <w:pPr>
        <w:jc w:val="both"/>
        <w:rPr>
          <w:rFonts w:ascii="Garamond" w:hAnsi="Garamond"/>
          <w:sz w:val="24"/>
          <w:szCs w:val="24"/>
        </w:rPr>
      </w:pPr>
      <w:proofErr w:type="spellStart"/>
      <w:r w:rsidRPr="00C614D7">
        <w:rPr>
          <w:rFonts w:ascii="Garamond" w:hAnsi="Garamond"/>
          <w:sz w:val="24"/>
          <w:szCs w:val="24"/>
        </w:rPr>
        <w:t>Annim</w:t>
      </w:r>
      <w:proofErr w:type="spellEnd"/>
      <w:r w:rsidRPr="00C614D7">
        <w:rPr>
          <w:rFonts w:ascii="Garamond" w:hAnsi="Garamond"/>
          <w:sz w:val="24"/>
          <w:szCs w:val="24"/>
        </w:rPr>
        <w:t xml:space="preserve">, S. K., </w:t>
      </w:r>
      <w:proofErr w:type="spellStart"/>
      <w:r w:rsidRPr="00C614D7">
        <w:rPr>
          <w:rFonts w:ascii="Garamond" w:hAnsi="Garamond"/>
          <w:sz w:val="24"/>
          <w:szCs w:val="24"/>
        </w:rPr>
        <w:t>Mariwah</w:t>
      </w:r>
      <w:proofErr w:type="spellEnd"/>
      <w:r w:rsidRPr="00C614D7">
        <w:rPr>
          <w:rFonts w:ascii="Garamond" w:hAnsi="Garamond"/>
          <w:sz w:val="24"/>
          <w:szCs w:val="24"/>
        </w:rPr>
        <w:t xml:space="preserve">, S., &amp; </w:t>
      </w:r>
      <w:proofErr w:type="spellStart"/>
      <w:r w:rsidRPr="00C614D7">
        <w:rPr>
          <w:rFonts w:ascii="Garamond" w:hAnsi="Garamond"/>
          <w:sz w:val="24"/>
          <w:szCs w:val="24"/>
        </w:rPr>
        <w:t>Sebu</w:t>
      </w:r>
      <w:proofErr w:type="spellEnd"/>
      <w:r w:rsidRPr="00C614D7">
        <w:rPr>
          <w:rFonts w:ascii="Garamond" w:hAnsi="Garamond"/>
          <w:sz w:val="24"/>
          <w:szCs w:val="24"/>
        </w:rPr>
        <w:t>, J. (2012). Spatial inequality and household poverty in Ghana. </w:t>
      </w:r>
      <w:r w:rsidRPr="00C614D7">
        <w:rPr>
          <w:rFonts w:ascii="Garamond" w:hAnsi="Garamond"/>
          <w:i/>
          <w:iCs/>
          <w:sz w:val="24"/>
          <w:szCs w:val="24"/>
        </w:rPr>
        <w:t>Economic Systems</w:t>
      </w:r>
      <w:r w:rsidRPr="00C614D7">
        <w:rPr>
          <w:rFonts w:ascii="Garamond" w:hAnsi="Garamond"/>
          <w:sz w:val="24"/>
          <w:szCs w:val="24"/>
        </w:rPr>
        <w:t>, </w:t>
      </w:r>
      <w:r w:rsidRPr="00C614D7">
        <w:rPr>
          <w:rFonts w:ascii="Garamond" w:hAnsi="Garamond"/>
          <w:i/>
          <w:iCs/>
          <w:sz w:val="24"/>
          <w:szCs w:val="24"/>
        </w:rPr>
        <w:t>36</w:t>
      </w:r>
      <w:r w:rsidRPr="00C614D7">
        <w:rPr>
          <w:rFonts w:ascii="Garamond" w:hAnsi="Garamond"/>
          <w:sz w:val="24"/>
          <w:szCs w:val="24"/>
        </w:rPr>
        <w:t>(4), 487-505.</w:t>
      </w:r>
    </w:p>
    <w:p w14:paraId="5A256850" w14:textId="77777777" w:rsidR="00D17ECF" w:rsidRDefault="00D17ECF" w:rsidP="00D17ECF">
      <w:pPr>
        <w:jc w:val="both"/>
        <w:rPr>
          <w:rFonts w:ascii="Garamond" w:hAnsi="Garamond"/>
          <w:sz w:val="24"/>
          <w:szCs w:val="24"/>
        </w:rPr>
      </w:pPr>
      <w:proofErr w:type="spellStart"/>
      <w:r w:rsidRPr="00F378F6">
        <w:rPr>
          <w:rFonts w:ascii="Garamond" w:hAnsi="Garamond"/>
          <w:sz w:val="24"/>
          <w:szCs w:val="24"/>
        </w:rPr>
        <w:t>Arimond</w:t>
      </w:r>
      <w:proofErr w:type="spellEnd"/>
      <w:r w:rsidRPr="00F378F6">
        <w:rPr>
          <w:rFonts w:ascii="Garamond" w:hAnsi="Garamond"/>
          <w:sz w:val="24"/>
          <w:szCs w:val="24"/>
        </w:rPr>
        <w:t xml:space="preserve">, M., </w:t>
      </w:r>
      <w:proofErr w:type="spellStart"/>
      <w:r w:rsidRPr="00F378F6">
        <w:rPr>
          <w:rFonts w:ascii="Garamond" w:hAnsi="Garamond"/>
          <w:sz w:val="24"/>
          <w:szCs w:val="24"/>
        </w:rPr>
        <w:t>Wiesmann</w:t>
      </w:r>
      <w:proofErr w:type="spellEnd"/>
      <w:r w:rsidRPr="00F378F6">
        <w:rPr>
          <w:rFonts w:ascii="Garamond" w:hAnsi="Garamond"/>
          <w:sz w:val="24"/>
          <w:szCs w:val="24"/>
        </w:rPr>
        <w:t xml:space="preserve">, D., </w:t>
      </w:r>
      <w:proofErr w:type="spellStart"/>
      <w:r w:rsidRPr="00F378F6">
        <w:rPr>
          <w:rFonts w:ascii="Garamond" w:hAnsi="Garamond"/>
          <w:sz w:val="24"/>
          <w:szCs w:val="24"/>
        </w:rPr>
        <w:t>Becquey</w:t>
      </w:r>
      <w:proofErr w:type="spellEnd"/>
      <w:r w:rsidRPr="00F378F6">
        <w:rPr>
          <w:rFonts w:ascii="Garamond" w:hAnsi="Garamond"/>
          <w:sz w:val="24"/>
          <w:szCs w:val="24"/>
        </w:rPr>
        <w:t xml:space="preserve">, E., </w:t>
      </w:r>
      <w:proofErr w:type="spellStart"/>
      <w:r w:rsidRPr="00F378F6">
        <w:rPr>
          <w:rFonts w:ascii="Garamond" w:hAnsi="Garamond"/>
          <w:sz w:val="24"/>
          <w:szCs w:val="24"/>
        </w:rPr>
        <w:t>Carriquiry</w:t>
      </w:r>
      <w:proofErr w:type="spellEnd"/>
      <w:r w:rsidRPr="00F378F6">
        <w:rPr>
          <w:rFonts w:ascii="Garamond" w:hAnsi="Garamond"/>
          <w:sz w:val="24"/>
          <w:szCs w:val="24"/>
        </w:rPr>
        <w:t xml:space="preserve">, A., Daniels, M.C., </w:t>
      </w:r>
      <w:proofErr w:type="spellStart"/>
      <w:r w:rsidRPr="00F378F6">
        <w:rPr>
          <w:rFonts w:ascii="Garamond" w:hAnsi="Garamond"/>
          <w:sz w:val="24"/>
          <w:szCs w:val="24"/>
        </w:rPr>
        <w:t>Deitchler</w:t>
      </w:r>
      <w:proofErr w:type="spellEnd"/>
      <w:r w:rsidRPr="00F378F6">
        <w:rPr>
          <w:rFonts w:ascii="Garamond" w:hAnsi="Garamond"/>
          <w:sz w:val="24"/>
          <w:szCs w:val="24"/>
        </w:rPr>
        <w:t xml:space="preserve">, M., </w:t>
      </w:r>
      <w:proofErr w:type="spellStart"/>
      <w:r w:rsidRPr="00F378F6">
        <w:rPr>
          <w:rFonts w:ascii="Garamond" w:hAnsi="Garamond"/>
          <w:sz w:val="24"/>
          <w:szCs w:val="24"/>
        </w:rPr>
        <w:t>Fanou-Fogny</w:t>
      </w:r>
      <w:proofErr w:type="spellEnd"/>
      <w:r w:rsidRPr="00F378F6">
        <w:rPr>
          <w:rFonts w:ascii="Garamond" w:hAnsi="Garamond"/>
          <w:sz w:val="24"/>
          <w:szCs w:val="24"/>
        </w:rPr>
        <w:t>, N., Joseph, M.L., Kennedy, G., Martin-</w:t>
      </w:r>
      <w:proofErr w:type="spellStart"/>
      <w:r w:rsidRPr="00F378F6">
        <w:rPr>
          <w:rFonts w:ascii="Garamond" w:hAnsi="Garamond"/>
          <w:sz w:val="24"/>
          <w:szCs w:val="24"/>
        </w:rPr>
        <w:t>Prevel</w:t>
      </w:r>
      <w:proofErr w:type="spellEnd"/>
      <w:r w:rsidRPr="00F378F6">
        <w:rPr>
          <w:rFonts w:ascii="Garamond" w:hAnsi="Garamond"/>
          <w:sz w:val="24"/>
          <w:szCs w:val="24"/>
        </w:rPr>
        <w:t xml:space="preserve">, Y. and </w:t>
      </w:r>
      <w:proofErr w:type="spellStart"/>
      <w:r w:rsidRPr="00F378F6">
        <w:rPr>
          <w:rFonts w:ascii="Garamond" w:hAnsi="Garamond"/>
          <w:sz w:val="24"/>
          <w:szCs w:val="24"/>
        </w:rPr>
        <w:t>Torheim</w:t>
      </w:r>
      <w:proofErr w:type="spellEnd"/>
      <w:r w:rsidRPr="00F378F6">
        <w:rPr>
          <w:rFonts w:ascii="Garamond" w:hAnsi="Garamond"/>
          <w:sz w:val="24"/>
          <w:szCs w:val="24"/>
        </w:rPr>
        <w:t>, L.E. (2010). Simple food group diversity indicators predict micronutrient adequacy of women’s diets in 5 diverse, resource-poor settings. </w:t>
      </w:r>
      <w:r w:rsidRPr="00F378F6">
        <w:rPr>
          <w:rFonts w:ascii="Garamond" w:hAnsi="Garamond"/>
          <w:i/>
          <w:iCs/>
          <w:sz w:val="24"/>
          <w:szCs w:val="24"/>
        </w:rPr>
        <w:t>The Journal of Nutrition</w:t>
      </w:r>
      <w:r w:rsidRPr="00F378F6">
        <w:rPr>
          <w:rFonts w:ascii="Garamond" w:hAnsi="Garamond"/>
          <w:sz w:val="24"/>
          <w:szCs w:val="24"/>
        </w:rPr>
        <w:t>, 140(11), 2059S-2069S.</w:t>
      </w:r>
    </w:p>
    <w:p w14:paraId="681F98E8" w14:textId="77777777" w:rsidR="00D17ECF" w:rsidRPr="00330FA2" w:rsidRDefault="00D17ECF" w:rsidP="00D17ECF">
      <w:pPr>
        <w:jc w:val="both"/>
        <w:rPr>
          <w:rFonts w:ascii="Garamond" w:hAnsi="Garamond"/>
          <w:sz w:val="24"/>
          <w:szCs w:val="24"/>
        </w:rPr>
      </w:pPr>
      <w:proofErr w:type="spellStart"/>
      <w:r w:rsidRPr="00ED7D1B">
        <w:rPr>
          <w:rFonts w:ascii="Garamond" w:hAnsi="Garamond"/>
          <w:sz w:val="24"/>
          <w:szCs w:val="24"/>
        </w:rPr>
        <w:t>Arku</w:t>
      </w:r>
      <w:proofErr w:type="spellEnd"/>
      <w:r w:rsidRPr="00ED7D1B">
        <w:rPr>
          <w:rFonts w:ascii="Garamond" w:hAnsi="Garamond"/>
          <w:sz w:val="24"/>
          <w:szCs w:val="24"/>
        </w:rPr>
        <w:t xml:space="preserve">, G., </w:t>
      </w:r>
      <w:proofErr w:type="spellStart"/>
      <w:r w:rsidRPr="00ED7D1B">
        <w:rPr>
          <w:rFonts w:ascii="Garamond" w:hAnsi="Garamond"/>
          <w:sz w:val="24"/>
          <w:szCs w:val="24"/>
        </w:rPr>
        <w:t>Luginaah</w:t>
      </w:r>
      <w:proofErr w:type="spellEnd"/>
      <w:r w:rsidRPr="00ED7D1B">
        <w:rPr>
          <w:rFonts w:ascii="Garamond" w:hAnsi="Garamond"/>
          <w:sz w:val="24"/>
          <w:szCs w:val="24"/>
        </w:rPr>
        <w:t xml:space="preserve">, I., &amp; </w:t>
      </w:r>
      <w:proofErr w:type="spellStart"/>
      <w:r w:rsidRPr="00ED7D1B">
        <w:rPr>
          <w:rFonts w:ascii="Garamond" w:hAnsi="Garamond"/>
          <w:sz w:val="24"/>
          <w:szCs w:val="24"/>
        </w:rPr>
        <w:t>Mkandawire</w:t>
      </w:r>
      <w:proofErr w:type="spellEnd"/>
      <w:r w:rsidRPr="00ED7D1B">
        <w:rPr>
          <w:rFonts w:ascii="Garamond" w:hAnsi="Garamond"/>
          <w:sz w:val="24"/>
          <w:szCs w:val="24"/>
        </w:rPr>
        <w:t>, P. (2012). “You Either Pay More Advance Rent or You Move Out”: Landlords/Ladies’ and Tenants’ Dilemmas in the Low-income Housing Market in Accra, Ghana. </w:t>
      </w:r>
      <w:r w:rsidRPr="00ED7D1B">
        <w:rPr>
          <w:rFonts w:ascii="Garamond" w:hAnsi="Garamond"/>
          <w:i/>
          <w:iCs/>
          <w:sz w:val="24"/>
          <w:szCs w:val="24"/>
        </w:rPr>
        <w:t>Urban Studies</w:t>
      </w:r>
      <w:r w:rsidRPr="00ED7D1B">
        <w:rPr>
          <w:rFonts w:ascii="Garamond" w:hAnsi="Garamond"/>
          <w:sz w:val="24"/>
          <w:szCs w:val="24"/>
        </w:rPr>
        <w:t>, </w:t>
      </w:r>
      <w:r w:rsidRPr="00ED7D1B">
        <w:rPr>
          <w:rFonts w:ascii="Garamond" w:hAnsi="Garamond"/>
          <w:i/>
          <w:iCs/>
          <w:sz w:val="24"/>
          <w:szCs w:val="24"/>
        </w:rPr>
        <w:t>49</w:t>
      </w:r>
      <w:r w:rsidRPr="00ED7D1B">
        <w:rPr>
          <w:rFonts w:ascii="Garamond" w:hAnsi="Garamond"/>
          <w:sz w:val="24"/>
          <w:szCs w:val="24"/>
        </w:rPr>
        <w:t>(14), 3177-3193.</w:t>
      </w:r>
    </w:p>
    <w:p w14:paraId="1F39DFF0" w14:textId="77777777" w:rsidR="00D17ECF" w:rsidRDefault="00D17ECF" w:rsidP="00D17ECF">
      <w:pPr>
        <w:jc w:val="both"/>
        <w:rPr>
          <w:rFonts w:ascii="Garamond" w:hAnsi="Garamond"/>
          <w:sz w:val="24"/>
          <w:szCs w:val="24"/>
        </w:rPr>
      </w:pPr>
      <w:r>
        <w:rPr>
          <w:rFonts w:ascii="Garamond" w:hAnsi="Garamond"/>
          <w:sz w:val="24"/>
          <w:szCs w:val="24"/>
        </w:rPr>
        <w:t>Cooke, E., Hague, S. and McKay, A. (2016). The Ghana poverty and inequality report: Using the 6</w:t>
      </w:r>
      <w:r w:rsidRPr="00CB0A76">
        <w:rPr>
          <w:rFonts w:ascii="Garamond" w:hAnsi="Garamond"/>
          <w:sz w:val="24"/>
          <w:szCs w:val="24"/>
          <w:vertAlign w:val="superscript"/>
        </w:rPr>
        <w:t>th</w:t>
      </w:r>
      <w:r>
        <w:rPr>
          <w:rFonts w:ascii="Garamond" w:hAnsi="Garamond"/>
          <w:sz w:val="24"/>
          <w:szCs w:val="24"/>
        </w:rPr>
        <w:t xml:space="preserve"> Ghana Living Standards Survey. March 2016.</w:t>
      </w:r>
    </w:p>
    <w:p w14:paraId="0A50C3FF" w14:textId="77777777" w:rsidR="00D17ECF" w:rsidRDefault="00D17ECF" w:rsidP="00D17ECF">
      <w:pPr>
        <w:jc w:val="both"/>
        <w:rPr>
          <w:rFonts w:ascii="Garamond" w:hAnsi="Garamond"/>
          <w:sz w:val="24"/>
          <w:szCs w:val="24"/>
        </w:rPr>
      </w:pPr>
      <w:proofErr w:type="spellStart"/>
      <w:r w:rsidRPr="0049177E">
        <w:rPr>
          <w:rFonts w:ascii="Garamond" w:hAnsi="Garamond"/>
          <w:sz w:val="24"/>
          <w:szCs w:val="24"/>
        </w:rPr>
        <w:t>Cudjoe</w:t>
      </w:r>
      <w:proofErr w:type="spellEnd"/>
      <w:r w:rsidRPr="0049177E">
        <w:rPr>
          <w:rFonts w:ascii="Garamond" w:hAnsi="Garamond"/>
          <w:sz w:val="24"/>
          <w:szCs w:val="24"/>
        </w:rPr>
        <w:t xml:space="preserve">, G., </w:t>
      </w:r>
      <w:proofErr w:type="spellStart"/>
      <w:r w:rsidRPr="0049177E">
        <w:rPr>
          <w:rFonts w:ascii="Garamond" w:hAnsi="Garamond"/>
          <w:sz w:val="24"/>
          <w:szCs w:val="24"/>
        </w:rPr>
        <w:t>Breisinger</w:t>
      </w:r>
      <w:proofErr w:type="spellEnd"/>
      <w:r w:rsidRPr="0049177E">
        <w:rPr>
          <w:rFonts w:ascii="Garamond" w:hAnsi="Garamond"/>
          <w:sz w:val="24"/>
          <w:szCs w:val="24"/>
        </w:rPr>
        <w:t xml:space="preserve">, C., &amp; </w:t>
      </w:r>
      <w:proofErr w:type="spellStart"/>
      <w:r w:rsidRPr="0049177E">
        <w:rPr>
          <w:rFonts w:ascii="Garamond" w:hAnsi="Garamond"/>
          <w:sz w:val="24"/>
          <w:szCs w:val="24"/>
        </w:rPr>
        <w:t>Diao</w:t>
      </w:r>
      <w:proofErr w:type="spellEnd"/>
      <w:r w:rsidRPr="0049177E">
        <w:rPr>
          <w:rFonts w:ascii="Garamond" w:hAnsi="Garamond"/>
          <w:sz w:val="24"/>
          <w:szCs w:val="24"/>
        </w:rPr>
        <w:t>, X. (2010). Local impacts of a global crisis: Food price transmission, consumer welfare and poverty in Ghana. </w:t>
      </w:r>
      <w:r w:rsidRPr="0049177E">
        <w:rPr>
          <w:rFonts w:ascii="Garamond" w:hAnsi="Garamond"/>
          <w:i/>
          <w:iCs/>
          <w:sz w:val="24"/>
          <w:szCs w:val="24"/>
        </w:rPr>
        <w:t>Food Policy</w:t>
      </w:r>
      <w:r w:rsidRPr="0049177E">
        <w:rPr>
          <w:rFonts w:ascii="Garamond" w:hAnsi="Garamond"/>
          <w:sz w:val="24"/>
          <w:szCs w:val="24"/>
        </w:rPr>
        <w:t>, 35(4), 294-302.</w:t>
      </w:r>
    </w:p>
    <w:p w14:paraId="577BBDE4" w14:textId="77777777" w:rsidR="00D17ECF" w:rsidRDefault="00D17ECF" w:rsidP="00D17ECF">
      <w:pPr>
        <w:jc w:val="both"/>
        <w:rPr>
          <w:rFonts w:ascii="Garamond" w:hAnsi="Garamond"/>
          <w:sz w:val="24"/>
          <w:szCs w:val="24"/>
        </w:rPr>
      </w:pPr>
      <w:r>
        <w:rPr>
          <w:rFonts w:ascii="Garamond" w:hAnsi="Garamond"/>
          <w:sz w:val="24"/>
          <w:szCs w:val="24"/>
        </w:rPr>
        <w:t xml:space="preserve">DHS (2014). Demographic and Health Survey 2014. Ghana, </w:t>
      </w:r>
      <w:r w:rsidRPr="00E4299C">
        <w:rPr>
          <w:rFonts w:ascii="Garamond" w:hAnsi="Garamond"/>
          <w:sz w:val="24"/>
          <w:szCs w:val="24"/>
        </w:rPr>
        <w:t>Ghana Statistical Service (GSS), Ghana Health Service (GHS), and ICF International. 2015. Rockville, Maryland, USA: GSS, GHS, and ICF International.</w:t>
      </w:r>
    </w:p>
    <w:p w14:paraId="4130ACC5" w14:textId="77777777" w:rsidR="00D17ECF" w:rsidRDefault="00D17ECF" w:rsidP="00D17ECF">
      <w:pPr>
        <w:jc w:val="both"/>
        <w:rPr>
          <w:rFonts w:ascii="Garamond" w:hAnsi="Garamond"/>
          <w:sz w:val="24"/>
          <w:szCs w:val="24"/>
        </w:rPr>
      </w:pPr>
      <w:proofErr w:type="spellStart"/>
      <w:r>
        <w:rPr>
          <w:rFonts w:ascii="Garamond" w:hAnsi="Garamond"/>
          <w:sz w:val="24"/>
          <w:szCs w:val="24"/>
        </w:rPr>
        <w:t>Euromonitor</w:t>
      </w:r>
      <w:proofErr w:type="spellEnd"/>
      <w:r>
        <w:rPr>
          <w:rFonts w:ascii="Garamond" w:hAnsi="Garamond"/>
          <w:sz w:val="24"/>
          <w:szCs w:val="24"/>
        </w:rPr>
        <w:t xml:space="preserve"> International (2019). Passport database, accessed in June 2019.</w:t>
      </w:r>
    </w:p>
    <w:p w14:paraId="0360CC59" w14:textId="77777777" w:rsidR="00D17ECF" w:rsidRDefault="00D17ECF" w:rsidP="00D17ECF">
      <w:pPr>
        <w:jc w:val="both"/>
        <w:rPr>
          <w:rFonts w:ascii="Garamond" w:hAnsi="Garamond"/>
          <w:sz w:val="24"/>
          <w:szCs w:val="24"/>
        </w:rPr>
      </w:pPr>
      <w:r>
        <w:rPr>
          <w:rFonts w:ascii="Garamond" w:hAnsi="Garamond"/>
          <w:sz w:val="24"/>
          <w:szCs w:val="24"/>
        </w:rPr>
        <w:lastRenderedPageBreak/>
        <w:t>FAO (2010). Guidelines for Measuring Individual and Household Dietary Diversity, Rome: Food and Agriculture Organisation.</w:t>
      </w:r>
    </w:p>
    <w:p w14:paraId="338C3073" w14:textId="77777777" w:rsidR="00D17ECF" w:rsidRPr="00F378F6" w:rsidRDefault="00D17ECF" w:rsidP="00D17ECF">
      <w:pPr>
        <w:jc w:val="both"/>
        <w:rPr>
          <w:rFonts w:ascii="Garamond" w:hAnsi="Garamond"/>
          <w:sz w:val="24"/>
          <w:szCs w:val="24"/>
        </w:rPr>
      </w:pPr>
      <w:r>
        <w:rPr>
          <w:rFonts w:ascii="Garamond" w:hAnsi="Garamond"/>
          <w:sz w:val="24"/>
          <w:szCs w:val="24"/>
        </w:rPr>
        <w:t xml:space="preserve">FAO (2015). </w:t>
      </w:r>
      <w:r w:rsidRPr="00677387">
        <w:rPr>
          <w:rFonts w:ascii="Garamond" w:hAnsi="Garamond"/>
          <w:sz w:val="24"/>
          <w:szCs w:val="24"/>
        </w:rPr>
        <w:t>The State of Agricultural Commodity Markets</w:t>
      </w:r>
      <w:r>
        <w:rPr>
          <w:rFonts w:ascii="Garamond" w:hAnsi="Garamond"/>
          <w:sz w:val="24"/>
          <w:szCs w:val="24"/>
        </w:rPr>
        <w:t>.</w:t>
      </w:r>
      <w:r w:rsidRPr="00677387">
        <w:rPr>
          <w:rFonts w:ascii="Garamond" w:hAnsi="Garamond"/>
          <w:sz w:val="24"/>
          <w:szCs w:val="24"/>
        </w:rPr>
        <w:t xml:space="preserve"> Trade and food security: achieving a better balance between national priorities and the collective good</w:t>
      </w:r>
      <w:r>
        <w:rPr>
          <w:rFonts w:ascii="Garamond" w:hAnsi="Garamond"/>
          <w:sz w:val="24"/>
          <w:szCs w:val="24"/>
        </w:rPr>
        <w:t>, Rome: Food and Agriculture Organisation.</w:t>
      </w:r>
    </w:p>
    <w:p w14:paraId="242B7582" w14:textId="77777777" w:rsidR="00D17ECF" w:rsidRDefault="00D17ECF" w:rsidP="00D17ECF">
      <w:pPr>
        <w:jc w:val="both"/>
        <w:rPr>
          <w:rFonts w:ascii="Garamond" w:hAnsi="Garamond"/>
          <w:sz w:val="24"/>
          <w:szCs w:val="24"/>
        </w:rPr>
      </w:pPr>
      <w:r w:rsidRPr="00F378F6">
        <w:rPr>
          <w:rFonts w:ascii="Garamond" w:hAnsi="Garamond"/>
          <w:sz w:val="24"/>
          <w:szCs w:val="24"/>
        </w:rPr>
        <w:t>FAO (2016)</w:t>
      </w:r>
      <w:r>
        <w:rPr>
          <w:rFonts w:ascii="Garamond" w:hAnsi="Garamond"/>
          <w:sz w:val="24"/>
          <w:szCs w:val="24"/>
        </w:rPr>
        <w:t>.</w:t>
      </w:r>
      <w:r w:rsidRPr="00F378F6">
        <w:rPr>
          <w:rFonts w:ascii="Garamond" w:hAnsi="Garamond"/>
          <w:sz w:val="24"/>
          <w:szCs w:val="24"/>
        </w:rPr>
        <w:t xml:space="preserve"> Street Food in Urban Ghana. A desktop review and analysis of findings and recommendations from existing literature. Accra: Food and Agriculture Organisation. </w:t>
      </w:r>
    </w:p>
    <w:p w14:paraId="3247CBE0" w14:textId="77777777" w:rsidR="00D17ECF" w:rsidRDefault="00D17ECF" w:rsidP="00D17ECF">
      <w:pPr>
        <w:jc w:val="both"/>
        <w:rPr>
          <w:rFonts w:ascii="Garamond" w:hAnsi="Garamond"/>
          <w:sz w:val="24"/>
          <w:szCs w:val="24"/>
        </w:rPr>
      </w:pPr>
      <w:proofErr w:type="spellStart"/>
      <w:r w:rsidRPr="006868DC">
        <w:rPr>
          <w:rFonts w:ascii="Garamond" w:hAnsi="Garamond"/>
          <w:sz w:val="24"/>
          <w:szCs w:val="24"/>
        </w:rPr>
        <w:t>Farfan</w:t>
      </w:r>
      <w:proofErr w:type="spellEnd"/>
      <w:r w:rsidRPr="006868DC">
        <w:rPr>
          <w:rFonts w:ascii="Garamond" w:hAnsi="Garamond"/>
          <w:sz w:val="24"/>
          <w:szCs w:val="24"/>
        </w:rPr>
        <w:t xml:space="preserve">, G., </w:t>
      </w:r>
      <w:proofErr w:type="spellStart"/>
      <w:r w:rsidRPr="006868DC">
        <w:rPr>
          <w:rFonts w:ascii="Garamond" w:hAnsi="Garamond"/>
          <w:sz w:val="24"/>
          <w:szCs w:val="24"/>
        </w:rPr>
        <w:t>Genoni</w:t>
      </w:r>
      <w:proofErr w:type="spellEnd"/>
      <w:r w:rsidRPr="006868DC">
        <w:rPr>
          <w:rFonts w:ascii="Garamond" w:hAnsi="Garamond"/>
          <w:sz w:val="24"/>
          <w:szCs w:val="24"/>
        </w:rPr>
        <w:t xml:space="preserve">, M. E., &amp; </w:t>
      </w:r>
      <w:proofErr w:type="spellStart"/>
      <w:r w:rsidRPr="006868DC">
        <w:rPr>
          <w:rFonts w:ascii="Garamond" w:hAnsi="Garamond"/>
          <w:sz w:val="24"/>
          <w:szCs w:val="24"/>
        </w:rPr>
        <w:t>Vakis</w:t>
      </w:r>
      <w:proofErr w:type="spellEnd"/>
      <w:r w:rsidRPr="006868DC">
        <w:rPr>
          <w:rFonts w:ascii="Garamond" w:hAnsi="Garamond"/>
          <w:sz w:val="24"/>
          <w:szCs w:val="24"/>
        </w:rPr>
        <w:t>, R. (2015). </w:t>
      </w:r>
      <w:r w:rsidRPr="006868DC">
        <w:rPr>
          <w:rFonts w:ascii="Garamond" w:hAnsi="Garamond"/>
          <w:i/>
          <w:iCs/>
          <w:sz w:val="24"/>
          <w:szCs w:val="24"/>
        </w:rPr>
        <w:t>You are what (and where) you eat: capturing food away from home in welfare measures</w:t>
      </w:r>
      <w:r w:rsidRPr="006868DC">
        <w:rPr>
          <w:rFonts w:ascii="Garamond" w:hAnsi="Garamond"/>
          <w:sz w:val="24"/>
          <w:szCs w:val="24"/>
        </w:rPr>
        <w:t> (No. 7257). The World Bank.</w:t>
      </w:r>
    </w:p>
    <w:p w14:paraId="07652D71" w14:textId="77777777" w:rsidR="00D17ECF" w:rsidRDefault="00D17ECF" w:rsidP="00D17ECF">
      <w:pPr>
        <w:jc w:val="both"/>
        <w:rPr>
          <w:rFonts w:ascii="Garamond" w:hAnsi="Garamond"/>
          <w:sz w:val="24"/>
          <w:szCs w:val="24"/>
        </w:rPr>
      </w:pPr>
      <w:r>
        <w:rPr>
          <w:rFonts w:ascii="Garamond" w:hAnsi="Garamond"/>
          <w:sz w:val="24"/>
          <w:szCs w:val="24"/>
        </w:rPr>
        <w:t xml:space="preserve">FAOSTAT </w:t>
      </w:r>
      <w:hyperlink r:id="rId8" w:anchor="data" w:history="1">
        <w:r w:rsidRPr="00614A48">
          <w:rPr>
            <w:rStyle w:val="Collegamentoipertestuale"/>
            <w:rFonts w:ascii="Garamond" w:hAnsi="Garamond"/>
            <w:sz w:val="24"/>
            <w:szCs w:val="24"/>
          </w:rPr>
          <w:t>http://www.fao.org/faostat/en/#data</w:t>
        </w:r>
      </w:hyperlink>
      <w:r>
        <w:rPr>
          <w:rFonts w:ascii="Garamond" w:hAnsi="Garamond"/>
          <w:sz w:val="24"/>
          <w:szCs w:val="24"/>
        </w:rPr>
        <w:t xml:space="preserve"> accessed in April 2017 </w:t>
      </w:r>
    </w:p>
    <w:p w14:paraId="4F8CEC17" w14:textId="77777777" w:rsidR="00D17ECF" w:rsidRDefault="00D17ECF" w:rsidP="00D17ECF">
      <w:pPr>
        <w:jc w:val="both"/>
        <w:rPr>
          <w:rFonts w:ascii="Garamond" w:hAnsi="Garamond"/>
          <w:sz w:val="24"/>
          <w:szCs w:val="24"/>
        </w:rPr>
      </w:pPr>
      <w:proofErr w:type="spellStart"/>
      <w:r w:rsidRPr="00CD4A0F">
        <w:rPr>
          <w:rFonts w:ascii="Garamond" w:hAnsi="Garamond"/>
          <w:sz w:val="24"/>
          <w:szCs w:val="24"/>
        </w:rPr>
        <w:t>Filmer</w:t>
      </w:r>
      <w:proofErr w:type="spellEnd"/>
      <w:r w:rsidRPr="00CD4A0F">
        <w:rPr>
          <w:rFonts w:ascii="Garamond" w:hAnsi="Garamond"/>
          <w:sz w:val="24"/>
          <w:szCs w:val="24"/>
        </w:rPr>
        <w:t xml:space="preserve">, D. &amp; Pritchett, L. (2001). Estimating Wealth Effects Without Expenditure Data – Or Tears: An Application to Educational Enrolments in States of India‘, </w:t>
      </w:r>
      <w:r w:rsidRPr="00CD4A0F">
        <w:rPr>
          <w:rFonts w:ascii="Garamond" w:hAnsi="Garamond"/>
          <w:i/>
          <w:iCs/>
          <w:sz w:val="24"/>
          <w:szCs w:val="24"/>
        </w:rPr>
        <w:t>Demography</w:t>
      </w:r>
      <w:r w:rsidRPr="00CD4A0F">
        <w:rPr>
          <w:rFonts w:ascii="Garamond" w:hAnsi="Garamond"/>
          <w:sz w:val="24"/>
          <w:szCs w:val="24"/>
        </w:rPr>
        <w:t>, 38(1), 115-132.</w:t>
      </w:r>
    </w:p>
    <w:p w14:paraId="6C4A165B" w14:textId="77777777" w:rsidR="00D17ECF" w:rsidRDefault="00D17ECF" w:rsidP="00D17ECF">
      <w:pPr>
        <w:jc w:val="both"/>
        <w:rPr>
          <w:rFonts w:ascii="Garamond" w:hAnsi="Garamond"/>
          <w:sz w:val="24"/>
          <w:szCs w:val="24"/>
        </w:rPr>
      </w:pPr>
      <w:proofErr w:type="spellStart"/>
      <w:r w:rsidRPr="00B255BE">
        <w:rPr>
          <w:rFonts w:ascii="Garamond" w:hAnsi="Garamond"/>
          <w:sz w:val="24"/>
          <w:szCs w:val="24"/>
        </w:rPr>
        <w:t>Floro</w:t>
      </w:r>
      <w:proofErr w:type="spellEnd"/>
      <w:r w:rsidRPr="00B255BE">
        <w:rPr>
          <w:rFonts w:ascii="Garamond" w:hAnsi="Garamond"/>
          <w:sz w:val="24"/>
          <w:szCs w:val="24"/>
        </w:rPr>
        <w:t>, M. S., &amp; Swain, R. B. (2013). Food security, gender, and occupational choice among urban low-income households. </w:t>
      </w:r>
      <w:r w:rsidRPr="00B255BE">
        <w:rPr>
          <w:rFonts w:ascii="Garamond" w:hAnsi="Garamond"/>
          <w:i/>
          <w:iCs/>
          <w:sz w:val="24"/>
          <w:szCs w:val="24"/>
        </w:rPr>
        <w:t>World Development</w:t>
      </w:r>
      <w:r w:rsidRPr="00B255BE">
        <w:rPr>
          <w:rFonts w:ascii="Garamond" w:hAnsi="Garamond"/>
          <w:sz w:val="24"/>
          <w:szCs w:val="24"/>
        </w:rPr>
        <w:t>, </w:t>
      </w:r>
      <w:r w:rsidRPr="009771F5">
        <w:rPr>
          <w:rFonts w:ascii="Garamond" w:hAnsi="Garamond"/>
          <w:sz w:val="24"/>
          <w:szCs w:val="24"/>
        </w:rPr>
        <w:t>42</w:t>
      </w:r>
      <w:r w:rsidRPr="00B255BE">
        <w:rPr>
          <w:rFonts w:ascii="Garamond" w:hAnsi="Garamond"/>
          <w:sz w:val="24"/>
          <w:szCs w:val="24"/>
        </w:rPr>
        <w:t>, 89-99.</w:t>
      </w:r>
    </w:p>
    <w:p w14:paraId="71487F64" w14:textId="77777777" w:rsidR="00D17ECF" w:rsidRDefault="00D17ECF" w:rsidP="00D17ECF">
      <w:pPr>
        <w:jc w:val="both"/>
        <w:rPr>
          <w:rFonts w:ascii="Garamond" w:hAnsi="Garamond"/>
          <w:sz w:val="24"/>
          <w:szCs w:val="24"/>
        </w:rPr>
      </w:pPr>
      <w:proofErr w:type="spellStart"/>
      <w:r w:rsidRPr="00B753FA">
        <w:rPr>
          <w:rFonts w:ascii="Garamond" w:hAnsi="Garamond"/>
          <w:sz w:val="24"/>
          <w:szCs w:val="24"/>
        </w:rPr>
        <w:t>Girdner</w:t>
      </w:r>
      <w:proofErr w:type="spellEnd"/>
      <w:r w:rsidRPr="00B753FA">
        <w:rPr>
          <w:rFonts w:ascii="Garamond" w:hAnsi="Garamond"/>
          <w:sz w:val="24"/>
          <w:szCs w:val="24"/>
        </w:rPr>
        <w:t xml:space="preserve">, J., </w:t>
      </w:r>
      <w:proofErr w:type="spellStart"/>
      <w:r w:rsidRPr="00B753FA">
        <w:rPr>
          <w:rFonts w:ascii="Garamond" w:hAnsi="Garamond"/>
          <w:sz w:val="24"/>
          <w:szCs w:val="24"/>
        </w:rPr>
        <w:t>Olorunsola</w:t>
      </w:r>
      <w:proofErr w:type="spellEnd"/>
      <w:r w:rsidRPr="00B753FA">
        <w:rPr>
          <w:rFonts w:ascii="Garamond" w:hAnsi="Garamond"/>
          <w:sz w:val="24"/>
          <w:szCs w:val="24"/>
        </w:rPr>
        <w:t xml:space="preserve">, V., </w:t>
      </w:r>
      <w:proofErr w:type="spellStart"/>
      <w:r w:rsidRPr="00B753FA">
        <w:rPr>
          <w:rFonts w:ascii="Garamond" w:hAnsi="Garamond"/>
          <w:sz w:val="24"/>
          <w:szCs w:val="24"/>
        </w:rPr>
        <w:t>Froning</w:t>
      </w:r>
      <w:proofErr w:type="spellEnd"/>
      <w:r w:rsidRPr="00B753FA">
        <w:rPr>
          <w:rFonts w:ascii="Garamond" w:hAnsi="Garamond"/>
          <w:sz w:val="24"/>
          <w:szCs w:val="24"/>
        </w:rPr>
        <w:t>, M., &amp; Hansen, E. (1980). Ghana's agricultural food policy: Operation feed yourself. </w:t>
      </w:r>
      <w:r w:rsidRPr="00B753FA">
        <w:rPr>
          <w:rFonts w:ascii="Garamond" w:hAnsi="Garamond"/>
          <w:i/>
          <w:iCs/>
          <w:sz w:val="24"/>
          <w:szCs w:val="24"/>
        </w:rPr>
        <w:t>Food Policy</w:t>
      </w:r>
      <w:r w:rsidRPr="00B753FA">
        <w:rPr>
          <w:rFonts w:ascii="Garamond" w:hAnsi="Garamond"/>
          <w:sz w:val="24"/>
          <w:szCs w:val="24"/>
        </w:rPr>
        <w:t>, </w:t>
      </w:r>
      <w:r w:rsidRPr="00B753FA">
        <w:rPr>
          <w:rFonts w:ascii="Garamond" w:hAnsi="Garamond"/>
          <w:i/>
          <w:iCs/>
          <w:sz w:val="24"/>
          <w:szCs w:val="24"/>
        </w:rPr>
        <w:t>5</w:t>
      </w:r>
      <w:r w:rsidRPr="00B753FA">
        <w:rPr>
          <w:rFonts w:ascii="Garamond" w:hAnsi="Garamond"/>
          <w:sz w:val="24"/>
          <w:szCs w:val="24"/>
        </w:rPr>
        <w:t>(1), 14-25.</w:t>
      </w:r>
    </w:p>
    <w:p w14:paraId="054C138C" w14:textId="77777777" w:rsidR="00D17ECF" w:rsidRDefault="00D17ECF" w:rsidP="00D17ECF">
      <w:pPr>
        <w:jc w:val="both"/>
        <w:rPr>
          <w:rFonts w:ascii="Garamond" w:hAnsi="Garamond"/>
          <w:sz w:val="24"/>
          <w:szCs w:val="24"/>
        </w:rPr>
      </w:pPr>
      <w:r>
        <w:rPr>
          <w:rFonts w:ascii="Garamond" w:hAnsi="Garamond"/>
          <w:sz w:val="24"/>
          <w:szCs w:val="24"/>
        </w:rPr>
        <w:t>GHI (2016). Global Hunger Index 2016. Getting to zero hunger, International food Policy Research Institute (IFPRI) and Concern Worldwide.</w:t>
      </w:r>
    </w:p>
    <w:p w14:paraId="52968AD8" w14:textId="77777777" w:rsidR="00D17ECF" w:rsidRDefault="00D17ECF" w:rsidP="00D17ECF">
      <w:pPr>
        <w:jc w:val="both"/>
        <w:rPr>
          <w:rFonts w:ascii="Garamond" w:hAnsi="Garamond"/>
          <w:sz w:val="24"/>
          <w:szCs w:val="24"/>
        </w:rPr>
      </w:pPr>
      <w:r w:rsidRPr="003C4A61">
        <w:rPr>
          <w:rFonts w:ascii="Garamond" w:hAnsi="Garamond"/>
          <w:sz w:val="24"/>
          <w:szCs w:val="24"/>
        </w:rPr>
        <w:t>Gordon, D.</w:t>
      </w:r>
      <w:r>
        <w:t xml:space="preserve">, </w:t>
      </w:r>
      <w:proofErr w:type="spellStart"/>
      <w:r w:rsidRPr="003C4A61">
        <w:rPr>
          <w:rFonts w:ascii="Garamond" w:hAnsi="Garamond"/>
          <w:sz w:val="24"/>
          <w:szCs w:val="24"/>
        </w:rPr>
        <w:t>Nandy</w:t>
      </w:r>
      <w:proofErr w:type="spellEnd"/>
      <w:r w:rsidRPr="003C4A61">
        <w:rPr>
          <w:rFonts w:ascii="Garamond" w:hAnsi="Garamond"/>
          <w:sz w:val="24"/>
          <w:szCs w:val="24"/>
        </w:rPr>
        <w:t>,</w:t>
      </w:r>
      <w:r>
        <w:rPr>
          <w:rFonts w:ascii="Garamond" w:hAnsi="Garamond"/>
          <w:sz w:val="24"/>
          <w:szCs w:val="24"/>
        </w:rPr>
        <w:t xml:space="preserve"> S., </w:t>
      </w:r>
      <w:proofErr w:type="spellStart"/>
      <w:r w:rsidRPr="003C4A61">
        <w:rPr>
          <w:rFonts w:ascii="Garamond" w:hAnsi="Garamond"/>
          <w:sz w:val="24"/>
          <w:szCs w:val="24"/>
        </w:rPr>
        <w:t>Pantazis</w:t>
      </w:r>
      <w:proofErr w:type="spellEnd"/>
      <w:r w:rsidRPr="003C4A61">
        <w:rPr>
          <w:rFonts w:ascii="Garamond" w:hAnsi="Garamond"/>
          <w:sz w:val="24"/>
          <w:szCs w:val="24"/>
        </w:rPr>
        <w:t>,</w:t>
      </w:r>
      <w:r>
        <w:rPr>
          <w:rFonts w:ascii="Garamond" w:hAnsi="Garamond"/>
          <w:sz w:val="24"/>
          <w:szCs w:val="24"/>
        </w:rPr>
        <w:t xml:space="preserve"> C., </w:t>
      </w:r>
      <w:r w:rsidRPr="003C4A61">
        <w:rPr>
          <w:rFonts w:ascii="Garamond" w:hAnsi="Garamond"/>
          <w:sz w:val="24"/>
          <w:szCs w:val="24"/>
        </w:rPr>
        <w:t>Pemberton</w:t>
      </w:r>
      <w:r>
        <w:rPr>
          <w:rFonts w:ascii="Garamond" w:hAnsi="Garamond"/>
          <w:sz w:val="24"/>
          <w:szCs w:val="24"/>
        </w:rPr>
        <w:t xml:space="preserve">, S. and </w:t>
      </w:r>
      <w:r w:rsidRPr="003C4A61">
        <w:rPr>
          <w:rFonts w:ascii="Garamond" w:hAnsi="Garamond"/>
          <w:sz w:val="24"/>
          <w:szCs w:val="24"/>
        </w:rPr>
        <w:t>Townsend</w:t>
      </w:r>
      <w:r>
        <w:rPr>
          <w:rFonts w:ascii="Garamond" w:hAnsi="Garamond"/>
          <w:sz w:val="24"/>
          <w:szCs w:val="24"/>
        </w:rPr>
        <w:t>, P.</w:t>
      </w:r>
      <w:r w:rsidRPr="003C4A61">
        <w:rPr>
          <w:rFonts w:ascii="Garamond" w:hAnsi="Garamond"/>
          <w:sz w:val="24"/>
          <w:szCs w:val="24"/>
        </w:rPr>
        <w:t xml:space="preserve"> (2003). </w:t>
      </w:r>
      <w:r w:rsidRPr="003C4A61">
        <w:rPr>
          <w:rFonts w:ascii="Garamond" w:hAnsi="Garamond"/>
          <w:i/>
          <w:iCs/>
          <w:sz w:val="24"/>
          <w:szCs w:val="24"/>
        </w:rPr>
        <w:t>Child poverty in the developing world</w:t>
      </w:r>
      <w:r w:rsidRPr="003C4A61">
        <w:rPr>
          <w:rFonts w:ascii="Garamond" w:hAnsi="Garamond"/>
          <w:sz w:val="24"/>
          <w:szCs w:val="24"/>
        </w:rPr>
        <w:t>. Policy Press.</w:t>
      </w:r>
    </w:p>
    <w:p w14:paraId="74596804" w14:textId="77777777" w:rsidR="00D17ECF" w:rsidRPr="000E63E7" w:rsidRDefault="00D17ECF" w:rsidP="00D17ECF">
      <w:pPr>
        <w:jc w:val="both"/>
        <w:rPr>
          <w:rFonts w:ascii="Garamond" w:hAnsi="Garamond"/>
          <w:sz w:val="24"/>
          <w:szCs w:val="24"/>
        </w:rPr>
      </w:pPr>
      <w:r>
        <w:rPr>
          <w:rFonts w:ascii="Garamond" w:hAnsi="Garamond"/>
          <w:sz w:val="24"/>
          <w:szCs w:val="24"/>
        </w:rPr>
        <w:t xml:space="preserve">GSS (2015). Ghana poverty mapping report. </w:t>
      </w:r>
      <w:r w:rsidRPr="000E63E7">
        <w:rPr>
          <w:rFonts w:ascii="Garamond" w:hAnsi="Garamond"/>
          <w:sz w:val="24"/>
          <w:szCs w:val="24"/>
        </w:rPr>
        <w:t>Ghana Statistical Service, 2015.</w:t>
      </w:r>
    </w:p>
    <w:p w14:paraId="24F862B5" w14:textId="77777777" w:rsidR="00D17ECF" w:rsidRDefault="00D17ECF" w:rsidP="00D17ECF">
      <w:pPr>
        <w:jc w:val="both"/>
        <w:rPr>
          <w:rFonts w:ascii="Garamond" w:hAnsi="Garamond"/>
          <w:sz w:val="24"/>
          <w:szCs w:val="24"/>
        </w:rPr>
      </w:pPr>
      <w:proofErr w:type="spellStart"/>
      <w:r w:rsidRPr="000E63E7">
        <w:rPr>
          <w:rFonts w:ascii="Garamond" w:hAnsi="Garamond"/>
          <w:sz w:val="24"/>
          <w:szCs w:val="24"/>
        </w:rPr>
        <w:t>Hannum</w:t>
      </w:r>
      <w:proofErr w:type="spellEnd"/>
      <w:r w:rsidRPr="000E63E7">
        <w:rPr>
          <w:rFonts w:ascii="Garamond" w:hAnsi="Garamond"/>
          <w:sz w:val="24"/>
          <w:szCs w:val="24"/>
        </w:rPr>
        <w:t xml:space="preserve">, E., Liu, R., &amp; Alvarado-Urbina, A. (2017). </w:t>
      </w:r>
      <w:r w:rsidRPr="003C160B">
        <w:rPr>
          <w:rFonts w:ascii="Garamond" w:hAnsi="Garamond"/>
          <w:sz w:val="24"/>
          <w:szCs w:val="24"/>
        </w:rPr>
        <w:t>Evolving approaches to the study of childhood poverty and education. </w:t>
      </w:r>
      <w:r w:rsidRPr="003C160B">
        <w:rPr>
          <w:rFonts w:ascii="Garamond" w:hAnsi="Garamond"/>
          <w:i/>
          <w:iCs/>
          <w:sz w:val="24"/>
          <w:szCs w:val="24"/>
        </w:rPr>
        <w:t>Comparative Education</w:t>
      </w:r>
      <w:r w:rsidRPr="003C160B">
        <w:rPr>
          <w:rFonts w:ascii="Garamond" w:hAnsi="Garamond"/>
          <w:sz w:val="24"/>
          <w:szCs w:val="24"/>
        </w:rPr>
        <w:t>, </w:t>
      </w:r>
      <w:r w:rsidRPr="003C160B">
        <w:rPr>
          <w:rFonts w:ascii="Garamond" w:hAnsi="Garamond"/>
          <w:i/>
          <w:iCs/>
          <w:sz w:val="24"/>
          <w:szCs w:val="24"/>
        </w:rPr>
        <w:t>53</w:t>
      </w:r>
      <w:r w:rsidRPr="003C160B">
        <w:rPr>
          <w:rFonts w:ascii="Garamond" w:hAnsi="Garamond"/>
          <w:sz w:val="24"/>
          <w:szCs w:val="24"/>
        </w:rPr>
        <w:t>(1), 81-114.</w:t>
      </w:r>
    </w:p>
    <w:p w14:paraId="67EF79F7" w14:textId="77777777" w:rsidR="00D17ECF" w:rsidRDefault="00D17ECF" w:rsidP="00D17ECF">
      <w:pPr>
        <w:jc w:val="both"/>
        <w:rPr>
          <w:rFonts w:ascii="Garamond" w:hAnsi="Garamond"/>
          <w:sz w:val="24"/>
          <w:szCs w:val="24"/>
        </w:rPr>
      </w:pPr>
      <w:r w:rsidRPr="005D0BFC">
        <w:rPr>
          <w:rFonts w:ascii="Garamond" w:hAnsi="Garamond"/>
          <w:sz w:val="24"/>
          <w:szCs w:val="24"/>
        </w:rPr>
        <w:t>Hawkes, C. (2006). Uneven dietary development: linking the policies and processes of globalization with the nutrition transition, obesity and diet-related chronic diseases. </w:t>
      </w:r>
      <w:r w:rsidRPr="005D0BFC">
        <w:rPr>
          <w:rFonts w:ascii="Garamond" w:hAnsi="Garamond"/>
          <w:i/>
          <w:iCs/>
          <w:sz w:val="24"/>
          <w:szCs w:val="24"/>
        </w:rPr>
        <w:t>Globalization and health</w:t>
      </w:r>
      <w:r w:rsidRPr="005D0BFC">
        <w:rPr>
          <w:rFonts w:ascii="Garamond" w:hAnsi="Garamond"/>
          <w:sz w:val="24"/>
          <w:szCs w:val="24"/>
        </w:rPr>
        <w:t>, </w:t>
      </w:r>
      <w:r w:rsidRPr="005D0BFC">
        <w:rPr>
          <w:rFonts w:ascii="Garamond" w:hAnsi="Garamond"/>
          <w:i/>
          <w:iCs/>
          <w:sz w:val="24"/>
          <w:szCs w:val="24"/>
        </w:rPr>
        <w:t>2</w:t>
      </w:r>
      <w:r w:rsidRPr="005D0BFC">
        <w:rPr>
          <w:rFonts w:ascii="Garamond" w:hAnsi="Garamond"/>
          <w:sz w:val="24"/>
          <w:szCs w:val="24"/>
        </w:rPr>
        <w:t>(1), 4.</w:t>
      </w:r>
    </w:p>
    <w:p w14:paraId="6926EC1E" w14:textId="77777777" w:rsidR="00D17ECF" w:rsidRDefault="00D17ECF" w:rsidP="00D17ECF">
      <w:pPr>
        <w:jc w:val="both"/>
        <w:rPr>
          <w:rFonts w:ascii="Garamond" w:hAnsi="Garamond"/>
          <w:sz w:val="24"/>
          <w:szCs w:val="24"/>
        </w:rPr>
      </w:pPr>
      <w:r w:rsidRPr="005D0BFC">
        <w:rPr>
          <w:rFonts w:ascii="Garamond" w:hAnsi="Garamond"/>
          <w:sz w:val="24"/>
          <w:szCs w:val="24"/>
        </w:rPr>
        <w:t xml:space="preserve">Hawkes, C., </w:t>
      </w:r>
      <w:proofErr w:type="spellStart"/>
      <w:r w:rsidRPr="005D0BFC">
        <w:rPr>
          <w:rFonts w:ascii="Garamond" w:hAnsi="Garamond"/>
          <w:sz w:val="24"/>
          <w:szCs w:val="24"/>
        </w:rPr>
        <w:t>Blouin</w:t>
      </w:r>
      <w:proofErr w:type="spellEnd"/>
      <w:r w:rsidRPr="005D0BFC">
        <w:rPr>
          <w:rFonts w:ascii="Garamond" w:hAnsi="Garamond"/>
          <w:sz w:val="24"/>
          <w:szCs w:val="24"/>
        </w:rPr>
        <w:t xml:space="preserve">, C., Henson, </w:t>
      </w:r>
      <w:r>
        <w:rPr>
          <w:rFonts w:ascii="Garamond" w:hAnsi="Garamond"/>
          <w:sz w:val="24"/>
          <w:szCs w:val="24"/>
        </w:rPr>
        <w:t xml:space="preserve">S., </w:t>
      </w:r>
      <w:proofErr w:type="spellStart"/>
      <w:r>
        <w:rPr>
          <w:rFonts w:ascii="Garamond" w:hAnsi="Garamond"/>
          <w:sz w:val="24"/>
          <w:szCs w:val="24"/>
        </w:rPr>
        <w:t>Drager</w:t>
      </w:r>
      <w:proofErr w:type="spellEnd"/>
      <w:r>
        <w:rPr>
          <w:rFonts w:ascii="Garamond" w:hAnsi="Garamond"/>
          <w:sz w:val="24"/>
          <w:szCs w:val="24"/>
        </w:rPr>
        <w:t xml:space="preserve">, N., &amp; </w:t>
      </w:r>
      <w:proofErr w:type="spellStart"/>
      <w:r>
        <w:rPr>
          <w:rFonts w:ascii="Garamond" w:hAnsi="Garamond"/>
          <w:sz w:val="24"/>
          <w:szCs w:val="24"/>
        </w:rPr>
        <w:t>Dubé</w:t>
      </w:r>
      <w:proofErr w:type="spellEnd"/>
      <w:r>
        <w:rPr>
          <w:rFonts w:ascii="Garamond" w:hAnsi="Garamond"/>
          <w:sz w:val="24"/>
          <w:szCs w:val="24"/>
        </w:rPr>
        <w:t>, L. eds. (2010</w:t>
      </w:r>
      <w:r w:rsidRPr="005D0BFC">
        <w:rPr>
          <w:rFonts w:ascii="Garamond" w:hAnsi="Garamond"/>
          <w:sz w:val="24"/>
          <w:szCs w:val="24"/>
        </w:rPr>
        <w:t>). </w:t>
      </w:r>
      <w:r w:rsidRPr="005D0BFC">
        <w:rPr>
          <w:rFonts w:ascii="Garamond" w:hAnsi="Garamond"/>
          <w:i/>
          <w:iCs/>
          <w:sz w:val="24"/>
          <w:szCs w:val="24"/>
        </w:rPr>
        <w:t>Trade, food, diet and health: perspectives and policy options</w:t>
      </w:r>
      <w:r w:rsidRPr="005D0BFC">
        <w:rPr>
          <w:rFonts w:ascii="Garamond" w:hAnsi="Garamond"/>
          <w:sz w:val="24"/>
          <w:szCs w:val="24"/>
        </w:rPr>
        <w:t xml:space="preserve">. </w:t>
      </w:r>
      <w:r>
        <w:rPr>
          <w:rFonts w:ascii="Garamond" w:hAnsi="Garamond"/>
          <w:sz w:val="24"/>
          <w:szCs w:val="24"/>
        </w:rPr>
        <w:t xml:space="preserve">Oxford: </w:t>
      </w:r>
      <w:r w:rsidRPr="005D0BFC">
        <w:rPr>
          <w:rFonts w:ascii="Garamond" w:hAnsi="Garamond"/>
          <w:sz w:val="24"/>
          <w:szCs w:val="24"/>
        </w:rPr>
        <w:t>John Wiley &amp; Sons.</w:t>
      </w:r>
    </w:p>
    <w:p w14:paraId="153D309D" w14:textId="77777777" w:rsidR="00D17ECF" w:rsidRDefault="00D17ECF" w:rsidP="00D17ECF">
      <w:pPr>
        <w:jc w:val="both"/>
        <w:rPr>
          <w:rFonts w:ascii="Garamond" w:hAnsi="Garamond"/>
          <w:sz w:val="24"/>
          <w:szCs w:val="24"/>
        </w:rPr>
      </w:pPr>
      <w:r>
        <w:rPr>
          <w:rFonts w:ascii="Garamond" w:hAnsi="Garamond"/>
          <w:sz w:val="24"/>
          <w:szCs w:val="24"/>
        </w:rPr>
        <w:t xml:space="preserve">Hawkes, C. and Murphy, S. (2010). ‘An overview of global food trade’, in </w:t>
      </w:r>
      <w:r w:rsidRPr="005D0BFC">
        <w:rPr>
          <w:rFonts w:ascii="Garamond" w:hAnsi="Garamond"/>
          <w:sz w:val="24"/>
          <w:szCs w:val="24"/>
        </w:rPr>
        <w:t xml:space="preserve">Hawkes, C., </w:t>
      </w:r>
      <w:proofErr w:type="spellStart"/>
      <w:r w:rsidRPr="005D0BFC">
        <w:rPr>
          <w:rFonts w:ascii="Garamond" w:hAnsi="Garamond"/>
          <w:sz w:val="24"/>
          <w:szCs w:val="24"/>
        </w:rPr>
        <w:t>Blouin</w:t>
      </w:r>
      <w:proofErr w:type="spellEnd"/>
      <w:r w:rsidRPr="005D0BFC">
        <w:rPr>
          <w:rFonts w:ascii="Garamond" w:hAnsi="Garamond"/>
          <w:sz w:val="24"/>
          <w:szCs w:val="24"/>
        </w:rPr>
        <w:t xml:space="preserve">, C., Henson, S., </w:t>
      </w:r>
      <w:proofErr w:type="spellStart"/>
      <w:r w:rsidRPr="005D0BFC">
        <w:rPr>
          <w:rFonts w:ascii="Garamond" w:hAnsi="Garamond"/>
          <w:sz w:val="24"/>
          <w:szCs w:val="24"/>
        </w:rPr>
        <w:t>Drager</w:t>
      </w:r>
      <w:proofErr w:type="spellEnd"/>
      <w:r w:rsidRPr="005D0BFC">
        <w:rPr>
          <w:rFonts w:ascii="Garamond" w:hAnsi="Garamond"/>
          <w:sz w:val="24"/>
          <w:szCs w:val="24"/>
        </w:rPr>
        <w:t xml:space="preserve">, N., &amp; </w:t>
      </w:r>
      <w:proofErr w:type="spellStart"/>
      <w:r w:rsidRPr="005D0BFC">
        <w:rPr>
          <w:rFonts w:ascii="Garamond" w:hAnsi="Garamond"/>
          <w:sz w:val="24"/>
          <w:szCs w:val="24"/>
        </w:rPr>
        <w:t>Dubé</w:t>
      </w:r>
      <w:proofErr w:type="spellEnd"/>
      <w:r w:rsidRPr="005D0BFC">
        <w:rPr>
          <w:rFonts w:ascii="Garamond" w:hAnsi="Garamond"/>
          <w:sz w:val="24"/>
          <w:szCs w:val="24"/>
        </w:rPr>
        <w:t>, L. eds. (2010). </w:t>
      </w:r>
      <w:r w:rsidRPr="005D0BFC">
        <w:rPr>
          <w:rFonts w:ascii="Garamond" w:hAnsi="Garamond"/>
          <w:i/>
          <w:iCs/>
          <w:sz w:val="24"/>
          <w:szCs w:val="24"/>
        </w:rPr>
        <w:t>Trade, food, diet and health: perspectives and policy options</w:t>
      </w:r>
      <w:r w:rsidRPr="005D0BFC">
        <w:rPr>
          <w:rFonts w:ascii="Garamond" w:hAnsi="Garamond"/>
          <w:sz w:val="24"/>
          <w:szCs w:val="24"/>
        </w:rPr>
        <w:t>. Oxford: John Wiley &amp; Sons.</w:t>
      </w:r>
    </w:p>
    <w:p w14:paraId="677EB838" w14:textId="77777777" w:rsidR="00D17ECF" w:rsidRDefault="00D17ECF" w:rsidP="00D17ECF">
      <w:pPr>
        <w:jc w:val="both"/>
        <w:rPr>
          <w:rFonts w:ascii="Garamond" w:hAnsi="Garamond"/>
          <w:sz w:val="24"/>
          <w:szCs w:val="24"/>
        </w:rPr>
      </w:pPr>
      <w:proofErr w:type="spellStart"/>
      <w:r w:rsidRPr="0044409F">
        <w:rPr>
          <w:rFonts w:ascii="Garamond" w:hAnsi="Garamond"/>
          <w:sz w:val="24"/>
          <w:szCs w:val="24"/>
        </w:rPr>
        <w:t>Hawkesworth</w:t>
      </w:r>
      <w:proofErr w:type="spellEnd"/>
      <w:r w:rsidRPr="0044409F">
        <w:rPr>
          <w:rFonts w:ascii="Garamond" w:hAnsi="Garamond"/>
          <w:sz w:val="24"/>
          <w:szCs w:val="24"/>
        </w:rPr>
        <w:t xml:space="preserve">, S., </w:t>
      </w:r>
      <w:proofErr w:type="spellStart"/>
      <w:r w:rsidRPr="0044409F">
        <w:rPr>
          <w:rFonts w:ascii="Garamond" w:hAnsi="Garamond"/>
          <w:sz w:val="24"/>
          <w:szCs w:val="24"/>
        </w:rPr>
        <w:t>Dangour</w:t>
      </w:r>
      <w:proofErr w:type="spellEnd"/>
      <w:r w:rsidRPr="0044409F">
        <w:rPr>
          <w:rFonts w:ascii="Garamond" w:hAnsi="Garamond"/>
          <w:sz w:val="24"/>
          <w:szCs w:val="24"/>
        </w:rPr>
        <w:t xml:space="preserve">, A. D., Johnston, D., Lock, </w:t>
      </w:r>
      <w:r>
        <w:rPr>
          <w:rFonts w:ascii="Garamond" w:hAnsi="Garamond"/>
          <w:sz w:val="24"/>
          <w:szCs w:val="24"/>
        </w:rPr>
        <w:t xml:space="preserve">K., Poole, N., Rushton, J., </w:t>
      </w:r>
      <w:proofErr w:type="spellStart"/>
      <w:r>
        <w:rPr>
          <w:rFonts w:ascii="Garamond" w:hAnsi="Garamond"/>
          <w:sz w:val="24"/>
          <w:szCs w:val="24"/>
        </w:rPr>
        <w:t>Uauy</w:t>
      </w:r>
      <w:proofErr w:type="spellEnd"/>
      <w:r>
        <w:rPr>
          <w:rFonts w:ascii="Garamond" w:hAnsi="Garamond"/>
          <w:sz w:val="24"/>
          <w:szCs w:val="24"/>
        </w:rPr>
        <w:t xml:space="preserve">, R. </w:t>
      </w:r>
      <w:r w:rsidRPr="0044409F">
        <w:rPr>
          <w:rFonts w:ascii="Garamond" w:hAnsi="Garamond"/>
          <w:sz w:val="24"/>
          <w:szCs w:val="24"/>
        </w:rPr>
        <w:t xml:space="preserve">&amp; </w:t>
      </w:r>
      <w:proofErr w:type="spellStart"/>
      <w:r w:rsidRPr="0044409F">
        <w:rPr>
          <w:rFonts w:ascii="Garamond" w:hAnsi="Garamond"/>
          <w:sz w:val="24"/>
          <w:szCs w:val="24"/>
        </w:rPr>
        <w:t>Waage</w:t>
      </w:r>
      <w:proofErr w:type="spellEnd"/>
      <w:r w:rsidRPr="0044409F">
        <w:rPr>
          <w:rFonts w:ascii="Garamond" w:hAnsi="Garamond"/>
          <w:sz w:val="24"/>
          <w:szCs w:val="24"/>
        </w:rPr>
        <w:t>, J. (2010). Feeding the world healthily: the challenge of measuring the effects of agriculture on health. </w:t>
      </w:r>
      <w:r w:rsidRPr="0044409F">
        <w:rPr>
          <w:rFonts w:ascii="Garamond" w:hAnsi="Garamond"/>
          <w:i/>
          <w:iCs/>
          <w:sz w:val="24"/>
          <w:szCs w:val="24"/>
        </w:rPr>
        <w:t>Philosophical Transactions of the Royal Society of London B: Biological Sciences</w:t>
      </w:r>
      <w:r w:rsidRPr="0044409F">
        <w:rPr>
          <w:rFonts w:ascii="Garamond" w:hAnsi="Garamond"/>
          <w:sz w:val="24"/>
          <w:szCs w:val="24"/>
        </w:rPr>
        <w:t>, </w:t>
      </w:r>
      <w:r w:rsidRPr="0044409F">
        <w:rPr>
          <w:rFonts w:ascii="Garamond" w:hAnsi="Garamond"/>
          <w:i/>
          <w:iCs/>
          <w:sz w:val="24"/>
          <w:szCs w:val="24"/>
        </w:rPr>
        <w:t>365</w:t>
      </w:r>
      <w:r w:rsidRPr="0044409F">
        <w:rPr>
          <w:rFonts w:ascii="Garamond" w:hAnsi="Garamond"/>
          <w:sz w:val="24"/>
          <w:szCs w:val="24"/>
        </w:rPr>
        <w:t>(1554), 3083-3097.</w:t>
      </w:r>
    </w:p>
    <w:p w14:paraId="036E3D99" w14:textId="77777777" w:rsidR="00D17ECF" w:rsidRDefault="00D17ECF" w:rsidP="00D17ECF">
      <w:pPr>
        <w:jc w:val="both"/>
        <w:rPr>
          <w:rFonts w:ascii="Garamond" w:hAnsi="Garamond"/>
          <w:sz w:val="24"/>
          <w:szCs w:val="24"/>
        </w:rPr>
      </w:pPr>
      <w:r>
        <w:rPr>
          <w:rFonts w:ascii="Garamond" w:hAnsi="Garamond"/>
          <w:sz w:val="24"/>
          <w:szCs w:val="24"/>
        </w:rPr>
        <w:t>IFPRI (2016). Global nutrition report. From promise to impact: ending malnutrition by 2030, Washington D.C.</w:t>
      </w:r>
    </w:p>
    <w:p w14:paraId="373DD6B9" w14:textId="77777777" w:rsidR="00D17ECF" w:rsidRDefault="00D17ECF" w:rsidP="00D17ECF">
      <w:pPr>
        <w:jc w:val="both"/>
        <w:rPr>
          <w:rFonts w:ascii="Garamond" w:hAnsi="Garamond"/>
          <w:sz w:val="24"/>
          <w:szCs w:val="24"/>
        </w:rPr>
      </w:pPr>
      <w:r w:rsidRPr="00435074">
        <w:rPr>
          <w:rFonts w:ascii="Garamond" w:hAnsi="Garamond"/>
          <w:sz w:val="24"/>
          <w:szCs w:val="24"/>
        </w:rPr>
        <w:lastRenderedPageBreak/>
        <w:t xml:space="preserve">Imamura, F., Micha, R., </w:t>
      </w:r>
      <w:proofErr w:type="spellStart"/>
      <w:r w:rsidRPr="00435074">
        <w:rPr>
          <w:rFonts w:ascii="Garamond" w:hAnsi="Garamond"/>
          <w:sz w:val="24"/>
          <w:szCs w:val="24"/>
        </w:rPr>
        <w:t>Khatibzadeh</w:t>
      </w:r>
      <w:proofErr w:type="spellEnd"/>
      <w:r w:rsidRPr="00435074">
        <w:rPr>
          <w:rFonts w:ascii="Garamond" w:hAnsi="Garamond"/>
          <w:sz w:val="24"/>
          <w:szCs w:val="24"/>
        </w:rPr>
        <w:t xml:space="preserve">, S., </w:t>
      </w:r>
      <w:proofErr w:type="spellStart"/>
      <w:r w:rsidRPr="00435074">
        <w:rPr>
          <w:rFonts w:ascii="Garamond" w:hAnsi="Garamond"/>
          <w:sz w:val="24"/>
          <w:szCs w:val="24"/>
        </w:rPr>
        <w:t>Fahimi</w:t>
      </w:r>
      <w:proofErr w:type="spellEnd"/>
      <w:r w:rsidRPr="00435074">
        <w:rPr>
          <w:rFonts w:ascii="Garamond" w:hAnsi="Garamond"/>
          <w:sz w:val="24"/>
          <w:szCs w:val="24"/>
        </w:rPr>
        <w:t>,</w:t>
      </w:r>
      <w:r>
        <w:rPr>
          <w:rFonts w:ascii="Garamond" w:hAnsi="Garamond"/>
          <w:sz w:val="24"/>
          <w:szCs w:val="24"/>
        </w:rPr>
        <w:t xml:space="preserve"> S., Shi, P., Powles, J. and </w:t>
      </w:r>
      <w:proofErr w:type="spellStart"/>
      <w:r>
        <w:rPr>
          <w:rFonts w:ascii="Garamond" w:hAnsi="Garamond"/>
          <w:sz w:val="24"/>
          <w:szCs w:val="24"/>
        </w:rPr>
        <w:t>Mozaffarian</w:t>
      </w:r>
      <w:proofErr w:type="spellEnd"/>
      <w:r>
        <w:rPr>
          <w:rFonts w:ascii="Garamond" w:hAnsi="Garamond"/>
          <w:sz w:val="24"/>
          <w:szCs w:val="24"/>
        </w:rPr>
        <w:t>, D.</w:t>
      </w:r>
      <w:r w:rsidRPr="00435074">
        <w:rPr>
          <w:rFonts w:ascii="Garamond" w:hAnsi="Garamond"/>
          <w:sz w:val="24"/>
          <w:szCs w:val="24"/>
        </w:rPr>
        <w:t xml:space="preserve"> (2015). Dietary quality among men and women in 187 countries in 1990 and 2010: a systematic assessment. </w:t>
      </w:r>
      <w:r w:rsidRPr="00435074">
        <w:rPr>
          <w:rFonts w:ascii="Garamond" w:hAnsi="Garamond"/>
          <w:i/>
          <w:iCs/>
          <w:sz w:val="24"/>
          <w:szCs w:val="24"/>
        </w:rPr>
        <w:t>The Lancet Global Health</w:t>
      </w:r>
      <w:r w:rsidRPr="00435074">
        <w:rPr>
          <w:rFonts w:ascii="Garamond" w:hAnsi="Garamond"/>
          <w:sz w:val="24"/>
          <w:szCs w:val="24"/>
        </w:rPr>
        <w:t>, </w:t>
      </w:r>
      <w:r w:rsidRPr="00435074">
        <w:rPr>
          <w:rFonts w:ascii="Garamond" w:hAnsi="Garamond"/>
          <w:i/>
          <w:iCs/>
          <w:sz w:val="24"/>
          <w:szCs w:val="24"/>
        </w:rPr>
        <w:t>3</w:t>
      </w:r>
      <w:r w:rsidRPr="00435074">
        <w:rPr>
          <w:rFonts w:ascii="Garamond" w:hAnsi="Garamond"/>
          <w:sz w:val="24"/>
          <w:szCs w:val="24"/>
        </w:rPr>
        <w:t>(3), e132-e142.</w:t>
      </w:r>
    </w:p>
    <w:p w14:paraId="5A633D44" w14:textId="77777777" w:rsidR="00D17ECF" w:rsidRDefault="00D17ECF" w:rsidP="00D17ECF">
      <w:pPr>
        <w:jc w:val="both"/>
        <w:rPr>
          <w:rFonts w:ascii="Garamond" w:hAnsi="Garamond"/>
          <w:sz w:val="24"/>
          <w:szCs w:val="24"/>
        </w:rPr>
      </w:pPr>
      <w:proofErr w:type="spellStart"/>
      <w:r w:rsidRPr="00AB3206">
        <w:rPr>
          <w:rFonts w:ascii="Garamond" w:hAnsi="Garamond"/>
          <w:sz w:val="24"/>
          <w:szCs w:val="24"/>
        </w:rPr>
        <w:t>Imdad</w:t>
      </w:r>
      <w:proofErr w:type="spellEnd"/>
      <w:r w:rsidRPr="00AB3206">
        <w:rPr>
          <w:rFonts w:ascii="Garamond" w:hAnsi="Garamond"/>
          <w:sz w:val="24"/>
          <w:szCs w:val="24"/>
        </w:rPr>
        <w:t xml:space="preserve">, A., </w:t>
      </w:r>
      <w:proofErr w:type="spellStart"/>
      <w:r w:rsidRPr="00AB3206">
        <w:rPr>
          <w:rFonts w:ascii="Garamond" w:hAnsi="Garamond"/>
          <w:sz w:val="24"/>
          <w:szCs w:val="24"/>
        </w:rPr>
        <w:t>Yawar</w:t>
      </w:r>
      <w:proofErr w:type="spellEnd"/>
      <w:r w:rsidRPr="00AB3206">
        <w:rPr>
          <w:rFonts w:ascii="Garamond" w:hAnsi="Garamond"/>
          <w:sz w:val="24"/>
          <w:szCs w:val="24"/>
        </w:rPr>
        <w:t xml:space="preserve"> </w:t>
      </w:r>
      <w:proofErr w:type="spellStart"/>
      <w:r w:rsidRPr="00AB3206">
        <w:rPr>
          <w:rFonts w:ascii="Garamond" w:hAnsi="Garamond"/>
          <w:sz w:val="24"/>
          <w:szCs w:val="24"/>
        </w:rPr>
        <w:t>Yakoob</w:t>
      </w:r>
      <w:proofErr w:type="spellEnd"/>
      <w:r w:rsidRPr="00AB3206">
        <w:rPr>
          <w:rFonts w:ascii="Garamond" w:hAnsi="Garamond"/>
          <w:sz w:val="24"/>
          <w:szCs w:val="24"/>
        </w:rPr>
        <w:t xml:space="preserve">, M. and </w:t>
      </w:r>
      <w:proofErr w:type="spellStart"/>
      <w:r w:rsidRPr="00AB3206">
        <w:rPr>
          <w:rFonts w:ascii="Garamond" w:hAnsi="Garamond"/>
          <w:sz w:val="24"/>
          <w:szCs w:val="24"/>
        </w:rPr>
        <w:t>Bhutta</w:t>
      </w:r>
      <w:proofErr w:type="spellEnd"/>
      <w:r w:rsidRPr="00AB3206">
        <w:rPr>
          <w:rFonts w:ascii="Garamond" w:hAnsi="Garamond"/>
          <w:sz w:val="24"/>
          <w:szCs w:val="24"/>
        </w:rPr>
        <w:t>, Z. A. (2011) Impact of maternal education about complementary feeding and provision of complementary foods on child growth in developing countries. BMC Public Health, 11(Suppl. 3):S25.</w:t>
      </w:r>
    </w:p>
    <w:p w14:paraId="2C322D2D" w14:textId="77777777" w:rsidR="00D17ECF" w:rsidRDefault="00D17ECF" w:rsidP="00D17ECF">
      <w:pPr>
        <w:jc w:val="both"/>
        <w:rPr>
          <w:rFonts w:ascii="Garamond" w:hAnsi="Garamond"/>
          <w:sz w:val="24"/>
          <w:szCs w:val="24"/>
        </w:rPr>
      </w:pPr>
      <w:proofErr w:type="spellStart"/>
      <w:r w:rsidRPr="00133477">
        <w:rPr>
          <w:rFonts w:ascii="Garamond" w:hAnsi="Garamond"/>
          <w:sz w:val="24"/>
          <w:szCs w:val="24"/>
        </w:rPr>
        <w:t>Jerven</w:t>
      </w:r>
      <w:proofErr w:type="spellEnd"/>
      <w:r w:rsidRPr="00133477">
        <w:rPr>
          <w:rFonts w:ascii="Garamond" w:hAnsi="Garamond"/>
          <w:sz w:val="24"/>
          <w:szCs w:val="24"/>
        </w:rPr>
        <w:t>, M. (2016). Research Note: Africa by numbers: Reviewing the database approach to studying African economies. </w:t>
      </w:r>
      <w:r w:rsidRPr="00133477">
        <w:rPr>
          <w:rFonts w:ascii="Garamond" w:hAnsi="Garamond"/>
          <w:i/>
          <w:iCs/>
          <w:sz w:val="24"/>
          <w:szCs w:val="24"/>
        </w:rPr>
        <w:t>African Affairs</w:t>
      </w:r>
      <w:r w:rsidRPr="00133477">
        <w:rPr>
          <w:rFonts w:ascii="Garamond" w:hAnsi="Garamond"/>
          <w:sz w:val="24"/>
          <w:szCs w:val="24"/>
        </w:rPr>
        <w:t>, </w:t>
      </w:r>
      <w:r w:rsidRPr="00133477">
        <w:rPr>
          <w:rFonts w:ascii="Garamond" w:hAnsi="Garamond"/>
          <w:i/>
          <w:iCs/>
          <w:sz w:val="24"/>
          <w:szCs w:val="24"/>
        </w:rPr>
        <w:t>115</w:t>
      </w:r>
      <w:r w:rsidRPr="00133477">
        <w:rPr>
          <w:rFonts w:ascii="Garamond" w:hAnsi="Garamond"/>
          <w:sz w:val="24"/>
          <w:szCs w:val="24"/>
        </w:rPr>
        <w:t>(459), 342-358.</w:t>
      </w:r>
    </w:p>
    <w:p w14:paraId="1BFBD82A" w14:textId="77777777" w:rsidR="00D17ECF" w:rsidRDefault="00D17ECF" w:rsidP="00D17ECF">
      <w:pPr>
        <w:jc w:val="both"/>
        <w:rPr>
          <w:rFonts w:ascii="Garamond" w:hAnsi="Garamond"/>
          <w:sz w:val="24"/>
          <w:szCs w:val="24"/>
        </w:rPr>
      </w:pPr>
      <w:r w:rsidRPr="00492C8B">
        <w:rPr>
          <w:rFonts w:ascii="Garamond" w:hAnsi="Garamond"/>
          <w:sz w:val="24"/>
          <w:szCs w:val="24"/>
        </w:rPr>
        <w:t>Johnston, D., &amp; Abreu, A. (2016). The asset debates: How (not) to use asset indices to measure well-being and the middle class in Africa. </w:t>
      </w:r>
      <w:r w:rsidRPr="00492C8B">
        <w:rPr>
          <w:rFonts w:ascii="Garamond" w:hAnsi="Garamond"/>
          <w:i/>
          <w:iCs/>
          <w:sz w:val="24"/>
          <w:szCs w:val="24"/>
        </w:rPr>
        <w:t>African Affairs</w:t>
      </w:r>
      <w:r w:rsidRPr="00492C8B">
        <w:rPr>
          <w:rFonts w:ascii="Garamond" w:hAnsi="Garamond"/>
          <w:sz w:val="24"/>
          <w:szCs w:val="24"/>
        </w:rPr>
        <w:t>, adw019.</w:t>
      </w:r>
    </w:p>
    <w:p w14:paraId="27A07B4E" w14:textId="77777777" w:rsidR="00D17ECF" w:rsidRDefault="00D17ECF" w:rsidP="00D17ECF">
      <w:pPr>
        <w:jc w:val="both"/>
        <w:rPr>
          <w:rFonts w:ascii="Garamond" w:hAnsi="Garamond"/>
          <w:sz w:val="24"/>
          <w:szCs w:val="24"/>
        </w:rPr>
      </w:pPr>
      <w:proofErr w:type="spellStart"/>
      <w:r w:rsidRPr="009C5A22">
        <w:rPr>
          <w:rFonts w:ascii="Garamond" w:hAnsi="Garamond"/>
          <w:sz w:val="24"/>
          <w:szCs w:val="24"/>
        </w:rPr>
        <w:t>Kollamparambil</w:t>
      </w:r>
      <w:proofErr w:type="spellEnd"/>
      <w:r w:rsidRPr="009C5A22">
        <w:rPr>
          <w:rFonts w:ascii="Garamond" w:hAnsi="Garamond"/>
          <w:sz w:val="24"/>
          <w:szCs w:val="24"/>
        </w:rPr>
        <w:t>, U. (2017). Impact of internal in-migration on income inequality in receiving areas: A district level study of South Africa. </w:t>
      </w:r>
      <w:r w:rsidRPr="009C5A22">
        <w:rPr>
          <w:rFonts w:ascii="Garamond" w:hAnsi="Garamond"/>
          <w:i/>
          <w:iCs/>
          <w:sz w:val="24"/>
          <w:szCs w:val="24"/>
        </w:rPr>
        <w:t>The Journal of Development Studies</w:t>
      </w:r>
      <w:r w:rsidRPr="009C5A22">
        <w:rPr>
          <w:rFonts w:ascii="Garamond" w:hAnsi="Garamond"/>
          <w:sz w:val="24"/>
          <w:szCs w:val="24"/>
        </w:rPr>
        <w:t>, </w:t>
      </w:r>
      <w:r w:rsidRPr="009C5A22">
        <w:rPr>
          <w:rFonts w:ascii="Garamond" w:hAnsi="Garamond"/>
          <w:i/>
          <w:iCs/>
          <w:sz w:val="24"/>
          <w:szCs w:val="24"/>
        </w:rPr>
        <w:t>53</w:t>
      </w:r>
      <w:r w:rsidRPr="009C5A22">
        <w:rPr>
          <w:rFonts w:ascii="Garamond" w:hAnsi="Garamond"/>
          <w:sz w:val="24"/>
          <w:szCs w:val="24"/>
        </w:rPr>
        <w:t>(12), 2145-2163.</w:t>
      </w:r>
    </w:p>
    <w:p w14:paraId="52A73414" w14:textId="77777777" w:rsidR="00D17ECF" w:rsidRDefault="00D17ECF" w:rsidP="00D17ECF">
      <w:pPr>
        <w:jc w:val="both"/>
        <w:rPr>
          <w:rFonts w:ascii="Garamond" w:hAnsi="Garamond"/>
          <w:sz w:val="24"/>
          <w:szCs w:val="24"/>
        </w:rPr>
      </w:pPr>
      <w:r w:rsidRPr="00180AC4">
        <w:rPr>
          <w:rFonts w:ascii="Garamond" w:hAnsi="Garamond"/>
          <w:sz w:val="24"/>
          <w:szCs w:val="24"/>
        </w:rPr>
        <w:t xml:space="preserve">Lagerkvist, C. J., Hess, S., </w:t>
      </w:r>
      <w:proofErr w:type="spellStart"/>
      <w:r w:rsidRPr="00180AC4">
        <w:rPr>
          <w:rFonts w:ascii="Garamond" w:hAnsi="Garamond"/>
          <w:sz w:val="24"/>
          <w:szCs w:val="24"/>
        </w:rPr>
        <w:t>Okello</w:t>
      </w:r>
      <w:proofErr w:type="spellEnd"/>
      <w:r w:rsidRPr="00180AC4">
        <w:rPr>
          <w:rFonts w:ascii="Garamond" w:hAnsi="Garamond"/>
          <w:sz w:val="24"/>
          <w:szCs w:val="24"/>
        </w:rPr>
        <w:t xml:space="preserve">, J., &amp; </w:t>
      </w:r>
      <w:proofErr w:type="spellStart"/>
      <w:r w:rsidRPr="00180AC4">
        <w:rPr>
          <w:rFonts w:ascii="Garamond" w:hAnsi="Garamond"/>
          <w:sz w:val="24"/>
          <w:szCs w:val="24"/>
        </w:rPr>
        <w:t>Karanja</w:t>
      </w:r>
      <w:proofErr w:type="spellEnd"/>
      <w:r w:rsidRPr="00180AC4">
        <w:rPr>
          <w:rFonts w:ascii="Garamond" w:hAnsi="Garamond"/>
          <w:sz w:val="24"/>
          <w:szCs w:val="24"/>
        </w:rPr>
        <w:t>, N. (2013). Consumer willingness to pay for safer vegetables in urban markets of a developing country: The case of Kale in Nairobi, Kenya. </w:t>
      </w:r>
      <w:r w:rsidRPr="00180AC4">
        <w:rPr>
          <w:rFonts w:ascii="Garamond" w:hAnsi="Garamond"/>
          <w:i/>
          <w:iCs/>
          <w:sz w:val="24"/>
          <w:szCs w:val="24"/>
        </w:rPr>
        <w:t>The Journal of Development Studies</w:t>
      </w:r>
      <w:r w:rsidRPr="00180AC4">
        <w:rPr>
          <w:rFonts w:ascii="Garamond" w:hAnsi="Garamond"/>
          <w:sz w:val="24"/>
          <w:szCs w:val="24"/>
        </w:rPr>
        <w:t>, </w:t>
      </w:r>
      <w:r w:rsidRPr="00180AC4">
        <w:rPr>
          <w:rFonts w:ascii="Garamond" w:hAnsi="Garamond"/>
          <w:i/>
          <w:iCs/>
          <w:sz w:val="24"/>
          <w:szCs w:val="24"/>
        </w:rPr>
        <w:t>49</w:t>
      </w:r>
      <w:r w:rsidRPr="00180AC4">
        <w:rPr>
          <w:rFonts w:ascii="Garamond" w:hAnsi="Garamond"/>
          <w:sz w:val="24"/>
          <w:szCs w:val="24"/>
        </w:rPr>
        <w:t>(3), 365-382.</w:t>
      </w:r>
    </w:p>
    <w:p w14:paraId="7385CDD0" w14:textId="77777777" w:rsidR="00D17ECF" w:rsidRDefault="00D17ECF" w:rsidP="00D17ECF">
      <w:pPr>
        <w:jc w:val="both"/>
        <w:rPr>
          <w:rFonts w:ascii="Garamond" w:hAnsi="Garamond"/>
          <w:sz w:val="24"/>
          <w:szCs w:val="24"/>
        </w:rPr>
      </w:pPr>
      <w:r w:rsidRPr="00061BC5">
        <w:rPr>
          <w:rFonts w:ascii="Garamond" w:hAnsi="Garamond"/>
          <w:sz w:val="24"/>
          <w:szCs w:val="24"/>
        </w:rPr>
        <w:t xml:space="preserve">Lentz, C. (2015). </w:t>
      </w:r>
      <w:r>
        <w:rPr>
          <w:rFonts w:ascii="Garamond" w:hAnsi="Garamond"/>
          <w:sz w:val="24"/>
          <w:szCs w:val="24"/>
        </w:rPr>
        <w:t>‘</w:t>
      </w:r>
      <w:r w:rsidRPr="00061BC5">
        <w:rPr>
          <w:rFonts w:ascii="Garamond" w:hAnsi="Garamond"/>
          <w:sz w:val="24"/>
          <w:szCs w:val="24"/>
        </w:rPr>
        <w:t>Elites Or Middle Classes</w:t>
      </w:r>
      <w:proofErr w:type="gramStart"/>
      <w:r w:rsidRPr="00061BC5">
        <w:rPr>
          <w:rFonts w:ascii="Garamond" w:hAnsi="Garamond"/>
          <w:sz w:val="24"/>
          <w:szCs w:val="24"/>
        </w:rPr>
        <w:t>?:</w:t>
      </w:r>
      <w:proofErr w:type="gramEnd"/>
      <w:r w:rsidRPr="00061BC5">
        <w:rPr>
          <w:rFonts w:ascii="Garamond" w:hAnsi="Garamond"/>
          <w:sz w:val="24"/>
          <w:szCs w:val="24"/>
        </w:rPr>
        <w:t xml:space="preserve"> Lessons from Transnational Research for the Study of Social Stratification in Africa</w:t>
      </w:r>
      <w:r>
        <w:rPr>
          <w:rFonts w:ascii="Garamond" w:hAnsi="Garamond"/>
          <w:sz w:val="24"/>
          <w:szCs w:val="24"/>
        </w:rPr>
        <w:t>’</w:t>
      </w:r>
      <w:r w:rsidRPr="00061BC5">
        <w:rPr>
          <w:rFonts w:ascii="Garamond" w:hAnsi="Garamond"/>
          <w:sz w:val="24"/>
          <w:szCs w:val="24"/>
        </w:rPr>
        <w:t>.</w:t>
      </w:r>
      <w:r>
        <w:rPr>
          <w:rFonts w:ascii="Garamond" w:hAnsi="Garamond"/>
          <w:sz w:val="24"/>
          <w:szCs w:val="24"/>
        </w:rPr>
        <w:t xml:space="preserve"> </w:t>
      </w:r>
      <w:r w:rsidRPr="00061BC5">
        <w:rPr>
          <w:rFonts w:ascii="Garamond" w:hAnsi="Garamond"/>
          <w:sz w:val="24"/>
          <w:szCs w:val="24"/>
        </w:rPr>
        <w:t>Working Papers of the Department of Anthropology and African Studies of the Johannes Gutenberg University Mainz 161.</w:t>
      </w:r>
    </w:p>
    <w:p w14:paraId="6F3589A3" w14:textId="77777777" w:rsidR="00D17ECF" w:rsidRDefault="00D17ECF" w:rsidP="00D17ECF">
      <w:pPr>
        <w:jc w:val="both"/>
        <w:rPr>
          <w:rFonts w:ascii="Garamond" w:hAnsi="Garamond"/>
          <w:sz w:val="24"/>
          <w:szCs w:val="24"/>
        </w:rPr>
      </w:pPr>
      <w:r w:rsidRPr="00ED7D1B">
        <w:rPr>
          <w:rFonts w:ascii="Garamond" w:hAnsi="Garamond"/>
          <w:sz w:val="24"/>
          <w:szCs w:val="24"/>
        </w:rPr>
        <w:t xml:space="preserve">Lerner, A., Sweeney, S., &amp; </w:t>
      </w:r>
      <w:proofErr w:type="spellStart"/>
      <w:r w:rsidRPr="00ED7D1B">
        <w:rPr>
          <w:rFonts w:ascii="Garamond" w:hAnsi="Garamond"/>
          <w:sz w:val="24"/>
          <w:szCs w:val="24"/>
        </w:rPr>
        <w:t>Eakin</w:t>
      </w:r>
      <w:proofErr w:type="spellEnd"/>
      <w:r w:rsidRPr="00ED7D1B">
        <w:rPr>
          <w:rFonts w:ascii="Garamond" w:hAnsi="Garamond"/>
          <w:sz w:val="24"/>
          <w:szCs w:val="24"/>
        </w:rPr>
        <w:t>, H. (2014). Growing buildings in corn fields: Urban expansion and the persistence of maize in the Toluca Metropolitan Area, Mexico. </w:t>
      </w:r>
      <w:r w:rsidRPr="00ED7D1B">
        <w:rPr>
          <w:rFonts w:ascii="Garamond" w:hAnsi="Garamond"/>
          <w:i/>
          <w:iCs/>
          <w:sz w:val="24"/>
          <w:szCs w:val="24"/>
        </w:rPr>
        <w:t>Urban Studies</w:t>
      </w:r>
      <w:r w:rsidRPr="00ED7D1B">
        <w:rPr>
          <w:rFonts w:ascii="Garamond" w:hAnsi="Garamond"/>
          <w:sz w:val="24"/>
          <w:szCs w:val="24"/>
        </w:rPr>
        <w:t>, </w:t>
      </w:r>
      <w:r w:rsidRPr="00ED7D1B">
        <w:rPr>
          <w:rFonts w:ascii="Garamond" w:hAnsi="Garamond"/>
          <w:i/>
          <w:iCs/>
          <w:sz w:val="24"/>
          <w:szCs w:val="24"/>
        </w:rPr>
        <w:t>51</w:t>
      </w:r>
      <w:r w:rsidRPr="00ED7D1B">
        <w:rPr>
          <w:rFonts w:ascii="Garamond" w:hAnsi="Garamond"/>
          <w:sz w:val="24"/>
          <w:szCs w:val="24"/>
        </w:rPr>
        <w:t>(10), 2185-2201.</w:t>
      </w:r>
    </w:p>
    <w:p w14:paraId="73EE33C3" w14:textId="77777777" w:rsidR="00D17ECF" w:rsidRDefault="00D17ECF" w:rsidP="00D17ECF">
      <w:pPr>
        <w:jc w:val="both"/>
        <w:rPr>
          <w:rFonts w:ascii="Garamond" w:hAnsi="Garamond"/>
          <w:sz w:val="24"/>
          <w:szCs w:val="24"/>
        </w:rPr>
      </w:pPr>
      <w:r w:rsidRPr="008442D3">
        <w:rPr>
          <w:rFonts w:ascii="Garamond" w:hAnsi="Garamond"/>
          <w:sz w:val="24"/>
          <w:szCs w:val="24"/>
        </w:rPr>
        <w:t xml:space="preserve">Levin, C. E., </w:t>
      </w:r>
      <w:proofErr w:type="spellStart"/>
      <w:r w:rsidRPr="008442D3">
        <w:rPr>
          <w:rFonts w:ascii="Garamond" w:hAnsi="Garamond"/>
          <w:sz w:val="24"/>
          <w:szCs w:val="24"/>
        </w:rPr>
        <w:t>Ruel</w:t>
      </w:r>
      <w:proofErr w:type="spellEnd"/>
      <w:r w:rsidRPr="008442D3">
        <w:rPr>
          <w:rFonts w:ascii="Garamond" w:hAnsi="Garamond"/>
          <w:sz w:val="24"/>
          <w:szCs w:val="24"/>
        </w:rPr>
        <w:t xml:space="preserve">, M. T., Morris, S. S., Maxwell, D. G., </w:t>
      </w:r>
      <w:proofErr w:type="spellStart"/>
      <w:r w:rsidRPr="008442D3">
        <w:rPr>
          <w:rFonts w:ascii="Garamond" w:hAnsi="Garamond"/>
          <w:sz w:val="24"/>
          <w:szCs w:val="24"/>
        </w:rPr>
        <w:t>Armar-Klemesu</w:t>
      </w:r>
      <w:proofErr w:type="spellEnd"/>
      <w:r w:rsidRPr="008442D3">
        <w:rPr>
          <w:rFonts w:ascii="Garamond" w:hAnsi="Garamond"/>
          <w:sz w:val="24"/>
          <w:szCs w:val="24"/>
        </w:rPr>
        <w:t xml:space="preserve">, M., &amp; </w:t>
      </w:r>
      <w:proofErr w:type="spellStart"/>
      <w:r w:rsidRPr="008442D3">
        <w:rPr>
          <w:rFonts w:ascii="Garamond" w:hAnsi="Garamond"/>
          <w:sz w:val="24"/>
          <w:szCs w:val="24"/>
        </w:rPr>
        <w:t>Ahiadeke</w:t>
      </w:r>
      <w:proofErr w:type="spellEnd"/>
      <w:r w:rsidRPr="008442D3">
        <w:rPr>
          <w:rFonts w:ascii="Garamond" w:hAnsi="Garamond"/>
          <w:sz w:val="24"/>
          <w:szCs w:val="24"/>
        </w:rPr>
        <w:t>, C. (1999). Working women in an urban setting: traders, vendors and food security in Accra. </w:t>
      </w:r>
      <w:r w:rsidRPr="008442D3">
        <w:rPr>
          <w:rFonts w:ascii="Garamond" w:hAnsi="Garamond"/>
          <w:i/>
          <w:iCs/>
          <w:sz w:val="24"/>
          <w:szCs w:val="24"/>
        </w:rPr>
        <w:t>World Development</w:t>
      </w:r>
      <w:r w:rsidRPr="008442D3">
        <w:rPr>
          <w:rFonts w:ascii="Garamond" w:hAnsi="Garamond"/>
          <w:sz w:val="24"/>
          <w:szCs w:val="24"/>
        </w:rPr>
        <w:t>, </w:t>
      </w:r>
      <w:r w:rsidRPr="008442D3">
        <w:rPr>
          <w:rFonts w:ascii="Garamond" w:hAnsi="Garamond"/>
          <w:i/>
          <w:iCs/>
          <w:sz w:val="24"/>
          <w:szCs w:val="24"/>
        </w:rPr>
        <w:t>27</w:t>
      </w:r>
      <w:r w:rsidRPr="008442D3">
        <w:rPr>
          <w:rFonts w:ascii="Garamond" w:hAnsi="Garamond"/>
          <w:sz w:val="24"/>
          <w:szCs w:val="24"/>
        </w:rPr>
        <w:t>(11), 1977-1991.</w:t>
      </w:r>
    </w:p>
    <w:p w14:paraId="1444C24B" w14:textId="77777777" w:rsidR="00D17ECF" w:rsidRDefault="00D17ECF" w:rsidP="00D17ECF">
      <w:pPr>
        <w:jc w:val="both"/>
        <w:rPr>
          <w:rFonts w:ascii="Garamond" w:hAnsi="Garamond"/>
          <w:sz w:val="24"/>
          <w:szCs w:val="24"/>
        </w:rPr>
      </w:pPr>
      <w:proofErr w:type="spellStart"/>
      <w:r w:rsidRPr="00625B13">
        <w:rPr>
          <w:rFonts w:ascii="Garamond" w:hAnsi="Garamond"/>
          <w:sz w:val="24"/>
          <w:szCs w:val="24"/>
        </w:rPr>
        <w:t>Luckham</w:t>
      </w:r>
      <w:proofErr w:type="spellEnd"/>
      <w:r>
        <w:rPr>
          <w:rFonts w:ascii="Garamond" w:hAnsi="Garamond"/>
          <w:sz w:val="24"/>
          <w:szCs w:val="24"/>
        </w:rPr>
        <w:t>, R.,</w:t>
      </w:r>
      <w:r w:rsidRPr="00625B13">
        <w:rPr>
          <w:rFonts w:ascii="Garamond" w:hAnsi="Garamond"/>
          <w:sz w:val="24"/>
          <w:szCs w:val="24"/>
        </w:rPr>
        <w:t xml:space="preserve"> </w:t>
      </w:r>
      <w:proofErr w:type="spellStart"/>
      <w:r w:rsidRPr="00625B13">
        <w:rPr>
          <w:rFonts w:ascii="Garamond" w:hAnsi="Garamond"/>
          <w:sz w:val="24"/>
          <w:szCs w:val="24"/>
        </w:rPr>
        <w:t>Gyimah-Boadi</w:t>
      </w:r>
      <w:proofErr w:type="spellEnd"/>
      <w:r w:rsidRPr="00625B13">
        <w:rPr>
          <w:rFonts w:ascii="Garamond" w:hAnsi="Garamond"/>
          <w:sz w:val="24"/>
          <w:szCs w:val="24"/>
        </w:rPr>
        <w:t>,</w:t>
      </w:r>
      <w:r>
        <w:rPr>
          <w:rFonts w:ascii="Garamond" w:hAnsi="Garamond"/>
          <w:sz w:val="24"/>
          <w:szCs w:val="24"/>
        </w:rPr>
        <w:t xml:space="preserve"> E., </w:t>
      </w:r>
      <w:proofErr w:type="spellStart"/>
      <w:r w:rsidRPr="00625B13">
        <w:rPr>
          <w:rFonts w:ascii="Garamond" w:hAnsi="Garamond"/>
          <w:sz w:val="24"/>
          <w:szCs w:val="24"/>
        </w:rPr>
        <w:t>Ahadzie</w:t>
      </w:r>
      <w:proofErr w:type="spellEnd"/>
      <w:r>
        <w:rPr>
          <w:rFonts w:ascii="Garamond" w:hAnsi="Garamond"/>
          <w:sz w:val="24"/>
          <w:szCs w:val="24"/>
        </w:rPr>
        <w:t xml:space="preserve">, W. and </w:t>
      </w:r>
      <w:proofErr w:type="spellStart"/>
      <w:r w:rsidRPr="00625B13">
        <w:rPr>
          <w:rFonts w:ascii="Garamond" w:hAnsi="Garamond"/>
          <w:sz w:val="24"/>
          <w:szCs w:val="24"/>
        </w:rPr>
        <w:t>Boateng</w:t>
      </w:r>
      <w:proofErr w:type="spellEnd"/>
      <w:r>
        <w:rPr>
          <w:rFonts w:ascii="Garamond" w:hAnsi="Garamond"/>
          <w:sz w:val="24"/>
          <w:szCs w:val="24"/>
        </w:rPr>
        <w:t>, N. (2005). The middle classes and their role in national development.</w:t>
      </w:r>
      <w:r w:rsidRPr="00625B13">
        <w:t xml:space="preserve"> </w:t>
      </w:r>
      <w:r w:rsidRPr="00625B13">
        <w:rPr>
          <w:rFonts w:ascii="Garamond" w:hAnsi="Garamond"/>
          <w:sz w:val="24"/>
          <w:szCs w:val="24"/>
        </w:rPr>
        <w:t>CDD/ODI Po</w:t>
      </w:r>
      <w:r>
        <w:rPr>
          <w:rFonts w:ascii="Garamond" w:hAnsi="Garamond"/>
          <w:sz w:val="24"/>
          <w:szCs w:val="24"/>
        </w:rPr>
        <w:t xml:space="preserve">licy Brief No. 3, November 2005. </w:t>
      </w:r>
    </w:p>
    <w:p w14:paraId="2CDE73DD" w14:textId="77777777" w:rsidR="00D17ECF" w:rsidRDefault="00D17ECF" w:rsidP="00D17ECF">
      <w:pPr>
        <w:jc w:val="both"/>
        <w:rPr>
          <w:rFonts w:ascii="Garamond" w:hAnsi="Garamond"/>
          <w:sz w:val="24"/>
          <w:szCs w:val="24"/>
        </w:rPr>
      </w:pPr>
      <w:r w:rsidRPr="004E1306">
        <w:rPr>
          <w:rFonts w:ascii="Garamond" w:hAnsi="Garamond"/>
          <w:sz w:val="24"/>
          <w:szCs w:val="24"/>
        </w:rPr>
        <w:t xml:space="preserve">Masters, W. A., Rosenblum, N. Z., &amp; </w:t>
      </w:r>
      <w:proofErr w:type="spellStart"/>
      <w:r w:rsidRPr="004E1306">
        <w:rPr>
          <w:rFonts w:ascii="Garamond" w:hAnsi="Garamond"/>
          <w:sz w:val="24"/>
          <w:szCs w:val="24"/>
        </w:rPr>
        <w:t>Alemu</w:t>
      </w:r>
      <w:proofErr w:type="spellEnd"/>
      <w:r w:rsidRPr="004E1306">
        <w:rPr>
          <w:rFonts w:ascii="Garamond" w:hAnsi="Garamond"/>
          <w:sz w:val="24"/>
          <w:szCs w:val="24"/>
        </w:rPr>
        <w:t>, R. G. (2018). Agricultural transformation, nutrition transition and food policy in Africa: Preston curves reveal new stylised facts. </w:t>
      </w:r>
      <w:r w:rsidRPr="004E1306">
        <w:rPr>
          <w:rFonts w:ascii="Garamond" w:hAnsi="Garamond"/>
          <w:i/>
          <w:iCs/>
          <w:sz w:val="24"/>
          <w:szCs w:val="24"/>
        </w:rPr>
        <w:t>The Journal of Development Studies</w:t>
      </w:r>
      <w:r w:rsidRPr="004E1306">
        <w:rPr>
          <w:rFonts w:ascii="Garamond" w:hAnsi="Garamond"/>
          <w:sz w:val="24"/>
          <w:szCs w:val="24"/>
        </w:rPr>
        <w:t>, </w:t>
      </w:r>
      <w:r w:rsidRPr="004E1306">
        <w:rPr>
          <w:rFonts w:ascii="Garamond" w:hAnsi="Garamond"/>
          <w:i/>
          <w:iCs/>
          <w:sz w:val="24"/>
          <w:szCs w:val="24"/>
        </w:rPr>
        <w:t>54</w:t>
      </w:r>
      <w:r w:rsidRPr="004E1306">
        <w:rPr>
          <w:rFonts w:ascii="Garamond" w:hAnsi="Garamond"/>
          <w:sz w:val="24"/>
          <w:szCs w:val="24"/>
        </w:rPr>
        <w:t>(5), 788-802.</w:t>
      </w:r>
    </w:p>
    <w:p w14:paraId="6D0FBD19" w14:textId="77777777" w:rsidR="00D17ECF" w:rsidRDefault="00D17ECF" w:rsidP="00D17ECF">
      <w:pPr>
        <w:jc w:val="both"/>
        <w:rPr>
          <w:rFonts w:ascii="Garamond" w:hAnsi="Garamond"/>
          <w:sz w:val="24"/>
          <w:szCs w:val="24"/>
        </w:rPr>
      </w:pPr>
      <w:r w:rsidRPr="005E01AD">
        <w:rPr>
          <w:rFonts w:ascii="Garamond" w:hAnsi="Garamond"/>
          <w:sz w:val="24"/>
          <w:szCs w:val="24"/>
        </w:rPr>
        <w:t>Maxwell, D. (1999). The political economy of urban food security in Sub-Saharan Africa. </w:t>
      </w:r>
      <w:r w:rsidRPr="005E01AD">
        <w:rPr>
          <w:rFonts w:ascii="Garamond" w:hAnsi="Garamond"/>
          <w:i/>
          <w:iCs/>
          <w:sz w:val="24"/>
          <w:szCs w:val="24"/>
        </w:rPr>
        <w:t>World Development</w:t>
      </w:r>
      <w:r w:rsidRPr="005E01AD">
        <w:rPr>
          <w:rFonts w:ascii="Garamond" w:hAnsi="Garamond"/>
          <w:sz w:val="24"/>
          <w:szCs w:val="24"/>
        </w:rPr>
        <w:t>, </w:t>
      </w:r>
      <w:r w:rsidRPr="005E01AD">
        <w:rPr>
          <w:rFonts w:ascii="Garamond" w:hAnsi="Garamond"/>
          <w:i/>
          <w:iCs/>
          <w:sz w:val="24"/>
          <w:szCs w:val="24"/>
        </w:rPr>
        <w:t>27</w:t>
      </w:r>
      <w:r w:rsidRPr="005E01AD">
        <w:rPr>
          <w:rFonts w:ascii="Garamond" w:hAnsi="Garamond"/>
          <w:sz w:val="24"/>
          <w:szCs w:val="24"/>
        </w:rPr>
        <w:t>(11), 1939-1953.</w:t>
      </w:r>
    </w:p>
    <w:p w14:paraId="0FD663CB" w14:textId="77777777" w:rsidR="00D17ECF" w:rsidRDefault="00D17ECF" w:rsidP="00D17ECF">
      <w:pPr>
        <w:jc w:val="both"/>
        <w:rPr>
          <w:rFonts w:ascii="Garamond" w:hAnsi="Garamond"/>
          <w:sz w:val="24"/>
          <w:szCs w:val="24"/>
        </w:rPr>
      </w:pPr>
      <w:r w:rsidRPr="003E1EEC">
        <w:rPr>
          <w:rFonts w:ascii="Garamond" w:hAnsi="Garamond"/>
          <w:sz w:val="24"/>
          <w:szCs w:val="24"/>
        </w:rPr>
        <w:t xml:space="preserve">Maxwell, D., Levin, C., </w:t>
      </w:r>
      <w:proofErr w:type="spellStart"/>
      <w:r w:rsidRPr="003E1EEC">
        <w:rPr>
          <w:rFonts w:ascii="Garamond" w:hAnsi="Garamond"/>
          <w:sz w:val="24"/>
          <w:szCs w:val="24"/>
        </w:rPr>
        <w:t>Armar-Klemesu</w:t>
      </w:r>
      <w:proofErr w:type="spellEnd"/>
      <w:r w:rsidRPr="003E1EEC">
        <w:rPr>
          <w:rFonts w:ascii="Garamond" w:hAnsi="Garamond"/>
          <w:sz w:val="24"/>
          <w:szCs w:val="24"/>
        </w:rPr>
        <w:t xml:space="preserve">, M., </w:t>
      </w:r>
      <w:proofErr w:type="spellStart"/>
      <w:r w:rsidRPr="003E1EEC">
        <w:rPr>
          <w:rFonts w:ascii="Garamond" w:hAnsi="Garamond"/>
          <w:sz w:val="24"/>
          <w:szCs w:val="24"/>
        </w:rPr>
        <w:t>Ruel</w:t>
      </w:r>
      <w:proofErr w:type="spellEnd"/>
      <w:r w:rsidRPr="003E1EEC">
        <w:rPr>
          <w:rFonts w:ascii="Garamond" w:hAnsi="Garamond"/>
          <w:sz w:val="24"/>
          <w:szCs w:val="24"/>
        </w:rPr>
        <w:t xml:space="preserve">, M., Morris, S., &amp; </w:t>
      </w:r>
      <w:proofErr w:type="spellStart"/>
      <w:r w:rsidRPr="003E1EEC">
        <w:rPr>
          <w:rFonts w:ascii="Garamond" w:hAnsi="Garamond"/>
          <w:sz w:val="24"/>
          <w:szCs w:val="24"/>
        </w:rPr>
        <w:t>Ahiadeke</w:t>
      </w:r>
      <w:proofErr w:type="spellEnd"/>
      <w:r w:rsidRPr="003E1EEC">
        <w:rPr>
          <w:rFonts w:ascii="Garamond" w:hAnsi="Garamond"/>
          <w:sz w:val="24"/>
          <w:szCs w:val="24"/>
        </w:rPr>
        <w:t>, C. (2000). </w:t>
      </w:r>
      <w:r w:rsidRPr="003E1EEC">
        <w:rPr>
          <w:rFonts w:ascii="Garamond" w:hAnsi="Garamond"/>
          <w:i/>
          <w:iCs/>
          <w:sz w:val="24"/>
          <w:szCs w:val="24"/>
        </w:rPr>
        <w:t>Urban livelihoods and food and nutrition security in Greater Accra, Ghana</w:t>
      </w:r>
      <w:r w:rsidRPr="003E1EEC">
        <w:rPr>
          <w:rFonts w:ascii="Garamond" w:hAnsi="Garamond"/>
          <w:sz w:val="24"/>
          <w:szCs w:val="24"/>
        </w:rPr>
        <w:t>. Washington, DC: International Food Policy Research Institute.</w:t>
      </w:r>
    </w:p>
    <w:p w14:paraId="2EBF1207" w14:textId="77777777" w:rsidR="00D17ECF" w:rsidRDefault="00D17ECF" w:rsidP="00D17ECF">
      <w:pPr>
        <w:jc w:val="both"/>
        <w:rPr>
          <w:rFonts w:ascii="Garamond" w:hAnsi="Garamond"/>
          <w:sz w:val="24"/>
          <w:szCs w:val="24"/>
        </w:rPr>
      </w:pPr>
      <w:r>
        <w:rPr>
          <w:rFonts w:ascii="Garamond" w:hAnsi="Garamond"/>
          <w:sz w:val="24"/>
          <w:szCs w:val="24"/>
        </w:rPr>
        <w:t>MOH (2013). National Nutrition Policy 2013-2017, Accra: Ministry of Health.</w:t>
      </w:r>
    </w:p>
    <w:p w14:paraId="7323619E" w14:textId="77777777" w:rsidR="00D17ECF" w:rsidRDefault="00D17ECF" w:rsidP="00D17ECF">
      <w:pPr>
        <w:jc w:val="both"/>
        <w:rPr>
          <w:rFonts w:ascii="Garamond" w:hAnsi="Garamond"/>
          <w:sz w:val="24"/>
          <w:szCs w:val="24"/>
        </w:rPr>
      </w:pPr>
      <w:r>
        <w:rPr>
          <w:rFonts w:ascii="Garamond" w:hAnsi="Garamond"/>
          <w:sz w:val="24"/>
          <w:szCs w:val="24"/>
        </w:rPr>
        <w:t>Molina, E. and Martin, G. (2015). Education service delivery in Mozambique. World Bank, October 2015.</w:t>
      </w:r>
    </w:p>
    <w:p w14:paraId="2F64EAC0" w14:textId="77777777" w:rsidR="00D17ECF" w:rsidRDefault="00D17ECF" w:rsidP="00D17ECF">
      <w:pPr>
        <w:jc w:val="both"/>
        <w:rPr>
          <w:rFonts w:ascii="Garamond" w:hAnsi="Garamond"/>
          <w:sz w:val="24"/>
          <w:szCs w:val="24"/>
        </w:rPr>
      </w:pPr>
      <w:r w:rsidRPr="00C169FE">
        <w:rPr>
          <w:rFonts w:ascii="Garamond" w:hAnsi="Garamond"/>
          <w:sz w:val="24"/>
          <w:szCs w:val="24"/>
        </w:rPr>
        <w:t xml:space="preserve">Monteiro, C. A., </w:t>
      </w:r>
      <w:proofErr w:type="spellStart"/>
      <w:r w:rsidRPr="00C169FE">
        <w:rPr>
          <w:rFonts w:ascii="Garamond" w:hAnsi="Garamond"/>
          <w:sz w:val="24"/>
          <w:szCs w:val="24"/>
        </w:rPr>
        <w:t>Moubarac</w:t>
      </w:r>
      <w:proofErr w:type="spellEnd"/>
      <w:r w:rsidRPr="00C169FE">
        <w:rPr>
          <w:rFonts w:ascii="Garamond" w:hAnsi="Garamond"/>
          <w:sz w:val="24"/>
          <w:szCs w:val="24"/>
        </w:rPr>
        <w:t xml:space="preserve">, J. C., Cannon, G., Ng, S. W., &amp; </w:t>
      </w:r>
      <w:proofErr w:type="spellStart"/>
      <w:r w:rsidRPr="00C169FE">
        <w:rPr>
          <w:rFonts w:ascii="Garamond" w:hAnsi="Garamond"/>
          <w:sz w:val="24"/>
          <w:szCs w:val="24"/>
        </w:rPr>
        <w:t>Popkin</w:t>
      </w:r>
      <w:proofErr w:type="spellEnd"/>
      <w:r w:rsidRPr="00C169FE">
        <w:rPr>
          <w:rFonts w:ascii="Garamond" w:hAnsi="Garamond"/>
          <w:sz w:val="24"/>
          <w:szCs w:val="24"/>
        </w:rPr>
        <w:t>, B. (2013). Ultra</w:t>
      </w:r>
      <w:r w:rsidRPr="00C169FE">
        <w:rPr>
          <w:rFonts w:ascii="Cambria Math" w:hAnsi="Cambria Math" w:cs="Cambria Math"/>
          <w:sz w:val="24"/>
          <w:szCs w:val="24"/>
        </w:rPr>
        <w:t>‐</w:t>
      </w:r>
      <w:r w:rsidRPr="00C169FE">
        <w:rPr>
          <w:rFonts w:ascii="Garamond" w:hAnsi="Garamond"/>
          <w:sz w:val="24"/>
          <w:szCs w:val="24"/>
        </w:rPr>
        <w:t>processed products are becoming dominant in the global food system. </w:t>
      </w:r>
      <w:r w:rsidRPr="00C169FE">
        <w:rPr>
          <w:rFonts w:ascii="Garamond" w:hAnsi="Garamond"/>
          <w:i/>
          <w:iCs/>
          <w:sz w:val="24"/>
          <w:szCs w:val="24"/>
        </w:rPr>
        <w:t>Obesity reviews</w:t>
      </w:r>
      <w:r w:rsidRPr="00C169FE">
        <w:rPr>
          <w:rFonts w:ascii="Garamond" w:hAnsi="Garamond"/>
          <w:sz w:val="24"/>
          <w:szCs w:val="24"/>
        </w:rPr>
        <w:t>, </w:t>
      </w:r>
      <w:r w:rsidRPr="00C169FE">
        <w:rPr>
          <w:rFonts w:ascii="Garamond" w:hAnsi="Garamond"/>
          <w:i/>
          <w:iCs/>
          <w:sz w:val="24"/>
          <w:szCs w:val="24"/>
        </w:rPr>
        <w:t>14</w:t>
      </w:r>
      <w:r w:rsidRPr="00C169FE">
        <w:rPr>
          <w:rFonts w:ascii="Garamond" w:hAnsi="Garamond"/>
          <w:sz w:val="24"/>
          <w:szCs w:val="24"/>
        </w:rPr>
        <w:t>(S2), 21-28.</w:t>
      </w:r>
    </w:p>
    <w:p w14:paraId="4D8EA76F" w14:textId="77777777" w:rsidR="00D17ECF" w:rsidRDefault="00D17ECF" w:rsidP="00D17ECF">
      <w:pPr>
        <w:jc w:val="both"/>
        <w:rPr>
          <w:rFonts w:ascii="Garamond" w:hAnsi="Garamond"/>
          <w:sz w:val="24"/>
          <w:szCs w:val="24"/>
        </w:rPr>
      </w:pPr>
      <w:proofErr w:type="spellStart"/>
      <w:r>
        <w:rPr>
          <w:rFonts w:ascii="Garamond" w:hAnsi="Garamond"/>
          <w:sz w:val="24"/>
          <w:szCs w:val="24"/>
        </w:rPr>
        <w:lastRenderedPageBreak/>
        <w:t>Nyanteng</w:t>
      </w:r>
      <w:proofErr w:type="spellEnd"/>
      <w:r>
        <w:rPr>
          <w:rFonts w:ascii="Garamond" w:hAnsi="Garamond"/>
          <w:sz w:val="24"/>
          <w:szCs w:val="24"/>
        </w:rPr>
        <w:t xml:space="preserve">, V. K. and </w:t>
      </w:r>
      <w:proofErr w:type="spellStart"/>
      <w:r>
        <w:rPr>
          <w:rFonts w:ascii="Garamond" w:hAnsi="Garamond"/>
          <w:sz w:val="24"/>
          <w:szCs w:val="24"/>
        </w:rPr>
        <w:t>Wayo</w:t>
      </w:r>
      <w:proofErr w:type="spellEnd"/>
      <w:r>
        <w:rPr>
          <w:rFonts w:ascii="Garamond" w:hAnsi="Garamond"/>
          <w:sz w:val="24"/>
          <w:szCs w:val="24"/>
        </w:rPr>
        <w:t xml:space="preserve"> </w:t>
      </w:r>
      <w:proofErr w:type="spellStart"/>
      <w:r>
        <w:rPr>
          <w:rFonts w:ascii="Garamond" w:hAnsi="Garamond"/>
          <w:sz w:val="24"/>
          <w:szCs w:val="24"/>
        </w:rPr>
        <w:t>Seini</w:t>
      </w:r>
      <w:proofErr w:type="spellEnd"/>
      <w:r>
        <w:rPr>
          <w:rFonts w:ascii="Garamond" w:hAnsi="Garamond"/>
          <w:sz w:val="24"/>
          <w:szCs w:val="24"/>
        </w:rPr>
        <w:t xml:space="preserve">, A. (2000). ‘Agricultural policy and the impact on growth and productivity in 1970-1995’, in </w:t>
      </w:r>
      <w:proofErr w:type="spellStart"/>
      <w:r w:rsidRPr="00B753FA">
        <w:rPr>
          <w:rFonts w:ascii="Garamond" w:hAnsi="Garamond"/>
          <w:sz w:val="24"/>
          <w:szCs w:val="24"/>
        </w:rPr>
        <w:t>Aryeetey</w:t>
      </w:r>
      <w:proofErr w:type="spellEnd"/>
      <w:r w:rsidRPr="00B753FA">
        <w:rPr>
          <w:rFonts w:ascii="Garamond" w:hAnsi="Garamond"/>
          <w:sz w:val="24"/>
          <w:szCs w:val="24"/>
        </w:rPr>
        <w:t xml:space="preserve">, E., </w:t>
      </w:r>
      <w:proofErr w:type="spellStart"/>
      <w:r w:rsidRPr="00B753FA">
        <w:rPr>
          <w:rFonts w:ascii="Garamond" w:hAnsi="Garamond"/>
          <w:sz w:val="24"/>
          <w:szCs w:val="24"/>
        </w:rPr>
        <w:t>Harrigan</w:t>
      </w:r>
      <w:proofErr w:type="spellEnd"/>
      <w:r w:rsidRPr="00B753FA">
        <w:rPr>
          <w:rFonts w:ascii="Garamond" w:hAnsi="Garamond"/>
          <w:sz w:val="24"/>
          <w:szCs w:val="24"/>
        </w:rPr>
        <w:t xml:space="preserve">, J., &amp; </w:t>
      </w:r>
      <w:proofErr w:type="spellStart"/>
      <w:r w:rsidRPr="00B753FA">
        <w:rPr>
          <w:rFonts w:ascii="Garamond" w:hAnsi="Garamond"/>
          <w:sz w:val="24"/>
          <w:szCs w:val="24"/>
        </w:rPr>
        <w:t>Nissanke</w:t>
      </w:r>
      <w:proofErr w:type="spellEnd"/>
      <w:r w:rsidRPr="00B753FA">
        <w:rPr>
          <w:rFonts w:ascii="Garamond" w:hAnsi="Garamond"/>
          <w:sz w:val="24"/>
          <w:szCs w:val="24"/>
        </w:rPr>
        <w:t>, M.</w:t>
      </w:r>
      <w:r>
        <w:rPr>
          <w:rFonts w:ascii="Garamond" w:hAnsi="Garamond"/>
          <w:sz w:val="24"/>
          <w:szCs w:val="24"/>
        </w:rPr>
        <w:t xml:space="preserve"> eds.</w:t>
      </w:r>
      <w:r w:rsidRPr="00B753FA">
        <w:rPr>
          <w:rFonts w:ascii="Garamond" w:hAnsi="Garamond"/>
          <w:sz w:val="24"/>
          <w:szCs w:val="24"/>
        </w:rPr>
        <w:t xml:space="preserve"> (2000). </w:t>
      </w:r>
      <w:r w:rsidRPr="00B753FA">
        <w:rPr>
          <w:rFonts w:ascii="Garamond" w:hAnsi="Garamond"/>
          <w:i/>
          <w:iCs/>
          <w:sz w:val="24"/>
          <w:szCs w:val="24"/>
        </w:rPr>
        <w:t>Economic reforms in Ghana: The miracle and the mirage</w:t>
      </w:r>
      <w:r w:rsidRPr="00B753FA">
        <w:rPr>
          <w:rFonts w:ascii="Garamond" w:hAnsi="Garamond"/>
          <w:sz w:val="24"/>
          <w:szCs w:val="24"/>
        </w:rPr>
        <w:t>. Africa World Press.</w:t>
      </w:r>
    </w:p>
    <w:p w14:paraId="74BA2570" w14:textId="77777777" w:rsidR="00D17ECF" w:rsidRDefault="00D17ECF" w:rsidP="00D17ECF">
      <w:pPr>
        <w:jc w:val="both"/>
        <w:rPr>
          <w:rFonts w:ascii="Garamond" w:hAnsi="Garamond"/>
          <w:sz w:val="24"/>
          <w:szCs w:val="24"/>
        </w:rPr>
      </w:pPr>
      <w:proofErr w:type="spellStart"/>
      <w:r w:rsidRPr="00C614D7">
        <w:rPr>
          <w:rFonts w:ascii="Garamond" w:hAnsi="Garamond"/>
          <w:sz w:val="24"/>
          <w:szCs w:val="24"/>
        </w:rPr>
        <w:t>Obeng</w:t>
      </w:r>
      <w:r w:rsidRPr="00C614D7">
        <w:rPr>
          <w:rFonts w:ascii="Cambria Math" w:hAnsi="Cambria Math" w:cs="Cambria Math"/>
          <w:sz w:val="24"/>
          <w:szCs w:val="24"/>
        </w:rPr>
        <w:t>‐</w:t>
      </w:r>
      <w:r w:rsidRPr="00C614D7">
        <w:rPr>
          <w:rFonts w:ascii="Garamond" w:hAnsi="Garamond"/>
          <w:sz w:val="24"/>
          <w:szCs w:val="24"/>
        </w:rPr>
        <w:t>Odoom</w:t>
      </w:r>
      <w:proofErr w:type="spellEnd"/>
      <w:r w:rsidRPr="00C614D7">
        <w:rPr>
          <w:rFonts w:ascii="Garamond" w:hAnsi="Garamond"/>
          <w:sz w:val="24"/>
          <w:szCs w:val="24"/>
        </w:rPr>
        <w:t>, F. (2012). Neoliberalism and the urban economy in Ghana: Urban employment, inequality, and poverty. </w:t>
      </w:r>
      <w:r w:rsidRPr="00C614D7">
        <w:rPr>
          <w:rFonts w:ascii="Garamond" w:hAnsi="Garamond"/>
          <w:i/>
          <w:iCs/>
          <w:sz w:val="24"/>
          <w:szCs w:val="24"/>
        </w:rPr>
        <w:t>Growth and Change</w:t>
      </w:r>
      <w:r w:rsidRPr="00C614D7">
        <w:rPr>
          <w:rFonts w:ascii="Garamond" w:hAnsi="Garamond"/>
          <w:sz w:val="24"/>
          <w:szCs w:val="24"/>
        </w:rPr>
        <w:t>, </w:t>
      </w:r>
      <w:r w:rsidRPr="00C614D7">
        <w:rPr>
          <w:rFonts w:ascii="Garamond" w:hAnsi="Garamond"/>
          <w:i/>
          <w:iCs/>
          <w:sz w:val="24"/>
          <w:szCs w:val="24"/>
        </w:rPr>
        <w:t>43</w:t>
      </w:r>
      <w:r w:rsidRPr="00C614D7">
        <w:rPr>
          <w:rFonts w:ascii="Garamond" w:hAnsi="Garamond"/>
          <w:sz w:val="24"/>
          <w:szCs w:val="24"/>
        </w:rPr>
        <w:t>(1), 85-109.</w:t>
      </w:r>
    </w:p>
    <w:p w14:paraId="243B2AE8" w14:textId="77777777" w:rsidR="00D17ECF" w:rsidRDefault="00D17ECF" w:rsidP="00D17ECF">
      <w:pPr>
        <w:jc w:val="both"/>
        <w:rPr>
          <w:rFonts w:ascii="Garamond" w:hAnsi="Garamond"/>
          <w:sz w:val="24"/>
          <w:szCs w:val="24"/>
        </w:rPr>
      </w:pPr>
      <w:proofErr w:type="spellStart"/>
      <w:r w:rsidRPr="00E4299C">
        <w:rPr>
          <w:rFonts w:ascii="Garamond" w:hAnsi="Garamond"/>
          <w:sz w:val="24"/>
          <w:szCs w:val="24"/>
        </w:rPr>
        <w:t>Ofori-Asenso</w:t>
      </w:r>
      <w:proofErr w:type="spellEnd"/>
      <w:r w:rsidRPr="00E4299C">
        <w:rPr>
          <w:rFonts w:ascii="Garamond" w:hAnsi="Garamond"/>
          <w:sz w:val="24"/>
          <w:szCs w:val="24"/>
        </w:rPr>
        <w:t xml:space="preserve">, R., </w:t>
      </w:r>
      <w:proofErr w:type="spellStart"/>
      <w:r w:rsidRPr="00E4299C">
        <w:rPr>
          <w:rFonts w:ascii="Garamond" w:hAnsi="Garamond"/>
          <w:sz w:val="24"/>
          <w:szCs w:val="24"/>
        </w:rPr>
        <w:t>Agyeman</w:t>
      </w:r>
      <w:proofErr w:type="spellEnd"/>
      <w:r w:rsidRPr="00E4299C">
        <w:rPr>
          <w:rFonts w:ascii="Garamond" w:hAnsi="Garamond"/>
          <w:sz w:val="24"/>
          <w:szCs w:val="24"/>
        </w:rPr>
        <w:t xml:space="preserve">, A. A., </w:t>
      </w:r>
      <w:proofErr w:type="spellStart"/>
      <w:r w:rsidRPr="00E4299C">
        <w:rPr>
          <w:rFonts w:ascii="Garamond" w:hAnsi="Garamond"/>
          <w:sz w:val="24"/>
          <w:szCs w:val="24"/>
        </w:rPr>
        <w:t>Laar</w:t>
      </w:r>
      <w:proofErr w:type="spellEnd"/>
      <w:r w:rsidRPr="00E4299C">
        <w:rPr>
          <w:rFonts w:ascii="Garamond" w:hAnsi="Garamond"/>
          <w:sz w:val="24"/>
          <w:szCs w:val="24"/>
        </w:rPr>
        <w:t xml:space="preserve">, A., &amp; </w:t>
      </w:r>
      <w:proofErr w:type="spellStart"/>
      <w:r w:rsidRPr="00E4299C">
        <w:rPr>
          <w:rFonts w:ascii="Garamond" w:hAnsi="Garamond"/>
          <w:sz w:val="24"/>
          <w:szCs w:val="24"/>
        </w:rPr>
        <w:t>Boateng</w:t>
      </w:r>
      <w:proofErr w:type="spellEnd"/>
      <w:r w:rsidRPr="00E4299C">
        <w:rPr>
          <w:rFonts w:ascii="Garamond" w:hAnsi="Garamond"/>
          <w:sz w:val="24"/>
          <w:szCs w:val="24"/>
        </w:rPr>
        <w:t>, D. (2016). Overweight and obesity epidemic in Ghana—a systematic review and meta-analysis. </w:t>
      </w:r>
      <w:r w:rsidRPr="00E4299C">
        <w:rPr>
          <w:rFonts w:ascii="Garamond" w:hAnsi="Garamond"/>
          <w:i/>
          <w:iCs/>
          <w:sz w:val="24"/>
          <w:szCs w:val="24"/>
        </w:rPr>
        <w:t>BMC Public Health</w:t>
      </w:r>
      <w:r w:rsidRPr="00E4299C">
        <w:rPr>
          <w:rFonts w:ascii="Garamond" w:hAnsi="Garamond"/>
          <w:sz w:val="24"/>
          <w:szCs w:val="24"/>
        </w:rPr>
        <w:t>, </w:t>
      </w:r>
      <w:r w:rsidRPr="00E4299C">
        <w:rPr>
          <w:rFonts w:ascii="Garamond" w:hAnsi="Garamond"/>
          <w:i/>
          <w:iCs/>
          <w:sz w:val="24"/>
          <w:szCs w:val="24"/>
        </w:rPr>
        <w:t>16</w:t>
      </w:r>
      <w:r w:rsidRPr="00E4299C">
        <w:rPr>
          <w:rFonts w:ascii="Garamond" w:hAnsi="Garamond"/>
          <w:sz w:val="24"/>
          <w:szCs w:val="24"/>
        </w:rPr>
        <w:t>(1), 1239.</w:t>
      </w:r>
    </w:p>
    <w:p w14:paraId="0CE9CB72" w14:textId="77777777" w:rsidR="00D17ECF" w:rsidRPr="003B33D0" w:rsidRDefault="00D17ECF" w:rsidP="00D17ECF">
      <w:pPr>
        <w:jc w:val="both"/>
        <w:rPr>
          <w:rFonts w:ascii="Garamond" w:hAnsi="Garamond"/>
          <w:i/>
          <w:iCs/>
          <w:sz w:val="24"/>
          <w:szCs w:val="24"/>
        </w:rPr>
      </w:pPr>
      <w:proofErr w:type="spellStart"/>
      <w:r w:rsidRPr="003B33D0">
        <w:rPr>
          <w:rFonts w:ascii="Garamond" w:hAnsi="Garamond"/>
          <w:sz w:val="24"/>
          <w:szCs w:val="24"/>
        </w:rPr>
        <w:t>Ouma</w:t>
      </w:r>
      <w:proofErr w:type="spellEnd"/>
      <w:r w:rsidRPr="003B33D0">
        <w:rPr>
          <w:rFonts w:ascii="Garamond" w:hAnsi="Garamond"/>
          <w:sz w:val="24"/>
          <w:szCs w:val="24"/>
        </w:rPr>
        <w:t xml:space="preserve">, S. (2015) </w:t>
      </w:r>
      <w:r w:rsidRPr="003B33D0">
        <w:rPr>
          <w:rFonts w:ascii="Garamond" w:hAnsi="Garamond"/>
          <w:i/>
          <w:iCs/>
          <w:sz w:val="24"/>
          <w:szCs w:val="24"/>
        </w:rPr>
        <w:t>Export Markets: The Making and Unmaking</w:t>
      </w:r>
      <w:r>
        <w:rPr>
          <w:rFonts w:ascii="Garamond" w:hAnsi="Garamond"/>
          <w:i/>
          <w:iCs/>
          <w:sz w:val="24"/>
          <w:szCs w:val="24"/>
        </w:rPr>
        <w:t xml:space="preserve"> </w:t>
      </w:r>
      <w:r w:rsidRPr="003B33D0">
        <w:rPr>
          <w:rFonts w:ascii="Garamond" w:hAnsi="Garamond"/>
          <w:i/>
          <w:iCs/>
          <w:sz w:val="24"/>
          <w:szCs w:val="24"/>
        </w:rPr>
        <w:t>of Global Food Connection in West Africa</w:t>
      </w:r>
      <w:r w:rsidRPr="003B33D0">
        <w:rPr>
          <w:rFonts w:ascii="Garamond" w:hAnsi="Garamond"/>
          <w:sz w:val="24"/>
          <w:szCs w:val="24"/>
        </w:rPr>
        <w:t>, Chichester, UK:</w:t>
      </w:r>
      <w:r>
        <w:rPr>
          <w:rFonts w:ascii="Garamond" w:hAnsi="Garamond"/>
          <w:i/>
          <w:iCs/>
          <w:sz w:val="24"/>
          <w:szCs w:val="24"/>
        </w:rPr>
        <w:t xml:space="preserve"> </w:t>
      </w:r>
      <w:r w:rsidRPr="003B33D0">
        <w:rPr>
          <w:rFonts w:ascii="Garamond" w:hAnsi="Garamond"/>
          <w:sz w:val="24"/>
          <w:szCs w:val="24"/>
        </w:rPr>
        <w:t>John Wiley</w:t>
      </w:r>
      <w:r>
        <w:rPr>
          <w:rFonts w:ascii="Garamond" w:hAnsi="Garamond"/>
          <w:sz w:val="24"/>
          <w:szCs w:val="24"/>
        </w:rPr>
        <w:t>.</w:t>
      </w:r>
    </w:p>
    <w:p w14:paraId="002E7AA2" w14:textId="77777777" w:rsidR="00D17ECF" w:rsidRDefault="00D17ECF" w:rsidP="00D17ECF">
      <w:pPr>
        <w:jc w:val="both"/>
        <w:rPr>
          <w:rFonts w:ascii="Garamond" w:hAnsi="Garamond"/>
          <w:sz w:val="24"/>
          <w:szCs w:val="24"/>
        </w:rPr>
      </w:pPr>
      <w:proofErr w:type="spellStart"/>
      <w:r w:rsidRPr="00C12D3A">
        <w:rPr>
          <w:rFonts w:ascii="Garamond" w:hAnsi="Garamond"/>
          <w:sz w:val="24"/>
          <w:szCs w:val="24"/>
        </w:rPr>
        <w:t>Popkin</w:t>
      </w:r>
      <w:proofErr w:type="spellEnd"/>
      <w:r w:rsidRPr="00C12D3A">
        <w:rPr>
          <w:rFonts w:ascii="Garamond" w:hAnsi="Garamond"/>
          <w:sz w:val="24"/>
          <w:szCs w:val="24"/>
        </w:rPr>
        <w:t>, B. M., Adair, L. S., &amp; Ng, S. W. (2012). Global nutrition transition and the pandemic of obesity in developing countries. </w:t>
      </w:r>
      <w:r w:rsidRPr="00C12D3A">
        <w:rPr>
          <w:rFonts w:ascii="Garamond" w:hAnsi="Garamond"/>
          <w:i/>
          <w:iCs/>
          <w:sz w:val="24"/>
          <w:szCs w:val="24"/>
        </w:rPr>
        <w:t>Nutrition reviews</w:t>
      </w:r>
      <w:r w:rsidRPr="00C12D3A">
        <w:rPr>
          <w:rFonts w:ascii="Garamond" w:hAnsi="Garamond"/>
          <w:sz w:val="24"/>
          <w:szCs w:val="24"/>
        </w:rPr>
        <w:t>, </w:t>
      </w:r>
      <w:r w:rsidRPr="00C12D3A">
        <w:rPr>
          <w:rFonts w:ascii="Garamond" w:hAnsi="Garamond"/>
          <w:i/>
          <w:iCs/>
          <w:sz w:val="24"/>
          <w:szCs w:val="24"/>
        </w:rPr>
        <w:t>70</w:t>
      </w:r>
      <w:r w:rsidRPr="00C12D3A">
        <w:rPr>
          <w:rFonts w:ascii="Garamond" w:hAnsi="Garamond"/>
          <w:sz w:val="24"/>
          <w:szCs w:val="24"/>
        </w:rPr>
        <w:t>(1), 3-21.</w:t>
      </w:r>
    </w:p>
    <w:p w14:paraId="12233E65" w14:textId="77777777" w:rsidR="00D17ECF" w:rsidRPr="00127196" w:rsidRDefault="00D17ECF" w:rsidP="00D17ECF">
      <w:pPr>
        <w:jc w:val="both"/>
        <w:rPr>
          <w:rFonts w:ascii="Garamond" w:hAnsi="Garamond"/>
          <w:sz w:val="24"/>
          <w:szCs w:val="24"/>
        </w:rPr>
      </w:pPr>
      <w:proofErr w:type="spellStart"/>
      <w:r>
        <w:rPr>
          <w:rFonts w:ascii="Garamond" w:hAnsi="Garamond"/>
          <w:sz w:val="24"/>
          <w:szCs w:val="24"/>
        </w:rPr>
        <w:t>Ruel</w:t>
      </w:r>
      <w:proofErr w:type="spellEnd"/>
      <w:r>
        <w:rPr>
          <w:rFonts w:ascii="Garamond" w:hAnsi="Garamond"/>
          <w:sz w:val="24"/>
          <w:szCs w:val="24"/>
        </w:rPr>
        <w:t>, M. T. (2002) ‘</w:t>
      </w:r>
      <w:r w:rsidRPr="00127196">
        <w:rPr>
          <w:rFonts w:ascii="Garamond" w:hAnsi="Garamond"/>
          <w:sz w:val="24"/>
          <w:szCs w:val="24"/>
        </w:rPr>
        <w:t>Is dietary diversity an indicator of food security or dietary quality? A review of measurement issues and resea</w:t>
      </w:r>
      <w:r>
        <w:rPr>
          <w:rFonts w:ascii="Garamond" w:hAnsi="Garamond"/>
          <w:sz w:val="24"/>
          <w:szCs w:val="24"/>
        </w:rPr>
        <w:t>rch needs‘, FCND Discussion 319.</w:t>
      </w:r>
    </w:p>
    <w:p w14:paraId="6D1D5C3E" w14:textId="77777777" w:rsidR="00D17ECF" w:rsidRDefault="00D17ECF" w:rsidP="00D17ECF">
      <w:pPr>
        <w:jc w:val="both"/>
        <w:rPr>
          <w:rFonts w:ascii="Garamond" w:hAnsi="Garamond"/>
          <w:sz w:val="24"/>
          <w:szCs w:val="24"/>
          <w:lang w:val="en"/>
        </w:rPr>
      </w:pPr>
      <w:proofErr w:type="spellStart"/>
      <w:r w:rsidRPr="002D632B">
        <w:rPr>
          <w:rFonts w:ascii="Garamond" w:hAnsi="Garamond"/>
          <w:sz w:val="24"/>
          <w:szCs w:val="24"/>
          <w:lang w:val="en"/>
        </w:rPr>
        <w:t>Scrinis</w:t>
      </w:r>
      <w:proofErr w:type="spellEnd"/>
      <w:r w:rsidRPr="002D632B">
        <w:rPr>
          <w:rFonts w:ascii="Garamond" w:hAnsi="Garamond"/>
          <w:sz w:val="24"/>
          <w:szCs w:val="24"/>
          <w:lang w:val="en"/>
        </w:rPr>
        <w:t xml:space="preserve">, G. (2013). </w:t>
      </w:r>
      <w:proofErr w:type="spellStart"/>
      <w:r w:rsidRPr="002D632B">
        <w:rPr>
          <w:rFonts w:ascii="Garamond" w:hAnsi="Garamond"/>
          <w:sz w:val="24"/>
          <w:szCs w:val="24"/>
          <w:lang w:val="en"/>
        </w:rPr>
        <w:t>Nutritionism</w:t>
      </w:r>
      <w:proofErr w:type="spellEnd"/>
      <w:r w:rsidRPr="002D632B">
        <w:rPr>
          <w:rFonts w:ascii="Garamond" w:hAnsi="Garamond"/>
          <w:sz w:val="24"/>
          <w:szCs w:val="24"/>
          <w:lang w:val="en"/>
        </w:rPr>
        <w:t xml:space="preserve">: the science and politics of dietary advice, New York: Columbia University Press. </w:t>
      </w:r>
    </w:p>
    <w:p w14:paraId="1A689D89" w14:textId="77777777" w:rsidR="00D17ECF" w:rsidRDefault="00D17ECF" w:rsidP="00D17ECF">
      <w:pPr>
        <w:jc w:val="both"/>
        <w:rPr>
          <w:rFonts w:ascii="Garamond" w:hAnsi="Garamond"/>
          <w:sz w:val="24"/>
          <w:szCs w:val="24"/>
        </w:rPr>
      </w:pPr>
      <w:r>
        <w:rPr>
          <w:rFonts w:ascii="Garamond" w:hAnsi="Garamond"/>
          <w:sz w:val="24"/>
          <w:szCs w:val="24"/>
        </w:rPr>
        <w:t xml:space="preserve">UNDP Ghana (2015). Ghana </w:t>
      </w:r>
      <w:proofErr w:type="spellStart"/>
      <w:r>
        <w:rPr>
          <w:rFonts w:ascii="Garamond" w:hAnsi="Garamond"/>
          <w:sz w:val="24"/>
          <w:szCs w:val="24"/>
        </w:rPr>
        <w:t>Millenium</w:t>
      </w:r>
      <w:proofErr w:type="spellEnd"/>
      <w:r>
        <w:rPr>
          <w:rFonts w:ascii="Garamond" w:hAnsi="Garamond"/>
          <w:sz w:val="24"/>
          <w:szCs w:val="24"/>
        </w:rPr>
        <w:t xml:space="preserve"> Development Goals. Report. September 2015.</w:t>
      </w:r>
    </w:p>
    <w:p w14:paraId="3A7042BF" w14:textId="77777777" w:rsidR="00D17ECF" w:rsidRDefault="00D17ECF" w:rsidP="00D17ECF">
      <w:pPr>
        <w:jc w:val="both"/>
        <w:rPr>
          <w:rFonts w:ascii="Garamond" w:hAnsi="Garamond"/>
          <w:sz w:val="24"/>
          <w:szCs w:val="24"/>
        </w:rPr>
      </w:pPr>
      <w:r w:rsidRPr="00CD4A0F">
        <w:rPr>
          <w:rFonts w:ascii="Garamond" w:hAnsi="Garamond"/>
          <w:sz w:val="24"/>
          <w:szCs w:val="24"/>
        </w:rPr>
        <w:t xml:space="preserve">Vyas, S., &amp; </w:t>
      </w:r>
      <w:proofErr w:type="spellStart"/>
      <w:r w:rsidRPr="00CD4A0F">
        <w:rPr>
          <w:rFonts w:ascii="Garamond" w:hAnsi="Garamond"/>
          <w:sz w:val="24"/>
          <w:szCs w:val="24"/>
        </w:rPr>
        <w:t>Kumaranayake</w:t>
      </w:r>
      <w:proofErr w:type="spellEnd"/>
      <w:r w:rsidRPr="00CD4A0F">
        <w:rPr>
          <w:rFonts w:ascii="Garamond" w:hAnsi="Garamond"/>
          <w:sz w:val="24"/>
          <w:szCs w:val="24"/>
        </w:rPr>
        <w:t xml:space="preserve">, L. (2006). Constructing socio-economic status indices: how to use principal components analysis. </w:t>
      </w:r>
      <w:r w:rsidRPr="00CD4A0F">
        <w:rPr>
          <w:rFonts w:ascii="Garamond" w:hAnsi="Garamond"/>
          <w:i/>
          <w:iCs/>
          <w:sz w:val="24"/>
          <w:szCs w:val="24"/>
        </w:rPr>
        <w:t>Health Policy and Planning</w:t>
      </w:r>
      <w:proofErr w:type="gramStart"/>
      <w:r w:rsidRPr="00CD4A0F">
        <w:rPr>
          <w:rFonts w:ascii="Garamond" w:hAnsi="Garamond"/>
          <w:sz w:val="24"/>
          <w:szCs w:val="24"/>
        </w:rPr>
        <w:t>,</w:t>
      </w:r>
      <w:r w:rsidRPr="00CD4A0F">
        <w:rPr>
          <w:rFonts w:ascii="Garamond" w:hAnsi="Garamond"/>
          <w:i/>
          <w:iCs/>
          <w:sz w:val="24"/>
          <w:szCs w:val="24"/>
        </w:rPr>
        <w:t>21</w:t>
      </w:r>
      <w:proofErr w:type="gramEnd"/>
      <w:r w:rsidRPr="00CD4A0F">
        <w:rPr>
          <w:rFonts w:ascii="Garamond" w:hAnsi="Garamond"/>
          <w:sz w:val="24"/>
          <w:szCs w:val="24"/>
        </w:rPr>
        <w:t>(6), 459-468.</w:t>
      </w:r>
    </w:p>
    <w:p w14:paraId="7FBD7924" w14:textId="77777777" w:rsidR="00D17ECF" w:rsidRDefault="00D17ECF" w:rsidP="00D17ECF">
      <w:pPr>
        <w:jc w:val="both"/>
        <w:rPr>
          <w:rFonts w:ascii="Garamond" w:hAnsi="Garamond"/>
          <w:sz w:val="24"/>
          <w:szCs w:val="24"/>
        </w:rPr>
      </w:pPr>
      <w:r w:rsidRPr="00CD4A0F">
        <w:rPr>
          <w:rFonts w:ascii="Garamond" w:hAnsi="Garamond"/>
          <w:sz w:val="24"/>
          <w:szCs w:val="24"/>
        </w:rPr>
        <w:t>Wall, M., &amp; Johnston, D. (2008). Counting Heads or Counting Televisions: Can Asset</w:t>
      </w:r>
      <w:r w:rsidRPr="00CD4A0F">
        <w:rPr>
          <w:rFonts w:ascii="Cambria Math" w:hAnsi="Cambria Math" w:cs="Cambria Math"/>
          <w:sz w:val="24"/>
          <w:szCs w:val="24"/>
        </w:rPr>
        <w:t>‐</w:t>
      </w:r>
      <w:r w:rsidRPr="00CD4A0F">
        <w:rPr>
          <w:rFonts w:ascii="Garamond" w:hAnsi="Garamond"/>
          <w:sz w:val="24"/>
          <w:szCs w:val="24"/>
        </w:rPr>
        <w:t>based Measures of Welfare Assist Policy</w:t>
      </w:r>
      <w:r w:rsidRPr="00CD4A0F">
        <w:rPr>
          <w:rFonts w:ascii="Cambria Math" w:hAnsi="Cambria Math" w:cs="Cambria Math"/>
          <w:sz w:val="24"/>
          <w:szCs w:val="24"/>
        </w:rPr>
        <w:t>‐</w:t>
      </w:r>
      <w:r w:rsidRPr="00CD4A0F">
        <w:rPr>
          <w:rFonts w:ascii="Garamond" w:hAnsi="Garamond"/>
          <w:sz w:val="24"/>
          <w:szCs w:val="24"/>
        </w:rPr>
        <w:t>makers in Russia</w:t>
      </w:r>
      <w:proofErr w:type="gramStart"/>
      <w:r w:rsidRPr="00CD4A0F">
        <w:rPr>
          <w:rFonts w:ascii="Garamond" w:hAnsi="Garamond"/>
          <w:sz w:val="24"/>
          <w:szCs w:val="24"/>
        </w:rPr>
        <w:t>?.</w:t>
      </w:r>
      <w:proofErr w:type="gramEnd"/>
      <w:r w:rsidRPr="00CD4A0F">
        <w:rPr>
          <w:rFonts w:ascii="Garamond" w:hAnsi="Garamond"/>
          <w:sz w:val="24"/>
          <w:szCs w:val="24"/>
        </w:rPr>
        <w:t xml:space="preserve"> </w:t>
      </w:r>
      <w:r w:rsidRPr="00CD4A0F">
        <w:rPr>
          <w:rFonts w:ascii="Garamond" w:hAnsi="Garamond"/>
          <w:i/>
          <w:iCs/>
          <w:sz w:val="24"/>
          <w:szCs w:val="24"/>
        </w:rPr>
        <w:t>Journal of Human Development</w:t>
      </w:r>
      <w:r w:rsidRPr="00CD4A0F">
        <w:rPr>
          <w:rFonts w:ascii="Garamond" w:hAnsi="Garamond"/>
          <w:sz w:val="24"/>
          <w:szCs w:val="24"/>
        </w:rPr>
        <w:t xml:space="preserve">, </w:t>
      </w:r>
      <w:r w:rsidRPr="00CD4A0F">
        <w:rPr>
          <w:rFonts w:ascii="Garamond" w:hAnsi="Garamond"/>
          <w:i/>
          <w:iCs/>
          <w:sz w:val="24"/>
          <w:szCs w:val="24"/>
        </w:rPr>
        <w:t>9</w:t>
      </w:r>
      <w:r w:rsidRPr="00CD4A0F">
        <w:rPr>
          <w:rFonts w:ascii="Garamond" w:hAnsi="Garamond"/>
          <w:sz w:val="24"/>
          <w:szCs w:val="24"/>
        </w:rPr>
        <w:t>(1), 131-147.</w:t>
      </w:r>
    </w:p>
    <w:p w14:paraId="22DD5F87" w14:textId="77777777" w:rsidR="00D17ECF" w:rsidRDefault="00D17ECF" w:rsidP="00D17ECF">
      <w:pPr>
        <w:jc w:val="both"/>
        <w:rPr>
          <w:rFonts w:ascii="Garamond" w:hAnsi="Garamond"/>
          <w:sz w:val="24"/>
          <w:szCs w:val="24"/>
        </w:rPr>
      </w:pPr>
      <w:r>
        <w:rPr>
          <w:rFonts w:ascii="Garamond" w:hAnsi="Garamond"/>
          <w:sz w:val="24"/>
          <w:szCs w:val="24"/>
        </w:rPr>
        <w:t xml:space="preserve">WFP (2008). </w:t>
      </w:r>
      <w:r w:rsidRPr="000E5578">
        <w:rPr>
          <w:rFonts w:ascii="Garamond" w:hAnsi="Garamond"/>
          <w:sz w:val="24"/>
          <w:szCs w:val="24"/>
        </w:rPr>
        <w:t>Food consumption analysis Calculation and use of the food consumption score in food security analysis</w:t>
      </w:r>
      <w:r>
        <w:rPr>
          <w:rFonts w:ascii="Garamond" w:hAnsi="Garamond"/>
          <w:sz w:val="24"/>
          <w:szCs w:val="24"/>
        </w:rPr>
        <w:t>, Rome: World Food Programme.</w:t>
      </w:r>
    </w:p>
    <w:p w14:paraId="21A684DA" w14:textId="77777777" w:rsidR="00D17ECF" w:rsidRDefault="00D17ECF" w:rsidP="00D17ECF">
      <w:pPr>
        <w:jc w:val="both"/>
        <w:rPr>
          <w:rFonts w:ascii="Garamond" w:hAnsi="Garamond"/>
          <w:sz w:val="24"/>
          <w:szCs w:val="24"/>
        </w:rPr>
      </w:pPr>
      <w:r>
        <w:rPr>
          <w:rFonts w:ascii="Garamond" w:hAnsi="Garamond"/>
          <w:sz w:val="24"/>
          <w:szCs w:val="24"/>
        </w:rPr>
        <w:t xml:space="preserve">WHO (2012). Global school-based student health survey. Junior High Schools Report, World Health Organisation. </w:t>
      </w:r>
    </w:p>
    <w:p w14:paraId="0C436BA0" w14:textId="77777777" w:rsidR="00D17ECF" w:rsidRDefault="00D17ECF" w:rsidP="00D17ECF">
      <w:pPr>
        <w:jc w:val="both"/>
        <w:rPr>
          <w:rFonts w:ascii="Garamond" w:hAnsi="Garamond"/>
          <w:sz w:val="24"/>
          <w:szCs w:val="24"/>
          <w:lang w:val="en"/>
        </w:rPr>
      </w:pPr>
      <w:r w:rsidRPr="002D632B">
        <w:rPr>
          <w:rFonts w:ascii="Garamond" w:hAnsi="Garamond"/>
          <w:sz w:val="24"/>
          <w:szCs w:val="24"/>
          <w:lang w:val="en"/>
        </w:rPr>
        <w:t xml:space="preserve">Wiggins, S. et al. (2015). The rising cost of a healthy diet </w:t>
      </w:r>
      <w:proofErr w:type="gramStart"/>
      <w:r w:rsidRPr="002D632B">
        <w:rPr>
          <w:rFonts w:ascii="Garamond" w:hAnsi="Garamond"/>
          <w:sz w:val="24"/>
          <w:szCs w:val="24"/>
          <w:lang w:val="en"/>
        </w:rPr>
        <w:t>Changing</w:t>
      </w:r>
      <w:proofErr w:type="gramEnd"/>
      <w:r w:rsidRPr="002D632B">
        <w:rPr>
          <w:rFonts w:ascii="Garamond" w:hAnsi="Garamond"/>
          <w:sz w:val="24"/>
          <w:szCs w:val="24"/>
          <w:lang w:val="en"/>
        </w:rPr>
        <w:t xml:space="preserve"> relative prices of foods in high-income and emerging economies, London, Overseas Development Institute (ODI).</w:t>
      </w:r>
    </w:p>
    <w:p w14:paraId="030A15EB" w14:textId="77777777" w:rsidR="00D17ECF" w:rsidRPr="00D17ECF" w:rsidRDefault="00D17ECF" w:rsidP="00D17ECF">
      <w:pPr>
        <w:spacing w:line="480" w:lineRule="auto"/>
        <w:jc w:val="both"/>
        <w:rPr>
          <w:rFonts w:ascii="Garamond" w:hAnsi="Garamond"/>
          <w:sz w:val="24"/>
          <w:szCs w:val="24"/>
          <w:lang w:val="en"/>
        </w:rPr>
      </w:pPr>
    </w:p>
    <w:sectPr w:rsidR="00D17ECF" w:rsidRPr="00D17EC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A452E" w14:textId="77777777" w:rsidR="000A00A3" w:rsidRDefault="000A00A3" w:rsidP="0045414E">
      <w:pPr>
        <w:spacing w:after="0" w:line="240" w:lineRule="auto"/>
      </w:pPr>
      <w:r>
        <w:separator/>
      </w:r>
    </w:p>
  </w:endnote>
  <w:endnote w:type="continuationSeparator" w:id="0">
    <w:p w14:paraId="54C1CBB7" w14:textId="77777777" w:rsidR="000A00A3" w:rsidRDefault="000A00A3" w:rsidP="0045414E">
      <w:pPr>
        <w:spacing w:after="0" w:line="240" w:lineRule="auto"/>
      </w:pPr>
      <w:r>
        <w:continuationSeparator/>
      </w:r>
    </w:p>
  </w:endnote>
  <w:endnote w:id="1">
    <w:p w14:paraId="649B1F5C" w14:textId="11E0FDEF" w:rsidR="00D17ECF" w:rsidRPr="00542C23" w:rsidRDefault="00D17ECF" w:rsidP="001F1340">
      <w:pPr>
        <w:pStyle w:val="Testonotadichiusura"/>
        <w:jc w:val="both"/>
        <w:rPr>
          <w:rFonts w:ascii="Garamond" w:hAnsi="Garamond"/>
        </w:rPr>
      </w:pPr>
      <w:r w:rsidRPr="00542C23">
        <w:rPr>
          <w:rStyle w:val="Rimandonotadichiusura"/>
          <w:rFonts w:ascii="Garamond" w:hAnsi="Garamond"/>
        </w:rPr>
        <w:endnoteRef/>
      </w:r>
      <w:r>
        <w:rPr>
          <w:rFonts w:ascii="Garamond" w:hAnsi="Garamond"/>
        </w:rPr>
        <w:t xml:space="preserve"> The </w:t>
      </w:r>
      <w:r w:rsidRPr="00542C23">
        <w:rPr>
          <w:rFonts w:ascii="Garamond" w:hAnsi="Garamond"/>
        </w:rPr>
        <w:t xml:space="preserve">GHI is compiled by the International Food Policy Research Institute (IFPRI) combining four indicators: FAO prevalence of undernourishment, child stunting, </w:t>
      </w:r>
      <w:proofErr w:type="gramStart"/>
      <w:r w:rsidRPr="00542C23">
        <w:rPr>
          <w:rFonts w:ascii="Garamond" w:hAnsi="Garamond"/>
        </w:rPr>
        <w:t>child</w:t>
      </w:r>
      <w:proofErr w:type="gramEnd"/>
      <w:r w:rsidRPr="00542C23">
        <w:rPr>
          <w:rFonts w:ascii="Garamond" w:hAnsi="Garamond"/>
        </w:rPr>
        <w:t xml:space="preserve"> wasting and child mortality. The GHI is considered to be a good proxy of hidden hunger, linked to micronutrient imbalances. </w:t>
      </w:r>
    </w:p>
  </w:endnote>
  <w:endnote w:id="2">
    <w:p w14:paraId="2E0F01FC" w14:textId="7F7A8712" w:rsidR="00D17ECF" w:rsidRPr="0034458C" w:rsidRDefault="00D17ECF" w:rsidP="001F1340">
      <w:pPr>
        <w:pStyle w:val="Testonotadichiusura"/>
        <w:jc w:val="both"/>
        <w:rPr>
          <w:rFonts w:ascii="Garamond" w:hAnsi="Garamond"/>
        </w:rPr>
      </w:pPr>
      <w:r w:rsidRPr="0034458C">
        <w:rPr>
          <w:rStyle w:val="Rimandonotadichiusura"/>
          <w:rFonts w:ascii="Garamond" w:hAnsi="Garamond"/>
        </w:rPr>
        <w:endnoteRef/>
      </w:r>
      <w:r w:rsidRPr="0034458C">
        <w:rPr>
          <w:rFonts w:ascii="Garamond" w:hAnsi="Garamond"/>
        </w:rPr>
        <w:t xml:space="preserve"> It is recognised that the national statistics on food production and trade compiled by the Food and Agriculture Organisation (FAO) are </w:t>
      </w:r>
      <w:r w:rsidRPr="0044409F">
        <w:rPr>
          <w:rFonts w:ascii="Garamond" w:hAnsi="Garamond"/>
        </w:rPr>
        <w:t xml:space="preserve">subject to </w:t>
      </w:r>
      <w:r w:rsidRPr="0034458C">
        <w:rPr>
          <w:rFonts w:ascii="Garamond" w:hAnsi="Garamond"/>
        </w:rPr>
        <w:t>errors. The quality of this data is especially low for poorer countries, where data gaps are filled with model-based estimation</w:t>
      </w:r>
      <w:r>
        <w:rPr>
          <w:rFonts w:ascii="Garamond" w:hAnsi="Garamond"/>
        </w:rPr>
        <w:t>s</w:t>
      </w:r>
      <w:r w:rsidRPr="003F40E3">
        <w:rPr>
          <w:rFonts w:ascii="Garamond" w:hAnsi="Garamond"/>
        </w:rPr>
        <w:t xml:space="preserve">, which often </w:t>
      </w:r>
      <w:r w:rsidRPr="0034458C">
        <w:rPr>
          <w:rFonts w:ascii="Garamond" w:hAnsi="Garamond"/>
        </w:rPr>
        <w:t>differ</w:t>
      </w:r>
      <w:r>
        <w:rPr>
          <w:rFonts w:ascii="Garamond" w:hAnsi="Garamond"/>
        </w:rPr>
        <w:t xml:space="preserve"> substantially</w:t>
      </w:r>
      <w:r w:rsidRPr="0034458C">
        <w:rPr>
          <w:rFonts w:ascii="Garamond" w:hAnsi="Garamond"/>
        </w:rPr>
        <w:t xml:space="preserve"> from actual production</w:t>
      </w:r>
      <w:r>
        <w:rPr>
          <w:rFonts w:ascii="Garamond" w:hAnsi="Garamond"/>
        </w:rPr>
        <w:t xml:space="preserve"> and trade volumes (</w:t>
      </w:r>
      <w:proofErr w:type="spellStart"/>
      <w:r>
        <w:rPr>
          <w:rFonts w:ascii="Garamond" w:hAnsi="Garamond"/>
        </w:rPr>
        <w:t>Hawkesworth</w:t>
      </w:r>
      <w:proofErr w:type="spellEnd"/>
      <w:r>
        <w:rPr>
          <w:rFonts w:ascii="Garamond" w:hAnsi="Garamond"/>
        </w:rPr>
        <w:t xml:space="preserve"> et al. 2010)</w:t>
      </w:r>
      <w:r w:rsidRPr="0034458C">
        <w:rPr>
          <w:rFonts w:ascii="Garamond" w:hAnsi="Garamond"/>
        </w:rPr>
        <w:t xml:space="preserve">. </w:t>
      </w:r>
      <w:r w:rsidRPr="00B0145B">
        <w:rPr>
          <w:rFonts w:ascii="Garamond" w:hAnsi="Garamond"/>
        </w:rPr>
        <w:t>The</w:t>
      </w:r>
      <w:r>
        <w:rPr>
          <w:rFonts w:ascii="Garamond" w:hAnsi="Garamond"/>
        </w:rPr>
        <w:t>se statistics</w:t>
      </w:r>
      <w:r w:rsidRPr="00B0145B">
        <w:rPr>
          <w:rFonts w:ascii="Garamond" w:hAnsi="Garamond"/>
        </w:rPr>
        <w:t xml:space="preserve"> may</w:t>
      </w:r>
      <w:r w:rsidRPr="0034458C">
        <w:rPr>
          <w:rFonts w:ascii="Garamond" w:hAnsi="Garamond"/>
        </w:rPr>
        <w:t xml:space="preserve"> be </w:t>
      </w:r>
      <w:r>
        <w:rPr>
          <w:rFonts w:ascii="Garamond" w:hAnsi="Garamond"/>
        </w:rPr>
        <w:t>useful</w:t>
      </w:r>
      <w:r w:rsidRPr="0034458C">
        <w:rPr>
          <w:rFonts w:ascii="Garamond" w:hAnsi="Garamond"/>
        </w:rPr>
        <w:t xml:space="preserve"> to describe some broad patterns </w:t>
      </w:r>
      <w:r>
        <w:rPr>
          <w:rFonts w:ascii="Garamond" w:hAnsi="Garamond"/>
        </w:rPr>
        <w:t xml:space="preserve">of food production and trade, </w:t>
      </w:r>
      <w:r w:rsidRPr="0034458C">
        <w:rPr>
          <w:rFonts w:ascii="Garamond" w:hAnsi="Garamond"/>
        </w:rPr>
        <w:t xml:space="preserve">but </w:t>
      </w:r>
      <w:r>
        <w:rPr>
          <w:rFonts w:ascii="Garamond" w:hAnsi="Garamond"/>
        </w:rPr>
        <w:t>given their limitations they should only be used in combination with other evidence</w:t>
      </w:r>
      <w:r w:rsidRPr="0034458C">
        <w:rPr>
          <w:rFonts w:ascii="Garamond" w:hAnsi="Garamond"/>
        </w:rPr>
        <w:t xml:space="preserve">. </w:t>
      </w:r>
    </w:p>
  </w:endnote>
  <w:endnote w:id="3">
    <w:p w14:paraId="10CBFA2A" w14:textId="1A9CC829" w:rsidR="00D17ECF" w:rsidRPr="002F045C" w:rsidRDefault="00D17ECF" w:rsidP="002F045C">
      <w:pPr>
        <w:pStyle w:val="Testonotadichiusura"/>
        <w:jc w:val="both"/>
        <w:rPr>
          <w:rFonts w:ascii="Garamond" w:hAnsi="Garamond"/>
        </w:rPr>
      </w:pPr>
      <w:r w:rsidRPr="002F045C">
        <w:rPr>
          <w:rStyle w:val="Rimandonotadichiusura"/>
          <w:rFonts w:ascii="Garamond" w:hAnsi="Garamond"/>
        </w:rPr>
        <w:endnoteRef/>
      </w:r>
      <w:r w:rsidRPr="002F045C">
        <w:rPr>
          <w:rFonts w:ascii="Garamond" w:hAnsi="Garamond"/>
        </w:rPr>
        <w:t xml:space="preserve"> Packaged food includes cooking ingredients, dairy products and baby food, snacks and staple foods.</w:t>
      </w:r>
    </w:p>
  </w:endnote>
  <w:endnote w:id="4">
    <w:p w14:paraId="7C48DA05" w14:textId="0BB781DF" w:rsidR="00D17ECF" w:rsidRPr="009E133D" w:rsidRDefault="00D17ECF" w:rsidP="002F045C">
      <w:pPr>
        <w:pStyle w:val="Testonotadichiusura"/>
        <w:jc w:val="both"/>
        <w:rPr>
          <w:rFonts w:ascii="Garamond" w:hAnsi="Garamond"/>
        </w:rPr>
      </w:pPr>
      <w:r w:rsidRPr="009E133D">
        <w:rPr>
          <w:rStyle w:val="Rimandonotadichiusura"/>
          <w:rFonts w:ascii="Garamond" w:hAnsi="Garamond"/>
        </w:rPr>
        <w:endnoteRef/>
      </w:r>
      <w:r w:rsidRPr="009E133D">
        <w:rPr>
          <w:rFonts w:ascii="Garamond" w:hAnsi="Garamond"/>
        </w:rPr>
        <w:t xml:space="preserve"> On 19</w:t>
      </w:r>
      <w:r w:rsidRPr="009E133D">
        <w:rPr>
          <w:rFonts w:ascii="Garamond" w:hAnsi="Garamond"/>
          <w:vertAlign w:val="superscript"/>
        </w:rPr>
        <w:t>th</w:t>
      </w:r>
      <w:r w:rsidRPr="009E133D">
        <w:rPr>
          <w:rFonts w:ascii="Garamond" w:hAnsi="Garamond"/>
        </w:rPr>
        <w:t xml:space="preserve"> January 2016, Ghana Web reports that the total revenue for the three most important export commodities - oil, gold and cocoa – has declined by 2.4 billion USD between 2014 and 2015.  </w:t>
      </w:r>
    </w:p>
  </w:endnote>
  <w:endnote w:id="5">
    <w:p w14:paraId="350E5EE6" w14:textId="77777777" w:rsidR="00D17ECF" w:rsidRPr="009F7417" w:rsidRDefault="00D17ECF" w:rsidP="002B2349">
      <w:pPr>
        <w:pStyle w:val="Testonotadichiusura"/>
        <w:jc w:val="both"/>
        <w:rPr>
          <w:rFonts w:ascii="Garamond" w:hAnsi="Garamond"/>
        </w:rPr>
      </w:pPr>
      <w:r w:rsidRPr="009F7417">
        <w:rPr>
          <w:rStyle w:val="Rimandonotadichiusura"/>
          <w:rFonts w:ascii="Garamond" w:hAnsi="Garamond"/>
        </w:rPr>
        <w:endnoteRef/>
      </w:r>
      <w:r w:rsidRPr="009F7417">
        <w:rPr>
          <w:rFonts w:ascii="Garamond" w:hAnsi="Garamond"/>
        </w:rPr>
        <w:t xml:space="preserve"> </w:t>
      </w:r>
      <w:r w:rsidRPr="009F7417">
        <w:rPr>
          <w:rFonts w:ascii="Garamond" w:hAnsi="Garamond"/>
          <w:i/>
          <w:iCs/>
        </w:rPr>
        <w:t>Minimum teaching equipment</w:t>
      </w:r>
      <w:r w:rsidRPr="009F7417">
        <w:rPr>
          <w:rFonts w:ascii="Garamond" w:hAnsi="Garamond"/>
        </w:rPr>
        <w:t xml:space="preserve"> and </w:t>
      </w:r>
      <w:r w:rsidRPr="009F7417">
        <w:rPr>
          <w:rFonts w:ascii="Garamond" w:hAnsi="Garamond"/>
          <w:i/>
          <w:iCs/>
        </w:rPr>
        <w:t>minimum school infrastructure</w:t>
      </w:r>
      <w:r w:rsidRPr="009F7417">
        <w:rPr>
          <w:rFonts w:ascii="Garamond" w:hAnsi="Garamond"/>
        </w:rPr>
        <w:t xml:space="preserve"> are two World Bank’s Service Delivery Indicators (Molina and Martin 2015) used to assess the delivery of education and health. </w:t>
      </w:r>
      <w:r w:rsidRPr="009F7417">
        <w:rPr>
          <w:rFonts w:ascii="Garamond" w:hAnsi="Garamond"/>
          <w:i/>
          <w:iCs/>
        </w:rPr>
        <w:t>Minimum teaching resources</w:t>
      </w:r>
      <w:r w:rsidRPr="009F7417">
        <w:rPr>
          <w:rFonts w:ascii="Garamond" w:hAnsi="Garamond"/>
        </w:rPr>
        <w:t xml:space="preserve"> captures availability of (</w:t>
      </w:r>
      <w:proofErr w:type="spellStart"/>
      <w:r w:rsidRPr="009F7417">
        <w:rPr>
          <w:rFonts w:ascii="Garamond" w:hAnsi="Garamond"/>
        </w:rPr>
        <w:t>i</w:t>
      </w:r>
      <w:proofErr w:type="spellEnd"/>
      <w:r w:rsidRPr="009F7417">
        <w:rPr>
          <w:rFonts w:ascii="Garamond" w:hAnsi="Garamond"/>
        </w:rPr>
        <w:t xml:space="preserve">) whether a random classroom has a functioning blackboard and chalk, (ii) the share of students with pens, and (iii) the share of students with notebooks. </w:t>
      </w:r>
      <w:r w:rsidRPr="009F7417">
        <w:rPr>
          <w:rFonts w:ascii="Garamond" w:hAnsi="Garamond"/>
          <w:i/>
          <w:iCs/>
        </w:rPr>
        <w:t>Minimum infrastructure resources</w:t>
      </w:r>
      <w:r w:rsidRPr="009F7417">
        <w:rPr>
          <w:rFonts w:ascii="Garamond" w:hAnsi="Garamond"/>
        </w:rPr>
        <w:t xml:space="preserve"> reflects availability of (</w:t>
      </w:r>
      <w:proofErr w:type="spellStart"/>
      <w:r w:rsidRPr="009F7417">
        <w:rPr>
          <w:rFonts w:ascii="Garamond" w:hAnsi="Garamond"/>
        </w:rPr>
        <w:t>i</w:t>
      </w:r>
      <w:proofErr w:type="spellEnd"/>
      <w:r w:rsidRPr="009F7417">
        <w:rPr>
          <w:rFonts w:ascii="Garamond" w:hAnsi="Garamond"/>
        </w:rPr>
        <w:t xml:space="preserve">) functioning toilets operationalized as being clean, private, and accessible (ii) sufficient light to read the blackboard from the back of the classroom. The indicators, operationalized as binary, are based on researchers’ observation of selected schools. </w:t>
      </w:r>
    </w:p>
  </w:endnote>
  <w:endnote w:id="6">
    <w:p w14:paraId="035B7D51" w14:textId="49A580EA" w:rsidR="00D17ECF" w:rsidRPr="0085662E" w:rsidRDefault="00D17ECF" w:rsidP="0085662E">
      <w:pPr>
        <w:pStyle w:val="Testonotadichiusura"/>
        <w:jc w:val="both"/>
        <w:rPr>
          <w:rFonts w:ascii="Garamond" w:hAnsi="Garamond"/>
        </w:rPr>
      </w:pPr>
      <w:r w:rsidRPr="0085662E">
        <w:rPr>
          <w:rStyle w:val="Rimandonotadichiusura"/>
          <w:rFonts w:ascii="Garamond" w:hAnsi="Garamond"/>
        </w:rPr>
        <w:endnoteRef/>
      </w:r>
      <w:r>
        <w:rPr>
          <w:rFonts w:ascii="Garamond" w:hAnsi="Garamond"/>
        </w:rPr>
        <w:t xml:space="preserve"> Classifying</w:t>
      </w:r>
      <w:r w:rsidRPr="0085662E">
        <w:rPr>
          <w:rFonts w:ascii="Garamond" w:hAnsi="Garamond"/>
        </w:rPr>
        <w:t xml:space="preserve"> schools was preferable to classifying neighbourhoods due to lack of locality data and intra-locality heterogeneity (Maxwell et al. 2000), as well as the fact that children going to private schools tend not to live in the school area.</w:t>
      </w:r>
    </w:p>
  </w:endnote>
  <w:endnote w:id="7">
    <w:p w14:paraId="14E0898A" w14:textId="49A56176" w:rsidR="00D17ECF" w:rsidRPr="00D17ECF" w:rsidRDefault="00D17ECF" w:rsidP="00D17ECF">
      <w:pPr>
        <w:pStyle w:val="Testonotadichiusura"/>
        <w:jc w:val="both"/>
        <w:rPr>
          <w:rFonts w:ascii="Garamond" w:hAnsi="Garamond"/>
        </w:rPr>
      </w:pPr>
      <w:r w:rsidRPr="009771F5">
        <w:rPr>
          <w:rStyle w:val="Rimandonotadichiusura"/>
          <w:rFonts w:ascii="Garamond" w:hAnsi="Garamond"/>
        </w:rPr>
        <w:endnoteRef/>
      </w:r>
      <w:r w:rsidRPr="009771F5">
        <w:rPr>
          <w:rFonts w:ascii="Garamond" w:hAnsi="Garamond"/>
        </w:rPr>
        <w:t xml:space="preserve"> </w:t>
      </w:r>
      <w:r w:rsidRPr="00431B50">
        <w:rPr>
          <w:rFonts w:ascii="Garamond" w:hAnsi="Garamond"/>
        </w:rPr>
        <w:t xml:space="preserve">We considered the possibility that teacher’s participation could introduce </w:t>
      </w:r>
      <w:r>
        <w:rPr>
          <w:rFonts w:ascii="Garamond" w:hAnsi="Garamond"/>
        </w:rPr>
        <w:t>a</w:t>
      </w:r>
      <w:r w:rsidRPr="00431B50">
        <w:rPr>
          <w:rFonts w:ascii="Garamond" w:hAnsi="Garamond"/>
        </w:rPr>
        <w:t xml:space="preserve"> bias towards higher-achieving pupils. However,</w:t>
      </w:r>
      <w:r>
        <w:rPr>
          <w:rFonts w:ascii="Garamond" w:hAnsi="Garamond"/>
        </w:rPr>
        <w:t xml:space="preserve"> respondents obtained a thank-you gift of pens and pencils, it was also possible </w:t>
      </w:r>
      <w:r w:rsidRPr="00431B50">
        <w:rPr>
          <w:rFonts w:ascii="Garamond" w:hAnsi="Garamond"/>
        </w:rPr>
        <w:t xml:space="preserve">teachers </w:t>
      </w:r>
      <w:r>
        <w:rPr>
          <w:rFonts w:ascii="Garamond" w:hAnsi="Garamond"/>
        </w:rPr>
        <w:t>would</w:t>
      </w:r>
      <w:r w:rsidRPr="00431B50">
        <w:rPr>
          <w:rFonts w:ascii="Garamond" w:hAnsi="Garamond"/>
        </w:rPr>
        <w:t xml:space="preserve"> priori</w:t>
      </w:r>
      <w:r>
        <w:rPr>
          <w:rFonts w:ascii="Garamond" w:hAnsi="Garamond"/>
        </w:rPr>
        <w:t>tise</w:t>
      </w:r>
      <w:r w:rsidRPr="00431B50">
        <w:rPr>
          <w:rFonts w:ascii="Garamond" w:hAnsi="Garamond"/>
        </w:rPr>
        <w:t xml:space="preserve"> children from more vulnerable backgrounds.</w:t>
      </w:r>
      <w:r w:rsidRPr="00F3637D">
        <w:rPr>
          <w:rFonts w:ascii="Garamond" w:hAnsi="Garamond"/>
        </w:rPr>
        <w:t xml:space="preserve"> Thus, overall</w:t>
      </w:r>
      <w:r>
        <w:rPr>
          <w:rFonts w:ascii="Garamond" w:hAnsi="Garamond"/>
        </w:rPr>
        <w:t xml:space="preserve"> it is hard to identify an overall bias.</w:t>
      </w:r>
    </w:p>
  </w:endnote>
  <w:endnote w:id="8">
    <w:p w14:paraId="2044DA6C" w14:textId="77777777" w:rsidR="00D17ECF" w:rsidRPr="00E73A5A" w:rsidRDefault="00D17ECF" w:rsidP="007D5BD1">
      <w:pPr>
        <w:pStyle w:val="Testonotadichiusura"/>
        <w:jc w:val="both"/>
        <w:rPr>
          <w:rFonts w:ascii="Garamond" w:hAnsi="Garamond"/>
        </w:rPr>
      </w:pPr>
      <w:r w:rsidRPr="00E73A5A">
        <w:rPr>
          <w:rStyle w:val="Rimandonotadichiusura"/>
          <w:rFonts w:ascii="Garamond" w:hAnsi="Garamond"/>
        </w:rPr>
        <w:endnoteRef/>
      </w:r>
      <w:r w:rsidRPr="00E73A5A">
        <w:rPr>
          <w:rFonts w:ascii="Garamond" w:hAnsi="Garamond"/>
        </w:rPr>
        <w:t xml:space="preserve"> It is an adapted FCS because we did not collect all data to calculate the full FCS. We have information on a smaller number of food items grouped in five food groups – fruit, vegetables, dairy, meat/fish, and sugar. Therefore we did not calculate a score but </w:t>
      </w:r>
      <w:r>
        <w:rPr>
          <w:rFonts w:ascii="Garamond" w:hAnsi="Garamond"/>
        </w:rPr>
        <w:t>instead</w:t>
      </w:r>
      <w:r w:rsidRPr="00E73A5A">
        <w:rPr>
          <w:rFonts w:ascii="Garamond" w:hAnsi="Garamond"/>
        </w:rPr>
        <w:t xml:space="preserve"> used the continuum variable based on the weightings provided by WFP (2008). </w:t>
      </w:r>
    </w:p>
  </w:endnote>
  <w:endnote w:id="9">
    <w:p w14:paraId="06929675" w14:textId="77777777" w:rsidR="00D17ECF" w:rsidRPr="00F378F6" w:rsidRDefault="00D17ECF" w:rsidP="005F732E">
      <w:pPr>
        <w:pStyle w:val="Testonotadichiusura"/>
        <w:jc w:val="both"/>
        <w:rPr>
          <w:rFonts w:ascii="Garamond" w:hAnsi="Garamond"/>
        </w:rPr>
      </w:pPr>
      <w:r w:rsidRPr="00F378F6">
        <w:rPr>
          <w:rStyle w:val="Rimandonotadichiusura"/>
          <w:rFonts w:ascii="Garamond" w:hAnsi="Garamond"/>
        </w:rPr>
        <w:endnoteRef/>
      </w:r>
      <w:r w:rsidRPr="00F378F6">
        <w:rPr>
          <w:rFonts w:ascii="Garamond" w:hAnsi="Garamond"/>
        </w:rPr>
        <w:t xml:space="preserve"> Most children interviewed at Kanda Estate reported that they buy food from the food vendors across the road from the school, where there is also a min</w:t>
      </w:r>
      <w:r>
        <w:rPr>
          <w:rFonts w:ascii="Garamond" w:hAnsi="Garamond"/>
        </w:rPr>
        <w:t>i</w:t>
      </w:r>
      <w:r w:rsidRPr="00F378F6">
        <w:rPr>
          <w:rFonts w:ascii="Garamond" w:hAnsi="Garamond"/>
        </w:rPr>
        <w:t xml:space="preserve"> bus (</w:t>
      </w:r>
      <w:proofErr w:type="spellStart"/>
      <w:r w:rsidRPr="00F378F6">
        <w:rPr>
          <w:rFonts w:ascii="Garamond" w:hAnsi="Garamond"/>
          <w:i/>
          <w:iCs/>
        </w:rPr>
        <w:t>trotro</w:t>
      </w:r>
      <w:proofErr w:type="spellEnd"/>
      <w:r>
        <w:rPr>
          <w:rFonts w:ascii="Garamond" w:hAnsi="Garamond"/>
        </w:rPr>
        <w:t>) station and there are more options.</w:t>
      </w:r>
    </w:p>
  </w:endnote>
  <w:endnote w:id="10">
    <w:p w14:paraId="3EAE7961" w14:textId="77777777" w:rsidR="00D17ECF" w:rsidRPr="00EF1C5F" w:rsidRDefault="00D17ECF" w:rsidP="005F732E">
      <w:pPr>
        <w:pStyle w:val="Testonotadichiusura"/>
        <w:jc w:val="both"/>
        <w:rPr>
          <w:rFonts w:ascii="Garamond" w:hAnsi="Garamond"/>
        </w:rPr>
      </w:pPr>
      <w:r w:rsidRPr="00EF1C5F">
        <w:rPr>
          <w:rStyle w:val="Rimandonotadichiusura"/>
          <w:rFonts w:ascii="Garamond" w:hAnsi="Garamond"/>
        </w:rPr>
        <w:endnoteRef/>
      </w:r>
      <w:r w:rsidRPr="00EF1C5F">
        <w:rPr>
          <w:rFonts w:ascii="Garamond" w:hAnsi="Garamond"/>
        </w:rPr>
        <w:t xml:space="preserve"> Five children said that they do not receive chop money on a daily basis, and therefore they need to spread the available cash over two or three days. At Kanda Estate, the teachers told us that, if there is any left-over food from the School Feeding Programme in the primary schools (which are in the same buildings), they give it to children in JHS who struggle to buy their own food. </w:t>
      </w:r>
    </w:p>
  </w:endnote>
  <w:endnote w:id="11">
    <w:p w14:paraId="53AD55ED" w14:textId="19FE0B9A" w:rsidR="00D17ECF" w:rsidRPr="00D17ECF" w:rsidRDefault="00D17ECF" w:rsidP="00D17ECF">
      <w:pPr>
        <w:pStyle w:val="Testonotadichiusura"/>
        <w:jc w:val="both"/>
        <w:rPr>
          <w:rFonts w:ascii="Garamond" w:hAnsi="Garamond"/>
        </w:rPr>
      </w:pPr>
      <w:r w:rsidRPr="009950EF">
        <w:rPr>
          <w:rStyle w:val="Rimandonotadichiusura"/>
          <w:rFonts w:ascii="Garamond" w:hAnsi="Garamond"/>
        </w:rPr>
        <w:endnoteRef/>
      </w:r>
      <w:r w:rsidRPr="009950EF">
        <w:rPr>
          <w:rFonts w:ascii="Garamond" w:hAnsi="Garamond"/>
        </w:rPr>
        <w:t xml:space="preserve"> We note that the question has a subjective character and may have captured, in some cases, feeling hungry due to circumstantial lack of food rather than real lack of resources to acquire food. </w:t>
      </w:r>
    </w:p>
  </w:endnote>
  <w:endnote w:id="12">
    <w:p w14:paraId="408BA1CC" w14:textId="77777777" w:rsidR="00D17ECF" w:rsidRDefault="00D17ECF" w:rsidP="005F732E">
      <w:pPr>
        <w:pStyle w:val="Testonotadichiusura"/>
        <w:jc w:val="both"/>
        <w:rPr>
          <w:rFonts w:ascii="Garamond" w:hAnsi="Garamond"/>
        </w:rPr>
      </w:pPr>
      <w:r w:rsidRPr="00DA2AC8">
        <w:rPr>
          <w:rStyle w:val="Rimandonotadichiusura"/>
          <w:rFonts w:ascii="Garamond" w:hAnsi="Garamond"/>
        </w:rPr>
        <w:endnoteRef/>
      </w:r>
      <w:r w:rsidRPr="00DA2AC8">
        <w:rPr>
          <w:rFonts w:ascii="Garamond" w:hAnsi="Garamond"/>
        </w:rPr>
        <w:t xml:space="preserve"> The exact number of </w:t>
      </w:r>
      <w:proofErr w:type="spellStart"/>
      <w:r w:rsidRPr="00DA2AC8">
        <w:rPr>
          <w:rFonts w:ascii="Garamond" w:hAnsi="Garamond"/>
        </w:rPr>
        <w:t>FanMilk</w:t>
      </w:r>
      <w:proofErr w:type="spellEnd"/>
      <w:r w:rsidRPr="00DA2AC8">
        <w:rPr>
          <w:rFonts w:ascii="Garamond" w:hAnsi="Garamond"/>
        </w:rPr>
        <w:t xml:space="preserve"> street vendors is unknown because they are not employed by </w:t>
      </w:r>
      <w:proofErr w:type="spellStart"/>
      <w:r w:rsidRPr="00DA2AC8">
        <w:rPr>
          <w:rFonts w:ascii="Garamond" w:hAnsi="Garamond"/>
        </w:rPr>
        <w:t>FanMilk</w:t>
      </w:r>
      <w:proofErr w:type="spellEnd"/>
      <w:r w:rsidRPr="00DA2AC8">
        <w:rPr>
          <w:rFonts w:ascii="Garamond" w:hAnsi="Garamond"/>
        </w:rPr>
        <w:t>, but considered to be independent vendor</w:t>
      </w:r>
      <w:r>
        <w:rPr>
          <w:rFonts w:ascii="Garamond" w:hAnsi="Garamond"/>
        </w:rPr>
        <w:t>s, fully operating in the informal economy</w:t>
      </w:r>
      <w:r w:rsidRPr="00DA2AC8">
        <w:rPr>
          <w:rFonts w:ascii="Garamond" w:hAnsi="Garamond"/>
        </w:rPr>
        <w:t>. The structure of employment is similar to that becoming prominent in the gig economy</w:t>
      </w:r>
      <w:r>
        <w:rPr>
          <w:rFonts w:ascii="Garamond" w:hAnsi="Garamond"/>
        </w:rPr>
        <w:t xml:space="preserve">: vendors are given equipment (so they are recognisable on the streets) and training by </w:t>
      </w:r>
      <w:proofErr w:type="spellStart"/>
      <w:r>
        <w:rPr>
          <w:rFonts w:ascii="Garamond" w:hAnsi="Garamond"/>
        </w:rPr>
        <w:t>FanMilk</w:t>
      </w:r>
      <w:proofErr w:type="spellEnd"/>
      <w:r>
        <w:rPr>
          <w:rFonts w:ascii="Garamond" w:hAnsi="Garamond"/>
        </w:rPr>
        <w:t xml:space="preserve"> but they are nonetheless treated as self-employed</w:t>
      </w:r>
      <w:r w:rsidRPr="00DA2AC8">
        <w:rPr>
          <w:rFonts w:ascii="Garamond" w:hAnsi="Garamond"/>
        </w:rPr>
        <w:t xml:space="preserve">. </w:t>
      </w:r>
    </w:p>
    <w:p w14:paraId="3BC83766" w14:textId="77777777" w:rsidR="00D17ECF" w:rsidRDefault="00D17ECF" w:rsidP="005F732E">
      <w:pPr>
        <w:pStyle w:val="Testonotadichiusura"/>
        <w:jc w:val="both"/>
        <w:rPr>
          <w:rFonts w:ascii="Garamond" w:hAnsi="Garamond"/>
        </w:rPr>
      </w:pPr>
    </w:p>
    <w:p w14:paraId="0B021D13" w14:textId="77777777" w:rsidR="00D17ECF" w:rsidRDefault="00D17ECF" w:rsidP="005F732E">
      <w:pPr>
        <w:pStyle w:val="Testonotadichiusura"/>
        <w:jc w:val="both"/>
        <w:rPr>
          <w:rFonts w:ascii="Garamond" w:hAnsi="Garamond"/>
        </w:rPr>
      </w:pPr>
    </w:p>
    <w:p w14:paraId="6B220D49" w14:textId="77777777" w:rsidR="00D17ECF" w:rsidRDefault="00D17ECF" w:rsidP="005F732E">
      <w:pPr>
        <w:pStyle w:val="Testonotadichiusura"/>
        <w:jc w:val="both"/>
        <w:rPr>
          <w:rFonts w:ascii="Garamond" w:hAnsi="Garamond"/>
        </w:rPr>
      </w:pPr>
    </w:p>
    <w:p w14:paraId="146489E1" w14:textId="77777777" w:rsidR="00D17ECF" w:rsidRDefault="00D17ECF" w:rsidP="005F732E">
      <w:pPr>
        <w:pStyle w:val="Testonotadichiusura"/>
        <w:jc w:val="both"/>
        <w:rPr>
          <w:rFonts w:ascii="Garamond" w:hAnsi="Garamond"/>
        </w:rPr>
      </w:pPr>
    </w:p>
    <w:p w14:paraId="700A46FD" w14:textId="77777777" w:rsidR="00D17ECF" w:rsidRDefault="00D17ECF" w:rsidP="005F732E">
      <w:pPr>
        <w:pStyle w:val="Testonotadichiusura"/>
        <w:jc w:val="both"/>
        <w:rPr>
          <w:rFonts w:ascii="Garamond" w:hAnsi="Garamond"/>
        </w:rPr>
      </w:pPr>
    </w:p>
    <w:p w14:paraId="55525856" w14:textId="77777777" w:rsidR="00D17ECF" w:rsidRDefault="00D17ECF" w:rsidP="005F732E">
      <w:pPr>
        <w:pStyle w:val="Testonotadichiusura"/>
        <w:jc w:val="both"/>
        <w:rPr>
          <w:rFonts w:ascii="Garamond" w:hAnsi="Garamond"/>
        </w:rPr>
      </w:pPr>
    </w:p>
    <w:p w14:paraId="5313C1F8" w14:textId="77777777" w:rsidR="00D17ECF" w:rsidRDefault="00D17ECF" w:rsidP="005F732E">
      <w:pPr>
        <w:pStyle w:val="Testonotadichiusura"/>
        <w:jc w:val="both"/>
        <w:rPr>
          <w:rFonts w:ascii="Garamond" w:hAnsi="Garamond"/>
        </w:rPr>
      </w:pPr>
    </w:p>
    <w:p w14:paraId="3805220F" w14:textId="77777777" w:rsidR="00D17ECF" w:rsidRDefault="00D17ECF" w:rsidP="005F732E">
      <w:pPr>
        <w:pStyle w:val="Testonotadichiusura"/>
        <w:jc w:val="both"/>
        <w:rPr>
          <w:rFonts w:ascii="Garamond" w:hAnsi="Garamond"/>
        </w:rPr>
      </w:pPr>
    </w:p>
    <w:p w14:paraId="37F8608F" w14:textId="77777777" w:rsidR="00D17ECF" w:rsidRDefault="00D17ECF" w:rsidP="005F732E">
      <w:pPr>
        <w:pStyle w:val="Testonotadichiusura"/>
        <w:jc w:val="both"/>
        <w:rPr>
          <w:rFonts w:ascii="Garamond" w:hAnsi="Garamond"/>
        </w:rPr>
      </w:pPr>
    </w:p>
    <w:p w14:paraId="4E9D0FE3" w14:textId="77777777" w:rsidR="00D17ECF" w:rsidRDefault="00D17ECF" w:rsidP="005F732E">
      <w:pPr>
        <w:pStyle w:val="Testonotadichiusura"/>
        <w:jc w:val="both"/>
        <w:rPr>
          <w:rFonts w:ascii="Garamond" w:hAnsi="Garamond"/>
        </w:rPr>
      </w:pPr>
    </w:p>
    <w:p w14:paraId="7A774B4E" w14:textId="77777777" w:rsidR="00D17ECF" w:rsidRDefault="00D17ECF" w:rsidP="005F732E">
      <w:pPr>
        <w:pStyle w:val="Testonotadichiusura"/>
        <w:jc w:val="both"/>
        <w:rPr>
          <w:rFonts w:ascii="Garamond" w:hAnsi="Garamond"/>
        </w:rPr>
      </w:pPr>
    </w:p>
    <w:p w14:paraId="4D90F95A" w14:textId="77777777" w:rsidR="00D17ECF" w:rsidRDefault="00D17ECF" w:rsidP="005F732E">
      <w:pPr>
        <w:pStyle w:val="Testonotadichiusura"/>
        <w:jc w:val="both"/>
        <w:rPr>
          <w:rFonts w:ascii="Garamond" w:hAnsi="Garamond"/>
        </w:rPr>
      </w:pPr>
    </w:p>
    <w:p w14:paraId="4DBAE203" w14:textId="77777777" w:rsidR="00D17ECF" w:rsidRDefault="00D17ECF" w:rsidP="005F732E">
      <w:pPr>
        <w:pStyle w:val="Testonotadichiusura"/>
        <w:jc w:val="both"/>
        <w:rPr>
          <w:rFonts w:ascii="Garamond" w:hAnsi="Garamond"/>
        </w:rPr>
      </w:pPr>
    </w:p>
    <w:p w14:paraId="157D71A6" w14:textId="77777777" w:rsidR="00D17ECF" w:rsidRDefault="00D17ECF" w:rsidP="005F732E">
      <w:pPr>
        <w:pStyle w:val="Testonotadichiusura"/>
        <w:jc w:val="both"/>
        <w:rPr>
          <w:rFonts w:ascii="Garamond" w:hAnsi="Garamond"/>
        </w:rPr>
      </w:pPr>
    </w:p>
    <w:p w14:paraId="087D97A5" w14:textId="77777777" w:rsidR="00D17ECF" w:rsidRDefault="00D17ECF" w:rsidP="005F732E">
      <w:pPr>
        <w:pStyle w:val="Testonotadichiusura"/>
        <w:jc w:val="both"/>
        <w:rPr>
          <w:rFonts w:ascii="Garamond" w:hAnsi="Garamond"/>
        </w:rPr>
      </w:pPr>
    </w:p>
    <w:p w14:paraId="552F3A1B" w14:textId="77777777" w:rsidR="00D17ECF" w:rsidRDefault="00D17ECF" w:rsidP="005F732E">
      <w:pPr>
        <w:pStyle w:val="Testonotadichiusura"/>
        <w:jc w:val="both"/>
        <w:rPr>
          <w:rFonts w:ascii="Garamond" w:hAnsi="Garamond"/>
        </w:rPr>
      </w:pPr>
    </w:p>
    <w:p w14:paraId="0FD4FB3F" w14:textId="77777777" w:rsidR="00D17ECF" w:rsidRDefault="00D17ECF" w:rsidP="005F732E">
      <w:pPr>
        <w:pStyle w:val="Testonotadichiusura"/>
        <w:jc w:val="both"/>
        <w:rPr>
          <w:rFonts w:ascii="Garamond" w:hAnsi="Garamond"/>
        </w:rPr>
      </w:pPr>
    </w:p>
    <w:p w14:paraId="78B766C4" w14:textId="77777777" w:rsidR="00D17ECF" w:rsidRDefault="00D17ECF" w:rsidP="005F732E">
      <w:pPr>
        <w:pStyle w:val="Testonotadichiusura"/>
        <w:jc w:val="both"/>
        <w:rPr>
          <w:rFonts w:ascii="Garamond" w:hAnsi="Garamond"/>
        </w:rPr>
      </w:pPr>
    </w:p>
    <w:p w14:paraId="2EEE66F7" w14:textId="77777777" w:rsidR="00D17ECF" w:rsidRDefault="00D17ECF" w:rsidP="005F732E">
      <w:pPr>
        <w:pStyle w:val="Testonotadichiusura"/>
        <w:jc w:val="both"/>
        <w:rPr>
          <w:rFonts w:ascii="Garamond" w:hAnsi="Garamond"/>
        </w:rPr>
      </w:pPr>
    </w:p>
    <w:p w14:paraId="0AF0CBA7" w14:textId="77777777" w:rsidR="00D17ECF" w:rsidRDefault="00D17ECF" w:rsidP="005F732E">
      <w:pPr>
        <w:pStyle w:val="Testonotadichiusura"/>
        <w:jc w:val="both"/>
        <w:rPr>
          <w:rFonts w:ascii="Garamond" w:hAnsi="Garamond"/>
        </w:rPr>
      </w:pPr>
    </w:p>
    <w:p w14:paraId="52C188CE" w14:textId="77777777" w:rsidR="00D17ECF" w:rsidRDefault="00D17ECF" w:rsidP="005F732E">
      <w:pPr>
        <w:pStyle w:val="Testonotadichiusura"/>
        <w:jc w:val="both"/>
        <w:rPr>
          <w:rFonts w:ascii="Garamond" w:hAnsi="Garamond"/>
        </w:rPr>
      </w:pPr>
    </w:p>
    <w:p w14:paraId="65AA1715" w14:textId="77777777" w:rsidR="00D17ECF" w:rsidRDefault="00D17ECF" w:rsidP="005F732E">
      <w:pPr>
        <w:pStyle w:val="Testonotadichiusura"/>
        <w:jc w:val="both"/>
        <w:rPr>
          <w:rFonts w:ascii="Garamond" w:hAnsi="Garamond"/>
        </w:rPr>
      </w:pPr>
    </w:p>
    <w:p w14:paraId="49446F13" w14:textId="77777777" w:rsidR="00D17ECF" w:rsidRDefault="00D17ECF" w:rsidP="005F732E">
      <w:pPr>
        <w:pStyle w:val="Testonotadichiusura"/>
        <w:jc w:val="both"/>
        <w:rPr>
          <w:rFonts w:ascii="Garamond" w:hAnsi="Garamond"/>
        </w:rPr>
      </w:pPr>
    </w:p>
    <w:p w14:paraId="6165FBB3" w14:textId="77777777" w:rsidR="00D17ECF" w:rsidRDefault="00D17ECF" w:rsidP="005F732E">
      <w:pPr>
        <w:pStyle w:val="Testonotadichiusura"/>
        <w:jc w:val="both"/>
        <w:rPr>
          <w:rFonts w:ascii="Garamond" w:hAnsi="Garamond"/>
        </w:rPr>
      </w:pPr>
    </w:p>
    <w:p w14:paraId="2075ED07" w14:textId="77777777" w:rsidR="00D17ECF" w:rsidRDefault="00D17ECF" w:rsidP="005F732E">
      <w:pPr>
        <w:pStyle w:val="Testonotadichiusura"/>
        <w:jc w:val="both"/>
        <w:rPr>
          <w:rFonts w:ascii="Garamond" w:hAnsi="Garamond"/>
        </w:rPr>
      </w:pPr>
    </w:p>
    <w:p w14:paraId="6712E7B4" w14:textId="77777777" w:rsidR="00D17ECF" w:rsidRDefault="00D17ECF" w:rsidP="005F732E">
      <w:pPr>
        <w:pStyle w:val="Testonotadichiusura"/>
        <w:jc w:val="both"/>
        <w:rPr>
          <w:rFonts w:ascii="Garamond" w:hAnsi="Garamond"/>
        </w:rPr>
      </w:pPr>
    </w:p>
    <w:p w14:paraId="5B4FCD24" w14:textId="77777777" w:rsidR="00D17ECF" w:rsidRDefault="00D17ECF" w:rsidP="005F732E">
      <w:pPr>
        <w:pStyle w:val="Testonotadichiusura"/>
        <w:jc w:val="both"/>
        <w:rPr>
          <w:rFonts w:ascii="Garamond" w:hAnsi="Garamond"/>
        </w:rPr>
      </w:pPr>
    </w:p>
    <w:p w14:paraId="1F7DB55F" w14:textId="77777777" w:rsidR="00D17ECF" w:rsidRDefault="00D17ECF" w:rsidP="005F732E">
      <w:pPr>
        <w:pStyle w:val="Testonotadichiusura"/>
        <w:jc w:val="both"/>
        <w:rPr>
          <w:rFonts w:ascii="Garamond" w:hAnsi="Garamond"/>
        </w:rPr>
      </w:pPr>
    </w:p>
    <w:p w14:paraId="34A3C871" w14:textId="77777777" w:rsidR="00D17ECF" w:rsidRDefault="00D17ECF" w:rsidP="005F732E">
      <w:pPr>
        <w:pStyle w:val="Testonotadichiusura"/>
        <w:jc w:val="both"/>
        <w:rPr>
          <w:rFonts w:ascii="Garamond" w:hAnsi="Garamond"/>
        </w:rPr>
      </w:pPr>
    </w:p>
    <w:p w14:paraId="0A4D631B" w14:textId="77777777" w:rsidR="00D17ECF" w:rsidRDefault="00D17ECF" w:rsidP="005F732E">
      <w:pPr>
        <w:pStyle w:val="Testonotadichiusura"/>
        <w:jc w:val="both"/>
        <w:rPr>
          <w:rFonts w:ascii="Garamond" w:hAnsi="Garamond"/>
        </w:rPr>
      </w:pPr>
    </w:p>
    <w:p w14:paraId="55DFC44B" w14:textId="77777777" w:rsidR="00D17ECF" w:rsidRDefault="00D17ECF" w:rsidP="005F732E">
      <w:pPr>
        <w:pStyle w:val="Testonotadichiusura"/>
        <w:jc w:val="both"/>
        <w:rPr>
          <w:rFonts w:ascii="Garamond" w:hAnsi="Garamond"/>
        </w:rPr>
      </w:pPr>
    </w:p>
    <w:p w14:paraId="047A6803" w14:textId="77777777" w:rsidR="00D17ECF" w:rsidRDefault="00D17ECF" w:rsidP="005F732E">
      <w:pPr>
        <w:pStyle w:val="Testonotadichiusura"/>
        <w:jc w:val="both"/>
        <w:rPr>
          <w:rFonts w:ascii="Garamond" w:hAnsi="Garamond"/>
        </w:rPr>
      </w:pPr>
    </w:p>
    <w:p w14:paraId="66F4EABE" w14:textId="77777777" w:rsidR="00D17ECF" w:rsidRDefault="00D17ECF" w:rsidP="005F732E">
      <w:pPr>
        <w:pStyle w:val="Testonotadichiusura"/>
        <w:jc w:val="both"/>
        <w:rPr>
          <w:rFonts w:ascii="Garamond" w:hAnsi="Garamond"/>
        </w:rPr>
      </w:pPr>
    </w:p>
    <w:p w14:paraId="5CDE68F1" w14:textId="77777777" w:rsidR="00D17ECF" w:rsidRDefault="00D17ECF" w:rsidP="005F732E">
      <w:pPr>
        <w:pStyle w:val="Testonotadichiusura"/>
        <w:jc w:val="both"/>
        <w:rPr>
          <w:rFonts w:ascii="Garamond" w:hAnsi="Garamond"/>
        </w:rPr>
      </w:pPr>
    </w:p>
    <w:p w14:paraId="5B6CD14C" w14:textId="77777777" w:rsidR="00D17ECF" w:rsidRDefault="00D17ECF" w:rsidP="005F732E">
      <w:pPr>
        <w:pStyle w:val="Testonotadichiusura"/>
        <w:jc w:val="both"/>
        <w:rPr>
          <w:rFonts w:ascii="Garamond" w:hAnsi="Garamond"/>
        </w:rPr>
      </w:pPr>
    </w:p>
    <w:p w14:paraId="78A63217" w14:textId="77777777" w:rsidR="00D17ECF" w:rsidRDefault="00D17ECF" w:rsidP="005F732E">
      <w:pPr>
        <w:pStyle w:val="Testonotadichiusura"/>
        <w:jc w:val="both"/>
        <w:rPr>
          <w:rFonts w:ascii="Garamond" w:hAnsi="Garamond"/>
        </w:rPr>
      </w:pPr>
    </w:p>
    <w:p w14:paraId="1ADC8243" w14:textId="77777777" w:rsidR="00D17ECF" w:rsidRDefault="00D17ECF" w:rsidP="005F732E">
      <w:pPr>
        <w:pStyle w:val="Testonotadichiusura"/>
        <w:jc w:val="both"/>
        <w:rPr>
          <w:rFonts w:ascii="Garamond" w:hAnsi="Garamond"/>
        </w:rPr>
      </w:pPr>
    </w:p>
    <w:p w14:paraId="3A85570F" w14:textId="77777777" w:rsidR="00D17ECF" w:rsidRDefault="00D17ECF" w:rsidP="005F732E">
      <w:pPr>
        <w:pStyle w:val="Testonotadichiusura"/>
        <w:jc w:val="both"/>
        <w:rPr>
          <w:rFonts w:ascii="Garamond" w:hAnsi="Garamond"/>
        </w:rPr>
      </w:pPr>
      <w:bookmarkStart w:id="0" w:name="_GoBack"/>
      <w:bookmarkEnd w:id="0"/>
    </w:p>
    <w:p w14:paraId="28699E69" w14:textId="77777777" w:rsidR="00D17ECF" w:rsidRDefault="00D17ECF" w:rsidP="005F732E">
      <w:pPr>
        <w:pStyle w:val="Testonotadichiusura"/>
        <w:jc w:val="both"/>
        <w:rPr>
          <w:rFonts w:ascii="Garamond" w:hAnsi="Garamond"/>
        </w:rPr>
      </w:pPr>
    </w:p>
    <w:p w14:paraId="47D2F4E7" w14:textId="77777777" w:rsidR="00D17ECF" w:rsidRPr="00DA2AC8" w:rsidRDefault="00D17ECF" w:rsidP="005F732E">
      <w:pPr>
        <w:pStyle w:val="Testonotadichiusura"/>
        <w:jc w:val="both"/>
        <w:rPr>
          <w:rFonts w:ascii="Garamond" w:hAnsi="Garamon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923562"/>
      <w:docPartObj>
        <w:docPartGallery w:val="Page Numbers (Bottom of Page)"/>
        <w:docPartUnique/>
      </w:docPartObj>
    </w:sdtPr>
    <w:sdtEndPr>
      <w:rPr>
        <w:rFonts w:ascii="Garamond" w:hAnsi="Garamond"/>
        <w:noProof/>
      </w:rPr>
    </w:sdtEndPr>
    <w:sdtContent>
      <w:p w14:paraId="46B9D474" w14:textId="259382C2" w:rsidR="00CF3E85" w:rsidRPr="00F94BA6" w:rsidRDefault="00CF3E85">
        <w:pPr>
          <w:pStyle w:val="Pidipagina"/>
          <w:jc w:val="center"/>
          <w:rPr>
            <w:rFonts w:ascii="Garamond" w:hAnsi="Garamond"/>
          </w:rPr>
        </w:pPr>
        <w:r w:rsidRPr="00F94BA6">
          <w:rPr>
            <w:rFonts w:ascii="Garamond" w:hAnsi="Garamond"/>
          </w:rPr>
          <w:fldChar w:fldCharType="begin"/>
        </w:r>
        <w:r w:rsidRPr="00F94BA6">
          <w:rPr>
            <w:rFonts w:ascii="Garamond" w:hAnsi="Garamond"/>
          </w:rPr>
          <w:instrText xml:space="preserve"> PAGE   \* MERGEFORMAT </w:instrText>
        </w:r>
        <w:r w:rsidRPr="00F94BA6">
          <w:rPr>
            <w:rFonts w:ascii="Garamond" w:hAnsi="Garamond"/>
          </w:rPr>
          <w:fldChar w:fldCharType="separate"/>
        </w:r>
        <w:r w:rsidR="00DE6128">
          <w:rPr>
            <w:rFonts w:ascii="Garamond" w:hAnsi="Garamond"/>
            <w:noProof/>
          </w:rPr>
          <w:t>24</w:t>
        </w:r>
        <w:r w:rsidRPr="00F94BA6">
          <w:rPr>
            <w:rFonts w:ascii="Garamond" w:hAnsi="Garamond"/>
            <w:noProof/>
          </w:rPr>
          <w:fldChar w:fldCharType="end"/>
        </w:r>
      </w:p>
    </w:sdtContent>
  </w:sdt>
  <w:p w14:paraId="62183351" w14:textId="77777777" w:rsidR="00CF3E85" w:rsidRDefault="00CF3E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C89F" w14:textId="77777777" w:rsidR="000A00A3" w:rsidRDefault="000A00A3" w:rsidP="0045414E">
      <w:pPr>
        <w:spacing w:after="0" w:line="240" w:lineRule="auto"/>
      </w:pPr>
      <w:r>
        <w:separator/>
      </w:r>
    </w:p>
  </w:footnote>
  <w:footnote w:type="continuationSeparator" w:id="0">
    <w:p w14:paraId="338D06F1" w14:textId="77777777" w:rsidR="000A00A3" w:rsidRDefault="000A00A3" w:rsidP="00454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47C9E"/>
    <w:multiLevelType w:val="hybridMultilevel"/>
    <w:tmpl w:val="67D0F4FE"/>
    <w:lvl w:ilvl="0" w:tplc="40CE889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93039"/>
    <w:multiLevelType w:val="hybridMultilevel"/>
    <w:tmpl w:val="B85AD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D7CF2"/>
    <w:multiLevelType w:val="hybridMultilevel"/>
    <w:tmpl w:val="DCB48786"/>
    <w:lvl w:ilvl="0" w:tplc="643474DE">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54356"/>
    <w:multiLevelType w:val="hybridMultilevel"/>
    <w:tmpl w:val="2474CB2A"/>
    <w:lvl w:ilvl="0" w:tplc="8F346410">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52DB4"/>
    <w:multiLevelType w:val="hybridMultilevel"/>
    <w:tmpl w:val="34BC634C"/>
    <w:lvl w:ilvl="0" w:tplc="C3C4DFF4">
      <w:start w:val="1"/>
      <w:numFmt w:val="bullet"/>
      <w:lvlText w:val=""/>
      <w:lvlJc w:val="left"/>
      <w:pPr>
        <w:tabs>
          <w:tab w:val="num" w:pos="720"/>
        </w:tabs>
        <w:ind w:left="720" w:hanging="360"/>
      </w:pPr>
      <w:rPr>
        <w:rFonts w:ascii="Wingdings 3" w:hAnsi="Wingdings 3" w:hint="default"/>
      </w:rPr>
    </w:lvl>
    <w:lvl w:ilvl="1" w:tplc="508454D0" w:tentative="1">
      <w:start w:val="1"/>
      <w:numFmt w:val="bullet"/>
      <w:lvlText w:val=""/>
      <w:lvlJc w:val="left"/>
      <w:pPr>
        <w:tabs>
          <w:tab w:val="num" w:pos="1440"/>
        </w:tabs>
        <w:ind w:left="1440" w:hanging="360"/>
      </w:pPr>
      <w:rPr>
        <w:rFonts w:ascii="Wingdings 3" w:hAnsi="Wingdings 3" w:hint="default"/>
      </w:rPr>
    </w:lvl>
    <w:lvl w:ilvl="2" w:tplc="1F44F4C8" w:tentative="1">
      <w:start w:val="1"/>
      <w:numFmt w:val="bullet"/>
      <w:lvlText w:val=""/>
      <w:lvlJc w:val="left"/>
      <w:pPr>
        <w:tabs>
          <w:tab w:val="num" w:pos="2160"/>
        </w:tabs>
        <w:ind w:left="2160" w:hanging="360"/>
      </w:pPr>
      <w:rPr>
        <w:rFonts w:ascii="Wingdings 3" w:hAnsi="Wingdings 3" w:hint="default"/>
      </w:rPr>
    </w:lvl>
    <w:lvl w:ilvl="3" w:tplc="5BE601C2" w:tentative="1">
      <w:start w:val="1"/>
      <w:numFmt w:val="bullet"/>
      <w:lvlText w:val=""/>
      <w:lvlJc w:val="left"/>
      <w:pPr>
        <w:tabs>
          <w:tab w:val="num" w:pos="2880"/>
        </w:tabs>
        <w:ind w:left="2880" w:hanging="360"/>
      </w:pPr>
      <w:rPr>
        <w:rFonts w:ascii="Wingdings 3" w:hAnsi="Wingdings 3" w:hint="default"/>
      </w:rPr>
    </w:lvl>
    <w:lvl w:ilvl="4" w:tplc="BD7A7F62" w:tentative="1">
      <w:start w:val="1"/>
      <w:numFmt w:val="bullet"/>
      <w:lvlText w:val=""/>
      <w:lvlJc w:val="left"/>
      <w:pPr>
        <w:tabs>
          <w:tab w:val="num" w:pos="3600"/>
        </w:tabs>
        <w:ind w:left="3600" w:hanging="360"/>
      </w:pPr>
      <w:rPr>
        <w:rFonts w:ascii="Wingdings 3" w:hAnsi="Wingdings 3" w:hint="default"/>
      </w:rPr>
    </w:lvl>
    <w:lvl w:ilvl="5" w:tplc="50C40970" w:tentative="1">
      <w:start w:val="1"/>
      <w:numFmt w:val="bullet"/>
      <w:lvlText w:val=""/>
      <w:lvlJc w:val="left"/>
      <w:pPr>
        <w:tabs>
          <w:tab w:val="num" w:pos="4320"/>
        </w:tabs>
        <w:ind w:left="4320" w:hanging="360"/>
      </w:pPr>
      <w:rPr>
        <w:rFonts w:ascii="Wingdings 3" w:hAnsi="Wingdings 3" w:hint="default"/>
      </w:rPr>
    </w:lvl>
    <w:lvl w:ilvl="6" w:tplc="6C6853FE" w:tentative="1">
      <w:start w:val="1"/>
      <w:numFmt w:val="bullet"/>
      <w:lvlText w:val=""/>
      <w:lvlJc w:val="left"/>
      <w:pPr>
        <w:tabs>
          <w:tab w:val="num" w:pos="5040"/>
        </w:tabs>
        <w:ind w:left="5040" w:hanging="360"/>
      </w:pPr>
      <w:rPr>
        <w:rFonts w:ascii="Wingdings 3" w:hAnsi="Wingdings 3" w:hint="default"/>
      </w:rPr>
    </w:lvl>
    <w:lvl w:ilvl="7" w:tplc="B65459E0" w:tentative="1">
      <w:start w:val="1"/>
      <w:numFmt w:val="bullet"/>
      <w:lvlText w:val=""/>
      <w:lvlJc w:val="left"/>
      <w:pPr>
        <w:tabs>
          <w:tab w:val="num" w:pos="5760"/>
        </w:tabs>
        <w:ind w:left="5760" w:hanging="360"/>
      </w:pPr>
      <w:rPr>
        <w:rFonts w:ascii="Wingdings 3" w:hAnsi="Wingdings 3" w:hint="default"/>
      </w:rPr>
    </w:lvl>
    <w:lvl w:ilvl="8" w:tplc="6A66414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BF17448"/>
    <w:multiLevelType w:val="hybridMultilevel"/>
    <w:tmpl w:val="5BECC066"/>
    <w:lvl w:ilvl="0" w:tplc="91AE23D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6F"/>
    <w:rsid w:val="0000168B"/>
    <w:rsid w:val="00004BE8"/>
    <w:rsid w:val="000065B7"/>
    <w:rsid w:val="0002122F"/>
    <w:rsid w:val="00031184"/>
    <w:rsid w:val="00033E26"/>
    <w:rsid w:val="00036E12"/>
    <w:rsid w:val="000410E6"/>
    <w:rsid w:val="00042C17"/>
    <w:rsid w:val="000435CC"/>
    <w:rsid w:val="0005232C"/>
    <w:rsid w:val="00053C7C"/>
    <w:rsid w:val="000546C3"/>
    <w:rsid w:val="00055F91"/>
    <w:rsid w:val="00061BC5"/>
    <w:rsid w:val="00070EB5"/>
    <w:rsid w:val="00071BE2"/>
    <w:rsid w:val="00073C95"/>
    <w:rsid w:val="00082470"/>
    <w:rsid w:val="00082CFB"/>
    <w:rsid w:val="0008400A"/>
    <w:rsid w:val="000A00A3"/>
    <w:rsid w:val="000A32DF"/>
    <w:rsid w:val="000A3E1B"/>
    <w:rsid w:val="000A50DE"/>
    <w:rsid w:val="000B13E9"/>
    <w:rsid w:val="000B7C0A"/>
    <w:rsid w:val="000C773E"/>
    <w:rsid w:val="000C7CFC"/>
    <w:rsid w:val="000D0C60"/>
    <w:rsid w:val="000D55B6"/>
    <w:rsid w:val="000E5578"/>
    <w:rsid w:val="000E63E7"/>
    <w:rsid w:val="000F10C1"/>
    <w:rsid w:val="000F54A7"/>
    <w:rsid w:val="00100068"/>
    <w:rsid w:val="00106DE1"/>
    <w:rsid w:val="0011057A"/>
    <w:rsid w:val="00114AFF"/>
    <w:rsid w:val="00115617"/>
    <w:rsid w:val="0012208F"/>
    <w:rsid w:val="00127196"/>
    <w:rsid w:val="00133477"/>
    <w:rsid w:val="001343FC"/>
    <w:rsid w:val="00151943"/>
    <w:rsid w:val="00154243"/>
    <w:rsid w:val="00155B95"/>
    <w:rsid w:val="00164746"/>
    <w:rsid w:val="001658AC"/>
    <w:rsid w:val="00170E7B"/>
    <w:rsid w:val="0017441D"/>
    <w:rsid w:val="00175C74"/>
    <w:rsid w:val="00180AC4"/>
    <w:rsid w:val="001840CD"/>
    <w:rsid w:val="00196764"/>
    <w:rsid w:val="001A0863"/>
    <w:rsid w:val="001A0C6B"/>
    <w:rsid w:val="001A1044"/>
    <w:rsid w:val="001A3BB5"/>
    <w:rsid w:val="001A416D"/>
    <w:rsid w:val="001A4562"/>
    <w:rsid w:val="001B35EE"/>
    <w:rsid w:val="001B3EEF"/>
    <w:rsid w:val="001C0326"/>
    <w:rsid w:val="001C2084"/>
    <w:rsid w:val="001C4A2D"/>
    <w:rsid w:val="001D0D8A"/>
    <w:rsid w:val="001D1869"/>
    <w:rsid w:val="001D2097"/>
    <w:rsid w:val="001D2A0F"/>
    <w:rsid w:val="001D7ABD"/>
    <w:rsid w:val="001E6EF6"/>
    <w:rsid w:val="001E797D"/>
    <w:rsid w:val="001F0B48"/>
    <w:rsid w:val="001F1340"/>
    <w:rsid w:val="001F4FEC"/>
    <w:rsid w:val="001F64F5"/>
    <w:rsid w:val="001F6F95"/>
    <w:rsid w:val="001F73DD"/>
    <w:rsid w:val="00202A10"/>
    <w:rsid w:val="00205EC7"/>
    <w:rsid w:val="00210615"/>
    <w:rsid w:val="002148BE"/>
    <w:rsid w:val="0021619A"/>
    <w:rsid w:val="00220C7B"/>
    <w:rsid w:val="00222F43"/>
    <w:rsid w:val="002241ED"/>
    <w:rsid w:val="0022479A"/>
    <w:rsid w:val="00230226"/>
    <w:rsid w:val="0023128A"/>
    <w:rsid w:val="002335BE"/>
    <w:rsid w:val="00237375"/>
    <w:rsid w:val="00242A79"/>
    <w:rsid w:val="00245706"/>
    <w:rsid w:val="0025209F"/>
    <w:rsid w:val="00257FBE"/>
    <w:rsid w:val="0026010F"/>
    <w:rsid w:val="0026104E"/>
    <w:rsid w:val="002634C2"/>
    <w:rsid w:val="00274386"/>
    <w:rsid w:val="0027626A"/>
    <w:rsid w:val="00276431"/>
    <w:rsid w:val="00282892"/>
    <w:rsid w:val="00284F8C"/>
    <w:rsid w:val="002919F1"/>
    <w:rsid w:val="00296652"/>
    <w:rsid w:val="002A1559"/>
    <w:rsid w:val="002A2665"/>
    <w:rsid w:val="002A4D78"/>
    <w:rsid w:val="002A5A71"/>
    <w:rsid w:val="002B2349"/>
    <w:rsid w:val="002B4142"/>
    <w:rsid w:val="002B5E79"/>
    <w:rsid w:val="002C3E63"/>
    <w:rsid w:val="002C5120"/>
    <w:rsid w:val="002C7526"/>
    <w:rsid w:val="002C7D3C"/>
    <w:rsid w:val="002D632B"/>
    <w:rsid w:val="002E3323"/>
    <w:rsid w:val="002E398D"/>
    <w:rsid w:val="002E7683"/>
    <w:rsid w:val="002F045C"/>
    <w:rsid w:val="002F73BE"/>
    <w:rsid w:val="002F7420"/>
    <w:rsid w:val="00302D19"/>
    <w:rsid w:val="00306409"/>
    <w:rsid w:val="0030787B"/>
    <w:rsid w:val="00310529"/>
    <w:rsid w:val="003115AA"/>
    <w:rsid w:val="003123A3"/>
    <w:rsid w:val="003124C3"/>
    <w:rsid w:val="00313C58"/>
    <w:rsid w:val="00320D4D"/>
    <w:rsid w:val="00320D81"/>
    <w:rsid w:val="00323427"/>
    <w:rsid w:val="00326AD8"/>
    <w:rsid w:val="00330FA2"/>
    <w:rsid w:val="00341BCD"/>
    <w:rsid w:val="003477B9"/>
    <w:rsid w:val="00350F6B"/>
    <w:rsid w:val="00360AA7"/>
    <w:rsid w:val="00362DD1"/>
    <w:rsid w:val="003735E9"/>
    <w:rsid w:val="003750A6"/>
    <w:rsid w:val="003766B3"/>
    <w:rsid w:val="00385F54"/>
    <w:rsid w:val="0039150C"/>
    <w:rsid w:val="003979CC"/>
    <w:rsid w:val="003A200F"/>
    <w:rsid w:val="003A4745"/>
    <w:rsid w:val="003B1F56"/>
    <w:rsid w:val="003B33D0"/>
    <w:rsid w:val="003B446B"/>
    <w:rsid w:val="003C160B"/>
    <w:rsid w:val="003C4A61"/>
    <w:rsid w:val="003C53B6"/>
    <w:rsid w:val="003D129C"/>
    <w:rsid w:val="003D2324"/>
    <w:rsid w:val="003D7EA7"/>
    <w:rsid w:val="003E184B"/>
    <w:rsid w:val="003E1EEC"/>
    <w:rsid w:val="003E6A54"/>
    <w:rsid w:val="003F26F4"/>
    <w:rsid w:val="003F40E3"/>
    <w:rsid w:val="003F6FB6"/>
    <w:rsid w:val="004002AD"/>
    <w:rsid w:val="00401207"/>
    <w:rsid w:val="00404333"/>
    <w:rsid w:val="004067E4"/>
    <w:rsid w:val="00407F31"/>
    <w:rsid w:val="00414737"/>
    <w:rsid w:val="00425982"/>
    <w:rsid w:val="00431B50"/>
    <w:rsid w:val="00433904"/>
    <w:rsid w:val="00435074"/>
    <w:rsid w:val="0044252F"/>
    <w:rsid w:val="0044409F"/>
    <w:rsid w:val="00444330"/>
    <w:rsid w:val="0044489C"/>
    <w:rsid w:val="0044561E"/>
    <w:rsid w:val="0044602D"/>
    <w:rsid w:val="00451B9A"/>
    <w:rsid w:val="0045414E"/>
    <w:rsid w:val="004553C0"/>
    <w:rsid w:val="00462CDD"/>
    <w:rsid w:val="00463C69"/>
    <w:rsid w:val="00471748"/>
    <w:rsid w:val="0048126B"/>
    <w:rsid w:val="00484803"/>
    <w:rsid w:val="00487F43"/>
    <w:rsid w:val="0049177E"/>
    <w:rsid w:val="00492C8B"/>
    <w:rsid w:val="004A0CBC"/>
    <w:rsid w:val="004A7454"/>
    <w:rsid w:val="004B1038"/>
    <w:rsid w:val="004B5479"/>
    <w:rsid w:val="004C2BF6"/>
    <w:rsid w:val="004C550F"/>
    <w:rsid w:val="004D0D48"/>
    <w:rsid w:val="004D2138"/>
    <w:rsid w:val="004D26D2"/>
    <w:rsid w:val="004D7840"/>
    <w:rsid w:val="004E00D4"/>
    <w:rsid w:val="004E0CE6"/>
    <w:rsid w:val="004E1306"/>
    <w:rsid w:val="004E69FD"/>
    <w:rsid w:val="004F0F1D"/>
    <w:rsid w:val="004F49B0"/>
    <w:rsid w:val="004F4D2B"/>
    <w:rsid w:val="0050101E"/>
    <w:rsid w:val="005026B4"/>
    <w:rsid w:val="00502B9A"/>
    <w:rsid w:val="00506219"/>
    <w:rsid w:val="005078E6"/>
    <w:rsid w:val="00510227"/>
    <w:rsid w:val="00517472"/>
    <w:rsid w:val="00517FE5"/>
    <w:rsid w:val="0052731F"/>
    <w:rsid w:val="00535D82"/>
    <w:rsid w:val="00541DB4"/>
    <w:rsid w:val="00542C23"/>
    <w:rsid w:val="00547768"/>
    <w:rsid w:val="00547824"/>
    <w:rsid w:val="0055066B"/>
    <w:rsid w:val="0055549D"/>
    <w:rsid w:val="0055777F"/>
    <w:rsid w:val="00566D1B"/>
    <w:rsid w:val="00574621"/>
    <w:rsid w:val="00574ABF"/>
    <w:rsid w:val="00576FF8"/>
    <w:rsid w:val="00577F4F"/>
    <w:rsid w:val="0058141F"/>
    <w:rsid w:val="00596ED8"/>
    <w:rsid w:val="005979AA"/>
    <w:rsid w:val="005A7778"/>
    <w:rsid w:val="005B382B"/>
    <w:rsid w:val="005B3CF1"/>
    <w:rsid w:val="005B3E8F"/>
    <w:rsid w:val="005D0BFC"/>
    <w:rsid w:val="005D1719"/>
    <w:rsid w:val="005D1FB7"/>
    <w:rsid w:val="005E01AD"/>
    <w:rsid w:val="005F1177"/>
    <w:rsid w:val="005F732E"/>
    <w:rsid w:val="00606322"/>
    <w:rsid w:val="006070BC"/>
    <w:rsid w:val="00614729"/>
    <w:rsid w:val="00614D70"/>
    <w:rsid w:val="00623843"/>
    <w:rsid w:val="0062398F"/>
    <w:rsid w:val="006251BA"/>
    <w:rsid w:val="00625B13"/>
    <w:rsid w:val="00626E1A"/>
    <w:rsid w:val="00630DD9"/>
    <w:rsid w:val="00636C80"/>
    <w:rsid w:val="00636C94"/>
    <w:rsid w:val="006462D8"/>
    <w:rsid w:val="006633A3"/>
    <w:rsid w:val="00673599"/>
    <w:rsid w:val="00673E97"/>
    <w:rsid w:val="00674618"/>
    <w:rsid w:val="00677387"/>
    <w:rsid w:val="0068257B"/>
    <w:rsid w:val="006868DC"/>
    <w:rsid w:val="006921AB"/>
    <w:rsid w:val="00696F28"/>
    <w:rsid w:val="006A2D0D"/>
    <w:rsid w:val="006A3E50"/>
    <w:rsid w:val="006A62FE"/>
    <w:rsid w:val="006A6726"/>
    <w:rsid w:val="006B2641"/>
    <w:rsid w:val="006C182D"/>
    <w:rsid w:val="006C5404"/>
    <w:rsid w:val="006D19C6"/>
    <w:rsid w:val="006E333A"/>
    <w:rsid w:val="006E7754"/>
    <w:rsid w:val="006F2152"/>
    <w:rsid w:val="006F3888"/>
    <w:rsid w:val="006F4FCD"/>
    <w:rsid w:val="00702FC9"/>
    <w:rsid w:val="007035FB"/>
    <w:rsid w:val="0070711C"/>
    <w:rsid w:val="00710021"/>
    <w:rsid w:val="007150EA"/>
    <w:rsid w:val="00720DF6"/>
    <w:rsid w:val="00726170"/>
    <w:rsid w:val="007327FD"/>
    <w:rsid w:val="00732F67"/>
    <w:rsid w:val="007413BE"/>
    <w:rsid w:val="00747D29"/>
    <w:rsid w:val="00752613"/>
    <w:rsid w:val="00753603"/>
    <w:rsid w:val="007565D4"/>
    <w:rsid w:val="0077241E"/>
    <w:rsid w:val="00773611"/>
    <w:rsid w:val="00773C3C"/>
    <w:rsid w:val="00785EFA"/>
    <w:rsid w:val="0079080B"/>
    <w:rsid w:val="007977A0"/>
    <w:rsid w:val="007A4BEE"/>
    <w:rsid w:val="007B1F2B"/>
    <w:rsid w:val="007B5B7F"/>
    <w:rsid w:val="007C158D"/>
    <w:rsid w:val="007C64D4"/>
    <w:rsid w:val="007C746F"/>
    <w:rsid w:val="007D562C"/>
    <w:rsid w:val="007D5BD1"/>
    <w:rsid w:val="007E312F"/>
    <w:rsid w:val="007E379B"/>
    <w:rsid w:val="007E531A"/>
    <w:rsid w:val="007E60B6"/>
    <w:rsid w:val="007E6833"/>
    <w:rsid w:val="007E70D3"/>
    <w:rsid w:val="007F3F87"/>
    <w:rsid w:val="007F4654"/>
    <w:rsid w:val="007F515F"/>
    <w:rsid w:val="007F7B54"/>
    <w:rsid w:val="008021CF"/>
    <w:rsid w:val="00803CB9"/>
    <w:rsid w:val="00804135"/>
    <w:rsid w:val="00804E54"/>
    <w:rsid w:val="00805DC8"/>
    <w:rsid w:val="00806B90"/>
    <w:rsid w:val="00815C86"/>
    <w:rsid w:val="00821286"/>
    <w:rsid w:val="00833C2D"/>
    <w:rsid w:val="00834DA4"/>
    <w:rsid w:val="008363E0"/>
    <w:rsid w:val="00836DD9"/>
    <w:rsid w:val="00837D46"/>
    <w:rsid w:val="008442D3"/>
    <w:rsid w:val="00846CDC"/>
    <w:rsid w:val="00847721"/>
    <w:rsid w:val="008477E1"/>
    <w:rsid w:val="0085662E"/>
    <w:rsid w:val="00861033"/>
    <w:rsid w:val="00865FAA"/>
    <w:rsid w:val="008666A8"/>
    <w:rsid w:val="00866C49"/>
    <w:rsid w:val="00867DE5"/>
    <w:rsid w:val="008759C0"/>
    <w:rsid w:val="00877CEF"/>
    <w:rsid w:val="00884265"/>
    <w:rsid w:val="008842A5"/>
    <w:rsid w:val="0089207B"/>
    <w:rsid w:val="00894BB8"/>
    <w:rsid w:val="00897531"/>
    <w:rsid w:val="008C19BD"/>
    <w:rsid w:val="008C77CC"/>
    <w:rsid w:val="008D1A9D"/>
    <w:rsid w:val="008E3FB3"/>
    <w:rsid w:val="008E5078"/>
    <w:rsid w:val="008E766C"/>
    <w:rsid w:val="008F4A60"/>
    <w:rsid w:val="0090291C"/>
    <w:rsid w:val="0090370A"/>
    <w:rsid w:val="00903BE5"/>
    <w:rsid w:val="00904DF9"/>
    <w:rsid w:val="009052B1"/>
    <w:rsid w:val="009061DA"/>
    <w:rsid w:val="009070E1"/>
    <w:rsid w:val="00907A02"/>
    <w:rsid w:val="0091208F"/>
    <w:rsid w:val="00912213"/>
    <w:rsid w:val="0091426A"/>
    <w:rsid w:val="00916F63"/>
    <w:rsid w:val="009246B1"/>
    <w:rsid w:val="00931891"/>
    <w:rsid w:val="00933835"/>
    <w:rsid w:val="00937C79"/>
    <w:rsid w:val="009465DA"/>
    <w:rsid w:val="0095122E"/>
    <w:rsid w:val="00952374"/>
    <w:rsid w:val="00952F76"/>
    <w:rsid w:val="00955D77"/>
    <w:rsid w:val="00957F8E"/>
    <w:rsid w:val="0096424A"/>
    <w:rsid w:val="009771F5"/>
    <w:rsid w:val="0099089F"/>
    <w:rsid w:val="00991D05"/>
    <w:rsid w:val="009934EC"/>
    <w:rsid w:val="0099505E"/>
    <w:rsid w:val="009950EF"/>
    <w:rsid w:val="009967F7"/>
    <w:rsid w:val="00997C74"/>
    <w:rsid w:val="009A1534"/>
    <w:rsid w:val="009A2BAB"/>
    <w:rsid w:val="009A6A4F"/>
    <w:rsid w:val="009B1519"/>
    <w:rsid w:val="009B5085"/>
    <w:rsid w:val="009C065B"/>
    <w:rsid w:val="009C3129"/>
    <w:rsid w:val="009C49C5"/>
    <w:rsid w:val="009C5A22"/>
    <w:rsid w:val="009C6708"/>
    <w:rsid w:val="009C6A39"/>
    <w:rsid w:val="009C7D7C"/>
    <w:rsid w:val="009D5C93"/>
    <w:rsid w:val="009D60E1"/>
    <w:rsid w:val="009E0F8A"/>
    <w:rsid w:val="009E133D"/>
    <w:rsid w:val="009E4A7A"/>
    <w:rsid w:val="009E5BCD"/>
    <w:rsid w:val="009F1561"/>
    <w:rsid w:val="009F40AC"/>
    <w:rsid w:val="009F4473"/>
    <w:rsid w:val="009F7417"/>
    <w:rsid w:val="00A04195"/>
    <w:rsid w:val="00A0626D"/>
    <w:rsid w:val="00A11E14"/>
    <w:rsid w:val="00A120AC"/>
    <w:rsid w:val="00A14E4F"/>
    <w:rsid w:val="00A15441"/>
    <w:rsid w:val="00A23CCE"/>
    <w:rsid w:val="00A23CF8"/>
    <w:rsid w:val="00A24555"/>
    <w:rsid w:val="00A24EC2"/>
    <w:rsid w:val="00A25496"/>
    <w:rsid w:val="00A2715C"/>
    <w:rsid w:val="00A32EEF"/>
    <w:rsid w:val="00A46FB5"/>
    <w:rsid w:val="00A477CE"/>
    <w:rsid w:val="00A5618E"/>
    <w:rsid w:val="00A71CF3"/>
    <w:rsid w:val="00A75791"/>
    <w:rsid w:val="00A774A8"/>
    <w:rsid w:val="00A7762C"/>
    <w:rsid w:val="00A818DC"/>
    <w:rsid w:val="00A87778"/>
    <w:rsid w:val="00AA74AD"/>
    <w:rsid w:val="00AB1840"/>
    <w:rsid w:val="00AB25DD"/>
    <w:rsid w:val="00AB26ED"/>
    <w:rsid w:val="00AB3206"/>
    <w:rsid w:val="00AB66A1"/>
    <w:rsid w:val="00AB7DED"/>
    <w:rsid w:val="00AC0C24"/>
    <w:rsid w:val="00AC7382"/>
    <w:rsid w:val="00AD5476"/>
    <w:rsid w:val="00AD59C2"/>
    <w:rsid w:val="00AD6F98"/>
    <w:rsid w:val="00AE1B73"/>
    <w:rsid w:val="00AE581C"/>
    <w:rsid w:val="00AF7AF6"/>
    <w:rsid w:val="00B0145B"/>
    <w:rsid w:val="00B06058"/>
    <w:rsid w:val="00B1051B"/>
    <w:rsid w:val="00B10F9A"/>
    <w:rsid w:val="00B12435"/>
    <w:rsid w:val="00B23762"/>
    <w:rsid w:val="00B255BE"/>
    <w:rsid w:val="00B369B5"/>
    <w:rsid w:val="00B377E6"/>
    <w:rsid w:val="00B37994"/>
    <w:rsid w:val="00B43C2F"/>
    <w:rsid w:val="00B4402F"/>
    <w:rsid w:val="00B45234"/>
    <w:rsid w:val="00B47AA9"/>
    <w:rsid w:val="00B535A9"/>
    <w:rsid w:val="00B5394A"/>
    <w:rsid w:val="00B5748C"/>
    <w:rsid w:val="00B67EDC"/>
    <w:rsid w:val="00B753FA"/>
    <w:rsid w:val="00B80615"/>
    <w:rsid w:val="00B83EF6"/>
    <w:rsid w:val="00B869D9"/>
    <w:rsid w:val="00B9042E"/>
    <w:rsid w:val="00B93822"/>
    <w:rsid w:val="00BA0877"/>
    <w:rsid w:val="00BA721D"/>
    <w:rsid w:val="00BA7420"/>
    <w:rsid w:val="00BA776D"/>
    <w:rsid w:val="00BB5045"/>
    <w:rsid w:val="00BB57FC"/>
    <w:rsid w:val="00BC2D8C"/>
    <w:rsid w:val="00BC3478"/>
    <w:rsid w:val="00BC3ACF"/>
    <w:rsid w:val="00BC41D9"/>
    <w:rsid w:val="00BC4DDB"/>
    <w:rsid w:val="00BC5716"/>
    <w:rsid w:val="00BC7541"/>
    <w:rsid w:val="00BD68BD"/>
    <w:rsid w:val="00BF42BE"/>
    <w:rsid w:val="00C01F5B"/>
    <w:rsid w:val="00C053C5"/>
    <w:rsid w:val="00C06722"/>
    <w:rsid w:val="00C07AC0"/>
    <w:rsid w:val="00C12D3A"/>
    <w:rsid w:val="00C169FE"/>
    <w:rsid w:val="00C3682C"/>
    <w:rsid w:val="00C476DC"/>
    <w:rsid w:val="00C546E1"/>
    <w:rsid w:val="00C558B8"/>
    <w:rsid w:val="00C55B7F"/>
    <w:rsid w:val="00C60068"/>
    <w:rsid w:val="00C614D7"/>
    <w:rsid w:val="00C64CE5"/>
    <w:rsid w:val="00C6682A"/>
    <w:rsid w:val="00C77A1E"/>
    <w:rsid w:val="00C86788"/>
    <w:rsid w:val="00C90915"/>
    <w:rsid w:val="00C9120F"/>
    <w:rsid w:val="00CA36F3"/>
    <w:rsid w:val="00CA3D8A"/>
    <w:rsid w:val="00CA5F8C"/>
    <w:rsid w:val="00CA799C"/>
    <w:rsid w:val="00CB0A76"/>
    <w:rsid w:val="00CB1E4E"/>
    <w:rsid w:val="00CB310B"/>
    <w:rsid w:val="00CB5D97"/>
    <w:rsid w:val="00CB60B9"/>
    <w:rsid w:val="00CC593D"/>
    <w:rsid w:val="00CC624F"/>
    <w:rsid w:val="00CC657A"/>
    <w:rsid w:val="00CD1E3B"/>
    <w:rsid w:val="00CD4A0F"/>
    <w:rsid w:val="00CD7857"/>
    <w:rsid w:val="00CE0FAC"/>
    <w:rsid w:val="00CE15C8"/>
    <w:rsid w:val="00CF1BE7"/>
    <w:rsid w:val="00CF395B"/>
    <w:rsid w:val="00CF3E85"/>
    <w:rsid w:val="00D01604"/>
    <w:rsid w:val="00D03B38"/>
    <w:rsid w:val="00D042BE"/>
    <w:rsid w:val="00D047D1"/>
    <w:rsid w:val="00D11A0E"/>
    <w:rsid w:val="00D15153"/>
    <w:rsid w:val="00D17D30"/>
    <w:rsid w:val="00D17ECF"/>
    <w:rsid w:val="00D20FAF"/>
    <w:rsid w:val="00D21BA8"/>
    <w:rsid w:val="00D37F77"/>
    <w:rsid w:val="00D40C90"/>
    <w:rsid w:val="00D4637F"/>
    <w:rsid w:val="00D5186E"/>
    <w:rsid w:val="00D5539D"/>
    <w:rsid w:val="00D6229C"/>
    <w:rsid w:val="00D6634C"/>
    <w:rsid w:val="00D7250C"/>
    <w:rsid w:val="00D73D2A"/>
    <w:rsid w:val="00D761DA"/>
    <w:rsid w:val="00D911E2"/>
    <w:rsid w:val="00D97CD4"/>
    <w:rsid w:val="00DA2AC8"/>
    <w:rsid w:val="00DA62F0"/>
    <w:rsid w:val="00DB06CD"/>
    <w:rsid w:val="00DB4A47"/>
    <w:rsid w:val="00DC3802"/>
    <w:rsid w:val="00DC6736"/>
    <w:rsid w:val="00DC79D2"/>
    <w:rsid w:val="00DD5F95"/>
    <w:rsid w:val="00DD7417"/>
    <w:rsid w:val="00DE6128"/>
    <w:rsid w:val="00DE708F"/>
    <w:rsid w:val="00DF06E0"/>
    <w:rsid w:val="00DF096D"/>
    <w:rsid w:val="00DF3FEF"/>
    <w:rsid w:val="00DF48D2"/>
    <w:rsid w:val="00E0051E"/>
    <w:rsid w:val="00E074D2"/>
    <w:rsid w:val="00E10C9F"/>
    <w:rsid w:val="00E12D6D"/>
    <w:rsid w:val="00E20D74"/>
    <w:rsid w:val="00E2104D"/>
    <w:rsid w:val="00E24693"/>
    <w:rsid w:val="00E30160"/>
    <w:rsid w:val="00E4299C"/>
    <w:rsid w:val="00E4377F"/>
    <w:rsid w:val="00E44E52"/>
    <w:rsid w:val="00E45D77"/>
    <w:rsid w:val="00E53F8C"/>
    <w:rsid w:val="00E6552F"/>
    <w:rsid w:val="00E73A5A"/>
    <w:rsid w:val="00E75B4B"/>
    <w:rsid w:val="00E77323"/>
    <w:rsid w:val="00E77D76"/>
    <w:rsid w:val="00E825A4"/>
    <w:rsid w:val="00E8520C"/>
    <w:rsid w:val="00E90A77"/>
    <w:rsid w:val="00E9183F"/>
    <w:rsid w:val="00EA1C3A"/>
    <w:rsid w:val="00EA30FE"/>
    <w:rsid w:val="00EA4DEE"/>
    <w:rsid w:val="00EB1EB0"/>
    <w:rsid w:val="00EB3D43"/>
    <w:rsid w:val="00EB4888"/>
    <w:rsid w:val="00EB5560"/>
    <w:rsid w:val="00EC7016"/>
    <w:rsid w:val="00ED0B1D"/>
    <w:rsid w:val="00ED3294"/>
    <w:rsid w:val="00ED7D1B"/>
    <w:rsid w:val="00EE0110"/>
    <w:rsid w:val="00EE1097"/>
    <w:rsid w:val="00EE1505"/>
    <w:rsid w:val="00EE5FA9"/>
    <w:rsid w:val="00EF00D1"/>
    <w:rsid w:val="00EF1C5F"/>
    <w:rsid w:val="00EF2AFF"/>
    <w:rsid w:val="00EF3FFE"/>
    <w:rsid w:val="00F0012B"/>
    <w:rsid w:val="00F03049"/>
    <w:rsid w:val="00F0475B"/>
    <w:rsid w:val="00F10ECD"/>
    <w:rsid w:val="00F137DB"/>
    <w:rsid w:val="00F172E2"/>
    <w:rsid w:val="00F17F6F"/>
    <w:rsid w:val="00F24DD8"/>
    <w:rsid w:val="00F27608"/>
    <w:rsid w:val="00F35C32"/>
    <w:rsid w:val="00F3610F"/>
    <w:rsid w:val="00F3637D"/>
    <w:rsid w:val="00F378F6"/>
    <w:rsid w:val="00F37972"/>
    <w:rsid w:val="00F412B3"/>
    <w:rsid w:val="00F416AB"/>
    <w:rsid w:val="00F449C8"/>
    <w:rsid w:val="00F454D7"/>
    <w:rsid w:val="00F47610"/>
    <w:rsid w:val="00F51689"/>
    <w:rsid w:val="00F51AE0"/>
    <w:rsid w:val="00F51DDE"/>
    <w:rsid w:val="00F52621"/>
    <w:rsid w:val="00F52B85"/>
    <w:rsid w:val="00F55CBA"/>
    <w:rsid w:val="00F56676"/>
    <w:rsid w:val="00F57E75"/>
    <w:rsid w:val="00F6496F"/>
    <w:rsid w:val="00F73139"/>
    <w:rsid w:val="00F7400A"/>
    <w:rsid w:val="00F91CD8"/>
    <w:rsid w:val="00F9337F"/>
    <w:rsid w:val="00F94BA6"/>
    <w:rsid w:val="00FA1103"/>
    <w:rsid w:val="00FA73AB"/>
    <w:rsid w:val="00FB2AED"/>
    <w:rsid w:val="00FB3DF9"/>
    <w:rsid w:val="00FC0E7C"/>
    <w:rsid w:val="00FC2AD2"/>
    <w:rsid w:val="00FC2E3E"/>
    <w:rsid w:val="00FD03DB"/>
    <w:rsid w:val="00FD16F3"/>
    <w:rsid w:val="00FD1961"/>
    <w:rsid w:val="00FD66F9"/>
    <w:rsid w:val="00FE6211"/>
    <w:rsid w:val="00FE6284"/>
    <w:rsid w:val="00FF5C4C"/>
    <w:rsid w:val="00FF70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A498"/>
  <w15:docId w15:val="{FBA89601-06AD-4E90-9FE0-98F0E238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A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A3BB5"/>
    <w:pPr>
      <w:ind w:left="720"/>
      <w:contextualSpacing/>
    </w:pPr>
  </w:style>
  <w:style w:type="table" w:styleId="Sfondochiaro">
    <w:name w:val="Light Shading"/>
    <w:basedOn w:val="Tabellanormale"/>
    <w:uiPriority w:val="60"/>
    <w:rsid w:val="001E6E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stonotaapidipagina">
    <w:name w:val="footnote text"/>
    <w:basedOn w:val="Normale"/>
    <w:link w:val="TestonotaapidipaginaCarattere"/>
    <w:uiPriority w:val="99"/>
    <w:semiHidden/>
    <w:unhideWhenUsed/>
    <w:rsid w:val="004541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5414E"/>
    <w:rPr>
      <w:sz w:val="20"/>
      <w:szCs w:val="20"/>
    </w:rPr>
  </w:style>
  <w:style w:type="character" w:styleId="Rimandonotaapidipagina">
    <w:name w:val="footnote reference"/>
    <w:basedOn w:val="Carpredefinitoparagrafo"/>
    <w:uiPriority w:val="99"/>
    <w:semiHidden/>
    <w:unhideWhenUsed/>
    <w:rsid w:val="0045414E"/>
    <w:rPr>
      <w:vertAlign w:val="superscript"/>
    </w:rPr>
  </w:style>
  <w:style w:type="table" w:customStyle="1" w:styleId="Tabellagriglia1chiara1">
    <w:name w:val="Tabella griglia 1 chiara1"/>
    <w:basedOn w:val="Tabellanormale"/>
    <w:uiPriority w:val="46"/>
    <w:rsid w:val="006633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stofumetto">
    <w:name w:val="Balloon Text"/>
    <w:basedOn w:val="Normale"/>
    <w:link w:val="TestofumettoCarattere"/>
    <w:uiPriority w:val="99"/>
    <w:semiHidden/>
    <w:unhideWhenUsed/>
    <w:rsid w:val="00036E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6E12"/>
    <w:rPr>
      <w:rFonts w:ascii="Tahoma" w:hAnsi="Tahoma" w:cs="Tahoma"/>
      <w:sz w:val="16"/>
      <w:szCs w:val="16"/>
    </w:rPr>
  </w:style>
  <w:style w:type="paragraph" w:styleId="Intestazione">
    <w:name w:val="header"/>
    <w:basedOn w:val="Normale"/>
    <w:link w:val="IntestazioneCarattere"/>
    <w:uiPriority w:val="99"/>
    <w:unhideWhenUsed/>
    <w:rsid w:val="00F94BA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94BA6"/>
  </w:style>
  <w:style w:type="paragraph" w:styleId="Pidipagina">
    <w:name w:val="footer"/>
    <w:basedOn w:val="Normale"/>
    <w:link w:val="PidipaginaCarattere"/>
    <w:uiPriority w:val="99"/>
    <w:unhideWhenUsed/>
    <w:rsid w:val="00F94BA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94BA6"/>
  </w:style>
  <w:style w:type="table" w:customStyle="1" w:styleId="PlainTable41">
    <w:name w:val="Plain Table 41"/>
    <w:basedOn w:val="Tabellanormale"/>
    <w:uiPriority w:val="44"/>
    <w:rsid w:val="007E37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677387"/>
    <w:rPr>
      <w:color w:val="0563C1" w:themeColor="hyperlink"/>
      <w:u w:val="single"/>
    </w:rPr>
  </w:style>
  <w:style w:type="character" w:styleId="Rimandocommento">
    <w:name w:val="annotation reference"/>
    <w:basedOn w:val="Carpredefinitoparagrafo"/>
    <w:uiPriority w:val="99"/>
    <w:semiHidden/>
    <w:unhideWhenUsed/>
    <w:rsid w:val="0030787B"/>
    <w:rPr>
      <w:sz w:val="16"/>
      <w:szCs w:val="16"/>
    </w:rPr>
  </w:style>
  <w:style w:type="paragraph" w:styleId="Testocommento">
    <w:name w:val="annotation text"/>
    <w:basedOn w:val="Normale"/>
    <w:link w:val="TestocommentoCarattere"/>
    <w:uiPriority w:val="99"/>
    <w:semiHidden/>
    <w:unhideWhenUsed/>
    <w:rsid w:val="0030787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0787B"/>
    <w:rPr>
      <w:sz w:val="20"/>
      <w:szCs w:val="20"/>
    </w:rPr>
  </w:style>
  <w:style w:type="paragraph" w:styleId="Soggettocommento">
    <w:name w:val="annotation subject"/>
    <w:basedOn w:val="Testocommento"/>
    <w:next w:val="Testocommento"/>
    <w:link w:val="SoggettocommentoCarattere"/>
    <w:uiPriority w:val="99"/>
    <w:semiHidden/>
    <w:unhideWhenUsed/>
    <w:rsid w:val="0030787B"/>
    <w:rPr>
      <w:b/>
      <w:bCs/>
    </w:rPr>
  </w:style>
  <w:style w:type="character" w:customStyle="1" w:styleId="SoggettocommentoCarattere">
    <w:name w:val="Soggetto commento Carattere"/>
    <w:basedOn w:val="TestocommentoCarattere"/>
    <w:link w:val="Soggettocommento"/>
    <w:uiPriority w:val="99"/>
    <w:semiHidden/>
    <w:rsid w:val="0030787B"/>
    <w:rPr>
      <w:b/>
      <w:bCs/>
      <w:sz w:val="20"/>
      <w:szCs w:val="20"/>
    </w:rPr>
  </w:style>
  <w:style w:type="table" w:styleId="Tabellasemplice4">
    <w:name w:val="Plain Table 4"/>
    <w:basedOn w:val="Tabellanormale"/>
    <w:uiPriority w:val="44"/>
    <w:rsid w:val="00FC2A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stonotadichiusura">
    <w:name w:val="endnote text"/>
    <w:basedOn w:val="Normale"/>
    <w:link w:val="TestonotadichiusuraCarattere"/>
    <w:uiPriority w:val="99"/>
    <w:semiHidden/>
    <w:unhideWhenUsed/>
    <w:rsid w:val="00D17EC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17ECF"/>
    <w:rPr>
      <w:sz w:val="20"/>
      <w:szCs w:val="20"/>
    </w:rPr>
  </w:style>
  <w:style w:type="character" w:styleId="Rimandonotadichiusura">
    <w:name w:val="endnote reference"/>
    <w:basedOn w:val="Carpredefinitoparagrafo"/>
    <w:uiPriority w:val="99"/>
    <w:semiHidden/>
    <w:unhideWhenUsed/>
    <w:rsid w:val="00D17E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596">
      <w:bodyDiv w:val="1"/>
      <w:marLeft w:val="0"/>
      <w:marRight w:val="0"/>
      <w:marTop w:val="0"/>
      <w:marBottom w:val="0"/>
      <w:divBdr>
        <w:top w:val="none" w:sz="0" w:space="0" w:color="auto"/>
        <w:left w:val="none" w:sz="0" w:space="0" w:color="auto"/>
        <w:bottom w:val="none" w:sz="0" w:space="0" w:color="auto"/>
        <w:right w:val="none" w:sz="0" w:space="0" w:color="auto"/>
      </w:divBdr>
      <w:divsChild>
        <w:div w:id="1254971556">
          <w:marLeft w:val="0"/>
          <w:marRight w:val="0"/>
          <w:marTop w:val="0"/>
          <w:marBottom w:val="0"/>
          <w:divBdr>
            <w:top w:val="none" w:sz="0" w:space="0" w:color="auto"/>
            <w:left w:val="none" w:sz="0" w:space="0" w:color="auto"/>
            <w:bottom w:val="none" w:sz="0" w:space="0" w:color="auto"/>
            <w:right w:val="none" w:sz="0" w:space="0" w:color="auto"/>
          </w:divBdr>
        </w:div>
        <w:div w:id="650984124">
          <w:marLeft w:val="0"/>
          <w:marRight w:val="0"/>
          <w:marTop w:val="0"/>
          <w:marBottom w:val="0"/>
          <w:divBdr>
            <w:top w:val="none" w:sz="0" w:space="0" w:color="auto"/>
            <w:left w:val="none" w:sz="0" w:space="0" w:color="auto"/>
            <w:bottom w:val="none" w:sz="0" w:space="0" w:color="auto"/>
            <w:right w:val="none" w:sz="0" w:space="0" w:color="auto"/>
          </w:divBdr>
        </w:div>
        <w:div w:id="1440946987">
          <w:marLeft w:val="0"/>
          <w:marRight w:val="0"/>
          <w:marTop w:val="0"/>
          <w:marBottom w:val="0"/>
          <w:divBdr>
            <w:top w:val="none" w:sz="0" w:space="0" w:color="auto"/>
            <w:left w:val="none" w:sz="0" w:space="0" w:color="auto"/>
            <w:bottom w:val="none" w:sz="0" w:space="0" w:color="auto"/>
            <w:right w:val="none" w:sz="0" w:space="0" w:color="auto"/>
          </w:divBdr>
        </w:div>
        <w:div w:id="1390374520">
          <w:marLeft w:val="0"/>
          <w:marRight w:val="0"/>
          <w:marTop w:val="0"/>
          <w:marBottom w:val="0"/>
          <w:divBdr>
            <w:top w:val="none" w:sz="0" w:space="0" w:color="auto"/>
            <w:left w:val="none" w:sz="0" w:space="0" w:color="auto"/>
            <w:bottom w:val="none" w:sz="0" w:space="0" w:color="auto"/>
            <w:right w:val="none" w:sz="0" w:space="0" w:color="auto"/>
          </w:divBdr>
        </w:div>
      </w:divsChild>
    </w:div>
    <w:div w:id="1574705338">
      <w:bodyDiv w:val="1"/>
      <w:marLeft w:val="0"/>
      <w:marRight w:val="0"/>
      <w:marTop w:val="0"/>
      <w:marBottom w:val="0"/>
      <w:divBdr>
        <w:top w:val="none" w:sz="0" w:space="0" w:color="auto"/>
        <w:left w:val="none" w:sz="0" w:space="0" w:color="auto"/>
        <w:bottom w:val="none" w:sz="0" w:space="0" w:color="auto"/>
        <w:right w:val="none" w:sz="0" w:space="0" w:color="auto"/>
      </w:divBdr>
      <w:divsChild>
        <w:div w:id="1603300602">
          <w:marLeft w:val="547"/>
          <w:marRight w:val="0"/>
          <w:marTop w:val="200"/>
          <w:marBottom w:val="0"/>
          <w:divBdr>
            <w:top w:val="none" w:sz="0" w:space="0" w:color="auto"/>
            <w:left w:val="none" w:sz="0" w:space="0" w:color="auto"/>
            <w:bottom w:val="none" w:sz="0" w:space="0" w:color="auto"/>
            <w:right w:val="none" w:sz="0" w:space="0" w:color="auto"/>
          </w:divBdr>
        </w:div>
      </w:divsChild>
    </w:div>
    <w:div w:id="1973901732">
      <w:bodyDiv w:val="1"/>
      <w:marLeft w:val="0"/>
      <w:marRight w:val="0"/>
      <w:marTop w:val="0"/>
      <w:marBottom w:val="0"/>
      <w:divBdr>
        <w:top w:val="none" w:sz="0" w:space="0" w:color="auto"/>
        <w:left w:val="none" w:sz="0" w:space="0" w:color="auto"/>
        <w:bottom w:val="none" w:sz="0" w:space="0" w:color="auto"/>
        <w:right w:val="none" w:sz="0" w:space="0" w:color="auto"/>
      </w:divBdr>
      <w:divsChild>
        <w:div w:id="1401826036">
          <w:marLeft w:val="0"/>
          <w:marRight w:val="0"/>
          <w:marTop w:val="0"/>
          <w:marBottom w:val="0"/>
          <w:divBdr>
            <w:top w:val="none" w:sz="0" w:space="0" w:color="auto"/>
            <w:left w:val="none" w:sz="0" w:space="0" w:color="auto"/>
            <w:bottom w:val="none" w:sz="0" w:space="0" w:color="auto"/>
            <w:right w:val="none" w:sz="0" w:space="0" w:color="auto"/>
          </w:divBdr>
        </w:div>
        <w:div w:id="1793815800">
          <w:marLeft w:val="0"/>
          <w:marRight w:val="0"/>
          <w:marTop w:val="0"/>
          <w:marBottom w:val="0"/>
          <w:divBdr>
            <w:top w:val="none" w:sz="0" w:space="0" w:color="auto"/>
            <w:left w:val="none" w:sz="0" w:space="0" w:color="auto"/>
            <w:bottom w:val="none" w:sz="0" w:space="0" w:color="auto"/>
            <w:right w:val="none" w:sz="0" w:space="0" w:color="auto"/>
          </w:divBdr>
        </w:div>
        <w:div w:id="166873871">
          <w:marLeft w:val="0"/>
          <w:marRight w:val="0"/>
          <w:marTop w:val="0"/>
          <w:marBottom w:val="0"/>
          <w:divBdr>
            <w:top w:val="none" w:sz="0" w:space="0" w:color="auto"/>
            <w:left w:val="none" w:sz="0" w:space="0" w:color="auto"/>
            <w:bottom w:val="none" w:sz="0" w:space="0" w:color="auto"/>
            <w:right w:val="none" w:sz="0" w:space="0" w:color="auto"/>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709384168">
          <w:marLeft w:val="0"/>
          <w:marRight w:val="0"/>
          <w:marTop w:val="0"/>
          <w:marBottom w:val="0"/>
          <w:divBdr>
            <w:top w:val="none" w:sz="0" w:space="0" w:color="auto"/>
            <w:left w:val="none" w:sz="0" w:space="0" w:color="auto"/>
            <w:bottom w:val="none" w:sz="0" w:space="0" w:color="auto"/>
            <w:right w:val="none" w:sz="0" w:space="0" w:color="auto"/>
          </w:divBdr>
        </w:div>
        <w:div w:id="5374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5B68-FEAC-4F21-BCC8-17512952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26</Pages>
  <Words>7529</Words>
  <Characters>42920</Characters>
  <Application>Microsoft Office Word</Application>
  <DocSecurity>0</DocSecurity>
  <Lines>357</Lines>
  <Paragraphs>100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SOAS</Company>
  <LinksUpToDate>false</LinksUpToDate>
  <CharactersWithSpaces>50349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Stevano</dc:creator>
  <cp:keywords/>
  <dc:description/>
  <cp:lastModifiedBy>Sara Stevano</cp:lastModifiedBy>
  <cp:revision>100</cp:revision>
  <cp:lastPrinted>2017-05-03T17:14:00Z</cp:lastPrinted>
  <dcterms:created xsi:type="dcterms:W3CDTF">2018-01-30T13:45:00Z</dcterms:created>
  <dcterms:modified xsi:type="dcterms:W3CDTF">2019-06-12T08:40:00Z</dcterms:modified>
</cp:coreProperties>
</file>