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E6360" w14:textId="77777777" w:rsidR="007A0871" w:rsidRDefault="007A0871" w:rsidP="007A0871">
      <w:pPr>
        <w:pStyle w:val="Heading1"/>
      </w:pPr>
      <w:bookmarkStart w:id="0" w:name="_GoBack"/>
      <w:bookmarkEnd w:id="0"/>
      <w:r>
        <w:t>Title</w:t>
      </w:r>
    </w:p>
    <w:p w14:paraId="7DFE6361" w14:textId="77777777" w:rsidR="007A0871" w:rsidRDefault="00216DE6" w:rsidP="007A0871">
      <w:r>
        <w:t xml:space="preserve">Effects of </w:t>
      </w:r>
      <w:r w:rsidR="0099221E">
        <w:t xml:space="preserve">city-wide </w:t>
      </w:r>
      <w:r>
        <w:t xml:space="preserve">20mph </w:t>
      </w:r>
      <w:r w:rsidR="00A70544">
        <w:t xml:space="preserve">(30km/hr) </w:t>
      </w:r>
      <w:r>
        <w:t xml:space="preserve">speed limits on road </w:t>
      </w:r>
      <w:r w:rsidR="00B707CE">
        <w:t xml:space="preserve">injuries </w:t>
      </w:r>
      <w:r>
        <w:t>in Bristol, UK</w:t>
      </w:r>
    </w:p>
    <w:p w14:paraId="7DFE6362" w14:textId="77777777" w:rsidR="007A0871" w:rsidRDefault="007A0871" w:rsidP="007A0871">
      <w:pPr>
        <w:pStyle w:val="Heading1"/>
      </w:pPr>
      <w:r>
        <w:t>Corresponding author</w:t>
      </w:r>
    </w:p>
    <w:p w14:paraId="7DFE6363" w14:textId="77777777" w:rsidR="007A0871" w:rsidRPr="00807629" w:rsidRDefault="007A0871" w:rsidP="007A0871">
      <w:pPr>
        <w:rPr>
          <w:b/>
          <w:u w:val="single"/>
        </w:rPr>
      </w:pPr>
      <w:r w:rsidRPr="00807629">
        <w:rPr>
          <w:b/>
          <w:u w:val="single"/>
        </w:rPr>
        <w:t>Anna Bornioli</w:t>
      </w:r>
    </w:p>
    <w:p w14:paraId="7DFE6364" w14:textId="77777777" w:rsidR="007A0871" w:rsidRDefault="007A0871" w:rsidP="007A0871">
      <w:r>
        <w:t>Department of Health and Social Sciences</w:t>
      </w:r>
    </w:p>
    <w:p w14:paraId="7DFE6365" w14:textId="77777777" w:rsidR="007A0871" w:rsidRDefault="007A0871" w:rsidP="007A0871">
      <w:r>
        <w:t>Faculty of Health and Applied Sciences</w:t>
      </w:r>
    </w:p>
    <w:p w14:paraId="7DFE6366" w14:textId="77777777" w:rsidR="007A0871" w:rsidRDefault="007A0871" w:rsidP="007A0871">
      <w:r>
        <w:t>University of the West of England, Bristol</w:t>
      </w:r>
    </w:p>
    <w:p w14:paraId="7DFE6367" w14:textId="77777777" w:rsidR="007A0871" w:rsidRDefault="007A0871" w:rsidP="007A0871">
      <w:r>
        <w:t>Coldharbour Lane</w:t>
      </w:r>
    </w:p>
    <w:p w14:paraId="7DFE6368" w14:textId="77777777" w:rsidR="007A0871" w:rsidRDefault="007A0871" w:rsidP="007A0871">
      <w:r>
        <w:t>BS16</w:t>
      </w:r>
    </w:p>
    <w:p w14:paraId="7DFE6369" w14:textId="77777777" w:rsidR="007A0871" w:rsidRDefault="007A0871" w:rsidP="007A0871">
      <w:r>
        <w:t>Bristol, United Kingdom</w:t>
      </w:r>
    </w:p>
    <w:p w14:paraId="7DFE636A" w14:textId="77777777" w:rsidR="007A0871" w:rsidRDefault="00BC5BEF" w:rsidP="007A0871">
      <w:hyperlink r:id="rId6" w:history="1">
        <w:r w:rsidR="007A0871" w:rsidRPr="00E90AC4">
          <w:rPr>
            <w:rStyle w:val="Hyperlink"/>
          </w:rPr>
          <w:t>Anna.bornioli@uwe.ac.uk</w:t>
        </w:r>
      </w:hyperlink>
    </w:p>
    <w:p w14:paraId="7DFE636B" w14:textId="77777777" w:rsidR="007A0871" w:rsidRPr="007A0871" w:rsidRDefault="007A0871" w:rsidP="007A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871">
        <w:rPr>
          <w:rFonts w:ascii="Calibri" w:eastAsia="Times New Roman" w:hAnsi="Calibri" w:cs="Times New Roman"/>
          <w:color w:val="000000"/>
        </w:rPr>
        <w:t>01173287281</w:t>
      </w:r>
    </w:p>
    <w:p w14:paraId="7DFE636C" w14:textId="77777777" w:rsidR="007A0871" w:rsidRDefault="007A0871" w:rsidP="007A0871"/>
    <w:p w14:paraId="7DFE636D" w14:textId="77777777" w:rsidR="007A0871" w:rsidRDefault="007A0871" w:rsidP="007A0871">
      <w:pPr>
        <w:pStyle w:val="Heading1"/>
      </w:pPr>
      <w:r>
        <w:t>Co-authors</w:t>
      </w:r>
    </w:p>
    <w:p w14:paraId="7DFE636E" w14:textId="77777777" w:rsidR="007A0871" w:rsidRPr="007A0871" w:rsidRDefault="007A0871" w:rsidP="007A0871">
      <w:pPr>
        <w:rPr>
          <w:b/>
          <w:u w:val="single"/>
        </w:rPr>
      </w:pPr>
      <w:r w:rsidRPr="007A0871">
        <w:rPr>
          <w:b/>
          <w:u w:val="single"/>
        </w:rPr>
        <w:t>Isabel</w:t>
      </w:r>
      <w:r w:rsidR="00997609">
        <w:rPr>
          <w:b/>
          <w:u w:val="single"/>
        </w:rPr>
        <w:t>le</w:t>
      </w:r>
      <w:r w:rsidRPr="007A0871">
        <w:rPr>
          <w:b/>
          <w:u w:val="single"/>
        </w:rPr>
        <w:t xml:space="preserve"> Bray</w:t>
      </w:r>
    </w:p>
    <w:p w14:paraId="7DFE636F" w14:textId="77777777" w:rsidR="007A0871" w:rsidRPr="00341B2C" w:rsidRDefault="007A0871" w:rsidP="00807629">
      <w:r w:rsidRPr="00341B2C">
        <w:t>Centre for Public Health and Wellbeing</w:t>
      </w:r>
    </w:p>
    <w:p w14:paraId="7DFE6370" w14:textId="77777777" w:rsidR="007A0871" w:rsidRPr="00341B2C" w:rsidRDefault="007A0871" w:rsidP="00807629">
      <w:r w:rsidRPr="00341B2C">
        <w:t>Department of Health and Social Science</w:t>
      </w:r>
      <w:r w:rsidR="00997609">
        <w:t>s</w:t>
      </w:r>
    </w:p>
    <w:p w14:paraId="7DFE6371" w14:textId="77777777" w:rsidR="007A0871" w:rsidRPr="00341B2C" w:rsidRDefault="007A0871" w:rsidP="00807629">
      <w:r w:rsidRPr="00341B2C">
        <w:t>Faculty of Health and Applied Sciences</w:t>
      </w:r>
    </w:p>
    <w:p w14:paraId="7DFE6372" w14:textId="77777777" w:rsidR="007A0871" w:rsidRDefault="007A0871" w:rsidP="00807629">
      <w:pPr>
        <w:rPr>
          <w:lang w:eastAsia="en-GB"/>
        </w:rPr>
      </w:pPr>
      <w:r w:rsidRPr="00341B2C">
        <w:rPr>
          <w:lang w:eastAsia="en-GB"/>
        </w:rPr>
        <w:t>University of the West of England, Bristol</w:t>
      </w:r>
    </w:p>
    <w:p w14:paraId="7DFE6373" w14:textId="77777777" w:rsidR="007A0871" w:rsidRDefault="007A0871" w:rsidP="00807629">
      <w:r>
        <w:lastRenderedPageBreak/>
        <w:t>Bristol, United Kingdom</w:t>
      </w:r>
    </w:p>
    <w:p w14:paraId="7DFE6374" w14:textId="77777777" w:rsidR="007A0871" w:rsidRPr="007A0871" w:rsidRDefault="007A0871" w:rsidP="007A0871">
      <w:pPr>
        <w:rPr>
          <w:b/>
          <w:u w:val="single"/>
        </w:rPr>
      </w:pPr>
      <w:r w:rsidRPr="007A0871">
        <w:rPr>
          <w:b/>
          <w:u w:val="single"/>
        </w:rPr>
        <w:t>Paul Pilkington</w:t>
      </w:r>
    </w:p>
    <w:p w14:paraId="7DFE6375" w14:textId="77777777" w:rsidR="007A0871" w:rsidRPr="00341B2C" w:rsidRDefault="007A0871" w:rsidP="00807629">
      <w:r w:rsidRPr="00341B2C">
        <w:t>Centre for Public Health and Wellbeing</w:t>
      </w:r>
    </w:p>
    <w:p w14:paraId="7DFE6376" w14:textId="77777777" w:rsidR="007A0871" w:rsidRPr="00341B2C" w:rsidRDefault="007A0871" w:rsidP="00807629">
      <w:r w:rsidRPr="00341B2C">
        <w:t>Department of Health and Social Science</w:t>
      </w:r>
      <w:r w:rsidR="00997609">
        <w:t>s</w:t>
      </w:r>
    </w:p>
    <w:p w14:paraId="7DFE6377" w14:textId="77777777" w:rsidR="007A0871" w:rsidRPr="00341B2C" w:rsidRDefault="007A0871" w:rsidP="00807629">
      <w:r w:rsidRPr="00341B2C">
        <w:t>Faculty of Health and Applied Sciences</w:t>
      </w:r>
    </w:p>
    <w:p w14:paraId="7DFE6378" w14:textId="77777777" w:rsidR="007A0871" w:rsidRDefault="007A0871" w:rsidP="00807629">
      <w:pPr>
        <w:rPr>
          <w:lang w:eastAsia="en-GB"/>
        </w:rPr>
      </w:pPr>
      <w:r w:rsidRPr="00341B2C">
        <w:rPr>
          <w:lang w:eastAsia="en-GB"/>
        </w:rPr>
        <w:t>University of the West of England, Bristol</w:t>
      </w:r>
    </w:p>
    <w:p w14:paraId="7DFE6379" w14:textId="77777777" w:rsidR="007A0871" w:rsidRDefault="007A0871" w:rsidP="00807629">
      <w:r>
        <w:t>Bristol, United Kingdom</w:t>
      </w:r>
    </w:p>
    <w:p w14:paraId="7DFE637A" w14:textId="77777777" w:rsidR="007A0871" w:rsidRPr="007A0871" w:rsidRDefault="007A0871" w:rsidP="007A0871">
      <w:pPr>
        <w:rPr>
          <w:b/>
          <w:u w:val="single"/>
        </w:rPr>
      </w:pPr>
      <w:r w:rsidRPr="007A0871">
        <w:rPr>
          <w:b/>
          <w:u w:val="single"/>
        </w:rPr>
        <w:t>John Parkin</w:t>
      </w:r>
    </w:p>
    <w:p w14:paraId="7DFE637B" w14:textId="77777777" w:rsidR="007A0871" w:rsidRPr="00341B2C" w:rsidRDefault="007A0871" w:rsidP="00807629">
      <w:r w:rsidRPr="00341B2C">
        <w:t xml:space="preserve">Centre for </w:t>
      </w:r>
      <w:r>
        <w:t>Transport and Society</w:t>
      </w:r>
    </w:p>
    <w:p w14:paraId="7DFE637C" w14:textId="77777777" w:rsidR="007A0871" w:rsidRPr="00341B2C" w:rsidRDefault="007A0871" w:rsidP="00807629">
      <w:r w:rsidRPr="00341B2C">
        <w:t xml:space="preserve">Department of </w:t>
      </w:r>
      <w:r>
        <w:t>Geography and Environmental Management</w:t>
      </w:r>
    </w:p>
    <w:p w14:paraId="7DFE637D" w14:textId="77777777" w:rsidR="007A0871" w:rsidRPr="00341B2C" w:rsidRDefault="007A0871" w:rsidP="00807629">
      <w:r w:rsidRPr="00341B2C">
        <w:t xml:space="preserve">Faculty of </w:t>
      </w:r>
      <w:r>
        <w:t>Environment and Technology</w:t>
      </w:r>
    </w:p>
    <w:p w14:paraId="7DFE637E" w14:textId="77777777" w:rsidR="007A0871" w:rsidRDefault="007A0871" w:rsidP="00807629">
      <w:pPr>
        <w:rPr>
          <w:lang w:eastAsia="en-GB"/>
        </w:rPr>
      </w:pPr>
      <w:r w:rsidRPr="00341B2C">
        <w:rPr>
          <w:lang w:eastAsia="en-GB"/>
        </w:rPr>
        <w:t>University of the West of England, Bristol</w:t>
      </w:r>
    </w:p>
    <w:p w14:paraId="7DFE637F" w14:textId="77777777" w:rsidR="007A0871" w:rsidRPr="007A0871" w:rsidRDefault="007A0871" w:rsidP="00807629">
      <w:r>
        <w:t>Bristol, United Kingdom</w:t>
      </w:r>
    </w:p>
    <w:p w14:paraId="7DFE6380" w14:textId="77777777" w:rsidR="007A0871" w:rsidRDefault="007A0871" w:rsidP="007A0871">
      <w:pPr>
        <w:pStyle w:val="Heading1"/>
      </w:pPr>
      <w:r>
        <w:t>Keywords</w:t>
      </w:r>
    </w:p>
    <w:p w14:paraId="7DFE6381" w14:textId="77777777" w:rsidR="007A0871" w:rsidRDefault="007A0871" w:rsidP="007A0871">
      <w:r>
        <w:t>Speed, 20mph limits, road injuries, longitudinal, stepped wedge design.</w:t>
      </w:r>
    </w:p>
    <w:p w14:paraId="7DFE6382" w14:textId="77777777" w:rsidR="007A0871" w:rsidRDefault="007A0871" w:rsidP="007A0871">
      <w:pPr>
        <w:pStyle w:val="Heading1"/>
      </w:pPr>
      <w:r>
        <w:t>Word count</w:t>
      </w:r>
    </w:p>
    <w:p w14:paraId="7DFE6383" w14:textId="377A747D" w:rsidR="007A0871" w:rsidRDefault="007A0871" w:rsidP="007A0871">
      <w:r>
        <w:t>1</w:t>
      </w:r>
      <w:r w:rsidR="00D3314D">
        <w:t>730</w:t>
      </w:r>
    </w:p>
    <w:p w14:paraId="7DFE6384" w14:textId="77777777" w:rsidR="007A0871" w:rsidRDefault="007A0871" w:rsidP="007A0871">
      <w:pPr>
        <w:pStyle w:val="Heading1"/>
      </w:pPr>
      <w:r>
        <w:t>Reference count</w:t>
      </w:r>
    </w:p>
    <w:p w14:paraId="7DFE6385" w14:textId="77777777" w:rsidR="007A0871" w:rsidRPr="007A0871" w:rsidRDefault="007A0871" w:rsidP="007A0871">
      <w:r>
        <w:t>11</w:t>
      </w:r>
    </w:p>
    <w:p w14:paraId="7DFE6386" w14:textId="77777777" w:rsidR="007A0871" w:rsidRPr="007A0871" w:rsidRDefault="007A0871" w:rsidP="007A0871"/>
    <w:p w14:paraId="7DFE6387" w14:textId="77777777" w:rsidR="007A0871" w:rsidRDefault="007A087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lastRenderedPageBreak/>
        <w:br w:type="page"/>
      </w:r>
    </w:p>
    <w:p w14:paraId="7DFE6388" w14:textId="77777777" w:rsidR="007A0871" w:rsidRDefault="007A0871" w:rsidP="007A0871">
      <w:pPr>
        <w:pStyle w:val="Title"/>
      </w:pPr>
      <w:r>
        <w:lastRenderedPageBreak/>
        <w:t>Effects of city-wide 20mph (30km/hr) speed limits on road injuries in Bristol, UK</w:t>
      </w:r>
    </w:p>
    <w:p w14:paraId="7DFE6389" w14:textId="77777777" w:rsidR="0004678D" w:rsidRDefault="0004678D" w:rsidP="007161BC">
      <w:pPr>
        <w:pStyle w:val="Heading1"/>
      </w:pPr>
      <w:r>
        <w:t>Abstract</w:t>
      </w:r>
    </w:p>
    <w:p w14:paraId="7DFE638A" w14:textId="4DB3EE65" w:rsidR="0004678D" w:rsidRDefault="0004678D" w:rsidP="0004678D">
      <w:pPr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</w:rPr>
        <w:t>Twenty mph (32km/hr) or 30km/hr speed limits represent a potential strategy to reduce urban road injuries and are becoming increasingly widespread</w:t>
      </w:r>
      <w:r w:rsidRPr="00C16CC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However,</w:t>
      </w:r>
      <w:r>
        <w:rPr>
          <w:rFonts w:ascii="Calibri" w:hAnsi="Calibri" w:cs="Calibri"/>
          <w:shd w:val="clear" w:color="auto" w:fill="FFFFFF"/>
        </w:rPr>
        <w:t xml:space="preserve"> no study has conducted a robust evaluation of the</w:t>
      </w:r>
      <w:r w:rsidRPr="005D2294">
        <w:rPr>
          <w:rFonts w:ascii="Calibri" w:hAnsi="Calibri" w:cs="Calibri"/>
          <w:shd w:val="clear" w:color="auto" w:fill="FFFFFF"/>
        </w:rPr>
        <w:t xml:space="preserve"> effects of </w:t>
      </w:r>
      <w:r w:rsidR="0055000C">
        <w:rPr>
          <w:rFonts w:ascii="Calibri" w:hAnsi="Calibri" w:cs="Calibri"/>
          <w:shd w:val="clear" w:color="auto" w:fill="FFFFFF"/>
        </w:rPr>
        <w:t>city-wide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5D2294">
        <w:rPr>
          <w:rFonts w:ascii="Calibri" w:hAnsi="Calibri" w:cs="Calibri"/>
          <w:shd w:val="clear" w:color="auto" w:fill="FFFFFF"/>
        </w:rPr>
        <w:t>20mph speed limits on road injuries</w:t>
      </w:r>
      <w:r>
        <w:rPr>
          <w:rFonts w:ascii="Calibri" w:hAnsi="Calibri" w:cs="Calibri"/>
          <w:shd w:val="clear" w:color="auto" w:fill="FFFFFF"/>
        </w:rPr>
        <w:t xml:space="preserve">. </w:t>
      </w:r>
      <w:r>
        <w:rPr>
          <w:rFonts w:ascii="Calibri" w:hAnsi="Calibri" w:cs="Calibri"/>
        </w:rPr>
        <w:t>This study reports the effects of such an intervention, based on a natural experiment that took place in Bristol, UK. Based on a stepped wedge design using count data</w:t>
      </w:r>
      <w:r w:rsidR="0055000C">
        <w:rPr>
          <w:rFonts w:ascii="Calibri" w:hAnsi="Calibri" w:cs="Calibri"/>
        </w:rPr>
        <w:t>,</w:t>
      </w:r>
      <w:r w:rsidR="00F85F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negative binomial regressions showed that </w:t>
      </w:r>
      <w:r>
        <w:rPr>
          <w:shd w:val="clear" w:color="auto" w:fill="FFFFFF"/>
        </w:rPr>
        <w:t>between</w:t>
      </w:r>
      <w:r w:rsidRPr="00CD1383">
        <w:rPr>
          <w:shd w:val="clear" w:color="auto" w:fill="FFFFFF"/>
        </w:rPr>
        <w:t xml:space="preserve"> </w:t>
      </w:r>
      <w:r>
        <w:rPr>
          <w:shd w:val="clear" w:color="auto" w:fill="FFFFFF"/>
        </w:rPr>
        <w:t>2008-2016, the 20mph speed limit intervention was associated with a city</w:t>
      </w:r>
      <w:r w:rsidR="0055000C">
        <w:rPr>
          <w:shd w:val="clear" w:color="auto" w:fill="FFFFFF"/>
        </w:rPr>
        <w:t>-level</w:t>
      </w:r>
      <w:r>
        <w:t xml:space="preserve"> reduction of fatal injuries of around 63% (CI: </w:t>
      </w:r>
      <w:r w:rsidR="003C3665">
        <w:t>2%-8</w:t>
      </w:r>
      <w:r w:rsidR="00856DB7">
        <w:t>6</w:t>
      </w:r>
      <w:r w:rsidR="003C3665">
        <w:t>%</w:t>
      </w:r>
      <w:r>
        <w:t>)</w:t>
      </w:r>
      <w:r w:rsidR="00907F79">
        <w:t xml:space="preserve">, controlling for </w:t>
      </w:r>
      <w:r w:rsidR="00675339">
        <w:t>trends over time</w:t>
      </w:r>
      <w:r w:rsidR="00907F79">
        <w:t xml:space="preserve"> and areas</w:t>
      </w:r>
      <w:r>
        <w:t>. There was also a general trend of reduction of the total number of injuries at city</w:t>
      </w:r>
      <w:r w:rsidR="0055000C">
        <w:t>-</w:t>
      </w:r>
      <w:r>
        <w:t xml:space="preserve">level and in 20mph roads. </w:t>
      </w:r>
      <w:r>
        <w:rPr>
          <w:rFonts w:ascii="Calibri" w:eastAsia="Times New Roman" w:hAnsi="Calibri" w:cs="Calibri"/>
          <w:color w:val="000000"/>
        </w:rPr>
        <w:t xml:space="preserve">These findings highlight the potential benefits of </w:t>
      </w:r>
      <w:r w:rsidR="0055000C">
        <w:rPr>
          <w:rFonts w:ascii="Calibri" w:hAnsi="Calibri" w:cs="Calibri"/>
          <w:shd w:val="clear" w:color="auto" w:fill="FFFFFF"/>
        </w:rPr>
        <w:t xml:space="preserve">city-wide </w:t>
      </w:r>
      <w:r>
        <w:rPr>
          <w:rFonts w:ascii="Calibri" w:eastAsia="Times New Roman" w:hAnsi="Calibri" w:cs="Calibri"/>
          <w:color w:val="000000"/>
        </w:rPr>
        <w:t xml:space="preserve">20mph speed limits. </w:t>
      </w:r>
      <w:r w:rsidR="006C2DB7">
        <w:rPr>
          <w:rFonts w:ascii="Calibri" w:eastAsia="Times New Roman" w:hAnsi="Calibri" w:cs="Calibri"/>
          <w:color w:val="000000"/>
        </w:rPr>
        <w:t xml:space="preserve">We hypothesize that this </w:t>
      </w:r>
      <w:r w:rsidR="00894040">
        <w:rPr>
          <w:rFonts w:ascii="Calibri" w:eastAsia="Times New Roman" w:hAnsi="Calibri" w:cs="Calibri"/>
          <w:color w:val="000000"/>
        </w:rPr>
        <w:t xml:space="preserve">city-wide </w:t>
      </w:r>
      <w:r w:rsidR="006C2DB7">
        <w:rPr>
          <w:rFonts w:ascii="Calibri" w:eastAsia="Times New Roman" w:hAnsi="Calibri" w:cs="Calibri"/>
          <w:color w:val="000000"/>
        </w:rPr>
        <w:t>approach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A90863">
        <w:rPr>
          <w:rFonts w:ascii="Calibri" w:eastAsia="Times New Roman" w:hAnsi="Calibri" w:cs="Calibri"/>
          <w:color w:val="000000"/>
        </w:rPr>
        <w:t>may</w:t>
      </w:r>
      <w:r w:rsidR="00894040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encourage a general behaviour change in drivers that in turn</w:t>
      </w:r>
      <w:r w:rsidR="00894040">
        <w:rPr>
          <w:rFonts w:ascii="Calibri" w:eastAsia="Times New Roman" w:hAnsi="Calibri" w:cs="Calibri"/>
          <w:color w:val="000000"/>
        </w:rPr>
        <w:t xml:space="preserve"> </w:t>
      </w:r>
      <w:r w:rsidR="00A90863">
        <w:rPr>
          <w:rFonts w:ascii="Calibri" w:eastAsia="Times New Roman" w:hAnsi="Calibri" w:cs="Calibri"/>
          <w:color w:val="000000"/>
        </w:rPr>
        <w:t>may</w:t>
      </w:r>
      <w:r>
        <w:rPr>
          <w:rFonts w:ascii="Calibri" w:eastAsia="Times New Roman" w:hAnsi="Calibri" w:cs="Calibri"/>
          <w:color w:val="000000"/>
        </w:rPr>
        <w:t xml:space="preserve"> contribute to reducing </w:t>
      </w:r>
      <w:r>
        <w:t>injuries</w:t>
      </w:r>
      <w:r w:rsidR="006C2DB7">
        <w:t xml:space="preserve"> across the city</w:t>
      </w:r>
      <w:r>
        <w:rPr>
          <w:rFonts w:ascii="Calibri" w:eastAsia="Times New Roman" w:hAnsi="Calibri" w:cs="Calibri"/>
          <w:color w:val="000000"/>
        </w:rPr>
        <w:t xml:space="preserve">. </w:t>
      </w:r>
    </w:p>
    <w:p w14:paraId="7DFE638B" w14:textId="77777777" w:rsidR="0004678D" w:rsidRPr="00950A35" w:rsidRDefault="0004678D" w:rsidP="0004678D">
      <w:pPr>
        <w:pStyle w:val="Heading2"/>
      </w:pPr>
      <w:r w:rsidRPr="00950A35">
        <w:t>What is already known on this subject</w:t>
      </w:r>
      <w:r>
        <w:t>:</w:t>
      </w:r>
    </w:p>
    <w:p w14:paraId="7DFE638C" w14:textId="58D33E1B" w:rsidR="0004678D" w:rsidRPr="00A24979" w:rsidRDefault="00F66C12" w:rsidP="0004678D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  <w:lang w:val="en-US"/>
        </w:rPr>
        <w:t>Motorised vehicle s</w:t>
      </w:r>
      <w:r w:rsidR="0004678D" w:rsidRPr="00CF37B1">
        <w:rPr>
          <w:rFonts w:ascii="Calibri" w:hAnsi="Calibri" w:cs="Calibri"/>
          <w:lang w:val="en-US"/>
        </w:rPr>
        <w:t xml:space="preserve">peed is positively associated with risk of </w:t>
      </w:r>
      <w:r>
        <w:rPr>
          <w:rFonts w:ascii="Calibri" w:hAnsi="Calibri" w:cs="Calibri"/>
          <w:lang w:val="en-US"/>
        </w:rPr>
        <w:t xml:space="preserve">road traffic </w:t>
      </w:r>
      <w:r w:rsidR="0004678D">
        <w:rPr>
          <w:rFonts w:ascii="Calibri" w:hAnsi="Calibri" w:cs="Calibri"/>
          <w:lang w:val="en-US"/>
        </w:rPr>
        <w:t>injuries;</w:t>
      </w:r>
    </w:p>
    <w:p w14:paraId="7DFE638D" w14:textId="77777777" w:rsidR="0004678D" w:rsidRPr="00D66642" w:rsidRDefault="0004678D" w:rsidP="0004678D">
      <w:pPr>
        <w:pStyle w:val="ListParagraph"/>
        <w:numPr>
          <w:ilvl w:val="0"/>
          <w:numId w:val="5"/>
        </w:numPr>
        <w:rPr>
          <w:rFonts w:ascii="Calibri" w:hAnsi="Calibri" w:cs="Calibri"/>
          <w:lang w:val="en-US"/>
        </w:rPr>
      </w:pPr>
      <w:r w:rsidRPr="00D66642">
        <w:rPr>
          <w:rFonts w:ascii="Calibri" w:hAnsi="Calibri" w:cs="Calibri"/>
          <w:lang w:val="en-US"/>
        </w:rPr>
        <w:lastRenderedPageBreak/>
        <w:t>20mph (30kmh) limits as a road safety tool to reduce casualties are increasingly popular</w:t>
      </w:r>
      <w:r>
        <w:rPr>
          <w:rFonts w:ascii="Calibri" w:hAnsi="Calibri" w:cs="Calibri"/>
          <w:lang w:val="en-US"/>
        </w:rPr>
        <w:t>;</w:t>
      </w:r>
    </w:p>
    <w:p w14:paraId="7DFE638E" w14:textId="4CD13427" w:rsidR="0004678D" w:rsidRPr="00950A35" w:rsidRDefault="0004678D" w:rsidP="0004678D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There is no city</w:t>
      </w:r>
      <w:r w:rsidR="00A90863"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 xml:space="preserve">wide robust evaluation of </w:t>
      </w:r>
      <w:r w:rsidR="008D34D5">
        <w:rPr>
          <w:rFonts w:ascii="Calibri" w:eastAsia="Times New Roman" w:hAnsi="Calibri" w:cs="Calibri"/>
          <w:color w:val="000000"/>
        </w:rPr>
        <w:t xml:space="preserve">the </w:t>
      </w:r>
      <w:r>
        <w:rPr>
          <w:rFonts w:ascii="Calibri" w:eastAsia="Times New Roman" w:hAnsi="Calibri" w:cs="Calibri"/>
          <w:color w:val="000000"/>
        </w:rPr>
        <w:t xml:space="preserve">effects of </w:t>
      </w:r>
      <w:r w:rsidR="0055000C">
        <w:rPr>
          <w:rFonts w:ascii="Calibri" w:hAnsi="Calibri" w:cs="Calibri"/>
          <w:shd w:val="clear" w:color="auto" w:fill="FFFFFF"/>
        </w:rPr>
        <w:t xml:space="preserve">city-wide </w:t>
      </w:r>
      <w:r>
        <w:rPr>
          <w:rFonts w:ascii="Calibri" w:eastAsia="Times New Roman" w:hAnsi="Calibri" w:cs="Calibri"/>
          <w:color w:val="000000"/>
        </w:rPr>
        <w:t>20mph speed limits on road injuries.</w:t>
      </w:r>
    </w:p>
    <w:p w14:paraId="7DFE638F" w14:textId="77777777" w:rsidR="0004678D" w:rsidRPr="00950A35" w:rsidRDefault="0004678D" w:rsidP="0004678D">
      <w:pPr>
        <w:pStyle w:val="Heading2"/>
      </w:pPr>
      <w:r w:rsidRPr="00950A35">
        <w:t>What this study adds</w:t>
      </w:r>
      <w:r>
        <w:t>:</w:t>
      </w:r>
    </w:p>
    <w:p w14:paraId="7DFE6390" w14:textId="77777777" w:rsidR="00F66C12" w:rsidRDefault="00F66C12" w:rsidP="00F66C12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This is the first study to apply a stepped-wedge design with count data to a </w:t>
      </w:r>
      <w:r w:rsidR="0055000C">
        <w:rPr>
          <w:rFonts w:ascii="Calibri" w:hAnsi="Calibri" w:cs="Calibri"/>
          <w:shd w:val="clear" w:color="auto" w:fill="FFFFFF"/>
        </w:rPr>
        <w:t xml:space="preserve">city-wide </w:t>
      </w:r>
      <w:r>
        <w:rPr>
          <w:rFonts w:ascii="Calibri" w:eastAsia="Times New Roman" w:hAnsi="Calibri" w:cs="Calibri"/>
          <w:color w:val="000000"/>
        </w:rPr>
        <w:t>20mph limit case study.</w:t>
      </w:r>
    </w:p>
    <w:p w14:paraId="7DFE6391" w14:textId="130D956D" w:rsidR="0004678D" w:rsidRDefault="00F66C12" w:rsidP="0004678D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study </w:t>
      </w:r>
      <w:r w:rsidR="0004678D">
        <w:rPr>
          <w:rFonts w:ascii="Calibri" w:eastAsia="Times New Roman" w:hAnsi="Calibri" w:cs="Calibri"/>
          <w:color w:val="000000"/>
        </w:rPr>
        <w:t>identifie</w:t>
      </w:r>
      <w:r>
        <w:rPr>
          <w:rFonts w:ascii="Calibri" w:eastAsia="Times New Roman" w:hAnsi="Calibri" w:cs="Calibri"/>
          <w:color w:val="000000"/>
        </w:rPr>
        <w:t>s</w:t>
      </w:r>
      <w:r w:rsidR="0004678D">
        <w:rPr>
          <w:rFonts w:ascii="Calibri" w:eastAsia="Times New Roman" w:hAnsi="Calibri" w:cs="Calibri"/>
          <w:color w:val="000000"/>
        </w:rPr>
        <w:t xml:space="preserve"> a general trend of injury reductions and strong evidence of reduction of fatal injuries following a </w:t>
      </w:r>
      <w:r w:rsidR="0055000C">
        <w:rPr>
          <w:rFonts w:ascii="Calibri" w:hAnsi="Calibri" w:cs="Calibri"/>
          <w:shd w:val="clear" w:color="auto" w:fill="FFFFFF"/>
        </w:rPr>
        <w:t xml:space="preserve">city-wide </w:t>
      </w:r>
      <w:r w:rsidR="0004678D">
        <w:rPr>
          <w:rFonts w:ascii="Calibri" w:eastAsia="Times New Roman" w:hAnsi="Calibri" w:cs="Calibri"/>
          <w:color w:val="000000"/>
        </w:rPr>
        <w:t>20mph speed limit intervention</w:t>
      </w:r>
      <w:r w:rsidR="00224468">
        <w:rPr>
          <w:rFonts w:ascii="Calibri" w:eastAsia="Times New Roman" w:hAnsi="Calibri" w:cs="Calibri"/>
          <w:color w:val="000000"/>
        </w:rPr>
        <w:t>.</w:t>
      </w:r>
    </w:p>
    <w:p w14:paraId="7DFE6392" w14:textId="77777777" w:rsidR="0004678D" w:rsidRPr="0004678D" w:rsidRDefault="0004678D" w:rsidP="0004678D"/>
    <w:p w14:paraId="7DFE6393" w14:textId="77777777" w:rsidR="00F649B0" w:rsidRDefault="00F649B0" w:rsidP="007161BC">
      <w:pPr>
        <w:pStyle w:val="Heading1"/>
      </w:pPr>
      <w:r>
        <w:t>Introduction</w:t>
      </w:r>
    </w:p>
    <w:p w14:paraId="7DFE6394" w14:textId="6453F73F" w:rsidR="001B1F46" w:rsidRPr="001B29EF" w:rsidRDefault="00D113B0" w:rsidP="0004678D">
      <w:pPr>
        <w:jc w:val="both"/>
        <w:rPr>
          <w:lang w:val="en-US"/>
        </w:rPr>
      </w:pPr>
      <w:r>
        <w:t>Twenty mph (32km/hr) or 30km/hr speed limits represent a potential strategy to reduce urban road injuries and are becoming increasingly widespread in Western countries.</w:t>
      </w:r>
      <w:r w:rsidR="00F72764">
        <w:t>[1-3]</w:t>
      </w:r>
      <w:r>
        <w:t xml:space="preserve"> This is because reducing r</w:t>
      </w:r>
      <w:r w:rsidR="00F649B0" w:rsidRPr="00C16CC7">
        <w:t xml:space="preserve">oad injuries </w:t>
      </w:r>
      <w:r>
        <w:t xml:space="preserve">is a priority for public health, as </w:t>
      </w:r>
      <w:r w:rsidR="00882EA3">
        <w:t>such injuries</w:t>
      </w:r>
      <w:r w:rsidR="00882EA3" w:rsidRPr="00C16CC7">
        <w:t xml:space="preserve"> </w:t>
      </w:r>
      <w:r w:rsidR="009D685B" w:rsidRPr="00C16CC7">
        <w:t xml:space="preserve">are </w:t>
      </w:r>
      <w:r w:rsidR="00F649B0" w:rsidRPr="00C16CC7">
        <w:t xml:space="preserve">among the leading causes of </w:t>
      </w:r>
      <w:r w:rsidR="009D685B" w:rsidRPr="00C16CC7">
        <w:t>death</w:t>
      </w:r>
      <w:r w:rsidR="00F649B0" w:rsidRPr="00C16CC7">
        <w:t xml:space="preserve"> and disability worldwide</w:t>
      </w:r>
      <w:r>
        <w:t>, with m</w:t>
      </w:r>
      <w:r w:rsidR="00396DDE">
        <w:t xml:space="preserve">ore than one million </w:t>
      </w:r>
      <w:r w:rsidR="001B1F46">
        <w:t>individuals</w:t>
      </w:r>
      <w:r w:rsidR="00396DDE">
        <w:t xml:space="preserve"> </w:t>
      </w:r>
      <w:r>
        <w:t>dying</w:t>
      </w:r>
      <w:r w:rsidR="00396DDE">
        <w:t xml:space="preserve"> each year on the road</w:t>
      </w:r>
      <w:r>
        <w:t>.</w:t>
      </w:r>
      <w:r w:rsidR="00F72764">
        <w:t>[4]</w:t>
      </w:r>
      <w:r>
        <w:t xml:space="preserve"> </w:t>
      </w:r>
      <w:r w:rsidR="001B1F46">
        <w:rPr>
          <w:lang w:val="en-US"/>
        </w:rPr>
        <w:t xml:space="preserve">Previous research has shown that </w:t>
      </w:r>
      <w:r w:rsidR="00F66C12">
        <w:rPr>
          <w:lang w:val="en-US"/>
        </w:rPr>
        <w:t xml:space="preserve">motorized vehicle </w:t>
      </w:r>
      <w:r w:rsidR="001B1F46">
        <w:rPr>
          <w:lang w:val="en-US"/>
        </w:rPr>
        <w:t>s</w:t>
      </w:r>
      <w:r w:rsidR="001B1F46" w:rsidRPr="00C16CC7">
        <w:rPr>
          <w:lang w:val="en-US"/>
        </w:rPr>
        <w:t xml:space="preserve">peed </w:t>
      </w:r>
      <w:r w:rsidR="001B1F46">
        <w:rPr>
          <w:lang w:val="en-US"/>
        </w:rPr>
        <w:t>is positively associated with r</w:t>
      </w:r>
      <w:r w:rsidR="001B1F46" w:rsidRPr="00C16CC7">
        <w:rPr>
          <w:lang w:val="en-US"/>
        </w:rPr>
        <w:t xml:space="preserve">isk of </w:t>
      </w:r>
      <w:r w:rsidR="00F66C12">
        <w:rPr>
          <w:lang w:val="en-US"/>
        </w:rPr>
        <w:t xml:space="preserve">road traffic </w:t>
      </w:r>
      <w:r w:rsidR="00EE4D56">
        <w:rPr>
          <w:lang w:val="en-US"/>
        </w:rPr>
        <w:t>collisions</w:t>
      </w:r>
      <w:r w:rsidR="006C2DB7">
        <w:t>,</w:t>
      </w:r>
      <w:r w:rsidR="00F72764">
        <w:t>[5, 6]</w:t>
      </w:r>
      <w:r w:rsidR="001B1F46" w:rsidRPr="00C16CC7">
        <w:t xml:space="preserve"> </w:t>
      </w:r>
      <w:r>
        <w:t>therefore reducing s</w:t>
      </w:r>
      <w:r w:rsidRPr="00C16CC7">
        <w:rPr>
          <w:shd w:val="clear" w:color="auto" w:fill="FFFFFF"/>
        </w:rPr>
        <w:t xml:space="preserve">peed </w:t>
      </w:r>
      <w:r>
        <w:rPr>
          <w:shd w:val="clear" w:color="auto" w:fill="FFFFFF"/>
        </w:rPr>
        <w:t>should have an effect on reducing injuries</w:t>
      </w:r>
      <w:r>
        <w:t>.</w:t>
      </w:r>
      <w:r w:rsidR="00F72764">
        <w:t>[4]</w:t>
      </w:r>
      <w:r>
        <w:t xml:space="preserve"> Twenty mph </w:t>
      </w:r>
      <w:r w:rsidR="006C2DB7">
        <w:t>l</w:t>
      </w:r>
      <w:r w:rsidR="00EE4D56">
        <w:t>imits</w:t>
      </w:r>
      <w:r w:rsidR="00EE4D56" w:rsidRPr="00C16CC7">
        <w:t xml:space="preserve"> </w:t>
      </w:r>
      <w:r w:rsidR="001B1F46" w:rsidRPr="00C16CC7">
        <w:t xml:space="preserve">are sign-only </w:t>
      </w:r>
      <w:r w:rsidR="00EE4D56">
        <w:t>interventions without</w:t>
      </w:r>
      <w:r w:rsidR="001B29EF">
        <w:t xml:space="preserve"> </w:t>
      </w:r>
      <w:r w:rsidR="00F85F12">
        <w:t>engineering</w:t>
      </w:r>
      <w:r w:rsidR="001B1F46" w:rsidRPr="00C16CC7">
        <w:t xml:space="preserve"> measures such as speed bumps</w:t>
      </w:r>
      <w:r>
        <w:t>, as opposed to 20mph speed zones</w:t>
      </w:r>
      <w:r w:rsidR="006C2DB7">
        <w:t>, which also include sp</w:t>
      </w:r>
      <w:r w:rsidR="00614315">
        <w:t>e</w:t>
      </w:r>
      <w:r w:rsidR="006C2DB7">
        <w:t>ed-reduction engineering</w:t>
      </w:r>
      <w:r w:rsidR="00F66C12">
        <w:t xml:space="preserve"> measures to slow traffic</w:t>
      </w:r>
      <w:r w:rsidR="001B1F46">
        <w:t xml:space="preserve">. </w:t>
      </w:r>
      <w:r w:rsidR="001B1F46">
        <w:rPr>
          <w:lang w:val="en-US"/>
        </w:rPr>
        <w:t xml:space="preserve">According to WHO, </w:t>
      </w:r>
      <w:r w:rsidR="00F66C12">
        <w:rPr>
          <w:lang w:val="en-US"/>
        </w:rPr>
        <w:t xml:space="preserve">20mph </w:t>
      </w:r>
      <w:r>
        <w:rPr>
          <w:lang w:val="en-US"/>
        </w:rPr>
        <w:t>limits</w:t>
      </w:r>
      <w:r w:rsidR="001B1F46">
        <w:rPr>
          <w:lang w:val="en-US"/>
        </w:rPr>
        <w:t xml:space="preserve"> are recommended for residential areas with high pedestrian activity</w:t>
      </w:r>
      <w:r w:rsidR="00F72764">
        <w:rPr>
          <w:lang w:val="en-US"/>
        </w:rPr>
        <w:t xml:space="preserve">.[5, </w:t>
      </w:r>
      <w:r w:rsidR="001B1F46">
        <w:rPr>
          <w:lang w:val="en-US"/>
        </w:rPr>
        <w:t>p. 28</w:t>
      </w:r>
      <w:r w:rsidR="00F72764">
        <w:rPr>
          <w:lang w:val="en-US"/>
        </w:rPr>
        <w:t>]</w:t>
      </w:r>
      <w:r w:rsidR="001B1F46" w:rsidRPr="00C16CC7">
        <w:t xml:space="preserve"> </w:t>
      </w:r>
    </w:p>
    <w:p w14:paraId="7DFE6395" w14:textId="7E4FD86D" w:rsidR="001B1F46" w:rsidRDefault="00F66C12" w:rsidP="0004678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In 2009, a study found that 20mph zones in London were associated with a </w:t>
      </w:r>
      <w:r w:rsidRPr="004E7E86">
        <w:rPr>
          <w:rFonts w:ascii="Calibri" w:hAnsi="Calibri" w:cs="Calibri"/>
        </w:rPr>
        <w:t>41.9%</w:t>
      </w:r>
      <w:r>
        <w:rPr>
          <w:rFonts w:ascii="Calibri" w:hAnsi="Calibri" w:cs="Calibri"/>
        </w:rPr>
        <w:t xml:space="preserve"> reduction in road casualties.</w:t>
      </w:r>
      <w:r w:rsidR="00F72764">
        <w:rPr>
          <w:rFonts w:ascii="Calibri" w:hAnsi="Calibri" w:cs="Calibri"/>
        </w:rPr>
        <w:t>[7]</w:t>
      </w:r>
      <w:r>
        <w:rPr>
          <w:rFonts w:ascii="Calibri" w:hAnsi="Calibri" w:cs="Calibri"/>
        </w:rPr>
        <w:t xml:space="preserve"> However, d</w:t>
      </w:r>
      <w:r w:rsidR="001B29EF">
        <w:rPr>
          <w:rFonts w:ascii="Calibri" w:hAnsi="Calibri" w:cs="Calibri"/>
        </w:rPr>
        <w:t xml:space="preserve">espite 20mph speed limits </w:t>
      </w:r>
      <w:r w:rsidR="00F85F12">
        <w:rPr>
          <w:rFonts w:ascii="Calibri" w:hAnsi="Calibri" w:cs="Calibri"/>
        </w:rPr>
        <w:t xml:space="preserve">(i.e. without engineering measures) </w:t>
      </w:r>
      <w:r w:rsidR="001B29EF">
        <w:rPr>
          <w:rFonts w:ascii="Calibri" w:hAnsi="Calibri" w:cs="Calibri"/>
        </w:rPr>
        <w:t xml:space="preserve">becoming increasingly popular, little research has been conducted to test the effects of </w:t>
      </w:r>
      <w:r w:rsidR="009953D3">
        <w:rPr>
          <w:rFonts w:ascii="Calibri" w:hAnsi="Calibri" w:cs="Calibri"/>
        </w:rPr>
        <w:t xml:space="preserve">20mph </w:t>
      </w:r>
      <w:r w:rsidR="001B29EF">
        <w:rPr>
          <w:rFonts w:ascii="Calibri" w:hAnsi="Calibri" w:cs="Calibri"/>
        </w:rPr>
        <w:t>limits on road</w:t>
      </w:r>
      <w:r w:rsidR="00B707CE" w:rsidRPr="00B707CE">
        <w:t xml:space="preserve"> </w:t>
      </w:r>
      <w:r w:rsidR="00B707CE">
        <w:t>injuries</w:t>
      </w:r>
      <w:r w:rsidR="001B29EF">
        <w:rPr>
          <w:rFonts w:ascii="Calibri" w:hAnsi="Calibri" w:cs="Calibri"/>
        </w:rPr>
        <w:t>.</w:t>
      </w:r>
      <w:r w:rsidR="000467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="001B29EF">
        <w:rPr>
          <w:noProof/>
        </w:rPr>
        <w:t xml:space="preserve"> </w:t>
      </w:r>
      <w:r w:rsidR="00EE4D56">
        <w:rPr>
          <w:noProof/>
        </w:rPr>
        <w:t xml:space="preserve">recent </w:t>
      </w:r>
      <w:r w:rsidR="004E7E86">
        <w:rPr>
          <w:noProof/>
        </w:rPr>
        <w:t xml:space="preserve">UK </w:t>
      </w:r>
      <w:r w:rsidR="00806A4B">
        <w:rPr>
          <w:noProof/>
        </w:rPr>
        <w:t xml:space="preserve">government </w:t>
      </w:r>
      <w:r w:rsidR="001B29EF">
        <w:rPr>
          <w:noProof/>
        </w:rPr>
        <w:t xml:space="preserve">study concluded that </w:t>
      </w:r>
      <w:r w:rsidR="001B29EF" w:rsidRPr="00C16CC7">
        <w:rPr>
          <w:rFonts w:ascii="Calibri" w:hAnsi="Calibri" w:cs="Calibri"/>
          <w:shd w:val="clear" w:color="auto" w:fill="FFFFFF"/>
        </w:rPr>
        <w:t>there is not enough evidence to suggest that 20mph speed limits are associated with decrease</w:t>
      </w:r>
      <w:r w:rsidR="00EE4D56">
        <w:rPr>
          <w:rFonts w:ascii="Calibri" w:hAnsi="Calibri" w:cs="Calibri"/>
          <w:shd w:val="clear" w:color="auto" w:fill="FFFFFF"/>
        </w:rPr>
        <w:t>s</w:t>
      </w:r>
      <w:r w:rsidR="001B29EF" w:rsidRPr="00C16CC7">
        <w:rPr>
          <w:rFonts w:ascii="Calibri" w:hAnsi="Calibri" w:cs="Calibri"/>
          <w:shd w:val="clear" w:color="auto" w:fill="FFFFFF"/>
        </w:rPr>
        <w:t xml:space="preserve"> in injuries in residential areas</w:t>
      </w:r>
      <w:r w:rsidR="001B29EF">
        <w:rPr>
          <w:rFonts w:ascii="Calibri" w:hAnsi="Calibri" w:cs="Calibri"/>
          <w:shd w:val="clear" w:color="auto" w:fill="FFFFFF"/>
        </w:rPr>
        <w:t>.</w:t>
      </w:r>
      <w:r w:rsidR="00F72764">
        <w:rPr>
          <w:rFonts w:ascii="Calibri" w:hAnsi="Calibri" w:cs="Calibri"/>
          <w:shd w:val="clear" w:color="auto" w:fill="FFFFFF"/>
        </w:rPr>
        <w:t>[8]</w:t>
      </w:r>
      <w:r w:rsidR="005D2294">
        <w:rPr>
          <w:rFonts w:ascii="Calibri" w:hAnsi="Calibri" w:cs="Calibri"/>
          <w:shd w:val="clear" w:color="auto" w:fill="FFFFFF"/>
        </w:rPr>
        <w:t xml:space="preserve"> However, no study has conducted a robust evaluation of the</w:t>
      </w:r>
      <w:r w:rsidR="005D2294" w:rsidRPr="005D2294">
        <w:rPr>
          <w:rFonts w:ascii="Calibri" w:hAnsi="Calibri" w:cs="Calibri"/>
          <w:shd w:val="clear" w:color="auto" w:fill="FFFFFF"/>
        </w:rPr>
        <w:t xml:space="preserve"> effects of</w:t>
      </w:r>
      <w:r w:rsidR="0079233F">
        <w:rPr>
          <w:rFonts w:ascii="Calibri" w:hAnsi="Calibri" w:cs="Calibri"/>
          <w:shd w:val="clear" w:color="auto" w:fill="FFFFFF"/>
        </w:rPr>
        <w:t xml:space="preserve"> a</w:t>
      </w:r>
      <w:r w:rsidR="005D2294" w:rsidRPr="005D2294">
        <w:rPr>
          <w:rFonts w:ascii="Calibri" w:hAnsi="Calibri" w:cs="Calibri"/>
          <w:shd w:val="clear" w:color="auto" w:fill="FFFFFF"/>
        </w:rPr>
        <w:t xml:space="preserve"> </w:t>
      </w:r>
      <w:r w:rsidR="0055000C">
        <w:rPr>
          <w:rFonts w:ascii="Calibri" w:hAnsi="Calibri" w:cs="Calibri"/>
          <w:shd w:val="clear" w:color="auto" w:fill="FFFFFF"/>
        </w:rPr>
        <w:t xml:space="preserve">city-wide </w:t>
      </w:r>
      <w:r w:rsidR="005D2294" w:rsidRPr="005D2294">
        <w:rPr>
          <w:rFonts w:ascii="Calibri" w:hAnsi="Calibri" w:cs="Calibri"/>
          <w:shd w:val="clear" w:color="auto" w:fill="FFFFFF"/>
        </w:rPr>
        <w:t>20mph speed limit</w:t>
      </w:r>
      <w:r w:rsidR="0079233F">
        <w:rPr>
          <w:rFonts w:ascii="Calibri" w:hAnsi="Calibri" w:cs="Calibri"/>
          <w:shd w:val="clear" w:color="auto" w:fill="FFFFFF"/>
        </w:rPr>
        <w:t xml:space="preserve"> intervention</w:t>
      </w:r>
      <w:r w:rsidR="009953D3">
        <w:rPr>
          <w:rFonts w:ascii="Calibri" w:hAnsi="Calibri" w:cs="Calibri"/>
          <w:shd w:val="clear" w:color="auto" w:fill="FFFFFF"/>
        </w:rPr>
        <w:t>,</w:t>
      </w:r>
      <w:r w:rsidR="005D2294" w:rsidRPr="005D2294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defined as a majority of roads across an urban area being set at 20mph</w:t>
      </w:r>
      <w:r w:rsidR="009953D3">
        <w:rPr>
          <w:rFonts w:ascii="Calibri" w:hAnsi="Calibri" w:cs="Calibri"/>
          <w:shd w:val="clear" w:color="auto" w:fill="FFFFFF"/>
        </w:rPr>
        <w:t>,</w:t>
      </w:r>
      <w:r>
        <w:rPr>
          <w:rFonts w:ascii="Calibri" w:hAnsi="Calibri" w:cs="Calibri"/>
          <w:shd w:val="clear" w:color="auto" w:fill="FFFFFF"/>
        </w:rPr>
        <w:t xml:space="preserve"> </w:t>
      </w:r>
      <w:r w:rsidR="005D2294" w:rsidRPr="005D2294">
        <w:rPr>
          <w:rFonts w:ascii="Calibri" w:hAnsi="Calibri" w:cs="Calibri"/>
          <w:shd w:val="clear" w:color="auto" w:fill="FFFFFF"/>
        </w:rPr>
        <w:t>on road injuries</w:t>
      </w:r>
      <w:r w:rsidR="005D2294">
        <w:rPr>
          <w:rFonts w:ascii="Calibri" w:hAnsi="Calibri" w:cs="Calibri"/>
          <w:shd w:val="clear" w:color="auto" w:fill="FFFFFF"/>
        </w:rPr>
        <w:t xml:space="preserve">. The implementation in Bristol, United Kingdom, </w:t>
      </w:r>
      <w:r w:rsidR="007C791C">
        <w:rPr>
          <w:shd w:val="clear" w:color="auto" w:fill="FFFFFF"/>
        </w:rPr>
        <w:t>was</w:t>
      </w:r>
      <w:r w:rsidR="007C791C" w:rsidRPr="0055000C">
        <w:rPr>
          <w:shd w:val="clear" w:color="auto" w:fill="FFFFFF"/>
        </w:rPr>
        <w:t xml:space="preserve"> </w:t>
      </w:r>
      <w:r w:rsidR="00185AED" w:rsidRPr="0055000C">
        <w:rPr>
          <w:shd w:val="clear" w:color="auto" w:fill="FFFFFF"/>
        </w:rPr>
        <w:t xml:space="preserve">conceived in principal as being </w:t>
      </w:r>
      <w:r w:rsidR="009C4CD7">
        <w:rPr>
          <w:shd w:val="clear" w:color="auto" w:fill="FFFFFF"/>
        </w:rPr>
        <w:t xml:space="preserve">comprehensively </w:t>
      </w:r>
      <w:r w:rsidR="00185AED" w:rsidRPr="0055000C">
        <w:rPr>
          <w:shd w:val="clear" w:color="auto" w:fill="FFFFFF"/>
        </w:rPr>
        <w:t>city-wide, with exceptions for a few roads that remained at 30 mph</w:t>
      </w:r>
      <w:r w:rsidR="005D2294">
        <w:rPr>
          <w:rFonts w:ascii="Calibri" w:hAnsi="Calibri" w:cs="Calibri"/>
          <w:shd w:val="clear" w:color="auto" w:fill="FFFFFF"/>
        </w:rPr>
        <w:t>.</w:t>
      </w:r>
      <w:r w:rsidR="001B29EF">
        <w:rPr>
          <w:rFonts w:ascii="Calibri" w:hAnsi="Calibri" w:cs="Calibri"/>
          <w:shd w:val="clear" w:color="auto" w:fill="FFFFFF"/>
        </w:rPr>
        <w:t xml:space="preserve"> </w:t>
      </w:r>
      <w:r w:rsidR="00EE4D56">
        <w:rPr>
          <w:rFonts w:ascii="Calibri" w:hAnsi="Calibri" w:cs="Calibri"/>
        </w:rPr>
        <w:t>This paper</w:t>
      </w:r>
      <w:r w:rsidR="00E12CE8" w:rsidRPr="00C16CC7">
        <w:rPr>
          <w:rFonts w:ascii="Calibri" w:hAnsi="Calibri" w:cs="Calibri"/>
        </w:rPr>
        <w:t xml:space="preserve"> reports findings from </w:t>
      </w:r>
      <w:r w:rsidR="00D113B0">
        <w:rPr>
          <w:rFonts w:ascii="Calibri" w:hAnsi="Calibri" w:cs="Calibri"/>
        </w:rPr>
        <w:t xml:space="preserve">the first </w:t>
      </w:r>
      <w:r w:rsidR="00D476B1">
        <w:rPr>
          <w:rFonts w:ascii="Calibri" w:hAnsi="Calibri" w:cs="Calibri"/>
        </w:rPr>
        <w:t>stepped wedge</w:t>
      </w:r>
      <w:r w:rsidR="00E12CE8" w:rsidRPr="00C16CC7">
        <w:rPr>
          <w:rFonts w:ascii="Calibri" w:hAnsi="Calibri" w:cs="Calibri"/>
        </w:rPr>
        <w:t xml:space="preserve"> </w:t>
      </w:r>
      <w:r w:rsidR="00EE4D56">
        <w:rPr>
          <w:rFonts w:ascii="Calibri" w:hAnsi="Calibri" w:cs="Calibri"/>
        </w:rPr>
        <w:t>design</w:t>
      </w:r>
      <w:r w:rsidR="005D2294">
        <w:rPr>
          <w:rFonts w:ascii="Calibri" w:hAnsi="Calibri" w:cs="Calibri"/>
        </w:rPr>
        <w:t xml:space="preserve"> road injury</w:t>
      </w:r>
      <w:r w:rsidR="00EE4D56">
        <w:rPr>
          <w:rFonts w:ascii="Calibri" w:hAnsi="Calibri" w:cs="Calibri"/>
        </w:rPr>
        <w:t xml:space="preserve"> </w:t>
      </w:r>
      <w:r w:rsidR="00E12CE8" w:rsidRPr="00C16CC7">
        <w:rPr>
          <w:rFonts w:ascii="Calibri" w:hAnsi="Calibri" w:cs="Calibri"/>
        </w:rPr>
        <w:t xml:space="preserve">evaluation of </w:t>
      </w:r>
      <w:r w:rsidR="005D2294">
        <w:rPr>
          <w:rFonts w:ascii="Calibri" w:hAnsi="Calibri" w:cs="Calibri"/>
        </w:rPr>
        <w:t xml:space="preserve">such </w:t>
      </w:r>
      <w:r w:rsidR="00404E57">
        <w:rPr>
          <w:rFonts w:ascii="Calibri" w:hAnsi="Calibri" w:cs="Calibri"/>
        </w:rPr>
        <w:t xml:space="preserve">an </w:t>
      </w:r>
      <w:r w:rsidR="005D2294">
        <w:rPr>
          <w:rFonts w:ascii="Calibri" w:hAnsi="Calibri" w:cs="Calibri"/>
        </w:rPr>
        <w:t>intervention</w:t>
      </w:r>
      <w:r w:rsidR="00E12CE8" w:rsidRPr="00C16CC7">
        <w:rPr>
          <w:rFonts w:ascii="Calibri" w:hAnsi="Calibri" w:cs="Calibri"/>
        </w:rPr>
        <w:t>.</w:t>
      </w:r>
      <w:r w:rsidR="001B1F46">
        <w:rPr>
          <w:rFonts w:ascii="Calibri" w:hAnsi="Calibri" w:cs="Calibri"/>
        </w:rPr>
        <w:t xml:space="preserve"> T</w:t>
      </w:r>
      <w:r w:rsidR="001B29EF">
        <w:rPr>
          <w:rFonts w:ascii="Calibri" w:hAnsi="Calibri" w:cs="Calibri"/>
        </w:rPr>
        <w:t xml:space="preserve">he study </w:t>
      </w:r>
      <w:r w:rsidR="00134185">
        <w:rPr>
          <w:rFonts w:ascii="Calibri" w:hAnsi="Calibri" w:cs="Calibri"/>
        </w:rPr>
        <w:t>has the strength</w:t>
      </w:r>
      <w:r w:rsidR="00907B74">
        <w:rPr>
          <w:rFonts w:ascii="Calibri" w:hAnsi="Calibri" w:cs="Calibri"/>
        </w:rPr>
        <w:t>s</w:t>
      </w:r>
      <w:r w:rsidR="00134185">
        <w:rPr>
          <w:rFonts w:ascii="Calibri" w:hAnsi="Calibri" w:cs="Calibri"/>
        </w:rPr>
        <w:t xml:space="preserve"> of being based on a</w:t>
      </w:r>
      <w:r w:rsidR="001B29EF">
        <w:rPr>
          <w:rFonts w:ascii="Calibri" w:hAnsi="Calibri" w:cs="Calibri"/>
        </w:rPr>
        <w:t xml:space="preserve"> natural experiment, and</w:t>
      </w:r>
      <w:r w:rsidR="001B1F46">
        <w:rPr>
          <w:rFonts w:ascii="Calibri" w:hAnsi="Calibri" w:cs="Calibri"/>
        </w:rPr>
        <w:t xml:space="preserve"> </w:t>
      </w:r>
      <w:r w:rsidR="00907B74">
        <w:rPr>
          <w:rFonts w:ascii="Calibri" w:hAnsi="Calibri" w:cs="Calibri"/>
        </w:rPr>
        <w:t>of being</w:t>
      </w:r>
      <w:r w:rsidR="001B1F46">
        <w:rPr>
          <w:rFonts w:ascii="Calibri" w:hAnsi="Calibri" w:cs="Calibri"/>
        </w:rPr>
        <w:t xml:space="preserve"> the first study evaluating the effects of such </w:t>
      </w:r>
      <w:r w:rsidR="00EE4D56">
        <w:rPr>
          <w:rFonts w:ascii="Calibri" w:hAnsi="Calibri" w:cs="Calibri"/>
        </w:rPr>
        <w:t xml:space="preserve">a </w:t>
      </w:r>
      <w:r w:rsidR="00D113B0">
        <w:rPr>
          <w:rFonts w:ascii="Calibri" w:hAnsi="Calibri" w:cs="Calibri"/>
        </w:rPr>
        <w:t>high-coverage</w:t>
      </w:r>
      <w:r w:rsidR="001B1F46">
        <w:rPr>
          <w:rFonts w:ascii="Calibri" w:hAnsi="Calibri" w:cs="Calibri"/>
        </w:rPr>
        <w:t xml:space="preserve"> policy on </w:t>
      </w:r>
      <w:r w:rsidR="00EE4D56">
        <w:rPr>
          <w:rFonts w:ascii="Calibri" w:hAnsi="Calibri" w:cs="Calibri"/>
        </w:rPr>
        <w:t>injuries</w:t>
      </w:r>
      <w:r w:rsidR="00D113B0">
        <w:rPr>
          <w:rFonts w:ascii="Calibri" w:hAnsi="Calibri" w:cs="Calibri"/>
        </w:rPr>
        <w:t xml:space="preserve"> with a robust methodology</w:t>
      </w:r>
      <w:r w:rsidR="001B1F46">
        <w:rPr>
          <w:rFonts w:ascii="Calibri" w:hAnsi="Calibri" w:cs="Calibri"/>
        </w:rPr>
        <w:t>.</w:t>
      </w:r>
    </w:p>
    <w:p w14:paraId="7DFE6396" w14:textId="77777777" w:rsidR="0090197C" w:rsidRPr="00ED7D25" w:rsidRDefault="0090197C" w:rsidP="0090197C">
      <w:pPr>
        <w:pStyle w:val="Heading1"/>
      </w:pPr>
      <w:r>
        <w:t>Methods</w:t>
      </w:r>
    </w:p>
    <w:p w14:paraId="7DFE6397" w14:textId="76EDA44A" w:rsidR="005D2294" w:rsidRDefault="00907B74" w:rsidP="0004678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The Bristol 20mph speed limit policy was implemented between 2010 and 2015.</w:t>
      </w:r>
      <w:r w:rsidR="00F72764">
        <w:rPr>
          <w:shd w:val="clear" w:color="auto" w:fill="FFFFFF"/>
        </w:rPr>
        <w:t>[9]</w:t>
      </w:r>
      <w:r w:rsidR="00D113B0" w:rsidRPr="00D113B0">
        <w:rPr>
          <w:shd w:val="clear" w:color="auto" w:fill="FFFFFF"/>
        </w:rPr>
        <w:t xml:space="preserve"> </w:t>
      </w:r>
      <w:r w:rsidR="00D113B0">
        <w:rPr>
          <w:shd w:val="clear" w:color="auto" w:fill="FFFFFF"/>
        </w:rPr>
        <w:t>The</w:t>
      </w:r>
      <w:r w:rsidR="00D113B0" w:rsidRPr="00A70139">
        <w:rPr>
          <w:shd w:val="clear" w:color="auto" w:fill="FFFFFF"/>
        </w:rPr>
        <w:t xml:space="preserve"> 20mph limit scheme was introduced </w:t>
      </w:r>
      <w:r w:rsidR="00D113B0">
        <w:rPr>
          <w:shd w:val="clear" w:color="auto" w:fill="FFFFFF"/>
        </w:rPr>
        <w:t xml:space="preserve">in </w:t>
      </w:r>
      <w:r w:rsidR="00D113B0" w:rsidRPr="00A70139">
        <w:rPr>
          <w:shd w:val="clear" w:color="auto" w:fill="FFFFFF"/>
        </w:rPr>
        <w:t>phases</w:t>
      </w:r>
      <w:r w:rsidR="00D113B0">
        <w:rPr>
          <w:shd w:val="clear" w:color="auto" w:fill="FFFFFF"/>
        </w:rPr>
        <w:t xml:space="preserve"> corresponding to seven areas (for details on the intervention, refer to</w:t>
      </w:r>
      <w:r w:rsidR="00F72764">
        <w:rPr>
          <w:shd w:val="clear" w:color="auto" w:fill="FFFFFF"/>
        </w:rPr>
        <w:t xml:space="preserve"> Bornioli et al. [10]</w:t>
      </w:r>
      <w:r w:rsidR="00D113B0">
        <w:rPr>
          <w:shd w:val="clear" w:color="auto" w:fill="FFFFFF"/>
        </w:rPr>
        <w:t>, enabling a stepped</w:t>
      </w:r>
      <w:r w:rsidR="00E20215">
        <w:rPr>
          <w:shd w:val="clear" w:color="auto" w:fill="FFFFFF"/>
        </w:rPr>
        <w:t>-</w:t>
      </w:r>
      <w:r w:rsidR="00D113B0">
        <w:rPr>
          <w:shd w:val="clear" w:color="auto" w:fill="FFFFFF"/>
        </w:rPr>
        <w:t>wedge design analysis.</w:t>
      </w:r>
      <w:r w:rsidR="0060343F">
        <w:rPr>
          <w:shd w:val="clear" w:color="auto" w:fill="FFFFFF"/>
        </w:rPr>
        <w:t xml:space="preserve"> </w:t>
      </w:r>
      <w:r w:rsidR="003C7A2F">
        <w:rPr>
          <w:shd w:val="clear" w:color="auto" w:fill="FFFFFF"/>
        </w:rPr>
        <w:t xml:space="preserve">This is a pragmatic design suited to interventions that are implemented </w:t>
      </w:r>
      <w:r w:rsidR="00813750">
        <w:rPr>
          <w:shd w:val="clear" w:color="auto" w:fill="FFFFFF"/>
        </w:rPr>
        <w:t>in steps across</w:t>
      </w:r>
      <w:r w:rsidR="003C7A2F">
        <w:rPr>
          <w:shd w:val="clear" w:color="auto" w:fill="FFFFFF"/>
        </w:rPr>
        <w:t xml:space="preserve"> several clusters (in this case, geographical areas). Such a design allows </w:t>
      </w:r>
      <w:r w:rsidR="00813750">
        <w:rPr>
          <w:shd w:val="clear" w:color="auto" w:fill="FFFFFF"/>
        </w:rPr>
        <w:t xml:space="preserve">robust </w:t>
      </w:r>
      <w:r w:rsidR="003C7A2F">
        <w:rPr>
          <w:shd w:val="clear" w:color="auto" w:fill="FFFFFF"/>
        </w:rPr>
        <w:t>evaluati</w:t>
      </w:r>
      <w:r w:rsidR="00813750">
        <w:rPr>
          <w:shd w:val="clear" w:color="auto" w:fill="FFFFFF"/>
        </w:rPr>
        <w:t>on of the</w:t>
      </w:r>
      <w:r w:rsidR="003C7A2F">
        <w:rPr>
          <w:shd w:val="clear" w:color="auto" w:fill="FFFFFF"/>
        </w:rPr>
        <w:t xml:space="preserve"> effects of natural experiments where interventions are implemented following political </w:t>
      </w:r>
      <w:r w:rsidR="00813750">
        <w:rPr>
          <w:shd w:val="clear" w:color="auto" w:fill="FFFFFF"/>
        </w:rPr>
        <w:t xml:space="preserve">or logistic </w:t>
      </w:r>
      <w:r w:rsidR="003C7A2F">
        <w:rPr>
          <w:shd w:val="clear" w:color="auto" w:fill="FFFFFF"/>
        </w:rPr>
        <w:t>constraints</w:t>
      </w:r>
      <w:r w:rsidR="003C7A2F">
        <w:t>.</w:t>
      </w:r>
      <w:r w:rsidR="00F72764">
        <w:t>[11, 12]</w:t>
      </w:r>
    </w:p>
    <w:p w14:paraId="7DFE6398" w14:textId="485ECAF1" w:rsidR="0090197C" w:rsidRDefault="00907B74" w:rsidP="0004678D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The current </w:t>
      </w:r>
      <w:r w:rsidR="00B707CE">
        <w:t xml:space="preserve">injury </w:t>
      </w:r>
      <w:r>
        <w:rPr>
          <w:shd w:val="clear" w:color="auto" w:fill="FFFFFF"/>
        </w:rPr>
        <w:t>a</w:t>
      </w:r>
      <w:r w:rsidR="0090197C" w:rsidRPr="00CD1383">
        <w:rPr>
          <w:shd w:val="clear" w:color="auto" w:fill="FFFFFF"/>
        </w:rPr>
        <w:t>nalysis was based on Police STATS19 data</w:t>
      </w:r>
      <w:r w:rsidR="00EE4D56">
        <w:rPr>
          <w:shd w:val="clear" w:color="auto" w:fill="FFFFFF"/>
        </w:rPr>
        <w:t xml:space="preserve"> </w:t>
      </w:r>
      <w:r w:rsidR="00385AD3">
        <w:rPr>
          <w:shd w:val="clear" w:color="auto" w:fill="FFFFFF"/>
        </w:rPr>
        <w:t>from</w:t>
      </w:r>
      <w:r w:rsidR="0090197C" w:rsidRPr="00CD1383">
        <w:rPr>
          <w:shd w:val="clear" w:color="auto" w:fill="FFFFFF"/>
        </w:rPr>
        <w:t xml:space="preserve"> </w:t>
      </w:r>
      <w:r w:rsidR="0090197C">
        <w:rPr>
          <w:shd w:val="clear" w:color="auto" w:fill="FFFFFF"/>
        </w:rPr>
        <w:t>2008</w:t>
      </w:r>
      <w:r w:rsidR="00385AD3">
        <w:rPr>
          <w:shd w:val="clear" w:color="auto" w:fill="FFFFFF"/>
        </w:rPr>
        <w:t xml:space="preserve"> to </w:t>
      </w:r>
      <w:r w:rsidR="0090197C">
        <w:rPr>
          <w:shd w:val="clear" w:color="auto" w:fill="FFFFFF"/>
        </w:rPr>
        <w:t xml:space="preserve">2016. </w:t>
      </w:r>
      <w:r w:rsidR="00EE4D56">
        <w:rPr>
          <w:shd w:val="clear" w:color="auto" w:fill="FFFFFF"/>
        </w:rPr>
        <w:t xml:space="preserve">STATS19 </w:t>
      </w:r>
      <w:r w:rsidR="0090197C">
        <w:rPr>
          <w:shd w:val="clear" w:color="auto" w:fill="FFFFFF"/>
        </w:rPr>
        <w:t>r</w:t>
      </w:r>
      <w:r w:rsidR="0090197C" w:rsidRPr="00CD1383">
        <w:rPr>
          <w:shd w:val="clear" w:color="auto" w:fill="FFFFFF"/>
        </w:rPr>
        <w:t>ecord</w:t>
      </w:r>
      <w:r w:rsidR="0090197C">
        <w:rPr>
          <w:shd w:val="clear" w:color="auto" w:fill="FFFFFF"/>
        </w:rPr>
        <w:t>s</w:t>
      </w:r>
      <w:r w:rsidR="0090197C" w:rsidRPr="00CD1383">
        <w:rPr>
          <w:shd w:val="clear" w:color="auto" w:fill="FFFFFF"/>
        </w:rPr>
        <w:t xml:space="preserve"> the date, location, and number and type of </w:t>
      </w:r>
      <w:r w:rsidR="00B707CE">
        <w:t xml:space="preserve">injury </w:t>
      </w:r>
      <w:r w:rsidR="0090197C">
        <w:rPr>
          <w:shd w:val="clear" w:color="auto" w:fill="FFFFFF"/>
        </w:rPr>
        <w:t>(</w:t>
      </w:r>
      <w:r w:rsidR="0090197C" w:rsidRPr="00CD1383">
        <w:rPr>
          <w:shd w:val="clear" w:color="auto" w:fill="FFFFFF"/>
        </w:rPr>
        <w:t>slight, serious, or fatal</w:t>
      </w:r>
      <w:r w:rsidR="0090197C">
        <w:rPr>
          <w:shd w:val="clear" w:color="auto" w:fill="FFFFFF"/>
        </w:rPr>
        <w:t>)</w:t>
      </w:r>
      <w:r w:rsidR="0090197C" w:rsidRPr="00CD1383">
        <w:rPr>
          <w:shd w:val="clear" w:color="auto" w:fill="FFFFFF"/>
        </w:rPr>
        <w:t>. A</w:t>
      </w:r>
      <w:r w:rsidR="00B707CE">
        <w:rPr>
          <w:shd w:val="clear" w:color="auto" w:fill="FFFFFF"/>
        </w:rPr>
        <w:t xml:space="preserve">n injury </w:t>
      </w:r>
      <w:r w:rsidR="0090197C" w:rsidRPr="00CD1383">
        <w:rPr>
          <w:shd w:val="clear" w:color="auto" w:fill="FFFFFF"/>
        </w:rPr>
        <w:t>is defined as serious if the person is detained in hospital as an inpatient or has any of the following injuries: fractures, concussion, internal injuries, crushing, non-friction burns, severe cuts and lacerations, or severe general shock requiring medical treatment. A</w:t>
      </w:r>
      <w:r w:rsidR="00B707CE">
        <w:rPr>
          <w:shd w:val="clear" w:color="auto" w:fill="FFFFFF"/>
        </w:rPr>
        <w:t xml:space="preserve">n injury </w:t>
      </w:r>
      <w:r w:rsidR="0090197C" w:rsidRPr="00CD1383">
        <w:rPr>
          <w:shd w:val="clear" w:color="auto" w:fill="FFFFFF"/>
        </w:rPr>
        <w:t xml:space="preserve">is classified as fatal if the person dies within 30 days of the collision. </w:t>
      </w:r>
    </w:p>
    <w:p w14:paraId="7DFE6399" w14:textId="779C544B" w:rsidR="0090197C" w:rsidRDefault="00907B74" w:rsidP="0004678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In the </w:t>
      </w:r>
      <w:r w:rsidR="00B707CE">
        <w:rPr>
          <w:shd w:val="clear" w:color="auto" w:fill="FFFFFF"/>
        </w:rPr>
        <w:t>injury</w:t>
      </w:r>
      <w:r>
        <w:rPr>
          <w:shd w:val="clear" w:color="auto" w:fill="FFFFFF"/>
        </w:rPr>
        <w:t xml:space="preserve"> dataset, </w:t>
      </w:r>
      <w:r w:rsidR="0090197C">
        <w:rPr>
          <w:shd w:val="clear" w:color="auto" w:fill="FFFFFF"/>
        </w:rPr>
        <w:t xml:space="preserve">Bristol City Council coded each </w:t>
      </w:r>
      <w:r w:rsidR="00B707CE">
        <w:rPr>
          <w:shd w:val="clear" w:color="auto" w:fill="FFFFFF"/>
        </w:rPr>
        <w:t>injur</w:t>
      </w:r>
      <w:r w:rsidR="00EE4D56">
        <w:rPr>
          <w:shd w:val="clear" w:color="auto" w:fill="FFFFFF"/>
        </w:rPr>
        <w:t>y</w:t>
      </w:r>
      <w:r w:rsidR="0090197C">
        <w:rPr>
          <w:shd w:val="clear" w:color="auto" w:fill="FFFFFF"/>
        </w:rPr>
        <w:t xml:space="preserve"> with </w:t>
      </w:r>
      <w:r w:rsidR="00EE4D56">
        <w:rPr>
          <w:shd w:val="clear" w:color="auto" w:fill="FFFFFF"/>
        </w:rPr>
        <w:t xml:space="preserve">its </w:t>
      </w:r>
      <w:r w:rsidR="00614315">
        <w:rPr>
          <w:shd w:val="clear" w:color="auto" w:fill="FFFFFF"/>
        </w:rPr>
        <w:t>area code</w:t>
      </w:r>
      <w:r w:rsidR="0090197C">
        <w:rPr>
          <w:shd w:val="clear" w:color="auto" w:fill="FFFFFF"/>
        </w:rPr>
        <w:t xml:space="preserve">, </w:t>
      </w:r>
      <w:r w:rsidR="00694B19">
        <w:rPr>
          <w:shd w:val="clear" w:color="auto" w:fill="FFFFFF"/>
        </w:rPr>
        <w:t xml:space="preserve">severity, </w:t>
      </w:r>
      <w:r w:rsidR="00EE4D56">
        <w:rPr>
          <w:shd w:val="clear" w:color="auto" w:fill="FFFFFF"/>
        </w:rPr>
        <w:t xml:space="preserve">the </w:t>
      </w:r>
      <w:r w:rsidR="0090197C">
        <w:rPr>
          <w:shd w:val="clear" w:color="auto" w:fill="FFFFFF"/>
        </w:rPr>
        <w:t>intervention period (pre</w:t>
      </w:r>
      <w:r w:rsidR="00EE4D56">
        <w:rPr>
          <w:shd w:val="clear" w:color="auto" w:fill="FFFFFF"/>
        </w:rPr>
        <w:t>-</w:t>
      </w:r>
      <w:r w:rsidR="0090197C">
        <w:rPr>
          <w:shd w:val="clear" w:color="auto" w:fill="FFFFFF"/>
        </w:rPr>
        <w:t xml:space="preserve"> or post</w:t>
      </w:r>
      <w:r w:rsidR="00EE4D56">
        <w:rPr>
          <w:shd w:val="clear" w:color="auto" w:fill="FFFFFF"/>
        </w:rPr>
        <w:t>-intervention</w:t>
      </w:r>
      <w:r w:rsidR="0090197C">
        <w:rPr>
          <w:shd w:val="clear" w:color="auto" w:fill="FFFFFF"/>
        </w:rPr>
        <w:t xml:space="preserve">), speed limit of the road (20mph or 30mph), </w:t>
      </w:r>
      <w:r w:rsidR="00614315">
        <w:rPr>
          <w:shd w:val="clear" w:color="auto" w:fill="FFFFFF"/>
        </w:rPr>
        <w:t>and</w:t>
      </w:r>
      <w:r w:rsidR="002454CC">
        <w:rPr>
          <w:shd w:val="clear" w:color="auto" w:fill="FFFFFF"/>
        </w:rPr>
        <w:t xml:space="preserve"> </w:t>
      </w:r>
      <w:r w:rsidR="0090197C">
        <w:rPr>
          <w:shd w:val="clear" w:color="auto" w:fill="FFFFFF"/>
        </w:rPr>
        <w:t xml:space="preserve">socio-demographics of </w:t>
      </w:r>
      <w:r w:rsidR="008A0A9E">
        <w:rPr>
          <w:shd w:val="clear" w:color="auto" w:fill="FFFFFF"/>
        </w:rPr>
        <w:t xml:space="preserve">the </w:t>
      </w:r>
      <w:r w:rsidR="00B707CE">
        <w:t>injur</w:t>
      </w:r>
      <w:r w:rsidR="00EE4D56">
        <w:t>ed people</w:t>
      </w:r>
      <w:r w:rsidR="0090197C">
        <w:rPr>
          <w:shd w:val="clear" w:color="auto" w:fill="FFFFFF"/>
        </w:rPr>
        <w:t>. The research</w:t>
      </w:r>
      <w:r w:rsidR="00F25DEC">
        <w:rPr>
          <w:shd w:val="clear" w:color="auto" w:fill="FFFFFF"/>
        </w:rPr>
        <w:t xml:space="preserve"> team</w:t>
      </w:r>
      <w:r w:rsidR="0090197C">
        <w:rPr>
          <w:shd w:val="clear" w:color="auto" w:fill="FFFFFF"/>
        </w:rPr>
        <w:t xml:space="preserve"> further classified each collision </w:t>
      </w:r>
      <w:r w:rsidR="00EE4D56">
        <w:rPr>
          <w:shd w:val="clear" w:color="auto" w:fill="FFFFFF"/>
        </w:rPr>
        <w:t xml:space="preserve">by </w:t>
      </w:r>
      <w:r w:rsidR="0090197C">
        <w:rPr>
          <w:shd w:val="clear" w:color="auto" w:fill="FFFFFF"/>
        </w:rPr>
        <w:t xml:space="preserve">year and </w:t>
      </w:r>
      <w:r w:rsidR="00F85F12">
        <w:rPr>
          <w:shd w:val="clear" w:color="auto" w:fill="FFFFFF"/>
        </w:rPr>
        <w:t>calculated</w:t>
      </w:r>
      <w:r w:rsidR="00EE4D56">
        <w:rPr>
          <w:shd w:val="clear" w:color="auto" w:fill="FFFFFF"/>
        </w:rPr>
        <w:t xml:space="preserve"> </w:t>
      </w:r>
      <w:r w:rsidR="00F25DEC">
        <w:rPr>
          <w:shd w:val="clear" w:color="auto" w:fill="FFFFFF"/>
        </w:rPr>
        <w:t>exposure time</w:t>
      </w:r>
      <w:r w:rsidR="00A57481">
        <w:rPr>
          <w:shd w:val="clear" w:color="auto" w:fill="FFFFFF"/>
        </w:rPr>
        <w:t xml:space="preserve">s for each </w:t>
      </w:r>
      <w:r w:rsidR="00834943">
        <w:rPr>
          <w:shd w:val="clear" w:color="auto" w:fill="FFFFFF"/>
        </w:rPr>
        <w:t>area</w:t>
      </w:r>
      <w:r w:rsidR="00A57481">
        <w:rPr>
          <w:shd w:val="clear" w:color="auto" w:fill="FFFFFF"/>
        </w:rPr>
        <w:t xml:space="preserve"> in each year</w:t>
      </w:r>
      <w:r w:rsidR="0090197C">
        <w:rPr>
          <w:shd w:val="clear" w:color="auto" w:fill="FFFFFF"/>
        </w:rPr>
        <w:t xml:space="preserve"> (e.g. the number of months</w:t>
      </w:r>
      <w:r w:rsidR="00A57481">
        <w:rPr>
          <w:shd w:val="clear" w:color="auto" w:fill="FFFFFF"/>
        </w:rPr>
        <w:t xml:space="preserve"> </w:t>
      </w:r>
      <w:r w:rsidR="00134185">
        <w:rPr>
          <w:shd w:val="clear" w:color="auto" w:fill="FFFFFF"/>
        </w:rPr>
        <w:t xml:space="preserve">included in the study </w:t>
      </w:r>
      <w:r w:rsidR="0090197C">
        <w:rPr>
          <w:shd w:val="clear" w:color="auto" w:fill="FFFFFF"/>
        </w:rPr>
        <w:t>either pre</w:t>
      </w:r>
      <w:r w:rsidR="000F6EC2">
        <w:rPr>
          <w:shd w:val="clear" w:color="auto" w:fill="FFFFFF"/>
        </w:rPr>
        <w:t>-</w:t>
      </w:r>
      <w:r w:rsidR="0090197C">
        <w:rPr>
          <w:shd w:val="clear" w:color="auto" w:fill="FFFFFF"/>
        </w:rPr>
        <w:t xml:space="preserve"> or </w:t>
      </w:r>
      <w:r w:rsidR="000F6EC2">
        <w:rPr>
          <w:shd w:val="clear" w:color="auto" w:fill="FFFFFF"/>
        </w:rPr>
        <w:t>post-</w:t>
      </w:r>
      <w:r w:rsidR="0090197C">
        <w:rPr>
          <w:shd w:val="clear" w:color="auto" w:fill="FFFFFF"/>
        </w:rPr>
        <w:t>intervention in each area</w:t>
      </w:r>
      <w:r w:rsidR="00A70544">
        <w:rPr>
          <w:shd w:val="clear" w:color="auto" w:fill="FFFFFF"/>
        </w:rPr>
        <w:t>, Table 1</w:t>
      </w:r>
      <w:r w:rsidR="0090197C">
        <w:rPr>
          <w:shd w:val="clear" w:color="auto" w:fill="FFFFFF"/>
        </w:rPr>
        <w:t>)</w:t>
      </w:r>
      <w:r w:rsidR="00A57481">
        <w:rPr>
          <w:shd w:val="clear" w:color="auto" w:fill="FFFFFF"/>
        </w:rPr>
        <w:t xml:space="preserve">. </w:t>
      </w:r>
      <w:r w:rsidR="0090197C">
        <w:rPr>
          <w:shd w:val="clear" w:color="auto" w:fill="FFFFFF"/>
        </w:rPr>
        <w:t xml:space="preserve">Figure 1 </w:t>
      </w:r>
      <w:r w:rsidR="008A0A9E">
        <w:rPr>
          <w:shd w:val="clear" w:color="auto" w:fill="FFFFFF"/>
        </w:rPr>
        <w:t xml:space="preserve">illustrates </w:t>
      </w:r>
      <w:r w:rsidR="0090197C">
        <w:rPr>
          <w:shd w:val="clear" w:color="auto" w:fill="FFFFFF"/>
        </w:rPr>
        <w:t>the</w:t>
      </w:r>
      <w:r w:rsidR="00A90ADB">
        <w:rPr>
          <w:shd w:val="clear" w:color="auto" w:fill="FFFFFF"/>
        </w:rPr>
        <w:t xml:space="preserve"> stepped-wedge</w:t>
      </w:r>
      <w:r w:rsidR="0090197C">
        <w:rPr>
          <w:shd w:val="clear" w:color="auto" w:fill="FFFFFF"/>
        </w:rPr>
        <w:t xml:space="preserve"> study design.</w:t>
      </w:r>
    </w:p>
    <w:p w14:paraId="7DFE639A" w14:textId="581DD66F" w:rsidR="006153C9" w:rsidRDefault="006153C9" w:rsidP="0004678D">
      <w:pPr>
        <w:jc w:val="both"/>
        <w:rPr>
          <w:b/>
          <w:shd w:val="clear" w:color="auto" w:fill="FFFFFF"/>
        </w:rPr>
      </w:pPr>
      <w:r w:rsidRPr="006153C9">
        <w:rPr>
          <w:b/>
          <w:shd w:val="clear" w:color="auto" w:fill="FFFFFF"/>
        </w:rPr>
        <w:t>Figure 1</w:t>
      </w:r>
      <w:r w:rsidR="009442A6">
        <w:rPr>
          <w:b/>
          <w:shd w:val="clear" w:color="auto" w:fill="FFFFFF"/>
        </w:rPr>
        <w:t xml:space="preserve"> here</w:t>
      </w:r>
    </w:p>
    <w:p w14:paraId="7DFE639B" w14:textId="3396C41F" w:rsidR="003C7A2F" w:rsidRPr="006153C9" w:rsidRDefault="003C7A2F" w:rsidP="0004678D">
      <w:pPr>
        <w:jc w:val="both"/>
        <w:rPr>
          <w:b/>
          <w:shd w:val="clear" w:color="auto" w:fill="FFFFFF"/>
        </w:rPr>
      </w:pPr>
    </w:p>
    <w:p w14:paraId="7DFE639C" w14:textId="77777777" w:rsidR="0090197C" w:rsidRDefault="0090197C" w:rsidP="0090197C">
      <w:pPr>
        <w:pStyle w:val="Heading2"/>
      </w:pPr>
      <w:r>
        <w:t>Statistical methods</w:t>
      </w:r>
    </w:p>
    <w:p w14:paraId="7DFE639D" w14:textId="1F4BF453" w:rsidR="00134185" w:rsidRDefault="00FF0288" w:rsidP="0004678D">
      <w:pPr>
        <w:jc w:val="both"/>
      </w:pPr>
      <w:r w:rsidRPr="00FF0288">
        <w:t xml:space="preserve">The analysis compared </w:t>
      </w:r>
      <w:r w:rsidR="00D476B1">
        <w:t>injur</w:t>
      </w:r>
      <w:r w:rsidR="00907B74">
        <w:t>y</w:t>
      </w:r>
      <w:r w:rsidRPr="00FF0288">
        <w:t xml:space="preserve"> counts before and after</w:t>
      </w:r>
      <w:r w:rsidR="000B7157">
        <w:t xml:space="preserve"> the</w:t>
      </w:r>
      <w:r w:rsidRPr="00FF0288">
        <w:t xml:space="preserve"> introduction of the 20mph speed limit </w:t>
      </w:r>
      <w:r w:rsidR="000B7157">
        <w:t xml:space="preserve">while </w:t>
      </w:r>
      <w:r w:rsidRPr="00FF0288">
        <w:t xml:space="preserve">controlling for year and </w:t>
      </w:r>
      <w:r w:rsidR="00834943">
        <w:t>areas</w:t>
      </w:r>
      <w:r w:rsidRPr="00FF0288">
        <w:t>.</w:t>
      </w:r>
      <w:r w:rsidR="0084126F">
        <w:t xml:space="preserve"> </w:t>
      </w:r>
      <w:r w:rsidR="00E20215">
        <w:t xml:space="preserve">A stepped-wedge design enables a robust evaluation based on a natural experiment, allowing </w:t>
      </w:r>
      <w:r w:rsidR="0004678D">
        <w:t xml:space="preserve">for </w:t>
      </w:r>
      <w:r w:rsidR="00E20215">
        <w:t>the rolling nature of the intervention, implemented in several steps.</w:t>
      </w:r>
      <w:r w:rsidR="00F72764">
        <w:t>[11, 12]</w:t>
      </w:r>
      <w:r w:rsidR="00E20215">
        <w:t xml:space="preserve"> In addition, c</w:t>
      </w:r>
      <w:r w:rsidR="0084126F">
        <w:t>ontrolling for calendar year</w:t>
      </w:r>
      <w:r w:rsidR="007C791C">
        <w:t xml:space="preserve"> (as a continuous variable)</w:t>
      </w:r>
      <w:r w:rsidR="0084126F">
        <w:t xml:space="preserve"> allows for change</w:t>
      </w:r>
      <w:r w:rsidR="00404E57">
        <w:t>s</w:t>
      </w:r>
      <w:r w:rsidR="0084126F">
        <w:t xml:space="preserve"> in injury rates over time that were not associated with the intervention (e.g. national trends).</w:t>
      </w:r>
      <w:r w:rsidRPr="00FF0288">
        <w:t xml:space="preserve"> </w:t>
      </w:r>
      <w:r w:rsidR="00F85F12">
        <w:t>Two analyses were undertaken: a) a</w:t>
      </w:r>
      <w:r w:rsidR="00185AED">
        <w:t>t</w:t>
      </w:r>
      <w:r w:rsidR="00F85F12">
        <w:t xml:space="preserve"> city-</w:t>
      </w:r>
      <w:r w:rsidR="0055000C">
        <w:t xml:space="preserve">level </w:t>
      </w:r>
      <w:r w:rsidR="00F85F12">
        <w:t>(including roads with post-intervention limits of 20mph and 30mph)</w:t>
      </w:r>
      <w:r w:rsidR="00F85F12" w:rsidRPr="00FF0288">
        <w:t xml:space="preserve">, and </w:t>
      </w:r>
      <w:r w:rsidR="00F85F12">
        <w:t xml:space="preserve">b) </w:t>
      </w:r>
      <w:r w:rsidR="00185AED">
        <w:t>on</w:t>
      </w:r>
      <w:r w:rsidR="00F85F12" w:rsidRPr="00FF0288">
        <w:t xml:space="preserve"> </w:t>
      </w:r>
      <w:r w:rsidR="00F85F12" w:rsidRPr="00FF0288">
        <w:lastRenderedPageBreak/>
        <w:t xml:space="preserve">20mph </w:t>
      </w:r>
      <w:r w:rsidR="00185AED">
        <w:t>roads only</w:t>
      </w:r>
      <w:r w:rsidR="00F85F12" w:rsidRPr="00FF0288">
        <w:t xml:space="preserve">. </w:t>
      </w:r>
      <w:r w:rsidRPr="00FF0288">
        <w:t xml:space="preserve">This is because previous analyses </w:t>
      </w:r>
      <w:r w:rsidR="00F72764">
        <w:t>[2, 12]</w:t>
      </w:r>
      <w:r w:rsidRPr="00FF0288">
        <w:t xml:space="preserve"> found that average speeds </w:t>
      </w:r>
      <w:r w:rsidR="00185AED">
        <w:t xml:space="preserve">in Bristol </w:t>
      </w:r>
      <w:r w:rsidRPr="00FF0288">
        <w:t>decreased</w:t>
      </w:r>
      <w:r w:rsidR="00C95E75">
        <w:t xml:space="preserve"> </w:t>
      </w:r>
      <w:r w:rsidR="00404E57">
        <w:t xml:space="preserve">following the intervention </w:t>
      </w:r>
      <w:r w:rsidR="00C36FD5">
        <w:t>from 27.1</w:t>
      </w:r>
      <w:r w:rsidR="0055000C">
        <w:t>mph</w:t>
      </w:r>
      <w:r w:rsidR="00C36FD5">
        <w:t xml:space="preserve"> to 23.7</w:t>
      </w:r>
      <w:r w:rsidR="0055000C">
        <w:t>mph</w:t>
      </w:r>
      <w:r w:rsidR="00834943">
        <w:t xml:space="preserve">, </w:t>
      </w:r>
      <w:r w:rsidR="00C36FD5">
        <w:t xml:space="preserve">with post-intervention </w:t>
      </w:r>
      <w:r w:rsidR="00F85F12">
        <w:t xml:space="preserve">mean </w:t>
      </w:r>
      <w:r w:rsidR="00C36FD5">
        <w:t>speeds of 22.5mph in 20mph roads and of 25.9mph in 30mph roads.</w:t>
      </w:r>
      <w:r w:rsidR="00305528">
        <w:t xml:space="preserve"> </w:t>
      </w:r>
      <w:r w:rsidR="005D2294">
        <w:rPr>
          <w:shd w:val="clear" w:color="auto" w:fill="FFFFFF"/>
        </w:rPr>
        <w:t xml:space="preserve">Analyses of </w:t>
      </w:r>
      <w:r w:rsidR="005D2294">
        <w:t>injuries</w:t>
      </w:r>
      <w:r w:rsidR="005D2294">
        <w:rPr>
          <w:shd w:val="clear" w:color="auto" w:fill="FFFFFF"/>
        </w:rPr>
        <w:t>, rather than collisions, was undertaken because this is the primary outcome of public health interest.</w:t>
      </w:r>
    </w:p>
    <w:p w14:paraId="7DFE639E" w14:textId="6B2B456D" w:rsidR="0090197C" w:rsidRDefault="00934D96" w:rsidP="0004678D">
      <w:pPr>
        <w:jc w:val="both"/>
      </w:pPr>
      <w:r>
        <w:t>Count data is often analysed using</w:t>
      </w:r>
      <w:r w:rsidR="0090197C">
        <w:t xml:space="preserve"> Poisson regression. However, the goodness of fit test </w:t>
      </w:r>
      <w:r>
        <w:t xml:space="preserve">in Stata </w:t>
      </w:r>
      <w:r w:rsidR="0090197C">
        <w:t>(</w:t>
      </w:r>
      <w:r w:rsidR="0090197C" w:rsidRPr="00574D9F">
        <w:rPr>
          <w:rFonts w:ascii="Courier New" w:hAnsi="Courier New" w:cs="Courier New"/>
        </w:rPr>
        <w:t>estat gof</w:t>
      </w:r>
      <w:r w:rsidR="0090197C">
        <w:t>) showed over</w:t>
      </w:r>
      <w:r w:rsidR="009C4CD7">
        <w:t>-</w:t>
      </w:r>
      <w:r w:rsidR="0090197C">
        <w:t>dispersion. Therefore, negative binomial regression was used instead (</w:t>
      </w:r>
      <w:r w:rsidR="0090197C" w:rsidRPr="0017232A">
        <w:rPr>
          <w:rFonts w:ascii="Courier New" w:hAnsi="Courier New" w:cs="Courier New"/>
        </w:rPr>
        <w:t>nbreg</w:t>
      </w:r>
      <w:r w:rsidR="0090197C">
        <w:t xml:space="preserve"> command)</w:t>
      </w:r>
      <w:r w:rsidR="00305528">
        <w:t>. A</w:t>
      </w:r>
      <w:r w:rsidR="001A1A76">
        <w:t xml:space="preserve">djusted incident rate ratios (IRR) </w:t>
      </w:r>
      <w:r w:rsidR="00305528">
        <w:t xml:space="preserve">were estimated to </w:t>
      </w:r>
      <w:r w:rsidR="001A1A76">
        <w:t>compar</w:t>
      </w:r>
      <w:r w:rsidR="00305528">
        <w:t>e</w:t>
      </w:r>
      <w:r w:rsidR="001A1A76">
        <w:t xml:space="preserve"> </w:t>
      </w:r>
      <w:r w:rsidR="00B707CE">
        <w:t>injuries</w:t>
      </w:r>
      <w:r w:rsidR="001A1A76">
        <w:t xml:space="preserve"> pre- and post</w:t>
      </w:r>
      <w:r w:rsidR="00DA7C1E">
        <w:t>-</w:t>
      </w:r>
      <w:r w:rsidR="001A1A76">
        <w:t>intervention</w:t>
      </w:r>
      <w:r w:rsidR="0090197C">
        <w:t xml:space="preserve">. </w:t>
      </w:r>
      <w:r w:rsidR="00694B19">
        <w:t>A</w:t>
      </w:r>
      <w:r w:rsidR="0090197C">
        <w:t xml:space="preserve">nalyses were run separately for </w:t>
      </w:r>
      <w:r w:rsidR="00694B19">
        <w:t xml:space="preserve">each </w:t>
      </w:r>
      <w:r w:rsidR="0090197C">
        <w:t xml:space="preserve">injury type (slight, </w:t>
      </w:r>
      <w:r w:rsidR="003E3186">
        <w:t>serious</w:t>
      </w:r>
      <w:r w:rsidR="0090197C">
        <w:t xml:space="preserve">, and fatal). </w:t>
      </w:r>
      <w:r w:rsidR="00952C41">
        <w:t>In 2016, a revision to the injury reporting regime was introduced called CRASH. T</w:t>
      </w:r>
      <w:r w:rsidR="0090197C">
        <w:t xml:space="preserve">his has resulted in </w:t>
      </w:r>
      <w:r w:rsidR="0090197C" w:rsidRPr="00574D9F">
        <w:t xml:space="preserve">an increase in the proportion of </w:t>
      </w:r>
      <w:r w:rsidR="00C10791">
        <w:t xml:space="preserve">non-fatal </w:t>
      </w:r>
      <w:r w:rsidR="00B707CE">
        <w:t>injuries</w:t>
      </w:r>
      <w:r w:rsidR="0090197C" w:rsidRPr="00574D9F">
        <w:t xml:space="preserve"> categorised as ‘serious’</w:t>
      </w:r>
      <w:r w:rsidR="00952C41">
        <w:t>)</w:t>
      </w:r>
      <w:r w:rsidR="00F72764">
        <w:t>.[8]</w:t>
      </w:r>
      <w:r w:rsidR="0090197C" w:rsidRPr="00574D9F">
        <w:t xml:space="preserve"> </w:t>
      </w:r>
      <w:r w:rsidR="00B93EDC">
        <w:t>For this reason,</w:t>
      </w:r>
      <w:r>
        <w:t xml:space="preserve"> </w:t>
      </w:r>
      <w:r w:rsidR="00907B74">
        <w:t xml:space="preserve">sensitivity </w:t>
      </w:r>
      <w:r w:rsidR="0090197C">
        <w:t>analyses</w:t>
      </w:r>
      <w:r w:rsidR="00B93EDC">
        <w:t xml:space="preserve"> were performed </w:t>
      </w:r>
      <w:r w:rsidR="00C10791">
        <w:t>by re</w:t>
      </w:r>
      <w:r w:rsidR="009C4CD7">
        <w:t>-</w:t>
      </w:r>
      <w:r w:rsidR="00C10791">
        <w:t xml:space="preserve">running the analyses for </w:t>
      </w:r>
      <w:r w:rsidR="00B93EDC">
        <w:t>serious and slight injuries excluding observations from year 2016</w:t>
      </w:r>
      <w:r w:rsidR="0090197C">
        <w:t>.</w:t>
      </w:r>
      <w:r w:rsidR="00953350">
        <w:t xml:space="preserve"> </w:t>
      </w:r>
      <w:r w:rsidR="00D476B1">
        <w:t>Results did not vary, but t</w:t>
      </w:r>
      <w:r w:rsidR="00907B74">
        <w:t>hese</w:t>
      </w:r>
      <w:r w:rsidR="00953350">
        <w:t xml:space="preserve"> are available </w:t>
      </w:r>
      <w:r w:rsidR="005B4EFE">
        <w:t>upon request</w:t>
      </w:r>
      <w:r w:rsidR="00953350">
        <w:t>.</w:t>
      </w:r>
    </w:p>
    <w:p w14:paraId="7DFE639F" w14:textId="435E1532" w:rsidR="0090197C" w:rsidRDefault="00B7305F" w:rsidP="0004678D">
      <w:pPr>
        <w:jc w:val="both"/>
      </w:pPr>
      <w:r>
        <w:t xml:space="preserve">Sites for traffic safety interventions </w:t>
      </w:r>
      <w:r w:rsidR="00AB1802">
        <w:t>are sometimes</w:t>
      </w:r>
      <w:r>
        <w:t xml:space="preserve"> selected based</w:t>
      </w:r>
      <w:r w:rsidR="006026CC">
        <w:t xml:space="preserve"> on</w:t>
      </w:r>
      <w:r>
        <w:t xml:space="preserve"> relative performance</w:t>
      </w:r>
      <w:r w:rsidR="006026CC">
        <w:t>,</w:t>
      </w:r>
      <w:r>
        <w:t xml:space="preserve"> with the worst performing sites being selected for treatment. </w:t>
      </w:r>
      <w:r w:rsidR="00AB1802">
        <w:t>If</w:t>
      </w:r>
      <w:r>
        <w:t xml:space="preserve"> sites displayed high pre-intervention levels of collisions and injuries because of randomness</w:t>
      </w:r>
      <w:r w:rsidR="00AB1802">
        <w:t>, then</w:t>
      </w:r>
      <w:r>
        <w:t xml:space="preserve"> </w:t>
      </w:r>
      <w:r w:rsidR="00AB1802">
        <w:t>o</w:t>
      </w:r>
      <w:r>
        <w:t xml:space="preserve">ver time, </w:t>
      </w:r>
      <w:r w:rsidR="00AB1802">
        <w:t xml:space="preserve">we would expect </w:t>
      </w:r>
      <w:r>
        <w:t xml:space="preserve">these sites </w:t>
      </w:r>
      <w:r w:rsidR="00AB1802">
        <w:t>to</w:t>
      </w:r>
      <w:r>
        <w:t xml:space="preserve"> revert to a </w:t>
      </w:r>
      <w:r w:rsidR="00AB1802">
        <w:t>lower</w:t>
      </w:r>
      <w:r>
        <w:t xml:space="preserve"> mean value.</w:t>
      </w:r>
      <w:r w:rsidR="00F72764">
        <w:t>[13]</w:t>
      </w:r>
      <w:r>
        <w:t xml:space="preserve"> </w:t>
      </w:r>
      <w:r w:rsidR="0090197C">
        <w:t xml:space="preserve">However, </w:t>
      </w:r>
      <w:r w:rsidR="005B4EFE">
        <w:t>regression to the mean</w:t>
      </w:r>
      <w:r w:rsidR="0090197C">
        <w:t xml:space="preserve"> was not considered an issue</w:t>
      </w:r>
      <w:r w:rsidR="00934D96">
        <w:t xml:space="preserve"> in this study</w:t>
      </w:r>
      <w:r w:rsidR="0090197C">
        <w:t xml:space="preserve">, </w:t>
      </w:r>
      <w:r w:rsidR="00934D96">
        <w:t xml:space="preserve">as </w:t>
      </w:r>
      <w:r w:rsidR="00953350">
        <w:t xml:space="preserve">the 20mph limits </w:t>
      </w:r>
      <w:r w:rsidR="00932893">
        <w:t xml:space="preserve">were introduced across the majority of the city’s roads, </w:t>
      </w:r>
      <w:r w:rsidR="00614315">
        <w:t xml:space="preserve"> rather than</w:t>
      </w:r>
      <w:r w:rsidR="00953350">
        <w:t xml:space="preserve"> focussed on </w:t>
      </w:r>
      <w:r w:rsidR="004A78A1">
        <w:t xml:space="preserve">known </w:t>
      </w:r>
      <w:r w:rsidR="00953350">
        <w:t xml:space="preserve">collision </w:t>
      </w:r>
      <w:r w:rsidR="0055000C">
        <w:t>sites</w:t>
      </w:r>
      <w:r w:rsidR="00953350">
        <w:t xml:space="preserve">. </w:t>
      </w:r>
    </w:p>
    <w:p w14:paraId="7DFE63A0" w14:textId="77777777" w:rsidR="0090197C" w:rsidRDefault="0090197C" w:rsidP="0090197C">
      <w:pPr>
        <w:pStyle w:val="Heading1"/>
      </w:pPr>
      <w:r>
        <w:lastRenderedPageBreak/>
        <w:t>Results</w:t>
      </w:r>
    </w:p>
    <w:p w14:paraId="7DFE63A1" w14:textId="77777777" w:rsidR="006026CC" w:rsidRPr="004E7E86" w:rsidRDefault="0090197C" w:rsidP="004E7E86">
      <w:pPr>
        <w:jc w:val="both"/>
        <w:rPr>
          <w:shd w:val="clear" w:color="auto" w:fill="FFFFFF"/>
        </w:rPr>
      </w:pPr>
      <w:r>
        <w:t>Descriptive analyses showed that annual post</w:t>
      </w:r>
      <w:r w:rsidR="00934D96">
        <w:t>-intervention</w:t>
      </w:r>
      <w:r w:rsidRPr="000B06EA">
        <w:t xml:space="preserve"> rates of fatal, se</w:t>
      </w:r>
      <w:r>
        <w:t xml:space="preserve">rious, and slight injuries in each Bristol area </w:t>
      </w:r>
      <w:r w:rsidR="00F85F12">
        <w:t>are generally</w:t>
      </w:r>
      <w:r w:rsidRPr="000B06EA">
        <w:t xml:space="preserve"> lower than the respective </w:t>
      </w:r>
      <w:r>
        <w:t xml:space="preserve">injury </w:t>
      </w:r>
      <w:r w:rsidRPr="000B06EA">
        <w:t>rate</w:t>
      </w:r>
      <w:r>
        <w:t xml:space="preserve"> before the limits were introduced</w:t>
      </w:r>
      <w:r w:rsidR="00D476B1">
        <w:t xml:space="preserve"> (Table 1)</w:t>
      </w:r>
      <w:r w:rsidRPr="000B06EA">
        <w:t>.</w:t>
      </w:r>
      <w:r>
        <w:t xml:space="preserve"> </w:t>
      </w:r>
      <w:r>
        <w:rPr>
          <w:shd w:val="clear" w:color="auto" w:fill="FFFFFF"/>
        </w:rPr>
        <w:t xml:space="preserve">Given that </w:t>
      </w:r>
      <w:r w:rsidR="00834943">
        <w:rPr>
          <w:shd w:val="clear" w:color="auto" w:fill="FFFFFF"/>
        </w:rPr>
        <w:t>areas</w:t>
      </w:r>
      <w:r>
        <w:rPr>
          <w:shd w:val="clear" w:color="auto" w:fill="FFFFFF"/>
        </w:rPr>
        <w:t xml:space="preserve"> had different implementation dates, it was not possible to run descriptive analyses on </w:t>
      </w:r>
      <w:r w:rsidR="0055000C">
        <w:rPr>
          <w:shd w:val="clear" w:color="auto" w:fill="FFFFFF"/>
        </w:rPr>
        <w:t xml:space="preserve">city-level </w:t>
      </w:r>
      <w:r w:rsidR="00B707CE">
        <w:rPr>
          <w:shd w:val="clear" w:color="auto" w:fill="FFFFFF"/>
        </w:rPr>
        <w:t>injury</w:t>
      </w:r>
      <w:r>
        <w:rPr>
          <w:shd w:val="clear" w:color="auto" w:fill="FFFFFF"/>
        </w:rPr>
        <w:t xml:space="preserve"> rates.</w:t>
      </w:r>
    </w:p>
    <w:p w14:paraId="7DFE63A2" w14:textId="77777777" w:rsidR="0090197C" w:rsidRDefault="00D476B1" w:rsidP="0090197C">
      <w:r w:rsidRPr="00B924E3">
        <w:rPr>
          <w:b/>
        </w:rPr>
        <w:t xml:space="preserve">Table </w:t>
      </w:r>
      <w:r>
        <w:rPr>
          <w:b/>
        </w:rPr>
        <w:t>1</w:t>
      </w:r>
      <w:r w:rsidRPr="00B924E3">
        <w:rPr>
          <w:b/>
        </w:rPr>
        <w:t>.</w:t>
      </w:r>
      <w:r>
        <w:t xml:space="preserve"> </w:t>
      </w:r>
      <w:r w:rsidR="0011440B">
        <w:t>N</w:t>
      </w:r>
      <w:r>
        <w:t xml:space="preserve">umber of injuries and </w:t>
      </w:r>
      <w:r w:rsidR="0011440B">
        <w:t xml:space="preserve">equivalent </w:t>
      </w:r>
      <w:r>
        <w:t>annual rates</w:t>
      </w:r>
      <w:r w:rsidR="0011440B">
        <w:t xml:space="preserve"> of injury for</w:t>
      </w:r>
      <w:r>
        <w:t xml:space="preserve"> all roads    </w:t>
      </w:r>
    </w:p>
    <w:tbl>
      <w:tblPr>
        <w:tblStyle w:val="PlainTable21"/>
        <w:tblW w:w="8928" w:type="dxa"/>
        <w:tblLayout w:type="fixed"/>
        <w:tblLook w:val="04A0" w:firstRow="1" w:lastRow="0" w:firstColumn="1" w:lastColumn="0" w:noHBand="0" w:noVBand="1"/>
      </w:tblPr>
      <w:tblGrid>
        <w:gridCol w:w="676"/>
        <w:gridCol w:w="1944"/>
        <w:gridCol w:w="972"/>
        <w:gridCol w:w="972"/>
        <w:gridCol w:w="1091"/>
        <w:gridCol w:w="1091"/>
        <w:gridCol w:w="1091"/>
        <w:gridCol w:w="1091"/>
      </w:tblGrid>
      <w:tr w:rsidR="009A73E6" w:rsidRPr="006026CC" w14:paraId="7DFE63A8" w14:textId="77777777" w:rsidTr="00602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vAlign w:val="center"/>
          </w:tcPr>
          <w:p w14:paraId="7DFE63A3" w14:textId="77777777" w:rsidR="009A73E6" w:rsidRPr="006026CC" w:rsidRDefault="009A73E6" w:rsidP="006026CC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026CC">
              <w:rPr>
                <w:rFonts w:ascii="Calibri" w:eastAsia="Times New Roman" w:hAnsi="Calibri" w:cs="Calibri"/>
                <w:lang w:eastAsia="en-GB"/>
              </w:rPr>
              <w:t>Area</w:t>
            </w:r>
          </w:p>
        </w:tc>
        <w:tc>
          <w:tcPr>
            <w:tcW w:w="1944" w:type="dxa"/>
            <w:vMerge w:val="restart"/>
            <w:vAlign w:val="center"/>
          </w:tcPr>
          <w:p w14:paraId="7DFE63A4" w14:textId="6110624E" w:rsidR="009A73E6" w:rsidRPr="006026CC" w:rsidRDefault="009A73E6" w:rsidP="003C3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026CC">
              <w:rPr>
                <w:rFonts w:ascii="Calibri" w:eastAsia="Times New Roman" w:hAnsi="Calibri" w:cs="Calibri"/>
                <w:lang w:eastAsia="en-GB"/>
              </w:rPr>
              <w:t>Injury type</w:t>
            </w:r>
          </w:p>
        </w:tc>
        <w:tc>
          <w:tcPr>
            <w:tcW w:w="1944" w:type="dxa"/>
            <w:gridSpan w:val="2"/>
            <w:tcBorders>
              <w:bottom w:val="single" w:sz="12" w:space="0" w:color="auto"/>
            </w:tcBorders>
            <w:vAlign w:val="center"/>
          </w:tcPr>
          <w:p w14:paraId="7DFE63A5" w14:textId="77777777" w:rsidR="009A73E6" w:rsidRPr="006026CC" w:rsidRDefault="009A73E6" w:rsidP="006026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026CC">
              <w:rPr>
                <w:rFonts w:ascii="Calibri" w:eastAsia="Times New Roman" w:hAnsi="Calibri" w:cs="Calibri"/>
                <w:lang w:eastAsia="en-GB"/>
              </w:rPr>
              <w:t>Number of months, rounded</w:t>
            </w:r>
          </w:p>
        </w:tc>
        <w:tc>
          <w:tcPr>
            <w:tcW w:w="2182" w:type="dxa"/>
            <w:gridSpan w:val="2"/>
            <w:tcBorders>
              <w:bottom w:val="single" w:sz="12" w:space="0" w:color="auto"/>
            </w:tcBorders>
            <w:vAlign w:val="center"/>
          </w:tcPr>
          <w:p w14:paraId="7DFE63A6" w14:textId="77777777" w:rsidR="009A73E6" w:rsidRPr="006026CC" w:rsidRDefault="009A73E6" w:rsidP="006026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026CC">
              <w:rPr>
                <w:rFonts w:ascii="Calibri" w:eastAsia="Times New Roman" w:hAnsi="Calibri" w:cs="Calibri"/>
                <w:lang w:eastAsia="en-GB"/>
              </w:rPr>
              <w:t>Number of injuries</w:t>
            </w:r>
          </w:p>
        </w:tc>
        <w:tc>
          <w:tcPr>
            <w:tcW w:w="2182" w:type="dxa"/>
            <w:gridSpan w:val="2"/>
            <w:vAlign w:val="center"/>
          </w:tcPr>
          <w:p w14:paraId="7DFE63A7" w14:textId="77777777" w:rsidR="009A73E6" w:rsidRPr="006026CC" w:rsidRDefault="009A73E6" w:rsidP="006026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026CC">
              <w:rPr>
                <w:rFonts w:ascii="Calibri" w:eastAsia="Times New Roman" w:hAnsi="Calibri" w:cs="Calibri"/>
                <w:lang w:eastAsia="en-GB"/>
              </w:rPr>
              <w:t>Equivalent annual rate of injuries</w:t>
            </w:r>
          </w:p>
        </w:tc>
      </w:tr>
      <w:tr w:rsidR="006026CC" w:rsidRPr="006026CC" w14:paraId="7DFE63B1" w14:textId="77777777" w:rsidTr="0060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bottom w:val="single" w:sz="12" w:space="0" w:color="auto"/>
            </w:tcBorders>
          </w:tcPr>
          <w:p w14:paraId="7DFE63A9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  <w:vMerge/>
            <w:tcBorders>
              <w:bottom w:val="single" w:sz="12" w:space="0" w:color="auto"/>
            </w:tcBorders>
          </w:tcPr>
          <w:p w14:paraId="7DFE63AA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</w:tcPr>
          <w:p w14:paraId="7DFE63AB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Pre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</w:tcPr>
          <w:p w14:paraId="7DFE63AC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Post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</w:tcPr>
          <w:p w14:paraId="7DFE63AD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lang w:eastAsia="en-GB"/>
              </w:rPr>
              <w:t>Pre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</w:tcPr>
          <w:p w14:paraId="7DFE63AE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lang w:eastAsia="en-GB"/>
              </w:rPr>
              <w:t>Post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</w:tcPr>
          <w:p w14:paraId="7DFE63AF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lang w:eastAsia="en-GB"/>
              </w:rPr>
              <w:t>Pre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</w:tcPr>
          <w:p w14:paraId="7DFE63B0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lang w:eastAsia="en-GB"/>
              </w:rPr>
              <w:t>Post</w:t>
            </w:r>
          </w:p>
        </w:tc>
      </w:tr>
      <w:tr w:rsidR="009A73E6" w:rsidRPr="006026CC" w14:paraId="7DFE63BA" w14:textId="77777777" w:rsidTr="006026C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tcBorders>
              <w:top w:val="single" w:sz="12" w:space="0" w:color="auto"/>
            </w:tcBorders>
          </w:tcPr>
          <w:p w14:paraId="7DFE63B2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  <w:bookmarkStart w:id="1" w:name="_Hlk504468597"/>
            <w:r w:rsidRPr="006026CC">
              <w:rPr>
                <w:rFonts w:ascii="Calibri" w:hAnsi="Calibri" w:cs="Calibri"/>
                <w:lang w:eastAsia="en-GB"/>
              </w:rPr>
              <w:t>1</w:t>
            </w:r>
          </w:p>
        </w:tc>
        <w:tc>
          <w:tcPr>
            <w:tcW w:w="1944" w:type="dxa"/>
            <w:tcBorders>
              <w:top w:val="single" w:sz="12" w:space="0" w:color="auto"/>
            </w:tcBorders>
          </w:tcPr>
          <w:p w14:paraId="7DFE63B3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All severity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7DFE63B4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34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7DFE63B5" w14:textId="77777777" w:rsidR="009A73E6" w:rsidRPr="001610A2" w:rsidRDefault="001610A2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7</w:t>
            </w:r>
            <w:r w:rsidR="009A73E6" w:rsidRPr="001610A2">
              <w:rPr>
                <w:rFonts w:ascii="Calibri" w:hAnsi="Calibri" w:cs="Calibri"/>
                <w:lang w:eastAsia="en-GB"/>
              </w:rPr>
              <w:t>4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3B6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3B7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1143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3B8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212.1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3B9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185.4</w:t>
            </w:r>
          </w:p>
        </w:tc>
      </w:tr>
      <w:tr w:rsidR="006026CC" w:rsidRPr="006026CC" w14:paraId="7DFE63C3" w14:textId="77777777" w:rsidTr="0060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</w:tcPr>
          <w:p w14:paraId="7DFE63BB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</w:tcPr>
          <w:p w14:paraId="7DFE63BC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Fatal</w:t>
            </w:r>
          </w:p>
        </w:tc>
        <w:tc>
          <w:tcPr>
            <w:tcW w:w="972" w:type="dxa"/>
          </w:tcPr>
          <w:p w14:paraId="7DFE63BD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34</w:t>
            </w:r>
          </w:p>
        </w:tc>
        <w:tc>
          <w:tcPr>
            <w:tcW w:w="972" w:type="dxa"/>
          </w:tcPr>
          <w:p w14:paraId="7DFE63BE" w14:textId="77777777" w:rsidR="009A73E6" w:rsidRPr="001610A2" w:rsidRDefault="001610A2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7</w:t>
            </w:r>
            <w:r w:rsidR="009A73E6" w:rsidRPr="001610A2">
              <w:rPr>
                <w:rFonts w:ascii="Calibri" w:hAnsi="Calibri" w:cs="Calibri"/>
                <w:lang w:eastAsia="en-GB"/>
              </w:rPr>
              <w:t>4</w:t>
            </w:r>
          </w:p>
        </w:tc>
        <w:tc>
          <w:tcPr>
            <w:tcW w:w="1091" w:type="dxa"/>
          </w:tcPr>
          <w:p w14:paraId="7DFE63BF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1" w:type="dxa"/>
          </w:tcPr>
          <w:p w14:paraId="7DFE63C0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1" w:type="dxa"/>
          </w:tcPr>
          <w:p w14:paraId="7DFE63C1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091" w:type="dxa"/>
          </w:tcPr>
          <w:p w14:paraId="7DFE63C2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0.3</w:t>
            </w:r>
          </w:p>
        </w:tc>
      </w:tr>
      <w:tr w:rsidR="009A73E6" w:rsidRPr="006026CC" w14:paraId="7DFE63CC" w14:textId="77777777" w:rsidTr="006026C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</w:tcPr>
          <w:p w14:paraId="7DFE63C4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</w:tcPr>
          <w:p w14:paraId="7DFE63C5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Serious</w:t>
            </w:r>
          </w:p>
        </w:tc>
        <w:tc>
          <w:tcPr>
            <w:tcW w:w="972" w:type="dxa"/>
          </w:tcPr>
          <w:p w14:paraId="7DFE63C6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34</w:t>
            </w:r>
          </w:p>
        </w:tc>
        <w:tc>
          <w:tcPr>
            <w:tcW w:w="972" w:type="dxa"/>
          </w:tcPr>
          <w:p w14:paraId="7DFE63C7" w14:textId="77777777" w:rsidR="009A73E6" w:rsidRPr="001610A2" w:rsidRDefault="001610A2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eastAsia="Times New Roman" w:hAnsi="Calibri" w:cs="Calibri"/>
                <w:lang w:eastAsia="en-GB"/>
              </w:rPr>
              <w:t>7</w:t>
            </w:r>
            <w:r w:rsidR="009A73E6" w:rsidRPr="001610A2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1091" w:type="dxa"/>
          </w:tcPr>
          <w:p w14:paraId="7DFE63C8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91" w:type="dxa"/>
          </w:tcPr>
          <w:p w14:paraId="7DFE63C9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091" w:type="dxa"/>
          </w:tcPr>
          <w:p w14:paraId="7DFE63CA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21.2</w:t>
            </w:r>
          </w:p>
        </w:tc>
        <w:tc>
          <w:tcPr>
            <w:tcW w:w="1091" w:type="dxa"/>
          </w:tcPr>
          <w:p w14:paraId="7DFE63CB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18.8</w:t>
            </w:r>
          </w:p>
        </w:tc>
      </w:tr>
      <w:tr w:rsidR="006026CC" w:rsidRPr="006026CC" w14:paraId="7DFE63D5" w14:textId="77777777" w:rsidTr="0060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bottom w:val="single" w:sz="12" w:space="0" w:color="auto"/>
            </w:tcBorders>
          </w:tcPr>
          <w:p w14:paraId="7DFE63CD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</w:tcPr>
          <w:p w14:paraId="7DFE63CE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Slight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DFE63CF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34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DFE63D0" w14:textId="77777777" w:rsidR="009A73E6" w:rsidRPr="001610A2" w:rsidRDefault="001610A2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eastAsia="Times New Roman" w:hAnsi="Calibri" w:cs="Calibri"/>
                <w:lang w:eastAsia="en-GB"/>
              </w:rPr>
              <w:t>7</w:t>
            </w:r>
            <w:r w:rsidR="009A73E6" w:rsidRPr="001610A2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3D1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3D2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1025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3D3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190.2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3D4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166.2</w:t>
            </w:r>
          </w:p>
        </w:tc>
      </w:tr>
      <w:tr w:rsidR="009A73E6" w:rsidRPr="006026CC" w14:paraId="7DFE63DE" w14:textId="77777777" w:rsidTr="006026C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tcBorders>
              <w:top w:val="single" w:sz="12" w:space="0" w:color="auto"/>
            </w:tcBorders>
          </w:tcPr>
          <w:p w14:paraId="7DFE63D6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2</w:t>
            </w:r>
          </w:p>
        </w:tc>
        <w:tc>
          <w:tcPr>
            <w:tcW w:w="1944" w:type="dxa"/>
            <w:tcBorders>
              <w:top w:val="single" w:sz="12" w:space="0" w:color="auto"/>
            </w:tcBorders>
          </w:tcPr>
          <w:p w14:paraId="7DFE63D7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All severity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7DFE63D8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36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7DFE63D9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72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3DA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2092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3DB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862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3DC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348.7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3DD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287.3</w:t>
            </w:r>
          </w:p>
        </w:tc>
      </w:tr>
      <w:tr w:rsidR="006026CC" w:rsidRPr="006026CC" w14:paraId="7DFE63E7" w14:textId="77777777" w:rsidTr="0060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</w:tcPr>
          <w:p w14:paraId="7DFE63DF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</w:tcPr>
          <w:p w14:paraId="7DFE63E0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Fatal</w:t>
            </w:r>
          </w:p>
        </w:tc>
        <w:tc>
          <w:tcPr>
            <w:tcW w:w="972" w:type="dxa"/>
          </w:tcPr>
          <w:p w14:paraId="7DFE63E1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36</w:t>
            </w:r>
          </w:p>
        </w:tc>
        <w:tc>
          <w:tcPr>
            <w:tcW w:w="972" w:type="dxa"/>
          </w:tcPr>
          <w:p w14:paraId="7DFE63E2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72</w:t>
            </w:r>
          </w:p>
        </w:tc>
        <w:tc>
          <w:tcPr>
            <w:tcW w:w="1091" w:type="dxa"/>
          </w:tcPr>
          <w:p w14:paraId="7DFE63E3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91" w:type="dxa"/>
          </w:tcPr>
          <w:p w14:paraId="7DFE63E4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1" w:type="dxa"/>
          </w:tcPr>
          <w:p w14:paraId="7DFE63E5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1091" w:type="dxa"/>
          </w:tcPr>
          <w:p w14:paraId="7DFE63E6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1.3</w:t>
            </w:r>
          </w:p>
        </w:tc>
      </w:tr>
      <w:tr w:rsidR="009A73E6" w:rsidRPr="006026CC" w14:paraId="7DFE63F0" w14:textId="77777777" w:rsidTr="006026C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</w:tcPr>
          <w:p w14:paraId="7DFE63E8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</w:tcPr>
          <w:p w14:paraId="7DFE63E9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Serious</w:t>
            </w:r>
          </w:p>
        </w:tc>
        <w:tc>
          <w:tcPr>
            <w:tcW w:w="972" w:type="dxa"/>
          </w:tcPr>
          <w:p w14:paraId="7DFE63EA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36</w:t>
            </w:r>
          </w:p>
        </w:tc>
        <w:tc>
          <w:tcPr>
            <w:tcW w:w="972" w:type="dxa"/>
          </w:tcPr>
          <w:p w14:paraId="7DFE63EB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eastAsia="Times New Roman" w:hAnsi="Calibri" w:cs="Calibri"/>
                <w:lang w:eastAsia="en-GB"/>
              </w:rPr>
              <w:t>72</w:t>
            </w:r>
          </w:p>
        </w:tc>
        <w:tc>
          <w:tcPr>
            <w:tcW w:w="1091" w:type="dxa"/>
          </w:tcPr>
          <w:p w14:paraId="7DFE63EC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091" w:type="dxa"/>
          </w:tcPr>
          <w:p w14:paraId="7DFE63ED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091" w:type="dxa"/>
          </w:tcPr>
          <w:p w14:paraId="7DFE63EE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38.0</w:t>
            </w:r>
          </w:p>
        </w:tc>
        <w:tc>
          <w:tcPr>
            <w:tcW w:w="1091" w:type="dxa"/>
          </w:tcPr>
          <w:p w14:paraId="7DFE63EF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35.0</w:t>
            </w:r>
          </w:p>
        </w:tc>
      </w:tr>
      <w:tr w:rsidR="006026CC" w:rsidRPr="006026CC" w14:paraId="7DFE63F9" w14:textId="77777777" w:rsidTr="0060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bottom w:val="single" w:sz="12" w:space="0" w:color="auto"/>
            </w:tcBorders>
          </w:tcPr>
          <w:p w14:paraId="7DFE63F1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</w:tcPr>
          <w:p w14:paraId="7DFE63F2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Slight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DFE63F3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36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DFE63F4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eastAsia="Times New Roman" w:hAnsi="Calibri" w:cs="Calibri"/>
                <w:lang w:eastAsia="en-GB"/>
              </w:rPr>
              <w:t>72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3F5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1849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3F6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753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3F7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308.2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3F8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251.0</w:t>
            </w:r>
          </w:p>
        </w:tc>
      </w:tr>
      <w:tr w:rsidR="009A73E6" w:rsidRPr="006026CC" w14:paraId="7DFE6402" w14:textId="77777777" w:rsidTr="006026C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tcBorders>
              <w:top w:val="single" w:sz="12" w:space="0" w:color="auto"/>
            </w:tcBorders>
          </w:tcPr>
          <w:p w14:paraId="7DFE63FA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3</w:t>
            </w:r>
          </w:p>
        </w:tc>
        <w:tc>
          <w:tcPr>
            <w:tcW w:w="1944" w:type="dxa"/>
            <w:tcBorders>
              <w:top w:val="single" w:sz="12" w:space="0" w:color="auto"/>
            </w:tcBorders>
          </w:tcPr>
          <w:p w14:paraId="7DFE63FB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All severity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7DFE63FC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30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7DFE63FD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78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3FE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1208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3FF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00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185.8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01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184.8</w:t>
            </w:r>
          </w:p>
        </w:tc>
      </w:tr>
      <w:tr w:rsidR="006026CC" w:rsidRPr="006026CC" w14:paraId="7DFE640B" w14:textId="77777777" w:rsidTr="0060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</w:tcPr>
          <w:p w14:paraId="7DFE6403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</w:tcPr>
          <w:p w14:paraId="7DFE6404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Fatal</w:t>
            </w:r>
          </w:p>
        </w:tc>
        <w:tc>
          <w:tcPr>
            <w:tcW w:w="972" w:type="dxa"/>
          </w:tcPr>
          <w:p w14:paraId="7DFE6405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30</w:t>
            </w:r>
          </w:p>
        </w:tc>
        <w:tc>
          <w:tcPr>
            <w:tcW w:w="972" w:type="dxa"/>
          </w:tcPr>
          <w:p w14:paraId="7DFE6406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78</w:t>
            </w:r>
          </w:p>
        </w:tc>
        <w:tc>
          <w:tcPr>
            <w:tcW w:w="1091" w:type="dxa"/>
          </w:tcPr>
          <w:p w14:paraId="7DFE6407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91" w:type="dxa"/>
          </w:tcPr>
          <w:p w14:paraId="7DFE6408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1" w:type="dxa"/>
          </w:tcPr>
          <w:p w14:paraId="7DFE6409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1091" w:type="dxa"/>
          </w:tcPr>
          <w:p w14:paraId="7DFE640A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9A73E6" w:rsidRPr="006026CC" w14:paraId="7DFE6414" w14:textId="77777777" w:rsidTr="006026C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</w:tcPr>
          <w:p w14:paraId="7DFE640C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</w:tcPr>
          <w:p w14:paraId="7DFE640D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Serious</w:t>
            </w:r>
          </w:p>
        </w:tc>
        <w:tc>
          <w:tcPr>
            <w:tcW w:w="972" w:type="dxa"/>
          </w:tcPr>
          <w:p w14:paraId="7DFE640E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30</w:t>
            </w:r>
          </w:p>
        </w:tc>
        <w:tc>
          <w:tcPr>
            <w:tcW w:w="972" w:type="dxa"/>
          </w:tcPr>
          <w:p w14:paraId="7DFE640F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eastAsia="Times New Roman" w:hAnsi="Calibri" w:cs="Calibri"/>
                <w:lang w:eastAsia="en-GB"/>
              </w:rPr>
              <w:t>78</w:t>
            </w:r>
          </w:p>
        </w:tc>
        <w:tc>
          <w:tcPr>
            <w:tcW w:w="1091" w:type="dxa"/>
          </w:tcPr>
          <w:p w14:paraId="7DFE6410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091" w:type="dxa"/>
          </w:tcPr>
          <w:p w14:paraId="7DFE6411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091" w:type="dxa"/>
          </w:tcPr>
          <w:p w14:paraId="7DFE6412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21.2</w:t>
            </w:r>
          </w:p>
        </w:tc>
        <w:tc>
          <w:tcPr>
            <w:tcW w:w="1091" w:type="dxa"/>
          </w:tcPr>
          <w:p w14:paraId="7DFE6413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26.0</w:t>
            </w:r>
          </w:p>
        </w:tc>
      </w:tr>
      <w:tr w:rsidR="006026CC" w:rsidRPr="006026CC" w14:paraId="7DFE641D" w14:textId="77777777" w:rsidTr="0060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bottom w:val="single" w:sz="12" w:space="0" w:color="auto"/>
            </w:tcBorders>
          </w:tcPr>
          <w:p w14:paraId="7DFE6415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</w:tcPr>
          <w:p w14:paraId="7DFE6416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Slight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DFE6417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30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DFE6418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eastAsia="Times New Roman" w:hAnsi="Calibri" w:cs="Calibri"/>
                <w:lang w:eastAsia="en-GB"/>
              </w:rPr>
              <w:t>78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19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1058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1A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1B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162.8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1C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158.0</w:t>
            </w:r>
          </w:p>
        </w:tc>
      </w:tr>
      <w:tr w:rsidR="009A73E6" w:rsidRPr="006026CC" w14:paraId="7DFE6426" w14:textId="77777777" w:rsidTr="006026C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tcBorders>
              <w:top w:val="single" w:sz="12" w:space="0" w:color="auto"/>
            </w:tcBorders>
          </w:tcPr>
          <w:p w14:paraId="7DFE641E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4</w:t>
            </w:r>
          </w:p>
        </w:tc>
        <w:tc>
          <w:tcPr>
            <w:tcW w:w="1944" w:type="dxa"/>
            <w:tcBorders>
              <w:top w:val="single" w:sz="12" w:space="0" w:color="auto"/>
            </w:tcBorders>
          </w:tcPr>
          <w:p w14:paraId="7DFE641F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All severity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7DFE6420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27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7DFE6421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81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22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939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23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24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139.1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25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108.0</w:t>
            </w:r>
          </w:p>
        </w:tc>
      </w:tr>
      <w:tr w:rsidR="006026CC" w:rsidRPr="006026CC" w14:paraId="7DFE642F" w14:textId="77777777" w:rsidTr="0060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</w:tcPr>
          <w:p w14:paraId="7DFE6427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</w:tcPr>
          <w:p w14:paraId="7DFE6428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Fatal</w:t>
            </w:r>
          </w:p>
        </w:tc>
        <w:tc>
          <w:tcPr>
            <w:tcW w:w="972" w:type="dxa"/>
          </w:tcPr>
          <w:p w14:paraId="7DFE6429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27</w:t>
            </w:r>
          </w:p>
        </w:tc>
        <w:tc>
          <w:tcPr>
            <w:tcW w:w="972" w:type="dxa"/>
          </w:tcPr>
          <w:p w14:paraId="7DFE642A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81</w:t>
            </w:r>
          </w:p>
        </w:tc>
        <w:tc>
          <w:tcPr>
            <w:tcW w:w="1091" w:type="dxa"/>
          </w:tcPr>
          <w:p w14:paraId="7DFE642B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91" w:type="dxa"/>
          </w:tcPr>
          <w:p w14:paraId="7DFE642C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91" w:type="dxa"/>
          </w:tcPr>
          <w:p w14:paraId="7DFE642D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1091" w:type="dxa"/>
          </w:tcPr>
          <w:p w14:paraId="7DFE642E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1.3</w:t>
            </w:r>
          </w:p>
        </w:tc>
      </w:tr>
      <w:tr w:rsidR="009A73E6" w:rsidRPr="006026CC" w14:paraId="7DFE6438" w14:textId="77777777" w:rsidTr="006026C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</w:tcPr>
          <w:p w14:paraId="7DFE6430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</w:tcPr>
          <w:p w14:paraId="7DFE6431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Serious</w:t>
            </w:r>
          </w:p>
        </w:tc>
        <w:tc>
          <w:tcPr>
            <w:tcW w:w="972" w:type="dxa"/>
          </w:tcPr>
          <w:p w14:paraId="7DFE6432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27</w:t>
            </w:r>
          </w:p>
        </w:tc>
        <w:tc>
          <w:tcPr>
            <w:tcW w:w="972" w:type="dxa"/>
          </w:tcPr>
          <w:p w14:paraId="7DFE6433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eastAsia="Times New Roman" w:hAnsi="Calibri" w:cs="Calibri"/>
                <w:lang w:eastAsia="en-GB"/>
              </w:rPr>
              <w:t>81</w:t>
            </w:r>
          </w:p>
        </w:tc>
        <w:tc>
          <w:tcPr>
            <w:tcW w:w="1091" w:type="dxa"/>
          </w:tcPr>
          <w:p w14:paraId="7DFE6434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091" w:type="dxa"/>
          </w:tcPr>
          <w:p w14:paraId="7DFE6435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091" w:type="dxa"/>
          </w:tcPr>
          <w:p w14:paraId="7DFE6436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16.1</w:t>
            </w:r>
          </w:p>
        </w:tc>
        <w:tc>
          <w:tcPr>
            <w:tcW w:w="1091" w:type="dxa"/>
          </w:tcPr>
          <w:p w14:paraId="7DFE6437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14.7</w:t>
            </w:r>
          </w:p>
        </w:tc>
      </w:tr>
      <w:tr w:rsidR="006026CC" w:rsidRPr="006026CC" w14:paraId="7DFE6441" w14:textId="77777777" w:rsidTr="0060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bottom w:val="single" w:sz="12" w:space="0" w:color="auto"/>
            </w:tcBorders>
          </w:tcPr>
          <w:p w14:paraId="7DFE6439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</w:tcPr>
          <w:p w14:paraId="7DFE643A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Slight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DFE643B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27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DFE643C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eastAsia="Times New Roman" w:hAnsi="Calibri" w:cs="Calibri"/>
                <w:lang w:eastAsia="en-GB"/>
              </w:rPr>
              <w:t>81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3D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811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3E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3F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120.1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40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92.0</w:t>
            </w:r>
          </w:p>
        </w:tc>
      </w:tr>
      <w:tr w:rsidR="009A73E6" w:rsidRPr="006026CC" w14:paraId="7DFE644A" w14:textId="77777777" w:rsidTr="006026C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tcBorders>
              <w:top w:val="single" w:sz="12" w:space="0" w:color="auto"/>
            </w:tcBorders>
          </w:tcPr>
          <w:p w14:paraId="7DFE6442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5</w:t>
            </w:r>
          </w:p>
        </w:tc>
        <w:tc>
          <w:tcPr>
            <w:tcW w:w="1944" w:type="dxa"/>
            <w:tcBorders>
              <w:top w:val="single" w:sz="12" w:space="0" w:color="auto"/>
            </w:tcBorders>
          </w:tcPr>
          <w:p w14:paraId="7DFE6443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All severity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7DFE6444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21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7DFE6445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87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46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1284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47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48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177.1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49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148.6</w:t>
            </w:r>
          </w:p>
        </w:tc>
      </w:tr>
      <w:tr w:rsidR="006026CC" w:rsidRPr="006026CC" w14:paraId="7DFE6453" w14:textId="77777777" w:rsidTr="0060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</w:tcPr>
          <w:p w14:paraId="7DFE644B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</w:tcPr>
          <w:p w14:paraId="7DFE644C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Fatal</w:t>
            </w:r>
          </w:p>
        </w:tc>
        <w:tc>
          <w:tcPr>
            <w:tcW w:w="972" w:type="dxa"/>
          </w:tcPr>
          <w:p w14:paraId="7DFE644D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21</w:t>
            </w:r>
          </w:p>
        </w:tc>
        <w:tc>
          <w:tcPr>
            <w:tcW w:w="972" w:type="dxa"/>
          </w:tcPr>
          <w:p w14:paraId="7DFE644E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87</w:t>
            </w:r>
          </w:p>
        </w:tc>
        <w:tc>
          <w:tcPr>
            <w:tcW w:w="1091" w:type="dxa"/>
          </w:tcPr>
          <w:p w14:paraId="7DFE644F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91" w:type="dxa"/>
          </w:tcPr>
          <w:p w14:paraId="7DFE6450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91" w:type="dxa"/>
          </w:tcPr>
          <w:p w14:paraId="7DFE6451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1091" w:type="dxa"/>
          </w:tcPr>
          <w:p w14:paraId="7DFE6452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9A73E6" w:rsidRPr="006026CC" w14:paraId="7DFE645C" w14:textId="77777777" w:rsidTr="006026C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</w:tcPr>
          <w:p w14:paraId="7DFE6454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</w:tcPr>
          <w:p w14:paraId="7DFE6455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Serious</w:t>
            </w:r>
          </w:p>
        </w:tc>
        <w:tc>
          <w:tcPr>
            <w:tcW w:w="972" w:type="dxa"/>
          </w:tcPr>
          <w:p w14:paraId="7DFE6456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21</w:t>
            </w:r>
          </w:p>
        </w:tc>
        <w:tc>
          <w:tcPr>
            <w:tcW w:w="972" w:type="dxa"/>
          </w:tcPr>
          <w:p w14:paraId="7DFE6457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eastAsia="Times New Roman" w:hAnsi="Calibri" w:cs="Calibri"/>
                <w:lang w:eastAsia="en-GB"/>
              </w:rPr>
              <w:t>87</w:t>
            </w:r>
          </w:p>
        </w:tc>
        <w:tc>
          <w:tcPr>
            <w:tcW w:w="1091" w:type="dxa"/>
          </w:tcPr>
          <w:p w14:paraId="7DFE6458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091" w:type="dxa"/>
          </w:tcPr>
          <w:p w14:paraId="7DFE6459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91" w:type="dxa"/>
          </w:tcPr>
          <w:p w14:paraId="7DFE645A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16.0</w:t>
            </w:r>
          </w:p>
        </w:tc>
        <w:tc>
          <w:tcPr>
            <w:tcW w:w="1091" w:type="dxa"/>
          </w:tcPr>
          <w:p w14:paraId="7DFE645B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16.0</w:t>
            </w:r>
          </w:p>
        </w:tc>
      </w:tr>
      <w:tr w:rsidR="006026CC" w:rsidRPr="006026CC" w14:paraId="7DFE6465" w14:textId="77777777" w:rsidTr="0060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bottom w:val="single" w:sz="12" w:space="0" w:color="auto"/>
            </w:tcBorders>
          </w:tcPr>
          <w:p w14:paraId="7DFE645D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</w:tcPr>
          <w:p w14:paraId="7DFE645E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Slight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DFE645F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21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DFE6460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eastAsia="Times New Roman" w:hAnsi="Calibri" w:cs="Calibri"/>
                <w:lang w:eastAsia="en-GB"/>
              </w:rPr>
              <w:t>87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61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1149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62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63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158.5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64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132.6</w:t>
            </w:r>
          </w:p>
        </w:tc>
      </w:tr>
      <w:tr w:rsidR="009A73E6" w:rsidRPr="006026CC" w14:paraId="7DFE646E" w14:textId="77777777" w:rsidTr="006026C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tcBorders>
              <w:top w:val="single" w:sz="12" w:space="0" w:color="auto"/>
            </w:tcBorders>
          </w:tcPr>
          <w:p w14:paraId="7DFE6466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6</w:t>
            </w:r>
          </w:p>
        </w:tc>
        <w:tc>
          <w:tcPr>
            <w:tcW w:w="1944" w:type="dxa"/>
            <w:tcBorders>
              <w:top w:val="single" w:sz="12" w:space="0" w:color="auto"/>
            </w:tcBorders>
          </w:tcPr>
          <w:p w14:paraId="7DFE6467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All severity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7DFE6468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19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7DFE6469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89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6A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631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6B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6C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85.1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6D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67.6</w:t>
            </w:r>
          </w:p>
        </w:tc>
      </w:tr>
      <w:tr w:rsidR="006026CC" w:rsidRPr="006026CC" w14:paraId="7DFE6477" w14:textId="77777777" w:rsidTr="0060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</w:tcPr>
          <w:p w14:paraId="7DFE646F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</w:tcPr>
          <w:p w14:paraId="7DFE6470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Fatal</w:t>
            </w:r>
          </w:p>
        </w:tc>
        <w:tc>
          <w:tcPr>
            <w:tcW w:w="972" w:type="dxa"/>
          </w:tcPr>
          <w:p w14:paraId="7DFE6471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19</w:t>
            </w:r>
          </w:p>
        </w:tc>
        <w:tc>
          <w:tcPr>
            <w:tcW w:w="972" w:type="dxa"/>
          </w:tcPr>
          <w:p w14:paraId="7DFE6472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89</w:t>
            </w:r>
          </w:p>
        </w:tc>
        <w:tc>
          <w:tcPr>
            <w:tcW w:w="1091" w:type="dxa"/>
          </w:tcPr>
          <w:p w14:paraId="7DFE6473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1" w:type="dxa"/>
          </w:tcPr>
          <w:p w14:paraId="7DFE6474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1" w:type="dxa"/>
          </w:tcPr>
          <w:p w14:paraId="7DFE6475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091" w:type="dxa"/>
          </w:tcPr>
          <w:p w14:paraId="7DFE6476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0.6</w:t>
            </w:r>
          </w:p>
        </w:tc>
      </w:tr>
      <w:tr w:rsidR="009A73E6" w:rsidRPr="006026CC" w14:paraId="7DFE6480" w14:textId="77777777" w:rsidTr="006026C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</w:tcPr>
          <w:p w14:paraId="7DFE6478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</w:tcPr>
          <w:p w14:paraId="7DFE6479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Serious</w:t>
            </w:r>
          </w:p>
        </w:tc>
        <w:tc>
          <w:tcPr>
            <w:tcW w:w="972" w:type="dxa"/>
          </w:tcPr>
          <w:p w14:paraId="7DFE647A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19</w:t>
            </w:r>
          </w:p>
        </w:tc>
        <w:tc>
          <w:tcPr>
            <w:tcW w:w="972" w:type="dxa"/>
          </w:tcPr>
          <w:p w14:paraId="7DFE647B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eastAsia="Times New Roman" w:hAnsi="Calibri" w:cs="Calibri"/>
                <w:lang w:eastAsia="en-GB"/>
              </w:rPr>
              <w:t>89</w:t>
            </w:r>
          </w:p>
        </w:tc>
        <w:tc>
          <w:tcPr>
            <w:tcW w:w="1091" w:type="dxa"/>
          </w:tcPr>
          <w:p w14:paraId="7DFE647C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091" w:type="dxa"/>
          </w:tcPr>
          <w:p w14:paraId="7DFE647D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91" w:type="dxa"/>
          </w:tcPr>
          <w:p w14:paraId="7DFE647E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9.8</w:t>
            </w:r>
          </w:p>
        </w:tc>
        <w:tc>
          <w:tcPr>
            <w:tcW w:w="1091" w:type="dxa"/>
          </w:tcPr>
          <w:p w14:paraId="7DFE647F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9.5</w:t>
            </w:r>
          </w:p>
        </w:tc>
      </w:tr>
      <w:tr w:rsidR="006026CC" w:rsidRPr="006026CC" w14:paraId="7DFE6489" w14:textId="77777777" w:rsidTr="0060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bottom w:val="single" w:sz="12" w:space="0" w:color="auto"/>
            </w:tcBorders>
          </w:tcPr>
          <w:p w14:paraId="7DFE6481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</w:tcPr>
          <w:p w14:paraId="7DFE6482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Slight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DFE6483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19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DFE6484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eastAsia="Times New Roman" w:hAnsi="Calibri" w:cs="Calibri"/>
                <w:lang w:eastAsia="en-GB"/>
              </w:rPr>
              <w:t>89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85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554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86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87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74.7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88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57.5</w:t>
            </w:r>
          </w:p>
        </w:tc>
      </w:tr>
      <w:tr w:rsidR="009A73E6" w:rsidRPr="006026CC" w14:paraId="7DFE6492" w14:textId="77777777" w:rsidTr="006026C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tcBorders>
              <w:top w:val="single" w:sz="12" w:space="0" w:color="auto"/>
            </w:tcBorders>
          </w:tcPr>
          <w:p w14:paraId="7DFE648A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7</w:t>
            </w:r>
          </w:p>
        </w:tc>
        <w:tc>
          <w:tcPr>
            <w:tcW w:w="1944" w:type="dxa"/>
            <w:tcBorders>
              <w:top w:val="single" w:sz="12" w:space="0" w:color="auto"/>
            </w:tcBorders>
          </w:tcPr>
          <w:p w14:paraId="7DFE648B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All severity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7DFE648C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15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7DFE648D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93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8E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852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8F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90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109.9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7DFE6491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106.4</w:t>
            </w:r>
          </w:p>
        </w:tc>
      </w:tr>
      <w:tr w:rsidR="006026CC" w:rsidRPr="006026CC" w14:paraId="7DFE649B" w14:textId="77777777" w:rsidTr="0060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</w:tcPr>
          <w:p w14:paraId="7DFE6493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</w:tcPr>
          <w:p w14:paraId="7DFE6494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Fatal</w:t>
            </w:r>
          </w:p>
        </w:tc>
        <w:tc>
          <w:tcPr>
            <w:tcW w:w="972" w:type="dxa"/>
          </w:tcPr>
          <w:p w14:paraId="7DFE6495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15</w:t>
            </w:r>
          </w:p>
        </w:tc>
        <w:tc>
          <w:tcPr>
            <w:tcW w:w="972" w:type="dxa"/>
          </w:tcPr>
          <w:p w14:paraId="7DFE6496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93</w:t>
            </w:r>
          </w:p>
        </w:tc>
        <w:tc>
          <w:tcPr>
            <w:tcW w:w="1091" w:type="dxa"/>
          </w:tcPr>
          <w:p w14:paraId="7DFE6497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91" w:type="dxa"/>
          </w:tcPr>
          <w:p w14:paraId="7DFE6498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91" w:type="dxa"/>
          </w:tcPr>
          <w:p w14:paraId="7DFE6499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091" w:type="dxa"/>
          </w:tcPr>
          <w:p w14:paraId="7DFE649A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9A73E6" w:rsidRPr="006026CC" w14:paraId="7DFE64A4" w14:textId="77777777" w:rsidTr="006026C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</w:tcPr>
          <w:p w14:paraId="7DFE649C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</w:tcPr>
          <w:p w14:paraId="7DFE649D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Serious</w:t>
            </w:r>
          </w:p>
        </w:tc>
        <w:tc>
          <w:tcPr>
            <w:tcW w:w="972" w:type="dxa"/>
          </w:tcPr>
          <w:p w14:paraId="7DFE649E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15</w:t>
            </w:r>
          </w:p>
        </w:tc>
        <w:tc>
          <w:tcPr>
            <w:tcW w:w="972" w:type="dxa"/>
          </w:tcPr>
          <w:p w14:paraId="7DFE649F" w14:textId="77777777" w:rsidR="009A73E6" w:rsidRPr="001610A2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eastAsia="Times New Roman" w:hAnsi="Calibri" w:cs="Calibri"/>
                <w:lang w:eastAsia="en-GB"/>
              </w:rPr>
              <w:t>93</w:t>
            </w:r>
          </w:p>
        </w:tc>
        <w:tc>
          <w:tcPr>
            <w:tcW w:w="1091" w:type="dxa"/>
          </w:tcPr>
          <w:p w14:paraId="7DFE64A0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091" w:type="dxa"/>
          </w:tcPr>
          <w:p w14:paraId="7DFE64A1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91" w:type="dxa"/>
          </w:tcPr>
          <w:p w14:paraId="7DFE64A2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11.0</w:t>
            </w:r>
          </w:p>
        </w:tc>
        <w:tc>
          <w:tcPr>
            <w:tcW w:w="1091" w:type="dxa"/>
          </w:tcPr>
          <w:p w14:paraId="7DFE64A3" w14:textId="77777777" w:rsidR="009A73E6" w:rsidRPr="006026CC" w:rsidRDefault="009A73E6" w:rsidP="00046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8.8</w:t>
            </w:r>
          </w:p>
        </w:tc>
      </w:tr>
      <w:tr w:rsidR="006026CC" w:rsidRPr="006026CC" w14:paraId="7DFE64AD" w14:textId="77777777" w:rsidTr="0060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bottom w:val="single" w:sz="12" w:space="0" w:color="auto"/>
            </w:tcBorders>
          </w:tcPr>
          <w:p w14:paraId="7DFE64A5" w14:textId="77777777" w:rsidR="009A73E6" w:rsidRPr="006026CC" w:rsidRDefault="009A73E6" w:rsidP="0004678D">
            <w:pPr>
              <w:jc w:val="right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</w:tcPr>
          <w:p w14:paraId="7DFE64A6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GB"/>
              </w:rPr>
            </w:pPr>
            <w:r w:rsidRPr="006026CC">
              <w:rPr>
                <w:rFonts w:ascii="Calibri" w:hAnsi="Calibri" w:cs="Calibri"/>
                <w:lang w:eastAsia="en-GB"/>
              </w:rPr>
              <w:t>Slight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DFE64A7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hAnsi="Calibri" w:cs="Calibri"/>
                <w:lang w:eastAsia="en-GB"/>
              </w:rPr>
              <w:t>15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DFE64A8" w14:textId="77777777" w:rsidR="009A73E6" w:rsidRPr="001610A2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610A2">
              <w:rPr>
                <w:rFonts w:ascii="Calibri" w:eastAsia="Times New Roman" w:hAnsi="Calibri" w:cs="Calibri"/>
                <w:lang w:eastAsia="en-GB"/>
              </w:rPr>
              <w:t>93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A9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758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AA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AB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26CC">
              <w:rPr>
                <w:rFonts w:ascii="Calibri" w:hAnsi="Calibri" w:cs="Calibri"/>
                <w:color w:val="000000"/>
              </w:rPr>
              <w:t>97.8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7DFE64AC" w14:textId="77777777" w:rsidR="009A73E6" w:rsidRPr="006026CC" w:rsidRDefault="009A73E6" w:rsidP="00046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026CC">
              <w:rPr>
                <w:rFonts w:ascii="Calibri" w:hAnsi="Calibri" w:cs="Calibri"/>
                <w:color w:val="000000"/>
              </w:rPr>
              <w:t>97.6</w:t>
            </w:r>
          </w:p>
        </w:tc>
      </w:tr>
      <w:bookmarkEnd w:id="1"/>
    </w:tbl>
    <w:p w14:paraId="7DFE64AE" w14:textId="77777777" w:rsidR="00DA3C88" w:rsidRDefault="00DA3C88" w:rsidP="0090197C"/>
    <w:p w14:paraId="7DFE64AF" w14:textId="77777777" w:rsidR="0090197C" w:rsidRDefault="0090197C" w:rsidP="0090197C">
      <w:pPr>
        <w:pStyle w:val="Heading2"/>
      </w:pPr>
      <w:r>
        <w:t>Inferential analysis</w:t>
      </w:r>
    </w:p>
    <w:p w14:paraId="7DFE64B0" w14:textId="0F332288" w:rsidR="002504E7" w:rsidRDefault="0090197C" w:rsidP="0004678D">
      <w:pPr>
        <w:jc w:val="both"/>
      </w:pPr>
      <w:r>
        <w:t xml:space="preserve">Table </w:t>
      </w:r>
      <w:r w:rsidR="00D476B1">
        <w:t>2</w:t>
      </w:r>
      <w:r>
        <w:t xml:space="preserve"> summarises the </w:t>
      </w:r>
      <w:r w:rsidR="00AB1802">
        <w:t xml:space="preserve">estimated </w:t>
      </w:r>
      <w:r>
        <w:t>effect</w:t>
      </w:r>
      <w:r w:rsidR="00AB1802">
        <w:t>s</w:t>
      </w:r>
      <w:r>
        <w:t xml:space="preserve"> of the</w:t>
      </w:r>
      <w:r w:rsidR="004F23D6">
        <w:t xml:space="preserve"> 20 mph limit</w:t>
      </w:r>
      <w:r>
        <w:t xml:space="preserve"> on </w:t>
      </w:r>
      <w:r w:rsidR="00B707CE">
        <w:t>injuries</w:t>
      </w:r>
      <w:r>
        <w:t xml:space="preserve">. </w:t>
      </w:r>
      <w:r w:rsidR="004F23D6">
        <w:t>T</w:t>
      </w:r>
      <w:r w:rsidR="00B466AE">
        <w:t>his shows a general trend</w:t>
      </w:r>
      <w:r>
        <w:t xml:space="preserve"> of</w:t>
      </w:r>
      <w:r w:rsidR="00B466AE">
        <w:t xml:space="preserve"> injury </w:t>
      </w:r>
      <w:r>
        <w:t>reduction</w:t>
      </w:r>
      <w:r w:rsidR="00B466AE">
        <w:t>s</w:t>
      </w:r>
      <w:r w:rsidR="008540AD">
        <w:t xml:space="preserve"> following the intervention</w:t>
      </w:r>
      <w:r w:rsidR="00D476B1">
        <w:t>, both city</w:t>
      </w:r>
      <w:r w:rsidR="00E63E13">
        <w:t>-</w:t>
      </w:r>
      <w:r w:rsidR="00D476B1">
        <w:t>wide and in 20mph roads</w:t>
      </w:r>
      <w:r w:rsidR="00E63E13">
        <w:t xml:space="preserve"> only</w:t>
      </w:r>
      <w:r w:rsidR="00B466AE">
        <w:t xml:space="preserve">, and strong evidence of </w:t>
      </w:r>
      <w:r>
        <w:t xml:space="preserve">a </w:t>
      </w:r>
      <w:r w:rsidR="00DF48E9">
        <w:t>city</w:t>
      </w:r>
      <w:r w:rsidR="0055000C">
        <w:t>-</w:t>
      </w:r>
      <w:r w:rsidR="00716F6A">
        <w:t>wide</w:t>
      </w:r>
      <w:r w:rsidR="00DF48E9">
        <w:t xml:space="preserve"> </w:t>
      </w:r>
      <w:r>
        <w:t xml:space="preserve">reduction of fatal injuries of around </w:t>
      </w:r>
      <w:r w:rsidR="00B707CE">
        <w:t>63</w:t>
      </w:r>
      <w:r>
        <w:t>%</w:t>
      </w:r>
      <w:r w:rsidR="00EB0A40">
        <w:t>, though this estimate was imprecise</w:t>
      </w:r>
      <w:r>
        <w:t xml:space="preserve"> </w:t>
      </w:r>
      <w:r w:rsidR="008E09F4">
        <w:t>(</w:t>
      </w:r>
      <w:r w:rsidR="008540AD">
        <w:t>95% confidence interva</w:t>
      </w:r>
      <w:r w:rsidR="00385AD3">
        <w:t>l: 2%-8</w:t>
      </w:r>
      <w:r w:rsidR="00856DB7">
        <w:t>6</w:t>
      </w:r>
      <w:r w:rsidR="00385AD3">
        <w:t>%</w:t>
      </w:r>
      <w:r w:rsidR="003C3665">
        <w:t>)</w:t>
      </w:r>
      <w:r w:rsidR="005F5E3F">
        <w:t xml:space="preserve">.  </w:t>
      </w:r>
      <w:r w:rsidR="005F5E3F" w:rsidRPr="008540AD">
        <w:t>No temporal trend was detected.</w:t>
      </w:r>
    </w:p>
    <w:p w14:paraId="7DFE64B1" w14:textId="1283B055" w:rsidR="00077A24" w:rsidRPr="002504E7" w:rsidRDefault="00077A24" w:rsidP="002504E7">
      <w:r w:rsidRPr="00B924E3">
        <w:rPr>
          <w:b/>
        </w:rPr>
        <w:t xml:space="preserve">Table </w:t>
      </w:r>
      <w:r>
        <w:rPr>
          <w:b/>
        </w:rPr>
        <w:t>2</w:t>
      </w:r>
      <w:r w:rsidRPr="00B924E3">
        <w:rPr>
          <w:b/>
        </w:rPr>
        <w:t>.</w:t>
      </w:r>
      <w:r>
        <w:t xml:space="preserve"> Incidence rate ratios (IRRs) comparing injuries pre- and post-intervention, by injur</w:t>
      </w:r>
      <w:r w:rsidR="00AB1802">
        <w:t>y</w:t>
      </w:r>
      <w:r w:rsidR="003C3665">
        <w:t xml:space="preserve"> type</w:t>
      </w:r>
      <w:r>
        <w:t xml:space="preserve">, for all roads </w:t>
      </w:r>
      <w:r w:rsidR="00F85F12">
        <w:t>and for 20mph roads only.</w:t>
      </w:r>
      <w:r>
        <w:t xml:space="preserve"> 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183"/>
        <w:gridCol w:w="1781"/>
        <w:gridCol w:w="2691"/>
        <w:gridCol w:w="1729"/>
      </w:tblGrid>
      <w:tr w:rsidR="00B707CE" w:rsidRPr="00953350" w14:paraId="7DFE64B6" w14:textId="77777777" w:rsidTr="0004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bottom w:val="single" w:sz="12" w:space="0" w:color="auto"/>
            </w:tcBorders>
          </w:tcPr>
          <w:p w14:paraId="7DFE64B2" w14:textId="77777777" w:rsidR="00B707CE" w:rsidRPr="00953350" w:rsidRDefault="00B707CE" w:rsidP="002504E7">
            <w:pPr>
              <w:rPr>
                <w:b w:val="0"/>
              </w:rPr>
            </w:pPr>
          </w:p>
        </w:tc>
        <w:tc>
          <w:tcPr>
            <w:tcW w:w="1781" w:type="dxa"/>
            <w:tcBorders>
              <w:bottom w:val="single" w:sz="12" w:space="0" w:color="auto"/>
            </w:tcBorders>
          </w:tcPr>
          <w:p w14:paraId="7DFE64B3" w14:textId="77777777" w:rsidR="00B707CE" w:rsidRPr="0004678D" w:rsidRDefault="00B707CE" w:rsidP="00B707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678D">
              <w:t>Injury severity</w:t>
            </w:r>
          </w:p>
        </w:tc>
        <w:tc>
          <w:tcPr>
            <w:tcW w:w="2691" w:type="dxa"/>
            <w:tcBorders>
              <w:bottom w:val="single" w:sz="12" w:space="0" w:color="auto"/>
            </w:tcBorders>
          </w:tcPr>
          <w:p w14:paraId="7DFE64B4" w14:textId="77777777" w:rsidR="00B707CE" w:rsidRPr="0004678D" w:rsidRDefault="00B707CE" w:rsidP="002504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678D">
              <w:t>IRR (Confidence Interval)</w:t>
            </w:r>
            <w:r w:rsidR="008540AD" w:rsidRPr="008540AD">
              <w:rPr>
                <w:vertAlign w:val="superscript"/>
              </w:rPr>
              <w:t>1</w:t>
            </w: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14:paraId="7DFE64B5" w14:textId="77777777" w:rsidR="00B707CE" w:rsidRPr="0004678D" w:rsidRDefault="00B707CE" w:rsidP="002504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678D">
              <w:t>p-value</w:t>
            </w:r>
          </w:p>
        </w:tc>
      </w:tr>
      <w:tr w:rsidR="00F85F12" w14:paraId="7DFE64BB" w14:textId="77777777" w:rsidTr="0004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Merge w:val="restart"/>
            <w:tcBorders>
              <w:top w:val="single" w:sz="12" w:space="0" w:color="auto"/>
            </w:tcBorders>
          </w:tcPr>
          <w:p w14:paraId="7DFE64B7" w14:textId="77777777" w:rsidR="00F85F12" w:rsidRPr="00635A04" w:rsidRDefault="00F85F12" w:rsidP="00F85F12">
            <w:pPr>
              <w:rPr>
                <w:b w:val="0"/>
              </w:rPr>
            </w:pPr>
            <w:r>
              <w:rPr>
                <w:b w:val="0"/>
              </w:rPr>
              <w:t>All</w:t>
            </w:r>
            <w:r w:rsidRPr="00635A04">
              <w:rPr>
                <w:b w:val="0"/>
              </w:rPr>
              <w:t xml:space="preserve"> roads</w:t>
            </w:r>
            <w:r>
              <w:rPr>
                <w:b w:val="0"/>
              </w:rPr>
              <w:t xml:space="preserve"> (20mph roads and 30mph roads)</w:t>
            </w:r>
          </w:p>
        </w:tc>
        <w:tc>
          <w:tcPr>
            <w:tcW w:w="1781" w:type="dxa"/>
            <w:tcBorders>
              <w:top w:val="single" w:sz="12" w:space="0" w:color="auto"/>
            </w:tcBorders>
          </w:tcPr>
          <w:p w14:paraId="7DFE64B8" w14:textId="77777777" w:rsidR="00F85F12" w:rsidRPr="007E6634" w:rsidRDefault="00F85F12" w:rsidP="00F85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77A24">
              <w:rPr>
                <w:i/>
              </w:rPr>
              <w:t>Fatal</w:t>
            </w:r>
          </w:p>
        </w:tc>
        <w:tc>
          <w:tcPr>
            <w:tcW w:w="2691" w:type="dxa"/>
            <w:tcBorders>
              <w:top w:val="single" w:sz="12" w:space="0" w:color="auto"/>
            </w:tcBorders>
          </w:tcPr>
          <w:p w14:paraId="7DFE64B9" w14:textId="77777777" w:rsidR="00F85F12" w:rsidRDefault="00F85F12" w:rsidP="00F85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7A24">
              <w:t>.37 (.14-.98)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14:paraId="7DFE64BA" w14:textId="77777777" w:rsidR="00F85F12" w:rsidRDefault="00F85F12" w:rsidP="00F85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7A24">
              <w:t>.04</w:t>
            </w:r>
          </w:p>
        </w:tc>
      </w:tr>
      <w:tr w:rsidR="00F85F12" w14:paraId="7DFE64C0" w14:textId="77777777" w:rsidTr="0004678D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Merge/>
          </w:tcPr>
          <w:p w14:paraId="7DFE64BC" w14:textId="77777777" w:rsidR="00F85F12" w:rsidRPr="00635A04" w:rsidRDefault="00F85F12" w:rsidP="00F85F12">
            <w:pPr>
              <w:rPr>
                <w:b w:val="0"/>
              </w:rPr>
            </w:pPr>
          </w:p>
        </w:tc>
        <w:tc>
          <w:tcPr>
            <w:tcW w:w="1781" w:type="dxa"/>
          </w:tcPr>
          <w:p w14:paraId="7DFE64BD" w14:textId="77777777" w:rsidR="00F85F12" w:rsidRPr="000B5875" w:rsidRDefault="00F85F12" w:rsidP="00F85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610A2">
              <w:rPr>
                <w:i/>
              </w:rPr>
              <w:t>Serious</w:t>
            </w:r>
          </w:p>
        </w:tc>
        <w:tc>
          <w:tcPr>
            <w:tcW w:w="2691" w:type="dxa"/>
          </w:tcPr>
          <w:p w14:paraId="7DFE64BE" w14:textId="77777777" w:rsidR="00F85F12" w:rsidRPr="00077A24" w:rsidRDefault="00F85F12" w:rsidP="00F85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1.02 (.77-1.34)</w:t>
            </w:r>
          </w:p>
        </w:tc>
        <w:tc>
          <w:tcPr>
            <w:tcW w:w="1729" w:type="dxa"/>
          </w:tcPr>
          <w:p w14:paraId="7DFE64BF" w14:textId="77777777" w:rsidR="00F85F12" w:rsidRPr="00077A24" w:rsidRDefault="00F85F12" w:rsidP="00F85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.86</w:t>
            </w:r>
          </w:p>
        </w:tc>
      </w:tr>
      <w:tr w:rsidR="00F85F12" w14:paraId="7DFE64C5" w14:textId="77777777" w:rsidTr="008F2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Merge/>
          </w:tcPr>
          <w:p w14:paraId="7DFE64C1" w14:textId="77777777" w:rsidR="00F85F12" w:rsidRPr="00635A04" w:rsidRDefault="00F85F12" w:rsidP="00F85F12">
            <w:pPr>
              <w:rPr>
                <w:b w:val="0"/>
              </w:rPr>
            </w:pPr>
          </w:p>
        </w:tc>
        <w:tc>
          <w:tcPr>
            <w:tcW w:w="1781" w:type="dxa"/>
          </w:tcPr>
          <w:p w14:paraId="7DFE64C2" w14:textId="77777777" w:rsidR="00F85F12" w:rsidRPr="007E6634" w:rsidRDefault="00F85F12" w:rsidP="00F85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E6634">
              <w:rPr>
                <w:i/>
              </w:rPr>
              <w:t>Slight</w:t>
            </w:r>
          </w:p>
        </w:tc>
        <w:tc>
          <w:tcPr>
            <w:tcW w:w="2691" w:type="dxa"/>
          </w:tcPr>
          <w:p w14:paraId="7DFE64C3" w14:textId="77777777" w:rsidR="00F85F12" w:rsidRPr="007E6634" w:rsidRDefault="00F85F12" w:rsidP="00F85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.94 (.84-1.06)</w:t>
            </w:r>
          </w:p>
        </w:tc>
        <w:tc>
          <w:tcPr>
            <w:tcW w:w="1729" w:type="dxa"/>
          </w:tcPr>
          <w:p w14:paraId="7DFE64C4" w14:textId="77777777" w:rsidR="00F85F12" w:rsidRPr="007E6634" w:rsidRDefault="00F85F12" w:rsidP="00F85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.39</w:t>
            </w:r>
          </w:p>
        </w:tc>
      </w:tr>
      <w:tr w:rsidR="00F85F12" w14:paraId="7DFE64CA" w14:textId="77777777" w:rsidTr="0004678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Merge w:val="restart"/>
            <w:tcBorders>
              <w:top w:val="single" w:sz="12" w:space="0" w:color="auto"/>
            </w:tcBorders>
          </w:tcPr>
          <w:p w14:paraId="7DFE64C6" w14:textId="77777777" w:rsidR="00F85F12" w:rsidRPr="00635A04" w:rsidRDefault="00F85F12" w:rsidP="00F85F12">
            <w:pPr>
              <w:rPr>
                <w:b w:val="0"/>
              </w:rPr>
            </w:pPr>
            <w:r w:rsidRPr="00635A04">
              <w:rPr>
                <w:b w:val="0"/>
              </w:rPr>
              <w:t>20mph roads</w:t>
            </w:r>
            <w:r>
              <w:rPr>
                <w:b w:val="0"/>
              </w:rPr>
              <w:t xml:space="preserve"> only</w:t>
            </w:r>
          </w:p>
        </w:tc>
        <w:tc>
          <w:tcPr>
            <w:tcW w:w="1781" w:type="dxa"/>
            <w:tcBorders>
              <w:top w:val="single" w:sz="12" w:space="0" w:color="auto"/>
            </w:tcBorders>
          </w:tcPr>
          <w:p w14:paraId="7DFE64C7" w14:textId="77777777" w:rsidR="00F85F12" w:rsidRPr="007E6634" w:rsidRDefault="00F85F12" w:rsidP="00F85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E6634">
              <w:rPr>
                <w:i/>
              </w:rPr>
              <w:t>Fatal</w:t>
            </w:r>
          </w:p>
        </w:tc>
        <w:tc>
          <w:tcPr>
            <w:tcW w:w="2691" w:type="dxa"/>
            <w:tcBorders>
              <w:top w:val="single" w:sz="12" w:space="0" w:color="auto"/>
            </w:tcBorders>
          </w:tcPr>
          <w:p w14:paraId="7DFE64C8" w14:textId="77777777" w:rsidR="00F85F12" w:rsidRPr="007E6634" w:rsidRDefault="00F85F12" w:rsidP="00F85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.65 (.15-2.83)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14:paraId="7DFE64C9" w14:textId="77777777" w:rsidR="00F85F12" w:rsidRPr="007E6634" w:rsidRDefault="00F85F12" w:rsidP="00F85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.57</w:t>
            </w:r>
          </w:p>
        </w:tc>
      </w:tr>
      <w:tr w:rsidR="00F85F12" w14:paraId="7DFE64CF" w14:textId="77777777" w:rsidTr="0004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Merge/>
          </w:tcPr>
          <w:p w14:paraId="7DFE64CB" w14:textId="77777777" w:rsidR="00F85F12" w:rsidRDefault="00F85F12" w:rsidP="00F85F12"/>
        </w:tc>
        <w:tc>
          <w:tcPr>
            <w:tcW w:w="1781" w:type="dxa"/>
          </w:tcPr>
          <w:p w14:paraId="7DFE64CC" w14:textId="77777777" w:rsidR="00F85F12" w:rsidRPr="007E6634" w:rsidRDefault="00F85F12" w:rsidP="00F85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Serious</w:t>
            </w:r>
          </w:p>
        </w:tc>
        <w:tc>
          <w:tcPr>
            <w:tcW w:w="2691" w:type="dxa"/>
          </w:tcPr>
          <w:p w14:paraId="7DFE64CD" w14:textId="77777777" w:rsidR="00F85F12" w:rsidRDefault="00F85F12" w:rsidP="00F85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.84 (.60-1.17)</w:t>
            </w:r>
          </w:p>
        </w:tc>
        <w:tc>
          <w:tcPr>
            <w:tcW w:w="1729" w:type="dxa"/>
          </w:tcPr>
          <w:p w14:paraId="7DFE64CE" w14:textId="77777777" w:rsidR="00F85F12" w:rsidRDefault="00F85F12" w:rsidP="00F85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.32</w:t>
            </w:r>
          </w:p>
        </w:tc>
      </w:tr>
      <w:tr w:rsidR="00F85F12" w14:paraId="7DFE64D4" w14:textId="77777777" w:rsidTr="0004678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Merge/>
          </w:tcPr>
          <w:p w14:paraId="7DFE64D0" w14:textId="77777777" w:rsidR="00F85F12" w:rsidRDefault="00F85F12" w:rsidP="00F85F12"/>
        </w:tc>
        <w:tc>
          <w:tcPr>
            <w:tcW w:w="1781" w:type="dxa"/>
          </w:tcPr>
          <w:p w14:paraId="7DFE64D1" w14:textId="77777777" w:rsidR="00F85F12" w:rsidRPr="001610A2" w:rsidRDefault="00F85F12" w:rsidP="00F85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610A2">
              <w:rPr>
                <w:i/>
              </w:rPr>
              <w:t>Slight</w:t>
            </w:r>
          </w:p>
        </w:tc>
        <w:tc>
          <w:tcPr>
            <w:tcW w:w="2691" w:type="dxa"/>
          </w:tcPr>
          <w:p w14:paraId="7DFE64D2" w14:textId="77777777" w:rsidR="00F85F12" w:rsidRDefault="00F85F12" w:rsidP="00F85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.91 (.78-1.07)</w:t>
            </w:r>
          </w:p>
        </w:tc>
        <w:tc>
          <w:tcPr>
            <w:tcW w:w="1729" w:type="dxa"/>
          </w:tcPr>
          <w:p w14:paraId="7DFE64D3" w14:textId="77777777" w:rsidR="00F85F12" w:rsidRDefault="00F85F12" w:rsidP="00F85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.26</w:t>
            </w:r>
          </w:p>
        </w:tc>
      </w:tr>
      <w:tr w:rsidR="00907F79" w14:paraId="7DFE64D6" w14:textId="77777777" w:rsidTr="00650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4" w:type="dxa"/>
            <w:gridSpan w:val="4"/>
          </w:tcPr>
          <w:p w14:paraId="7DFE64D5" w14:textId="5ABB216D" w:rsidR="00907F79" w:rsidRPr="008540AD" w:rsidRDefault="008540AD" w:rsidP="008540AD">
            <w:pPr>
              <w:rPr>
                <w:b w:val="0"/>
                <w:sz w:val="18"/>
                <w:szCs w:val="18"/>
              </w:rPr>
            </w:pPr>
            <w:r w:rsidRPr="008540AD">
              <w:rPr>
                <w:b w:val="0"/>
                <w:sz w:val="18"/>
                <w:szCs w:val="18"/>
                <w:vertAlign w:val="superscript"/>
              </w:rPr>
              <w:t>1</w:t>
            </w:r>
            <w:r w:rsidR="00907F79" w:rsidRPr="008540AD">
              <w:rPr>
                <w:b w:val="0"/>
                <w:sz w:val="18"/>
                <w:szCs w:val="18"/>
              </w:rPr>
              <w:t xml:space="preserve">Controlling for calendar year (continuous variable) and areas (categorical variable). </w:t>
            </w:r>
          </w:p>
        </w:tc>
      </w:tr>
    </w:tbl>
    <w:p w14:paraId="7DFE64D7" w14:textId="77777777" w:rsidR="00635A04" w:rsidRDefault="006D7AE6" w:rsidP="00C41555">
      <w:pPr>
        <w:pStyle w:val="Heading1"/>
      </w:pPr>
      <w:r>
        <w:t>Discussion</w:t>
      </w:r>
    </w:p>
    <w:p w14:paraId="7DFE64D8" w14:textId="76A8C972" w:rsidR="00712E0E" w:rsidRPr="004E7E86" w:rsidRDefault="003E735A" w:rsidP="000467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Th</w:t>
      </w:r>
      <w:r w:rsidR="00077A24">
        <w:t xml:space="preserve">e </w:t>
      </w:r>
      <w:r>
        <w:t xml:space="preserve">analysis </w:t>
      </w:r>
      <w:r w:rsidR="00077A24">
        <w:t>highlight</w:t>
      </w:r>
      <w:r w:rsidR="003C3665">
        <w:t>s</w:t>
      </w:r>
      <w:r w:rsidR="00077A24">
        <w:t xml:space="preserve"> a general </w:t>
      </w:r>
      <w:r w:rsidR="004A78A1">
        <w:t>reduction in injuries</w:t>
      </w:r>
      <w:r w:rsidR="00077A24">
        <w:t xml:space="preserve">, and </w:t>
      </w:r>
      <w:r w:rsidR="009C4CD7">
        <w:t>suggest</w:t>
      </w:r>
      <w:r w:rsidR="008F08E9">
        <w:t>s</w:t>
      </w:r>
      <w:r w:rsidR="009C4CD7">
        <w:t xml:space="preserve"> </w:t>
      </w:r>
      <w:r w:rsidR="00755D48">
        <w:t>evidence of</w:t>
      </w:r>
      <w:r w:rsidR="00CF7314">
        <w:t xml:space="preserve"> a </w:t>
      </w:r>
      <w:r w:rsidR="0055000C">
        <w:t xml:space="preserve">city-level </w:t>
      </w:r>
      <w:r w:rsidR="00F0394A">
        <w:t>reduc</w:t>
      </w:r>
      <w:r w:rsidR="00CF7314">
        <w:t>tion in</w:t>
      </w:r>
      <w:r w:rsidR="00F0394A">
        <w:t xml:space="preserve"> fatalities </w:t>
      </w:r>
      <w:r w:rsidR="00CF7314">
        <w:t>of</w:t>
      </w:r>
      <w:r w:rsidR="00F0394A">
        <w:t xml:space="preserve"> </w:t>
      </w:r>
      <w:r w:rsidR="00A70544">
        <w:t>63%</w:t>
      </w:r>
      <w:r w:rsidR="00B707CE">
        <w:t>.</w:t>
      </w:r>
      <w:r w:rsidR="008F4AC4">
        <w:t xml:space="preserve"> These findings are in line with the reductions of injuries in Brighton city-centre, where a similar area-wide (but not city-wide) scheme has been implemented.</w:t>
      </w:r>
      <w:r w:rsidR="00856DB7">
        <w:t>[8]</w:t>
      </w:r>
      <w:r w:rsidR="008F4AC4">
        <w:t xml:space="preserve"> Interestingly, the</w:t>
      </w:r>
      <w:r w:rsidR="00992D9F">
        <w:t xml:space="preserve"> </w:t>
      </w:r>
      <w:r w:rsidR="008F4AC4">
        <w:t>reductions in fatalities in Bristol are larger than the 46% reduction in London associated with the introduction of traffic-calmed 20mph zones, as</w:t>
      </w:r>
      <w:r w:rsidR="004E7E86">
        <w:t xml:space="preserve"> </w:t>
      </w:r>
      <w:r w:rsidR="008F4AC4">
        <w:t>identified by Grundy et al</w:t>
      </w:r>
      <w:r w:rsidR="00856DB7">
        <w:t xml:space="preserve">.[7] </w:t>
      </w:r>
      <w:r w:rsidR="00B707CE">
        <w:t>The city</w:t>
      </w:r>
      <w:r w:rsidR="0055000C">
        <w:t>-level</w:t>
      </w:r>
      <w:r w:rsidR="00B707CE">
        <w:t xml:space="preserve"> reduction of fatal injuries</w:t>
      </w:r>
      <w:r w:rsidR="00BC4206">
        <w:t xml:space="preserve"> identified in our study</w:t>
      </w:r>
      <w:r w:rsidR="00B707CE">
        <w:t xml:space="preserve"> </w:t>
      </w:r>
      <w:r w:rsidR="004A78A1">
        <w:t>should also be set</w:t>
      </w:r>
      <w:r w:rsidR="00755D48">
        <w:t xml:space="preserve"> against </w:t>
      </w:r>
      <w:r w:rsidR="00712E0E">
        <w:t>n</w:t>
      </w:r>
      <w:r w:rsidR="00B707CE">
        <w:t>ational trends</w:t>
      </w:r>
      <w:r w:rsidR="00712E0E">
        <w:t>, which</w:t>
      </w:r>
      <w:r w:rsidR="00B707CE">
        <w:t xml:space="preserve"> show that the number </w:t>
      </w:r>
      <w:r w:rsidR="00B707CE">
        <w:lastRenderedPageBreak/>
        <w:t xml:space="preserve">of deaths on </w:t>
      </w:r>
      <w:r w:rsidR="00B93EDC">
        <w:t xml:space="preserve">built-up </w:t>
      </w:r>
      <w:r w:rsidR="00B707CE">
        <w:t>roads has</w:t>
      </w:r>
      <w:r w:rsidR="00B93EDC">
        <w:t xml:space="preserve"> increased </w:t>
      </w:r>
      <w:r w:rsidR="008C29A9">
        <w:t xml:space="preserve">from </w:t>
      </w:r>
      <w:r w:rsidR="00C95E75">
        <w:t xml:space="preserve">the 2010-2014 </w:t>
      </w:r>
      <w:r w:rsidR="00997609">
        <w:t xml:space="preserve">annual </w:t>
      </w:r>
      <w:r w:rsidR="00C95E75">
        <w:t xml:space="preserve">average of </w:t>
      </w:r>
      <w:r w:rsidR="008C29A9">
        <w:t xml:space="preserve">585 to </w:t>
      </w:r>
      <w:r w:rsidR="004A78A1">
        <w:t>a</w:t>
      </w:r>
      <w:r w:rsidR="00264F56">
        <w:t xml:space="preserve"> 2017 figure of </w:t>
      </w:r>
      <w:r w:rsidR="00755D48">
        <w:t xml:space="preserve">607 </w:t>
      </w:r>
      <w:r w:rsidR="00264F56">
        <w:t>deaths</w:t>
      </w:r>
      <w:r w:rsidR="00856DB7">
        <w:t xml:space="preserve">.[14] </w:t>
      </w:r>
      <w:r w:rsidR="00712E0E">
        <w:t>Th</w:t>
      </w:r>
      <w:r w:rsidR="00077A24">
        <w:t>erefore, th</w:t>
      </w:r>
      <w:r w:rsidR="00712E0E">
        <w:t xml:space="preserve">is </w:t>
      </w:r>
      <w:r w:rsidR="00A65B62">
        <w:t>finding</w:t>
      </w:r>
      <w:r w:rsidR="00B93EDC">
        <w:t xml:space="preserve"> </w:t>
      </w:r>
      <w:r w:rsidR="00A65B62">
        <w:t xml:space="preserve">goes some way to supporting </w:t>
      </w:r>
      <w:r w:rsidR="0055000C">
        <w:t>city-wide</w:t>
      </w:r>
      <w:r w:rsidR="004A78A1">
        <w:t xml:space="preserve"> </w:t>
      </w:r>
      <w:r w:rsidR="00077A24">
        <w:t xml:space="preserve">20mph speed limits </w:t>
      </w:r>
      <w:r w:rsidR="005C60C9">
        <w:t>as an intervention</w:t>
      </w:r>
      <w:r w:rsidR="00077A24">
        <w:t xml:space="preserve"> to reduce road injuries</w:t>
      </w:r>
      <w:r w:rsidR="00712E0E">
        <w:t>.</w:t>
      </w:r>
    </w:p>
    <w:p w14:paraId="7DFE64D9" w14:textId="21491D26" w:rsidR="00907B74" w:rsidRDefault="00712E0E" w:rsidP="0004678D">
      <w:pPr>
        <w:jc w:val="both"/>
      </w:pPr>
      <w:r>
        <w:t xml:space="preserve">The fact that </w:t>
      </w:r>
      <w:r w:rsidR="00077A24">
        <w:t>such a solid</w:t>
      </w:r>
      <w:r>
        <w:t xml:space="preserve"> reduction </w:t>
      </w:r>
      <w:r w:rsidR="0091599B">
        <w:t>was observed city</w:t>
      </w:r>
      <w:r w:rsidR="0055000C">
        <w:t>-</w:t>
      </w:r>
      <w:r w:rsidR="00C16CC7">
        <w:t>level</w:t>
      </w:r>
      <w:r>
        <w:t xml:space="preserve">, rather than </w:t>
      </w:r>
      <w:r w:rsidR="00A65B62">
        <w:t xml:space="preserve">on </w:t>
      </w:r>
      <w:r>
        <w:t>20mph roads only,</w:t>
      </w:r>
      <w:r w:rsidR="0091599B">
        <w:t xml:space="preserve"> </w:t>
      </w:r>
      <w:r w:rsidR="00C16CC7">
        <w:t>might</w:t>
      </w:r>
      <w:r w:rsidR="0091599B">
        <w:t xml:space="preserve"> be explained by the fact that average speeds decreased overall in Bristol</w:t>
      </w:r>
      <w:r w:rsidR="005C60C9">
        <w:t xml:space="preserve"> following the intervention</w:t>
      </w:r>
      <w:r w:rsidR="00077A24">
        <w:t>, and not only in 20mph roads</w:t>
      </w:r>
      <w:r w:rsidR="0091599B">
        <w:t>.</w:t>
      </w:r>
      <w:r w:rsidR="00856DB7">
        <w:t>[2, 12]</w:t>
      </w:r>
      <w:r w:rsidR="0091599B">
        <w:t xml:space="preserve"> </w:t>
      </w:r>
      <w:r w:rsidR="006D4618">
        <w:rPr>
          <w:lang w:val="en-US"/>
        </w:rPr>
        <w:t xml:space="preserve">Pre-intervention average speed in 30mph roads was relatively high, and the reduction in speed </w:t>
      </w:r>
      <w:r w:rsidR="00433FB8">
        <w:rPr>
          <w:lang w:val="en-US"/>
        </w:rPr>
        <w:t>may</w:t>
      </w:r>
      <w:r w:rsidR="006D4618">
        <w:rPr>
          <w:lang w:val="en-US"/>
        </w:rPr>
        <w:t xml:space="preserve"> have contributed to reducing fatal injuries in these roads. </w:t>
      </w:r>
      <w:r w:rsidR="00A84276">
        <w:rPr>
          <w:lang w:val="en-US"/>
        </w:rPr>
        <w:t xml:space="preserve">This is similar to findings from Brighton, where </w:t>
      </w:r>
      <w:r w:rsidR="001610A2">
        <w:rPr>
          <w:lang w:val="en-US"/>
        </w:rPr>
        <w:t xml:space="preserve">reductions in collisions </w:t>
      </w:r>
      <w:r w:rsidR="00A84276">
        <w:rPr>
          <w:lang w:val="en-US"/>
        </w:rPr>
        <w:t>were observed especially in major strategic roads</w:t>
      </w:r>
      <w:r w:rsidR="00856DB7">
        <w:rPr>
          <w:lang w:val="en-US"/>
        </w:rPr>
        <w:t xml:space="preserve">.[8] </w:t>
      </w:r>
      <w:r w:rsidR="005C60C9">
        <w:t xml:space="preserve">This </w:t>
      </w:r>
      <w:r w:rsidR="006D4618">
        <w:t xml:space="preserve">also </w:t>
      </w:r>
      <w:r w:rsidR="005C60C9">
        <w:t xml:space="preserve">suggests that the </w:t>
      </w:r>
      <w:r w:rsidR="00F118CA">
        <w:t xml:space="preserve">reduction </w:t>
      </w:r>
      <w:r w:rsidR="005C60C9">
        <w:t>in</w:t>
      </w:r>
      <w:r w:rsidR="00F118CA">
        <w:t xml:space="preserve"> </w:t>
      </w:r>
      <w:r w:rsidR="00B707CE">
        <w:t xml:space="preserve">injuries </w:t>
      </w:r>
      <w:r w:rsidR="005C60C9">
        <w:t>is due to</w:t>
      </w:r>
      <w:r w:rsidR="00F118CA">
        <w:t xml:space="preserve"> </w:t>
      </w:r>
      <w:r w:rsidR="00523640">
        <w:t xml:space="preserve">a </w:t>
      </w:r>
      <w:r w:rsidR="0091599B">
        <w:t>general change in driving behaviour</w:t>
      </w:r>
      <w:r w:rsidR="0060343F">
        <w:t xml:space="preserve"> related to the </w:t>
      </w:r>
      <w:r w:rsidR="0055000C">
        <w:t>city-wide</w:t>
      </w:r>
      <w:r w:rsidR="0060343F">
        <w:t xml:space="preserve"> nature of the 20mph speed limit</w:t>
      </w:r>
      <w:r w:rsidR="00C16CC7">
        <w:t>, with slower driving speeds</w:t>
      </w:r>
      <w:r w:rsidR="0091599B">
        <w:t xml:space="preserve"> </w:t>
      </w:r>
      <w:r w:rsidR="00F25DEC">
        <w:t>also in</w:t>
      </w:r>
      <w:r w:rsidR="0091599B">
        <w:t xml:space="preserve"> </w:t>
      </w:r>
      <w:r w:rsidR="00F25DEC">
        <w:t>3</w:t>
      </w:r>
      <w:r w:rsidR="0091599B">
        <w:t>0mph roads</w:t>
      </w:r>
      <w:r w:rsidR="00264F56">
        <w:t>, where speed tends to be higher than in 20mph roads</w:t>
      </w:r>
      <w:r w:rsidR="00F118CA">
        <w:t>.</w:t>
      </w:r>
      <w:r w:rsidR="00216DE6">
        <w:t xml:space="preserve"> </w:t>
      </w:r>
    </w:p>
    <w:p w14:paraId="7DFE64DA" w14:textId="1C3DA543" w:rsidR="00E20215" w:rsidRDefault="00DC5C1D" w:rsidP="0004678D">
      <w:pPr>
        <w:jc w:val="both"/>
      </w:pPr>
      <w:r>
        <w:t>To our knowledge, t</w:t>
      </w:r>
      <w:r w:rsidR="00E20215">
        <w:t xml:space="preserve">he current study is the first </w:t>
      </w:r>
      <w:r w:rsidR="00E20215" w:rsidRPr="00E20215">
        <w:t>study</w:t>
      </w:r>
      <w:r w:rsidR="00E20215">
        <w:t xml:space="preserve"> examining</w:t>
      </w:r>
      <w:r w:rsidR="00E20215">
        <w:rPr>
          <w:rFonts w:ascii="Calibri" w:eastAsia="Times New Roman" w:hAnsi="Calibri" w:cs="Calibri"/>
          <w:color w:val="000000"/>
        </w:rPr>
        <w:t xml:space="preserve"> the effects of a </w:t>
      </w:r>
      <w:r w:rsidR="0055000C">
        <w:rPr>
          <w:rFonts w:ascii="Calibri" w:eastAsia="Times New Roman" w:hAnsi="Calibri" w:cs="Calibri"/>
          <w:color w:val="000000"/>
        </w:rPr>
        <w:t>city-wide</w:t>
      </w:r>
      <w:r w:rsidR="00E20215">
        <w:rPr>
          <w:rFonts w:ascii="Calibri" w:eastAsia="Times New Roman" w:hAnsi="Calibri" w:cs="Calibri"/>
          <w:color w:val="000000"/>
        </w:rPr>
        <w:t xml:space="preserve"> 20mph speed limit</w:t>
      </w:r>
      <w:r w:rsidR="004A78A1">
        <w:rPr>
          <w:rFonts w:ascii="Calibri" w:eastAsia="Times New Roman" w:hAnsi="Calibri" w:cs="Calibri"/>
          <w:color w:val="000000"/>
        </w:rPr>
        <w:t xml:space="preserve">. </w:t>
      </w:r>
      <w:r>
        <w:rPr>
          <w:rFonts w:ascii="Calibri" w:eastAsia="Times New Roman" w:hAnsi="Calibri" w:cs="Calibri"/>
          <w:color w:val="000000"/>
        </w:rPr>
        <w:t xml:space="preserve">The study is also the first </w:t>
      </w:r>
      <w:r w:rsidR="008A6723">
        <w:rPr>
          <w:rFonts w:ascii="Calibri" w:eastAsia="Times New Roman" w:hAnsi="Calibri" w:cs="Calibri"/>
          <w:color w:val="000000"/>
        </w:rPr>
        <w:t xml:space="preserve">to </w:t>
      </w:r>
      <w:r w:rsidR="00E20215" w:rsidRPr="00E20215">
        <w:t xml:space="preserve">apply a stepped-wedge design with </w:t>
      </w:r>
      <w:r w:rsidR="003C3665">
        <w:t xml:space="preserve">injury </w:t>
      </w:r>
      <w:r w:rsidR="00E20215" w:rsidRPr="00E20215">
        <w:t xml:space="preserve">count data </w:t>
      </w:r>
      <w:r w:rsidR="00433FB8">
        <w:t xml:space="preserve">for </w:t>
      </w:r>
      <w:r w:rsidR="004A78A1">
        <w:t xml:space="preserve">a </w:t>
      </w:r>
      <w:r w:rsidR="00E20215" w:rsidRPr="00E20215">
        <w:t>20mph</w:t>
      </w:r>
      <w:r>
        <w:t xml:space="preserve"> speed</w:t>
      </w:r>
      <w:r w:rsidR="00E20215" w:rsidRPr="00E20215">
        <w:t xml:space="preserve"> limit </w:t>
      </w:r>
      <w:r>
        <w:t>intervention</w:t>
      </w:r>
      <w:r w:rsidR="008A6723">
        <w:t>,</w:t>
      </w:r>
      <w:r>
        <w:t xml:space="preserve"> </w:t>
      </w:r>
      <w:r w:rsidR="004A78A1">
        <w:t>based</w:t>
      </w:r>
      <w:r>
        <w:t xml:space="preserve"> on a natural experiment.</w:t>
      </w:r>
      <w:r w:rsidR="00AA5EF1">
        <w:t xml:space="preserve"> </w:t>
      </w:r>
      <w:r w:rsidR="001610A2">
        <w:t xml:space="preserve">While a recent national report has found that there is </w:t>
      </w:r>
      <w:r w:rsidR="001D4552">
        <w:t>insufficient</w:t>
      </w:r>
      <w:r w:rsidR="001610A2">
        <w:t xml:space="preserve"> evidence to conclude that 20mph speed limits implemented in specific city areas can reduce injuries, t</w:t>
      </w:r>
      <w:r w:rsidR="004A78A1">
        <w:t xml:space="preserve">he </w:t>
      </w:r>
      <w:r w:rsidR="001610A2">
        <w:t xml:space="preserve">current </w:t>
      </w:r>
      <w:r w:rsidR="004A78A1">
        <w:t>fi</w:t>
      </w:r>
      <w:r w:rsidR="00AA5EF1">
        <w:t xml:space="preserve">ndings </w:t>
      </w:r>
      <w:r w:rsidR="004A78A1">
        <w:t>suggest there are</w:t>
      </w:r>
      <w:r w:rsidR="00AA5EF1">
        <w:t xml:space="preserve"> benefits of </w:t>
      </w:r>
      <w:r w:rsidR="0055000C">
        <w:t>city-wide</w:t>
      </w:r>
      <w:r w:rsidR="004A78A1">
        <w:t xml:space="preserve"> </w:t>
      </w:r>
      <w:r w:rsidR="00AA5EF1">
        <w:t>20mph intervention</w:t>
      </w:r>
      <w:r w:rsidR="004A78A1">
        <w:t>s</w:t>
      </w:r>
      <w:r w:rsidR="001610A2">
        <w:t xml:space="preserve">. </w:t>
      </w:r>
      <w:r w:rsidR="00EB0A40">
        <w:t>Therefore,</w:t>
      </w:r>
      <w:r w:rsidR="001610A2">
        <w:t xml:space="preserve"> city-wide measures</w:t>
      </w:r>
      <w:r w:rsidR="00AA5EF1">
        <w:t xml:space="preserve">, </w:t>
      </w:r>
      <w:r w:rsidR="001610A2">
        <w:t xml:space="preserve">as opposed </w:t>
      </w:r>
      <w:r w:rsidR="00AA5EF1">
        <w:t xml:space="preserve">to </w:t>
      </w:r>
      <w:r w:rsidR="008A6723">
        <w:t xml:space="preserve">more </w:t>
      </w:r>
      <w:r w:rsidR="00AA5EF1">
        <w:t>geographically-restricted 20mph speed limits</w:t>
      </w:r>
      <w:r w:rsidR="008A6723">
        <w:t xml:space="preserve"> such as those targeting areas of perceived higher risk</w:t>
      </w:r>
      <w:r w:rsidR="00997609">
        <w:t>,</w:t>
      </w:r>
      <w:r w:rsidR="008A6723">
        <w:t xml:space="preserve"> outside schools</w:t>
      </w:r>
      <w:r w:rsidR="00997609">
        <w:t xml:space="preserve"> for example</w:t>
      </w:r>
      <w:r w:rsidR="001610A2">
        <w:t xml:space="preserve">, </w:t>
      </w:r>
      <w:r w:rsidR="00EB0A40">
        <w:t>may help to</w:t>
      </w:r>
      <w:r w:rsidR="001610A2">
        <w:t xml:space="preserve"> reduce road injuries</w:t>
      </w:r>
      <w:r w:rsidR="00AA5EF1">
        <w:t>.</w:t>
      </w:r>
    </w:p>
    <w:p w14:paraId="7DFE64DB" w14:textId="77777777" w:rsidR="002C3743" w:rsidRDefault="00837545" w:rsidP="00DF48E9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Limitations</w:t>
      </w:r>
    </w:p>
    <w:p w14:paraId="7DFE64DC" w14:textId="4DA9F5BC" w:rsidR="008A1C3F" w:rsidRPr="00E76C0E" w:rsidRDefault="008A1C3F" w:rsidP="0004678D">
      <w:pPr>
        <w:jc w:val="both"/>
      </w:pPr>
      <w:r>
        <w:rPr>
          <w:shd w:val="clear" w:color="auto" w:fill="FFFFFF"/>
        </w:rPr>
        <w:t xml:space="preserve">A limitation of the analysis is the potential </w:t>
      </w:r>
      <w:r w:rsidR="00806069">
        <w:rPr>
          <w:shd w:val="clear" w:color="auto" w:fill="FFFFFF"/>
        </w:rPr>
        <w:t>inaccuracy of STATS19 data, which are known to under-report injuries. A second limitation is the relatively short time</w:t>
      </w:r>
      <w:r w:rsidR="00433FB8">
        <w:rPr>
          <w:shd w:val="clear" w:color="auto" w:fill="FFFFFF"/>
        </w:rPr>
        <w:t>-</w:t>
      </w:r>
      <w:r w:rsidR="00806069">
        <w:rPr>
          <w:shd w:val="clear" w:color="auto" w:fill="FFFFFF"/>
        </w:rPr>
        <w:t>frame of the study,</w:t>
      </w:r>
      <w:r w:rsidR="00A5500C">
        <w:rPr>
          <w:shd w:val="clear" w:color="auto" w:fill="FFFFFF"/>
        </w:rPr>
        <w:t xml:space="preserve"> with </w:t>
      </w:r>
      <w:r w:rsidR="006D6C25">
        <w:rPr>
          <w:shd w:val="clear" w:color="auto" w:fill="FFFFFF"/>
        </w:rPr>
        <w:t>nine</w:t>
      </w:r>
      <w:r w:rsidR="00A5500C">
        <w:rPr>
          <w:shd w:val="clear" w:color="auto" w:fill="FFFFFF"/>
        </w:rPr>
        <w:t xml:space="preserve"> years of data available</w:t>
      </w:r>
      <w:r w:rsidR="00F118CA">
        <w:rPr>
          <w:shd w:val="clear" w:color="auto" w:fill="FFFFFF"/>
        </w:rPr>
        <w:t>.</w:t>
      </w:r>
      <w:r w:rsidR="003C7A2F">
        <w:rPr>
          <w:shd w:val="clear" w:color="auto" w:fill="FFFFFF"/>
        </w:rPr>
        <w:t xml:space="preserve"> </w:t>
      </w:r>
      <w:r w:rsidR="00A84276">
        <w:rPr>
          <w:shd w:val="clear" w:color="auto" w:fill="FFFFFF"/>
        </w:rPr>
        <w:t xml:space="preserve">However, timeframes are similar to those of </w:t>
      </w:r>
      <w:r w:rsidR="006D5246">
        <w:rPr>
          <w:shd w:val="clear" w:color="auto" w:fill="FFFFFF"/>
        </w:rPr>
        <w:t>DfT</w:t>
      </w:r>
      <w:r w:rsidR="00856DB7">
        <w:rPr>
          <w:shd w:val="clear" w:color="auto" w:fill="FFFFFF"/>
        </w:rPr>
        <w:t>;[8]</w:t>
      </w:r>
      <w:r w:rsidR="00A84276">
        <w:rPr>
          <w:shd w:val="clear" w:color="auto" w:fill="FFFFFF"/>
        </w:rPr>
        <w:t xml:space="preserve"> m</w:t>
      </w:r>
      <w:r w:rsidR="003C7A2F">
        <w:rPr>
          <w:shd w:val="clear" w:color="auto" w:fill="FFFFFF"/>
        </w:rPr>
        <w:t>ore robust evidence will be available in the long-term.</w:t>
      </w:r>
      <w:r w:rsidR="004813A3">
        <w:rPr>
          <w:shd w:val="clear" w:color="auto" w:fill="FFFFFF"/>
        </w:rPr>
        <w:t xml:space="preserve"> </w:t>
      </w:r>
      <w:r w:rsidR="00F118CA">
        <w:rPr>
          <w:shd w:val="clear" w:color="auto" w:fill="FFFFFF"/>
        </w:rPr>
        <w:t>Third, there was no</w:t>
      </w:r>
      <w:r w:rsidR="004813A3">
        <w:rPr>
          <w:shd w:val="clear" w:color="auto" w:fill="FFFFFF"/>
        </w:rPr>
        <w:t xml:space="preserve"> randomisation</w:t>
      </w:r>
      <w:r w:rsidR="004A78A1">
        <w:rPr>
          <w:shd w:val="clear" w:color="auto" w:fill="FFFFFF"/>
        </w:rPr>
        <w:t xml:space="preserve"> in the design</w:t>
      </w:r>
      <w:r w:rsidR="004813A3">
        <w:rPr>
          <w:shd w:val="clear" w:color="auto" w:fill="FFFFFF"/>
        </w:rPr>
        <w:t xml:space="preserve">, </w:t>
      </w:r>
      <w:r w:rsidR="00F118CA">
        <w:rPr>
          <w:shd w:val="clear" w:color="auto" w:fill="FFFFFF"/>
        </w:rPr>
        <w:t xml:space="preserve">but this is a common feature in </w:t>
      </w:r>
      <w:r w:rsidR="004813A3">
        <w:rPr>
          <w:shd w:val="clear" w:color="auto" w:fill="FFFFFF"/>
        </w:rPr>
        <w:t>natural experiment</w:t>
      </w:r>
      <w:r w:rsidR="0055000C">
        <w:rPr>
          <w:shd w:val="clear" w:color="auto" w:fill="FFFFFF"/>
        </w:rPr>
        <w:t>s</w:t>
      </w:r>
      <w:r w:rsidR="004813A3">
        <w:rPr>
          <w:shd w:val="clear" w:color="auto" w:fill="FFFFFF"/>
        </w:rPr>
        <w:t>.</w:t>
      </w:r>
      <w:r w:rsidR="0037159C">
        <w:rPr>
          <w:shd w:val="clear" w:color="auto" w:fill="FFFFFF"/>
        </w:rPr>
        <w:t xml:space="preserve"> In addition, the wide confidence intervals might be due</w:t>
      </w:r>
      <w:r w:rsidR="00E76C0E">
        <w:rPr>
          <w:shd w:val="clear" w:color="auto" w:fill="FFFFFF"/>
        </w:rPr>
        <w:t xml:space="preserve"> to the relatively small </w:t>
      </w:r>
      <w:r w:rsidR="005C60C9">
        <w:rPr>
          <w:shd w:val="clear" w:color="auto" w:fill="FFFFFF"/>
        </w:rPr>
        <w:t>number of injuries observed, particularly fatal</w:t>
      </w:r>
      <w:r w:rsidR="008A6723">
        <w:rPr>
          <w:shd w:val="clear" w:color="auto" w:fill="FFFFFF"/>
        </w:rPr>
        <w:t xml:space="preserve"> injuries</w:t>
      </w:r>
      <w:r w:rsidR="00E76C0E">
        <w:rPr>
          <w:shd w:val="clear" w:color="auto" w:fill="FFFFFF"/>
        </w:rPr>
        <w:t>.</w:t>
      </w:r>
      <w:r w:rsidR="003C7A2F">
        <w:rPr>
          <w:shd w:val="clear" w:color="auto" w:fill="FFFFFF"/>
        </w:rPr>
        <w:t xml:space="preserve"> Finally, </w:t>
      </w:r>
      <w:r w:rsidR="00D354EC">
        <w:rPr>
          <w:shd w:val="clear" w:color="auto" w:fill="FFFFFF"/>
        </w:rPr>
        <w:t>although we controlled for linear trends in casualties over time</w:t>
      </w:r>
      <w:r w:rsidR="00907F79">
        <w:rPr>
          <w:shd w:val="clear" w:color="auto" w:fill="FFFFFF"/>
        </w:rPr>
        <w:t xml:space="preserve"> </w:t>
      </w:r>
      <w:r w:rsidR="00A84276" w:rsidRPr="00A84276">
        <w:rPr>
          <w:shd w:val="clear" w:color="auto" w:fill="FFFFFF"/>
        </w:rPr>
        <w:t xml:space="preserve">we </w:t>
      </w:r>
      <w:r w:rsidR="00907F79">
        <w:rPr>
          <w:shd w:val="clear" w:color="auto" w:fill="FFFFFF"/>
        </w:rPr>
        <w:t>could</w:t>
      </w:r>
      <w:r w:rsidR="00A84276" w:rsidRPr="00A84276">
        <w:rPr>
          <w:shd w:val="clear" w:color="auto" w:fill="FFFFFF"/>
        </w:rPr>
        <w:t xml:space="preserve"> not include a comparator area controlling for </w:t>
      </w:r>
      <w:r w:rsidR="00D354EC">
        <w:rPr>
          <w:shd w:val="clear" w:color="auto" w:fill="FFFFFF"/>
        </w:rPr>
        <w:t>other</w:t>
      </w:r>
      <w:r w:rsidR="00A84276" w:rsidRPr="00A84276">
        <w:rPr>
          <w:shd w:val="clear" w:color="auto" w:fill="FFFFFF"/>
        </w:rPr>
        <w:t xml:space="preserve"> factors (e.g. weather, </w:t>
      </w:r>
      <w:r w:rsidR="00D354EC">
        <w:rPr>
          <w:shd w:val="clear" w:color="auto" w:fill="FFFFFF"/>
        </w:rPr>
        <w:t>changes</w:t>
      </w:r>
      <w:r w:rsidR="00A84276" w:rsidRPr="00A84276">
        <w:rPr>
          <w:shd w:val="clear" w:color="auto" w:fill="FFFFFF"/>
        </w:rPr>
        <w:t xml:space="preserve"> in emergency care, etc.) </w:t>
      </w:r>
      <w:r w:rsidR="00D354EC">
        <w:rPr>
          <w:shd w:val="clear" w:color="auto" w:fill="FFFFFF"/>
        </w:rPr>
        <w:t xml:space="preserve">as in DfT </w:t>
      </w:r>
      <w:r w:rsidR="00856DB7">
        <w:rPr>
          <w:shd w:val="clear" w:color="auto" w:fill="FFFFFF"/>
        </w:rPr>
        <w:t>[8]</w:t>
      </w:r>
      <w:r w:rsidR="00D354EC">
        <w:rPr>
          <w:shd w:val="clear" w:color="auto" w:fill="FFFFFF"/>
        </w:rPr>
        <w:t xml:space="preserve"> because the intervention was applied to the whole of the study. </w:t>
      </w:r>
      <w:r w:rsidR="003C3665" w:rsidRPr="003C3665">
        <w:rPr>
          <w:shd w:val="clear" w:color="auto" w:fill="FFFFFF"/>
        </w:rPr>
        <w:t>We recognise that the strength of the statistical analysis could have been improved by the inclusion of a comparator city without city-wide 20 mph limits</w:t>
      </w:r>
      <w:r w:rsidR="00693CB2">
        <w:rPr>
          <w:shd w:val="clear" w:color="auto" w:fill="FFFFFF"/>
        </w:rPr>
        <w:t>.</w:t>
      </w:r>
      <w:r w:rsidR="00D354EC">
        <w:rPr>
          <w:shd w:val="clear" w:color="auto" w:fill="FFFFFF"/>
        </w:rPr>
        <w:t xml:space="preserve">  </w:t>
      </w:r>
    </w:p>
    <w:p w14:paraId="7DFE64DD" w14:textId="77777777" w:rsidR="00D476B1" w:rsidRDefault="00D476B1" w:rsidP="00DF48E9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Conclusions</w:t>
      </w:r>
    </w:p>
    <w:p w14:paraId="7DFE64DE" w14:textId="5C504BB3" w:rsidR="00D476B1" w:rsidRDefault="00755D48" w:rsidP="0004678D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paper reported findings from the first stepped-wedge design evaluation of the effects of a </w:t>
      </w:r>
      <w:r w:rsidR="0055000C">
        <w:rPr>
          <w:rFonts w:ascii="Calibri" w:eastAsia="Times New Roman" w:hAnsi="Calibri" w:cs="Calibri"/>
          <w:color w:val="000000"/>
        </w:rPr>
        <w:t xml:space="preserve">city-wide </w:t>
      </w:r>
      <w:r>
        <w:rPr>
          <w:rFonts w:ascii="Calibri" w:eastAsia="Times New Roman" w:hAnsi="Calibri" w:cs="Calibri"/>
          <w:color w:val="000000"/>
        </w:rPr>
        <w:t>20mph speed limit intervention on road injuries. Findings</w:t>
      </w:r>
      <w:r w:rsidR="00DF48E9">
        <w:rPr>
          <w:rFonts w:ascii="Calibri" w:eastAsia="Times New Roman" w:hAnsi="Calibri" w:cs="Calibri"/>
          <w:color w:val="000000"/>
        </w:rPr>
        <w:t xml:space="preserve"> have identified a </w:t>
      </w:r>
      <w:r w:rsidR="00E76C0E">
        <w:rPr>
          <w:rFonts w:ascii="Calibri" w:eastAsia="Times New Roman" w:hAnsi="Calibri" w:cs="Calibri"/>
          <w:color w:val="000000"/>
        </w:rPr>
        <w:t xml:space="preserve">general trend of </w:t>
      </w:r>
      <w:r w:rsidR="00DF48E9">
        <w:rPr>
          <w:rFonts w:ascii="Calibri" w:eastAsia="Times New Roman" w:hAnsi="Calibri" w:cs="Calibri"/>
          <w:color w:val="000000"/>
        </w:rPr>
        <w:t>reduction</w:t>
      </w:r>
      <w:r w:rsidR="00E76C0E">
        <w:rPr>
          <w:rFonts w:ascii="Calibri" w:eastAsia="Times New Roman" w:hAnsi="Calibri" w:cs="Calibri"/>
          <w:color w:val="000000"/>
        </w:rPr>
        <w:t xml:space="preserve">s in </w:t>
      </w:r>
      <w:r w:rsidR="001A19C8">
        <w:rPr>
          <w:rFonts w:ascii="Calibri" w:eastAsia="Times New Roman" w:hAnsi="Calibri" w:cs="Calibri"/>
          <w:color w:val="000000"/>
        </w:rPr>
        <w:t>road injuries</w:t>
      </w:r>
      <w:r w:rsidR="00DF48E9">
        <w:rPr>
          <w:rFonts w:ascii="Calibri" w:eastAsia="Times New Roman" w:hAnsi="Calibri" w:cs="Calibri"/>
          <w:color w:val="000000"/>
        </w:rPr>
        <w:t xml:space="preserve"> </w:t>
      </w:r>
      <w:r w:rsidR="001A19C8">
        <w:rPr>
          <w:rFonts w:ascii="Calibri" w:eastAsia="Times New Roman" w:hAnsi="Calibri" w:cs="Calibri"/>
          <w:color w:val="000000"/>
        </w:rPr>
        <w:t>and strong evidence of a reduction of</w:t>
      </w:r>
      <w:r w:rsidR="00DF48E9">
        <w:rPr>
          <w:rFonts w:ascii="Calibri" w:eastAsia="Times New Roman" w:hAnsi="Calibri" w:cs="Calibri"/>
          <w:color w:val="000000"/>
        </w:rPr>
        <w:t xml:space="preserve"> city</w:t>
      </w:r>
      <w:r w:rsidR="0055000C">
        <w:rPr>
          <w:rFonts w:ascii="Calibri" w:eastAsia="Times New Roman" w:hAnsi="Calibri" w:cs="Calibri"/>
          <w:color w:val="000000"/>
        </w:rPr>
        <w:t>-level</w:t>
      </w:r>
      <w:r w:rsidR="00DF48E9">
        <w:rPr>
          <w:rFonts w:ascii="Calibri" w:eastAsia="Times New Roman" w:hAnsi="Calibri" w:cs="Calibri"/>
          <w:color w:val="000000"/>
        </w:rPr>
        <w:t xml:space="preserve"> fatal injuries </w:t>
      </w:r>
      <w:r w:rsidR="001A19C8">
        <w:rPr>
          <w:rFonts w:ascii="Calibri" w:eastAsia="Times New Roman" w:hAnsi="Calibri" w:cs="Calibri"/>
          <w:color w:val="000000"/>
        </w:rPr>
        <w:t>following the 20mph speed limit intervention</w:t>
      </w:r>
      <w:r w:rsidR="00DF48E9">
        <w:rPr>
          <w:rFonts w:ascii="Calibri" w:eastAsia="Times New Roman" w:hAnsi="Calibri" w:cs="Calibri"/>
          <w:color w:val="000000"/>
        </w:rPr>
        <w:t>. This</w:t>
      </w:r>
      <w:r w:rsidR="00D476B1">
        <w:rPr>
          <w:rFonts w:ascii="Calibri" w:eastAsia="Times New Roman" w:hAnsi="Calibri" w:cs="Calibri"/>
          <w:color w:val="000000"/>
        </w:rPr>
        <w:t xml:space="preserve"> </w:t>
      </w:r>
      <w:r w:rsidR="005E793A">
        <w:rPr>
          <w:rFonts w:ascii="Calibri" w:eastAsia="Times New Roman" w:hAnsi="Calibri" w:cs="Calibri"/>
          <w:color w:val="000000"/>
        </w:rPr>
        <w:t>suggests</w:t>
      </w:r>
      <w:r w:rsidR="00D476B1">
        <w:rPr>
          <w:rFonts w:ascii="Calibri" w:eastAsia="Times New Roman" w:hAnsi="Calibri" w:cs="Calibri"/>
          <w:color w:val="000000"/>
        </w:rPr>
        <w:t xml:space="preserve"> that</w:t>
      </w:r>
      <w:r w:rsidR="001A19C8">
        <w:rPr>
          <w:rFonts w:ascii="Calibri" w:eastAsia="Times New Roman" w:hAnsi="Calibri" w:cs="Calibri"/>
          <w:color w:val="000000"/>
        </w:rPr>
        <w:t xml:space="preserve"> </w:t>
      </w:r>
      <w:r w:rsidR="0055000C">
        <w:rPr>
          <w:rFonts w:ascii="Calibri" w:eastAsia="Times New Roman" w:hAnsi="Calibri" w:cs="Calibri"/>
          <w:color w:val="000000"/>
        </w:rPr>
        <w:t>city-wide</w:t>
      </w:r>
      <w:r w:rsidR="001A19C8">
        <w:rPr>
          <w:rFonts w:ascii="Calibri" w:eastAsia="Times New Roman" w:hAnsi="Calibri" w:cs="Calibri"/>
          <w:color w:val="000000"/>
        </w:rPr>
        <w:t xml:space="preserve"> 20mph speed limit</w:t>
      </w:r>
      <w:r w:rsidR="00E20215">
        <w:rPr>
          <w:rFonts w:ascii="Calibri" w:eastAsia="Times New Roman" w:hAnsi="Calibri" w:cs="Calibri"/>
          <w:color w:val="000000"/>
        </w:rPr>
        <w:t>s</w:t>
      </w:r>
      <w:r w:rsidR="001A19C8">
        <w:rPr>
          <w:rFonts w:ascii="Calibri" w:eastAsia="Times New Roman" w:hAnsi="Calibri" w:cs="Calibri"/>
          <w:color w:val="000000"/>
        </w:rPr>
        <w:t xml:space="preserve"> </w:t>
      </w:r>
      <w:r w:rsidR="004A78A1">
        <w:rPr>
          <w:rFonts w:ascii="Calibri" w:eastAsia="Times New Roman" w:hAnsi="Calibri" w:cs="Calibri"/>
          <w:color w:val="000000"/>
        </w:rPr>
        <w:t>could</w:t>
      </w:r>
      <w:r w:rsidR="001A19C8">
        <w:rPr>
          <w:rFonts w:ascii="Calibri" w:eastAsia="Times New Roman" w:hAnsi="Calibri" w:cs="Calibri"/>
          <w:color w:val="000000"/>
        </w:rPr>
        <w:t xml:space="preserve"> be</w:t>
      </w:r>
      <w:r w:rsidR="00D476B1">
        <w:rPr>
          <w:rFonts w:ascii="Calibri" w:eastAsia="Times New Roman" w:hAnsi="Calibri" w:cs="Calibri"/>
          <w:color w:val="000000"/>
        </w:rPr>
        <w:t xml:space="preserve"> a</w:t>
      </w:r>
      <w:r w:rsidR="00DF48E9">
        <w:rPr>
          <w:rFonts w:ascii="Calibri" w:eastAsia="Times New Roman" w:hAnsi="Calibri" w:cs="Calibri"/>
          <w:color w:val="000000"/>
        </w:rPr>
        <w:t xml:space="preserve">n </w:t>
      </w:r>
      <w:r w:rsidR="00D476B1">
        <w:rPr>
          <w:rFonts w:ascii="Calibri" w:eastAsia="Times New Roman" w:hAnsi="Calibri" w:cs="Calibri"/>
          <w:color w:val="000000"/>
        </w:rPr>
        <w:t xml:space="preserve">effective strategy </w:t>
      </w:r>
      <w:r w:rsidR="005E793A">
        <w:rPr>
          <w:rFonts w:ascii="Calibri" w:eastAsia="Times New Roman" w:hAnsi="Calibri" w:cs="Calibri"/>
          <w:color w:val="000000"/>
        </w:rPr>
        <w:t xml:space="preserve">for </w:t>
      </w:r>
      <w:r w:rsidR="00D476B1">
        <w:rPr>
          <w:rFonts w:ascii="Calibri" w:eastAsia="Times New Roman" w:hAnsi="Calibri" w:cs="Calibri"/>
          <w:color w:val="000000"/>
        </w:rPr>
        <w:t xml:space="preserve">reducing </w:t>
      </w:r>
      <w:r w:rsidR="00D476B1">
        <w:t>injuries</w:t>
      </w:r>
      <w:r w:rsidR="001A19C8">
        <w:t>,</w:t>
      </w:r>
      <w:r w:rsidR="00D476B1">
        <w:t xml:space="preserve"> </w:t>
      </w:r>
      <w:r>
        <w:rPr>
          <w:rFonts w:ascii="Calibri" w:eastAsia="Times New Roman" w:hAnsi="Calibri" w:cs="Calibri"/>
          <w:color w:val="000000"/>
        </w:rPr>
        <w:t>as</w:t>
      </w:r>
      <w:r w:rsidR="005E793A">
        <w:rPr>
          <w:rFonts w:ascii="Calibri" w:eastAsia="Times New Roman" w:hAnsi="Calibri" w:cs="Calibri"/>
          <w:color w:val="000000"/>
        </w:rPr>
        <w:t xml:space="preserve"> </w:t>
      </w:r>
      <w:r w:rsidR="00D476B1">
        <w:rPr>
          <w:rFonts w:ascii="Calibri" w:eastAsia="Times New Roman" w:hAnsi="Calibri" w:cs="Calibri"/>
          <w:color w:val="000000"/>
        </w:rPr>
        <w:t xml:space="preserve">it encourages </w:t>
      </w:r>
      <w:r w:rsidR="00264F56">
        <w:rPr>
          <w:rFonts w:ascii="Calibri" w:eastAsia="Times New Roman" w:hAnsi="Calibri" w:cs="Calibri"/>
          <w:color w:val="000000"/>
        </w:rPr>
        <w:t>safer driving behaviour that is not restricted to 20mph roads</w:t>
      </w:r>
      <w:r w:rsidR="00D476B1">
        <w:rPr>
          <w:rFonts w:ascii="Calibri" w:eastAsia="Times New Roman" w:hAnsi="Calibri" w:cs="Calibri"/>
          <w:color w:val="000000"/>
        </w:rPr>
        <w:t xml:space="preserve">. The policy recommendation that </w:t>
      </w:r>
      <w:r w:rsidR="003869DA">
        <w:rPr>
          <w:rFonts w:ascii="Calibri" w:eastAsia="Times New Roman" w:hAnsi="Calibri" w:cs="Calibri"/>
          <w:color w:val="000000"/>
        </w:rPr>
        <w:t xml:space="preserve">would </w:t>
      </w:r>
      <w:r w:rsidR="00D476B1">
        <w:rPr>
          <w:rFonts w:ascii="Calibri" w:eastAsia="Times New Roman" w:hAnsi="Calibri" w:cs="Calibri"/>
          <w:color w:val="000000"/>
        </w:rPr>
        <w:t>follow</w:t>
      </w:r>
      <w:r w:rsidR="004A78A1">
        <w:rPr>
          <w:rFonts w:ascii="Calibri" w:eastAsia="Times New Roman" w:hAnsi="Calibri" w:cs="Calibri"/>
          <w:color w:val="000000"/>
        </w:rPr>
        <w:t xml:space="preserve"> from this</w:t>
      </w:r>
      <w:r w:rsidR="00D476B1">
        <w:rPr>
          <w:rFonts w:ascii="Calibri" w:eastAsia="Times New Roman" w:hAnsi="Calibri" w:cs="Calibri"/>
          <w:color w:val="000000"/>
        </w:rPr>
        <w:t xml:space="preserve"> is to implement</w:t>
      </w:r>
      <w:r w:rsidR="001A19C8">
        <w:rPr>
          <w:rFonts w:ascii="Calibri" w:eastAsia="Times New Roman" w:hAnsi="Calibri" w:cs="Calibri"/>
          <w:color w:val="000000"/>
        </w:rPr>
        <w:t xml:space="preserve"> </w:t>
      </w:r>
      <w:r w:rsidR="0055000C">
        <w:rPr>
          <w:rFonts w:ascii="Calibri" w:eastAsia="Times New Roman" w:hAnsi="Calibri" w:cs="Calibri"/>
          <w:color w:val="000000"/>
        </w:rPr>
        <w:t>city-wide</w:t>
      </w:r>
      <w:r w:rsidR="00D476B1">
        <w:rPr>
          <w:rFonts w:ascii="Calibri" w:eastAsia="Times New Roman" w:hAnsi="Calibri" w:cs="Calibri"/>
          <w:color w:val="000000"/>
        </w:rPr>
        <w:t xml:space="preserve"> 20mph limits</w:t>
      </w:r>
      <w:r w:rsidR="003869DA">
        <w:rPr>
          <w:rFonts w:ascii="Calibri" w:eastAsia="Times New Roman" w:hAnsi="Calibri" w:cs="Calibri"/>
          <w:color w:val="000000"/>
        </w:rPr>
        <w:t>,</w:t>
      </w:r>
      <w:r w:rsidR="00D476B1">
        <w:rPr>
          <w:rFonts w:ascii="Calibri" w:eastAsia="Times New Roman" w:hAnsi="Calibri" w:cs="Calibri"/>
          <w:color w:val="000000"/>
        </w:rPr>
        <w:t xml:space="preserve"> rather than </w:t>
      </w:r>
      <w:r w:rsidR="003869DA">
        <w:rPr>
          <w:rFonts w:ascii="Calibri" w:eastAsia="Times New Roman" w:hAnsi="Calibri" w:cs="Calibri"/>
          <w:color w:val="000000"/>
        </w:rPr>
        <w:t xml:space="preserve">20 mph limits </w:t>
      </w:r>
      <w:r w:rsidR="00D476B1">
        <w:rPr>
          <w:rFonts w:ascii="Calibri" w:eastAsia="Times New Roman" w:hAnsi="Calibri" w:cs="Calibri"/>
          <w:color w:val="000000"/>
        </w:rPr>
        <w:t xml:space="preserve">in restricted </w:t>
      </w:r>
      <w:r w:rsidR="005E793A">
        <w:rPr>
          <w:rFonts w:ascii="Calibri" w:eastAsia="Times New Roman" w:hAnsi="Calibri" w:cs="Calibri"/>
          <w:color w:val="000000"/>
        </w:rPr>
        <w:t>areas of a city</w:t>
      </w:r>
      <w:r w:rsidR="00D476B1">
        <w:rPr>
          <w:rFonts w:ascii="Calibri" w:eastAsia="Times New Roman" w:hAnsi="Calibri" w:cs="Calibri"/>
          <w:color w:val="000000"/>
        </w:rPr>
        <w:t xml:space="preserve">. </w:t>
      </w:r>
      <w:r w:rsidR="004A78A1">
        <w:rPr>
          <w:rFonts w:ascii="Calibri" w:eastAsia="Times New Roman" w:hAnsi="Calibri" w:cs="Calibri"/>
          <w:color w:val="000000"/>
        </w:rPr>
        <w:t>Further research is needed and changes in injury rates should be monitored over longer time</w:t>
      </w:r>
      <w:r w:rsidR="003869DA">
        <w:rPr>
          <w:rFonts w:ascii="Calibri" w:eastAsia="Times New Roman" w:hAnsi="Calibri" w:cs="Calibri"/>
          <w:color w:val="000000"/>
        </w:rPr>
        <w:t>-</w:t>
      </w:r>
      <w:r w:rsidR="004A78A1">
        <w:rPr>
          <w:rFonts w:ascii="Calibri" w:eastAsia="Times New Roman" w:hAnsi="Calibri" w:cs="Calibri"/>
          <w:color w:val="000000"/>
        </w:rPr>
        <w:t>frames</w:t>
      </w:r>
      <w:r w:rsidR="00D476B1">
        <w:rPr>
          <w:rFonts w:ascii="Calibri" w:eastAsia="Times New Roman" w:hAnsi="Calibri" w:cs="Calibri"/>
          <w:color w:val="000000"/>
        </w:rPr>
        <w:t>.</w:t>
      </w:r>
    </w:p>
    <w:p w14:paraId="7DFE64DF" w14:textId="77777777" w:rsidR="00D476B1" w:rsidRDefault="00D476B1" w:rsidP="00806069">
      <w:pPr>
        <w:rPr>
          <w:shd w:val="clear" w:color="auto" w:fill="FFFFFF"/>
        </w:rPr>
      </w:pPr>
    </w:p>
    <w:p w14:paraId="7DFE64E0" w14:textId="4E0FAF24" w:rsidR="00F118CA" w:rsidRDefault="0082265B" w:rsidP="0082265B">
      <w:pPr>
        <w:pStyle w:val="Heading2"/>
      </w:pPr>
      <w:r>
        <w:t>References</w:t>
      </w:r>
    </w:p>
    <w:p w14:paraId="08DE7805" w14:textId="399556FF" w:rsidR="00F72764" w:rsidRPr="00D11683" w:rsidRDefault="00D11683" w:rsidP="00D11683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Calibri" w:hAnsi="Calibri" w:cs="Calibri"/>
          <w:color w:val="222222"/>
          <w:shd w:val="clear" w:color="auto" w:fill="FFFFFF"/>
        </w:rPr>
      </w:pPr>
      <w:r w:rsidRPr="00D11683">
        <w:rPr>
          <w:rFonts w:ascii="Calibri" w:hAnsi="Calibri" w:cs="Calibri"/>
          <w:color w:val="222222"/>
          <w:shd w:val="clear" w:color="auto" w:fill="FFFFFF"/>
        </w:rPr>
        <w:t>Hu, W. and Cicchino, J.B. (2019). Lowering the speed limit from 30 mph to 25 mph in Boston: effects on vehicle speeds. </w:t>
      </w:r>
      <w:r w:rsidRPr="00D11683">
        <w:rPr>
          <w:rFonts w:ascii="Calibri" w:hAnsi="Calibri" w:cs="Calibri"/>
          <w:i/>
          <w:iCs/>
          <w:color w:val="222222"/>
          <w:shd w:val="clear" w:color="auto" w:fill="FFFFFF"/>
        </w:rPr>
        <w:t>Injury prevention</w:t>
      </w:r>
      <w:r w:rsidRPr="00D11683">
        <w:rPr>
          <w:rFonts w:ascii="Calibri" w:hAnsi="Calibri" w:cs="Calibri"/>
          <w:color w:val="222222"/>
          <w:shd w:val="clear" w:color="auto" w:fill="FFFFFF"/>
        </w:rPr>
        <w:t>, injuryprev-2018.</w:t>
      </w:r>
      <w:r w:rsidR="00F72764" w:rsidRPr="00D11683">
        <w:rPr>
          <w:rFonts w:ascii="Calibri" w:hAnsi="Calibri" w:cs="Calibri"/>
        </w:rPr>
        <w:t xml:space="preserve"> </w:t>
      </w:r>
    </w:p>
    <w:p w14:paraId="3105F4BE" w14:textId="03D59440" w:rsidR="00D11683" w:rsidRPr="00D11683" w:rsidRDefault="00D11683" w:rsidP="00D1168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val="en-US"/>
        </w:rPr>
      </w:pPr>
      <w:r w:rsidRPr="00D11683">
        <w:rPr>
          <w:rFonts w:ascii="Calibri" w:eastAsia="Times New Roman" w:hAnsi="Calibri" w:cs="Calibri"/>
          <w:color w:val="222222"/>
          <w:shd w:val="clear" w:color="auto" w:fill="FFFFFF"/>
          <w:lang w:val="en-US"/>
        </w:rPr>
        <w:t>Pilkington, P., Bornioli, A., Bray, I., &amp; Bird, E. (2018). The Bristol twenty miles per hour limit evaluation (BRITE) study. University of the West of England, Bristol.</w:t>
      </w:r>
    </w:p>
    <w:p w14:paraId="78F456E7" w14:textId="5073E10C" w:rsidR="00D11683" w:rsidRPr="00D11683" w:rsidRDefault="00D11683" w:rsidP="00D11683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333333"/>
          <w:lang w:eastAsia="en-GB"/>
        </w:rPr>
      </w:pPr>
      <w:r w:rsidRPr="00D11683">
        <w:rPr>
          <w:rFonts w:ascii="Calibri" w:eastAsia="Times New Roman" w:hAnsi="Calibri" w:cs="Calibri"/>
          <w:color w:val="333333"/>
          <w:lang w:eastAsia="en-GB"/>
        </w:rPr>
        <w:t>Fridman L, Rothman L, Hagel B</w:t>
      </w:r>
      <w:r w:rsidRPr="00D11683">
        <w:rPr>
          <w:rFonts w:ascii="Calibri" w:eastAsia="Times New Roman" w:hAnsi="Calibri" w:cs="Calibri"/>
          <w:i/>
          <w:iCs/>
          <w:color w:val="333333"/>
          <w:lang w:eastAsia="en-GB"/>
        </w:rPr>
        <w:t xml:space="preserve">, et al. </w:t>
      </w:r>
      <w:r w:rsidRPr="00DF31F4">
        <w:rPr>
          <w:rFonts w:ascii="Calibri" w:eastAsia="Times New Roman" w:hAnsi="Calibri" w:cs="Calibri"/>
          <w:iCs/>
          <w:color w:val="333333"/>
          <w:lang w:eastAsia="en-GB"/>
        </w:rPr>
        <w:t>(2018)</w:t>
      </w:r>
      <w:r w:rsidR="00DF31F4">
        <w:rPr>
          <w:rFonts w:ascii="Calibri" w:eastAsia="Times New Roman" w:hAnsi="Calibri" w:cs="Calibri"/>
          <w:iCs/>
          <w:color w:val="333333"/>
          <w:lang w:eastAsia="en-GB"/>
        </w:rPr>
        <w:t>.</w:t>
      </w:r>
      <w:r w:rsidRPr="00D11683">
        <w:rPr>
          <w:rFonts w:ascii="Calibri" w:eastAsia="Times New Roman" w:hAnsi="Calibri" w:cs="Calibri"/>
          <w:i/>
          <w:iCs/>
          <w:color w:val="333333"/>
          <w:lang w:eastAsia="en-GB"/>
        </w:rPr>
        <w:t xml:space="preserve"> </w:t>
      </w:r>
      <w:r w:rsidRPr="00D11683">
        <w:rPr>
          <w:rFonts w:ascii="Calibri" w:eastAsia="Times New Roman" w:hAnsi="Calibri" w:cs="Calibri"/>
          <w:color w:val="333333"/>
          <w:lang w:eastAsia="en-GB"/>
        </w:rPr>
        <w:t xml:space="preserve">The effect of lowering residential speed limits to 30 km/h on child pedestrian injuries in Toronto, Canada. </w:t>
      </w:r>
      <w:r w:rsidRPr="00D11683">
        <w:rPr>
          <w:rFonts w:ascii="Calibri" w:eastAsia="Times New Roman" w:hAnsi="Calibri" w:cs="Calibri"/>
          <w:i/>
          <w:color w:val="333333"/>
          <w:lang w:eastAsia="en-GB"/>
        </w:rPr>
        <w:t>Injury Prevention</w:t>
      </w:r>
      <w:r w:rsidRPr="00D11683">
        <w:rPr>
          <w:rFonts w:ascii="Calibri" w:eastAsia="Times New Roman" w:hAnsi="Calibri" w:cs="Calibri"/>
          <w:color w:val="333333"/>
          <w:lang w:eastAsia="en-GB"/>
        </w:rPr>
        <w:t xml:space="preserve"> 2018;24:A61.</w:t>
      </w:r>
    </w:p>
    <w:p w14:paraId="239E1562" w14:textId="59F20071" w:rsidR="00D11683" w:rsidRPr="00D11683" w:rsidRDefault="00D11683" w:rsidP="00D11683">
      <w:pPr>
        <w:pStyle w:val="Default"/>
        <w:numPr>
          <w:ilvl w:val="0"/>
          <w:numId w:val="7"/>
        </w:numPr>
        <w:spacing w:after="120"/>
        <w:rPr>
          <w:rFonts w:ascii="Calibri" w:hAnsi="Calibri" w:cs="Calibri"/>
          <w:sz w:val="22"/>
          <w:szCs w:val="22"/>
        </w:rPr>
      </w:pPr>
      <w:r w:rsidRPr="00D11683">
        <w:rPr>
          <w:rFonts w:ascii="Calibri" w:hAnsi="Calibri" w:cs="Calibri"/>
          <w:sz w:val="22"/>
          <w:szCs w:val="22"/>
        </w:rPr>
        <w:t>World Health Organisation (2018)</w:t>
      </w:r>
      <w:r w:rsidR="00DF31F4">
        <w:rPr>
          <w:rFonts w:ascii="Calibri" w:hAnsi="Calibri" w:cs="Calibri"/>
          <w:sz w:val="22"/>
          <w:szCs w:val="22"/>
        </w:rPr>
        <w:t>.</w:t>
      </w:r>
      <w:r w:rsidRPr="00D11683">
        <w:rPr>
          <w:rFonts w:ascii="Calibri" w:hAnsi="Calibri" w:cs="Calibri"/>
          <w:sz w:val="22"/>
          <w:szCs w:val="22"/>
        </w:rPr>
        <w:t xml:space="preserve"> </w:t>
      </w:r>
      <w:r w:rsidRPr="00D11683">
        <w:rPr>
          <w:rFonts w:ascii="Calibri" w:eastAsiaTheme="majorEastAsia" w:hAnsi="Calibri" w:cs="Calibri"/>
          <w:i/>
          <w:sz w:val="22"/>
          <w:szCs w:val="22"/>
        </w:rPr>
        <w:t>Global</w:t>
      </w:r>
      <w:r w:rsidRPr="00D11683">
        <w:rPr>
          <w:rFonts w:ascii="Calibri" w:hAnsi="Calibri" w:cs="Calibri"/>
          <w:i/>
          <w:sz w:val="22"/>
          <w:szCs w:val="22"/>
        </w:rPr>
        <w:t> status report on road safety </w:t>
      </w:r>
      <w:r w:rsidRPr="00D11683">
        <w:rPr>
          <w:rFonts w:ascii="Calibri" w:eastAsiaTheme="majorEastAsia" w:hAnsi="Calibri" w:cs="Calibri"/>
          <w:i/>
          <w:sz w:val="22"/>
          <w:szCs w:val="22"/>
        </w:rPr>
        <w:t>2018</w:t>
      </w:r>
      <w:r w:rsidRPr="00D11683">
        <w:rPr>
          <w:rFonts w:ascii="Calibri" w:eastAsiaTheme="majorEastAsia" w:hAnsi="Calibri" w:cs="Calibri"/>
          <w:sz w:val="22"/>
          <w:szCs w:val="22"/>
        </w:rPr>
        <w:t xml:space="preserve">. </w:t>
      </w:r>
      <w:r w:rsidRPr="00D11683">
        <w:rPr>
          <w:rFonts w:ascii="Calibri" w:hAnsi="Calibri" w:cs="Calibri"/>
          <w:sz w:val="22"/>
          <w:szCs w:val="22"/>
        </w:rPr>
        <w:t>World Health Organisation</w:t>
      </w:r>
    </w:p>
    <w:p w14:paraId="098B29AB" w14:textId="00470C49" w:rsidR="00D11683" w:rsidRPr="00D11683" w:rsidRDefault="00D11683" w:rsidP="00D11683">
      <w:pPr>
        <w:pStyle w:val="ListParagraph"/>
        <w:numPr>
          <w:ilvl w:val="0"/>
          <w:numId w:val="7"/>
        </w:numPr>
        <w:spacing w:after="120" w:line="240" w:lineRule="auto"/>
        <w:rPr>
          <w:rFonts w:ascii="Calibri" w:hAnsi="Calibri" w:cs="Calibri"/>
          <w:color w:val="222222"/>
          <w:shd w:val="clear" w:color="auto" w:fill="FFFFFF"/>
        </w:rPr>
      </w:pPr>
      <w:r w:rsidRPr="00D11683">
        <w:rPr>
          <w:rFonts w:ascii="Calibri" w:hAnsi="Calibri" w:cs="Calibri"/>
          <w:color w:val="222222"/>
          <w:shd w:val="clear" w:color="auto" w:fill="FFFFFF"/>
        </w:rPr>
        <w:t>Elvik, R.</w:t>
      </w:r>
      <w:r w:rsidR="00DF31F4">
        <w:rPr>
          <w:rFonts w:ascii="Calibri" w:hAnsi="Calibri" w:cs="Calibri"/>
          <w:color w:val="222222"/>
          <w:shd w:val="clear" w:color="auto" w:fill="FFFFFF"/>
        </w:rPr>
        <w:t xml:space="preserve"> (</w:t>
      </w:r>
      <w:r w:rsidRPr="00D11683">
        <w:rPr>
          <w:rFonts w:ascii="Calibri" w:hAnsi="Calibri" w:cs="Calibri"/>
          <w:color w:val="222222"/>
          <w:shd w:val="clear" w:color="auto" w:fill="FFFFFF"/>
        </w:rPr>
        <w:t>2005</w:t>
      </w:r>
      <w:r w:rsidR="00DF31F4">
        <w:rPr>
          <w:rFonts w:ascii="Calibri" w:hAnsi="Calibri" w:cs="Calibri"/>
          <w:color w:val="222222"/>
          <w:shd w:val="clear" w:color="auto" w:fill="FFFFFF"/>
        </w:rPr>
        <w:t>)</w:t>
      </w:r>
      <w:r w:rsidRPr="00D11683">
        <w:rPr>
          <w:rFonts w:ascii="Calibri" w:hAnsi="Calibri" w:cs="Calibri"/>
          <w:color w:val="222222"/>
          <w:shd w:val="clear" w:color="auto" w:fill="FFFFFF"/>
        </w:rPr>
        <w:t>. Speed and road safety: synthesis of evidence from evaluation studies. </w:t>
      </w:r>
      <w:r w:rsidRPr="00D11683">
        <w:rPr>
          <w:rFonts w:ascii="Calibri" w:hAnsi="Calibri" w:cs="Calibri"/>
          <w:i/>
          <w:iCs/>
          <w:color w:val="222222"/>
          <w:shd w:val="clear" w:color="auto" w:fill="FFFFFF"/>
        </w:rPr>
        <w:t>Transportation Research Record: Journal of the Transportation Research Board</w:t>
      </w:r>
      <w:r w:rsidRPr="00D11683">
        <w:rPr>
          <w:rFonts w:ascii="Calibri" w:hAnsi="Calibri" w:cs="Calibri"/>
          <w:color w:val="222222"/>
          <w:shd w:val="clear" w:color="auto" w:fill="FFFFFF"/>
        </w:rPr>
        <w:t>, (1908), pp.59-69.</w:t>
      </w:r>
    </w:p>
    <w:p w14:paraId="3B88889A" w14:textId="77777777" w:rsidR="00D11683" w:rsidRPr="00D11683" w:rsidRDefault="00D11683" w:rsidP="00D1168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val="it-IT"/>
        </w:rPr>
      </w:pPr>
      <w:r w:rsidRPr="00D11683">
        <w:rPr>
          <w:rFonts w:ascii="Calibri" w:eastAsia="Times New Roman" w:hAnsi="Calibri" w:cs="Calibri"/>
          <w:color w:val="222222"/>
          <w:shd w:val="clear" w:color="auto" w:fill="FFFFFF"/>
          <w:lang w:val="en-US"/>
        </w:rPr>
        <w:t>Rosen, E., Stigson, H., &amp; Sander, U. (2011). Literature review of pedestrian fatality risk as a function of car impact speed. </w:t>
      </w:r>
      <w:r w:rsidRPr="00D11683">
        <w:rPr>
          <w:rFonts w:ascii="Calibri" w:eastAsia="Times New Roman" w:hAnsi="Calibri" w:cs="Calibri"/>
          <w:i/>
          <w:iCs/>
          <w:color w:val="222222"/>
          <w:shd w:val="clear" w:color="auto" w:fill="FFFFFF"/>
          <w:lang w:val="it-IT"/>
        </w:rPr>
        <w:t>Accident Analysis &amp; Prevention</w:t>
      </w:r>
      <w:r w:rsidRPr="00D11683">
        <w:rPr>
          <w:rFonts w:ascii="Calibri" w:eastAsia="Times New Roman" w:hAnsi="Calibri" w:cs="Calibri"/>
          <w:color w:val="222222"/>
          <w:shd w:val="clear" w:color="auto" w:fill="FFFFFF"/>
          <w:lang w:val="it-IT"/>
        </w:rPr>
        <w:t>, </w:t>
      </w:r>
      <w:r w:rsidRPr="00D11683">
        <w:rPr>
          <w:rFonts w:ascii="Calibri" w:eastAsia="Times New Roman" w:hAnsi="Calibri" w:cs="Calibri"/>
          <w:i/>
          <w:iCs/>
          <w:color w:val="222222"/>
          <w:shd w:val="clear" w:color="auto" w:fill="FFFFFF"/>
          <w:lang w:val="it-IT"/>
        </w:rPr>
        <w:t>43</w:t>
      </w:r>
      <w:r w:rsidRPr="00D11683">
        <w:rPr>
          <w:rFonts w:ascii="Calibri" w:eastAsia="Times New Roman" w:hAnsi="Calibri" w:cs="Calibri"/>
          <w:color w:val="222222"/>
          <w:shd w:val="clear" w:color="auto" w:fill="FFFFFF"/>
          <w:lang w:val="it-IT"/>
        </w:rPr>
        <w:t>(1), 25-33.</w:t>
      </w:r>
    </w:p>
    <w:p w14:paraId="6570A117" w14:textId="00842A3F" w:rsidR="00D11683" w:rsidRPr="00D11683" w:rsidRDefault="00D11683" w:rsidP="00D11683">
      <w:pPr>
        <w:pStyle w:val="Default"/>
        <w:numPr>
          <w:ilvl w:val="0"/>
          <w:numId w:val="7"/>
        </w:numPr>
        <w:spacing w:after="12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D1168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Grundy, C., Steinbach, R., Edwards, P., Green, J., Armstrong, B. and Wilkinson, P. </w:t>
      </w:r>
      <w:r w:rsidR="00DF31F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(</w:t>
      </w:r>
      <w:r w:rsidRPr="00D1168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2009</w:t>
      </w:r>
      <w:r w:rsidR="00DF31F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)</w:t>
      </w:r>
      <w:r w:rsidRPr="00D1168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 Effect of 20 mph traffic speed zones on road injuries in London, 1986-2006: controlled interrupted time series analysis. </w:t>
      </w:r>
      <w:r w:rsidRPr="00D11683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Bmj</w:t>
      </w:r>
      <w:r w:rsidRPr="00D1168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 </w:t>
      </w:r>
      <w:r w:rsidRPr="00D11683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339</w:t>
      </w:r>
      <w:r w:rsidRPr="00D1168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362F9504" w14:textId="4430E751" w:rsidR="00D11683" w:rsidRPr="00D11683" w:rsidRDefault="00D11683" w:rsidP="00D11683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Calibri" w:hAnsi="Calibri" w:cs="Calibri"/>
        </w:rPr>
      </w:pPr>
      <w:r w:rsidRPr="00D11683">
        <w:rPr>
          <w:rFonts w:ascii="Calibri" w:hAnsi="Calibri" w:cs="Calibri"/>
        </w:rPr>
        <w:t>Department of Transport (2018)</w:t>
      </w:r>
      <w:r w:rsidR="00DF31F4">
        <w:rPr>
          <w:rFonts w:ascii="Calibri" w:hAnsi="Calibri" w:cs="Calibri"/>
        </w:rPr>
        <w:t>.</w:t>
      </w:r>
      <w:r w:rsidRPr="00D11683">
        <w:rPr>
          <w:rFonts w:ascii="Calibri" w:hAnsi="Calibri" w:cs="Calibri"/>
        </w:rPr>
        <w:t xml:space="preserve"> 20</w:t>
      </w:r>
      <w:r w:rsidRPr="00D11683">
        <w:rPr>
          <w:rFonts w:ascii="Calibri" w:hAnsi="Calibri" w:cs="Calibri"/>
          <w:i/>
        </w:rPr>
        <w:t>mph Research Study Report: Process and Impact Evaluation Technical Report.</w:t>
      </w:r>
      <w:r w:rsidRPr="00D11683">
        <w:rPr>
          <w:rFonts w:ascii="Calibri" w:hAnsi="Calibri" w:cs="Calibri"/>
        </w:rPr>
        <w:t xml:space="preserve"> November 2018, DfT.</w:t>
      </w:r>
    </w:p>
    <w:p w14:paraId="5C6D19BA" w14:textId="77777777" w:rsidR="00D11683" w:rsidRPr="00D11683" w:rsidRDefault="00D11683" w:rsidP="00D11683">
      <w:pPr>
        <w:pStyle w:val="Default"/>
        <w:numPr>
          <w:ilvl w:val="0"/>
          <w:numId w:val="7"/>
        </w:numPr>
        <w:spacing w:after="120"/>
        <w:rPr>
          <w:rFonts w:ascii="Calibri" w:hAnsi="Calibri" w:cs="Calibri"/>
          <w:sz w:val="22"/>
          <w:szCs w:val="22"/>
        </w:rPr>
      </w:pPr>
      <w:r w:rsidRPr="00D11683">
        <w:rPr>
          <w:rFonts w:ascii="Calibri" w:hAnsi="Calibri" w:cs="Calibri"/>
          <w:sz w:val="22"/>
          <w:szCs w:val="22"/>
        </w:rPr>
        <w:t xml:space="preserve">Bristol City Council (2012). </w:t>
      </w:r>
      <w:r w:rsidRPr="00D11683">
        <w:rPr>
          <w:rFonts w:ascii="Calibri" w:hAnsi="Calibri" w:cs="Calibri"/>
          <w:i/>
          <w:sz w:val="22"/>
          <w:szCs w:val="22"/>
        </w:rPr>
        <w:t>20mph Speed Limit Pilot Areas: Monitoring Report. 2012</w:t>
      </w:r>
      <w:r w:rsidRPr="00D11683">
        <w:rPr>
          <w:rFonts w:ascii="Calibri" w:hAnsi="Calibri" w:cs="Calibri"/>
          <w:sz w:val="22"/>
          <w:szCs w:val="22"/>
        </w:rPr>
        <w:t xml:space="preserve">. Bristol City Council. </w:t>
      </w:r>
    </w:p>
    <w:p w14:paraId="4D0A152F" w14:textId="77777777" w:rsidR="00D11683" w:rsidRPr="00D11683" w:rsidRDefault="00D11683" w:rsidP="00D1168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val="it-IT"/>
        </w:rPr>
      </w:pPr>
      <w:r w:rsidRPr="00D11683">
        <w:rPr>
          <w:rFonts w:ascii="Calibri" w:eastAsia="Times New Roman" w:hAnsi="Calibri" w:cs="Calibri"/>
          <w:color w:val="222222"/>
          <w:shd w:val="clear" w:color="auto" w:fill="FFFFFF"/>
          <w:lang w:val="en-US"/>
        </w:rPr>
        <w:lastRenderedPageBreak/>
        <w:t>Bornioli, A., Bray, I., Pilkington, P., &amp; Bird, E. L. (2018). The effectiveness of a 20 mph speed limit intervention on vehicle speeds in Bristol, UK: A non-randomised stepped wedge design. </w:t>
      </w:r>
      <w:r w:rsidRPr="00D11683">
        <w:rPr>
          <w:rFonts w:ascii="Calibri" w:eastAsia="Times New Roman" w:hAnsi="Calibri" w:cs="Calibri"/>
          <w:i/>
          <w:iCs/>
          <w:color w:val="222222"/>
          <w:shd w:val="clear" w:color="auto" w:fill="FFFFFF"/>
          <w:lang w:val="it-IT"/>
        </w:rPr>
        <w:t>Journal of Transport &amp; Health</w:t>
      </w:r>
      <w:r w:rsidRPr="00D11683">
        <w:rPr>
          <w:rFonts w:ascii="Calibri" w:eastAsia="Times New Roman" w:hAnsi="Calibri" w:cs="Calibri"/>
          <w:color w:val="222222"/>
          <w:shd w:val="clear" w:color="auto" w:fill="FFFFFF"/>
          <w:lang w:val="it-IT"/>
        </w:rPr>
        <w:t>, </w:t>
      </w:r>
      <w:r w:rsidRPr="00D11683">
        <w:rPr>
          <w:rFonts w:ascii="Calibri" w:eastAsia="Times New Roman" w:hAnsi="Calibri" w:cs="Calibri"/>
          <w:i/>
          <w:iCs/>
          <w:color w:val="222222"/>
          <w:shd w:val="clear" w:color="auto" w:fill="FFFFFF"/>
          <w:lang w:val="it-IT"/>
        </w:rPr>
        <w:t>11</w:t>
      </w:r>
      <w:r w:rsidRPr="00D11683">
        <w:rPr>
          <w:rFonts w:ascii="Calibri" w:eastAsia="Times New Roman" w:hAnsi="Calibri" w:cs="Calibri"/>
          <w:color w:val="222222"/>
          <w:shd w:val="clear" w:color="auto" w:fill="FFFFFF"/>
          <w:lang w:val="it-IT"/>
        </w:rPr>
        <w:t>, 47-55.</w:t>
      </w:r>
    </w:p>
    <w:p w14:paraId="6C6DE8FF" w14:textId="77777777" w:rsidR="00D11683" w:rsidRPr="00D11683" w:rsidRDefault="00D11683" w:rsidP="00D11683">
      <w:pPr>
        <w:pStyle w:val="ListParagraph"/>
        <w:numPr>
          <w:ilvl w:val="0"/>
          <w:numId w:val="7"/>
        </w:numPr>
        <w:spacing w:after="120" w:line="240" w:lineRule="auto"/>
        <w:rPr>
          <w:rFonts w:ascii="Calibri" w:eastAsia="Times New Roman" w:hAnsi="Calibri" w:cs="Calibri"/>
        </w:rPr>
      </w:pPr>
      <w:r w:rsidRPr="00D11683">
        <w:rPr>
          <w:rFonts w:ascii="Calibri" w:eastAsia="Times New Roman" w:hAnsi="Calibri" w:cs="Calibri"/>
          <w:color w:val="222222"/>
          <w:shd w:val="clear" w:color="auto" w:fill="FFFFFF"/>
        </w:rPr>
        <w:t>Hemming, K., Haines, T. P., Chilton, P. J., Girling, A. J., &amp; Lilford, R. J. (2015). The stepped wedge cluster randomised trial: rationale, design, analysis, and reporting. </w:t>
      </w:r>
      <w:r w:rsidRPr="00D11683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Bmj</w:t>
      </w:r>
      <w:r w:rsidRPr="00D11683">
        <w:rPr>
          <w:rFonts w:ascii="Calibri" w:eastAsia="Times New Roman" w:hAnsi="Calibri" w:cs="Calibri"/>
          <w:color w:val="222222"/>
          <w:shd w:val="clear" w:color="auto" w:fill="FFFFFF"/>
        </w:rPr>
        <w:t>, </w:t>
      </w:r>
      <w:r w:rsidRPr="00D11683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350</w:t>
      </w:r>
      <w:r w:rsidRPr="00D11683">
        <w:rPr>
          <w:rFonts w:ascii="Calibri" w:eastAsia="Times New Roman" w:hAnsi="Calibri" w:cs="Calibri"/>
          <w:color w:val="222222"/>
          <w:shd w:val="clear" w:color="auto" w:fill="FFFFFF"/>
        </w:rPr>
        <w:t>, h391.</w:t>
      </w:r>
    </w:p>
    <w:p w14:paraId="2E61722A" w14:textId="7165FF6F" w:rsidR="00D11683" w:rsidRPr="00D11683" w:rsidRDefault="00D11683" w:rsidP="00D11683">
      <w:pPr>
        <w:pStyle w:val="Default"/>
        <w:numPr>
          <w:ilvl w:val="0"/>
          <w:numId w:val="7"/>
        </w:numPr>
        <w:spacing w:after="120"/>
        <w:rPr>
          <w:rFonts w:ascii="Calibri" w:hAnsi="Calibri" w:cs="Calibri"/>
          <w:sz w:val="22"/>
          <w:szCs w:val="22"/>
        </w:rPr>
      </w:pPr>
      <w:r w:rsidRPr="00D1168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Hussey, M.A. and Hughes, J.P. </w:t>
      </w:r>
      <w:r w:rsidR="00DF31F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(</w:t>
      </w:r>
      <w:r w:rsidRPr="00D1168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2007</w:t>
      </w:r>
      <w:r w:rsidR="00DF31F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)</w:t>
      </w:r>
      <w:r w:rsidRPr="00D1168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 Design and analysis of stepped wedge cluster randomized trials. </w:t>
      </w:r>
      <w:r w:rsidRPr="00D11683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Contemporary clinical trials</w:t>
      </w:r>
      <w:r w:rsidRPr="00D1168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 </w:t>
      </w:r>
      <w:r w:rsidRPr="00D11683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28</w:t>
      </w:r>
      <w:r w:rsidRPr="00D1168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(2), pp.182-191.</w:t>
      </w:r>
    </w:p>
    <w:p w14:paraId="2F47C62D" w14:textId="5650DC5D" w:rsidR="00D11683" w:rsidRPr="00D11683" w:rsidRDefault="00D11683" w:rsidP="00D11683">
      <w:pPr>
        <w:pStyle w:val="Default"/>
        <w:numPr>
          <w:ilvl w:val="0"/>
          <w:numId w:val="7"/>
        </w:numPr>
        <w:spacing w:after="12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D1168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Hauer, E. </w:t>
      </w:r>
      <w:r w:rsidR="00DF31F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(</w:t>
      </w:r>
      <w:r w:rsidRPr="00D1168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1997</w:t>
      </w:r>
      <w:r w:rsidR="00DF31F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)</w:t>
      </w:r>
      <w:r w:rsidRPr="00D1168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 </w:t>
      </w:r>
      <w:r w:rsidRPr="00D11683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Observational before/after studies in road safety. Estimating the effect of highway and traffic engineering measures on road safety</w:t>
      </w:r>
      <w:r w:rsidRPr="00D1168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 Emerald Group Publishing Limited.</w:t>
      </w:r>
    </w:p>
    <w:p w14:paraId="7DFE64E2" w14:textId="170CA2A8" w:rsidR="0082265B" w:rsidRPr="00D11683" w:rsidRDefault="0082265B" w:rsidP="00D11683">
      <w:pPr>
        <w:pStyle w:val="Default"/>
        <w:numPr>
          <w:ilvl w:val="0"/>
          <w:numId w:val="7"/>
        </w:numPr>
        <w:spacing w:after="12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D11683">
        <w:rPr>
          <w:rFonts w:ascii="Calibri" w:hAnsi="Calibri" w:cs="Calibri"/>
          <w:sz w:val="22"/>
          <w:szCs w:val="22"/>
        </w:rPr>
        <w:t>Department for Transport (2017)</w:t>
      </w:r>
      <w:r w:rsidR="00DF31F4">
        <w:rPr>
          <w:rFonts w:ascii="Calibri" w:hAnsi="Calibri" w:cs="Calibri"/>
          <w:sz w:val="22"/>
          <w:szCs w:val="22"/>
        </w:rPr>
        <w:t>.</w:t>
      </w:r>
      <w:r w:rsidRPr="00D11683">
        <w:rPr>
          <w:rFonts w:ascii="Calibri" w:hAnsi="Calibri" w:cs="Calibri"/>
          <w:sz w:val="22"/>
          <w:szCs w:val="22"/>
        </w:rPr>
        <w:t xml:space="preserve"> </w:t>
      </w:r>
      <w:r w:rsidRPr="00D11683">
        <w:rPr>
          <w:rFonts w:ascii="Calibri" w:hAnsi="Calibri" w:cs="Calibri"/>
          <w:i/>
          <w:sz w:val="22"/>
          <w:szCs w:val="22"/>
        </w:rPr>
        <w:t xml:space="preserve">Reported road casualties Great Britain, Annual Report: 2017. </w:t>
      </w:r>
      <w:r w:rsidRPr="00D11683">
        <w:rPr>
          <w:rFonts w:ascii="Calibri" w:hAnsi="Calibri" w:cs="Calibri"/>
          <w:sz w:val="22"/>
          <w:szCs w:val="22"/>
        </w:rPr>
        <w:t>DfT.</w:t>
      </w:r>
    </w:p>
    <w:p w14:paraId="7DFE64EC" w14:textId="77777777" w:rsidR="0082265B" w:rsidRDefault="0082265B" w:rsidP="00806069"/>
    <w:p w14:paraId="7DFE64ED" w14:textId="77777777" w:rsidR="006D7AE6" w:rsidRPr="006D7AE6" w:rsidRDefault="006D7AE6" w:rsidP="006D7AE6"/>
    <w:sectPr w:rsidR="006D7AE6" w:rsidRPr="006D7AE6" w:rsidSect="005F5E3F">
      <w:pgSz w:w="11906" w:h="16838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GAGCB+Arial,Bold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67F"/>
    <w:multiLevelType w:val="hybridMultilevel"/>
    <w:tmpl w:val="34B8D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970BC"/>
    <w:multiLevelType w:val="multilevel"/>
    <w:tmpl w:val="40A2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EA345D"/>
    <w:multiLevelType w:val="hybridMultilevel"/>
    <w:tmpl w:val="313079B8"/>
    <w:lvl w:ilvl="0" w:tplc="5E764B90">
      <w:numFmt w:val="bullet"/>
      <w:lvlText w:val="-"/>
      <w:lvlJc w:val="left"/>
      <w:pPr>
        <w:ind w:left="720" w:hanging="360"/>
      </w:pPr>
      <w:rPr>
        <w:rFonts w:ascii="inherit" w:eastAsiaTheme="minorHAnsi" w:hAnsi="inherit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91EB0"/>
    <w:multiLevelType w:val="hybridMultilevel"/>
    <w:tmpl w:val="D4D21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D7D73"/>
    <w:multiLevelType w:val="hybridMultilevel"/>
    <w:tmpl w:val="093C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F1115"/>
    <w:multiLevelType w:val="hybridMultilevel"/>
    <w:tmpl w:val="B62648F6"/>
    <w:lvl w:ilvl="0" w:tplc="5EF699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E1961"/>
    <w:multiLevelType w:val="multilevel"/>
    <w:tmpl w:val="B90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79"/>
    <w:rsid w:val="00015BA9"/>
    <w:rsid w:val="000161A7"/>
    <w:rsid w:val="0004678D"/>
    <w:rsid w:val="0007216C"/>
    <w:rsid w:val="00077A24"/>
    <w:rsid w:val="000B5875"/>
    <w:rsid w:val="000B7157"/>
    <w:rsid w:val="000F6EC2"/>
    <w:rsid w:val="00106904"/>
    <w:rsid w:val="0011440B"/>
    <w:rsid w:val="00134185"/>
    <w:rsid w:val="001361D3"/>
    <w:rsid w:val="001503B4"/>
    <w:rsid w:val="001610A2"/>
    <w:rsid w:val="0017232A"/>
    <w:rsid w:val="001776A4"/>
    <w:rsid w:val="00185AED"/>
    <w:rsid w:val="001A19C8"/>
    <w:rsid w:val="001A1A76"/>
    <w:rsid w:val="001A6007"/>
    <w:rsid w:val="001B1F46"/>
    <w:rsid w:val="001B29EF"/>
    <w:rsid w:val="001C5D4A"/>
    <w:rsid w:val="001D2AFD"/>
    <w:rsid w:val="001D4552"/>
    <w:rsid w:val="002125A4"/>
    <w:rsid w:val="00216DE6"/>
    <w:rsid w:val="0022311E"/>
    <w:rsid w:val="00223E39"/>
    <w:rsid w:val="00224468"/>
    <w:rsid w:val="00227D1F"/>
    <w:rsid w:val="002454CC"/>
    <w:rsid w:val="002504E7"/>
    <w:rsid w:val="00264F56"/>
    <w:rsid w:val="00284C85"/>
    <w:rsid w:val="002C3743"/>
    <w:rsid w:val="002E004E"/>
    <w:rsid w:val="002E4247"/>
    <w:rsid w:val="002F5167"/>
    <w:rsid w:val="00301BBD"/>
    <w:rsid w:val="00305528"/>
    <w:rsid w:val="003540C0"/>
    <w:rsid w:val="00354583"/>
    <w:rsid w:val="0037159C"/>
    <w:rsid w:val="00385AD3"/>
    <w:rsid w:val="003869DA"/>
    <w:rsid w:val="00396DDE"/>
    <w:rsid w:val="003A62A7"/>
    <w:rsid w:val="003C32BD"/>
    <w:rsid w:val="003C3665"/>
    <w:rsid w:val="003C69CB"/>
    <w:rsid w:val="003C7A2F"/>
    <w:rsid w:val="003E3186"/>
    <w:rsid w:val="003E735A"/>
    <w:rsid w:val="00404E57"/>
    <w:rsid w:val="00433FB8"/>
    <w:rsid w:val="004813A3"/>
    <w:rsid w:val="004A78A1"/>
    <w:rsid w:val="004E7E86"/>
    <w:rsid w:val="004F23D6"/>
    <w:rsid w:val="00523640"/>
    <w:rsid w:val="005274BB"/>
    <w:rsid w:val="0055000C"/>
    <w:rsid w:val="00574D9F"/>
    <w:rsid w:val="00576840"/>
    <w:rsid w:val="005B4EFE"/>
    <w:rsid w:val="005C60C9"/>
    <w:rsid w:val="005D2294"/>
    <w:rsid w:val="005E793A"/>
    <w:rsid w:val="005E7CC8"/>
    <w:rsid w:val="005F5E3F"/>
    <w:rsid w:val="006026CC"/>
    <w:rsid w:val="0060343F"/>
    <w:rsid w:val="00614315"/>
    <w:rsid w:val="006153C9"/>
    <w:rsid w:val="00635A04"/>
    <w:rsid w:val="00661FF0"/>
    <w:rsid w:val="00666E48"/>
    <w:rsid w:val="00675339"/>
    <w:rsid w:val="00693CB2"/>
    <w:rsid w:val="00694B19"/>
    <w:rsid w:val="006B1531"/>
    <w:rsid w:val="006C06CB"/>
    <w:rsid w:val="006C2DB7"/>
    <w:rsid w:val="006D4618"/>
    <w:rsid w:val="006D5246"/>
    <w:rsid w:val="006D6C25"/>
    <w:rsid w:val="006D7AE6"/>
    <w:rsid w:val="006E5196"/>
    <w:rsid w:val="006F2317"/>
    <w:rsid w:val="00711380"/>
    <w:rsid w:val="00712E0E"/>
    <w:rsid w:val="007161BC"/>
    <w:rsid w:val="00716F6A"/>
    <w:rsid w:val="0074518A"/>
    <w:rsid w:val="00755D48"/>
    <w:rsid w:val="00764538"/>
    <w:rsid w:val="007770ED"/>
    <w:rsid w:val="00791835"/>
    <w:rsid w:val="0079233F"/>
    <w:rsid w:val="00797BC4"/>
    <w:rsid w:val="007A0871"/>
    <w:rsid w:val="007B7C77"/>
    <w:rsid w:val="007C1E86"/>
    <w:rsid w:val="007C791C"/>
    <w:rsid w:val="007D05B2"/>
    <w:rsid w:val="007E46C8"/>
    <w:rsid w:val="007E6634"/>
    <w:rsid w:val="00806069"/>
    <w:rsid w:val="00806A4B"/>
    <w:rsid w:val="00807629"/>
    <w:rsid w:val="00813750"/>
    <w:rsid w:val="00820599"/>
    <w:rsid w:val="0082265B"/>
    <w:rsid w:val="00834943"/>
    <w:rsid w:val="00837545"/>
    <w:rsid w:val="0084126F"/>
    <w:rsid w:val="008540AD"/>
    <w:rsid w:val="00856DB7"/>
    <w:rsid w:val="00882EA3"/>
    <w:rsid w:val="00894040"/>
    <w:rsid w:val="008A0272"/>
    <w:rsid w:val="008A0A9E"/>
    <w:rsid w:val="008A1C3F"/>
    <w:rsid w:val="008A44FC"/>
    <w:rsid w:val="008A6723"/>
    <w:rsid w:val="008C247C"/>
    <w:rsid w:val="008C29A9"/>
    <w:rsid w:val="008D34D5"/>
    <w:rsid w:val="008D7BA7"/>
    <w:rsid w:val="008E09F4"/>
    <w:rsid w:val="008F08E9"/>
    <w:rsid w:val="008F2D4B"/>
    <w:rsid w:val="008F4AC4"/>
    <w:rsid w:val="0090197C"/>
    <w:rsid w:val="00907B74"/>
    <w:rsid w:val="00907F79"/>
    <w:rsid w:val="0091599B"/>
    <w:rsid w:val="00924545"/>
    <w:rsid w:val="00932893"/>
    <w:rsid w:val="00934D96"/>
    <w:rsid w:val="00943F34"/>
    <w:rsid w:val="009442A6"/>
    <w:rsid w:val="00952C41"/>
    <w:rsid w:val="00953350"/>
    <w:rsid w:val="0099221E"/>
    <w:rsid w:val="00992D9F"/>
    <w:rsid w:val="009953D3"/>
    <w:rsid w:val="00997609"/>
    <w:rsid w:val="00997FD1"/>
    <w:rsid w:val="009A73E6"/>
    <w:rsid w:val="009C4CD7"/>
    <w:rsid w:val="009D2402"/>
    <w:rsid w:val="009D685B"/>
    <w:rsid w:val="009D7E79"/>
    <w:rsid w:val="00A1600A"/>
    <w:rsid w:val="00A21306"/>
    <w:rsid w:val="00A224E1"/>
    <w:rsid w:val="00A34656"/>
    <w:rsid w:val="00A5500C"/>
    <w:rsid w:val="00A57481"/>
    <w:rsid w:val="00A65B62"/>
    <w:rsid w:val="00A70544"/>
    <w:rsid w:val="00A84276"/>
    <w:rsid w:val="00A870D3"/>
    <w:rsid w:val="00A90863"/>
    <w:rsid w:val="00A90ADB"/>
    <w:rsid w:val="00A93BCE"/>
    <w:rsid w:val="00AA5EF1"/>
    <w:rsid w:val="00AB1802"/>
    <w:rsid w:val="00AD7546"/>
    <w:rsid w:val="00AF5F1E"/>
    <w:rsid w:val="00AF6F09"/>
    <w:rsid w:val="00B06E07"/>
    <w:rsid w:val="00B37DCC"/>
    <w:rsid w:val="00B42920"/>
    <w:rsid w:val="00B466AE"/>
    <w:rsid w:val="00B6240B"/>
    <w:rsid w:val="00B707CE"/>
    <w:rsid w:val="00B7305F"/>
    <w:rsid w:val="00B924E3"/>
    <w:rsid w:val="00B93EDC"/>
    <w:rsid w:val="00BC4206"/>
    <w:rsid w:val="00BC5BEF"/>
    <w:rsid w:val="00BF1127"/>
    <w:rsid w:val="00C10791"/>
    <w:rsid w:val="00C16CC7"/>
    <w:rsid w:val="00C36FD5"/>
    <w:rsid w:val="00C4106D"/>
    <w:rsid w:val="00C41555"/>
    <w:rsid w:val="00C65169"/>
    <w:rsid w:val="00C73DD1"/>
    <w:rsid w:val="00C95E75"/>
    <w:rsid w:val="00CD1383"/>
    <w:rsid w:val="00CF3300"/>
    <w:rsid w:val="00CF7314"/>
    <w:rsid w:val="00D113B0"/>
    <w:rsid w:val="00D11683"/>
    <w:rsid w:val="00D3314D"/>
    <w:rsid w:val="00D3410B"/>
    <w:rsid w:val="00D354EC"/>
    <w:rsid w:val="00D465D0"/>
    <w:rsid w:val="00D476B1"/>
    <w:rsid w:val="00D75F35"/>
    <w:rsid w:val="00DA3C88"/>
    <w:rsid w:val="00DA7C1E"/>
    <w:rsid w:val="00DC5C1D"/>
    <w:rsid w:val="00DF31F4"/>
    <w:rsid w:val="00DF48E9"/>
    <w:rsid w:val="00E12CE8"/>
    <w:rsid w:val="00E14496"/>
    <w:rsid w:val="00E20215"/>
    <w:rsid w:val="00E34FE3"/>
    <w:rsid w:val="00E5421E"/>
    <w:rsid w:val="00E63E13"/>
    <w:rsid w:val="00E66D42"/>
    <w:rsid w:val="00E76C0E"/>
    <w:rsid w:val="00EB0A40"/>
    <w:rsid w:val="00EE4D56"/>
    <w:rsid w:val="00F0394A"/>
    <w:rsid w:val="00F118CA"/>
    <w:rsid w:val="00F15CB6"/>
    <w:rsid w:val="00F23798"/>
    <w:rsid w:val="00F25DEC"/>
    <w:rsid w:val="00F260D3"/>
    <w:rsid w:val="00F34D91"/>
    <w:rsid w:val="00F449D3"/>
    <w:rsid w:val="00F649B0"/>
    <w:rsid w:val="00F66C12"/>
    <w:rsid w:val="00F72764"/>
    <w:rsid w:val="00F77700"/>
    <w:rsid w:val="00F85F12"/>
    <w:rsid w:val="00FA167C"/>
    <w:rsid w:val="00FC0C30"/>
    <w:rsid w:val="00FC45A7"/>
    <w:rsid w:val="00FE5C31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E6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4FC"/>
  </w:style>
  <w:style w:type="paragraph" w:styleId="Heading1">
    <w:name w:val="heading 1"/>
    <w:basedOn w:val="Normal"/>
    <w:next w:val="Normal"/>
    <w:link w:val="Heading1Char"/>
    <w:uiPriority w:val="9"/>
    <w:qFormat/>
    <w:rsid w:val="00E54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1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9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7E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D7E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4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2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1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542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D1383"/>
    <w:rPr>
      <w:color w:val="0000FF"/>
      <w:u w:val="single"/>
    </w:rPr>
  </w:style>
  <w:style w:type="table" w:styleId="TableGrid">
    <w:name w:val="Table Grid"/>
    <w:basedOn w:val="TableNormal"/>
    <w:uiPriority w:val="39"/>
    <w:rsid w:val="0082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161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9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649B0"/>
    <w:rPr>
      <w:b/>
      <w:bCs/>
    </w:rPr>
  </w:style>
  <w:style w:type="table" w:customStyle="1" w:styleId="TableGridLight1">
    <w:name w:val="Table Grid Light1"/>
    <w:basedOn w:val="TableNormal"/>
    <w:uiPriority w:val="40"/>
    <w:rsid w:val="009019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B6240B"/>
  </w:style>
  <w:style w:type="character" w:styleId="FollowedHyperlink">
    <w:name w:val="FollowedHyperlink"/>
    <w:basedOn w:val="DefaultParagraphFont"/>
    <w:uiPriority w:val="99"/>
    <w:semiHidden/>
    <w:unhideWhenUsed/>
    <w:rsid w:val="00284C8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B29EF"/>
    <w:pPr>
      <w:spacing w:after="0" w:line="240" w:lineRule="auto"/>
    </w:pPr>
  </w:style>
  <w:style w:type="table" w:customStyle="1" w:styleId="PlainTable11">
    <w:name w:val="Plain Table 11"/>
    <w:basedOn w:val="TableNormal"/>
    <w:uiPriority w:val="99"/>
    <w:rsid w:val="006026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rsid w:val="006026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82265B"/>
    <w:pPr>
      <w:autoSpaceDE w:val="0"/>
      <w:autoSpaceDN w:val="0"/>
      <w:adjustRightInd w:val="0"/>
      <w:spacing w:after="0" w:line="240" w:lineRule="auto"/>
    </w:pPr>
    <w:rPr>
      <w:rFonts w:ascii="BGAGCB+Arial,Bold" w:eastAsia="Times New Roman" w:hAnsi="BGAGCB+Arial,Bold" w:cs="Times New Roman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871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F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69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430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25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8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19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1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.bornioli@uwe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20C2-2488-450A-A481-EDD25510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2018-10-04T13:01:00Z</cp:lastPrinted>
  <dcterms:created xsi:type="dcterms:W3CDTF">2019-06-28T10:45:00Z</dcterms:created>
  <dcterms:modified xsi:type="dcterms:W3CDTF">2019-06-28T10:45:00Z</dcterms:modified>
</cp:coreProperties>
</file>