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BB351" w14:textId="59D47FC2" w:rsidR="000C03CF" w:rsidRPr="000C03CF" w:rsidRDefault="000C03CF" w:rsidP="00523769">
      <w:pPr>
        <w:pBdr>
          <w:bottom w:val="single" w:sz="4" w:space="1" w:color="auto"/>
        </w:pBdr>
        <w:rPr>
          <w:b/>
          <w:bCs/>
        </w:rPr>
      </w:pPr>
      <w:r w:rsidRPr="000C03CF">
        <w:rPr>
          <w:b/>
          <w:bCs/>
        </w:rPr>
        <w:t xml:space="preserve">MHCLG Consultation on Streamlining Infrastructure Planning </w:t>
      </w:r>
    </w:p>
    <w:p w14:paraId="6D63DC8A" w14:textId="4ACD1809" w:rsidR="000C03CF" w:rsidRPr="000C03CF" w:rsidRDefault="000C03CF">
      <w:pPr>
        <w:rPr>
          <w:b/>
          <w:bCs/>
        </w:rPr>
      </w:pPr>
      <w:r w:rsidRPr="000C03CF">
        <w:rPr>
          <w:b/>
          <w:bCs/>
        </w:rPr>
        <w:t xml:space="preserve">Response from: </w:t>
      </w:r>
    </w:p>
    <w:p w14:paraId="0D346AE9" w14:textId="639314C2" w:rsidR="000C03CF" w:rsidRDefault="000C03CF">
      <w:r>
        <w:t>Hannah Hickman, Associate Professor in Planning Practice, University of the West of England</w:t>
      </w:r>
    </w:p>
    <w:p w14:paraId="4D027E25" w14:textId="16E8185A" w:rsidR="000C03CF" w:rsidRDefault="000C03CF">
      <w:r>
        <w:t xml:space="preserve">Dr Katie McClymont, Associate Professor in Urban planning, University of the West of England </w:t>
      </w:r>
    </w:p>
    <w:p w14:paraId="180919DD" w14:textId="22D4E932" w:rsidR="00FE422E" w:rsidRDefault="00FE422E">
      <w:r>
        <w:t>Nick Croft, Senior Lecturer in Urban Planning, University of the West of England</w:t>
      </w:r>
    </w:p>
    <w:p w14:paraId="7CE733C9" w14:textId="42955DE1" w:rsidR="000C03CF" w:rsidRPr="00E06591" w:rsidRDefault="000C03CF" w:rsidP="000C03CF">
      <w:pPr>
        <w:pStyle w:val="ListParagraph"/>
        <w:numPr>
          <w:ilvl w:val="0"/>
          <w:numId w:val="1"/>
        </w:numPr>
        <w:rPr>
          <w:b/>
          <w:bCs/>
        </w:rPr>
      </w:pPr>
      <w:r w:rsidRPr="00E06591">
        <w:rPr>
          <w:b/>
          <w:bCs/>
        </w:rPr>
        <w:t xml:space="preserve">Would the package of measures being proposed in this paper support a more streamlined and modernised process? Are there any risks with this package taken as a whole or further legislative measures the Government should </w:t>
      </w:r>
      <w:proofErr w:type="gramStart"/>
      <w:r w:rsidRPr="00E06591">
        <w:rPr>
          <w:b/>
          <w:bCs/>
        </w:rPr>
        <w:t>consider?</w:t>
      </w:r>
      <w:proofErr w:type="gramEnd"/>
    </w:p>
    <w:p w14:paraId="55D03AF1" w14:textId="314DDFA9" w:rsidR="00314333" w:rsidRPr="00B54D92" w:rsidRDefault="00D70E90" w:rsidP="000C03CF">
      <w:pPr>
        <w:rPr>
          <w:i/>
          <w:iCs/>
        </w:rPr>
      </w:pPr>
      <w:r w:rsidRPr="00B54D92">
        <w:rPr>
          <w:i/>
          <w:iCs/>
        </w:rPr>
        <w:t xml:space="preserve">Whilst there are some important proposals in the </w:t>
      </w:r>
      <w:r w:rsidR="00E72198" w:rsidRPr="00B54D92">
        <w:rPr>
          <w:i/>
          <w:iCs/>
        </w:rPr>
        <w:t xml:space="preserve">working </w:t>
      </w:r>
      <w:r w:rsidRPr="00B54D92">
        <w:rPr>
          <w:i/>
          <w:iCs/>
        </w:rPr>
        <w:t>paper that we support</w:t>
      </w:r>
      <w:r w:rsidR="00774879">
        <w:rPr>
          <w:i/>
          <w:iCs/>
        </w:rPr>
        <w:t>,</w:t>
      </w:r>
      <w:r w:rsidR="00E55CBF">
        <w:rPr>
          <w:i/>
          <w:iCs/>
        </w:rPr>
        <w:t xml:space="preserve"> that are intended to </w:t>
      </w:r>
      <w:r w:rsidR="7CDB3E19" w:rsidRPr="161FB3D5">
        <w:rPr>
          <w:i/>
          <w:iCs/>
        </w:rPr>
        <w:t xml:space="preserve">increase </w:t>
      </w:r>
      <w:r w:rsidR="7CDB3E19" w:rsidRPr="5B5FC626">
        <w:rPr>
          <w:i/>
          <w:iCs/>
        </w:rPr>
        <w:t xml:space="preserve">certainty </w:t>
      </w:r>
      <w:r w:rsidR="7CDB3E19" w:rsidRPr="1787F08F">
        <w:rPr>
          <w:i/>
          <w:iCs/>
        </w:rPr>
        <w:t xml:space="preserve">and </w:t>
      </w:r>
      <w:r w:rsidR="00E55CBF">
        <w:rPr>
          <w:i/>
          <w:iCs/>
        </w:rPr>
        <w:t xml:space="preserve">speed up </w:t>
      </w:r>
      <w:r w:rsidR="7CDB3E19" w:rsidRPr="2AF345BC">
        <w:rPr>
          <w:i/>
          <w:iCs/>
        </w:rPr>
        <w:t xml:space="preserve">delivery, </w:t>
      </w:r>
      <w:r w:rsidR="1042CA79" w:rsidRPr="2AF345BC">
        <w:rPr>
          <w:i/>
          <w:iCs/>
        </w:rPr>
        <w:t>there</w:t>
      </w:r>
      <w:r w:rsidRPr="00B54D92">
        <w:rPr>
          <w:i/>
          <w:iCs/>
        </w:rPr>
        <w:t xml:space="preserve"> is a d</w:t>
      </w:r>
      <w:r w:rsidR="00314333" w:rsidRPr="00B54D92">
        <w:rPr>
          <w:i/>
          <w:iCs/>
        </w:rPr>
        <w:t xml:space="preserve">anger </w:t>
      </w:r>
      <w:r w:rsidR="008A78B2" w:rsidRPr="00B54D92">
        <w:rPr>
          <w:i/>
          <w:iCs/>
        </w:rPr>
        <w:t>that in seeking streamlining and modernisation</w:t>
      </w:r>
      <w:r w:rsidR="00E72198" w:rsidRPr="00B54D92">
        <w:rPr>
          <w:i/>
          <w:iCs/>
        </w:rPr>
        <w:t xml:space="preserve"> </w:t>
      </w:r>
      <w:r w:rsidR="5DA13D9B" w:rsidRPr="1612D19B">
        <w:rPr>
          <w:i/>
          <w:iCs/>
        </w:rPr>
        <w:t xml:space="preserve">this may </w:t>
      </w:r>
      <w:r w:rsidR="5DA13D9B" w:rsidRPr="3F8F3606">
        <w:rPr>
          <w:i/>
          <w:iCs/>
        </w:rPr>
        <w:t>result in the</w:t>
      </w:r>
      <w:r w:rsidR="5DA13D9B" w:rsidRPr="091F2C8A">
        <w:rPr>
          <w:i/>
          <w:iCs/>
        </w:rPr>
        <w:t xml:space="preserve"> </w:t>
      </w:r>
      <w:r w:rsidR="5DA13D9B" w:rsidRPr="7284A1F6">
        <w:rPr>
          <w:i/>
          <w:iCs/>
        </w:rPr>
        <w:t>unintended</w:t>
      </w:r>
      <w:r w:rsidR="5DA13D9B" w:rsidRPr="0635B34E">
        <w:rPr>
          <w:i/>
          <w:iCs/>
        </w:rPr>
        <w:t xml:space="preserve"> </w:t>
      </w:r>
      <w:r w:rsidR="5DA13D9B" w:rsidRPr="5F7BAB6C">
        <w:rPr>
          <w:i/>
          <w:iCs/>
        </w:rPr>
        <w:t>outcomes</w:t>
      </w:r>
      <w:r w:rsidR="5DA13D9B" w:rsidRPr="0C51DC36">
        <w:rPr>
          <w:i/>
          <w:iCs/>
        </w:rPr>
        <w:t xml:space="preserve"> </w:t>
      </w:r>
      <w:r w:rsidR="5DA13D9B" w:rsidRPr="1CE3A44F">
        <w:rPr>
          <w:i/>
          <w:iCs/>
        </w:rPr>
        <w:t>of</w:t>
      </w:r>
      <w:r w:rsidR="5DA13D9B" w:rsidRPr="5F61AED4">
        <w:rPr>
          <w:i/>
          <w:iCs/>
        </w:rPr>
        <w:t xml:space="preserve"> </w:t>
      </w:r>
      <w:r w:rsidR="7908DAF8" w:rsidRPr="5F61AED4">
        <w:rPr>
          <w:i/>
          <w:iCs/>
        </w:rPr>
        <w:t>added</w:t>
      </w:r>
      <w:r w:rsidR="00F909B9" w:rsidRPr="00B54D92">
        <w:rPr>
          <w:i/>
          <w:iCs/>
        </w:rPr>
        <w:t xml:space="preserve"> complexity</w:t>
      </w:r>
      <w:r w:rsidR="00E72198" w:rsidRPr="00B54D92">
        <w:rPr>
          <w:i/>
          <w:iCs/>
        </w:rPr>
        <w:t xml:space="preserve"> and lack of oversight</w:t>
      </w:r>
      <w:r w:rsidRPr="00B54D92">
        <w:rPr>
          <w:i/>
          <w:iCs/>
        </w:rPr>
        <w:t xml:space="preserve">. We detail these below. </w:t>
      </w:r>
    </w:p>
    <w:p w14:paraId="7538FAEF" w14:textId="0A93135E" w:rsidR="000C03CF" w:rsidRPr="00E06591" w:rsidRDefault="000C03CF" w:rsidP="000C03CF">
      <w:pPr>
        <w:pStyle w:val="ListParagraph"/>
        <w:numPr>
          <w:ilvl w:val="0"/>
          <w:numId w:val="1"/>
        </w:numPr>
        <w:rPr>
          <w:b/>
          <w:bCs/>
        </w:rPr>
      </w:pPr>
      <w:r w:rsidRPr="00E06591">
        <w:rPr>
          <w:b/>
          <w:bCs/>
        </w:rPr>
        <w:t xml:space="preserve">Are the proposed changes to NPSs the right approach and will this support greater policy certainty? </w:t>
      </w:r>
    </w:p>
    <w:p w14:paraId="37505CB3" w14:textId="65D47F19" w:rsidR="000C03CF" w:rsidRPr="00B54D92" w:rsidRDefault="000C03CF" w:rsidP="00F909B9">
      <w:pPr>
        <w:rPr>
          <w:i/>
          <w:iCs/>
        </w:rPr>
      </w:pPr>
      <w:r w:rsidRPr="00B54D92">
        <w:rPr>
          <w:i/>
          <w:iCs/>
        </w:rPr>
        <w:t xml:space="preserve">Policy certainty is the cornerstone of the </w:t>
      </w:r>
      <w:r w:rsidR="00BE3915" w:rsidRPr="00B54D92">
        <w:rPr>
          <w:i/>
          <w:iCs/>
        </w:rPr>
        <w:t xml:space="preserve">effective operation of the </w:t>
      </w:r>
      <w:r w:rsidRPr="00B54D92">
        <w:rPr>
          <w:i/>
          <w:iCs/>
        </w:rPr>
        <w:t xml:space="preserve">NSIP regime. </w:t>
      </w:r>
    </w:p>
    <w:p w14:paraId="4CFAC375" w14:textId="7552F324" w:rsidR="00086A2C" w:rsidRPr="00B54D92" w:rsidRDefault="00BE3915" w:rsidP="00ED0B3F">
      <w:pPr>
        <w:rPr>
          <w:i/>
          <w:iCs/>
        </w:rPr>
      </w:pPr>
      <w:r w:rsidRPr="00B54D92">
        <w:rPr>
          <w:i/>
          <w:iCs/>
        </w:rPr>
        <w:t>We therefore f</w:t>
      </w:r>
      <w:r w:rsidR="00057A94" w:rsidRPr="00B54D92">
        <w:rPr>
          <w:i/>
          <w:iCs/>
        </w:rPr>
        <w:t>ully support proposals requir</w:t>
      </w:r>
      <w:r w:rsidRPr="00B54D92">
        <w:rPr>
          <w:i/>
          <w:iCs/>
        </w:rPr>
        <w:t>ing</w:t>
      </w:r>
      <w:r w:rsidR="00057A94" w:rsidRPr="00B54D92">
        <w:rPr>
          <w:i/>
          <w:iCs/>
        </w:rPr>
        <w:t xml:space="preserve"> NPSs to be updated every </w:t>
      </w:r>
      <w:r w:rsidRPr="00B54D92">
        <w:rPr>
          <w:i/>
          <w:iCs/>
        </w:rPr>
        <w:t>f</w:t>
      </w:r>
      <w:r w:rsidR="00057A94" w:rsidRPr="00B54D92">
        <w:rPr>
          <w:i/>
          <w:iCs/>
        </w:rPr>
        <w:t>ive years and for a more streamline</w:t>
      </w:r>
      <w:r w:rsidRPr="00B54D92">
        <w:rPr>
          <w:i/>
          <w:iCs/>
        </w:rPr>
        <w:t>d</w:t>
      </w:r>
      <w:r w:rsidR="00057A94" w:rsidRPr="00B54D92">
        <w:rPr>
          <w:i/>
          <w:iCs/>
        </w:rPr>
        <w:t xml:space="preserve"> process for making changes to NPSs to be introduced. However, it is critical that any streamlined process has regard </w:t>
      </w:r>
      <w:r w:rsidR="75B172D9" w:rsidRPr="73EB4079">
        <w:rPr>
          <w:i/>
          <w:iCs/>
        </w:rPr>
        <w:t>to</w:t>
      </w:r>
      <w:r w:rsidR="00057A94" w:rsidRPr="00B54D92">
        <w:rPr>
          <w:i/>
          <w:iCs/>
        </w:rPr>
        <w:t xml:space="preserve"> the need for sufficient parliamentary scrutiny of proposed changes</w:t>
      </w:r>
      <w:r w:rsidRPr="00B54D92">
        <w:rPr>
          <w:i/>
          <w:iCs/>
        </w:rPr>
        <w:t>.</w:t>
      </w:r>
      <w:r w:rsidR="00057A94" w:rsidRPr="00B54D92">
        <w:rPr>
          <w:i/>
          <w:iCs/>
        </w:rPr>
        <w:t xml:space="preserve"> </w:t>
      </w:r>
      <w:r w:rsidRPr="00B54D92">
        <w:rPr>
          <w:i/>
          <w:iCs/>
        </w:rPr>
        <w:t>T</w:t>
      </w:r>
      <w:r w:rsidR="00057A94" w:rsidRPr="00B54D92">
        <w:rPr>
          <w:i/>
          <w:iCs/>
        </w:rPr>
        <w:t xml:space="preserve">his is critical for the effective functioning of the regime in relation to democratic accountability of decision making. </w:t>
      </w:r>
      <w:r w:rsidR="00ED0B3F" w:rsidRPr="00B54D92">
        <w:rPr>
          <w:i/>
          <w:iCs/>
        </w:rPr>
        <w:t>We are, t</w:t>
      </w:r>
      <w:r w:rsidR="00C37753" w:rsidRPr="00B54D92">
        <w:rPr>
          <w:i/>
          <w:iCs/>
        </w:rPr>
        <w:t>herefore</w:t>
      </w:r>
      <w:r w:rsidR="00ED0B3F" w:rsidRPr="00B54D92">
        <w:rPr>
          <w:i/>
          <w:iCs/>
        </w:rPr>
        <w:t>,</w:t>
      </w:r>
      <w:r w:rsidR="00C37753" w:rsidRPr="00B54D92">
        <w:rPr>
          <w:i/>
          <w:iCs/>
        </w:rPr>
        <w:t xml:space="preserve"> concerned about the </w:t>
      </w:r>
      <w:r w:rsidR="00ED0B3F" w:rsidRPr="00B54D92">
        <w:rPr>
          <w:i/>
          <w:iCs/>
        </w:rPr>
        <w:t xml:space="preserve">proposed </w:t>
      </w:r>
      <w:r w:rsidR="00C37753" w:rsidRPr="00B54D92">
        <w:rPr>
          <w:i/>
          <w:iCs/>
        </w:rPr>
        <w:t xml:space="preserve">‘reflective </w:t>
      </w:r>
      <w:proofErr w:type="gramStart"/>
      <w:r w:rsidR="00C37753" w:rsidRPr="00B54D92">
        <w:rPr>
          <w:i/>
          <w:iCs/>
        </w:rPr>
        <w:t>amendments’</w:t>
      </w:r>
      <w:proofErr w:type="gramEnd"/>
      <w:r w:rsidR="00ED0B3F" w:rsidRPr="00B54D92">
        <w:rPr>
          <w:i/>
          <w:iCs/>
        </w:rPr>
        <w:t>.</w:t>
      </w:r>
      <w:r w:rsidR="00C37753" w:rsidRPr="00B54D92">
        <w:rPr>
          <w:i/>
          <w:iCs/>
        </w:rPr>
        <w:t xml:space="preserve"> </w:t>
      </w:r>
      <w:r w:rsidR="00086A2C" w:rsidRPr="00B54D92">
        <w:rPr>
          <w:i/>
          <w:iCs/>
        </w:rPr>
        <w:t xml:space="preserve">The </w:t>
      </w:r>
      <w:r w:rsidR="00E72198" w:rsidRPr="00B54D92">
        <w:rPr>
          <w:i/>
          <w:iCs/>
        </w:rPr>
        <w:t xml:space="preserve">working </w:t>
      </w:r>
      <w:r w:rsidR="00ED0B3F" w:rsidRPr="00B54D92">
        <w:rPr>
          <w:i/>
          <w:iCs/>
        </w:rPr>
        <w:t xml:space="preserve">paper </w:t>
      </w:r>
      <w:r w:rsidR="00086A2C" w:rsidRPr="00B54D92">
        <w:rPr>
          <w:i/>
          <w:iCs/>
        </w:rPr>
        <w:t>states “as the legislation and policy underpinning a reflective amendment will have been scrutinised by the public and Parliament on its own terms</w:t>
      </w:r>
      <w:r w:rsidR="000275EE" w:rsidRPr="00B54D92">
        <w:rPr>
          <w:i/>
          <w:iCs/>
        </w:rPr>
        <w:t>, we are proposing to disapply those elements of the parliamentary scrutiny requirements as set out under section 9 of the Planning Act 2008</w:t>
      </w:r>
      <w:r w:rsidR="00086A2C" w:rsidRPr="00B54D92">
        <w:rPr>
          <w:i/>
          <w:iCs/>
        </w:rPr>
        <w:t>”</w:t>
      </w:r>
      <w:r w:rsidR="00E95321" w:rsidRPr="00B54D92">
        <w:rPr>
          <w:i/>
          <w:iCs/>
        </w:rPr>
        <w:t xml:space="preserve"> (para 20). </w:t>
      </w:r>
    </w:p>
    <w:p w14:paraId="395DC982" w14:textId="1AD02AA8" w:rsidR="008A40F8" w:rsidRPr="00B54D92" w:rsidRDefault="004E0FAB" w:rsidP="008A40F8">
      <w:pPr>
        <w:rPr>
          <w:i/>
          <w:iCs/>
        </w:rPr>
      </w:pPr>
      <w:r w:rsidRPr="00B54D92">
        <w:rPr>
          <w:i/>
          <w:iCs/>
        </w:rPr>
        <w:t xml:space="preserve">In establishing the need case for development - </w:t>
      </w:r>
      <w:r w:rsidR="00086A2C" w:rsidRPr="00B54D92">
        <w:rPr>
          <w:i/>
          <w:iCs/>
        </w:rPr>
        <w:t xml:space="preserve">National Policy Statements </w:t>
      </w:r>
      <w:r w:rsidR="001B244D" w:rsidRPr="00B54D92">
        <w:rPr>
          <w:i/>
          <w:iCs/>
        </w:rPr>
        <w:t>have a</w:t>
      </w:r>
      <w:r w:rsidR="004B2ECA">
        <w:rPr>
          <w:i/>
          <w:iCs/>
        </w:rPr>
        <w:t>n</w:t>
      </w:r>
      <w:r w:rsidR="001B244D" w:rsidRPr="00B54D92">
        <w:rPr>
          <w:i/>
          <w:iCs/>
        </w:rPr>
        <w:t xml:space="preserve"> </w:t>
      </w:r>
      <w:r w:rsidRPr="00B54D92">
        <w:rPr>
          <w:i/>
          <w:iCs/>
        </w:rPr>
        <w:t xml:space="preserve">unusually </w:t>
      </w:r>
      <w:r w:rsidR="001B244D" w:rsidRPr="00B54D92">
        <w:rPr>
          <w:i/>
          <w:iCs/>
        </w:rPr>
        <w:t>decisive role</w:t>
      </w:r>
      <w:r w:rsidRPr="00B54D92">
        <w:rPr>
          <w:i/>
          <w:iCs/>
        </w:rPr>
        <w:t xml:space="preserve"> </w:t>
      </w:r>
      <w:r w:rsidR="00772589" w:rsidRPr="00B54D92">
        <w:rPr>
          <w:i/>
          <w:iCs/>
        </w:rPr>
        <w:t>as compared to other parts of the planning system</w:t>
      </w:r>
      <w:r w:rsidRPr="00B54D92">
        <w:rPr>
          <w:i/>
          <w:iCs/>
        </w:rPr>
        <w:t>.</w:t>
      </w:r>
      <w:r w:rsidR="00772589" w:rsidRPr="00B54D92">
        <w:rPr>
          <w:i/>
          <w:iCs/>
        </w:rPr>
        <w:t xml:space="preserve"> As a result, decision making </w:t>
      </w:r>
      <w:r w:rsidR="009077AC" w:rsidRPr="00B54D92">
        <w:rPr>
          <w:i/>
          <w:iCs/>
        </w:rPr>
        <w:t xml:space="preserve">on individual projects </w:t>
      </w:r>
      <w:r w:rsidR="00772589" w:rsidRPr="00B54D92">
        <w:rPr>
          <w:i/>
          <w:iCs/>
        </w:rPr>
        <w:t xml:space="preserve">rests on management and mitigation and not the principle </w:t>
      </w:r>
      <w:r w:rsidR="00681B2D">
        <w:rPr>
          <w:i/>
          <w:iCs/>
        </w:rPr>
        <w:t xml:space="preserve">– need case - </w:t>
      </w:r>
      <w:r w:rsidR="00772589" w:rsidRPr="00B54D92">
        <w:rPr>
          <w:i/>
          <w:iCs/>
        </w:rPr>
        <w:t xml:space="preserve">of development. </w:t>
      </w:r>
      <w:r w:rsidR="008A40F8" w:rsidRPr="00B54D92">
        <w:rPr>
          <w:i/>
          <w:iCs/>
        </w:rPr>
        <w:t xml:space="preserve">For this reason, </w:t>
      </w:r>
      <w:r w:rsidR="00E64FD7">
        <w:rPr>
          <w:i/>
          <w:iCs/>
        </w:rPr>
        <w:t xml:space="preserve">we consider </w:t>
      </w:r>
      <w:r w:rsidR="008A40F8" w:rsidRPr="00B54D92">
        <w:rPr>
          <w:i/>
          <w:iCs/>
        </w:rPr>
        <w:t xml:space="preserve">it critical that full parliamentary scrutiny is applied to NPS amendments. </w:t>
      </w:r>
      <w:r w:rsidR="00F759A6">
        <w:rPr>
          <w:i/>
          <w:iCs/>
        </w:rPr>
        <w:t>We would question whether – for example - c</w:t>
      </w:r>
      <w:r w:rsidR="008A40F8" w:rsidRPr="00B54D92">
        <w:rPr>
          <w:i/>
          <w:iCs/>
        </w:rPr>
        <w:t xml:space="preserve">hanges to government policy including on spatial planning – </w:t>
      </w:r>
      <w:r w:rsidR="00F759A6">
        <w:rPr>
          <w:i/>
          <w:iCs/>
        </w:rPr>
        <w:t xml:space="preserve">as </w:t>
      </w:r>
      <w:r w:rsidR="008A40F8" w:rsidRPr="00B54D92">
        <w:rPr>
          <w:i/>
          <w:iCs/>
        </w:rPr>
        <w:t>detailed as potentially triggering a change to an NPS</w:t>
      </w:r>
      <w:r w:rsidR="00F759A6">
        <w:rPr>
          <w:i/>
          <w:iCs/>
        </w:rPr>
        <w:t xml:space="preserve">, will have </w:t>
      </w:r>
      <w:r w:rsidR="008A40F8" w:rsidRPr="00B54D92">
        <w:rPr>
          <w:i/>
          <w:iCs/>
        </w:rPr>
        <w:t xml:space="preserve">been scrutinised by the public and </w:t>
      </w:r>
      <w:r w:rsidR="008A40F8" w:rsidRPr="00B54D92">
        <w:rPr>
          <w:i/>
          <w:iCs/>
        </w:rPr>
        <w:lastRenderedPageBreak/>
        <w:t>parliament</w:t>
      </w:r>
      <w:r w:rsidR="00F759A6">
        <w:rPr>
          <w:i/>
          <w:iCs/>
        </w:rPr>
        <w:t xml:space="preserve"> to the extent that they should </w:t>
      </w:r>
      <w:r w:rsidR="00E64FD7">
        <w:rPr>
          <w:i/>
          <w:iCs/>
        </w:rPr>
        <w:t xml:space="preserve">form a change to an NPS without full parliamentary scrutiny.  </w:t>
      </w:r>
    </w:p>
    <w:p w14:paraId="02E7EDB4" w14:textId="5DAF012D" w:rsidR="00057A94" w:rsidRPr="00B54D92" w:rsidRDefault="008A40F8" w:rsidP="008A40F8">
      <w:pPr>
        <w:rPr>
          <w:i/>
          <w:iCs/>
        </w:rPr>
      </w:pPr>
      <w:r w:rsidRPr="00B54D92">
        <w:rPr>
          <w:i/>
          <w:iCs/>
        </w:rPr>
        <w:t xml:space="preserve">Furthermore, we note </w:t>
      </w:r>
      <w:r w:rsidR="00057A94" w:rsidRPr="00B54D92">
        <w:rPr>
          <w:i/>
          <w:iCs/>
        </w:rPr>
        <w:t xml:space="preserve">reference to the </w:t>
      </w:r>
      <w:r w:rsidRPr="00B54D92">
        <w:rPr>
          <w:i/>
          <w:iCs/>
        </w:rPr>
        <w:t xml:space="preserve">Strategic Spatial Energy Plan </w:t>
      </w:r>
      <w:r w:rsidR="00057A94" w:rsidRPr="00B54D92">
        <w:rPr>
          <w:i/>
          <w:iCs/>
        </w:rPr>
        <w:t>and need for NPSs to reflect wider Government Strategies</w:t>
      </w:r>
      <w:r w:rsidRPr="00B54D92">
        <w:rPr>
          <w:i/>
          <w:iCs/>
        </w:rPr>
        <w:t xml:space="preserve"> – again potentially triggering the need for NPS review / amendment. </w:t>
      </w:r>
    </w:p>
    <w:p w14:paraId="10927B7C" w14:textId="06C0B910" w:rsidR="008A40F8" w:rsidRPr="00B54D92" w:rsidRDefault="00057A94" w:rsidP="008A40F8">
      <w:pPr>
        <w:rPr>
          <w:i/>
          <w:iCs/>
        </w:rPr>
      </w:pPr>
      <w:r w:rsidRPr="00B54D92">
        <w:rPr>
          <w:i/>
          <w:iCs/>
        </w:rPr>
        <w:t xml:space="preserve">Government needs to be </w:t>
      </w:r>
      <w:proofErr w:type="gramStart"/>
      <w:r w:rsidR="00E137D8">
        <w:rPr>
          <w:i/>
          <w:iCs/>
        </w:rPr>
        <w:t xml:space="preserve">absolutely </w:t>
      </w:r>
      <w:r w:rsidRPr="00B54D92">
        <w:rPr>
          <w:i/>
          <w:iCs/>
        </w:rPr>
        <w:t>clear</w:t>
      </w:r>
      <w:proofErr w:type="gramEnd"/>
      <w:r w:rsidRPr="00B54D92">
        <w:rPr>
          <w:i/>
          <w:iCs/>
        </w:rPr>
        <w:t xml:space="preserve"> about </w:t>
      </w:r>
      <w:r w:rsidR="008A40F8" w:rsidRPr="00B54D92">
        <w:rPr>
          <w:i/>
          <w:iCs/>
        </w:rPr>
        <w:t xml:space="preserve">the relationship between </w:t>
      </w:r>
      <w:r w:rsidRPr="00B54D92">
        <w:rPr>
          <w:i/>
          <w:iCs/>
        </w:rPr>
        <w:t xml:space="preserve">National Policy Statements </w:t>
      </w:r>
      <w:r w:rsidR="008A40F8" w:rsidRPr="00B54D92">
        <w:rPr>
          <w:i/>
          <w:iCs/>
        </w:rPr>
        <w:t xml:space="preserve">and the </w:t>
      </w:r>
      <w:r w:rsidRPr="00B54D92">
        <w:rPr>
          <w:i/>
          <w:iCs/>
        </w:rPr>
        <w:t xml:space="preserve">Strategic Spatial Energy Plan, and other </w:t>
      </w:r>
      <w:r w:rsidR="008A40F8" w:rsidRPr="00B54D92">
        <w:rPr>
          <w:i/>
          <w:iCs/>
        </w:rPr>
        <w:t xml:space="preserve">emerging </w:t>
      </w:r>
      <w:r w:rsidRPr="00B54D92">
        <w:rPr>
          <w:i/>
          <w:iCs/>
        </w:rPr>
        <w:t>proposals for greater spatial specific</w:t>
      </w:r>
      <w:r w:rsidR="008A40F8" w:rsidRPr="00B54D92">
        <w:rPr>
          <w:i/>
          <w:iCs/>
        </w:rPr>
        <w:t>ity</w:t>
      </w:r>
      <w:r w:rsidRPr="00B54D92">
        <w:rPr>
          <w:i/>
          <w:iCs/>
        </w:rPr>
        <w:t xml:space="preserve"> in </w:t>
      </w:r>
      <w:r w:rsidR="008A40F8" w:rsidRPr="00B54D92">
        <w:rPr>
          <w:i/>
          <w:iCs/>
        </w:rPr>
        <w:t xml:space="preserve">other </w:t>
      </w:r>
      <w:r w:rsidRPr="00B54D92">
        <w:rPr>
          <w:i/>
          <w:iCs/>
        </w:rPr>
        <w:t>individual sectors</w:t>
      </w:r>
      <w:r w:rsidR="008A40F8" w:rsidRPr="00B54D92">
        <w:rPr>
          <w:i/>
          <w:iCs/>
        </w:rPr>
        <w:t xml:space="preserve"> plans</w:t>
      </w:r>
      <w:r w:rsidRPr="00B54D92">
        <w:rPr>
          <w:i/>
          <w:iCs/>
        </w:rPr>
        <w:t>.</w:t>
      </w:r>
      <w:r w:rsidR="008A40F8" w:rsidRPr="00B54D92">
        <w:rPr>
          <w:i/>
          <w:iCs/>
        </w:rPr>
        <w:t xml:space="preserve"> There is a potential for significant confusion about the status of these sector specific plans</w:t>
      </w:r>
      <w:r w:rsidR="005D3A8E">
        <w:rPr>
          <w:i/>
          <w:iCs/>
        </w:rPr>
        <w:t xml:space="preserve"> and</w:t>
      </w:r>
      <w:r w:rsidR="008A40F8" w:rsidRPr="00B54D92">
        <w:rPr>
          <w:i/>
          <w:iCs/>
        </w:rPr>
        <w:t xml:space="preserve"> the inter-relationship between them and NPS</w:t>
      </w:r>
      <w:r w:rsidR="005D3A8E">
        <w:rPr>
          <w:i/>
          <w:iCs/>
        </w:rPr>
        <w:t>s</w:t>
      </w:r>
      <w:r w:rsidR="008A40F8" w:rsidRPr="00B54D92">
        <w:rPr>
          <w:i/>
          <w:iCs/>
        </w:rPr>
        <w:t xml:space="preserve"> for the purposes of decision making</w:t>
      </w:r>
      <w:r w:rsidR="005D3A8E">
        <w:rPr>
          <w:i/>
          <w:iCs/>
        </w:rPr>
        <w:t>.</w:t>
      </w:r>
      <w:r w:rsidR="008A40F8" w:rsidRPr="00B54D92">
        <w:rPr>
          <w:i/>
          <w:iCs/>
        </w:rPr>
        <w:t xml:space="preserve"> </w:t>
      </w:r>
    </w:p>
    <w:p w14:paraId="15957A25" w14:textId="73946A63" w:rsidR="000C03CF" w:rsidRPr="00B54D92" w:rsidRDefault="008A40F8" w:rsidP="00B54D92">
      <w:pPr>
        <w:rPr>
          <w:i/>
          <w:iCs/>
        </w:rPr>
      </w:pPr>
      <w:r w:rsidRPr="00B54D92">
        <w:rPr>
          <w:i/>
          <w:iCs/>
        </w:rPr>
        <w:t xml:space="preserve">We are strongly of the view that </w:t>
      </w:r>
      <w:r w:rsidR="00355269">
        <w:rPr>
          <w:i/>
          <w:iCs/>
        </w:rPr>
        <w:t xml:space="preserve">NPSs as currently drafted lack sufficient spatial specificity. The </w:t>
      </w:r>
      <w:r w:rsidR="00700F06">
        <w:rPr>
          <w:i/>
          <w:iCs/>
        </w:rPr>
        <w:t xml:space="preserve">effective </w:t>
      </w:r>
      <w:r w:rsidR="00355269">
        <w:rPr>
          <w:i/>
          <w:iCs/>
        </w:rPr>
        <w:t xml:space="preserve">operation of the regime </w:t>
      </w:r>
      <w:r w:rsidR="00700F06">
        <w:rPr>
          <w:i/>
          <w:iCs/>
        </w:rPr>
        <w:t xml:space="preserve">– for both promoters and communities - </w:t>
      </w:r>
      <w:r w:rsidR="00355269">
        <w:rPr>
          <w:i/>
          <w:iCs/>
        </w:rPr>
        <w:t xml:space="preserve">would be </w:t>
      </w:r>
      <w:r w:rsidR="00700F06">
        <w:rPr>
          <w:i/>
          <w:iCs/>
        </w:rPr>
        <w:t xml:space="preserve">enhanced </w:t>
      </w:r>
      <w:r w:rsidR="00355269">
        <w:rPr>
          <w:i/>
          <w:iCs/>
        </w:rPr>
        <w:t xml:space="preserve">by </w:t>
      </w:r>
      <w:r w:rsidR="00700F06">
        <w:rPr>
          <w:i/>
          <w:iCs/>
        </w:rPr>
        <w:t xml:space="preserve">a greater focus on locations. Additionally, </w:t>
      </w:r>
      <w:r w:rsidRPr="00B54D92">
        <w:rPr>
          <w:i/>
          <w:iCs/>
        </w:rPr>
        <w:t xml:space="preserve">there is a need for greater co-ordination of </w:t>
      </w:r>
      <w:r w:rsidR="00700F06">
        <w:rPr>
          <w:i/>
          <w:iCs/>
        </w:rPr>
        <w:t xml:space="preserve">NPSs and </w:t>
      </w:r>
      <w:r w:rsidRPr="00B54D92">
        <w:rPr>
          <w:i/>
          <w:iCs/>
        </w:rPr>
        <w:t xml:space="preserve">sector specific plans, via a national spatial framework. </w:t>
      </w:r>
    </w:p>
    <w:p w14:paraId="1FB19E11" w14:textId="77777777" w:rsidR="000C03CF" w:rsidRPr="00E06591" w:rsidRDefault="000C03CF" w:rsidP="000C03CF">
      <w:pPr>
        <w:pStyle w:val="ListParagraph"/>
        <w:numPr>
          <w:ilvl w:val="0"/>
          <w:numId w:val="1"/>
        </w:numPr>
        <w:rPr>
          <w:b/>
          <w:bCs/>
        </w:rPr>
      </w:pPr>
      <w:r w:rsidRPr="00E06591">
        <w:rPr>
          <w:b/>
          <w:bCs/>
        </w:rPr>
        <w:t>Do you think the proposals on consultation strike the right balance between a proportionate process and appropriate engagement with communities?</w:t>
      </w:r>
    </w:p>
    <w:p w14:paraId="6F8969C7" w14:textId="6101FEF7" w:rsidR="00CD0B6B" w:rsidRDefault="00CD0B6B" w:rsidP="00C155F0">
      <w:pPr>
        <w:rPr>
          <w:i/>
          <w:iCs/>
        </w:rPr>
      </w:pPr>
      <w:r>
        <w:rPr>
          <w:i/>
          <w:iCs/>
        </w:rPr>
        <w:t>We understand the need for proportionate approach to engagement with communities</w:t>
      </w:r>
      <w:r w:rsidR="008463E7">
        <w:rPr>
          <w:i/>
          <w:iCs/>
        </w:rPr>
        <w:t xml:space="preserve">, especially </w:t>
      </w:r>
      <w:r w:rsidR="00603426">
        <w:rPr>
          <w:i/>
          <w:iCs/>
        </w:rPr>
        <w:t>considering</w:t>
      </w:r>
      <w:r w:rsidR="008463E7">
        <w:rPr>
          <w:i/>
          <w:iCs/>
        </w:rPr>
        <w:t xml:space="preserve"> the </w:t>
      </w:r>
      <w:r>
        <w:rPr>
          <w:i/>
          <w:iCs/>
        </w:rPr>
        <w:t xml:space="preserve">evidence of the significant increase in consultation carried out by promoters to – </w:t>
      </w:r>
      <w:r w:rsidR="005A704A">
        <w:rPr>
          <w:i/>
          <w:iCs/>
        </w:rPr>
        <w:t xml:space="preserve">at least </w:t>
      </w:r>
      <w:r>
        <w:rPr>
          <w:i/>
          <w:iCs/>
        </w:rPr>
        <w:t xml:space="preserve">in theory - de-risk projects. </w:t>
      </w:r>
    </w:p>
    <w:p w14:paraId="33CDD176" w14:textId="47970C82" w:rsidR="00176EC6" w:rsidRDefault="00176EC6" w:rsidP="00C155F0">
      <w:pPr>
        <w:rPr>
          <w:i/>
          <w:iCs/>
        </w:rPr>
      </w:pPr>
      <w:r>
        <w:rPr>
          <w:i/>
          <w:iCs/>
        </w:rPr>
        <w:t xml:space="preserve">It is critical, however, that consultation with communities is seen as a meaningful </w:t>
      </w:r>
      <w:r w:rsidR="00603426">
        <w:rPr>
          <w:i/>
          <w:iCs/>
        </w:rPr>
        <w:t xml:space="preserve">and impactful </w:t>
      </w:r>
      <w:r>
        <w:rPr>
          <w:i/>
          <w:iCs/>
        </w:rPr>
        <w:t>exercise</w:t>
      </w:r>
      <w:r w:rsidR="00603426">
        <w:rPr>
          <w:i/>
          <w:iCs/>
        </w:rPr>
        <w:t xml:space="preserve"> both for communities and promoters</w:t>
      </w:r>
      <w:r>
        <w:rPr>
          <w:i/>
          <w:iCs/>
        </w:rPr>
        <w:t>.</w:t>
      </w:r>
      <w:r w:rsidR="00603426">
        <w:rPr>
          <w:i/>
          <w:iCs/>
        </w:rPr>
        <w:t xml:space="preserve"> This is particularly important in the context of the design of the regime – with decision making focussing on management and mitigation and not on the principle of development (as noted above). </w:t>
      </w:r>
      <w:r>
        <w:rPr>
          <w:i/>
          <w:iCs/>
        </w:rPr>
        <w:t xml:space="preserve"> </w:t>
      </w:r>
    </w:p>
    <w:p w14:paraId="5CE8D439" w14:textId="4DACADE9" w:rsidR="00C155F0" w:rsidRDefault="00307048" w:rsidP="00C155F0">
      <w:pPr>
        <w:rPr>
          <w:i/>
          <w:iCs/>
        </w:rPr>
      </w:pPr>
      <w:r>
        <w:rPr>
          <w:i/>
          <w:iCs/>
        </w:rPr>
        <w:t xml:space="preserve">There is a danger that in focussing on proportion, </w:t>
      </w:r>
      <w:r w:rsidR="00304B63">
        <w:rPr>
          <w:i/>
          <w:iCs/>
        </w:rPr>
        <w:t xml:space="preserve">insufficient </w:t>
      </w:r>
      <w:r>
        <w:rPr>
          <w:i/>
          <w:iCs/>
        </w:rPr>
        <w:t xml:space="preserve">attention is </w:t>
      </w:r>
      <w:r w:rsidR="00304B63">
        <w:rPr>
          <w:i/>
          <w:iCs/>
        </w:rPr>
        <w:t>given as to</w:t>
      </w:r>
      <w:r>
        <w:rPr>
          <w:i/>
          <w:iCs/>
        </w:rPr>
        <w:t xml:space="preserve"> how </w:t>
      </w:r>
      <w:r w:rsidR="00C155F0" w:rsidRPr="00C155F0">
        <w:rPr>
          <w:i/>
          <w:iCs/>
        </w:rPr>
        <w:t>best to engage and support local communities in participating in projects</w:t>
      </w:r>
      <w:r w:rsidR="00304B63">
        <w:rPr>
          <w:i/>
          <w:iCs/>
        </w:rPr>
        <w:t xml:space="preserve">. </w:t>
      </w:r>
      <w:r w:rsidR="00DD028F">
        <w:rPr>
          <w:i/>
          <w:iCs/>
        </w:rPr>
        <w:t xml:space="preserve">Substantially </w:t>
      </w:r>
      <w:r w:rsidR="00304B63">
        <w:rPr>
          <w:i/>
          <w:iCs/>
        </w:rPr>
        <w:t xml:space="preserve">more learning is needed in this area. </w:t>
      </w:r>
    </w:p>
    <w:p w14:paraId="4F6CBD11" w14:textId="39ED681B" w:rsidR="00917C97" w:rsidRDefault="005A704A" w:rsidP="009A78F1">
      <w:pPr>
        <w:rPr>
          <w:i/>
          <w:iCs/>
        </w:rPr>
      </w:pPr>
      <w:r>
        <w:rPr>
          <w:i/>
          <w:iCs/>
        </w:rPr>
        <w:t xml:space="preserve">We suggest that any proposals </w:t>
      </w:r>
      <w:r w:rsidR="009A78F1">
        <w:rPr>
          <w:i/>
          <w:iCs/>
        </w:rPr>
        <w:t xml:space="preserve">around consultation are considered </w:t>
      </w:r>
      <w:r w:rsidR="00304B63">
        <w:rPr>
          <w:i/>
          <w:iCs/>
        </w:rPr>
        <w:t xml:space="preserve">against </w:t>
      </w:r>
      <w:r w:rsidR="009A78F1">
        <w:rPr>
          <w:i/>
          <w:iCs/>
        </w:rPr>
        <w:t xml:space="preserve">the wider </w:t>
      </w:r>
      <w:r w:rsidR="00304B63">
        <w:rPr>
          <w:i/>
          <w:iCs/>
        </w:rPr>
        <w:t xml:space="preserve">backdrop </w:t>
      </w:r>
      <w:r w:rsidR="009A78F1">
        <w:rPr>
          <w:i/>
          <w:iCs/>
        </w:rPr>
        <w:t xml:space="preserve">of Lord Banner’s review of judicial review. </w:t>
      </w:r>
      <w:r w:rsidR="007A7669">
        <w:rPr>
          <w:i/>
          <w:iCs/>
        </w:rPr>
        <w:t xml:space="preserve">Both </w:t>
      </w:r>
      <w:r w:rsidR="009A78F1" w:rsidRPr="000C03CF">
        <w:rPr>
          <w:i/>
          <w:iCs/>
        </w:rPr>
        <w:t>Lord Banner’s review</w:t>
      </w:r>
      <w:r w:rsidR="007A7669">
        <w:rPr>
          <w:i/>
          <w:iCs/>
        </w:rPr>
        <w:t>,</w:t>
      </w:r>
      <w:r w:rsidR="009A78F1" w:rsidRPr="000C03CF">
        <w:rPr>
          <w:i/>
          <w:iCs/>
        </w:rPr>
        <w:t xml:space="preserve"> and the Government’s respons</w:t>
      </w:r>
      <w:r w:rsidR="007A7669">
        <w:rPr>
          <w:i/>
          <w:iCs/>
        </w:rPr>
        <w:t>e</w:t>
      </w:r>
      <w:r w:rsidR="00D01823">
        <w:rPr>
          <w:i/>
          <w:iCs/>
        </w:rPr>
        <w:t xml:space="preserve">, </w:t>
      </w:r>
      <w:r w:rsidR="009A78F1" w:rsidRPr="000C03CF">
        <w:rPr>
          <w:i/>
          <w:iCs/>
        </w:rPr>
        <w:t xml:space="preserve">were </w:t>
      </w:r>
      <w:r w:rsidR="007A7669">
        <w:rPr>
          <w:i/>
          <w:iCs/>
        </w:rPr>
        <w:t xml:space="preserve">sensible </w:t>
      </w:r>
      <w:r w:rsidR="009A78F1" w:rsidRPr="000C03CF">
        <w:rPr>
          <w:i/>
          <w:iCs/>
        </w:rPr>
        <w:t xml:space="preserve">but </w:t>
      </w:r>
      <w:r w:rsidR="009A78F1">
        <w:rPr>
          <w:i/>
          <w:iCs/>
        </w:rPr>
        <w:t xml:space="preserve">could be </w:t>
      </w:r>
      <w:r w:rsidR="00FB262D">
        <w:rPr>
          <w:i/>
          <w:iCs/>
        </w:rPr>
        <w:t xml:space="preserve">characterised </w:t>
      </w:r>
      <w:r w:rsidR="009A78F1">
        <w:rPr>
          <w:i/>
          <w:iCs/>
        </w:rPr>
        <w:t xml:space="preserve">as </w:t>
      </w:r>
      <w:r w:rsidR="00304B63">
        <w:rPr>
          <w:i/>
          <w:iCs/>
        </w:rPr>
        <w:t xml:space="preserve">only </w:t>
      </w:r>
      <w:r w:rsidR="009A78F1">
        <w:rPr>
          <w:i/>
          <w:iCs/>
        </w:rPr>
        <w:t xml:space="preserve">‘tinkering at the edges’ and </w:t>
      </w:r>
      <w:r w:rsidR="00FB262D">
        <w:rPr>
          <w:i/>
          <w:iCs/>
        </w:rPr>
        <w:t xml:space="preserve">failing to </w:t>
      </w:r>
      <w:r w:rsidR="009A78F1" w:rsidRPr="000C03CF">
        <w:rPr>
          <w:i/>
          <w:iCs/>
        </w:rPr>
        <w:t xml:space="preserve">address </w:t>
      </w:r>
      <w:r w:rsidR="00FB262D">
        <w:rPr>
          <w:i/>
          <w:iCs/>
        </w:rPr>
        <w:t xml:space="preserve">one of </w:t>
      </w:r>
      <w:r w:rsidR="009A78F1" w:rsidRPr="000C03CF">
        <w:rPr>
          <w:i/>
          <w:iCs/>
        </w:rPr>
        <w:t>fundamental reason</w:t>
      </w:r>
      <w:r w:rsidR="00FB262D">
        <w:rPr>
          <w:i/>
          <w:iCs/>
        </w:rPr>
        <w:t>s</w:t>
      </w:r>
      <w:r w:rsidR="009A78F1" w:rsidRPr="000C03CF">
        <w:rPr>
          <w:i/>
          <w:iCs/>
        </w:rPr>
        <w:t xml:space="preserve"> why JR has been </w:t>
      </w:r>
      <w:r w:rsidR="004A5319">
        <w:rPr>
          <w:i/>
          <w:iCs/>
        </w:rPr>
        <w:t xml:space="preserve">on the </w:t>
      </w:r>
      <w:r w:rsidR="009A78F1" w:rsidRPr="000C03CF">
        <w:rPr>
          <w:i/>
          <w:iCs/>
        </w:rPr>
        <w:t>increas</w:t>
      </w:r>
      <w:r w:rsidR="004A5319">
        <w:rPr>
          <w:i/>
          <w:iCs/>
        </w:rPr>
        <w:t>e</w:t>
      </w:r>
      <w:r w:rsidR="007A7669">
        <w:rPr>
          <w:i/>
          <w:iCs/>
        </w:rPr>
        <w:t>:</w:t>
      </w:r>
      <w:r w:rsidR="004A5319">
        <w:rPr>
          <w:i/>
          <w:iCs/>
        </w:rPr>
        <w:t xml:space="preserve"> </w:t>
      </w:r>
      <w:r w:rsidR="007A7669">
        <w:rPr>
          <w:i/>
          <w:iCs/>
        </w:rPr>
        <w:t>i</w:t>
      </w:r>
      <w:r w:rsidR="004A5319">
        <w:rPr>
          <w:i/>
          <w:iCs/>
        </w:rPr>
        <w:t xml:space="preserve">ncreased legibility of these projects to those with an interest in climate justice and </w:t>
      </w:r>
      <w:r w:rsidR="00F73DF9">
        <w:rPr>
          <w:i/>
          <w:iCs/>
        </w:rPr>
        <w:t xml:space="preserve">those </w:t>
      </w:r>
      <w:r w:rsidR="00304B63">
        <w:rPr>
          <w:i/>
          <w:iCs/>
        </w:rPr>
        <w:t xml:space="preserve">with </w:t>
      </w:r>
      <w:r w:rsidR="00D00510">
        <w:rPr>
          <w:i/>
          <w:iCs/>
        </w:rPr>
        <w:t xml:space="preserve">high </w:t>
      </w:r>
      <w:r w:rsidR="00304B63">
        <w:rPr>
          <w:i/>
          <w:iCs/>
        </w:rPr>
        <w:t>local</w:t>
      </w:r>
      <w:r w:rsidR="00D00510">
        <w:rPr>
          <w:i/>
          <w:iCs/>
        </w:rPr>
        <w:t>ised</w:t>
      </w:r>
      <w:r w:rsidR="00304B63">
        <w:rPr>
          <w:i/>
          <w:iCs/>
        </w:rPr>
        <w:t xml:space="preserve"> impacts</w:t>
      </w:r>
      <w:r w:rsidR="00D00510">
        <w:rPr>
          <w:i/>
          <w:iCs/>
        </w:rPr>
        <w:t>.</w:t>
      </w:r>
      <w:r w:rsidR="00304B63">
        <w:rPr>
          <w:i/>
          <w:iCs/>
        </w:rPr>
        <w:t xml:space="preserve"> </w:t>
      </w:r>
      <w:r w:rsidR="007A7669">
        <w:rPr>
          <w:i/>
          <w:iCs/>
        </w:rPr>
        <w:t>The result has been a propensity towards the use of JR as a basis to oppose and delay projects</w:t>
      </w:r>
      <w:r w:rsidR="00D01823">
        <w:rPr>
          <w:i/>
          <w:iCs/>
        </w:rPr>
        <w:t xml:space="preserve">. </w:t>
      </w:r>
      <w:r w:rsidR="00A55797">
        <w:rPr>
          <w:i/>
          <w:iCs/>
        </w:rPr>
        <w:t>Whilst some of the proposed changes to JR</w:t>
      </w:r>
      <w:r w:rsidR="000930EE">
        <w:rPr>
          <w:i/>
          <w:iCs/>
        </w:rPr>
        <w:t xml:space="preserve"> – alongside improved policy certainty via NPS review</w:t>
      </w:r>
      <w:r w:rsidR="007F5AD8">
        <w:rPr>
          <w:i/>
          <w:iCs/>
        </w:rPr>
        <w:t>s</w:t>
      </w:r>
      <w:r w:rsidR="000930EE">
        <w:rPr>
          <w:i/>
          <w:iCs/>
        </w:rPr>
        <w:t xml:space="preserve"> – should reduce the rate of JR, parallel attention needs to be given to </w:t>
      </w:r>
      <w:r w:rsidR="00917C97">
        <w:rPr>
          <w:i/>
          <w:iCs/>
        </w:rPr>
        <w:t xml:space="preserve">how to better manage </w:t>
      </w:r>
      <w:r w:rsidR="004A5319">
        <w:rPr>
          <w:i/>
          <w:iCs/>
        </w:rPr>
        <w:t xml:space="preserve">projects in the national </w:t>
      </w:r>
      <w:r w:rsidR="004A5319">
        <w:rPr>
          <w:i/>
          <w:iCs/>
        </w:rPr>
        <w:lastRenderedPageBreak/>
        <w:t xml:space="preserve">interest with </w:t>
      </w:r>
      <w:r w:rsidR="00917C97">
        <w:rPr>
          <w:i/>
          <w:iCs/>
        </w:rPr>
        <w:t xml:space="preserve">high localised </w:t>
      </w:r>
      <w:r w:rsidR="004A5319">
        <w:rPr>
          <w:i/>
          <w:iCs/>
        </w:rPr>
        <w:t>impacts</w:t>
      </w:r>
      <w:r w:rsidR="00917C97">
        <w:rPr>
          <w:i/>
          <w:iCs/>
        </w:rPr>
        <w:t>.</w:t>
      </w:r>
      <w:r w:rsidR="008A6DD2">
        <w:rPr>
          <w:i/>
          <w:iCs/>
        </w:rPr>
        <w:t xml:space="preserve"> </w:t>
      </w:r>
      <w:r w:rsidR="001A682D">
        <w:rPr>
          <w:i/>
          <w:iCs/>
        </w:rPr>
        <w:t>Effective and meaningful community engagement needs to be unde</w:t>
      </w:r>
      <w:r w:rsidR="00E91E14">
        <w:rPr>
          <w:i/>
          <w:iCs/>
        </w:rPr>
        <w:t xml:space="preserve">rstood as </w:t>
      </w:r>
      <w:r w:rsidR="001A682D">
        <w:rPr>
          <w:i/>
          <w:iCs/>
        </w:rPr>
        <w:t xml:space="preserve">a key part of </w:t>
      </w:r>
      <w:r w:rsidR="00E91E14">
        <w:rPr>
          <w:i/>
          <w:iCs/>
        </w:rPr>
        <w:t xml:space="preserve">ameliorating a future </w:t>
      </w:r>
      <w:r w:rsidR="001A682D">
        <w:rPr>
          <w:i/>
          <w:iCs/>
        </w:rPr>
        <w:t xml:space="preserve">risk of JR. </w:t>
      </w:r>
    </w:p>
    <w:p w14:paraId="509F3B56" w14:textId="6B75BF3D" w:rsidR="00210D71" w:rsidRPr="00E91E14" w:rsidRDefault="004A5319" w:rsidP="00712D1B">
      <w:pPr>
        <w:rPr>
          <w:i/>
          <w:iCs/>
        </w:rPr>
      </w:pPr>
      <w:r>
        <w:rPr>
          <w:i/>
          <w:iCs/>
        </w:rPr>
        <w:t xml:space="preserve">We are </w:t>
      </w:r>
      <w:r w:rsidR="00D2715A">
        <w:rPr>
          <w:i/>
          <w:iCs/>
        </w:rPr>
        <w:t xml:space="preserve">intending </w:t>
      </w:r>
      <w:r>
        <w:rPr>
          <w:i/>
          <w:iCs/>
        </w:rPr>
        <w:t xml:space="preserve">to progress work with the National Infrastructure Planning Association around community benefits and </w:t>
      </w:r>
      <w:r w:rsidR="00E91E14">
        <w:rPr>
          <w:i/>
          <w:iCs/>
        </w:rPr>
        <w:t xml:space="preserve">community </w:t>
      </w:r>
      <w:r>
        <w:rPr>
          <w:i/>
          <w:iCs/>
        </w:rPr>
        <w:t>legacy</w:t>
      </w:r>
      <w:r w:rsidR="00E91E14">
        <w:rPr>
          <w:i/>
          <w:iCs/>
        </w:rPr>
        <w:t xml:space="preserve">. This </w:t>
      </w:r>
      <w:r>
        <w:rPr>
          <w:i/>
          <w:iCs/>
        </w:rPr>
        <w:t xml:space="preserve">has the potential to </w:t>
      </w:r>
      <w:r w:rsidR="00D2715A">
        <w:rPr>
          <w:i/>
          <w:iCs/>
        </w:rPr>
        <w:t xml:space="preserve">significantly </w:t>
      </w:r>
      <w:r>
        <w:rPr>
          <w:i/>
          <w:iCs/>
        </w:rPr>
        <w:t>support this area of work</w:t>
      </w:r>
      <w:r w:rsidR="00D2715A">
        <w:rPr>
          <w:i/>
          <w:iCs/>
        </w:rPr>
        <w:t xml:space="preserve">, and we would welcome further discussion with MHCLG </w:t>
      </w:r>
      <w:r w:rsidR="007458D8">
        <w:rPr>
          <w:i/>
          <w:iCs/>
        </w:rPr>
        <w:t xml:space="preserve">on this. </w:t>
      </w:r>
      <w:r w:rsidR="00D2715A">
        <w:rPr>
          <w:i/>
          <w:iCs/>
        </w:rPr>
        <w:t xml:space="preserve"> </w:t>
      </w:r>
      <w:r>
        <w:rPr>
          <w:i/>
          <w:iCs/>
        </w:rPr>
        <w:t xml:space="preserve">  </w:t>
      </w:r>
    </w:p>
    <w:p w14:paraId="629DDAD3" w14:textId="77777777" w:rsidR="000C03CF" w:rsidRPr="00E06591" w:rsidRDefault="000C03CF" w:rsidP="000C03CF">
      <w:pPr>
        <w:pStyle w:val="ListParagraph"/>
        <w:numPr>
          <w:ilvl w:val="0"/>
          <w:numId w:val="1"/>
        </w:numPr>
        <w:rPr>
          <w:b/>
          <w:bCs/>
        </w:rPr>
      </w:pPr>
      <w:r w:rsidRPr="00E06591">
        <w:rPr>
          <w:b/>
          <w:bCs/>
        </w:rPr>
        <w:t xml:space="preserve"> Do you agree with the proposal to create a new duty to narrow down areas of disagreement before applications are submitted? How should this duty be designed </w:t>
      </w:r>
      <w:proofErr w:type="gramStart"/>
      <w:r w:rsidRPr="00E06591">
        <w:rPr>
          <w:b/>
          <w:bCs/>
        </w:rPr>
        <w:t>so as to</w:t>
      </w:r>
      <w:proofErr w:type="gramEnd"/>
      <w:r w:rsidRPr="00E06591">
        <w:rPr>
          <w:b/>
          <w:bCs/>
        </w:rPr>
        <w:t xml:space="preserve"> align the incentives of different actors without delaying the process? </w:t>
      </w:r>
    </w:p>
    <w:p w14:paraId="2262895E" w14:textId="77777777" w:rsidR="005F497E" w:rsidRDefault="005F497E" w:rsidP="000D2162">
      <w:pPr>
        <w:pStyle w:val="ListParagraph"/>
      </w:pPr>
    </w:p>
    <w:p w14:paraId="0E071BAC" w14:textId="4C0AD632" w:rsidR="004A5319" w:rsidRPr="004A5319" w:rsidRDefault="004A5319" w:rsidP="000D2162">
      <w:pPr>
        <w:pStyle w:val="ListParagraph"/>
        <w:rPr>
          <w:i/>
          <w:iCs/>
        </w:rPr>
      </w:pPr>
      <w:r>
        <w:rPr>
          <w:i/>
          <w:iCs/>
        </w:rPr>
        <w:t>No comment here.</w:t>
      </w:r>
    </w:p>
    <w:p w14:paraId="5CE0ACF6" w14:textId="77777777" w:rsidR="000C03CF" w:rsidRDefault="000C03CF" w:rsidP="000C03CF">
      <w:pPr>
        <w:pStyle w:val="ListParagraph"/>
      </w:pPr>
    </w:p>
    <w:p w14:paraId="7EB8E87E" w14:textId="77777777" w:rsidR="000C03CF" w:rsidRPr="000D2162" w:rsidRDefault="000C03CF" w:rsidP="000C03CF">
      <w:pPr>
        <w:pStyle w:val="ListParagraph"/>
        <w:numPr>
          <w:ilvl w:val="0"/>
          <w:numId w:val="1"/>
        </w:numPr>
        <w:rPr>
          <w:b/>
          <w:bCs/>
        </w:rPr>
      </w:pPr>
      <w:r w:rsidRPr="000D2162">
        <w:rPr>
          <w:b/>
          <w:bCs/>
        </w:rPr>
        <w:t xml:space="preserve">Do you support the changes proposed to Category 3 persons? </w:t>
      </w:r>
    </w:p>
    <w:p w14:paraId="16BC1F6A" w14:textId="77777777" w:rsidR="000C03CF" w:rsidRDefault="000C03CF" w:rsidP="000C03CF">
      <w:pPr>
        <w:pStyle w:val="ListParagraph"/>
      </w:pPr>
    </w:p>
    <w:p w14:paraId="08135807" w14:textId="56C82BA8" w:rsidR="00210D71" w:rsidRPr="004A5319" w:rsidRDefault="004A5319" w:rsidP="004A5319">
      <w:pPr>
        <w:pStyle w:val="ListParagraph"/>
        <w:rPr>
          <w:i/>
          <w:iCs/>
        </w:rPr>
      </w:pPr>
      <w:r w:rsidRPr="004A5319">
        <w:rPr>
          <w:i/>
          <w:iCs/>
        </w:rPr>
        <w:t>No comment here.</w:t>
      </w:r>
    </w:p>
    <w:p w14:paraId="414CC2A2" w14:textId="77777777" w:rsidR="00210D71" w:rsidRDefault="00210D71" w:rsidP="000C03CF">
      <w:pPr>
        <w:pStyle w:val="ListParagraph"/>
      </w:pPr>
    </w:p>
    <w:p w14:paraId="7085D735" w14:textId="77777777" w:rsidR="000C03CF" w:rsidRPr="000D2162" w:rsidRDefault="000C03CF" w:rsidP="000C03CF">
      <w:pPr>
        <w:pStyle w:val="ListParagraph"/>
        <w:numPr>
          <w:ilvl w:val="0"/>
          <w:numId w:val="1"/>
        </w:numPr>
        <w:rPr>
          <w:b/>
          <w:bCs/>
        </w:rPr>
      </w:pPr>
      <w:r w:rsidRPr="000D2162">
        <w:rPr>
          <w:b/>
          <w:bCs/>
        </w:rPr>
        <w:t xml:space="preserve">With respect to improvements post-consent, have we identified the right areas to speed up delivery of infrastructure after planning consent is granted? </w:t>
      </w:r>
    </w:p>
    <w:p w14:paraId="6A5E061B" w14:textId="22573E61" w:rsidR="00153239" w:rsidRDefault="00153239" w:rsidP="004B2647">
      <w:pPr>
        <w:ind w:left="360"/>
        <w:rPr>
          <w:i/>
          <w:iCs/>
        </w:rPr>
      </w:pPr>
      <w:r>
        <w:rPr>
          <w:i/>
          <w:iCs/>
        </w:rPr>
        <w:t xml:space="preserve">We would like to refer you to our work </w:t>
      </w:r>
      <w:r w:rsidR="00A1489A">
        <w:rPr>
          <w:i/>
          <w:iCs/>
        </w:rPr>
        <w:t xml:space="preserve">in 2023 </w:t>
      </w:r>
      <w:r>
        <w:rPr>
          <w:i/>
          <w:iCs/>
        </w:rPr>
        <w:t xml:space="preserve">for the National Infrastructure Planning Association on </w:t>
      </w:r>
      <w:r w:rsidR="00A1489A">
        <w:rPr>
          <w:i/>
          <w:iCs/>
        </w:rPr>
        <w:t>practitioner’s perspectives on DCO implementation which focussed specifically on the post-consent stage</w:t>
      </w:r>
      <w:r w:rsidR="002C1F26">
        <w:rPr>
          <w:i/>
          <w:iCs/>
        </w:rPr>
        <w:t>, and improvements needed to support delivery.</w:t>
      </w:r>
      <w:r w:rsidR="00A1489A">
        <w:rPr>
          <w:i/>
          <w:iCs/>
        </w:rPr>
        <w:t xml:space="preserve"> </w:t>
      </w:r>
      <w:r w:rsidR="003C1E1C">
        <w:rPr>
          <w:i/>
          <w:iCs/>
        </w:rPr>
        <w:t xml:space="preserve">The detail contained within both the main report and the detailed case studies may be of use in considering different elements of the post-consent stage. </w:t>
      </w:r>
    </w:p>
    <w:p w14:paraId="588BE63B" w14:textId="5B595CD3" w:rsidR="00A1489A" w:rsidRDefault="00A1489A" w:rsidP="00A1489A">
      <w:pPr>
        <w:ind w:left="360"/>
      </w:pPr>
      <w:hyperlink r:id="rId5" w:history="1">
        <w:r w:rsidRPr="0067491E">
          <w:rPr>
            <w:rStyle w:val="Hyperlink"/>
          </w:rPr>
          <w:t>https://nipa-uk.org/wp-content/uploads/2023/08/NIPA_Hindsights_Final_Report.05.07.2023.pdf</w:t>
        </w:r>
      </w:hyperlink>
    </w:p>
    <w:p w14:paraId="0A9123E4" w14:textId="2827916D" w:rsidR="00F30BF6" w:rsidRDefault="00F30BF6" w:rsidP="00F30BF6">
      <w:pPr>
        <w:ind w:left="360"/>
      </w:pPr>
      <w:hyperlink r:id="rId6" w:history="1">
        <w:r w:rsidRPr="0067491E">
          <w:rPr>
            <w:rStyle w:val="Hyperlink"/>
          </w:rPr>
          <w:t>https://nipa-uk.org/wp-content/uploads/2023/08/NIPA_Insights_III_Supplementary_Report_Case_Studies_05.07.23.pdf</w:t>
        </w:r>
      </w:hyperlink>
    </w:p>
    <w:p w14:paraId="0C0FE334" w14:textId="61FB46A5" w:rsidR="00A1489A" w:rsidRDefault="003C1E1C" w:rsidP="004B2647">
      <w:pPr>
        <w:ind w:left="360"/>
        <w:rPr>
          <w:i/>
          <w:iCs/>
        </w:rPr>
      </w:pPr>
      <w:proofErr w:type="gramStart"/>
      <w:r>
        <w:rPr>
          <w:i/>
          <w:iCs/>
        </w:rPr>
        <w:t>In particular, w</w:t>
      </w:r>
      <w:r w:rsidR="00A1489A">
        <w:rPr>
          <w:i/>
          <w:iCs/>
        </w:rPr>
        <w:t>e</w:t>
      </w:r>
      <w:proofErr w:type="gramEnd"/>
      <w:r w:rsidR="00A1489A">
        <w:rPr>
          <w:i/>
          <w:iCs/>
        </w:rPr>
        <w:t xml:space="preserve"> are very supportive of your proposals around the post-consent change process. This has had a significant impact on the ability of promoters to be able to implement </w:t>
      </w:r>
      <w:r w:rsidR="00F30BF6">
        <w:rPr>
          <w:i/>
          <w:iCs/>
        </w:rPr>
        <w:t xml:space="preserve">important </w:t>
      </w:r>
      <w:r w:rsidR="002C1F26">
        <w:rPr>
          <w:i/>
          <w:iCs/>
        </w:rPr>
        <w:t>changes in the wider public and environmental interest</w:t>
      </w:r>
      <w:r w:rsidR="00F30BF6">
        <w:rPr>
          <w:i/>
          <w:iCs/>
        </w:rPr>
        <w:t xml:space="preserve">, as well as </w:t>
      </w:r>
      <w:r w:rsidR="002C1F26">
        <w:rPr>
          <w:i/>
          <w:iCs/>
        </w:rPr>
        <w:t xml:space="preserve">practical changes to ease the process of construction. </w:t>
      </w:r>
    </w:p>
    <w:p w14:paraId="351C15BB" w14:textId="1E9AECDC" w:rsidR="007B76D3" w:rsidRPr="008B3A8C" w:rsidRDefault="00B81796" w:rsidP="004B2647">
      <w:pPr>
        <w:ind w:left="360"/>
        <w:rPr>
          <w:i/>
          <w:iCs/>
        </w:rPr>
      </w:pPr>
      <w:r w:rsidRPr="008B3A8C">
        <w:rPr>
          <w:i/>
          <w:iCs/>
        </w:rPr>
        <w:t xml:space="preserve">We note </w:t>
      </w:r>
      <w:r w:rsidR="00F30BF6" w:rsidRPr="008B3A8C">
        <w:rPr>
          <w:i/>
          <w:iCs/>
        </w:rPr>
        <w:t>no mention in the working paper to the process of discharge of requirements</w:t>
      </w:r>
      <w:r w:rsidR="00B225AE">
        <w:rPr>
          <w:i/>
          <w:iCs/>
        </w:rPr>
        <w:t xml:space="preserve"> (</w:t>
      </w:r>
      <w:proofErr w:type="spellStart"/>
      <w:r w:rsidR="00B225AE">
        <w:rPr>
          <w:i/>
          <w:iCs/>
        </w:rPr>
        <w:t>DoR</w:t>
      </w:r>
      <w:proofErr w:type="spellEnd"/>
      <w:r w:rsidR="00B225AE">
        <w:rPr>
          <w:i/>
          <w:iCs/>
        </w:rPr>
        <w:t>)</w:t>
      </w:r>
      <w:r w:rsidR="00F30BF6" w:rsidRPr="008B3A8C">
        <w:rPr>
          <w:i/>
          <w:iCs/>
        </w:rPr>
        <w:t xml:space="preserve">. </w:t>
      </w:r>
      <w:r w:rsidR="00851953">
        <w:rPr>
          <w:i/>
          <w:iCs/>
        </w:rPr>
        <w:t xml:space="preserve">Whilst this </w:t>
      </w:r>
      <w:r w:rsidRPr="008B3A8C">
        <w:rPr>
          <w:i/>
          <w:iCs/>
        </w:rPr>
        <w:t xml:space="preserve">is not an area of practice requiring </w:t>
      </w:r>
      <w:r w:rsidR="00851953">
        <w:rPr>
          <w:i/>
          <w:iCs/>
        </w:rPr>
        <w:t xml:space="preserve">legislative or policy </w:t>
      </w:r>
      <w:r w:rsidRPr="008B3A8C">
        <w:rPr>
          <w:i/>
          <w:iCs/>
        </w:rPr>
        <w:t>reform</w:t>
      </w:r>
      <w:r w:rsidR="00851953">
        <w:rPr>
          <w:i/>
          <w:iCs/>
        </w:rPr>
        <w:t xml:space="preserve">, </w:t>
      </w:r>
      <w:r w:rsidRPr="008B3A8C">
        <w:rPr>
          <w:i/>
          <w:iCs/>
        </w:rPr>
        <w:t>we emphas</w:t>
      </w:r>
      <w:r w:rsidR="00851953">
        <w:rPr>
          <w:i/>
          <w:iCs/>
        </w:rPr>
        <w:t>ise</w:t>
      </w:r>
      <w:r w:rsidRPr="008B3A8C">
        <w:rPr>
          <w:i/>
          <w:iCs/>
        </w:rPr>
        <w:t xml:space="preserve"> that this is </w:t>
      </w:r>
      <w:r w:rsidR="00F30BF6" w:rsidRPr="008B3A8C">
        <w:rPr>
          <w:i/>
          <w:iCs/>
        </w:rPr>
        <w:t xml:space="preserve">a significant part of the post-consent stage, </w:t>
      </w:r>
      <w:r w:rsidR="00F30BF6" w:rsidRPr="008B3A8C">
        <w:rPr>
          <w:i/>
          <w:iCs/>
        </w:rPr>
        <w:lastRenderedPageBreak/>
        <w:t xml:space="preserve">and one which receives little attention in discussions about how to speed up delivery. </w:t>
      </w:r>
      <w:r w:rsidR="007B76D3" w:rsidRPr="008B3A8C">
        <w:rPr>
          <w:i/>
          <w:iCs/>
        </w:rPr>
        <w:t xml:space="preserve">Here, </w:t>
      </w:r>
      <w:r w:rsidRPr="008B3A8C">
        <w:rPr>
          <w:i/>
          <w:iCs/>
        </w:rPr>
        <w:t xml:space="preserve">significant </w:t>
      </w:r>
      <w:r w:rsidR="007F1E61">
        <w:rPr>
          <w:i/>
          <w:iCs/>
        </w:rPr>
        <w:t xml:space="preserve">regard </w:t>
      </w:r>
      <w:r w:rsidR="007B76D3" w:rsidRPr="008B3A8C">
        <w:rPr>
          <w:i/>
          <w:iCs/>
        </w:rPr>
        <w:t xml:space="preserve">is needed to the resources </w:t>
      </w:r>
      <w:r w:rsidRPr="008B3A8C">
        <w:rPr>
          <w:i/>
          <w:iCs/>
        </w:rPr>
        <w:t xml:space="preserve">of both LPAs and other statutory bodies that have a role in </w:t>
      </w:r>
      <w:proofErr w:type="spellStart"/>
      <w:r w:rsidR="00B225AE">
        <w:rPr>
          <w:i/>
          <w:iCs/>
        </w:rPr>
        <w:t>DoR</w:t>
      </w:r>
      <w:r w:rsidRPr="008B3A8C">
        <w:rPr>
          <w:i/>
          <w:iCs/>
        </w:rPr>
        <w:t>.</w:t>
      </w:r>
      <w:proofErr w:type="spellEnd"/>
      <w:r w:rsidR="00B225AE">
        <w:rPr>
          <w:i/>
          <w:iCs/>
        </w:rPr>
        <w:t xml:space="preserve"> </w:t>
      </w:r>
      <w:r w:rsidRPr="008B3A8C">
        <w:rPr>
          <w:i/>
          <w:iCs/>
        </w:rPr>
        <w:t xml:space="preserve"> For those </w:t>
      </w:r>
      <w:r w:rsidR="007B76D3" w:rsidRPr="008B3A8C">
        <w:rPr>
          <w:i/>
          <w:iCs/>
        </w:rPr>
        <w:t xml:space="preserve">local authorities with little experience </w:t>
      </w:r>
      <w:r w:rsidRPr="008B3A8C">
        <w:rPr>
          <w:i/>
          <w:iCs/>
        </w:rPr>
        <w:t xml:space="preserve">and knowledge </w:t>
      </w:r>
      <w:r w:rsidR="007B76D3" w:rsidRPr="008B3A8C">
        <w:rPr>
          <w:i/>
          <w:iCs/>
        </w:rPr>
        <w:t>of NSIPs</w:t>
      </w:r>
      <w:r w:rsidRPr="008B3A8C">
        <w:rPr>
          <w:i/>
          <w:iCs/>
        </w:rPr>
        <w:t>, th</w:t>
      </w:r>
      <w:r w:rsidR="00B225AE">
        <w:rPr>
          <w:i/>
          <w:iCs/>
        </w:rPr>
        <w:t xml:space="preserve">e </w:t>
      </w:r>
      <w:proofErr w:type="spellStart"/>
      <w:r w:rsidR="00B225AE">
        <w:rPr>
          <w:i/>
          <w:iCs/>
        </w:rPr>
        <w:t>DoR</w:t>
      </w:r>
      <w:proofErr w:type="spellEnd"/>
      <w:r w:rsidR="00B225AE">
        <w:rPr>
          <w:i/>
          <w:iCs/>
        </w:rPr>
        <w:t xml:space="preserve"> process </w:t>
      </w:r>
      <w:r w:rsidRPr="008B3A8C">
        <w:rPr>
          <w:i/>
          <w:iCs/>
        </w:rPr>
        <w:t xml:space="preserve">is a significant </w:t>
      </w:r>
      <w:r w:rsidR="00B225AE">
        <w:rPr>
          <w:i/>
          <w:iCs/>
        </w:rPr>
        <w:t xml:space="preserve">challenge in relation to both resources and experience. </w:t>
      </w:r>
    </w:p>
    <w:p w14:paraId="5AB21998" w14:textId="77777777" w:rsidR="000C03CF" w:rsidRPr="00612BE5" w:rsidRDefault="000C03CF" w:rsidP="000C03CF">
      <w:pPr>
        <w:pStyle w:val="ListParagraph"/>
        <w:numPr>
          <w:ilvl w:val="0"/>
          <w:numId w:val="1"/>
        </w:numPr>
        <w:rPr>
          <w:b/>
          <w:bCs/>
        </w:rPr>
      </w:pPr>
      <w:r w:rsidRPr="00612BE5">
        <w:rPr>
          <w:b/>
          <w:bCs/>
        </w:rPr>
        <w:t xml:space="preserve">What are the best ways to improve take-up of section 150 of the Planning Act? Do you think the approach of section 149A has the potential to be applied to other licences and consents more generally? </w:t>
      </w:r>
    </w:p>
    <w:p w14:paraId="40CB465D" w14:textId="20619EDB" w:rsidR="005619CA" w:rsidRPr="00486005" w:rsidRDefault="0031247B" w:rsidP="00486005">
      <w:pPr>
        <w:ind w:left="360"/>
        <w:rPr>
          <w:i/>
          <w:iCs/>
        </w:rPr>
      </w:pPr>
      <w:r w:rsidRPr="00612BE5">
        <w:rPr>
          <w:i/>
          <w:iCs/>
        </w:rPr>
        <w:t xml:space="preserve">Yes, </w:t>
      </w:r>
      <w:r w:rsidR="002E2E31" w:rsidRPr="00612BE5">
        <w:rPr>
          <w:i/>
          <w:iCs/>
        </w:rPr>
        <w:t>further work</w:t>
      </w:r>
      <w:r w:rsidR="007B76D3">
        <w:rPr>
          <w:i/>
          <w:iCs/>
        </w:rPr>
        <w:t xml:space="preserve">, is needed in this area as </w:t>
      </w:r>
      <w:r w:rsidR="002E2E31" w:rsidRPr="00612BE5">
        <w:rPr>
          <w:i/>
          <w:iCs/>
        </w:rPr>
        <w:t>outline</w:t>
      </w:r>
      <w:r w:rsidR="007B76D3">
        <w:rPr>
          <w:i/>
          <w:iCs/>
        </w:rPr>
        <w:t>d</w:t>
      </w:r>
      <w:r w:rsidR="002E2E31" w:rsidRPr="00612BE5">
        <w:rPr>
          <w:i/>
          <w:iCs/>
        </w:rPr>
        <w:t xml:space="preserve"> on page 13 of the </w:t>
      </w:r>
      <w:r w:rsidR="007B76D3">
        <w:rPr>
          <w:i/>
          <w:iCs/>
        </w:rPr>
        <w:t xml:space="preserve">working </w:t>
      </w:r>
      <w:r w:rsidR="002E2E31" w:rsidRPr="00612BE5">
        <w:rPr>
          <w:i/>
          <w:iCs/>
        </w:rPr>
        <w:t>paper</w:t>
      </w:r>
      <w:r w:rsidR="007B76D3">
        <w:rPr>
          <w:i/>
          <w:iCs/>
        </w:rPr>
        <w:t>.</w:t>
      </w:r>
      <w:r w:rsidR="002E2E31" w:rsidRPr="00612BE5">
        <w:rPr>
          <w:i/>
          <w:iCs/>
        </w:rPr>
        <w:t xml:space="preserve"> </w:t>
      </w:r>
      <w:r w:rsidR="007B76D3">
        <w:rPr>
          <w:i/>
          <w:iCs/>
        </w:rPr>
        <w:t>Indeed, we specifically called for a review of licenses and permits</w:t>
      </w:r>
      <w:r w:rsidR="00BC6AF6">
        <w:rPr>
          <w:i/>
          <w:iCs/>
        </w:rPr>
        <w:t xml:space="preserve"> </w:t>
      </w:r>
      <w:r w:rsidR="004A54D0">
        <w:rPr>
          <w:i/>
          <w:iCs/>
        </w:rPr>
        <w:t xml:space="preserve">in our work for NIPA [linked above] </w:t>
      </w:r>
      <w:r w:rsidR="00BC6AF6">
        <w:rPr>
          <w:i/>
          <w:iCs/>
        </w:rPr>
        <w:t xml:space="preserve">to </w:t>
      </w:r>
      <w:r w:rsidR="00894A4F">
        <w:rPr>
          <w:i/>
          <w:iCs/>
        </w:rPr>
        <w:t xml:space="preserve">consider </w:t>
      </w:r>
      <w:r w:rsidR="00BC6AF6">
        <w:rPr>
          <w:i/>
          <w:iCs/>
        </w:rPr>
        <w:t xml:space="preserve">how these could be brought into the one-stop shop approach. Many promoters </w:t>
      </w:r>
      <w:r w:rsidR="007C45BF">
        <w:rPr>
          <w:i/>
          <w:iCs/>
        </w:rPr>
        <w:t xml:space="preserve">do </w:t>
      </w:r>
      <w:r w:rsidR="00BC6AF6">
        <w:rPr>
          <w:i/>
          <w:iCs/>
        </w:rPr>
        <w:t>not consider the one</w:t>
      </w:r>
      <w:r w:rsidR="009C14B9">
        <w:rPr>
          <w:i/>
          <w:iCs/>
        </w:rPr>
        <w:t>-</w:t>
      </w:r>
      <w:r w:rsidR="00BC6AF6">
        <w:rPr>
          <w:i/>
          <w:iCs/>
        </w:rPr>
        <w:t xml:space="preserve">stop shop as initially envisaged by the 2008 Act to be the reality of the </w:t>
      </w:r>
      <w:r w:rsidR="003C163C">
        <w:rPr>
          <w:i/>
          <w:iCs/>
        </w:rPr>
        <w:t xml:space="preserve">NSIP </w:t>
      </w:r>
      <w:r w:rsidR="003C4219">
        <w:rPr>
          <w:i/>
          <w:iCs/>
        </w:rPr>
        <w:t xml:space="preserve">regime as currently operating. </w:t>
      </w:r>
    </w:p>
    <w:p w14:paraId="7576F134" w14:textId="43E735B3" w:rsidR="000D2162" w:rsidRPr="00486005" w:rsidRDefault="000C03CF" w:rsidP="00486005">
      <w:pPr>
        <w:pStyle w:val="ListParagraph"/>
        <w:numPr>
          <w:ilvl w:val="0"/>
          <w:numId w:val="1"/>
        </w:numPr>
        <w:rPr>
          <w:b/>
          <w:bCs/>
        </w:rPr>
      </w:pPr>
      <w:r w:rsidRPr="00D50C1D">
        <w:rPr>
          <w:b/>
          <w:bCs/>
        </w:rPr>
        <w:t xml:space="preserve">With respect to providing for additional flexibility, do you support the introduction of a power to enable Secretaries of State to direct projects out of the NSIP regime? Are there broader consequences for the planning system or safeguards we should consider? </w:t>
      </w:r>
    </w:p>
    <w:p w14:paraId="7AD67FE4" w14:textId="7EF26DA8" w:rsidR="00AA4EF8" w:rsidRPr="00706EFC" w:rsidRDefault="003C4219" w:rsidP="00706EFC">
      <w:pPr>
        <w:rPr>
          <w:i/>
          <w:iCs/>
        </w:rPr>
      </w:pPr>
      <w:r w:rsidRPr="00706EFC">
        <w:rPr>
          <w:i/>
          <w:iCs/>
        </w:rPr>
        <w:t xml:space="preserve">We are supportive – in principle – to the proposed </w:t>
      </w:r>
      <w:r w:rsidR="00AD76A7" w:rsidRPr="00706EFC">
        <w:rPr>
          <w:i/>
          <w:iCs/>
        </w:rPr>
        <w:t>opt out</w:t>
      </w:r>
      <w:r w:rsidR="00E0668F" w:rsidRPr="00706EFC">
        <w:rPr>
          <w:i/>
          <w:iCs/>
        </w:rPr>
        <w:t>.</w:t>
      </w:r>
      <w:r w:rsidR="00AD76A7" w:rsidRPr="00706EFC">
        <w:rPr>
          <w:i/>
          <w:iCs/>
        </w:rPr>
        <w:t xml:space="preserve"> </w:t>
      </w:r>
      <w:r w:rsidR="00E0668F" w:rsidRPr="00706EFC">
        <w:rPr>
          <w:i/>
          <w:iCs/>
        </w:rPr>
        <w:t>P</w:t>
      </w:r>
      <w:r w:rsidR="00AD76A7" w:rsidRPr="00706EFC">
        <w:rPr>
          <w:i/>
          <w:iCs/>
        </w:rPr>
        <w:t>ara</w:t>
      </w:r>
      <w:r w:rsidRPr="00706EFC">
        <w:rPr>
          <w:i/>
          <w:iCs/>
        </w:rPr>
        <w:t>graph</w:t>
      </w:r>
      <w:r w:rsidR="00AD76A7" w:rsidRPr="00706EFC">
        <w:rPr>
          <w:i/>
          <w:iCs/>
        </w:rPr>
        <w:t xml:space="preserve"> 42 </w:t>
      </w:r>
      <w:r w:rsidRPr="00706EFC">
        <w:rPr>
          <w:i/>
          <w:iCs/>
        </w:rPr>
        <w:t xml:space="preserve">of the working paper </w:t>
      </w:r>
      <w:r w:rsidR="00AD76A7" w:rsidRPr="00706EFC">
        <w:rPr>
          <w:i/>
          <w:iCs/>
        </w:rPr>
        <w:t>is convincing</w:t>
      </w:r>
      <w:r w:rsidRPr="00706EFC">
        <w:rPr>
          <w:i/>
          <w:iCs/>
        </w:rPr>
        <w:t xml:space="preserve"> in this regard</w:t>
      </w:r>
      <w:r w:rsidR="00AD76A7" w:rsidRPr="00706EFC">
        <w:rPr>
          <w:i/>
          <w:iCs/>
        </w:rPr>
        <w:t xml:space="preserve">. </w:t>
      </w:r>
      <w:r w:rsidRPr="00706EFC">
        <w:rPr>
          <w:i/>
          <w:iCs/>
        </w:rPr>
        <w:t xml:space="preserve">The paper states that “the Secretary of State would prepare and publish criteria for making these decisions”. This is </w:t>
      </w:r>
      <w:r w:rsidR="00F723D9" w:rsidRPr="00706EFC">
        <w:rPr>
          <w:i/>
          <w:iCs/>
        </w:rPr>
        <w:t xml:space="preserve">critical. Without transparency of criteria, there is a significant danger that any opt out arrangements create significant confusion for stakeholders – including for local communities.  </w:t>
      </w:r>
    </w:p>
    <w:p w14:paraId="7D5DDEC7" w14:textId="77777777" w:rsidR="000C03CF" w:rsidRDefault="000C03CF" w:rsidP="000C03CF">
      <w:pPr>
        <w:pStyle w:val="ListParagraph"/>
      </w:pPr>
    </w:p>
    <w:p w14:paraId="5D69C846" w14:textId="59594CB3" w:rsidR="000C03CF" w:rsidRDefault="000C03CF" w:rsidP="000C03CF">
      <w:pPr>
        <w:pStyle w:val="ListParagraph"/>
        <w:numPr>
          <w:ilvl w:val="0"/>
          <w:numId w:val="1"/>
        </w:numPr>
        <w:rPr>
          <w:b/>
          <w:bCs/>
        </w:rPr>
      </w:pPr>
      <w:r w:rsidRPr="00137237">
        <w:rPr>
          <w:b/>
          <w:bCs/>
        </w:rPr>
        <w:t xml:space="preserve">Do you believe there is a need for the consenting process to be modified or adapted to reflect the characteristics of a particular project or projects? Have we identified the main issues with existing projects and those likely to come forward </w:t>
      </w:r>
      <w:proofErr w:type="gramStart"/>
      <w:r w:rsidRPr="00137237">
        <w:rPr>
          <w:b/>
          <w:bCs/>
        </w:rPr>
        <w:t>in the near future</w:t>
      </w:r>
      <w:proofErr w:type="gramEnd"/>
      <w:r w:rsidRPr="00137237">
        <w:rPr>
          <w:b/>
          <w:bCs/>
        </w:rPr>
        <w:t>? Can we address these challenges appropriately through secondary legislation and guidance; or is there a case for a broad power to enable variations in general? What scope should such a power have and what safeguards should accompany it? If a general process modification power is not necessary, what further targeted changes to the current regime would help ensure it can adequately deal with the complexity and volume of projects expected over the coming years?</w:t>
      </w:r>
    </w:p>
    <w:p w14:paraId="3E1D78F0" w14:textId="77777777" w:rsidR="003E307D" w:rsidRDefault="003E307D" w:rsidP="003E307D">
      <w:pPr>
        <w:pStyle w:val="ListParagraph"/>
        <w:rPr>
          <w:b/>
          <w:bCs/>
        </w:rPr>
      </w:pPr>
    </w:p>
    <w:p w14:paraId="55CC67C9" w14:textId="4CAE3084" w:rsidR="00706EFC" w:rsidRDefault="00B81796" w:rsidP="00706EFC">
      <w:pPr>
        <w:ind w:left="360"/>
        <w:rPr>
          <w:i/>
          <w:iCs/>
        </w:rPr>
      </w:pPr>
      <w:r>
        <w:rPr>
          <w:i/>
          <w:iCs/>
        </w:rPr>
        <w:t>W</w:t>
      </w:r>
      <w:r w:rsidR="00706EFC">
        <w:rPr>
          <w:i/>
          <w:iCs/>
        </w:rPr>
        <w:t>e note</w:t>
      </w:r>
      <w:r>
        <w:rPr>
          <w:i/>
          <w:iCs/>
        </w:rPr>
        <w:t xml:space="preserve"> several </w:t>
      </w:r>
      <w:r w:rsidR="00706EFC">
        <w:rPr>
          <w:i/>
          <w:iCs/>
        </w:rPr>
        <w:t>mention</w:t>
      </w:r>
      <w:r>
        <w:rPr>
          <w:i/>
          <w:iCs/>
        </w:rPr>
        <w:t>s</w:t>
      </w:r>
      <w:r w:rsidR="00706EFC">
        <w:rPr>
          <w:i/>
          <w:iCs/>
        </w:rPr>
        <w:t xml:space="preserve"> within the working paper to the need for certainty </w:t>
      </w:r>
      <w:r>
        <w:rPr>
          <w:i/>
          <w:iCs/>
        </w:rPr>
        <w:t xml:space="preserve">for both promoters and communities. </w:t>
      </w:r>
      <w:r w:rsidR="00693E22">
        <w:rPr>
          <w:i/>
          <w:iCs/>
        </w:rPr>
        <w:t>Here, w</w:t>
      </w:r>
      <w:r w:rsidR="00EE641D">
        <w:rPr>
          <w:i/>
          <w:iCs/>
        </w:rPr>
        <w:t xml:space="preserve">e wish to briefly highlight the longstanding dilemma in planning between </w:t>
      </w:r>
      <w:r w:rsidR="00693E22">
        <w:rPr>
          <w:i/>
          <w:iCs/>
        </w:rPr>
        <w:t xml:space="preserve">measures that </w:t>
      </w:r>
      <w:r w:rsidR="00EE641D">
        <w:rPr>
          <w:i/>
          <w:iCs/>
        </w:rPr>
        <w:t>increas</w:t>
      </w:r>
      <w:r w:rsidR="00693E22">
        <w:rPr>
          <w:i/>
          <w:iCs/>
        </w:rPr>
        <w:t>e</w:t>
      </w:r>
      <w:r w:rsidR="00EE641D">
        <w:rPr>
          <w:i/>
          <w:iCs/>
        </w:rPr>
        <w:t xml:space="preserve"> certainty</w:t>
      </w:r>
      <w:r w:rsidR="00693E22">
        <w:rPr>
          <w:i/>
          <w:iCs/>
        </w:rPr>
        <w:t xml:space="preserve"> for promoters (in relation to speed and </w:t>
      </w:r>
      <w:r w:rsidR="007843BC">
        <w:rPr>
          <w:i/>
          <w:iCs/>
        </w:rPr>
        <w:t xml:space="preserve">outcome of </w:t>
      </w:r>
      <w:r w:rsidR="00693E22">
        <w:rPr>
          <w:i/>
          <w:iCs/>
        </w:rPr>
        <w:t xml:space="preserve">decision making) with the desire for increased </w:t>
      </w:r>
      <w:r w:rsidR="00693E22">
        <w:rPr>
          <w:i/>
          <w:iCs/>
        </w:rPr>
        <w:lastRenderedPageBreak/>
        <w:t>flexibility</w:t>
      </w:r>
      <w:r w:rsidR="007843BC">
        <w:rPr>
          <w:i/>
          <w:iCs/>
        </w:rPr>
        <w:t xml:space="preserve">, </w:t>
      </w:r>
      <w:proofErr w:type="gramStart"/>
      <w:r w:rsidR="007843BC">
        <w:rPr>
          <w:i/>
          <w:iCs/>
        </w:rPr>
        <w:t>in particular to</w:t>
      </w:r>
      <w:proofErr w:type="gramEnd"/>
      <w:r w:rsidR="007843BC">
        <w:rPr>
          <w:i/>
          <w:iCs/>
        </w:rPr>
        <w:t xml:space="preserve"> support the delivery phase</w:t>
      </w:r>
      <w:r w:rsidR="00693E22">
        <w:rPr>
          <w:i/>
          <w:iCs/>
        </w:rPr>
        <w:t xml:space="preserve">. </w:t>
      </w:r>
      <w:r w:rsidR="007843BC">
        <w:rPr>
          <w:i/>
          <w:iCs/>
        </w:rPr>
        <w:t>In practice, th</w:t>
      </w:r>
      <w:r w:rsidR="00EA49FE">
        <w:rPr>
          <w:i/>
          <w:iCs/>
        </w:rPr>
        <w:t>e</w:t>
      </w:r>
      <w:r w:rsidR="007843BC">
        <w:rPr>
          <w:i/>
          <w:iCs/>
        </w:rPr>
        <w:t xml:space="preserve"> </w:t>
      </w:r>
      <w:r w:rsidR="00693E22">
        <w:rPr>
          <w:i/>
          <w:iCs/>
        </w:rPr>
        <w:t xml:space="preserve">holy grail </w:t>
      </w:r>
      <w:r w:rsidR="007843BC">
        <w:rPr>
          <w:i/>
          <w:iCs/>
        </w:rPr>
        <w:t xml:space="preserve">that achieves both is difficult to achieve.  However, it is important to note that significant improvements can be achieved </w:t>
      </w:r>
      <w:r w:rsidR="00EA49FE">
        <w:rPr>
          <w:i/>
          <w:iCs/>
        </w:rPr>
        <w:t xml:space="preserve">to the operation of the regime </w:t>
      </w:r>
      <w:r w:rsidR="007843BC">
        <w:rPr>
          <w:i/>
          <w:iCs/>
        </w:rPr>
        <w:t xml:space="preserve">without </w:t>
      </w:r>
      <w:r w:rsidR="00EA49FE">
        <w:rPr>
          <w:i/>
          <w:iCs/>
        </w:rPr>
        <w:t xml:space="preserve">major </w:t>
      </w:r>
      <w:r w:rsidR="007843BC">
        <w:rPr>
          <w:i/>
          <w:iCs/>
        </w:rPr>
        <w:t>systems reform, that focus instead of culture and practice</w:t>
      </w:r>
      <w:r w:rsidR="00010C64">
        <w:rPr>
          <w:i/>
          <w:iCs/>
        </w:rPr>
        <w:t>, including (but not limited to) for example, greater project-based learning and sharing, improved e</w:t>
      </w:r>
      <w:r w:rsidR="007843BC">
        <w:rPr>
          <w:i/>
          <w:iCs/>
        </w:rPr>
        <w:t>arly contractor engagement</w:t>
      </w:r>
      <w:r w:rsidR="00010C64">
        <w:rPr>
          <w:i/>
          <w:iCs/>
        </w:rPr>
        <w:t>, closer working between the engineering and wider built environment and legal professions.</w:t>
      </w:r>
      <w:r w:rsidR="00262061">
        <w:rPr>
          <w:i/>
          <w:iCs/>
        </w:rPr>
        <w:t xml:space="preserve"> </w:t>
      </w:r>
      <w:r w:rsidR="00010C64">
        <w:rPr>
          <w:i/>
          <w:iCs/>
        </w:rPr>
        <w:t xml:space="preserve">   </w:t>
      </w:r>
    </w:p>
    <w:p w14:paraId="1830F199" w14:textId="0F6BA5B5" w:rsidR="00262061" w:rsidRDefault="00262061" w:rsidP="00706EFC">
      <w:pPr>
        <w:ind w:left="360"/>
        <w:rPr>
          <w:i/>
          <w:iCs/>
        </w:rPr>
      </w:pPr>
      <w:r>
        <w:rPr>
          <w:i/>
          <w:iCs/>
        </w:rPr>
        <w:t>To note:</w:t>
      </w:r>
    </w:p>
    <w:p w14:paraId="072C55FC" w14:textId="21E71658" w:rsidR="00DC572A" w:rsidRDefault="00262061" w:rsidP="00706EFC">
      <w:pPr>
        <w:ind w:left="360"/>
        <w:rPr>
          <w:i/>
          <w:iCs/>
        </w:rPr>
      </w:pPr>
      <w:r>
        <w:rPr>
          <w:i/>
          <w:iCs/>
        </w:rPr>
        <w:t xml:space="preserve">We have recently had accepted for publication an academic journal paper on balancing flexibility and certainty in national infrastructure planning. This provides </w:t>
      </w:r>
      <w:r w:rsidR="00324821">
        <w:rPr>
          <w:i/>
          <w:iCs/>
        </w:rPr>
        <w:t xml:space="preserve">a wider set of </w:t>
      </w:r>
      <w:r>
        <w:rPr>
          <w:i/>
          <w:iCs/>
        </w:rPr>
        <w:t>reflection</w:t>
      </w:r>
      <w:r w:rsidR="00977275">
        <w:rPr>
          <w:i/>
          <w:iCs/>
        </w:rPr>
        <w:t>s</w:t>
      </w:r>
      <w:r w:rsidR="005A162A">
        <w:rPr>
          <w:i/>
          <w:iCs/>
        </w:rPr>
        <w:t xml:space="preserve"> on issues of flexibility</w:t>
      </w:r>
      <w:r w:rsidR="001313F7">
        <w:rPr>
          <w:i/>
          <w:iCs/>
        </w:rPr>
        <w:t xml:space="preserve"> </w:t>
      </w:r>
      <w:r w:rsidR="00324821">
        <w:rPr>
          <w:i/>
          <w:iCs/>
        </w:rPr>
        <w:t>as well as a</w:t>
      </w:r>
      <w:r w:rsidR="00DC572A">
        <w:rPr>
          <w:i/>
          <w:iCs/>
        </w:rPr>
        <w:t xml:space="preserve"> literature review that highlights relevant contributions from the </w:t>
      </w:r>
      <w:r w:rsidR="004122B1">
        <w:rPr>
          <w:i/>
          <w:iCs/>
        </w:rPr>
        <w:t xml:space="preserve">fields of planning, engineering, </w:t>
      </w:r>
      <w:r w:rsidR="00D7226A">
        <w:rPr>
          <w:i/>
          <w:iCs/>
        </w:rPr>
        <w:t>and project management.</w:t>
      </w:r>
    </w:p>
    <w:p w14:paraId="6B871145" w14:textId="5FD7CB50" w:rsidR="00262061" w:rsidRDefault="001313F7" w:rsidP="00706EFC">
      <w:pPr>
        <w:ind w:left="360"/>
        <w:rPr>
          <w:i/>
          <w:iCs/>
        </w:rPr>
      </w:pPr>
      <w:r>
        <w:rPr>
          <w:i/>
          <w:iCs/>
        </w:rPr>
        <w:t xml:space="preserve">We are sharing this with the MHCLG ahead of publication so would be grateful if this is not circulated widely. </w:t>
      </w:r>
      <w:r w:rsidR="005A162A">
        <w:rPr>
          <w:i/>
          <w:iCs/>
        </w:rPr>
        <w:t xml:space="preserve"> </w:t>
      </w:r>
    </w:p>
    <w:p w14:paraId="16DC1885" w14:textId="6B77171C" w:rsidR="00426CE4" w:rsidRPr="00E11243" w:rsidRDefault="00426CE4" w:rsidP="00E11243">
      <w:pPr>
        <w:rPr>
          <w:b/>
          <w:bCs/>
          <w:i/>
          <w:iCs/>
        </w:rPr>
      </w:pPr>
    </w:p>
    <w:sectPr w:rsidR="00426CE4" w:rsidRPr="00E11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A29A3"/>
    <w:multiLevelType w:val="hybridMultilevel"/>
    <w:tmpl w:val="D3A88A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431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CF"/>
    <w:rsid w:val="00010C64"/>
    <w:rsid w:val="00017E2A"/>
    <w:rsid w:val="000275EE"/>
    <w:rsid w:val="000369D7"/>
    <w:rsid w:val="00045F41"/>
    <w:rsid w:val="0005610A"/>
    <w:rsid w:val="00057A94"/>
    <w:rsid w:val="00086A2C"/>
    <w:rsid w:val="000930EE"/>
    <w:rsid w:val="000C03CF"/>
    <w:rsid w:val="000C65F8"/>
    <w:rsid w:val="000D086B"/>
    <w:rsid w:val="000D2162"/>
    <w:rsid w:val="000E0A16"/>
    <w:rsid w:val="000F1F23"/>
    <w:rsid w:val="001313F7"/>
    <w:rsid w:val="00137237"/>
    <w:rsid w:val="00153239"/>
    <w:rsid w:val="00176EC6"/>
    <w:rsid w:val="001A3BE5"/>
    <w:rsid w:val="001A5BEA"/>
    <w:rsid w:val="001A682D"/>
    <w:rsid w:val="001B244D"/>
    <w:rsid w:val="001D2DAC"/>
    <w:rsid w:val="001E1C4B"/>
    <w:rsid w:val="001E6B0A"/>
    <w:rsid w:val="001F46C4"/>
    <w:rsid w:val="00210D71"/>
    <w:rsid w:val="00212D83"/>
    <w:rsid w:val="00226DDB"/>
    <w:rsid w:val="002335E6"/>
    <w:rsid w:val="00262061"/>
    <w:rsid w:val="002766F4"/>
    <w:rsid w:val="002A39A8"/>
    <w:rsid w:val="002C1F26"/>
    <w:rsid w:val="002E2E31"/>
    <w:rsid w:val="00304B63"/>
    <w:rsid w:val="00307048"/>
    <w:rsid w:val="0031247B"/>
    <w:rsid w:val="00314333"/>
    <w:rsid w:val="00324821"/>
    <w:rsid w:val="00324A81"/>
    <w:rsid w:val="00355269"/>
    <w:rsid w:val="003860F4"/>
    <w:rsid w:val="003C163C"/>
    <w:rsid w:val="003C1E1C"/>
    <w:rsid w:val="003C4219"/>
    <w:rsid w:val="003D0569"/>
    <w:rsid w:val="003E0A1D"/>
    <w:rsid w:val="003E307D"/>
    <w:rsid w:val="00407096"/>
    <w:rsid w:val="004122B1"/>
    <w:rsid w:val="00426CE4"/>
    <w:rsid w:val="0043033B"/>
    <w:rsid w:val="00437FF9"/>
    <w:rsid w:val="00486005"/>
    <w:rsid w:val="004A5319"/>
    <w:rsid w:val="004A54D0"/>
    <w:rsid w:val="004A5B85"/>
    <w:rsid w:val="004B2647"/>
    <w:rsid w:val="004B2ECA"/>
    <w:rsid w:val="004B339A"/>
    <w:rsid w:val="004C62D2"/>
    <w:rsid w:val="004C6FC1"/>
    <w:rsid w:val="004D68DC"/>
    <w:rsid w:val="004E0FAB"/>
    <w:rsid w:val="004E5CEE"/>
    <w:rsid w:val="00501AEE"/>
    <w:rsid w:val="00510754"/>
    <w:rsid w:val="0051617D"/>
    <w:rsid w:val="00517E0C"/>
    <w:rsid w:val="0052201A"/>
    <w:rsid w:val="00523769"/>
    <w:rsid w:val="0054154B"/>
    <w:rsid w:val="00551508"/>
    <w:rsid w:val="0055338F"/>
    <w:rsid w:val="005619CA"/>
    <w:rsid w:val="005A162A"/>
    <w:rsid w:val="005A704A"/>
    <w:rsid w:val="005A7ACC"/>
    <w:rsid w:val="005B32B1"/>
    <w:rsid w:val="005D3A8E"/>
    <w:rsid w:val="005D61D5"/>
    <w:rsid w:val="005F497E"/>
    <w:rsid w:val="00603426"/>
    <w:rsid w:val="00612BE5"/>
    <w:rsid w:val="006343E3"/>
    <w:rsid w:val="006552C0"/>
    <w:rsid w:val="00681B2D"/>
    <w:rsid w:val="00693E22"/>
    <w:rsid w:val="00697E40"/>
    <w:rsid w:val="006A1A37"/>
    <w:rsid w:val="006D3F65"/>
    <w:rsid w:val="00700F06"/>
    <w:rsid w:val="00706EFC"/>
    <w:rsid w:val="00712D1B"/>
    <w:rsid w:val="007146E5"/>
    <w:rsid w:val="00720B59"/>
    <w:rsid w:val="00726826"/>
    <w:rsid w:val="007355AF"/>
    <w:rsid w:val="00736605"/>
    <w:rsid w:val="00740388"/>
    <w:rsid w:val="007458D8"/>
    <w:rsid w:val="0075119B"/>
    <w:rsid w:val="00772589"/>
    <w:rsid w:val="00774879"/>
    <w:rsid w:val="007761E7"/>
    <w:rsid w:val="00781F48"/>
    <w:rsid w:val="007843BC"/>
    <w:rsid w:val="007A6145"/>
    <w:rsid w:val="007A7669"/>
    <w:rsid w:val="007B76D3"/>
    <w:rsid w:val="007C1B09"/>
    <w:rsid w:val="007C45BF"/>
    <w:rsid w:val="007E1CE1"/>
    <w:rsid w:val="007E6850"/>
    <w:rsid w:val="007F1E61"/>
    <w:rsid w:val="007F5AD8"/>
    <w:rsid w:val="00835A75"/>
    <w:rsid w:val="00836365"/>
    <w:rsid w:val="008463E7"/>
    <w:rsid w:val="00851953"/>
    <w:rsid w:val="00855279"/>
    <w:rsid w:val="00894A4F"/>
    <w:rsid w:val="008A40F8"/>
    <w:rsid w:val="008A673A"/>
    <w:rsid w:val="008A6DD2"/>
    <w:rsid w:val="008A78B2"/>
    <w:rsid w:val="008B3A8C"/>
    <w:rsid w:val="008C59F7"/>
    <w:rsid w:val="008E4AA4"/>
    <w:rsid w:val="008E5184"/>
    <w:rsid w:val="009030B7"/>
    <w:rsid w:val="009077AC"/>
    <w:rsid w:val="00917C97"/>
    <w:rsid w:val="00977275"/>
    <w:rsid w:val="009A78F1"/>
    <w:rsid w:val="009C14B9"/>
    <w:rsid w:val="009F1D0D"/>
    <w:rsid w:val="00A1489A"/>
    <w:rsid w:val="00A14BD8"/>
    <w:rsid w:val="00A55797"/>
    <w:rsid w:val="00A5617B"/>
    <w:rsid w:val="00A83EBB"/>
    <w:rsid w:val="00AA4EF8"/>
    <w:rsid w:val="00AA7719"/>
    <w:rsid w:val="00AB5418"/>
    <w:rsid w:val="00AD76A7"/>
    <w:rsid w:val="00B06E2A"/>
    <w:rsid w:val="00B225AE"/>
    <w:rsid w:val="00B32534"/>
    <w:rsid w:val="00B54D92"/>
    <w:rsid w:val="00B81796"/>
    <w:rsid w:val="00B916EB"/>
    <w:rsid w:val="00B929FC"/>
    <w:rsid w:val="00BC6AF6"/>
    <w:rsid w:val="00BD7558"/>
    <w:rsid w:val="00BE0D3C"/>
    <w:rsid w:val="00BE3915"/>
    <w:rsid w:val="00C142F7"/>
    <w:rsid w:val="00C152A3"/>
    <w:rsid w:val="00C155F0"/>
    <w:rsid w:val="00C37753"/>
    <w:rsid w:val="00C51982"/>
    <w:rsid w:val="00CC4CC5"/>
    <w:rsid w:val="00CD0B6B"/>
    <w:rsid w:val="00D00510"/>
    <w:rsid w:val="00D01823"/>
    <w:rsid w:val="00D2715A"/>
    <w:rsid w:val="00D50C1D"/>
    <w:rsid w:val="00D67207"/>
    <w:rsid w:val="00D70E90"/>
    <w:rsid w:val="00D7226A"/>
    <w:rsid w:val="00D825D8"/>
    <w:rsid w:val="00DA5546"/>
    <w:rsid w:val="00DC572A"/>
    <w:rsid w:val="00DC6F26"/>
    <w:rsid w:val="00DD028F"/>
    <w:rsid w:val="00DD672E"/>
    <w:rsid w:val="00DE32A8"/>
    <w:rsid w:val="00E06591"/>
    <w:rsid w:val="00E0668F"/>
    <w:rsid w:val="00E11243"/>
    <w:rsid w:val="00E137D8"/>
    <w:rsid w:val="00E30453"/>
    <w:rsid w:val="00E33563"/>
    <w:rsid w:val="00E33C37"/>
    <w:rsid w:val="00E55CBF"/>
    <w:rsid w:val="00E56DC3"/>
    <w:rsid w:val="00E64FD7"/>
    <w:rsid w:val="00E72198"/>
    <w:rsid w:val="00E77EA9"/>
    <w:rsid w:val="00E805E4"/>
    <w:rsid w:val="00E91E14"/>
    <w:rsid w:val="00E95321"/>
    <w:rsid w:val="00EA49FE"/>
    <w:rsid w:val="00EB15F4"/>
    <w:rsid w:val="00ED0B3F"/>
    <w:rsid w:val="00ED5921"/>
    <w:rsid w:val="00EE281F"/>
    <w:rsid w:val="00EE641D"/>
    <w:rsid w:val="00F30BF6"/>
    <w:rsid w:val="00F31558"/>
    <w:rsid w:val="00F5244C"/>
    <w:rsid w:val="00F723D9"/>
    <w:rsid w:val="00F73DF9"/>
    <w:rsid w:val="00F759A6"/>
    <w:rsid w:val="00F84122"/>
    <w:rsid w:val="00F909B9"/>
    <w:rsid w:val="00FB09C4"/>
    <w:rsid w:val="00FB09E9"/>
    <w:rsid w:val="00FB262D"/>
    <w:rsid w:val="00FC3821"/>
    <w:rsid w:val="00FE422E"/>
    <w:rsid w:val="00FE483A"/>
    <w:rsid w:val="0635B34E"/>
    <w:rsid w:val="091F2C8A"/>
    <w:rsid w:val="09F0FD83"/>
    <w:rsid w:val="0C51DC36"/>
    <w:rsid w:val="0DA63A24"/>
    <w:rsid w:val="1042CA79"/>
    <w:rsid w:val="108D5455"/>
    <w:rsid w:val="10A82747"/>
    <w:rsid w:val="11AC10D4"/>
    <w:rsid w:val="125BD875"/>
    <w:rsid w:val="1612D19B"/>
    <w:rsid w:val="161FB3D5"/>
    <w:rsid w:val="1678BF29"/>
    <w:rsid w:val="176EE4DA"/>
    <w:rsid w:val="1787F08F"/>
    <w:rsid w:val="179F06AF"/>
    <w:rsid w:val="17F28795"/>
    <w:rsid w:val="1C7AC534"/>
    <w:rsid w:val="1CE3A44F"/>
    <w:rsid w:val="21702585"/>
    <w:rsid w:val="2295A1A4"/>
    <w:rsid w:val="239AFDB3"/>
    <w:rsid w:val="2527CD09"/>
    <w:rsid w:val="2757BD58"/>
    <w:rsid w:val="2AF345BC"/>
    <w:rsid w:val="2BC548C0"/>
    <w:rsid w:val="2D93A9EC"/>
    <w:rsid w:val="2E24F38F"/>
    <w:rsid w:val="3106FEB0"/>
    <w:rsid w:val="339123D8"/>
    <w:rsid w:val="3668D921"/>
    <w:rsid w:val="3757D33C"/>
    <w:rsid w:val="382FC326"/>
    <w:rsid w:val="39F8472E"/>
    <w:rsid w:val="3C629FF3"/>
    <w:rsid w:val="3EE7A9AD"/>
    <w:rsid w:val="3F8F3606"/>
    <w:rsid w:val="404CFA15"/>
    <w:rsid w:val="44C0DB2E"/>
    <w:rsid w:val="482426E0"/>
    <w:rsid w:val="4F653FEF"/>
    <w:rsid w:val="525326F3"/>
    <w:rsid w:val="56618F9F"/>
    <w:rsid w:val="5A404CA0"/>
    <w:rsid w:val="5B5FC626"/>
    <w:rsid w:val="5BF0520C"/>
    <w:rsid w:val="5DA13D9B"/>
    <w:rsid w:val="5F61AED4"/>
    <w:rsid w:val="5F7BAB6C"/>
    <w:rsid w:val="615136DA"/>
    <w:rsid w:val="64B4B16D"/>
    <w:rsid w:val="6A7CDF7C"/>
    <w:rsid w:val="6C111869"/>
    <w:rsid w:val="6F43BBBE"/>
    <w:rsid w:val="70BE1D79"/>
    <w:rsid w:val="7284A1F6"/>
    <w:rsid w:val="73EB4079"/>
    <w:rsid w:val="75B172D9"/>
    <w:rsid w:val="7908DAF8"/>
    <w:rsid w:val="7CDB3E19"/>
    <w:rsid w:val="7DC98D91"/>
    <w:rsid w:val="7E0233FF"/>
    <w:rsid w:val="7EE76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1989"/>
  <w15:chartTrackingRefBased/>
  <w15:docId w15:val="{30DA87D0-DBCC-4327-88F8-74340C04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3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3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3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3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3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3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3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3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3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3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3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3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3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3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3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3CF"/>
    <w:rPr>
      <w:rFonts w:eastAsiaTheme="majorEastAsia" w:cstheme="majorBidi"/>
      <w:color w:val="272727" w:themeColor="text1" w:themeTint="D8"/>
    </w:rPr>
  </w:style>
  <w:style w:type="paragraph" w:styleId="Title">
    <w:name w:val="Title"/>
    <w:basedOn w:val="Normal"/>
    <w:next w:val="Normal"/>
    <w:link w:val="TitleChar"/>
    <w:uiPriority w:val="10"/>
    <w:qFormat/>
    <w:rsid w:val="000C03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3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3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3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3CF"/>
    <w:pPr>
      <w:spacing w:before="160"/>
      <w:jc w:val="center"/>
    </w:pPr>
    <w:rPr>
      <w:i/>
      <w:iCs/>
      <w:color w:val="404040" w:themeColor="text1" w:themeTint="BF"/>
    </w:rPr>
  </w:style>
  <w:style w:type="character" w:customStyle="1" w:styleId="QuoteChar">
    <w:name w:val="Quote Char"/>
    <w:basedOn w:val="DefaultParagraphFont"/>
    <w:link w:val="Quote"/>
    <w:uiPriority w:val="29"/>
    <w:rsid w:val="000C03CF"/>
    <w:rPr>
      <w:i/>
      <w:iCs/>
      <w:color w:val="404040" w:themeColor="text1" w:themeTint="BF"/>
    </w:rPr>
  </w:style>
  <w:style w:type="paragraph" w:styleId="ListParagraph">
    <w:name w:val="List Paragraph"/>
    <w:basedOn w:val="Normal"/>
    <w:uiPriority w:val="34"/>
    <w:qFormat/>
    <w:rsid w:val="000C03CF"/>
    <w:pPr>
      <w:ind w:left="720"/>
      <w:contextualSpacing/>
    </w:pPr>
  </w:style>
  <w:style w:type="character" w:styleId="IntenseEmphasis">
    <w:name w:val="Intense Emphasis"/>
    <w:basedOn w:val="DefaultParagraphFont"/>
    <w:uiPriority w:val="21"/>
    <w:qFormat/>
    <w:rsid w:val="000C03CF"/>
    <w:rPr>
      <w:i/>
      <w:iCs/>
      <w:color w:val="0F4761" w:themeColor="accent1" w:themeShade="BF"/>
    </w:rPr>
  </w:style>
  <w:style w:type="paragraph" w:styleId="IntenseQuote">
    <w:name w:val="Intense Quote"/>
    <w:basedOn w:val="Normal"/>
    <w:next w:val="Normal"/>
    <w:link w:val="IntenseQuoteChar"/>
    <w:uiPriority w:val="30"/>
    <w:qFormat/>
    <w:rsid w:val="000C0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3CF"/>
    <w:rPr>
      <w:i/>
      <w:iCs/>
      <w:color w:val="0F4761" w:themeColor="accent1" w:themeShade="BF"/>
    </w:rPr>
  </w:style>
  <w:style w:type="character" w:styleId="IntenseReference">
    <w:name w:val="Intense Reference"/>
    <w:basedOn w:val="DefaultParagraphFont"/>
    <w:uiPriority w:val="32"/>
    <w:qFormat/>
    <w:rsid w:val="000C03CF"/>
    <w:rPr>
      <w:b/>
      <w:bCs/>
      <w:smallCaps/>
      <w:color w:val="0F4761" w:themeColor="accent1" w:themeShade="BF"/>
      <w:spacing w:val="5"/>
    </w:rPr>
  </w:style>
  <w:style w:type="character" w:styleId="Hyperlink">
    <w:name w:val="Hyperlink"/>
    <w:basedOn w:val="DefaultParagraphFont"/>
    <w:uiPriority w:val="99"/>
    <w:unhideWhenUsed/>
    <w:rsid w:val="00045F41"/>
    <w:rPr>
      <w:color w:val="467886" w:themeColor="hyperlink"/>
      <w:u w:val="single"/>
    </w:rPr>
  </w:style>
  <w:style w:type="character" w:styleId="UnresolvedMention">
    <w:name w:val="Unresolved Mention"/>
    <w:basedOn w:val="DefaultParagraphFont"/>
    <w:uiPriority w:val="99"/>
    <w:semiHidden/>
    <w:unhideWhenUsed/>
    <w:rsid w:val="00045F41"/>
    <w:rPr>
      <w:color w:val="605E5C"/>
      <w:shd w:val="clear" w:color="auto" w:fill="E1DFDD"/>
    </w:rPr>
  </w:style>
  <w:style w:type="paragraph" w:styleId="CommentText">
    <w:name w:val="annotation text"/>
    <w:basedOn w:val="Normal"/>
    <w:link w:val="CommentTextChar"/>
    <w:uiPriority w:val="99"/>
    <w:semiHidden/>
    <w:unhideWhenUsed/>
    <w:rsid w:val="001D2DAC"/>
    <w:pPr>
      <w:spacing w:line="240" w:lineRule="auto"/>
    </w:pPr>
    <w:rPr>
      <w:sz w:val="20"/>
      <w:szCs w:val="20"/>
    </w:rPr>
  </w:style>
  <w:style w:type="character" w:customStyle="1" w:styleId="CommentTextChar">
    <w:name w:val="Comment Text Char"/>
    <w:basedOn w:val="DefaultParagraphFont"/>
    <w:link w:val="CommentText"/>
    <w:uiPriority w:val="99"/>
    <w:semiHidden/>
    <w:rsid w:val="001D2DAC"/>
    <w:rPr>
      <w:sz w:val="20"/>
      <w:szCs w:val="20"/>
    </w:rPr>
  </w:style>
  <w:style w:type="character" w:styleId="CommentReference">
    <w:name w:val="annotation reference"/>
    <w:basedOn w:val="DefaultParagraphFont"/>
    <w:uiPriority w:val="99"/>
    <w:semiHidden/>
    <w:unhideWhenUsed/>
    <w:rsid w:val="001D2DA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pa-uk.org/wp-content/uploads/2023/08/NIPA_Insights_III_Supplementary_Report_Case_Studies_05.07.23.pdf" TargetMode="External"/><Relationship Id="rId5" Type="http://schemas.openxmlformats.org/officeDocument/2006/relationships/hyperlink" Target="https://nipa-uk.org/wp-content/uploads/2023/08/NIPA_Hindsights_Final_Report.05.07.202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11305</CharactersWithSpaces>
  <SharedDoc>false</SharedDoc>
  <HLinks>
    <vt:vector size="12" baseType="variant">
      <vt:variant>
        <vt:i4>2097183</vt:i4>
      </vt:variant>
      <vt:variant>
        <vt:i4>3</vt:i4>
      </vt:variant>
      <vt:variant>
        <vt:i4>0</vt:i4>
      </vt:variant>
      <vt:variant>
        <vt:i4>5</vt:i4>
      </vt:variant>
      <vt:variant>
        <vt:lpwstr>https://nipa-uk.org/wp-content/uploads/2023/08/NIPA_Insights_III_Supplementary_Report_Case_Studies_05.07.23.pdf</vt:lpwstr>
      </vt:variant>
      <vt:variant>
        <vt:lpwstr/>
      </vt:variant>
      <vt:variant>
        <vt:i4>5570595</vt:i4>
      </vt:variant>
      <vt:variant>
        <vt:i4>0</vt:i4>
      </vt:variant>
      <vt:variant>
        <vt:i4>0</vt:i4>
      </vt:variant>
      <vt:variant>
        <vt:i4>5</vt:i4>
      </vt:variant>
      <vt:variant>
        <vt:lpwstr>https://nipa-uk.org/wp-content/uploads/2023/08/NIPA_Hindsights_Final_Report.05.07.2023.pdf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Hickman</dc:creator>
  <cp:keywords/>
  <dc:description/>
  <cp:lastModifiedBy>Hannah Hickman</cp:lastModifiedBy>
  <cp:revision>2</cp:revision>
  <dcterms:created xsi:type="dcterms:W3CDTF">2025-02-26T13:47:00Z</dcterms:created>
  <dcterms:modified xsi:type="dcterms:W3CDTF">2025-02-26T13:47:00Z</dcterms:modified>
</cp:coreProperties>
</file>