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1961" w14:textId="7ED691D0" w:rsidR="006F0434" w:rsidRDefault="006F0434" w:rsidP="006F0434">
      <w:pPr>
        <w:rPr>
          <w:b/>
          <w:bCs/>
        </w:rPr>
      </w:pPr>
      <w:r w:rsidRPr="00977CB6">
        <w:rPr>
          <w:b/>
          <w:bCs/>
        </w:rPr>
        <w:t>Structure</w:t>
      </w:r>
      <w:r>
        <w:rPr>
          <w:b/>
          <w:bCs/>
        </w:rPr>
        <w:t>-</w:t>
      </w:r>
      <w:r w:rsidRPr="00977CB6">
        <w:rPr>
          <w:b/>
          <w:bCs/>
        </w:rPr>
        <w:t xml:space="preserve">based dissociations provide agnostic </w:t>
      </w:r>
      <w:r w:rsidR="00D240FC">
        <w:rPr>
          <w:b/>
          <w:bCs/>
        </w:rPr>
        <w:t>evidenc</w:t>
      </w:r>
      <w:r w:rsidRPr="00977CB6">
        <w:rPr>
          <w:b/>
          <w:bCs/>
        </w:rPr>
        <w:t>e to the multiple systems debate.</w:t>
      </w:r>
    </w:p>
    <w:p w14:paraId="21A6A296" w14:textId="28E6E73A" w:rsidR="009F670A" w:rsidRDefault="001D2C1A" w:rsidP="008B3243">
      <w:pPr>
        <w:jc w:val="center"/>
        <w:rPr>
          <w:vertAlign w:val="superscript"/>
        </w:rPr>
      </w:pPr>
      <w:r>
        <w:t xml:space="preserve">C. </w:t>
      </w:r>
      <w:r w:rsidR="009F670A">
        <w:t>E. R. Edmunds</w:t>
      </w:r>
      <w:r w:rsidR="00BD1B32" w:rsidRPr="00521130">
        <w:rPr>
          <w:vertAlign w:val="superscript"/>
        </w:rPr>
        <w:t>1</w:t>
      </w:r>
      <w:r w:rsidR="00BD1B32" w:rsidRPr="00521130">
        <w:rPr>
          <w:rFonts w:ascii="Aptos" w:hAnsi="Aptos"/>
          <w:vertAlign w:val="superscript"/>
        </w:rPr>
        <w:t>†</w:t>
      </w:r>
      <w:r w:rsidR="00BD1B32">
        <w:t xml:space="preserve">, </w:t>
      </w:r>
      <w:r w:rsidR="009F670A">
        <w:t>Andy J. Wills</w:t>
      </w:r>
      <w:r w:rsidR="00BD1B32" w:rsidRPr="00521130">
        <w:rPr>
          <w:vertAlign w:val="superscript"/>
        </w:rPr>
        <w:t>2</w:t>
      </w:r>
      <w:r w:rsidR="009F670A">
        <w:t xml:space="preserve"> &amp; Fraser Milton</w:t>
      </w:r>
      <w:r w:rsidR="00BD1B32" w:rsidRPr="00521130">
        <w:rPr>
          <w:vertAlign w:val="superscript"/>
        </w:rPr>
        <w:t>3</w:t>
      </w:r>
    </w:p>
    <w:p w14:paraId="33586D77" w14:textId="77777777" w:rsidR="00F70BBE" w:rsidRPr="009F670A" w:rsidRDefault="00F70BBE" w:rsidP="008B3243">
      <w:pPr>
        <w:jc w:val="center"/>
      </w:pPr>
    </w:p>
    <w:p w14:paraId="03B111BF" w14:textId="7E78781C" w:rsidR="009F670A" w:rsidRDefault="00BD1B32" w:rsidP="008B3243">
      <w:pPr>
        <w:jc w:val="center"/>
      </w:pPr>
      <w:r w:rsidRPr="00521130">
        <w:rPr>
          <w:vertAlign w:val="superscript"/>
        </w:rPr>
        <w:t>1</w:t>
      </w:r>
      <w:r w:rsidR="00F70BBE" w:rsidRPr="00521130">
        <w:t xml:space="preserve"> </w:t>
      </w:r>
      <w:r w:rsidR="00CA65F0">
        <w:t xml:space="preserve">Psychology, </w:t>
      </w:r>
      <w:r w:rsidR="008C4E2A">
        <w:t xml:space="preserve">Bath Spa University, </w:t>
      </w:r>
      <w:r w:rsidR="00CA65F0">
        <w:t xml:space="preserve">Bath, </w:t>
      </w:r>
      <w:r w:rsidR="00D72EC4">
        <w:t>UK.</w:t>
      </w:r>
    </w:p>
    <w:p w14:paraId="7CA546E8" w14:textId="4F308059" w:rsidR="00D72EC4" w:rsidRDefault="00BD1B32" w:rsidP="008B3243">
      <w:pPr>
        <w:jc w:val="center"/>
      </w:pPr>
      <w:r w:rsidRPr="00521130">
        <w:rPr>
          <w:vertAlign w:val="superscript"/>
        </w:rPr>
        <w:t>2</w:t>
      </w:r>
      <w:r>
        <w:t xml:space="preserve"> </w:t>
      </w:r>
      <w:r w:rsidR="00D72EC4">
        <w:t>School of Psychology, University of Plymouth, Plymouth, UK.</w:t>
      </w:r>
    </w:p>
    <w:p w14:paraId="25EDBB19" w14:textId="12B8AD67" w:rsidR="000D195B" w:rsidRDefault="00BD1B32" w:rsidP="008B3243">
      <w:pPr>
        <w:jc w:val="center"/>
      </w:pPr>
      <w:r w:rsidRPr="00521130">
        <w:rPr>
          <w:vertAlign w:val="superscript"/>
        </w:rPr>
        <w:t>3</w:t>
      </w:r>
      <w:r>
        <w:t xml:space="preserve"> </w:t>
      </w:r>
      <w:r w:rsidR="000D195B">
        <w:t>School of Psychology, University of Exeter, Exeter, UK.</w:t>
      </w:r>
    </w:p>
    <w:p w14:paraId="38B24476" w14:textId="77777777" w:rsidR="00F70BBE" w:rsidRDefault="00F70BBE" w:rsidP="008B3243">
      <w:pPr>
        <w:jc w:val="center"/>
      </w:pPr>
    </w:p>
    <w:p w14:paraId="04898E20" w14:textId="4E56C2C5" w:rsidR="000D195B" w:rsidRDefault="00BD1B32" w:rsidP="008B3243">
      <w:pPr>
        <w:jc w:val="center"/>
      </w:pPr>
      <w:r w:rsidRPr="00521130">
        <w:rPr>
          <w:rFonts w:ascii="Aptos" w:hAnsi="Aptos"/>
          <w:vertAlign w:val="superscript"/>
        </w:rPr>
        <w:t>†</w:t>
      </w:r>
      <w:proofErr w:type="gramStart"/>
      <w:r>
        <w:rPr>
          <w:rFonts w:ascii="Aptos" w:hAnsi="Aptos"/>
        </w:rPr>
        <w:t>email</w:t>
      </w:r>
      <w:proofErr w:type="gramEnd"/>
      <w:r>
        <w:rPr>
          <w:rFonts w:ascii="Aptos" w:hAnsi="Aptos"/>
        </w:rPr>
        <w:t>:</w:t>
      </w:r>
      <w:r w:rsidR="000D195B">
        <w:t xml:space="preserve"> </w:t>
      </w:r>
      <w:hyperlink r:id="rId7" w:history="1">
        <w:r w:rsidR="005B01B9" w:rsidRPr="000C51DB">
          <w:rPr>
            <w:rStyle w:val="Hyperlink"/>
          </w:rPr>
          <w:t>ceremunds@gmail.com</w:t>
        </w:r>
      </w:hyperlink>
    </w:p>
    <w:p w14:paraId="6F05A80C" w14:textId="77777777" w:rsidR="005B01B9" w:rsidRDefault="005B01B9" w:rsidP="008B3243">
      <w:pPr>
        <w:jc w:val="center"/>
      </w:pPr>
    </w:p>
    <w:p w14:paraId="6D8680E7" w14:textId="7273667F" w:rsidR="005B01B9" w:rsidRPr="008C4E2A" w:rsidRDefault="005B01B9" w:rsidP="008B3243">
      <w:pPr>
        <w:jc w:val="center"/>
      </w:pPr>
      <w:r w:rsidRPr="005B01B9">
        <w:rPr>
          <w:b/>
          <w:bCs/>
        </w:rPr>
        <w:t>Competing interests:</w:t>
      </w:r>
      <w:r>
        <w:t xml:space="preserve"> The authors declare no competing interests.</w:t>
      </w:r>
    </w:p>
    <w:p w14:paraId="114449F2" w14:textId="77777777" w:rsidR="008C4E2A" w:rsidRPr="00977CB6" w:rsidRDefault="008C4E2A" w:rsidP="006F0434">
      <w:pPr>
        <w:rPr>
          <w:b/>
          <w:bCs/>
        </w:rPr>
      </w:pPr>
    </w:p>
    <w:p w14:paraId="3CE70E41" w14:textId="4C27BA14" w:rsidR="00100C21" w:rsidRDefault="006F0434" w:rsidP="006F0434">
      <w:r>
        <w:t xml:space="preserve">Minda and colleagues review the literature </w:t>
      </w:r>
      <w:r w:rsidR="00727C41">
        <w:t>in favour of</w:t>
      </w:r>
      <w:r>
        <w:t xml:space="preserve"> multiple systems</w:t>
      </w:r>
      <w:r w:rsidR="00727C41">
        <w:t xml:space="preserve"> accounts</w:t>
      </w:r>
      <w:r>
        <w:t xml:space="preserve"> of category learning</w:t>
      </w:r>
      <w:r w:rsidR="00727C41">
        <w:t xml:space="preserve"> (</w:t>
      </w:r>
      <w:r w:rsidR="00727C41" w:rsidRPr="00727C41">
        <w:t xml:space="preserve">Minda, J. P., Roark, C. L., Kalra, P., &amp; Cruz, A. Single and multiple systems in categorization and category learning. </w:t>
      </w:r>
      <w:r w:rsidR="00727C41" w:rsidRPr="00521130">
        <w:rPr>
          <w:i/>
          <w:iCs/>
        </w:rPr>
        <w:t>Nat Rev Psych</w:t>
      </w:r>
      <w:r w:rsidR="00727C41" w:rsidRPr="00727C41">
        <w:t>, 1-16 (2024).</w:t>
      </w:r>
      <w:r w:rsidR="00727C41">
        <w:t>)</w:t>
      </w:r>
      <w:r w:rsidR="009C107A" w:rsidRPr="000C3A88">
        <w:rPr>
          <w:vertAlign w:val="superscript"/>
        </w:rPr>
        <w:t>1</w:t>
      </w:r>
      <w:r>
        <w:t>,</w:t>
      </w:r>
      <w:r w:rsidR="00727C41">
        <w:t xml:space="preserve"> </w:t>
      </w:r>
      <w:r w:rsidR="000B5AEB">
        <w:t>focusing on</w:t>
      </w:r>
      <w:r>
        <w:t xml:space="preserve"> the COVIS model</w:t>
      </w:r>
      <w:r w:rsidR="009C107A" w:rsidRPr="000C3A88">
        <w:rPr>
          <w:vertAlign w:val="superscript"/>
        </w:rPr>
        <w:t>2</w:t>
      </w:r>
      <w:r>
        <w:t xml:space="preserve">. </w:t>
      </w:r>
      <w:r w:rsidR="00C66F6C">
        <w:t xml:space="preserve">This </w:t>
      </w:r>
      <w:r w:rsidR="00727C41">
        <w:t xml:space="preserve">Review </w:t>
      </w:r>
      <w:r w:rsidR="00C66F6C">
        <w:t>provid</w:t>
      </w:r>
      <w:r w:rsidR="00F34558">
        <w:t xml:space="preserve">es </w:t>
      </w:r>
      <w:r w:rsidR="009969BB">
        <w:t xml:space="preserve">a comprehensive and nuanced account of the </w:t>
      </w:r>
      <w:r w:rsidR="0090682B">
        <w:t xml:space="preserve">evidence, mostly focusing on experiments that report dissociations between </w:t>
      </w:r>
      <w:r w:rsidR="00EF286E">
        <w:t xml:space="preserve">learning in </w:t>
      </w:r>
      <w:r w:rsidR="0090682B">
        <w:t>rule-based</w:t>
      </w:r>
      <w:r w:rsidR="00EF286E">
        <w:t xml:space="preserve"> </w:t>
      </w:r>
      <w:r w:rsidR="00E652A5">
        <w:t>category structures</w:t>
      </w:r>
      <w:r w:rsidR="007C311A">
        <w:t xml:space="preserve"> </w:t>
      </w:r>
      <w:r w:rsidR="00EF286E">
        <w:t>(</w:t>
      </w:r>
      <w:r w:rsidR="000C3A88">
        <w:t>in which</w:t>
      </w:r>
      <w:r w:rsidR="007C311A">
        <w:t xml:space="preserve"> </w:t>
      </w:r>
      <w:r w:rsidR="00332F9D">
        <w:t xml:space="preserve">optimal </w:t>
      </w:r>
      <w:r w:rsidR="007C311A">
        <w:t>categorisation can be achieved using simple verbalizable rules</w:t>
      </w:r>
      <w:r w:rsidR="00EF286E">
        <w:t>)</w:t>
      </w:r>
      <w:r w:rsidR="0090682B">
        <w:t xml:space="preserve"> and information-integration</w:t>
      </w:r>
      <w:r w:rsidR="00E652A5">
        <w:t xml:space="preserve"> structures</w:t>
      </w:r>
      <w:r w:rsidR="00EF286E">
        <w:t xml:space="preserve"> (</w:t>
      </w:r>
      <w:r w:rsidR="000C3A88">
        <w:t>in which</w:t>
      </w:r>
      <w:r w:rsidR="00E652A5">
        <w:t xml:space="preserve"> </w:t>
      </w:r>
      <w:r w:rsidR="00731631">
        <w:t>optimal learning requires participants to pre-</w:t>
      </w:r>
      <w:proofErr w:type="spellStart"/>
      <w:r w:rsidR="00731631">
        <w:t>decisionally</w:t>
      </w:r>
      <w:proofErr w:type="spellEnd"/>
      <w:r w:rsidR="00731631">
        <w:t xml:space="preserve"> combine information from two or more incommensurate stimulus dimensions</w:t>
      </w:r>
      <w:r w:rsidR="000C3A88">
        <w:t xml:space="preserve">) </w:t>
      </w:r>
      <w:r w:rsidR="0090682B">
        <w:t xml:space="preserve">. </w:t>
      </w:r>
      <w:r w:rsidR="004E47CB">
        <w:t xml:space="preserve">However, </w:t>
      </w:r>
      <w:r w:rsidR="009545F1">
        <w:t xml:space="preserve">there is a </w:t>
      </w:r>
      <w:r w:rsidR="00595247">
        <w:t xml:space="preserve">substantial </w:t>
      </w:r>
      <w:r w:rsidR="009545F1">
        <w:t xml:space="preserve">issue in the interpretation of these results </w:t>
      </w:r>
      <w:r w:rsidR="001E649B">
        <w:t>which</w:t>
      </w:r>
      <w:r w:rsidR="001F6CA6">
        <w:t xml:space="preserve"> might undermine </w:t>
      </w:r>
      <w:r w:rsidR="00727C41">
        <w:t xml:space="preserve">the authors’ </w:t>
      </w:r>
      <w:r w:rsidR="001F6CA6">
        <w:t xml:space="preserve">conclusions. </w:t>
      </w:r>
    </w:p>
    <w:p w14:paraId="2111F3CE" w14:textId="2B4EB8D5" w:rsidR="006F0434" w:rsidRDefault="006F0434" w:rsidP="00C86866">
      <w:r>
        <w:t xml:space="preserve">COVIS </w:t>
      </w:r>
      <w:r w:rsidR="003F7598">
        <w:t xml:space="preserve">hypothesises that there are two learning systems: an </w:t>
      </w:r>
      <w:r w:rsidR="000C3A88">
        <w:t>‘</w:t>
      </w:r>
      <w:r w:rsidR="00F42CBA">
        <w:t>e</w:t>
      </w:r>
      <w:r w:rsidR="003F7598">
        <w:t xml:space="preserve">xplicit </w:t>
      </w:r>
      <w:r w:rsidR="00F42CBA">
        <w:t>s</w:t>
      </w:r>
      <w:r w:rsidR="003F7598">
        <w:t>ystem</w:t>
      </w:r>
      <w:r w:rsidR="000C3A88">
        <w:t>’</w:t>
      </w:r>
      <w:r w:rsidR="003F7598">
        <w:t xml:space="preserve"> that implements verbalizable rule</w:t>
      </w:r>
      <w:r w:rsidR="004E3E0A">
        <w:t xml:space="preserve"> strategies</w:t>
      </w:r>
      <w:r w:rsidR="003F7598">
        <w:t xml:space="preserve"> using working memory and an </w:t>
      </w:r>
      <w:r w:rsidR="000C3A88">
        <w:t>‘</w:t>
      </w:r>
      <w:r w:rsidR="00F42CBA">
        <w:t>i</w:t>
      </w:r>
      <w:r w:rsidR="003F7598">
        <w:t xml:space="preserve">mplicit </w:t>
      </w:r>
      <w:r w:rsidR="00F42CBA">
        <w:t>s</w:t>
      </w:r>
      <w:r w:rsidR="003F7598">
        <w:t>ystem</w:t>
      </w:r>
      <w:r w:rsidR="000C3A88">
        <w:t>’</w:t>
      </w:r>
      <w:r w:rsidR="003F7598">
        <w:t xml:space="preserve"> (or </w:t>
      </w:r>
      <w:r w:rsidR="00F42CBA">
        <w:t>p</w:t>
      </w:r>
      <w:r w:rsidR="003F7598">
        <w:t xml:space="preserve">rocedural </w:t>
      </w:r>
      <w:r w:rsidR="00F42CBA">
        <w:t>s</w:t>
      </w:r>
      <w:r w:rsidR="003F7598">
        <w:t>ystem) that</w:t>
      </w:r>
      <w:r w:rsidR="003579E3">
        <w:t xml:space="preserve"> uses a strategy of</w:t>
      </w:r>
      <w:r w:rsidR="003F7598">
        <w:t xml:space="preserve"> combin</w:t>
      </w:r>
      <w:r w:rsidR="003579E3">
        <w:t>ing</w:t>
      </w:r>
      <w:r w:rsidR="003F7598">
        <w:t xml:space="preserve"> stimulus features </w:t>
      </w:r>
      <w:r w:rsidR="00EB5674">
        <w:t>and associat</w:t>
      </w:r>
      <w:r w:rsidR="003579E3">
        <w:t>ing</w:t>
      </w:r>
      <w:r w:rsidR="00EB5674">
        <w:t xml:space="preserve"> them with a response.</w:t>
      </w:r>
      <w:r w:rsidR="009C107A" w:rsidRPr="000C3A88">
        <w:rPr>
          <w:vertAlign w:val="superscript"/>
        </w:rPr>
        <w:t>2</w:t>
      </w:r>
      <w:r w:rsidR="00EB5674">
        <w:t xml:space="preserve"> Critically, COVIS </w:t>
      </w:r>
      <w:r>
        <w:t xml:space="preserve">predicts </w:t>
      </w:r>
      <w:r w:rsidR="00EF286E">
        <w:t xml:space="preserve">that </w:t>
      </w:r>
      <w:r>
        <w:t>participants sometimes switch learning systems.</w:t>
      </w:r>
      <w:r w:rsidR="00EF286E">
        <w:t xml:space="preserve"> </w:t>
      </w:r>
      <w:r>
        <w:t xml:space="preserve">In rule-based conditions, participants start learning using the </w:t>
      </w:r>
      <w:r w:rsidR="007E23C6">
        <w:t>e</w:t>
      </w:r>
      <w:r>
        <w:t xml:space="preserve">xplicit </w:t>
      </w:r>
      <w:r w:rsidR="00EF286E">
        <w:t>s</w:t>
      </w:r>
      <w:r>
        <w:t>ystem</w:t>
      </w:r>
      <w:r w:rsidR="00AE1855">
        <w:t xml:space="preserve"> with its easily verbalizable rules</w:t>
      </w:r>
      <w:r>
        <w:t>, find that it</w:t>
      </w:r>
      <w:r w:rsidR="006A31A5">
        <w:t xml:space="preserve"> results in high accuracy</w:t>
      </w:r>
      <w:r>
        <w:t xml:space="preserve">, and continue using that system. </w:t>
      </w:r>
      <w:r w:rsidR="007E23C6">
        <w:t>By contrast,</w:t>
      </w:r>
      <w:r>
        <w:t xml:space="preserve"> </w:t>
      </w:r>
      <w:r w:rsidR="00D943C4">
        <w:t xml:space="preserve">in </w:t>
      </w:r>
      <w:r>
        <w:t xml:space="preserve">information-integration conditions, participants start learning using the </w:t>
      </w:r>
      <w:r w:rsidR="00EF286E">
        <w:t>e</w:t>
      </w:r>
      <w:r>
        <w:t xml:space="preserve">xplicit </w:t>
      </w:r>
      <w:r w:rsidR="00EF286E">
        <w:t>s</w:t>
      </w:r>
      <w:r>
        <w:t>ystem</w:t>
      </w:r>
      <w:r w:rsidR="003E58E2">
        <w:t xml:space="preserve"> but discover that it does not result in optimal responding</w:t>
      </w:r>
      <w:r w:rsidR="007E23C6">
        <w:t xml:space="preserve"> because the</w:t>
      </w:r>
      <w:r>
        <w:t xml:space="preserve"> structure is difficult to verbalise </w:t>
      </w:r>
      <w:r w:rsidR="00A81A5E">
        <w:t xml:space="preserve">and applying rules results in </w:t>
      </w:r>
      <w:r w:rsidR="008A0608">
        <w:t>poor accuracy</w:t>
      </w:r>
      <w:r w:rsidR="007E23C6">
        <w:t xml:space="preserve">, which </w:t>
      </w:r>
      <w:r w:rsidR="00C86866">
        <w:t xml:space="preserve">motivates </w:t>
      </w:r>
      <w:r w:rsidR="007E23C6">
        <w:t>a</w:t>
      </w:r>
      <w:r w:rsidR="00C86866">
        <w:t xml:space="preserve"> </w:t>
      </w:r>
      <w:r>
        <w:t xml:space="preserve">switch to the </w:t>
      </w:r>
      <w:r w:rsidR="00EF286E">
        <w:t>i</w:t>
      </w:r>
      <w:r>
        <w:t xml:space="preserve">mplicit </w:t>
      </w:r>
      <w:r w:rsidR="00EF286E">
        <w:t>s</w:t>
      </w:r>
      <w:r>
        <w:t xml:space="preserve">ystem. Thus, COVIS predicts that </w:t>
      </w:r>
      <w:r w:rsidR="00D943C4">
        <w:t xml:space="preserve">in </w:t>
      </w:r>
      <w:r>
        <w:t>information-integration conditions</w:t>
      </w:r>
      <w:r w:rsidR="00D943C4">
        <w:t>,</w:t>
      </w:r>
      <w:r>
        <w:t xml:space="preserve"> there is </w:t>
      </w:r>
      <w:r w:rsidRPr="00521130">
        <w:t>always</w:t>
      </w:r>
      <w:r>
        <w:t xml:space="preserve"> a portion of the experiment </w:t>
      </w:r>
      <w:r w:rsidR="00D943C4">
        <w:t xml:space="preserve">in which </w:t>
      </w:r>
      <w:r>
        <w:t>participants use the non-optimal</w:t>
      </w:r>
      <w:r w:rsidR="00D943C4">
        <w:t xml:space="preserve"> explicit</w:t>
      </w:r>
      <w:r>
        <w:t xml:space="preserve"> system.</w:t>
      </w:r>
      <w:r w:rsidR="007E23C6">
        <w:t xml:space="preserve"> </w:t>
      </w:r>
      <w:r w:rsidR="00A97A2F">
        <w:t xml:space="preserve">For a researcher to </w:t>
      </w:r>
      <w:r>
        <w:t>draw</w:t>
      </w:r>
      <w:r w:rsidR="00A97A2F">
        <w:t xml:space="preserve"> </w:t>
      </w:r>
      <w:r>
        <w:t xml:space="preserve">conclusions about the properties of </w:t>
      </w:r>
      <w:r w:rsidR="00A97A2F">
        <w:t xml:space="preserve">the implicit and explicit </w:t>
      </w:r>
      <w:r>
        <w:t>systems</w:t>
      </w:r>
      <w:r w:rsidR="00A97A2F">
        <w:t xml:space="preserve"> from experimental data, they first need to </w:t>
      </w:r>
      <w:r>
        <w:t>determine which system the participant used</w:t>
      </w:r>
      <w:r w:rsidR="00A97A2F">
        <w:t xml:space="preserve"> </w:t>
      </w:r>
      <w:r w:rsidR="00037B52">
        <w:t>during</w:t>
      </w:r>
      <w:r w:rsidR="00A97A2F">
        <w:t xml:space="preserve"> the experiment</w:t>
      </w:r>
      <w:r>
        <w:t>.</w:t>
      </w:r>
      <w:r w:rsidR="00A97A2F">
        <w:t xml:space="preserve"> </w:t>
      </w:r>
    </w:p>
    <w:p w14:paraId="48C2D9C3" w14:textId="2B1A7D64" w:rsidR="006F0434" w:rsidRDefault="006F0434" w:rsidP="006F0434">
      <w:r>
        <w:t xml:space="preserve">The typical </w:t>
      </w:r>
      <w:r w:rsidR="00A97A2F">
        <w:t xml:space="preserve">method to determine which system is used </w:t>
      </w:r>
      <w:r>
        <w:t>is decision-bound modelling.</w:t>
      </w:r>
      <w:r w:rsidR="00A76B36" w:rsidRPr="000C3A88">
        <w:rPr>
          <w:vertAlign w:val="superscript"/>
        </w:rPr>
        <w:t>3</w:t>
      </w:r>
      <w:r w:rsidR="00A97A2F">
        <w:t xml:space="preserve"> </w:t>
      </w:r>
      <w:r w:rsidR="00B27109">
        <w:t xml:space="preserve"> </w:t>
      </w:r>
      <w:r w:rsidR="00072BA3">
        <w:t>This</w:t>
      </w:r>
      <w:r w:rsidR="007A0F92">
        <w:t xml:space="preserve"> method</w:t>
      </w:r>
      <w:r w:rsidR="00072BA3">
        <w:t xml:space="preserve"> </w:t>
      </w:r>
      <w:r w:rsidR="001319E5">
        <w:t xml:space="preserve">finds </w:t>
      </w:r>
      <w:r w:rsidR="003D2468">
        <w:t>the decision</w:t>
      </w:r>
      <w:r w:rsidR="007A0F92">
        <w:t xml:space="preserve"> </w:t>
      </w:r>
      <w:r w:rsidR="003D2468">
        <w:t>bound (</w:t>
      </w:r>
      <w:r w:rsidR="00EA2669">
        <w:t xml:space="preserve">most </w:t>
      </w:r>
      <w:r w:rsidR="003D2468">
        <w:t xml:space="preserve">typically a straight line through stimulus space) that best separates </w:t>
      </w:r>
      <w:r w:rsidR="0002722C">
        <w:t xml:space="preserve">the stimuli </w:t>
      </w:r>
      <w:r w:rsidR="007A0F92">
        <w:t xml:space="preserve">that </w:t>
      </w:r>
      <w:r w:rsidR="0002722C">
        <w:t xml:space="preserve">the participant judges as one category from the other. </w:t>
      </w:r>
      <w:r w:rsidR="00B23F7E">
        <w:t xml:space="preserve">In the COVIS literature, </w:t>
      </w:r>
      <w:r w:rsidR="001319E5">
        <w:t>some decision</w:t>
      </w:r>
      <w:r w:rsidR="007A0F92">
        <w:t xml:space="preserve"> </w:t>
      </w:r>
      <w:r w:rsidR="001319E5">
        <w:t>bounds are assumed to correspond to rule-based strategies</w:t>
      </w:r>
      <w:r w:rsidR="00EB0AA4">
        <w:t xml:space="preserve"> and</w:t>
      </w:r>
      <w:r w:rsidR="007A0F92">
        <w:rPr>
          <w:rFonts w:ascii="Aptos" w:hAnsi="Aptos"/>
        </w:rPr>
        <w:t>—</w:t>
      </w:r>
      <w:r w:rsidR="00EB0AA4">
        <w:t>as only the explicit system can implement rule-based strategies</w:t>
      </w:r>
      <w:r w:rsidR="007A0F92">
        <w:rPr>
          <w:rFonts w:ascii="Aptos" w:hAnsi="Aptos"/>
        </w:rPr>
        <w:t>—</w:t>
      </w:r>
      <w:r w:rsidR="003A43ED">
        <w:t>participants classified in this way are assumed to be using the explicit system. Other sorts of decision</w:t>
      </w:r>
      <w:r w:rsidR="007A0F92">
        <w:t xml:space="preserve"> </w:t>
      </w:r>
      <w:r w:rsidR="003A43ED">
        <w:t>bound</w:t>
      </w:r>
      <w:r w:rsidR="007A0F92">
        <w:t>s</w:t>
      </w:r>
      <w:r w:rsidR="003A43ED">
        <w:t xml:space="preserve"> are </w:t>
      </w:r>
      <w:r w:rsidR="003A43ED">
        <w:lastRenderedPageBreak/>
        <w:t>associated with non-rule-use and</w:t>
      </w:r>
      <w:r w:rsidR="007A0F92">
        <w:rPr>
          <w:rFonts w:ascii="Aptos" w:hAnsi="Aptos"/>
        </w:rPr>
        <w:t>—</w:t>
      </w:r>
      <w:r w:rsidR="004E027D">
        <w:t>as only the implicit system could implement those strategies</w:t>
      </w:r>
      <w:r w:rsidR="007A0F92">
        <w:rPr>
          <w:rFonts w:ascii="Aptos" w:hAnsi="Aptos"/>
        </w:rPr>
        <w:t>—</w:t>
      </w:r>
      <w:r w:rsidR="004E027D">
        <w:t xml:space="preserve">these participants are assumed to be using the implicit system. </w:t>
      </w:r>
      <w:r w:rsidR="00E41B27">
        <w:t>Thus</w:t>
      </w:r>
      <w:r>
        <w:t xml:space="preserve">, unlike </w:t>
      </w:r>
      <w:r w:rsidR="00A97A2F">
        <w:t>what Minda and colleagues</w:t>
      </w:r>
      <w:r>
        <w:t xml:space="preserve"> suggest, th</w:t>
      </w:r>
      <w:r w:rsidR="002C45A4">
        <w:t>e most important contribution of this</w:t>
      </w:r>
      <w:r>
        <w:t xml:space="preserve"> analysis </w:t>
      </w:r>
      <w:r w:rsidR="006C3622">
        <w:t xml:space="preserve">is </w:t>
      </w:r>
      <w:r>
        <w:t>not determin</w:t>
      </w:r>
      <w:r w:rsidR="006C3622">
        <w:t>ing</w:t>
      </w:r>
      <w:r>
        <w:t xml:space="preserve"> </w:t>
      </w:r>
      <w:r w:rsidR="00A97A2F">
        <w:t xml:space="preserve">what </w:t>
      </w:r>
      <w:r>
        <w:t>strateg</w:t>
      </w:r>
      <w:r w:rsidR="002F10D5">
        <w:t>y</w:t>
      </w:r>
      <w:r w:rsidR="006A0598">
        <w:t xml:space="preserve"> </w:t>
      </w:r>
      <w:r>
        <w:t>participants are using per se</w:t>
      </w:r>
      <w:r w:rsidR="000C3A88">
        <w:t>.</w:t>
      </w:r>
      <w:r w:rsidR="00A97A2F">
        <w:t xml:space="preserve"> </w:t>
      </w:r>
      <w:r>
        <w:t>Rather, it confirm</w:t>
      </w:r>
      <w:r w:rsidR="002F10D5">
        <w:t>s</w:t>
      </w:r>
      <w:r>
        <w:t xml:space="preserve"> </w:t>
      </w:r>
      <w:r w:rsidR="00A97A2F">
        <w:t xml:space="preserve">that </w:t>
      </w:r>
      <w:r>
        <w:t>participants are using a</w:t>
      </w:r>
      <w:r w:rsidR="00A97A2F">
        <w:t xml:space="preserve"> strategy </w:t>
      </w:r>
      <w:r>
        <w:t xml:space="preserve">that would be </w:t>
      </w:r>
      <w:r>
        <w:t>consistent with the system they are purportedly using.</w:t>
      </w:r>
      <w:r w:rsidR="005C0FA8">
        <w:rPr>
          <w:vertAlign w:val="superscript"/>
        </w:rPr>
        <w:t>45</w:t>
      </w:r>
      <w:r w:rsidR="002F10D5">
        <w:t xml:space="preserve"> </w:t>
      </w:r>
      <w:r w:rsidR="006C3622">
        <w:t>As each system is hypothesised to implement a distinct set of strategies, by identifying the individual strategy a participant uses</w:t>
      </w:r>
      <w:r w:rsidR="00007849">
        <w:t>, one</w:t>
      </w:r>
      <w:r w:rsidR="006C3622">
        <w:t xml:space="preserve"> can infer which system was in control of responding. </w:t>
      </w:r>
      <w:r w:rsidR="0034116F">
        <w:t>Th</w:t>
      </w:r>
      <w:r w:rsidR="0016714A">
        <w:t>u</w:t>
      </w:r>
      <w:r w:rsidR="0034116F">
        <w:t>s</w:t>
      </w:r>
      <w:r w:rsidR="0016714A">
        <w:t xml:space="preserve">, </w:t>
      </w:r>
      <w:r w:rsidR="0034116F">
        <w:t>d</w:t>
      </w:r>
      <w:r>
        <w:t xml:space="preserve">ecision-bound modelling </w:t>
      </w:r>
      <w:r w:rsidR="0034116F">
        <w:t xml:space="preserve">in this context </w:t>
      </w:r>
      <w:r>
        <w:t>is a manipulation check</w:t>
      </w:r>
      <w:r w:rsidR="006A0598">
        <w:t>. For instance,</w:t>
      </w:r>
      <w:r>
        <w:t xml:space="preserve"> </w:t>
      </w:r>
      <w:r>
        <w:t xml:space="preserve">if participants’ responses </w:t>
      </w:r>
      <w:r>
        <w:t xml:space="preserve">are best described by a diagonal boundary through stimulus space, </w:t>
      </w:r>
      <w:r w:rsidR="0025394A">
        <w:t>th</w:t>
      </w:r>
      <w:r w:rsidR="001E194F">
        <w:t>is strategy is</w:t>
      </w:r>
      <w:r>
        <w:t xml:space="preserve"> consistent with the predictions of the </w:t>
      </w:r>
      <w:r w:rsidR="00EF286E">
        <w:t>i</w:t>
      </w:r>
      <w:r>
        <w:t xml:space="preserve">mplicit </w:t>
      </w:r>
      <w:r w:rsidR="00EF286E">
        <w:t>s</w:t>
      </w:r>
      <w:r>
        <w:t>ystem</w:t>
      </w:r>
      <w:r w:rsidR="001E194F">
        <w:t>, but not the explicit system</w:t>
      </w:r>
      <w:r>
        <w:t>.</w:t>
      </w:r>
      <w:r w:rsidR="006A0598">
        <w:t xml:space="preserve"> </w:t>
      </w:r>
      <w:r>
        <w:t xml:space="preserve">Only </w:t>
      </w:r>
      <w:r w:rsidR="00C63B47">
        <w:t xml:space="preserve">if the participant’s strategy could be implemented </w:t>
      </w:r>
      <w:r w:rsidR="00100683">
        <w:t>by that system</w:t>
      </w:r>
      <w:r w:rsidR="00FD6CD5">
        <w:t xml:space="preserve"> </w:t>
      </w:r>
      <w:r>
        <w:t>can the effect of the manipulation be used to infer properties or features of th</w:t>
      </w:r>
      <w:r w:rsidR="00100683">
        <w:t>at</w:t>
      </w:r>
      <w:r>
        <w:t xml:space="preserve"> </w:t>
      </w:r>
      <w:r w:rsidR="00EF286E">
        <w:t>s</w:t>
      </w:r>
      <w:r>
        <w:t xml:space="preserve">ystem. </w:t>
      </w:r>
    </w:p>
    <w:p w14:paraId="7628E2F5" w14:textId="6EBAB0D4" w:rsidR="006F0434" w:rsidRDefault="00742EDB" w:rsidP="006F0434">
      <w:r>
        <w:t xml:space="preserve">However, </w:t>
      </w:r>
      <w:r w:rsidR="006F0434">
        <w:t xml:space="preserve">previous work has shown </w:t>
      </w:r>
      <w:r>
        <w:t xml:space="preserve">that decision-bound </w:t>
      </w:r>
      <w:r w:rsidR="006F0434">
        <w:t>modelling results are biased by the category structure</w:t>
      </w:r>
      <w:r>
        <w:t xml:space="preserve"> of the task</w:t>
      </w:r>
      <w:r w:rsidR="006F0434">
        <w:t>.</w:t>
      </w:r>
      <w:r w:rsidR="003B055E" w:rsidRPr="000C3A88">
        <w:rPr>
          <w:vertAlign w:val="superscript"/>
        </w:rPr>
        <w:t>5</w:t>
      </w:r>
      <w:r>
        <w:t xml:space="preserve"> </w:t>
      </w:r>
      <w:r w:rsidR="006F0434">
        <w:t xml:space="preserve">Rule-based decision-bound models are more likely to be found in rule-based tasks, and information-integration models in information-integration tasks, </w:t>
      </w:r>
      <w:r w:rsidR="006F0434" w:rsidRPr="00521130">
        <w:t xml:space="preserve">regardless of what the participant was </w:t>
      </w:r>
      <w:proofErr w:type="gramStart"/>
      <w:r w:rsidR="00BE0F31">
        <w:t xml:space="preserve">actually </w:t>
      </w:r>
      <w:r w:rsidR="006F0434" w:rsidRPr="00521130">
        <w:t>doing</w:t>
      </w:r>
      <w:proofErr w:type="gramEnd"/>
      <w:r w:rsidR="006F0434" w:rsidRPr="0060483C">
        <w:t>.</w:t>
      </w:r>
      <w:r w:rsidR="0060483C">
        <w:t xml:space="preserve"> </w:t>
      </w:r>
      <w:r w:rsidR="006F0434" w:rsidRPr="0060483C">
        <w:t>T</w:t>
      </w:r>
      <w:r w:rsidR="006F0434">
        <w:t xml:space="preserve">hus, decision-bound modelling cannot reliably </w:t>
      </w:r>
      <w:r w:rsidR="008E3287">
        <w:t>determine</w:t>
      </w:r>
      <w:r w:rsidR="006F0434">
        <w:t xml:space="preserve"> participants’ </w:t>
      </w:r>
      <w:r w:rsidR="00553E5B">
        <w:t>strategies</w:t>
      </w:r>
      <w:r w:rsidR="00DC4C6C">
        <w:t xml:space="preserve"> and </w:t>
      </w:r>
      <w:r w:rsidR="00007849">
        <w:t>therefore</w:t>
      </w:r>
      <w:r w:rsidR="00DC4C6C">
        <w:t xml:space="preserve"> cannot be used to infer which system the participant is using</w:t>
      </w:r>
      <w:r w:rsidR="006F0434">
        <w:t>.</w:t>
      </w:r>
      <w:r w:rsidR="0060483C">
        <w:t xml:space="preserve">  </w:t>
      </w:r>
    </w:p>
    <w:p w14:paraId="1997B808" w14:textId="40CE7786" w:rsidR="006F0434" w:rsidRDefault="0060483C" w:rsidP="006F0434">
      <w:proofErr w:type="gramStart"/>
      <w:r>
        <w:t>As a consequence of</w:t>
      </w:r>
      <w:proofErr w:type="gramEnd"/>
      <w:r>
        <w:t xml:space="preserve"> this bias</w:t>
      </w:r>
      <w:r w:rsidR="006F0434">
        <w:t>, decision-bound modelling cannot be used as a manipulation check</w:t>
      </w:r>
      <w:r>
        <w:t>. Without a method to</w:t>
      </w:r>
      <w:r w:rsidR="006F0434">
        <w:t xml:space="preserve"> prove </w:t>
      </w:r>
      <w:r>
        <w:t xml:space="preserve">that </w:t>
      </w:r>
      <w:r w:rsidR="006F0434">
        <w:t xml:space="preserve">participants </w:t>
      </w:r>
      <w:r w:rsidR="00BE0F31">
        <w:t xml:space="preserve">use </w:t>
      </w:r>
      <w:r>
        <w:t>a certain</w:t>
      </w:r>
      <w:r w:rsidR="006F0434">
        <w:t xml:space="preserve"> system</w:t>
      </w:r>
      <w:r>
        <w:t xml:space="preserve">, one </w:t>
      </w:r>
      <w:r w:rsidR="006F0434">
        <w:t xml:space="preserve">cannot assume that </w:t>
      </w:r>
      <w:r>
        <w:t xml:space="preserve">any </w:t>
      </w:r>
      <w:r w:rsidR="006F0434">
        <w:t xml:space="preserve">dissociations </w:t>
      </w:r>
      <w:r>
        <w:t xml:space="preserve">in task performance </w:t>
      </w:r>
      <w:r w:rsidR="006F0434">
        <w:t>are due to the manipulation</w:t>
      </w:r>
      <w:r>
        <w:t xml:space="preserve"> </w:t>
      </w:r>
      <w:r w:rsidR="006F0434">
        <w:t>selectively interacting with a specific system</w:t>
      </w:r>
      <w:r w:rsidR="000C3A88">
        <w:t xml:space="preserve">. </w:t>
      </w:r>
      <w:r w:rsidR="00BE0F31">
        <w:t>However, i</w:t>
      </w:r>
      <w:r>
        <w:t>t is precisely this type of evidence that Minda and colleagues review in support of the COVIS model. Without a clear determination of the system in use</w:t>
      </w:r>
      <w:r w:rsidR="006F0434">
        <w:t xml:space="preserve">, the </w:t>
      </w:r>
      <w:r>
        <w:t xml:space="preserve">evidence </w:t>
      </w:r>
      <w:r w:rsidR="00BE0F31">
        <w:t xml:space="preserve">for the existence of multiple categorization systems is </w:t>
      </w:r>
      <w:r w:rsidR="006F0434">
        <w:t xml:space="preserve">at best </w:t>
      </w:r>
      <w:r w:rsidR="00BE0F31">
        <w:t>ambiguous</w:t>
      </w:r>
      <w:r w:rsidR="006F0434">
        <w:t>.</w:t>
      </w:r>
      <w:r>
        <w:t xml:space="preserve"> </w:t>
      </w:r>
      <w:r w:rsidR="006F0434">
        <w:t xml:space="preserve">Participants in those experiments </w:t>
      </w:r>
      <w:r>
        <w:t xml:space="preserve">might </w:t>
      </w:r>
      <w:r w:rsidR="006F0434">
        <w:t>have been using multiple systems optimally</w:t>
      </w:r>
      <w:r>
        <w:t xml:space="preserve"> (according to COVIS)</w:t>
      </w:r>
      <w:r w:rsidR="006F0434">
        <w:t>,</w:t>
      </w:r>
      <w:r w:rsidR="007A3729">
        <w:t xml:space="preserve"> </w:t>
      </w:r>
      <w:r>
        <w:t>but</w:t>
      </w:r>
      <w:r w:rsidR="006F0434">
        <w:t xml:space="preserve"> we cannot tell using the </w:t>
      </w:r>
      <w:r w:rsidR="00BE0F31">
        <w:t xml:space="preserve">available </w:t>
      </w:r>
      <w:r w:rsidR="006F0434">
        <w:t>evidence.</w:t>
      </w:r>
      <w:r>
        <w:t xml:space="preserve"> </w:t>
      </w:r>
    </w:p>
    <w:p w14:paraId="39E78165" w14:textId="77777777" w:rsidR="000B5AEB" w:rsidRDefault="000B5AEB" w:rsidP="006F0434"/>
    <w:p w14:paraId="0AAF0E89" w14:textId="6A9AF15F" w:rsidR="00B54106" w:rsidRPr="00521130" w:rsidRDefault="00BD1B32" w:rsidP="006F0434">
      <w:pPr>
        <w:rPr>
          <w:b/>
          <w:bCs/>
        </w:rPr>
      </w:pPr>
      <w:r w:rsidRPr="00521130">
        <w:rPr>
          <w:b/>
          <w:bCs/>
        </w:rPr>
        <w:t>References</w:t>
      </w:r>
      <w:r>
        <w:rPr>
          <w:b/>
          <w:bCs/>
        </w:rPr>
        <w:t xml:space="preserve"> </w:t>
      </w:r>
    </w:p>
    <w:p w14:paraId="48F6A218" w14:textId="78B411B6" w:rsidR="00765850" w:rsidRDefault="00F70BBE" w:rsidP="00CC4AF8">
      <w:pPr>
        <w:pStyle w:val="EndnoteText"/>
      </w:pPr>
      <w:r>
        <w:t>1.</w:t>
      </w:r>
      <w:r w:rsidR="00EB5674">
        <w:t xml:space="preserve"> </w:t>
      </w:r>
      <w:r w:rsidR="00EB5674" w:rsidRPr="002206DD">
        <w:t>Minda, J. P., Roark, C. L., Kalra, P., &amp; Cruz, A. Single and multiple systems in categorization and category learning. </w:t>
      </w:r>
      <w:r w:rsidR="00EB5674" w:rsidRPr="002206DD">
        <w:rPr>
          <w:i/>
          <w:iCs/>
        </w:rPr>
        <w:t>Na</w:t>
      </w:r>
      <w:r w:rsidR="00EB5674">
        <w:rPr>
          <w:i/>
          <w:iCs/>
        </w:rPr>
        <w:t>t</w:t>
      </w:r>
      <w:r w:rsidR="00EB5674" w:rsidRPr="002206DD">
        <w:rPr>
          <w:i/>
          <w:iCs/>
        </w:rPr>
        <w:t xml:space="preserve"> Rev Psych</w:t>
      </w:r>
      <w:r w:rsidR="00EB5674" w:rsidRPr="002206DD">
        <w:t>, 1-16</w:t>
      </w:r>
      <w:r w:rsidR="00EB5674">
        <w:t xml:space="preserve"> (2024).</w:t>
      </w:r>
    </w:p>
    <w:p w14:paraId="6B54ED29" w14:textId="77777777" w:rsidR="00CC4AF8" w:rsidRDefault="00CC4AF8" w:rsidP="000C3A88">
      <w:pPr>
        <w:pStyle w:val="EndnoteText"/>
      </w:pPr>
    </w:p>
    <w:p w14:paraId="42075643" w14:textId="60445F48" w:rsidR="00A76B36" w:rsidRDefault="00F70BBE" w:rsidP="006F0434">
      <w:r>
        <w:t>2.</w:t>
      </w:r>
      <w:r w:rsidR="00CC4AF8">
        <w:t xml:space="preserve"> </w:t>
      </w:r>
      <w:r w:rsidR="009C107A" w:rsidRPr="00AC1018">
        <w:t>Ashby, F. G., Alfonso-Reese, L. A., Turken, A. U. &amp; Waldron, E. M. A neuropsychological theory of multiple systems in category learning. </w:t>
      </w:r>
      <w:r w:rsidR="009C107A" w:rsidRPr="00AC1018">
        <w:rPr>
          <w:i/>
          <w:iCs/>
        </w:rPr>
        <w:t>Psychol. Rev.</w:t>
      </w:r>
      <w:r w:rsidR="009C107A" w:rsidRPr="00AC1018">
        <w:t> </w:t>
      </w:r>
      <w:r w:rsidR="009C107A" w:rsidRPr="00AC1018">
        <w:rPr>
          <w:b/>
          <w:bCs/>
        </w:rPr>
        <w:t>105</w:t>
      </w:r>
      <w:r w:rsidR="009C107A" w:rsidRPr="00AC1018">
        <w:t>, 442–481 (1998).</w:t>
      </w:r>
    </w:p>
    <w:p w14:paraId="4CE241BB" w14:textId="7E090582" w:rsidR="00F70BBE" w:rsidRDefault="00F70BBE" w:rsidP="006F0434">
      <w:r>
        <w:t>3.</w:t>
      </w:r>
      <w:r w:rsidR="00A76B36">
        <w:t xml:space="preserve"> </w:t>
      </w:r>
      <w:r w:rsidR="00D44C1F" w:rsidRPr="00D44C1F">
        <w:t>Ashby, F. G., &amp; Gott, R. E. Decision rules in the perception and categorization of multidimensional stimuli</w:t>
      </w:r>
      <w:r w:rsidR="00807323">
        <w:t xml:space="preserve">. </w:t>
      </w:r>
      <w:r w:rsidR="00807323">
        <w:rPr>
          <w:i/>
          <w:iCs/>
        </w:rPr>
        <w:t>JEP:LMC</w:t>
      </w:r>
      <w:r w:rsidR="00D44C1F" w:rsidRPr="00D44C1F">
        <w:t>, </w:t>
      </w:r>
      <w:r w:rsidR="00D44C1F" w:rsidRPr="00D44C1F">
        <w:rPr>
          <w:i/>
          <w:iCs/>
        </w:rPr>
        <w:t>14</w:t>
      </w:r>
      <w:r w:rsidR="00D44C1F" w:rsidRPr="00D44C1F">
        <w:t>(1), 33</w:t>
      </w:r>
      <w:r w:rsidR="00807323">
        <w:t>, (</w:t>
      </w:r>
      <w:r w:rsidR="00807323" w:rsidRPr="00D44C1F">
        <w:t>1988</w:t>
      </w:r>
      <w:r w:rsidR="00807323">
        <w:t>).</w:t>
      </w:r>
    </w:p>
    <w:p w14:paraId="35155346" w14:textId="07B554AE" w:rsidR="00F70BBE" w:rsidRDefault="00F70BBE" w:rsidP="006F0434">
      <w:r>
        <w:t>4.</w:t>
      </w:r>
      <w:r w:rsidR="00807323" w:rsidRPr="00807323">
        <w:t xml:space="preserve"> </w:t>
      </w:r>
      <w:r w:rsidR="00807323" w:rsidRPr="005224DE">
        <w:t>Ashby, F. G., &amp; Crossley, M. J. (2010). Interactions between declarative and procedural-learning categorization systems. Neurobiology of learning and memory, 94(1), 1-12.</w:t>
      </w:r>
    </w:p>
    <w:p w14:paraId="04E0E5CD" w14:textId="77777777" w:rsidR="003B055E" w:rsidRDefault="00A76B36" w:rsidP="003B055E">
      <w:pPr>
        <w:pStyle w:val="EndnoteText"/>
      </w:pPr>
      <w:r>
        <w:t>5.</w:t>
      </w:r>
      <w:r w:rsidR="003B055E">
        <w:t xml:space="preserve"> </w:t>
      </w:r>
      <w:r w:rsidR="003B055E" w:rsidRPr="00B91FE2">
        <w:t>Edmunds, C. E., Milton, F., &amp; Wills, A. J. Due process in dual process: Model</w:t>
      </w:r>
      <w:r w:rsidR="003B055E" w:rsidRPr="00B91FE2">
        <w:rPr>
          <w:rFonts w:ascii="Cambria Math" w:hAnsi="Cambria Math" w:cs="Cambria Math"/>
        </w:rPr>
        <w:t>‐</w:t>
      </w:r>
      <w:r w:rsidR="003B055E" w:rsidRPr="00B91FE2">
        <w:t>recovery simulations of decision</w:t>
      </w:r>
      <w:r w:rsidR="003B055E" w:rsidRPr="00B91FE2">
        <w:rPr>
          <w:rFonts w:ascii="Cambria Math" w:hAnsi="Cambria Math" w:cs="Cambria Math"/>
        </w:rPr>
        <w:t>‐</w:t>
      </w:r>
      <w:r w:rsidR="003B055E" w:rsidRPr="00B91FE2">
        <w:t>bound strategy analysis in category learning.</w:t>
      </w:r>
      <w:r w:rsidR="003B055E" w:rsidRPr="00B91FE2">
        <w:rPr>
          <w:rFonts w:ascii="Aptos" w:hAnsi="Aptos" w:cs="Aptos"/>
        </w:rPr>
        <w:t> </w:t>
      </w:r>
      <w:r w:rsidR="003B055E" w:rsidRPr="00B91FE2">
        <w:rPr>
          <w:i/>
          <w:iCs/>
        </w:rPr>
        <w:t>Co</w:t>
      </w:r>
      <w:r w:rsidR="003B055E">
        <w:rPr>
          <w:i/>
          <w:iCs/>
        </w:rPr>
        <w:t>g.</w:t>
      </w:r>
      <w:r w:rsidR="003B055E" w:rsidRPr="00B91FE2">
        <w:rPr>
          <w:i/>
          <w:iCs/>
        </w:rPr>
        <w:t xml:space="preserve"> Sci</w:t>
      </w:r>
      <w:r w:rsidR="003B055E">
        <w:rPr>
          <w:i/>
          <w:iCs/>
        </w:rPr>
        <w:t>.</w:t>
      </w:r>
      <w:r w:rsidR="003B055E" w:rsidRPr="00B91FE2">
        <w:t> </w:t>
      </w:r>
      <w:r w:rsidR="003B055E" w:rsidRPr="00BA2D36">
        <w:rPr>
          <w:b/>
          <w:bCs/>
        </w:rPr>
        <w:t>42,</w:t>
      </w:r>
      <w:r w:rsidR="003B055E" w:rsidRPr="00B91FE2">
        <w:t xml:space="preserve"> 833-860</w:t>
      </w:r>
      <w:r w:rsidR="003B055E">
        <w:t xml:space="preserve"> (2018)</w:t>
      </w:r>
      <w:r w:rsidR="003B055E" w:rsidRPr="00B91FE2">
        <w:t>.</w:t>
      </w:r>
    </w:p>
    <w:p w14:paraId="43FAD715" w14:textId="42DC8F9C" w:rsidR="00F70BBE" w:rsidRPr="006F0434" w:rsidRDefault="00F70BBE" w:rsidP="006F0434"/>
    <w:sectPr w:rsidR="00F70BBE" w:rsidRPr="006F0434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A67D" w14:textId="77777777" w:rsidR="008256FF" w:rsidRDefault="008256FF" w:rsidP="00D257B4">
      <w:pPr>
        <w:spacing w:after="0" w:line="240" w:lineRule="auto"/>
      </w:pPr>
      <w:r>
        <w:separator/>
      </w:r>
    </w:p>
  </w:endnote>
  <w:endnote w:type="continuationSeparator" w:id="0">
    <w:p w14:paraId="5FC737FA" w14:textId="77777777" w:rsidR="008256FF" w:rsidRDefault="008256FF" w:rsidP="00D2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Symbol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Symbol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3601" w14:textId="77777777" w:rsidR="008256FF" w:rsidRDefault="008256FF" w:rsidP="00D257B4">
      <w:pPr>
        <w:spacing w:after="0" w:line="240" w:lineRule="auto"/>
      </w:pPr>
      <w:r>
        <w:separator/>
      </w:r>
    </w:p>
  </w:footnote>
  <w:footnote w:type="continuationSeparator" w:id="0">
    <w:p w14:paraId="2478B5E4" w14:textId="77777777" w:rsidR="008256FF" w:rsidRDefault="008256FF" w:rsidP="00D25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89"/>
    <w:rsid w:val="00007849"/>
    <w:rsid w:val="0001463E"/>
    <w:rsid w:val="0002656D"/>
    <w:rsid w:val="0002722C"/>
    <w:rsid w:val="000302C2"/>
    <w:rsid w:val="000320FC"/>
    <w:rsid w:val="000349E8"/>
    <w:rsid w:val="0003593E"/>
    <w:rsid w:val="00037B52"/>
    <w:rsid w:val="000479BE"/>
    <w:rsid w:val="00050C10"/>
    <w:rsid w:val="00051FF2"/>
    <w:rsid w:val="0006461F"/>
    <w:rsid w:val="00072BA3"/>
    <w:rsid w:val="00073687"/>
    <w:rsid w:val="00095C39"/>
    <w:rsid w:val="0009636B"/>
    <w:rsid w:val="000B007E"/>
    <w:rsid w:val="000B4648"/>
    <w:rsid w:val="000B5AEB"/>
    <w:rsid w:val="000B671A"/>
    <w:rsid w:val="000C3A88"/>
    <w:rsid w:val="000C3ADD"/>
    <w:rsid w:val="000C53F0"/>
    <w:rsid w:val="000D195B"/>
    <w:rsid w:val="000D41DE"/>
    <w:rsid w:val="000D574C"/>
    <w:rsid w:val="000F302A"/>
    <w:rsid w:val="00100683"/>
    <w:rsid w:val="00100C21"/>
    <w:rsid w:val="001224F3"/>
    <w:rsid w:val="0012471D"/>
    <w:rsid w:val="001319E5"/>
    <w:rsid w:val="00137BD1"/>
    <w:rsid w:val="001462A5"/>
    <w:rsid w:val="00151FDF"/>
    <w:rsid w:val="0016714A"/>
    <w:rsid w:val="00180A89"/>
    <w:rsid w:val="001C21CC"/>
    <w:rsid w:val="001D2C1A"/>
    <w:rsid w:val="001E194F"/>
    <w:rsid w:val="001E2D70"/>
    <w:rsid w:val="001E649B"/>
    <w:rsid w:val="001F0C26"/>
    <w:rsid w:val="001F6CA6"/>
    <w:rsid w:val="002206DD"/>
    <w:rsid w:val="0022435C"/>
    <w:rsid w:val="00226F21"/>
    <w:rsid w:val="00236C48"/>
    <w:rsid w:val="00251B59"/>
    <w:rsid w:val="002525D3"/>
    <w:rsid w:val="0025394A"/>
    <w:rsid w:val="00253AC9"/>
    <w:rsid w:val="00260E80"/>
    <w:rsid w:val="00273B85"/>
    <w:rsid w:val="00280BA0"/>
    <w:rsid w:val="0028115E"/>
    <w:rsid w:val="002912E2"/>
    <w:rsid w:val="002958D5"/>
    <w:rsid w:val="002A310A"/>
    <w:rsid w:val="002A7561"/>
    <w:rsid w:val="002C45A4"/>
    <w:rsid w:val="002C7022"/>
    <w:rsid w:val="002E3DBE"/>
    <w:rsid w:val="002F10D5"/>
    <w:rsid w:val="003033A3"/>
    <w:rsid w:val="003054EE"/>
    <w:rsid w:val="0032546C"/>
    <w:rsid w:val="00332F9D"/>
    <w:rsid w:val="00333C21"/>
    <w:rsid w:val="0034116F"/>
    <w:rsid w:val="003422A0"/>
    <w:rsid w:val="00343A40"/>
    <w:rsid w:val="0035299E"/>
    <w:rsid w:val="00355856"/>
    <w:rsid w:val="003579E3"/>
    <w:rsid w:val="00363BFE"/>
    <w:rsid w:val="003A43ED"/>
    <w:rsid w:val="003B055E"/>
    <w:rsid w:val="003B7529"/>
    <w:rsid w:val="003D0097"/>
    <w:rsid w:val="003D161A"/>
    <w:rsid w:val="003D2468"/>
    <w:rsid w:val="003D5AB4"/>
    <w:rsid w:val="003E0877"/>
    <w:rsid w:val="003E58E2"/>
    <w:rsid w:val="003E6FCD"/>
    <w:rsid w:val="003E779D"/>
    <w:rsid w:val="003F7598"/>
    <w:rsid w:val="004037AE"/>
    <w:rsid w:val="00407957"/>
    <w:rsid w:val="00413A84"/>
    <w:rsid w:val="00421C1B"/>
    <w:rsid w:val="004241D6"/>
    <w:rsid w:val="0042704C"/>
    <w:rsid w:val="00427B0B"/>
    <w:rsid w:val="00441FC0"/>
    <w:rsid w:val="00447B8F"/>
    <w:rsid w:val="00452163"/>
    <w:rsid w:val="00460420"/>
    <w:rsid w:val="004643BE"/>
    <w:rsid w:val="00467D0E"/>
    <w:rsid w:val="0048732C"/>
    <w:rsid w:val="004A2289"/>
    <w:rsid w:val="004A5AE7"/>
    <w:rsid w:val="004B48DC"/>
    <w:rsid w:val="004D7C5B"/>
    <w:rsid w:val="004E027D"/>
    <w:rsid w:val="004E1005"/>
    <w:rsid w:val="004E3A94"/>
    <w:rsid w:val="004E3E0A"/>
    <w:rsid w:val="004E47CB"/>
    <w:rsid w:val="004F16ED"/>
    <w:rsid w:val="004F458A"/>
    <w:rsid w:val="00506C50"/>
    <w:rsid w:val="00514317"/>
    <w:rsid w:val="00521130"/>
    <w:rsid w:val="005217E7"/>
    <w:rsid w:val="005224DE"/>
    <w:rsid w:val="005252E1"/>
    <w:rsid w:val="00533276"/>
    <w:rsid w:val="0054234C"/>
    <w:rsid w:val="00543460"/>
    <w:rsid w:val="005435E0"/>
    <w:rsid w:val="00553E5B"/>
    <w:rsid w:val="00573C1D"/>
    <w:rsid w:val="005752EC"/>
    <w:rsid w:val="005849F3"/>
    <w:rsid w:val="00590646"/>
    <w:rsid w:val="00595247"/>
    <w:rsid w:val="005A09C2"/>
    <w:rsid w:val="005A518B"/>
    <w:rsid w:val="005A7658"/>
    <w:rsid w:val="005B01B9"/>
    <w:rsid w:val="005B1C2E"/>
    <w:rsid w:val="005C0893"/>
    <w:rsid w:val="005C0FA8"/>
    <w:rsid w:val="005C105B"/>
    <w:rsid w:val="005C1BF1"/>
    <w:rsid w:val="005E6E96"/>
    <w:rsid w:val="005F2A1D"/>
    <w:rsid w:val="005F75D7"/>
    <w:rsid w:val="0060483C"/>
    <w:rsid w:val="006136D6"/>
    <w:rsid w:val="00621594"/>
    <w:rsid w:val="00632CE8"/>
    <w:rsid w:val="0063300A"/>
    <w:rsid w:val="00643C39"/>
    <w:rsid w:val="0064716E"/>
    <w:rsid w:val="00655EDB"/>
    <w:rsid w:val="00662B2A"/>
    <w:rsid w:val="00666EAB"/>
    <w:rsid w:val="00666FA1"/>
    <w:rsid w:val="00670A50"/>
    <w:rsid w:val="00671EBA"/>
    <w:rsid w:val="0068382B"/>
    <w:rsid w:val="0069485A"/>
    <w:rsid w:val="006A0598"/>
    <w:rsid w:val="006A31A5"/>
    <w:rsid w:val="006A5161"/>
    <w:rsid w:val="006A7955"/>
    <w:rsid w:val="006B20D3"/>
    <w:rsid w:val="006B256F"/>
    <w:rsid w:val="006C0B26"/>
    <w:rsid w:val="006C3622"/>
    <w:rsid w:val="006D1804"/>
    <w:rsid w:val="006D3900"/>
    <w:rsid w:val="006E15F6"/>
    <w:rsid w:val="006E176B"/>
    <w:rsid w:val="006E6075"/>
    <w:rsid w:val="006F0058"/>
    <w:rsid w:val="006F0434"/>
    <w:rsid w:val="006F209D"/>
    <w:rsid w:val="006F7D54"/>
    <w:rsid w:val="00727C41"/>
    <w:rsid w:val="00731631"/>
    <w:rsid w:val="007331E9"/>
    <w:rsid w:val="007362E1"/>
    <w:rsid w:val="00742EDB"/>
    <w:rsid w:val="0076512D"/>
    <w:rsid w:val="00765850"/>
    <w:rsid w:val="00771E51"/>
    <w:rsid w:val="00774EED"/>
    <w:rsid w:val="00780140"/>
    <w:rsid w:val="007810D1"/>
    <w:rsid w:val="00784E93"/>
    <w:rsid w:val="007912B9"/>
    <w:rsid w:val="00796DFB"/>
    <w:rsid w:val="007A0F92"/>
    <w:rsid w:val="007A3729"/>
    <w:rsid w:val="007B10CA"/>
    <w:rsid w:val="007B26AE"/>
    <w:rsid w:val="007C1961"/>
    <w:rsid w:val="007C311A"/>
    <w:rsid w:val="007D32B8"/>
    <w:rsid w:val="007D404C"/>
    <w:rsid w:val="007D506B"/>
    <w:rsid w:val="007D5F9D"/>
    <w:rsid w:val="007E23C6"/>
    <w:rsid w:val="007E7267"/>
    <w:rsid w:val="007F2FC8"/>
    <w:rsid w:val="00802626"/>
    <w:rsid w:val="00806C4A"/>
    <w:rsid w:val="00807323"/>
    <w:rsid w:val="00812F9E"/>
    <w:rsid w:val="008256FF"/>
    <w:rsid w:val="008327B4"/>
    <w:rsid w:val="00840215"/>
    <w:rsid w:val="008459D4"/>
    <w:rsid w:val="00850CA4"/>
    <w:rsid w:val="0085326E"/>
    <w:rsid w:val="00865FA6"/>
    <w:rsid w:val="008743C5"/>
    <w:rsid w:val="008747A5"/>
    <w:rsid w:val="00891738"/>
    <w:rsid w:val="008A0608"/>
    <w:rsid w:val="008A2A02"/>
    <w:rsid w:val="008A3403"/>
    <w:rsid w:val="008A4EE2"/>
    <w:rsid w:val="008B3243"/>
    <w:rsid w:val="008B5624"/>
    <w:rsid w:val="008C4E2A"/>
    <w:rsid w:val="008D2145"/>
    <w:rsid w:val="008E11FD"/>
    <w:rsid w:val="008E3287"/>
    <w:rsid w:val="008E3A6D"/>
    <w:rsid w:val="008E3BE8"/>
    <w:rsid w:val="00903E3E"/>
    <w:rsid w:val="0090682B"/>
    <w:rsid w:val="0091425C"/>
    <w:rsid w:val="00930D9C"/>
    <w:rsid w:val="00946463"/>
    <w:rsid w:val="009545F1"/>
    <w:rsid w:val="00960A34"/>
    <w:rsid w:val="00963C92"/>
    <w:rsid w:val="0097438C"/>
    <w:rsid w:val="00977CB6"/>
    <w:rsid w:val="00984F47"/>
    <w:rsid w:val="009859D7"/>
    <w:rsid w:val="00990C9E"/>
    <w:rsid w:val="009969BB"/>
    <w:rsid w:val="009A4F91"/>
    <w:rsid w:val="009B0170"/>
    <w:rsid w:val="009C107A"/>
    <w:rsid w:val="009C1F2F"/>
    <w:rsid w:val="009C37EA"/>
    <w:rsid w:val="009C664A"/>
    <w:rsid w:val="009D23AD"/>
    <w:rsid w:val="009D3672"/>
    <w:rsid w:val="009D5C37"/>
    <w:rsid w:val="009D7CF9"/>
    <w:rsid w:val="009E04D6"/>
    <w:rsid w:val="009E1812"/>
    <w:rsid w:val="009F4989"/>
    <w:rsid w:val="009F670A"/>
    <w:rsid w:val="00A00463"/>
    <w:rsid w:val="00A070BD"/>
    <w:rsid w:val="00A10856"/>
    <w:rsid w:val="00A237E0"/>
    <w:rsid w:val="00A326BB"/>
    <w:rsid w:val="00A358C9"/>
    <w:rsid w:val="00A64D7A"/>
    <w:rsid w:val="00A76B36"/>
    <w:rsid w:val="00A81257"/>
    <w:rsid w:val="00A81A5E"/>
    <w:rsid w:val="00A97A2F"/>
    <w:rsid w:val="00AA34A5"/>
    <w:rsid w:val="00AB3C86"/>
    <w:rsid w:val="00AC0283"/>
    <w:rsid w:val="00AC1018"/>
    <w:rsid w:val="00AD00F3"/>
    <w:rsid w:val="00AD355F"/>
    <w:rsid w:val="00AE1855"/>
    <w:rsid w:val="00AE384F"/>
    <w:rsid w:val="00B0390B"/>
    <w:rsid w:val="00B11C4B"/>
    <w:rsid w:val="00B23F7E"/>
    <w:rsid w:val="00B25C9D"/>
    <w:rsid w:val="00B27109"/>
    <w:rsid w:val="00B376E1"/>
    <w:rsid w:val="00B43D56"/>
    <w:rsid w:val="00B45B89"/>
    <w:rsid w:val="00B54106"/>
    <w:rsid w:val="00B73A8F"/>
    <w:rsid w:val="00B8592A"/>
    <w:rsid w:val="00B91FE2"/>
    <w:rsid w:val="00B937E0"/>
    <w:rsid w:val="00B9472D"/>
    <w:rsid w:val="00BA2D36"/>
    <w:rsid w:val="00BC5012"/>
    <w:rsid w:val="00BD1B32"/>
    <w:rsid w:val="00BD3389"/>
    <w:rsid w:val="00BD7084"/>
    <w:rsid w:val="00BE0F31"/>
    <w:rsid w:val="00BE1DA1"/>
    <w:rsid w:val="00BF3F35"/>
    <w:rsid w:val="00C02A61"/>
    <w:rsid w:val="00C0398A"/>
    <w:rsid w:val="00C11434"/>
    <w:rsid w:val="00C1204D"/>
    <w:rsid w:val="00C170ED"/>
    <w:rsid w:val="00C17116"/>
    <w:rsid w:val="00C23013"/>
    <w:rsid w:val="00C24EB3"/>
    <w:rsid w:val="00C423D3"/>
    <w:rsid w:val="00C514E7"/>
    <w:rsid w:val="00C51EC3"/>
    <w:rsid w:val="00C54BD3"/>
    <w:rsid w:val="00C55862"/>
    <w:rsid w:val="00C567A8"/>
    <w:rsid w:val="00C63B47"/>
    <w:rsid w:val="00C63CD3"/>
    <w:rsid w:val="00C66F6C"/>
    <w:rsid w:val="00C70688"/>
    <w:rsid w:val="00C71366"/>
    <w:rsid w:val="00C72CC6"/>
    <w:rsid w:val="00C86866"/>
    <w:rsid w:val="00CA1119"/>
    <w:rsid w:val="00CA65F0"/>
    <w:rsid w:val="00CB1518"/>
    <w:rsid w:val="00CB68F8"/>
    <w:rsid w:val="00CB7635"/>
    <w:rsid w:val="00CC4AF8"/>
    <w:rsid w:val="00CD3CE5"/>
    <w:rsid w:val="00CE5688"/>
    <w:rsid w:val="00CF73F5"/>
    <w:rsid w:val="00CF7D58"/>
    <w:rsid w:val="00D1614F"/>
    <w:rsid w:val="00D20D8C"/>
    <w:rsid w:val="00D240FC"/>
    <w:rsid w:val="00D2543D"/>
    <w:rsid w:val="00D257B4"/>
    <w:rsid w:val="00D32444"/>
    <w:rsid w:val="00D34631"/>
    <w:rsid w:val="00D34F3E"/>
    <w:rsid w:val="00D4023C"/>
    <w:rsid w:val="00D44C1F"/>
    <w:rsid w:val="00D5705B"/>
    <w:rsid w:val="00D61213"/>
    <w:rsid w:val="00D70B24"/>
    <w:rsid w:val="00D7139D"/>
    <w:rsid w:val="00D72EC4"/>
    <w:rsid w:val="00D84F82"/>
    <w:rsid w:val="00D87BDF"/>
    <w:rsid w:val="00D90632"/>
    <w:rsid w:val="00D943C4"/>
    <w:rsid w:val="00DA1A4F"/>
    <w:rsid w:val="00DA32F9"/>
    <w:rsid w:val="00DA3D04"/>
    <w:rsid w:val="00DC4C6C"/>
    <w:rsid w:val="00DD068D"/>
    <w:rsid w:val="00DD77B2"/>
    <w:rsid w:val="00DF1ECF"/>
    <w:rsid w:val="00E2718A"/>
    <w:rsid w:val="00E331FD"/>
    <w:rsid w:val="00E4042D"/>
    <w:rsid w:val="00E41B27"/>
    <w:rsid w:val="00E516C7"/>
    <w:rsid w:val="00E652A5"/>
    <w:rsid w:val="00E71100"/>
    <w:rsid w:val="00E7709F"/>
    <w:rsid w:val="00E863C4"/>
    <w:rsid w:val="00EA2669"/>
    <w:rsid w:val="00EB0AA4"/>
    <w:rsid w:val="00EB3497"/>
    <w:rsid w:val="00EB5674"/>
    <w:rsid w:val="00ED4B0B"/>
    <w:rsid w:val="00EE3FCB"/>
    <w:rsid w:val="00EF1CE9"/>
    <w:rsid w:val="00EF286E"/>
    <w:rsid w:val="00F12A1E"/>
    <w:rsid w:val="00F20EB3"/>
    <w:rsid w:val="00F30D4E"/>
    <w:rsid w:val="00F3249D"/>
    <w:rsid w:val="00F34558"/>
    <w:rsid w:val="00F42CBA"/>
    <w:rsid w:val="00F67008"/>
    <w:rsid w:val="00F70BBE"/>
    <w:rsid w:val="00F926A7"/>
    <w:rsid w:val="00F92712"/>
    <w:rsid w:val="00FB05B6"/>
    <w:rsid w:val="00FB194F"/>
    <w:rsid w:val="00FB3A7E"/>
    <w:rsid w:val="00FC5636"/>
    <w:rsid w:val="00FC7434"/>
    <w:rsid w:val="00FD5534"/>
    <w:rsid w:val="00FD6CD5"/>
    <w:rsid w:val="00FD7434"/>
    <w:rsid w:val="00FE200A"/>
    <w:rsid w:val="00FE2F6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8C9CA"/>
  <w15:chartTrackingRefBased/>
  <w15:docId w15:val="{CAA27E7D-7E62-4D0C-A6F8-854683EE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34"/>
  </w:style>
  <w:style w:type="paragraph" w:styleId="Heading1">
    <w:name w:val="heading 1"/>
    <w:basedOn w:val="Normal"/>
    <w:next w:val="Normal"/>
    <w:link w:val="Heading1Char"/>
    <w:uiPriority w:val="9"/>
    <w:qFormat/>
    <w:rsid w:val="00BD3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389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D257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257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57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19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9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41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7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7AE"/>
    <w:rPr>
      <w:b/>
      <w:bCs/>
      <w:sz w:val="20"/>
      <w:szCs w:val="20"/>
    </w:rPr>
  </w:style>
  <w:style w:type="paragraph" w:customStyle="1" w:styleId="Smallprinttext">
    <w:name w:val="*Smallprint text"/>
    <w:basedOn w:val="Normal"/>
    <w:link w:val="SmallprinttextChar"/>
    <w:rsid w:val="005B01B9"/>
    <w:pPr>
      <w:jc w:val="center"/>
    </w:pPr>
    <w:rPr>
      <w:rFonts w:ascii="ITC Symbol Std Medium" w:hAnsi="ITC Symbol Std Medium"/>
      <w:sz w:val="12"/>
    </w:rPr>
  </w:style>
  <w:style w:type="character" w:customStyle="1" w:styleId="SmallprinttextChar">
    <w:name w:val="*Smallprint text Char"/>
    <w:basedOn w:val="DefaultParagraphFont"/>
    <w:link w:val="Smallprinttext"/>
    <w:rsid w:val="005B01B9"/>
    <w:rPr>
      <w:rFonts w:ascii="ITC Symbol Std Medium" w:hAnsi="ITC Symbol Std Medium"/>
      <w:sz w:val="12"/>
    </w:rPr>
  </w:style>
  <w:style w:type="paragraph" w:customStyle="1" w:styleId="Smallprinthead">
    <w:name w:val="*Smallprint head"/>
    <w:basedOn w:val="Normal"/>
    <w:link w:val="SmallprintheadChar"/>
    <w:rsid w:val="005B01B9"/>
    <w:pPr>
      <w:jc w:val="center"/>
    </w:pPr>
    <w:rPr>
      <w:rFonts w:ascii="ITC Symbol Std Book" w:hAnsi="ITC Symbol Std Book"/>
      <w:b/>
      <w:sz w:val="13"/>
    </w:rPr>
  </w:style>
  <w:style w:type="character" w:customStyle="1" w:styleId="SmallprintheadChar">
    <w:name w:val="*Smallprint head Char"/>
    <w:basedOn w:val="DefaultParagraphFont"/>
    <w:link w:val="Smallprinthead"/>
    <w:rsid w:val="005B01B9"/>
    <w:rPr>
      <w:rFonts w:ascii="ITC Symbol Std Book" w:hAnsi="ITC Symbol Std Book"/>
      <w:b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emund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58DA-EF8E-4D4F-8B26-E8C628E4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925</Words>
  <Characters>5276</Characters>
  <Application>Microsoft Office Word</Application>
  <DocSecurity>0</DocSecurity>
  <Lines>43</Lines>
  <Paragraphs>12</Paragraphs>
  <ScaleCrop>false</ScaleCrop>
  <Company>Bath Spa University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Edmunds</dc:creator>
  <cp:keywords/>
  <dc:description/>
  <cp:lastModifiedBy>Teresa Schubert</cp:lastModifiedBy>
  <cp:revision>9</cp:revision>
  <dcterms:created xsi:type="dcterms:W3CDTF">2024-11-19T19:14:00Z</dcterms:created>
  <dcterms:modified xsi:type="dcterms:W3CDTF">2024-11-19T19:52:00Z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cf8d8-0beb-467a-9efd-2f19365bc42a_Enabled">
    <vt:lpwstr>true</vt:lpwstr>
  </property>
  <property fmtid="{D5CDD505-2E9C-101B-9397-08002B2CF9AE}" pid="3" name="MSIP_Label_543cf8d8-0beb-467a-9efd-2f19365bc42a_SetDate">
    <vt:lpwstr>2024-08-01T11:51:10Z</vt:lpwstr>
  </property>
  <property fmtid="{D5CDD505-2E9C-101B-9397-08002B2CF9AE}" pid="4" name="MSIP_Label_543cf8d8-0beb-467a-9efd-2f19365bc42a_Method">
    <vt:lpwstr>Standard</vt:lpwstr>
  </property>
  <property fmtid="{D5CDD505-2E9C-101B-9397-08002B2CF9AE}" pid="5" name="MSIP_Label_543cf8d8-0beb-467a-9efd-2f19365bc42a_Name">
    <vt:lpwstr>Teaching Materials</vt:lpwstr>
  </property>
  <property fmtid="{D5CDD505-2E9C-101B-9397-08002B2CF9AE}" pid="6" name="MSIP_Label_543cf8d8-0beb-467a-9efd-2f19365bc42a_SiteId">
    <vt:lpwstr>23706653-cd57-4504-9a59-0960251db4b0</vt:lpwstr>
  </property>
  <property fmtid="{D5CDD505-2E9C-101B-9397-08002B2CF9AE}" pid="7" name="MSIP_Label_543cf8d8-0beb-467a-9efd-2f19365bc42a_ActionId">
    <vt:lpwstr>66040398-d3da-434a-9ead-7173dd50b1ef</vt:lpwstr>
  </property>
  <property fmtid="{D5CDD505-2E9C-101B-9397-08002B2CF9AE}" pid="8" name="MSIP_Label_543cf8d8-0beb-467a-9efd-2f19365bc42a_ContentBits">
    <vt:lpwstr>0</vt:lpwstr>
  </property>
</Properties>
</file>