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0E90A7" w14:textId="77777777" w:rsidR="002B3252" w:rsidRDefault="004E70BB">
      <w:pPr>
        <w:rPr>
          <w:b/>
        </w:rPr>
      </w:pPr>
      <w:r w:rsidRPr="004E70BB">
        <w:rPr>
          <w:b/>
        </w:rPr>
        <w:t>Going against the grain? Exploring EdD students</w:t>
      </w:r>
      <w:r>
        <w:rPr>
          <w:b/>
        </w:rPr>
        <w:t>’</w:t>
      </w:r>
      <w:r w:rsidRPr="004E70BB">
        <w:rPr>
          <w:b/>
        </w:rPr>
        <w:t xml:space="preserve"> engagement with arts</w:t>
      </w:r>
      <w:r w:rsidR="00040EFF">
        <w:rPr>
          <w:b/>
        </w:rPr>
        <w:t>-</w:t>
      </w:r>
      <w:r w:rsidRPr="004E70BB">
        <w:rPr>
          <w:b/>
        </w:rPr>
        <w:t xml:space="preserve">based research </w:t>
      </w:r>
    </w:p>
    <w:p w14:paraId="0AD019BB" w14:textId="77777777" w:rsidR="00C05499" w:rsidRPr="004E70BB" w:rsidRDefault="00C05499">
      <w:pPr>
        <w:rPr>
          <w:b/>
        </w:rPr>
      </w:pPr>
      <w:r>
        <w:rPr>
          <w:b/>
        </w:rPr>
        <w:t>150-word abstract</w:t>
      </w:r>
    </w:p>
    <w:p w14:paraId="6C77E436" w14:textId="77777777" w:rsidR="004E70BB" w:rsidRDefault="004E70BB" w:rsidP="000070C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 w:rsidRPr="004E70BB">
        <w:rPr>
          <w:rStyle w:val="normaltextrun"/>
          <w:rFonts w:ascii="Calibri" w:hAnsi="Calibri" w:cs="Calibri"/>
          <w:sz w:val="22"/>
          <w:szCs w:val="22"/>
        </w:rPr>
        <w:t>Despite growing interest in the potential value of arts-based research (ABR) for educational inquiry</w:t>
      </w:r>
      <w:r>
        <w:rPr>
          <w:rStyle w:val="normaltextrun"/>
          <w:rFonts w:ascii="Calibri" w:hAnsi="Calibri" w:cs="Calibri"/>
          <w:sz w:val="22"/>
          <w:szCs w:val="22"/>
        </w:rPr>
        <w:t xml:space="preserve"> (</w:t>
      </w:r>
      <w:proofErr w:type="spellStart"/>
      <w:r w:rsidR="00A268A5">
        <w:rPr>
          <w:rStyle w:val="normaltextrun"/>
          <w:rFonts w:ascii="Calibri" w:hAnsi="Calibri" w:cs="Calibri"/>
          <w:sz w:val="22"/>
          <w:szCs w:val="22"/>
        </w:rPr>
        <w:t>Siegesmund</w:t>
      </w:r>
      <w:proofErr w:type="spellEnd"/>
      <w:r w:rsidR="00A268A5">
        <w:rPr>
          <w:rStyle w:val="normaltextrun"/>
          <w:rFonts w:ascii="Calibri" w:hAnsi="Calibri" w:cs="Calibri"/>
          <w:sz w:val="22"/>
          <w:szCs w:val="22"/>
        </w:rPr>
        <w:t xml:space="preserve"> &amp; </w:t>
      </w:r>
      <w:proofErr w:type="spellStart"/>
      <w:r w:rsidR="00A268A5">
        <w:rPr>
          <w:rStyle w:val="normaltextrun"/>
          <w:rFonts w:ascii="Calibri" w:hAnsi="Calibri" w:cs="Calibri"/>
          <w:sz w:val="22"/>
          <w:szCs w:val="22"/>
        </w:rPr>
        <w:t>Cahnmann</w:t>
      </w:r>
      <w:proofErr w:type="spellEnd"/>
      <w:r w:rsidR="00A268A5">
        <w:rPr>
          <w:rStyle w:val="normaltextrun"/>
          <w:rFonts w:ascii="Calibri" w:hAnsi="Calibri" w:cs="Calibri"/>
          <w:sz w:val="22"/>
          <w:szCs w:val="22"/>
        </w:rPr>
        <w:t>-Taylor, 2018</w:t>
      </w:r>
      <w:r>
        <w:rPr>
          <w:rStyle w:val="normaltextrun"/>
          <w:rFonts w:ascii="Calibri" w:hAnsi="Calibri" w:cs="Calibri"/>
          <w:sz w:val="22"/>
          <w:szCs w:val="22"/>
        </w:rPr>
        <w:t>)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, limited consideration exists regarding its accessibility, and relevance, to practice-based </w:t>
      </w:r>
      <w:r w:rsidR="00040EFF">
        <w:rPr>
          <w:rStyle w:val="normaltextrun"/>
          <w:rFonts w:ascii="Calibri" w:hAnsi="Calibri" w:cs="Calibri"/>
          <w:sz w:val="22"/>
          <w:szCs w:val="22"/>
        </w:rPr>
        <w:t>EdD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 researchers.</w:t>
      </w:r>
      <w:r>
        <w:rPr>
          <w:rStyle w:val="normaltextrun"/>
          <w:rFonts w:ascii="Calibri" w:hAnsi="Calibri" w:cs="Calibri"/>
          <w:sz w:val="22"/>
          <w:szCs w:val="22"/>
        </w:rPr>
        <w:t xml:space="preserve"> </w:t>
      </w:r>
      <w:r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This is significant, given </w:t>
      </w:r>
      <w:r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the potential for conflict between </w:t>
      </w:r>
      <w:r w:rsidR="009D3D96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ABR’s </w:t>
      </w:r>
      <w:r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affordances for social </w:t>
      </w:r>
      <w:r w:rsidR="00A268A5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>impact</w:t>
      </w:r>
      <w:r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 (</w:t>
      </w:r>
      <w:r w:rsidR="00040EFF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>Dobson &amp; Clark, 2024</w:t>
      </w:r>
      <w:r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) and </w:t>
      </w:r>
      <w:r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>institutional regulations and structures</w:t>
      </w:r>
      <w:r w:rsidR="009D3D96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 which may restrict the </w:t>
      </w:r>
      <w:r w:rsidR="009D3D96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>creative potential of practice-based research</w:t>
      </w:r>
      <w:r w:rsidR="009D3D96">
        <w:rPr>
          <w:rStyle w:val="normaltextrun"/>
          <w:rFonts w:ascii="Calibri" w:hAnsi="Calibri" w:cs="Calibri"/>
          <w:sz w:val="22"/>
          <w:szCs w:val="22"/>
        </w:rPr>
        <w:t xml:space="preserve"> </w:t>
      </w:r>
      <w:r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>(Vaughan, 2021).</w:t>
      </w:r>
      <w:r w:rsidR="00040EFF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 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In response, </w:t>
      </w:r>
      <w:r w:rsidR="000070CF">
        <w:rPr>
          <w:rStyle w:val="normaltextrun"/>
          <w:rFonts w:ascii="Calibri" w:hAnsi="Calibri" w:cs="Calibri"/>
          <w:sz w:val="22"/>
          <w:szCs w:val="22"/>
        </w:rPr>
        <w:t>this</w:t>
      </w:r>
      <w:r w:rsidR="00040EFF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Pr="004E70BB">
        <w:rPr>
          <w:rStyle w:val="normaltextrun"/>
          <w:rFonts w:ascii="Calibri" w:hAnsi="Calibri" w:cs="Calibri"/>
          <w:sz w:val="22"/>
          <w:szCs w:val="22"/>
        </w:rPr>
        <w:t>study explore</w:t>
      </w:r>
      <w:r w:rsidR="009D3D96">
        <w:rPr>
          <w:rStyle w:val="normaltextrun"/>
          <w:rFonts w:ascii="Calibri" w:hAnsi="Calibri" w:cs="Calibri"/>
          <w:sz w:val="22"/>
          <w:szCs w:val="22"/>
        </w:rPr>
        <w:t>s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 the contexts</w:t>
      </w:r>
      <w:r w:rsidR="00040EFF">
        <w:rPr>
          <w:rStyle w:val="normaltextrun"/>
          <w:rFonts w:ascii="Calibri" w:hAnsi="Calibri" w:cs="Calibri"/>
          <w:sz w:val="22"/>
          <w:szCs w:val="22"/>
        </w:rPr>
        <w:t>, motivations and challenges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 surrounding </w:t>
      </w:r>
      <w:r w:rsidR="00040EFF">
        <w:rPr>
          <w:rStyle w:val="normaltextrun"/>
          <w:rFonts w:ascii="Calibri" w:hAnsi="Calibri" w:cs="Calibri"/>
          <w:sz w:val="22"/>
          <w:szCs w:val="22"/>
        </w:rPr>
        <w:t>EdD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 students’ </w:t>
      </w:r>
      <w:r w:rsidR="000070CF">
        <w:rPr>
          <w:rStyle w:val="normaltextrun"/>
          <w:rFonts w:ascii="Calibri" w:hAnsi="Calibri" w:cs="Calibri"/>
          <w:sz w:val="22"/>
          <w:szCs w:val="22"/>
        </w:rPr>
        <w:t>experiences of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 engag</w:t>
      </w:r>
      <w:r w:rsidR="000070CF">
        <w:rPr>
          <w:rStyle w:val="normaltextrun"/>
          <w:rFonts w:ascii="Calibri" w:hAnsi="Calibri" w:cs="Calibri"/>
          <w:sz w:val="22"/>
          <w:szCs w:val="22"/>
        </w:rPr>
        <w:t>ing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 with </w:t>
      </w:r>
      <w:r>
        <w:rPr>
          <w:rStyle w:val="normaltextrun"/>
          <w:rFonts w:ascii="Calibri" w:hAnsi="Calibri" w:cs="Calibri"/>
          <w:sz w:val="22"/>
          <w:szCs w:val="22"/>
        </w:rPr>
        <w:t>ABR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 in their studies.</w:t>
      </w:r>
      <w:r w:rsidR="00040EFF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="000070CF">
        <w:rPr>
          <w:rStyle w:val="normaltextrun"/>
          <w:rFonts w:ascii="Calibri" w:hAnsi="Calibri" w:cs="Calibri"/>
          <w:sz w:val="22"/>
          <w:szCs w:val="22"/>
        </w:rPr>
        <w:t xml:space="preserve">Applying </w:t>
      </w:r>
      <w:proofErr w:type="spellStart"/>
      <w:r w:rsidR="00040EFF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>Glaveneau’s</w:t>
      </w:r>
      <w:proofErr w:type="spellEnd"/>
      <w:r w:rsidR="00040EFF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 (2013) 5A’s</w:t>
      </w:r>
      <w:r w:rsidR="00040EFF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 model</w:t>
      </w:r>
      <w:r w:rsidR="009D3D96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 to position</w:t>
      </w:r>
      <w:r w:rsidR="00040EFF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 creativity as ‘embedded in social relations’, the study utilised narrative interviews and </w:t>
      </w:r>
      <w:r w:rsidR="00C05499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group </w:t>
      </w:r>
      <w:r w:rsidR="00040EFF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>action learning</w:t>
      </w:r>
      <w:r w:rsidR="00630DC3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 (</w:t>
      </w:r>
      <w:proofErr w:type="spellStart"/>
      <w:r w:rsidR="00630DC3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>Re</w:t>
      </w:r>
      <w:r w:rsidR="00A268A5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>vans</w:t>
      </w:r>
      <w:proofErr w:type="spellEnd"/>
      <w:r w:rsidR="00630DC3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, </w:t>
      </w:r>
      <w:r w:rsidR="00A268A5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>1982</w:t>
      </w:r>
      <w:r w:rsidR="00630DC3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>)</w:t>
      </w:r>
      <w:r w:rsidR="00040EFF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 to explore the methodological decision-making of 9 EdD students using ABR across 2 universities. Its findings illustrate the complex entanglement between </w:t>
      </w:r>
      <w:r w:rsidR="009D3D96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related </w:t>
      </w:r>
      <w:r w:rsidR="00040EFF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audiences, </w:t>
      </w:r>
      <w:proofErr w:type="spellStart"/>
      <w:r w:rsidR="00040EFF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>artifacts</w:t>
      </w:r>
      <w:proofErr w:type="spellEnd"/>
      <w:r w:rsidR="00040EFF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, actors, actions and affordances and the significance of </w:t>
      </w:r>
      <w:r w:rsidR="00C05499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enabling </w:t>
      </w:r>
      <w:r w:rsidR="00040EFF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resistance </w:t>
      </w:r>
      <w:r w:rsidR="00C05499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>to</w:t>
      </w:r>
      <w:r w:rsidR="00040EFF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 academic ‘hierarchies of legitimacy’ (Vaughan, 2021). </w:t>
      </w:r>
    </w:p>
    <w:p w14:paraId="4E7ADE2F" w14:textId="77777777" w:rsidR="004E70BB" w:rsidRDefault="004E70BB" w:rsidP="000070C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5AAA8092" w14:textId="77777777" w:rsidR="009D3D96" w:rsidRDefault="009D3D96" w:rsidP="000070C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5A135686" w14:textId="77777777" w:rsidR="00983B2A" w:rsidRDefault="00C05499" w:rsidP="000070C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sz w:val="22"/>
          <w:szCs w:val="22"/>
        </w:rPr>
      </w:pPr>
      <w:r w:rsidRPr="00C05499">
        <w:rPr>
          <w:rStyle w:val="normaltextrun"/>
          <w:rFonts w:ascii="Calibri" w:hAnsi="Calibri" w:cs="Calibri"/>
          <w:b/>
          <w:sz w:val="22"/>
          <w:szCs w:val="22"/>
        </w:rPr>
        <w:t xml:space="preserve">750-word paper </w:t>
      </w:r>
    </w:p>
    <w:p w14:paraId="32EB4BB1" w14:textId="77777777" w:rsidR="00983B2A" w:rsidRPr="00983B2A" w:rsidRDefault="00983B2A" w:rsidP="000070CF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sz w:val="22"/>
          <w:szCs w:val="22"/>
        </w:rPr>
      </w:pPr>
    </w:p>
    <w:p w14:paraId="07C38631" w14:textId="77777777" w:rsidR="00C05499" w:rsidRDefault="00A268A5" w:rsidP="000070CF">
      <w:pPr>
        <w:spacing w:line="240" w:lineRule="auto"/>
        <w:rPr>
          <w:rStyle w:val="normaltextrun"/>
          <w:rFonts w:ascii="Calibri" w:hAnsi="Calibri" w:cs="Calibri"/>
          <w:color w:val="000000"/>
          <w:shd w:val="clear" w:color="auto" w:fill="FFFFFF"/>
        </w:rPr>
      </w:pPr>
      <w:r>
        <w:rPr>
          <w:rStyle w:val="normaltextrun"/>
          <w:rFonts w:ascii="Calibri" w:hAnsi="Calibri" w:cs="Calibri"/>
        </w:rPr>
        <w:t>Arts-based research</w:t>
      </w:r>
      <w:r w:rsidR="009D3D96">
        <w:rPr>
          <w:rStyle w:val="normaltextrun"/>
          <w:rFonts w:ascii="Calibri" w:hAnsi="Calibri" w:cs="Calibri"/>
        </w:rPr>
        <w:t xml:space="preserve"> (ABR)</w:t>
      </w:r>
      <w:r>
        <w:rPr>
          <w:rStyle w:val="normaltextrun"/>
          <w:rFonts w:ascii="Calibri" w:hAnsi="Calibri" w:cs="Calibri"/>
        </w:rPr>
        <w:t xml:space="preserve"> is understood as research which draws on arts informed practices as </w:t>
      </w:r>
      <w:r>
        <w:rPr>
          <w:rStyle w:val="normaltextrun"/>
          <w:rFonts w:ascii="Calibri" w:hAnsi="Calibri" w:cs="Calibri"/>
          <w:color w:val="000000"/>
          <w:shd w:val="clear" w:color="auto" w:fill="FFFFFF"/>
        </w:rPr>
        <w:t>“methodological tools … during any or all phases of research”</w:t>
      </w:r>
      <w:r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(Leavy, 2018). </w:t>
      </w:r>
      <w:r w:rsidR="00C05499" w:rsidRPr="004E70BB">
        <w:rPr>
          <w:rStyle w:val="normaltextrun"/>
          <w:rFonts w:ascii="Calibri" w:hAnsi="Calibri" w:cs="Calibri"/>
        </w:rPr>
        <w:t xml:space="preserve">Despite growing interest in </w:t>
      </w:r>
      <w:r>
        <w:rPr>
          <w:rStyle w:val="normaltextrun"/>
          <w:rFonts w:ascii="Calibri" w:hAnsi="Calibri" w:cs="Calibri"/>
        </w:rPr>
        <w:t>its</w:t>
      </w:r>
      <w:r w:rsidR="00C05499" w:rsidRPr="004E70BB">
        <w:rPr>
          <w:rStyle w:val="normaltextrun"/>
          <w:rFonts w:ascii="Calibri" w:hAnsi="Calibri" w:cs="Calibri"/>
        </w:rPr>
        <w:t xml:space="preserve"> potential value for educational inquiry</w:t>
      </w:r>
      <w:r w:rsidR="00C05499">
        <w:rPr>
          <w:rStyle w:val="normaltextrun"/>
          <w:rFonts w:ascii="Calibri" w:hAnsi="Calibri" w:cs="Calibri"/>
        </w:rPr>
        <w:t xml:space="preserve"> (</w:t>
      </w:r>
      <w:proofErr w:type="spellStart"/>
      <w:r>
        <w:rPr>
          <w:rStyle w:val="normaltextrun"/>
          <w:rFonts w:ascii="Calibri" w:hAnsi="Calibri" w:cs="Calibri"/>
        </w:rPr>
        <w:t>Siegesmund</w:t>
      </w:r>
      <w:proofErr w:type="spellEnd"/>
      <w:r>
        <w:rPr>
          <w:rStyle w:val="normaltextrun"/>
          <w:rFonts w:ascii="Calibri" w:hAnsi="Calibri" w:cs="Calibri"/>
        </w:rPr>
        <w:t xml:space="preserve"> &amp; </w:t>
      </w:r>
      <w:proofErr w:type="spellStart"/>
      <w:r>
        <w:rPr>
          <w:rStyle w:val="normaltextrun"/>
          <w:rFonts w:ascii="Calibri" w:hAnsi="Calibri" w:cs="Calibri"/>
        </w:rPr>
        <w:t>Cahnmann</w:t>
      </w:r>
      <w:proofErr w:type="spellEnd"/>
      <w:r>
        <w:rPr>
          <w:rStyle w:val="normaltextrun"/>
          <w:rFonts w:ascii="Calibri" w:hAnsi="Calibri" w:cs="Calibri"/>
        </w:rPr>
        <w:t>-Taylor, 2018</w:t>
      </w:r>
      <w:r w:rsidR="00C05499">
        <w:rPr>
          <w:rStyle w:val="normaltextrun"/>
          <w:rFonts w:ascii="Calibri" w:hAnsi="Calibri" w:cs="Calibri"/>
        </w:rPr>
        <w:t>)</w:t>
      </w:r>
      <w:r w:rsidR="00C05499" w:rsidRPr="004E70BB">
        <w:rPr>
          <w:rStyle w:val="normaltextrun"/>
          <w:rFonts w:ascii="Calibri" w:hAnsi="Calibri" w:cs="Calibri"/>
        </w:rPr>
        <w:t>, limited consideration exists regarding its accessibility</w:t>
      </w:r>
      <w:r w:rsidR="00C05499">
        <w:rPr>
          <w:rStyle w:val="normaltextrun"/>
          <w:rFonts w:ascii="Calibri" w:hAnsi="Calibri" w:cs="Calibri"/>
        </w:rPr>
        <w:t xml:space="preserve"> for</w:t>
      </w:r>
      <w:r w:rsidR="00C05499" w:rsidRPr="004E70BB">
        <w:rPr>
          <w:rStyle w:val="normaltextrun"/>
          <w:rFonts w:ascii="Calibri" w:hAnsi="Calibri" w:cs="Calibri"/>
        </w:rPr>
        <w:t>, and relevance</w:t>
      </w:r>
      <w:r w:rsidR="00C05499">
        <w:rPr>
          <w:rStyle w:val="normaltextrun"/>
          <w:rFonts w:ascii="Calibri" w:hAnsi="Calibri" w:cs="Calibri"/>
        </w:rPr>
        <w:t xml:space="preserve"> to</w:t>
      </w:r>
      <w:r w:rsidR="00C05499" w:rsidRPr="004E70BB">
        <w:rPr>
          <w:rStyle w:val="normaltextrun"/>
          <w:rFonts w:ascii="Calibri" w:hAnsi="Calibri" w:cs="Calibri"/>
        </w:rPr>
        <w:t xml:space="preserve">, practice-based </w:t>
      </w:r>
      <w:r w:rsidR="00C05499">
        <w:rPr>
          <w:rStyle w:val="normaltextrun"/>
          <w:rFonts w:ascii="Calibri" w:hAnsi="Calibri" w:cs="Calibri"/>
        </w:rPr>
        <w:t>EdD</w:t>
      </w:r>
      <w:r w:rsidR="00C05499" w:rsidRPr="004E70BB">
        <w:rPr>
          <w:rStyle w:val="normaltextrun"/>
          <w:rFonts w:ascii="Calibri" w:hAnsi="Calibri" w:cs="Calibri"/>
        </w:rPr>
        <w:t xml:space="preserve"> researchers.</w:t>
      </w:r>
      <w:r w:rsidR="00C05499">
        <w:rPr>
          <w:rStyle w:val="normaltextrun"/>
          <w:rFonts w:ascii="Calibri" w:hAnsi="Calibri" w:cs="Calibri"/>
        </w:rPr>
        <w:t xml:space="preserve"> </w:t>
      </w:r>
      <w:r w:rsidR="00C05499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This is significant, given that the associated institutional regulations and structures, which were </w:t>
      </w:r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>typically</w:t>
      </w:r>
      <w:r w:rsidR="00C05499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designed for traditional models of PhD research, have</w:t>
      </w:r>
      <w:r w:rsidR="006A36A8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previously</w:t>
      </w:r>
      <w:r w:rsidR="00C05499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been positioned as limiting the creative potential of practice-based research (Vaughan, 2021).</w:t>
      </w:r>
      <w:r w:rsidR="00B43C7F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</w:t>
      </w:r>
      <w:r w:rsidR="00B43C7F">
        <w:rPr>
          <w:rStyle w:val="normaltextrun"/>
          <w:rFonts w:ascii="Calibri" w:hAnsi="Calibri" w:cs="Calibri"/>
          <w:color w:val="000000"/>
          <w:shd w:val="clear" w:color="auto" w:fill="FFFFFF"/>
        </w:rPr>
        <w:t>Whilst emerging international evidence suggests that ABR may have enhanced potential for enabling social change and impact through EdD research</w:t>
      </w:r>
      <w:r w:rsidR="00B43C7F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-</w:t>
      </w:r>
      <w:r w:rsidR="00B43C7F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</w:t>
      </w:r>
      <w:r w:rsidR="00B43C7F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particularly </w:t>
      </w:r>
      <w:r w:rsidR="00B43C7F">
        <w:rPr>
          <w:rStyle w:val="normaltextrun"/>
          <w:rFonts w:ascii="Calibri" w:hAnsi="Calibri" w:cs="Calibri"/>
          <w:color w:val="000000"/>
          <w:shd w:val="clear" w:color="auto" w:fill="FFFFFF"/>
        </w:rPr>
        <w:t>given the EdD’s inherent relational, reflexive and contextual nature, and broad and diverse audiences (Dobson &amp; Clark, 2024)</w:t>
      </w:r>
      <w:r w:rsidR="00B43C7F">
        <w:rPr>
          <w:rStyle w:val="normaltextrun"/>
          <w:rFonts w:ascii="Calibri" w:hAnsi="Calibri" w:cs="Calibri"/>
          <w:color w:val="000000"/>
          <w:shd w:val="clear" w:color="auto" w:fill="FFFFFF"/>
        </w:rPr>
        <w:t>-</w:t>
      </w:r>
      <w:r w:rsidR="00B43C7F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this potential is premised on a model which carefully considers how design, practice and regulations support students’ identity-development and agency (Savva and </w:t>
      </w:r>
      <w:r w:rsidR="00B43C7F">
        <w:rPr>
          <w:rStyle w:val="normaltextrun"/>
          <w:rFonts w:ascii="Calibri" w:hAnsi="Calibri" w:cs="Calibri"/>
          <w:color w:val="222222"/>
          <w:shd w:val="clear" w:color="auto" w:fill="FFFFFF"/>
        </w:rPr>
        <w:t>Nygaard, 2021)</w:t>
      </w:r>
      <w:r w:rsidR="00B43C7F">
        <w:rPr>
          <w:rStyle w:val="normaltextrun"/>
          <w:rFonts w:ascii="Calibri" w:hAnsi="Calibri" w:cs="Calibri"/>
          <w:color w:val="000000"/>
          <w:shd w:val="clear" w:color="auto" w:fill="FFFFFF"/>
        </w:rPr>
        <w:t>.</w:t>
      </w:r>
      <w:r w:rsidR="00C05499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In the context of this consideration, this paper, which i</w:t>
      </w:r>
      <w:r w:rsidR="00C05499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s informed by </w:t>
      </w:r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>a</w:t>
      </w:r>
      <w:r w:rsidR="00C05499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project</w:t>
      </w:r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which s</w:t>
      </w:r>
      <w:r w:rsidR="00983B2A">
        <w:rPr>
          <w:rStyle w:val="normaltextrun"/>
          <w:rFonts w:ascii="Calibri" w:hAnsi="Calibri" w:cs="Calibri"/>
          <w:color w:val="000000"/>
          <w:shd w:val="clear" w:color="auto" w:fill="FFFFFF"/>
        </w:rPr>
        <w:t>ought</w:t>
      </w:r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to</w:t>
      </w:r>
      <w:r w:rsidR="00C05499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investigat</w:t>
      </w:r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>e</w:t>
      </w:r>
      <w:r w:rsidR="00C05499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the affordances of ABR for EdD research in the UK, considers the contexts and perspectives of a group of EdD students who were engag</w:t>
      </w:r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>ing</w:t>
      </w:r>
      <w:r w:rsidR="00C05499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with aspects of ABR in their doctoral research. </w:t>
      </w:r>
      <w:r w:rsidR="006A36A8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It’s originality and significance </w:t>
      </w:r>
      <w:r w:rsidR="00B43C7F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here </w:t>
      </w:r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>are premised on its role as a provocation in considering the</w:t>
      </w:r>
      <w:r w:rsidR="00CD4F6B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tensions for</w:t>
      </w:r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academics and institutions in </w:t>
      </w:r>
      <w:r w:rsidR="00983B2A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the production of, and resistance to, </w:t>
      </w:r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>potentially unhelpful ‘hierarchies of legitimacy’ (Vaughan, 2021) in relation to methodology and ‘outputs’.</w:t>
      </w:r>
    </w:p>
    <w:p w14:paraId="72FFC4D0" w14:textId="77777777" w:rsidR="00C05499" w:rsidRDefault="006A36A8" w:rsidP="000070CF">
      <w:pPr>
        <w:spacing w:line="240" w:lineRule="auto"/>
        <w:rPr>
          <w:rStyle w:val="normaltextrun"/>
          <w:rFonts w:ascii="Calibri" w:hAnsi="Calibri" w:cs="Calibri"/>
        </w:rPr>
      </w:pPr>
      <w:r>
        <w:t>Informed by</w:t>
      </w:r>
      <w:r w:rsidR="003229D8">
        <w:t xml:space="preserve"> </w:t>
      </w:r>
      <w:r w:rsidR="009D3D96">
        <w:t>learning</w:t>
      </w:r>
      <w:r w:rsidR="003229D8">
        <w:t xml:space="preserve"> arising from an initial</w:t>
      </w:r>
      <w:r>
        <w:t xml:space="preserve"> scoping review and theoretical mapping of the ABR and the EdD</w:t>
      </w:r>
      <w:r w:rsidR="003229D8">
        <w:t xml:space="preserve"> (Dobson &amp; Clark, 2024)</w:t>
      </w:r>
      <w:r>
        <w:t>, t</w:t>
      </w:r>
      <w:r w:rsidR="00C05499" w:rsidRPr="004E70BB">
        <w:rPr>
          <w:rStyle w:val="normaltextrun"/>
          <w:rFonts w:ascii="Calibri" w:hAnsi="Calibri" w:cs="Calibri"/>
        </w:rPr>
        <w:t xml:space="preserve">he study investigated 9 EdD students’ perceptions of the context, motivations and challenges associated with their decisions to adopt aspects of ABR within their </w:t>
      </w:r>
      <w:r w:rsidR="00630DC3">
        <w:rPr>
          <w:rStyle w:val="normaltextrun"/>
          <w:rFonts w:ascii="Calibri" w:hAnsi="Calibri" w:cs="Calibri"/>
        </w:rPr>
        <w:t>research and workplace</w:t>
      </w:r>
      <w:r w:rsidR="00C05499" w:rsidRPr="004E70BB">
        <w:rPr>
          <w:rStyle w:val="normaltextrun"/>
          <w:rFonts w:ascii="Calibri" w:hAnsi="Calibri" w:cs="Calibri"/>
        </w:rPr>
        <w:t>. Employing narrative interviews</w:t>
      </w:r>
      <w:r w:rsidR="009D3D96">
        <w:rPr>
          <w:rStyle w:val="normaltextrun"/>
          <w:rFonts w:ascii="Calibri" w:hAnsi="Calibri" w:cs="Calibri"/>
        </w:rPr>
        <w:t>, followed by</w:t>
      </w:r>
      <w:r w:rsidR="00B43C7F">
        <w:rPr>
          <w:rStyle w:val="normaltextrun"/>
          <w:rFonts w:ascii="Calibri" w:hAnsi="Calibri" w:cs="Calibri"/>
        </w:rPr>
        <w:t xml:space="preserve"> 6</w:t>
      </w:r>
      <w:r w:rsidR="00C05499">
        <w:rPr>
          <w:rStyle w:val="normaltextrun"/>
          <w:rFonts w:ascii="Calibri" w:hAnsi="Calibri" w:cs="Calibri"/>
        </w:rPr>
        <w:t xml:space="preserve"> </w:t>
      </w:r>
      <w:r w:rsidR="00B43C7F">
        <w:rPr>
          <w:rStyle w:val="normaltextrun"/>
          <w:rFonts w:ascii="Calibri" w:hAnsi="Calibri" w:cs="Calibri"/>
        </w:rPr>
        <w:t xml:space="preserve">group sessions based on an approach informed by </w:t>
      </w:r>
      <w:r w:rsidR="00C05499">
        <w:rPr>
          <w:rStyle w:val="normaltextrun"/>
          <w:rFonts w:ascii="Calibri" w:hAnsi="Calibri" w:cs="Calibri"/>
        </w:rPr>
        <w:t>action learning set</w:t>
      </w:r>
      <w:r w:rsidR="00B43C7F">
        <w:rPr>
          <w:rStyle w:val="normaltextrun"/>
          <w:rFonts w:ascii="Calibri" w:hAnsi="Calibri" w:cs="Calibri"/>
        </w:rPr>
        <w:t>s</w:t>
      </w:r>
      <w:r w:rsidR="00C05499">
        <w:rPr>
          <w:rStyle w:val="normaltextrun"/>
          <w:rFonts w:ascii="Calibri" w:hAnsi="Calibri" w:cs="Calibri"/>
        </w:rPr>
        <w:t xml:space="preserve"> (</w:t>
      </w:r>
      <w:proofErr w:type="spellStart"/>
      <w:r w:rsidR="00C05499">
        <w:rPr>
          <w:rStyle w:val="normaltextrun"/>
          <w:rFonts w:ascii="Calibri" w:hAnsi="Calibri" w:cs="Calibri"/>
        </w:rPr>
        <w:t>Re</w:t>
      </w:r>
      <w:r w:rsidR="000070CF">
        <w:rPr>
          <w:rStyle w:val="normaltextrun"/>
          <w:rFonts w:ascii="Calibri" w:hAnsi="Calibri" w:cs="Calibri"/>
        </w:rPr>
        <w:t>vans</w:t>
      </w:r>
      <w:proofErr w:type="spellEnd"/>
      <w:r w:rsidR="00630DC3">
        <w:rPr>
          <w:rStyle w:val="normaltextrun"/>
          <w:rFonts w:ascii="Calibri" w:hAnsi="Calibri" w:cs="Calibri"/>
        </w:rPr>
        <w:t>,</w:t>
      </w:r>
      <w:r w:rsidR="00C05499">
        <w:rPr>
          <w:rStyle w:val="normaltextrun"/>
          <w:rFonts w:ascii="Calibri" w:hAnsi="Calibri" w:cs="Calibri"/>
        </w:rPr>
        <w:t xml:space="preserve"> </w:t>
      </w:r>
      <w:r w:rsidR="000070CF">
        <w:rPr>
          <w:rStyle w:val="normaltextrun"/>
          <w:rFonts w:ascii="Calibri" w:hAnsi="Calibri" w:cs="Calibri"/>
        </w:rPr>
        <w:t>1982</w:t>
      </w:r>
      <w:r w:rsidR="00C05499">
        <w:rPr>
          <w:rStyle w:val="normaltextrun"/>
          <w:rFonts w:ascii="Calibri" w:hAnsi="Calibri" w:cs="Calibri"/>
        </w:rPr>
        <w:t>)</w:t>
      </w:r>
      <w:r w:rsidR="00C05499" w:rsidRPr="004E70BB">
        <w:rPr>
          <w:rStyle w:val="normaltextrun"/>
          <w:rFonts w:ascii="Calibri" w:hAnsi="Calibri" w:cs="Calibri"/>
        </w:rPr>
        <w:t xml:space="preserve">, the work, which took place across two post-1992 universities, sought to </w:t>
      </w:r>
      <w:r w:rsidR="00C05499">
        <w:rPr>
          <w:rStyle w:val="normaltextrun"/>
          <w:rFonts w:ascii="Calibri" w:hAnsi="Calibri" w:cs="Calibri"/>
        </w:rPr>
        <w:t>take a participatory and exploratory approaching to understanding the students</w:t>
      </w:r>
      <w:r w:rsidR="00630DC3">
        <w:rPr>
          <w:rStyle w:val="normaltextrun"/>
          <w:rFonts w:ascii="Calibri" w:hAnsi="Calibri" w:cs="Calibri"/>
        </w:rPr>
        <w:t>’</w:t>
      </w:r>
      <w:r w:rsidR="00C05499">
        <w:rPr>
          <w:rStyle w:val="normaltextrun"/>
          <w:rFonts w:ascii="Calibri" w:hAnsi="Calibri" w:cs="Calibri"/>
        </w:rPr>
        <w:t xml:space="preserve"> experiences and methodological decision making.</w:t>
      </w:r>
      <w:r w:rsidR="003229D8">
        <w:rPr>
          <w:rStyle w:val="normaltextrun"/>
          <w:rFonts w:ascii="Calibri" w:hAnsi="Calibri" w:cs="Calibri"/>
        </w:rPr>
        <w:t xml:space="preserve"> This included </w:t>
      </w:r>
      <w:r w:rsidR="00CD4F6B">
        <w:rPr>
          <w:rStyle w:val="normaltextrun"/>
          <w:rFonts w:ascii="Calibri" w:hAnsi="Calibri" w:cs="Calibri"/>
        </w:rPr>
        <w:t>attempts</w:t>
      </w:r>
      <w:r w:rsidR="003229D8">
        <w:rPr>
          <w:rStyle w:val="normaltextrun"/>
          <w:rFonts w:ascii="Calibri" w:hAnsi="Calibri" w:cs="Calibri"/>
        </w:rPr>
        <w:t xml:space="preserve"> to embody many of the principles of ABR </w:t>
      </w:r>
      <w:r w:rsidR="00CD4F6B">
        <w:rPr>
          <w:rStyle w:val="normaltextrun"/>
          <w:rFonts w:ascii="Calibri" w:hAnsi="Calibri" w:cs="Calibri"/>
        </w:rPr>
        <w:t>by</w:t>
      </w:r>
      <w:r w:rsidR="003229D8">
        <w:rPr>
          <w:rStyle w:val="normaltextrun"/>
          <w:rFonts w:ascii="Calibri" w:hAnsi="Calibri" w:cs="Calibri"/>
        </w:rPr>
        <w:t xml:space="preserve"> supporting creative</w:t>
      </w:r>
      <w:r w:rsidR="00630DC3">
        <w:rPr>
          <w:rStyle w:val="normaltextrun"/>
          <w:rFonts w:ascii="Calibri" w:hAnsi="Calibri" w:cs="Calibri"/>
        </w:rPr>
        <w:t xml:space="preserve"> methods of</w:t>
      </w:r>
      <w:r w:rsidR="003229D8">
        <w:rPr>
          <w:rStyle w:val="normaltextrun"/>
          <w:rFonts w:ascii="Calibri" w:hAnsi="Calibri" w:cs="Calibri"/>
        </w:rPr>
        <w:t xml:space="preserve"> inquiry and communication within the action learning sets themselves</w:t>
      </w:r>
      <w:r w:rsidR="00630DC3">
        <w:rPr>
          <w:rStyle w:val="normaltextrun"/>
          <w:rFonts w:ascii="Calibri" w:hAnsi="Calibri" w:cs="Calibri"/>
        </w:rPr>
        <w:t>, for example in visually representing tensions and challenges</w:t>
      </w:r>
      <w:r w:rsidR="003229D8">
        <w:rPr>
          <w:rStyle w:val="normaltextrun"/>
          <w:rFonts w:ascii="Calibri" w:hAnsi="Calibri" w:cs="Calibri"/>
        </w:rPr>
        <w:t xml:space="preserve">. </w:t>
      </w:r>
    </w:p>
    <w:p w14:paraId="592E568C" w14:textId="77777777" w:rsidR="003229D8" w:rsidRDefault="00CD4F6B" w:rsidP="000070CF">
      <w:pPr>
        <w:spacing w:line="240" w:lineRule="auto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  <w:color w:val="000000"/>
          <w:shd w:val="clear" w:color="auto" w:fill="FFFFFF"/>
        </w:rPr>
        <w:t>In analysing the learning from the project,</w:t>
      </w:r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</w:t>
      </w:r>
      <w:proofErr w:type="spellStart"/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>Glăveanu’s</w:t>
      </w:r>
      <w:proofErr w:type="spellEnd"/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5A</w:t>
      </w:r>
      <w:r w:rsidR="002B3252">
        <w:rPr>
          <w:rStyle w:val="normaltextrun"/>
          <w:rFonts w:ascii="Calibri" w:hAnsi="Calibri" w:cs="Calibri"/>
          <w:color w:val="000000"/>
          <w:shd w:val="clear" w:color="auto" w:fill="FFFFFF"/>
        </w:rPr>
        <w:t>’</w:t>
      </w:r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s theory of creativity (2013) </w:t>
      </w:r>
      <w:r w:rsidR="00630DC3">
        <w:rPr>
          <w:rStyle w:val="normaltextrun"/>
          <w:rFonts w:ascii="Calibri" w:hAnsi="Calibri" w:cs="Calibri"/>
          <w:color w:val="000000"/>
          <w:shd w:val="clear" w:color="auto" w:fill="FFFFFF"/>
        </w:rPr>
        <w:t>w</w:t>
      </w:r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as </w:t>
      </w:r>
      <w:r w:rsidR="00630DC3">
        <w:rPr>
          <w:rStyle w:val="normaltextrun"/>
          <w:rFonts w:ascii="Calibri" w:hAnsi="Calibri" w:cs="Calibri"/>
          <w:color w:val="000000"/>
          <w:shd w:val="clear" w:color="auto" w:fill="FFFFFF"/>
        </w:rPr>
        <w:t>adopted as an</w:t>
      </w:r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underpinning theoretical framework.  This theory draws attention to “the underlying structure of how creativity is operationalized” (Kaufman and </w:t>
      </w:r>
      <w:proofErr w:type="spellStart"/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>Glăveanu</w:t>
      </w:r>
      <w:proofErr w:type="spellEnd"/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, 2019, p.28) by taking an ecological approach where creativity is “embedded in the field of social relations specific for any community </w:t>
      </w:r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lastRenderedPageBreak/>
        <w:t>and society” (</w:t>
      </w:r>
      <w:proofErr w:type="spellStart"/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>Glăveanu</w:t>
      </w:r>
      <w:proofErr w:type="spellEnd"/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, 2013, p.72).  The 5A’s theory, therefore, involves: actors, who have “personal attributes in relation to a societal context”; actions, which are “coordinated psychological and behavioural manifestations”; </w:t>
      </w:r>
      <w:proofErr w:type="spellStart"/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>artifacts</w:t>
      </w:r>
      <w:proofErr w:type="spellEnd"/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, which are produced by the actors and which include the “cultural context of </w:t>
      </w:r>
      <w:proofErr w:type="spellStart"/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>artifact</w:t>
      </w:r>
      <w:proofErr w:type="spellEnd"/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production and evaluation”; and audiences and affordances, which are “the interdependence between creators and a social and material world” (</w:t>
      </w:r>
      <w:proofErr w:type="spellStart"/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>Glăveanu</w:t>
      </w:r>
      <w:proofErr w:type="spellEnd"/>
      <w:r w:rsidR="003229D8">
        <w:rPr>
          <w:rStyle w:val="normaltextrun"/>
          <w:rFonts w:ascii="Calibri" w:hAnsi="Calibri" w:cs="Calibri"/>
          <w:color w:val="000000"/>
          <w:shd w:val="clear" w:color="auto" w:fill="FFFFFF"/>
        </w:rPr>
        <w:t>, 2013, p.71).  </w:t>
      </w:r>
      <w:r w:rsidR="003229D8">
        <w:rPr>
          <w:rStyle w:val="eop"/>
          <w:rFonts w:ascii="Calibri" w:hAnsi="Calibri" w:cs="Calibri"/>
          <w:color w:val="000000"/>
          <w:shd w:val="clear" w:color="auto" w:fill="FFFFFF"/>
        </w:rPr>
        <w:t> </w:t>
      </w:r>
    </w:p>
    <w:p w14:paraId="61BB23C8" w14:textId="77777777" w:rsidR="00C05499" w:rsidRPr="004E70BB" w:rsidRDefault="00C05499" w:rsidP="000070CF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004E70BB">
        <w:rPr>
          <w:rStyle w:val="normaltextrun"/>
          <w:rFonts w:ascii="Calibri" w:hAnsi="Calibri" w:cs="Calibri"/>
          <w:sz w:val="22"/>
          <w:szCs w:val="22"/>
        </w:rPr>
        <w:t> </w:t>
      </w:r>
      <w:r w:rsidRPr="004E70BB">
        <w:rPr>
          <w:rStyle w:val="eop"/>
          <w:rFonts w:ascii="Calibri" w:hAnsi="Calibri" w:cs="Calibri"/>
          <w:sz w:val="22"/>
          <w:szCs w:val="22"/>
        </w:rPr>
        <w:t> </w:t>
      </w:r>
    </w:p>
    <w:p w14:paraId="63589136" w14:textId="77777777" w:rsidR="00C05499" w:rsidRPr="00983B2A" w:rsidRDefault="00C05499" w:rsidP="000070CF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The findings of the study </w:t>
      </w:r>
      <w:r w:rsidR="00CD4F6B">
        <w:rPr>
          <w:rStyle w:val="normaltextrun"/>
          <w:rFonts w:ascii="Calibri" w:hAnsi="Calibri" w:cs="Calibri"/>
          <w:sz w:val="22"/>
          <w:szCs w:val="22"/>
        </w:rPr>
        <w:t>reveal</w:t>
      </w:r>
      <w:r w:rsidRPr="004E70BB">
        <w:rPr>
          <w:rStyle w:val="normaltextrun"/>
          <w:rFonts w:ascii="Calibri" w:hAnsi="Calibri" w:cs="Calibri"/>
          <w:sz w:val="22"/>
          <w:szCs w:val="22"/>
        </w:rPr>
        <w:t>ed that</w:t>
      </w:r>
      <w:r w:rsidR="002B3252">
        <w:rPr>
          <w:rStyle w:val="normaltextrun"/>
          <w:rFonts w:ascii="Calibri" w:hAnsi="Calibri" w:cs="Calibri"/>
          <w:sz w:val="22"/>
          <w:szCs w:val="22"/>
        </w:rPr>
        <w:t xml:space="preserve"> often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 the selection of ABR was informed by an entanglement between the</w:t>
      </w:r>
      <w:r w:rsidR="002B3252">
        <w:rPr>
          <w:rStyle w:val="normaltextrun"/>
          <w:rFonts w:ascii="Calibri" w:hAnsi="Calibri" w:cs="Calibri"/>
          <w:sz w:val="22"/>
          <w:szCs w:val="22"/>
        </w:rPr>
        <w:t xml:space="preserve"> students’</w:t>
      </w:r>
      <w:bookmarkStart w:id="0" w:name="_GoBack"/>
      <w:bookmarkEnd w:id="0"/>
      <w:r w:rsidR="00CD4F6B">
        <w:rPr>
          <w:rStyle w:val="normaltextrun"/>
          <w:rFonts w:ascii="Calibri" w:hAnsi="Calibri" w:cs="Calibri"/>
          <w:sz w:val="22"/>
          <w:szCs w:val="22"/>
        </w:rPr>
        <w:t xml:space="preserve"> identities as</w:t>
      </w:r>
      <w:r w:rsidR="00983B2A">
        <w:rPr>
          <w:rStyle w:val="normaltextrun"/>
          <w:rFonts w:ascii="Calibri" w:hAnsi="Calibri" w:cs="Calibri"/>
          <w:sz w:val="22"/>
          <w:szCs w:val="22"/>
        </w:rPr>
        <w:t xml:space="preserve"> both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 professional and academic </w:t>
      </w:r>
      <w:r w:rsidR="00CD4F6B">
        <w:rPr>
          <w:rStyle w:val="normaltextrun"/>
          <w:rFonts w:ascii="Calibri" w:hAnsi="Calibri" w:cs="Calibri"/>
          <w:sz w:val="22"/>
          <w:szCs w:val="22"/>
        </w:rPr>
        <w:t>‘actors’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, with the taught phase of the EdD supporting their ability to express, and illustrate, a growing axiological and epistemological rationale for its relevance. </w:t>
      </w:r>
      <w:r w:rsidR="00CD4F6B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Pr="004E70BB">
        <w:rPr>
          <w:rStyle w:val="normaltextrun"/>
          <w:rFonts w:ascii="Calibri" w:hAnsi="Calibri" w:cs="Calibri"/>
          <w:sz w:val="22"/>
          <w:szCs w:val="22"/>
        </w:rPr>
        <w:t>This included many examples where ABR was positioned as a</w:t>
      </w:r>
      <w:r w:rsidR="00CD4F6B">
        <w:rPr>
          <w:rStyle w:val="normaltextrun"/>
          <w:rFonts w:ascii="Calibri" w:hAnsi="Calibri" w:cs="Calibri"/>
          <w:sz w:val="22"/>
          <w:szCs w:val="22"/>
        </w:rPr>
        <w:t xml:space="preserve">n ‘action’ of 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resistance or activism in relation to perceived social injustices or pedagogical conflicts in their professional contexts </w:t>
      </w:r>
      <w:r w:rsidR="00983B2A">
        <w:rPr>
          <w:rStyle w:val="normaltextrun"/>
          <w:rFonts w:ascii="Calibri" w:hAnsi="Calibri" w:cs="Calibri"/>
          <w:sz w:val="22"/>
          <w:szCs w:val="22"/>
        </w:rPr>
        <w:t>–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="00983B2A">
        <w:rPr>
          <w:rStyle w:val="normaltextrun"/>
          <w:rFonts w:ascii="Calibri" w:hAnsi="Calibri" w:cs="Calibri"/>
          <w:sz w:val="22"/>
          <w:szCs w:val="22"/>
        </w:rPr>
        <w:t>with its affordances including</w:t>
      </w:r>
      <w:r w:rsidR="00B43C7F">
        <w:rPr>
          <w:rStyle w:val="normaltextrun"/>
          <w:rFonts w:ascii="Calibri" w:hAnsi="Calibri" w:cs="Calibri"/>
          <w:sz w:val="22"/>
          <w:szCs w:val="22"/>
        </w:rPr>
        <w:t xml:space="preserve"> research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 giv</w:t>
      </w:r>
      <w:r w:rsidR="00983B2A">
        <w:rPr>
          <w:rStyle w:val="normaltextrun"/>
          <w:rFonts w:ascii="Calibri" w:hAnsi="Calibri" w:cs="Calibri"/>
          <w:sz w:val="22"/>
          <w:szCs w:val="22"/>
        </w:rPr>
        <w:t>ing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 ‘voice’ to underrepresented</w:t>
      </w:r>
      <w:r w:rsidR="00B43C7F">
        <w:rPr>
          <w:rStyle w:val="normaltextrun"/>
          <w:rFonts w:ascii="Calibri" w:hAnsi="Calibri" w:cs="Calibri"/>
          <w:sz w:val="22"/>
          <w:szCs w:val="22"/>
        </w:rPr>
        <w:t xml:space="preserve"> grou</w:t>
      </w:r>
      <w:r w:rsidRPr="004E70BB">
        <w:rPr>
          <w:rStyle w:val="normaltextrun"/>
          <w:rFonts w:ascii="Calibri" w:hAnsi="Calibri" w:cs="Calibri"/>
          <w:sz w:val="22"/>
          <w:szCs w:val="22"/>
        </w:rPr>
        <w:t>ps and/or communicat</w:t>
      </w:r>
      <w:r w:rsidR="00983B2A">
        <w:rPr>
          <w:rStyle w:val="normaltextrun"/>
          <w:rFonts w:ascii="Calibri" w:hAnsi="Calibri" w:cs="Calibri"/>
          <w:sz w:val="22"/>
          <w:szCs w:val="22"/>
        </w:rPr>
        <w:t>ing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 with a wider range of stakeholders.  At the same time, for </w:t>
      </w:r>
      <w:r w:rsidR="00CD4F6B">
        <w:rPr>
          <w:rStyle w:val="normaltextrun"/>
          <w:rFonts w:ascii="Calibri" w:hAnsi="Calibri" w:cs="Calibri"/>
          <w:sz w:val="22"/>
          <w:szCs w:val="22"/>
        </w:rPr>
        <w:t>many of the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 students there was also a perceived challenge in the ways in which ABR was seen to be (de)valued and/or (mis)understood </w:t>
      </w:r>
      <w:r w:rsidR="00CD4F6B">
        <w:rPr>
          <w:rStyle w:val="normaltextrun"/>
          <w:rFonts w:ascii="Calibri" w:hAnsi="Calibri" w:cs="Calibri"/>
          <w:sz w:val="22"/>
          <w:szCs w:val="22"/>
        </w:rPr>
        <w:t>by the ‘audiences’ in both their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 academic and professional communities of practice.</w:t>
      </w:r>
      <w:r w:rsidR="00983B2A">
        <w:rPr>
          <w:rStyle w:val="normaltextrun"/>
          <w:rFonts w:ascii="Calibri" w:hAnsi="Calibri" w:cs="Calibri"/>
          <w:sz w:val="22"/>
          <w:szCs w:val="22"/>
        </w:rPr>
        <w:t xml:space="preserve"> This included anxieties relating to expectations of the production of traditional research ‘</w:t>
      </w:r>
      <w:proofErr w:type="spellStart"/>
      <w:r w:rsidR="00983B2A">
        <w:rPr>
          <w:rStyle w:val="normaltextrun"/>
          <w:rFonts w:ascii="Calibri" w:hAnsi="Calibri" w:cs="Calibri"/>
          <w:sz w:val="22"/>
          <w:szCs w:val="22"/>
        </w:rPr>
        <w:t>artifacts</w:t>
      </w:r>
      <w:proofErr w:type="spellEnd"/>
      <w:r w:rsidR="00983B2A">
        <w:rPr>
          <w:rStyle w:val="normaltextrun"/>
          <w:rFonts w:ascii="Calibri" w:hAnsi="Calibri" w:cs="Calibri"/>
          <w:sz w:val="22"/>
          <w:szCs w:val="22"/>
        </w:rPr>
        <w:t>’ which</w:t>
      </w:r>
      <w:r w:rsidR="00B43C7F">
        <w:rPr>
          <w:rStyle w:val="normaltextrun"/>
          <w:rFonts w:ascii="Calibri" w:hAnsi="Calibri" w:cs="Calibri"/>
          <w:sz w:val="22"/>
          <w:szCs w:val="22"/>
        </w:rPr>
        <w:t>,</w:t>
      </w:r>
      <w:r w:rsidR="00983B2A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="00630DC3">
        <w:rPr>
          <w:rStyle w:val="normaltextrun"/>
          <w:rFonts w:ascii="Calibri" w:hAnsi="Calibri" w:cs="Calibri"/>
          <w:sz w:val="22"/>
          <w:szCs w:val="22"/>
        </w:rPr>
        <w:t xml:space="preserve">in </w:t>
      </w:r>
      <w:r w:rsidR="00983B2A">
        <w:rPr>
          <w:rStyle w:val="normaltextrun"/>
          <w:rFonts w:ascii="Calibri" w:hAnsi="Calibri" w:cs="Calibri"/>
          <w:sz w:val="22"/>
          <w:szCs w:val="22"/>
        </w:rPr>
        <w:t>follow</w:t>
      </w:r>
      <w:r w:rsidR="00630DC3">
        <w:rPr>
          <w:rStyle w:val="normaltextrun"/>
          <w:rFonts w:ascii="Calibri" w:hAnsi="Calibri" w:cs="Calibri"/>
          <w:sz w:val="22"/>
          <w:szCs w:val="22"/>
        </w:rPr>
        <w:t>ing</w:t>
      </w:r>
      <w:r w:rsidR="00983B2A">
        <w:rPr>
          <w:rStyle w:val="normaltextrun"/>
          <w:rFonts w:ascii="Calibri" w:hAnsi="Calibri" w:cs="Calibri"/>
          <w:sz w:val="22"/>
          <w:szCs w:val="22"/>
        </w:rPr>
        <w:t xml:space="preserve"> the </w:t>
      </w:r>
      <w:r w:rsidR="00630DC3">
        <w:rPr>
          <w:rStyle w:val="normaltextrun"/>
          <w:rFonts w:ascii="Calibri" w:hAnsi="Calibri" w:cs="Calibri"/>
          <w:sz w:val="22"/>
          <w:szCs w:val="22"/>
        </w:rPr>
        <w:t>‘</w:t>
      </w:r>
      <w:r w:rsidR="00983B2A">
        <w:rPr>
          <w:rStyle w:val="normaltextrun"/>
          <w:rFonts w:ascii="Calibri" w:hAnsi="Calibri" w:cs="Calibri"/>
          <w:sz w:val="22"/>
          <w:szCs w:val="22"/>
        </w:rPr>
        <w:t>rules</w:t>
      </w:r>
      <w:r w:rsidR="00630DC3">
        <w:rPr>
          <w:rStyle w:val="normaltextrun"/>
          <w:rFonts w:ascii="Calibri" w:hAnsi="Calibri" w:cs="Calibri"/>
          <w:sz w:val="22"/>
          <w:szCs w:val="22"/>
        </w:rPr>
        <w:t xml:space="preserve">’ of </w:t>
      </w:r>
      <w:proofErr w:type="spellStart"/>
      <w:r w:rsidR="00630DC3">
        <w:rPr>
          <w:rStyle w:val="normaltextrun"/>
          <w:rFonts w:ascii="Calibri" w:hAnsi="Calibri" w:cs="Calibri"/>
          <w:sz w:val="22"/>
          <w:szCs w:val="22"/>
        </w:rPr>
        <w:t>IMRaD</w:t>
      </w:r>
      <w:proofErr w:type="spellEnd"/>
      <w:r w:rsidR="00630DC3">
        <w:rPr>
          <w:rStyle w:val="normaltextrun"/>
          <w:rFonts w:ascii="Calibri" w:hAnsi="Calibri" w:cs="Calibri"/>
          <w:sz w:val="22"/>
          <w:szCs w:val="22"/>
        </w:rPr>
        <w:t xml:space="preserve"> (Introduction, Methodology, Results and Discussion)</w:t>
      </w:r>
      <w:r w:rsidR="00983B2A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="00B43C7F">
        <w:rPr>
          <w:rStyle w:val="normaltextrun"/>
          <w:rFonts w:ascii="Calibri" w:hAnsi="Calibri" w:cs="Calibri"/>
          <w:sz w:val="22"/>
          <w:szCs w:val="22"/>
        </w:rPr>
        <w:t>held the potential to</w:t>
      </w:r>
      <w:r w:rsidR="00983B2A">
        <w:rPr>
          <w:rStyle w:val="normaltextrun"/>
          <w:rFonts w:ascii="Calibri" w:hAnsi="Calibri" w:cs="Calibri"/>
          <w:sz w:val="22"/>
          <w:szCs w:val="22"/>
        </w:rPr>
        <w:t xml:space="preserve"> prioritise academic conventions over </w:t>
      </w:r>
      <w:r w:rsidR="00630DC3">
        <w:rPr>
          <w:rStyle w:val="normaltextrun"/>
          <w:rFonts w:ascii="Calibri" w:hAnsi="Calibri" w:cs="Calibri"/>
          <w:sz w:val="22"/>
          <w:szCs w:val="22"/>
        </w:rPr>
        <w:t xml:space="preserve">maximising </w:t>
      </w:r>
      <w:r w:rsidR="00983B2A">
        <w:rPr>
          <w:rStyle w:val="normaltextrun"/>
          <w:rFonts w:ascii="Calibri" w:hAnsi="Calibri" w:cs="Calibri"/>
          <w:sz w:val="22"/>
          <w:szCs w:val="22"/>
        </w:rPr>
        <w:t xml:space="preserve">contributions to practice. In exploring understandings of </w:t>
      </w:r>
      <w:r w:rsidR="009D3D96">
        <w:rPr>
          <w:rStyle w:val="normaltextrun"/>
          <w:rFonts w:ascii="Calibri" w:hAnsi="Calibri" w:cs="Calibri"/>
          <w:sz w:val="22"/>
          <w:szCs w:val="22"/>
        </w:rPr>
        <w:t>students’</w:t>
      </w:r>
      <w:r w:rsidR="00983B2A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="00630DC3">
        <w:rPr>
          <w:rStyle w:val="normaltextrun"/>
          <w:rFonts w:ascii="Calibri" w:hAnsi="Calibri" w:cs="Calibri"/>
          <w:sz w:val="22"/>
          <w:szCs w:val="22"/>
        </w:rPr>
        <w:t>rationale for, and experiences of, seeking to</w:t>
      </w:r>
      <w:r w:rsidR="00983B2A">
        <w:rPr>
          <w:rStyle w:val="normaltextrun"/>
          <w:rFonts w:ascii="Calibri" w:hAnsi="Calibri" w:cs="Calibri"/>
          <w:sz w:val="22"/>
          <w:szCs w:val="22"/>
        </w:rPr>
        <w:t xml:space="preserve"> ‘go against the grain’ this paper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 may have value </w:t>
      </w:r>
      <w:r w:rsidR="009D3D96">
        <w:rPr>
          <w:rStyle w:val="normaltextrun"/>
          <w:rFonts w:ascii="Calibri" w:hAnsi="Calibri" w:cs="Calibri"/>
          <w:sz w:val="22"/>
          <w:szCs w:val="22"/>
        </w:rPr>
        <w:t xml:space="preserve">to 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academic staff involved in </w:t>
      </w:r>
      <w:r w:rsidR="00B43C7F">
        <w:rPr>
          <w:rStyle w:val="normaltextrun"/>
          <w:rFonts w:ascii="Calibri" w:hAnsi="Calibri" w:cs="Calibri"/>
          <w:sz w:val="22"/>
          <w:szCs w:val="22"/>
        </w:rPr>
        <w:t>doctoral research</w:t>
      </w:r>
      <w:r w:rsidR="009D3D96">
        <w:rPr>
          <w:rStyle w:val="normaltextrun"/>
          <w:rFonts w:ascii="Calibri" w:hAnsi="Calibri" w:cs="Calibri"/>
          <w:sz w:val="22"/>
          <w:szCs w:val="22"/>
        </w:rPr>
        <w:t>, both in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 supporting reflection on supervisory relationships</w:t>
      </w:r>
      <w:r w:rsidR="009D3D96">
        <w:rPr>
          <w:rStyle w:val="normaltextrun"/>
          <w:rFonts w:ascii="Calibri" w:hAnsi="Calibri" w:cs="Calibri"/>
          <w:sz w:val="22"/>
          <w:szCs w:val="22"/>
        </w:rPr>
        <w:t xml:space="preserve"> and also</w:t>
      </w:r>
      <w:r w:rsidR="00630DC3">
        <w:rPr>
          <w:rStyle w:val="normaltextrun"/>
          <w:rFonts w:ascii="Calibri" w:hAnsi="Calibri" w:cs="Calibri"/>
          <w:sz w:val="22"/>
          <w:szCs w:val="22"/>
        </w:rPr>
        <w:t xml:space="preserve"> in relation to </w:t>
      </w:r>
      <w:r w:rsidR="00CD4F6B">
        <w:rPr>
          <w:rStyle w:val="normaltextrun"/>
          <w:rFonts w:ascii="Calibri" w:hAnsi="Calibri" w:cs="Calibri"/>
          <w:sz w:val="22"/>
          <w:szCs w:val="22"/>
        </w:rPr>
        <w:t>programme design</w:t>
      </w:r>
      <w:r w:rsidR="00630DC3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="00B43C7F">
        <w:rPr>
          <w:rStyle w:val="normaltextrun"/>
          <w:rFonts w:ascii="Calibri" w:hAnsi="Calibri" w:cs="Calibri"/>
          <w:sz w:val="22"/>
          <w:szCs w:val="22"/>
        </w:rPr>
        <w:t xml:space="preserve">for professional doctorates </w:t>
      </w:r>
      <w:r w:rsidR="00630DC3">
        <w:rPr>
          <w:rStyle w:val="normaltextrun"/>
          <w:rFonts w:ascii="Calibri" w:hAnsi="Calibri" w:cs="Calibri"/>
          <w:sz w:val="22"/>
          <w:szCs w:val="22"/>
        </w:rPr>
        <w:t>and institutional regulations</w:t>
      </w:r>
      <w:r w:rsidRPr="004E70BB">
        <w:rPr>
          <w:rStyle w:val="normaltextrun"/>
          <w:rFonts w:ascii="Calibri" w:hAnsi="Calibri" w:cs="Calibri"/>
          <w:sz w:val="22"/>
          <w:szCs w:val="22"/>
        </w:rPr>
        <w:t xml:space="preserve">. </w:t>
      </w:r>
    </w:p>
    <w:p w14:paraId="57C7B17D" w14:textId="77777777" w:rsidR="000070CF" w:rsidRDefault="000070CF"/>
    <w:p w14:paraId="22F0DF54" w14:textId="77777777" w:rsidR="000070CF" w:rsidRPr="000070CF" w:rsidRDefault="000070CF">
      <w:pPr>
        <w:rPr>
          <w:b/>
        </w:rPr>
      </w:pPr>
      <w:r w:rsidRPr="000070CF">
        <w:rPr>
          <w:b/>
        </w:rPr>
        <w:t>References</w:t>
      </w:r>
    </w:p>
    <w:p w14:paraId="0DB467F8" w14:textId="77777777" w:rsidR="000070CF" w:rsidRPr="009D3D96" w:rsidRDefault="000070CF" w:rsidP="000070CF">
      <w:pPr>
        <w:spacing w:line="240" w:lineRule="auto"/>
        <w:rPr>
          <w:rFonts w:eastAsia="Calibri" w:cstheme="minorHAnsi"/>
          <w:noProof/>
          <w:szCs w:val="24"/>
          <w:lang w:eastAsia="en-GB"/>
        </w:rPr>
      </w:pPr>
      <w:r w:rsidRPr="009D3D96">
        <w:rPr>
          <w:rFonts w:eastAsia="Calibri" w:cstheme="minorHAnsi"/>
          <w:noProof/>
          <w:szCs w:val="24"/>
          <w:lang w:eastAsia="en-GB"/>
        </w:rPr>
        <w:t xml:space="preserve">Dobson, T. &amp; Clark, T. (forthcoming, 2024) </w:t>
      </w:r>
      <w:r w:rsidRPr="009D3D96">
        <w:rPr>
          <w:rFonts w:eastAsiaTheme="minorEastAsia" w:cstheme="minorHAnsi"/>
          <w:i/>
          <w:noProof/>
          <w:szCs w:val="24"/>
          <w:lang w:eastAsia="en-GB"/>
        </w:rPr>
        <w:t>Embracing hybridity: the affordances of arts-based research for the professional doctorate in education.</w:t>
      </w:r>
      <w:r w:rsidRPr="009D3D96">
        <w:rPr>
          <w:rFonts w:eastAsiaTheme="minorEastAsia" w:cstheme="minorHAnsi"/>
          <w:noProof/>
          <w:szCs w:val="24"/>
          <w:lang w:eastAsia="en-GB"/>
        </w:rPr>
        <w:t xml:space="preserve"> Teaching in Higher Education. </w:t>
      </w:r>
    </w:p>
    <w:p w14:paraId="5D054F63" w14:textId="77777777" w:rsidR="000070CF" w:rsidRPr="000070CF" w:rsidRDefault="000070CF" w:rsidP="000070CF">
      <w:pPr>
        <w:shd w:val="clear" w:color="auto" w:fill="FFFFFF" w:themeFill="background1"/>
        <w:spacing w:line="240" w:lineRule="auto"/>
        <w:jc w:val="both"/>
        <w:rPr>
          <w:rFonts w:eastAsiaTheme="minorEastAsia" w:cstheme="minorHAnsi"/>
          <w:szCs w:val="24"/>
        </w:rPr>
      </w:pPr>
      <w:proofErr w:type="spellStart"/>
      <w:r w:rsidRPr="000070CF">
        <w:rPr>
          <w:rFonts w:eastAsiaTheme="minorEastAsia" w:cstheme="minorHAnsi"/>
          <w:szCs w:val="24"/>
        </w:rPr>
        <w:t>Glăveanu</w:t>
      </w:r>
      <w:proofErr w:type="spellEnd"/>
      <w:r w:rsidRPr="000070CF">
        <w:rPr>
          <w:rFonts w:eastAsiaTheme="minorEastAsia" w:cstheme="minorHAnsi"/>
          <w:szCs w:val="24"/>
        </w:rPr>
        <w:t xml:space="preserve">, V. P. (2013). Rewriting the language of creativity: The Five A's framework. </w:t>
      </w:r>
      <w:r w:rsidRPr="000070CF">
        <w:rPr>
          <w:rFonts w:eastAsiaTheme="minorEastAsia" w:cstheme="minorHAnsi"/>
          <w:i/>
          <w:iCs/>
          <w:szCs w:val="24"/>
        </w:rPr>
        <w:t>Review of General Psychology</w:t>
      </w:r>
      <w:r w:rsidRPr="000070CF">
        <w:rPr>
          <w:rFonts w:eastAsiaTheme="minorEastAsia" w:cstheme="minorHAnsi"/>
          <w:szCs w:val="24"/>
        </w:rPr>
        <w:t xml:space="preserve">, </w:t>
      </w:r>
      <w:r w:rsidRPr="000070CF">
        <w:rPr>
          <w:rFonts w:eastAsiaTheme="minorEastAsia" w:cstheme="minorHAnsi"/>
          <w:i/>
          <w:iCs/>
          <w:szCs w:val="24"/>
        </w:rPr>
        <w:t>17</w:t>
      </w:r>
      <w:r w:rsidRPr="000070CF">
        <w:rPr>
          <w:rFonts w:eastAsiaTheme="minorEastAsia" w:cstheme="minorHAnsi"/>
          <w:szCs w:val="24"/>
        </w:rPr>
        <w:t>(1), pp.69–81.</w:t>
      </w:r>
    </w:p>
    <w:p w14:paraId="2FC36EF2" w14:textId="77777777" w:rsidR="000070CF" w:rsidRPr="000070CF" w:rsidRDefault="000070CF" w:rsidP="000070CF">
      <w:pPr>
        <w:shd w:val="clear" w:color="auto" w:fill="FFFFFF" w:themeFill="background1"/>
        <w:spacing w:line="240" w:lineRule="auto"/>
        <w:jc w:val="both"/>
        <w:rPr>
          <w:rFonts w:eastAsiaTheme="minorEastAsia" w:cstheme="minorHAnsi"/>
          <w:szCs w:val="24"/>
        </w:rPr>
      </w:pPr>
      <w:r w:rsidRPr="000070CF">
        <w:rPr>
          <w:rFonts w:cstheme="minorHAnsi"/>
          <w:color w:val="222222"/>
          <w:szCs w:val="24"/>
          <w:shd w:val="clear" w:color="auto" w:fill="FFFFFF"/>
        </w:rPr>
        <w:t xml:space="preserve">Kaufman, J. C., &amp; </w:t>
      </w:r>
      <w:proofErr w:type="spellStart"/>
      <w:r w:rsidRPr="000070CF">
        <w:rPr>
          <w:rFonts w:cstheme="minorHAnsi"/>
          <w:color w:val="222222"/>
          <w:szCs w:val="24"/>
          <w:shd w:val="clear" w:color="auto" w:fill="FFFFFF"/>
        </w:rPr>
        <w:t>Glăveanu</w:t>
      </w:r>
      <w:proofErr w:type="spellEnd"/>
      <w:r w:rsidRPr="000070CF">
        <w:rPr>
          <w:rFonts w:cstheme="minorHAnsi"/>
          <w:color w:val="222222"/>
          <w:szCs w:val="24"/>
          <w:shd w:val="clear" w:color="auto" w:fill="FFFFFF"/>
        </w:rPr>
        <w:t xml:space="preserve">, V. P. (2019). A review of creativity theories: What questions are we trying to </w:t>
      </w:r>
      <w:proofErr w:type="gramStart"/>
      <w:r w:rsidRPr="000070CF">
        <w:rPr>
          <w:rFonts w:cstheme="minorHAnsi"/>
          <w:color w:val="222222"/>
          <w:szCs w:val="24"/>
          <w:shd w:val="clear" w:color="auto" w:fill="FFFFFF"/>
        </w:rPr>
        <w:t>answer?.</w:t>
      </w:r>
      <w:proofErr w:type="gramEnd"/>
    </w:p>
    <w:p w14:paraId="7783F58E" w14:textId="77777777" w:rsidR="00B43C7F" w:rsidRPr="000070CF" w:rsidRDefault="000070CF" w:rsidP="000070CF">
      <w:pPr>
        <w:spacing w:line="240" w:lineRule="auto"/>
        <w:rPr>
          <w:rFonts w:cstheme="minorHAnsi"/>
          <w:color w:val="222222"/>
          <w:szCs w:val="24"/>
          <w:shd w:val="clear" w:color="auto" w:fill="FFFFFF"/>
        </w:rPr>
      </w:pPr>
      <w:proofErr w:type="spellStart"/>
      <w:r w:rsidRPr="000070CF">
        <w:rPr>
          <w:rFonts w:cstheme="minorHAnsi"/>
          <w:color w:val="222222"/>
          <w:szCs w:val="24"/>
          <w:shd w:val="clear" w:color="auto" w:fill="FFFFFF"/>
        </w:rPr>
        <w:t>Revans</w:t>
      </w:r>
      <w:proofErr w:type="spellEnd"/>
      <w:r w:rsidRPr="000070CF">
        <w:rPr>
          <w:rFonts w:cstheme="minorHAnsi"/>
          <w:color w:val="222222"/>
          <w:szCs w:val="24"/>
          <w:shd w:val="clear" w:color="auto" w:fill="FFFFFF"/>
        </w:rPr>
        <w:t xml:space="preserve">, R. W. (1982). What is action </w:t>
      </w:r>
      <w:proofErr w:type="gramStart"/>
      <w:r w:rsidRPr="000070CF">
        <w:rPr>
          <w:rFonts w:cstheme="minorHAnsi"/>
          <w:color w:val="222222"/>
          <w:szCs w:val="24"/>
          <w:shd w:val="clear" w:color="auto" w:fill="FFFFFF"/>
        </w:rPr>
        <w:t>learning?.</w:t>
      </w:r>
      <w:proofErr w:type="gramEnd"/>
      <w:r w:rsidRPr="000070CF">
        <w:rPr>
          <w:rFonts w:cstheme="minorHAnsi"/>
          <w:color w:val="222222"/>
          <w:szCs w:val="24"/>
          <w:shd w:val="clear" w:color="auto" w:fill="FFFFFF"/>
        </w:rPr>
        <w:t> </w:t>
      </w:r>
      <w:r w:rsidRPr="000070CF">
        <w:rPr>
          <w:rFonts w:cstheme="minorHAnsi"/>
          <w:i/>
          <w:iCs/>
          <w:color w:val="222222"/>
          <w:szCs w:val="24"/>
          <w:shd w:val="clear" w:color="auto" w:fill="FFFFFF"/>
        </w:rPr>
        <w:t>Journal of management development</w:t>
      </w:r>
      <w:r w:rsidRPr="000070CF">
        <w:rPr>
          <w:rFonts w:cstheme="minorHAnsi"/>
          <w:color w:val="222222"/>
          <w:szCs w:val="24"/>
          <w:shd w:val="clear" w:color="auto" w:fill="FFFFFF"/>
        </w:rPr>
        <w:t>, </w:t>
      </w:r>
      <w:r w:rsidRPr="000070CF">
        <w:rPr>
          <w:rFonts w:cstheme="minorHAnsi"/>
          <w:i/>
          <w:iCs/>
          <w:color w:val="222222"/>
          <w:szCs w:val="24"/>
          <w:shd w:val="clear" w:color="auto" w:fill="FFFFFF"/>
        </w:rPr>
        <w:t>1</w:t>
      </w:r>
      <w:r w:rsidRPr="000070CF">
        <w:rPr>
          <w:rFonts w:cstheme="minorHAnsi"/>
          <w:color w:val="222222"/>
          <w:szCs w:val="24"/>
          <w:shd w:val="clear" w:color="auto" w:fill="FFFFFF"/>
        </w:rPr>
        <w:t>(3), 64-75.</w:t>
      </w:r>
    </w:p>
    <w:p w14:paraId="1C7038E8" w14:textId="77777777" w:rsidR="000070CF" w:rsidRPr="000070CF" w:rsidRDefault="000070CF" w:rsidP="000070CF">
      <w:pPr>
        <w:spacing w:line="240" w:lineRule="auto"/>
        <w:rPr>
          <w:rStyle w:val="normaltextrun"/>
          <w:rFonts w:cstheme="minorHAnsi"/>
          <w:color w:val="000000"/>
          <w:szCs w:val="24"/>
          <w:shd w:val="clear" w:color="auto" w:fill="FFFFFF"/>
        </w:rPr>
      </w:pPr>
      <w:r w:rsidRPr="000070CF">
        <w:rPr>
          <w:rFonts w:cstheme="minorHAnsi"/>
          <w:color w:val="222222"/>
          <w:szCs w:val="24"/>
          <w:shd w:val="clear" w:color="auto" w:fill="FFFFFF"/>
        </w:rPr>
        <w:t>Savva, M., &amp; Nygaard, L. P. (2021). </w:t>
      </w:r>
      <w:r w:rsidRPr="000070CF">
        <w:rPr>
          <w:rFonts w:cstheme="minorHAnsi"/>
          <w:i/>
          <w:iCs/>
          <w:color w:val="222222"/>
          <w:szCs w:val="24"/>
          <w:shd w:val="clear" w:color="auto" w:fill="FFFFFF"/>
        </w:rPr>
        <w:t>Becoming a Scholar: Cross-cultural reflections on identity and agency in an education doctorate</w:t>
      </w:r>
      <w:r w:rsidRPr="000070CF">
        <w:rPr>
          <w:rFonts w:cstheme="minorHAnsi"/>
          <w:color w:val="222222"/>
          <w:szCs w:val="24"/>
          <w:shd w:val="clear" w:color="auto" w:fill="FFFFFF"/>
        </w:rPr>
        <w:t>. UCL Press.</w:t>
      </w:r>
    </w:p>
    <w:p w14:paraId="1843DA8D" w14:textId="77777777" w:rsidR="00B43C7F" w:rsidRPr="000070CF" w:rsidRDefault="00A268A5" w:rsidP="000070CF">
      <w:pPr>
        <w:spacing w:line="240" w:lineRule="auto"/>
        <w:rPr>
          <w:rFonts w:cstheme="minorHAnsi"/>
          <w:color w:val="222222"/>
          <w:szCs w:val="24"/>
          <w:shd w:val="clear" w:color="auto" w:fill="FFFFFF"/>
        </w:rPr>
      </w:pPr>
      <w:proofErr w:type="spellStart"/>
      <w:r w:rsidRPr="000070CF">
        <w:rPr>
          <w:rFonts w:cstheme="minorHAnsi"/>
          <w:color w:val="222222"/>
          <w:szCs w:val="24"/>
          <w:shd w:val="clear" w:color="auto" w:fill="FFFFFF"/>
        </w:rPr>
        <w:t>Siegesmund</w:t>
      </w:r>
      <w:proofErr w:type="spellEnd"/>
      <w:r w:rsidRPr="000070CF">
        <w:rPr>
          <w:rFonts w:cstheme="minorHAnsi"/>
          <w:color w:val="222222"/>
          <w:szCs w:val="24"/>
          <w:shd w:val="clear" w:color="auto" w:fill="FFFFFF"/>
        </w:rPr>
        <w:t xml:space="preserve">, R., &amp; </w:t>
      </w:r>
      <w:proofErr w:type="spellStart"/>
      <w:r w:rsidRPr="000070CF">
        <w:rPr>
          <w:rFonts w:cstheme="minorHAnsi"/>
          <w:color w:val="222222"/>
          <w:szCs w:val="24"/>
          <w:shd w:val="clear" w:color="auto" w:fill="FFFFFF"/>
        </w:rPr>
        <w:t>Cahnmann</w:t>
      </w:r>
      <w:proofErr w:type="spellEnd"/>
      <w:r w:rsidRPr="000070CF">
        <w:rPr>
          <w:rFonts w:cstheme="minorHAnsi"/>
          <w:color w:val="222222"/>
          <w:szCs w:val="24"/>
          <w:shd w:val="clear" w:color="auto" w:fill="FFFFFF"/>
        </w:rPr>
        <w:t>-Taylor, M. (2008). Arts-based research in education: Foundations for practice. </w:t>
      </w:r>
      <w:r w:rsidRPr="000070CF">
        <w:rPr>
          <w:rFonts w:cstheme="minorHAnsi"/>
          <w:i/>
          <w:iCs/>
          <w:color w:val="222222"/>
          <w:szCs w:val="24"/>
          <w:shd w:val="clear" w:color="auto" w:fill="FFFFFF"/>
        </w:rPr>
        <w:t xml:space="preserve">New York: </w:t>
      </w:r>
      <w:proofErr w:type="spellStart"/>
      <w:r w:rsidRPr="000070CF">
        <w:rPr>
          <w:rFonts w:cstheme="minorHAnsi"/>
          <w:i/>
          <w:iCs/>
          <w:color w:val="222222"/>
          <w:szCs w:val="24"/>
          <w:shd w:val="clear" w:color="auto" w:fill="FFFFFF"/>
        </w:rPr>
        <w:t>Roulledge</w:t>
      </w:r>
      <w:proofErr w:type="spellEnd"/>
      <w:r w:rsidRPr="000070CF">
        <w:rPr>
          <w:rFonts w:cstheme="minorHAnsi"/>
          <w:color w:val="222222"/>
          <w:szCs w:val="24"/>
          <w:shd w:val="clear" w:color="auto" w:fill="FFFFFF"/>
        </w:rPr>
        <w:t>.</w:t>
      </w:r>
    </w:p>
    <w:p w14:paraId="7E240486" w14:textId="77777777" w:rsidR="000070CF" w:rsidRPr="000070CF" w:rsidRDefault="000070CF" w:rsidP="000070CF">
      <w:pPr>
        <w:pStyle w:val="NormalWeb"/>
        <w:rPr>
          <w:rFonts w:asciiTheme="minorHAnsi" w:eastAsiaTheme="minorEastAsia" w:hAnsiTheme="minorHAnsi" w:cstheme="minorHAnsi"/>
          <w:sz w:val="22"/>
        </w:rPr>
      </w:pPr>
      <w:r w:rsidRPr="000070CF">
        <w:rPr>
          <w:rFonts w:asciiTheme="minorHAnsi" w:eastAsiaTheme="minorEastAsia" w:hAnsiTheme="minorHAnsi" w:cstheme="minorHAnsi"/>
          <w:sz w:val="22"/>
        </w:rPr>
        <w:t xml:space="preserve">Vaughan, S. (2021). Practice submissions – are doctoral regulations and policies responding to the needs of creative practice? </w:t>
      </w:r>
      <w:r w:rsidRPr="000070CF">
        <w:rPr>
          <w:rFonts w:asciiTheme="minorHAnsi" w:eastAsiaTheme="minorEastAsia" w:hAnsiTheme="minorHAnsi" w:cstheme="minorHAnsi"/>
          <w:i/>
          <w:iCs/>
          <w:sz w:val="22"/>
        </w:rPr>
        <w:t>Research in Post-Compulsory Education</w:t>
      </w:r>
      <w:r w:rsidRPr="000070CF">
        <w:rPr>
          <w:rFonts w:asciiTheme="minorHAnsi" w:eastAsiaTheme="minorEastAsia" w:hAnsiTheme="minorHAnsi" w:cstheme="minorHAnsi"/>
          <w:sz w:val="22"/>
        </w:rPr>
        <w:t>, 26(3), pp333-352.</w:t>
      </w:r>
    </w:p>
    <w:p w14:paraId="46CE7673" w14:textId="77777777" w:rsidR="000070CF" w:rsidRDefault="000070CF"/>
    <w:sectPr w:rsidR="000070C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3F6833"/>
    <w:multiLevelType w:val="multilevel"/>
    <w:tmpl w:val="5E6484A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01A21AE"/>
    <w:multiLevelType w:val="multilevel"/>
    <w:tmpl w:val="AA90F3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15328E3"/>
    <w:multiLevelType w:val="multilevel"/>
    <w:tmpl w:val="A03ED6C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5FB5F36"/>
    <w:multiLevelType w:val="multilevel"/>
    <w:tmpl w:val="AF700A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0BB"/>
    <w:rsid w:val="000070CF"/>
    <w:rsid w:val="00040EFF"/>
    <w:rsid w:val="001932ED"/>
    <w:rsid w:val="002B3252"/>
    <w:rsid w:val="003229D8"/>
    <w:rsid w:val="004E70BB"/>
    <w:rsid w:val="005D7B4A"/>
    <w:rsid w:val="00630DC3"/>
    <w:rsid w:val="006A36A8"/>
    <w:rsid w:val="00983B2A"/>
    <w:rsid w:val="009D3D96"/>
    <w:rsid w:val="00A268A5"/>
    <w:rsid w:val="00B43C7F"/>
    <w:rsid w:val="00BD70AF"/>
    <w:rsid w:val="00C05499"/>
    <w:rsid w:val="00CD4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10D12F"/>
  <w15:chartTrackingRefBased/>
  <w15:docId w15:val="{9104A9ED-F1FB-4718-855D-5F49061F3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4E70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4E70BB"/>
  </w:style>
  <w:style w:type="character" w:customStyle="1" w:styleId="eop">
    <w:name w:val="eop"/>
    <w:basedOn w:val="DefaultParagraphFont"/>
    <w:rsid w:val="004E70BB"/>
  </w:style>
  <w:style w:type="character" w:customStyle="1" w:styleId="tabchar">
    <w:name w:val="tabchar"/>
    <w:basedOn w:val="DefaultParagraphFont"/>
    <w:rsid w:val="00CD4F6B"/>
  </w:style>
  <w:style w:type="paragraph" w:styleId="NormalWeb">
    <w:name w:val="Normal (Web)"/>
    <w:basedOn w:val="Normal"/>
    <w:uiPriority w:val="99"/>
    <w:semiHidden/>
    <w:unhideWhenUsed/>
    <w:rsid w:val="000070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475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9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8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0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0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41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43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81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7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489C2B03CC9B4B848357AD3FCA0F8D" ma:contentTypeVersion="18" ma:contentTypeDescription="Create a new document." ma:contentTypeScope="" ma:versionID="c78579b200959e91c369cae43112a8fc">
  <xsd:schema xmlns:xsd="http://www.w3.org/2001/XMLSchema" xmlns:xs="http://www.w3.org/2001/XMLSchema" xmlns:p="http://schemas.microsoft.com/office/2006/metadata/properties" xmlns:ns3="0a63ec7c-6655-44e7-8cc1-d1896a7f84b6" xmlns:ns4="eaad8dcd-1243-433a-a0b1-5eb79d1ccaf5" targetNamespace="http://schemas.microsoft.com/office/2006/metadata/properties" ma:root="true" ma:fieldsID="7c64da501b84fd1fefdedc52e1dc6dea" ns3:_="" ns4:_="">
    <xsd:import namespace="0a63ec7c-6655-44e7-8cc1-d1896a7f84b6"/>
    <xsd:import namespace="eaad8dcd-1243-433a-a0b1-5eb79d1ccaf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63ec7c-6655-44e7-8cc1-d1896a7f84b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ad8dcd-1243-433a-a0b1-5eb79d1ccaf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a63ec7c-6655-44e7-8cc1-d1896a7f84b6" xsi:nil="true"/>
  </documentManagement>
</p:properties>
</file>

<file path=customXml/itemProps1.xml><?xml version="1.0" encoding="utf-8"?>
<ds:datastoreItem xmlns:ds="http://schemas.openxmlformats.org/officeDocument/2006/customXml" ds:itemID="{906570D9-51F5-483D-89DD-922CFF1BC6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a63ec7c-6655-44e7-8cc1-d1896a7f84b6"/>
    <ds:schemaRef ds:uri="eaad8dcd-1243-433a-a0b1-5eb79d1cca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3C31E1A-86DC-49DD-A46C-704506C0754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D99EDEC-3E4C-43DD-849C-3FDBFF219A2E}">
  <ds:schemaRefs>
    <ds:schemaRef ds:uri="http://purl.org/dc/elements/1.1/"/>
    <ds:schemaRef ds:uri="http://schemas.microsoft.com/office/2006/metadata/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0a63ec7c-6655-44e7-8cc1-d1896a7f84b6"/>
    <ds:schemaRef ds:uri="http://schemas.openxmlformats.org/package/2006/metadata/core-properties"/>
    <ds:schemaRef ds:uri="eaad8dcd-1243-433a-a0b1-5eb79d1ccaf5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2</Pages>
  <Words>1087</Words>
  <Characters>6198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 Clark</dc:creator>
  <cp:keywords/>
  <dc:description/>
  <cp:lastModifiedBy>Tim Clark</cp:lastModifiedBy>
  <cp:revision>1</cp:revision>
  <dcterms:created xsi:type="dcterms:W3CDTF">2024-03-25T17:17:00Z</dcterms:created>
  <dcterms:modified xsi:type="dcterms:W3CDTF">2024-03-25T20:22:00Z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0x01010078489C2B03CC9B4B848357AD3FCA0F8D</vt:lpwstr>
  </property>
</Properties>
</file>