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218A0" w14:textId="77777777" w:rsidR="00012200" w:rsidRDefault="00012200" w:rsidP="00012200">
      <w:pPr>
        <w:autoSpaceDE w:val="0"/>
        <w:autoSpaceDN w:val="0"/>
        <w:adjustRightInd w:val="0"/>
        <w:spacing w:after="0" w:line="240" w:lineRule="auto"/>
        <w:rPr>
          <w:rFonts w:ascii="Brill-BoldItalic" w:hAnsi="Brill-BoldItalic" w:cs="Brill-BoldItalic"/>
          <w:b/>
          <w:bCs/>
          <w:i/>
          <w:iCs/>
          <w:kern w:val="0"/>
          <w:sz w:val="32"/>
          <w:szCs w:val="32"/>
        </w:rPr>
      </w:pPr>
      <w:r>
        <w:rPr>
          <w:rFonts w:ascii="Brill-Bold" w:hAnsi="Brill-Bold" w:cs="Brill-Bold"/>
          <w:b/>
          <w:bCs/>
          <w:kern w:val="0"/>
          <w:sz w:val="32"/>
          <w:szCs w:val="32"/>
        </w:rPr>
        <w:t xml:space="preserve">Book Review of </w:t>
      </w:r>
      <w:r>
        <w:rPr>
          <w:rFonts w:ascii="Brill-BoldItalic" w:hAnsi="Brill-BoldItalic" w:cs="Brill-BoldItalic"/>
          <w:b/>
          <w:bCs/>
          <w:i/>
          <w:iCs/>
          <w:kern w:val="0"/>
          <w:sz w:val="32"/>
          <w:szCs w:val="32"/>
        </w:rPr>
        <w:t>Empire of Brutality</w:t>
      </w:r>
    </w:p>
    <w:p w14:paraId="3ADAD2CC" w14:textId="77777777" w:rsidR="00012200" w:rsidRDefault="00012200" w:rsidP="00012200">
      <w:pPr>
        <w:autoSpaceDE w:val="0"/>
        <w:autoSpaceDN w:val="0"/>
        <w:adjustRightInd w:val="0"/>
        <w:spacing w:after="0" w:line="240" w:lineRule="auto"/>
        <w:rPr>
          <w:rFonts w:ascii="Brill-Roman" w:hAnsi="Brill-Roman" w:cs="Brill-Roman"/>
          <w:kern w:val="0"/>
        </w:rPr>
      </w:pPr>
    </w:p>
    <w:p w14:paraId="3DF7B4BA" w14:textId="5F5E2C6A" w:rsidR="00012200" w:rsidRDefault="00012200" w:rsidP="00012200">
      <w:pPr>
        <w:autoSpaceDE w:val="0"/>
        <w:autoSpaceDN w:val="0"/>
        <w:adjustRightInd w:val="0"/>
        <w:spacing w:after="0" w:line="240" w:lineRule="auto"/>
        <w:rPr>
          <w:rFonts w:ascii="Brill-Italic" w:hAnsi="Brill-Italic" w:cs="Brill-Italic"/>
          <w:i/>
          <w:iCs/>
          <w:kern w:val="0"/>
          <w:sz w:val="20"/>
          <w:szCs w:val="20"/>
        </w:rPr>
      </w:pPr>
      <w:r>
        <w:rPr>
          <w:rFonts w:ascii="Brill-Roman" w:hAnsi="Brill-Roman" w:cs="Brill-Roman"/>
          <w:kern w:val="0"/>
        </w:rPr>
        <w:t>Christopher Michael Blakely</w:t>
      </w:r>
      <w:r>
        <w:rPr>
          <w:rFonts w:ascii="Brill-Roman" w:hAnsi="Brill-Roman" w:cs="Brill-Roman"/>
          <w:kern w:val="0"/>
          <w:sz w:val="20"/>
          <w:szCs w:val="20"/>
        </w:rPr>
        <w:t xml:space="preserve">, </w:t>
      </w:r>
      <w:r>
        <w:rPr>
          <w:rFonts w:ascii="Brill-Italic" w:hAnsi="Brill-Italic" w:cs="Brill-Italic"/>
          <w:i/>
          <w:iCs/>
          <w:kern w:val="0"/>
          <w:sz w:val="20"/>
          <w:szCs w:val="20"/>
        </w:rPr>
        <w:t>Empire of Brutality: Enslaved People and Animals in</w:t>
      </w:r>
    </w:p>
    <w:p w14:paraId="62DD0E1F" w14:textId="77777777" w:rsidR="00012200" w:rsidRDefault="00012200" w:rsidP="00012200">
      <w:pPr>
        <w:autoSpaceDE w:val="0"/>
        <w:autoSpaceDN w:val="0"/>
        <w:adjustRightInd w:val="0"/>
        <w:spacing w:after="0" w:line="240" w:lineRule="auto"/>
        <w:rPr>
          <w:rFonts w:ascii="Brill-Roman" w:hAnsi="Brill-Roman" w:cs="Brill-Roman"/>
          <w:kern w:val="0"/>
          <w:sz w:val="20"/>
          <w:szCs w:val="20"/>
        </w:rPr>
      </w:pPr>
      <w:r>
        <w:rPr>
          <w:rFonts w:ascii="Brill-Italic" w:hAnsi="Brill-Italic" w:cs="Brill-Italic"/>
          <w:i/>
          <w:iCs/>
          <w:kern w:val="0"/>
          <w:sz w:val="20"/>
          <w:szCs w:val="20"/>
        </w:rPr>
        <w:t xml:space="preserve">the British Atlantic World. </w:t>
      </w:r>
      <w:r>
        <w:rPr>
          <w:rFonts w:ascii="Brill-Roman" w:hAnsi="Brill-Roman" w:cs="Brill-Roman"/>
          <w:kern w:val="0"/>
          <w:sz w:val="20"/>
          <w:szCs w:val="20"/>
        </w:rPr>
        <w:t>LSU Press, 2023, 256 pp.</w:t>
      </w:r>
    </w:p>
    <w:p w14:paraId="4800BCF7" w14:textId="77777777" w:rsidR="00012200" w:rsidRDefault="00012200" w:rsidP="00012200">
      <w:pPr>
        <w:autoSpaceDE w:val="0"/>
        <w:autoSpaceDN w:val="0"/>
        <w:adjustRightInd w:val="0"/>
        <w:spacing w:after="0" w:line="240" w:lineRule="auto"/>
        <w:rPr>
          <w:rFonts w:ascii="Brill-Roman" w:hAnsi="Brill-Roman" w:cs="Brill-Roman"/>
          <w:kern w:val="0"/>
          <w:sz w:val="20"/>
          <w:szCs w:val="20"/>
        </w:rPr>
      </w:pPr>
    </w:p>
    <w:p w14:paraId="4BBCF2DF" w14:textId="77777777" w:rsidR="00101E53" w:rsidRDefault="00012200" w:rsidP="00012200">
      <w:pPr>
        <w:autoSpaceDE w:val="0"/>
        <w:autoSpaceDN w:val="0"/>
        <w:adjustRightInd w:val="0"/>
        <w:spacing w:after="0" w:line="240" w:lineRule="auto"/>
        <w:rPr>
          <w:rFonts w:ascii="Brill-Italic" w:hAnsi="Brill-Italic" w:cs="Brill-Italic"/>
          <w:i/>
          <w:iCs/>
          <w:kern w:val="0"/>
        </w:rPr>
      </w:pPr>
      <w:r>
        <w:rPr>
          <w:rFonts w:ascii="Brill-Roman" w:hAnsi="Brill-Roman" w:cs="Brill-Roman"/>
          <w:kern w:val="0"/>
        </w:rPr>
        <w:t xml:space="preserve">This review of </w:t>
      </w:r>
      <w:r>
        <w:rPr>
          <w:rFonts w:ascii="Brill-Italic" w:hAnsi="Brill-Italic" w:cs="Brill-Italic"/>
          <w:i/>
          <w:iCs/>
          <w:kern w:val="0"/>
        </w:rPr>
        <w:t>Empire of Brutality: Enslaved People and Animals in the British</w:t>
      </w:r>
      <w:r>
        <w:rPr>
          <w:rFonts w:ascii="Brill-Italic" w:hAnsi="Brill-Italic" w:cs="Brill-Italic"/>
          <w:i/>
          <w:iCs/>
          <w:kern w:val="0"/>
        </w:rPr>
        <w:t xml:space="preserve"> </w:t>
      </w:r>
      <w:r>
        <w:rPr>
          <w:rFonts w:ascii="Brill-Italic" w:hAnsi="Brill-Italic" w:cs="Brill-Italic"/>
          <w:i/>
          <w:iCs/>
          <w:kern w:val="0"/>
        </w:rPr>
        <w:t xml:space="preserve">Atlantic World </w:t>
      </w:r>
      <w:r>
        <w:rPr>
          <w:rFonts w:ascii="Brill-Roman" w:hAnsi="Brill-Roman" w:cs="Brill-Roman"/>
          <w:kern w:val="0"/>
        </w:rPr>
        <w:t>provides a concise overview of the book’s chapters, exploring</w:t>
      </w:r>
      <w:r>
        <w:rPr>
          <w:rFonts w:ascii="Brill-Italic" w:hAnsi="Brill-Italic" w:cs="Brill-Italic"/>
          <w:i/>
          <w:iCs/>
          <w:kern w:val="0"/>
        </w:rPr>
        <w:t xml:space="preserve"> </w:t>
      </w:r>
      <w:r>
        <w:rPr>
          <w:rFonts w:ascii="Brill-Roman" w:hAnsi="Brill-Roman" w:cs="Brill-Roman"/>
          <w:kern w:val="0"/>
        </w:rPr>
        <w:t>various manifestations of what are shown to be the inextricably linked commodification</w:t>
      </w:r>
      <w:r>
        <w:rPr>
          <w:rFonts w:ascii="Brill-Italic" w:hAnsi="Brill-Italic" w:cs="Brill-Italic"/>
          <w:i/>
          <w:iCs/>
          <w:kern w:val="0"/>
        </w:rPr>
        <w:t xml:space="preserve"> </w:t>
      </w:r>
      <w:r>
        <w:rPr>
          <w:rFonts w:ascii="Brill-Roman" w:hAnsi="Brill-Roman" w:cs="Brill-Roman"/>
          <w:kern w:val="0"/>
        </w:rPr>
        <w:t>and exploitation of human captives and nonhuman animals in</w:t>
      </w:r>
      <w:r>
        <w:rPr>
          <w:rFonts w:ascii="Brill-Italic" w:hAnsi="Brill-Italic" w:cs="Brill-Italic"/>
          <w:i/>
          <w:iCs/>
          <w:kern w:val="0"/>
        </w:rPr>
        <w:t xml:space="preserve"> </w:t>
      </w:r>
      <w:r>
        <w:rPr>
          <w:rFonts w:ascii="Brill-Roman" w:hAnsi="Brill-Roman" w:cs="Brill-Roman"/>
          <w:kern w:val="0"/>
        </w:rPr>
        <w:t>the British Atlantic World, before developing a critical analysis of the text’s</w:t>
      </w:r>
      <w:r>
        <w:rPr>
          <w:rFonts w:ascii="Brill-Italic" w:hAnsi="Brill-Italic" w:cs="Brill-Italic"/>
          <w:i/>
          <w:iCs/>
          <w:kern w:val="0"/>
        </w:rPr>
        <w:t xml:space="preserve"> </w:t>
      </w:r>
      <w:r>
        <w:rPr>
          <w:rFonts w:ascii="Brill-Roman" w:hAnsi="Brill-Roman" w:cs="Brill-Roman"/>
          <w:kern w:val="0"/>
        </w:rPr>
        <w:t xml:space="preserve">contribution to existing literature in this connection. </w:t>
      </w:r>
      <w:r>
        <w:rPr>
          <w:rFonts w:ascii="Brill-Italic" w:hAnsi="Brill-Italic" w:cs="Brill-Italic"/>
          <w:i/>
          <w:iCs/>
          <w:kern w:val="0"/>
        </w:rPr>
        <w:t xml:space="preserve">Empire of Brutality </w:t>
      </w:r>
      <w:r>
        <w:rPr>
          <w:rFonts w:ascii="Brill-Roman" w:hAnsi="Brill-Roman" w:cs="Brill-Roman"/>
          <w:kern w:val="0"/>
        </w:rPr>
        <w:t>is celebrated</w:t>
      </w:r>
      <w:r>
        <w:rPr>
          <w:rFonts w:ascii="Brill-Italic" w:hAnsi="Brill-Italic" w:cs="Brill-Italic"/>
          <w:i/>
          <w:iCs/>
          <w:kern w:val="0"/>
        </w:rPr>
        <w:t xml:space="preserve"> </w:t>
      </w:r>
      <w:r>
        <w:rPr>
          <w:rFonts w:ascii="Brill-Roman" w:hAnsi="Brill-Roman" w:cs="Brill-Roman"/>
          <w:kern w:val="0"/>
        </w:rPr>
        <w:t>as an empirical substantiation of the reduction of racialized humans</w:t>
      </w:r>
      <w:r>
        <w:rPr>
          <w:rFonts w:ascii="Brill-Italic" w:hAnsi="Brill-Italic" w:cs="Brill-Italic"/>
          <w:i/>
          <w:iCs/>
          <w:kern w:val="0"/>
        </w:rPr>
        <w:t xml:space="preserve"> </w:t>
      </w:r>
      <w:r>
        <w:rPr>
          <w:rFonts w:ascii="Brill-Roman" w:hAnsi="Brill-Roman" w:cs="Brill-Roman"/>
          <w:kern w:val="0"/>
        </w:rPr>
        <w:t>to exploitable “animals” by European colonizers and enslavers, though its</w:t>
      </w:r>
      <w:r>
        <w:rPr>
          <w:rFonts w:ascii="Brill-Italic" w:hAnsi="Brill-Italic" w:cs="Brill-Italic"/>
          <w:i/>
          <w:iCs/>
          <w:kern w:val="0"/>
        </w:rPr>
        <w:t xml:space="preserve"> </w:t>
      </w:r>
      <w:r>
        <w:rPr>
          <w:rFonts w:ascii="Brill-Roman" w:hAnsi="Brill-Roman" w:cs="Brill-Roman"/>
          <w:kern w:val="0"/>
        </w:rPr>
        <w:t xml:space="preserve">shortcomings </w:t>
      </w:r>
      <w:proofErr w:type="gramStart"/>
      <w:r>
        <w:rPr>
          <w:rFonts w:ascii="Brill-Roman" w:hAnsi="Brill-Roman" w:cs="Brill-Roman"/>
          <w:kern w:val="0"/>
        </w:rPr>
        <w:t>are located in</w:t>
      </w:r>
      <w:proofErr w:type="gramEnd"/>
      <w:r>
        <w:rPr>
          <w:rFonts w:ascii="Brill-Roman" w:hAnsi="Brill-Roman" w:cs="Brill-Roman"/>
          <w:kern w:val="0"/>
        </w:rPr>
        <w:t xml:space="preserve"> its failure to properly dismantle the ideological</w:t>
      </w:r>
      <w:r>
        <w:rPr>
          <w:rFonts w:ascii="Brill-Italic" w:hAnsi="Brill-Italic" w:cs="Brill-Italic"/>
          <w:i/>
          <w:iCs/>
          <w:kern w:val="0"/>
        </w:rPr>
        <w:t xml:space="preserve"> </w:t>
      </w:r>
      <w:r>
        <w:rPr>
          <w:rFonts w:ascii="Brill-Roman" w:hAnsi="Brill-Roman" w:cs="Brill-Roman"/>
          <w:kern w:val="0"/>
        </w:rPr>
        <w:t>underpinnings of said reduction and elucidate their contributions to the ongoing</w:t>
      </w:r>
      <w:r>
        <w:rPr>
          <w:rFonts w:ascii="Brill-Italic" w:hAnsi="Brill-Italic" w:cs="Brill-Italic"/>
          <w:i/>
          <w:iCs/>
          <w:kern w:val="0"/>
        </w:rPr>
        <w:t xml:space="preserve"> </w:t>
      </w:r>
      <w:r>
        <w:rPr>
          <w:rFonts w:ascii="Brill-Roman" w:hAnsi="Brill-Roman" w:cs="Brill-Roman"/>
          <w:kern w:val="0"/>
        </w:rPr>
        <w:t>oppressions of both marginalized human and nonhuman animals today.</w:t>
      </w:r>
    </w:p>
    <w:p w14:paraId="70CA6531" w14:textId="618F264B" w:rsidR="00012200" w:rsidRDefault="00012200" w:rsidP="00101E53">
      <w:pPr>
        <w:autoSpaceDE w:val="0"/>
        <w:autoSpaceDN w:val="0"/>
        <w:adjustRightInd w:val="0"/>
        <w:spacing w:after="0" w:line="240" w:lineRule="auto"/>
        <w:ind w:firstLine="720"/>
        <w:rPr>
          <w:rFonts w:ascii="Brill-Italic" w:hAnsi="Brill-Italic" w:cs="Brill-Italic"/>
          <w:i/>
          <w:iCs/>
          <w:kern w:val="0"/>
        </w:rPr>
      </w:pPr>
      <w:r>
        <w:rPr>
          <w:rFonts w:ascii="Brill-Roman" w:hAnsi="Brill-Roman" w:cs="Brill-Roman"/>
          <w:kern w:val="0"/>
        </w:rPr>
        <w:t>Drawing on a range of historical sources – from business documents,</w:t>
      </w:r>
      <w:r>
        <w:rPr>
          <w:rFonts w:ascii="Brill-Italic" w:hAnsi="Brill-Italic" w:cs="Brill-Italic"/>
          <w:i/>
          <w:iCs/>
          <w:kern w:val="0"/>
        </w:rPr>
        <w:t xml:space="preserve"> </w:t>
      </w:r>
      <w:r>
        <w:rPr>
          <w:rFonts w:ascii="Brill-Roman" w:hAnsi="Brill-Roman" w:cs="Brill-Roman"/>
          <w:kern w:val="0"/>
        </w:rPr>
        <w:t>newspaper advertisements, and art, to natural history treatises and personal</w:t>
      </w:r>
      <w:r>
        <w:rPr>
          <w:rFonts w:ascii="Brill-Italic" w:hAnsi="Brill-Italic" w:cs="Brill-Italic"/>
          <w:i/>
          <w:iCs/>
          <w:kern w:val="0"/>
        </w:rPr>
        <w:t xml:space="preserve"> </w:t>
      </w:r>
      <w:r>
        <w:rPr>
          <w:rFonts w:ascii="Brill-Roman" w:hAnsi="Brill-Roman" w:cs="Brill-Roman"/>
          <w:kern w:val="0"/>
        </w:rPr>
        <w:t xml:space="preserve">diaries – Christopher Michael Blakley’s </w:t>
      </w:r>
      <w:r>
        <w:rPr>
          <w:rFonts w:ascii="Brill-Italic" w:hAnsi="Brill-Italic" w:cs="Brill-Italic"/>
          <w:i/>
          <w:iCs/>
          <w:kern w:val="0"/>
        </w:rPr>
        <w:t xml:space="preserve">Empire of Brutality </w:t>
      </w:r>
      <w:r>
        <w:rPr>
          <w:rFonts w:ascii="Brill-Roman" w:hAnsi="Brill-Roman" w:cs="Brill-Roman"/>
          <w:kern w:val="0"/>
        </w:rPr>
        <w:t>provides an illuminating</w:t>
      </w:r>
      <w:r>
        <w:rPr>
          <w:rFonts w:ascii="Brill-Italic" w:hAnsi="Brill-Italic" w:cs="Brill-Italic"/>
          <w:i/>
          <w:iCs/>
          <w:kern w:val="0"/>
        </w:rPr>
        <w:t xml:space="preserve"> </w:t>
      </w:r>
      <w:r>
        <w:rPr>
          <w:rFonts w:ascii="Brill-Roman" w:hAnsi="Brill-Roman" w:cs="Brill-Roman"/>
          <w:kern w:val="0"/>
        </w:rPr>
        <w:t>account of the simultaneous and inextricably linked exploitation of</w:t>
      </w:r>
      <w:r>
        <w:rPr>
          <w:rFonts w:ascii="Brill-Italic" w:hAnsi="Brill-Italic" w:cs="Brill-Italic"/>
          <w:i/>
          <w:iCs/>
          <w:kern w:val="0"/>
        </w:rPr>
        <w:t xml:space="preserve"> </w:t>
      </w:r>
      <w:r>
        <w:rPr>
          <w:rFonts w:ascii="Brill-Roman" w:hAnsi="Brill-Roman" w:cs="Brill-Roman"/>
          <w:kern w:val="0"/>
        </w:rPr>
        <w:t>human captives and nonhuman animals during the Transatlantic Slave Trade.</w:t>
      </w:r>
      <w:r>
        <w:rPr>
          <w:rFonts w:ascii="Brill-Italic" w:hAnsi="Brill-Italic" w:cs="Brill-Italic"/>
          <w:i/>
          <w:iCs/>
          <w:kern w:val="0"/>
        </w:rPr>
        <w:t xml:space="preserve"> </w:t>
      </w:r>
      <w:r>
        <w:rPr>
          <w:rFonts w:ascii="Brill-Roman" w:hAnsi="Brill-Roman" w:cs="Brill-Roman"/>
          <w:kern w:val="0"/>
        </w:rPr>
        <w:t>Examining “the history of race and racialization under slavery … through the</w:t>
      </w:r>
      <w:r>
        <w:rPr>
          <w:rFonts w:ascii="Brill-Italic" w:hAnsi="Brill-Italic" w:cs="Brill-Italic"/>
          <w:i/>
          <w:iCs/>
          <w:kern w:val="0"/>
        </w:rPr>
        <w:t xml:space="preserve"> </w:t>
      </w:r>
      <w:r>
        <w:rPr>
          <w:rFonts w:ascii="Brill-Roman" w:hAnsi="Brill-Roman" w:cs="Brill-Roman"/>
          <w:kern w:val="0"/>
        </w:rPr>
        <w:t>lens of human-animal relationships” (p. 150), Blakley elucidates various ways</w:t>
      </w:r>
      <w:r>
        <w:rPr>
          <w:rFonts w:ascii="Brill-Italic" w:hAnsi="Brill-Italic" w:cs="Brill-Italic"/>
          <w:i/>
          <w:iCs/>
          <w:kern w:val="0"/>
        </w:rPr>
        <w:t xml:space="preserve"> </w:t>
      </w:r>
      <w:r>
        <w:rPr>
          <w:rFonts w:ascii="Brill-Roman" w:hAnsi="Brill-Roman" w:cs="Brill-Roman"/>
          <w:kern w:val="0"/>
        </w:rPr>
        <w:t xml:space="preserve">in which European colonizers rendered their human </w:t>
      </w:r>
      <w:proofErr w:type="gramStart"/>
      <w:r>
        <w:rPr>
          <w:rFonts w:ascii="Brill-Roman" w:hAnsi="Brill-Roman" w:cs="Brill-Roman"/>
          <w:kern w:val="0"/>
        </w:rPr>
        <w:t>victims</w:t>
      </w:r>
      <w:proofErr w:type="gramEnd"/>
      <w:r>
        <w:rPr>
          <w:rFonts w:ascii="Brill-Roman" w:hAnsi="Brill-Roman" w:cs="Brill-Roman"/>
          <w:kern w:val="0"/>
        </w:rPr>
        <w:t xml:space="preserve"> “animal” – and</w:t>
      </w:r>
      <w:r>
        <w:rPr>
          <w:rFonts w:ascii="Brill-Italic" w:hAnsi="Brill-Italic" w:cs="Brill-Italic"/>
          <w:i/>
          <w:iCs/>
          <w:kern w:val="0"/>
        </w:rPr>
        <w:t xml:space="preserve"> </w:t>
      </w:r>
      <w:r>
        <w:rPr>
          <w:rFonts w:ascii="Brill-Roman" w:hAnsi="Brill-Roman" w:cs="Brill-Roman"/>
          <w:kern w:val="0"/>
        </w:rPr>
        <w:t>thus, “naturally” exploitable – through dehumanizing discourse, “scientific”</w:t>
      </w:r>
      <w:r>
        <w:rPr>
          <w:rFonts w:ascii="Brill-Italic" w:hAnsi="Brill-Italic" w:cs="Brill-Italic"/>
          <w:i/>
          <w:iCs/>
          <w:kern w:val="0"/>
        </w:rPr>
        <w:t xml:space="preserve"> </w:t>
      </w:r>
      <w:r>
        <w:rPr>
          <w:rFonts w:ascii="Brill-Roman" w:hAnsi="Brill-Roman" w:cs="Brill-Roman"/>
          <w:kern w:val="0"/>
        </w:rPr>
        <w:t>knowledge, and physical systems of oppression.</w:t>
      </w:r>
    </w:p>
    <w:p w14:paraId="54C0C384" w14:textId="77777777" w:rsidR="00012200" w:rsidRDefault="00012200" w:rsidP="00012200">
      <w:pPr>
        <w:autoSpaceDE w:val="0"/>
        <w:autoSpaceDN w:val="0"/>
        <w:adjustRightInd w:val="0"/>
        <w:spacing w:after="0" w:line="240" w:lineRule="auto"/>
        <w:ind w:firstLine="720"/>
        <w:rPr>
          <w:rFonts w:ascii="Brill-Roman" w:hAnsi="Brill-Roman" w:cs="Brill-Roman"/>
          <w:kern w:val="0"/>
        </w:rPr>
      </w:pPr>
      <w:r>
        <w:rPr>
          <w:rFonts w:ascii="Brill-Roman" w:hAnsi="Brill-Roman" w:cs="Brill-Roman"/>
          <w:kern w:val="0"/>
        </w:rPr>
        <w:t>After introducing theoretical understandings of dehumanization – a process</w:t>
      </w:r>
      <w:r>
        <w:rPr>
          <w:rFonts w:ascii="Brill-Italic" w:hAnsi="Brill-Italic" w:cs="Brill-Italic"/>
          <w:i/>
          <w:iCs/>
          <w:kern w:val="0"/>
        </w:rPr>
        <w:t xml:space="preserve"> </w:t>
      </w:r>
      <w:r>
        <w:rPr>
          <w:rFonts w:ascii="Brill-Roman" w:hAnsi="Brill-Roman" w:cs="Brill-Roman"/>
          <w:kern w:val="0"/>
        </w:rPr>
        <w:t>rooted in a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hierarchical conception of humanity as dichotomous with animality,</w:t>
      </w:r>
      <w:r>
        <w:rPr>
          <w:rFonts w:ascii="Brill-Italic" w:hAnsi="Brill-Italic" w:cs="Brill-Italic"/>
          <w:i/>
          <w:iCs/>
          <w:kern w:val="0"/>
        </w:rPr>
        <w:t xml:space="preserve"> </w:t>
      </w:r>
      <w:r>
        <w:rPr>
          <w:rFonts w:ascii="Brill-Roman" w:hAnsi="Brill-Roman" w:cs="Brill-Roman"/>
          <w:kern w:val="0"/>
        </w:rPr>
        <w:t>through which a majority of humans are perceived as “animal-like” – the</w:t>
      </w:r>
      <w:r>
        <w:rPr>
          <w:rFonts w:ascii="Brill-Italic" w:hAnsi="Brill-Italic" w:cs="Brill-Italic"/>
          <w:i/>
          <w:iCs/>
          <w:kern w:val="0"/>
        </w:rPr>
        <w:t xml:space="preserve"> </w:t>
      </w:r>
      <w:r>
        <w:rPr>
          <w:rFonts w:ascii="Brill-Roman" w:hAnsi="Brill-Roman" w:cs="Brill-Roman"/>
          <w:kern w:val="0"/>
        </w:rPr>
        <w:t>book begins with an exploration of the “</w:t>
      </w:r>
      <w:proofErr w:type="spellStart"/>
      <w:r>
        <w:rPr>
          <w:rFonts w:ascii="Brill-Roman" w:hAnsi="Brill-Roman" w:cs="Brill-Roman"/>
          <w:kern w:val="0"/>
        </w:rPr>
        <w:t>coconstitutive</w:t>
      </w:r>
      <w:proofErr w:type="spellEnd"/>
      <w:r>
        <w:rPr>
          <w:rFonts w:ascii="Brill-Roman" w:hAnsi="Brill-Roman" w:cs="Brill-Roman"/>
          <w:kern w:val="0"/>
        </w:rPr>
        <w:t xml:space="preserve"> commodification” of</w:t>
      </w:r>
      <w:r>
        <w:rPr>
          <w:rFonts w:ascii="Brill-Italic" w:hAnsi="Brill-Italic" w:cs="Brill-Italic"/>
          <w:i/>
          <w:iCs/>
          <w:kern w:val="0"/>
        </w:rPr>
        <w:t xml:space="preserve"> </w:t>
      </w:r>
      <w:r>
        <w:rPr>
          <w:rFonts w:ascii="Brill-Roman" w:hAnsi="Brill-Roman" w:cs="Brill-Roman"/>
          <w:kern w:val="0"/>
        </w:rPr>
        <w:t>humans and cowry shells, the latter of which was used as a currency in the</w:t>
      </w:r>
      <w:r>
        <w:rPr>
          <w:rFonts w:ascii="Brill-Italic" w:hAnsi="Brill-Italic" w:cs="Brill-Italic"/>
          <w:i/>
          <w:iCs/>
          <w:kern w:val="0"/>
        </w:rPr>
        <w:t xml:space="preserve"> </w:t>
      </w:r>
      <w:r>
        <w:rPr>
          <w:rFonts w:ascii="Brill-Roman" w:hAnsi="Brill-Roman" w:cs="Brill-Roman"/>
          <w:kern w:val="0"/>
        </w:rPr>
        <w:t>purchasing of the former; “Turning people into slaves depended on turning</w:t>
      </w:r>
      <w:r>
        <w:rPr>
          <w:rFonts w:ascii="Brill-Italic" w:hAnsi="Brill-Italic" w:cs="Brill-Italic"/>
          <w:i/>
          <w:iCs/>
          <w:kern w:val="0"/>
        </w:rPr>
        <w:t xml:space="preserve"> </w:t>
      </w:r>
      <w:r>
        <w:rPr>
          <w:rFonts w:ascii="Brill-Roman" w:hAnsi="Brill-Roman" w:cs="Brill-Roman"/>
          <w:kern w:val="0"/>
        </w:rPr>
        <w:t>animals into money,” Blakley concludes (p. 52). The second chapter attends to</w:t>
      </w:r>
      <w:r>
        <w:rPr>
          <w:rFonts w:ascii="Brill-Italic" w:hAnsi="Brill-Italic" w:cs="Brill-Italic"/>
          <w:i/>
          <w:iCs/>
          <w:kern w:val="0"/>
        </w:rPr>
        <w:t xml:space="preserve"> </w:t>
      </w:r>
      <w:r>
        <w:rPr>
          <w:rFonts w:ascii="Brill-Roman" w:hAnsi="Brill-Roman" w:cs="Brill-Roman"/>
          <w:kern w:val="0"/>
        </w:rPr>
        <w:t>“intersection of slavery and animal knowledge” (p. 60) in the British Atlantic</w:t>
      </w:r>
      <w:r>
        <w:rPr>
          <w:rFonts w:ascii="Brill-Italic" w:hAnsi="Brill-Italic" w:cs="Brill-Italic"/>
          <w:i/>
          <w:iCs/>
          <w:kern w:val="0"/>
        </w:rPr>
        <w:t xml:space="preserve"> </w:t>
      </w:r>
      <w:r>
        <w:rPr>
          <w:rFonts w:ascii="Brill-Roman" w:hAnsi="Brill-Roman" w:cs="Brill-Roman"/>
          <w:kern w:val="0"/>
        </w:rPr>
        <w:t>World, wherein enslaved Africans were made to collect nonhuman animals and</w:t>
      </w:r>
      <w:r>
        <w:rPr>
          <w:rFonts w:ascii="Brill-Italic" w:hAnsi="Brill-Italic" w:cs="Brill-Italic"/>
          <w:i/>
          <w:iCs/>
          <w:kern w:val="0"/>
        </w:rPr>
        <w:t xml:space="preserve"> </w:t>
      </w:r>
      <w:r>
        <w:rPr>
          <w:rFonts w:ascii="Brill-Roman" w:hAnsi="Brill-Roman" w:cs="Brill-Roman"/>
          <w:kern w:val="0"/>
        </w:rPr>
        <w:t>supply vital knowledge about them, leading the author to question whether</w:t>
      </w:r>
      <w:r>
        <w:rPr>
          <w:rFonts w:ascii="Brill-Italic" w:hAnsi="Brill-Italic" w:cs="Brill-Italic"/>
          <w:i/>
          <w:iCs/>
          <w:kern w:val="0"/>
        </w:rPr>
        <w:t xml:space="preserve"> </w:t>
      </w:r>
      <w:r>
        <w:rPr>
          <w:rFonts w:ascii="Brill-Roman" w:hAnsi="Brill-Roman" w:cs="Brill-Roman"/>
          <w:kern w:val="0"/>
        </w:rPr>
        <w:t>“the history of science in this period begin[s] to look decidedly more African</w:t>
      </w:r>
      <w:r>
        <w:rPr>
          <w:rFonts w:ascii="Brill-Italic" w:hAnsi="Brill-Italic" w:cs="Brill-Italic"/>
          <w:i/>
          <w:iCs/>
          <w:kern w:val="0"/>
        </w:rPr>
        <w:t xml:space="preserve"> </w:t>
      </w:r>
      <w:r>
        <w:rPr>
          <w:rFonts w:ascii="Brill-Roman" w:hAnsi="Brill-Roman" w:cs="Brill-Roman"/>
          <w:kern w:val="0"/>
        </w:rPr>
        <w:t>than European” (p. 55).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Not only were enslaved humans forced to provide the</w:t>
      </w:r>
      <w:r>
        <w:rPr>
          <w:rFonts w:ascii="Brill-Italic" w:hAnsi="Brill-Italic" w:cs="Brill-Italic"/>
          <w:i/>
          <w:iCs/>
          <w:kern w:val="0"/>
        </w:rPr>
        <w:t xml:space="preserve"> </w:t>
      </w:r>
      <w:r>
        <w:rPr>
          <w:rFonts w:ascii="Brill-Roman" w:hAnsi="Brill-Roman" w:cs="Brill-Roman"/>
          <w:kern w:val="0"/>
        </w:rPr>
        <w:t xml:space="preserve">physical and intellectual </w:t>
      </w:r>
      <w:proofErr w:type="spellStart"/>
      <w:r>
        <w:rPr>
          <w:rFonts w:ascii="Brill-Roman" w:hAnsi="Brill-Roman" w:cs="Brill-Roman"/>
          <w:kern w:val="0"/>
        </w:rPr>
        <w:t>labor</w:t>
      </w:r>
      <w:proofErr w:type="spellEnd"/>
      <w:r>
        <w:rPr>
          <w:rFonts w:ascii="Brill-Roman" w:hAnsi="Brill-Roman" w:cs="Brill-Roman"/>
          <w:kern w:val="0"/>
        </w:rPr>
        <w:t xml:space="preserve"> indispensable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to the inception of modern</w:t>
      </w:r>
      <w:r>
        <w:rPr>
          <w:rFonts w:ascii="Brill-Italic" w:hAnsi="Brill-Italic" w:cs="Brill-Italic"/>
          <w:i/>
          <w:iCs/>
          <w:kern w:val="0"/>
        </w:rPr>
        <w:t xml:space="preserve"> </w:t>
      </w:r>
      <w:r>
        <w:rPr>
          <w:rFonts w:ascii="Brill-Roman" w:hAnsi="Brill-Roman" w:cs="Brill-Roman"/>
          <w:kern w:val="0"/>
        </w:rPr>
        <w:t>European science, but they were also reduced to “natural historical curiosities”</w:t>
      </w:r>
      <w:r>
        <w:rPr>
          <w:rFonts w:ascii="Brill-Italic" w:hAnsi="Brill-Italic" w:cs="Brill-Italic"/>
          <w:i/>
          <w:iCs/>
          <w:kern w:val="0"/>
        </w:rPr>
        <w:t xml:space="preserve"> </w:t>
      </w:r>
      <w:r>
        <w:rPr>
          <w:rFonts w:ascii="Brill-Roman" w:hAnsi="Brill-Roman" w:cs="Brill-Roman"/>
          <w:kern w:val="0"/>
        </w:rPr>
        <w:t>themselves – “objects for consumption, satisfying curiosity, and delivering</w:t>
      </w:r>
      <w:r>
        <w:rPr>
          <w:rFonts w:ascii="Brill-Italic" w:hAnsi="Brill-Italic" w:cs="Brill-Italic"/>
          <w:i/>
          <w:iCs/>
          <w:kern w:val="0"/>
        </w:rPr>
        <w:t xml:space="preserve"> </w:t>
      </w:r>
      <w:r>
        <w:rPr>
          <w:rFonts w:ascii="Brill-Roman" w:hAnsi="Brill-Roman" w:cs="Brill-Roman"/>
          <w:kern w:val="0"/>
        </w:rPr>
        <w:t>intellectual pleasure” (p. 64) – alongside the other-than-human specimens</w:t>
      </w:r>
      <w:r>
        <w:rPr>
          <w:rFonts w:ascii="Brill-Italic" w:hAnsi="Brill-Italic" w:cs="Brill-Italic"/>
          <w:i/>
          <w:iCs/>
          <w:kern w:val="0"/>
        </w:rPr>
        <w:t xml:space="preserve"> </w:t>
      </w:r>
      <w:r>
        <w:rPr>
          <w:rFonts w:ascii="Brill-Roman" w:hAnsi="Brill-Roman" w:cs="Brill-Roman"/>
          <w:kern w:val="0"/>
        </w:rPr>
        <w:t>they collected.</w:t>
      </w:r>
    </w:p>
    <w:p w14:paraId="716EA7FD" w14:textId="77777777" w:rsidR="00012200" w:rsidRDefault="00012200" w:rsidP="00012200">
      <w:pPr>
        <w:autoSpaceDE w:val="0"/>
        <w:autoSpaceDN w:val="0"/>
        <w:adjustRightInd w:val="0"/>
        <w:spacing w:after="0" w:line="240" w:lineRule="auto"/>
        <w:ind w:firstLine="720"/>
        <w:rPr>
          <w:rFonts w:ascii="Brill-Roman" w:hAnsi="Brill-Roman" w:cs="Brill-Roman"/>
          <w:kern w:val="0"/>
        </w:rPr>
      </w:pPr>
      <w:r>
        <w:rPr>
          <w:rFonts w:ascii="Brill-Roman" w:hAnsi="Brill-Roman" w:cs="Brill-Roman"/>
          <w:kern w:val="0"/>
        </w:rPr>
        <w:t>Polygenism was developed in concert with the scientific study of nonhuman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animals at this time. This racist and dehumanizing thinking was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employed as a justification for slavery, whereby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enslaved humans were sold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and exploited as if they were nonhuman animal “chattel.” The third chapter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of the book explores these entanglements, evidencing ways in which human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and nonhuman captives were sold and exploited together, housed together,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and fed the same food – “material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realities” that mutually reinforced conceptual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dehumanization. Chapters four and five pay attention to the efforts of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enslaved humans to elude and frustrate their subjugation through acts of sabotage,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killing, and otherwise incapacitating their oppressor’s nonhuman “livestock”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and/or appropriating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 xml:space="preserve">the </w:t>
      </w:r>
      <w:proofErr w:type="spellStart"/>
      <w:r>
        <w:rPr>
          <w:rFonts w:ascii="Brill-Roman" w:hAnsi="Brill-Roman" w:cs="Brill-Roman"/>
          <w:kern w:val="0"/>
        </w:rPr>
        <w:t>labor</w:t>
      </w:r>
      <w:proofErr w:type="spellEnd"/>
      <w:r>
        <w:rPr>
          <w:rFonts w:ascii="Brill-Roman" w:hAnsi="Brill-Roman" w:cs="Brill-Roman"/>
          <w:kern w:val="0"/>
        </w:rPr>
        <w:t xml:space="preserve"> and flesh of said animals for their own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benefit. Through “rival geographies,” the enslaved undermined “the cultural,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 xml:space="preserve">political, and </w:t>
      </w:r>
      <w:proofErr w:type="spellStart"/>
      <w:r>
        <w:rPr>
          <w:rFonts w:ascii="Brill-Roman" w:hAnsi="Brill-Roman" w:cs="Brill-Roman"/>
          <w:kern w:val="0"/>
        </w:rPr>
        <w:t>envirotechnical</w:t>
      </w:r>
      <w:proofErr w:type="spellEnd"/>
      <w:r>
        <w:rPr>
          <w:rFonts w:ascii="Brill-Roman" w:hAnsi="Brill-Roman" w:cs="Brill-Roman"/>
          <w:kern w:val="0"/>
        </w:rPr>
        <w:t xml:space="preserve"> foundations of slavery” (p. 128) and asserted their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own autonomy, disrupting the financial operations of plantations, decreasing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calorific inequalities between human captives and their oppressors, and ultimately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escaping enslavement – if only temporarily – on horseback.</w:t>
      </w:r>
    </w:p>
    <w:p w14:paraId="39D93E89" w14:textId="0EB8A191" w:rsidR="00012200" w:rsidRDefault="00012200" w:rsidP="00012200">
      <w:pPr>
        <w:autoSpaceDE w:val="0"/>
        <w:autoSpaceDN w:val="0"/>
        <w:adjustRightInd w:val="0"/>
        <w:spacing w:after="0" w:line="240" w:lineRule="auto"/>
        <w:ind w:firstLine="720"/>
        <w:rPr>
          <w:rFonts w:ascii="Brill-Roman" w:hAnsi="Brill-Roman" w:cs="Brill-Roman"/>
          <w:kern w:val="0"/>
        </w:rPr>
      </w:pPr>
      <w:r>
        <w:rPr>
          <w:rFonts w:ascii="Brill-Roman" w:hAnsi="Brill-Roman" w:cs="Brill-Roman"/>
          <w:kern w:val="0"/>
        </w:rPr>
        <w:t>The book’s epilogue begins by stating that “enslavers leveraged dehumanizing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animal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comparisons … everywhere slavery existed” (p. 140) – a reality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confirmed by the chapter’s discussion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of Enlightenment treatises on slavery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and abolitionist texts by the formerly enslaved, both of which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lastRenderedPageBreak/>
        <w:t>placed dehumanizing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 xml:space="preserve">animalization at the </w:t>
      </w:r>
      <w:proofErr w:type="spellStart"/>
      <w:r>
        <w:rPr>
          <w:rFonts w:ascii="Brill-Roman" w:hAnsi="Brill-Roman" w:cs="Brill-Roman"/>
          <w:kern w:val="0"/>
        </w:rPr>
        <w:t>center</w:t>
      </w:r>
      <w:proofErr w:type="spellEnd"/>
      <w:r>
        <w:rPr>
          <w:rFonts w:ascii="Brill-Roman" w:hAnsi="Brill-Roman" w:cs="Brill-Roman"/>
          <w:kern w:val="0"/>
        </w:rPr>
        <w:t xml:space="preserve"> of their </w:t>
      </w:r>
      <w:proofErr w:type="spellStart"/>
      <w:r>
        <w:rPr>
          <w:rFonts w:ascii="Brill-Roman" w:hAnsi="Brill-Roman" w:cs="Brill-Roman"/>
          <w:kern w:val="0"/>
        </w:rPr>
        <w:t>defenses</w:t>
      </w:r>
      <w:proofErr w:type="spellEnd"/>
      <w:r>
        <w:rPr>
          <w:rFonts w:ascii="Brill-Roman" w:hAnsi="Brill-Roman" w:cs="Brill-Roman"/>
          <w:kern w:val="0"/>
        </w:rPr>
        <w:t xml:space="preserve"> of, and cases against,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 xml:space="preserve">slavery respectively. In this connection, </w:t>
      </w:r>
      <w:r>
        <w:rPr>
          <w:rFonts w:ascii="Brill-Italic" w:hAnsi="Brill-Italic" w:cs="Brill-Italic"/>
          <w:i/>
          <w:iCs/>
          <w:kern w:val="0"/>
        </w:rPr>
        <w:t xml:space="preserve">Empire of Brutality </w:t>
      </w:r>
      <w:r>
        <w:rPr>
          <w:rFonts w:ascii="Brill-Roman" w:hAnsi="Brill-Roman" w:cs="Brill-Roman"/>
          <w:kern w:val="0"/>
        </w:rPr>
        <w:t>offers an empirical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substantiation of the central role that European binary human-animal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ontology – that is, the social construction of a hierarchical dichotomy between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(some) humans and other animals – played in the reduction of racialized</w:t>
      </w:r>
      <w:r w:rsidR="009E3869"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humans to exploitable “animals” during (past) European colonialism. What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the book somewhat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lacks, however, is a breaking down of this anthropocentric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conceptual framework – a framework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that continues to support the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exclusions of the Global Majority (and people of otherized genders,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sexual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orientations, classes, physical and cognitive abilities, etc.) from the moral consideration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afforded to those deemed to sit within colonial conceptions of the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fully Human/Man. Neither is the exploitation of other-than-human animals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explicitly problematized, leaving intact the ideology of instrumentalization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and exclusion that renders – as the book persuasively shows – the exploitation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of humans and nonhuman animals inextricably linked.</w:t>
      </w:r>
    </w:p>
    <w:p w14:paraId="0DE86D66" w14:textId="125F8A74" w:rsidR="00012200" w:rsidRDefault="00012200" w:rsidP="00012200">
      <w:pPr>
        <w:autoSpaceDE w:val="0"/>
        <w:autoSpaceDN w:val="0"/>
        <w:adjustRightInd w:val="0"/>
        <w:spacing w:after="0" w:line="240" w:lineRule="auto"/>
        <w:ind w:firstLine="720"/>
        <w:rPr>
          <w:rFonts w:ascii="Brill-Roman" w:hAnsi="Brill-Roman" w:cs="Brill-Roman"/>
          <w:kern w:val="0"/>
        </w:rPr>
      </w:pPr>
      <w:r>
        <w:rPr>
          <w:rFonts w:ascii="Brill-Roman" w:hAnsi="Brill-Roman" w:cs="Brill-Roman"/>
          <w:kern w:val="0"/>
        </w:rPr>
        <w:t>Among others committed to “consistent anti-oppression” (Feliz Brueck &amp;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McNeill, 2020), Critical Animal Studies scholars have drawn on anticolonial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literature to make clear the</w:t>
      </w:r>
      <w:r w:rsidR="009E3869"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indispensability of this dismantling of anthropocentric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ideology – with its narrow conception of the human – to achieving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decolonial “total liberation” (Colling et al., 2014). For the anti-racist vegan theorist</w:t>
      </w:r>
      <w:r>
        <w:rPr>
          <w:rFonts w:ascii="Brill-Roman" w:hAnsi="Brill-Roman" w:cs="Brill-Roman"/>
          <w:kern w:val="0"/>
        </w:rPr>
        <w:t xml:space="preserve"> </w:t>
      </w:r>
      <w:proofErr w:type="spellStart"/>
      <w:r>
        <w:rPr>
          <w:rFonts w:ascii="Brill-Roman" w:hAnsi="Brill-Roman" w:cs="Brill-Roman"/>
          <w:kern w:val="0"/>
        </w:rPr>
        <w:t>Aph</w:t>
      </w:r>
      <w:proofErr w:type="spellEnd"/>
      <w:r>
        <w:rPr>
          <w:rFonts w:ascii="Brill-Roman" w:hAnsi="Brill-Roman" w:cs="Brill-Roman"/>
          <w:kern w:val="0"/>
        </w:rPr>
        <w:t xml:space="preserve"> Ko (2019), such efforts demand not just a recognition of “the ways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in which [people of</w:t>
      </w:r>
      <w:r>
        <w:rPr>
          <w:rFonts w:ascii="Brill-Roman" w:hAnsi="Brill-Roman" w:cs="Brill-Roman"/>
          <w:kern w:val="0"/>
        </w:rPr>
        <w:t xml:space="preserve"> </w:t>
      </w:r>
      <w:proofErr w:type="spellStart"/>
      <w:r>
        <w:rPr>
          <w:rFonts w:ascii="Brill-Roman" w:hAnsi="Brill-Roman" w:cs="Brill-Roman"/>
          <w:kern w:val="0"/>
        </w:rPr>
        <w:t>color</w:t>
      </w:r>
      <w:proofErr w:type="spellEnd"/>
      <w:r>
        <w:rPr>
          <w:rFonts w:ascii="Brill-Roman" w:hAnsi="Brill-Roman" w:cs="Brill-Roman"/>
          <w:kern w:val="0"/>
        </w:rPr>
        <w:t>] are ‘animalized’ by the dominant system,” but also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a rejection of its “zoological roots.” “We need to abandon our former choreography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of resistance, which relies on stepping on the animal,” she writes, by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repudiating the derogatory, dehumanizing implications of animality and fighting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for the simultaneous liberation of all those otherized by white-supremacist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anthropocentrism (Ko, 2019,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pp. 105–106). Its shortcomings notwithstanding,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Blakley’s work provides a valuable historical account of co-constituted human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and nonhuman oppressions from which critiques of both can be developed,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heedful of the ongoing importance of confronting conceptions of the morally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relevant</w:t>
      </w:r>
      <w:r>
        <w:rPr>
          <w:rFonts w:ascii="Brill-Roman" w:hAnsi="Brill-Roman" w:cs="Brill-Roman"/>
          <w:kern w:val="0"/>
        </w:rPr>
        <w:t xml:space="preserve"> </w:t>
      </w:r>
      <w:r>
        <w:rPr>
          <w:rFonts w:ascii="Brill-Roman" w:hAnsi="Brill-Roman" w:cs="Brill-Roman"/>
          <w:kern w:val="0"/>
        </w:rPr>
        <w:t>that function to exclude anyone – human or not.</w:t>
      </w:r>
    </w:p>
    <w:p w14:paraId="02EA8294" w14:textId="77777777" w:rsidR="00012200" w:rsidRDefault="00012200" w:rsidP="00012200">
      <w:pPr>
        <w:autoSpaceDE w:val="0"/>
        <w:autoSpaceDN w:val="0"/>
        <w:adjustRightInd w:val="0"/>
        <w:spacing w:after="0" w:line="240" w:lineRule="auto"/>
        <w:rPr>
          <w:rFonts w:ascii="Brill-Roman" w:hAnsi="Brill-Roman" w:cs="Brill-Roman"/>
          <w:kern w:val="0"/>
        </w:rPr>
      </w:pPr>
    </w:p>
    <w:p w14:paraId="28B99E4C" w14:textId="263B3DF7" w:rsidR="00012200" w:rsidRDefault="00012200" w:rsidP="00012200">
      <w:pPr>
        <w:autoSpaceDE w:val="0"/>
        <w:autoSpaceDN w:val="0"/>
        <w:adjustRightInd w:val="0"/>
        <w:spacing w:after="0" w:line="240" w:lineRule="auto"/>
        <w:rPr>
          <w:rFonts w:ascii="Brill-Roman" w:hAnsi="Brill-Roman" w:cs="Brill-Roman"/>
          <w:kern w:val="0"/>
          <w:sz w:val="20"/>
          <w:szCs w:val="20"/>
        </w:rPr>
      </w:pPr>
      <w:r>
        <w:rPr>
          <w:rFonts w:ascii="Brill-Italic" w:hAnsi="Brill-Italic" w:cs="Brill-Italic"/>
          <w:i/>
          <w:iCs/>
          <w:kern w:val="0"/>
        </w:rPr>
        <w:t>Louis Arthur Gough</w:t>
      </w:r>
    </w:p>
    <w:p w14:paraId="73FAA4F2" w14:textId="77777777" w:rsidR="00012200" w:rsidRDefault="00012200" w:rsidP="00012200">
      <w:pPr>
        <w:autoSpaceDE w:val="0"/>
        <w:autoSpaceDN w:val="0"/>
        <w:adjustRightInd w:val="0"/>
        <w:spacing w:after="0" w:line="240" w:lineRule="auto"/>
        <w:rPr>
          <w:rFonts w:ascii="Brill-Roman" w:hAnsi="Brill-Roman" w:cs="Brill-Roman"/>
          <w:kern w:val="0"/>
          <w:sz w:val="20"/>
          <w:szCs w:val="20"/>
        </w:rPr>
      </w:pPr>
      <w:r>
        <w:rPr>
          <w:rFonts w:ascii="Brill-Roman" w:hAnsi="Brill-Roman" w:cs="Brill-Roman"/>
          <w:kern w:val="0"/>
          <w:sz w:val="20"/>
          <w:szCs w:val="20"/>
        </w:rPr>
        <w:t>University of the West of England, Bristol, United Kingdom</w:t>
      </w:r>
    </w:p>
    <w:p w14:paraId="7196C1DC" w14:textId="46D51510" w:rsidR="00012200" w:rsidRDefault="00012200" w:rsidP="00012200">
      <w:pPr>
        <w:autoSpaceDE w:val="0"/>
        <w:autoSpaceDN w:val="0"/>
        <w:adjustRightInd w:val="0"/>
        <w:spacing w:after="0" w:line="240" w:lineRule="auto"/>
        <w:rPr>
          <w:rFonts w:ascii="Brill-Italic" w:hAnsi="Brill-Italic" w:cs="Brill-Italic"/>
          <w:i/>
          <w:iCs/>
          <w:kern w:val="0"/>
          <w:sz w:val="20"/>
          <w:szCs w:val="20"/>
        </w:rPr>
      </w:pPr>
      <w:hyperlink r:id="rId4" w:history="1">
        <w:r w:rsidRPr="005E17F5">
          <w:rPr>
            <w:rStyle w:val="Hyperlink"/>
            <w:rFonts w:ascii="Brill-Italic" w:hAnsi="Brill-Italic" w:cs="Brill-Italic"/>
            <w:i/>
            <w:iCs/>
            <w:kern w:val="0"/>
            <w:sz w:val="20"/>
            <w:szCs w:val="20"/>
          </w:rPr>
          <w:t>Louis.Gough@uwe.ac.uk</w:t>
        </w:r>
      </w:hyperlink>
    </w:p>
    <w:p w14:paraId="10C5CE3B" w14:textId="77777777" w:rsidR="00012200" w:rsidRDefault="00012200" w:rsidP="00012200">
      <w:pPr>
        <w:autoSpaceDE w:val="0"/>
        <w:autoSpaceDN w:val="0"/>
        <w:adjustRightInd w:val="0"/>
        <w:spacing w:after="0" w:line="240" w:lineRule="auto"/>
        <w:rPr>
          <w:rFonts w:ascii="Brill-Italic" w:hAnsi="Brill-Italic" w:cs="Brill-Italic"/>
          <w:i/>
          <w:iCs/>
          <w:kern w:val="0"/>
          <w:sz w:val="20"/>
          <w:szCs w:val="20"/>
        </w:rPr>
      </w:pPr>
    </w:p>
    <w:p w14:paraId="3F980F21" w14:textId="77777777" w:rsidR="00012200" w:rsidRDefault="00012200" w:rsidP="00012200">
      <w:pPr>
        <w:autoSpaceDE w:val="0"/>
        <w:autoSpaceDN w:val="0"/>
        <w:adjustRightInd w:val="0"/>
        <w:spacing w:after="0" w:line="240" w:lineRule="auto"/>
        <w:rPr>
          <w:rFonts w:ascii="Brill-Bold" w:hAnsi="Brill-Bold" w:cs="Brill-Bold"/>
          <w:b/>
          <w:bCs/>
          <w:kern w:val="0"/>
        </w:rPr>
      </w:pPr>
      <w:r>
        <w:rPr>
          <w:rFonts w:ascii="Brill-Bold" w:hAnsi="Brill-Bold" w:cs="Brill-Bold"/>
          <w:b/>
          <w:bCs/>
          <w:kern w:val="0"/>
        </w:rPr>
        <w:t>References</w:t>
      </w:r>
    </w:p>
    <w:p w14:paraId="49E9CE95" w14:textId="77777777" w:rsidR="00012200" w:rsidRDefault="00012200" w:rsidP="00012200">
      <w:pPr>
        <w:autoSpaceDE w:val="0"/>
        <w:autoSpaceDN w:val="0"/>
        <w:adjustRightInd w:val="0"/>
        <w:spacing w:after="0" w:line="240" w:lineRule="auto"/>
        <w:rPr>
          <w:rFonts w:ascii="Brill-Bold" w:hAnsi="Brill-Bold" w:cs="Brill-Bold"/>
          <w:b/>
          <w:bCs/>
          <w:kern w:val="0"/>
        </w:rPr>
      </w:pPr>
    </w:p>
    <w:p w14:paraId="3473FEE5" w14:textId="4F506A6D" w:rsidR="00012200" w:rsidRDefault="00012200" w:rsidP="00012200">
      <w:pPr>
        <w:autoSpaceDE w:val="0"/>
        <w:autoSpaceDN w:val="0"/>
        <w:adjustRightInd w:val="0"/>
        <w:spacing w:after="0" w:line="240" w:lineRule="auto"/>
        <w:rPr>
          <w:rFonts w:ascii="Brill-Roman" w:hAnsi="Brill-Roman" w:cs="Brill-Roman"/>
          <w:kern w:val="0"/>
          <w:sz w:val="20"/>
          <w:szCs w:val="20"/>
        </w:rPr>
      </w:pPr>
      <w:r>
        <w:rPr>
          <w:rFonts w:ascii="Brill-Roman" w:hAnsi="Brill-Roman" w:cs="Brill-Roman"/>
          <w:kern w:val="0"/>
          <w:sz w:val="20"/>
          <w:szCs w:val="20"/>
        </w:rPr>
        <w:t>Colling, S., Parson, S. &amp; Arrigoni, A. (2014). Until all are free: Total liberation through</w:t>
      </w:r>
      <w:r w:rsidR="00101E53">
        <w:rPr>
          <w:rFonts w:ascii="Brill-Roman" w:hAnsi="Brill-Roman" w:cs="Brill-Roman"/>
          <w:kern w:val="0"/>
          <w:sz w:val="20"/>
          <w:szCs w:val="20"/>
        </w:rPr>
        <w:t xml:space="preserve"> </w:t>
      </w:r>
      <w:r>
        <w:rPr>
          <w:rFonts w:ascii="Brill-Roman" w:hAnsi="Brill-Roman" w:cs="Brill-Roman"/>
          <w:kern w:val="0"/>
          <w:sz w:val="20"/>
          <w:szCs w:val="20"/>
        </w:rPr>
        <w:t>revolutionary decolonization, groundless solidary, and a relationship framework.</w:t>
      </w:r>
      <w:r w:rsidR="00101E53">
        <w:rPr>
          <w:rFonts w:ascii="Brill-Roman" w:hAnsi="Brill-Roman" w:cs="Brill-Roman"/>
          <w:kern w:val="0"/>
          <w:sz w:val="20"/>
          <w:szCs w:val="20"/>
        </w:rPr>
        <w:t xml:space="preserve"> </w:t>
      </w:r>
      <w:r>
        <w:rPr>
          <w:rFonts w:ascii="Brill-Italic" w:hAnsi="Brill-Italic" w:cs="Brill-Italic"/>
          <w:i/>
          <w:iCs/>
          <w:kern w:val="0"/>
          <w:sz w:val="20"/>
          <w:szCs w:val="20"/>
        </w:rPr>
        <w:t>Counterpoints</w:t>
      </w:r>
      <w:r>
        <w:rPr>
          <w:rFonts w:ascii="Brill-Roman" w:hAnsi="Brill-Roman" w:cs="Brill-Roman"/>
          <w:kern w:val="0"/>
          <w:sz w:val="20"/>
          <w:szCs w:val="20"/>
        </w:rPr>
        <w:t xml:space="preserve">, </w:t>
      </w:r>
      <w:r>
        <w:rPr>
          <w:rFonts w:ascii="Brill-Italic" w:hAnsi="Brill-Italic" w:cs="Brill-Italic"/>
          <w:i/>
          <w:iCs/>
          <w:kern w:val="0"/>
          <w:sz w:val="20"/>
          <w:szCs w:val="20"/>
        </w:rPr>
        <w:t>448</w:t>
      </w:r>
      <w:r>
        <w:rPr>
          <w:rFonts w:ascii="Brill-Roman" w:hAnsi="Brill-Roman" w:cs="Brill-Roman"/>
          <w:kern w:val="0"/>
          <w:sz w:val="20"/>
          <w:szCs w:val="20"/>
        </w:rPr>
        <w:t>, 51–73.</w:t>
      </w:r>
    </w:p>
    <w:p w14:paraId="61D05C58" w14:textId="77777777" w:rsidR="00101E53" w:rsidRDefault="00101E53" w:rsidP="00012200">
      <w:pPr>
        <w:autoSpaceDE w:val="0"/>
        <w:autoSpaceDN w:val="0"/>
        <w:adjustRightInd w:val="0"/>
        <w:spacing w:after="0" w:line="240" w:lineRule="auto"/>
        <w:rPr>
          <w:rFonts w:ascii="Brill-Roman" w:hAnsi="Brill-Roman" w:cs="Brill-Roman"/>
          <w:kern w:val="0"/>
          <w:sz w:val="20"/>
          <w:szCs w:val="20"/>
        </w:rPr>
      </w:pPr>
    </w:p>
    <w:p w14:paraId="4F19D25A" w14:textId="07B59B80" w:rsidR="00012200" w:rsidRDefault="00012200" w:rsidP="00012200">
      <w:pPr>
        <w:autoSpaceDE w:val="0"/>
        <w:autoSpaceDN w:val="0"/>
        <w:adjustRightInd w:val="0"/>
        <w:spacing w:after="0" w:line="240" w:lineRule="auto"/>
        <w:rPr>
          <w:rFonts w:ascii="Brill-Roman" w:hAnsi="Brill-Roman" w:cs="Brill-Roman"/>
          <w:kern w:val="0"/>
          <w:sz w:val="20"/>
          <w:szCs w:val="20"/>
        </w:rPr>
      </w:pPr>
      <w:r>
        <w:rPr>
          <w:rFonts w:ascii="Brill-Roman" w:hAnsi="Brill-Roman" w:cs="Brill-Roman"/>
          <w:kern w:val="0"/>
          <w:sz w:val="20"/>
          <w:szCs w:val="20"/>
        </w:rPr>
        <w:t xml:space="preserve">Feliz Brueck, J. &amp; McNeill, Z. (Ed.). (2020). </w:t>
      </w:r>
      <w:r>
        <w:rPr>
          <w:rFonts w:ascii="Brill-Italic" w:hAnsi="Brill-Italic" w:cs="Brill-Italic"/>
          <w:i/>
          <w:iCs/>
          <w:kern w:val="0"/>
          <w:sz w:val="20"/>
          <w:szCs w:val="20"/>
        </w:rPr>
        <w:t>Queer and trans voices: Achieving liberation</w:t>
      </w:r>
      <w:r w:rsidR="00101E53">
        <w:rPr>
          <w:rFonts w:ascii="Brill-Italic" w:hAnsi="Brill-Italic" w:cs="Brill-Italic"/>
          <w:i/>
          <w:iCs/>
          <w:kern w:val="0"/>
          <w:sz w:val="20"/>
          <w:szCs w:val="20"/>
        </w:rPr>
        <w:t xml:space="preserve"> </w:t>
      </w:r>
      <w:r>
        <w:rPr>
          <w:rFonts w:ascii="Brill-Italic" w:hAnsi="Brill-Italic" w:cs="Brill-Italic"/>
          <w:i/>
          <w:iCs/>
          <w:kern w:val="0"/>
          <w:sz w:val="20"/>
          <w:szCs w:val="20"/>
        </w:rPr>
        <w:t>through consistent</w:t>
      </w:r>
      <w:r w:rsidR="00101E53">
        <w:rPr>
          <w:rFonts w:ascii="Brill-Italic" w:hAnsi="Brill-Italic" w:cs="Brill-Italic"/>
          <w:i/>
          <w:iCs/>
          <w:kern w:val="0"/>
          <w:sz w:val="20"/>
          <w:szCs w:val="20"/>
        </w:rPr>
        <w:t xml:space="preserve"> </w:t>
      </w:r>
      <w:r>
        <w:rPr>
          <w:rFonts w:ascii="Brill-Italic" w:hAnsi="Brill-Italic" w:cs="Brill-Italic"/>
          <w:i/>
          <w:iCs/>
          <w:kern w:val="0"/>
          <w:sz w:val="20"/>
          <w:szCs w:val="20"/>
        </w:rPr>
        <w:t>anti-oppression</w:t>
      </w:r>
      <w:r>
        <w:rPr>
          <w:rFonts w:ascii="Brill-Roman" w:hAnsi="Brill-Roman" w:cs="Brill-Roman"/>
          <w:kern w:val="0"/>
          <w:sz w:val="20"/>
          <w:szCs w:val="20"/>
        </w:rPr>
        <w:t>. Sanctuary Publishers.</w:t>
      </w:r>
    </w:p>
    <w:p w14:paraId="750E889F" w14:textId="77777777" w:rsidR="00101E53" w:rsidRPr="00101E53" w:rsidRDefault="00101E53" w:rsidP="00012200">
      <w:pPr>
        <w:autoSpaceDE w:val="0"/>
        <w:autoSpaceDN w:val="0"/>
        <w:adjustRightInd w:val="0"/>
        <w:spacing w:after="0" w:line="240" w:lineRule="auto"/>
        <w:rPr>
          <w:rFonts w:ascii="Brill-Italic" w:hAnsi="Brill-Italic" w:cs="Brill-Italic"/>
          <w:i/>
          <w:iCs/>
          <w:kern w:val="0"/>
          <w:sz w:val="20"/>
          <w:szCs w:val="20"/>
        </w:rPr>
      </w:pPr>
    </w:p>
    <w:p w14:paraId="08572662" w14:textId="2CA7B8D0" w:rsidR="000331CA" w:rsidRDefault="00012200" w:rsidP="00012200">
      <w:r>
        <w:rPr>
          <w:rFonts w:ascii="Brill-Roman" w:hAnsi="Brill-Roman" w:cs="Brill-Roman"/>
          <w:kern w:val="0"/>
          <w:sz w:val="20"/>
          <w:szCs w:val="20"/>
        </w:rPr>
        <w:t xml:space="preserve">Ko, A. (2019). </w:t>
      </w:r>
      <w:r>
        <w:rPr>
          <w:rFonts w:ascii="Brill-Italic" w:hAnsi="Brill-Italic" w:cs="Brill-Italic"/>
          <w:i/>
          <w:iCs/>
          <w:kern w:val="0"/>
          <w:sz w:val="20"/>
          <w:szCs w:val="20"/>
        </w:rPr>
        <w:t>Racism as zoological witchcraft: A guide to getting out</w:t>
      </w:r>
      <w:r>
        <w:rPr>
          <w:rFonts w:ascii="Brill-Roman" w:hAnsi="Brill-Roman" w:cs="Brill-Roman"/>
          <w:kern w:val="0"/>
          <w:sz w:val="20"/>
          <w:szCs w:val="20"/>
        </w:rPr>
        <w:t>. Lantern Books.</w:t>
      </w:r>
    </w:p>
    <w:sectPr w:rsidR="00033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ill-Bold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ill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ill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ill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00"/>
    <w:rsid w:val="00012200"/>
    <w:rsid w:val="000331CA"/>
    <w:rsid w:val="00096F7B"/>
    <w:rsid w:val="00101E53"/>
    <w:rsid w:val="008738AD"/>
    <w:rsid w:val="009E3869"/>
    <w:rsid w:val="00CE1C89"/>
    <w:rsid w:val="00D45A2C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ECF27"/>
  <w15:chartTrackingRefBased/>
  <w15:docId w15:val="{5D093377-E7A8-4A93-BF5B-731E1F54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2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2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2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2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2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2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2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2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2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2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2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2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2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2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2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2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2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2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2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2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2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2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2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2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2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20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22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uis.Gough@uw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1100</Words>
  <Characters>6271</Characters>
  <Application>Microsoft Office Word</Application>
  <DocSecurity>0</DocSecurity>
  <Lines>52</Lines>
  <Paragraphs>14</Paragraphs>
  <ScaleCrop>false</ScaleCrop>
  <Company>UWE Bristol</Company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Gough</dc:creator>
  <cp:keywords/>
  <dc:description/>
  <cp:lastModifiedBy>Louis Gough</cp:lastModifiedBy>
  <cp:revision>3</cp:revision>
  <dcterms:created xsi:type="dcterms:W3CDTF">2024-10-30T09:23:00Z</dcterms:created>
  <dcterms:modified xsi:type="dcterms:W3CDTF">2024-10-30T09:42:00Z</dcterms:modified>
</cp:coreProperties>
</file>