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2C71D" w14:textId="77777777" w:rsidR="00050D78" w:rsidRPr="002456F8" w:rsidRDefault="00050D78" w:rsidP="002456F8">
      <w:pPr>
        <w:pStyle w:val="Ttulo"/>
        <w:rPr>
          <w:sz w:val="40"/>
          <w:szCs w:val="40"/>
        </w:rPr>
      </w:pPr>
      <w:r w:rsidRPr="002456F8">
        <w:rPr>
          <w:sz w:val="40"/>
          <w:szCs w:val="40"/>
        </w:rPr>
        <w:t>Viable Business or Vital Environment? Deconstructing the Sustainability Concept in Future Mobility Entrepreneurship</w:t>
      </w:r>
    </w:p>
    <w:p w14:paraId="68FD968C" w14:textId="77777777" w:rsidR="002456F8" w:rsidRDefault="002456F8">
      <w:pPr>
        <w:rPr>
          <w:rFonts w:cs="Calibri"/>
          <w:color w:val="333333"/>
          <w:sz w:val="20"/>
          <w:szCs w:val="20"/>
        </w:rPr>
      </w:pPr>
    </w:p>
    <w:p w14:paraId="6385722B" w14:textId="77777777" w:rsidR="00B07EE9" w:rsidRPr="00B07EE9" w:rsidRDefault="001E34B3" w:rsidP="00B07EE9">
      <w:pPr>
        <w:rPr>
          <w:rFonts w:cs="Calibri"/>
          <w:color w:val="333333"/>
          <w:sz w:val="20"/>
          <w:szCs w:val="20"/>
          <w:lang w:val="mt-MT"/>
        </w:rPr>
      </w:pPr>
      <w:r>
        <w:rPr>
          <w:rFonts w:cs="Calibri"/>
          <w:color w:val="333333"/>
          <w:sz w:val="20"/>
          <w:szCs w:val="20"/>
        </w:rPr>
        <w:t xml:space="preserve">Graham </w:t>
      </w:r>
      <w:r w:rsidR="00050D78" w:rsidRPr="2DAC65EC">
        <w:rPr>
          <w:rFonts w:cs="Calibri"/>
          <w:color w:val="333333"/>
          <w:sz w:val="20"/>
          <w:szCs w:val="20"/>
        </w:rPr>
        <w:t xml:space="preserve">Parkhurst, </w:t>
      </w:r>
      <w:r w:rsidR="00B07EE9" w:rsidRPr="00B07EE9">
        <w:rPr>
          <w:rFonts w:cs="Calibri"/>
          <w:color w:val="333333"/>
          <w:sz w:val="20"/>
          <w:szCs w:val="20"/>
        </w:rPr>
        <w:t>Centre for Transport and Society</w:t>
      </w:r>
      <w:r w:rsidR="00B07EE9">
        <w:rPr>
          <w:rFonts w:cs="Calibri"/>
          <w:color w:val="333333"/>
          <w:sz w:val="20"/>
          <w:szCs w:val="20"/>
          <w:lang w:val="mt-MT"/>
        </w:rPr>
        <w:t xml:space="preserve">, </w:t>
      </w:r>
      <w:r w:rsidR="00B07EE9" w:rsidRPr="00B07EE9">
        <w:rPr>
          <w:rFonts w:cs="Calibri"/>
          <w:color w:val="333333"/>
          <w:sz w:val="20"/>
          <w:szCs w:val="20"/>
        </w:rPr>
        <w:t>Department of Geography and Environmental Management</w:t>
      </w:r>
      <w:r w:rsidR="00B07EE9">
        <w:rPr>
          <w:rFonts w:cs="Calibri"/>
          <w:color w:val="333333"/>
          <w:sz w:val="20"/>
          <w:szCs w:val="20"/>
          <w:lang w:val="mt-MT"/>
        </w:rPr>
        <w:t xml:space="preserve">, </w:t>
      </w:r>
      <w:r w:rsidR="00B07EE9" w:rsidRPr="00B07EE9">
        <w:rPr>
          <w:rFonts w:cs="Calibri"/>
          <w:color w:val="333333"/>
          <w:sz w:val="20"/>
          <w:szCs w:val="20"/>
        </w:rPr>
        <w:t>Faculty of Environment and Technology</w:t>
      </w:r>
      <w:r w:rsidR="00B07EE9">
        <w:rPr>
          <w:rFonts w:cs="Calibri"/>
          <w:color w:val="333333"/>
          <w:sz w:val="20"/>
          <w:szCs w:val="20"/>
          <w:lang w:val="mt-MT"/>
        </w:rPr>
        <w:t xml:space="preserve">, </w:t>
      </w:r>
      <w:r w:rsidR="00B07EE9" w:rsidRPr="00B07EE9">
        <w:rPr>
          <w:rFonts w:cs="Calibri"/>
          <w:color w:val="333333"/>
          <w:sz w:val="20"/>
          <w:szCs w:val="20"/>
        </w:rPr>
        <w:t>University of the West of England, Bristol</w:t>
      </w:r>
      <w:r w:rsidR="00B07EE9">
        <w:rPr>
          <w:rFonts w:cs="Calibri"/>
          <w:color w:val="333333"/>
          <w:sz w:val="20"/>
          <w:szCs w:val="20"/>
          <w:lang w:val="mt-MT"/>
        </w:rPr>
        <w:t xml:space="preserve">, United Kingdom email: </w:t>
      </w:r>
      <w:r w:rsidR="00B07EE9" w:rsidRPr="00B07EE9">
        <w:rPr>
          <w:rFonts w:cs="Calibri"/>
          <w:color w:val="333333"/>
          <w:sz w:val="20"/>
          <w:szCs w:val="20"/>
        </w:rPr>
        <w:t>Graham.Parkhurst@uwe.ac.uk</w:t>
      </w:r>
    </w:p>
    <w:p w14:paraId="1179B863" w14:textId="2FA68885" w:rsidR="00050D78" w:rsidRDefault="001E34B3">
      <w:pPr>
        <w:rPr>
          <w:rFonts w:cs="Calibri"/>
          <w:color w:val="333333"/>
          <w:sz w:val="20"/>
          <w:szCs w:val="20"/>
        </w:rPr>
      </w:pPr>
      <w:r>
        <w:rPr>
          <w:rFonts w:cs="Calibri"/>
          <w:color w:val="333333"/>
          <w:sz w:val="20"/>
          <w:szCs w:val="20"/>
        </w:rPr>
        <w:t xml:space="preserve">Pablo </w:t>
      </w:r>
      <w:r w:rsidR="00050D78" w:rsidRPr="2DAC65EC">
        <w:rPr>
          <w:rFonts w:cs="Calibri"/>
          <w:color w:val="333333"/>
          <w:sz w:val="20"/>
          <w:szCs w:val="20"/>
        </w:rPr>
        <w:t xml:space="preserve">Cabanelas, </w:t>
      </w:r>
      <w:r w:rsidR="00F62761">
        <w:rPr>
          <w:rFonts w:cs="Calibri"/>
          <w:color w:val="333333"/>
          <w:sz w:val="20"/>
          <w:szCs w:val="20"/>
        </w:rPr>
        <w:t xml:space="preserve">Faculty of Commerce, </w:t>
      </w:r>
      <w:r w:rsidR="00050D78">
        <w:rPr>
          <w:rFonts w:cs="Calibri"/>
          <w:color w:val="333333"/>
          <w:sz w:val="20"/>
          <w:szCs w:val="20"/>
        </w:rPr>
        <w:t>University of Vigo, Spain</w:t>
      </w:r>
    </w:p>
    <w:p w14:paraId="05A35C80" w14:textId="77777777" w:rsidR="00050D78" w:rsidRDefault="00050D78">
      <w:pPr>
        <w:rPr>
          <w:rFonts w:cs="Calibri"/>
          <w:color w:val="333333"/>
          <w:sz w:val="20"/>
          <w:szCs w:val="20"/>
        </w:rPr>
      </w:pPr>
      <w:r w:rsidRPr="2DAC65EC">
        <w:rPr>
          <w:rFonts w:cs="Calibri"/>
          <w:color w:val="333333"/>
          <w:sz w:val="20"/>
          <w:szCs w:val="20"/>
        </w:rPr>
        <w:t>D</w:t>
      </w:r>
      <w:r>
        <w:rPr>
          <w:rFonts w:cs="Calibri"/>
          <w:color w:val="333333"/>
          <w:sz w:val="20"/>
          <w:szCs w:val="20"/>
        </w:rPr>
        <w:t>aniela</w:t>
      </w:r>
      <w:r w:rsidR="001E34B3">
        <w:rPr>
          <w:rFonts w:cs="Calibri"/>
          <w:color w:val="333333"/>
          <w:sz w:val="20"/>
          <w:szCs w:val="20"/>
        </w:rPr>
        <w:t xml:space="preserve"> Paddeu</w:t>
      </w:r>
      <w:r>
        <w:rPr>
          <w:rFonts w:cs="Calibri"/>
          <w:color w:val="333333"/>
          <w:sz w:val="20"/>
          <w:szCs w:val="20"/>
        </w:rPr>
        <w:t xml:space="preserve">, </w:t>
      </w:r>
      <w:r w:rsidR="00B07EE9" w:rsidRPr="00B07EE9">
        <w:rPr>
          <w:rFonts w:cs="Calibri"/>
          <w:color w:val="333333"/>
          <w:sz w:val="20"/>
          <w:szCs w:val="20"/>
        </w:rPr>
        <w:t>Faculty of Environment and Technology</w:t>
      </w:r>
      <w:r w:rsidR="00B07EE9">
        <w:rPr>
          <w:rFonts w:cs="Calibri"/>
          <w:color w:val="333333"/>
          <w:sz w:val="20"/>
          <w:szCs w:val="20"/>
          <w:lang w:val="mt-MT"/>
        </w:rPr>
        <w:t xml:space="preserve">, </w:t>
      </w:r>
      <w:r w:rsidR="00B07EE9" w:rsidRPr="00B07EE9">
        <w:rPr>
          <w:rFonts w:cs="Calibri"/>
          <w:color w:val="333333"/>
          <w:sz w:val="20"/>
          <w:szCs w:val="20"/>
        </w:rPr>
        <w:t>University of the West of England, Bristol</w:t>
      </w:r>
      <w:r w:rsidR="00B07EE9">
        <w:rPr>
          <w:rFonts w:cs="Calibri"/>
          <w:color w:val="333333"/>
          <w:sz w:val="20"/>
          <w:szCs w:val="20"/>
          <w:lang w:val="mt-MT"/>
        </w:rPr>
        <w:t>, United Kingdom</w:t>
      </w:r>
    </w:p>
    <w:p w14:paraId="67204642" w14:textId="77777777" w:rsidR="00A448DE" w:rsidRDefault="00A448DE">
      <w:pPr>
        <w:rPr>
          <w:rFonts w:cs="Calibri"/>
          <w:color w:val="333333"/>
          <w:sz w:val="20"/>
          <w:szCs w:val="20"/>
        </w:rPr>
      </w:pPr>
    </w:p>
    <w:p w14:paraId="5C342ED0" w14:textId="77777777" w:rsidR="00050D78" w:rsidRDefault="00A40A07" w:rsidP="002456F8">
      <w:pPr>
        <w:pStyle w:val="Ttulo2"/>
        <w:rPr>
          <w:b/>
        </w:rPr>
      </w:pPr>
      <w:r>
        <w:t>Abstract</w:t>
      </w:r>
    </w:p>
    <w:p w14:paraId="58F4BD6C" w14:textId="77777777" w:rsidR="00614301" w:rsidRDefault="00614301">
      <w:r>
        <w:t xml:space="preserve">Rapid technological change in the transport sector is leading to a growing range of potential and actual ‘business models’ deployable for the movement of goods and people. Two key uncertainties arise from this proliferation: first, concerning which ones can be economically viable, and second, whether they can be both simultaneously economically viable and contribute to the imperatives of more sustainable mobility. The present chapter reviews and </w:t>
      </w:r>
      <w:r w:rsidR="00CF33F5">
        <w:t xml:space="preserve">appraises </w:t>
      </w:r>
      <w:r>
        <w:t>the emergence of these new business models, drawing on both literature review and empirical research with entrepreneurs involved in the new mobility sector</w:t>
      </w:r>
      <w:r w:rsidR="000A2F1C">
        <w:t>. Specifically, the potential of the UN S</w:t>
      </w:r>
      <w:r w:rsidR="00F12E03">
        <w:t xml:space="preserve">ustainable </w:t>
      </w:r>
      <w:r w:rsidR="000A2F1C">
        <w:t>D</w:t>
      </w:r>
      <w:r w:rsidR="00F12E03">
        <w:t xml:space="preserve">evelopment </w:t>
      </w:r>
      <w:r w:rsidR="000A2F1C">
        <w:t>G</w:t>
      </w:r>
      <w:r w:rsidR="00F12E03">
        <w:t>oals</w:t>
      </w:r>
      <w:r w:rsidR="000A2F1C">
        <w:t xml:space="preserve"> (SDGs)</w:t>
      </w:r>
      <w:r w:rsidR="00F12E03">
        <w:t xml:space="preserve"> (UN, undated) </w:t>
      </w:r>
      <w:r w:rsidR="000A2F1C">
        <w:t xml:space="preserve">as a device to structure </w:t>
      </w:r>
      <w:r w:rsidR="00CF33F5">
        <w:t xml:space="preserve">and frame the debate about what constitutes a valuable contribution to </w:t>
      </w:r>
      <w:r w:rsidR="000A2F1C">
        <w:t>sustainab</w:t>
      </w:r>
      <w:r w:rsidR="005D1D81">
        <w:t>le</w:t>
      </w:r>
      <w:r w:rsidR="000A2F1C">
        <w:t xml:space="preserve"> </w:t>
      </w:r>
      <w:r w:rsidR="00CF33F5">
        <w:t xml:space="preserve">mobility </w:t>
      </w:r>
      <w:r w:rsidR="000A2F1C">
        <w:t>is considered. A framework is developed which considers how mobility and transport have dependencies with the SDGs</w:t>
      </w:r>
      <w:r w:rsidR="00CF33F5">
        <w:t>. F</w:t>
      </w:r>
      <w:r w:rsidR="000A2F1C">
        <w:t>rom this analysis key sustainability concepts are derived which have either a subsistence function (maintaining the basics of human life) or an enhancement function (enabling citizens to realise their potentials whilst reducing impacts on the planet)</w:t>
      </w:r>
      <w:r w:rsidR="00F12E03">
        <w:t>.</w:t>
      </w:r>
      <w:r w:rsidR="000A2F1C">
        <w:t xml:space="preserve"> Five </w:t>
      </w:r>
      <w:r w:rsidR="00CA7D24">
        <w:t xml:space="preserve">different </w:t>
      </w:r>
      <w:r w:rsidR="000A2F1C">
        <w:t xml:space="preserve">innovations involving mobility sector business entrepreneurship are then </w:t>
      </w:r>
      <w:r w:rsidR="00CF33F5">
        <w:t xml:space="preserve">characterised using </w:t>
      </w:r>
      <w:r w:rsidR="000A2F1C">
        <w:t>this framework</w:t>
      </w:r>
      <w:r w:rsidR="00A74372">
        <w:t xml:space="preserve"> to ex</w:t>
      </w:r>
      <w:r w:rsidR="00CA7D24">
        <w:t>emplify its ability to deconstruct and test claims that ‘smart mobility’ is also good for sustainability as well as good for business</w:t>
      </w:r>
      <w:r w:rsidR="000A2F1C">
        <w:t>.</w:t>
      </w:r>
      <w:r w:rsidR="0089708E">
        <w:t xml:space="preserve"> It is </w:t>
      </w:r>
      <w:r w:rsidR="00CF33F5">
        <w:t xml:space="preserve">concluded </w:t>
      </w:r>
      <w:r w:rsidR="0089708E">
        <w:t xml:space="preserve">that the framework </w:t>
      </w:r>
      <w:r w:rsidR="00CF33F5">
        <w:t xml:space="preserve">could contribute to a wider architecture of sustainability interrogation. It could promote discourse around a wide range of actors, posing questions and surfacing </w:t>
      </w:r>
      <w:r w:rsidR="0089708E">
        <w:t>tensions and contingencies effectively</w:t>
      </w:r>
      <w:r w:rsidR="00336FEF">
        <w:t>,</w:t>
      </w:r>
      <w:r w:rsidR="0089708E">
        <w:t xml:space="preserve"> whilst providing a holistic</w:t>
      </w:r>
      <w:r w:rsidR="00CF33F5">
        <w:t xml:space="preserve">, strategic </w:t>
      </w:r>
      <w:r w:rsidR="0089708E">
        <w:t xml:space="preserve">assessment to </w:t>
      </w:r>
      <w:r w:rsidR="00CF33F5">
        <w:t xml:space="preserve">inform more </w:t>
      </w:r>
      <w:r w:rsidR="0089708E">
        <w:t xml:space="preserve">targeted, </w:t>
      </w:r>
      <w:r w:rsidR="00CF33F5">
        <w:t xml:space="preserve">scientific </w:t>
      </w:r>
      <w:r w:rsidR="0089708E">
        <w:t>evaluations</w:t>
      </w:r>
      <w:r w:rsidR="00CF33F5">
        <w:t xml:space="preserve"> of sustainability metrics</w:t>
      </w:r>
      <w:r w:rsidR="0089708E">
        <w:t>.</w:t>
      </w:r>
    </w:p>
    <w:p w14:paraId="4013CC99" w14:textId="77777777" w:rsidR="00A448DE" w:rsidRDefault="00A448DE" w:rsidP="00A448DE">
      <w:pPr>
        <w:pStyle w:val="Ttulo2"/>
        <w:rPr>
          <w:b/>
        </w:rPr>
      </w:pPr>
      <w:r w:rsidRPr="00A448DE">
        <w:t>Keywords</w:t>
      </w:r>
    </w:p>
    <w:p w14:paraId="529CE6CB" w14:textId="77777777" w:rsidR="00A448DE" w:rsidRPr="00E6694F" w:rsidRDefault="00A448DE" w:rsidP="00A448DE">
      <w:r w:rsidRPr="00E6694F">
        <w:t>Sustainable Development</w:t>
      </w:r>
      <w:r>
        <w:t xml:space="preserve"> Goals; sustainable mobility discourse; future mobility; green growth; stakeholder engagement framework; electric cars; hydrogen heavy goods vehicles; Mobility-as-a-Service; unmanned aerial vehicles; autonomous delivery robots</w:t>
      </w:r>
    </w:p>
    <w:p w14:paraId="684ED216" w14:textId="77777777" w:rsidR="00A448DE" w:rsidRDefault="00A448DE"/>
    <w:p w14:paraId="32DE75C0" w14:textId="77777777" w:rsidR="00A40A07" w:rsidRDefault="00A40A07" w:rsidP="00F62761">
      <w:pPr>
        <w:pStyle w:val="Ttulo1"/>
        <w:numPr>
          <w:ilvl w:val="0"/>
          <w:numId w:val="0"/>
        </w:numPr>
        <w:rPr>
          <w:b w:val="0"/>
        </w:rPr>
      </w:pPr>
      <w:r>
        <w:t>Introdu</w:t>
      </w:r>
      <w:r w:rsidR="00614301">
        <w:t>ction</w:t>
      </w:r>
    </w:p>
    <w:p w14:paraId="1B5825D6" w14:textId="5D44CDB5" w:rsidR="00A42A5C" w:rsidRDefault="00A42A5C" w:rsidP="00A42A5C">
      <w:r>
        <w:t>The last decade has seen a striking level of entrepreneurial activity in the transport sector, covering both the passenger and freight markets</w:t>
      </w:r>
      <w:r w:rsidR="009F2093">
        <w:t>. C</w:t>
      </w:r>
      <w:r>
        <w:t xml:space="preserve">ommentators refer to the ‘new’, ‘smart’ or ‘future’ mobilities </w:t>
      </w:r>
      <w:r w:rsidR="009F2093">
        <w:t>in</w:t>
      </w:r>
      <w:r>
        <w:t xml:space="preserve"> indicating a significant change in the nature and extent of technologies deployable for movement of goods and people. This technological revision, if not revolution, leaves m</w:t>
      </w:r>
      <w:r w:rsidR="00016245">
        <w:t>any</w:t>
      </w:r>
      <w:r w:rsidR="004D654B">
        <w:rPr>
          <w:lang w:val="mt-MT"/>
        </w:rPr>
        <w:t xml:space="preserve"> </w:t>
      </w:r>
      <w:r w:rsidR="009F2093">
        <w:t xml:space="preserve">proponents </w:t>
      </w:r>
      <w:r>
        <w:t xml:space="preserve">without doubt as to the economic growth potential of the sector in aggregate </w:t>
      </w:r>
      <w:r w:rsidR="00016245">
        <w:t xml:space="preserve">terms </w:t>
      </w:r>
      <w:r>
        <w:t>(</w:t>
      </w:r>
      <w:proofErr w:type="gramStart"/>
      <w:r>
        <w:t>e.g.</w:t>
      </w:r>
      <w:proofErr w:type="gramEnd"/>
      <w:r>
        <w:t xml:space="preserve"> Lerner</w:t>
      </w:r>
      <w:r w:rsidR="004D654B">
        <w:rPr>
          <w:lang w:val="mt-MT"/>
        </w:rPr>
        <w:t>,</w:t>
      </w:r>
      <w:r>
        <w:t xml:space="preserve"> 2011</w:t>
      </w:r>
      <w:r w:rsidR="004D654B">
        <w:rPr>
          <w:lang w:val="mt-MT"/>
        </w:rPr>
        <w:t>;</w:t>
      </w:r>
      <w:r>
        <w:t xml:space="preserve"> Graham</w:t>
      </w:r>
      <w:r w:rsidR="004D654B">
        <w:rPr>
          <w:lang w:val="mt-MT"/>
        </w:rPr>
        <w:t>,</w:t>
      </w:r>
      <w:r>
        <w:t xml:space="preserve"> 2013</w:t>
      </w:r>
      <w:r w:rsidR="004D654B">
        <w:rPr>
          <w:lang w:val="mt-MT"/>
        </w:rPr>
        <w:t>;</w:t>
      </w:r>
      <w:r>
        <w:t xml:space="preserve"> Van </w:t>
      </w:r>
      <w:proofErr w:type="spellStart"/>
      <w:r>
        <w:t>Audenhove</w:t>
      </w:r>
      <w:proofErr w:type="spellEnd"/>
      <w:r>
        <w:t xml:space="preserve"> et al.</w:t>
      </w:r>
      <w:r w:rsidR="004D654B">
        <w:rPr>
          <w:lang w:val="mt-MT"/>
        </w:rPr>
        <w:t>,</w:t>
      </w:r>
      <w:r>
        <w:t xml:space="preserve"> 2014</w:t>
      </w:r>
      <w:r w:rsidR="004D654B">
        <w:rPr>
          <w:lang w:val="mt-MT"/>
        </w:rPr>
        <w:t>;</w:t>
      </w:r>
      <w:r>
        <w:t xml:space="preserve"> Bouton et al.</w:t>
      </w:r>
      <w:r w:rsidR="004D654B">
        <w:rPr>
          <w:lang w:val="mt-MT"/>
        </w:rPr>
        <w:t>,</w:t>
      </w:r>
      <w:r>
        <w:t xml:space="preserve"> 2015). However, for the </w:t>
      </w:r>
      <w:r>
        <w:lastRenderedPageBreak/>
        <w:t xml:space="preserve">individual company engaged in the daily evolution of ‘future mobility’ this economic prize is mostly far from secure and obvious, </w:t>
      </w:r>
      <w:r w:rsidR="00DD6804">
        <w:t>due to major risks about technology choices and policy stability, let alone finding demand in the marketplace</w:t>
      </w:r>
      <w:r w:rsidR="009F2093">
        <w:t>. E</w:t>
      </w:r>
      <w:r>
        <w:t xml:space="preserve">ven giants such as </w:t>
      </w:r>
      <w:r w:rsidR="004B5A6C">
        <w:t xml:space="preserve">Tesla </w:t>
      </w:r>
      <w:r w:rsidR="003F24D5">
        <w:t xml:space="preserve">and Uber </w:t>
      </w:r>
      <w:r w:rsidR="00DD6804">
        <w:t xml:space="preserve">have </w:t>
      </w:r>
      <w:r w:rsidR="003F24D5">
        <w:t>strugg</w:t>
      </w:r>
      <w:r w:rsidR="00DD6804">
        <w:t>led</w:t>
      </w:r>
      <w:r w:rsidR="00F14C6D">
        <w:t xml:space="preserve"> </w:t>
      </w:r>
      <w:r w:rsidR="00016245">
        <w:t xml:space="preserve">to achieve </w:t>
      </w:r>
      <w:r w:rsidR="003F24D5">
        <w:t xml:space="preserve">profitability, despite huge stock-market valuations. And </w:t>
      </w:r>
      <w:r w:rsidR="00016245">
        <w:t>as well as</w:t>
      </w:r>
      <w:r w:rsidR="003F24D5">
        <w:t xml:space="preserve"> future mobility represent</w:t>
      </w:r>
      <w:r w:rsidR="00016245">
        <w:t>ing</w:t>
      </w:r>
      <w:r w:rsidR="003F24D5">
        <w:t xml:space="preserve"> an economic opportunity, the </w:t>
      </w:r>
      <w:r w:rsidR="00016245">
        <w:t xml:space="preserve">implications for the </w:t>
      </w:r>
      <w:r w:rsidR="003F24D5">
        <w:t xml:space="preserve">environmental and social problems that the transport sector </w:t>
      </w:r>
      <w:r w:rsidR="00016245">
        <w:t xml:space="preserve">faces are also potentially enormous. Indeed, it is fundamental that </w:t>
      </w:r>
      <w:r w:rsidR="003F24D5">
        <w:t xml:space="preserve">technological change to new ‘business models’ </w:t>
      </w:r>
      <w:r w:rsidR="00016245">
        <w:t xml:space="preserve">must be accompanied with </w:t>
      </w:r>
      <w:r w:rsidR="003F24D5">
        <w:t>mak</w:t>
      </w:r>
      <w:r w:rsidR="00016245">
        <w:t>ing</w:t>
      </w:r>
      <w:r w:rsidR="003F24D5">
        <w:t xml:space="preserve"> a significant difference to performance against these criteria</w:t>
      </w:r>
      <w:r w:rsidR="00016245">
        <w:t>, variously at the local and global levels</w:t>
      </w:r>
      <w:r w:rsidR="003F24D5">
        <w:t>.</w:t>
      </w:r>
    </w:p>
    <w:p w14:paraId="1FB0497A" w14:textId="77777777" w:rsidR="00F13BB9" w:rsidRPr="00614301" w:rsidRDefault="00016245" w:rsidP="1685C92A">
      <w:r>
        <w:t xml:space="preserve">The new technologies are in the most part underpinned by </w:t>
      </w:r>
      <w:r w:rsidR="1685C92A">
        <w:t>growing digitali</w:t>
      </w:r>
      <w:r w:rsidR="002433D9">
        <w:t>s</w:t>
      </w:r>
      <w:r w:rsidR="1685C92A">
        <w:t>ation</w:t>
      </w:r>
      <w:r>
        <w:t>, which</w:t>
      </w:r>
      <w:r w:rsidR="1685C92A">
        <w:t xml:space="preserve"> provides new </w:t>
      </w:r>
      <w:r>
        <w:t xml:space="preserve">options for social and economic </w:t>
      </w:r>
      <w:r w:rsidR="1685C92A">
        <w:t>develop</w:t>
      </w:r>
      <w:r>
        <w:t>ment</w:t>
      </w:r>
      <w:r w:rsidR="1685C92A">
        <w:t xml:space="preserve"> through new business models (Caputo et al., 2021; Pagani &amp; Pardo, 2017)</w:t>
      </w:r>
      <w:r w:rsidR="009F2093">
        <w:t>. F</w:t>
      </w:r>
      <w:r w:rsidR="00E9497E">
        <w:t>or example</w:t>
      </w:r>
      <w:r w:rsidR="009F2093">
        <w:t>,</w:t>
      </w:r>
      <w:r w:rsidR="00E9497E">
        <w:t xml:space="preserve"> connecting vehicles</w:t>
      </w:r>
      <w:r w:rsidR="009F2093">
        <w:t xml:space="preserve"> with each other and infrastructure</w:t>
      </w:r>
      <w:r w:rsidR="00E9497E">
        <w:t xml:space="preserve"> leads to new </w:t>
      </w:r>
      <w:r w:rsidR="1685C92A">
        <w:t>business ecosystems (</w:t>
      </w:r>
      <w:proofErr w:type="spellStart"/>
      <w:r w:rsidR="1685C92A">
        <w:t>Epting</w:t>
      </w:r>
      <w:proofErr w:type="spellEnd"/>
      <w:r w:rsidR="1685C92A">
        <w:t xml:space="preserve">, 2018). </w:t>
      </w:r>
      <w:r w:rsidR="00E9497E">
        <w:t>Here</w:t>
      </w:r>
      <w:r w:rsidR="1685C92A">
        <w:t xml:space="preserve">, a central proposal of </w:t>
      </w:r>
      <w:r w:rsidR="00E9497E">
        <w:t xml:space="preserve">the </w:t>
      </w:r>
      <w:r w:rsidR="1685C92A">
        <w:t>new market offers in the area of mobility is the increasing efficiency in operations and the lower climate change impact</w:t>
      </w:r>
      <w:r w:rsidR="004D654B">
        <w:rPr>
          <w:lang w:val="mt-MT"/>
        </w:rPr>
        <w:t xml:space="preserve"> </w:t>
      </w:r>
      <w:r w:rsidR="1685C92A">
        <w:t xml:space="preserve">(Parkhurst &amp; Seedhouse, 2019; </w:t>
      </w:r>
      <w:proofErr w:type="spellStart"/>
      <w:r w:rsidR="1685C92A">
        <w:t>Milakis</w:t>
      </w:r>
      <w:proofErr w:type="spellEnd"/>
      <w:r w:rsidR="1685C92A">
        <w:t xml:space="preserve"> et al., 2020; </w:t>
      </w:r>
      <w:proofErr w:type="spellStart"/>
      <w:r w:rsidR="1685C92A">
        <w:t>Nikitas</w:t>
      </w:r>
      <w:proofErr w:type="spellEnd"/>
      <w:r w:rsidR="1685C92A">
        <w:t xml:space="preserve"> et al., 2021). But this path towards more sustainable and social mobility has</w:t>
      </w:r>
      <w:r w:rsidR="00E9497E">
        <w:t xml:space="preserve"> at best only</w:t>
      </w:r>
      <w:r w:rsidR="1685C92A">
        <w:t xml:space="preserve"> just started</w:t>
      </w:r>
      <w:r w:rsidR="009F2093">
        <w:t>. I</w:t>
      </w:r>
      <w:r w:rsidR="1685C92A">
        <w:t xml:space="preserve">t is necessary to achieve the commitment of </w:t>
      </w:r>
      <w:r w:rsidR="00DD4EE5">
        <w:t xml:space="preserve">a very wide group of actors and </w:t>
      </w:r>
      <w:r w:rsidR="1685C92A">
        <w:t>stakeholders</w:t>
      </w:r>
      <w:r w:rsidR="00DD4EE5">
        <w:t xml:space="preserve">, within and beyond the transport sector, </w:t>
      </w:r>
      <w:r w:rsidR="1685C92A">
        <w:t xml:space="preserve">to mitigate the environmental impact of the projected growth both in freight and passenger </w:t>
      </w:r>
      <w:r w:rsidR="00DD4EE5">
        <w:t xml:space="preserve">demand. </w:t>
      </w:r>
      <w:r w:rsidR="00E849BA">
        <w:t xml:space="preserve">Estimates from prior to the </w:t>
      </w:r>
      <w:r w:rsidR="1685C92A">
        <w:t xml:space="preserve">Covid-19 </w:t>
      </w:r>
      <w:r w:rsidR="00E849BA">
        <w:t xml:space="preserve">pandemic were for </w:t>
      </w:r>
      <w:r w:rsidR="1685C92A">
        <w:t xml:space="preserve">33% </w:t>
      </w:r>
      <w:r w:rsidR="00E849BA">
        <w:t xml:space="preserve">growth in freight </w:t>
      </w:r>
      <w:r w:rsidR="1685C92A">
        <w:t xml:space="preserve">and 16% </w:t>
      </w:r>
      <w:r w:rsidR="00E849BA">
        <w:t xml:space="preserve">growth in passenger traffic </w:t>
      </w:r>
      <w:r w:rsidR="1685C92A">
        <w:t>by 2030, and 55% and 30% by 2050 (JRC, 2019).</w:t>
      </w:r>
    </w:p>
    <w:p w14:paraId="48FF92C7" w14:textId="77777777" w:rsidR="00F13BB9" w:rsidRDefault="47429555" w:rsidP="1685C92A">
      <w:r>
        <w:t xml:space="preserve">Original Equipment Manufacturers (OEM) are committed </w:t>
      </w:r>
      <w:r w:rsidR="00E9497E">
        <w:t>to</w:t>
      </w:r>
      <w:r>
        <w:t xml:space="preserve"> the development of digital technologies and </w:t>
      </w:r>
      <w:r w:rsidR="00E9497E">
        <w:t>their</w:t>
      </w:r>
      <w:r>
        <w:t xml:space="preserve"> application to mobility (</w:t>
      </w:r>
      <w:proofErr w:type="spellStart"/>
      <w:r>
        <w:t>Marletto</w:t>
      </w:r>
      <w:proofErr w:type="spellEnd"/>
      <w:r>
        <w:t xml:space="preserve">, 2018), </w:t>
      </w:r>
      <w:r w:rsidR="00E9497E">
        <w:t>for example</w:t>
      </w:r>
      <w:r>
        <w:t xml:space="preserve"> through auto</w:t>
      </w:r>
      <w:r w:rsidR="00E9497E">
        <w:t xml:space="preserve">mation and connectivity, variously ‘Connected Autonomous Vehicles’ or ‘Connected Automated Vehicles’ (CAV) </w:t>
      </w:r>
      <w:r>
        <w:t>(Whittle et al., 2019</w:t>
      </w:r>
      <w:r w:rsidR="00E9497E">
        <w:t xml:space="preserve">; </w:t>
      </w:r>
      <w:proofErr w:type="spellStart"/>
      <w:r>
        <w:t>Shergold</w:t>
      </w:r>
      <w:proofErr w:type="spellEnd"/>
      <w:r>
        <w:t xml:space="preserve">, 2019). </w:t>
      </w:r>
      <w:r w:rsidR="00E9497E">
        <w:t xml:space="preserve">CAVs represent </w:t>
      </w:r>
      <w:r>
        <w:t xml:space="preserve">a major innovation associated </w:t>
      </w:r>
      <w:r w:rsidR="00E9497E">
        <w:t>with</w:t>
      </w:r>
      <w:r>
        <w:t xml:space="preserve"> a disruptive technology</w:t>
      </w:r>
      <w:r w:rsidR="009F2093">
        <w:t>,</w:t>
      </w:r>
      <w:r>
        <w:t xml:space="preserve"> with the capacity to transform the current mobility ecosystem. The industry and </w:t>
      </w:r>
      <w:r w:rsidR="00E9497E">
        <w:t xml:space="preserve">its </w:t>
      </w:r>
      <w:r>
        <w:t xml:space="preserve">regulators are </w:t>
      </w:r>
      <w:r w:rsidR="00E9497E">
        <w:t xml:space="preserve">at </w:t>
      </w:r>
      <w:r>
        <w:t xml:space="preserve">a crossroads </w:t>
      </w:r>
      <w:r w:rsidR="00E9497E">
        <w:t xml:space="preserve">in deciding </w:t>
      </w:r>
      <w:r>
        <w:t>how to adapt the regulatory frameworks to environmental challenges whilst providing an adequate background for viable business models (</w:t>
      </w:r>
      <w:proofErr w:type="spellStart"/>
      <w:r>
        <w:t>Athanasopoulou</w:t>
      </w:r>
      <w:proofErr w:type="spellEnd"/>
      <w:r>
        <w:t xml:space="preserve"> et al</w:t>
      </w:r>
      <w:r w:rsidR="004D654B">
        <w:rPr>
          <w:lang w:val="mt-MT"/>
        </w:rPr>
        <w:t>.</w:t>
      </w:r>
      <w:r>
        <w:t xml:space="preserve">, 2019; Rode et al., 2017; </w:t>
      </w:r>
      <w:proofErr w:type="spellStart"/>
      <w:r>
        <w:t>Sarasini</w:t>
      </w:r>
      <w:proofErr w:type="spellEnd"/>
      <w:r>
        <w:t xml:space="preserve"> and Linder, 2018). However, the uncertainty and the complexity of the new reality makes it necessary </w:t>
      </w:r>
      <w:r w:rsidR="00E9497E">
        <w:t xml:space="preserve">for </w:t>
      </w:r>
      <w:r>
        <w:t>the establishment of new alliances to understand new technologies and a</w:t>
      </w:r>
      <w:r w:rsidR="009F2093">
        <w:t>ddress</w:t>
      </w:r>
      <w:r>
        <w:t xml:space="preserve"> customer demands through interdisciplinary approaches that go beyond traditional players (</w:t>
      </w:r>
      <w:proofErr w:type="spellStart"/>
      <w:r>
        <w:t>Pütz</w:t>
      </w:r>
      <w:proofErr w:type="spellEnd"/>
      <w:r>
        <w:t xml:space="preserve"> et al., 2019). Therefore, the boundaries of the mobility value chain are experiencing important changes, at the same time that they are being blurred because new actors appear with supposedly be</w:t>
      </w:r>
      <w:r w:rsidR="00E9497E">
        <w:t>tter</w:t>
      </w:r>
      <w:r>
        <w:t xml:space="preserve"> solutions to </w:t>
      </w:r>
      <w:r w:rsidR="00E9497E">
        <w:t xml:space="preserve">address </w:t>
      </w:r>
      <w:r>
        <w:t>new needs from markets (</w:t>
      </w:r>
      <w:proofErr w:type="spellStart"/>
      <w:r>
        <w:t>Oskam</w:t>
      </w:r>
      <w:proofErr w:type="spellEnd"/>
      <w:r>
        <w:t xml:space="preserve"> et al., 2021). </w:t>
      </w:r>
      <w:r w:rsidR="00E9497E">
        <w:t>Hence,</w:t>
      </w:r>
      <w:r>
        <w:t xml:space="preserve"> in this time of change, </w:t>
      </w:r>
      <w:r w:rsidR="00E9497E">
        <w:t xml:space="preserve">whilst </w:t>
      </w:r>
      <w:r>
        <w:t xml:space="preserve">evolution </w:t>
      </w:r>
      <w:r w:rsidR="00E9497E">
        <w:t>ou</w:t>
      </w:r>
      <w:r w:rsidR="009F2093">
        <w:t>gh</w:t>
      </w:r>
      <w:r w:rsidR="00E9497E">
        <w:t xml:space="preserve">t to be directed to </w:t>
      </w:r>
      <w:r>
        <w:t>favour more social</w:t>
      </w:r>
      <w:r w:rsidR="00E9497E">
        <w:t>ly-inclusive and</w:t>
      </w:r>
      <w:r>
        <w:t xml:space="preserve"> environmental</w:t>
      </w:r>
      <w:r w:rsidR="00E9497E">
        <w:t>ly-</w:t>
      </w:r>
      <w:r>
        <w:t>affordable mobility fostered by new technologies, the criteria of profitability may constitute a dilemma</w:t>
      </w:r>
      <w:r w:rsidR="00E9497E">
        <w:t xml:space="preserve">, or worse a barrier, to such positive </w:t>
      </w:r>
      <w:r>
        <w:t>change.</w:t>
      </w:r>
    </w:p>
    <w:p w14:paraId="0FAEC4BF" w14:textId="1A9D21F0" w:rsidR="006B3D2C" w:rsidRPr="00614301" w:rsidRDefault="006B3D2C" w:rsidP="003B64E0">
      <w:r>
        <w:t xml:space="preserve">The chapter contributes to resolving this dilemma by providing an initial analysis of some of the key technologies and business models associated with the transition. It begins in the next section by identifying in more detail the principal </w:t>
      </w:r>
      <w:r w:rsidR="003B64E0">
        <w:t>‘</w:t>
      </w:r>
      <w:r>
        <w:t>disruptive</w:t>
      </w:r>
      <w:r w:rsidR="003B64E0">
        <w:t>’</w:t>
      </w:r>
      <w:r>
        <w:t xml:space="preserve"> technologies in the freight and passenger sectors. It then turns in </w:t>
      </w:r>
      <w:r w:rsidR="003B64E0">
        <w:t xml:space="preserve">the third section </w:t>
      </w:r>
      <w:r w:rsidR="00403DE3">
        <w:t>to propose a</w:t>
      </w:r>
      <w:r w:rsidR="003A5917">
        <w:t xml:space="preserve"> </w:t>
      </w:r>
      <w:r w:rsidR="003B64E0">
        <w:t xml:space="preserve">framework </w:t>
      </w:r>
      <w:r>
        <w:t xml:space="preserve">to consider how the United Nations’ Sustainable Development Goals </w:t>
      </w:r>
      <w:r w:rsidR="00E849BA">
        <w:t xml:space="preserve">(SDGs) </w:t>
      </w:r>
      <w:r>
        <w:t xml:space="preserve">can be used to </w:t>
      </w:r>
      <w:r w:rsidR="00403DE3">
        <w:t xml:space="preserve">frame the policy debate amongst diverse stakeholders about </w:t>
      </w:r>
      <w:r>
        <w:t xml:space="preserve">these emergent technologies. </w:t>
      </w:r>
      <w:r w:rsidR="00242992">
        <w:rPr>
          <w:lang w:val="mt-MT"/>
        </w:rPr>
        <w:t xml:space="preserve">The following </w:t>
      </w:r>
      <w:r w:rsidR="00F62761">
        <w:rPr>
          <w:lang w:val="mt-MT"/>
        </w:rPr>
        <w:t>section</w:t>
      </w:r>
      <w:r w:rsidR="00F62761">
        <w:t xml:space="preserve"> </w:t>
      </w:r>
      <w:r w:rsidR="003B64E0">
        <w:t>then provides e</w:t>
      </w:r>
      <w:r>
        <w:t xml:space="preserve">xample </w:t>
      </w:r>
      <w:r w:rsidR="003B64E0">
        <w:t xml:space="preserve">applications of the framework, followed in the final section by consideration of </w:t>
      </w:r>
      <w:r w:rsidR="0089708E">
        <w:t xml:space="preserve">relevance of the approach for </w:t>
      </w:r>
      <w:r w:rsidR="003B64E0">
        <w:t>policy</w:t>
      </w:r>
      <w:r w:rsidR="0089708E">
        <w:t>-makers seeking to assess innovations</w:t>
      </w:r>
      <w:r w:rsidR="003B64E0">
        <w:t>.</w:t>
      </w:r>
    </w:p>
    <w:p w14:paraId="3EBE8ECE" w14:textId="77777777" w:rsidR="006B3D2C" w:rsidRDefault="001F52AB" w:rsidP="00F62761">
      <w:pPr>
        <w:pStyle w:val="Ttulo1"/>
        <w:numPr>
          <w:ilvl w:val="0"/>
          <w:numId w:val="0"/>
        </w:numPr>
      </w:pPr>
      <w:r w:rsidRPr="007E3D04">
        <w:lastRenderedPageBreak/>
        <w:t xml:space="preserve">Disruptive </w:t>
      </w:r>
      <w:r w:rsidR="009F20BA" w:rsidRPr="007E3D04">
        <w:t xml:space="preserve">future </w:t>
      </w:r>
      <w:r w:rsidRPr="007E3D04">
        <w:t>technologies</w:t>
      </w:r>
    </w:p>
    <w:p w14:paraId="2F795040" w14:textId="77777777" w:rsidR="001F52AB" w:rsidRPr="007E3D04" w:rsidRDefault="006B3D2C" w:rsidP="006B3D2C">
      <w:pPr>
        <w:pStyle w:val="Ttulo2"/>
      </w:pPr>
      <w:r>
        <w:t>F</w:t>
      </w:r>
      <w:r w:rsidR="009F20BA" w:rsidRPr="007E3D04">
        <w:t>reight</w:t>
      </w:r>
      <w:r>
        <w:t xml:space="preserve"> mobility</w:t>
      </w:r>
    </w:p>
    <w:p w14:paraId="5C0871CD" w14:textId="77777777" w:rsidR="00625A80" w:rsidRPr="00CA7D24" w:rsidRDefault="008F7F60" w:rsidP="00CA7D24">
      <w:proofErr w:type="spellStart"/>
      <w:r w:rsidRPr="00CA7D24">
        <w:t>Jaller</w:t>
      </w:r>
      <w:proofErr w:type="spellEnd"/>
      <w:r w:rsidRPr="00CA7D24">
        <w:t xml:space="preserve"> et al. (2020) argue that the key to future freight sustainability is a combination of automation, electrification and shared resources in order to improve efficiency and effectiveness. </w:t>
      </w:r>
      <w:r w:rsidR="003335FA" w:rsidRPr="00CA7D24">
        <w:rPr>
          <w:rStyle w:val="eop"/>
          <w:rFonts w:cstheme="minorHAnsi"/>
        </w:rPr>
        <w:t>Road transport account</w:t>
      </w:r>
      <w:r w:rsidR="000B5F4C" w:rsidRPr="00CA7D24">
        <w:rPr>
          <w:rStyle w:val="eop"/>
          <w:rFonts w:cstheme="minorHAnsi"/>
        </w:rPr>
        <w:t>s</w:t>
      </w:r>
      <w:r w:rsidR="003335FA" w:rsidRPr="00CA7D24">
        <w:rPr>
          <w:rStyle w:val="eop"/>
          <w:rFonts w:cstheme="minorHAnsi"/>
        </w:rPr>
        <w:t xml:space="preserve"> for 76.3% of freight movements in Europe (Eurostat, 2021)</w:t>
      </w:r>
      <w:r w:rsidR="000B5F4C" w:rsidRPr="00CA7D24">
        <w:rPr>
          <w:rStyle w:val="eop"/>
          <w:rFonts w:cstheme="minorHAnsi"/>
        </w:rPr>
        <w:t xml:space="preserve">, and it is responsible for </w:t>
      </w:r>
      <w:r w:rsidR="005464EC" w:rsidRPr="00CA7D24">
        <w:rPr>
          <w:rStyle w:val="eop"/>
          <w:rFonts w:cstheme="minorHAnsi"/>
        </w:rPr>
        <w:t>more than 4</w:t>
      </w:r>
      <w:r w:rsidR="002C7685" w:rsidRPr="00CA7D24">
        <w:rPr>
          <w:rStyle w:val="eop"/>
          <w:rFonts w:cstheme="minorHAnsi"/>
        </w:rPr>
        <w:t>0</w:t>
      </w:r>
      <w:r w:rsidR="005464EC" w:rsidRPr="00CA7D24">
        <w:rPr>
          <w:rStyle w:val="eop"/>
          <w:rFonts w:cstheme="minorHAnsi"/>
        </w:rPr>
        <w:t>%</w:t>
      </w:r>
      <w:r w:rsidR="002F366B" w:rsidRPr="00CA7D24">
        <w:rPr>
          <w:rStyle w:val="eop"/>
          <w:rFonts w:cstheme="minorHAnsi"/>
        </w:rPr>
        <w:t xml:space="preserve"> of </w:t>
      </w:r>
      <w:r w:rsidR="005464EC" w:rsidRPr="00CA7D24">
        <w:rPr>
          <w:rStyle w:val="eop"/>
          <w:rFonts w:cstheme="minorHAnsi"/>
        </w:rPr>
        <w:t xml:space="preserve">Global </w:t>
      </w:r>
      <w:r w:rsidR="00DF64E3" w:rsidRPr="00CA7D24">
        <w:rPr>
          <w:rStyle w:val="eop"/>
          <w:rFonts w:cstheme="minorHAnsi"/>
        </w:rPr>
        <w:t xml:space="preserve">carbon emissions </w:t>
      </w:r>
      <w:r w:rsidR="002F366B" w:rsidRPr="00CA7D24">
        <w:rPr>
          <w:rStyle w:val="eop"/>
          <w:rFonts w:cstheme="minorHAnsi"/>
        </w:rPr>
        <w:t>from transport,</w:t>
      </w:r>
      <w:r w:rsidR="003335FA" w:rsidRPr="00CA7D24">
        <w:rPr>
          <w:rStyle w:val="eop"/>
          <w:rFonts w:cstheme="minorHAnsi"/>
        </w:rPr>
        <w:t xml:space="preserve"> with road freight </w:t>
      </w:r>
      <w:r w:rsidR="002C7685" w:rsidRPr="00CA7D24">
        <w:rPr>
          <w:rStyle w:val="eop"/>
          <w:rFonts w:cstheme="minorHAnsi"/>
        </w:rPr>
        <w:t>alone</w:t>
      </w:r>
      <w:r w:rsidR="00E41DB8">
        <w:rPr>
          <w:rStyle w:val="eop"/>
          <w:rFonts w:cstheme="minorHAnsi"/>
        </w:rPr>
        <w:t xml:space="preserve"> </w:t>
      </w:r>
      <w:r w:rsidR="003335FA" w:rsidRPr="00CA7D24">
        <w:rPr>
          <w:rStyle w:val="eop"/>
          <w:rFonts w:cstheme="minorHAnsi"/>
        </w:rPr>
        <w:t>accounting for 29.4%</w:t>
      </w:r>
      <w:r w:rsidR="00467879" w:rsidRPr="00CA7D24">
        <w:rPr>
          <w:rStyle w:val="eop"/>
          <w:rFonts w:cstheme="minorHAnsi"/>
        </w:rPr>
        <w:t xml:space="preserve"> (</w:t>
      </w:r>
      <w:r w:rsidR="00284FCC" w:rsidRPr="00CA7D24">
        <w:rPr>
          <w:rStyle w:val="eop"/>
          <w:rFonts w:cstheme="minorHAnsi"/>
        </w:rPr>
        <w:t>IEA, 2022</w:t>
      </w:r>
      <w:r w:rsidR="00467879" w:rsidRPr="00CA7D24">
        <w:rPr>
          <w:rStyle w:val="eop"/>
          <w:rFonts w:cstheme="minorHAnsi"/>
        </w:rPr>
        <w:t>).</w:t>
      </w:r>
      <w:r w:rsidR="00242992">
        <w:rPr>
          <w:rStyle w:val="eop"/>
          <w:rFonts w:cstheme="minorHAnsi"/>
          <w:lang w:val="mt-MT"/>
        </w:rPr>
        <w:t xml:space="preserve"> </w:t>
      </w:r>
      <w:r w:rsidR="00B1346B" w:rsidRPr="00CA7D24">
        <w:rPr>
          <w:rStyle w:val="eop"/>
          <w:rFonts w:cstheme="minorHAnsi"/>
        </w:rPr>
        <w:t>A</w:t>
      </w:r>
      <w:r w:rsidR="00E0281E" w:rsidRPr="00CA7D24">
        <w:rPr>
          <w:rStyle w:val="eop"/>
          <w:rFonts w:cstheme="minorHAnsi"/>
        </w:rPr>
        <w:t xml:space="preserve"> series of technological solutions </w:t>
      </w:r>
      <w:r w:rsidR="00B43D52" w:rsidRPr="00CA7D24">
        <w:rPr>
          <w:rStyle w:val="eop"/>
          <w:rFonts w:cstheme="minorHAnsi"/>
        </w:rPr>
        <w:t xml:space="preserve">will be available in the medium to long term </w:t>
      </w:r>
      <w:r w:rsidR="00E0281E" w:rsidRPr="00CA7D24">
        <w:rPr>
          <w:rStyle w:val="eop"/>
          <w:rFonts w:cstheme="minorHAnsi"/>
        </w:rPr>
        <w:t>to improve the sustainability of</w:t>
      </w:r>
      <w:r w:rsidR="00AB4630" w:rsidRPr="00CA7D24">
        <w:rPr>
          <w:rStyle w:val="eop"/>
          <w:rFonts w:cstheme="minorHAnsi"/>
        </w:rPr>
        <w:t xml:space="preserve"> freight</w:t>
      </w:r>
      <w:r w:rsidR="00E0281E" w:rsidRPr="00CA7D24">
        <w:rPr>
          <w:rStyle w:val="eop"/>
          <w:rFonts w:cstheme="minorHAnsi"/>
        </w:rPr>
        <w:t xml:space="preserve"> movements</w:t>
      </w:r>
      <w:r w:rsidR="00890595">
        <w:rPr>
          <w:rStyle w:val="eop"/>
          <w:rFonts w:cstheme="minorHAnsi"/>
        </w:rPr>
        <w:t>. T</w:t>
      </w:r>
      <w:r w:rsidR="001F03EC" w:rsidRPr="00CA7D24">
        <w:rPr>
          <w:rStyle w:val="eop"/>
          <w:rFonts w:cstheme="minorHAnsi"/>
        </w:rPr>
        <w:t>he use of hydrogen and electri</w:t>
      </w:r>
      <w:r w:rsidR="003B64E0" w:rsidRPr="00CA7D24">
        <w:rPr>
          <w:rStyle w:val="eop"/>
          <w:rFonts w:cstheme="minorHAnsi"/>
        </w:rPr>
        <w:t>city as energy vectors is</w:t>
      </w:r>
      <w:r w:rsidR="0072077D" w:rsidRPr="00CA7D24">
        <w:rPr>
          <w:rStyle w:val="eop"/>
          <w:rFonts w:cstheme="minorHAnsi"/>
        </w:rPr>
        <w:t xml:space="preserve"> expected</w:t>
      </w:r>
      <w:r w:rsidR="00880F10" w:rsidRPr="00CA7D24">
        <w:rPr>
          <w:rStyle w:val="eop"/>
          <w:rFonts w:cstheme="minorHAnsi"/>
        </w:rPr>
        <w:t xml:space="preserve"> to significantly </w:t>
      </w:r>
      <w:r w:rsidR="00EE2478" w:rsidRPr="00CA7D24">
        <w:rPr>
          <w:rStyle w:val="eop"/>
          <w:rFonts w:cstheme="minorHAnsi"/>
        </w:rPr>
        <w:t>impact emission</w:t>
      </w:r>
      <w:r w:rsidR="003B64E0" w:rsidRPr="00CA7D24">
        <w:rPr>
          <w:rStyle w:val="eop"/>
          <w:rFonts w:cstheme="minorHAnsi"/>
        </w:rPr>
        <w:t>s</w:t>
      </w:r>
      <w:r w:rsidR="002E3EC6" w:rsidRPr="00CA7D24">
        <w:rPr>
          <w:rStyle w:val="eop"/>
          <w:rFonts w:cstheme="minorHAnsi"/>
        </w:rPr>
        <w:t xml:space="preserve"> reduction</w:t>
      </w:r>
      <w:r w:rsidR="00E41DB8">
        <w:rPr>
          <w:rStyle w:val="eop"/>
          <w:rFonts w:cstheme="minorHAnsi"/>
        </w:rPr>
        <w:t xml:space="preserve"> </w:t>
      </w:r>
      <w:r w:rsidR="003B64E0" w:rsidRPr="00CA7D24">
        <w:rPr>
          <w:rStyle w:val="eop"/>
          <w:rFonts w:cstheme="minorHAnsi"/>
        </w:rPr>
        <w:t>during</w:t>
      </w:r>
      <w:r w:rsidR="00E41DB8">
        <w:rPr>
          <w:rStyle w:val="eop"/>
          <w:rFonts w:cstheme="minorHAnsi"/>
        </w:rPr>
        <w:t xml:space="preserve"> </w:t>
      </w:r>
      <w:r w:rsidR="002D68FB" w:rsidRPr="00CA7D24">
        <w:rPr>
          <w:rStyle w:val="eop"/>
          <w:rFonts w:cstheme="minorHAnsi"/>
        </w:rPr>
        <w:t>longer distance movements</w:t>
      </w:r>
      <w:r w:rsidR="00AB4630" w:rsidRPr="00CA7D24">
        <w:rPr>
          <w:rStyle w:val="eop"/>
          <w:rFonts w:cstheme="minorHAnsi"/>
        </w:rPr>
        <w:t xml:space="preserve"> (Greening et al., 2019).</w:t>
      </w:r>
      <w:r w:rsidR="00B07ECB" w:rsidRPr="00CA7D24">
        <w:rPr>
          <w:rStyle w:val="eop"/>
          <w:rFonts w:cstheme="minorHAnsi"/>
        </w:rPr>
        <w:t xml:space="preserve"> However, </w:t>
      </w:r>
      <w:r w:rsidR="00E50002" w:rsidRPr="00CA7D24">
        <w:rPr>
          <w:rStyle w:val="eop"/>
          <w:rFonts w:cstheme="minorHAnsi"/>
        </w:rPr>
        <w:t>there is deep uncertainty towards</w:t>
      </w:r>
      <w:r w:rsidR="00E41DB8">
        <w:rPr>
          <w:rStyle w:val="eop"/>
          <w:rFonts w:cstheme="minorHAnsi"/>
        </w:rPr>
        <w:t xml:space="preserve"> </w:t>
      </w:r>
      <w:r w:rsidR="00214F64" w:rsidRPr="00CA7D24">
        <w:rPr>
          <w:rStyle w:val="eop"/>
          <w:rFonts w:cstheme="minorHAnsi"/>
        </w:rPr>
        <w:t xml:space="preserve">future </w:t>
      </w:r>
      <w:r w:rsidR="00AB739B" w:rsidRPr="00CA7D24">
        <w:rPr>
          <w:rStyle w:val="eop"/>
          <w:rFonts w:cstheme="minorHAnsi"/>
        </w:rPr>
        <w:t xml:space="preserve">operations (e.g., readiness of technology, infrastructure requirements) and </w:t>
      </w:r>
      <w:r w:rsidR="00796A0B" w:rsidRPr="00CA7D24">
        <w:rPr>
          <w:rStyle w:val="eop"/>
          <w:rFonts w:cstheme="minorHAnsi"/>
        </w:rPr>
        <w:t>costs (e.g., production</w:t>
      </w:r>
      <w:r w:rsidR="00FF237E" w:rsidRPr="00CA7D24">
        <w:rPr>
          <w:rStyle w:val="eop"/>
          <w:rFonts w:cstheme="minorHAnsi"/>
        </w:rPr>
        <w:t xml:space="preserve"> of fuels and vehicles</w:t>
      </w:r>
      <w:r w:rsidR="00796A0B" w:rsidRPr="00CA7D24">
        <w:rPr>
          <w:rStyle w:val="eop"/>
          <w:rFonts w:cstheme="minorHAnsi"/>
        </w:rPr>
        <w:t xml:space="preserve">, </w:t>
      </w:r>
      <w:r w:rsidR="00B973D1" w:rsidRPr="00CA7D24">
        <w:rPr>
          <w:rStyle w:val="eop"/>
          <w:rFonts w:cstheme="minorHAnsi"/>
        </w:rPr>
        <w:t>operational</w:t>
      </w:r>
      <w:r w:rsidR="00E41DB8">
        <w:rPr>
          <w:rStyle w:val="eop"/>
          <w:rFonts w:cstheme="minorHAnsi"/>
        </w:rPr>
        <w:t xml:space="preserve"> </w:t>
      </w:r>
      <w:r w:rsidR="00B973D1" w:rsidRPr="00CA7D24">
        <w:rPr>
          <w:rStyle w:val="eop"/>
          <w:rFonts w:cstheme="minorHAnsi"/>
        </w:rPr>
        <w:t xml:space="preserve">and </w:t>
      </w:r>
      <w:r w:rsidR="00B542E9" w:rsidRPr="00CA7D24">
        <w:rPr>
          <w:rStyle w:val="eop"/>
          <w:rFonts w:cstheme="minorHAnsi"/>
        </w:rPr>
        <w:t>maintenance).</w:t>
      </w:r>
      <w:r w:rsidR="00242992">
        <w:rPr>
          <w:rStyle w:val="eop"/>
          <w:rFonts w:cstheme="minorHAnsi"/>
          <w:lang w:val="mt-MT"/>
        </w:rPr>
        <w:t xml:space="preserve"> </w:t>
      </w:r>
      <w:r w:rsidR="0009647A" w:rsidRPr="00CA7D24">
        <w:rPr>
          <w:rStyle w:val="eop"/>
          <w:rFonts w:cstheme="minorHAnsi"/>
        </w:rPr>
        <w:t xml:space="preserve">In particular, </w:t>
      </w:r>
      <w:r w:rsidR="002F1162" w:rsidRPr="00CA7D24">
        <w:rPr>
          <w:rStyle w:val="eop"/>
          <w:rFonts w:cstheme="minorHAnsi"/>
        </w:rPr>
        <w:t>t</w:t>
      </w:r>
      <w:r w:rsidR="00AB4630" w:rsidRPr="00CA7D24">
        <w:t xml:space="preserve">he </w:t>
      </w:r>
      <w:r w:rsidR="004661BC" w:rsidRPr="00CA7D24">
        <w:t xml:space="preserve">future usage of hydrogen will depend on the </w:t>
      </w:r>
      <w:r w:rsidR="00AB4630" w:rsidRPr="00CA7D24">
        <w:t xml:space="preserve">cost and feasibility of </w:t>
      </w:r>
      <w:r w:rsidR="004661BC" w:rsidRPr="00CA7D24">
        <w:t>its</w:t>
      </w:r>
      <w:r w:rsidR="00E41DB8">
        <w:t xml:space="preserve"> </w:t>
      </w:r>
      <w:r w:rsidR="002F1162" w:rsidRPr="00CA7D24">
        <w:t xml:space="preserve">production </w:t>
      </w:r>
      <w:r w:rsidR="00AB4630" w:rsidRPr="00CA7D24">
        <w:t>technolog</w:t>
      </w:r>
      <w:r w:rsidR="004661BC" w:rsidRPr="00CA7D24">
        <w:t>y</w:t>
      </w:r>
      <w:r w:rsidR="00496C10" w:rsidRPr="00CA7D24">
        <w:t xml:space="preserve">. In fact, </w:t>
      </w:r>
      <w:r w:rsidR="00AB4630" w:rsidRPr="00CA7D24">
        <w:t xml:space="preserve">generation, storage, and movement of hydrogen reduce its efficiency in comparison to electricity </w:t>
      </w:r>
      <w:r w:rsidR="00B214B0" w:rsidRPr="00CA7D24">
        <w:t>and therefore</w:t>
      </w:r>
      <w:r w:rsidR="003B64E0" w:rsidRPr="00CA7D24">
        <w:t xml:space="preserve"> might</w:t>
      </w:r>
      <w:r w:rsidR="00E41DB8">
        <w:t xml:space="preserve"> </w:t>
      </w:r>
      <w:r w:rsidR="003B64E0" w:rsidRPr="00CA7D24">
        <w:t>suggest it would be relatively un</w:t>
      </w:r>
      <w:r w:rsidR="00075243" w:rsidRPr="00CA7D24">
        <w:t>competitive</w:t>
      </w:r>
      <w:r w:rsidR="00242992">
        <w:rPr>
          <w:lang w:val="mt-MT"/>
        </w:rPr>
        <w:t xml:space="preserve"> </w:t>
      </w:r>
      <w:r w:rsidR="00AB4630" w:rsidRPr="00CA7D24">
        <w:t xml:space="preserve">(Greening et al., 2019). </w:t>
      </w:r>
      <w:r w:rsidR="003B64E0" w:rsidRPr="00CA7D24">
        <w:t xml:space="preserve">However, hydrogen remains within the policy-technology frame due the other main option, electricity, also having significant problems of commercial application. </w:t>
      </w:r>
    </w:p>
    <w:p w14:paraId="4B02BB69" w14:textId="22FBE79A" w:rsidR="003F5B16" w:rsidRPr="00CA7D24" w:rsidRDefault="00391D8D" w:rsidP="00CA7D24">
      <w:r w:rsidRPr="00CA7D24">
        <w:t xml:space="preserve">Electrification of all modes of freight </w:t>
      </w:r>
      <w:r w:rsidR="00A371AE" w:rsidRPr="00CA7D24">
        <w:t xml:space="preserve">is seen as a </w:t>
      </w:r>
      <w:r w:rsidR="00915C74" w:rsidRPr="00CA7D24">
        <w:t xml:space="preserve">potential option </w:t>
      </w:r>
      <w:r w:rsidR="00751DB9" w:rsidRPr="00CA7D24">
        <w:t>in the long term</w:t>
      </w:r>
      <w:r w:rsidR="00625A80" w:rsidRPr="00CA7D24">
        <w:t xml:space="preserve"> (Parkhurst, 2021)</w:t>
      </w:r>
      <w:r w:rsidR="00B56D88">
        <w:t>. H</w:t>
      </w:r>
      <w:r w:rsidR="00751DB9" w:rsidRPr="00CA7D24">
        <w:t>owever</w:t>
      </w:r>
      <w:r w:rsidR="00B56D88">
        <w:t>,</w:t>
      </w:r>
      <w:r w:rsidR="00E41DB8">
        <w:t xml:space="preserve"> </w:t>
      </w:r>
      <w:r w:rsidR="00625A80" w:rsidRPr="00CA7D24">
        <w:t xml:space="preserve">numerous </w:t>
      </w:r>
      <w:r w:rsidR="00B64C18" w:rsidRPr="00CA7D24">
        <w:t xml:space="preserve">challenges </w:t>
      </w:r>
      <w:r w:rsidR="00625A80" w:rsidRPr="00CA7D24">
        <w:t xml:space="preserve">to commercial application exist </w:t>
      </w:r>
      <w:r w:rsidR="00B64C18" w:rsidRPr="00CA7D24">
        <w:t xml:space="preserve">related to feasibility, especially in terms of supply (e.g., </w:t>
      </w:r>
      <w:r w:rsidR="009E31FB" w:rsidRPr="00CA7D24">
        <w:t>availability of electricity to power the whole fleet)</w:t>
      </w:r>
      <w:r w:rsidR="00526F38" w:rsidRPr="00CA7D24">
        <w:t xml:space="preserve">, </w:t>
      </w:r>
      <w:r w:rsidR="00B81418" w:rsidRPr="00CA7D24">
        <w:t xml:space="preserve">network design (e.g., </w:t>
      </w:r>
      <w:r w:rsidR="008850E9" w:rsidRPr="00CA7D24">
        <w:t>recharging stations)</w:t>
      </w:r>
      <w:r w:rsidR="00242542" w:rsidRPr="00CA7D24">
        <w:t>,</w:t>
      </w:r>
      <w:r w:rsidR="00242992">
        <w:rPr>
          <w:lang w:val="mt-MT"/>
        </w:rPr>
        <w:t xml:space="preserve"> </w:t>
      </w:r>
      <w:r w:rsidR="00526F38" w:rsidRPr="00CA7D24">
        <w:t>technological development</w:t>
      </w:r>
      <w:r w:rsidR="00242992">
        <w:rPr>
          <w:lang w:val="mt-MT"/>
        </w:rPr>
        <w:t xml:space="preserve"> </w:t>
      </w:r>
      <w:r w:rsidR="00242542" w:rsidRPr="00CA7D24">
        <w:t xml:space="preserve">(especially for heavier </w:t>
      </w:r>
      <w:r w:rsidR="00625A80" w:rsidRPr="00CA7D24">
        <w:t>road</w:t>
      </w:r>
      <w:r w:rsidR="00E41DB8">
        <w:t xml:space="preserve"> </w:t>
      </w:r>
      <w:r w:rsidR="00242542" w:rsidRPr="00CA7D24">
        <w:t>freight vehicles</w:t>
      </w:r>
      <w:r w:rsidR="00634716" w:rsidRPr="00CA7D24">
        <w:t xml:space="preserve">, </w:t>
      </w:r>
      <w:r w:rsidR="00625A80" w:rsidRPr="00CA7D24">
        <w:t>ships</w:t>
      </w:r>
      <w:r w:rsidR="00634716" w:rsidRPr="00CA7D24">
        <w:t>, and aircraft</w:t>
      </w:r>
      <w:r w:rsidR="00242542" w:rsidRPr="00CA7D24">
        <w:t xml:space="preserve">) </w:t>
      </w:r>
      <w:r w:rsidR="00AE243C" w:rsidRPr="00CA7D24">
        <w:t xml:space="preserve">and </w:t>
      </w:r>
      <w:r w:rsidR="00573BE6" w:rsidRPr="00CA7D24">
        <w:t>overall costs.</w:t>
      </w:r>
      <w:r w:rsidR="00E41DB8">
        <w:t xml:space="preserve"> </w:t>
      </w:r>
      <w:r w:rsidR="00374685" w:rsidRPr="00CA7D24">
        <w:t xml:space="preserve">The </w:t>
      </w:r>
      <w:r w:rsidR="00625A80" w:rsidRPr="00CA7D24">
        <w:t xml:space="preserve">potential demands on </w:t>
      </w:r>
      <w:r w:rsidR="00374685" w:rsidRPr="00CA7D24">
        <w:t xml:space="preserve">battery technology </w:t>
      </w:r>
      <w:r w:rsidR="00625A80" w:rsidRPr="00CA7D24">
        <w:t xml:space="preserve">imply large </w:t>
      </w:r>
      <w:r w:rsidR="00374685" w:rsidRPr="00CA7D24">
        <w:t xml:space="preserve">size and </w:t>
      </w:r>
      <w:r w:rsidR="00625A80" w:rsidRPr="00CA7D24">
        <w:t xml:space="preserve">weight, and so </w:t>
      </w:r>
      <w:r w:rsidR="00D829C0" w:rsidRPr="00CA7D24">
        <w:t xml:space="preserve">are expected to </w:t>
      </w:r>
      <w:r w:rsidR="00374685" w:rsidRPr="00CA7D24">
        <w:t>significantly reduce the vehicle</w:t>
      </w:r>
      <w:r w:rsidR="00625A80" w:rsidRPr="00CA7D24">
        <w:t>’s carrying</w:t>
      </w:r>
      <w:r w:rsidR="00374685" w:rsidRPr="00CA7D24">
        <w:t xml:space="preserve"> capacity</w:t>
      </w:r>
      <w:r w:rsidR="00B56D88">
        <w:t>. Reduced capacity relative to other power</w:t>
      </w:r>
      <w:r w:rsidR="00E41DB8">
        <w:t xml:space="preserve"> </w:t>
      </w:r>
      <w:r w:rsidR="00B56D88">
        <w:t xml:space="preserve">trains </w:t>
      </w:r>
      <w:r w:rsidR="00F95591">
        <w:t>threatens</w:t>
      </w:r>
      <w:r w:rsidR="00374685" w:rsidRPr="00CA7D24">
        <w:t xml:space="preserve"> the </w:t>
      </w:r>
      <w:r w:rsidR="0059749D" w:rsidRPr="00CA7D24">
        <w:t xml:space="preserve">financial viability of </w:t>
      </w:r>
      <w:r w:rsidR="00625A80" w:rsidRPr="00CA7D24">
        <w:t>battery-electric business models</w:t>
      </w:r>
      <w:r w:rsidR="00D829C0" w:rsidRPr="00CA7D24">
        <w:t xml:space="preserve">, even if hitherto </w:t>
      </w:r>
      <w:r w:rsidR="00955D0F" w:rsidRPr="00CA7D24">
        <w:t xml:space="preserve">there is a lack of real-world validation of anticipated efficiencies and weight/payload availabilities </w:t>
      </w:r>
      <w:r w:rsidR="00E77E1E" w:rsidRPr="00CA7D24">
        <w:t>(</w:t>
      </w:r>
      <w:r w:rsidR="00DB59B9" w:rsidRPr="00CA7D24">
        <w:t>Haugen, 2021</w:t>
      </w:r>
      <w:r w:rsidR="00E77E1E" w:rsidRPr="00CA7D24">
        <w:t xml:space="preserve">). </w:t>
      </w:r>
      <w:r w:rsidR="00625A80" w:rsidRPr="00CA7D24">
        <w:t>Some concepts identify business models involving radical technology transfer</w:t>
      </w:r>
      <w:r w:rsidR="00D829C0" w:rsidRPr="00CA7D24">
        <w:t>, including hence high infrastructure costs and integration challenges; f</w:t>
      </w:r>
      <w:r w:rsidR="00625A80" w:rsidRPr="00CA7D24">
        <w:t xml:space="preserve">or example, using pantographs common in the rail sector to create ‘electric highways’ with overhead </w:t>
      </w:r>
      <w:r w:rsidR="00D829C0" w:rsidRPr="00CA7D24">
        <w:t>power supply by contact with powered wires</w:t>
      </w:r>
      <w:r w:rsidR="00625A80" w:rsidRPr="00CA7D24">
        <w:t xml:space="preserve">. </w:t>
      </w:r>
      <w:r w:rsidR="00F95591">
        <w:t>H</w:t>
      </w:r>
      <w:r w:rsidR="00625A80" w:rsidRPr="00CA7D24">
        <w:t xml:space="preserve">eavy good vehicles </w:t>
      </w:r>
      <w:r w:rsidR="00D829C0" w:rsidRPr="00CA7D24">
        <w:t xml:space="preserve">(HGVs) </w:t>
      </w:r>
      <w:r w:rsidR="00955D0F" w:rsidRPr="00CA7D24">
        <w:t xml:space="preserve">using </w:t>
      </w:r>
      <w:r w:rsidR="00625A80" w:rsidRPr="00CA7D24">
        <w:t xml:space="preserve">such a system can be </w:t>
      </w:r>
      <w:r w:rsidR="00A3709F" w:rsidRPr="00CA7D24">
        <w:t xml:space="preserve">lighter </w:t>
      </w:r>
      <w:r w:rsidR="00955D0F" w:rsidRPr="00CA7D24">
        <w:t>due to the use of a smaller battery</w:t>
      </w:r>
      <w:r w:rsidR="00C51335" w:rsidRPr="00CA7D24">
        <w:t xml:space="preserve">, </w:t>
      </w:r>
      <w:r w:rsidR="00F95591">
        <w:t xml:space="preserve">and consequently can carry a </w:t>
      </w:r>
      <w:r w:rsidR="00C51335" w:rsidRPr="00CA7D24">
        <w:t>g</w:t>
      </w:r>
      <w:r w:rsidR="00D93D34" w:rsidRPr="00CA7D24">
        <w:t>reater payload</w:t>
      </w:r>
      <w:r w:rsidR="00625A80" w:rsidRPr="00CA7D24">
        <w:t>,</w:t>
      </w:r>
      <w:r w:rsidR="00D93D34" w:rsidRPr="00CA7D24">
        <w:t xml:space="preserve"> and </w:t>
      </w:r>
      <w:r w:rsidR="00C51335" w:rsidRPr="00CA7D24">
        <w:t>can therefore perform better</w:t>
      </w:r>
      <w:r w:rsidR="004F1E05" w:rsidRPr="00CA7D24">
        <w:t xml:space="preserve"> in terms of </w:t>
      </w:r>
      <w:r w:rsidR="00D93D34" w:rsidRPr="00CA7D24">
        <w:t>value for money</w:t>
      </w:r>
      <w:r w:rsidR="00242992">
        <w:rPr>
          <w:lang w:val="mt-MT"/>
        </w:rPr>
        <w:t xml:space="preserve"> </w:t>
      </w:r>
      <w:r w:rsidR="00F95591">
        <w:t>(</w:t>
      </w:r>
      <w:r w:rsidR="00F95591" w:rsidRPr="00CA7D24">
        <w:t>Siemens</w:t>
      </w:r>
      <w:r w:rsidR="00F95591">
        <w:t>,</w:t>
      </w:r>
      <w:r w:rsidR="00F95591" w:rsidRPr="00CA7D24">
        <w:t xml:space="preserve"> 2017)</w:t>
      </w:r>
      <w:r w:rsidR="00955D0F" w:rsidRPr="00CA7D24">
        <w:t xml:space="preserve">. </w:t>
      </w:r>
      <w:r w:rsidR="00DB59B9" w:rsidRPr="00CA7D24">
        <w:t xml:space="preserve">In addition, even though </w:t>
      </w:r>
      <w:r w:rsidR="00982196" w:rsidRPr="00CA7D24">
        <w:t xml:space="preserve">electric batteries would not be an option for </w:t>
      </w:r>
      <w:r w:rsidR="00625A80" w:rsidRPr="00CA7D24">
        <w:t xml:space="preserve">most </w:t>
      </w:r>
      <w:r w:rsidR="00982196" w:rsidRPr="00CA7D24">
        <w:t>shipping</w:t>
      </w:r>
      <w:r w:rsidR="00625A80" w:rsidRPr="00CA7D24">
        <w:t xml:space="preserve"> business models</w:t>
      </w:r>
      <w:r w:rsidR="00982196" w:rsidRPr="00CA7D24">
        <w:t>,</w:t>
      </w:r>
      <w:r w:rsidR="00B23075" w:rsidRPr="00CA7D24">
        <w:t xml:space="preserve"> Smith </w:t>
      </w:r>
      <w:r w:rsidR="00242992">
        <w:rPr>
          <w:lang w:val="mt-MT"/>
        </w:rPr>
        <w:t>e</w:t>
      </w:r>
      <w:r w:rsidR="00B23075" w:rsidRPr="00CA7D24">
        <w:t xml:space="preserve">t al. (2019) suggest that </w:t>
      </w:r>
      <w:r w:rsidR="00625A80" w:rsidRPr="00CA7D24">
        <w:t xml:space="preserve">there </w:t>
      </w:r>
      <w:r w:rsidR="00D829C0" w:rsidRPr="00CA7D24">
        <w:t xml:space="preserve">are </w:t>
      </w:r>
      <w:r w:rsidR="00625A80" w:rsidRPr="00CA7D24">
        <w:t xml:space="preserve">niches in which batteries </w:t>
      </w:r>
      <w:r w:rsidR="00692EC4" w:rsidRPr="00CA7D24">
        <w:t xml:space="preserve">can be used to power </w:t>
      </w:r>
      <w:r w:rsidR="00AB4630" w:rsidRPr="00CA7D24">
        <w:t xml:space="preserve">ships that </w:t>
      </w:r>
      <w:r w:rsidR="00625A80" w:rsidRPr="00CA7D24">
        <w:t xml:space="preserve">travel </w:t>
      </w:r>
      <w:r w:rsidR="00AB4630" w:rsidRPr="00CA7D24">
        <w:t>short</w:t>
      </w:r>
      <w:r w:rsidR="00625A80" w:rsidRPr="00CA7D24">
        <w:t xml:space="preserve"> distances</w:t>
      </w:r>
      <w:r w:rsidR="00F95591">
        <w:t>,</w:t>
      </w:r>
      <w:r w:rsidR="00E41DB8">
        <w:t xml:space="preserve"> </w:t>
      </w:r>
      <w:r w:rsidR="00AB4630" w:rsidRPr="00CA7D24">
        <w:t xml:space="preserve">navigating </w:t>
      </w:r>
      <w:r w:rsidR="00625A80" w:rsidRPr="00CA7D24">
        <w:t xml:space="preserve">within and </w:t>
      </w:r>
      <w:r w:rsidR="00AB4630" w:rsidRPr="00CA7D24">
        <w:t xml:space="preserve">between ports, </w:t>
      </w:r>
      <w:r w:rsidR="00625A80" w:rsidRPr="00CA7D24">
        <w:t xml:space="preserve">so able to </w:t>
      </w:r>
      <w:r w:rsidR="00AB4630" w:rsidRPr="00CA7D24">
        <w:t>refuel</w:t>
      </w:r>
      <w:r w:rsidR="00625A80" w:rsidRPr="00CA7D24">
        <w:t xml:space="preserve"> regularly</w:t>
      </w:r>
      <w:r w:rsidR="00AB4630" w:rsidRPr="00CA7D24">
        <w:t xml:space="preserve">. </w:t>
      </w:r>
    </w:p>
    <w:p w14:paraId="42DC813D" w14:textId="77777777" w:rsidR="00DB59B9" w:rsidRPr="00CA7D24" w:rsidRDefault="00354BC3" w:rsidP="00CA7D24">
      <w:pPr>
        <w:rPr>
          <w:rFonts w:ascii="Arial" w:hAnsi="Arial" w:cs="Arial"/>
          <w:color w:val="222222"/>
          <w:shd w:val="clear" w:color="auto" w:fill="FFFFFF"/>
        </w:rPr>
      </w:pPr>
      <w:r w:rsidRPr="00CA7D24">
        <w:t xml:space="preserve">In addition to cleaner future technologies, there might be the opportunity to use automation </w:t>
      </w:r>
      <w:r w:rsidR="00EE2D6D" w:rsidRPr="00CA7D24">
        <w:t xml:space="preserve">to increase efficiency, whilst improving </w:t>
      </w:r>
      <w:r w:rsidR="00D829C0" w:rsidRPr="00CA7D24">
        <w:t xml:space="preserve">the </w:t>
      </w:r>
      <w:r w:rsidR="00EE2D6D" w:rsidRPr="00CA7D24">
        <w:t>sustainability of freight</w:t>
      </w:r>
      <w:r w:rsidR="00E41DB8">
        <w:t xml:space="preserve"> </w:t>
      </w:r>
      <w:r w:rsidR="00591745" w:rsidRPr="00CA7D24">
        <w:t xml:space="preserve">movements </w:t>
      </w:r>
      <w:r w:rsidR="00AB4630" w:rsidRPr="00CA7D24">
        <w:t xml:space="preserve">(Paddeu </w:t>
      </w:r>
      <w:r w:rsidR="00D34190" w:rsidRPr="00CA7D24">
        <w:t>and Parkhurst, 2020</w:t>
      </w:r>
      <w:r w:rsidR="00AB4630" w:rsidRPr="00CA7D24">
        <w:t xml:space="preserve">). </w:t>
      </w:r>
      <w:r w:rsidR="00906A8A" w:rsidRPr="00CA7D24">
        <w:t xml:space="preserve">These can include autonomous </w:t>
      </w:r>
      <w:r w:rsidR="00914E6F" w:rsidRPr="00CA7D24">
        <w:t xml:space="preserve">vessels, aircraft and </w:t>
      </w:r>
      <w:r w:rsidR="00EC2CFA" w:rsidRPr="00CA7D24">
        <w:t>HGVs</w:t>
      </w:r>
      <w:r w:rsidR="009E5781" w:rsidRPr="00CA7D24">
        <w:t xml:space="preserve"> on the long haul, and autonomous </w:t>
      </w:r>
      <w:r w:rsidR="00906A8A" w:rsidRPr="00CA7D24">
        <w:t>delivery vehicles</w:t>
      </w:r>
      <w:r w:rsidR="009E5781" w:rsidRPr="00CA7D24">
        <w:t xml:space="preserve">, including </w:t>
      </w:r>
      <w:r w:rsidR="005302D7" w:rsidRPr="00CA7D24">
        <w:t xml:space="preserve">autonomous ground </w:t>
      </w:r>
      <w:r w:rsidR="008711A3" w:rsidRPr="00CA7D24">
        <w:t xml:space="preserve">pods and robots, and </w:t>
      </w:r>
      <w:r w:rsidR="00C544D1" w:rsidRPr="00CA7D24">
        <w:t>Unmanned A</w:t>
      </w:r>
      <w:r w:rsidR="00D829C0" w:rsidRPr="00CA7D24">
        <w:t>erial</w:t>
      </w:r>
      <w:r w:rsidR="00C544D1" w:rsidRPr="00CA7D24">
        <w:t xml:space="preserve"> Vehicles (e.g., </w:t>
      </w:r>
      <w:r w:rsidR="008711A3" w:rsidRPr="00CA7D24">
        <w:t>drones</w:t>
      </w:r>
      <w:r w:rsidR="00C544D1" w:rsidRPr="00CA7D24">
        <w:t>)</w:t>
      </w:r>
      <w:r w:rsidR="00B86B49" w:rsidRPr="00CA7D24">
        <w:t xml:space="preserve"> (</w:t>
      </w:r>
      <w:r w:rsidR="00D34190" w:rsidRPr="00CA7D24">
        <w:t>Paddeu et al</w:t>
      </w:r>
      <w:r w:rsidR="00242992">
        <w:rPr>
          <w:lang w:val="mt-MT"/>
        </w:rPr>
        <w:t>.</w:t>
      </w:r>
      <w:r w:rsidR="00D34190" w:rsidRPr="00CA7D24">
        <w:t>, 2019</w:t>
      </w:r>
      <w:r w:rsidR="00B86B49" w:rsidRPr="00CA7D24">
        <w:t>)</w:t>
      </w:r>
      <w:r w:rsidR="008711A3" w:rsidRPr="00CA7D24">
        <w:t>.</w:t>
      </w:r>
      <w:r w:rsidR="00985471" w:rsidRPr="00CA7D24">
        <w:t xml:space="preserve"> In particular, </w:t>
      </w:r>
      <w:r w:rsidR="00922330" w:rsidRPr="00CA7D24">
        <w:t>PATH (2017) and MTG (2019) estimated that there would be a potential for</w:t>
      </w:r>
      <w:r w:rsidR="00E41DB8">
        <w:t xml:space="preserve"> </w:t>
      </w:r>
      <w:r w:rsidR="00922330" w:rsidRPr="00CA7D24">
        <w:t xml:space="preserve">up to </w:t>
      </w:r>
      <w:r w:rsidR="00D829C0" w:rsidRPr="00CA7D24">
        <w:t>€</w:t>
      </w:r>
      <w:r w:rsidR="00922330" w:rsidRPr="00CA7D24">
        <w:t xml:space="preserve">6 billion a year in fuel cost savings </w:t>
      </w:r>
      <w:r w:rsidR="00D829C0" w:rsidRPr="00CA7D24">
        <w:t xml:space="preserve">within </w:t>
      </w:r>
      <w:r w:rsidR="00922330" w:rsidRPr="00CA7D24">
        <w:t>Europe</w:t>
      </w:r>
      <w:r w:rsidR="000D3BA7" w:rsidRPr="00CA7D24">
        <w:t xml:space="preserve">. However, there is deep uncertainty </w:t>
      </w:r>
      <w:r w:rsidR="00D829C0" w:rsidRPr="00CA7D24">
        <w:t>about</w:t>
      </w:r>
      <w:r w:rsidR="009133C4" w:rsidRPr="00CA7D24">
        <w:t xml:space="preserve"> the actual rate of fuel savings, as the technology is still under development (</w:t>
      </w:r>
      <w:proofErr w:type="spellStart"/>
      <w:r w:rsidR="008A24FC" w:rsidRPr="00CA7D24">
        <w:t>Tavasszy</w:t>
      </w:r>
      <w:proofErr w:type="spellEnd"/>
      <w:r w:rsidR="008A24FC" w:rsidRPr="00CA7D24">
        <w:t>, 2016)</w:t>
      </w:r>
      <w:r w:rsidR="005B6B77" w:rsidRPr="00CA7D24">
        <w:t xml:space="preserve">, </w:t>
      </w:r>
      <w:r w:rsidR="00AB4630" w:rsidRPr="00CA7D24">
        <w:t xml:space="preserve">and </w:t>
      </w:r>
      <w:r w:rsidR="005B6B77" w:rsidRPr="00CA7D24">
        <w:t xml:space="preserve">will </w:t>
      </w:r>
      <w:r w:rsidR="00D829C0" w:rsidRPr="00CA7D24">
        <w:t>significantly</w:t>
      </w:r>
      <w:r w:rsidR="00E41DB8">
        <w:t xml:space="preserve"> </w:t>
      </w:r>
      <w:r w:rsidR="00901BB2" w:rsidRPr="00CA7D24">
        <w:t>depend on</w:t>
      </w:r>
      <w:r w:rsidR="00886825" w:rsidRPr="00CA7D24">
        <w:t xml:space="preserve"> the </w:t>
      </w:r>
      <w:r w:rsidR="007564F4" w:rsidRPr="00CA7D24">
        <w:t xml:space="preserve">design of the road infrastructure and traffic conditions </w:t>
      </w:r>
      <w:r w:rsidR="00AB4630" w:rsidRPr="00CA7D24">
        <w:t>(</w:t>
      </w:r>
      <w:proofErr w:type="spellStart"/>
      <w:r w:rsidR="00AB4630" w:rsidRPr="00CA7D24">
        <w:t>Bakermans</w:t>
      </w:r>
      <w:proofErr w:type="spellEnd"/>
      <w:r w:rsidR="00AB4630" w:rsidRPr="00CA7D24">
        <w:t>, 2016</w:t>
      </w:r>
      <w:r w:rsidR="007564F4" w:rsidRPr="00CA7D24">
        <w:t xml:space="preserve">; Paddeu and </w:t>
      </w:r>
      <w:proofErr w:type="spellStart"/>
      <w:r w:rsidR="00846C67" w:rsidRPr="00CA7D24">
        <w:t>Denby</w:t>
      </w:r>
      <w:proofErr w:type="spellEnd"/>
      <w:r w:rsidR="00846C67" w:rsidRPr="00CA7D24">
        <w:t>, 2021</w:t>
      </w:r>
      <w:r w:rsidR="00AB4630" w:rsidRPr="00CA7D24">
        <w:t>)</w:t>
      </w:r>
      <w:r w:rsidR="003E61CE" w:rsidRPr="00CA7D24">
        <w:t xml:space="preserve">. </w:t>
      </w:r>
      <w:r w:rsidR="00923851" w:rsidRPr="00CA7D24">
        <w:t xml:space="preserve">Also, </w:t>
      </w:r>
      <w:r w:rsidR="00AB4630" w:rsidRPr="00CA7D24">
        <w:t xml:space="preserve">the </w:t>
      </w:r>
      <w:r w:rsidR="00923851" w:rsidRPr="00CA7D24">
        <w:t xml:space="preserve">investment </w:t>
      </w:r>
      <w:r w:rsidR="00AB4630" w:rsidRPr="00CA7D24">
        <w:t xml:space="preserve">cost of </w:t>
      </w:r>
      <w:r w:rsidR="00A67C1F">
        <w:t xml:space="preserve">substituting </w:t>
      </w:r>
      <w:r w:rsidR="00F51FA9">
        <w:t>old</w:t>
      </w:r>
      <w:r w:rsidR="00F51FA9" w:rsidRPr="00CA7D24">
        <w:t xml:space="preserve"> </w:t>
      </w:r>
      <w:r w:rsidR="00A67C1F">
        <w:t xml:space="preserve">for </w:t>
      </w:r>
      <w:r w:rsidR="00F51FA9">
        <w:t xml:space="preserve">new </w:t>
      </w:r>
      <w:r w:rsidR="00AB4630" w:rsidRPr="00CA7D24">
        <w:t>technolog</w:t>
      </w:r>
      <w:r w:rsidR="00A67C1F">
        <w:t>ies</w:t>
      </w:r>
      <w:r w:rsidR="00E41DB8">
        <w:t xml:space="preserve"> </w:t>
      </w:r>
      <w:r w:rsidR="00923851" w:rsidRPr="00CA7D24">
        <w:t>is</w:t>
      </w:r>
      <w:r w:rsidR="00AB4630" w:rsidRPr="00CA7D24">
        <w:t xml:space="preserve"> often unaffordable</w:t>
      </w:r>
      <w:r w:rsidR="002D5208" w:rsidRPr="00CA7D24">
        <w:t xml:space="preserve"> for small and medium </w:t>
      </w:r>
      <w:r w:rsidR="00D829C0" w:rsidRPr="00CA7D24">
        <w:t>enterprises</w:t>
      </w:r>
      <w:r w:rsidR="00AB4630" w:rsidRPr="00CA7D24">
        <w:t xml:space="preserve">, and </w:t>
      </w:r>
      <w:r w:rsidR="00D829C0" w:rsidRPr="00CA7D24">
        <w:t xml:space="preserve">for all businesses </w:t>
      </w:r>
      <w:r w:rsidR="00AB4630" w:rsidRPr="00CA7D24">
        <w:t xml:space="preserve">the improved efficiency rate is not </w:t>
      </w:r>
      <w:r w:rsidR="00D829C0" w:rsidRPr="00CA7D24">
        <w:t xml:space="preserve">yet sufficient </w:t>
      </w:r>
      <w:r w:rsidR="00AB4630" w:rsidRPr="00CA7D24">
        <w:t>to justify investmen</w:t>
      </w:r>
      <w:r w:rsidR="002D5208" w:rsidRPr="00CA7D24">
        <w:t>t</w:t>
      </w:r>
      <w:r w:rsidR="00AB4630" w:rsidRPr="00CA7D24">
        <w:t xml:space="preserve"> (</w:t>
      </w:r>
      <w:proofErr w:type="spellStart"/>
      <w:r w:rsidR="00AB4630" w:rsidRPr="00CA7D24">
        <w:t>Wiegmans</w:t>
      </w:r>
      <w:proofErr w:type="spellEnd"/>
      <w:r w:rsidR="00AB4630" w:rsidRPr="00CA7D24">
        <w:t xml:space="preserve"> et al</w:t>
      </w:r>
      <w:r w:rsidR="00D829C0" w:rsidRPr="00CA7D24">
        <w:t>.</w:t>
      </w:r>
      <w:r w:rsidR="00AB4630" w:rsidRPr="00CA7D24">
        <w:t>, 2007).</w:t>
      </w:r>
      <w:r w:rsidR="00242992">
        <w:rPr>
          <w:lang w:val="mt-MT"/>
        </w:rPr>
        <w:t xml:space="preserve"> </w:t>
      </w:r>
      <w:r w:rsidR="00D829C0" w:rsidRPr="00CA7D24">
        <w:t xml:space="preserve">Nonetheless, if a viable business model emerges, the lack of access to capital or lack of </w:t>
      </w:r>
      <w:r w:rsidR="00D829C0" w:rsidRPr="00CA7D24">
        <w:lastRenderedPageBreak/>
        <w:t xml:space="preserve">economy of scale may be a </w:t>
      </w:r>
      <w:r w:rsidR="002D5208" w:rsidRPr="00CA7D24">
        <w:t>cause of inequalit</w:t>
      </w:r>
      <w:r w:rsidR="00D829C0" w:rsidRPr="00CA7D24">
        <w:t>y</w:t>
      </w:r>
      <w:r w:rsidR="002D5208" w:rsidRPr="00CA7D24">
        <w:t xml:space="preserve"> in the </w:t>
      </w:r>
      <w:r w:rsidR="00043703" w:rsidRPr="00CA7D24">
        <w:t xml:space="preserve">future </w:t>
      </w:r>
      <w:r w:rsidR="002D5208" w:rsidRPr="00CA7D24">
        <w:t xml:space="preserve">freight market, with bigger companies </w:t>
      </w:r>
      <w:r w:rsidR="00043703" w:rsidRPr="00CA7D24">
        <w:t xml:space="preserve">gaining </w:t>
      </w:r>
      <w:r w:rsidR="00D829C0" w:rsidRPr="00CA7D24">
        <w:t xml:space="preserve">an </w:t>
      </w:r>
      <w:r w:rsidR="00043703" w:rsidRPr="00CA7D24">
        <w:t>advantage</w:t>
      </w:r>
      <w:r w:rsidR="00A67C1F">
        <w:t xml:space="preserve"> over</w:t>
      </w:r>
      <w:r w:rsidR="00043703" w:rsidRPr="00CA7D24">
        <w:t xml:space="preserve"> smaller operators</w:t>
      </w:r>
      <w:r w:rsidR="00B457B6" w:rsidRPr="00CA7D24">
        <w:t xml:space="preserve">. </w:t>
      </w:r>
      <w:bookmarkStart w:id="0" w:name="_Hlk105766946"/>
      <w:r w:rsidR="00B457B6" w:rsidRPr="00CA7D24">
        <w:t xml:space="preserve">In addition, the creation of new services for digitalisation and automation will encourage </w:t>
      </w:r>
      <w:r w:rsidR="00644571" w:rsidRPr="00CA7D24">
        <w:t xml:space="preserve">new players </w:t>
      </w:r>
      <w:r w:rsidR="00B457B6" w:rsidRPr="00CA7D24">
        <w:t xml:space="preserve">to </w:t>
      </w:r>
      <w:r w:rsidR="00644571" w:rsidRPr="00CA7D24">
        <w:t xml:space="preserve">enter the market </w:t>
      </w:r>
      <w:r w:rsidR="00B457B6" w:rsidRPr="00CA7D24">
        <w:t>(Paddeu et al., 2019)</w:t>
      </w:r>
      <w:r w:rsidR="00644571" w:rsidRPr="00CA7D24">
        <w:t>.</w:t>
      </w:r>
    </w:p>
    <w:bookmarkEnd w:id="0"/>
    <w:p w14:paraId="2056CFB0" w14:textId="77777777" w:rsidR="23A58F29" w:rsidRDefault="006B3D2C" w:rsidP="006B3D2C">
      <w:pPr>
        <w:pStyle w:val="Ttulo2"/>
        <w:rPr>
          <w:rFonts w:eastAsia="Calibri"/>
        </w:rPr>
      </w:pPr>
      <w:r>
        <w:rPr>
          <w:rFonts w:eastAsia="Calibri"/>
        </w:rPr>
        <w:t>P</w:t>
      </w:r>
      <w:r w:rsidR="23A58F29" w:rsidRPr="007E3D04">
        <w:rPr>
          <w:rFonts w:eastAsia="Calibri"/>
        </w:rPr>
        <w:t>assenger mobility</w:t>
      </w:r>
    </w:p>
    <w:p w14:paraId="3D6A5433" w14:textId="77777777" w:rsidR="00DC04A5" w:rsidRDefault="00727706" w:rsidP="23A58F29">
      <w:pPr>
        <w:rPr>
          <w:rFonts w:ascii="Calibri" w:eastAsia="Calibri" w:hAnsi="Calibri" w:cs="Calibri"/>
        </w:rPr>
      </w:pPr>
      <w:r>
        <w:rPr>
          <w:rFonts w:ascii="Calibri" w:eastAsia="Calibri" w:hAnsi="Calibri" w:cs="Calibri"/>
        </w:rPr>
        <w:t>P</w:t>
      </w:r>
      <w:r w:rsidR="1DD59465" w:rsidRPr="0F82EADB">
        <w:rPr>
          <w:rFonts w:ascii="Calibri" w:eastAsia="Calibri" w:hAnsi="Calibri" w:cs="Calibri"/>
        </w:rPr>
        <w:t xml:space="preserve">assenger mobility business models are </w:t>
      </w:r>
      <w:r>
        <w:rPr>
          <w:rFonts w:ascii="Calibri" w:eastAsia="Calibri" w:hAnsi="Calibri" w:cs="Calibri"/>
        </w:rPr>
        <w:t xml:space="preserve">seen to be </w:t>
      </w:r>
      <w:r w:rsidR="1DD59465" w:rsidRPr="0F82EADB">
        <w:rPr>
          <w:rFonts w:ascii="Calibri" w:eastAsia="Calibri" w:hAnsi="Calibri" w:cs="Calibri"/>
        </w:rPr>
        <w:t xml:space="preserve">at a </w:t>
      </w:r>
      <w:r>
        <w:rPr>
          <w:rFonts w:ascii="Calibri" w:eastAsia="Calibri" w:hAnsi="Calibri" w:cs="Calibri"/>
        </w:rPr>
        <w:t>‘</w:t>
      </w:r>
      <w:r w:rsidR="1DD59465" w:rsidRPr="0F82EADB">
        <w:rPr>
          <w:rFonts w:ascii="Calibri" w:eastAsia="Calibri" w:hAnsi="Calibri" w:cs="Calibri"/>
        </w:rPr>
        <w:t>crossroad</w:t>
      </w:r>
      <w:r>
        <w:rPr>
          <w:rFonts w:ascii="Calibri" w:eastAsia="Calibri" w:hAnsi="Calibri" w:cs="Calibri"/>
        </w:rPr>
        <w:t>s’</w:t>
      </w:r>
      <w:r w:rsidR="00FC1D8D">
        <w:rPr>
          <w:rFonts w:ascii="Calibri" w:eastAsia="Calibri" w:hAnsi="Calibri" w:cs="Calibri"/>
        </w:rPr>
        <w:t xml:space="preserve"> </w:t>
      </w:r>
      <w:r>
        <w:rPr>
          <w:rFonts w:ascii="Calibri" w:eastAsia="Calibri" w:hAnsi="Calibri" w:cs="Calibri"/>
        </w:rPr>
        <w:t xml:space="preserve">due also to </w:t>
      </w:r>
      <w:r w:rsidR="1DD59465" w:rsidRPr="0F82EADB">
        <w:rPr>
          <w:rFonts w:ascii="Calibri" w:eastAsia="Calibri" w:hAnsi="Calibri" w:cs="Calibri"/>
        </w:rPr>
        <w:t xml:space="preserve">societal trends </w:t>
      </w:r>
      <w:r>
        <w:rPr>
          <w:rFonts w:ascii="Calibri" w:eastAsia="Calibri" w:hAnsi="Calibri" w:cs="Calibri"/>
        </w:rPr>
        <w:t xml:space="preserve">as well as </w:t>
      </w:r>
      <w:r w:rsidR="1DD59465" w:rsidRPr="0F82EADB">
        <w:rPr>
          <w:rFonts w:ascii="Calibri" w:eastAsia="Calibri" w:hAnsi="Calibri" w:cs="Calibri"/>
        </w:rPr>
        <w:t>technological evolution</w:t>
      </w:r>
      <w:r w:rsidR="00DC04A5">
        <w:rPr>
          <w:rFonts w:ascii="Calibri" w:eastAsia="Calibri" w:hAnsi="Calibri" w:cs="Calibri"/>
        </w:rPr>
        <w:t xml:space="preserve">, or perhaps more properly due to a </w:t>
      </w:r>
      <w:r w:rsidR="00DC04A5" w:rsidRPr="00DC04A5">
        <w:rPr>
          <w:rFonts w:ascii="Calibri" w:eastAsia="Calibri" w:hAnsi="Calibri" w:cs="Calibri"/>
          <w:i/>
        </w:rPr>
        <w:t>coevolution</w:t>
      </w:r>
      <w:r w:rsidR="00DC04A5">
        <w:rPr>
          <w:rFonts w:ascii="Calibri" w:eastAsia="Calibri" w:hAnsi="Calibri" w:cs="Calibri"/>
        </w:rPr>
        <w:t xml:space="preserve"> of those factors</w:t>
      </w:r>
      <w:r w:rsidR="1DD59465" w:rsidRPr="0F82EADB">
        <w:rPr>
          <w:rFonts w:ascii="Calibri" w:eastAsia="Calibri" w:hAnsi="Calibri" w:cs="Calibri"/>
        </w:rPr>
        <w:t xml:space="preserve">. </w:t>
      </w:r>
      <w:r w:rsidR="00DC04A5">
        <w:rPr>
          <w:rFonts w:ascii="Calibri" w:eastAsia="Calibri" w:hAnsi="Calibri" w:cs="Calibri"/>
        </w:rPr>
        <w:t>Recent</w:t>
      </w:r>
      <w:r w:rsidR="00FC1D8D">
        <w:rPr>
          <w:rFonts w:ascii="Calibri" w:eastAsia="Calibri" w:hAnsi="Calibri" w:cs="Calibri"/>
        </w:rPr>
        <w:t xml:space="preserve"> </w:t>
      </w:r>
      <w:r w:rsidR="00DC04A5">
        <w:rPr>
          <w:rFonts w:ascii="Calibri" w:eastAsia="Calibri" w:hAnsi="Calibri" w:cs="Calibri"/>
        </w:rPr>
        <w:t xml:space="preserve">social </w:t>
      </w:r>
      <w:r w:rsidR="1DD59465" w:rsidRPr="0F82EADB">
        <w:rPr>
          <w:rFonts w:ascii="Calibri" w:eastAsia="Calibri" w:hAnsi="Calibri" w:cs="Calibri"/>
        </w:rPr>
        <w:t xml:space="preserve">generations (namely </w:t>
      </w:r>
      <w:r w:rsidR="00DC04A5">
        <w:rPr>
          <w:rFonts w:ascii="Calibri" w:eastAsia="Calibri" w:hAnsi="Calibri" w:cs="Calibri"/>
        </w:rPr>
        <w:t xml:space="preserve">Generation Y </w:t>
      </w:r>
      <w:r w:rsidR="1DD59465" w:rsidRPr="0F82EADB">
        <w:rPr>
          <w:rFonts w:ascii="Calibri" w:eastAsia="Calibri" w:hAnsi="Calibri" w:cs="Calibri"/>
        </w:rPr>
        <w:t>“</w:t>
      </w:r>
      <w:r w:rsidR="00DC04A5">
        <w:rPr>
          <w:rFonts w:ascii="Calibri" w:eastAsia="Calibri" w:hAnsi="Calibri" w:cs="Calibri"/>
        </w:rPr>
        <w:t xml:space="preserve">the </w:t>
      </w:r>
      <w:r w:rsidR="1DD59465" w:rsidRPr="0F82EADB">
        <w:rPr>
          <w:rFonts w:ascii="Calibri" w:eastAsia="Calibri" w:hAnsi="Calibri" w:cs="Calibri"/>
        </w:rPr>
        <w:t>millennial</w:t>
      </w:r>
      <w:r w:rsidR="00DC04A5">
        <w:rPr>
          <w:rFonts w:ascii="Calibri" w:eastAsia="Calibri" w:hAnsi="Calibri" w:cs="Calibri"/>
        </w:rPr>
        <w:t>s</w:t>
      </w:r>
      <w:r w:rsidR="1DD59465" w:rsidRPr="0F82EADB">
        <w:rPr>
          <w:rFonts w:ascii="Calibri" w:eastAsia="Calibri" w:hAnsi="Calibri" w:cs="Calibri"/>
        </w:rPr>
        <w:t xml:space="preserve">” </w:t>
      </w:r>
      <w:r w:rsidR="00DC04A5">
        <w:rPr>
          <w:rFonts w:ascii="Calibri" w:eastAsia="Calibri" w:hAnsi="Calibri" w:cs="Calibri"/>
        </w:rPr>
        <w:t>and Generation Z “the digital natives</w:t>
      </w:r>
      <w:r w:rsidR="1DD59465" w:rsidRPr="0F82EADB">
        <w:rPr>
          <w:rFonts w:ascii="Calibri" w:eastAsia="Calibri" w:hAnsi="Calibri" w:cs="Calibri"/>
        </w:rPr>
        <w:t xml:space="preserve">”) are </w:t>
      </w:r>
      <w:r w:rsidR="00DC04A5">
        <w:rPr>
          <w:rFonts w:ascii="Calibri" w:eastAsia="Calibri" w:hAnsi="Calibri" w:cs="Calibri"/>
        </w:rPr>
        <w:t xml:space="preserve">identified as being </w:t>
      </w:r>
      <w:r w:rsidR="1DD59465" w:rsidRPr="0F82EADB">
        <w:rPr>
          <w:rFonts w:ascii="Calibri" w:eastAsia="Calibri" w:hAnsi="Calibri" w:cs="Calibri"/>
        </w:rPr>
        <w:t>less interested in owning vehicles (</w:t>
      </w:r>
      <w:proofErr w:type="spellStart"/>
      <w:r w:rsidR="1DD59465" w:rsidRPr="0F82EADB">
        <w:rPr>
          <w:rFonts w:ascii="Calibri" w:eastAsia="Calibri" w:hAnsi="Calibri" w:cs="Calibri"/>
        </w:rPr>
        <w:t>Focas</w:t>
      </w:r>
      <w:proofErr w:type="spellEnd"/>
      <w:r w:rsidR="1DD59465" w:rsidRPr="0F82EADB">
        <w:rPr>
          <w:rFonts w:ascii="Calibri" w:eastAsia="Calibri" w:hAnsi="Calibri" w:cs="Calibri"/>
        </w:rPr>
        <w:t xml:space="preserve"> &amp; </w:t>
      </w:r>
      <w:proofErr w:type="spellStart"/>
      <w:r w:rsidR="1DD59465" w:rsidRPr="0F82EADB">
        <w:rPr>
          <w:rFonts w:ascii="Calibri" w:eastAsia="Calibri" w:hAnsi="Calibri" w:cs="Calibri"/>
        </w:rPr>
        <w:t>Christidis</w:t>
      </w:r>
      <w:proofErr w:type="spellEnd"/>
      <w:r w:rsidR="1DD59465" w:rsidRPr="0F82EADB">
        <w:rPr>
          <w:rFonts w:ascii="Calibri" w:eastAsia="Calibri" w:hAnsi="Calibri" w:cs="Calibri"/>
        </w:rPr>
        <w:t>, 2017; Turienzo et al., 2022</w:t>
      </w:r>
      <w:r w:rsidR="00926663">
        <w:rPr>
          <w:rFonts w:ascii="Calibri" w:eastAsia="Calibri" w:hAnsi="Calibri" w:cs="Calibri"/>
          <w:lang w:val="mt-MT"/>
        </w:rPr>
        <w:t>a</w:t>
      </w:r>
      <w:r w:rsidR="1DD59465" w:rsidRPr="0F82EADB">
        <w:rPr>
          <w:rFonts w:ascii="Calibri" w:eastAsia="Calibri" w:hAnsi="Calibri" w:cs="Calibri"/>
        </w:rPr>
        <w:t xml:space="preserve">) </w:t>
      </w:r>
      <w:r w:rsidR="00DC04A5">
        <w:rPr>
          <w:rFonts w:ascii="Calibri" w:eastAsia="Calibri" w:hAnsi="Calibri" w:cs="Calibri"/>
        </w:rPr>
        <w:t xml:space="preserve">and </w:t>
      </w:r>
      <w:r w:rsidR="1DD59465" w:rsidRPr="0F82EADB">
        <w:rPr>
          <w:rFonts w:ascii="Calibri" w:eastAsia="Calibri" w:hAnsi="Calibri" w:cs="Calibri"/>
        </w:rPr>
        <w:t>possessing a driving licence (Tilley &amp; Houston, 2016)</w:t>
      </w:r>
      <w:r w:rsidR="009B7677">
        <w:rPr>
          <w:rFonts w:ascii="Calibri" w:eastAsia="Calibri" w:hAnsi="Calibri" w:cs="Calibri"/>
        </w:rPr>
        <w:t xml:space="preserve">. </w:t>
      </w:r>
      <w:r w:rsidR="003A4261">
        <w:rPr>
          <w:rFonts w:ascii="Calibri" w:eastAsia="Calibri" w:hAnsi="Calibri" w:cs="Calibri"/>
        </w:rPr>
        <w:t>At the same time</w:t>
      </w:r>
      <w:r w:rsidR="00DC04A5">
        <w:rPr>
          <w:rFonts w:ascii="Calibri" w:eastAsia="Calibri" w:hAnsi="Calibri" w:cs="Calibri"/>
        </w:rPr>
        <w:t xml:space="preserve">, </w:t>
      </w:r>
      <w:r w:rsidR="003A4261">
        <w:rPr>
          <w:rFonts w:ascii="Calibri" w:eastAsia="Calibri" w:hAnsi="Calibri" w:cs="Calibri"/>
        </w:rPr>
        <w:t xml:space="preserve">they are found to be </w:t>
      </w:r>
      <w:r w:rsidR="00DC04A5">
        <w:rPr>
          <w:rFonts w:ascii="Calibri" w:eastAsia="Calibri" w:hAnsi="Calibri" w:cs="Calibri"/>
        </w:rPr>
        <w:t xml:space="preserve">more </w:t>
      </w:r>
      <w:r w:rsidR="1DD59465" w:rsidRPr="0F82EADB">
        <w:rPr>
          <w:rFonts w:ascii="Calibri" w:eastAsia="Calibri" w:hAnsi="Calibri" w:cs="Calibri"/>
        </w:rPr>
        <w:t xml:space="preserve">interested in mobility options </w:t>
      </w:r>
      <w:r w:rsidR="003A4261">
        <w:rPr>
          <w:rFonts w:ascii="Calibri" w:eastAsia="Calibri" w:hAnsi="Calibri" w:cs="Calibri"/>
        </w:rPr>
        <w:t xml:space="preserve">identified as more sustainable, </w:t>
      </w:r>
      <w:r w:rsidR="1DD59465" w:rsidRPr="0F82EADB">
        <w:rPr>
          <w:rFonts w:ascii="Calibri" w:eastAsia="Calibri" w:hAnsi="Calibri" w:cs="Calibri"/>
        </w:rPr>
        <w:t>like walking, bus</w:t>
      </w:r>
      <w:r w:rsidR="00DC04A5">
        <w:rPr>
          <w:rFonts w:ascii="Calibri" w:eastAsia="Calibri" w:hAnsi="Calibri" w:cs="Calibri"/>
        </w:rPr>
        <w:t xml:space="preserve"> use, and</w:t>
      </w:r>
      <w:r w:rsidR="1DD59465" w:rsidRPr="0F82EADB">
        <w:rPr>
          <w:rFonts w:ascii="Calibri" w:eastAsia="Calibri" w:hAnsi="Calibri" w:cs="Calibri"/>
        </w:rPr>
        <w:t xml:space="preserve"> cycling, among others (Whittle et al., 2019). In </w:t>
      </w:r>
      <w:r w:rsidR="00DC04A5">
        <w:rPr>
          <w:rFonts w:ascii="Calibri" w:eastAsia="Calibri" w:hAnsi="Calibri" w:cs="Calibri"/>
        </w:rPr>
        <w:t xml:space="preserve">part this is thought to arise through greater </w:t>
      </w:r>
      <w:r w:rsidR="1DD59465" w:rsidRPr="0F82EADB">
        <w:rPr>
          <w:rFonts w:ascii="Calibri" w:eastAsia="Calibri" w:hAnsi="Calibri" w:cs="Calibri"/>
        </w:rPr>
        <w:t>awareness o</w:t>
      </w:r>
      <w:r w:rsidR="00DC04A5">
        <w:rPr>
          <w:rFonts w:ascii="Calibri" w:eastAsia="Calibri" w:hAnsi="Calibri" w:cs="Calibri"/>
        </w:rPr>
        <w:t>f</w:t>
      </w:r>
      <w:r w:rsidR="1DD59465" w:rsidRPr="0F82EADB">
        <w:rPr>
          <w:rFonts w:ascii="Calibri" w:eastAsia="Calibri" w:hAnsi="Calibri" w:cs="Calibri"/>
        </w:rPr>
        <w:t xml:space="preserve"> climate change, </w:t>
      </w:r>
      <w:r w:rsidR="00DC04A5">
        <w:rPr>
          <w:rFonts w:ascii="Calibri" w:eastAsia="Calibri" w:hAnsi="Calibri" w:cs="Calibri"/>
        </w:rPr>
        <w:t xml:space="preserve">but also due to </w:t>
      </w:r>
      <w:r w:rsidR="1DD59465" w:rsidRPr="0F82EADB">
        <w:rPr>
          <w:rFonts w:ascii="Calibri" w:eastAsia="Calibri" w:hAnsi="Calibri" w:cs="Calibri"/>
        </w:rPr>
        <w:t>increased collaborative and shared transport encouraged by regulators (Eckhardt et al., 2018; European Commission, 2018)</w:t>
      </w:r>
      <w:r w:rsidR="003A4261">
        <w:rPr>
          <w:rFonts w:ascii="Calibri" w:eastAsia="Calibri" w:hAnsi="Calibri" w:cs="Calibri"/>
        </w:rPr>
        <w:t>. Here</w:t>
      </w:r>
      <w:r w:rsidR="00DC04A5">
        <w:rPr>
          <w:rFonts w:ascii="Calibri" w:eastAsia="Calibri" w:hAnsi="Calibri" w:cs="Calibri"/>
        </w:rPr>
        <w:t>, ‘shared’ can mean both synchronous or asynchronous use of transport assets by different parties (Parkhurst and Seedhouse, 2019)</w:t>
      </w:r>
      <w:r w:rsidR="1DD59465" w:rsidRPr="0F82EADB">
        <w:rPr>
          <w:rFonts w:ascii="Calibri" w:eastAsia="Calibri" w:hAnsi="Calibri" w:cs="Calibri"/>
        </w:rPr>
        <w:t>.</w:t>
      </w:r>
    </w:p>
    <w:p w14:paraId="332D0A63" w14:textId="2128007A" w:rsidR="006B22B5" w:rsidRDefault="00DC04A5" w:rsidP="23A58F29">
      <w:pPr>
        <w:rPr>
          <w:rFonts w:ascii="Calibri" w:eastAsia="Calibri" w:hAnsi="Calibri" w:cs="Calibri"/>
        </w:rPr>
      </w:pPr>
      <w:r>
        <w:rPr>
          <w:rFonts w:ascii="Calibri" w:eastAsia="Calibri" w:hAnsi="Calibri" w:cs="Calibri"/>
        </w:rPr>
        <w:t>This co</w:t>
      </w:r>
      <w:r w:rsidR="001D030E">
        <w:rPr>
          <w:rFonts w:ascii="Calibri" w:eastAsia="Calibri" w:hAnsi="Calibri" w:cs="Calibri"/>
          <w:lang w:val="mt-MT"/>
        </w:rPr>
        <w:t>-</w:t>
      </w:r>
      <w:r>
        <w:rPr>
          <w:rFonts w:ascii="Calibri" w:eastAsia="Calibri" w:hAnsi="Calibri" w:cs="Calibri"/>
        </w:rPr>
        <w:t xml:space="preserve">evolution </w:t>
      </w:r>
      <w:r w:rsidR="1DD59465" w:rsidRPr="0F82EADB">
        <w:rPr>
          <w:rFonts w:ascii="Calibri" w:eastAsia="Calibri" w:hAnsi="Calibri" w:cs="Calibri"/>
        </w:rPr>
        <w:t>open</w:t>
      </w:r>
      <w:r>
        <w:rPr>
          <w:rFonts w:ascii="Calibri" w:eastAsia="Calibri" w:hAnsi="Calibri" w:cs="Calibri"/>
        </w:rPr>
        <w:t>s</w:t>
      </w:r>
      <w:r w:rsidR="1DD59465" w:rsidRPr="0F82EADB">
        <w:rPr>
          <w:rFonts w:ascii="Calibri" w:eastAsia="Calibri" w:hAnsi="Calibri" w:cs="Calibri"/>
        </w:rPr>
        <w:t xml:space="preserve"> an opportunity window to develop business models </w:t>
      </w:r>
      <w:r>
        <w:rPr>
          <w:rFonts w:ascii="Calibri" w:eastAsia="Calibri" w:hAnsi="Calibri" w:cs="Calibri"/>
        </w:rPr>
        <w:t xml:space="preserve">for </w:t>
      </w:r>
      <w:r w:rsidRPr="0F82EADB">
        <w:rPr>
          <w:rFonts w:ascii="Calibri" w:eastAsia="Calibri" w:hAnsi="Calibri" w:cs="Calibri"/>
        </w:rPr>
        <w:t xml:space="preserve">more collaborative </w:t>
      </w:r>
      <w:r w:rsidR="1DD59465" w:rsidRPr="0F82EADB">
        <w:rPr>
          <w:rFonts w:ascii="Calibri" w:eastAsia="Calibri" w:hAnsi="Calibri" w:cs="Calibri"/>
        </w:rPr>
        <w:t>and shared transport</w:t>
      </w:r>
      <w:r>
        <w:rPr>
          <w:rFonts w:ascii="Calibri" w:eastAsia="Calibri" w:hAnsi="Calibri" w:cs="Calibri"/>
        </w:rPr>
        <w:t xml:space="preserve"> niches</w:t>
      </w:r>
      <w:r w:rsidR="1DD59465" w:rsidRPr="0F82EADB">
        <w:rPr>
          <w:rFonts w:ascii="Calibri" w:eastAsia="Calibri" w:hAnsi="Calibri" w:cs="Calibri"/>
        </w:rPr>
        <w:t xml:space="preserve">. Those new technologies favour the contact and exchange among people through technological platforms that </w:t>
      </w:r>
      <w:r w:rsidR="000825F7">
        <w:rPr>
          <w:rFonts w:ascii="Calibri" w:eastAsia="Calibri" w:hAnsi="Calibri" w:cs="Calibri"/>
        </w:rPr>
        <w:t>permit</w:t>
      </w:r>
      <w:r w:rsidR="1DD59465" w:rsidRPr="0F82EADB">
        <w:rPr>
          <w:rFonts w:ascii="Calibri" w:eastAsia="Calibri" w:hAnsi="Calibri" w:cs="Calibri"/>
        </w:rPr>
        <w:t xml:space="preserve"> a higher personali</w:t>
      </w:r>
      <w:r w:rsidR="006B22B5">
        <w:rPr>
          <w:rFonts w:ascii="Calibri" w:eastAsia="Calibri" w:hAnsi="Calibri" w:cs="Calibri"/>
        </w:rPr>
        <w:t>s</w:t>
      </w:r>
      <w:r w:rsidR="1DD59465" w:rsidRPr="0F82EADB">
        <w:rPr>
          <w:rFonts w:ascii="Calibri" w:eastAsia="Calibri" w:hAnsi="Calibri" w:cs="Calibri"/>
        </w:rPr>
        <w:t>ation of services (Ahmed et al</w:t>
      </w:r>
      <w:r w:rsidR="001D030E">
        <w:rPr>
          <w:rFonts w:ascii="Calibri" w:eastAsia="Calibri" w:hAnsi="Calibri" w:cs="Calibri"/>
          <w:lang w:val="mt-MT"/>
        </w:rPr>
        <w:t>.</w:t>
      </w:r>
      <w:r w:rsidR="1DD59465" w:rsidRPr="0F82EADB">
        <w:rPr>
          <w:rFonts w:ascii="Calibri" w:eastAsia="Calibri" w:hAnsi="Calibri" w:cs="Calibri"/>
        </w:rPr>
        <w:t xml:space="preserve">, 2020; </w:t>
      </w:r>
      <w:proofErr w:type="spellStart"/>
      <w:r w:rsidR="1DD59465" w:rsidRPr="0F82EADB">
        <w:rPr>
          <w:rFonts w:ascii="Calibri" w:eastAsia="Calibri" w:hAnsi="Calibri" w:cs="Calibri"/>
        </w:rPr>
        <w:t>Athanasopoulou</w:t>
      </w:r>
      <w:proofErr w:type="spellEnd"/>
      <w:r w:rsidR="1DD59465" w:rsidRPr="0F82EADB">
        <w:rPr>
          <w:rFonts w:ascii="Calibri" w:eastAsia="Calibri" w:hAnsi="Calibri" w:cs="Calibri"/>
        </w:rPr>
        <w:t xml:space="preserve"> et al., 2019)</w:t>
      </w:r>
      <w:r w:rsidR="0026268F">
        <w:rPr>
          <w:rFonts w:ascii="Calibri" w:eastAsia="Calibri" w:hAnsi="Calibri" w:cs="Calibri"/>
        </w:rPr>
        <w:t xml:space="preserve">. One such example is </w:t>
      </w:r>
      <w:r w:rsidR="1DD59465" w:rsidRPr="0F82EADB">
        <w:rPr>
          <w:rFonts w:ascii="Calibri" w:eastAsia="Calibri" w:hAnsi="Calibri" w:cs="Calibri"/>
        </w:rPr>
        <w:t xml:space="preserve">subscription </w:t>
      </w:r>
      <w:r w:rsidR="000825F7">
        <w:rPr>
          <w:rFonts w:ascii="Calibri" w:eastAsia="Calibri" w:hAnsi="Calibri" w:cs="Calibri"/>
        </w:rPr>
        <w:t xml:space="preserve">business models for packages identified as </w:t>
      </w:r>
      <w:r w:rsidR="0026268F">
        <w:rPr>
          <w:rFonts w:ascii="Calibri" w:eastAsia="Calibri" w:hAnsi="Calibri" w:cs="Calibri"/>
        </w:rPr>
        <w:t>‘</w:t>
      </w:r>
      <w:r w:rsidR="1DD59465" w:rsidRPr="0F82EADB">
        <w:rPr>
          <w:rFonts w:ascii="Calibri" w:eastAsia="Calibri" w:hAnsi="Calibri" w:cs="Calibri"/>
        </w:rPr>
        <w:t>M</w:t>
      </w:r>
      <w:r w:rsidR="000825F7">
        <w:rPr>
          <w:rFonts w:ascii="Calibri" w:eastAsia="Calibri" w:hAnsi="Calibri" w:cs="Calibri"/>
        </w:rPr>
        <w:t>obility-</w:t>
      </w:r>
      <w:r w:rsidR="1DD59465" w:rsidRPr="0F82EADB">
        <w:rPr>
          <w:rFonts w:ascii="Calibri" w:eastAsia="Calibri" w:hAnsi="Calibri" w:cs="Calibri"/>
        </w:rPr>
        <w:t>a</w:t>
      </w:r>
      <w:r w:rsidR="000825F7">
        <w:rPr>
          <w:rFonts w:ascii="Calibri" w:eastAsia="Calibri" w:hAnsi="Calibri" w:cs="Calibri"/>
        </w:rPr>
        <w:t>s-a-</w:t>
      </w:r>
      <w:r w:rsidR="1DD59465" w:rsidRPr="0F82EADB">
        <w:rPr>
          <w:rFonts w:ascii="Calibri" w:eastAsia="Calibri" w:hAnsi="Calibri" w:cs="Calibri"/>
        </w:rPr>
        <w:t>S</w:t>
      </w:r>
      <w:r w:rsidR="000825F7">
        <w:rPr>
          <w:rFonts w:ascii="Calibri" w:eastAsia="Calibri" w:hAnsi="Calibri" w:cs="Calibri"/>
        </w:rPr>
        <w:t>ervice</w:t>
      </w:r>
      <w:r w:rsidR="0026268F">
        <w:rPr>
          <w:rFonts w:ascii="Calibri" w:eastAsia="Calibri" w:hAnsi="Calibri" w:cs="Calibri"/>
        </w:rPr>
        <w:t>’</w:t>
      </w:r>
      <w:r w:rsidR="1DD59465" w:rsidRPr="0F82EADB">
        <w:rPr>
          <w:rFonts w:ascii="Calibri" w:eastAsia="Calibri" w:hAnsi="Calibri" w:cs="Calibri"/>
        </w:rPr>
        <w:t xml:space="preserve"> (</w:t>
      </w:r>
      <w:proofErr w:type="spellStart"/>
      <w:r w:rsidR="1DD59465" w:rsidRPr="0F82EADB">
        <w:rPr>
          <w:rFonts w:ascii="Calibri" w:eastAsia="Calibri" w:hAnsi="Calibri" w:cs="Calibri"/>
        </w:rPr>
        <w:t>Jittrapiro</w:t>
      </w:r>
      <w:proofErr w:type="spellEnd"/>
      <w:r w:rsidR="002121FC">
        <w:rPr>
          <w:rFonts w:ascii="Calibri" w:eastAsia="Calibri" w:hAnsi="Calibri" w:cs="Calibri"/>
          <w:lang w:val="mt-MT"/>
        </w:rPr>
        <w:t>m</w:t>
      </w:r>
      <w:r w:rsidR="1DD59465" w:rsidRPr="0F82EADB">
        <w:rPr>
          <w:rFonts w:ascii="Calibri" w:eastAsia="Calibri" w:hAnsi="Calibri" w:cs="Calibri"/>
        </w:rPr>
        <w:t xml:space="preserve"> et al., 2018). </w:t>
      </w:r>
      <w:r w:rsidR="000825F7">
        <w:rPr>
          <w:rFonts w:ascii="Calibri" w:eastAsia="Calibri" w:hAnsi="Calibri" w:cs="Calibri"/>
        </w:rPr>
        <w:t xml:space="preserve">Providing collaborative services requires </w:t>
      </w:r>
      <w:r w:rsidR="1DD59465" w:rsidRPr="0F82EADB">
        <w:rPr>
          <w:rFonts w:ascii="Calibri" w:eastAsia="Calibri" w:hAnsi="Calibri" w:cs="Calibri"/>
        </w:rPr>
        <w:t>a change in mindset</w:t>
      </w:r>
      <w:r w:rsidR="000825F7">
        <w:rPr>
          <w:rFonts w:ascii="Calibri" w:eastAsia="Calibri" w:hAnsi="Calibri" w:cs="Calibri"/>
        </w:rPr>
        <w:t xml:space="preserve">s of participating businesses, which will need to take part in </w:t>
      </w:r>
      <w:r w:rsidR="1DD59465" w:rsidRPr="0F82EADB">
        <w:rPr>
          <w:rFonts w:ascii="Calibri" w:eastAsia="Calibri" w:hAnsi="Calibri" w:cs="Calibri"/>
        </w:rPr>
        <w:t>alliances</w:t>
      </w:r>
      <w:r w:rsidR="000825F7">
        <w:rPr>
          <w:rFonts w:ascii="Calibri" w:eastAsia="Calibri" w:hAnsi="Calibri" w:cs="Calibri"/>
        </w:rPr>
        <w:t xml:space="preserve"> of businesses,</w:t>
      </w:r>
      <w:r w:rsidR="1DD59465" w:rsidRPr="0F82EADB">
        <w:rPr>
          <w:rFonts w:ascii="Calibri" w:eastAsia="Calibri" w:hAnsi="Calibri" w:cs="Calibri"/>
        </w:rPr>
        <w:t xml:space="preserve"> adopt a multi</w:t>
      </w:r>
      <w:r w:rsidR="002121FC">
        <w:rPr>
          <w:rFonts w:ascii="Calibri" w:eastAsia="Calibri" w:hAnsi="Calibri" w:cs="Calibri"/>
          <w:lang w:val="mt-MT"/>
        </w:rPr>
        <w:t>-</w:t>
      </w:r>
      <w:r w:rsidR="1DD59465" w:rsidRPr="0F82EADB">
        <w:rPr>
          <w:rFonts w:ascii="Calibri" w:eastAsia="Calibri" w:hAnsi="Calibri" w:cs="Calibri"/>
        </w:rPr>
        <w:t>disciplinary perspective (</w:t>
      </w:r>
      <w:proofErr w:type="spellStart"/>
      <w:r w:rsidR="1DD59465" w:rsidRPr="0F82EADB">
        <w:rPr>
          <w:rFonts w:ascii="Calibri" w:eastAsia="Calibri" w:hAnsi="Calibri" w:cs="Calibri"/>
        </w:rPr>
        <w:t>Pütz</w:t>
      </w:r>
      <w:proofErr w:type="spellEnd"/>
      <w:r w:rsidR="1DD59465" w:rsidRPr="0F82EADB">
        <w:rPr>
          <w:rFonts w:ascii="Calibri" w:eastAsia="Calibri" w:hAnsi="Calibri" w:cs="Calibri"/>
        </w:rPr>
        <w:t xml:space="preserve"> et al., 2019)</w:t>
      </w:r>
      <w:r w:rsidR="000825F7">
        <w:rPr>
          <w:rFonts w:ascii="Calibri" w:eastAsia="Calibri" w:hAnsi="Calibri" w:cs="Calibri"/>
        </w:rPr>
        <w:t xml:space="preserve"> and ultimately be willing to ‘share’ customers</w:t>
      </w:r>
      <w:r w:rsidR="1DD59465" w:rsidRPr="0F82EADB">
        <w:rPr>
          <w:rFonts w:ascii="Calibri" w:eastAsia="Calibri" w:hAnsi="Calibri" w:cs="Calibri"/>
        </w:rPr>
        <w:t xml:space="preserve">. </w:t>
      </w:r>
      <w:r w:rsidR="000825F7">
        <w:rPr>
          <w:rFonts w:ascii="Calibri" w:eastAsia="Calibri" w:hAnsi="Calibri" w:cs="Calibri"/>
        </w:rPr>
        <w:t>Hence, t</w:t>
      </w:r>
      <w:r w:rsidR="1DD59465" w:rsidRPr="0F82EADB">
        <w:rPr>
          <w:rFonts w:ascii="Calibri" w:eastAsia="Calibri" w:hAnsi="Calibri" w:cs="Calibri"/>
        </w:rPr>
        <w:t xml:space="preserve">he mobility value chain is increasingly blurring the boundaries as new participants </w:t>
      </w:r>
      <w:r w:rsidR="006B22B5">
        <w:rPr>
          <w:rFonts w:ascii="Calibri" w:eastAsia="Calibri" w:hAnsi="Calibri" w:cs="Calibri"/>
        </w:rPr>
        <w:t>address</w:t>
      </w:r>
      <w:r w:rsidR="1DD59465" w:rsidRPr="0F82EADB">
        <w:rPr>
          <w:rFonts w:ascii="Calibri" w:eastAsia="Calibri" w:hAnsi="Calibri" w:cs="Calibri"/>
        </w:rPr>
        <w:t xml:space="preserve"> new market demands, particularly technological companies (</w:t>
      </w:r>
      <w:proofErr w:type="spellStart"/>
      <w:r w:rsidR="1DD59465" w:rsidRPr="0F82EADB">
        <w:rPr>
          <w:rFonts w:ascii="Calibri" w:eastAsia="Calibri" w:hAnsi="Calibri" w:cs="Calibri"/>
        </w:rPr>
        <w:t>Oskam</w:t>
      </w:r>
      <w:proofErr w:type="spellEnd"/>
      <w:r w:rsidR="1DD59465" w:rsidRPr="0F82EADB">
        <w:rPr>
          <w:rFonts w:ascii="Calibri" w:eastAsia="Calibri" w:hAnsi="Calibri" w:cs="Calibri"/>
        </w:rPr>
        <w:t xml:space="preserve"> et al., 2021). </w:t>
      </w:r>
      <w:r w:rsidR="006B22B5">
        <w:rPr>
          <w:rFonts w:ascii="Calibri" w:eastAsia="Calibri" w:hAnsi="Calibri" w:cs="Calibri"/>
        </w:rPr>
        <w:t xml:space="preserve">Some of these new business model niches are identified by their proponents as seeking to </w:t>
      </w:r>
      <w:r w:rsidR="1DD59465" w:rsidRPr="0F82EADB">
        <w:rPr>
          <w:rFonts w:ascii="Calibri" w:eastAsia="Calibri" w:hAnsi="Calibri" w:cs="Calibri"/>
        </w:rPr>
        <w:t>provid</w:t>
      </w:r>
      <w:r w:rsidR="00FC1D8D">
        <w:rPr>
          <w:rFonts w:ascii="Calibri" w:eastAsia="Calibri" w:hAnsi="Calibri" w:cs="Calibri"/>
        </w:rPr>
        <w:t>e</w:t>
      </w:r>
      <w:r w:rsidR="1DD59465" w:rsidRPr="0F82EADB">
        <w:rPr>
          <w:rFonts w:ascii="Calibri" w:eastAsia="Calibri" w:hAnsi="Calibri" w:cs="Calibri"/>
        </w:rPr>
        <w:t xml:space="preserve"> cleaner, lower carbon emission and more efficient mobility solutions </w:t>
      </w:r>
      <w:r w:rsidR="00FC1D8D">
        <w:rPr>
          <w:rFonts w:ascii="Calibri" w:eastAsia="Calibri" w:hAnsi="Calibri" w:cs="Calibri"/>
        </w:rPr>
        <w:t xml:space="preserve">featuring </w:t>
      </w:r>
      <w:r w:rsidR="1DD59465" w:rsidRPr="0F82EADB">
        <w:rPr>
          <w:rFonts w:ascii="Calibri" w:eastAsia="Calibri" w:hAnsi="Calibri" w:cs="Calibri"/>
        </w:rPr>
        <w:t xml:space="preserve">platforms (Riggs and </w:t>
      </w:r>
      <w:proofErr w:type="spellStart"/>
      <w:r w:rsidR="1DD59465" w:rsidRPr="0F82EADB">
        <w:rPr>
          <w:rFonts w:ascii="Calibri" w:eastAsia="Calibri" w:hAnsi="Calibri" w:cs="Calibri"/>
        </w:rPr>
        <w:t>Beiker</w:t>
      </w:r>
      <w:proofErr w:type="spellEnd"/>
      <w:r w:rsidR="1DD59465" w:rsidRPr="0F82EADB">
        <w:rPr>
          <w:rFonts w:ascii="Calibri" w:eastAsia="Calibri" w:hAnsi="Calibri" w:cs="Calibri"/>
        </w:rPr>
        <w:t>, 2020)</w:t>
      </w:r>
      <w:r w:rsidR="0026268F">
        <w:rPr>
          <w:rFonts w:ascii="Calibri" w:eastAsia="Calibri" w:hAnsi="Calibri" w:cs="Calibri"/>
        </w:rPr>
        <w:t xml:space="preserve">. One such examples is the </w:t>
      </w:r>
      <w:r w:rsidR="006B22B5">
        <w:rPr>
          <w:rFonts w:ascii="Calibri" w:eastAsia="Calibri" w:hAnsi="Calibri" w:cs="Calibri"/>
        </w:rPr>
        <w:t>consolidat</w:t>
      </w:r>
      <w:r w:rsidR="0026268F">
        <w:rPr>
          <w:rFonts w:ascii="Calibri" w:eastAsia="Calibri" w:hAnsi="Calibri" w:cs="Calibri"/>
        </w:rPr>
        <w:t>ion of</w:t>
      </w:r>
      <w:r w:rsidR="006B22B5">
        <w:rPr>
          <w:rFonts w:ascii="Calibri" w:eastAsia="Calibri" w:hAnsi="Calibri" w:cs="Calibri"/>
        </w:rPr>
        <w:t xml:space="preserve"> demand and supply</w:t>
      </w:r>
      <w:r w:rsidR="0026268F">
        <w:rPr>
          <w:rFonts w:ascii="Calibri" w:eastAsia="Calibri" w:hAnsi="Calibri" w:cs="Calibri"/>
        </w:rPr>
        <w:t xml:space="preserve"> through</w:t>
      </w:r>
      <w:r w:rsidR="1DD59465" w:rsidRPr="0F82EADB">
        <w:rPr>
          <w:rFonts w:ascii="Calibri" w:eastAsia="Calibri" w:hAnsi="Calibri" w:cs="Calibri"/>
        </w:rPr>
        <w:t xml:space="preserve"> dynamic simulations (Berg et al., 2020)</w:t>
      </w:r>
      <w:r w:rsidR="002121FC">
        <w:rPr>
          <w:rFonts w:ascii="Calibri" w:eastAsia="Calibri" w:hAnsi="Calibri" w:cs="Calibri"/>
          <w:lang w:val="mt-MT"/>
        </w:rPr>
        <w:t xml:space="preserve"> </w:t>
      </w:r>
      <w:r w:rsidR="0026268F">
        <w:rPr>
          <w:rFonts w:ascii="Calibri" w:eastAsia="Calibri" w:hAnsi="Calibri" w:cs="Calibri"/>
        </w:rPr>
        <w:t xml:space="preserve">in order to </w:t>
      </w:r>
      <w:r w:rsidR="006B22B5">
        <w:rPr>
          <w:rFonts w:ascii="Calibri" w:eastAsia="Calibri" w:hAnsi="Calibri" w:cs="Calibri"/>
        </w:rPr>
        <w:t>predict where demand might arise</w:t>
      </w:r>
      <w:r w:rsidR="0026268F">
        <w:rPr>
          <w:rFonts w:ascii="Calibri" w:eastAsia="Calibri" w:hAnsi="Calibri" w:cs="Calibri"/>
        </w:rPr>
        <w:t xml:space="preserve">. Another is the </w:t>
      </w:r>
      <w:r w:rsidR="006B22B5">
        <w:rPr>
          <w:rFonts w:ascii="Calibri" w:eastAsia="Calibri" w:hAnsi="Calibri" w:cs="Calibri"/>
        </w:rPr>
        <w:t>negotiat</w:t>
      </w:r>
      <w:r w:rsidR="0026268F">
        <w:rPr>
          <w:rFonts w:ascii="Calibri" w:eastAsia="Calibri" w:hAnsi="Calibri" w:cs="Calibri"/>
        </w:rPr>
        <w:t>ion of</w:t>
      </w:r>
      <w:r w:rsidR="006B22B5">
        <w:rPr>
          <w:rFonts w:ascii="Calibri" w:eastAsia="Calibri" w:hAnsi="Calibri" w:cs="Calibri"/>
        </w:rPr>
        <w:t xml:space="preserve"> asset</w:t>
      </w:r>
      <w:r w:rsidR="00FC1D8D">
        <w:rPr>
          <w:rFonts w:ascii="Calibri" w:eastAsia="Calibri" w:hAnsi="Calibri" w:cs="Calibri"/>
        </w:rPr>
        <w:t xml:space="preserve"> </w:t>
      </w:r>
      <w:r w:rsidR="006B22B5">
        <w:rPr>
          <w:rFonts w:ascii="Calibri" w:eastAsia="Calibri" w:hAnsi="Calibri" w:cs="Calibri"/>
        </w:rPr>
        <w:t>s</w:t>
      </w:r>
      <w:r w:rsidR="0026268F">
        <w:rPr>
          <w:rFonts w:ascii="Calibri" w:eastAsia="Calibri" w:hAnsi="Calibri" w:cs="Calibri"/>
        </w:rPr>
        <w:t>haring</w:t>
      </w:r>
      <w:r w:rsidR="006B22B5">
        <w:rPr>
          <w:rFonts w:ascii="Calibri" w:eastAsia="Calibri" w:hAnsi="Calibri" w:cs="Calibri"/>
        </w:rPr>
        <w:t>, as</w:t>
      </w:r>
      <w:r w:rsidR="00FC1D8D">
        <w:rPr>
          <w:rFonts w:ascii="Calibri" w:eastAsia="Calibri" w:hAnsi="Calibri" w:cs="Calibri"/>
        </w:rPr>
        <w:t xml:space="preserve"> </w:t>
      </w:r>
      <w:r w:rsidR="0026268F">
        <w:rPr>
          <w:rFonts w:ascii="Calibri" w:eastAsia="Calibri" w:hAnsi="Calibri" w:cs="Calibri"/>
        </w:rPr>
        <w:t xml:space="preserve">in the case of </w:t>
      </w:r>
      <w:r w:rsidR="1DD59465" w:rsidRPr="0F82EADB">
        <w:rPr>
          <w:rFonts w:ascii="Calibri" w:eastAsia="Calibri" w:hAnsi="Calibri" w:cs="Calibri"/>
        </w:rPr>
        <w:t>shared-ride on-demand services (Calvert et al., 2019)</w:t>
      </w:r>
      <w:r w:rsidR="0026268F">
        <w:rPr>
          <w:rFonts w:ascii="Calibri" w:eastAsia="Calibri" w:hAnsi="Calibri" w:cs="Calibri"/>
        </w:rPr>
        <w:t>, facilitated by</w:t>
      </w:r>
      <w:r w:rsidR="1DD59465" w:rsidRPr="0F82EADB">
        <w:rPr>
          <w:rFonts w:ascii="Calibri" w:eastAsia="Calibri" w:hAnsi="Calibri" w:cs="Calibri"/>
        </w:rPr>
        <w:t xml:space="preserve"> the integration of connected vehicles in the system (Turienzo et al., 2022</w:t>
      </w:r>
      <w:r w:rsidR="00926663">
        <w:rPr>
          <w:rFonts w:ascii="Calibri" w:eastAsia="Calibri" w:hAnsi="Calibri" w:cs="Calibri"/>
          <w:lang w:val="mt-MT"/>
        </w:rPr>
        <w:t>a</w:t>
      </w:r>
      <w:r w:rsidR="1DD59465" w:rsidRPr="0F82EADB">
        <w:rPr>
          <w:rFonts w:ascii="Calibri" w:eastAsia="Calibri" w:hAnsi="Calibri" w:cs="Calibri"/>
        </w:rPr>
        <w:t>).</w:t>
      </w:r>
    </w:p>
    <w:p w14:paraId="61F433FB" w14:textId="77777777" w:rsidR="00F3464D" w:rsidRDefault="00A86FAC" w:rsidP="23A58F29">
      <w:pPr>
        <w:rPr>
          <w:rFonts w:ascii="Calibri" w:eastAsia="Calibri" w:hAnsi="Calibri" w:cs="Calibri"/>
        </w:rPr>
      </w:pPr>
      <w:r>
        <w:rPr>
          <w:rFonts w:ascii="Calibri" w:eastAsia="Calibri" w:hAnsi="Calibri" w:cs="Calibri"/>
        </w:rPr>
        <w:t>Such</w:t>
      </w:r>
      <w:r w:rsidR="006B22B5">
        <w:rPr>
          <w:rFonts w:ascii="Calibri" w:eastAsia="Calibri" w:hAnsi="Calibri" w:cs="Calibri"/>
        </w:rPr>
        <w:t xml:space="preserve"> changes </w:t>
      </w:r>
      <w:r w:rsidR="1DD59465" w:rsidRPr="0F82EADB">
        <w:rPr>
          <w:rFonts w:ascii="Calibri" w:eastAsia="Calibri" w:hAnsi="Calibri" w:cs="Calibri"/>
        </w:rPr>
        <w:t xml:space="preserve">mean a new form of competition for traditional </w:t>
      </w:r>
      <w:r>
        <w:rPr>
          <w:rFonts w:ascii="Calibri" w:eastAsia="Calibri" w:hAnsi="Calibri" w:cs="Calibri"/>
        </w:rPr>
        <w:t>OEMs</w:t>
      </w:r>
      <w:r w:rsidR="1DD59465" w:rsidRPr="0F82EADB">
        <w:rPr>
          <w:rFonts w:ascii="Calibri" w:eastAsia="Calibri" w:hAnsi="Calibri" w:cs="Calibri"/>
        </w:rPr>
        <w:t xml:space="preserve"> (</w:t>
      </w:r>
      <w:r w:rsidR="006B22B5">
        <w:rPr>
          <w:rFonts w:ascii="Calibri" w:eastAsia="Calibri" w:hAnsi="Calibri" w:cs="Calibri"/>
        </w:rPr>
        <w:t>such as</w:t>
      </w:r>
      <w:r w:rsidR="1DD59465" w:rsidRPr="0F82EADB">
        <w:rPr>
          <w:rFonts w:ascii="Calibri" w:eastAsia="Calibri" w:hAnsi="Calibri" w:cs="Calibri"/>
        </w:rPr>
        <w:t xml:space="preserve"> Volkswagen or Toyota) but also for all mobility</w:t>
      </w:r>
      <w:r w:rsidR="006B22B5">
        <w:rPr>
          <w:rFonts w:ascii="Calibri" w:eastAsia="Calibri" w:hAnsi="Calibri" w:cs="Calibri"/>
        </w:rPr>
        <w:t>-</w:t>
      </w:r>
      <w:r w:rsidR="1DD59465" w:rsidRPr="0F82EADB">
        <w:rPr>
          <w:rFonts w:ascii="Calibri" w:eastAsia="Calibri" w:hAnsi="Calibri" w:cs="Calibri"/>
        </w:rPr>
        <w:t>related business models</w:t>
      </w:r>
      <w:r w:rsidR="00727498">
        <w:rPr>
          <w:rFonts w:ascii="Calibri" w:eastAsia="Calibri" w:hAnsi="Calibri" w:cs="Calibri"/>
        </w:rPr>
        <w:t>,</w:t>
      </w:r>
      <w:r w:rsidR="006B22B5">
        <w:rPr>
          <w:rFonts w:ascii="Calibri" w:eastAsia="Calibri" w:hAnsi="Calibri" w:cs="Calibri"/>
        </w:rPr>
        <w:t xml:space="preserve"> including mobility support services </w:t>
      </w:r>
      <w:r w:rsidR="1DD59465" w:rsidRPr="0F82EADB">
        <w:rPr>
          <w:rFonts w:ascii="Calibri" w:eastAsia="Calibri" w:hAnsi="Calibri" w:cs="Calibri"/>
        </w:rPr>
        <w:t>(e.g.</w:t>
      </w:r>
      <w:r w:rsidR="006B22B5">
        <w:rPr>
          <w:rFonts w:ascii="Calibri" w:eastAsia="Calibri" w:hAnsi="Calibri" w:cs="Calibri"/>
        </w:rPr>
        <w:t xml:space="preserve"> maintenance</w:t>
      </w:r>
      <w:r w:rsidR="1DD59465" w:rsidRPr="0F82EADB">
        <w:rPr>
          <w:rFonts w:ascii="Calibri" w:eastAsia="Calibri" w:hAnsi="Calibri" w:cs="Calibri"/>
        </w:rPr>
        <w:t xml:space="preserve"> workshops, </w:t>
      </w:r>
      <w:r w:rsidR="006B22B5">
        <w:rPr>
          <w:rFonts w:ascii="Calibri" w:eastAsia="Calibri" w:hAnsi="Calibri" w:cs="Calibri"/>
        </w:rPr>
        <w:t xml:space="preserve">highway </w:t>
      </w:r>
      <w:r w:rsidR="1DD59465" w:rsidRPr="0F82EADB">
        <w:rPr>
          <w:rFonts w:ascii="Calibri" w:eastAsia="Calibri" w:hAnsi="Calibri" w:cs="Calibri"/>
        </w:rPr>
        <w:t>service area</w:t>
      </w:r>
      <w:r w:rsidR="006B22B5">
        <w:rPr>
          <w:rFonts w:ascii="Calibri" w:eastAsia="Calibri" w:hAnsi="Calibri" w:cs="Calibri"/>
        </w:rPr>
        <w:t xml:space="preserve"> operators, and</w:t>
      </w:r>
      <w:r w:rsidR="1DD59465" w:rsidRPr="0F82EADB">
        <w:rPr>
          <w:rFonts w:ascii="Calibri" w:eastAsia="Calibri" w:hAnsi="Calibri" w:cs="Calibri"/>
        </w:rPr>
        <w:t xml:space="preserve"> insurance companies). Both</w:t>
      </w:r>
      <w:r w:rsidR="006B22B5">
        <w:rPr>
          <w:rFonts w:ascii="Calibri" w:eastAsia="Calibri" w:hAnsi="Calibri" w:cs="Calibri"/>
        </w:rPr>
        <w:t xml:space="preserve"> traditional and newcomer players</w:t>
      </w:r>
      <w:r w:rsidR="00FC1D8D">
        <w:rPr>
          <w:rFonts w:ascii="Calibri" w:eastAsia="Calibri" w:hAnsi="Calibri" w:cs="Calibri"/>
        </w:rPr>
        <w:t xml:space="preserve"> </w:t>
      </w:r>
      <w:r w:rsidR="006B22B5">
        <w:rPr>
          <w:rFonts w:ascii="Calibri" w:eastAsia="Calibri" w:hAnsi="Calibri" w:cs="Calibri"/>
        </w:rPr>
        <w:t xml:space="preserve">report </w:t>
      </w:r>
      <w:r w:rsidR="1DD59465" w:rsidRPr="0F82EADB">
        <w:rPr>
          <w:rFonts w:ascii="Calibri" w:eastAsia="Calibri" w:hAnsi="Calibri" w:cs="Calibri"/>
        </w:rPr>
        <w:t>adop</w:t>
      </w:r>
      <w:r w:rsidR="006B22B5">
        <w:rPr>
          <w:rFonts w:ascii="Calibri" w:eastAsia="Calibri" w:hAnsi="Calibri" w:cs="Calibri"/>
        </w:rPr>
        <w:t>ting</w:t>
      </w:r>
      <w:r w:rsidR="1DD59465" w:rsidRPr="0F82EADB">
        <w:rPr>
          <w:rFonts w:ascii="Calibri" w:eastAsia="Calibri" w:hAnsi="Calibri" w:cs="Calibri"/>
        </w:rPr>
        <w:t xml:space="preserve"> demanding sustainab</w:t>
      </w:r>
      <w:r w:rsidR="004B354F">
        <w:rPr>
          <w:rFonts w:ascii="Calibri" w:eastAsia="Calibri" w:hAnsi="Calibri" w:cs="Calibri"/>
        </w:rPr>
        <w:t>ility</w:t>
      </w:r>
      <w:r w:rsidR="1DD59465" w:rsidRPr="0F82EADB">
        <w:rPr>
          <w:rFonts w:ascii="Calibri" w:eastAsia="Calibri" w:hAnsi="Calibri" w:cs="Calibri"/>
        </w:rPr>
        <w:t xml:space="preserve"> principles</w:t>
      </w:r>
      <w:r w:rsidR="006B22B5">
        <w:rPr>
          <w:rFonts w:ascii="Calibri" w:eastAsia="Calibri" w:hAnsi="Calibri" w:cs="Calibri"/>
        </w:rPr>
        <w:t xml:space="preserve"> and </w:t>
      </w:r>
      <w:r w:rsidR="1DD59465" w:rsidRPr="0F82EADB">
        <w:rPr>
          <w:rFonts w:ascii="Calibri" w:eastAsia="Calibri" w:hAnsi="Calibri" w:cs="Calibri"/>
        </w:rPr>
        <w:t xml:space="preserve">also </w:t>
      </w:r>
      <w:r w:rsidR="006B22B5">
        <w:rPr>
          <w:rFonts w:ascii="Calibri" w:eastAsia="Calibri" w:hAnsi="Calibri" w:cs="Calibri"/>
        </w:rPr>
        <w:t xml:space="preserve">to be </w:t>
      </w:r>
      <w:r w:rsidR="1DD59465" w:rsidRPr="0F82EADB">
        <w:rPr>
          <w:rFonts w:ascii="Calibri" w:eastAsia="Calibri" w:hAnsi="Calibri" w:cs="Calibri"/>
        </w:rPr>
        <w:t>adapt</w:t>
      </w:r>
      <w:r w:rsidR="006B22B5">
        <w:rPr>
          <w:rFonts w:ascii="Calibri" w:eastAsia="Calibri" w:hAnsi="Calibri" w:cs="Calibri"/>
        </w:rPr>
        <w:t>ing</w:t>
      </w:r>
      <w:r w:rsidR="1DD59465" w:rsidRPr="0F82EADB">
        <w:rPr>
          <w:rFonts w:ascii="Calibri" w:eastAsia="Calibri" w:hAnsi="Calibri" w:cs="Calibri"/>
        </w:rPr>
        <w:t xml:space="preserve"> their value proposition</w:t>
      </w:r>
      <w:r w:rsidR="004B354F">
        <w:rPr>
          <w:rFonts w:ascii="Calibri" w:eastAsia="Calibri" w:hAnsi="Calibri" w:cs="Calibri"/>
        </w:rPr>
        <w:t>s</w:t>
      </w:r>
      <w:r w:rsidR="00FC1D8D">
        <w:rPr>
          <w:rFonts w:ascii="Calibri" w:eastAsia="Calibri" w:hAnsi="Calibri" w:cs="Calibri"/>
        </w:rPr>
        <w:t xml:space="preserve"> </w:t>
      </w:r>
      <w:r w:rsidR="004B354F">
        <w:rPr>
          <w:rFonts w:ascii="Calibri" w:eastAsia="Calibri" w:hAnsi="Calibri" w:cs="Calibri"/>
        </w:rPr>
        <w:t xml:space="preserve">to take advantage of </w:t>
      </w:r>
      <w:r w:rsidR="1DD59465" w:rsidRPr="0F82EADB">
        <w:rPr>
          <w:rFonts w:ascii="Calibri" w:eastAsia="Calibri" w:hAnsi="Calibri" w:cs="Calibri"/>
        </w:rPr>
        <w:t>technological possibilities</w:t>
      </w:r>
      <w:r w:rsidR="004B354F">
        <w:rPr>
          <w:rFonts w:ascii="Calibri" w:eastAsia="Calibri" w:hAnsi="Calibri" w:cs="Calibri"/>
        </w:rPr>
        <w:t>. These responses include</w:t>
      </w:r>
      <w:r w:rsidR="006B22B5">
        <w:rPr>
          <w:rFonts w:ascii="Calibri" w:eastAsia="Calibri" w:hAnsi="Calibri" w:cs="Calibri"/>
        </w:rPr>
        <w:t xml:space="preserve"> leveraging</w:t>
      </w:r>
      <w:r w:rsidR="1DD59465" w:rsidRPr="0F82EADB">
        <w:rPr>
          <w:rFonts w:ascii="Calibri" w:eastAsia="Calibri" w:hAnsi="Calibri" w:cs="Calibri"/>
        </w:rPr>
        <w:t xml:space="preserve"> new digital platforms and </w:t>
      </w:r>
      <w:r w:rsidR="004B354F">
        <w:rPr>
          <w:rFonts w:ascii="Calibri" w:eastAsia="Calibri" w:hAnsi="Calibri" w:cs="Calibri"/>
        </w:rPr>
        <w:t xml:space="preserve">providing </w:t>
      </w:r>
      <w:r w:rsidR="1DD59465" w:rsidRPr="0F82EADB">
        <w:rPr>
          <w:rFonts w:ascii="Calibri" w:eastAsia="Calibri" w:hAnsi="Calibri" w:cs="Calibri"/>
        </w:rPr>
        <w:t>a higher serviti</w:t>
      </w:r>
      <w:r w:rsidR="006B22B5">
        <w:rPr>
          <w:rFonts w:ascii="Calibri" w:eastAsia="Calibri" w:hAnsi="Calibri" w:cs="Calibri"/>
        </w:rPr>
        <w:t>s</w:t>
      </w:r>
      <w:r w:rsidR="1DD59465" w:rsidRPr="0F82EADB">
        <w:rPr>
          <w:rFonts w:ascii="Calibri" w:eastAsia="Calibri" w:hAnsi="Calibri" w:cs="Calibri"/>
        </w:rPr>
        <w:t>ation of their activit</w:t>
      </w:r>
      <w:r w:rsidR="004B354F">
        <w:rPr>
          <w:rFonts w:ascii="Calibri" w:eastAsia="Calibri" w:hAnsi="Calibri" w:cs="Calibri"/>
        </w:rPr>
        <w:t>ies</w:t>
      </w:r>
      <w:r w:rsidR="00FC1D8D">
        <w:rPr>
          <w:rFonts w:ascii="Calibri" w:eastAsia="Calibri" w:hAnsi="Calibri" w:cs="Calibri"/>
        </w:rPr>
        <w:t xml:space="preserve"> </w:t>
      </w:r>
      <w:r w:rsidR="004B354F">
        <w:rPr>
          <w:rFonts w:ascii="Calibri" w:eastAsia="Calibri" w:hAnsi="Calibri" w:cs="Calibri"/>
        </w:rPr>
        <w:t>in order</w:t>
      </w:r>
      <w:r w:rsidR="007F565F">
        <w:rPr>
          <w:rFonts w:ascii="Calibri" w:eastAsia="Calibri" w:hAnsi="Calibri" w:cs="Calibri"/>
        </w:rPr>
        <w:t xml:space="preserve"> </w:t>
      </w:r>
      <w:r w:rsidR="1DD59465" w:rsidRPr="0F82EADB">
        <w:rPr>
          <w:rFonts w:ascii="Calibri" w:eastAsia="Calibri" w:hAnsi="Calibri" w:cs="Calibri"/>
        </w:rPr>
        <w:t xml:space="preserve">to offer </w:t>
      </w:r>
      <w:r w:rsidR="004B354F">
        <w:rPr>
          <w:rFonts w:ascii="Calibri" w:eastAsia="Calibri" w:hAnsi="Calibri" w:cs="Calibri"/>
        </w:rPr>
        <w:t xml:space="preserve">more </w:t>
      </w:r>
      <w:r w:rsidR="1DD59465" w:rsidRPr="0F82EADB">
        <w:rPr>
          <w:rFonts w:ascii="Calibri" w:eastAsia="Calibri" w:hAnsi="Calibri" w:cs="Calibri"/>
        </w:rPr>
        <w:t>personalized mobility solutions</w:t>
      </w:r>
      <w:r w:rsidR="006B22B5">
        <w:rPr>
          <w:rFonts w:ascii="Calibri" w:eastAsia="Calibri" w:hAnsi="Calibri" w:cs="Calibri"/>
        </w:rPr>
        <w:t xml:space="preserve"> (Cab</w:t>
      </w:r>
      <w:r w:rsidR="00D0589F">
        <w:rPr>
          <w:rFonts w:ascii="Calibri" w:eastAsia="Calibri" w:hAnsi="Calibri" w:cs="Calibri"/>
        </w:rPr>
        <w:t>a</w:t>
      </w:r>
      <w:r w:rsidR="006B22B5">
        <w:rPr>
          <w:rFonts w:ascii="Calibri" w:eastAsia="Calibri" w:hAnsi="Calibri" w:cs="Calibri"/>
        </w:rPr>
        <w:t>n</w:t>
      </w:r>
      <w:r w:rsidR="00D0589F">
        <w:rPr>
          <w:rFonts w:ascii="Calibri" w:eastAsia="Calibri" w:hAnsi="Calibri" w:cs="Calibri"/>
        </w:rPr>
        <w:t>e</w:t>
      </w:r>
      <w:r w:rsidR="006B22B5">
        <w:rPr>
          <w:rFonts w:ascii="Calibri" w:eastAsia="Calibri" w:hAnsi="Calibri" w:cs="Calibri"/>
        </w:rPr>
        <w:t>l</w:t>
      </w:r>
      <w:r w:rsidR="006A343C">
        <w:rPr>
          <w:rFonts w:ascii="Calibri" w:eastAsia="Calibri" w:hAnsi="Calibri" w:cs="Calibri"/>
        </w:rPr>
        <w:t>a</w:t>
      </w:r>
      <w:r w:rsidR="006B22B5">
        <w:rPr>
          <w:rFonts w:ascii="Calibri" w:eastAsia="Calibri" w:hAnsi="Calibri" w:cs="Calibri"/>
        </w:rPr>
        <w:t xml:space="preserve">s et al., </w:t>
      </w:r>
      <w:r w:rsidR="004B354F">
        <w:rPr>
          <w:rFonts w:ascii="Calibri" w:eastAsia="Calibri" w:hAnsi="Calibri" w:cs="Calibri"/>
        </w:rPr>
        <w:t>2023</w:t>
      </w:r>
      <w:r w:rsidR="006B22B5">
        <w:rPr>
          <w:rFonts w:ascii="Calibri" w:eastAsia="Calibri" w:hAnsi="Calibri" w:cs="Calibri"/>
        </w:rPr>
        <w:t>)</w:t>
      </w:r>
      <w:r w:rsidR="1DD59465" w:rsidRPr="0F82EADB">
        <w:rPr>
          <w:rFonts w:ascii="Calibri" w:eastAsia="Calibri" w:hAnsi="Calibri" w:cs="Calibri"/>
        </w:rPr>
        <w:t xml:space="preserve">. </w:t>
      </w:r>
      <w:r w:rsidR="006B22B5">
        <w:rPr>
          <w:rFonts w:ascii="Calibri" w:eastAsia="Calibri" w:hAnsi="Calibri" w:cs="Calibri"/>
        </w:rPr>
        <w:t>Examples of the</w:t>
      </w:r>
      <w:r w:rsidR="002B0545">
        <w:rPr>
          <w:rFonts w:ascii="Calibri" w:eastAsia="Calibri" w:hAnsi="Calibri" w:cs="Calibri"/>
        </w:rPr>
        <w:t xml:space="preserve"> sustainability</w:t>
      </w:r>
      <w:r w:rsidR="006B22B5">
        <w:rPr>
          <w:rFonts w:ascii="Calibri" w:eastAsia="Calibri" w:hAnsi="Calibri" w:cs="Calibri"/>
        </w:rPr>
        <w:t xml:space="preserve"> commitments include a desire to use </w:t>
      </w:r>
      <w:r w:rsidR="1DD59465" w:rsidRPr="0F82EADB">
        <w:rPr>
          <w:rFonts w:ascii="Calibri" w:eastAsia="Calibri" w:hAnsi="Calibri" w:cs="Calibri"/>
        </w:rPr>
        <w:t>existing resources</w:t>
      </w:r>
      <w:r w:rsidR="006B22B5">
        <w:rPr>
          <w:rFonts w:ascii="Calibri" w:eastAsia="Calibri" w:hAnsi="Calibri" w:cs="Calibri"/>
        </w:rPr>
        <w:t xml:space="preserve"> more efficiently</w:t>
      </w:r>
      <w:r w:rsidR="1DD59465" w:rsidRPr="0F82EADB">
        <w:rPr>
          <w:rFonts w:ascii="Calibri" w:eastAsia="Calibri" w:hAnsi="Calibri" w:cs="Calibri"/>
        </w:rPr>
        <w:t>, increasing the use and lifetime of vehicles</w:t>
      </w:r>
      <w:r w:rsidR="00E849BA">
        <w:rPr>
          <w:rFonts w:ascii="Calibri" w:eastAsia="Calibri" w:hAnsi="Calibri" w:cs="Calibri"/>
        </w:rPr>
        <w:t>,</w:t>
      </w:r>
      <w:r w:rsidR="1DD59465" w:rsidRPr="0F82EADB">
        <w:rPr>
          <w:rFonts w:ascii="Calibri" w:eastAsia="Calibri" w:hAnsi="Calibri" w:cs="Calibri"/>
        </w:rPr>
        <w:t xml:space="preserve"> applying a circular economy logic (</w:t>
      </w:r>
      <w:proofErr w:type="spellStart"/>
      <w:r w:rsidR="1DD59465" w:rsidRPr="0F82EADB">
        <w:rPr>
          <w:rFonts w:ascii="Calibri" w:eastAsia="Calibri" w:hAnsi="Calibri" w:cs="Calibri"/>
        </w:rPr>
        <w:t>Alaerts</w:t>
      </w:r>
      <w:proofErr w:type="spellEnd"/>
      <w:r w:rsidR="1DD59465" w:rsidRPr="0F82EADB">
        <w:rPr>
          <w:rFonts w:ascii="Calibri" w:eastAsia="Calibri" w:hAnsi="Calibri" w:cs="Calibri"/>
        </w:rPr>
        <w:t xml:space="preserve"> et al., 2019)</w:t>
      </w:r>
      <w:r w:rsidR="002B0545">
        <w:rPr>
          <w:rFonts w:ascii="Calibri" w:eastAsia="Calibri" w:hAnsi="Calibri" w:cs="Calibri"/>
        </w:rPr>
        <w:t xml:space="preserve">. A practical demonstration of these approaches could include </w:t>
      </w:r>
      <w:r w:rsidR="1DD59465" w:rsidRPr="0F82EADB">
        <w:rPr>
          <w:rFonts w:ascii="Calibri" w:eastAsia="Calibri" w:hAnsi="Calibri" w:cs="Calibri"/>
        </w:rPr>
        <w:t xml:space="preserve">the better coordination of car-sharing fleets and the integration of electric or other </w:t>
      </w:r>
      <w:r w:rsidR="002B0545">
        <w:rPr>
          <w:rFonts w:ascii="Calibri" w:eastAsia="Calibri" w:hAnsi="Calibri" w:cs="Calibri"/>
        </w:rPr>
        <w:t xml:space="preserve">lower environmental impact </w:t>
      </w:r>
      <w:r w:rsidR="1DD59465" w:rsidRPr="0F82EADB">
        <w:rPr>
          <w:rFonts w:ascii="Calibri" w:eastAsia="Calibri" w:hAnsi="Calibri" w:cs="Calibri"/>
        </w:rPr>
        <w:t xml:space="preserve">vehicles </w:t>
      </w:r>
      <w:r w:rsidR="002B0545">
        <w:rPr>
          <w:rFonts w:ascii="Calibri" w:eastAsia="Calibri" w:hAnsi="Calibri" w:cs="Calibri"/>
        </w:rPr>
        <w:t xml:space="preserve">in the fleet </w:t>
      </w:r>
      <w:r w:rsidR="1DD59465" w:rsidRPr="0F82EADB">
        <w:rPr>
          <w:rFonts w:ascii="Calibri" w:eastAsia="Calibri" w:hAnsi="Calibri" w:cs="Calibri"/>
        </w:rPr>
        <w:t>(</w:t>
      </w:r>
      <w:proofErr w:type="spellStart"/>
      <w:r w:rsidR="1DD59465" w:rsidRPr="0F82EADB">
        <w:rPr>
          <w:rFonts w:ascii="Calibri" w:eastAsia="Calibri" w:hAnsi="Calibri" w:cs="Calibri"/>
        </w:rPr>
        <w:t>Globisch</w:t>
      </w:r>
      <w:proofErr w:type="spellEnd"/>
      <w:r w:rsidR="1DD59465" w:rsidRPr="0F82EADB">
        <w:rPr>
          <w:rFonts w:ascii="Calibri" w:eastAsia="Calibri" w:hAnsi="Calibri" w:cs="Calibri"/>
        </w:rPr>
        <w:t xml:space="preserve"> et al., 2019; Whittle et al., 2019).</w:t>
      </w:r>
    </w:p>
    <w:p w14:paraId="707B10FA" w14:textId="77777777" w:rsidR="23A58F29" w:rsidRDefault="006B22B5" w:rsidP="23A58F29">
      <w:pPr>
        <w:rPr>
          <w:rFonts w:ascii="Calibri" w:eastAsia="Calibri" w:hAnsi="Calibri" w:cs="Calibri"/>
        </w:rPr>
      </w:pPr>
      <w:r>
        <w:rPr>
          <w:rFonts w:ascii="Calibri" w:eastAsia="Calibri" w:hAnsi="Calibri" w:cs="Calibri"/>
        </w:rPr>
        <w:t>Joining these initiatives is the principle that, i</w:t>
      </w:r>
      <w:r w:rsidR="1DD59465" w:rsidRPr="0F82EADB">
        <w:rPr>
          <w:rFonts w:ascii="Calibri" w:eastAsia="Calibri" w:hAnsi="Calibri" w:cs="Calibri"/>
        </w:rPr>
        <w:t xml:space="preserve">f information flows </w:t>
      </w:r>
      <w:r w:rsidR="00E62164">
        <w:rPr>
          <w:rFonts w:ascii="Calibri" w:eastAsia="Calibri" w:hAnsi="Calibri" w:cs="Calibri"/>
        </w:rPr>
        <w:t xml:space="preserve">between </w:t>
      </w:r>
      <w:r w:rsidR="1DD59465" w:rsidRPr="0F82EADB">
        <w:rPr>
          <w:rFonts w:ascii="Calibri" w:eastAsia="Calibri" w:hAnsi="Calibri" w:cs="Calibri"/>
        </w:rPr>
        <w:t xml:space="preserve">travellers and companies in a </w:t>
      </w:r>
      <w:r>
        <w:rPr>
          <w:rFonts w:ascii="Calibri" w:eastAsia="Calibri" w:hAnsi="Calibri" w:cs="Calibri"/>
        </w:rPr>
        <w:t xml:space="preserve">more </w:t>
      </w:r>
      <w:r w:rsidR="1DD59465" w:rsidRPr="0F82EADB">
        <w:rPr>
          <w:rFonts w:ascii="Calibri" w:eastAsia="Calibri" w:hAnsi="Calibri" w:cs="Calibri"/>
        </w:rPr>
        <w:t>connected</w:t>
      </w:r>
      <w:r w:rsidR="00F3464D">
        <w:rPr>
          <w:rFonts w:ascii="Calibri" w:eastAsia="Calibri" w:hAnsi="Calibri" w:cs="Calibri"/>
        </w:rPr>
        <w:t xml:space="preserve"> way</w:t>
      </w:r>
      <w:r w:rsidR="1DD59465" w:rsidRPr="0F82EADB">
        <w:rPr>
          <w:rFonts w:ascii="Calibri" w:eastAsia="Calibri" w:hAnsi="Calibri" w:cs="Calibri"/>
        </w:rPr>
        <w:t xml:space="preserve">, the </w:t>
      </w:r>
      <w:r w:rsidR="00F3464D">
        <w:rPr>
          <w:rFonts w:ascii="Calibri" w:eastAsia="Calibri" w:hAnsi="Calibri" w:cs="Calibri"/>
        </w:rPr>
        <w:t xml:space="preserve">collective </w:t>
      </w:r>
      <w:r w:rsidR="1DD59465" w:rsidRPr="0F82EADB">
        <w:rPr>
          <w:rFonts w:ascii="Calibri" w:eastAsia="Calibri" w:hAnsi="Calibri" w:cs="Calibri"/>
        </w:rPr>
        <w:t xml:space="preserve">value proposition will </w:t>
      </w:r>
      <w:r w:rsidR="00E62164">
        <w:rPr>
          <w:rFonts w:ascii="Calibri" w:eastAsia="Calibri" w:hAnsi="Calibri" w:cs="Calibri"/>
        </w:rPr>
        <w:t>be enhanced</w:t>
      </w:r>
      <w:r w:rsidR="00F3464D">
        <w:rPr>
          <w:rFonts w:ascii="Calibri" w:eastAsia="Calibri" w:hAnsi="Calibri" w:cs="Calibri"/>
        </w:rPr>
        <w:t xml:space="preserve">, </w:t>
      </w:r>
      <w:r w:rsidR="1DD59465" w:rsidRPr="0F82EADB">
        <w:rPr>
          <w:rFonts w:ascii="Calibri" w:eastAsia="Calibri" w:hAnsi="Calibri" w:cs="Calibri"/>
        </w:rPr>
        <w:t xml:space="preserve">and </w:t>
      </w:r>
      <w:r w:rsidR="00F3464D">
        <w:rPr>
          <w:rFonts w:ascii="Calibri" w:eastAsia="Calibri" w:hAnsi="Calibri" w:cs="Calibri"/>
        </w:rPr>
        <w:t xml:space="preserve">be directed towards </w:t>
      </w:r>
      <w:r w:rsidR="1DD59465" w:rsidRPr="0F82EADB">
        <w:rPr>
          <w:rFonts w:ascii="Calibri" w:eastAsia="Calibri" w:hAnsi="Calibri" w:cs="Calibri"/>
        </w:rPr>
        <w:t>increas</w:t>
      </w:r>
      <w:r w:rsidR="00F3464D">
        <w:rPr>
          <w:rFonts w:ascii="Calibri" w:eastAsia="Calibri" w:hAnsi="Calibri" w:cs="Calibri"/>
        </w:rPr>
        <w:t>ing</w:t>
      </w:r>
      <w:r w:rsidR="1DD59465" w:rsidRPr="0F82EADB">
        <w:rPr>
          <w:rFonts w:ascii="Calibri" w:eastAsia="Calibri" w:hAnsi="Calibri" w:cs="Calibri"/>
        </w:rPr>
        <w:t xml:space="preserve"> the sustainability of the whole passenger transport system</w:t>
      </w:r>
      <w:r w:rsidR="00E62164">
        <w:rPr>
          <w:rFonts w:ascii="Calibri" w:eastAsia="Calibri" w:hAnsi="Calibri" w:cs="Calibri"/>
        </w:rPr>
        <w:t xml:space="preserve">. At the same time, better </w:t>
      </w:r>
      <w:r w:rsidR="00E62164">
        <w:rPr>
          <w:rFonts w:ascii="Calibri" w:eastAsia="Calibri" w:hAnsi="Calibri" w:cs="Calibri"/>
        </w:rPr>
        <w:lastRenderedPageBreak/>
        <w:t>information can underpin</w:t>
      </w:r>
      <w:r>
        <w:rPr>
          <w:rFonts w:ascii="Calibri" w:eastAsia="Calibri" w:hAnsi="Calibri" w:cs="Calibri"/>
        </w:rPr>
        <w:t xml:space="preserve"> greater individuality of </w:t>
      </w:r>
      <w:r w:rsidR="00F3464D">
        <w:rPr>
          <w:rFonts w:ascii="Calibri" w:eastAsia="Calibri" w:hAnsi="Calibri" w:cs="Calibri"/>
        </w:rPr>
        <w:t xml:space="preserve">service </w:t>
      </w:r>
      <w:r>
        <w:rPr>
          <w:rFonts w:ascii="Calibri" w:eastAsia="Calibri" w:hAnsi="Calibri" w:cs="Calibri"/>
        </w:rPr>
        <w:t>offer</w:t>
      </w:r>
      <w:r w:rsidR="00E62164">
        <w:rPr>
          <w:rFonts w:ascii="Calibri" w:eastAsia="Calibri" w:hAnsi="Calibri" w:cs="Calibri"/>
        </w:rPr>
        <w:t>, and this</w:t>
      </w:r>
      <w:r w:rsidR="007F565F">
        <w:rPr>
          <w:rFonts w:ascii="Calibri" w:eastAsia="Calibri" w:hAnsi="Calibri" w:cs="Calibri"/>
        </w:rPr>
        <w:t xml:space="preserve"> </w:t>
      </w:r>
      <w:r w:rsidR="00E62164">
        <w:rPr>
          <w:rFonts w:ascii="Calibri" w:eastAsia="Calibri" w:hAnsi="Calibri" w:cs="Calibri"/>
        </w:rPr>
        <w:t xml:space="preserve">could </w:t>
      </w:r>
      <w:r>
        <w:rPr>
          <w:rFonts w:ascii="Calibri" w:eastAsia="Calibri" w:hAnsi="Calibri" w:cs="Calibri"/>
        </w:rPr>
        <w:t xml:space="preserve">potentially </w:t>
      </w:r>
      <w:r w:rsidR="00F3464D">
        <w:rPr>
          <w:rFonts w:ascii="Calibri" w:eastAsia="Calibri" w:hAnsi="Calibri" w:cs="Calibri"/>
        </w:rPr>
        <w:t>increase the inclusivity of the system of mobility</w:t>
      </w:r>
      <w:r w:rsidR="1DD59465" w:rsidRPr="0F82EADB">
        <w:rPr>
          <w:rFonts w:ascii="Calibri" w:eastAsia="Calibri" w:hAnsi="Calibri" w:cs="Calibri"/>
        </w:rPr>
        <w:t>.</w:t>
      </w:r>
    </w:p>
    <w:p w14:paraId="3C473D22" w14:textId="77777777" w:rsidR="00A42A5C" w:rsidRPr="00F3464D" w:rsidRDefault="006B22B5" w:rsidP="00A42A5C">
      <w:r w:rsidRPr="00F3464D">
        <w:t>Wh</w:t>
      </w:r>
      <w:r w:rsidR="00F3464D">
        <w:t>ilst the rhetoric is clear and strong, wh</w:t>
      </w:r>
      <w:r w:rsidRPr="00F3464D">
        <w:t>ether</w:t>
      </w:r>
      <w:r w:rsidR="00F3464D" w:rsidRPr="00F3464D">
        <w:t xml:space="preserve"> these freight and passenger promises will be achieved</w:t>
      </w:r>
      <w:r w:rsidR="00F3464D">
        <w:t xml:space="preserve"> must be subject to continual validation and analysis. The next section </w:t>
      </w:r>
      <w:r w:rsidR="006A343C">
        <w:t xml:space="preserve">develops a </w:t>
      </w:r>
      <w:r w:rsidR="00F3464D">
        <w:t xml:space="preserve">framework for </w:t>
      </w:r>
      <w:r w:rsidR="002B0545">
        <w:t xml:space="preserve">aligning stakeholder perspectives </w:t>
      </w:r>
      <w:r w:rsidR="006A343C">
        <w:t xml:space="preserve">towards what constitutes a significant and deliverable shift towards </w:t>
      </w:r>
      <w:r w:rsidR="002B0545">
        <w:t>sustainable mobility</w:t>
      </w:r>
      <w:r w:rsidR="00F3464D">
        <w:t>.</w:t>
      </w:r>
    </w:p>
    <w:p w14:paraId="14011400" w14:textId="77777777" w:rsidR="00A42A5C" w:rsidRPr="00F50BCB" w:rsidRDefault="003B64E0" w:rsidP="00F62761">
      <w:pPr>
        <w:pStyle w:val="Ttulo1"/>
        <w:numPr>
          <w:ilvl w:val="0"/>
          <w:numId w:val="0"/>
        </w:numPr>
      </w:pPr>
      <w:r>
        <w:t xml:space="preserve">The Sustainable Development Goals as </w:t>
      </w:r>
      <w:r w:rsidR="00D0589F">
        <w:t xml:space="preserve">a </w:t>
      </w:r>
      <w:r>
        <w:t xml:space="preserve">Framework for </w:t>
      </w:r>
      <w:r w:rsidR="00D0589F">
        <w:t>Sustainable Mobility Policy Development</w:t>
      </w:r>
    </w:p>
    <w:p w14:paraId="086904E4" w14:textId="77777777" w:rsidR="002121FC" w:rsidRDefault="002121FC" w:rsidP="00A42A5C"/>
    <w:p w14:paraId="3FED5DD8" w14:textId="77777777" w:rsidR="00F12E03" w:rsidRDefault="00F12E03" w:rsidP="00A42A5C">
      <w:r>
        <w:t>The U</w:t>
      </w:r>
      <w:r w:rsidR="0036364A">
        <w:t xml:space="preserve">nited </w:t>
      </w:r>
      <w:r>
        <w:t>N</w:t>
      </w:r>
      <w:r w:rsidR="0036364A">
        <w:t>ations (UN)</w:t>
      </w:r>
      <w:r>
        <w:t xml:space="preserve">’s 17 Sustainable Development Goals </w:t>
      </w:r>
      <w:r w:rsidR="001522AB">
        <w:t>(SDG</w:t>
      </w:r>
      <w:r w:rsidR="002121FC">
        <w:rPr>
          <w:lang w:val="mt-MT"/>
        </w:rPr>
        <w:t>s</w:t>
      </w:r>
      <w:r w:rsidR="001522AB">
        <w:t xml:space="preserve">) </w:t>
      </w:r>
      <w:r w:rsidR="0036364A">
        <w:t xml:space="preserve">(UN, undated) </w:t>
      </w:r>
      <w:r>
        <w:t>have been under development since the Rio de Janeiro Earth Summit of 1992 and are the centrepiece of the 2030 Agenda for Sustainable Development, adopted by UN Member States in 2015. The SDGs emphasise that environmental recovery and protection cannot, effectively or morally, proceed without integrated and concerted action to address social objectives including poverty, inequality and access to healthcare and education</w:t>
      </w:r>
      <w:r w:rsidR="00D11960">
        <w:t xml:space="preserve">. </w:t>
      </w:r>
      <w:r>
        <w:t>Achieving these objectives will also require economic growth of a sympathetic nature.</w:t>
      </w:r>
    </w:p>
    <w:p w14:paraId="1035F818" w14:textId="77777777" w:rsidR="00E71458" w:rsidRPr="003F578C" w:rsidRDefault="00E71458" w:rsidP="003F578C">
      <w:pPr>
        <w:pStyle w:val="Ttulo2"/>
        <w:rPr>
          <w:rFonts w:eastAsia="Calibri"/>
        </w:rPr>
      </w:pPr>
      <w:r>
        <w:rPr>
          <w:rFonts w:eastAsia="Calibri"/>
        </w:rPr>
        <w:t>T</w:t>
      </w:r>
      <w:r w:rsidRPr="003F578C">
        <w:rPr>
          <w:rFonts w:eastAsia="Calibri"/>
        </w:rPr>
        <w:t xml:space="preserve">he </w:t>
      </w:r>
      <w:r>
        <w:rPr>
          <w:rFonts w:eastAsia="Calibri"/>
        </w:rPr>
        <w:t>SDG</w:t>
      </w:r>
      <w:r w:rsidRPr="00E71458">
        <w:rPr>
          <w:rFonts w:eastAsia="Calibri"/>
        </w:rPr>
        <w:t xml:space="preserve">s </w:t>
      </w:r>
      <w:r w:rsidRPr="003F578C">
        <w:rPr>
          <w:rFonts w:eastAsia="Calibri"/>
        </w:rPr>
        <w:t xml:space="preserve">as </w:t>
      </w:r>
      <w:r>
        <w:rPr>
          <w:rFonts w:eastAsia="Calibri"/>
        </w:rPr>
        <w:t xml:space="preserve">a </w:t>
      </w:r>
      <w:r w:rsidRPr="00E71458">
        <w:rPr>
          <w:rFonts w:eastAsia="Calibri"/>
        </w:rPr>
        <w:t xml:space="preserve">tool for </w:t>
      </w:r>
      <w:r>
        <w:rPr>
          <w:rFonts w:eastAsia="Calibri"/>
        </w:rPr>
        <w:t xml:space="preserve">sharing perspectives on </w:t>
      </w:r>
      <w:r w:rsidRPr="00E71458">
        <w:rPr>
          <w:rFonts w:eastAsia="Calibri"/>
        </w:rPr>
        <w:t>sustainability</w:t>
      </w:r>
    </w:p>
    <w:p w14:paraId="017B7548" w14:textId="7E671B23" w:rsidR="00D434FA" w:rsidRDefault="005346D0" w:rsidP="00860C42">
      <w:r>
        <w:t xml:space="preserve">The </w:t>
      </w:r>
      <w:r w:rsidR="0085315C">
        <w:t xml:space="preserve">SDGs represent </w:t>
      </w:r>
      <w:r w:rsidR="00804BDA">
        <w:t xml:space="preserve">a significant </w:t>
      </w:r>
      <w:r w:rsidR="0085315C">
        <w:t xml:space="preserve">achievement </w:t>
      </w:r>
      <w:r w:rsidR="00804BDA">
        <w:t xml:space="preserve">in that they </w:t>
      </w:r>
      <w:r>
        <w:t xml:space="preserve">identify </w:t>
      </w:r>
      <w:r w:rsidR="0085315C">
        <w:t xml:space="preserve">universal goals accepted by 193 national governments. </w:t>
      </w:r>
      <w:r>
        <w:t xml:space="preserve">However, they have been subject to </w:t>
      </w:r>
      <w:r w:rsidR="00D434FA">
        <w:t>a number of criticisms</w:t>
      </w:r>
      <w:r>
        <w:t xml:space="preserve">, summarised by </w:t>
      </w:r>
      <w:r w:rsidRPr="00291473">
        <w:t>ICSU/ISSC (2015)</w:t>
      </w:r>
      <w:r w:rsidR="00D434FA">
        <w:t>. The</w:t>
      </w:r>
      <w:r>
        <w:t xml:space="preserve"> SDGs</w:t>
      </w:r>
      <w:r w:rsidR="00D434FA">
        <w:t xml:space="preserve"> can be seen as establishing endpoints without identifying </w:t>
      </w:r>
      <w:r>
        <w:t xml:space="preserve">process </w:t>
      </w:r>
      <w:r w:rsidR="00D434FA">
        <w:t xml:space="preserve">means of </w:t>
      </w:r>
      <w:r>
        <w:t xml:space="preserve">reaching them. </w:t>
      </w:r>
      <w:r w:rsidR="00860C42">
        <w:t xml:space="preserve">Indeed, as an evaluation tool, the SDGs have been seen to be limited by the lack of quantifiable targets and timelines. </w:t>
      </w:r>
      <w:r>
        <w:t>The</w:t>
      </w:r>
      <w:r w:rsidR="00860C42">
        <w:t xml:space="preserve"> SDGs a</w:t>
      </w:r>
      <w:r>
        <w:t xml:space="preserve">re </w:t>
      </w:r>
      <w:r w:rsidR="00860C42">
        <w:t xml:space="preserve">also </w:t>
      </w:r>
      <w:r>
        <w:t xml:space="preserve">argued </w:t>
      </w:r>
      <w:r w:rsidR="00860C42">
        <w:t xml:space="preserve">to </w:t>
      </w:r>
      <w:r>
        <w:t>b</w:t>
      </w:r>
      <w:r w:rsidR="00860C42">
        <w:t>e</w:t>
      </w:r>
      <w:r w:rsidR="00106B6B">
        <w:t xml:space="preserve"> </w:t>
      </w:r>
      <w:r>
        <w:t>oriented towards the perspectives of</w:t>
      </w:r>
      <w:r w:rsidR="00106B6B">
        <w:t xml:space="preserve"> </w:t>
      </w:r>
      <w:r>
        <w:t xml:space="preserve">national governments, rather than the wide range of stakeholders that need to be engaged to deliver them, notably </w:t>
      </w:r>
      <w:r w:rsidR="00F93A25">
        <w:t xml:space="preserve">those in </w:t>
      </w:r>
      <w:r>
        <w:t xml:space="preserve">the private sector. </w:t>
      </w:r>
      <w:r w:rsidR="006A343C">
        <w:t>Further</w:t>
      </w:r>
      <w:r w:rsidR="0048502C">
        <w:rPr>
          <w:lang w:val="mt-MT"/>
        </w:rPr>
        <w:t>more</w:t>
      </w:r>
      <w:r w:rsidR="006A343C">
        <w:t xml:space="preserve">, </w:t>
      </w:r>
      <w:r>
        <w:t xml:space="preserve">the 17 SDGs and their 169 targets </w:t>
      </w:r>
      <w:r w:rsidR="006A343C">
        <w:t xml:space="preserve">had been identified as </w:t>
      </w:r>
      <w:r>
        <w:t>tend</w:t>
      </w:r>
      <w:r w:rsidR="006A343C">
        <w:t>ing</w:t>
      </w:r>
      <w:r w:rsidR="00106B6B">
        <w:t xml:space="preserve"> </w:t>
      </w:r>
      <w:r w:rsidR="006A343C">
        <w:t>to promote</w:t>
      </w:r>
      <w:r w:rsidR="00106B6B">
        <w:t xml:space="preserve"> </w:t>
      </w:r>
      <w:r w:rsidR="006A343C">
        <w:t>‘</w:t>
      </w:r>
      <w:r>
        <w:t>silo</w:t>
      </w:r>
      <w:r w:rsidR="006A343C">
        <w:t>’ policy thinking</w:t>
      </w:r>
      <w:r>
        <w:t xml:space="preserve">, whereas there are important interactions between them and </w:t>
      </w:r>
      <w:r w:rsidR="00860C42">
        <w:t xml:space="preserve">a recognition, including by the UN, that they need to be </w:t>
      </w:r>
      <w:r w:rsidR="002427ED">
        <w:t xml:space="preserve">overlaid </w:t>
      </w:r>
      <w:r w:rsidR="00860C42">
        <w:t xml:space="preserve">by principles </w:t>
      </w:r>
      <w:r w:rsidR="00F93A25">
        <w:t xml:space="preserve">or themes </w:t>
      </w:r>
      <w:r w:rsidR="00860C42">
        <w:t xml:space="preserve">which are even more fundamental, such as the ‘six elements’: people, planet, prosperity, justice, </w:t>
      </w:r>
      <w:proofErr w:type="gramStart"/>
      <w:r w:rsidR="00860C42">
        <w:t>partnership</w:t>
      </w:r>
      <w:proofErr w:type="gramEnd"/>
      <w:r w:rsidR="00860C42">
        <w:t xml:space="preserve"> and dignity (UN, 2014).</w:t>
      </w:r>
    </w:p>
    <w:p w14:paraId="784F0659" w14:textId="77777777" w:rsidR="00860C42" w:rsidRDefault="00F93A25" w:rsidP="00F93A25">
      <w:r>
        <w:t>Despite these criticisms, the SDGs nonetheless have a salience far beyond national governments and the public sector. Business consultants such as Ernst and Young extol the virtues of companies building them into strategic plans (Ernst &amp; Young Global Ltd, 2017), and a survey has identified that more than four-fifths of companies use the SDGs as a framework against which to align their sustainability reports, even if they are limited as a tool for assessing progress (GRI, 2022).</w:t>
      </w:r>
      <w:r w:rsidR="0048502C">
        <w:rPr>
          <w:lang w:val="mt-MT"/>
        </w:rPr>
        <w:t xml:space="preserve"> </w:t>
      </w:r>
      <w:r w:rsidR="003965AE">
        <w:t xml:space="preserve">And whilst </w:t>
      </w:r>
      <w:r w:rsidR="00804BDA">
        <w:t>needing further development</w:t>
      </w:r>
      <w:r w:rsidR="003965AE">
        <w:t xml:space="preserve">, the SDGs are also </w:t>
      </w:r>
      <w:r w:rsidR="00804BDA">
        <w:t xml:space="preserve">already </w:t>
      </w:r>
      <w:r w:rsidR="003965AE">
        <w:t xml:space="preserve">a recognised </w:t>
      </w:r>
      <w:r w:rsidR="00804BDA">
        <w:t>‘</w:t>
      </w:r>
      <w:r w:rsidR="003965AE">
        <w:t>brand</w:t>
      </w:r>
      <w:r w:rsidR="00804BDA">
        <w:t>’</w:t>
      </w:r>
      <w:r w:rsidR="00106B6B">
        <w:t xml:space="preserve"> </w:t>
      </w:r>
      <w:r w:rsidR="003965AE">
        <w:t xml:space="preserve">being applied at </w:t>
      </w:r>
      <w:r w:rsidR="00804BDA">
        <w:t xml:space="preserve">wide </w:t>
      </w:r>
      <w:r w:rsidR="003965AE">
        <w:t>scale in assessing company performance</w:t>
      </w:r>
      <w:r w:rsidR="00804BDA">
        <w:t>. T</w:t>
      </w:r>
      <w:r w:rsidR="003965AE">
        <w:t xml:space="preserve">he World Economic Forum (2021) reports on an assessment of </w:t>
      </w:r>
      <w:r w:rsidR="003965AE" w:rsidRPr="003965AE">
        <w:t>8,550 companies in the MSCI All Country World Index</w:t>
      </w:r>
      <w:r w:rsidR="003965AE">
        <w:t xml:space="preserve"> (finding that only a fraction were “strongly aligned” and around a fifth “aligned” with the goals).</w:t>
      </w:r>
    </w:p>
    <w:p w14:paraId="0AB37135" w14:textId="5ECF4E2A" w:rsidR="00C6534F" w:rsidRDefault="00804BDA" w:rsidP="003F578C">
      <w:r>
        <w:t xml:space="preserve">Given their high recognition beyond the scientific community, and use by politicians, educators, and business, the present chapter takes the view that the SDGs are, </w:t>
      </w:r>
      <w:r w:rsidRPr="00F62761">
        <w:rPr>
          <w:i/>
          <w:iCs/>
        </w:rPr>
        <w:t>de facto</w:t>
      </w:r>
      <w:r>
        <w:t>, the framework within which different stakeholders are most likely to develop shared perspectives on development, including technological transitions. T</w:t>
      </w:r>
      <w:r w:rsidR="00371DEC">
        <w:t>o this end t</w:t>
      </w:r>
      <w:r>
        <w:t xml:space="preserve">he chapter seeks to demonstrate how the SDGs can be applied to a specific case in order to enable </w:t>
      </w:r>
      <w:r w:rsidR="00371DEC">
        <w:t>the structuring of the complex reality of policy decisions (</w:t>
      </w:r>
      <w:r w:rsidR="00371DEC" w:rsidRPr="00371DEC">
        <w:t>Schön</w:t>
      </w:r>
      <w:r w:rsidR="00371DEC">
        <w:t xml:space="preserve"> and</w:t>
      </w:r>
      <w:r w:rsidR="00371DEC" w:rsidRPr="00371DEC">
        <w:t xml:space="preserve"> Rein</w:t>
      </w:r>
      <w:r w:rsidR="00371DEC">
        <w:t xml:space="preserve">, </w:t>
      </w:r>
      <w:r w:rsidR="00371DEC" w:rsidRPr="00371DEC">
        <w:t>1994)</w:t>
      </w:r>
      <w:r w:rsidR="00371DEC">
        <w:t>. In this context, scientific predictive scenarios and ex</w:t>
      </w:r>
      <w:r w:rsidR="0048502C">
        <w:rPr>
          <w:lang w:val="mt-MT"/>
        </w:rPr>
        <w:t>-</w:t>
      </w:r>
      <w:r w:rsidR="00371DEC">
        <w:t xml:space="preserve">post </w:t>
      </w:r>
      <w:r w:rsidR="00371DEC">
        <w:lastRenderedPageBreak/>
        <w:t>evaluations are critical sources of information and evidence to test and validate the policy framings around the SDGs</w:t>
      </w:r>
      <w:r w:rsidR="006A343C">
        <w:t>, but that framing is itself a distinct process of building</w:t>
      </w:r>
      <w:r w:rsidR="00FD26B4">
        <w:t xml:space="preserve"> (or not) a consensus around change</w:t>
      </w:r>
      <w:r w:rsidR="00371DEC">
        <w:t>.</w:t>
      </w:r>
      <w:r w:rsidR="00106B6B">
        <w:t xml:space="preserve"> </w:t>
      </w:r>
      <w:r w:rsidR="00FD26B4">
        <w:t>Indeed, as Genus and Stirling (2018) emphasise, exploring ‘dissensus’ is fundamental to question</w:t>
      </w:r>
      <w:r w:rsidR="00106B6B">
        <w:t xml:space="preserve"> </w:t>
      </w:r>
      <w:r w:rsidR="00FD26B4">
        <w:t>strongly</w:t>
      </w:r>
      <w:r w:rsidR="006A2C85">
        <w:t>-</w:t>
      </w:r>
      <w:r w:rsidR="00FD26B4">
        <w:t xml:space="preserve">asserted </w:t>
      </w:r>
      <w:r w:rsidR="006A2C85">
        <w:t xml:space="preserve">powerful </w:t>
      </w:r>
      <w:r w:rsidR="00FD26B4">
        <w:t>interests</w:t>
      </w:r>
      <w:r w:rsidR="006A2C85">
        <w:t xml:space="preserve"> and avoiding path-dependent or incumbent patterns of decision-making.</w:t>
      </w:r>
    </w:p>
    <w:p w14:paraId="210ABA6C" w14:textId="77777777" w:rsidR="003965AE" w:rsidRDefault="0025211E" w:rsidP="00F93A25">
      <w:r>
        <w:t xml:space="preserve">The approach also </w:t>
      </w:r>
      <w:r w:rsidR="006A2C85">
        <w:t xml:space="preserve">seeks to </w:t>
      </w:r>
      <w:r w:rsidR="00D0589F">
        <w:t>address the critiques that the SDGs must be applied in a relevant way, and consider interdependencies</w:t>
      </w:r>
      <w:r w:rsidR="006A2C85">
        <w:t>. To this end it</w:t>
      </w:r>
      <w:r w:rsidR="00106B6B">
        <w:t xml:space="preserve"> </w:t>
      </w:r>
      <w:r>
        <w:t>explor</w:t>
      </w:r>
      <w:r w:rsidR="006A2C85">
        <w:t>es</w:t>
      </w:r>
      <w:r>
        <w:t xml:space="preserve"> an approach to grouping the SDGs applied to the case of transport and mobility policy</w:t>
      </w:r>
      <w:r w:rsidR="00D0589F">
        <w:t xml:space="preserve">. In doing so it </w:t>
      </w:r>
      <w:r>
        <w:t>emphasise</w:t>
      </w:r>
      <w:r w:rsidR="00D0589F">
        <w:t>s</w:t>
      </w:r>
      <w:r>
        <w:t xml:space="preserve"> key themes in </w:t>
      </w:r>
      <w:r w:rsidR="00D0589F">
        <w:t xml:space="preserve">the </w:t>
      </w:r>
      <w:r>
        <w:t>delivery of change.</w:t>
      </w:r>
    </w:p>
    <w:p w14:paraId="339E959B" w14:textId="77777777" w:rsidR="00371DEC" w:rsidRPr="003F578C" w:rsidRDefault="00D0589F" w:rsidP="003F578C">
      <w:pPr>
        <w:pStyle w:val="Ttulo2"/>
        <w:rPr>
          <w:rFonts w:eastAsia="Calibri"/>
        </w:rPr>
      </w:pPr>
      <w:r w:rsidRPr="003F578C">
        <w:rPr>
          <w:rFonts w:eastAsia="Calibri"/>
        </w:rPr>
        <w:t>SDG dependencies on transport and mobility</w:t>
      </w:r>
    </w:p>
    <w:p w14:paraId="65DE2303" w14:textId="77777777" w:rsidR="001522AB" w:rsidRDefault="001522AB" w:rsidP="00A42A5C">
      <w:r>
        <w:t>There is, perhaps rightly, no SDG for mobility or accessibility. The demand for transport services is mostly a ‘derived demand’, in that most of its socio</w:t>
      </w:r>
      <w:r w:rsidR="0048502C">
        <w:rPr>
          <w:lang w:val="mt-MT"/>
        </w:rPr>
        <w:t>-</w:t>
      </w:r>
      <w:r>
        <w:t>economic welfare benefits derive not from the movement itself, but in facilitating access to goods, services, restorative environments, and social opportunities. However, for this very reason, several of the SDGs are contingent upon effective levels of physical accessibility</w:t>
      </w:r>
      <w:r w:rsidR="00FF5331">
        <w:t>. Depending on</w:t>
      </w:r>
      <w:r w:rsidR="00106B6B">
        <w:t xml:space="preserve"> </w:t>
      </w:r>
      <w:r w:rsidR="00FF5331">
        <w:t>the</w:t>
      </w:r>
      <w:r>
        <w:t xml:space="preserve"> socio</w:t>
      </w:r>
      <w:r w:rsidR="0048502C">
        <w:rPr>
          <w:lang w:val="mt-MT"/>
        </w:rPr>
        <w:t>-</w:t>
      </w:r>
      <w:r>
        <w:t>technical and built environment context</w:t>
      </w:r>
      <w:r w:rsidR="00FF5331">
        <w:t>, achieving accessibility</w:t>
      </w:r>
      <w:r w:rsidR="00106B6B">
        <w:t xml:space="preserve"> </w:t>
      </w:r>
      <w:r w:rsidR="00FF5331">
        <w:t xml:space="preserve">often </w:t>
      </w:r>
      <w:r>
        <w:t xml:space="preserve">means using mobility services secured through one’s own ownership of assets (e.g. car, bicycle) or renting assets owned by other (e.g. car hire) or paying to receive a transport service (e.g. bus, train, or aeroplane journey). Table 1 summarises the principal </w:t>
      </w:r>
      <w:r w:rsidR="00795373">
        <w:t xml:space="preserve">dependencies </w:t>
      </w:r>
      <w:r>
        <w:t xml:space="preserve">between the SDGs </w:t>
      </w:r>
      <w:r w:rsidR="000806FC">
        <w:t xml:space="preserve">and mobility in terms of </w:t>
      </w:r>
      <w:r>
        <w:t xml:space="preserve">the </w:t>
      </w:r>
      <w:r w:rsidR="000806FC">
        <w:t xml:space="preserve">key motivations </w:t>
      </w:r>
      <w:r>
        <w:t xml:space="preserve">for </w:t>
      </w:r>
      <w:r w:rsidR="000806FC">
        <w:t xml:space="preserve">movement (or, increasingly, and characterised strongly by practices during the COVID-19 </w:t>
      </w:r>
      <w:r w:rsidR="000254C2">
        <w:t>p</w:t>
      </w:r>
      <w:r w:rsidR="000806FC">
        <w:t>andemic, its substitution through virtual mobility)</w:t>
      </w:r>
      <w:r>
        <w:t>.</w:t>
      </w:r>
    </w:p>
    <w:p w14:paraId="15F223C7" w14:textId="77777777" w:rsidR="00991311" w:rsidRPr="000806FC" w:rsidRDefault="00991311" w:rsidP="002456F8">
      <w:pPr>
        <w:keepNext/>
        <w:rPr>
          <w:i/>
        </w:rPr>
      </w:pPr>
      <w:r w:rsidRPr="000806FC">
        <w:rPr>
          <w:i/>
        </w:rPr>
        <w:t>Table 1: Principal dependencies between the SDGs and mobility</w:t>
      </w:r>
    </w:p>
    <w:tbl>
      <w:tblPr>
        <w:tblStyle w:val="Tablaconcuadrcula"/>
        <w:tblW w:w="0" w:type="auto"/>
        <w:tblLook w:val="04A0" w:firstRow="1" w:lastRow="0" w:firstColumn="1" w:lastColumn="0" w:noHBand="0" w:noVBand="1"/>
      </w:tblPr>
      <w:tblGrid>
        <w:gridCol w:w="4531"/>
        <w:gridCol w:w="4485"/>
      </w:tblGrid>
      <w:tr w:rsidR="001522AB" w:rsidRPr="000806FC" w14:paraId="35D4656D" w14:textId="77777777" w:rsidTr="00795373">
        <w:tc>
          <w:tcPr>
            <w:tcW w:w="4531" w:type="dxa"/>
          </w:tcPr>
          <w:p w14:paraId="05533C2C" w14:textId="77777777" w:rsidR="001522AB" w:rsidRPr="000806FC" w:rsidRDefault="00795373" w:rsidP="00A42A5C">
            <w:pPr>
              <w:rPr>
                <w:b/>
              </w:rPr>
            </w:pPr>
            <w:r w:rsidRPr="000806FC">
              <w:rPr>
                <w:b/>
              </w:rPr>
              <w:t>SDG</w:t>
            </w:r>
            <w:r w:rsidR="000806FC" w:rsidRPr="000806FC">
              <w:rPr>
                <w:b/>
              </w:rPr>
              <w:t xml:space="preserve"> Number and Scope</w:t>
            </w:r>
          </w:p>
        </w:tc>
        <w:tc>
          <w:tcPr>
            <w:tcW w:w="4485" w:type="dxa"/>
          </w:tcPr>
          <w:p w14:paraId="65382445" w14:textId="77777777" w:rsidR="001522AB" w:rsidRPr="000806FC" w:rsidRDefault="00795373" w:rsidP="00A42A5C">
            <w:pPr>
              <w:rPr>
                <w:b/>
              </w:rPr>
            </w:pPr>
            <w:r w:rsidRPr="000806FC">
              <w:rPr>
                <w:b/>
              </w:rPr>
              <w:t>Dependenc</w:t>
            </w:r>
            <w:r w:rsidR="00E55C98" w:rsidRPr="000806FC">
              <w:rPr>
                <w:b/>
              </w:rPr>
              <w:t>i</w:t>
            </w:r>
            <w:r w:rsidRPr="000806FC">
              <w:rPr>
                <w:b/>
              </w:rPr>
              <w:t>e</w:t>
            </w:r>
            <w:r w:rsidR="00E55C98" w:rsidRPr="000806FC">
              <w:rPr>
                <w:b/>
              </w:rPr>
              <w:t>s</w:t>
            </w:r>
            <w:r w:rsidRPr="000806FC">
              <w:rPr>
                <w:b/>
              </w:rPr>
              <w:t xml:space="preserve"> on mobility</w:t>
            </w:r>
            <w:r w:rsidR="00E55C98" w:rsidRPr="000806FC">
              <w:rPr>
                <w:b/>
              </w:rPr>
              <w:t xml:space="preserve"> and transport services</w:t>
            </w:r>
          </w:p>
        </w:tc>
      </w:tr>
      <w:tr w:rsidR="00795373" w14:paraId="7BBFCC21" w14:textId="77777777" w:rsidTr="00795373">
        <w:tc>
          <w:tcPr>
            <w:tcW w:w="4531" w:type="dxa"/>
          </w:tcPr>
          <w:p w14:paraId="3043D1D4" w14:textId="77777777" w:rsidR="00795373" w:rsidRDefault="00795373" w:rsidP="00795373">
            <w:r w:rsidRPr="00A213CE">
              <w:t>1 End poverty in all its forms everywhere</w:t>
            </w:r>
          </w:p>
        </w:tc>
        <w:tc>
          <w:tcPr>
            <w:tcW w:w="4485" w:type="dxa"/>
          </w:tcPr>
          <w:p w14:paraId="34D57394" w14:textId="77777777" w:rsidR="00795373" w:rsidRDefault="0036364A" w:rsidP="00795373">
            <w:r w:rsidRPr="000806FC">
              <w:rPr>
                <w:u w:val="single"/>
              </w:rPr>
              <w:t>Affordable access</w:t>
            </w:r>
            <w:r>
              <w:t xml:space="preserve"> to a level of mobility services that facilitates at least the basic needs of life</w:t>
            </w:r>
          </w:p>
        </w:tc>
      </w:tr>
      <w:tr w:rsidR="00795373" w14:paraId="1076FEF5" w14:textId="77777777" w:rsidTr="00795373">
        <w:tc>
          <w:tcPr>
            <w:tcW w:w="4531" w:type="dxa"/>
          </w:tcPr>
          <w:p w14:paraId="08070640" w14:textId="77777777" w:rsidR="00795373" w:rsidRDefault="00795373" w:rsidP="00795373">
            <w:r w:rsidRPr="00A213CE">
              <w:t>2 End hunger, achieve food security and improved nutrition and promote sustainable agriculture</w:t>
            </w:r>
          </w:p>
        </w:tc>
        <w:tc>
          <w:tcPr>
            <w:tcW w:w="4485" w:type="dxa"/>
          </w:tcPr>
          <w:p w14:paraId="10878D42" w14:textId="77777777" w:rsidR="00795373" w:rsidRDefault="00795373" w:rsidP="00795373">
            <w:r>
              <w:t xml:space="preserve">Efficient </w:t>
            </w:r>
            <w:r w:rsidR="000806FC" w:rsidRPr="000806FC">
              <w:rPr>
                <w:u w:val="single"/>
              </w:rPr>
              <w:t>transport</w:t>
            </w:r>
            <w:r w:rsidR="003C3EE3">
              <w:rPr>
                <w:u w:val="single"/>
              </w:rPr>
              <w:t xml:space="preserve"> </w:t>
            </w:r>
            <w:r w:rsidR="000806FC" w:rsidRPr="000806FC">
              <w:rPr>
                <w:u w:val="single"/>
              </w:rPr>
              <w:t>from the</w:t>
            </w:r>
            <w:r w:rsidRPr="000806FC">
              <w:rPr>
                <w:u w:val="single"/>
              </w:rPr>
              <w:t xml:space="preserve"> places of food production</w:t>
            </w:r>
            <w:r>
              <w:t xml:space="preserve"> to </w:t>
            </w:r>
            <w:r w:rsidR="000806FC">
              <w:t xml:space="preserve">markets via </w:t>
            </w:r>
            <w:r w:rsidR="00826E53">
              <w:t xml:space="preserve">the </w:t>
            </w:r>
            <w:r>
              <w:t>transport system</w:t>
            </w:r>
          </w:p>
          <w:p w14:paraId="3B42E5CF" w14:textId="77777777" w:rsidR="00795373" w:rsidRDefault="00795373" w:rsidP="0036364A">
            <w:r>
              <w:t xml:space="preserve">Physical </w:t>
            </w:r>
            <w:r w:rsidR="000806FC">
              <w:t xml:space="preserve">or virtual </w:t>
            </w:r>
            <w:r>
              <w:t xml:space="preserve">access to marketplaces for </w:t>
            </w:r>
            <w:r w:rsidRPr="000806FC">
              <w:rPr>
                <w:u w:val="single"/>
              </w:rPr>
              <w:t>food</w:t>
            </w:r>
            <w:r w:rsidR="000806FC" w:rsidRPr="000806FC">
              <w:rPr>
                <w:u w:val="single"/>
              </w:rPr>
              <w:t xml:space="preserve"> purchase</w:t>
            </w:r>
            <w:r w:rsidR="0036364A">
              <w:t xml:space="preserve">, or </w:t>
            </w:r>
            <w:r w:rsidR="000806FC">
              <w:t xml:space="preserve">via </w:t>
            </w:r>
            <w:r w:rsidRPr="000806FC">
              <w:rPr>
                <w:u w:val="single"/>
              </w:rPr>
              <w:t>delivery services</w:t>
            </w:r>
          </w:p>
        </w:tc>
      </w:tr>
      <w:tr w:rsidR="00795373" w14:paraId="07FC9CBC" w14:textId="77777777" w:rsidTr="00795373">
        <w:tc>
          <w:tcPr>
            <w:tcW w:w="4531" w:type="dxa"/>
          </w:tcPr>
          <w:p w14:paraId="401FBECB" w14:textId="77777777" w:rsidR="00795373" w:rsidRDefault="00795373" w:rsidP="00795373">
            <w:r w:rsidRPr="00A213CE">
              <w:t>3 Ensure healthy lives and promote well-being for all at all ages</w:t>
            </w:r>
          </w:p>
        </w:tc>
        <w:tc>
          <w:tcPr>
            <w:tcW w:w="4485" w:type="dxa"/>
          </w:tcPr>
          <w:p w14:paraId="1CE737A8" w14:textId="77777777" w:rsidR="00826E53" w:rsidRPr="000806FC" w:rsidRDefault="00826E53" w:rsidP="00795373">
            <w:r w:rsidRPr="000806FC">
              <w:rPr>
                <w:u w:val="single"/>
              </w:rPr>
              <w:t>Access to health services</w:t>
            </w:r>
            <w:r w:rsidR="000806FC">
              <w:t xml:space="preserve"> by physical means, although telemedicine of growing relevance</w:t>
            </w:r>
          </w:p>
          <w:p w14:paraId="6D4EED90" w14:textId="77777777" w:rsidR="00795373" w:rsidRDefault="00826E53" w:rsidP="00795373">
            <w:r w:rsidRPr="000806FC">
              <w:rPr>
                <w:u w:val="single"/>
              </w:rPr>
              <w:t>Access to spaces which engender wellbeing</w:t>
            </w:r>
            <w:r>
              <w:t xml:space="preserve"> (</w:t>
            </w:r>
            <w:r w:rsidRPr="000806FC">
              <w:t>nature,</w:t>
            </w:r>
            <w:r>
              <w:t xml:space="preserve"> historic environments, places of value to the individual)</w:t>
            </w:r>
            <w:r w:rsidR="000806FC">
              <w:t>, mainly physically, although virtual access of relevance in some circumstances</w:t>
            </w:r>
          </w:p>
        </w:tc>
      </w:tr>
      <w:tr w:rsidR="00795373" w14:paraId="24F7FBA7" w14:textId="77777777" w:rsidTr="00795373">
        <w:tc>
          <w:tcPr>
            <w:tcW w:w="4531" w:type="dxa"/>
          </w:tcPr>
          <w:p w14:paraId="01158FAC" w14:textId="77777777" w:rsidR="00795373" w:rsidRDefault="00795373" w:rsidP="00795373">
            <w:r w:rsidRPr="00A213CE">
              <w:t>4 Ensure inclusive and equitable quality education and promote lifelong learning opportunities for all</w:t>
            </w:r>
          </w:p>
        </w:tc>
        <w:tc>
          <w:tcPr>
            <w:tcW w:w="4485" w:type="dxa"/>
          </w:tcPr>
          <w:p w14:paraId="333575E1" w14:textId="77777777" w:rsidR="00795373" w:rsidRPr="000806FC" w:rsidRDefault="000806FC" w:rsidP="00795373">
            <w:r w:rsidRPr="000806FC">
              <w:t xml:space="preserve">Physical and virtual </w:t>
            </w:r>
            <w:r w:rsidRPr="000806FC">
              <w:rPr>
                <w:u w:val="single"/>
              </w:rPr>
              <w:t>a</w:t>
            </w:r>
            <w:r w:rsidR="00826E53" w:rsidRPr="000806FC">
              <w:rPr>
                <w:u w:val="single"/>
              </w:rPr>
              <w:t>ccess to the places of education and training</w:t>
            </w:r>
            <w:r>
              <w:t xml:space="preserve"> – both modalities are now important due to the digitisation of knowledge and learning</w:t>
            </w:r>
          </w:p>
        </w:tc>
      </w:tr>
      <w:tr w:rsidR="00795373" w14:paraId="4B85D8B3" w14:textId="77777777" w:rsidTr="00795373">
        <w:tc>
          <w:tcPr>
            <w:tcW w:w="4531" w:type="dxa"/>
          </w:tcPr>
          <w:p w14:paraId="587DFC83" w14:textId="77777777" w:rsidR="00795373" w:rsidRDefault="00795373" w:rsidP="00795373">
            <w:r w:rsidRPr="00A213CE">
              <w:t>5 Achieve gender equality and empower all women and girls</w:t>
            </w:r>
          </w:p>
        </w:tc>
        <w:tc>
          <w:tcPr>
            <w:tcW w:w="4485" w:type="dxa"/>
          </w:tcPr>
          <w:p w14:paraId="744D10AE" w14:textId="77777777" w:rsidR="00795373" w:rsidRDefault="00826E53" w:rsidP="00795373">
            <w:r>
              <w:t>A transport</w:t>
            </w:r>
            <w:r w:rsidR="000806FC">
              <w:t xml:space="preserve"> and telecommunications</w:t>
            </w:r>
            <w:r>
              <w:t xml:space="preserve"> system which offers </w:t>
            </w:r>
            <w:r w:rsidRPr="000806FC">
              <w:rPr>
                <w:u w:val="single"/>
              </w:rPr>
              <w:t>services to all citizens</w:t>
            </w:r>
            <w:r>
              <w:t xml:space="preserve"> without the threat or reality of physical or psychological harm during mobility</w:t>
            </w:r>
            <w:r w:rsidR="000806FC">
              <w:t>, and which overcomes historic gender injustices in access to opportunity</w:t>
            </w:r>
          </w:p>
        </w:tc>
      </w:tr>
      <w:tr w:rsidR="00795373" w14:paraId="7A32AFAC" w14:textId="77777777" w:rsidTr="00795373">
        <w:tc>
          <w:tcPr>
            <w:tcW w:w="4531" w:type="dxa"/>
          </w:tcPr>
          <w:p w14:paraId="68D71DAC" w14:textId="77777777" w:rsidR="00795373" w:rsidRDefault="00795373" w:rsidP="00795373">
            <w:r w:rsidRPr="00A213CE">
              <w:lastRenderedPageBreak/>
              <w:t>6 Ensure availability and sustainable management of water and sanitation for all</w:t>
            </w:r>
          </w:p>
        </w:tc>
        <w:tc>
          <w:tcPr>
            <w:tcW w:w="4485" w:type="dxa"/>
          </w:tcPr>
          <w:p w14:paraId="1F9A36BD" w14:textId="77777777" w:rsidR="00795373" w:rsidRDefault="00A80940" w:rsidP="00795373">
            <w:r>
              <w:t xml:space="preserve">Although for many citizens globally, high quality water is found within the home or nearby, for many, travel for and transport of water it is still part of the daily grind of chores. Enhanced water infrastructure is </w:t>
            </w:r>
            <w:r w:rsidRPr="00A80940">
              <w:rPr>
                <w:u w:val="single"/>
              </w:rPr>
              <w:t>essential to minimise this need for travel</w:t>
            </w:r>
            <w:r>
              <w:t>.</w:t>
            </w:r>
          </w:p>
        </w:tc>
      </w:tr>
      <w:tr w:rsidR="00795373" w14:paraId="32270783" w14:textId="77777777" w:rsidTr="00795373">
        <w:tc>
          <w:tcPr>
            <w:tcW w:w="4531" w:type="dxa"/>
          </w:tcPr>
          <w:p w14:paraId="058A5079" w14:textId="77777777" w:rsidR="00795373" w:rsidRDefault="00795373" w:rsidP="00795373">
            <w:r w:rsidRPr="00A213CE">
              <w:t>7 Ensure access to affordable, reliable, sustainable and modern energy for all</w:t>
            </w:r>
          </w:p>
        </w:tc>
        <w:tc>
          <w:tcPr>
            <w:tcW w:w="4485" w:type="dxa"/>
          </w:tcPr>
          <w:p w14:paraId="263DF685" w14:textId="77777777" w:rsidR="00795373" w:rsidRDefault="00A80940" w:rsidP="00795373">
            <w:r>
              <w:t xml:space="preserve">The transport of fossil fuels perpetuates global warming, adds to energy costs, and results in injury and deaths through fuel tanker collisions. Enhanced energy infrastructure is essential to bring clean, renewable energy to the home </w:t>
            </w:r>
            <w:r w:rsidRPr="00A80940">
              <w:rPr>
                <w:u w:val="single"/>
              </w:rPr>
              <w:t>to minimise this need for transport</w:t>
            </w:r>
            <w:r>
              <w:t>.</w:t>
            </w:r>
          </w:p>
        </w:tc>
      </w:tr>
      <w:tr w:rsidR="00795373" w14:paraId="74CC1772" w14:textId="77777777" w:rsidTr="00795373">
        <w:tc>
          <w:tcPr>
            <w:tcW w:w="4531" w:type="dxa"/>
          </w:tcPr>
          <w:p w14:paraId="1E57F31A" w14:textId="77777777" w:rsidR="00795373" w:rsidRDefault="00795373" w:rsidP="00795373">
            <w:r w:rsidRPr="00A213CE">
              <w:t>8 Promote sustained, inclusive and sustainable economic growth, full and productive employment and decent work for all</w:t>
            </w:r>
          </w:p>
        </w:tc>
        <w:tc>
          <w:tcPr>
            <w:tcW w:w="4485" w:type="dxa"/>
          </w:tcPr>
          <w:p w14:paraId="2F15DD00" w14:textId="77777777" w:rsidR="00795373" w:rsidRDefault="00A80940" w:rsidP="00795373">
            <w:r>
              <w:t>Physical mobility – daily or seasonal - to</w:t>
            </w:r>
            <w:r w:rsidR="007E0165">
              <w:t xml:space="preserve"> </w:t>
            </w:r>
            <w:r>
              <w:t xml:space="preserve"> access a l</w:t>
            </w:r>
            <w:r w:rsidR="00826E53">
              <w:t>abour market</w:t>
            </w:r>
            <w:r>
              <w:t xml:space="preserve"> with a range of opportunities is one of the traditional objectives of transport policy and planning. Increasingly, virtual access for remote working is also important to deliver </w:t>
            </w:r>
            <w:r w:rsidR="00826E53" w:rsidRPr="00A80940">
              <w:rPr>
                <w:u w:val="single"/>
              </w:rPr>
              <w:t>access to employment</w:t>
            </w:r>
          </w:p>
        </w:tc>
      </w:tr>
      <w:tr w:rsidR="00795373" w14:paraId="6F4D02B8" w14:textId="77777777" w:rsidTr="00795373">
        <w:tc>
          <w:tcPr>
            <w:tcW w:w="4531" w:type="dxa"/>
          </w:tcPr>
          <w:p w14:paraId="54AC776F" w14:textId="77777777" w:rsidR="00795373" w:rsidRDefault="00795373" w:rsidP="00795373">
            <w:r w:rsidRPr="00A213CE">
              <w:t>9 Build resilient infrastructure, promote inclusive and sustainable industrialization and foster innovation</w:t>
            </w:r>
          </w:p>
        </w:tc>
        <w:tc>
          <w:tcPr>
            <w:tcW w:w="4485" w:type="dxa"/>
          </w:tcPr>
          <w:p w14:paraId="776EC373" w14:textId="77777777" w:rsidR="00795373" w:rsidRDefault="00826E53" w:rsidP="00795373">
            <w:r>
              <w:t xml:space="preserve">Transport </w:t>
            </w:r>
            <w:r w:rsidR="00A80940">
              <w:t xml:space="preserve">and communications </w:t>
            </w:r>
            <w:r>
              <w:t xml:space="preserve">services </w:t>
            </w:r>
            <w:r w:rsidRPr="00A80940">
              <w:rPr>
                <w:u w:val="single"/>
              </w:rPr>
              <w:t>which use infrastructures in an efficient way,</w:t>
            </w:r>
            <w:r>
              <w:t xml:space="preserve"> without imposing undue pressures on </w:t>
            </w:r>
            <w:r w:rsidR="00A80940">
              <w:t xml:space="preserve">operating costs, </w:t>
            </w:r>
            <w:r>
              <w:t>capacity and longevity through extreme congestion or vehicle weight</w:t>
            </w:r>
          </w:p>
        </w:tc>
      </w:tr>
      <w:tr w:rsidR="00795373" w14:paraId="33436A3B" w14:textId="77777777" w:rsidTr="00795373">
        <w:tc>
          <w:tcPr>
            <w:tcW w:w="4531" w:type="dxa"/>
          </w:tcPr>
          <w:p w14:paraId="786E3511" w14:textId="77777777" w:rsidR="00795373" w:rsidRDefault="00795373" w:rsidP="00795373">
            <w:r w:rsidRPr="00A213CE">
              <w:t>10 Reduce inequality within and among countries</w:t>
            </w:r>
          </w:p>
        </w:tc>
        <w:tc>
          <w:tcPr>
            <w:tcW w:w="4485" w:type="dxa"/>
          </w:tcPr>
          <w:p w14:paraId="36F6C07E" w14:textId="77777777" w:rsidR="00795373" w:rsidRDefault="00826E53" w:rsidP="00795373">
            <w:r>
              <w:t xml:space="preserve">A level of </w:t>
            </w:r>
            <w:r w:rsidRPr="001834D1">
              <w:rPr>
                <w:u w:val="single"/>
              </w:rPr>
              <w:t>international mobility</w:t>
            </w:r>
            <w:r>
              <w:t xml:space="preserve"> of people and goods which enables resources to flow to places suffering inequality and enables people to migrate to places of opportunity</w:t>
            </w:r>
            <w:r w:rsidR="001834D1">
              <w:t xml:space="preserve"> without unsustainable levels of environmental impact</w:t>
            </w:r>
          </w:p>
        </w:tc>
      </w:tr>
      <w:tr w:rsidR="00795373" w14:paraId="504F9EA0" w14:textId="77777777" w:rsidTr="00795373">
        <w:tc>
          <w:tcPr>
            <w:tcW w:w="4531" w:type="dxa"/>
          </w:tcPr>
          <w:p w14:paraId="3C4F25B6" w14:textId="77777777" w:rsidR="00795373" w:rsidRDefault="00795373" w:rsidP="00795373">
            <w:r w:rsidRPr="00A213CE">
              <w:t>11 Make cities and human settlements inclusive, safe, resilient and sustainable</w:t>
            </w:r>
          </w:p>
        </w:tc>
        <w:tc>
          <w:tcPr>
            <w:tcW w:w="4485" w:type="dxa"/>
          </w:tcPr>
          <w:p w14:paraId="43668D82" w14:textId="77777777" w:rsidR="00795373" w:rsidRDefault="00826E53" w:rsidP="00795373">
            <w:r>
              <w:t xml:space="preserve">Transport systems which </w:t>
            </w:r>
            <w:r w:rsidRPr="001834D1">
              <w:rPr>
                <w:u w:val="single"/>
              </w:rPr>
              <w:t>serve their cities rather than dominating them</w:t>
            </w:r>
            <w:r w:rsidRPr="00DF06E1">
              <w:t xml:space="preserve"> to</w:t>
            </w:r>
            <w:r w:rsidRPr="001834D1">
              <w:t xml:space="preserve"> the</w:t>
            </w:r>
            <w:r>
              <w:t xml:space="preserve"> exclusion of their primary purposes of being living spaces</w:t>
            </w:r>
          </w:p>
        </w:tc>
      </w:tr>
      <w:tr w:rsidR="00795373" w14:paraId="4B9C86BE" w14:textId="77777777" w:rsidTr="00795373">
        <w:tc>
          <w:tcPr>
            <w:tcW w:w="4531" w:type="dxa"/>
          </w:tcPr>
          <w:p w14:paraId="19853745" w14:textId="77777777" w:rsidR="00795373" w:rsidRDefault="00795373" w:rsidP="00795373">
            <w:r w:rsidRPr="00A213CE">
              <w:t>12 Ensure sustainable consumption and production patterns</w:t>
            </w:r>
          </w:p>
        </w:tc>
        <w:tc>
          <w:tcPr>
            <w:tcW w:w="4485" w:type="dxa"/>
          </w:tcPr>
          <w:p w14:paraId="26A60F0F" w14:textId="77777777" w:rsidR="00795373" w:rsidRDefault="00E55C98" w:rsidP="00795373">
            <w:r>
              <w:t xml:space="preserve">Linking the places of production and consumption with an intensity </w:t>
            </w:r>
            <w:r w:rsidR="00BF122A">
              <w:t xml:space="preserve">and efficiency </w:t>
            </w:r>
            <w:r>
              <w:t xml:space="preserve">that </w:t>
            </w:r>
            <w:r w:rsidRPr="00BF122A">
              <w:rPr>
                <w:u w:val="single"/>
              </w:rPr>
              <w:t>minimises energy demand</w:t>
            </w:r>
            <w:r>
              <w:t xml:space="preserve"> and preserves local specialism</w:t>
            </w:r>
          </w:p>
        </w:tc>
      </w:tr>
      <w:tr w:rsidR="00795373" w14:paraId="42C49A0A" w14:textId="77777777" w:rsidTr="00795373">
        <w:tc>
          <w:tcPr>
            <w:tcW w:w="4531" w:type="dxa"/>
          </w:tcPr>
          <w:p w14:paraId="4EEA0E20" w14:textId="77777777" w:rsidR="00795373" w:rsidRDefault="00795373" w:rsidP="00795373">
            <w:r w:rsidRPr="00A213CE">
              <w:t>13 Take urgent action to combat climate change and its impacts</w:t>
            </w:r>
          </w:p>
        </w:tc>
        <w:tc>
          <w:tcPr>
            <w:tcW w:w="4485" w:type="dxa"/>
          </w:tcPr>
          <w:p w14:paraId="042CB912" w14:textId="4DD734E1" w:rsidR="00795373" w:rsidRDefault="00826E53" w:rsidP="00795373">
            <w:r>
              <w:t xml:space="preserve">A transport system which will progressively and rapidly reach </w:t>
            </w:r>
            <w:r w:rsidRPr="00BF122A">
              <w:t>‘</w:t>
            </w:r>
            <w:r w:rsidRPr="00BF122A">
              <w:rPr>
                <w:u w:val="single"/>
              </w:rPr>
              <w:t>net zero</w:t>
            </w:r>
            <w:r w:rsidRPr="00BF122A">
              <w:t>’</w:t>
            </w:r>
          </w:p>
        </w:tc>
      </w:tr>
      <w:tr w:rsidR="00795373" w14:paraId="068B500C" w14:textId="77777777" w:rsidTr="00795373">
        <w:tc>
          <w:tcPr>
            <w:tcW w:w="4531" w:type="dxa"/>
          </w:tcPr>
          <w:p w14:paraId="0B565BCF" w14:textId="77777777" w:rsidR="00795373" w:rsidRDefault="00795373" w:rsidP="00795373">
            <w:r w:rsidRPr="00A213CE">
              <w:t>14 Conserve and sustainably use the oceans, seas and marine resources for sustainable development</w:t>
            </w:r>
          </w:p>
        </w:tc>
        <w:tc>
          <w:tcPr>
            <w:tcW w:w="4485" w:type="dxa"/>
          </w:tcPr>
          <w:p w14:paraId="0B0CD670" w14:textId="77777777" w:rsidR="00795373" w:rsidRDefault="00826E53" w:rsidP="00D8661D">
            <w:r>
              <w:t xml:space="preserve">Marine transport systems with drastically </w:t>
            </w:r>
            <w:r w:rsidRPr="00BF122A">
              <w:rPr>
                <w:u w:val="single"/>
              </w:rPr>
              <w:t xml:space="preserve">reduced </w:t>
            </w:r>
            <w:r w:rsidR="00E55C98" w:rsidRPr="00BF122A">
              <w:rPr>
                <w:u w:val="single"/>
              </w:rPr>
              <w:t>environmental pollution</w:t>
            </w:r>
            <w:r w:rsidR="00E55C98">
              <w:t xml:space="preserve"> (</w:t>
            </w:r>
            <w:r w:rsidR="00BF122A">
              <w:t xml:space="preserve">combustion, </w:t>
            </w:r>
            <w:r w:rsidR="00E55C98">
              <w:t>waste and noise emissions) and physical disturbance</w:t>
            </w:r>
          </w:p>
        </w:tc>
      </w:tr>
      <w:tr w:rsidR="00795373" w14:paraId="67FFA9A0" w14:textId="77777777" w:rsidTr="00795373">
        <w:tc>
          <w:tcPr>
            <w:tcW w:w="4531" w:type="dxa"/>
          </w:tcPr>
          <w:p w14:paraId="298A892B" w14:textId="77777777" w:rsidR="00795373" w:rsidRDefault="00795373" w:rsidP="00795373">
            <w:r w:rsidRPr="00A213CE">
              <w:t>15 Protect, restore and promote sustainable use of terrestrial ecosystems, sustainably manage forests, combat desertification, and halt and reverse land degradation and halt biodiversity loss</w:t>
            </w:r>
          </w:p>
        </w:tc>
        <w:tc>
          <w:tcPr>
            <w:tcW w:w="4485" w:type="dxa"/>
          </w:tcPr>
          <w:p w14:paraId="42BD01ED" w14:textId="77777777" w:rsidR="00795373" w:rsidRDefault="00E55C98" w:rsidP="00D8661D">
            <w:r>
              <w:t xml:space="preserve">Minimising the demand for </w:t>
            </w:r>
            <w:r w:rsidR="00BF122A">
              <w:t xml:space="preserve">additional land-take for </w:t>
            </w:r>
            <w:r>
              <w:t>transport infrastructure</w:t>
            </w:r>
            <w:r w:rsidR="00BF122A">
              <w:t xml:space="preserve"> provision</w:t>
            </w:r>
            <w:r w:rsidR="00D8661D">
              <w:t xml:space="preserve"> </w:t>
            </w:r>
            <w:r w:rsidRPr="00BF122A">
              <w:rPr>
                <w:u w:val="single"/>
              </w:rPr>
              <w:t>by using existing networks as efficiently</w:t>
            </w:r>
            <w:r w:rsidRPr="00BF122A">
              <w:t xml:space="preserve"> as pos</w:t>
            </w:r>
            <w:r>
              <w:t>sible</w:t>
            </w:r>
          </w:p>
        </w:tc>
      </w:tr>
      <w:tr w:rsidR="00795373" w14:paraId="022B0374" w14:textId="77777777" w:rsidTr="00795373">
        <w:tc>
          <w:tcPr>
            <w:tcW w:w="4531" w:type="dxa"/>
          </w:tcPr>
          <w:p w14:paraId="561B58BC" w14:textId="77777777" w:rsidR="00795373" w:rsidRDefault="00795373" w:rsidP="00795373">
            <w:r w:rsidRPr="00A213CE">
              <w:t>16 Promote peaceful and inclusive societies for sustainable development, provide access to justice for all and build effective, accountable and inclusive institutions at all levels</w:t>
            </w:r>
          </w:p>
        </w:tc>
        <w:tc>
          <w:tcPr>
            <w:tcW w:w="4485" w:type="dxa"/>
          </w:tcPr>
          <w:p w14:paraId="7227F691" w14:textId="77777777" w:rsidR="00795373" w:rsidRPr="00BF122A" w:rsidRDefault="00565A00" w:rsidP="00795373">
            <w:r w:rsidRPr="00BF122A">
              <w:rPr>
                <w:u w:val="single"/>
              </w:rPr>
              <w:t xml:space="preserve">Services regulated to meet needs of </w:t>
            </w:r>
            <w:r w:rsidR="00BF122A" w:rsidRPr="00BF122A">
              <w:rPr>
                <w:u w:val="single"/>
              </w:rPr>
              <w:t>all citizens</w:t>
            </w:r>
            <w:r w:rsidR="00BF122A" w:rsidRPr="00BF122A">
              <w:t>, so no one, literally and figuratively, is left behind</w:t>
            </w:r>
          </w:p>
        </w:tc>
      </w:tr>
      <w:tr w:rsidR="00795373" w14:paraId="58EC66E5" w14:textId="77777777" w:rsidTr="00795373">
        <w:tc>
          <w:tcPr>
            <w:tcW w:w="4531" w:type="dxa"/>
          </w:tcPr>
          <w:p w14:paraId="47302679" w14:textId="77777777" w:rsidR="00795373" w:rsidRDefault="00795373" w:rsidP="00795373">
            <w:r w:rsidRPr="00A213CE">
              <w:t xml:space="preserve">17 Strengthen the means of implementation </w:t>
            </w:r>
            <w:r w:rsidRPr="00A213CE">
              <w:lastRenderedPageBreak/>
              <w:t>and revitalize the global partnership for sustainable development</w:t>
            </w:r>
          </w:p>
        </w:tc>
        <w:tc>
          <w:tcPr>
            <w:tcW w:w="4485" w:type="dxa"/>
          </w:tcPr>
          <w:p w14:paraId="1D40C5AE" w14:textId="77777777" w:rsidR="00795373" w:rsidRDefault="00BF122A" w:rsidP="00795373">
            <w:r>
              <w:lastRenderedPageBreak/>
              <w:t xml:space="preserve">Ensuring that professionals, volunteers, and </w:t>
            </w:r>
            <w:r>
              <w:lastRenderedPageBreak/>
              <w:t xml:space="preserve">citizens engaged in sustainable mobility have the </w:t>
            </w:r>
            <w:r w:rsidRPr="00BF122A">
              <w:rPr>
                <w:u w:val="single"/>
              </w:rPr>
              <w:t>capacity and capability</w:t>
            </w:r>
            <w:r>
              <w:t xml:space="preserve"> necessary to deliver against SDGs 1-16 as they relate to travel and transport locally, nationally and internationally </w:t>
            </w:r>
          </w:p>
        </w:tc>
      </w:tr>
    </w:tbl>
    <w:p w14:paraId="0034525C" w14:textId="77777777" w:rsidR="001522AB" w:rsidRDefault="001522AB" w:rsidP="00A42A5C"/>
    <w:p w14:paraId="72484DDD" w14:textId="77777777" w:rsidR="00FB5C42" w:rsidRDefault="00FB5C42" w:rsidP="0036364A">
      <w:r>
        <w:t>Table 1 confirms that mobility policies and practices have implications for all 17 SDGs</w:t>
      </w:r>
      <w:r w:rsidR="0061271A">
        <w:t>. In some cases (e.g. 9, 12, 13) transport activity has a direct impact on their deliverability. In many, transport plays a key facilitating role (e.g. 2, 3, 4, 8). For water (6) and energy (7), the preferred outcome is promoted by the extent people and commodities no longer have to travel, except by pipeline or wire. For some, transport and mobility present one important facet of the problem or development need (5, 10, 11, 15, 16). Lastly, 17 represents the sector’s ability to delivery change.</w:t>
      </w:r>
    </w:p>
    <w:p w14:paraId="5AE00B33" w14:textId="72E5DAF4" w:rsidR="00F13BB9" w:rsidRDefault="00E02230" w:rsidP="0036364A">
      <w:r>
        <w:t xml:space="preserve">Taken at scale and in its full intent, the project of ‘new mobility’ identified in the introduction might have significant impacts on </w:t>
      </w:r>
      <w:r w:rsidR="00773BEA">
        <w:t xml:space="preserve">the broad dependencies </w:t>
      </w:r>
      <w:r>
        <w:t>of Table 1</w:t>
      </w:r>
      <w:r w:rsidR="00C86E5A">
        <w:t>. I</w:t>
      </w:r>
      <w:r>
        <w:t xml:space="preserve">ndividual new mobility services will affect those relationships in specific ways, potentially with positive influence on some SDGs, and negative on others. Hence, </w:t>
      </w:r>
      <w:r w:rsidR="00EC36D1">
        <w:t xml:space="preserve">the authors </w:t>
      </w:r>
      <w:r w:rsidR="007B37C5">
        <w:t xml:space="preserve">draw upon </w:t>
      </w:r>
      <w:r w:rsidR="00EC36D1">
        <w:t xml:space="preserve">existing qualitative datasets developed through </w:t>
      </w:r>
      <w:r w:rsidR="007B37C5">
        <w:t xml:space="preserve">earlier </w:t>
      </w:r>
      <w:r w:rsidR="00EC36D1">
        <w:t>project</w:t>
      </w:r>
      <w:r w:rsidR="007B37C5">
        <w:t>s</w:t>
      </w:r>
      <w:r w:rsidR="000F3904">
        <w:t xml:space="preserve"> </w:t>
      </w:r>
      <w:r w:rsidR="00C86E5A">
        <w:t xml:space="preserve">which </w:t>
      </w:r>
      <w:r>
        <w:t>explor</w:t>
      </w:r>
      <w:r w:rsidR="00C86E5A">
        <w:t>ed</w:t>
      </w:r>
      <w:r w:rsidR="000F3904">
        <w:t xml:space="preserve"> </w:t>
      </w:r>
      <w:r w:rsidR="00EC36D1">
        <w:t>the emergence of new mobility</w:t>
      </w:r>
      <w:r w:rsidR="00E55C98">
        <w:t xml:space="preserve"> services</w:t>
      </w:r>
      <w:r>
        <w:t xml:space="preserve"> to examine those possible implications from the perspective of their architects</w:t>
      </w:r>
      <w:r w:rsidR="000F3904">
        <w:t xml:space="preserve"> </w:t>
      </w:r>
      <w:r w:rsidR="0036364A">
        <w:t>and promotors</w:t>
      </w:r>
      <w:r w:rsidR="00E55C98">
        <w:t>. The data aris</w:t>
      </w:r>
      <w:r w:rsidR="0036364A">
        <w:t>e</w:t>
      </w:r>
      <w:r w:rsidR="00E55C98">
        <w:t xml:space="preserve"> from</w:t>
      </w:r>
      <w:r w:rsidR="00A2513D">
        <w:t xml:space="preserve"> individual expert interviews conducted in Spain, Portugal, UK with professionals involved in technology development in the transport sector, mainly focusing on passenger transport (</w:t>
      </w:r>
      <w:r w:rsidR="00A2513D" w:rsidRPr="5A11A068">
        <w:rPr>
          <w:rFonts w:eastAsiaTheme="minorEastAsia"/>
        </w:rPr>
        <w:t>MoBAE Project</w:t>
      </w:r>
      <w:r w:rsidR="00A2513D">
        <w:rPr>
          <w:rFonts w:eastAsiaTheme="minorEastAsia"/>
        </w:rPr>
        <w:t xml:space="preserve">, CAPRI Project) and focus groups </w:t>
      </w:r>
      <w:r w:rsidR="00F71AEA">
        <w:rPr>
          <w:rFonts w:eastAsiaTheme="minorEastAsia"/>
        </w:rPr>
        <w:t xml:space="preserve">and workshops </w:t>
      </w:r>
      <w:r w:rsidR="00A2513D">
        <w:rPr>
          <w:rFonts w:eastAsiaTheme="minorEastAsia"/>
        </w:rPr>
        <w:t>with professionals involved in the process of freight decarbonisation in the UK (</w:t>
      </w:r>
      <w:proofErr w:type="spellStart"/>
      <w:r w:rsidR="00A2513D">
        <w:rPr>
          <w:rFonts w:eastAsiaTheme="minorEastAsia"/>
        </w:rPr>
        <w:t>CoDeZero</w:t>
      </w:r>
      <w:proofErr w:type="spellEnd"/>
      <w:r w:rsidR="00A2513D">
        <w:rPr>
          <w:rFonts w:eastAsiaTheme="minorEastAsia"/>
        </w:rPr>
        <w:t xml:space="preserve"> and </w:t>
      </w:r>
      <w:proofErr w:type="spellStart"/>
      <w:r w:rsidR="00A2513D">
        <w:rPr>
          <w:rFonts w:eastAsiaTheme="minorEastAsia"/>
        </w:rPr>
        <w:t>CRA</w:t>
      </w:r>
      <w:r w:rsidR="00F71AEA">
        <w:rPr>
          <w:rFonts w:eastAsiaTheme="minorEastAsia"/>
        </w:rPr>
        <w:t>FTeD</w:t>
      </w:r>
      <w:proofErr w:type="spellEnd"/>
      <w:r w:rsidR="00F71AEA">
        <w:rPr>
          <w:rFonts w:eastAsiaTheme="minorEastAsia"/>
        </w:rPr>
        <w:t xml:space="preserve"> projects).</w:t>
      </w:r>
      <w:r w:rsidR="0036364A">
        <w:rPr>
          <w:rFonts w:eastAsiaTheme="minorEastAsia"/>
        </w:rPr>
        <w:t xml:space="preserve"> In each case the data and results have been re</w:t>
      </w:r>
      <w:r w:rsidR="00D97BE6">
        <w:rPr>
          <w:rFonts w:eastAsiaTheme="minorEastAsia"/>
          <w:lang w:val="mt-MT"/>
        </w:rPr>
        <w:t>-</w:t>
      </w:r>
      <w:r w:rsidR="0036364A">
        <w:rPr>
          <w:rFonts w:eastAsiaTheme="minorEastAsia"/>
        </w:rPr>
        <w:t>analysed through the lens of the SDGs</w:t>
      </w:r>
      <w:r w:rsidR="00F13BB9" w:rsidRPr="00DD6804">
        <w:t>.</w:t>
      </w:r>
    </w:p>
    <w:p w14:paraId="601A8BC0" w14:textId="5D6F0D38" w:rsidR="00DF575E" w:rsidRDefault="002205B8" w:rsidP="00A42A5C">
      <w:r>
        <w:t>For these analyses, t</w:t>
      </w:r>
      <w:r w:rsidR="00DF575E">
        <w:t xml:space="preserve">he SDG dependencies </w:t>
      </w:r>
      <w:r>
        <w:t xml:space="preserve">are </w:t>
      </w:r>
      <w:r w:rsidR="00832B88">
        <w:t xml:space="preserve">categorised in two groups </w:t>
      </w:r>
      <w:r>
        <w:t>(</w:t>
      </w:r>
      <w:r w:rsidR="00832B88">
        <w:t>with SDG</w:t>
      </w:r>
      <w:r>
        <w:t>17 related to delivery</w:t>
      </w:r>
      <w:r w:rsidR="00832B88">
        <w:t xml:space="preserve"> outside those groups</w:t>
      </w:r>
      <w:r>
        <w:t>)</w:t>
      </w:r>
      <w:r w:rsidR="00832B88">
        <w:t>. T</w:t>
      </w:r>
      <w:r>
        <w:t>he first group</w:t>
      </w:r>
      <w:r w:rsidR="00DF575E">
        <w:t xml:space="preserve"> focuses on the connectivity </w:t>
      </w:r>
      <w:r>
        <w:t>that movement</w:t>
      </w:r>
      <w:r w:rsidR="00DF575E">
        <w:t xml:space="preserve"> provide</w:t>
      </w:r>
      <w:r>
        <w:t>s</w:t>
      </w:r>
      <w:r w:rsidR="000F3904">
        <w:t xml:space="preserve"> </w:t>
      </w:r>
      <w:r>
        <w:t>and how this directly underpins the SDGs which underpin subsistence in human life</w:t>
      </w:r>
      <w:r w:rsidR="00832B88">
        <w:t>. T</w:t>
      </w:r>
      <w:r>
        <w:t>he</w:t>
      </w:r>
      <w:r w:rsidR="000F3904">
        <w:t xml:space="preserve"> </w:t>
      </w:r>
      <w:r>
        <w:t xml:space="preserve">second has a more indirect, process-oriented relationship, </w:t>
      </w:r>
      <w:r w:rsidR="00625C48">
        <w:t xml:space="preserve">which </w:t>
      </w:r>
      <w:r>
        <w:t>consider</w:t>
      </w:r>
      <w:r w:rsidR="00625C48">
        <w:t>s</w:t>
      </w:r>
      <w:r w:rsidR="000F3904">
        <w:t xml:space="preserve"> </w:t>
      </w:r>
      <w:r w:rsidR="00DF575E">
        <w:t>how the</w:t>
      </w:r>
      <w:r>
        <w:t xml:space="preserve"> quality of transport and travel services</w:t>
      </w:r>
      <w:r w:rsidR="000F3904">
        <w:t xml:space="preserve"> </w:t>
      </w:r>
      <w:r w:rsidR="007408F9">
        <w:t>influence the quality of life</w:t>
      </w:r>
      <w:r w:rsidR="00D97BE6">
        <w:rPr>
          <w:lang w:val="mt-MT"/>
        </w:rPr>
        <w:t xml:space="preserve"> </w:t>
      </w:r>
      <w:r w:rsidR="00565A00">
        <w:t>(Table 2).</w:t>
      </w:r>
    </w:p>
    <w:p w14:paraId="757037FD" w14:textId="77777777" w:rsidR="002205B8" w:rsidRPr="002205B8" w:rsidRDefault="002205B8" w:rsidP="002456F8">
      <w:pPr>
        <w:keepNext/>
        <w:rPr>
          <w:i/>
        </w:rPr>
      </w:pPr>
      <w:r w:rsidRPr="002205B8">
        <w:rPr>
          <w:i/>
        </w:rPr>
        <w:t xml:space="preserve">Table 2: </w:t>
      </w:r>
      <w:r w:rsidR="002456F8">
        <w:rPr>
          <w:i/>
        </w:rPr>
        <w:t>SDG-</w:t>
      </w:r>
      <w:r w:rsidRPr="002205B8">
        <w:rPr>
          <w:i/>
        </w:rPr>
        <w:t>Mo</w:t>
      </w:r>
      <w:r w:rsidR="002456F8">
        <w:rPr>
          <w:i/>
        </w:rPr>
        <w:t>bility</w:t>
      </w:r>
      <w:r w:rsidRPr="002205B8">
        <w:rPr>
          <w:i/>
        </w:rPr>
        <w:t xml:space="preserve"> Dependencies in terms of Subsistence and Enhancement of Quality of Life</w:t>
      </w:r>
    </w:p>
    <w:tbl>
      <w:tblPr>
        <w:tblStyle w:val="Tablaconcuadrcula"/>
        <w:tblW w:w="0" w:type="auto"/>
        <w:tblLook w:val="04A0" w:firstRow="1" w:lastRow="0" w:firstColumn="1" w:lastColumn="0" w:noHBand="0" w:noVBand="1"/>
      </w:tblPr>
      <w:tblGrid>
        <w:gridCol w:w="3823"/>
        <w:gridCol w:w="5193"/>
      </w:tblGrid>
      <w:tr w:rsidR="00DF575E" w:rsidRPr="002205B8" w14:paraId="61C9E13B" w14:textId="77777777" w:rsidTr="23A58F29">
        <w:tc>
          <w:tcPr>
            <w:tcW w:w="3823" w:type="dxa"/>
          </w:tcPr>
          <w:p w14:paraId="6D20CCAF" w14:textId="77777777" w:rsidR="00DF575E" w:rsidRPr="002205B8" w:rsidRDefault="00DF575E" w:rsidP="003B64E0">
            <w:pPr>
              <w:rPr>
                <w:b/>
              </w:rPr>
            </w:pPr>
            <w:r w:rsidRPr="002205B8">
              <w:rPr>
                <w:b/>
              </w:rPr>
              <w:t>Group</w:t>
            </w:r>
          </w:p>
        </w:tc>
        <w:tc>
          <w:tcPr>
            <w:tcW w:w="5193" w:type="dxa"/>
          </w:tcPr>
          <w:p w14:paraId="1E594572" w14:textId="77777777" w:rsidR="00DF575E" w:rsidRPr="002205B8" w:rsidRDefault="00DF575E" w:rsidP="003B64E0">
            <w:pPr>
              <w:rPr>
                <w:b/>
              </w:rPr>
            </w:pPr>
            <w:r w:rsidRPr="002205B8">
              <w:rPr>
                <w:b/>
              </w:rPr>
              <w:t xml:space="preserve">Key concepts from dependencies </w:t>
            </w:r>
          </w:p>
        </w:tc>
      </w:tr>
      <w:tr w:rsidR="00DF575E" w14:paraId="5FA63E6B" w14:textId="77777777" w:rsidTr="23A58F29">
        <w:tc>
          <w:tcPr>
            <w:tcW w:w="3823" w:type="dxa"/>
          </w:tcPr>
          <w:p w14:paraId="18D284D4" w14:textId="77777777" w:rsidR="00565A00" w:rsidRDefault="00DF575E" w:rsidP="003B64E0">
            <w:r>
              <w:t>Outcome-related</w:t>
            </w:r>
            <w:r w:rsidR="00FB5C42">
              <w:t xml:space="preserve"> or subsistence</w:t>
            </w:r>
            <w:r>
              <w:t xml:space="preserve"> SDGs</w:t>
            </w:r>
          </w:p>
          <w:p w14:paraId="5F3E7E2C" w14:textId="77777777" w:rsidR="00565A00" w:rsidRDefault="00193FE8" w:rsidP="003B64E0">
            <w:r>
              <w:t>2</w:t>
            </w:r>
            <w:r w:rsidR="00FB5C42">
              <w:t>/6/7</w:t>
            </w:r>
            <w:r>
              <w:t>-hunger,</w:t>
            </w:r>
            <w:r w:rsidR="00FB5C42">
              <w:t xml:space="preserve"> thirst, comfort</w:t>
            </w:r>
          </w:p>
          <w:p w14:paraId="7B7B50EC" w14:textId="77777777" w:rsidR="00565A00" w:rsidRDefault="00193FE8" w:rsidP="003B64E0">
            <w:r>
              <w:t>3-health and wellbeing,</w:t>
            </w:r>
          </w:p>
          <w:p w14:paraId="44DC6000" w14:textId="77777777" w:rsidR="00565A00" w:rsidRDefault="00193FE8" w:rsidP="003B64E0">
            <w:r>
              <w:t>4-education,</w:t>
            </w:r>
          </w:p>
          <w:p w14:paraId="555BB9FD" w14:textId="77777777" w:rsidR="00565A00" w:rsidRDefault="00193FE8" w:rsidP="003B64E0">
            <w:r>
              <w:t>8-employment</w:t>
            </w:r>
          </w:p>
        </w:tc>
        <w:tc>
          <w:tcPr>
            <w:tcW w:w="5193" w:type="dxa"/>
          </w:tcPr>
          <w:p w14:paraId="3AFAFE85" w14:textId="77777777" w:rsidR="00565A00" w:rsidRDefault="00193FE8" w:rsidP="003B64E0">
            <w:r>
              <w:t xml:space="preserve">Movement to </w:t>
            </w:r>
            <w:r w:rsidR="00FB5C42">
              <w:t>Connect with</w:t>
            </w:r>
            <w:r>
              <w:t xml:space="preserve"> Goods and Services</w:t>
            </w:r>
          </w:p>
          <w:p w14:paraId="4A030577" w14:textId="77777777" w:rsidR="00565A00" w:rsidRDefault="00193FE8" w:rsidP="00565A00">
            <w:pPr>
              <w:pStyle w:val="Prrafodelista"/>
              <w:numPr>
                <w:ilvl w:val="0"/>
                <w:numId w:val="3"/>
              </w:numPr>
            </w:pPr>
            <w:r>
              <w:t>Food</w:t>
            </w:r>
            <w:r w:rsidR="00FB5C42">
              <w:t>, Water, Energy</w:t>
            </w:r>
          </w:p>
          <w:p w14:paraId="70F57534" w14:textId="77777777" w:rsidR="00565A00" w:rsidRDefault="00193FE8" w:rsidP="00565A00">
            <w:pPr>
              <w:pStyle w:val="Prrafodelista"/>
              <w:numPr>
                <w:ilvl w:val="0"/>
                <w:numId w:val="3"/>
              </w:numPr>
            </w:pPr>
            <w:r>
              <w:t>Healthcare</w:t>
            </w:r>
            <w:r w:rsidR="00565A00">
              <w:t xml:space="preserve">, </w:t>
            </w:r>
            <w:r>
              <w:t>Spaces for Wellbeing</w:t>
            </w:r>
          </w:p>
          <w:p w14:paraId="139E36F7" w14:textId="77777777" w:rsidR="00565A00" w:rsidRDefault="00193FE8" w:rsidP="00565A00">
            <w:pPr>
              <w:pStyle w:val="Prrafodelista"/>
              <w:numPr>
                <w:ilvl w:val="0"/>
                <w:numId w:val="3"/>
              </w:numPr>
            </w:pPr>
            <w:r>
              <w:t>Education</w:t>
            </w:r>
          </w:p>
          <w:p w14:paraId="37AF6AF0" w14:textId="77777777" w:rsidR="00565A00" w:rsidRDefault="00193FE8" w:rsidP="002205B8">
            <w:pPr>
              <w:pStyle w:val="Prrafodelista"/>
              <w:numPr>
                <w:ilvl w:val="0"/>
                <w:numId w:val="3"/>
              </w:numPr>
            </w:pPr>
            <w:r>
              <w:t>Employment</w:t>
            </w:r>
          </w:p>
        </w:tc>
      </w:tr>
      <w:tr w:rsidR="00DF575E" w14:paraId="260CAD64" w14:textId="77777777" w:rsidTr="23A58F29">
        <w:tc>
          <w:tcPr>
            <w:tcW w:w="3823" w:type="dxa"/>
          </w:tcPr>
          <w:p w14:paraId="07B588C8" w14:textId="77777777" w:rsidR="00565A00" w:rsidRDefault="00DF575E" w:rsidP="003B64E0">
            <w:r>
              <w:t xml:space="preserve">Process-related </w:t>
            </w:r>
            <w:r w:rsidR="00FB5C42">
              <w:t xml:space="preserve">or enhancement </w:t>
            </w:r>
            <w:r>
              <w:t>SDGs</w:t>
            </w:r>
          </w:p>
          <w:p w14:paraId="5A4D2870" w14:textId="77777777" w:rsidR="00565A00" w:rsidRDefault="00DF575E" w:rsidP="003B64E0">
            <w:r>
              <w:t>1</w:t>
            </w:r>
            <w:r w:rsidR="00193FE8">
              <w:t>-poverty</w:t>
            </w:r>
          </w:p>
          <w:p w14:paraId="5D152AFA" w14:textId="77777777" w:rsidR="00565A00" w:rsidRDefault="00193FE8" w:rsidP="003B64E0">
            <w:r>
              <w:t>5</w:t>
            </w:r>
            <w:r w:rsidR="00565A00">
              <w:t>/10</w:t>
            </w:r>
            <w:r>
              <w:t xml:space="preserve">-gender </w:t>
            </w:r>
            <w:r w:rsidR="00565A00">
              <w:t xml:space="preserve">and other </w:t>
            </w:r>
            <w:r>
              <w:t>equality</w:t>
            </w:r>
          </w:p>
          <w:p w14:paraId="101E8DF1" w14:textId="77777777" w:rsidR="00565A00" w:rsidRDefault="00193FE8" w:rsidP="003B64E0">
            <w:r>
              <w:t>9-resilience</w:t>
            </w:r>
          </w:p>
          <w:p w14:paraId="7F381736" w14:textId="77777777" w:rsidR="00565A00" w:rsidRDefault="00193FE8" w:rsidP="003B64E0">
            <w:r>
              <w:t>11-urbani</w:t>
            </w:r>
            <w:r w:rsidR="00FB5C42">
              <w:t>sation</w:t>
            </w:r>
          </w:p>
          <w:p w14:paraId="25DF6975" w14:textId="77777777" w:rsidR="00565A00" w:rsidRDefault="00193FE8" w:rsidP="003B64E0">
            <w:r>
              <w:t>12</w:t>
            </w:r>
            <w:r w:rsidR="00565A00">
              <w:t>/14</w:t>
            </w:r>
            <w:r>
              <w:t>-sustainab</w:t>
            </w:r>
            <w:r w:rsidR="00565A00">
              <w:t>ility/conservation</w:t>
            </w:r>
          </w:p>
          <w:p w14:paraId="06DD6448" w14:textId="77777777" w:rsidR="00DF575E" w:rsidRDefault="00193FE8" w:rsidP="003B64E0">
            <w:r>
              <w:t>13-climate neutral</w:t>
            </w:r>
            <w:r w:rsidR="00FB5C42">
              <w:t>ity</w:t>
            </w:r>
          </w:p>
          <w:p w14:paraId="765CC929" w14:textId="77777777" w:rsidR="00565A00" w:rsidRDefault="00565A00" w:rsidP="003B64E0">
            <w:r>
              <w:t>15-biodiversity</w:t>
            </w:r>
          </w:p>
          <w:p w14:paraId="609E3423" w14:textId="77777777" w:rsidR="00565A00" w:rsidRDefault="00565A00" w:rsidP="003B64E0">
            <w:r>
              <w:t>16-accountability</w:t>
            </w:r>
          </w:p>
        </w:tc>
        <w:tc>
          <w:tcPr>
            <w:tcW w:w="5193" w:type="dxa"/>
          </w:tcPr>
          <w:p w14:paraId="30430180" w14:textId="77777777" w:rsidR="00565A00" w:rsidRDefault="00FB5C42" w:rsidP="003B64E0">
            <w:r>
              <w:t>Quality of Services for Transport and Travel</w:t>
            </w:r>
          </w:p>
          <w:p w14:paraId="159D5CBA" w14:textId="77777777" w:rsidR="00565A00" w:rsidRDefault="00DF575E" w:rsidP="00565A00">
            <w:pPr>
              <w:pStyle w:val="Prrafodelista"/>
              <w:numPr>
                <w:ilvl w:val="0"/>
                <w:numId w:val="4"/>
              </w:numPr>
            </w:pPr>
            <w:r>
              <w:t>Affordability</w:t>
            </w:r>
            <w:r w:rsidR="00193FE8">
              <w:t>,</w:t>
            </w:r>
          </w:p>
          <w:p w14:paraId="50FAFB26" w14:textId="77777777" w:rsidR="00565A00" w:rsidRDefault="00FC7F1E" w:rsidP="00565A00">
            <w:pPr>
              <w:pStyle w:val="Prrafodelista"/>
              <w:numPr>
                <w:ilvl w:val="0"/>
                <w:numId w:val="4"/>
              </w:numPr>
            </w:pPr>
            <w:r>
              <w:t xml:space="preserve">Inclusion: </w:t>
            </w:r>
            <w:r w:rsidR="00193FE8">
              <w:t>Availability to all, Security</w:t>
            </w:r>
          </w:p>
          <w:p w14:paraId="4781C7C2" w14:textId="77777777" w:rsidR="00565A00" w:rsidRDefault="00193FE8" w:rsidP="00565A00">
            <w:pPr>
              <w:pStyle w:val="Prrafodelista"/>
              <w:numPr>
                <w:ilvl w:val="0"/>
                <w:numId w:val="4"/>
              </w:numPr>
            </w:pPr>
            <w:r>
              <w:t xml:space="preserve">Within </w:t>
            </w:r>
            <w:r w:rsidR="00007FCA">
              <w:t>technical system and eco</w:t>
            </w:r>
            <w:r>
              <w:t>system capacity</w:t>
            </w:r>
          </w:p>
          <w:p w14:paraId="58D926FB" w14:textId="77777777" w:rsidR="00565A00" w:rsidRDefault="00565A00" w:rsidP="00565A00">
            <w:pPr>
              <w:pStyle w:val="Prrafodelista"/>
              <w:numPr>
                <w:ilvl w:val="0"/>
                <w:numId w:val="4"/>
              </w:numPr>
            </w:pPr>
            <w:r>
              <w:t>H</w:t>
            </w:r>
            <w:r w:rsidR="00193FE8">
              <w:t>uman-scale infrastructure</w:t>
            </w:r>
          </w:p>
          <w:p w14:paraId="1DB94C4B" w14:textId="77777777" w:rsidR="00565A00" w:rsidRDefault="00565A00" w:rsidP="00565A00">
            <w:pPr>
              <w:pStyle w:val="Prrafodelista"/>
              <w:numPr>
                <w:ilvl w:val="0"/>
                <w:numId w:val="4"/>
              </w:numPr>
            </w:pPr>
            <w:r>
              <w:t>E</w:t>
            </w:r>
            <w:r w:rsidR="00193FE8">
              <w:t>nergy efficient</w:t>
            </w:r>
            <w:r>
              <w:t>, low</w:t>
            </w:r>
            <w:r w:rsidR="004D67E6">
              <w:t xml:space="preserve"> noxious </w:t>
            </w:r>
            <w:r>
              <w:t>emissions</w:t>
            </w:r>
          </w:p>
          <w:p w14:paraId="68B09C4E" w14:textId="77777777" w:rsidR="00565A00" w:rsidRDefault="00565A00" w:rsidP="00565A00">
            <w:pPr>
              <w:pStyle w:val="Prrafodelista"/>
              <w:numPr>
                <w:ilvl w:val="0"/>
                <w:numId w:val="4"/>
              </w:numPr>
            </w:pPr>
            <w:r>
              <w:t>L</w:t>
            </w:r>
            <w:r w:rsidR="00193FE8">
              <w:t>ow or zero GHG</w:t>
            </w:r>
          </w:p>
          <w:p w14:paraId="5A694BFA" w14:textId="77777777" w:rsidR="00565A00" w:rsidRDefault="00565A00" w:rsidP="00565A00">
            <w:pPr>
              <w:pStyle w:val="Prrafodelista"/>
              <w:numPr>
                <w:ilvl w:val="0"/>
                <w:numId w:val="4"/>
              </w:numPr>
            </w:pPr>
            <w:r>
              <w:t>Space efficient</w:t>
            </w:r>
          </w:p>
          <w:p w14:paraId="1494A863" w14:textId="77777777" w:rsidR="00565A00" w:rsidRDefault="00565A00" w:rsidP="00565A00">
            <w:pPr>
              <w:pStyle w:val="Prrafodelista"/>
              <w:numPr>
                <w:ilvl w:val="0"/>
                <w:numId w:val="4"/>
              </w:numPr>
            </w:pPr>
            <w:r>
              <w:t>Regulation in interests of public</w:t>
            </w:r>
          </w:p>
        </w:tc>
      </w:tr>
      <w:tr w:rsidR="00FB5C42" w14:paraId="5A9B12B8" w14:textId="77777777" w:rsidTr="23A58F29">
        <w:tc>
          <w:tcPr>
            <w:tcW w:w="3823" w:type="dxa"/>
          </w:tcPr>
          <w:p w14:paraId="4F649D7C" w14:textId="77777777" w:rsidR="00FB5C42" w:rsidRDefault="00FB5C42" w:rsidP="003B64E0">
            <w:r>
              <w:t>Delivery-related SDG</w:t>
            </w:r>
          </w:p>
          <w:p w14:paraId="61FA74D0" w14:textId="77777777" w:rsidR="00FB5C42" w:rsidRDefault="00FB5C42" w:rsidP="003B64E0">
            <w:r>
              <w:t>17-</w:t>
            </w:r>
            <w:r w:rsidR="0061271A">
              <w:t>implementation</w:t>
            </w:r>
          </w:p>
        </w:tc>
        <w:tc>
          <w:tcPr>
            <w:tcW w:w="5193" w:type="dxa"/>
          </w:tcPr>
          <w:p w14:paraId="60603670" w14:textId="77777777" w:rsidR="00FB5C42" w:rsidRDefault="00FB5C42" w:rsidP="003B64E0">
            <w:r>
              <w:t>Capacity and Capability</w:t>
            </w:r>
          </w:p>
          <w:p w14:paraId="66154F96" w14:textId="77777777" w:rsidR="0061271A" w:rsidRDefault="0061271A" w:rsidP="0061271A">
            <w:pPr>
              <w:pStyle w:val="Prrafodelista"/>
              <w:numPr>
                <w:ilvl w:val="0"/>
                <w:numId w:val="6"/>
              </w:numPr>
            </w:pPr>
            <w:r>
              <w:t>Sufficient agents of change</w:t>
            </w:r>
          </w:p>
        </w:tc>
      </w:tr>
    </w:tbl>
    <w:p w14:paraId="354D6715" w14:textId="77777777" w:rsidR="003B64E0" w:rsidRDefault="009E71F2" w:rsidP="00F62761">
      <w:pPr>
        <w:pStyle w:val="Ttulo1"/>
        <w:numPr>
          <w:ilvl w:val="0"/>
          <w:numId w:val="0"/>
        </w:numPr>
      </w:pPr>
      <w:r>
        <w:lastRenderedPageBreak/>
        <w:t xml:space="preserve">Applying the </w:t>
      </w:r>
      <w:r w:rsidR="002456F8">
        <w:t xml:space="preserve">SDG-Mobility Analysis Framework </w:t>
      </w:r>
    </w:p>
    <w:p w14:paraId="75785E2D" w14:textId="77777777" w:rsidR="00D97BE6" w:rsidRDefault="00D97BE6" w:rsidP="007E3D04"/>
    <w:p w14:paraId="25C1E47A" w14:textId="146110D1" w:rsidR="00127D42" w:rsidRDefault="006A343C" w:rsidP="007E3D04">
      <w:r>
        <w:t xml:space="preserve">Taking the framework developed </w:t>
      </w:r>
      <w:r w:rsidR="009548B5">
        <w:t xml:space="preserve">in </w:t>
      </w:r>
      <w:r w:rsidR="00D97BE6">
        <w:rPr>
          <w:lang w:val="mt-MT"/>
        </w:rPr>
        <w:t>the previous secti</w:t>
      </w:r>
      <w:r w:rsidR="00F62761">
        <w:rPr>
          <w:lang w:val="mt-MT"/>
        </w:rPr>
        <w:t>on</w:t>
      </w:r>
      <w:r>
        <w:t xml:space="preserve">, </w:t>
      </w:r>
      <w:r w:rsidR="00D97BE6">
        <w:rPr>
          <w:lang w:val="mt-MT"/>
        </w:rPr>
        <w:t>we apply</w:t>
      </w:r>
      <w:r>
        <w:t xml:space="preserve"> it to five cases of future freight transport and passenger mobility technologies and their related business models.</w:t>
      </w:r>
      <w:r w:rsidR="00E339BF">
        <w:t xml:space="preserve"> </w:t>
      </w:r>
      <w:r>
        <w:t xml:space="preserve">The cases variously consider freight and passenger mobility, air and surface transport systems, small scale vehicles up to the largest road vehicles, and two cases </w:t>
      </w:r>
      <w:r w:rsidR="00127D42">
        <w:t xml:space="preserve">which emphasise </w:t>
      </w:r>
      <w:r>
        <w:t>technology substitution, whereas three involve much more complex socio</w:t>
      </w:r>
      <w:r w:rsidR="00D97BE6">
        <w:rPr>
          <w:lang w:val="mt-MT"/>
        </w:rPr>
        <w:t>-</w:t>
      </w:r>
      <w:r>
        <w:t>technical and behavioural change. Two of the latter would use either automation or remote-control operation</w:t>
      </w:r>
      <w:r w:rsidR="00127D42">
        <w:t>, for the third it could feature in the business model</w:t>
      </w:r>
      <w:r w:rsidR="00F16228">
        <w:t xml:space="preserve"> (Figure 1)</w:t>
      </w:r>
      <w:r>
        <w:t>.</w:t>
      </w:r>
    </w:p>
    <w:p w14:paraId="1A66E72D" w14:textId="77777777" w:rsidR="00127D42" w:rsidRPr="002205B8" w:rsidRDefault="00127D42" w:rsidP="00127D42">
      <w:pPr>
        <w:keepNext/>
        <w:rPr>
          <w:i/>
        </w:rPr>
      </w:pPr>
      <w:r>
        <w:rPr>
          <w:i/>
        </w:rPr>
        <w:t>Figure1</w:t>
      </w:r>
      <w:r w:rsidRPr="002205B8">
        <w:rPr>
          <w:i/>
        </w:rPr>
        <w:t xml:space="preserve">: </w:t>
      </w:r>
      <w:r>
        <w:rPr>
          <w:i/>
        </w:rPr>
        <w:t>Cases of mobility innovation with and without automation</w:t>
      </w:r>
    </w:p>
    <w:p w14:paraId="78BF6E6E" w14:textId="77777777" w:rsidR="00F16228" w:rsidRDefault="00127D42" w:rsidP="007E3D04">
      <w:r>
        <w:rPr>
          <w:noProof/>
          <w:lang w:eastAsia="en-GB"/>
        </w:rPr>
        <w:drawing>
          <wp:inline distT="0" distB="0" distL="0" distR="0" wp14:anchorId="08E5D52F" wp14:editId="743024B8">
            <wp:extent cx="4809281" cy="24340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5690" cy="2442319"/>
                    </a:xfrm>
                    <a:prstGeom prst="rect">
                      <a:avLst/>
                    </a:prstGeom>
                    <a:noFill/>
                  </pic:spPr>
                </pic:pic>
              </a:graphicData>
            </a:graphic>
          </wp:inline>
        </w:drawing>
      </w:r>
    </w:p>
    <w:p w14:paraId="62FC5DEE" w14:textId="77777777" w:rsidR="00127D42" w:rsidRDefault="00127D42" w:rsidP="007E3D04"/>
    <w:p w14:paraId="06AC69ED" w14:textId="77777777" w:rsidR="008F7F60" w:rsidRDefault="008017C5" w:rsidP="009A0AC8">
      <w:pPr>
        <w:pStyle w:val="Ttulo2"/>
      </w:pPr>
      <w:r w:rsidRPr="007E3D04">
        <w:t>Unmanned Aerial Vehicles</w:t>
      </w:r>
      <w:r w:rsidR="008F7F60">
        <w:t xml:space="preserve"> (UAV)</w:t>
      </w:r>
    </w:p>
    <w:p w14:paraId="1F68633F" w14:textId="25D66418" w:rsidR="002245DF" w:rsidRDefault="008F7F60" w:rsidP="00A42A5C">
      <w:r>
        <w:t xml:space="preserve">Whilst passenger UAVs (pilotless </w:t>
      </w:r>
      <w:r w:rsidR="00D97BE6">
        <w:t>aero taxis</w:t>
      </w:r>
      <w:r>
        <w:t xml:space="preserve">) are under development, freight drones are already offering some services. Drones </w:t>
      </w:r>
      <w:r w:rsidR="00B47C3D">
        <w:t xml:space="preserve">can be used in combination </w:t>
      </w:r>
      <w:r>
        <w:t>with</w:t>
      </w:r>
      <w:r w:rsidR="00B47C3D">
        <w:t xml:space="preserve"> local </w:t>
      </w:r>
      <w:r>
        <w:t xml:space="preserve">transhipment </w:t>
      </w:r>
      <w:r w:rsidR="00B47C3D">
        <w:t>hubs (</w:t>
      </w:r>
      <w:r w:rsidR="00C2499D">
        <w:t>such as</w:t>
      </w:r>
      <w:r w:rsidR="00B47C3D">
        <w:t xml:space="preserve"> consolidation centres) </w:t>
      </w:r>
      <w:r w:rsidR="008017C5">
        <w:t xml:space="preserve">for </w:t>
      </w:r>
      <w:r>
        <w:t>‘</w:t>
      </w:r>
      <w:r w:rsidR="008017C5">
        <w:t>last mile</w:t>
      </w:r>
      <w:r>
        <w:t>’</w:t>
      </w:r>
      <w:r w:rsidR="008017C5">
        <w:t xml:space="preserve"> deliveries</w:t>
      </w:r>
      <w:r>
        <w:t>. Possible applications include</w:t>
      </w:r>
      <w:r w:rsidR="00760087">
        <w:t xml:space="preserve"> rural</w:t>
      </w:r>
      <w:r w:rsidR="00EE2FA0">
        <w:t xml:space="preserve"> </w:t>
      </w:r>
      <w:r>
        <w:t xml:space="preserve">areas with </w:t>
      </w:r>
      <w:r w:rsidR="00213A6C">
        <w:t xml:space="preserve">low </w:t>
      </w:r>
      <w:r>
        <w:t xml:space="preserve">road transport </w:t>
      </w:r>
      <w:r w:rsidR="00213A6C">
        <w:t>accessib</w:t>
      </w:r>
      <w:r>
        <w:t>ility</w:t>
      </w:r>
      <w:r w:rsidR="0059030D">
        <w:t xml:space="preserve">, </w:t>
      </w:r>
      <w:r w:rsidR="00760087">
        <w:t xml:space="preserve">and </w:t>
      </w:r>
      <w:r w:rsidR="0059030D">
        <w:t xml:space="preserve">congested </w:t>
      </w:r>
      <w:r>
        <w:t xml:space="preserve">urban </w:t>
      </w:r>
      <w:r w:rsidR="00760087">
        <w:t>areas</w:t>
      </w:r>
      <w:r w:rsidR="008017C5">
        <w:t>.</w:t>
      </w:r>
    </w:p>
    <w:p w14:paraId="02B41991" w14:textId="77777777" w:rsidR="00FB235D" w:rsidRDefault="004A3053" w:rsidP="00A42A5C">
      <w:r>
        <w:t>Drones can potentially support subsistence SDGs in the following ways, with providing alternatives to poor or absent infrastructure being a theme</w:t>
      </w:r>
      <w:r w:rsidR="00FB235D">
        <w:t>:</w:t>
      </w:r>
    </w:p>
    <w:p w14:paraId="5245938F" w14:textId="77777777" w:rsidR="00DF3F96" w:rsidRPr="00DF3F96" w:rsidRDefault="001729AF" w:rsidP="00DF3F96">
      <w:pPr>
        <w:pStyle w:val="Prrafodelista"/>
        <w:numPr>
          <w:ilvl w:val="0"/>
          <w:numId w:val="5"/>
        </w:numPr>
        <w:rPr>
          <w:szCs w:val="24"/>
        </w:rPr>
      </w:pPr>
      <w:r>
        <w:rPr>
          <w:rFonts w:eastAsia="Times New Roman"/>
        </w:rPr>
        <w:t>Food</w:t>
      </w:r>
      <w:r w:rsidR="00DF3F96" w:rsidRPr="00DF3F96">
        <w:rPr>
          <w:rFonts w:eastAsia="Times New Roman"/>
        </w:rPr>
        <w:t xml:space="preserve"> – drones can be used to support smart agriculture (Kim et al., 2019)</w:t>
      </w:r>
      <w:r w:rsidR="008F7F60">
        <w:rPr>
          <w:rFonts w:eastAsia="Times New Roman"/>
        </w:rPr>
        <w:t>, to increase</w:t>
      </w:r>
      <w:r w:rsidR="00DF3F96">
        <w:t xml:space="preserve"> production from smaller farms (Zhong et al., 2018)</w:t>
      </w:r>
      <w:r w:rsidR="008F7F60">
        <w:t xml:space="preserve"> and </w:t>
      </w:r>
      <w:r w:rsidR="00DF3F96">
        <w:t>as robot pollinators (</w:t>
      </w:r>
      <w:proofErr w:type="spellStart"/>
      <w:r w:rsidR="00DF3F96" w:rsidRPr="00631D00">
        <w:t>Chechetka</w:t>
      </w:r>
      <w:proofErr w:type="spellEnd"/>
      <w:r w:rsidR="00DF3F96" w:rsidRPr="00631D00">
        <w:t xml:space="preserve"> et al</w:t>
      </w:r>
      <w:r w:rsidR="004A3053" w:rsidRPr="00631D00">
        <w:t>.</w:t>
      </w:r>
      <w:r w:rsidR="00DF3F96" w:rsidRPr="00631D00">
        <w:t>, 2017</w:t>
      </w:r>
      <w:r w:rsidR="00DF3F96">
        <w:t xml:space="preserve">). </w:t>
      </w:r>
      <w:r w:rsidR="004A3053">
        <w:t>A freight transport niche might be to transport high</w:t>
      </w:r>
      <w:r w:rsidR="004D67E6">
        <w:t>-</w:t>
      </w:r>
      <w:r w:rsidR="004A3053">
        <w:t>value, low</w:t>
      </w:r>
      <w:r w:rsidR="007922AA">
        <w:t>-</w:t>
      </w:r>
      <w:r w:rsidR="004A3053">
        <w:t>weight produce to local markets in a timely fashion.</w:t>
      </w:r>
    </w:p>
    <w:p w14:paraId="523AC485" w14:textId="77777777" w:rsidR="00BB03DF" w:rsidRPr="002433D9" w:rsidRDefault="00BB03DF" w:rsidP="007E3D04">
      <w:pPr>
        <w:pStyle w:val="Prrafodelista"/>
        <w:numPr>
          <w:ilvl w:val="0"/>
          <w:numId w:val="5"/>
        </w:numPr>
        <w:spacing w:after="0" w:line="240" w:lineRule="auto"/>
        <w:contextualSpacing w:val="0"/>
      </w:pPr>
      <w:r w:rsidRPr="0059030D">
        <w:rPr>
          <w:rFonts w:eastAsia="Times New Roman"/>
        </w:rPr>
        <w:t xml:space="preserve">Health and wellbeing </w:t>
      </w:r>
      <w:r w:rsidRPr="009D5E87">
        <w:rPr>
          <w:rFonts w:eastAsia="Times New Roman"/>
        </w:rPr>
        <w:t xml:space="preserve">– </w:t>
      </w:r>
      <w:r w:rsidR="004A3053">
        <w:rPr>
          <w:rFonts w:eastAsia="Times New Roman"/>
        </w:rPr>
        <w:t xml:space="preserve">an established drone niche is </w:t>
      </w:r>
      <w:r w:rsidRPr="009D5E87">
        <w:rPr>
          <w:rFonts w:eastAsia="Times New Roman"/>
        </w:rPr>
        <w:t xml:space="preserve">for urgent deliveries </w:t>
      </w:r>
      <w:r w:rsidR="004A3053">
        <w:rPr>
          <w:rFonts w:eastAsia="Times New Roman"/>
        </w:rPr>
        <w:t xml:space="preserve">of medical supplies </w:t>
      </w:r>
      <w:r w:rsidRPr="009D5E87">
        <w:rPr>
          <w:rFonts w:eastAsia="Times New Roman"/>
        </w:rPr>
        <w:t>to low</w:t>
      </w:r>
      <w:r w:rsidR="004A3053">
        <w:rPr>
          <w:rFonts w:eastAsia="Times New Roman"/>
        </w:rPr>
        <w:t>-</w:t>
      </w:r>
      <w:r w:rsidRPr="009D5E87">
        <w:rPr>
          <w:rFonts w:eastAsia="Times New Roman"/>
        </w:rPr>
        <w:t>accessib</w:t>
      </w:r>
      <w:r w:rsidR="004A3053">
        <w:rPr>
          <w:rFonts w:eastAsia="Times New Roman"/>
        </w:rPr>
        <w:t>i</w:t>
      </w:r>
      <w:r w:rsidRPr="009D5E87">
        <w:rPr>
          <w:rFonts w:eastAsia="Times New Roman"/>
        </w:rPr>
        <w:t>l</w:t>
      </w:r>
      <w:r w:rsidR="004A3053">
        <w:rPr>
          <w:rFonts w:eastAsia="Times New Roman"/>
        </w:rPr>
        <w:t>ity</w:t>
      </w:r>
      <w:r w:rsidRPr="009D5E87">
        <w:rPr>
          <w:rFonts w:eastAsia="Times New Roman"/>
        </w:rPr>
        <w:t xml:space="preserve"> places</w:t>
      </w:r>
      <w:r>
        <w:rPr>
          <w:rFonts w:eastAsia="Times New Roman"/>
        </w:rPr>
        <w:t>, where the road infrastructure</w:t>
      </w:r>
      <w:r w:rsidR="004A3053">
        <w:rPr>
          <w:rFonts w:eastAsia="Times New Roman"/>
        </w:rPr>
        <w:t xml:space="preserve"> or congestion</w:t>
      </w:r>
      <w:r>
        <w:rPr>
          <w:rFonts w:eastAsia="Times New Roman"/>
        </w:rPr>
        <w:t xml:space="preserve"> would not allow other efficient and tim</w:t>
      </w:r>
      <w:r w:rsidR="004A3053">
        <w:rPr>
          <w:rFonts w:eastAsia="Times New Roman"/>
        </w:rPr>
        <w:t>ely</w:t>
      </w:r>
      <w:r>
        <w:rPr>
          <w:rFonts w:eastAsia="Times New Roman"/>
        </w:rPr>
        <w:t xml:space="preserve"> road delivery options; or in </w:t>
      </w:r>
      <w:r w:rsidRPr="009D5E87">
        <w:rPr>
          <w:szCs w:val="24"/>
        </w:rPr>
        <w:t xml:space="preserve">humanitarian supply chains, such as </w:t>
      </w:r>
      <w:r w:rsidRPr="00282EE2">
        <w:t>emergencies and disasters (Singh and Frazier, 2018)</w:t>
      </w:r>
      <w:r w:rsidRPr="0077518E">
        <w:t>.</w:t>
      </w:r>
    </w:p>
    <w:p w14:paraId="3391FE8E" w14:textId="77777777" w:rsidR="005C5CDD" w:rsidRDefault="00FB235D" w:rsidP="007E3D04">
      <w:pPr>
        <w:pStyle w:val="Prrafodelista"/>
        <w:numPr>
          <w:ilvl w:val="0"/>
          <w:numId w:val="5"/>
        </w:numPr>
        <w:spacing w:after="0" w:line="240" w:lineRule="auto"/>
        <w:contextualSpacing w:val="0"/>
      </w:pPr>
      <w:r w:rsidRPr="007E3D04">
        <w:t xml:space="preserve">Employment – </w:t>
      </w:r>
      <w:r w:rsidR="00265AB3" w:rsidRPr="007E3D04">
        <w:t xml:space="preserve">they can be potentially used to replace vans in very congested areas (Paddeu et al., 2019). This might </w:t>
      </w:r>
      <w:r w:rsidR="008246A7" w:rsidRPr="007E3D04">
        <w:t>have a</w:t>
      </w:r>
      <w:r w:rsidR="008B4E30">
        <w:t xml:space="preserve"> significant</w:t>
      </w:r>
      <w:r w:rsidR="008246A7" w:rsidRPr="007E3D04">
        <w:t xml:space="preserve"> impact on</w:t>
      </w:r>
      <w:r w:rsidR="00A95275" w:rsidRPr="007E3D04">
        <w:t xml:space="preserve"> employability</w:t>
      </w:r>
      <w:r w:rsidR="004A3053">
        <w:t xml:space="preserve">: </w:t>
      </w:r>
      <w:r w:rsidR="00282EE2" w:rsidRPr="007E3D04">
        <w:t>van drivers</w:t>
      </w:r>
      <w:r w:rsidR="004A3053">
        <w:t>, for example,</w:t>
      </w:r>
      <w:r w:rsidR="008B4E30">
        <w:t xml:space="preserve"> would be replaced, but new </w:t>
      </w:r>
      <w:r w:rsidR="0077518E">
        <w:t>job profile</w:t>
      </w:r>
      <w:r w:rsidR="004A3053">
        <w:t>s (</w:t>
      </w:r>
      <w:r w:rsidR="0077518E">
        <w:t xml:space="preserve">drone </w:t>
      </w:r>
      <w:r w:rsidR="004A3053">
        <w:t xml:space="preserve">handlers, drone </w:t>
      </w:r>
      <w:r w:rsidR="0077518E">
        <w:t>operators</w:t>
      </w:r>
      <w:r w:rsidR="004A3053">
        <w:t>-overseers)</w:t>
      </w:r>
      <w:r w:rsidR="0077518E">
        <w:t xml:space="preserve">, </w:t>
      </w:r>
      <w:r w:rsidR="004A3053">
        <w:t xml:space="preserve">would </w:t>
      </w:r>
      <w:r w:rsidR="0077518E">
        <w:t xml:space="preserve">be created. However, </w:t>
      </w:r>
      <w:r w:rsidR="00282EE2" w:rsidRPr="007E3D04">
        <w:t xml:space="preserve">the literature does not provide any information on </w:t>
      </w:r>
      <w:r w:rsidR="004A3053">
        <w:t xml:space="preserve">the specific impacts </w:t>
      </w:r>
      <w:r w:rsidR="002749F1" w:rsidRPr="007E3D04">
        <w:lastRenderedPageBreak/>
        <w:t>(</w:t>
      </w:r>
      <w:proofErr w:type="spellStart"/>
      <w:r w:rsidR="002749F1" w:rsidRPr="007E3D04">
        <w:t>Aurambout</w:t>
      </w:r>
      <w:proofErr w:type="spellEnd"/>
      <w:r w:rsidR="002749F1" w:rsidRPr="007E3D04">
        <w:t xml:space="preserve"> et al., 2019)</w:t>
      </w:r>
      <w:r w:rsidR="004A3053">
        <w:t>, but in some locations drone services might be additional, so create employment, in others they may be an efficient alternative, requiring lower labour inputs</w:t>
      </w:r>
      <w:r w:rsidR="002749F1" w:rsidRPr="007E3D04">
        <w:t xml:space="preserve">. </w:t>
      </w:r>
      <w:r w:rsidR="0011195E">
        <w:t xml:space="preserve">Drones also can be used for handling tasks in </w:t>
      </w:r>
      <w:r w:rsidR="00875C2C">
        <w:t xml:space="preserve">the local hub, as they </w:t>
      </w:r>
      <w:r w:rsidR="00625C48">
        <w:t xml:space="preserve">have been shown </w:t>
      </w:r>
      <w:r w:rsidR="00875C2C">
        <w:t xml:space="preserve">to be </w:t>
      </w:r>
      <w:r w:rsidR="006D0C2B">
        <w:t xml:space="preserve">significantly more efficient than human operators (Paddeu et al., 2019). </w:t>
      </w:r>
      <w:r w:rsidR="00541BFE">
        <w:t xml:space="preserve">For example, </w:t>
      </w:r>
      <w:r w:rsidR="0011195E">
        <w:t>two drones can carry out the work of 100 humans (i.e.</w:t>
      </w:r>
      <w:r w:rsidR="00541BFE">
        <w:t>,</w:t>
      </w:r>
      <w:r w:rsidR="0011195E">
        <w:t xml:space="preserve"> in terms of handling, picking and order preparation) over the same time period with an accuracy close to 100%, with warehousing and logistics cost savings (Jackson, 2017). </w:t>
      </w:r>
      <w:r w:rsidR="00AE14DE">
        <w:t>Th</w:t>
      </w:r>
      <w:r w:rsidR="00625C48">
        <w:t>e</w:t>
      </w:r>
      <w:r w:rsidR="00AE14DE">
        <w:t>s</w:t>
      </w:r>
      <w:r w:rsidR="00625C48">
        <w:t>e</w:t>
      </w:r>
      <w:r w:rsidR="00E53E93">
        <w:t xml:space="preserve"> </w:t>
      </w:r>
      <w:r w:rsidR="00625C48">
        <w:t>advantages</w:t>
      </w:r>
      <w:r w:rsidR="00E53E93">
        <w:t xml:space="preserve"> </w:t>
      </w:r>
      <w:r w:rsidR="00AE14DE">
        <w:t xml:space="preserve">might have a significant impact on the </w:t>
      </w:r>
      <w:r w:rsidR="005C5CDD">
        <w:t xml:space="preserve">currently growing employment </w:t>
      </w:r>
      <w:r w:rsidR="00C3539C">
        <w:t xml:space="preserve">concerns within the </w:t>
      </w:r>
      <w:r w:rsidR="00AE14DE">
        <w:t xml:space="preserve">logistics </w:t>
      </w:r>
      <w:r w:rsidR="005C5CDD">
        <w:t>sector</w:t>
      </w:r>
      <w:r w:rsidR="00AE642D">
        <w:t xml:space="preserve"> (Paddeu et al., 2019)</w:t>
      </w:r>
      <w:r w:rsidR="005C5CDD">
        <w:t xml:space="preserve">. </w:t>
      </w:r>
      <w:r w:rsidR="004A3053">
        <w:t>The outcome would ultimately depend on the local labour market, but there is clear potential for automation in general to reduce employment opportunities (Lawrence et al., 201</w:t>
      </w:r>
      <w:r w:rsidR="00007FCA">
        <w:t>7</w:t>
      </w:r>
      <w:r w:rsidR="004A3053">
        <w:t>).</w:t>
      </w:r>
    </w:p>
    <w:p w14:paraId="02DF5812" w14:textId="77777777" w:rsidR="00FB235D" w:rsidRDefault="00007FCA" w:rsidP="007E3D04">
      <w:pPr>
        <w:spacing w:before="100" w:beforeAutospacing="1"/>
      </w:pPr>
      <w:r>
        <w:t>Considering SDGs</w:t>
      </w:r>
      <w:r w:rsidR="006E07AE">
        <w:t xml:space="preserve"> </w:t>
      </w:r>
      <w:r w:rsidR="004D7D59">
        <w:t>for enhancement:</w:t>
      </w:r>
    </w:p>
    <w:p w14:paraId="4D424CC8" w14:textId="77777777" w:rsidR="0000615B" w:rsidRDefault="0000615B" w:rsidP="0000615B">
      <w:pPr>
        <w:pStyle w:val="Prrafodelista"/>
        <w:numPr>
          <w:ilvl w:val="0"/>
          <w:numId w:val="5"/>
        </w:numPr>
      </w:pPr>
      <w:r>
        <w:t>Affordability</w:t>
      </w:r>
      <w:r w:rsidR="00717404">
        <w:t xml:space="preserve"> – investment costs</w:t>
      </w:r>
      <w:r w:rsidR="00007FCA">
        <w:t>, at least initially, are expected to</w:t>
      </w:r>
      <w:r w:rsidR="00717404">
        <w:t xml:space="preserve"> be </w:t>
      </w:r>
      <w:r w:rsidR="00134011">
        <w:t>high,</w:t>
      </w:r>
      <w:r w:rsidR="00717404">
        <w:t xml:space="preserve"> and this </w:t>
      </w:r>
      <w:r w:rsidR="00007FCA">
        <w:t xml:space="preserve">could tend to </w:t>
      </w:r>
      <w:r w:rsidR="00717404">
        <w:t xml:space="preserve">create inequalities in terms of market accessibility, as bigger players </w:t>
      </w:r>
      <w:r w:rsidR="00134011">
        <w:t>will be able to invest, and smaller players might be excluded (Paddeu et al., 2019).</w:t>
      </w:r>
      <w:r w:rsidR="00DB7784">
        <w:rPr>
          <w:lang w:val="mt-MT"/>
        </w:rPr>
        <w:t xml:space="preserve"> </w:t>
      </w:r>
      <w:r w:rsidR="00007FCA">
        <w:t xml:space="preserve">If the services are expensive, they may tend to be applied in niches which benefit the relatively wealthy, rather than the poor. </w:t>
      </w:r>
    </w:p>
    <w:p w14:paraId="03886EE0" w14:textId="77777777" w:rsidR="009C0A21" w:rsidRDefault="0000615B" w:rsidP="0000615B">
      <w:pPr>
        <w:pStyle w:val="Prrafodelista"/>
        <w:numPr>
          <w:ilvl w:val="0"/>
          <w:numId w:val="5"/>
        </w:numPr>
      </w:pPr>
      <w:r>
        <w:t>Inclusion</w:t>
      </w:r>
      <w:r w:rsidR="00667461">
        <w:t xml:space="preserve"> – </w:t>
      </w:r>
      <w:r w:rsidR="00007FCA">
        <w:t xml:space="preserve">in principle the </w:t>
      </w:r>
      <w:r w:rsidR="00717404">
        <w:t>service</w:t>
      </w:r>
      <w:r w:rsidR="00007FCA">
        <w:t xml:space="preserve">s would be open to all, </w:t>
      </w:r>
      <w:r w:rsidR="004D67E6">
        <w:t xml:space="preserve">provided </w:t>
      </w:r>
      <w:r w:rsidR="00007FCA">
        <w:t xml:space="preserve">digital </w:t>
      </w:r>
      <w:r w:rsidR="004D67E6">
        <w:t xml:space="preserve">exclusion is </w:t>
      </w:r>
      <w:r w:rsidR="00007FCA">
        <w:t>avoided</w:t>
      </w:r>
      <w:r w:rsidR="004D67E6">
        <w:t>, and particular locations are not excluded based on economic viability or incidence of crime</w:t>
      </w:r>
      <w:r w:rsidR="00717404">
        <w:t xml:space="preserve">. </w:t>
      </w:r>
    </w:p>
    <w:p w14:paraId="2412462B" w14:textId="77777777" w:rsidR="0000615B" w:rsidRDefault="0000615B" w:rsidP="0000615B">
      <w:pPr>
        <w:pStyle w:val="Prrafodelista"/>
        <w:numPr>
          <w:ilvl w:val="0"/>
          <w:numId w:val="5"/>
        </w:numPr>
      </w:pPr>
      <w:r>
        <w:t>Within system capacity</w:t>
      </w:r>
      <w:r w:rsidR="00007FCA">
        <w:t xml:space="preserve"> – as </w:t>
      </w:r>
      <w:r w:rsidR="004D67E6">
        <w:t xml:space="preserve">drones are an </w:t>
      </w:r>
      <w:r w:rsidR="00007FCA">
        <w:t xml:space="preserve">aerial </w:t>
      </w:r>
      <w:r w:rsidR="004D67E6">
        <w:t xml:space="preserve">transport </w:t>
      </w:r>
      <w:r w:rsidR="00007FCA">
        <w:t>system, infrastructure demands are relatively low</w:t>
      </w:r>
      <w:r w:rsidR="004D67E6">
        <w:t xml:space="preserve"> and specific, requiring vertical take-off and landing areas, or short runways. Along with all electric vehicles, there are questions and uncertainties around the environmental impact of sourcing raw materials for batteries and their subsequent recycling.</w:t>
      </w:r>
    </w:p>
    <w:p w14:paraId="6C1A9B56" w14:textId="77777777" w:rsidR="0000615B" w:rsidRDefault="0000615B" w:rsidP="0000615B">
      <w:pPr>
        <w:pStyle w:val="Prrafodelista"/>
        <w:numPr>
          <w:ilvl w:val="0"/>
          <w:numId w:val="5"/>
        </w:numPr>
      </w:pPr>
      <w:r>
        <w:t>Human-scale infrastructure</w:t>
      </w:r>
      <w:r w:rsidR="004D67E6">
        <w:t xml:space="preserve"> – hitherto most drones for civilian purposes have been small; indeed, fitting into </w:t>
      </w:r>
      <w:r w:rsidR="00625C48">
        <w:t xml:space="preserve">the </w:t>
      </w:r>
      <w:r w:rsidR="004D67E6">
        <w:t>existing built environment is one advantage. This may not remain the case for all future applications, however.</w:t>
      </w:r>
    </w:p>
    <w:p w14:paraId="53C62987" w14:textId="77777777" w:rsidR="004D67E6" w:rsidRDefault="009A0AC8" w:rsidP="0000615B">
      <w:pPr>
        <w:pStyle w:val="Prrafodelista"/>
        <w:numPr>
          <w:ilvl w:val="0"/>
          <w:numId w:val="5"/>
        </w:numPr>
      </w:pPr>
      <w:r>
        <w:t>Energy and noxious emissions – aviation is fundamentally energy intensive, but can represent the most efficient solution e.g. if the alternative is an over-sized road vehicle taking an indirect route over hilly terrain. Noise emissions are a potential problem in urban areas and may limit operating practices.</w:t>
      </w:r>
    </w:p>
    <w:p w14:paraId="74340079" w14:textId="77777777" w:rsidR="007856C8" w:rsidRDefault="0000615B" w:rsidP="007856C8">
      <w:pPr>
        <w:pStyle w:val="Prrafodelista"/>
        <w:numPr>
          <w:ilvl w:val="0"/>
          <w:numId w:val="5"/>
        </w:numPr>
      </w:pPr>
      <w:r>
        <w:t>Low or zero GHG</w:t>
      </w:r>
      <w:r w:rsidR="00E50BF9">
        <w:t xml:space="preserve"> – </w:t>
      </w:r>
      <w:r w:rsidR="009A0AC8">
        <w:t>assuming</w:t>
      </w:r>
      <w:r w:rsidR="00A468B5">
        <w:t xml:space="preserve"> electric</w:t>
      </w:r>
      <w:r w:rsidR="009A0AC8">
        <w:t xml:space="preserve"> technology</w:t>
      </w:r>
      <w:r w:rsidR="00A468B5">
        <w:t xml:space="preserve">, </w:t>
      </w:r>
      <w:r w:rsidR="009A0AC8">
        <w:t xml:space="preserve">there is </w:t>
      </w:r>
      <w:r w:rsidR="00A468B5">
        <w:t xml:space="preserve">the potential </w:t>
      </w:r>
      <w:r w:rsidR="009A0AC8">
        <w:t xml:space="preserve">for </w:t>
      </w:r>
      <w:r w:rsidR="00F94FB2">
        <w:t>zero</w:t>
      </w:r>
      <w:r w:rsidR="009A0AC8">
        <w:t>-</w:t>
      </w:r>
      <w:r w:rsidR="00F94FB2">
        <w:t>GHG emission</w:t>
      </w:r>
      <w:r w:rsidR="009A0AC8">
        <w:t>s,</w:t>
      </w:r>
      <w:r w:rsidR="00F94FB2">
        <w:t xml:space="preserve"> depending on how electricity is produced (</w:t>
      </w:r>
      <w:proofErr w:type="spellStart"/>
      <w:r w:rsidR="00D8318D">
        <w:t>Portapas</w:t>
      </w:r>
      <w:proofErr w:type="spellEnd"/>
      <w:r w:rsidR="00D8318D">
        <w:t>, 2021</w:t>
      </w:r>
      <w:r w:rsidR="00F94FB2">
        <w:t>).</w:t>
      </w:r>
    </w:p>
    <w:p w14:paraId="0A031965" w14:textId="77777777" w:rsidR="0000615B" w:rsidRPr="007856C8" w:rsidRDefault="0000615B" w:rsidP="007E3D04">
      <w:pPr>
        <w:pStyle w:val="Prrafodelista"/>
        <w:numPr>
          <w:ilvl w:val="0"/>
          <w:numId w:val="5"/>
        </w:numPr>
      </w:pPr>
      <w:r>
        <w:t>Regulation in interests of public</w:t>
      </w:r>
      <w:r w:rsidR="007856C8">
        <w:t xml:space="preserve"> – probably the most significant barrier to the implementation of this technology is public acceptance</w:t>
      </w:r>
      <w:r w:rsidR="00625C48">
        <w:t>. T</w:t>
      </w:r>
      <w:r w:rsidR="004D67E6" w:rsidRPr="004D67E6">
        <w:t xml:space="preserve">he public would need to be convinced that the services do not represent a threat to privacy, security, or safety </w:t>
      </w:r>
      <w:r w:rsidR="00CA388E">
        <w:t>(</w:t>
      </w:r>
      <w:proofErr w:type="spellStart"/>
      <w:r w:rsidR="00B77D8F" w:rsidRPr="00B77D8F">
        <w:t>Aurambout</w:t>
      </w:r>
      <w:proofErr w:type="spellEnd"/>
      <w:r w:rsidR="00B77D8F" w:rsidRPr="00B77D8F">
        <w:t xml:space="preserve"> et al., 2019; Paddeu et al., 2019</w:t>
      </w:r>
      <w:r w:rsidR="00CA388E">
        <w:t xml:space="preserve">). </w:t>
      </w:r>
      <w:r w:rsidR="009C1EDE">
        <w:t xml:space="preserve">There is a need for new regulations </w:t>
      </w:r>
      <w:r w:rsidR="00AC53A6">
        <w:t>(Paddeu and Parkhurst, 2020).</w:t>
      </w:r>
    </w:p>
    <w:p w14:paraId="33F1FFD9" w14:textId="77777777" w:rsidR="00007FCA" w:rsidRDefault="00007FCA" w:rsidP="00F909AA">
      <w:r>
        <w:t xml:space="preserve">Regarding </w:t>
      </w:r>
      <w:r w:rsidR="00625C48">
        <w:t>capability and capacity (</w:t>
      </w:r>
      <w:r>
        <w:t>C&amp;C</w:t>
      </w:r>
      <w:r w:rsidR="00625C48">
        <w:t>)</w:t>
      </w:r>
      <w:r>
        <w:t xml:space="preserve">, training </w:t>
      </w:r>
      <w:r w:rsidR="00625C48">
        <w:t>wou</w:t>
      </w:r>
      <w:r w:rsidR="00170909">
        <w:t>ld</w:t>
      </w:r>
      <w:r w:rsidR="00B51985">
        <w:t xml:space="preserve"> </w:t>
      </w:r>
      <w:r>
        <w:t xml:space="preserve">be needed not only for commercial operators but also for citizens </w:t>
      </w:r>
      <w:r w:rsidR="00170909">
        <w:t xml:space="preserve">in order for them </w:t>
      </w:r>
      <w:r>
        <w:t xml:space="preserve">to be </w:t>
      </w:r>
      <w:r w:rsidR="00170909">
        <w:t xml:space="preserve">able to </w:t>
      </w:r>
      <w:r>
        <w:t>interact with the technology (Paddeu et al., 2019).</w:t>
      </w:r>
    </w:p>
    <w:p w14:paraId="65F0FE99" w14:textId="77777777" w:rsidR="009A0AC8" w:rsidRDefault="00AA6893" w:rsidP="009A0AC8">
      <w:pPr>
        <w:pStyle w:val="Ttulo2"/>
      </w:pPr>
      <w:r w:rsidRPr="007E3D04">
        <w:t xml:space="preserve">Autonomous Delivery </w:t>
      </w:r>
      <w:r w:rsidR="00F909AA" w:rsidRPr="007E3D04">
        <w:t xml:space="preserve">Robots </w:t>
      </w:r>
      <w:r w:rsidR="00A17566">
        <w:t>(ADR)</w:t>
      </w:r>
    </w:p>
    <w:p w14:paraId="69641A75" w14:textId="77777777" w:rsidR="00A17566" w:rsidRDefault="00982F79" w:rsidP="00F909AA">
      <w:r>
        <w:t>Small</w:t>
      </w:r>
      <w:r w:rsidR="00A17566">
        <w:t xml:space="preserve"> wheeled robots </w:t>
      </w:r>
      <w:r w:rsidR="00F909AA">
        <w:t xml:space="preserve">can be used </w:t>
      </w:r>
      <w:r w:rsidR="00A17566">
        <w:t xml:space="preserve">to undertake </w:t>
      </w:r>
      <w:r w:rsidR="0096175B">
        <w:t xml:space="preserve">B2C </w:t>
      </w:r>
      <w:r w:rsidR="00102121">
        <w:t>last-mile deliveries</w:t>
      </w:r>
      <w:r w:rsidR="00A17566">
        <w:t xml:space="preserve"> (and in this context the typical range would be within a mile or so). </w:t>
      </w:r>
    </w:p>
    <w:p w14:paraId="4057E367" w14:textId="77777777" w:rsidR="006A5F56" w:rsidRDefault="00A17566" w:rsidP="006A5F56">
      <w:r>
        <w:lastRenderedPageBreak/>
        <w:t xml:space="preserve">In respect of subsistence SDGs, ADRs have some similarities with the UAV equivalents, although </w:t>
      </w:r>
      <w:r w:rsidR="00170909">
        <w:t xml:space="preserve">they </w:t>
      </w:r>
      <w:r>
        <w:t>are constrained by using surface infrastructure and hence lower speeds due to interacting with other road users and obstacles in the built environment</w:t>
      </w:r>
      <w:r w:rsidR="006A5F56">
        <w:t>:</w:t>
      </w:r>
    </w:p>
    <w:p w14:paraId="06BBCBA6" w14:textId="77777777" w:rsidR="006A5F56" w:rsidRPr="00DF3F96" w:rsidRDefault="006A5F56" w:rsidP="006A5F56">
      <w:pPr>
        <w:pStyle w:val="Prrafodelista"/>
        <w:numPr>
          <w:ilvl w:val="0"/>
          <w:numId w:val="5"/>
        </w:numPr>
        <w:rPr>
          <w:szCs w:val="24"/>
        </w:rPr>
      </w:pPr>
      <w:r>
        <w:rPr>
          <w:rFonts w:eastAsia="Times New Roman"/>
        </w:rPr>
        <w:t>Food</w:t>
      </w:r>
      <w:r w:rsidRPr="00DF3F96">
        <w:rPr>
          <w:rFonts w:eastAsia="Times New Roman"/>
        </w:rPr>
        <w:t xml:space="preserve"> –</w:t>
      </w:r>
      <w:r>
        <w:rPr>
          <w:rFonts w:eastAsia="Times New Roman"/>
        </w:rPr>
        <w:t xml:space="preserve"> ADRs </w:t>
      </w:r>
      <w:r w:rsidRPr="00DF3F96">
        <w:rPr>
          <w:rFonts w:eastAsia="Times New Roman"/>
        </w:rPr>
        <w:t xml:space="preserve">can be used </w:t>
      </w:r>
      <w:r>
        <w:rPr>
          <w:rFonts w:eastAsia="Times New Roman"/>
        </w:rPr>
        <w:t>for food last-mile deliveries</w:t>
      </w:r>
      <w:r>
        <w:t>.</w:t>
      </w:r>
      <w:r w:rsidR="00A17566">
        <w:t xml:space="preserve"> Whilst in many cases this might be an added-value service to save the consumer a journey, some citizens may be unable to travel</w:t>
      </w:r>
    </w:p>
    <w:p w14:paraId="6D8061FD" w14:textId="77777777" w:rsidR="006A5F56" w:rsidRPr="007E3D04" w:rsidRDefault="006A5F56" w:rsidP="007E3D04">
      <w:pPr>
        <w:pStyle w:val="Prrafodelista"/>
        <w:numPr>
          <w:ilvl w:val="0"/>
          <w:numId w:val="5"/>
        </w:numPr>
        <w:spacing w:after="0" w:line="240" w:lineRule="auto"/>
        <w:contextualSpacing w:val="0"/>
        <w:rPr>
          <w:rFonts w:eastAsia="Times New Roman"/>
        </w:rPr>
      </w:pPr>
      <w:r w:rsidRPr="0059030D">
        <w:rPr>
          <w:rFonts w:eastAsia="Times New Roman"/>
        </w:rPr>
        <w:t xml:space="preserve">Health and wellbeing </w:t>
      </w:r>
      <w:r w:rsidRPr="009D5E87">
        <w:rPr>
          <w:rFonts w:eastAsia="Times New Roman"/>
        </w:rPr>
        <w:t xml:space="preserve">– </w:t>
      </w:r>
      <w:r w:rsidR="00A17566">
        <w:rPr>
          <w:rFonts w:eastAsia="Times New Roman"/>
        </w:rPr>
        <w:t xml:space="preserve">ADRs </w:t>
      </w:r>
      <w:r w:rsidRPr="009D5E87">
        <w:rPr>
          <w:rFonts w:eastAsia="Times New Roman"/>
        </w:rPr>
        <w:t xml:space="preserve">can </w:t>
      </w:r>
      <w:r w:rsidR="00BC6A28">
        <w:rPr>
          <w:rFonts w:eastAsia="Times New Roman"/>
        </w:rPr>
        <w:t>deliver</w:t>
      </w:r>
      <w:r w:rsidR="00A17566">
        <w:rPr>
          <w:rFonts w:eastAsia="Times New Roman"/>
        </w:rPr>
        <w:t xml:space="preserve"> medical supplies</w:t>
      </w:r>
      <w:r w:rsidR="00170909">
        <w:rPr>
          <w:rFonts w:eastAsia="Times New Roman"/>
        </w:rPr>
        <w:t>,</w:t>
      </w:r>
      <w:r w:rsidR="00B51985">
        <w:rPr>
          <w:rFonts w:eastAsia="Times New Roman"/>
        </w:rPr>
        <w:t xml:space="preserve"> </w:t>
      </w:r>
      <w:r w:rsidR="00A17566">
        <w:rPr>
          <w:rFonts w:eastAsia="Times New Roman"/>
        </w:rPr>
        <w:t xml:space="preserve">although </w:t>
      </w:r>
      <w:r w:rsidR="00170909">
        <w:rPr>
          <w:rFonts w:eastAsia="Times New Roman"/>
        </w:rPr>
        <w:t xml:space="preserve">in the case of time-critical deliveries </w:t>
      </w:r>
      <w:r w:rsidR="00A17566">
        <w:rPr>
          <w:rFonts w:eastAsia="Times New Roman"/>
        </w:rPr>
        <w:t xml:space="preserve">may not offer </w:t>
      </w:r>
      <w:r w:rsidR="00170909">
        <w:rPr>
          <w:rFonts w:eastAsia="Times New Roman"/>
        </w:rPr>
        <w:t xml:space="preserve">the </w:t>
      </w:r>
      <w:r w:rsidR="00A17566">
        <w:rPr>
          <w:rFonts w:eastAsia="Times New Roman"/>
        </w:rPr>
        <w:t>fast</w:t>
      </w:r>
      <w:r w:rsidR="00170909">
        <w:rPr>
          <w:rFonts w:eastAsia="Times New Roman"/>
        </w:rPr>
        <w:t>est</w:t>
      </w:r>
      <w:r w:rsidR="00A17566">
        <w:rPr>
          <w:rFonts w:eastAsia="Times New Roman"/>
        </w:rPr>
        <w:t xml:space="preserve"> option</w:t>
      </w:r>
      <w:r w:rsidRPr="007E3D04">
        <w:rPr>
          <w:rFonts w:eastAsia="Times New Roman"/>
        </w:rPr>
        <w:t>.</w:t>
      </w:r>
      <w:r w:rsidR="00B51985">
        <w:rPr>
          <w:rFonts w:eastAsia="Times New Roman"/>
        </w:rPr>
        <w:t xml:space="preserve"> </w:t>
      </w:r>
      <w:r w:rsidR="00170909">
        <w:rPr>
          <w:rFonts w:eastAsia="Times New Roman"/>
        </w:rPr>
        <w:t>D</w:t>
      </w:r>
      <w:r w:rsidR="005772F6" w:rsidRPr="007E3D04">
        <w:rPr>
          <w:rFonts w:eastAsia="Times New Roman"/>
        </w:rPr>
        <w:t>uring the C</w:t>
      </w:r>
      <w:r w:rsidR="0049073B">
        <w:rPr>
          <w:rFonts w:eastAsia="Times New Roman"/>
        </w:rPr>
        <w:t>OVID-</w:t>
      </w:r>
      <w:r w:rsidR="005772F6" w:rsidRPr="007E3D04">
        <w:rPr>
          <w:rFonts w:eastAsia="Times New Roman"/>
        </w:rPr>
        <w:t xml:space="preserve">19 pandemic, </w:t>
      </w:r>
      <w:r w:rsidR="00453868" w:rsidRPr="007E3D04">
        <w:rPr>
          <w:rFonts w:eastAsia="Times New Roman"/>
        </w:rPr>
        <w:t>Abrar et al. (2020) suggest</w:t>
      </w:r>
      <w:r w:rsidR="005772F6" w:rsidRPr="007E3D04">
        <w:rPr>
          <w:rFonts w:eastAsia="Times New Roman"/>
        </w:rPr>
        <w:t>ed that</w:t>
      </w:r>
      <w:r w:rsidR="00B51985">
        <w:rPr>
          <w:rFonts w:eastAsia="Times New Roman"/>
        </w:rPr>
        <w:t xml:space="preserve"> </w:t>
      </w:r>
      <w:r w:rsidR="005772F6">
        <w:rPr>
          <w:rFonts w:eastAsia="Times New Roman"/>
        </w:rPr>
        <w:t>ADRs</w:t>
      </w:r>
      <w:r w:rsidR="00E12AF3" w:rsidRPr="007E3D04">
        <w:rPr>
          <w:rFonts w:eastAsia="Times New Roman"/>
        </w:rPr>
        <w:t xml:space="preserve"> c</w:t>
      </w:r>
      <w:r w:rsidR="0044373E">
        <w:rPr>
          <w:rFonts w:eastAsia="Times New Roman"/>
        </w:rPr>
        <w:t xml:space="preserve">ould </w:t>
      </w:r>
      <w:r w:rsidR="00E12AF3" w:rsidRPr="007E3D04">
        <w:rPr>
          <w:rFonts w:eastAsia="Times New Roman"/>
        </w:rPr>
        <w:t>be</w:t>
      </w:r>
      <w:r w:rsidR="005772F6" w:rsidRPr="007E3D04">
        <w:rPr>
          <w:rFonts w:eastAsia="Times New Roman"/>
        </w:rPr>
        <w:t xml:space="preserve"> a</w:t>
      </w:r>
      <w:r w:rsidR="00E12AF3" w:rsidRPr="007E3D04">
        <w:rPr>
          <w:rFonts w:eastAsia="Times New Roman"/>
        </w:rPr>
        <w:t xml:space="preserve"> secure and contactless delivery</w:t>
      </w:r>
      <w:r w:rsidR="005772F6" w:rsidRPr="007E3D04">
        <w:rPr>
          <w:rFonts w:eastAsia="Times New Roman"/>
        </w:rPr>
        <w:t xml:space="preserve"> option </w:t>
      </w:r>
      <w:r w:rsidR="0044373E">
        <w:rPr>
          <w:rFonts w:eastAsia="Times New Roman"/>
        </w:rPr>
        <w:t xml:space="preserve">to </w:t>
      </w:r>
      <w:r w:rsidR="00A17566">
        <w:rPr>
          <w:rFonts w:eastAsia="Times New Roman"/>
        </w:rPr>
        <w:t xml:space="preserve">counter </w:t>
      </w:r>
      <w:r w:rsidR="005772F6" w:rsidRPr="007E3D04">
        <w:rPr>
          <w:rFonts w:eastAsia="Times New Roman"/>
        </w:rPr>
        <w:t xml:space="preserve">the spread of </w:t>
      </w:r>
      <w:r w:rsidR="0044373E">
        <w:rPr>
          <w:rFonts w:eastAsia="Times New Roman"/>
        </w:rPr>
        <w:t xml:space="preserve">the virus. </w:t>
      </w:r>
    </w:p>
    <w:p w14:paraId="713C1A13" w14:textId="77777777" w:rsidR="006A5F56" w:rsidRDefault="006A5F56" w:rsidP="006A5F56">
      <w:pPr>
        <w:pStyle w:val="Prrafodelista"/>
        <w:numPr>
          <w:ilvl w:val="0"/>
          <w:numId w:val="5"/>
        </w:numPr>
        <w:spacing w:after="0" w:line="240" w:lineRule="auto"/>
        <w:contextualSpacing w:val="0"/>
      </w:pPr>
      <w:r w:rsidRPr="007E3D04">
        <w:rPr>
          <w:rFonts w:eastAsia="Times New Roman"/>
        </w:rPr>
        <w:t>Employment –</w:t>
      </w:r>
      <w:r w:rsidR="002D3E3F">
        <w:rPr>
          <w:rFonts w:eastAsia="Times New Roman"/>
        </w:rPr>
        <w:t xml:space="preserve"> similar to drones, ADRs </w:t>
      </w:r>
      <w:r w:rsidRPr="007E3D04">
        <w:rPr>
          <w:rFonts w:eastAsia="Times New Roman"/>
        </w:rPr>
        <w:t>c</w:t>
      </w:r>
      <w:r w:rsidR="00170909">
        <w:rPr>
          <w:rFonts w:eastAsia="Times New Roman"/>
        </w:rPr>
        <w:t xml:space="preserve">ould </w:t>
      </w:r>
      <w:r w:rsidRPr="007E3D04">
        <w:rPr>
          <w:rFonts w:eastAsia="Times New Roman"/>
        </w:rPr>
        <w:t xml:space="preserve">potentially replace </w:t>
      </w:r>
      <w:r w:rsidR="00170909">
        <w:rPr>
          <w:rFonts w:eastAsia="Times New Roman"/>
        </w:rPr>
        <w:t xml:space="preserve">human-driven </w:t>
      </w:r>
      <w:r w:rsidRPr="007E3D04">
        <w:rPr>
          <w:rFonts w:eastAsia="Times New Roman"/>
        </w:rPr>
        <w:t>vans in very congested areas</w:t>
      </w:r>
      <w:r w:rsidR="002D3E3F">
        <w:rPr>
          <w:rFonts w:eastAsia="Times New Roman"/>
        </w:rPr>
        <w:t>, as they can circulate on the pavement sharing the space with pedestrians</w:t>
      </w:r>
      <w:r w:rsidRPr="007E3D04">
        <w:rPr>
          <w:rFonts w:eastAsia="Times New Roman"/>
        </w:rPr>
        <w:t xml:space="preserve"> (Paddeu </w:t>
      </w:r>
      <w:r w:rsidR="002D3E3F">
        <w:rPr>
          <w:rFonts w:eastAsia="Times New Roman"/>
        </w:rPr>
        <w:t>and Parkhurst, 2020</w:t>
      </w:r>
      <w:r w:rsidRPr="007E3D04">
        <w:rPr>
          <w:rFonts w:eastAsia="Times New Roman"/>
        </w:rPr>
        <w:t>). This might have a significant impact on employability (e.g., van drivers would be replaced</w:t>
      </w:r>
      <w:r w:rsidRPr="0081100F">
        <w:t>)</w:t>
      </w:r>
      <w:r>
        <w:t xml:space="preserve">. </w:t>
      </w:r>
      <w:r w:rsidR="00CD63FF">
        <w:t>On the other hand, this could actually represent a</w:t>
      </w:r>
      <w:r w:rsidR="00A17566">
        <w:t xml:space="preserve"> partial</w:t>
      </w:r>
      <w:r w:rsidR="00CD63FF">
        <w:t xml:space="preserve"> solution to the truck/van driver shortage that is significantly impacting the logistics sector.</w:t>
      </w:r>
    </w:p>
    <w:p w14:paraId="29C12BC9" w14:textId="77777777" w:rsidR="00CD63FF" w:rsidRPr="00A17566" w:rsidRDefault="004D7D59" w:rsidP="007E3D04">
      <w:pPr>
        <w:spacing w:before="100" w:beforeAutospacing="1"/>
        <w:rPr>
          <w:rFonts w:cstheme="minorHAnsi"/>
        </w:rPr>
      </w:pPr>
      <w:r w:rsidRPr="004D7D59">
        <w:rPr>
          <w:rFonts w:cstheme="minorHAnsi"/>
        </w:rPr>
        <w:t>Considering SDGs for enhancement</w:t>
      </w:r>
      <w:r w:rsidR="00CD63FF" w:rsidRPr="00A17566">
        <w:rPr>
          <w:rFonts w:cstheme="minorHAnsi"/>
        </w:rPr>
        <w:t>:</w:t>
      </w:r>
    </w:p>
    <w:p w14:paraId="72B9929C" w14:textId="6D1377D0" w:rsidR="00CD63FF" w:rsidRPr="00A17566" w:rsidRDefault="00CD63FF" w:rsidP="007E3D04">
      <w:pPr>
        <w:pStyle w:val="Prrafodelista"/>
        <w:numPr>
          <w:ilvl w:val="0"/>
          <w:numId w:val="5"/>
        </w:numPr>
        <w:rPr>
          <w:rFonts w:eastAsia="Times New Roman" w:cstheme="minorHAnsi"/>
        </w:rPr>
      </w:pPr>
      <w:r w:rsidRPr="00A17566">
        <w:rPr>
          <w:rFonts w:eastAsia="Times New Roman" w:cstheme="minorHAnsi"/>
        </w:rPr>
        <w:t>Affordability</w:t>
      </w:r>
      <w:r w:rsidR="00514DC4">
        <w:rPr>
          <w:rFonts w:eastAsia="Times New Roman" w:cstheme="minorHAnsi"/>
        </w:rPr>
        <w:t xml:space="preserve"> </w:t>
      </w:r>
      <w:r w:rsidR="00A17566">
        <w:rPr>
          <w:rFonts w:eastAsia="Times New Roman" w:cstheme="minorHAnsi"/>
        </w:rPr>
        <w:t>–</w:t>
      </w:r>
      <w:r w:rsidR="00514DC4">
        <w:rPr>
          <w:rFonts w:eastAsia="Times New Roman" w:cstheme="minorHAnsi"/>
        </w:rPr>
        <w:t xml:space="preserve"> </w:t>
      </w:r>
      <w:r w:rsidR="00A17566">
        <w:rPr>
          <w:rFonts w:eastAsia="Times New Roman" w:cstheme="minorHAnsi"/>
        </w:rPr>
        <w:t xml:space="preserve">currently, </w:t>
      </w:r>
      <w:r w:rsidR="00170909">
        <w:rPr>
          <w:rFonts w:eastAsia="Times New Roman" w:cstheme="minorHAnsi"/>
        </w:rPr>
        <w:t xml:space="preserve">the </w:t>
      </w:r>
      <w:r w:rsidR="002F7513" w:rsidRPr="00A17566">
        <w:rPr>
          <w:rFonts w:cstheme="minorHAnsi"/>
        </w:rPr>
        <w:t>high initial investment costs of ADRs limit their widespread</w:t>
      </w:r>
      <w:r w:rsidR="00A17566">
        <w:rPr>
          <w:rFonts w:cstheme="minorHAnsi"/>
        </w:rPr>
        <w:t xml:space="preserve"> adoption</w:t>
      </w:r>
      <w:r w:rsidR="00B2418C" w:rsidRPr="00A17566">
        <w:rPr>
          <w:rFonts w:cstheme="minorHAnsi"/>
        </w:rPr>
        <w:t xml:space="preserve">. In fact, </w:t>
      </w:r>
      <w:r w:rsidR="00170909">
        <w:rPr>
          <w:rFonts w:cstheme="minorHAnsi"/>
        </w:rPr>
        <w:t xml:space="preserve">many </w:t>
      </w:r>
      <w:r w:rsidR="002F7513" w:rsidRPr="00A17566">
        <w:rPr>
          <w:rFonts w:cstheme="minorHAnsi"/>
        </w:rPr>
        <w:t xml:space="preserve">companies </w:t>
      </w:r>
      <w:r w:rsidR="00170909">
        <w:rPr>
          <w:rFonts w:cstheme="minorHAnsi"/>
        </w:rPr>
        <w:t xml:space="preserve">that could potentially adopted ADRs can be expected </w:t>
      </w:r>
      <w:r w:rsidR="002F7513" w:rsidRPr="00A17566">
        <w:rPr>
          <w:rFonts w:cstheme="minorHAnsi"/>
        </w:rPr>
        <w:t>to wait until the technology is further developed and tested (e.g., available and implemented on a large scale at a lower price</w:t>
      </w:r>
      <w:r w:rsidR="007770E1" w:rsidRPr="00A17566">
        <w:rPr>
          <w:rFonts w:cstheme="minorHAnsi"/>
        </w:rPr>
        <w:t xml:space="preserve">), in order to avoid potential risks of </w:t>
      </w:r>
      <w:r w:rsidR="00A17566">
        <w:rPr>
          <w:rFonts w:cstheme="minorHAnsi"/>
        </w:rPr>
        <w:t xml:space="preserve">misdirected </w:t>
      </w:r>
      <w:r w:rsidR="007770E1" w:rsidRPr="00A17566">
        <w:rPr>
          <w:rFonts w:cstheme="minorHAnsi"/>
        </w:rPr>
        <w:t>investment (</w:t>
      </w:r>
      <w:r w:rsidR="002F7513" w:rsidRPr="00A17566">
        <w:rPr>
          <w:rFonts w:cstheme="minorHAnsi"/>
        </w:rPr>
        <w:t>Zhang</w:t>
      </w:r>
      <w:r w:rsidR="007770E1" w:rsidRPr="00A17566">
        <w:rPr>
          <w:rFonts w:cstheme="minorHAnsi"/>
        </w:rPr>
        <w:t xml:space="preserve">, </w:t>
      </w:r>
      <w:r w:rsidR="002F7513" w:rsidRPr="00A17566">
        <w:rPr>
          <w:rFonts w:cstheme="minorHAnsi"/>
        </w:rPr>
        <w:t>2019)</w:t>
      </w:r>
      <w:r w:rsidR="007770E1" w:rsidRPr="00A17566">
        <w:rPr>
          <w:rFonts w:cstheme="minorHAnsi"/>
        </w:rPr>
        <w:t>.</w:t>
      </w:r>
      <w:r w:rsidR="008C5138">
        <w:rPr>
          <w:rFonts w:cstheme="minorHAnsi"/>
          <w:lang w:val="mt-MT"/>
        </w:rPr>
        <w:t xml:space="preserve"> </w:t>
      </w:r>
      <w:r w:rsidR="0049073B">
        <w:rPr>
          <w:rFonts w:cstheme="minorHAnsi"/>
        </w:rPr>
        <w:t xml:space="preserve">Given </w:t>
      </w:r>
      <w:r w:rsidR="00170909">
        <w:rPr>
          <w:rFonts w:cstheme="minorHAnsi"/>
        </w:rPr>
        <w:t xml:space="preserve">the </w:t>
      </w:r>
      <w:r w:rsidR="0049073B">
        <w:rPr>
          <w:rFonts w:cstheme="minorHAnsi"/>
        </w:rPr>
        <w:t>costs will</w:t>
      </w:r>
      <w:r w:rsidR="00514DC4">
        <w:rPr>
          <w:rFonts w:cstheme="minorHAnsi"/>
        </w:rPr>
        <w:t xml:space="preserve"> </w:t>
      </w:r>
      <w:r w:rsidR="0049073B">
        <w:rPr>
          <w:rFonts w:cstheme="minorHAnsi"/>
        </w:rPr>
        <w:t>need to be met by the consumer, u</w:t>
      </w:r>
      <w:r w:rsidR="00A17566">
        <w:rPr>
          <w:rFonts w:cstheme="minorHAnsi"/>
        </w:rPr>
        <w:t xml:space="preserve">ntil </w:t>
      </w:r>
      <w:r w:rsidR="0049073B">
        <w:rPr>
          <w:rFonts w:cstheme="minorHAnsi"/>
        </w:rPr>
        <w:t xml:space="preserve">they </w:t>
      </w:r>
      <w:r w:rsidR="008C5138">
        <w:rPr>
          <w:rFonts w:cstheme="minorHAnsi"/>
          <w:lang w:val="mt-MT"/>
        </w:rPr>
        <w:t>reduce</w:t>
      </w:r>
      <w:r w:rsidR="00A17566">
        <w:rPr>
          <w:rFonts w:cstheme="minorHAnsi"/>
        </w:rPr>
        <w:t>, the services are unlikely to be viable for m</w:t>
      </w:r>
      <w:r w:rsidR="0049073B">
        <w:rPr>
          <w:rFonts w:cstheme="minorHAnsi"/>
        </w:rPr>
        <w:t>ost citizens.</w:t>
      </w:r>
    </w:p>
    <w:p w14:paraId="543A6DA5" w14:textId="77777777" w:rsidR="00290EA3" w:rsidRPr="00A17566" w:rsidRDefault="00CD63FF" w:rsidP="00290EA3">
      <w:pPr>
        <w:pStyle w:val="Prrafodelista"/>
        <w:numPr>
          <w:ilvl w:val="0"/>
          <w:numId w:val="5"/>
        </w:numPr>
        <w:rPr>
          <w:rFonts w:cstheme="minorHAnsi"/>
        </w:rPr>
      </w:pPr>
      <w:r w:rsidRPr="00A17566">
        <w:rPr>
          <w:rFonts w:eastAsia="Times New Roman" w:cstheme="minorHAnsi"/>
        </w:rPr>
        <w:t>Inclusion</w:t>
      </w:r>
      <w:r w:rsidR="00290EA3" w:rsidRPr="00A17566">
        <w:rPr>
          <w:rFonts w:eastAsia="Times New Roman" w:cstheme="minorHAnsi"/>
        </w:rPr>
        <w:t xml:space="preserve"> – </w:t>
      </w:r>
      <w:r w:rsidR="0049073B">
        <w:rPr>
          <w:rFonts w:eastAsia="Times New Roman" w:cstheme="minorHAnsi"/>
        </w:rPr>
        <w:t xml:space="preserve">as with drones, </w:t>
      </w:r>
      <w:r w:rsidR="00290EA3" w:rsidRPr="00A17566">
        <w:rPr>
          <w:rFonts w:eastAsia="Times New Roman" w:cstheme="minorHAnsi"/>
        </w:rPr>
        <w:t xml:space="preserve">there is a risk that some </w:t>
      </w:r>
      <w:r w:rsidR="00FF6774" w:rsidRPr="00A17566">
        <w:rPr>
          <w:rFonts w:eastAsia="Times New Roman" w:cstheme="minorHAnsi"/>
        </w:rPr>
        <w:t>groups might be excluded, due to difficulties interact</w:t>
      </w:r>
      <w:r w:rsidR="0049073B">
        <w:rPr>
          <w:rFonts w:eastAsia="Times New Roman" w:cstheme="minorHAnsi"/>
        </w:rPr>
        <w:t>ing with</w:t>
      </w:r>
      <w:r w:rsidR="00FF6774" w:rsidRPr="00A17566">
        <w:rPr>
          <w:rFonts w:eastAsia="Times New Roman" w:cstheme="minorHAnsi"/>
        </w:rPr>
        <w:t xml:space="preserve"> the </w:t>
      </w:r>
      <w:r w:rsidR="0049073B">
        <w:rPr>
          <w:rFonts w:eastAsia="Times New Roman" w:cstheme="minorHAnsi"/>
        </w:rPr>
        <w:t xml:space="preserve">digital and physical </w:t>
      </w:r>
      <w:r w:rsidR="00FF6774" w:rsidRPr="00A17566">
        <w:rPr>
          <w:rFonts w:eastAsia="Times New Roman" w:cstheme="minorHAnsi"/>
        </w:rPr>
        <w:t>technolog</w:t>
      </w:r>
      <w:r w:rsidR="0049073B">
        <w:rPr>
          <w:rFonts w:eastAsia="Times New Roman" w:cstheme="minorHAnsi"/>
        </w:rPr>
        <w:t>ies</w:t>
      </w:r>
      <w:r w:rsidR="00514DC4">
        <w:rPr>
          <w:rFonts w:eastAsia="Times New Roman" w:cstheme="minorHAnsi"/>
        </w:rPr>
        <w:t xml:space="preserve"> </w:t>
      </w:r>
      <w:r w:rsidR="00290EA3" w:rsidRPr="00A17566">
        <w:rPr>
          <w:rFonts w:cstheme="minorHAnsi"/>
        </w:rPr>
        <w:t>(Paddeu et al., 2019)</w:t>
      </w:r>
      <w:r w:rsidR="001943BD">
        <w:rPr>
          <w:rFonts w:cstheme="minorHAnsi"/>
        </w:rPr>
        <w:t>, although ADRs could offer 24-hour delivery services, so meeting individual needs</w:t>
      </w:r>
      <w:r w:rsidR="0049073B">
        <w:rPr>
          <w:rFonts w:cstheme="minorHAnsi"/>
        </w:rPr>
        <w:t>.</w:t>
      </w:r>
    </w:p>
    <w:p w14:paraId="608D4043" w14:textId="77777777" w:rsidR="00CD63FF" w:rsidRPr="00A17566" w:rsidRDefault="00CD63FF" w:rsidP="007E3D04">
      <w:pPr>
        <w:pStyle w:val="Prrafodelista"/>
        <w:numPr>
          <w:ilvl w:val="0"/>
          <w:numId w:val="5"/>
        </w:numPr>
        <w:rPr>
          <w:rFonts w:eastAsia="Times New Roman" w:cstheme="minorHAnsi"/>
        </w:rPr>
      </w:pPr>
      <w:r w:rsidRPr="00A17566">
        <w:rPr>
          <w:rFonts w:eastAsia="Times New Roman" w:cstheme="minorHAnsi"/>
        </w:rPr>
        <w:t>Within system capacity</w:t>
      </w:r>
      <w:r w:rsidR="0049073B">
        <w:rPr>
          <w:rFonts w:eastAsia="Times New Roman" w:cstheme="minorHAnsi"/>
        </w:rPr>
        <w:t xml:space="preserve"> – ADRs are designed to work with the existing infrastructure, although some adaptation may be necessary for their widespread adoption. All ADRs are likely to be electrically powered, adding to the transport system demand for batteries.</w:t>
      </w:r>
    </w:p>
    <w:p w14:paraId="25E724B5" w14:textId="77777777" w:rsidR="00CD63FF" w:rsidRPr="00A17566" w:rsidRDefault="00CD63FF" w:rsidP="007E3D04">
      <w:pPr>
        <w:pStyle w:val="Prrafodelista"/>
        <w:numPr>
          <w:ilvl w:val="0"/>
          <w:numId w:val="5"/>
        </w:numPr>
        <w:rPr>
          <w:rFonts w:eastAsia="Times New Roman" w:cstheme="minorHAnsi"/>
        </w:rPr>
      </w:pPr>
      <w:r w:rsidRPr="00A17566">
        <w:rPr>
          <w:rFonts w:eastAsia="Times New Roman" w:cstheme="minorHAnsi"/>
        </w:rPr>
        <w:t>Human-scale infrastructure</w:t>
      </w:r>
      <w:r w:rsidR="0049073B">
        <w:rPr>
          <w:rFonts w:eastAsia="Times New Roman" w:cstheme="minorHAnsi"/>
        </w:rPr>
        <w:t xml:space="preserve"> – ADRs tend to be relatively small. However, they are intended for pavement use and therefore may constrain the use of pavements by humans</w:t>
      </w:r>
      <w:r w:rsidR="00514DC4">
        <w:rPr>
          <w:rFonts w:eastAsia="Times New Roman" w:cstheme="minorHAnsi"/>
        </w:rPr>
        <w:t xml:space="preserve"> </w:t>
      </w:r>
      <w:r w:rsidR="00170909">
        <w:rPr>
          <w:rFonts w:eastAsia="Times New Roman" w:cstheme="minorHAnsi"/>
        </w:rPr>
        <w:t>wishing to exercise</w:t>
      </w:r>
      <w:r w:rsidR="00514DC4">
        <w:rPr>
          <w:rFonts w:eastAsia="Times New Roman" w:cstheme="minorHAnsi"/>
        </w:rPr>
        <w:t xml:space="preserve"> </w:t>
      </w:r>
      <w:r w:rsidR="0049073B">
        <w:rPr>
          <w:rFonts w:eastAsia="Times New Roman" w:cstheme="minorHAnsi"/>
        </w:rPr>
        <w:t>the most fundamental mobility right</w:t>
      </w:r>
      <w:r w:rsidR="00170909">
        <w:rPr>
          <w:rFonts w:eastAsia="Times New Roman" w:cstheme="minorHAnsi"/>
        </w:rPr>
        <w:t>:</w:t>
      </w:r>
      <w:r w:rsidR="0049073B">
        <w:rPr>
          <w:rFonts w:eastAsia="Times New Roman" w:cstheme="minorHAnsi"/>
        </w:rPr>
        <w:t xml:space="preserve"> walking.</w:t>
      </w:r>
    </w:p>
    <w:p w14:paraId="2F77E97B" w14:textId="77777777" w:rsidR="00C66BC3" w:rsidRPr="00C66BC3" w:rsidRDefault="0049073B" w:rsidP="00C66BC3">
      <w:pPr>
        <w:pStyle w:val="Prrafodelista"/>
        <w:numPr>
          <w:ilvl w:val="0"/>
          <w:numId w:val="5"/>
        </w:numPr>
        <w:rPr>
          <w:rFonts w:eastAsia="Times New Roman" w:cstheme="minorHAnsi"/>
        </w:rPr>
      </w:pPr>
      <w:r>
        <w:t xml:space="preserve">Energy and noxious emissions – as in the case of drones, energy efficiency will depend upon appropriate application, </w:t>
      </w:r>
      <w:r w:rsidR="00C66BC3">
        <w:t>but there is potential to significantly reduce the number of failed deliveries</w:t>
      </w:r>
      <w:r w:rsidR="001943BD">
        <w:t xml:space="preserve"> (e.g. through offering evening delivery). Missed deliveries</w:t>
      </w:r>
      <w:r w:rsidR="00C66BC3">
        <w:t xml:space="preserve"> currently account for 5% of total e-commerce deliveries (Paddeu et al., 2019). N</w:t>
      </w:r>
      <w:r>
        <w:t>oxious emissions will be minimal</w:t>
      </w:r>
      <w:r w:rsidR="00C66BC3">
        <w:t xml:space="preserve"> due to electric power and low weight, so low tyre wear</w:t>
      </w:r>
      <w:r>
        <w:t>. Noise emissions will also be very low</w:t>
      </w:r>
      <w:r w:rsidR="00170909">
        <w:t>;</w:t>
      </w:r>
      <w:r>
        <w:t xml:space="preserve"> a key advantage over drones.</w:t>
      </w:r>
    </w:p>
    <w:p w14:paraId="2644D03A" w14:textId="77777777" w:rsidR="00D859E8" w:rsidRPr="00C66BC3" w:rsidRDefault="00CD63FF" w:rsidP="00CD0150">
      <w:pPr>
        <w:pStyle w:val="Prrafodelista"/>
        <w:numPr>
          <w:ilvl w:val="0"/>
          <w:numId w:val="5"/>
        </w:numPr>
        <w:rPr>
          <w:rFonts w:eastAsia="Times New Roman" w:cstheme="minorHAnsi"/>
        </w:rPr>
      </w:pPr>
      <w:r w:rsidRPr="00C66BC3">
        <w:rPr>
          <w:rFonts w:eastAsia="Times New Roman" w:cstheme="minorHAnsi"/>
        </w:rPr>
        <w:t>Low or zero GHG</w:t>
      </w:r>
      <w:r w:rsidR="008C5138">
        <w:rPr>
          <w:rFonts w:eastAsia="Times New Roman" w:cstheme="minorHAnsi"/>
          <w:lang w:val="mt-MT"/>
        </w:rPr>
        <w:t xml:space="preserve"> </w:t>
      </w:r>
      <w:r w:rsidR="00B57EEC" w:rsidRPr="00C66BC3">
        <w:rPr>
          <w:rFonts w:eastAsia="Times New Roman" w:cstheme="minorHAnsi"/>
        </w:rPr>
        <w:t>–</w:t>
      </w:r>
      <w:r w:rsidR="008C5138">
        <w:rPr>
          <w:rFonts w:eastAsia="Times New Roman" w:cstheme="minorHAnsi"/>
          <w:lang w:val="mt-MT"/>
        </w:rPr>
        <w:t xml:space="preserve"> </w:t>
      </w:r>
      <w:r w:rsidR="00B57EEC" w:rsidRPr="00C66BC3">
        <w:rPr>
          <w:rFonts w:eastAsia="Times New Roman" w:cstheme="minorHAnsi"/>
        </w:rPr>
        <w:t xml:space="preserve">being electric, ADR have the potential to reduce </w:t>
      </w:r>
      <w:r w:rsidR="005D1876" w:rsidRPr="00C66BC3">
        <w:rPr>
          <w:rFonts w:eastAsia="Times New Roman" w:cstheme="minorHAnsi"/>
        </w:rPr>
        <w:t>GHG emissions</w:t>
      </w:r>
      <w:r w:rsidR="009209F8" w:rsidRPr="00C66BC3">
        <w:rPr>
          <w:rFonts w:eastAsia="Times New Roman" w:cstheme="minorHAnsi"/>
        </w:rPr>
        <w:t xml:space="preserve">. However, it would be important </w:t>
      </w:r>
      <w:r w:rsidR="00640734">
        <w:rPr>
          <w:rFonts w:eastAsia="Times New Roman" w:cstheme="minorHAnsi"/>
        </w:rPr>
        <w:t xml:space="preserve">to </w:t>
      </w:r>
      <w:r w:rsidR="009209F8" w:rsidRPr="00C66BC3">
        <w:rPr>
          <w:rFonts w:eastAsia="Times New Roman" w:cstheme="minorHAnsi"/>
        </w:rPr>
        <w:t>explor</w:t>
      </w:r>
      <w:r w:rsidR="00640734">
        <w:rPr>
          <w:rFonts w:eastAsia="Times New Roman" w:cstheme="minorHAnsi"/>
        </w:rPr>
        <w:t>e</w:t>
      </w:r>
      <w:r w:rsidR="009209F8" w:rsidRPr="00C66BC3">
        <w:rPr>
          <w:rFonts w:eastAsia="Times New Roman" w:cstheme="minorHAnsi"/>
        </w:rPr>
        <w:t xml:space="preserve"> the added value they can provide in terms of environmental impact, when compared with human</w:t>
      </w:r>
      <w:r w:rsidR="00640734">
        <w:rPr>
          <w:rFonts w:eastAsia="Times New Roman" w:cstheme="minorHAnsi"/>
        </w:rPr>
        <w:t>-</w:t>
      </w:r>
      <w:r w:rsidR="009209F8" w:rsidRPr="00C66BC3">
        <w:rPr>
          <w:rFonts w:eastAsia="Times New Roman" w:cstheme="minorHAnsi"/>
        </w:rPr>
        <w:t>driven electric vehicles.</w:t>
      </w:r>
    </w:p>
    <w:p w14:paraId="38F511EB" w14:textId="77777777" w:rsidR="00F909AA" w:rsidRPr="00A17566" w:rsidRDefault="00CD63FF" w:rsidP="007E3D04">
      <w:pPr>
        <w:pStyle w:val="Prrafodelista"/>
        <w:numPr>
          <w:ilvl w:val="0"/>
          <w:numId w:val="5"/>
        </w:numPr>
        <w:rPr>
          <w:rFonts w:eastAsia="Times New Roman" w:cstheme="minorHAnsi"/>
        </w:rPr>
      </w:pPr>
      <w:r w:rsidRPr="00A17566">
        <w:rPr>
          <w:rFonts w:cstheme="minorHAnsi"/>
        </w:rPr>
        <w:t>Regulation in interests of public</w:t>
      </w:r>
      <w:r w:rsidR="00D859E8" w:rsidRPr="00A17566">
        <w:rPr>
          <w:rFonts w:cstheme="minorHAnsi"/>
        </w:rPr>
        <w:t xml:space="preserve"> – at the moment there are no regulations to allow ADRs to circulate on public roads. </w:t>
      </w:r>
      <w:r w:rsidR="00925ECA" w:rsidRPr="00A17566">
        <w:rPr>
          <w:rFonts w:cstheme="minorHAnsi"/>
        </w:rPr>
        <w:t xml:space="preserve">Previous studies </w:t>
      </w:r>
      <w:r w:rsidR="00C66BC3">
        <w:rPr>
          <w:rFonts w:cstheme="minorHAnsi"/>
        </w:rPr>
        <w:t xml:space="preserve">identify resistance </w:t>
      </w:r>
      <w:r w:rsidR="00925ECA" w:rsidRPr="00A17566">
        <w:rPr>
          <w:rFonts w:cstheme="minorHAnsi"/>
        </w:rPr>
        <w:t>from pedestrians to shar</w:t>
      </w:r>
      <w:r w:rsidR="00C66BC3">
        <w:rPr>
          <w:rFonts w:cstheme="minorHAnsi"/>
        </w:rPr>
        <w:t>ing</w:t>
      </w:r>
      <w:r w:rsidR="005565A1">
        <w:rPr>
          <w:rFonts w:cstheme="minorHAnsi"/>
        </w:rPr>
        <w:t xml:space="preserve"> </w:t>
      </w:r>
      <w:r w:rsidR="00C66BC3">
        <w:rPr>
          <w:rFonts w:cstheme="minorHAnsi"/>
        </w:rPr>
        <w:t xml:space="preserve">pavement </w:t>
      </w:r>
      <w:r w:rsidR="00925ECA" w:rsidRPr="00A17566">
        <w:rPr>
          <w:rFonts w:cstheme="minorHAnsi"/>
        </w:rPr>
        <w:t>space (</w:t>
      </w:r>
      <w:r w:rsidR="0069495B" w:rsidRPr="00A17566">
        <w:rPr>
          <w:rFonts w:cstheme="minorHAnsi"/>
        </w:rPr>
        <w:t>Paddeu and Parkhurst</w:t>
      </w:r>
      <w:r w:rsidR="00640734">
        <w:rPr>
          <w:rFonts w:cstheme="minorHAnsi"/>
        </w:rPr>
        <w:t>, 2020</w:t>
      </w:r>
      <w:r w:rsidR="00925ECA" w:rsidRPr="00A17566">
        <w:rPr>
          <w:rFonts w:cstheme="minorHAnsi"/>
        </w:rPr>
        <w:t>)</w:t>
      </w:r>
      <w:r w:rsidR="00C66BC3">
        <w:rPr>
          <w:rFonts w:cstheme="minorHAnsi"/>
        </w:rPr>
        <w:t xml:space="preserve">, and it would be important to respect these views </w:t>
      </w:r>
      <w:r w:rsidR="00640734">
        <w:rPr>
          <w:rFonts w:cstheme="minorHAnsi"/>
        </w:rPr>
        <w:t xml:space="preserve">when seeking to update highway use </w:t>
      </w:r>
      <w:r w:rsidR="00640734" w:rsidRPr="00A17566">
        <w:rPr>
          <w:rFonts w:cstheme="minorHAnsi"/>
        </w:rPr>
        <w:t>code</w:t>
      </w:r>
      <w:r w:rsidR="00640734">
        <w:rPr>
          <w:rFonts w:cstheme="minorHAnsi"/>
        </w:rPr>
        <w:t xml:space="preserve">s </w:t>
      </w:r>
      <w:r w:rsidR="00925ECA" w:rsidRPr="00A17566">
        <w:rPr>
          <w:rFonts w:cstheme="minorHAnsi"/>
        </w:rPr>
        <w:t xml:space="preserve">to </w:t>
      </w:r>
      <w:r w:rsidR="00640734">
        <w:rPr>
          <w:rFonts w:cstheme="minorHAnsi"/>
        </w:rPr>
        <w:t xml:space="preserve">accommodate </w:t>
      </w:r>
      <w:r w:rsidR="00C66BC3">
        <w:rPr>
          <w:rFonts w:cstheme="minorHAnsi"/>
        </w:rPr>
        <w:t>A</w:t>
      </w:r>
      <w:r w:rsidR="005565A1">
        <w:rPr>
          <w:rFonts w:cstheme="minorHAnsi"/>
        </w:rPr>
        <w:t>D</w:t>
      </w:r>
      <w:r w:rsidR="00C66BC3">
        <w:rPr>
          <w:rFonts w:cstheme="minorHAnsi"/>
        </w:rPr>
        <w:t>Rs</w:t>
      </w:r>
      <w:r w:rsidR="00925ECA" w:rsidRPr="00A17566">
        <w:rPr>
          <w:rFonts w:cstheme="minorHAnsi"/>
        </w:rPr>
        <w:t>.</w:t>
      </w:r>
    </w:p>
    <w:p w14:paraId="2CBD3DD6" w14:textId="77777777" w:rsidR="00981EBB" w:rsidRDefault="00981EBB" w:rsidP="00981EBB">
      <w:r>
        <w:t>C&amp;C is likely to be less safety-critical than for an aerial system, but training for commercial operators and citizens will still be necessary (Paddeu et al., 2019).</w:t>
      </w:r>
    </w:p>
    <w:p w14:paraId="72FA0FEF" w14:textId="77777777" w:rsidR="00C66BC3" w:rsidRDefault="00A5579D" w:rsidP="00C66BC3">
      <w:pPr>
        <w:pStyle w:val="Ttulo2"/>
      </w:pPr>
      <w:r w:rsidRPr="007E3D04">
        <w:lastRenderedPageBreak/>
        <w:t>Hydrogen</w:t>
      </w:r>
      <w:r w:rsidR="00C66BC3">
        <w:t>-fuelled</w:t>
      </w:r>
      <w:r w:rsidRPr="007E3D04">
        <w:t xml:space="preserve"> H</w:t>
      </w:r>
      <w:r w:rsidR="00C66BC3">
        <w:t xml:space="preserve">eavy </w:t>
      </w:r>
      <w:r w:rsidRPr="007E3D04">
        <w:t>G</w:t>
      </w:r>
      <w:r w:rsidR="00C66BC3">
        <w:t xml:space="preserve">oods </w:t>
      </w:r>
      <w:r w:rsidRPr="007E3D04">
        <w:t>V</w:t>
      </w:r>
      <w:r w:rsidR="00C66BC3">
        <w:t>ehicle</w:t>
      </w:r>
      <w:r w:rsidRPr="007E3D04">
        <w:t>s</w:t>
      </w:r>
      <w:r w:rsidR="001943BD">
        <w:t xml:space="preserve"> (H</w:t>
      </w:r>
      <w:r w:rsidR="001943BD" w:rsidRPr="001943BD">
        <w:rPr>
          <w:vertAlign w:val="subscript"/>
        </w:rPr>
        <w:t>2</w:t>
      </w:r>
      <w:r w:rsidR="001943BD">
        <w:t>HGV)</w:t>
      </w:r>
    </w:p>
    <w:p w14:paraId="7E4231D1" w14:textId="77777777" w:rsidR="00A5579D" w:rsidRPr="00E57CC4" w:rsidRDefault="001943BD" w:rsidP="00A42A5C">
      <w:pPr>
        <w:rPr>
          <w:rFonts w:cstheme="minorHAnsi"/>
        </w:rPr>
      </w:pPr>
      <w:r w:rsidRPr="00E57CC4">
        <w:rPr>
          <w:rFonts w:cstheme="minorHAnsi"/>
        </w:rPr>
        <w:t xml:space="preserve">The third case considering freight transport radically increases </w:t>
      </w:r>
      <w:r w:rsidR="00640734">
        <w:rPr>
          <w:rFonts w:cstheme="minorHAnsi"/>
        </w:rPr>
        <w:t xml:space="preserve">both </w:t>
      </w:r>
      <w:r w:rsidRPr="00E57CC4">
        <w:rPr>
          <w:rFonts w:cstheme="minorHAnsi"/>
        </w:rPr>
        <w:t>the scale</w:t>
      </w:r>
      <w:r w:rsidR="00640734">
        <w:rPr>
          <w:rFonts w:cstheme="minorHAnsi"/>
        </w:rPr>
        <w:t xml:space="preserve"> of mass being moved and </w:t>
      </w:r>
      <w:r w:rsidRPr="00E57CC4">
        <w:rPr>
          <w:rFonts w:cstheme="minorHAnsi"/>
        </w:rPr>
        <w:t>the distance of typical operation (</w:t>
      </w:r>
      <w:r w:rsidR="00B21E1F" w:rsidRPr="00E57CC4">
        <w:rPr>
          <w:rFonts w:cstheme="minorHAnsi"/>
        </w:rPr>
        <w:t xml:space="preserve">to </w:t>
      </w:r>
      <w:r w:rsidR="00C94B68" w:rsidRPr="00E57CC4">
        <w:rPr>
          <w:rFonts w:cstheme="minorHAnsi"/>
        </w:rPr>
        <w:t>medium</w:t>
      </w:r>
      <w:r w:rsidR="00B21E1F" w:rsidRPr="00E57CC4">
        <w:rPr>
          <w:rFonts w:cstheme="minorHAnsi"/>
        </w:rPr>
        <w:t>-</w:t>
      </w:r>
      <w:r w:rsidR="00C94B68" w:rsidRPr="00E57CC4">
        <w:rPr>
          <w:rFonts w:cstheme="minorHAnsi"/>
        </w:rPr>
        <w:t>to</w:t>
      </w:r>
      <w:r w:rsidR="00B21E1F" w:rsidRPr="00E57CC4">
        <w:rPr>
          <w:rFonts w:cstheme="minorHAnsi"/>
        </w:rPr>
        <w:t>-</w:t>
      </w:r>
      <w:r w:rsidR="00A5579D" w:rsidRPr="00E57CC4">
        <w:rPr>
          <w:rFonts w:cstheme="minorHAnsi"/>
        </w:rPr>
        <w:t>long</w:t>
      </w:r>
      <w:r w:rsidR="005565A1">
        <w:rPr>
          <w:rFonts w:cstheme="minorHAnsi"/>
        </w:rPr>
        <w:t xml:space="preserve"> </w:t>
      </w:r>
      <w:r w:rsidR="00A5579D" w:rsidRPr="00E57CC4">
        <w:rPr>
          <w:rFonts w:cstheme="minorHAnsi"/>
        </w:rPr>
        <w:t>distance</w:t>
      </w:r>
      <w:r w:rsidR="00C94B68" w:rsidRPr="00E57CC4">
        <w:rPr>
          <w:rFonts w:cstheme="minorHAnsi"/>
        </w:rPr>
        <w:t>s</w:t>
      </w:r>
      <w:r w:rsidR="00B21E1F" w:rsidRPr="00E57CC4">
        <w:rPr>
          <w:rFonts w:cstheme="minorHAnsi"/>
        </w:rPr>
        <w:t>)</w:t>
      </w:r>
      <w:r w:rsidR="00640734">
        <w:rPr>
          <w:rFonts w:cstheme="minorHAnsi"/>
        </w:rPr>
        <w:t>. It also</w:t>
      </w:r>
      <w:r w:rsidR="00B21E1F" w:rsidRPr="00E57CC4">
        <w:rPr>
          <w:rFonts w:cstheme="minorHAnsi"/>
        </w:rPr>
        <w:t xml:space="preserve"> represents an example of technology substitution with minimal behaviour or context change required beyond </w:t>
      </w:r>
      <w:r w:rsidR="00640734">
        <w:rPr>
          <w:rFonts w:cstheme="minorHAnsi"/>
        </w:rPr>
        <w:t xml:space="preserve">the important exception of </w:t>
      </w:r>
      <w:r w:rsidR="00B21E1F" w:rsidRPr="00E57CC4">
        <w:rPr>
          <w:rFonts w:cstheme="minorHAnsi"/>
        </w:rPr>
        <w:t xml:space="preserve">new </w:t>
      </w:r>
      <w:r w:rsidR="00640734">
        <w:rPr>
          <w:rFonts w:cstheme="minorHAnsi"/>
        </w:rPr>
        <w:t xml:space="preserve">fuel supply </w:t>
      </w:r>
      <w:r w:rsidR="00B21E1F" w:rsidRPr="00E57CC4">
        <w:rPr>
          <w:rFonts w:cstheme="minorHAnsi"/>
        </w:rPr>
        <w:t>infrastructure provision</w:t>
      </w:r>
      <w:r w:rsidR="00E15DD8" w:rsidRPr="00E57CC4">
        <w:rPr>
          <w:rFonts w:cstheme="minorHAnsi"/>
        </w:rPr>
        <w:t>.</w:t>
      </w:r>
    </w:p>
    <w:p w14:paraId="4C7E11A4" w14:textId="77777777" w:rsidR="00C94B68" w:rsidRPr="00E57CC4" w:rsidRDefault="004D7D59" w:rsidP="00C94B68">
      <w:pPr>
        <w:rPr>
          <w:rFonts w:cstheme="minorHAnsi"/>
        </w:rPr>
      </w:pPr>
      <w:r>
        <w:rPr>
          <w:rFonts w:cstheme="minorHAnsi"/>
        </w:rPr>
        <w:t xml:space="preserve">For this reason, impacts on </w:t>
      </w:r>
      <w:r w:rsidRPr="004D7D59">
        <w:rPr>
          <w:rFonts w:cstheme="minorHAnsi"/>
        </w:rPr>
        <w:t xml:space="preserve">subsistence SDGs </w:t>
      </w:r>
      <w:r>
        <w:rPr>
          <w:rFonts w:cstheme="minorHAnsi"/>
        </w:rPr>
        <w:t xml:space="preserve">are likely to be relatively minor. Provision of goods to support food, health, education etc. would be not directly affected by a switch to hydrogen, although access would be maintained whilst furthering other SDGs. </w:t>
      </w:r>
    </w:p>
    <w:p w14:paraId="1B779E04" w14:textId="77777777" w:rsidR="00C94B68" w:rsidRPr="00E57CC4" w:rsidRDefault="00C94B68" w:rsidP="007E3D04">
      <w:pPr>
        <w:pStyle w:val="Prrafodelista"/>
        <w:numPr>
          <w:ilvl w:val="0"/>
          <w:numId w:val="5"/>
        </w:numPr>
        <w:spacing w:after="0" w:line="240" w:lineRule="auto"/>
        <w:contextualSpacing w:val="0"/>
        <w:rPr>
          <w:rFonts w:eastAsia="Times New Roman" w:cstheme="minorHAnsi"/>
        </w:rPr>
      </w:pPr>
      <w:r w:rsidRPr="00E57CC4">
        <w:rPr>
          <w:rFonts w:eastAsia="Times New Roman" w:cstheme="minorHAnsi"/>
        </w:rPr>
        <w:t xml:space="preserve">Employment </w:t>
      </w:r>
      <w:r w:rsidR="00752078" w:rsidRPr="00E57CC4">
        <w:rPr>
          <w:rFonts w:eastAsia="Times New Roman" w:cstheme="minorHAnsi"/>
        </w:rPr>
        <w:t>– the</w:t>
      </w:r>
      <w:r w:rsidR="00727855" w:rsidRPr="00E57CC4">
        <w:rPr>
          <w:rFonts w:eastAsia="Times New Roman" w:cstheme="minorHAnsi"/>
        </w:rPr>
        <w:t xml:space="preserve"> growth in the hydrogen industry has the potential to create</w:t>
      </w:r>
      <w:r w:rsidR="00ED23AA" w:rsidRPr="00E57CC4">
        <w:rPr>
          <w:rFonts w:eastAsia="Times New Roman" w:cstheme="minorHAnsi"/>
        </w:rPr>
        <w:t xml:space="preserve"> a high number of</w:t>
      </w:r>
      <w:r w:rsidR="00727855" w:rsidRPr="00E57CC4">
        <w:rPr>
          <w:rFonts w:eastAsia="Times New Roman" w:cstheme="minorHAnsi"/>
        </w:rPr>
        <w:t xml:space="preserve"> new employment opportunities</w:t>
      </w:r>
      <w:r w:rsidR="005565A1">
        <w:rPr>
          <w:rFonts w:eastAsia="Times New Roman" w:cstheme="minorHAnsi"/>
        </w:rPr>
        <w:t xml:space="preserve"> </w:t>
      </w:r>
      <w:r w:rsidR="00727855" w:rsidRPr="00E57CC4">
        <w:rPr>
          <w:rFonts w:eastAsia="Times New Roman" w:cstheme="minorHAnsi"/>
        </w:rPr>
        <w:t>in a wide variety of industr</w:t>
      </w:r>
      <w:r w:rsidR="00F13A55" w:rsidRPr="00E57CC4">
        <w:rPr>
          <w:rFonts w:eastAsia="Times New Roman" w:cstheme="minorHAnsi"/>
        </w:rPr>
        <w:t>ies (</w:t>
      </w:r>
      <w:proofErr w:type="spellStart"/>
      <w:r w:rsidR="001D1549" w:rsidRPr="00E57CC4">
        <w:rPr>
          <w:rFonts w:eastAsia="Times New Roman" w:cstheme="minorHAnsi"/>
        </w:rPr>
        <w:t>Bezdek</w:t>
      </w:r>
      <w:proofErr w:type="spellEnd"/>
      <w:r w:rsidR="001D1549" w:rsidRPr="00E57CC4">
        <w:rPr>
          <w:rFonts w:eastAsia="Times New Roman" w:cstheme="minorHAnsi"/>
        </w:rPr>
        <w:t>, 2019</w:t>
      </w:r>
      <w:r w:rsidR="00F13A55" w:rsidRPr="00E57CC4">
        <w:rPr>
          <w:rFonts w:eastAsia="Times New Roman" w:cstheme="minorHAnsi"/>
        </w:rPr>
        <w:t>)</w:t>
      </w:r>
      <w:r w:rsidR="00727855" w:rsidRPr="00E57CC4">
        <w:rPr>
          <w:rFonts w:eastAsia="Times New Roman" w:cstheme="minorHAnsi"/>
        </w:rPr>
        <w:t>.</w:t>
      </w:r>
      <w:r w:rsidR="00F13A55" w:rsidRPr="00E57CC4">
        <w:rPr>
          <w:rFonts w:eastAsia="Times New Roman" w:cstheme="minorHAnsi"/>
        </w:rPr>
        <w:t xml:space="preserve"> A</w:t>
      </w:r>
      <w:r w:rsidR="006177AC" w:rsidRPr="00E57CC4">
        <w:rPr>
          <w:rFonts w:eastAsia="Times New Roman" w:cstheme="minorHAnsi"/>
        </w:rPr>
        <w:t xml:space="preserve"> recent study in the Netherlands estimates that </w:t>
      </w:r>
      <w:r w:rsidR="004D7D59">
        <w:rPr>
          <w:rFonts w:eastAsia="Times New Roman" w:cstheme="minorHAnsi"/>
        </w:rPr>
        <w:t xml:space="preserve">the effect could be a net increase: </w:t>
      </w:r>
      <w:r w:rsidR="006177AC" w:rsidRPr="00E57CC4">
        <w:rPr>
          <w:rFonts w:eastAsia="Times New Roman" w:cstheme="minorHAnsi"/>
        </w:rPr>
        <w:t>green hydrogen could preserve and create up to 100,000 jobs a year by 2050</w:t>
      </w:r>
      <w:r w:rsidR="00C12555" w:rsidRPr="00E57CC4">
        <w:rPr>
          <w:rFonts w:eastAsia="Times New Roman" w:cstheme="minorHAnsi"/>
        </w:rPr>
        <w:t xml:space="preserve">, </w:t>
      </w:r>
      <w:r w:rsidR="00637D66" w:rsidRPr="00E57CC4">
        <w:rPr>
          <w:rFonts w:eastAsia="Times New Roman" w:cstheme="minorHAnsi"/>
        </w:rPr>
        <w:t xml:space="preserve">with </w:t>
      </w:r>
      <w:r w:rsidR="006177AC" w:rsidRPr="00E57CC4">
        <w:rPr>
          <w:rFonts w:eastAsia="Times New Roman" w:cstheme="minorHAnsi"/>
        </w:rPr>
        <w:t xml:space="preserve">one-third </w:t>
      </w:r>
      <w:r w:rsidR="007E4423" w:rsidRPr="00E57CC4">
        <w:rPr>
          <w:rFonts w:eastAsia="Times New Roman" w:cstheme="minorHAnsi"/>
        </w:rPr>
        <w:t xml:space="preserve">being </w:t>
      </w:r>
      <w:r w:rsidR="006177AC" w:rsidRPr="00E57CC4">
        <w:rPr>
          <w:rFonts w:eastAsia="Times New Roman" w:cstheme="minorHAnsi"/>
        </w:rPr>
        <w:t>new jobs created by the introduction of hydrogen</w:t>
      </w:r>
      <w:r w:rsidR="007E4423" w:rsidRPr="00E57CC4">
        <w:rPr>
          <w:rFonts w:eastAsia="Times New Roman" w:cstheme="minorHAnsi"/>
        </w:rPr>
        <w:t xml:space="preserve"> (EM, 2021)</w:t>
      </w:r>
      <w:r w:rsidR="006177AC" w:rsidRPr="00E57CC4">
        <w:rPr>
          <w:rFonts w:eastAsia="Times New Roman" w:cstheme="minorHAnsi"/>
        </w:rPr>
        <w:t>.</w:t>
      </w:r>
    </w:p>
    <w:p w14:paraId="56F5C656" w14:textId="77777777" w:rsidR="004D7D59" w:rsidRDefault="004D7D59" w:rsidP="004D7D59">
      <w:pPr>
        <w:spacing w:before="100" w:beforeAutospacing="1"/>
      </w:pPr>
      <w:bookmarkStart w:id="1" w:name="_Hlk106265918"/>
      <w:r>
        <w:t>Considering SDGs</w:t>
      </w:r>
      <w:r w:rsidR="00CA2595">
        <w:t xml:space="preserve"> </w:t>
      </w:r>
      <w:r>
        <w:t>for enhancement:</w:t>
      </w:r>
    </w:p>
    <w:bookmarkEnd w:id="1"/>
    <w:p w14:paraId="2DC6A4A4" w14:textId="77777777" w:rsidR="001764C5" w:rsidRPr="00E57CC4" w:rsidRDefault="00C94B68" w:rsidP="003B64E0">
      <w:pPr>
        <w:pStyle w:val="Prrafodelista"/>
        <w:numPr>
          <w:ilvl w:val="0"/>
          <w:numId w:val="5"/>
        </w:numPr>
        <w:rPr>
          <w:rFonts w:cstheme="minorHAnsi"/>
        </w:rPr>
      </w:pPr>
      <w:r w:rsidRPr="00E57CC4">
        <w:rPr>
          <w:rFonts w:eastAsia="Times New Roman" w:cstheme="minorHAnsi"/>
        </w:rPr>
        <w:t xml:space="preserve">Affordability - </w:t>
      </w:r>
      <w:r w:rsidR="00752078" w:rsidRPr="00E57CC4">
        <w:rPr>
          <w:rFonts w:cstheme="minorHAnsi"/>
        </w:rPr>
        <w:t xml:space="preserve">companies </w:t>
      </w:r>
      <w:r w:rsidR="00BA0A73">
        <w:rPr>
          <w:rFonts w:cstheme="minorHAnsi"/>
        </w:rPr>
        <w:t>wishing</w:t>
      </w:r>
      <w:r w:rsidR="00CA2595">
        <w:rPr>
          <w:rFonts w:cstheme="minorHAnsi"/>
        </w:rPr>
        <w:t xml:space="preserve"> </w:t>
      </w:r>
      <w:r w:rsidR="00752078" w:rsidRPr="00E57CC4">
        <w:rPr>
          <w:rFonts w:cstheme="minorHAnsi"/>
        </w:rPr>
        <w:t>to buy hydrogen trucks</w:t>
      </w:r>
      <w:r w:rsidR="00BA0A73">
        <w:rPr>
          <w:rFonts w:cstheme="minorHAnsi"/>
        </w:rPr>
        <w:t xml:space="preserve"> would face </w:t>
      </w:r>
      <w:r w:rsidR="00BA0A73" w:rsidRPr="00E57CC4">
        <w:rPr>
          <w:rFonts w:cstheme="minorHAnsi"/>
        </w:rPr>
        <w:t>high initial investment costs</w:t>
      </w:r>
      <w:r w:rsidR="00752078" w:rsidRPr="00E57CC4">
        <w:rPr>
          <w:rFonts w:cstheme="minorHAnsi"/>
        </w:rPr>
        <w:t xml:space="preserve">. </w:t>
      </w:r>
      <w:r w:rsidR="00BA0A73">
        <w:rPr>
          <w:rFonts w:eastAsia="Times New Roman" w:cstheme="minorHAnsi"/>
        </w:rPr>
        <w:t>Moreover</w:t>
      </w:r>
      <w:r w:rsidR="00683E61" w:rsidRPr="00E57CC4">
        <w:rPr>
          <w:rFonts w:eastAsia="Times New Roman" w:cstheme="minorHAnsi"/>
        </w:rPr>
        <w:t xml:space="preserve">, cost and feasibility </w:t>
      </w:r>
      <w:r w:rsidR="004D7D59">
        <w:rPr>
          <w:rFonts w:eastAsia="Times New Roman" w:cstheme="minorHAnsi"/>
        </w:rPr>
        <w:t xml:space="preserve">remain </w:t>
      </w:r>
      <w:r w:rsidR="00683E61" w:rsidRPr="00E57CC4">
        <w:rPr>
          <w:rFonts w:eastAsia="Times New Roman" w:cstheme="minorHAnsi"/>
        </w:rPr>
        <w:t>very uncertain</w:t>
      </w:r>
      <w:r w:rsidR="00BA0A73">
        <w:rPr>
          <w:rFonts w:eastAsia="Times New Roman" w:cstheme="minorHAnsi"/>
        </w:rPr>
        <w:t xml:space="preserve">. The main rival, </w:t>
      </w:r>
      <w:r w:rsidR="0090317E" w:rsidRPr="00E57CC4">
        <w:rPr>
          <w:rFonts w:cstheme="minorHAnsi"/>
        </w:rPr>
        <w:t>electrification</w:t>
      </w:r>
      <w:r w:rsidR="00BA0A73">
        <w:rPr>
          <w:rFonts w:cstheme="minorHAnsi"/>
        </w:rPr>
        <w:t>,</w:t>
      </w:r>
      <w:r w:rsidR="0090317E" w:rsidRPr="00E57CC4">
        <w:rPr>
          <w:rFonts w:cstheme="minorHAnsi"/>
        </w:rPr>
        <w:t xml:space="preserve"> is not a viable option in the short to medium term, </w:t>
      </w:r>
      <w:r w:rsidR="00BA0A73">
        <w:rPr>
          <w:rFonts w:cstheme="minorHAnsi"/>
        </w:rPr>
        <w:t xml:space="preserve">but </w:t>
      </w:r>
      <w:r w:rsidR="0090317E" w:rsidRPr="00E57CC4">
        <w:rPr>
          <w:rFonts w:cstheme="minorHAnsi"/>
        </w:rPr>
        <w:t xml:space="preserve">in the </w:t>
      </w:r>
      <w:r w:rsidR="00683E61" w:rsidRPr="00E57CC4">
        <w:rPr>
          <w:rFonts w:cstheme="minorHAnsi"/>
        </w:rPr>
        <w:t>long-term</w:t>
      </w:r>
      <w:r w:rsidR="0090317E" w:rsidRPr="00E57CC4">
        <w:rPr>
          <w:rFonts w:cstheme="minorHAnsi"/>
        </w:rPr>
        <w:t xml:space="preserve"> electric vehicles are expected to perform better </w:t>
      </w:r>
      <w:r w:rsidR="001764C5" w:rsidRPr="00E57CC4">
        <w:rPr>
          <w:rFonts w:cstheme="minorHAnsi"/>
        </w:rPr>
        <w:t>both in terms of operations and costs (Greening et al., 2019). This increase</w:t>
      </w:r>
      <w:r w:rsidR="00BA0A73">
        <w:rPr>
          <w:rFonts w:cstheme="minorHAnsi"/>
        </w:rPr>
        <w:t>s</w:t>
      </w:r>
      <w:r w:rsidR="001764C5" w:rsidRPr="00E57CC4">
        <w:rPr>
          <w:rFonts w:cstheme="minorHAnsi"/>
        </w:rPr>
        <w:t xml:space="preserve"> the risk of investment for those companies who </w:t>
      </w:r>
      <w:r w:rsidR="00F11B10" w:rsidRPr="00E57CC4">
        <w:rPr>
          <w:rFonts w:cstheme="minorHAnsi"/>
        </w:rPr>
        <w:t>want to invest in hydrogen in the short term.</w:t>
      </w:r>
      <w:r w:rsidR="004D7D59">
        <w:rPr>
          <w:rFonts w:cstheme="minorHAnsi"/>
        </w:rPr>
        <w:t xml:space="preserve"> Higher costs in the short</w:t>
      </w:r>
      <w:r w:rsidR="00F409FE">
        <w:rPr>
          <w:rFonts w:cstheme="minorHAnsi"/>
        </w:rPr>
        <w:t>-</w:t>
      </w:r>
      <w:r w:rsidR="004D7D59">
        <w:rPr>
          <w:rFonts w:cstheme="minorHAnsi"/>
        </w:rPr>
        <w:t>run might be passed on to consumers, having a negative impact on poverty, although</w:t>
      </w:r>
      <w:r w:rsidR="00F409FE">
        <w:rPr>
          <w:rFonts w:cstheme="minorHAnsi"/>
        </w:rPr>
        <w:t xml:space="preserve"> in the long-run the outcome might be positive, given the rising costs of fossil fuel extraction and production.</w:t>
      </w:r>
    </w:p>
    <w:p w14:paraId="38A6E16C" w14:textId="77777777" w:rsidR="00C94B68" w:rsidRPr="00E57CC4" w:rsidRDefault="00C94B68" w:rsidP="007E3D04">
      <w:pPr>
        <w:pStyle w:val="Prrafodelista"/>
        <w:numPr>
          <w:ilvl w:val="0"/>
          <w:numId w:val="5"/>
        </w:numPr>
        <w:rPr>
          <w:rFonts w:cstheme="minorHAnsi"/>
        </w:rPr>
      </w:pPr>
      <w:r w:rsidRPr="00E57CC4">
        <w:rPr>
          <w:rFonts w:cstheme="minorHAnsi"/>
        </w:rPr>
        <w:t>Inclusion</w:t>
      </w:r>
      <w:r w:rsidR="00CA2595">
        <w:rPr>
          <w:rFonts w:cstheme="minorHAnsi"/>
        </w:rPr>
        <w:t xml:space="preserve"> </w:t>
      </w:r>
      <w:r w:rsidRPr="00E57CC4">
        <w:rPr>
          <w:rFonts w:cstheme="minorHAnsi"/>
        </w:rPr>
        <w:t xml:space="preserve">– </w:t>
      </w:r>
      <w:r w:rsidR="00F409FE">
        <w:rPr>
          <w:rFonts w:cstheme="minorHAnsi"/>
        </w:rPr>
        <w:t xml:space="preserve">alongside </w:t>
      </w:r>
      <w:r w:rsidR="00CB7E35" w:rsidRPr="00E57CC4">
        <w:rPr>
          <w:rFonts w:cstheme="minorHAnsi"/>
        </w:rPr>
        <w:t>affordability</w:t>
      </w:r>
      <w:r w:rsidR="00BA0A73">
        <w:rPr>
          <w:rFonts w:cstheme="minorHAnsi"/>
        </w:rPr>
        <w:t xml:space="preserve"> and</w:t>
      </w:r>
      <w:r w:rsidR="00F409FE">
        <w:rPr>
          <w:rFonts w:cstheme="minorHAnsi"/>
        </w:rPr>
        <w:t xml:space="preserve"> perceived risk, the lack of technical knowledge and infrastructures necessary for H</w:t>
      </w:r>
      <w:r w:rsidR="00F409FE" w:rsidRPr="00F409FE">
        <w:rPr>
          <w:rFonts w:cstheme="minorHAnsi"/>
          <w:vertAlign w:val="subscript"/>
        </w:rPr>
        <w:t>2</w:t>
      </w:r>
      <w:r w:rsidR="00CB7E35" w:rsidRPr="00E57CC4">
        <w:rPr>
          <w:rFonts w:cstheme="minorHAnsi"/>
        </w:rPr>
        <w:t xml:space="preserve"> vehicles </w:t>
      </w:r>
      <w:r w:rsidR="00F409FE">
        <w:rPr>
          <w:rFonts w:cstheme="minorHAnsi"/>
        </w:rPr>
        <w:t xml:space="preserve">would, without intervention, </w:t>
      </w:r>
      <w:r w:rsidR="00CB7E35" w:rsidRPr="00E57CC4">
        <w:rPr>
          <w:rFonts w:cstheme="minorHAnsi"/>
        </w:rPr>
        <w:t xml:space="preserve">be a barrier to </w:t>
      </w:r>
      <w:r w:rsidR="00F409FE">
        <w:rPr>
          <w:rFonts w:cstheme="minorHAnsi"/>
        </w:rPr>
        <w:t>participation in the transition</w:t>
      </w:r>
      <w:r w:rsidR="00B16103" w:rsidRPr="00E57CC4">
        <w:rPr>
          <w:rFonts w:cstheme="minorHAnsi"/>
        </w:rPr>
        <w:t xml:space="preserve">, </w:t>
      </w:r>
      <w:r w:rsidR="00F409FE">
        <w:rPr>
          <w:rFonts w:cstheme="minorHAnsi"/>
        </w:rPr>
        <w:t>particularly affecting</w:t>
      </w:r>
      <w:r w:rsidR="00B16103" w:rsidRPr="00E57CC4">
        <w:rPr>
          <w:rFonts w:cstheme="minorHAnsi"/>
        </w:rPr>
        <w:t xml:space="preserve"> smaller operators</w:t>
      </w:r>
      <w:r w:rsidRPr="00E57CC4">
        <w:rPr>
          <w:rFonts w:cstheme="minorHAnsi"/>
        </w:rPr>
        <w:t>.</w:t>
      </w:r>
    </w:p>
    <w:p w14:paraId="7522CEC3" w14:textId="77777777" w:rsidR="00C94B68" w:rsidRPr="00E57CC4" w:rsidRDefault="00C94B68" w:rsidP="00C94B68">
      <w:pPr>
        <w:pStyle w:val="Prrafodelista"/>
        <w:numPr>
          <w:ilvl w:val="0"/>
          <w:numId w:val="5"/>
        </w:numPr>
        <w:rPr>
          <w:rFonts w:eastAsia="Times New Roman" w:cstheme="minorHAnsi"/>
        </w:rPr>
      </w:pPr>
      <w:r w:rsidRPr="00E57CC4">
        <w:rPr>
          <w:rFonts w:eastAsia="Times New Roman" w:cstheme="minorHAnsi"/>
        </w:rPr>
        <w:t>Within system capacity</w:t>
      </w:r>
      <w:r w:rsidR="00F409FE">
        <w:rPr>
          <w:rFonts w:eastAsia="Times New Roman" w:cstheme="minorHAnsi"/>
        </w:rPr>
        <w:t xml:space="preserve"> – the H</w:t>
      </w:r>
      <w:r w:rsidR="00F409FE" w:rsidRPr="00F409FE">
        <w:rPr>
          <w:rFonts w:eastAsia="Times New Roman" w:cstheme="minorHAnsi"/>
          <w:vertAlign w:val="subscript"/>
        </w:rPr>
        <w:t>2</w:t>
      </w:r>
      <w:r w:rsidR="00F409FE">
        <w:rPr>
          <w:rFonts w:eastAsia="Times New Roman" w:cstheme="minorHAnsi"/>
        </w:rPr>
        <w:t xml:space="preserve"> economy has the potential to underpin a circular economy. As in the case with electric powertrains, there are environmental impacts associated with the production of fuel cells, such as minerals used as catalysts,</w:t>
      </w:r>
      <w:r w:rsidR="00981EBB">
        <w:rPr>
          <w:rFonts w:eastAsia="Times New Roman" w:cstheme="minorHAnsi"/>
        </w:rPr>
        <w:t xml:space="preserve"> to be considered.</w:t>
      </w:r>
    </w:p>
    <w:p w14:paraId="53630992" w14:textId="77777777" w:rsidR="00C94B68" w:rsidRPr="00E57CC4" w:rsidRDefault="00C94B68" w:rsidP="00C94B68">
      <w:pPr>
        <w:pStyle w:val="Prrafodelista"/>
        <w:numPr>
          <w:ilvl w:val="0"/>
          <w:numId w:val="5"/>
        </w:numPr>
        <w:rPr>
          <w:rFonts w:eastAsia="Times New Roman" w:cstheme="minorHAnsi"/>
        </w:rPr>
      </w:pPr>
      <w:r w:rsidRPr="00E57CC4">
        <w:rPr>
          <w:rFonts w:eastAsia="Times New Roman" w:cstheme="minorHAnsi"/>
        </w:rPr>
        <w:t>Human-scale infrastructure</w:t>
      </w:r>
      <w:r w:rsidR="00F409FE">
        <w:rPr>
          <w:rFonts w:eastAsia="Times New Roman" w:cstheme="minorHAnsi"/>
        </w:rPr>
        <w:t xml:space="preserve"> – there is the potential for H</w:t>
      </w:r>
      <w:r w:rsidR="00F409FE" w:rsidRPr="00F409FE">
        <w:rPr>
          <w:rFonts w:eastAsia="Times New Roman" w:cstheme="minorHAnsi"/>
          <w:vertAlign w:val="subscript"/>
        </w:rPr>
        <w:t>2</w:t>
      </w:r>
      <w:r w:rsidR="00F409FE">
        <w:rPr>
          <w:rFonts w:eastAsia="Times New Roman" w:cstheme="minorHAnsi"/>
        </w:rPr>
        <w:t xml:space="preserve"> to be produced in a larger number of local facilities rather than at major refineries, which, if economically viable, would be at a more human scale.</w:t>
      </w:r>
    </w:p>
    <w:p w14:paraId="19731443" w14:textId="77777777" w:rsidR="00C94B68" w:rsidRPr="00E57CC4" w:rsidRDefault="00F409FE" w:rsidP="00C94B68">
      <w:pPr>
        <w:pStyle w:val="Prrafodelista"/>
        <w:numPr>
          <w:ilvl w:val="0"/>
          <w:numId w:val="5"/>
        </w:numPr>
        <w:rPr>
          <w:rFonts w:eastAsia="Times New Roman" w:cstheme="minorHAnsi"/>
        </w:rPr>
      </w:pPr>
      <w:r w:rsidRPr="00F409FE">
        <w:rPr>
          <w:rFonts w:eastAsia="Times New Roman" w:cstheme="minorHAnsi"/>
        </w:rPr>
        <w:t>Energy and noxious emissions</w:t>
      </w:r>
      <w:r>
        <w:rPr>
          <w:rFonts w:eastAsia="Times New Roman" w:cstheme="minorHAnsi"/>
        </w:rPr>
        <w:t xml:space="preserve"> – practices for H</w:t>
      </w:r>
      <w:r w:rsidRPr="00F409FE">
        <w:rPr>
          <w:rFonts w:eastAsia="Times New Roman" w:cstheme="minorHAnsi"/>
          <w:vertAlign w:val="subscript"/>
        </w:rPr>
        <w:t>2</w:t>
      </w:r>
      <w:r w:rsidR="006F70A2">
        <w:rPr>
          <w:rFonts w:eastAsia="Times New Roman" w:cstheme="minorHAnsi"/>
          <w:vertAlign w:val="subscript"/>
        </w:rPr>
        <w:t xml:space="preserve"> </w:t>
      </w:r>
      <w:r w:rsidRPr="00F409FE">
        <w:rPr>
          <w:rFonts w:eastAsia="Times New Roman" w:cstheme="minorHAnsi"/>
        </w:rPr>
        <w:t>produc</w:t>
      </w:r>
      <w:r>
        <w:rPr>
          <w:rFonts w:eastAsia="Times New Roman" w:cstheme="minorHAnsi"/>
        </w:rPr>
        <w:t>tion and compression for use in road vehicle fuel cells mean it is less energy efficient than the best electric technologies</w:t>
      </w:r>
      <w:r w:rsidR="00BA0A73">
        <w:rPr>
          <w:rFonts w:eastAsia="Times New Roman" w:cstheme="minorHAnsi"/>
        </w:rPr>
        <w:t>,</w:t>
      </w:r>
      <w:r>
        <w:rPr>
          <w:rFonts w:eastAsia="Times New Roman" w:cstheme="minorHAnsi"/>
        </w:rPr>
        <w:t xml:space="preserve"> but with advantages over internal combustion engines. Due to the only emissions from fuel cells being water</w:t>
      </w:r>
      <w:r w:rsidR="00BA0A73">
        <w:rPr>
          <w:rFonts w:eastAsia="Times New Roman" w:cstheme="minorHAnsi"/>
        </w:rPr>
        <w:t>,</w:t>
      </w:r>
      <w:r w:rsidR="006F70A2">
        <w:rPr>
          <w:rFonts w:eastAsia="Times New Roman" w:cstheme="minorHAnsi"/>
        </w:rPr>
        <w:t xml:space="preserve"> </w:t>
      </w:r>
      <w:r w:rsidR="00981EBB">
        <w:rPr>
          <w:rFonts w:eastAsia="Times New Roman" w:cstheme="minorHAnsi"/>
        </w:rPr>
        <w:t xml:space="preserve">there are positive implications in terms of air quality and </w:t>
      </w:r>
      <w:r w:rsidRPr="00F409FE">
        <w:rPr>
          <w:rFonts w:eastAsia="Times New Roman" w:cstheme="minorHAnsi"/>
        </w:rPr>
        <w:t>indirect</w:t>
      </w:r>
      <w:r w:rsidR="00981EBB">
        <w:rPr>
          <w:rFonts w:eastAsia="Times New Roman" w:cstheme="minorHAnsi"/>
        </w:rPr>
        <w:t>ly</w:t>
      </w:r>
      <w:r w:rsidRPr="00F409FE">
        <w:rPr>
          <w:rFonts w:eastAsia="Times New Roman" w:cstheme="minorHAnsi"/>
        </w:rPr>
        <w:t xml:space="preserve"> on public health due to </w:t>
      </w:r>
      <w:r w:rsidR="00981EBB">
        <w:rPr>
          <w:rFonts w:eastAsia="Times New Roman" w:cstheme="minorHAnsi"/>
        </w:rPr>
        <w:t>the elimination of pollutants including Oxides of Nitrogen and particulates from exhaust</w:t>
      </w:r>
      <w:r w:rsidR="006F70A2">
        <w:rPr>
          <w:rFonts w:eastAsia="Times New Roman" w:cstheme="minorHAnsi"/>
        </w:rPr>
        <w:t>s</w:t>
      </w:r>
      <w:r w:rsidRPr="00F409FE">
        <w:rPr>
          <w:rFonts w:eastAsia="Times New Roman" w:cstheme="minorHAnsi"/>
        </w:rPr>
        <w:t xml:space="preserve">. However, </w:t>
      </w:r>
      <w:r w:rsidR="00981EBB">
        <w:rPr>
          <w:rFonts w:eastAsia="Times New Roman" w:cstheme="minorHAnsi"/>
        </w:rPr>
        <w:t xml:space="preserve">current production options can </w:t>
      </w:r>
      <w:r w:rsidRPr="00F409FE">
        <w:rPr>
          <w:rFonts w:eastAsia="Times New Roman" w:cstheme="minorHAnsi"/>
        </w:rPr>
        <w:t xml:space="preserve">produce </w:t>
      </w:r>
      <w:r w:rsidR="00981EBB">
        <w:rPr>
          <w:rFonts w:eastAsia="Times New Roman" w:cstheme="minorHAnsi"/>
        </w:rPr>
        <w:t xml:space="preserve">noxious by-products </w:t>
      </w:r>
      <w:r w:rsidRPr="00F409FE">
        <w:rPr>
          <w:rFonts w:eastAsia="Times New Roman" w:cstheme="minorHAnsi"/>
        </w:rPr>
        <w:t xml:space="preserve">(Lewis, 2021). </w:t>
      </w:r>
    </w:p>
    <w:p w14:paraId="6EDD093B" w14:textId="77777777" w:rsidR="008017C5" w:rsidRDefault="00C94B68" w:rsidP="007E3D04">
      <w:pPr>
        <w:pStyle w:val="Prrafodelista"/>
        <w:numPr>
          <w:ilvl w:val="0"/>
          <w:numId w:val="5"/>
        </w:numPr>
        <w:rPr>
          <w:rFonts w:eastAsia="Times New Roman" w:cstheme="minorHAnsi"/>
        </w:rPr>
      </w:pPr>
      <w:r w:rsidRPr="00E57CC4">
        <w:rPr>
          <w:rFonts w:eastAsia="Times New Roman" w:cstheme="minorHAnsi"/>
        </w:rPr>
        <w:t xml:space="preserve">Low or zero GHG – </w:t>
      </w:r>
      <w:r w:rsidR="006805E2" w:rsidRPr="00E57CC4">
        <w:rPr>
          <w:rFonts w:eastAsia="Times New Roman" w:cstheme="minorHAnsi"/>
        </w:rPr>
        <w:t xml:space="preserve">depending on the way hydrogen </w:t>
      </w:r>
      <w:r w:rsidR="00981EBB">
        <w:rPr>
          <w:rFonts w:eastAsia="Times New Roman" w:cstheme="minorHAnsi"/>
        </w:rPr>
        <w:t>is</w:t>
      </w:r>
      <w:r w:rsidR="006805E2" w:rsidRPr="00E57CC4">
        <w:rPr>
          <w:rFonts w:eastAsia="Times New Roman" w:cstheme="minorHAnsi"/>
        </w:rPr>
        <w:t xml:space="preserve"> produced, </w:t>
      </w:r>
      <w:r w:rsidR="00F11B10" w:rsidRPr="00E57CC4">
        <w:rPr>
          <w:rFonts w:eastAsia="Times New Roman" w:cstheme="minorHAnsi"/>
        </w:rPr>
        <w:t>HGV</w:t>
      </w:r>
      <w:r w:rsidR="00981EBB">
        <w:rPr>
          <w:rFonts w:eastAsia="Times New Roman" w:cstheme="minorHAnsi"/>
        </w:rPr>
        <w:t>-H</w:t>
      </w:r>
      <w:r w:rsidR="00981EBB" w:rsidRPr="00981EBB">
        <w:rPr>
          <w:rFonts w:eastAsia="Times New Roman" w:cstheme="minorHAnsi"/>
          <w:vertAlign w:val="subscript"/>
        </w:rPr>
        <w:t>2</w:t>
      </w:r>
      <w:r w:rsidR="00F11B10" w:rsidRPr="00E57CC4">
        <w:rPr>
          <w:rFonts w:eastAsia="Times New Roman" w:cstheme="minorHAnsi"/>
        </w:rPr>
        <w:t xml:space="preserve">s </w:t>
      </w:r>
      <w:r w:rsidR="0073024E" w:rsidRPr="00E57CC4">
        <w:rPr>
          <w:rFonts w:eastAsia="Times New Roman" w:cstheme="minorHAnsi"/>
        </w:rPr>
        <w:t>ha</w:t>
      </w:r>
      <w:r w:rsidR="006805E2" w:rsidRPr="00E57CC4">
        <w:rPr>
          <w:rFonts w:eastAsia="Times New Roman" w:cstheme="minorHAnsi"/>
        </w:rPr>
        <w:t>ve</w:t>
      </w:r>
      <w:r w:rsidR="0073024E" w:rsidRPr="00E57CC4">
        <w:rPr>
          <w:rFonts w:eastAsia="Times New Roman" w:cstheme="minorHAnsi"/>
        </w:rPr>
        <w:t xml:space="preserve"> the potential to be </w:t>
      </w:r>
      <w:r w:rsidR="006805E2" w:rsidRPr="00E57CC4">
        <w:rPr>
          <w:rFonts w:eastAsia="Times New Roman" w:cstheme="minorHAnsi"/>
        </w:rPr>
        <w:t>zero GHG emission</w:t>
      </w:r>
      <w:r w:rsidR="00683E61" w:rsidRPr="00E57CC4">
        <w:rPr>
          <w:rFonts w:eastAsia="Times New Roman" w:cstheme="minorHAnsi"/>
        </w:rPr>
        <w:t xml:space="preserve"> (</w:t>
      </w:r>
      <w:r w:rsidR="00683E61" w:rsidRPr="00E57CC4">
        <w:rPr>
          <w:rFonts w:cstheme="minorHAnsi"/>
        </w:rPr>
        <w:t>Greening et al., 2019)</w:t>
      </w:r>
      <w:r w:rsidR="00683E61" w:rsidRPr="00E57CC4">
        <w:rPr>
          <w:rFonts w:eastAsia="Times New Roman" w:cstheme="minorHAnsi"/>
        </w:rPr>
        <w:t>.</w:t>
      </w:r>
    </w:p>
    <w:p w14:paraId="30B813CC" w14:textId="77777777" w:rsidR="004D7D59" w:rsidRPr="00981EBB" w:rsidRDefault="00981EBB" w:rsidP="00674FC3">
      <w:pPr>
        <w:spacing w:line="240" w:lineRule="auto"/>
        <w:rPr>
          <w:rFonts w:eastAsia="Times New Roman" w:cstheme="minorHAnsi"/>
        </w:rPr>
      </w:pPr>
      <w:r w:rsidRPr="00674FC3">
        <w:t>C&amp;C have a particular role within the freight sector to enhance knowledge and skills necessary for the</w:t>
      </w:r>
      <w:r>
        <w:rPr>
          <w:rFonts w:eastAsia="Times New Roman" w:cstheme="minorHAnsi"/>
        </w:rPr>
        <w:t xml:space="preserve"> transition to H</w:t>
      </w:r>
      <w:r w:rsidRPr="00981EBB">
        <w:rPr>
          <w:rFonts w:eastAsia="Times New Roman" w:cstheme="minorHAnsi"/>
          <w:vertAlign w:val="subscript"/>
        </w:rPr>
        <w:t>2</w:t>
      </w:r>
      <w:r>
        <w:rPr>
          <w:rFonts w:eastAsia="Times New Roman" w:cstheme="minorHAnsi"/>
        </w:rPr>
        <w:t>.</w:t>
      </w:r>
    </w:p>
    <w:p w14:paraId="20DC3A39" w14:textId="77777777" w:rsidR="00C66BC3" w:rsidRPr="00674FC3" w:rsidRDefault="23A58F29" w:rsidP="00674FC3">
      <w:pPr>
        <w:pStyle w:val="Ttulo2"/>
      </w:pPr>
      <w:r w:rsidRPr="00674FC3">
        <w:lastRenderedPageBreak/>
        <w:t>Mobility as a Service (MaaS)</w:t>
      </w:r>
    </w:p>
    <w:p w14:paraId="3BB270A1" w14:textId="77777777" w:rsidR="008D24BB" w:rsidRDefault="23A58F29" w:rsidP="007E3D04">
      <w:pPr>
        <w:spacing w:line="257" w:lineRule="auto"/>
        <w:rPr>
          <w:rFonts w:ascii="Calibri" w:eastAsia="Calibri" w:hAnsi="Calibri" w:cs="Calibri"/>
        </w:rPr>
      </w:pPr>
      <w:r w:rsidRPr="00674FC3">
        <w:rPr>
          <w:rFonts w:ascii="Calibri" w:eastAsia="Calibri" w:hAnsi="Calibri" w:cs="Calibri"/>
          <w:iCs/>
        </w:rPr>
        <w:t xml:space="preserve">The </w:t>
      </w:r>
      <w:proofErr w:type="spellStart"/>
      <w:r w:rsidRPr="00674FC3">
        <w:rPr>
          <w:rFonts w:ascii="Calibri" w:eastAsia="Calibri" w:hAnsi="Calibri" w:cs="Calibri"/>
          <w:i/>
          <w:iCs/>
        </w:rPr>
        <w:t>servitization</w:t>
      </w:r>
      <w:proofErr w:type="spellEnd"/>
      <w:r w:rsidRPr="00674FC3">
        <w:rPr>
          <w:rFonts w:ascii="Calibri" w:eastAsia="Calibri" w:hAnsi="Calibri" w:cs="Calibri"/>
          <w:iCs/>
        </w:rPr>
        <w:t xml:space="preserve"> of mobility</w:t>
      </w:r>
      <w:r w:rsidR="00674FC3">
        <w:rPr>
          <w:rFonts w:ascii="Calibri" w:eastAsia="Calibri" w:hAnsi="Calibri" w:cs="Calibri"/>
          <w:iCs/>
        </w:rPr>
        <w:t xml:space="preserve"> involves t</w:t>
      </w:r>
      <w:r w:rsidRPr="00674FC3">
        <w:rPr>
          <w:rFonts w:ascii="Calibri" w:eastAsia="Calibri" w:hAnsi="Calibri" w:cs="Calibri"/>
        </w:rPr>
        <w:t xml:space="preserve">he </w:t>
      </w:r>
      <w:r w:rsidR="00E849BA">
        <w:rPr>
          <w:rFonts w:ascii="Calibri" w:eastAsia="Calibri" w:hAnsi="Calibri" w:cs="Calibri"/>
        </w:rPr>
        <w:t xml:space="preserve">emergence </w:t>
      </w:r>
      <w:r w:rsidRPr="00674FC3">
        <w:rPr>
          <w:rFonts w:ascii="Calibri" w:eastAsia="Calibri" w:hAnsi="Calibri" w:cs="Calibri"/>
        </w:rPr>
        <w:t xml:space="preserve">of digital platforms </w:t>
      </w:r>
      <w:r w:rsidR="00E849BA">
        <w:rPr>
          <w:rFonts w:ascii="Calibri" w:eastAsia="Calibri" w:hAnsi="Calibri" w:cs="Calibri"/>
        </w:rPr>
        <w:t xml:space="preserve">to </w:t>
      </w:r>
      <w:r w:rsidRPr="00674FC3">
        <w:rPr>
          <w:rFonts w:ascii="Calibri" w:eastAsia="Calibri" w:hAnsi="Calibri" w:cs="Calibri"/>
        </w:rPr>
        <w:t>connect companies and</w:t>
      </w:r>
      <w:r w:rsidRPr="23A58F29">
        <w:rPr>
          <w:rFonts w:ascii="Calibri" w:eastAsia="Calibri" w:hAnsi="Calibri" w:cs="Calibri"/>
        </w:rPr>
        <w:t xml:space="preserve"> travellers, and </w:t>
      </w:r>
      <w:r w:rsidR="00674FC3">
        <w:rPr>
          <w:rFonts w:ascii="Calibri" w:eastAsia="Calibri" w:hAnsi="Calibri" w:cs="Calibri"/>
        </w:rPr>
        <w:t>large</w:t>
      </w:r>
      <w:r w:rsidRPr="23A58F29">
        <w:rPr>
          <w:rFonts w:ascii="Calibri" w:eastAsia="Calibri" w:hAnsi="Calibri" w:cs="Calibri"/>
        </w:rPr>
        <w:t xml:space="preserve"> amount</w:t>
      </w:r>
      <w:r w:rsidR="00674FC3">
        <w:rPr>
          <w:rFonts w:ascii="Calibri" w:eastAsia="Calibri" w:hAnsi="Calibri" w:cs="Calibri"/>
        </w:rPr>
        <w:t>s</w:t>
      </w:r>
      <w:r w:rsidRPr="23A58F29">
        <w:rPr>
          <w:rFonts w:ascii="Calibri" w:eastAsia="Calibri" w:hAnsi="Calibri" w:cs="Calibri"/>
        </w:rPr>
        <w:t xml:space="preserve"> of data provided by connected vehicles</w:t>
      </w:r>
      <w:r w:rsidR="00D26CB5">
        <w:rPr>
          <w:rFonts w:ascii="Calibri" w:eastAsia="Calibri" w:hAnsi="Calibri" w:cs="Calibri"/>
        </w:rPr>
        <w:t>. It therefore combines techn</w:t>
      </w:r>
      <w:r w:rsidR="00BA0A73">
        <w:rPr>
          <w:rFonts w:ascii="Calibri" w:eastAsia="Calibri" w:hAnsi="Calibri" w:cs="Calibri"/>
        </w:rPr>
        <w:t>olog</w:t>
      </w:r>
      <w:r w:rsidR="00D26CB5">
        <w:rPr>
          <w:rFonts w:ascii="Calibri" w:eastAsia="Calibri" w:hAnsi="Calibri" w:cs="Calibri"/>
        </w:rPr>
        <w:t xml:space="preserve">ical change with behavioural change, </w:t>
      </w:r>
      <w:r w:rsidRPr="23A58F29">
        <w:rPr>
          <w:rFonts w:ascii="Calibri" w:eastAsia="Calibri" w:hAnsi="Calibri" w:cs="Calibri"/>
        </w:rPr>
        <w:t>open</w:t>
      </w:r>
      <w:r w:rsidR="00D26CB5">
        <w:rPr>
          <w:rFonts w:ascii="Calibri" w:eastAsia="Calibri" w:hAnsi="Calibri" w:cs="Calibri"/>
        </w:rPr>
        <w:t xml:space="preserve">ing the prospect of significant </w:t>
      </w:r>
      <w:r w:rsidR="00BA0A73">
        <w:rPr>
          <w:rFonts w:ascii="Calibri" w:eastAsia="Calibri" w:hAnsi="Calibri" w:cs="Calibri"/>
        </w:rPr>
        <w:t>system</w:t>
      </w:r>
      <w:r w:rsidR="003233D5">
        <w:rPr>
          <w:rFonts w:ascii="Calibri" w:eastAsia="Calibri" w:hAnsi="Calibri" w:cs="Calibri"/>
        </w:rPr>
        <w:t xml:space="preserve"> </w:t>
      </w:r>
      <w:r w:rsidR="00BA0A73">
        <w:rPr>
          <w:rFonts w:ascii="Calibri" w:eastAsia="Calibri" w:hAnsi="Calibri" w:cs="Calibri"/>
        </w:rPr>
        <w:t xml:space="preserve">wide </w:t>
      </w:r>
      <w:r w:rsidR="00D26CB5">
        <w:rPr>
          <w:rFonts w:ascii="Calibri" w:eastAsia="Calibri" w:hAnsi="Calibri" w:cs="Calibri"/>
        </w:rPr>
        <w:t xml:space="preserve">changes which may </w:t>
      </w:r>
      <w:r w:rsidRPr="23A58F29">
        <w:rPr>
          <w:rFonts w:ascii="Calibri" w:eastAsia="Calibri" w:hAnsi="Calibri" w:cs="Calibri"/>
        </w:rPr>
        <w:t>facilitate</w:t>
      </w:r>
      <w:r w:rsidR="00D26CB5">
        <w:rPr>
          <w:rFonts w:ascii="Calibri" w:eastAsia="Calibri" w:hAnsi="Calibri" w:cs="Calibri"/>
        </w:rPr>
        <w:t>, or obstruct,</w:t>
      </w:r>
      <w:r w:rsidRPr="23A58F29">
        <w:rPr>
          <w:rFonts w:ascii="Calibri" w:eastAsia="Calibri" w:hAnsi="Calibri" w:cs="Calibri"/>
        </w:rPr>
        <w:t xml:space="preserve"> the achievement of </w:t>
      </w:r>
      <w:r w:rsidR="00D26CB5">
        <w:rPr>
          <w:rFonts w:ascii="Calibri" w:eastAsia="Calibri" w:hAnsi="Calibri" w:cs="Calibri"/>
        </w:rPr>
        <w:t xml:space="preserve">the </w:t>
      </w:r>
      <w:r w:rsidRPr="23A58F29">
        <w:rPr>
          <w:rFonts w:ascii="Calibri" w:eastAsia="Calibri" w:hAnsi="Calibri" w:cs="Calibri"/>
        </w:rPr>
        <w:t>SDG</w:t>
      </w:r>
      <w:r w:rsidR="00D26CB5">
        <w:rPr>
          <w:rFonts w:ascii="Calibri" w:eastAsia="Calibri" w:hAnsi="Calibri" w:cs="Calibri"/>
        </w:rPr>
        <w:t>s</w:t>
      </w:r>
      <w:r w:rsidRPr="23A58F29">
        <w:rPr>
          <w:rFonts w:ascii="Calibri" w:eastAsia="Calibri" w:hAnsi="Calibri" w:cs="Calibri"/>
        </w:rPr>
        <w:t>.</w:t>
      </w:r>
      <w:r w:rsidR="00BA0A73">
        <w:rPr>
          <w:rFonts w:ascii="Calibri" w:eastAsia="Calibri" w:hAnsi="Calibri" w:cs="Calibri"/>
        </w:rPr>
        <w:t xml:space="preserve"> Howe</w:t>
      </w:r>
      <w:r w:rsidR="003A4196">
        <w:rPr>
          <w:rFonts w:ascii="Calibri" w:eastAsia="Calibri" w:hAnsi="Calibri" w:cs="Calibri"/>
        </w:rPr>
        <w:t>ver, the concept of MaaS covers a wide range of practical applications</w:t>
      </w:r>
      <w:r w:rsidR="008E3253">
        <w:rPr>
          <w:rFonts w:ascii="Calibri" w:eastAsia="Calibri" w:hAnsi="Calibri" w:cs="Calibri"/>
        </w:rPr>
        <w:t xml:space="preserve">. Indeed, </w:t>
      </w:r>
      <w:proofErr w:type="spellStart"/>
      <w:r w:rsidR="008D24BB" w:rsidRPr="008D24BB">
        <w:rPr>
          <w:rFonts w:ascii="Calibri" w:eastAsia="Calibri" w:hAnsi="Calibri" w:cs="Calibri"/>
        </w:rPr>
        <w:t>Mladenović</w:t>
      </w:r>
      <w:proofErr w:type="spellEnd"/>
      <w:r w:rsidR="008D24BB">
        <w:rPr>
          <w:rFonts w:ascii="Calibri" w:eastAsia="Calibri" w:hAnsi="Calibri" w:cs="Calibri"/>
        </w:rPr>
        <w:t xml:space="preserve"> and </w:t>
      </w:r>
      <w:proofErr w:type="spellStart"/>
      <w:r w:rsidR="008D24BB" w:rsidRPr="008D24BB">
        <w:rPr>
          <w:rFonts w:ascii="Calibri" w:eastAsia="Calibri" w:hAnsi="Calibri" w:cs="Calibri"/>
        </w:rPr>
        <w:t>Haavisto</w:t>
      </w:r>
      <w:proofErr w:type="spellEnd"/>
      <w:r w:rsidR="00826BB5">
        <w:rPr>
          <w:rFonts w:ascii="Calibri" w:eastAsia="Calibri" w:hAnsi="Calibri" w:cs="Calibri"/>
        </w:rPr>
        <w:t xml:space="preserve"> </w:t>
      </w:r>
      <w:r w:rsidR="008D24BB">
        <w:rPr>
          <w:rFonts w:ascii="Calibri" w:eastAsia="Calibri" w:hAnsi="Calibri" w:cs="Calibri"/>
        </w:rPr>
        <w:t xml:space="preserve">(2021) </w:t>
      </w:r>
      <w:r w:rsidR="008E3253">
        <w:rPr>
          <w:rFonts w:ascii="Calibri" w:eastAsia="Calibri" w:hAnsi="Calibri" w:cs="Calibri"/>
        </w:rPr>
        <w:t xml:space="preserve">identify the ‘interpretive flexibility’ of the concept as </w:t>
      </w:r>
      <w:r w:rsidR="008D24BB">
        <w:rPr>
          <w:rFonts w:ascii="Calibri" w:eastAsia="Calibri" w:hAnsi="Calibri" w:cs="Calibri"/>
        </w:rPr>
        <w:t xml:space="preserve">leading to lack of clarity about the objectives and likely outcomes of the approach, leading to a risk of unsubstantiated enthusiasm, even amongst </w:t>
      </w:r>
      <w:r w:rsidR="008E3253">
        <w:rPr>
          <w:rFonts w:ascii="Calibri" w:eastAsia="Calibri" w:hAnsi="Calibri" w:cs="Calibri"/>
        </w:rPr>
        <w:t>public sector actors</w:t>
      </w:r>
      <w:r w:rsidR="008D24BB">
        <w:rPr>
          <w:rFonts w:ascii="Calibri" w:eastAsia="Calibri" w:hAnsi="Calibri" w:cs="Calibri"/>
        </w:rPr>
        <w:t>.</w:t>
      </w:r>
    </w:p>
    <w:p w14:paraId="479794BF" w14:textId="77777777" w:rsidR="23A58F29" w:rsidRDefault="008D24BB" w:rsidP="003F578C">
      <w:pPr>
        <w:spacing w:line="257" w:lineRule="auto"/>
      </w:pPr>
      <w:r>
        <w:rPr>
          <w:rFonts w:ascii="Calibri" w:eastAsia="Calibri" w:hAnsi="Calibri" w:cs="Calibri"/>
        </w:rPr>
        <w:t>A</w:t>
      </w:r>
      <w:r w:rsidR="003A4196">
        <w:rPr>
          <w:rFonts w:ascii="Calibri" w:eastAsia="Calibri" w:hAnsi="Calibri" w:cs="Calibri"/>
        </w:rPr>
        <w:t>ccording to the nature of the implementation, the impact on SDGs can be expected to vary in important respects</w:t>
      </w:r>
      <w:r>
        <w:rPr>
          <w:rFonts w:ascii="Calibri" w:eastAsia="Calibri" w:hAnsi="Calibri" w:cs="Calibri"/>
        </w:rPr>
        <w:t>, and it would be important to interrogate the specific business model, not solely a generic concept</w:t>
      </w:r>
      <w:r w:rsidR="003A4196">
        <w:rPr>
          <w:rFonts w:ascii="Calibri" w:eastAsia="Calibri" w:hAnsi="Calibri" w:cs="Calibri"/>
        </w:rPr>
        <w:t>.</w:t>
      </w:r>
      <w:r>
        <w:rPr>
          <w:rFonts w:ascii="Calibri" w:eastAsia="Calibri" w:hAnsi="Calibri" w:cs="Calibri"/>
        </w:rPr>
        <w:t xml:space="preserve"> However, if new MaaS offers do</w:t>
      </w:r>
      <w:r w:rsidR="00D26CB5">
        <w:rPr>
          <w:rFonts w:ascii="Calibri" w:eastAsia="Calibri" w:hAnsi="Calibri" w:cs="Calibri"/>
        </w:rPr>
        <w:t xml:space="preserve"> facilitat</w:t>
      </w:r>
      <w:r>
        <w:rPr>
          <w:rFonts w:ascii="Calibri" w:eastAsia="Calibri" w:hAnsi="Calibri" w:cs="Calibri"/>
        </w:rPr>
        <w:t>e</w:t>
      </w:r>
      <w:r w:rsidR="00826BB5">
        <w:rPr>
          <w:rFonts w:ascii="Calibri" w:eastAsia="Calibri" w:hAnsi="Calibri" w:cs="Calibri"/>
        </w:rPr>
        <w:t xml:space="preserve"> </w:t>
      </w:r>
      <w:r>
        <w:rPr>
          <w:rFonts w:ascii="Calibri" w:eastAsia="Calibri" w:hAnsi="Calibri" w:cs="Calibri"/>
        </w:rPr>
        <w:t xml:space="preserve">travel </w:t>
      </w:r>
      <w:r w:rsidR="00D26CB5">
        <w:rPr>
          <w:rFonts w:ascii="Calibri" w:eastAsia="Calibri" w:hAnsi="Calibri" w:cs="Calibri"/>
        </w:rPr>
        <w:t>behaviour</w:t>
      </w:r>
      <w:r>
        <w:rPr>
          <w:rFonts w:ascii="Calibri" w:eastAsia="Calibri" w:hAnsi="Calibri" w:cs="Calibri"/>
        </w:rPr>
        <w:t xml:space="preserve"> change, particularly amongst those who suffer from accessibility constraints</w:t>
      </w:r>
      <w:r w:rsidR="00D26CB5">
        <w:rPr>
          <w:rFonts w:ascii="Calibri" w:eastAsia="Calibri" w:hAnsi="Calibri" w:cs="Calibri"/>
        </w:rPr>
        <w:t>, the SDGs for Subsistence in general could</w:t>
      </w:r>
      <w:r>
        <w:rPr>
          <w:rFonts w:ascii="Calibri" w:eastAsia="Calibri" w:hAnsi="Calibri" w:cs="Calibri"/>
        </w:rPr>
        <w:t xml:space="preserve"> potentially</w:t>
      </w:r>
      <w:r w:rsidR="00D26CB5">
        <w:rPr>
          <w:rFonts w:ascii="Calibri" w:eastAsia="Calibri" w:hAnsi="Calibri" w:cs="Calibri"/>
        </w:rPr>
        <w:t xml:space="preserve"> be strongly impacted, particularly in respect of:</w:t>
      </w:r>
    </w:p>
    <w:p w14:paraId="1D324F70" w14:textId="77777777" w:rsidR="23A58F29" w:rsidRDefault="23A58F29" w:rsidP="007E3D04">
      <w:pPr>
        <w:pStyle w:val="Prrafodelista"/>
        <w:numPr>
          <w:ilvl w:val="0"/>
          <w:numId w:val="2"/>
        </w:numPr>
        <w:rPr>
          <w:rFonts w:eastAsiaTheme="minorEastAsia"/>
        </w:rPr>
      </w:pPr>
      <w:r w:rsidRPr="23A58F29">
        <w:rPr>
          <w:rFonts w:ascii="Calibri" w:eastAsia="Calibri" w:hAnsi="Calibri" w:cs="Calibri"/>
        </w:rPr>
        <w:t xml:space="preserve">Health and wellbeing – </w:t>
      </w:r>
      <w:r w:rsidR="00D26CB5">
        <w:rPr>
          <w:rFonts w:ascii="Calibri" w:eastAsia="Calibri" w:hAnsi="Calibri" w:cs="Calibri"/>
        </w:rPr>
        <w:t xml:space="preserve">access to services can be particularly problematic for </w:t>
      </w:r>
      <w:r w:rsidRPr="23A58F29">
        <w:rPr>
          <w:rFonts w:ascii="Calibri" w:eastAsia="Calibri" w:hAnsi="Calibri" w:cs="Calibri"/>
        </w:rPr>
        <w:t xml:space="preserve">disabled and </w:t>
      </w:r>
      <w:r w:rsidR="00D26CB5">
        <w:rPr>
          <w:rFonts w:ascii="Calibri" w:eastAsia="Calibri" w:hAnsi="Calibri" w:cs="Calibri"/>
        </w:rPr>
        <w:t xml:space="preserve">older </w:t>
      </w:r>
      <w:r w:rsidRPr="23A58F29">
        <w:rPr>
          <w:rFonts w:ascii="Calibri" w:eastAsia="Calibri" w:hAnsi="Calibri" w:cs="Calibri"/>
        </w:rPr>
        <w:t xml:space="preserve">people </w:t>
      </w:r>
      <w:r w:rsidR="00D26CB5">
        <w:rPr>
          <w:rFonts w:ascii="Calibri" w:eastAsia="Calibri" w:hAnsi="Calibri" w:cs="Calibri"/>
        </w:rPr>
        <w:t>where fixed transport schedules do not align with appointments. A</w:t>
      </w:r>
      <w:r w:rsidRPr="23A58F29">
        <w:rPr>
          <w:rFonts w:ascii="Calibri" w:eastAsia="Calibri" w:hAnsi="Calibri" w:cs="Calibri"/>
        </w:rPr>
        <w:t>ccess to on-demand transport with a wider range of options and alternatives (</w:t>
      </w:r>
      <w:proofErr w:type="spellStart"/>
      <w:r w:rsidRPr="23A58F29">
        <w:rPr>
          <w:rFonts w:ascii="Calibri" w:eastAsia="Calibri" w:hAnsi="Calibri" w:cs="Calibri"/>
        </w:rPr>
        <w:t>Shergold</w:t>
      </w:r>
      <w:proofErr w:type="spellEnd"/>
      <w:r w:rsidRPr="23A58F29">
        <w:rPr>
          <w:rFonts w:ascii="Calibri" w:eastAsia="Calibri" w:hAnsi="Calibri" w:cs="Calibri"/>
        </w:rPr>
        <w:t>, 2019)</w:t>
      </w:r>
      <w:r w:rsidR="00D26CB5">
        <w:rPr>
          <w:rFonts w:ascii="Calibri" w:eastAsia="Calibri" w:hAnsi="Calibri" w:cs="Calibri"/>
        </w:rPr>
        <w:t xml:space="preserve"> can </w:t>
      </w:r>
      <w:r w:rsidRPr="23A58F29">
        <w:rPr>
          <w:rFonts w:ascii="Calibri" w:eastAsia="Calibri" w:hAnsi="Calibri" w:cs="Calibri"/>
        </w:rPr>
        <w:t>mak</w:t>
      </w:r>
      <w:r w:rsidR="00D26CB5">
        <w:rPr>
          <w:rFonts w:ascii="Calibri" w:eastAsia="Calibri" w:hAnsi="Calibri" w:cs="Calibri"/>
        </w:rPr>
        <w:t>e</w:t>
      </w:r>
      <w:r w:rsidR="00826BB5">
        <w:rPr>
          <w:rFonts w:ascii="Calibri" w:eastAsia="Calibri" w:hAnsi="Calibri" w:cs="Calibri"/>
        </w:rPr>
        <w:t xml:space="preserve"> </w:t>
      </w:r>
      <w:r w:rsidR="00D26CB5">
        <w:rPr>
          <w:rFonts w:ascii="Calibri" w:eastAsia="Calibri" w:hAnsi="Calibri" w:cs="Calibri"/>
        </w:rPr>
        <w:t xml:space="preserve">personalised but collective transport </w:t>
      </w:r>
      <w:r w:rsidRPr="23A58F29">
        <w:rPr>
          <w:rFonts w:ascii="Calibri" w:eastAsia="Calibri" w:hAnsi="Calibri" w:cs="Calibri"/>
        </w:rPr>
        <w:t>affordable</w:t>
      </w:r>
      <w:r w:rsidR="00D26CB5">
        <w:rPr>
          <w:rFonts w:ascii="Calibri" w:eastAsia="Calibri" w:hAnsi="Calibri" w:cs="Calibri"/>
        </w:rPr>
        <w:t>.</w:t>
      </w:r>
    </w:p>
    <w:p w14:paraId="2E1E2C51" w14:textId="77777777" w:rsidR="23A58F29" w:rsidRDefault="23A58F29" w:rsidP="007E3D04">
      <w:pPr>
        <w:pStyle w:val="Prrafodelista"/>
        <w:numPr>
          <w:ilvl w:val="0"/>
          <w:numId w:val="2"/>
        </w:numPr>
        <w:rPr>
          <w:rFonts w:eastAsiaTheme="minorEastAsia"/>
        </w:rPr>
      </w:pPr>
      <w:r w:rsidRPr="23A58F29">
        <w:rPr>
          <w:rFonts w:ascii="Calibri" w:eastAsia="Calibri" w:hAnsi="Calibri" w:cs="Calibri"/>
        </w:rPr>
        <w:t xml:space="preserve">Education – students </w:t>
      </w:r>
      <w:r w:rsidR="003A4196">
        <w:rPr>
          <w:rFonts w:ascii="Calibri" w:eastAsia="Calibri" w:hAnsi="Calibri" w:cs="Calibri"/>
        </w:rPr>
        <w:t>might</w:t>
      </w:r>
      <w:r w:rsidRPr="23A58F29">
        <w:rPr>
          <w:rFonts w:ascii="Calibri" w:eastAsia="Calibri" w:hAnsi="Calibri" w:cs="Calibri"/>
        </w:rPr>
        <w:t xml:space="preserve"> have more </w:t>
      </w:r>
      <w:r w:rsidR="00C7472F">
        <w:rPr>
          <w:rFonts w:ascii="Calibri" w:eastAsia="Calibri" w:hAnsi="Calibri" w:cs="Calibri"/>
        </w:rPr>
        <w:t xml:space="preserve">mobility </w:t>
      </w:r>
      <w:r w:rsidRPr="23A58F29">
        <w:rPr>
          <w:rFonts w:ascii="Calibri" w:eastAsia="Calibri" w:hAnsi="Calibri" w:cs="Calibri"/>
        </w:rPr>
        <w:t>opportunities</w:t>
      </w:r>
      <w:r w:rsidR="00C7472F">
        <w:rPr>
          <w:rFonts w:ascii="Calibri" w:eastAsia="Calibri" w:hAnsi="Calibri" w:cs="Calibri"/>
        </w:rPr>
        <w:t>, widening</w:t>
      </w:r>
      <w:r w:rsidR="00DC6973">
        <w:rPr>
          <w:rFonts w:ascii="Calibri" w:eastAsia="Calibri" w:hAnsi="Calibri" w:cs="Calibri"/>
        </w:rPr>
        <w:t xml:space="preserve"> </w:t>
      </w:r>
      <w:r w:rsidR="00C7472F">
        <w:rPr>
          <w:rFonts w:ascii="Calibri" w:eastAsia="Calibri" w:hAnsi="Calibri" w:cs="Calibri"/>
        </w:rPr>
        <w:t xml:space="preserve">choice of </w:t>
      </w:r>
      <w:r w:rsidRPr="23A58F29">
        <w:rPr>
          <w:rFonts w:ascii="Calibri" w:eastAsia="Calibri" w:hAnsi="Calibri" w:cs="Calibri"/>
        </w:rPr>
        <w:t xml:space="preserve">school or </w:t>
      </w:r>
      <w:r w:rsidR="00D26CB5">
        <w:rPr>
          <w:rFonts w:ascii="Calibri" w:eastAsia="Calibri" w:hAnsi="Calibri" w:cs="Calibri"/>
        </w:rPr>
        <w:t xml:space="preserve">higher education </w:t>
      </w:r>
      <w:r w:rsidR="00C7472F">
        <w:rPr>
          <w:rFonts w:ascii="Calibri" w:eastAsia="Calibri" w:hAnsi="Calibri" w:cs="Calibri"/>
        </w:rPr>
        <w:t xml:space="preserve">location and reducing constraints brought by limited </w:t>
      </w:r>
      <w:r w:rsidR="00C35CD9">
        <w:rPr>
          <w:rFonts w:ascii="Calibri" w:eastAsia="Calibri" w:hAnsi="Calibri" w:cs="Calibri"/>
        </w:rPr>
        <w:t>accessibility</w:t>
      </w:r>
      <w:r w:rsidRPr="23A58F29">
        <w:rPr>
          <w:rFonts w:ascii="Calibri" w:eastAsia="Calibri" w:hAnsi="Calibri" w:cs="Calibri"/>
        </w:rPr>
        <w:t xml:space="preserve"> (Turienzo et al., 2022</w:t>
      </w:r>
      <w:r w:rsidR="00926663">
        <w:rPr>
          <w:rFonts w:ascii="Calibri" w:eastAsia="Calibri" w:hAnsi="Calibri" w:cs="Calibri"/>
          <w:lang w:val="mt-MT"/>
        </w:rPr>
        <w:t>a</w:t>
      </w:r>
      <w:r w:rsidRPr="23A58F29">
        <w:rPr>
          <w:rFonts w:ascii="Calibri" w:eastAsia="Calibri" w:hAnsi="Calibri" w:cs="Calibri"/>
        </w:rPr>
        <w:t>)</w:t>
      </w:r>
      <w:r w:rsidR="00D26CB5">
        <w:rPr>
          <w:rFonts w:ascii="Calibri" w:eastAsia="Calibri" w:hAnsi="Calibri" w:cs="Calibri"/>
        </w:rPr>
        <w:t>.</w:t>
      </w:r>
    </w:p>
    <w:p w14:paraId="5696F4D8" w14:textId="77777777" w:rsidR="23A58F29" w:rsidRDefault="23A58F29" w:rsidP="007E3D04">
      <w:pPr>
        <w:pStyle w:val="Prrafodelista"/>
        <w:numPr>
          <w:ilvl w:val="0"/>
          <w:numId w:val="2"/>
        </w:numPr>
        <w:rPr>
          <w:rFonts w:eastAsiaTheme="minorEastAsia"/>
        </w:rPr>
      </w:pPr>
      <w:r w:rsidRPr="23A58F29">
        <w:rPr>
          <w:rFonts w:ascii="Calibri" w:eastAsia="Calibri" w:hAnsi="Calibri" w:cs="Calibri"/>
        </w:rPr>
        <w:t>Employment –</w:t>
      </w:r>
      <w:r w:rsidR="00D26CB5">
        <w:rPr>
          <w:rFonts w:ascii="Calibri" w:eastAsia="Calibri" w:hAnsi="Calibri" w:cs="Calibri"/>
        </w:rPr>
        <w:t xml:space="preserve"> labour market flexibility </w:t>
      </w:r>
      <w:r w:rsidR="00C7472F">
        <w:rPr>
          <w:rFonts w:ascii="Calibri" w:eastAsia="Calibri" w:hAnsi="Calibri" w:cs="Calibri"/>
        </w:rPr>
        <w:t xml:space="preserve">could </w:t>
      </w:r>
      <w:r w:rsidR="00D26CB5">
        <w:rPr>
          <w:rFonts w:ascii="Calibri" w:eastAsia="Calibri" w:hAnsi="Calibri" w:cs="Calibri"/>
        </w:rPr>
        <w:t xml:space="preserve">be strongly enhanced (Calvert et al., </w:t>
      </w:r>
      <w:r w:rsidR="00B731A0">
        <w:rPr>
          <w:rFonts w:ascii="Calibri" w:eastAsia="Calibri" w:hAnsi="Calibri" w:cs="Calibri"/>
        </w:rPr>
        <w:t>2022</w:t>
      </w:r>
      <w:r w:rsidR="00D26CB5">
        <w:rPr>
          <w:rFonts w:ascii="Calibri" w:eastAsia="Calibri" w:hAnsi="Calibri" w:cs="Calibri"/>
        </w:rPr>
        <w:t>). However</w:t>
      </w:r>
      <w:r w:rsidR="00B731A0">
        <w:rPr>
          <w:rFonts w:ascii="Calibri" w:eastAsia="Calibri" w:hAnsi="Calibri" w:cs="Calibri"/>
        </w:rPr>
        <w:t>,</w:t>
      </w:r>
      <w:r w:rsidR="00D26CB5">
        <w:rPr>
          <w:rFonts w:ascii="Calibri" w:eastAsia="Calibri" w:hAnsi="Calibri" w:cs="Calibri"/>
        </w:rPr>
        <w:t xml:space="preserve"> some change in employment roles in the transport sector can be expected due to the partial replacement of traditional public transport with MaaS. Further investigation is needed to </w:t>
      </w:r>
      <w:r w:rsidRPr="23A58F29">
        <w:rPr>
          <w:rFonts w:ascii="Calibri" w:eastAsia="Calibri" w:hAnsi="Calibri" w:cs="Calibri"/>
        </w:rPr>
        <w:t xml:space="preserve">better understand the impact of the digital economy, </w:t>
      </w:r>
      <w:r w:rsidR="00D26CB5">
        <w:rPr>
          <w:rFonts w:ascii="Calibri" w:eastAsia="Calibri" w:hAnsi="Calibri" w:cs="Calibri"/>
        </w:rPr>
        <w:t xml:space="preserve">particularly on the need for </w:t>
      </w:r>
      <w:r w:rsidRPr="23A58F29">
        <w:rPr>
          <w:rFonts w:ascii="Calibri" w:eastAsia="Calibri" w:hAnsi="Calibri" w:cs="Calibri"/>
        </w:rPr>
        <w:t>low</w:t>
      </w:r>
      <w:r w:rsidR="00B731A0">
        <w:rPr>
          <w:rFonts w:ascii="Calibri" w:eastAsia="Calibri" w:hAnsi="Calibri" w:cs="Calibri"/>
        </w:rPr>
        <w:t>-</w:t>
      </w:r>
      <w:r w:rsidR="00D26CB5">
        <w:rPr>
          <w:rFonts w:ascii="Calibri" w:eastAsia="Calibri" w:hAnsi="Calibri" w:cs="Calibri"/>
        </w:rPr>
        <w:t>skill</w:t>
      </w:r>
      <w:r w:rsidR="00B731A0">
        <w:rPr>
          <w:rFonts w:ascii="Calibri" w:eastAsia="Calibri" w:hAnsi="Calibri" w:cs="Calibri"/>
        </w:rPr>
        <w:t>ed</w:t>
      </w:r>
      <w:r w:rsidR="00D26CB5">
        <w:rPr>
          <w:rFonts w:ascii="Calibri" w:eastAsia="Calibri" w:hAnsi="Calibri" w:cs="Calibri"/>
        </w:rPr>
        <w:t xml:space="preserve"> roles.</w:t>
      </w:r>
    </w:p>
    <w:p w14:paraId="783BDF01" w14:textId="77777777" w:rsidR="23A58F29" w:rsidRDefault="00D26CB5" w:rsidP="007E3D04">
      <w:pPr>
        <w:spacing w:line="257" w:lineRule="auto"/>
        <w:rPr>
          <w:rFonts w:ascii="Calibri" w:eastAsia="Calibri" w:hAnsi="Calibri" w:cs="Calibri"/>
        </w:rPr>
      </w:pPr>
      <w:r w:rsidRPr="00D26CB5">
        <w:rPr>
          <w:rFonts w:ascii="Calibri" w:eastAsia="Calibri" w:hAnsi="Calibri" w:cs="Calibri"/>
        </w:rPr>
        <w:t>Considering SDGs for enhancement</w:t>
      </w:r>
      <w:r w:rsidR="23A58F29" w:rsidRPr="23A58F29">
        <w:rPr>
          <w:rFonts w:ascii="Calibri" w:eastAsia="Calibri" w:hAnsi="Calibri" w:cs="Calibri"/>
        </w:rPr>
        <w:t>:</w:t>
      </w:r>
    </w:p>
    <w:p w14:paraId="2BE70FB8" w14:textId="77777777" w:rsidR="23A58F29" w:rsidRDefault="009F69D9" w:rsidP="007E3D04">
      <w:pPr>
        <w:pStyle w:val="Prrafodelista"/>
        <w:numPr>
          <w:ilvl w:val="0"/>
          <w:numId w:val="2"/>
        </w:numPr>
        <w:rPr>
          <w:rFonts w:eastAsiaTheme="minorEastAsia"/>
        </w:rPr>
      </w:pPr>
      <w:r>
        <w:rPr>
          <w:rFonts w:ascii="Calibri" w:eastAsia="Calibri" w:hAnsi="Calibri" w:cs="Calibri"/>
        </w:rPr>
        <w:t>Affordability</w:t>
      </w:r>
      <w:r w:rsidR="23A58F29" w:rsidRPr="23A58F29">
        <w:rPr>
          <w:rFonts w:ascii="Calibri" w:eastAsia="Calibri" w:hAnsi="Calibri" w:cs="Calibri"/>
        </w:rPr>
        <w:t xml:space="preserve"> –</w:t>
      </w:r>
      <w:r w:rsidR="008C5138">
        <w:rPr>
          <w:rFonts w:ascii="Calibri" w:eastAsia="Calibri" w:hAnsi="Calibri" w:cs="Calibri"/>
          <w:lang w:val="mt-MT"/>
        </w:rPr>
        <w:t xml:space="preserve"> </w:t>
      </w:r>
      <w:r w:rsidR="23A58F29" w:rsidRPr="23A58F29">
        <w:rPr>
          <w:rFonts w:ascii="Calibri" w:eastAsia="Calibri" w:hAnsi="Calibri" w:cs="Calibri"/>
        </w:rPr>
        <w:t xml:space="preserve">multimodal integration </w:t>
      </w:r>
      <w:r>
        <w:rPr>
          <w:rFonts w:ascii="Calibri" w:eastAsia="Calibri" w:hAnsi="Calibri" w:cs="Calibri"/>
        </w:rPr>
        <w:t xml:space="preserve">combined with a transfer from private to collective modes </w:t>
      </w:r>
      <w:r w:rsidR="23A58F29" w:rsidRPr="23A58F29">
        <w:rPr>
          <w:rFonts w:ascii="Calibri" w:eastAsia="Calibri" w:hAnsi="Calibri" w:cs="Calibri"/>
        </w:rPr>
        <w:t xml:space="preserve">can reduce transport costs (Liu et al., 2017), offering more options to people with </w:t>
      </w:r>
      <w:r w:rsidR="003E38CC">
        <w:rPr>
          <w:rFonts w:ascii="Calibri" w:eastAsia="Calibri" w:hAnsi="Calibri" w:cs="Calibri"/>
        </w:rPr>
        <w:t>limited</w:t>
      </w:r>
      <w:r w:rsidR="23A58F29" w:rsidRPr="23A58F29">
        <w:rPr>
          <w:rFonts w:ascii="Calibri" w:eastAsia="Calibri" w:hAnsi="Calibri" w:cs="Calibri"/>
        </w:rPr>
        <w:t xml:space="preserve"> resources through a holistic design of pricing (Pangbourne et al., 2018).</w:t>
      </w:r>
      <w:r w:rsidR="008C5138">
        <w:rPr>
          <w:rFonts w:ascii="Calibri" w:eastAsia="Calibri" w:hAnsi="Calibri" w:cs="Calibri"/>
          <w:lang w:val="mt-MT"/>
        </w:rPr>
        <w:t xml:space="preserve"> </w:t>
      </w:r>
      <w:r w:rsidR="003E38CC">
        <w:rPr>
          <w:rFonts w:ascii="Calibri" w:eastAsia="Calibri" w:hAnsi="Calibri" w:cs="Calibri"/>
        </w:rPr>
        <w:t xml:space="preserve">However, the extent to which access </w:t>
      </w:r>
      <w:r w:rsidR="003E38CC" w:rsidRPr="23A58F29">
        <w:rPr>
          <w:rFonts w:ascii="Calibri" w:eastAsia="Calibri" w:hAnsi="Calibri" w:cs="Calibri"/>
        </w:rPr>
        <w:t xml:space="preserve">differences among social classes will </w:t>
      </w:r>
      <w:r w:rsidR="003E38CC">
        <w:rPr>
          <w:rFonts w:ascii="Calibri" w:eastAsia="Calibri" w:hAnsi="Calibri" w:cs="Calibri"/>
        </w:rPr>
        <w:t>persist likely depends on wider success in implementing the SDGs.</w:t>
      </w:r>
    </w:p>
    <w:p w14:paraId="5A52BE1D" w14:textId="77777777" w:rsidR="23A58F29" w:rsidRDefault="009F69D9" w:rsidP="007E3D04">
      <w:pPr>
        <w:pStyle w:val="Prrafodelista"/>
        <w:numPr>
          <w:ilvl w:val="0"/>
          <w:numId w:val="2"/>
        </w:numPr>
        <w:rPr>
          <w:rFonts w:eastAsiaTheme="minorEastAsia"/>
        </w:rPr>
      </w:pPr>
      <w:r>
        <w:rPr>
          <w:rFonts w:ascii="Calibri" w:eastAsia="Calibri" w:hAnsi="Calibri" w:cs="Calibri"/>
        </w:rPr>
        <w:t>Inclusion</w:t>
      </w:r>
      <w:r w:rsidR="23A58F29" w:rsidRPr="23A58F29">
        <w:rPr>
          <w:rFonts w:ascii="Calibri" w:eastAsia="Calibri" w:hAnsi="Calibri" w:cs="Calibri"/>
        </w:rPr>
        <w:t xml:space="preserve"> – </w:t>
      </w:r>
      <w:r>
        <w:rPr>
          <w:rFonts w:ascii="Calibri" w:eastAsia="Calibri" w:hAnsi="Calibri" w:cs="Calibri"/>
        </w:rPr>
        <w:t xml:space="preserve">if applied correctly, greater </w:t>
      </w:r>
      <w:r w:rsidR="23A58F29" w:rsidRPr="23A58F29">
        <w:rPr>
          <w:rFonts w:ascii="Calibri" w:eastAsia="Calibri" w:hAnsi="Calibri" w:cs="Calibri"/>
        </w:rPr>
        <w:t>digitalization will improve real-time information to identify and solve problems, to detect ina</w:t>
      </w:r>
      <w:r>
        <w:rPr>
          <w:rFonts w:ascii="Calibri" w:eastAsia="Calibri" w:hAnsi="Calibri" w:cs="Calibri"/>
        </w:rPr>
        <w:t>ppropriate</w:t>
      </w:r>
      <w:r w:rsidR="23A58F29" w:rsidRPr="23A58F29">
        <w:rPr>
          <w:rFonts w:ascii="Calibri" w:eastAsia="Calibri" w:hAnsi="Calibri" w:cs="Calibri"/>
        </w:rPr>
        <w:t xml:space="preserve"> behaviours and to increase the objectivity </w:t>
      </w:r>
      <w:r>
        <w:rPr>
          <w:rFonts w:ascii="Calibri" w:eastAsia="Calibri" w:hAnsi="Calibri" w:cs="Calibri"/>
        </w:rPr>
        <w:t xml:space="preserve">of </w:t>
      </w:r>
      <w:r w:rsidR="23A58F29" w:rsidRPr="23A58F29">
        <w:rPr>
          <w:rFonts w:ascii="Calibri" w:eastAsia="Calibri" w:hAnsi="Calibri" w:cs="Calibri"/>
        </w:rPr>
        <w:t>public information</w:t>
      </w:r>
      <w:r>
        <w:rPr>
          <w:rFonts w:ascii="Calibri" w:eastAsia="Calibri" w:hAnsi="Calibri" w:cs="Calibri"/>
        </w:rPr>
        <w:t xml:space="preserve"> and extent of services, connecting the city better with the suburbs and rural areas. However, there remains a risk that personal data could be used inappropriately, to exclude particular citizens or social groups.</w:t>
      </w:r>
    </w:p>
    <w:p w14:paraId="3354482F" w14:textId="77777777" w:rsidR="23A58F29" w:rsidRDefault="009F69D9" w:rsidP="007E3D04">
      <w:pPr>
        <w:pStyle w:val="Prrafodelista"/>
        <w:numPr>
          <w:ilvl w:val="0"/>
          <w:numId w:val="2"/>
        </w:numPr>
        <w:rPr>
          <w:rFonts w:eastAsiaTheme="minorEastAsia"/>
        </w:rPr>
      </w:pPr>
      <w:r w:rsidRPr="00E57CC4">
        <w:rPr>
          <w:rFonts w:eastAsia="Times New Roman" w:cstheme="minorHAnsi"/>
        </w:rPr>
        <w:t>Within system capacity</w:t>
      </w:r>
      <w:r w:rsidR="23A58F29" w:rsidRPr="23A58F29">
        <w:rPr>
          <w:rFonts w:ascii="Calibri" w:eastAsia="Calibri" w:hAnsi="Calibri" w:cs="Calibri"/>
        </w:rPr>
        <w:t xml:space="preserve"> –</w:t>
      </w:r>
      <w:r w:rsidR="00D40091">
        <w:rPr>
          <w:rFonts w:ascii="Calibri" w:eastAsia="Calibri" w:hAnsi="Calibri" w:cs="Calibri"/>
        </w:rPr>
        <w:t xml:space="preserve"> t</w:t>
      </w:r>
      <w:r w:rsidR="23A58F29" w:rsidRPr="23A58F29">
        <w:rPr>
          <w:rFonts w:ascii="Calibri" w:eastAsia="Calibri" w:hAnsi="Calibri" w:cs="Calibri"/>
        </w:rPr>
        <w:t xml:space="preserve">he </w:t>
      </w:r>
      <w:r w:rsidR="000A2F1C">
        <w:rPr>
          <w:rFonts w:ascii="Calibri" w:eastAsia="Calibri" w:hAnsi="Calibri" w:cs="Calibri"/>
        </w:rPr>
        <w:t xml:space="preserve">high availability of behavioural </w:t>
      </w:r>
      <w:r w:rsidR="23A58F29" w:rsidRPr="23A58F29">
        <w:rPr>
          <w:rFonts w:ascii="Calibri" w:eastAsia="Calibri" w:hAnsi="Calibri" w:cs="Calibri"/>
        </w:rPr>
        <w:t xml:space="preserve">data </w:t>
      </w:r>
      <w:r w:rsidR="003E38CC">
        <w:rPr>
          <w:rFonts w:ascii="Calibri" w:eastAsia="Calibri" w:hAnsi="Calibri" w:cs="Calibri"/>
        </w:rPr>
        <w:t xml:space="preserve">combined with </w:t>
      </w:r>
      <w:r w:rsidR="23A58F29" w:rsidRPr="23A58F29">
        <w:rPr>
          <w:rFonts w:ascii="Calibri" w:eastAsia="Calibri" w:hAnsi="Calibri" w:cs="Calibri"/>
        </w:rPr>
        <w:t xml:space="preserve">the analytical power of companies and governments </w:t>
      </w:r>
      <w:r w:rsidR="003E38CC">
        <w:rPr>
          <w:rFonts w:ascii="Calibri" w:eastAsia="Calibri" w:hAnsi="Calibri" w:cs="Calibri"/>
        </w:rPr>
        <w:t xml:space="preserve">could </w:t>
      </w:r>
      <w:r w:rsidR="23A58F29" w:rsidRPr="23A58F29">
        <w:rPr>
          <w:rFonts w:ascii="Calibri" w:eastAsia="Calibri" w:hAnsi="Calibri" w:cs="Calibri"/>
        </w:rPr>
        <w:t>facilitate the scenario</w:t>
      </w:r>
      <w:r w:rsidR="00DF37EA">
        <w:rPr>
          <w:rFonts w:ascii="Calibri" w:eastAsia="Calibri" w:hAnsi="Calibri" w:cs="Calibri"/>
        </w:rPr>
        <w:t xml:space="preserve"> </w:t>
      </w:r>
      <w:r w:rsidR="23A58F29" w:rsidRPr="23A58F29">
        <w:rPr>
          <w:rFonts w:ascii="Calibri" w:eastAsia="Calibri" w:hAnsi="Calibri" w:cs="Calibri"/>
        </w:rPr>
        <w:t>s</w:t>
      </w:r>
      <w:r w:rsidR="003E38CC">
        <w:rPr>
          <w:rFonts w:ascii="Calibri" w:eastAsia="Calibri" w:hAnsi="Calibri" w:cs="Calibri"/>
        </w:rPr>
        <w:t>imulation</w:t>
      </w:r>
      <w:r w:rsidR="00DF37EA">
        <w:rPr>
          <w:rFonts w:ascii="Calibri" w:eastAsia="Calibri" w:hAnsi="Calibri" w:cs="Calibri"/>
        </w:rPr>
        <w:t xml:space="preserve"> </w:t>
      </w:r>
      <w:r w:rsidR="003E38CC">
        <w:rPr>
          <w:rFonts w:ascii="Calibri" w:eastAsia="Calibri" w:hAnsi="Calibri" w:cs="Calibri"/>
        </w:rPr>
        <w:t xml:space="preserve">to predict demand </w:t>
      </w:r>
      <w:r w:rsidR="23A58F29" w:rsidRPr="23A58F29">
        <w:rPr>
          <w:rFonts w:ascii="Calibri" w:eastAsia="Calibri" w:hAnsi="Calibri" w:cs="Calibri"/>
        </w:rPr>
        <w:t>and the establishment of contingency process</w:t>
      </w:r>
      <w:r w:rsidR="003E38CC">
        <w:rPr>
          <w:rFonts w:ascii="Calibri" w:eastAsia="Calibri" w:hAnsi="Calibri" w:cs="Calibri"/>
        </w:rPr>
        <w:t>es</w:t>
      </w:r>
      <w:r w:rsidR="23A58F29" w:rsidRPr="23A58F29">
        <w:rPr>
          <w:rFonts w:ascii="Calibri" w:eastAsia="Calibri" w:hAnsi="Calibri" w:cs="Calibri"/>
        </w:rPr>
        <w:t xml:space="preserve"> to deal with unexpected phenomena</w:t>
      </w:r>
      <w:r w:rsidR="003E38CC">
        <w:rPr>
          <w:rFonts w:ascii="Calibri" w:eastAsia="Calibri" w:hAnsi="Calibri" w:cs="Calibri"/>
        </w:rPr>
        <w:t xml:space="preserve">. Such possibilities will be of particular benefit to </w:t>
      </w:r>
      <w:r>
        <w:rPr>
          <w:rFonts w:ascii="Calibri" w:eastAsia="Calibri" w:hAnsi="Calibri" w:cs="Calibri"/>
        </w:rPr>
        <w:t>road infrastructure</w:t>
      </w:r>
      <w:r w:rsidR="23A58F29" w:rsidRPr="23A58F29">
        <w:rPr>
          <w:rFonts w:ascii="Calibri" w:eastAsia="Calibri" w:hAnsi="Calibri" w:cs="Calibri"/>
        </w:rPr>
        <w:t xml:space="preserve"> managers (Turienzo et al., 202</w:t>
      </w:r>
      <w:r>
        <w:rPr>
          <w:rFonts w:ascii="Calibri" w:eastAsia="Calibri" w:hAnsi="Calibri" w:cs="Calibri"/>
        </w:rPr>
        <w:t>2</w:t>
      </w:r>
      <w:r w:rsidR="00926663">
        <w:rPr>
          <w:rFonts w:ascii="Calibri" w:eastAsia="Calibri" w:hAnsi="Calibri" w:cs="Calibri"/>
          <w:lang w:val="mt-MT"/>
        </w:rPr>
        <w:t>a</w:t>
      </w:r>
      <w:r w:rsidR="23A58F29" w:rsidRPr="23A58F29">
        <w:rPr>
          <w:rFonts w:ascii="Calibri" w:eastAsia="Calibri" w:hAnsi="Calibri" w:cs="Calibri"/>
        </w:rPr>
        <w:t>)</w:t>
      </w:r>
      <w:r>
        <w:rPr>
          <w:rFonts w:ascii="Calibri" w:eastAsia="Calibri" w:hAnsi="Calibri" w:cs="Calibri"/>
        </w:rPr>
        <w:t>.</w:t>
      </w:r>
    </w:p>
    <w:p w14:paraId="43621142" w14:textId="77777777" w:rsidR="23A58F29" w:rsidRDefault="009F69D9" w:rsidP="007E3D04">
      <w:pPr>
        <w:pStyle w:val="Prrafodelista"/>
        <w:numPr>
          <w:ilvl w:val="0"/>
          <w:numId w:val="2"/>
        </w:numPr>
        <w:rPr>
          <w:rFonts w:eastAsiaTheme="minorEastAsia"/>
        </w:rPr>
      </w:pPr>
      <w:r>
        <w:rPr>
          <w:rFonts w:ascii="Calibri" w:eastAsia="Calibri" w:hAnsi="Calibri" w:cs="Calibri"/>
        </w:rPr>
        <w:t>Human-scale</w:t>
      </w:r>
      <w:r w:rsidR="23A58F29" w:rsidRPr="23A58F29">
        <w:rPr>
          <w:rFonts w:ascii="Calibri" w:eastAsia="Calibri" w:hAnsi="Calibri" w:cs="Calibri"/>
        </w:rPr>
        <w:t xml:space="preserve"> –</w:t>
      </w:r>
      <w:r w:rsidR="008C5138">
        <w:rPr>
          <w:rFonts w:ascii="Calibri" w:eastAsia="Calibri" w:hAnsi="Calibri" w:cs="Calibri"/>
          <w:lang w:val="mt-MT"/>
        </w:rPr>
        <w:t xml:space="preserve"> </w:t>
      </w:r>
      <w:r w:rsidR="23A58F29" w:rsidRPr="23A58F29">
        <w:rPr>
          <w:rFonts w:ascii="Calibri" w:eastAsia="Calibri" w:hAnsi="Calibri" w:cs="Calibri"/>
        </w:rPr>
        <w:t xml:space="preserve">will </w:t>
      </w:r>
      <w:r>
        <w:rPr>
          <w:rFonts w:ascii="Calibri" w:eastAsia="Calibri" w:hAnsi="Calibri" w:cs="Calibri"/>
        </w:rPr>
        <w:t xml:space="preserve">be </w:t>
      </w:r>
      <w:r w:rsidR="23A58F29" w:rsidRPr="23A58F29">
        <w:rPr>
          <w:rFonts w:ascii="Calibri" w:eastAsia="Calibri" w:hAnsi="Calibri" w:cs="Calibri"/>
        </w:rPr>
        <w:t>improve</w:t>
      </w:r>
      <w:r>
        <w:rPr>
          <w:rFonts w:ascii="Calibri" w:eastAsia="Calibri" w:hAnsi="Calibri" w:cs="Calibri"/>
        </w:rPr>
        <w:t>d</w:t>
      </w:r>
      <w:r w:rsidR="23A58F29" w:rsidRPr="23A58F29">
        <w:rPr>
          <w:rFonts w:ascii="Calibri" w:eastAsia="Calibri" w:hAnsi="Calibri" w:cs="Calibri"/>
        </w:rPr>
        <w:t xml:space="preserve"> by the higher efficiency </w:t>
      </w:r>
      <w:r>
        <w:rPr>
          <w:rFonts w:ascii="Calibri" w:eastAsia="Calibri" w:hAnsi="Calibri" w:cs="Calibri"/>
        </w:rPr>
        <w:t xml:space="preserve">and individuality </w:t>
      </w:r>
      <w:r w:rsidR="23A58F29" w:rsidRPr="23A58F29">
        <w:rPr>
          <w:rFonts w:ascii="Calibri" w:eastAsia="Calibri" w:hAnsi="Calibri" w:cs="Calibri"/>
        </w:rPr>
        <w:t xml:space="preserve">of the transport system, </w:t>
      </w:r>
      <w:r>
        <w:rPr>
          <w:rFonts w:ascii="Calibri" w:eastAsia="Calibri" w:hAnsi="Calibri" w:cs="Calibri"/>
        </w:rPr>
        <w:t xml:space="preserve">using a greater share of </w:t>
      </w:r>
      <w:r w:rsidR="003E38CC">
        <w:rPr>
          <w:rFonts w:ascii="Calibri" w:eastAsia="Calibri" w:hAnsi="Calibri" w:cs="Calibri"/>
        </w:rPr>
        <w:t xml:space="preserve">micromobility </w:t>
      </w:r>
      <w:r>
        <w:rPr>
          <w:rFonts w:ascii="Calibri" w:eastAsia="Calibri" w:hAnsi="Calibri" w:cs="Calibri"/>
        </w:rPr>
        <w:t>(bikes, e-scooters, walking) rather than large vehicles.</w:t>
      </w:r>
    </w:p>
    <w:p w14:paraId="243CF72E" w14:textId="77777777" w:rsidR="23A58F29" w:rsidRDefault="009F69D9" w:rsidP="007E3D04">
      <w:pPr>
        <w:pStyle w:val="Prrafodelista"/>
        <w:numPr>
          <w:ilvl w:val="0"/>
          <w:numId w:val="2"/>
        </w:numPr>
        <w:rPr>
          <w:rFonts w:eastAsiaTheme="minorEastAsia"/>
        </w:rPr>
      </w:pPr>
      <w:r w:rsidRPr="009F69D9">
        <w:rPr>
          <w:rFonts w:ascii="Calibri" w:eastAsia="Calibri" w:hAnsi="Calibri" w:cs="Calibri"/>
        </w:rPr>
        <w:lastRenderedPageBreak/>
        <w:t>Energy and noxious emissions</w:t>
      </w:r>
      <w:r w:rsidR="1DD59465" w:rsidRPr="0F82EADB">
        <w:rPr>
          <w:rFonts w:ascii="Calibri" w:eastAsia="Calibri" w:hAnsi="Calibri" w:cs="Calibri"/>
        </w:rPr>
        <w:t xml:space="preserve"> – the </w:t>
      </w:r>
      <w:r>
        <w:rPr>
          <w:rFonts w:ascii="Calibri" w:eastAsia="Calibri" w:hAnsi="Calibri" w:cs="Calibri"/>
        </w:rPr>
        <w:t xml:space="preserve">effective </w:t>
      </w:r>
      <w:r w:rsidR="1DD59465" w:rsidRPr="0F82EADB">
        <w:rPr>
          <w:rFonts w:ascii="Calibri" w:eastAsia="Calibri" w:hAnsi="Calibri" w:cs="Calibri"/>
        </w:rPr>
        <w:t xml:space="preserve">use of existing resources </w:t>
      </w:r>
      <w:r w:rsidR="00003AC8">
        <w:rPr>
          <w:rFonts w:ascii="Calibri" w:eastAsia="Calibri" w:hAnsi="Calibri" w:cs="Calibri"/>
        </w:rPr>
        <w:t>may enhance energy efficiency, but further evidence about the nature of behaviour change is necessary to evaluate whether</w:t>
      </w:r>
      <w:r w:rsidR="00D5171F">
        <w:rPr>
          <w:rFonts w:ascii="Calibri" w:eastAsia="Calibri" w:hAnsi="Calibri" w:cs="Calibri"/>
        </w:rPr>
        <w:t xml:space="preserve">, as a result of the service packages offered to consumers, </w:t>
      </w:r>
      <w:r w:rsidR="00003AC8">
        <w:rPr>
          <w:rFonts w:ascii="Calibri" w:eastAsia="Calibri" w:hAnsi="Calibri" w:cs="Calibri"/>
        </w:rPr>
        <w:t>the relatively efficient or inefficient modes benefit most. Emissions will depend on the powertrains of the selected options, but MaaS could promote the electrification of mobility, avoiding local exhaust emissions.</w:t>
      </w:r>
    </w:p>
    <w:p w14:paraId="51E37042" w14:textId="77777777" w:rsidR="23A58F29" w:rsidRPr="00D40091" w:rsidRDefault="00003AC8" w:rsidP="00003AC8">
      <w:pPr>
        <w:pStyle w:val="Prrafodelista"/>
        <w:numPr>
          <w:ilvl w:val="0"/>
          <w:numId w:val="2"/>
        </w:numPr>
      </w:pPr>
      <w:r>
        <w:t xml:space="preserve">Low or zero GHG – similarly, </w:t>
      </w:r>
      <w:r w:rsidR="23A58F29" w:rsidRPr="00003AC8">
        <w:rPr>
          <w:rFonts w:ascii="Calibri" w:eastAsia="Calibri" w:hAnsi="Calibri" w:cs="Calibri"/>
        </w:rPr>
        <w:t xml:space="preserve">the integration of electric or other green </w:t>
      </w:r>
      <w:r>
        <w:rPr>
          <w:rFonts w:ascii="Calibri" w:eastAsia="Calibri" w:hAnsi="Calibri" w:cs="Calibri"/>
        </w:rPr>
        <w:t xml:space="preserve">technologies </w:t>
      </w:r>
      <w:r w:rsidR="23A58F29" w:rsidRPr="00003AC8">
        <w:rPr>
          <w:rFonts w:ascii="Calibri" w:eastAsia="Calibri" w:hAnsi="Calibri" w:cs="Calibri"/>
        </w:rPr>
        <w:t xml:space="preserve">in the MaaS fleet </w:t>
      </w:r>
      <w:r w:rsidR="009853B4">
        <w:rPr>
          <w:rFonts w:ascii="Calibri" w:eastAsia="Calibri" w:hAnsi="Calibri" w:cs="Calibri"/>
        </w:rPr>
        <w:t xml:space="preserve">would promote </w:t>
      </w:r>
      <w:r w:rsidR="23A58F29" w:rsidRPr="00003AC8">
        <w:rPr>
          <w:rFonts w:ascii="Calibri" w:eastAsia="Calibri" w:hAnsi="Calibri" w:cs="Calibri"/>
        </w:rPr>
        <w:t>zero carbon emissions</w:t>
      </w:r>
      <w:r>
        <w:rPr>
          <w:rFonts w:ascii="Calibri" w:eastAsia="Calibri" w:hAnsi="Calibri" w:cs="Calibri"/>
        </w:rPr>
        <w:t>, but the fleet mix in practice needs to be better understood.</w:t>
      </w:r>
    </w:p>
    <w:p w14:paraId="1D5677EF" w14:textId="77777777" w:rsidR="00D40091" w:rsidRPr="00003AC8" w:rsidRDefault="00D40091" w:rsidP="00003AC8">
      <w:pPr>
        <w:pStyle w:val="Prrafodelista"/>
        <w:numPr>
          <w:ilvl w:val="0"/>
          <w:numId w:val="2"/>
        </w:numPr>
      </w:pPr>
      <w:r>
        <w:t xml:space="preserve">Space efficiency </w:t>
      </w:r>
      <w:r w:rsidR="00EB0173">
        <w:t>–</w:t>
      </w:r>
      <w:r>
        <w:t xml:space="preserve"> </w:t>
      </w:r>
      <w:r w:rsidR="009853B4">
        <w:rPr>
          <w:rFonts w:ascii="Calibri" w:eastAsia="Calibri" w:hAnsi="Calibri" w:cs="Calibri"/>
        </w:rPr>
        <w:t>if</w:t>
      </w:r>
      <w:r w:rsidR="00EB0173">
        <w:rPr>
          <w:rFonts w:ascii="Calibri" w:eastAsia="Calibri" w:hAnsi="Calibri" w:cs="Calibri"/>
        </w:rPr>
        <w:t xml:space="preserve"> </w:t>
      </w:r>
      <w:r w:rsidR="009853B4">
        <w:rPr>
          <w:rFonts w:ascii="Calibri" w:eastAsia="Calibri" w:hAnsi="Calibri" w:cs="Calibri"/>
        </w:rPr>
        <w:t xml:space="preserve">transport assets </w:t>
      </w:r>
      <w:r w:rsidR="009853B4" w:rsidRPr="009853B4">
        <w:rPr>
          <w:rFonts w:ascii="Calibri" w:eastAsia="Calibri" w:hAnsi="Calibri" w:cs="Calibri"/>
        </w:rPr>
        <w:t xml:space="preserve">such as vehicles and roads can be used more efficiently, </w:t>
      </w:r>
      <w:r w:rsidR="009853B4" w:rsidRPr="003F578C">
        <w:rPr>
          <w:rFonts w:ascii="Calibri" w:eastAsia="Calibri" w:hAnsi="Calibri" w:cs="Calibri"/>
        </w:rPr>
        <w:t xml:space="preserve">this would </w:t>
      </w:r>
      <w:r w:rsidR="000A2F1C" w:rsidRPr="009853B4">
        <w:rPr>
          <w:rFonts w:ascii="Calibri" w:eastAsia="Calibri" w:hAnsi="Calibri" w:cs="Calibri"/>
        </w:rPr>
        <w:t>reduce the pressure o</w:t>
      </w:r>
      <w:r w:rsidR="000A2F1C">
        <w:rPr>
          <w:rFonts w:ascii="Calibri" w:eastAsia="Calibri" w:hAnsi="Calibri" w:cs="Calibri"/>
        </w:rPr>
        <w:t>n</w:t>
      </w:r>
      <w:r w:rsidR="000A2F1C" w:rsidRPr="0F82EADB">
        <w:rPr>
          <w:rFonts w:ascii="Calibri" w:eastAsia="Calibri" w:hAnsi="Calibri" w:cs="Calibri"/>
        </w:rPr>
        <w:t xml:space="preserve"> natural resources</w:t>
      </w:r>
      <w:r w:rsidR="00EB0173">
        <w:rPr>
          <w:rFonts w:ascii="Calibri" w:eastAsia="Calibri" w:hAnsi="Calibri" w:cs="Calibri"/>
        </w:rPr>
        <w:t xml:space="preserve"> </w:t>
      </w:r>
      <w:r w:rsidR="000A2F1C" w:rsidRPr="0F82EADB">
        <w:rPr>
          <w:rFonts w:ascii="Calibri" w:eastAsia="Calibri" w:hAnsi="Calibri" w:cs="Calibri"/>
        </w:rPr>
        <w:t>(</w:t>
      </w:r>
      <w:proofErr w:type="spellStart"/>
      <w:r w:rsidR="000A2F1C" w:rsidRPr="0F82EADB">
        <w:rPr>
          <w:rFonts w:ascii="Calibri" w:eastAsia="Calibri" w:hAnsi="Calibri" w:cs="Calibri"/>
        </w:rPr>
        <w:t>Alaerts</w:t>
      </w:r>
      <w:proofErr w:type="spellEnd"/>
      <w:r w:rsidR="000A2F1C" w:rsidRPr="0F82EADB">
        <w:rPr>
          <w:rFonts w:ascii="Calibri" w:eastAsia="Calibri" w:hAnsi="Calibri" w:cs="Calibri"/>
        </w:rPr>
        <w:t xml:space="preserve"> et al., 2019)</w:t>
      </w:r>
      <w:r w:rsidR="000A2F1C">
        <w:rPr>
          <w:rFonts w:ascii="Calibri" w:eastAsia="Calibri" w:hAnsi="Calibri" w:cs="Calibri"/>
        </w:rPr>
        <w:t>.</w:t>
      </w:r>
    </w:p>
    <w:p w14:paraId="1943CB24" w14:textId="77777777" w:rsidR="00D26CB5" w:rsidRDefault="00003AC8" w:rsidP="00D26CB5">
      <w:pPr>
        <w:pStyle w:val="Prrafodelista"/>
        <w:numPr>
          <w:ilvl w:val="0"/>
          <w:numId w:val="2"/>
        </w:numPr>
        <w:rPr>
          <w:rFonts w:eastAsiaTheme="minorEastAsia"/>
        </w:rPr>
      </w:pPr>
      <w:r>
        <w:rPr>
          <w:rFonts w:ascii="Calibri" w:eastAsia="Calibri" w:hAnsi="Calibri" w:cs="Calibri"/>
        </w:rPr>
        <w:t>Regulation</w:t>
      </w:r>
      <w:r w:rsidR="00D26CB5" w:rsidRPr="23A58F29">
        <w:rPr>
          <w:rFonts w:ascii="Calibri" w:eastAsia="Calibri" w:hAnsi="Calibri" w:cs="Calibri"/>
        </w:rPr>
        <w:t xml:space="preserve"> –</w:t>
      </w:r>
      <w:r>
        <w:rPr>
          <w:rFonts w:ascii="Calibri" w:eastAsia="Calibri" w:hAnsi="Calibri" w:cs="Calibri"/>
        </w:rPr>
        <w:t xml:space="preserve"> a </w:t>
      </w:r>
      <w:r w:rsidR="00D26CB5" w:rsidRPr="23A58F29">
        <w:rPr>
          <w:rFonts w:ascii="Calibri" w:eastAsia="Calibri" w:hAnsi="Calibri" w:cs="Calibri"/>
        </w:rPr>
        <w:t>high</w:t>
      </w:r>
      <w:r>
        <w:rPr>
          <w:rFonts w:ascii="Calibri" w:eastAsia="Calibri" w:hAnsi="Calibri" w:cs="Calibri"/>
        </w:rPr>
        <w:t xml:space="preserve"> level of</w:t>
      </w:r>
      <w:r w:rsidR="00D26CB5" w:rsidRPr="23A58F29">
        <w:rPr>
          <w:rFonts w:ascii="Calibri" w:eastAsia="Calibri" w:hAnsi="Calibri" w:cs="Calibri"/>
        </w:rPr>
        <w:t xml:space="preserve"> coordination</w:t>
      </w:r>
      <w:r w:rsidR="00EB0173">
        <w:rPr>
          <w:rFonts w:ascii="Calibri" w:eastAsia="Calibri" w:hAnsi="Calibri" w:cs="Calibri"/>
        </w:rPr>
        <w:t xml:space="preserve"> </w:t>
      </w:r>
      <w:r w:rsidR="00D26CB5" w:rsidRPr="23A58F29">
        <w:rPr>
          <w:rFonts w:ascii="Calibri" w:eastAsia="Calibri" w:hAnsi="Calibri" w:cs="Calibri"/>
        </w:rPr>
        <w:t xml:space="preserve">of the whole system will </w:t>
      </w:r>
      <w:r>
        <w:rPr>
          <w:rFonts w:ascii="Calibri" w:eastAsia="Calibri" w:hAnsi="Calibri" w:cs="Calibri"/>
        </w:rPr>
        <w:t xml:space="preserve">be necessary to </w:t>
      </w:r>
      <w:r w:rsidR="00D26CB5" w:rsidRPr="23A58F29">
        <w:rPr>
          <w:rFonts w:ascii="Calibri" w:eastAsia="Calibri" w:hAnsi="Calibri" w:cs="Calibri"/>
        </w:rPr>
        <w:t xml:space="preserve">facilitate the better use of existing resources and </w:t>
      </w:r>
      <w:r>
        <w:rPr>
          <w:rFonts w:ascii="Calibri" w:eastAsia="Calibri" w:hAnsi="Calibri" w:cs="Calibri"/>
        </w:rPr>
        <w:t>social inclusion. The high importance of personal data also raises protection and security matters. An important role for the state as regulator will be necessary.</w:t>
      </w:r>
    </w:p>
    <w:p w14:paraId="58D4EA36" w14:textId="77777777" w:rsidR="00D26CB5" w:rsidRPr="00003AC8" w:rsidRDefault="009853B4" w:rsidP="00003AC8">
      <w:pPr>
        <w:rPr>
          <w:rFonts w:eastAsiaTheme="minorEastAsia"/>
        </w:rPr>
      </w:pPr>
      <w:r>
        <w:rPr>
          <w:rFonts w:eastAsiaTheme="minorEastAsia"/>
        </w:rPr>
        <w:t xml:space="preserve">Significant </w:t>
      </w:r>
      <w:r w:rsidR="00003AC8">
        <w:rPr>
          <w:rFonts w:eastAsiaTheme="minorEastAsia"/>
        </w:rPr>
        <w:t xml:space="preserve">C&amp;C implications relate </w:t>
      </w:r>
      <w:r>
        <w:rPr>
          <w:rFonts w:eastAsiaTheme="minorEastAsia"/>
        </w:rPr>
        <w:t xml:space="preserve">to </w:t>
      </w:r>
      <w:r w:rsidR="00003AC8">
        <w:rPr>
          <w:rFonts w:eastAsiaTheme="minorEastAsia"/>
        </w:rPr>
        <w:t>the digitalisation of transport, requiring new skills in the sector, whilst the more traditional skills of integration will remain important.</w:t>
      </w:r>
    </w:p>
    <w:p w14:paraId="7B29F40D" w14:textId="77777777" w:rsidR="00003AC8" w:rsidRPr="00003AC8" w:rsidRDefault="1DD59465" w:rsidP="00003AC8">
      <w:pPr>
        <w:pStyle w:val="Ttulo2"/>
      </w:pPr>
      <w:r w:rsidRPr="00003AC8">
        <w:t xml:space="preserve">Electric </w:t>
      </w:r>
      <w:r w:rsidR="00003AC8">
        <w:t>car</w:t>
      </w:r>
      <w:r w:rsidRPr="00003AC8">
        <w:t xml:space="preserve">s </w:t>
      </w:r>
      <w:r w:rsidR="00AE4EB6">
        <w:t>(EC)</w:t>
      </w:r>
    </w:p>
    <w:p w14:paraId="1384A025" w14:textId="77777777" w:rsidR="00AE4EB6" w:rsidRDefault="000C0529" w:rsidP="0F82EADB">
      <w:pPr>
        <w:rPr>
          <w:iCs/>
        </w:rPr>
      </w:pPr>
      <w:r>
        <w:rPr>
          <w:iCs/>
        </w:rPr>
        <w:t>Here we consider the purely battery-powered plug-in EC, and no forms of hybrid, which</w:t>
      </w:r>
      <w:r w:rsidR="009853B4">
        <w:rPr>
          <w:iCs/>
        </w:rPr>
        <w:t>, having dual powertrains,</w:t>
      </w:r>
      <w:r w:rsidR="00EB0173">
        <w:rPr>
          <w:iCs/>
        </w:rPr>
        <w:t xml:space="preserve"> </w:t>
      </w:r>
      <w:r w:rsidR="009853B4">
        <w:rPr>
          <w:iCs/>
        </w:rPr>
        <w:t>are more complex in respect of the SDGs</w:t>
      </w:r>
      <w:r>
        <w:rPr>
          <w:iCs/>
        </w:rPr>
        <w:t xml:space="preserve">. </w:t>
      </w:r>
      <w:r w:rsidR="00AE4EB6">
        <w:rPr>
          <w:iCs/>
        </w:rPr>
        <w:t>With several similarities to the case of HGV-H</w:t>
      </w:r>
      <w:r w:rsidR="00AE4EB6" w:rsidRPr="00AE4EB6">
        <w:rPr>
          <w:iCs/>
          <w:vertAlign w:val="subscript"/>
        </w:rPr>
        <w:t>2</w:t>
      </w:r>
      <w:r w:rsidR="00AE4EB6">
        <w:rPr>
          <w:iCs/>
        </w:rPr>
        <w:t xml:space="preserve">, the EC represents a </w:t>
      </w:r>
      <w:r w:rsidR="009853B4">
        <w:rPr>
          <w:iCs/>
        </w:rPr>
        <w:t>‘</w:t>
      </w:r>
      <w:r w:rsidR="00AE4EB6">
        <w:rPr>
          <w:iCs/>
        </w:rPr>
        <w:t>business-largely-as-usual</w:t>
      </w:r>
      <w:r w:rsidR="009853B4">
        <w:rPr>
          <w:iCs/>
        </w:rPr>
        <w:t>’</w:t>
      </w:r>
      <w:r w:rsidR="00AE4EB6">
        <w:rPr>
          <w:iCs/>
        </w:rPr>
        <w:t xml:space="preserve"> approach to seeking greater sustainability for the private car. For this reason, the major change in respect of the subsistence SDG dependencies is with:</w:t>
      </w:r>
    </w:p>
    <w:p w14:paraId="62006403" w14:textId="77777777" w:rsidR="009D6CAA" w:rsidRDefault="00AE4EB6" w:rsidP="00AE4EB6">
      <w:pPr>
        <w:pStyle w:val="Prrafodelista"/>
        <w:numPr>
          <w:ilvl w:val="0"/>
          <w:numId w:val="2"/>
        </w:numPr>
        <w:rPr>
          <w:iCs/>
        </w:rPr>
      </w:pPr>
      <w:r w:rsidRPr="00AE4EB6">
        <w:rPr>
          <w:iCs/>
        </w:rPr>
        <w:t>Employment – even more so than in the case of HGV-H</w:t>
      </w:r>
      <w:r w:rsidRPr="00AE4EB6">
        <w:rPr>
          <w:iCs/>
          <w:vertAlign w:val="subscript"/>
        </w:rPr>
        <w:t>2</w:t>
      </w:r>
      <w:r w:rsidRPr="00AE4EB6">
        <w:rPr>
          <w:iCs/>
        </w:rPr>
        <w:t xml:space="preserve">, there are </w:t>
      </w:r>
      <w:r>
        <w:rPr>
          <w:iCs/>
        </w:rPr>
        <w:t xml:space="preserve">major implications </w:t>
      </w:r>
      <w:r w:rsidR="009D6CAA">
        <w:rPr>
          <w:iCs/>
        </w:rPr>
        <w:t>in terms of changing roles for vehicle assemblers and maintainers, and for the support services around charging rather than liquid fuelling.</w:t>
      </w:r>
    </w:p>
    <w:p w14:paraId="4409A640" w14:textId="77777777" w:rsidR="009D6CAA" w:rsidRDefault="009D6CAA" w:rsidP="009D6CAA">
      <w:pPr>
        <w:spacing w:line="257" w:lineRule="auto"/>
        <w:rPr>
          <w:rFonts w:ascii="Calibri" w:eastAsia="Calibri" w:hAnsi="Calibri" w:cs="Calibri"/>
        </w:rPr>
      </w:pPr>
      <w:r w:rsidRPr="00D26CB5">
        <w:rPr>
          <w:rFonts w:ascii="Calibri" w:eastAsia="Calibri" w:hAnsi="Calibri" w:cs="Calibri"/>
        </w:rPr>
        <w:t>Considering SDGs for enhancement</w:t>
      </w:r>
      <w:r w:rsidRPr="23A58F29">
        <w:rPr>
          <w:rFonts w:ascii="Calibri" w:eastAsia="Calibri" w:hAnsi="Calibri" w:cs="Calibri"/>
        </w:rPr>
        <w:t>:</w:t>
      </w:r>
    </w:p>
    <w:p w14:paraId="413BB2F3" w14:textId="77777777" w:rsidR="0F82EADB" w:rsidRPr="009539DD" w:rsidRDefault="009D6CAA" w:rsidP="00A47795">
      <w:pPr>
        <w:pStyle w:val="Prrafodelista"/>
        <w:numPr>
          <w:ilvl w:val="0"/>
          <w:numId w:val="1"/>
        </w:numPr>
        <w:rPr>
          <w:rFonts w:eastAsiaTheme="minorEastAsia"/>
        </w:rPr>
      </w:pPr>
      <w:r w:rsidRPr="009539DD">
        <w:rPr>
          <w:rFonts w:ascii="Calibri" w:eastAsia="Calibri" w:hAnsi="Calibri" w:cs="Calibri"/>
        </w:rPr>
        <w:t>Affordability</w:t>
      </w:r>
      <w:r w:rsidR="0F82EADB" w:rsidRPr="009539DD">
        <w:rPr>
          <w:rFonts w:ascii="Calibri" w:eastAsia="Calibri" w:hAnsi="Calibri" w:cs="Calibri"/>
        </w:rPr>
        <w:t xml:space="preserve"> –</w:t>
      </w:r>
      <w:r w:rsidR="009539DD" w:rsidRPr="009539DD">
        <w:rPr>
          <w:rFonts w:ascii="Calibri" w:eastAsia="Calibri" w:hAnsi="Calibri" w:cs="Calibri"/>
        </w:rPr>
        <w:t xml:space="preserve"> in the short-run, ECs are like-for-like more expensive to produce than their internal combustion engine equivalents. However, those costs are expected to fall along with enhancements in battery technology, and there is a </w:t>
      </w:r>
      <w:r w:rsidR="009853B4">
        <w:rPr>
          <w:rFonts w:ascii="Calibri" w:eastAsia="Calibri" w:hAnsi="Calibri" w:cs="Calibri"/>
        </w:rPr>
        <w:t xml:space="preserve">clear </w:t>
      </w:r>
      <w:r w:rsidR="009539DD" w:rsidRPr="009539DD">
        <w:rPr>
          <w:rFonts w:ascii="Calibri" w:eastAsia="Calibri" w:hAnsi="Calibri" w:cs="Calibri"/>
        </w:rPr>
        <w:t xml:space="preserve">advantage </w:t>
      </w:r>
      <w:r w:rsidR="009853B4">
        <w:rPr>
          <w:rFonts w:ascii="Calibri" w:eastAsia="Calibri" w:hAnsi="Calibri" w:cs="Calibri"/>
        </w:rPr>
        <w:t xml:space="preserve">in terms of operating costs </w:t>
      </w:r>
      <w:r w:rsidR="009539DD" w:rsidRPr="009539DD">
        <w:rPr>
          <w:rFonts w:ascii="Calibri" w:eastAsia="Calibri" w:hAnsi="Calibri" w:cs="Calibri"/>
        </w:rPr>
        <w:t>with respect to fossil fuels for cars, even if all energy costs have been rising globally.</w:t>
      </w:r>
      <w:r w:rsidR="009539DD">
        <w:rPr>
          <w:rFonts w:ascii="Calibri" w:eastAsia="Calibri" w:hAnsi="Calibri" w:cs="Calibri"/>
        </w:rPr>
        <w:t xml:space="preserve"> In the long-run, </w:t>
      </w:r>
      <w:r w:rsidR="0F82EADB" w:rsidRPr="009539DD">
        <w:rPr>
          <w:rFonts w:ascii="Calibri" w:eastAsia="Calibri" w:hAnsi="Calibri" w:cs="Calibri"/>
        </w:rPr>
        <w:t>the</w:t>
      </w:r>
      <w:r w:rsidR="009539DD">
        <w:rPr>
          <w:rFonts w:ascii="Calibri" w:eastAsia="Calibri" w:hAnsi="Calibri" w:cs="Calibri"/>
        </w:rPr>
        <w:t xml:space="preserve">re is the potential for electric technology to </w:t>
      </w:r>
      <w:r w:rsidR="0F82EADB" w:rsidRPr="009539DD">
        <w:rPr>
          <w:rFonts w:ascii="Calibri" w:eastAsia="Calibri" w:hAnsi="Calibri" w:cs="Calibri"/>
        </w:rPr>
        <w:t xml:space="preserve">lower </w:t>
      </w:r>
      <w:r w:rsidR="009539DD">
        <w:rPr>
          <w:rFonts w:ascii="Calibri" w:eastAsia="Calibri" w:hAnsi="Calibri" w:cs="Calibri"/>
        </w:rPr>
        <w:t xml:space="preserve">the </w:t>
      </w:r>
      <w:r w:rsidR="0F82EADB" w:rsidRPr="009539DD">
        <w:rPr>
          <w:rFonts w:ascii="Calibri" w:eastAsia="Calibri" w:hAnsi="Calibri" w:cs="Calibri"/>
        </w:rPr>
        <w:t>costs of transport products and services</w:t>
      </w:r>
      <w:r w:rsidR="009539DD">
        <w:rPr>
          <w:rFonts w:ascii="Calibri" w:eastAsia="Calibri" w:hAnsi="Calibri" w:cs="Calibri"/>
        </w:rPr>
        <w:t>, offering some</w:t>
      </w:r>
      <w:r w:rsidR="0F82EADB" w:rsidRPr="009539DD">
        <w:rPr>
          <w:rFonts w:ascii="Calibri" w:eastAsia="Calibri" w:hAnsi="Calibri" w:cs="Calibri"/>
        </w:rPr>
        <w:t xml:space="preserve"> potential to reduce poverty (</w:t>
      </w:r>
      <w:proofErr w:type="spellStart"/>
      <w:r w:rsidR="0F82EADB" w:rsidRPr="009539DD">
        <w:rPr>
          <w:rFonts w:ascii="Calibri" w:eastAsia="Calibri" w:hAnsi="Calibri" w:cs="Calibri"/>
        </w:rPr>
        <w:t>Börjesson</w:t>
      </w:r>
      <w:proofErr w:type="spellEnd"/>
      <w:r w:rsidR="0F82EADB" w:rsidRPr="009539DD">
        <w:rPr>
          <w:rFonts w:ascii="Calibri" w:eastAsia="Calibri" w:hAnsi="Calibri" w:cs="Calibri"/>
        </w:rPr>
        <w:t xml:space="preserve"> et al., 2021). </w:t>
      </w:r>
    </w:p>
    <w:p w14:paraId="2A4CFBFB" w14:textId="77777777" w:rsidR="009D6CAA" w:rsidRPr="009539DD" w:rsidRDefault="009D6CAA" w:rsidP="00A47795">
      <w:pPr>
        <w:pStyle w:val="Prrafodelista"/>
        <w:numPr>
          <w:ilvl w:val="0"/>
          <w:numId w:val="1"/>
        </w:numPr>
        <w:rPr>
          <w:rFonts w:eastAsiaTheme="minorEastAsia"/>
        </w:rPr>
      </w:pPr>
      <w:r w:rsidRPr="009539DD">
        <w:rPr>
          <w:rFonts w:eastAsiaTheme="minorEastAsia"/>
        </w:rPr>
        <w:t>Inclusion</w:t>
      </w:r>
      <w:r w:rsidR="009539DD" w:rsidRPr="009539DD">
        <w:rPr>
          <w:rFonts w:eastAsiaTheme="minorEastAsia"/>
        </w:rPr>
        <w:t xml:space="preserve"> – fundamentally, an EC is a car, and cars are associated with significant inequalities in mobility. New forms of service associated with the EC would be necessary to increase inclusion. </w:t>
      </w:r>
      <w:r w:rsidR="009539DD">
        <w:rPr>
          <w:rFonts w:eastAsiaTheme="minorEastAsia"/>
        </w:rPr>
        <w:t>Moreover, t</w:t>
      </w:r>
      <w:r w:rsidR="009539DD">
        <w:rPr>
          <w:rFonts w:ascii="Calibri" w:eastAsia="Calibri" w:hAnsi="Calibri" w:cs="Calibri"/>
        </w:rPr>
        <w:t>here is reason to believe that ECs could be a source of greater inequality, as some citizens who can own an ICE car</w:t>
      </w:r>
      <w:r w:rsidR="00081218">
        <w:rPr>
          <w:rFonts w:ascii="Calibri" w:eastAsia="Calibri" w:hAnsi="Calibri" w:cs="Calibri"/>
        </w:rPr>
        <w:t xml:space="preserve"> would not be able to own an EC, due to charging constraints as well as capital cost (Parkhurst &amp; Clayton, 2022).</w:t>
      </w:r>
    </w:p>
    <w:p w14:paraId="666B8EA5" w14:textId="612E8702" w:rsidR="009D6CAA" w:rsidRPr="00AE4EB6" w:rsidRDefault="009D6CAA" w:rsidP="009D6CAA">
      <w:pPr>
        <w:pStyle w:val="Prrafodelista"/>
        <w:numPr>
          <w:ilvl w:val="0"/>
          <w:numId w:val="2"/>
        </w:numPr>
        <w:rPr>
          <w:iCs/>
        </w:rPr>
      </w:pPr>
      <w:r>
        <w:rPr>
          <w:rFonts w:ascii="Calibri" w:eastAsia="Calibri" w:hAnsi="Calibri" w:cs="Calibri"/>
        </w:rPr>
        <w:t xml:space="preserve">Within system capacity </w:t>
      </w:r>
      <w:r w:rsidR="0F82EADB" w:rsidRPr="0F82EADB">
        <w:rPr>
          <w:rFonts w:ascii="Calibri" w:eastAsia="Calibri" w:hAnsi="Calibri" w:cs="Calibri"/>
        </w:rPr>
        <w:t xml:space="preserve">– </w:t>
      </w:r>
      <w:r w:rsidR="00926663">
        <w:rPr>
          <w:rFonts w:ascii="Calibri" w:eastAsia="Calibri" w:hAnsi="Calibri" w:cs="Calibri"/>
          <w:lang w:val="mt-MT"/>
        </w:rPr>
        <w:t>r</w:t>
      </w:r>
      <w:r w:rsidR="00A47795">
        <w:rPr>
          <w:rFonts w:ascii="Calibri" w:eastAsia="Calibri" w:hAnsi="Calibri" w:cs="Calibri"/>
        </w:rPr>
        <w:t xml:space="preserve">educed reliance on globally traded fossil fuels </w:t>
      </w:r>
      <w:r w:rsidR="008B5902">
        <w:rPr>
          <w:rFonts w:ascii="Calibri" w:eastAsia="Calibri" w:hAnsi="Calibri" w:cs="Calibri"/>
        </w:rPr>
        <w:t>is expected to</w:t>
      </w:r>
      <w:r w:rsidR="00A47795">
        <w:rPr>
          <w:rFonts w:ascii="Calibri" w:eastAsia="Calibri" w:hAnsi="Calibri" w:cs="Calibri"/>
        </w:rPr>
        <w:t xml:space="preserve"> enhance the independence and resilience of some national economies, although dependence on specific commodities for battery production will </w:t>
      </w:r>
      <w:r w:rsidR="008B5902">
        <w:rPr>
          <w:rFonts w:ascii="Calibri" w:eastAsia="Calibri" w:hAnsi="Calibri" w:cs="Calibri"/>
        </w:rPr>
        <w:t xml:space="preserve">likely </w:t>
      </w:r>
      <w:r w:rsidR="00A47795">
        <w:rPr>
          <w:rFonts w:ascii="Calibri" w:eastAsia="Calibri" w:hAnsi="Calibri" w:cs="Calibri"/>
        </w:rPr>
        <w:t xml:space="preserve">create new dependencies. </w:t>
      </w:r>
      <w:r w:rsidR="0F82EADB" w:rsidRPr="0F82EADB">
        <w:rPr>
          <w:rFonts w:ascii="Calibri" w:eastAsia="Calibri" w:hAnsi="Calibri" w:cs="Calibri"/>
        </w:rPr>
        <w:t>Th</w:t>
      </w:r>
      <w:r w:rsidR="00A47795">
        <w:rPr>
          <w:rFonts w:ascii="Calibri" w:eastAsia="Calibri" w:hAnsi="Calibri" w:cs="Calibri"/>
        </w:rPr>
        <w:t>e</w:t>
      </w:r>
      <w:r w:rsidR="000466EA">
        <w:rPr>
          <w:rFonts w:ascii="Calibri" w:eastAsia="Calibri" w:hAnsi="Calibri" w:cs="Calibri"/>
        </w:rPr>
        <w:t xml:space="preserve"> </w:t>
      </w:r>
      <w:r w:rsidR="00A47795">
        <w:rPr>
          <w:rFonts w:ascii="Calibri" w:eastAsia="Calibri" w:hAnsi="Calibri" w:cs="Calibri"/>
        </w:rPr>
        <w:t xml:space="preserve">new </w:t>
      </w:r>
      <w:r w:rsidR="0F82EADB" w:rsidRPr="0F82EADB">
        <w:rPr>
          <w:rFonts w:ascii="Calibri" w:eastAsia="Calibri" w:hAnsi="Calibri" w:cs="Calibri"/>
        </w:rPr>
        <w:t>independenc</w:t>
      </w:r>
      <w:r w:rsidR="00A47795">
        <w:rPr>
          <w:rFonts w:ascii="Calibri" w:eastAsia="Calibri" w:hAnsi="Calibri" w:cs="Calibri"/>
        </w:rPr>
        <w:t>e</w:t>
      </w:r>
      <w:r w:rsidR="000466EA">
        <w:rPr>
          <w:rFonts w:ascii="Calibri" w:eastAsia="Calibri" w:hAnsi="Calibri" w:cs="Calibri"/>
        </w:rPr>
        <w:t xml:space="preserve"> </w:t>
      </w:r>
      <w:r w:rsidR="00A47795">
        <w:rPr>
          <w:rFonts w:ascii="Calibri" w:eastAsia="Calibri" w:hAnsi="Calibri" w:cs="Calibri"/>
        </w:rPr>
        <w:t xml:space="preserve">may </w:t>
      </w:r>
      <w:r w:rsidR="0F82EADB" w:rsidRPr="0F82EADB">
        <w:rPr>
          <w:rFonts w:ascii="Calibri" w:eastAsia="Calibri" w:hAnsi="Calibri" w:cs="Calibri"/>
        </w:rPr>
        <w:t>be translated into public policies that foster the transition of their economies</w:t>
      </w:r>
      <w:r w:rsidR="00A47795">
        <w:rPr>
          <w:rFonts w:ascii="Calibri" w:eastAsia="Calibri" w:hAnsi="Calibri" w:cs="Calibri"/>
        </w:rPr>
        <w:t xml:space="preserve"> in a more balanced, </w:t>
      </w:r>
      <w:r w:rsidR="0F82EADB" w:rsidRPr="0F82EADB">
        <w:rPr>
          <w:rFonts w:ascii="Calibri" w:eastAsia="Calibri" w:hAnsi="Calibri" w:cs="Calibri"/>
        </w:rPr>
        <w:t>competitive</w:t>
      </w:r>
      <w:r w:rsidR="00A47795">
        <w:rPr>
          <w:rFonts w:ascii="Calibri" w:eastAsia="Calibri" w:hAnsi="Calibri" w:cs="Calibri"/>
        </w:rPr>
        <w:t xml:space="preserve"> and </w:t>
      </w:r>
      <w:r w:rsidR="0F82EADB" w:rsidRPr="0F82EADB">
        <w:rPr>
          <w:rFonts w:ascii="Calibri" w:eastAsia="Calibri" w:hAnsi="Calibri" w:cs="Calibri"/>
        </w:rPr>
        <w:t>social</w:t>
      </w:r>
      <w:r w:rsidR="00A47795">
        <w:rPr>
          <w:rFonts w:ascii="Calibri" w:eastAsia="Calibri" w:hAnsi="Calibri" w:cs="Calibri"/>
        </w:rPr>
        <w:t>ly-</w:t>
      </w:r>
      <w:r w:rsidR="0F82EADB" w:rsidRPr="0F82EADB">
        <w:rPr>
          <w:rFonts w:ascii="Calibri" w:eastAsia="Calibri" w:hAnsi="Calibri" w:cs="Calibri"/>
        </w:rPr>
        <w:t>equit</w:t>
      </w:r>
      <w:r w:rsidR="00A47795">
        <w:rPr>
          <w:rFonts w:ascii="Calibri" w:eastAsia="Calibri" w:hAnsi="Calibri" w:cs="Calibri"/>
        </w:rPr>
        <w:t>able way</w:t>
      </w:r>
      <w:r w:rsidR="0F82EADB" w:rsidRPr="0F82EADB">
        <w:rPr>
          <w:rFonts w:ascii="Calibri" w:eastAsia="Calibri" w:hAnsi="Calibri" w:cs="Calibri"/>
        </w:rPr>
        <w:t xml:space="preserve">. </w:t>
      </w:r>
      <w:r w:rsidR="00A47795">
        <w:rPr>
          <w:rFonts w:ascii="Calibri" w:eastAsia="Calibri" w:hAnsi="Calibri" w:cs="Calibri"/>
        </w:rPr>
        <w:t xml:space="preserve">The EC support industry has the potential to offer a source of ‘green jobs’ and new business </w:t>
      </w:r>
      <w:r w:rsidR="00A47795">
        <w:rPr>
          <w:rFonts w:ascii="Calibri" w:eastAsia="Calibri" w:hAnsi="Calibri" w:cs="Calibri"/>
        </w:rPr>
        <w:lastRenderedPageBreak/>
        <w:t xml:space="preserve">opportunities </w:t>
      </w:r>
      <w:r w:rsidR="0F82EADB" w:rsidRPr="0F82EADB">
        <w:rPr>
          <w:rFonts w:ascii="Calibri" w:eastAsia="Calibri" w:hAnsi="Calibri" w:cs="Calibri"/>
        </w:rPr>
        <w:t xml:space="preserve">in the development of infrastructure </w:t>
      </w:r>
      <w:r w:rsidR="00A47795">
        <w:rPr>
          <w:rFonts w:ascii="Calibri" w:eastAsia="Calibri" w:hAnsi="Calibri" w:cs="Calibri"/>
        </w:rPr>
        <w:t xml:space="preserve">and </w:t>
      </w:r>
      <w:r w:rsidR="0F82EADB" w:rsidRPr="0F82EADB">
        <w:rPr>
          <w:rFonts w:ascii="Calibri" w:eastAsia="Calibri" w:hAnsi="Calibri" w:cs="Calibri"/>
        </w:rPr>
        <w:t>vehicles</w:t>
      </w:r>
      <w:r>
        <w:rPr>
          <w:iCs/>
        </w:rPr>
        <w:t xml:space="preserve">. </w:t>
      </w:r>
      <w:r w:rsidRPr="00AE4EB6">
        <w:rPr>
          <w:iCs/>
        </w:rPr>
        <w:t xml:space="preserve">The continuous technological evolution in this field </w:t>
      </w:r>
      <w:r w:rsidR="008B5902">
        <w:rPr>
          <w:iCs/>
        </w:rPr>
        <w:t xml:space="preserve">is </w:t>
      </w:r>
      <w:r w:rsidRPr="00AE4EB6">
        <w:rPr>
          <w:iCs/>
        </w:rPr>
        <w:t>open</w:t>
      </w:r>
      <w:r w:rsidR="008B5902">
        <w:rPr>
          <w:iCs/>
        </w:rPr>
        <w:t>ing up</w:t>
      </w:r>
      <w:r w:rsidRPr="00AE4EB6">
        <w:rPr>
          <w:iCs/>
        </w:rPr>
        <w:t xml:space="preserve"> promising areas of development</w:t>
      </w:r>
      <w:r w:rsidR="008B5902">
        <w:rPr>
          <w:iCs/>
        </w:rPr>
        <w:t>. These could include</w:t>
      </w:r>
      <w:r w:rsidRPr="00AE4EB6">
        <w:rPr>
          <w:iCs/>
        </w:rPr>
        <w:t xml:space="preserve"> start-ups</w:t>
      </w:r>
      <w:r w:rsidR="000B0DF7">
        <w:rPr>
          <w:iCs/>
        </w:rPr>
        <w:t xml:space="preserve"> </w:t>
      </w:r>
      <w:r w:rsidRPr="00AE4EB6">
        <w:rPr>
          <w:iCs/>
        </w:rPr>
        <w:t xml:space="preserve">for the </w:t>
      </w:r>
      <w:r w:rsidR="00A47795">
        <w:rPr>
          <w:iCs/>
        </w:rPr>
        <w:t xml:space="preserve">development </w:t>
      </w:r>
      <w:r w:rsidRPr="00AE4EB6">
        <w:rPr>
          <w:iCs/>
        </w:rPr>
        <w:t>of new batter</w:t>
      </w:r>
      <w:r w:rsidR="00A47795">
        <w:rPr>
          <w:iCs/>
        </w:rPr>
        <w:t xml:space="preserve">y technologies </w:t>
      </w:r>
      <w:r w:rsidRPr="00AE4EB6">
        <w:rPr>
          <w:iCs/>
        </w:rPr>
        <w:t xml:space="preserve">and </w:t>
      </w:r>
      <w:r w:rsidR="00A47795">
        <w:rPr>
          <w:iCs/>
        </w:rPr>
        <w:t xml:space="preserve">better </w:t>
      </w:r>
      <w:r w:rsidRPr="00AE4EB6">
        <w:rPr>
          <w:iCs/>
        </w:rPr>
        <w:t>battery management</w:t>
      </w:r>
      <w:r w:rsidR="00A47795">
        <w:rPr>
          <w:iCs/>
        </w:rPr>
        <w:t>, including the circular economy around batteries</w:t>
      </w:r>
      <w:r w:rsidRPr="00AE4EB6">
        <w:rPr>
          <w:iCs/>
        </w:rPr>
        <w:t xml:space="preserve"> (Turienzo et al., 2022b).</w:t>
      </w:r>
      <w:r w:rsidR="000C0529">
        <w:rPr>
          <w:iCs/>
        </w:rPr>
        <w:t xml:space="preserve"> Without an effective circular economy for batteries, </w:t>
      </w:r>
      <w:r w:rsidR="000C0529">
        <w:rPr>
          <w:rFonts w:ascii="Calibri" w:eastAsia="Calibri" w:hAnsi="Calibri" w:cs="Calibri"/>
        </w:rPr>
        <w:t xml:space="preserve">there will be </w:t>
      </w:r>
      <w:r w:rsidR="000C0529" w:rsidRPr="0F82EADB">
        <w:rPr>
          <w:rFonts w:ascii="Calibri" w:eastAsia="Calibri" w:hAnsi="Calibri" w:cs="Calibri"/>
        </w:rPr>
        <w:t xml:space="preserve">massive challenges for companies, </w:t>
      </w:r>
      <w:r w:rsidR="000C0529">
        <w:rPr>
          <w:rFonts w:ascii="Calibri" w:eastAsia="Calibri" w:hAnsi="Calibri" w:cs="Calibri"/>
        </w:rPr>
        <w:t>policymakers</w:t>
      </w:r>
      <w:r w:rsidR="000C0529" w:rsidRPr="0F82EADB">
        <w:rPr>
          <w:rFonts w:ascii="Calibri" w:eastAsia="Calibri" w:hAnsi="Calibri" w:cs="Calibri"/>
        </w:rPr>
        <w:t xml:space="preserve"> and society in general</w:t>
      </w:r>
      <w:r w:rsidR="000C0529">
        <w:rPr>
          <w:rFonts w:ascii="Calibri" w:eastAsia="Calibri" w:hAnsi="Calibri" w:cs="Calibri"/>
        </w:rPr>
        <w:t xml:space="preserve"> as to how to source new raw materials and </w:t>
      </w:r>
      <w:r w:rsidR="000C0529" w:rsidRPr="0F82EADB">
        <w:rPr>
          <w:rFonts w:ascii="Calibri" w:eastAsia="Calibri" w:hAnsi="Calibri" w:cs="Calibri"/>
        </w:rPr>
        <w:t>manage</w:t>
      </w:r>
      <w:r w:rsidR="000C0529">
        <w:rPr>
          <w:rFonts w:ascii="Calibri" w:eastAsia="Calibri" w:hAnsi="Calibri" w:cs="Calibri"/>
        </w:rPr>
        <w:t xml:space="preserve"> waste.</w:t>
      </w:r>
    </w:p>
    <w:p w14:paraId="474C2E33" w14:textId="77777777" w:rsidR="009D6CAA" w:rsidRPr="009D6CAA" w:rsidRDefault="009D6CAA" w:rsidP="007E3D04">
      <w:pPr>
        <w:pStyle w:val="Prrafodelista"/>
        <w:numPr>
          <w:ilvl w:val="0"/>
          <w:numId w:val="1"/>
        </w:numPr>
        <w:rPr>
          <w:rFonts w:eastAsiaTheme="minorEastAsia"/>
        </w:rPr>
      </w:pPr>
      <w:r>
        <w:rPr>
          <w:rFonts w:ascii="Calibri" w:eastAsia="Calibri" w:hAnsi="Calibri" w:cs="Calibri"/>
        </w:rPr>
        <w:t>Human scale</w:t>
      </w:r>
      <w:r w:rsidR="00A47795">
        <w:rPr>
          <w:rFonts w:ascii="Calibri" w:eastAsia="Calibri" w:hAnsi="Calibri" w:cs="Calibri"/>
        </w:rPr>
        <w:t xml:space="preserve"> – as the EC is essentially another kind of car, the human scale can only be respected by </w:t>
      </w:r>
      <w:r w:rsidR="00A47795" w:rsidRPr="00A47795">
        <w:rPr>
          <w:rFonts w:ascii="Calibri" w:eastAsia="Calibri" w:hAnsi="Calibri" w:cs="Calibri"/>
        </w:rPr>
        <w:t xml:space="preserve">ensuring that </w:t>
      </w:r>
      <w:r w:rsidR="00A47795">
        <w:rPr>
          <w:rFonts w:ascii="Calibri" w:eastAsia="Calibri" w:hAnsi="Calibri" w:cs="Calibri"/>
        </w:rPr>
        <w:t xml:space="preserve">alongside the transition to ECs, the personal-scale </w:t>
      </w:r>
      <w:r w:rsidR="00A47795" w:rsidRPr="00A47795">
        <w:rPr>
          <w:rFonts w:ascii="Calibri" w:eastAsia="Calibri" w:hAnsi="Calibri" w:cs="Calibri"/>
        </w:rPr>
        <w:t>modes (</w:t>
      </w:r>
      <w:r w:rsidR="008B5902">
        <w:rPr>
          <w:rFonts w:ascii="Calibri" w:eastAsia="Calibri" w:hAnsi="Calibri" w:cs="Calibri"/>
        </w:rPr>
        <w:t>micromobility</w:t>
      </w:r>
      <w:r w:rsidR="00A47795" w:rsidRPr="00A47795">
        <w:rPr>
          <w:rFonts w:ascii="Calibri" w:eastAsia="Calibri" w:hAnsi="Calibri" w:cs="Calibri"/>
        </w:rPr>
        <w:t>) a</w:t>
      </w:r>
      <w:r w:rsidR="000B0DF7">
        <w:rPr>
          <w:rFonts w:ascii="Calibri" w:eastAsia="Calibri" w:hAnsi="Calibri" w:cs="Calibri"/>
        </w:rPr>
        <w:t>r</w:t>
      </w:r>
      <w:r w:rsidR="00A47795" w:rsidRPr="00A47795">
        <w:rPr>
          <w:rFonts w:ascii="Calibri" w:eastAsia="Calibri" w:hAnsi="Calibri" w:cs="Calibri"/>
        </w:rPr>
        <w:t>e given the greatest priority</w:t>
      </w:r>
      <w:r w:rsidR="00A47795">
        <w:rPr>
          <w:rFonts w:ascii="Calibri" w:eastAsia="Calibri" w:hAnsi="Calibri" w:cs="Calibri"/>
        </w:rPr>
        <w:t>, otherwise our cities will continue to be congested with vehicles</w:t>
      </w:r>
      <w:r w:rsidR="008B5902">
        <w:rPr>
          <w:rFonts w:ascii="Calibri" w:eastAsia="Calibri" w:hAnsi="Calibri" w:cs="Calibri"/>
        </w:rPr>
        <w:t xml:space="preserve"> and the roads unsafe</w:t>
      </w:r>
      <w:r w:rsidR="00A47795">
        <w:rPr>
          <w:rFonts w:ascii="Calibri" w:eastAsia="Calibri" w:hAnsi="Calibri" w:cs="Calibri"/>
        </w:rPr>
        <w:t>.</w:t>
      </w:r>
    </w:p>
    <w:p w14:paraId="509547B2" w14:textId="160840F3" w:rsidR="0F82EADB" w:rsidRPr="000C0529" w:rsidRDefault="009D6CAA" w:rsidP="00D53632">
      <w:pPr>
        <w:pStyle w:val="Prrafodelista"/>
        <w:numPr>
          <w:ilvl w:val="0"/>
          <w:numId w:val="1"/>
        </w:numPr>
        <w:rPr>
          <w:rFonts w:eastAsiaTheme="minorEastAsia"/>
        </w:rPr>
      </w:pPr>
      <w:r w:rsidRPr="000C0529">
        <w:rPr>
          <w:rFonts w:ascii="Calibri" w:eastAsia="Calibri" w:hAnsi="Calibri" w:cs="Calibri"/>
        </w:rPr>
        <w:t>Energy and noxious emissions</w:t>
      </w:r>
      <w:r w:rsidR="0F82EADB" w:rsidRPr="000C0529">
        <w:rPr>
          <w:rFonts w:ascii="Calibri" w:eastAsia="Calibri" w:hAnsi="Calibri" w:cs="Calibri"/>
        </w:rPr>
        <w:t xml:space="preserve"> – </w:t>
      </w:r>
      <w:r w:rsidR="00F62761">
        <w:rPr>
          <w:rFonts w:ascii="Calibri" w:eastAsia="Calibri" w:hAnsi="Calibri" w:cs="Calibri"/>
        </w:rPr>
        <w:t>in</w:t>
      </w:r>
      <w:r w:rsidR="0F82EADB" w:rsidRPr="000C0529">
        <w:rPr>
          <w:rFonts w:ascii="Calibri" w:eastAsia="Calibri" w:hAnsi="Calibri" w:cs="Calibri"/>
        </w:rPr>
        <w:t xml:space="preserve"> many cities, </w:t>
      </w:r>
      <w:r w:rsidR="00A47795" w:rsidRPr="000C0529">
        <w:rPr>
          <w:rFonts w:ascii="Calibri" w:eastAsia="Calibri" w:hAnsi="Calibri" w:cs="Calibri"/>
        </w:rPr>
        <w:t>ECs</w:t>
      </w:r>
      <w:r w:rsidR="000B0DF7">
        <w:rPr>
          <w:rFonts w:ascii="Calibri" w:eastAsia="Calibri" w:hAnsi="Calibri" w:cs="Calibri"/>
        </w:rPr>
        <w:t xml:space="preserve"> </w:t>
      </w:r>
      <w:r w:rsidR="00A47795" w:rsidRPr="000C0529">
        <w:rPr>
          <w:rFonts w:ascii="Calibri" w:eastAsia="Calibri" w:hAnsi="Calibri" w:cs="Calibri"/>
        </w:rPr>
        <w:t xml:space="preserve">are subject to </w:t>
      </w:r>
      <w:r w:rsidR="0F82EADB" w:rsidRPr="000C0529">
        <w:rPr>
          <w:rFonts w:ascii="Calibri" w:eastAsia="Calibri" w:hAnsi="Calibri" w:cs="Calibri"/>
        </w:rPr>
        <w:t xml:space="preserve">favourable </w:t>
      </w:r>
      <w:r w:rsidR="00A47795" w:rsidRPr="000C0529">
        <w:rPr>
          <w:rFonts w:ascii="Calibri" w:eastAsia="Calibri" w:hAnsi="Calibri" w:cs="Calibri"/>
        </w:rPr>
        <w:t xml:space="preserve">regulatory and fiscal </w:t>
      </w:r>
      <w:r w:rsidR="0F82EADB" w:rsidRPr="000C0529">
        <w:rPr>
          <w:rFonts w:ascii="Calibri" w:eastAsia="Calibri" w:hAnsi="Calibri" w:cs="Calibri"/>
        </w:rPr>
        <w:t xml:space="preserve">treatment, </w:t>
      </w:r>
      <w:r w:rsidR="008B5902">
        <w:rPr>
          <w:rFonts w:ascii="Calibri" w:eastAsia="Calibri" w:hAnsi="Calibri" w:cs="Calibri"/>
        </w:rPr>
        <w:t xml:space="preserve">reflecting </w:t>
      </w:r>
      <w:r w:rsidR="0F82EADB" w:rsidRPr="000C0529">
        <w:rPr>
          <w:rFonts w:ascii="Calibri" w:eastAsia="Calibri" w:hAnsi="Calibri" w:cs="Calibri"/>
        </w:rPr>
        <w:t>the benefits</w:t>
      </w:r>
      <w:r w:rsidR="00A47795" w:rsidRPr="000C0529">
        <w:rPr>
          <w:rFonts w:ascii="Calibri" w:eastAsia="Calibri" w:hAnsi="Calibri" w:cs="Calibri"/>
        </w:rPr>
        <w:t xml:space="preserve"> of </w:t>
      </w:r>
      <w:r w:rsidR="0F82EADB" w:rsidRPr="000C0529">
        <w:rPr>
          <w:rFonts w:ascii="Calibri" w:eastAsia="Calibri" w:hAnsi="Calibri" w:cs="Calibri"/>
        </w:rPr>
        <w:t>zero</w:t>
      </w:r>
      <w:r w:rsidR="00A47795" w:rsidRPr="000C0529">
        <w:rPr>
          <w:rFonts w:ascii="Calibri" w:eastAsia="Calibri" w:hAnsi="Calibri" w:cs="Calibri"/>
        </w:rPr>
        <w:t xml:space="preserve"> tailpipe </w:t>
      </w:r>
      <w:r w:rsidR="0F82EADB" w:rsidRPr="000C0529">
        <w:rPr>
          <w:rFonts w:ascii="Calibri" w:eastAsia="Calibri" w:hAnsi="Calibri" w:cs="Calibri"/>
        </w:rPr>
        <w:t>emissions</w:t>
      </w:r>
      <w:r w:rsidR="008B5902">
        <w:rPr>
          <w:rFonts w:ascii="Calibri" w:eastAsia="Calibri" w:hAnsi="Calibri" w:cs="Calibri"/>
        </w:rPr>
        <w:t xml:space="preserve"> and</w:t>
      </w:r>
      <w:r w:rsidR="000B0DF7">
        <w:rPr>
          <w:rFonts w:ascii="Calibri" w:eastAsia="Calibri" w:hAnsi="Calibri" w:cs="Calibri"/>
        </w:rPr>
        <w:t xml:space="preserve"> </w:t>
      </w:r>
      <w:r w:rsidR="0F82EADB" w:rsidRPr="000C0529">
        <w:rPr>
          <w:rFonts w:ascii="Calibri" w:eastAsia="Calibri" w:hAnsi="Calibri" w:cs="Calibri"/>
        </w:rPr>
        <w:t>lower noise</w:t>
      </w:r>
      <w:r w:rsidR="008B5902">
        <w:rPr>
          <w:rFonts w:ascii="Calibri" w:eastAsia="Calibri" w:hAnsi="Calibri" w:cs="Calibri"/>
        </w:rPr>
        <w:t>, expected to</w:t>
      </w:r>
      <w:r w:rsidR="000C0529">
        <w:rPr>
          <w:rFonts w:ascii="Calibri" w:eastAsia="Calibri" w:hAnsi="Calibri" w:cs="Calibri"/>
        </w:rPr>
        <w:t xml:space="preserve"> enhance</w:t>
      </w:r>
      <w:r w:rsidR="000C0529" w:rsidRPr="000C0529">
        <w:rPr>
          <w:rFonts w:ascii="Calibri" w:eastAsia="Calibri" w:hAnsi="Calibri" w:cs="Calibri"/>
        </w:rPr>
        <w:t xml:space="preserve"> the wellbeing and health of citizens (DBEIS, 2017).</w:t>
      </w:r>
      <w:r w:rsidR="00926663">
        <w:rPr>
          <w:rFonts w:ascii="Calibri" w:eastAsia="Calibri" w:hAnsi="Calibri" w:cs="Calibri"/>
          <w:lang w:val="mt-MT"/>
        </w:rPr>
        <w:t xml:space="preserve"> </w:t>
      </w:r>
      <w:r w:rsidR="00A47795" w:rsidRPr="000C0529">
        <w:rPr>
          <w:rFonts w:ascii="Calibri" w:eastAsia="Calibri" w:hAnsi="Calibri" w:cs="Calibri"/>
        </w:rPr>
        <w:t>However, ECs are not generally being specified as energy</w:t>
      </w:r>
      <w:r w:rsidR="008B5902">
        <w:rPr>
          <w:rFonts w:ascii="Calibri" w:eastAsia="Calibri" w:hAnsi="Calibri" w:cs="Calibri"/>
        </w:rPr>
        <w:t>-</w:t>
      </w:r>
      <w:r w:rsidR="00A47795" w:rsidRPr="000C0529">
        <w:rPr>
          <w:rFonts w:ascii="Calibri" w:eastAsia="Calibri" w:hAnsi="Calibri" w:cs="Calibri"/>
        </w:rPr>
        <w:t xml:space="preserve">efficient vehicles, as they are designed to match or exceed the performance of the ICEs they replace, most of which are </w:t>
      </w:r>
      <w:r w:rsidR="008B5902">
        <w:rPr>
          <w:rFonts w:ascii="Calibri" w:eastAsia="Calibri" w:hAnsi="Calibri" w:cs="Calibri"/>
        </w:rPr>
        <w:t xml:space="preserve">already </w:t>
      </w:r>
      <w:r w:rsidR="00A47795" w:rsidRPr="000C0529">
        <w:rPr>
          <w:rFonts w:ascii="Calibri" w:eastAsia="Calibri" w:hAnsi="Calibri" w:cs="Calibri"/>
        </w:rPr>
        <w:t>over-specified for their ‘duty cycle’</w:t>
      </w:r>
      <w:r w:rsidR="0F82EADB" w:rsidRPr="000C0529">
        <w:rPr>
          <w:rFonts w:ascii="Calibri" w:eastAsia="Calibri" w:hAnsi="Calibri" w:cs="Calibri"/>
        </w:rPr>
        <w:t>.</w:t>
      </w:r>
      <w:r w:rsidR="000C0529" w:rsidRPr="000C0529">
        <w:rPr>
          <w:rFonts w:ascii="Calibri" w:eastAsia="Calibri" w:hAnsi="Calibri" w:cs="Calibri"/>
        </w:rPr>
        <w:t xml:space="preserve"> The energy-efficiency contribution </w:t>
      </w:r>
      <w:r w:rsidR="008B5902">
        <w:rPr>
          <w:rFonts w:ascii="Calibri" w:eastAsia="Calibri" w:hAnsi="Calibri" w:cs="Calibri"/>
        </w:rPr>
        <w:t xml:space="preserve">of the transition to ECs </w:t>
      </w:r>
      <w:r w:rsidR="000C0529" w:rsidRPr="000C0529">
        <w:rPr>
          <w:rFonts w:ascii="Calibri" w:eastAsia="Calibri" w:hAnsi="Calibri" w:cs="Calibri"/>
        </w:rPr>
        <w:t>would be enhanced by re-thinking the role of the car in society (Parkhurst &amp; Clayton, 2022).</w:t>
      </w:r>
    </w:p>
    <w:p w14:paraId="09EC6A75" w14:textId="10A904BC" w:rsidR="009D6CAA" w:rsidRPr="000C0529" w:rsidRDefault="009D6CAA" w:rsidP="00D53632">
      <w:pPr>
        <w:pStyle w:val="Prrafodelista"/>
        <w:numPr>
          <w:ilvl w:val="0"/>
          <w:numId w:val="1"/>
        </w:numPr>
        <w:rPr>
          <w:rFonts w:eastAsiaTheme="minorEastAsia"/>
        </w:rPr>
      </w:pPr>
      <w:r w:rsidRPr="000C0529">
        <w:rPr>
          <w:rFonts w:ascii="Calibri" w:eastAsia="Calibri" w:hAnsi="Calibri" w:cs="Calibri"/>
        </w:rPr>
        <w:t>Low or zero GHG</w:t>
      </w:r>
      <w:r w:rsidR="0F82EADB" w:rsidRPr="000C0529">
        <w:rPr>
          <w:rFonts w:ascii="Calibri" w:eastAsia="Calibri" w:hAnsi="Calibri" w:cs="Calibri"/>
        </w:rPr>
        <w:t xml:space="preserve"> – </w:t>
      </w:r>
      <w:r w:rsidR="00926663">
        <w:rPr>
          <w:rFonts w:ascii="Calibri" w:eastAsia="Calibri" w:hAnsi="Calibri" w:cs="Calibri"/>
          <w:lang w:val="mt-MT"/>
        </w:rPr>
        <w:t>t</w:t>
      </w:r>
      <w:proofErr w:type="spellStart"/>
      <w:r w:rsidR="000C0529" w:rsidRPr="000C0529">
        <w:rPr>
          <w:rFonts w:ascii="Calibri" w:eastAsia="Calibri" w:hAnsi="Calibri" w:cs="Calibri"/>
        </w:rPr>
        <w:t>ransport</w:t>
      </w:r>
      <w:proofErr w:type="spellEnd"/>
      <w:r w:rsidR="000C0529" w:rsidRPr="000C0529">
        <w:rPr>
          <w:rFonts w:ascii="Calibri" w:eastAsia="Calibri" w:hAnsi="Calibri" w:cs="Calibri"/>
        </w:rPr>
        <w:t xml:space="preserve"> is responsible </w:t>
      </w:r>
      <w:r w:rsidR="00C90BD9">
        <w:rPr>
          <w:rFonts w:ascii="Calibri" w:eastAsia="Calibri" w:hAnsi="Calibri" w:cs="Calibri"/>
        </w:rPr>
        <w:t>for</w:t>
      </w:r>
      <w:r w:rsidR="000C0529" w:rsidRPr="000C0529">
        <w:rPr>
          <w:rFonts w:ascii="Calibri" w:eastAsia="Calibri" w:hAnsi="Calibri" w:cs="Calibri"/>
        </w:rPr>
        <w:t xml:space="preserve"> almost 15% of greenhouse emissions worldwide, and road vehicles are the main source</w:t>
      </w:r>
      <w:r w:rsidR="00C90BD9">
        <w:rPr>
          <w:rFonts w:ascii="Calibri" w:eastAsia="Calibri" w:hAnsi="Calibri" w:cs="Calibri"/>
        </w:rPr>
        <w:t>. A</w:t>
      </w:r>
      <w:r w:rsidR="000C0529" w:rsidRPr="000C0529">
        <w:rPr>
          <w:rFonts w:ascii="Calibri" w:eastAsia="Calibri" w:hAnsi="Calibri" w:cs="Calibri"/>
        </w:rPr>
        <w:t>mongst those</w:t>
      </w:r>
      <w:r w:rsidR="00C90BD9">
        <w:rPr>
          <w:rFonts w:ascii="Calibri" w:eastAsia="Calibri" w:hAnsi="Calibri" w:cs="Calibri"/>
        </w:rPr>
        <w:t>,</w:t>
      </w:r>
      <w:r w:rsidR="000C0529" w:rsidRPr="000C0529">
        <w:rPr>
          <w:rFonts w:ascii="Calibri" w:eastAsia="Calibri" w:hAnsi="Calibri" w:cs="Calibri"/>
        </w:rPr>
        <w:t xml:space="preserve"> cars </w:t>
      </w:r>
      <w:r w:rsidR="00C90BD9">
        <w:rPr>
          <w:rFonts w:ascii="Calibri" w:eastAsia="Calibri" w:hAnsi="Calibri" w:cs="Calibri"/>
        </w:rPr>
        <w:t xml:space="preserve">are </w:t>
      </w:r>
      <w:r w:rsidR="000C0529" w:rsidRPr="000C0529">
        <w:rPr>
          <w:rFonts w:ascii="Calibri" w:eastAsia="Calibri" w:hAnsi="Calibri" w:cs="Calibri"/>
        </w:rPr>
        <w:t xml:space="preserve">the largest contributor (Black et al., 2016; Greene &amp; Parkhurst, 2017). As noted under efficiency, ECs currently represent a partly-missed opportunity. Moreover, to offer a benefit </w:t>
      </w:r>
      <w:r w:rsidR="008C365D">
        <w:rPr>
          <w:rFonts w:ascii="Calibri" w:eastAsia="Calibri" w:hAnsi="Calibri" w:cs="Calibri"/>
        </w:rPr>
        <w:t xml:space="preserve">for </w:t>
      </w:r>
      <w:r w:rsidR="000C0529" w:rsidRPr="000C0529">
        <w:rPr>
          <w:rFonts w:ascii="Calibri" w:eastAsia="Calibri" w:hAnsi="Calibri" w:cs="Calibri"/>
        </w:rPr>
        <w:t>all</w:t>
      </w:r>
      <w:r w:rsidR="00C90BD9">
        <w:rPr>
          <w:rFonts w:ascii="Calibri" w:eastAsia="Calibri" w:hAnsi="Calibri" w:cs="Calibri"/>
        </w:rPr>
        <w:t>,</w:t>
      </w:r>
      <w:r w:rsidR="000C0529" w:rsidRPr="000C0529">
        <w:rPr>
          <w:rFonts w:ascii="Calibri" w:eastAsia="Calibri" w:hAnsi="Calibri" w:cs="Calibri"/>
        </w:rPr>
        <w:t xml:space="preserve"> the electrical energy must in the future arise from net-zero GHG sources; a major challenge for the electrical supply industry. </w:t>
      </w:r>
      <w:r w:rsidR="000C0529">
        <w:rPr>
          <w:rFonts w:ascii="Calibri" w:eastAsia="Calibri" w:hAnsi="Calibri" w:cs="Calibri"/>
        </w:rPr>
        <w:t xml:space="preserve">Reduced demand for personal mobility by car may be the only means to </w:t>
      </w:r>
      <w:r w:rsidR="00D40091">
        <w:rPr>
          <w:rFonts w:ascii="Calibri" w:eastAsia="Calibri" w:hAnsi="Calibri" w:cs="Calibri"/>
        </w:rPr>
        <w:t>overcome the challenge of sourcing sufficient green energy.</w:t>
      </w:r>
    </w:p>
    <w:p w14:paraId="4DBCC878" w14:textId="77777777" w:rsidR="0F82EADB" w:rsidRDefault="009D6CAA" w:rsidP="00D40091">
      <w:pPr>
        <w:pStyle w:val="Prrafodelista"/>
        <w:numPr>
          <w:ilvl w:val="0"/>
          <w:numId w:val="1"/>
        </w:numPr>
        <w:rPr>
          <w:rFonts w:eastAsiaTheme="minorEastAsia"/>
        </w:rPr>
      </w:pPr>
      <w:r>
        <w:rPr>
          <w:rFonts w:ascii="Calibri" w:eastAsia="Calibri" w:hAnsi="Calibri" w:cs="Calibri"/>
        </w:rPr>
        <w:t>Space efficiency</w:t>
      </w:r>
      <w:r w:rsidR="0F82EADB" w:rsidRPr="0F82EADB">
        <w:rPr>
          <w:rFonts w:ascii="Calibri" w:eastAsia="Calibri" w:hAnsi="Calibri" w:cs="Calibri"/>
        </w:rPr>
        <w:t xml:space="preserve"> – </w:t>
      </w:r>
      <w:r w:rsidR="00D40091">
        <w:rPr>
          <w:rFonts w:ascii="Calibri" w:eastAsia="Calibri" w:hAnsi="Calibri" w:cs="Calibri"/>
        </w:rPr>
        <w:t xml:space="preserve">there are two areas of concerns with ECs. First, by signalling greener and cheaper motoring to the consumer, demand for car travel may rise, and without new policies to manage demand, the need for additional roads, and hence loss of habitats, will grow. </w:t>
      </w:r>
      <w:r w:rsidR="00A80B0C">
        <w:rPr>
          <w:rFonts w:ascii="Calibri" w:eastAsia="Calibri" w:hAnsi="Calibri" w:cs="Calibri"/>
        </w:rPr>
        <w:t>Second, whilst b</w:t>
      </w:r>
      <w:r w:rsidR="0F82EADB" w:rsidRPr="0F82EADB">
        <w:rPr>
          <w:rFonts w:ascii="Calibri" w:eastAsia="Calibri" w:hAnsi="Calibri" w:cs="Calibri"/>
        </w:rPr>
        <w:t xml:space="preserve">iodiversity </w:t>
      </w:r>
      <w:r w:rsidR="00D40091">
        <w:rPr>
          <w:rFonts w:ascii="Calibri" w:eastAsia="Calibri" w:hAnsi="Calibri" w:cs="Calibri"/>
        </w:rPr>
        <w:t xml:space="preserve">may </w:t>
      </w:r>
      <w:r w:rsidR="0F82EADB" w:rsidRPr="0F82EADB">
        <w:rPr>
          <w:rFonts w:ascii="Calibri" w:eastAsia="Calibri" w:hAnsi="Calibri" w:cs="Calibri"/>
        </w:rPr>
        <w:t xml:space="preserve">be favoured </w:t>
      </w:r>
      <w:r w:rsidR="00D40091">
        <w:rPr>
          <w:rFonts w:ascii="Calibri" w:eastAsia="Calibri" w:hAnsi="Calibri" w:cs="Calibri"/>
        </w:rPr>
        <w:t xml:space="preserve">by reduced air pollution and GHG emissions, </w:t>
      </w:r>
      <w:r w:rsidR="0F82EADB" w:rsidRPr="0F82EADB">
        <w:rPr>
          <w:rFonts w:ascii="Calibri" w:eastAsia="Calibri" w:hAnsi="Calibri" w:cs="Calibri"/>
        </w:rPr>
        <w:t xml:space="preserve">the challenges of raw material </w:t>
      </w:r>
      <w:r w:rsidR="00D40091">
        <w:rPr>
          <w:rFonts w:ascii="Calibri" w:eastAsia="Calibri" w:hAnsi="Calibri" w:cs="Calibri"/>
        </w:rPr>
        <w:t xml:space="preserve">extraction </w:t>
      </w:r>
      <w:r w:rsidR="0F82EADB" w:rsidRPr="0F82EADB">
        <w:rPr>
          <w:rFonts w:ascii="Calibri" w:eastAsia="Calibri" w:hAnsi="Calibri" w:cs="Calibri"/>
        </w:rPr>
        <w:t xml:space="preserve">for manufacturing batteries </w:t>
      </w:r>
      <w:r w:rsidR="00D40091">
        <w:rPr>
          <w:rFonts w:ascii="Calibri" w:eastAsia="Calibri" w:hAnsi="Calibri" w:cs="Calibri"/>
        </w:rPr>
        <w:t xml:space="preserve">predominantly affects the industrialising states. However, reduced demand for </w:t>
      </w:r>
      <w:r w:rsidR="0F82EADB" w:rsidRPr="0F82EADB">
        <w:rPr>
          <w:rFonts w:ascii="Calibri" w:eastAsia="Calibri" w:hAnsi="Calibri" w:cs="Calibri"/>
        </w:rPr>
        <w:t xml:space="preserve">new oil fields </w:t>
      </w:r>
      <w:r w:rsidR="00D40091">
        <w:rPr>
          <w:rFonts w:ascii="Calibri" w:eastAsia="Calibri" w:hAnsi="Calibri" w:cs="Calibri"/>
        </w:rPr>
        <w:t>may reduce the risks faced by the few wild landscapes</w:t>
      </w:r>
      <w:r w:rsidR="00A80B0C">
        <w:rPr>
          <w:rFonts w:ascii="Calibri" w:eastAsia="Calibri" w:hAnsi="Calibri" w:cs="Calibri"/>
        </w:rPr>
        <w:t>,</w:t>
      </w:r>
      <w:r w:rsidR="00D40091">
        <w:rPr>
          <w:rFonts w:ascii="Calibri" w:eastAsia="Calibri" w:hAnsi="Calibri" w:cs="Calibri"/>
        </w:rPr>
        <w:t xml:space="preserve"> such as found in the </w:t>
      </w:r>
      <w:r w:rsidR="0F82EADB" w:rsidRPr="0F82EADB">
        <w:rPr>
          <w:rFonts w:ascii="Calibri" w:eastAsia="Calibri" w:hAnsi="Calibri" w:cs="Calibri"/>
        </w:rPr>
        <w:t>Ar</w:t>
      </w:r>
      <w:r w:rsidR="00A80B0C">
        <w:rPr>
          <w:rFonts w:ascii="Calibri" w:eastAsia="Calibri" w:hAnsi="Calibri" w:cs="Calibri"/>
        </w:rPr>
        <w:t>c</w:t>
      </w:r>
      <w:r w:rsidR="0F82EADB" w:rsidRPr="0F82EADB">
        <w:rPr>
          <w:rFonts w:ascii="Calibri" w:eastAsia="Calibri" w:hAnsi="Calibri" w:cs="Calibri"/>
        </w:rPr>
        <w:t>tic or Antarctica.</w:t>
      </w:r>
    </w:p>
    <w:p w14:paraId="5E6385C0" w14:textId="77777777" w:rsidR="009D6CAA" w:rsidRPr="00D40091" w:rsidRDefault="009D6CAA" w:rsidP="00D40091">
      <w:pPr>
        <w:pStyle w:val="Prrafodelista"/>
        <w:numPr>
          <w:ilvl w:val="0"/>
          <w:numId w:val="1"/>
        </w:numPr>
        <w:rPr>
          <w:rFonts w:eastAsiaTheme="minorEastAsia"/>
        </w:rPr>
      </w:pPr>
      <w:r>
        <w:rPr>
          <w:rFonts w:ascii="Calibri" w:eastAsia="Calibri" w:hAnsi="Calibri" w:cs="Calibri"/>
        </w:rPr>
        <w:t>Regulation</w:t>
      </w:r>
      <w:r w:rsidR="0F82EADB" w:rsidRPr="0F82EADB">
        <w:rPr>
          <w:rFonts w:ascii="Calibri" w:eastAsia="Calibri" w:hAnsi="Calibri" w:cs="Calibri"/>
        </w:rPr>
        <w:t xml:space="preserve"> – </w:t>
      </w:r>
      <w:r w:rsidR="00D40091">
        <w:rPr>
          <w:rFonts w:ascii="Calibri" w:eastAsia="Calibri" w:hAnsi="Calibri" w:cs="Calibri"/>
        </w:rPr>
        <w:t xml:space="preserve">the rise of the EC brings new challenges for regulators ranging from the road safety implications of their quietness compared to traditional cars, through to who is responsible for organising an efficient network of recharging facilities. The state will also have an important role in managing the transition within an automotive sector that is traditionally a major provider of employment at a range of skill levels. </w:t>
      </w:r>
      <w:r w:rsidR="0F82EADB" w:rsidRPr="0F82EADB">
        <w:rPr>
          <w:rFonts w:ascii="Calibri" w:eastAsia="Calibri" w:hAnsi="Calibri" w:cs="Calibri"/>
        </w:rPr>
        <w:t xml:space="preserve">The higher connectivity of </w:t>
      </w:r>
      <w:r w:rsidR="00D40091">
        <w:rPr>
          <w:rFonts w:ascii="Calibri" w:eastAsia="Calibri" w:hAnsi="Calibri" w:cs="Calibri"/>
        </w:rPr>
        <w:t xml:space="preserve">future </w:t>
      </w:r>
      <w:r w:rsidR="0F82EADB" w:rsidRPr="0F82EADB">
        <w:rPr>
          <w:rFonts w:ascii="Calibri" w:eastAsia="Calibri" w:hAnsi="Calibri" w:cs="Calibri"/>
        </w:rPr>
        <w:t xml:space="preserve">vehicles will </w:t>
      </w:r>
      <w:r w:rsidR="00D40091">
        <w:rPr>
          <w:rFonts w:ascii="Calibri" w:eastAsia="Calibri" w:hAnsi="Calibri" w:cs="Calibri"/>
        </w:rPr>
        <w:t>also bring responsibilities to avoid cybercrime, whilst taking the opportunities for better highway and traffic management. Strong regulation of the circular economy around batteries will be necessary</w:t>
      </w:r>
      <w:r w:rsidR="0F82EADB" w:rsidRPr="0F82EADB">
        <w:rPr>
          <w:rFonts w:ascii="Calibri" w:eastAsia="Calibri" w:hAnsi="Calibri" w:cs="Calibri"/>
        </w:rPr>
        <w:t>.</w:t>
      </w:r>
    </w:p>
    <w:p w14:paraId="2B0EEEA4" w14:textId="77777777" w:rsidR="00AE4EB6" w:rsidRPr="00AE4EB6" w:rsidRDefault="00AE4EB6" w:rsidP="00AE4EB6">
      <w:pPr>
        <w:rPr>
          <w:rFonts w:eastAsiaTheme="minorEastAsia"/>
        </w:rPr>
      </w:pPr>
      <w:r>
        <w:rPr>
          <w:rFonts w:eastAsiaTheme="minorEastAsia"/>
        </w:rPr>
        <w:t xml:space="preserve">In respect of C&amp;C, citizen-users of ECs will need only modest upskilling to change fuelling and driving practices, but major new skill sets are necessary in the sector to deliver </w:t>
      </w:r>
      <w:r w:rsidR="009D6CAA">
        <w:rPr>
          <w:rFonts w:eastAsiaTheme="minorEastAsia"/>
        </w:rPr>
        <w:t>charging infrastructure and to maintain the electric powertrain.</w:t>
      </w:r>
    </w:p>
    <w:p w14:paraId="76E5E5E3" w14:textId="77777777" w:rsidR="003F24D5" w:rsidRPr="00F50BCB" w:rsidRDefault="00AA5C15" w:rsidP="00F62761">
      <w:pPr>
        <w:pStyle w:val="Ttulo1"/>
        <w:numPr>
          <w:ilvl w:val="0"/>
          <w:numId w:val="0"/>
        </w:numPr>
      </w:pPr>
      <w:r>
        <w:lastRenderedPageBreak/>
        <w:t xml:space="preserve">Relevance of the </w:t>
      </w:r>
      <w:r w:rsidRPr="00AA5C15">
        <w:t xml:space="preserve">Framework </w:t>
      </w:r>
      <w:r>
        <w:t xml:space="preserve">for </w:t>
      </w:r>
      <w:r w:rsidR="00210435">
        <w:t>(De)Constructing Sustainable Mobility</w:t>
      </w:r>
    </w:p>
    <w:p w14:paraId="6CB12D46" w14:textId="77777777" w:rsidR="00210435" w:rsidRDefault="00AA5C15" w:rsidP="00AA5C15">
      <w:r>
        <w:t xml:space="preserve">The chapter could only </w:t>
      </w:r>
      <w:r w:rsidR="00592E68">
        <w:t xml:space="preserve">examine </w:t>
      </w:r>
      <w:r>
        <w:t xml:space="preserve">five of the many business models and new technologies currently emerging in the sector. Nonetheless, the SDG-derived framework emerges as a </w:t>
      </w:r>
      <w:r w:rsidR="00210435">
        <w:t xml:space="preserve">relevant </w:t>
      </w:r>
      <w:r>
        <w:t xml:space="preserve">tool to encourage holistic thinking </w:t>
      </w:r>
      <w:r w:rsidR="00210435">
        <w:t xml:space="preserve">and debate </w:t>
      </w:r>
      <w:r>
        <w:t>around the impacts of new technology business models in the mobility sector.</w:t>
      </w:r>
      <w:r w:rsidR="00450865">
        <w:t xml:space="preserve"> </w:t>
      </w:r>
      <w:r w:rsidR="00C35CD9">
        <w:t xml:space="preserve">The approach reduces the 17 goals to a smaller number of mobility-oriented dependencies. </w:t>
      </w:r>
      <w:r w:rsidR="00210435">
        <w:t>Its particular value is a practical one of building upon the leading set of internationally-endorsed sustainability criteria which are already in use by businesses and governments globally, and having high salience with citizens.</w:t>
      </w:r>
    </w:p>
    <w:p w14:paraId="6422C15A" w14:textId="77777777" w:rsidR="00C35CD9" w:rsidRDefault="00C35CD9" w:rsidP="00C35CD9">
      <w:r>
        <w:t>The specific assessments provided here are provisional, and no doubt partial. However, a notable concluding observation from the indicative application presented here is that the exercise underlines how wide-reaching change in transport supply, as a derived demand, can be. Most of the cases would have positive and/or negative consequences for most of the 17 SDGs. However, it was notable that the two technology substitution cases (HGV-H</w:t>
      </w:r>
      <w:r w:rsidRPr="00A23416">
        <w:rPr>
          <w:vertAlign w:val="subscript"/>
        </w:rPr>
        <w:t>2</w:t>
      </w:r>
      <w:r>
        <w:t xml:space="preserve"> and EC), as well as avoiding the need for behaviour change – indeed this is the intention of substitution – also offered little in respect of altering the dependencies connected to subsistence. In other words, they make little difference for policy-makers seeking to enhance access to food, water, energy, healthcare, spaces for wellbeing, or education. The one exception here was ‘employment’ and even here the change is through altering the nature, and perhaps increasing the quantity, of employment in the sector, so the relationship is a secondary one, rather than through a spatial change in labour markets due to new transport services.</w:t>
      </w:r>
    </w:p>
    <w:p w14:paraId="24607B54" w14:textId="77777777" w:rsidR="00C35CD9" w:rsidRDefault="00C35CD9" w:rsidP="00C35CD9">
      <w:r>
        <w:t xml:space="preserve">The three cases offering more ‘disruptive’ change, deploying more radical technologies and requiring more behavioural change would tend to affect a wider range of dependencies. Here, the changes to the more fundamental SDGs of subsistence could be important: UAVs, for example, might be a way of transporting produce from remote African villages to the nearest market when the roads are impassable in the wet season, whilst MaaS could revolutionise access to healthcare in rural areas. </w:t>
      </w:r>
    </w:p>
    <w:p w14:paraId="246812FE" w14:textId="77777777" w:rsidR="00C35CD9" w:rsidRDefault="00C35CD9" w:rsidP="00C35CD9">
      <w:r>
        <w:t>In all cases the analyses identify a few clear and strong potential sustainability contributions, such as zero local noxious emissions, but in most cases the assessments are strongly conditional, subject to better evidence, or down to the net outcome of effects in different directions</w:t>
      </w:r>
      <w:r w:rsidRPr="007538BF">
        <w:t>. For example, reduced GHG emissions are generally subject to the means of generating the energy consumed</w:t>
      </w:r>
      <w:r>
        <w:t>, with generation occurring in another part of the economic system. E</w:t>
      </w:r>
      <w:r w:rsidRPr="007538BF">
        <w:t xml:space="preserve">nergy efficiency may be enhanced, but </w:t>
      </w:r>
      <w:r>
        <w:t xml:space="preserve">it may not </w:t>
      </w:r>
      <w:r w:rsidRPr="007538BF">
        <w:t>b</w:t>
      </w:r>
      <w:r>
        <w:t>e</w:t>
      </w:r>
      <w:r w:rsidRPr="007538BF">
        <w:t xml:space="preserve"> optimised</w:t>
      </w:r>
      <w:r>
        <w:t xml:space="preserve"> to the extent that would be achieved if external costs are given a higher weighting. R</w:t>
      </w:r>
      <w:r w:rsidRPr="007538BF">
        <w:t xml:space="preserve">educed noxious emissions in the local environment may be accompanied by more visual and physical intrusion, </w:t>
      </w:r>
      <w:r>
        <w:t xml:space="preserve">and poorer road safety, </w:t>
      </w:r>
      <w:r w:rsidRPr="007538BF">
        <w:t xml:space="preserve">if </w:t>
      </w:r>
      <w:r>
        <w:t xml:space="preserve">reductions in emissions are a factor in perpetuating </w:t>
      </w:r>
      <w:r w:rsidRPr="007538BF">
        <w:t xml:space="preserve">the dominance of car traffic </w:t>
      </w:r>
      <w:r>
        <w:t>in cities</w:t>
      </w:r>
      <w:r w:rsidRPr="007538BF">
        <w:t>.</w:t>
      </w:r>
    </w:p>
    <w:p w14:paraId="47AD6D12" w14:textId="77777777" w:rsidR="00210435" w:rsidRDefault="00C35CD9" w:rsidP="00AA5C15">
      <w:r>
        <w:t>Indeed, these latter uncertainties are examples of the wider principle that w</w:t>
      </w:r>
      <w:r w:rsidR="000F0B70">
        <w:t xml:space="preserve">hat constitutes </w:t>
      </w:r>
      <w:r w:rsidR="00210435">
        <w:t xml:space="preserve">responsible innovation </w:t>
      </w:r>
      <w:r w:rsidR="000F0B70">
        <w:t xml:space="preserve">at any one time </w:t>
      </w:r>
      <w:r w:rsidR="00210435">
        <w:t xml:space="preserve">is </w:t>
      </w:r>
      <w:r w:rsidR="000F0B70">
        <w:t xml:space="preserve">informed by partial and emergent scientific understanding of new technologies, and is always </w:t>
      </w:r>
      <w:r w:rsidR="00210435">
        <w:t>socially and political constituted</w:t>
      </w:r>
      <w:r w:rsidR="000F0B70">
        <w:t xml:space="preserve"> (</w:t>
      </w:r>
      <w:proofErr w:type="spellStart"/>
      <w:r w:rsidR="000F0B70">
        <w:t>Stilgoe</w:t>
      </w:r>
      <w:proofErr w:type="spellEnd"/>
      <w:r w:rsidR="000F0B70">
        <w:t xml:space="preserve"> et al., 2013). The SDG-referenced framework offers potential particularly to </w:t>
      </w:r>
      <w:r w:rsidR="00030AB7">
        <w:t xml:space="preserve">engage stakeholders in addressing, questioning and critiquing that construction, at a strategic level. As such it </w:t>
      </w:r>
      <w:r w:rsidR="000F0B70">
        <w:t xml:space="preserve">can only contribute to a wider architecture for effective governing innovation, </w:t>
      </w:r>
      <w:r w:rsidR="00030AB7">
        <w:t xml:space="preserve">in particularly one that embraces </w:t>
      </w:r>
      <w:r>
        <w:t xml:space="preserve">scientific study including </w:t>
      </w:r>
      <w:r w:rsidR="00030AB7">
        <w:t>quantitative evaluations of expected or actual outcomes against targets.</w:t>
      </w:r>
    </w:p>
    <w:p w14:paraId="633E1A5D" w14:textId="77777777" w:rsidR="00AA5C15" w:rsidRDefault="00C35CD9" w:rsidP="00AA5C15">
      <w:r>
        <w:t>Nonetheless, i</w:t>
      </w:r>
      <w:r w:rsidR="00030AB7">
        <w:t>n order to promote debate</w:t>
      </w:r>
      <w:r>
        <w:t>, interrogate claims</w:t>
      </w:r>
      <w:r w:rsidR="00030AB7">
        <w:t xml:space="preserve"> and bring tensions and inconsistencies to the surface, the framework provide</w:t>
      </w:r>
      <w:r w:rsidR="00290FF3">
        <w:t>s</w:t>
      </w:r>
      <w:r w:rsidR="00030AB7">
        <w:t xml:space="preserve"> business and policy actors in the mobility domain with an </w:t>
      </w:r>
      <w:r w:rsidR="00030AB7">
        <w:lastRenderedPageBreak/>
        <w:t xml:space="preserve">accessible operationalisation of the SDGs. </w:t>
      </w:r>
      <w:r w:rsidR="00AA5C15">
        <w:t>In doing so, it facilitates consideration beyond the immediate behavioural or technical implications to consider more fundamentally what major change in the transport sector could mean in terms of maintaining the basics of human life, and enabling the human race to actualise a higher level of collective wellbeing.</w:t>
      </w:r>
    </w:p>
    <w:p w14:paraId="60863EEB" w14:textId="77777777" w:rsidR="00C35CD9" w:rsidRDefault="00C35CD9" w:rsidP="00C35CD9">
      <w:r>
        <w:t>In practice, the approach would likely function best as an initial scoping analysis tool for policymakers or entrepreneurs wishing to clarify the wider sustainability implications of new business models and technologies, before identifying the most important dependencies in each case for more fundamental analysis. However, they provide a framework to test in broad terms whether sustainable mobility claims are a deep driver or superficial gloss for mobility innovations.</w:t>
      </w:r>
    </w:p>
    <w:p w14:paraId="1928B51C" w14:textId="77777777" w:rsidR="006A343C" w:rsidRDefault="006A343C" w:rsidP="00AA5C15"/>
    <w:p w14:paraId="49B8B0B0" w14:textId="77777777" w:rsidR="00A448DE" w:rsidRPr="00C21CCE" w:rsidRDefault="00A448DE" w:rsidP="00A448DE">
      <w:pPr>
        <w:pStyle w:val="Ttulo2"/>
        <w:rPr>
          <w:b/>
        </w:rPr>
      </w:pPr>
      <w:r w:rsidRPr="00A448DE">
        <w:t>Acknowledgements</w:t>
      </w:r>
    </w:p>
    <w:p w14:paraId="4D5F2EA5" w14:textId="77777777" w:rsidR="00A448DE" w:rsidRDefault="00A448DE" w:rsidP="00A448DE">
      <w:r>
        <w:t xml:space="preserve">The authors acknowledge the projects and funders within which the data used to develop the cases considered in this chapter were originally collected: CAPRI (Innovate UK 103288), </w:t>
      </w:r>
      <w:proofErr w:type="spellStart"/>
      <w:r>
        <w:t>CoDeZero</w:t>
      </w:r>
      <w:proofErr w:type="spellEnd"/>
      <w:r>
        <w:t xml:space="preserve"> and </w:t>
      </w:r>
      <w:proofErr w:type="spellStart"/>
      <w:r>
        <w:t>CRAFTeD</w:t>
      </w:r>
      <w:proofErr w:type="spellEnd"/>
      <w:r>
        <w:t xml:space="preserve"> (UK Engineering &amp; Physical Sciences Research Council), Project PID2020-116040RB-I00 (Spanish Ministry of Science and Innovation), and Project GPC-ED431B2022/10 (</w:t>
      </w:r>
      <w:proofErr w:type="spellStart"/>
      <w:r>
        <w:t>Xunta</w:t>
      </w:r>
      <w:proofErr w:type="spellEnd"/>
      <w:r>
        <w:t xml:space="preserve"> de Galicia)</w:t>
      </w:r>
      <w:r w:rsidR="008E4274" w:rsidRPr="008E4274">
        <w:t xml:space="preserve">, </w:t>
      </w:r>
      <w:r w:rsidR="008E4274">
        <w:t xml:space="preserve">WISE-ACT COST Action CA16222 and its WG3 </w:t>
      </w:r>
      <w:r w:rsidR="00C8211D">
        <w:t xml:space="preserve">activities </w:t>
      </w:r>
      <w:r w:rsidR="008E4274">
        <w:t xml:space="preserve">which </w:t>
      </w:r>
      <w:r w:rsidR="00C8211D">
        <w:t>were</w:t>
      </w:r>
      <w:r w:rsidR="008E4274">
        <w:t xml:space="preserve"> co-led by the two first chapter authors</w:t>
      </w:r>
      <w:r>
        <w:t>.</w:t>
      </w:r>
    </w:p>
    <w:p w14:paraId="578D608F" w14:textId="77777777" w:rsidR="00A448DE" w:rsidRDefault="00A448DE" w:rsidP="00AA5C15"/>
    <w:p w14:paraId="65BE2803" w14:textId="77777777" w:rsidR="0042620A" w:rsidRPr="0042620A" w:rsidRDefault="0042620A" w:rsidP="00AA2E4B">
      <w:pPr>
        <w:pStyle w:val="Ttulo2"/>
      </w:pPr>
      <w:r w:rsidRPr="0042620A">
        <w:t>References</w:t>
      </w:r>
    </w:p>
    <w:p w14:paraId="4B11E1AB" w14:textId="77777777" w:rsidR="00AA2E4B" w:rsidRPr="00AA2E4B" w:rsidRDefault="00AA2E4B" w:rsidP="007E3D04">
      <w:pPr>
        <w:spacing w:after="100" w:afterAutospacing="1"/>
        <w:rPr>
          <w:rFonts w:cstheme="minorHAnsi"/>
        </w:rPr>
      </w:pPr>
      <w:r w:rsidRPr="00AA2E4B">
        <w:rPr>
          <w:rFonts w:cstheme="minorHAnsi"/>
          <w:color w:val="222222"/>
        </w:rPr>
        <w:t xml:space="preserve">Abrar, M. M., Islam, R., &amp; </w:t>
      </w:r>
      <w:proofErr w:type="spellStart"/>
      <w:r w:rsidRPr="00AA2E4B">
        <w:rPr>
          <w:rFonts w:cstheme="minorHAnsi"/>
          <w:color w:val="222222"/>
        </w:rPr>
        <w:t>Shanto</w:t>
      </w:r>
      <w:proofErr w:type="spellEnd"/>
      <w:r w:rsidRPr="00AA2E4B">
        <w:rPr>
          <w:rFonts w:cstheme="minorHAnsi"/>
          <w:color w:val="222222"/>
        </w:rPr>
        <w:t>, M. A. H. (2020, October). An Autonomous Delivery Robot to Prevent the Spread of Coronavirus in Product Delivery System. In 2020 11th IEEE Annual Ubiquitous Computing, Electronics &amp; Mobile Communication Conference (UEMCON) (pp. 0461-0466). IEEE.</w:t>
      </w:r>
    </w:p>
    <w:p w14:paraId="080B2A27" w14:textId="77777777" w:rsidR="00AA2E4B" w:rsidRPr="00AA2E4B" w:rsidRDefault="00AA2E4B" w:rsidP="007E3D04">
      <w:pPr>
        <w:spacing w:afterAutospacing="1"/>
        <w:rPr>
          <w:rFonts w:eastAsia="Times New Roman" w:cstheme="minorHAnsi"/>
        </w:rPr>
      </w:pPr>
      <w:r w:rsidRPr="00AA2E4B">
        <w:rPr>
          <w:rFonts w:eastAsia="Times New Roman" w:cstheme="minorHAnsi"/>
        </w:rPr>
        <w:t xml:space="preserve">Ahmed, S., Adnan, M., Janssens, D. &amp; Wets, G. (2020). A personalized mobility based intervention to promote pro-environmental travel </w:t>
      </w:r>
      <w:proofErr w:type="spellStart"/>
      <w:r w:rsidRPr="00AA2E4B">
        <w:rPr>
          <w:rFonts w:eastAsia="Times New Roman" w:cstheme="minorHAnsi"/>
        </w:rPr>
        <w:t>behavior</w:t>
      </w:r>
      <w:proofErr w:type="spellEnd"/>
      <w:r w:rsidRPr="00AA2E4B">
        <w:rPr>
          <w:rFonts w:eastAsia="Times New Roman" w:cstheme="minorHAnsi"/>
        </w:rPr>
        <w:t xml:space="preserve">. </w:t>
      </w:r>
      <w:r w:rsidRPr="00AA2E4B">
        <w:rPr>
          <w:rFonts w:eastAsia="Times New Roman" w:cstheme="minorHAnsi"/>
          <w:i/>
          <w:iCs/>
        </w:rPr>
        <w:t>Sustainable Cities and Society</w:t>
      </w:r>
      <w:r w:rsidRPr="00AA2E4B">
        <w:rPr>
          <w:rFonts w:eastAsia="Times New Roman" w:cstheme="minorHAnsi"/>
        </w:rPr>
        <w:t>, 62, 102397</w:t>
      </w:r>
    </w:p>
    <w:p w14:paraId="2F5CC328" w14:textId="77777777" w:rsidR="00AA2E4B" w:rsidRPr="00F62761" w:rsidRDefault="00AA2E4B" w:rsidP="0F82EADB">
      <w:pPr>
        <w:spacing w:afterAutospacing="1"/>
        <w:rPr>
          <w:rFonts w:eastAsia="Times New Roman" w:cstheme="minorHAnsi"/>
          <w:lang w:val="fr-FR"/>
        </w:rPr>
      </w:pPr>
      <w:proofErr w:type="spellStart"/>
      <w:r w:rsidRPr="00AA2E4B">
        <w:rPr>
          <w:rFonts w:eastAsia="Times New Roman" w:cstheme="minorHAnsi"/>
        </w:rPr>
        <w:t>Alaerts</w:t>
      </w:r>
      <w:proofErr w:type="spellEnd"/>
      <w:r w:rsidRPr="00AA2E4B">
        <w:rPr>
          <w:rFonts w:eastAsia="Times New Roman" w:cstheme="minorHAnsi"/>
        </w:rPr>
        <w:t xml:space="preserve">, L., Van Acker, K., Rousseau, S., De Jaeger, S., Moraga, G., </w:t>
      </w:r>
      <w:proofErr w:type="spellStart"/>
      <w:r w:rsidRPr="00AA2E4B">
        <w:rPr>
          <w:rFonts w:eastAsia="Times New Roman" w:cstheme="minorHAnsi"/>
        </w:rPr>
        <w:t>Dewulf</w:t>
      </w:r>
      <w:proofErr w:type="spellEnd"/>
      <w:r w:rsidRPr="00AA2E4B">
        <w:rPr>
          <w:rFonts w:eastAsia="Times New Roman" w:cstheme="minorHAnsi"/>
        </w:rPr>
        <w:t xml:space="preserve">, J., De </w:t>
      </w:r>
      <w:proofErr w:type="spellStart"/>
      <w:r w:rsidRPr="00AA2E4B">
        <w:rPr>
          <w:rFonts w:eastAsia="Times New Roman" w:cstheme="minorHAnsi"/>
        </w:rPr>
        <w:t>Meester</w:t>
      </w:r>
      <w:proofErr w:type="spellEnd"/>
      <w:r w:rsidRPr="00AA2E4B">
        <w:rPr>
          <w:rFonts w:eastAsia="Times New Roman" w:cstheme="minorHAnsi"/>
        </w:rPr>
        <w:t xml:space="preserve">, S., Van </w:t>
      </w:r>
      <w:proofErr w:type="spellStart"/>
      <w:r w:rsidRPr="00AA2E4B">
        <w:rPr>
          <w:rFonts w:eastAsia="Times New Roman" w:cstheme="minorHAnsi"/>
        </w:rPr>
        <w:t>Passel</w:t>
      </w:r>
      <w:proofErr w:type="spellEnd"/>
      <w:r w:rsidRPr="00AA2E4B">
        <w:rPr>
          <w:rFonts w:eastAsia="Times New Roman" w:cstheme="minorHAnsi"/>
        </w:rPr>
        <w:t xml:space="preserve">, S., </w:t>
      </w:r>
      <w:proofErr w:type="spellStart"/>
      <w:r w:rsidRPr="00AA2E4B">
        <w:rPr>
          <w:rFonts w:eastAsia="Times New Roman" w:cstheme="minorHAnsi"/>
        </w:rPr>
        <w:t>Compernolle</w:t>
      </w:r>
      <w:proofErr w:type="spellEnd"/>
      <w:r w:rsidRPr="00AA2E4B">
        <w:rPr>
          <w:rFonts w:eastAsia="Times New Roman" w:cstheme="minorHAnsi"/>
        </w:rPr>
        <w:t xml:space="preserve">, T., </w:t>
      </w:r>
      <w:proofErr w:type="spellStart"/>
      <w:r w:rsidRPr="00AA2E4B">
        <w:rPr>
          <w:rFonts w:eastAsia="Times New Roman" w:cstheme="minorHAnsi"/>
        </w:rPr>
        <w:t>Bachus</w:t>
      </w:r>
      <w:proofErr w:type="spellEnd"/>
      <w:r w:rsidRPr="00AA2E4B">
        <w:rPr>
          <w:rFonts w:eastAsia="Times New Roman" w:cstheme="minorHAnsi"/>
        </w:rPr>
        <w:t xml:space="preserve">, K., </w:t>
      </w:r>
      <w:proofErr w:type="spellStart"/>
      <w:r w:rsidRPr="00AA2E4B">
        <w:rPr>
          <w:rFonts w:eastAsia="Times New Roman" w:cstheme="minorHAnsi"/>
        </w:rPr>
        <w:t>Vrancken</w:t>
      </w:r>
      <w:proofErr w:type="spellEnd"/>
      <w:r w:rsidRPr="00AA2E4B">
        <w:rPr>
          <w:rFonts w:eastAsia="Times New Roman" w:cstheme="minorHAnsi"/>
        </w:rPr>
        <w:t xml:space="preserve">, K., &amp; </w:t>
      </w:r>
      <w:proofErr w:type="spellStart"/>
      <w:r w:rsidRPr="00AA2E4B">
        <w:rPr>
          <w:rFonts w:eastAsia="Times New Roman" w:cstheme="minorHAnsi"/>
        </w:rPr>
        <w:t>Eyckmans</w:t>
      </w:r>
      <w:proofErr w:type="spellEnd"/>
      <w:r w:rsidRPr="00AA2E4B">
        <w:rPr>
          <w:rFonts w:eastAsia="Times New Roman" w:cstheme="minorHAnsi"/>
        </w:rPr>
        <w:t xml:space="preserve">, J. (2019). Towards a more direct policy feedback in circular economy monitoring via a societal needs perspective. </w:t>
      </w:r>
      <w:proofErr w:type="spellStart"/>
      <w:r w:rsidRPr="00F62761">
        <w:rPr>
          <w:rFonts w:eastAsia="Times New Roman" w:cstheme="minorHAnsi"/>
          <w:lang w:val="fr-FR"/>
        </w:rPr>
        <w:t>Resources</w:t>
      </w:r>
      <w:proofErr w:type="spellEnd"/>
      <w:r w:rsidRPr="00F62761">
        <w:rPr>
          <w:rFonts w:eastAsia="Times New Roman" w:cstheme="minorHAnsi"/>
          <w:lang w:val="fr-FR"/>
        </w:rPr>
        <w:t xml:space="preserve">, </w:t>
      </w:r>
      <w:r w:rsidRPr="00F62761">
        <w:rPr>
          <w:rFonts w:eastAsia="Times New Roman" w:cstheme="minorHAnsi"/>
          <w:i/>
          <w:iCs/>
          <w:lang w:val="fr-FR"/>
        </w:rPr>
        <w:t xml:space="preserve">Conservation and </w:t>
      </w:r>
      <w:proofErr w:type="spellStart"/>
      <w:r w:rsidRPr="00F62761">
        <w:rPr>
          <w:rFonts w:eastAsia="Times New Roman" w:cstheme="minorHAnsi"/>
          <w:i/>
          <w:iCs/>
          <w:lang w:val="fr-FR"/>
        </w:rPr>
        <w:t>Recycling</w:t>
      </w:r>
      <w:proofErr w:type="spellEnd"/>
      <w:r w:rsidRPr="00F62761">
        <w:rPr>
          <w:rFonts w:eastAsia="Times New Roman" w:cstheme="minorHAnsi"/>
          <w:lang w:val="fr-FR"/>
        </w:rPr>
        <w:t>, 149, 363–371.</w:t>
      </w:r>
    </w:p>
    <w:p w14:paraId="14B796B9" w14:textId="77777777" w:rsidR="00AA2E4B" w:rsidRPr="00AA2E4B" w:rsidRDefault="00AA2E4B" w:rsidP="007E3D04">
      <w:pPr>
        <w:spacing w:afterAutospacing="1"/>
        <w:rPr>
          <w:rFonts w:eastAsia="Times New Roman" w:cstheme="minorHAnsi"/>
        </w:rPr>
      </w:pPr>
      <w:proofErr w:type="spellStart"/>
      <w:r w:rsidRPr="00F62761">
        <w:rPr>
          <w:rFonts w:eastAsia="Times New Roman" w:cstheme="minorHAnsi"/>
          <w:lang w:val="fr-FR"/>
        </w:rPr>
        <w:t>Athanasopoulou</w:t>
      </w:r>
      <w:proofErr w:type="spellEnd"/>
      <w:r w:rsidRPr="00F62761">
        <w:rPr>
          <w:rFonts w:eastAsia="Times New Roman" w:cstheme="minorHAnsi"/>
          <w:lang w:val="fr-FR"/>
        </w:rPr>
        <w:t xml:space="preserve">, A., de </w:t>
      </w:r>
      <w:proofErr w:type="spellStart"/>
      <w:r w:rsidRPr="00F62761">
        <w:rPr>
          <w:rFonts w:eastAsia="Times New Roman" w:cstheme="minorHAnsi"/>
          <w:lang w:val="fr-FR"/>
        </w:rPr>
        <w:t>Reuver</w:t>
      </w:r>
      <w:proofErr w:type="spellEnd"/>
      <w:r w:rsidRPr="00F62761">
        <w:rPr>
          <w:rFonts w:eastAsia="Times New Roman" w:cstheme="minorHAnsi"/>
          <w:lang w:val="fr-FR"/>
        </w:rPr>
        <w:t xml:space="preserve">, M., </w:t>
      </w:r>
      <w:proofErr w:type="spellStart"/>
      <w:r w:rsidRPr="00F62761">
        <w:rPr>
          <w:rFonts w:eastAsia="Times New Roman" w:cstheme="minorHAnsi"/>
          <w:lang w:val="fr-FR"/>
        </w:rPr>
        <w:t>Nikou</w:t>
      </w:r>
      <w:proofErr w:type="spellEnd"/>
      <w:r w:rsidRPr="00F62761">
        <w:rPr>
          <w:rFonts w:eastAsia="Times New Roman" w:cstheme="minorHAnsi"/>
          <w:lang w:val="fr-FR"/>
        </w:rPr>
        <w:t xml:space="preserve">, S., &amp; </w:t>
      </w:r>
      <w:proofErr w:type="spellStart"/>
      <w:r w:rsidRPr="00F62761">
        <w:rPr>
          <w:rFonts w:eastAsia="Times New Roman" w:cstheme="minorHAnsi"/>
          <w:lang w:val="fr-FR"/>
        </w:rPr>
        <w:t>Bouwman</w:t>
      </w:r>
      <w:proofErr w:type="spellEnd"/>
      <w:r w:rsidRPr="00F62761">
        <w:rPr>
          <w:rFonts w:eastAsia="Times New Roman" w:cstheme="minorHAnsi"/>
          <w:lang w:val="fr-FR"/>
        </w:rPr>
        <w:t xml:space="preserve">, H. (2019). </w:t>
      </w:r>
      <w:r w:rsidRPr="00AA2E4B">
        <w:rPr>
          <w:rFonts w:eastAsia="Times New Roman" w:cstheme="minorHAnsi"/>
        </w:rPr>
        <w:t xml:space="preserve">What technology enabled services impact business models in the automotive industry? An exploratory study. </w:t>
      </w:r>
      <w:r w:rsidRPr="00AA2E4B">
        <w:rPr>
          <w:rFonts w:eastAsia="Times New Roman" w:cstheme="minorHAnsi"/>
          <w:i/>
          <w:iCs/>
        </w:rPr>
        <w:t>Futures</w:t>
      </w:r>
      <w:r w:rsidRPr="00AA2E4B">
        <w:rPr>
          <w:rFonts w:eastAsia="Times New Roman" w:cstheme="minorHAnsi"/>
        </w:rPr>
        <w:t>, 109: 73-83.</w:t>
      </w:r>
    </w:p>
    <w:p w14:paraId="621DEBBB" w14:textId="77777777" w:rsidR="00AA2E4B" w:rsidRPr="00AA2E4B" w:rsidRDefault="00AA2E4B" w:rsidP="007E3D04">
      <w:pPr>
        <w:spacing w:after="100" w:afterAutospacing="1"/>
        <w:rPr>
          <w:rFonts w:cstheme="minorHAnsi"/>
        </w:rPr>
      </w:pPr>
      <w:proofErr w:type="spellStart"/>
      <w:r w:rsidRPr="00AA2E4B">
        <w:rPr>
          <w:rFonts w:cstheme="minorHAnsi"/>
          <w:color w:val="222222"/>
        </w:rPr>
        <w:t>Aurambout</w:t>
      </w:r>
      <w:proofErr w:type="spellEnd"/>
      <w:r w:rsidRPr="00AA2E4B">
        <w:rPr>
          <w:rFonts w:cstheme="minorHAnsi"/>
          <w:color w:val="222222"/>
        </w:rPr>
        <w:t xml:space="preserve">, J. P., </w:t>
      </w:r>
      <w:proofErr w:type="spellStart"/>
      <w:r w:rsidRPr="00AA2E4B">
        <w:rPr>
          <w:rFonts w:cstheme="minorHAnsi"/>
          <w:color w:val="222222"/>
        </w:rPr>
        <w:t>Gkoumas</w:t>
      </w:r>
      <w:proofErr w:type="spellEnd"/>
      <w:r w:rsidRPr="00AA2E4B">
        <w:rPr>
          <w:rFonts w:cstheme="minorHAnsi"/>
          <w:color w:val="222222"/>
        </w:rPr>
        <w:t xml:space="preserve">, K., &amp; </w:t>
      </w:r>
      <w:proofErr w:type="spellStart"/>
      <w:r w:rsidRPr="00AA2E4B">
        <w:rPr>
          <w:rFonts w:cstheme="minorHAnsi"/>
          <w:color w:val="222222"/>
        </w:rPr>
        <w:t>Ciuffo</w:t>
      </w:r>
      <w:proofErr w:type="spellEnd"/>
      <w:r w:rsidRPr="00AA2E4B">
        <w:rPr>
          <w:rFonts w:cstheme="minorHAnsi"/>
          <w:color w:val="222222"/>
        </w:rPr>
        <w:t>, B. (2019). Last mile delivery by drones: An estimation of viable market potential and access to citizens across European cities. </w:t>
      </w:r>
      <w:r w:rsidRPr="00F62761">
        <w:rPr>
          <w:rFonts w:cstheme="minorHAnsi"/>
          <w:i/>
          <w:iCs/>
          <w:color w:val="222222"/>
        </w:rPr>
        <w:t>European Transport Research Review</w:t>
      </w:r>
      <w:r w:rsidRPr="00AA2E4B">
        <w:rPr>
          <w:rFonts w:cstheme="minorHAnsi"/>
          <w:color w:val="222222"/>
        </w:rPr>
        <w:t>, 11(1), 1-21.</w:t>
      </w:r>
    </w:p>
    <w:p w14:paraId="30E94B70" w14:textId="77777777" w:rsidR="00B061C7" w:rsidRDefault="00B061C7" w:rsidP="007E3D04">
      <w:pPr>
        <w:spacing w:afterAutospacing="1"/>
        <w:rPr>
          <w:rFonts w:eastAsia="Times New Roman" w:cstheme="minorHAnsi"/>
        </w:rPr>
      </w:pPr>
      <w:proofErr w:type="spellStart"/>
      <w:r w:rsidRPr="00B061C7">
        <w:rPr>
          <w:rFonts w:eastAsia="Times New Roman" w:cstheme="minorHAnsi"/>
        </w:rPr>
        <w:t>Bakermans</w:t>
      </w:r>
      <w:proofErr w:type="spellEnd"/>
      <w:r w:rsidRPr="00B061C7">
        <w:rPr>
          <w:rFonts w:eastAsia="Times New Roman" w:cstheme="minorHAnsi"/>
        </w:rPr>
        <w:t xml:space="preserve"> B.A., “Truck Platooning, Enablers, Barriers, Potential and Impacts”, Transport, Infrastructure and Logistics Master thesis, Delft University of Technology, The Netherlands, August 2016</w:t>
      </w:r>
    </w:p>
    <w:p w14:paraId="00FFCDC0" w14:textId="77777777" w:rsidR="00AA2E4B" w:rsidRPr="00AA2E4B" w:rsidRDefault="00AA2E4B" w:rsidP="007E3D04">
      <w:pPr>
        <w:spacing w:afterAutospacing="1"/>
        <w:rPr>
          <w:rFonts w:eastAsia="Times New Roman" w:cstheme="minorHAnsi"/>
        </w:rPr>
      </w:pPr>
      <w:r w:rsidRPr="00AA2E4B">
        <w:rPr>
          <w:rFonts w:eastAsia="Times New Roman" w:cstheme="minorHAnsi"/>
        </w:rPr>
        <w:lastRenderedPageBreak/>
        <w:t>Berg, I., Rakoff, H., Shaw, J., &amp; Smith, S. (2020). System Dynamics Perspective for Automated Vehicle Impact Assessment, Volpe National Transportation Systems Center – FHWA Report, Intelligent Transportation Systems JPO-20-809, US-DOT.</w:t>
      </w:r>
    </w:p>
    <w:p w14:paraId="7084EBDB" w14:textId="77777777" w:rsidR="00AA2E4B" w:rsidRPr="00AA2E4B" w:rsidRDefault="00AA2E4B" w:rsidP="007E3D04">
      <w:pPr>
        <w:spacing w:after="100" w:afterAutospacing="1"/>
        <w:rPr>
          <w:rFonts w:cstheme="minorHAnsi"/>
          <w:color w:val="222222"/>
          <w:shd w:val="clear" w:color="auto" w:fill="FFFFFF"/>
        </w:rPr>
      </w:pPr>
      <w:proofErr w:type="spellStart"/>
      <w:r w:rsidRPr="00AA2E4B">
        <w:rPr>
          <w:rFonts w:cstheme="minorHAnsi"/>
          <w:color w:val="222222"/>
        </w:rPr>
        <w:t>Bezdek</w:t>
      </w:r>
      <w:proofErr w:type="spellEnd"/>
      <w:r w:rsidRPr="00AA2E4B">
        <w:rPr>
          <w:rFonts w:cstheme="minorHAnsi"/>
          <w:color w:val="222222"/>
        </w:rPr>
        <w:t>, R. H. (2019). The hydrogen economy and jobs of the future. </w:t>
      </w:r>
      <w:r w:rsidRPr="00F62761">
        <w:rPr>
          <w:rFonts w:cstheme="minorHAnsi"/>
          <w:i/>
          <w:iCs/>
          <w:color w:val="222222"/>
        </w:rPr>
        <w:t>Renewable Energy and Environmental Sustainability</w:t>
      </w:r>
      <w:r w:rsidRPr="00AA2E4B">
        <w:rPr>
          <w:rFonts w:cstheme="minorHAnsi"/>
          <w:color w:val="222222"/>
        </w:rPr>
        <w:t>, 4, 1.</w:t>
      </w:r>
    </w:p>
    <w:p w14:paraId="365917BD" w14:textId="77777777" w:rsidR="00AA2E4B" w:rsidRPr="00AA2E4B" w:rsidRDefault="00AA2E4B" w:rsidP="0F82EADB">
      <w:pPr>
        <w:spacing w:afterAutospacing="1"/>
        <w:rPr>
          <w:rFonts w:cstheme="minorHAnsi"/>
          <w:color w:val="222222"/>
        </w:rPr>
      </w:pPr>
      <w:r w:rsidRPr="00AA2E4B">
        <w:rPr>
          <w:rFonts w:cstheme="minorHAnsi"/>
          <w:color w:val="222222"/>
        </w:rPr>
        <w:t xml:space="preserve">Black, C., Parkhurst, G., &amp; </w:t>
      </w:r>
      <w:proofErr w:type="spellStart"/>
      <w:r w:rsidRPr="00AA2E4B">
        <w:rPr>
          <w:rFonts w:cstheme="minorHAnsi"/>
          <w:color w:val="222222"/>
        </w:rPr>
        <w:t>Shergold</w:t>
      </w:r>
      <w:proofErr w:type="spellEnd"/>
      <w:r w:rsidRPr="00AA2E4B">
        <w:rPr>
          <w:rFonts w:cstheme="minorHAnsi"/>
          <w:color w:val="222222"/>
        </w:rPr>
        <w:t xml:space="preserve">, I. (2016). The EVIDENCE project: Origins, review findings, and prospects for enhanced urban transport appraisal and evaluation in the future. </w:t>
      </w:r>
      <w:r w:rsidRPr="00AA2E4B">
        <w:rPr>
          <w:rFonts w:cstheme="minorHAnsi"/>
          <w:i/>
          <w:iCs/>
          <w:color w:val="222222"/>
        </w:rPr>
        <w:t>World Transport Policy and Practice</w:t>
      </w:r>
      <w:r w:rsidRPr="00AA2E4B">
        <w:rPr>
          <w:rFonts w:cstheme="minorHAnsi"/>
          <w:color w:val="222222"/>
        </w:rPr>
        <w:t>, 22(1/2), 6–11.</w:t>
      </w:r>
    </w:p>
    <w:p w14:paraId="12F07153" w14:textId="4B4572EA" w:rsidR="00AA2E4B" w:rsidRPr="00AA2E4B" w:rsidRDefault="00AA2E4B" w:rsidP="0F82EADB">
      <w:pPr>
        <w:rPr>
          <w:rFonts w:cstheme="minorHAnsi"/>
          <w:color w:val="222222"/>
        </w:rPr>
      </w:pPr>
      <w:proofErr w:type="spellStart"/>
      <w:r w:rsidRPr="00AA2E4B">
        <w:rPr>
          <w:rFonts w:cstheme="minorHAnsi"/>
          <w:color w:val="222222"/>
        </w:rPr>
        <w:t>Börjesson</w:t>
      </w:r>
      <w:proofErr w:type="spellEnd"/>
      <w:r w:rsidRPr="00AA2E4B">
        <w:rPr>
          <w:rFonts w:cstheme="minorHAnsi"/>
          <w:color w:val="222222"/>
        </w:rPr>
        <w:t xml:space="preserve">, M., Johansson, M., &amp; </w:t>
      </w:r>
      <w:proofErr w:type="spellStart"/>
      <w:r w:rsidRPr="00AA2E4B">
        <w:rPr>
          <w:rFonts w:cstheme="minorHAnsi"/>
          <w:color w:val="222222"/>
        </w:rPr>
        <w:t>Kågeson</w:t>
      </w:r>
      <w:proofErr w:type="spellEnd"/>
      <w:r w:rsidRPr="00AA2E4B">
        <w:rPr>
          <w:rFonts w:cstheme="minorHAnsi"/>
          <w:color w:val="222222"/>
        </w:rPr>
        <w:t xml:space="preserve"> P. (2021). The economics of electric roads. </w:t>
      </w:r>
      <w:r w:rsidRPr="00AA2E4B">
        <w:rPr>
          <w:rFonts w:cstheme="minorHAnsi"/>
          <w:i/>
          <w:iCs/>
          <w:color w:val="222222"/>
        </w:rPr>
        <w:t xml:space="preserve">Transportation </w:t>
      </w:r>
      <w:r w:rsidRPr="00F62761">
        <w:rPr>
          <w:rFonts w:eastAsiaTheme="minorEastAsia" w:cstheme="minorHAnsi"/>
          <w:i/>
          <w:iCs/>
        </w:rPr>
        <w:t>Research</w:t>
      </w:r>
      <w:r w:rsidRPr="00AA2E4B">
        <w:rPr>
          <w:rFonts w:cstheme="minorHAnsi"/>
          <w:i/>
          <w:iCs/>
          <w:color w:val="222222"/>
        </w:rPr>
        <w:t>: Part C</w:t>
      </w:r>
      <w:r w:rsidR="00926663">
        <w:rPr>
          <w:rFonts w:cstheme="minorHAnsi"/>
          <w:color w:val="222222"/>
          <w:lang w:val="mt-MT"/>
        </w:rPr>
        <w:t xml:space="preserve"> </w:t>
      </w:r>
      <w:r w:rsidR="00926663">
        <w:rPr>
          <w:rFonts w:cstheme="minorHAnsi"/>
          <w:i/>
          <w:iCs/>
          <w:color w:val="222222"/>
          <w:lang w:val="mt-MT"/>
        </w:rPr>
        <w:t xml:space="preserve">Emerging Technologies, </w:t>
      </w:r>
      <w:r w:rsidRPr="00AA2E4B">
        <w:rPr>
          <w:rFonts w:cstheme="minorHAnsi"/>
          <w:color w:val="222222"/>
        </w:rPr>
        <w:t>125</w:t>
      </w:r>
      <w:r w:rsidR="00926663">
        <w:rPr>
          <w:rFonts w:cstheme="minorHAnsi"/>
          <w:color w:val="222222"/>
          <w:lang w:val="mt-MT"/>
        </w:rPr>
        <w:t>, 102990.</w:t>
      </w:r>
    </w:p>
    <w:p w14:paraId="2D383174" w14:textId="77777777" w:rsidR="00AA2E4B" w:rsidRPr="00AA2E4B" w:rsidRDefault="00AA2E4B" w:rsidP="0042620A">
      <w:pPr>
        <w:rPr>
          <w:rFonts w:eastAsiaTheme="minorEastAsia" w:cstheme="minorHAnsi"/>
        </w:rPr>
      </w:pPr>
      <w:r w:rsidRPr="00AA2E4B">
        <w:rPr>
          <w:rFonts w:eastAsiaTheme="minorEastAsia" w:cstheme="minorHAnsi"/>
        </w:rPr>
        <w:t xml:space="preserve">Bouton, S, </w:t>
      </w:r>
      <w:proofErr w:type="spellStart"/>
      <w:r w:rsidRPr="00AA2E4B">
        <w:rPr>
          <w:rFonts w:eastAsiaTheme="minorEastAsia" w:cstheme="minorHAnsi"/>
        </w:rPr>
        <w:t>Knupfer</w:t>
      </w:r>
      <w:proofErr w:type="spellEnd"/>
      <w:r w:rsidRPr="00AA2E4B">
        <w:rPr>
          <w:rFonts w:eastAsiaTheme="minorEastAsia" w:cstheme="minorHAnsi"/>
        </w:rPr>
        <w:t xml:space="preserve">, S, </w:t>
      </w:r>
      <w:proofErr w:type="spellStart"/>
      <w:r w:rsidRPr="00AA2E4B">
        <w:rPr>
          <w:rFonts w:eastAsiaTheme="minorEastAsia" w:cstheme="minorHAnsi"/>
        </w:rPr>
        <w:t>Mihov</w:t>
      </w:r>
      <w:proofErr w:type="spellEnd"/>
      <w:r w:rsidRPr="00AA2E4B">
        <w:rPr>
          <w:rFonts w:eastAsiaTheme="minorEastAsia" w:cstheme="minorHAnsi"/>
        </w:rPr>
        <w:t>, I and Swartz, S (2015) Urban mobility at a tipping point. McKinsey Center for Business and Environment.</w:t>
      </w:r>
    </w:p>
    <w:p w14:paraId="5FCE00BC" w14:textId="77777777" w:rsidR="00926663" w:rsidRPr="00F62761" w:rsidRDefault="00640734" w:rsidP="00F62761">
      <w:pPr>
        <w:rPr>
          <w:rFonts w:eastAsiaTheme="minorEastAsia" w:cstheme="minorHAnsi"/>
        </w:rPr>
      </w:pPr>
      <w:r w:rsidRPr="00F62761">
        <w:rPr>
          <w:rFonts w:eastAsiaTheme="minorEastAsia" w:cstheme="minorHAnsi"/>
        </w:rPr>
        <w:t xml:space="preserve">Cabanelas, P., Parkhurst, G., </w:t>
      </w:r>
      <w:proofErr w:type="spellStart"/>
      <w:r w:rsidRPr="00F62761">
        <w:rPr>
          <w:rFonts w:eastAsiaTheme="minorEastAsia" w:cstheme="minorHAnsi"/>
        </w:rPr>
        <w:t>Thomopoulos</w:t>
      </w:r>
      <w:proofErr w:type="spellEnd"/>
      <w:r w:rsidRPr="00F62761">
        <w:rPr>
          <w:rFonts w:eastAsiaTheme="minorEastAsia" w:cstheme="minorHAnsi"/>
        </w:rPr>
        <w:t xml:space="preserve">, N., </w:t>
      </w:r>
      <w:proofErr w:type="spellStart"/>
      <w:r w:rsidRPr="00F62761">
        <w:rPr>
          <w:rFonts w:eastAsiaTheme="minorEastAsia" w:cstheme="minorHAnsi"/>
        </w:rPr>
        <w:t>Lampón</w:t>
      </w:r>
      <w:proofErr w:type="spellEnd"/>
      <w:r w:rsidRPr="00F62761">
        <w:rPr>
          <w:rFonts w:eastAsiaTheme="minorEastAsia" w:cstheme="minorHAnsi"/>
        </w:rPr>
        <w:t xml:space="preserve">, J.F. (2023). A dynamic capability evaluation of emerging business models for new mobility. </w:t>
      </w:r>
      <w:r w:rsidRPr="00F62761">
        <w:rPr>
          <w:rFonts w:eastAsiaTheme="minorEastAsia" w:cstheme="minorHAnsi"/>
          <w:i/>
          <w:iCs/>
        </w:rPr>
        <w:t>Research in Transportation Business and Management</w:t>
      </w:r>
      <w:r w:rsidR="00926663" w:rsidRPr="00F62761">
        <w:rPr>
          <w:rFonts w:eastAsiaTheme="minorEastAsia" w:cstheme="minorHAnsi"/>
        </w:rPr>
        <w:t>, 47, 100964</w:t>
      </w:r>
    </w:p>
    <w:p w14:paraId="633E68F9" w14:textId="1D4740A8" w:rsidR="00AA2E4B" w:rsidRPr="00AA2E4B" w:rsidRDefault="001C0312" w:rsidP="00A42A5C">
      <w:pPr>
        <w:rPr>
          <w:rFonts w:cstheme="minorHAnsi"/>
        </w:rPr>
      </w:pPr>
      <w:r w:rsidRPr="001C0312">
        <w:rPr>
          <w:rFonts w:cstheme="minorHAnsi"/>
        </w:rPr>
        <w:t xml:space="preserve">Calvert, T., Crawford, F., Parkhurst, G., Parkin, J., (2022). Perceived accessibility of employment sites by jobseekers and the potential relevance of employer-subsidised Demand Responsive Transport to enhance the commute. </w:t>
      </w:r>
      <w:r w:rsidRPr="00F62761">
        <w:rPr>
          <w:rFonts w:cstheme="minorHAnsi"/>
          <w:i/>
          <w:iCs/>
        </w:rPr>
        <w:t>Cities</w:t>
      </w:r>
      <w:r w:rsidRPr="001C0312">
        <w:rPr>
          <w:rFonts w:cstheme="minorHAnsi"/>
        </w:rPr>
        <w:t>, 130, 103872</w:t>
      </w:r>
      <w:r w:rsidR="00AA2E4B" w:rsidRPr="00AA2E4B">
        <w:rPr>
          <w:rFonts w:cstheme="minorHAnsi"/>
        </w:rPr>
        <w:t>.</w:t>
      </w:r>
    </w:p>
    <w:p w14:paraId="6C4E0A45" w14:textId="77777777" w:rsidR="00AA2E4B" w:rsidRDefault="00AA2E4B" w:rsidP="007E3D04">
      <w:pPr>
        <w:spacing w:afterAutospacing="1"/>
        <w:rPr>
          <w:rFonts w:eastAsia="Times New Roman" w:cstheme="minorHAnsi"/>
        </w:rPr>
      </w:pPr>
      <w:r w:rsidRPr="00AA2E4B">
        <w:rPr>
          <w:rFonts w:eastAsia="Times New Roman" w:cstheme="minorHAnsi"/>
        </w:rPr>
        <w:t xml:space="preserve">Calvert, T., Ward, S., </w:t>
      </w:r>
      <w:proofErr w:type="spellStart"/>
      <w:r w:rsidRPr="00AA2E4B">
        <w:rPr>
          <w:rFonts w:eastAsia="Times New Roman" w:cstheme="minorHAnsi"/>
        </w:rPr>
        <w:t>Shergold</w:t>
      </w:r>
      <w:proofErr w:type="spellEnd"/>
      <w:r w:rsidRPr="00AA2E4B">
        <w:rPr>
          <w:rFonts w:eastAsia="Times New Roman" w:cstheme="minorHAnsi"/>
        </w:rPr>
        <w:t>, I., Parkhurst, G., &amp; Jain, J. (2019). Business models being trialled in the shared-ride on-demand niche, and challenges and barriers encountered. UTSG 51st Annual Conference, Leeds, UK.</w:t>
      </w:r>
    </w:p>
    <w:p w14:paraId="08ECF5E7" w14:textId="77777777" w:rsidR="00AA2E4B" w:rsidRPr="00AA2E4B" w:rsidRDefault="00AA2E4B" w:rsidP="0F82EADB">
      <w:pPr>
        <w:spacing w:afterAutospacing="1"/>
        <w:rPr>
          <w:rFonts w:eastAsia="Times New Roman" w:cstheme="minorHAnsi"/>
          <w:color w:val="000000" w:themeColor="text1"/>
          <w:lang w:val="en-US"/>
        </w:rPr>
      </w:pPr>
      <w:r w:rsidRPr="00AA2E4B">
        <w:rPr>
          <w:rFonts w:eastAsia="Times New Roman" w:cstheme="minorHAnsi"/>
          <w:color w:val="000000" w:themeColor="text1"/>
        </w:rPr>
        <w:t xml:space="preserve">Caputo, A., </w:t>
      </w:r>
      <w:proofErr w:type="spellStart"/>
      <w:r w:rsidRPr="00AA2E4B">
        <w:rPr>
          <w:rFonts w:eastAsia="Times New Roman" w:cstheme="minorHAnsi"/>
          <w:color w:val="000000" w:themeColor="text1"/>
        </w:rPr>
        <w:t>Pizzi</w:t>
      </w:r>
      <w:proofErr w:type="spellEnd"/>
      <w:r w:rsidRPr="00AA2E4B">
        <w:rPr>
          <w:rFonts w:eastAsia="Times New Roman" w:cstheme="minorHAnsi"/>
          <w:color w:val="000000" w:themeColor="text1"/>
        </w:rPr>
        <w:t xml:space="preserve">, S., Pellegrini, M.M, &amp; </w:t>
      </w:r>
      <w:proofErr w:type="spellStart"/>
      <w:r w:rsidRPr="00AA2E4B">
        <w:rPr>
          <w:rFonts w:eastAsia="Times New Roman" w:cstheme="minorHAnsi"/>
          <w:color w:val="000000" w:themeColor="text1"/>
        </w:rPr>
        <w:t>Dabić</w:t>
      </w:r>
      <w:proofErr w:type="spellEnd"/>
      <w:r w:rsidRPr="00AA2E4B">
        <w:rPr>
          <w:rFonts w:eastAsia="Times New Roman" w:cstheme="minorHAnsi"/>
          <w:color w:val="000000" w:themeColor="text1"/>
        </w:rPr>
        <w:t xml:space="preserve">, M. (2021). </w:t>
      </w:r>
      <w:r w:rsidRPr="00AA2E4B">
        <w:rPr>
          <w:rFonts w:eastAsia="Times New Roman" w:cstheme="minorHAnsi"/>
          <w:color w:val="000000" w:themeColor="text1"/>
          <w:lang w:val="en-US"/>
        </w:rPr>
        <w:t xml:space="preserve">Digitalization and business models: Where are we going? A science map of the field. </w:t>
      </w:r>
      <w:r w:rsidRPr="00AA2E4B">
        <w:rPr>
          <w:rFonts w:eastAsia="Times New Roman" w:cstheme="minorHAnsi"/>
          <w:i/>
          <w:iCs/>
          <w:color w:val="000000" w:themeColor="text1"/>
          <w:lang w:val="en-US"/>
        </w:rPr>
        <w:t>Journal of Business Research</w:t>
      </w:r>
      <w:r w:rsidRPr="00AA2E4B">
        <w:rPr>
          <w:rFonts w:eastAsia="Times New Roman" w:cstheme="minorHAnsi"/>
          <w:color w:val="000000" w:themeColor="text1"/>
          <w:lang w:val="en-US"/>
        </w:rPr>
        <w:t>, 123, 489-501.</w:t>
      </w:r>
    </w:p>
    <w:p w14:paraId="05A243B6" w14:textId="77777777" w:rsidR="00AA2E4B" w:rsidRPr="00AA2E4B" w:rsidRDefault="00AA2E4B" w:rsidP="007E3D04">
      <w:pPr>
        <w:spacing w:after="100" w:afterAutospacing="1"/>
        <w:rPr>
          <w:rFonts w:cstheme="minorHAnsi"/>
          <w:color w:val="222222"/>
          <w:shd w:val="clear" w:color="auto" w:fill="FFFFFF"/>
        </w:rPr>
      </w:pPr>
      <w:proofErr w:type="spellStart"/>
      <w:r w:rsidRPr="00F62761">
        <w:rPr>
          <w:rFonts w:cstheme="minorHAnsi"/>
          <w:color w:val="222222"/>
          <w:lang w:val="fr-FR"/>
        </w:rPr>
        <w:t>Chechetka</w:t>
      </w:r>
      <w:proofErr w:type="spellEnd"/>
      <w:r w:rsidRPr="00F62761">
        <w:rPr>
          <w:rFonts w:cstheme="minorHAnsi"/>
          <w:color w:val="222222"/>
          <w:lang w:val="fr-FR"/>
        </w:rPr>
        <w:t xml:space="preserve">, S. A., Yu, Y., </w:t>
      </w:r>
      <w:proofErr w:type="spellStart"/>
      <w:r w:rsidRPr="00F62761">
        <w:rPr>
          <w:rFonts w:cstheme="minorHAnsi"/>
          <w:color w:val="222222"/>
          <w:lang w:val="fr-FR"/>
        </w:rPr>
        <w:t>Tange</w:t>
      </w:r>
      <w:proofErr w:type="spellEnd"/>
      <w:r w:rsidRPr="00F62761">
        <w:rPr>
          <w:rFonts w:cstheme="minorHAnsi"/>
          <w:color w:val="222222"/>
          <w:lang w:val="fr-FR"/>
        </w:rPr>
        <w:t xml:space="preserve">, M., &amp; </w:t>
      </w:r>
      <w:proofErr w:type="spellStart"/>
      <w:r w:rsidRPr="00F62761">
        <w:rPr>
          <w:rFonts w:cstheme="minorHAnsi"/>
          <w:color w:val="222222"/>
          <w:lang w:val="fr-FR"/>
        </w:rPr>
        <w:t>Miyako</w:t>
      </w:r>
      <w:proofErr w:type="spellEnd"/>
      <w:r w:rsidRPr="00F62761">
        <w:rPr>
          <w:rFonts w:cstheme="minorHAnsi"/>
          <w:color w:val="222222"/>
          <w:lang w:val="fr-FR"/>
        </w:rPr>
        <w:t xml:space="preserve">, E. (2017). </w:t>
      </w:r>
      <w:r w:rsidRPr="00AA2E4B">
        <w:rPr>
          <w:rFonts w:cstheme="minorHAnsi"/>
          <w:color w:val="222222"/>
        </w:rPr>
        <w:t xml:space="preserve">Materially engineered artificial pollinators. </w:t>
      </w:r>
      <w:r w:rsidRPr="00F62761">
        <w:rPr>
          <w:rFonts w:cstheme="minorHAnsi"/>
          <w:i/>
          <w:iCs/>
          <w:color w:val="222222"/>
        </w:rPr>
        <w:t>Chem</w:t>
      </w:r>
      <w:r w:rsidRPr="00AA2E4B">
        <w:rPr>
          <w:rFonts w:cstheme="minorHAnsi"/>
          <w:color w:val="222222"/>
        </w:rPr>
        <w:t>, 2(2), 224-239.</w:t>
      </w:r>
    </w:p>
    <w:p w14:paraId="3D0C57B6" w14:textId="77777777" w:rsidR="00AA2E4B" w:rsidRPr="00AA2E4B" w:rsidRDefault="00AA2E4B" w:rsidP="0F82EADB">
      <w:pPr>
        <w:spacing w:afterAutospacing="1"/>
        <w:rPr>
          <w:rFonts w:cstheme="minorHAnsi"/>
          <w:color w:val="222222"/>
        </w:rPr>
      </w:pPr>
      <w:r w:rsidRPr="00AA2E4B">
        <w:rPr>
          <w:rFonts w:cstheme="minorHAnsi"/>
          <w:color w:val="222222"/>
        </w:rPr>
        <w:t xml:space="preserve">Department for Business, energy &amp; Industrial Strategy of the UK Government – DBEIS. (2017). UK greenhouse gas emissions, provisional figures. Retrieved January 7, 2022, from </w:t>
      </w:r>
      <w:hyperlink w:history="1">
        <w:r w:rsidRPr="00AA2E4B">
          <w:rPr>
            <w:rFonts w:cstheme="minorHAnsi"/>
            <w:color w:val="222222"/>
          </w:rPr>
          <w:t>https://</w:t>
        </w:r>
      </w:hyperlink>
      <w:r w:rsidRPr="00AA2E4B">
        <w:rPr>
          <w:rFonts w:cstheme="minorHAnsi"/>
          <w:color w:val="222222"/>
        </w:rPr>
        <w:t>assets.publishing.service.gov.uk/government/uploads/system/uploads/attachment_data/file/695930/2017_Provisional_Emissions_statistics_2.pdf</w:t>
      </w:r>
    </w:p>
    <w:p w14:paraId="1D8DBC9B" w14:textId="77777777" w:rsidR="00E849BA" w:rsidRDefault="00E849BA" w:rsidP="00E849BA">
      <w:pPr>
        <w:spacing w:afterAutospacing="1"/>
        <w:rPr>
          <w:rFonts w:cstheme="minorHAnsi"/>
          <w:color w:val="222222"/>
        </w:rPr>
      </w:pPr>
      <w:r w:rsidRPr="00E849BA">
        <w:rPr>
          <w:rFonts w:cstheme="minorHAnsi"/>
          <w:color w:val="222222"/>
        </w:rPr>
        <w:t>Ernst &amp; Young Global Ltd, 2017 Why Sustainable Development Goals should be in your business plan</w:t>
      </w:r>
      <w:hyperlink r:id="rId11" w:history="1">
        <w:r w:rsidRPr="003F578C">
          <w:rPr>
            <w:rStyle w:val="Hipervnculo"/>
            <w:rFonts w:cstheme="minorHAnsi"/>
          </w:rPr>
          <w:t>https://www.ey.com/en_gl/assurance/why-sustainable-development-goals-should-be-in-your-business-plan</w:t>
        </w:r>
      </w:hyperlink>
    </w:p>
    <w:p w14:paraId="618957D4" w14:textId="77777777" w:rsidR="00AA2E4B" w:rsidRPr="00AA2E4B" w:rsidRDefault="00AA2E4B" w:rsidP="00E849BA">
      <w:pPr>
        <w:spacing w:afterAutospacing="1"/>
        <w:rPr>
          <w:rFonts w:cstheme="minorHAnsi"/>
          <w:color w:val="222222"/>
        </w:rPr>
      </w:pPr>
      <w:r w:rsidRPr="00AA2E4B">
        <w:rPr>
          <w:rFonts w:cstheme="minorHAnsi"/>
          <w:color w:val="222222"/>
        </w:rPr>
        <w:t xml:space="preserve">Eckhardt, J., </w:t>
      </w:r>
      <w:proofErr w:type="spellStart"/>
      <w:r w:rsidRPr="00AA2E4B">
        <w:rPr>
          <w:rFonts w:cstheme="minorHAnsi"/>
          <w:color w:val="222222"/>
        </w:rPr>
        <w:t>Nykänen</w:t>
      </w:r>
      <w:proofErr w:type="spellEnd"/>
      <w:r w:rsidRPr="00AA2E4B">
        <w:rPr>
          <w:rFonts w:cstheme="minorHAnsi"/>
          <w:color w:val="222222"/>
        </w:rPr>
        <w:t xml:space="preserve">, L., </w:t>
      </w:r>
      <w:proofErr w:type="spellStart"/>
      <w:r w:rsidRPr="00AA2E4B">
        <w:rPr>
          <w:rFonts w:cstheme="minorHAnsi"/>
          <w:color w:val="222222"/>
        </w:rPr>
        <w:t>Aapaoja</w:t>
      </w:r>
      <w:proofErr w:type="spellEnd"/>
      <w:r w:rsidRPr="00AA2E4B">
        <w:rPr>
          <w:rFonts w:cstheme="minorHAnsi"/>
          <w:color w:val="222222"/>
        </w:rPr>
        <w:t xml:space="preserve">, A., &amp; Niemi, P. (2018). MaaS in rural areas – case Finland. </w:t>
      </w:r>
      <w:r w:rsidRPr="00AA2E4B">
        <w:rPr>
          <w:rFonts w:cstheme="minorHAnsi"/>
          <w:i/>
          <w:iCs/>
          <w:color w:val="222222"/>
        </w:rPr>
        <w:t>Research in Transportation Business &amp; Management</w:t>
      </w:r>
      <w:r w:rsidRPr="00AA2E4B">
        <w:rPr>
          <w:rFonts w:cstheme="minorHAnsi"/>
          <w:color w:val="222222"/>
        </w:rPr>
        <w:t>, 27, 75–83.</w:t>
      </w:r>
    </w:p>
    <w:p w14:paraId="6CFB51D4" w14:textId="77777777" w:rsidR="00AA2E4B" w:rsidRPr="00AA2E4B" w:rsidRDefault="00AA2E4B" w:rsidP="007E3D04">
      <w:pPr>
        <w:spacing w:after="100" w:afterAutospacing="1"/>
        <w:rPr>
          <w:rFonts w:cstheme="minorHAnsi"/>
          <w:color w:val="222222"/>
          <w:shd w:val="clear" w:color="auto" w:fill="FFFFFF"/>
        </w:rPr>
      </w:pPr>
      <w:r w:rsidRPr="00AA2E4B">
        <w:rPr>
          <w:rFonts w:cstheme="minorHAnsi"/>
          <w:color w:val="222222"/>
        </w:rPr>
        <w:t xml:space="preserve">Energy Monitor (2021). Hydrogen tests climate policymakers with its job potential. 6 May 2021. Available at: </w:t>
      </w:r>
      <w:hyperlink r:id="rId12" w:anchor=":~:text=A%20recent%20study%20in%20the,phased%20out%20with%20fossil%20fuels" w:history="1">
        <w:r w:rsidRPr="00AA2E4B">
          <w:rPr>
            <w:rFonts w:cstheme="minorHAnsi"/>
            <w:color w:val="222222"/>
          </w:rPr>
          <w:t>https://www.energymonitor.ai/tech/hydrogen/hydrogen-tests-climate-policymakers-</w:t>
        </w:r>
        <w:r w:rsidRPr="00AA2E4B">
          <w:rPr>
            <w:rFonts w:cstheme="minorHAnsi"/>
            <w:color w:val="222222"/>
          </w:rPr>
          <w:lastRenderedPageBreak/>
          <w:t>with-its-job-potential#:~:text=A%20recent%20study%20in%20the,phased%20out%20with%20fossil%20fuels</w:t>
        </w:r>
      </w:hyperlink>
      <w:r w:rsidRPr="00AA2E4B">
        <w:rPr>
          <w:rFonts w:cstheme="minorHAnsi"/>
          <w:color w:val="222222"/>
        </w:rPr>
        <w:t>.</w:t>
      </w:r>
    </w:p>
    <w:p w14:paraId="007F2EDA" w14:textId="77777777" w:rsidR="00AA2E4B" w:rsidRPr="00AA2E4B" w:rsidRDefault="00AA2E4B" w:rsidP="007E3D04">
      <w:pPr>
        <w:spacing w:afterAutospacing="1"/>
        <w:rPr>
          <w:rFonts w:eastAsia="Times New Roman" w:cstheme="minorHAnsi"/>
          <w:color w:val="000000" w:themeColor="text1"/>
          <w:lang w:val="en-US"/>
        </w:rPr>
      </w:pPr>
      <w:proofErr w:type="spellStart"/>
      <w:r w:rsidRPr="00AA2E4B">
        <w:rPr>
          <w:rFonts w:eastAsia="Times New Roman" w:cstheme="minorHAnsi"/>
          <w:color w:val="000000" w:themeColor="text1"/>
          <w:lang w:val="en-US"/>
        </w:rPr>
        <w:t>Epting</w:t>
      </w:r>
      <w:proofErr w:type="spellEnd"/>
      <w:r w:rsidRPr="00AA2E4B">
        <w:rPr>
          <w:rFonts w:eastAsia="Times New Roman" w:cstheme="minorHAnsi"/>
          <w:color w:val="000000" w:themeColor="text1"/>
          <w:lang w:val="en-US"/>
        </w:rPr>
        <w:t xml:space="preserve">, S. (2018). Automated Vehicles and Transportation Justice. </w:t>
      </w:r>
      <w:r w:rsidRPr="00AA2E4B">
        <w:rPr>
          <w:rFonts w:eastAsia="Times New Roman" w:cstheme="minorHAnsi"/>
          <w:i/>
          <w:iCs/>
          <w:color w:val="000000" w:themeColor="text1"/>
          <w:lang w:val="en-US"/>
        </w:rPr>
        <w:t>Philosophy &amp; Technology</w:t>
      </w:r>
      <w:r w:rsidRPr="00AA2E4B">
        <w:rPr>
          <w:rFonts w:eastAsia="Times New Roman" w:cstheme="minorHAnsi"/>
          <w:color w:val="000000" w:themeColor="text1"/>
          <w:lang w:val="en-US"/>
        </w:rPr>
        <w:t>, 32, 389–403.</w:t>
      </w:r>
    </w:p>
    <w:p w14:paraId="2A3505FD" w14:textId="77777777" w:rsidR="00AA2E4B" w:rsidRPr="00AA2E4B" w:rsidRDefault="00AA2E4B" w:rsidP="0F82EADB">
      <w:pPr>
        <w:spacing w:afterAutospacing="1"/>
        <w:rPr>
          <w:rFonts w:cstheme="minorHAnsi"/>
          <w:color w:val="222222"/>
        </w:rPr>
      </w:pPr>
      <w:r w:rsidRPr="00AA2E4B">
        <w:rPr>
          <w:rFonts w:cstheme="minorHAnsi"/>
          <w:color w:val="222222"/>
        </w:rPr>
        <w:t xml:space="preserve">European Commission (2018). Measuring progress towards circular economy in the </w:t>
      </w:r>
      <w:proofErr w:type="spellStart"/>
      <w:r w:rsidRPr="00AA2E4B">
        <w:rPr>
          <w:rFonts w:cstheme="minorHAnsi"/>
          <w:color w:val="222222"/>
        </w:rPr>
        <w:t>european</w:t>
      </w:r>
      <w:proofErr w:type="spellEnd"/>
      <w:r w:rsidRPr="00AA2E4B">
        <w:rPr>
          <w:rFonts w:cstheme="minorHAnsi"/>
          <w:color w:val="222222"/>
        </w:rPr>
        <w:t xml:space="preserve"> union – key indicators for a monitoring framework. </w:t>
      </w:r>
      <w:hyperlink r:id="rId13" w:history="1">
        <w:r w:rsidRPr="00AA2E4B">
          <w:rPr>
            <w:rFonts w:cstheme="minorHAnsi"/>
            <w:color w:val="222222"/>
          </w:rPr>
          <w:t>https://eur-lex.europa.eu/legal-content/</w:t>
        </w:r>
      </w:hyperlink>
      <w:r w:rsidRPr="00AA2E4B">
        <w:rPr>
          <w:rFonts w:cstheme="minorHAnsi"/>
          <w:color w:val="222222"/>
        </w:rPr>
        <w:t>EN/TXT/?qid=1516265440535&amp;uri=COM:2018:29:FIN</w:t>
      </w:r>
    </w:p>
    <w:p w14:paraId="4F337581" w14:textId="77777777" w:rsidR="00AA2E4B" w:rsidRPr="00AA2E4B" w:rsidRDefault="00AA2E4B" w:rsidP="007E3D04">
      <w:pPr>
        <w:spacing w:after="100" w:afterAutospacing="1"/>
        <w:rPr>
          <w:rFonts w:cstheme="minorHAnsi"/>
        </w:rPr>
      </w:pPr>
      <w:r w:rsidRPr="00AA2E4B">
        <w:rPr>
          <w:rFonts w:cstheme="minorHAnsi"/>
        </w:rPr>
        <w:t>Eurostat (Feb 2021). Freight transport statistics - modal split. Available at: https://ec.europa.eu/eurostat/statistics-explained/index.php?title=Freight_transport_statistics_-_modal_split . [Accessed on 4 April 2022].</w:t>
      </w:r>
    </w:p>
    <w:p w14:paraId="042FBCDB" w14:textId="77777777" w:rsidR="00AA2E4B" w:rsidRPr="00AA2E4B" w:rsidRDefault="00AA2E4B" w:rsidP="007E3D04">
      <w:pPr>
        <w:rPr>
          <w:rFonts w:eastAsia="Calibri" w:cstheme="minorHAnsi"/>
        </w:rPr>
      </w:pPr>
      <w:proofErr w:type="spellStart"/>
      <w:r w:rsidRPr="00AA2E4B">
        <w:rPr>
          <w:rFonts w:eastAsia="Calibri" w:cstheme="minorHAnsi"/>
        </w:rPr>
        <w:t>Focas</w:t>
      </w:r>
      <w:proofErr w:type="spellEnd"/>
      <w:r w:rsidRPr="00AA2E4B">
        <w:rPr>
          <w:rFonts w:eastAsia="Calibri" w:cstheme="minorHAnsi"/>
        </w:rPr>
        <w:t xml:space="preserve">, C., &amp; </w:t>
      </w:r>
      <w:proofErr w:type="spellStart"/>
      <w:r w:rsidRPr="00AA2E4B">
        <w:rPr>
          <w:rFonts w:eastAsia="Calibri" w:cstheme="minorHAnsi"/>
        </w:rPr>
        <w:t>Christidis</w:t>
      </w:r>
      <w:proofErr w:type="spellEnd"/>
      <w:r w:rsidRPr="00AA2E4B">
        <w:rPr>
          <w:rFonts w:eastAsia="Calibri" w:cstheme="minorHAnsi"/>
        </w:rPr>
        <w:t xml:space="preserve">, P. (2017). Peak Car in Europe? </w:t>
      </w:r>
      <w:r w:rsidRPr="00F62761">
        <w:rPr>
          <w:rFonts w:eastAsia="Calibri" w:cstheme="minorHAnsi"/>
          <w:i/>
          <w:iCs/>
        </w:rPr>
        <w:t>Transportation Research Procedia</w:t>
      </w:r>
      <w:r w:rsidRPr="00AA2E4B">
        <w:rPr>
          <w:rFonts w:eastAsia="Calibri" w:cstheme="minorHAnsi"/>
        </w:rPr>
        <w:t>, 25, 531–550.</w:t>
      </w:r>
    </w:p>
    <w:p w14:paraId="366CD767" w14:textId="728EB562" w:rsidR="00E849BA" w:rsidRDefault="00E849BA" w:rsidP="00E849BA">
      <w:pPr>
        <w:rPr>
          <w:rFonts w:eastAsia="Calibri" w:cstheme="minorHAnsi"/>
        </w:rPr>
      </w:pPr>
      <w:r w:rsidRPr="00E849BA">
        <w:rPr>
          <w:rFonts w:eastAsia="Calibri" w:cstheme="minorHAnsi"/>
        </w:rPr>
        <w:t xml:space="preserve">Genus, A and Stirling, A. (2018). </w:t>
      </w:r>
      <w:proofErr w:type="spellStart"/>
      <w:r w:rsidRPr="00E849BA">
        <w:rPr>
          <w:rFonts w:eastAsia="Calibri" w:cstheme="minorHAnsi"/>
        </w:rPr>
        <w:t>Collingridge</w:t>
      </w:r>
      <w:proofErr w:type="spellEnd"/>
      <w:r w:rsidRPr="00E849BA">
        <w:rPr>
          <w:rFonts w:eastAsia="Calibri" w:cstheme="minorHAnsi"/>
        </w:rPr>
        <w:t xml:space="preserve"> and the dilemma of control: Towards responsible and accountable innovation. </w:t>
      </w:r>
      <w:r w:rsidRPr="00F62761">
        <w:rPr>
          <w:rFonts w:eastAsia="Calibri" w:cstheme="minorHAnsi"/>
          <w:i/>
          <w:iCs/>
        </w:rPr>
        <w:t>Research Policy</w:t>
      </w:r>
      <w:r w:rsidRPr="00E849BA">
        <w:rPr>
          <w:rFonts w:eastAsia="Calibri" w:cstheme="minorHAnsi"/>
        </w:rPr>
        <w:t xml:space="preserve">, 47 (1) 61-69. </w:t>
      </w:r>
    </w:p>
    <w:p w14:paraId="08906CF4" w14:textId="77777777" w:rsidR="00E849BA" w:rsidRPr="00E849BA" w:rsidRDefault="00E849BA" w:rsidP="00E849BA">
      <w:pPr>
        <w:rPr>
          <w:rFonts w:eastAsia="Calibri" w:cstheme="minorHAnsi"/>
        </w:rPr>
      </w:pPr>
      <w:r w:rsidRPr="00E849BA">
        <w:rPr>
          <w:rFonts w:eastAsia="Calibri" w:cstheme="minorHAnsi"/>
        </w:rPr>
        <w:t xml:space="preserve">Global Reporting Initiative (2022). Most companies align with SDGs – but more to do on assessing progress. </w:t>
      </w:r>
      <w:hyperlink r:id="rId14" w:history="1">
        <w:r w:rsidRPr="00A20DE0">
          <w:rPr>
            <w:rStyle w:val="Hipervnculo"/>
            <w:rFonts w:eastAsia="Calibri" w:cstheme="minorHAnsi"/>
          </w:rPr>
          <w:t>https://globalreporting.org/news/news-center/most-companies-align-with-sdgs-but-more-to-do-on-assessing-progress/</w:t>
        </w:r>
      </w:hyperlink>
    </w:p>
    <w:p w14:paraId="27B07AA6" w14:textId="77777777" w:rsidR="00AA2E4B" w:rsidRPr="00AA2E4B" w:rsidRDefault="00AA2E4B" w:rsidP="0F82EADB">
      <w:pPr>
        <w:rPr>
          <w:rFonts w:eastAsia="Calibri" w:cstheme="minorHAnsi"/>
        </w:rPr>
      </w:pPr>
      <w:proofErr w:type="spellStart"/>
      <w:r w:rsidRPr="00AA2E4B">
        <w:rPr>
          <w:rFonts w:eastAsia="Calibri" w:cstheme="minorHAnsi"/>
        </w:rPr>
        <w:t>Globisch</w:t>
      </w:r>
      <w:proofErr w:type="spellEnd"/>
      <w:r w:rsidRPr="00AA2E4B">
        <w:rPr>
          <w:rFonts w:eastAsia="Calibri" w:cstheme="minorHAnsi"/>
        </w:rPr>
        <w:t xml:space="preserve">, J., </w:t>
      </w:r>
      <w:proofErr w:type="spellStart"/>
      <w:r w:rsidRPr="00AA2E4B">
        <w:rPr>
          <w:rFonts w:eastAsia="Calibri" w:cstheme="minorHAnsi"/>
        </w:rPr>
        <w:t>Plötz</w:t>
      </w:r>
      <w:proofErr w:type="spellEnd"/>
      <w:r w:rsidRPr="00AA2E4B">
        <w:rPr>
          <w:rFonts w:eastAsia="Calibri" w:cstheme="minorHAnsi"/>
        </w:rPr>
        <w:t xml:space="preserve">, P., </w:t>
      </w:r>
      <w:proofErr w:type="spellStart"/>
      <w:r w:rsidRPr="00AA2E4B">
        <w:rPr>
          <w:rFonts w:eastAsia="Calibri" w:cstheme="minorHAnsi"/>
        </w:rPr>
        <w:t>Dütschke</w:t>
      </w:r>
      <w:proofErr w:type="spellEnd"/>
      <w:r w:rsidRPr="00AA2E4B">
        <w:rPr>
          <w:rFonts w:eastAsia="Calibri" w:cstheme="minorHAnsi"/>
        </w:rPr>
        <w:t xml:space="preserve">, E., &amp; </w:t>
      </w:r>
      <w:proofErr w:type="spellStart"/>
      <w:r w:rsidRPr="00AA2E4B">
        <w:rPr>
          <w:rFonts w:eastAsia="Calibri" w:cstheme="minorHAnsi"/>
        </w:rPr>
        <w:t>Wietschel</w:t>
      </w:r>
      <w:proofErr w:type="spellEnd"/>
      <w:r w:rsidRPr="00AA2E4B">
        <w:rPr>
          <w:rFonts w:eastAsia="Calibri" w:cstheme="minorHAnsi"/>
        </w:rPr>
        <w:t xml:space="preserve">, M. (2019). Consumer preferences for public charging infrastructure for electric vehicles. </w:t>
      </w:r>
      <w:r w:rsidRPr="00F62761">
        <w:rPr>
          <w:rFonts w:eastAsia="Calibri" w:cstheme="minorHAnsi"/>
          <w:i/>
          <w:iCs/>
        </w:rPr>
        <w:t>Transport Policy</w:t>
      </w:r>
      <w:r w:rsidRPr="00AA2E4B">
        <w:rPr>
          <w:rFonts w:eastAsia="Calibri" w:cstheme="minorHAnsi"/>
        </w:rPr>
        <w:t>, 81, 54–63.</w:t>
      </w:r>
    </w:p>
    <w:p w14:paraId="385DFA03" w14:textId="77777777" w:rsidR="00AA2E4B" w:rsidRPr="00AA2E4B" w:rsidRDefault="00AA2E4B" w:rsidP="0042620A">
      <w:pPr>
        <w:rPr>
          <w:rFonts w:eastAsiaTheme="minorEastAsia" w:cstheme="minorHAnsi"/>
        </w:rPr>
      </w:pPr>
      <w:r w:rsidRPr="00AA2E4B">
        <w:rPr>
          <w:rFonts w:eastAsiaTheme="minorEastAsia" w:cstheme="minorHAnsi"/>
        </w:rPr>
        <w:t xml:space="preserve">Graham, R (2013) The future of urban mobility: an overview of current global initiatives and future technologies to help meet the challenges of urban mobility. A </w:t>
      </w:r>
      <w:proofErr w:type="spellStart"/>
      <w:r w:rsidRPr="00AA2E4B">
        <w:rPr>
          <w:rFonts w:eastAsiaTheme="minorEastAsia" w:cstheme="minorHAnsi"/>
        </w:rPr>
        <w:t>Leasedrive</w:t>
      </w:r>
      <w:proofErr w:type="spellEnd"/>
      <w:r w:rsidRPr="00AA2E4B">
        <w:rPr>
          <w:rFonts w:eastAsiaTheme="minorEastAsia" w:cstheme="minorHAnsi"/>
        </w:rPr>
        <w:t xml:space="preserve"> White Paper. </w:t>
      </w:r>
      <w:proofErr w:type="spellStart"/>
      <w:r w:rsidRPr="00AA2E4B">
        <w:rPr>
          <w:rFonts w:eastAsiaTheme="minorEastAsia" w:cstheme="minorHAnsi"/>
        </w:rPr>
        <w:t>Leasedrive</w:t>
      </w:r>
      <w:proofErr w:type="spellEnd"/>
      <w:r w:rsidRPr="00AA2E4B">
        <w:rPr>
          <w:rFonts w:eastAsiaTheme="minorEastAsia" w:cstheme="minorHAnsi"/>
        </w:rPr>
        <w:t>, Wokingham.</w:t>
      </w:r>
    </w:p>
    <w:p w14:paraId="084D186A" w14:textId="77777777" w:rsidR="00AA2E4B" w:rsidRPr="00AA2E4B" w:rsidRDefault="00AA2E4B" w:rsidP="0F82EADB">
      <w:pPr>
        <w:spacing w:afterAutospacing="1"/>
        <w:rPr>
          <w:rFonts w:cstheme="minorHAnsi"/>
        </w:rPr>
      </w:pPr>
      <w:r w:rsidRPr="00AA2E4B">
        <w:rPr>
          <w:rFonts w:cstheme="minorHAnsi"/>
        </w:rPr>
        <w:t>Greene, D. L., &amp; Parkhurst, G. (2017). Decarbonizing transport for a sustainable future: Mitigating impacts of the changing climate. Transportation Research Board, Washington, DC, 30–60.</w:t>
      </w:r>
    </w:p>
    <w:p w14:paraId="10AE4D63" w14:textId="77777777" w:rsidR="00AA2E4B" w:rsidRPr="00AA2E4B" w:rsidRDefault="00AA2E4B" w:rsidP="007E3D04">
      <w:pPr>
        <w:spacing w:after="100" w:afterAutospacing="1"/>
        <w:rPr>
          <w:rFonts w:cstheme="minorHAnsi"/>
        </w:rPr>
      </w:pPr>
      <w:r w:rsidRPr="00AA2E4B">
        <w:rPr>
          <w:rFonts w:cstheme="minorHAnsi"/>
        </w:rPr>
        <w:t xml:space="preserve">Greening, P., </w:t>
      </w:r>
      <w:proofErr w:type="spellStart"/>
      <w:r w:rsidRPr="00AA2E4B">
        <w:rPr>
          <w:rFonts w:cstheme="minorHAnsi"/>
        </w:rPr>
        <w:t>Piecyk</w:t>
      </w:r>
      <w:proofErr w:type="spellEnd"/>
      <w:r w:rsidRPr="00AA2E4B">
        <w:rPr>
          <w:rFonts w:cstheme="minorHAnsi"/>
        </w:rPr>
        <w:t xml:space="preserve">, M., Palmer, A., Dadhich, P. (2019). Decarbonising road freight. Future of Mobility: Evidence Review. Foresight, Government Office for Science. Available at: </w:t>
      </w:r>
      <w:hyperlink r:id="rId15" w:history="1">
        <w:r w:rsidRPr="00AA2E4B">
          <w:rPr>
            <w:rFonts w:cstheme="minorHAnsi"/>
          </w:rPr>
          <w:t>https://assets.publishing.service.gov.uk/government/uploads/system/uploads/attachment_data/file/780895/decarbonising_road_freight.pdf</w:t>
        </w:r>
      </w:hyperlink>
      <w:r w:rsidRPr="00AA2E4B">
        <w:rPr>
          <w:rFonts w:cstheme="minorHAnsi"/>
        </w:rPr>
        <w:t>.</w:t>
      </w:r>
    </w:p>
    <w:p w14:paraId="09DB8F42" w14:textId="77777777" w:rsidR="00AA2E4B" w:rsidRPr="00AA2E4B" w:rsidRDefault="00AA2E4B" w:rsidP="007E3D04">
      <w:pPr>
        <w:spacing w:after="100" w:afterAutospacing="1"/>
        <w:rPr>
          <w:rFonts w:cstheme="minorHAnsi"/>
        </w:rPr>
      </w:pPr>
      <w:proofErr w:type="spellStart"/>
      <w:r w:rsidRPr="00F62761">
        <w:rPr>
          <w:rFonts w:cstheme="minorHAnsi"/>
          <w:lang w:val="fr-FR"/>
        </w:rPr>
        <w:t>Haugen</w:t>
      </w:r>
      <w:proofErr w:type="spellEnd"/>
      <w:r w:rsidRPr="00F62761">
        <w:rPr>
          <w:rFonts w:cstheme="minorHAnsi"/>
          <w:lang w:val="fr-FR"/>
        </w:rPr>
        <w:t xml:space="preserve">, M. J., Paoli, L., Cullen, J., </w:t>
      </w:r>
      <w:proofErr w:type="spellStart"/>
      <w:r w:rsidRPr="00F62761">
        <w:rPr>
          <w:rFonts w:cstheme="minorHAnsi"/>
          <w:lang w:val="fr-FR"/>
        </w:rPr>
        <w:t>Cebon</w:t>
      </w:r>
      <w:proofErr w:type="spellEnd"/>
      <w:r w:rsidRPr="00F62761">
        <w:rPr>
          <w:rFonts w:cstheme="minorHAnsi"/>
          <w:lang w:val="fr-FR"/>
        </w:rPr>
        <w:t xml:space="preserve">, D., &amp; </w:t>
      </w:r>
      <w:proofErr w:type="spellStart"/>
      <w:r w:rsidRPr="00F62761">
        <w:rPr>
          <w:rFonts w:cstheme="minorHAnsi"/>
          <w:lang w:val="fr-FR"/>
        </w:rPr>
        <w:t>Boies</w:t>
      </w:r>
      <w:proofErr w:type="spellEnd"/>
      <w:r w:rsidRPr="00F62761">
        <w:rPr>
          <w:rFonts w:cstheme="minorHAnsi"/>
          <w:lang w:val="fr-FR"/>
        </w:rPr>
        <w:t xml:space="preserve">, A. M. (2021). </w:t>
      </w:r>
      <w:r w:rsidRPr="00AA2E4B">
        <w:rPr>
          <w:rFonts w:cstheme="minorHAnsi"/>
        </w:rPr>
        <w:t>A fork in the road: Which energy pathway offers the greatest energy efficiency and CO2 reduction potential for low-carbon vehicles?. Applied Energy, 283, 116295.</w:t>
      </w:r>
    </w:p>
    <w:p w14:paraId="4713849C" w14:textId="77777777" w:rsidR="00E849BA" w:rsidRPr="003F578C" w:rsidRDefault="00E849BA" w:rsidP="003F578C">
      <w:pPr>
        <w:spacing w:after="100" w:afterAutospacing="1"/>
        <w:rPr>
          <w:rFonts w:cstheme="minorHAnsi"/>
        </w:rPr>
      </w:pPr>
      <w:r w:rsidRPr="003F578C">
        <w:rPr>
          <w:rFonts w:cstheme="minorHAnsi"/>
        </w:rPr>
        <w:t xml:space="preserve">ICSU, ISSC (2015): Review of the Sustainable Development </w:t>
      </w:r>
      <w:proofErr w:type="spellStart"/>
      <w:r w:rsidRPr="003F578C">
        <w:rPr>
          <w:rFonts w:cstheme="minorHAnsi"/>
        </w:rPr>
        <w:t>Goals:The</w:t>
      </w:r>
      <w:proofErr w:type="spellEnd"/>
      <w:r w:rsidRPr="003F578C">
        <w:rPr>
          <w:rFonts w:cstheme="minorHAnsi"/>
        </w:rPr>
        <w:t xml:space="preserve"> Science Perspective. Paris: International Council for Science (ICSU).</w:t>
      </w:r>
    </w:p>
    <w:p w14:paraId="52D31FE6" w14:textId="77777777" w:rsidR="00AA2E4B" w:rsidRPr="00AA2E4B" w:rsidRDefault="00AA2E4B" w:rsidP="007E3D04">
      <w:pPr>
        <w:spacing w:after="100" w:afterAutospacing="1"/>
        <w:rPr>
          <w:rFonts w:cstheme="minorHAnsi"/>
        </w:rPr>
      </w:pPr>
      <w:r w:rsidRPr="00AA2E4B">
        <w:rPr>
          <w:rFonts w:cstheme="minorHAnsi"/>
        </w:rPr>
        <w:t xml:space="preserve">International Energy Agency -IEA (2022). Transport sector CO2 emissions by mode in the Sustainable Development Scenario, 2000-2030, IEA, Paris </w:t>
      </w:r>
      <w:hyperlink r:id="rId16" w:history="1">
        <w:r w:rsidRPr="00AA2E4B">
          <w:rPr>
            <w:rFonts w:cstheme="minorHAnsi"/>
          </w:rPr>
          <w:t>https://www.iea.org/data-and-statistics/charts/transport-sector-co2-emissions-by-mode-in-the-sustainable-development-scenario-2000-2030</w:t>
        </w:r>
      </w:hyperlink>
      <w:r w:rsidRPr="00AA2E4B">
        <w:rPr>
          <w:rFonts w:cstheme="minorHAnsi"/>
        </w:rPr>
        <w:t>.</w:t>
      </w:r>
    </w:p>
    <w:p w14:paraId="087BA27C" w14:textId="038F8E28" w:rsidR="00B061C7" w:rsidRDefault="00B061C7" w:rsidP="00B061C7">
      <w:pPr>
        <w:spacing w:after="100" w:afterAutospacing="1"/>
        <w:rPr>
          <w:rFonts w:cstheme="minorHAnsi"/>
        </w:rPr>
      </w:pPr>
      <w:proofErr w:type="spellStart"/>
      <w:r w:rsidRPr="00B061C7">
        <w:rPr>
          <w:rFonts w:cstheme="minorHAnsi"/>
        </w:rPr>
        <w:lastRenderedPageBreak/>
        <w:t>Jaller</w:t>
      </w:r>
      <w:proofErr w:type="spellEnd"/>
      <w:r w:rsidRPr="00B061C7">
        <w:rPr>
          <w:rFonts w:cstheme="minorHAnsi"/>
        </w:rPr>
        <w:t xml:space="preserve">, M., </w:t>
      </w:r>
      <w:proofErr w:type="spellStart"/>
      <w:r w:rsidRPr="00B061C7">
        <w:rPr>
          <w:rFonts w:cstheme="minorHAnsi"/>
        </w:rPr>
        <w:t>Pahwa</w:t>
      </w:r>
      <w:proofErr w:type="spellEnd"/>
      <w:r w:rsidRPr="00B061C7">
        <w:rPr>
          <w:rFonts w:cstheme="minorHAnsi"/>
        </w:rPr>
        <w:t xml:space="preserve">, A. (2020). Evaluating the environmental impacts of online shopping: A </w:t>
      </w:r>
      <w:proofErr w:type="spellStart"/>
      <w:r w:rsidRPr="00B061C7">
        <w:rPr>
          <w:rFonts w:cstheme="minorHAnsi"/>
        </w:rPr>
        <w:t>behavioral</w:t>
      </w:r>
      <w:proofErr w:type="spellEnd"/>
      <w:r w:rsidRPr="00B061C7">
        <w:rPr>
          <w:rFonts w:cstheme="minorHAnsi"/>
        </w:rPr>
        <w:t xml:space="preserve"> and transportation approach</w:t>
      </w:r>
      <w:r w:rsidR="00926663">
        <w:rPr>
          <w:rFonts w:cstheme="minorHAnsi"/>
          <w:lang w:val="mt-MT"/>
        </w:rPr>
        <w:t xml:space="preserve">. </w:t>
      </w:r>
      <w:r w:rsidRPr="00F62761">
        <w:rPr>
          <w:rFonts w:cstheme="minorHAnsi"/>
          <w:i/>
          <w:iCs/>
        </w:rPr>
        <w:t>Transportation Research Part D: Transport and Environment</w:t>
      </w:r>
      <w:r w:rsidRPr="00B061C7">
        <w:rPr>
          <w:rFonts w:cstheme="minorHAnsi"/>
        </w:rPr>
        <w:t>, 80, 102223</w:t>
      </w:r>
    </w:p>
    <w:p w14:paraId="0A15200E" w14:textId="77777777" w:rsidR="00AA2E4B" w:rsidRPr="00AA2E4B" w:rsidRDefault="00AA2E4B" w:rsidP="00B061C7">
      <w:pPr>
        <w:spacing w:after="100" w:afterAutospacing="1"/>
        <w:rPr>
          <w:rFonts w:cstheme="minorHAnsi"/>
        </w:rPr>
      </w:pPr>
      <w:r w:rsidRPr="00AA2E4B">
        <w:rPr>
          <w:rFonts w:cstheme="minorHAnsi"/>
        </w:rPr>
        <w:t xml:space="preserve">Jackson, T. (2017). The flying drones that can scan packages night and day. BBC News, 27 October [online]. Available at: </w:t>
      </w:r>
      <w:hyperlink r:id="rId17" w:history="1">
        <w:r w:rsidRPr="00AA2E4B">
          <w:rPr>
            <w:rStyle w:val="Hipervnculo"/>
            <w:rFonts w:cstheme="minorHAnsi"/>
          </w:rPr>
          <w:t>http://www.bbc.co.uk/news/business-41737300</w:t>
        </w:r>
      </w:hyperlink>
      <w:r w:rsidRPr="00AA2E4B">
        <w:rPr>
          <w:rFonts w:cstheme="minorHAnsi"/>
        </w:rPr>
        <w:t>.</w:t>
      </w:r>
    </w:p>
    <w:p w14:paraId="677B649E" w14:textId="77777777" w:rsidR="00AA2E4B" w:rsidRPr="00AA2E4B" w:rsidRDefault="00AA2E4B" w:rsidP="007E3D04">
      <w:pPr>
        <w:spacing w:afterAutospacing="1"/>
        <w:rPr>
          <w:rFonts w:eastAsia="Times New Roman" w:cstheme="minorHAnsi"/>
        </w:rPr>
      </w:pPr>
      <w:proofErr w:type="spellStart"/>
      <w:r w:rsidRPr="00AA2E4B">
        <w:rPr>
          <w:rFonts w:eastAsia="Times New Roman" w:cstheme="minorHAnsi"/>
        </w:rPr>
        <w:t>Jittrapirom</w:t>
      </w:r>
      <w:proofErr w:type="spellEnd"/>
      <w:r w:rsidRPr="00AA2E4B">
        <w:rPr>
          <w:rFonts w:eastAsia="Times New Roman" w:cstheme="minorHAnsi"/>
        </w:rPr>
        <w:t xml:space="preserve">, P., </w:t>
      </w:r>
      <w:proofErr w:type="spellStart"/>
      <w:r w:rsidRPr="00AA2E4B">
        <w:rPr>
          <w:rFonts w:eastAsia="Times New Roman" w:cstheme="minorHAnsi"/>
        </w:rPr>
        <w:t>Marchau</w:t>
      </w:r>
      <w:proofErr w:type="spellEnd"/>
      <w:r w:rsidRPr="00AA2E4B">
        <w:rPr>
          <w:rFonts w:eastAsia="Times New Roman" w:cstheme="minorHAnsi"/>
        </w:rPr>
        <w:t>, V., van der Heijden, R., &amp;</w:t>
      </w:r>
      <w:r w:rsidR="002121FC">
        <w:rPr>
          <w:rFonts w:eastAsia="Times New Roman" w:cstheme="minorHAnsi"/>
          <w:lang w:val="mt-MT"/>
        </w:rPr>
        <w:t xml:space="preserve"> </w:t>
      </w:r>
      <w:proofErr w:type="spellStart"/>
      <w:r w:rsidRPr="00AA2E4B">
        <w:rPr>
          <w:rFonts w:eastAsia="Times New Roman" w:cstheme="minorHAnsi"/>
        </w:rPr>
        <w:t>Meurs</w:t>
      </w:r>
      <w:proofErr w:type="spellEnd"/>
      <w:r w:rsidRPr="00AA2E4B">
        <w:rPr>
          <w:rFonts w:eastAsia="Times New Roman" w:cstheme="minorHAnsi"/>
        </w:rPr>
        <w:t xml:space="preserve">, H. (2018). Dynamic adaptive policymaking for implementing Mobility-as-a Service (MaaS). </w:t>
      </w:r>
      <w:r w:rsidRPr="00AA2E4B">
        <w:rPr>
          <w:rFonts w:eastAsia="Times New Roman" w:cstheme="minorHAnsi"/>
          <w:i/>
          <w:iCs/>
        </w:rPr>
        <w:t>Research in Transportation Business &amp; Management</w:t>
      </w:r>
      <w:r w:rsidRPr="00AA2E4B">
        <w:rPr>
          <w:rFonts w:eastAsia="Times New Roman" w:cstheme="minorHAnsi"/>
        </w:rPr>
        <w:t>, 27, 46-55.</w:t>
      </w:r>
    </w:p>
    <w:p w14:paraId="03CFEFB2" w14:textId="77777777" w:rsidR="00AA2E4B" w:rsidRPr="00AA2E4B" w:rsidRDefault="00AA2E4B" w:rsidP="007E3D04">
      <w:pPr>
        <w:spacing w:afterAutospacing="1"/>
        <w:rPr>
          <w:rFonts w:eastAsia="Times New Roman" w:cstheme="minorHAnsi"/>
        </w:rPr>
      </w:pPr>
      <w:r w:rsidRPr="00AA2E4B">
        <w:rPr>
          <w:rFonts w:eastAsia="Times New Roman" w:cstheme="minorHAnsi"/>
        </w:rPr>
        <w:t xml:space="preserve">JRC (2019) The future of road transport - Implications of automated, connected, low-carbon and shared mobility, Joint Research Center, </w:t>
      </w:r>
      <w:proofErr w:type="spellStart"/>
      <w:r w:rsidRPr="00AA2E4B">
        <w:rPr>
          <w:rFonts w:eastAsia="Times New Roman" w:cstheme="minorHAnsi"/>
        </w:rPr>
        <w:t>Ispra</w:t>
      </w:r>
      <w:proofErr w:type="spellEnd"/>
      <w:r w:rsidRPr="00AA2E4B">
        <w:rPr>
          <w:rFonts w:eastAsia="Times New Roman" w:cstheme="minorHAnsi"/>
        </w:rPr>
        <w:t>: European Commission.</w:t>
      </w:r>
    </w:p>
    <w:p w14:paraId="5B2B4186" w14:textId="77777777" w:rsidR="00AA2E4B" w:rsidRPr="00AA2E4B" w:rsidRDefault="00AA2E4B" w:rsidP="007E3D04">
      <w:pPr>
        <w:spacing w:after="100" w:afterAutospacing="1"/>
        <w:rPr>
          <w:rFonts w:cstheme="minorHAnsi"/>
          <w:lang w:val="en-US"/>
        </w:rPr>
      </w:pPr>
      <w:r w:rsidRPr="00AA2E4B">
        <w:rPr>
          <w:rFonts w:cstheme="minorHAnsi"/>
          <w:lang w:val="en-US"/>
        </w:rPr>
        <w:t xml:space="preserve">Kim, J., Kim, S., Ju, C., Son, H.I. (2019), ‘Unmanned aerial vehicles in agriculture - a review of perspective of platform, control, and applications’, IEEE Access, 7, 105100–105115. </w:t>
      </w:r>
    </w:p>
    <w:p w14:paraId="257DA4EC" w14:textId="77777777" w:rsidR="00AA2E4B" w:rsidRPr="00AA2E4B" w:rsidRDefault="00AA2E4B" w:rsidP="007E3D04">
      <w:pPr>
        <w:spacing w:after="100" w:afterAutospacing="1"/>
        <w:rPr>
          <w:rFonts w:cstheme="minorHAnsi"/>
          <w:color w:val="222222"/>
        </w:rPr>
      </w:pPr>
      <w:r w:rsidRPr="00AA2E4B">
        <w:rPr>
          <w:rFonts w:cstheme="minorHAnsi"/>
          <w:color w:val="222222"/>
        </w:rPr>
        <w:t xml:space="preserve">Lawrence, M., Roberts, C. &amp; King, L. (2017). Managing automation: Employment, inequality and ethics in the digital age. London: Institute for Public Policy Research </w:t>
      </w:r>
    </w:p>
    <w:p w14:paraId="602CB325" w14:textId="77777777" w:rsidR="00AA2E4B" w:rsidRPr="00AA2E4B" w:rsidRDefault="00AA2E4B" w:rsidP="00A42A5C">
      <w:pPr>
        <w:rPr>
          <w:rFonts w:cstheme="minorHAnsi"/>
        </w:rPr>
      </w:pPr>
      <w:r w:rsidRPr="00AA2E4B">
        <w:rPr>
          <w:rFonts w:cstheme="minorHAnsi"/>
        </w:rPr>
        <w:t>Lerner, W (2011) The future of urban mobility. Arthur D Little.</w:t>
      </w:r>
    </w:p>
    <w:p w14:paraId="2DE1823C" w14:textId="77777777" w:rsidR="00AA2E4B" w:rsidRPr="00AA2E4B" w:rsidRDefault="00AA2E4B" w:rsidP="007E3D04">
      <w:pPr>
        <w:spacing w:after="100" w:afterAutospacing="1"/>
        <w:rPr>
          <w:rFonts w:cstheme="minorHAnsi"/>
          <w:color w:val="222222"/>
          <w:shd w:val="clear" w:color="auto" w:fill="FFFFFF"/>
        </w:rPr>
      </w:pPr>
      <w:r w:rsidRPr="00AA2E4B">
        <w:rPr>
          <w:rFonts w:cstheme="minorHAnsi"/>
          <w:color w:val="222222"/>
        </w:rPr>
        <w:t xml:space="preserve">Lewis, A. C. (2021). Optimising air quality co-benefits in a hydrogen economy: a case for hydrogen-specific standards for NO x emissions. </w:t>
      </w:r>
      <w:r w:rsidRPr="00F62761">
        <w:rPr>
          <w:rFonts w:cstheme="minorHAnsi"/>
          <w:i/>
          <w:iCs/>
          <w:color w:val="222222"/>
        </w:rPr>
        <w:t>Environmental Science: Atmosphere</w:t>
      </w:r>
      <w:r w:rsidRPr="00AA2E4B">
        <w:rPr>
          <w:rFonts w:cstheme="minorHAnsi"/>
          <w:color w:val="222222"/>
        </w:rPr>
        <w:t>s, 1(5), 201-207.</w:t>
      </w:r>
    </w:p>
    <w:p w14:paraId="3F4E11F0" w14:textId="77777777" w:rsidR="00AA2E4B" w:rsidRPr="00AA2E4B" w:rsidRDefault="00AA2E4B" w:rsidP="0F82EADB">
      <w:pPr>
        <w:spacing w:afterAutospacing="1"/>
        <w:rPr>
          <w:rFonts w:cstheme="minorHAnsi"/>
          <w:color w:val="222222"/>
        </w:rPr>
      </w:pPr>
      <w:r w:rsidRPr="00AA2E4B">
        <w:rPr>
          <w:rFonts w:cstheme="minorHAnsi"/>
          <w:color w:val="222222"/>
        </w:rPr>
        <w:t xml:space="preserve">Liu, J., </w:t>
      </w:r>
      <w:proofErr w:type="spellStart"/>
      <w:r w:rsidRPr="00AA2E4B">
        <w:rPr>
          <w:rFonts w:cstheme="minorHAnsi"/>
          <w:color w:val="222222"/>
        </w:rPr>
        <w:t>Kockelman</w:t>
      </w:r>
      <w:proofErr w:type="spellEnd"/>
      <w:r w:rsidRPr="00AA2E4B">
        <w:rPr>
          <w:rFonts w:cstheme="minorHAnsi"/>
          <w:color w:val="222222"/>
        </w:rPr>
        <w:t xml:space="preserve">, K. M., </w:t>
      </w:r>
      <w:proofErr w:type="spellStart"/>
      <w:r w:rsidRPr="00AA2E4B">
        <w:rPr>
          <w:rFonts w:cstheme="minorHAnsi"/>
          <w:color w:val="222222"/>
        </w:rPr>
        <w:t>Boesch</w:t>
      </w:r>
      <w:proofErr w:type="spellEnd"/>
      <w:r w:rsidRPr="00AA2E4B">
        <w:rPr>
          <w:rFonts w:cstheme="minorHAnsi"/>
          <w:color w:val="222222"/>
        </w:rPr>
        <w:t xml:space="preserve">, P. M., &amp; </w:t>
      </w:r>
      <w:proofErr w:type="spellStart"/>
      <w:r w:rsidRPr="00AA2E4B">
        <w:rPr>
          <w:rFonts w:cstheme="minorHAnsi"/>
          <w:color w:val="222222"/>
        </w:rPr>
        <w:t>Ciari</w:t>
      </w:r>
      <w:proofErr w:type="spellEnd"/>
      <w:r w:rsidRPr="00AA2E4B">
        <w:rPr>
          <w:rFonts w:cstheme="minorHAnsi"/>
          <w:color w:val="222222"/>
        </w:rPr>
        <w:t xml:space="preserve">, F. (2017). Tracking a system of shared autonomous vehicles across the Austin, Texas network using agent-based simulation. </w:t>
      </w:r>
      <w:r w:rsidRPr="00AA2E4B">
        <w:rPr>
          <w:rFonts w:cstheme="minorHAnsi"/>
          <w:i/>
          <w:iCs/>
          <w:color w:val="222222"/>
        </w:rPr>
        <w:t>Transportation</w:t>
      </w:r>
      <w:r w:rsidRPr="00AA2E4B">
        <w:rPr>
          <w:rFonts w:cstheme="minorHAnsi"/>
          <w:color w:val="222222"/>
        </w:rPr>
        <w:t>, 44(6), 1261–1278.</w:t>
      </w:r>
    </w:p>
    <w:p w14:paraId="3112EB5F" w14:textId="77777777" w:rsidR="00AA2E4B" w:rsidRPr="00AA2E4B" w:rsidRDefault="00AA2E4B" w:rsidP="007E3D04">
      <w:pPr>
        <w:spacing w:after="100" w:afterAutospacing="1"/>
        <w:rPr>
          <w:rFonts w:cstheme="minorHAnsi"/>
        </w:rPr>
      </w:pPr>
      <w:r w:rsidRPr="00AA2E4B">
        <w:rPr>
          <w:rFonts w:cstheme="minorHAnsi"/>
        </w:rPr>
        <w:t xml:space="preserve">Man Truck Germany (2019). Platooning in the logistics industry: Researchers see great potential in real operations after tests. Available at: </w:t>
      </w:r>
      <w:hyperlink r:id="rId18" w:history="1">
        <w:r w:rsidRPr="00AA2E4B">
          <w:rPr>
            <w:rFonts w:cstheme="minorHAnsi"/>
          </w:rPr>
          <w:t>https://www.truck.man.eu/de/en/man-world/man-in-germany/press-and-media/Platooning-in-the-logistics-industry_-Researchers-see-great-potential-in-real-operations-after-tests-372998.html</w:t>
        </w:r>
      </w:hyperlink>
      <w:r w:rsidRPr="00AA2E4B">
        <w:rPr>
          <w:rFonts w:cstheme="minorHAnsi"/>
        </w:rPr>
        <w:t>.</w:t>
      </w:r>
    </w:p>
    <w:p w14:paraId="3DDC646B" w14:textId="77777777" w:rsidR="00AA2E4B" w:rsidRPr="00AA2E4B" w:rsidRDefault="00AA2E4B" w:rsidP="007E3D04">
      <w:pPr>
        <w:spacing w:afterAutospacing="1"/>
        <w:rPr>
          <w:rFonts w:eastAsia="Times New Roman" w:cstheme="minorHAnsi"/>
          <w:color w:val="000000" w:themeColor="text1"/>
          <w:lang w:val="en-US"/>
        </w:rPr>
      </w:pPr>
      <w:proofErr w:type="spellStart"/>
      <w:r w:rsidRPr="00AA2E4B">
        <w:rPr>
          <w:rFonts w:eastAsia="Times New Roman" w:cstheme="minorHAnsi"/>
          <w:color w:val="000000" w:themeColor="text1"/>
          <w:lang w:val="en-US"/>
        </w:rPr>
        <w:t>Marletto</w:t>
      </w:r>
      <w:proofErr w:type="spellEnd"/>
      <w:r w:rsidRPr="00AA2E4B">
        <w:rPr>
          <w:rFonts w:eastAsia="Times New Roman" w:cstheme="minorHAnsi"/>
          <w:color w:val="000000" w:themeColor="text1"/>
          <w:lang w:val="en-US"/>
        </w:rPr>
        <w:t xml:space="preserve">, G. (2019). Who will drive the transition to self-driving? A socio-technical analysis of the future impact of automated vehicles. </w:t>
      </w:r>
      <w:r w:rsidRPr="00AA2E4B">
        <w:rPr>
          <w:rFonts w:eastAsia="Times New Roman" w:cstheme="minorHAnsi"/>
          <w:i/>
          <w:iCs/>
          <w:color w:val="000000" w:themeColor="text1"/>
          <w:lang w:val="en-US"/>
        </w:rPr>
        <w:t>Technological Forecasting and Social Change</w:t>
      </w:r>
      <w:r w:rsidRPr="00AA2E4B">
        <w:rPr>
          <w:rFonts w:eastAsia="Times New Roman" w:cstheme="minorHAnsi"/>
          <w:color w:val="000000" w:themeColor="text1"/>
          <w:lang w:val="en-US"/>
        </w:rPr>
        <w:t>, 139, 221-234.</w:t>
      </w:r>
    </w:p>
    <w:p w14:paraId="4B052C98" w14:textId="3FA4F966" w:rsidR="00AA2E4B" w:rsidRPr="00AA2E4B" w:rsidRDefault="00AA2E4B" w:rsidP="007E3D04">
      <w:pPr>
        <w:spacing w:afterAutospacing="1"/>
        <w:rPr>
          <w:rFonts w:eastAsia="Times New Roman" w:cstheme="minorHAnsi"/>
        </w:rPr>
      </w:pPr>
      <w:proofErr w:type="spellStart"/>
      <w:r w:rsidRPr="00AA2E4B">
        <w:rPr>
          <w:rFonts w:eastAsia="Times New Roman" w:cstheme="minorHAnsi"/>
        </w:rPr>
        <w:t>Milakis</w:t>
      </w:r>
      <w:proofErr w:type="spellEnd"/>
      <w:r w:rsidRPr="00AA2E4B">
        <w:rPr>
          <w:rFonts w:eastAsia="Times New Roman" w:cstheme="minorHAnsi"/>
        </w:rPr>
        <w:t xml:space="preserve">, D., </w:t>
      </w:r>
      <w:proofErr w:type="spellStart"/>
      <w:r w:rsidRPr="00AA2E4B">
        <w:rPr>
          <w:rFonts w:eastAsia="Times New Roman" w:cstheme="minorHAnsi"/>
        </w:rPr>
        <w:t>Thomopoulos</w:t>
      </w:r>
      <w:proofErr w:type="spellEnd"/>
      <w:r w:rsidRPr="00AA2E4B">
        <w:rPr>
          <w:rFonts w:eastAsia="Times New Roman" w:cstheme="minorHAnsi"/>
        </w:rPr>
        <w:t xml:space="preserve">, N., &amp; van Wee, B. (2020) </w:t>
      </w:r>
      <w:r w:rsidRPr="00AA2E4B">
        <w:rPr>
          <w:rFonts w:eastAsia="Times New Roman" w:cstheme="minorHAnsi"/>
          <w:i/>
          <w:iCs/>
        </w:rPr>
        <w:t>Policy Implications of Autonomous Vehicles</w:t>
      </w:r>
      <w:r w:rsidRPr="00AA2E4B">
        <w:rPr>
          <w:rFonts w:eastAsia="Times New Roman" w:cstheme="minorHAnsi"/>
        </w:rPr>
        <w:t xml:space="preserve">, </w:t>
      </w:r>
      <w:r w:rsidRPr="00F62761">
        <w:rPr>
          <w:rFonts w:eastAsia="Times New Roman" w:cstheme="minorHAnsi"/>
          <w:i/>
          <w:iCs/>
        </w:rPr>
        <w:t xml:space="preserve">Advances in Transport </w:t>
      </w:r>
      <w:proofErr w:type="gramStart"/>
      <w:r w:rsidRPr="00F62761">
        <w:rPr>
          <w:rFonts w:eastAsia="Times New Roman" w:cstheme="minorHAnsi"/>
          <w:i/>
          <w:iCs/>
        </w:rPr>
        <w:t>Policy</w:t>
      </w:r>
      <w:proofErr w:type="gramEnd"/>
      <w:r w:rsidRPr="00F62761">
        <w:rPr>
          <w:rFonts w:eastAsia="Times New Roman" w:cstheme="minorHAnsi"/>
          <w:i/>
          <w:iCs/>
        </w:rPr>
        <w:t xml:space="preserve"> and Planning</w:t>
      </w:r>
      <w:r w:rsidR="00926663">
        <w:rPr>
          <w:rFonts w:eastAsia="Times New Roman" w:cstheme="minorHAnsi"/>
          <w:lang w:val="mt-MT"/>
        </w:rPr>
        <w:t>.</w:t>
      </w:r>
      <w:r w:rsidRPr="00AA2E4B">
        <w:rPr>
          <w:rFonts w:eastAsia="Times New Roman" w:cstheme="minorHAnsi"/>
        </w:rPr>
        <w:t xml:space="preserve"> Oxford: Academic Press.</w:t>
      </w:r>
    </w:p>
    <w:p w14:paraId="208CA740" w14:textId="18BD7FD9" w:rsidR="003D57CF" w:rsidRDefault="003D57CF" w:rsidP="003D57CF">
      <w:pPr>
        <w:spacing w:afterAutospacing="1"/>
        <w:rPr>
          <w:rFonts w:eastAsia="Times New Roman" w:cstheme="minorHAnsi"/>
        </w:rPr>
      </w:pPr>
      <w:proofErr w:type="spellStart"/>
      <w:r w:rsidRPr="003D57CF">
        <w:rPr>
          <w:rFonts w:eastAsia="Times New Roman" w:cstheme="minorHAnsi"/>
        </w:rPr>
        <w:t>Mladenović</w:t>
      </w:r>
      <w:proofErr w:type="spellEnd"/>
      <w:r w:rsidRPr="003D57CF">
        <w:rPr>
          <w:rFonts w:eastAsia="Times New Roman" w:cstheme="minorHAnsi"/>
        </w:rPr>
        <w:t xml:space="preserve">, </w:t>
      </w:r>
      <w:r>
        <w:rPr>
          <w:rFonts w:eastAsia="Times New Roman" w:cstheme="minorHAnsi"/>
        </w:rPr>
        <w:t xml:space="preserve">M. N., </w:t>
      </w:r>
      <w:proofErr w:type="spellStart"/>
      <w:r w:rsidRPr="003D57CF">
        <w:rPr>
          <w:rFonts w:eastAsia="Times New Roman" w:cstheme="minorHAnsi"/>
        </w:rPr>
        <w:t>Haavisto</w:t>
      </w:r>
      <w:proofErr w:type="spellEnd"/>
      <w:r w:rsidRPr="003D57CF">
        <w:rPr>
          <w:rFonts w:eastAsia="Times New Roman" w:cstheme="minorHAnsi"/>
        </w:rPr>
        <w:t>,</w:t>
      </w:r>
      <w:r>
        <w:rPr>
          <w:rFonts w:eastAsia="Times New Roman" w:cstheme="minorHAnsi"/>
        </w:rPr>
        <w:t xml:space="preserve"> N. (2021). </w:t>
      </w:r>
      <w:r w:rsidRPr="003D57CF">
        <w:rPr>
          <w:rFonts w:eastAsia="Times New Roman" w:cstheme="minorHAnsi"/>
        </w:rPr>
        <w:t>Interpretative flexibility and conflicts in the emergence of Mobility as a Service: Finnish public sector actor perspectives</w:t>
      </w:r>
      <w:r>
        <w:rPr>
          <w:rFonts w:eastAsia="Times New Roman" w:cstheme="minorHAnsi"/>
        </w:rPr>
        <w:t xml:space="preserve">. </w:t>
      </w:r>
      <w:r w:rsidRPr="00F62761">
        <w:rPr>
          <w:rFonts w:eastAsia="Times New Roman" w:cstheme="minorHAnsi"/>
          <w:i/>
          <w:iCs/>
        </w:rPr>
        <w:t>Case Studies on Transport Policy</w:t>
      </w:r>
      <w:r>
        <w:rPr>
          <w:rFonts w:eastAsia="Times New Roman" w:cstheme="minorHAnsi"/>
        </w:rPr>
        <w:t xml:space="preserve">, 9(2), </w:t>
      </w:r>
      <w:r w:rsidRPr="003D57CF">
        <w:rPr>
          <w:rFonts w:eastAsia="Times New Roman" w:cstheme="minorHAnsi"/>
        </w:rPr>
        <w:t>851-859</w:t>
      </w:r>
      <w:r w:rsidR="00926663">
        <w:rPr>
          <w:rFonts w:eastAsia="Times New Roman" w:cstheme="minorHAnsi"/>
          <w:lang w:val="mt-MT"/>
        </w:rPr>
        <w:t>.</w:t>
      </w:r>
    </w:p>
    <w:p w14:paraId="4EF90888" w14:textId="77777777" w:rsidR="00AA2E4B" w:rsidRPr="00AA2E4B" w:rsidRDefault="00AA2E4B" w:rsidP="003D57CF">
      <w:pPr>
        <w:spacing w:afterAutospacing="1"/>
        <w:rPr>
          <w:rFonts w:eastAsia="Times New Roman" w:cstheme="minorHAnsi"/>
        </w:rPr>
      </w:pPr>
      <w:proofErr w:type="spellStart"/>
      <w:r w:rsidRPr="00AA2E4B">
        <w:rPr>
          <w:rFonts w:eastAsia="Times New Roman" w:cstheme="minorHAnsi"/>
        </w:rPr>
        <w:t>Nikitas</w:t>
      </w:r>
      <w:proofErr w:type="spellEnd"/>
      <w:r w:rsidRPr="00AA2E4B">
        <w:rPr>
          <w:rFonts w:eastAsia="Times New Roman" w:cstheme="minorHAnsi"/>
        </w:rPr>
        <w:t xml:space="preserve">, A., </w:t>
      </w:r>
      <w:proofErr w:type="spellStart"/>
      <w:r w:rsidRPr="00AA2E4B">
        <w:rPr>
          <w:rFonts w:eastAsia="Times New Roman" w:cstheme="minorHAnsi"/>
        </w:rPr>
        <w:t>Thomopoulos</w:t>
      </w:r>
      <w:proofErr w:type="spellEnd"/>
      <w:r w:rsidRPr="00AA2E4B">
        <w:rPr>
          <w:rFonts w:eastAsia="Times New Roman" w:cstheme="minorHAnsi"/>
        </w:rPr>
        <w:t xml:space="preserve">, N., &amp; </w:t>
      </w:r>
      <w:proofErr w:type="spellStart"/>
      <w:r w:rsidRPr="00AA2E4B">
        <w:rPr>
          <w:rFonts w:eastAsia="Times New Roman" w:cstheme="minorHAnsi"/>
        </w:rPr>
        <w:t>Milakis</w:t>
      </w:r>
      <w:proofErr w:type="spellEnd"/>
      <w:r w:rsidRPr="00AA2E4B">
        <w:rPr>
          <w:rFonts w:eastAsia="Times New Roman" w:cstheme="minorHAnsi"/>
        </w:rPr>
        <w:t xml:space="preserve">, D. (2021) Environmental impact of Autonomous Vehicles, </w:t>
      </w:r>
      <w:r w:rsidRPr="00AA2E4B">
        <w:rPr>
          <w:rFonts w:eastAsia="Times New Roman" w:cstheme="minorHAnsi"/>
          <w:i/>
          <w:iCs/>
        </w:rPr>
        <w:t>Annual Review of Environment and Resources</w:t>
      </w:r>
      <w:r w:rsidRPr="00AA2E4B">
        <w:rPr>
          <w:rFonts w:eastAsia="Times New Roman" w:cstheme="minorHAnsi"/>
        </w:rPr>
        <w:t>, 46, 167-192.</w:t>
      </w:r>
    </w:p>
    <w:p w14:paraId="42C931C8" w14:textId="77777777" w:rsidR="00AA2E4B" w:rsidRPr="00AA2E4B" w:rsidRDefault="00AA2E4B" w:rsidP="007E3D04">
      <w:pPr>
        <w:spacing w:afterAutospacing="1"/>
        <w:rPr>
          <w:rFonts w:eastAsia="Times New Roman" w:cstheme="minorHAnsi"/>
        </w:rPr>
      </w:pPr>
      <w:proofErr w:type="spellStart"/>
      <w:r w:rsidRPr="00AA2E4B">
        <w:rPr>
          <w:rFonts w:eastAsia="Times New Roman" w:cstheme="minorHAnsi"/>
        </w:rPr>
        <w:lastRenderedPageBreak/>
        <w:t>Oskam</w:t>
      </w:r>
      <w:proofErr w:type="spellEnd"/>
      <w:r w:rsidRPr="00AA2E4B">
        <w:rPr>
          <w:rFonts w:eastAsia="Times New Roman" w:cstheme="minorHAnsi"/>
        </w:rPr>
        <w:t xml:space="preserve">, I., </w:t>
      </w:r>
      <w:proofErr w:type="spellStart"/>
      <w:r w:rsidRPr="00AA2E4B">
        <w:rPr>
          <w:rFonts w:eastAsia="Times New Roman" w:cstheme="minorHAnsi"/>
        </w:rPr>
        <w:t>Bossink</w:t>
      </w:r>
      <w:proofErr w:type="spellEnd"/>
      <w:r w:rsidRPr="00AA2E4B">
        <w:rPr>
          <w:rFonts w:eastAsia="Times New Roman" w:cstheme="minorHAnsi"/>
        </w:rPr>
        <w:t xml:space="preserve">, B., &amp; de Man, A-P. (2021). Valuing Value in Innovation Ecosystems: How Cross-Sector Actors Overcome Tensions in Collaborative Sustainable Business Model Development. </w:t>
      </w:r>
      <w:r w:rsidRPr="00AA2E4B">
        <w:rPr>
          <w:rFonts w:eastAsia="Times New Roman" w:cstheme="minorHAnsi"/>
          <w:i/>
          <w:iCs/>
        </w:rPr>
        <w:t xml:space="preserve">Business &amp; Society, </w:t>
      </w:r>
      <w:r w:rsidRPr="00AA2E4B">
        <w:rPr>
          <w:rFonts w:eastAsia="Times New Roman" w:cstheme="minorHAnsi"/>
        </w:rPr>
        <w:t>60(5), 1059-1091.</w:t>
      </w:r>
    </w:p>
    <w:p w14:paraId="3B87A078" w14:textId="6566CE84" w:rsidR="00B061C7" w:rsidRDefault="00B061C7" w:rsidP="007E3D04">
      <w:pPr>
        <w:spacing w:after="100" w:afterAutospacing="1"/>
        <w:rPr>
          <w:rFonts w:cstheme="minorHAnsi"/>
          <w:color w:val="222222"/>
          <w:shd w:val="clear" w:color="auto" w:fill="FFFFFF"/>
        </w:rPr>
      </w:pPr>
      <w:r w:rsidRPr="00B061C7">
        <w:rPr>
          <w:rFonts w:cstheme="minorHAnsi"/>
          <w:color w:val="222222"/>
          <w:shd w:val="clear" w:color="auto" w:fill="FFFFFF"/>
        </w:rPr>
        <w:t xml:space="preserve">Pangbourne, K., Stead, D., </w:t>
      </w:r>
      <w:proofErr w:type="spellStart"/>
      <w:r w:rsidRPr="00B061C7">
        <w:rPr>
          <w:rFonts w:cstheme="minorHAnsi"/>
          <w:color w:val="222222"/>
          <w:shd w:val="clear" w:color="auto" w:fill="FFFFFF"/>
        </w:rPr>
        <w:t>Mladenović</w:t>
      </w:r>
      <w:proofErr w:type="spellEnd"/>
      <w:r w:rsidRPr="00B061C7">
        <w:rPr>
          <w:rFonts w:cstheme="minorHAnsi"/>
          <w:color w:val="222222"/>
          <w:shd w:val="clear" w:color="auto" w:fill="FFFFFF"/>
        </w:rPr>
        <w:t xml:space="preserve">, M., &amp; </w:t>
      </w:r>
      <w:proofErr w:type="spellStart"/>
      <w:r w:rsidRPr="00B061C7">
        <w:rPr>
          <w:rFonts w:cstheme="minorHAnsi"/>
          <w:color w:val="222222"/>
          <w:shd w:val="clear" w:color="auto" w:fill="FFFFFF"/>
        </w:rPr>
        <w:t>Milakis</w:t>
      </w:r>
      <w:proofErr w:type="spellEnd"/>
      <w:r w:rsidRPr="00B061C7">
        <w:rPr>
          <w:rFonts w:cstheme="minorHAnsi"/>
          <w:color w:val="222222"/>
          <w:shd w:val="clear" w:color="auto" w:fill="FFFFFF"/>
        </w:rPr>
        <w:t xml:space="preserve">, D. (2018). The Case of Mobility as a Service: A Critical Reflection on Challenges for Urban Transport and Mobility Governance. In Marsden, G. &amp; Reardon, L. (Ed.) Governance of the Smart Mobility Transition (pp. 33-49). Emerald Publishing Limited, Bingley. </w:t>
      </w:r>
    </w:p>
    <w:p w14:paraId="5D23FB20" w14:textId="77777777" w:rsidR="00AA2E4B" w:rsidRPr="00AA2E4B" w:rsidRDefault="00AA2E4B" w:rsidP="007E3D04">
      <w:pPr>
        <w:spacing w:after="100" w:afterAutospacing="1"/>
        <w:rPr>
          <w:rFonts w:cstheme="minorHAnsi"/>
        </w:rPr>
      </w:pPr>
      <w:r w:rsidRPr="00AA2E4B">
        <w:rPr>
          <w:rFonts w:cstheme="minorHAnsi"/>
          <w:color w:val="222222"/>
          <w:shd w:val="clear" w:color="auto" w:fill="FFFFFF"/>
        </w:rPr>
        <w:t xml:space="preserve">Paddeu, D., &amp; </w:t>
      </w:r>
      <w:proofErr w:type="spellStart"/>
      <w:r w:rsidRPr="00AA2E4B">
        <w:rPr>
          <w:rFonts w:cstheme="minorHAnsi"/>
          <w:color w:val="222222"/>
          <w:shd w:val="clear" w:color="auto" w:fill="FFFFFF"/>
        </w:rPr>
        <w:t>Denby</w:t>
      </w:r>
      <w:proofErr w:type="spellEnd"/>
      <w:r w:rsidRPr="00AA2E4B">
        <w:rPr>
          <w:rFonts w:cstheme="minorHAnsi"/>
          <w:color w:val="222222"/>
          <w:shd w:val="clear" w:color="auto" w:fill="FFFFFF"/>
        </w:rPr>
        <w:t>, J. (2021). Decarbonising road freight: Is truck automation and platooning an opportunity? </w:t>
      </w:r>
      <w:r w:rsidRPr="00F62761">
        <w:rPr>
          <w:rFonts w:cstheme="minorHAnsi"/>
          <w:i/>
          <w:iCs/>
          <w:color w:val="222222"/>
          <w:shd w:val="clear" w:color="auto" w:fill="FFFFFF"/>
        </w:rPr>
        <w:t>Clean Technologies and Environmental Policy</w:t>
      </w:r>
      <w:r w:rsidRPr="00AA2E4B">
        <w:rPr>
          <w:rFonts w:cstheme="minorHAnsi"/>
          <w:color w:val="222222"/>
          <w:shd w:val="clear" w:color="auto" w:fill="FFFFFF"/>
        </w:rPr>
        <w:t>, 1-15.</w:t>
      </w:r>
    </w:p>
    <w:p w14:paraId="4865EB2B" w14:textId="77777777" w:rsidR="00AA2E4B" w:rsidRPr="00AA2E4B" w:rsidRDefault="00AA2E4B" w:rsidP="007E3D04">
      <w:pPr>
        <w:spacing w:after="100" w:afterAutospacing="1"/>
        <w:rPr>
          <w:rFonts w:cstheme="minorHAnsi"/>
        </w:rPr>
      </w:pPr>
      <w:r w:rsidRPr="00AA2E4B">
        <w:rPr>
          <w:rFonts w:cstheme="minorHAnsi"/>
        </w:rPr>
        <w:t xml:space="preserve">Paddeu, D., &amp; Parkhurst, G. (2020). The potential for automation to transform urban deliveries: Drivers, barriers and policy priorities. In B. van Wee, N. </w:t>
      </w:r>
      <w:proofErr w:type="spellStart"/>
      <w:r w:rsidRPr="00AA2E4B">
        <w:rPr>
          <w:rFonts w:cstheme="minorHAnsi"/>
        </w:rPr>
        <w:t>Thomopoulos</w:t>
      </w:r>
      <w:proofErr w:type="spellEnd"/>
      <w:r w:rsidRPr="00AA2E4B">
        <w:rPr>
          <w:rFonts w:cstheme="minorHAnsi"/>
        </w:rPr>
        <w:t>, &amp; M. Dimitris (Eds.), Policy Implications of Autonomous Vehicles. Elsevier.</w:t>
      </w:r>
    </w:p>
    <w:p w14:paraId="08FBA3B8" w14:textId="77777777" w:rsidR="00AA2E4B" w:rsidRPr="00AA2E4B" w:rsidRDefault="00AA2E4B" w:rsidP="007E3D04">
      <w:pPr>
        <w:spacing w:after="100" w:afterAutospacing="1"/>
        <w:rPr>
          <w:rFonts w:cstheme="minorHAnsi"/>
        </w:rPr>
      </w:pPr>
      <w:r w:rsidRPr="00AA2E4B">
        <w:rPr>
          <w:rFonts w:cstheme="minorHAnsi"/>
        </w:rPr>
        <w:t xml:space="preserve">Paddeu, D., Calvert, T., Clark, B., &amp; Parkhurst, G. (2019). New Technology and Automation in Freight Transport and Handling Systems. UK Government Office for Science. </w:t>
      </w:r>
      <w:hyperlink r:id="rId19" w:history="1">
        <w:r w:rsidRPr="00AA2E4B">
          <w:rPr>
            <w:rStyle w:val="Hipervnculo"/>
            <w:rFonts w:cstheme="minorHAnsi"/>
          </w:rPr>
          <w:t>http://www.nationalarchives.gov.uk/doc/open-government-licence/version/3/</w:t>
        </w:r>
      </w:hyperlink>
      <w:r w:rsidRPr="00AA2E4B">
        <w:rPr>
          <w:rFonts w:cstheme="minorHAnsi"/>
        </w:rPr>
        <w:t>.</w:t>
      </w:r>
    </w:p>
    <w:p w14:paraId="38C48E2E" w14:textId="77777777" w:rsidR="00AA2E4B" w:rsidRPr="00AA2E4B" w:rsidRDefault="00AA2E4B" w:rsidP="0042620A">
      <w:pPr>
        <w:rPr>
          <w:rFonts w:eastAsiaTheme="minorEastAsia" w:cstheme="minorHAnsi"/>
        </w:rPr>
      </w:pPr>
      <w:r w:rsidRPr="00AA2E4B">
        <w:rPr>
          <w:rFonts w:eastAsiaTheme="minorEastAsia" w:cstheme="minorHAnsi"/>
        </w:rPr>
        <w:t xml:space="preserve">Paddeu, D., Calvert, T., Clark, B., and Parkhurst, G. (2019) New Technology and Automation in Freight Transport and Handling Systems. https://www.gov.uk/, London, UK. Available from: </w:t>
      </w:r>
      <w:hyperlink r:id="rId20" w:history="1">
        <w:r w:rsidRPr="00AA2E4B">
          <w:rPr>
            <w:rStyle w:val="Hipervnculo"/>
            <w:rFonts w:eastAsiaTheme="minorEastAsia" w:cstheme="minorHAnsi"/>
          </w:rPr>
          <w:t>http://eprints.uwe.ac.uk/39680</w:t>
        </w:r>
      </w:hyperlink>
    </w:p>
    <w:p w14:paraId="678F475C" w14:textId="77777777" w:rsidR="00AA2E4B" w:rsidRPr="00AA2E4B" w:rsidRDefault="00AA2E4B" w:rsidP="007E3D04">
      <w:pPr>
        <w:spacing w:afterAutospacing="1"/>
        <w:rPr>
          <w:rFonts w:eastAsia="Times New Roman" w:cstheme="minorHAnsi"/>
          <w:color w:val="000000" w:themeColor="text1"/>
          <w:lang w:val="en-US"/>
        </w:rPr>
      </w:pPr>
      <w:r w:rsidRPr="00AA2E4B">
        <w:rPr>
          <w:rFonts w:eastAsia="Times New Roman" w:cstheme="minorHAnsi"/>
          <w:color w:val="000000" w:themeColor="text1"/>
          <w:lang w:val="en-US"/>
        </w:rPr>
        <w:t xml:space="preserve">Pagani, M., &amp; Pardo, C. (2017). The impact of digital technology on relationships in a business network. </w:t>
      </w:r>
      <w:r w:rsidRPr="00AA2E4B">
        <w:rPr>
          <w:rFonts w:eastAsia="Times New Roman" w:cstheme="minorHAnsi"/>
          <w:i/>
          <w:iCs/>
          <w:color w:val="000000" w:themeColor="text1"/>
          <w:lang w:val="en-US"/>
        </w:rPr>
        <w:t>Industrial Marketing Management</w:t>
      </w:r>
      <w:r w:rsidRPr="00AA2E4B">
        <w:rPr>
          <w:rFonts w:eastAsia="Times New Roman" w:cstheme="minorHAnsi"/>
          <w:color w:val="000000" w:themeColor="text1"/>
          <w:lang w:val="en-US"/>
        </w:rPr>
        <w:t>, 67, 185-192.</w:t>
      </w:r>
    </w:p>
    <w:p w14:paraId="7EB18DA7" w14:textId="77777777" w:rsidR="00AA2E4B" w:rsidRPr="00AA2E4B" w:rsidRDefault="00AA2E4B" w:rsidP="007E3D04">
      <w:pPr>
        <w:spacing w:afterAutospacing="1"/>
        <w:rPr>
          <w:rFonts w:eastAsia="Times New Roman" w:cstheme="minorHAnsi"/>
        </w:rPr>
      </w:pPr>
      <w:r w:rsidRPr="00AA2E4B">
        <w:rPr>
          <w:rFonts w:eastAsia="Times New Roman" w:cstheme="minorHAnsi"/>
        </w:rPr>
        <w:t xml:space="preserve">Parkhurst, G., &amp; Seedhouse, A. (2019). Will the ‘smart mobility’ revolution matter? In Docherty, I. and Shaw, J., eds. (2019) </w:t>
      </w:r>
      <w:r w:rsidRPr="00AA2E4B">
        <w:rPr>
          <w:rFonts w:eastAsia="Times New Roman" w:cstheme="minorHAnsi"/>
          <w:i/>
          <w:iCs/>
        </w:rPr>
        <w:t>Transport Matters</w:t>
      </w:r>
      <w:r w:rsidRPr="00AA2E4B">
        <w:rPr>
          <w:rFonts w:eastAsia="Times New Roman" w:cstheme="minorHAnsi"/>
        </w:rPr>
        <w:t>. Bristol: Policy Press, 359-390.</w:t>
      </w:r>
    </w:p>
    <w:p w14:paraId="7C943BD2" w14:textId="77777777" w:rsidR="00026682" w:rsidRDefault="0076130A" w:rsidP="007E3D04">
      <w:pPr>
        <w:spacing w:after="100" w:afterAutospacing="1"/>
        <w:rPr>
          <w:rFonts w:cstheme="minorHAnsi"/>
        </w:rPr>
      </w:pPr>
      <w:r w:rsidRPr="0076130A">
        <w:rPr>
          <w:rFonts w:cstheme="minorHAnsi"/>
        </w:rPr>
        <w:t>Parkhurst, G., &amp; Clayton, W. (2022). Conclusion: The Electric Car as a Component of Future Sustainable Mobility. Chapter 12 In Parkhurst, G., &amp; Clayton, W. (2022) (Eds). Electrifying Mobility: Realising a Sustainable Future for the Car. Emerald, Bingley. 10.1108/S2044-9941202215</w:t>
      </w:r>
      <w:r w:rsidR="00026682" w:rsidRPr="00026682">
        <w:rPr>
          <w:rFonts w:cstheme="minorHAnsi"/>
        </w:rPr>
        <w:t>.</w:t>
      </w:r>
    </w:p>
    <w:p w14:paraId="5DC7E6BE" w14:textId="77777777" w:rsidR="00AA2E4B" w:rsidRPr="00AA2E4B" w:rsidRDefault="00AA2E4B" w:rsidP="007E3D04">
      <w:pPr>
        <w:spacing w:after="100" w:afterAutospacing="1"/>
        <w:rPr>
          <w:rFonts w:cstheme="minorHAnsi"/>
        </w:rPr>
      </w:pPr>
      <w:r w:rsidRPr="00AA2E4B">
        <w:rPr>
          <w:rFonts w:cstheme="minorHAnsi"/>
        </w:rPr>
        <w:t xml:space="preserve">PATH (2017). Research: Connected and Autonomous Vehicles: Truck Platooning. Available at: </w:t>
      </w:r>
      <w:hyperlink r:id="rId21" w:history="1">
        <w:r w:rsidRPr="00AA2E4B">
          <w:rPr>
            <w:rFonts w:cstheme="minorHAnsi"/>
          </w:rPr>
          <w:t>https://path.berkeley.edu/research/connected-and-automated-vehicles/truck-platooning</w:t>
        </w:r>
      </w:hyperlink>
      <w:r w:rsidRPr="00AA2E4B">
        <w:rPr>
          <w:rFonts w:cstheme="minorHAnsi"/>
        </w:rPr>
        <w:t>.</w:t>
      </w:r>
    </w:p>
    <w:p w14:paraId="58EBDFD0" w14:textId="77777777" w:rsidR="00AA2E4B" w:rsidRPr="00AA2E4B" w:rsidRDefault="00AA2E4B" w:rsidP="007E3D04">
      <w:pPr>
        <w:spacing w:after="100" w:afterAutospacing="1"/>
        <w:rPr>
          <w:rFonts w:cstheme="minorHAnsi"/>
          <w:lang w:val="en-US"/>
        </w:rPr>
      </w:pPr>
      <w:r w:rsidRPr="00F62761">
        <w:rPr>
          <w:rFonts w:cstheme="minorHAnsi"/>
          <w:color w:val="222222"/>
          <w:lang w:val="pt-PT"/>
        </w:rPr>
        <w:t xml:space="preserve">Portapas, V., Zaidi, Y., Bakunowicz, J., Paddeu, D., Valera-Medina, A., &amp; Didey, A. (2021, July). </w:t>
      </w:r>
      <w:r w:rsidRPr="00AA2E4B">
        <w:rPr>
          <w:rFonts w:cstheme="minorHAnsi"/>
          <w:color w:val="222222"/>
        </w:rPr>
        <w:t>Targeting global environmental challenges by the means of novel multimodal transport: concept of operations. In 2021 Fifth World Conference on Smart Trends in Systems Security and Sustainability (WorldS4) (pp. 101-106). IEEE.</w:t>
      </w:r>
    </w:p>
    <w:p w14:paraId="6BF611C4" w14:textId="77777777" w:rsidR="00AA2E4B" w:rsidRPr="00AA2E4B" w:rsidRDefault="00AA2E4B" w:rsidP="0F82EADB">
      <w:pPr>
        <w:spacing w:afterAutospacing="1"/>
        <w:rPr>
          <w:rFonts w:eastAsia="Times New Roman" w:cstheme="minorHAnsi"/>
          <w:color w:val="000000" w:themeColor="text1"/>
          <w:lang w:val="en-US"/>
        </w:rPr>
      </w:pPr>
      <w:proofErr w:type="spellStart"/>
      <w:r w:rsidRPr="00AA2E4B">
        <w:rPr>
          <w:rFonts w:eastAsia="Times New Roman" w:cstheme="minorHAnsi"/>
          <w:color w:val="000000" w:themeColor="text1"/>
          <w:lang w:val="en-US"/>
        </w:rPr>
        <w:t>Pütz</w:t>
      </w:r>
      <w:proofErr w:type="spellEnd"/>
      <w:r w:rsidRPr="00AA2E4B">
        <w:rPr>
          <w:rFonts w:eastAsia="Times New Roman" w:cstheme="minorHAnsi"/>
          <w:color w:val="000000" w:themeColor="text1"/>
          <w:lang w:val="en-US"/>
        </w:rPr>
        <w:t xml:space="preserve">, F., Murphy, F., Mullins, M., &amp; O’Malley, L. (2019). Connected automated vehicles and insurance: </w:t>
      </w:r>
      <w:proofErr w:type="spellStart"/>
      <w:r w:rsidRPr="00AA2E4B">
        <w:rPr>
          <w:rFonts w:eastAsia="Times New Roman" w:cstheme="minorHAnsi"/>
          <w:color w:val="000000" w:themeColor="text1"/>
          <w:lang w:val="en-US"/>
        </w:rPr>
        <w:t>Analysing</w:t>
      </w:r>
      <w:proofErr w:type="spellEnd"/>
      <w:r w:rsidRPr="00AA2E4B">
        <w:rPr>
          <w:rFonts w:eastAsia="Times New Roman" w:cstheme="minorHAnsi"/>
          <w:color w:val="000000" w:themeColor="text1"/>
          <w:lang w:val="en-US"/>
        </w:rPr>
        <w:t xml:space="preserve"> future market-structure from a business ecosystem perspective. </w:t>
      </w:r>
      <w:r w:rsidRPr="00AA2E4B">
        <w:rPr>
          <w:rFonts w:eastAsia="Times New Roman" w:cstheme="minorHAnsi"/>
          <w:i/>
          <w:iCs/>
          <w:color w:val="000000" w:themeColor="text1"/>
          <w:lang w:val="en-US"/>
        </w:rPr>
        <w:t>Technology in Society</w:t>
      </w:r>
      <w:r w:rsidRPr="00AA2E4B">
        <w:rPr>
          <w:rFonts w:eastAsia="Times New Roman" w:cstheme="minorHAnsi"/>
          <w:color w:val="000000" w:themeColor="text1"/>
          <w:lang w:val="en-US"/>
        </w:rPr>
        <w:t>, 59, 101182.</w:t>
      </w:r>
    </w:p>
    <w:p w14:paraId="5A1478EC" w14:textId="77777777" w:rsidR="00AA2E4B" w:rsidRPr="00AA2E4B" w:rsidRDefault="00AA2E4B" w:rsidP="007E3D04">
      <w:pPr>
        <w:spacing w:afterAutospacing="1"/>
        <w:rPr>
          <w:rFonts w:eastAsia="Times New Roman" w:cstheme="minorHAnsi"/>
        </w:rPr>
      </w:pPr>
      <w:r w:rsidRPr="00AA2E4B">
        <w:rPr>
          <w:rFonts w:eastAsia="Times New Roman" w:cstheme="minorHAnsi"/>
        </w:rPr>
        <w:t xml:space="preserve">Riggs, W., &amp; </w:t>
      </w:r>
      <w:proofErr w:type="spellStart"/>
      <w:r w:rsidRPr="00AA2E4B">
        <w:rPr>
          <w:rFonts w:eastAsia="Times New Roman" w:cstheme="minorHAnsi"/>
        </w:rPr>
        <w:t>Beiker</w:t>
      </w:r>
      <w:proofErr w:type="spellEnd"/>
      <w:r w:rsidRPr="00AA2E4B">
        <w:rPr>
          <w:rFonts w:eastAsia="Times New Roman" w:cstheme="minorHAnsi"/>
        </w:rPr>
        <w:t xml:space="preserve">, S.A. (2019). Business Models for Shared and Autonomous Mobility. In </w:t>
      </w:r>
      <w:r w:rsidRPr="00AA2E4B">
        <w:rPr>
          <w:rFonts w:eastAsia="Times New Roman" w:cstheme="minorHAnsi"/>
          <w:i/>
          <w:iCs/>
        </w:rPr>
        <w:t>Automated Vehicles Symposium</w:t>
      </w:r>
      <w:r w:rsidRPr="00AA2E4B">
        <w:rPr>
          <w:rFonts w:eastAsia="Times New Roman" w:cstheme="minorHAnsi"/>
        </w:rPr>
        <w:t>, Cham: Springer, 33-48.</w:t>
      </w:r>
    </w:p>
    <w:p w14:paraId="5E6FE527" w14:textId="77777777" w:rsidR="00AA2E4B" w:rsidRPr="00AA2E4B" w:rsidRDefault="00AA2E4B" w:rsidP="007E3D04">
      <w:pPr>
        <w:spacing w:afterAutospacing="1"/>
        <w:rPr>
          <w:rFonts w:eastAsia="Times New Roman" w:cstheme="minorHAnsi"/>
        </w:rPr>
      </w:pPr>
      <w:r w:rsidRPr="00AA2E4B">
        <w:rPr>
          <w:rFonts w:eastAsia="Times New Roman" w:cstheme="minorHAnsi"/>
        </w:rPr>
        <w:lastRenderedPageBreak/>
        <w:t xml:space="preserve">Rode, P., Floater, G., </w:t>
      </w:r>
      <w:proofErr w:type="spellStart"/>
      <w:r w:rsidRPr="00AA2E4B">
        <w:rPr>
          <w:rFonts w:eastAsia="Times New Roman" w:cstheme="minorHAnsi"/>
        </w:rPr>
        <w:t>Thomopoulos</w:t>
      </w:r>
      <w:proofErr w:type="spellEnd"/>
      <w:r w:rsidRPr="00AA2E4B">
        <w:rPr>
          <w:rFonts w:eastAsia="Times New Roman" w:cstheme="minorHAnsi"/>
        </w:rPr>
        <w:t xml:space="preserve">, N., Docherty, J. et </w:t>
      </w:r>
      <w:r w:rsidRPr="00AA2E4B">
        <w:rPr>
          <w:rFonts w:eastAsia="Times New Roman" w:cstheme="minorHAnsi"/>
          <w:i/>
          <w:iCs/>
        </w:rPr>
        <w:t>al</w:t>
      </w:r>
      <w:r w:rsidRPr="00AA2E4B">
        <w:rPr>
          <w:rFonts w:eastAsia="Times New Roman" w:cstheme="minorHAnsi"/>
        </w:rPr>
        <w:t xml:space="preserve">. (2017). Accessibility in cities: transport and urban form. </w:t>
      </w:r>
      <w:r w:rsidRPr="00AA2E4B">
        <w:rPr>
          <w:rFonts w:eastAsia="Times New Roman" w:cstheme="minorHAnsi"/>
          <w:i/>
          <w:iCs/>
        </w:rPr>
        <w:t>Disrupting mobility</w:t>
      </w:r>
      <w:r w:rsidRPr="00AA2E4B">
        <w:rPr>
          <w:rFonts w:eastAsia="Times New Roman" w:cstheme="minorHAnsi"/>
        </w:rPr>
        <w:t>, Cham: Springer, pp.239-273.</w:t>
      </w:r>
    </w:p>
    <w:p w14:paraId="05B6E6D5" w14:textId="77777777" w:rsidR="00AA2E4B" w:rsidRPr="00AA2E4B" w:rsidRDefault="00AA2E4B" w:rsidP="007E3D04">
      <w:pPr>
        <w:spacing w:afterAutospacing="1"/>
        <w:rPr>
          <w:rFonts w:eastAsia="Times New Roman" w:cstheme="minorHAnsi"/>
        </w:rPr>
      </w:pPr>
      <w:proofErr w:type="spellStart"/>
      <w:r w:rsidRPr="00AA2E4B">
        <w:rPr>
          <w:rFonts w:eastAsia="Times New Roman" w:cstheme="minorHAnsi"/>
        </w:rPr>
        <w:t>Sarasini</w:t>
      </w:r>
      <w:proofErr w:type="spellEnd"/>
      <w:r w:rsidRPr="00AA2E4B">
        <w:rPr>
          <w:rFonts w:eastAsia="Times New Roman" w:cstheme="minorHAnsi"/>
        </w:rPr>
        <w:t xml:space="preserve">, S., &amp; Linder, M. (2018). Integrating a business model perspective into transition theory: The example of new mobility services. </w:t>
      </w:r>
      <w:r w:rsidRPr="00AA2E4B">
        <w:rPr>
          <w:rFonts w:eastAsia="Times New Roman" w:cstheme="minorHAnsi"/>
          <w:i/>
          <w:iCs/>
        </w:rPr>
        <w:t>Environmental Innovation and Societal Transitions</w:t>
      </w:r>
      <w:r w:rsidRPr="00AA2E4B">
        <w:rPr>
          <w:rFonts w:eastAsia="Times New Roman" w:cstheme="minorHAnsi"/>
        </w:rPr>
        <w:t>, 27, 16-31.</w:t>
      </w:r>
    </w:p>
    <w:p w14:paraId="54C22ECD" w14:textId="48A9BBCF" w:rsidR="00AA2E4B" w:rsidRPr="00AA2E4B" w:rsidRDefault="00AA2E4B" w:rsidP="007E3D04">
      <w:pPr>
        <w:spacing w:afterAutospacing="1"/>
        <w:rPr>
          <w:rFonts w:eastAsia="Times New Roman" w:cstheme="minorHAnsi"/>
          <w:color w:val="000000" w:themeColor="text1"/>
          <w:lang w:val="en-US"/>
        </w:rPr>
      </w:pPr>
      <w:proofErr w:type="spellStart"/>
      <w:r w:rsidRPr="00AA2E4B">
        <w:rPr>
          <w:rFonts w:eastAsia="Times New Roman" w:cstheme="minorHAnsi"/>
          <w:color w:val="000000" w:themeColor="text1"/>
          <w:lang w:val="en-US"/>
        </w:rPr>
        <w:t>Shergold</w:t>
      </w:r>
      <w:proofErr w:type="spellEnd"/>
      <w:r w:rsidRPr="00AA2E4B">
        <w:rPr>
          <w:rFonts w:eastAsia="Times New Roman" w:cstheme="minorHAnsi"/>
          <w:color w:val="000000" w:themeColor="text1"/>
          <w:lang w:val="en-US"/>
        </w:rPr>
        <w:t>, I. (2019). Older people and connected autonomous vehicles: An exploration of user needs Findings from the Flourish Project.</w:t>
      </w:r>
      <w:hyperlink r:id="rId22" w:history="1">
        <w:r w:rsidRPr="00AA2E4B">
          <w:rPr>
            <w:rStyle w:val="Hipervnculo"/>
            <w:rFonts w:eastAsia="Times New Roman" w:cstheme="minorHAnsi"/>
            <w:lang w:val="en-US"/>
          </w:rPr>
          <w:t>https://www.researchgate.net/publication/334304159_Older_people_and_connected_autonomous_vehicles_An_exploration_of_user_needs_Findings_from_the_Flourish_Project</w:t>
        </w:r>
      </w:hyperlink>
      <w:r w:rsidR="00F62761">
        <w:rPr>
          <w:rFonts w:eastAsia="Times New Roman" w:cstheme="minorHAnsi"/>
          <w:color w:val="000000" w:themeColor="text1"/>
          <w:lang w:val="en-US"/>
        </w:rPr>
        <w:t xml:space="preserve"> (</w:t>
      </w:r>
      <w:r w:rsidRPr="00AA2E4B">
        <w:rPr>
          <w:rFonts w:eastAsia="Times New Roman" w:cstheme="minorHAnsi"/>
          <w:color w:val="000000" w:themeColor="text1"/>
          <w:lang w:val="en-US"/>
        </w:rPr>
        <w:t>accessed 28 December 2019).</w:t>
      </w:r>
    </w:p>
    <w:p w14:paraId="388A5BDE" w14:textId="77777777" w:rsidR="00E849BA" w:rsidRDefault="00E849BA" w:rsidP="007E3D04">
      <w:pPr>
        <w:spacing w:after="100" w:afterAutospacing="1"/>
        <w:rPr>
          <w:rFonts w:cstheme="minorHAnsi"/>
        </w:rPr>
      </w:pPr>
      <w:r w:rsidRPr="00371DEC">
        <w:t xml:space="preserve">Schön, D., Rein, M., (1994). </w:t>
      </w:r>
      <w:r w:rsidRPr="00F62761">
        <w:rPr>
          <w:i/>
          <w:iCs/>
        </w:rPr>
        <w:t>Frame Reflection – Towards the Resolution of Intractable Policy Controversies</w:t>
      </w:r>
      <w:r w:rsidRPr="00371DEC">
        <w:t>. Basic Books, New York</w:t>
      </w:r>
    </w:p>
    <w:p w14:paraId="2EF334FB" w14:textId="77777777" w:rsidR="00AA2E4B" w:rsidRPr="00AA2E4B" w:rsidRDefault="00AA2E4B" w:rsidP="007E3D04">
      <w:pPr>
        <w:spacing w:after="100" w:afterAutospacing="1"/>
        <w:rPr>
          <w:rFonts w:cstheme="minorHAnsi"/>
        </w:rPr>
      </w:pPr>
      <w:r w:rsidRPr="00AA2E4B">
        <w:rPr>
          <w:rFonts w:cstheme="minorHAnsi"/>
        </w:rPr>
        <w:t xml:space="preserve">Siemens, A. G. (2017). </w:t>
      </w:r>
      <w:proofErr w:type="spellStart"/>
      <w:r w:rsidRPr="00AA2E4B">
        <w:rPr>
          <w:rFonts w:cstheme="minorHAnsi"/>
        </w:rPr>
        <w:t>eHighway</w:t>
      </w:r>
      <w:proofErr w:type="spellEnd"/>
      <w:r w:rsidRPr="00AA2E4B">
        <w:rPr>
          <w:rFonts w:cstheme="minorHAnsi"/>
        </w:rPr>
        <w:t>–Innovative electric road freight transport. Information brochure, Munich/Germany.</w:t>
      </w:r>
    </w:p>
    <w:p w14:paraId="43445926" w14:textId="5734CB2D" w:rsidR="00AA2E4B" w:rsidRPr="00AA2E4B" w:rsidRDefault="00AA2E4B" w:rsidP="007E3D04">
      <w:pPr>
        <w:spacing w:after="100" w:afterAutospacing="1"/>
        <w:rPr>
          <w:rFonts w:cstheme="minorHAnsi"/>
          <w:lang w:val="en-US"/>
        </w:rPr>
      </w:pPr>
      <w:r w:rsidRPr="00AA2E4B">
        <w:rPr>
          <w:rFonts w:cstheme="minorHAnsi"/>
          <w:lang w:val="en-US"/>
        </w:rPr>
        <w:t>Singh, K.K., Frazier, A.E. (2018)</w:t>
      </w:r>
      <w:r w:rsidR="008B41FE">
        <w:rPr>
          <w:rFonts w:cstheme="minorHAnsi"/>
          <w:lang w:val="en-US"/>
        </w:rPr>
        <w:t>.</w:t>
      </w:r>
      <w:r w:rsidRPr="00AA2E4B">
        <w:rPr>
          <w:rFonts w:cstheme="minorHAnsi"/>
          <w:lang w:val="en-US"/>
        </w:rPr>
        <w:t xml:space="preserve"> A meta-analysis and review of unmanned aircraft system (UAS) imagery for terrestrial applications</w:t>
      </w:r>
      <w:r w:rsidR="008B41FE">
        <w:rPr>
          <w:rFonts w:cstheme="minorHAnsi"/>
          <w:lang w:val="en-US"/>
        </w:rPr>
        <w:t>.</w:t>
      </w:r>
      <w:r w:rsidRPr="00AA2E4B">
        <w:rPr>
          <w:rFonts w:cstheme="minorHAnsi"/>
          <w:lang w:val="en-US"/>
        </w:rPr>
        <w:t xml:space="preserve"> </w:t>
      </w:r>
      <w:r w:rsidRPr="00F62761">
        <w:rPr>
          <w:rFonts w:cstheme="minorHAnsi"/>
          <w:i/>
          <w:iCs/>
          <w:lang w:val="en-US"/>
        </w:rPr>
        <w:t>International Journal of Remote Sensing</w:t>
      </w:r>
      <w:r w:rsidRPr="00AA2E4B">
        <w:rPr>
          <w:rFonts w:cstheme="minorHAnsi"/>
          <w:lang w:val="en-US"/>
        </w:rPr>
        <w:t>, 39(15–16), 5078–5098.</w:t>
      </w:r>
    </w:p>
    <w:p w14:paraId="301CEA16" w14:textId="77777777" w:rsidR="00AA2E4B" w:rsidRPr="00AA2E4B" w:rsidRDefault="00AA2E4B" w:rsidP="007E3D04">
      <w:pPr>
        <w:spacing w:after="100" w:afterAutospacing="1"/>
        <w:rPr>
          <w:rFonts w:cstheme="minorHAnsi"/>
        </w:rPr>
      </w:pPr>
      <w:r w:rsidRPr="00AA2E4B">
        <w:rPr>
          <w:rFonts w:cstheme="minorHAnsi"/>
        </w:rPr>
        <w:t xml:space="preserve">Smith, T., Lewis, C., Faber, J., Wilson, C., </w:t>
      </w:r>
      <w:proofErr w:type="spellStart"/>
      <w:r w:rsidRPr="00AA2E4B">
        <w:rPr>
          <w:rFonts w:cstheme="minorHAnsi"/>
        </w:rPr>
        <w:t>Deyes</w:t>
      </w:r>
      <w:proofErr w:type="spellEnd"/>
      <w:r w:rsidRPr="00AA2E4B">
        <w:rPr>
          <w:rFonts w:cstheme="minorHAnsi"/>
        </w:rPr>
        <w:t xml:space="preserve">, K. (July 2019). Reducing the maritime sector’s contribution to climate change and air pollution. Available at: </w:t>
      </w:r>
      <w:hyperlink r:id="rId23" w:history="1">
        <w:r w:rsidRPr="00AA2E4B">
          <w:rPr>
            <w:rFonts w:cstheme="minorHAnsi"/>
          </w:rPr>
          <w:t>https://assets.publishing.service.gov.uk/government/uploads/system/uploads/attachment_data/file/816015/maritime-emission-reduction-options.pdf</w:t>
        </w:r>
      </w:hyperlink>
      <w:r w:rsidRPr="00AA2E4B">
        <w:rPr>
          <w:rFonts w:cstheme="minorHAnsi"/>
        </w:rPr>
        <w:t>.</w:t>
      </w:r>
    </w:p>
    <w:p w14:paraId="604D1B51" w14:textId="0B5C5AA7" w:rsidR="003D57CF" w:rsidRDefault="003D57CF" w:rsidP="007E3D04">
      <w:pPr>
        <w:spacing w:after="100" w:afterAutospacing="1"/>
        <w:rPr>
          <w:rFonts w:cstheme="minorHAnsi"/>
        </w:rPr>
      </w:pPr>
      <w:proofErr w:type="spellStart"/>
      <w:r w:rsidRPr="003D57CF">
        <w:rPr>
          <w:rFonts w:cstheme="minorHAnsi"/>
        </w:rPr>
        <w:t>Stilgoe</w:t>
      </w:r>
      <w:proofErr w:type="spellEnd"/>
      <w:r w:rsidRPr="003D57CF">
        <w:rPr>
          <w:rFonts w:cstheme="minorHAnsi"/>
        </w:rPr>
        <w:t xml:space="preserve">, J., Owen, R., and </w:t>
      </w:r>
      <w:proofErr w:type="spellStart"/>
      <w:r w:rsidRPr="003D57CF">
        <w:rPr>
          <w:rFonts w:cstheme="minorHAnsi"/>
        </w:rPr>
        <w:t>Macnaghten</w:t>
      </w:r>
      <w:proofErr w:type="spellEnd"/>
      <w:r w:rsidRPr="003D57CF">
        <w:rPr>
          <w:rFonts w:cstheme="minorHAnsi"/>
        </w:rPr>
        <w:t xml:space="preserve">, P. (2013). Developing a framework for responsible innovation. </w:t>
      </w:r>
      <w:r w:rsidRPr="00F62761">
        <w:rPr>
          <w:rFonts w:cstheme="minorHAnsi"/>
          <w:i/>
          <w:iCs/>
        </w:rPr>
        <w:t>Research Policy</w:t>
      </w:r>
      <w:r w:rsidRPr="003D57CF">
        <w:rPr>
          <w:rFonts w:cstheme="minorHAnsi"/>
        </w:rPr>
        <w:t xml:space="preserve">, 42 (9), 1568-1580. </w:t>
      </w:r>
    </w:p>
    <w:p w14:paraId="091DDDA7" w14:textId="77777777" w:rsidR="00AA2E4B" w:rsidRPr="00AA2E4B" w:rsidRDefault="00AA2E4B" w:rsidP="007E3D04">
      <w:pPr>
        <w:spacing w:after="100" w:afterAutospacing="1"/>
        <w:rPr>
          <w:rFonts w:cstheme="minorHAnsi"/>
        </w:rPr>
      </w:pPr>
      <w:proofErr w:type="spellStart"/>
      <w:r w:rsidRPr="00AA2E4B">
        <w:rPr>
          <w:rFonts w:cstheme="minorHAnsi"/>
        </w:rPr>
        <w:t>Tavasszy</w:t>
      </w:r>
      <w:proofErr w:type="spellEnd"/>
      <w:r w:rsidRPr="00AA2E4B">
        <w:rPr>
          <w:rFonts w:cstheme="minorHAnsi"/>
        </w:rPr>
        <w:t>, L.A. (2016). The value case for truck platooning, working paper, Delft University of Technology. Doi 10.13140/RG.2.2.13325.54247</w:t>
      </w:r>
    </w:p>
    <w:p w14:paraId="59CD005F" w14:textId="77777777" w:rsidR="00AA2E4B" w:rsidRPr="00AA2E4B" w:rsidRDefault="00AA2E4B" w:rsidP="007E3D04">
      <w:pPr>
        <w:spacing w:afterAutospacing="1"/>
        <w:rPr>
          <w:rFonts w:eastAsia="Arial" w:cstheme="minorHAnsi"/>
          <w:i/>
          <w:iCs/>
          <w:color w:val="333333"/>
        </w:rPr>
      </w:pPr>
      <w:r w:rsidRPr="00AA2E4B">
        <w:rPr>
          <w:rFonts w:eastAsia="Arial" w:cstheme="minorHAnsi"/>
          <w:color w:val="333333"/>
        </w:rPr>
        <w:t>Tilley, S., &amp; Houston, D. (2016). The gender turnaround: Young women now travelling more than young men.</w:t>
      </w:r>
      <w:r w:rsidRPr="00AA2E4B">
        <w:rPr>
          <w:rFonts w:eastAsia="Arial" w:cstheme="minorHAnsi"/>
          <w:i/>
          <w:iCs/>
          <w:color w:val="333333"/>
        </w:rPr>
        <w:t xml:space="preserve"> Journal of Transport Geography,</w:t>
      </w:r>
      <w:r w:rsidRPr="00AA2E4B">
        <w:rPr>
          <w:rFonts w:eastAsia="Arial" w:cstheme="minorHAnsi"/>
          <w:color w:val="333333"/>
        </w:rPr>
        <w:t xml:space="preserve"> 54, 349–358.</w:t>
      </w:r>
    </w:p>
    <w:p w14:paraId="289418E6" w14:textId="77777777" w:rsidR="00AA2E4B" w:rsidRPr="00AA2E4B" w:rsidRDefault="00AA2E4B" w:rsidP="0F82EADB">
      <w:pPr>
        <w:spacing w:afterAutospacing="1"/>
        <w:rPr>
          <w:rFonts w:eastAsia="Arial" w:cstheme="minorHAnsi"/>
          <w:i/>
          <w:iCs/>
          <w:color w:val="333333"/>
        </w:rPr>
      </w:pPr>
      <w:r w:rsidRPr="00AA2E4B">
        <w:rPr>
          <w:rFonts w:eastAsia="Arial" w:cstheme="minorHAnsi"/>
          <w:color w:val="333333"/>
        </w:rPr>
        <w:t xml:space="preserve">Turienzo, J., Cabanelas, P., &amp; </w:t>
      </w:r>
      <w:proofErr w:type="spellStart"/>
      <w:r w:rsidRPr="00AA2E4B">
        <w:rPr>
          <w:rFonts w:eastAsia="Arial" w:cstheme="minorHAnsi"/>
          <w:color w:val="333333"/>
        </w:rPr>
        <w:t>Lampón</w:t>
      </w:r>
      <w:proofErr w:type="spellEnd"/>
      <w:r w:rsidRPr="00AA2E4B">
        <w:rPr>
          <w:rFonts w:eastAsia="Arial" w:cstheme="minorHAnsi"/>
          <w:color w:val="333333"/>
        </w:rPr>
        <w:t>, J. F. (2022</w:t>
      </w:r>
      <w:r w:rsidR="00926663">
        <w:rPr>
          <w:rFonts w:eastAsia="Arial" w:cstheme="minorHAnsi"/>
          <w:color w:val="333333"/>
          <w:lang w:val="mt-MT"/>
        </w:rPr>
        <w:t>a</w:t>
      </w:r>
      <w:r w:rsidRPr="00AA2E4B">
        <w:rPr>
          <w:rFonts w:eastAsia="Arial" w:cstheme="minorHAnsi"/>
          <w:color w:val="333333"/>
        </w:rPr>
        <w:t xml:space="preserve">). The Mobility Industry Trends Through the Lens of the Social Analysis: A Multi-Level Perspective Approach. </w:t>
      </w:r>
      <w:r w:rsidRPr="00AA2E4B">
        <w:rPr>
          <w:rFonts w:eastAsia="Arial" w:cstheme="minorHAnsi"/>
          <w:i/>
          <w:iCs/>
          <w:color w:val="333333"/>
        </w:rPr>
        <w:t>SAGE Open</w:t>
      </w:r>
    </w:p>
    <w:p w14:paraId="6019451C" w14:textId="34BA4770" w:rsidR="00F62761" w:rsidRPr="00F62761" w:rsidRDefault="00F62761" w:rsidP="00A42A5C">
      <w:pPr>
        <w:rPr>
          <w:rFonts w:cstheme="minorHAnsi"/>
          <w:shd w:val="clear" w:color="auto" w:fill="FFFFFF"/>
        </w:rPr>
      </w:pPr>
      <w:r w:rsidRPr="00F62761">
        <w:rPr>
          <w:rFonts w:cstheme="minorHAnsi"/>
        </w:rPr>
        <w:t>Turienzo, J.</w:t>
      </w:r>
      <w:r w:rsidRPr="00F62761">
        <w:rPr>
          <w:rFonts w:cstheme="minorHAnsi"/>
          <w:shd w:val="clear" w:color="auto" w:fill="FFFFFF"/>
        </w:rPr>
        <w:t>,</w:t>
      </w:r>
      <w:r w:rsidRPr="00F62761">
        <w:rPr>
          <w:rFonts w:cstheme="minorHAnsi"/>
          <w:shd w:val="clear" w:color="auto" w:fill="FFFFFF"/>
        </w:rPr>
        <w:t xml:space="preserve"> </w:t>
      </w:r>
      <w:proofErr w:type="spellStart"/>
      <w:r w:rsidRPr="00F62761">
        <w:rPr>
          <w:rFonts w:cstheme="minorHAnsi"/>
          <w:shd w:val="clear" w:color="auto" w:fill="FFFFFF"/>
        </w:rPr>
        <w:t>Lampón</w:t>
      </w:r>
      <w:proofErr w:type="spellEnd"/>
      <w:r w:rsidRPr="00F62761">
        <w:rPr>
          <w:rFonts w:cstheme="minorHAnsi"/>
          <w:shd w:val="clear" w:color="auto" w:fill="FFFFFF"/>
        </w:rPr>
        <w:t>, J.F., Chico-Tato,</w:t>
      </w:r>
      <w:r>
        <w:rPr>
          <w:rFonts w:cstheme="minorHAnsi"/>
          <w:shd w:val="clear" w:color="auto" w:fill="FFFFFF"/>
        </w:rPr>
        <w:t xml:space="preserve"> </w:t>
      </w:r>
      <w:r w:rsidRPr="00F62761">
        <w:rPr>
          <w:rFonts w:cstheme="minorHAnsi"/>
          <w:shd w:val="clear" w:color="auto" w:fill="FFFFFF"/>
        </w:rPr>
        <w:t>R</w:t>
      </w:r>
      <w:r>
        <w:rPr>
          <w:rFonts w:cstheme="minorHAnsi"/>
          <w:shd w:val="clear" w:color="auto" w:fill="FFFFFF"/>
        </w:rPr>
        <w:t xml:space="preserve">., </w:t>
      </w:r>
      <w:r w:rsidRPr="00F62761">
        <w:rPr>
          <w:rFonts w:cstheme="minorHAnsi"/>
          <w:shd w:val="clear" w:color="auto" w:fill="FFFFFF"/>
        </w:rPr>
        <w:t>and </w:t>
      </w:r>
      <w:r>
        <w:rPr>
          <w:rFonts w:cstheme="minorHAnsi"/>
          <w:shd w:val="clear" w:color="auto" w:fill="FFFFFF"/>
        </w:rPr>
        <w:t>Cabanelas, P.</w:t>
      </w:r>
      <w:r w:rsidRPr="00F62761">
        <w:rPr>
          <w:rFonts w:cstheme="minorHAnsi"/>
          <w:shd w:val="clear" w:color="auto" w:fill="FFFFFF"/>
        </w:rPr>
        <w:t> (2022), "Electric Cars: The Future Technological Potential", </w:t>
      </w:r>
      <w:r>
        <w:rPr>
          <w:rFonts w:cstheme="minorHAnsi"/>
          <w:shd w:val="clear" w:color="auto" w:fill="FFFFFF"/>
        </w:rPr>
        <w:t>Parkhurst, G.</w:t>
      </w:r>
      <w:r w:rsidRPr="00F62761">
        <w:rPr>
          <w:rFonts w:cstheme="minorHAnsi"/>
          <w:shd w:val="clear" w:color="auto" w:fill="FFFFFF"/>
        </w:rPr>
        <w:t> and</w:t>
      </w:r>
      <w:r>
        <w:rPr>
          <w:rFonts w:cstheme="minorHAnsi"/>
          <w:shd w:val="clear" w:color="auto" w:fill="FFFFFF"/>
        </w:rPr>
        <w:t xml:space="preserve"> Clayton, W.</w:t>
      </w:r>
      <w:r w:rsidRPr="00F62761">
        <w:rPr>
          <w:rFonts w:cstheme="minorHAnsi"/>
          <w:shd w:val="clear" w:color="auto" w:fill="FFFFFF"/>
        </w:rPr>
        <w:t> (Ed.) </w:t>
      </w:r>
      <w:r w:rsidRPr="00F62761">
        <w:rPr>
          <w:rFonts w:cstheme="minorHAnsi"/>
          <w:i/>
          <w:iCs/>
          <w:shd w:val="clear" w:color="auto" w:fill="FFFFFF"/>
        </w:rPr>
        <w:t>Electrifying Mobility: Realising a Sustainable Future for the Car</w:t>
      </w:r>
      <w:r w:rsidRPr="00F62761">
        <w:rPr>
          <w:rFonts w:cstheme="minorHAnsi"/>
          <w:shd w:val="clear" w:color="auto" w:fill="FFFFFF"/>
        </w:rPr>
        <w:t> (</w:t>
      </w:r>
      <w:r w:rsidRPr="00F62761">
        <w:rPr>
          <w:rFonts w:cstheme="minorHAnsi"/>
          <w:i/>
          <w:iCs/>
          <w:shd w:val="clear" w:color="auto" w:fill="FFFFFF"/>
        </w:rPr>
        <w:t>Transport and Sustainability, Vol. 15</w:t>
      </w:r>
      <w:r w:rsidRPr="00F62761">
        <w:rPr>
          <w:rFonts w:cstheme="minorHAnsi"/>
          <w:shd w:val="clear" w:color="auto" w:fill="FFFFFF"/>
        </w:rPr>
        <w:t>), Emerald Publishing Limited, Bingley, pp. 191-210.</w:t>
      </w:r>
    </w:p>
    <w:p w14:paraId="1B1A9BD3" w14:textId="66EE53FF" w:rsidR="00AA2E4B" w:rsidRDefault="00AA2E4B" w:rsidP="00A42A5C">
      <w:pPr>
        <w:rPr>
          <w:rFonts w:cstheme="minorHAnsi"/>
        </w:rPr>
      </w:pPr>
      <w:r w:rsidRPr="00AA2E4B">
        <w:rPr>
          <w:rFonts w:cstheme="minorHAnsi"/>
        </w:rPr>
        <w:t xml:space="preserve">UN (United Nations, undated). Making the SDGs a Reality. </w:t>
      </w:r>
      <w:hyperlink r:id="rId24" w:history="1">
        <w:r w:rsidRPr="00AA2E4B">
          <w:rPr>
            <w:rStyle w:val="Hipervnculo"/>
            <w:rFonts w:cstheme="minorHAnsi"/>
          </w:rPr>
          <w:t>https://sdgs.un.org/</w:t>
        </w:r>
      </w:hyperlink>
    </w:p>
    <w:p w14:paraId="66D8A240" w14:textId="77777777" w:rsidR="00E849BA" w:rsidRPr="00AA2E4B" w:rsidRDefault="00E849BA" w:rsidP="00E849BA">
      <w:pPr>
        <w:rPr>
          <w:rFonts w:cstheme="minorHAnsi"/>
        </w:rPr>
      </w:pPr>
      <w:r w:rsidRPr="003F578C">
        <w:rPr>
          <w:rFonts w:cstheme="minorHAnsi"/>
        </w:rPr>
        <w:t>UN, 2014. The Road to Dignity by 2030: Ending Poverty, Transforming All Lives and Protecting the</w:t>
      </w:r>
      <w:r w:rsidR="008B41FE">
        <w:rPr>
          <w:rFonts w:cstheme="minorHAnsi"/>
          <w:lang w:val="mt-MT"/>
        </w:rPr>
        <w:t xml:space="preserve"> </w:t>
      </w:r>
      <w:r w:rsidRPr="003F578C">
        <w:rPr>
          <w:rFonts w:cstheme="minorHAnsi"/>
        </w:rPr>
        <w:t>Planet. Synthesis Report of the Secretary-General on the Post-2015 Agenda.</w:t>
      </w:r>
    </w:p>
    <w:p w14:paraId="1FD55EB9" w14:textId="77777777" w:rsidR="00AA2E4B" w:rsidRPr="00AA2E4B" w:rsidRDefault="00AA2E4B" w:rsidP="00A42A5C">
      <w:pPr>
        <w:rPr>
          <w:rFonts w:cstheme="minorHAnsi"/>
        </w:rPr>
      </w:pPr>
      <w:r w:rsidRPr="00AA2E4B">
        <w:rPr>
          <w:rFonts w:cstheme="minorHAnsi"/>
        </w:rPr>
        <w:lastRenderedPageBreak/>
        <w:t xml:space="preserve">Van </w:t>
      </w:r>
      <w:proofErr w:type="spellStart"/>
      <w:r w:rsidRPr="00AA2E4B">
        <w:rPr>
          <w:rFonts w:cstheme="minorHAnsi"/>
        </w:rPr>
        <w:t>Audenhove</w:t>
      </w:r>
      <w:proofErr w:type="spellEnd"/>
      <w:r w:rsidRPr="00AA2E4B">
        <w:rPr>
          <w:rFonts w:cstheme="minorHAnsi"/>
        </w:rPr>
        <w:t xml:space="preserve">, F-J, </w:t>
      </w:r>
      <w:proofErr w:type="spellStart"/>
      <w:r w:rsidRPr="00AA2E4B">
        <w:rPr>
          <w:rFonts w:cstheme="minorHAnsi"/>
        </w:rPr>
        <w:t>Korniichuk</w:t>
      </w:r>
      <w:proofErr w:type="spellEnd"/>
      <w:r w:rsidRPr="00AA2E4B">
        <w:rPr>
          <w:rFonts w:cstheme="minorHAnsi"/>
        </w:rPr>
        <w:t xml:space="preserve">, O, Dauby, L and </w:t>
      </w:r>
      <w:proofErr w:type="spellStart"/>
      <w:r w:rsidRPr="00AA2E4B">
        <w:rPr>
          <w:rFonts w:cstheme="minorHAnsi"/>
        </w:rPr>
        <w:t>Pourbaix</w:t>
      </w:r>
      <w:proofErr w:type="spellEnd"/>
      <w:r w:rsidRPr="00AA2E4B">
        <w:rPr>
          <w:rFonts w:cstheme="minorHAnsi"/>
        </w:rPr>
        <w:t>, J (2014) The Future of urban mobility 2.0: imperatives to shape extended mobility ecosystems of tomorrow. Arthur D Little.</w:t>
      </w:r>
    </w:p>
    <w:p w14:paraId="579FA125" w14:textId="77777777" w:rsidR="00B061C7" w:rsidRDefault="00B061C7" w:rsidP="00B061C7">
      <w:proofErr w:type="spellStart"/>
      <w:r>
        <w:t>Wiegmans</w:t>
      </w:r>
      <w:proofErr w:type="spellEnd"/>
      <w:r>
        <w:t xml:space="preserve">, B.W., </w:t>
      </w:r>
      <w:proofErr w:type="spellStart"/>
      <w:r>
        <w:t>Hekkert</w:t>
      </w:r>
      <w:proofErr w:type="spellEnd"/>
      <w:r>
        <w:t xml:space="preserve">, M. and </w:t>
      </w:r>
      <w:proofErr w:type="spellStart"/>
      <w:r>
        <w:t>Langstraat</w:t>
      </w:r>
      <w:proofErr w:type="spellEnd"/>
      <w:r>
        <w:t xml:space="preserve">, M. (2007) “Can innovations in rail freight transhipment be successful?”, </w:t>
      </w:r>
      <w:r w:rsidRPr="00F62761">
        <w:rPr>
          <w:i/>
          <w:iCs/>
        </w:rPr>
        <w:t>Transport Reviews</w:t>
      </w:r>
      <w:r w:rsidR="008B41FE">
        <w:rPr>
          <w:i/>
          <w:iCs/>
          <w:lang w:val="mt-MT"/>
        </w:rPr>
        <w:t>,</w:t>
      </w:r>
      <w:r>
        <w:t xml:space="preserve"> 27(1), pp. 103-122.</w:t>
      </w:r>
    </w:p>
    <w:p w14:paraId="21F5DC4A" w14:textId="77777777" w:rsidR="00E849BA" w:rsidRDefault="00E849BA" w:rsidP="00E849BA">
      <w:pPr>
        <w:rPr>
          <w:rFonts w:eastAsia="Calibri" w:cstheme="minorHAnsi"/>
        </w:rPr>
      </w:pPr>
      <w:r w:rsidRPr="00E849BA">
        <w:rPr>
          <w:rFonts w:eastAsia="Calibri" w:cstheme="minorHAnsi"/>
        </w:rPr>
        <w:t>W</w:t>
      </w:r>
      <w:r>
        <w:rPr>
          <w:rFonts w:eastAsia="Calibri" w:cstheme="minorHAnsi"/>
        </w:rPr>
        <w:t xml:space="preserve">orld </w:t>
      </w:r>
      <w:r w:rsidRPr="00E849BA">
        <w:rPr>
          <w:rFonts w:eastAsia="Calibri" w:cstheme="minorHAnsi"/>
        </w:rPr>
        <w:t>E</w:t>
      </w:r>
      <w:r>
        <w:rPr>
          <w:rFonts w:eastAsia="Calibri" w:cstheme="minorHAnsi"/>
        </w:rPr>
        <w:t xml:space="preserve">conomic </w:t>
      </w:r>
      <w:r w:rsidRPr="00E849BA">
        <w:rPr>
          <w:rFonts w:eastAsia="Calibri" w:cstheme="minorHAnsi"/>
        </w:rPr>
        <w:t>F</w:t>
      </w:r>
      <w:r>
        <w:rPr>
          <w:rFonts w:eastAsia="Calibri" w:cstheme="minorHAnsi"/>
        </w:rPr>
        <w:t>orum</w:t>
      </w:r>
      <w:r w:rsidRPr="00E849BA">
        <w:rPr>
          <w:rFonts w:eastAsia="Calibri" w:cstheme="minorHAnsi"/>
        </w:rPr>
        <w:t xml:space="preserve">, </w:t>
      </w:r>
      <w:r>
        <w:rPr>
          <w:rFonts w:eastAsia="Calibri" w:cstheme="minorHAnsi"/>
        </w:rPr>
        <w:t>(</w:t>
      </w:r>
      <w:r w:rsidRPr="00E849BA">
        <w:rPr>
          <w:rFonts w:eastAsia="Calibri" w:cstheme="minorHAnsi"/>
        </w:rPr>
        <w:t>2021</w:t>
      </w:r>
      <w:r>
        <w:rPr>
          <w:rFonts w:eastAsia="Calibri" w:cstheme="minorHAnsi"/>
        </w:rPr>
        <w:t>).</w:t>
      </w:r>
      <w:r w:rsidRPr="00E849BA">
        <w:rPr>
          <w:rFonts w:eastAsia="Calibri" w:cstheme="minorHAnsi"/>
        </w:rPr>
        <w:t xml:space="preserve"> The UN SDGs. How do companies stack up? </w:t>
      </w:r>
      <w:hyperlink r:id="rId25" w:history="1">
        <w:r w:rsidRPr="00A20DE0">
          <w:rPr>
            <w:rStyle w:val="Hipervnculo"/>
            <w:rFonts w:eastAsia="Calibri" w:cstheme="minorHAnsi"/>
          </w:rPr>
          <w:t>https://www.weforum.org/agenda/2021/03/how-aligned-are-un-companies-with-their-sustainable-development-goals/</w:t>
        </w:r>
      </w:hyperlink>
    </w:p>
    <w:p w14:paraId="7010C02C" w14:textId="77777777" w:rsidR="00AA2E4B" w:rsidRPr="00AA2E4B" w:rsidRDefault="00AA2E4B" w:rsidP="0F82EADB">
      <w:pPr>
        <w:spacing w:afterAutospacing="1"/>
        <w:rPr>
          <w:rFonts w:eastAsia="Times New Roman" w:cstheme="minorHAnsi"/>
          <w:color w:val="000000" w:themeColor="text1"/>
          <w:lang w:val="en-US"/>
        </w:rPr>
      </w:pPr>
      <w:r w:rsidRPr="00AA2E4B">
        <w:rPr>
          <w:rFonts w:eastAsia="Times New Roman" w:cstheme="minorHAnsi"/>
          <w:color w:val="000000" w:themeColor="text1"/>
          <w:lang w:val="en-US"/>
        </w:rPr>
        <w:t xml:space="preserve">Whittle, C., Whitmarsh, L., Hagger, P., Morgan, P., &amp; Parkhurst, G. (2019). User decision-making in transitions to electrified, autonomous, shared or reduced mobility. </w:t>
      </w:r>
      <w:r w:rsidRPr="00AA2E4B">
        <w:rPr>
          <w:rFonts w:eastAsia="Times New Roman" w:cstheme="minorHAnsi"/>
          <w:i/>
          <w:iCs/>
          <w:color w:val="000000" w:themeColor="text1"/>
          <w:lang w:val="en-US"/>
        </w:rPr>
        <w:t>Transportation Research Part D: Transport and Environment</w:t>
      </w:r>
      <w:r w:rsidRPr="00AA2E4B">
        <w:rPr>
          <w:rFonts w:eastAsia="Times New Roman" w:cstheme="minorHAnsi"/>
          <w:color w:val="000000" w:themeColor="text1"/>
          <w:lang w:val="en-US"/>
        </w:rPr>
        <w:t>, 71, 302-319.</w:t>
      </w:r>
    </w:p>
    <w:p w14:paraId="4DA94827" w14:textId="77777777" w:rsidR="00AA2E4B" w:rsidRPr="00AA2E4B" w:rsidRDefault="00AA2E4B" w:rsidP="007E3D04">
      <w:pPr>
        <w:spacing w:after="100" w:afterAutospacing="1"/>
        <w:rPr>
          <w:rFonts w:cstheme="minorHAnsi"/>
          <w:lang w:val="en-US"/>
        </w:rPr>
      </w:pPr>
      <w:r w:rsidRPr="00AA2E4B">
        <w:rPr>
          <w:rFonts w:cstheme="minorHAnsi"/>
          <w:lang w:val="en-US"/>
        </w:rPr>
        <w:t xml:space="preserve">Zhang, W. (2019), Planning and evaluation of autonomous vehicles in freight and public transport services, Doctoral dissertation, KTH Royal Institute of Technology. Available at: </w:t>
      </w:r>
      <w:hyperlink r:id="rId26" w:history="1">
        <w:r w:rsidRPr="00AA2E4B">
          <w:rPr>
            <w:rStyle w:val="Hipervnculo"/>
            <w:rFonts w:cstheme="minorHAnsi"/>
            <w:lang w:val="en-US"/>
          </w:rPr>
          <w:t>http://www.diva-portal.org/smash/get/diva2:1316459/FULLTEXT01.pdf</w:t>
        </w:r>
      </w:hyperlink>
      <w:r w:rsidRPr="00AA2E4B">
        <w:rPr>
          <w:rFonts w:cstheme="minorHAnsi"/>
          <w:lang w:val="en-US"/>
        </w:rPr>
        <w:t xml:space="preserve">. </w:t>
      </w:r>
    </w:p>
    <w:p w14:paraId="7241D6DB" w14:textId="77777777" w:rsidR="00E849BA" w:rsidRDefault="00AA2E4B" w:rsidP="003F578C">
      <w:pPr>
        <w:spacing w:after="100" w:afterAutospacing="1"/>
        <w:rPr>
          <w:rFonts w:cstheme="minorHAnsi"/>
          <w:color w:val="222222"/>
          <w:shd w:val="clear" w:color="auto" w:fill="FFFFFF"/>
        </w:rPr>
      </w:pPr>
      <w:r w:rsidRPr="00AA2E4B">
        <w:rPr>
          <w:rFonts w:cstheme="minorHAnsi"/>
          <w:color w:val="222222"/>
          <w:shd w:val="clear" w:color="auto" w:fill="FFFFFF"/>
        </w:rPr>
        <w:t>Zhong, Y., Wang, X., Xu, Y., Wang, S., Jia, T., Hu, X., ... &amp; Zhang, L. (2018). Mini-UAV-borne hyperspectral remote sensing: From observation and processing to applications. IEEE Geoscience and Remote Sensing Magazine, 6(4), 46-62</w:t>
      </w:r>
      <w:r>
        <w:rPr>
          <w:rFonts w:cstheme="minorHAnsi"/>
          <w:color w:val="222222"/>
          <w:shd w:val="clear" w:color="auto" w:fill="FFFFFF"/>
        </w:rPr>
        <w:t>.</w:t>
      </w:r>
    </w:p>
    <w:p w14:paraId="62DC95D4" w14:textId="77777777" w:rsidR="00A448DE" w:rsidRDefault="00A448DE" w:rsidP="003F578C">
      <w:pPr>
        <w:spacing w:after="100" w:afterAutospacing="1"/>
        <w:rPr>
          <w:rFonts w:cstheme="minorHAnsi"/>
          <w:color w:val="222222"/>
          <w:shd w:val="clear" w:color="auto" w:fill="FFFFFF"/>
        </w:rPr>
      </w:pPr>
    </w:p>
    <w:p w14:paraId="436CD309" w14:textId="77777777" w:rsidR="00A448DE" w:rsidRPr="00C21CCE" w:rsidRDefault="00A448DE" w:rsidP="00A448DE">
      <w:pPr>
        <w:keepNext/>
        <w:spacing w:after="120"/>
        <w:rPr>
          <w:b/>
        </w:rPr>
      </w:pPr>
      <w:r w:rsidRPr="00C21CCE">
        <w:rPr>
          <w:b/>
        </w:rPr>
        <w:t>Bio notes</w:t>
      </w:r>
    </w:p>
    <w:p w14:paraId="40E8E520" w14:textId="77777777" w:rsidR="00A448DE" w:rsidRDefault="00A448DE" w:rsidP="00A448DE">
      <w:pPr>
        <w:keepNext/>
        <w:spacing w:after="120"/>
      </w:pPr>
    </w:p>
    <w:p w14:paraId="41AAC2D5" w14:textId="77777777" w:rsidR="00A448DE" w:rsidRDefault="00A448DE" w:rsidP="00A448DE">
      <w:pPr>
        <w:keepNext/>
        <w:spacing w:after="120"/>
      </w:pPr>
      <w:r w:rsidRPr="003A6B27">
        <w:t>Dr Graham Parkhurst</w:t>
      </w:r>
      <w:r>
        <w:t xml:space="preserve"> is Professor of Sustainable Mobility and Director, Centre for Transport &amp; Society, </w:t>
      </w:r>
      <w:bookmarkStart w:id="2" w:name="_Hlk130490559"/>
      <w:r>
        <w:t>University of the West of England</w:t>
      </w:r>
      <w:bookmarkEnd w:id="2"/>
      <w:r>
        <w:t>. Graham has taught and researched transport policy since 1991. His current research examines the sustainable mobility implications of greater automation and electrification, taking a critical lens to the discourses and practices of ‘future mobility’. Graham is a Fellow of the Royal Geographical Society.</w:t>
      </w:r>
    </w:p>
    <w:p w14:paraId="4F0146C9" w14:textId="77777777" w:rsidR="00A448DE" w:rsidRDefault="00A448DE" w:rsidP="00A448DE"/>
    <w:p w14:paraId="7F056BF3" w14:textId="77777777" w:rsidR="00A448DE" w:rsidRDefault="00A448DE" w:rsidP="00A448DE">
      <w:pPr>
        <w:keepNext/>
        <w:spacing w:after="120"/>
      </w:pPr>
      <w:r>
        <w:t xml:space="preserve">Dr Pablo </w:t>
      </w:r>
      <w:r w:rsidRPr="00C21CCE">
        <w:t>Cabanelas</w:t>
      </w:r>
      <w:r>
        <w:t xml:space="preserve"> is Associate Professor in the Department of Business Organization and Marketing, University of Vigo. He is Principal Investigator in the Knowledge Organization research group and leader in several projects. His research interests are networks, industrial marketing, competitiveness, business models and mobility. His research was published in more than 30 publications in journals and books.</w:t>
      </w:r>
    </w:p>
    <w:p w14:paraId="0E0B4ECE" w14:textId="77777777" w:rsidR="00A448DE" w:rsidRDefault="00A448DE" w:rsidP="00A448DE"/>
    <w:p w14:paraId="62DADC52" w14:textId="77777777" w:rsidR="00A448DE" w:rsidRDefault="00A448DE" w:rsidP="00A448DE">
      <w:r>
        <w:t xml:space="preserve">Dr Daniela Paddeu is Senior Researcher and freight specialist at </w:t>
      </w:r>
      <w:r w:rsidRPr="00C21CCE">
        <w:t>University of the West of England</w:t>
      </w:r>
      <w:r>
        <w:t>. She has almost ten</w:t>
      </w:r>
      <w:r w:rsidR="008B41FE">
        <w:rPr>
          <w:lang w:val="mt-MT"/>
        </w:rPr>
        <w:t xml:space="preserve"> </w:t>
      </w:r>
      <w:r>
        <w:t>years’ experience in designing and delivering research projects on innovative and sustainable freight solutions in the UK and Europe, including stakeholder engagement, co-design, automation and decarbonisation. Daniela has significant experience with enabling stakeholders with different backgrounds and experiences to share views and design appropriate solutions.</w:t>
      </w:r>
    </w:p>
    <w:p w14:paraId="01432B6E" w14:textId="77777777" w:rsidR="00A448DE" w:rsidRPr="00AA2E4B" w:rsidRDefault="00A448DE" w:rsidP="003F578C">
      <w:pPr>
        <w:spacing w:after="100" w:afterAutospacing="1"/>
        <w:rPr>
          <w:rFonts w:cstheme="minorHAnsi"/>
          <w:color w:val="222222"/>
          <w:shd w:val="clear" w:color="auto" w:fill="FFFFFF"/>
        </w:rPr>
      </w:pPr>
    </w:p>
    <w:sectPr w:rsidR="00A448DE" w:rsidRPr="00AA2E4B" w:rsidSect="004D7D15">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3241" w14:textId="77777777" w:rsidR="00F802AF" w:rsidRDefault="00F802AF" w:rsidP="00F71AEA">
      <w:pPr>
        <w:spacing w:after="0" w:line="240" w:lineRule="auto"/>
      </w:pPr>
      <w:r>
        <w:separator/>
      </w:r>
    </w:p>
  </w:endnote>
  <w:endnote w:type="continuationSeparator" w:id="0">
    <w:p w14:paraId="7335021F" w14:textId="77777777" w:rsidR="00F802AF" w:rsidRDefault="00F802AF" w:rsidP="00F71AEA">
      <w:pPr>
        <w:spacing w:after="0" w:line="240" w:lineRule="auto"/>
      </w:pPr>
      <w:r>
        <w:continuationSeparator/>
      </w:r>
    </w:p>
  </w:endnote>
  <w:endnote w:type="continuationNotice" w:id="1">
    <w:p w14:paraId="2551BC37" w14:textId="77777777" w:rsidR="00F802AF" w:rsidRDefault="00F802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altName w:val="Calibr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037470"/>
      <w:docPartObj>
        <w:docPartGallery w:val="Page Numbers (Bottom of Page)"/>
        <w:docPartUnique/>
      </w:docPartObj>
    </w:sdtPr>
    <w:sdtEndPr>
      <w:rPr>
        <w:noProof/>
      </w:rPr>
    </w:sdtEndPr>
    <w:sdtContent>
      <w:p w14:paraId="363BD096" w14:textId="77777777" w:rsidR="004D654B" w:rsidRDefault="004D654B">
        <w:pPr>
          <w:pStyle w:val="Piedepgina"/>
          <w:jc w:val="center"/>
        </w:pPr>
        <w:r>
          <w:rPr>
            <w:noProof/>
          </w:rPr>
          <w:fldChar w:fldCharType="begin"/>
        </w:r>
        <w:r>
          <w:rPr>
            <w:noProof/>
          </w:rPr>
          <w:instrText xml:space="preserve"> PAGE   \* MERGEFORMAT </w:instrText>
        </w:r>
        <w:r>
          <w:rPr>
            <w:noProof/>
          </w:rPr>
          <w:fldChar w:fldCharType="separate"/>
        </w:r>
        <w:r>
          <w:rPr>
            <w:noProof/>
          </w:rPr>
          <w:t>18</w:t>
        </w:r>
        <w:r>
          <w:rPr>
            <w:noProof/>
          </w:rPr>
          <w:fldChar w:fldCharType="end"/>
        </w:r>
      </w:p>
    </w:sdtContent>
  </w:sdt>
  <w:p w14:paraId="2FBDC9E2" w14:textId="77777777" w:rsidR="004D654B" w:rsidRDefault="004D65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8991C" w14:textId="77777777" w:rsidR="00F802AF" w:rsidRDefault="00F802AF" w:rsidP="00F71AEA">
      <w:pPr>
        <w:spacing w:after="0" w:line="240" w:lineRule="auto"/>
      </w:pPr>
      <w:r>
        <w:separator/>
      </w:r>
    </w:p>
  </w:footnote>
  <w:footnote w:type="continuationSeparator" w:id="0">
    <w:p w14:paraId="73BC14D3" w14:textId="77777777" w:rsidR="00F802AF" w:rsidRDefault="00F802AF" w:rsidP="00F71AEA">
      <w:pPr>
        <w:spacing w:after="0" w:line="240" w:lineRule="auto"/>
      </w:pPr>
      <w:r>
        <w:continuationSeparator/>
      </w:r>
    </w:p>
  </w:footnote>
  <w:footnote w:type="continuationNotice" w:id="1">
    <w:p w14:paraId="3FA2B92B" w14:textId="77777777" w:rsidR="00F802AF" w:rsidRDefault="00F802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A502E"/>
    <w:multiLevelType w:val="hybridMultilevel"/>
    <w:tmpl w:val="56C088DC"/>
    <w:lvl w:ilvl="0" w:tplc="D00632D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F4B3A"/>
    <w:multiLevelType w:val="hybridMultilevel"/>
    <w:tmpl w:val="888613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2" w15:restartNumberingAfterBreak="0">
    <w:nsid w:val="4AE74646"/>
    <w:multiLevelType w:val="hybridMultilevel"/>
    <w:tmpl w:val="5FBC317A"/>
    <w:lvl w:ilvl="0" w:tplc="EB4ECEB6">
      <w:start w:val="1"/>
      <w:numFmt w:val="decimal"/>
      <w:pStyle w:val="Ttulo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F7719"/>
    <w:multiLevelType w:val="hybridMultilevel"/>
    <w:tmpl w:val="84A8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05C0B"/>
    <w:multiLevelType w:val="hybridMultilevel"/>
    <w:tmpl w:val="AC944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2E9AA0"/>
    <w:multiLevelType w:val="hybridMultilevel"/>
    <w:tmpl w:val="8D240EAC"/>
    <w:lvl w:ilvl="0" w:tplc="2C96BFD8">
      <w:start w:val="1"/>
      <w:numFmt w:val="bullet"/>
      <w:lvlText w:val="-"/>
      <w:lvlJc w:val="left"/>
      <w:pPr>
        <w:ind w:left="720" w:hanging="360"/>
      </w:pPr>
      <w:rPr>
        <w:rFonts w:ascii="Calibri" w:hAnsi="Calibri" w:hint="default"/>
      </w:rPr>
    </w:lvl>
    <w:lvl w:ilvl="1" w:tplc="6638E39C">
      <w:start w:val="1"/>
      <w:numFmt w:val="bullet"/>
      <w:lvlText w:val="o"/>
      <w:lvlJc w:val="left"/>
      <w:pPr>
        <w:ind w:left="1440" w:hanging="360"/>
      </w:pPr>
      <w:rPr>
        <w:rFonts w:ascii="Courier New" w:hAnsi="Courier New" w:hint="default"/>
      </w:rPr>
    </w:lvl>
    <w:lvl w:ilvl="2" w:tplc="64DCCA3A">
      <w:start w:val="1"/>
      <w:numFmt w:val="bullet"/>
      <w:lvlText w:val=""/>
      <w:lvlJc w:val="left"/>
      <w:pPr>
        <w:ind w:left="2160" w:hanging="360"/>
      </w:pPr>
      <w:rPr>
        <w:rFonts w:ascii="Wingdings" w:hAnsi="Wingdings" w:hint="default"/>
      </w:rPr>
    </w:lvl>
    <w:lvl w:ilvl="3" w:tplc="A4C0D532">
      <w:start w:val="1"/>
      <w:numFmt w:val="bullet"/>
      <w:lvlText w:val=""/>
      <w:lvlJc w:val="left"/>
      <w:pPr>
        <w:ind w:left="2880" w:hanging="360"/>
      </w:pPr>
      <w:rPr>
        <w:rFonts w:ascii="Symbol" w:hAnsi="Symbol" w:hint="default"/>
      </w:rPr>
    </w:lvl>
    <w:lvl w:ilvl="4" w:tplc="8D00A77A">
      <w:start w:val="1"/>
      <w:numFmt w:val="bullet"/>
      <w:lvlText w:val="o"/>
      <w:lvlJc w:val="left"/>
      <w:pPr>
        <w:ind w:left="3600" w:hanging="360"/>
      </w:pPr>
      <w:rPr>
        <w:rFonts w:ascii="Courier New" w:hAnsi="Courier New" w:hint="default"/>
      </w:rPr>
    </w:lvl>
    <w:lvl w:ilvl="5" w:tplc="7EFC2B80">
      <w:start w:val="1"/>
      <w:numFmt w:val="bullet"/>
      <w:lvlText w:val=""/>
      <w:lvlJc w:val="left"/>
      <w:pPr>
        <w:ind w:left="4320" w:hanging="360"/>
      </w:pPr>
      <w:rPr>
        <w:rFonts w:ascii="Wingdings" w:hAnsi="Wingdings" w:hint="default"/>
      </w:rPr>
    </w:lvl>
    <w:lvl w:ilvl="6" w:tplc="13CA6CB6">
      <w:start w:val="1"/>
      <w:numFmt w:val="bullet"/>
      <w:lvlText w:val=""/>
      <w:lvlJc w:val="left"/>
      <w:pPr>
        <w:ind w:left="5040" w:hanging="360"/>
      </w:pPr>
      <w:rPr>
        <w:rFonts w:ascii="Symbol" w:hAnsi="Symbol" w:hint="default"/>
      </w:rPr>
    </w:lvl>
    <w:lvl w:ilvl="7" w:tplc="04965018">
      <w:start w:val="1"/>
      <w:numFmt w:val="bullet"/>
      <w:lvlText w:val="o"/>
      <w:lvlJc w:val="left"/>
      <w:pPr>
        <w:ind w:left="5760" w:hanging="360"/>
      </w:pPr>
      <w:rPr>
        <w:rFonts w:ascii="Courier New" w:hAnsi="Courier New" w:hint="default"/>
      </w:rPr>
    </w:lvl>
    <w:lvl w:ilvl="8" w:tplc="111259F4">
      <w:start w:val="1"/>
      <w:numFmt w:val="bullet"/>
      <w:lvlText w:val=""/>
      <w:lvlJc w:val="left"/>
      <w:pPr>
        <w:ind w:left="6480" w:hanging="360"/>
      </w:pPr>
      <w:rPr>
        <w:rFonts w:ascii="Wingdings" w:hAnsi="Wingdings" w:hint="default"/>
      </w:rPr>
    </w:lvl>
  </w:abstractNum>
  <w:abstractNum w:abstractNumId="6" w15:restartNumberingAfterBreak="0">
    <w:nsid w:val="77141811"/>
    <w:multiLevelType w:val="hybridMultilevel"/>
    <w:tmpl w:val="FB86E794"/>
    <w:lvl w:ilvl="0" w:tplc="C4D0DE4E">
      <w:start w:val="1"/>
      <w:numFmt w:val="bullet"/>
      <w:lvlText w:val="-"/>
      <w:lvlJc w:val="left"/>
      <w:pPr>
        <w:ind w:left="720" w:hanging="360"/>
      </w:pPr>
      <w:rPr>
        <w:rFonts w:ascii="Calibri" w:hAnsi="Calibri" w:hint="default"/>
      </w:rPr>
    </w:lvl>
    <w:lvl w:ilvl="1" w:tplc="094E781A">
      <w:start w:val="1"/>
      <w:numFmt w:val="bullet"/>
      <w:lvlText w:val="o"/>
      <w:lvlJc w:val="left"/>
      <w:pPr>
        <w:ind w:left="1440" w:hanging="360"/>
      </w:pPr>
      <w:rPr>
        <w:rFonts w:ascii="Courier New" w:hAnsi="Courier New" w:hint="default"/>
      </w:rPr>
    </w:lvl>
    <w:lvl w:ilvl="2" w:tplc="214CDFBA">
      <w:start w:val="1"/>
      <w:numFmt w:val="bullet"/>
      <w:lvlText w:val=""/>
      <w:lvlJc w:val="left"/>
      <w:pPr>
        <w:ind w:left="2160" w:hanging="360"/>
      </w:pPr>
      <w:rPr>
        <w:rFonts w:ascii="Wingdings" w:hAnsi="Wingdings" w:hint="default"/>
      </w:rPr>
    </w:lvl>
    <w:lvl w:ilvl="3" w:tplc="A3C2D290">
      <w:start w:val="1"/>
      <w:numFmt w:val="bullet"/>
      <w:lvlText w:val=""/>
      <w:lvlJc w:val="left"/>
      <w:pPr>
        <w:ind w:left="2880" w:hanging="360"/>
      </w:pPr>
      <w:rPr>
        <w:rFonts w:ascii="Symbol" w:hAnsi="Symbol" w:hint="default"/>
      </w:rPr>
    </w:lvl>
    <w:lvl w:ilvl="4" w:tplc="7280F2F6">
      <w:start w:val="1"/>
      <w:numFmt w:val="bullet"/>
      <w:lvlText w:val="o"/>
      <w:lvlJc w:val="left"/>
      <w:pPr>
        <w:ind w:left="3600" w:hanging="360"/>
      </w:pPr>
      <w:rPr>
        <w:rFonts w:ascii="Courier New" w:hAnsi="Courier New" w:hint="default"/>
      </w:rPr>
    </w:lvl>
    <w:lvl w:ilvl="5" w:tplc="845AF710">
      <w:start w:val="1"/>
      <w:numFmt w:val="bullet"/>
      <w:lvlText w:val=""/>
      <w:lvlJc w:val="left"/>
      <w:pPr>
        <w:ind w:left="4320" w:hanging="360"/>
      </w:pPr>
      <w:rPr>
        <w:rFonts w:ascii="Wingdings" w:hAnsi="Wingdings" w:hint="default"/>
      </w:rPr>
    </w:lvl>
    <w:lvl w:ilvl="6" w:tplc="C03EA988">
      <w:start w:val="1"/>
      <w:numFmt w:val="bullet"/>
      <w:lvlText w:val=""/>
      <w:lvlJc w:val="left"/>
      <w:pPr>
        <w:ind w:left="5040" w:hanging="360"/>
      </w:pPr>
      <w:rPr>
        <w:rFonts w:ascii="Symbol" w:hAnsi="Symbol" w:hint="default"/>
      </w:rPr>
    </w:lvl>
    <w:lvl w:ilvl="7" w:tplc="49F6CE94">
      <w:start w:val="1"/>
      <w:numFmt w:val="bullet"/>
      <w:lvlText w:val="o"/>
      <w:lvlJc w:val="left"/>
      <w:pPr>
        <w:ind w:left="5760" w:hanging="360"/>
      </w:pPr>
      <w:rPr>
        <w:rFonts w:ascii="Courier New" w:hAnsi="Courier New" w:hint="default"/>
      </w:rPr>
    </w:lvl>
    <w:lvl w:ilvl="8" w:tplc="86D053D0">
      <w:start w:val="1"/>
      <w:numFmt w:val="bullet"/>
      <w:lvlText w:val=""/>
      <w:lvlJc w:val="left"/>
      <w:pPr>
        <w:ind w:left="6480" w:hanging="360"/>
      </w:pPr>
      <w:rPr>
        <w:rFonts w:ascii="Wingdings" w:hAnsi="Wingdings" w:hint="default"/>
      </w:rPr>
    </w:lvl>
  </w:abstractNum>
  <w:num w:numId="1" w16cid:durableId="7106059">
    <w:abstractNumId w:val="5"/>
  </w:num>
  <w:num w:numId="2" w16cid:durableId="1638025007">
    <w:abstractNumId w:val="6"/>
  </w:num>
  <w:num w:numId="3" w16cid:durableId="1903909765">
    <w:abstractNumId w:val="1"/>
  </w:num>
  <w:num w:numId="4" w16cid:durableId="928781080">
    <w:abstractNumId w:val="4"/>
  </w:num>
  <w:num w:numId="5" w16cid:durableId="1628857319">
    <w:abstractNumId w:val="0"/>
  </w:num>
  <w:num w:numId="6" w16cid:durableId="1819421883">
    <w:abstractNumId w:val="3"/>
  </w:num>
  <w:num w:numId="7" w16cid:durableId="260459167">
    <w:abstractNumId w:val="2"/>
  </w:num>
  <w:num w:numId="8" w16cid:durableId="194376083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050D78"/>
    <w:rsid w:val="00003AC8"/>
    <w:rsid w:val="000057B9"/>
    <w:rsid w:val="0000598E"/>
    <w:rsid w:val="0000615B"/>
    <w:rsid w:val="00007FCA"/>
    <w:rsid w:val="000132A6"/>
    <w:rsid w:val="00016245"/>
    <w:rsid w:val="000254C2"/>
    <w:rsid w:val="00026682"/>
    <w:rsid w:val="00027373"/>
    <w:rsid w:val="00030405"/>
    <w:rsid w:val="00030AB7"/>
    <w:rsid w:val="00032198"/>
    <w:rsid w:val="00043703"/>
    <w:rsid w:val="000464AB"/>
    <w:rsid w:val="000466EA"/>
    <w:rsid w:val="00050D78"/>
    <w:rsid w:val="00052FD6"/>
    <w:rsid w:val="000542DA"/>
    <w:rsid w:val="00055C5C"/>
    <w:rsid w:val="00070BA3"/>
    <w:rsid w:val="00075243"/>
    <w:rsid w:val="000806FC"/>
    <w:rsid w:val="00081218"/>
    <w:rsid w:val="000822F1"/>
    <w:rsid w:val="000825F7"/>
    <w:rsid w:val="000834B0"/>
    <w:rsid w:val="000925B7"/>
    <w:rsid w:val="00093EA0"/>
    <w:rsid w:val="00094BFF"/>
    <w:rsid w:val="0009647A"/>
    <w:rsid w:val="00096BAA"/>
    <w:rsid w:val="000A1711"/>
    <w:rsid w:val="000A2F1C"/>
    <w:rsid w:val="000A4202"/>
    <w:rsid w:val="000A7A0F"/>
    <w:rsid w:val="000B0DF7"/>
    <w:rsid w:val="000B5F4C"/>
    <w:rsid w:val="000C0529"/>
    <w:rsid w:val="000C2A92"/>
    <w:rsid w:val="000C6D33"/>
    <w:rsid w:val="000C7FC7"/>
    <w:rsid w:val="000D335B"/>
    <w:rsid w:val="000D3BA7"/>
    <w:rsid w:val="000D4FB2"/>
    <w:rsid w:val="000D5DE1"/>
    <w:rsid w:val="000D628D"/>
    <w:rsid w:val="000E0D58"/>
    <w:rsid w:val="000F0B70"/>
    <w:rsid w:val="000F11DA"/>
    <w:rsid w:val="000F3904"/>
    <w:rsid w:val="000F4168"/>
    <w:rsid w:val="00101272"/>
    <w:rsid w:val="00102121"/>
    <w:rsid w:val="001032F5"/>
    <w:rsid w:val="00104B7E"/>
    <w:rsid w:val="0010513F"/>
    <w:rsid w:val="00106B6B"/>
    <w:rsid w:val="0011195E"/>
    <w:rsid w:val="001200AC"/>
    <w:rsid w:val="00121EE3"/>
    <w:rsid w:val="00127D42"/>
    <w:rsid w:val="00127F26"/>
    <w:rsid w:val="00134011"/>
    <w:rsid w:val="00144DBA"/>
    <w:rsid w:val="001522AB"/>
    <w:rsid w:val="00153DB9"/>
    <w:rsid w:val="00154B5F"/>
    <w:rsid w:val="00170909"/>
    <w:rsid w:val="001729AF"/>
    <w:rsid w:val="001748F7"/>
    <w:rsid w:val="001764C5"/>
    <w:rsid w:val="001834D1"/>
    <w:rsid w:val="00185265"/>
    <w:rsid w:val="001863E0"/>
    <w:rsid w:val="00193FE8"/>
    <w:rsid w:val="001943BD"/>
    <w:rsid w:val="001954F0"/>
    <w:rsid w:val="00197888"/>
    <w:rsid w:val="001B1645"/>
    <w:rsid w:val="001C0312"/>
    <w:rsid w:val="001C27E3"/>
    <w:rsid w:val="001C29FF"/>
    <w:rsid w:val="001C5903"/>
    <w:rsid w:val="001D030E"/>
    <w:rsid w:val="001D1549"/>
    <w:rsid w:val="001D237F"/>
    <w:rsid w:val="001D393F"/>
    <w:rsid w:val="001D3FAD"/>
    <w:rsid w:val="001E17EE"/>
    <w:rsid w:val="001E34B3"/>
    <w:rsid w:val="001E59B8"/>
    <w:rsid w:val="001F03EC"/>
    <w:rsid w:val="001F1BE5"/>
    <w:rsid w:val="001F2DCC"/>
    <w:rsid w:val="001F52AB"/>
    <w:rsid w:val="001F7E12"/>
    <w:rsid w:val="00210435"/>
    <w:rsid w:val="002121FC"/>
    <w:rsid w:val="00213A6C"/>
    <w:rsid w:val="00214F64"/>
    <w:rsid w:val="00215C68"/>
    <w:rsid w:val="002205B8"/>
    <w:rsid w:val="002213D2"/>
    <w:rsid w:val="002245DF"/>
    <w:rsid w:val="0023110F"/>
    <w:rsid w:val="0024247D"/>
    <w:rsid w:val="00242542"/>
    <w:rsid w:val="002427ED"/>
    <w:rsid w:val="00242992"/>
    <w:rsid w:val="002433D9"/>
    <w:rsid w:val="002456F8"/>
    <w:rsid w:val="0025211E"/>
    <w:rsid w:val="002618FB"/>
    <w:rsid w:val="0026268F"/>
    <w:rsid w:val="00265233"/>
    <w:rsid w:val="00265AB3"/>
    <w:rsid w:val="002749F1"/>
    <w:rsid w:val="00282EE2"/>
    <w:rsid w:val="00284309"/>
    <w:rsid w:val="00284FCC"/>
    <w:rsid w:val="00286908"/>
    <w:rsid w:val="00290EA3"/>
    <w:rsid w:val="00290FF3"/>
    <w:rsid w:val="00291473"/>
    <w:rsid w:val="002958DE"/>
    <w:rsid w:val="00296292"/>
    <w:rsid w:val="0029794E"/>
    <w:rsid w:val="002A4432"/>
    <w:rsid w:val="002B0545"/>
    <w:rsid w:val="002B463B"/>
    <w:rsid w:val="002B7C90"/>
    <w:rsid w:val="002C0D61"/>
    <w:rsid w:val="002C3F6E"/>
    <w:rsid w:val="002C40E0"/>
    <w:rsid w:val="002C7685"/>
    <w:rsid w:val="002D3E3F"/>
    <w:rsid w:val="002D5208"/>
    <w:rsid w:val="002D68FB"/>
    <w:rsid w:val="002D786E"/>
    <w:rsid w:val="002E2906"/>
    <w:rsid w:val="002E3EC6"/>
    <w:rsid w:val="002E5C8F"/>
    <w:rsid w:val="002F1162"/>
    <w:rsid w:val="002F366B"/>
    <w:rsid w:val="002F6008"/>
    <w:rsid w:val="002F7513"/>
    <w:rsid w:val="003127AE"/>
    <w:rsid w:val="00317EEB"/>
    <w:rsid w:val="003213FA"/>
    <w:rsid w:val="003233D5"/>
    <w:rsid w:val="00324515"/>
    <w:rsid w:val="00324728"/>
    <w:rsid w:val="003335FA"/>
    <w:rsid w:val="00336FEF"/>
    <w:rsid w:val="00343AF3"/>
    <w:rsid w:val="00345FE4"/>
    <w:rsid w:val="00354BC3"/>
    <w:rsid w:val="00361A43"/>
    <w:rsid w:val="00361F86"/>
    <w:rsid w:val="0036364A"/>
    <w:rsid w:val="00371DEC"/>
    <w:rsid w:val="00372652"/>
    <w:rsid w:val="0037290C"/>
    <w:rsid w:val="00374685"/>
    <w:rsid w:val="003748CD"/>
    <w:rsid w:val="0038045F"/>
    <w:rsid w:val="00385AF1"/>
    <w:rsid w:val="00391D8D"/>
    <w:rsid w:val="003965AE"/>
    <w:rsid w:val="003A4196"/>
    <w:rsid w:val="003A4261"/>
    <w:rsid w:val="003A5917"/>
    <w:rsid w:val="003A635C"/>
    <w:rsid w:val="003B0886"/>
    <w:rsid w:val="003B38A3"/>
    <w:rsid w:val="003B64E0"/>
    <w:rsid w:val="003C145C"/>
    <w:rsid w:val="003C3EE3"/>
    <w:rsid w:val="003D1B52"/>
    <w:rsid w:val="003D39AD"/>
    <w:rsid w:val="003D57CF"/>
    <w:rsid w:val="003E092A"/>
    <w:rsid w:val="003E160B"/>
    <w:rsid w:val="003E38CC"/>
    <w:rsid w:val="003E61CE"/>
    <w:rsid w:val="003F199D"/>
    <w:rsid w:val="003F24D5"/>
    <w:rsid w:val="003F4C50"/>
    <w:rsid w:val="003F578C"/>
    <w:rsid w:val="003F5B16"/>
    <w:rsid w:val="003F6BD7"/>
    <w:rsid w:val="00403347"/>
    <w:rsid w:val="00403DE3"/>
    <w:rsid w:val="00404310"/>
    <w:rsid w:val="00407A3D"/>
    <w:rsid w:val="00410D48"/>
    <w:rsid w:val="00411C9B"/>
    <w:rsid w:val="00417579"/>
    <w:rsid w:val="00423126"/>
    <w:rsid w:val="0042620A"/>
    <w:rsid w:val="0044373E"/>
    <w:rsid w:val="00445180"/>
    <w:rsid w:val="0045020E"/>
    <w:rsid w:val="00450865"/>
    <w:rsid w:val="00453868"/>
    <w:rsid w:val="00456D73"/>
    <w:rsid w:val="004661BC"/>
    <w:rsid w:val="00467879"/>
    <w:rsid w:val="00470A1D"/>
    <w:rsid w:val="00473959"/>
    <w:rsid w:val="0048502C"/>
    <w:rsid w:val="0049073B"/>
    <w:rsid w:val="00491D69"/>
    <w:rsid w:val="0049560F"/>
    <w:rsid w:val="004964AF"/>
    <w:rsid w:val="00496C10"/>
    <w:rsid w:val="004A0B5E"/>
    <w:rsid w:val="004A3053"/>
    <w:rsid w:val="004A3E96"/>
    <w:rsid w:val="004B1850"/>
    <w:rsid w:val="004B1CF4"/>
    <w:rsid w:val="004B352D"/>
    <w:rsid w:val="004B354F"/>
    <w:rsid w:val="004B5A6C"/>
    <w:rsid w:val="004C3CBE"/>
    <w:rsid w:val="004C4ABA"/>
    <w:rsid w:val="004D0E14"/>
    <w:rsid w:val="004D654B"/>
    <w:rsid w:val="004D67AD"/>
    <w:rsid w:val="004D67E6"/>
    <w:rsid w:val="004D7D15"/>
    <w:rsid w:val="004D7D59"/>
    <w:rsid w:val="004F1D3B"/>
    <w:rsid w:val="004F1E05"/>
    <w:rsid w:val="004F58D8"/>
    <w:rsid w:val="0050313E"/>
    <w:rsid w:val="00503852"/>
    <w:rsid w:val="00511147"/>
    <w:rsid w:val="00514DC4"/>
    <w:rsid w:val="00515AF0"/>
    <w:rsid w:val="00516634"/>
    <w:rsid w:val="00526F38"/>
    <w:rsid w:val="00527ABD"/>
    <w:rsid w:val="00527FC8"/>
    <w:rsid w:val="005302D7"/>
    <w:rsid w:val="005346D0"/>
    <w:rsid w:val="00534BD2"/>
    <w:rsid w:val="00541BFE"/>
    <w:rsid w:val="005464EC"/>
    <w:rsid w:val="005545D8"/>
    <w:rsid w:val="00554CDB"/>
    <w:rsid w:val="005565A1"/>
    <w:rsid w:val="005618E4"/>
    <w:rsid w:val="0056195E"/>
    <w:rsid w:val="005634EB"/>
    <w:rsid w:val="00565A00"/>
    <w:rsid w:val="00573220"/>
    <w:rsid w:val="00573BE6"/>
    <w:rsid w:val="0057706A"/>
    <w:rsid w:val="005772F6"/>
    <w:rsid w:val="005814E2"/>
    <w:rsid w:val="00582231"/>
    <w:rsid w:val="00582C57"/>
    <w:rsid w:val="0059030D"/>
    <w:rsid w:val="00591745"/>
    <w:rsid w:val="00592E68"/>
    <w:rsid w:val="0059749D"/>
    <w:rsid w:val="005978B3"/>
    <w:rsid w:val="005A2F0A"/>
    <w:rsid w:val="005B28D9"/>
    <w:rsid w:val="005B6B77"/>
    <w:rsid w:val="005C152D"/>
    <w:rsid w:val="005C5CDD"/>
    <w:rsid w:val="005D1876"/>
    <w:rsid w:val="005D1D81"/>
    <w:rsid w:val="005D4CBE"/>
    <w:rsid w:val="005E4AE2"/>
    <w:rsid w:val="00604F94"/>
    <w:rsid w:val="006103FE"/>
    <w:rsid w:val="0061271A"/>
    <w:rsid w:val="00614301"/>
    <w:rsid w:val="0061671F"/>
    <w:rsid w:val="006177AC"/>
    <w:rsid w:val="00625A80"/>
    <w:rsid w:val="00625C48"/>
    <w:rsid w:val="00631D00"/>
    <w:rsid w:val="006324DB"/>
    <w:rsid w:val="00634716"/>
    <w:rsid w:val="00637BCC"/>
    <w:rsid w:val="00637D66"/>
    <w:rsid w:val="00640734"/>
    <w:rsid w:val="00644571"/>
    <w:rsid w:val="00663DC3"/>
    <w:rsid w:val="00667461"/>
    <w:rsid w:val="00674FC3"/>
    <w:rsid w:val="0067600A"/>
    <w:rsid w:val="0067774D"/>
    <w:rsid w:val="006805E2"/>
    <w:rsid w:val="006827F4"/>
    <w:rsid w:val="00683E61"/>
    <w:rsid w:val="00692EC4"/>
    <w:rsid w:val="0069495B"/>
    <w:rsid w:val="006A0F45"/>
    <w:rsid w:val="006A2C85"/>
    <w:rsid w:val="006A343C"/>
    <w:rsid w:val="006A5F56"/>
    <w:rsid w:val="006B22B5"/>
    <w:rsid w:val="006B3D2C"/>
    <w:rsid w:val="006C1789"/>
    <w:rsid w:val="006C5FE2"/>
    <w:rsid w:val="006C7B63"/>
    <w:rsid w:val="006D0C2B"/>
    <w:rsid w:val="006D5FEF"/>
    <w:rsid w:val="006E07AE"/>
    <w:rsid w:val="006E6D72"/>
    <w:rsid w:val="006F294E"/>
    <w:rsid w:val="006F33FA"/>
    <w:rsid w:val="006F70A2"/>
    <w:rsid w:val="00701F07"/>
    <w:rsid w:val="0070308C"/>
    <w:rsid w:val="0071404A"/>
    <w:rsid w:val="00717404"/>
    <w:rsid w:val="007200D3"/>
    <w:rsid w:val="0072077D"/>
    <w:rsid w:val="00721198"/>
    <w:rsid w:val="007250B9"/>
    <w:rsid w:val="00727498"/>
    <w:rsid w:val="00727706"/>
    <w:rsid w:val="00727855"/>
    <w:rsid w:val="0073024E"/>
    <w:rsid w:val="0074032C"/>
    <w:rsid w:val="007408F9"/>
    <w:rsid w:val="00751DB9"/>
    <w:rsid w:val="00752078"/>
    <w:rsid w:val="007538BF"/>
    <w:rsid w:val="007564F4"/>
    <w:rsid w:val="00757D61"/>
    <w:rsid w:val="00760087"/>
    <w:rsid w:val="0076130A"/>
    <w:rsid w:val="00773BEA"/>
    <w:rsid w:val="0077518E"/>
    <w:rsid w:val="007770E1"/>
    <w:rsid w:val="007776AC"/>
    <w:rsid w:val="007856C8"/>
    <w:rsid w:val="007922AA"/>
    <w:rsid w:val="00795373"/>
    <w:rsid w:val="00796A0B"/>
    <w:rsid w:val="007A1CF4"/>
    <w:rsid w:val="007A1FF6"/>
    <w:rsid w:val="007A61D4"/>
    <w:rsid w:val="007B37C5"/>
    <w:rsid w:val="007D00F6"/>
    <w:rsid w:val="007D7066"/>
    <w:rsid w:val="007D7886"/>
    <w:rsid w:val="007E0165"/>
    <w:rsid w:val="007E0300"/>
    <w:rsid w:val="007E3D04"/>
    <w:rsid w:val="007E4423"/>
    <w:rsid w:val="007E5896"/>
    <w:rsid w:val="007F1DF3"/>
    <w:rsid w:val="007F2A4C"/>
    <w:rsid w:val="007F565F"/>
    <w:rsid w:val="008017C5"/>
    <w:rsid w:val="00804BDA"/>
    <w:rsid w:val="00816F91"/>
    <w:rsid w:val="00817E17"/>
    <w:rsid w:val="0082355E"/>
    <w:rsid w:val="008246A7"/>
    <w:rsid w:val="00826BB5"/>
    <w:rsid w:val="00826E53"/>
    <w:rsid w:val="00832B88"/>
    <w:rsid w:val="00833AF9"/>
    <w:rsid w:val="00833E0B"/>
    <w:rsid w:val="00834AEA"/>
    <w:rsid w:val="00835599"/>
    <w:rsid w:val="00836325"/>
    <w:rsid w:val="00840003"/>
    <w:rsid w:val="00840AC5"/>
    <w:rsid w:val="00846C67"/>
    <w:rsid w:val="0085315C"/>
    <w:rsid w:val="00860C42"/>
    <w:rsid w:val="008617A7"/>
    <w:rsid w:val="008711A3"/>
    <w:rsid w:val="00875C2C"/>
    <w:rsid w:val="00880F10"/>
    <w:rsid w:val="008850E9"/>
    <w:rsid w:val="00886825"/>
    <w:rsid w:val="00890595"/>
    <w:rsid w:val="0089708E"/>
    <w:rsid w:val="008A24FC"/>
    <w:rsid w:val="008A339D"/>
    <w:rsid w:val="008B0A34"/>
    <w:rsid w:val="008B1511"/>
    <w:rsid w:val="008B41FE"/>
    <w:rsid w:val="008B4E30"/>
    <w:rsid w:val="008B5902"/>
    <w:rsid w:val="008C365D"/>
    <w:rsid w:val="008C41B0"/>
    <w:rsid w:val="008C5138"/>
    <w:rsid w:val="008D24BB"/>
    <w:rsid w:val="008D49EE"/>
    <w:rsid w:val="008D4FDA"/>
    <w:rsid w:val="008E06CF"/>
    <w:rsid w:val="008E3253"/>
    <w:rsid w:val="008E4274"/>
    <w:rsid w:val="008E4ECE"/>
    <w:rsid w:val="008E7BC5"/>
    <w:rsid w:val="008F6BCE"/>
    <w:rsid w:val="008F7F60"/>
    <w:rsid w:val="00901BB2"/>
    <w:rsid w:val="0090317E"/>
    <w:rsid w:val="00904625"/>
    <w:rsid w:val="00906A8A"/>
    <w:rsid w:val="009133C4"/>
    <w:rsid w:val="00914E6F"/>
    <w:rsid w:val="00915C74"/>
    <w:rsid w:val="00917E26"/>
    <w:rsid w:val="00920246"/>
    <w:rsid w:val="009209F8"/>
    <w:rsid w:val="00922330"/>
    <w:rsid w:val="00923851"/>
    <w:rsid w:val="00925ECA"/>
    <w:rsid w:val="00926663"/>
    <w:rsid w:val="009371D1"/>
    <w:rsid w:val="009427B9"/>
    <w:rsid w:val="009514B9"/>
    <w:rsid w:val="009515FE"/>
    <w:rsid w:val="009539DD"/>
    <w:rsid w:val="009548B5"/>
    <w:rsid w:val="00955D0F"/>
    <w:rsid w:val="0096175B"/>
    <w:rsid w:val="009650FC"/>
    <w:rsid w:val="00981EBB"/>
    <w:rsid w:val="00982196"/>
    <w:rsid w:val="00982F79"/>
    <w:rsid w:val="009853B4"/>
    <w:rsid w:val="00985471"/>
    <w:rsid w:val="009855D2"/>
    <w:rsid w:val="00991311"/>
    <w:rsid w:val="009A0AC8"/>
    <w:rsid w:val="009A1E61"/>
    <w:rsid w:val="009B5EB5"/>
    <w:rsid w:val="009B7677"/>
    <w:rsid w:val="009C0A21"/>
    <w:rsid w:val="009C1EDE"/>
    <w:rsid w:val="009C58DA"/>
    <w:rsid w:val="009D5E87"/>
    <w:rsid w:val="009D6CAA"/>
    <w:rsid w:val="009E27D4"/>
    <w:rsid w:val="009E31FB"/>
    <w:rsid w:val="009E5781"/>
    <w:rsid w:val="009E5C13"/>
    <w:rsid w:val="009E71F2"/>
    <w:rsid w:val="009E760C"/>
    <w:rsid w:val="009F2093"/>
    <w:rsid w:val="009F20BA"/>
    <w:rsid w:val="009F3D5A"/>
    <w:rsid w:val="009F5564"/>
    <w:rsid w:val="009F69D9"/>
    <w:rsid w:val="00A06573"/>
    <w:rsid w:val="00A07783"/>
    <w:rsid w:val="00A100E5"/>
    <w:rsid w:val="00A17566"/>
    <w:rsid w:val="00A2004C"/>
    <w:rsid w:val="00A2513D"/>
    <w:rsid w:val="00A3709F"/>
    <w:rsid w:val="00A371AE"/>
    <w:rsid w:val="00A40A07"/>
    <w:rsid w:val="00A42A5C"/>
    <w:rsid w:val="00A448DE"/>
    <w:rsid w:val="00A468B5"/>
    <w:rsid w:val="00A47795"/>
    <w:rsid w:val="00A5579D"/>
    <w:rsid w:val="00A67740"/>
    <w:rsid w:val="00A67C1F"/>
    <w:rsid w:val="00A7373F"/>
    <w:rsid w:val="00A74372"/>
    <w:rsid w:val="00A80940"/>
    <w:rsid w:val="00A80B0C"/>
    <w:rsid w:val="00A86FAC"/>
    <w:rsid w:val="00A95275"/>
    <w:rsid w:val="00AA2E4B"/>
    <w:rsid w:val="00AA4716"/>
    <w:rsid w:val="00AA5C15"/>
    <w:rsid w:val="00AA6893"/>
    <w:rsid w:val="00AB4630"/>
    <w:rsid w:val="00AB50C5"/>
    <w:rsid w:val="00AB739B"/>
    <w:rsid w:val="00AC2C6B"/>
    <w:rsid w:val="00AC53A6"/>
    <w:rsid w:val="00AD06DF"/>
    <w:rsid w:val="00AE14DE"/>
    <w:rsid w:val="00AE243C"/>
    <w:rsid w:val="00AE4EB6"/>
    <w:rsid w:val="00AE642D"/>
    <w:rsid w:val="00AE6E4D"/>
    <w:rsid w:val="00AE7AC0"/>
    <w:rsid w:val="00AF3A4A"/>
    <w:rsid w:val="00B061C7"/>
    <w:rsid w:val="00B07ECB"/>
    <w:rsid w:val="00B07EE9"/>
    <w:rsid w:val="00B106B3"/>
    <w:rsid w:val="00B10C86"/>
    <w:rsid w:val="00B129AB"/>
    <w:rsid w:val="00B1346B"/>
    <w:rsid w:val="00B1384C"/>
    <w:rsid w:val="00B16103"/>
    <w:rsid w:val="00B214B0"/>
    <w:rsid w:val="00B21E1F"/>
    <w:rsid w:val="00B23075"/>
    <w:rsid w:val="00B2418C"/>
    <w:rsid w:val="00B36283"/>
    <w:rsid w:val="00B37E59"/>
    <w:rsid w:val="00B43D52"/>
    <w:rsid w:val="00B457B6"/>
    <w:rsid w:val="00B46F1C"/>
    <w:rsid w:val="00B47C3D"/>
    <w:rsid w:val="00B51985"/>
    <w:rsid w:val="00B522EE"/>
    <w:rsid w:val="00B542E9"/>
    <w:rsid w:val="00B56D88"/>
    <w:rsid w:val="00B57EEC"/>
    <w:rsid w:val="00B64C18"/>
    <w:rsid w:val="00B731A0"/>
    <w:rsid w:val="00B75242"/>
    <w:rsid w:val="00B77D8F"/>
    <w:rsid w:val="00B81418"/>
    <w:rsid w:val="00B86B49"/>
    <w:rsid w:val="00B96F9C"/>
    <w:rsid w:val="00B96FB5"/>
    <w:rsid w:val="00B973D1"/>
    <w:rsid w:val="00BA0A73"/>
    <w:rsid w:val="00BA1983"/>
    <w:rsid w:val="00BA29B5"/>
    <w:rsid w:val="00BA3B33"/>
    <w:rsid w:val="00BA6D5B"/>
    <w:rsid w:val="00BB03DF"/>
    <w:rsid w:val="00BB26E6"/>
    <w:rsid w:val="00BB2BBF"/>
    <w:rsid w:val="00BB712D"/>
    <w:rsid w:val="00BC1358"/>
    <w:rsid w:val="00BC13EF"/>
    <w:rsid w:val="00BC443C"/>
    <w:rsid w:val="00BC6A28"/>
    <w:rsid w:val="00BC6BB7"/>
    <w:rsid w:val="00BC7677"/>
    <w:rsid w:val="00BD3836"/>
    <w:rsid w:val="00BD666B"/>
    <w:rsid w:val="00BE12D6"/>
    <w:rsid w:val="00BE4A40"/>
    <w:rsid w:val="00BF122A"/>
    <w:rsid w:val="00C04CCD"/>
    <w:rsid w:val="00C071CD"/>
    <w:rsid w:val="00C12555"/>
    <w:rsid w:val="00C16CEB"/>
    <w:rsid w:val="00C2358B"/>
    <w:rsid w:val="00C2499D"/>
    <w:rsid w:val="00C34FE5"/>
    <w:rsid w:val="00C3539C"/>
    <w:rsid w:val="00C35CD9"/>
    <w:rsid w:val="00C442FB"/>
    <w:rsid w:val="00C51335"/>
    <w:rsid w:val="00C543B6"/>
    <w:rsid w:val="00C544D1"/>
    <w:rsid w:val="00C5598E"/>
    <w:rsid w:val="00C56EA5"/>
    <w:rsid w:val="00C6534F"/>
    <w:rsid w:val="00C654EB"/>
    <w:rsid w:val="00C65752"/>
    <w:rsid w:val="00C66BC3"/>
    <w:rsid w:val="00C671BB"/>
    <w:rsid w:val="00C70670"/>
    <w:rsid w:val="00C712F9"/>
    <w:rsid w:val="00C7472F"/>
    <w:rsid w:val="00C76FC3"/>
    <w:rsid w:val="00C8211D"/>
    <w:rsid w:val="00C83413"/>
    <w:rsid w:val="00C84D01"/>
    <w:rsid w:val="00C86E5A"/>
    <w:rsid w:val="00C87421"/>
    <w:rsid w:val="00C8748D"/>
    <w:rsid w:val="00C90BD9"/>
    <w:rsid w:val="00C948FF"/>
    <w:rsid w:val="00C94B68"/>
    <w:rsid w:val="00CA2595"/>
    <w:rsid w:val="00CA388E"/>
    <w:rsid w:val="00CA7D24"/>
    <w:rsid w:val="00CB3733"/>
    <w:rsid w:val="00CB6775"/>
    <w:rsid w:val="00CB7E35"/>
    <w:rsid w:val="00CC111B"/>
    <w:rsid w:val="00CC5051"/>
    <w:rsid w:val="00CC5537"/>
    <w:rsid w:val="00CD0150"/>
    <w:rsid w:val="00CD0DF3"/>
    <w:rsid w:val="00CD2C93"/>
    <w:rsid w:val="00CD3D9D"/>
    <w:rsid w:val="00CD63FF"/>
    <w:rsid w:val="00CE6BA0"/>
    <w:rsid w:val="00CF02BA"/>
    <w:rsid w:val="00CF2125"/>
    <w:rsid w:val="00CF33F5"/>
    <w:rsid w:val="00CF6DE1"/>
    <w:rsid w:val="00D0589F"/>
    <w:rsid w:val="00D1158F"/>
    <w:rsid w:val="00D11960"/>
    <w:rsid w:val="00D1375B"/>
    <w:rsid w:val="00D14EA4"/>
    <w:rsid w:val="00D23A70"/>
    <w:rsid w:val="00D26CB5"/>
    <w:rsid w:val="00D3290C"/>
    <w:rsid w:val="00D32ABA"/>
    <w:rsid w:val="00D34190"/>
    <w:rsid w:val="00D34375"/>
    <w:rsid w:val="00D40091"/>
    <w:rsid w:val="00D402D5"/>
    <w:rsid w:val="00D434FA"/>
    <w:rsid w:val="00D5171F"/>
    <w:rsid w:val="00D5187A"/>
    <w:rsid w:val="00D53632"/>
    <w:rsid w:val="00D57520"/>
    <w:rsid w:val="00D64930"/>
    <w:rsid w:val="00D8216A"/>
    <w:rsid w:val="00D82927"/>
    <w:rsid w:val="00D829C0"/>
    <w:rsid w:val="00D8318D"/>
    <w:rsid w:val="00D853C0"/>
    <w:rsid w:val="00D859E8"/>
    <w:rsid w:val="00D8661D"/>
    <w:rsid w:val="00D93D34"/>
    <w:rsid w:val="00D97BE6"/>
    <w:rsid w:val="00DB5014"/>
    <w:rsid w:val="00DB59B9"/>
    <w:rsid w:val="00DB5D8A"/>
    <w:rsid w:val="00DB7784"/>
    <w:rsid w:val="00DC022A"/>
    <w:rsid w:val="00DC04A5"/>
    <w:rsid w:val="00DC6973"/>
    <w:rsid w:val="00DD4EE5"/>
    <w:rsid w:val="00DD6804"/>
    <w:rsid w:val="00DE2E90"/>
    <w:rsid w:val="00DF06E1"/>
    <w:rsid w:val="00DF37EA"/>
    <w:rsid w:val="00DF3F96"/>
    <w:rsid w:val="00DF575E"/>
    <w:rsid w:val="00DF64E3"/>
    <w:rsid w:val="00E00B70"/>
    <w:rsid w:val="00E02230"/>
    <w:rsid w:val="00E0281E"/>
    <w:rsid w:val="00E02F72"/>
    <w:rsid w:val="00E05B4A"/>
    <w:rsid w:val="00E12AF3"/>
    <w:rsid w:val="00E1341F"/>
    <w:rsid w:val="00E14382"/>
    <w:rsid w:val="00E15DD8"/>
    <w:rsid w:val="00E30F0A"/>
    <w:rsid w:val="00E339BF"/>
    <w:rsid w:val="00E34BA9"/>
    <w:rsid w:val="00E354B1"/>
    <w:rsid w:val="00E41DB8"/>
    <w:rsid w:val="00E442D6"/>
    <w:rsid w:val="00E46CD2"/>
    <w:rsid w:val="00E470C0"/>
    <w:rsid w:val="00E50002"/>
    <w:rsid w:val="00E50BF9"/>
    <w:rsid w:val="00E52204"/>
    <w:rsid w:val="00E53E93"/>
    <w:rsid w:val="00E55C98"/>
    <w:rsid w:val="00E57AB6"/>
    <w:rsid w:val="00E57CC4"/>
    <w:rsid w:val="00E62164"/>
    <w:rsid w:val="00E71458"/>
    <w:rsid w:val="00E77E1E"/>
    <w:rsid w:val="00E80ABD"/>
    <w:rsid w:val="00E82088"/>
    <w:rsid w:val="00E849BA"/>
    <w:rsid w:val="00E9079D"/>
    <w:rsid w:val="00E9497E"/>
    <w:rsid w:val="00EA2A00"/>
    <w:rsid w:val="00EB0173"/>
    <w:rsid w:val="00EB5AAC"/>
    <w:rsid w:val="00EC2CFA"/>
    <w:rsid w:val="00EC36D1"/>
    <w:rsid w:val="00ED23AA"/>
    <w:rsid w:val="00EE2478"/>
    <w:rsid w:val="00EE2D6D"/>
    <w:rsid w:val="00EE2FA0"/>
    <w:rsid w:val="00EF19CE"/>
    <w:rsid w:val="00F01E5D"/>
    <w:rsid w:val="00F1059C"/>
    <w:rsid w:val="00F11B10"/>
    <w:rsid w:val="00F12E03"/>
    <w:rsid w:val="00F13A55"/>
    <w:rsid w:val="00F13BB9"/>
    <w:rsid w:val="00F14C6D"/>
    <w:rsid w:val="00F161E9"/>
    <w:rsid w:val="00F16228"/>
    <w:rsid w:val="00F16F2B"/>
    <w:rsid w:val="00F279F0"/>
    <w:rsid w:val="00F31CCD"/>
    <w:rsid w:val="00F3464D"/>
    <w:rsid w:val="00F409FE"/>
    <w:rsid w:val="00F41EDF"/>
    <w:rsid w:val="00F50BCB"/>
    <w:rsid w:val="00F51FA9"/>
    <w:rsid w:val="00F52A18"/>
    <w:rsid w:val="00F62761"/>
    <w:rsid w:val="00F71AEA"/>
    <w:rsid w:val="00F72B0E"/>
    <w:rsid w:val="00F802AF"/>
    <w:rsid w:val="00F909AA"/>
    <w:rsid w:val="00F93A25"/>
    <w:rsid w:val="00F9418D"/>
    <w:rsid w:val="00F94FB2"/>
    <w:rsid w:val="00F95591"/>
    <w:rsid w:val="00F96248"/>
    <w:rsid w:val="00FA2B8D"/>
    <w:rsid w:val="00FB1645"/>
    <w:rsid w:val="00FB235D"/>
    <w:rsid w:val="00FB5C42"/>
    <w:rsid w:val="00FB67B3"/>
    <w:rsid w:val="00FC1D8D"/>
    <w:rsid w:val="00FC7F0F"/>
    <w:rsid w:val="00FC7F1E"/>
    <w:rsid w:val="00FD13F4"/>
    <w:rsid w:val="00FD26B4"/>
    <w:rsid w:val="00FD4813"/>
    <w:rsid w:val="00FE29A7"/>
    <w:rsid w:val="00FF237E"/>
    <w:rsid w:val="00FF355E"/>
    <w:rsid w:val="00FF5331"/>
    <w:rsid w:val="00FF6774"/>
    <w:rsid w:val="043818D8"/>
    <w:rsid w:val="0512B36E"/>
    <w:rsid w:val="090DEE83"/>
    <w:rsid w:val="09B66488"/>
    <w:rsid w:val="0B5234E9"/>
    <w:rsid w:val="0C319866"/>
    <w:rsid w:val="0D31CD49"/>
    <w:rsid w:val="0D7F7B0C"/>
    <w:rsid w:val="0D930FBD"/>
    <w:rsid w:val="0F0E988A"/>
    <w:rsid w:val="0F82EADB"/>
    <w:rsid w:val="10556615"/>
    <w:rsid w:val="11F13676"/>
    <w:rsid w:val="126680E0"/>
    <w:rsid w:val="1335000B"/>
    <w:rsid w:val="13411B76"/>
    <w:rsid w:val="13EEBC90"/>
    <w:rsid w:val="13FD030A"/>
    <w:rsid w:val="1685C92A"/>
    <w:rsid w:val="17798C1D"/>
    <w:rsid w:val="17B07D06"/>
    <w:rsid w:val="18B74BD0"/>
    <w:rsid w:val="194C4D67"/>
    <w:rsid w:val="19A3213D"/>
    <w:rsid w:val="1BA2F16D"/>
    <w:rsid w:val="1DD59465"/>
    <w:rsid w:val="2176FDF9"/>
    <w:rsid w:val="21BB6EDF"/>
    <w:rsid w:val="21D4973C"/>
    <w:rsid w:val="238A0244"/>
    <w:rsid w:val="23A58F29"/>
    <w:rsid w:val="23DDC2E4"/>
    <w:rsid w:val="2696CD88"/>
    <w:rsid w:val="26C9908C"/>
    <w:rsid w:val="26E2EABF"/>
    <w:rsid w:val="27F7A1EE"/>
    <w:rsid w:val="2ADBDE1F"/>
    <w:rsid w:val="2B5D02EE"/>
    <w:rsid w:val="2D30E48A"/>
    <w:rsid w:val="2E24A77D"/>
    <w:rsid w:val="2E2F802E"/>
    <w:rsid w:val="2EA2C994"/>
    <w:rsid w:val="2ED4A271"/>
    <w:rsid w:val="303DAFCE"/>
    <w:rsid w:val="3070A4A8"/>
    <w:rsid w:val="31105CDE"/>
    <w:rsid w:val="31CD64C4"/>
    <w:rsid w:val="344E8965"/>
    <w:rsid w:val="34AD115E"/>
    <w:rsid w:val="35DFA01C"/>
    <w:rsid w:val="363250A5"/>
    <w:rsid w:val="371B8ECF"/>
    <w:rsid w:val="377B707D"/>
    <w:rsid w:val="37B98C46"/>
    <w:rsid w:val="39E49214"/>
    <w:rsid w:val="3A175518"/>
    <w:rsid w:val="3AB3113F"/>
    <w:rsid w:val="3BB32579"/>
    <w:rsid w:val="3DEAB201"/>
    <w:rsid w:val="3EB80337"/>
    <w:rsid w:val="3F868262"/>
    <w:rsid w:val="3FE961DF"/>
    <w:rsid w:val="423BDE03"/>
    <w:rsid w:val="42CA3E8F"/>
    <w:rsid w:val="4459F385"/>
    <w:rsid w:val="44660EF0"/>
    <w:rsid w:val="45F5C3E6"/>
    <w:rsid w:val="47429555"/>
    <w:rsid w:val="479DAFB2"/>
    <w:rsid w:val="4C65056A"/>
    <w:rsid w:val="4C7120D5"/>
    <w:rsid w:val="4CA3E3D9"/>
    <w:rsid w:val="4E5A1CC7"/>
    <w:rsid w:val="4E8E54EA"/>
    <w:rsid w:val="4FDEB392"/>
    <w:rsid w:val="56046E6A"/>
    <w:rsid w:val="574961C3"/>
    <w:rsid w:val="593C0F2C"/>
    <w:rsid w:val="59B921EE"/>
    <w:rsid w:val="5A2D416E"/>
    <w:rsid w:val="5A5D0177"/>
    <w:rsid w:val="5A810285"/>
    <w:rsid w:val="5BCF7266"/>
    <w:rsid w:val="5C6E1C42"/>
    <w:rsid w:val="5C87449F"/>
    <w:rsid w:val="5D94A239"/>
    <w:rsid w:val="5DADCA96"/>
    <w:rsid w:val="5DB8A347"/>
    <w:rsid w:val="5F071328"/>
    <w:rsid w:val="5F3B4B4B"/>
    <w:rsid w:val="5F5473A8"/>
    <w:rsid w:val="622934ED"/>
    <w:rsid w:val="63D120B9"/>
    <w:rsid w:val="65BB73BE"/>
    <w:rsid w:val="67049396"/>
    <w:rsid w:val="6708C17B"/>
    <w:rsid w:val="6B4CFD31"/>
    <w:rsid w:val="6BC89DED"/>
    <w:rsid w:val="6E46822A"/>
    <w:rsid w:val="6F0E8529"/>
    <w:rsid w:val="6F13D360"/>
    <w:rsid w:val="709C0F10"/>
    <w:rsid w:val="70AA558A"/>
    <w:rsid w:val="70EA544B"/>
    <w:rsid w:val="725CC53A"/>
    <w:rsid w:val="757EE6FF"/>
    <w:rsid w:val="79EC144E"/>
    <w:rsid w:val="7F4B7F57"/>
    <w:rsid w:val="7FF87655"/>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0F1EA"/>
  <w15:docId w15:val="{658B4575-0FA4-3142-94AD-BA175CA2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CAA"/>
    <w:pPr>
      <w:jc w:val="both"/>
    </w:pPr>
  </w:style>
  <w:style w:type="paragraph" w:styleId="Ttulo1">
    <w:name w:val="heading 1"/>
    <w:basedOn w:val="Normal"/>
    <w:next w:val="Normal"/>
    <w:link w:val="Ttulo1Car"/>
    <w:uiPriority w:val="9"/>
    <w:qFormat/>
    <w:rsid w:val="006B3D2C"/>
    <w:pPr>
      <w:keepNext/>
      <w:keepLines/>
      <w:numPr>
        <w:numId w:val="7"/>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Ttulo2">
    <w:name w:val="heading 2"/>
    <w:basedOn w:val="Normal"/>
    <w:next w:val="Normal"/>
    <w:link w:val="Ttulo2Car"/>
    <w:uiPriority w:val="9"/>
    <w:unhideWhenUsed/>
    <w:qFormat/>
    <w:rsid w:val="006B3D2C"/>
    <w:pPr>
      <w:keepNext/>
      <w:keepLines/>
      <w:spacing w:before="40" w:after="0"/>
      <w:outlineLvl w:val="1"/>
    </w:pPr>
    <w:rPr>
      <w:rFonts w:asciiTheme="majorHAnsi" w:eastAsiaTheme="majorEastAsia" w:hAnsiTheme="majorHAnsi" w:cstheme="majorBidi"/>
      <w:i/>
      <w:color w:val="2F5496" w:themeColor="accent1" w:themeShade="BF"/>
      <w:sz w:val="26"/>
      <w:szCs w:val="26"/>
    </w:rPr>
  </w:style>
  <w:style w:type="paragraph" w:styleId="Ttulo3">
    <w:name w:val="heading 3"/>
    <w:basedOn w:val="Normal"/>
    <w:next w:val="Normal"/>
    <w:link w:val="Ttulo3Car"/>
    <w:uiPriority w:val="9"/>
    <w:unhideWhenUsed/>
    <w:qFormat/>
    <w:rsid w:val="00D829C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71AEA"/>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F71AEA"/>
  </w:style>
  <w:style w:type="paragraph" w:styleId="Piedepgina">
    <w:name w:val="footer"/>
    <w:basedOn w:val="Normal"/>
    <w:link w:val="PiedepginaCar"/>
    <w:uiPriority w:val="99"/>
    <w:unhideWhenUsed/>
    <w:rsid w:val="00F71AEA"/>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F71AEA"/>
  </w:style>
  <w:style w:type="character" w:styleId="Refdecomentario">
    <w:name w:val="annotation reference"/>
    <w:basedOn w:val="Fuentedeprrafopredeter"/>
    <w:uiPriority w:val="99"/>
    <w:semiHidden/>
    <w:unhideWhenUsed/>
    <w:rsid w:val="004B5A6C"/>
    <w:rPr>
      <w:sz w:val="16"/>
      <w:szCs w:val="16"/>
    </w:rPr>
  </w:style>
  <w:style w:type="paragraph" w:styleId="Textocomentario">
    <w:name w:val="annotation text"/>
    <w:basedOn w:val="Normal"/>
    <w:link w:val="TextocomentarioCar"/>
    <w:uiPriority w:val="99"/>
    <w:unhideWhenUsed/>
    <w:rsid w:val="004B5A6C"/>
    <w:pPr>
      <w:spacing w:line="240" w:lineRule="auto"/>
    </w:pPr>
    <w:rPr>
      <w:sz w:val="20"/>
      <w:szCs w:val="20"/>
    </w:rPr>
  </w:style>
  <w:style w:type="character" w:customStyle="1" w:styleId="TextocomentarioCar">
    <w:name w:val="Texto comentario Car"/>
    <w:basedOn w:val="Fuentedeprrafopredeter"/>
    <w:link w:val="Textocomentario"/>
    <w:uiPriority w:val="99"/>
    <w:rsid w:val="004B5A6C"/>
    <w:rPr>
      <w:sz w:val="20"/>
      <w:szCs w:val="20"/>
    </w:rPr>
  </w:style>
  <w:style w:type="paragraph" w:styleId="Asuntodelcomentario">
    <w:name w:val="annotation subject"/>
    <w:basedOn w:val="Textocomentario"/>
    <w:next w:val="Textocomentario"/>
    <w:link w:val="AsuntodelcomentarioCar"/>
    <w:uiPriority w:val="99"/>
    <w:semiHidden/>
    <w:unhideWhenUsed/>
    <w:rsid w:val="004B5A6C"/>
    <w:rPr>
      <w:b/>
      <w:bCs/>
    </w:rPr>
  </w:style>
  <w:style w:type="character" w:customStyle="1" w:styleId="AsuntodelcomentarioCar">
    <w:name w:val="Asunto del comentario Car"/>
    <w:basedOn w:val="TextocomentarioCar"/>
    <w:link w:val="Asuntodelcomentario"/>
    <w:uiPriority w:val="99"/>
    <w:semiHidden/>
    <w:rsid w:val="004B5A6C"/>
    <w:rPr>
      <w:b/>
      <w:bCs/>
      <w:sz w:val="20"/>
      <w:szCs w:val="20"/>
    </w:rPr>
  </w:style>
  <w:style w:type="paragraph" w:styleId="Textodeglobo">
    <w:name w:val="Balloon Text"/>
    <w:basedOn w:val="Normal"/>
    <w:link w:val="TextodegloboCar"/>
    <w:uiPriority w:val="99"/>
    <w:semiHidden/>
    <w:unhideWhenUsed/>
    <w:rsid w:val="000925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25B7"/>
    <w:rPr>
      <w:rFonts w:ascii="Segoe UI" w:hAnsi="Segoe UI" w:cs="Segoe UI"/>
      <w:sz w:val="18"/>
      <w:szCs w:val="18"/>
    </w:rPr>
  </w:style>
  <w:style w:type="character" w:styleId="Hipervnculo">
    <w:name w:val="Hyperlink"/>
    <w:basedOn w:val="Fuentedeprrafopredeter"/>
    <w:uiPriority w:val="99"/>
    <w:unhideWhenUsed/>
    <w:rsid w:val="00A67740"/>
    <w:rPr>
      <w:color w:val="0563C1" w:themeColor="hyperlink"/>
      <w:u w:val="single"/>
    </w:rPr>
  </w:style>
  <w:style w:type="character" w:customStyle="1" w:styleId="UnresolvedMention1">
    <w:name w:val="Unresolved Mention1"/>
    <w:basedOn w:val="Fuentedeprrafopredeter"/>
    <w:uiPriority w:val="99"/>
    <w:semiHidden/>
    <w:unhideWhenUsed/>
    <w:rsid w:val="00A67740"/>
    <w:rPr>
      <w:color w:val="605E5C"/>
      <w:shd w:val="clear" w:color="auto" w:fill="E1DFDD"/>
    </w:rPr>
  </w:style>
  <w:style w:type="character" w:styleId="Hipervnculovisitado">
    <w:name w:val="FollowedHyperlink"/>
    <w:basedOn w:val="Fuentedeprrafopredeter"/>
    <w:uiPriority w:val="99"/>
    <w:semiHidden/>
    <w:unhideWhenUsed/>
    <w:rsid w:val="00F12E03"/>
    <w:rPr>
      <w:color w:val="954F72" w:themeColor="followedHyperlink"/>
      <w:u w:val="single"/>
    </w:rPr>
  </w:style>
  <w:style w:type="table" w:styleId="Tablaconcuadrcula">
    <w:name w:val="Table Grid"/>
    <w:basedOn w:val="Tablanormal"/>
    <w:uiPriority w:val="39"/>
    <w:rsid w:val="0015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65A00"/>
    <w:pPr>
      <w:ind w:left="720"/>
      <w:contextualSpacing/>
    </w:pPr>
  </w:style>
  <w:style w:type="character" w:customStyle="1" w:styleId="eop">
    <w:name w:val="eop"/>
    <w:basedOn w:val="Fuentedeprrafopredeter"/>
    <w:rsid w:val="00AB4630"/>
  </w:style>
  <w:style w:type="character" w:styleId="nfasis">
    <w:name w:val="Emphasis"/>
    <w:basedOn w:val="Fuentedeprrafopredeter"/>
    <w:uiPriority w:val="20"/>
    <w:qFormat/>
    <w:rsid w:val="000B5F4C"/>
    <w:rPr>
      <w:i/>
      <w:iCs/>
    </w:rPr>
  </w:style>
  <w:style w:type="paragraph" w:styleId="Textonotapie">
    <w:name w:val="footnote text"/>
    <w:aliases w:val="Footnote text,Footnote Text Char Char Char Char,Footnote Text Char Char,Footnote Text Char Char Char Char Char,Footnote Text Char Char Char Char Char Char Char Char,Footnote Text Char Char Char,Podrozdział,Note de bas de page Car Car Car"/>
    <w:basedOn w:val="Normal"/>
    <w:link w:val="TextonotapieCar"/>
    <w:uiPriority w:val="99"/>
    <w:unhideWhenUsed/>
    <w:qFormat/>
    <w:rsid w:val="009427B9"/>
    <w:pPr>
      <w:spacing w:after="0" w:line="240" w:lineRule="auto"/>
    </w:pPr>
    <w:rPr>
      <w:sz w:val="20"/>
      <w:szCs w:val="20"/>
    </w:rPr>
  </w:style>
  <w:style w:type="character" w:customStyle="1" w:styleId="TextonotapieCar">
    <w:name w:val="Texto nota pie Car"/>
    <w:aliases w:val="Footnote text Car,Footnote Text Char Char Char Char Car,Footnote Text Char Char Car,Footnote Text Char Char Char Char Char Car,Footnote Text Char Char Char Char Char Char Char Char Car,Footnote Text Char Char Char Car,Podrozdział Car"/>
    <w:basedOn w:val="Fuentedeprrafopredeter"/>
    <w:link w:val="Textonotapie"/>
    <w:uiPriority w:val="99"/>
    <w:rsid w:val="009427B9"/>
    <w:rPr>
      <w:sz w:val="20"/>
      <w:szCs w:val="20"/>
    </w:rPr>
  </w:style>
  <w:style w:type="character" w:customStyle="1" w:styleId="normaltextrun">
    <w:name w:val="normaltextrun"/>
    <w:basedOn w:val="Fuentedeprrafopredeter"/>
    <w:rsid w:val="004C3CBE"/>
  </w:style>
  <w:style w:type="character" w:customStyle="1" w:styleId="Ttulo1Car">
    <w:name w:val="Título 1 Car"/>
    <w:basedOn w:val="Fuentedeprrafopredeter"/>
    <w:link w:val="Ttulo1"/>
    <w:uiPriority w:val="9"/>
    <w:rsid w:val="006B3D2C"/>
    <w:rPr>
      <w:rFonts w:asciiTheme="majorHAnsi" w:eastAsiaTheme="majorEastAsia" w:hAnsiTheme="majorHAnsi" w:cstheme="majorBidi"/>
      <w:b/>
      <w:color w:val="2F5496" w:themeColor="accent1" w:themeShade="BF"/>
      <w:sz w:val="32"/>
      <w:szCs w:val="32"/>
    </w:rPr>
  </w:style>
  <w:style w:type="character" w:customStyle="1" w:styleId="Ttulo2Car">
    <w:name w:val="Título 2 Car"/>
    <w:basedOn w:val="Fuentedeprrafopredeter"/>
    <w:link w:val="Ttulo2"/>
    <w:uiPriority w:val="9"/>
    <w:rsid w:val="006B3D2C"/>
    <w:rPr>
      <w:rFonts w:asciiTheme="majorHAnsi" w:eastAsiaTheme="majorEastAsia" w:hAnsiTheme="majorHAnsi" w:cstheme="majorBidi"/>
      <w:i/>
      <w:color w:val="2F5496" w:themeColor="accent1" w:themeShade="BF"/>
      <w:sz w:val="26"/>
      <w:szCs w:val="26"/>
    </w:rPr>
  </w:style>
  <w:style w:type="character" w:customStyle="1" w:styleId="Ttulo3Car">
    <w:name w:val="Título 3 Car"/>
    <w:basedOn w:val="Fuentedeprrafopredeter"/>
    <w:link w:val="Ttulo3"/>
    <w:uiPriority w:val="9"/>
    <w:rsid w:val="00D829C0"/>
    <w:rPr>
      <w:rFonts w:asciiTheme="majorHAnsi" w:eastAsiaTheme="majorEastAsia" w:hAnsiTheme="majorHAnsi" w:cstheme="majorBidi"/>
      <w:color w:val="1F3763" w:themeColor="accent1" w:themeShade="7F"/>
      <w:sz w:val="24"/>
      <w:szCs w:val="24"/>
    </w:rPr>
  </w:style>
  <w:style w:type="paragraph" w:styleId="Ttulo">
    <w:name w:val="Title"/>
    <w:basedOn w:val="Normal"/>
    <w:next w:val="Normal"/>
    <w:link w:val="TtuloCar"/>
    <w:uiPriority w:val="10"/>
    <w:qFormat/>
    <w:rsid w:val="002456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56F8"/>
    <w:rPr>
      <w:rFonts w:asciiTheme="majorHAnsi" w:eastAsiaTheme="majorEastAsia" w:hAnsiTheme="majorHAnsi" w:cstheme="majorBidi"/>
      <w:spacing w:val="-10"/>
      <w:kern w:val="28"/>
      <w:sz w:val="56"/>
      <w:szCs w:val="56"/>
    </w:rPr>
  </w:style>
  <w:style w:type="paragraph" w:styleId="Revisin">
    <w:name w:val="Revision"/>
    <w:hidden/>
    <w:uiPriority w:val="99"/>
    <w:semiHidden/>
    <w:rsid w:val="00F627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8070">
      <w:bodyDiv w:val="1"/>
      <w:marLeft w:val="0"/>
      <w:marRight w:val="0"/>
      <w:marTop w:val="0"/>
      <w:marBottom w:val="0"/>
      <w:divBdr>
        <w:top w:val="none" w:sz="0" w:space="0" w:color="auto"/>
        <w:left w:val="none" w:sz="0" w:space="0" w:color="auto"/>
        <w:bottom w:val="none" w:sz="0" w:space="0" w:color="auto"/>
        <w:right w:val="none" w:sz="0" w:space="0" w:color="auto"/>
      </w:divBdr>
    </w:div>
    <w:div w:id="613295450">
      <w:bodyDiv w:val="1"/>
      <w:marLeft w:val="0"/>
      <w:marRight w:val="0"/>
      <w:marTop w:val="0"/>
      <w:marBottom w:val="0"/>
      <w:divBdr>
        <w:top w:val="none" w:sz="0" w:space="0" w:color="auto"/>
        <w:left w:val="none" w:sz="0" w:space="0" w:color="auto"/>
        <w:bottom w:val="none" w:sz="0" w:space="0" w:color="auto"/>
        <w:right w:val="none" w:sz="0" w:space="0" w:color="auto"/>
      </w:divBdr>
    </w:div>
    <w:div w:id="695811346">
      <w:bodyDiv w:val="1"/>
      <w:marLeft w:val="0"/>
      <w:marRight w:val="0"/>
      <w:marTop w:val="0"/>
      <w:marBottom w:val="0"/>
      <w:divBdr>
        <w:top w:val="none" w:sz="0" w:space="0" w:color="auto"/>
        <w:left w:val="none" w:sz="0" w:space="0" w:color="auto"/>
        <w:bottom w:val="none" w:sz="0" w:space="0" w:color="auto"/>
        <w:right w:val="none" w:sz="0" w:space="0" w:color="auto"/>
      </w:divBdr>
    </w:div>
    <w:div w:id="789395217">
      <w:bodyDiv w:val="1"/>
      <w:marLeft w:val="0"/>
      <w:marRight w:val="0"/>
      <w:marTop w:val="0"/>
      <w:marBottom w:val="0"/>
      <w:divBdr>
        <w:top w:val="none" w:sz="0" w:space="0" w:color="auto"/>
        <w:left w:val="none" w:sz="0" w:space="0" w:color="auto"/>
        <w:bottom w:val="none" w:sz="0" w:space="0" w:color="auto"/>
        <w:right w:val="none" w:sz="0" w:space="0" w:color="auto"/>
      </w:divBdr>
    </w:div>
    <w:div w:id="835458982">
      <w:bodyDiv w:val="1"/>
      <w:marLeft w:val="0"/>
      <w:marRight w:val="0"/>
      <w:marTop w:val="0"/>
      <w:marBottom w:val="0"/>
      <w:divBdr>
        <w:top w:val="none" w:sz="0" w:space="0" w:color="auto"/>
        <w:left w:val="none" w:sz="0" w:space="0" w:color="auto"/>
        <w:bottom w:val="none" w:sz="0" w:space="0" w:color="auto"/>
        <w:right w:val="none" w:sz="0" w:space="0" w:color="auto"/>
      </w:divBdr>
    </w:div>
    <w:div w:id="929437061">
      <w:bodyDiv w:val="1"/>
      <w:marLeft w:val="0"/>
      <w:marRight w:val="0"/>
      <w:marTop w:val="0"/>
      <w:marBottom w:val="0"/>
      <w:divBdr>
        <w:top w:val="none" w:sz="0" w:space="0" w:color="auto"/>
        <w:left w:val="none" w:sz="0" w:space="0" w:color="auto"/>
        <w:bottom w:val="none" w:sz="0" w:space="0" w:color="auto"/>
        <w:right w:val="none" w:sz="0" w:space="0" w:color="auto"/>
      </w:divBdr>
    </w:div>
    <w:div w:id="1095596107">
      <w:bodyDiv w:val="1"/>
      <w:marLeft w:val="0"/>
      <w:marRight w:val="0"/>
      <w:marTop w:val="0"/>
      <w:marBottom w:val="0"/>
      <w:divBdr>
        <w:top w:val="none" w:sz="0" w:space="0" w:color="auto"/>
        <w:left w:val="none" w:sz="0" w:space="0" w:color="auto"/>
        <w:bottom w:val="none" w:sz="0" w:space="0" w:color="auto"/>
        <w:right w:val="none" w:sz="0" w:space="0" w:color="auto"/>
      </w:divBdr>
    </w:div>
    <w:div w:id="1189218865">
      <w:bodyDiv w:val="1"/>
      <w:marLeft w:val="0"/>
      <w:marRight w:val="0"/>
      <w:marTop w:val="0"/>
      <w:marBottom w:val="0"/>
      <w:divBdr>
        <w:top w:val="none" w:sz="0" w:space="0" w:color="auto"/>
        <w:left w:val="none" w:sz="0" w:space="0" w:color="auto"/>
        <w:bottom w:val="none" w:sz="0" w:space="0" w:color="auto"/>
        <w:right w:val="none" w:sz="0" w:space="0" w:color="auto"/>
      </w:divBdr>
    </w:div>
    <w:div w:id="1367024494">
      <w:bodyDiv w:val="1"/>
      <w:marLeft w:val="0"/>
      <w:marRight w:val="0"/>
      <w:marTop w:val="0"/>
      <w:marBottom w:val="0"/>
      <w:divBdr>
        <w:top w:val="none" w:sz="0" w:space="0" w:color="auto"/>
        <w:left w:val="none" w:sz="0" w:space="0" w:color="auto"/>
        <w:bottom w:val="none" w:sz="0" w:space="0" w:color="auto"/>
        <w:right w:val="none" w:sz="0" w:space="0" w:color="auto"/>
      </w:divBdr>
    </w:div>
    <w:div w:id="1494569445">
      <w:bodyDiv w:val="1"/>
      <w:marLeft w:val="0"/>
      <w:marRight w:val="0"/>
      <w:marTop w:val="0"/>
      <w:marBottom w:val="0"/>
      <w:divBdr>
        <w:top w:val="none" w:sz="0" w:space="0" w:color="auto"/>
        <w:left w:val="none" w:sz="0" w:space="0" w:color="auto"/>
        <w:bottom w:val="none" w:sz="0" w:space="0" w:color="auto"/>
        <w:right w:val="none" w:sz="0" w:space="0" w:color="auto"/>
      </w:divBdr>
    </w:div>
    <w:div w:id="1556895720">
      <w:bodyDiv w:val="1"/>
      <w:marLeft w:val="0"/>
      <w:marRight w:val="0"/>
      <w:marTop w:val="0"/>
      <w:marBottom w:val="0"/>
      <w:divBdr>
        <w:top w:val="none" w:sz="0" w:space="0" w:color="auto"/>
        <w:left w:val="none" w:sz="0" w:space="0" w:color="auto"/>
        <w:bottom w:val="none" w:sz="0" w:space="0" w:color="auto"/>
        <w:right w:val="none" w:sz="0" w:space="0" w:color="auto"/>
      </w:divBdr>
    </w:div>
    <w:div w:id="1735081988">
      <w:bodyDiv w:val="1"/>
      <w:marLeft w:val="0"/>
      <w:marRight w:val="0"/>
      <w:marTop w:val="0"/>
      <w:marBottom w:val="0"/>
      <w:divBdr>
        <w:top w:val="none" w:sz="0" w:space="0" w:color="auto"/>
        <w:left w:val="none" w:sz="0" w:space="0" w:color="auto"/>
        <w:bottom w:val="none" w:sz="0" w:space="0" w:color="auto"/>
        <w:right w:val="none" w:sz="0" w:space="0" w:color="auto"/>
      </w:divBdr>
    </w:div>
    <w:div w:id="202601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r-lex.europa.eu/legal-content/" TargetMode="External"/><Relationship Id="rId18" Type="http://schemas.openxmlformats.org/officeDocument/2006/relationships/hyperlink" Target="https://www.truck.man.eu/de/en/man-world/man-in-germany/press-and-media/Platooning-in-the-logistics-industry_-Researchers-see-great-potential-in-real-operations-after-tests-372998.html" TargetMode="External"/><Relationship Id="rId26" Type="http://schemas.openxmlformats.org/officeDocument/2006/relationships/hyperlink" Target="http://www.diva-portal.org/smash/get/diva2:1316459/FULLTEXT01.pdf" TargetMode="External"/><Relationship Id="rId3" Type="http://schemas.openxmlformats.org/officeDocument/2006/relationships/customXml" Target="../customXml/item3.xml"/><Relationship Id="rId21" Type="http://schemas.openxmlformats.org/officeDocument/2006/relationships/hyperlink" Target="https://path.berkeley.edu/research/connected-and-automated-vehicles/truck-platooning" TargetMode="External"/><Relationship Id="rId7" Type="http://schemas.openxmlformats.org/officeDocument/2006/relationships/webSettings" Target="webSettings.xml"/><Relationship Id="rId12" Type="http://schemas.openxmlformats.org/officeDocument/2006/relationships/hyperlink" Target="https://www.energymonitor.ai/tech/hydrogen/hydrogen-tests-climate-policymakers-with-its-job-potential" TargetMode="External"/><Relationship Id="rId17" Type="http://schemas.openxmlformats.org/officeDocument/2006/relationships/hyperlink" Target="http://www.bbc.co.uk/news/business-41737300" TargetMode="External"/><Relationship Id="rId25" Type="http://schemas.openxmlformats.org/officeDocument/2006/relationships/hyperlink" Target="https://www.weforum.org/agenda/2021/03/how-aligned-are-un-companies-with-their-sustainable-development-goals/" TargetMode="External"/><Relationship Id="rId2" Type="http://schemas.openxmlformats.org/officeDocument/2006/relationships/customXml" Target="../customXml/item2.xml"/><Relationship Id="rId16" Type="http://schemas.openxmlformats.org/officeDocument/2006/relationships/hyperlink" Target="https://www.iea.org/data-and-statistics/charts/transport-sector-co2-emissions-by-mode-in-the-sustainable-development-scenario-2000-2030" TargetMode="External"/><Relationship Id="rId20" Type="http://schemas.openxmlformats.org/officeDocument/2006/relationships/hyperlink" Target="http://eprints.uwe.ac.uk/3968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y.com/en_gl/assurance/why-sustainable-development-goals-should-be-in-your-business-plan" TargetMode="External"/><Relationship Id="rId24" Type="http://schemas.openxmlformats.org/officeDocument/2006/relationships/hyperlink" Target="https://sdgs.un.org/" TargetMode="External"/><Relationship Id="rId5" Type="http://schemas.openxmlformats.org/officeDocument/2006/relationships/styles" Target="styles.xml"/><Relationship Id="rId15" Type="http://schemas.openxmlformats.org/officeDocument/2006/relationships/hyperlink" Target="https://assets.publishing.service.gov.uk/government/uploads/system/uploads/attachment_data/file/780895/decarbonising_road_freight.pdf" TargetMode="External"/><Relationship Id="rId23" Type="http://schemas.openxmlformats.org/officeDocument/2006/relationships/hyperlink" Target="https://assets.publishing.service.gov.uk/government/uploads/system/uploads/attachment_data/file/816015/maritime-emission-reduction-options.pdf"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eur01.safelinks.protection.outlook.com/?url=http%3A%2F%2Fwww.nationalarchives.gov.uk%2Fdoc%2Fopen-government-licence%2Fversion%2F3%2F&amp;data=04%7C01%7CDaniela.Paddeu%40uwe.ac.uk%7Cdcb6122af5db411acfd208da1620229a%7C07ef1208413c4b5e9cdd64ef305754f0%7C0%7C0%7C637846624718113874%7CUnknown%7CTWFpbGZsb3d8eyJWIjoiMC4wLjAwMDAiLCJQIjoiV2luMzIiLCJBTiI6Ik1haWwiLCJXVCI6Mn0%3D%7C3000&amp;sdata=DA8rwtsq7bS%2FhLghqNxk4%2BhrijGZVjP%2Bj7vEB02MWbQ%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globalreporting.org/news/news-center/most-companies-align-with-sdgs-but-more-to-do-on-assessing-progress/" TargetMode="External"/><Relationship Id="rId22" Type="http://schemas.openxmlformats.org/officeDocument/2006/relationships/hyperlink" Target="https://www.researchgate.net/publication/334304159_Older_people_and_connected_autonomous_vehicles_An_exploration_of_user_needs_Findings_from_the_Flourish_Project"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6569699-ae44-4c85-9383-dd5a41d3d4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7" ma:contentTypeDescription="Create a new document." ma:contentTypeScope="" ma:versionID="d1ded72674ef2c1afce0ce657dd7a9dc">
  <xsd:schema xmlns:xsd="http://www.w3.org/2001/XMLSchema" xmlns:xs="http://www.w3.org/2001/XMLSchema" xmlns:p="http://schemas.microsoft.com/office/2006/metadata/properties" xmlns:ns3="da5da9df-85e1-4e4b-b319-af1e48434c21" xmlns:ns4="f6569699-ae44-4c85-9383-dd5a41d3d471" targetNamespace="http://schemas.microsoft.com/office/2006/metadata/properties" ma:root="true" ma:fieldsID="15165a995677d440cf7d636eaf8d2938" ns3:_="" ns4:_="">
    <xsd:import namespace="da5da9df-85e1-4e4b-b319-af1e48434c21"/>
    <xsd:import namespace="f6569699-ae44-4c85-9383-dd5a41d3d471"/>
    <xsd:element name="properties">
      <xsd:complexType>
        <xsd:sequence>
          <xsd:element name="documentManagement">
            <xsd:complexType>
              <xsd:all>
                <xsd:element ref="ns3:SharedWithUsers" minOccurs="0"/>
                <xsd:element ref="ns3:SharedWithDetails" minOccurs="0"/>
                <xsd:element ref="ns3:SharingHintHash" minOccurs="0"/>
                <xsd:element ref="ns3:LastSharedByTime" minOccurs="0"/>
                <xsd:element ref="ns3:LastSharedByUser"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05B47-29D1-4C97-AF27-E527570BA7D9}">
  <ds:schemaRefs>
    <ds:schemaRef ds:uri="http://schemas.microsoft.com/office/2006/metadata/properties"/>
    <ds:schemaRef ds:uri="http://schemas.microsoft.com/office/infopath/2007/PartnerControls"/>
    <ds:schemaRef ds:uri="f6569699-ae44-4c85-9383-dd5a41d3d471"/>
  </ds:schemaRefs>
</ds:datastoreItem>
</file>

<file path=customXml/itemProps2.xml><?xml version="1.0" encoding="utf-8"?>
<ds:datastoreItem xmlns:ds="http://schemas.openxmlformats.org/officeDocument/2006/customXml" ds:itemID="{8CDF2DF8-9DD5-422C-A73E-1A57CF7B6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5da9df-85e1-4e4b-b319-af1e48434c21"/>
    <ds:schemaRef ds:uri="f6569699-ae44-4c85-9383-dd5a41d3d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24BD9-13FC-47F9-ADAD-DC7B43DB1A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23</Pages>
  <Words>11909</Words>
  <Characters>65503</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Parkhurst</dc:creator>
  <cp:lastModifiedBy>Pablo Cabanelas</cp:lastModifiedBy>
  <cp:revision>13</cp:revision>
  <dcterms:created xsi:type="dcterms:W3CDTF">2023-03-26T13:27:00Z</dcterms:created>
  <dcterms:modified xsi:type="dcterms:W3CDTF">2023-04-28T11:54:00Z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