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E9B8" w14:textId="77777777" w:rsidR="00DD1D89" w:rsidRDefault="00DD1D89" w:rsidP="00DD1D89">
      <w:pPr>
        <w:spacing w:after="0"/>
        <w:jc w:val="both"/>
        <w:rPr>
          <w:b/>
          <w:bCs/>
        </w:rPr>
      </w:pPr>
      <w:r>
        <w:rPr>
          <w:b/>
          <w:bCs/>
        </w:rPr>
        <w:t>Title: Changes in attitudes towards telemedicine in acute burn care following the Covid-19 pandemic</w:t>
      </w:r>
    </w:p>
    <w:p w14:paraId="2A1019DA" w14:textId="77777777" w:rsidR="00DD1D89" w:rsidRDefault="00DD1D89" w:rsidP="00DD1D89">
      <w:pPr>
        <w:spacing w:after="0"/>
        <w:jc w:val="both"/>
        <w:rPr>
          <w:b/>
          <w:bCs/>
        </w:rPr>
      </w:pPr>
    </w:p>
    <w:p w14:paraId="46BC8A26" w14:textId="77777777" w:rsidR="00DD1D89" w:rsidRDefault="00DD1D89" w:rsidP="00DD1D89">
      <w:pPr>
        <w:spacing w:after="0"/>
        <w:jc w:val="both"/>
        <w:rPr>
          <w:b/>
          <w:bCs/>
        </w:rPr>
      </w:pPr>
    </w:p>
    <w:p w14:paraId="4A0CB85C" w14:textId="77777777" w:rsidR="00DD1D89" w:rsidRPr="00556214" w:rsidRDefault="00DD1D89" w:rsidP="00DD1D89">
      <w:pPr>
        <w:spacing w:after="0"/>
        <w:jc w:val="both"/>
        <w:rPr>
          <w:rFonts w:ascii="Aptos" w:hAnsi="Aptos"/>
          <w:b/>
          <w:bCs/>
        </w:rPr>
      </w:pPr>
      <w:r w:rsidRPr="00556214">
        <w:rPr>
          <w:rFonts w:ascii="Aptos" w:hAnsi="Aptos"/>
          <w:b/>
          <w:bCs/>
        </w:rPr>
        <w:t>Authors: Esther Goh, Isobel Press</w:t>
      </w:r>
      <w:r w:rsidRPr="00556214">
        <w:rPr>
          <w:rFonts w:ascii="Aptos" w:hAnsi="Aptos"/>
          <w:b/>
          <w:bCs/>
          <w:vertAlign w:val="superscript"/>
        </w:rPr>
        <w:t>2</w:t>
      </w:r>
      <w:r w:rsidRPr="00556214">
        <w:rPr>
          <w:rFonts w:ascii="Aptos" w:hAnsi="Aptos"/>
          <w:b/>
          <w:bCs/>
        </w:rPr>
        <w:t xml:space="preserve">, Jason </w:t>
      </w:r>
      <w:proofErr w:type="spellStart"/>
      <w:r w:rsidRPr="00556214">
        <w:rPr>
          <w:rFonts w:ascii="Aptos" w:hAnsi="Aptos"/>
          <w:b/>
          <w:bCs/>
        </w:rPr>
        <w:t>Anquandah</w:t>
      </w:r>
      <w:proofErr w:type="spellEnd"/>
      <w:r w:rsidRPr="00556214">
        <w:rPr>
          <w:rFonts w:ascii="Aptos" w:hAnsi="Aptos"/>
          <w:b/>
          <w:bCs/>
        </w:rPr>
        <w:t>, Paul White, Jonathon Pleat</w:t>
      </w:r>
    </w:p>
    <w:p w14:paraId="6509721E" w14:textId="77777777" w:rsidR="00DD1D89" w:rsidRPr="00556214" w:rsidRDefault="00DD1D89" w:rsidP="00DD1D89">
      <w:pPr>
        <w:spacing w:after="0"/>
        <w:jc w:val="both"/>
        <w:rPr>
          <w:rFonts w:ascii="Aptos" w:hAnsi="Aptos"/>
          <w:b/>
          <w:bCs/>
        </w:rPr>
      </w:pPr>
    </w:p>
    <w:p w14:paraId="366BDACA" w14:textId="77777777" w:rsidR="00DD1D89" w:rsidRPr="00556214" w:rsidRDefault="00DD1D89" w:rsidP="00DD1D89">
      <w:pPr>
        <w:spacing w:after="0"/>
        <w:jc w:val="both"/>
        <w:rPr>
          <w:rFonts w:ascii="Aptos" w:hAnsi="Aptos" w:cs="Calibri"/>
          <w:color w:val="000000"/>
          <w:shd w:val="clear" w:color="auto" w:fill="FFFFFF"/>
        </w:rPr>
      </w:pPr>
      <w:r w:rsidRPr="00556214">
        <w:rPr>
          <w:rFonts w:ascii="Aptos" w:hAnsi="Aptos" w:cs="Calibri"/>
          <w:color w:val="000000"/>
          <w:shd w:val="clear" w:color="auto" w:fill="FFFFFF"/>
        </w:rPr>
        <w:t xml:space="preserve">Jonathon Pleat j.pleat@icloud.com </w:t>
      </w:r>
    </w:p>
    <w:p w14:paraId="62B554D1" w14:textId="77777777" w:rsidR="00DD1D89" w:rsidRPr="00556214" w:rsidRDefault="00DD1D89" w:rsidP="00DD1D89">
      <w:pPr>
        <w:spacing w:after="0"/>
        <w:jc w:val="both"/>
        <w:rPr>
          <w:rFonts w:ascii="Aptos" w:hAnsi="Aptos" w:cs="Calibri"/>
          <w:color w:val="000000"/>
          <w:shd w:val="clear" w:color="auto" w:fill="FFFFFF"/>
        </w:rPr>
      </w:pPr>
      <w:r w:rsidRPr="00556214">
        <w:rPr>
          <w:rFonts w:ascii="Aptos" w:hAnsi="Aptos" w:cs="Calibri"/>
          <w:color w:val="000000"/>
          <w:shd w:val="clear" w:color="auto" w:fill="FFFFFF"/>
        </w:rPr>
        <w:t xml:space="preserve">Esther Goh </w:t>
      </w:r>
      <w:proofErr w:type="gramStart"/>
      <w:r w:rsidRPr="00556214">
        <w:rPr>
          <w:rFonts w:ascii="Aptos" w:hAnsi="Aptos" w:cs="Calibri"/>
          <w:color w:val="000000"/>
          <w:shd w:val="clear" w:color="auto" w:fill="FFFFFF"/>
        </w:rPr>
        <w:t>esthegoh@gmail.com;</w:t>
      </w:r>
      <w:proofErr w:type="gramEnd"/>
      <w:r w:rsidRPr="00556214">
        <w:rPr>
          <w:rFonts w:ascii="Aptos" w:hAnsi="Aptos" w:cs="Calibri"/>
          <w:color w:val="000000"/>
          <w:shd w:val="clear" w:color="auto" w:fill="FFFFFF"/>
        </w:rPr>
        <w:t xml:space="preserve"> </w:t>
      </w:r>
    </w:p>
    <w:p w14:paraId="6183C32B" w14:textId="77777777" w:rsidR="00DD1D89" w:rsidRPr="00556214" w:rsidRDefault="00DD1D89" w:rsidP="00DD1D89">
      <w:pPr>
        <w:spacing w:after="0"/>
        <w:jc w:val="both"/>
        <w:rPr>
          <w:rFonts w:ascii="Aptos" w:hAnsi="Aptos" w:cs="Calibri"/>
          <w:color w:val="000000"/>
          <w:shd w:val="clear" w:color="auto" w:fill="FFFFFF"/>
        </w:rPr>
      </w:pPr>
      <w:r w:rsidRPr="00556214">
        <w:rPr>
          <w:rFonts w:ascii="Aptos" w:hAnsi="Aptos" w:cs="Calibri"/>
          <w:color w:val="000000"/>
          <w:shd w:val="clear" w:color="auto" w:fill="FFFFFF"/>
        </w:rPr>
        <w:t xml:space="preserve">Isobel Press IMP832@student.bham.ac.uk </w:t>
      </w:r>
    </w:p>
    <w:p w14:paraId="16E34262" w14:textId="77777777" w:rsidR="00DD1D89" w:rsidRPr="00556214" w:rsidRDefault="00DD1D89" w:rsidP="00DD1D89">
      <w:pPr>
        <w:spacing w:after="0"/>
        <w:jc w:val="both"/>
        <w:rPr>
          <w:rFonts w:ascii="Aptos" w:hAnsi="Aptos" w:cs="Calibri"/>
          <w:color w:val="000000"/>
          <w:shd w:val="clear" w:color="auto" w:fill="FFFFFF"/>
        </w:rPr>
      </w:pPr>
      <w:r w:rsidRPr="00556214">
        <w:rPr>
          <w:rFonts w:ascii="Aptos" w:hAnsi="Aptos" w:cs="Calibri"/>
          <w:color w:val="000000"/>
          <w:shd w:val="clear" w:color="auto" w:fill="FFFFFF"/>
        </w:rPr>
        <w:t xml:space="preserve">Jason </w:t>
      </w:r>
      <w:proofErr w:type="spellStart"/>
      <w:r w:rsidRPr="00556214">
        <w:rPr>
          <w:rFonts w:ascii="Aptos" w:hAnsi="Aptos" w:cs="Calibri"/>
          <w:color w:val="000000"/>
          <w:shd w:val="clear" w:color="auto" w:fill="FFFFFF"/>
        </w:rPr>
        <w:t>Anquandah</w:t>
      </w:r>
      <w:proofErr w:type="spellEnd"/>
      <w:r w:rsidRPr="00556214">
        <w:rPr>
          <w:rFonts w:ascii="Aptos" w:hAnsi="Aptos" w:cs="Calibri"/>
          <w:color w:val="000000"/>
          <w:shd w:val="clear" w:color="auto" w:fill="FFFFFF"/>
        </w:rPr>
        <w:t xml:space="preserve"> Jason.Anquandah@uwe.ac.uk </w:t>
      </w:r>
    </w:p>
    <w:p w14:paraId="27766373" w14:textId="77777777" w:rsidR="00DD1D89" w:rsidRPr="00556214" w:rsidRDefault="00DD1D89" w:rsidP="00DD1D89">
      <w:pPr>
        <w:spacing w:after="0"/>
        <w:jc w:val="both"/>
        <w:rPr>
          <w:rFonts w:ascii="Aptos" w:hAnsi="Aptos"/>
          <w:b/>
          <w:bCs/>
        </w:rPr>
      </w:pPr>
      <w:r w:rsidRPr="00556214">
        <w:rPr>
          <w:rFonts w:ascii="Aptos" w:hAnsi="Aptos" w:cs="Calibri"/>
          <w:color w:val="000000"/>
          <w:shd w:val="clear" w:color="auto" w:fill="FFFFFF"/>
        </w:rPr>
        <w:t>issypress@gmail.co.uk</w:t>
      </w:r>
      <w:r w:rsidRPr="00556214">
        <w:rPr>
          <w:rFonts w:ascii="Aptos" w:hAnsi="Aptos" w:cs="Calibri"/>
          <w:color w:val="000000"/>
        </w:rPr>
        <w:br/>
      </w:r>
    </w:p>
    <w:p w14:paraId="03D1EEF3" w14:textId="77777777" w:rsidR="00DD1D89" w:rsidRPr="00556214" w:rsidRDefault="00DD1D89" w:rsidP="00DD1D89">
      <w:pPr>
        <w:spacing w:after="0"/>
        <w:jc w:val="both"/>
        <w:rPr>
          <w:rFonts w:ascii="Aptos" w:hAnsi="Aptos"/>
          <w:b/>
          <w:bCs/>
        </w:rPr>
      </w:pPr>
    </w:p>
    <w:p w14:paraId="27C88E49" w14:textId="77777777" w:rsidR="00DD1D89" w:rsidRPr="00556214" w:rsidRDefault="00DD1D89" w:rsidP="00DD1D89">
      <w:pPr>
        <w:spacing w:after="0"/>
        <w:jc w:val="both"/>
        <w:rPr>
          <w:rFonts w:ascii="Aptos" w:hAnsi="Aptos"/>
          <w:b/>
          <w:bCs/>
        </w:rPr>
      </w:pPr>
      <w:r w:rsidRPr="00556214">
        <w:rPr>
          <w:rFonts w:ascii="Aptos" w:hAnsi="Aptos"/>
          <w:b/>
          <w:bCs/>
        </w:rPr>
        <w:t>Corresponding author:</w:t>
      </w:r>
    </w:p>
    <w:p w14:paraId="54074E3A" w14:textId="77777777" w:rsidR="00DD1D89" w:rsidRPr="00556214" w:rsidRDefault="00DD1D89" w:rsidP="00DD1D89">
      <w:pPr>
        <w:shd w:val="clear" w:color="auto" w:fill="FFFFFF"/>
        <w:spacing w:after="0" w:line="240" w:lineRule="auto"/>
        <w:textAlignment w:val="baseline"/>
        <w:rPr>
          <w:rFonts w:ascii="Aptos" w:eastAsia="Times New Roman" w:hAnsi="Aptos" w:cs="Segoe UI"/>
          <w:color w:val="000000"/>
          <w:lang w:val="en-GB" w:eastAsia="en-GB"/>
        </w:rPr>
      </w:pPr>
      <w:r w:rsidRPr="00556214">
        <w:rPr>
          <w:rFonts w:ascii="Aptos" w:eastAsia="Times New Roman" w:hAnsi="Aptos" w:cs="Segoe UI"/>
          <w:color w:val="000000"/>
          <w:lang w:val="en-GB" w:eastAsia="en-GB"/>
        </w:rPr>
        <w:t>Mr Jonathon Pleat, Consultant Plastic Surgeon, North Bristol NHS Trust, Southmead Hospital, Southmead Road, Bristol, BS10 5NB.</w:t>
      </w:r>
    </w:p>
    <w:p w14:paraId="3750DA64" w14:textId="77777777" w:rsidR="00DD1D89" w:rsidRPr="00556214" w:rsidRDefault="00DD1D89" w:rsidP="00DD1D89">
      <w:pPr>
        <w:spacing w:after="0"/>
        <w:jc w:val="both"/>
        <w:rPr>
          <w:rFonts w:ascii="Aptos" w:hAnsi="Aptos"/>
          <w:b/>
          <w:bCs/>
        </w:rPr>
      </w:pPr>
    </w:p>
    <w:p w14:paraId="5DC0A25E" w14:textId="77777777" w:rsidR="00DD1D89" w:rsidRDefault="00DD1D89" w:rsidP="0366DBF6">
      <w:pPr>
        <w:spacing w:after="0"/>
        <w:jc w:val="both"/>
        <w:rPr>
          <w:b/>
          <w:bCs/>
        </w:rPr>
      </w:pPr>
    </w:p>
    <w:p w14:paraId="5E91BAFD" w14:textId="77777777" w:rsidR="00DD1D89" w:rsidRDefault="00DD1D89">
      <w:pPr>
        <w:rPr>
          <w:b/>
          <w:bCs/>
        </w:rPr>
      </w:pPr>
      <w:r>
        <w:rPr>
          <w:b/>
          <w:bCs/>
        </w:rPr>
        <w:br w:type="page"/>
      </w:r>
    </w:p>
    <w:p w14:paraId="0B211CAC" w14:textId="2D2E26C2" w:rsidR="0366DBF6" w:rsidRPr="005C4BC3" w:rsidRDefault="0366DBF6" w:rsidP="0366DBF6">
      <w:pPr>
        <w:spacing w:after="0"/>
        <w:jc w:val="both"/>
        <w:rPr>
          <w:b/>
          <w:bCs/>
        </w:rPr>
      </w:pPr>
      <w:r w:rsidRPr="005C4BC3">
        <w:rPr>
          <w:b/>
          <w:bCs/>
        </w:rPr>
        <w:lastRenderedPageBreak/>
        <w:t xml:space="preserve">Background </w:t>
      </w:r>
    </w:p>
    <w:p w14:paraId="13FB5E23" w14:textId="20DDC4E1" w:rsidR="0366DBF6" w:rsidRDefault="714D0DF3" w:rsidP="0366DBF6">
      <w:pPr>
        <w:spacing w:after="0"/>
        <w:jc w:val="both"/>
      </w:pPr>
      <w:r>
        <w:t xml:space="preserve">Telemedical referrals </w:t>
      </w:r>
      <w:r w:rsidR="00F66818">
        <w:t xml:space="preserve">after burn injury </w:t>
      </w:r>
      <w:r>
        <w:t xml:space="preserve">had been shown to be advantageous over telephone referrals for multiple reasons, however there were several key barriers towards complete implementation. The Covid-19 pandemic </w:t>
      </w:r>
      <w:r w:rsidR="00F66818">
        <w:t>facilitated</w:t>
      </w:r>
      <w:r>
        <w:t xml:space="preserve"> the adoption of telemedicine to ensure the safety of both clinicians and patients. Due to the circumstances, it was unclear whether the pre-pandemic barriers still existed despite the complete implementation of telemedicine. This study aims to evaluate clinicians’ views about the barriers towards implementation of a specific telemedicine system for burns referrals, and their changing attitudes following the pandemic, to identify key domains for improvement in current and future telemedicine systems. </w:t>
      </w:r>
    </w:p>
    <w:p w14:paraId="7474EFB5" w14:textId="0BB1DEB5" w:rsidR="0366DBF6" w:rsidRDefault="0366DBF6" w:rsidP="0366DBF6">
      <w:pPr>
        <w:spacing w:after="0"/>
        <w:jc w:val="both"/>
      </w:pPr>
    </w:p>
    <w:p w14:paraId="445B8052" w14:textId="0763A8CA" w:rsidR="0366DBF6" w:rsidRPr="00436852" w:rsidRDefault="0366DBF6" w:rsidP="0366DBF6">
      <w:pPr>
        <w:spacing w:after="0"/>
        <w:jc w:val="both"/>
        <w:rPr>
          <w:b/>
          <w:bCs/>
        </w:rPr>
      </w:pPr>
      <w:r w:rsidRPr="00436852">
        <w:rPr>
          <w:b/>
          <w:bCs/>
        </w:rPr>
        <w:t>Methods</w:t>
      </w:r>
    </w:p>
    <w:p w14:paraId="6DE0ED2C" w14:textId="0EEEC172" w:rsidR="0366DBF6" w:rsidRDefault="714D0DF3" w:rsidP="714D0DF3">
      <w:pPr>
        <w:spacing w:after="0"/>
        <w:jc w:val="both"/>
      </w:pPr>
      <w:r>
        <w:t>A questionnaire was created to evaluate the attitudes of referring clinicians towards telemedicine, following literature searches and administration of a pilot questionnaire. This was administered via telephone to staff working in EDs and MIUs which referred to the South-West United Kingdom Burns Network using the Medical Data Solutions and Services (MDSAS) system, in both 2019 and 2022. A statistical analysis was performed to compare the attitudes of clinicians towards telemedicine both pre- and post-pandemic.</w:t>
      </w:r>
    </w:p>
    <w:p w14:paraId="45432B00" w14:textId="7B308272" w:rsidR="0366DBF6" w:rsidRDefault="0366DBF6" w:rsidP="0366DBF6">
      <w:pPr>
        <w:spacing w:after="0"/>
        <w:jc w:val="both"/>
      </w:pPr>
      <w:r>
        <w:t xml:space="preserve"> </w:t>
      </w:r>
    </w:p>
    <w:p w14:paraId="345DA2CE" w14:textId="4BC49491" w:rsidR="0366DBF6" w:rsidRPr="009723B5" w:rsidRDefault="0366DBF6" w:rsidP="0366DBF6">
      <w:pPr>
        <w:spacing w:after="0"/>
        <w:jc w:val="both"/>
        <w:rPr>
          <w:b/>
          <w:bCs/>
        </w:rPr>
      </w:pPr>
      <w:r w:rsidRPr="009723B5">
        <w:rPr>
          <w:b/>
          <w:bCs/>
        </w:rPr>
        <w:t xml:space="preserve">Results </w:t>
      </w:r>
    </w:p>
    <w:p w14:paraId="2326E024" w14:textId="6A25D5AD" w:rsidR="0366DBF6" w:rsidRDefault="714D0DF3" w:rsidP="0366DBF6">
      <w:pPr>
        <w:spacing w:after="0"/>
        <w:jc w:val="both"/>
      </w:pPr>
      <w:r>
        <w:t xml:space="preserve">100 respondents completed the survey in 2019 and 70 in 2022, with similar demographics of respondents. </w:t>
      </w:r>
      <w:r w:rsidRPr="714D0DF3">
        <w:rPr>
          <w:rFonts w:ascii="Calibri" w:eastAsia="Calibri" w:hAnsi="Calibri" w:cs="Calibri"/>
          <w:color w:val="000000" w:themeColor="text1"/>
        </w:rPr>
        <w:t xml:space="preserve">Out of the twelve barriers identified, the lack of reliable Wi-Fi and need to duplicate notes were identified as the main obstacles to implementation in both time periods. </w:t>
      </w:r>
      <w:r>
        <w:t>In both years, the single greatest barrier reported was poor access to reliable Wi-Fi (p=0.944).</w:t>
      </w:r>
      <w:r w:rsidRPr="714D0DF3">
        <w:rPr>
          <w:rFonts w:ascii="Calibri" w:eastAsia="Calibri" w:hAnsi="Calibri" w:cs="Calibri"/>
          <w:color w:val="000000" w:themeColor="text1"/>
        </w:rPr>
        <w:t xml:space="preserve"> </w:t>
      </w:r>
      <w:r>
        <w:t>Miscommunication between clinicians using the system, inadequate numbers of devices and financial constraints were identified less frequently as barriers in 2022 than 2019 (p=0.005, p=0.047 and p&lt;0.001 respectively). However, significantly more respondents reported time pressures when waiting</w:t>
      </w:r>
      <w:r w:rsidRPr="714D0DF3">
        <w:rPr>
          <w:rFonts w:ascii="Calibri" w:eastAsia="Calibri" w:hAnsi="Calibri" w:cs="Calibri"/>
          <w:color w:val="000000" w:themeColor="text1"/>
        </w:rPr>
        <w:t xml:space="preserve"> for a response to their telemedicine referral</w:t>
      </w:r>
      <w:r>
        <w:t xml:space="preserve"> in 2022 (p=0.022). </w:t>
      </w:r>
    </w:p>
    <w:p w14:paraId="45064887" w14:textId="2185C432" w:rsidR="0366DBF6" w:rsidRDefault="0366DBF6" w:rsidP="0366DBF6">
      <w:pPr>
        <w:spacing w:after="0"/>
        <w:jc w:val="both"/>
      </w:pPr>
      <w:r>
        <w:t xml:space="preserve"> </w:t>
      </w:r>
    </w:p>
    <w:p w14:paraId="6A9065C5" w14:textId="02F80AC4" w:rsidR="0366DBF6" w:rsidRPr="004F672E" w:rsidRDefault="0366DBF6" w:rsidP="0366DBF6">
      <w:pPr>
        <w:spacing w:after="0"/>
        <w:jc w:val="both"/>
        <w:rPr>
          <w:b/>
          <w:bCs/>
        </w:rPr>
      </w:pPr>
      <w:r w:rsidRPr="004F672E">
        <w:rPr>
          <w:b/>
          <w:bCs/>
        </w:rPr>
        <w:t xml:space="preserve">Conclusion </w:t>
      </w:r>
    </w:p>
    <w:p w14:paraId="053982B0" w14:textId="6F5CAA5A" w:rsidR="0366DBF6" w:rsidRDefault="714D0DF3" w:rsidP="0366DBF6">
      <w:pPr>
        <w:spacing w:after="0"/>
        <w:jc w:val="both"/>
      </w:pPr>
      <w:r>
        <w:t xml:space="preserve">Overall, clinicians displayed a positive attitude towards the MDSAS system for acute burns, with clinicians identifying fewer concerns with the system following the Covid-19 pandemic. However, concerns over the time pressures that this telemedicine system places on the referring clinician and existing Wi-Fi infrastructure persist. Further streamlining of the system and investment in internet access is recommended, with continued input from all stakeholders.  </w:t>
      </w:r>
    </w:p>
    <w:p w14:paraId="205AE932" w14:textId="3E611880" w:rsidR="0366DBF6" w:rsidRDefault="0366DBF6">
      <w:r>
        <w:br w:type="page"/>
      </w:r>
    </w:p>
    <w:p w14:paraId="3FAA3387" w14:textId="26D52F65" w:rsidR="0366DBF6" w:rsidRDefault="0366DBF6" w:rsidP="0366DBF6">
      <w:pPr>
        <w:rPr>
          <w:b/>
          <w:bCs/>
        </w:rPr>
      </w:pPr>
    </w:p>
    <w:p w14:paraId="2C078E63" w14:textId="796D1FA3" w:rsidR="00274358" w:rsidRDefault="69B24B60" w:rsidP="13E439A5">
      <w:pPr>
        <w:rPr>
          <w:b/>
          <w:bCs/>
        </w:rPr>
      </w:pPr>
      <w:r w:rsidRPr="69B24B60">
        <w:rPr>
          <w:b/>
          <w:bCs/>
        </w:rPr>
        <w:t xml:space="preserve">Introduction </w:t>
      </w:r>
    </w:p>
    <w:p w14:paraId="62678BF9" w14:textId="0E36C77B" w:rsidR="00160703" w:rsidRDefault="714D0DF3" w:rsidP="69B24B60">
      <w:pPr>
        <w:ind w:firstLine="720"/>
        <w:jc w:val="both"/>
      </w:pPr>
      <w:r>
        <w:t>Since its emergence in the 1980s, the use of telemedicine for the purposes of early diagnosis and follow up of burns has accelerated, largely due to the development of more accessible and secure methods of image and video transmission (1,2). Within the UK, Medical Data Solutions and Services (MDSAS) telemedicine referral system (</w:t>
      </w:r>
      <w:hyperlink r:id="rId7">
        <w:r w:rsidRPr="714D0DF3">
          <w:rPr>
            <w:rStyle w:val="Hyperlink"/>
          </w:rPr>
          <w:t>https://referrals.mdsas.com/</w:t>
        </w:r>
      </w:hyperlink>
      <w:r>
        <w:t>) for acute burns has been adopted by multiple Trusts and burn networks. Having first been piloted in Greater Manchester in 2017, it assists in acute burn referrals from Emergency Departments (EDs) or Minor Injuries Units (MIUs) to burn specialists. Developed in conjunction with NHS Digital, this burns telemedicine system utilizes a mobile application on any smartphone or tablet in conjunction with a web portal. The latter is accessed only through computers which are linked through the ‘NHS Spine’ network (3), which generates a unique Quick Response (QR) code for each patient which is scanned using the device app. Once scanned, images of the burn along with a referral form detailing the history, are sent in an encrypted manner to a cloud-based server and linked to the patient. The photographs are temporarily stored on the local device and cannot be accessed for any purpose other than by the MDSAS software; this satisfies the framework for the storage and transmission of confidential patient data within the UK [4]. The remote burns team can then access the images and history on the web portal, allowing a senior clinician to determine an appropriate management based upon the information provided.</w:t>
      </w:r>
    </w:p>
    <w:p w14:paraId="48079071" w14:textId="079E91AE" w:rsidR="00160703" w:rsidRDefault="714D0DF3" w:rsidP="5527A10F">
      <w:pPr>
        <w:ind w:firstLine="720"/>
        <w:jc w:val="both"/>
      </w:pPr>
      <w:r>
        <w:t xml:space="preserve">Telemedical referrals have multiple advantages over traditional telephone referrals.  Firstly, they decrease the necessity for face-to-face assessment, particularly for minor burns, and increase the proportion of day case, as opposed to </w:t>
      </w:r>
      <w:bookmarkStart w:id="0" w:name="_Int_FYo21MVB"/>
      <w:r>
        <w:t>inpatient,</w:t>
      </w:r>
      <w:bookmarkEnd w:id="0"/>
      <w:r>
        <w:t xml:space="preserve"> surgeries [5]. The system facilitates remote differentiation of the cases requiring inpatient versus day-case care [5], as the receiving clinician has increased confidence that their initial, remote diagnosis was accurate with the support of real-time images. In turn, there is increased patient satisfaction – specifically related to more locally delivered care - and less burden to the patient and NHS as inpatient stays and the number of unnecessary appointments </w:t>
      </w:r>
      <w:bookmarkStart w:id="1" w:name="_Int_8BNtuTAD"/>
      <w:proofErr w:type="gramStart"/>
      <w:r>
        <w:t>are</w:t>
      </w:r>
      <w:bookmarkEnd w:id="1"/>
      <w:proofErr w:type="gramEnd"/>
      <w:r>
        <w:t xml:space="preserve"> decreased [5-7]. Secondly, the accuracy and efficiency of photographs in capturing burns visually has been assessed in multiple studies, with 86% of clinicians reporting the ability to assess the burn size and 67% burn depth [3]. It has been demonstrated that evaluation via remote and in-person methods are highly comparable [2,8,9], thus enabl</w:t>
      </w:r>
      <w:r w:rsidR="00F66818">
        <w:t>ing</w:t>
      </w:r>
      <w:r>
        <w:t xml:space="preserve"> </w:t>
      </w:r>
      <w:r w:rsidR="00F66818">
        <w:t>similar</w:t>
      </w:r>
      <w:r>
        <w:t xml:space="preserve"> quality of care to face-to-face assessments. Finally, telemedicine offers the advantage of facilitating a multidisciplinary team (MDT) approach [10].</w:t>
      </w:r>
    </w:p>
    <w:p w14:paraId="602B0B49" w14:textId="10176B7A" w:rsidR="00160703" w:rsidRDefault="714D0DF3" w:rsidP="5527A10F">
      <w:pPr>
        <w:ind w:firstLine="720"/>
        <w:jc w:val="both"/>
      </w:pPr>
      <w:r>
        <w:t>Although telemedicine has been proven beneficial for patients and clinicians, especially in rural areas where there is limited burn expertise, its implementation has been associated with several barriers. A study evaluating 1000 telemedicine follow-up appointments in the United States demonstrated that the three key hindrances were inadequate planning and development of infrastructure, confidentiality, and telemedicine regulation, such as the requirement to use specific</w:t>
      </w:r>
      <w:r w:rsidR="00AD6B49">
        <w:t>,</w:t>
      </w:r>
      <w:r>
        <w:t xml:space="preserve"> approved provider networks [7].</w:t>
      </w:r>
    </w:p>
    <w:p w14:paraId="333E5591" w14:textId="2387FA37" w:rsidR="000E1535" w:rsidRDefault="714D0DF3" w:rsidP="714D0DF3">
      <w:pPr>
        <w:ind w:firstLine="720"/>
        <w:jc w:val="both"/>
        <w:rPr>
          <w:rFonts w:eastAsiaTheme="minorEastAsia"/>
          <w:color w:val="212121"/>
          <w:lang w:val="en-GB"/>
        </w:rPr>
      </w:pPr>
      <w:r>
        <w:t xml:space="preserve">The Covid-19 pandemic accelerated the integration of telemedicine into wider emergency care, with the advantages of remote consultations quickly becoming apparent for the safety of clinicians and patients, and for the conservation of resources [11]. This systematic review also noted that despite a cost reduction with the use of telemedicine, technical, infrastructure and staff training issues remained a barrier to its widespread implementation. Moreover, it identified a scarcity of research examining clinicians’ experiences and satisfaction with telemedicine systems [12]. For most of the UK, the pathway for burn referrals changed little during the pandemic, given the previous adoption of the MDSAS system </w:t>
      </w:r>
      <w:r>
        <w:lastRenderedPageBreak/>
        <w:t>across two of the larger networks [13]. However, it was postulated that clinicians’ acceptance and ability to use the system</w:t>
      </w:r>
      <w:r w:rsidR="00D96CC3">
        <w:t xml:space="preserve"> </w:t>
      </w:r>
      <w:r>
        <w:t xml:space="preserve">was improved due to the wider adoption of telemedicine for acute referrals to other non-burn specialties. This study aims to identify the barriers limiting the adoption of a specific telemedicine referral services (MDSAS) for acute burns care in the United Kingdom, and to evaluate whether attitudes towards telemedicine have changed since the Covid-19 pandemic. </w:t>
      </w:r>
      <w:r w:rsidRPr="714D0DF3">
        <w:rPr>
          <w:rFonts w:eastAsiaTheme="minorEastAsia"/>
          <w:color w:val="212121"/>
          <w:lang w:val="en-GB"/>
        </w:rPr>
        <w:t>Identification and comparison of these perceived barriers over time informs discussions about methods to facilitate further implementation and can highlight key areas for resource allocation.</w:t>
      </w:r>
    </w:p>
    <w:p w14:paraId="1F831E0F" w14:textId="77777777" w:rsidR="00800CEE" w:rsidRDefault="00800CEE" w:rsidP="5527A10F">
      <w:pPr>
        <w:ind w:firstLine="720"/>
        <w:jc w:val="both"/>
        <w:rPr>
          <w:rFonts w:eastAsiaTheme="minorEastAsia"/>
          <w:color w:val="212121"/>
          <w:lang w:val="en-GB"/>
        </w:rPr>
      </w:pPr>
    </w:p>
    <w:p w14:paraId="61B15F23" w14:textId="79656541" w:rsidR="5EEBC424" w:rsidRPr="00B17F20" w:rsidRDefault="6CE0D967" w:rsidP="00B17F20">
      <w:pPr>
        <w:rPr>
          <w:b/>
          <w:bCs/>
        </w:rPr>
      </w:pPr>
      <w:r w:rsidRPr="6CE0D967">
        <w:rPr>
          <w:b/>
          <w:bCs/>
        </w:rPr>
        <w:t>Method</w:t>
      </w:r>
      <w:r w:rsidR="000E1535">
        <w:rPr>
          <w:b/>
          <w:bCs/>
        </w:rPr>
        <w:t>s</w:t>
      </w:r>
    </w:p>
    <w:p w14:paraId="3D3476EC" w14:textId="169B7DCA" w:rsidR="7057BA07" w:rsidRPr="00B17F20" w:rsidRDefault="5EEBC424" w:rsidP="5EEBC424">
      <w:pPr>
        <w:jc w:val="both"/>
        <w:rPr>
          <w:rFonts w:ascii="Calibri" w:eastAsia="Calibri" w:hAnsi="Calibri" w:cs="Calibri"/>
          <w:i/>
          <w:iCs/>
        </w:rPr>
      </w:pPr>
      <w:r w:rsidRPr="00B17F20">
        <w:rPr>
          <w:rFonts w:ascii="Calibri" w:eastAsia="Calibri" w:hAnsi="Calibri" w:cs="Calibri"/>
          <w:i/>
          <w:iCs/>
        </w:rPr>
        <w:t>Questionnaire Development</w:t>
      </w:r>
    </w:p>
    <w:p w14:paraId="7A177210" w14:textId="2EE364FC" w:rsidR="7057BA07" w:rsidRDefault="29927AD3" w:rsidP="000E1535">
      <w:pPr>
        <w:ind w:firstLine="720"/>
        <w:jc w:val="both"/>
        <w:rPr>
          <w:rFonts w:ascii="Calibri" w:eastAsia="Calibri" w:hAnsi="Calibri" w:cs="Calibri"/>
        </w:rPr>
      </w:pPr>
      <w:r w:rsidRPr="29927AD3">
        <w:rPr>
          <w:rFonts w:ascii="Calibri" w:eastAsia="Calibri" w:hAnsi="Calibri" w:cs="Calibri"/>
        </w:rPr>
        <w:t xml:space="preserve">Literature about the attitudes of clinicians towards telemedicine in burn referrals and other hospital specialties, such as dermatology and psychiatry, was surveyed. A literature review was conducted using the databases Medline and EMBASE on Ovid and PubMed focusing on English-language publications, without date restriction. Boolean searches were undertaken using standard </w:t>
      </w:r>
      <w:proofErr w:type="spellStart"/>
      <w:r w:rsidRPr="29927AD3">
        <w:rPr>
          <w:rFonts w:ascii="Calibri" w:eastAsia="Calibri" w:hAnsi="Calibri" w:cs="Calibri"/>
        </w:rPr>
        <w:t>MeSH</w:t>
      </w:r>
      <w:proofErr w:type="spellEnd"/>
      <w:r w:rsidRPr="29927AD3">
        <w:rPr>
          <w:rFonts w:ascii="Calibri" w:eastAsia="Calibri" w:hAnsi="Calibri" w:cs="Calibri"/>
        </w:rPr>
        <w:t xml:space="preserve"> terms in combination, for example, &lt;telemedicine&gt; AND &lt;attitudes of health professionals&gt; AND &lt;burns&gt; AND &lt;emergency&gt;. Based upon these findings, preliminary domains were devised to categorize barriers to implementation, which formed the construct for the pilot questionnaire. The pilot consisted of open questions to gauge knowledge and personal perspectives about the barriers identified in the literature towards the general implementation of telemedicine. This was followed by a description of the MDSAS burns referral system where respondents were asked about potential barriers they perceived for this specific system. The pilot questionnaire was administered locally, in the emergency departments of Bristol Royal Infirmary, The Bristol Royal Hospital for Children, and Southmead Hospital - three hospitals that, at the inception of the study, did not utilize telemedicine for burn referrals to their local burn service. A total of 25 responses were obtained from a mixture of nursing and medical staff. The data from the pilot was collected and reviewed to further categorize and refine the barriers which might impede the implementation of telemedicine for referring patients. </w:t>
      </w:r>
    </w:p>
    <w:p w14:paraId="3F2F3FBE" w14:textId="3296DD62" w:rsidR="7057BA07" w:rsidRPr="00C126EA" w:rsidRDefault="714D0DF3" w:rsidP="714D0DF3">
      <w:pPr>
        <w:ind w:firstLine="720"/>
        <w:jc w:val="both"/>
        <w:rPr>
          <w:rFonts w:ascii="Calibri" w:eastAsia="Calibri" w:hAnsi="Calibri" w:cs="Calibri"/>
          <w:i/>
          <w:iCs/>
          <w:strike/>
        </w:rPr>
      </w:pPr>
      <w:r w:rsidRPr="714D0DF3">
        <w:rPr>
          <w:rFonts w:ascii="Calibri" w:eastAsia="Calibri" w:hAnsi="Calibri" w:cs="Calibri"/>
        </w:rPr>
        <w:t>Following assimilation of the pilot results, the final questionnaire was optimized in conjunction with a Social Science Research Fellow experienced in questionnaire design. It consisted of two general open-ended questions followed by twelve closed statements about specific</w:t>
      </w:r>
      <w:r w:rsidR="00D96CC3">
        <w:rPr>
          <w:rFonts w:ascii="Calibri" w:eastAsia="Calibri" w:hAnsi="Calibri" w:cs="Calibri"/>
        </w:rPr>
        <w:t>,</w:t>
      </w:r>
      <w:r w:rsidRPr="714D0DF3">
        <w:rPr>
          <w:rFonts w:ascii="Calibri" w:eastAsia="Calibri" w:hAnsi="Calibri" w:cs="Calibri"/>
        </w:rPr>
        <w:t xml:space="preserve"> perceived barriers to implementation, for which the respondent had to express agreement or disagreement.  They were then asked to identify the single, most significant barrier to telemedicine adoption from these statements. </w:t>
      </w:r>
    </w:p>
    <w:p w14:paraId="33E0978D" w14:textId="29FE2DB7" w:rsidR="7057BA07" w:rsidRPr="000E1535" w:rsidRDefault="13E439A5" w:rsidP="5527A10F">
      <w:r>
        <w:br w:type="page"/>
      </w:r>
    </w:p>
    <w:p w14:paraId="1775ED63" w14:textId="65999B5C" w:rsidR="7057BA07" w:rsidRPr="000E1535" w:rsidRDefault="5527A10F" w:rsidP="5527A10F">
      <w:pPr>
        <w:jc w:val="both"/>
        <w:rPr>
          <w:rFonts w:ascii="Calibri" w:eastAsia="Calibri" w:hAnsi="Calibri" w:cs="Calibri"/>
          <w:i/>
          <w:iCs/>
        </w:rPr>
      </w:pPr>
      <w:r w:rsidRPr="5527A10F">
        <w:rPr>
          <w:rFonts w:ascii="Calibri" w:eastAsia="Calibri" w:hAnsi="Calibri" w:cs="Calibri"/>
          <w:i/>
          <w:iCs/>
        </w:rPr>
        <w:lastRenderedPageBreak/>
        <w:t>Questionnaire administration</w:t>
      </w:r>
    </w:p>
    <w:p w14:paraId="668966E8" w14:textId="3D2FE41D" w:rsidR="13E439A5" w:rsidRDefault="714D0DF3" w:rsidP="000E1535">
      <w:pPr>
        <w:spacing w:line="240" w:lineRule="auto"/>
        <w:ind w:firstLine="720"/>
        <w:jc w:val="both"/>
        <w:rPr>
          <w:rFonts w:ascii="Calibri" w:eastAsia="Calibri" w:hAnsi="Calibri" w:cs="Calibri"/>
        </w:rPr>
      </w:pPr>
      <w:r w:rsidRPr="714D0DF3">
        <w:rPr>
          <w:rFonts w:ascii="Calibri" w:eastAsia="Calibri" w:hAnsi="Calibri" w:cs="Calibri"/>
        </w:rPr>
        <w:t xml:space="preserve">Both questionnaires (pre- and post-Covid) were administered over the telephone to medical and nursing staff working in EDs or MIUs </w:t>
      </w:r>
      <w:r w:rsidR="00D96CC3">
        <w:rPr>
          <w:rFonts w:ascii="Calibri" w:eastAsia="Calibri" w:hAnsi="Calibri" w:cs="Calibri"/>
        </w:rPr>
        <w:t>which</w:t>
      </w:r>
      <w:r w:rsidRPr="714D0DF3">
        <w:rPr>
          <w:rFonts w:ascii="Calibri" w:eastAsia="Calibri" w:hAnsi="Calibri" w:cs="Calibri"/>
        </w:rPr>
        <w:t xml:space="preserve"> made referrals to the burn services of the South-West United Kingdom (SWUK) burn network. </w:t>
      </w:r>
    </w:p>
    <w:p w14:paraId="08B8FB65" w14:textId="7093690E" w:rsidR="13E439A5" w:rsidRDefault="36409090" w:rsidP="00FB7C65">
      <w:pPr>
        <w:spacing w:line="240" w:lineRule="auto"/>
        <w:ind w:firstLine="720"/>
        <w:jc w:val="both"/>
        <w:rPr>
          <w:rFonts w:ascii="Calibri" w:eastAsia="Calibri" w:hAnsi="Calibri" w:cs="Calibri"/>
        </w:rPr>
      </w:pPr>
      <w:r w:rsidRPr="36409090">
        <w:rPr>
          <w:rFonts w:ascii="Calibri" w:eastAsia="Calibri" w:hAnsi="Calibri" w:cs="Calibri"/>
        </w:rPr>
        <w:t>The first questionnaire was administered during the 30</w:t>
      </w:r>
      <w:r w:rsidRPr="36409090">
        <w:rPr>
          <w:rFonts w:ascii="Calibri" w:eastAsia="Calibri" w:hAnsi="Calibri" w:cs="Calibri"/>
          <w:vertAlign w:val="superscript"/>
        </w:rPr>
        <w:t>th</w:t>
      </w:r>
      <w:r w:rsidRPr="36409090">
        <w:rPr>
          <w:rFonts w:ascii="Calibri" w:eastAsia="Calibri" w:hAnsi="Calibri" w:cs="Calibri"/>
        </w:rPr>
        <w:t xml:space="preserve"> week of 2019.  </w:t>
      </w:r>
      <w:r w:rsidR="00D96CC3">
        <w:rPr>
          <w:rFonts w:ascii="Calibri" w:eastAsia="Calibri" w:hAnsi="Calibri" w:cs="Calibri"/>
        </w:rPr>
        <w:t>At that point</w:t>
      </w:r>
      <w:r w:rsidRPr="36409090">
        <w:rPr>
          <w:rFonts w:ascii="Calibri" w:eastAsia="Calibri" w:hAnsi="Calibri" w:cs="Calibri"/>
        </w:rPr>
        <w:t>, the MDSAS system had been operational in the SWUK burn network for one year. The second questionnaire was administered during the 27</w:t>
      </w:r>
      <w:r w:rsidRPr="36409090">
        <w:rPr>
          <w:rFonts w:ascii="Calibri" w:eastAsia="Calibri" w:hAnsi="Calibri" w:cs="Calibri"/>
          <w:vertAlign w:val="superscript"/>
        </w:rPr>
        <w:t>th</w:t>
      </w:r>
      <w:r w:rsidRPr="36409090">
        <w:rPr>
          <w:rFonts w:ascii="Calibri" w:eastAsia="Calibri" w:hAnsi="Calibri" w:cs="Calibri"/>
        </w:rPr>
        <w:t xml:space="preserve"> and 28</w:t>
      </w:r>
      <w:r w:rsidRPr="36409090">
        <w:rPr>
          <w:rFonts w:ascii="Calibri" w:eastAsia="Calibri" w:hAnsi="Calibri" w:cs="Calibri"/>
          <w:vertAlign w:val="superscript"/>
        </w:rPr>
        <w:t>th</w:t>
      </w:r>
      <w:r w:rsidRPr="36409090">
        <w:rPr>
          <w:rFonts w:ascii="Calibri" w:eastAsia="Calibri" w:hAnsi="Calibri" w:cs="Calibri"/>
        </w:rPr>
        <w:t xml:space="preserve"> weeks of 2022. The date of re-administration was determined at a time point that was well beyond the accepted final phase of the Covid pandemic within the UK, following lifting of all legal restrictions in England [14]. During both rounds of data collection, where possible, an attempt was made to gain a balanced representation of the workforce composition in acute settings by administering the questionnaire to multiple individuals within the same referring service.  </w:t>
      </w:r>
    </w:p>
    <w:p w14:paraId="53F3C58D" w14:textId="77777777" w:rsidR="00473E1F" w:rsidRDefault="00473E1F" w:rsidP="29927AD3">
      <w:pPr>
        <w:jc w:val="both"/>
        <w:rPr>
          <w:rFonts w:ascii="Calibri" w:eastAsia="Calibri" w:hAnsi="Calibri" w:cs="Calibri"/>
          <w:i/>
          <w:iCs/>
        </w:rPr>
      </w:pPr>
    </w:p>
    <w:p w14:paraId="3AAEF469" w14:textId="6A157343" w:rsidR="7057BA07" w:rsidRPr="000E1535" w:rsidRDefault="29927AD3" w:rsidP="29927AD3">
      <w:pPr>
        <w:jc w:val="both"/>
        <w:rPr>
          <w:rFonts w:ascii="Calibri" w:eastAsia="Calibri" w:hAnsi="Calibri" w:cs="Calibri"/>
          <w:i/>
          <w:iCs/>
        </w:rPr>
      </w:pPr>
      <w:r w:rsidRPr="29927AD3">
        <w:rPr>
          <w:rFonts w:ascii="Calibri" w:eastAsia="Calibri" w:hAnsi="Calibri" w:cs="Calibri"/>
          <w:i/>
          <w:iCs/>
        </w:rPr>
        <w:t>Statistical analysis</w:t>
      </w:r>
    </w:p>
    <w:p w14:paraId="52D5E665" w14:textId="03A9FA36" w:rsidR="69B24B60" w:rsidRDefault="36409090" w:rsidP="00473E1F">
      <w:pPr>
        <w:ind w:firstLine="720"/>
        <w:jc w:val="both"/>
        <w:rPr>
          <w:rFonts w:ascii="Calibri" w:eastAsia="Calibri" w:hAnsi="Calibri" w:cs="Calibri"/>
        </w:rPr>
      </w:pPr>
      <w:r w:rsidRPr="36409090">
        <w:rPr>
          <w:rFonts w:ascii="Calibri" w:eastAsia="Calibri" w:hAnsi="Calibri" w:cs="Calibri"/>
        </w:rPr>
        <w:t xml:space="preserve">The responses from 2019 and 2002 were compared to identify changes in the statements viewed as key barriers, and in the greatest barriers to implementation. Statistical analyses were conducted using SPSS – Statistics (SPSS; IBM, Chicago, IL, USA, version 28, 2021). Tests of association between categorical variables were assessed using the chi-square test. The strength of the association between binary variables was quantified using the odds ratio, and 95% confidence intervals were used to show the precision of estimated percentages. </w:t>
      </w:r>
    </w:p>
    <w:p w14:paraId="7F3225C0" w14:textId="6B0D3F2A" w:rsidR="69B24B60" w:rsidRDefault="69B24B60" w:rsidP="69B24B60">
      <w:pPr>
        <w:jc w:val="both"/>
      </w:pPr>
    </w:p>
    <w:p w14:paraId="5C564848" w14:textId="17A4BBFF" w:rsidR="13E439A5" w:rsidRDefault="13E439A5">
      <w:r>
        <w:br w:type="page"/>
      </w:r>
    </w:p>
    <w:p w14:paraId="35CBE251" w14:textId="4528C3B1" w:rsidR="7057BA07" w:rsidRDefault="6CE0D967" w:rsidP="5EEBC424">
      <w:pPr>
        <w:rPr>
          <w:b/>
          <w:bCs/>
        </w:rPr>
      </w:pPr>
      <w:r w:rsidRPr="6CE0D967">
        <w:rPr>
          <w:b/>
          <w:bCs/>
        </w:rPr>
        <w:lastRenderedPageBreak/>
        <w:t>Results</w:t>
      </w:r>
    </w:p>
    <w:p w14:paraId="6412995A" w14:textId="29149E01" w:rsidR="5EEBC424" w:rsidRPr="00F32ECE" w:rsidRDefault="13E439A5" w:rsidP="5EEBC424">
      <w:pPr>
        <w:rPr>
          <w:i/>
          <w:iCs/>
        </w:rPr>
      </w:pPr>
      <w:r w:rsidRPr="00F32ECE">
        <w:rPr>
          <w:i/>
          <w:iCs/>
        </w:rPr>
        <w:t>Demographics</w:t>
      </w:r>
    </w:p>
    <w:p w14:paraId="6E15F4CC" w14:textId="3CD726D6" w:rsidR="00CD4647" w:rsidRDefault="72B47188" w:rsidP="007F6A89">
      <w:pPr>
        <w:ind w:firstLine="720"/>
        <w:jc w:val="both"/>
      </w:pPr>
      <w:r>
        <w:t>100 respondents completed the survey in 2019, compared to 70 in 2022, with all ED and MIUs in the Southwest contacted for responses.  Table 1 details the two cohorts. In both 2019 and 2022 18 EDs were identified across the South-West, with 55 MIUs in 2019 and 45 in 2022, due to several closures and mergers of units. Responses were obtained from at least 75% of these services across both time periods. Proportionately more nursing staff responded in the second survey, but this did not reach statistical significance (p=0.145).  The respondents constituted 75% nurses and 25% doctors in 2019 compared to 84.3% nurses and 15.7% doctors in 2022. There was a significant variation in the number of years’ experience within ED of respondents between the two points of administration (p=0.002), with a far greater range in experience across the 2019 respondents. In 2022, most respondents (55.7%) had 0-5 years of experience, with no respondents having 26 years or more. There was no significant difference between time periods in the level of training of staff or the number of burns seen annually.</w:t>
      </w:r>
    </w:p>
    <w:p w14:paraId="08FF6979" w14:textId="5790EE61" w:rsidR="00E675E8" w:rsidRPr="00CD4647" w:rsidRDefault="29927AD3" w:rsidP="00CD4647">
      <w:pPr>
        <w:jc w:val="both"/>
      </w:pPr>
      <w:r w:rsidRPr="29927AD3">
        <w:rPr>
          <w:i/>
          <w:iCs/>
          <w:color w:val="808080" w:themeColor="background1" w:themeShade="80"/>
        </w:rPr>
        <w:t xml:space="preserve">Table </w:t>
      </w:r>
      <w:r w:rsidR="00E675E8" w:rsidRPr="29927AD3">
        <w:rPr>
          <w:i/>
          <w:iCs/>
          <w:color w:val="808080" w:themeColor="background1" w:themeShade="80"/>
        </w:rPr>
        <w:fldChar w:fldCharType="begin"/>
      </w:r>
      <w:r w:rsidR="00E675E8" w:rsidRPr="29927AD3">
        <w:rPr>
          <w:i/>
          <w:iCs/>
          <w:color w:val="808080" w:themeColor="background1" w:themeShade="80"/>
        </w:rPr>
        <w:instrText xml:space="preserve"> SEQ Table \* ARABIC </w:instrText>
      </w:r>
      <w:r w:rsidR="00E675E8" w:rsidRPr="29927AD3">
        <w:rPr>
          <w:i/>
          <w:iCs/>
          <w:color w:val="808080" w:themeColor="background1" w:themeShade="80"/>
        </w:rPr>
        <w:fldChar w:fldCharType="separate"/>
      </w:r>
      <w:r w:rsidRPr="29927AD3">
        <w:rPr>
          <w:i/>
          <w:iCs/>
          <w:noProof/>
          <w:color w:val="808080" w:themeColor="background1" w:themeShade="80"/>
        </w:rPr>
        <w:t>1</w:t>
      </w:r>
      <w:r w:rsidR="00E675E8" w:rsidRPr="29927AD3">
        <w:rPr>
          <w:i/>
          <w:iCs/>
          <w:color w:val="808080" w:themeColor="background1" w:themeShade="80"/>
        </w:rPr>
        <w:fldChar w:fldCharType="end"/>
      </w:r>
      <w:r w:rsidRPr="29927AD3">
        <w:rPr>
          <w:i/>
          <w:iCs/>
          <w:color w:val="808080" w:themeColor="background1" w:themeShade="80"/>
        </w:rPr>
        <w:t>: comparison of demographics of respondents between the two points of administration, 2019 and 2022.  Year columns give the absolute number of respondents in each category with the percentage given in parentheses.</w:t>
      </w:r>
    </w:p>
    <w:tbl>
      <w:tblPr>
        <w:tblStyle w:val="TableGrid"/>
        <w:tblW w:w="6091" w:type="dxa"/>
        <w:jc w:val="center"/>
        <w:tblLayout w:type="fixed"/>
        <w:tblLook w:val="04A0" w:firstRow="1" w:lastRow="0" w:firstColumn="1" w:lastColumn="0" w:noHBand="0" w:noVBand="1"/>
      </w:tblPr>
      <w:tblGrid>
        <w:gridCol w:w="1995"/>
        <w:gridCol w:w="1533"/>
        <w:gridCol w:w="1570"/>
        <w:gridCol w:w="993"/>
      </w:tblGrid>
      <w:tr w:rsidR="003308BA" w14:paraId="59DFC289" w14:textId="77777777" w:rsidTr="553EE29A">
        <w:trPr>
          <w:jc w:val="center"/>
        </w:trPr>
        <w:tc>
          <w:tcPr>
            <w:tcW w:w="1995" w:type="dxa"/>
          </w:tcPr>
          <w:p w14:paraId="3C0867A1" w14:textId="4970C17F" w:rsidR="003308BA" w:rsidRPr="008D3273" w:rsidRDefault="003308BA" w:rsidP="6CE0D967">
            <w:pPr>
              <w:jc w:val="both"/>
              <w:rPr>
                <w:b/>
                <w:bCs/>
              </w:rPr>
            </w:pPr>
            <w:r w:rsidRPr="008D3273">
              <w:rPr>
                <w:b/>
                <w:bCs/>
              </w:rPr>
              <w:t>Demographic</w:t>
            </w:r>
          </w:p>
        </w:tc>
        <w:tc>
          <w:tcPr>
            <w:tcW w:w="1533" w:type="dxa"/>
            <w:vAlign w:val="center"/>
          </w:tcPr>
          <w:p w14:paraId="297C5F1C" w14:textId="54CC4911" w:rsidR="003308BA" w:rsidRPr="008D3273" w:rsidRDefault="29927AD3" w:rsidP="29927AD3">
            <w:pPr>
              <w:jc w:val="center"/>
              <w:rPr>
                <w:b/>
                <w:bCs/>
                <w:vertAlign w:val="superscript"/>
              </w:rPr>
            </w:pPr>
            <w:r w:rsidRPr="29927AD3">
              <w:rPr>
                <w:b/>
                <w:bCs/>
              </w:rPr>
              <w:t>2019: N (%)</w:t>
            </w:r>
          </w:p>
        </w:tc>
        <w:tc>
          <w:tcPr>
            <w:tcW w:w="1570" w:type="dxa"/>
            <w:vAlign w:val="center"/>
          </w:tcPr>
          <w:p w14:paraId="3C26CAE7" w14:textId="64F6B7F8" w:rsidR="003308BA" w:rsidRPr="008D3273" w:rsidRDefault="12E1A998" w:rsidP="12E1A998">
            <w:pPr>
              <w:jc w:val="center"/>
              <w:rPr>
                <w:b/>
                <w:bCs/>
              </w:rPr>
            </w:pPr>
            <w:r w:rsidRPr="12E1A998">
              <w:rPr>
                <w:b/>
                <w:bCs/>
              </w:rPr>
              <w:t>2022: N (%)</w:t>
            </w:r>
          </w:p>
        </w:tc>
        <w:tc>
          <w:tcPr>
            <w:tcW w:w="993" w:type="dxa"/>
            <w:vAlign w:val="center"/>
          </w:tcPr>
          <w:p w14:paraId="1A0200A7" w14:textId="7DFE6334" w:rsidR="003308BA" w:rsidRPr="008D3273" w:rsidRDefault="12E1A998" w:rsidP="12E1A998">
            <w:pPr>
              <w:jc w:val="center"/>
              <w:rPr>
                <w:b/>
                <w:bCs/>
              </w:rPr>
            </w:pPr>
            <w:r w:rsidRPr="12E1A998">
              <w:rPr>
                <w:b/>
                <w:bCs/>
              </w:rPr>
              <w:t>p-value</w:t>
            </w:r>
          </w:p>
        </w:tc>
      </w:tr>
      <w:tr w:rsidR="00533EF0" w14:paraId="124B164B" w14:textId="77777777" w:rsidTr="553EE29A">
        <w:trPr>
          <w:jc w:val="center"/>
        </w:trPr>
        <w:tc>
          <w:tcPr>
            <w:tcW w:w="5098" w:type="dxa"/>
            <w:gridSpan w:val="3"/>
          </w:tcPr>
          <w:p w14:paraId="4598AB08" w14:textId="77777777" w:rsidR="00533EF0" w:rsidRPr="003308BA" w:rsidRDefault="00533EF0" w:rsidP="6CE0D967">
            <w:pPr>
              <w:jc w:val="both"/>
              <w:rPr>
                <w:b/>
                <w:bCs/>
              </w:rPr>
            </w:pPr>
            <w:r w:rsidRPr="003308BA">
              <w:rPr>
                <w:b/>
                <w:bCs/>
              </w:rPr>
              <w:t>Occupation</w:t>
            </w:r>
          </w:p>
        </w:tc>
        <w:tc>
          <w:tcPr>
            <w:tcW w:w="993" w:type="dxa"/>
            <w:vMerge w:val="restart"/>
            <w:vAlign w:val="center"/>
          </w:tcPr>
          <w:p w14:paraId="35CCF120" w14:textId="3A384040" w:rsidR="00533EF0" w:rsidRPr="003308BA" w:rsidRDefault="12E1A998" w:rsidP="12E1A998">
            <w:pPr>
              <w:jc w:val="center"/>
              <w:rPr>
                <w:b/>
                <w:bCs/>
              </w:rPr>
            </w:pPr>
            <w:r>
              <w:t>0.145</w:t>
            </w:r>
          </w:p>
        </w:tc>
      </w:tr>
      <w:tr w:rsidR="00533EF0" w14:paraId="1A280F15" w14:textId="77777777" w:rsidTr="553EE29A">
        <w:trPr>
          <w:jc w:val="center"/>
        </w:trPr>
        <w:tc>
          <w:tcPr>
            <w:tcW w:w="1995" w:type="dxa"/>
          </w:tcPr>
          <w:p w14:paraId="65A30187" w14:textId="3D4D92E8" w:rsidR="00533EF0" w:rsidRDefault="00533EF0" w:rsidP="6CE0D967">
            <w:pPr>
              <w:jc w:val="both"/>
            </w:pPr>
            <w:r>
              <w:t>Nurse</w:t>
            </w:r>
          </w:p>
        </w:tc>
        <w:tc>
          <w:tcPr>
            <w:tcW w:w="1533" w:type="dxa"/>
            <w:vAlign w:val="center"/>
          </w:tcPr>
          <w:p w14:paraId="397E806B" w14:textId="3D1F2E40" w:rsidR="00533EF0" w:rsidRDefault="12E1A998" w:rsidP="12E1A998">
            <w:pPr>
              <w:jc w:val="center"/>
            </w:pPr>
            <w:r>
              <w:t>75 (75)</w:t>
            </w:r>
          </w:p>
        </w:tc>
        <w:tc>
          <w:tcPr>
            <w:tcW w:w="1570" w:type="dxa"/>
            <w:vAlign w:val="center"/>
          </w:tcPr>
          <w:p w14:paraId="472A101C" w14:textId="10316FCC" w:rsidR="00533EF0" w:rsidRDefault="12E1A998" w:rsidP="12E1A998">
            <w:pPr>
              <w:jc w:val="center"/>
            </w:pPr>
            <w:r>
              <w:t>59 (84.3)</w:t>
            </w:r>
          </w:p>
        </w:tc>
        <w:tc>
          <w:tcPr>
            <w:tcW w:w="993" w:type="dxa"/>
            <w:vMerge/>
          </w:tcPr>
          <w:p w14:paraId="53846BCA" w14:textId="1B05B789" w:rsidR="00533EF0" w:rsidRDefault="00533EF0" w:rsidP="6CE0D967">
            <w:pPr>
              <w:jc w:val="both"/>
            </w:pPr>
          </w:p>
        </w:tc>
      </w:tr>
      <w:tr w:rsidR="00533EF0" w14:paraId="0CF29AC9" w14:textId="77777777" w:rsidTr="553EE29A">
        <w:trPr>
          <w:jc w:val="center"/>
        </w:trPr>
        <w:tc>
          <w:tcPr>
            <w:tcW w:w="1995" w:type="dxa"/>
          </w:tcPr>
          <w:p w14:paraId="0DD76549" w14:textId="7C4D5929" w:rsidR="00533EF0" w:rsidRDefault="00533EF0" w:rsidP="6CE0D967">
            <w:pPr>
              <w:jc w:val="both"/>
            </w:pPr>
            <w:r>
              <w:t>Doctor</w:t>
            </w:r>
          </w:p>
        </w:tc>
        <w:tc>
          <w:tcPr>
            <w:tcW w:w="1533" w:type="dxa"/>
            <w:vAlign w:val="center"/>
          </w:tcPr>
          <w:p w14:paraId="1B554E08" w14:textId="1CCFFF1F" w:rsidR="00533EF0" w:rsidRDefault="12E1A998" w:rsidP="12E1A998">
            <w:pPr>
              <w:jc w:val="center"/>
            </w:pPr>
            <w:r>
              <w:t>25 (25)</w:t>
            </w:r>
          </w:p>
        </w:tc>
        <w:tc>
          <w:tcPr>
            <w:tcW w:w="1570" w:type="dxa"/>
            <w:vAlign w:val="center"/>
          </w:tcPr>
          <w:p w14:paraId="21411442" w14:textId="4D9BB6F5" w:rsidR="00533EF0" w:rsidRDefault="12E1A998" w:rsidP="12E1A998">
            <w:pPr>
              <w:jc w:val="center"/>
            </w:pPr>
            <w:r>
              <w:t>11 (15.7)</w:t>
            </w:r>
          </w:p>
        </w:tc>
        <w:tc>
          <w:tcPr>
            <w:tcW w:w="993" w:type="dxa"/>
            <w:vMerge/>
          </w:tcPr>
          <w:p w14:paraId="65230E90" w14:textId="77777777" w:rsidR="00533EF0" w:rsidRDefault="00533EF0" w:rsidP="6CE0D967">
            <w:pPr>
              <w:jc w:val="both"/>
            </w:pPr>
          </w:p>
        </w:tc>
      </w:tr>
      <w:tr w:rsidR="00533EF0" w14:paraId="2633ACCA" w14:textId="77777777" w:rsidTr="553EE29A">
        <w:trPr>
          <w:trHeight w:val="327"/>
          <w:jc w:val="center"/>
        </w:trPr>
        <w:tc>
          <w:tcPr>
            <w:tcW w:w="5098" w:type="dxa"/>
            <w:gridSpan w:val="3"/>
          </w:tcPr>
          <w:p w14:paraId="67F7B5BC" w14:textId="1B4F1C12" w:rsidR="00533EF0" w:rsidRPr="00A91E09" w:rsidRDefault="29927AD3" w:rsidP="6CE0D967">
            <w:pPr>
              <w:jc w:val="both"/>
              <w:rPr>
                <w:b/>
                <w:bCs/>
              </w:rPr>
            </w:pPr>
            <w:r w:rsidRPr="00A91E09">
              <w:rPr>
                <w:b/>
                <w:bCs/>
              </w:rPr>
              <w:t>Length of experience in MIU / ED (years)</w:t>
            </w:r>
          </w:p>
        </w:tc>
        <w:tc>
          <w:tcPr>
            <w:tcW w:w="993" w:type="dxa"/>
            <w:vMerge w:val="restart"/>
            <w:vAlign w:val="center"/>
          </w:tcPr>
          <w:p w14:paraId="462C227B" w14:textId="675077EB" w:rsidR="00533EF0" w:rsidRPr="003308BA" w:rsidRDefault="12E1A998" w:rsidP="12E1A998">
            <w:pPr>
              <w:jc w:val="center"/>
              <w:rPr>
                <w:b/>
                <w:bCs/>
              </w:rPr>
            </w:pPr>
            <w:r>
              <w:t>0.002</w:t>
            </w:r>
          </w:p>
        </w:tc>
      </w:tr>
      <w:tr w:rsidR="00533EF0" w14:paraId="4FB766DD" w14:textId="77777777" w:rsidTr="553EE29A">
        <w:trPr>
          <w:trHeight w:val="300"/>
          <w:jc w:val="center"/>
        </w:trPr>
        <w:tc>
          <w:tcPr>
            <w:tcW w:w="1995" w:type="dxa"/>
          </w:tcPr>
          <w:p w14:paraId="27788EA3" w14:textId="38C61F20" w:rsidR="00533EF0" w:rsidRDefault="00533EF0" w:rsidP="6CE0D967">
            <w:pPr>
              <w:jc w:val="both"/>
            </w:pPr>
            <w:r>
              <w:t xml:space="preserve">0-5 </w:t>
            </w:r>
          </w:p>
        </w:tc>
        <w:tc>
          <w:tcPr>
            <w:tcW w:w="1533" w:type="dxa"/>
            <w:vAlign w:val="center"/>
          </w:tcPr>
          <w:p w14:paraId="5704C11B" w14:textId="6E3693CD" w:rsidR="00533EF0" w:rsidRDefault="12E1A998" w:rsidP="12E1A998">
            <w:pPr>
              <w:jc w:val="center"/>
            </w:pPr>
            <w:r>
              <w:t>28 (28)</w:t>
            </w:r>
          </w:p>
        </w:tc>
        <w:tc>
          <w:tcPr>
            <w:tcW w:w="1570" w:type="dxa"/>
            <w:vAlign w:val="center"/>
          </w:tcPr>
          <w:p w14:paraId="46B329A6" w14:textId="731AF01C" w:rsidR="00533EF0" w:rsidRDefault="12E1A998" w:rsidP="12E1A998">
            <w:pPr>
              <w:jc w:val="center"/>
            </w:pPr>
            <w:r>
              <w:t>39 (55.7)</w:t>
            </w:r>
          </w:p>
        </w:tc>
        <w:tc>
          <w:tcPr>
            <w:tcW w:w="993" w:type="dxa"/>
            <w:vMerge/>
          </w:tcPr>
          <w:p w14:paraId="70A39C7D" w14:textId="151554E8" w:rsidR="00533EF0" w:rsidRDefault="00533EF0" w:rsidP="6CE0D967">
            <w:pPr>
              <w:jc w:val="both"/>
            </w:pPr>
          </w:p>
        </w:tc>
      </w:tr>
      <w:tr w:rsidR="00533EF0" w14:paraId="1A5BD75E" w14:textId="77777777" w:rsidTr="553EE29A">
        <w:trPr>
          <w:jc w:val="center"/>
        </w:trPr>
        <w:tc>
          <w:tcPr>
            <w:tcW w:w="1995" w:type="dxa"/>
          </w:tcPr>
          <w:p w14:paraId="733FBE87" w14:textId="23A4E518" w:rsidR="00533EF0" w:rsidRDefault="00533EF0" w:rsidP="6CE0D967">
            <w:pPr>
              <w:jc w:val="both"/>
            </w:pPr>
            <w:r>
              <w:t xml:space="preserve">6-10 </w:t>
            </w:r>
          </w:p>
        </w:tc>
        <w:tc>
          <w:tcPr>
            <w:tcW w:w="1533" w:type="dxa"/>
            <w:vAlign w:val="center"/>
          </w:tcPr>
          <w:p w14:paraId="6F7D248C" w14:textId="5753C062" w:rsidR="00533EF0" w:rsidRDefault="12E1A998" w:rsidP="12E1A998">
            <w:pPr>
              <w:jc w:val="center"/>
            </w:pPr>
            <w:r>
              <w:t>21 (21)</w:t>
            </w:r>
          </w:p>
        </w:tc>
        <w:tc>
          <w:tcPr>
            <w:tcW w:w="1570" w:type="dxa"/>
            <w:vAlign w:val="center"/>
          </w:tcPr>
          <w:p w14:paraId="4600DE4A" w14:textId="68FEE26E" w:rsidR="00533EF0" w:rsidRDefault="12E1A998" w:rsidP="12E1A998">
            <w:pPr>
              <w:jc w:val="center"/>
            </w:pPr>
            <w:r>
              <w:t>17 (24.3)</w:t>
            </w:r>
          </w:p>
        </w:tc>
        <w:tc>
          <w:tcPr>
            <w:tcW w:w="993" w:type="dxa"/>
            <w:vMerge/>
          </w:tcPr>
          <w:p w14:paraId="3DDB1FB2" w14:textId="77777777" w:rsidR="00533EF0" w:rsidRDefault="00533EF0" w:rsidP="6CE0D967">
            <w:pPr>
              <w:jc w:val="both"/>
            </w:pPr>
          </w:p>
        </w:tc>
      </w:tr>
      <w:tr w:rsidR="00533EF0" w14:paraId="3A1F45BB" w14:textId="77777777" w:rsidTr="553EE29A">
        <w:trPr>
          <w:jc w:val="center"/>
        </w:trPr>
        <w:tc>
          <w:tcPr>
            <w:tcW w:w="1995" w:type="dxa"/>
          </w:tcPr>
          <w:p w14:paraId="7E7A7AC2" w14:textId="07F594BA" w:rsidR="00533EF0" w:rsidRDefault="00533EF0" w:rsidP="6CE0D967">
            <w:pPr>
              <w:jc w:val="both"/>
            </w:pPr>
            <w:r>
              <w:t xml:space="preserve">11-15 </w:t>
            </w:r>
          </w:p>
        </w:tc>
        <w:tc>
          <w:tcPr>
            <w:tcW w:w="1533" w:type="dxa"/>
            <w:vAlign w:val="center"/>
          </w:tcPr>
          <w:p w14:paraId="3BC46727" w14:textId="756475C2" w:rsidR="00533EF0" w:rsidRDefault="12E1A998" w:rsidP="12E1A998">
            <w:pPr>
              <w:jc w:val="center"/>
            </w:pPr>
            <w:r>
              <w:t>19 (19)</w:t>
            </w:r>
          </w:p>
        </w:tc>
        <w:tc>
          <w:tcPr>
            <w:tcW w:w="1570" w:type="dxa"/>
            <w:vAlign w:val="center"/>
          </w:tcPr>
          <w:p w14:paraId="7C41B5E1" w14:textId="2AC8D534" w:rsidR="00533EF0" w:rsidRDefault="12E1A998" w:rsidP="12E1A998">
            <w:pPr>
              <w:jc w:val="center"/>
            </w:pPr>
            <w:r>
              <w:t>6 (8.6)</w:t>
            </w:r>
          </w:p>
        </w:tc>
        <w:tc>
          <w:tcPr>
            <w:tcW w:w="993" w:type="dxa"/>
            <w:vMerge/>
          </w:tcPr>
          <w:p w14:paraId="07AE05C0" w14:textId="77777777" w:rsidR="00533EF0" w:rsidRDefault="00533EF0" w:rsidP="6CE0D967">
            <w:pPr>
              <w:jc w:val="both"/>
            </w:pPr>
          </w:p>
        </w:tc>
      </w:tr>
      <w:tr w:rsidR="00533EF0" w14:paraId="03589735" w14:textId="77777777" w:rsidTr="553EE29A">
        <w:trPr>
          <w:jc w:val="center"/>
        </w:trPr>
        <w:tc>
          <w:tcPr>
            <w:tcW w:w="1995" w:type="dxa"/>
          </w:tcPr>
          <w:p w14:paraId="15C26286" w14:textId="0944EEAE" w:rsidR="00533EF0" w:rsidRDefault="00533EF0" w:rsidP="6CE0D967">
            <w:pPr>
              <w:jc w:val="both"/>
            </w:pPr>
            <w:r>
              <w:t>16-20</w:t>
            </w:r>
          </w:p>
        </w:tc>
        <w:tc>
          <w:tcPr>
            <w:tcW w:w="1533" w:type="dxa"/>
            <w:vAlign w:val="center"/>
          </w:tcPr>
          <w:p w14:paraId="5D4A5AD0" w14:textId="4C590844" w:rsidR="00533EF0" w:rsidRDefault="12E1A998" w:rsidP="12E1A998">
            <w:pPr>
              <w:jc w:val="center"/>
            </w:pPr>
            <w:r>
              <w:t>13 (13)</w:t>
            </w:r>
          </w:p>
        </w:tc>
        <w:tc>
          <w:tcPr>
            <w:tcW w:w="1570" w:type="dxa"/>
            <w:vAlign w:val="center"/>
          </w:tcPr>
          <w:p w14:paraId="4C969CFF" w14:textId="7ECC7C27" w:rsidR="00533EF0" w:rsidRDefault="12E1A998" w:rsidP="12E1A998">
            <w:pPr>
              <w:jc w:val="center"/>
            </w:pPr>
            <w:r>
              <w:t>6 (8.6)</w:t>
            </w:r>
          </w:p>
        </w:tc>
        <w:tc>
          <w:tcPr>
            <w:tcW w:w="993" w:type="dxa"/>
            <w:vMerge/>
          </w:tcPr>
          <w:p w14:paraId="46FA1731" w14:textId="77777777" w:rsidR="00533EF0" w:rsidRDefault="00533EF0" w:rsidP="6CE0D967">
            <w:pPr>
              <w:jc w:val="both"/>
            </w:pPr>
          </w:p>
        </w:tc>
      </w:tr>
      <w:tr w:rsidR="00533EF0" w14:paraId="77C54DE4" w14:textId="77777777" w:rsidTr="553EE29A">
        <w:trPr>
          <w:jc w:val="center"/>
        </w:trPr>
        <w:tc>
          <w:tcPr>
            <w:tcW w:w="1995" w:type="dxa"/>
          </w:tcPr>
          <w:p w14:paraId="70360C0A" w14:textId="32637280" w:rsidR="00533EF0" w:rsidRDefault="00533EF0" w:rsidP="6CE0D967">
            <w:pPr>
              <w:jc w:val="both"/>
            </w:pPr>
            <w:r>
              <w:t>21-25</w:t>
            </w:r>
          </w:p>
        </w:tc>
        <w:tc>
          <w:tcPr>
            <w:tcW w:w="1533" w:type="dxa"/>
            <w:vAlign w:val="center"/>
          </w:tcPr>
          <w:p w14:paraId="6478D803" w14:textId="104B08AA" w:rsidR="00533EF0" w:rsidRDefault="12E1A998" w:rsidP="12E1A998">
            <w:pPr>
              <w:jc w:val="center"/>
            </w:pPr>
            <w:r>
              <w:t>13 (13)</w:t>
            </w:r>
          </w:p>
        </w:tc>
        <w:tc>
          <w:tcPr>
            <w:tcW w:w="1570" w:type="dxa"/>
            <w:vAlign w:val="center"/>
          </w:tcPr>
          <w:p w14:paraId="2DA90D7A" w14:textId="0AEEC2A2" w:rsidR="00533EF0" w:rsidRDefault="12E1A998" w:rsidP="12E1A998">
            <w:pPr>
              <w:jc w:val="center"/>
            </w:pPr>
            <w:r>
              <w:t>2 (2.9)</w:t>
            </w:r>
          </w:p>
        </w:tc>
        <w:tc>
          <w:tcPr>
            <w:tcW w:w="993" w:type="dxa"/>
            <w:vMerge/>
          </w:tcPr>
          <w:p w14:paraId="6B27FA96" w14:textId="77777777" w:rsidR="00533EF0" w:rsidRDefault="00533EF0" w:rsidP="6CE0D967">
            <w:pPr>
              <w:jc w:val="both"/>
            </w:pPr>
          </w:p>
        </w:tc>
      </w:tr>
      <w:tr w:rsidR="00533EF0" w14:paraId="23F00208" w14:textId="77777777" w:rsidTr="553EE29A">
        <w:trPr>
          <w:jc w:val="center"/>
        </w:trPr>
        <w:tc>
          <w:tcPr>
            <w:tcW w:w="1995" w:type="dxa"/>
          </w:tcPr>
          <w:p w14:paraId="62B2B022" w14:textId="4A8765CE" w:rsidR="00533EF0" w:rsidRDefault="00533EF0" w:rsidP="6CE0D967">
            <w:pPr>
              <w:jc w:val="both"/>
            </w:pPr>
            <w:r>
              <w:t>26-30</w:t>
            </w:r>
          </w:p>
        </w:tc>
        <w:tc>
          <w:tcPr>
            <w:tcW w:w="1533" w:type="dxa"/>
            <w:vAlign w:val="center"/>
          </w:tcPr>
          <w:p w14:paraId="7C1BF6A5" w14:textId="39D40C4C" w:rsidR="00533EF0" w:rsidRDefault="12E1A998" w:rsidP="12E1A998">
            <w:pPr>
              <w:jc w:val="center"/>
            </w:pPr>
            <w:r>
              <w:t>4 (4)</w:t>
            </w:r>
          </w:p>
        </w:tc>
        <w:tc>
          <w:tcPr>
            <w:tcW w:w="1570" w:type="dxa"/>
            <w:vAlign w:val="center"/>
          </w:tcPr>
          <w:p w14:paraId="2E5D3E93" w14:textId="09C80676" w:rsidR="00533EF0" w:rsidRDefault="12E1A998" w:rsidP="12E1A998">
            <w:pPr>
              <w:jc w:val="center"/>
            </w:pPr>
            <w:r>
              <w:t>0 (0)</w:t>
            </w:r>
          </w:p>
        </w:tc>
        <w:tc>
          <w:tcPr>
            <w:tcW w:w="993" w:type="dxa"/>
            <w:vMerge/>
          </w:tcPr>
          <w:p w14:paraId="2185C555" w14:textId="77777777" w:rsidR="00533EF0" w:rsidRDefault="00533EF0" w:rsidP="6CE0D967">
            <w:pPr>
              <w:jc w:val="both"/>
            </w:pPr>
          </w:p>
        </w:tc>
      </w:tr>
      <w:tr w:rsidR="00533EF0" w14:paraId="3C46453A" w14:textId="77777777" w:rsidTr="553EE29A">
        <w:trPr>
          <w:jc w:val="center"/>
        </w:trPr>
        <w:tc>
          <w:tcPr>
            <w:tcW w:w="1995" w:type="dxa"/>
          </w:tcPr>
          <w:p w14:paraId="41187354" w14:textId="6950D26B" w:rsidR="00533EF0" w:rsidRDefault="00533EF0" w:rsidP="6CE0D967">
            <w:pPr>
              <w:jc w:val="both"/>
            </w:pPr>
            <w:r>
              <w:t>30+</w:t>
            </w:r>
          </w:p>
        </w:tc>
        <w:tc>
          <w:tcPr>
            <w:tcW w:w="1533" w:type="dxa"/>
            <w:vAlign w:val="center"/>
          </w:tcPr>
          <w:p w14:paraId="620D3A93" w14:textId="07FB5F11" w:rsidR="00533EF0" w:rsidRDefault="12E1A998" w:rsidP="12E1A998">
            <w:pPr>
              <w:jc w:val="center"/>
            </w:pPr>
            <w:r>
              <w:t>2 (2)</w:t>
            </w:r>
          </w:p>
        </w:tc>
        <w:tc>
          <w:tcPr>
            <w:tcW w:w="1570" w:type="dxa"/>
            <w:vAlign w:val="center"/>
          </w:tcPr>
          <w:p w14:paraId="2DCBFB9F" w14:textId="03251D87" w:rsidR="00533EF0" w:rsidRDefault="12E1A998" w:rsidP="12E1A998">
            <w:pPr>
              <w:jc w:val="center"/>
            </w:pPr>
            <w:r>
              <w:t>0 (0)</w:t>
            </w:r>
          </w:p>
        </w:tc>
        <w:tc>
          <w:tcPr>
            <w:tcW w:w="993" w:type="dxa"/>
            <w:vMerge/>
          </w:tcPr>
          <w:p w14:paraId="3C4849DC" w14:textId="77777777" w:rsidR="00533EF0" w:rsidRDefault="00533EF0" w:rsidP="6CE0D967">
            <w:pPr>
              <w:jc w:val="both"/>
            </w:pPr>
          </w:p>
        </w:tc>
      </w:tr>
      <w:tr w:rsidR="00533EF0" w14:paraId="269EBB57" w14:textId="77777777" w:rsidTr="553EE29A">
        <w:trPr>
          <w:jc w:val="center"/>
        </w:trPr>
        <w:tc>
          <w:tcPr>
            <w:tcW w:w="5098" w:type="dxa"/>
            <w:gridSpan w:val="3"/>
          </w:tcPr>
          <w:p w14:paraId="32994FC9" w14:textId="77777777" w:rsidR="00533EF0" w:rsidRPr="003308BA" w:rsidRDefault="00533EF0" w:rsidP="6CE0D967">
            <w:pPr>
              <w:jc w:val="both"/>
              <w:rPr>
                <w:b/>
                <w:bCs/>
              </w:rPr>
            </w:pPr>
            <w:r w:rsidRPr="003308BA">
              <w:rPr>
                <w:b/>
                <w:bCs/>
              </w:rPr>
              <w:t>Level of training</w:t>
            </w:r>
          </w:p>
        </w:tc>
        <w:tc>
          <w:tcPr>
            <w:tcW w:w="993" w:type="dxa"/>
            <w:vMerge w:val="restart"/>
            <w:vAlign w:val="center"/>
          </w:tcPr>
          <w:p w14:paraId="7E8A9C65" w14:textId="753B9A7C" w:rsidR="00533EF0" w:rsidRPr="003308BA" w:rsidRDefault="12E1A998" w:rsidP="12E1A998">
            <w:pPr>
              <w:jc w:val="center"/>
              <w:rPr>
                <w:b/>
                <w:bCs/>
              </w:rPr>
            </w:pPr>
            <w:r>
              <w:t>0.233</w:t>
            </w:r>
          </w:p>
        </w:tc>
      </w:tr>
      <w:tr w:rsidR="00533EF0" w14:paraId="4B4FBB60" w14:textId="77777777" w:rsidTr="553EE29A">
        <w:trPr>
          <w:jc w:val="center"/>
        </w:trPr>
        <w:tc>
          <w:tcPr>
            <w:tcW w:w="1995" w:type="dxa"/>
          </w:tcPr>
          <w:p w14:paraId="157E0493" w14:textId="356F08B7" w:rsidR="00533EF0" w:rsidRDefault="00533EF0" w:rsidP="6CE0D967">
            <w:pPr>
              <w:jc w:val="both"/>
            </w:pPr>
            <w:r>
              <w:t>Band 5</w:t>
            </w:r>
          </w:p>
        </w:tc>
        <w:tc>
          <w:tcPr>
            <w:tcW w:w="1533" w:type="dxa"/>
            <w:vAlign w:val="center"/>
          </w:tcPr>
          <w:p w14:paraId="1E822B0F" w14:textId="19747763" w:rsidR="00533EF0" w:rsidRDefault="12E1A998" w:rsidP="12E1A998">
            <w:pPr>
              <w:jc w:val="center"/>
            </w:pPr>
            <w:r>
              <w:t>4 (4)</w:t>
            </w:r>
          </w:p>
        </w:tc>
        <w:tc>
          <w:tcPr>
            <w:tcW w:w="1570" w:type="dxa"/>
            <w:vAlign w:val="center"/>
          </w:tcPr>
          <w:p w14:paraId="4D7F601C" w14:textId="5BA34D46" w:rsidR="00533EF0" w:rsidRDefault="12E1A998" w:rsidP="12E1A998">
            <w:pPr>
              <w:jc w:val="center"/>
            </w:pPr>
            <w:r>
              <w:t>5 (7.1)</w:t>
            </w:r>
          </w:p>
        </w:tc>
        <w:tc>
          <w:tcPr>
            <w:tcW w:w="993" w:type="dxa"/>
            <w:vMerge/>
          </w:tcPr>
          <w:p w14:paraId="7C0E4A92" w14:textId="0AA27D36" w:rsidR="00533EF0" w:rsidRDefault="00533EF0" w:rsidP="6CE0D967">
            <w:pPr>
              <w:jc w:val="both"/>
            </w:pPr>
          </w:p>
        </w:tc>
      </w:tr>
      <w:tr w:rsidR="00533EF0" w14:paraId="7CED1F34" w14:textId="77777777" w:rsidTr="553EE29A">
        <w:trPr>
          <w:jc w:val="center"/>
        </w:trPr>
        <w:tc>
          <w:tcPr>
            <w:tcW w:w="1995" w:type="dxa"/>
          </w:tcPr>
          <w:p w14:paraId="49F20513" w14:textId="47F2D44D" w:rsidR="00533EF0" w:rsidRDefault="00533EF0" w:rsidP="6CE0D967">
            <w:pPr>
              <w:jc w:val="both"/>
            </w:pPr>
            <w:r>
              <w:t>Band 6</w:t>
            </w:r>
          </w:p>
        </w:tc>
        <w:tc>
          <w:tcPr>
            <w:tcW w:w="1533" w:type="dxa"/>
            <w:vAlign w:val="center"/>
          </w:tcPr>
          <w:p w14:paraId="64B98D1B" w14:textId="5E67CDB2" w:rsidR="00533EF0" w:rsidRDefault="12E1A998" w:rsidP="12E1A998">
            <w:pPr>
              <w:jc w:val="center"/>
            </w:pPr>
            <w:r>
              <w:t>27 (27)</w:t>
            </w:r>
          </w:p>
        </w:tc>
        <w:tc>
          <w:tcPr>
            <w:tcW w:w="1570" w:type="dxa"/>
            <w:vAlign w:val="center"/>
          </w:tcPr>
          <w:p w14:paraId="3AE3F763" w14:textId="58ED5C8C" w:rsidR="00533EF0" w:rsidRDefault="12E1A998" w:rsidP="12E1A998">
            <w:pPr>
              <w:jc w:val="center"/>
            </w:pPr>
            <w:r>
              <w:t>12 (17.1)</w:t>
            </w:r>
          </w:p>
        </w:tc>
        <w:tc>
          <w:tcPr>
            <w:tcW w:w="993" w:type="dxa"/>
            <w:vMerge/>
          </w:tcPr>
          <w:p w14:paraId="631377F0" w14:textId="77777777" w:rsidR="00533EF0" w:rsidRDefault="00533EF0" w:rsidP="6CE0D967">
            <w:pPr>
              <w:jc w:val="both"/>
            </w:pPr>
          </w:p>
        </w:tc>
      </w:tr>
      <w:tr w:rsidR="00533EF0" w14:paraId="06843D8F" w14:textId="77777777" w:rsidTr="553EE29A">
        <w:trPr>
          <w:jc w:val="center"/>
        </w:trPr>
        <w:tc>
          <w:tcPr>
            <w:tcW w:w="1995" w:type="dxa"/>
          </w:tcPr>
          <w:p w14:paraId="2FD3191C" w14:textId="657B5F9F" w:rsidR="00533EF0" w:rsidRDefault="00533EF0" w:rsidP="6CE0D967">
            <w:pPr>
              <w:jc w:val="both"/>
            </w:pPr>
            <w:r>
              <w:t>Band 7</w:t>
            </w:r>
          </w:p>
        </w:tc>
        <w:tc>
          <w:tcPr>
            <w:tcW w:w="1533" w:type="dxa"/>
            <w:vAlign w:val="center"/>
          </w:tcPr>
          <w:p w14:paraId="50770D87" w14:textId="7E144B66" w:rsidR="00533EF0" w:rsidRDefault="12E1A998" w:rsidP="12E1A998">
            <w:pPr>
              <w:jc w:val="center"/>
            </w:pPr>
            <w:r>
              <w:t>34 (34)</w:t>
            </w:r>
          </w:p>
        </w:tc>
        <w:tc>
          <w:tcPr>
            <w:tcW w:w="1570" w:type="dxa"/>
            <w:vAlign w:val="center"/>
          </w:tcPr>
          <w:p w14:paraId="277623A9" w14:textId="75EEEE2D" w:rsidR="00533EF0" w:rsidRDefault="12E1A998" w:rsidP="12E1A998">
            <w:pPr>
              <w:jc w:val="center"/>
            </w:pPr>
            <w:r>
              <w:t>37 (52.9)</w:t>
            </w:r>
          </w:p>
        </w:tc>
        <w:tc>
          <w:tcPr>
            <w:tcW w:w="993" w:type="dxa"/>
            <w:vMerge/>
          </w:tcPr>
          <w:p w14:paraId="6E63D235" w14:textId="77777777" w:rsidR="00533EF0" w:rsidRDefault="00533EF0" w:rsidP="6CE0D967">
            <w:pPr>
              <w:jc w:val="both"/>
            </w:pPr>
          </w:p>
        </w:tc>
      </w:tr>
      <w:tr w:rsidR="00533EF0" w14:paraId="75B8982D" w14:textId="77777777" w:rsidTr="553EE29A">
        <w:trPr>
          <w:jc w:val="center"/>
        </w:trPr>
        <w:tc>
          <w:tcPr>
            <w:tcW w:w="1995" w:type="dxa"/>
          </w:tcPr>
          <w:p w14:paraId="641CD3CD" w14:textId="4C34641B" w:rsidR="00533EF0" w:rsidRDefault="00533EF0" w:rsidP="6CE0D967">
            <w:pPr>
              <w:jc w:val="both"/>
            </w:pPr>
            <w:r>
              <w:t>Band 8</w:t>
            </w:r>
          </w:p>
        </w:tc>
        <w:tc>
          <w:tcPr>
            <w:tcW w:w="1533" w:type="dxa"/>
            <w:vAlign w:val="center"/>
          </w:tcPr>
          <w:p w14:paraId="40F6406E" w14:textId="29689185" w:rsidR="00533EF0" w:rsidRDefault="12E1A998" w:rsidP="12E1A998">
            <w:pPr>
              <w:jc w:val="center"/>
            </w:pPr>
            <w:r>
              <w:t>3 (3)</w:t>
            </w:r>
          </w:p>
        </w:tc>
        <w:tc>
          <w:tcPr>
            <w:tcW w:w="1570" w:type="dxa"/>
            <w:vAlign w:val="center"/>
          </w:tcPr>
          <w:p w14:paraId="5E48E84C" w14:textId="2A0240B4" w:rsidR="00533EF0" w:rsidRDefault="12E1A998" w:rsidP="12E1A998">
            <w:pPr>
              <w:jc w:val="center"/>
            </w:pPr>
            <w:r>
              <w:t xml:space="preserve">1 (1.4) </w:t>
            </w:r>
          </w:p>
        </w:tc>
        <w:tc>
          <w:tcPr>
            <w:tcW w:w="993" w:type="dxa"/>
            <w:vMerge/>
          </w:tcPr>
          <w:p w14:paraId="02183512" w14:textId="77777777" w:rsidR="00533EF0" w:rsidRDefault="00533EF0" w:rsidP="6CE0D967">
            <w:pPr>
              <w:jc w:val="both"/>
            </w:pPr>
          </w:p>
        </w:tc>
      </w:tr>
      <w:tr w:rsidR="00533EF0" w14:paraId="7F8618AB" w14:textId="77777777" w:rsidTr="553EE29A">
        <w:trPr>
          <w:jc w:val="center"/>
        </w:trPr>
        <w:tc>
          <w:tcPr>
            <w:tcW w:w="1995" w:type="dxa"/>
          </w:tcPr>
          <w:p w14:paraId="37217DA0" w14:textId="1A92AB8D" w:rsidR="00533EF0" w:rsidRDefault="00533EF0" w:rsidP="6CE0D967">
            <w:pPr>
              <w:jc w:val="both"/>
            </w:pPr>
            <w:r>
              <w:t>Paramedic</w:t>
            </w:r>
          </w:p>
        </w:tc>
        <w:tc>
          <w:tcPr>
            <w:tcW w:w="1533" w:type="dxa"/>
            <w:vAlign w:val="center"/>
          </w:tcPr>
          <w:p w14:paraId="1ADD3027" w14:textId="1212B9FE" w:rsidR="00533EF0" w:rsidRDefault="12E1A998" w:rsidP="12E1A998">
            <w:pPr>
              <w:jc w:val="center"/>
            </w:pPr>
            <w:r>
              <w:t>7 (7)</w:t>
            </w:r>
          </w:p>
        </w:tc>
        <w:tc>
          <w:tcPr>
            <w:tcW w:w="1570" w:type="dxa"/>
            <w:vAlign w:val="center"/>
          </w:tcPr>
          <w:p w14:paraId="69CC0A80" w14:textId="7CF947EB" w:rsidR="00533EF0" w:rsidRDefault="12E1A998" w:rsidP="12E1A998">
            <w:pPr>
              <w:jc w:val="center"/>
            </w:pPr>
            <w:r>
              <w:t>5 (7.1)</w:t>
            </w:r>
          </w:p>
        </w:tc>
        <w:tc>
          <w:tcPr>
            <w:tcW w:w="993" w:type="dxa"/>
            <w:vMerge/>
          </w:tcPr>
          <w:p w14:paraId="676A9940" w14:textId="77777777" w:rsidR="00533EF0" w:rsidRDefault="00533EF0" w:rsidP="6CE0D967">
            <w:pPr>
              <w:jc w:val="both"/>
            </w:pPr>
          </w:p>
        </w:tc>
      </w:tr>
      <w:tr w:rsidR="00533EF0" w14:paraId="69C65663" w14:textId="77777777" w:rsidTr="553EE29A">
        <w:trPr>
          <w:jc w:val="center"/>
        </w:trPr>
        <w:tc>
          <w:tcPr>
            <w:tcW w:w="1995" w:type="dxa"/>
          </w:tcPr>
          <w:p w14:paraId="2E4BD11D" w14:textId="7A8579BC" w:rsidR="00533EF0" w:rsidRDefault="00533EF0" w:rsidP="6CE0D967">
            <w:pPr>
              <w:jc w:val="both"/>
            </w:pPr>
            <w:r>
              <w:t>Foundation doctor</w:t>
            </w:r>
          </w:p>
        </w:tc>
        <w:tc>
          <w:tcPr>
            <w:tcW w:w="1533" w:type="dxa"/>
            <w:vAlign w:val="center"/>
          </w:tcPr>
          <w:p w14:paraId="2DA1FEEF" w14:textId="1C659425" w:rsidR="00533EF0" w:rsidRDefault="12E1A998" w:rsidP="12E1A998">
            <w:pPr>
              <w:jc w:val="center"/>
            </w:pPr>
            <w:r>
              <w:t>4 (4)</w:t>
            </w:r>
          </w:p>
        </w:tc>
        <w:tc>
          <w:tcPr>
            <w:tcW w:w="1570" w:type="dxa"/>
            <w:vAlign w:val="center"/>
          </w:tcPr>
          <w:p w14:paraId="1ECFF498" w14:textId="418975D1" w:rsidR="00533EF0" w:rsidRDefault="12E1A998" w:rsidP="12E1A998">
            <w:pPr>
              <w:jc w:val="center"/>
            </w:pPr>
            <w:r>
              <w:t>1 (1.4)</w:t>
            </w:r>
          </w:p>
        </w:tc>
        <w:tc>
          <w:tcPr>
            <w:tcW w:w="993" w:type="dxa"/>
            <w:vMerge/>
          </w:tcPr>
          <w:p w14:paraId="0243454D" w14:textId="77777777" w:rsidR="00533EF0" w:rsidRDefault="00533EF0" w:rsidP="6CE0D967">
            <w:pPr>
              <w:jc w:val="both"/>
            </w:pPr>
          </w:p>
        </w:tc>
      </w:tr>
      <w:tr w:rsidR="00533EF0" w14:paraId="39F915E4" w14:textId="77777777" w:rsidTr="553EE29A">
        <w:trPr>
          <w:jc w:val="center"/>
        </w:trPr>
        <w:tc>
          <w:tcPr>
            <w:tcW w:w="1995" w:type="dxa"/>
          </w:tcPr>
          <w:p w14:paraId="524B9EB4" w14:textId="135AD1FD" w:rsidR="00533EF0" w:rsidRDefault="00533EF0" w:rsidP="6CE0D967">
            <w:pPr>
              <w:jc w:val="both"/>
            </w:pPr>
            <w:r>
              <w:t>Registrar</w:t>
            </w:r>
          </w:p>
        </w:tc>
        <w:tc>
          <w:tcPr>
            <w:tcW w:w="1533" w:type="dxa"/>
            <w:vAlign w:val="center"/>
          </w:tcPr>
          <w:p w14:paraId="3A143EA0" w14:textId="7D12C03C" w:rsidR="00533EF0" w:rsidRDefault="12E1A998" w:rsidP="12E1A998">
            <w:pPr>
              <w:jc w:val="center"/>
            </w:pPr>
            <w:r>
              <w:t>9 (9)</w:t>
            </w:r>
          </w:p>
        </w:tc>
        <w:tc>
          <w:tcPr>
            <w:tcW w:w="1570" w:type="dxa"/>
            <w:vAlign w:val="center"/>
          </w:tcPr>
          <w:p w14:paraId="3BC8D354" w14:textId="7191D0FE" w:rsidR="00533EF0" w:rsidRDefault="12E1A998" w:rsidP="12E1A998">
            <w:pPr>
              <w:jc w:val="center"/>
            </w:pPr>
            <w:r>
              <w:t>5 (7.1)</w:t>
            </w:r>
          </w:p>
        </w:tc>
        <w:tc>
          <w:tcPr>
            <w:tcW w:w="993" w:type="dxa"/>
            <w:vMerge/>
          </w:tcPr>
          <w:p w14:paraId="57FA576F" w14:textId="77777777" w:rsidR="00533EF0" w:rsidRDefault="00533EF0" w:rsidP="6CE0D967">
            <w:pPr>
              <w:jc w:val="both"/>
            </w:pPr>
          </w:p>
        </w:tc>
      </w:tr>
      <w:tr w:rsidR="00533EF0" w14:paraId="2D10D201" w14:textId="77777777" w:rsidTr="553EE29A">
        <w:trPr>
          <w:jc w:val="center"/>
        </w:trPr>
        <w:tc>
          <w:tcPr>
            <w:tcW w:w="1995" w:type="dxa"/>
          </w:tcPr>
          <w:p w14:paraId="4C7A8E28" w14:textId="14C5843B" w:rsidR="00533EF0" w:rsidRDefault="00533EF0" w:rsidP="6CE0D967">
            <w:pPr>
              <w:jc w:val="both"/>
            </w:pPr>
            <w:r>
              <w:t>Consultant</w:t>
            </w:r>
          </w:p>
        </w:tc>
        <w:tc>
          <w:tcPr>
            <w:tcW w:w="1533" w:type="dxa"/>
            <w:vAlign w:val="center"/>
          </w:tcPr>
          <w:p w14:paraId="14AC8347" w14:textId="5A1DE08E" w:rsidR="00533EF0" w:rsidRDefault="12E1A998" w:rsidP="12E1A998">
            <w:pPr>
              <w:jc w:val="center"/>
            </w:pPr>
            <w:r>
              <w:t>12 (12)</w:t>
            </w:r>
          </w:p>
        </w:tc>
        <w:tc>
          <w:tcPr>
            <w:tcW w:w="1570" w:type="dxa"/>
            <w:vAlign w:val="center"/>
          </w:tcPr>
          <w:p w14:paraId="4151BFF5" w14:textId="1476DAF9" w:rsidR="00533EF0" w:rsidRDefault="12E1A998" w:rsidP="12E1A998">
            <w:pPr>
              <w:jc w:val="center"/>
            </w:pPr>
            <w:r>
              <w:t>4 (5.7)</w:t>
            </w:r>
          </w:p>
        </w:tc>
        <w:tc>
          <w:tcPr>
            <w:tcW w:w="993" w:type="dxa"/>
            <w:vMerge/>
          </w:tcPr>
          <w:p w14:paraId="7E2D5B34" w14:textId="77777777" w:rsidR="00533EF0" w:rsidRDefault="00533EF0" w:rsidP="6CE0D967">
            <w:pPr>
              <w:jc w:val="both"/>
            </w:pPr>
          </w:p>
        </w:tc>
      </w:tr>
      <w:tr w:rsidR="00533EF0" w14:paraId="58ED850A" w14:textId="77777777" w:rsidTr="553EE29A">
        <w:trPr>
          <w:jc w:val="center"/>
        </w:trPr>
        <w:tc>
          <w:tcPr>
            <w:tcW w:w="5098" w:type="dxa"/>
            <w:gridSpan w:val="3"/>
          </w:tcPr>
          <w:p w14:paraId="33C6D823" w14:textId="2DBC6917" w:rsidR="00533EF0" w:rsidRPr="003308BA" w:rsidRDefault="553EE29A" w:rsidP="6CE0D967">
            <w:pPr>
              <w:jc w:val="both"/>
              <w:rPr>
                <w:b/>
                <w:bCs/>
              </w:rPr>
            </w:pPr>
            <w:r w:rsidRPr="553EE29A">
              <w:rPr>
                <w:b/>
                <w:bCs/>
              </w:rPr>
              <w:t>Reported number of burns seen annually</w:t>
            </w:r>
          </w:p>
        </w:tc>
        <w:tc>
          <w:tcPr>
            <w:tcW w:w="993" w:type="dxa"/>
            <w:vMerge w:val="restart"/>
            <w:vAlign w:val="center"/>
          </w:tcPr>
          <w:p w14:paraId="141699DC" w14:textId="77777777" w:rsidR="00533EF0" w:rsidRPr="003308BA" w:rsidRDefault="12E1A998" w:rsidP="12E1A998">
            <w:pPr>
              <w:jc w:val="center"/>
              <w:rPr>
                <w:b/>
                <w:bCs/>
              </w:rPr>
            </w:pPr>
            <w:r>
              <w:t>0.391</w:t>
            </w:r>
          </w:p>
          <w:p w14:paraId="34C3DC77" w14:textId="42193EF9" w:rsidR="00533EF0" w:rsidRPr="003308BA" w:rsidRDefault="00533EF0" w:rsidP="12E1A998">
            <w:pPr>
              <w:jc w:val="center"/>
              <w:rPr>
                <w:b/>
                <w:bCs/>
              </w:rPr>
            </w:pPr>
          </w:p>
        </w:tc>
      </w:tr>
      <w:tr w:rsidR="00533EF0" w14:paraId="55202C9B" w14:textId="77777777" w:rsidTr="553EE29A">
        <w:trPr>
          <w:jc w:val="center"/>
        </w:trPr>
        <w:tc>
          <w:tcPr>
            <w:tcW w:w="1995" w:type="dxa"/>
          </w:tcPr>
          <w:p w14:paraId="35E07CE6" w14:textId="16D29751" w:rsidR="00533EF0" w:rsidRDefault="00533EF0" w:rsidP="6CE0D967">
            <w:pPr>
              <w:jc w:val="both"/>
            </w:pPr>
            <w:r>
              <w:t>&lt;100</w:t>
            </w:r>
          </w:p>
        </w:tc>
        <w:tc>
          <w:tcPr>
            <w:tcW w:w="1533" w:type="dxa"/>
            <w:vAlign w:val="center"/>
          </w:tcPr>
          <w:p w14:paraId="002457EE" w14:textId="5854A7D6" w:rsidR="00533EF0" w:rsidRDefault="12E1A998" w:rsidP="12E1A998">
            <w:pPr>
              <w:jc w:val="center"/>
            </w:pPr>
            <w:r>
              <w:t>42 (42)</w:t>
            </w:r>
          </w:p>
        </w:tc>
        <w:tc>
          <w:tcPr>
            <w:tcW w:w="1570" w:type="dxa"/>
            <w:vAlign w:val="center"/>
          </w:tcPr>
          <w:p w14:paraId="009C4029" w14:textId="3DF51148" w:rsidR="00533EF0" w:rsidRDefault="12E1A998" w:rsidP="12E1A998">
            <w:pPr>
              <w:jc w:val="center"/>
            </w:pPr>
            <w:r>
              <w:t>38 (54.3)</w:t>
            </w:r>
          </w:p>
        </w:tc>
        <w:tc>
          <w:tcPr>
            <w:tcW w:w="993" w:type="dxa"/>
            <w:vMerge/>
          </w:tcPr>
          <w:p w14:paraId="55025267" w14:textId="2CBEF383" w:rsidR="00533EF0" w:rsidRDefault="00533EF0" w:rsidP="6CE0D967">
            <w:pPr>
              <w:jc w:val="both"/>
            </w:pPr>
          </w:p>
        </w:tc>
      </w:tr>
      <w:tr w:rsidR="00533EF0" w14:paraId="7BEA4A0B" w14:textId="77777777" w:rsidTr="553EE29A">
        <w:trPr>
          <w:jc w:val="center"/>
        </w:trPr>
        <w:tc>
          <w:tcPr>
            <w:tcW w:w="1995" w:type="dxa"/>
          </w:tcPr>
          <w:p w14:paraId="02482075" w14:textId="2F4D2703" w:rsidR="00533EF0" w:rsidRDefault="00533EF0" w:rsidP="6CE0D967">
            <w:pPr>
              <w:jc w:val="both"/>
            </w:pPr>
            <w:r>
              <w:t>100-199</w:t>
            </w:r>
          </w:p>
        </w:tc>
        <w:tc>
          <w:tcPr>
            <w:tcW w:w="1533" w:type="dxa"/>
            <w:vAlign w:val="center"/>
          </w:tcPr>
          <w:p w14:paraId="2411E20D" w14:textId="140DD81B" w:rsidR="00533EF0" w:rsidRDefault="12E1A998" w:rsidP="12E1A998">
            <w:pPr>
              <w:jc w:val="center"/>
            </w:pPr>
            <w:r>
              <w:t>29 (29)</w:t>
            </w:r>
          </w:p>
        </w:tc>
        <w:tc>
          <w:tcPr>
            <w:tcW w:w="1570" w:type="dxa"/>
            <w:vAlign w:val="center"/>
          </w:tcPr>
          <w:p w14:paraId="42CF2C18" w14:textId="25ABD4C9" w:rsidR="00533EF0" w:rsidRDefault="12E1A998" w:rsidP="12E1A998">
            <w:pPr>
              <w:jc w:val="center"/>
            </w:pPr>
            <w:r>
              <w:t>16 (22.9)</w:t>
            </w:r>
          </w:p>
        </w:tc>
        <w:tc>
          <w:tcPr>
            <w:tcW w:w="993" w:type="dxa"/>
            <w:vMerge/>
          </w:tcPr>
          <w:p w14:paraId="1EA004F1" w14:textId="3F3D43B1" w:rsidR="00533EF0" w:rsidRDefault="00533EF0" w:rsidP="6CE0D967">
            <w:pPr>
              <w:jc w:val="both"/>
            </w:pPr>
          </w:p>
        </w:tc>
      </w:tr>
      <w:tr w:rsidR="00533EF0" w14:paraId="50E2DEEA" w14:textId="77777777" w:rsidTr="553EE29A">
        <w:trPr>
          <w:jc w:val="center"/>
        </w:trPr>
        <w:tc>
          <w:tcPr>
            <w:tcW w:w="1995" w:type="dxa"/>
          </w:tcPr>
          <w:p w14:paraId="5F759BBC" w14:textId="3C44F3DC" w:rsidR="00533EF0" w:rsidRDefault="00533EF0" w:rsidP="6CE0D967">
            <w:pPr>
              <w:jc w:val="both"/>
            </w:pPr>
            <w:r>
              <w:t>200-299</w:t>
            </w:r>
          </w:p>
        </w:tc>
        <w:tc>
          <w:tcPr>
            <w:tcW w:w="1533" w:type="dxa"/>
            <w:vAlign w:val="center"/>
          </w:tcPr>
          <w:p w14:paraId="3DE472BC" w14:textId="60F0B056" w:rsidR="00533EF0" w:rsidRDefault="12E1A998" w:rsidP="12E1A998">
            <w:pPr>
              <w:jc w:val="center"/>
            </w:pPr>
            <w:r>
              <w:t>16 (16)</w:t>
            </w:r>
          </w:p>
        </w:tc>
        <w:tc>
          <w:tcPr>
            <w:tcW w:w="1570" w:type="dxa"/>
            <w:vAlign w:val="center"/>
          </w:tcPr>
          <w:p w14:paraId="5BB89F2A" w14:textId="0852727D" w:rsidR="00533EF0" w:rsidRDefault="12E1A998" w:rsidP="12E1A998">
            <w:pPr>
              <w:jc w:val="center"/>
            </w:pPr>
            <w:r>
              <w:t>7 (10)</w:t>
            </w:r>
          </w:p>
        </w:tc>
        <w:tc>
          <w:tcPr>
            <w:tcW w:w="993" w:type="dxa"/>
            <w:vMerge/>
          </w:tcPr>
          <w:p w14:paraId="3E0B41AA" w14:textId="12F41610" w:rsidR="00533EF0" w:rsidRDefault="00533EF0" w:rsidP="6CE0D967">
            <w:pPr>
              <w:jc w:val="both"/>
            </w:pPr>
          </w:p>
        </w:tc>
      </w:tr>
      <w:tr w:rsidR="00533EF0" w14:paraId="4A831A82" w14:textId="77777777" w:rsidTr="553EE29A">
        <w:trPr>
          <w:jc w:val="center"/>
        </w:trPr>
        <w:tc>
          <w:tcPr>
            <w:tcW w:w="1995" w:type="dxa"/>
          </w:tcPr>
          <w:p w14:paraId="1FD9B71B" w14:textId="73A8AA84" w:rsidR="00533EF0" w:rsidRDefault="00533EF0" w:rsidP="6CE0D967">
            <w:pPr>
              <w:jc w:val="both"/>
            </w:pPr>
            <w:r>
              <w:t>&gt;300</w:t>
            </w:r>
          </w:p>
        </w:tc>
        <w:tc>
          <w:tcPr>
            <w:tcW w:w="1533" w:type="dxa"/>
            <w:vAlign w:val="center"/>
          </w:tcPr>
          <w:p w14:paraId="7E52545B" w14:textId="46FC492B" w:rsidR="00533EF0" w:rsidRDefault="12E1A998" w:rsidP="12E1A998">
            <w:pPr>
              <w:jc w:val="center"/>
            </w:pPr>
            <w:r>
              <w:t>13 (13)</w:t>
            </w:r>
          </w:p>
        </w:tc>
        <w:tc>
          <w:tcPr>
            <w:tcW w:w="1570" w:type="dxa"/>
            <w:vAlign w:val="center"/>
          </w:tcPr>
          <w:p w14:paraId="0A9B274B" w14:textId="05A3EB2D" w:rsidR="00533EF0" w:rsidRDefault="12E1A998" w:rsidP="12E1A998">
            <w:pPr>
              <w:jc w:val="center"/>
            </w:pPr>
            <w:r>
              <w:t>9 (12.9)</w:t>
            </w:r>
          </w:p>
        </w:tc>
        <w:tc>
          <w:tcPr>
            <w:tcW w:w="993" w:type="dxa"/>
            <w:vMerge/>
          </w:tcPr>
          <w:p w14:paraId="7BBADB7C" w14:textId="1E15A7F8" w:rsidR="00533EF0" w:rsidRDefault="00533EF0" w:rsidP="6CE0D967">
            <w:pPr>
              <w:jc w:val="both"/>
            </w:pPr>
          </w:p>
        </w:tc>
      </w:tr>
    </w:tbl>
    <w:p w14:paraId="38D1F9FD" w14:textId="2DFA0404" w:rsidR="00980F0A" w:rsidRPr="00CD4647" w:rsidRDefault="69B24B60" w:rsidP="714D0DF3">
      <w:pPr>
        <w:jc w:val="both"/>
      </w:pPr>
      <w:r>
        <w:br w:type="page"/>
      </w:r>
      <w:r w:rsidR="714D0DF3" w:rsidRPr="714D0DF3">
        <w:rPr>
          <w:rFonts w:ascii="Calibri" w:eastAsia="Calibri" w:hAnsi="Calibri" w:cs="Calibri"/>
          <w:i/>
          <w:iCs/>
          <w:color w:val="000000" w:themeColor="text1"/>
        </w:rPr>
        <w:lastRenderedPageBreak/>
        <w:t>Qualitative experiences</w:t>
      </w:r>
    </w:p>
    <w:p w14:paraId="5F924E96" w14:textId="1C31CC56" w:rsidR="00980F0A" w:rsidRDefault="714D0DF3" w:rsidP="714D0DF3">
      <w:pPr>
        <w:ind w:firstLine="720"/>
        <w:jc w:val="both"/>
        <w:rPr>
          <w:rFonts w:ascii="Calibri" w:eastAsia="Calibri" w:hAnsi="Calibri" w:cs="Calibri"/>
          <w:color w:val="000000" w:themeColor="text1"/>
        </w:rPr>
      </w:pPr>
      <w:r w:rsidRPr="714D0DF3">
        <w:rPr>
          <w:rFonts w:ascii="Calibri" w:eastAsia="Calibri" w:hAnsi="Calibri" w:cs="Calibri"/>
          <w:color w:val="000000" w:themeColor="text1"/>
        </w:rPr>
        <w:t xml:space="preserve">These were captured by the freeform response component of the questionnaire.  A narrative analysis indicated that nearly all respondents had good knowledge of what the term </w:t>
      </w:r>
      <w:r w:rsidRPr="714D0DF3">
        <w:rPr>
          <w:rFonts w:ascii="Calibri" w:eastAsia="Calibri" w:hAnsi="Calibri" w:cs="Calibri"/>
          <w:i/>
          <w:iCs/>
          <w:color w:val="000000" w:themeColor="text1"/>
        </w:rPr>
        <w:t xml:space="preserve">telemedicine </w:t>
      </w:r>
      <w:r w:rsidRPr="714D0DF3">
        <w:rPr>
          <w:rFonts w:ascii="Calibri" w:eastAsia="Calibri" w:hAnsi="Calibri" w:cs="Calibri"/>
          <w:color w:val="000000" w:themeColor="text1"/>
        </w:rPr>
        <w:t>encompassed.  They were aware that it frequently involved health care professionals in different specialties and locations sharing information remotely. Some were also aware of telemedicine outside of the referral environment, such as outpatient or GP appointments via video conferencing. Most explicitly referenced the MDSAS burn referral system as an example of telemedicine that they were well acquainted with, and described a generally positive experience, although a common theme was that there was the potential for further optimization of the system.</w:t>
      </w:r>
    </w:p>
    <w:p w14:paraId="336FAAEF" w14:textId="77777777" w:rsidR="00475AB4" w:rsidRDefault="00475AB4" w:rsidP="714D0DF3">
      <w:pPr>
        <w:ind w:firstLine="720"/>
        <w:jc w:val="both"/>
        <w:rPr>
          <w:rFonts w:ascii="Calibri" w:eastAsia="Calibri" w:hAnsi="Calibri" w:cs="Calibri"/>
          <w:color w:val="000000" w:themeColor="text1"/>
        </w:rPr>
      </w:pPr>
    </w:p>
    <w:p w14:paraId="013E6219" w14:textId="46E13E6E" w:rsidR="29927AD3" w:rsidRDefault="714D0DF3" w:rsidP="714D0DF3">
      <w:pPr>
        <w:jc w:val="both"/>
        <w:rPr>
          <w:rFonts w:ascii="Calibri" w:eastAsia="Calibri" w:hAnsi="Calibri" w:cs="Calibri"/>
          <w:i/>
          <w:iCs/>
          <w:color w:val="000000" w:themeColor="text1"/>
        </w:rPr>
      </w:pPr>
      <w:r w:rsidRPr="714D0DF3">
        <w:rPr>
          <w:rFonts w:ascii="Calibri" w:eastAsia="Calibri" w:hAnsi="Calibri" w:cs="Calibri"/>
          <w:i/>
          <w:iCs/>
          <w:color w:val="000000" w:themeColor="text1"/>
        </w:rPr>
        <w:t>Agreement with pre-defined statements about barriers to implementation of a telemedicine system</w:t>
      </w:r>
    </w:p>
    <w:p w14:paraId="7BA1D1EF" w14:textId="41174300" w:rsidR="00AD0637" w:rsidRDefault="714D0DF3" w:rsidP="714D0DF3">
      <w:pPr>
        <w:ind w:firstLine="720"/>
        <w:jc w:val="both"/>
        <w:rPr>
          <w:rFonts w:ascii="Calibri" w:eastAsia="Calibri" w:hAnsi="Calibri" w:cs="Calibri"/>
          <w:color w:val="000000" w:themeColor="text1"/>
        </w:rPr>
      </w:pPr>
      <w:r w:rsidRPr="714D0DF3">
        <w:rPr>
          <w:rFonts w:ascii="Calibri" w:eastAsia="Calibri" w:hAnsi="Calibri" w:cs="Calibri"/>
          <w:color w:val="000000" w:themeColor="text1"/>
        </w:rPr>
        <w:t xml:space="preserve">In both 2019 and 2022, clinicians were asked to express their agreement or disagreement with twelve pre-defined statements relating to perceived barriers to the adoption of the MDSAS burns referral system (Table 2). Overall, across both time periods, the </w:t>
      </w:r>
      <w:r w:rsidRPr="714D0DF3">
        <w:rPr>
          <w:rFonts w:ascii="Calibri" w:eastAsia="Calibri" w:hAnsi="Calibri" w:cs="Calibri"/>
          <w:i/>
          <w:iCs/>
          <w:color w:val="000000" w:themeColor="text1"/>
        </w:rPr>
        <w:t>lack of reliable Wi-Fi</w:t>
      </w:r>
      <w:r w:rsidRPr="714D0DF3">
        <w:rPr>
          <w:rFonts w:ascii="Calibri" w:eastAsia="Calibri" w:hAnsi="Calibri" w:cs="Calibri"/>
          <w:color w:val="000000" w:themeColor="text1"/>
        </w:rPr>
        <w:t xml:space="preserve"> (statement 6, 54.7% agreement) and </w:t>
      </w:r>
      <w:r w:rsidRPr="714D0DF3">
        <w:rPr>
          <w:rFonts w:ascii="Calibri" w:eastAsia="Calibri" w:hAnsi="Calibri" w:cs="Calibri"/>
          <w:i/>
          <w:iCs/>
          <w:color w:val="000000" w:themeColor="text1"/>
        </w:rPr>
        <w:t>need to duplicate both paper and electronic notes</w:t>
      </w:r>
      <w:r w:rsidRPr="714D0DF3">
        <w:rPr>
          <w:rFonts w:ascii="Calibri" w:eastAsia="Calibri" w:hAnsi="Calibri" w:cs="Calibri"/>
          <w:color w:val="000000" w:themeColor="text1"/>
        </w:rPr>
        <w:t xml:space="preserve"> (statement 9, 54.7%) were identified as the main barriers to implementation. In 2019, the Wi-Fi issues were the top ranked impediment (59%), whilst in 2022 it was the duplication of notes (55.7%).  The statements next most selected as a barrier were: </w:t>
      </w:r>
      <w:r w:rsidRPr="714D0DF3">
        <w:rPr>
          <w:rFonts w:ascii="Calibri" w:eastAsia="Calibri" w:hAnsi="Calibri" w:cs="Calibri"/>
          <w:i/>
          <w:iCs/>
          <w:color w:val="000000" w:themeColor="text1"/>
        </w:rPr>
        <w:t xml:space="preserve">an inadequate number of devices in the department to deal with the extra burden of referring online </w:t>
      </w:r>
      <w:r w:rsidRPr="714D0DF3">
        <w:rPr>
          <w:rFonts w:ascii="Calibri" w:eastAsia="Calibri" w:hAnsi="Calibri" w:cs="Calibri"/>
          <w:color w:val="000000" w:themeColor="text1"/>
        </w:rPr>
        <w:t xml:space="preserve">(statement 7, 47.6%); </w:t>
      </w:r>
      <w:r w:rsidRPr="714D0DF3">
        <w:rPr>
          <w:rFonts w:ascii="Calibri" w:eastAsia="Calibri" w:hAnsi="Calibri" w:cs="Calibri"/>
          <w:i/>
          <w:iCs/>
          <w:color w:val="000000" w:themeColor="text1"/>
        </w:rPr>
        <w:t xml:space="preserve">too much reliance on the clinician’s ability to communicate via succinct messages for the system to be effective and efficient </w:t>
      </w:r>
      <w:r w:rsidRPr="714D0DF3">
        <w:rPr>
          <w:rFonts w:ascii="Calibri" w:eastAsia="Calibri" w:hAnsi="Calibri" w:cs="Calibri"/>
          <w:color w:val="000000" w:themeColor="text1"/>
        </w:rPr>
        <w:t xml:space="preserve">(statement 4, 42.9%); </w:t>
      </w:r>
      <w:r w:rsidRPr="714D0DF3">
        <w:rPr>
          <w:rFonts w:ascii="Calibri" w:eastAsia="Calibri" w:hAnsi="Calibri" w:cs="Calibri"/>
          <w:i/>
          <w:iCs/>
          <w:color w:val="000000" w:themeColor="text1"/>
        </w:rPr>
        <w:t xml:space="preserve">too much reliance on technology without reliable backup systems </w:t>
      </w:r>
      <w:r w:rsidRPr="714D0DF3">
        <w:rPr>
          <w:rFonts w:ascii="Calibri" w:eastAsia="Calibri" w:hAnsi="Calibri" w:cs="Calibri"/>
          <w:color w:val="000000" w:themeColor="text1"/>
        </w:rPr>
        <w:t xml:space="preserve">(statement 5, 40.0%); and </w:t>
      </w:r>
      <w:r w:rsidRPr="714D0DF3">
        <w:rPr>
          <w:rFonts w:ascii="Calibri" w:eastAsia="Calibri" w:hAnsi="Calibri" w:cs="Calibri"/>
          <w:i/>
          <w:iCs/>
          <w:color w:val="000000" w:themeColor="text1"/>
        </w:rPr>
        <w:t xml:space="preserve">difficulties with personal ability to use the technology </w:t>
      </w:r>
      <w:r w:rsidRPr="714D0DF3">
        <w:rPr>
          <w:rFonts w:ascii="Calibri" w:eastAsia="Calibri" w:hAnsi="Calibri" w:cs="Calibri"/>
          <w:color w:val="000000" w:themeColor="text1"/>
        </w:rPr>
        <w:t>(statement 1, 39.4%).</w:t>
      </w:r>
    </w:p>
    <w:p w14:paraId="3DD70FBC" w14:textId="69A4DFFE" w:rsidR="554C8E9F" w:rsidRDefault="36409090" w:rsidP="714D0DF3">
      <w:pPr>
        <w:jc w:val="both"/>
      </w:pPr>
      <w:r w:rsidRPr="36409090">
        <w:rPr>
          <w:rFonts w:ascii="Calibri" w:eastAsia="Calibri" w:hAnsi="Calibri" w:cs="Calibri"/>
          <w:color w:val="000000" w:themeColor="text1"/>
        </w:rPr>
        <w:t xml:space="preserve">Four of the twelve pre-defined barriers displayed a statistically significant difference between the response sets in 2019 and 2022. Three were associated with a reduction and one with an increase in their relative selection as an important barrier. </w:t>
      </w:r>
      <w:r w:rsidRPr="36409090">
        <w:rPr>
          <w:rFonts w:ascii="Calibri" w:eastAsia="Calibri" w:hAnsi="Calibri" w:cs="Calibri"/>
          <w:i/>
          <w:iCs/>
          <w:color w:val="000000" w:themeColor="text1"/>
        </w:rPr>
        <w:t>Miscommunication between clinicians</w:t>
      </w:r>
      <w:r w:rsidRPr="36409090">
        <w:rPr>
          <w:rFonts w:ascii="Calibri" w:eastAsia="Calibri" w:hAnsi="Calibri" w:cs="Calibri"/>
          <w:color w:val="000000" w:themeColor="text1"/>
        </w:rPr>
        <w:t xml:space="preserve"> (statement 3) using the system warranted significantly less concern in 2022 than 2019 (21.4% vs 42.0% agreed with the statement respectively, p=0.005). Similarly, in 2022, significantly fewer respondents considered an</w:t>
      </w:r>
      <w:r w:rsidRPr="36409090">
        <w:rPr>
          <w:rFonts w:ascii="Calibri" w:eastAsia="Calibri" w:hAnsi="Calibri" w:cs="Calibri"/>
          <w:i/>
          <w:iCs/>
          <w:color w:val="000000" w:themeColor="text1"/>
        </w:rPr>
        <w:t xml:space="preserve"> inadequate number of devices</w:t>
      </w:r>
      <w:r w:rsidRPr="36409090">
        <w:rPr>
          <w:rFonts w:ascii="Calibri" w:eastAsia="Calibri" w:hAnsi="Calibri" w:cs="Calibri"/>
          <w:color w:val="000000" w:themeColor="text1"/>
        </w:rPr>
        <w:t xml:space="preserve"> (statement 7) to be a potential barrier (p= 0.047), and they were less concerned about the </w:t>
      </w:r>
      <w:r w:rsidRPr="36409090">
        <w:rPr>
          <w:rFonts w:ascii="Calibri" w:eastAsia="Calibri" w:hAnsi="Calibri" w:cs="Calibri"/>
          <w:i/>
          <w:iCs/>
          <w:color w:val="000000" w:themeColor="text1"/>
        </w:rPr>
        <w:t>financial implications of buying devices</w:t>
      </w:r>
      <w:r w:rsidRPr="36409090">
        <w:rPr>
          <w:rFonts w:ascii="Calibri" w:eastAsia="Calibri" w:hAnsi="Calibri" w:cs="Calibri"/>
          <w:color w:val="000000" w:themeColor="text1"/>
        </w:rPr>
        <w:t xml:space="preserve"> t</w:t>
      </w:r>
      <w:r w:rsidRPr="36409090">
        <w:rPr>
          <w:rFonts w:ascii="Calibri" w:eastAsia="Calibri" w:hAnsi="Calibri" w:cs="Calibri"/>
          <w:i/>
          <w:iCs/>
          <w:color w:val="000000" w:themeColor="text1"/>
        </w:rPr>
        <w:t xml:space="preserve">o send </w:t>
      </w:r>
      <w:proofErr w:type="spellStart"/>
      <w:r w:rsidRPr="36409090">
        <w:rPr>
          <w:rFonts w:ascii="Calibri" w:eastAsia="Calibri" w:hAnsi="Calibri" w:cs="Calibri"/>
          <w:i/>
          <w:iCs/>
        </w:rPr>
        <w:t>telereferrals</w:t>
      </w:r>
      <w:proofErr w:type="spellEnd"/>
      <w:r w:rsidRPr="36409090">
        <w:rPr>
          <w:rFonts w:ascii="Calibri" w:eastAsia="Calibri" w:hAnsi="Calibri" w:cs="Calibri"/>
          <w:i/>
          <w:iCs/>
        </w:rPr>
        <w:t xml:space="preserve"> or system upkeep</w:t>
      </w:r>
      <w:r w:rsidRPr="36409090">
        <w:rPr>
          <w:rFonts w:ascii="Calibri" w:eastAsia="Calibri" w:hAnsi="Calibri" w:cs="Calibri"/>
        </w:rPr>
        <w:t xml:space="preserve"> (statement 12) (p&lt;0.001) </w:t>
      </w:r>
      <w:r w:rsidRPr="36409090">
        <w:rPr>
          <w:rFonts w:ascii="Calibri" w:eastAsia="Calibri" w:hAnsi="Calibri" w:cs="Calibri"/>
          <w:color w:val="000000" w:themeColor="text1"/>
        </w:rPr>
        <w:t xml:space="preserve">than in 2019. However, in 2019 only 20.0% of respondents considered </w:t>
      </w:r>
      <w:r w:rsidRPr="36409090">
        <w:rPr>
          <w:rFonts w:ascii="Calibri" w:eastAsia="Calibri" w:hAnsi="Calibri" w:cs="Calibri"/>
          <w:i/>
          <w:iCs/>
          <w:color w:val="000000" w:themeColor="text1"/>
        </w:rPr>
        <w:t>waiting for a response to their telemedicine referral to be a waste of time</w:t>
      </w:r>
      <w:r w:rsidRPr="36409090">
        <w:rPr>
          <w:rFonts w:ascii="Calibri" w:eastAsia="Calibri" w:hAnsi="Calibri" w:cs="Calibri"/>
          <w:color w:val="000000" w:themeColor="text1"/>
        </w:rPr>
        <w:t xml:space="preserve"> (statement 8), but this significantly increased to 35.7% in 2022 (p=0.022). </w:t>
      </w:r>
    </w:p>
    <w:p w14:paraId="136FAB3E" w14:textId="77777777" w:rsidR="00755AE9" w:rsidRDefault="00755AE9" w:rsidP="2F61603C"/>
    <w:p w14:paraId="5E138C22" w14:textId="63370D15" w:rsidR="1C07F84C" w:rsidRDefault="1C07F84C">
      <w:r>
        <w:br w:type="page"/>
      </w:r>
    </w:p>
    <w:p w14:paraId="768EA9B6" w14:textId="3739E388" w:rsidR="29927AD3" w:rsidRDefault="553EE29A" w:rsidP="553EE29A">
      <w:pPr>
        <w:rPr>
          <w:i/>
          <w:iCs/>
        </w:rPr>
      </w:pPr>
      <w:r w:rsidRPr="553EE29A">
        <w:rPr>
          <w:i/>
          <w:iCs/>
          <w:color w:val="808080" w:themeColor="background1" w:themeShade="80"/>
        </w:rPr>
        <w:lastRenderedPageBreak/>
        <w:t>Table 2: comparison of attitudes about pre-defined barriers to implementation of a burn telemedicine system across ED and MIU departments in the South-West United Kingdom in questionnaires administered in 2019 and 2022. Disagreement/agreement columns give the absolute number of respondents in each category with the percentage given in parentheses.</w:t>
      </w:r>
    </w:p>
    <w:tbl>
      <w:tblPr>
        <w:tblStyle w:val="TableGrid"/>
        <w:tblW w:w="8784" w:type="dxa"/>
        <w:jc w:val="center"/>
        <w:tblLook w:val="04A0" w:firstRow="1" w:lastRow="0" w:firstColumn="1" w:lastColumn="0" w:noHBand="0" w:noVBand="1"/>
      </w:tblPr>
      <w:tblGrid>
        <w:gridCol w:w="4248"/>
        <w:gridCol w:w="709"/>
        <w:gridCol w:w="1417"/>
        <w:gridCol w:w="1276"/>
        <w:gridCol w:w="1134"/>
      </w:tblGrid>
      <w:tr w:rsidR="00EA6583" w:rsidRPr="00330B3B" w14:paraId="60F29188" w14:textId="77777777" w:rsidTr="36409090">
        <w:trPr>
          <w:trHeight w:val="20"/>
          <w:jc w:val="center"/>
        </w:trPr>
        <w:tc>
          <w:tcPr>
            <w:tcW w:w="4248" w:type="dxa"/>
            <w:noWrap/>
            <w:hideMark/>
          </w:tcPr>
          <w:p w14:paraId="599B46DE" w14:textId="132C84FB" w:rsidR="00EA6583" w:rsidRPr="00C6498F" w:rsidRDefault="00EA6583" w:rsidP="69B24B60">
            <w:pPr>
              <w:rPr>
                <w:rFonts w:ascii="Calibri" w:eastAsia="Times New Roman" w:hAnsi="Calibri" w:cs="Calibri"/>
                <w:b/>
                <w:bCs/>
                <w:color w:val="000000" w:themeColor="text1"/>
                <w:sz w:val="16"/>
                <w:szCs w:val="16"/>
                <w:lang w:eastAsia="en-GB"/>
              </w:rPr>
            </w:pPr>
            <w:r w:rsidRPr="69B24B60">
              <w:rPr>
                <w:rFonts w:ascii="Calibri" w:eastAsia="Times New Roman" w:hAnsi="Calibri" w:cs="Calibri"/>
                <w:b/>
                <w:bCs/>
                <w:color w:val="000000" w:themeColor="text1"/>
                <w:sz w:val="16"/>
                <w:szCs w:val="16"/>
                <w:lang w:eastAsia="en-GB"/>
              </w:rPr>
              <w:t>Statement of possible barrier to implementation</w:t>
            </w:r>
          </w:p>
        </w:tc>
        <w:tc>
          <w:tcPr>
            <w:tcW w:w="709" w:type="dxa"/>
            <w:noWrap/>
            <w:hideMark/>
          </w:tcPr>
          <w:p w14:paraId="34FA8D03" w14:textId="77777777" w:rsidR="00EA6583" w:rsidRPr="00C6498F" w:rsidRDefault="00EA6583" w:rsidP="00F4240B">
            <w:pPr>
              <w:jc w:val="right"/>
              <w:rPr>
                <w:rFonts w:ascii="Calibri" w:eastAsia="Times New Roman" w:hAnsi="Calibri" w:cs="Calibri"/>
                <w:b/>
                <w:bCs/>
                <w:color w:val="000000"/>
                <w:sz w:val="16"/>
                <w:szCs w:val="16"/>
                <w:lang w:eastAsia="en-GB"/>
              </w:rPr>
            </w:pPr>
            <w:r w:rsidRPr="00C6498F">
              <w:rPr>
                <w:rFonts w:ascii="Calibri" w:eastAsia="Times New Roman" w:hAnsi="Calibri" w:cs="Calibri"/>
                <w:b/>
                <w:bCs/>
                <w:color w:val="000000"/>
                <w:sz w:val="16"/>
                <w:szCs w:val="16"/>
                <w:lang w:eastAsia="en-GB"/>
              </w:rPr>
              <w:t>Year</w:t>
            </w:r>
          </w:p>
        </w:tc>
        <w:tc>
          <w:tcPr>
            <w:tcW w:w="1417" w:type="dxa"/>
            <w:noWrap/>
            <w:hideMark/>
          </w:tcPr>
          <w:p w14:paraId="0B00882E" w14:textId="7C9561F3" w:rsidR="00EA6583" w:rsidRPr="00C6498F" w:rsidRDefault="29927AD3" w:rsidP="29927AD3">
            <w:pPr>
              <w:jc w:val="right"/>
              <w:rPr>
                <w:rFonts w:ascii="Calibri" w:eastAsia="Times New Roman" w:hAnsi="Calibri" w:cs="Calibri"/>
                <w:b/>
                <w:bCs/>
                <w:color w:val="000000"/>
                <w:sz w:val="16"/>
                <w:szCs w:val="16"/>
                <w:vertAlign w:val="superscript"/>
                <w:lang w:eastAsia="en-GB"/>
              </w:rPr>
            </w:pPr>
            <w:r w:rsidRPr="29927AD3">
              <w:rPr>
                <w:rFonts w:ascii="Calibri" w:eastAsia="Times New Roman" w:hAnsi="Calibri" w:cs="Calibri"/>
                <w:b/>
                <w:bCs/>
                <w:color w:val="000000" w:themeColor="text1"/>
                <w:sz w:val="16"/>
                <w:szCs w:val="16"/>
                <w:lang w:eastAsia="en-GB"/>
              </w:rPr>
              <w:t>Disagree: N (%)</w:t>
            </w:r>
          </w:p>
        </w:tc>
        <w:tc>
          <w:tcPr>
            <w:tcW w:w="1276" w:type="dxa"/>
            <w:noWrap/>
            <w:hideMark/>
          </w:tcPr>
          <w:p w14:paraId="5AF0D376" w14:textId="562593A1" w:rsidR="00EA6583" w:rsidRPr="00C6498F" w:rsidRDefault="00EA6583" w:rsidP="00F4240B">
            <w:pPr>
              <w:jc w:val="right"/>
              <w:rPr>
                <w:rFonts w:ascii="Calibri" w:eastAsia="Times New Roman" w:hAnsi="Calibri" w:cs="Calibri"/>
                <w:b/>
                <w:bCs/>
                <w:color w:val="000000"/>
                <w:sz w:val="16"/>
                <w:szCs w:val="16"/>
                <w:lang w:eastAsia="en-GB"/>
              </w:rPr>
            </w:pPr>
            <w:r w:rsidRPr="00330B3B">
              <w:rPr>
                <w:rFonts w:ascii="Calibri" w:eastAsia="Times New Roman" w:hAnsi="Calibri" w:cs="Calibri"/>
                <w:b/>
                <w:bCs/>
                <w:color w:val="000000"/>
                <w:sz w:val="16"/>
                <w:szCs w:val="16"/>
                <w:lang w:eastAsia="en-GB"/>
              </w:rPr>
              <w:t>Agree</w:t>
            </w:r>
            <w:r>
              <w:rPr>
                <w:rFonts w:ascii="Calibri" w:eastAsia="Times New Roman" w:hAnsi="Calibri" w:cs="Calibri"/>
                <w:b/>
                <w:bCs/>
                <w:color w:val="000000"/>
                <w:sz w:val="16"/>
                <w:szCs w:val="16"/>
                <w:lang w:eastAsia="en-GB"/>
              </w:rPr>
              <w:t xml:space="preserve">: </w:t>
            </w:r>
            <w:r w:rsidRPr="00C6498F">
              <w:rPr>
                <w:rFonts w:ascii="Calibri" w:eastAsia="Times New Roman" w:hAnsi="Calibri" w:cs="Calibri"/>
                <w:b/>
                <w:bCs/>
                <w:color w:val="000000"/>
                <w:sz w:val="16"/>
                <w:szCs w:val="16"/>
                <w:lang w:eastAsia="en-GB"/>
              </w:rPr>
              <w:t>N</w:t>
            </w:r>
            <w:r>
              <w:rPr>
                <w:rFonts w:ascii="Calibri" w:eastAsia="Times New Roman" w:hAnsi="Calibri" w:cs="Calibri"/>
                <w:b/>
                <w:bCs/>
                <w:color w:val="000000"/>
                <w:sz w:val="16"/>
                <w:szCs w:val="16"/>
                <w:lang w:eastAsia="en-GB"/>
              </w:rPr>
              <w:t xml:space="preserve"> (%)</w:t>
            </w:r>
          </w:p>
        </w:tc>
        <w:tc>
          <w:tcPr>
            <w:tcW w:w="1134" w:type="dxa"/>
            <w:noWrap/>
            <w:hideMark/>
          </w:tcPr>
          <w:p w14:paraId="1D3DA513" w14:textId="77777777" w:rsidR="00EA6583" w:rsidRPr="00C6498F" w:rsidRDefault="00EA6583" w:rsidP="00F4240B">
            <w:pPr>
              <w:jc w:val="right"/>
              <w:rPr>
                <w:rFonts w:ascii="Calibri" w:eastAsia="Times New Roman" w:hAnsi="Calibri" w:cs="Calibri"/>
                <w:b/>
                <w:bCs/>
                <w:color w:val="000000"/>
                <w:sz w:val="16"/>
                <w:szCs w:val="16"/>
                <w:lang w:eastAsia="en-GB"/>
              </w:rPr>
            </w:pPr>
            <w:r w:rsidRPr="00C6498F">
              <w:rPr>
                <w:rFonts w:ascii="Calibri" w:eastAsia="Times New Roman" w:hAnsi="Calibri" w:cs="Calibri"/>
                <w:b/>
                <w:bCs/>
                <w:color w:val="000000"/>
                <w:sz w:val="16"/>
                <w:szCs w:val="16"/>
                <w:lang w:eastAsia="en-GB"/>
              </w:rPr>
              <w:t>P-value</w:t>
            </w:r>
          </w:p>
        </w:tc>
      </w:tr>
      <w:tr w:rsidR="001E3192" w:rsidRPr="00330B3B" w14:paraId="6FABEE1E" w14:textId="77777777" w:rsidTr="36409090">
        <w:trPr>
          <w:trHeight w:val="50"/>
          <w:jc w:val="center"/>
        </w:trPr>
        <w:tc>
          <w:tcPr>
            <w:tcW w:w="4248" w:type="dxa"/>
            <w:vMerge w:val="restart"/>
            <w:noWrap/>
            <w:hideMark/>
          </w:tcPr>
          <w:p w14:paraId="76CBC70A" w14:textId="70297600" w:rsidR="001E3192" w:rsidRPr="00C6498F" w:rsidRDefault="29927AD3" w:rsidP="00A32E2D">
            <w:pPr>
              <w:rPr>
                <w:rFonts w:ascii="Calibri" w:eastAsia="Times New Roman" w:hAnsi="Calibri" w:cs="Calibri"/>
                <w:color w:val="000000"/>
                <w:sz w:val="16"/>
                <w:szCs w:val="16"/>
                <w:lang w:eastAsia="en-GB"/>
              </w:rPr>
            </w:pPr>
            <w:r w:rsidRPr="29927AD3">
              <w:rPr>
                <w:rFonts w:ascii="Calibri" w:eastAsia="Times New Roman" w:hAnsi="Calibri" w:cs="Calibri"/>
                <w:color w:val="000000" w:themeColor="text1"/>
                <w:sz w:val="16"/>
                <w:szCs w:val="16"/>
                <w:lang w:eastAsia="en-GB"/>
              </w:rPr>
              <w:t>1) Difficulties with your personal ability to use the technology.</w:t>
            </w:r>
          </w:p>
          <w:p w14:paraId="54C6011F" w14:textId="029FB7CF" w:rsidR="001E3192" w:rsidRPr="00C6498F" w:rsidRDefault="001E3192" w:rsidP="00A32E2D">
            <w:pPr>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 </w:t>
            </w:r>
          </w:p>
        </w:tc>
        <w:tc>
          <w:tcPr>
            <w:tcW w:w="709" w:type="dxa"/>
            <w:noWrap/>
            <w:hideMark/>
          </w:tcPr>
          <w:p w14:paraId="4B25DF9F" w14:textId="77777777" w:rsidR="001E3192" w:rsidRPr="00C6498F" w:rsidRDefault="001E3192" w:rsidP="00F4240B">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0700BD0B" w14:textId="1CD0C387" w:rsidR="001E3192" w:rsidRPr="00C6498F" w:rsidRDefault="001E3192" w:rsidP="00F4240B">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58</w:t>
            </w:r>
            <w:r>
              <w:rPr>
                <w:rFonts w:ascii="Calibri" w:eastAsia="Times New Roman" w:hAnsi="Calibri" w:cs="Calibri"/>
                <w:color w:val="000000"/>
                <w:sz w:val="16"/>
                <w:szCs w:val="16"/>
                <w:lang w:eastAsia="en-GB"/>
              </w:rPr>
              <w:t xml:space="preserve"> (58.0)</w:t>
            </w:r>
          </w:p>
        </w:tc>
        <w:tc>
          <w:tcPr>
            <w:tcW w:w="1276" w:type="dxa"/>
            <w:noWrap/>
            <w:hideMark/>
          </w:tcPr>
          <w:p w14:paraId="1E4F91A4" w14:textId="4B25B83B" w:rsidR="001E3192" w:rsidRPr="00C6498F" w:rsidRDefault="001E3192" w:rsidP="00F4240B">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42</w:t>
            </w:r>
            <w:r>
              <w:rPr>
                <w:rFonts w:ascii="Calibri" w:eastAsia="Times New Roman" w:hAnsi="Calibri" w:cs="Calibri"/>
                <w:color w:val="000000"/>
                <w:sz w:val="16"/>
                <w:szCs w:val="16"/>
                <w:lang w:eastAsia="en-GB"/>
              </w:rPr>
              <w:t xml:space="preserve"> (42.0)</w:t>
            </w:r>
          </w:p>
        </w:tc>
        <w:tc>
          <w:tcPr>
            <w:tcW w:w="1134" w:type="dxa"/>
            <w:vMerge w:val="restart"/>
            <w:noWrap/>
          </w:tcPr>
          <w:p w14:paraId="3B7E19AE" w14:textId="2879677B" w:rsidR="001E3192" w:rsidRPr="00C6498F" w:rsidRDefault="001E3192" w:rsidP="00F4240B">
            <w:pPr>
              <w:jc w:val="right"/>
              <w:rPr>
                <w:rFonts w:ascii="Calibri" w:eastAsia="Times New Roman" w:hAnsi="Calibri" w:cs="Calibri"/>
                <w:color w:val="000000"/>
                <w:sz w:val="16"/>
                <w:szCs w:val="16"/>
                <w:lang w:eastAsia="en-GB"/>
              </w:rPr>
            </w:pPr>
          </w:p>
        </w:tc>
      </w:tr>
      <w:tr w:rsidR="001E3192" w:rsidRPr="00330B3B" w14:paraId="43F14061" w14:textId="77777777" w:rsidTr="36409090">
        <w:trPr>
          <w:trHeight w:val="20"/>
          <w:jc w:val="center"/>
        </w:trPr>
        <w:tc>
          <w:tcPr>
            <w:tcW w:w="4248" w:type="dxa"/>
            <w:vMerge/>
            <w:noWrap/>
            <w:hideMark/>
          </w:tcPr>
          <w:p w14:paraId="31DAE0CC" w14:textId="7D9F7F12"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34EEBB2A"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458F17EB" w14:textId="0CF7E31F"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45</w:t>
            </w:r>
            <w:r>
              <w:rPr>
                <w:rFonts w:ascii="Calibri" w:eastAsia="Times New Roman" w:hAnsi="Calibri" w:cs="Calibri"/>
                <w:color w:val="000000"/>
                <w:sz w:val="16"/>
                <w:szCs w:val="16"/>
                <w:lang w:eastAsia="en-GB"/>
              </w:rPr>
              <w:t xml:space="preserve"> (64.3)</w:t>
            </w:r>
          </w:p>
        </w:tc>
        <w:tc>
          <w:tcPr>
            <w:tcW w:w="1276" w:type="dxa"/>
            <w:noWrap/>
            <w:hideMark/>
          </w:tcPr>
          <w:p w14:paraId="08AFE1EE" w14:textId="18B8BB2B"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25 (35.7)</w:t>
            </w:r>
          </w:p>
        </w:tc>
        <w:tc>
          <w:tcPr>
            <w:tcW w:w="1134" w:type="dxa"/>
            <w:vMerge/>
            <w:noWrap/>
            <w:hideMark/>
          </w:tcPr>
          <w:p w14:paraId="34E4ADEE" w14:textId="39075E4D" w:rsidR="001E3192" w:rsidRPr="00C6498F" w:rsidRDefault="001E3192" w:rsidP="001E3192">
            <w:pPr>
              <w:jc w:val="right"/>
              <w:rPr>
                <w:rFonts w:ascii="Calibri" w:eastAsia="Times New Roman" w:hAnsi="Calibri" w:cs="Calibri"/>
                <w:color w:val="000000"/>
                <w:sz w:val="16"/>
                <w:szCs w:val="16"/>
                <w:lang w:eastAsia="en-GB"/>
              </w:rPr>
            </w:pPr>
          </w:p>
        </w:tc>
      </w:tr>
      <w:tr w:rsidR="001E3192" w:rsidRPr="00330B3B" w14:paraId="5641EBE3" w14:textId="77777777" w:rsidTr="36409090">
        <w:trPr>
          <w:trHeight w:val="20"/>
          <w:jc w:val="center"/>
        </w:trPr>
        <w:tc>
          <w:tcPr>
            <w:tcW w:w="4248" w:type="dxa"/>
            <w:vMerge/>
            <w:noWrap/>
            <w:hideMark/>
          </w:tcPr>
          <w:p w14:paraId="193F9691" w14:textId="1F585998"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377FFD89"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442E47D6" w14:textId="09C1B2B6"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103</w:t>
            </w:r>
            <w:r>
              <w:rPr>
                <w:rFonts w:ascii="Calibri" w:eastAsia="Times New Roman" w:hAnsi="Calibri" w:cs="Calibri"/>
                <w:color w:val="000000"/>
                <w:sz w:val="16"/>
                <w:szCs w:val="16"/>
                <w:lang w:eastAsia="en-GB"/>
              </w:rPr>
              <w:t xml:space="preserve"> (60.6)</w:t>
            </w:r>
          </w:p>
        </w:tc>
        <w:tc>
          <w:tcPr>
            <w:tcW w:w="1276" w:type="dxa"/>
            <w:noWrap/>
            <w:hideMark/>
          </w:tcPr>
          <w:p w14:paraId="5178FF67" w14:textId="3A5D42FF"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67 (39.4)</w:t>
            </w:r>
          </w:p>
        </w:tc>
        <w:tc>
          <w:tcPr>
            <w:tcW w:w="1134" w:type="dxa"/>
            <w:noWrap/>
            <w:hideMark/>
          </w:tcPr>
          <w:p w14:paraId="3664DB68" w14:textId="5483AEBA"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0.409 </w:t>
            </w:r>
          </w:p>
        </w:tc>
      </w:tr>
      <w:tr w:rsidR="001E3192" w:rsidRPr="00330B3B" w14:paraId="57F0A4F7" w14:textId="77777777" w:rsidTr="36409090">
        <w:trPr>
          <w:trHeight w:val="20"/>
          <w:jc w:val="center"/>
        </w:trPr>
        <w:tc>
          <w:tcPr>
            <w:tcW w:w="4248" w:type="dxa"/>
            <w:vMerge w:val="restart"/>
            <w:noWrap/>
            <w:hideMark/>
          </w:tcPr>
          <w:p w14:paraId="3A034BC4" w14:textId="46B0B60F"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2) </w:t>
            </w:r>
            <w:r w:rsidRPr="00C6498F">
              <w:rPr>
                <w:rFonts w:ascii="Calibri" w:eastAsia="Times New Roman" w:hAnsi="Calibri" w:cs="Calibri"/>
                <w:color w:val="000000"/>
                <w:sz w:val="16"/>
                <w:szCs w:val="16"/>
                <w:lang w:eastAsia="en-GB"/>
              </w:rPr>
              <w:t>The burn team that I am referring to always like to see the patients in person therefore sending photos or videos seems redundant.</w:t>
            </w:r>
          </w:p>
        </w:tc>
        <w:tc>
          <w:tcPr>
            <w:tcW w:w="709" w:type="dxa"/>
            <w:noWrap/>
            <w:hideMark/>
          </w:tcPr>
          <w:p w14:paraId="2B7E720D"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2CEA1A04" w14:textId="4FA4B37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91</w:t>
            </w:r>
            <w:r>
              <w:rPr>
                <w:rFonts w:ascii="Calibri" w:eastAsia="Times New Roman" w:hAnsi="Calibri" w:cs="Calibri"/>
                <w:color w:val="000000"/>
                <w:sz w:val="16"/>
                <w:szCs w:val="16"/>
                <w:lang w:eastAsia="en-GB"/>
              </w:rPr>
              <w:t xml:space="preserve"> (91.0)</w:t>
            </w:r>
          </w:p>
        </w:tc>
        <w:tc>
          <w:tcPr>
            <w:tcW w:w="1276" w:type="dxa"/>
            <w:noWrap/>
            <w:hideMark/>
          </w:tcPr>
          <w:p w14:paraId="6AA61B97" w14:textId="2DE1437E"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9(9.0)</w:t>
            </w:r>
          </w:p>
        </w:tc>
        <w:tc>
          <w:tcPr>
            <w:tcW w:w="1134" w:type="dxa"/>
            <w:vMerge w:val="restart"/>
            <w:noWrap/>
          </w:tcPr>
          <w:p w14:paraId="441E42AC" w14:textId="4D5E603D"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58F38285" w14:textId="77777777" w:rsidTr="36409090">
        <w:trPr>
          <w:trHeight w:val="20"/>
          <w:jc w:val="center"/>
        </w:trPr>
        <w:tc>
          <w:tcPr>
            <w:tcW w:w="4248" w:type="dxa"/>
            <w:vMerge/>
            <w:noWrap/>
            <w:hideMark/>
          </w:tcPr>
          <w:p w14:paraId="45F56CED" w14:textId="65DB4647"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736087BA"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5943DD49" w14:textId="3AA17A1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62</w:t>
            </w:r>
            <w:r>
              <w:rPr>
                <w:rFonts w:ascii="Calibri" w:eastAsia="Times New Roman" w:hAnsi="Calibri" w:cs="Calibri"/>
                <w:color w:val="000000"/>
                <w:sz w:val="16"/>
                <w:szCs w:val="16"/>
                <w:lang w:eastAsia="en-GB"/>
              </w:rPr>
              <w:t xml:space="preserve"> (88.6)</w:t>
            </w:r>
          </w:p>
        </w:tc>
        <w:tc>
          <w:tcPr>
            <w:tcW w:w="1276" w:type="dxa"/>
            <w:noWrap/>
            <w:hideMark/>
          </w:tcPr>
          <w:p w14:paraId="0EB67BE4" w14:textId="5067CB5F"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8 (11.4)</w:t>
            </w:r>
          </w:p>
        </w:tc>
        <w:tc>
          <w:tcPr>
            <w:tcW w:w="1134" w:type="dxa"/>
            <w:vMerge/>
            <w:noWrap/>
            <w:hideMark/>
          </w:tcPr>
          <w:p w14:paraId="7A318620" w14:textId="74F8DBD8"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3074C777" w14:textId="77777777" w:rsidTr="36409090">
        <w:trPr>
          <w:trHeight w:val="20"/>
          <w:jc w:val="center"/>
        </w:trPr>
        <w:tc>
          <w:tcPr>
            <w:tcW w:w="4248" w:type="dxa"/>
            <w:vMerge/>
            <w:noWrap/>
            <w:hideMark/>
          </w:tcPr>
          <w:p w14:paraId="10E2FCC4" w14:textId="473A9DBE"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6F079383"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10B2FE28" w14:textId="1B3A16AC"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153</w:t>
            </w:r>
            <w:r>
              <w:rPr>
                <w:rFonts w:ascii="Calibri" w:eastAsia="Times New Roman" w:hAnsi="Calibri" w:cs="Calibri"/>
                <w:color w:val="000000"/>
                <w:sz w:val="16"/>
                <w:szCs w:val="16"/>
                <w:lang w:eastAsia="en-GB"/>
              </w:rPr>
              <w:t xml:space="preserve"> (90.0)</w:t>
            </w:r>
          </w:p>
        </w:tc>
        <w:tc>
          <w:tcPr>
            <w:tcW w:w="1276" w:type="dxa"/>
            <w:noWrap/>
            <w:hideMark/>
          </w:tcPr>
          <w:p w14:paraId="7B4D76A7" w14:textId="673E296E"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17 (10.0)</w:t>
            </w:r>
          </w:p>
        </w:tc>
        <w:tc>
          <w:tcPr>
            <w:tcW w:w="1134" w:type="dxa"/>
            <w:noWrap/>
            <w:hideMark/>
          </w:tcPr>
          <w:p w14:paraId="27FD034F" w14:textId="389EF17B"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0.603 </w:t>
            </w:r>
          </w:p>
        </w:tc>
      </w:tr>
      <w:tr w:rsidR="001E3192" w:rsidRPr="00330B3B" w14:paraId="730E6CE5" w14:textId="77777777" w:rsidTr="36409090">
        <w:trPr>
          <w:trHeight w:val="20"/>
          <w:jc w:val="center"/>
        </w:trPr>
        <w:tc>
          <w:tcPr>
            <w:tcW w:w="4248" w:type="dxa"/>
            <w:vMerge w:val="restart"/>
            <w:noWrap/>
            <w:hideMark/>
          </w:tcPr>
          <w:p w14:paraId="0B14EAF0" w14:textId="28CF0D74"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3) </w:t>
            </w:r>
            <w:r w:rsidRPr="00C6498F">
              <w:rPr>
                <w:rFonts w:ascii="Calibri" w:eastAsia="Times New Roman" w:hAnsi="Calibri" w:cs="Calibri"/>
                <w:color w:val="000000"/>
                <w:sz w:val="16"/>
                <w:szCs w:val="16"/>
                <w:lang w:eastAsia="en-GB"/>
              </w:rPr>
              <w:t>I am worried about miscommunication as there is not always a continuous conversation</w:t>
            </w:r>
            <w:r>
              <w:rPr>
                <w:rFonts w:ascii="Calibri" w:eastAsia="Times New Roman" w:hAnsi="Calibri" w:cs="Calibri"/>
                <w:color w:val="000000"/>
                <w:sz w:val="16"/>
                <w:szCs w:val="16"/>
                <w:lang w:eastAsia="en-GB"/>
              </w:rPr>
              <w:t>.</w:t>
            </w:r>
          </w:p>
        </w:tc>
        <w:tc>
          <w:tcPr>
            <w:tcW w:w="709" w:type="dxa"/>
            <w:noWrap/>
            <w:hideMark/>
          </w:tcPr>
          <w:p w14:paraId="3C85B056"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6FCAA117" w14:textId="01E9D04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58</w:t>
            </w:r>
            <w:r>
              <w:rPr>
                <w:rFonts w:ascii="Calibri" w:eastAsia="Times New Roman" w:hAnsi="Calibri" w:cs="Calibri"/>
                <w:color w:val="000000"/>
                <w:sz w:val="16"/>
                <w:szCs w:val="16"/>
                <w:lang w:eastAsia="en-GB"/>
              </w:rPr>
              <w:t xml:space="preserve"> (58.0)</w:t>
            </w:r>
          </w:p>
        </w:tc>
        <w:tc>
          <w:tcPr>
            <w:tcW w:w="1276" w:type="dxa"/>
            <w:noWrap/>
            <w:hideMark/>
          </w:tcPr>
          <w:p w14:paraId="5D67C501" w14:textId="4414CE55"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42 (42.0)</w:t>
            </w:r>
          </w:p>
        </w:tc>
        <w:tc>
          <w:tcPr>
            <w:tcW w:w="1134" w:type="dxa"/>
            <w:vMerge w:val="restart"/>
            <w:noWrap/>
            <w:hideMark/>
          </w:tcPr>
          <w:p w14:paraId="4D954895" w14:textId="2ED66896"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6CDAC3AD" w14:textId="77777777" w:rsidTr="36409090">
        <w:trPr>
          <w:trHeight w:val="20"/>
          <w:jc w:val="center"/>
        </w:trPr>
        <w:tc>
          <w:tcPr>
            <w:tcW w:w="4248" w:type="dxa"/>
            <w:vMerge/>
            <w:noWrap/>
            <w:hideMark/>
          </w:tcPr>
          <w:p w14:paraId="0B747532" w14:textId="084E549A"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DC0B724"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353E877E" w14:textId="15E6924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55</w:t>
            </w:r>
            <w:r>
              <w:rPr>
                <w:rFonts w:ascii="Calibri" w:eastAsia="Times New Roman" w:hAnsi="Calibri" w:cs="Calibri"/>
                <w:color w:val="000000"/>
                <w:sz w:val="16"/>
                <w:szCs w:val="16"/>
                <w:lang w:eastAsia="en-GB"/>
              </w:rPr>
              <w:t xml:space="preserve"> (78.6)</w:t>
            </w:r>
          </w:p>
        </w:tc>
        <w:tc>
          <w:tcPr>
            <w:tcW w:w="1276" w:type="dxa"/>
            <w:noWrap/>
            <w:hideMark/>
          </w:tcPr>
          <w:p w14:paraId="598FA4F8" w14:textId="2248E8BA"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15 (21.4)</w:t>
            </w:r>
          </w:p>
        </w:tc>
        <w:tc>
          <w:tcPr>
            <w:tcW w:w="1134" w:type="dxa"/>
            <w:vMerge/>
            <w:noWrap/>
            <w:hideMark/>
          </w:tcPr>
          <w:p w14:paraId="23617539" w14:textId="39E75CAD"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49330529" w14:textId="77777777" w:rsidTr="36409090">
        <w:trPr>
          <w:trHeight w:val="20"/>
          <w:jc w:val="center"/>
        </w:trPr>
        <w:tc>
          <w:tcPr>
            <w:tcW w:w="4248" w:type="dxa"/>
            <w:vMerge/>
            <w:noWrap/>
            <w:hideMark/>
          </w:tcPr>
          <w:p w14:paraId="1F91B7FD" w14:textId="31E8D94B"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344C2D5E"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69753B6C" w14:textId="3EB9A3C1"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113</w:t>
            </w:r>
            <w:r>
              <w:rPr>
                <w:rFonts w:ascii="Calibri" w:eastAsia="Times New Roman" w:hAnsi="Calibri" w:cs="Calibri"/>
                <w:color w:val="000000"/>
                <w:sz w:val="16"/>
                <w:szCs w:val="16"/>
                <w:lang w:eastAsia="en-GB"/>
              </w:rPr>
              <w:t xml:space="preserve"> (66.5)</w:t>
            </w:r>
          </w:p>
        </w:tc>
        <w:tc>
          <w:tcPr>
            <w:tcW w:w="1276" w:type="dxa"/>
            <w:noWrap/>
            <w:hideMark/>
          </w:tcPr>
          <w:p w14:paraId="27C7C64F" w14:textId="319C6F5A"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57 (33.5)</w:t>
            </w:r>
          </w:p>
        </w:tc>
        <w:tc>
          <w:tcPr>
            <w:tcW w:w="1134" w:type="dxa"/>
            <w:noWrap/>
            <w:hideMark/>
          </w:tcPr>
          <w:p w14:paraId="0FDA6A77" w14:textId="02ACBE70"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0.005</w:t>
            </w:r>
          </w:p>
        </w:tc>
      </w:tr>
      <w:tr w:rsidR="001E3192" w:rsidRPr="00330B3B" w14:paraId="248C1B6D" w14:textId="77777777" w:rsidTr="36409090">
        <w:trPr>
          <w:trHeight w:val="20"/>
          <w:jc w:val="center"/>
        </w:trPr>
        <w:tc>
          <w:tcPr>
            <w:tcW w:w="4248" w:type="dxa"/>
            <w:vMerge w:val="restart"/>
            <w:noWrap/>
            <w:hideMark/>
          </w:tcPr>
          <w:p w14:paraId="4559DCFF" w14:textId="1962C038"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4) </w:t>
            </w:r>
            <w:r w:rsidRPr="00C6498F">
              <w:rPr>
                <w:rFonts w:ascii="Calibri" w:eastAsia="Times New Roman" w:hAnsi="Calibri" w:cs="Calibri"/>
                <w:color w:val="000000"/>
                <w:sz w:val="16"/>
                <w:szCs w:val="16"/>
                <w:lang w:eastAsia="en-GB"/>
              </w:rPr>
              <w:t>There is too much reliance on the clinician’s ability to communicate via succinct messages for the system to be effective and efficient.</w:t>
            </w:r>
          </w:p>
        </w:tc>
        <w:tc>
          <w:tcPr>
            <w:tcW w:w="709" w:type="dxa"/>
            <w:noWrap/>
            <w:hideMark/>
          </w:tcPr>
          <w:p w14:paraId="237FFA15"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7FA9AA21" w14:textId="59ABAA94"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53</w:t>
            </w:r>
            <w:r>
              <w:rPr>
                <w:rFonts w:ascii="Calibri" w:eastAsia="Times New Roman" w:hAnsi="Calibri" w:cs="Calibri"/>
                <w:color w:val="000000"/>
                <w:sz w:val="16"/>
                <w:szCs w:val="16"/>
                <w:lang w:eastAsia="en-GB"/>
              </w:rPr>
              <w:t xml:space="preserve"> (53.0)</w:t>
            </w:r>
          </w:p>
        </w:tc>
        <w:tc>
          <w:tcPr>
            <w:tcW w:w="1276" w:type="dxa"/>
            <w:noWrap/>
            <w:hideMark/>
          </w:tcPr>
          <w:p w14:paraId="6BF07391" w14:textId="4ED0D19E"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47 (47.0)</w:t>
            </w:r>
          </w:p>
        </w:tc>
        <w:tc>
          <w:tcPr>
            <w:tcW w:w="1134" w:type="dxa"/>
            <w:vMerge w:val="restart"/>
            <w:noWrap/>
            <w:hideMark/>
          </w:tcPr>
          <w:p w14:paraId="2EAC56D6" w14:textId="50CEE521"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344A5ABC" w14:textId="77777777" w:rsidTr="36409090">
        <w:trPr>
          <w:trHeight w:val="20"/>
          <w:jc w:val="center"/>
        </w:trPr>
        <w:tc>
          <w:tcPr>
            <w:tcW w:w="4248" w:type="dxa"/>
            <w:vMerge/>
            <w:noWrap/>
            <w:hideMark/>
          </w:tcPr>
          <w:p w14:paraId="2E04DA3F" w14:textId="1087B1EA"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B357ED4"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1E4F39A0" w14:textId="3C0F1C9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44</w:t>
            </w:r>
            <w:r>
              <w:rPr>
                <w:rFonts w:ascii="Calibri" w:eastAsia="Times New Roman" w:hAnsi="Calibri" w:cs="Calibri"/>
                <w:color w:val="000000"/>
                <w:sz w:val="16"/>
                <w:szCs w:val="16"/>
                <w:lang w:eastAsia="en-GB"/>
              </w:rPr>
              <w:t xml:space="preserve"> (62.9)</w:t>
            </w:r>
          </w:p>
        </w:tc>
        <w:tc>
          <w:tcPr>
            <w:tcW w:w="1276" w:type="dxa"/>
            <w:noWrap/>
            <w:hideMark/>
          </w:tcPr>
          <w:p w14:paraId="3950C0E9" w14:textId="286E5B09"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26 (37.1)</w:t>
            </w:r>
          </w:p>
        </w:tc>
        <w:tc>
          <w:tcPr>
            <w:tcW w:w="1134" w:type="dxa"/>
            <w:vMerge/>
            <w:noWrap/>
            <w:hideMark/>
          </w:tcPr>
          <w:p w14:paraId="71145694" w14:textId="569FD143"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14C322D2" w14:textId="77777777" w:rsidTr="36409090">
        <w:trPr>
          <w:trHeight w:val="20"/>
          <w:jc w:val="center"/>
        </w:trPr>
        <w:tc>
          <w:tcPr>
            <w:tcW w:w="4248" w:type="dxa"/>
            <w:vMerge/>
            <w:noWrap/>
            <w:hideMark/>
          </w:tcPr>
          <w:p w14:paraId="2387B896" w14:textId="3D6E787E"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28C1279D"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151972B4" w14:textId="380CD2D4"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97</w:t>
            </w:r>
            <w:r>
              <w:rPr>
                <w:rFonts w:ascii="Calibri" w:eastAsia="Times New Roman" w:hAnsi="Calibri" w:cs="Calibri"/>
                <w:color w:val="000000"/>
                <w:sz w:val="16"/>
                <w:szCs w:val="16"/>
                <w:lang w:eastAsia="en-GB"/>
              </w:rPr>
              <w:t xml:space="preserve"> (51.1)</w:t>
            </w:r>
          </w:p>
        </w:tc>
        <w:tc>
          <w:tcPr>
            <w:tcW w:w="1276" w:type="dxa"/>
            <w:noWrap/>
            <w:hideMark/>
          </w:tcPr>
          <w:p w14:paraId="42DCC47C" w14:textId="7357660A"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73 (42.9)</w:t>
            </w:r>
          </w:p>
        </w:tc>
        <w:tc>
          <w:tcPr>
            <w:tcW w:w="1134" w:type="dxa"/>
            <w:noWrap/>
            <w:hideMark/>
          </w:tcPr>
          <w:p w14:paraId="5A5BF497" w14:textId="348E2E9A"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0.201 </w:t>
            </w:r>
          </w:p>
        </w:tc>
      </w:tr>
      <w:tr w:rsidR="001E3192" w:rsidRPr="00330B3B" w14:paraId="147EA154" w14:textId="77777777" w:rsidTr="36409090">
        <w:trPr>
          <w:trHeight w:val="20"/>
          <w:jc w:val="center"/>
        </w:trPr>
        <w:tc>
          <w:tcPr>
            <w:tcW w:w="4248" w:type="dxa"/>
            <w:vMerge w:val="restart"/>
            <w:noWrap/>
            <w:hideMark/>
          </w:tcPr>
          <w:p w14:paraId="1D1B7D3A" w14:textId="447A0CD1"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5) </w:t>
            </w:r>
            <w:r w:rsidRPr="00C6498F">
              <w:rPr>
                <w:rFonts w:ascii="Calibri" w:eastAsia="Times New Roman" w:hAnsi="Calibri" w:cs="Calibri"/>
                <w:color w:val="000000"/>
                <w:sz w:val="16"/>
                <w:szCs w:val="16"/>
                <w:lang w:eastAsia="en-GB"/>
              </w:rPr>
              <w:t>There is too much reliance on technology without reliable backup systems.</w:t>
            </w:r>
          </w:p>
        </w:tc>
        <w:tc>
          <w:tcPr>
            <w:tcW w:w="709" w:type="dxa"/>
            <w:noWrap/>
            <w:hideMark/>
          </w:tcPr>
          <w:p w14:paraId="429FD09E"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0813203C" w14:textId="1C015F5D"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63</w:t>
            </w:r>
            <w:r>
              <w:rPr>
                <w:rFonts w:ascii="Calibri" w:eastAsia="Times New Roman" w:hAnsi="Calibri" w:cs="Calibri"/>
                <w:color w:val="000000"/>
                <w:sz w:val="16"/>
                <w:szCs w:val="16"/>
                <w:lang w:eastAsia="en-GB"/>
              </w:rPr>
              <w:t xml:space="preserve"> (63.0)</w:t>
            </w:r>
          </w:p>
        </w:tc>
        <w:tc>
          <w:tcPr>
            <w:tcW w:w="1276" w:type="dxa"/>
            <w:noWrap/>
            <w:hideMark/>
          </w:tcPr>
          <w:p w14:paraId="7D7E77A5" w14:textId="5A742FA0"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37 (37.0)</w:t>
            </w:r>
          </w:p>
        </w:tc>
        <w:tc>
          <w:tcPr>
            <w:tcW w:w="1134" w:type="dxa"/>
            <w:vMerge w:val="restart"/>
            <w:noWrap/>
            <w:hideMark/>
          </w:tcPr>
          <w:p w14:paraId="3FC8C6C7" w14:textId="6E00AF8F"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7A5E9065" w14:textId="77777777" w:rsidTr="36409090">
        <w:trPr>
          <w:trHeight w:val="20"/>
          <w:jc w:val="center"/>
        </w:trPr>
        <w:tc>
          <w:tcPr>
            <w:tcW w:w="4248" w:type="dxa"/>
            <w:vMerge/>
            <w:noWrap/>
            <w:hideMark/>
          </w:tcPr>
          <w:p w14:paraId="58FFCF9B" w14:textId="755187BC"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68CC6112"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03B4E1BC" w14:textId="49CC7D94"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39</w:t>
            </w:r>
            <w:r>
              <w:rPr>
                <w:rFonts w:ascii="Calibri" w:eastAsia="Times New Roman" w:hAnsi="Calibri" w:cs="Calibri"/>
                <w:color w:val="000000"/>
                <w:sz w:val="16"/>
                <w:szCs w:val="16"/>
                <w:lang w:eastAsia="en-GB"/>
              </w:rPr>
              <w:t xml:space="preserve"> (55.7)</w:t>
            </w:r>
          </w:p>
        </w:tc>
        <w:tc>
          <w:tcPr>
            <w:tcW w:w="1276" w:type="dxa"/>
            <w:noWrap/>
            <w:hideMark/>
          </w:tcPr>
          <w:p w14:paraId="5B36B580" w14:textId="42DC2C35"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31 (44.3)</w:t>
            </w:r>
          </w:p>
        </w:tc>
        <w:tc>
          <w:tcPr>
            <w:tcW w:w="1134" w:type="dxa"/>
            <w:vMerge/>
            <w:noWrap/>
            <w:hideMark/>
          </w:tcPr>
          <w:p w14:paraId="42C428D0" w14:textId="2F2D389E"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23943D84" w14:textId="77777777" w:rsidTr="36409090">
        <w:trPr>
          <w:trHeight w:val="20"/>
          <w:jc w:val="center"/>
        </w:trPr>
        <w:tc>
          <w:tcPr>
            <w:tcW w:w="4248" w:type="dxa"/>
            <w:vMerge/>
            <w:noWrap/>
            <w:hideMark/>
          </w:tcPr>
          <w:p w14:paraId="18D674EB" w14:textId="0FD6D92B"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76502985"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7C55BE76" w14:textId="37A60D02"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102</w:t>
            </w:r>
            <w:r>
              <w:rPr>
                <w:rFonts w:ascii="Calibri" w:eastAsia="Times New Roman" w:hAnsi="Calibri" w:cs="Calibri"/>
                <w:color w:val="000000"/>
                <w:sz w:val="16"/>
                <w:szCs w:val="16"/>
                <w:lang w:eastAsia="en-GB"/>
              </w:rPr>
              <w:t xml:space="preserve"> (60.0)</w:t>
            </w:r>
          </w:p>
        </w:tc>
        <w:tc>
          <w:tcPr>
            <w:tcW w:w="1276" w:type="dxa"/>
            <w:noWrap/>
            <w:hideMark/>
          </w:tcPr>
          <w:p w14:paraId="305755D7" w14:textId="1A8C7946"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68 (40.0)</w:t>
            </w:r>
          </w:p>
        </w:tc>
        <w:tc>
          <w:tcPr>
            <w:tcW w:w="1134" w:type="dxa"/>
            <w:noWrap/>
            <w:hideMark/>
          </w:tcPr>
          <w:p w14:paraId="03F33065" w14:textId="7A27CF47" w:rsidR="001E3192" w:rsidRPr="00AA48DD" w:rsidRDefault="36409090" w:rsidP="001E3192">
            <w:pPr>
              <w:jc w:val="right"/>
              <w:rPr>
                <w:rFonts w:ascii="Calibri" w:eastAsia="Times New Roman" w:hAnsi="Calibri" w:cs="Calibri"/>
                <w:b/>
                <w:bCs/>
                <w:color w:val="000000"/>
                <w:sz w:val="16"/>
                <w:szCs w:val="16"/>
                <w:lang w:eastAsia="en-GB"/>
              </w:rPr>
            </w:pPr>
            <w:r w:rsidRPr="36409090">
              <w:rPr>
                <w:rFonts w:ascii="Calibri" w:eastAsia="Times New Roman" w:hAnsi="Calibri" w:cs="Calibri"/>
                <w:b/>
                <w:bCs/>
                <w:color w:val="000000" w:themeColor="text1"/>
                <w:sz w:val="16"/>
                <w:szCs w:val="16"/>
                <w:lang w:eastAsia="en-GB"/>
              </w:rPr>
              <w:t>0.340</w:t>
            </w:r>
          </w:p>
        </w:tc>
      </w:tr>
      <w:tr w:rsidR="001E3192" w:rsidRPr="00330B3B" w14:paraId="472EA7EB" w14:textId="77777777" w:rsidTr="36409090">
        <w:trPr>
          <w:trHeight w:val="20"/>
          <w:jc w:val="center"/>
        </w:trPr>
        <w:tc>
          <w:tcPr>
            <w:tcW w:w="4248" w:type="dxa"/>
            <w:vMerge w:val="restart"/>
            <w:noWrap/>
            <w:hideMark/>
          </w:tcPr>
          <w:p w14:paraId="0908B03C" w14:textId="387238C4"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6) </w:t>
            </w:r>
            <w:r w:rsidRPr="00C6498F">
              <w:rPr>
                <w:rFonts w:ascii="Calibri" w:eastAsia="Times New Roman" w:hAnsi="Calibri" w:cs="Calibri"/>
                <w:color w:val="000000"/>
                <w:sz w:val="16"/>
                <w:szCs w:val="16"/>
                <w:lang w:eastAsia="en-GB"/>
              </w:rPr>
              <w:t>There is poor access to reliable Wi-Fi for the newer systems to make it work efficiently.</w:t>
            </w:r>
          </w:p>
        </w:tc>
        <w:tc>
          <w:tcPr>
            <w:tcW w:w="709" w:type="dxa"/>
            <w:noWrap/>
            <w:hideMark/>
          </w:tcPr>
          <w:p w14:paraId="2D5D9D44"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7B670304" w14:textId="2D24D913"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41</w:t>
            </w:r>
            <w:r>
              <w:rPr>
                <w:rFonts w:ascii="Calibri" w:eastAsia="Times New Roman" w:hAnsi="Calibri" w:cs="Calibri"/>
                <w:color w:val="000000"/>
                <w:sz w:val="16"/>
                <w:szCs w:val="16"/>
                <w:lang w:eastAsia="en-GB"/>
              </w:rPr>
              <w:t xml:space="preserve"> (41.0)</w:t>
            </w:r>
          </w:p>
        </w:tc>
        <w:tc>
          <w:tcPr>
            <w:tcW w:w="1276" w:type="dxa"/>
            <w:noWrap/>
            <w:hideMark/>
          </w:tcPr>
          <w:p w14:paraId="233F4F29" w14:textId="4CC91223"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59 (59.0)</w:t>
            </w:r>
          </w:p>
        </w:tc>
        <w:tc>
          <w:tcPr>
            <w:tcW w:w="1134" w:type="dxa"/>
            <w:vMerge w:val="restart"/>
            <w:noWrap/>
            <w:hideMark/>
          </w:tcPr>
          <w:p w14:paraId="18D1E443" w14:textId="648B1522"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11129F3A" w14:textId="77777777" w:rsidTr="36409090">
        <w:trPr>
          <w:trHeight w:val="20"/>
          <w:jc w:val="center"/>
        </w:trPr>
        <w:tc>
          <w:tcPr>
            <w:tcW w:w="4248" w:type="dxa"/>
            <w:vMerge/>
            <w:noWrap/>
            <w:hideMark/>
          </w:tcPr>
          <w:p w14:paraId="63ECCA72" w14:textId="3F9C4107"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E1F5CB8"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6434C87F" w14:textId="36CDFB28"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36</w:t>
            </w:r>
            <w:r>
              <w:rPr>
                <w:rFonts w:ascii="Calibri" w:eastAsia="Times New Roman" w:hAnsi="Calibri" w:cs="Calibri"/>
                <w:color w:val="000000"/>
                <w:sz w:val="16"/>
                <w:szCs w:val="16"/>
                <w:lang w:eastAsia="en-GB"/>
              </w:rPr>
              <w:t xml:space="preserve"> (51.4)</w:t>
            </w:r>
          </w:p>
        </w:tc>
        <w:tc>
          <w:tcPr>
            <w:tcW w:w="1276" w:type="dxa"/>
            <w:noWrap/>
            <w:hideMark/>
          </w:tcPr>
          <w:p w14:paraId="117388E5" w14:textId="581270EC"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34 (48.6)</w:t>
            </w:r>
          </w:p>
        </w:tc>
        <w:tc>
          <w:tcPr>
            <w:tcW w:w="1134" w:type="dxa"/>
            <w:vMerge/>
            <w:noWrap/>
            <w:hideMark/>
          </w:tcPr>
          <w:p w14:paraId="7051E6DD" w14:textId="6521D33D"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44AC2EAB" w14:textId="77777777" w:rsidTr="36409090">
        <w:trPr>
          <w:trHeight w:val="20"/>
          <w:jc w:val="center"/>
        </w:trPr>
        <w:tc>
          <w:tcPr>
            <w:tcW w:w="4248" w:type="dxa"/>
            <w:vMerge/>
            <w:noWrap/>
            <w:hideMark/>
          </w:tcPr>
          <w:p w14:paraId="12734020" w14:textId="4047E588"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6A6FCD1C"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5E1CA1EF" w14:textId="785F06F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77</w:t>
            </w:r>
            <w:r>
              <w:rPr>
                <w:rFonts w:ascii="Calibri" w:eastAsia="Times New Roman" w:hAnsi="Calibri" w:cs="Calibri"/>
                <w:color w:val="000000"/>
                <w:sz w:val="16"/>
                <w:szCs w:val="16"/>
                <w:lang w:eastAsia="en-GB"/>
              </w:rPr>
              <w:t xml:space="preserve"> (45.3)</w:t>
            </w:r>
          </w:p>
        </w:tc>
        <w:tc>
          <w:tcPr>
            <w:tcW w:w="1276" w:type="dxa"/>
            <w:noWrap/>
            <w:hideMark/>
          </w:tcPr>
          <w:p w14:paraId="5AD4DD06" w14:textId="1A9E5C3F"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93 (54.7)</w:t>
            </w:r>
          </w:p>
        </w:tc>
        <w:tc>
          <w:tcPr>
            <w:tcW w:w="1134" w:type="dxa"/>
            <w:noWrap/>
            <w:hideMark/>
          </w:tcPr>
          <w:p w14:paraId="5785D794" w14:textId="20A8A72F"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0.179 </w:t>
            </w:r>
          </w:p>
        </w:tc>
      </w:tr>
      <w:tr w:rsidR="001E3192" w:rsidRPr="00330B3B" w14:paraId="7ACED55A" w14:textId="77777777" w:rsidTr="36409090">
        <w:trPr>
          <w:trHeight w:val="20"/>
          <w:jc w:val="center"/>
        </w:trPr>
        <w:tc>
          <w:tcPr>
            <w:tcW w:w="4248" w:type="dxa"/>
            <w:vMerge w:val="restart"/>
            <w:noWrap/>
            <w:hideMark/>
          </w:tcPr>
          <w:p w14:paraId="1C873129" w14:textId="55075407"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7) </w:t>
            </w:r>
            <w:r w:rsidRPr="00C6498F">
              <w:rPr>
                <w:rFonts w:ascii="Calibri" w:eastAsia="Times New Roman" w:hAnsi="Calibri" w:cs="Calibri"/>
                <w:color w:val="000000"/>
                <w:sz w:val="16"/>
                <w:szCs w:val="16"/>
                <w:lang w:eastAsia="en-GB"/>
              </w:rPr>
              <w:t>There are an inadequate number of devices in our department to deal with the extra burden of referring online.</w:t>
            </w:r>
          </w:p>
        </w:tc>
        <w:tc>
          <w:tcPr>
            <w:tcW w:w="709" w:type="dxa"/>
            <w:noWrap/>
            <w:hideMark/>
          </w:tcPr>
          <w:p w14:paraId="0975BFF9"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05527147" w14:textId="7BC4A75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46</w:t>
            </w:r>
            <w:r>
              <w:rPr>
                <w:rFonts w:ascii="Calibri" w:eastAsia="Times New Roman" w:hAnsi="Calibri" w:cs="Calibri"/>
                <w:color w:val="000000"/>
                <w:sz w:val="16"/>
                <w:szCs w:val="16"/>
                <w:lang w:eastAsia="en-GB"/>
              </w:rPr>
              <w:t xml:space="preserve"> (46.0)</w:t>
            </w:r>
          </w:p>
        </w:tc>
        <w:tc>
          <w:tcPr>
            <w:tcW w:w="1276" w:type="dxa"/>
            <w:noWrap/>
            <w:hideMark/>
          </w:tcPr>
          <w:p w14:paraId="42CBE670" w14:textId="71FEA97E"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54 (54.0)</w:t>
            </w:r>
          </w:p>
        </w:tc>
        <w:tc>
          <w:tcPr>
            <w:tcW w:w="1134" w:type="dxa"/>
            <w:vMerge w:val="restart"/>
            <w:noWrap/>
            <w:hideMark/>
          </w:tcPr>
          <w:p w14:paraId="701899BD" w14:textId="2B6C0B07"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651C30C7" w14:textId="77777777" w:rsidTr="36409090">
        <w:trPr>
          <w:trHeight w:val="20"/>
          <w:jc w:val="center"/>
        </w:trPr>
        <w:tc>
          <w:tcPr>
            <w:tcW w:w="4248" w:type="dxa"/>
            <w:vMerge/>
            <w:noWrap/>
            <w:hideMark/>
          </w:tcPr>
          <w:p w14:paraId="6BDBDAE6" w14:textId="34BE021F"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6C699779"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29E4E8C8" w14:textId="18F485D6"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43</w:t>
            </w:r>
            <w:r>
              <w:rPr>
                <w:rFonts w:ascii="Calibri" w:eastAsia="Times New Roman" w:hAnsi="Calibri" w:cs="Calibri"/>
                <w:color w:val="000000"/>
                <w:sz w:val="16"/>
                <w:szCs w:val="16"/>
                <w:lang w:eastAsia="en-GB"/>
              </w:rPr>
              <w:t xml:space="preserve"> (61.4)</w:t>
            </w:r>
          </w:p>
        </w:tc>
        <w:tc>
          <w:tcPr>
            <w:tcW w:w="1276" w:type="dxa"/>
            <w:noWrap/>
            <w:hideMark/>
          </w:tcPr>
          <w:p w14:paraId="4D4FF4AD" w14:textId="2F28E361"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27 (38.6)</w:t>
            </w:r>
          </w:p>
        </w:tc>
        <w:tc>
          <w:tcPr>
            <w:tcW w:w="1134" w:type="dxa"/>
            <w:vMerge/>
            <w:noWrap/>
            <w:hideMark/>
          </w:tcPr>
          <w:p w14:paraId="0029F803" w14:textId="53504CE9"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75CF4857" w14:textId="77777777" w:rsidTr="36409090">
        <w:trPr>
          <w:trHeight w:val="20"/>
          <w:jc w:val="center"/>
        </w:trPr>
        <w:tc>
          <w:tcPr>
            <w:tcW w:w="4248" w:type="dxa"/>
            <w:vMerge/>
            <w:noWrap/>
            <w:hideMark/>
          </w:tcPr>
          <w:p w14:paraId="05882A26" w14:textId="677CEBBD"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53C5AC3A"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616CFE4A" w14:textId="1F1EFECD"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89</w:t>
            </w:r>
            <w:r>
              <w:rPr>
                <w:rFonts w:ascii="Calibri" w:eastAsia="Times New Roman" w:hAnsi="Calibri" w:cs="Calibri"/>
                <w:color w:val="000000"/>
                <w:sz w:val="16"/>
                <w:szCs w:val="16"/>
                <w:lang w:eastAsia="en-GB"/>
              </w:rPr>
              <w:t xml:space="preserve"> (52.4)</w:t>
            </w:r>
          </w:p>
        </w:tc>
        <w:tc>
          <w:tcPr>
            <w:tcW w:w="1276" w:type="dxa"/>
            <w:noWrap/>
            <w:hideMark/>
          </w:tcPr>
          <w:p w14:paraId="7DBE6D63" w14:textId="6D18F461"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81 (47.6)</w:t>
            </w:r>
          </w:p>
        </w:tc>
        <w:tc>
          <w:tcPr>
            <w:tcW w:w="1134" w:type="dxa"/>
            <w:noWrap/>
            <w:hideMark/>
          </w:tcPr>
          <w:p w14:paraId="377DF290" w14:textId="586412F4"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0.047 </w:t>
            </w:r>
          </w:p>
        </w:tc>
      </w:tr>
      <w:tr w:rsidR="001E3192" w:rsidRPr="00330B3B" w14:paraId="3CE475C4" w14:textId="77777777" w:rsidTr="36409090">
        <w:trPr>
          <w:trHeight w:val="20"/>
          <w:jc w:val="center"/>
        </w:trPr>
        <w:tc>
          <w:tcPr>
            <w:tcW w:w="4248" w:type="dxa"/>
            <w:vMerge w:val="restart"/>
            <w:noWrap/>
            <w:hideMark/>
          </w:tcPr>
          <w:p w14:paraId="2C171D21" w14:textId="24FB5029"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8) </w:t>
            </w:r>
            <w:r w:rsidRPr="00C6498F">
              <w:rPr>
                <w:rFonts w:ascii="Calibri" w:eastAsia="Times New Roman" w:hAnsi="Calibri" w:cs="Calibri"/>
                <w:color w:val="000000"/>
                <w:sz w:val="16"/>
                <w:szCs w:val="16"/>
                <w:lang w:eastAsia="en-GB"/>
              </w:rPr>
              <w:t>It is a waste of time having to wait for a response sent through telemedicine images.</w:t>
            </w:r>
          </w:p>
        </w:tc>
        <w:tc>
          <w:tcPr>
            <w:tcW w:w="709" w:type="dxa"/>
            <w:noWrap/>
            <w:hideMark/>
          </w:tcPr>
          <w:p w14:paraId="0DC547A5"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645A3172" w14:textId="0989DE3E"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80</w:t>
            </w:r>
            <w:r>
              <w:rPr>
                <w:rFonts w:ascii="Calibri" w:eastAsia="Times New Roman" w:hAnsi="Calibri" w:cs="Calibri"/>
                <w:color w:val="000000"/>
                <w:sz w:val="16"/>
                <w:szCs w:val="16"/>
                <w:lang w:eastAsia="en-GB"/>
              </w:rPr>
              <w:t xml:space="preserve"> (80.0)</w:t>
            </w:r>
          </w:p>
        </w:tc>
        <w:tc>
          <w:tcPr>
            <w:tcW w:w="1276" w:type="dxa"/>
            <w:noWrap/>
            <w:hideMark/>
          </w:tcPr>
          <w:p w14:paraId="5B92600D" w14:textId="5DF23438"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20 (20.0)</w:t>
            </w:r>
          </w:p>
        </w:tc>
        <w:tc>
          <w:tcPr>
            <w:tcW w:w="1134" w:type="dxa"/>
            <w:vMerge w:val="restart"/>
            <w:noWrap/>
            <w:hideMark/>
          </w:tcPr>
          <w:p w14:paraId="3D212DBD" w14:textId="1605A82D" w:rsidR="001E3192" w:rsidRPr="00AA48DD" w:rsidRDefault="553EE29A" w:rsidP="001E3192">
            <w:pPr>
              <w:jc w:val="right"/>
              <w:rPr>
                <w:rFonts w:ascii="Calibri" w:eastAsia="Times New Roman" w:hAnsi="Calibri" w:cs="Calibri"/>
                <w:b/>
                <w:bCs/>
                <w:color w:val="000000"/>
                <w:sz w:val="16"/>
                <w:szCs w:val="16"/>
                <w:lang w:eastAsia="en-GB"/>
              </w:rPr>
            </w:pPr>
            <w:r w:rsidRPr="553EE29A">
              <w:rPr>
                <w:rFonts w:ascii="Calibri" w:eastAsia="Times New Roman" w:hAnsi="Calibri" w:cs="Calibri"/>
                <w:b/>
                <w:bCs/>
                <w:color w:val="000000" w:themeColor="text1"/>
                <w:sz w:val="16"/>
                <w:szCs w:val="16"/>
                <w:lang w:eastAsia="en-GB"/>
              </w:rPr>
              <w:t> </w:t>
            </w:r>
          </w:p>
        </w:tc>
      </w:tr>
      <w:tr w:rsidR="001E3192" w:rsidRPr="00330B3B" w14:paraId="704E2767" w14:textId="77777777" w:rsidTr="36409090">
        <w:trPr>
          <w:trHeight w:val="20"/>
          <w:jc w:val="center"/>
        </w:trPr>
        <w:tc>
          <w:tcPr>
            <w:tcW w:w="4248" w:type="dxa"/>
            <w:vMerge/>
            <w:noWrap/>
            <w:hideMark/>
          </w:tcPr>
          <w:p w14:paraId="2386AC55" w14:textId="292ED6FA"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08E0157"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62D60C84" w14:textId="1C3DE343"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45</w:t>
            </w:r>
            <w:r>
              <w:rPr>
                <w:rFonts w:ascii="Calibri" w:eastAsia="Times New Roman" w:hAnsi="Calibri" w:cs="Calibri"/>
                <w:color w:val="000000"/>
                <w:sz w:val="16"/>
                <w:szCs w:val="16"/>
                <w:lang w:eastAsia="en-GB"/>
              </w:rPr>
              <w:t xml:space="preserve"> (64.3)</w:t>
            </w:r>
          </w:p>
        </w:tc>
        <w:tc>
          <w:tcPr>
            <w:tcW w:w="1276" w:type="dxa"/>
            <w:noWrap/>
            <w:hideMark/>
          </w:tcPr>
          <w:p w14:paraId="6812B59D" w14:textId="1C97D43E" w:rsidR="001E3192" w:rsidRPr="00C6498F" w:rsidRDefault="553EE29A" w:rsidP="001E3192">
            <w:pPr>
              <w:jc w:val="right"/>
              <w:rPr>
                <w:rFonts w:ascii="Calibri" w:eastAsia="Times New Roman" w:hAnsi="Calibri" w:cs="Calibri"/>
                <w:color w:val="000000"/>
                <w:sz w:val="16"/>
                <w:szCs w:val="16"/>
                <w:lang w:eastAsia="en-GB"/>
              </w:rPr>
            </w:pPr>
            <w:r w:rsidRPr="553EE29A">
              <w:rPr>
                <w:rFonts w:ascii="Calibri" w:eastAsia="Times New Roman" w:hAnsi="Calibri" w:cs="Calibri"/>
                <w:color w:val="000000" w:themeColor="text1"/>
                <w:sz w:val="16"/>
                <w:szCs w:val="16"/>
                <w:lang w:eastAsia="en-GB"/>
              </w:rPr>
              <w:t>25 (35.7)</w:t>
            </w:r>
          </w:p>
        </w:tc>
        <w:tc>
          <w:tcPr>
            <w:tcW w:w="1134" w:type="dxa"/>
            <w:vMerge/>
            <w:noWrap/>
            <w:hideMark/>
          </w:tcPr>
          <w:p w14:paraId="731B1053" w14:textId="0DDCF6F9"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1CDC232D" w14:textId="77777777" w:rsidTr="36409090">
        <w:trPr>
          <w:trHeight w:val="20"/>
          <w:jc w:val="center"/>
        </w:trPr>
        <w:tc>
          <w:tcPr>
            <w:tcW w:w="4248" w:type="dxa"/>
            <w:vMerge/>
            <w:noWrap/>
            <w:hideMark/>
          </w:tcPr>
          <w:p w14:paraId="014A7FF3" w14:textId="4EA3726C"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221B458D"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0B47F583" w14:textId="3898A60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125</w:t>
            </w:r>
            <w:r>
              <w:rPr>
                <w:rFonts w:ascii="Calibri" w:eastAsia="Times New Roman" w:hAnsi="Calibri" w:cs="Calibri"/>
                <w:color w:val="000000"/>
                <w:sz w:val="16"/>
                <w:szCs w:val="16"/>
                <w:lang w:eastAsia="en-GB"/>
              </w:rPr>
              <w:t xml:space="preserve"> (73.5)</w:t>
            </w:r>
          </w:p>
        </w:tc>
        <w:tc>
          <w:tcPr>
            <w:tcW w:w="1276" w:type="dxa"/>
            <w:noWrap/>
            <w:hideMark/>
          </w:tcPr>
          <w:p w14:paraId="0B2C9080" w14:textId="07523CCF"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45</w:t>
            </w:r>
            <w:r>
              <w:rPr>
                <w:rFonts w:ascii="Calibri" w:eastAsia="Times New Roman" w:hAnsi="Calibri" w:cs="Calibri"/>
                <w:color w:val="000000"/>
                <w:sz w:val="16"/>
                <w:szCs w:val="16"/>
                <w:lang w:eastAsia="en-GB"/>
              </w:rPr>
              <w:t xml:space="preserve"> (26.5)</w:t>
            </w:r>
          </w:p>
        </w:tc>
        <w:tc>
          <w:tcPr>
            <w:tcW w:w="1134" w:type="dxa"/>
            <w:noWrap/>
            <w:hideMark/>
          </w:tcPr>
          <w:p w14:paraId="4C2404E2" w14:textId="67ABCC84"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0.022 </w:t>
            </w:r>
          </w:p>
        </w:tc>
      </w:tr>
      <w:tr w:rsidR="001E3192" w:rsidRPr="00330B3B" w14:paraId="2CE9B8A6" w14:textId="77777777" w:rsidTr="36409090">
        <w:trPr>
          <w:trHeight w:val="20"/>
          <w:jc w:val="center"/>
        </w:trPr>
        <w:tc>
          <w:tcPr>
            <w:tcW w:w="4248" w:type="dxa"/>
            <w:vMerge w:val="restart"/>
            <w:noWrap/>
            <w:hideMark/>
          </w:tcPr>
          <w:p w14:paraId="443E3D5B" w14:textId="5083E610"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9) </w:t>
            </w:r>
            <w:r w:rsidRPr="00C6498F">
              <w:rPr>
                <w:rFonts w:ascii="Calibri" w:eastAsia="Times New Roman" w:hAnsi="Calibri" w:cs="Calibri"/>
                <w:color w:val="000000"/>
                <w:sz w:val="16"/>
                <w:szCs w:val="16"/>
                <w:lang w:eastAsia="en-GB"/>
              </w:rPr>
              <w:t>I do not want to write both clinical notes and separate notes online for the telemedicine referral.</w:t>
            </w:r>
          </w:p>
        </w:tc>
        <w:tc>
          <w:tcPr>
            <w:tcW w:w="709" w:type="dxa"/>
            <w:noWrap/>
            <w:hideMark/>
          </w:tcPr>
          <w:p w14:paraId="22C494E4"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6A90B795" w14:textId="3BD56C6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46</w:t>
            </w:r>
            <w:r>
              <w:rPr>
                <w:rFonts w:ascii="Calibri" w:eastAsia="Times New Roman" w:hAnsi="Calibri" w:cs="Calibri"/>
                <w:color w:val="000000"/>
                <w:sz w:val="16"/>
                <w:szCs w:val="16"/>
                <w:lang w:eastAsia="en-GB"/>
              </w:rPr>
              <w:t xml:space="preserve"> (46.0)</w:t>
            </w:r>
          </w:p>
        </w:tc>
        <w:tc>
          <w:tcPr>
            <w:tcW w:w="1276" w:type="dxa"/>
            <w:noWrap/>
            <w:hideMark/>
          </w:tcPr>
          <w:p w14:paraId="3D870B11" w14:textId="2B8D1CE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54</w:t>
            </w:r>
            <w:r>
              <w:rPr>
                <w:rFonts w:ascii="Calibri" w:eastAsia="Times New Roman" w:hAnsi="Calibri" w:cs="Calibri"/>
                <w:color w:val="000000"/>
                <w:sz w:val="16"/>
                <w:szCs w:val="16"/>
                <w:lang w:eastAsia="en-GB"/>
              </w:rPr>
              <w:t xml:space="preserve"> (54.0)</w:t>
            </w:r>
          </w:p>
        </w:tc>
        <w:tc>
          <w:tcPr>
            <w:tcW w:w="1134" w:type="dxa"/>
            <w:vMerge w:val="restart"/>
            <w:noWrap/>
            <w:hideMark/>
          </w:tcPr>
          <w:p w14:paraId="6CE51F2B" w14:textId="792D8123"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 </w:t>
            </w:r>
          </w:p>
        </w:tc>
      </w:tr>
      <w:tr w:rsidR="001E3192" w:rsidRPr="00330B3B" w14:paraId="382B9CBC" w14:textId="77777777" w:rsidTr="36409090">
        <w:trPr>
          <w:trHeight w:val="20"/>
          <w:jc w:val="center"/>
        </w:trPr>
        <w:tc>
          <w:tcPr>
            <w:tcW w:w="4248" w:type="dxa"/>
            <w:vMerge/>
            <w:noWrap/>
            <w:hideMark/>
          </w:tcPr>
          <w:p w14:paraId="1D5D7945" w14:textId="5231B07D"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2602120D"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387B493A" w14:textId="73D6918F"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31</w:t>
            </w:r>
            <w:r>
              <w:rPr>
                <w:rFonts w:ascii="Calibri" w:eastAsia="Times New Roman" w:hAnsi="Calibri" w:cs="Calibri"/>
                <w:color w:val="000000"/>
                <w:sz w:val="16"/>
                <w:szCs w:val="16"/>
                <w:lang w:eastAsia="en-GB"/>
              </w:rPr>
              <w:t xml:space="preserve"> (44.3)</w:t>
            </w:r>
          </w:p>
        </w:tc>
        <w:tc>
          <w:tcPr>
            <w:tcW w:w="1276" w:type="dxa"/>
            <w:noWrap/>
            <w:hideMark/>
          </w:tcPr>
          <w:p w14:paraId="760E3365" w14:textId="0EA14B9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39</w:t>
            </w:r>
            <w:r>
              <w:rPr>
                <w:rFonts w:ascii="Calibri" w:eastAsia="Times New Roman" w:hAnsi="Calibri" w:cs="Calibri"/>
                <w:color w:val="000000"/>
                <w:sz w:val="16"/>
                <w:szCs w:val="16"/>
                <w:lang w:eastAsia="en-GB"/>
              </w:rPr>
              <w:t xml:space="preserve"> (55.7)</w:t>
            </w:r>
          </w:p>
        </w:tc>
        <w:tc>
          <w:tcPr>
            <w:tcW w:w="1134" w:type="dxa"/>
            <w:vMerge/>
            <w:noWrap/>
            <w:hideMark/>
          </w:tcPr>
          <w:p w14:paraId="5B070A86" w14:textId="596E654C"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66629156" w14:textId="77777777" w:rsidTr="36409090">
        <w:trPr>
          <w:trHeight w:val="20"/>
          <w:jc w:val="center"/>
        </w:trPr>
        <w:tc>
          <w:tcPr>
            <w:tcW w:w="4248" w:type="dxa"/>
            <w:vMerge/>
            <w:noWrap/>
            <w:hideMark/>
          </w:tcPr>
          <w:p w14:paraId="7C289AE8" w14:textId="46D5DBE9"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3CCBA27A"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6B25073F" w14:textId="19B1A1F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77</w:t>
            </w:r>
            <w:r>
              <w:rPr>
                <w:rFonts w:ascii="Calibri" w:eastAsia="Times New Roman" w:hAnsi="Calibri" w:cs="Calibri"/>
                <w:color w:val="000000"/>
                <w:sz w:val="16"/>
                <w:szCs w:val="16"/>
                <w:lang w:eastAsia="en-GB"/>
              </w:rPr>
              <w:t xml:space="preserve"> (45.3)</w:t>
            </w:r>
          </w:p>
        </w:tc>
        <w:tc>
          <w:tcPr>
            <w:tcW w:w="1276" w:type="dxa"/>
            <w:noWrap/>
            <w:hideMark/>
          </w:tcPr>
          <w:p w14:paraId="74550608" w14:textId="39FBD55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93</w:t>
            </w:r>
            <w:r>
              <w:rPr>
                <w:rFonts w:ascii="Calibri" w:eastAsia="Times New Roman" w:hAnsi="Calibri" w:cs="Calibri"/>
                <w:color w:val="000000"/>
                <w:sz w:val="16"/>
                <w:szCs w:val="16"/>
                <w:lang w:eastAsia="en-GB"/>
              </w:rPr>
              <w:t xml:space="preserve"> (54.7)</w:t>
            </w:r>
          </w:p>
        </w:tc>
        <w:tc>
          <w:tcPr>
            <w:tcW w:w="1134" w:type="dxa"/>
            <w:noWrap/>
            <w:hideMark/>
          </w:tcPr>
          <w:p w14:paraId="1E2401B7" w14:textId="6570E5D1"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0.825 </w:t>
            </w:r>
          </w:p>
        </w:tc>
      </w:tr>
      <w:tr w:rsidR="001E3192" w:rsidRPr="00330B3B" w14:paraId="20FAC830" w14:textId="77777777" w:rsidTr="36409090">
        <w:trPr>
          <w:trHeight w:val="20"/>
          <w:jc w:val="center"/>
        </w:trPr>
        <w:tc>
          <w:tcPr>
            <w:tcW w:w="4248" w:type="dxa"/>
            <w:vMerge w:val="restart"/>
            <w:noWrap/>
            <w:hideMark/>
          </w:tcPr>
          <w:p w14:paraId="6E6E717F" w14:textId="600AF7A7"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10) </w:t>
            </w:r>
            <w:r w:rsidRPr="00C6498F">
              <w:rPr>
                <w:rFonts w:ascii="Calibri" w:eastAsia="Times New Roman" w:hAnsi="Calibri" w:cs="Calibri"/>
                <w:color w:val="000000"/>
                <w:sz w:val="16"/>
                <w:szCs w:val="16"/>
                <w:lang w:eastAsia="en-GB"/>
              </w:rPr>
              <w:t>I am worried about the constant training required due to the high turnover of doctors and nurses within our department.</w:t>
            </w:r>
          </w:p>
        </w:tc>
        <w:tc>
          <w:tcPr>
            <w:tcW w:w="709" w:type="dxa"/>
            <w:noWrap/>
            <w:hideMark/>
          </w:tcPr>
          <w:p w14:paraId="1E050C80"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42BD4B9D" w14:textId="7198AA5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80</w:t>
            </w:r>
            <w:r>
              <w:rPr>
                <w:rFonts w:ascii="Calibri" w:eastAsia="Times New Roman" w:hAnsi="Calibri" w:cs="Calibri"/>
                <w:color w:val="000000"/>
                <w:sz w:val="16"/>
                <w:szCs w:val="16"/>
                <w:lang w:eastAsia="en-GB"/>
              </w:rPr>
              <w:t xml:space="preserve"> (80.0)</w:t>
            </w:r>
          </w:p>
        </w:tc>
        <w:tc>
          <w:tcPr>
            <w:tcW w:w="1276" w:type="dxa"/>
            <w:noWrap/>
            <w:hideMark/>
          </w:tcPr>
          <w:p w14:paraId="78C11043" w14:textId="4F313554"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w:t>
            </w:r>
            <w:r>
              <w:rPr>
                <w:rFonts w:ascii="Calibri" w:eastAsia="Times New Roman" w:hAnsi="Calibri" w:cs="Calibri"/>
                <w:color w:val="000000"/>
                <w:sz w:val="16"/>
                <w:szCs w:val="16"/>
                <w:lang w:eastAsia="en-GB"/>
              </w:rPr>
              <w:t xml:space="preserve"> (20.0)</w:t>
            </w:r>
          </w:p>
        </w:tc>
        <w:tc>
          <w:tcPr>
            <w:tcW w:w="1134" w:type="dxa"/>
            <w:vMerge w:val="restart"/>
            <w:noWrap/>
            <w:hideMark/>
          </w:tcPr>
          <w:p w14:paraId="235F7AE7" w14:textId="58F1F024"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 </w:t>
            </w:r>
          </w:p>
        </w:tc>
      </w:tr>
      <w:tr w:rsidR="001E3192" w:rsidRPr="00330B3B" w14:paraId="68D27DC0" w14:textId="77777777" w:rsidTr="36409090">
        <w:trPr>
          <w:trHeight w:val="20"/>
          <w:jc w:val="center"/>
        </w:trPr>
        <w:tc>
          <w:tcPr>
            <w:tcW w:w="4248" w:type="dxa"/>
            <w:vMerge/>
            <w:noWrap/>
            <w:hideMark/>
          </w:tcPr>
          <w:p w14:paraId="4FDE8BDD" w14:textId="207D8AB0"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27A8807E"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06562823" w14:textId="54C84DF1"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55</w:t>
            </w:r>
            <w:r>
              <w:rPr>
                <w:rFonts w:ascii="Calibri" w:eastAsia="Times New Roman" w:hAnsi="Calibri" w:cs="Calibri"/>
                <w:color w:val="000000"/>
                <w:sz w:val="16"/>
                <w:szCs w:val="16"/>
                <w:lang w:eastAsia="en-GB"/>
              </w:rPr>
              <w:t xml:space="preserve"> (78.6)</w:t>
            </w:r>
          </w:p>
        </w:tc>
        <w:tc>
          <w:tcPr>
            <w:tcW w:w="1276" w:type="dxa"/>
            <w:noWrap/>
            <w:hideMark/>
          </w:tcPr>
          <w:p w14:paraId="052BB893" w14:textId="035D672A"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15</w:t>
            </w:r>
            <w:r>
              <w:rPr>
                <w:rFonts w:ascii="Calibri" w:eastAsia="Times New Roman" w:hAnsi="Calibri" w:cs="Calibri"/>
                <w:color w:val="000000"/>
                <w:sz w:val="16"/>
                <w:szCs w:val="16"/>
                <w:lang w:eastAsia="en-GB"/>
              </w:rPr>
              <w:t xml:space="preserve"> (21.4)</w:t>
            </w:r>
          </w:p>
        </w:tc>
        <w:tc>
          <w:tcPr>
            <w:tcW w:w="1134" w:type="dxa"/>
            <w:vMerge/>
            <w:noWrap/>
            <w:hideMark/>
          </w:tcPr>
          <w:p w14:paraId="3D7C68EF" w14:textId="3B54579A"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3C596E53" w14:textId="77777777" w:rsidTr="36409090">
        <w:trPr>
          <w:trHeight w:val="170"/>
          <w:jc w:val="center"/>
        </w:trPr>
        <w:tc>
          <w:tcPr>
            <w:tcW w:w="4248" w:type="dxa"/>
            <w:vMerge/>
            <w:noWrap/>
            <w:hideMark/>
          </w:tcPr>
          <w:p w14:paraId="6E2F2249" w14:textId="218EC689"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21434E2C"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2E1AA702" w14:textId="4E4B906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135</w:t>
            </w:r>
            <w:r>
              <w:rPr>
                <w:rFonts w:ascii="Calibri" w:eastAsia="Times New Roman" w:hAnsi="Calibri" w:cs="Calibri"/>
                <w:color w:val="000000"/>
                <w:sz w:val="16"/>
                <w:szCs w:val="16"/>
                <w:lang w:eastAsia="en-GB"/>
              </w:rPr>
              <w:t xml:space="preserve"> (79.4)</w:t>
            </w:r>
          </w:p>
        </w:tc>
        <w:tc>
          <w:tcPr>
            <w:tcW w:w="1276" w:type="dxa"/>
            <w:noWrap/>
            <w:hideMark/>
          </w:tcPr>
          <w:p w14:paraId="57560C6E" w14:textId="2D93EE4C"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35</w:t>
            </w:r>
            <w:r>
              <w:rPr>
                <w:rFonts w:ascii="Calibri" w:eastAsia="Times New Roman" w:hAnsi="Calibri" w:cs="Calibri"/>
                <w:color w:val="000000"/>
                <w:sz w:val="16"/>
                <w:szCs w:val="16"/>
                <w:lang w:eastAsia="en-GB"/>
              </w:rPr>
              <w:t xml:space="preserve"> (20.6)</w:t>
            </w:r>
          </w:p>
        </w:tc>
        <w:tc>
          <w:tcPr>
            <w:tcW w:w="1134" w:type="dxa"/>
            <w:noWrap/>
            <w:hideMark/>
          </w:tcPr>
          <w:p w14:paraId="5F46DB56" w14:textId="578ABFC2"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0.821</w:t>
            </w:r>
          </w:p>
        </w:tc>
      </w:tr>
      <w:tr w:rsidR="001E3192" w:rsidRPr="00330B3B" w14:paraId="36888F3D" w14:textId="77777777" w:rsidTr="36409090">
        <w:trPr>
          <w:trHeight w:val="20"/>
          <w:jc w:val="center"/>
        </w:trPr>
        <w:tc>
          <w:tcPr>
            <w:tcW w:w="4248" w:type="dxa"/>
            <w:vMerge w:val="restart"/>
            <w:noWrap/>
            <w:hideMark/>
          </w:tcPr>
          <w:p w14:paraId="4DEA3833" w14:textId="508CBFDD"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11) </w:t>
            </w:r>
            <w:r w:rsidRPr="00C6498F">
              <w:rPr>
                <w:rFonts w:ascii="Calibri" w:eastAsia="Times New Roman" w:hAnsi="Calibri" w:cs="Calibri"/>
                <w:color w:val="000000"/>
                <w:sz w:val="16"/>
                <w:szCs w:val="16"/>
                <w:lang w:eastAsia="en-GB"/>
              </w:rPr>
              <w:t>I am worried about the security of data and the danger of improper sharing of information</w:t>
            </w:r>
            <w:r>
              <w:rPr>
                <w:rFonts w:ascii="Calibri" w:eastAsia="Times New Roman" w:hAnsi="Calibri" w:cs="Calibri"/>
                <w:color w:val="000000"/>
                <w:sz w:val="16"/>
                <w:szCs w:val="16"/>
                <w:lang w:eastAsia="en-GB"/>
              </w:rPr>
              <w:t>.</w:t>
            </w:r>
          </w:p>
        </w:tc>
        <w:tc>
          <w:tcPr>
            <w:tcW w:w="709" w:type="dxa"/>
            <w:noWrap/>
            <w:hideMark/>
          </w:tcPr>
          <w:p w14:paraId="2D7AD266"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5BE64CAC" w14:textId="54D20404"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66</w:t>
            </w:r>
            <w:r>
              <w:rPr>
                <w:rFonts w:ascii="Calibri" w:eastAsia="Times New Roman" w:hAnsi="Calibri" w:cs="Calibri"/>
                <w:color w:val="000000"/>
                <w:sz w:val="16"/>
                <w:szCs w:val="16"/>
                <w:lang w:eastAsia="en-GB"/>
              </w:rPr>
              <w:t xml:space="preserve"> (66.0)</w:t>
            </w:r>
          </w:p>
        </w:tc>
        <w:tc>
          <w:tcPr>
            <w:tcW w:w="1276" w:type="dxa"/>
            <w:noWrap/>
            <w:hideMark/>
          </w:tcPr>
          <w:p w14:paraId="19BA40B1" w14:textId="1D664909"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34</w:t>
            </w:r>
            <w:r>
              <w:rPr>
                <w:rFonts w:ascii="Calibri" w:eastAsia="Times New Roman" w:hAnsi="Calibri" w:cs="Calibri"/>
                <w:color w:val="000000"/>
                <w:sz w:val="16"/>
                <w:szCs w:val="16"/>
                <w:lang w:eastAsia="en-GB"/>
              </w:rPr>
              <w:t xml:space="preserve"> (34.0)</w:t>
            </w:r>
          </w:p>
        </w:tc>
        <w:tc>
          <w:tcPr>
            <w:tcW w:w="1134" w:type="dxa"/>
            <w:vMerge w:val="restart"/>
            <w:noWrap/>
            <w:hideMark/>
          </w:tcPr>
          <w:p w14:paraId="423997FD" w14:textId="29DE17C0"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 </w:t>
            </w:r>
          </w:p>
        </w:tc>
      </w:tr>
      <w:tr w:rsidR="001E3192" w:rsidRPr="00330B3B" w14:paraId="2BD13511" w14:textId="77777777" w:rsidTr="36409090">
        <w:trPr>
          <w:trHeight w:val="20"/>
          <w:jc w:val="center"/>
        </w:trPr>
        <w:tc>
          <w:tcPr>
            <w:tcW w:w="4248" w:type="dxa"/>
            <w:vMerge/>
            <w:noWrap/>
            <w:hideMark/>
          </w:tcPr>
          <w:p w14:paraId="2FEBF832" w14:textId="7DA8E056"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A9D5243"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50697B60" w14:textId="3742BA7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54</w:t>
            </w:r>
            <w:r>
              <w:rPr>
                <w:rFonts w:ascii="Calibri" w:eastAsia="Times New Roman" w:hAnsi="Calibri" w:cs="Calibri"/>
                <w:color w:val="000000"/>
                <w:sz w:val="16"/>
                <w:szCs w:val="16"/>
                <w:lang w:eastAsia="en-GB"/>
              </w:rPr>
              <w:t xml:space="preserve"> (77.1)</w:t>
            </w:r>
          </w:p>
        </w:tc>
        <w:tc>
          <w:tcPr>
            <w:tcW w:w="1276" w:type="dxa"/>
            <w:noWrap/>
            <w:hideMark/>
          </w:tcPr>
          <w:p w14:paraId="4A3BD31F" w14:textId="7724A01D"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16</w:t>
            </w:r>
            <w:r>
              <w:rPr>
                <w:rFonts w:ascii="Calibri" w:eastAsia="Times New Roman" w:hAnsi="Calibri" w:cs="Calibri"/>
                <w:color w:val="000000"/>
                <w:sz w:val="16"/>
                <w:szCs w:val="16"/>
                <w:lang w:eastAsia="en-GB"/>
              </w:rPr>
              <w:t xml:space="preserve"> (22.9)</w:t>
            </w:r>
          </w:p>
        </w:tc>
        <w:tc>
          <w:tcPr>
            <w:tcW w:w="1134" w:type="dxa"/>
            <w:vMerge/>
            <w:noWrap/>
            <w:hideMark/>
          </w:tcPr>
          <w:p w14:paraId="6A787FF1" w14:textId="796F75AE"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14C72D37" w14:textId="77777777" w:rsidTr="36409090">
        <w:trPr>
          <w:trHeight w:val="20"/>
          <w:jc w:val="center"/>
        </w:trPr>
        <w:tc>
          <w:tcPr>
            <w:tcW w:w="4248" w:type="dxa"/>
            <w:vMerge/>
            <w:noWrap/>
            <w:hideMark/>
          </w:tcPr>
          <w:p w14:paraId="13ED91F7" w14:textId="66AC7A51"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1C055A78"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146C67BE" w14:textId="2F11AF1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120</w:t>
            </w:r>
            <w:r>
              <w:rPr>
                <w:rFonts w:ascii="Calibri" w:eastAsia="Times New Roman" w:hAnsi="Calibri" w:cs="Calibri"/>
                <w:color w:val="000000"/>
                <w:sz w:val="16"/>
                <w:szCs w:val="16"/>
                <w:lang w:eastAsia="en-GB"/>
              </w:rPr>
              <w:t xml:space="preserve"> (70.6)</w:t>
            </w:r>
          </w:p>
        </w:tc>
        <w:tc>
          <w:tcPr>
            <w:tcW w:w="1276" w:type="dxa"/>
            <w:noWrap/>
            <w:hideMark/>
          </w:tcPr>
          <w:p w14:paraId="7F7FDE46" w14:textId="09E84AE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50</w:t>
            </w:r>
            <w:r>
              <w:rPr>
                <w:rFonts w:ascii="Calibri" w:eastAsia="Times New Roman" w:hAnsi="Calibri" w:cs="Calibri"/>
                <w:color w:val="000000"/>
                <w:sz w:val="16"/>
                <w:szCs w:val="16"/>
                <w:lang w:eastAsia="en-GB"/>
              </w:rPr>
              <w:t xml:space="preserve"> (29.4)</w:t>
            </w:r>
          </w:p>
        </w:tc>
        <w:tc>
          <w:tcPr>
            <w:tcW w:w="1134" w:type="dxa"/>
            <w:noWrap/>
            <w:hideMark/>
          </w:tcPr>
          <w:p w14:paraId="1108AC50" w14:textId="75EBF408"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0.117 </w:t>
            </w:r>
          </w:p>
        </w:tc>
      </w:tr>
      <w:tr w:rsidR="001E3192" w:rsidRPr="00330B3B" w14:paraId="20C122C4" w14:textId="77777777" w:rsidTr="36409090">
        <w:trPr>
          <w:trHeight w:val="20"/>
          <w:jc w:val="center"/>
        </w:trPr>
        <w:tc>
          <w:tcPr>
            <w:tcW w:w="4248" w:type="dxa"/>
            <w:vMerge w:val="restart"/>
            <w:noWrap/>
            <w:hideMark/>
          </w:tcPr>
          <w:p w14:paraId="381E5AA4" w14:textId="6DDD51C4" w:rsidR="001E3192" w:rsidRPr="00C6498F" w:rsidRDefault="001E3192" w:rsidP="001E3192">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12) </w:t>
            </w:r>
            <w:r w:rsidRPr="00C6498F">
              <w:rPr>
                <w:rFonts w:ascii="Calibri" w:eastAsia="Times New Roman" w:hAnsi="Calibri" w:cs="Calibri"/>
                <w:color w:val="000000"/>
                <w:sz w:val="16"/>
                <w:szCs w:val="16"/>
                <w:lang w:eastAsia="en-GB"/>
              </w:rPr>
              <w:t xml:space="preserve">I am concerned about the financial costs associated with buying devices to send </w:t>
            </w:r>
            <w:proofErr w:type="spellStart"/>
            <w:r w:rsidRPr="00C6498F">
              <w:rPr>
                <w:rFonts w:ascii="Calibri" w:eastAsia="Times New Roman" w:hAnsi="Calibri" w:cs="Calibri"/>
                <w:color w:val="000000"/>
                <w:sz w:val="16"/>
                <w:szCs w:val="16"/>
                <w:lang w:eastAsia="en-GB"/>
              </w:rPr>
              <w:t>telereferrals</w:t>
            </w:r>
            <w:proofErr w:type="spellEnd"/>
            <w:r w:rsidRPr="00C6498F">
              <w:rPr>
                <w:rFonts w:ascii="Calibri" w:eastAsia="Times New Roman" w:hAnsi="Calibri" w:cs="Calibri"/>
                <w:color w:val="000000"/>
                <w:sz w:val="16"/>
                <w:szCs w:val="16"/>
                <w:lang w:eastAsia="en-GB"/>
              </w:rPr>
              <w:t xml:space="preserve"> or the upkeep of the system.</w:t>
            </w:r>
          </w:p>
        </w:tc>
        <w:tc>
          <w:tcPr>
            <w:tcW w:w="709" w:type="dxa"/>
            <w:noWrap/>
            <w:hideMark/>
          </w:tcPr>
          <w:p w14:paraId="7F88203D"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2019</w:t>
            </w:r>
          </w:p>
        </w:tc>
        <w:tc>
          <w:tcPr>
            <w:tcW w:w="1417" w:type="dxa"/>
            <w:noWrap/>
            <w:hideMark/>
          </w:tcPr>
          <w:p w14:paraId="2449BC1F" w14:textId="70F4F025"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69</w:t>
            </w:r>
            <w:r>
              <w:rPr>
                <w:rFonts w:ascii="Calibri" w:eastAsia="Times New Roman" w:hAnsi="Calibri" w:cs="Calibri"/>
                <w:color w:val="000000"/>
                <w:sz w:val="16"/>
                <w:szCs w:val="16"/>
                <w:lang w:eastAsia="en-GB"/>
              </w:rPr>
              <w:t xml:space="preserve"> (69.0)</w:t>
            </w:r>
          </w:p>
        </w:tc>
        <w:tc>
          <w:tcPr>
            <w:tcW w:w="1276" w:type="dxa"/>
            <w:noWrap/>
            <w:hideMark/>
          </w:tcPr>
          <w:p w14:paraId="39DCC2CB" w14:textId="56E1FAB0"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31</w:t>
            </w:r>
            <w:r>
              <w:rPr>
                <w:rFonts w:ascii="Calibri" w:eastAsia="Times New Roman" w:hAnsi="Calibri" w:cs="Calibri"/>
                <w:color w:val="000000"/>
                <w:sz w:val="16"/>
                <w:szCs w:val="16"/>
                <w:lang w:eastAsia="en-GB"/>
              </w:rPr>
              <w:t xml:space="preserve"> (31.0)</w:t>
            </w:r>
          </w:p>
        </w:tc>
        <w:tc>
          <w:tcPr>
            <w:tcW w:w="1134" w:type="dxa"/>
            <w:vMerge w:val="restart"/>
            <w:noWrap/>
            <w:hideMark/>
          </w:tcPr>
          <w:p w14:paraId="0ADECF3E" w14:textId="21228FD1"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 </w:t>
            </w:r>
          </w:p>
        </w:tc>
      </w:tr>
      <w:tr w:rsidR="001E3192" w:rsidRPr="00330B3B" w14:paraId="7CF007FC" w14:textId="77777777" w:rsidTr="36409090">
        <w:trPr>
          <w:trHeight w:val="20"/>
          <w:jc w:val="center"/>
        </w:trPr>
        <w:tc>
          <w:tcPr>
            <w:tcW w:w="4248" w:type="dxa"/>
            <w:vMerge/>
            <w:noWrap/>
            <w:hideMark/>
          </w:tcPr>
          <w:p w14:paraId="2C5F773F" w14:textId="099D5AF9"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656E6EA5" w14:textId="77777777"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2022</w:t>
            </w:r>
          </w:p>
        </w:tc>
        <w:tc>
          <w:tcPr>
            <w:tcW w:w="1417" w:type="dxa"/>
            <w:noWrap/>
            <w:hideMark/>
          </w:tcPr>
          <w:p w14:paraId="5897AA13" w14:textId="047A3941"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67</w:t>
            </w:r>
            <w:r>
              <w:rPr>
                <w:rFonts w:ascii="Calibri" w:eastAsia="Times New Roman" w:hAnsi="Calibri" w:cs="Calibri"/>
                <w:color w:val="000000"/>
                <w:sz w:val="16"/>
                <w:szCs w:val="16"/>
                <w:lang w:eastAsia="en-GB"/>
              </w:rPr>
              <w:t xml:space="preserve"> (95.7)</w:t>
            </w:r>
          </w:p>
        </w:tc>
        <w:tc>
          <w:tcPr>
            <w:tcW w:w="1276" w:type="dxa"/>
            <w:noWrap/>
            <w:hideMark/>
          </w:tcPr>
          <w:p w14:paraId="224CA9C8" w14:textId="6E088B5A"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w:t>
            </w:r>
            <w:r>
              <w:rPr>
                <w:rFonts w:ascii="Calibri" w:eastAsia="Times New Roman" w:hAnsi="Calibri" w:cs="Calibri"/>
                <w:color w:val="000000"/>
                <w:sz w:val="16"/>
                <w:szCs w:val="16"/>
                <w:lang w:eastAsia="en-GB"/>
              </w:rPr>
              <w:t xml:space="preserve"> (4.3)</w:t>
            </w:r>
          </w:p>
        </w:tc>
        <w:tc>
          <w:tcPr>
            <w:tcW w:w="1134" w:type="dxa"/>
            <w:vMerge/>
            <w:noWrap/>
            <w:hideMark/>
          </w:tcPr>
          <w:p w14:paraId="7245DB03" w14:textId="17FE2B7C" w:rsidR="001E3192" w:rsidRPr="00AA48DD" w:rsidRDefault="001E3192" w:rsidP="001E3192">
            <w:pPr>
              <w:jc w:val="right"/>
              <w:rPr>
                <w:rFonts w:ascii="Calibri" w:eastAsia="Times New Roman" w:hAnsi="Calibri" w:cs="Calibri"/>
                <w:b/>
                <w:bCs/>
                <w:color w:val="000000"/>
                <w:sz w:val="16"/>
                <w:szCs w:val="16"/>
                <w:lang w:eastAsia="en-GB"/>
              </w:rPr>
            </w:pPr>
          </w:p>
        </w:tc>
      </w:tr>
      <w:tr w:rsidR="001E3192" w:rsidRPr="00330B3B" w14:paraId="65BA032C" w14:textId="77777777" w:rsidTr="36409090">
        <w:trPr>
          <w:trHeight w:val="20"/>
          <w:jc w:val="center"/>
        </w:trPr>
        <w:tc>
          <w:tcPr>
            <w:tcW w:w="4248" w:type="dxa"/>
            <w:vMerge/>
            <w:noWrap/>
            <w:hideMark/>
          </w:tcPr>
          <w:p w14:paraId="1F6F3F2B" w14:textId="4157F230" w:rsidR="001E3192" w:rsidRPr="00C6498F" w:rsidRDefault="001E3192" w:rsidP="001E3192">
            <w:pPr>
              <w:rPr>
                <w:rFonts w:ascii="Calibri" w:eastAsia="Times New Roman" w:hAnsi="Calibri" w:cs="Calibri"/>
                <w:color w:val="000000"/>
                <w:sz w:val="16"/>
                <w:szCs w:val="16"/>
                <w:lang w:eastAsia="en-GB"/>
              </w:rPr>
            </w:pPr>
          </w:p>
        </w:tc>
        <w:tc>
          <w:tcPr>
            <w:tcW w:w="709" w:type="dxa"/>
            <w:noWrap/>
            <w:hideMark/>
          </w:tcPr>
          <w:p w14:paraId="09D70866" w14:textId="77777777"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Total</w:t>
            </w:r>
          </w:p>
        </w:tc>
        <w:tc>
          <w:tcPr>
            <w:tcW w:w="1417" w:type="dxa"/>
            <w:noWrap/>
            <w:hideMark/>
          </w:tcPr>
          <w:p w14:paraId="1969F83D" w14:textId="4FBD23AC"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136</w:t>
            </w:r>
            <w:r>
              <w:rPr>
                <w:rFonts w:ascii="Calibri" w:eastAsia="Times New Roman" w:hAnsi="Calibri" w:cs="Calibri"/>
                <w:color w:val="000000"/>
                <w:sz w:val="16"/>
                <w:szCs w:val="16"/>
                <w:lang w:eastAsia="en-GB"/>
              </w:rPr>
              <w:t xml:space="preserve"> (80.0)</w:t>
            </w:r>
          </w:p>
        </w:tc>
        <w:tc>
          <w:tcPr>
            <w:tcW w:w="1276" w:type="dxa"/>
            <w:noWrap/>
            <w:hideMark/>
          </w:tcPr>
          <w:p w14:paraId="6B802CE6" w14:textId="4B858DB3" w:rsidR="001E3192" w:rsidRPr="00C6498F" w:rsidRDefault="001E3192" w:rsidP="001E3192">
            <w:pPr>
              <w:jc w:val="right"/>
              <w:rPr>
                <w:rFonts w:ascii="Calibri" w:eastAsia="Times New Roman" w:hAnsi="Calibri" w:cs="Calibri"/>
                <w:color w:val="000000"/>
                <w:sz w:val="16"/>
                <w:szCs w:val="16"/>
                <w:lang w:eastAsia="en-GB"/>
              </w:rPr>
            </w:pPr>
            <w:r w:rsidRPr="00C6498F">
              <w:rPr>
                <w:rFonts w:ascii="Calibri" w:eastAsia="Times New Roman" w:hAnsi="Calibri" w:cs="Calibri"/>
                <w:color w:val="000000"/>
                <w:sz w:val="16"/>
                <w:szCs w:val="16"/>
                <w:lang w:eastAsia="en-GB"/>
              </w:rPr>
              <w:t>34</w:t>
            </w:r>
            <w:r>
              <w:rPr>
                <w:rFonts w:ascii="Calibri" w:eastAsia="Times New Roman" w:hAnsi="Calibri" w:cs="Calibri"/>
                <w:color w:val="000000"/>
                <w:sz w:val="16"/>
                <w:szCs w:val="16"/>
                <w:lang w:eastAsia="en-GB"/>
              </w:rPr>
              <w:t xml:space="preserve"> (20.0)</w:t>
            </w:r>
          </w:p>
        </w:tc>
        <w:tc>
          <w:tcPr>
            <w:tcW w:w="1134" w:type="dxa"/>
            <w:noWrap/>
            <w:hideMark/>
          </w:tcPr>
          <w:p w14:paraId="5EF7DBD9" w14:textId="3D7DD4D1" w:rsidR="001E3192" w:rsidRPr="00AA48DD" w:rsidRDefault="001E3192" w:rsidP="001E3192">
            <w:pPr>
              <w:jc w:val="right"/>
              <w:rPr>
                <w:rFonts w:ascii="Calibri" w:eastAsia="Times New Roman" w:hAnsi="Calibri" w:cs="Calibri"/>
                <w:b/>
                <w:bCs/>
                <w:color w:val="000000"/>
                <w:sz w:val="16"/>
                <w:szCs w:val="16"/>
                <w:lang w:eastAsia="en-GB"/>
              </w:rPr>
            </w:pPr>
            <w:r w:rsidRPr="00AA48DD">
              <w:rPr>
                <w:rFonts w:ascii="Calibri" w:eastAsia="Times New Roman" w:hAnsi="Calibri" w:cs="Calibri"/>
                <w:b/>
                <w:bCs/>
                <w:color w:val="000000"/>
                <w:sz w:val="16"/>
                <w:szCs w:val="16"/>
                <w:lang w:eastAsia="en-GB"/>
              </w:rPr>
              <w:t>&lt;0.001 </w:t>
            </w:r>
          </w:p>
        </w:tc>
      </w:tr>
    </w:tbl>
    <w:p w14:paraId="002CD37B" w14:textId="51840299" w:rsidR="008A7B12" w:rsidRDefault="008A7B12" w:rsidP="13E439A5"/>
    <w:p w14:paraId="20AE6336" w14:textId="00642462" w:rsidR="553EE29A" w:rsidRDefault="553EE29A">
      <w:r>
        <w:br w:type="page"/>
      </w:r>
    </w:p>
    <w:p w14:paraId="5B8C18ED" w14:textId="642AE87C" w:rsidR="29927AD3" w:rsidRDefault="714D0DF3" w:rsidP="714D0DF3">
      <w:pPr>
        <w:jc w:val="both"/>
        <w:rPr>
          <w:rFonts w:ascii="Calibri" w:eastAsia="Calibri" w:hAnsi="Calibri" w:cs="Calibri"/>
          <w:color w:val="000000" w:themeColor="text1"/>
        </w:rPr>
      </w:pPr>
      <w:r w:rsidRPr="714D0DF3">
        <w:rPr>
          <w:rFonts w:ascii="Calibri" w:eastAsia="Calibri" w:hAnsi="Calibri" w:cs="Calibri"/>
          <w:i/>
          <w:iCs/>
          <w:color w:val="000000" w:themeColor="text1"/>
        </w:rPr>
        <w:lastRenderedPageBreak/>
        <w:t>Single most important barrier to implementation of a telemedicine system</w:t>
      </w:r>
    </w:p>
    <w:p w14:paraId="16A50823" w14:textId="623227CF" w:rsidR="008A7B12" w:rsidRPr="00A250D5" w:rsidRDefault="36409090" w:rsidP="714D0DF3">
      <w:pPr>
        <w:ind w:firstLine="720"/>
        <w:jc w:val="both"/>
        <w:rPr>
          <w:rFonts w:ascii="Calibri" w:eastAsia="Calibri" w:hAnsi="Calibri" w:cs="Calibri"/>
          <w:color w:val="000000" w:themeColor="text1"/>
        </w:rPr>
      </w:pPr>
      <w:r w:rsidRPr="36409090">
        <w:rPr>
          <w:rFonts w:ascii="Calibri" w:eastAsia="Calibri" w:hAnsi="Calibri" w:cs="Calibri"/>
          <w:color w:val="000000" w:themeColor="text1"/>
        </w:rPr>
        <w:t xml:space="preserve">In the second part of the questionnaire, respondents were asked to select their </w:t>
      </w:r>
      <w:r w:rsidRPr="36409090">
        <w:rPr>
          <w:rFonts w:ascii="Calibri" w:eastAsia="Calibri" w:hAnsi="Calibri" w:cs="Calibri"/>
          <w:i/>
          <w:iCs/>
          <w:color w:val="000000" w:themeColor="text1"/>
        </w:rPr>
        <w:t>single, greatest perceived barrier to telemedicine system implementation</w:t>
      </w:r>
      <w:r w:rsidRPr="36409090">
        <w:rPr>
          <w:rFonts w:ascii="Calibri" w:eastAsia="Calibri" w:hAnsi="Calibri" w:cs="Calibri"/>
          <w:color w:val="000000" w:themeColor="text1"/>
        </w:rPr>
        <w:t xml:space="preserve"> (Table 3 and Figure 1). In both years, </w:t>
      </w:r>
      <w:r w:rsidRPr="36409090">
        <w:rPr>
          <w:rFonts w:ascii="Calibri" w:eastAsia="Calibri" w:hAnsi="Calibri" w:cs="Calibri"/>
          <w:i/>
          <w:iCs/>
          <w:color w:val="000000" w:themeColor="text1"/>
        </w:rPr>
        <w:t>poor access to reliable Wi-Fi</w:t>
      </w:r>
      <w:r w:rsidRPr="36409090">
        <w:rPr>
          <w:rFonts w:ascii="Calibri" w:eastAsia="Calibri" w:hAnsi="Calibri" w:cs="Calibri"/>
          <w:color w:val="000000" w:themeColor="text1"/>
        </w:rPr>
        <w:t xml:space="preserve"> (statement 6) was rated as the greatest perceived barrier, with no significant difference in its ranking between the two time periods (p=0.944). Concerns about the </w:t>
      </w:r>
      <w:r w:rsidRPr="36409090">
        <w:rPr>
          <w:rFonts w:ascii="Calibri" w:eastAsia="Calibri" w:hAnsi="Calibri" w:cs="Calibri"/>
          <w:i/>
          <w:iCs/>
          <w:color w:val="000000" w:themeColor="text1"/>
        </w:rPr>
        <w:t>inadequate numbers of devices within the department</w:t>
      </w:r>
      <w:r w:rsidRPr="36409090">
        <w:rPr>
          <w:rFonts w:ascii="Calibri" w:eastAsia="Calibri" w:hAnsi="Calibri" w:cs="Calibri"/>
          <w:color w:val="000000" w:themeColor="text1"/>
        </w:rPr>
        <w:t xml:space="preserve"> (statement 7) and the need for </w:t>
      </w:r>
      <w:r w:rsidRPr="36409090">
        <w:rPr>
          <w:rFonts w:ascii="Calibri" w:eastAsia="Calibri" w:hAnsi="Calibri" w:cs="Calibri"/>
          <w:i/>
          <w:iCs/>
          <w:color w:val="000000" w:themeColor="text1"/>
        </w:rPr>
        <w:t>duplication of notes for the referral</w:t>
      </w:r>
      <w:r w:rsidRPr="36409090">
        <w:rPr>
          <w:rFonts w:ascii="Calibri" w:eastAsia="Calibri" w:hAnsi="Calibri" w:cs="Calibri"/>
          <w:color w:val="000000" w:themeColor="text1"/>
        </w:rPr>
        <w:t xml:space="preserve"> (statement 9) were identified as the most concerning barrier by the next highest numbers of clinicians. The proportion of clinicians identifying these two statements as their greatest concerns increased in 2022 compared to 2019, however the changes between the years were not significant (p=0.453 and p=0.575, respectively).</w:t>
      </w:r>
    </w:p>
    <w:p w14:paraId="55456C9B" w14:textId="476791A7" w:rsidR="008A7B12" w:rsidRDefault="714D0DF3" w:rsidP="714D0DF3">
      <w:pPr>
        <w:ind w:firstLine="720"/>
        <w:jc w:val="both"/>
      </w:pPr>
      <w:r w:rsidRPr="714D0DF3">
        <w:rPr>
          <w:rFonts w:ascii="Calibri" w:eastAsia="Calibri" w:hAnsi="Calibri" w:cs="Calibri"/>
          <w:color w:val="000000" w:themeColor="text1"/>
        </w:rPr>
        <w:t xml:space="preserve">It was also noted that there was a statistically significant drop in </w:t>
      </w:r>
      <w:r w:rsidRPr="714D0DF3">
        <w:rPr>
          <w:rFonts w:ascii="Calibri" w:eastAsia="Calibri" w:hAnsi="Calibri" w:cs="Calibri"/>
          <w:i/>
          <w:iCs/>
          <w:color w:val="000000" w:themeColor="text1"/>
        </w:rPr>
        <w:t>financial costs</w:t>
      </w:r>
      <w:r w:rsidRPr="714D0DF3">
        <w:rPr>
          <w:rFonts w:ascii="Calibri" w:eastAsia="Calibri" w:hAnsi="Calibri" w:cs="Calibri"/>
          <w:color w:val="000000" w:themeColor="text1"/>
        </w:rPr>
        <w:t xml:space="preserve"> (statement 12) being ranked as the top barrier to implementation of a burn telemedicine system (11% in 2019 vs 0% in 2022, p=0.004), whilst there was also a statistically significant increase in the number of clinicians considering the excessive </w:t>
      </w:r>
      <w:r w:rsidRPr="714D0DF3">
        <w:rPr>
          <w:rFonts w:ascii="Calibri" w:eastAsia="Calibri" w:hAnsi="Calibri" w:cs="Calibri"/>
          <w:i/>
          <w:iCs/>
          <w:color w:val="000000" w:themeColor="text1"/>
        </w:rPr>
        <w:t>reliance on the clinician’s ability to communicate succinctly to the referral team</w:t>
      </w:r>
      <w:r w:rsidRPr="714D0DF3">
        <w:rPr>
          <w:rFonts w:ascii="Calibri" w:eastAsia="Calibri" w:hAnsi="Calibri" w:cs="Calibri"/>
          <w:color w:val="000000" w:themeColor="text1"/>
        </w:rPr>
        <w:t xml:space="preserve"> (statement 4) as the greatest issue (1% in 2019 vs 7.1% in 2022, p=0.033). </w:t>
      </w:r>
    </w:p>
    <w:p w14:paraId="72A86C30" w14:textId="4D15810E" w:rsidR="008A7B12" w:rsidRDefault="714D0DF3" w:rsidP="714D0DF3">
      <w:pPr>
        <w:ind w:firstLine="720"/>
        <w:jc w:val="both"/>
        <w:rPr>
          <w:rFonts w:ascii="Calibri" w:eastAsia="Calibri" w:hAnsi="Calibri" w:cs="Calibri"/>
          <w:color w:val="000000" w:themeColor="text1"/>
        </w:rPr>
      </w:pPr>
      <w:r w:rsidRPr="714D0DF3">
        <w:rPr>
          <w:rFonts w:ascii="Calibri" w:eastAsia="Calibri" w:hAnsi="Calibri" w:cs="Calibri"/>
          <w:color w:val="000000" w:themeColor="text1"/>
        </w:rPr>
        <w:t>In both years, there were a small minority of respondents who chose an alternative barrier to implementation that was not one of the twelve in the pre-defined list.  This was detailed as “</w:t>
      </w:r>
      <w:r w:rsidRPr="714D0DF3">
        <w:rPr>
          <w:rFonts w:ascii="Calibri" w:eastAsia="Calibri" w:hAnsi="Calibri" w:cs="Calibri"/>
          <w:i/>
          <w:iCs/>
          <w:color w:val="000000" w:themeColor="text1"/>
        </w:rPr>
        <w:t>other</w:t>
      </w:r>
      <w:r w:rsidRPr="714D0DF3">
        <w:rPr>
          <w:rFonts w:ascii="Calibri" w:eastAsia="Calibri" w:hAnsi="Calibri" w:cs="Calibri"/>
          <w:color w:val="000000" w:themeColor="text1"/>
        </w:rPr>
        <w:t xml:space="preserve">” and is detailed in the last row of Table 3.  It did not change in terms of the proportion of respondents who selected it across both time periods (p= 0.838).  Barriers to implementation volunteered in this category included issues with patient consent, appropriate IT support, resistance to change in the clinical environment, and difficulties with communication between care-giving organizations.  </w:t>
      </w:r>
    </w:p>
    <w:p w14:paraId="62584B15" w14:textId="6DA91569" w:rsidR="69B24B60" w:rsidRPr="00AB7CE4" w:rsidRDefault="69B24B60" w:rsidP="553EE29A">
      <w:r>
        <w:br w:type="page"/>
      </w:r>
      <w:r w:rsidR="553EE29A" w:rsidRPr="553EE29A">
        <w:rPr>
          <w:i/>
          <w:iCs/>
          <w:color w:val="808080" w:themeColor="background1" w:themeShade="80"/>
          <w:sz w:val="18"/>
          <w:szCs w:val="18"/>
        </w:rPr>
        <w:lastRenderedPageBreak/>
        <w:t xml:space="preserve">Table 3: comparison of the pre-selected barrier statements to the implementation of a burn telemedicine system across ED and MIU departments in the </w:t>
      </w:r>
      <w:proofErr w:type="gramStart"/>
      <w:r w:rsidR="553EE29A" w:rsidRPr="553EE29A">
        <w:rPr>
          <w:i/>
          <w:iCs/>
          <w:color w:val="808080" w:themeColor="background1" w:themeShade="80"/>
          <w:sz w:val="18"/>
          <w:szCs w:val="18"/>
        </w:rPr>
        <w:t>South West</w:t>
      </w:r>
      <w:proofErr w:type="gramEnd"/>
      <w:r w:rsidR="553EE29A" w:rsidRPr="553EE29A">
        <w:rPr>
          <w:i/>
          <w:iCs/>
          <w:color w:val="808080" w:themeColor="background1" w:themeShade="80"/>
          <w:sz w:val="18"/>
          <w:szCs w:val="18"/>
        </w:rPr>
        <w:t xml:space="preserve"> UK, ranked by each respondent </w:t>
      </w:r>
      <w:r w:rsidR="553EE29A" w:rsidRPr="553EE29A">
        <w:rPr>
          <w:i/>
          <w:iCs/>
          <w:color w:val="808080" w:themeColor="background1" w:themeShade="80"/>
          <w:sz w:val="18"/>
          <w:szCs w:val="18"/>
          <w:u w:val="single"/>
        </w:rPr>
        <w:t>as the single, greatest perceived barrier</w:t>
      </w:r>
      <w:r w:rsidR="553EE29A" w:rsidRPr="553EE29A">
        <w:rPr>
          <w:i/>
          <w:iCs/>
          <w:color w:val="808080" w:themeColor="background1" w:themeShade="80"/>
          <w:sz w:val="18"/>
          <w:szCs w:val="18"/>
        </w:rPr>
        <w:t xml:space="preserve"> to system implementation in the 2019 and 2022 questionnaires. Year columns give the absolute number of respondents in each category with the percentage given in parentheses. The ‘other’ category in the last row were barriers to implementation that were volunteered as the most pre-eminent by a given respondent but were not one of the pre-selected </w:t>
      </w:r>
      <w:proofErr w:type="gramStart"/>
      <w:r w:rsidR="553EE29A" w:rsidRPr="553EE29A">
        <w:rPr>
          <w:i/>
          <w:iCs/>
          <w:color w:val="808080" w:themeColor="background1" w:themeShade="80"/>
          <w:sz w:val="18"/>
          <w:szCs w:val="18"/>
        </w:rPr>
        <w:t>list</w:t>
      </w:r>
      <w:proofErr w:type="gramEnd"/>
      <w:r w:rsidR="553EE29A" w:rsidRPr="553EE29A">
        <w:rPr>
          <w:i/>
          <w:iCs/>
          <w:color w:val="808080" w:themeColor="background1" w:themeShade="80"/>
          <w:sz w:val="18"/>
          <w:szCs w:val="18"/>
        </w:rPr>
        <w:t>.</w:t>
      </w:r>
    </w:p>
    <w:tbl>
      <w:tblPr>
        <w:tblStyle w:val="TableGrid"/>
        <w:tblW w:w="9350" w:type="dxa"/>
        <w:jc w:val="center"/>
        <w:tblLook w:val="04A0" w:firstRow="1" w:lastRow="0" w:firstColumn="1" w:lastColumn="0" w:noHBand="0" w:noVBand="1"/>
      </w:tblPr>
      <w:tblGrid>
        <w:gridCol w:w="4620"/>
        <w:gridCol w:w="720"/>
        <w:gridCol w:w="1545"/>
        <w:gridCol w:w="1264"/>
        <w:gridCol w:w="1201"/>
      </w:tblGrid>
      <w:tr w:rsidR="005B6EAB" w:rsidRPr="00AA48DD" w14:paraId="7E125BD8" w14:textId="77777777" w:rsidTr="29927AD3">
        <w:trPr>
          <w:trHeight w:val="320"/>
          <w:jc w:val="center"/>
        </w:trPr>
        <w:tc>
          <w:tcPr>
            <w:tcW w:w="4620" w:type="dxa"/>
            <w:noWrap/>
            <w:hideMark/>
          </w:tcPr>
          <w:p w14:paraId="1CE76981" w14:textId="77777777" w:rsidR="002417F1" w:rsidRPr="00AA48DD" w:rsidRDefault="002417F1" w:rsidP="0019299E">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Statement</w:t>
            </w:r>
          </w:p>
        </w:tc>
        <w:tc>
          <w:tcPr>
            <w:tcW w:w="720" w:type="dxa"/>
            <w:noWrap/>
            <w:hideMark/>
          </w:tcPr>
          <w:p w14:paraId="74C73C3F"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Year</w:t>
            </w:r>
          </w:p>
        </w:tc>
        <w:tc>
          <w:tcPr>
            <w:tcW w:w="1545" w:type="dxa"/>
            <w:noWrap/>
            <w:hideMark/>
          </w:tcPr>
          <w:p w14:paraId="1A5F3A8B" w14:textId="4EC94E18" w:rsidR="002417F1" w:rsidRPr="00AA48DD" w:rsidRDefault="29927AD3" w:rsidP="29927AD3">
            <w:pPr>
              <w:jc w:val="right"/>
              <w:rPr>
                <w:rFonts w:ascii="Calibri" w:eastAsia="Times New Roman" w:hAnsi="Calibri" w:cs="Calibri"/>
                <w:b/>
                <w:bCs/>
                <w:color w:val="000000"/>
                <w:sz w:val="18"/>
                <w:szCs w:val="18"/>
                <w:vertAlign w:val="superscript"/>
                <w:lang w:eastAsia="en-GB"/>
              </w:rPr>
            </w:pPr>
            <w:r w:rsidRPr="29927AD3">
              <w:rPr>
                <w:rFonts w:ascii="Calibri" w:eastAsia="Times New Roman" w:hAnsi="Calibri" w:cs="Calibri"/>
                <w:b/>
                <w:bCs/>
                <w:color w:val="000000" w:themeColor="text1"/>
                <w:sz w:val="18"/>
                <w:szCs w:val="18"/>
                <w:lang w:eastAsia="en-GB"/>
              </w:rPr>
              <w:t>Disagree: N (%)</w:t>
            </w:r>
          </w:p>
        </w:tc>
        <w:tc>
          <w:tcPr>
            <w:tcW w:w="1264" w:type="dxa"/>
            <w:noWrap/>
            <w:hideMark/>
          </w:tcPr>
          <w:p w14:paraId="3C874E85" w14:textId="48B28E46"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color w:val="000000" w:themeColor="text1"/>
                <w:sz w:val="18"/>
                <w:szCs w:val="18"/>
                <w:lang w:eastAsia="en-GB"/>
              </w:rPr>
              <w:t>Agree</w:t>
            </w:r>
            <w:r w:rsidR="005B6EAB" w:rsidRPr="00AA48DD">
              <w:rPr>
                <w:rFonts w:ascii="Calibri" w:eastAsia="Times New Roman" w:hAnsi="Calibri" w:cs="Calibri"/>
                <w:b/>
                <w:color w:val="000000" w:themeColor="text1"/>
                <w:sz w:val="18"/>
                <w:szCs w:val="18"/>
                <w:lang w:eastAsia="en-GB"/>
              </w:rPr>
              <w:t>:</w:t>
            </w:r>
            <w:r w:rsidRPr="00AA48DD">
              <w:rPr>
                <w:rFonts w:ascii="Calibri" w:eastAsia="Times New Roman" w:hAnsi="Calibri" w:cs="Calibri"/>
                <w:b/>
                <w:color w:val="000000" w:themeColor="text1"/>
                <w:sz w:val="18"/>
                <w:szCs w:val="18"/>
                <w:lang w:eastAsia="en-GB"/>
              </w:rPr>
              <w:t xml:space="preserve"> N</w:t>
            </w:r>
            <w:r w:rsidR="005B6EAB" w:rsidRPr="00AA48DD">
              <w:rPr>
                <w:rFonts w:ascii="Calibri" w:eastAsia="Times New Roman" w:hAnsi="Calibri" w:cs="Calibri"/>
                <w:b/>
                <w:color w:val="000000" w:themeColor="text1"/>
                <w:sz w:val="18"/>
                <w:szCs w:val="18"/>
                <w:lang w:eastAsia="en-GB"/>
              </w:rPr>
              <w:t xml:space="preserve"> (%)</w:t>
            </w:r>
          </w:p>
        </w:tc>
        <w:tc>
          <w:tcPr>
            <w:tcW w:w="1201" w:type="dxa"/>
            <w:noWrap/>
            <w:hideMark/>
          </w:tcPr>
          <w:p w14:paraId="71F92521" w14:textId="7777777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P-value</w:t>
            </w:r>
          </w:p>
        </w:tc>
      </w:tr>
      <w:tr w:rsidR="005B6EAB" w:rsidRPr="00AA48DD" w14:paraId="7576C6E9" w14:textId="77777777" w:rsidTr="29927AD3">
        <w:trPr>
          <w:trHeight w:val="300"/>
          <w:jc w:val="center"/>
        </w:trPr>
        <w:tc>
          <w:tcPr>
            <w:tcW w:w="4620" w:type="dxa"/>
            <w:vMerge w:val="restart"/>
            <w:noWrap/>
            <w:hideMark/>
          </w:tcPr>
          <w:p w14:paraId="7A6A6EA3" w14:textId="6FEC2764" w:rsidR="002417F1" w:rsidRPr="00AA48DD" w:rsidRDefault="29927AD3" w:rsidP="005F3B05">
            <w:pPr>
              <w:rPr>
                <w:rFonts w:ascii="Calibri" w:eastAsia="Times New Roman" w:hAnsi="Calibri" w:cs="Calibri"/>
                <w:color w:val="000000"/>
                <w:sz w:val="20"/>
                <w:szCs w:val="20"/>
                <w:lang w:eastAsia="en-GB"/>
              </w:rPr>
            </w:pPr>
            <w:r w:rsidRPr="29927AD3">
              <w:rPr>
                <w:rFonts w:ascii="Calibri" w:eastAsia="Times New Roman" w:hAnsi="Calibri" w:cs="Calibri"/>
                <w:color w:val="000000" w:themeColor="text1"/>
                <w:sz w:val="20"/>
                <w:szCs w:val="20"/>
                <w:lang w:eastAsia="en-GB"/>
              </w:rPr>
              <w:t>1) Difficulties with your personal ability to use the technology.</w:t>
            </w:r>
          </w:p>
          <w:p w14:paraId="215A6D39" w14:textId="2B9125F8"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51CF202"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627D0972" w14:textId="4CA74FFA"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96 (96.0)</w:t>
            </w:r>
          </w:p>
        </w:tc>
        <w:tc>
          <w:tcPr>
            <w:tcW w:w="1264" w:type="dxa"/>
            <w:noWrap/>
            <w:hideMark/>
          </w:tcPr>
          <w:p w14:paraId="444F501C" w14:textId="7DF53474"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4 (4.0)</w:t>
            </w:r>
          </w:p>
        </w:tc>
        <w:tc>
          <w:tcPr>
            <w:tcW w:w="1201" w:type="dxa"/>
            <w:vMerge w:val="restart"/>
            <w:noWrap/>
            <w:hideMark/>
          </w:tcPr>
          <w:p w14:paraId="570EFFC3" w14:textId="0412D81C" w:rsidR="002417F1" w:rsidRPr="00AA48DD" w:rsidRDefault="002417F1" w:rsidP="005B6EAB">
            <w:pPr>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 </w:t>
            </w:r>
          </w:p>
        </w:tc>
      </w:tr>
      <w:tr w:rsidR="005B6EAB" w:rsidRPr="00AA48DD" w14:paraId="15F52C3A" w14:textId="77777777" w:rsidTr="29927AD3">
        <w:trPr>
          <w:trHeight w:val="300"/>
          <w:jc w:val="center"/>
        </w:trPr>
        <w:tc>
          <w:tcPr>
            <w:tcW w:w="4620" w:type="dxa"/>
            <w:vMerge/>
            <w:noWrap/>
            <w:hideMark/>
          </w:tcPr>
          <w:p w14:paraId="68B9C823" w14:textId="5B47BA58"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3A3FCB58"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3C68C6A3" w14:textId="01BC795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64 (91.4)</w:t>
            </w:r>
          </w:p>
        </w:tc>
        <w:tc>
          <w:tcPr>
            <w:tcW w:w="1264" w:type="dxa"/>
            <w:noWrap/>
            <w:hideMark/>
          </w:tcPr>
          <w:p w14:paraId="7FD20B92" w14:textId="44C66EE6"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 (8.6)</w:t>
            </w:r>
          </w:p>
        </w:tc>
        <w:tc>
          <w:tcPr>
            <w:tcW w:w="1201" w:type="dxa"/>
            <w:vMerge/>
            <w:noWrap/>
            <w:hideMark/>
          </w:tcPr>
          <w:p w14:paraId="43D32311" w14:textId="33B4D00C" w:rsidR="002417F1" w:rsidRPr="00AA48DD" w:rsidRDefault="002417F1" w:rsidP="005B6EAB">
            <w:pPr>
              <w:rPr>
                <w:rFonts w:ascii="Calibri" w:eastAsia="Times New Roman" w:hAnsi="Calibri" w:cs="Calibri"/>
                <w:color w:val="000000"/>
                <w:sz w:val="18"/>
                <w:szCs w:val="18"/>
                <w:lang w:eastAsia="en-GB"/>
              </w:rPr>
            </w:pPr>
          </w:p>
        </w:tc>
      </w:tr>
      <w:tr w:rsidR="005B6EAB" w:rsidRPr="00AA48DD" w14:paraId="669AA731" w14:textId="77777777" w:rsidTr="29927AD3">
        <w:trPr>
          <w:trHeight w:val="300"/>
          <w:jc w:val="center"/>
        </w:trPr>
        <w:tc>
          <w:tcPr>
            <w:tcW w:w="4620" w:type="dxa"/>
            <w:vMerge/>
            <w:noWrap/>
            <w:hideMark/>
          </w:tcPr>
          <w:p w14:paraId="79AE79DE" w14:textId="12B6309C"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358640D2"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7A7185D6" w14:textId="451C1A4A"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160 (94.1)</w:t>
            </w:r>
          </w:p>
        </w:tc>
        <w:tc>
          <w:tcPr>
            <w:tcW w:w="1264" w:type="dxa"/>
            <w:noWrap/>
            <w:hideMark/>
          </w:tcPr>
          <w:p w14:paraId="5865CFDD" w14:textId="4672F43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10 (5.9)</w:t>
            </w:r>
          </w:p>
        </w:tc>
        <w:tc>
          <w:tcPr>
            <w:tcW w:w="1201" w:type="dxa"/>
            <w:noWrap/>
            <w:hideMark/>
          </w:tcPr>
          <w:p w14:paraId="52FD9DC6" w14:textId="3F2D98C2"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themeColor="text1"/>
                <w:sz w:val="18"/>
                <w:szCs w:val="18"/>
                <w:lang w:eastAsia="en-GB"/>
              </w:rPr>
              <w:t>0.213</w:t>
            </w:r>
            <w:r w:rsidRPr="00AA48DD">
              <w:rPr>
                <w:rFonts w:ascii="Calibri" w:eastAsia="Times New Roman" w:hAnsi="Calibri" w:cs="Calibri"/>
                <w:b/>
                <w:bCs/>
                <w:color w:val="000000"/>
                <w:sz w:val="18"/>
                <w:szCs w:val="18"/>
                <w:lang w:eastAsia="en-GB"/>
              </w:rPr>
              <w:t> </w:t>
            </w:r>
          </w:p>
        </w:tc>
      </w:tr>
      <w:tr w:rsidR="005B6EAB" w:rsidRPr="00AA48DD" w14:paraId="617E6869" w14:textId="77777777" w:rsidTr="29927AD3">
        <w:trPr>
          <w:trHeight w:val="300"/>
          <w:jc w:val="center"/>
        </w:trPr>
        <w:tc>
          <w:tcPr>
            <w:tcW w:w="4620" w:type="dxa"/>
            <w:vMerge w:val="restart"/>
            <w:noWrap/>
            <w:hideMark/>
          </w:tcPr>
          <w:p w14:paraId="560D0314" w14:textId="665B0288" w:rsidR="002417F1" w:rsidRPr="00AA48DD" w:rsidRDefault="002417F1"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2) The burn team that I am referring to always like to see the patients in person therefore sending photos or videos seems redundant.</w:t>
            </w:r>
          </w:p>
        </w:tc>
        <w:tc>
          <w:tcPr>
            <w:tcW w:w="720" w:type="dxa"/>
            <w:noWrap/>
            <w:hideMark/>
          </w:tcPr>
          <w:p w14:paraId="4C3BEEE8"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32490F8D" w14:textId="10F8A5CA"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97 (97.0)</w:t>
            </w:r>
          </w:p>
        </w:tc>
        <w:tc>
          <w:tcPr>
            <w:tcW w:w="1264" w:type="dxa"/>
            <w:noWrap/>
            <w:hideMark/>
          </w:tcPr>
          <w:p w14:paraId="1C6A00E3" w14:textId="10EA55E1"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3 (3.0)</w:t>
            </w:r>
          </w:p>
        </w:tc>
        <w:tc>
          <w:tcPr>
            <w:tcW w:w="1201" w:type="dxa"/>
            <w:vMerge w:val="restart"/>
            <w:noWrap/>
            <w:hideMark/>
          </w:tcPr>
          <w:p w14:paraId="7C22E37F" w14:textId="4226C1B3"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6294AAD1" w14:textId="77777777" w:rsidTr="29927AD3">
        <w:trPr>
          <w:trHeight w:val="300"/>
          <w:jc w:val="center"/>
        </w:trPr>
        <w:tc>
          <w:tcPr>
            <w:tcW w:w="4620" w:type="dxa"/>
            <w:vMerge/>
            <w:noWrap/>
            <w:hideMark/>
          </w:tcPr>
          <w:p w14:paraId="497865ED" w14:textId="2A50A2FC"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AEB1083"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16E53C25" w14:textId="2AD2631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70 (100)</w:t>
            </w:r>
          </w:p>
        </w:tc>
        <w:tc>
          <w:tcPr>
            <w:tcW w:w="1264" w:type="dxa"/>
            <w:noWrap/>
            <w:hideMark/>
          </w:tcPr>
          <w:p w14:paraId="25829A8C" w14:textId="52E264F2"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0 (0.0)</w:t>
            </w:r>
          </w:p>
        </w:tc>
        <w:tc>
          <w:tcPr>
            <w:tcW w:w="1201" w:type="dxa"/>
            <w:vMerge/>
            <w:noWrap/>
            <w:hideMark/>
          </w:tcPr>
          <w:p w14:paraId="3F776619" w14:textId="4F380C71"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31AFCF3E" w14:textId="77777777" w:rsidTr="29927AD3">
        <w:trPr>
          <w:trHeight w:val="300"/>
          <w:jc w:val="center"/>
        </w:trPr>
        <w:tc>
          <w:tcPr>
            <w:tcW w:w="4620" w:type="dxa"/>
            <w:vMerge/>
            <w:noWrap/>
            <w:hideMark/>
          </w:tcPr>
          <w:p w14:paraId="7C69F6AE" w14:textId="7E1B1900"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08295A7D"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358128D4" w14:textId="2F06754F"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167 (98.2)</w:t>
            </w:r>
          </w:p>
        </w:tc>
        <w:tc>
          <w:tcPr>
            <w:tcW w:w="1264" w:type="dxa"/>
            <w:noWrap/>
            <w:hideMark/>
          </w:tcPr>
          <w:p w14:paraId="4F03CE84" w14:textId="741AE975"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3 (1.8)</w:t>
            </w:r>
          </w:p>
        </w:tc>
        <w:tc>
          <w:tcPr>
            <w:tcW w:w="1201" w:type="dxa"/>
            <w:noWrap/>
            <w:hideMark/>
          </w:tcPr>
          <w:p w14:paraId="5774AA22" w14:textId="72D576AC"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0.144 </w:t>
            </w:r>
          </w:p>
        </w:tc>
      </w:tr>
      <w:tr w:rsidR="005B6EAB" w:rsidRPr="00AA48DD" w14:paraId="633E53C6" w14:textId="77777777" w:rsidTr="29927AD3">
        <w:trPr>
          <w:trHeight w:val="300"/>
          <w:jc w:val="center"/>
        </w:trPr>
        <w:tc>
          <w:tcPr>
            <w:tcW w:w="4620" w:type="dxa"/>
            <w:vMerge w:val="restart"/>
            <w:noWrap/>
            <w:hideMark/>
          </w:tcPr>
          <w:p w14:paraId="40AE3EC9" w14:textId="591A7CE3" w:rsidR="002417F1" w:rsidRPr="00AA48DD" w:rsidRDefault="12E1A998" w:rsidP="0019299E">
            <w:pPr>
              <w:rPr>
                <w:rFonts w:ascii="Calibri" w:eastAsia="Times New Roman" w:hAnsi="Calibri" w:cs="Calibri"/>
                <w:color w:val="000000"/>
                <w:sz w:val="20"/>
                <w:szCs w:val="20"/>
                <w:lang w:eastAsia="en-GB"/>
              </w:rPr>
            </w:pPr>
            <w:r w:rsidRPr="12E1A998">
              <w:rPr>
                <w:rFonts w:ascii="Calibri" w:eastAsia="Times New Roman" w:hAnsi="Calibri" w:cs="Calibri"/>
                <w:color w:val="000000" w:themeColor="text1"/>
                <w:sz w:val="20"/>
                <w:szCs w:val="20"/>
                <w:lang w:eastAsia="en-GB"/>
              </w:rPr>
              <w:t>3) I am worried about miscommunication as there is not always a continuous conversation.</w:t>
            </w:r>
          </w:p>
        </w:tc>
        <w:tc>
          <w:tcPr>
            <w:tcW w:w="720" w:type="dxa"/>
            <w:noWrap/>
            <w:hideMark/>
          </w:tcPr>
          <w:p w14:paraId="77AB86DF"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0A6221C2" w14:textId="05049E29"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94 (94.0)</w:t>
            </w:r>
          </w:p>
        </w:tc>
        <w:tc>
          <w:tcPr>
            <w:tcW w:w="1264" w:type="dxa"/>
            <w:noWrap/>
            <w:hideMark/>
          </w:tcPr>
          <w:p w14:paraId="67DEFB76" w14:textId="06F4BD2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 (6.0)</w:t>
            </w:r>
          </w:p>
        </w:tc>
        <w:tc>
          <w:tcPr>
            <w:tcW w:w="1201" w:type="dxa"/>
            <w:vMerge w:val="restart"/>
            <w:noWrap/>
            <w:hideMark/>
          </w:tcPr>
          <w:p w14:paraId="73DC3DDE" w14:textId="2850674B"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488F15CE" w14:textId="77777777" w:rsidTr="29927AD3">
        <w:trPr>
          <w:trHeight w:val="300"/>
          <w:jc w:val="center"/>
        </w:trPr>
        <w:tc>
          <w:tcPr>
            <w:tcW w:w="4620" w:type="dxa"/>
            <w:vMerge/>
            <w:noWrap/>
            <w:hideMark/>
          </w:tcPr>
          <w:p w14:paraId="6920C2F2" w14:textId="247721DE"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8E3ACF6"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416F1430" w14:textId="16657FA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68 (97.1)</w:t>
            </w:r>
          </w:p>
        </w:tc>
        <w:tc>
          <w:tcPr>
            <w:tcW w:w="1264" w:type="dxa"/>
            <w:noWrap/>
            <w:hideMark/>
          </w:tcPr>
          <w:p w14:paraId="369DA3C1" w14:textId="2E594C8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 (2.9)</w:t>
            </w:r>
          </w:p>
        </w:tc>
        <w:tc>
          <w:tcPr>
            <w:tcW w:w="1201" w:type="dxa"/>
            <w:vMerge/>
            <w:noWrap/>
            <w:hideMark/>
          </w:tcPr>
          <w:p w14:paraId="0ABB2535" w14:textId="22ECB4C1"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15BD1CD5" w14:textId="77777777" w:rsidTr="29927AD3">
        <w:trPr>
          <w:trHeight w:val="300"/>
          <w:jc w:val="center"/>
        </w:trPr>
        <w:tc>
          <w:tcPr>
            <w:tcW w:w="4620" w:type="dxa"/>
            <w:vMerge/>
            <w:noWrap/>
            <w:hideMark/>
          </w:tcPr>
          <w:p w14:paraId="3444587A" w14:textId="35A3F852"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3D031597"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3A601075" w14:textId="1933569A"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162 (95.3)</w:t>
            </w:r>
          </w:p>
        </w:tc>
        <w:tc>
          <w:tcPr>
            <w:tcW w:w="1264" w:type="dxa"/>
            <w:noWrap/>
            <w:hideMark/>
          </w:tcPr>
          <w:p w14:paraId="2648AA09" w14:textId="60CF0F2A"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 (4.7)</w:t>
            </w:r>
          </w:p>
        </w:tc>
        <w:tc>
          <w:tcPr>
            <w:tcW w:w="1201" w:type="dxa"/>
            <w:noWrap/>
            <w:hideMark/>
          </w:tcPr>
          <w:p w14:paraId="10F157AC" w14:textId="6F201838"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0.341 </w:t>
            </w:r>
          </w:p>
        </w:tc>
      </w:tr>
      <w:tr w:rsidR="005B6EAB" w:rsidRPr="00AA48DD" w14:paraId="3544C3E9" w14:textId="77777777" w:rsidTr="29927AD3">
        <w:trPr>
          <w:trHeight w:val="300"/>
          <w:jc w:val="center"/>
        </w:trPr>
        <w:tc>
          <w:tcPr>
            <w:tcW w:w="4620" w:type="dxa"/>
            <w:vMerge w:val="restart"/>
            <w:noWrap/>
            <w:hideMark/>
          </w:tcPr>
          <w:p w14:paraId="1307C576" w14:textId="28BFE902" w:rsidR="002417F1" w:rsidRPr="00AA48DD" w:rsidRDefault="002417F1"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4) There is too much reliance on the clinician’s ability to communicate via succinct messages for the system to be effective and efficient.</w:t>
            </w:r>
          </w:p>
        </w:tc>
        <w:tc>
          <w:tcPr>
            <w:tcW w:w="720" w:type="dxa"/>
            <w:noWrap/>
            <w:hideMark/>
          </w:tcPr>
          <w:p w14:paraId="2C2F0E8B"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244DB9B3" w14:textId="022D5623"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99 (99.0)</w:t>
            </w:r>
          </w:p>
        </w:tc>
        <w:tc>
          <w:tcPr>
            <w:tcW w:w="1264" w:type="dxa"/>
            <w:noWrap/>
            <w:hideMark/>
          </w:tcPr>
          <w:p w14:paraId="3FF275EC" w14:textId="2E29E73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 (1.0)</w:t>
            </w:r>
          </w:p>
        </w:tc>
        <w:tc>
          <w:tcPr>
            <w:tcW w:w="1201" w:type="dxa"/>
            <w:vMerge w:val="restart"/>
            <w:noWrap/>
            <w:hideMark/>
          </w:tcPr>
          <w:p w14:paraId="2658BC83" w14:textId="6CC4C4F2"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24C0D02F" w14:textId="77777777" w:rsidTr="29927AD3">
        <w:trPr>
          <w:trHeight w:val="300"/>
          <w:jc w:val="center"/>
        </w:trPr>
        <w:tc>
          <w:tcPr>
            <w:tcW w:w="4620" w:type="dxa"/>
            <w:vMerge/>
            <w:noWrap/>
            <w:hideMark/>
          </w:tcPr>
          <w:p w14:paraId="2A1C7EB6" w14:textId="215CF017"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235E762"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08FA5739" w14:textId="4C29BACC"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65 (92.9)</w:t>
            </w:r>
          </w:p>
        </w:tc>
        <w:tc>
          <w:tcPr>
            <w:tcW w:w="1264" w:type="dxa"/>
            <w:noWrap/>
            <w:hideMark/>
          </w:tcPr>
          <w:p w14:paraId="607B153C" w14:textId="7E5B550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 (7.1)</w:t>
            </w:r>
          </w:p>
        </w:tc>
        <w:tc>
          <w:tcPr>
            <w:tcW w:w="1201" w:type="dxa"/>
            <w:vMerge/>
            <w:noWrap/>
            <w:hideMark/>
          </w:tcPr>
          <w:p w14:paraId="7F3EBC0A" w14:textId="429D806E"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4EC94335" w14:textId="77777777" w:rsidTr="29927AD3">
        <w:trPr>
          <w:trHeight w:val="300"/>
          <w:jc w:val="center"/>
        </w:trPr>
        <w:tc>
          <w:tcPr>
            <w:tcW w:w="4620" w:type="dxa"/>
            <w:vMerge/>
            <w:noWrap/>
            <w:hideMark/>
          </w:tcPr>
          <w:p w14:paraId="13FF5AFE" w14:textId="780BC10B"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4652736D"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6422FC6E" w14:textId="28E1028B"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164 (96.5)</w:t>
            </w:r>
          </w:p>
        </w:tc>
        <w:tc>
          <w:tcPr>
            <w:tcW w:w="1264" w:type="dxa"/>
            <w:noWrap/>
            <w:hideMark/>
          </w:tcPr>
          <w:p w14:paraId="48C9D210" w14:textId="6BE4146F"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 (3.5)</w:t>
            </w:r>
          </w:p>
        </w:tc>
        <w:tc>
          <w:tcPr>
            <w:tcW w:w="1201" w:type="dxa"/>
            <w:noWrap/>
            <w:hideMark/>
          </w:tcPr>
          <w:p w14:paraId="0A49DDA9" w14:textId="252D2510"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0.033 </w:t>
            </w:r>
          </w:p>
        </w:tc>
      </w:tr>
      <w:tr w:rsidR="005B6EAB" w:rsidRPr="00AA48DD" w14:paraId="0C51BADB" w14:textId="77777777" w:rsidTr="29927AD3">
        <w:trPr>
          <w:trHeight w:val="300"/>
          <w:jc w:val="center"/>
        </w:trPr>
        <w:tc>
          <w:tcPr>
            <w:tcW w:w="4620" w:type="dxa"/>
            <w:vMerge w:val="restart"/>
            <w:noWrap/>
            <w:hideMark/>
          </w:tcPr>
          <w:p w14:paraId="1A24310B" w14:textId="63EAE9B4" w:rsidR="00CA376B" w:rsidRPr="00AA48DD" w:rsidRDefault="00CA376B"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5) There is too much reliance on technology without reliable backup systems.</w:t>
            </w:r>
          </w:p>
        </w:tc>
        <w:tc>
          <w:tcPr>
            <w:tcW w:w="720" w:type="dxa"/>
            <w:noWrap/>
            <w:hideMark/>
          </w:tcPr>
          <w:p w14:paraId="797A3AA0" w14:textId="77777777"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6127FED7" w14:textId="291B6105"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95 (95.0)</w:t>
            </w:r>
          </w:p>
        </w:tc>
        <w:tc>
          <w:tcPr>
            <w:tcW w:w="1264" w:type="dxa"/>
            <w:noWrap/>
            <w:hideMark/>
          </w:tcPr>
          <w:p w14:paraId="7C8CAA60" w14:textId="380D21A2"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 (5.0)</w:t>
            </w:r>
          </w:p>
        </w:tc>
        <w:tc>
          <w:tcPr>
            <w:tcW w:w="1201" w:type="dxa"/>
            <w:vMerge w:val="restart"/>
            <w:noWrap/>
            <w:hideMark/>
          </w:tcPr>
          <w:p w14:paraId="7DB10D22" w14:textId="6F23AF62" w:rsidR="00CA376B" w:rsidRPr="00AA48DD" w:rsidRDefault="00CA376B"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6CB961FC" w14:textId="77777777" w:rsidTr="29927AD3">
        <w:trPr>
          <w:trHeight w:val="300"/>
          <w:jc w:val="center"/>
        </w:trPr>
        <w:tc>
          <w:tcPr>
            <w:tcW w:w="4620" w:type="dxa"/>
            <w:vMerge/>
            <w:noWrap/>
            <w:hideMark/>
          </w:tcPr>
          <w:p w14:paraId="367A0D72" w14:textId="17131B0B" w:rsidR="00CA376B" w:rsidRPr="00AA48DD" w:rsidRDefault="00CA376B" w:rsidP="0019299E">
            <w:pPr>
              <w:rPr>
                <w:rFonts w:ascii="Calibri" w:eastAsia="Times New Roman" w:hAnsi="Calibri" w:cs="Calibri"/>
                <w:color w:val="000000"/>
                <w:sz w:val="20"/>
                <w:szCs w:val="20"/>
                <w:lang w:eastAsia="en-GB"/>
              </w:rPr>
            </w:pPr>
          </w:p>
        </w:tc>
        <w:tc>
          <w:tcPr>
            <w:tcW w:w="720" w:type="dxa"/>
            <w:noWrap/>
            <w:hideMark/>
          </w:tcPr>
          <w:p w14:paraId="03629680" w14:textId="77777777"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783455EF" w14:textId="57E6BEB5"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66 (94.3)</w:t>
            </w:r>
          </w:p>
        </w:tc>
        <w:tc>
          <w:tcPr>
            <w:tcW w:w="1264" w:type="dxa"/>
            <w:noWrap/>
            <w:hideMark/>
          </w:tcPr>
          <w:p w14:paraId="267A0CD1" w14:textId="02BDDC6F"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4 (5.7)</w:t>
            </w:r>
          </w:p>
        </w:tc>
        <w:tc>
          <w:tcPr>
            <w:tcW w:w="1201" w:type="dxa"/>
            <w:vMerge/>
            <w:noWrap/>
            <w:hideMark/>
          </w:tcPr>
          <w:p w14:paraId="49C3845B" w14:textId="3AAED277" w:rsidR="00CA376B" w:rsidRPr="00AA48DD" w:rsidRDefault="00CA376B" w:rsidP="005B6EAB">
            <w:pPr>
              <w:rPr>
                <w:rFonts w:ascii="Calibri" w:eastAsia="Times New Roman" w:hAnsi="Calibri" w:cs="Calibri"/>
                <w:b/>
                <w:bCs/>
                <w:color w:val="000000"/>
                <w:sz w:val="18"/>
                <w:szCs w:val="18"/>
                <w:lang w:eastAsia="en-GB"/>
              </w:rPr>
            </w:pPr>
          </w:p>
        </w:tc>
      </w:tr>
      <w:tr w:rsidR="005B6EAB" w:rsidRPr="00AA48DD" w14:paraId="6AC0F375" w14:textId="77777777" w:rsidTr="29927AD3">
        <w:trPr>
          <w:trHeight w:val="300"/>
          <w:jc w:val="center"/>
        </w:trPr>
        <w:tc>
          <w:tcPr>
            <w:tcW w:w="4620" w:type="dxa"/>
            <w:vMerge/>
            <w:noWrap/>
            <w:hideMark/>
          </w:tcPr>
          <w:p w14:paraId="1EF0F2F7" w14:textId="198360AA"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1CA5AF4C"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1B42A79D" w14:textId="0BEBE4C1"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161 (94.7)</w:t>
            </w:r>
          </w:p>
        </w:tc>
        <w:tc>
          <w:tcPr>
            <w:tcW w:w="1264" w:type="dxa"/>
            <w:noWrap/>
            <w:hideMark/>
          </w:tcPr>
          <w:p w14:paraId="1214AFC2" w14:textId="59D7911E"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 (5.3)</w:t>
            </w:r>
          </w:p>
        </w:tc>
        <w:tc>
          <w:tcPr>
            <w:tcW w:w="1201" w:type="dxa"/>
            <w:noWrap/>
            <w:hideMark/>
          </w:tcPr>
          <w:p w14:paraId="3734417C" w14:textId="33B67F24"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0.838 </w:t>
            </w:r>
          </w:p>
        </w:tc>
      </w:tr>
      <w:tr w:rsidR="005B6EAB" w:rsidRPr="00AA48DD" w14:paraId="0F65744D" w14:textId="77777777" w:rsidTr="29927AD3">
        <w:trPr>
          <w:trHeight w:val="300"/>
          <w:jc w:val="center"/>
        </w:trPr>
        <w:tc>
          <w:tcPr>
            <w:tcW w:w="4620" w:type="dxa"/>
            <w:vMerge w:val="restart"/>
            <w:noWrap/>
            <w:hideMark/>
          </w:tcPr>
          <w:p w14:paraId="0748BF4D" w14:textId="2CD2295D" w:rsidR="00CA376B" w:rsidRPr="00AA48DD" w:rsidRDefault="00CA376B"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6) There is poor access to reliable Wi-Fi for the newer systems to make it work efficiently.</w:t>
            </w:r>
          </w:p>
        </w:tc>
        <w:tc>
          <w:tcPr>
            <w:tcW w:w="720" w:type="dxa"/>
            <w:noWrap/>
            <w:hideMark/>
          </w:tcPr>
          <w:p w14:paraId="0CDFA0C0" w14:textId="77777777"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7A26ACEE" w14:textId="373B87EC"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81 (81.0)</w:t>
            </w:r>
          </w:p>
        </w:tc>
        <w:tc>
          <w:tcPr>
            <w:tcW w:w="1264" w:type="dxa"/>
            <w:noWrap/>
            <w:hideMark/>
          </w:tcPr>
          <w:p w14:paraId="7BDF76BB" w14:textId="13F25084"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19 (19.0)</w:t>
            </w:r>
          </w:p>
        </w:tc>
        <w:tc>
          <w:tcPr>
            <w:tcW w:w="1201" w:type="dxa"/>
            <w:vMerge w:val="restart"/>
            <w:noWrap/>
            <w:hideMark/>
          </w:tcPr>
          <w:p w14:paraId="534168FC" w14:textId="02736337" w:rsidR="00CA376B" w:rsidRPr="00AA48DD" w:rsidRDefault="00CA376B"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56FCB174" w14:textId="77777777" w:rsidTr="29927AD3">
        <w:trPr>
          <w:trHeight w:val="300"/>
          <w:jc w:val="center"/>
        </w:trPr>
        <w:tc>
          <w:tcPr>
            <w:tcW w:w="4620" w:type="dxa"/>
            <w:vMerge/>
            <w:noWrap/>
            <w:hideMark/>
          </w:tcPr>
          <w:p w14:paraId="422B5EE7" w14:textId="1CCB8EDC" w:rsidR="00CA376B" w:rsidRPr="00AA48DD" w:rsidRDefault="00CA376B" w:rsidP="0019299E">
            <w:pPr>
              <w:rPr>
                <w:rFonts w:ascii="Calibri" w:eastAsia="Times New Roman" w:hAnsi="Calibri" w:cs="Calibri"/>
                <w:color w:val="000000"/>
                <w:sz w:val="20"/>
                <w:szCs w:val="20"/>
                <w:lang w:eastAsia="en-GB"/>
              </w:rPr>
            </w:pPr>
          </w:p>
        </w:tc>
        <w:tc>
          <w:tcPr>
            <w:tcW w:w="720" w:type="dxa"/>
            <w:noWrap/>
            <w:hideMark/>
          </w:tcPr>
          <w:p w14:paraId="14E48ED9" w14:textId="77777777"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1F48E6E3" w14:textId="231F8490"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57 (81.4)</w:t>
            </w:r>
          </w:p>
        </w:tc>
        <w:tc>
          <w:tcPr>
            <w:tcW w:w="1264" w:type="dxa"/>
            <w:noWrap/>
            <w:hideMark/>
          </w:tcPr>
          <w:p w14:paraId="68778809" w14:textId="17F0A4CD" w:rsidR="00CA376B" w:rsidRPr="00AA48DD" w:rsidRDefault="00CA376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13 (18.6)</w:t>
            </w:r>
          </w:p>
        </w:tc>
        <w:tc>
          <w:tcPr>
            <w:tcW w:w="1201" w:type="dxa"/>
            <w:vMerge/>
            <w:noWrap/>
            <w:hideMark/>
          </w:tcPr>
          <w:p w14:paraId="4D3A7739" w14:textId="4833CBD2" w:rsidR="00CA376B" w:rsidRPr="00AA48DD" w:rsidRDefault="00CA376B" w:rsidP="005B6EAB">
            <w:pPr>
              <w:rPr>
                <w:rFonts w:ascii="Calibri" w:eastAsia="Times New Roman" w:hAnsi="Calibri" w:cs="Calibri"/>
                <w:b/>
                <w:bCs/>
                <w:color w:val="000000"/>
                <w:sz w:val="18"/>
                <w:szCs w:val="18"/>
                <w:lang w:eastAsia="en-GB"/>
              </w:rPr>
            </w:pPr>
          </w:p>
        </w:tc>
      </w:tr>
      <w:tr w:rsidR="005B6EAB" w:rsidRPr="00AA48DD" w14:paraId="73EFC526" w14:textId="77777777" w:rsidTr="29927AD3">
        <w:trPr>
          <w:trHeight w:val="300"/>
          <w:jc w:val="center"/>
        </w:trPr>
        <w:tc>
          <w:tcPr>
            <w:tcW w:w="4620" w:type="dxa"/>
            <w:vMerge/>
            <w:noWrap/>
            <w:hideMark/>
          </w:tcPr>
          <w:p w14:paraId="373090A0" w14:textId="2123FBCC"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5D2909AA"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0A6499CD" w14:textId="7D5552AB"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138 (81.2)</w:t>
            </w:r>
          </w:p>
        </w:tc>
        <w:tc>
          <w:tcPr>
            <w:tcW w:w="1264" w:type="dxa"/>
            <w:noWrap/>
            <w:hideMark/>
          </w:tcPr>
          <w:p w14:paraId="7F06F040" w14:textId="106FAC71" w:rsidR="002417F1"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32 (18.8)</w:t>
            </w:r>
          </w:p>
        </w:tc>
        <w:tc>
          <w:tcPr>
            <w:tcW w:w="1201" w:type="dxa"/>
            <w:noWrap/>
            <w:hideMark/>
          </w:tcPr>
          <w:p w14:paraId="3787E883" w14:textId="60CA0BF9"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0.944 </w:t>
            </w:r>
          </w:p>
        </w:tc>
      </w:tr>
      <w:tr w:rsidR="005B6EAB" w:rsidRPr="00AA48DD" w14:paraId="16B13250" w14:textId="77777777" w:rsidTr="29927AD3">
        <w:trPr>
          <w:trHeight w:val="300"/>
          <w:jc w:val="center"/>
        </w:trPr>
        <w:tc>
          <w:tcPr>
            <w:tcW w:w="4620" w:type="dxa"/>
            <w:vMerge w:val="restart"/>
            <w:noWrap/>
            <w:hideMark/>
          </w:tcPr>
          <w:p w14:paraId="506B41A8" w14:textId="6A864530" w:rsidR="005B6EAB" w:rsidRPr="00AA48DD" w:rsidRDefault="005B6EAB"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7) There are an inadequate number of devices in our department to deal with the extra burden of referring online.</w:t>
            </w:r>
          </w:p>
        </w:tc>
        <w:tc>
          <w:tcPr>
            <w:tcW w:w="720" w:type="dxa"/>
            <w:noWrap/>
            <w:hideMark/>
          </w:tcPr>
          <w:p w14:paraId="3DC2B7CD"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72121148" w14:textId="58C595A3"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87 (87.0)</w:t>
            </w:r>
          </w:p>
        </w:tc>
        <w:tc>
          <w:tcPr>
            <w:tcW w:w="1264" w:type="dxa"/>
            <w:noWrap/>
            <w:hideMark/>
          </w:tcPr>
          <w:p w14:paraId="0D18FCF8" w14:textId="4952E6EA"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13 (13.0)</w:t>
            </w:r>
          </w:p>
        </w:tc>
        <w:tc>
          <w:tcPr>
            <w:tcW w:w="1201" w:type="dxa"/>
            <w:vMerge w:val="restart"/>
            <w:noWrap/>
            <w:hideMark/>
          </w:tcPr>
          <w:p w14:paraId="23FF5D76" w14:textId="7FDC271B" w:rsidR="005B6EAB" w:rsidRPr="00AA48DD" w:rsidRDefault="005B6EAB"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4360C1F7" w14:textId="77777777" w:rsidTr="29927AD3">
        <w:trPr>
          <w:trHeight w:val="300"/>
          <w:jc w:val="center"/>
        </w:trPr>
        <w:tc>
          <w:tcPr>
            <w:tcW w:w="4620" w:type="dxa"/>
            <w:vMerge/>
            <w:noWrap/>
            <w:hideMark/>
          </w:tcPr>
          <w:p w14:paraId="26E3F49D" w14:textId="7CEC565F" w:rsidR="005B6EAB" w:rsidRPr="00AA48DD" w:rsidRDefault="005B6EAB" w:rsidP="0019299E">
            <w:pPr>
              <w:rPr>
                <w:rFonts w:ascii="Calibri" w:eastAsia="Times New Roman" w:hAnsi="Calibri" w:cs="Calibri"/>
                <w:color w:val="000000"/>
                <w:sz w:val="20"/>
                <w:szCs w:val="20"/>
                <w:lang w:eastAsia="en-GB"/>
              </w:rPr>
            </w:pPr>
          </w:p>
        </w:tc>
        <w:tc>
          <w:tcPr>
            <w:tcW w:w="720" w:type="dxa"/>
            <w:noWrap/>
            <w:hideMark/>
          </w:tcPr>
          <w:p w14:paraId="122C04CD"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3DC0F72D" w14:textId="43ECE715"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58 (82.9)</w:t>
            </w:r>
          </w:p>
        </w:tc>
        <w:tc>
          <w:tcPr>
            <w:tcW w:w="1264" w:type="dxa"/>
            <w:noWrap/>
            <w:hideMark/>
          </w:tcPr>
          <w:p w14:paraId="162C03C6" w14:textId="6A6DECAE"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12 (17.1)</w:t>
            </w:r>
          </w:p>
        </w:tc>
        <w:tc>
          <w:tcPr>
            <w:tcW w:w="1201" w:type="dxa"/>
            <w:vMerge/>
            <w:noWrap/>
            <w:hideMark/>
          </w:tcPr>
          <w:p w14:paraId="6B8AB579" w14:textId="2EDC6079" w:rsidR="005B6EAB" w:rsidRPr="00AA48DD" w:rsidRDefault="005B6EAB" w:rsidP="005B6EAB">
            <w:pPr>
              <w:rPr>
                <w:rFonts w:ascii="Calibri" w:eastAsia="Times New Roman" w:hAnsi="Calibri" w:cs="Calibri"/>
                <w:b/>
                <w:bCs/>
                <w:color w:val="000000"/>
                <w:sz w:val="18"/>
                <w:szCs w:val="18"/>
                <w:lang w:eastAsia="en-GB"/>
              </w:rPr>
            </w:pPr>
          </w:p>
        </w:tc>
      </w:tr>
      <w:tr w:rsidR="005B6EAB" w:rsidRPr="00AA48DD" w14:paraId="54368079" w14:textId="77777777" w:rsidTr="29927AD3">
        <w:trPr>
          <w:trHeight w:val="300"/>
          <w:jc w:val="center"/>
        </w:trPr>
        <w:tc>
          <w:tcPr>
            <w:tcW w:w="4620" w:type="dxa"/>
            <w:vMerge/>
            <w:noWrap/>
            <w:hideMark/>
          </w:tcPr>
          <w:p w14:paraId="71FE06DB" w14:textId="301F5042"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3959EF81"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4A45E9BA" w14:textId="236AF56E"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145 (85.3)</w:t>
            </w:r>
          </w:p>
        </w:tc>
        <w:tc>
          <w:tcPr>
            <w:tcW w:w="1264" w:type="dxa"/>
            <w:noWrap/>
            <w:hideMark/>
          </w:tcPr>
          <w:p w14:paraId="47556A31" w14:textId="41B9E55E" w:rsidR="002417F1"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25 (14.7)</w:t>
            </w:r>
          </w:p>
        </w:tc>
        <w:tc>
          <w:tcPr>
            <w:tcW w:w="1201" w:type="dxa"/>
            <w:noWrap/>
            <w:hideMark/>
          </w:tcPr>
          <w:p w14:paraId="15A0C872" w14:textId="1E06294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0.453 </w:t>
            </w:r>
          </w:p>
        </w:tc>
      </w:tr>
      <w:tr w:rsidR="005B6EAB" w:rsidRPr="00AA48DD" w14:paraId="7D932A0A" w14:textId="77777777" w:rsidTr="29927AD3">
        <w:trPr>
          <w:trHeight w:val="300"/>
          <w:jc w:val="center"/>
        </w:trPr>
        <w:tc>
          <w:tcPr>
            <w:tcW w:w="4620" w:type="dxa"/>
            <w:vMerge w:val="restart"/>
            <w:noWrap/>
            <w:hideMark/>
          </w:tcPr>
          <w:p w14:paraId="49EB919A" w14:textId="11F5EA46" w:rsidR="005B6EAB" w:rsidRPr="00AA48DD" w:rsidRDefault="005B6EAB"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8) It is a waste of time having to wait for a response sent through telemedicine images.</w:t>
            </w:r>
          </w:p>
        </w:tc>
        <w:tc>
          <w:tcPr>
            <w:tcW w:w="720" w:type="dxa"/>
            <w:noWrap/>
            <w:hideMark/>
          </w:tcPr>
          <w:p w14:paraId="6D3D8D25"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6D5CBA3A" w14:textId="25CF4CC3"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91 (91.0)</w:t>
            </w:r>
          </w:p>
        </w:tc>
        <w:tc>
          <w:tcPr>
            <w:tcW w:w="1264" w:type="dxa"/>
            <w:noWrap/>
            <w:hideMark/>
          </w:tcPr>
          <w:p w14:paraId="40B844B3" w14:textId="6E9E5676"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9 (9.0)</w:t>
            </w:r>
          </w:p>
        </w:tc>
        <w:tc>
          <w:tcPr>
            <w:tcW w:w="1201" w:type="dxa"/>
            <w:vMerge w:val="restart"/>
            <w:noWrap/>
            <w:hideMark/>
          </w:tcPr>
          <w:p w14:paraId="7040B601" w14:textId="447106BB" w:rsidR="005B6EAB" w:rsidRPr="00AA48DD" w:rsidRDefault="005B6EAB"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249AE444" w14:textId="77777777" w:rsidTr="29927AD3">
        <w:trPr>
          <w:trHeight w:val="300"/>
          <w:jc w:val="center"/>
        </w:trPr>
        <w:tc>
          <w:tcPr>
            <w:tcW w:w="4620" w:type="dxa"/>
            <w:vMerge/>
            <w:noWrap/>
            <w:hideMark/>
          </w:tcPr>
          <w:p w14:paraId="11C0AE35" w14:textId="4F30F757" w:rsidR="005B6EAB" w:rsidRPr="00AA48DD" w:rsidRDefault="005B6EAB" w:rsidP="0019299E">
            <w:pPr>
              <w:rPr>
                <w:rFonts w:ascii="Calibri" w:eastAsia="Times New Roman" w:hAnsi="Calibri" w:cs="Calibri"/>
                <w:color w:val="000000"/>
                <w:sz w:val="20"/>
                <w:szCs w:val="20"/>
                <w:lang w:eastAsia="en-GB"/>
              </w:rPr>
            </w:pPr>
          </w:p>
        </w:tc>
        <w:tc>
          <w:tcPr>
            <w:tcW w:w="720" w:type="dxa"/>
            <w:noWrap/>
            <w:hideMark/>
          </w:tcPr>
          <w:p w14:paraId="27E7E260"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05E43C6B" w14:textId="50B1006D"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63 (90.0)</w:t>
            </w:r>
          </w:p>
        </w:tc>
        <w:tc>
          <w:tcPr>
            <w:tcW w:w="1264" w:type="dxa"/>
            <w:noWrap/>
            <w:hideMark/>
          </w:tcPr>
          <w:p w14:paraId="1D1F8DF0" w14:textId="1153CF30"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7 (10.0)</w:t>
            </w:r>
          </w:p>
        </w:tc>
        <w:tc>
          <w:tcPr>
            <w:tcW w:w="1201" w:type="dxa"/>
            <w:vMerge/>
            <w:noWrap/>
            <w:hideMark/>
          </w:tcPr>
          <w:p w14:paraId="127B7096" w14:textId="70579CC3" w:rsidR="005B6EAB" w:rsidRPr="00AA48DD" w:rsidRDefault="005B6EAB" w:rsidP="005B6EAB">
            <w:pPr>
              <w:rPr>
                <w:rFonts w:ascii="Calibri" w:eastAsia="Times New Roman" w:hAnsi="Calibri" w:cs="Calibri"/>
                <w:b/>
                <w:bCs/>
                <w:color w:val="000000"/>
                <w:sz w:val="18"/>
                <w:szCs w:val="18"/>
                <w:lang w:eastAsia="en-GB"/>
              </w:rPr>
            </w:pPr>
          </w:p>
        </w:tc>
      </w:tr>
      <w:tr w:rsidR="005B6EAB" w:rsidRPr="00AA48DD" w14:paraId="2CF9D832" w14:textId="77777777" w:rsidTr="29927AD3">
        <w:trPr>
          <w:trHeight w:val="300"/>
          <w:jc w:val="center"/>
        </w:trPr>
        <w:tc>
          <w:tcPr>
            <w:tcW w:w="4620" w:type="dxa"/>
            <w:vMerge/>
            <w:noWrap/>
            <w:hideMark/>
          </w:tcPr>
          <w:p w14:paraId="6533B9E6" w14:textId="6E49D59E"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0C6FAB69"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330FA27A" w14:textId="6AA7E024"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154 (90.6)</w:t>
            </w:r>
          </w:p>
        </w:tc>
        <w:tc>
          <w:tcPr>
            <w:tcW w:w="1264" w:type="dxa"/>
            <w:noWrap/>
            <w:hideMark/>
          </w:tcPr>
          <w:p w14:paraId="13DB87BE" w14:textId="17738D79" w:rsidR="002417F1"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16 (9.4)</w:t>
            </w:r>
          </w:p>
        </w:tc>
        <w:tc>
          <w:tcPr>
            <w:tcW w:w="1201" w:type="dxa"/>
            <w:noWrap/>
            <w:hideMark/>
          </w:tcPr>
          <w:p w14:paraId="7A4E6807" w14:textId="613B10B0"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0.826 </w:t>
            </w:r>
          </w:p>
        </w:tc>
      </w:tr>
      <w:tr w:rsidR="005B6EAB" w:rsidRPr="00AA48DD" w14:paraId="34191A0F" w14:textId="77777777" w:rsidTr="29927AD3">
        <w:trPr>
          <w:trHeight w:val="300"/>
          <w:jc w:val="center"/>
        </w:trPr>
        <w:tc>
          <w:tcPr>
            <w:tcW w:w="4620" w:type="dxa"/>
            <w:vMerge w:val="restart"/>
            <w:noWrap/>
            <w:hideMark/>
          </w:tcPr>
          <w:p w14:paraId="07E7AF30" w14:textId="548F785B" w:rsidR="005B6EAB" w:rsidRPr="00AA48DD" w:rsidRDefault="005B6EAB"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9) I do not want to write both clinical notes and separate notes online for the telemedicine referral.</w:t>
            </w:r>
          </w:p>
        </w:tc>
        <w:tc>
          <w:tcPr>
            <w:tcW w:w="720" w:type="dxa"/>
            <w:noWrap/>
            <w:hideMark/>
          </w:tcPr>
          <w:p w14:paraId="5E3880AE"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38AD6E8D" w14:textId="51DE0462"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86 (86.0)</w:t>
            </w:r>
          </w:p>
        </w:tc>
        <w:tc>
          <w:tcPr>
            <w:tcW w:w="1264" w:type="dxa"/>
            <w:noWrap/>
            <w:hideMark/>
          </w:tcPr>
          <w:p w14:paraId="1AB50AE6" w14:textId="1CE8EEE5"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14 (14.0)</w:t>
            </w:r>
          </w:p>
        </w:tc>
        <w:tc>
          <w:tcPr>
            <w:tcW w:w="1201" w:type="dxa"/>
            <w:vMerge w:val="restart"/>
            <w:noWrap/>
            <w:hideMark/>
          </w:tcPr>
          <w:p w14:paraId="117E4491" w14:textId="5E3549F9" w:rsidR="005B6EAB" w:rsidRPr="00AA48DD" w:rsidRDefault="005B6EAB"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14950892" w14:textId="77777777" w:rsidTr="29927AD3">
        <w:trPr>
          <w:trHeight w:val="300"/>
          <w:jc w:val="center"/>
        </w:trPr>
        <w:tc>
          <w:tcPr>
            <w:tcW w:w="4620" w:type="dxa"/>
            <w:vMerge/>
            <w:noWrap/>
            <w:hideMark/>
          </w:tcPr>
          <w:p w14:paraId="420991CF" w14:textId="40149AF9" w:rsidR="005B6EAB" w:rsidRPr="00AA48DD" w:rsidRDefault="005B6EAB" w:rsidP="0019299E">
            <w:pPr>
              <w:rPr>
                <w:rFonts w:ascii="Calibri" w:eastAsia="Times New Roman" w:hAnsi="Calibri" w:cs="Calibri"/>
                <w:color w:val="000000"/>
                <w:sz w:val="20"/>
                <w:szCs w:val="20"/>
                <w:lang w:eastAsia="en-GB"/>
              </w:rPr>
            </w:pPr>
          </w:p>
        </w:tc>
        <w:tc>
          <w:tcPr>
            <w:tcW w:w="720" w:type="dxa"/>
            <w:noWrap/>
            <w:hideMark/>
          </w:tcPr>
          <w:p w14:paraId="042B7C4F" w14:textId="77777777"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134C8877" w14:textId="3A59EDF3" w:rsidR="005B6EAB" w:rsidRPr="00AA48DD" w:rsidRDefault="005B6EAB"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58 (82.9)</w:t>
            </w:r>
          </w:p>
        </w:tc>
        <w:tc>
          <w:tcPr>
            <w:tcW w:w="1264" w:type="dxa"/>
            <w:noWrap/>
            <w:hideMark/>
          </w:tcPr>
          <w:p w14:paraId="2012FD37" w14:textId="14C4E504" w:rsidR="005B6EAB"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12 (17.1)</w:t>
            </w:r>
          </w:p>
        </w:tc>
        <w:tc>
          <w:tcPr>
            <w:tcW w:w="1201" w:type="dxa"/>
            <w:vMerge/>
            <w:noWrap/>
            <w:hideMark/>
          </w:tcPr>
          <w:p w14:paraId="0972CFA8" w14:textId="3465E3B0" w:rsidR="005B6EAB" w:rsidRPr="00AA48DD" w:rsidRDefault="005B6EAB" w:rsidP="005B6EAB">
            <w:pPr>
              <w:rPr>
                <w:rFonts w:ascii="Calibri" w:eastAsia="Times New Roman" w:hAnsi="Calibri" w:cs="Calibri"/>
                <w:b/>
                <w:bCs/>
                <w:color w:val="000000"/>
                <w:sz w:val="18"/>
                <w:szCs w:val="18"/>
                <w:lang w:eastAsia="en-GB"/>
              </w:rPr>
            </w:pPr>
          </w:p>
        </w:tc>
      </w:tr>
      <w:tr w:rsidR="005B6EAB" w:rsidRPr="00AA48DD" w14:paraId="50377333" w14:textId="77777777" w:rsidTr="29927AD3">
        <w:trPr>
          <w:trHeight w:val="300"/>
          <w:jc w:val="center"/>
        </w:trPr>
        <w:tc>
          <w:tcPr>
            <w:tcW w:w="4620" w:type="dxa"/>
            <w:vMerge/>
            <w:noWrap/>
            <w:hideMark/>
          </w:tcPr>
          <w:p w14:paraId="347686C8" w14:textId="358FBCAC"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421D73E8"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7EF46F88" w14:textId="1640CB9E"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144 (84.7)</w:t>
            </w:r>
          </w:p>
        </w:tc>
        <w:tc>
          <w:tcPr>
            <w:tcW w:w="1264" w:type="dxa"/>
            <w:noWrap/>
            <w:hideMark/>
          </w:tcPr>
          <w:p w14:paraId="5FBC5417" w14:textId="2F05E6ED" w:rsidR="002417F1" w:rsidRPr="00AA48DD" w:rsidRDefault="29927AD3" w:rsidP="00F4240B">
            <w:pPr>
              <w:jc w:val="right"/>
              <w:rPr>
                <w:rFonts w:ascii="Calibri" w:eastAsia="Times New Roman" w:hAnsi="Calibri" w:cs="Calibri"/>
                <w:color w:val="000000"/>
                <w:sz w:val="18"/>
                <w:szCs w:val="18"/>
                <w:lang w:eastAsia="en-GB"/>
              </w:rPr>
            </w:pPr>
            <w:r w:rsidRPr="29927AD3">
              <w:rPr>
                <w:rFonts w:ascii="Calibri" w:eastAsia="Times New Roman" w:hAnsi="Calibri" w:cs="Calibri"/>
                <w:color w:val="000000" w:themeColor="text1"/>
                <w:sz w:val="18"/>
                <w:szCs w:val="18"/>
                <w:lang w:eastAsia="en-GB"/>
              </w:rPr>
              <w:t>26 (15.3)</w:t>
            </w:r>
          </w:p>
        </w:tc>
        <w:tc>
          <w:tcPr>
            <w:tcW w:w="1201" w:type="dxa"/>
            <w:noWrap/>
            <w:hideMark/>
          </w:tcPr>
          <w:p w14:paraId="3D85C731" w14:textId="63259048"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0.575 </w:t>
            </w:r>
          </w:p>
        </w:tc>
      </w:tr>
      <w:tr w:rsidR="005B6EAB" w:rsidRPr="00AA48DD" w14:paraId="1C1219D7" w14:textId="77777777" w:rsidTr="29927AD3">
        <w:trPr>
          <w:trHeight w:val="300"/>
          <w:jc w:val="center"/>
        </w:trPr>
        <w:tc>
          <w:tcPr>
            <w:tcW w:w="4620" w:type="dxa"/>
            <w:vMerge w:val="restart"/>
            <w:noWrap/>
            <w:hideMark/>
          </w:tcPr>
          <w:p w14:paraId="7A4B418B" w14:textId="6EEC17DD" w:rsidR="002417F1" w:rsidRPr="00AA48DD" w:rsidRDefault="002417F1"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10) I am worried about the constant training required due to the high turnover of doctors and nurses within our department.</w:t>
            </w:r>
          </w:p>
        </w:tc>
        <w:tc>
          <w:tcPr>
            <w:tcW w:w="720" w:type="dxa"/>
            <w:noWrap/>
            <w:hideMark/>
          </w:tcPr>
          <w:p w14:paraId="341E5F6B"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0C3F5155" w14:textId="65D537F4"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94 (94.0)</w:t>
            </w:r>
          </w:p>
        </w:tc>
        <w:tc>
          <w:tcPr>
            <w:tcW w:w="1264" w:type="dxa"/>
            <w:noWrap/>
            <w:hideMark/>
          </w:tcPr>
          <w:p w14:paraId="07AC4484" w14:textId="1185E931"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 (6.0)</w:t>
            </w:r>
          </w:p>
        </w:tc>
        <w:tc>
          <w:tcPr>
            <w:tcW w:w="1201" w:type="dxa"/>
            <w:noWrap/>
            <w:hideMark/>
          </w:tcPr>
          <w:p w14:paraId="38E09DCA" w14:textId="5746CE0A"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4CF111FF" w14:textId="77777777" w:rsidTr="29927AD3">
        <w:trPr>
          <w:trHeight w:val="300"/>
          <w:jc w:val="center"/>
        </w:trPr>
        <w:tc>
          <w:tcPr>
            <w:tcW w:w="4620" w:type="dxa"/>
            <w:vMerge/>
            <w:noWrap/>
            <w:hideMark/>
          </w:tcPr>
          <w:p w14:paraId="7D75FD35" w14:textId="1DF3B6DD"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327FCB9F"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6BB365DB" w14:textId="43FC487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69 (98.6)</w:t>
            </w:r>
          </w:p>
        </w:tc>
        <w:tc>
          <w:tcPr>
            <w:tcW w:w="1264" w:type="dxa"/>
            <w:noWrap/>
            <w:hideMark/>
          </w:tcPr>
          <w:p w14:paraId="210749A1" w14:textId="0BA15936"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 (1.4)</w:t>
            </w:r>
          </w:p>
        </w:tc>
        <w:tc>
          <w:tcPr>
            <w:tcW w:w="1201" w:type="dxa"/>
            <w:noWrap/>
            <w:hideMark/>
          </w:tcPr>
          <w:p w14:paraId="3A363737" w14:textId="7777777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268CEAB8" w14:textId="77777777" w:rsidTr="29927AD3">
        <w:trPr>
          <w:trHeight w:val="300"/>
          <w:jc w:val="center"/>
        </w:trPr>
        <w:tc>
          <w:tcPr>
            <w:tcW w:w="4620" w:type="dxa"/>
            <w:vMerge/>
            <w:noWrap/>
            <w:hideMark/>
          </w:tcPr>
          <w:p w14:paraId="574C3562" w14:textId="3853B3E4"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1A8D0F6"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64653778" w14:textId="0590DCE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163 (95.9)</w:t>
            </w:r>
          </w:p>
        </w:tc>
        <w:tc>
          <w:tcPr>
            <w:tcW w:w="1264" w:type="dxa"/>
            <w:noWrap/>
            <w:hideMark/>
          </w:tcPr>
          <w:p w14:paraId="22B3B973" w14:textId="7DCC762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7 (4.1)</w:t>
            </w:r>
          </w:p>
        </w:tc>
        <w:tc>
          <w:tcPr>
            <w:tcW w:w="1201" w:type="dxa"/>
            <w:noWrap/>
            <w:hideMark/>
          </w:tcPr>
          <w:p w14:paraId="5FD9187A" w14:textId="525B4B32"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0.14 </w:t>
            </w:r>
          </w:p>
        </w:tc>
      </w:tr>
      <w:tr w:rsidR="005B6EAB" w:rsidRPr="00AA48DD" w14:paraId="5C25F187" w14:textId="77777777" w:rsidTr="29927AD3">
        <w:trPr>
          <w:trHeight w:val="300"/>
          <w:jc w:val="center"/>
        </w:trPr>
        <w:tc>
          <w:tcPr>
            <w:tcW w:w="4620" w:type="dxa"/>
            <w:vMerge w:val="restart"/>
            <w:noWrap/>
            <w:hideMark/>
          </w:tcPr>
          <w:p w14:paraId="07156BFD" w14:textId="60C5D459" w:rsidR="002417F1" w:rsidRPr="00AA48DD" w:rsidRDefault="002417F1"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11) I am worried about the security of data and the danger of improper sharing of information.</w:t>
            </w:r>
          </w:p>
        </w:tc>
        <w:tc>
          <w:tcPr>
            <w:tcW w:w="720" w:type="dxa"/>
            <w:noWrap/>
            <w:hideMark/>
          </w:tcPr>
          <w:p w14:paraId="5BDC85E7"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3609C337" w14:textId="6816AA54"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96 (96.0)</w:t>
            </w:r>
          </w:p>
        </w:tc>
        <w:tc>
          <w:tcPr>
            <w:tcW w:w="1264" w:type="dxa"/>
            <w:noWrap/>
            <w:hideMark/>
          </w:tcPr>
          <w:p w14:paraId="2F1DCB49" w14:textId="44C8501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4 (4.0)</w:t>
            </w:r>
          </w:p>
        </w:tc>
        <w:tc>
          <w:tcPr>
            <w:tcW w:w="1201" w:type="dxa"/>
            <w:noWrap/>
            <w:hideMark/>
          </w:tcPr>
          <w:p w14:paraId="6CD901C6" w14:textId="40129BFD"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4A2E7091" w14:textId="77777777" w:rsidTr="29927AD3">
        <w:trPr>
          <w:trHeight w:val="300"/>
          <w:jc w:val="center"/>
        </w:trPr>
        <w:tc>
          <w:tcPr>
            <w:tcW w:w="4620" w:type="dxa"/>
            <w:vMerge/>
            <w:noWrap/>
            <w:hideMark/>
          </w:tcPr>
          <w:p w14:paraId="36AFB7C3" w14:textId="2E859841"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0E298703"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6A2D4964" w14:textId="5750021B"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66 (94.3)</w:t>
            </w:r>
          </w:p>
        </w:tc>
        <w:tc>
          <w:tcPr>
            <w:tcW w:w="1264" w:type="dxa"/>
            <w:noWrap/>
            <w:hideMark/>
          </w:tcPr>
          <w:p w14:paraId="5C8F0DF3" w14:textId="025B0848"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4 (5.7)</w:t>
            </w:r>
          </w:p>
        </w:tc>
        <w:tc>
          <w:tcPr>
            <w:tcW w:w="1201" w:type="dxa"/>
            <w:noWrap/>
            <w:hideMark/>
          </w:tcPr>
          <w:p w14:paraId="4C96A46B" w14:textId="7777777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1357A473" w14:textId="77777777" w:rsidTr="29927AD3">
        <w:trPr>
          <w:trHeight w:val="300"/>
          <w:jc w:val="center"/>
        </w:trPr>
        <w:tc>
          <w:tcPr>
            <w:tcW w:w="4620" w:type="dxa"/>
            <w:vMerge/>
            <w:noWrap/>
            <w:hideMark/>
          </w:tcPr>
          <w:p w14:paraId="72A14064" w14:textId="766192DB" w:rsidR="002417F1" w:rsidRPr="00AA48DD" w:rsidRDefault="002417F1" w:rsidP="0019299E">
            <w:pPr>
              <w:rPr>
                <w:rFonts w:ascii="Calibri" w:eastAsia="Times New Roman" w:hAnsi="Calibri" w:cs="Calibri"/>
                <w:color w:val="000000"/>
                <w:sz w:val="20"/>
                <w:szCs w:val="20"/>
                <w:lang w:eastAsia="en-GB"/>
              </w:rPr>
            </w:pPr>
          </w:p>
        </w:tc>
        <w:tc>
          <w:tcPr>
            <w:tcW w:w="720" w:type="dxa"/>
            <w:noWrap/>
            <w:hideMark/>
          </w:tcPr>
          <w:p w14:paraId="2F3034BD"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67640C9A" w14:textId="165EEEE1"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162 (95.3)</w:t>
            </w:r>
          </w:p>
        </w:tc>
        <w:tc>
          <w:tcPr>
            <w:tcW w:w="1264" w:type="dxa"/>
            <w:noWrap/>
            <w:hideMark/>
          </w:tcPr>
          <w:p w14:paraId="4CC67F0F" w14:textId="5B8C025F"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 (4.7)</w:t>
            </w:r>
          </w:p>
        </w:tc>
        <w:tc>
          <w:tcPr>
            <w:tcW w:w="1201" w:type="dxa"/>
            <w:noWrap/>
            <w:hideMark/>
          </w:tcPr>
          <w:p w14:paraId="42FD8803" w14:textId="24F7062A"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0.603 </w:t>
            </w:r>
          </w:p>
        </w:tc>
      </w:tr>
      <w:tr w:rsidR="005B6EAB" w:rsidRPr="00AA48DD" w14:paraId="61C4E294" w14:textId="77777777" w:rsidTr="29927AD3">
        <w:trPr>
          <w:trHeight w:val="300"/>
          <w:jc w:val="center"/>
        </w:trPr>
        <w:tc>
          <w:tcPr>
            <w:tcW w:w="4620" w:type="dxa"/>
            <w:vMerge w:val="restart"/>
            <w:noWrap/>
            <w:hideMark/>
          </w:tcPr>
          <w:p w14:paraId="244C7C96" w14:textId="106730FD" w:rsidR="002417F1" w:rsidRPr="00AA48DD" w:rsidRDefault="002417F1" w:rsidP="0019299E">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t xml:space="preserve">12) I am concerned about the financial costs associated with buying devices to send </w:t>
            </w:r>
            <w:proofErr w:type="spellStart"/>
            <w:r w:rsidRPr="00AA48DD">
              <w:rPr>
                <w:rFonts w:ascii="Calibri" w:eastAsia="Times New Roman" w:hAnsi="Calibri" w:cs="Calibri"/>
                <w:color w:val="000000"/>
                <w:sz w:val="20"/>
                <w:szCs w:val="20"/>
                <w:lang w:eastAsia="en-GB"/>
              </w:rPr>
              <w:t>telereferrals</w:t>
            </w:r>
            <w:proofErr w:type="spellEnd"/>
            <w:r w:rsidRPr="00AA48DD">
              <w:rPr>
                <w:rFonts w:ascii="Calibri" w:eastAsia="Times New Roman" w:hAnsi="Calibri" w:cs="Calibri"/>
                <w:color w:val="000000"/>
                <w:sz w:val="20"/>
                <w:szCs w:val="20"/>
                <w:lang w:eastAsia="en-GB"/>
              </w:rPr>
              <w:t xml:space="preserve"> or the upkeep of the system.</w:t>
            </w:r>
          </w:p>
        </w:tc>
        <w:tc>
          <w:tcPr>
            <w:tcW w:w="720" w:type="dxa"/>
            <w:noWrap/>
            <w:hideMark/>
          </w:tcPr>
          <w:p w14:paraId="255451CC"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2ED2C7A4" w14:textId="2DD70ECD"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89 (89.0)</w:t>
            </w:r>
          </w:p>
        </w:tc>
        <w:tc>
          <w:tcPr>
            <w:tcW w:w="1264" w:type="dxa"/>
            <w:noWrap/>
            <w:hideMark/>
          </w:tcPr>
          <w:p w14:paraId="5E4FBDEC" w14:textId="2D285113"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11 (11.0)</w:t>
            </w:r>
          </w:p>
        </w:tc>
        <w:tc>
          <w:tcPr>
            <w:tcW w:w="1201" w:type="dxa"/>
            <w:noWrap/>
            <w:hideMark/>
          </w:tcPr>
          <w:p w14:paraId="147EDBD9" w14:textId="5FD1F749"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72848384" w14:textId="77777777" w:rsidTr="29927AD3">
        <w:trPr>
          <w:trHeight w:val="300"/>
          <w:jc w:val="center"/>
        </w:trPr>
        <w:tc>
          <w:tcPr>
            <w:tcW w:w="4620" w:type="dxa"/>
            <w:vMerge/>
            <w:noWrap/>
            <w:hideMark/>
          </w:tcPr>
          <w:p w14:paraId="5935444C" w14:textId="7EF25106" w:rsidR="002417F1" w:rsidRPr="00AA48DD" w:rsidRDefault="002417F1">
            <w:pPr>
              <w:rPr>
                <w:rFonts w:ascii="Calibri" w:eastAsia="Times New Roman" w:hAnsi="Calibri" w:cs="Calibri"/>
                <w:color w:val="000000"/>
                <w:sz w:val="20"/>
                <w:szCs w:val="20"/>
                <w:lang w:eastAsia="en-GB"/>
              </w:rPr>
            </w:pPr>
          </w:p>
        </w:tc>
        <w:tc>
          <w:tcPr>
            <w:tcW w:w="720" w:type="dxa"/>
            <w:noWrap/>
            <w:hideMark/>
          </w:tcPr>
          <w:p w14:paraId="6B89ED1A"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2559E1F4" w14:textId="08510982"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70 (100)</w:t>
            </w:r>
          </w:p>
        </w:tc>
        <w:tc>
          <w:tcPr>
            <w:tcW w:w="1264" w:type="dxa"/>
            <w:noWrap/>
            <w:hideMark/>
          </w:tcPr>
          <w:p w14:paraId="5AFF9F16" w14:textId="1EEA00A9"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0 (0.0)</w:t>
            </w:r>
          </w:p>
        </w:tc>
        <w:tc>
          <w:tcPr>
            <w:tcW w:w="1201" w:type="dxa"/>
            <w:noWrap/>
            <w:hideMark/>
          </w:tcPr>
          <w:p w14:paraId="215FC7E6" w14:textId="7777777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4F32D35F" w14:textId="77777777" w:rsidTr="29927AD3">
        <w:trPr>
          <w:trHeight w:val="300"/>
          <w:jc w:val="center"/>
        </w:trPr>
        <w:tc>
          <w:tcPr>
            <w:tcW w:w="4620" w:type="dxa"/>
            <w:vMerge/>
            <w:noWrap/>
            <w:hideMark/>
          </w:tcPr>
          <w:p w14:paraId="60B64B4C" w14:textId="5869112E" w:rsidR="002417F1" w:rsidRPr="00AA48DD" w:rsidRDefault="002417F1">
            <w:pPr>
              <w:rPr>
                <w:rFonts w:ascii="Calibri" w:eastAsia="Times New Roman" w:hAnsi="Calibri" w:cs="Calibri"/>
                <w:color w:val="000000"/>
                <w:sz w:val="20"/>
                <w:szCs w:val="20"/>
                <w:lang w:eastAsia="en-GB"/>
              </w:rPr>
            </w:pPr>
          </w:p>
        </w:tc>
        <w:tc>
          <w:tcPr>
            <w:tcW w:w="720" w:type="dxa"/>
            <w:noWrap/>
            <w:hideMark/>
          </w:tcPr>
          <w:p w14:paraId="4C7395A0" w14:textId="77777777" w:rsidR="002417F1" w:rsidRPr="00AA48DD" w:rsidRDefault="002417F1" w:rsidP="00F4240B">
            <w:pPr>
              <w:jc w:val="right"/>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Total</w:t>
            </w:r>
          </w:p>
        </w:tc>
        <w:tc>
          <w:tcPr>
            <w:tcW w:w="1545" w:type="dxa"/>
            <w:noWrap/>
            <w:hideMark/>
          </w:tcPr>
          <w:p w14:paraId="093FEE00" w14:textId="082D2289"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159 (93.5)</w:t>
            </w:r>
          </w:p>
        </w:tc>
        <w:tc>
          <w:tcPr>
            <w:tcW w:w="1264" w:type="dxa"/>
            <w:noWrap/>
            <w:hideMark/>
          </w:tcPr>
          <w:p w14:paraId="589AC5F9" w14:textId="2D7A4EE2"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11 (6.5)</w:t>
            </w:r>
          </w:p>
        </w:tc>
        <w:tc>
          <w:tcPr>
            <w:tcW w:w="1201" w:type="dxa"/>
            <w:noWrap/>
            <w:hideMark/>
          </w:tcPr>
          <w:p w14:paraId="430C7009" w14:textId="15088776"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0.004 </w:t>
            </w:r>
          </w:p>
        </w:tc>
      </w:tr>
      <w:tr w:rsidR="005B6EAB" w:rsidRPr="00AA48DD" w14:paraId="58319ACD" w14:textId="77777777" w:rsidTr="29927AD3">
        <w:trPr>
          <w:trHeight w:val="290"/>
          <w:jc w:val="center"/>
        </w:trPr>
        <w:tc>
          <w:tcPr>
            <w:tcW w:w="4620" w:type="dxa"/>
            <w:vMerge w:val="restart"/>
            <w:noWrap/>
            <w:hideMark/>
          </w:tcPr>
          <w:p w14:paraId="6BE3D600" w14:textId="45753A8A" w:rsidR="002417F1" w:rsidRPr="00AA48DD" w:rsidRDefault="002417F1" w:rsidP="00F4240B">
            <w:pPr>
              <w:rPr>
                <w:rFonts w:ascii="Calibri" w:eastAsia="Times New Roman" w:hAnsi="Calibri" w:cs="Calibri"/>
                <w:color w:val="000000"/>
                <w:sz w:val="20"/>
                <w:szCs w:val="20"/>
                <w:lang w:eastAsia="en-GB"/>
              </w:rPr>
            </w:pPr>
            <w:r w:rsidRPr="00AA48DD">
              <w:rPr>
                <w:rFonts w:ascii="Calibri" w:eastAsia="Times New Roman" w:hAnsi="Calibri" w:cs="Calibri"/>
                <w:color w:val="000000"/>
                <w:sz w:val="20"/>
                <w:szCs w:val="20"/>
                <w:lang w:eastAsia="en-GB"/>
              </w:rPr>
              <w:lastRenderedPageBreak/>
              <w:t>Other statement described as the clinicians highest perceived barrier to implementation</w:t>
            </w:r>
          </w:p>
        </w:tc>
        <w:tc>
          <w:tcPr>
            <w:tcW w:w="720" w:type="dxa"/>
            <w:noWrap/>
            <w:hideMark/>
          </w:tcPr>
          <w:p w14:paraId="1E95ACD2"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2019</w:t>
            </w:r>
          </w:p>
        </w:tc>
        <w:tc>
          <w:tcPr>
            <w:tcW w:w="1545" w:type="dxa"/>
            <w:noWrap/>
            <w:hideMark/>
          </w:tcPr>
          <w:p w14:paraId="6F13C0A3" w14:textId="07C05263"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95 (95.0)</w:t>
            </w:r>
          </w:p>
        </w:tc>
        <w:tc>
          <w:tcPr>
            <w:tcW w:w="1264" w:type="dxa"/>
            <w:noWrap/>
            <w:hideMark/>
          </w:tcPr>
          <w:p w14:paraId="11AC4D9E" w14:textId="3E33A4B0"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5 (5.0)</w:t>
            </w:r>
          </w:p>
        </w:tc>
        <w:tc>
          <w:tcPr>
            <w:tcW w:w="1201" w:type="dxa"/>
            <w:noWrap/>
            <w:hideMark/>
          </w:tcPr>
          <w:p w14:paraId="67844400" w14:textId="7EB47C13" w:rsidR="002417F1" w:rsidRPr="00AA48DD" w:rsidRDefault="002417F1" w:rsidP="005B6EAB">
            <w:pPr>
              <w:rPr>
                <w:rFonts w:ascii="Calibri" w:eastAsia="Times New Roman" w:hAnsi="Calibri" w:cs="Calibri"/>
                <w:b/>
                <w:bCs/>
                <w:color w:val="000000"/>
                <w:sz w:val="18"/>
                <w:szCs w:val="18"/>
                <w:lang w:eastAsia="en-GB"/>
              </w:rPr>
            </w:pPr>
          </w:p>
        </w:tc>
      </w:tr>
      <w:tr w:rsidR="005B6EAB" w:rsidRPr="00AA48DD" w14:paraId="7A974238" w14:textId="77777777" w:rsidTr="29927AD3">
        <w:trPr>
          <w:trHeight w:val="300"/>
          <w:jc w:val="center"/>
        </w:trPr>
        <w:tc>
          <w:tcPr>
            <w:tcW w:w="4620" w:type="dxa"/>
            <w:vMerge/>
            <w:noWrap/>
            <w:hideMark/>
          </w:tcPr>
          <w:p w14:paraId="020C8C68" w14:textId="38471D2C" w:rsidR="002417F1" w:rsidRPr="00AA48DD" w:rsidRDefault="002417F1">
            <w:pPr>
              <w:rPr>
                <w:rFonts w:ascii="Calibri" w:eastAsia="Times New Roman" w:hAnsi="Calibri" w:cs="Calibri"/>
                <w:color w:val="000000"/>
                <w:sz w:val="18"/>
                <w:szCs w:val="18"/>
                <w:lang w:eastAsia="en-GB"/>
              </w:rPr>
            </w:pPr>
          </w:p>
        </w:tc>
        <w:tc>
          <w:tcPr>
            <w:tcW w:w="720" w:type="dxa"/>
            <w:noWrap/>
            <w:hideMark/>
          </w:tcPr>
          <w:p w14:paraId="367334C5"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2022</w:t>
            </w:r>
          </w:p>
        </w:tc>
        <w:tc>
          <w:tcPr>
            <w:tcW w:w="1545" w:type="dxa"/>
            <w:noWrap/>
            <w:hideMark/>
          </w:tcPr>
          <w:p w14:paraId="7CBC2BE0" w14:textId="42D15FF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66 (94.3)</w:t>
            </w:r>
          </w:p>
        </w:tc>
        <w:tc>
          <w:tcPr>
            <w:tcW w:w="1264" w:type="dxa"/>
            <w:noWrap/>
            <w:hideMark/>
          </w:tcPr>
          <w:p w14:paraId="5715D83C" w14:textId="27CE6C6F"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4 (5.7)</w:t>
            </w:r>
          </w:p>
        </w:tc>
        <w:tc>
          <w:tcPr>
            <w:tcW w:w="1201" w:type="dxa"/>
            <w:noWrap/>
            <w:hideMark/>
          </w:tcPr>
          <w:p w14:paraId="57A89CE1" w14:textId="7777777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 </w:t>
            </w:r>
          </w:p>
        </w:tc>
      </w:tr>
      <w:tr w:rsidR="005B6EAB" w:rsidRPr="00AA48DD" w14:paraId="5E1105F7" w14:textId="77777777" w:rsidTr="29927AD3">
        <w:trPr>
          <w:trHeight w:val="300"/>
          <w:jc w:val="center"/>
        </w:trPr>
        <w:tc>
          <w:tcPr>
            <w:tcW w:w="4620" w:type="dxa"/>
            <w:vMerge/>
            <w:noWrap/>
            <w:hideMark/>
          </w:tcPr>
          <w:p w14:paraId="17D4606C" w14:textId="440E52F2" w:rsidR="002417F1" w:rsidRPr="00AA48DD" w:rsidRDefault="002417F1">
            <w:pPr>
              <w:rPr>
                <w:rFonts w:ascii="Calibri" w:eastAsia="Times New Roman" w:hAnsi="Calibri" w:cs="Calibri"/>
                <w:color w:val="000000"/>
                <w:sz w:val="18"/>
                <w:szCs w:val="18"/>
                <w:lang w:eastAsia="en-GB"/>
              </w:rPr>
            </w:pPr>
          </w:p>
        </w:tc>
        <w:tc>
          <w:tcPr>
            <w:tcW w:w="720" w:type="dxa"/>
            <w:noWrap/>
            <w:hideMark/>
          </w:tcPr>
          <w:p w14:paraId="4983CF4C" w14:textId="7777777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Total</w:t>
            </w:r>
          </w:p>
        </w:tc>
        <w:tc>
          <w:tcPr>
            <w:tcW w:w="1545" w:type="dxa"/>
            <w:noWrap/>
            <w:hideMark/>
          </w:tcPr>
          <w:p w14:paraId="60B47C10" w14:textId="21A9C833"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161 (94.7)</w:t>
            </w:r>
          </w:p>
        </w:tc>
        <w:tc>
          <w:tcPr>
            <w:tcW w:w="1264" w:type="dxa"/>
            <w:noWrap/>
            <w:hideMark/>
          </w:tcPr>
          <w:p w14:paraId="63F4DB38" w14:textId="306DF547" w:rsidR="002417F1" w:rsidRPr="00AA48DD" w:rsidRDefault="002417F1" w:rsidP="00F4240B">
            <w:pPr>
              <w:jc w:val="right"/>
              <w:rPr>
                <w:rFonts w:ascii="Calibri" w:eastAsia="Times New Roman" w:hAnsi="Calibri" w:cs="Calibri"/>
                <w:color w:val="000000"/>
                <w:sz w:val="18"/>
                <w:szCs w:val="18"/>
                <w:lang w:eastAsia="en-GB"/>
              </w:rPr>
            </w:pPr>
            <w:r w:rsidRPr="00AA48DD">
              <w:rPr>
                <w:rFonts w:ascii="Calibri" w:eastAsia="Times New Roman" w:hAnsi="Calibri" w:cs="Calibri"/>
                <w:color w:val="000000"/>
                <w:sz w:val="18"/>
                <w:szCs w:val="18"/>
                <w:lang w:eastAsia="en-GB"/>
              </w:rPr>
              <w:t>9 (5.3)</w:t>
            </w:r>
          </w:p>
        </w:tc>
        <w:tc>
          <w:tcPr>
            <w:tcW w:w="1201" w:type="dxa"/>
            <w:noWrap/>
            <w:hideMark/>
          </w:tcPr>
          <w:p w14:paraId="4024C7C7" w14:textId="6D08D837" w:rsidR="002417F1" w:rsidRPr="00AA48DD" w:rsidRDefault="002417F1" w:rsidP="005B6EAB">
            <w:pPr>
              <w:rPr>
                <w:rFonts w:ascii="Calibri" w:eastAsia="Times New Roman" w:hAnsi="Calibri" w:cs="Calibri"/>
                <w:b/>
                <w:bCs/>
                <w:color w:val="000000"/>
                <w:sz w:val="18"/>
                <w:szCs w:val="18"/>
                <w:lang w:eastAsia="en-GB"/>
              </w:rPr>
            </w:pPr>
            <w:r w:rsidRPr="00AA48DD">
              <w:rPr>
                <w:rFonts w:ascii="Calibri" w:eastAsia="Times New Roman" w:hAnsi="Calibri" w:cs="Calibri"/>
                <w:b/>
                <w:bCs/>
                <w:color w:val="000000"/>
                <w:sz w:val="18"/>
                <w:szCs w:val="18"/>
                <w:lang w:eastAsia="en-GB"/>
              </w:rPr>
              <w:t>0.838 </w:t>
            </w:r>
          </w:p>
        </w:tc>
      </w:tr>
    </w:tbl>
    <w:p w14:paraId="6F47BA72" w14:textId="77777777" w:rsidR="00676C59" w:rsidRPr="00755AE9" w:rsidRDefault="00676C59" w:rsidP="00F36AB7">
      <w:pPr>
        <w:rPr>
          <w:i/>
          <w:iCs/>
          <w:color w:val="808080" w:themeColor="background1" w:themeShade="80"/>
        </w:rPr>
      </w:pPr>
    </w:p>
    <w:p w14:paraId="7D77CFA3" w14:textId="6661DE1B" w:rsidR="553EE29A" w:rsidRDefault="553EE29A" w:rsidP="553EE29A">
      <w:pPr>
        <w:rPr>
          <w:i/>
          <w:iCs/>
          <w:color w:val="808080" w:themeColor="background1" w:themeShade="80"/>
        </w:rPr>
      </w:pPr>
    </w:p>
    <w:p w14:paraId="4465769E" w14:textId="114FCDC5" w:rsidR="553EE29A" w:rsidRDefault="553EE29A" w:rsidP="553EE29A">
      <w:pPr>
        <w:rPr>
          <w:i/>
          <w:iCs/>
          <w:color w:val="808080" w:themeColor="background1" w:themeShade="80"/>
        </w:rPr>
      </w:pPr>
    </w:p>
    <w:p w14:paraId="174C3B6A" w14:textId="701040CD" w:rsidR="553EE29A" w:rsidRDefault="553EE29A" w:rsidP="553EE29A">
      <w:pPr>
        <w:rPr>
          <w:i/>
          <w:iCs/>
          <w:color w:val="808080" w:themeColor="background1" w:themeShade="80"/>
        </w:rPr>
      </w:pPr>
    </w:p>
    <w:p w14:paraId="0AEAC419" w14:textId="303108EE" w:rsidR="008A7B12" w:rsidRDefault="553EE29A" w:rsidP="008A7B12">
      <w:pPr>
        <w:rPr>
          <w:rFonts w:ascii="Times New Roman" w:hAnsi="Times New Roman" w:cs="Times New Roman"/>
          <w:noProof/>
          <w:sz w:val="24"/>
          <w:szCs w:val="24"/>
        </w:rPr>
      </w:pPr>
      <w:r w:rsidRPr="553EE29A">
        <w:rPr>
          <w:i/>
          <w:iCs/>
          <w:color w:val="808080" w:themeColor="background1" w:themeShade="80"/>
        </w:rPr>
        <w:t>Figure 1: bar chart depicting the statements perceived to be the greatest barriers to burns telemedicine system implementation across the South</w:t>
      </w:r>
      <w:r w:rsidR="00FF5862">
        <w:rPr>
          <w:i/>
          <w:iCs/>
          <w:color w:val="808080" w:themeColor="background1" w:themeShade="80"/>
        </w:rPr>
        <w:t>-</w:t>
      </w:r>
      <w:r w:rsidRPr="553EE29A">
        <w:rPr>
          <w:i/>
          <w:iCs/>
          <w:color w:val="808080" w:themeColor="background1" w:themeShade="80"/>
        </w:rPr>
        <w:t>West United Kingdom in 2019 and 2022, in terms of the percentage of clinicians which ranked a given statement as the single, greatest perceived barrier.</w:t>
      </w:r>
      <w:r w:rsidRPr="553EE29A">
        <w:rPr>
          <w:rFonts w:ascii="Times New Roman" w:hAnsi="Times New Roman" w:cs="Times New Roman"/>
          <w:noProof/>
          <w:sz w:val="24"/>
          <w:szCs w:val="24"/>
        </w:rPr>
        <w:t xml:space="preserve"> </w:t>
      </w:r>
      <w:r w:rsidR="69B24B60">
        <w:rPr>
          <w:noProof/>
        </w:rPr>
        <w:drawing>
          <wp:inline distT="0" distB="0" distL="0" distR="0" wp14:anchorId="59A50223" wp14:editId="6F0FF678">
            <wp:extent cx="4930696" cy="2898000"/>
            <wp:effectExtent l="0" t="0" r="0" b="0"/>
            <wp:docPr id="66" name="Picture 6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8">
                      <a:extLst>
                        <a:ext uri="{28A0092B-C50C-407E-A947-70E740481C1C}">
                          <a14:useLocalDpi xmlns:a14="http://schemas.microsoft.com/office/drawing/2010/main" val="0"/>
                        </a:ext>
                      </a:extLst>
                    </a:blip>
                    <a:stretch>
                      <a:fillRect/>
                    </a:stretch>
                  </pic:blipFill>
                  <pic:spPr>
                    <a:xfrm>
                      <a:off x="0" y="0"/>
                      <a:ext cx="4930696" cy="2898000"/>
                    </a:xfrm>
                    <a:prstGeom prst="rect">
                      <a:avLst/>
                    </a:prstGeom>
                  </pic:spPr>
                </pic:pic>
              </a:graphicData>
            </a:graphic>
          </wp:inline>
        </w:drawing>
      </w:r>
    </w:p>
    <w:p w14:paraId="7FA82AB7" w14:textId="6E86F342" w:rsidR="00022FF3" w:rsidRDefault="00022FF3" w:rsidP="008A7B12">
      <w:pPr>
        <w:rPr>
          <w:rFonts w:ascii="Times New Roman" w:hAnsi="Times New Roman" w:cs="Times New Roman"/>
          <w:noProof/>
          <w:sz w:val="24"/>
          <w:szCs w:val="24"/>
        </w:rPr>
      </w:pPr>
    </w:p>
    <w:p w14:paraId="6F578F4A" w14:textId="37F50052" w:rsidR="69B24B60" w:rsidRDefault="69B24B60">
      <w:r>
        <w:br w:type="page"/>
      </w:r>
    </w:p>
    <w:p w14:paraId="6E4F01EB" w14:textId="1FE8F516" w:rsidR="7057BA07" w:rsidRDefault="69B24B60" w:rsidP="7057BA07">
      <w:r w:rsidRPr="69B24B60">
        <w:rPr>
          <w:b/>
          <w:bCs/>
        </w:rPr>
        <w:lastRenderedPageBreak/>
        <w:t>Discussion</w:t>
      </w:r>
      <w:r>
        <w:t xml:space="preserve"> </w:t>
      </w:r>
    </w:p>
    <w:p w14:paraId="4DB14C03" w14:textId="43A9A9B6" w:rsidR="12E1A998" w:rsidRDefault="526301F2" w:rsidP="526301F2">
      <w:pPr>
        <w:ind w:firstLine="720"/>
        <w:jc w:val="both"/>
        <w:rPr>
          <w:rFonts w:eastAsiaTheme="minorEastAsia"/>
          <w:color w:val="212121"/>
          <w:lang w:val="en-GB"/>
        </w:rPr>
      </w:pPr>
      <w:r>
        <w:t>There were few disciplines in medicine which were unaffected by the measures implemented to counter the Covid-19 pandemic. Burn care was no exception. This included a change in the assessment of patients to a model based on remote advice and management within the community; in a well-resourced country such as the UK, telemedicine was central to this response [15]</w:t>
      </w:r>
      <w:r w:rsidRPr="526301F2">
        <w:rPr>
          <w:rFonts w:eastAsiaTheme="minorEastAsia"/>
          <w:color w:val="212121"/>
          <w:lang w:val="en-GB"/>
        </w:rPr>
        <w:t xml:space="preserve">. In 2018, the SWUK burn network, one of the largest of the four networks within the UK, initiated the roll out of the MDSAS </w:t>
      </w:r>
      <w:proofErr w:type="spellStart"/>
      <w:r w:rsidRPr="526301F2">
        <w:rPr>
          <w:rFonts w:eastAsiaTheme="minorEastAsia"/>
          <w:color w:val="212121"/>
          <w:lang w:val="en-GB"/>
        </w:rPr>
        <w:t>telereferral</w:t>
      </w:r>
      <w:proofErr w:type="spellEnd"/>
      <w:r w:rsidRPr="526301F2">
        <w:rPr>
          <w:rFonts w:eastAsiaTheme="minorEastAsia"/>
          <w:color w:val="212121"/>
          <w:lang w:val="en-GB"/>
        </w:rPr>
        <w:t xml:space="preserve"> system, prior to the requirement for telemedicine within burn care set out in ‘The National Burn Care Standards’ in November 2019 [16]. Therefore, whilst a telemedicine system for referrals was established prior to the pandemic, at that point it was not a mandatory requirement for referral. Anecdotally, there was resistance to its uptake, with telephone referrals still being made. This prompted the first survey of this study in 2019 - to investigate the barriers towards the uptake of telemedicine within this setting. Shortly after the data collection, the Covid-19 pandemic arose and with it the imperative to minimise face-to-face contact. This increased the need to offer care at the initial point of contact guided by remote, expert advice. It did not change the mechanism of burn referrals across the SWUK network as the MDSAS system was already established [17]</w:t>
      </w:r>
      <w:r w:rsidR="00DD6CFD">
        <w:rPr>
          <w:rFonts w:eastAsiaTheme="minorEastAsia"/>
          <w:color w:val="212121"/>
          <w:lang w:val="en-GB"/>
        </w:rPr>
        <w:t>;</w:t>
      </w:r>
      <w:r w:rsidRPr="526301F2">
        <w:rPr>
          <w:rFonts w:eastAsiaTheme="minorEastAsia"/>
          <w:color w:val="212121"/>
          <w:lang w:val="en-GB"/>
        </w:rPr>
        <w:t xml:space="preserve"> rather MDSAS became the network-endorsed portal for referrals across the region. Due to this rapid push to utilise telemedicine, the authors were keen to investigate whether referring clinicians had changed their attitudes to the system through mandatory usage at the time of the pandemic.</w:t>
      </w:r>
    </w:p>
    <w:p w14:paraId="24463B70" w14:textId="3FDDB211" w:rsidR="5527A10F" w:rsidRDefault="54237A41" w:rsidP="714D0DF3">
      <w:pPr>
        <w:ind w:firstLine="720"/>
        <w:jc w:val="both"/>
        <w:rPr>
          <w:rFonts w:eastAsiaTheme="minorEastAsia"/>
          <w:color w:val="212121"/>
          <w:lang w:val="en-GB"/>
        </w:rPr>
      </w:pPr>
      <w:r w:rsidRPr="54237A41">
        <w:rPr>
          <w:rFonts w:eastAsiaTheme="minorEastAsia"/>
          <w:color w:val="212121"/>
          <w:lang w:val="en-GB"/>
        </w:rPr>
        <w:t xml:space="preserve">Key domains identified using a comprehensive literature search were diverse and included those related to </w:t>
      </w:r>
      <w:r w:rsidRPr="54237A41">
        <w:rPr>
          <w:rFonts w:eastAsiaTheme="minorEastAsia"/>
          <w:i/>
          <w:iCs/>
          <w:color w:val="212121"/>
          <w:lang w:val="en-GB"/>
        </w:rPr>
        <w:t>infrastructure</w:t>
      </w:r>
      <w:r w:rsidRPr="54237A41">
        <w:rPr>
          <w:rFonts w:eastAsiaTheme="minorEastAsia"/>
          <w:color w:val="212121"/>
          <w:lang w:val="en-GB"/>
        </w:rPr>
        <w:t xml:space="preserve"> (</w:t>
      </w:r>
      <w:r w:rsidRPr="54237A41">
        <w:rPr>
          <w:rFonts w:eastAsiaTheme="minorEastAsia"/>
          <w:i/>
          <w:iCs/>
          <w:color w:val="212121"/>
          <w:lang w:val="en-GB"/>
        </w:rPr>
        <w:t>e.g.</w:t>
      </w:r>
      <w:r w:rsidRPr="54237A41">
        <w:rPr>
          <w:rFonts w:eastAsiaTheme="minorEastAsia"/>
          <w:color w:val="212121"/>
          <w:lang w:val="en-GB"/>
        </w:rPr>
        <w:t xml:space="preserve"> access to </w:t>
      </w:r>
      <w:proofErr w:type="spellStart"/>
      <w:r w:rsidRPr="54237A41">
        <w:rPr>
          <w:rFonts w:eastAsiaTheme="minorEastAsia"/>
          <w:color w:val="212121"/>
          <w:lang w:val="en-GB"/>
        </w:rPr>
        <w:t>WiFi</w:t>
      </w:r>
      <w:proofErr w:type="spellEnd"/>
      <w:r w:rsidRPr="54237A41">
        <w:rPr>
          <w:rFonts w:eastAsiaTheme="minorEastAsia"/>
          <w:color w:val="212121"/>
          <w:lang w:val="en-GB"/>
        </w:rPr>
        <w:t xml:space="preserve"> or financial cost)</w:t>
      </w:r>
      <w:r w:rsidR="00B775D4">
        <w:rPr>
          <w:rFonts w:eastAsiaTheme="minorEastAsia"/>
          <w:color w:val="212121"/>
          <w:lang w:val="en-GB"/>
        </w:rPr>
        <w:t>,</w:t>
      </w:r>
      <w:r w:rsidRPr="54237A41">
        <w:rPr>
          <w:rFonts w:eastAsiaTheme="minorEastAsia"/>
          <w:color w:val="212121"/>
          <w:lang w:val="en-GB"/>
        </w:rPr>
        <w:t xml:space="preserve"> </w:t>
      </w:r>
      <w:r w:rsidRPr="54237A41">
        <w:rPr>
          <w:rFonts w:eastAsiaTheme="minorEastAsia"/>
          <w:i/>
          <w:iCs/>
          <w:color w:val="212121"/>
          <w:lang w:val="en-GB"/>
        </w:rPr>
        <w:t>process</w:t>
      </w:r>
      <w:r w:rsidRPr="54237A41">
        <w:rPr>
          <w:rFonts w:eastAsiaTheme="minorEastAsia"/>
          <w:color w:val="212121"/>
          <w:lang w:val="en-GB"/>
        </w:rPr>
        <w:t xml:space="preserve"> (</w:t>
      </w:r>
      <w:r w:rsidRPr="54237A41">
        <w:rPr>
          <w:rFonts w:eastAsiaTheme="minorEastAsia"/>
          <w:i/>
          <w:iCs/>
          <w:color w:val="212121"/>
          <w:lang w:val="en-GB"/>
        </w:rPr>
        <w:t>e.g.</w:t>
      </w:r>
      <w:r w:rsidRPr="54237A41">
        <w:rPr>
          <w:rFonts w:eastAsiaTheme="minorEastAsia"/>
          <w:color w:val="212121"/>
          <w:lang w:val="en-GB"/>
        </w:rPr>
        <w:t xml:space="preserve"> extra time required to create a referral or handling data security)</w:t>
      </w:r>
      <w:r w:rsidR="00B775D4">
        <w:rPr>
          <w:rFonts w:eastAsiaTheme="minorEastAsia"/>
          <w:color w:val="212121"/>
          <w:lang w:val="en-GB"/>
        </w:rPr>
        <w:t>,</w:t>
      </w:r>
      <w:r w:rsidRPr="54237A41">
        <w:rPr>
          <w:rFonts w:eastAsiaTheme="minorEastAsia"/>
          <w:color w:val="212121"/>
          <w:lang w:val="en-GB"/>
        </w:rPr>
        <w:t xml:space="preserve"> and </w:t>
      </w:r>
      <w:r w:rsidRPr="54237A41">
        <w:rPr>
          <w:rFonts w:eastAsiaTheme="minorEastAsia"/>
          <w:i/>
          <w:iCs/>
          <w:color w:val="212121"/>
          <w:lang w:val="en-GB"/>
        </w:rPr>
        <w:t>general attitudes</w:t>
      </w:r>
      <w:r w:rsidRPr="54237A41">
        <w:rPr>
          <w:rFonts w:eastAsiaTheme="minorEastAsia"/>
          <w:color w:val="212121"/>
          <w:lang w:val="en-GB"/>
        </w:rPr>
        <w:t xml:space="preserve"> (</w:t>
      </w:r>
      <w:r w:rsidRPr="54237A41">
        <w:rPr>
          <w:rFonts w:eastAsiaTheme="minorEastAsia"/>
          <w:i/>
          <w:iCs/>
          <w:color w:val="212121"/>
          <w:lang w:val="en-GB"/>
        </w:rPr>
        <w:t xml:space="preserve">e.g. </w:t>
      </w:r>
      <w:r w:rsidRPr="54237A41">
        <w:rPr>
          <w:rFonts w:eastAsiaTheme="minorEastAsia"/>
          <w:color w:val="212121"/>
          <w:lang w:val="en-GB"/>
        </w:rPr>
        <w:t>being adept with technology or suspicious of telemedicine’s utility) [17-20].  A questionnaire was developed and piloted across three ED and MIU sites with no telemedicine experience to probe the potential barriers to telemedicine implementation. This honed the specific barriers to the twelve detailed in the final questionnaire (first column of tables 2 and 3) which encompassed most of the reasons detailed by these respondents.  Additionally, a free response in the final questionnaire permitted 'other’ barriers to be identified which were not covered by the twelve pre-selected options.  As a confirmatory step, as well as the respondents being asked to identify their agreement or disagreement with the twelve pre-defined statements (Table 2), they were also asked to identify their single, most pre-eminent barrier (Table 3).  There was good concordance between the two approaches.</w:t>
      </w:r>
    </w:p>
    <w:p w14:paraId="7E9AD048" w14:textId="21119CAF" w:rsidR="0F36D608" w:rsidRDefault="6833E2F3" w:rsidP="6833E2F3">
      <w:pPr>
        <w:ind w:firstLine="720"/>
        <w:jc w:val="both"/>
        <w:rPr>
          <w:rFonts w:eastAsiaTheme="minorEastAsia"/>
          <w:color w:val="212121"/>
          <w:lang w:val="en-GB"/>
        </w:rPr>
      </w:pPr>
      <w:r w:rsidRPr="6833E2F3">
        <w:rPr>
          <w:rFonts w:eastAsiaTheme="minorEastAsia"/>
          <w:color w:val="212121"/>
          <w:lang w:val="en-GB"/>
        </w:rPr>
        <w:t xml:space="preserve">The background of the respondents was similar across both time periods, with the majority being of a nursing background (mean 79.7%), with similar levels of training and annual exposure to burns.  Nurses comprise </w:t>
      </w:r>
      <w:proofErr w:type="gramStart"/>
      <w:r w:rsidRPr="6833E2F3">
        <w:rPr>
          <w:rFonts w:eastAsiaTheme="minorEastAsia"/>
          <w:color w:val="212121"/>
          <w:lang w:val="en-GB"/>
        </w:rPr>
        <w:t>the majority of</w:t>
      </w:r>
      <w:proofErr w:type="gramEnd"/>
      <w:r w:rsidRPr="6833E2F3">
        <w:rPr>
          <w:rFonts w:eastAsiaTheme="minorEastAsia"/>
          <w:color w:val="212121"/>
          <w:lang w:val="en-GB"/>
        </w:rPr>
        <w:t xml:space="preserve"> staff of MIUs across the SWUK region. Additionally, there are more MIUs compared to EDs in the SWUK region, making the respondents representative of the care providers in this region. It was notable that most of the respondents reported seeing relatively large numbers of burns (&gt;100/annum for a mean 51.9% across both time periods).  The only significant demographic trend (p&lt;0.002) between the two cohorts was the reduction in relative emergency department experience between 2019 and 2022; in the latter, there was a marked reduction in staff with more than 26 years’ experience.  This could be for many reasons. One of which could be more senior staff stepping back from frontline duties due to either a perceived greater susceptibility to Covid-19 or an increased rate of anxiety, </w:t>
      </w:r>
      <w:proofErr w:type="gramStart"/>
      <w:r w:rsidRPr="6833E2F3">
        <w:rPr>
          <w:rFonts w:eastAsiaTheme="minorEastAsia"/>
          <w:color w:val="212121"/>
          <w:lang w:val="en-GB"/>
        </w:rPr>
        <w:t>depression</w:t>
      </w:r>
      <w:proofErr w:type="gramEnd"/>
      <w:r w:rsidRPr="6833E2F3">
        <w:rPr>
          <w:rFonts w:eastAsiaTheme="minorEastAsia"/>
          <w:color w:val="212121"/>
          <w:lang w:val="en-GB"/>
        </w:rPr>
        <w:t xml:space="preserve"> and burnout, linked to their seniority and increased responsibility, during the pandemic [21].</w:t>
      </w:r>
    </w:p>
    <w:p w14:paraId="48F08FE9" w14:textId="331FE272" w:rsidR="5527A10F" w:rsidRDefault="714D0DF3" w:rsidP="714D0DF3">
      <w:pPr>
        <w:ind w:firstLine="720"/>
        <w:jc w:val="both"/>
        <w:rPr>
          <w:rFonts w:eastAsiaTheme="minorEastAsia"/>
          <w:color w:val="212121"/>
          <w:lang w:val="en-GB"/>
        </w:rPr>
      </w:pPr>
      <w:r w:rsidRPr="714D0DF3">
        <w:rPr>
          <w:rFonts w:eastAsiaTheme="minorEastAsia"/>
          <w:color w:val="212121"/>
          <w:lang w:val="en-GB"/>
        </w:rPr>
        <w:lastRenderedPageBreak/>
        <w:t xml:space="preserve">With regards to agreement or disagreement with the pre-defined statements about barriers to implementation of telemedicine, most (mean of 54.7% across both time periods) concurred that a </w:t>
      </w:r>
      <w:r w:rsidRPr="714D0DF3">
        <w:rPr>
          <w:rFonts w:eastAsiaTheme="minorEastAsia"/>
          <w:i/>
          <w:iCs/>
          <w:color w:val="212121"/>
          <w:lang w:val="en-GB"/>
        </w:rPr>
        <w:t xml:space="preserve">lack of reliable </w:t>
      </w:r>
      <w:proofErr w:type="spellStart"/>
      <w:r w:rsidRPr="714D0DF3">
        <w:rPr>
          <w:rFonts w:eastAsiaTheme="minorEastAsia"/>
          <w:i/>
          <w:iCs/>
          <w:color w:val="212121"/>
          <w:lang w:val="en-GB"/>
        </w:rPr>
        <w:t>WiFi</w:t>
      </w:r>
      <w:proofErr w:type="spellEnd"/>
      <w:r w:rsidRPr="714D0DF3">
        <w:rPr>
          <w:rFonts w:eastAsiaTheme="minorEastAsia"/>
          <w:color w:val="212121"/>
          <w:lang w:val="en-GB"/>
        </w:rPr>
        <w:t xml:space="preserve"> and the </w:t>
      </w:r>
      <w:r w:rsidRPr="714D0DF3">
        <w:rPr>
          <w:rFonts w:eastAsiaTheme="minorEastAsia"/>
          <w:i/>
          <w:iCs/>
          <w:color w:val="212121"/>
          <w:lang w:val="en-GB"/>
        </w:rPr>
        <w:t>duplication of paper and electronic notes</w:t>
      </w:r>
      <w:r w:rsidRPr="714D0DF3">
        <w:rPr>
          <w:rFonts w:eastAsiaTheme="minorEastAsia"/>
          <w:color w:val="212121"/>
          <w:lang w:val="en-GB"/>
        </w:rPr>
        <w:t xml:space="preserve"> were the most important factors, with no significant change between 2019 and 2022. This was mirrored by the answers when the respondents were asked to rank the most pre-eminent barrier. These results are in keeping with a recent systematic review of telehealth in burns, where unstable connections to telehealth platforms were identified as a key challenge within its 36 studies [22]. Reliable </w:t>
      </w:r>
      <w:proofErr w:type="spellStart"/>
      <w:r w:rsidRPr="714D0DF3">
        <w:rPr>
          <w:rFonts w:eastAsiaTheme="minorEastAsia"/>
          <w:color w:val="212121"/>
          <w:lang w:val="en-GB"/>
        </w:rPr>
        <w:t>WiFi</w:t>
      </w:r>
      <w:proofErr w:type="spellEnd"/>
      <w:r w:rsidRPr="714D0DF3">
        <w:rPr>
          <w:rFonts w:eastAsiaTheme="minorEastAsia"/>
          <w:color w:val="212121"/>
          <w:lang w:val="en-GB"/>
        </w:rPr>
        <w:t xml:space="preserve"> is a pre-requisite for using the MDSAS system as the clinicians’ personal device is used for taking photographs of the burn which is then transmitted to the cloud server. For MDSAS, in keeping with other telemedicine systems, the local record of the history must be supplemented with the same information within the electronic referral.  This clearly creates extra work for the referrer as opposed to the traditional paper medical record and subsequent telephone call to a burn service.  Therefore, in terms of the adoption of similar systems, an efficient </w:t>
      </w:r>
      <w:proofErr w:type="spellStart"/>
      <w:r w:rsidRPr="714D0DF3">
        <w:rPr>
          <w:rFonts w:eastAsiaTheme="minorEastAsia"/>
          <w:color w:val="212121"/>
          <w:lang w:val="en-GB"/>
        </w:rPr>
        <w:t>WiFi</w:t>
      </w:r>
      <w:proofErr w:type="spellEnd"/>
      <w:r w:rsidRPr="714D0DF3">
        <w:rPr>
          <w:rFonts w:eastAsiaTheme="minorEastAsia"/>
          <w:color w:val="212121"/>
          <w:lang w:val="en-GB"/>
        </w:rPr>
        <w:t xml:space="preserve"> network would appear to be paramount and for the electronic referral, emphasis on a minimum data set, relating the history and assessment, would appear to encourage usage.</w:t>
      </w:r>
    </w:p>
    <w:p w14:paraId="5012F5DA" w14:textId="38AA32D9" w:rsidR="00E44C5D" w:rsidRDefault="714D0DF3" w:rsidP="4F837C53">
      <w:pPr>
        <w:ind w:firstLine="720"/>
        <w:jc w:val="both"/>
        <w:rPr>
          <w:rFonts w:eastAsiaTheme="minorEastAsia"/>
          <w:color w:val="212121"/>
          <w:lang w:val="en-GB"/>
        </w:rPr>
      </w:pPr>
      <w:r w:rsidRPr="714D0DF3">
        <w:rPr>
          <w:rFonts w:eastAsiaTheme="minorEastAsia"/>
          <w:color w:val="212121"/>
          <w:lang w:val="en-GB"/>
        </w:rPr>
        <w:t xml:space="preserve">As noted previously [7], infrastructure, demonstrated as </w:t>
      </w:r>
      <w:r w:rsidRPr="714D0DF3">
        <w:rPr>
          <w:rFonts w:eastAsiaTheme="minorEastAsia"/>
          <w:i/>
          <w:iCs/>
          <w:color w:val="212121"/>
          <w:lang w:val="en-GB"/>
        </w:rPr>
        <w:t xml:space="preserve">an inadequate number of devices within the department </w:t>
      </w:r>
      <w:r w:rsidRPr="714D0DF3">
        <w:rPr>
          <w:rFonts w:eastAsiaTheme="minorEastAsia"/>
          <w:color w:val="212121"/>
          <w:lang w:val="en-GB"/>
        </w:rPr>
        <w:t xml:space="preserve">(statement 7), was indicated as the next most concerning barrier.  In practice, given that personal phones with cameras are increasingly ubiquitous, this is more likely to relate to NHS computers for entering the patient history. Therefore, a core minimum of available PC’s connected to the NHS network would be a pre-requisite to establishing a telemedicine system.  Several of the other most frequently cited barriers would be easily surmounted by rigorous education about the system including: a personal ability to use technology (statement 1), concerns about data backup (statement 5 -  reassuringly, the MDSAS system has a dual mirroring of data which can be accessed retrospectively), and miscommunication (statement 3) due to a temporal gap between the referral being sent and the decision being given by a burn service.  Many of these concerns become less pressing after the Covid-19 period, with items such as miscommunication, number of devices and financial concerns dropping statistically in terms of relative significance.  The latter is particularly notable as the MDSAS has few set-up costs and is free to use, so it is reassuring that this seems to have been more widely acknowledged. </w:t>
      </w:r>
    </w:p>
    <w:p w14:paraId="6A99DB93" w14:textId="3ABA4EA4" w:rsidR="5527A10F" w:rsidRDefault="79310744" w:rsidP="36409090">
      <w:pPr>
        <w:ind w:firstLine="720"/>
        <w:jc w:val="both"/>
        <w:rPr>
          <w:rFonts w:eastAsiaTheme="minorEastAsia"/>
          <w:color w:val="212121"/>
          <w:lang w:val="en-GB"/>
        </w:rPr>
      </w:pPr>
      <w:r w:rsidRPr="79310744">
        <w:rPr>
          <w:rFonts w:eastAsiaTheme="minorEastAsia"/>
          <w:color w:val="212121"/>
          <w:lang w:val="en-GB"/>
        </w:rPr>
        <w:t xml:space="preserve">Conversely, one barrier that increased in its relative importance during the pandemic was the </w:t>
      </w:r>
      <w:r w:rsidRPr="79310744">
        <w:rPr>
          <w:rFonts w:eastAsiaTheme="minorEastAsia"/>
          <w:i/>
          <w:iCs/>
          <w:color w:val="212121"/>
          <w:lang w:val="en-GB"/>
        </w:rPr>
        <w:t xml:space="preserve">waste of time having to wait for a response sent through telemedicine images </w:t>
      </w:r>
      <w:r w:rsidRPr="79310744">
        <w:rPr>
          <w:rFonts w:eastAsiaTheme="minorEastAsia"/>
          <w:color w:val="212121"/>
          <w:lang w:val="en-GB"/>
        </w:rPr>
        <w:t xml:space="preserve">(20% in 2019, 35.7% in 2022; p=0.022).  The lack of immediate feedback, which was previously available with telephone referrals, is perceived as being a hindrance to progression.  This issue is hard to surmount without the receiving burn service being constantly vigilant to new electronic referrals and/or the referrer chasing with an immediate phone call </w:t>
      </w:r>
      <w:r w:rsidR="00B775D4">
        <w:rPr>
          <w:rFonts w:eastAsiaTheme="minorEastAsia"/>
          <w:color w:val="212121"/>
          <w:lang w:val="en-GB"/>
        </w:rPr>
        <w:t>(stipulated as essential</w:t>
      </w:r>
      <w:r w:rsidRPr="79310744">
        <w:rPr>
          <w:rFonts w:eastAsiaTheme="minorEastAsia"/>
          <w:color w:val="212121"/>
          <w:lang w:val="en-GB"/>
        </w:rPr>
        <w:t xml:space="preserve"> by the MDSA system</w:t>
      </w:r>
      <w:r w:rsidR="00B775D4">
        <w:rPr>
          <w:rFonts w:eastAsiaTheme="minorEastAsia"/>
          <w:color w:val="212121"/>
          <w:lang w:val="en-GB"/>
        </w:rPr>
        <w:t>)</w:t>
      </w:r>
      <w:r w:rsidRPr="79310744">
        <w:rPr>
          <w:rFonts w:eastAsiaTheme="minorEastAsia"/>
          <w:color w:val="212121"/>
          <w:lang w:val="en-GB"/>
        </w:rPr>
        <w:t>, albeit this result</w:t>
      </w:r>
      <w:r w:rsidR="00B775D4">
        <w:rPr>
          <w:rFonts w:eastAsiaTheme="minorEastAsia"/>
          <w:color w:val="212121"/>
          <w:lang w:val="en-GB"/>
        </w:rPr>
        <w:t>ing</w:t>
      </w:r>
      <w:r w:rsidRPr="79310744">
        <w:rPr>
          <w:rFonts w:eastAsiaTheme="minorEastAsia"/>
          <w:color w:val="212121"/>
          <w:lang w:val="en-GB"/>
        </w:rPr>
        <w:t xml:space="preserve"> in adding extra work. Another feasible way of increasingly the responsiveness of the receiving service is to </w:t>
      </w:r>
      <w:r w:rsidR="00B775D4">
        <w:rPr>
          <w:rFonts w:eastAsiaTheme="minorEastAsia"/>
          <w:color w:val="212121"/>
          <w:lang w:val="en-GB"/>
        </w:rPr>
        <w:t>trigger</w:t>
      </w:r>
      <w:r w:rsidRPr="79310744">
        <w:rPr>
          <w:rFonts w:eastAsiaTheme="minorEastAsia"/>
          <w:color w:val="212121"/>
          <w:lang w:val="en-GB"/>
        </w:rPr>
        <w:t xml:space="preserve"> the system to send an automated email every time a new referral is received.  The software can be set to do this, but again, it relies on the receiving clinician reviewing their emails on a regular basis.  An unexpected finding was how relatively low the issues of data security (statement 11) rank in the approaches detailed in both tables 2 and 3.  Equally, patient consent was only detailed once in ‘other’ potential barriers to a telemedicine system.  Contrary to previous work [7], it seems that the NHS staff in this study are relatively trusting with regards to the information governance issues surrounding telemedicine referrals.</w:t>
      </w:r>
    </w:p>
    <w:p w14:paraId="0AC17CB5" w14:textId="7B29A41C" w:rsidR="79310744" w:rsidRDefault="6833E2F3" w:rsidP="6833E2F3">
      <w:pPr>
        <w:ind w:firstLine="720"/>
        <w:jc w:val="both"/>
        <w:rPr>
          <w:color w:val="000000" w:themeColor="text1"/>
        </w:rPr>
      </w:pPr>
      <w:r w:rsidRPr="002F7381">
        <w:rPr>
          <w:rFonts w:eastAsiaTheme="minorEastAsia"/>
          <w:color w:val="212121"/>
          <w:lang w:val="en-GB"/>
        </w:rPr>
        <w:t xml:space="preserve">Although this study has focussed on conditions specific to the MDSAS, there are overarching considerations that can be translated to other telemedicine systems, as highlighted in a recent systematic review exploring the challenges of using telemedicine in burn management [22]. MDSAS has managed to </w:t>
      </w:r>
      <w:r w:rsidR="004F49A5" w:rsidRPr="002F7381">
        <w:rPr>
          <w:rFonts w:eastAsiaTheme="minorEastAsia"/>
          <w:color w:val="212121"/>
          <w:lang w:val="en-GB"/>
        </w:rPr>
        <w:lastRenderedPageBreak/>
        <w:t>address</w:t>
      </w:r>
      <w:r w:rsidRPr="002F7381">
        <w:rPr>
          <w:rFonts w:eastAsiaTheme="minorEastAsia"/>
          <w:color w:val="212121"/>
          <w:lang w:val="en-GB"/>
        </w:rPr>
        <w:t xml:space="preserve"> several barriers, such as inadequate number of devices</w:t>
      </w:r>
      <w:r w:rsidR="004F49A5" w:rsidRPr="002F7381">
        <w:rPr>
          <w:rFonts w:eastAsiaTheme="minorEastAsia"/>
          <w:color w:val="212121"/>
          <w:lang w:val="en-GB"/>
        </w:rPr>
        <w:t xml:space="preserve">, </w:t>
      </w:r>
      <w:r w:rsidRPr="002F7381">
        <w:rPr>
          <w:rFonts w:eastAsiaTheme="minorEastAsia"/>
          <w:color w:val="212121"/>
          <w:lang w:val="en-GB"/>
        </w:rPr>
        <w:t xml:space="preserve">potential miscommunication between the referring and accepting parties </w:t>
      </w:r>
      <w:r w:rsidR="004F49A5" w:rsidRPr="002F7381">
        <w:rPr>
          <w:rFonts w:eastAsiaTheme="minorEastAsia"/>
          <w:color w:val="212121"/>
          <w:lang w:val="en-GB"/>
        </w:rPr>
        <w:t xml:space="preserve">and concerns over </w:t>
      </w:r>
      <w:r w:rsidRPr="002F7381">
        <w:rPr>
          <w:rFonts w:eastAsiaTheme="minorEastAsia"/>
          <w:color w:val="212121"/>
          <w:lang w:val="en-GB"/>
        </w:rPr>
        <w:t xml:space="preserve">financial </w:t>
      </w:r>
      <w:r w:rsidR="004F49A5" w:rsidRPr="002F7381">
        <w:rPr>
          <w:rFonts w:eastAsiaTheme="minorEastAsia"/>
          <w:color w:val="212121"/>
          <w:lang w:val="en-GB"/>
        </w:rPr>
        <w:t>outlay</w:t>
      </w:r>
      <w:r w:rsidRPr="002F7381">
        <w:rPr>
          <w:rFonts w:eastAsiaTheme="minorEastAsia"/>
          <w:color w:val="212121"/>
          <w:lang w:val="en-GB"/>
        </w:rPr>
        <w:t xml:space="preserve">. </w:t>
      </w:r>
      <w:r w:rsidR="004F49A5" w:rsidRPr="002F7381">
        <w:rPr>
          <w:rFonts w:eastAsiaTheme="minorEastAsia"/>
          <w:color w:val="212121"/>
          <w:lang w:val="en-GB"/>
        </w:rPr>
        <w:t>The lessons from this setting could be transposed to new systems.  ‘</w:t>
      </w:r>
      <w:r w:rsidRPr="002F7381">
        <w:rPr>
          <w:rFonts w:eastAsiaTheme="minorEastAsia"/>
          <w:color w:val="212121"/>
          <w:lang w:val="en-GB"/>
        </w:rPr>
        <w:t>Inadequate devices</w:t>
      </w:r>
      <w:r w:rsidR="004F49A5" w:rsidRPr="002F7381">
        <w:rPr>
          <w:rFonts w:eastAsiaTheme="minorEastAsia"/>
          <w:color w:val="212121"/>
          <w:lang w:val="en-GB"/>
        </w:rPr>
        <w:t>’</w:t>
      </w:r>
      <w:r w:rsidRPr="002F7381">
        <w:rPr>
          <w:rFonts w:eastAsiaTheme="minorEastAsia"/>
          <w:color w:val="212121"/>
          <w:lang w:val="en-GB"/>
        </w:rPr>
        <w:t xml:space="preserve"> </w:t>
      </w:r>
      <w:r w:rsidR="004F49A5" w:rsidRPr="002F7381">
        <w:rPr>
          <w:rFonts w:eastAsiaTheme="minorEastAsia"/>
          <w:color w:val="212121"/>
          <w:lang w:val="en-GB"/>
        </w:rPr>
        <w:t xml:space="preserve">within a department </w:t>
      </w:r>
      <w:r w:rsidR="00B20BFE" w:rsidRPr="002F7381">
        <w:rPr>
          <w:rFonts w:eastAsiaTheme="minorEastAsia"/>
          <w:color w:val="212121"/>
          <w:lang w:val="en-GB"/>
        </w:rPr>
        <w:t>has</w:t>
      </w:r>
      <w:r w:rsidR="004F49A5" w:rsidRPr="002F7381">
        <w:rPr>
          <w:rFonts w:eastAsiaTheme="minorEastAsia"/>
          <w:color w:val="212121"/>
          <w:lang w:val="en-GB"/>
        </w:rPr>
        <w:t xml:space="preserve"> been surmounted by the usage of one’s own, personal digital device to relay images in a secure, encrypted manner.</w:t>
      </w:r>
      <w:r w:rsidR="00B20BFE" w:rsidRPr="002F7381">
        <w:rPr>
          <w:rFonts w:eastAsiaTheme="minorEastAsia"/>
          <w:color w:val="212121"/>
          <w:lang w:val="en-GB"/>
        </w:rPr>
        <w:t xml:space="preserve"> </w:t>
      </w:r>
      <w:r w:rsidRPr="002F7381">
        <w:rPr>
          <w:rFonts w:eastAsiaTheme="minorEastAsia"/>
          <w:color w:val="212121"/>
          <w:lang w:val="en-GB"/>
        </w:rPr>
        <w:t xml:space="preserve"> </w:t>
      </w:r>
      <w:r w:rsidR="00B20BFE" w:rsidRPr="002F7381">
        <w:rPr>
          <w:rFonts w:eastAsiaTheme="minorEastAsia"/>
          <w:color w:val="212121"/>
          <w:lang w:val="en-GB"/>
        </w:rPr>
        <w:t>The</w:t>
      </w:r>
      <w:r w:rsidRPr="002F7381">
        <w:rPr>
          <w:rFonts w:eastAsiaTheme="minorEastAsia"/>
          <w:color w:val="212121"/>
          <w:lang w:val="en-GB"/>
        </w:rPr>
        <w:t xml:space="preserve"> barrier of miscommunication </w:t>
      </w:r>
      <w:r w:rsidR="00B20BFE" w:rsidRPr="002F7381">
        <w:rPr>
          <w:rFonts w:eastAsiaTheme="minorEastAsia"/>
          <w:color w:val="212121"/>
          <w:lang w:val="en-GB"/>
        </w:rPr>
        <w:t>of clinical information</w:t>
      </w:r>
      <w:r w:rsidRPr="002F7381">
        <w:rPr>
          <w:rFonts w:eastAsiaTheme="minorEastAsia"/>
          <w:color w:val="212121"/>
          <w:lang w:val="en-GB"/>
        </w:rPr>
        <w:t xml:space="preserve"> [17], was found to be less pressing after Covid-19. This could potentially be due to </w:t>
      </w:r>
      <w:r w:rsidR="00B20BFE" w:rsidRPr="002F7381">
        <w:rPr>
          <w:rFonts w:eastAsiaTheme="minorEastAsia"/>
          <w:color w:val="212121"/>
          <w:lang w:val="en-GB"/>
        </w:rPr>
        <w:t>increased familiarity and usage of the system</w:t>
      </w:r>
      <w:r w:rsidRPr="002F7381">
        <w:rPr>
          <w:rFonts w:eastAsiaTheme="minorEastAsia"/>
          <w:color w:val="212121"/>
          <w:lang w:val="en-GB"/>
        </w:rPr>
        <w:t xml:space="preserve"> resulting in </w:t>
      </w:r>
      <w:r w:rsidR="00B20BFE" w:rsidRPr="002F7381">
        <w:rPr>
          <w:rFonts w:eastAsiaTheme="minorEastAsia"/>
          <w:color w:val="212121"/>
          <w:lang w:val="en-GB"/>
        </w:rPr>
        <w:t>improved confidence about the fidelity of information transfer on to a receiving unit</w:t>
      </w:r>
      <w:r w:rsidRPr="002F7381">
        <w:rPr>
          <w:rFonts w:eastAsiaTheme="minorEastAsia"/>
          <w:color w:val="212121"/>
          <w:lang w:val="en-GB"/>
        </w:rPr>
        <w:t xml:space="preserve">. </w:t>
      </w:r>
      <w:r w:rsidR="00B20BFE" w:rsidRPr="002F7381">
        <w:rPr>
          <w:rFonts w:eastAsiaTheme="minorEastAsia"/>
          <w:color w:val="212121"/>
          <w:lang w:val="en-GB"/>
        </w:rPr>
        <w:t xml:space="preserve">Consequently, an enhanced training period with experience of making trial referrals might encourage confidence to improve the adoption of future telemedicine systems. </w:t>
      </w:r>
      <w:r w:rsidRPr="002F7381">
        <w:rPr>
          <w:rFonts w:eastAsiaTheme="minorEastAsia"/>
          <w:color w:val="212121"/>
          <w:lang w:val="en-GB"/>
        </w:rPr>
        <w:t xml:space="preserve">Finally, allowing the system to be free to use relieved the potential financial burden of </w:t>
      </w:r>
      <w:r w:rsidR="00B20BFE" w:rsidRPr="002F7381">
        <w:rPr>
          <w:rFonts w:eastAsiaTheme="minorEastAsia"/>
          <w:color w:val="212121"/>
          <w:lang w:val="en-GB"/>
        </w:rPr>
        <w:t>both set up and maintenance costs</w:t>
      </w:r>
      <w:r w:rsidRPr="002F7381">
        <w:rPr>
          <w:rFonts w:eastAsiaTheme="minorEastAsia"/>
          <w:color w:val="212121"/>
          <w:lang w:val="en-GB"/>
        </w:rPr>
        <w:t xml:space="preserve">. </w:t>
      </w:r>
      <w:r w:rsidR="00B20BFE" w:rsidRPr="002F7381">
        <w:rPr>
          <w:rFonts w:eastAsiaTheme="minorEastAsia"/>
          <w:color w:val="212121"/>
          <w:lang w:val="en-GB"/>
        </w:rPr>
        <w:t xml:space="preserve">It would be prudent for future systems to place minimal financial burden on the referring services. </w:t>
      </w:r>
      <w:r w:rsidRPr="002F7381">
        <w:rPr>
          <w:rFonts w:eastAsiaTheme="minorEastAsia"/>
          <w:color w:val="212121"/>
          <w:lang w:val="en-GB"/>
        </w:rPr>
        <w:t xml:space="preserve">However, there were a few factors highlighted in both years which remained barriers. The lack of reliable Wi-Fi </w:t>
      </w:r>
      <w:r w:rsidR="00B20BFE" w:rsidRPr="002F7381">
        <w:rPr>
          <w:rFonts w:eastAsiaTheme="minorEastAsia"/>
          <w:color w:val="212121"/>
          <w:lang w:val="en-GB"/>
        </w:rPr>
        <w:t>is not unique to the</w:t>
      </w:r>
      <w:r w:rsidRPr="002F7381">
        <w:rPr>
          <w:rFonts w:eastAsiaTheme="minorEastAsia"/>
          <w:color w:val="212121"/>
          <w:lang w:val="en-GB"/>
        </w:rPr>
        <w:t xml:space="preserve"> MDSAS</w:t>
      </w:r>
      <w:r w:rsidR="00B20BFE" w:rsidRPr="002F7381">
        <w:rPr>
          <w:rFonts w:eastAsiaTheme="minorEastAsia"/>
          <w:color w:val="212121"/>
          <w:lang w:val="en-GB"/>
        </w:rPr>
        <w:t xml:space="preserve"> system</w:t>
      </w:r>
      <w:r w:rsidRPr="002F7381">
        <w:rPr>
          <w:rFonts w:eastAsiaTheme="minorEastAsia"/>
          <w:color w:val="212121"/>
          <w:lang w:val="en-GB"/>
        </w:rPr>
        <w:t xml:space="preserve"> and </w:t>
      </w:r>
      <w:r w:rsidR="00B20BFE" w:rsidRPr="002F7381">
        <w:rPr>
          <w:rFonts w:eastAsiaTheme="minorEastAsia"/>
          <w:color w:val="212121"/>
          <w:lang w:val="en-GB"/>
        </w:rPr>
        <w:t>has been</w:t>
      </w:r>
      <w:r w:rsidRPr="002F7381">
        <w:rPr>
          <w:rFonts w:eastAsiaTheme="minorEastAsia"/>
          <w:color w:val="212121"/>
          <w:lang w:val="en-GB"/>
        </w:rPr>
        <w:t xml:space="preserve"> highlighted </w:t>
      </w:r>
      <w:r w:rsidR="00B20BFE" w:rsidRPr="002F7381">
        <w:rPr>
          <w:rFonts w:eastAsiaTheme="minorEastAsia"/>
          <w:color w:val="212121"/>
          <w:lang w:val="en-GB"/>
        </w:rPr>
        <w:t>for other telemedicine systems</w:t>
      </w:r>
      <w:r w:rsidRPr="002F7381">
        <w:rPr>
          <w:rFonts w:eastAsiaTheme="minorEastAsia"/>
          <w:color w:val="212121"/>
          <w:lang w:val="en-GB"/>
        </w:rPr>
        <w:t xml:space="preserve"> [10, 23, 24, 25]. Therefore, the ability for existing </w:t>
      </w:r>
      <w:r w:rsidR="00B20BFE" w:rsidRPr="002F7381">
        <w:rPr>
          <w:rFonts w:eastAsiaTheme="minorEastAsia"/>
          <w:color w:val="212121"/>
          <w:lang w:val="en-GB"/>
        </w:rPr>
        <w:t>networks</w:t>
      </w:r>
      <w:r w:rsidRPr="002F7381">
        <w:rPr>
          <w:rFonts w:eastAsiaTheme="minorEastAsia"/>
          <w:color w:val="212121"/>
          <w:lang w:val="en-GB"/>
        </w:rPr>
        <w:t xml:space="preserve"> to support the increase</w:t>
      </w:r>
      <w:r w:rsidR="00B20BFE" w:rsidRPr="002F7381">
        <w:rPr>
          <w:rFonts w:eastAsiaTheme="minorEastAsia"/>
          <w:color w:val="212121"/>
          <w:lang w:val="en-GB"/>
        </w:rPr>
        <w:t>d</w:t>
      </w:r>
      <w:r w:rsidRPr="002F7381">
        <w:rPr>
          <w:rFonts w:eastAsiaTheme="minorEastAsia"/>
          <w:color w:val="212121"/>
          <w:lang w:val="en-GB"/>
        </w:rPr>
        <w:t xml:space="preserve"> demand </w:t>
      </w:r>
      <w:r w:rsidR="00B20BFE" w:rsidRPr="002F7381">
        <w:rPr>
          <w:rFonts w:eastAsiaTheme="minorEastAsia"/>
          <w:color w:val="212121"/>
          <w:lang w:val="en-GB"/>
        </w:rPr>
        <w:t>arising from</w:t>
      </w:r>
      <w:r w:rsidRPr="002F7381">
        <w:rPr>
          <w:rFonts w:eastAsiaTheme="minorEastAsia"/>
          <w:color w:val="212121"/>
          <w:lang w:val="en-GB"/>
        </w:rPr>
        <w:t xml:space="preserve"> tele</w:t>
      </w:r>
      <w:r w:rsidR="00B20BFE" w:rsidRPr="002F7381">
        <w:rPr>
          <w:rFonts w:eastAsiaTheme="minorEastAsia"/>
          <w:color w:val="212121"/>
          <w:lang w:val="en-GB"/>
        </w:rPr>
        <w:t xml:space="preserve">medicine </w:t>
      </w:r>
      <w:r w:rsidRPr="002F7381">
        <w:rPr>
          <w:rFonts w:eastAsiaTheme="minorEastAsia"/>
          <w:color w:val="212121"/>
          <w:lang w:val="en-GB"/>
        </w:rPr>
        <w:t xml:space="preserve">systems should be considered </w:t>
      </w:r>
      <w:r w:rsidR="00B20BFE" w:rsidRPr="002F7381">
        <w:rPr>
          <w:rFonts w:eastAsiaTheme="minorEastAsia"/>
          <w:color w:val="212121"/>
          <w:lang w:val="en-GB"/>
        </w:rPr>
        <w:t>up</w:t>
      </w:r>
      <w:r w:rsidRPr="002F7381">
        <w:rPr>
          <w:rFonts w:eastAsiaTheme="minorEastAsia"/>
          <w:color w:val="212121"/>
          <w:lang w:val="en-GB"/>
        </w:rPr>
        <w:t>on implementation. Lastly, the duplication of electronic notes and wait time for responses were two barriers which were still present in 2022. The</w:t>
      </w:r>
      <w:r w:rsidR="00B20BFE" w:rsidRPr="002F7381">
        <w:rPr>
          <w:rFonts w:eastAsiaTheme="minorEastAsia"/>
          <w:color w:val="212121"/>
          <w:lang w:val="en-GB"/>
        </w:rPr>
        <w:t xml:space="preserve"> former</w:t>
      </w:r>
      <w:r w:rsidRPr="002F7381">
        <w:rPr>
          <w:rFonts w:eastAsiaTheme="minorEastAsia"/>
          <w:color w:val="212121"/>
          <w:lang w:val="en-GB"/>
        </w:rPr>
        <w:t xml:space="preserve"> could be overcome in </w:t>
      </w:r>
      <w:r w:rsidR="00B20BFE" w:rsidRPr="002F7381">
        <w:rPr>
          <w:rFonts w:eastAsiaTheme="minorEastAsia"/>
          <w:color w:val="212121"/>
          <w:lang w:val="en-GB"/>
        </w:rPr>
        <w:t>new</w:t>
      </w:r>
      <w:r w:rsidRPr="002F7381">
        <w:rPr>
          <w:rFonts w:eastAsiaTheme="minorEastAsia"/>
          <w:color w:val="212121"/>
          <w:lang w:val="en-GB"/>
        </w:rPr>
        <w:t xml:space="preserve"> systems through the integration of the referral system to existing documenting systems</w:t>
      </w:r>
      <w:r w:rsidR="00B20BFE" w:rsidRPr="002F7381">
        <w:rPr>
          <w:rFonts w:eastAsiaTheme="minorEastAsia"/>
          <w:color w:val="212121"/>
          <w:lang w:val="en-GB"/>
        </w:rPr>
        <w:t>, so</w:t>
      </w:r>
      <w:r w:rsidRPr="002F7381">
        <w:rPr>
          <w:rFonts w:eastAsiaTheme="minorEastAsia"/>
          <w:color w:val="212121"/>
          <w:lang w:val="en-GB"/>
        </w:rPr>
        <w:t xml:space="preserve"> eliminating the need for duplication</w:t>
      </w:r>
      <w:r w:rsidR="00B20BFE" w:rsidRPr="002F7381">
        <w:rPr>
          <w:rFonts w:eastAsiaTheme="minorEastAsia"/>
          <w:color w:val="212121"/>
          <w:lang w:val="en-GB"/>
        </w:rPr>
        <w:t>.  The latter could be imaginatively addressed by</w:t>
      </w:r>
      <w:r w:rsidRPr="002F7381">
        <w:rPr>
          <w:rFonts w:eastAsiaTheme="minorEastAsia"/>
          <w:color w:val="212121"/>
          <w:lang w:val="en-GB"/>
        </w:rPr>
        <w:t xml:space="preserve"> the receiving team</w:t>
      </w:r>
      <w:r w:rsidR="00B20BFE" w:rsidRPr="002F7381">
        <w:rPr>
          <w:rFonts w:eastAsiaTheme="minorEastAsia"/>
          <w:color w:val="212121"/>
          <w:lang w:val="en-GB"/>
        </w:rPr>
        <w:t xml:space="preserve"> being alerted to</w:t>
      </w:r>
      <w:r w:rsidRPr="002F7381">
        <w:rPr>
          <w:rFonts w:eastAsiaTheme="minorEastAsia"/>
          <w:color w:val="212121"/>
          <w:lang w:val="en-GB"/>
        </w:rPr>
        <w:t xml:space="preserve"> new referrals </w:t>
      </w:r>
      <w:r w:rsidR="00B20BFE" w:rsidRPr="002F7381">
        <w:rPr>
          <w:rFonts w:eastAsiaTheme="minorEastAsia"/>
          <w:color w:val="212121"/>
          <w:lang w:val="en-GB"/>
        </w:rPr>
        <w:t>in real time</w:t>
      </w:r>
      <w:r w:rsidR="00D26434" w:rsidRPr="002F7381">
        <w:rPr>
          <w:rFonts w:eastAsiaTheme="minorEastAsia"/>
          <w:color w:val="212121"/>
          <w:lang w:val="en-GB"/>
        </w:rPr>
        <w:t xml:space="preserve"> – perhaps by text messaging or equivalent - </w:t>
      </w:r>
      <w:r w:rsidRPr="002F7381">
        <w:rPr>
          <w:rFonts w:eastAsiaTheme="minorEastAsia"/>
          <w:color w:val="212121"/>
          <w:lang w:val="en-GB"/>
        </w:rPr>
        <w:t xml:space="preserve">to increase responsiveness. With several of these concerns also </w:t>
      </w:r>
      <w:r w:rsidR="00D26434" w:rsidRPr="002F7381">
        <w:rPr>
          <w:rFonts w:eastAsiaTheme="minorEastAsia"/>
          <w:color w:val="212121"/>
          <w:lang w:val="en-GB"/>
        </w:rPr>
        <w:t xml:space="preserve">confirmed </w:t>
      </w:r>
      <w:r w:rsidRPr="002F7381">
        <w:rPr>
          <w:rFonts w:eastAsiaTheme="minorEastAsia"/>
          <w:color w:val="212121"/>
          <w:lang w:val="en-GB"/>
        </w:rPr>
        <w:t xml:space="preserve">by </w:t>
      </w:r>
      <w:r w:rsidR="00D26434" w:rsidRPr="002F7381">
        <w:rPr>
          <w:color w:val="000000" w:themeColor="text1"/>
        </w:rPr>
        <w:t>other groups [22]</w:t>
      </w:r>
      <w:r w:rsidRPr="002F7381">
        <w:rPr>
          <w:color w:val="000000" w:themeColor="text1"/>
        </w:rPr>
        <w:t xml:space="preserve">, these findings are applicable </w:t>
      </w:r>
      <w:r w:rsidR="00D26434" w:rsidRPr="002F7381">
        <w:rPr>
          <w:color w:val="000000" w:themeColor="text1"/>
        </w:rPr>
        <w:t xml:space="preserve">more globally </w:t>
      </w:r>
      <w:r w:rsidRPr="002F7381">
        <w:rPr>
          <w:color w:val="000000" w:themeColor="text1"/>
        </w:rPr>
        <w:t>to the implementation of telemedicine within burns networks across developed healthcare systems.</w:t>
      </w:r>
    </w:p>
    <w:p w14:paraId="724BFD68" w14:textId="4ABA93F9" w:rsidR="79310744" w:rsidRDefault="79310744" w:rsidP="79310744">
      <w:pPr>
        <w:ind w:firstLine="720"/>
        <w:jc w:val="both"/>
        <w:rPr>
          <w:rFonts w:eastAsiaTheme="minorEastAsia"/>
          <w:color w:val="212121"/>
          <w:lang w:val="en-GB"/>
        </w:rPr>
      </w:pPr>
    </w:p>
    <w:p w14:paraId="44924FCC" w14:textId="7C1A3F6C" w:rsidR="00B6574F" w:rsidRPr="000C24C1" w:rsidRDefault="5527A10F" w:rsidP="69B24B60">
      <w:pPr>
        <w:jc w:val="both"/>
        <w:rPr>
          <w:i/>
          <w:iCs/>
        </w:rPr>
      </w:pPr>
      <w:r w:rsidRPr="5527A10F">
        <w:rPr>
          <w:i/>
          <w:iCs/>
        </w:rPr>
        <w:t>Limitations</w:t>
      </w:r>
    </w:p>
    <w:p w14:paraId="7F39359D" w14:textId="2C8DADE0" w:rsidR="26061B35" w:rsidRDefault="6833E2F3" w:rsidP="26061B35">
      <w:pPr>
        <w:jc w:val="both"/>
      </w:pPr>
      <w:r>
        <w:t xml:space="preserve">The SWUK burn network accepts referrals from many more MIUs than </w:t>
      </w:r>
      <w:proofErr w:type="spellStart"/>
      <w:r>
        <w:t>EDs.</w:t>
      </w:r>
      <w:proofErr w:type="spellEnd"/>
      <w:r>
        <w:t xml:space="preserve"> The former are predominantly in a more rural setting and are run by experienced nursing staff who may have variable exposure to telemedicine systems and theoretically less dedicated teaching about their usage.  Rural MIUs may be more amenable to telemedicine referrals out of necessity for safe care from remote, expert providers, with more patient satisfaction if care can be provided locally [26].  Consequently, the findings of this study may not extrapolate fully to the opinion of urban EDs which have a greater contingent of medical staff.  Moreover, this study cannot assess the influence of background factors other than the Covid-19 pandemic [11] which might have changed opinion</w:t>
      </w:r>
      <w:r w:rsidR="00D26434">
        <w:t>s</w:t>
      </w:r>
      <w:r>
        <w:t xml:space="preserve"> about telemedicine with time.  For example, there might have been greater acceptance of the MDSAS system purely through the effects of habituation.  However, the findings of this study echo those of other groups within the SWUK network who found that the same system had a marked effect with an improvement in care [17]. </w:t>
      </w:r>
      <w:r w:rsidR="00D26434">
        <w:rPr>
          <w:highlight w:val="yellow"/>
        </w:rPr>
        <w:t>Finally</w:t>
      </w:r>
      <w:r w:rsidRPr="6833E2F3">
        <w:rPr>
          <w:highlight w:val="yellow"/>
        </w:rPr>
        <w:t>, the South-West</w:t>
      </w:r>
      <w:r w:rsidR="00D26434">
        <w:rPr>
          <w:highlight w:val="yellow"/>
        </w:rPr>
        <w:t xml:space="preserve"> UK</w:t>
      </w:r>
      <w:r w:rsidRPr="6833E2F3">
        <w:rPr>
          <w:highlight w:val="yellow"/>
        </w:rPr>
        <w:t xml:space="preserve"> region may have differing </w:t>
      </w:r>
      <w:r w:rsidR="00D26434" w:rsidRPr="6833E2F3">
        <w:rPr>
          <w:highlight w:val="yellow"/>
        </w:rPr>
        <w:t xml:space="preserve">burn </w:t>
      </w:r>
      <w:r w:rsidRPr="6833E2F3">
        <w:rPr>
          <w:highlight w:val="yellow"/>
        </w:rPr>
        <w:t>injury epidemiology</w:t>
      </w:r>
      <w:r w:rsidR="00D26434">
        <w:rPr>
          <w:highlight w:val="yellow"/>
        </w:rPr>
        <w:t xml:space="preserve">, </w:t>
      </w:r>
      <w:proofErr w:type="spellStart"/>
      <w:proofErr w:type="gramStart"/>
      <w:r w:rsidR="00D26434">
        <w:rPr>
          <w:highlight w:val="yellow"/>
        </w:rPr>
        <w:t>aetiology</w:t>
      </w:r>
      <w:proofErr w:type="spellEnd"/>
      <w:proofErr w:type="gramEnd"/>
      <w:r w:rsidR="00D26434">
        <w:rPr>
          <w:highlight w:val="yellow"/>
        </w:rPr>
        <w:t xml:space="preserve"> and referral pathways</w:t>
      </w:r>
      <w:r w:rsidRPr="6833E2F3">
        <w:rPr>
          <w:highlight w:val="yellow"/>
        </w:rPr>
        <w:t xml:space="preserve"> to </w:t>
      </w:r>
      <w:r w:rsidR="00D26434">
        <w:rPr>
          <w:highlight w:val="yellow"/>
        </w:rPr>
        <w:t>other developed world settings</w:t>
      </w:r>
      <w:r w:rsidRPr="6833E2F3">
        <w:rPr>
          <w:highlight w:val="yellow"/>
        </w:rPr>
        <w:t xml:space="preserve">, so care should be taken in </w:t>
      </w:r>
      <w:r w:rsidR="00D26434">
        <w:rPr>
          <w:highlight w:val="yellow"/>
        </w:rPr>
        <w:t>extrapolation of these results to similar settings</w:t>
      </w:r>
      <w:r w:rsidRPr="6833E2F3">
        <w:rPr>
          <w:highlight w:val="yellow"/>
        </w:rPr>
        <w:t>. However</w:t>
      </w:r>
      <w:r w:rsidR="00D26434">
        <w:rPr>
          <w:highlight w:val="yellow"/>
        </w:rPr>
        <w:t>,</w:t>
      </w:r>
      <w:r w:rsidRPr="6833E2F3">
        <w:rPr>
          <w:highlight w:val="yellow"/>
        </w:rPr>
        <w:t xml:space="preserve"> many of our findings, regarding both benefits and potential improvements for telemedicine systems, remain consistent with similar themes identified in other regions utilizing telemedicine for </w:t>
      </w:r>
      <w:r w:rsidR="00D26434">
        <w:rPr>
          <w:highlight w:val="yellow"/>
        </w:rPr>
        <w:t>a variety of</w:t>
      </w:r>
      <w:r w:rsidRPr="6833E2F3">
        <w:rPr>
          <w:highlight w:val="yellow"/>
        </w:rPr>
        <w:t xml:space="preserve"> specialist </w:t>
      </w:r>
      <w:r w:rsidR="00D26434">
        <w:rPr>
          <w:highlight w:val="yellow"/>
        </w:rPr>
        <w:t>opinions</w:t>
      </w:r>
      <w:r w:rsidRPr="6833E2F3">
        <w:rPr>
          <w:highlight w:val="yellow"/>
        </w:rPr>
        <w:t xml:space="preserve"> [5,12].</w:t>
      </w:r>
    </w:p>
    <w:p w14:paraId="70EA1FF2" w14:textId="77A91348" w:rsidR="7057BA07" w:rsidRPr="00B537D6" w:rsidRDefault="5527A10F" w:rsidP="69B24B60">
      <w:pPr>
        <w:jc w:val="both"/>
        <w:rPr>
          <w:b/>
          <w:bCs/>
        </w:rPr>
      </w:pPr>
      <w:r w:rsidRPr="5527A10F">
        <w:rPr>
          <w:b/>
          <w:bCs/>
        </w:rPr>
        <w:t xml:space="preserve">Conclusions </w:t>
      </w:r>
    </w:p>
    <w:p w14:paraId="6E224F14" w14:textId="4AB5BE97" w:rsidR="00501F39" w:rsidRDefault="5527A10F" w:rsidP="69B24B60">
      <w:pPr>
        <w:ind w:firstLine="720"/>
        <w:jc w:val="both"/>
      </w:pPr>
      <w:r>
        <w:t xml:space="preserve">Overall, across the SWUK burn network, clinicians displayed a positive attitude towards the MDSAS telemedicine system, finding it an efficient tool for acute burn referrals. This has only improved </w:t>
      </w:r>
      <w:r>
        <w:lastRenderedPageBreak/>
        <w:t>with the increased experience in telemedicine through the imperatives of the Covid-19 pandemic, particularly in relation to spheres such as the miscommunication of information, access to devices to make a referral, and the fiscal impact of setting up and running the system. However, there continue to be concerns over the time pressures that this specific telemedicine system places upon the referring clinician and the quality of existing Wi-Fi infrastructure. This study identifies several key domains which can be targeted in relation to resource allocation for the adoption of future telemedicine systems for burn injuries.</w:t>
      </w:r>
    </w:p>
    <w:p w14:paraId="0DAF7B7B" w14:textId="77777777" w:rsidR="00501F39" w:rsidRDefault="00501F39"/>
    <w:p w14:paraId="2982DB59" w14:textId="77777777" w:rsidR="00501F39" w:rsidRDefault="00501F39"/>
    <w:p w14:paraId="4A23D4F6" w14:textId="77777777" w:rsidR="007B028F" w:rsidRDefault="007B028F"/>
    <w:p w14:paraId="5B20D532" w14:textId="77777777" w:rsidR="007B028F" w:rsidRDefault="007B028F"/>
    <w:p w14:paraId="2F4F0195" w14:textId="77777777" w:rsidR="007B028F" w:rsidRDefault="007B028F"/>
    <w:p w14:paraId="03E43F7A" w14:textId="0F85E461" w:rsidR="69B24B60" w:rsidRDefault="69B24B60">
      <w:r>
        <w:br w:type="page"/>
      </w:r>
    </w:p>
    <w:p w14:paraId="10F5A4F0" w14:textId="77777777" w:rsidR="00B33F8E" w:rsidRPr="00B12767" w:rsidRDefault="00B33F8E" w:rsidP="00B12767">
      <w:pPr>
        <w:spacing w:line="276" w:lineRule="auto"/>
        <w:rPr>
          <w:rFonts w:cstheme="minorHAnsi"/>
          <w:b/>
          <w:bCs/>
          <w:color w:val="000000" w:themeColor="text1"/>
        </w:rPr>
      </w:pPr>
      <w:r w:rsidRPr="00B12767">
        <w:rPr>
          <w:rFonts w:cstheme="minorHAnsi"/>
          <w:b/>
          <w:bCs/>
          <w:color w:val="000000" w:themeColor="text1"/>
        </w:rPr>
        <w:lastRenderedPageBreak/>
        <w:t>References</w:t>
      </w:r>
    </w:p>
    <w:p w14:paraId="68953D8A" w14:textId="6CB0CCF4" w:rsidR="00B537D6" w:rsidRPr="00B12767" w:rsidRDefault="00B537D6"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rPr>
        <w:t xml:space="preserve">Saaiq M. Caveats do not constitute contradictions for early excision and grafting of deep burns in a well-equipped burn centre. Burns 2018; 44. </w:t>
      </w:r>
      <w:proofErr w:type="spellStart"/>
      <w:r w:rsidRPr="00B12767">
        <w:rPr>
          <w:rFonts w:cstheme="minorHAnsi"/>
          <w:color w:val="000000" w:themeColor="text1"/>
        </w:rPr>
        <w:t>Epub</w:t>
      </w:r>
      <w:proofErr w:type="spellEnd"/>
      <w:r w:rsidRPr="00B12767">
        <w:rPr>
          <w:rFonts w:cstheme="minorHAnsi"/>
          <w:color w:val="000000" w:themeColor="text1"/>
        </w:rPr>
        <w:t xml:space="preserve"> ahead of print February 2018. DOI: 10.1016/j.burns.2017.09.024.</w:t>
      </w:r>
    </w:p>
    <w:p w14:paraId="1B315396" w14:textId="77777777" w:rsidR="00E87466" w:rsidRPr="00B12767" w:rsidRDefault="00E87466" w:rsidP="00B12767">
      <w:pPr>
        <w:pStyle w:val="ListParagraph"/>
        <w:numPr>
          <w:ilvl w:val="0"/>
          <w:numId w:val="21"/>
        </w:numPr>
        <w:spacing w:after="0" w:line="276" w:lineRule="auto"/>
        <w:rPr>
          <w:rFonts w:cstheme="minorHAnsi"/>
          <w:color w:val="000000" w:themeColor="text1"/>
        </w:rPr>
      </w:pPr>
      <w:proofErr w:type="spellStart"/>
      <w:r w:rsidRPr="00B12767">
        <w:rPr>
          <w:rFonts w:cstheme="minorHAnsi"/>
          <w:color w:val="000000" w:themeColor="text1"/>
        </w:rPr>
        <w:t>Roa</w:t>
      </w:r>
      <w:proofErr w:type="spellEnd"/>
      <w:r w:rsidRPr="00B12767">
        <w:rPr>
          <w:rFonts w:cstheme="minorHAnsi"/>
          <w:color w:val="000000" w:themeColor="text1"/>
        </w:rPr>
        <w:t xml:space="preserve"> L, Gómez-</w:t>
      </w:r>
      <w:proofErr w:type="spellStart"/>
      <w:r w:rsidRPr="00B12767">
        <w:rPr>
          <w:rFonts w:cstheme="minorHAnsi"/>
          <w:color w:val="000000" w:themeColor="text1"/>
        </w:rPr>
        <w:t>Cía</w:t>
      </w:r>
      <w:proofErr w:type="spellEnd"/>
      <w:r w:rsidRPr="00B12767">
        <w:rPr>
          <w:rFonts w:cstheme="minorHAnsi"/>
          <w:color w:val="000000" w:themeColor="text1"/>
        </w:rPr>
        <w:t xml:space="preserve"> T, </w:t>
      </w:r>
      <w:proofErr w:type="spellStart"/>
      <w:r w:rsidRPr="00B12767">
        <w:rPr>
          <w:rFonts w:cstheme="minorHAnsi"/>
          <w:color w:val="000000" w:themeColor="text1"/>
        </w:rPr>
        <w:t>Acha</w:t>
      </w:r>
      <w:proofErr w:type="spellEnd"/>
      <w:r w:rsidRPr="00B12767">
        <w:rPr>
          <w:rFonts w:cstheme="minorHAnsi"/>
          <w:color w:val="000000" w:themeColor="text1"/>
        </w:rPr>
        <w:t xml:space="preserve"> B, Serrano C. Digital imaging in remote diagnosis of burns. Burns. 1999 Nov;25(7):617-23. </w:t>
      </w:r>
      <w:proofErr w:type="spellStart"/>
      <w:r w:rsidRPr="00B12767">
        <w:rPr>
          <w:rFonts w:cstheme="minorHAnsi"/>
          <w:color w:val="000000" w:themeColor="text1"/>
        </w:rPr>
        <w:t>doi</w:t>
      </w:r>
      <w:proofErr w:type="spellEnd"/>
      <w:r w:rsidRPr="00B12767">
        <w:rPr>
          <w:rFonts w:cstheme="minorHAnsi"/>
          <w:color w:val="000000" w:themeColor="text1"/>
        </w:rPr>
        <w:t>: 10.1016/s0305-4179(99)00053-4. PMID: 10563688.</w:t>
      </w:r>
    </w:p>
    <w:p w14:paraId="5C146F7D" w14:textId="76A4B044" w:rsidR="00CB1DCA" w:rsidRDefault="00B12767" w:rsidP="00CB1DCA">
      <w:pPr>
        <w:pStyle w:val="ListParagraph"/>
        <w:numPr>
          <w:ilvl w:val="0"/>
          <w:numId w:val="21"/>
        </w:numPr>
        <w:spacing w:after="0" w:line="276" w:lineRule="auto"/>
        <w:rPr>
          <w:rFonts w:cstheme="minorHAnsi"/>
          <w:color w:val="000000" w:themeColor="text1"/>
        </w:rPr>
      </w:pPr>
      <w:r w:rsidRPr="00B12767">
        <w:rPr>
          <w:rFonts w:cstheme="minorHAnsi"/>
          <w:color w:val="000000" w:themeColor="text1"/>
        </w:rPr>
        <w:t xml:space="preserve">MD/SAS </w:t>
      </w:r>
      <w:r w:rsidR="00B537D6" w:rsidRPr="00B12767">
        <w:rPr>
          <w:rFonts w:cstheme="minorHAnsi"/>
          <w:color w:val="000000" w:themeColor="text1"/>
        </w:rPr>
        <w:t>Burns Referral System.</w:t>
      </w:r>
      <w:r w:rsidR="00A465C6" w:rsidRPr="00B12767">
        <w:rPr>
          <w:rFonts w:cstheme="minorHAnsi"/>
          <w:color w:val="000000" w:themeColor="text1"/>
        </w:rPr>
        <w:t xml:space="preserve"> </w:t>
      </w:r>
      <w:r w:rsidR="00B537D6" w:rsidRPr="00B12767">
        <w:rPr>
          <w:rFonts w:cstheme="minorHAnsi"/>
          <w:color w:val="000000" w:themeColor="text1"/>
        </w:rPr>
        <w:t>Medical Data Solutions and Services</w:t>
      </w:r>
      <w:r w:rsidR="00FD0D46">
        <w:rPr>
          <w:rFonts w:cstheme="minorHAnsi"/>
          <w:color w:val="000000" w:themeColor="text1"/>
        </w:rPr>
        <w:t xml:space="preserve"> [Internet]</w:t>
      </w:r>
      <w:r w:rsidR="00B537D6" w:rsidRPr="00B12767">
        <w:rPr>
          <w:rFonts w:cstheme="minorHAnsi"/>
          <w:color w:val="000000" w:themeColor="text1"/>
        </w:rPr>
        <w:t xml:space="preserve">. </w:t>
      </w:r>
      <w:r w:rsidR="000B1AEB" w:rsidRPr="00B12767">
        <w:rPr>
          <w:rFonts w:cstheme="minorHAnsi"/>
          <w:color w:val="000000" w:themeColor="text1"/>
        </w:rPr>
        <w:t xml:space="preserve">Available from: </w:t>
      </w:r>
      <w:hyperlink r:id="rId9" w:history="1">
        <w:r w:rsidR="000B1AEB" w:rsidRPr="00B12767">
          <w:rPr>
            <w:rStyle w:val="Hyperlink"/>
            <w:rFonts w:cstheme="minorHAnsi"/>
            <w:color w:val="000000" w:themeColor="text1"/>
          </w:rPr>
          <w:t>https://www.mdsas.com/burns-referrals/</w:t>
        </w:r>
      </w:hyperlink>
      <w:r w:rsidR="000B1AEB" w:rsidRPr="00B12767">
        <w:rPr>
          <w:rFonts w:cstheme="minorHAnsi"/>
          <w:color w:val="000000" w:themeColor="text1"/>
        </w:rPr>
        <w:t xml:space="preserve"> [last accessed 15 August 2023]</w:t>
      </w:r>
      <w:r w:rsidRPr="00B12767">
        <w:rPr>
          <w:rFonts w:cstheme="minorHAnsi"/>
          <w:color w:val="000000" w:themeColor="text1"/>
        </w:rPr>
        <w:t>.</w:t>
      </w:r>
    </w:p>
    <w:p w14:paraId="3F66576D" w14:textId="637FE730" w:rsidR="00CB1DCA" w:rsidRPr="007A7145" w:rsidRDefault="007A7145" w:rsidP="00CB1DCA">
      <w:pPr>
        <w:pStyle w:val="ListParagraph"/>
        <w:numPr>
          <w:ilvl w:val="0"/>
          <w:numId w:val="21"/>
        </w:numPr>
        <w:spacing w:after="0" w:line="276" w:lineRule="auto"/>
        <w:rPr>
          <w:rFonts w:cstheme="minorHAnsi"/>
          <w:color w:val="000000" w:themeColor="text1"/>
        </w:rPr>
      </w:pPr>
      <w:r w:rsidRPr="007A7145">
        <w:rPr>
          <w:rFonts w:cstheme="minorHAnsi"/>
          <w:color w:val="000000" w:themeColor="text1"/>
        </w:rPr>
        <w:t>Independent Information Governance Oversight Panel.</w:t>
      </w:r>
      <w:r>
        <w:rPr>
          <w:rFonts w:cstheme="minorHAnsi"/>
          <w:color w:val="000000" w:themeColor="text1"/>
        </w:rPr>
        <w:t xml:space="preserve"> </w:t>
      </w:r>
      <w:r w:rsidR="00CB1DCA" w:rsidRPr="007A7145">
        <w:rPr>
          <w:rFonts w:cstheme="minorHAnsi"/>
          <w:i/>
          <w:iCs/>
          <w:color w:val="000000" w:themeColor="text1"/>
        </w:rPr>
        <w:t>Information: To share or not to share? The Information Governance Review.</w:t>
      </w:r>
      <w:r w:rsidR="00CB1DCA" w:rsidRPr="007A7145">
        <w:rPr>
          <w:rFonts w:cstheme="minorHAnsi"/>
          <w:color w:val="000000" w:themeColor="text1"/>
        </w:rPr>
        <w:t xml:space="preserve"> </w:t>
      </w:r>
      <w:r w:rsidRPr="007A7145">
        <w:rPr>
          <w:rFonts w:cstheme="minorHAnsi"/>
          <w:color w:val="000000" w:themeColor="text1"/>
        </w:rPr>
        <w:t>[Internet]</w:t>
      </w:r>
      <w:r>
        <w:rPr>
          <w:rFonts w:cstheme="minorHAnsi"/>
          <w:color w:val="000000" w:themeColor="text1"/>
        </w:rPr>
        <w:t xml:space="preserve"> </w:t>
      </w:r>
      <w:r w:rsidR="00BA5927">
        <w:rPr>
          <w:rFonts w:cstheme="minorHAnsi"/>
          <w:color w:val="000000" w:themeColor="text1"/>
        </w:rPr>
        <w:t xml:space="preserve">London: </w:t>
      </w:r>
      <w:r w:rsidR="00A022DE">
        <w:rPr>
          <w:rFonts w:cstheme="minorHAnsi"/>
          <w:color w:val="000000" w:themeColor="text1"/>
        </w:rPr>
        <w:t xml:space="preserve">National Data Guardian; 2013 [accessed 11 Oct 2023]. Available from: </w:t>
      </w:r>
      <w:hyperlink r:id="rId10" w:history="1">
        <w:r w:rsidR="007F6687" w:rsidRPr="00ED656E">
          <w:rPr>
            <w:rStyle w:val="Hyperlink"/>
            <w:rFonts w:cstheme="minorHAnsi"/>
          </w:rPr>
          <w:t>https://assets.publishing.service.gov.uk/media/5a7a035fe5274a34770e3a01/2900774_InfoGovernance_accv2.pdf</w:t>
        </w:r>
      </w:hyperlink>
      <w:r w:rsidR="007F6687">
        <w:rPr>
          <w:rFonts w:cstheme="minorHAnsi"/>
          <w:color w:val="000000" w:themeColor="text1"/>
        </w:rPr>
        <w:t xml:space="preserve"> </w:t>
      </w:r>
    </w:p>
    <w:p w14:paraId="71682655" w14:textId="761FDCCB" w:rsidR="00E6018F" w:rsidRPr="00B12767" w:rsidRDefault="00E6018F" w:rsidP="00B12767">
      <w:pPr>
        <w:pStyle w:val="ListParagraph"/>
        <w:numPr>
          <w:ilvl w:val="0"/>
          <w:numId w:val="21"/>
        </w:numPr>
        <w:spacing w:after="0" w:line="276" w:lineRule="auto"/>
        <w:rPr>
          <w:rFonts w:cstheme="minorHAnsi"/>
          <w:color w:val="000000" w:themeColor="text1"/>
        </w:rPr>
      </w:pPr>
      <w:r w:rsidRPr="007A7145">
        <w:rPr>
          <w:rFonts w:cstheme="minorHAnsi"/>
          <w:color w:val="000000" w:themeColor="text1"/>
        </w:rPr>
        <w:t>Wallace DL, Jones SM, Milroy C, Pickford MA. Telemedicine</w:t>
      </w:r>
      <w:r w:rsidRPr="00B12767">
        <w:rPr>
          <w:rFonts w:cstheme="minorHAnsi"/>
          <w:color w:val="000000" w:themeColor="text1"/>
          <w:shd w:val="clear" w:color="auto" w:fill="FFFFFF"/>
        </w:rPr>
        <w:t xml:space="preserve"> for acute plastic surgical trauma and burns. J </w:t>
      </w:r>
      <w:proofErr w:type="spellStart"/>
      <w:r w:rsidRPr="00B12767">
        <w:rPr>
          <w:rFonts w:cstheme="minorHAnsi"/>
          <w:color w:val="000000" w:themeColor="text1"/>
          <w:shd w:val="clear" w:color="auto" w:fill="FFFFFF"/>
        </w:rPr>
        <w:t>Plast</w:t>
      </w:r>
      <w:proofErr w:type="spellEnd"/>
      <w:r w:rsidRPr="00B12767">
        <w:rPr>
          <w:rFonts w:cstheme="minorHAnsi"/>
          <w:color w:val="000000" w:themeColor="text1"/>
          <w:shd w:val="clear" w:color="auto" w:fill="FFFFFF"/>
        </w:rPr>
        <w:t xml:space="preserve"> </w:t>
      </w:r>
      <w:proofErr w:type="spellStart"/>
      <w:r w:rsidRPr="00B12767">
        <w:rPr>
          <w:rFonts w:cstheme="minorHAnsi"/>
          <w:color w:val="000000" w:themeColor="text1"/>
          <w:shd w:val="clear" w:color="auto" w:fill="FFFFFF"/>
        </w:rPr>
        <w:t>Reconstr</w:t>
      </w:r>
      <w:proofErr w:type="spellEnd"/>
      <w:r w:rsidRPr="00B12767">
        <w:rPr>
          <w:rFonts w:cstheme="minorHAnsi"/>
          <w:color w:val="000000" w:themeColor="text1"/>
          <w:shd w:val="clear" w:color="auto" w:fill="FFFFFF"/>
        </w:rPr>
        <w:t xml:space="preserve"> </w:t>
      </w:r>
      <w:proofErr w:type="spellStart"/>
      <w:r w:rsidRPr="00B12767">
        <w:rPr>
          <w:rFonts w:cstheme="minorHAnsi"/>
          <w:color w:val="000000" w:themeColor="text1"/>
          <w:shd w:val="clear" w:color="auto" w:fill="FFFFFF"/>
        </w:rPr>
        <w:t>Aesthet</w:t>
      </w:r>
      <w:proofErr w:type="spellEnd"/>
      <w:r w:rsidRPr="00B12767">
        <w:rPr>
          <w:rFonts w:cstheme="minorHAnsi"/>
          <w:color w:val="000000" w:themeColor="text1"/>
          <w:shd w:val="clear" w:color="auto" w:fill="FFFFFF"/>
        </w:rPr>
        <w:t xml:space="preserve"> Surg. 2008;61(1):31-6. </w:t>
      </w:r>
      <w:proofErr w:type="spellStart"/>
      <w:r w:rsidRPr="00B12767">
        <w:rPr>
          <w:rFonts w:cstheme="minorHAnsi"/>
          <w:color w:val="000000" w:themeColor="text1"/>
          <w:shd w:val="clear" w:color="auto" w:fill="FFFFFF"/>
        </w:rPr>
        <w:t>doi</w:t>
      </w:r>
      <w:proofErr w:type="spellEnd"/>
      <w:r w:rsidRPr="00B12767">
        <w:rPr>
          <w:rFonts w:cstheme="minorHAnsi"/>
          <w:color w:val="000000" w:themeColor="text1"/>
          <w:shd w:val="clear" w:color="auto" w:fill="FFFFFF"/>
        </w:rPr>
        <w:t>: 10.1016/j.bjps.2006.03.045</w:t>
      </w:r>
    </w:p>
    <w:p w14:paraId="3F974038" w14:textId="307AC86F" w:rsidR="00C33CA5" w:rsidRPr="00B12767" w:rsidRDefault="00C33CA5"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rPr>
        <w:t xml:space="preserve">Crawford DC, Li CS, Sprague S, Bhandari M. Clinical and Cost Implications of Inpatient Versus Outpatient Orthopedic Surgeries: A Systematic Review of the Published Literature. </w:t>
      </w:r>
      <w:proofErr w:type="spellStart"/>
      <w:r w:rsidRPr="00B12767">
        <w:rPr>
          <w:rFonts w:cstheme="minorHAnsi"/>
          <w:color w:val="000000" w:themeColor="text1"/>
        </w:rPr>
        <w:t>Orthop</w:t>
      </w:r>
      <w:proofErr w:type="spellEnd"/>
      <w:r w:rsidRPr="00B12767">
        <w:rPr>
          <w:rFonts w:cstheme="minorHAnsi"/>
          <w:color w:val="000000" w:themeColor="text1"/>
        </w:rPr>
        <w:t xml:space="preserve"> Rev (Pavia). 2015 Dec 30;7(4):6177. </w:t>
      </w:r>
      <w:proofErr w:type="spellStart"/>
      <w:r w:rsidRPr="00B12767">
        <w:rPr>
          <w:rFonts w:cstheme="minorHAnsi"/>
          <w:color w:val="000000" w:themeColor="text1"/>
        </w:rPr>
        <w:t>doi</w:t>
      </w:r>
      <w:proofErr w:type="spellEnd"/>
      <w:r w:rsidRPr="00B12767">
        <w:rPr>
          <w:rFonts w:cstheme="minorHAnsi"/>
          <w:color w:val="000000" w:themeColor="text1"/>
        </w:rPr>
        <w:t>: 10.4081/or.2015.6177. PMID: 26793295</w:t>
      </w:r>
    </w:p>
    <w:p w14:paraId="2ADA2709" w14:textId="77777777" w:rsidR="00660CDF" w:rsidRPr="00B12767" w:rsidRDefault="00660CDF"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shd w:val="clear" w:color="auto" w:fill="FFFFFF"/>
        </w:rPr>
        <w:t xml:space="preserve">Nguyen LT, Massman NJ, Franzen BJ, Ahrenholz DH, Sorensen NW, Mohr WJ 3rd, Solem LD. Telemedicine follow-up of burns: lessons learned from the first thousand visits. J Burn Care </w:t>
      </w:r>
      <w:proofErr w:type="spellStart"/>
      <w:r w:rsidRPr="00B12767">
        <w:rPr>
          <w:rFonts w:cstheme="minorHAnsi"/>
          <w:color w:val="000000" w:themeColor="text1"/>
          <w:shd w:val="clear" w:color="auto" w:fill="FFFFFF"/>
        </w:rPr>
        <w:t>Rehabil</w:t>
      </w:r>
      <w:proofErr w:type="spellEnd"/>
      <w:r w:rsidRPr="00B12767">
        <w:rPr>
          <w:rFonts w:cstheme="minorHAnsi"/>
          <w:color w:val="000000" w:themeColor="text1"/>
          <w:shd w:val="clear" w:color="auto" w:fill="FFFFFF"/>
        </w:rPr>
        <w:t xml:space="preserve">. 2004 Nov-Dec;25(6):485-90. </w:t>
      </w:r>
      <w:proofErr w:type="spellStart"/>
      <w:r w:rsidRPr="00B12767">
        <w:rPr>
          <w:rFonts w:cstheme="minorHAnsi"/>
          <w:color w:val="000000" w:themeColor="text1"/>
          <w:shd w:val="clear" w:color="auto" w:fill="FFFFFF"/>
        </w:rPr>
        <w:t>doi</w:t>
      </w:r>
      <w:proofErr w:type="spellEnd"/>
      <w:r w:rsidRPr="00B12767">
        <w:rPr>
          <w:rFonts w:cstheme="minorHAnsi"/>
          <w:color w:val="000000" w:themeColor="text1"/>
          <w:shd w:val="clear" w:color="auto" w:fill="FFFFFF"/>
        </w:rPr>
        <w:t>: 10.1097/01.bcr.0000144538.82184.19</w:t>
      </w:r>
    </w:p>
    <w:p w14:paraId="16274461" w14:textId="77777777" w:rsidR="00363367" w:rsidRPr="00B12767" w:rsidRDefault="00363367"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shd w:val="clear" w:color="auto" w:fill="FFFFFF"/>
        </w:rPr>
        <w:t xml:space="preserve">Saffle JR, Edelman L, Theurer L, Morris SE, Cochran A. Telemedicine evaluation of acute burns is accurate and cost-effective. J Trauma. 2009 Aug;67(2):358-65. </w:t>
      </w:r>
      <w:proofErr w:type="spellStart"/>
      <w:r w:rsidRPr="00B12767">
        <w:rPr>
          <w:rFonts w:cstheme="minorHAnsi"/>
          <w:color w:val="000000" w:themeColor="text1"/>
          <w:shd w:val="clear" w:color="auto" w:fill="FFFFFF"/>
        </w:rPr>
        <w:t>doi</w:t>
      </w:r>
      <w:proofErr w:type="spellEnd"/>
      <w:r w:rsidRPr="00B12767">
        <w:rPr>
          <w:rFonts w:cstheme="minorHAnsi"/>
          <w:color w:val="000000" w:themeColor="text1"/>
          <w:shd w:val="clear" w:color="auto" w:fill="FFFFFF"/>
        </w:rPr>
        <w:t>: 10.1097/TA.0b013e3181ae9b02</w:t>
      </w:r>
    </w:p>
    <w:p w14:paraId="13C6CB1D" w14:textId="77777777" w:rsidR="00FB3636" w:rsidRPr="00B12767" w:rsidRDefault="00FB3636" w:rsidP="00B12767">
      <w:pPr>
        <w:pStyle w:val="ListParagraph"/>
        <w:numPr>
          <w:ilvl w:val="0"/>
          <w:numId w:val="21"/>
        </w:numPr>
        <w:spacing w:after="0" w:line="276" w:lineRule="auto"/>
        <w:rPr>
          <w:rFonts w:cstheme="minorHAnsi"/>
          <w:color w:val="000000" w:themeColor="text1"/>
        </w:rPr>
      </w:pPr>
      <w:proofErr w:type="spellStart"/>
      <w:r w:rsidRPr="00B12767">
        <w:rPr>
          <w:rFonts w:cstheme="minorHAnsi"/>
          <w:color w:val="000000" w:themeColor="text1"/>
          <w:shd w:val="clear" w:color="auto" w:fill="FFFFFF"/>
        </w:rPr>
        <w:t>Boccara</w:t>
      </w:r>
      <w:proofErr w:type="spellEnd"/>
      <w:r w:rsidRPr="00B12767">
        <w:rPr>
          <w:rFonts w:cstheme="minorHAnsi"/>
          <w:color w:val="000000" w:themeColor="text1"/>
          <w:shd w:val="clear" w:color="auto" w:fill="FFFFFF"/>
        </w:rPr>
        <w:t xml:space="preserve"> D, </w:t>
      </w:r>
      <w:proofErr w:type="spellStart"/>
      <w:r w:rsidRPr="00B12767">
        <w:rPr>
          <w:rFonts w:cstheme="minorHAnsi"/>
          <w:color w:val="000000" w:themeColor="text1"/>
          <w:shd w:val="clear" w:color="auto" w:fill="FFFFFF"/>
        </w:rPr>
        <w:t>Chaouat</w:t>
      </w:r>
      <w:proofErr w:type="spellEnd"/>
      <w:r w:rsidRPr="00B12767">
        <w:rPr>
          <w:rFonts w:cstheme="minorHAnsi"/>
          <w:color w:val="000000" w:themeColor="text1"/>
          <w:shd w:val="clear" w:color="auto" w:fill="FFFFFF"/>
        </w:rPr>
        <w:t xml:space="preserve"> M, Uzan C, </w:t>
      </w:r>
      <w:proofErr w:type="spellStart"/>
      <w:r w:rsidRPr="00B12767">
        <w:rPr>
          <w:rFonts w:cstheme="minorHAnsi"/>
          <w:color w:val="000000" w:themeColor="text1"/>
          <w:shd w:val="clear" w:color="auto" w:fill="FFFFFF"/>
        </w:rPr>
        <w:t>Lacheré</w:t>
      </w:r>
      <w:proofErr w:type="spellEnd"/>
      <w:r w:rsidRPr="00B12767">
        <w:rPr>
          <w:rFonts w:cstheme="minorHAnsi"/>
          <w:color w:val="000000" w:themeColor="text1"/>
          <w:shd w:val="clear" w:color="auto" w:fill="FFFFFF"/>
        </w:rPr>
        <w:t xml:space="preserve"> A, Mimoun M. Retrospective analysis of photographic evaluation of burn depth. Burns. 2011 Feb;37(1):69-73. </w:t>
      </w:r>
      <w:proofErr w:type="spellStart"/>
      <w:r w:rsidRPr="00B12767">
        <w:rPr>
          <w:rFonts w:cstheme="minorHAnsi"/>
          <w:color w:val="000000" w:themeColor="text1"/>
          <w:shd w:val="clear" w:color="auto" w:fill="FFFFFF"/>
        </w:rPr>
        <w:t>doi</w:t>
      </w:r>
      <w:proofErr w:type="spellEnd"/>
      <w:r w:rsidRPr="00B12767">
        <w:rPr>
          <w:rFonts w:cstheme="minorHAnsi"/>
          <w:color w:val="000000" w:themeColor="text1"/>
          <w:shd w:val="clear" w:color="auto" w:fill="FFFFFF"/>
        </w:rPr>
        <w:t>: 10.1016/j.burns.2010.05.017.</w:t>
      </w:r>
    </w:p>
    <w:p w14:paraId="18AF2B7F" w14:textId="77777777" w:rsidR="00200144" w:rsidRPr="00B12767" w:rsidRDefault="00794413"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shd w:val="clear" w:color="auto" w:fill="FFFFFF"/>
        </w:rPr>
        <w:t>Hickey S, Gomez J, Meller B, Schneider JC, Cheney M, Nejad S</w:t>
      </w:r>
      <w:r w:rsidR="007D7BC4" w:rsidRPr="00B12767">
        <w:rPr>
          <w:rFonts w:cstheme="minorHAnsi"/>
          <w:color w:val="000000" w:themeColor="text1"/>
          <w:shd w:val="clear" w:color="auto" w:fill="FFFFFF"/>
        </w:rPr>
        <w:t xml:space="preserve"> et al.</w:t>
      </w:r>
      <w:r w:rsidRPr="00B12767">
        <w:rPr>
          <w:rFonts w:cstheme="minorHAnsi"/>
          <w:color w:val="000000" w:themeColor="text1"/>
          <w:shd w:val="clear" w:color="auto" w:fill="FFFFFF"/>
        </w:rPr>
        <w:t xml:space="preserve"> Interactive home telehealth and burns: A pilot study. Burns. 2017 Sep;43(6):1318-1321. </w:t>
      </w:r>
      <w:proofErr w:type="spellStart"/>
      <w:r w:rsidRPr="00B12767">
        <w:rPr>
          <w:rFonts w:cstheme="minorHAnsi"/>
          <w:color w:val="000000" w:themeColor="text1"/>
          <w:shd w:val="clear" w:color="auto" w:fill="FFFFFF"/>
        </w:rPr>
        <w:t>doi</w:t>
      </w:r>
      <w:proofErr w:type="spellEnd"/>
      <w:r w:rsidRPr="00B12767">
        <w:rPr>
          <w:rFonts w:cstheme="minorHAnsi"/>
          <w:color w:val="000000" w:themeColor="text1"/>
          <w:shd w:val="clear" w:color="auto" w:fill="FFFFFF"/>
        </w:rPr>
        <w:t>: 10.1016/j.burns.2016.11.013.</w:t>
      </w:r>
    </w:p>
    <w:p w14:paraId="5A05C7CC" w14:textId="13246CE6" w:rsidR="00254E9C" w:rsidRPr="00B12767" w:rsidRDefault="00254E9C"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rPr>
        <w:t xml:space="preserve">Sharifi Kia A, Rafizadeh M, Shahmoradi L. Telemedicine in the emergency department: an overview of systematic reviews. Z </w:t>
      </w:r>
      <w:proofErr w:type="spellStart"/>
      <w:r w:rsidRPr="00B12767">
        <w:rPr>
          <w:rFonts w:cstheme="minorHAnsi"/>
          <w:color w:val="000000" w:themeColor="text1"/>
        </w:rPr>
        <w:t>Gesundh</w:t>
      </w:r>
      <w:proofErr w:type="spellEnd"/>
      <w:r w:rsidRPr="00B12767">
        <w:rPr>
          <w:rFonts w:cstheme="minorHAnsi"/>
          <w:color w:val="000000" w:themeColor="text1"/>
        </w:rPr>
        <w:t xml:space="preserve"> Wiss. 2022 Jan 27:1-15. </w:t>
      </w:r>
      <w:proofErr w:type="spellStart"/>
      <w:r w:rsidRPr="00B12767">
        <w:rPr>
          <w:rFonts w:cstheme="minorHAnsi"/>
          <w:color w:val="000000" w:themeColor="text1"/>
        </w:rPr>
        <w:t>doi</w:t>
      </w:r>
      <w:proofErr w:type="spellEnd"/>
      <w:r w:rsidRPr="00B12767">
        <w:rPr>
          <w:rFonts w:cstheme="minorHAnsi"/>
          <w:color w:val="000000" w:themeColor="text1"/>
        </w:rPr>
        <w:t xml:space="preserve">: 10.1007/s10389-021-01684-x. </w:t>
      </w:r>
    </w:p>
    <w:p w14:paraId="2ACED66B" w14:textId="256D53FE" w:rsidR="00254E9C" w:rsidRPr="00B12767" w:rsidRDefault="00254E9C" w:rsidP="00B12767">
      <w:pPr>
        <w:pStyle w:val="ListParagraph"/>
        <w:numPr>
          <w:ilvl w:val="0"/>
          <w:numId w:val="21"/>
        </w:numPr>
        <w:spacing w:after="0" w:line="276" w:lineRule="auto"/>
        <w:rPr>
          <w:rFonts w:cstheme="minorHAnsi"/>
          <w:color w:val="000000" w:themeColor="text1"/>
        </w:rPr>
      </w:pPr>
      <w:r w:rsidRPr="00B12767">
        <w:rPr>
          <w:rFonts w:cstheme="minorHAnsi"/>
          <w:color w:val="000000" w:themeColor="text1"/>
        </w:rPr>
        <w:t xml:space="preserve">Witkowska-Zimny M, </w:t>
      </w:r>
      <w:proofErr w:type="spellStart"/>
      <w:r w:rsidRPr="00B12767">
        <w:rPr>
          <w:rFonts w:cstheme="minorHAnsi"/>
          <w:color w:val="000000" w:themeColor="text1"/>
        </w:rPr>
        <w:t>Nieradko</w:t>
      </w:r>
      <w:proofErr w:type="spellEnd"/>
      <w:r w:rsidRPr="00B12767">
        <w:rPr>
          <w:rFonts w:cstheme="minorHAnsi"/>
          <w:color w:val="000000" w:themeColor="text1"/>
        </w:rPr>
        <w:t xml:space="preserve">-Iwanicka B. Telemedicine in Emergency Medicine in the COVID-19 Pandemic-Experiences and Prospects-A Narrative Review. Int J Environ Res Public Health. 2022 Jul 5;19(13):8216. </w:t>
      </w:r>
      <w:proofErr w:type="spellStart"/>
      <w:r w:rsidRPr="00B12767">
        <w:rPr>
          <w:rFonts w:cstheme="minorHAnsi"/>
          <w:color w:val="000000" w:themeColor="text1"/>
        </w:rPr>
        <w:t>doi</w:t>
      </w:r>
      <w:proofErr w:type="spellEnd"/>
      <w:r w:rsidRPr="00B12767">
        <w:rPr>
          <w:rFonts w:cstheme="minorHAnsi"/>
          <w:color w:val="000000" w:themeColor="text1"/>
        </w:rPr>
        <w:t>: 10.3390/ijerph19138216.</w:t>
      </w:r>
    </w:p>
    <w:p w14:paraId="3B26D36B" w14:textId="6E3C05B9" w:rsidR="00254E9C" w:rsidRPr="00B12767" w:rsidRDefault="516F6994" w:rsidP="00B12767">
      <w:pPr>
        <w:pStyle w:val="ListParagraph"/>
        <w:numPr>
          <w:ilvl w:val="0"/>
          <w:numId w:val="21"/>
        </w:numPr>
        <w:spacing w:after="0" w:line="276" w:lineRule="auto"/>
        <w:rPr>
          <w:rFonts w:cstheme="minorHAnsi"/>
          <w:color w:val="000000" w:themeColor="text1"/>
        </w:rPr>
      </w:pPr>
      <w:r w:rsidRPr="516F6994">
        <w:rPr>
          <w:color w:val="000000" w:themeColor="text1"/>
        </w:rPr>
        <w:t xml:space="preserve">Chu H, Reid G, Sack A, </w:t>
      </w:r>
      <w:proofErr w:type="spellStart"/>
      <w:r w:rsidRPr="516F6994">
        <w:rPr>
          <w:color w:val="000000" w:themeColor="text1"/>
        </w:rPr>
        <w:t>Heryet</w:t>
      </w:r>
      <w:proofErr w:type="spellEnd"/>
      <w:r w:rsidRPr="516F6994">
        <w:rPr>
          <w:color w:val="000000" w:themeColor="text1"/>
        </w:rPr>
        <w:t xml:space="preserve"> R, Mackie I, Sen SK. Changes in burn referrals and injuries during CoVid-19. Burns. 2020 Sep;46(6):1469-1470. </w:t>
      </w:r>
      <w:proofErr w:type="spellStart"/>
      <w:r w:rsidRPr="516F6994">
        <w:rPr>
          <w:color w:val="000000" w:themeColor="text1"/>
        </w:rPr>
        <w:t>doi</w:t>
      </w:r>
      <w:proofErr w:type="spellEnd"/>
      <w:r w:rsidRPr="516F6994">
        <w:rPr>
          <w:color w:val="000000" w:themeColor="text1"/>
        </w:rPr>
        <w:t xml:space="preserve">: 10.1016/j.burns.2020.06.018. </w:t>
      </w:r>
    </w:p>
    <w:p w14:paraId="7D1A7934" w14:textId="77DC66C5" w:rsidR="516F6994" w:rsidRDefault="516F6994" w:rsidP="516F6994">
      <w:pPr>
        <w:pStyle w:val="ListParagraph"/>
        <w:numPr>
          <w:ilvl w:val="0"/>
          <w:numId w:val="21"/>
        </w:numPr>
        <w:spacing w:after="0" w:line="276" w:lineRule="auto"/>
        <w:rPr>
          <w:color w:val="000000" w:themeColor="text1"/>
        </w:rPr>
      </w:pPr>
      <w:r w:rsidRPr="516F6994">
        <w:rPr>
          <w:color w:val="000000" w:themeColor="text1"/>
        </w:rPr>
        <w:t xml:space="preserve">Cabinet Office. </w:t>
      </w:r>
      <w:r w:rsidRPr="516F6994">
        <w:rPr>
          <w:i/>
          <w:iCs/>
          <w:color w:val="000000" w:themeColor="text1"/>
        </w:rPr>
        <w:t>Covid-19 Response: Living with Covid.</w:t>
      </w:r>
      <w:r w:rsidRPr="516F6994">
        <w:rPr>
          <w:color w:val="000000" w:themeColor="text1"/>
        </w:rPr>
        <w:t xml:space="preserve"> [Internet] London: HM Government; 2022 [updated 06 May 2022; accessed 18 Sep 2023]. Available from: </w:t>
      </w:r>
      <w:hyperlink r:id="rId11">
        <w:r w:rsidRPr="516F6994">
          <w:rPr>
            <w:rStyle w:val="Hyperlink"/>
          </w:rPr>
          <w:t>https://assets.publishing.service.gov.uk/government/uploads/system/uploads/attachment_data/file/1056229/COVID-19_Response_-_Living_with_COVID-19.pdf</w:t>
        </w:r>
      </w:hyperlink>
    </w:p>
    <w:p w14:paraId="5D0851F6" w14:textId="679B7A6F" w:rsidR="00E00964" w:rsidRDefault="0057481D" w:rsidP="516F6994">
      <w:pPr>
        <w:pStyle w:val="ListParagraph"/>
        <w:numPr>
          <w:ilvl w:val="0"/>
          <w:numId w:val="21"/>
        </w:numPr>
        <w:spacing w:after="0" w:line="276" w:lineRule="auto"/>
        <w:rPr>
          <w:color w:val="000000" w:themeColor="text1"/>
        </w:rPr>
      </w:pPr>
      <w:r w:rsidRPr="516F6994">
        <w:rPr>
          <w:color w:val="000000" w:themeColor="text1"/>
          <w:shd w:val="clear" w:color="auto" w:fill="FFFFFF"/>
        </w:rPr>
        <w:lastRenderedPageBreak/>
        <w:t>Laura P, José A, Nikki A, Khaled A, Barret J, Jeffery C</w:t>
      </w:r>
      <w:r w:rsidRPr="516F6994">
        <w:rPr>
          <w:color w:val="000000" w:themeColor="text1"/>
        </w:rPr>
        <w:t xml:space="preserve"> et al. </w:t>
      </w:r>
      <w:r w:rsidR="00E00964" w:rsidRPr="516F6994">
        <w:rPr>
          <w:color w:val="000000" w:themeColor="text1"/>
        </w:rPr>
        <w:t>Impact of COVID-19 on global burn care. Burns, 2022 Sept; 48(2): 1301-1310. Doi:</w:t>
      </w:r>
      <w:r w:rsidR="00E75FDF" w:rsidRPr="516F6994">
        <w:rPr>
          <w:color w:val="000000" w:themeColor="text1"/>
        </w:rPr>
        <w:t xml:space="preserve"> </w:t>
      </w:r>
      <w:r w:rsidR="00E00964" w:rsidRPr="516F6994">
        <w:rPr>
          <w:color w:val="000000" w:themeColor="text1"/>
        </w:rPr>
        <w:t>10.1016/j.burns.2021.11.010</w:t>
      </w:r>
    </w:p>
    <w:p w14:paraId="543044A1" w14:textId="21C14BB9" w:rsidR="00AA48DD" w:rsidRPr="00AA48DD" w:rsidRDefault="516F6994" w:rsidP="00AA48DD">
      <w:pPr>
        <w:pStyle w:val="ListParagraph"/>
        <w:numPr>
          <w:ilvl w:val="0"/>
          <w:numId w:val="21"/>
        </w:numPr>
        <w:spacing w:line="276" w:lineRule="auto"/>
        <w:rPr>
          <w:rFonts w:cstheme="minorHAnsi"/>
          <w:color w:val="000000" w:themeColor="text1"/>
        </w:rPr>
      </w:pPr>
      <w:r w:rsidRPr="516F6994">
        <w:rPr>
          <w:color w:val="000000" w:themeColor="text1"/>
        </w:rPr>
        <w:t xml:space="preserve">Burn Care and Standards. British Burn Association. </w:t>
      </w:r>
      <w:r w:rsidR="00574128">
        <w:rPr>
          <w:color w:val="000000" w:themeColor="text1"/>
        </w:rPr>
        <w:t xml:space="preserve">[Internet] </w:t>
      </w:r>
      <w:r w:rsidRPr="516F6994">
        <w:rPr>
          <w:color w:val="000000" w:themeColor="text1"/>
        </w:rPr>
        <w:t>2018</w:t>
      </w:r>
      <w:r w:rsidR="00574128">
        <w:rPr>
          <w:color w:val="000000" w:themeColor="text1"/>
        </w:rPr>
        <w:t xml:space="preserve"> [Accessed 20 Aug 2023]</w:t>
      </w:r>
      <w:r w:rsidRPr="516F6994">
        <w:rPr>
          <w:color w:val="000000" w:themeColor="text1"/>
        </w:rPr>
        <w:t xml:space="preserve">. Available from: </w:t>
      </w:r>
      <w:hyperlink r:id="rId12">
        <w:r w:rsidRPr="516F6994">
          <w:rPr>
            <w:rStyle w:val="Hyperlink"/>
          </w:rPr>
          <w:t>https://www.britishburnassociation.org/wp-content/uploads/2018/11/BCSO-2018-FINAL-v28.pdf</w:t>
        </w:r>
      </w:hyperlink>
      <w:r w:rsidRPr="516F6994">
        <w:rPr>
          <w:color w:val="000000" w:themeColor="text1"/>
        </w:rPr>
        <w:t xml:space="preserve"> </w:t>
      </w:r>
    </w:p>
    <w:p w14:paraId="79D94C00" w14:textId="77777777" w:rsidR="00864921" w:rsidRPr="00216528" w:rsidRDefault="00864921" w:rsidP="00B12767">
      <w:pPr>
        <w:pStyle w:val="ListParagraph"/>
        <w:numPr>
          <w:ilvl w:val="0"/>
          <w:numId w:val="21"/>
        </w:numPr>
        <w:spacing w:line="276" w:lineRule="auto"/>
        <w:rPr>
          <w:rFonts w:cstheme="minorHAnsi"/>
          <w:color w:val="000000" w:themeColor="text1"/>
        </w:rPr>
      </w:pPr>
      <w:r w:rsidRPr="516F6994">
        <w:rPr>
          <w:color w:val="000000" w:themeColor="text1"/>
          <w:shd w:val="clear" w:color="auto" w:fill="FFFFFF"/>
        </w:rPr>
        <w:t xml:space="preserve">Warner J. The impact of COVID-19 on burn referrals received via telemedicine. Burns. 2023 Mar;49(2):455-460. </w:t>
      </w:r>
      <w:proofErr w:type="spellStart"/>
      <w:r w:rsidRPr="516F6994">
        <w:rPr>
          <w:color w:val="000000" w:themeColor="text1"/>
          <w:shd w:val="clear" w:color="auto" w:fill="FFFFFF"/>
        </w:rPr>
        <w:t>doi</w:t>
      </w:r>
      <w:proofErr w:type="spellEnd"/>
      <w:r w:rsidRPr="516F6994">
        <w:rPr>
          <w:color w:val="000000" w:themeColor="text1"/>
          <w:shd w:val="clear" w:color="auto" w:fill="FFFFFF"/>
        </w:rPr>
        <w:t>: 10.1016/j.burns.2022.04.006.</w:t>
      </w:r>
    </w:p>
    <w:p w14:paraId="29F5A841" w14:textId="77777777" w:rsidR="00216528" w:rsidRPr="00B12767" w:rsidRDefault="00216528" w:rsidP="00216528">
      <w:pPr>
        <w:pStyle w:val="ListParagraph"/>
        <w:numPr>
          <w:ilvl w:val="0"/>
          <w:numId w:val="21"/>
        </w:numPr>
        <w:spacing w:line="276" w:lineRule="auto"/>
        <w:rPr>
          <w:rFonts w:cstheme="minorHAnsi"/>
          <w:color w:val="000000" w:themeColor="text1"/>
        </w:rPr>
      </w:pPr>
      <w:r w:rsidRPr="516F6994">
        <w:rPr>
          <w:color w:val="000000" w:themeColor="text1"/>
          <w:shd w:val="clear" w:color="auto" w:fill="FFFFFF"/>
        </w:rPr>
        <w:t xml:space="preserve">Crumley I, </w:t>
      </w:r>
      <w:proofErr w:type="spellStart"/>
      <w:r w:rsidRPr="516F6994">
        <w:rPr>
          <w:color w:val="000000" w:themeColor="text1"/>
          <w:shd w:val="clear" w:color="auto" w:fill="FFFFFF"/>
        </w:rPr>
        <w:t>Blom</w:t>
      </w:r>
      <w:proofErr w:type="spellEnd"/>
      <w:r w:rsidRPr="516F6994">
        <w:rPr>
          <w:color w:val="000000" w:themeColor="text1"/>
          <w:shd w:val="clear" w:color="auto" w:fill="FFFFFF"/>
        </w:rPr>
        <w:t xml:space="preserve"> L, Laflamme L, Alvesson HM. What do emergency medicine and burns specialists from resource constrained settings expect from mHealth-based diagnostic support? A qualitative study examining the case of acute burn care. BMC Med Inform </w:t>
      </w:r>
      <w:proofErr w:type="spellStart"/>
      <w:r w:rsidRPr="516F6994">
        <w:rPr>
          <w:color w:val="000000" w:themeColor="text1"/>
          <w:shd w:val="clear" w:color="auto" w:fill="FFFFFF"/>
        </w:rPr>
        <w:t>Decis</w:t>
      </w:r>
      <w:proofErr w:type="spellEnd"/>
      <w:r w:rsidRPr="516F6994">
        <w:rPr>
          <w:color w:val="000000" w:themeColor="text1"/>
          <w:shd w:val="clear" w:color="auto" w:fill="FFFFFF"/>
        </w:rPr>
        <w:t xml:space="preserve"> Mak. 2018 Aug 1;18(1):71. </w:t>
      </w:r>
      <w:proofErr w:type="spellStart"/>
      <w:r w:rsidRPr="516F6994">
        <w:rPr>
          <w:color w:val="000000" w:themeColor="text1"/>
          <w:shd w:val="clear" w:color="auto" w:fill="FFFFFF"/>
        </w:rPr>
        <w:t>doi</w:t>
      </w:r>
      <w:proofErr w:type="spellEnd"/>
      <w:r w:rsidRPr="516F6994">
        <w:rPr>
          <w:color w:val="000000" w:themeColor="text1"/>
          <w:shd w:val="clear" w:color="auto" w:fill="FFFFFF"/>
        </w:rPr>
        <w:t>: 10.1186/s12911-018-0647-1.</w:t>
      </w:r>
      <w:r w:rsidRPr="516F6994">
        <w:rPr>
          <w:color w:val="000000" w:themeColor="text1"/>
        </w:rPr>
        <w:t xml:space="preserve"> </w:t>
      </w:r>
    </w:p>
    <w:p w14:paraId="50448A9F" w14:textId="77777777" w:rsidR="00216528" w:rsidRPr="00B12767" w:rsidRDefault="00216528" w:rsidP="00216528">
      <w:pPr>
        <w:pStyle w:val="ListParagraph"/>
        <w:numPr>
          <w:ilvl w:val="0"/>
          <w:numId w:val="21"/>
        </w:numPr>
        <w:spacing w:line="276" w:lineRule="auto"/>
        <w:rPr>
          <w:rFonts w:cstheme="minorHAnsi"/>
          <w:color w:val="000000" w:themeColor="text1"/>
        </w:rPr>
      </w:pPr>
      <w:r w:rsidRPr="516F6994">
        <w:rPr>
          <w:color w:val="000000" w:themeColor="text1"/>
          <w:shd w:val="clear" w:color="auto" w:fill="FFFFFF"/>
        </w:rPr>
        <w:t xml:space="preserve">Whitten PS, Mackert MS. Addressing telehealth's foremost barrier: provider as initial gatekeeper. Int J Technol Assess Health Care. 2005 Fall;21(4):517-21. </w:t>
      </w:r>
      <w:proofErr w:type="spellStart"/>
      <w:r w:rsidRPr="516F6994">
        <w:rPr>
          <w:color w:val="000000" w:themeColor="text1"/>
          <w:shd w:val="clear" w:color="auto" w:fill="FFFFFF"/>
        </w:rPr>
        <w:t>doi</w:t>
      </w:r>
      <w:proofErr w:type="spellEnd"/>
      <w:r w:rsidRPr="516F6994">
        <w:rPr>
          <w:color w:val="000000" w:themeColor="text1"/>
          <w:shd w:val="clear" w:color="auto" w:fill="FFFFFF"/>
        </w:rPr>
        <w:t>: 10.1017/S0266462305050725</w:t>
      </w:r>
    </w:p>
    <w:p w14:paraId="676852F6" w14:textId="7CA53A2B" w:rsidR="00216528" w:rsidRPr="00216528" w:rsidRDefault="00216528" w:rsidP="00216528">
      <w:pPr>
        <w:pStyle w:val="ListParagraph"/>
        <w:numPr>
          <w:ilvl w:val="0"/>
          <w:numId w:val="21"/>
        </w:numPr>
        <w:spacing w:line="276" w:lineRule="auto"/>
        <w:rPr>
          <w:rFonts w:cstheme="minorHAnsi"/>
          <w:color w:val="000000" w:themeColor="text1"/>
        </w:rPr>
      </w:pPr>
      <w:r w:rsidRPr="516F6994">
        <w:rPr>
          <w:color w:val="000000" w:themeColor="text1"/>
          <w:shd w:val="clear" w:color="auto" w:fill="FFFFFF"/>
        </w:rPr>
        <w:t xml:space="preserve">Brooks E, Turvey C, </w:t>
      </w:r>
      <w:proofErr w:type="spellStart"/>
      <w:r w:rsidRPr="516F6994">
        <w:rPr>
          <w:color w:val="000000" w:themeColor="text1"/>
          <w:shd w:val="clear" w:color="auto" w:fill="FFFFFF"/>
        </w:rPr>
        <w:t>Augusterfer</w:t>
      </w:r>
      <w:proofErr w:type="spellEnd"/>
      <w:r w:rsidRPr="516F6994">
        <w:rPr>
          <w:color w:val="000000" w:themeColor="text1"/>
          <w:shd w:val="clear" w:color="auto" w:fill="FFFFFF"/>
        </w:rPr>
        <w:t xml:space="preserve"> EF. Provider barriers to </w:t>
      </w:r>
      <w:proofErr w:type="spellStart"/>
      <w:r w:rsidRPr="516F6994">
        <w:rPr>
          <w:color w:val="000000" w:themeColor="text1"/>
          <w:shd w:val="clear" w:color="auto" w:fill="FFFFFF"/>
        </w:rPr>
        <w:t>telemental</w:t>
      </w:r>
      <w:proofErr w:type="spellEnd"/>
      <w:r w:rsidRPr="516F6994">
        <w:rPr>
          <w:color w:val="000000" w:themeColor="text1"/>
          <w:shd w:val="clear" w:color="auto" w:fill="FFFFFF"/>
        </w:rPr>
        <w:t xml:space="preserve"> health: obstacles overcome, obstacles remaining. </w:t>
      </w:r>
      <w:proofErr w:type="spellStart"/>
      <w:r w:rsidRPr="516F6994">
        <w:rPr>
          <w:color w:val="000000" w:themeColor="text1"/>
          <w:shd w:val="clear" w:color="auto" w:fill="FFFFFF"/>
        </w:rPr>
        <w:t>Telemed</w:t>
      </w:r>
      <w:proofErr w:type="spellEnd"/>
      <w:r w:rsidRPr="516F6994">
        <w:rPr>
          <w:color w:val="000000" w:themeColor="text1"/>
          <w:shd w:val="clear" w:color="auto" w:fill="FFFFFF"/>
        </w:rPr>
        <w:t xml:space="preserve"> J E Health. 2013 Jun;19(6):433-7. </w:t>
      </w:r>
      <w:proofErr w:type="spellStart"/>
      <w:r w:rsidRPr="516F6994">
        <w:rPr>
          <w:color w:val="000000" w:themeColor="text1"/>
          <w:shd w:val="clear" w:color="auto" w:fill="FFFFFF"/>
        </w:rPr>
        <w:t>doi</w:t>
      </w:r>
      <w:proofErr w:type="spellEnd"/>
      <w:r w:rsidRPr="516F6994">
        <w:rPr>
          <w:color w:val="000000" w:themeColor="text1"/>
          <w:shd w:val="clear" w:color="auto" w:fill="FFFFFF"/>
        </w:rPr>
        <w:t>: 10.1089/tmj.2013.0068.</w:t>
      </w:r>
    </w:p>
    <w:p w14:paraId="5A1E2AB0" w14:textId="3EB73288" w:rsidR="00D3050A" w:rsidRPr="00D3050A" w:rsidRDefault="00D3050A" w:rsidP="00D3050A">
      <w:pPr>
        <w:pStyle w:val="ListParagraph"/>
        <w:numPr>
          <w:ilvl w:val="0"/>
          <w:numId w:val="21"/>
        </w:numPr>
        <w:spacing w:after="0" w:line="276" w:lineRule="auto"/>
      </w:pPr>
      <w:r>
        <w:t>Schroeder S, Kelly D, Leighton K.</w:t>
      </w:r>
      <w:r w:rsidRPr="29927AD3">
        <w:rPr>
          <w:color w:val="000000" w:themeColor="text1"/>
        </w:rPr>
        <w:t xml:space="preserve"> Influence of years of experience and age on hospital workforce compassion satisfaction, anxiety, depression, stress, and burnout during pandemic: Implications for retention.  Psychol Health Med. </w:t>
      </w:r>
      <w:r>
        <w:t xml:space="preserve">2023 Jul-Dec;28(7):1741-1754. </w:t>
      </w:r>
      <w:proofErr w:type="spellStart"/>
      <w:r>
        <w:t>doi</w:t>
      </w:r>
      <w:proofErr w:type="spellEnd"/>
      <w:r>
        <w:t>: 10.1080/13548506.2022.2159988</w:t>
      </w:r>
    </w:p>
    <w:p w14:paraId="746BEED2" w14:textId="08B5C734" w:rsidR="00C9414E" w:rsidRPr="004D0D9F" w:rsidRDefault="526301F2" w:rsidP="00925462">
      <w:pPr>
        <w:pStyle w:val="ListParagraph"/>
        <w:numPr>
          <w:ilvl w:val="0"/>
          <w:numId w:val="21"/>
        </w:numPr>
        <w:spacing w:after="0" w:line="276" w:lineRule="auto"/>
        <w:rPr>
          <w:color w:val="000000" w:themeColor="text1"/>
        </w:rPr>
      </w:pPr>
      <w:proofErr w:type="spellStart"/>
      <w:r w:rsidRPr="526301F2">
        <w:rPr>
          <w:color w:val="000000" w:themeColor="text1"/>
        </w:rPr>
        <w:t>Hayavi</w:t>
      </w:r>
      <w:proofErr w:type="spellEnd"/>
      <w:r w:rsidRPr="526301F2">
        <w:rPr>
          <w:color w:val="000000" w:themeColor="text1"/>
        </w:rPr>
        <w:t xml:space="preserve">-Haghighi MH, Alipour J. Applications, opportunities, and challenges in using Telehealth for burn injury management: A systematic review. Burns. 2023 Sep;49(6):1237-1248. </w:t>
      </w:r>
      <w:proofErr w:type="spellStart"/>
      <w:r w:rsidRPr="526301F2">
        <w:rPr>
          <w:color w:val="000000" w:themeColor="text1"/>
        </w:rPr>
        <w:t>doi</w:t>
      </w:r>
      <w:proofErr w:type="spellEnd"/>
      <w:r w:rsidRPr="526301F2">
        <w:rPr>
          <w:color w:val="000000" w:themeColor="text1"/>
        </w:rPr>
        <w:t>: 10.1016/j.burns.2023.07.001.</w:t>
      </w:r>
    </w:p>
    <w:p w14:paraId="5F75B9EF" w14:textId="477F0BAF" w:rsidR="526301F2" w:rsidRDefault="526301F2" w:rsidP="526301F2">
      <w:pPr>
        <w:pStyle w:val="ListParagraph"/>
        <w:numPr>
          <w:ilvl w:val="0"/>
          <w:numId w:val="21"/>
        </w:numPr>
        <w:spacing w:after="0" w:line="276" w:lineRule="auto"/>
      </w:pPr>
      <w:r w:rsidRPr="526301F2">
        <w:rPr>
          <w:color w:val="000000" w:themeColor="text1"/>
        </w:rPr>
        <w:t xml:space="preserve">A.M. Soldado, B. Lopez-Masrramon, J. Aguilera </w:t>
      </w:r>
      <w:proofErr w:type="spellStart"/>
      <w:proofErr w:type="gramStart"/>
      <w:r w:rsidRPr="526301F2">
        <w:rPr>
          <w:color w:val="000000" w:themeColor="text1"/>
        </w:rPr>
        <w:t>Saez,J.S</w:t>
      </w:r>
      <w:proofErr w:type="spellEnd"/>
      <w:r w:rsidRPr="526301F2">
        <w:rPr>
          <w:color w:val="000000" w:themeColor="text1"/>
        </w:rPr>
        <w:t>.</w:t>
      </w:r>
      <w:proofErr w:type="gramEnd"/>
      <w:r w:rsidRPr="526301F2">
        <w:rPr>
          <w:color w:val="000000" w:themeColor="text1"/>
        </w:rPr>
        <w:t xml:space="preserve"> Domenech, J.M.C. Delfa, C.M. Ramos, et al. </w:t>
      </w:r>
      <w:r>
        <w:t xml:space="preserve">Implementation and evaluation of telemedicine in burn care: Study of clinical safety and technical feasibility in a single burn center. Burns, 2020 Nov; 46(7), </w:t>
      </w:r>
      <w:proofErr w:type="spellStart"/>
      <w:r>
        <w:t>doi</w:t>
      </w:r>
      <w:proofErr w:type="spellEnd"/>
      <w:r>
        <w:t>: 10.1016/j.burns.2020.04.027</w:t>
      </w:r>
    </w:p>
    <w:p w14:paraId="6E3EB0FF" w14:textId="6CDBD3D8" w:rsidR="526301F2" w:rsidRDefault="526301F2" w:rsidP="526301F2">
      <w:pPr>
        <w:pStyle w:val="ListParagraph"/>
        <w:numPr>
          <w:ilvl w:val="0"/>
          <w:numId w:val="21"/>
        </w:numPr>
        <w:spacing w:after="0" w:line="276" w:lineRule="auto"/>
        <w:rPr>
          <w:color w:val="000000" w:themeColor="text1"/>
        </w:rPr>
      </w:pPr>
      <w:r w:rsidRPr="526301F2">
        <w:rPr>
          <w:color w:val="000000" w:themeColor="text1"/>
        </w:rPr>
        <w:t>W.T. Head, D. Garcia, R. Mukherjee, S. Kahn, A. Lesher. Virtual visits for outpatient burn care during COVID-19 pandemic. J Burn Care Res, 2022 Mar; 43(2). Doi: 10.1093/</w:t>
      </w:r>
      <w:proofErr w:type="spellStart"/>
      <w:r w:rsidRPr="526301F2">
        <w:rPr>
          <w:color w:val="000000" w:themeColor="text1"/>
        </w:rPr>
        <w:t>jbcr</w:t>
      </w:r>
      <w:proofErr w:type="spellEnd"/>
      <w:r w:rsidRPr="526301F2">
        <w:rPr>
          <w:color w:val="000000" w:themeColor="text1"/>
        </w:rPr>
        <w:t>/irab202</w:t>
      </w:r>
    </w:p>
    <w:p w14:paraId="07D587EB" w14:textId="543A93D3" w:rsidR="526301F2" w:rsidRDefault="526301F2" w:rsidP="526301F2">
      <w:pPr>
        <w:pStyle w:val="ListParagraph"/>
        <w:numPr>
          <w:ilvl w:val="0"/>
          <w:numId w:val="21"/>
        </w:numPr>
        <w:spacing w:after="0" w:line="276" w:lineRule="auto"/>
        <w:rPr>
          <w:color w:val="000000" w:themeColor="text1"/>
        </w:rPr>
      </w:pPr>
      <w:r w:rsidRPr="526301F2">
        <w:rPr>
          <w:color w:val="000000" w:themeColor="text1"/>
        </w:rPr>
        <w:t xml:space="preserve">H.A. </w:t>
      </w:r>
      <w:proofErr w:type="spellStart"/>
      <w:r w:rsidRPr="526301F2">
        <w:rPr>
          <w:color w:val="000000" w:themeColor="text1"/>
        </w:rPr>
        <w:t>Yenikomashian</w:t>
      </w:r>
      <w:proofErr w:type="spellEnd"/>
      <w:r w:rsidRPr="526301F2">
        <w:rPr>
          <w:color w:val="000000" w:themeColor="text1"/>
        </w:rPr>
        <w:t xml:space="preserve">, T.L. Lewer, M. Tam, S.P. Mandell, S.E. Honari, T.N. Pham. Evaluation of Burn Rounds Using Telemedicine: Perspectives from Patients, Families, and Burn Center Staff. </w:t>
      </w:r>
      <w:proofErr w:type="spellStart"/>
      <w:r w:rsidRPr="526301F2">
        <w:rPr>
          <w:color w:val="000000" w:themeColor="text1"/>
        </w:rPr>
        <w:t>Telemed</w:t>
      </w:r>
      <w:proofErr w:type="spellEnd"/>
      <w:r w:rsidRPr="526301F2">
        <w:rPr>
          <w:color w:val="000000" w:themeColor="text1"/>
        </w:rPr>
        <w:t xml:space="preserve"> E-Health. 2019 Jan; 25(1). Doi: 10.1089/tmj.2017.0320</w:t>
      </w:r>
    </w:p>
    <w:p w14:paraId="10C4FDFE" w14:textId="130CFDA9" w:rsidR="00925462" w:rsidRPr="006451EA" w:rsidRDefault="526301F2" w:rsidP="00925462">
      <w:pPr>
        <w:pStyle w:val="ListParagraph"/>
        <w:numPr>
          <w:ilvl w:val="0"/>
          <w:numId w:val="21"/>
        </w:numPr>
        <w:spacing w:after="0" w:line="276" w:lineRule="auto"/>
        <w:rPr>
          <w:rFonts w:cstheme="minorHAnsi"/>
          <w:color w:val="000000" w:themeColor="text1"/>
        </w:rPr>
      </w:pPr>
      <w:r w:rsidRPr="526301F2">
        <w:rPr>
          <w:color w:val="000000" w:themeColor="text1"/>
        </w:rPr>
        <w:t xml:space="preserve">Harkey LC, Jung SM, Newton ER, Patterson A. Patient Satisfaction with Telehealth in Rural Settings: A Systematic Review. Int J </w:t>
      </w:r>
      <w:proofErr w:type="spellStart"/>
      <w:r w:rsidRPr="526301F2">
        <w:rPr>
          <w:color w:val="000000" w:themeColor="text1"/>
        </w:rPr>
        <w:t>Telerehabil</w:t>
      </w:r>
      <w:proofErr w:type="spellEnd"/>
      <w:r w:rsidRPr="526301F2">
        <w:rPr>
          <w:color w:val="000000" w:themeColor="text1"/>
        </w:rPr>
        <w:t xml:space="preserve">. 2020 Dec 8;12(2):53-64. </w:t>
      </w:r>
      <w:proofErr w:type="spellStart"/>
      <w:r w:rsidRPr="526301F2">
        <w:rPr>
          <w:color w:val="000000" w:themeColor="text1"/>
        </w:rPr>
        <w:t>doi</w:t>
      </w:r>
      <w:proofErr w:type="spellEnd"/>
      <w:r w:rsidRPr="526301F2">
        <w:rPr>
          <w:color w:val="000000" w:themeColor="text1"/>
        </w:rPr>
        <w:t xml:space="preserve">: 10.5195/ijt.2020.6303. </w:t>
      </w:r>
    </w:p>
    <w:p w14:paraId="2A4CD530" w14:textId="77777777" w:rsidR="006451EA" w:rsidRPr="006451EA" w:rsidRDefault="006451EA" w:rsidP="006451EA">
      <w:pPr>
        <w:spacing w:after="0" w:line="276" w:lineRule="auto"/>
        <w:rPr>
          <w:rFonts w:cstheme="minorHAnsi"/>
          <w:color w:val="000000" w:themeColor="text1"/>
        </w:rPr>
      </w:pPr>
    </w:p>
    <w:p w14:paraId="26550B92" w14:textId="4A5E8F3F" w:rsidR="7057BA07" w:rsidRDefault="7057BA07" w:rsidP="00816B92">
      <w:pPr>
        <w:spacing w:after="0" w:line="276" w:lineRule="auto"/>
      </w:pPr>
    </w:p>
    <w:p w14:paraId="5349B9B1" w14:textId="2B3AFB56" w:rsidR="29927AD3" w:rsidRDefault="29927AD3" w:rsidP="29927AD3">
      <w:pPr>
        <w:spacing w:after="0" w:line="276" w:lineRule="auto"/>
      </w:pPr>
    </w:p>
    <w:p w14:paraId="79E3E6EF" w14:textId="3E45E0A2" w:rsidR="69B24B60" w:rsidRDefault="69B24B60" w:rsidP="69B24B60"/>
    <w:p w14:paraId="6E12507B" w14:textId="77777777" w:rsidR="00373EF2" w:rsidRDefault="00373EF2" w:rsidP="69B24B60"/>
    <w:p w14:paraId="40800F76" w14:textId="77777777" w:rsidR="00373EF2" w:rsidRDefault="00373EF2" w:rsidP="69B24B60"/>
    <w:sectPr w:rsidR="00373EF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07D8" w14:textId="77777777" w:rsidR="002E5576" w:rsidRDefault="002E5576">
      <w:pPr>
        <w:spacing w:after="0" w:line="240" w:lineRule="auto"/>
      </w:pPr>
      <w:r>
        <w:separator/>
      </w:r>
    </w:p>
  </w:endnote>
  <w:endnote w:type="continuationSeparator" w:id="0">
    <w:p w14:paraId="78DCFAA8" w14:textId="77777777" w:rsidR="002E5576" w:rsidRDefault="002E5576">
      <w:pPr>
        <w:spacing w:after="0" w:line="240" w:lineRule="auto"/>
      </w:pPr>
      <w:r>
        <w:continuationSeparator/>
      </w:r>
    </w:p>
  </w:endnote>
  <w:endnote w:type="continuationNotice" w:id="1">
    <w:p w14:paraId="30B7A983" w14:textId="77777777" w:rsidR="002E5576" w:rsidRDefault="002E5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927AD3" w14:paraId="19F0BF45" w14:textId="77777777" w:rsidTr="29927AD3">
      <w:trPr>
        <w:trHeight w:val="300"/>
      </w:trPr>
      <w:tc>
        <w:tcPr>
          <w:tcW w:w="3120" w:type="dxa"/>
        </w:tcPr>
        <w:p w14:paraId="48BD7F3E" w14:textId="713A2C41" w:rsidR="29927AD3" w:rsidRDefault="29927AD3" w:rsidP="29927AD3">
          <w:pPr>
            <w:pStyle w:val="Header"/>
            <w:ind w:left="-115"/>
          </w:pPr>
        </w:p>
      </w:tc>
      <w:tc>
        <w:tcPr>
          <w:tcW w:w="3120" w:type="dxa"/>
        </w:tcPr>
        <w:p w14:paraId="3DB8A8A8" w14:textId="26E3D208" w:rsidR="29927AD3" w:rsidRDefault="29927AD3" w:rsidP="29927AD3">
          <w:pPr>
            <w:pStyle w:val="Header"/>
            <w:jc w:val="center"/>
          </w:pPr>
        </w:p>
      </w:tc>
      <w:tc>
        <w:tcPr>
          <w:tcW w:w="3120" w:type="dxa"/>
        </w:tcPr>
        <w:p w14:paraId="29E3E08F" w14:textId="7C1DCC3A" w:rsidR="29927AD3" w:rsidRDefault="29927AD3" w:rsidP="29927AD3">
          <w:pPr>
            <w:pStyle w:val="Header"/>
            <w:ind w:right="-115"/>
            <w:jc w:val="right"/>
          </w:pPr>
        </w:p>
      </w:tc>
    </w:tr>
  </w:tbl>
  <w:p w14:paraId="45C297DE" w14:textId="5B710190" w:rsidR="29927AD3" w:rsidRDefault="29927AD3" w:rsidP="2992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1D2D" w14:textId="77777777" w:rsidR="002E5576" w:rsidRDefault="002E5576">
      <w:pPr>
        <w:spacing w:after="0" w:line="240" w:lineRule="auto"/>
      </w:pPr>
      <w:r>
        <w:separator/>
      </w:r>
    </w:p>
  </w:footnote>
  <w:footnote w:type="continuationSeparator" w:id="0">
    <w:p w14:paraId="6151F9F5" w14:textId="77777777" w:rsidR="002E5576" w:rsidRDefault="002E5576">
      <w:pPr>
        <w:spacing w:after="0" w:line="240" w:lineRule="auto"/>
      </w:pPr>
      <w:r>
        <w:continuationSeparator/>
      </w:r>
    </w:p>
  </w:footnote>
  <w:footnote w:type="continuationNotice" w:id="1">
    <w:p w14:paraId="0E77CD5B" w14:textId="77777777" w:rsidR="002E5576" w:rsidRDefault="002E5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927AD3" w14:paraId="0E5853B5" w14:textId="77777777" w:rsidTr="29927AD3">
      <w:trPr>
        <w:trHeight w:val="300"/>
      </w:trPr>
      <w:tc>
        <w:tcPr>
          <w:tcW w:w="3120" w:type="dxa"/>
        </w:tcPr>
        <w:p w14:paraId="780D1BB3" w14:textId="4A1C7278" w:rsidR="29927AD3" w:rsidRDefault="29927AD3" w:rsidP="29927AD3">
          <w:pPr>
            <w:pStyle w:val="Header"/>
            <w:ind w:left="-115"/>
          </w:pPr>
        </w:p>
      </w:tc>
      <w:tc>
        <w:tcPr>
          <w:tcW w:w="3120" w:type="dxa"/>
        </w:tcPr>
        <w:p w14:paraId="6FEE8A08" w14:textId="7965E46E" w:rsidR="29927AD3" w:rsidRDefault="29927AD3" w:rsidP="29927AD3">
          <w:pPr>
            <w:pStyle w:val="Header"/>
            <w:jc w:val="center"/>
          </w:pPr>
        </w:p>
      </w:tc>
      <w:tc>
        <w:tcPr>
          <w:tcW w:w="3120" w:type="dxa"/>
        </w:tcPr>
        <w:p w14:paraId="0EC197C9" w14:textId="22DD207F" w:rsidR="29927AD3" w:rsidRDefault="29927AD3" w:rsidP="29927AD3">
          <w:pPr>
            <w:pStyle w:val="Header"/>
            <w:ind w:right="-115"/>
            <w:jc w:val="right"/>
          </w:pPr>
        </w:p>
      </w:tc>
    </w:tr>
  </w:tbl>
  <w:p w14:paraId="3EF9EC7F" w14:textId="7452B1D2" w:rsidR="29927AD3" w:rsidRDefault="29927AD3" w:rsidP="29927AD3">
    <w:pPr>
      <w:pStyle w:val="Header"/>
    </w:pPr>
  </w:p>
</w:hdr>
</file>

<file path=word/intelligence2.xml><?xml version="1.0" encoding="utf-8"?>
<int2:intelligence xmlns:int2="http://schemas.microsoft.com/office/intelligence/2020/intelligence" xmlns:oel="http://schemas.microsoft.com/office/2019/extlst">
  <int2:observations>
    <int2:textHash int2:hashCode="JQLetEulVqvIN4" int2:id="sTyz52mN">
      <int2:state int2:value="Rejected" int2:type="AugLoop_Text_Critique"/>
    </int2:textHash>
    <int2:bookmark int2:bookmarkName="_Int_FYo21MVB" int2:invalidationBookmarkName="" int2:hashCode="fMIeO6L/8HY3Cr" int2:id="5LASvkgf">
      <int2:state int2:value="Rejected" int2:type="AugLoop_Text_Critique"/>
    </int2:bookmark>
    <int2:bookmark int2:bookmarkName="_Int_8BNtuTAD" int2:invalidationBookmarkName="" int2:hashCode="X55YArurxx+Sdf" int2:id="ssOJhcx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E788"/>
    <w:multiLevelType w:val="hybridMultilevel"/>
    <w:tmpl w:val="D3C6EDB6"/>
    <w:lvl w:ilvl="0" w:tplc="2318D40A">
      <w:start w:val="1"/>
      <w:numFmt w:val="bullet"/>
      <w:lvlText w:val=""/>
      <w:lvlJc w:val="left"/>
      <w:pPr>
        <w:ind w:left="720" w:hanging="360"/>
      </w:pPr>
      <w:rPr>
        <w:rFonts w:ascii="Symbol" w:hAnsi="Symbol" w:hint="default"/>
      </w:rPr>
    </w:lvl>
    <w:lvl w:ilvl="1" w:tplc="FF12F61C">
      <w:start w:val="1"/>
      <w:numFmt w:val="bullet"/>
      <w:lvlText w:val="o"/>
      <w:lvlJc w:val="left"/>
      <w:pPr>
        <w:ind w:left="1440" w:hanging="360"/>
      </w:pPr>
      <w:rPr>
        <w:rFonts w:ascii="Courier New" w:hAnsi="Courier New" w:hint="default"/>
      </w:rPr>
    </w:lvl>
    <w:lvl w:ilvl="2" w:tplc="43A6A176">
      <w:start w:val="1"/>
      <w:numFmt w:val="bullet"/>
      <w:lvlText w:val=""/>
      <w:lvlJc w:val="left"/>
      <w:pPr>
        <w:ind w:left="2160" w:hanging="360"/>
      </w:pPr>
      <w:rPr>
        <w:rFonts w:ascii="Wingdings" w:hAnsi="Wingdings" w:hint="default"/>
      </w:rPr>
    </w:lvl>
    <w:lvl w:ilvl="3" w:tplc="A87C43E6">
      <w:start w:val="1"/>
      <w:numFmt w:val="bullet"/>
      <w:lvlText w:val=""/>
      <w:lvlJc w:val="left"/>
      <w:pPr>
        <w:ind w:left="2880" w:hanging="360"/>
      </w:pPr>
      <w:rPr>
        <w:rFonts w:ascii="Symbol" w:hAnsi="Symbol" w:hint="default"/>
      </w:rPr>
    </w:lvl>
    <w:lvl w:ilvl="4" w:tplc="340C0B76">
      <w:start w:val="1"/>
      <w:numFmt w:val="bullet"/>
      <w:lvlText w:val="o"/>
      <w:lvlJc w:val="left"/>
      <w:pPr>
        <w:ind w:left="3600" w:hanging="360"/>
      </w:pPr>
      <w:rPr>
        <w:rFonts w:ascii="Courier New" w:hAnsi="Courier New" w:hint="default"/>
      </w:rPr>
    </w:lvl>
    <w:lvl w:ilvl="5" w:tplc="320EB5FA">
      <w:start w:val="1"/>
      <w:numFmt w:val="bullet"/>
      <w:lvlText w:val=""/>
      <w:lvlJc w:val="left"/>
      <w:pPr>
        <w:ind w:left="4320" w:hanging="360"/>
      </w:pPr>
      <w:rPr>
        <w:rFonts w:ascii="Wingdings" w:hAnsi="Wingdings" w:hint="default"/>
      </w:rPr>
    </w:lvl>
    <w:lvl w:ilvl="6" w:tplc="AB1268E4">
      <w:start w:val="1"/>
      <w:numFmt w:val="bullet"/>
      <w:lvlText w:val=""/>
      <w:lvlJc w:val="left"/>
      <w:pPr>
        <w:ind w:left="5040" w:hanging="360"/>
      </w:pPr>
      <w:rPr>
        <w:rFonts w:ascii="Symbol" w:hAnsi="Symbol" w:hint="default"/>
      </w:rPr>
    </w:lvl>
    <w:lvl w:ilvl="7" w:tplc="5D76FA04">
      <w:start w:val="1"/>
      <w:numFmt w:val="bullet"/>
      <w:lvlText w:val="o"/>
      <w:lvlJc w:val="left"/>
      <w:pPr>
        <w:ind w:left="5760" w:hanging="360"/>
      </w:pPr>
      <w:rPr>
        <w:rFonts w:ascii="Courier New" w:hAnsi="Courier New" w:hint="default"/>
      </w:rPr>
    </w:lvl>
    <w:lvl w:ilvl="8" w:tplc="22CAF1A6">
      <w:start w:val="1"/>
      <w:numFmt w:val="bullet"/>
      <w:lvlText w:val=""/>
      <w:lvlJc w:val="left"/>
      <w:pPr>
        <w:ind w:left="6480" w:hanging="360"/>
      </w:pPr>
      <w:rPr>
        <w:rFonts w:ascii="Wingdings" w:hAnsi="Wingdings" w:hint="default"/>
      </w:rPr>
    </w:lvl>
  </w:abstractNum>
  <w:abstractNum w:abstractNumId="1" w15:restartNumberingAfterBreak="0">
    <w:nsid w:val="038FDD3C"/>
    <w:multiLevelType w:val="hybridMultilevel"/>
    <w:tmpl w:val="FF146582"/>
    <w:lvl w:ilvl="0" w:tplc="8CD41676">
      <w:start w:val="1"/>
      <w:numFmt w:val="decimal"/>
      <w:lvlText w:val="%1."/>
      <w:lvlJc w:val="left"/>
      <w:pPr>
        <w:ind w:left="720" w:hanging="360"/>
      </w:pPr>
    </w:lvl>
    <w:lvl w:ilvl="1" w:tplc="F7EE2D08">
      <w:start w:val="1"/>
      <w:numFmt w:val="lowerLetter"/>
      <w:lvlText w:val="%2."/>
      <w:lvlJc w:val="left"/>
      <w:pPr>
        <w:ind w:left="1440" w:hanging="360"/>
      </w:pPr>
    </w:lvl>
    <w:lvl w:ilvl="2" w:tplc="FB28BD58">
      <w:start w:val="1"/>
      <w:numFmt w:val="lowerRoman"/>
      <w:lvlText w:val="%3."/>
      <w:lvlJc w:val="right"/>
      <w:pPr>
        <w:ind w:left="2160" w:hanging="180"/>
      </w:pPr>
    </w:lvl>
    <w:lvl w:ilvl="3" w:tplc="571A0452">
      <w:start w:val="1"/>
      <w:numFmt w:val="decimal"/>
      <w:lvlText w:val="%4."/>
      <w:lvlJc w:val="left"/>
      <w:pPr>
        <w:ind w:left="2880" w:hanging="360"/>
      </w:pPr>
    </w:lvl>
    <w:lvl w:ilvl="4" w:tplc="288E1A62">
      <w:start w:val="1"/>
      <w:numFmt w:val="lowerLetter"/>
      <w:lvlText w:val="%5."/>
      <w:lvlJc w:val="left"/>
      <w:pPr>
        <w:ind w:left="3600" w:hanging="360"/>
      </w:pPr>
    </w:lvl>
    <w:lvl w:ilvl="5" w:tplc="7B362C14">
      <w:start w:val="1"/>
      <w:numFmt w:val="lowerRoman"/>
      <w:lvlText w:val="%6."/>
      <w:lvlJc w:val="right"/>
      <w:pPr>
        <w:ind w:left="4320" w:hanging="180"/>
      </w:pPr>
    </w:lvl>
    <w:lvl w:ilvl="6" w:tplc="598CAA6C">
      <w:start w:val="1"/>
      <w:numFmt w:val="decimal"/>
      <w:lvlText w:val="%7."/>
      <w:lvlJc w:val="left"/>
      <w:pPr>
        <w:ind w:left="5040" w:hanging="360"/>
      </w:pPr>
    </w:lvl>
    <w:lvl w:ilvl="7" w:tplc="90B640FE">
      <w:start w:val="1"/>
      <w:numFmt w:val="lowerLetter"/>
      <w:lvlText w:val="%8."/>
      <w:lvlJc w:val="left"/>
      <w:pPr>
        <w:ind w:left="5760" w:hanging="360"/>
      </w:pPr>
    </w:lvl>
    <w:lvl w:ilvl="8" w:tplc="CA5A586E">
      <w:start w:val="1"/>
      <w:numFmt w:val="lowerRoman"/>
      <w:lvlText w:val="%9."/>
      <w:lvlJc w:val="right"/>
      <w:pPr>
        <w:ind w:left="6480" w:hanging="180"/>
      </w:pPr>
    </w:lvl>
  </w:abstractNum>
  <w:abstractNum w:abstractNumId="2" w15:restartNumberingAfterBreak="0">
    <w:nsid w:val="08FF49A2"/>
    <w:multiLevelType w:val="hybridMultilevel"/>
    <w:tmpl w:val="E5AE0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8F958"/>
    <w:multiLevelType w:val="hybridMultilevel"/>
    <w:tmpl w:val="57DC2E0A"/>
    <w:lvl w:ilvl="0" w:tplc="B3E8574A">
      <w:start w:val="4"/>
      <w:numFmt w:val="decimal"/>
      <w:lvlText w:val="%1."/>
      <w:lvlJc w:val="left"/>
      <w:pPr>
        <w:ind w:left="720" w:hanging="360"/>
      </w:pPr>
    </w:lvl>
    <w:lvl w:ilvl="1" w:tplc="262CA914">
      <w:start w:val="1"/>
      <w:numFmt w:val="lowerLetter"/>
      <w:lvlText w:val="%2."/>
      <w:lvlJc w:val="left"/>
      <w:pPr>
        <w:ind w:left="1440" w:hanging="360"/>
      </w:pPr>
    </w:lvl>
    <w:lvl w:ilvl="2" w:tplc="E8D4A45A">
      <w:start w:val="1"/>
      <w:numFmt w:val="lowerRoman"/>
      <w:lvlText w:val="%3."/>
      <w:lvlJc w:val="right"/>
      <w:pPr>
        <w:ind w:left="2160" w:hanging="180"/>
      </w:pPr>
    </w:lvl>
    <w:lvl w:ilvl="3" w:tplc="C3CC1726">
      <w:start w:val="1"/>
      <w:numFmt w:val="decimal"/>
      <w:lvlText w:val="%4."/>
      <w:lvlJc w:val="left"/>
      <w:pPr>
        <w:ind w:left="2880" w:hanging="360"/>
      </w:pPr>
    </w:lvl>
    <w:lvl w:ilvl="4" w:tplc="8ED4E1A6">
      <w:start w:val="1"/>
      <w:numFmt w:val="lowerLetter"/>
      <w:lvlText w:val="%5."/>
      <w:lvlJc w:val="left"/>
      <w:pPr>
        <w:ind w:left="3600" w:hanging="360"/>
      </w:pPr>
    </w:lvl>
    <w:lvl w:ilvl="5" w:tplc="3956256C">
      <w:start w:val="1"/>
      <w:numFmt w:val="lowerRoman"/>
      <w:lvlText w:val="%6."/>
      <w:lvlJc w:val="right"/>
      <w:pPr>
        <w:ind w:left="4320" w:hanging="180"/>
      </w:pPr>
    </w:lvl>
    <w:lvl w:ilvl="6" w:tplc="2A36CBB8">
      <w:start w:val="1"/>
      <w:numFmt w:val="decimal"/>
      <w:lvlText w:val="%7."/>
      <w:lvlJc w:val="left"/>
      <w:pPr>
        <w:ind w:left="5040" w:hanging="360"/>
      </w:pPr>
    </w:lvl>
    <w:lvl w:ilvl="7" w:tplc="02DE7DE8">
      <w:start w:val="1"/>
      <w:numFmt w:val="lowerLetter"/>
      <w:lvlText w:val="%8."/>
      <w:lvlJc w:val="left"/>
      <w:pPr>
        <w:ind w:left="5760" w:hanging="360"/>
      </w:pPr>
    </w:lvl>
    <w:lvl w:ilvl="8" w:tplc="8C2E419A">
      <w:start w:val="1"/>
      <w:numFmt w:val="lowerRoman"/>
      <w:lvlText w:val="%9."/>
      <w:lvlJc w:val="right"/>
      <w:pPr>
        <w:ind w:left="6480" w:hanging="180"/>
      </w:pPr>
    </w:lvl>
  </w:abstractNum>
  <w:abstractNum w:abstractNumId="4" w15:restartNumberingAfterBreak="0">
    <w:nsid w:val="118A19F4"/>
    <w:multiLevelType w:val="hybridMultilevel"/>
    <w:tmpl w:val="8FB6CB9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88A47"/>
    <w:multiLevelType w:val="hybridMultilevel"/>
    <w:tmpl w:val="46A45922"/>
    <w:lvl w:ilvl="0" w:tplc="EA6831FA">
      <w:start w:val="1"/>
      <w:numFmt w:val="decimal"/>
      <w:lvlText w:val="%1."/>
      <w:lvlJc w:val="left"/>
      <w:pPr>
        <w:ind w:left="720" w:hanging="360"/>
      </w:pPr>
    </w:lvl>
    <w:lvl w:ilvl="1" w:tplc="A0068D22">
      <w:start w:val="1"/>
      <w:numFmt w:val="lowerLetter"/>
      <w:lvlText w:val="%2."/>
      <w:lvlJc w:val="left"/>
      <w:pPr>
        <w:ind w:left="1440" w:hanging="360"/>
      </w:pPr>
    </w:lvl>
    <w:lvl w:ilvl="2" w:tplc="F026A288">
      <w:start w:val="1"/>
      <w:numFmt w:val="lowerRoman"/>
      <w:lvlText w:val="%3."/>
      <w:lvlJc w:val="right"/>
      <w:pPr>
        <w:ind w:left="2160" w:hanging="180"/>
      </w:pPr>
    </w:lvl>
    <w:lvl w:ilvl="3" w:tplc="DF4AD300">
      <w:start w:val="1"/>
      <w:numFmt w:val="decimal"/>
      <w:lvlText w:val="%4."/>
      <w:lvlJc w:val="left"/>
      <w:pPr>
        <w:ind w:left="2880" w:hanging="360"/>
      </w:pPr>
    </w:lvl>
    <w:lvl w:ilvl="4" w:tplc="4E966608">
      <w:start w:val="1"/>
      <w:numFmt w:val="lowerLetter"/>
      <w:lvlText w:val="%5."/>
      <w:lvlJc w:val="left"/>
      <w:pPr>
        <w:ind w:left="3600" w:hanging="360"/>
      </w:pPr>
    </w:lvl>
    <w:lvl w:ilvl="5" w:tplc="A97A4A80">
      <w:start w:val="1"/>
      <w:numFmt w:val="lowerRoman"/>
      <w:lvlText w:val="%6."/>
      <w:lvlJc w:val="right"/>
      <w:pPr>
        <w:ind w:left="4320" w:hanging="180"/>
      </w:pPr>
    </w:lvl>
    <w:lvl w:ilvl="6" w:tplc="9C1443C6">
      <w:start w:val="1"/>
      <w:numFmt w:val="decimal"/>
      <w:lvlText w:val="%7."/>
      <w:lvlJc w:val="left"/>
      <w:pPr>
        <w:ind w:left="5040" w:hanging="360"/>
      </w:pPr>
    </w:lvl>
    <w:lvl w:ilvl="7" w:tplc="7534BB50">
      <w:start w:val="1"/>
      <w:numFmt w:val="lowerLetter"/>
      <w:lvlText w:val="%8."/>
      <w:lvlJc w:val="left"/>
      <w:pPr>
        <w:ind w:left="5760" w:hanging="360"/>
      </w:pPr>
    </w:lvl>
    <w:lvl w:ilvl="8" w:tplc="6B9CD270">
      <w:start w:val="1"/>
      <w:numFmt w:val="lowerRoman"/>
      <w:lvlText w:val="%9."/>
      <w:lvlJc w:val="right"/>
      <w:pPr>
        <w:ind w:left="6480" w:hanging="180"/>
      </w:pPr>
    </w:lvl>
  </w:abstractNum>
  <w:abstractNum w:abstractNumId="6" w15:restartNumberingAfterBreak="0">
    <w:nsid w:val="1FC94CF7"/>
    <w:multiLevelType w:val="hybridMultilevel"/>
    <w:tmpl w:val="BE32F474"/>
    <w:lvl w:ilvl="0" w:tplc="CC80F5F0">
      <w:start w:val="3"/>
      <w:numFmt w:val="decimal"/>
      <w:lvlText w:val="%1."/>
      <w:lvlJc w:val="left"/>
      <w:pPr>
        <w:ind w:left="720" w:hanging="360"/>
      </w:pPr>
    </w:lvl>
    <w:lvl w:ilvl="1" w:tplc="78B424B6">
      <w:start w:val="1"/>
      <w:numFmt w:val="lowerLetter"/>
      <w:lvlText w:val="%2."/>
      <w:lvlJc w:val="left"/>
      <w:pPr>
        <w:ind w:left="1440" w:hanging="360"/>
      </w:pPr>
    </w:lvl>
    <w:lvl w:ilvl="2" w:tplc="DFB01F36">
      <w:start w:val="1"/>
      <w:numFmt w:val="lowerRoman"/>
      <w:lvlText w:val="%3."/>
      <w:lvlJc w:val="right"/>
      <w:pPr>
        <w:ind w:left="2160" w:hanging="180"/>
      </w:pPr>
    </w:lvl>
    <w:lvl w:ilvl="3" w:tplc="D564E5E0">
      <w:start w:val="1"/>
      <w:numFmt w:val="decimal"/>
      <w:lvlText w:val="%4."/>
      <w:lvlJc w:val="left"/>
      <w:pPr>
        <w:ind w:left="2880" w:hanging="360"/>
      </w:pPr>
    </w:lvl>
    <w:lvl w:ilvl="4" w:tplc="45E84A18">
      <w:start w:val="1"/>
      <w:numFmt w:val="lowerLetter"/>
      <w:lvlText w:val="%5."/>
      <w:lvlJc w:val="left"/>
      <w:pPr>
        <w:ind w:left="3600" w:hanging="360"/>
      </w:pPr>
    </w:lvl>
    <w:lvl w:ilvl="5" w:tplc="CCA69F86">
      <w:start w:val="1"/>
      <w:numFmt w:val="lowerRoman"/>
      <w:lvlText w:val="%6."/>
      <w:lvlJc w:val="right"/>
      <w:pPr>
        <w:ind w:left="4320" w:hanging="180"/>
      </w:pPr>
    </w:lvl>
    <w:lvl w:ilvl="6" w:tplc="4A38CB34">
      <w:start w:val="1"/>
      <w:numFmt w:val="decimal"/>
      <w:lvlText w:val="%7."/>
      <w:lvlJc w:val="left"/>
      <w:pPr>
        <w:ind w:left="5040" w:hanging="360"/>
      </w:pPr>
    </w:lvl>
    <w:lvl w:ilvl="7" w:tplc="064AB642">
      <w:start w:val="1"/>
      <w:numFmt w:val="lowerLetter"/>
      <w:lvlText w:val="%8."/>
      <w:lvlJc w:val="left"/>
      <w:pPr>
        <w:ind w:left="5760" w:hanging="360"/>
      </w:pPr>
    </w:lvl>
    <w:lvl w:ilvl="8" w:tplc="7D0246CA">
      <w:start w:val="1"/>
      <w:numFmt w:val="lowerRoman"/>
      <w:lvlText w:val="%9."/>
      <w:lvlJc w:val="right"/>
      <w:pPr>
        <w:ind w:left="6480" w:hanging="180"/>
      </w:pPr>
    </w:lvl>
  </w:abstractNum>
  <w:abstractNum w:abstractNumId="7" w15:restartNumberingAfterBreak="0">
    <w:nsid w:val="296E1032"/>
    <w:multiLevelType w:val="hybridMultilevel"/>
    <w:tmpl w:val="B3BA8BBA"/>
    <w:lvl w:ilvl="0" w:tplc="3034BE4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4D242"/>
    <w:multiLevelType w:val="hybridMultilevel"/>
    <w:tmpl w:val="0F4E6E6A"/>
    <w:lvl w:ilvl="0" w:tplc="62ACFA42">
      <w:start w:val="1"/>
      <w:numFmt w:val="bullet"/>
      <w:lvlText w:val="-"/>
      <w:lvlJc w:val="left"/>
      <w:pPr>
        <w:ind w:left="720" w:hanging="360"/>
      </w:pPr>
      <w:rPr>
        <w:rFonts w:ascii="Calibri" w:hAnsi="Calibri" w:hint="default"/>
      </w:rPr>
    </w:lvl>
    <w:lvl w:ilvl="1" w:tplc="6B8099C2">
      <w:start w:val="1"/>
      <w:numFmt w:val="bullet"/>
      <w:lvlText w:val="o"/>
      <w:lvlJc w:val="left"/>
      <w:pPr>
        <w:ind w:left="1440" w:hanging="360"/>
      </w:pPr>
      <w:rPr>
        <w:rFonts w:ascii="Courier New" w:hAnsi="Courier New" w:hint="default"/>
      </w:rPr>
    </w:lvl>
    <w:lvl w:ilvl="2" w:tplc="4C26D838">
      <w:start w:val="1"/>
      <w:numFmt w:val="bullet"/>
      <w:lvlText w:val=""/>
      <w:lvlJc w:val="left"/>
      <w:pPr>
        <w:ind w:left="2160" w:hanging="360"/>
      </w:pPr>
      <w:rPr>
        <w:rFonts w:ascii="Wingdings" w:hAnsi="Wingdings" w:hint="default"/>
      </w:rPr>
    </w:lvl>
    <w:lvl w:ilvl="3" w:tplc="8B9C5E52">
      <w:start w:val="1"/>
      <w:numFmt w:val="bullet"/>
      <w:lvlText w:val=""/>
      <w:lvlJc w:val="left"/>
      <w:pPr>
        <w:ind w:left="2880" w:hanging="360"/>
      </w:pPr>
      <w:rPr>
        <w:rFonts w:ascii="Symbol" w:hAnsi="Symbol" w:hint="default"/>
      </w:rPr>
    </w:lvl>
    <w:lvl w:ilvl="4" w:tplc="FDBA7526">
      <w:start w:val="1"/>
      <w:numFmt w:val="bullet"/>
      <w:lvlText w:val="o"/>
      <w:lvlJc w:val="left"/>
      <w:pPr>
        <w:ind w:left="3600" w:hanging="360"/>
      </w:pPr>
      <w:rPr>
        <w:rFonts w:ascii="Courier New" w:hAnsi="Courier New" w:hint="default"/>
      </w:rPr>
    </w:lvl>
    <w:lvl w:ilvl="5" w:tplc="9F2A8B36">
      <w:start w:val="1"/>
      <w:numFmt w:val="bullet"/>
      <w:lvlText w:val=""/>
      <w:lvlJc w:val="left"/>
      <w:pPr>
        <w:ind w:left="4320" w:hanging="360"/>
      </w:pPr>
      <w:rPr>
        <w:rFonts w:ascii="Wingdings" w:hAnsi="Wingdings" w:hint="default"/>
      </w:rPr>
    </w:lvl>
    <w:lvl w:ilvl="6" w:tplc="04D6EF8A">
      <w:start w:val="1"/>
      <w:numFmt w:val="bullet"/>
      <w:lvlText w:val=""/>
      <w:lvlJc w:val="left"/>
      <w:pPr>
        <w:ind w:left="5040" w:hanging="360"/>
      </w:pPr>
      <w:rPr>
        <w:rFonts w:ascii="Symbol" w:hAnsi="Symbol" w:hint="default"/>
      </w:rPr>
    </w:lvl>
    <w:lvl w:ilvl="7" w:tplc="0D9460B8">
      <w:start w:val="1"/>
      <w:numFmt w:val="bullet"/>
      <w:lvlText w:val="o"/>
      <w:lvlJc w:val="left"/>
      <w:pPr>
        <w:ind w:left="5760" w:hanging="360"/>
      </w:pPr>
      <w:rPr>
        <w:rFonts w:ascii="Courier New" w:hAnsi="Courier New" w:hint="default"/>
      </w:rPr>
    </w:lvl>
    <w:lvl w:ilvl="8" w:tplc="E0A4A3B2">
      <w:start w:val="1"/>
      <w:numFmt w:val="bullet"/>
      <w:lvlText w:val=""/>
      <w:lvlJc w:val="left"/>
      <w:pPr>
        <w:ind w:left="6480" w:hanging="360"/>
      </w:pPr>
      <w:rPr>
        <w:rFonts w:ascii="Wingdings" w:hAnsi="Wingdings" w:hint="default"/>
      </w:rPr>
    </w:lvl>
  </w:abstractNum>
  <w:abstractNum w:abstractNumId="9" w15:restartNumberingAfterBreak="0">
    <w:nsid w:val="30C95044"/>
    <w:multiLevelType w:val="hybridMultilevel"/>
    <w:tmpl w:val="24EA8600"/>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8EE06B"/>
    <w:multiLevelType w:val="hybridMultilevel"/>
    <w:tmpl w:val="6BE83D3C"/>
    <w:lvl w:ilvl="0" w:tplc="87485526">
      <w:start w:val="1"/>
      <w:numFmt w:val="bullet"/>
      <w:lvlText w:val="-"/>
      <w:lvlJc w:val="left"/>
      <w:pPr>
        <w:ind w:left="720" w:hanging="360"/>
      </w:pPr>
      <w:rPr>
        <w:rFonts w:ascii="Calibri" w:hAnsi="Calibri" w:hint="default"/>
      </w:rPr>
    </w:lvl>
    <w:lvl w:ilvl="1" w:tplc="2CB6BD90">
      <w:start w:val="1"/>
      <w:numFmt w:val="bullet"/>
      <w:lvlText w:val="o"/>
      <w:lvlJc w:val="left"/>
      <w:pPr>
        <w:ind w:left="1440" w:hanging="360"/>
      </w:pPr>
      <w:rPr>
        <w:rFonts w:ascii="Courier New" w:hAnsi="Courier New" w:hint="default"/>
      </w:rPr>
    </w:lvl>
    <w:lvl w:ilvl="2" w:tplc="C6DA4650">
      <w:start w:val="1"/>
      <w:numFmt w:val="bullet"/>
      <w:lvlText w:val=""/>
      <w:lvlJc w:val="left"/>
      <w:pPr>
        <w:ind w:left="2160" w:hanging="360"/>
      </w:pPr>
      <w:rPr>
        <w:rFonts w:ascii="Wingdings" w:hAnsi="Wingdings" w:hint="default"/>
      </w:rPr>
    </w:lvl>
    <w:lvl w:ilvl="3" w:tplc="D55E039E">
      <w:start w:val="1"/>
      <w:numFmt w:val="bullet"/>
      <w:lvlText w:val=""/>
      <w:lvlJc w:val="left"/>
      <w:pPr>
        <w:ind w:left="2880" w:hanging="360"/>
      </w:pPr>
      <w:rPr>
        <w:rFonts w:ascii="Symbol" w:hAnsi="Symbol" w:hint="default"/>
      </w:rPr>
    </w:lvl>
    <w:lvl w:ilvl="4" w:tplc="2FC297EA">
      <w:start w:val="1"/>
      <w:numFmt w:val="bullet"/>
      <w:lvlText w:val="o"/>
      <w:lvlJc w:val="left"/>
      <w:pPr>
        <w:ind w:left="3600" w:hanging="360"/>
      </w:pPr>
      <w:rPr>
        <w:rFonts w:ascii="Courier New" w:hAnsi="Courier New" w:hint="default"/>
      </w:rPr>
    </w:lvl>
    <w:lvl w:ilvl="5" w:tplc="70643546">
      <w:start w:val="1"/>
      <w:numFmt w:val="bullet"/>
      <w:lvlText w:val=""/>
      <w:lvlJc w:val="left"/>
      <w:pPr>
        <w:ind w:left="4320" w:hanging="360"/>
      </w:pPr>
      <w:rPr>
        <w:rFonts w:ascii="Wingdings" w:hAnsi="Wingdings" w:hint="default"/>
      </w:rPr>
    </w:lvl>
    <w:lvl w:ilvl="6" w:tplc="1CE6E346">
      <w:start w:val="1"/>
      <w:numFmt w:val="bullet"/>
      <w:lvlText w:val=""/>
      <w:lvlJc w:val="left"/>
      <w:pPr>
        <w:ind w:left="5040" w:hanging="360"/>
      </w:pPr>
      <w:rPr>
        <w:rFonts w:ascii="Symbol" w:hAnsi="Symbol" w:hint="default"/>
      </w:rPr>
    </w:lvl>
    <w:lvl w:ilvl="7" w:tplc="84F2E15C">
      <w:start w:val="1"/>
      <w:numFmt w:val="bullet"/>
      <w:lvlText w:val="o"/>
      <w:lvlJc w:val="left"/>
      <w:pPr>
        <w:ind w:left="5760" w:hanging="360"/>
      </w:pPr>
      <w:rPr>
        <w:rFonts w:ascii="Courier New" w:hAnsi="Courier New" w:hint="default"/>
      </w:rPr>
    </w:lvl>
    <w:lvl w:ilvl="8" w:tplc="487E95BE">
      <w:start w:val="1"/>
      <w:numFmt w:val="bullet"/>
      <w:lvlText w:val=""/>
      <w:lvlJc w:val="left"/>
      <w:pPr>
        <w:ind w:left="6480" w:hanging="360"/>
      </w:pPr>
      <w:rPr>
        <w:rFonts w:ascii="Wingdings" w:hAnsi="Wingdings" w:hint="default"/>
      </w:rPr>
    </w:lvl>
  </w:abstractNum>
  <w:abstractNum w:abstractNumId="11" w15:restartNumberingAfterBreak="0">
    <w:nsid w:val="35EC6836"/>
    <w:multiLevelType w:val="hybridMultilevel"/>
    <w:tmpl w:val="0010E270"/>
    <w:lvl w:ilvl="0" w:tplc="CD4C5E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3364A"/>
    <w:multiLevelType w:val="hybridMultilevel"/>
    <w:tmpl w:val="0A42D98C"/>
    <w:lvl w:ilvl="0" w:tplc="7EAAB4A0">
      <w:start w:val="1"/>
      <w:numFmt w:val="bullet"/>
      <w:lvlText w:val=""/>
      <w:lvlJc w:val="left"/>
      <w:pPr>
        <w:ind w:left="720" w:hanging="360"/>
      </w:pPr>
      <w:rPr>
        <w:rFonts w:ascii="Symbol" w:hAnsi="Symbol" w:hint="default"/>
      </w:rPr>
    </w:lvl>
    <w:lvl w:ilvl="1" w:tplc="E6944752">
      <w:start w:val="1"/>
      <w:numFmt w:val="bullet"/>
      <w:lvlText w:val="o"/>
      <w:lvlJc w:val="left"/>
      <w:pPr>
        <w:ind w:left="1440" w:hanging="360"/>
      </w:pPr>
      <w:rPr>
        <w:rFonts w:ascii="Courier New" w:hAnsi="Courier New" w:hint="default"/>
      </w:rPr>
    </w:lvl>
    <w:lvl w:ilvl="2" w:tplc="78D4FDF8">
      <w:start w:val="1"/>
      <w:numFmt w:val="bullet"/>
      <w:lvlText w:val=""/>
      <w:lvlJc w:val="left"/>
      <w:pPr>
        <w:ind w:left="2160" w:hanging="360"/>
      </w:pPr>
      <w:rPr>
        <w:rFonts w:ascii="Wingdings" w:hAnsi="Wingdings" w:hint="default"/>
      </w:rPr>
    </w:lvl>
    <w:lvl w:ilvl="3" w:tplc="C472E180">
      <w:start w:val="1"/>
      <w:numFmt w:val="bullet"/>
      <w:lvlText w:val=""/>
      <w:lvlJc w:val="left"/>
      <w:pPr>
        <w:ind w:left="2880" w:hanging="360"/>
      </w:pPr>
      <w:rPr>
        <w:rFonts w:ascii="Symbol" w:hAnsi="Symbol" w:hint="default"/>
      </w:rPr>
    </w:lvl>
    <w:lvl w:ilvl="4" w:tplc="7682CA5C">
      <w:start w:val="1"/>
      <w:numFmt w:val="bullet"/>
      <w:lvlText w:val="o"/>
      <w:lvlJc w:val="left"/>
      <w:pPr>
        <w:ind w:left="3600" w:hanging="360"/>
      </w:pPr>
      <w:rPr>
        <w:rFonts w:ascii="Courier New" w:hAnsi="Courier New" w:hint="default"/>
      </w:rPr>
    </w:lvl>
    <w:lvl w:ilvl="5" w:tplc="C4BC1D72">
      <w:start w:val="1"/>
      <w:numFmt w:val="bullet"/>
      <w:lvlText w:val=""/>
      <w:lvlJc w:val="left"/>
      <w:pPr>
        <w:ind w:left="4320" w:hanging="360"/>
      </w:pPr>
      <w:rPr>
        <w:rFonts w:ascii="Wingdings" w:hAnsi="Wingdings" w:hint="default"/>
      </w:rPr>
    </w:lvl>
    <w:lvl w:ilvl="6" w:tplc="10C48802">
      <w:start w:val="1"/>
      <w:numFmt w:val="bullet"/>
      <w:lvlText w:val=""/>
      <w:lvlJc w:val="left"/>
      <w:pPr>
        <w:ind w:left="5040" w:hanging="360"/>
      </w:pPr>
      <w:rPr>
        <w:rFonts w:ascii="Symbol" w:hAnsi="Symbol" w:hint="default"/>
      </w:rPr>
    </w:lvl>
    <w:lvl w:ilvl="7" w:tplc="50F41F2E">
      <w:start w:val="1"/>
      <w:numFmt w:val="bullet"/>
      <w:lvlText w:val="o"/>
      <w:lvlJc w:val="left"/>
      <w:pPr>
        <w:ind w:left="5760" w:hanging="360"/>
      </w:pPr>
      <w:rPr>
        <w:rFonts w:ascii="Courier New" w:hAnsi="Courier New" w:hint="default"/>
      </w:rPr>
    </w:lvl>
    <w:lvl w:ilvl="8" w:tplc="A2AACDC6">
      <w:start w:val="1"/>
      <w:numFmt w:val="bullet"/>
      <w:lvlText w:val=""/>
      <w:lvlJc w:val="left"/>
      <w:pPr>
        <w:ind w:left="6480" w:hanging="360"/>
      </w:pPr>
      <w:rPr>
        <w:rFonts w:ascii="Wingdings" w:hAnsi="Wingdings" w:hint="default"/>
      </w:rPr>
    </w:lvl>
  </w:abstractNum>
  <w:abstractNum w:abstractNumId="13" w15:restartNumberingAfterBreak="0">
    <w:nsid w:val="456EF19F"/>
    <w:multiLevelType w:val="hybridMultilevel"/>
    <w:tmpl w:val="FCAAC0C2"/>
    <w:lvl w:ilvl="0" w:tplc="5DCCEA8A">
      <w:start w:val="1"/>
      <w:numFmt w:val="bullet"/>
      <w:lvlText w:val="-"/>
      <w:lvlJc w:val="left"/>
      <w:pPr>
        <w:ind w:left="720" w:hanging="360"/>
      </w:pPr>
      <w:rPr>
        <w:rFonts w:ascii="Calibri" w:hAnsi="Calibri" w:hint="default"/>
      </w:rPr>
    </w:lvl>
    <w:lvl w:ilvl="1" w:tplc="2ED65040">
      <w:start w:val="1"/>
      <w:numFmt w:val="bullet"/>
      <w:lvlText w:val="o"/>
      <w:lvlJc w:val="left"/>
      <w:pPr>
        <w:ind w:left="1440" w:hanging="360"/>
      </w:pPr>
      <w:rPr>
        <w:rFonts w:ascii="Courier New" w:hAnsi="Courier New" w:hint="default"/>
      </w:rPr>
    </w:lvl>
    <w:lvl w:ilvl="2" w:tplc="F70ABC66">
      <w:start w:val="1"/>
      <w:numFmt w:val="bullet"/>
      <w:lvlText w:val=""/>
      <w:lvlJc w:val="left"/>
      <w:pPr>
        <w:ind w:left="2160" w:hanging="360"/>
      </w:pPr>
      <w:rPr>
        <w:rFonts w:ascii="Wingdings" w:hAnsi="Wingdings" w:hint="default"/>
      </w:rPr>
    </w:lvl>
    <w:lvl w:ilvl="3" w:tplc="28385C5C">
      <w:start w:val="1"/>
      <w:numFmt w:val="bullet"/>
      <w:lvlText w:val=""/>
      <w:lvlJc w:val="left"/>
      <w:pPr>
        <w:ind w:left="2880" w:hanging="360"/>
      </w:pPr>
      <w:rPr>
        <w:rFonts w:ascii="Symbol" w:hAnsi="Symbol" w:hint="default"/>
      </w:rPr>
    </w:lvl>
    <w:lvl w:ilvl="4" w:tplc="CBB44FFE">
      <w:start w:val="1"/>
      <w:numFmt w:val="bullet"/>
      <w:lvlText w:val="o"/>
      <w:lvlJc w:val="left"/>
      <w:pPr>
        <w:ind w:left="3600" w:hanging="360"/>
      </w:pPr>
      <w:rPr>
        <w:rFonts w:ascii="Courier New" w:hAnsi="Courier New" w:hint="default"/>
      </w:rPr>
    </w:lvl>
    <w:lvl w:ilvl="5" w:tplc="1B38A732">
      <w:start w:val="1"/>
      <w:numFmt w:val="bullet"/>
      <w:lvlText w:val=""/>
      <w:lvlJc w:val="left"/>
      <w:pPr>
        <w:ind w:left="4320" w:hanging="360"/>
      </w:pPr>
      <w:rPr>
        <w:rFonts w:ascii="Wingdings" w:hAnsi="Wingdings" w:hint="default"/>
      </w:rPr>
    </w:lvl>
    <w:lvl w:ilvl="6" w:tplc="95E2947E">
      <w:start w:val="1"/>
      <w:numFmt w:val="bullet"/>
      <w:lvlText w:val=""/>
      <w:lvlJc w:val="left"/>
      <w:pPr>
        <w:ind w:left="5040" w:hanging="360"/>
      </w:pPr>
      <w:rPr>
        <w:rFonts w:ascii="Symbol" w:hAnsi="Symbol" w:hint="default"/>
      </w:rPr>
    </w:lvl>
    <w:lvl w:ilvl="7" w:tplc="3E8834CE">
      <w:start w:val="1"/>
      <w:numFmt w:val="bullet"/>
      <w:lvlText w:val="o"/>
      <w:lvlJc w:val="left"/>
      <w:pPr>
        <w:ind w:left="5760" w:hanging="360"/>
      </w:pPr>
      <w:rPr>
        <w:rFonts w:ascii="Courier New" w:hAnsi="Courier New" w:hint="default"/>
      </w:rPr>
    </w:lvl>
    <w:lvl w:ilvl="8" w:tplc="09CEA212">
      <w:start w:val="1"/>
      <w:numFmt w:val="bullet"/>
      <w:lvlText w:val=""/>
      <w:lvlJc w:val="left"/>
      <w:pPr>
        <w:ind w:left="6480" w:hanging="360"/>
      </w:pPr>
      <w:rPr>
        <w:rFonts w:ascii="Wingdings" w:hAnsi="Wingdings" w:hint="default"/>
      </w:rPr>
    </w:lvl>
  </w:abstractNum>
  <w:abstractNum w:abstractNumId="14" w15:restartNumberingAfterBreak="0">
    <w:nsid w:val="469A20E6"/>
    <w:multiLevelType w:val="hybridMultilevel"/>
    <w:tmpl w:val="780E23FA"/>
    <w:lvl w:ilvl="0" w:tplc="9E5A8854">
      <w:start w:val="2"/>
      <w:numFmt w:val="decimal"/>
      <w:lvlText w:val="%1."/>
      <w:lvlJc w:val="left"/>
      <w:pPr>
        <w:ind w:left="720" w:hanging="360"/>
      </w:pPr>
    </w:lvl>
    <w:lvl w:ilvl="1" w:tplc="655283FA">
      <w:start w:val="1"/>
      <w:numFmt w:val="lowerLetter"/>
      <w:lvlText w:val="%2."/>
      <w:lvlJc w:val="left"/>
      <w:pPr>
        <w:ind w:left="1440" w:hanging="360"/>
      </w:pPr>
    </w:lvl>
    <w:lvl w:ilvl="2" w:tplc="881E560A">
      <w:start w:val="1"/>
      <w:numFmt w:val="lowerRoman"/>
      <w:lvlText w:val="%3."/>
      <w:lvlJc w:val="right"/>
      <w:pPr>
        <w:ind w:left="2160" w:hanging="180"/>
      </w:pPr>
    </w:lvl>
    <w:lvl w:ilvl="3" w:tplc="3636387A">
      <w:start w:val="1"/>
      <w:numFmt w:val="decimal"/>
      <w:lvlText w:val="%4."/>
      <w:lvlJc w:val="left"/>
      <w:pPr>
        <w:ind w:left="2880" w:hanging="360"/>
      </w:pPr>
    </w:lvl>
    <w:lvl w:ilvl="4" w:tplc="1ADA69E2">
      <w:start w:val="1"/>
      <w:numFmt w:val="lowerLetter"/>
      <w:lvlText w:val="%5."/>
      <w:lvlJc w:val="left"/>
      <w:pPr>
        <w:ind w:left="3600" w:hanging="360"/>
      </w:pPr>
    </w:lvl>
    <w:lvl w:ilvl="5" w:tplc="A1AA8F78">
      <w:start w:val="1"/>
      <w:numFmt w:val="lowerRoman"/>
      <w:lvlText w:val="%6."/>
      <w:lvlJc w:val="right"/>
      <w:pPr>
        <w:ind w:left="4320" w:hanging="180"/>
      </w:pPr>
    </w:lvl>
    <w:lvl w:ilvl="6" w:tplc="79F0603A">
      <w:start w:val="1"/>
      <w:numFmt w:val="decimal"/>
      <w:lvlText w:val="%7."/>
      <w:lvlJc w:val="left"/>
      <w:pPr>
        <w:ind w:left="5040" w:hanging="360"/>
      </w:pPr>
    </w:lvl>
    <w:lvl w:ilvl="7" w:tplc="F7DAF87E">
      <w:start w:val="1"/>
      <w:numFmt w:val="lowerLetter"/>
      <w:lvlText w:val="%8."/>
      <w:lvlJc w:val="left"/>
      <w:pPr>
        <w:ind w:left="5760" w:hanging="360"/>
      </w:pPr>
    </w:lvl>
    <w:lvl w:ilvl="8" w:tplc="985C7DE4">
      <w:start w:val="1"/>
      <w:numFmt w:val="lowerRoman"/>
      <w:lvlText w:val="%9."/>
      <w:lvlJc w:val="right"/>
      <w:pPr>
        <w:ind w:left="6480" w:hanging="180"/>
      </w:pPr>
    </w:lvl>
  </w:abstractNum>
  <w:abstractNum w:abstractNumId="15" w15:restartNumberingAfterBreak="0">
    <w:nsid w:val="471FB0AF"/>
    <w:multiLevelType w:val="hybridMultilevel"/>
    <w:tmpl w:val="E8C0AF8E"/>
    <w:lvl w:ilvl="0" w:tplc="6C9E48A4">
      <w:start w:val="4"/>
      <w:numFmt w:val="decimal"/>
      <w:lvlText w:val="%1."/>
      <w:lvlJc w:val="left"/>
      <w:pPr>
        <w:ind w:left="720" w:hanging="360"/>
      </w:pPr>
    </w:lvl>
    <w:lvl w:ilvl="1" w:tplc="49F0D1D2">
      <w:start w:val="1"/>
      <w:numFmt w:val="lowerLetter"/>
      <w:lvlText w:val="%2."/>
      <w:lvlJc w:val="left"/>
      <w:pPr>
        <w:ind w:left="1440" w:hanging="360"/>
      </w:pPr>
    </w:lvl>
    <w:lvl w:ilvl="2" w:tplc="01C2E452">
      <w:start w:val="1"/>
      <w:numFmt w:val="lowerRoman"/>
      <w:lvlText w:val="%3."/>
      <w:lvlJc w:val="right"/>
      <w:pPr>
        <w:ind w:left="2160" w:hanging="180"/>
      </w:pPr>
    </w:lvl>
    <w:lvl w:ilvl="3" w:tplc="B29CAB4E">
      <w:start w:val="1"/>
      <w:numFmt w:val="decimal"/>
      <w:lvlText w:val="%4."/>
      <w:lvlJc w:val="left"/>
      <w:pPr>
        <w:ind w:left="2880" w:hanging="360"/>
      </w:pPr>
    </w:lvl>
    <w:lvl w:ilvl="4" w:tplc="426444F0">
      <w:start w:val="1"/>
      <w:numFmt w:val="lowerLetter"/>
      <w:lvlText w:val="%5."/>
      <w:lvlJc w:val="left"/>
      <w:pPr>
        <w:ind w:left="3600" w:hanging="360"/>
      </w:pPr>
    </w:lvl>
    <w:lvl w:ilvl="5" w:tplc="3EF6C44C">
      <w:start w:val="1"/>
      <w:numFmt w:val="lowerRoman"/>
      <w:lvlText w:val="%6."/>
      <w:lvlJc w:val="right"/>
      <w:pPr>
        <w:ind w:left="4320" w:hanging="180"/>
      </w:pPr>
    </w:lvl>
    <w:lvl w:ilvl="6" w:tplc="215E9BB0">
      <w:start w:val="1"/>
      <w:numFmt w:val="decimal"/>
      <w:lvlText w:val="%7."/>
      <w:lvlJc w:val="left"/>
      <w:pPr>
        <w:ind w:left="5040" w:hanging="360"/>
      </w:pPr>
    </w:lvl>
    <w:lvl w:ilvl="7" w:tplc="18DC1F24">
      <w:start w:val="1"/>
      <w:numFmt w:val="lowerLetter"/>
      <w:lvlText w:val="%8."/>
      <w:lvlJc w:val="left"/>
      <w:pPr>
        <w:ind w:left="5760" w:hanging="360"/>
      </w:pPr>
    </w:lvl>
    <w:lvl w:ilvl="8" w:tplc="FEDAB736">
      <w:start w:val="1"/>
      <w:numFmt w:val="lowerRoman"/>
      <w:lvlText w:val="%9."/>
      <w:lvlJc w:val="right"/>
      <w:pPr>
        <w:ind w:left="6480" w:hanging="180"/>
      </w:pPr>
    </w:lvl>
  </w:abstractNum>
  <w:abstractNum w:abstractNumId="16" w15:restartNumberingAfterBreak="0">
    <w:nsid w:val="59711696"/>
    <w:multiLevelType w:val="hybridMultilevel"/>
    <w:tmpl w:val="16BA27BE"/>
    <w:lvl w:ilvl="0" w:tplc="1BC6BEC4">
      <w:start w:val="2"/>
      <w:numFmt w:val="decimal"/>
      <w:lvlText w:val="%1."/>
      <w:lvlJc w:val="left"/>
      <w:pPr>
        <w:ind w:left="720" w:hanging="360"/>
      </w:pPr>
    </w:lvl>
    <w:lvl w:ilvl="1" w:tplc="E92E2DFE">
      <w:start w:val="1"/>
      <w:numFmt w:val="lowerLetter"/>
      <w:lvlText w:val="%2."/>
      <w:lvlJc w:val="left"/>
      <w:pPr>
        <w:ind w:left="1440" w:hanging="360"/>
      </w:pPr>
    </w:lvl>
    <w:lvl w:ilvl="2" w:tplc="BF0EF09C">
      <w:start w:val="1"/>
      <w:numFmt w:val="lowerRoman"/>
      <w:lvlText w:val="%3."/>
      <w:lvlJc w:val="right"/>
      <w:pPr>
        <w:ind w:left="2160" w:hanging="180"/>
      </w:pPr>
    </w:lvl>
    <w:lvl w:ilvl="3" w:tplc="50AC542C">
      <w:start w:val="1"/>
      <w:numFmt w:val="decimal"/>
      <w:lvlText w:val="%4."/>
      <w:lvlJc w:val="left"/>
      <w:pPr>
        <w:ind w:left="2880" w:hanging="360"/>
      </w:pPr>
    </w:lvl>
    <w:lvl w:ilvl="4" w:tplc="88825A08">
      <w:start w:val="1"/>
      <w:numFmt w:val="lowerLetter"/>
      <w:lvlText w:val="%5."/>
      <w:lvlJc w:val="left"/>
      <w:pPr>
        <w:ind w:left="3600" w:hanging="360"/>
      </w:pPr>
    </w:lvl>
    <w:lvl w:ilvl="5" w:tplc="7AD014AA">
      <w:start w:val="1"/>
      <w:numFmt w:val="lowerRoman"/>
      <w:lvlText w:val="%6."/>
      <w:lvlJc w:val="right"/>
      <w:pPr>
        <w:ind w:left="4320" w:hanging="180"/>
      </w:pPr>
    </w:lvl>
    <w:lvl w:ilvl="6" w:tplc="27A8C6E2">
      <w:start w:val="1"/>
      <w:numFmt w:val="decimal"/>
      <w:lvlText w:val="%7."/>
      <w:lvlJc w:val="left"/>
      <w:pPr>
        <w:ind w:left="5040" w:hanging="360"/>
      </w:pPr>
    </w:lvl>
    <w:lvl w:ilvl="7" w:tplc="445A8CC0">
      <w:start w:val="1"/>
      <w:numFmt w:val="lowerLetter"/>
      <w:lvlText w:val="%8."/>
      <w:lvlJc w:val="left"/>
      <w:pPr>
        <w:ind w:left="5760" w:hanging="360"/>
      </w:pPr>
    </w:lvl>
    <w:lvl w:ilvl="8" w:tplc="41D88570">
      <w:start w:val="1"/>
      <w:numFmt w:val="lowerRoman"/>
      <w:lvlText w:val="%9."/>
      <w:lvlJc w:val="right"/>
      <w:pPr>
        <w:ind w:left="6480" w:hanging="180"/>
      </w:pPr>
    </w:lvl>
  </w:abstractNum>
  <w:abstractNum w:abstractNumId="17" w15:restartNumberingAfterBreak="0">
    <w:nsid w:val="64444FA1"/>
    <w:multiLevelType w:val="hybridMultilevel"/>
    <w:tmpl w:val="519E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4AEEE"/>
    <w:multiLevelType w:val="hybridMultilevel"/>
    <w:tmpl w:val="808E4A94"/>
    <w:lvl w:ilvl="0" w:tplc="96BAEDA6">
      <w:start w:val="3"/>
      <w:numFmt w:val="decimal"/>
      <w:lvlText w:val="%1."/>
      <w:lvlJc w:val="left"/>
      <w:pPr>
        <w:ind w:left="720" w:hanging="360"/>
      </w:pPr>
    </w:lvl>
    <w:lvl w:ilvl="1" w:tplc="92266354">
      <w:start w:val="1"/>
      <w:numFmt w:val="lowerLetter"/>
      <w:lvlText w:val="%2."/>
      <w:lvlJc w:val="left"/>
      <w:pPr>
        <w:ind w:left="1440" w:hanging="360"/>
      </w:pPr>
    </w:lvl>
    <w:lvl w:ilvl="2" w:tplc="F9D627B8">
      <w:start w:val="1"/>
      <w:numFmt w:val="lowerRoman"/>
      <w:lvlText w:val="%3."/>
      <w:lvlJc w:val="right"/>
      <w:pPr>
        <w:ind w:left="2160" w:hanging="180"/>
      </w:pPr>
    </w:lvl>
    <w:lvl w:ilvl="3" w:tplc="14A20E94">
      <w:start w:val="1"/>
      <w:numFmt w:val="decimal"/>
      <w:lvlText w:val="%4."/>
      <w:lvlJc w:val="left"/>
      <w:pPr>
        <w:ind w:left="2880" w:hanging="360"/>
      </w:pPr>
    </w:lvl>
    <w:lvl w:ilvl="4" w:tplc="A43ACB5E">
      <w:start w:val="1"/>
      <w:numFmt w:val="lowerLetter"/>
      <w:lvlText w:val="%5."/>
      <w:lvlJc w:val="left"/>
      <w:pPr>
        <w:ind w:left="3600" w:hanging="360"/>
      </w:pPr>
    </w:lvl>
    <w:lvl w:ilvl="5" w:tplc="7B6A30EA">
      <w:start w:val="1"/>
      <w:numFmt w:val="lowerRoman"/>
      <w:lvlText w:val="%6."/>
      <w:lvlJc w:val="right"/>
      <w:pPr>
        <w:ind w:left="4320" w:hanging="180"/>
      </w:pPr>
    </w:lvl>
    <w:lvl w:ilvl="6" w:tplc="FA8C8B80">
      <w:start w:val="1"/>
      <w:numFmt w:val="decimal"/>
      <w:lvlText w:val="%7."/>
      <w:lvlJc w:val="left"/>
      <w:pPr>
        <w:ind w:left="5040" w:hanging="360"/>
      </w:pPr>
    </w:lvl>
    <w:lvl w:ilvl="7" w:tplc="437AF126">
      <w:start w:val="1"/>
      <w:numFmt w:val="lowerLetter"/>
      <w:lvlText w:val="%8."/>
      <w:lvlJc w:val="left"/>
      <w:pPr>
        <w:ind w:left="5760" w:hanging="360"/>
      </w:pPr>
    </w:lvl>
    <w:lvl w:ilvl="8" w:tplc="EDB245A8">
      <w:start w:val="1"/>
      <w:numFmt w:val="lowerRoman"/>
      <w:lvlText w:val="%9."/>
      <w:lvlJc w:val="right"/>
      <w:pPr>
        <w:ind w:left="6480" w:hanging="180"/>
      </w:pPr>
    </w:lvl>
  </w:abstractNum>
  <w:abstractNum w:abstractNumId="19" w15:restartNumberingAfterBreak="0">
    <w:nsid w:val="73F8EB18"/>
    <w:multiLevelType w:val="hybridMultilevel"/>
    <w:tmpl w:val="2160D78E"/>
    <w:lvl w:ilvl="0" w:tplc="01240C02">
      <w:start w:val="1"/>
      <w:numFmt w:val="bullet"/>
      <w:lvlText w:val="-"/>
      <w:lvlJc w:val="left"/>
      <w:pPr>
        <w:ind w:left="720" w:hanging="360"/>
      </w:pPr>
      <w:rPr>
        <w:rFonts w:ascii="Calibri" w:hAnsi="Calibri" w:hint="default"/>
      </w:rPr>
    </w:lvl>
    <w:lvl w:ilvl="1" w:tplc="F0DA6814">
      <w:start w:val="1"/>
      <w:numFmt w:val="bullet"/>
      <w:lvlText w:val="o"/>
      <w:lvlJc w:val="left"/>
      <w:pPr>
        <w:ind w:left="1440" w:hanging="360"/>
      </w:pPr>
      <w:rPr>
        <w:rFonts w:ascii="Courier New" w:hAnsi="Courier New" w:hint="default"/>
      </w:rPr>
    </w:lvl>
    <w:lvl w:ilvl="2" w:tplc="46F6CCFE">
      <w:start w:val="1"/>
      <w:numFmt w:val="bullet"/>
      <w:lvlText w:val=""/>
      <w:lvlJc w:val="left"/>
      <w:pPr>
        <w:ind w:left="2160" w:hanging="360"/>
      </w:pPr>
      <w:rPr>
        <w:rFonts w:ascii="Wingdings" w:hAnsi="Wingdings" w:hint="default"/>
      </w:rPr>
    </w:lvl>
    <w:lvl w:ilvl="3" w:tplc="B2003FFC">
      <w:start w:val="1"/>
      <w:numFmt w:val="bullet"/>
      <w:lvlText w:val=""/>
      <w:lvlJc w:val="left"/>
      <w:pPr>
        <w:ind w:left="2880" w:hanging="360"/>
      </w:pPr>
      <w:rPr>
        <w:rFonts w:ascii="Symbol" w:hAnsi="Symbol" w:hint="default"/>
      </w:rPr>
    </w:lvl>
    <w:lvl w:ilvl="4" w:tplc="1EC0FD7C">
      <w:start w:val="1"/>
      <w:numFmt w:val="bullet"/>
      <w:lvlText w:val="o"/>
      <w:lvlJc w:val="left"/>
      <w:pPr>
        <w:ind w:left="3600" w:hanging="360"/>
      </w:pPr>
      <w:rPr>
        <w:rFonts w:ascii="Courier New" w:hAnsi="Courier New" w:hint="default"/>
      </w:rPr>
    </w:lvl>
    <w:lvl w:ilvl="5" w:tplc="41ACCFF4">
      <w:start w:val="1"/>
      <w:numFmt w:val="bullet"/>
      <w:lvlText w:val=""/>
      <w:lvlJc w:val="left"/>
      <w:pPr>
        <w:ind w:left="4320" w:hanging="360"/>
      </w:pPr>
      <w:rPr>
        <w:rFonts w:ascii="Wingdings" w:hAnsi="Wingdings" w:hint="default"/>
      </w:rPr>
    </w:lvl>
    <w:lvl w:ilvl="6" w:tplc="587AC576">
      <w:start w:val="1"/>
      <w:numFmt w:val="bullet"/>
      <w:lvlText w:val=""/>
      <w:lvlJc w:val="left"/>
      <w:pPr>
        <w:ind w:left="5040" w:hanging="360"/>
      </w:pPr>
      <w:rPr>
        <w:rFonts w:ascii="Symbol" w:hAnsi="Symbol" w:hint="default"/>
      </w:rPr>
    </w:lvl>
    <w:lvl w:ilvl="7" w:tplc="B29ECF00">
      <w:start w:val="1"/>
      <w:numFmt w:val="bullet"/>
      <w:lvlText w:val="o"/>
      <w:lvlJc w:val="left"/>
      <w:pPr>
        <w:ind w:left="5760" w:hanging="360"/>
      </w:pPr>
      <w:rPr>
        <w:rFonts w:ascii="Courier New" w:hAnsi="Courier New" w:hint="default"/>
      </w:rPr>
    </w:lvl>
    <w:lvl w:ilvl="8" w:tplc="D1A2F178">
      <w:start w:val="1"/>
      <w:numFmt w:val="bullet"/>
      <w:lvlText w:val=""/>
      <w:lvlJc w:val="left"/>
      <w:pPr>
        <w:ind w:left="6480" w:hanging="360"/>
      </w:pPr>
      <w:rPr>
        <w:rFonts w:ascii="Wingdings" w:hAnsi="Wingdings" w:hint="default"/>
      </w:rPr>
    </w:lvl>
  </w:abstractNum>
  <w:abstractNum w:abstractNumId="20" w15:restartNumberingAfterBreak="0">
    <w:nsid w:val="758AB320"/>
    <w:multiLevelType w:val="hybridMultilevel"/>
    <w:tmpl w:val="37FAC2DE"/>
    <w:lvl w:ilvl="0" w:tplc="4E3CD7E8">
      <w:start w:val="1"/>
      <w:numFmt w:val="decimal"/>
      <w:lvlText w:val="%1."/>
      <w:lvlJc w:val="left"/>
      <w:pPr>
        <w:ind w:left="720" w:hanging="360"/>
      </w:pPr>
    </w:lvl>
    <w:lvl w:ilvl="1" w:tplc="A00C99C4">
      <w:start w:val="1"/>
      <w:numFmt w:val="lowerLetter"/>
      <w:lvlText w:val="%2."/>
      <w:lvlJc w:val="left"/>
      <w:pPr>
        <w:ind w:left="1440" w:hanging="360"/>
      </w:pPr>
    </w:lvl>
    <w:lvl w:ilvl="2" w:tplc="9C7CCD0C">
      <w:start w:val="1"/>
      <w:numFmt w:val="lowerRoman"/>
      <w:lvlText w:val="%3."/>
      <w:lvlJc w:val="right"/>
      <w:pPr>
        <w:ind w:left="2160" w:hanging="180"/>
      </w:pPr>
    </w:lvl>
    <w:lvl w:ilvl="3" w:tplc="F8CE77B4">
      <w:start w:val="1"/>
      <w:numFmt w:val="decimal"/>
      <w:lvlText w:val="%4."/>
      <w:lvlJc w:val="left"/>
      <w:pPr>
        <w:ind w:left="2880" w:hanging="360"/>
      </w:pPr>
    </w:lvl>
    <w:lvl w:ilvl="4" w:tplc="C58E5E6C">
      <w:start w:val="1"/>
      <w:numFmt w:val="lowerLetter"/>
      <w:lvlText w:val="%5."/>
      <w:lvlJc w:val="left"/>
      <w:pPr>
        <w:ind w:left="3600" w:hanging="360"/>
      </w:pPr>
    </w:lvl>
    <w:lvl w:ilvl="5" w:tplc="F44213F2">
      <w:start w:val="1"/>
      <w:numFmt w:val="lowerRoman"/>
      <w:lvlText w:val="%6."/>
      <w:lvlJc w:val="right"/>
      <w:pPr>
        <w:ind w:left="4320" w:hanging="180"/>
      </w:pPr>
    </w:lvl>
    <w:lvl w:ilvl="6" w:tplc="B2A4E5CC">
      <w:start w:val="1"/>
      <w:numFmt w:val="decimal"/>
      <w:lvlText w:val="%7."/>
      <w:lvlJc w:val="left"/>
      <w:pPr>
        <w:ind w:left="5040" w:hanging="360"/>
      </w:pPr>
    </w:lvl>
    <w:lvl w:ilvl="7" w:tplc="86DE9708">
      <w:start w:val="1"/>
      <w:numFmt w:val="lowerLetter"/>
      <w:lvlText w:val="%8."/>
      <w:lvlJc w:val="left"/>
      <w:pPr>
        <w:ind w:left="5760" w:hanging="360"/>
      </w:pPr>
    </w:lvl>
    <w:lvl w:ilvl="8" w:tplc="9B1857A8">
      <w:start w:val="1"/>
      <w:numFmt w:val="lowerRoman"/>
      <w:lvlText w:val="%9."/>
      <w:lvlJc w:val="right"/>
      <w:pPr>
        <w:ind w:left="6480" w:hanging="180"/>
      </w:pPr>
    </w:lvl>
  </w:abstractNum>
  <w:abstractNum w:abstractNumId="21" w15:restartNumberingAfterBreak="0">
    <w:nsid w:val="7C812587"/>
    <w:multiLevelType w:val="hybridMultilevel"/>
    <w:tmpl w:val="B1BC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6C77A"/>
    <w:multiLevelType w:val="hybridMultilevel"/>
    <w:tmpl w:val="39A82A3E"/>
    <w:lvl w:ilvl="0" w:tplc="E9A60856">
      <w:start w:val="1"/>
      <w:numFmt w:val="decimal"/>
      <w:lvlText w:val="%1."/>
      <w:lvlJc w:val="left"/>
      <w:pPr>
        <w:ind w:left="720" w:hanging="360"/>
      </w:pPr>
    </w:lvl>
    <w:lvl w:ilvl="1" w:tplc="3D9E2024">
      <w:start w:val="1"/>
      <w:numFmt w:val="lowerLetter"/>
      <w:lvlText w:val="%2."/>
      <w:lvlJc w:val="left"/>
      <w:pPr>
        <w:ind w:left="1440" w:hanging="360"/>
      </w:pPr>
    </w:lvl>
    <w:lvl w:ilvl="2" w:tplc="90E0704C">
      <w:start w:val="1"/>
      <w:numFmt w:val="lowerRoman"/>
      <w:lvlText w:val="%3."/>
      <w:lvlJc w:val="right"/>
      <w:pPr>
        <w:ind w:left="2160" w:hanging="180"/>
      </w:pPr>
    </w:lvl>
    <w:lvl w:ilvl="3" w:tplc="907212E0">
      <w:start w:val="1"/>
      <w:numFmt w:val="decimal"/>
      <w:lvlText w:val="%4."/>
      <w:lvlJc w:val="left"/>
      <w:pPr>
        <w:ind w:left="2880" w:hanging="360"/>
      </w:pPr>
    </w:lvl>
    <w:lvl w:ilvl="4" w:tplc="65E686B2">
      <w:start w:val="1"/>
      <w:numFmt w:val="lowerLetter"/>
      <w:lvlText w:val="%5."/>
      <w:lvlJc w:val="left"/>
      <w:pPr>
        <w:ind w:left="3600" w:hanging="360"/>
      </w:pPr>
    </w:lvl>
    <w:lvl w:ilvl="5" w:tplc="ED9C3022">
      <w:start w:val="1"/>
      <w:numFmt w:val="lowerRoman"/>
      <w:lvlText w:val="%6."/>
      <w:lvlJc w:val="right"/>
      <w:pPr>
        <w:ind w:left="4320" w:hanging="180"/>
      </w:pPr>
    </w:lvl>
    <w:lvl w:ilvl="6" w:tplc="0AF0EF1A">
      <w:start w:val="1"/>
      <w:numFmt w:val="decimal"/>
      <w:lvlText w:val="%7."/>
      <w:lvlJc w:val="left"/>
      <w:pPr>
        <w:ind w:left="5040" w:hanging="360"/>
      </w:pPr>
    </w:lvl>
    <w:lvl w:ilvl="7" w:tplc="808873A2">
      <w:start w:val="1"/>
      <w:numFmt w:val="lowerLetter"/>
      <w:lvlText w:val="%8."/>
      <w:lvlJc w:val="left"/>
      <w:pPr>
        <w:ind w:left="5760" w:hanging="360"/>
      </w:pPr>
    </w:lvl>
    <w:lvl w:ilvl="8" w:tplc="84900908">
      <w:start w:val="1"/>
      <w:numFmt w:val="lowerRoman"/>
      <w:lvlText w:val="%9."/>
      <w:lvlJc w:val="right"/>
      <w:pPr>
        <w:ind w:left="6480" w:hanging="180"/>
      </w:pPr>
    </w:lvl>
  </w:abstractNum>
  <w:num w:numId="1" w16cid:durableId="1923875173">
    <w:abstractNumId w:val="12"/>
  </w:num>
  <w:num w:numId="2" w16cid:durableId="1715884472">
    <w:abstractNumId w:val="10"/>
  </w:num>
  <w:num w:numId="3" w16cid:durableId="675499452">
    <w:abstractNumId w:val="13"/>
  </w:num>
  <w:num w:numId="4" w16cid:durableId="2136286762">
    <w:abstractNumId w:val="8"/>
  </w:num>
  <w:num w:numId="5" w16cid:durableId="405884588">
    <w:abstractNumId w:val="19"/>
  </w:num>
  <w:num w:numId="6" w16cid:durableId="360983512">
    <w:abstractNumId w:val="15"/>
  </w:num>
  <w:num w:numId="7" w16cid:durableId="926885008">
    <w:abstractNumId w:val="6"/>
  </w:num>
  <w:num w:numId="8" w16cid:durableId="90974793">
    <w:abstractNumId w:val="14"/>
  </w:num>
  <w:num w:numId="9" w16cid:durableId="356085632">
    <w:abstractNumId w:val="20"/>
  </w:num>
  <w:num w:numId="10" w16cid:durableId="404882172">
    <w:abstractNumId w:val="0"/>
  </w:num>
  <w:num w:numId="11" w16cid:durableId="939532907">
    <w:abstractNumId w:val="3"/>
  </w:num>
  <w:num w:numId="12" w16cid:durableId="1060250156">
    <w:abstractNumId w:val="18"/>
  </w:num>
  <w:num w:numId="13" w16cid:durableId="1953131191">
    <w:abstractNumId w:val="16"/>
  </w:num>
  <w:num w:numId="14" w16cid:durableId="13507784">
    <w:abstractNumId w:val="5"/>
  </w:num>
  <w:num w:numId="15" w16cid:durableId="1519274346">
    <w:abstractNumId w:val="22"/>
  </w:num>
  <w:num w:numId="16" w16cid:durableId="889461184">
    <w:abstractNumId w:val="1"/>
  </w:num>
  <w:num w:numId="17" w16cid:durableId="1070232828">
    <w:abstractNumId w:val="17"/>
  </w:num>
  <w:num w:numId="18" w16cid:durableId="1147673654">
    <w:abstractNumId w:val="21"/>
  </w:num>
  <w:num w:numId="19" w16cid:durableId="426734403">
    <w:abstractNumId w:val="7"/>
  </w:num>
  <w:num w:numId="20" w16cid:durableId="1085808275">
    <w:abstractNumId w:val="9"/>
  </w:num>
  <w:num w:numId="21" w16cid:durableId="1932470401">
    <w:abstractNumId w:val="4"/>
  </w:num>
  <w:num w:numId="22" w16cid:durableId="1942639583">
    <w:abstractNumId w:val="2"/>
  </w:num>
  <w:num w:numId="23" w16cid:durableId="1762138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15C3A1"/>
    <w:rsid w:val="000013E5"/>
    <w:rsid w:val="00001D41"/>
    <w:rsid w:val="0000356E"/>
    <w:rsid w:val="00010D5E"/>
    <w:rsid w:val="00010F08"/>
    <w:rsid w:val="00013AC8"/>
    <w:rsid w:val="00013E5C"/>
    <w:rsid w:val="000168F8"/>
    <w:rsid w:val="00020AA1"/>
    <w:rsid w:val="00021BBE"/>
    <w:rsid w:val="0002274D"/>
    <w:rsid w:val="00022FF3"/>
    <w:rsid w:val="0002315B"/>
    <w:rsid w:val="00023BA6"/>
    <w:rsid w:val="00024E8A"/>
    <w:rsid w:val="000279EF"/>
    <w:rsid w:val="00030A0A"/>
    <w:rsid w:val="00036103"/>
    <w:rsid w:val="0003720D"/>
    <w:rsid w:val="0004084C"/>
    <w:rsid w:val="00045766"/>
    <w:rsid w:val="00046831"/>
    <w:rsid w:val="00047122"/>
    <w:rsid w:val="000505E9"/>
    <w:rsid w:val="00051721"/>
    <w:rsid w:val="000518D1"/>
    <w:rsid w:val="000530AA"/>
    <w:rsid w:val="00054408"/>
    <w:rsid w:val="00054F81"/>
    <w:rsid w:val="00055ACF"/>
    <w:rsid w:val="000622F7"/>
    <w:rsid w:val="0006332D"/>
    <w:rsid w:val="00066A1E"/>
    <w:rsid w:val="00073E2C"/>
    <w:rsid w:val="000752F6"/>
    <w:rsid w:val="000802A6"/>
    <w:rsid w:val="00080724"/>
    <w:rsid w:val="000915FE"/>
    <w:rsid w:val="0009328B"/>
    <w:rsid w:val="00093C35"/>
    <w:rsid w:val="00096F0B"/>
    <w:rsid w:val="000974A7"/>
    <w:rsid w:val="000A3B83"/>
    <w:rsid w:val="000B04B8"/>
    <w:rsid w:val="000B1AEB"/>
    <w:rsid w:val="000B2024"/>
    <w:rsid w:val="000B36AA"/>
    <w:rsid w:val="000B39AB"/>
    <w:rsid w:val="000B607E"/>
    <w:rsid w:val="000C24C1"/>
    <w:rsid w:val="000C3425"/>
    <w:rsid w:val="000C7647"/>
    <w:rsid w:val="000D2B8B"/>
    <w:rsid w:val="000D37A5"/>
    <w:rsid w:val="000D3B11"/>
    <w:rsid w:val="000E1535"/>
    <w:rsid w:val="000E2CE8"/>
    <w:rsid w:val="000E3F8A"/>
    <w:rsid w:val="000E4DBD"/>
    <w:rsid w:val="000E5168"/>
    <w:rsid w:val="000E5D66"/>
    <w:rsid w:val="000F207A"/>
    <w:rsid w:val="000F4C6F"/>
    <w:rsid w:val="000F5F9D"/>
    <w:rsid w:val="000F6A98"/>
    <w:rsid w:val="000F6B2C"/>
    <w:rsid w:val="000F7945"/>
    <w:rsid w:val="00100D37"/>
    <w:rsid w:val="00107D9F"/>
    <w:rsid w:val="00110201"/>
    <w:rsid w:val="00113227"/>
    <w:rsid w:val="001135A5"/>
    <w:rsid w:val="0011378B"/>
    <w:rsid w:val="0011480B"/>
    <w:rsid w:val="00116810"/>
    <w:rsid w:val="001169D6"/>
    <w:rsid w:val="00120771"/>
    <w:rsid w:val="00120DE8"/>
    <w:rsid w:val="00121153"/>
    <w:rsid w:val="00121724"/>
    <w:rsid w:val="00124A0B"/>
    <w:rsid w:val="0013145B"/>
    <w:rsid w:val="00143D2F"/>
    <w:rsid w:val="00146911"/>
    <w:rsid w:val="00150EF1"/>
    <w:rsid w:val="00152D87"/>
    <w:rsid w:val="001550D8"/>
    <w:rsid w:val="00160703"/>
    <w:rsid w:val="00160E08"/>
    <w:rsid w:val="00162AAD"/>
    <w:rsid w:val="0016509F"/>
    <w:rsid w:val="001653FF"/>
    <w:rsid w:val="00171D70"/>
    <w:rsid w:val="001743E7"/>
    <w:rsid w:val="00177CDA"/>
    <w:rsid w:val="001802F9"/>
    <w:rsid w:val="0019299E"/>
    <w:rsid w:val="00195D60"/>
    <w:rsid w:val="001A57AE"/>
    <w:rsid w:val="001A687C"/>
    <w:rsid w:val="001A6FA3"/>
    <w:rsid w:val="001B036B"/>
    <w:rsid w:val="001B0BAF"/>
    <w:rsid w:val="001B5CFD"/>
    <w:rsid w:val="001B5F38"/>
    <w:rsid w:val="001B6D9B"/>
    <w:rsid w:val="001B745B"/>
    <w:rsid w:val="001B7B45"/>
    <w:rsid w:val="001D13E1"/>
    <w:rsid w:val="001E0DD2"/>
    <w:rsid w:val="001E3192"/>
    <w:rsid w:val="001E3779"/>
    <w:rsid w:val="001F1E34"/>
    <w:rsid w:val="001F368F"/>
    <w:rsid w:val="001F4354"/>
    <w:rsid w:val="001F59BF"/>
    <w:rsid w:val="001F678A"/>
    <w:rsid w:val="00200144"/>
    <w:rsid w:val="00207EFB"/>
    <w:rsid w:val="00210DDD"/>
    <w:rsid w:val="0021168F"/>
    <w:rsid w:val="00211787"/>
    <w:rsid w:val="00213FE5"/>
    <w:rsid w:val="00216528"/>
    <w:rsid w:val="002178DA"/>
    <w:rsid w:val="00217B43"/>
    <w:rsid w:val="00220B29"/>
    <w:rsid w:val="00220F96"/>
    <w:rsid w:val="00221C58"/>
    <w:rsid w:val="002235DE"/>
    <w:rsid w:val="002265AF"/>
    <w:rsid w:val="00226F36"/>
    <w:rsid w:val="0023154C"/>
    <w:rsid w:val="002417F1"/>
    <w:rsid w:val="00241C8F"/>
    <w:rsid w:val="00243C9D"/>
    <w:rsid w:val="00243D21"/>
    <w:rsid w:val="00246A52"/>
    <w:rsid w:val="00252250"/>
    <w:rsid w:val="00253066"/>
    <w:rsid w:val="00254E9C"/>
    <w:rsid w:val="002608E8"/>
    <w:rsid w:val="00262214"/>
    <w:rsid w:val="00263513"/>
    <w:rsid w:val="0026506C"/>
    <w:rsid w:val="00265781"/>
    <w:rsid w:val="00266347"/>
    <w:rsid w:val="00266A41"/>
    <w:rsid w:val="00271113"/>
    <w:rsid w:val="002727E8"/>
    <w:rsid w:val="00274358"/>
    <w:rsid w:val="00276A45"/>
    <w:rsid w:val="0028315A"/>
    <w:rsid w:val="00291CE3"/>
    <w:rsid w:val="002A09C5"/>
    <w:rsid w:val="002A1947"/>
    <w:rsid w:val="002A3FBD"/>
    <w:rsid w:val="002A56E5"/>
    <w:rsid w:val="002A6224"/>
    <w:rsid w:val="002A623F"/>
    <w:rsid w:val="002A73BA"/>
    <w:rsid w:val="002A7FA1"/>
    <w:rsid w:val="002B42AB"/>
    <w:rsid w:val="002B64FC"/>
    <w:rsid w:val="002B740D"/>
    <w:rsid w:val="002B78A2"/>
    <w:rsid w:val="002C0AD4"/>
    <w:rsid w:val="002C2D36"/>
    <w:rsid w:val="002C663F"/>
    <w:rsid w:val="002D35ED"/>
    <w:rsid w:val="002D3684"/>
    <w:rsid w:val="002E5576"/>
    <w:rsid w:val="002E6BBF"/>
    <w:rsid w:val="002F50C4"/>
    <w:rsid w:val="002F7381"/>
    <w:rsid w:val="00304BA9"/>
    <w:rsid w:val="0031477C"/>
    <w:rsid w:val="00320CC0"/>
    <w:rsid w:val="0032647D"/>
    <w:rsid w:val="00326667"/>
    <w:rsid w:val="00327AA6"/>
    <w:rsid w:val="003308BA"/>
    <w:rsid w:val="003313B6"/>
    <w:rsid w:val="0033185C"/>
    <w:rsid w:val="0033260D"/>
    <w:rsid w:val="003346F3"/>
    <w:rsid w:val="00337998"/>
    <w:rsid w:val="00340632"/>
    <w:rsid w:val="0034086C"/>
    <w:rsid w:val="00340C6D"/>
    <w:rsid w:val="0034391E"/>
    <w:rsid w:val="00343B3D"/>
    <w:rsid w:val="00343C02"/>
    <w:rsid w:val="00345217"/>
    <w:rsid w:val="00356D37"/>
    <w:rsid w:val="0035720A"/>
    <w:rsid w:val="00360D1C"/>
    <w:rsid w:val="00361612"/>
    <w:rsid w:val="00362207"/>
    <w:rsid w:val="003622DA"/>
    <w:rsid w:val="00363367"/>
    <w:rsid w:val="00364FFD"/>
    <w:rsid w:val="00365CDB"/>
    <w:rsid w:val="003672AD"/>
    <w:rsid w:val="00373EF2"/>
    <w:rsid w:val="00376CF8"/>
    <w:rsid w:val="00395C87"/>
    <w:rsid w:val="003970FC"/>
    <w:rsid w:val="003A4079"/>
    <w:rsid w:val="003A6288"/>
    <w:rsid w:val="003B1B52"/>
    <w:rsid w:val="003B2227"/>
    <w:rsid w:val="003C0199"/>
    <w:rsid w:val="003C13DA"/>
    <w:rsid w:val="003C55BD"/>
    <w:rsid w:val="003C5A03"/>
    <w:rsid w:val="003D1F7F"/>
    <w:rsid w:val="003D6787"/>
    <w:rsid w:val="003E6536"/>
    <w:rsid w:val="003F35EF"/>
    <w:rsid w:val="003F39C2"/>
    <w:rsid w:val="003F411A"/>
    <w:rsid w:val="003F4148"/>
    <w:rsid w:val="00402093"/>
    <w:rsid w:val="00402BBC"/>
    <w:rsid w:val="0040622F"/>
    <w:rsid w:val="00420990"/>
    <w:rsid w:val="00422434"/>
    <w:rsid w:val="004232B3"/>
    <w:rsid w:val="00424EF6"/>
    <w:rsid w:val="00425713"/>
    <w:rsid w:val="00436852"/>
    <w:rsid w:val="004452AB"/>
    <w:rsid w:val="004519FA"/>
    <w:rsid w:val="0045283A"/>
    <w:rsid w:val="00453077"/>
    <w:rsid w:val="004547D6"/>
    <w:rsid w:val="00454ECD"/>
    <w:rsid w:val="00456084"/>
    <w:rsid w:val="00457603"/>
    <w:rsid w:val="00465AB6"/>
    <w:rsid w:val="00467E9D"/>
    <w:rsid w:val="00473322"/>
    <w:rsid w:val="00473E1F"/>
    <w:rsid w:val="00475AB4"/>
    <w:rsid w:val="004772DD"/>
    <w:rsid w:val="00482B02"/>
    <w:rsid w:val="00485B8C"/>
    <w:rsid w:val="00486909"/>
    <w:rsid w:val="00490FCF"/>
    <w:rsid w:val="00492F6C"/>
    <w:rsid w:val="00493148"/>
    <w:rsid w:val="00497CB7"/>
    <w:rsid w:val="004A2040"/>
    <w:rsid w:val="004A3271"/>
    <w:rsid w:val="004C37F5"/>
    <w:rsid w:val="004C7E2A"/>
    <w:rsid w:val="004D0D9F"/>
    <w:rsid w:val="004D2931"/>
    <w:rsid w:val="004D789D"/>
    <w:rsid w:val="004E07EE"/>
    <w:rsid w:val="004E1B0C"/>
    <w:rsid w:val="004E4274"/>
    <w:rsid w:val="004F09E6"/>
    <w:rsid w:val="004F150D"/>
    <w:rsid w:val="004F164D"/>
    <w:rsid w:val="004F49A5"/>
    <w:rsid w:val="004F4F45"/>
    <w:rsid w:val="004F672E"/>
    <w:rsid w:val="00501F39"/>
    <w:rsid w:val="00502009"/>
    <w:rsid w:val="00503569"/>
    <w:rsid w:val="005066F2"/>
    <w:rsid w:val="005125D6"/>
    <w:rsid w:val="005205DE"/>
    <w:rsid w:val="00521B9E"/>
    <w:rsid w:val="005251A4"/>
    <w:rsid w:val="0052664E"/>
    <w:rsid w:val="005269B1"/>
    <w:rsid w:val="00526D6E"/>
    <w:rsid w:val="00531D3F"/>
    <w:rsid w:val="00533EF0"/>
    <w:rsid w:val="00542348"/>
    <w:rsid w:val="005473D1"/>
    <w:rsid w:val="0055147F"/>
    <w:rsid w:val="00551AAD"/>
    <w:rsid w:val="00555100"/>
    <w:rsid w:val="00555FE1"/>
    <w:rsid w:val="0055791A"/>
    <w:rsid w:val="00564868"/>
    <w:rsid w:val="00565D76"/>
    <w:rsid w:val="005676EC"/>
    <w:rsid w:val="00570E00"/>
    <w:rsid w:val="005715F9"/>
    <w:rsid w:val="005731E1"/>
    <w:rsid w:val="00574128"/>
    <w:rsid w:val="0057481D"/>
    <w:rsid w:val="005749D4"/>
    <w:rsid w:val="005765FD"/>
    <w:rsid w:val="0058169E"/>
    <w:rsid w:val="00584224"/>
    <w:rsid w:val="00586ED9"/>
    <w:rsid w:val="005915F0"/>
    <w:rsid w:val="00593EDA"/>
    <w:rsid w:val="00595AAD"/>
    <w:rsid w:val="00596B2C"/>
    <w:rsid w:val="005A0CC6"/>
    <w:rsid w:val="005A533F"/>
    <w:rsid w:val="005B1AE1"/>
    <w:rsid w:val="005B6EAB"/>
    <w:rsid w:val="005C4BC3"/>
    <w:rsid w:val="005C5784"/>
    <w:rsid w:val="005D3EA8"/>
    <w:rsid w:val="005D4009"/>
    <w:rsid w:val="005D52C5"/>
    <w:rsid w:val="005E0433"/>
    <w:rsid w:val="005E0D9C"/>
    <w:rsid w:val="005E1FA9"/>
    <w:rsid w:val="005E4DC9"/>
    <w:rsid w:val="005E51B7"/>
    <w:rsid w:val="005E64AB"/>
    <w:rsid w:val="005E682D"/>
    <w:rsid w:val="005E6AA5"/>
    <w:rsid w:val="005E71DF"/>
    <w:rsid w:val="005F3390"/>
    <w:rsid w:val="005F38F0"/>
    <w:rsid w:val="005F3B05"/>
    <w:rsid w:val="005F7B33"/>
    <w:rsid w:val="006075EE"/>
    <w:rsid w:val="006175C2"/>
    <w:rsid w:val="00617E89"/>
    <w:rsid w:val="00621794"/>
    <w:rsid w:val="006222C6"/>
    <w:rsid w:val="00623BD7"/>
    <w:rsid w:val="00625004"/>
    <w:rsid w:val="00626790"/>
    <w:rsid w:val="00632203"/>
    <w:rsid w:val="00632D4A"/>
    <w:rsid w:val="00632D8C"/>
    <w:rsid w:val="00634E83"/>
    <w:rsid w:val="00636662"/>
    <w:rsid w:val="0064376A"/>
    <w:rsid w:val="006451EA"/>
    <w:rsid w:val="0064717A"/>
    <w:rsid w:val="006524D0"/>
    <w:rsid w:val="006535B8"/>
    <w:rsid w:val="00653788"/>
    <w:rsid w:val="00654669"/>
    <w:rsid w:val="0065493F"/>
    <w:rsid w:val="006556F0"/>
    <w:rsid w:val="00657576"/>
    <w:rsid w:val="00657594"/>
    <w:rsid w:val="00660CDF"/>
    <w:rsid w:val="0066174C"/>
    <w:rsid w:val="006723FE"/>
    <w:rsid w:val="00674C89"/>
    <w:rsid w:val="00676C59"/>
    <w:rsid w:val="00677A8A"/>
    <w:rsid w:val="006819EA"/>
    <w:rsid w:val="00686B4B"/>
    <w:rsid w:val="0068757B"/>
    <w:rsid w:val="00691823"/>
    <w:rsid w:val="00691836"/>
    <w:rsid w:val="00692C45"/>
    <w:rsid w:val="00694E81"/>
    <w:rsid w:val="006976CA"/>
    <w:rsid w:val="00697D30"/>
    <w:rsid w:val="006A3F80"/>
    <w:rsid w:val="006B3B36"/>
    <w:rsid w:val="006B7E80"/>
    <w:rsid w:val="006D0517"/>
    <w:rsid w:val="006D757E"/>
    <w:rsid w:val="006E0663"/>
    <w:rsid w:val="006E0712"/>
    <w:rsid w:val="006F0141"/>
    <w:rsid w:val="006F2869"/>
    <w:rsid w:val="006F3E38"/>
    <w:rsid w:val="00701B82"/>
    <w:rsid w:val="00704071"/>
    <w:rsid w:val="00707F3F"/>
    <w:rsid w:val="00710E9C"/>
    <w:rsid w:val="0071110A"/>
    <w:rsid w:val="00714B59"/>
    <w:rsid w:val="00731EC1"/>
    <w:rsid w:val="00734FCA"/>
    <w:rsid w:val="00735A38"/>
    <w:rsid w:val="00736BF3"/>
    <w:rsid w:val="00743428"/>
    <w:rsid w:val="00744BDF"/>
    <w:rsid w:val="00744F07"/>
    <w:rsid w:val="00744F86"/>
    <w:rsid w:val="00746A9F"/>
    <w:rsid w:val="007473B1"/>
    <w:rsid w:val="0074766D"/>
    <w:rsid w:val="007523E8"/>
    <w:rsid w:val="00754463"/>
    <w:rsid w:val="00755AE9"/>
    <w:rsid w:val="00756D0A"/>
    <w:rsid w:val="00765675"/>
    <w:rsid w:val="007668C9"/>
    <w:rsid w:val="0077001B"/>
    <w:rsid w:val="00771A73"/>
    <w:rsid w:val="007724DD"/>
    <w:rsid w:val="00777C5D"/>
    <w:rsid w:val="00793852"/>
    <w:rsid w:val="00794413"/>
    <w:rsid w:val="00797744"/>
    <w:rsid w:val="007A3284"/>
    <w:rsid w:val="007A5AEC"/>
    <w:rsid w:val="007A7145"/>
    <w:rsid w:val="007B028F"/>
    <w:rsid w:val="007B0911"/>
    <w:rsid w:val="007B0F52"/>
    <w:rsid w:val="007B19C0"/>
    <w:rsid w:val="007B6A56"/>
    <w:rsid w:val="007B7DDC"/>
    <w:rsid w:val="007C0A22"/>
    <w:rsid w:val="007C19B9"/>
    <w:rsid w:val="007C481C"/>
    <w:rsid w:val="007C4AE4"/>
    <w:rsid w:val="007C5233"/>
    <w:rsid w:val="007C57C1"/>
    <w:rsid w:val="007C6F91"/>
    <w:rsid w:val="007D1E5B"/>
    <w:rsid w:val="007D415B"/>
    <w:rsid w:val="007D5F14"/>
    <w:rsid w:val="007D6A40"/>
    <w:rsid w:val="007D7BC4"/>
    <w:rsid w:val="007E0C5C"/>
    <w:rsid w:val="007E1B3D"/>
    <w:rsid w:val="007E254D"/>
    <w:rsid w:val="007E422E"/>
    <w:rsid w:val="007E6FF6"/>
    <w:rsid w:val="007E72ED"/>
    <w:rsid w:val="007E7A40"/>
    <w:rsid w:val="007F06BF"/>
    <w:rsid w:val="007F6687"/>
    <w:rsid w:val="007F6A89"/>
    <w:rsid w:val="00800CEE"/>
    <w:rsid w:val="00801459"/>
    <w:rsid w:val="00802F0F"/>
    <w:rsid w:val="0081087D"/>
    <w:rsid w:val="008111A1"/>
    <w:rsid w:val="0081415F"/>
    <w:rsid w:val="00816B92"/>
    <w:rsid w:val="00825116"/>
    <w:rsid w:val="00827D0C"/>
    <w:rsid w:val="008328C3"/>
    <w:rsid w:val="0083613C"/>
    <w:rsid w:val="008406F1"/>
    <w:rsid w:val="00843A95"/>
    <w:rsid w:val="00844661"/>
    <w:rsid w:val="00846FBB"/>
    <w:rsid w:val="00847C35"/>
    <w:rsid w:val="00852E57"/>
    <w:rsid w:val="00854E77"/>
    <w:rsid w:val="00860C3E"/>
    <w:rsid w:val="00864921"/>
    <w:rsid w:val="0086509C"/>
    <w:rsid w:val="008662D3"/>
    <w:rsid w:val="0086673B"/>
    <w:rsid w:val="008704E7"/>
    <w:rsid w:val="00871CD2"/>
    <w:rsid w:val="00880CD8"/>
    <w:rsid w:val="00881A1F"/>
    <w:rsid w:val="0088219B"/>
    <w:rsid w:val="0089275C"/>
    <w:rsid w:val="0089282A"/>
    <w:rsid w:val="00893D7A"/>
    <w:rsid w:val="008A012F"/>
    <w:rsid w:val="008A7B12"/>
    <w:rsid w:val="008B443D"/>
    <w:rsid w:val="008B4CE7"/>
    <w:rsid w:val="008B6C58"/>
    <w:rsid w:val="008C0A2F"/>
    <w:rsid w:val="008C56F0"/>
    <w:rsid w:val="008D3273"/>
    <w:rsid w:val="008D6540"/>
    <w:rsid w:val="008D6DAF"/>
    <w:rsid w:val="008E177A"/>
    <w:rsid w:val="008E1D4C"/>
    <w:rsid w:val="008E1E9A"/>
    <w:rsid w:val="008E2034"/>
    <w:rsid w:val="008E2128"/>
    <w:rsid w:val="008E2375"/>
    <w:rsid w:val="008E6280"/>
    <w:rsid w:val="008E6780"/>
    <w:rsid w:val="008E7212"/>
    <w:rsid w:val="008F4557"/>
    <w:rsid w:val="008F5ACE"/>
    <w:rsid w:val="008F5BD2"/>
    <w:rsid w:val="008F63AE"/>
    <w:rsid w:val="008F67CA"/>
    <w:rsid w:val="008F7936"/>
    <w:rsid w:val="008F7B48"/>
    <w:rsid w:val="008F7E21"/>
    <w:rsid w:val="00901DDC"/>
    <w:rsid w:val="009037DB"/>
    <w:rsid w:val="00905FB9"/>
    <w:rsid w:val="00916667"/>
    <w:rsid w:val="00917E9F"/>
    <w:rsid w:val="00921B60"/>
    <w:rsid w:val="00921BB5"/>
    <w:rsid w:val="00925462"/>
    <w:rsid w:val="00925A81"/>
    <w:rsid w:val="00927C36"/>
    <w:rsid w:val="00934F42"/>
    <w:rsid w:val="00943ED5"/>
    <w:rsid w:val="0094411B"/>
    <w:rsid w:val="00947998"/>
    <w:rsid w:val="00947D6A"/>
    <w:rsid w:val="00953052"/>
    <w:rsid w:val="00954654"/>
    <w:rsid w:val="00957A2B"/>
    <w:rsid w:val="00960302"/>
    <w:rsid w:val="009618F6"/>
    <w:rsid w:val="00963A0C"/>
    <w:rsid w:val="00965489"/>
    <w:rsid w:val="00967647"/>
    <w:rsid w:val="00967A4F"/>
    <w:rsid w:val="00970F07"/>
    <w:rsid w:val="009723B5"/>
    <w:rsid w:val="00977503"/>
    <w:rsid w:val="00977684"/>
    <w:rsid w:val="00980F0A"/>
    <w:rsid w:val="009811FD"/>
    <w:rsid w:val="009828DA"/>
    <w:rsid w:val="009850A2"/>
    <w:rsid w:val="00987BA8"/>
    <w:rsid w:val="00993EC5"/>
    <w:rsid w:val="00996E7C"/>
    <w:rsid w:val="009A0658"/>
    <w:rsid w:val="009A2DD4"/>
    <w:rsid w:val="009A3EBC"/>
    <w:rsid w:val="009A61C4"/>
    <w:rsid w:val="009A641C"/>
    <w:rsid w:val="009A729E"/>
    <w:rsid w:val="009C42BA"/>
    <w:rsid w:val="009C569D"/>
    <w:rsid w:val="009C62FD"/>
    <w:rsid w:val="009D0A23"/>
    <w:rsid w:val="009D387B"/>
    <w:rsid w:val="009D5CFF"/>
    <w:rsid w:val="009E5AC6"/>
    <w:rsid w:val="009E7376"/>
    <w:rsid w:val="009E7749"/>
    <w:rsid w:val="009F1509"/>
    <w:rsid w:val="009F30E3"/>
    <w:rsid w:val="009F4A1B"/>
    <w:rsid w:val="00A022DE"/>
    <w:rsid w:val="00A03C82"/>
    <w:rsid w:val="00A06A16"/>
    <w:rsid w:val="00A1125E"/>
    <w:rsid w:val="00A114A8"/>
    <w:rsid w:val="00A143DB"/>
    <w:rsid w:val="00A1724B"/>
    <w:rsid w:val="00A17D35"/>
    <w:rsid w:val="00A236F0"/>
    <w:rsid w:val="00A24D79"/>
    <w:rsid w:val="00A250D5"/>
    <w:rsid w:val="00A26215"/>
    <w:rsid w:val="00A31A53"/>
    <w:rsid w:val="00A32E2D"/>
    <w:rsid w:val="00A3300B"/>
    <w:rsid w:val="00A34BD4"/>
    <w:rsid w:val="00A43176"/>
    <w:rsid w:val="00A43668"/>
    <w:rsid w:val="00A465C6"/>
    <w:rsid w:val="00A54E47"/>
    <w:rsid w:val="00A54E6E"/>
    <w:rsid w:val="00A55CFB"/>
    <w:rsid w:val="00A57AA3"/>
    <w:rsid w:val="00A607FB"/>
    <w:rsid w:val="00A61224"/>
    <w:rsid w:val="00A61C4A"/>
    <w:rsid w:val="00A63519"/>
    <w:rsid w:val="00A66D79"/>
    <w:rsid w:val="00A71411"/>
    <w:rsid w:val="00A73925"/>
    <w:rsid w:val="00A7410F"/>
    <w:rsid w:val="00A75DFD"/>
    <w:rsid w:val="00A76164"/>
    <w:rsid w:val="00A80614"/>
    <w:rsid w:val="00A811EF"/>
    <w:rsid w:val="00A82927"/>
    <w:rsid w:val="00A91E09"/>
    <w:rsid w:val="00A933A6"/>
    <w:rsid w:val="00A976D9"/>
    <w:rsid w:val="00AA2831"/>
    <w:rsid w:val="00AA48DD"/>
    <w:rsid w:val="00AA4F10"/>
    <w:rsid w:val="00AB020B"/>
    <w:rsid w:val="00AB3DC7"/>
    <w:rsid w:val="00AB4485"/>
    <w:rsid w:val="00AB4D7C"/>
    <w:rsid w:val="00AB7CE4"/>
    <w:rsid w:val="00AC19D0"/>
    <w:rsid w:val="00AC4ABF"/>
    <w:rsid w:val="00AD0637"/>
    <w:rsid w:val="00AD142A"/>
    <w:rsid w:val="00AD6131"/>
    <w:rsid w:val="00AD6B49"/>
    <w:rsid w:val="00AD772C"/>
    <w:rsid w:val="00AD7757"/>
    <w:rsid w:val="00AE0084"/>
    <w:rsid w:val="00AE0C67"/>
    <w:rsid w:val="00AE0ECC"/>
    <w:rsid w:val="00AE154E"/>
    <w:rsid w:val="00AE3B03"/>
    <w:rsid w:val="00AE4735"/>
    <w:rsid w:val="00AE49B7"/>
    <w:rsid w:val="00AE5FC2"/>
    <w:rsid w:val="00AE6E77"/>
    <w:rsid w:val="00AF0D87"/>
    <w:rsid w:val="00AF13F9"/>
    <w:rsid w:val="00AF7DF4"/>
    <w:rsid w:val="00B00B64"/>
    <w:rsid w:val="00B02FE1"/>
    <w:rsid w:val="00B06829"/>
    <w:rsid w:val="00B12767"/>
    <w:rsid w:val="00B17F20"/>
    <w:rsid w:val="00B20BFE"/>
    <w:rsid w:val="00B20D50"/>
    <w:rsid w:val="00B24D3D"/>
    <w:rsid w:val="00B255ED"/>
    <w:rsid w:val="00B32599"/>
    <w:rsid w:val="00B33ABE"/>
    <w:rsid w:val="00B33F8E"/>
    <w:rsid w:val="00B350DE"/>
    <w:rsid w:val="00B4171E"/>
    <w:rsid w:val="00B437DA"/>
    <w:rsid w:val="00B45F40"/>
    <w:rsid w:val="00B4780E"/>
    <w:rsid w:val="00B5092B"/>
    <w:rsid w:val="00B537D6"/>
    <w:rsid w:val="00B56D9D"/>
    <w:rsid w:val="00B6146D"/>
    <w:rsid w:val="00B64FA0"/>
    <w:rsid w:val="00B6574F"/>
    <w:rsid w:val="00B74751"/>
    <w:rsid w:val="00B76A9D"/>
    <w:rsid w:val="00B775D4"/>
    <w:rsid w:val="00B83AAD"/>
    <w:rsid w:val="00B91AF7"/>
    <w:rsid w:val="00B92E26"/>
    <w:rsid w:val="00B955B3"/>
    <w:rsid w:val="00BA1604"/>
    <w:rsid w:val="00BA2698"/>
    <w:rsid w:val="00BA548E"/>
    <w:rsid w:val="00BA5927"/>
    <w:rsid w:val="00BA731A"/>
    <w:rsid w:val="00BB0BB1"/>
    <w:rsid w:val="00BB1D4B"/>
    <w:rsid w:val="00BB2BCD"/>
    <w:rsid w:val="00BB4230"/>
    <w:rsid w:val="00BB42CB"/>
    <w:rsid w:val="00BB4350"/>
    <w:rsid w:val="00BB6FC5"/>
    <w:rsid w:val="00BB7326"/>
    <w:rsid w:val="00BB77E0"/>
    <w:rsid w:val="00BC6531"/>
    <w:rsid w:val="00BD1BF0"/>
    <w:rsid w:val="00BD736A"/>
    <w:rsid w:val="00BE3603"/>
    <w:rsid w:val="00BE3C90"/>
    <w:rsid w:val="00BE49D5"/>
    <w:rsid w:val="00BE65E7"/>
    <w:rsid w:val="00BE6A0D"/>
    <w:rsid w:val="00BF08C4"/>
    <w:rsid w:val="00BF1DCA"/>
    <w:rsid w:val="00BF2AB0"/>
    <w:rsid w:val="00BF338B"/>
    <w:rsid w:val="00C0159B"/>
    <w:rsid w:val="00C05CFB"/>
    <w:rsid w:val="00C05E2A"/>
    <w:rsid w:val="00C070C7"/>
    <w:rsid w:val="00C07C5A"/>
    <w:rsid w:val="00C126EA"/>
    <w:rsid w:val="00C12BEA"/>
    <w:rsid w:val="00C1517E"/>
    <w:rsid w:val="00C23085"/>
    <w:rsid w:val="00C3026A"/>
    <w:rsid w:val="00C33CA5"/>
    <w:rsid w:val="00C34707"/>
    <w:rsid w:val="00C47F09"/>
    <w:rsid w:val="00C52DDC"/>
    <w:rsid w:val="00C60B1E"/>
    <w:rsid w:val="00C61115"/>
    <w:rsid w:val="00C62A06"/>
    <w:rsid w:val="00C67461"/>
    <w:rsid w:val="00C70E20"/>
    <w:rsid w:val="00C74C2D"/>
    <w:rsid w:val="00C77185"/>
    <w:rsid w:val="00C84F0A"/>
    <w:rsid w:val="00C85E22"/>
    <w:rsid w:val="00C879F7"/>
    <w:rsid w:val="00C87FAF"/>
    <w:rsid w:val="00C912B3"/>
    <w:rsid w:val="00C9414E"/>
    <w:rsid w:val="00C94B33"/>
    <w:rsid w:val="00C97467"/>
    <w:rsid w:val="00CA03A3"/>
    <w:rsid w:val="00CA2BD2"/>
    <w:rsid w:val="00CA376B"/>
    <w:rsid w:val="00CA56BF"/>
    <w:rsid w:val="00CA7579"/>
    <w:rsid w:val="00CB1DCA"/>
    <w:rsid w:val="00CB54A6"/>
    <w:rsid w:val="00CC28C3"/>
    <w:rsid w:val="00CC34F4"/>
    <w:rsid w:val="00CD4647"/>
    <w:rsid w:val="00CD6682"/>
    <w:rsid w:val="00CE09BA"/>
    <w:rsid w:val="00CE7586"/>
    <w:rsid w:val="00CF2F0E"/>
    <w:rsid w:val="00CF4F2F"/>
    <w:rsid w:val="00CF7679"/>
    <w:rsid w:val="00D00ACD"/>
    <w:rsid w:val="00D03069"/>
    <w:rsid w:val="00D05E01"/>
    <w:rsid w:val="00D134C6"/>
    <w:rsid w:val="00D21611"/>
    <w:rsid w:val="00D21BBA"/>
    <w:rsid w:val="00D2296D"/>
    <w:rsid w:val="00D23174"/>
    <w:rsid w:val="00D26434"/>
    <w:rsid w:val="00D26DA1"/>
    <w:rsid w:val="00D27597"/>
    <w:rsid w:val="00D3050A"/>
    <w:rsid w:val="00D528AF"/>
    <w:rsid w:val="00D572A2"/>
    <w:rsid w:val="00D61A72"/>
    <w:rsid w:val="00D62D3D"/>
    <w:rsid w:val="00D644EC"/>
    <w:rsid w:val="00D7080F"/>
    <w:rsid w:val="00D7145D"/>
    <w:rsid w:val="00D7677B"/>
    <w:rsid w:val="00D81CFE"/>
    <w:rsid w:val="00D83B92"/>
    <w:rsid w:val="00D83FFB"/>
    <w:rsid w:val="00D850D5"/>
    <w:rsid w:val="00D86A0E"/>
    <w:rsid w:val="00D8786C"/>
    <w:rsid w:val="00D90F07"/>
    <w:rsid w:val="00D92E55"/>
    <w:rsid w:val="00D96CC3"/>
    <w:rsid w:val="00DA2391"/>
    <w:rsid w:val="00DA391F"/>
    <w:rsid w:val="00DA4FD0"/>
    <w:rsid w:val="00DA5919"/>
    <w:rsid w:val="00DA6999"/>
    <w:rsid w:val="00DA7DE9"/>
    <w:rsid w:val="00DB1AE7"/>
    <w:rsid w:val="00DB296E"/>
    <w:rsid w:val="00DB5077"/>
    <w:rsid w:val="00DC4028"/>
    <w:rsid w:val="00DC4036"/>
    <w:rsid w:val="00DC5316"/>
    <w:rsid w:val="00DC7EB7"/>
    <w:rsid w:val="00DD1C09"/>
    <w:rsid w:val="00DD1D89"/>
    <w:rsid w:val="00DD3D33"/>
    <w:rsid w:val="00DD3EF9"/>
    <w:rsid w:val="00DD6CFD"/>
    <w:rsid w:val="00DE03F3"/>
    <w:rsid w:val="00DE595C"/>
    <w:rsid w:val="00E00964"/>
    <w:rsid w:val="00E022BA"/>
    <w:rsid w:val="00E031FD"/>
    <w:rsid w:val="00E044E6"/>
    <w:rsid w:val="00E10A95"/>
    <w:rsid w:val="00E1181B"/>
    <w:rsid w:val="00E121B6"/>
    <w:rsid w:val="00E13787"/>
    <w:rsid w:val="00E149FC"/>
    <w:rsid w:val="00E201F2"/>
    <w:rsid w:val="00E24D74"/>
    <w:rsid w:val="00E268E1"/>
    <w:rsid w:val="00E303A4"/>
    <w:rsid w:val="00E30EDA"/>
    <w:rsid w:val="00E34B24"/>
    <w:rsid w:val="00E41289"/>
    <w:rsid w:val="00E44C5D"/>
    <w:rsid w:val="00E455C1"/>
    <w:rsid w:val="00E4743A"/>
    <w:rsid w:val="00E5121A"/>
    <w:rsid w:val="00E5180E"/>
    <w:rsid w:val="00E533F9"/>
    <w:rsid w:val="00E6018F"/>
    <w:rsid w:val="00E62109"/>
    <w:rsid w:val="00E6223B"/>
    <w:rsid w:val="00E675E8"/>
    <w:rsid w:val="00E70157"/>
    <w:rsid w:val="00E747C4"/>
    <w:rsid w:val="00E75FDF"/>
    <w:rsid w:val="00E76CFB"/>
    <w:rsid w:val="00E803B5"/>
    <w:rsid w:val="00E87466"/>
    <w:rsid w:val="00E877E5"/>
    <w:rsid w:val="00E93834"/>
    <w:rsid w:val="00EA216C"/>
    <w:rsid w:val="00EA3A2D"/>
    <w:rsid w:val="00EA55F5"/>
    <w:rsid w:val="00EA6583"/>
    <w:rsid w:val="00EA6AD2"/>
    <w:rsid w:val="00EB4900"/>
    <w:rsid w:val="00EC2912"/>
    <w:rsid w:val="00EC316B"/>
    <w:rsid w:val="00EC36D0"/>
    <w:rsid w:val="00ED0107"/>
    <w:rsid w:val="00ED5BDC"/>
    <w:rsid w:val="00ED5D86"/>
    <w:rsid w:val="00ED6BBA"/>
    <w:rsid w:val="00EE19FF"/>
    <w:rsid w:val="00EF0015"/>
    <w:rsid w:val="00EF09BA"/>
    <w:rsid w:val="00EF14C3"/>
    <w:rsid w:val="00EF45D1"/>
    <w:rsid w:val="00F01A29"/>
    <w:rsid w:val="00F03C7D"/>
    <w:rsid w:val="00F06917"/>
    <w:rsid w:val="00F1152F"/>
    <w:rsid w:val="00F15B59"/>
    <w:rsid w:val="00F16A25"/>
    <w:rsid w:val="00F27409"/>
    <w:rsid w:val="00F30CA3"/>
    <w:rsid w:val="00F31D04"/>
    <w:rsid w:val="00F32ECE"/>
    <w:rsid w:val="00F36AB7"/>
    <w:rsid w:val="00F36EB0"/>
    <w:rsid w:val="00F40E12"/>
    <w:rsid w:val="00F4240B"/>
    <w:rsid w:val="00F42E25"/>
    <w:rsid w:val="00F43A45"/>
    <w:rsid w:val="00F45C04"/>
    <w:rsid w:val="00F4673C"/>
    <w:rsid w:val="00F52D25"/>
    <w:rsid w:val="00F5389E"/>
    <w:rsid w:val="00F6027B"/>
    <w:rsid w:val="00F6133C"/>
    <w:rsid w:val="00F61E53"/>
    <w:rsid w:val="00F620C7"/>
    <w:rsid w:val="00F639BC"/>
    <w:rsid w:val="00F65C3E"/>
    <w:rsid w:val="00F66376"/>
    <w:rsid w:val="00F66818"/>
    <w:rsid w:val="00F712CA"/>
    <w:rsid w:val="00F722FC"/>
    <w:rsid w:val="00F7458B"/>
    <w:rsid w:val="00F77BF5"/>
    <w:rsid w:val="00F8761B"/>
    <w:rsid w:val="00F92065"/>
    <w:rsid w:val="00F96A77"/>
    <w:rsid w:val="00F97F02"/>
    <w:rsid w:val="00FA0C99"/>
    <w:rsid w:val="00FA147E"/>
    <w:rsid w:val="00FA2136"/>
    <w:rsid w:val="00FA2AEA"/>
    <w:rsid w:val="00FA32FA"/>
    <w:rsid w:val="00FA35DD"/>
    <w:rsid w:val="00FB3636"/>
    <w:rsid w:val="00FB7C65"/>
    <w:rsid w:val="00FD0D46"/>
    <w:rsid w:val="00FD1F5B"/>
    <w:rsid w:val="00FD2A36"/>
    <w:rsid w:val="00FF2E95"/>
    <w:rsid w:val="00FF36E2"/>
    <w:rsid w:val="00FF5862"/>
    <w:rsid w:val="00FF648F"/>
    <w:rsid w:val="0366DBF6"/>
    <w:rsid w:val="040E8D53"/>
    <w:rsid w:val="05A6CBA7"/>
    <w:rsid w:val="08785DF1"/>
    <w:rsid w:val="0F36D608"/>
    <w:rsid w:val="104502ED"/>
    <w:rsid w:val="12E1A998"/>
    <w:rsid w:val="13E439A5"/>
    <w:rsid w:val="145D6B15"/>
    <w:rsid w:val="14B0027B"/>
    <w:rsid w:val="16698DC5"/>
    <w:rsid w:val="19E2E212"/>
    <w:rsid w:val="1C07F84C"/>
    <w:rsid w:val="21DB83B5"/>
    <w:rsid w:val="23B7A75E"/>
    <w:rsid w:val="26061B35"/>
    <w:rsid w:val="29927AD3"/>
    <w:rsid w:val="2A07FF09"/>
    <w:rsid w:val="2F61603C"/>
    <w:rsid w:val="313A9673"/>
    <w:rsid w:val="348D08B5"/>
    <w:rsid w:val="353380CD"/>
    <w:rsid w:val="36409090"/>
    <w:rsid w:val="398CDE23"/>
    <w:rsid w:val="3E16A344"/>
    <w:rsid w:val="431A980C"/>
    <w:rsid w:val="44D3C5F6"/>
    <w:rsid w:val="45744439"/>
    <w:rsid w:val="473EDA43"/>
    <w:rsid w:val="47C00F8E"/>
    <w:rsid w:val="495DA816"/>
    <w:rsid w:val="4AAD5264"/>
    <w:rsid w:val="4BD173EA"/>
    <w:rsid w:val="4BF9EB93"/>
    <w:rsid w:val="4F837C53"/>
    <w:rsid w:val="516F6994"/>
    <w:rsid w:val="526301F2"/>
    <w:rsid w:val="54237A41"/>
    <w:rsid w:val="5527A10F"/>
    <w:rsid w:val="553EE29A"/>
    <w:rsid w:val="554C8E9F"/>
    <w:rsid w:val="5875BE82"/>
    <w:rsid w:val="5B4AAD6C"/>
    <w:rsid w:val="5EEBC424"/>
    <w:rsid w:val="5F200F72"/>
    <w:rsid w:val="63390F12"/>
    <w:rsid w:val="633F27A5"/>
    <w:rsid w:val="6359EB77"/>
    <w:rsid w:val="6572C6BC"/>
    <w:rsid w:val="6833E2F3"/>
    <w:rsid w:val="6915C3A1"/>
    <w:rsid w:val="69B24B60"/>
    <w:rsid w:val="6CE0D967"/>
    <w:rsid w:val="7022D4B1"/>
    <w:rsid w:val="7057BA07"/>
    <w:rsid w:val="714D0DF3"/>
    <w:rsid w:val="72B47188"/>
    <w:rsid w:val="73E1E65C"/>
    <w:rsid w:val="773398D9"/>
    <w:rsid w:val="79310744"/>
    <w:rsid w:val="7956C667"/>
    <w:rsid w:val="79CEA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C3A1"/>
  <w15:chartTrackingRefBased/>
  <w15:docId w15:val="{B9CF6C5A-41AF-4744-91FD-DAB2677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7B3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D644EC"/>
    <w:pPr>
      <w:spacing w:line="240" w:lineRule="auto"/>
    </w:pPr>
    <w:rPr>
      <w:sz w:val="20"/>
      <w:szCs w:val="20"/>
    </w:rPr>
  </w:style>
  <w:style w:type="character" w:customStyle="1" w:styleId="CommentTextChar">
    <w:name w:val="Comment Text Char"/>
    <w:basedOn w:val="DefaultParagraphFont"/>
    <w:link w:val="CommentText"/>
    <w:uiPriority w:val="99"/>
    <w:rsid w:val="00D644EC"/>
    <w:rPr>
      <w:sz w:val="20"/>
      <w:szCs w:val="20"/>
    </w:rPr>
  </w:style>
  <w:style w:type="character" w:styleId="CommentReference">
    <w:name w:val="annotation reference"/>
    <w:basedOn w:val="DefaultParagraphFont"/>
    <w:uiPriority w:val="99"/>
    <w:semiHidden/>
    <w:unhideWhenUsed/>
    <w:rsid w:val="00D644EC"/>
    <w:rPr>
      <w:sz w:val="16"/>
      <w:szCs w:val="16"/>
    </w:rPr>
  </w:style>
  <w:style w:type="paragraph" w:styleId="BalloonText">
    <w:name w:val="Balloon Text"/>
    <w:basedOn w:val="Normal"/>
    <w:link w:val="BalloonTextChar"/>
    <w:uiPriority w:val="99"/>
    <w:semiHidden/>
    <w:unhideWhenUsed/>
    <w:rsid w:val="0079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8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1724"/>
    <w:rPr>
      <w:b/>
      <w:bCs/>
    </w:rPr>
  </w:style>
  <w:style w:type="character" w:customStyle="1" w:styleId="CommentSubjectChar">
    <w:name w:val="Comment Subject Char"/>
    <w:basedOn w:val="CommentTextChar"/>
    <w:link w:val="CommentSubject"/>
    <w:uiPriority w:val="99"/>
    <w:semiHidden/>
    <w:rsid w:val="00121724"/>
    <w:rPr>
      <w:b/>
      <w:bCs/>
      <w:sz w:val="20"/>
      <w:szCs w:val="20"/>
    </w:rPr>
  </w:style>
  <w:style w:type="character" w:styleId="FollowedHyperlink">
    <w:name w:val="FollowedHyperlink"/>
    <w:basedOn w:val="DefaultParagraphFont"/>
    <w:uiPriority w:val="99"/>
    <w:semiHidden/>
    <w:unhideWhenUsed/>
    <w:rsid w:val="0006332D"/>
    <w:rPr>
      <w:color w:val="954F72" w:themeColor="followedHyperlink"/>
      <w:u w:val="single"/>
    </w:rPr>
  </w:style>
  <w:style w:type="character" w:styleId="UnresolvedMention">
    <w:name w:val="Unresolved Mention"/>
    <w:basedOn w:val="DefaultParagraphFont"/>
    <w:uiPriority w:val="99"/>
    <w:semiHidden/>
    <w:unhideWhenUsed/>
    <w:rsid w:val="0006332D"/>
    <w:rPr>
      <w:color w:val="605E5C"/>
      <w:shd w:val="clear" w:color="auto" w:fill="E1DFDD"/>
    </w:rPr>
  </w:style>
  <w:style w:type="paragraph" w:styleId="Caption">
    <w:name w:val="caption"/>
    <w:basedOn w:val="Normal"/>
    <w:next w:val="Normal"/>
    <w:uiPriority w:val="35"/>
    <w:unhideWhenUsed/>
    <w:qFormat/>
    <w:rsid w:val="00B437DA"/>
    <w:pPr>
      <w:spacing w:after="200" w:line="240" w:lineRule="auto"/>
    </w:pPr>
    <w:rPr>
      <w:i/>
      <w:iCs/>
      <w:color w:val="44546A" w:themeColor="text2"/>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5F7B33"/>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5F7B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5F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7750">
      <w:bodyDiv w:val="1"/>
      <w:marLeft w:val="0"/>
      <w:marRight w:val="0"/>
      <w:marTop w:val="0"/>
      <w:marBottom w:val="0"/>
      <w:divBdr>
        <w:top w:val="none" w:sz="0" w:space="0" w:color="auto"/>
        <w:left w:val="none" w:sz="0" w:space="0" w:color="auto"/>
        <w:bottom w:val="none" w:sz="0" w:space="0" w:color="auto"/>
        <w:right w:val="none" w:sz="0" w:space="0" w:color="auto"/>
      </w:divBdr>
      <w:divsChild>
        <w:div w:id="485098800">
          <w:marLeft w:val="0"/>
          <w:marRight w:val="0"/>
          <w:marTop w:val="0"/>
          <w:marBottom w:val="0"/>
          <w:divBdr>
            <w:top w:val="none" w:sz="0" w:space="0" w:color="auto"/>
            <w:left w:val="none" w:sz="0" w:space="0" w:color="auto"/>
            <w:bottom w:val="none" w:sz="0" w:space="0" w:color="auto"/>
            <w:right w:val="none" w:sz="0" w:space="0" w:color="auto"/>
          </w:divBdr>
        </w:div>
        <w:div w:id="990867169">
          <w:marLeft w:val="0"/>
          <w:marRight w:val="0"/>
          <w:marTop w:val="0"/>
          <w:marBottom w:val="0"/>
          <w:divBdr>
            <w:top w:val="none" w:sz="0" w:space="0" w:color="auto"/>
            <w:left w:val="none" w:sz="0" w:space="0" w:color="auto"/>
            <w:bottom w:val="none" w:sz="0" w:space="0" w:color="auto"/>
            <w:right w:val="none" w:sz="0" w:space="0" w:color="auto"/>
          </w:divBdr>
        </w:div>
        <w:div w:id="1761247197">
          <w:marLeft w:val="0"/>
          <w:marRight w:val="0"/>
          <w:marTop w:val="0"/>
          <w:marBottom w:val="0"/>
          <w:divBdr>
            <w:top w:val="none" w:sz="0" w:space="0" w:color="auto"/>
            <w:left w:val="none" w:sz="0" w:space="0" w:color="auto"/>
            <w:bottom w:val="none" w:sz="0" w:space="0" w:color="auto"/>
            <w:right w:val="none" w:sz="0" w:space="0" w:color="auto"/>
          </w:divBdr>
        </w:div>
        <w:div w:id="2001083194">
          <w:marLeft w:val="0"/>
          <w:marRight w:val="0"/>
          <w:marTop w:val="0"/>
          <w:marBottom w:val="0"/>
          <w:divBdr>
            <w:top w:val="none" w:sz="0" w:space="0" w:color="auto"/>
            <w:left w:val="none" w:sz="0" w:space="0" w:color="auto"/>
            <w:bottom w:val="none" w:sz="0" w:space="0" w:color="auto"/>
            <w:right w:val="none" w:sz="0" w:space="0" w:color="auto"/>
          </w:divBdr>
        </w:div>
      </w:divsChild>
    </w:div>
    <w:div w:id="1279409354">
      <w:bodyDiv w:val="1"/>
      <w:marLeft w:val="0"/>
      <w:marRight w:val="0"/>
      <w:marTop w:val="0"/>
      <w:marBottom w:val="0"/>
      <w:divBdr>
        <w:top w:val="none" w:sz="0" w:space="0" w:color="auto"/>
        <w:left w:val="none" w:sz="0" w:space="0" w:color="auto"/>
        <w:bottom w:val="none" w:sz="0" w:space="0" w:color="auto"/>
        <w:right w:val="none" w:sz="0" w:space="0" w:color="auto"/>
      </w:divBdr>
      <w:divsChild>
        <w:div w:id="2106344705">
          <w:marLeft w:val="0"/>
          <w:marRight w:val="0"/>
          <w:marTop w:val="0"/>
          <w:marBottom w:val="0"/>
          <w:divBdr>
            <w:top w:val="none" w:sz="0" w:space="0" w:color="auto"/>
            <w:left w:val="none" w:sz="0" w:space="0" w:color="auto"/>
            <w:bottom w:val="none" w:sz="0" w:space="0" w:color="auto"/>
            <w:right w:val="none" w:sz="0" w:space="0" w:color="auto"/>
          </w:divBdr>
          <w:divsChild>
            <w:div w:id="2079553931">
              <w:marLeft w:val="0"/>
              <w:marRight w:val="0"/>
              <w:marTop w:val="0"/>
              <w:marBottom w:val="0"/>
              <w:divBdr>
                <w:top w:val="none" w:sz="0" w:space="0" w:color="auto"/>
                <w:left w:val="none" w:sz="0" w:space="0" w:color="auto"/>
                <w:bottom w:val="none" w:sz="0" w:space="0" w:color="auto"/>
                <w:right w:val="none" w:sz="0" w:space="0" w:color="auto"/>
              </w:divBdr>
              <w:divsChild>
                <w:div w:id="566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ferrals.mdsas.com/" TargetMode="External"/><Relationship Id="rId12" Type="http://schemas.openxmlformats.org/officeDocument/2006/relationships/hyperlink" Target="https://www.britishburnassociation.org/wp-content/uploads/2018/11/BCSO-2018-FINAL-v28.pdf"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56229/COVID-19_Response_-_Living_with_COVID-1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media/5a7a035fe5274a34770e3a01/2900774_InfoGovernance_accv2.pdf" TargetMode="External"/><Relationship Id="rId4" Type="http://schemas.openxmlformats.org/officeDocument/2006/relationships/webSettings" Target="webSettings.xml"/><Relationship Id="rId9" Type="http://schemas.openxmlformats.org/officeDocument/2006/relationships/hyperlink" Target="https://www.mdsas.com/burns-referr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6494</Words>
  <Characters>37019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Goh</dc:creator>
  <cp:keywords/>
  <dc:description/>
  <cp:lastModifiedBy>Paul White</cp:lastModifiedBy>
  <cp:revision>2</cp:revision>
  <cp:lastPrinted>2023-08-16T01:43:00Z</cp:lastPrinted>
  <dcterms:created xsi:type="dcterms:W3CDTF">2024-05-03T16:30:00Z</dcterms:created>
  <dcterms:modified xsi:type="dcterms:W3CDTF">2024-05-03T16:30:00Z</dcterms:modified>
</cp:coreProperties>
</file>