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5B970" w14:textId="32EEB8B5" w:rsidR="0076318C" w:rsidRPr="00DF7166" w:rsidRDefault="0076318C" w:rsidP="00E170D6">
      <w:pPr>
        <w:pStyle w:val="Title"/>
        <w:rPr>
          <w:rFonts w:ascii="Arial" w:hAnsi="Arial" w:cs="Arial"/>
          <w:sz w:val="24"/>
          <w:szCs w:val="24"/>
        </w:rPr>
      </w:pPr>
      <w:r w:rsidRPr="00DF7166">
        <w:rPr>
          <w:rFonts w:ascii="Arial" w:hAnsi="Arial" w:cs="Arial"/>
          <w:sz w:val="24"/>
          <w:szCs w:val="24"/>
        </w:rPr>
        <w:t>What Should Be Automated Next in</w:t>
      </w:r>
      <w:r w:rsidR="0096237B" w:rsidRPr="00DF7166">
        <w:rPr>
          <w:rFonts w:ascii="Arial" w:hAnsi="Arial" w:cs="Arial"/>
          <w:sz w:val="24"/>
          <w:szCs w:val="24"/>
        </w:rPr>
        <w:t xml:space="preserve"> Developing Construction</w:t>
      </w:r>
      <w:r w:rsidRPr="00DF7166">
        <w:rPr>
          <w:rFonts w:ascii="Arial" w:hAnsi="Arial" w:cs="Arial"/>
          <w:sz w:val="24"/>
          <w:szCs w:val="24"/>
        </w:rPr>
        <w:t xml:space="preserve"> Smart Contracts? Five Principles for Guiding Incremental Change</w:t>
      </w:r>
    </w:p>
    <w:p w14:paraId="21A4C60D" w14:textId="77777777" w:rsidR="00DF7166" w:rsidRDefault="00DF7166" w:rsidP="00DF7166"/>
    <w:p w14:paraId="0D6057DA" w14:textId="05B5B579" w:rsidR="00B70225" w:rsidRPr="004B1D7B" w:rsidRDefault="00B70225" w:rsidP="00DF7166">
      <w:pPr>
        <w:rPr>
          <w:rFonts w:ascii="Arial" w:hAnsi="Arial" w:cs="Arial"/>
        </w:rPr>
      </w:pPr>
      <w:r w:rsidRPr="004B1D7B">
        <w:rPr>
          <w:rFonts w:ascii="Arial" w:hAnsi="Arial" w:cs="Arial"/>
        </w:rPr>
        <w:t xml:space="preserve">Dr Jim Mason, </w:t>
      </w:r>
      <w:r w:rsidR="00D95E39" w:rsidRPr="004B1D7B">
        <w:rPr>
          <w:rFonts w:ascii="Arial" w:hAnsi="Arial" w:cs="Arial"/>
        </w:rPr>
        <w:t xml:space="preserve">School of Architecture and Environment, </w:t>
      </w:r>
      <w:r w:rsidRPr="004B1D7B">
        <w:rPr>
          <w:rFonts w:ascii="Arial" w:hAnsi="Arial" w:cs="Arial"/>
        </w:rPr>
        <w:t>University of the West of England</w:t>
      </w:r>
      <w:r w:rsidR="00D95E39" w:rsidRPr="004B1D7B">
        <w:rPr>
          <w:rFonts w:ascii="Arial" w:hAnsi="Arial" w:cs="Arial"/>
        </w:rPr>
        <w:t xml:space="preserve">, Coldharbour Road, Bristol, BS16 </w:t>
      </w:r>
      <w:r w:rsidR="00F64277" w:rsidRPr="004B1D7B">
        <w:rPr>
          <w:rFonts w:ascii="Arial" w:hAnsi="Arial" w:cs="Arial"/>
        </w:rPr>
        <w:t>IQY, United Kingdom.</w:t>
      </w:r>
      <w:r w:rsidR="005655AA" w:rsidRPr="004B1D7B">
        <w:rPr>
          <w:rFonts w:ascii="Arial" w:hAnsi="Arial" w:cs="Arial"/>
        </w:rPr>
        <w:t xml:space="preserve"> </w:t>
      </w:r>
      <w:hyperlink r:id="rId8" w:history="1">
        <w:r w:rsidR="005655AA" w:rsidRPr="004B1D7B">
          <w:rPr>
            <w:rStyle w:val="Hyperlink"/>
            <w:rFonts w:ascii="Arial" w:hAnsi="Arial" w:cs="Arial"/>
          </w:rPr>
          <w:t>Jim.mason@uwe.ac.uk</w:t>
        </w:r>
      </w:hyperlink>
      <w:r w:rsidR="005655AA" w:rsidRPr="004B1D7B">
        <w:rPr>
          <w:rFonts w:ascii="Arial" w:hAnsi="Arial" w:cs="Arial"/>
        </w:rPr>
        <w:t xml:space="preserve"> </w:t>
      </w:r>
    </w:p>
    <w:p w14:paraId="702DB7A5" w14:textId="51E650E8" w:rsidR="00DF7166" w:rsidRPr="00DF7166" w:rsidRDefault="00DF7166" w:rsidP="00DF7166"/>
    <w:p w14:paraId="3FF1EADD" w14:textId="14A740CD" w:rsidR="0015477E" w:rsidRPr="00901BF3" w:rsidRDefault="0015477E" w:rsidP="00901BF3">
      <w:pPr>
        <w:pStyle w:val="NoSpacing"/>
        <w:rPr>
          <w:rFonts w:ascii="Arial" w:hAnsi="Arial" w:cs="Arial"/>
          <w:sz w:val="24"/>
          <w:szCs w:val="24"/>
        </w:rPr>
      </w:pPr>
      <w:r w:rsidRPr="00901BF3">
        <w:rPr>
          <w:rFonts w:ascii="Arial" w:hAnsi="Arial" w:cs="Arial"/>
          <w:sz w:val="24"/>
          <w:szCs w:val="24"/>
        </w:rPr>
        <w:t>Abstract</w:t>
      </w:r>
    </w:p>
    <w:p w14:paraId="462CF95D" w14:textId="77777777" w:rsidR="004C1546" w:rsidRPr="004C1546" w:rsidRDefault="004C1546" w:rsidP="004C1546"/>
    <w:p w14:paraId="00B715F9" w14:textId="75F01B28" w:rsidR="007679AE" w:rsidRDefault="00EE3D91" w:rsidP="004C1546">
      <w:pPr>
        <w:spacing w:line="360" w:lineRule="auto"/>
        <w:ind w:left="720"/>
        <w:jc w:val="both"/>
        <w:rPr>
          <w:rFonts w:ascii="Arial" w:hAnsi="Arial" w:cs="Arial"/>
        </w:rPr>
      </w:pPr>
      <w:r w:rsidRPr="00EE3D91">
        <w:rPr>
          <w:rFonts w:ascii="Arial" w:hAnsi="Arial" w:cs="Arial"/>
        </w:rPr>
        <w:t xml:space="preserve">Existing </w:t>
      </w:r>
      <w:r w:rsidR="004E1BCE" w:rsidRPr="004E1BCE">
        <w:rPr>
          <w:rFonts w:ascii="Arial" w:hAnsi="Arial" w:cs="Arial"/>
        </w:rPr>
        <w:t>research on smart contracts in construction primarily concentrates on their operational stage</w:t>
      </w:r>
      <w:r w:rsidR="00D043A7">
        <w:rPr>
          <w:rFonts w:ascii="Arial" w:hAnsi="Arial" w:cs="Arial"/>
        </w:rPr>
        <w:t xml:space="preserve"> and the mechanics of their potential operation</w:t>
      </w:r>
      <w:r w:rsidR="004E1BCE" w:rsidRPr="004E1BCE">
        <w:rPr>
          <w:rFonts w:ascii="Arial" w:hAnsi="Arial" w:cs="Arial"/>
        </w:rPr>
        <w:t xml:space="preserve">. </w:t>
      </w:r>
      <w:r w:rsidR="00091B29">
        <w:rPr>
          <w:rFonts w:ascii="Arial" w:hAnsi="Arial" w:cs="Arial"/>
        </w:rPr>
        <w:t xml:space="preserve">Having established “can </w:t>
      </w:r>
      <w:proofErr w:type="gramStart"/>
      <w:r w:rsidR="00091B29">
        <w:rPr>
          <w:rFonts w:ascii="Arial" w:hAnsi="Arial" w:cs="Arial"/>
        </w:rPr>
        <w:t>we</w:t>
      </w:r>
      <w:proofErr w:type="gramEnd"/>
      <w:r w:rsidR="00091B29">
        <w:rPr>
          <w:rFonts w:ascii="Arial" w:hAnsi="Arial" w:cs="Arial"/>
        </w:rPr>
        <w:t xml:space="preserve"> do it?” the </w:t>
      </w:r>
      <w:r w:rsidR="00D76B04">
        <w:rPr>
          <w:rFonts w:ascii="Arial" w:hAnsi="Arial" w:cs="Arial"/>
        </w:rPr>
        <w:t xml:space="preserve">next question to answer is “how do we do it?” The answer involves a </w:t>
      </w:r>
      <w:r w:rsidR="00122868">
        <w:rPr>
          <w:rFonts w:ascii="Arial" w:hAnsi="Arial" w:cs="Arial"/>
        </w:rPr>
        <w:t xml:space="preserve">consideration </w:t>
      </w:r>
      <w:r w:rsidR="00D76B04">
        <w:rPr>
          <w:rFonts w:ascii="Arial" w:hAnsi="Arial" w:cs="Arial"/>
        </w:rPr>
        <w:t xml:space="preserve">around </w:t>
      </w:r>
      <w:r w:rsidR="00122868">
        <w:rPr>
          <w:rFonts w:ascii="Arial" w:hAnsi="Arial" w:cs="Arial"/>
        </w:rPr>
        <w:t>smart contract adoption</w:t>
      </w:r>
      <w:r w:rsidR="00903513">
        <w:rPr>
          <w:rFonts w:ascii="Arial" w:hAnsi="Arial" w:cs="Arial"/>
        </w:rPr>
        <w:t xml:space="preserve"> and </w:t>
      </w:r>
      <w:r w:rsidR="00D76B04">
        <w:rPr>
          <w:rFonts w:ascii="Arial" w:hAnsi="Arial" w:cs="Arial"/>
        </w:rPr>
        <w:t>its</w:t>
      </w:r>
      <w:r w:rsidR="00903513">
        <w:rPr>
          <w:rFonts w:ascii="Arial" w:hAnsi="Arial" w:cs="Arial"/>
        </w:rPr>
        <w:t xml:space="preserve"> synthesis with</w:t>
      </w:r>
      <w:r w:rsidR="004E1BCE" w:rsidRPr="004E1BCE">
        <w:rPr>
          <w:rFonts w:ascii="Arial" w:hAnsi="Arial" w:cs="Arial"/>
        </w:rPr>
        <w:t xml:space="preserve"> the entire construction process</w:t>
      </w:r>
      <w:r w:rsidR="00903513">
        <w:rPr>
          <w:rFonts w:ascii="Arial" w:hAnsi="Arial" w:cs="Arial"/>
        </w:rPr>
        <w:t xml:space="preserve"> from procurement to in-use</w:t>
      </w:r>
      <w:r w:rsidR="00597795">
        <w:rPr>
          <w:rFonts w:ascii="Arial" w:hAnsi="Arial" w:cs="Arial"/>
        </w:rPr>
        <w:t>.  P</w:t>
      </w:r>
      <w:r w:rsidR="00482375">
        <w:rPr>
          <w:rFonts w:ascii="Arial" w:hAnsi="Arial" w:cs="Arial"/>
        </w:rPr>
        <w:t xml:space="preserve">articular </w:t>
      </w:r>
      <w:r w:rsidR="00805468">
        <w:rPr>
          <w:rFonts w:ascii="Arial" w:hAnsi="Arial" w:cs="Arial"/>
        </w:rPr>
        <w:t xml:space="preserve">attention </w:t>
      </w:r>
      <w:r w:rsidR="00C71DB5">
        <w:rPr>
          <w:rFonts w:ascii="Arial" w:hAnsi="Arial" w:cs="Arial"/>
        </w:rPr>
        <w:t xml:space="preserve">is </w:t>
      </w:r>
      <w:r w:rsidR="004E1BCE" w:rsidRPr="004E1BCE">
        <w:rPr>
          <w:rFonts w:ascii="Arial" w:hAnsi="Arial" w:cs="Arial"/>
        </w:rPr>
        <w:t>need</w:t>
      </w:r>
      <w:r w:rsidR="00C71DB5">
        <w:rPr>
          <w:rFonts w:ascii="Arial" w:hAnsi="Arial" w:cs="Arial"/>
        </w:rPr>
        <w:t xml:space="preserve">ed </w:t>
      </w:r>
      <w:proofErr w:type="gramStart"/>
      <w:r w:rsidR="004E1BCE" w:rsidRPr="004E1BCE">
        <w:rPr>
          <w:rFonts w:ascii="Arial" w:hAnsi="Arial" w:cs="Arial"/>
        </w:rPr>
        <w:t>for</w:t>
      </w:r>
      <w:r w:rsidR="00C71DB5">
        <w:rPr>
          <w:rFonts w:ascii="Arial" w:hAnsi="Arial" w:cs="Arial"/>
        </w:rPr>
        <w:t xml:space="preserve"> </w:t>
      </w:r>
      <w:r w:rsidR="004E1BCE" w:rsidRPr="004E1BCE">
        <w:rPr>
          <w:rFonts w:ascii="Arial" w:hAnsi="Arial" w:cs="Arial"/>
        </w:rPr>
        <w:t xml:space="preserve"> integration</w:t>
      </w:r>
      <w:proofErr w:type="gramEnd"/>
      <w:r w:rsidR="004E1BCE" w:rsidRPr="004E1BCE">
        <w:rPr>
          <w:rFonts w:ascii="Arial" w:hAnsi="Arial" w:cs="Arial"/>
        </w:rPr>
        <w:t xml:space="preserve"> </w:t>
      </w:r>
      <w:r w:rsidR="00B11C97">
        <w:rPr>
          <w:rFonts w:ascii="Arial" w:hAnsi="Arial" w:cs="Arial"/>
        </w:rPr>
        <w:t>into complimentary and receptive</w:t>
      </w:r>
      <w:r w:rsidR="00B911BF">
        <w:rPr>
          <w:rFonts w:ascii="Arial" w:hAnsi="Arial" w:cs="Arial"/>
        </w:rPr>
        <w:t xml:space="preserve"> </w:t>
      </w:r>
      <w:r w:rsidR="00E73E5D">
        <w:rPr>
          <w:rFonts w:ascii="Arial" w:hAnsi="Arial" w:cs="Arial"/>
        </w:rPr>
        <w:t>working</w:t>
      </w:r>
      <w:r w:rsidR="007435C1">
        <w:rPr>
          <w:rFonts w:ascii="Arial" w:hAnsi="Arial" w:cs="Arial"/>
        </w:rPr>
        <w:t xml:space="preserve"> practices </w:t>
      </w:r>
      <w:r w:rsidR="00B911BF">
        <w:rPr>
          <w:rFonts w:ascii="Arial" w:hAnsi="Arial" w:cs="Arial"/>
        </w:rPr>
        <w:t>resulting in</w:t>
      </w:r>
      <w:r w:rsidR="00CC10DC">
        <w:rPr>
          <w:rFonts w:ascii="Arial" w:hAnsi="Arial" w:cs="Arial"/>
        </w:rPr>
        <w:t xml:space="preserve"> the optimum </w:t>
      </w:r>
      <w:r w:rsidR="007F28F5">
        <w:rPr>
          <w:rFonts w:ascii="Arial" w:hAnsi="Arial" w:cs="Arial"/>
        </w:rPr>
        <w:t>conditions for</w:t>
      </w:r>
      <w:r w:rsidR="004E1BCE" w:rsidRPr="004E1BCE">
        <w:rPr>
          <w:rFonts w:ascii="Arial" w:hAnsi="Arial" w:cs="Arial"/>
        </w:rPr>
        <w:t xml:space="preserve"> adoption</w:t>
      </w:r>
      <w:r w:rsidR="004E1BCE">
        <w:rPr>
          <w:rFonts w:ascii="Arial" w:hAnsi="Arial" w:cs="Arial"/>
        </w:rPr>
        <w:t xml:space="preserve">. </w:t>
      </w:r>
      <w:r w:rsidR="00805468">
        <w:rPr>
          <w:rFonts w:ascii="Arial" w:hAnsi="Arial" w:cs="Arial"/>
        </w:rPr>
        <w:t xml:space="preserve">The current risk is that smart contract adoption may suffer from </w:t>
      </w:r>
      <w:r w:rsidR="00B047B2">
        <w:rPr>
          <w:rFonts w:ascii="Arial" w:hAnsi="Arial" w:cs="Arial"/>
        </w:rPr>
        <w:t xml:space="preserve">a lack of clear guidance and </w:t>
      </w:r>
      <w:r w:rsidR="00DA1032">
        <w:rPr>
          <w:rFonts w:ascii="Arial" w:hAnsi="Arial" w:cs="Arial"/>
        </w:rPr>
        <w:t>happen</w:t>
      </w:r>
      <w:r w:rsidR="00B047B2">
        <w:rPr>
          <w:rFonts w:ascii="Arial" w:hAnsi="Arial" w:cs="Arial"/>
        </w:rPr>
        <w:t>s</w:t>
      </w:r>
      <w:r w:rsidR="00DA1032">
        <w:rPr>
          <w:rFonts w:ascii="Arial" w:hAnsi="Arial" w:cs="Arial"/>
        </w:rPr>
        <w:t xml:space="preserve"> on a piecemeal and ad-hoc </w:t>
      </w:r>
      <w:r w:rsidR="00EF0908">
        <w:rPr>
          <w:rFonts w:ascii="Arial" w:hAnsi="Arial" w:cs="Arial"/>
        </w:rPr>
        <w:t>basis</w:t>
      </w:r>
      <w:r w:rsidR="00B047B2">
        <w:rPr>
          <w:rFonts w:ascii="Arial" w:hAnsi="Arial" w:cs="Arial"/>
        </w:rPr>
        <w:t>.</w:t>
      </w:r>
      <w:r w:rsidR="00EF0908">
        <w:rPr>
          <w:rFonts w:ascii="Arial" w:hAnsi="Arial" w:cs="Arial"/>
        </w:rPr>
        <w:t xml:space="preserve"> </w:t>
      </w:r>
      <w:r w:rsidR="00B047B2">
        <w:rPr>
          <w:rFonts w:ascii="Arial" w:hAnsi="Arial" w:cs="Arial"/>
        </w:rPr>
        <w:t>T</w:t>
      </w:r>
      <w:r w:rsidR="007C5133">
        <w:rPr>
          <w:rFonts w:ascii="Arial" w:hAnsi="Arial" w:cs="Arial"/>
        </w:rPr>
        <w:t xml:space="preserve">his </w:t>
      </w:r>
      <w:r w:rsidR="00ED3B36" w:rsidRPr="00ED3B36">
        <w:rPr>
          <w:rFonts w:ascii="Arial" w:hAnsi="Arial" w:cs="Arial"/>
        </w:rPr>
        <w:t xml:space="preserve">study proposes </w:t>
      </w:r>
      <w:r w:rsidR="00E818CF">
        <w:rPr>
          <w:rFonts w:ascii="Arial" w:hAnsi="Arial" w:cs="Arial"/>
        </w:rPr>
        <w:t>a principled approach</w:t>
      </w:r>
      <w:r w:rsidR="00CB5327">
        <w:rPr>
          <w:rFonts w:ascii="Arial" w:hAnsi="Arial" w:cs="Arial"/>
        </w:rPr>
        <w:t xml:space="preserve"> to counter this risk</w:t>
      </w:r>
      <w:r w:rsidR="00E818CF">
        <w:rPr>
          <w:rFonts w:ascii="Arial" w:hAnsi="Arial" w:cs="Arial"/>
        </w:rPr>
        <w:t xml:space="preserve">. </w:t>
      </w:r>
      <w:r w:rsidR="006F109C">
        <w:rPr>
          <w:rFonts w:ascii="Arial" w:hAnsi="Arial" w:cs="Arial"/>
        </w:rPr>
        <w:t xml:space="preserve">This approach has been seen before in construction law in the form of the Abrahamson Principles, which remain a seminal reference point in any discussion of construction law. </w:t>
      </w:r>
      <w:r w:rsidR="003533AD">
        <w:rPr>
          <w:rFonts w:ascii="Arial" w:hAnsi="Arial" w:cs="Arial"/>
        </w:rPr>
        <w:t>The use of a</w:t>
      </w:r>
      <w:r w:rsidR="00ED3B36" w:rsidRPr="00ED3B36">
        <w:rPr>
          <w:rFonts w:ascii="Arial" w:hAnsi="Arial" w:cs="Arial"/>
        </w:rPr>
        <w:t xml:space="preserve"> framework </w:t>
      </w:r>
      <w:r w:rsidR="00FC0CCC">
        <w:rPr>
          <w:rFonts w:ascii="Arial" w:hAnsi="Arial" w:cs="Arial"/>
        </w:rPr>
        <w:t xml:space="preserve">is therefore proposed </w:t>
      </w:r>
      <w:r w:rsidR="00ED3B36" w:rsidRPr="00ED3B36">
        <w:rPr>
          <w:rFonts w:ascii="Arial" w:hAnsi="Arial" w:cs="Arial"/>
        </w:rPr>
        <w:t>based on five key principles to guide the automation of contract terms, discussing the importance of control, codability, consideration, efficiency, and data access. Th</w:t>
      </w:r>
      <w:r w:rsidR="002421E9">
        <w:rPr>
          <w:rFonts w:ascii="Arial" w:hAnsi="Arial" w:cs="Arial"/>
        </w:rPr>
        <w:t>is approach uses a</w:t>
      </w:r>
      <w:r w:rsidR="00FA4B2A">
        <w:rPr>
          <w:rFonts w:ascii="Arial" w:hAnsi="Arial" w:cs="Arial"/>
        </w:rPr>
        <w:t>n</w:t>
      </w:r>
      <w:r w:rsidR="002421E9">
        <w:rPr>
          <w:rFonts w:ascii="Arial" w:hAnsi="Arial" w:cs="Arial"/>
        </w:rPr>
        <w:t xml:space="preserve"> interdisciplinary methodology with an applied professional constituency</w:t>
      </w:r>
      <w:r w:rsidR="00FA4B2A">
        <w:rPr>
          <w:rFonts w:ascii="Arial" w:hAnsi="Arial" w:cs="Arial"/>
        </w:rPr>
        <w:t xml:space="preserve"> to promote law </w:t>
      </w:r>
      <w:r w:rsidR="00496D70">
        <w:rPr>
          <w:rFonts w:ascii="Arial" w:hAnsi="Arial" w:cs="Arial"/>
        </w:rPr>
        <w:t>reform-based</w:t>
      </w:r>
      <w:r w:rsidR="00FA4B2A">
        <w:rPr>
          <w:rFonts w:ascii="Arial" w:hAnsi="Arial" w:cs="Arial"/>
        </w:rPr>
        <w:t xml:space="preserve"> </w:t>
      </w:r>
      <w:r w:rsidR="00ED3B36" w:rsidRPr="00ED3B36">
        <w:rPr>
          <w:rFonts w:ascii="Arial" w:hAnsi="Arial" w:cs="Arial"/>
        </w:rPr>
        <w:t>research</w:t>
      </w:r>
      <w:r w:rsidR="00FA4B2A">
        <w:rPr>
          <w:rFonts w:ascii="Arial" w:hAnsi="Arial" w:cs="Arial"/>
        </w:rPr>
        <w:t>.</w:t>
      </w:r>
      <w:r w:rsidR="00561AD5">
        <w:rPr>
          <w:rFonts w:ascii="Arial" w:hAnsi="Arial" w:cs="Arial"/>
        </w:rPr>
        <w:t xml:space="preserve"> The</w:t>
      </w:r>
      <w:r w:rsidR="007C5133">
        <w:rPr>
          <w:rFonts w:ascii="Arial" w:hAnsi="Arial" w:cs="Arial"/>
        </w:rPr>
        <w:t xml:space="preserve"> inductive/deductive </w:t>
      </w:r>
      <w:r w:rsidR="00ED3B36" w:rsidRPr="00ED3B36">
        <w:rPr>
          <w:rFonts w:ascii="Arial" w:hAnsi="Arial" w:cs="Arial"/>
        </w:rPr>
        <w:t xml:space="preserve">approach </w:t>
      </w:r>
      <w:r w:rsidR="00561AD5">
        <w:rPr>
          <w:rFonts w:ascii="Arial" w:hAnsi="Arial" w:cs="Arial"/>
        </w:rPr>
        <w:t xml:space="preserve">is aimed at sharing insights into the question with the hope that the </w:t>
      </w:r>
      <w:r w:rsidR="0011635C">
        <w:rPr>
          <w:rFonts w:ascii="Arial" w:hAnsi="Arial" w:cs="Arial"/>
        </w:rPr>
        <w:t>consequent principles</w:t>
      </w:r>
      <w:r w:rsidR="00ED3B36" w:rsidRPr="00ED3B36">
        <w:rPr>
          <w:rFonts w:ascii="Arial" w:hAnsi="Arial" w:cs="Arial"/>
        </w:rPr>
        <w:t xml:space="preserve"> </w:t>
      </w:r>
      <w:r w:rsidR="00561AD5">
        <w:rPr>
          <w:rFonts w:ascii="Arial" w:hAnsi="Arial" w:cs="Arial"/>
        </w:rPr>
        <w:t xml:space="preserve">aid </w:t>
      </w:r>
      <w:r w:rsidR="00ED3B36" w:rsidRPr="00ED3B36">
        <w:rPr>
          <w:rFonts w:ascii="Arial" w:hAnsi="Arial" w:cs="Arial"/>
        </w:rPr>
        <w:t>the incremental implementation</w:t>
      </w:r>
      <w:r w:rsidR="00561AD5">
        <w:rPr>
          <w:rFonts w:ascii="Arial" w:hAnsi="Arial" w:cs="Arial"/>
        </w:rPr>
        <w:t xml:space="preserve"> of smart contracts</w:t>
      </w:r>
      <w:r w:rsidR="00ED3B36" w:rsidRPr="00ED3B36">
        <w:rPr>
          <w:rFonts w:ascii="Arial" w:hAnsi="Arial" w:cs="Arial"/>
        </w:rPr>
        <w:t xml:space="preserve"> in the industry.</w:t>
      </w:r>
    </w:p>
    <w:p w14:paraId="0A78C96F" w14:textId="71548FCD" w:rsidR="00950DAD" w:rsidRPr="00901BF3" w:rsidRDefault="00950DAD" w:rsidP="00901BF3">
      <w:pPr>
        <w:pStyle w:val="NoSpacing"/>
        <w:rPr>
          <w:rFonts w:ascii="Arial" w:hAnsi="Arial" w:cs="Arial"/>
          <w:sz w:val="24"/>
          <w:szCs w:val="24"/>
        </w:rPr>
      </w:pPr>
      <w:r w:rsidRPr="00901BF3">
        <w:rPr>
          <w:rFonts w:ascii="Arial" w:hAnsi="Arial" w:cs="Arial"/>
          <w:sz w:val="24"/>
          <w:szCs w:val="24"/>
        </w:rPr>
        <w:t>Introduction</w:t>
      </w:r>
    </w:p>
    <w:p w14:paraId="320D9983" w14:textId="77777777" w:rsidR="004C1546" w:rsidRPr="004C1546" w:rsidRDefault="004C1546" w:rsidP="004C1546"/>
    <w:p w14:paraId="7B5C8852" w14:textId="112A25AD" w:rsidR="0096237B" w:rsidRPr="00F22ED8" w:rsidRDefault="0096237B" w:rsidP="002401ED">
      <w:pPr>
        <w:spacing w:line="360" w:lineRule="auto"/>
        <w:jc w:val="both"/>
        <w:rPr>
          <w:rFonts w:ascii="Arial" w:hAnsi="Arial" w:cs="Arial"/>
        </w:rPr>
      </w:pPr>
      <w:r w:rsidRPr="00F22ED8">
        <w:rPr>
          <w:rFonts w:ascii="Arial" w:hAnsi="Arial" w:cs="Arial"/>
        </w:rPr>
        <w:t xml:space="preserve">The recent completion of the five-year mission of the Centre for Digital Built Britain </w:t>
      </w:r>
      <w:r>
        <w:rPr>
          <w:rFonts w:ascii="Arial" w:hAnsi="Arial" w:cs="Arial"/>
        </w:rPr>
        <w:fldChar w:fldCharType="begin"/>
      </w:r>
      <w:r>
        <w:rPr>
          <w:rFonts w:ascii="Arial" w:hAnsi="Arial" w:cs="Arial"/>
        </w:rPr>
        <w:instrText xml:space="preserve"> ADDIN ZOTERO_ITEM CSL_CITATION {"citationID":"zTLfD5qT","properties":{"formattedCitation":"(Daye, 2022)","plainCitation":"(Daye, 2022)","noteIndex":0},"citationItems":[{"id":2429,"uris":["http://zotero.org/users/10424302/items/USH5ZYPB"],"itemData":{"id":2429,"type":"webpage","abstract":"This physical and digital book celebrates the extraordinary progress we have made with our partners in industry, academia and government in creating a solid foundation for a digital built Britain.","genre":"Text","language":"en","title":"Our Artefacts Our Stories","URL":"https://www.cdbb.cam.ac.uk/news/our-artefacts-our-stories","author":[{"family":"Daye","given":"Jo"}],"accessed":{"date-parts":[["2023",8,1]]},"issued":{"date-parts":[["2022",3,16]]}}}],"schema":"https://github.com/citation-style-language/schema/raw/master/csl-citation.json"} </w:instrText>
      </w:r>
      <w:r>
        <w:rPr>
          <w:rFonts w:ascii="Arial" w:hAnsi="Arial" w:cs="Arial"/>
        </w:rPr>
        <w:fldChar w:fldCharType="separate"/>
      </w:r>
      <w:r w:rsidRPr="00F22ED8">
        <w:rPr>
          <w:rFonts w:ascii="Arial" w:hAnsi="Arial" w:cs="Arial"/>
        </w:rPr>
        <w:t>(Daye, 2022)</w:t>
      </w:r>
      <w:r>
        <w:rPr>
          <w:rFonts w:ascii="Arial" w:hAnsi="Arial" w:cs="Arial"/>
        </w:rPr>
        <w:fldChar w:fldCharType="end"/>
      </w:r>
      <w:r>
        <w:rPr>
          <w:rFonts w:ascii="Arial" w:hAnsi="Arial" w:cs="Arial"/>
        </w:rPr>
        <w:t xml:space="preserve"> </w:t>
      </w:r>
      <w:r w:rsidRPr="00F22ED8">
        <w:rPr>
          <w:rFonts w:ascii="Arial" w:hAnsi="Arial" w:cs="Arial"/>
        </w:rPr>
        <w:t>evidence that the pathway to digital twins in the Built Environment is mapped out and includes the implementation of smart contracts.</w:t>
      </w:r>
      <w:r w:rsidRPr="0096237B">
        <w:rPr>
          <w:rFonts w:ascii="Arial" w:hAnsi="Arial" w:cs="Arial"/>
        </w:rPr>
        <w:t xml:space="preserve"> </w:t>
      </w:r>
      <w:r>
        <w:rPr>
          <w:rFonts w:ascii="Arial" w:hAnsi="Arial" w:cs="Arial"/>
        </w:rPr>
        <w:t xml:space="preserve">Smart contracts are set to take their </w:t>
      </w:r>
      <w:r w:rsidRPr="00950DAD">
        <w:rPr>
          <w:rFonts w:ascii="Arial" w:hAnsi="Arial" w:cs="Arial"/>
        </w:rPr>
        <w:t>place alongside Integrated Project Delivery, Modern Methods of Construction and Design for Manufacture movements</w:t>
      </w:r>
      <w:r>
        <w:rPr>
          <w:rFonts w:ascii="Arial" w:hAnsi="Arial" w:cs="Arial"/>
        </w:rPr>
        <w:t xml:space="preserve"> </w:t>
      </w:r>
      <w:r>
        <w:rPr>
          <w:rFonts w:ascii="Arial" w:hAnsi="Arial" w:cs="Arial"/>
        </w:rPr>
        <w:fldChar w:fldCharType="begin"/>
      </w:r>
      <w:r>
        <w:rPr>
          <w:rFonts w:ascii="Arial" w:hAnsi="Arial" w:cs="Arial"/>
        </w:rPr>
        <w:instrText xml:space="preserve"> ADDIN ZOTERO_ITEM CSL_CITATION {"citationID":"pCgyoV3G","properties":{"formattedCitation":"(Sonmez {\\i{}et al.}, 2022)","plainCitation":"(Sonmez et al., 2022)","noteIndex":0},"citationItems":[{"id":1895,"uris":["http://zotero.org/users/10424302/items/WNGX3BIH"],"itemData":{"id":1895,"type":"article-journal","abstract":"In recent years few blockchain based progress payment methods have been proposed to improve the traditional payment process for construction projects. The blockchain based methods require the off-chain real world information to be connected to the blockchain which could be challenging for construction projects. This paper presents a novel building information modeling (BIM) integrated smart contract progress payment administration system, in which as-constructed BIM is used to link the real world with the blockchain. Results of a survey of construction professionals revealed that the proposed system has a significant potential for improving the traditional payment procedure by accelerating the process and by making the progress payments less prone to disputes, especially for lump sum projects. The results also indicate the potential of future research on semi-autonomous BIM integrated smart contract systems to accelerate the adoption of the BIM and smart contract technologies for progress payment administration within the construction sector.","container-title":"Automation in Construction","DOI":"10.1016/j.autcon.2022.104294","ISSN":"0926-5805","journalAbbreviation":"Automation in Construction","language":"en","page":"104294","source":"ScienceDirect","title":"BIM integrated smart contract for construction project progress payment administration","volume":"139","author":[{"family":"Sonmez","given":"Rifat"},{"family":"Ahmadisheykhsarmast","given":"Salar"},{"family":"Güngör","given":"Aslı Akçamete"}],"issued":{"date-parts":[["2022",7,1]]}}}],"schema":"https://github.com/citation-style-language/schema/raw/master/csl-citation.json"} </w:instrText>
      </w:r>
      <w:r>
        <w:rPr>
          <w:rFonts w:ascii="Arial" w:hAnsi="Arial" w:cs="Arial"/>
        </w:rPr>
        <w:fldChar w:fldCharType="separate"/>
      </w:r>
      <w:r w:rsidRPr="00950DAD">
        <w:rPr>
          <w:rFonts w:ascii="Arial" w:hAnsi="Arial" w:cs="Arial"/>
          <w:kern w:val="0"/>
          <w:szCs w:val="24"/>
        </w:rPr>
        <w:t xml:space="preserve">(Sonmez </w:t>
      </w:r>
      <w:r w:rsidRPr="00950DAD">
        <w:rPr>
          <w:rFonts w:ascii="Arial" w:hAnsi="Arial" w:cs="Arial"/>
          <w:i/>
          <w:iCs/>
          <w:kern w:val="0"/>
          <w:szCs w:val="24"/>
        </w:rPr>
        <w:t>et al.</w:t>
      </w:r>
      <w:r w:rsidRPr="00950DAD">
        <w:rPr>
          <w:rFonts w:ascii="Arial" w:hAnsi="Arial" w:cs="Arial"/>
          <w:kern w:val="0"/>
          <w:szCs w:val="24"/>
        </w:rPr>
        <w:t>, 2022)</w:t>
      </w:r>
      <w:r>
        <w:rPr>
          <w:rFonts w:ascii="Arial" w:hAnsi="Arial" w:cs="Arial"/>
        </w:rPr>
        <w:fldChar w:fldCharType="end"/>
      </w:r>
      <w:r>
        <w:rPr>
          <w:rFonts w:ascii="Arial" w:hAnsi="Arial" w:cs="Arial"/>
        </w:rPr>
        <w:t xml:space="preserve">. </w:t>
      </w:r>
      <w:r w:rsidRPr="00950DAD">
        <w:rPr>
          <w:rFonts w:ascii="Arial" w:hAnsi="Arial" w:cs="Arial"/>
        </w:rPr>
        <w:t xml:space="preserve">The standardisation and repeatable environments of factory construction and regular demand provide ideal test beds for </w:t>
      </w:r>
      <w:r>
        <w:rPr>
          <w:rFonts w:ascii="Arial" w:hAnsi="Arial" w:cs="Arial"/>
        </w:rPr>
        <w:t xml:space="preserve">smart contract staples such as </w:t>
      </w:r>
      <w:r w:rsidRPr="00950DAD">
        <w:rPr>
          <w:rFonts w:ascii="Arial" w:hAnsi="Arial" w:cs="Arial"/>
        </w:rPr>
        <w:t>automating payments and real time involvement of delivering goods and transit arrangements</w:t>
      </w:r>
      <w:r w:rsidR="004171D7">
        <w:rPr>
          <w:rFonts w:ascii="Arial" w:hAnsi="Arial" w:cs="Arial"/>
        </w:rPr>
        <w:t xml:space="preserve"> </w:t>
      </w:r>
      <w:r>
        <w:rPr>
          <w:rFonts w:ascii="Arial" w:hAnsi="Arial" w:cs="Arial"/>
        </w:rPr>
        <w:fldChar w:fldCharType="begin"/>
      </w:r>
      <w:r>
        <w:rPr>
          <w:rFonts w:ascii="Arial" w:hAnsi="Arial" w:cs="Arial"/>
        </w:rPr>
        <w:instrText xml:space="preserve"> ADDIN ZOTERO_ITEM CSL_CITATION {"citationID":"y4tUrnXj","properties":{"formattedCitation":"(Di Giuda {\\i{}et al.}, 2020)","plainCitation":"(Di Giuda et al., 2020)","noteIndex":0},"citationItems":[{"id":1864,"uris":["http://zotero.org/users/10424302/items/KPBWNYUN"],"itemData":{"id":1864,"type":"chapter","collection-number":"2","container-title":"Proceedings of International Structural Engineering and Construction","page":"1–6","publisher":"ISEC Press","source":"Google Scholar","title":"The shortening and the automation of payments: the potentiality of smart contract in the AECO sector","title-short":"The shortening and the automation of payments","volume":"7","author":[{"family":"Di Giuda","given":"Giuseppe Martino"},{"family":"Giana","given":"Paolo Ettore"},{"family":"Pattini","given":"Giulia"}],"issued":{"date-parts":[["2020"]]}}}],"schema":"https://github.com/citation-style-language/schema/raw/master/csl-citation.json"} </w:instrText>
      </w:r>
      <w:r>
        <w:rPr>
          <w:rFonts w:ascii="Arial" w:hAnsi="Arial" w:cs="Arial"/>
        </w:rPr>
        <w:fldChar w:fldCharType="separate"/>
      </w:r>
      <w:r w:rsidRPr="00950DAD">
        <w:rPr>
          <w:rFonts w:ascii="Arial" w:hAnsi="Arial" w:cs="Arial"/>
          <w:kern w:val="0"/>
          <w:szCs w:val="24"/>
        </w:rPr>
        <w:t xml:space="preserve">(Di Giuda </w:t>
      </w:r>
      <w:r w:rsidRPr="00950DAD">
        <w:rPr>
          <w:rFonts w:ascii="Arial" w:hAnsi="Arial" w:cs="Arial"/>
          <w:i/>
          <w:iCs/>
          <w:kern w:val="0"/>
          <w:szCs w:val="24"/>
        </w:rPr>
        <w:t>et al.</w:t>
      </w:r>
      <w:r w:rsidRPr="00950DAD">
        <w:rPr>
          <w:rFonts w:ascii="Arial" w:hAnsi="Arial" w:cs="Arial"/>
          <w:kern w:val="0"/>
          <w:szCs w:val="24"/>
        </w:rPr>
        <w:t>, 2020)</w:t>
      </w:r>
      <w:r>
        <w:rPr>
          <w:rFonts w:ascii="Arial" w:hAnsi="Arial" w:cs="Arial"/>
        </w:rPr>
        <w:fldChar w:fldCharType="end"/>
      </w:r>
      <w:r>
        <w:rPr>
          <w:rFonts w:ascii="Arial" w:hAnsi="Arial" w:cs="Arial"/>
        </w:rPr>
        <w:t xml:space="preserve">. </w:t>
      </w:r>
      <w:r w:rsidRPr="00F22ED8">
        <w:rPr>
          <w:rFonts w:ascii="Arial" w:hAnsi="Arial" w:cs="Arial"/>
        </w:rPr>
        <w:t xml:space="preserve">The advances made in applying similar technologies in other industries is starting to gather significant purchase in construction.  </w:t>
      </w:r>
      <w:r w:rsidR="0021304B">
        <w:rPr>
          <w:rFonts w:ascii="Arial" w:hAnsi="Arial" w:cs="Arial"/>
        </w:rPr>
        <w:t xml:space="preserve">For </w:t>
      </w:r>
      <w:r w:rsidR="0021304B">
        <w:rPr>
          <w:rFonts w:ascii="Arial" w:hAnsi="Arial" w:cs="Arial"/>
        </w:rPr>
        <w:lastRenderedPageBreak/>
        <w:t xml:space="preserve">example, </w:t>
      </w:r>
      <w:r w:rsidRPr="00F22ED8">
        <w:rPr>
          <w:rFonts w:ascii="Arial" w:hAnsi="Arial" w:cs="Arial"/>
        </w:rPr>
        <w:t xml:space="preserve">Tata were </w:t>
      </w:r>
      <w:r>
        <w:rPr>
          <w:rFonts w:ascii="Arial" w:hAnsi="Arial" w:cs="Arial"/>
        </w:rPr>
        <w:t xml:space="preserve">reported to be </w:t>
      </w:r>
      <w:r w:rsidRPr="00F22ED8">
        <w:rPr>
          <w:rFonts w:ascii="Arial" w:hAnsi="Arial" w:cs="Arial"/>
        </w:rPr>
        <w:t xml:space="preserve">tracking their steel girders </w:t>
      </w:r>
      <w:r w:rsidR="0021304B">
        <w:rPr>
          <w:rFonts w:ascii="Arial" w:hAnsi="Arial" w:cs="Arial"/>
        </w:rPr>
        <w:t xml:space="preserve">via individual barcodes </w:t>
      </w:r>
      <w:r w:rsidRPr="00F22ED8">
        <w:rPr>
          <w:rFonts w:ascii="Arial" w:hAnsi="Arial" w:cs="Arial"/>
        </w:rPr>
        <w:t xml:space="preserve">from foundry to installation </w:t>
      </w:r>
      <w:r>
        <w:rPr>
          <w:rFonts w:ascii="Arial" w:hAnsi="Arial" w:cs="Arial"/>
        </w:rPr>
        <w:t xml:space="preserve">as long ago as </w:t>
      </w:r>
      <w:r w:rsidR="0021304B">
        <w:rPr>
          <w:rFonts w:ascii="Arial" w:hAnsi="Arial" w:cs="Arial"/>
        </w:rPr>
        <w:t>201</w:t>
      </w:r>
      <w:r w:rsidR="00F331D5">
        <w:rPr>
          <w:rFonts w:ascii="Arial" w:hAnsi="Arial" w:cs="Arial"/>
        </w:rPr>
        <w:t>8</w:t>
      </w:r>
      <w:r w:rsidR="0021304B">
        <w:rPr>
          <w:rFonts w:ascii="Arial" w:hAnsi="Arial" w:cs="Arial"/>
        </w:rPr>
        <w:t xml:space="preserve"> (Penzes, 201</w:t>
      </w:r>
      <w:r w:rsidR="00F331D5">
        <w:rPr>
          <w:rFonts w:ascii="Arial" w:hAnsi="Arial" w:cs="Arial"/>
        </w:rPr>
        <w:t>8</w:t>
      </w:r>
      <w:r w:rsidR="0021304B">
        <w:rPr>
          <w:rFonts w:ascii="Arial" w:hAnsi="Arial" w:cs="Arial"/>
        </w:rPr>
        <w:t>). The benefit for construction of being a late adopter of technology is that, in most cases, it is the appliance of science that is required rather than its conception.</w:t>
      </w:r>
    </w:p>
    <w:p w14:paraId="2953F67E" w14:textId="4786E4F6" w:rsidR="0021304B" w:rsidRDefault="00950DAD" w:rsidP="002401ED">
      <w:pPr>
        <w:spacing w:line="360" w:lineRule="auto"/>
        <w:jc w:val="both"/>
        <w:rPr>
          <w:rFonts w:ascii="Arial" w:hAnsi="Arial" w:cs="Arial"/>
        </w:rPr>
      </w:pPr>
      <w:r w:rsidRPr="00950DAD">
        <w:rPr>
          <w:rFonts w:ascii="Arial" w:hAnsi="Arial" w:cs="Arial"/>
        </w:rPr>
        <w:t xml:space="preserve">Interest in </w:t>
      </w:r>
      <w:r w:rsidR="0096237B">
        <w:rPr>
          <w:rFonts w:ascii="Arial" w:hAnsi="Arial" w:cs="Arial"/>
        </w:rPr>
        <w:t>smart contracts</w:t>
      </w:r>
      <w:r w:rsidRPr="00950DAD">
        <w:rPr>
          <w:rFonts w:ascii="Arial" w:hAnsi="Arial" w:cs="Arial"/>
        </w:rPr>
        <w:t xml:space="preserve"> could demonstrably be said to have followed the Gartner hype-cycle (</w:t>
      </w:r>
      <w:r>
        <w:rPr>
          <w:rFonts w:ascii="Arial" w:hAnsi="Arial" w:cs="Arial"/>
        </w:rPr>
        <w:t xml:space="preserve">Fenn and </w:t>
      </w:r>
      <w:r w:rsidRPr="00950DAD">
        <w:rPr>
          <w:rFonts w:ascii="Arial" w:hAnsi="Arial" w:cs="Arial"/>
        </w:rPr>
        <w:t xml:space="preserve">Blosch, 2018).  Where new ideas are “hyped” as interest sours before trailing off into a trough of disillusion. The hype cycle has its critics </w:t>
      </w:r>
      <w:r>
        <w:rPr>
          <w:rFonts w:ascii="Arial" w:hAnsi="Arial" w:cs="Arial"/>
        </w:rPr>
        <w:fldChar w:fldCharType="begin"/>
      </w:r>
      <w:r>
        <w:rPr>
          <w:rFonts w:ascii="Arial" w:hAnsi="Arial" w:cs="Arial"/>
        </w:rPr>
        <w:instrText xml:space="preserve"> ADDIN ZOTERO_ITEM CSL_CITATION {"citationID":"BQ8vPd9k","properties":{"formattedCitation":"(Steinert and Leifer, 2010)","plainCitation":"(Steinert and Leifer, 2010)","noteIndex":0},"citationItems":[{"id":2426,"uris":["http://zotero.org/users/10424302/items/DRIW265H"],"itemData":{"id":2426,"type":"book","abstract":"This paper scrutinizes the validity of the Gartner's hype cycle approach by means of in-depths theoretical discussion and empirical analysis. After presenting Gartner's model and its strong immanent influence on large companies' technology strategy and investment decisions, we conduct an in-depth analysis of its two underlying theories, the expectation hype and the technology s-curves. In the next stage, we analyze a longitudinal combination of actual hype cycle reports for the energy and utility sector 2003-2009. Additionally we observe the 46 inherent technologies and their methodological treatment more closely. In a last step, the hype cycles results for three example technologies: tidal power, Integrated Gasification Combined Cycle (IGCC) and photovoltaic generation have been tested empirically in terms of visibility (news article count) and user interest (search requests). Based on comparing the empirical results with the current methodological set up and the analysis procedure of Gartner's hype cycle model, we must strongly criticize the existing approach. We suggest to improve the hype cycle methodology by introducing an underlying mathematical model relation that would enable Gartner to quantitatively operationalized their analyses. Theoretical and empirically devised observations, propositions and aims for future research are elaborated throughout the paper and summarized in the last section.","note":"page: 13","number-of-pages":"1","source":"ResearchGate","title":"Scrutinizing Gartner's hype cycle approach","author":[{"family":"Steinert","given":"Martin"},{"family":"Leifer","given":"Larry"}],"issued":{"date-parts":[["2010",8,22]]}}}],"schema":"https://github.com/citation-style-language/schema/raw/master/csl-citation.json"} </w:instrText>
      </w:r>
      <w:r>
        <w:rPr>
          <w:rFonts w:ascii="Arial" w:hAnsi="Arial" w:cs="Arial"/>
        </w:rPr>
        <w:fldChar w:fldCharType="separate"/>
      </w:r>
      <w:r w:rsidRPr="00950DAD">
        <w:rPr>
          <w:rFonts w:ascii="Arial" w:hAnsi="Arial" w:cs="Arial"/>
        </w:rPr>
        <w:t>(Steinert and Leifer, 2010)</w:t>
      </w:r>
      <w:r>
        <w:rPr>
          <w:rFonts w:ascii="Arial" w:hAnsi="Arial" w:cs="Arial"/>
        </w:rPr>
        <w:fldChar w:fldCharType="end"/>
      </w:r>
      <w:r>
        <w:rPr>
          <w:rFonts w:ascii="Arial" w:hAnsi="Arial" w:cs="Arial"/>
        </w:rPr>
        <w:t xml:space="preserve"> </w:t>
      </w:r>
      <w:r w:rsidRPr="00950DAD">
        <w:rPr>
          <w:rFonts w:ascii="Arial" w:hAnsi="Arial" w:cs="Arial"/>
        </w:rPr>
        <w:t>about its claims to be scientific. Nevertheless, it is a useful notion and one that many innovation triggers tend to follow. The good news</w:t>
      </w:r>
      <w:r w:rsidR="00CF6CBC">
        <w:rPr>
          <w:rFonts w:ascii="Arial" w:hAnsi="Arial" w:cs="Arial"/>
        </w:rPr>
        <w:t>,</w:t>
      </w:r>
      <w:r w:rsidRPr="00950DAD">
        <w:rPr>
          <w:rFonts w:ascii="Arial" w:hAnsi="Arial" w:cs="Arial"/>
        </w:rPr>
        <w:t xml:space="preserve"> for those fearing the sidelining of whichever technologies one is interested in</w:t>
      </w:r>
      <w:r w:rsidR="00CF6CBC">
        <w:rPr>
          <w:rFonts w:ascii="Arial" w:hAnsi="Arial" w:cs="Arial"/>
        </w:rPr>
        <w:t>,</w:t>
      </w:r>
      <w:r w:rsidRPr="00950DAD">
        <w:rPr>
          <w:rFonts w:ascii="Arial" w:hAnsi="Arial" w:cs="Arial"/>
        </w:rPr>
        <w:t xml:space="preserve"> is that the disillusion is followed by a slope of enlightenment and a plateau of productivity.</w:t>
      </w:r>
      <w:r w:rsidR="0021304B">
        <w:rPr>
          <w:rFonts w:ascii="Arial" w:hAnsi="Arial" w:cs="Arial"/>
        </w:rPr>
        <w:t xml:space="preserve"> As one commentator put it </w:t>
      </w:r>
      <w:r w:rsidR="0021304B" w:rsidRPr="00A26365">
        <w:rPr>
          <w:rFonts w:ascii="Arial" w:hAnsi="Arial" w:cs="Arial"/>
          <w:i/>
          <w:iCs/>
        </w:rPr>
        <w:t>“we tend to overestimate the effect of a technology in the short run and underestimate the effect in the long run</w:t>
      </w:r>
      <w:proofErr w:type="gramStart"/>
      <w:r w:rsidR="0021304B" w:rsidRPr="00A26365">
        <w:rPr>
          <w:rFonts w:ascii="Arial" w:hAnsi="Arial" w:cs="Arial"/>
          <w:i/>
          <w:iCs/>
        </w:rPr>
        <w:t>.</w:t>
      </w:r>
      <w:r w:rsidR="0021304B">
        <w:rPr>
          <w:rFonts w:ascii="Arial" w:hAnsi="Arial" w:cs="Arial"/>
        </w:rPr>
        <w:t>”(</w:t>
      </w:r>
      <w:proofErr w:type="gramEnd"/>
      <w:r w:rsidR="0021304B">
        <w:rPr>
          <w:rFonts w:ascii="Arial" w:hAnsi="Arial" w:cs="Arial"/>
        </w:rPr>
        <w:t xml:space="preserve"> Amara, 2006)</w:t>
      </w:r>
      <w:r w:rsidR="00FE41D2">
        <w:rPr>
          <w:rFonts w:ascii="Arial" w:hAnsi="Arial" w:cs="Arial"/>
        </w:rPr>
        <w:t>.</w:t>
      </w:r>
    </w:p>
    <w:p w14:paraId="67FB051F" w14:textId="512D5598" w:rsidR="00FE41D2" w:rsidRDefault="00FE41D2" w:rsidP="002401ED">
      <w:pPr>
        <w:spacing w:line="360" w:lineRule="auto"/>
        <w:jc w:val="both"/>
        <w:rPr>
          <w:rFonts w:ascii="Arial" w:hAnsi="Arial" w:cs="Arial"/>
          <w:i/>
          <w:iCs/>
        </w:rPr>
      </w:pPr>
      <w:r>
        <w:rPr>
          <w:rFonts w:ascii="Arial" w:hAnsi="Arial" w:cs="Arial"/>
        </w:rPr>
        <w:t xml:space="preserve">Collaboration (formerly partnering) is another construction related phenomenon that has </w:t>
      </w:r>
      <w:proofErr w:type="gramStart"/>
      <w:r>
        <w:rPr>
          <w:rFonts w:ascii="Arial" w:hAnsi="Arial" w:cs="Arial"/>
        </w:rPr>
        <w:t>definitely suffered</w:t>
      </w:r>
      <w:proofErr w:type="gramEnd"/>
      <w:r>
        <w:rPr>
          <w:rFonts w:ascii="Arial" w:hAnsi="Arial" w:cs="Arial"/>
        </w:rPr>
        <w:t xml:space="preserve"> a Gartner cycle. The plateau of productivity stage has seemed a way off for its main proponents.</w:t>
      </w:r>
      <w:r w:rsidRPr="00316F80">
        <w:rPr>
          <w:rFonts w:ascii="Arial" w:hAnsi="Arial" w:cs="Arial"/>
        </w:rPr>
        <w:t xml:space="preserve"> </w:t>
      </w:r>
      <w:r>
        <w:rPr>
          <w:rFonts w:ascii="Arial" w:hAnsi="Arial" w:cs="Arial"/>
        </w:rPr>
        <w:t>T</w:t>
      </w:r>
      <w:r w:rsidRPr="00316F80">
        <w:rPr>
          <w:rFonts w:ascii="Arial" w:hAnsi="Arial" w:cs="Arial"/>
        </w:rPr>
        <w:t xml:space="preserve">he collaboration movement </w:t>
      </w:r>
      <w:r>
        <w:rPr>
          <w:rFonts w:ascii="Arial" w:hAnsi="Arial" w:cs="Arial"/>
        </w:rPr>
        <w:t xml:space="preserve">is said to </w:t>
      </w:r>
      <w:r w:rsidR="00BA440E">
        <w:rPr>
          <w:rFonts w:ascii="Arial" w:hAnsi="Arial" w:cs="Arial"/>
        </w:rPr>
        <w:t xml:space="preserve">be experiencing </w:t>
      </w:r>
      <w:r w:rsidRPr="00316F80">
        <w:rPr>
          <w:rFonts w:ascii="Arial" w:hAnsi="Arial" w:cs="Arial"/>
        </w:rPr>
        <w:t xml:space="preserve">a Groundhog Day </w:t>
      </w:r>
      <w:r>
        <w:rPr>
          <w:rFonts w:ascii="Arial" w:hAnsi="Arial" w:cs="Arial"/>
        </w:rPr>
        <w:fldChar w:fldCharType="begin"/>
      </w:r>
      <w:r>
        <w:rPr>
          <w:rFonts w:ascii="Arial" w:hAnsi="Arial" w:cs="Arial"/>
        </w:rPr>
        <w:instrText xml:space="preserve"> ADDIN ZOTERO_ITEM CSL_CITATION {"citationID":"bJxOMNxc","properties":{"formattedCitation":"(Mosey, 2021)","plainCitation":"(Mosey, 2021)","noteIndex":0},"citationItems":[{"id":2436,"uris":["http://zotero.org/users/10424302/items/26S89KNJ"],"itemData":{"id":2436,"type":"article-journal","container-title":"UK Cabinet Office Mudi, A (2016)‘Quantity Surveyor’s Role in Public-Private Partnership Highway Concession’, International Journal of Engineering Research &amp; Technology","issue":"2","page":"407–417","source":"Google Scholar","title":"Constructing the Gold Standard: An Independent Review of Public Sector Construction Frameworks","title-short":"Constructing the Gold Standard","volume":"5","author":[{"family":"Mosey","given":"D."}],"issued":{"date-parts":[["2021"]]}}}],"schema":"https://github.com/citation-style-language/schema/raw/master/csl-citation.json"} </w:instrText>
      </w:r>
      <w:r>
        <w:rPr>
          <w:rFonts w:ascii="Arial" w:hAnsi="Arial" w:cs="Arial"/>
        </w:rPr>
        <w:fldChar w:fldCharType="separate"/>
      </w:r>
      <w:r w:rsidRPr="007C7436">
        <w:rPr>
          <w:rFonts w:ascii="Arial" w:hAnsi="Arial" w:cs="Arial"/>
        </w:rPr>
        <w:t>(Mosey, 2021)</w:t>
      </w:r>
      <w:r>
        <w:rPr>
          <w:rFonts w:ascii="Arial" w:hAnsi="Arial" w:cs="Arial"/>
        </w:rPr>
        <w:fldChar w:fldCharType="end"/>
      </w:r>
      <w:r w:rsidRPr="00316F80">
        <w:rPr>
          <w:rFonts w:ascii="Arial" w:hAnsi="Arial" w:cs="Arial"/>
        </w:rPr>
        <w:t xml:space="preserve"> where the resistance and inertia around partnering languishes in a Bermuda Triangle of idealistic debate, cynical criticism, and unrealised good intentions. </w:t>
      </w:r>
      <w:r>
        <w:rPr>
          <w:rFonts w:ascii="Arial" w:hAnsi="Arial" w:cs="Arial"/>
        </w:rPr>
        <w:t xml:space="preserve"> </w:t>
      </w:r>
      <w:r w:rsidR="00A264C1">
        <w:rPr>
          <w:rFonts w:ascii="Arial" w:hAnsi="Arial" w:cs="Arial"/>
        </w:rPr>
        <w:t xml:space="preserve">Similar frustrations have long since been visible in the technology camp, </w:t>
      </w:r>
      <w:r w:rsidR="00A264C1" w:rsidRPr="00316F80">
        <w:rPr>
          <w:rFonts w:ascii="Arial" w:hAnsi="Arial" w:cs="Arial"/>
        </w:rPr>
        <w:t xml:space="preserve">Mark Farmer’s </w:t>
      </w:r>
      <w:r w:rsidR="00A264C1">
        <w:rPr>
          <w:rFonts w:ascii="Arial" w:hAnsi="Arial" w:cs="Arial"/>
        </w:rPr>
        <w:fldChar w:fldCharType="begin"/>
      </w:r>
      <w:r w:rsidR="00A264C1">
        <w:rPr>
          <w:rFonts w:ascii="Arial" w:hAnsi="Arial" w:cs="Arial"/>
        </w:rPr>
        <w:instrText xml:space="preserve"> ADDIN ZOTERO_ITEM CSL_CITATION {"citationID":"DQuZOcky","properties":{"formattedCitation":"(Farmer, 2016)","plainCitation":"(Farmer, 2016)","noteIndex":0},"citationItems":[{"id":318,"uris":["http://zotero.org/users/10424302/items/FIQS92TD"],"itemData":{"id":318,"type":"article-journal","container-title":"Construction Leadership Council","source":"Google Scholar","title":"The farmer review of the UK construction labour market: Modernise or die","title-short":"The farmer review of the UK construction labour market","author":[{"family":"Farmer","given":"M."}],"issued":{"date-parts":[["2016"]]}}}],"schema":"https://github.com/citation-style-language/schema/raw/master/csl-citation.json"} </w:instrText>
      </w:r>
      <w:r w:rsidR="00A264C1">
        <w:rPr>
          <w:rFonts w:ascii="Arial" w:hAnsi="Arial" w:cs="Arial"/>
        </w:rPr>
        <w:fldChar w:fldCharType="separate"/>
      </w:r>
      <w:r w:rsidR="00A264C1" w:rsidRPr="000C64BD">
        <w:rPr>
          <w:rFonts w:ascii="Arial" w:hAnsi="Arial" w:cs="Arial"/>
        </w:rPr>
        <w:t>(Farmer, 2016)</w:t>
      </w:r>
      <w:r w:rsidR="00A264C1">
        <w:rPr>
          <w:rFonts w:ascii="Arial" w:hAnsi="Arial" w:cs="Arial"/>
        </w:rPr>
        <w:fldChar w:fldCharType="end"/>
      </w:r>
      <w:r w:rsidR="00A264C1">
        <w:rPr>
          <w:rFonts w:ascii="Arial" w:hAnsi="Arial" w:cs="Arial"/>
        </w:rPr>
        <w:t xml:space="preserve"> </w:t>
      </w:r>
      <w:r w:rsidR="00552E4F">
        <w:rPr>
          <w:rFonts w:ascii="Arial" w:hAnsi="Arial" w:cs="Arial"/>
        </w:rPr>
        <w:t xml:space="preserve">exasperated </w:t>
      </w:r>
      <w:r w:rsidR="00A264C1" w:rsidRPr="00316F80">
        <w:rPr>
          <w:rFonts w:ascii="Arial" w:hAnsi="Arial" w:cs="Arial"/>
        </w:rPr>
        <w:t xml:space="preserve">refrain is </w:t>
      </w:r>
      <w:r w:rsidR="00A264C1" w:rsidRPr="00552E4F">
        <w:rPr>
          <w:rFonts w:ascii="Arial" w:hAnsi="Arial" w:cs="Arial"/>
          <w:i/>
          <w:iCs/>
        </w:rPr>
        <w:t>“modernise of die.”</w:t>
      </w:r>
    </w:p>
    <w:p w14:paraId="02ACA3D6" w14:textId="6A4A4B95" w:rsidR="00C87517" w:rsidRPr="0077659A" w:rsidRDefault="006F77B7" w:rsidP="00C87517">
      <w:pPr>
        <w:spacing w:line="360" w:lineRule="auto"/>
        <w:jc w:val="both"/>
        <w:rPr>
          <w:rFonts w:ascii="Arial" w:hAnsi="Arial" w:cs="Arial"/>
        </w:rPr>
      </w:pPr>
      <w:r w:rsidRPr="00316F80">
        <w:rPr>
          <w:rFonts w:ascii="Arial" w:hAnsi="Arial" w:cs="Arial"/>
        </w:rPr>
        <w:t xml:space="preserve">It may have been true that what </w:t>
      </w:r>
      <w:r>
        <w:rPr>
          <w:rFonts w:ascii="Arial" w:hAnsi="Arial" w:cs="Arial"/>
        </w:rPr>
        <w:t>p</w:t>
      </w:r>
      <w:r w:rsidRPr="00316F80">
        <w:rPr>
          <w:rFonts w:ascii="Arial" w:hAnsi="Arial" w:cs="Arial"/>
        </w:rPr>
        <w:t xml:space="preserve">artnering needed to succeed was </w:t>
      </w:r>
      <w:r w:rsidR="00CB5402" w:rsidRPr="00316F80">
        <w:rPr>
          <w:rFonts w:ascii="Arial" w:hAnsi="Arial" w:cs="Arial"/>
        </w:rPr>
        <w:t>B</w:t>
      </w:r>
      <w:r w:rsidR="00CB5402">
        <w:rPr>
          <w:rFonts w:ascii="Arial" w:hAnsi="Arial" w:cs="Arial"/>
        </w:rPr>
        <w:t>uilding</w:t>
      </w:r>
      <w:r>
        <w:rPr>
          <w:rFonts w:ascii="Arial" w:hAnsi="Arial" w:cs="Arial"/>
        </w:rPr>
        <w:t xml:space="preserve"> Information Modelling (BIM)</w:t>
      </w:r>
      <w:r w:rsidRPr="00316F80">
        <w:rPr>
          <w:rFonts w:ascii="Arial" w:hAnsi="Arial" w:cs="Arial"/>
        </w:rPr>
        <w:t xml:space="preserve"> (Saxon, 2013). Ten years on it may well be the case that what they both need to succeed are smart contracts.</w:t>
      </w:r>
      <w:r>
        <w:rPr>
          <w:rFonts w:ascii="Arial" w:hAnsi="Arial" w:cs="Arial"/>
        </w:rPr>
        <w:t xml:space="preserve"> A compelling case can be built when like-minded individuals working as a team can see the benefits of their collaboration in such things as instantaneous payments and reduced overheads as facilitated by smart contract adoption</w:t>
      </w:r>
      <w:r w:rsidRPr="00316F80">
        <w:rPr>
          <w:rFonts w:ascii="Arial" w:hAnsi="Arial" w:cs="Arial"/>
        </w:rPr>
        <w:t xml:space="preserve">. Technology supports collaboration and vice versa. </w:t>
      </w:r>
      <w:r w:rsidR="00A407E7">
        <w:rPr>
          <w:rFonts w:ascii="Arial" w:hAnsi="Arial" w:cs="Arial"/>
        </w:rPr>
        <w:t>However</w:t>
      </w:r>
      <w:r w:rsidR="00C87517">
        <w:rPr>
          <w:rFonts w:ascii="Arial" w:hAnsi="Arial" w:cs="Arial"/>
        </w:rPr>
        <w:t xml:space="preserve">, </w:t>
      </w:r>
      <w:r w:rsidR="00A407E7">
        <w:rPr>
          <w:rFonts w:ascii="Arial" w:hAnsi="Arial" w:cs="Arial"/>
        </w:rPr>
        <w:t>b</w:t>
      </w:r>
      <w:r>
        <w:rPr>
          <w:rFonts w:ascii="Arial" w:hAnsi="Arial" w:cs="Arial"/>
        </w:rPr>
        <w:t>oth require a statement of principles approach to ensure consensus ad idem</w:t>
      </w:r>
      <w:r w:rsidR="00CB5402">
        <w:rPr>
          <w:rFonts w:ascii="Arial" w:hAnsi="Arial" w:cs="Arial"/>
        </w:rPr>
        <w:t>.</w:t>
      </w:r>
      <w:r w:rsidR="00C87517">
        <w:rPr>
          <w:rFonts w:ascii="Arial" w:hAnsi="Arial" w:cs="Arial"/>
        </w:rPr>
        <w:t xml:space="preserve"> The primary purpose of this paper is to give guidance on </w:t>
      </w:r>
      <w:r w:rsidR="00F6422E">
        <w:rPr>
          <w:rFonts w:ascii="Arial" w:hAnsi="Arial" w:cs="Arial"/>
        </w:rPr>
        <w:t>how to identify where technology and collaboration come closest together</w:t>
      </w:r>
      <w:r w:rsidR="00E5020E">
        <w:rPr>
          <w:rFonts w:ascii="Arial" w:hAnsi="Arial" w:cs="Arial"/>
        </w:rPr>
        <w:t>. In these instances, the principles proposed will help</w:t>
      </w:r>
      <w:r w:rsidR="00F6422E">
        <w:rPr>
          <w:rFonts w:ascii="Arial" w:hAnsi="Arial" w:cs="Arial"/>
        </w:rPr>
        <w:t xml:space="preserve"> to se</w:t>
      </w:r>
      <w:r w:rsidR="00D42466">
        <w:rPr>
          <w:rFonts w:ascii="Arial" w:hAnsi="Arial" w:cs="Arial"/>
        </w:rPr>
        <w:t>lect</w:t>
      </w:r>
      <w:r w:rsidR="00F6422E">
        <w:rPr>
          <w:rFonts w:ascii="Arial" w:hAnsi="Arial" w:cs="Arial"/>
        </w:rPr>
        <w:t xml:space="preserve"> those opportunities where the pre-conditions for automation </w:t>
      </w:r>
      <w:r w:rsidR="00286727">
        <w:rPr>
          <w:rFonts w:ascii="Arial" w:hAnsi="Arial" w:cs="Arial"/>
        </w:rPr>
        <w:t xml:space="preserve">are present and are therefore </w:t>
      </w:r>
      <w:r w:rsidR="00C87517">
        <w:rPr>
          <w:rFonts w:ascii="Arial" w:hAnsi="Arial" w:cs="Arial"/>
        </w:rPr>
        <w:t>where the smart contract automation process might reasonably start.</w:t>
      </w:r>
      <w:r w:rsidR="00C87517" w:rsidRPr="0077659A">
        <w:rPr>
          <w:rFonts w:ascii="Arial" w:hAnsi="Arial" w:cs="Arial"/>
        </w:rPr>
        <w:t xml:space="preserve"> </w:t>
      </w:r>
      <w:r w:rsidR="006C4880">
        <w:rPr>
          <w:rFonts w:ascii="Arial" w:hAnsi="Arial" w:cs="Arial"/>
        </w:rPr>
        <w:t xml:space="preserve">In adopting this </w:t>
      </w:r>
      <w:proofErr w:type="gramStart"/>
      <w:r w:rsidR="006C4880">
        <w:rPr>
          <w:rFonts w:ascii="Arial" w:hAnsi="Arial" w:cs="Arial"/>
        </w:rPr>
        <w:t>approach</w:t>
      </w:r>
      <w:proofErr w:type="gramEnd"/>
      <w:r w:rsidR="006C4880">
        <w:rPr>
          <w:rFonts w:ascii="Arial" w:hAnsi="Arial" w:cs="Arial"/>
        </w:rPr>
        <w:t xml:space="preserve"> the</w:t>
      </w:r>
      <w:r w:rsidR="00C87517" w:rsidRPr="0077659A">
        <w:rPr>
          <w:rFonts w:ascii="Arial" w:hAnsi="Arial" w:cs="Arial"/>
        </w:rPr>
        <w:t xml:space="preserve"> </w:t>
      </w:r>
      <w:r w:rsidR="00C87517">
        <w:rPr>
          <w:rFonts w:ascii="Arial" w:hAnsi="Arial" w:cs="Arial"/>
        </w:rPr>
        <w:t xml:space="preserve">smart contract </w:t>
      </w:r>
      <w:r w:rsidR="00C87517" w:rsidRPr="0077659A">
        <w:rPr>
          <w:rFonts w:ascii="Arial" w:hAnsi="Arial" w:cs="Arial"/>
        </w:rPr>
        <w:t>principle</w:t>
      </w:r>
      <w:r w:rsidR="00C87517">
        <w:rPr>
          <w:rFonts w:ascii="Arial" w:hAnsi="Arial" w:cs="Arial"/>
        </w:rPr>
        <w:t>s</w:t>
      </w:r>
      <w:r w:rsidR="00C87517" w:rsidRPr="0077659A">
        <w:rPr>
          <w:rFonts w:ascii="Arial" w:hAnsi="Arial" w:cs="Arial"/>
        </w:rPr>
        <w:t xml:space="preserve"> </w:t>
      </w:r>
      <w:r w:rsidR="006C4880">
        <w:rPr>
          <w:rFonts w:ascii="Arial" w:hAnsi="Arial" w:cs="Arial"/>
        </w:rPr>
        <w:t>aim</w:t>
      </w:r>
      <w:r w:rsidR="001A3A04">
        <w:rPr>
          <w:rFonts w:ascii="Arial" w:hAnsi="Arial" w:cs="Arial"/>
        </w:rPr>
        <w:t xml:space="preserve"> to ensure </w:t>
      </w:r>
      <w:r w:rsidR="00C87517" w:rsidRPr="0077659A">
        <w:rPr>
          <w:rFonts w:ascii="Arial" w:hAnsi="Arial" w:cs="Arial"/>
        </w:rPr>
        <w:t xml:space="preserve">that smart contracts remain a tool for the sort of positive and progressive change </w:t>
      </w:r>
      <w:r w:rsidR="00C87517">
        <w:rPr>
          <w:rFonts w:ascii="Arial" w:hAnsi="Arial" w:cs="Arial"/>
        </w:rPr>
        <w:t>the industry is crying out for.</w:t>
      </w:r>
    </w:p>
    <w:p w14:paraId="3CA2DB5F" w14:textId="3415F759" w:rsidR="006F77B7" w:rsidRDefault="006F77B7" w:rsidP="002401ED">
      <w:pPr>
        <w:spacing w:line="360" w:lineRule="auto"/>
        <w:jc w:val="both"/>
        <w:rPr>
          <w:rFonts w:ascii="Arial" w:hAnsi="Arial" w:cs="Arial"/>
        </w:rPr>
      </w:pPr>
    </w:p>
    <w:p w14:paraId="7307B001" w14:textId="77777777" w:rsidR="001A3A04" w:rsidRDefault="001A3A04" w:rsidP="002401ED">
      <w:pPr>
        <w:spacing w:line="360" w:lineRule="auto"/>
        <w:jc w:val="both"/>
        <w:rPr>
          <w:rFonts w:ascii="Arial" w:hAnsi="Arial" w:cs="Arial"/>
        </w:rPr>
      </w:pPr>
    </w:p>
    <w:p w14:paraId="2DE5E8B0" w14:textId="77777777" w:rsidR="001A3A04" w:rsidRPr="006F77B7" w:rsidRDefault="001A3A04" w:rsidP="002401ED">
      <w:pPr>
        <w:spacing w:line="360" w:lineRule="auto"/>
        <w:jc w:val="both"/>
        <w:rPr>
          <w:rFonts w:ascii="Arial" w:hAnsi="Arial" w:cs="Arial"/>
        </w:rPr>
      </w:pPr>
    </w:p>
    <w:p w14:paraId="12C2661E" w14:textId="24B10A72" w:rsidR="0096237B" w:rsidRPr="00901BF3" w:rsidRDefault="0015384B" w:rsidP="00901BF3">
      <w:pPr>
        <w:pStyle w:val="NoSpacing"/>
        <w:rPr>
          <w:rFonts w:ascii="Arial" w:hAnsi="Arial" w:cs="Arial"/>
          <w:sz w:val="24"/>
          <w:szCs w:val="24"/>
        </w:rPr>
      </w:pPr>
      <w:r w:rsidRPr="00901BF3">
        <w:rPr>
          <w:rFonts w:ascii="Arial" w:hAnsi="Arial" w:cs="Arial"/>
          <w:sz w:val="24"/>
          <w:szCs w:val="24"/>
        </w:rPr>
        <w:t>Literature Review</w:t>
      </w:r>
    </w:p>
    <w:p w14:paraId="54D93E51" w14:textId="77777777" w:rsidR="00AD024B" w:rsidRDefault="00AD024B" w:rsidP="002401ED">
      <w:pPr>
        <w:spacing w:line="360" w:lineRule="auto"/>
        <w:jc w:val="both"/>
        <w:rPr>
          <w:rFonts w:ascii="Arial" w:hAnsi="Arial" w:cs="Arial"/>
        </w:rPr>
      </w:pPr>
    </w:p>
    <w:p w14:paraId="6BA3DECA" w14:textId="7E507D4D" w:rsidR="00F22ED8" w:rsidRPr="00F22ED8" w:rsidRDefault="005F69A0" w:rsidP="002401ED">
      <w:pPr>
        <w:spacing w:line="360" w:lineRule="auto"/>
        <w:jc w:val="both"/>
        <w:rPr>
          <w:rFonts w:ascii="Arial" w:hAnsi="Arial" w:cs="Arial"/>
        </w:rPr>
      </w:pPr>
      <w:r>
        <w:rPr>
          <w:rFonts w:ascii="Arial" w:hAnsi="Arial" w:cs="Arial"/>
        </w:rPr>
        <w:t>S</w:t>
      </w:r>
      <w:r w:rsidRPr="00316F80">
        <w:rPr>
          <w:rFonts w:ascii="Arial" w:hAnsi="Arial" w:cs="Arial"/>
        </w:rPr>
        <w:t>mart contract</w:t>
      </w:r>
      <w:r w:rsidR="004968AF">
        <w:rPr>
          <w:rFonts w:ascii="Arial" w:hAnsi="Arial" w:cs="Arial"/>
        </w:rPr>
        <w:t>s</w:t>
      </w:r>
      <w:r>
        <w:rPr>
          <w:rFonts w:ascii="Arial" w:hAnsi="Arial" w:cs="Arial"/>
        </w:rPr>
        <w:t xml:space="preserve"> have great potential for </w:t>
      </w:r>
      <w:r w:rsidRPr="00316F80">
        <w:rPr>
          <w:rFonts w:ascii="Arial" w:hAnsi="Arial" w:cs="Arial"/>
        </w:rPr>
        <w:t>fix</w:t>
      </w:r>
      <w:r>
        <w:rPr>
          <w:rFonts w:ascii="Arial" w:hAnsi="Arial" w:cs="Arial"/>
        </w:rPr>
        <w:t xml:space="preserve">ing the </w:t>
      </w:r>
      <w:r w:rsidRPr="00316F80">
        <w:rPr>
          <w:rFonts w:ascii="Arial" w:hAnsi="Arial" w:cs="Arial"/>
        </w:rPr>
        <w:t xml:space="preserve">causes of poor </w:t>
      </w:r>
      <w:r w:rsidR="00AD024B">
        <w:rPr>
          <w:rFonts w:ascii="Arial" w:hAnsi="Arial" w:cs="Arial"/>
        </w:rPr>
        <w:t>c</w:t>
      </w:r>
      <w:r w:rsidRPr="00316F80">
        <w:rPr>
          <w:rFonts w:ascii="Arial" w:hAnsi="Arial" w:cs="Arial"/>
        </w:rPr>
        <w:t xml:space="preserve">onstruction </w:t>
      </w:r>
      <w:r w:rsidR="00AD024B">
        <w:rPr>
          <w:rFonts w:ascii="Arial" w:hAnsi="Arial" w:cs="Arial"/>
        </w:rPr>
        <w:t>c</w:t>
      </w:r>
      <w:r w:rsidRPr="00316F80">
        <w:rPr>
          <w:rFonts w:ascii="Arial" w:hAnsi="Arial" w:cs="Arial"/>
        </w:rPr>
        <w:t xml:space="preserve">ontract </w:t>
      </w:r>
      <w:r w:rsidR="00AD024B">
        <w:rPr>
          <w:rFonts w:ascii="Arial" w:hAnsi="Arial" w:cs="Arial"/>
        </w:rPr>
        <w:t>a</w:t>
      </w:r>
      <w:r w:rsidRPr="00316F80">
        <w:rPr>
          <w:rFonts w:ascii="Arial" w:hAnsi="Arial" w:cs="Arial"/>
        </w:rPr>
        <w:t>dministration   and through that can seek to eliminate some of the claims and disputes that plague the industry</w:t>
      </w:r>
      <w:r w:rsidR="006738AF">
        <w:rPr>
          <w:rFonts w:ascii="Arial" w:hAnsi="Arial" w:cs="Arial"/>
        </w:rPr>
        <w:t xml:space="preserve">. </w:t>
      </w:r>
      <w:r w:rsidRPr="00F22ED8">
        <w:rPr>
          <w:rFonts w:ascii="Arial" w:hAnsi="Arial" w:cs="Arial"/>
        </w:rPr>
        <w:t xml:space="preserve"> </w:t>
      </w:r>
      <w:r w:rsidR="005066C0" w:rsidRPr="0077659A">
        <w:rPr>
          <w:rFonts w:ascii="Arial" w:hAnsi="Arial" w:cs="Arial"/>
        </w:rPr>
        <w:t xml:space="preserve">A smart contract is the name given to any attempt to automate contract administration considering events encountered. </w:t>
      </w:r>
      <w:r w:rsidR="005E0A8F">
        <w:rPr>
          <w:rFonts w:ascii="Arial" w:hAnsi="Arial" w:cs="Arial"/>
        </w:rPr>
        <w:t xml:space="preserve"> </w:t>
      </w:r>
      <w:r w:rsidR="00F22ED8" w:rsidRPr="00F22ED8">
        <w:rPr>
          <w:rFonts w:ascii="Arial" w:hAnsi="Arial" w:cs="Arial"/>
        </w:rPr>
        <w:t xml:space="preserve">A smart contract is a recording of a legal agreement between parties written in a language that is both human-intelligible and machine-readable, whose text incorporates an algorithm which automates some or all the performance of the agreement </w:t>
      </w:r>
      <w:r w:rsidR="00F22ED8">
        <w:rPr>
          <w:rFonts w:ascii="Arial" w:hAnsi="Arial" w:cs="Arial"/>
        </w:rPr>
        <w:fldChar w:fldCharType="begin"/>
      </w:r>
      <w:r w:rsidR="00F22ED8">
        <w:rPr>
          <w:rFonts w:ascii="Arial" w:hAnsi="Arial" w:cs="Arial"/>
        </w:rPr>
        <w:instrText xml:space="preserve"> ADDIN ZOTERO_ITEM CSL_CITATION {"citationID":"6aiHyCwe","properties":{"formattedCitation":"(McNamara and Sepasgozar, 2021)","plainCitation":"(McNamara and Sepasgozar, 2021)","noteIndex":0},"citationItems":[{"id":195,"uris":["http://zotero.org/users/10424302/items/Q7Y634NB"],"itemData":{"id":195,"type":"article-journal","container-title":"Automation in construction","note":"publisher: Elsevier","page":"103452","source":"Google Scholar","title":"Intelligent contract adoption in the construction industry: Concept development","title-short":"Intelligent contract adoption in the construction industry","volume":"122","author":[{"family":"McNamara","given":"Alan J."},{"family":"Sepasgozar","given":"Samad ME"}],"issued":{"date-parts":[["2021"]]}}}],"schema":"https://github.com/citation-style-language/schema/raw/master/csl-citation.json"} </w:instrText>
      </w:r>
      <w:r w:rsidR="00F22ED8">
        <w:rPr>
          <w:rFonts w:ascii="Arial" w:hAnsi="Arial" w:cs="Arial"/>
        </w:rPr>
        <w:fldChar w:fldCharType="separate"/>
      </w:r>
      <w:r w:rsidR="00F22ED8" w:rsidRPr="00F22ED8">
        <w:rPr>
          <w:rFonts w:ascii="Arial" w:hAnsi="Arial" w:cs="Arial"/>
        </w:rPr>
        <w:t>(McNamara and Sepasgozar, 2021)</w:t>
      </w:r>
      <w:r w:rsidR="00F22ED8">
        <w:rPr>
          <w:rFonts w:ascii="Arial" w:hAnsi="Arial" w:cs="Arial"/>
        </w:rPr>
        <w:fldChar w:fldCharType="end"/>
      </w:r>
      <w:r w:rsidR="00F22ED8" w:rsidRPr="00F22ED8">
        <w:rPr>
          <w:rFonts w:ascii="Arial" w:hAnsi="Arial" w:cs="Arial"/>
        </w:rPr>
        <w:t>. For example, an event occurs – an expiration date is reached, and the contract executes the protocols that have been coded. One advantage is there is little need for intermediaries.</w:t>
      </w:r>
    </w:p>
    <w:p w14:paraId="1B5DE3AC" w14:textId="5DB60197" w:rsidR="00316F80" w:rsidRPr="00316F80" w:rsidRDefault="00316F80" w:rsidP="002401ED">
      <w:pPr>
        <w:spacing w:line="360" w:lineRule="auto"/>
        <w:jc w:val="both"/>
        <w:rPr>
          <w:rFonts w:ascii="Arial" w:hAnsi="Arial" w:cs="Arial"/>
        </w:rPr>
      </w:pPr>
      <w:r w:rsidRPr="00316F80">
        <w:rPr>
          <w:rFonts w:ascii="Arial" w:hAnsi="Arial" w:cs="Arial"/>
        </w:rPr>
        <w:t>Two separate phenomena appear realisable in the context of smart contracts. It may be a case of either/or in their development or a hybrid that may eventually proliferate. There is the</w:t>
      </w:r>
      <w:r w:rsidR="005276B7">
        <w:rPr>
          <w:rFonts w:ascii="Arial" w:hAnsi="Arial" w:cs="Arial"/>
        </w:rPr>
        <w:t xml:space="preserve"> simple transaction</w:t>
      </w:r>
      <w:r w:rsidRPr="00316F80">
        <w:rPr>
          <w:rFonts w:ascii="Arial" w:hAnsi="Arial" w:cs="Arial"/>
        </w:rPr>
        <w:t xml:space="preserve"> type of smart contract which was the original notion developed by the founder of smart contracts </w:t>
      </w:r>
      <w:r>
        <w:rPr>
          <w:rFonts w:ascii="Arial" w:hAnsi="Arial" w:cs="Arial"/>
        </w:rPr>
        <w:fldChar w:fldCharType="begin"/>
      </w:r>
      <w:r>
        <w:rPr>
          <w:rFonts w:ascii="Arial" w:hAnsi="Arial" w:cs="Arial"/>
        </w:rPr>
        <w:instrText xml:space="preserve"> ADDIN ZOTERO_ITEM CSL_CITATION {"citationID":"NjSM5heg","properties":{"formattedCitation":"(Szabo, 1997)","plainCitation":"(Szabo, 1997)","noteIndex":0},"citationItems":[{"id":344,"uris":["http://zotero.org/users/10424302/items/55ZAEBAH"],"itemData":{"id":344,"type":"article-journal","container-title":"First Monday","DOI":"10.5210/FM.V2I9.548","title":"Formalizing and Securing Relationships on Public Networks","author":[{"family":"Szabo","given":"Nick"}],"issued":{"date-parts":[["1997"]]}}}],"schema":"https://github.com/citation-style-language/schema/raw/master/csl-citation.json"} </w:instrText>
      </w:r>
      <w:r>
        <w:rPr>
          <w:rFonts w:ascii="Arial" w:hAnsi="Arial" w:cs="Arial"/>
        </w:rPr>
        <w:fldChar w:fldCharType="separate"/>
      </w:r>
      <w:r w:rsidRPr="00316F80">
        <w:rPr>
          <w:rFonts w:ascii="Arial" w:hAnsi="Arial" w:cs="Arial"/>
        </w:rPr>
        <w:t>(Szabo, 1997)</w:t>
      </w:r>
      <w:r>
        <w:rPr>
          <w:rFonts w:ascii="Arial" w:hAnsi="Arial" w:cs="Arial"/>
        </w:rPr>
        <w:fldChar w:fldCharType="end"/>
      </w:r>
      <w:r w:rsidRPr="00316F80">
        <w:rPr>
          <w:rFonts w:ascii="Arial" w:hAnsi="Arial" w:cs="Arial"/>
        </w:rPr>
        <w:t>. The transactional swap</w:t>
      </w:r>
      <w:r w:rsidR="00356215">
        <w:rPr>
          <w:rFonts w:ascii="Arial" w:hAnsi="Arial" w:cs="Arial"/>
        </w:rPr>
        <w:t xml:space="preserve"> of goods for money</w:t>
      </w:r>
      <w:r w:rsidRPr="00316F80">
        <w:rPr>
          <w:rFonts w:ascii="Arial" w:hAnsi="Arial" w:cs="Arial"/>
        </w:rPr>
        <w:t xml:space="preserve"> represents a completed contract. The project bank account is another, more sophisticated version of this where the supply side agree their relevant shares from the currency deposited</w:t>
      </w:r>
      <w:r w:rsidR="00F5595E">
        <w:rPr>
          <w:rFonts w:ascii="Arial" w:hAnsi="Arial" w:cs="Arial"/>
        </w:rPr>
        <w:t xml:space="preserve"> by the client</w:t>
      </w:r>
      <w:r w:rsidRPr="00316F80">
        <w:rPr>
          <w:rFonts w:ascii="Arial" w:hAnsi="Arial" w:cs="Arial"/>
        </w:rPr>
        <w:t xml:space="preserve"> in the bank account and agree to unlock the box and make the money flow to each other. The smart contract is the same idea without the box and without the currency and permissions – th</w:t>
      </w:r>
      <w:r w:rsidR="00A26365">
        <w:rPr>
          <w:rFonts w:ascii="Arial" w:hAnsi="Arial" w:cs="Arial"/>
        </w:rPr>
        <w:t>ey can all</w:t>
      </w:r>
      <w:r w:rsidRPr="00316F80">
        <w:rPr>
          <w:rFonts w:ascii="Arial" w:hAnsi="Arial" w:cs="Arial"/>
        </w:rPr>
        <w:t xml:space="preserve"> be automated to an extent</w:t>
      </w:r>
      <w:r w:rsidR="00A26365">
        <w:rPr>
          <w:rFonts w:ascii="Arial" w:hAnsi="Arial" w:cs="Arial"/>
        </w:rPr>
        <w:t xml:space="preserve"> </w:t>
      </w:r>
      <w:r>
        <w:rPr>
          <w:rFonts w:ascii="Arial" w:hAnsi="Arial" w:cs="Arial"/>
        </w:rPr>
        <w:fldChar w:fldCharType="begin"/>
      </w:r>
      <w:r>
        <w:rPr>
          <w:rFonts w:ascii="Arial" w:hAnsi="Arial" w:cs="Arial"/>
        </w:rPr>
        <w:instrText xml:space="preserve"> ADDIN ZOTERO_ITEM CSL_CITATION {"citationID":"h1P8S62K","properties":{"formattedCitation":"(Al Khalil {\\i{}et al.}, 2017)","plainCitation":"(Al Khalil et al., 2017)","noteIndex":0},"citationItems":[{"id":2,"uris":["http://zotero.org/users/10424302/items/N2JXNW7F"],"itemData":{"id":2,"type":"chapter","abstract":"Distributed ledger technologies are rising in popularity, mainly for the host of financial applications they potentially enable, through smart contracts. Several implementations of distributed ledgers have been proposed, and different languages for the development of smart contracts have been suggested. A great deal of attention is given to the practice of development, i.e. programming, of smart contracts. In this position paper, we argue that more attention should be given to the “traditional developers” of contracts, namely the lawyers, and we propose a list of requirements for a human and machine-readable contract authoring language, friendly to lawyers, serving as a common (and a specification) language, for programmers, and the parties to a contract.","container-title":"Financial Cryptography and Data Security","note":"DOI: 10.1007/978-3-319-70278-0_32","page":"510–519","publisher":"Springer International Publishing","title":"Trust in Smart Contracts is a Process, As Well","URL":"http://dx.doi.org/10.1007/978-3-319-70278-0_32","author":[{"family":"Al Khalil","given":"Firas"},{"family":"Butler","given":"Tom"},{"family":"O’Brien","given":"Leona"},{"family":"Ceci","given":"Marcello"}],"issued":{"date-parts":[["2017"]]}}}],"schema":"https://github.com/citation-style-language/schema/raw/master/csl-citation.json"} </w:instrText>
      </w:r>
      <w:r>
        <w:rPr>
          <w:rFonts w:ascii="Arial" w:hAnsi="Arial" w:cs="Arial"/>
        </w:rPr>
        <w:fldChar w:fldCharType="separate"/>
      </w:r>
      <w:r w:rsidRPr="00316F80">
        <w:rPr>
          <w:rFonts w:ascii="Arial" w:hAnsi="Arial" w:cs="Arial"/>
          <w:kern w:val="0"/>
          <w:szCs w:val="24"/>
        </w:rPr>
        <w:t xml:space="preserve">(Al Khalil </w:t>
      </w:r>
      <w:r w:rsidRPr="00316F80">
        <w:rPr>
          <w:rFonts w:ascii="Arial" w:hAnsi="Arial" w:cs="Arial"/>
          <w:i/>
          <w:iCs/>
          <w:kern w:val="0"/>
          <w:szCs w:val="24"/>
        </w:rPr>
        <w:t>et al.</w:t>
      </w:r>
      <w:r w:rsidRPr="00316F80">
        <w:rPr>
          <w:rFonts w:ascii="Arial" w:hAnsi="Arial" w:cs="Arial"/>
          <w:kern w:val="0"/>
          <w:szCs w:val="24"/>
        </w:rPr>
        <w:t>, 2017)</w:t>
      </w:r>
      <w:r>
        <w:rPr>
          <w:rFonts w:ascii="Arial" w:hAnsi="Arial" w:cs="Arial"/>
        </w:rPr>
        <w:fldChar w:fldCharType="end"/>
      </w:r>
      <w:r w:rsidRPr="00316F80">
        <w:rPr>
          <w:rFonts w:ascii="Arial" w:hAnsi="Arial" w:cs="Arial"/>
        </w:rPr>
        <w:t xml:space="preserve">. </w:t>
      </w:r>
      <w:r w:rsidR="009331BE">
        <w:rPr>
          <w:rFonts w:ascii="Arial" w:hAnsi="Arial" w:cs="Arial"/>
        </w:rPr>
        <w:t>For the foreseeable future, t</w:t>
      </w:r>
      <w:r w:rsidRPr="00316F80">
        <w:rPr>
          <w:rFonts w:ascii="Arial" w:hAnsi="Arial" w:cs="Arial"/>
        </w:rPr>
        <w:t xml:space="preserve">he authorisation for releasing </w:t>
      </w:r>
      <w:r w:rsidR="00A26365">
        <w:rPr>
          <w:rFonts w:ascii="Arial" w:hAnsi="Arial" w:cs="Arial"/>
        </w:rPr>
        <w:t>substantial sums</w:t>
      </w:r>
      <w:r w:rsidRPr="00316F80">
        <w:rPr>
          <w:rFonts w:ascii="Arial" w:hAnsi="Arial" w:cs="Arial"/>
        </w:rPr>
        <w:t xml:space="preserve"> of money is likely to remain a human action. This is consistent with the idea that the future of the professions</w:t>
      </w:r>
      <w:r w:rsidR="009331BE">
        <w:rPr>
          <w:rFonts w:ascii="Arial" w:hAnsi="Arial" w:cs="Arial"/>
        </w:rPr>
        <w:t xml:space="preserve"> (Susskind and Susskind, 2022)</w:t>
      </w:r>
      <w:r w:rsidRPr="00316F80">
        <w:rPr>
          <w:rFonts w:ascii="Arial" w:hAnsi="Arial" w:cs="Arial"/>
        </w:rPr>
        <w:t xml:space="preserve"> is </w:t>
      </w:r>
      <w:r w:rsidR="00F5595E">
        <w:rPr>
          <w:rFonts w:ascii="Arial" w:hAnsi="Arial" w:cs="Arial"/>
        </w:rPr>
        <w:t xml:space="preserve">for </w:t>
      </w:r>
      <w:proofErr w:type="gramStart"/>
      <w:r w:rsidR="00F5595E">
        <w:rPr>
          <w:rFonts w:ascii="Arial" w:hAnsi="Arial" w:cs="Arial"/>
        </w:rPr>
        <w:t>human’s</w:t>
      </w:r>
      <w:proofErr w:type="gramEnd"/>
      <w:r w:rsidR="00F5595E">
        <w:rPr>
          <w:rFonts w:ascii="Arial" w:hAnsi="Arial" w:cs="Arial"/>
        </w:rPr>
        <w:t xml:space="preserve"> to </w:t>
      </w:r>
      <w:r w:rsidRPr="00316F80">
        <w:rPr>
          <w:rFonts w:ascii="Arial" w:hAnsi="Arial" w:cs="Arial"/>
        </w:rPr>
        <w:t xml:space="preserve">retain those elements of their role where they continue to add value – </w:t>
      </w:r>
      <w:r w:rsidR="009331BE">
        <w:rPr>
          <w:rFonts w:ascii="Arial" w:hAnsi="Arial" w:cs="Arial"/>
        </w:rPr>
        <w:t xml:space="preserve">in the case of construction smart contracts this may amount to </w:t>
      </w:r>
      <w:r w:rsidRPr="00316F80">
        <w:rPr>
          <w:rFonts w:ascii="Arial" w:hAnsi="Arial" w:cs="Arial"/>
        </w:rPr>
        <w:t>auditing the data and performing the oracle role.</w:t>
      </w:r>
      <w:r w:rsidR="00F93D3E">
        <w:rPr>
          <w:rFonts w:ascii="Arial" w:hAnsi="Arial" w:cs="Arial"/>
        </w:rPr>
        <w:t xml:space="preserve"> Put another way, we are still going to want humans to sign the big cheques. </w:t>
      </w:r>
    </w:p>
    <w:p w14:paraId="7BF3F78D" w14:textId="22EF7285" w:rsidR="00316F80" w:rsidRPr="00316F80" w:rsidRDefault="00316F80" w:rsidP="002401ED">
      <w:pPr>
        <w:spacing w:line="360" w:lineRule="auto"/>
        <w:jc w:val="both"/>
        <w:rPr>
          <w:rFonts w:ascii="Arial" w:hAnsi="Arial" w:cs="Arial"/>
        </w:rPr>
      </w:pPr>
      <w:r w:rsidRPr="00316F80">
        <w:rPr>
          <w:rFonts w:ascii="Arial" w:hAnsi="Arial" w:cs="Arial"/>
        </w:rPr>
        <w:t>The second p</w:t>
      </w:r>
      <w:r w:rsidR="009331BE">
        <w:rPr>
          <w:rFonts w:ascii="Arial" w:hAnsi="Arial" w:cs="Arial"/>
        </w:rPr>
        <w:t xml:space="preserve">ossibility for </w:t>
      </w:r>
      <w:r w:rsidRPr="00316F80">
        <w:rPr>
          <w:rFonts w:ascii="Arial" w:hAnsi="Arial" w:cs="Arial"/>
        </w:rPr>
        <w:t xml:space="preserve">smart contracts </w:t>
      </w:r>
      <w:r w:rsidR="003D6D8F" w:rsidRPr="00316F80">
        <w:rPr>
          <w:rFonts w:ascii="Arial" w:hAnsi="Arial" w:cs="Arial"/>
        </w:rPr>
        <w:t>is</w:t>
      </w:r>
      <w:r w:rsidRPr="00316F80">
        <w:rPr>
          <w:rFonts w:ascii="Arial" w:hAnsi="Arial" w:cs="Arial"/>
        </w:rPr>
        <w:t xml:space="preserve"> the contract which is smart in the true sense. Settling for the simple transaction-based solution or the focus on readable language might be </w:t>
      </w:r>
      <w:r w:rsidR="009331BE">
        <w:rPr>
          <w:rFonts w:ascii="Arial" w:hAnsi="Arial" w:cs="Arial"/>
        </w:rPr>
        <w:t xml:space="preserve">to </w:t>
      </w:r>
      <w:r w:rsidRPr="00316F80">
        <w:rPr>
          <w:rFonts w:ascii="Arial" w:hAnsi="Arial" w:cs="Arial"/>
        </w:rPr>
        <w:t xml:space="preserve">hold back the machine learning aspects and the ability to innovate beyond the limited terms of references mentioned above. This other definition of a smart contract involves the facility to detect and resolve competing contract clauses. The example in the case of </w:t>
      </w:r>
      <w:r w:rsidR="00255542" w:rsidRPr="00255542">
        <w:rPr>
          <w:rFonts w:ascii="Arial" w:hAnsi="Arial" w:cs="Arial"/>
          <w:i/>
          <w:iCs/>
        </w:rPr>
        <w:t xml:space="preserve">MT </w:t>
      </w:r>
      <w:proofErr w:type="spellStart"/>
      <w:r w:rsidR="00255542" w:rsidRPr="00255542">
        <w:rPr>
          <w:rFonts w:ascii="Arial" w:hAnsi="Arial" w:cs="Arial"/>
          <w:i/>
          <w:iCs/>
        </w:rPr>
        <w:t>Hojgaard</w:t>
      </w:r>
      <w:proofErr w:type="spellEnd"/>
      <w:r w:rsidR="00255542" w:rsidRPr="00255542">
        <w:rPr>
          <w:rFonts w:ascii="Arial" w:hAnsi="Arial" w:cs="Arial"/>
          <w:i/>
          <w:iCs/>
        </w:rPr>
        <w:t xml:space="preserve"> A/S v </w:t>
      </w:r>
      <w:proofErr w:type="gramStart"/>
      <w:r w:rsidR="00255542" w:rsidRPr="00255542">
        <w:rPr>
          <w:rFonts w:ascii="Arial" w:hAnsi="Arial" w:cs="Arial"/>
          <w:i/>
          <w:iCs/>
        </w:rPr>
        <w:t>E.ON</w:t>
      </w:r>
      <w:proofErr w:type="gramEnd"/>
      <w:r w:rsidR="009331BE">
        <w:rPr>
          <w:rStyle w:val="FootnoteReference"/>
          <w:rFonts w:ascii="Arial" w:hAnsi="Arial" w:cs="Arial"/>
          <w:i/>
          <w:iCs/>
        </w:rPr>
        <w:footnoteReference w:id="1"/>
      </w:r>
      <w:r w:rsidR="00255542">
        <w:rPr>
          <w:rFonts w:ascii="Arial" w:hAnsi="Arial" w:cs="Arial"/>
        </w:rPr>
        <w:t xml:space="preserve"> </w:t>
      </w:r>
      <w:r w:rsidRPr="00316F80">
        <w:rPr>
          <w:rFonts w:ascii="Arial" w:hAnsi="Arial" w:cs="Arial"/>
        </w:rPr>
        <w:t xml:space="preserve">where the Judge deemed the contract one of “multiple authorship” where each set of lawyers were adjudged to have been more interested in incorporating their one-sided terms rather than producing a contract to capture the bargain. The resulting mess, and judicial </w:t>
      </w:r>
      <w:r w:rsidRPr="00316F80">
        <w:rPr>
          <w:rFonts w:ascii="Arial" w:hAnsi="Arial" w:cs="Arial"/>
        </w:rPr>
        <w:lastRenderedPageBreak/>
        <w:t xml:space="preserve">exasperation, might may have been avoided had a smart contract writing programme been used to highlight and remove the uncertainties. On the other hand, the resulting uncertainties might have been an acceptable trade-off against the value of arguing down one side or other of the drafting argument. </w:t>
      </w:r>
    </w:p>
    <w:p w14:paraId="596CD3A8" w14:textId="13CD2693" w:rsidR="00316F80" w:rsidRDefault="00316F80" w:rsidP="002401ED">
      <w:pPr>
        <w:spacing w:line="360" w:lineRule="auto"/>
        <w:jc w:val="both"/>
        <w:rPr>
          <w:rFonts w:ascii="Arial" w:hAnsi="Arial" w:cs="Arial"/>
        </w:rPr>
      </w:pPr>
      <w:r w:rsidRPr="00316F80">
        <w:rPr>
          <w:rFonts w:ascii="Arial" w:hAnsi="Arial" w:cs="Arial"/>
        </w:rPr>
        <w:t xml:space="preserve">In part this “smart” approach would be to recognise the importance of </w:t>
      </w:r>
      <w:r w:rsidR="009331BE">
        <w:rPr>
          <w:rFonts w:ascii="Arial" w:hAnsi="Arial" w:cs="Arial"/>
        </w:rPr>
        <w:t xml:space="preserve">the </w:t>
      </w:r>
      <w:r w:rsidRPr="00316F80">
        <w:rPr>
          <w:rFonts w:ascii="Arial" w:hAnsi="Arial" w:cs="Arial"/>
        </w:rPr>
        <w:t>BIM clash detection approach and apply the logic more widely</w:t>
      </w:r>
      <w:r w:rsidR="00255542">
        <w:rPr>
          <w:rFonts w:ascii="Arial" w:hAnsi="Arial" w:cs="Arial"/>
        </w:rPr>
        <w:t xml:space="preserve"> </w:t>
      </w:r>
      <w:r w:rsidR="00255542">
        <w:rPr>
          <w:rFonts w:ascii="Arial" w:hAnsi="Arial" w:cs="Arial"/>
        </w:rPr>
        <w:fldChar w:fldCharType="begin"/>
      </w:r>
      <w:r w:rsidR="00255542">
        <w:rPr>
          <w:rFonts w:ascii="Arial" w:hAnsi="Arial" w:cs="Arial"/>
        </w:rPr>
        <w:instrText xml:space="preserve"> ADDIN ZOTERO_ITEM CSL_CITATION {"citationID":"kG2Dr3Y7","properties":{"formattedCitation":"(Sonmez {\\i{}et al.}, 2022)","plainCitation":"(Sonmez et al., 2022)","noteIndex":0},"citationItems":[{"id":1895,"uris":["http://zotero.org/users/10424302/items/WNGX3BIH"],"itemData":{"id":1895,"type":"article-journal","abstract":"In recent years few blockchain based progress payment methods have been proposed to improve the traditional payment process for construction projects. The blockchain based methods require the off-chain real world information to be connected to the blockchain which could be challenging for construction projects. This paper presents a novel building information modeling (BIM) integrated smart contract progress payment administration system, in which as-constructed BIM is used to link the real world with the blockchain. Results of a survey of construction professionals revealed that the proposed system has a significant potential for improving the traditional payment procedure by accelerating the process and by making the progress payments less prone to disputes, especially for lump sum projects. The results also indicate the potential of future research on semi-autonomous BIM integrated smart contract systems to accelerate the adoption of the BIM and smart contract technologies for progress payment administration within the construction sector.","container-title":"Automation in Construction","DOI":"10.1016/j.autcon.2022.104294","ISSN":"0926-5805","journalAbbreviation":"Automation in Construction","language":"en","page":"104294","source":"ScienceDirect","title":"BIM integrated smart contract for construction project progress payment administration","volume":"139","author":[{"family":"Sonmez","given":"Rifat"},{"family":"Ahmadisheykhsarmast","given":"Salar"},{"family":"Güngör","given":"Aslı Akçamete"}],"issued":{"date-parts":[["2022",7,1]]}}}],"schema":"https://github.com/citation-style-language/schema/raw/master/csl-citation.json"} </w:instrText>
      </w:r>
      <w:r w:rsidR="00255542">
        <w:rPr>
          <w:rFonts w:ascii="Arial" w:hAnsi="Arial" w:cs="Arial"/>
        </w:rPr>
        <w:fldChar w:fldCharType="separate"/>
      </w:r>
      <w:r w:rsidR="00255542" w:rsidRPr="00255542">
        <w:rPr>
          <w:rFonts w:ascii="Arial" w:hAnsi="Arial" w:cs="Arial"/>
          <w:kern w:val="0"/>
          <w:szCs w:val="24"/>
        </w:rPr>
        <w:t xml:space="preserve">(Sonmez </w:t>
      </w:r>
      <w:r w:rsidR="00255542" w:rsidRPr="00255542">
        <w:rPr>
          <w:rFonts w:ascii="Arial" w:hAnsi="Arial" w:cs="Arial"/>
          <w:i/>
          <w:iCs/>
          <w:kern w:val="0"/>
          <w:szCs w:val="24"/>
        </w:rPr>
        <w:t>et al.</w:t>
      </w:r>
      <w:r w:rsidR="00255542" w:rsidRPr="00255542">
        <w:rPr>
          <w:rFonts w:ascii="Arial" w:hAnsi="Arial" w:cs="Arial"/>
          <w:kern w:val="0"/>
          <w:szCs w:val="24"/>
        </w:rPr>
        <w:t>, 2022)</w:t>
      </w:r>
      <w:r w:rsidR="00255542">
        <w:rPr>
          <w:rFonts w:ascii="Arial" w:hAnsi="Arial" w:cs="Arial"/>
        </w:rPr>
        <w:fldChar w:fldCharType="end"/>
      </w:r>
      <w:r w:rsidRPr="00316F80">
        <w:rPr>
          <w:rFonts w:ascii="Arial" w:hAnsi="Arial" w:cs="Arial"/>
        </w:rPr>
        <w:t xml:space="preserve">. Clash detection has hitherto been restricted to solely design information but could equally apply to clash detection of information or contract clauses or terms. Although there is no specific example of this to relate, it is straightforward to imagine how that it could apply if, say, a construction material becomes outlawed in the United Kingdom and joins the list of deleterious materials. A smart contract would be able to detect the “clash” and identify and resolve all mentions of the material in contract documents and replace with a substitute without the harmful properties. </w:t>
      </w:r>
    </w:p>
    <w:p w14:paraId="3F00C28D" w14:textId="1AD7DB4E" w:rsidR="00316F80" w:rsidRDefault="00316F80" w:rsidP="002401ED">
      <w:pPr>
        <w:spacing w:line="360" w:lineRule="auto"/>
        <w:jc w:val="both"/>
        <w:rPr>
          <w:rFonts w:ascii="Arial" w:hAnsi="Arial" w:cs="Arial"/>
        </w:rPr>
      </w:pPr>
      <w:r w:rsidRPr="00316F80">
        <w:rPr>
          <w:rFonts w:ascii="Arial" w:hAnsi="Arial" w:cs="Arial"/>
        </w:rPr>
        <w:t xml:space="preserve">This alternative yet potentially complimentary version of what a smart contract can do – interrogate data and apply its machine learning, in similar projects and extrapolating the answers - is a more forward-looking version of a smart contract which has emerged in the intervening years since my original paper </w:t>
      </w:r>
      <w:r w:rsidR="003D6D8F">
        <w:rPr>
          <w:rFonts w:ascii="Arial" w:hAnsi="Arial" w:cs="Arial"/>
        </w:rPr>
        <w:t xml:space="preserve">on Szabo-like transactions </w:t>
      </w:r>
      <w:r w:rsidRPr="00316F80">
        <w:rPr>
          <w:rFonts w:ascii="Arial" w:hAnsi="Arial" w:cs="Arial"/>
        </w:rPr>
        <w:t>in 2016</w:t>
      </w:r>
      <w:r w:rsidR="00897346">
        <w:rPr>
          <w:rFonts w:ascii="Arial" w:hAnsi="Arial" w:cs="Arial"/>
        </w:rPr>
        <w:t xml:space="preserve"> </w:t>
      </w:r>
      <w:r w:rsidR="007C7436">
        <w:rPr>
          <w:rFonts w:ascii="Arial" w:hAnsi="Arial" w:cs="Arial"/>
        </w:rPr>
        <w:fldChar w:fldCharType="begin"/>
      </w:r>
      <w:r w:rsidR="007C7436">
        <w:rPr>
          <w:rFonts w:ascii="Arial" w:hAnsi="Arial" w:cs="Arial"/>
        </w:rPr>
        <w:instrText xml:space="preserve"> ADDIN ZOTERO_ITEM CSL_CITATION {"citationID":"2SSSzsj0","properties":{"formattedCitation":"(Mason, 2017)","plainCitation":"(Mason, 2017)","noteIndex":0},"citationItems":[{"id":185,"uris":["http://zotero.org/users/10424302/items/2TKA4GKZ"],"itemData":{"id":185,"type":"article-journal","abstract":"Advances in technology have resulted in a fast-changing landscape for construction contracts. Lawyers struggle to keep up with the pace of innovation, the need to provide legal solutions and accommodate new approaches. Building information modeling (BIM) has become part of the common parlance in construction notwithstanding limited evidence of its impact on the ground. Intelligent contracts appear as a logical extension to BIM whereby the contractual performance itself becomes automated. However, intelligent contracts work best where they are short term or are of instantaneous effect. This is at odds with the complicated and long-running nature of construction projects. Further, storage constraints, compatibility, and reliability issues together with confidentiality and the long-term nature of distributed ledgers pose additional problems. This work discusses what could be achieved in the construction industry by the adoption of intelligent contracts. An online forum provided secondary data to give soundings on the issues raised. The objectives are to introduce aspects of technological advancement within commerce generally and to make connections with best practice and limitations within construction. The hypothesis advanced is that certain aspects of the construction contract cannot be fully intelligent and the best that can be achieved in the short to medium term is a semiautomated position. Further, intelligent contracts should be viewed as part of the BIM-led revolution in construction and not separate from it. The recommendation is that incremental advances such as the coding of project management and contract administration data be targeted to provide improved operational efficiency and value savings.","container-title":"Journal of Legal Affairs and Dispute Resolution in Engineering and Construction","DOI":"10.1061/(ASCE)LA.1943-4170.0000233","ISSN":"1943-4170","issue":"3","language":"EN","license":"©2017 American Society of Civil Engineers","note":"publisher: American Society of Civil Engineers","page":"04517012","source":"ASCE","title":"Intelligent Contracts and the Construction Industry","volume":"9","author":[{"family":"Mason","given":"Jim"}],"issued":{"date-parts":[["2017",8,1]]}}}],"schema":"https://github.com/citation-style-language/schema/raw/master/csl-citation.json"} </w:instrText>
      </w:r>
      <w:r w:rsidR="007C7436">
        <w:rPr>
          <w:rFonts w:ascii="Arial" w:hAnsi="Arial" w:cs="Arial"/>
        </w:rPr>
        <w:fldChar w:fldCharType="separate"/>
      </w:r>
      <w:r w:rsidR="007C7436" w:rsidRPr="007C7436">
        <w:rPr>
          <w:rFonts w:ascii="Arial" w:hAnsi="Arial" w:cs="Arial"/>
        </w:rPr>
        <w:t>(Mason, 2017)</w:t>
      </w:r>
      <w:r w:rsidR="007C7436">
        <w:rPr>
          <w:rFonts w:ascii="Arial" w:hAnsi="Arial" w:cs="Arial"/>
        </w:rPr>
        <w:fldChar w:fldCharType="end"/>
      </w:r>
      <w:r w:rsidRPr="00316F80">
        <w:rPr>
          <w:rFonts w:ascii="Arial" w:hAnsi="Arial" w:cs="Arial"/>
        </w:rPr>
        <w:t xml:space="preserve">. Thus, although the heralded changes have been slow to emerge the signs of their uptake and preconditions needed for their development are evident, particularly involving blockchain solutions </w:t>
      </w:r>
      <w:r w:rsidR="007C7436">
        <w:rPr>
          <w:rFonts w:ascii="Arial" w:hAnsi="Arial" w:cs="Arial"/>
        </w:rPr>
        <w:fldChar w:fldCharType="begin"/>
      </w:r>
      <w:r w:rsidR="007C7436">
        <w:rPr>
          <w:rFonts w:ascii="Arial" w:hAnsi="Arial" w:cs="Arial"/>
        </w:rPr>
        <w:instrText xml:space="preserve"> ADDIN ZOTERO_ITEM CSL_CITATION {"citationID":"dqzxwtq4","properties":{"formattedCitation":"(Msawil {\\i{}et al.}, 2022)","plainCitation":"(Msawil et al., 2022)","noteIndex":0},"citationItems":[{"id":456,"uris":["http://zotero.org/users/10424302/items/C4V38DUA"],"itemData":{"id":456,"type":"article-journal","abstract":"Inefficient and ineffective Construction Contract Administration (CCA) is at the root of many of the sector challenges. Emerging digital technologies such as blockchain are revealing some capabilities with the potential for improving CCA. This paper addresses the research question of whether and how can blockchain contribute to improving CCA and what are the specific challenges to its adoption in CCA. The study adopts a systematic review of studies in this domain and their subsequent analysis against a CCA framework. Most applications were found to be centered on two CCA functions; the financial management, and the document and record management. CCA functions that embed complex contractual logics such as claims and disputes resolution management have received scant attention. To advance blockchain application in CCA, a structured roadmap of its key challenges relating to technology, process, policy and society is proposed for future research. The outcome of this paper provides scholars, practitioners and policymakers, interested in construction contracts, with the evidence about the current level of blockchain contribution to CCA and a structured set of recommendations for future research. © 2022 Elsevier B.V.","archive":"Scopus","container-title":"Automation in Construction","DOI":"10.1016/j.autcon.2022.104553","source":"Scopus","title":"A Systematic evaluation of blockchain-enabled contract administration in construction projects","volume":"143","author":[{"family":"Msawil","given":"M."},{"family":"Greenwood","given":"D."},{"family":"Kassem","given":"M."}],"issued":{"date-parts":[["2022"]]}}}],"schema":"https://github.com/citation-style-language/schema/raw/master/csl-citation.json"} </w:instrText>
      </w:r>
      <w:r w:rsidR="007C7436">
        <w:rPr>
          <w:rFonts w:ascii="Arial" w:hAnsi="Arial" w:cs="Arial"/>
        </w:rPr>
        <w:fldChar w:fldCharType="separate"/>
      </w:r>
      <w:r w:rsidR="007C7436" w:rsidRPr="007C7436">
        <w:rPr>
          <w:rFonts w:ascii="Arial" w:hAnsi="Arial" w:cs="Arial"/>
          <w:kern w:val="0"/>
          <w:szCs w:val="24"/>
        </w:rPr>
        <w:t xml:space="preserve">(Msawil </w:t>
      </w:r>
      <w:r w:rsidR="007C7436" w:rsidRPr="007C7436">
        <w:rPr>
          <w:rFonts w:ascii="Arial" w:hAnsi="Arial" w:cs="Arial"/>
          <w:i/>
          <w:iCs/>
          <w:kern w:val="0"/>
          <w:szCs w:val="24"/>
        </w:rPr>
        <w:t>et al.</w:t>
      </w:r>
      <w:r w:rsidR="007C7436" w:rsidRPr="007C7436">
        <w:rPr>
          <w:rFonts w:ascii="Arial" w:hAnsi="Arial" w:cs="Arial"/>
          <w:kern w:val="0"/>
          <w:szCs w:val="24"/>
        </w:rPr>
        <w:t>, 2022)</w:t>
      </w:r>
      <w:r w:rsidR="007C7436">
        <w:rPr>
          <w:rFonts w:ascii="Arial" w:hAnsi="Arial" w:cs="Arial"/>
        </w:rPr>
        <w:fldChar w:fldCharType="end"/>
      </w:r>
      <w:r w:rsidR="00FE41D2">
        <w:rPr>
          <w:rFonts w:ascii="Arial" w:hAnsi="Arial" w:cs="Arial"/>
        </w:rPr>
        <w:t xml:space="preserve"> </w:t>
      </w:r>
      <w:r w:rsidRPr="00316F80">
        <w:rPr>
          <w:rFonts w:ascii="Arial" w:hAnsi="Arial" w:cs="Arial"/>
        </w:rPr>
        <w:t>and its potential in preventing or reducing construction related problems, including those related to contract administration.</w:t>
      </w:r>
    </w:p>
    <w:p w14:paraId="44E4163D" w14:textId="4FC48ED4" w:rsidR="001E3C2C" w:rsidRDefault="001E3C2C" w:rsidP="002401ED">
      <w:pPr>
        <w:spacing w:line="360" w:lineRule="auto"/>
        <w:jc w:val="both"/>
        <w:rPr>
          <w:rFonts w:ascii="Arial" w:hAnsi="Arial" w:cs="Arial"/>
        </w:rPr>
      </w:pPr>
      <w:r w:rsidRPr="00316F80">
        <w:rPr>
          <w:rFonts w:ascii="Arial" w:hAnsi="Arial" w:cs="Arial"/>
        </w:rPr>
        <w:t>The present and near future of smart contracts appears to</w:t>
      </w:r>
      <w:r>
        <w:rPr>
          <w:rFonts w:ascii="Arial" w:hAnsi="Arial" w:cs="Arial"/>
        </w:rPr>
        <w:t xml:space="preserve"> be</w:t>
      </w:r>
      <w:r w:rsidRPr="00316F80">
        <w:rPr>
          <w:rFonts w:ascii="Arial" w:hAnsi="Arial" w:cs="Arial"/>
        </w:rPr>
        <w:t xml:space="preserve"> the stack approach – the automation of those terms will centre firstly on those which involve algorithms which are easily codable and manageable. The first of these “low hanging fruit” are weather delay events as demonstrated by the EHAB weather ledger </w:t>
      </w:r>
      <w:r>
        <w:rPr>
          <w:rFonts w:ascii="Arial" w:hAnsi="Arial" w:cs="Arial"/>
        </w:rPr>
        <w:fldChar w:fldCharType="begin"/>
      </w:r>
      <w:r>
        <w:rPr>
          <w:rFonts w:ascii="Arial" w:hAnsi="Arial" w:cs="Arial"/>
        </w:rPr>
        <w:instrText xml:space="preserve"> ADDIN ZOTERO_ITEM CSL_CITATION {"citationID":"aN9aAtKp","properties":{"formattedCitation":"(Lamb, 2018)","plainCitation":"(Lamb, 2018)","noteIndex":0},"citationItems":[{"id":2450,"uris":["http://zotero.org/users/10424302/items/IWAM8YV9"],"itemData":{"id":2450,"type":"article-journal","language":"en","note":"publisher: CDBB","source":"www.repository.cam.ac.uk","title":"Blockchain and Smart Contracts: What the AEC sector needs to know","title-short":"Blockchain and Smart Contracts","URL":"https://www.repository.cam.ac.uk/handle/1810/278893","author":[{"family":"Lamb","given":"Kirsten"}],"accessed":{"date-parts":[["2023",8,1]]},"issued":{"date-parts":[["2018",7,30]]}}}],"schema":"https://github.com/citation-style-language/schema/raw/master/csl-citation.json"} </w:instrText>
      </w:r>
      <w:r>
        <w:rPr>
          <w:rFonts w:ascii="Arial" w:hAnsi="Arial" w:cs="Arial"/>
        </w:rPr>
        <w:fldChar w:fldCharType="separate"/>
      </w:r>
      <w:r w:rsidRPr="000C64BD">
        <w:rPr>
          <w:rFonts w:ascii="Arial" w:hAnsi="Arial" w:cs="Arial"/>
        </w:rPr>
        <w:t>(Lamb, 2018)</w:t>
      </w:r>
      <w:r>
        <w:rPr>
          <w:rFonts w:ascii="Arial" w:hAnsi="Arial" w:cs="Arial"/>
        </w:rPr>
        <w:fldChar w:fldCharType="end"/>
      </w:r>
      <w:r w:rsidRPr="00316F80">
        <w:rPr>
          <w:rFonts w:ascii="Arial" w:hAnsi="Arial" w:cs="Arial"/>
        </w:rPr>
        <w:t xml:space="preserve">. The ledger ascertains automatically whether the rain or wind (or both) experienced on a project is better or worse than a 1 in 10-year event. It does this by checking itself against data from the Meteorological Office. If the weather event is worse than a 1 in 10-year event, then the compensation event procedure of the New Engineering Contract is triggered. This is an interesting development but at one level nothing more than primary school children collecting rainfall in an empty yoghurt pot and measuring it. The real issue – the ramifications and forecasted consequences of the compensation event and the measure of its accompanying loss and/or expense dependent on it were wrangled with in the usual manner and not addressed by the ledger. The progress made was that at least there would have been a verifiable record of what happened. The </w:t>
      </w:r>
      <w:r w:rsidR="0015150E">
        <w:rPr>
          <w:rFonts w:ascii="Arial" w:hAnsi="Arial" w:cs="Arial"/>
        </w:rPr>
        <w:t xml:space="preserve">argument goes that the </w:t>
      </w:r>
      <w:r w:rsidRPr="00316F80">
        <w:rPr>
          <w:rFonts w:ascii="Arial" w:hAnsi="Arial" w:cs="Arial"/>
        </w:rPr>
        <w:t xml:space="preserve">greater the granularity and reliability of the data, the fewer places there </w:t>
      </w:r>
      <w:r w:rsidRPr="00316F80">
        <w:rPr>
          <w:rFonts w:ascii="Arial" w:hAnsi="Arial" w:cs="Arial"/>
        </w:rPr>
        <w:lastRenderedPageBreak/>
        <w:t>are for disputes to reside as there is less margin for disputes and different interpretations of the data to lie.</w:t>
      </w:r>
    </w:p>
    <w:p w14:paraId="277670B7" w14:textId="77777777" w:rsidR="00AC3F09" w:rsidRPr="00901BF3" w:rsidRDefault="00AC3F09" w:rsidP="00901BF3">
      <w:pPr>
        <w:pStyle w:val="NoSpacing"/>
        <w:rPr>
          <w:rFonts w:ascii="Arial" w:hAnsi="Arial" w:cs="Arial"/>
          <w:sz w:val="24"/>
          <w:szCs w:val="24"/>
        </w:rPr>
      </w:pPr>
      <w:r w:rsidRPr="00901BF3">
        <w:rPr>
          <w:rFonts w:ascii="Arial" w:hAnsi="Arial" w:cs="Arial"/>
          <w:sz w:val="24"/>
          <w:szCs w:val="24"/>
        </w:rPr>
        <w:t>Research Gap</w:t>
      </w:r>
    </w:p>
    <w:p w14:paraId="05CEDA26" w14:textId="77777777" w:rsidR="00AC3F09" w:rsidRPr="00E7620D" w:rsidRDefault="00AC3F09" w:rsidP="00AC3F09"/>
    <w:p w14:paraId="6B93AA16" w14:textId="0C6CAD1C" w:rsidR="00AC3F09" w:rsidRDefault="00DE1F78" w:rsidP="00AC3F09">
      <w:pPr>
        <w:spacing w:line="360" w:lineRule="auto"/>
        <w:jc w:val="both"/>
        <w:rPr>
          <w:rFonts w:ascii="Arial" w:hAnsi="Arial" w:cs="Arial"/>
        </w:rPr>
      </w:pPr>
      <w:r>
        <w:rPr>
          <w:rFonts w:ascii="Arial" w:hAnsi="Arial" w:cs="Arial"/>
        </w:rPr>
        <w:t>The risk for any siloed industry is that work is carried out without the wider terms of reference being appreciated or considered. Smart contract academics have been too focused on intricate workings and platform discussions and not cognisant of the prevailing conditions or environment required to see</w:t>
      </w:r>
      <w:r w:rsidRPr="00316F80">
        <w:rPr>
          <w:rFonts w:ascii="Arial" w:hAnsi="Arial" w:cs="Arial"/>
        </w:rPr>
        <w:t xml:space="preserve"> smart contracts flourish</w:t>
      </w:r>
      <w:r w:rsidR="00CF5C7D">
        <w:rPr>
          <w:rFonts w:ascii="Arial" w:hAnsi="Arial" w:cs="Arial"/>
        </w:rPr>
        <w:t xml:space="preserve">. </w:t>
      </w:r>
      <w:r w:rsidR="00AC3F09">
        <w:rPr>
          <w:rFonts w:ascii="Arial" w:hAnsi="Arial" w:cs="Arial"/>
        </w:rPr>
        <w:t xml:space="preserve">One reason for the false estimations resulting in hype is not having a clear enough purpose in applying the technology once it is available. Smart contracts are no different. </w:t>
      </w:r>
      <w:r w:rsidR="00AC3F09" w:rsidRPr="00950DAD">
        <w:rPr>
          <w:rFonts w:ascii="Arial" w:hAnsi="Arial" w:cs="Arial"/>
        </w:rPr>
        <w:t>Insufficient work has been done to date on cementing the contribution of smart contracts within the wider procurement initiatives</w:t>
      </w:r>
      <w:r w:rsidR="00AC3F09">
        <w:rPr>
          <w:rFonts w:ascii="Arial" w:hAnsi="Arial" w:cs="Arial"/>
        </w:rPr>
        <w:t xml:space="preserve"> </w:t>
      </w:r>
      <w:r w:rsidR="00AC3F09">
        <w:rPr>
          <w:rFonts w:ascii="Arial" w:hAnsi="Arial" w:cs="Arial"/>
        </w:rPr>
        <w:fldChar w:fldCharType="begin"/>
      </w:r>
      <w:r w:rsidR="00AC3F09">
        <w:rPr>
          <w:rFonts w:ascii="Arial" w:hAnsi="Arial" w:cs="Arial"/>
        </w:rPr>
        <w:instrText xml:space="preserve"> ADDIN ZOTERO_ITEM CSL_CITATION {"citationID":"jlmqd6Po","properties":{"formattedCitation":"(\\\\\" Ozkan {\\i{}et al.}, 2021)","plainCitation":"(\\\" Ozkan et al., 2021)","noteIndex":0},"citationItems":[{"id":96,"uris":["http://zotero.org/users/10424302/items/B7JXMH6V"],"itemData":{"id":96,"type":"article-journal","abstract":"Project delivery on time, with agreed quality and assigned budget, is the desire of project-based companies. Time, quality, and cost are determinants of project success; however, organisations suffer from achieving these three success criteria at the same time. Failures in project delivery cause the loss of the competitive advantage. The recent digital technologies introduce smart contracts to supply chain (SC) operations for improving SC processes. Project procurement is the area for smart contract implementation to deliver successful projects and gain sustainable competitive advantages. The aim of this study was in explaining how smart contracts benefit project organisations through project procurement. Qualitative research design guided this research with phenomenology. Semi-structured interviews generated the data. The obtained research data were analysed with thematic, textual, and discourse analysis. Published industry reports were used to triangulate the data. This study demonstrated an integrated relationship model to answer the research question. The research findings initially identified the fact that smart contracts improve procurement efficiency through cost, time, and quality. Secondly, smart contracts build a trust-less platform where reliability is delivered and reinforced with transparency, traceability, and security. This study found that enhanced procurement efficiency and reliability meet requirements to gain sustainable competitive advantages. This study intends to contribute to industry practices and future research. The correlation of project procurement management success, smart contracts, and sustainable competitive advantages are expected to guide feature research and business practices.","container-title":"Sustainability","DOI":"10.3390/su132313380","issue":"23","note":"publisher: MDPI AG","page":"13380","title":"Leveraging Smart Contract in Project Procurement through DLT to Gain Sustainable Competitive Advantages","volume":"13","author":[{"family":"\\\" Ozkan","given":"Evin"},{"family":"Azizi","given":"Neda"},{"family":"Haass","given":"Omid"}],"issued":{"date-parts":[["2021",12,3]]}}}],"schema":"https://github.com/citation-style-language/schema/raw/master/csl-citation.json"} </w:instrText>
      </w:r>
      <w:r w:rsidR="00AC3F09">
        <w:rPr>
          <w:rFonts w:ascii="Arial" w:hAnsi="Arial" w:cs="Arial"/>
        </w:rPr>
        <w:fldChar w:fldCharType="separate"/>
      </w:r>
      <w:r w:rsidR="00AC3F09" w:rsidRPr="00950DAD">
        <w:rPr>
          <w:rFonts w:ascii="Arial" w:hAnsi="Arial" w:cs="Arial"/>
          <w:kern w:val="0"/>
          <w:szCs w:val="24"/>
        </w:rPr>
        <w:t xml:space="preserve">(Ozkan </w:t>
      </w:r>
      <w:r w:rsidR="00AC3F09" w:rsidRPr="00950DAD">
        <w:rPr>
          <w:rFonts w:ascii="Arial" w:hAnsi="Arial" w:cs="Arial"/>
          <w:i/>
          <w:iCs/>
          <w:kern w:val="0"/>
          <w:szCs w:val="24"/>
        </w:rPr>
        <w:t>et al.</w:t>
      </w:r>
      <w:r w:rsidR="00AC3F09" w:rsidRPr="00950DAD">
        <w:rPr>
          <w:rFonts w:ascii="Arial" w:hAnsi="Arial" w:cs="Arial"/>
          <w:kern w:val="0"/>
          <w:szCs w:val="24"/>
        </w:rPr>
        <w:t>, 2021)</w:t>
      </w:r>
      <w:r w:rsidR="00AC3F09">
        <w:rPr>
          <w:rFonts w:ascii="Arial" w:hAnsi="Arial" w:cs="Arial"/>
        </w:rPr>
        <w:fldChar w:fldCharType="end"/>
      </w:r>
      <w:r w:rsidR="00AC3F09" w:rsidRPr="00950DAD">
        <w:rPr>
          <w:rFonts w:ascii="Arial" w:hAnsi="Arial" w:cs="Arial"/>
        </w:rPr>
        <w:t>. The focus for smart contracts has centred on its operational contribution</w:t>
      </w:r>
      <w:r w:rsidR="00AC3F09">
        <w:rPr>
          <w:rFonts w:ascii="Arial" w:hAnsi="Arial" w:cs="Arial"/>
        </w:rPr>
        <w:t>, notably the means of delivery via the blockchain</w:t>
      </w:r>
      <w:r w:rsidR="00AC3F09" w:rsidRPr="00950DAD">
        <w:rPr>
          <w:rFonts w:ascii="Arial" w:hAnsi="Arial" w:cs="Arial"/>
        </w:rPr>
        <w:t xml:space="preserve">. </w:t>
      </w:r>
      <w:r w:rsidR="00AC3F09">
        <w:rPr>
          <w:rFonts w:ascii="Arial" w:hAnsi="Arial" w:cs="Arial"/>
        </w:rPr>
        <w:t xml:space="preserve"> The movement has largely stalled in the </w:t>
      </w:r>
      <w:proofErr w:type="gramStart"/>
      <w:r w:rsidR="00AC3F09">
        <w:rPr>
          <w:rFonts w:ascii="Arial" w:hAnsi="Arial" w:cs="Arial"/>
        </w:rPr>
        <w:t>proof of concept</w:t>
      </w:r>
      <w:proofErr w:type="gramEnd"/>
      <w:r w:rsidR="00AC3F09">
        <w:rPr>
          <w:rFonts w:ascii="Arial" w:hAnsi="Arial" w:cs="Arial"/>
        </w:rPr>
        <w:t xml:space="preserve"> phase where the main question is “can we do it?” The answer, from the research community at least, has been a resounding yes </w:t>
      </w:r>
      <w:r w:rsidR="00AC3F09">
        <w:rPr>
          <w:rFonts w:ascii="Arial" w:hAnsi="Arial" w:cs="Arial"/>
        </w:rPr>
        <w:fldChar w:fldCharType="begin"/>
      </w:r>
      <w:r w:rsidR="00AC3F09">
        <w:rPr>
          <w:rFonts w:ascii="Arial" w:hAnsi="Arial" w:cs="Arial"/>
        </w:rPr>
        <w:instrText xml:space="preserve"> ADDIN ZOTERO_ITEM CSL_CITATION {"citationID":"6aiHyCwe","properties":{"formattedCitation":"(McNamara and Sepasgozar, 2021)","plainCitation":"(McNamara and Sepasgozar, 2021)","noteIndex":0},"citationItems":[{"id":195,"uris":["http://zotero.org/users/10424302/items/Q7Y634NB"],"itemData":{"id":195,"type":"article-journal","container-title":"Automation in construction","note":"publisher: Elsevier","page":"103452","source":"Google Scholar","title":"Intelligent contract adoption in the construction industry: Concept development","title-short":"Intelligent contract adoption in the construction industry","volume":"122","author":[{"family":"McNamara","given":"Alan J."},{"family":"Sepasgozar","given":"Samad ME"}],"issued":{"date-parts":[["2021"]]}}}],"schema":"https://github.com/citation-style-language/schema/raw/master/csl-citation.json"} </w:instrText>
      </w:r>
      <w:r w:rsidR="00AC3F09">
        <w:rPr>
          <w:rFonts w:ascii="Arial" w:hAnsi="Arial" w:cs="Arial"/>
        </w:rPr>
        <w:fldChar w:fldCharType="separate"/>
      </w:r>
      <w:r w:rsidR="00AC3F09" w:rsidRPr="00F22ED8">
        <w:rPr>
          <w:rFonts w:ascii="Arial" w:hAnsi="Arial" w:cs="Arial"/>
        </w:rPr>
        <w:t>(McNamara and Sepasgozar, 2021)</w:t>
      </w:r>
      <w:r w:rsidR="00AC3F09">
        <w:rPr>
          <w:rFonts w:ascii="Arial" w:hAnsi="Arial" w:cs="Arial"/>
        </w:rPr>
        <w:fldChar w:fldCharType="end"/>
      </w:r>
      <w:r w:rsidR="00AC3F09">
        <w:rPr>
          <w:rFonts w:ascii="Arial" w:hAnsi="Arial" w:cs="Arial"/>
        </w:rPr>
        <w:t>. The “how do we do it?” question is the one which has yet to be answered and where the research gap exists. Legal risk management theory was at a similar crossroads in its early development when Max Abrahamson set out his seminal principles in 1983. It is the author’s hope that the principles set out herein can be useful in developing the application of smart contracts to the construction industry.</w:t>
      </w:r>
      <w:r w:rsidR="001B1FC6">
        <w:rPr>
          <w:rFonts w:ascii="Arial" w:hAnsi="Arial" w:cs="Arial"/>
        </w:rPr>
        <w:t xml:space="preserve"> The question that arises is why have the valuable initiatives either stalled, </w:t>
      </w:r>
      <w:r w:rsidR="00326B26">
        <w:rPr>
          <w:rFonts w:ascii="Arial" w:hAnsi="Arial" w:cs="Arial"/>
        </w:rPr>
        <w:t>in the case of collaboration, or are at risk of stalling, in the case of technology?</w:t>
      </w:r>
      <w:r w:rsidR="009D41BD">
        <w:rPr>
          <w:rFonts w:ascii="Arial" w:hAnsi="Arial" w:cs="Arial"/>
        </w:rPr>
        <w:t xml:space="preserve"> The answer may be that insufficient attention has been given to the principles of how progress might be achieved and where efforts are best marshalled. </w:t>
      </w:r>
      <w:r w:rsidR="00AD7EFF">
        <w:rPr>
          <w:rFonts w:ascii="Arial" w:hAnsi="Arial" w:cs="Arial"/>
        </w:rPr>
        <w:t>This paper seeks to address this deficit and proposes guidance in the form of the principles set out herein.</w:t>
      </w:r>
    </w:p>
    <w:p w14:paraId="5834AF66" w14:textId="77777777" w:rsidR="003D6D8F" w:rsidRPr="00901BF3" w:rsidRDefault="003D6D8F" w:rsidP="00901BF3">
      <w:pPr>
        <w:rPr>
          <w:rFonts w:ascii="Arial" w:hAnsi="Arial" w:cs="Arial"/>
          <w:sz w:val="24"/>
          <w:szCs w:val="24"/>
        </w:rPr>
      </w:pPr>
      <w:r w:rsidRPr="00901BF3">
        <w:rPr>
          <w:rFonts w:ascii="Arial" w:hAnsi="Arial" w:cs="Arial"/>
          <w:sz w:val="24"/>
          <w:szCs w:val="24"/>
        </w:rPr>
        <w:t>Research Method</w:t>
      </w:r>
    </w:p>
    <w:p w14:paraId="06036206" w14:textId="77777777" w:rsidR="00AD7EFF" w:rsidRPr="00AD7EFF" w:rsidRDefault="00AD7EFF" w:rsidP="00AD7EFF"/>
    <w:p w14:paraId="1B3471FE" w14:textId="6FF4A89E" w:rsidR="00316F80" w:rsidRPr="00316F80" w:rsidRDefault="00557621" w:rsidP="002401ED">
      <w:pPr>
        <w:spacing w:line="360" w:lineRule="auto"/>
        <w:jc w:val="both"/>
        <w:rPr>
          <w:rFonts w:ascii="Arial" w:hAnsi="Arial" w:cs="Arial"/>
        </w:rPr>
      </w:pPr>
      <w:r>
        <w:rPr>
          <w:rFonts w:ascii="Arial" w:hAnsi="Arial" w:cs="Arial"/>
        </w:rPr>
        <w:t>Legal research styles were split into four approaches</w:t>
      </w:r>
      <w:r w:rsidR="000C18C2">
        <w:rPr>
          <w:rFonts w:ascii="Arial" w:hAnsi="Arial" w:cs="Arial"/>
        </w:rPr>
        <w:t xml:space="preserve"> representing law reform, fundamental, </w:t>
      </w:r>
      <w:proofErr w:type="gramStart"/>
      <w:r w:rsidR="000C18C2">
        <w:rPr>
          <w:rFonts w:ascii="Arial" w:hAnsi="Arial" w:cs="Arial"/>
        </w:rPr>
        <w:t>expository</w:t>
      </w:r>
      <w:proofErr w:type="gramEnd"/>
      <w:r w:rsidR="000C18C2">
        <w:rPr>
          <w:rFonts w:ascii="Arial" w:hAnsi="Arial" w:cs="Arial"/>
        </w:rPr>
        <w:t xml:space="preserve"> and legal theory </w:t>
      </w:r>
      <w:r w:rsidR="00D178DB">
        <w:rPr>
          <w:rFonts w:ascii="Arial" w:hAnsi="Arial" w:cs="Arial"/>
        </w:rPr>
        <w:t xml:space="preserve">research (Arthurs, 1983) </w:t>
      </w:r>
      <w:r w:rsidR="003D6D8F">
        <w:rPr>
          <w:rFonts w:ascii="Arial" w:hAnsi="Arial" w:cs="Arial"/>
        </w:rPr>
        <w:t>Th</w:t>
      </w:r>
      <w:r w:rsidR="007E2730">
        <w:rPr>
          <w:rFonts w:ascii="Arial" w:hAnsi="Arial" w:cs="Arial"/>
        </w:rPr>
        <w:t>e interdisciplinary methodology</w:t>
      </w:r>
      <w:r w:rsidR="005326A1">
        <w:rPr>
          <w:rFonts w:ascii="Arial" w:hAnsi="Arial" w:cs="Arial"/>
        </w:rPr>
        <w:t xml:space="preserve">, in which this work is positioned, relies on the professional </w:t>
      </w:r>
      <w:r w:rsidR="003C19D1">
        <w:rPr>
          <w:rFonts w:ascii="Arial" w:hAnsi="Arial" w:cs="Arial"/>
        </w:rPr>
        <w:t>constituency</w:t>
      </w:r>
      <w:r w:rsidR="005326A1">
        <w:rPr>
          <w:rFonts w:ascii="Arial" w:hAnsi="Arial" w:cs="Arial"/>
        </w:rPr>
        <w:t xml:space="preserve"> of the researcher. </w:t>
      </w:r>
      <w:r w:rsidR="006F6FF9">
        <w:rPr>
          <w:rFonts w:ascii="Arial" w:hAnsi="Arial" w:cs="Arial"/>
        </w:rPr>
        <w:t>One of the priorities for the “new academic community” of legal scholars (Chynoweth, 2007) is to communicate its purpose</w:t>
      </w:r>
      <w:r w:rsidR="001D6288">
        <w:rPr>
          <w:rFonts w:ascii="Arial" w:hAnsi="Arial" w:cs="Arial"/>
        </w:rPr>
        <w:t xml:space="preserve">, norms, </w:t>
      </w:r>
      <w:proofErr w:type="gramStart"/>
      <w:r w:rsidR="001D6288">
        <w:rPr>
          <w:rFonts w:ascii="Arial" w:hAnsi="Arial" w:cs="Arial"/>
        </w:rPr>
        <w:t>values</w:t>
      </w:r>
      <w:proofErr w:type="gramEnd"/>
      <w:r w:rsidR="001D6288">
        <w:rPr>
          <w:rFonts w:ascii="Arial" w:hAnsi="Arial" w:cs="Arial"/>
        </w:rPr>
        <w:t xml:space="preserve"> and methodologies to the wider built environment research community in which it resides. </w:t>
      </w:r>
      <w:r w:rsidR="00544059">
        <w:rPr>
          <w:rFonts w:ascii="Arial" w:hAnsi="Arial" w:cs="Arial"/>
        </w:rPr>
        <w:t xml:space="preserve">The </w:t>
      </w:r>
      <w:r w:rsidR="00316F80" w:rsidRPr="00316F80">
        <w:rPr>
          <w:rFonts w:ascii="Arial" w:hAnsi="Arial" w:cs="Arial"/>
        </w:rPr>
        <w:t>socio-lega</w:t>
      </w:r>
      <w:r w:rsidR="003D6D8F">
        <w:rPr>
          <w:rFonts w:ascii="Arial" w:hAnsi="Arial" w:cs="Arial"/>
        </w:rPr>
        <w:t>l approach</w:t>
      </w:r>
      <w:r w:rsidR="00603DD3">
        <w:rPr>
          <w:rFonts w:ascii="Arial" w:hAnsi="Arial" w:cs="Arial"/>
        </w:rPr>
        <w:t xml:space="preserve"> seeks to investigate law from the perspective of the social sciences (Tebbit, 2005)</w:t>
      </w:r>
      <w:r w:rsidR="003D6D8F">
        <w:rPr>
          <w:rFonts w:ascii="Arial" w:hAnsi="Arial" w:cs="Arial"/>
        </w:rPr>
        <w:t>.</w:t>
      </w:r>
      <w:r w:rsidR="00A218E8">
        <w:rPr>
          <w:rFonts w:ascii="Arial" w:hAnsi="Arial" w:cs="Arial"/>
        </w:rPr>
        <w:t xml:space="preserve"> This tradition analyses the inter-relation of law with its stakeholders. </w:t>
      </w:r>
      <w:r w:rsidR="003D6D8F">
        <w:rPr>
          <w:rFonts w:ascii="Arial" w:hAnsi="Arial" w:cs="Arial"/>
        </w:rPr>
        <w:t xml:space="preserve"> </w:t>
      </w:r>
    </w:p>
    <w:p w14:paraId="73EF4E31" w14:textId="046E077B" w:rsidR="005E6C99" w:rsidRDefault="008D191F" w:rsidP="002401ED">
      <w:pPr>
        <w:spacing w:line="360" w:lineRule="auto"/>
        <w:jc w:val="both"/>
        <w:rPr>
          <w:rFonts w:ascii="Arial" w:hAnsi="Arial" w:cs="Arial"/>
        </w:rPr>
      </w:pPr>
      <w:r>
        <w:rPr>
          <w:rFonts w:ascii="Arial" w:hAnsi="Arial" w:cs="Arial"/>
        </w:rPr>
        <w:lastRenderedPageBreak/>
        <w:t>The selected researcher role in this investigative study is that of empathetic observer (Blaikie, 2000)</w:t>
      </w:r>
      <w:r w:rsidR="00C0459C">
        <w:rPr>
          <w:rFonts w:ascii="Arial" w:hAnsi="Arial" w:cs="Arial"/>
        </w:rPr>
        <w:t xml:space="preserve">. </w:t>
      </w:r>
      <w:r w:rsidR="00D15C82">
        <w:rPr>
          <w:rFonts w:ascii="Arial" w:hAnsi="Arial" w:cs="Arial"/>
        </w:rPr>
        <w:t>The risk of bias within this approach is real and present and is duly acknowledge</w:t>
      </w:r>
      <w:r w:rsidR="00076017">
        <w:rPr>
          <w:rFonts w:ascii="Arial" w:hAnsi="Arial" w:cs="Arial"/>
        </w:rPr>
        <w:t>d. This was addressed in the Abrahamson paper with the statement “</w:t>
      </w:r>
      <w:r w:rsidR="00B54F87">
        <w:rPr>
          <w:rFonts w:ascii="Arial" w:hAnsi="Arial" w:cs="Arial"/>
        </w:rPr>
        <w:t>I realise the danger of preaching</w:t>
      </w:r>
      <w:r w:rsidR="00AA75E2">
        <w:rPr>
          <w:rFonts w:ascii="Arial" w:hAnsi="Arial" w:cs="Arial"/>
        </w:rPr>
        <w:t>…Nevertheless we must have a starting point (Abrahamson, 1983).”</w:t>
      </w:r>
      <w:r w:rsidR="00B54BDF">
        <w:rPr>
          <w:rFonts w:ascii="Arial" w:hAnsi="Arial" w:cs="Arial"/>
        </w:rPr>
        <w:t xml:space="preserve"> Through this </w:t>
      </w:r>
      <w:r w:rsidR="008F50E1">
        <w:rPr>
          <w:rFonts w:ascii="Arial" w:hAnsi="Arial" w:cs="Arial"/>
        </w:rPr>
        <w:t xml:space="preserve">starting point </w:t>
      </w:r>
      <w:r w:rsidR="00B54BDF">
        <w:rPr>
          <w:rFonts w:ascii="Arial" w:hAnsi="Arial" w:cs="Arial"/>
        </w:rPr>
        <w:t xml:space="preserve">it is hoped that the </w:t>
      </w:r>
      <w:r w:rsidR="00256ACD">
        <w:rPr>
          <w:rFonts w:ascii="Arial" w:hAnsi="Arial" w:cs="Arial"/>
        </w:rPr>
        <w:t>principles will allow progress towards market adoption</w:t>
      </w:r>
      <w:r w:rsidR="00300A1F">
        <w:rPr>
          <w:rFonts w:ascii="Arial" w:hAnsi="Arial" w:cs="Arial"/>
        </w:rPr>
        <w:t xml:space="preserve"> and saturation. The diffusion</w:t>
      </w:r>
      <w:r w:rsidR="00E63680">
        <w:rPr>
          <w:rFonts w:ascii="Arial" w:hAnsi="Arial" w:cs="Arial"/>
        </w:rPr>
        <w:t xml:space="preserve"> of innovations theory (Rogers, 1962) informs that </w:t>
      </w:r>
      <w:r w:rsidR="00EC2F58">
        <w:rPr>
          <w:rFonts w:ascii="Arial" w:hAnsi="Arial" w:cs="Arial"/>
        </w:rPr>
        <w:t>communication of new ideas over time can lead to mass adoption</w:t>
      </w:r>
      <w:r w:rsidR="006D00F6">
        <w:rPr>
          <w:rFonts w:ascii="Arial" w:hAnsi="Arial" w:cs="Arial"/>
        </w:rPr>
        <w:t xml:space="preserve"> provided a sound footing is provided for the take-up. </w:t>
      </w:r>
    </w:p>
    <w:p w14:paraId="7F76BA54" w14:textId="085A6BD6" w:rsidR="00FF55E2" w:rsidRDefault="00FF55E2" w:rsidP="002401ED">
      <w:pPr>
        <w:spacing w:line="360" w:lineRule="auto"/>
        <w:jc w:val="both"/>
        <w:rPr>
          <w:rFonts w:ascii="Arial" w:hAnsi="Arial" w:cs="Arial"/>
        </w:rPr>
      </w:pPr>
      <w:r>
        <w:rPr>
          <w:rFonts w:ascii="Arial" w:hAnsi="Arial" w:cs="Arial"/>
        </w:rPr>
        <w:t>The author has relied on</w:t>
      </w:r>
      <w:r w:rsidR="00943AC2">
        <w:rPr>
          <w:rFonts w:ascii="Arial" w:hAnsi="Arial" w:cs="Arial"/>
        </w:rPr>
        <w:t xml:space="preserve"> </w:t>
      </w:r>
      <w:r w:rsidR="00943AC2" w:rsidRPr="00AB6F4A">
        <w:rPr>
          <w:rFonts w:ascii="Arial" w:hAnsi="Arial" w:cs="Arial"/>
        </w:rPr>
        <w:t xml:space="preserve">deductive and inductive approaches </w:t>
      </w:r>
      <w:r w:rsidR="00943AC2">
        <w:rPr>
          <w:rFonts w:ascii="Arial" w:hAnsi="Arial" w:cs="Arial"/>
        </w:rPr>
        <w:t>(</w:t>
      </w:r>
      <w:proofErr w:type="spellStart"/>
      <w:r w:rsidRPr="00AB6F4A">
        <w:rPr>
          <w:rFonts w:ascii="Arial" w:hAnsi="Arial" w:cs="Arial"/>
        </w:rPr>
        <w:t>Azungah</w:t>
      </w:r>
      <w:proofErr w:type="spellEnd"/>
      <w:r w:rsidR="00943AC2">
        <w:rPr>
          <w:rFonts w:ascii="Arial" w:hAnsi="Arial" w:cs="Arial"/>
        </w:rPr>
        <w:t>,</w:t>
      </w:r>
      <w:r w:rsidRPr="00AB6F4A">
        <w:rPr>
          <w:rFonts w:ascii="Arial" w:hAnsi="Arial" w:cs="Arial"/>
        </w:rPr>
        <w:t xml:space="preserve"> 2018) </w:t>
      </w:r>
      <w:r w:rsidR="00943AC2">
        <w:rPr>
          <w:rFonts w:ascii="Arial" w:hAnsi="Arial" w:cs="Arial"/>
        </w:rPr>
        <w:t>in deciding on the principles featured here</w:t>
      </w:r>
      <w:r w:rsidRPr="00AB6F4A">
        <w:rPr>
          <w:rFonts w:ascii="Arial" w:hAnsi="Arial" w:cs="Arial"/>
        </w:rPr>
        <w:t>. The inductive research approach involves formulating a theory based on specific observations and aims to draw general conclusions about the investigated phenomenon.</w:t>
      </w:r>
      <w:r w:rsidR="002A3354">
        <w:rPr>
          <w:rFonts w:ascii="Arial" w:hAnsi="Arial" w:cs="Arial"/>
        </w:rPr>
        <w:t xml:space="preserve"> T</w:t>
      </w:r>
      <w:r w:rsidRPr="00AB6F4A">
        <w:rPr>
          <w:rFonts w:ascii="Arial" w:hAnsi="Arial" w:cs="Arial"/>
        </w:rPr>
        <w:t>he deductive research approach starts with an existing theory or generali</w:t>
      </w:r>
      <w:r w:rsidR="002A3354">
        <w:rPr>
          <w:rFonts w:ascii="Arial" w:hAnsi="Arial" w:cs="Arial"/>
        </w:rPr>
        <w:t>s</w:t>
      </w:r>
      <w:r w:rsidRPr="00AB6F4A">
        <w:rPr>
          <w:rFonts w:ascii="Arial" w:hAnsi="Arial" w:cs="Arial"/>
        </w:rPr>
        <w:t>ation and aims to test its applicability to a specific scenario</w:t>
      </w:r>
      <w:r w:rsidR="002A3354">
        <w:rPr>
          <w:rFonts w:ascii="Arial" w:hAnsi="Arial" w:cs="Arial"/>
        </w:rPr>
        <w:t>, in this case the construction industry</w:t>
      </w:r>
      <w:r w:rsidRPr="00AB6F4A">
        <w:rPr>
          <w:rFonts w:ascii="Arial" w:hAnsi="Arial" w:cs="Arial"/>
        </w:rPr>
        <w:t xml:space="preserve"> (</w:t>
      </w:r>
      <w:proofErr w:type="spellStart"/>
      <w:r w:rsidRPr="00AB6F4A">
        <w:rPr>
          <w:rFonts w:ascii="Arial" w:hAnsi="Arial" w:cs="Arial"/>
        </w:rPr>
        <w:t>Azungah</w:t>
      </w:r>
      <w:proofErr w:type="spellEnd"/>
      <w:r w:rsidRPr="00AB6F4A">
        <w:rPr>
          <w:rFonts w:ascii="Arial" w:hAnsi="Arial" w:cs="Arial"/>
        </w:rPr>
        <w:t xml:space="preserve">, 2018). This study examines the influence of knowledge-infused human behaviour and introduces five guiding principles to facilitate gradual progress in smart contracts. These principles, inspired by </w:t>
      </w:r>
      <w:r w:rsidR="00177C55">
        <w:rPr>
          <w:rFonts w:ascii="Arial" w:hAnsi="Arial" w:cs="Arial"/>
        </w:rPr>
        <w:t xml:space="preserve">the </w:t>
      </w:r>
      <w:r w:rsidRPr="00AB6F4A">
        <w:rPr>
          <w:rFonts w:ascii="Arial" w:hAnsi="Arial" w:cs="Arial"/>
        </w:rPr>
        <w:t>existing framework</w:t>
      </w:r>
      <w:r w:rsidR="00177C55">
        <w:rPr>
          <w:rFonts w:ascii="Arial" w:hAnsi="Arial" w:cs="Arial"/>
        </w:rPr>
        <w:t xml:space="preserve"> of </w:t>
      </w:r>
      <w:r w:rsidRPr="00AB6F4A">
        <w:rPr>
          <w:rFonts w:ascii="Arial" w:hAnsi="Arial" w:cs="Arial"/>
        </w:rPr>
        <w:t>the Abrahamson principles, are adapted to the context of smart contracts in the construction industry</w:t>
      </w:r>
      <w:r w:rsidR="00690FCA">
        <w:rPr>
          <w:rFonts w:ascii="Arial" w:hAnsi="Arial" w:cs="Arial"/>
        </w:rPr>
        <w:t>.</w:t>
      </w:r>
      <w:r w:rsidRPr="00AB6F4A">
        <w:rPr>
          <w:rFonts w:ascii="Arial" w:hAnsi="Arial" w:cs="Arial"/>
        </w:rPr>
        <w:t xml:space="preserve"> </w:t>
      </w:r>
    </w:p>
    <w:p w14:paraId="7112A8A7" w14:textId="46FCEED6" w:rsidR="00316F80" w:rsidRPr="00316F80" w:rsidRDefault="00300F80" w:rsidP="002401ED">
      <w:pPr>
        <w:spacing w:line="360" w:lineRule="auto"/>
        <w:jc w:val="both"/>
        <w:rPr>
          <w:rFonts w:ascii="Arial" w:hAnsi="Arial" w:cs="Arial"/>
        </w:rPr>
      </w:pPr>
      <w:r>
        <w:rPr>
          <w:rFonts w:ascii="Arial" w:hAnsi="Arial" w:cs="Arial"/>
        </w:rPr>
        <w:t>The metho</w:t>
      </w:r>
      <w:r w:rsidR="008E4424">
        <w:rPr>
          <w:rFonts w:ascii="Arial" w:hAnsi="Arial" w:cs="Arial"/>
        </w:rPr>
        <w:t>do</w:t>
      </w:r>
      <w:r>
        <w:rPr>
          <w:rFonts w:ascii="Arial" w:hAnsi="Arial" w:cs="Arial"/>
        </w:rPr>
        <w:t>lo</w:t>
      </w:r>
      <w:r w:rsidR="008E4424">
        <w:rPr>
          <w:rFonts w:ascii="Arial" w:hAnsi="Arial" w:cs="Arial"/>
        </w:rPr>
        <w:t>g</w:t>
      </w:r>
      <w:r>
        <w:rPr>
          <w:rFonts w:ascii="Arial" w:hAnsi="Arial" w:cs="Arial"/>
        </w:rPr>
        <w:t xml:space="preserve">ical </w:t>
      </w:r>
      <w:r w:rsidR="00E60803">
        <w:rPr>
          <w:rFonts w:ascii="Arial" w:hAnsi="Arial" w:cs="Arial"/>
        </w:rPr>
        <w:t xml:space="preserve">socio-legal </w:t>
      </w:r>
      <w:r>
        <w:rPr>
          <w:rFonts w:ascii="Arial" w:hAnsi="Arial" w:cs="Arial"/>
        </w:rPr>
        <w:t xml:space="preserve">assumption on which this paper is based is that </w:t>
      </w:r>
      <w:r w:rsidR="008E4424">
        <w:rPr>
          <w:rFonts w:ascii="Arial" w:hAnsi="Arial" w:cs="Arial"/>
        </w:rPr>
        <w:t>r</w:t>
      </w:r>
      <w:r w:rsidR="00316F80" w:rsidRPr="00316F80">
        <w:rPr>
          <w:rFonts w:ascii="Arial" w:hAnsi="Arial" w:cs="Arial"/>
        </w:rPr>
        <w:t>ecognition should be made that before laws or legal vehicles come principles. The classic example in construction law is</w:t>
      </w:r>
      <w:r w:rsidR="00E70873">
        <w:rPr>
          <w:rFonts w:ascii="Arial" w:hAnsi="Arial" w:cs="Arial"/>
        </w:rPr>
        <w:t xml:space="preserve"> the afore-mentioned</w:t>
      </w:r>
      <w:r w:rsidR="00316F80" w:rsidRPr="00316F80">
        <w:rPr>
          <w:rFonts w:ascii="Arial" w:hAnsi="Arial" w:cs="Arial"/>
        </w:rPr>
        <w:t xml:space="preserve"> Abrahamson’s principles </w:t>
      </w:r>
      <w:r w:rsidR="00511C52">
        <w:rPr>
          <w:rFonts w:ascii="Arial" w:hAnsi="Arial" w:cs="Arial"/>
        </w:rPr>
        <w:fldChar w:fldCharType="begin"/>
      </w:r>
      <w:r w:rsidR="00511C52">
        <w:rPr>
          <w:rFonts w:ascii="Arial" w:hAnsi="Arial" w:cs="Arial"/>
        </w:rPr>
        <w:instrText xml:space="preserve"> ADDIN ZOTERO_ITEM CSL_CITATION {"citationID":"maG8eHwA","properties":{"formattedCitation":"(Abrahamson, n.d.)","plainCitation":"(Abrahamson, n.d.)","noteIndex":0},"citationItems":[{"id":199,"uris":["http://zotero.org/users/10424302/items/7JJV3DDA"],"itemData":{"id":199,"type":"article-journal","container-title":"International Construction Law Review","page":"241–244","source":"Google Scholar","title":"Risk Management'(1983)","volume":"1","author":[{"family":"Abrahamson","given":"Max W."}]}}],"schema":"https://github.com/citation-style-language/schema/raw/master/csl-citation.json"} </w:instrText>
      </w:r>
      <w:r w:rsidR="00511C52">
        <w:rPr>
          <w:rFonts w:ascii="Arial" w:hAnsi="Arial" w:cs="Arial"/>
        </w:rPr>
        <w:fldChar w:fldCharType="separate"/>
      </w:r>
      <w:r w:rsidR="00511C52" w:rsidRPr="00511C52">
        <w:rPr>
          <w:rFonts w:ascii="Arial" w:hAnsi="Arial" w:cs="Arial"/>
        </w:rPr>
        <w:t xml:space="preserve">(Abrahamson, </w:t>
      </w:r>
      <w:r w:rsidR="00A80EC5">
        <w:rPr>
          <w:rFonts w:ascii="Arial" w:hAnsi="Arial" w:cs="Arial"/>
        </w:rPr>
        <w:t>198</w:t>
      </w:r>
      <w:r w:rsidR="00070705">
        <w:rPr>
          <w:rFonts w:ascii="Arial" w:hAnsi="Arial" w:cs="Arial"/>
        </w:rPr>
        <w:t>3</w:t>
      </w:r>
      <w:r w:rsidR="00511C52" w:rsidRPr="00511C52">
        <w:rPr>
          <w:rFonts w:ascii="Arial" w:hAnsi="Arial" w:cs="Arial"/>
        </w:rPr>
        <w:t>)</w:t>
      </w:r>
      <w:r w:rsidR="00511C52">
        <w:rPr>
          <w:rFonts w:ascii="Arial" w:hAnsi="Arial" w:cs="Arial"/>
        </w:rPr>
        <w:fldChar w:fldCharType="end"/>
      </w:r>
      <w:r w:rsidR="00316F80" w:rsidRPr="00316F80">
        <w:rPr>
          <w:rFonts w:ascii="Arial" w:hAnsi="Arial" w:cs="Arial"/>
        </w:rPr>
        <w:t xml:space="preserve"> from which the risk profile of standard form contracts was based. Another is the Latham report </w:t>
      </w:r>
      <w:r w:rsidR="00511C52">
        <w:rPr>
          <w:rFonts w:ascii="Arial" w:hAnsi="Arial" w:cs="Arial"/>
        </w:rPr>
        <w:fldChar w:fldCharType="begin"/>
      </w:r>
      <w:r w:rsidR="00511C52">
        <w:rPr>
          <w:rFonts w:ascii="Arial" w:hAnsi="Arial" w:cs="Arial"/>
        </w:rPr>
        <w:instrText xml:space="preserve"> ADDIN ZOTERO_ITEM CSL_CITATION {"citationID":"bGycZLwI","properties":{"formattedCitation":"(Latham, 1994)","plainCitation":"(Latham, 1994)","noteIndex":0},"citationItems":[{"id":2447,"uris":["http://zotero.org/users/10424302/items/EJQI4KB7"],"itemData":{"id":2447,"type":"article-journal","note":"publisher: HM Stationery Office London","source":"Google Scholar","title":"Constructing the team","author":[{"family":"Latham","given":"Sir Michael"}],"issued":{"date-parts":[["1994"]]}}}],"schema":"https://github.com/citation-style-language/schema/raw/master/csl-citation.json"} </w:instrText>
      </w:r>
      <w:r w:rsidR="00511C52">
        <w:rPr>
          <w:rFonts w:ascii="Arial" w:hAnsi="Arial" w:cs="Arial"/>
        </w:rPr>
        <w:fldChar w:fldCharType="separate"/>
      </w:r>
      <w:r w:rsidR="00511C52" w:rsidRPr="00511C52">
        <w:rPr>
          <w:rFonts w:ascii="Arial" w:hAnsi="Arial" w:cs="Arial"/>
        </w:rPr>
        <w:t>(Latham, 1994)</w:t>
      </w:r>
      <w:r w:rsidR="00511C52">
        <w:rPr>
          <w:rFonts w:ascii="Arial" w:hAnsi="Arial" w:cs="Arial"/>
        </w:rPr>
        <w:fldChar w:fldCharType="end"/>
      </w:r>
      <w:r w:rsidR="00511C52">
        <w:rPr>
          <w:rFonts w:ascii="Arial" w:hAnsi="Arial" w:cs="Arial"/>
        </w:rPr>
        <w:t xml:space="preserve"> </w:t>
      </w:r>
      <w:r w:rsidR="00316F80" w:rsidRPr="00316F80">
        <w:rPr>
          <w:rFonts w:ascii="Arial" w:hAnsi="Arial" w:cs="Arial"/>
        </w:rPr>
        <w:t xml:space="preserve">whose principles (recommendations) lead to the Housing Grants Construction and Regeneration Act of 1996. The Hackitt review </w:t>
      </w:r>
      <w:r w:rsidR="00511C52">
        <w:rPr>
          <w:rFonts w:ascii="Arial" w:hAnsi="Arial" w:cs="Arial"/>
        </w:rPr>
        <w:fldChar w:fldCharType="begin"/>
      </w:r>
      <w:r w:rsidR="00511C52">
        <w:rPr>
          <w:rFonts w:ascii="Arial" w:hAnsi="Arial" w:cs="Arial"/>
        </w:rPr>
        <w:instrText xml:space="preserve"> ADDIN ZOTERO_ITEM CSL_CITATION {"citationID":"GdzEpwI9","properties":{"formattedCitation":"(Hackitt, 2018)","plainCitation":"(Hackitt, 2018)","noteIndex":0},"citationItems":[{"id":2449,"uris":["http://zotero.org/users/10424302/items/H2PTFEBW"],"itemData":{"id":2449,"type":"article-journal","container-title":"Parliament by the Secretary of State for Housing, Communities and Local Government by Command of Her Majesty","source":"Google Scholar","title":"Independent review of building regulations and fire safety","author":[{"family":"Hackitt","given":"J."}],"issued":{"date-parts":[["2018"]]}}}],"schema":"https://github.com/citation-style-language/schema/raw/master/csl-citation.json"} </w:instrText>
      </w:r>
      <w:r w:rsidR="00511C52">
        <w:rPr>
          <w:rFonts w:ascii="Arial" w:hAnsi="Arial" w:cs="Arial"/>
        </w:rPr>
        <w:fldChar w:fldCharType="separate"/>
      </w:r>
      <w:r w:rsidR="00511C52" w:rsidRPr="00511C52">
        <w:rPr>
          <w:rFonts w:ascii="Arial" w:hAnsi="Arial" w:cs="Arial"/>
        </w:rPr>
        <w:t>(Hackitt, 2018)</w:t>
      </w:r>
      <w:r w:rsidR="00511C52">
        <w:rPr>
          <w:rFonts w:ascii="Arial" w:hAnsi="Arial" w:cs="Arial"/>
        </w:rPr>
        <w:fldChar w:fldCharType="end"/>
      </w:r>
      <w:r w:rsidR="00316F80" w:rsidRPr="00316F80">
        <w:rPr>
          <w:rFonts w:ascii="Arial" w:hAnsi="Arial" w:cs="Arial"/>
        </w:rPr>
        <w:t xml:space="preserve"> and its golden thread of data principle as hopefully to be enacted further in the Building Safety Act 2022 is the latest in the line of examples of </w:t>
      </w:r>
      <w:r w:rsidR="00355DEB">
        <w:rPr>
          <w:rFonts w:ascii="Arial" w:hAnsi="Arial" w:cs="Arial"/>
        </w:rPr>
        <w:t>the best place to start</w:t>
      </w:r>
      <w:r w:rsidR="00316F80" w:rsidRPr="00316F80">
        <w:rPr>
          <w:rFonts w:ascii="Arial" w:hAnsi="Arial" w:cs="Arial"/>
        </w:rPr>
        <w:t xml:space="preserve"> – </w:t>
      </w:r>
      <w:r w:rsidR="00355DEB">
        <w:rPr>
          <w:rFonts w:ascii="Arial" w:hAnsi="Arial" w:cs="Arial"/>
        </w:rPr>
        <w:t xml:space="preserve">with </w:t>
      </w:r>
      <w:r w:rsidR="00316F80" w:rsidRPr="00316F80">
        <w:rPr>
          <w:rFonts w:ascii="Arial" w:hAnsi="Arial" w:cs="Arial"/>
        </w:rPr>
        <w:t xml:space="preserve">the </w:t>
      </w:r>
      <w:r w:rsidR="00355DEB">
        <w:rPr>
          <w:rFonts w:ascii="Arial" w:hAnsi="Arial" w:cs="Arial"/>
        </w:rPr>
        <w:t>“</w:t>
      </w:r>
      <w:r w:rsidR="00316F80" w:rsidRPr="00316F80">
        <w:rPr>
          <w:rFonts w:ascii="Arial" w:hAnsi="Arial" w:cs="Arial"/>
        </w:rPr>
        <w:t>why</w:t>
      </w:r>
      <w:r w:rsidR="00355DEB">
        <w:rPr>
          <w:rFonts w:ascii="Arial" w:hAnsi="Arial" w:cs="Arial"/>
        </w:rPr>
        <w:t>”</w:t>
      </w:r>
      <w:r w:rsidR="00316F80" w:rsidRPr="00316F80">
        <w:rPr>
          <w:rFonts w:ascii="Arial" w:hAnsi="Arial" w:cs="Arial"/>
        </w:rPr>
        <w:t xml:space="preserve">. </w:t>
      </w:r>
    </w:p>
    <w:p w14:paraId="250E3D60" w14:textId="74C3CDFD" w:rsidR="00DA1408" w:rsidRDefault="00316F80" w:rsidP="00E7620D">
      <w:pPr>
        <w:spacing w:line="360" w:lineRule="auto"/>
        <w:jc w:val="both"/>
        <w:rPr>
          <w:rFonts w:ascii="Arial" w:hAnsi="Arial" w:cs="Arial"/>
        </w:rPr>
      </w:pPr>
      <w:r w:rsidRPr="00316F80">
        <w:rPr>
          <w:rFonts w:ascii="Arial" w:hAnsi="Arial" w:cs="Arial"/>
        </w:rPr>
        <w:t>The starting point for this discussion is therefore that if we already have available the collaboration imperative</w:t>
      </w:r>
      <w:r w:rsidR="003609F8">
        <w:rPr>
          <w:rFonts w:ascii="Arial" w:hAnsi="Arial" w:cs="Arial"/>
        </w:rPr>
        <w:t xml:space="preserve"> and</w:t>
      </w:r>
      <w:r w:rsidRPr="00316F80">
        <w:rPr>
          <w:rFonts w:ascii="Arial" w:hAnsi="Arial" w:cs="Arial"/>
        </w:rPr>
        <w:t xml:space="preserve"> the technological infrastructure</w:t>
      </w:r>
      <w:r w:rsidR="003609F8">
        <w:rPr>
          <w:rFonts w:ascii="Arial" w:hAnsi="Arial" w:cs="Arial"/>
        </w:rPr>
        <w:t xml:space="preserve"> which are required for</w:t>
      </w:r>
      <w:r w:rsidRPr="00316F80">
        <w:rPr>
          <w:rFonts w:ascii="Arial" w:hAnsi="Arial" w:cs="Arial"/>
        </w:rPr>
        <w:t xml:space="preserve"> smart contracts. What is required are the principles around the guidance of wh</w:t>
      </w:r>
      <w:r w:rsidR="00F85902">
        <w:rPr>
          <w:rFonts w:ascii="Arial" w:hAnsi="Arial" w:cs="Arial"/>
        </w:rPr>
        <w:t>at terms</w:t>
      </w:r>
      <w:r w:rsidRPr="00316F80">
        <w:rPr>
          <w:rFonts w:ascii="Arial" w:hAnsi="Arial" w:cs="Arial"/>
        </w:rPr>
        <w:t xml:space="preserve"> to automate, on the premise that smart contract adoption will be incremental. The basic question is “what should guide our hand in deciding wh</w:t>
      </w:r>
      <w:r w:rsidR="00F85902">
        <w:rPr>
          <w:rFonts w:ascii="Arial" w:hAnsi="Arial" w:cs="Arial"/>
        </w:rPr>
        <w:t>ich clauses should be</w:t>
      </w:r>
      <w:r w:rsidRPr="00316F80">
        <w:rPr>
          <w:rFonts w:ascii="Arial" w:hAnsi="Arial" w:cs="Arial"/>
        </w:rPr>
        <w:t xml:space="preserve"> automate</w:t>
      </w:r>
      <w:r w:rsidR="00F85902">
        <w:rPr>
          <w:rFonts w:ascii="Arial" w:hAnsi="Arial" w:cs="Arial"/>
        </w:rPr>
        <w:t>d</w:t>
      </w:r>
      <w:r w:rsidRPr="00316F80">
        <w:rPr>
          <w:rFonts w:ascii="Arial" w:hAnsi="Arial" w:cs="Arial"/>
        </w:rPr>
        <w:t xml:space="preserve"> next?”</w:t>
      </w:r>
      <w:r w:rsidR="00E7620D">
        <w:rPr>
          <w:rFonts w:ascii="Arial" w:hAnsi="Arial" w:cs="Arial"/>
        </w:rPr>
        <w:t xml:space="preserve"> </w:t>
      </w:r>
      <w:r w:rsidR="00F20D36">
        <w:rPr>
          <w:rFonts w:ascii="Arial" w:hAnsi="Arial" w:cs="Arial"/>
        </w:rPr>
        <w:t>The requirement of validation of the principles will be required following their dissemination</w:t>
      </w:r>
      <w:r w:rsidR="00412822">
        <w:rPr>
          <w:rFonts w:ascii="Arial" w:hAnsi="Arial" w:cs="Arial"/>
        </w:rPr>
        <w:t xml:space="preserve"> and is an eagerly anticipated piece of </w:t>
      </w:r>
      <w:proofErr w:type="gramStart"/>
      <w:r w:rsidR="00412822">
        <w:rPr>
          <w:rFonts w:ascii="Arial" w:hAnsi="Arial" w:cs="Arial"/>
        </w:rPr>
        <w:t>research in itself</w:t>
      </w:r>
      <w:proofErr w:type="gramEnd"/>
      <w:r w:rsidR="00412822">
        <w:rPr>
          <w:rFonts w:ascii="Arial" w:hAnsi="Arial" w:cs="Arial"/>
        </w:rPr>
        <w:t>.</w:t>
      </w:r>
    </w:p>
    <w:p w14:paraId="7A77483C" w14:textId="77777777" w:rsidR="00901BF3" w:rsidRDefault="00901BF3" w:rsidP="00E7620D">
      <w:pPr>
        <w:spacing w:line="360" w:lineRule="auto"/>
        <w:jc w:val="both"/>
        <w:rPr>
          <w:rFonts w:ascii="Arial" w:hAnsi="Arial" w:cs="Arial"/>
        </w:rPr>
      </w:pPr>
    </w:p>
    <w:p w14:paraId="256EDDCB" w14:textId="77777777" w:rsidR="00970B67" w:rsidRDefault="00970B67" w:rsidP="00E7620D">
      <w:pPr>
        <w:spacing w:line="360" w:lineRule="auto"/>
        <w:jc w:val="both"/>
        <w:rPr>
          <w:rFonts w:ascii="Arial" w:hAnsi="Arial" w:cs="Arial"/>
        </w:rPr>
      </w:pPr>
    </w:p>
    <w:p w14:paraId="2377F34F" w14:textId="12222DCD" w:rsidR="0098296F" w:rsidRPr="00901BF3" w:rsidRDefault="007951A5" w:rsidP="00901BF3">
      <w:pPr>
        <w:rPr>
          <w:rFonts w:ascii="Arial" w:hAnsi="Arial" w:cs="Arial"/>
          <w:sz w:val="24"/>
          <w:szCs w:val="24"/>
        </w:rPr>
      </w:pPr>
      <w:r w:rsidRPr="00901BF3">
        <w:rPr>
          <w:rFonts w:ascii="Arial" w:hAnsi="Arial" w:cs="Arial"/>
          <w:sz w:val="24"/>
          <w:szCs w:val="24"/>
        </w:rPr>
        <w:lastRenderedPageBreak/>
        <w:t xml:space="preserve">Findings - </w:t>
      </w:r>
      <w:r w:rsidR="0098296F" w:rsidRPr="00901BF3">
        <w:rPr>
          <w:rFonts w:ascii="Arial" w:hAnsi="Arial" w:cs="Arial"/>
          <w:sz w:val="24"/>
          <w:szCs w:val="24"/>
        </w:rPr>
        <w:t xml:space="preserve">The </w:t>
      </w:r>
      <w:r w:rsidR="00DF534E" w:rsidRPr="00901BF3">
        <w:rPr>
          <w:rFonts w:ascii="Arial" w:hAnsi="Arial" w:cs="Arial"/>
          <w:sz w:val="24"/>
          <w:szCs w:val="24"/>
        </w:rPr>
        <w:t xml:space="preserve">Old and </w:t>
      </w:r>
      <w:r w:rsidR="0098296F" w:rsidRPr="00901BF3">
        <w:rPr>
          <w:rFonts w:ascii="Arial" w:hAnsi="Arial" w:cs="Arial"/>
          <w:sz w:val="24"/>
          <w:szCs w:val="24"/>
        </w:rPr>
        <w:t>New Principles</w:t>
      </w:r>
    </w:p>
    <w:p w14:paraId="3664BA06" w14:textId="1D930304" w:rsidR="00B96891" w:rsidRPr="0077659A" w:rsidRDefault="00B96891" w:rsidP="002401ED">
      <w:pPr>
        <w:spacing w:line="360" w:lineRule="auto"/>
        <w:jc w:val="both"/>
        <w:rPr>
          <w:rFonts w:ascii="Arial" w:hAnsi="Arial" w:cs="Arial"/>
        </w:rPr>
      </w:pPr>
      <w:r w:rsidRPr="0077659A">
        <w:rPr>
          <w:rFonts w:ascii="Arial" w:hAnsi="Arial" w:cs="Arial"/>
        </w:rPr>
        <w:t>Abrahamson</w:t>
      </w:r>
      <w:r>
        <w:rPr>
          <w:rFonts w:ascii="Arial" w:hAnsi="Arial" w:cs="Arial"/>
        </w:rPr>
        <w:t>’s</w:t>
      </w:r>
      <w:r w:rsidRPr="0077659A">
        <w:rPr>
          <w:rFonts w:ascii="Arial" w:hAnsi="Arial" w:cs="Arial"/>
        </w:rPr>
        <w:t xml:space="preserve"> five principles </w:t>
      </w:r>
      <w:r w:rsidR="00DA1408">
        <w:rPr>
          <w:rFonts w:ascii="Arial" w:hAnsi="Arial" w:cs="Arial"/>
        </w:rPr>
        <w:t xml:space="preserve">(see Figure 1) </w:t>
      </w:r>
      <w:r w:rsidRPr="0077659A">
        <w:rPr>
          <w:rFonts w:ascii="Arial" w:hAnsi="Arial" w:cs="Arial"/>
        </w:rPr>
        <w:t>can be summarised as follows: a party should take the risk if that party is:</w:t>
      </w:r>
    </w:p>
    <w:p w14:paraId="51413CE3" w14:textId="77777777" w:rsidR="00B96891" w:rsidRPr="00084835" w:rsidRDefault="00B96891" w:rsidP="002401ED">
      <w:pPr>
        <w:pStyle w:val="ListParagraph"/>
        <w:numPr>
          <w:ilvl w:val="0"/>
          <w:numId w:val="1"/>
        </w:numPr>
        <w:spacing w:line="360" w:lineRule="auto"/>
        <w:jc w:val="both"/>
        <w:rPr>
          <w:rFonts w:ascii="Arial" w:hAnsi="Arial" w:cs="Arial"/>
        </w:rPr>
      </w:pPr>
      <w:r w:rsidRPr="00084835">
        <w:rPr>
          <w:rFonts w:ascii="Arial" w:hAnsi="Arial" w:cs="Arial"/>
        </w:rPr>
        <w:t>In one party’s control</w:t>
      </w:r>
    </w:p>
    <w:p w14:paraId="4EC9BFF5" w14:textId="77777777" w:rsidR="00B96891" w:rsidRPr="00084835" w:rsidRDefault="00B96891" w:rsidP="002401ED">
      <w:pPr>
        <w:pStyle w:val="ListParagraph"/>
        <w:numPr>
          <w:ilvl w:val="0"/>
          <w:numId w:val="1"/>
        </w:numPr>
        <w:spacing w:line="360" w:lineRule="auto"/>
        <w:jc w:val="both"/>
        <w:rPr>
          <w:rFonts w:ascii="Arial" w:hAnsi="Arial" w:cs="Arial"/>
        </w:rPr>
      </w:pPr>
      <w:r w:rsidRPr="00084835">
        <w:rPr>
          <w:rFonts w:ascii="Arial" w:hAnsi="Arial" w:cs="Arial"/>
        </w:rPr>
        <w:t xml:space="preserve">able to insure </w:t>
      </w:r>
      <w:proofErr w:type="gramStart"/>
      <w:r w:rsidRPr="00084835">
        <w:rPr>
          <w:rFonts w:ascii="Arial" w:hAnsi="Arial" w:cs="Arial"/>
        </w:rPr>
        <w:t>it</w:t>
      </w:r>
      <w:proofErr w:type="gramEnd"/>
    </w:p>
    <w:p w14:paraId="2CD5FEA2" w14:textId="77777777" w:rsidR="00B96891" w:rsidRPr="00084835" w:rsidRDefault="00B96891" w:rsidP="002401ED">
      <w:pPr>
        <w:pStyle w:val="ListParagraph"/>
        <w:numPr>
          <w:ilvl w:val="0"/>
          <w:numId w:val="1"/>
        </w:numPr>
        <w:spacing w:line="360" w:lineRule="auto"/>
        <w:jc w:val="both"/>
        <w:rPr>
          <w:rFonts w:ascii="Arial" w:hAnsi="Arial" w:cs="Arial"/>
        </w:rPr>
      </w:pPr>
      <w:r w:rsidRPr="00084835">
        <w:rPr>
          <w:rFonts w:ascii="Arial" w:hAnsi="Arial" w:cs="Arial"/>
        </w:rPr>
        <w:t>the most efficient party to take the risk.</w:t>
      </w:r>
    </w:p>
    <w:p w14:paraId="28966485" w14:textId="77777777" w:rsidR="00B96891" w:rsidRPr="00084835" w:rsidRDefault="00B96891" w:rsidP="002401ED">
      <w:pPr>
        <w:pStyle w:val="ListParagraph"/>
        <w:numPr>
          <w:ilvl w:val="0"/>
          <w:numId w:val="1"/>
        </w:numPr>
        <w:spacing w:line="360" w:lineRule="auto"/>
        <w:jc w:val="both"/>
        <w:rPr>
          <w:rFonts w:ascii="Arial" w:hAnsi="Arial" w:cs="Arial"/>
        </w:rPr>
      </w:pPr>
      <w:r w:rsidRPr="00084835">
        <w:rPr>
          <w:rFonts w:ascii="Arial" w:hAnsi="Arial" w:cs="Arial"/>
        </w:rPr>
        <w:t>accrues the economic benefit if the priced risk does not eventuate.</w:t>
      </w:r>
    </w:p>
    <w:p w14:paraId="2C9B09B9" w14:textId="77777777" w:rsidR="00B96891" w:rsidRPr="00084835" w:rsidRDefault="00B96891" w:rsidP="002401ED">
      <w:pPr>
        <w:pStyle w:val="ListParagraph"/>
        <w:numPr>
          <w:ilvl w:val="0"/>
          <w:numId w:val="1"/>
        </w:numPr>
        <w:spacing w:line="360" w:lineRule="auto"/>
        <w:jc w:val="both"/>
        <w:rPr>
          <w:rFonts w:ascii="Arial" w:hAnsi="Arial" w:cs="Arial"/>
        </w:rPr>
      </w:pPr>
      <w:r w:rsidRPr="00084835">
        <w:rPr>
          <w:rFonts w:ascii="Arial" w:hAnsi="Arial" w:cs="Arial"/>
        </w:rPr>
        <w:t>is more effected if the risk eventuates.</w:t>
      </w:r>
    </w:p>
    <w:p w14:paraId="52D0DC04" w14:textId="61D856C1" w:rsidR="00B96891" w:rsidRPr="0077659A" w:rsidRDefault="00D372AB" w:rsidP="002401ED">
      <w:pPr>
        <w:spacing w:line="360" w:lineRule="auto"/>
        <w:jc w:val="both"/>
        <w:rPr>
          <w:rFonts w:ascii="Arial" w:hAnsi="Arial" w:cs="Arial"/>
        </w:rPr>
      </w:pPr>
      <w:r>
        <w:rPr>
          <w:rFonts w:ascii="Arial" w:hAnsi="Arial" w:cs="Arial"/>
        </w:rPr>
        <w:t>The application of both sets of principles is based on a majority outcome</w:t>
      </w:r>
      <w:r w:rsidR="00E70BCB">
        <w:rPr>
          <w:rFonts w:ascii="Arial" w:hAnsi="Arial" w:cs="Arial"/>
        </w:rPr>
        <w:t xml:space="preserve">. Most risks give a clear outcome, for example, design risk sitting with the client on a traditionally procured project. </w:t>
      </w:r>
      <w:r w:rsidR="00A66D4C">
        <w:rPr>
          <w:rFonts w:ascii="Arial" w:hAnsi="Arial" w:cs="Arial"/>
        </w:rPr>
        <w:t xml:space="preserve">Other risks are more nuanced, such as ground conditions where a careful weighing up on the risk principles are required. </w:t>
      </w:r>
      <w:r w:rsidR="009A1CAE">
        <w:rPr>
          <w:rFonts w:ascii="Arial" w:hAnsi="Arial" w:cs="Arial"/>
        </w:rPr>
        <w:t xml:space="preserve">The author maintains that this risk should rest with the client as </w:t>
      </w:r>
      <w:r w:rsidR="00F91799">
        <w:rPr>
          <w:rFonts w:ascii="Arial" w:hAnsi="Arial" w:cs="Arial"/>
        </w:rPr>
        <w:t xml:space="preserve">it is in their control for longer (i), </w:t>
      </w:r>
      <w:r w:rsidR="0095092A">
        <w:rPr>
          <w:rFonts w:ascii="Arial" w:hAnsi="Arial" w:cs="Arial"/>
        </w:rPr>
        <w:t>insurance products are available (ii</w:t>
      </w:r>
      <w:proofErr w:type="gramStart"/>
      <w:r w:rsidR="0095092A">
        <w:rPr>
          <w:rFonts w:ascii="Arial" w:hAnsi="Arial" w:cs="Arial"/>
        </w:rPr>
        <w:t>)</w:t>
      </w:r>
      <w:proofErr w:type="gramEnd"/>
      <w:r w:rsidR="0095092A">
        <w:rPr>
          <w:rFonts w:ascii="Arial" w:hAnsi="Arial" w:cs="Arial"/>
        </w:rPr>
        <w:t xml:space="preserve"> and it </w:t>
      </w:r>
      <w:r w:rsidR="00F91799">
        <w:rPr>
          <w:rFonts w:ascii="Arial" w:hAnsi="Arial" w:cs="Arial"/>
        </w:rPr>
        <w:t>results in efficiencies (iii</w:t>
      </w:r>
      <w:r w:rsidR="0095092A">
        <w:rPr>
          <w:rFonts w:ascii="Arial" w:hAnsi="Arial" w:cs="Arial"/>
        </w:rPr>
        <w:t xml:space="preserve">). This is more persuasive that the contractor running the risk of </w:t>
      </w:r>
      <w:r w:rsidR="00865AE8">
        <w:rPr>
          <w:rFonts w:ascii="Arial" w:hAnsi="Arial" w:cs="Arial"/>
        </w:rPr>
        <w:t xml:space="preserve">gaining an economic benefit (iv) and </w:t>
      </w:r>
      <w:r w:rsidR="0095092A">
        <w:rPr>
          <w:rFonts w:ascii="Arial" w:hAnsi="Arial" w:cs="Arial"/>
        </w:rPr>
        <w:t>being most impacted</w:t>
      </w:r>
      <w:r w:rsidR="00865AE8">
        <w:rPr>
          <w:rFonts w:ascii="Arial" w:hAnsi="Arial" w:cs="Arial"/>
        </w:rPr>
        <w:t xml:space="preserve"> (v)</w:t>
      </w:r>
      <w:r w:rsidR="007A2702">
        <w:rPr>
          <w:rFonts w:ascii="Arial" w:hAnsi="Arial" w:cs="Arial"/>
        </w:rPr>
        <w:t xml:space="preserve">. In either case, the risk can be mitigated by proper site investigations. </w:t>
      </w:r>
      <w:r w:rsidR="00B96891" w:rsidRPr="0077659A">
        <w:rPr>
          <w:rFonts w:ascii="Arial" w:hAnsi="Arial" w:cs="Arial"/>
        </w:rPr>
        <w:t xml:space="preserve">Abrahamson was self-effacing in terms of the cogency of the risks and the potential for them to give conflicting outcomes. </w:t>
      </w:r>
      <w:r w:rsidR="00621CA8">
        <w:rPr>
          <w:rFonts w:ascii="Arial" w:hAnsi="Arial" w:cs="Arial"/>
        </w:rPr>
        <w:t>Nevertheless, h</w:t>
      </w:r>
      <w:r w:rsidR="00B96891" w:rsidRPr="0077659A">
        <w:rPr>
          <w:rFonts w:ascii="Arial" w:hAnsi="Arial" w:cs="Arial"/>
        </w:rPr>
        <w:t xml:space="preserve">e recognised that </w:t>
      </w:r>
      <w:r w:rsidR="00621CA8">
        <w:rPr>
          <w:rFonts w:ascii="Arial" w:hAnsi="Arial" w:cs="Arial"/>
        </w:rPr>
        <w:t xml:space="preserve">it </w:t>
      </w:r>
      <w:r w:rsidR="00B96891" w:rsidRPr="0077659A">
        <w:rPr>
          <w:rFonts w:ascii="Arial" w:hAnsi="Arial" w:cs="Arial"/>
        </w:rPr>
        <w:t>was “better to start from a position of principle than of unspoken bias”</w:t>
      </w:r>
      <w:r w:rsidR="00621CA8">
        <w:rPr>
          <w:rFonts w:ascii="Arial" w:hAnsi="Arial" w:cs="Arial"/>
        </w:rPr>
        <w:t xml:space="preserve"> (Abrahamson, 1983)</w:t>
      </w:r>
      <w:r w:rsidR="00B96891" w:rsidRPr="0077659A">
        <w:rPr>
          <w:rFonts w:ascii="Arial" w:hAnsi="Arial" w:cs="Arial"/>
        </w:rPr>
        <w:t xml:space="preserve">. </w:t>
      </w:r>
    </w:p>
    <w:p w14:paraId="4DB8DAB9" w14:textId="56D17B45" w:rsidR="00A25BA2" w:rsidRPr="0077659A" w:rsidRDefault="00A25BA2" w:rsidP="002401ED">
      <w:pPr>
        <w:spacing w:line="360" w:lineRule="auto"/>
        <w:jc w:val="both"/>
        <w:rPr>
          <w:rFonts w:ascii="Arial" w:hAnsi="Arial" w:cs="Arial"/>
        </w:rPr>
      </w:pPr>
      <w:r w:rsidRPr="0077659A">
        <w:rPr>
          <w:rFonts w:ascii="Arial" w:hAnsi="Arial" w:cs="Arial"/>
        </w:rPr>
        <w:t xml:space="preserve">Taking the Abrahamson approach, this paper proposes five new principles to guide the </w:t>
      </w:r>
      <w:r w:rsidR="00052E88">
        <w:rPr>
          <w:rFonts w:ascii="Arial" w:hAnsi="Arial" w:cs="Arial"/>
        </w:rPr>
        <w:t>construction</w:t>
      </w:r>
      <w:r w:rsidRPr="0077659A">
        <w:rPr>
          <w:rFonts w:ascii="Arial" w:hAnsi="Arial" w:cs="Arial"/>
        </w:rPr>
        <w:t xml:space="preserve"> sector towards automation</w:t>
      </w:r>
      <w:r w:rsidR="00E87D67">
        <w:rPr>
          <w:rFonts w:ascii="Arial" w:hAnsi="Arial" w:cs="Arial"/>
        </w:rPr>
        <w:t xml:space="preserve"> (see Figure 2)</w:t>
      </w:r>
      <w:r w:rsidRPr="0077659A">
        <w:rPr>
          <w:rFonts w:ascii="Arial" w:hAnsi="Arial" w:cs="Arial"/>
        </w:rPr>
        <w:t xml:space="preserve">. </w:t>
      </w:r>
      <w:r w:rsidR="00A70242">
        <w:rPr>
          <w:rFonts w:ascii="Arial" w:hAnsi="Arial" w:cs="Arial"/>
        </w:rPr>
        <w:t>The recommendation to automate is again based on a majority outcome</w:t>
      </w:r>
      <w:r w:rsidR="00AB3693">
        <w:rPr>
          <w:rFonts w:ascii="Arial" w:hAnsi="Arial" w:cs="Arial"/>
        </w:rPr>
        <w:t xml:space="preserve"> whether in favour or cautioning against the selection of the term. </w:t>
      </w:r>
      <w:r w:rsidRPr="0077659A">
        <w:rPr>
          <w:rFonts w:ascii="Arial" w:hAnsi="Arial" w:cs="Arial"/>
        </w:rPr>
        <w:t>Automate a contractual term, where:</w:t>
      </w:r>
    </w:p>
    <w:p w14:paraId="47ABC51F" w14:textId="77777777" w:rsidR="00A25BA2" w:rsidRPr="0077659A" w:rsidRDefault="00A25BA2" w:rsidP="002401ED">
      <w:pPr>
        <w:spacing w:line="360" w:lineRule="auto"/>
        <w:jc w:val="both"/>
        <w:rPr>
          <w:rFonts w:ascii="Arial" w:hAnsi="Arial" w:cs="Arial"/>
        </w:rPr>
      </w:pPr>
      <w:r w:rsidRPr="0077659A">
        <w:rPr>
          <w:rFonts w:ascii="Arial" w:hAnsi="Arial" w:cs="Arial"/>
        </w:rPr>
        <w:t>i)</w:t>
      </w:r>
      <w:r w:rsidRPr="0077659A">
        <w:rPr>
          <w:rFonts w:ascii="Arial" w:hAnsi="Arial" w:cs="Arial"/>
        </w:rPr>
        <w:tab/>
        <w:t>it is in the parties’ control and/or insurable.</w:t>
      </w:r>
    </w:p>
    <w:p w14:paraId="23B60EE7" w14:textId="77777777" w:rsidR="00A25BA2" w:rsidRPr="0077659A" w:rsidRDefault="00A25BA2" w:rsidP="002401ED">
      <w:pPr>
        <w:spacing w:line="360" w:lineRule="auto"/>
        <w:jc w:val="both"/>
        <w:rPr>
          <w:rFonts w:ascii="Arial" w:hAnsi="Arial" w:cs="Arial"/>
        </w:rPr>
      </w:pPr>
      <w:r w:rsidRPr="0077659A">
        <w:rPr>
          <w:rFonts w:ascii="Arial" w:hAnsi="Arial" w:cs="Arial"/>
        </w:rPr>
        <w:t>ii)</w:t>
      </w:r>
      <w:r w:rsidRPr="0077659A">
        <w:rPr>
          <w:rFonts w:ascii="Arial" w:hAnsi="Arial" w:cs="Arial"/>
        </w:rPr>
        <w:tab/>
        <w:t>the contract logic is codable and substantiates what preceded.</w:t>
      </w:r>
    </w:p>
    <w:p w14:paraId="6AA9C509" w14:textId="55074016" w:rsidR="00A25BA2" w:rsidRPr="0077659A" w:rsidRDefault="00A25BA2" w:rsidP="002401ED">
      <w:pPr>
        <w:spacing w:line="360" w:lineRule="auto"/>
        <w:ind w:left="720" w:hanging="720"/>
        <w:jc w:val="both"/>
        <w:rPr>
          <w:rFonts w:ascii="Arial" w:hAnsi="Arial" w:cs="Arial"/>
        </w:rPr>
      </w:pPr>
      <w:r w:rsidRPr="0077659A">
        <w:rPr>
          <w:rFonts w:ascii="Arial" w:hAnsi="Arial" w:cs="Arial"/>
        </w:rPr>
        <w:t>iii)</w:t>
      </w:r>
      <w:r w:rsidRPr="0077659A">
        <w:rPr>
          <w:rFonts w:ascii="Arial" w:hAnsi="Arial" w:cs="Arial"/>
        </w:rPr>
        <w:tab/>
        <w:t>Efficien</w:t>
      </w:r>
      <w:r w:rsidR="007112F5">
        <w:rPr>
          <w:rFonts w:ascii="Arial" w:hAnsi="Arial" w:cs="Arial"/>
        </w:rPr>
        <w:t>cies for project management accrue for the benefit of the supply community</w:t>
      </w:r>
      <w:r w:rsidR="00F5510F">
        <w:rPr>
          <w:rFonts w:ascii="Arial" w:hAnsi="Arial" w:cs="Arial"/>
        </w:rPr>
        <w:t xml:space="preserve"> and there is a </w:t>
      </w:r>
      <w:r w:rsidR="007F42A1">
        <w:rPr>
          <w:rFonts w:ascii="Arial" w:hAnsi="Arial" w:cs="Arial"/>
        </w:rPr>
        <w:t>time/cost/quality benefit for the client</w:t>
      </w:r>
    </w:p>
    <w:p w14:paraId="5B89090A" w14:textId="6FEDE359" w:rsidR="00F5510F" w:rsidRDefault="007951A5" w:rsidP="002401ED">
      <w:pPr>
        <w:spacing w:line="360" w:lineRule="auto"/>
        <w:jc w:val="both"/>
        <w:rPr>
          <w:rFonts w:ascii="Arial" w:hAnsi="Arial" w:cs="Arial"/>
        </w:rPr>
      </w:pPr>
      <w:r>
        <w:rPr>
          <w:rFonts w:ascii="Arial" w:hAnsi="Arial" w:cs="Arial"/>
        </w:rPr>
        <w:t>i</w:t>
      </w:r>
      <w:r w:rsidR="00A25BA2" w:rsidRPr="0077659A">
        <w:rPr>
          <w:rFonts w:ascii="Arial" w:hAnsi="Arial" w:cs="Arial"/>
        </w:rPr>
        <w:t>v)</w:t>
      </w:r>
      <w:r w:rsidR="00A25BA2" w:rsidRPr="0077659A">
        <w:rPr>
          <w:rFonts w:ascii="Arial" w:hAnsi="Arial" w:cs="Arial"/>
        </w:rPr>
        <w:tab/>
      </w:r>
      <w:r w:rsidR="006A082D">
        <w:rPr>
          <w:rFonts w:ascii="Arial" w:hAnsi="Arial" w:cs="Arial"/>
        </w:rPr>
        <w:t>Extraneous events are reasonably predictable and manageable</w:t>
      </w:r>
      <w:r w:rsidR="00F5510F">
        <w:rPr>
          <w:rFonts w:ascii="Arial" w:hAnsi="Arial" w:cs="Arial"/>
        </w:rPr>
        <w:t>.</w:t>
      </w:r>
    </w:p>
    <w:p w14:paraId="21E3E4BC" w14:textId="77777777" w:rsidR="00AF42B5" w:rsidRDefault="007951A5" w:rsidP="00970B67">
      <w:pPr>
        <w:spacing w:line="360" w:lineRule="auto"/>
        <w:ind w:left="720" w:hanging="720"/>
        <w:rPr>
          <w:rFonts w:ascii="Arial" w:hAnsi="Arial" w:cs="Arial"/>
        </w:rPr>
      </w:pPr>
      <w:r>
        <w:rPr>
          <w:rFonts w:ascii="Arial" w:hAnsi="Arial" w:cs="Arial"/>
        </w:rPr>
        <w:t>v)</w:t>
      </w:r>
      <w:r>
        <w:rPr>
          <w:rFonts w:ascii="Arial" w:hAnsi="Arial" w:cs="Arial"/>
        </w:rPr>
        <w:tab/>
      </w:r>
      <w:r w:rsidR="00A25BA2" w:rsidRPr="0077659A">
        <w:rPr>
          <w:rFonts w:ascii="Arial" w:hAnsi="Arial" w:cs="Arial"/>
        </w:rPr>
        <w:t>The data/records of all that has transpired are permanently available to both parties and interested third parties.</w:t>
      </w:r>
    </w:p>
    <w:p w14:paraId="304576A8" w14:textId="17FEB7F5" w:rsidR="00E95428" w:rsidRDefault="00E95428" w:rsidP="00970B67">
      <w:pPr>
        <w:spacing w:line="360" w:lineRule="auto"/>
        <w:ind w:left="720" w:hanging="720"/>
        <w:rPr>
          <w:rFonts w:ascii="Arial" w:hAnsi="Arial" w:cs="Arial"/>
        </w:rPr>
      </w:pPr>
      <w:r>
        <w:rPr>
          <w:noProof/>
        </w:rPr>
        <w:lastRenderedPageBreak/>
        <w:drawing>
          <wp:inline distT="0" distB="0" distL="0" distR="0" wp14:anchorId="58E1AF67" wp14:editId="3504524C">
            <wp:extent cx="5153025" cy="4171950"/>
            <wp:effectExtent l="0" t="0" r="9525" b="0"/>
            <wp:docPr id="13" name="Picture 13" descr="A diagram of a flowchart&#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3" descr="A diagram of a flowchart&#10;&#10;Description automatically generated"/>
                    <pic:cNvPicPr/>
                  </pic:nvPicPr>
                  <pic:blipFill>
                    <a:blip r:embed="rId9"/>
                    <a:stretch>
                      <a:fillRect/>
                    </a:stretch>
                  </pic:blipFill>
                  <pic:spPr>
                    <a:xfrm>
                      <a:off x="0" y="0"/>
                      <a:ext cx="5153025" cy="4171950"/>
                    </a:xfrm>
                    <a:prstGeom prst="rect">
                      <a:avLst/>
                    </a:prstGeom>
                  </pic:spPr>
                </pic:pic>
              </a:graphicData>
            </a:graphic>
          </wp:inline>
        </w:drawing>
      </w:r>
    </w:p>
    <w:p w14:paraId="717542F6" w14:textId="5F0B3C6A" w:rsidR="00E62EE6" w:rsidRDefault="004A1DE6" w:rsidP="002401ED">
      <w:pPr>
        <w:spacing w:line="360" w:lineRule="auto"/>
        <w:ind w:left="720" w:hanging="720"/>
        <w:jc w:val="both"/>
        <w:rPr>
          <w:rStyle w:val="ui-provider"/>
          <w:rFonts w:ascii="Arial" w:hAnsi="Arial" w:cs="Arial"/>
        </w:rPr>
      </w:pPr>
      <w:r>
        <w:rPr>
          <w:noProof/>
        </w:rPr>
        <w:drawing>
          <wp:inline distT="0" distB="0" distL="0" distR="0" wp14:anchorId="4D19A3EC" wp14:editId="142F0CC7">
            <wp:extent cx="5095875" cy="4238625"/>
            <wp:effectExtent l="0" t="0" r="9525" b="9525"/>
            <wp:docPr id="193708152" name="Picture 193708152" descr="A diagram of a process&#10;&#10;Description automatically generated"/>
            <wp:cNvGraphicFramePr/>
            <a:graphic xmlns:a="http://schemas.openxmlformats.org/drawingml/2006/main">
              <a:graphicData uri="http://schemas.openxmlformats.org/drawingml/2006/picture">
                <pic:pic xmlns:pic="http://schemas.openxmlformats.org/drawingml/2006/picture">
                  <pic:nvPicPr>
                    <pic:cNvPr id="193708152" name="Picture 193708152" descr="A diagram of a process&#10;&#10;Description automatically generated"/>
                    <pic:cNvPicPr/>
                  </pic:nvPicPr>
                  <pic:blipFill>
                    <a:blip r:embed="rId10"/>
                    <a:stretch>
                      <a:fillRect/>
                    </a:stretch>
                  </pic:blipFill>
                  <pic:spPr>
                    <a:xfrm>
                      <a:off x="0" y="0"/>
                      <a:ext cx="5095875" cy="4238625"/>
                    </a:xfrm>
                    <a:prstGeom prst="rect">
                      <a:avLst/>
                    </a:prstGeom>
                  </pic:spPr>
                </pic:pic>
              </a:graphicData>
            </a:graphic>
          </wp:inline>
        </w:drawing>
      </w:r>
    </w:p>
    <w:p w14:paraId="38602637" w14:textId="228F07F5" w:rsidR="00BC36B9" w:rsidRPr="00AB5667" w:rsidRDefault="00BC36B9" w:rsidP="00BC36B9">
      <w:pPr>
        <w:rPr>
          <w:rStyle w:val="ui-provider"/>
          <w:rFonts w:ascii="Arial" w:hAnsi="Arial" w:cs="Arial"/>
        </w:rPr>
      </w:pPr>
      <w:r w:rsidRPr="00AB5667">
        <w:rPr>
          <w:rStyle w:val="ui-provider"/>
          <w:rFonts w:ascii="Arial" w:hAnsi="Arial" w:cs="Arial"/>
        </w:rPr>
        <w:lastRenderedPageBreak/>
        <w:t xml:space="preserve">Figure 1: Abrahamson's Principles on when a party to a construction contract should be allocated a </w:t>
      </w:r>
      <w:proofErr w:type="gramStart"/>
      <w:r w:rsidRPr="00AB5667">
        <w:rPr>
          <w:rStyle w:val="ui-provider"/>
          <w:rFonts w:ascii="Arial" w:hAnsi="Arial" w:cs="Arial"/>
        </w:rPr>
        <w:t>risk</w:t>
      </w:r>
      <w:proofErr w:type="gramEnd"/>
      <w:r>
        <w:rPr>
          <w:rStyle w:val="ui-provider"/>
          <w:rFonts w:ascii="Arial" w:hAnsi="Arial" w:cs="Arial"/>
        </w:rPr>
        <w:t xml:space="preserve"> </w:t>
      </w:r>
    </w:p>
    <w:p w14:paraId="4F230BE5" w14:textId="3F8E003F" w:rsidR="004A1DE6" w:rsidRDefault="00BC36B9" w:rsidP="004C1CA6">
      <w:pPr>
        <w:jc w:val="both"/>
        <w:rPr>
          <w:rFonts w:ascii="Arial" w:hAnsi="Arial" w:cs="Arial"/>
        </w:rPr>
      </w:pPr>
      <w:r w:rsidRPr="00AB5667">
        <w:rPr>
          <w:rFonts w:ascii="Arial" w:hAnsi="Arial" w:cs="Arial"/>
        </w:rPr>
        <w:t>Figure 2: Principles for selecting terms for automation via smart contracts</w:t>
      </w:r>
      <w:r>
        <w:rPr>
          <w:rFonts w:ascii="Arial" w:hAnsi="Arial" w:cs="Arial"/>
        </w:rPr>
        <w:t xml:space="preserve"> </w:t>
      </w:r>
    </w:p>
    <w:p w14:paraId="4B0C7143" w14:textId="77777777" w:rsidR="004A1DE6" w:rsidRDefault="004A1DE6" w:rsidP="002401ED">
      <w:pPr>
        <w:spacing w:line="360" w:lineRule="auto"/>
        <w:ind w:left="720" w:hanging="720"/>
        <w:jc w:val="both"/>
        <w:rPr>
          <w:rFonts w:ascii="Arial" w:hAnsi="Arial" w:cs="Arial"/>
        </w:rPr>
      </w:pPr>
    </w:p>
    <w:p w14:paraId="0A994E7D" w14:textId="2346220A" w:rsidR="00B96891" w:rsidRDefault="00187F86" w:rsidP="00A60A88">
      <w:pPr>
        <w:jc w:val="both"/>
        <w:rPr>
          <w:rFonts w:ascii="Arial" w:hAnsi="Arial" w:cs="Arial"/>
        </w:rPr>
      </w:pPr>
      <w:r>
        <w:rPr>
          <w:rFonts w:ascii="Arial" w:hAnsi="Arial" w:cs="Arial"/>
        </w:rPr>
        <w:t>Ta</w:t>
      </w:r>
      <w:r w:rsidR="0055362A">
        <w:rPr>
          <w:rFonts w:ascii="Arial" w:hAnsi="Arial" w:cs="Arial"/>
        </w:rPr>
        <w:t>king these in turn:</w:t>
      </w:r>
    </w:p>
    <w:p w14:paraId="5E7DD0EE" w14:textId="15DCA470" w:rsidR="0055362A" w:rsidRPr="00901BF3" w:rsidRDefault="0055362A" w:rsidP="002401ED">
      <w:pPr>
        <w:pStyle w:val="Heading3"/>
        <w:numPr>
          <w:ilvl w:val="0"/>
          <w:numId w:val="3"/>
        </w:numPr>
        <w:jc w:val="both"/>
        <w:rPr>
          <w:color w:val="auto"/>
        </w:rPr>
      </w:pPr>
      <w:r w:rsidRPr="00901BF3">
        <w:rPr>
          <w:color w:val="auto"/>
        </w:rPr>
        <w:t>It is in the parties’ control and is insurable.</w:t>
      </w:r>
    </w:p>
    <w:p w14:paraId="656CB15A" w14:textId="77777777" w:rsidR="002908F8" w:rsidRPr="002908F8" w:rsidRDefault="002908F8" w:rsidP="002401ED">
      <w:pPr>
        <w:jc w:val="both"/>
      </w:pPr>
    </w:p>
    <w:p w14:paraId="14103E66" w14:textId="124C858C" w:rsidR="0077659A" w:rsidRPr="0077659A" w:rsidRDefault="0077659A" w:rsidP="002401ED">
      <w:pPr>
        <w:spacing w:line="360" w:lineRule="auto"/>
        <w:jc w:val="both"/>
        <w:rPr>
          <w:rFonts w:ascii="Arial" w:hAnsi="Arial" w:cs="Arial"/>
        </w:rPr>
      </w:pPr>
      <w:r w:rsidRPr="0077659A">
        <w:rPr>
          <w:rFonts w:ascii="Arial" w:hAnsi="Arial" w:cs="Arial"/>
        </w:rPr>
        <w:t xml:space="preserve">The Weather Ledger </w:t>
      </w:r>
      <w:r w:rsidR="007D2ECA">
        <w:rPr>
          <w:rFonts w:ascii="Arial" w:hAnsi="Arial" w:cs="Arial"/>
        </w:rPr>
        <w:t xml:space="preserve">referred to earlier </w:t>
      </w:r>
      <w:r w:rsidRPr="0077659A">
        <w:rPr>
          <w:rFonts w:ascii="Arial" w:hAnsi="Arial" w:cs="Arial"/>
        </w:rPr>
        <w:t xml:space="preserve">also took important steps relating to insurance. Exponents of risk theory (as set out in Abrahamson’s principles) know that </w:t>
      </w:r>
      <w:proofErr w:type="gramStart"/>
      <w:r w:rsidR="007D2ECA">
        <w:rPr>
          <w:rFonts w:ascii="Arial" w:hAnsi="Arial" w:cs="Arial"/>
        </w:rPr>
        <w:t>i</w:t>
      </w:r>
      <w:r w:rsidRPr="0077659A">
        <w:rPr>
          <w:rFonts w:ascii="Arial" w:hAnsi="Arial" w:cs="Arial"/>
        </w:rPr>
        <w:t>nsuring</w:t>
      </w:r>
      <w:proofErr w:type="gramEnd"/>
      <w:r w:rsidRPr="0077659A">
        <w:rPr>
          <w:rFonts w:ascii="Arial" w:hAnsi="Arial" w:cs="Arial"/>
        </w:rPr>
        <w:t xml:space="preserve"> a risk is one way to manage it. Clyde and Co, a leading firm in insurance and construction law, worked with the other partners on the Weather Ledger project and see the potential for parametric insurance type arrangements where the worst-case scenarios based on experience inform the pay out in the anticipation or actuality of an event occurring</w:t>
      </w:r>
      <w:r w:rsidR="00B56D2E">
        <w:rPr>
          <w:rFonts w:ascii="Arial" w:hAnsi="Arial" w:cs="Arial"/>
        </w:rPr>
        <w:t xml:space="preserve"> (Brook, </w:t>
      </w:r>
      <w:r w:rsidR="009F2E14">
        <w:rPr>
          <w:rFonts w:ascii="Arial" w:hAnsi="Arial" w:cs="Arial"/>
        </w:rPr>
        <w:t>2018)</w:t>
      </w:r>
      <w:r w:rsidRPr="0077659A">
        <w:rPr>
          <w:rFonts w:ascii="Arial" w:hAnsi="Arial" w:cs="Arial"/>
        </w:rPr>
        <w:t>.    This approach could well be the key to bottoming out risk considerations around smart contracts and is worth exploring further</w:t>
      </w:r>
      <w:r w:rsidR="00343B54">
        <w:rPr>
          <w:rFonts w:ascii="Arial" w:hAnsi="Arial" w:cs="Arial"/>
        </w:rPr>
        <w:t xml:space="preserve"> </w:t>
      </w:r>
      <w:r w:rsidR="00E75054">
        <w:rPr>
          <w:rFonts w:ascii="Arial" w:hAnsi="Arial" w:cs="Arial"/>
        </w:rPr>
        <w:t xml:space="preserve">in </w:t>
      </w:r>
      <w:r w:rsidR="00343B54">
        <w:rPr>
          <w:rFonts w:ascii="Arial" w:hAnsi="Arial" w:cs="Arial"/>
        </w:rPr>
        <w:t xml:space="preserve">another </w:t>
      </w:r>
      <w:r w:rsidR="00E75054">
        <w:rPr>
          <w:rFonts w:ascii="Arial" w:hAnsi="Arial" w:cs="Arial"/>
        </w:rPr>
        <w:t>paper</w:t>
      </w:r>
      <w:r w:rsidRPr="0077659A">
        <w:rPr>
          <w:rFonts w:ascii="Arial" w:hAnsi="Arial" w:cs="Arial"/>
        </w:rPr>
        <w:t xml:space="preserve">. </w:t>
      </w:r>
    </w:p>
    <w:p w14:paraId="59739369" w14:textId="4699F16E" w:rsidR="00DA605D" w:rsidRDefault="0077659A" w:rsidP="002401ED">
      <w:pPr>
        <w:spacing w:line="360" w:lineRule="auto"/>
        <w:jc w:val="both"/>
        <w:rPr>
          <w:rFonts w:ascii="Arial" w:hAnsi="Arial" w:cs="Arial"/>
        </w:rPr>
      </w:pPr>
      <w:r w:rsidRPr="0077659A">
        <w:rPr>
          <w:rFonts w:ascii="Arial" w:hAnsi="Arial" w:cs="Arial"/>
        </w:rPr>
        <w:t>Having control is key</w:t>
      </w:r>
      <w:r w:rsidR="003E7B32">
        <w:rPr>
          <w:rFonts w:ascii="Arial" w:hAnsi="Arial" w:cs="Arial"/>
        </w:rPr>
        <w:t xml:space="preserve"> to managing risk</w:t>
      </w:r>
      <w:r w:rsidRPr="0077659A">
        <w:rPr>
          <w:rFonts w:ascii="Arial" w:hAnsi="Arial" w:cs="Arial"/>
        </w:rPr>
        <w:t>. In the absence of control, we have insurance, possibly of the parametric type mentioned above. The more standardised, reliable, and repeatable the processes then the greater the control</w:t>
      </w:r>
      <w:r w:rsidR="003E7B32">
        <w:rPr>
          <w:rFonts w:ascii="Arial" w:hAnsi="Arial" w:cs="Arial"/>
        </w:rPr>
        <w:t xml:space="preserve"> of the risk</w:t>
      </w:r>
      <w:r w:rsidRPr="0077659A">
        <w:rPr>
          <w:rFonts w:ascii="Arial" w:hAnsi="Arial" w:cs="Arial"/>
        </w:rPr>
        <w:t>. Modern methods of construction and factory-built settings provide these in some measure and reach</w:t>
      </w:r>
      <w:r w:rsidR="00A73633">
        <w:rPr>
          <w:rFonts w:ascii="Arial" w:hAnsi="Arial" w:cs="Arial"/>
        </w:rPr>
        <w:t xml:space="preserve"> </w:t>
      </w:r>
      <w:r w:rsidR="00211E13">
        <w:rPr>
          <w:rFonts w:ascii="Arial" w:hAnsi="Arial" w:cs="Arial"/>
        </w:rPr>
        <w:t xml:space="preserve">out </w:t>
      </w:r>
      <w:r w:rsidR="00211E13" w:rsidRPr="0077659A">
        <w:rPr>
          <w:rFonts w:ascii="Arial" w:hAnsi="Arial" w:cs="Arial"/>
        </w:rPr>
        <w:t>towards</w:t>
      </w:r>
      <w:r w:rsidRPr="0077659A">
        <w:rPr>
          <w:rFonts w:ascii="Arial" w:hAnsi="Arial" w:cs="Arial"/>
        </w:rPr>
        <w:t xml:space="preserve"> the tipping point where everyone is comfortable with the</w:t>
      </w:r>
      <w:r w:rsidR="00881498">
        <w:rPr>
          <w:rFonts w:ascii="Arial" w:hAnsi="Arial" w:cs="Arial"/>
        </w:rPr>
        <w:t xml:space="preserve"> simple transactional</w:t>
      </w:r>
      <w:r w:rsidRPr="0077659A">
        <w:rPr>
          <w:rFonts w:ascii="Arial" w:hAnsi="Arial" w:cs="Arial"/>
        </w:rPr>
        <w:t xml:space="preserve"> version of the smart </w:t>
      </w:r>
      <w:proofErr w:type="gramStart"/>
      <w:r w:rsidRPr="0077659A">
        <w:rPr>
          <w:rFonts w:ascii="Arial" w:hAnsi="Arial" w:cs="Arial"/>
        </w:rPr>
        <w:t xml:space="preserve">contract </w:t>
      </w:r>
      <w:r w:rsidR="00DA605D">
        <w:rPr>
          <w:rFonts w:ascii="Arial" w:hAnsi="Arial" w:cs="Arial"/>
        </w:rPr>
        <w:t>.</w:t>
      </w:r>
      <w:proofErr w:type="gramEnd"/>
    </w:p>
    <w:p w14:paraId="09958B28" w14:textId="704C23DA" w:rsidR="0077659A" w:rsidRPr="00901BF3" w:rsidRDefault="0077659A" w:rsidP="002401ED">
      <w:pPr>
        <w:pStyle w:val="Heading3"/>
        <w:numPr>
          <w:ilvl w:val="0"/>
          <w:numId w:val="3"/>
        </w:numPr>
        <w:jc w:val="both"/>
        <w:rPr>
          <w:color w:val="auto"/>
        </w:rPr>
      </w:pPr>
      <w:r w:rsidRPr="00901BF3">
        <w:rPr>
          <w:color w:val="auto"/>
        </w:rPr>
        <w:t>The contract logic is codable and substantiates what preceded.</w:t>
      </w:r>
    </w:p>
    <w:p w14:paraId="0DD2EFF4" w14:textId="77777777" w:rsidR="002908F8" w:rsidRPr="002908F8" w:rsidRDefault="002908F8" w:rsidP="002401ED">
      <w:pPr>
        <w:pStyle w:val="ListParagraph"/>
        <w:ind w:left="1080"/>
        <w:jc w:val="both"/>
      </w:pPr>
    </w:p>
    <w:p w14:paraId="5BF2AE61" w14:textId="56566CA1" w:rsidR="00C56415" w:rsidRPr="0077659A" w:rsidRDefault="00671345" w:rsidP="002401ED">
      <w:pPr>
        <w:spacing w:line="360" w:lineRule="auto"/>
        <w:jc w:val="both"/>
        <w:rPr>
          <w:rFonts w:ascii="Arial" w:hAnsi="Arial" w:cs="Arial"/>
        </w:rPr>
      </w:pPr>
      <w:r>
        <w:rPr>
          <w:rFonts w:ascii="Arial" w:hAnsi="Arial" w:cs="Arial"/>
        </w:rPr>
        <w:t>The ability to turn contractual obligations into c</w:t>
      </w:r>
      <w:r w:rsidR="008F05A1">
        <w:rPr>
          <w:rFonts w:ascii="Arial" w:hAnsi="Arial" w:cs="Arial"/>
        </w:rPr>
        <w:t xml:space="preserve">omputer code via the use of algorithms appears </w:t>
      </w:r>
      <w:r w:rsidR="00211E13">
        <w:rPr>
          <w:rFonts w:ascii="Arial" w:hAnsi="Arial" w:cs="Arial"/>
        </w:rPr>
        <w:t xml:space="preserve">increasingly </w:t>
      </w:r>
      <w:r w:rsidR="008F05A1">
        <w:rPr>
          <w:rFonts w:ascii="Arial" w:hAnsi="Arial" w:cs="Arial"/>
        </w:rPr>
        <w:t xml:space="preserve">straightforward. “If this, then this” is the </w:t>
      </w:r>
      <w:r w:rsidR="00881498">
        <w:rPr>
          <w:rFonts w:ascii="Arial" w:hAnsi="Arial" w:cs="Arial"/>
        </w:rPr>
        <w:t xml:space="preserve">simple transactional formula mentioned earlier.  </w:t>
      </w:r>
      <w:r w:rsidR="00C56415" w:rsidRPr="0077659A">
        <w:rPr>
          <w:rFonts w:ascii="Arial" w:hAnsi="Arial" w:cs="Arial"/>
        </w:rPr>
        <w:t>Contract logic ought to be codable al</w:t>
      </w:r>
      <w:r w:rsidR="002A6386">
        <w:rPr>
          <w:rFonts w:ascii="Arial" w:hAnsi="Arial" w:cs="Arial"/>
        </w:rPr>
        <w:t xml:space="preserve">lowing for </w:t>
      </w:r>
      <w:r w:rsidR="000B5BA3">
        <w:rPr>
          <w:rFonts w:ascii="Arial" w:hAnsi="Arial" w:cs="Arial"/>
        </w:rPr>
        <w:t xml:space="preserve">either machine approval of completed tasks or human or </w:t>
      </w:r>
      <w:r w:rsidR="00EE363B">
        <w:rPr>
          <w:rFonts w:ascii="Arial" w:hAnsi="Arial" w:cs="Arial"/>
        </w:rPr>
        <w:t xml:space="preserve">by a combination of the two. </w:t>
      </w:r>
      <w:r w:rsidR="00206F1C">
        <w:rPr>
          <w:rFonts w:ascii="Arial" w:hAnsi="Arial" w:cs="Arial"/>
        </w:rPr>
        <w:t>Of course, it is rarely a</w:t>
      </w:r>
      <w:r w:rsidR="00BA7F3B">
        <w:rPr>
          <w:rFonts w:ascii="Arial" w:hAnsi="Arial" w:cs="Arial"/>
        </w:rPr>
        <w:t>s</w:t>
      </w:r>
      <w:r w:rsidR="00206F1C">
        <w:rPr>
          <w:rFonts w:ascii="Arial" w:hAnsi="Arial" w:cs="Arial"/>
        </w:rPr>
        <w:t xml:space="preserve"> simple as a single test for completion of a stage. However, whereas h</w:t>
      </w:r>
      <w:r w:rsidR="00C56415" w:rsidRPr="0077659A">
        <w:rPr>
          <w:rFonts w:ascii="Arial" w:hAnsi="Arial" w:cs="Arial"/>
        </w:rPr>
        <w:t xml:space="preserve">uman users may baulk at too many </w:t>
      </w:r>
      <w:r w:rsidR="00BA7F3B">
        <w:rPr>
          <w:rFonts w:ascii="Arial" w:hAnsi="Arial" w:cs="Arial"/>
        </w:rPr>
        <w:t>pre-</w:t>
      </w:r>
      <w:r w:rsidR="00C56415" w:rsidRPr="0077659A">
        <w:rPr>
          <w:rFonts w:ascii="Arial" w:hAnsi="Arial" w:cs="Arial"/>
        </w:rPr>
        <w:t>conditions attached or links in the chain</w:t>
      </w:r>
      <w:r w:rsidR="005B2508">
        <w:rPr>
          <w:rFonts w:ascii="Arial" w:hAnsi="Arial" w:cs="Arial"/>
        </w:rPr>
        <w:t>/network</w:t>
      </w:r>
      <w:r w:rsidR="00C56415" w:rsidRPr="0077659A">
        <w:rPr>
          <w:rFonts w:ascii="Arial" w:hAnsi="Arial" w:cs="Arial"/>
        </w:rPr>
        <w:t xml:space="preserve"> of a processes being fulfilled</w:t>
      </w:r>
      <w:r w:rsidR="005B2508">
        <w:rPr>
          <w:rFonts w:ascii="Arial" w:hAnsi="Arial" w:cs="Arial"/>
        </w:rPr>
        <w:t>, computers are adept at handling</w:t>
      </w:r>
      <w:r w:rsidR="00EA4942">
        <w:rPr>
          <w:rFonts w:ascii="Arial" w:hAnsi="Arial" w:cs="Arial"/>
        </w:rPr>
        <w:t xml:space="preserve"> complication</w:t>
      </w:r>
      <w:r w:rsidR="00C56415" w:rsidRPr="0077659A">
        <w:rPr>
          <w:rFonts w:ascii="Arial" w:hAnsi="Arial" w:cs="Arial"/>
        </w:rPr>
        <w:t xml:space="preserve">. The </w:t>
      </w:r>
      <w:r w:rsidR="00EA4942">
        <w:rPr>
          <w:rFonts w:ascii="Arial" w:hAnsi="Arial" w:cs="Arial"/>
        </w:rPr>
        <w:t xml:space="preserve">processing power and memory of computers </w:t>
      </w:r>
      <w:r w:rsidR="00C56415" w:rsidRPr="0077659A">
        <w:rPr>
          <w:rFonts w:ascii="Arial" w:hAnsi="Arial" w:cs="Arial"/>
        </w:rPr>
        <w:t xml:space="preserve">to have </w:t>
      </w:r>
      <w:r w:rsidR="00EA4942">
        <w:rPr>
          <w:rFonts w:ascii="Arial" w:hAnsi="Arial" w:cs="Arial"/>
        </w:rPr>
        <w:t xml:space="preserve">the pre-conditions in place for the completion of a multi-faceted task is </w:t>
      </w:r>
      <w:r w:rsidR="00C56415" w:rsidRPr="0077659A">
        <w:rPr>
          <w:rFonts w:ascii="Arial" w:hAnsi="Arial" w:cs="Arial"/>
        </w:rPr>
        <w:t xml:space="preserve">a </w:t>
      </w:r>
      <w:r w:rsidR="00B75AE6">
        <w:rPr>
          <w:rFonts w:ascii="Arial" w:hAnsi="Arial" w:cs="Arial"/>
        </w:rPr>
        <w:t xml:space="preserve">key </w:t>
      </w:r>
      <w:r w:rsidR="00C56415" w:rsidRPr="0077659A">
        <w:rPr>
          <w:rFonts w:ascii="Arial" w:hAnsi="Arial" w:cs="Arial"/>
        </w:rPr>
        <w:t>strength</w:t>
      </w:r>
      <w:r w:rsidR="00B75AE6">
        <w:rPr>
          <w:rFonts w:ascii="Arial" w:hAnsi="Arial" w:cs="Arial"/>
        </w:rPr>
        <w:t xml:space="preserve"> of the brute force of computer programming</w:t>
      </w:r>
      <w:r w:rsidR="00C56415" w:rsidRPr="0077659A">
        <w:rPr>
          <w:rFonts w:ascii="Arial" w:hAnsi="Arial" w:cs="Arial"/>
        </w:rPr>
        <w:t xml:space="preserve">. </w:t>
      </w:r>
      <w:r w:rsidR="00B75AE6">
        <w:rPr>
          <w:rFonts w:ascii="Arial" w:hAnsi="Arial" w:cs="Arial"/>
        </w:rPr>
        <w:t xml:space="preserve">Another key strength is the </w:t>
      </w:r>
      <w:r w:rsidR="00C56415" w:rsidRPr="0077659A">
        <w:rPr>
          <w:rFonts w:ascii="Arial" w:hAnsi="Arial" w:cs="Arial"/>
        </w:rPr>
        <w:t xml:space="preserve">substantiation of what has preceded in </w:t>
      </w:r>
      <w:r w:rsidR="00B75AE6">
        <w:rPr>
          <w:rFonts w:ascii="Arial" w:hAnsi="Arial" w:cs="Arial"/>
        </w:rPr>
        <w:t>an incremental approach to completion</w:t>
      </w:r>
      <w:r w:rsidR="00C56415" w:rsidRPr="0077659A">
        <w:rPr>
          <w:rFonts w:ascii="Arial" w:hAnsi="Arial" w:cs="Arial"/>
        </w:rPr>
        <w:t>. Essentially</w:t>
      </w:r>
      <w:r w:rsidR="00B75AE6">
        <w:rPr>
          <w:rFonts w:ascii="Arial" w:hAnsi="Arial" w:cs="Arial"/>
        </w:rPr>
        <w:t>, the ratification</w:t>
      </w:r>
      <w:r w:rsidR="00374F5F">
        <w:rPr>
          <w:rFonts w:ascii="Arial" w:hAnsi="Arial" w:cs="Arial"/>
        </w:rPr>
        <w:t xml:space="preserve"> and visibility</w:t>
      </w:r>
      <w:r w:rsidR="00B75AE6">
        <w:rPr>
          <w:rFonts w:ascii="Arial" w:hAnsi="Arial" w:cs="Arial"/>
        </w:rPr>
        <w:t xml:space="preserve"> of previous </w:t>
      </w:r>
      <w:r w:rsidR="00374F5F">
        <w:rPr>
          <w:rFonts w:ascii="Arial" w:hAnsi="Arial" w:cs="Arial"/>
        </w:rPr>
        <w:t xml:space="preserve">compliant </w:t>
      </w:r>
      <w:r w:rsidR="00B75AE6">
        <w:rPr>
          <w:rFonts w:ascii="Arial" w:hAnsi="Arial" w:cs="Arial"/>
        </w:rPr>
        <w:t xml:space="preserve">actions </w:t>
      </w:r>
      <w:r w:rsidR="00C56415" w:rsidRPr="0077659A">
        <w:rPr>
          <w:rFonts w:ascii="Arial" w:hAnsi="Arial" w:cs="Arial"/>
        </w:rPr>
        <w:t>overlays planned obligations with tangible fulfilled obligations.</w:t>
      </w:r>
    </w:p>
    <w:p w14:paraId="53730D04" w14:textId="28947A4D" w:rsidR="0077659A" w:rsidRPr="00901BF3" w:rsidRDefault="00742CD3" w:rsidP="002401ED">
      <w:pPr>
        <w:pStyle w:val="ListParagraph"/>
        <w:numPr>
          <w:ilvl w:val="0"/>
          <w:numId w:val="3"/>
        </w:numPr>
        <w:spacing w:line="360" w:lineRule="auto"/>
        <w:jc w:val="both"/>
        <w:rPr>
          <w:rStyle w:val="Heading3Char"/>
          <w:color w:val="auto"/>
        </w:rPr>
      </w:pPr>
      <w:r w:rsidRPr="00901BF3">
        <w:rPr>
          <w:rStyle w:val="Heading3Char"/>
          <w:color w:val="auto"/>
        </w:rPr>
        <w:t xml:space="preserve">Extraneous events are kept to a </w:t>
      </w:r>
      <w:proofErr w:type="gramStart"/>
      <w:r w:rsidRPr="00901BF3">
        <w:rPr>
          <w:rStyle w:val="Heading3Char"/>
          <w:color w:val="auto"/>
        </w:rPr>
        <w:t>minimum</w:t>
      </w:r>
      <w:proofErr w:type="gramEnd"/>
    </w:p>
    <w:p w14:paraId="2391B9E0" w14:textId="50076199" w:rsidR="00742CD3" w:rsidRPr="00742CD3" w:rsidRDefault="00441B4C" w:rsidP="002401ED">
      <w:pPr>
        <w:spacing w:line="360" w:lineRule="auto"/>
        <w:jc w:val="both"/>
        <w:rPr>
          <w:rFonts w:ascii="Arial" w:hAnsi="Arial" w:cs="Arial"/>
        </w:rPr>
      </w:pPr>
      <w:r>
        <w:rPr>
          <w:rFonts w:ascii="Arial" w:hAnsi="Arial" w:cs="Arial"/>
        </w:rPr>
        <w:lastRenderedPageBreak/>
        <w:t>Smart contract</w:t>
      </w:r>
      <w:r w:rsidR="00FF1CDF">
        <w:rPr>
          <w:rFonts w:ascii="Arial" w:hAnsi="Arial" w:cs="Arial"/>
        </w:rPr>
        <w:t xml:space="preserve"> design using the stack approach (Mason, </w:t>
      </w:r>
      <w:r w:rsidR="00191CD4">
        <w:rPr>
          <w:rFonts w:ascii="Arial" w:hAnsi="Arial" w:cs="Arial"/>
        </w:rPr>
        <w:t xml:space="preserve">2022) </w:t>
      </w:r>
      <w:r w:rsidR="000456CE">
        <w:rPr>
          <w:rFonts w:ascii="Arial" w:hAnsi="Arial" w:cs="Arial"/>
        </w:rPr>
        <w:t xml:space="preserve">sets a course for partial automation retaining the need for oracles to deal with unforeseen or unpredictable situations </w:t>
      </w:r>
      <w:r w:rsidR="004F15D4">
        <w:rPr>
          <w:rFonts w:ascii="Arial" w:hAnsi="Arial" w:cs="Arial"/>
        </w:rPr>
        <w:t>as well as giving value judgments</w:t>
      </w:r>
      <w:r w:rsidR="00742CD3" w:rsidRPr="0077659A">
        <w:rPr>
          <w:rFonts w:ascii="Arial" w:hAnsi="Arial" w:cs="Arial"/>
        </w:rPr>
        <w:t xml:space="preserve"> or reckoning</w:t>
      </w:r>
      <w:r w:rsidR="004F15D4">
        <w:rPr>
          <w:rFonts w:ascii="Arial" w:hAnsi="Arial" w:cs="Arial"/>
        </w:rPr>
        <w:t xml:space="preserve">. This has been the role of the Contract </w:t>
      </w:r>
      <w:proofErr w:type="spellStart"/>
      <w:r w:rsidR="004F15D4">
        <w:rPr>
          <w:rFonts w:ascii="Arial" w:hAnsi="Arial" w:cs="Arial"/>
        </w:rPr>
        <w:t>Adminstrator</w:t>
      </w:r>
      <w:proofErr w:type="spellEnd"/>
      <w:r w:rsidR="004F15D4">
        <w:rPr>
          <w:rFonts w:ascii="Arial" w:hAnsi="Arial" w:cs="Arial"/>
        </w:rPr>
        <w:t xml:space="preserve"> throughout the history of standard form construction contract development. </w:t>
      </w:r>
      <w:r w:rsidR="00F34ADD">
        <w:rPr>
          <w:rFonts w:ascii="Arial" w:hAnsi="Arial" w:cs="Arial"/>
        </w:rPr>
        <w:t xml:space="preserve">The benefits of automation can be simplified to the statement that all things should run smoothly and </w:t>
      </w:r>
      <w:r w:rsidR="00AD1FFD">
        <w:rPr>
          <w:rFonts w:ascii="Arial" w:hAnsi="Arial" w:cs="Arial"/>
        </w:rPr>
        <w:t>there should be as little departure as possible from the as</w:t>
      </w:r>
      <w:r w:rsidR="00A6435E">
        <w:rPr>
          <w:rFonts w:ascii="Arial" w:hAnsi="Arial" w:cs="Arial"/>
        </w:rPr>
        <w:t>-</w:t>
      </w:r>
      <w:r w:rsidR="00AD1FFD">
        <w:rPr>
          <w:rFonts w:ascii="Arial" w:hAnsi="Arial" w:cs="Arial"/>
        </w:rPr>
        <w:t>planned to the as</w:t>
      </w:r>
      <w:r w:rsidR="00A6435E">
        <w:rPr>
          <w:rFonts w:ascii="Arial" w:hAnsi="Arial" w:cs="Arial"/>
        </w:rPr>
        <w:t>-</w:t>
      </w:r>
      <w:r w:rsidR="00AD1FFD">
        <w:rPr>
          <w:rFonts w:ascii="Arial" w:hAnsi="Arial" w:cs="Arial"/>
        </w:rPr>
        <w:t xml:space="preserve">built. One of the areas holding back smart contract development is the unique nature and </w:t>
      </w:r>
      <w:r w:rsidR="00955BB0">
        <w:rPr>
          <w:rFonts w:ascii="Arial" w:hAnsi="Arial" w:cs="Arial"/>
        </w:rPr>
        <w:t xml:space="preserve">environment of each building site. From its site conditions to its constraints on the use of resources and the lack of data capture infrastructure all combine to </w:t>
      </w:r>
      <w:r w:rsidR="0070693A">
        <w:rPr>
          <w:rFonts w:ascii="Arial" w:hAnsi="Arial" w:cs="Arial"/>
        </w:rPr>
        <w:t xml:space="preserve">make the site very different from the controlled conditions of a factory, for example. </w:t>
      </w:r>
      <w:r w:rsidR="00286D54">
        <w:rPr>
          <w:rFonts w:ascii="Arial" w:hAnsi="Arial" w:cs="Arial"/>
        </w:rPr>
        <w:t xml:space="preserve">This is a challenge which is being overcome </w:t>
      </w:r>
      <w:proofErr w:type="gramStart"/>
      <w:r w:rsidR="00286D54">
        <w:rPr>
          <w:rFonts w:ascii="Arial" w:hAnsi="Arial" w:cs="Arial"/>
        </w:rPr>
        <w:t>through the use of</w:t>
      </w:r>
      <w:proofErr w:type="gramEnd"/>
      <w:r w:rsidR="00286D54">
        <w:rPr>
          <w:rFonts w:ascii="Arial" w:hAnsi="Arial" w:cs="Arial"/>
        </w:rPr>
        <w:t xml:space="preserve"> technology such as </w:t>
      </w:r>
      <w:r w:rsidR="00565FF6">
        <w:rPr>
          <w:rFonts w:ascii="Arial" w:hAnsi="Arial" w:cs="Arial"/>
        </w:rPr>
        <w:t>drones and even robot dogs</w:t>
      </w:r>
      <w:r w:rsidR="00BD768A">
        <w:rPr>
          <w:rFonts w:ascii="Arial" w:hAnsi="Arial" w:cs="Arial"/>
        </w:rPr>
        <w:t xml:space="preserve"> (</w:t>
      </w:r>
      <w:r w:rsidR="00097444">
        <w:rPr>
          <w:rFonts w:ascii="Arial" w:hAnsi="Arial" w:cs="Arial"/>
        </w:rPr>
        <w:t>Takaya</w:t>
      </w:r>
      <w:r w:rsidR="00BD768A">
        <w:rPr>
          <w:rFonts w:ascii="Arial" w:hAnsi="Arial" w:cs="Arial"/>
        </w:rPr>
        <w:t xml:space="preserve"> et al,</w:t>
      </w:r>
      <w:r w:rsidR="00097444">
        <w:rPr>
          <w:rFonts w:ascii="Arial" w:hAnsi="Arial" w:cs="Arial"/>
        </w:rPr>
        <w:t xml:space="preserve"> 2016).</w:t>
      </w:r>
      <w:r w:rsidR="00565FF6">
        <w:rPr>
          <w:rFonts w:ascii="Arial" w:hAnsi="Arial" w:cs="Arial"/>
        </w:rPr>
        <w:t xml:space="preserve"> </w:t>
      </w:r>
      <w:r w:rsidR="001A106D">
        <w:rPr>
          <w:rFonts w:ascii="Arial" w:hAnsi="Arial" w:cs="Arial"/>
        </w:rPr>
        <w:t xml:space="preserve">The technology </w:t>
      </w:r>
      <w:r w:rsidR="009829C6">
        <w:rPr>
          <w:rFonts w:ascii="Arial" w:hAnsi="Arial" w:cs="Arial"/>
        </w:rPr>
        <w:t xml:space="preserve">will incrementally provide </w:t>
      </w:r>
      <w:r w:rsidR="00D21264">
        <w:rPr>
          <w:rFonts w:ascii="Arial" w:hAnsi="Arial" w:cs="Arial"/>
        </w:rPr>
        <w:t xml:space="preserve">acceptable </w:t>
      </w:r>
      <w:r w:rsidR="009829C6">
        <w:rPr>
          <w:rFonts w:ascii="Arial" w:hAnsi="Arial" w:cs="Arial"/>
        </w:rPr>
        <w:t>solutions and pair back the</w:t>
      </w:r>
      <w:r w:rsidR="00D21264">
        <w:rPr>
          <w:rFonts w:ascii="Arial" w:hAnsi="Arial" w:cs="Arial"/>
        </w:rPr>
        <w:t xml:space="preserve"> requirement for human checks and input. </w:t>
      </w:r>
      <w:r w:rsidR="00302E92">
        <w:rPr>
          <w:rFonts w:ascii="Arial" w:hAnsi="Arial" w:cs="Arial"/>
        </w:rPr>
        <w:t xml:space="preserve">The terms of the contract </w:t>
      </w:r>
      <w:r w:rsidR="00B64FB3">
        <w:rPr>
          <w:rFonts w:ascii="Arial" w:hAnsi="Arial" w:cs="Arial"/>
        </w:rPr>
        <w:t xml:space="preserve">to be automated as a priority will be those ones which are light on extraneous events </w:t>
      </w:r>
      <w:r w:rsidR="00302E92">
        <w:rPr>
          <w:rFonts w:ascii="Arial" w:hAnsi="Arial" w:cs="Arial"/>
        </w:rPr>
        <w:t xml:space="preserve">and </w:t>
      </w:r>
      <w:r w:rsidR="00BC1BA5">
        <w:rPr>
          <w:rFonts w:ascii="Arial" w:hAnsi="Arial" w:cs="Arial"/>
        </w:rPr>
        <w:t>on those sites where a higher degree of predictability of outcomes is possible.</w:t>
      </w:r>
      <w:r w:rsidR="00302E92">
        <w:rPr>
          <w:rFonts w:ascii="Arial" w:hAnsi="Arial" w:cs="Arial"/>
        </w:rPr>
        <w:t xml:space="preserve"> </w:t>
      </w:r>
      <w:r w:rsidR="009829C6">
        <w:rPr>
          <w:rFonts w:ascii="Arial" w:hAnsi="Arial" w:cs="Arial"/>
        </w:rPr>
        <w:t xml:space="preserve"> </w:t>
      </w:r>
    </w:p>
    <w:p w14:paraId="1856DB46" w14:textId="605DC3AA" w:rsidR="0077659A" w:rsidRPr="00901BF3" w:rsidRDefault="0077659A" w:rsidP="002401ED">
      <w:pPr>
        <w:spacing w:line="360" w:lineRule="auto"/>
        <w:jc w:val="both"/>
        <w:rPr>
          <w:rFonts w:ascii="Arial" w:hAnsi="Arial" w:cs="Arial"/>
        </w:rPr>
      </w:pPr>
      <w:r w:rsidRPr="00901BF3">
        <w:rPr>
          <w:rStyle w:val="Heading3Char"/>
          <w:color w:val="auto"/>
        </w:rPr>
        <w:t>iv)</w:t>
      </w:r>
      <w:r w:rsidRPr="00901BF3">
        <w:rPr>
          <w:rStyle w:val="Heading3Char"/>
          <w:color w:val="auto"/>
        </w:rPr>
        <w:tab/>
      </w:r>
      <w:r w:rsidR="001C618E" w:rsidRPr="00901BF3">
        <w:rPr>
          <w:rStyle w:val="Heading3Char"/>
          <w:color w:val="auto"/>
        </w:rPr>
        <w:t>Are Time/Cost/Quality benefits delivered for the whole Project?</w:t>
      </w:r>
    </w:p>
    <w:p w14:paraId="33656C9A" w14:textId="084DA92C" w:rsidR="00742CD3" w:rsidRPr="0077659A" w:rsidRDefault="0077659A" w:rsidP="002401ED">
      <w:pPr>
        <w:spacing w:line="360" w:lineRule="auto"/>
        <w:jc w:val="both"/>
        <w:rPr>
          <w:rFonts w:ascii="Arial" w:hAnsi="Arial" w:cs="Arial"/>
        </w:rPr>
      </w:pPr>
      <w:r w:rsidRPr="0077659A">
        <w:rPr>
          <w:rFonts w:ascii="Arial" w:hAnsi="Arial" w:cs="Arial"/>
        </w:rPr>
        <w:t xml:space="preserve">Obviously, </w:t>
      </w:r>
      <w:r w:rsidR="007B6892">
        <w:rPr>
          <w:rFonts w:ascii="Arial" w:hAnsi="Arial" w:cs="Arial"/>
        </w:rPr>
        <w:t>businesses require incentives to pursue new innovations</w:t>
      </w:r>
      <w:r w:rsidRPr="0077659A">
        <w:rPr>
          <w:rFonts w:ascii="Arial" w:hAnsi="Arial" w:cs="Arial"/>
        </w:rPr>
        <w:t>– there needs to be consideration and an answer to the question – “what is in it for me?” The party</w:t>
      </w:r>
      <w:r w:rsidR="000F7E97">
        <w:rPr>
          <w:rFonts w:ascii="Arial" w:hAnsi="Arial" w:cs="Arial"/>
        </w:rPr>
        <w:t>/teams</w:t>
      </w:r>
      <w:r w:rsidRPr="0077659A">
        <w:rPr>
          <w:rFonts w:ascii="Arial" w:hAnsi="Arial" w:cs="Arial"/>
        </w:rPr>
        <w:t xml:space="preserve"> who took the steps to use the smart contract term should see the financial benefit of making the investment. Happily, for the contract parties this should </w:t>
      </w:r>
      <w:r w:rsidR="004128EC" w:rsidRPr="0077659A">
        <w:rPr>
          <w:rFonts w:ascii="Arial" w:hAnsi="Arial" w:cs="Arial"/>
        </w:rPr>
        <w:t>benefit</w:t>
      </w:r>
      <w:r w:rsidRPr="0077659A">
        <w:rPr>
          <w:rFonts w:ascii="Arial" w:hAnsi="Arial" w:cs="Arial"/>
        </w:rPr>
        <w:t xml:space="preserve"> </w:t>
      </w:r>
      <w:r w:rsidR="004128EC" w:rsidRPr="0077659A">
        <w:rPr>
          <w:rFonts w:ascii="Arial" w:hAnsi="Arial" w:cs="Arial"/>
        </w:rPr>
        <w:t>both.</w:t>
      </w:r>
      <w:r w:rsidR="00742CD3" w:rsidRPr="00742CD3">
        <w:rPr>
          <w:rFonts w:ascii="Arial" w:hAnsi="Arial" w:cs="Arial"/>
        </w:rPr>
        <w:t xml:space="preserve"> </w:t>
      </w:r>
      <w:r w:rsidR="00856D2A">
        <w:rPr>
          <w:rFonts w:ascii="Arial" w:hAnsi="Arial" w:cs="Arial"/>
        </w:rPr>
        <w:t xml:space="preserve">This </w:t>
      </w:r>
      <w:r w:rsidR="00742CD3" w:rsidRPr="0077659A">
        <w:rPr>
          <w:rFonts w:ascii="Arial" w:hAnsi="Arial" w:cs="Arial"/>
        </w:rPr>
        <w:t xml:space="preserve">principle </w:t>
      </w:r>
      <w:r w:rsidR="00AE7946">
        <w:rPr>
          <w:rFonts w:ascii="Arial" w:hAnsi="Arial" w:cs="Arial"/>
        </w:rPr>
        <w:t xml:space="preserve">should allow the supply chain to push back on the imposition of automation for the sake of it and facilitate discussion against </w:t>
      </w:r>
      <w:r w:rsidR="00742CD3" w:rsidRPr="0077659A">
        <w:rPr>
          <w:rFonts w:ascii="Arial" w:hAnsi="Arial" w:cs="Arial"/>
        </w:rPr>
        <w:t xml:space="preserve">excessive computation. </w:t>
      </w:r>
      <w:r w:rsidR="000E1EFA">
        <w:rPr>
          <w:rFonts w:ascii="Arial" w:hAnsi="Arial" w:cs="Arial"/>
        </w:rPr>
        <w:t xml:space="preserve">The </w:t>
      </w:r>
      <w:r w:rsidR="00685460">
        <w:rPr>
          <w:rFonts w:ascii="Arial" w:hAnsi="Arial" w:cs="Arial"/>
        </w:rPr>
        <w:t>start-up</w:t>
      </w:r>
      <w:r w:rsidR="000E1EFA">
        <w:rPr>
          <w:rFonts w:ascii="Arial" w:hAnsi="Arial" w:cs="Arial"/>
        </w:rPr>
        <w:t xml:space="preserve"> investment in the technology </w:t>
      </w:r>
      <w:r w:rsidR="00D25603">
        <w:rPr>
          <w:rFonts w:ascii="Arial" w:hAnsi="Arial" w:cs="Arial"/>
        </w:rPr>
        <w:t xml:space="preserve">can be prohibitively expensive and the client </w:t>
      </w:r>
      <w:proofErr w:type="gramStart"/>
      <w:r w:rsidR="00D25603">
        <w:rPr>
          <w:rFonts w:ascii="Arial" w:hAnsi="Arial" w:cs="Arial"/>
        </w:rPr>
        <w:t>has to</w:t>
      </w:r>
      <w:proofErr w:type="gramEnd"/>
      <w:r w:rsidR="00D25603">
        <w:rPr>
          <w:rFonts w:ascii="Arial" w:hAnsi="Arial" w:cs="Arial"/>
        </w:rPr>
        <w:t xml:space="preserve"> be comfortable with some of these costs coming back</w:t>
      </w:r>
      <w:r w:rsidR="00685460">
        <w:rPr>
          <w:rFonts w:ascii="Arial" w:hAnsi="Arial" w:cs="Arial"/>
        </w:rPr>
        <w:t xml:space="preserve"> to its own long term improvement plan.</w:t>
      </w:r>
      <w:r w:rsidR="00742CD3" w:rsidRPr="0077659A">
        <w:rPr>
          <w:rFonts w:ascii="Arial" w:hAnsi="Arial" w:cs="Arial"/>
        </w:rPr>
        <w:t xml:space="preserve"> </w:t>
      </w:r>
      <w:r w:rsidR="006730D7">
        <w:rPr>
          <w:rFonts w:ascii="Arial" w:hAnsi="Arial" w:cs="Arial"/>
        </w:rPr>
        <w:t xml:space="preserve">Unfortunately, the construction sector is not known for its clarity of </w:t>
      </w:r>
      <w:r w:rsidR="00896DD3">
        <w:rPr>
          <w:rFonts w:ascii="Arial" w:hAnsi="Arial" w:cs="Arial"/>
        </w:rPr>
        <w:t>long-term</w:t>
      </w:r>
      <w:r w:rsidR="006730D7">
        <w:rPr>
          <w:rFonts w:ascii="Arial" w:hAnsi="Arial" w:cs="Arial"/>
        </w:rPr>
        <w:t xml:space="preserve"> vision. </w:t>
      </w:r>
    </w:p>
    <w:p w14:paraId="04917979" w14:textId="6505161E" w:rsidR="0077659A" w:rsidRPr="00901BF3" w:rsidRDefault="0093325A" w:rsidP="002401ED">
      <w:pPr>
        <w:spacing w:line="360" w:lineRule="auto"/>
        <w:jc w:val="both"/>
        <w:rPr>
          <w:rFonts w:ascii="Arial" w:hAnsi="Arial" w:cs="Arial"/>
        </w:rPr>
      </w:pPr>
      <w:r w:rsidRPr="00901BF3">
        <w:rPr>
          <w:rStyle w:val="Heading3Char"/>
          <w:color w:val="auto"/>
        </w:rPr>
        <w:t>v</w:t>
      </w:r>
      <w:r w:rsidR="0077659A" w:rsidRPr="00901BF3">
        <w:rPr>
          <w:rStyle w:val="Heading3Char"/>
          <w:color w:val="auto"/>
        </w:rPr>
        <w:t>)</w:t>
      </w:r>
      <w:r w:rsidR="0077659A" w:rsidRPr="00901BF3">
        <w:rPr>
          <w:rStyle w:val="Heading3Char"/>
          <w:color w:val="auto"/>
        </w:rPr>
        <w:tab/>
      </w:r>
      <w:r w:rsidR="00F0537B" w:rsidRPr="00901BF3">
        <w:rPr>
          <w:rStyle w:val="Heading3Char"/>
          <w:color w:val="auto"/>
        </w:rPr>
        <w:t>Are the</w:t>
      </w:r>
      <w:r w:rsidR="0077659A" w:rsidRPr="00901BF3">
        <w:rPr>
          <w:rStyle w:val="Heading3Char"/>
          <w:color w:val="auto"/>
        </w:rPr>
        <w:t xml:space="preserve"> data</w:t>
      </w:r>
      <w:r w:rsidR="00F0537B" w:rsidRPr="00901BF3">
        <w:rPr>
          <w:rStyle w:val="Heading3Char"/>
          <w:color w:val="auto"/>
        </w:rPr>
        <w:t xml:space="preserve"> and are the </w:t>
      </w:r>
      <w:r w:rsidR="0077659A" w:rsidRPr="00901BF3">
        <w:rPr>
          <w:rStyle w:val="Heading3Char"/>
          <w:color w:val="auto"/>
        </w:rPr>
        <w:t xml:space="preserve">records available to </w:t>
      </w:r>
      <w:r w:rsidR="00F0537B" w:rsidRPr="00901BF3">
        <w:rPr>
          <w:rStyle w:val="Heading3Char"/>
          <w:color w:val="auto"/>
        </w:rPr>
        <w:t xml:space="preserve">all </w:t>
      </w:r>
      <w:r w:rsidR="0077659A" w:rsidRPr="00901BF3">
        <w:rPr>
          <w:rStyle w:val="Heading3Char"/>
          <w:color w:val="auto"/>
        </w:rPr>
        <w:t>parties</w:t>
      </w:r>
      <w:r w:rsidR="00F0537B" w:rsidRPr="00901BF3">
        <w:rPr>
          <w:rStyle w:val="Heading3Char"/>
          <w:color w:val="auto"/>
        </w:rPr>
        <w:t xml:space="preserve"> concerned?</w:t>
      </w:r>
    </w:p>
    <w:p w14:paraId="702751BE" w14:textId="412EA4C2" w:rsidR="0077659A" w:rsidRDefault="00D76131" w:rsidP="002401ED">
      <w:pPr>
        <w:spacing w:line="360" w:lineRule="auto"/>
        <w:jc w:val="both"/>
        <w:rPr>
          <w:rFonts w:ascii="Arial" w:hAnsi="Arial" w:cs="Arial"/>
        </w:rPr>
      </w:pPr>
      <w:r>
        <w:rPr>
          <w:rFonts w:ascii="Arial" w:hAnsi="Arial" w:cs="Arial"/>
        </w:rPr>
        <w:t>B</w:t>
      </w:r>
      <w:r w:rsidR="0077659A" w:rsidRPr="0077659A">
        <w:rPr>
          <w:rFonts w:ascii="Arial" w:hAnsi="Arial" w:cs="Arial"/>
        </w:rPr>
        <w:t xml:space="preserve">lockchain </w:t>
      </w:r>
      <w:r>
        <w:rPr>
          <w:rFonts w:ascii="Arial" w:hAnsi="Arial" w:cs="Arial"/>
        </w:rPr>
        <w:t xml:space="preserve">is one solution allowing </w:t>
      </w:r>
      <w:r w:rsidR="0077659A" w:rsidRPr="0077659A">
        <w:rPr>
          <w:rFonts w:ascii="Arial" w:hAnsi="Arial" w:cs="Arial"/>
        </w:rPr>
        <w:t xml:space="preserve">the means to achieve </w:t>
      </w:r>
      <w:r w:rsidR="00F70A0C">
        <w:rPr>
          <w:rFonts w:ascii="Arial" w:hAnsi="Arial" w:cs="Arial"/>
        </w:rPr>
        <w:t>availability of data and records</w:t>
      </w:r>
      <w:r w:rsidR="0077659A" w:rsidRPr="0077659A">
        <w:rPr>
          <w:rFonts w:ascii="Arial" w:hAnsi="Arial" w:cs="Arial"/>
        </w:rPr>
        <w:t xml:space="preserve">. </w:t>
      </w:r>
      <w:r w:rsidR="000C1FCF">
        <w:rPr>
          <w:rFonts w:ascii="Arial" w:hAnsi="Arial" w:cs="Arial"/>
        </w:rPr>
        <w:t xml:space="preserve">The </w:t>
      </w:r>
      <w:r w:rsidR="0077659A" w:rsidRPr="0077659A">
        <w:rPr>
          <w:rFonts w:ascii="Arial" w:hAnsi="Arial" w:cs="Arial"/>
        </w:rPr>
        <w:t>blockchain take</w:t>
      </w:r>
      <w:r w:rsidR="000C1FCF">
        <w:rPr>
          <w:rFonts w:ascii="Arial" w:hAnsi="Arial" w:cs="Arial"/>
        </w:rPr>
        <w:t>s</w:t>
      </w:r>
      <w:r w:rsidR="0077659A" w:rsidRPr="0077659A">
        <w:rPr>
          <w:rFonts w:ascii="Arial" w:hAnsi="Arial" w:cs="Arial"/>
        </w:rPr>
        <w:t xml:space="preserve"> the access to the data and its security out of the hands of the private ledger (and therefore the client’s sole grasp) and provide</w:t>
      </w:r>
      <w:r w:rsidR="004802D8">
        <w:rPr>
          <w:rFonts w:ascii="Arial" w:hAnsi="Arial" w:cs="Arial"/>
        </w:rPr>
        <w:t>s</w:t>
      </w:r>
      <w:r w:rsidR="0077659A" w:rsidRPr="0077659A">
        <w:rPr>
          <w:rFonts w:ascii="Arial" w:hAnsi="Arial" w:cs="Arial"/>
        </w:rPr>
        <w:t xml:space="preserve"> transparent and verifiable evidence of what transpired to interested third parties</w:t>
      </w:r>
      <w:r w:rsidR="004802D8">
        <w:rPr>
          <w:rFonts w:ascii="Arial" w:hAnsi="Arial" w:cs="Arial"/>
        </w:rPr>
        <w:t>, such as funders</w:t>
      </w:r>
      <w:r w:rsidR="0077659A" w:rsidRPr="0077659A">
        <w:rPr>
          <w:rFonts w:ascii="Arial" w:hAnsi="Arial" w:cs="Arial"/>
        </w:rPr>
        <w:t xml:space="preserve">. </w:t>
      </w:r>
      <w:r w:rsidR="00F2292C">
        <w:rPr>
          <w:rFonts w:ascii="Arial" w:hAnsi="Arial" w:cs="Arial"/>
        </w:rPr>
        <w:t>Blockchain remains as a credible solution, despite having endured its own</w:t>
      </w:r>
      <w:r w:rsidR="00C8318D">
        <w:rPr>
          <w:rFonts w:ascii="Arial" w:hAnsi="Arial" w:cs="Arial"/>
        </w:rPr>
        <w:t xml:space="preserve"> </w:t>
      </w:r>
      <w:proofErr w:type="spellStart"/>
      <w:r w:rsidR="00C8318D">
        <w:rPr>
          <w:rFonts w:ascii="Arial" w:hAnsi="Arial" w:cs="Arial"/>
        </w:rPr>
        <w:t>hypecyle</w:t>
      </w:r>
      <w:proofErr w:type="spellEnd"/>
      <w:r w:rsidR="00C8318D">
        <w:rPr>
          <w:rFonts w:ascii="Arial" w:hAnsi="Arial" w:cs="Arial"/>
        </w:rPr>
        <w:t>.</w:t>
      </w:r>
    </w:p>
    <w:p w14:paraId="29402A79" w14:textId="2C9A8E2B" w:rsidR="0040170E" w:rsidRPr="0077659A" w:rsidRDefault="0040170E" w:rsidP="002401ED">
      <w:pPr>
        <w:spacing w:line="360" w:lineRule="auto"/>
        <w:jc w:val="both"/>
        <w:rPr>
          <w:rFonts w:ascii="Arial" w:hAnsi="Arial" w:cs="Arial"/>
        </w:rPr>
      </w:pPr>
      <w:r w:rsidRPr="0077659A">
        <w:rPr>
          <w:rFonts w:ascii="Arial" w:hAnsi="Arial" w:cs="Arial"/>
        </w:rPr>
        <w:t>Increas</w:t>
      </w:r>
      <w:r w:rsidR="00C8318D">
        <w:rPr>
          <w:rFonts w:ascii="Arial" w:hAnsi="Arial" w:cs="Arial"/>
        </w:rPr>
        <w:t>ing</w:t>
      </w:r>
      <w:r w:rsidRPr="0077659A">
        <w:rPr>
          <w:rFonts w:ascii="Arial" w:hAnsi="Arial" w:cs="Arial"/>
        </w:rPr>
        <w:t xml:space="preserve"> the </w:t>
      </w:r>
      <w:r w:rsidR="001B0797">
        <w:rPr>
          <w:rFonts w:ascii="Arial" w:hAnsi="Arial" w:cs="Arial"/>
        </w:rPr>
        <w:t xml:space="preserve">sharing, </w:t>
      </w:r>
      <w:r w:rsidRPr="0077659A">
        <w:rPr>
          <w:rFonts w:ascii="Arial" w:hAnsi="Arial" w:cs="Arial"/>
        </w:rPr>
        <w:t xml:space="preserve">granularity, </w:t>
      </w:r>
      <w:proofErr w:type="gramStart"/>
      <w:r w:rsidRPr="0077659A">
        <w:rPr>
          <w:rFonts w:ascii="Arial" w:hAnsi="Arial" w:cs="Arial"/>
        </w:rPr>
        <w:t>accuracy</w:t>
      </w:r>
      <w:proofErr w:type="gramEnd"/>
      <w:r w:rsidRPr="0077659A">
        <w:rPr>
          <w:rFonts w:ascii="Arial" w:hAnsi="Arial" w:cs="Arial"/>
        </w:rPr>
        <w:t xml:space="preserve"> and auditing of recording and predicting data </w:t>
      </w:r>
      <w:r w:rsidR="00A51832">
        <w:rPr>
          <w:rFonts w:ascii="Arial" w:hAnsi="Arial" w:cs="Arial"/>
        </w:rPr>
        <w:t xml:space="preserve">should </w:t>
      </w:r>
      <w:r w:rsidR="00C8318D">
        <w:rPr>
          <w:rFonts w:ascii="Arial" w:hAnsi="Arial" w:cs="Arial"/>
        </w:rPr>
        <w:t>result in</w:t>
      </w:r>
      <w:r w:rsidRPr="0077659A">
        <w:rPr>
          <w:rFonts w:ascii="Arial" w:hAnsi="Arial" w:cs="Arial"/>
        </w:rPr>
        <w:t xml:space="preserve"> fewer </w:t>
      </w:r>
      <w:r w:rsidR="007F714D">
        <w:rPr>
          <w:rFonts w:ascii="Arial" w:hAnsi="Arial" w:cs="Arial"/>
        </w:rPr>
        <w:t xml:space="preserve">issues with </w:t>
      </w:r>
      <w:r w:rsidRPr="0077659A">
        <w:rPr>
          <w:rFonts w:ascii="Arial" w:hAnsi="Arial" w:cs="Arial"/>
        </w:rPr>
        <w:t>dispute</w:t>
      </w:r>
      <w:r w:rsidR="007F714D">
        <w:rPr>
          <w:rFonts w:ascii="Arial" w:hAnsi="Arial" w:cs="Arial"/>
        </w:rPr>
        <w:t>d facts</w:t>
      </w:r>
      <w:r w:rsidRPr="0077659A">
        <w:rPr>
          <w:rFonts w:ascii="Arial" w:hAnsi="Arial" w:cs="Arial"/>
        </w:rPr>
        <w:t xml:space="preserve">. </w:t>
      </w:r>
      <w:r w:rsidR="00BE3747">
        <w:rPr>
          <w:rFonts w:ascii="Arial" w:hAnsi="Arial" w:cs="Arial"/>
        </w:rPr>
        <w:t xml:space="preserve">Sadly, </w:t>
      </w:r>
      <w:r w:rsidR="008725B9">
        <w:rPr>
          <w:rFonts w:ascii="Arial" w:hAnsi="Arial" w:cs="Arial"/>
        </w:rPr>
        <w:t xml:space="preserve">to date, </w:t>
      </w:r>
      <w:r w:rsidR="00BE3747">
        <w:rPr>
          <w:rFonts w:ascii="Arial" w:hAnsi="Arial" w:cs="Arial"/>
        </w:rPr>
        <w:t xml:space="preserve">disputes endure </w:t>
      </w:r>
      <w:r w:rsidR="008725B9">
        <w:rPr>
          <w:rFonts w:ascii="Arial" w:hAnsi="Arial" w:cs="Arial"/>
        </w:rPr>
        <w:t xml:space="preserve">notwithstanding the </w:t>
      </w:r>
      <w:r w:rsidR="00C230D3">
        <w:rPr>
          <w:rFonts w:ascii="Arial" w:hAnsi="Arial" w:cs="Arial"/>
        </w:rPr>
        <w:t>improvements in</w:t>
      </w:r>
      <w:r w:rsidR="00553739">
        <w:rPr>
          <w:rFonts w:ascii="Arial" w:hAnsi="Arial" w:cs="Arial"/>
        </w:rPr>
        <w:t xml:space="preserve"> records. Disputes around </w:t>
      </w:r>
      <w:r w:rsidR="00AB4124">
        <w:rPr>
          <w:rFonts w:ascii="Arial" w:hAnsi="Arial" w:cs="Arial"/>
        </w:rPr>
        <w:t xml:space="preserve">such new </w:t>
      </w:r>
      <w:r w:rsidR="0009288C">
        <w:rPr>
          <w:rFonts w:ascii="Arial" w:hAnsi="Arial" w:cs="Arial"/>
        </w:rPr>
        <w:t xml:space="preserve">issues as </w:t>
      </w:r>
      <w:r w:rsidR="00553739">
        <w:rPr>
          <w:rFonts w:ascii="Arial" w:hAnsi="Arial" w:cs="Arial"/>
        </w:rPr>
        <w:t xml:space="preserve">access to </w:t>
      </w:r>
      <w:r w:rsidR="00553739">
        <w:rPr>
          <w:rFonts w:ascii="Arial" w:hAnsi="Arial" w:cs="Arial"/>
        </w:rPr>
        <w:lastRenderedPageBreak/>
        <w:t xml:space="preserve">data </w:t>
      </w:r>
      <w:r w:rsidR="00AB4124">
        <w:rPr>
          <w:rFonts w:ascii="Arial" w:hAnsi="Arial" w:cs="Arial"/>
        </w:rPr>
        <w:t>are just as likely to feature in</w:t>
      </w:r>
      <w:r w:rsidR="0009288C">
        <w:rPr>
          <w:rFonts w:ascii="Arial" w:hAnsi="Arial" w:cs="Arial"/>
        </w:rPr>
        <w:t xml:space="preserve"> the courts of the future</w:t>
      </w:r>
      <w:r w:rsidR="003D5A92">
        <w:rPr>
          <w:rFonts w:ascii="Arial" w:hAnsi="Arial" w:cs="Arial"/>
        </w:rPr>
        <w:t>. The case</w:t>
      </w:r>
      <w:r w:rsidR="00553739">
        <w:rPr>
          <w:rFonts w:ascii="Arial" w:hAnsi="Arial" w:cs="Arial"/>
        </w:rPr>
        <w:t xml:space="preserve"> of </w:t>
      </w:r>
      <w:r w:rsidR="003669E8">
        <w:rPr>
          <w:rFonts w:ascii="Arial" w:hAnsi="Arial" w:cs="Arial"/>
        </w:rPr>
        <w:t xml:space="preserve">Trant </w:t>
      </w:r>
      <w:r w:rsidR="00FA6AE0">
        <w:rPr>
          <w:rFonts w:ascii="Arial" w:hAnsi="Arial" w:cs="Arial"/>
        </w:rPr>
        <w:t xml:space="preserve">v </w:t>
      </w:r>
      <w:r w:rsidR="003669E8">
        <w:rPr>
          <w:rFonts w:ascii="Arial" w:hAnsi="Arial" w:cs="Arial"/>
        </w:rPr>
        <w:t>Mott MacDonald</w:t>
      </w:r>
      <w:r w:rsidR="00952BF7">
        <w:rPr>
          <w:rStyle w:val="FootnoteReference"/>
          <w:rFonts w:ascii="Arial" w:hAnsi="Arial" w:cs="Arial"/>
        </w:rPr>
        <w:footnoteReference w:id="2"/>
      </w:r>
      <w:r w:rsidR="00FA6AE0">
        <w:rPr>
          <w:rFonts w:ascii="Arial" w:hAnsi="Arial" w:cs="Arial"/>
        </w:rPr>
        <w:t xml:space="preserve"> demonstrate</w:t>
      </w:r>
      <w:r w:rsidR="003D5A92">
        <w:rPr>
          <w:rFonts w:ascii="Arial" w:hAnsi="Arial" w:cs="Arial"/>
        </w:rPr>
        <w:t>d</w:t>
      </w:r>
      <w:r w:rsidR="00FA6AE0">
        <w:rPr>
          <w:rFonts w:ascii="Arial" w:hAnsi="Arial" w:cs="Arial"/>
        </w:rPr>
        <w:t xml:space="preserve"> that </w:t>
      </w:r>
      <w:r w:rsidR="00BD1C5A">
        <w:rPr>
          <w:rFonts w:ascii="Arial" w:hAnsi="Arial" w:cs="Arial"/>
        </w:rPr>
        <w:t xml:space="preserve">progress towards a technologically enhanced reduction in disputes may yet be a way-off. </w:t>
      </w:r>
      <w:r w:rsidR="00C230D3">
        <w:rPr>
          <w:rFonts w:ascii="Arial" w:hAnsi="Arial" w:cs="Arial"/>
        </w:rPr>
        <w:t xml:space="preserve"> </w:t>
      </w:r>
    </w:p>
    <w:p w14:paraId="190EDA3E" w14:textId="22048F40" w:rsidR="00F22ED8" w:rsidRPr="00901BF3" w:rsidRDefault="00665706" w:rsidP="002401ED">
      <w:pPr>
        <w:pStyle w:val="Heading3"/>
        <w:jc w:val="both"/>
        <w:rPr>
          <w:rFonts w:ascii="Arial" w:hAnsi="Arial" w:cs="Arial"/>
          <w:color w:val="auto"/>
        </w:rPr>
      </w:pPr>
      <w:r w:rsidRPr="00901BF3">
        <w:rPr>
          <w:rFonts w:ascii="Arial" w:hAnsi="Arial" w:cs="Arial"/>
          <w:color w:val="auto"/>
        </w:rPr>
        <w:t>Conclusion</w:t>
      </w:r>
    </w:p>
    <w:p w14:paraId="31349F6E" w14:textId="77777777" w:rsidR="0093325A" w:rsidRPr="0093325A" w:rsidRDefault="0093325A" w:rsidP="002401ED">
      <w:pPr>
        <w:jc w:val="both"/>
      </w:pPr>
    </w:p>
    <w:p w14:paraId="05E074AF" w14:textId="6E58E980" w:rsidR="00665706" w:rsidRDefault="00665706" w:rsidP="002401ED">
      <w:pPr>
        <w:spacing w:line="360" w:lineRule="auto"/>
        <w:jc w:val="both"/>
        <w:rPr>
          <w:rFonts w:ascii="Arial" w:hAnsi="Arial" w:cs="Arial"/>
        </w:rPr>
      </w:pPr>
      <w:r w:rsidRPr="00665706">
        <w:rPr>
          <w:rFonts w:ascii="Arial" w:hAnsi="Arial" w:cs="Arial"/>
        </w:rPr>
        <w:t xml:space="preserve">It </w:t>
      </w:r>
      <w:r w:rsidR="000E623C">
        <w:rPr>
          <w:rFonts w:ascii="Arial" w:hAnsi="Arial" w:cs="Arial"/>
        </w:rPr>
        <w:t>would be as well to issue a</w:t>
      </w:r>
      <w:r w:rsidR="00A803DB">
        <w:rPr>
          <w:rFonts w:ascii="Arial" w:hAnsi="Arial" w:cs="Arial"/>
        </w:rPr>
        <w:t>n Abrahamson-type proviso to these principles for automation</w:t>
      </w:r>
      <w:r w:rsidR="008D5883">
        <w:rPr>
          <w:rFonts w:ascii="Arial" w:hAnsi="Arial" w:cs="Arial"/>
        </w:rPr>
        <w:t xml:space="preserve"> to state that there may be some tensions or inconsistencies in-built into the </w:t>
      </w:r>
      <w:r w:rsidR="003D5A92">
        <w:rPr>
          <w:rFonts w:ascii="Arial" w:hAnsi="Arial" w:cs="Arial"/>
        </w:rPr>
        <w:t xml:space="preserve">five broad </w:t>
      </w:r>
      <w:r w:rsidR="008D5883">
        <w:rPr>
          <w:rFonts w:ascii="Arial" w:hAnsi="Arial" w:cs="Arial"/>
        </w:rPr>
        <w:t>suggestions</w:t>
      </w:r>
      <w:r w:rsidR="003D5A92">
        <w:rPr>
          <w:rFonts w:ascii="Arial" w:hAnsi="Arial" w:cs="Arial"/>
        </w:rPr>
        <w:t xml:space="preserve"> made</w:t>
      </w:r>
      <w:r w:rsidR="008D5883">
        <w:rPr>
          <w:rFonts w:ascii="Arial" w:hAnsi="Arial" w:cs="Arial"/>
        </w:rPr>
        <w:t>.</w:t>
      </w:r>
      <w:r w:rsidR="00A803DB">
        <w:rPr>
          <w:rFonts w:ascii="Arial" w:hAnsi="Arial" w:cs="Arial"/>
        </w:rPr>
        <w:t xml:space="preserve"> </w:t>
      </w:r>
      <w:r w:rsidR="00671B3C">
        <w:rPr>
          <w:rFonts w:ascii="Arial" w:hAnsi="Arial" w:cs="Arial"/>
        </w:rPr>
        <w:t>However,</w:t>
      </w:r>
      <w:r w:rsidRPr="00665706">
        <w:rPr>
          <w:rFonts w:ascii="Arial" w:hAnsi="Arial" w:cs="Arial"/>
        </w:rPr>
        <w:t xml:space="preserve"> </w:t>
      </w:r>
      <w:r w:rsidR="008D5883">
        <w:rPr>
          <w:rFonts w:ascii="Arial" w:hAnsi="Arial" w:cs="Arial"/>
        </w:rPr>
        <w:t>t</w:t>
      </w:r>
      <w:r w:rsidRPr="00665706">
        <w:rPr>
          <w:rFonts w:ascii="Arial" w:hAnsi="Arial" w:cs="Arial"/>
        </w:rPr>
        <w:t xml:space="preserve">he advantage the author has is that unlike with risk management between two parties whose interests can never fully overlap – who are, after all beholden to their shareholders and to return profits – is that here, they can. Technological advancement, done </w:t>
      </w:r>
      <w:r w:rsidR="0027236D">
        <w:rPr>
          <w:rFonts w:ascii="Arial" w:hAnsi="Arial" w:cs="Arial"/>
        </w:rPr>
        <w:t>strategically</w:t>
      </w:r>
      <w:r w:rsidRPr="00665706">
        <w:rPr>
          <w:rFonts w:ascii="Arial" w:hAnsi="Arial" w:cs="Arial"/>
        </w:rPr>
        <w:t xml:space="preserve">, can benefit the </w:t>
      </w:r>
      <w:r w:rsidR="00A75EF0">
        <w:rPr>
          <w:rFonts w:ascii="Arial" w:hAnsi="Arial" w:cs="Arial"/>
        </w:rPr>
        <w:t xml:space="preserve">whole </w:t>
      </w:r>
      <w:r w:rsidRPr="00665706">
        <w:rPr>
          <w:rFonts w:ascii="Arial" w:hAnsi="Arial" w:cs="Arial"/>
        </w:rPr>
        <w:t xml:space="preserve">industry. </w:t>
      </w:r>
      <w:r w:rsidR="001840C8">
        <w:rPr>
          <w:rFonts w:ascii="Arial" w:hAnsi="Arial" w:cs="Arial"/>
        </w:rPr>
        <w:t>In the case of smart contracts, the</w:t>
      </w:r>
      <w:r w:rsidR="003B1DFF">
        <w:rPr>
          <w:rFonts w:ascii="Arial" w:hAnsi="Arial" w:cs="Arial"/>
        </w:rPr>
        <w:t xml:space="preserve"> strategy involves the careful selection of the terms which should be automated as a priority</w:t>
      </w:r>
      <w:r w:rsidR="00070A4E">
        <w:rPr>
          <w:rFonts w:ascii="Arial" w:hAnsi="Arial" w:cs="Arial"/>
        </w:rPr>
        <w:t xml:space="preserve">. </w:t>
      </w:r>
      <w:r w:rsidRPr="00665706">
        <w:rPr>
          <w:rFonts w:ascii="Arial" w:hAnsi="Arial" w:cs="Arial"/>
        </w:rPr>
        <w:t xml:space="preserve">It is hoped that these principles are useful in guiding the </w:t>
      </w:r>
      <w:r w:rsidR="00164F42">
        <w:rPr>
          <w:rFonts w:ascii="Arial" w:hAnsi="Arial" w:cs="Arial"/>
        </w:rPr>
        <w:t xml:space="preserve">debates </w:t>
      </w:r>
      <w:r w:rsidRPr="00665706">
        <w:rPr>
          <w:rFonts w:ascii="Arial" w:hAnsi="Arial" w:cs="Arial"/>
        </w:rPr>
        <w:t>towards th</w:t>
      </w:r>
      <w:r w:rsidR="00164F42">
        <w:rPr>
          <w:rFonts w:ascii="Arial" w:hAnsi="Arial" w:cs="Arial"/>
        </w:rPr>
        <w:t xml:space="preserve">ose areas </w:t>
      </w:r>
      <w:r w:rsidR="00D20228">
        <w:rPr>
          <w:rFonts w:ascii="Arial" w:hAnsi="Arial" w:cs="Arial"/>
        </w:rPr>
        <w:t xml:space="preserve">most receptive to the </w:t>
      </w:r>
      <w:r w:rsidR="00794C0C">
        <w:rPr>
          <w:rFonts w:ascii="Arial" w:hAnsi="Arial" w:cs="Arial"/>
        </w:rPr>
        <w:t>advancement of technology</w:t>
      </w:r>
      <w:r w:rsidRPr="00665706">
        <w:rPr>
          <w:rFonts w:ascii="Arial" w:hAnsi="Arial" w:cs="Arial"/>
        </w:rPr>
        <w:t>.</w:t>
      </w:r>
    </w:p>
    <w:p w14:paraId="40A47163" w14:textId="54A2781E" w:rsidR="00F81041" w:rsidRPr="00901BF3" w:rsidRDefault="00F81041" w:rsidP="00F0646F">
      <w:pPr>
        <w:pStyle w:val="Heading2"/>
        <w:rPr>
          <w:rFonts w:ascii="Arial" w:hAnsi="Arial" w:cs="Arial"/>
          <w:color w:val="auto"/>
          <w:sz w:val="24"/>
          <w:szCs w:val="24"/>
        </w:rPr>
      </w:pPr>
      <w:r w:rsidRPr="00901BF3">
        <w:rPr>
          <w:rFonts w:ascii="Arial" w:hAnsi="Arial" w:cs="Arial"/>
          <w:color w:val="auto"/>
          <w:sz w:val="24"/>
          <w:szCs w:val="24"/>
        </w:rPr>
        <w:t>D</w:t>
      </w:r>
      <w:r w:rsidR="00F0646F" w:rsidRPr="00901BF3">
        <w:rPr>
          <w:rFonts w:ascii="Arial" w:hAnsi="Arial" w:cs="Arial"/>
          <w:color w:val="auto"/>
          <w:sz w:val="24"/>
          <w:szCs w:val="24"/>
        </w:rPr>
        <w:t>ata Availability Statement</w:t>
      </w:r>
    </w:p>
    <w:p w14:paraId="1DA36036" w14:textId="77777777" w:rsidR="00F0646F" w:rsidRDefault="00F0646F" w:rsidP="00F0646F"/>
    <w:p w14:paraId="3E5B3ED8" w14:textId="109465B9" w:rsidR="00F0646F" w:rsidRPr="00F0646F" w:rsidRDefault="00390BBD" w:rsidP="00F0646F">
      <w:pPr>
        <w:rPr>
          <w:rFonts w:ascii="Arial" w:hAnsi="Arial" w:cs="Arial"/>
        </w:rPr>
      </w:pPr>
      <w:r>
        <w:rPr>
          <w:rFonts w:ascii="Arial" w:hAnsi="Arial" w:cs="Arial"/>
        </w:rPr>
        <w:t>No data, models, or code were generated or used during the study.</w:t>
      </w:r>
    </w:p>
    <w:p w14:paraId="569E472B" w14:textId="77777777" w:rsidR="0060037B" w:rsidRPr="00901BF3" w:rsidRDefault="0060037B" w:rsidP="003163A7">
      <w:pPr>
        <w:pStyle w:val="Heading2"/>
        <w:rPr>
          <w:rFonts w:ascii="Arial" w:hAnsi="Arial" w:cs="Arial"/>
          <w:color w:val="auto"/>
          <w:sz w:val="24"/>
          <w:szCs w:val="24"/>
        </w:rPr>
      </w:pPr>
      <w:r w:rsidRPr="00901BF3">
        <w:rPr>
          <w:rFonts w:ascii="Arial" w:hAnsi="Arial" w:cs="Arial"/>
          <w:color w:val="auto"/>
          <w:sz w:val="24"/>
          <w:szCs w:val="24"/>
        </w:rPr>
        <w:t>References</w:t>
      </w:r>
    </w:p>
    <w:p w14:paraId="1E31A868" w14:textId="77777777" w:rsidR="00B265A4" w:rsidRDefault="00B265A4" w:rsidP="0060037B">
      <w:pPr>
        <w:pStyle w:val="Bibliography"/>
        <w:rPr>
          <w:rFonts w:ascii="Arial" w:hAnsi="Arial" w:cs="Arial"/>
        </w:rPr>
      </w:pPr>
    </w:p>
    <w:p w14:paraId="10C2B04A" w14:textId="78B75B7E" w:rsidR="002F23B1" w:rsidRPr="00901BF3" w:rsidRDefault="002F23B1" w:rsidP="002F23B1">
      <w:pPr>
        <w:pStyle w:val="Heading3"/>
        <w:rPr>
          <w:rFonts w:ascii="Arial" w:hAnsi="Arial" w:cs="Arial"/>
          <w:color w:val="auto"/>
        </w:rPr>
      </w:pPr>
      <w:r w:rsidRPr="00901BF3">
        <w:rPr>
          <w:rFonts w:ascii="Arial" w:hAnsi="Arial" w:cs="Arial"/>
          <w:color w:val="auto"/>
        </w:rPr>
        <w:t>List of Cases</w:t>
      </w:r>
    </w:p>
    <w:p w14:paraId="1F122D50" w14:textId="77777777" w:rsidR="002F23B1" w:rsidRDefault="002F23B1" w:rsidP="002F23B1">
      <w:pPr>
        <w:pStyle w:val="Heading3"/>
      </w:pPr>
    </w:p>
    <w:p w14:paraId="0463362A" w14:textId="77777777" w:rsidR="002F23B1" w:rsidRDefault="002F23B1" w:rsidP="002F23B1">
      <w:pPr>
        <w:pStyle w:val="FootnoteText"/>
        <w:rPr>
          <w:rFonts w:ascii="Helvetica" w:hAnsi="Helvetica"/>
          <w:color w:val="333333"/>
          <w:sz w:val="22"/>
          <w:szCs w:val="22"/>
          <w:shd w:val="clear" w:color="auto" w:fill="FFFFFF"/>
        </w:rPr>
      </w:pPr>
      <w:r w:rsidRPr="004B511F">
        <w:rPr>
          <w:rFonts w:ascii="Arial" w:hAnsi="Arial" w:cs="Arial"/>
          <w:sz w:val="22"/>
          <w:szCs w:val="22"/>
        </w:rPr>
        <w:t xml:space="preserve">MT </w:t>
      </w:r>
      <w:proofErr w:type="spellStart"/>
      <w:r w:rsidRPr="004B511F">
        <w:rPr>
          <w:rFonts w:ascii="Arial" w:hAnsi="Arial" w:cs="Arial"/>
          <w:sz w:val="22"/>
          <w:szCs w:val="22"/>
        </w:rPr>
        <w:t>Hojgaard</w:t>
      </w:r>
      <w:proofErr w:type="spellEnd"/>
      <w:r w:rsidRPr="004B511F">
        <w:rPr>
          <w:rFonts w:ascii="Arial" w:hAnsi="Arial" w:cs="Arial"/>
          <w:sz w:val="22"/>
          <w:szCs w:val="22"/>
        </w:rPr>
        <w:t xml:space="preserve"> A/S v </w:t>
      </w:r>
      <w:proofErr w:type="gramStart"/>
      <w:r w:rsidRPr="004B511F">
        <w:rPr>
          <w:rFonts w:ascii="Arial" w:hAnsi="Arial" w:cs="Arial"/>
          <w:sz w:val="22"/>
          <w:szCs w:val="22"/>
        </w:rPr>
        <w:t>E.ON</w:t>
      </w:r>
      <w:proofErr w:type="gramEnd"/>
      <w:r w:rsidRPr="004B511F">
        <w:rPr>
          <w:rFonts w:ascii="Arial" w:hAnsi="Arial" w:cs="Arial"/>
          <w:i/>
          <w:iCs/>
          <w:sz w:val="22"/>
          <w:szCs w:val="22"/>
        </w:rPr>
        <w:t xml:space="preserve">  </w:t>
      </w:r>
      <w:r w:rsidRPr="004B511F">
        <w:rPr>
          <w:rFonts w:ascii="Helvetica" w:hAnsi="Helvetica"/>
          <w:color w:val="333333"/>
          <w:sz w:val="22"/>
          <w:szCs w:val="22"/>
          <w:shd w:val="clear" w:color="auto" w:fill="FFFFFF"/>
        </w:rPr>
        <w:t>[2017] UKSC 59 BLR 477</w:t>
      </w:r>
    </w:p>
    <w:p w14:paraId="64305677" w14:textId="77777777" w:rsidR="004E4E4C" w:rsidRDefault="004E4E4C" w:rsidP="002F23B1">
      <w:pPr>
        <w:pStyle w:val="FootnoteText"/>
        <w:rPr>
          <w:rFonts w:ascii="Helvetica" w:hAnsi="Helvetica"/>
          <w:color w:val="333333"/>
          <w:sz w:val="22"/>
          <w:szCs w:val="22"/>
          <w:shd w:val="clear" w:color="auto" w:fill="FFFFFF"/>
        </w:rPr>
      </w:pPr>
    </w:p>
    <w:p w14:paraId="6A1F26E1" w14:textId="77777777" w:rsidR="004E4E4C" w:rsidRPr="004E4E4C" w:rsidRDefault="004E4E4C" w:rsidP="004E4E4C">
      <w:pPr>
        <w:pStyle w:val="FootnoteText"/>
        <w:rPr>
          <w:rFonts w:ascii="Arial" w:hAnsi="Arial" w:cs="Arial"/>
          <w:sz w:val="22"/>
          <w:szCs w:val="22"/>
        </w:rPr>
      </w:pPr>
      <w:r w:rsidRPr="004E4E4C">
        <w:rPr>
          <w:rFonts w:ascii="Arial" w:hAnsi="Arial" w:cs="Arial"/>
          <w:sz w:val="22"/>
          <w:szCs w:val="22"/>
        </w:rPr>
        <w:t>Trant v Mott MacDonald</w:t>
      </w:r>
      <w:r>
        <w:rPr>
          <w:rFonts w:ascii="Arial" w:hAnsi="Arial" w:cs="Arial"/>
          <w:sz w:val="22"/>
          <w:szCs w:val="22"/>
        </w:rPr>
        <w:t xml:space="preserve"> </w:t>
      </w:r>
      <w:r w:rsidRPr="004E4E4C">
        <w:rPr>
          <w:rFonts w:ascii="Arial" w:hAnsi="Arial" w:cs="Arial"/>
          <w:color w:val="1B1B1B"/>
          <w:spacing w:val="3"/>
          <w:sz w:val="22"/>
          <w:szCs w:val="22"/>
          <w:shd w:val="clear" w:color="auto" w:fill="FFFFFF"/>
        </w:rPr>
        <w:t>[2017] EWHC 2061 (TCC)</w:t>
      </w:r>
    </w:p>
    <w:p w14:paraId="71153533" w14:textId="4823863D" w:rsidR="004E4E4C" w:rsidRPr="004E4E4C" w:rsidRDefault="004E4E4C" w:rsidP="002F23B1">
      <w:pPr>
        <w:pStyle w:val="FootnoteText"/>
        <w:rPr>
          <w:sz w:val="22"/>
          <w:szCs w:val="22"/>
        </w:rPr>
      </w:pPr>
    </w:p>
    <w:p w14:paraId="562587A0" w14:textId="6D21A114" w:rsidR="002F23B1" w:rsidRPr="004E4E4C" w:rsidRDefault="002F23B1" w:rsidP="002F23B1"/>
    <w:p w14:paraId="7B3FEC97" w14:textId="338C0E6D" w:rsidR="00B265A4" w:rsidRPr="00901BF3" w:rsidRDefault="00B265A4" w:rsidP="00901BF3">
      <w:pPr>
        <w:pStyle w:val="NoSpacing"/>
        <w:rPr>
          <w:rFonts w:ascii="Arial" w:hAnsi="Arial" w:cs="Arial"/>
          <w:sz w:val="24"/>
          <w:szCs w:val="24"/>
        </w:rPr>
      </w:pPr>
      <w:r w:rsidRPr="00901BF3">
        <w:rPr>
          <w:rFonts w:ascii="Arial" w:hAnsi="Arial" w:cs="Arial"/>
          <w:sz w:val="24"/>
          <w:szCs w:val="24"/>
        </w:rPr>
        <w:t>Works Cited</w:t>
      </w:r>
    </w:p>
    <w:p w14:paraId="7D6C186E" w14:textId="77777777" w:rsidR="002F23B1" w:rsidRPr="002F23B1" w:rsidRDefault="002F23B1" w:rsidP="002F23B1"/>
    <w:p w14:paraId="111D291F" w14:textId="565F399A" w:rsidR="0060037B" w:rsidRPr="00665706" w:rsidRDefault="0060037B" w:rsidP="0060037B">
      <w:pPr>
        <w:pStyle w:val="Bibliography"/>
        <w:rPr>
          <w:rFonts w:ascii="Arial" w:hAnsi="Arial" w:cs="Arial"/>
        </w:rPr>
      </w:pPr>
      <w:r>
        <w:rPr>
          <w:rFonts w:ascii="Arial" w:hAnsi="Arial" w:cs="Arial"/>
        </w:rPr>
        <w:fldChar w:fldCharType="begin"/>
      </w:r>
      <w:r>
        <w:rPr>
          <w:rFonts w:ascii="Arial" w:hAnsi="Arial" w:cs="Arial"/>
        </w:rPr>
        <w:instrText xml:space="preserve"> ADDIN ZOTERO_BIBL {"uncited":[],"omitted":[],"custom":[]} CSL_BIBLIOGRAPHY </w:instrText>
      </w:r>
      <w:r>
        <w:rPr>
          <w:rFonts w:ascii="Arial" w:hAnsi="Arial" w:cs="Arial"/>
        </w:rPr>
        <w:fldChar w:fldCharType="separate"/>
      </w:r>
      <w:r w:rsidRPr="00665706">
        <w:rPr>
          <w:rFonts w:ascii="Arial" w:hAnsi="Arial" w:cs="Arial"/>
        </w:rPr>
        <w:t xml:space="preserve">Ozkan, E., Azizi, N. and Haass, O. (2021), “Leveraging Smart Contract in Project Procurement through DLT to Gain Sustainable Competitive Advantages”, </w:t>
      </w:r>
      <w:r w:rsidRPr="00665706">
        <w:rPr>
          <w:rFonts w:ascii="Arial" w:hAnsi="Arial" w:cs="Arial"/>
          <w:i/>
          <w:iCs/>
        </w:rPr>
        <w:t>Sustainability</w:t>
      </w:r>
      <w:r w:rsidRPr="00665706">
        <w:rPr>
          <w:rFonts w:ascii="Arial" w:hAnsi="Arial" w:cs="Arial"/>
        </w:rPr>
        <w:t>, MDPI AG, Vol. 13 No. 23, p. 13380, doi: 10.3390/su132313380.</w:t>
      </w:r>
    </w:p>
    <w:p w14:paraId="26BF3E57" w14:textId="77777777" w:rsidR="0060037B" w:rsidRPr="00665706" w:rsidRDefault="0060037B" w:rsidP="0060037B">
      <w:pPr>
        <w:pStyle w:val="Bibliography"/>
        <w:rPr>
          <w:rFonts w:ascii="Arial" w:hAnsi="Arial" w:cs="Arial"/>
        </w:rPr>
      </w:pPr>
      <w:r w:rsidRPr="00665706">
        <w:rPr>
          <w:rFonts w:ascii="Arial" w:hAnsi="Arial" w:cs="Arial"/>
        </w:rPr>
        <w:t xml:space="preserve">Abrahamson, M.W. (n.d.). “Risk Management’(1983)”, </w:t>
      </w:r>
      <w:r w:rsidRPr="00665706">
        <w:rPr>
          <w:rFonts w:ascii="Arial" w:hAnsi="Arial" w:cs="Arial"/>
          <w:i/>
          <w:iCs/>
        </w:rPr>
        <w:t>International Construction Law Review</w:t>
      </w:r>
      <w:r w:rsidRPr="00665706">
        <w:rPr>
          <w:rFonts w:ascii="Arial" w:hAnsi="Arial" w:cs="Arial"/>
        </w:rPr>
        <w:t>, Vol. 1, pp. 241–244.</w:t>
      </w:r>
    </w:p>
    <w:p w14:paraId="11C74C4D" w14:textId="77777777" w:rsidR="0060037B" w:rsidRDefault="0060037B" w:rsidP="0060037B">
      <w:pPr>
        <w:pStyle w:val="Bibliography"/>
        <w:rPr>
          <w:rFonts w:ascii="Arial" w:hAnsi="Arial" w:cs="Arial"/>
        </w:rPr>
      </w:pPr>
      <w:r w:rsidRPr="00665706">
        <w:rPr>
          <w:rFonts w:ascii="Arial" w:hAnsi="Arial" w:cs="Arial"/>
        </w:rPr>
        <w:lastRenderedPageBreak/>
        <w:t xml:space="preserve">Al Khalil, F., Butler, T., O’Brien, L. and Ceci, M. (2017), “Trust in Smart Contracts is a Process, As Well”, </w:t>
      </w:r>
      <w:r w:rsidRPr="00665706">
        <w:rPr>
          <w:rFonts w:ascii="Arial" w:hAnsi="Arial" w:cs="Arial"/>
          <w:i/>
          <w:iCs/>
        </w:rPr>
        <w:t>Financial Cryptography and Data Security</w:t>
      </w:r>
      <w:r w:rsidRPr="00665706">
        <w:rPr>
          <w:rFonts w:ascii="Arial" w:hAnsi="Arial" w:cs="Arial"/>
        </w:rPr>
        <w:t>, Springer International Publishing, pp. 510–519, doi: 10.1007/978-3-319-70278-0_32.</w:t>
      </w:r>
    </w:p>
    <w:p w14:paraId="25C6DE65" w14:textId="77777777" w:rsidR="0060037B" w:rsidRDefault="0060037B" w:rsidP="0060037B">
      <w:pPr>
        <w:rPr>
          <w:rFonts w:ascii="Arial" w:hAnsi="Arial" w:cs="Arial"/>
        </w:rPr>
      </w:pPr>
      <w:r w:rsidRPr="0021304B">
        <w:rPr>
          <w:rFonts w:ascii="Arial" w:hAnsi="Arial" w:cs="Arial"/>
        </w:rPr>
        <w:t xml:space="preserve">Amara, R. (2006) </w:t>
      </w:r>
      <w:r w:rsidRPr="0021304B">
        <w:rPr>
          <w:rFonts w:ascii="Arial" w:hAnsi="Arial" w:cs="Arial"/>
          <w:i/>
          <w:iCs/>
        </w:rPr>
        <w:t xml:space="preserve">The Age, </w:t>
      </w:r>
      <w:r w:rsidRPr="0021304B">
        <w:rPr>
          <w:rFonts w:ascii="Arial" w:hAnsi="Arial" w:cs="Arial"/>
        </w:rPr>
        <w:t>31 October 2006</w:t>
      </w:r>
    </w:p>
    <w:p w14:paraId="7133B867" w14:textId="263E8934" w:rsidR="003920CF" w:rsidRPr="00117802" w:rsidRDefault="003920CF" w:rsidP="0060037B">
      <w:pPr>
        <w:rPr>
          <w:rFonts w:ascii="Arial" w:hAnsi="Arial" w:cs="Arial"/>
        </w:rPr>
      </w:pPr>
      <w:r>
        <w:rPr>
          <w:rFonts w:ascii="Arial" w:hAnsi="Arial" w:cs="Arial"/>
        </w:rPr>
        <w:t>Arthurs,</w:t>
      </w:r>
      <w:r w:rsidR="00117802">
        <w:rPr>
          <w:rFonts w:ascii="Arial" w:hAnsi="Arial" w:cs="Arial"/>
        </w:rPr>
        <w:t xml:space="preserve"> H. (1983) </w:t>
      </w:r>
      <w:r w:rsidR="00117802">
        <w:rPr>
          <w:rFonts w:ascii="Arial" w:hAnsi="Arial" w:cs="Arial"/>
          <w:i/>
          <w:iCs/>
        </w:rPr>
        <w:t xml:space="preserve">Law and Learning Report </w:t>
      </w:r>
      <w:r w:rsidR="00117802">
        <w:rPr>
          <w:rFonts w:ascii="Arial" w:hAnsi="Arial" w:cs="Arial"/>
        </w:rPr>
        <w:t>Consultative Group on Research and Education in Law</w:t>
      </w:r>
      <w:r w:rsidR="000B3C10">
        <w:rPr>
          <w:rFonts w:ascii="Arial" w:hAnsi="Arial" w:cs="Arial"/>
        </w:rPr>
        <w:t>, Ottawa.</w:t>
      </w:r>
    </w:p>
    <w:p w14:paraId="594E99EA" w14:textId="77777777" w:rsidR="0060037B" w:rsidRDefault="0060037B" w:rsidP="0060037B">
      <w:pPr>
        <w:pStyle w:val="Bibliography"/>
        <w:rPr>
          <w:rFonts w:ascii="Arial" w:hAnsi="Arial" w:cs="Arial"/>
        </w:rPr>
      </w:pPr>
      <w:r w:rsidRPr="00665706">
        <w:rPr>
          <w:rFonts w:ascii="Arial" w:hAnsi="Arial" w:cs="Arial"/>
        </w:rPr>
        <w:t xml:space="preserve">Azungah, T. (2018), “Qualitative research: deductive and inductive approaches to data analysis”, </w:t>
      </w:r>
      <w:r w:rsidRPr="00665706">
        <w:rPr>
          <w:rFonts w:ascii="Arial" w:hAnsi="Arial" w:cs="Arial"/>
          <w:i/>
          <w:iCs/>
        </w:rPr>
        <w:t>Qualitative Research Journal</w:t>
      </w:r>
      <w:r w:rsidRPr="00665706">
        <w:rPr>
          <w:rFonts w:ascii="Arial" w:hAnsi="Arial" w:cs="Arial"/>
        </w:rPr>
        <w:t>, Emerald Publishing Limited, Vol. 18 No. 4, pp. 383–400.</w:t>
      </w:r>
    </w:p>
    <w:p w14:paraId="37737BF4" w14:textId="77777777" w:rsidR="0060037B" w:rsidRDefault="0060037B" w:rsidP="0060037B">
      <w:pPr>
        <w:rPr>
          <w:rFonts w:ascii="Arial" w:hAnsi="Arial" w:cs="Arial"/>
        </w:rPr>
      </w:pPr>
      <w:r w:rsidRPr="009D3EF7">
        <w:rPr>
          <w:rFonts w:ascii="Arial" w:hAnsi="Arial" w:cs="Arial"/>
        </w:rPr>
        <w:t>Brook</w:t>
      </w:r>
      <w:r>
        <w:rPr>
          <w:rFonts w:ascii="Arial" w:hAnsi="Arial" w:cs="Arial"/>
        </w:rPr>
        <w:t xml:space="preserve">, N. (2018) </w:t>
      </w:r>
      <w:r>
        <w:rPr>
          <w:rFonts w:ascii="Arial" w:hAnsi="Arial" w:cs="Arial"/>
          <w:i/>
          <w:iCs/>
        </w:rPr>
        <w:t xml:space="preserve">The Advantages of Parametric Insurance </w:t>
      </w:r>
      <w:r>
        <w:rPr>
          <w:rFonts w:ascii="Arial" w:hAnsi="Arial" w:cs="Arial"/>
        </w:rPr>
        <w:t>Market Insight, Clyde &amp; Co, 23 April 2018</w:t>
      </w:r>
    </w:p>
    <w:p w14:paraId="1384218C" w14:textId="3DE261D3" w:rsidR="00AB4E73" w:rsidRPr="001879D2" w:rsidRDefault="00AB4E73" w:rsidP="0060037B">
      <w:pPr>
        <w:rPr>
          <w:rFonts w:ascii="Arial" w:hAnsi="Arial" w:cs="Arial"/>
        </w:rPr>
      </w:pPr>
      <w:r>
        <w:rPr>
          <w:rFonts w:ascii="Arial" w:hAnsi="Arial" w:cs="Arial"/>
        </w:rPr>
        <w:t>Chynoweth, P. (2007)</w:t>
      </w:r>
      <w:r w:rsidR="001879D2">
        <w:rPr>
          <w:rFonts w:ascii="Arial" w:hAnsi="Arial" w:cs="Arial"/>
        </w:rPr>
        <w:t xml:space="preserve"> </w:t>
      </w:r>
      <w:r w:rsidR="001879D2">
        <w:rPr>
          <w:rFonts w:ascii="Arial" w:hAnsi="Arial" w:cs="Arial"/>
          <w:i/>
          <w:iCs/>
        </w:rPr>
        <w:t xml:space="preserve">Changing Times for Built Environment Legal Scholarship, </w:t>
      </w:r>
      <w:r w:rsidR="001879D2">
        <w:rPr>
          <w:rFonts w:ascii="Arial" w:hAnsi="Arial" w:cs="Arial"/>
        </w:rPr>
        <w:t>Structural Survey 25(3/4)</w:t>
      </w:r>
    </w:p>
    <w:tbl>
      <w:tblPr>
        <w:tblW w:w="16020" w:type="dxa"/>
        <w:tblInd w:w="101" w:type="dxa"/>
        <w:tblLook w:val="04A0" w:firstRow="1" w:lastRow="0" w:firstColumn="1" w:lastColumn="0" w:noHBand="0" w:noVBand="1"/>
      </w:tblPr>
      <w:tblGrid>
        <w:gridCol w:w="16020"/>
      </w:tblGrid>
      <w:tr w:rsidR="00626EEC" w14:paraId="283F9581" w14:textId="77777777" w:rsidTr="00483494">
        <w:trPr>
          <w:trHeight w:val="288"/>
        </w:trPr>
        <w:tc>
          <w:tcPr>
            <w:tcW w:w="16020" w:type="dxa"/>
            <w:tcBorders>
              <w:top w:val="nil"/>
              <w:left w:val="nil"/>
              <w:bottom w:val="nil"/>
              <w:right w:val="nil"/>
            </w:tcBorders>
            <w:shd w:val="clear" w:color="auto" w:fill="auto"/>
            <w:noWrap/>
            <w:vAlign w:val="bottom"/>
          </w:tcPr>
          <w:p w14:paraId="55EAB571" w14:textId="20667254" w:rsidR="00626EEC" w:rsidRDefault="00626EEC" w:rsidP="005948B8">
            <w:pPr>
              <w:jc w:val="both"/>
              <w:rPr>
                <w:rFonts w:ascii="Arial" w:hAnsi="Arial" w:cs="Arial"/>
                <w:color w:val="000000"/>
              </w:rPr>
            </w:pPr>
          </w:p>
        </w:tc>
      </w:tr>
    </w:tbl>
    <w:p w14:paraId="5E80A0F0" w14:textId="77777777" w:rsidR="0060037B" w:rsidRPr="00665706" w:rsidRDefault="0060037B" w:rsidP="0060037B">
      <w:pPr>
        <w:pStyle w:val="Bibliography"/>
        <w:rPr>
          <w:rFonts w:ascii="Arial" w:hAnsi="Arial" w:cs="Arial"/>
        </w:rPr>
      </w:pPr>
      <w:r w:rsidRPr="00665706">
        <w:rPr>
          <w:rFonts w:ascii="Arial" w:hAnsi="Arial" w:cs="Arial"/>
        </w:rPr>
        <w:t>Daye, J. (2022), “Our Artefacts Our Stories”, Text, , 16 March, available at: https://www.cdbb.cam.ac.uk/news/our-artefacts-our-stories (accessed 1 August 2023).</w:t>
      </w:r>
    </w:p>
    <w:p w14:paraId="07AAF84C" w14:textId="77777777" w:rsidR="0060037B" w:rsidRPr="00665706" w:rsidRDefault="0060037B" w:rsidP="0060037B">
      <w:pPr>
        <w:pStyle w:val="Bibliography"/>
        <w:rPr>
          <w:rFonts w:ascii="Arial" w:hAnsi="Arial" w:cs="Arial"/>
        </w:rPr>
      </w:pPr>
      <w:r w:rsidRPr="00665706">
        <w:rPr>
          <w:rFonts w:ascii="Arial" w:hAnsi="Arial" w:cs="Arial"/>
        </w:rPr>
        <w:t xml:space="preserve">Di Giuda, G.M., Giana, P.E. and Pattini, G. (2020), “The shortening and the automation of payments: the potentiality of smart contract in the AECO sector”, </w:t>
      </w:r>
      <w:r w:rsidRPr="00665706">
        <w:rPr>
          <w:rFonts w:ascii="Arial" w:hAnsi="Arial" w:cs="Arial"/>
          <w:i/>
          <w:iCs/>
        </w:rPr>
        <w:t>Proceedings of International Structural Engineering and Construction</w:t>
      </w:r>
      <w:r w:rsidRPr="00665706">
        <w:rPr>
          <w:rFonts w:ascii="Arial" w:hAnsi="Arial" w:cs="Arial"/>
        </w:rPr>
        <w:t>, Vol. 7, ISEC Press, pp. 1–6.</w:t>
      </w:r>
    </w:p>
    <w:p w14:paraId="45043EAC" w14:textId="77777777" w:rsidR="0060037B" w:rsidRPr="00665706" w:rsidRDefault="0060037B" w:rsidP="0060037B">
      <w:pPr>
        <w:pStyle w:val="Bibliography"/>
        <w:rPr>
          <w:rFonts w:ascii="Arial" w:hAnsi="Arial" w:cs="Arial"/>
        </w:rPr>
      </w:pPr>
      <w:r w:rsidRPr="00665706">
        <w:rPr>
          <w:rFonts w:ascii="Arial" w:hAnsi="Arial" w:cs="Arial"/>
        </w:rPr>
        <w:t xml:space="preserve">Farmer, M. (2016), “The farmer review of the UK construction labour market: Modernise or die”, </w:t>
      </w:r>
      <w:r w:rsidRPr="00665706">
        <w:rPr>
          <w:rFonts w:ascii="Arial" w:hAnsi="Arial" w:cs="Arial"/>
          <w:i/>
          <w:iCs/>
        </w:rPr>
        <w:t>Construction Leadership Council</w:t>
      </w:r>
      <w:r w:rsidRPr="00665706">
        <w:rPr>
          <w:rFonts w:ascii="Arial" w:hAnsi="Arial" w:cs="Arial"/>
        </w:rPr>
        <w:t>.</w:t>
      </w:r>
    </w:p>
    <w:p w14:paraId="4580CC68" w14:textId="77777777" w:rsidR="0060037B" w:rsidRPr="00665706" w:rsidRDefault="0060037B" w:rsidP="0060037B">
      <w:pPr>
        <w:pStyle w:val="Bibliography"/>
        <w:rPr>
          <w:rFonts w:ascii="Arial" w:hAnsi="Arial" w:cs="Arial"/>
        </w:rPr>
      </w:pPr>
      <w:r w:rsidRPr="00665706">
        <w:rPr>
          <w:rFonts w:ascii="Arial" w:hAnsi="Arial" w:cs="Arial"/>
        </w:rPr>
        <w:t xml:space="preserve">Hackitt, J. (2018), “Independent review of building regulations and fire safety”, </w:t>
      </w:r>
      <w:r w:rsidRPr="00665706">
        <w:rPr>
          <w:rFonts w:ascii="Arial" w:hAnsi="Arial" w:cs="Arial"/>
          <w:i/>
          <w:iCs/>
        </w:rPr>
        <w:t>Parliament by the Secretary of State for Housing, Communities and Local Government by Command of Her Majesty</w:t>
      </w:r>
      <w:r w:rsidRPr="00665706">
        <w:rPr>
          <w:rFonts w:ascii="Arial" w:hAnsi="Arial" w:cs="Arial"/>
        </w:rPr>
        <w:t>.</w:t>
      </w:r>
    </w:p>
    <w:p w14:paraId="081F966A" w14:textId="77777777" w:rsidR="0060037B" w:rsidRPr="00665706" w:rsidRDefault="0060037B" w:rsidP="0060037B">
      <w:pPr>
        <w:pStyle w:val="Bibliography"/>
        <w:rPr>
          <w:rFonts w:ascii="Arial" w:hAnsi="Arial" w:cs="Arial"/>
        </w:rPr>
      </w:pPr>
      <w:r w:rsidRPr="00665706">
        <w:rPr>
          <w:rFonts w:ascii="Arial" w:hAnsi="Arial" w:cs="Arial"/>
        </w:rPr>
        <w:t>Lamb, K. (2018), “Blockchain and Smart Contracts: What the AEC sector needs to know”, CDBB.</w:t>
      </w:r>
    </w:p>
    <w:p w14:paraId="3EDA10FD" w14:textId="77777777" w:rsidR="0060037B" w:rsidRPr="00665706" w:rsidRDefault="0060037B" w:rsidP="0060037B">
      <w:pPr>
        <w:pStyle w:val="Bibliography"/>
        <w:rPr>
          <w:rFonts w:ascii="Arial" w:hAnsi="Arial" w:cs="Arial"/>
        </w:rPr>
      </w:pPr>
      <w:r w:rsidRPr="00665706">
        <w:rPr>
          <w:rFonts w:ascii="Arial" w:hAnsi="Arial" w:cs="Arial"/>
        </w:rPr>
        <w:t>Latham, S.M. (1994), “Constructing the team”, HM Stationery Office London.</w:t>
      </w:r>
    </w:p>
    <w:p w14:paraId="4ECA8164" w14:textId="095601EF" w:rsidR="0060037B" w:rsidRDefault="0060037B" w:rsidP="0060037B">
      <w:pPr>
        <w:pStyle w:val="Bibliography"/>
        <w:rPr>
          <w:rFonts w:ascii="Arial" w:hAnsi="Arial" w:cs="Arial"/>
        </w:rPr>
      </w:pPr>
      <w:r w:rsidRPr="00665706">
        <w:rPr>
          <w:rFonts w:ascii="Arial" w:hAnsi="Arial" w:cs="Arial"/>
        </w:rPr>
        <w:lastRenderedPageBreak/>
        <w:t xml:space="preserve">Mason, J. (2017), “Intelligent Contracts and the Construction Industry”, </w:t>
      </w:r>
      <w:r w:rsidRPr="00665706">
        <w:rPr>
          <w:rFonts w:ascii="Arial" w:hAnsi="Arial" w:cs="Arial"/>
          <w:i/>
          <w:iCs/>
        </w:rPr>
        <w:t>Journal of Legal Affairs and Dispute Resolution in Engineering and Construction</w:t>
      </w:r>
      <w:r w:rsidRPr="00665706">
        <w:rPr>
          <w:rFonts w:ascii="Arial" w:hAnsi="Arial" w:cs="Arial"/>
        </w:rPr>
        <w:t>, American Society of Civil Engineers, Vol. 9 No. 3, p. 04517012, d</w:t>
      </w:r>
    </w:p>
    <w:p w14:paraId="49D2BE1B" w14:textId="77777777" w:rsidR="0060037B" w:rsidRPr="00754E9F" w:rsidRDefault="0060037B" w:rsidP="0060037B">
      <w:pPr>
        <w:rPr>
          <w:rFonts w:ascii="Arial" w:hAnsi="Arial" w:cs="Arial"/>
        </w:rPr>
      </w:pPr>
      <w:r w:rsidRPr="00754E9F">
        <w:rPr>
          <w:rFonts w:ascii="Arial" w:hAnsi="Arial" w:cs="Arial"/>
        </w:rPr>
        <w:t>Mason, J. (2022) Innovating Construction Law: Towards the Digital Age Routledge</w:t>
      </w:r>
    </w:p>
    <w:p w14:paraId="34D3F76A" w14:textId="77777777" w:rsidR="0060037B" w:rsidRPr="00665706" w:rsidRDefault="0060037B" w:rsidP="0060037B">
      <w:pPr>
        <w:pStyle w:val="Bibliography"/>
        <w:rPr>
          <w:rFonts w:ascii="Arial" w:hAnsi="Arial" w:cs="Arial"/>
        </w:rPr>
      </w:pPr>
      <w:r w:rsidRPr="00665706">
        <w:rPr>
          <w:rFonts w:ascii="Arial" w:hAnsi="Arial" w:cs="Arial"/>
        </w:rPr>
        <w:t xml:space="preserve">McNamara, A.J. and Sepasgozar, S.M. (2021), “Intelligent contract adoption in the construction industry: Concept development”, </w:t>
      </w:r>
      <w:r w:rsidRPr="00665706">
        <w:rPr>
          <w:rFonts w:ascii="Arial" w:hAnsi="Arial" w:cs="Arial"/>
          <w:i/>
          <w:iCs/>
        </w:rPr>
        <w:t>Automation in Construction</w:t>
      </w:r>
      <w:r w:rsidRPr="00665706">
        <w:rPr>
          <w:rFonts w:ascii="Arial" w:hAnsi="Arial" w:cs="Arial"/>
        </w:rPr>
        <w:t>, Elsevier, Vol. 122, p. 103452.</w:t>
      </w:r>
    </w:p>
    <w:p w14:paraId="42C75CAC" w14:textId="77777777" w:rsidR="0060037B" w:rsidRPr="00665706" w:rsidRDefault="0060037B" w:rsidP="0060037B">
      <w:pPr>
        <w:pStyle w:val="Bibliography"/>
        <w:rPr>
          <w:rFonts w:ascii="Arial" w:hAnsi="Arial" w:cs="Arial"/>
        </w:rPr>
      </w:pPr>
      <w:r w:rsidRPr="00665706">
        <w:rPr>
          <w:rFonts w:ascii="Arial" w:hAnsi="Arial" w:cs="Arial"/>
        </w:rPr>
        <w:t xml:space="preserve">Mosey, D. (2021), “Constructing the Gold Standard: An Independent Review of Public Sector Construction Frameworks”, </w:t>
      </w:r>
      <w:r w:rsidRPr="00665706">
        <w:rPr>
          <w:rFonts w:ascii="Arial" w:hAnsi="Arial" w:cs="Arial"/>
          <w:i/>
          <w:iCs/>
        </w:rPr>
        <w:t>UK Cabinet Office Mudi, A (2016)‘Quantity Surveyor’s Role in Public-Private Partnership Highway Concession’, International Journal of Engineering Research &amp; Technology</w:t>
      </w:r>
      <w:r w:rsidRPr="00665706">
        <w:rPr>
          <w:rFonts w:ascii="Arial" w:hAnsi="Arial" w:cs="Arial"/>
        </w:rPr>
        <w:t>, Vol. 5 No. 2, pp. 407–417.</w:t>
      </w:r>
    </w:p>
    <w:p w14:paraId="753B110A" w14:textId="77777777" w:rsidR="0060037B" w:rsidRPr="00665706" w:rsidRDefault="0060037B" w:rsidP="0060037B">
      <w:pPr>
        <w:pStyle w:val="Bibliography"/>
        <w:rPr>
          <w:rFonts w:ascii="Arial" w:hAnsi="Arial" w:cs="Arial"/>
        </w:rPr>
      </w:pPr>
      <w:r w:rsidRPr="00665706">
        <w:rPr>
          <w:rFonts w:ascii="Arial" w:hAnsi="Arial" w:cs="Arial"/>
        </w:rPr>
        <w:t xml:space="preserve">Msawil, M., Greenwood, D. and Kassem, M. (2022), “A Systematic evaluation of blockchain-enabled contract administration in construction projects”, </w:t>
      </w:r>
      <w:r w:rsidRPr="00665706">
        <w:rPr>
          <w:rFonts w:ascii="Arial" w:hAnsi="Arial" w:cs="Arial"/>
          <w:i/>
          <w:iCs/>
        </w:rPr>
        <w:t>Automation in Construction</w:t>
      </w:r>
      <w:r w:rsidRPr="00665706">
        <w:rPr>
          <w:rFonts w:ascii="Arial" w:hAnsi="Arial" w:cs="Arial"/>
        </w:rPr>
        <w:t>, Vol. 143, doi: 10.1016/j.autcon.2022.104553.</w:t>
      </w:r>
    </w:p>
    <w:p w14:paraId="6D8B903A" w14:textId="77777777" w:rsidR="0060037B" w:rsidRDefault="0060037B" w:rsidP="0060037B">
      <w:pPr>
        <w:pStyle w:val="Bibliography"/>
        <w:rPr>
          <w:rFonts w:ascii="Arial" w:hAnsi="Arial" w:cs="Arial"/>
        </w:rPr>
      </w:pPr>
      <w:r>
        <w:rPr>
          <w:rFonts w:ascii="Arial" w:hAnsi="Arial" w:cs="Arial"/>
        </w:rPr>
        <w:t>Penzes, B.</w:t>
      </w:r>
      <w:r w:rsidRPr="00665706">
        <w:rPr>
          <w:rFonts w:ascii="Arial" w:hAnsi="Arial" w:cs="Arial"/>
        </w:rPr>
        <w:t xml:space="preserve"> (201</w:t>
      </w:r>
      <w:r>
        <w:rPr>
          <w:rFonts w:ascii="Arial" w:hAnsi="Arial" w:cs="Arial"/>
        </w:rPr>
        <w:t>8</w:t>
      </w:r>
      <w:r w:rsidRPr="00665706">
        <w:rPr>
          <w:rFonts w:ascii="Arial" w:hAnsi="Arial" w:cs="Arial"/>
        </w:rPr>
        <w:t>),</w:t>
      </w:r>
      <w:r>
        <w:rPr>
          <w:rFonts w:ascii="Arial" w:hAnsi="Arial" w:cs="Arial"/>
        </w:rPr>
        <w:t xml:space="preserve"> </w:t>
      </w:r>
      <w:r w:rsidRPr="0021304B">
        <w:rPr>
          <w:rFonts w:ascii="Arial" w:hAnsi="Arial" w:cs="Arial"/>
          <w:i/>
          <w:iCs/>
        </w:rPr>
        <w:t>Blockchain Technology in Construction</w:t>
      </w:r>
      <w:r>
        <w:rPr>
          <w:rFonts w:ascii="Arial" w:hAnsi="Arial" w:cs="Arial"/>
        </w:rPr>
        <w:t xml:space="preserve"> Institution of Civil Engineers</w:t>
      </w:r>
      <w:r w:rsidRPr="00665706">
        <w:rPr>
          <w:rFonts w:ascii="Arial" w:hAnsi="Arial" w:cs="Arial"/>
        </w:rPr>
        <w:t>.</w:t>
      </w:r>
    </w:p>
    <w:p w14:paraId="1E28EDF2" w14:textId="77777777" w:rsidR="0060037B" w:rsidRPr="001C0525" w:rsidRDefault="0060037B" w:rsidP="0060037B">
      <w:pPr>
        <w:rPr>
          <w:rFonts w:ascii="Arial" w:hAnsi="Arial" w:cs="Arial"/>
        </w:rPr>
      </w:pPr>
      <w:r>
        <w:rPr>
          <w:rFonts w:ascii="Arial" w:hAnsi="Arial" w:cs="Arial"/>
        </w:rPr>
        <w:t xml:space="preserve">Rogers, E. (1962) </w:t>
      </w:r>
      <w:r>
        <w:rPr>
          <w:rFonts w:ascii="Arial" w:hAnsi="Arial" w:cs="Arial"/>
          <w:i/>
          <w:iCs/>
        </w:rPr>
        <w:t xml:space="preserve">Diffusion of Innovations </w:t>
      </w:r>
      <w:r>
        <w:rPr>
          <w:rFonts w:ascii="Arial" w:hAnsi="Arial" w:cs="Arial"/>
        </w:rPr>
        <w:t>New York: First Edition, Free Press of Glencoe</w:t>
      </w:r>
    </w:p>
    <w:p w14:paraId="233D0D8B" w14:textId="77777777" w:rsidR="0060037B" w:rsidRPr="00665706" w:rsidRDefault="0060037B" w:rsidP="0060037B">
      <w:pPr>
        <w:pStyle w:val="Bibliography"/>
        <w:rPr>
          <w:rFonts w:ascii="Arial" w:hAnsi="Arial" w:cs="Arial"/>
        </w:rPr>
      </w:pPr>
      <w:r w:rsidRPr="00665706">
        <w:rPr>
          <w:rFonts w:ascii="Arial" w:hAnsi="Arial" w:cs="Arial"/>
        </w:rPr>
        <w:t xml:space="preserve">Sonmez, R., Ahmadisheykhsarmast, S. and Güngör, A.A. (2022), “BIM integrated smart contract for construction project progress payment administration”, </w:t>
      </w:r>
      <w:r w:rsidRPr="00665706">
        <w:rPr>
          <w:rFonts w:ascii="Arial" w:hAnsi="Arial" w:cs="Arial"/>
          <w:i/>
          <w:iCs/>
        </w:rPr>
        <w:t>Automation in Construction</w:t>
      </w:r>
      <w:r w:rsidRPr="00665706">
        <w:rPr>
          <w:rFonts w:ascii="Arial" w:hAnsi="Arial" w:cs="Arial"/>
        </w:rPr>
        <w:t>, Vol. 139, p. 104294, doi: 10.1016/j.autcon.2022.104294.</w:t>
      </w:r>
    </w:p>
    <w:p w14:paraId="783D62E9" w14:textId="77777777" w:rsidR="0060037B" w:rsidRDefault="0060037B" w:rsidP="0060037B">
      <w:pPr>
        <w:pStyle w:val="Bibliography"/>
        <w:rPr>
          <w:rFonts w:ascii="Arial" w:hAnsi="Arial" w:cs="Arial"/>
        </w:rPr>
      </w:pPr>
      <w:r w:rsidRPr="00665706">
        <w:rPr>
          <w:rFonts w:ascii="Arial" w:hAnsi="Arial" w:cs="Arial"/>
        </w:rPr>
        <w:t xml:space="preserve">Steinert, M. and Leifer, L. (2010), </w:t>
      </w:r>
      <w:r w:rsidRPr="00665706">
        <w:rPr>
          <w:rFonts w:ascii="Arial" w:hAnsi="Arial" w:cs="Arial"/>
          <w:i/>
          <w:iCs/>
        </w:rPr>
        <w:t>Scrutinizing Gartner’s Hype Cycle Approach</w:t>
      </w:r>
      <w:r w:rsidRPr="00665706">
        <w:rPr>
          <w:rFonts w:ascii="Arial" w:hAnsi="Arial" w:cs="Arial"/>
        </w:rPr>
        <w:t>, p. 13.</w:t>
      </w:r>
    </w:p>
    <w:p w14:paraId="6608878B" w14:textId="77777777" w:rsidR="0060037B" w:rsidRPr="00665706" w:rsidRDefault="0060037B" w:rsidP="0060037B">
      <w:pPr>
        <w:pStyle w:val="Bibliography"/>
        <w:rPr>
          <w:rFonts w:ascii="Arial" w:hAnsi="Arial" w:cs="Arial"/>
        </w:rPr>
      </w:pPr>
      <w:r w:rsidRPr="00665706">
        <w:rPr>
          <w:rFonts w:ascii="Arial" w:hAnsi="Arial" w:cs="Arial"/>
        </w:rPr>
        <w:t>S</w:t>
      </w:r>
      <w:r>
        <w:rPr>
          <w:rFonts w:ascii="Arial" w:hAnsi="Arial" w:cs="Arial"/>
        </w:rPr>
        <w:t>usskind</w:t>
      </w:r>
      <w:r w:rsidRPr="00665706">
        <w:rPr>
          <w:rFonts w:ascii="Arial" w:hAnsi="Arial" w:cs="Arial"/>
        </w:rPr>
        <w:t>,</w:t>
      </w:r>
      <w:r>
        <w:rPr>
          <w:rFonts w:ascii="Arial" w:hAnsi="Arial" w:cs="Arial"/>
        </w:rPr>
        <w:t>R. &amp; Susskind, D</w:t>
      </w:r>
      <w:r w:rsidRPr="00665706">
        <w:rPr>
          <w:rFonts w:ascii="Arial" w:hAnsi="Arial" w:cs="Arial"/>
        </w:rPr>
        <w:t>. (20</w:t>
      </w:r>
      <w:r>
        <w:rPr>
          <w:rFonts w:ascii="Arial" w:hAnsi="Arial" w:cs="Arial"/>
        </w:rPr>
        <w:t>22</w:t>
      </w:r>
      <w:r w:rsidRPr="00665706">
        <w:rPr>
          <w:rFonts w:ascii="Arial" w:hAnsi="Arial" w:cs="Arial"/>
        </w:rPr>
        <w:t xml:space="preserve">), </w:t>
      </w:r>
      <w:r>
        <w:rPr>
          <w:rFonts w:ascii="Arial" w:hAnsi="Arial" w:cs="Arial"/>
          <w:i/>
          <w:iCs/>
        </w:rPr>
        <w:t xml:space="preserve">the Future of the Professions, </w:t>
      </w:r>
      <w:r>
        <w:rPr>
          <w:rFonts w:ascii="Arial" w:hAnsi="Arial" w:cs="Arial"/>
        </w:rPr>
        <w:t>Second Edition, Oxford University Press</w:t>
      </w:r>
      <w:r w:rsidRPr="00665706">
        <w:rPr>
          <w:rFonts w:ascii="Arial" w:hAnsi="Arial" w:cs="Arial"/>
        </w:rPr>
        <w:t>.</w:t>
      </w:r>
    </w:p>
    <w:p w14:paraId="1969D431" w14:textId="77777777" w:rsidR="0060037B" w:rsidRDefault="0060037B" w:rsidP="0060037B">
      <w:pPr>
        <w:pStyle w:val="Bibliography"/>
        <w:rPr>
          <w:rFonts w:ascii="Arial" w:hAnsi="Arial" w:cs="Arial"/>
        </w:rPr>
      </w:pPr>
      <w:r w:rsidRPr="00665706">
        <w:rPr>
          <w:rFonts w:ascii="Arial" w:hAnsi="Arial" w:cs="Arial"/>
        </w:rPr>
        <w:t xml:space="preserve">Szabo, N. (1997), “Formalizing and Securing Relationships on Public Networks”, </w:t>
      </w:r>
      <w:r w:rsidRPr="00665706">
        <w:rPr>
          <w:rFonts w:ascii="Arial" w:hAnsi="Arial" w:cs="Arial"/>
          <w:i/>
          <w:iCs/>
        </w:rPr>
        <w:t>First Monday</w:t>
      </w:r>
      <w:r w:rsidRPr="00665706">
        <w:rPr>
          <w:rFonts w:ascii="Arial" w:hAnsi="Arial" w:cs="Arial"/>
        </w:rPr>
        <w:t>, doi: 10.5210/FM.V2I9.548.</w:t>
      </w:r>
    </w:p>
    <w:p w14:paraId="364B0689" w14:textId="4DBE3BAC" w:rsidR="00F22ED8" w:rsidRDefault="0060037B" w:rsidP="007F20B8">
      <w:pPr>
        <w:rPr>
          <w:rFonts w:ascii="Arial" w:hAnsi="Arial" w:cs="Arial"/>
        </w:rPr>
      </w:pPr>
      <w:r w:rsidRPr="009E2B07">
        <w:rPr>
          <w:rFonts w:ascii="Arial" w:hAnsi="Arial" w:cs="Arial"/>
          <w:color w:val="333333"/>
          <w:shd w:val="clear" w:color="auto" w:fill="FFFFFF"/>
        </w:rPr>
        <w:t>Takaya,</w:t>
      </w:r>
      <w:r>
        <w:rPr>
          <w:rFonts w:ascii="Arial" w:hAnsi="Arial" w:cs="Arial"/>
          <w:color w:val="333333"/>
          <w:shd w:val="clear" w:color="auto" w:fill="FFFFFF"/>
        </w:rPr>
        <w:t xml:space="preserve"> K., </w:t>
      </w:r>
      <w:r w:rsidRPr="009E2B07">
        <w:rPr>
          <w:rFonts w:ascii="Arial" w:hAnsi="Arial" w:cs="Arial"/>
          <w:color w:val="333333"/>
          <w:shd w:val="clear" w:color="auto" w:fill="FFFFFF"/>
        </w:rPr>
        <w:t>Asai,</w:t>
      </w:r>
      <w:r>
        <w:rPr>
          <w:rFonts w:ascii="Arial" w:hAnsi="Arial" w:cs="Arial"/>
          <w:color w:val="333333"/>
          <w:shd w:val="clear" w:color="auto" w:fill="FFFFFF"/>
        </w:rPr>
        <w:t xml:space="preserve"> T.,</w:t>
      </w:r>
      <w:r w:rsidRPr="009E2B07">
        <w:rPr>
          <w:rFonts w:ascii="Arial" w:hAnsi="Arial" w:cs="Arial"/>
          <w:color w:val="333333"/>
          <w:shd w:val="clear" w:color="auto" w:fill="FFFFFF"/>
        </w:rPr>
        <w:t xml:space="preserve"> Kroumov</w:t>
      </w:r>
      <w:r>
        <w:rPr>
          <w:rFonts w:ascii="Arial" w:hAnsi="Arial" w:cs="Arial"/>
          <w:color w:val="333333"/>
          <w:shd w:val="clear" w:color="auto" w:fill="FFFFFF"/>
        </w:rPr>
        <w:t>, V.</w:t>
      </w:r>
      <w:r w:rsidRPr="009E2B07">
        <w:rPr>
          <w:rFonts w:ascii="Arial" w:hAnsi="Arial" w:cs="Arial"/>
          <w:color w:val="333333"/>
          <w:shd w:val="clear" w:color="auto" w:fill="FFFFFF"/>
        </w:rPr>
        <w:t xml:space="preserve"> and Smarandache</w:t>
      </w:r>
      <w:r>
        <w:rPr>
          <w:rFonts w:ascii="Arial" w:hAnsi="Arial" w:cs="Arial"/>
          <w:color w:val="333333"/>
          <w:shd w:val="clear" w:color="auto" w:fill="FFFFFF"/>
        </w:rPr>
        <w:t xml:space="preserve">, F. (2016) </w:t>
      </w:r>
      <w:r w:rsidRPr="009E2B07">
        <w:rPr>
          <w:rFonts w:ascii="Arial" w:hAnsi="Arial" w:cs="Arial"/>
          <w:color w:val="333333"/>
          <w:shd w:val="clear" w:color="auto" w:fill="FFFFFF"/>
        </w:rPr>
        <w:t>S</w:t>
      </w:r>
      <w:r w:rsidRPr="00343226">
        <w:rPr>
          <w:rFonts w:ascii="Arial" w:hAnsi="Arial" w:cs="Arial"/>
          <w:i/>
          <w:iCs/>
          <w:color w:val="333333"/>
          <w:shd w:val="clear" w:color="auto" w:fill="FFFFFF"/>
        </w:rPr>
        <w:t>imulation Environment for Mobile Robots Testing Using ROS and Gazebo</w:t>
      </w:r>
      <w:r w:rsidRPr="009E2B07">
        <w:rPr>
          <w:rFonts w:ascii="Arial" w:hAnsi="Arial" w:cs="Arial"/>
          <w:color w:val="333333"/>
          <w:shd w:val="clear" w:color="auto" w:fill="FFFFFF"/>
        </w:rPr>
        <w:t>, </w:t>
      </w:r>
      <w:r w:rsidRPr="00343226">
        <w:rPr>
          <w:rStyle w:val="Emphasis"/>
          <w:rFonts w:ascii="Arial" w:hAnsi="Arial" w:cs="Arial"/>
          <w:i w:val="0"/>
          <w:iCs w:val="0"/>
          <w:color w:val="333333"/>
          <w:shd w:val="clear" w:color="auto" w:fill="FFFFFF"/>
        </w:rPr>
        <w:t>20th International Conference on System Theory Control and Computing (ICSTCC)</w:t>
      </w:r>
      <w:r>
        <w:rPr>
          <w:rFonts w:ascii="Arial" w:hAnsi="Arial" w:cs="Arial"/>
        </w:rPr>
        <w:fldChar w:fldCharType="end"/>
      </w:r>
    </w:p>
    <w:p w14:paraId="35D6A61A" w14:textId="7D4C499A" w:rsidR="00800DCA" w:rsidRDefault="00800DCA" w:rsidP="007F20B8">
      <w:pPr>
        <w:rPr>
          <w:rFonts w:ascii="Arial" w:hAnsi="Arial" w:cs="Arial"/>
        </w:rPr>
      </w:pPr>
      <w:r>
        <w:rPr>
          <w:rFonts w:ascii="Arial" w:hAnsi="Arial" w:cs="Arial"/>
        </w:rPr>
        <w:t xml:space="preserve">Tebbit, </w:t>
      </w:r>
      <w:r w:rsidR="004E6A02">
        <w:rPr>
          <w:rFonts w:ascii="Arial" w:hAnsi="Arial" w:cs="Arial"/>
        </w:rPr>
        <w:t xml:space="preserve">M. (2005) </w:t>
      </w:r>
      <w:r w:rsidR="004E6A02">
        <w:rPr>
          <w:rFonts w:ascii="Arial" w:hAnsi="Arial" w:cs="Arial"/>
          <w:i/>
          <w:iCs/>
        </w:rPr>
        <w:t xml:space="preserve">Philosophy of Law, an Introduction </w:t>
      </w:r>
      <w:r w:rsidR="004E6A02">
        <w:rPr>
          <w:rFonts w:ascii="Arial" w:hAnsi="Arial" w:cs="Arial"/>
        </w:rPr>
        <w:t>Taylor &amp; Francis Group</w:t>
      </w:r>
    </w:p>
    <w:p w14:paraId="31AE3AC1" w14:textId="77777777" w:rsidR="00CC548F" w:rsidRDefault="00CC548F" w:rsidP="007F20B8">
      <w:pPr>
        <w:rPr>
          <w:rFonts w:ascii="Arial" w:hAnsi="Arial" w:cs="Arial"/>
        </w:rPr>
      </w:pPr>
    </w:p>
    <w:p w14:paraId="024C1493" w14:textId="598BAD8C" w:rsidR="00CC548F" w:rsidRPr="00584A99" w:rsidRDefault="008C4690" w:rsidP="008C4690">
      <w:pPr>
        <w:pStyle w:val="Heading2"/>
        <w:rPr>
          <w:rFonts w:ascii="Arial" w:hAnsi="Arial" w:cs="Arial"/>
          <w:color w:val="auto"/>
          <w:sz w:val="24"/>
          <w:szCs w:val="24"/>
        </w:rPr>
      </w:pPr>
      <w:r w:rsidRPr="00584A99">
        <w:rPr>
          <w:rFonts w:ascii="Arial" w:hAnsi="Arial" w:cs="Arial"/>
          <w:color w:val="auto"/>
          <w:sz w:val="24"/>
          <w:szCs w:val="24"/>
        </w:rPr>
        <w:lastRenderedPageBreak/>
        <w:t>Figure Captions List</w:t>
      </w:r>
    </w:p>
    <w:p w14:paraId="607A3C7D" w14:textId="77777777" w:rsidR="008C4690" w:rsidRDefault="008C4690" w:rsidP="008C4690"/>
    <w:p w14:paraId="24962DFC" w14:textId="051DCB10" w:rsidR="00AB5667" w:rsidRPr="00AB5667" w:rsidRDefault="00AB5667" w:rsidP="00AB5667">
      <w:pPr>
        <w:rPr>
          <w:rStyle w:val="ui-provider"/>
          <w:rFonts w:ascii="Arial" w:hAnsi="Arial" w:cs="Arial"/>
        </w:rPr>
      </w:pPr>
      <w:r w:rsidRPr="00AB5667">
        <w:rPr>
          <w:rStyle w:val="ui-provider"/>
          <w:rFonts w:ascii="Arial" w:hAnsi="Arial" w:cs="Arial"/>
        </w:rPr>
        <w:t xml:space="preserve">Figure 1: Abrahamson's Principles on when a party to a construction contract should be allocated a </w:t>
      </w:r>
      <w:r w:rsidR="00B176FE" w:rsidRPr="00AB5667">
        <w:rPr>
          <w:rStyle w:val="ui-provider"/>
          <w:rFonts w:ascii="Arial" w:hAnsi="Arial" w:cs="Arial"/>
        </w:rPr>
        <w:t>risk</w:t>
      </w:r>
      <w:r w:rsidR="00B176FE">
        <w:rPr>
          <w:rStyle w:val="ui-provider"/>
          <w:rFonts w:ascii="Arial" w:hAnsi="Arial" w:cs="Arial"/>
        </w:rPr>
        <w:t xml:space="preserve"> (</w:t>
      </w:r>
      <w:r w:rsidR="009C582F">
        <w:rPr>
          <w:rStyle w:val="ui-provider"/>
          <w:rFonts w:ascii="Arial" w:hAnsi="Arial" w:cs="Arial"/>
        </w:rPr>
        <w:t>line 237)</w:t>
      </w:r>
    </w:p>
    <w:p w14:paraId="28E128D1" w14:textId="0B569187" w:rsidR="00AB5667" w:rsidRPr="00AB5667" w:rsidRDefault="00AB5667" w:rsidP="00AB5667">
      <w:pPr>
        <w:jc w:val="both"/>
        <w:rPr>
          <w:rFonts w:ascii="Arial" w:hAnsi="Arial" w:cs="Arial"/>
        </w:rPr>
      </w:pPr>
      <w:r w:rsidRPr="00AB5667">
        <w:rPr>
          <w:rFonts w:ascii="Arial" w:hAnsi="Arial" w:cs="Arial"/>
        </w:rPr>
        <w:t>Figure 2: Principles for selecting terms for automation via smart contracts</w:t>
      </w:r>
      <w:r w:rsidR="009C582F">
        <w:rPr>
          <w:rFonts w:ascii="Arial" w:hAnsi="Arial" w:cs="Arial"/>
        </w:rPr>
        <w:t xml:space="preserve"> (line 240)</w:t>
      </w:r>
    </w:p>
    <w:p w14:paraId="67D47E0C" w14:textId="77777777" w:rsidR="00AB5667" w:rsidRDefault="00AB5667" w:rsidP="008C4690"/>
    <w:p w14:paraId="195A3CE0" w14:textId="77777777" w:rsidR="008C4690" w:rsidRPr="008C4690" w:rsidRDefault="008C4690" w:rsidP="008C4690"/>
    <w:sectPr w:rsidR="008C4690" w:rsidRPr="008C4690" w:rsidSect="00DC6B54">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C47C1" w14:textId="77777777" w:rsidR="001B04B5" w:rsidRDefault="001B04B5" w:rsidP="0077659A">
      <w:pPr>
        <w:spacing w:after="0" w:line="240" w:lineRule="auto"/>
      </w:pPr>
      <w:r>
        <w:separator/>
      </w:r>
    </w:p>
  </w:endnote>
  <w:endnote w:type="continuationSeparator" w:id="0">
    <w:p w14:paraId="576FC403" w14:textId="77777777" w:rsidR="001B04B5" w:rsidRDefault="001B04B5" w:rsidP="0077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11E49" w14:textId="77777777" w:rsidR="001B04B5" w:rsidRDefault="001B04B5" w:rsidP="0077659A">
      <w:pPr>
        <w:spacing w:after="0" w:line="240" w:lineRule="auto"/>
      </w:pPr>
      <w:r>
        <w:separator/>
      </w:r>
    </w:p>
  </w:footnote>
  <w:footnote w:type="continuationSeparator" w:id="0">
    <w:p w14:paraId="1DB73A49" w14:textId="77777777" w:rsidR="001B04B5" w:rsidRDefault="001B04B5" w:rsidP="0077659A">
      <w:pPr>
        <w:spacing w:after="0" w:line="240" w:lineRule="auto"/>
      </w:pPr>
      <w:r>
        <w:continuationSeparator/>
      </w:r>
    </w:p>
  </w:footnote>
  <w:footnote w:id="1">
    <w:p w14:paraId="02A3572A" w14:textId="07707675" w:rsidR="009331BE" w:rsidRDefault="009331BE">
      <w:pPr>
        <w:pStyle w:val="FootnoteText"/>
      </w:pPr>
      <w:r>
        <w:rPr>
          <w:rStyle w:val="FootnoteReference"/>
        </w:rPr>
        <w:footnoteRef/>
      </w:r>
      <w:r>
        <w:t xml:space="preserve"> </w:t>
      </w:r>
      <w:r>
        <w:rPr>
          <w:rFonts w:ascii="Helvetica" w:hAnsi="Helvetica"/>
          <w:color w:val="333333"/>
          <w:sz w:val="21"/>
          <w:szCs w:val="21"/>
          <w:shd w:val="clear" w:color="auto" w:fill="FFFFFF"/>
        </w:rPr>
        <w:t>[2017] UKSC 59 BLR 477</w:t>
      </w:r>
    </w:p>
  </w:footnote>
  <w:footnote w:id="2">
    <w:p w14:paraId="41E4442A" w14:textId="38559A32" w:rsidR="00952BF7" w:rsidRDefault="00952BF7">
      <w:pPr>
        <w:pStyle w:val="FootnoteText"/>
      </w:pPr>
      <w:r>
        <w:rPr>
          <w:rStyle w:val="FootnoteReference"/>
        </w:rPr>
        <w:footnoteRef/>
      </w:r>
      <w:r>
        <w:t xml:space="preserve"> </w:t>
      </w:r>
      <w:r w:rsidR="003669E8">
        <w:rPr>
          <w:rFonts w:ascii="Tahoma" w:hAnsi="Tahoma" w:cs="Tahoma"/>
          <w:color w:val="1B1B1B"/>
          <w:spacing w:val="3"/>
          <w:sz w:val="21"/>
          <w:szCs w:val="21"/>
          <w:shd w:val="clear" w:color="auto" w:fill="FFFFFF"/>
        </w:rPr>
        <w:t>[2017] EWHC 2061 (TCC)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DE4"/>
    <w:multiLevelType w:val="multilevel"/>
    <w:tmpl w:val="D91E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10FCE"/>
    <w:multiLevelType w:val="hybridMultilevel"/>
    <w:tmpl w:val="048829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A07A63"/>
    <w:multiLevelType w:val="hybridMultilevel"/>
    <w:tmpl w:val="AF562D56"/>
    <w:lvl w:ilvl="0" w:tplc="9184F6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0902920">
    <w:abstractNumId w:val="1"/>
  </w:num>
  <w:num w:numId="2" w16cid:durableId="1647395388">
    <w:abstractNumId w:val="0"/>
  </w:num>
  <w:num w:numId="3" w16cid:durableId="412241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1B"/>
    <w:rsid w:val="00003685"/>
    <w:rsid w:val="000112DE"/>
    <w:rsid w:val="0001253D"/>
    <w:rsid w:val="00013EFC"/>
    <w:rsid w:val="00034618"/>
    <w:rsid w:val="000456CE"/>
    <w:rsid w:val="00052E88"/>
    <w:rsid w:val="00070705"/>
    <w:rsid w:val="00070A4E"/>
    <w:rsid w:val="000736E7"/>
    <w:rsid w:val="00076017"/>
    <w:rsid w:val="00082687"/>
    <w:rsid w:val="00084835"/>
    <w:rsid w:val="00091B29"/>
    <w:rsid w:val="0009288C"/>
    <w:rsid w:val="0009354C"/>
    <w:rsid w:val="00097444"/>
    <w:rsid w:val="000B3C10"/>
    <w:rsid w:val="000B5BA3"/>
    <w:rsid w:val="000B767A"/>
    <w:rsid w:val="000C18C2"/>
    <w:rsid w:val="000C1FCF"/>
    <w:rsid w:val="000C64BD"/>
    <w:rsid w:val="000D3359"/>
    <w:rsid w:val="000D7521"/>
    <w:rsid w:val="000E1EFA"/>
    <w:rsid w:val="000E623C"/>
    <w:rsid w:val="000F16D0"/>
    <w:rsid w:val="000F6717"/>
    <w:rsid w:val="000F7E97"/>
    <w:rsid w:val="00110BB7"/>
    <w:rsid w:val="0011635C"/>
    <w:rsid w:val="00117802"/>
    <w:rsid w:val="00122868"/>
    <w:rsid w:val="00131B72"/>
    <w:rsid w:val="00136A9F"/>
    <w:rsid w:val="001511F6"/>
    <w:rsid w:val="0015150E"/>
    <w:rsid w:val="0015384B"/>
    <w:rsid w:val="0015477E"/>
    <w:rsid w:val="00155A2D"/>
    <w:rsid w:val="001602B7"/>
    <w:rsid w:val="00160E39"/>
    <w:rsid w:val="00161CC0"/>
    <w:rsid w:val="00164F42"/>
    <w:rsid w:val="00177C55"/>
    <w:rsid w:val="001840C8"/>
    <w:rsid w:val="001879D2"/>
    <w:rsid w:val="00187F86"/>
    <w:rsid w:val="00191CD4"/>
    <w:rsid w:val="00195319"/>
    <w:rsid w:val="001A106D"/>
    <w:rsid w:val="001A3A04"/>
    <w:rsid w:val="001B04B5"/>
    <w:rsid w:val="001B0797"/>
    <w:rsid w:val="001B1FC6"/>
    <w:rsid w:val="001C0525"/>
    <w:rsid w:val="001C618E"/>
    <w:rsid w:val="001D3A2E"/>
    <w:rsid w:val="001D6288"/>
    <w:rsid w:val="001E3C2C"/>
    <w:rsid w:val="001F4D5B"/>
    <w:rsid w:val="00206F1C"/>
    <w:rsid w:val="00211E13"/>
    <w:rsid w:val="0021304B"/>
    <w:rsid w:val="00225CE7"/>
    <w:rsid w:val="002401ED"/>
    <w:rsid w:val="002421E9"/>
    <w:rsid w:val="00255542"/>
    <w:rsid w:val="00256ACD"/>
    <w:rsid w:val="002641E4"/>
    <w:rsid w:val="0027236D"/>
    <w:rsid w:val="0028119A"/>
    <w:rsid w:val="00286727"/>
    <w:rsid w:val="00286B19"/>
    <w:rsid w:val="00286D54"/>
    <w:rsid w:val="002908F8"/>
    <w:rsid w:val="002924BC"/>
    <w:rsid w:val="00293EAB"/>
    <w:rsid w:val="002A3354"/>
    <w:rsid w:val="002A61E4"/>
    <w:rsid w:val="002A6386"/>
    <w:rsid w:val="002B1255"/>
    <w:rsid w:val="002C578D"/>
    <w:rsid w:val="002D6535"/>
    <w:rsid w:val="002F23B1"/>
    <w:rsid w:val="00300A1F"/>
    <w:rsid w:val="00300F80"/>
    <w:rsid w:val="00302E92"/>
    <w:rsid w:val="003163A7"/>
    <w:rsid w:val="00316F80"/>
    <w:rsid w:val="00326B26"/>
    <w:rsid w:val="00342D95"/>
    <w:rsid w:val="00343226"/>
    <w:rsid w:val="00343B54"/>
    <w:rsid w:val="0034476D"/>
    <w:rsid w:val="003533AD"/>
    <w:rsid w:val="00355DEB"/>
    <w:rsid w:val="00356215"/>
    <w:rsid w:val="003609F8"/>
    <w:rsid w:val="00360DDB"/>
    <w:rsid w:val="003669E8"/>
    <w:rsid w:val="00374F5F"/>
    <w:rsid w:val="00390BBD"/>
    <w:rsid w:val="003920CF"/>
    <w:rsid w:val="003A0E07"/>
    <w:rsid w:val="003B1DFF"/>
    <w:rsid w:val="003C19D1"/>
    <w:rsid w:val="003D5A92"/>
    <w:rsid w:val="003D6D8F"/>
    <w:rsid w:val="003E7B32"/>
    <w:rsid w:val="0040170E"/>
    <w:rsid w:val="00412822"/>
    <w:rsid w:val="004128EC"/>
    <w:rsid w:val="004171D7"/>
    <w:rsid w:val="00430A44"/>
    <w:rsid w:val="00441B4C"/>
    <w:rsid w:val="00462F27"/>
    <w:rsid w:val="004802D8"/>
    <w:rsid w:val="00481547"/>
    <w:rsid w:val="00482375"/>
    <w:rsid w:val="00483494"/>
    <w:rsid w:val="00484F13"/>
    <w:rsid w:val="004857B4"/>
    <w:rsid w:val="004968AF"/>
    <w:rsid w:val="00496D70"/>
    <w:rsid w:val="004A1DE6"/>
    <w:rsid w:val="004A78D6"/>
    <w:rsid w:val="004B1702"/>
    <w:rsid w:val="004B1D7B"/>
    <w:rsid w:val="004B31AF"/>
    <w:rsid w:val="004B511F"/>
    <w:rsid w:val="004C1546"/>
    <w:rsid w:val="004C1CA6"/>
    <w:rsid w:val="004D2D45"/>
    <w:rsid w:val="004E0E86"/>
    <w:rsid w:val="004E1BCE"/>
    <w:rsid w:val="004E4E4C"/>
    <w:rsid w:val="004E6A02"/>
    <w:rsid w:val="004F13E7"/>
    <w:rsid w:val="004F15D4"/>
    <w:rsid w:val="004F7527"/>
    <w:rsid w:val="0050157D"/>
    <w:rsid w:val="005066C0"/>
    <w:rsid w:val="00506D07"/>
    <w:rsid w:val="00511C52"/>
    <w:rsid w:val="005276B7"/>
    <w:rsid w:val="005326A1"/>
    <w:rsid w:val="00536A49"/>
    <w:rsid w:val="00541BB3"/>
    <w:rsid w:val="00544059"/>
    <w:rsid w:val="00545655"/>
    <w:rsid w:val="00550EFB"/>
    <w:rsid w:val="0055123F"/>
    <w:rsid w:val="00552E4F"/>
    <w:rsid w:val="0055362A"/>
    <w:rsid w:val="00553739"/>
    <w:rsid w:val="00557621"/>
    <w:rsid w:val="00561AD5"/>
    <w:rsid w:val="005655AA"/>
    <w:rsid w:val="00565FF6"/>
    <w:rsid w:val="00566199"/>
    <w:rsid w:val="00573200"/>
    <w:rsid w:val="00584A99"/>
    <w:rsid w:val="00597795"/>
    <w:rsid w:val="005B2508"/>
    <w:rsid w:val="005B36E6"/>
    <w:rsid w:val="005C409D"/>
    <w:rsid w:val="005D17A1"/>
    <w:rsid w:val="005E0A8F"/>
    <w:rsid w:val="005E6C99"/>
    <w:rsid w:val="005F070F"/>
    <w:rsid w:val="005F69A0"/>
    <w:rsid w:val="0060037B"/>
    <w:rsid w:val="00603DD3"/>
    <w:rsid w:val="00607743"/>
    <w:rsid w:val="006103A5"/>
    <w:rsid w:val="00621CA8"/>
    <w:rsid w:val="00626EEC"/>
    <w:rsid w:val="00650A5A"/>
    <w:rsid w:val="00665706"/>
    <w:rsid w:val="00671345"/>
    <w:rsid w:val="00671B3C"/>
    <w:rsid w:val="006730D7"/>
    <w:rsid w:val="006738AF"/>
    <w:rsid w:val="00685460"/>
    <w:rsid w:val="00690FCA"/>
    <w:rsid w:val="006A082D"/>
    <w:rsid w:val="006C4880"/>
    <w:rsid w:val="006D00F6"/>
    <w:rsid w:val="006F109C"/>
    <w:rsid w:val="006F6FF9"/>
    <w:rsid w:val="006F77B7"/>
    <w:rsid w:val="006F7F48"/>
    <w:rsid w:val="007007BC"/>
    <w:rsid w:val="00701AA1"/>
    <w:rsid w:val="0070693A"/>
    <w:rsid w:val="007112F5"/>
    <w:rsid w:val="00730734"/>
    <w:rsid w:val="00742CD3"/>
    <w:rsid w:val="007435C1"/>
    <w:rsid w:val="00754E9F"/>
    <w:rsid w:val="0076318C"/>
    <w:rsid w:val="00763FE0"/>
    <w:rsid w:val="007679AE"/>
    <w:rsid w:val="0077659A"/>
    <w:rsid w:val="00794C0C"/>
    <w:rsid w:val="007951A5"/>
    <w:rsid w:val="007A2702"/>
    <w:rsid w:val="007A471B"/>
    <w:rsid w:val="007B6892"/>
    <w:rsid w:val="007B7A29"/>
    <w:rsid w:val="007C5133"/>
    <w:rsid w:val="007C7436"/>
    <w:rsid w:val="007C7AA9"/>
    <w:rsid w:val="007D2ECA"/>
    <w:rsid w:val="007E064D"/>
    <w:rsid w:val="007E2730"/>
    <w:rsid w:val="007E60E7"/>
    <w:rsid w:val="007E7BB6"/>
    <w:rsid w:val="007F03A0"/>
    <w:rsid w:val="007F20B8"/>
    <w:rsid w:val="007F28F5"/>
    <w:rsid w:val="007F330D"/>
    <w:rsid w:val="007F3F8B"/>
    <w:rsid w:val="007F42A1"/>
    <w:rsid w:val="007F714D"/>
    <w:rsid w:val="00800DCA"/>
    <w:rsid w:val="00805468"/>
    <w:rsid w:val="00813F42"/>
    <w:rsid w:val="00856D2A"/>
    <w:rsid w:val="008654DA"/>
    <w:rsid w:val="00865AE8"/>
    <w:rsid w:val="008725B9"/>
    <w:rsid w:val="00881498"/>
    <w:rsid w:val="00885E68"/>
    <w:rsid w:val="0088728E"/>
    <w:rsid w:val="00893373"/>
    <w:rsid w:val="00896DD3"/>
    <w:rsid w:val="00897346"/>
    <w:rsid w:val="008B060A"/>
    <w:rsid w:val="008C4690"/>
    <w:rsid w:val="008C48E5"/>
    <w:rsid w:val="008C65B3"/>
    <w:rsid w:val="008D191F"/>
    <w:rsid w:val="008D5883"/>
    <w:rsid w:val="008E4424"/>
    <w:rsid w:val="008F05A1"/>
    <w:rsid w:val="008F3B79"/>
    <w:rsid w:val="008F50E1"/>
    <w:rsid w:val="00901BF3"/>
    <w:rsid w:val="00902115"/>
    <w:rsid w:val="00902C02"/>
    <w:rsid w:val="00903513"/>
    <w:rsid w:val="00904C4A"/>
    <w:rsid w:val="00906A7D"/>
    <w:rsid w:val="0091393C"/>
    <w:rsid w:val="00914015"/>
    <w:rsid w:val="009331BE"/>
    <w:rsid w:val="0093325A"/>
    <w:rsid w:val="009374E3"/>
    <w:rsid w:val="00943ABA"/>
    <w:rsid w:val="00943AC2"/>
    <w:rsid w:val="00945A30"/>
    <w:rsid w:val="0095092A"/>
    <w:rsid w:val="00950DAD"/>
    <w:rsid w:val="00952BF7"/>
    <w:rsid w:val="009540AC"/>
    <w:rsid w:val="00955BB0"/>
    <w:rsid w:val="0096237B"/>
    <w:rsid w:val="00970B67"/>
    <w:rsid w:val="00980DD7"/>
    <w:rsid w:val="0098296F"/>
    <w:rsid w:val="009829C6"/>
    <w:rsid w:val="009A1CAE"/>
    <w:rsid w:val="009C582F"/>
    <w:rsid w:val="009D3EF7"/>
    <w:rsid w:val="009D41BD"/>
    <w:rsid w:val="009E2B07"/>
    <w:rsid w:val="009F2E14"/>
    <w:rsid w:val="009F4111"/>
    <w:rsid w:val="00A13C96"/>
    <w:rsid w:val="00A218E8"/>
    <w:rsid w:val="00A24A06"/>
    <w:rsid w:val="00A25BA2"/>
    <w:rsid w:val="00A26365"/>
    <w:rsid w:val="00A264C1"/>
    <w:rsid w:val="00A407E7"/>
    <w:rsid w:val="00A418A3"/>
    <w:rsid w:val="00A43E70"/>
    <w:rsid w:val="00A516E6"/>
    <w:rsid w:val="00A51832"/>
    <w:rsid w:val="00A574FE"/>
    <w:rsid w:val="00A60A88"/>
    <w:rsid w:val="00A6435E"/>
    <w:rsid w:val="00A66D4C"/>
    <w:rsid w:val="00A7004B"/>
    <w:rsid w:val="00A70242"/>
    <w:rsid w:val="00A73633"/>
    <w:rsid w:val="00A74603"/>
    <w:rsid w:val="00A75EF0"/>
    <w:rsid w:val="00A800B3"/>
    <w:rsid w:val="00A803DB"/>
    <w:rsid w:val="00A80EC5"/>
    <w:rsid w:val="00AA3BE0"/>
    <w:rsid w:val="00AA75E2"/>
    <w:rsid w:val="00AB3693"/>
    <w:rsid w:val="00AB4124"/>
    <w:rsid w:val="00AB4E73"/>
    <w:rsid w:val="00AB5667"/>
    <w:rsid w:val="00AB64E2"/>
    <w:rsid w:val="00AB6F4A"/>
    <w:rsid w:val="00AC3F09"/>
    <w:rsid w:val="00AC496F"/>
    <w:rsid w:val="00AD024B"/>
    <w:rsid w:val="00AD1FFD"/>
    <w:rsid w:val="00AD429D"/>
    <w:rsid w:val="00AD4B3C"/>
    <w:rsid w:val="00AD7EFF"/>
    <w:rsid w:val="00AE351D"/>
    <w:rsid w:val="00AE7946"/>
    <w:rsid w:val="00AF42B5"/>
    <w:rsid w:val="00B0102D"/>
    <w:rsid w:val="00B047B2"/>
    <w:rsid w:val="00B11C97"/>
    <w:rsid w:val="00B127C0"/>
    <w:rsid w:val="00B176FE"/>
    <w:rsid w:val="00B265A4"/>
    <w:rsid w:val="00B478FB"/>
    <w:rsid w:val="00B54BDF"/>
    <w:rsid w:val="00B54F87"/>
    <w:rsid w:val="00B5654E"/>
    <w:rsid w:val="00B56D2E"/>
    <w:rsid w:val="00B638B4"/>
    <w:rsid w:val="00B64FB3"/>
    <w:rsid w:val="00B70225"/>
    <w:rsid w:val="00B74A03"/>
    <w:rsid w:val="00B75AE6"/>
    <w:rsid w:val="00B911BF"/>
    <w:rsid w:val="00B96891"/>
    <w:rsid w:val="00BA440E"/>
    <w:rsid w:val="00BA4F9A"/>
    <w:rsid w:val="00BA7F3B"/>
    <w:rsid w:val="00BB5FD0"/>
    <w:rsid w:val="00BC1BA5"/>
    <w:rsid w:val="00BC36B9"/>
    <w:rsid w:val="00BC4B0D"/>
    <w:rsid w:val="00BD1C5A"/>
    <w:rsid w:val="00BD768A"/>
    <w:rsid w:val="00BE18D4"/>
    <w:rsid w:val="00BE305C"/>
    <w:rsid w:val="00BE3747"/>
    <w:rsid w:val="00C0459C"/>
    <w:rsid w:val="00C230D3"/>
    <w:rsid w:val="00C37C0D"/>
    <w:rsid w:val="00C45BA9"/>
    <w:rsid w:val="00C51A94"/>
    <w:rsid w:val="00C56415"/>
    <w:rsid w:val="00C71DB5"/>
    <w:rsid w:val="00C8318D"/>
    <w:rsid w:val="00C87517"/>
    <w:rsid w:val="00CB5327"/>
    <w:rsid w:val="00CB5402"/>
    <w:rsid w:val="00CC10DC"/>
    <w:rsid w:val="00CC548F"/>
    <w:rsid w:val="00CD39E0"/>
    <w:rsid w:val="00CF5C4D"/>
    <w:rsid w:val="00CF5C7D"/>
    <w:rsid w:val="00CF6CBC"/>
    <w:rsid w:val="00D043A7"/>
    <w:rsid w:val="00D0618A"/>
    <w:rsid w:val="00D15C82"/>
    <w:rsid w:val="00D178DB"/>
    <w:rsid w:val="00D20228"/>
    <w:rsid w:val="00D21264"/>
    <w:rsid w:val="00D25603"/>
    <w:rsid w:val="00D372AB"/>
    <w:rsid w:val="00D42466"/>
    <w:rsid w:val="00D464E4"/>
    <w:rsid w:val="00D477A4"/>
    <w:rsid w:val="00D703BD"/>
    <w:rsid w:val="00D76131"/>
    <w:rsid w:val="00D76B04"/>
    <w:rsid w:val="00D86D0C"/>
    <w:rsid w:val="00D87B7F"/>
    <w:rsid w:val="00D95E39"/>
    <w:rsid w:val="00DA05D5"/>
    <w:rsid w:val="00DA1032"/>
    <w:rsid w:val="00DA1408"/>
    <w:rsid w:val="00DA605D"/>
    <w:rsid w:val="00DC3E79"/>
    <w:rsid w:val="00DC4946"/>
    <w:rsid w:val="00DC6B54"/>
    <w:rsid w:val="00DD09DD"/>
    <w:rsid w:val="00DD2A97"/>
    <w:rsid w:val="00DD6C1A"/>
    <w:rsid w:val="00DE1F78"/>
    <w:rsid w:val="00DF534E"/>
    <w:rsid w:val="00DF7166"/>
    <w:rsid w:val="00E145BB"/>
    <w:rsid w:val="00E15565"/>
    <w:rsid w:val="00E170D6"/>
    <w:rsid w:val="00E20708"/>
    <w:rsid w:val="00E47B81"/>
    <w:rsid w:val="00E5020E"/>
    <w:rsid w:val="00E60803"/>
    <w:rsid w:val="00E62EE6"/>
    <w:rsid w:val="00E63680"/>
    <w:rsid w:val="00E70873"/>
    <w:rsid w:val="00E70BCB"/>
    <w:rsid w:val="00E73E5D"/>
    <w:rsid w:val="00E75054"/>
    <w:rsid w:val="00E75F71"/>
    <w:rsid w:val="00E7620D"/>
    <w:rsid w:val="00E80261"/>
    <w:rsid w:val="00E818CF"/>
    <w:rsid w:val="00E87D67"/>
    <w:rsid w:val="00E93264"/>
    <w:rsid w:val="00E95428"/>
    <w:rsid w:val="00EA2967"/>
    <w:rsid w:val="00EA4942"/>
    <w:rsid w:val="00EB6AAE"/>
    <w:rsid w:val="00EC2F58"/>
    <w:rsid w:val="00EC6B87"/>
    <w:rsid w:val="00ED2B82"/>
    <w:rsid w:val="00ED3B36"/>
    <w:rsid w:val="00ED5172"/>
    <w:rsid w:val="00EE363B"/>
    <w:rsid w:val="00EE3D91"/>
    <w:rsid w:val="00EF0908"/>
    <w:rsid w:val="00EF2294"/>
    <w:rsid w:val="00F0537B"/>
    <w:rsid w:val="00F0646F"/>
    <w:rsid w:val="00F108E5"/>
    <w:rsid w:val="00F1107D"/>
    <w:rsid w:val="00F147BD"/>
    <w:rsid w:val="00F20D36"/>
    <w:rsid w:val="00F2292C"/>
    <w:rsid w:val="00F22ED8"/>
    <w:rsid w:val="00F275FE"/>
    <w:rsid w:val="00F331D5"/>
    <w:rsid w:val="00F34ADD"/>
    <w:rsid w:val="00F5510F"/>
    <w:rsid w:val="00F5595E"/>
    <w:rsid w:val="00F559CB"/>
    <w:rsid w:val="00F6422E"/>
    <w:rsid w:val="00F64277"/>
    <w:rsid w:val="00F70A0C"/>
    <w:rsid w:val="00F81041"/>
    <w:rsid w:val="00F85902"/>
    <w:rsid w:val="00F91799"/>
    <w:rsid w:val="00F93D3E"/>
    <w:rsid w:val="00F96641"/>
    <w:rsid w:val="00FA4B2A"/>
    <w:rsid w:val="00FA6AE0"/>
    <w:rsid w:val="00FC0CCC"/>
    <w:rsid w:val="00FD1B79"/>
    <w:rsid w:val="00FE41D2"/>
    <w:rsid w:val="00FE5727"/>
    <w:rsid w:val="00FF0477"/>
    <w:rsid w:val="00FF1CDF"/>
    <w:rsid w:val="00FF55E2"/>
    <w:rsid w:val="00FF5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F763"/>
  <w15:chartTrackingRefBased/>
  <w15:docId w15:val="{EB1385F8-B2DF-4849-9EFB-5BCD25C8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A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6A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08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35"/>
    <w:pPr>
      <w:ind w:left="720"/>
      <w:contextualSpacing/>
    </w:pPr>
  </w:style>
  <w:style w:type="paragraph" w:styleId="Bibliography">
    <w:name w:val="Bibliography"/>
    <w:basedOn w:val="Normal"/>
    <w:next w:val="Normal"/>
    <w:uiPriority w:val="37"/>
    <w:unhideWhenUsed/>
    <w:rsid w:val="00665706"/>
    <w:pPr>
      <w:spacing w:after="0" w:line="480" w:lineRule="auto"/>
      <w:ind w:left="720" w:hanging="720"/>
    </w:pPr>
  </w:style>
  <w:style w:type="paragraph" w:styleId="FootnoteText">
    <w:name w:val="footnote text"/>
    <w:basedOn w:val="Normal"/>
    <w:link w:val="FootnoteTextChar"/>
    <w:uiPriority w:val="99"/>
    <w:semiHidden/>
    <w:unhideWhenUsed/>
    <w:rsid w:val="009331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31BE"/>
    <w:rPr>
      <w:sz w:val="20"/>
      <w:szCs w:val="20"/>
    </w:rPr>
  </w:style>
  <w:style w:type="character" w:styleId="FootnoteReference">
    <w:name w:val="footnote reference"/>
    <w:basedOn w:val="DefaultParagraphFont"/>
    <w:uiPriority w:val="99"/>
    <w:semiHidden/>
    <w:unhideWhenUsed/>
    <w:rsid w:val="009331BE"/>
    <w:rPr>
      <w:vertAlign w:val="superscript"/>
    </w:rPr>
  </w:style>
  <w:style w:type="character" w:styleId="HTMLCite">
    <w:name w:val="HTML Cite"/>
    <w:basedOn w:val="DefaultParagraphFont"/>
    <w:uiPriority w:val="99"/>
    <w:semiHidden/>
    <w:unhideWhenUsed/>
    <w:rsid w:val="00A7004B"/>
    <w:rPr>
      <w:i/>
      <w:iCs/>
    </w:rPr>
  </w:style>
  <w:style w:type="character" w:styleId="Hyperlink">
    <w:name w:val="Hyperlink"/>
    <w:basedOn w:val="DefaultParagraphFont"/>
    <w:uiPriority w:val="99"/>
    <w:unhideWhenUsed/>
    <w:rsid w:val="00A7004B"/>
    <w:rPr>
      <w:color w:val="0000FF"/>
      <w:u w:val="single"/>
    </w:rPr>
  </w:style>
  <w:style w:type="paragraph" w:styleId="Title">
    <w:name w:val="Title"/>
    <w:basedOn w:val="Normal"/>
    <w:next w:val="Normal"/>
    <w:link w:val="TitleChar"/>
    <w:uiPriority w:val="10"/>
    <w:qFormat/>
    <w:rsid w:val="00E170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0D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36A4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6A4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908F8"/>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9E2B07"/>
    <w:rPr>
      <w:i/>
      <w:iCs/>
    </w:rPr>
  </w:style>
  <w:style w:type="character" w:customStyle="1" w:styleId="ui-provider">
    <w:name w:val="ui-provider"/>
    <w:basedOn w:val="DefaultParagraphFont"/>
    <w:rsid w:val="00BE18D4"/>
  </w:style>
  <w:style w:type="character" w:styleId="LineNumber">
    <w:name w:val="line number"/>
    <w:basedOn w:val="DefaultParagraphFont"/>
    <w:uiPriority w:val="99"/>
    <w:semiHidden/>
    <w:unhideWhenUsed/>
    <w:rsid w:val="00DC6B54"/>
  </w:style>
  <w:style w:type="character" w:styleId="UnresolvedMention">
    <w:name w:val="Unresolved Mention"/>
    <w:basedOn w:val="DefaultParagraphFont"/>
    <w:uiPriority w:val="99"/>
    <w:semiHidden/>
    <w:unhideWhenUsed/>
    <w:rsid w:val="005655AA"/>
    <w:rPr>
      <w:color w:val="605E5C"/>
      <w:shd w:val="clear" w:color="auto" w:fill="E1DFDD"/>
    </w:rPr>
  </w:style>
  <w:style w:type="paragraph" w:styleId="NoSpacing">
    <w:name w:val="No Spacing"/>
    <w:uiPriority w:val="1"/>
    <w:qFormat/>
    <w:rsid w:val="00901B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6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mason@uw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0D57A-5DC4-491D-A780-F8C3D91D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7906</Words>
  <Characters>45069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Sylvester Mwende (Student)</dc:creator>
  <cp:keywords/>
  <dc:description/>
  <cp:lastModifiedBy>Jim Mason</cp:lastModifiedBy>
  <cp:revision>2</cp:revision>
  <cp:lastPrinted>2023-09-04T11:34:00Z</cp:lastPrinted>
  <dcterms:created xsi:type="dcterms:W3CDTF">2024-01-03T10:25:00Z</dcterms:created>
  <dcterms:modified xsi:type="dcterms:W3CDTF">2024-01-03T10:25:00Z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id="kC1DpSnx"/&gt;&lt;style id="http://www.zotero.org/styles/emerald-harvard" hasBibliography="1" bibliographyStyleHasBeenSet="1"/&gt;&lt;prefs&gt;&lt;pref name="fieldType" value="Field"/&gt;&lt;/prefs&gt;&lt;/data&gt;</vt:lpwstr>
  </property>
</Properties>
</file>