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6D1978" w14:textId="0D8489A3" w:rsidR="008A1199" w:rsidRDefault="008A1199" w:rsidP="00A0406D">
      <w:pPr>
        <w:pStyle w:val="ChapNumber"/>
      </w:pPr>
      <w:r>
        <w:t>7</w:t>
      </w:r>
    </w:p>
    <w:p w14:paraId="6DF2E390" w14:textId="427CCD4D" w:rsidR="0085563E" w:rsidRPr="00495B90" w:rsidRDefault="00495B90" w:rsidP="00A0406D">
      <w:pPr>
        <w:pStyle w:val="ChapTitle"/>
      </w:pPr>
      <w:r w:rsidRPr="00495B90">
        <w:t>I</w:t>
      </w:r>
      <w:r w:rsidR="005066A4" w:rsidRPr="00495B90">
        <w:t>s it</w:t>
      </w:r>
      <w:r w:rsidRPr="00495B90">
        <w:t xml:space="preserve"> T</w:t>
      </w:r>
      <w:r w:rsidR="005066A4" w:rsidRPr="00495B90">
        <w:t>ime for the</w:t>
      </w:r>
      <w:r w:rsidRPr="00495B90">
        <w:t xml:space="preserve"> N</w:t>
      </w:r>
      <w:r w:rsidR="005066A4" w:rsidRPr="00495B90">
        <w:t>ext</w:t>
      </w:r>
      <w:r w:rsidRPr="00495B90">
        <w:t xml:space="preserve"> S</w:t>
      </w:r>
      <w:r w:rsidR="005066A4" w:rsidRPr="00495B90">
        <w:t xml:space="preserve">eminal </w:t>
      </w:r>
      <w:r w:rsidRPr="00495B90">
        <w:t>E</w:t>
      </w:r>
      <w:r w:rsidR="005066A4" w:rsidRPr="00495B90">
        <w:t>conomic</w:t>
      </w:r>
      <w:r w:rsidRPr="00495B90">
        <w:t xml:space="preserve"> C</w:t>
      </w:r>
      <w:r w:rsidR="005066A4" w:rsidRPr="00495B90">
        <w:t>rime</w:t>
      </w:r>
      <w:r w:rsidRPr="00495B90">
        <w:t xml:space="preserve"> S</w:t>
      </w:r>
      <w:r w:rsidR="005066A4" w:rsidRPr="00495B90">
        <w:t>tatute</w:t>
      </w:r>
      <w:r w:rsidRPr="00495B90">
        <w:t>? M</w:t>
      </w:r>
      <w:r w:rsidR="005066A4" w:rsidRPr="00495B90">
        <w:t>odernising and</w:t>
      </w:r>
      <w:r w:rsidRPr="00495B90">
        <w:t xml:space="preserve"> S</w:t>
      </w:r>
      <w:r w:rsidR="005066A4" w:rsidRPr="00495B90">
        <w:t>implifying</w:t>
      </w:r>
      <w:r w:rsidRPr="00495B90">
        <w:t xml:space="preserve"> T</w:t>
      </w:r>
      <w:r w:rsidR="005066A4" w:rsidRPr="00495B90">
        <w:t xml:space="preserve">ax </w:t>
      </w:r>
      <w:r w:rsidRPr="00495B90">
        <w:t>E</w:t>
      </w:r>
      <w:r w:rsidR="005066A4" w:rsidRPr="00495B90">
        <w:t>vasion</w:t>
      </w:r>
      <w:r w:rsidRPr="00495B90">
        <w:t xml:space="preserve"> O</w:t>
      </w:r>
      <w:r w:rsidR="005066A4" w:rsidRPr="00495B90">
        <w:t>ffences in the</w:t>
      </w:r>
      <w:r w:rsidRPr="00495B90">
        <w:t xml:space="preserve"> UK</w:t>
      </w:r>
    </w:p>
    <w:p w14:paraId="1A6C7EB5" w14:textId="7D06ACDE" w:rsidR="0085563E" w:rsidRDefault="0085563E" w:rsidP="00365437">
      <w:pPr>
        <w:pStyle w:val="Author"/>
      </w:pPr>
      <w:r w:rsidRPr="00E97D17">
        <w:t>Sam Bourton</w:t>
      </w:r>
      <w:r w:rsidR="00495B90">
        <w:rPr>
          <w:rStyle w:val="FootnoteReference"/>
          <w:rFonts w:ascii="Times New Roman" w:hAnsi="Times New Roman"/>
          <w:bCs/>
          <w:sz w:val="24"/>
          <w:szCs w:val="24"/>
        </w:rPr>
        <w:footnoteReference w:customMarkFollows="1" w:id="1"/>
        <w:t>*</w:t>
      </w:r>
      <w:r w:rsidR="00495B90">
        <w:t xml:space="preserve"> </w:t>
      </w:r>
    </w:p>
    <w:p w14:paraId="1ED9471F" w14:textId="77BFF31B" w:rsidR="00090F3F" w:rsidRPr="00E97D17" w:rsidRDefault="009A1D53" w:rsidP="002B18A9">
      <w:r w:rsidRPr="00E97D17">
        <w:t xml:space="preserve">Historically, </w:t>
      </w:r>
      <w:r w:rsidR="00CC5EF3" w:rsidRPr="00E97D17">
        <w:t xml:space="preserve">little use </w:t>
      </w:r>
      <w:r w:rsidR="00377728" w:rsidRPr="00E97D17">
        <w:t xml:space="preserve">was </w:t>
      </w:r>
      <w:r w:rsidR="00CC5EF3" w:rsidRPr="00E97D17">
        <w:t xml:space="preserve">made of the criminal justice system in addressing tax evasion </w:t>
      </w:r>
      <w:r w:rsidRPr="00E97D17">
        <w:t xml:space="preserve">in the UK, with tax authorities preferring to conduct civil investigations, resulting in the </w:t>
      </w:r>
      <w:r w:rsidR="00156170" w:rsidRPr="00E97D17">
        <w:t>imposition of</w:t>
      </w:r>
      <w:r w:rsidRPr="00E97D17">
        <w:t xml:space="preserve"> civil penalties. </w:t>
      </w:r>
      <w:r w:rsidR="00CC5EF3" w:rsidRPr="00E97D17">
        <w:t>From 1998</w:t>
      </w:r>
      <w:r w:rsidR="006E75FF">
        <w:t>‒</w:t>
      </w:r>
      <w:r w:rsidR="00CC5EF3" w:rsidRPr="00E97D17">
        <w:t>2002, the Inland Revenue brought only 263 prosecutions for tax offences,</w:t>
      </w:r>
      <w:r w:rsidR="00CC5EF3" w:rsidRPr="00E97D17">
        <w:rPr>
          <w:rStyle w:val="FootnoteReference"/>
        </w:rPr>
        <w:footnoteReference w:id="2"/>
      </w:r>
      <w:r w:rsidR="00CC5EF3" w:rsidRPr="00E97D17">
        <w:t xml:space="preserve"> </w:t>
      </w:r>
      <w:r w:rsidR="00156170" w:rsidRPr="00E97D17">
        <w:t>with, at its lowest point in 2001/2, a mere 30 individuals prosecuted.</w:t>
      </w:r>
      <w:r w:rsidR="00CC5EF3" w:rsidRPr="00E97D17">
        <w:rPr>
          <w:rStyle w:val="FootnoteReference"/>
        </w:rPr>
        <w:footnoteReference w:id="3"/>
      </w:r>
      <w:r w:rsidR="00CC5EF3" w:rsidRPr="00E97D17">
        <w:t xml:space="preserve"> </w:t>
      </w:r>
      <w:r w:rsidR="00377728" w:rsidRPr="00E97D17">
        <w:t>B</w:t>
      </w:r>
      <w:r w:rsidR="00CC5EF3" w:rsidRPr="00E97D17">
        <w:t>y 2007, H</w:t>
      </w:r>
      <w:r w:rsidR="00461A78">
        <w:t>is</w:t>
      </w:r>
      <w:r w:rsidR="00CC5EF3" w:rsidRPr="00E97D17">
        <w:t xml:space="preserve"> Majesty’s Revenue and Customs</w:t>
      </w:r>
      <w:r w:rsidR="00090F3F" w:rsidRPr="00E97D17">
        <w:t xml:space="preserve"> (HMRC)</w:t>
      </w:r>
      <w:r w:rsidR="00CC5EF3" w:rsidRPr="00E97D17">
        <w:t xml:space="preserve"> only prosecuted two in a thousand cases of suspected tax evasion,</w:t>
      </w:r>
      <w:r w:rsidR="00CC5EF3" w:rsidRPr="00E97D17">
        <w:rPr>
          <w:rStyle w:val="FootnoteReference"/>
        </w:rPr>
        <w:footnoteReference w:id="4"/>
      </w:r>
      <w:r w:rsidR="00CC5EF3" w:rsidRPr="00E97D17">
        <w:t xml:space="preserve"> with the prosecution rate subsequently declining by a further 41</w:t>
      </w:r>
      <w:r w:rsidR="00023908">
        <w:t xml:space="preserve"> per cent</w:t>
      </w:r>
      <w:r w:rsidR="00163554" w:rsidRPr="00E97D17">
        <w:t xml:space="preserve"> </w:t>
      </w:r>
      <w:r w:rsidR="00904F8E">
        <w:t>by</w:t>
      </w:r>
      <w:r w:rsidR="00163554" w:rsidRPr="00E97D17">
        <w:t xml:space="preserve"> 2010</w:t>
      </w:r>
      <w:r w:rsidR="00CC5EF3" w:rsidRPr="00E97D17">
        <w:t>.</w:t>
      </w:r>
      <w:r w:rsidR="00CC5EF3" w:rsidRPr="00E97D17">
        <w:rPr>
          <w:rStyle w:val="FootnoteReference"/>
        </w:rPr>
        <w:footnoteReference w:id="5"/>
      </w:r>
      <w:r w:rsidR="00163554" w:rsidRPr="00E97D17">
        <w:t xml:space="preserve"> </w:t>
      </w:r>
      <w:r w:rsidR="00712123">
        <w:t>Following</w:t>
      </w:r>
      <w:r w:rsidR="00163554" w:rsidRPr="00E97D17">
        <w:t xml:space="preserve"> the financial crisis</w:t>
      </w:r>
      <w:r w:rsidR="005A1491" w:rsidRPr="00E97D17">
        <w:t xml:space="preserve"> and</w:t>
      </w:r>
      <w:r w:rsidR="00163554" w:rsidRPr="00E97D17">
        <w:t xml:space="preserve"> public </w:t>
      </w:r>
      <w:r w:rsidR="005A1491" w:rsidRPr="00E97D17">
        <w:t>dissatisfaction with responses to</w:t>
      </w:r>
      <w:r w:rsidR="00163554" w:rsidRPr="00E97D17">
        <w:t xml:space="preserve"> high-profile tax evasion scandals</w:t>
      </w:r>
      <w:r w:rsidR="00B5389C">
        <w:t>,</w:t>
      </w:r>
      <w:r w:rsidR="00712123">
        <w:t xml:space="preserve"> </w:t>
      </w:r>
      <w:r w:rsidR="00B5389C">
        <w:t>t</w:t>
      </w:r>
      <w:r w:rsidR="00B5389C" w:rsidRPr="00E97D17">
        <w:t>he next decade saw a transformation in the enforcement of tax offences</w:t>
      </w:r>
      <w:r w:rsidR="00163554" w:rsidRPr="00E97D17">
        <w:t xml:space="preserve">. </w:t>
      </w:r>
      <w:r w:rsidR="00E121F1">
        <w:t>In particular</w:t>
      </w:r>
      <w:r w:rsidR="002B01F7">
        <w:t xml:space="preserve">, </w:t>
      </w:r>
      <w:r w:rsidR="00023C41">
        <w:t xml:space="preserve">a </w:t>
      </w:r>
      <w:r w:rsidR="008E647E">
        <w:t>P</w:t>
      </w:r>
      <w:r w:rsidR="00CC0F8A">
        <w:t>arliamentary inquir</w:t>
      </w:r>
      <w:r w:rsidR="00023C41">
        <w:t>y</w:t>
      </w:r>
      <w:r w:rsidR="00CC0F8A">
        <w:t xml:space="preserve"> followed </w:t>
      </w:r>
      <w:r w:rsidR="00DE1EC6">
        <w:t xml:space="preserve">the HSBC (Suisse) scandal, </w:t>
      </w:r>
      <w:r w:rsidR="00882060" w:rsidRPr="00882060">
        <w:t xml:space="preserve">where over 1000 </w:t>
      </w:r>
      <w:r w:rsidR="00882060">
        <w:t xml:space="preserve">UK </w:t>
      </w:r>
      <w:r w:rsidR="00882060" w:rsidRPr="00882060">
        <w:t>account holders</w:t>
      </w:r>
      <w:r w:rsidR="00882060">
        <w:t xml:space="preserve"> were investigated for tax evasion</w:t>
      </w:r>
      <w:r w:rsidR="00882060" w:rsidRPr="00882060">
        <w:t>,</w:t>
      </w:r>
      <w:r w:rsidR="00882060">
        <w:t xml:space="preserve"> yet</w:t>
      </w:r>
      <w:r w:rsidR="00882060" w:rsidRPr="00882060">
        <w:t xml:space="preserve"> only one </w:t>
      </w:r>
      <w:r w:rsidR="00882060">
        <w:t xml:space="preserve">individual </w:t>
      </w:r>
      <w:r w:rsidR="00882060" w:rsidRPr="00882060">
        <w:t>was prosecuted</w:t>
      </w:r>
      <w:r w:rsidR="00882060">
        <w:t>.</w:t>
      </w:r>
      <w:r w:rsidR="00882060">
        <w:rPr>
          <w:rStyle w:val="FootnoteReference"/>
        </w:rPr>
        <w:footnoteReference w:id="6"/>
      </w:r>
      <w:r w:rsidR="00882060">
        <w:t xml:space="preserve"> Accordingly, </w:t>
      </w:r>
      <w:r w:rsidR="00163554" w:rsidRPr="00E97D17">
        <w:t>HMRC were tasked with increasing</w:t>
      </w:r>
      <w:r w:rsidR="00F913C2" w:rsidRPr="00E97D17">
        <w:t xml:space="preserve"> the</w:t>
      </w:r>
      <w:r w:rsidR="00163554" w:rsidRPr="00E97D17">
        <w:t xml:space="preserve"> number of prosecutions</w:t>
      </w:r>
      <w:r w:rsidR="00A42E3E">
        <w:t xml:space="preserve"> </w:t>
      </w:r>
      <w:r w:rsidR="00B36ED1">
        <w:t xml:space="preserve">for tax evasion </w:t>
      </w:r>
      <w:r w:rsidR="00163554" w:rsidRPr="00E97D17">
        <w:t>from 165</w:t>
      </w:r>
      <w:r w:rsidR="00090F3F" w:rsidRPr="00E97D17">
        <w:t xml:space="preserve"> in 2010</w:t>
      </w:r>
      <w:r w:rsidR="00163554" w:rsidRPr="00E97D17">
        <w:t xml:space="preserve"> to 1</w:t>
      </w:r>
      <w:r w:rsidR="006E75FF">
        <w:t>,</w:t>
      </w:r>
      <w:r w:rsidR="00163554" w:rsidRPr="00E97D17">
        <w:t xml:space="preserve">165 prosecutions annually by 2014/15, by making sufficient </w:t>
      </w:r>
      <w:r w:rsidR="00163554" w:rsidRPr="00E97D17">
        <w:lastRenderedPageBreak/>
        <w:t>referrals to the C</w:t>
      </w:r>
      <w:r w:rsidR="00377728" w:rsidRPr="00E97D17">
        <w:t xml:space="preserve">rown Prosecution </w:t>
      </w:r>
      <w:r w:rsidR="00163554" w:rsidRPr="00E97D17">
        <w:t>S</w:t>
      </w:r>
      <w:r w:rsidR="00377728" w:rsidRPr="00E97D17">
        <w:t>ervice</w:t>
      </w:r>
      <w:r w:rsidR="00163554" w:rsidRPr="00E97D17">
        <w:t>.</w:t>
      </w:r>
      <w:r w:rsidR="00163554" w:rsidRPr="00E97D17">
        <w:rPr>
          <w:rStyle w:val="FootnoteReference"/>
        </w:rPr>
        <w:footnoteReference w:id="7"/>
      </w:r>
      <w:r w:rsidR="00163554" w:rsidRPr="00E97D17">
        <w:t xml:space="preserve"> In response, the number of tax evasion prosecutions dramatically</w:t>
      </w:r>
      <w:r w:rsidR="008E647E">
        <w:t xml:space="preserve"> and steadily</w:t>
      </w:r>
      <w:r w:rsidR="00163554" w:rsidRPr="00E97D17">
        <w:t xml:space="preserve"> increased, from 420 in 2010/11 to 1288 in 2014/15.</w:t>
      </w:r>
      <w:bookmarkStart w:id="0" w:name="_Ref112239933"/>
      <w:r w:rsidR="00163554" w:rsidRPr="00E97D17">
        <w:rPr>
          <w:rStyle w:val="FootnoteReference"/>
        </w:rPr>
        <w:footnoteReference w:id="8"/>
      </w:r>
      <w:bookmarkEnd w:id="0"/>
      <w:r w:rsidR="00327423">
        <w:t xml:space="preserve"> </w:t>
      </w:r>
      <w:r w:rsidR="000765E8">
        <w:t xml:space="preserve">Following this, </w:t>
      </w:r>
      <w:r w:rsidR="000765E8" w:rsidRPr="00766CD5">
        <w:t xml:space="preserve">880 individuals were prosecuted </w:t>
      </w:r>
      <w:r w:rsidR="00A42E3E">
        <w:t>from</w:t>
      </w:r>
      <w:r w:rsidR="000765E8" w:rsidRPr="00766CD5">
        <w:t xml:space="preserve"> 2015</w:t>
      </w:r>
      <w:r w:rsidR="006E75FF">
        <w:t>‒</w:t>
      </w:r>
      <w:r w:rsidR="000765E8" w:rsidRPr="00766CD5">
        <w:t>16,</w:t>
      </w:r>
      <w:r w:rsidR="000765E8" w:rsidRPr="00766CD5">
        <w:rPr>
          <w:rStyle w:val="FootnoteReference"/>
        </w:rPr>
        <w:footnoteReference w:id="9"/>
      </w:r>
      <w:r w:rsidR="000765E8" w:rsidRPr="00766CD5">
        <w:t xml:space="preserve"> followed by 886 prosecutions </w:t>
      </w:r>
      <w:r w:rsidR="00A42E3E">
        <w:t>from</w:t>
      </w:r>
      <w:r w:rsidR="000765E8" w:rsidRPr="00766CD5">
        <w:t xml:space="preserve"> 2016</w:t>
      </w:r>
      <w:r w:rsidR="006E75FF">
        <w:t>‒</w:t>
      </w:r>
      <w:r w:rsidR="000765E8" w:rsidRPr="00766CD5">
        <w:t>17,</w:t>
      </w:r>
      <w:r w:rsidR="000765E8" w:rsidRPr="00766CD5">
        <w:rPr>
          <w:rStyle w:val="FootnoteReference"/>
        </w:rPr>
        <w:footnoteReference w:id="10"/>
      </w:r>
      <w:r w:rsidR="000765E8" w:rsidRPr="00766CD5">
        <w:t xml:space="preserve"> 917 prosecutions </w:t>
      </w:r>
      <w:r w:rsidR="00A42E3E">
        <w:t>from</w:t>
      </w:r>
      <w:r w:rsidR="000765E8" w:rsidRPr="00766CD5">
        <w:t xml:space="preserve"> 2017</w:t>
      </w:r>
      <w:r w:rsidR="006E75FF">
        <w:t>‒</w:t>
      </w:r>
      <w:r w:rsidR="000765E8" w:rsidRPr="00766CD5">
        <w:t>18</w:t>
      </w:r>
      <w:r w:rsidR="00461A78">
        <w:t>,</w:t>
      </w:r>
      <w:r w:rsidR="000765E8" w:rsidRPr="00766CD5">
        <w:rPr>
          <w:rStyle w:val="FootnoteReference"/>
        </w:rPr>
        <w:footnoteReference w:id="11"/>
      </w:r>
      <w:r w:rsidR="00F20AB0">
        <w:t xml:space="preserve"> and 691 </w:t>
      </w:r>
      <w:r w:rsidR="00461A78" w:rsidRPr="00766CD5">
        <w:t xml:space="preserve">prosecutions </w:t>
      </w:r>
      <w:r w:rsidR="00D6249A">
        <w:t>from</w:t>
      </w:r>
      <w:r w:rsidR="00461A78" w:rsidRPr="00766CD5">
        <w:t xml:space="preserve"> 2019</w:t>
      </w:r>
      <w:r w:rsidR="006E75FF">
        <w:t>‒</w:t>
      </w:r>
      <w:r w:rsidR="00461A78" w:rsidRPr="00766CD5">
        <w:t>20.</w:t>
      </w:r>
      <w:r w:rsidR="00461A78" w:rsidRPr="00766CD5">
        <w:rPr>
          <w:rStyle w:val="FootnoteReference"/>
        </w:rPr>
        <w:footnoteReference w:id="12"/>
      </w:r>
      <w:r w:rsidR="00F20AB0">
        <w:t xml:space="preserve"> Primarily owing to the impact of the </w:t>
      </w:r>
      <w:r w:rsidR="006E75FF">
        <w:t>COVID</w:t>
      </w:r>
      <w:r w:rsidR="00F20AB0">
        <w:t xml:space="preserve">-19 Pandemic, </w:t>
      </w:r>
      <w:r w:rsidR="00CC467D">
        <w:t xml:space="preserve">from 2020, </w:t>
      </w:r>
      <w:r w:rsidR="00F20AB0">
        <w:t xml:space="preserve">the number of prosecutions </w:t>
      </w:r>
      <w:r w:rsidR="005E532C">
        <w:t xml:space="preserve">for tax evasion </w:t>
      </w:r>
      <w:r w:rsidR="00F2570F">
        <w:t>declined</w:t>
      </w:r>
      <w:r w:rsidR="00F20AB0">
        <w:t xml:space="preserve">, with a mere 163 prosecutions </w:t>
      </w:r>
      <w:r w:rsidR="00D6249A">
        <w:t>from</w:t>
      </w:r>
      <w:r w:rsidR="00F20AB0">
        <w:t xml:space="preserve"> 2020</w:t>
      </w:r>
      <w:r w:rsidR="006E75FF">
        <w:t>‒</w:t>
      </w:r>
      <w:r w:rsidR="00F20AB0">
        <w:t>21 and 215</w:t>
      </w:r>
      <w:r w:rsidR="00D6249A">
        <w:t xml:space="preserve"> prosecutions</w:t>
      </w:r>
      <w:r w:rsidR="00F20AB0">
        <w:t xml:space="preserve"> </w:t>
      </w:r>
      <w:r w:rsidR="00D6249A">
        <w:t>from 2021</w:t>
      </w:r>
      <w:r w:rsidR="006E75FF">
        <w:t>‒</w:t>
      </w:r>
      <w:r w:rsidR="00D6249A">
        <w:t>22</w:t>
      </w:r>
      <w:r w:rsidR="00F20AB0">
        <w:t>.</w:t>
      </w:r>
      <w:r w:rsidR="00F20AB0">
        <w:rPr>
          <w:rStyle w:val="FootnoteReference"/>
        </w:rPr>
        <w:footnoteReference w:id="13"/>
      </w:r>
    </w:p>
    <w:p w14:paraId="108A459C" w14:textId="0224CEF3" w:rsidR="00163554" w:rsidRDefault="00163554" w:rsidP="00A0406D">
      <w:r w:rsidRPr="00E97D17">
        <w:t>Despite this volte-face in tax law enforcement, insufficient attention has been paid</w:t>
      </w:r>
      <w:r w:rsidR="002069A4">
        <w:t xml:space="preserve"> by both academics and policy makers</w:t>
      </w:r>
      <w:r w:rsidRPr="00E97D17">
        <w:t xml:space="preserve"> to the increasing use of the criminal justice system in combatting </w:t>
      </w:r>
      <w:r w:rsidR="00E95F8D">
        <w:t>tax evasion</w:t>
      </w:r>
      <w:r w:rsidRPr="00E97D17">
        <w:t>.</w:t>
      </w:r>
      <w:bookmarkStart w:id="1" w:name="_Ref112743454"/>
      <w:r w:rsidR="002B01F7">
        <w:rPr>
          <w:rStyle w:val="FootnoteReference"/>
        </w:rPr>
        <w:footnoteReference w:id="14"/>
      </w:r>
      <w:bookmarkEnd w:id="1"/>
      <w:r w:rsidR="002B01F7">
        <w:t xml:space="preserve"> T</w:t>
      </w:r>
      <w:r w:rsidRPr="00E97D17">
        <w:t>ax evasion offences have been enacted on an ad hoc basis</w:t>
      </w:r>
      <w:r w:rsidR="00EC598C">
        <w:t xml:space="preserve"> and are comprehensive,</w:t>
      </w:r>
      <w:r w:rsidRPr="00E97D17">
        <w:t xml:space="preserve"> separately </w:t>
      </w:r>
      <w:proofErr w:type="spellStart"/>
      <w:r w:rsidRPr="00E97D17">
        <w:t>criminalising</w:t>
      </w:r>
      <w:proofErr w:type="spellEnd"/>
      <w:r w:rsidRPr="00E97D17">
        <w:t xml:space="preserve"> the evasion of most types of taxation, as well as many of the underlying </w:t>
      </w:r>
      <w:proofErr w:type="spellStart"/>
      <w:r w:rsidRPr="00E97D17">
        <w:t>behaviours</w:t>
      </w:r>
      <w:proofErr w:type="spellEnd"/>
      <w:r w:rsidRPr="00E97D17">
        <w:t xml:space="preserve"> involved</w:t>
      </w:r>
      <w:r w:rsidR="00EC598C">
        <w:t xml:space="preserve">. </w:t>
      </w:r>
      <w:r w:rsidR="00E95F8D">
        <w:t>However, to date</w:t>
      </w:r>
      <w:r w:rsidR="000536DE">
        <w:t xml:space="preserve">, there has been little attempt to </w:t>
      </w:r>
      <w:proofErr w:type="spellStart"/>
      <w:r w:rsidR="000536DE">
        <w:t>systematise</w:t>
      </w:r>
      <w:proofErr w:type="spellEnd"/>
      <w:r w:rsidR="000536DE">
        <w:t xml:space="preserve"> and </w:t>
      </w:r>
      <w:proofErr w:type="spellStart"/>
      <w:r w:rsidR="000536DE">
        <w:t>rationalise</w:t>
      </w:r>
      <w:proofErr w:type="spellEnd"/>
      <w:r w:rsidR="000536DE">
        <w:t xml:space="preserve"> </w:t>
      </w:r>
      <w:r w:rsidR="00EC598C">
        <w:t xml:space="preserve">this patchwork </w:t>
      </w:r>
      <w:r w:rsidR="000536DE">
        <w:t>of offences</w:t>
      </w:r>
      <w:r w:rsidR="00EC598C">
        <w:t>, causing duplicity and redundancy</w:t>
      </w:r>
      <w:r w:rsidR="000536DE">
        <w:t>.</w:t>
      </w:r>
      <w:r w:rsidR="00090F3F" w:rsidRPr="00E97D17">
        <w:t xml:space="preserve"> </w:t>
      </w:r>
      <w:r w:rsidR="00CC0F8A">
        <w:t xml:space="preserve">To </w:t>
      </w:r>
      <w:r w:rsidR="008E647E">
        <w:t xml:space="preserve">attempt to </w:t>
      </w:r>
      <w:r w:rsidR="00CC0F8A">
        <w:t>remedy the gap in existing literature</w:t>
      </w:r>
      <w:r w:rsidR="00090F3F" w:rsidRPr="00E97D17">
        <w:t xml:space="preserve">, this </w:t>
      </w:r>
      <w:r w:rsidR="0031515D">
        <w:t>chapter</w:t>
      </w:r>
      <w:r w:rsidR="0031515D" w:rsidRPr="00E97D17">
        <w:t xml:space="preserve"> </w:t>
      </w:r>
      <w:r w:rsidR="00090F3F" w:rsidRPr="00E97D17">
        <w:t>begins by providing a</w:t>
      </w:r>
      <w:r w:rsidR="00A42E3E">
        <w:t xml:space="preserve"> doctrinal</w:t>
      </w:r>
      <w:r w:rsidR="00090F3F" w:rsidRPr="00E97D17">
        <w:t xml:space="preserve"> analysis of tax evasion offences in the UK, highlighting the </w:t>
      </w:r>
      <w:r w:rsidRPr="00E97D17">
        <w:t xml:space="preserve">expansive scope of statutory </w:t>
      </w:r>
      <w:r w:rsidRPr="00E97D17">
        <w:lastRenderedPageBreak/>
        <w:t xml:space="preserve">offences, </w:t>
      </w:r>
      <w:r w:rsidR="00090F3F" w:rsidRPr="00E97D17">
        <w:t xml:space="preserve">as well as the overuse of </w:t>
      </w:r>
      <w:r w:rsidRPr="00E97D17">
        <w:t>broad common law offences</w:t>
      </w:r>
      <w:r w:rsidR="00090F3F" w:rsidRPr="00E97D17">
        <w:t xml:space="preserve">. The second part of </w:t>
      </w:r>
      <w:r w:rsidR="00947A49" w:rsidRPr="00E97D17">
        <w:t xml:space="preserve">this </w:t>
      </w:r>
      <w:r w:rsidR="0031515D">
        <w:t>chapter</w:t>
      </w:r>
      <w:r w:rsidR="0031515D" w:rsidRPr="00E97D17">
        <w:t xml:space="preserve"> </w:t>
      </w:r>
      <w:r w:rsidR="00B45CFC">
        <w:t>provides an original comparison of</w:t>
      </w:r>
      <w:r w:rsidRPr="00E97D17">
        <w:t xml:space="preserve"> </w:t>
      </w:r>
      <w:r w:rsidR="00947A49" w:rsidRPr="00E97D17">
        <w:t>th</w:t>
      </w:r>
      <w:r w:rsidR="00104831" w:rsidRPr="00E97D17">
        <w:t>e UK</w:t>
      </w:r>
      <w:r w:rsidR="00947A49" w:rsidRPr="00E97D17">
        <w:t xml:space="preserve"> legal framework with its </w:t>
      </w:r>
      <w:r w:rsidR="00F85940" w:rsidRPr="00E97D17">
        <w:t>more rational</w:t>
      </w:r>
      <w:r w:rsidR="00947A49" w:rsidRPr="00E97D17">
        <w:t xml:space="preserve"> US counterpart. This section also contrasts recent efforts to consolidate and </w:t>
      </w:r>
      <w:proofErr w:type="spellStart"/>
      <w:r w:rsidR="00947A49" w:rsidRPr="00E97D17">
        <w:t>modernise</w:t>
      </w:r>
      <w:proofErr w:type="spellEnd"/>
      <w:r w:rsidR="00947A49" w:rsidRPr="00E97D17">
        <w:t xml:space="preserve"> the law pertaining to other </w:t>
      </w:r>
      <w:r w:rsidRPr="00E97D17">
        <w:t xml:space="preserve">financial crimes, such as terrorism financing, money laundering, fraud and bribery. </w:t>
      </w:r>
      <w:r w:rsidR="00947A49" w:rsidRPr="00E97D17">
        <w:t>Ultimately</w:t>
      </w:r>
      <w:r w:rsidRPr="00E97D17">
        <w:t xml:space="preserve">, this </w:t>
      </w:r>
      <w:r w:rsidR="0031515D">
        <w:t>chapter</w:t>
      </w:r>
      <w:r w:rsidR="0031515D" w:rsidRPr="00E97D17">
        <w:t xml:space="preserve"> </w:t>
      </w:r>
      <w:r w:rsidRPr="00E97D17">
        <w:t xml:space="preserve">argues that the criminal offences pertaining to tax evasion should be simplified and </w:t>
      </w:r>
      <w:proofErr w:type="spellStart"/>
      <w:r w:rsidRPr="00E97D17">
        <w:t>modernised</w:t>
      </w:r>
      <w:proofErr w:type="spellEnd"/>
      <w:r w:rsidRPr="00E97D17">
        <w:t xml:space="preserve"> through the enactment of a contemporary statute, returning doctrinal coherence to this increasingly </w:t>
      </w:r>
      <w:proofErr w:type="spellStart"/>
      <w:r w:rsidRPr="00E97D17">
        <w:t>utilised</w:t>
      </w:r>
      <w:proofErr w:type="spellEnd"/>
      <w:r w:rsidRPr="00E97D17">
        <w:t xml:space="preserve"> area of criminal law.</w:t>
      </w:r>
      <w:r w:rsidR="00090F3F" w:rsidRPr="00E97D17">
        <w:t xml:space="preserve"> </w:t>
      </w:r>
      <w:proofErr w:type="gramStart"/>
      <w:r w:rsidR="009E567A">
        <w:t xml:space="preserve">In particular, </w:t>
      </w:r>
      <w:r w:rsidR="00CC467D">
        <w:t>the</w:t>
      </w:r>
      <w:proofErr w:type="gramEnd"/>
      <w:r w:rsidR="00CC467D">
        <w:t xml:space="preserve"> UK should consider enacting a US-style system of tax evasion offences, which apply to </w:t>
      </w:r>
      <w:r w:rsidR="00F2570F">
        <w:t>a range of</w:t>
      </w:r>
      <w:r w:rsidR="00CC467D">
        <w:t xml:space="preserve"> taxes and </w:t>
      </w:r>
      <w:r w:rsidR="00CC467D" w:rsidRPr="00CC467D">
        <w:t xml:space="preserve">clearly </w:t>
      </w:r>
      <w:r w:rsidR="00CC467D">
        <w:t>distinguish</w:t>
      </w:r>
      <w:r w:rsidR="00CC467D" w:rsidRPr="00CC467D">
        <w:t xml:space="preserve"> culpable actions </w:t>
      </w:r>
      <w:r w:rsidR="00841122">
        <w:t>from</w:t>
      </w:r>
      <w:r w:rsidR="00CC467D" w:rsidRPr="00CC467D">
        <w:t xml:space="preserve"> omissions</w:t>
      </w:r>
      <w:r w:rsidR="00CC467D">
        <w:t xml:space="preserve">. </w:t>
      </w:r>
    </w:p>
    <w:p w14:paraId="5E031BD9" w14:textId="4FF42B9F" w:rsidR="002E25FC" w:rsidRPr="001A0F74" w:rsidRDefault="00BD302B" w:rsidP="00A0406D">
      <w:pPr>
        <w:pStyle w:val="Heading1"/>
      </w:pPr>
      <w:r w:rsidRPr="001A0F74">
        <w:t xml:space="preserve">1. </w:t>
      </w:r>
      <w:r w:rsidR="009249DC" w:rsidRPr="001A0F74">
        <w:t xml:space="preserve">United Kingdom </w:t>
      </w:r>
      <w:r w:rsidR="00255D21">
        <w:t>‒</w:t>
      </w:r>
      <w:r w:rsidR="009249DC" w:rsidRPr="001A0F74">
        <w:t xml:space="preserve"> </w:t>
      </w:r>
      <w:r w:rsidR="00D20C20" w:rsidRPr="001A0F74">
        <w:t>Tax Evasion</w:t>
      </w:r>
      <w:r w:rsidR="002E25FC" w:rsidRPr="001A0F74">
        <w:t xml:space="preserve"> Offences </w:t>
      </w:r>
    </w:p>
    <w:p w14:paraId="385031F1" w14:textId="18D7C265" w:rsidR="00D20C20" w:rsidRPr="00E97D17" w:rsidRDefault="00377728" w:rsidP="00255D21">
      <w:r w:rsidRPr="00E97D17">
        <w:t>A</w:t>
      </w:r>
      <w:r w:rsidR="007707ED" w:rsidRPr="00E97D17">
        <w:t xml:space="preserve"> plethora of offences </w:t>
      </w:r>
      <w:r w:rsidR="00A97D00" w:rsidRPr="00E97D17">
        <w:t>are</w:t>
      </w:r>
      <w:r w:rsidR="007707ED" w:rsidRPr="00E97D17">
        <w:t xml:space="preserve"> used to prosecute conduct associated with the evasion of taxation, from specific offences </w:t>
      </w:r>
      <w:proofErr w:type="spellStart"/>
      <w:r w:rsidR="007707ED" w:rsidRPr="00E97D17">
        <w:t>criminalising</w:t>
      </w:r>
      <w:proofErr w:type="spellEnd"/>
      <w:r w:rsidR="007707ED" w:rsidRPr="00E97D17">
        <w:t xml:space="preserve"> the evasion of each type of taxation, to general offences that </w:t>
      </w:r>
      <w:proofErr w:type="spellStart"/>
      <w:r w:rsidR="007707ED" w:rsidRPr="00E97D17">
        <w:t>criminalise</w:t>
      </w:r>
      <w:proofErr w:type="spellEnd"/>
      <w:r w:rsidR="007707ED" w:rsidRPr="00E97D17">
        <w:t xml:space="preserve"> the underlying fraudulent conduct. </w:t>
      </w:r>
      <w:r w:rsidR="00C0377F" w:rsidRPr="00E97D17">
        <w:t xml:space="preserve">In fact, </w:t>
      </w:r>
      <w:r w:rsidR="009D0163">
        <w:t>over</w:t>
      </w:r>
      <w:r w:rsidR="00C0377F" w:rsidRPr="00E97D17">
        <w:t xml:space="preserve"> </w:t>
      </w:r>
      <w:r w:rsidR="00255D21">
        <w:t>20</w:t>
      </w:r>
      <w:r w:rsidR="00255D21" w:rsidRPr="00E97D17">
        <w:t xml:space="preserve"> </w:t>
      </w:r>
      <w:r w:rsidR="00C0377F" w:rsidRPr="00E97D17">
        <w:t xml:space="preserve">offences </w:t>
      </w:r>
      <w:r w:rsidR="001721A2" w:rsidRPr="00E97D17">
        <w:t>are</w:t>
      </w:r>
      <w:r w:rsidR="00C0377F" w:rsidRPr="00E97D17">
        <w:t xml:space="preserve"> used to prosecute tax evasion</w:t>
      </w:r>
      <w:r w:rsidR="00E95F8D">
        <w:t xml:space="preserve"> in the UK. </w:t>
      </w:r>
    </w:p>
    <w:p w14:paraId="7798C9C8" w14:textId="7AC182AA" w:rsidR="006C5595" w:rsidRPr="00E97D17" w:rsidRDefault="00104831" w:rsidP="00A0406D">
      <w:r w:rsidRPr="00E97D17">
        <w:t xml:space="preserve">There are several statutory offences concerning income tax evasion, including </w:t>
      </w:r>
      <w:r w:rsidR="006C5595" w:rsidRPr="00E97D17">
        <w:t>an offence of being ‘knowingly concerned in the fraudulent evasion of income tax by that or any other person’.</w:t>
      </w:r>
      <w:r w:rsidR="006C5595" w:rsidRPr="00E97D17">
        <w:rPr>
          <w:rStyle w:val="FootnoteReference"/>
        </w:rPr>
        <w:footnoteReference w:id="15"/>
      </w:r>
      <w:r w:rsidR="006C5595" w:rsidRPr="00E97D17">
        <w:t xml:space="preserve"> As a conduct offence, no loss or gain actually needs to be incurred by HMRC.</w:t>
      </w:r>
      <w:r w:rsidR="006C5595" w:rsidRPr="00E97D17">
        <w:rPr>
          <w:rStyle w:val="FootnoteReference"/>
        </w:rPr>
        <w:footnoteReference w:id="16"/>
      </w:r>
      <w:r w:rsidR="006C5595" w:rsidRPr="00E97D17">
        <w:t xml:space="preserve"> The offence can be committed by an act or omission,</w:t>
      </w:r>
      <w:r w:rsidR="006C5595" w:rsidRPr="00E97D17">
        <w:rPr>
          <w:rStyle w:val="FootnoteReference"/>
        </w:rPr>
        <w:footnoteReference w:id="17"/>
      </w:r>
      <w:r w:rsidR="006C5595" w:rsidRPr="00E97D17">
        <w:t xml:space="preserve"> and by single events as well as courses of conduct.</w:t>
      </w:r>
      <w:r w:rsidR="006C5595" w:rsidRPr="00E97D17">
        <w:rPr>
          <w:rStyle w:val="FootnoteReference"/>
        </w:rPr>
        <w:footnoteReference w:id="18"/>
      </w:r>
      <w:r w:rsidR="006C5595" w:rsidRPr="00E97D17">
        <w:t xml:space="preserve"> The offence captures not only those liable to</w:t>
      </w:r>
      <w:r w:rsidR="00AE7F5E">
        <w:t xml:space="preserve"> pay</w:t>
      </w:r>
      <w:r w:rsidR="006C5595" w:rsidRPr="00E97D17">
        <w:t xml:space="preserve"> income tax, but also</w:t>
      </w:r>
      <w:r w:rsidR="00DB7476">
        <w:t>,</w:t>
      </w:r>
      <w:r w:rsidR="006C5595" w:rsidRPr="00E97D17">
        <w:t xml:space="preserve"> any person ‘knowingly concerned’ in the evasion, including professional facilitators </w:t>
      </w:r>
      <w:r w:rsidR="00377728" w:rsidRPr="00E97D17">
        <w:t>and those</w:t>
      </w:r>
      <w:r w:rsidR="006C5595" w:rsidRPr="00E97D17">
        <w:t xml:space="preserve"> who </w:t>
      </w:r>
      <w:r w:rsidR="00377728" w:rsidRPr="00E97D17">
        <w:t xml:space="preserve">otherwise </w:t>
      </w:r>
      <w:r w:rsidR="006C5595" w:rsidRPr="00E97D17">
        <w:t>incite or collude in the offence.</w:t>
      </w:r>
      <w:r w:rsidR="006C5595" w:rsidRPr="00E97D17">
        <w:rPr>
          <w:rStyle w:val="FootnoteReference"/>
        </w:rPr>
        <w:footnoteReference w:id="19"/>
      </w:r>
      <w:r w:rsidR="006C5595" w:rsidRPr="00E97D17">
        <w:t xml:space="preserve"> </w:t>
      </w:r>
      <w:r w:rsidR="00B820C6">
        <w:t>A</w:t>
      </w:r>
      <w:r w:rsidR="006C5595" w:rsidRPr="00E97D17">
        <w:t>dd</w:t>
      </w:r>
      <w:r w:rsidR="00BB3830" w:rsidRPr="00E97D17">
        <w:t xml:space="preserve">itional </w:t>
      </w:r>
      <w:r w:rsidRPr="00E97D17">
        <w:t xml:space="preserve">strict liability </w:t>
      </w:r>
      <w:r w:rsidR="00BB3830" w:rsidRPr="00E97D17">
        <w:t xml:space="preserve">offences were enacted to </w:t>
      </w:r>
      <w:proofErr w:type="spellStart"/>
      <w:r w:rsidR="00BB3830" w:rsidRPr="00E97D17">
        <w:lastRenderedPageBreak/>
        <w:t>criminalise</w:t>
      </w:r>
      <w:proofErr w:type="spellEnd"/>
      <w:r w:rsidR="00BB3830" w:rsidRPr="00E97D17">
        <w:t xml:space="preserve"> </w:t>
      </w:r>
      <w:r w:rsidR="006C5595" w:rsidRPr="00E97D17">
        <w:t>the failure to give notice of chargeability to tax,</w:t>
      </w:r>
      <w:r w:rsidR="006C5595" w:rsidRPr="00E97D17">
        <w:rPr>
          <w:rStyle w:val="FootnoteReference"/>
        </w:rPr>
        <w:footnoteReference w:id="20"/>
      </w:r>
      <w:r w:rsidR="006C5595" w:rsidRPr="00E97D17">
        <w:t xml:space="preserve"> failure to deliver a return,</w:t>
      </w:r>
      <w:r w:rsidR="006C5595" w:rsidRPr="00E97D17">
        <w:rPr>
          <w:rStyle w:val="FootnoteReference"/>
        </w:rPr>
        <w:footnoteReference w:id="21"/>
      </w:r>
      <w:r w:rsidR="006C5595" w:rsidRPr="00E97D17">
        <w:t xml:space="preserve"> or</w:t>
      </w:r>
      <w:r w:rsidR="00BB3830" w:rsidRPr="00E97D17">
        <w:t xml:space="preserve"> the</w:t>
      </w:r>
      <w:r w:rsidR="006C5595" w:rsidRPr="00E97D17">
        <w:t xml:space="preserve"> making </w:t>
      </w:r>
      <w:r w:rsidR="00BB3830" w:rsidRPr="00E97D17">
        <w:t xml:space="preserve">of </w:t>
      </w:r>
      <w:r w:rsidR="006C5595" w:rsidRPr="00E97D17">
        <w:t>an inaccurate return,</w:t>
      </w:r>
      <w:r w:rsidR="006C5595" w:rsidRPr="00E97D17">
        <w:rPr>
          <w:rStyle w:val="FootnoteReference"/>
        </w:rPr>
        <w:footnoteReference w:id="22"/>
      </w:r>
      <w:r w:rsidR="006C5595" w:rsidRPr="00E97D17">
        <w:t xml:space="preserve"> in relation to offshore income, assets or activities in excess of £25,000 of potential lost tax revenue per year.</w:t>
      </w:r>
      <w:r w:rsidR="006C5595" w:rsidRPr="00E97D17">
        <w:rPr>
          <w:rStyle w:val="FootnoteReference"/>
        </w:rPr>
        <w:footnoteReference w:id="23"/>
      </w:r>
      <w:r w:rsidR="006C5595" w:rsidRPr="00E97D17">
        <w:t xml:space="preserve"> </w:t>
      </w:r>
    </w:p>
    <w:p w14:paraId="3B81F8B0" w14:textId="273027D2" w:rsidR="00C0377F" w:rsidRPr="00E97D17" w:rsidRDefault="00A97D00" w:rsidP="00A0406D">
      <w:r w:rsidRPr="00E97D17">
        <w:t>T</w:t>
      </w:r>
      <w:r w:rsidR="00C0377F" w:rsidRPr="00E97D17">
        <w:t>he Value Added Tax Act 1994 contains five offences related to the evasion of VAT,</w:t>
      </w:r>
      <w:r w:rsidR="00BC6F5F" w:rsidRPr="00E97D17">
        <w:rPr>
          <w:rStyle w:val="FootnoteReference"/>
        </w:rPr>
        <w:footnoteReference w:id="24"/>
      </w:r>
      <w:r w:rsidR="00C0377F" w:rsidRPr="00E97D17">
        <w:t xml:space="preserve"> including the offence of being knowingly concerned in, or taking steps with a view to, the fraudulent evasion of VAT.</w:t>
      </w:r>
      <w:r w:rsidR="00C0377F" w:rsidRPr="00E97D17">
        <w:rPr>
          <w:rStyle w:val="FootnoteReference"/>
        </w:rPr>
        <w:footnoteReference w:id="25"/>
      </w:r>
      <w:r w:rsidR="00C0377F" w:rsidRPr="00E97D17">
        <w:t xml:space="preserve"> The phrases ‘knowingly concerned’ and ‘taking steps with a view to’ enable its application to not only those who evade VAT, but also </w:t>
      </w:r>
      <w:r w:rsidR="008E647E">
        <w:t xml:space="preserve">(again) to </w:t>
      </w:r>
      <w:r w:rsidR="00C0377F" w:rsidRPr="00E97D17">
        <w:t>those who facilitate this offence.</w:t>
      </w:r>
      <w:r w:rsidR="00C0377F" w:rsidRPr="00E97D17">
        <w:rPr>
          <w:rStyle w:val="FootnoteReference"/>
        </w:rPr>
        <w:footnoteReference w:id="26"/>
      </w:r>
      <w:r w:rsidR="00C0377F" w:rsidRPr="00E97D17">
        <w:t xml:space="preserve"> </w:t>
      </w:r>
      <w:r w:rsidR="006C5595" w:rsidRPr="00E97D17">
        <w:t>Additionally, t</w:t>
      </w:r>
      <w:r w:rsidR="00C0377F" w:rsidRPr="00E97D17">
        <w:t>here is a catch-all offence, which covers conduct that ‘must have involved the commission by him of one or more offences under the preceding provisions.</w:t>
      </w:r>
      <w:r w:rsidR="00F913C2" w:rsidRPr="00E97D17">
        <w:t>’</w:t>
      </w:r>
      <w:r w:rsidR="00C0377F" w:rsidRPr="00E97D17">
        <w:rPr>
          <w:rStyle w:val="FootnoteReference"/>
        </w:rPr>
        <w:footnoteReference w:id="27"/>
      </w:r>
      <w:r w:rsidR="00C0377F" w:rsidRPr="00E97D17">
        <w:t xml:space="preserve"> </w:t>
      </w:r>
      <w:r w:rsidR="00B5389C">
        <w:t>This</w:t>
      </w:r>
      <w:r w:rsidR="00C0377F" w:rsidRPr="00E97D17">
        <w:t xml:space="preserve"> offence </w:t>
      </w:r>
      <w:r w:rsidR="00104831" w:rsidRPr="00E97D17">
        <w:t xml:space="preserve">is </w:t>
      </w:r>
      <w:r w:rsidR="002E12D0" w:rsidRPr="00E97D17">
        <w:t>wide-ranging</w:t>
      </w:r>
      <w:r w:rsidR="00104831" w:rsidRPr="00E97D17">
        <w:t xml:space="preserve"> and </w:t>
      </w:r>
      <w:r w:rsidR="00F2570F">
        <w:t>is used when the specific offence is not identifiable, but the facts suggest an offence has been committed.</w:t>
      </w:r>
      <w:r w:rsidR="00F2570F">
        <w:rPr>
          <w:rStyle w:val="FootnoteReference"/>
        </w:rPr>
        <w:footnoteReference w:id="28"/>
      </w:r>
      <w:r w:rsidR="00F2570F">
        <w:t xml:space="preserve"> Despite laudable aims, the offence </w:t>
      </w:r>
      <w:r w:rsidR="00677B26">
        <w:t xml:space="preserve">seemingly </w:t>
      </w:r>
      <w:r w:rsidR="00C0377F" w:rsidRPr="00E97D17">
        <w:t>fails to cohere with fundamental principles of criminal law, specifically, the necessity for the specification of the particulars of an offence to enable the defendant to ascertain the nature and extent of the allegations.</w:t>
      </w:r>
      <w:bookmarkStart w:id="2" w:name="_Ref112239321"/>
      <w:r w:rsidR="00C0377F" w:rsidRPr="00E97D17">
        <w:rPr>
          <w:rStyle w:val="FootnoteReference"/>
        </w:rPr>
        <w:footnoteReference w:id="29"/>
      </w:r>
      <w:bookmarkEnd w:id="2"/>
      <w:r w:rsidR="00C0377F" w:rsidRPr="00E97D17">
        <w:t xml:space="preserve"> </w:t>
      </w:r>
      <w:r w:rsidR="00F2570F">
        <w:t>Nevertheless, the offence has withstood challenges based on Article 7 of the European Convention on Human Rights (ECHR).</w:t>
      </w:r>
      <w:r w:rsidR="00F2570F">
        <w:rPr>
          <w:rStyle w:val="FootnoteReference"/>
        </w:rPr>
        <w:footnoteReference w:id="30"/>
      </w:r>
      <w:r w:rsidR="00F2570F">
        <w:t xml:space="preserve"> </w:t>
      </w:r>
    </w:p>
    <w:p w14:paraId="042E5BAC" w14:textId="3A5B2690" w:rsidR="00E85580" w:rsidRPr="00E97D17" w:rsidRDefault="008F025F" w:rsidP="00A0406D">
      <w:r w:rsidRPr="00E97D17">
        <w:lastRenderedPageBreak/>
        <w:t>S</w:t>
      </w:r>
      <w:r w:rsidR="002E12D0" w:rsidRPr="00E97D17">
        <w:t>everal</w:t>
      </w:r>
      <w:r w:rsidRPr="00E97D17">
        <w:t xml:space="preserve"> </w:t>
      </w:r>
      <w:r w:rsidR="00BB3830" w:rsidRPr="00E97D17">
        <w:t>offences pertaining to the evasion of duty, or smuggling offences, are contained in the Customs and Excise Management Act 1979.</w:t>
      </w:r>
      <w:r w:rsidR="002E12D0" w:rsidRPr="00E97D17">
        <w:rPr>
          <w:rStyle w:val="FootnoteReference"/>
        </w:rPr>
        <w:footnoteReference w:id="31"/>
      </w:r>
      <w:r w:rsidR="00BB3830" w:rsidRPr="00E97D17">
        <w:t xml:space="preserve"> The primary offence pertaining to the evasion of duty is contained in s</w:t>
      </w:r>
      <w:r w:rsidR="003A347D">
        <w:t xml:space="preserve">ection </w:t>
      </w:r>
      <w:r w:rsidR="00BB3830" w:rsidRPr="00E97D17">
        <w:t>170 and can be committed in two ways. First, it is an offence for an individual to knowingly acquire possession of goods on which duty has been evaded,</w:t>
      </w:r>
      <w:r w:rsidR="00BB3830" w:rsidRPr="00E97D17">
        <w:rPr>
          <w:rStyle w:val="FootnoteReference"/>
        </w:rPr>
        <w:footnoteReference w:id="32"/>
      </w:r>
      <w:r w:rsidR="00BB3830" w:rsidRPr="00E97D17">
        <w:t xml:space="preserve"> or goods that are entirely prohibited or restricted,</w:t>
      </w:r>
      <w:r w:rsidR="00BB3830" w:rsidRPr="00E97D17">
        <w:rPr>
          <w:rStyle w:val="FootnoteReference"/>
        </w:rPr>
        <w:footnoteReference w:id="33"/>
      </w:r>
      <w:r w:rsidR="00BB3830" w:rsidRPr="00E97D17">
        <w:t xml:space="preserve"> such as drugs,</w:t>
      </w:r>
      <w:r w:rsidR="00BB3830" w:rsidRPr="00E97D17">
        <w:rPr>
          <w:rStyle w:val="FootnoteReference"/>
        </w:rPr>
        <w:footnoteReference w:id="34"/>
      </w:r>
      <w:r w:rsidR="00BB3830" w:rsidRPr="00E97D17">
        <w:t xml:space="preserve"> or </w:t>
      </w:r>
      <w:r w:rsidR="00E74DAD">
        <w:t>protected</w:t>
      </w:r>
      <w:r w:rsidR="00E74DAD" w:rsidRPr="00E97D17">
        <w:t xml:space="preserve"> </w:t>
      </w:r>
      <w:r w:rsidR="00BB3830" w:rsidRPr="00E97D17">
        <w:t>wildlife,</w:t>
      </w:r>
      <w:r w:rsidR="00BB3830" w:rsidRPr="00E97D17">
        <w:rPr>
          <w:rStyle w:val="FootnoteReference"/>
        </w:rPr>
        <w:footnoteReference w:id="35"/>
      </w:r>
      <w:r w:rsidR="00BB3830" w:rsidRPr="00E97D17">
        <w:t xml:space="preserve"> as well as being knowingly concerned in activities relating to such goods.</w:t>
      </w:r>
      <w:r w:rsidR="00BB3830" w:rsidRPr="00E97D17">
        <w:rPr>
          <w:rStyle w:val="FootnoteReference"/>
        </w:rPr>
        <w:footnoteReference w:id="36"/>
      </w:r>
      <w:r w:rsidR="00BB3830" w:rsidRPr="00E97D17">
        <w:t xml:space="preserve"> Second</w:t>
      </w:r>
      <w:r w:rsidR="0031515D">
        <w:t>ly</w:t>
      </w:r>
      <w:r w:rsidR="00BB3830" w:rsidRPr="00E97D17">
        <w:t>, it is an offence for an individual to be ‘knowingly concerned in any fraudulent evasion or attempt at evasion’ of any duty, prohibition or restriction on the goods, or any applicable provision in the Act.</w:t>
      </w:r>
      <w:r w:rsidR="00BB3830" w:rsidRPr="00E97D17">
        <w:rPr>
          <w:rStyle w:val="FootnoteReference"/>
        </w:rPr>
        <w:footnoteReference w:id="37"/>
      </w:r>
      <w:r w:rsidR="00BB3830" w:rsidRPr="00E97D17">
        <w:t xml:space="preserve"> The second offence is much wider than the first and has been referred to as a ‘sweeping up or catch all provision’, owing to its ability to </w:t>
      </w:r>
      <w:proofErr w:type="spellStart"/>
      <w:r w:rsidR="00BB3830" w:rsidRPr="00E97D17">
        <w:t>criminalise</w:t>
      </w:r>
      <w:proofErr w:type="spellEnd"/>
      <w:r w:rsidR="00BB3830" w:rsidRPr="00E97D17">
        <w:t xml:space="preserve"> conduct by those outside of the initial smuggling operation.</w:t>
      </w:r>
      <w:r w:rsidR="00BB3830" w:rsidRPr="00E97D17">
        <w:rPr>
          <w:rStyle w:val="FootnoteReference"/>
        </w:rPr>
        <w:footnoteReference w:id="38"/>
      </w:r>
      <w:r w:rsidR="00BB3830" w:rsidRPr="00E97D17">
        <w:t xml:space="preserve"> </w:t>
      </w:r>
    </w:p>
    <w:p w14:paraId="017F7FE6" w14:textId="62FFF402" w:rsidR="00BB3830" w:rsidRPr="00E97D17" w:rsidRDefault="00BB3830" w:rsidP="00A0406D">
      <w:r w:rsidRPr="003B697A">
        <w:t xml:space="preserve">Other statutory offences </w:t>
      </w:r>
      <w:proofErr w:type="spellStart"/>
      <w:r w:rsidRPr="003B697A">
        <w:t>criminalise</w:t>
      </w:r>
      <w:proofErr w:type="spellEnd"/>
      <w:r w:rsidRPr="003B697A">
        <w:t xml:space="preserve"> being knowingly concerned in the fraudulent evasion of other taxes</w:t>
      </w:r>
      <w:r w:rsidRPr="00E97D17">
        <w:t>, such as stamp duty land tax</w:t>
      </w:r>
      <w:r w:rsidR="004F0181" w:rsidRPr="00E97D17">
        <w:t>.</w:t>
      </w:r>
      <w:r w:rsidRPr="00E97D17">
        <w:rPr>
          <w:rStyle w:val="FootnoteReference"/>
        </w:rPr>
        <w:footnoteReference w:id="39"/>
      </w:r>
      <w:r w:rsidR="004F0181" w:rsidRPr="00E97D17">
        <w:t xml:space="preserve"> Owing to the persistent issues surrounding the attribution of criminal liability to </w:t>
      </w:r>
      <w:r w:rsidR="00E95F8D">
        <w:t>legal</w:t>
      </w:r>
      <w:r w:rsidR="004F0181" w:rsidRPr="00E97D17">
        <w:t xml:space="preserve"> entities,</w:t>
      </w:r>
      <w:bookmarkStart w:id="3" w:name="_Ref112245505"/>
      <w:r w:rsidR="00F913C2" w:rsidRPr="00E97D17">
        <w:rPr>
          <w:rStyle w:val="FootnoteReference"/>
        </w:rPr>
        <w:footnoteReference w:id="40"/>
      </w:r>
      <w:bookmarkEnd w:id="3"/>
      <w:r w:rsidR="004F0181" w:rsidRPr="00E97D17">
        <w:t xml:space="preserve"> </w:t>
      </w:r>
      <w:r w:rsidR="001721A2" w:rsidRPr="00E97D17">
        <w:t>corporate</w:t>
      </w:r>
      <w:r w:rsidR="004F0181" w:rsidRPr="00E97D17">
        <w:t xml:space="preserve"> offence</w:t>
      </w:r>
      <w:r w:rsidR="00083A33">
        <w:t>s</w:t>
      </w:r>
      <w:r w:rsidR="004F0181" w:rsidRPr="00E97D17">
        <w:t xml:space="preserve"> of failing to prevent the facilitation of </w:t>
      </w:r>
      <w:r w:rsidR="00083A33">
        <w:t xml:space="preserve">UK and </w:t>
      </w:r>
      <w:r w:rsidR="00E95F8D">
        <w:t>foreign</w:t>
      </w:r>
      <w:r w:rsidR="00083A33">
        <w:t xml:space="preserve"> </w:t>
      </w:r>
      <w:r w:rsidR="004F0181" w:rsidRPr="00E97D17">
        <w:t>tax evasion ha</w:t>
      </w:r>
      <w:r w:rsidR="00083A33">
        <w:t>ve</w:t>
      </w:r>
      <w:r w:rsidR="004F0181" w:rsidRPr="00E97D17">
        <w:t xml:space="preserve"> also been introduced.</w:t>
      </w:r>
      <w:r w:rsidR="004F0181" w:rsidRPr="00E97D17">
        <w:rPr>
          <w:rStyle w:val="FootnoteReference"/>
        </w:rPr>
        <w:footnoteReference w:id="41"/>
      </w:r>
      <w:r w:rsidRPr="00E97D17">
        <w:t xml:space="preserve"> </w:t>
      </w:r>
      <w:r w:rsidR="00083A33">
        <w:t xml:space="preserve">The strict liability </w:t>
      </w:r>
      <w:r w:rsidR="00083A33">
        <w:lastRenderedPageBreak/>
        <w:t xml:space="preserve">offences are designed to circumvent the common law’s demand for </w:t>
      </w:r>
      <w:r w:rsidR="00C41762">
        <w:t>identification</w:t>
      </w:r>
      <w:r w:rsidR="00083A33">
        <w:t xml:space="preserve"> of fault </w:t>
      </w:r>
      <w:r w:rsidR="00C41762">
        <w:t>with</w:t>
      </w:r>
      <w:r w:rsidR="00083A33">
        <w:t xml:space="preserve"> the senior managers of a corporation,</w:t>
      </w:r>
      <w:r w:rsidR="00083A33">
        <w:rPr>
          <w:rStyle w:val="FootnoteReference"/>
        </w:rPr>
        <w:footnoteReference w:id="42"/>
      </w:r>
      <w:r w:rsidR="00083A33">
        <w:t xml:space="preserve"> by merely requiring proof that a person associated with the corporation facilitated a tax evasion offence</w:t>
      </w:r>
      <w:r w:rsidR="00A152F8">
        <w:t>.</w:t>
      </w:r>
      <w:r w:rsidR="00A152F8">
        <w:rPr>
          <w:rStyle w:val="FootnoteReference"/>
        </w:rPr>
        <w:footnoteReference w:id="43"/>
      </w:r>
      <w:r w:rsidR="00A152F8">
        <w:t xml:space="preserve"> It is a </w:t>
      </w:r>
      <w:proofErr w:type="spellStart"/>
      <w:r w:rsidR="00A152F8">
        <w:t>defence</w:t>
      </w:r>
      <w:proofErr w:type="spellEnd"/>
      <w:r w:rsidR="00A152F8">
        <w:t xml:space="preserve"> for the company to prove that it implemented </w:t>
      </w:r>
      <w:r w:rsidR="00083A33">
        <w:t>reasonable prevention procedures.</w:t>
      </w:r>
      <w:r w:rsidR="00083A33">
        <w:rPr>
          <w:rStyle w:val="FootnoteReference"/>
        </w:rPr>
        <w:footnoteReference w:id="44"/>
      </w:r>
      <w:r w:rsidR="00083A33">
        <w:t xml:space="preserve"> However, the offence has not been </w:t>
      </w:r>
      <w:r w:rsidR="006523A6">
        <w:t>prosecuted</w:t>
      </w:r>
      <w:r w:rsidR="00083A33">
        <w:t xml:space="preserve"> since its enactment.</w:t>
      </w:r>
      <w:r w:rsidR="00083A33">
        <w:rPr>
          <w:rStyle w:val="FootnoteReference"/>
        </w:rPr>
        <w:footnoteReference w:id="45"/>
      </w:r>
    </w:p>
    <w:p w14:paraId="135A46B1" w14:textId="4E0E235D" w:rsidR="000B076F" w:rsidRPr="00E97D17" w:rsidRDefault="009D0163" w:rsidP="00A0406D">
      <w:r>
        <w:t xml:space="preserve">Additionally, </w:t>
      </w:r>
      <w:r w:rsidR="008F025F" w:rsidRPr="00E97D17">
        <w:t xml:space="preserve">general offences including fraud </w:t>
      </w:r>
      <w:r w:rsidR="002E12D0" w:rsidRPr="00E97D17">
        <w:t>and false accounting</w:t>
      </w:r>
      <w:r w:rsidR="008F025F" w:rsidRPr="00E97D17">
        <w:t xml:space="preserve"> </w:t>
      </w:r>
      <w:r w:rsidR="00104831" w:rsidRPr="00E97D17">
        <w:t xml:space="preserve">can apply to </w:t>
      </w:r>
      <w:r w:rsidR="001721A2" w:rsidRPr="00E97D17">
        <w:t>fraudulent</w:t>
      </w:r>
      <w:r w:rsidR="008F025F" w:rsidRPr="00E97D17">
        <w:t xml:space="preserve"> activities taken in furtherance of tax evasion</w:t>
      </w:r>
      <w:r w:rsidR="002E12D0" w:rsidRPr="00E97D17">
        <w:t>, including the use of falsified documents or the provision of false information to HMRC</w:t>
      </w:r>
      <w:r w:rsidR="008F025F" w:rsidRPr="00E97D17">
        <w:t>.</w:t>
      </w:r>
      <w:r w:rsidR="002E12D0" w:rsidRPr="00E97D17">
        <w:rPr>
          <w:rStyle w:val="FootnoteReference"/>
        </w:rPr>
        <w:footnoteReference w:id="46"/>
      </w:r>
      <w:r w:rsidR="008F025F" w:rsidRPr="00E97D17">
        <w:t xml:space="preserve"> </w:t>
      </w:r>
      <w:r w:rsidR="00AA29F8" w:rsidRPr="00E97D17">
        <w:t>Like tax evasion offences, f</w:t>
      </w:r>
      <w:r w:rsidR="00104831" w:rsidRPr="00E97D17">
        <w:t xml:space="preserve">raud offences are </w:t>
      </w:r>
      <w:r w:rsidR="00AA29F8" w:rsidRPr="00E97D17">
        <w:t>notoriously expansive in scope.</w:t>
      </w:r>
      <w:r w:rsidR="00AA29F8" w:rsidRPr="00E97D17">
        <w:rPr>
          <w:rStyle w:val="FootnoteReference"/>
        </w:rPr>
        <w:footnoteReference w:id="47"/>
      </w:r>
      <w:r w:rsidR="00AA29F8" w:rsidRPr="00E97D17">
        <w:t xml:space="preserve"> </w:t>
      </w:r>
      <w:r w:rsidR="008F025F" w:rsidRPr="00E97D17">
        <w:t xml:space="preserve">Moreover, tax evasion is a predicate offence for the purposes of the anti-money laundering </w:t>
      </w:r>
      <w:r w:rsidR="004F0181" w:rsidRPr="00E97D17">
        <w:t xml:space="preserve">(AML) </w:t>
      </w:r>
      <w:r w:rsidR="008F025F" w:rsidRPr="00E97D17">
        <w:t>framework,</w:t>
      </w:r>
      <w:r w:rsidR="008F025F" w:rsidRPr="00E97D17">
        <w:rPr>
          <w:rStyle w:val="FootnoteReference"/>
        </w:rPr>
        <w:footnoteReference w:id="48"/>
      </w:r>
      <w:r w:rsidR="008F025F" w:rsidRPr="00E97D17">
        <w:t xml:space="preserve"> meaning that money laundering offences can be used against those who have evaded taxation.</w:t>
      </w:r>
      <w:r w:rsidR="001721A2" w:rsidRPr="00E97D17">
        <w:rPr>
          <w:rStyle w:val="FootnoteReference"/>
        </w:rPr>
        <w:footnoteReference w:id="49"/>
      </w:r>
      <w:r w:rsidR="008F025F" w:rsidRPr="00E97D17">
        <w:t xml:space="preserve"> </w:t>
      </w:r>
      <w:r w:rsidR="00AA29F8" w:rsidRPr="00E97D17">
        <w:t>When used as an additiona</w:t>
      </w:r>
      <w:r w:rsidR="00B820C6">
        <w:t xml:space="preserve">l, </w:t>
      </w:r>
      <w:r w:rsidR="00AA29F8" w:rsidRPr="00E97D17">
        <w:t>rather than a substitute charge, t</w:t>
      </w:r>
      <w:r w:rsidR="001721A2" w:rsidRPr="00E97D17">
        <w:t>his</w:t>
      </w:r>
      <w:r w:rsidR="004F0181" w:rsidRPr="00E97D17">
        <w:t xml:space="preserve"> </w:t>
      </w:r>
      <w:r w:rsidR="002E12D0" w:rsidRPr="00E97D17">
        <w:t>is</w:t>
      </w:r>
      <w:r w:rsidR="004F0181" w:rsidRPr="00E97D17">
        <w:t xml:space="preserve"> a form of</w:t>
      </w:r>
      <w:r w:rsidR="008F025F" w:rsidRPr="00E97D17">
        <w:t xml:space="preserve"> </w:t>
      </w:r>
      <w:r w:rsidR="004F0181" w:rsidRPr="00E97D17">
        <w:t>‘uncritical over-</w:t>
      </w:r>
      <w:proofErr w:type="spellStart"/>
      <w:r w:rsidR="00F530EF" w:rsidRPr="00E97D17">
        <w:t>criminali</w:t>
      </w:r>
      <w:r w:rsidR="00F530EF">
        <w:t>s</w:t>
      </w:r>
      <w:r w:rsidR="00F530EF" w:rsidRPr="00E97D17">
        <w:t>ation</w:t>
      </w:r>
      <w:proofErr w:type="spellEnd"/>
      <w:r w:rsidR="00F530EF" w:rsidRPr="00E97D17">
        <w:t>’</w:t>
      </w:r>
      <w:r w:rsidR="004F0181" w:rsidRPr="00E97D17">
        <w:t xml:space="preserve">, whereby tax evaders </w:t>
      </w:r>
      <w:r w:rsidR="00AA29F8" w:rsidRPr="00E97D17">
        <w:t>face additional punishment</w:t>
      </w:r>
      <w:r w:rsidR="004F0181" w:rsidRPr="00E97D17">
        <w:t xml:space="preserve"> despite failing to undertake any </w:t>
      </w:r>
      <w:r w:rsidR="001721A2" w:rsidRPr="00E97D17">
        <w:t>extra</w:t>
      </w:r>
      <w:r w:rsidR="004F0181" w:rsidRPr="00E97D17">
        <w:t xml:space="preserve"> criminal</w:t>
      </w:r>
      <w:r w:rsidR="001721A2" w:rsidRPr="00E97D17">
        <w:t xml:space="preserve"> conduct</w:t>
      </w:r>
      <w:r w:rsidR="004F0181" w:rsidRPr="00E97D17">
        <w:t>.</w:t>
      </w:r>
      <w:r w:rsidR="004F0181" w:rsidRPr="00E97D17">
        <w:rPr>
          <w:rStyle w:val="FootnoteReference"/>
        </w:rPr>
        <w:footnoteReference w:id="50"/>
      </w:r>
    </w:p>
    <w:p w14:paraId="0956A742" w14:textId="37BF568B" w:rsidR="00F758DD" w:rsidRPr="00E97D17" w:rsidRDefault="009249DC" w:rsidP="00A0406D">
      <w:r>
        <w:t>Irrespective of</w:t>
      </w:r>
      <w:r w:rsidR="00BB3830" w:rsidRPr="00E97D17">
        <w:t xml:space="preserve"> the</w:t>
      </w:r>
      <w:r w:rsidR="009D0163">
        <w:t xml:space="preserve">se </w:t>
      </w:r>
      <w:r w:rsidR="00B820C6">
        <w:t>statutory</w:t>
      </w:r>
      <w:r w:rsidR="00BB3830" w:rsidRPr="00E97D17">
        <w:t xml:space="preserve"> offences,</w:t>
      </w:r>
      <w:r w:rsidR="004D49B0">
        <w:t xml:space="preserve"> some of</w:t>
      </w:r>
      <w:r w:rsidR="00BB3830" w:rsidRPr="00E97D17">
        <w:t xml:space="preserve"> the most commonly </w:t>
      </w:r>
      <w:proofErr w:type="spellStart"/>
      <w:r w:rsidR="00BB3830" w:rsidRPr="00E97D17">
        <w:t>utilised</w:t>
      </w:r>
      <w:proofErr w:type="spellEnd"/>
      <w:r w:rsidR="004F0181" w:rsidRPr="00E97D17">
        <w:t xml:space="preserve"> tax evasion</w:t>
      </w:r>
      <w:r w:rsidR="00BB3830" w:rsidRPr="00E97D17">
        <w:t xml:space="preserve"> offence</w:t>
      </w:r>
      <w:r w:rsidR="008F025F" w:rsidRPr="00E97D17">
        <w:t>s</w:t>
      </w:r>
      <w:r w:rsidR="00BB3830" w:rsidRPr="00E97D17">
        <w:t xml:space="preserve"> </w:t>
      </w:r>
      <w:r w:rsidR="008F025F" w:rsidRPr="00E97D17">
        <w:t>are</w:t>
      </w:r>
      <w:r w:rsidR="00AD43C4" w:rsidRPr="00E97D17">
        <w:t xml:space="preserve"> the</w:t>
      </w:r>
      <w:r w:rsidR="00BB3830" w:rsidRPr="00E97D17">
        <w:t xml:space="preserve"> </w:t>
      </w:r>
      <w:r w:rsidR="004F0181" w:rsidRPr="00E97D17">
        <w:t xml:space="preserve">common law offences of cheating the public revenue and conspiracy to </w:t>
      </w:r>
      <w:r w:rsidR="004F0181" w:rsidRPr="00E97D17">
        <w:lastRenderedPageBreak/>
        <w:t>defraud.</w:t>
      </w:r>
      <w:r w:rsidR="004F0181" w:rsidRPr="00E97D17">
        <w:rPr>
          <w:rStyle w:val="FootnoteReference"/>
        </w:rPr>
        <w:footnoteReference w:id="51"/>
      </w:r>
      <w:r w:rsidR="008F025F" w:rsidRPr="00E97D17">
        <w:t xml:space="preserve"> </w:t>
      </w:r>
      <w:r w:rsidR="000B076F" w:rsidRPr="00E97D17">
        <w:t xml:space="preserve">The offence of cheating the public revenue </w:t>
      </w:r>
      <w:r w:rsidR="00896479">
        <w:t xml:space="preserve">is long </w:t>
      </w:r>
      <w:r w:rsidR="000B076F" w:rsidRPr="00E97D17">
        <w:t>established,</w:t>
      </w:r>
      <w:bookmarkStart w:id="4" w:name="_Ref112239401"/>
      <w:r w:rsidR="000B076F" w:rsidRPr="00E97D17">
        <w:rPr>
          <w:vertAlign w:val="superscript"/>
        </w:rPr>
        <w:footnoteReference w:id="52"/>
      </w:r>
      <w:bookmarkEnd w:id="4"/>
      <w:r w:rsidR="000B076F" w:rsidRPr="00E97D17">
        <w:t xml:space="preserve"> and, unlike other common law cheats,</w:t>
      </w:r>
      <w:bookmarkStart w:id="5" w:name="_Ref112239098"/>
      <w:r w:rsidR="000B076F" w:rsidRPr="00E97D17">
        <w:rPr>
          <w:vertAlign w:val="superscript"/>
        </w:rPr>
        <w:footnoteReference w:id="53"/>
      </w:r>
      <w:bookmarkEnd w:id="5"/>
      <w:r w:rsidR="000B076F" w:rsidRPr="00E97D17">
        <w:t xml:space="preserve"> survived abolition upon the enactment of the Theft Act</w:t>
      </w:r>
      <w:r w:rsidR="00DB7476">
        <w:t xml:space="preserve"> 1968</w:t>
      </w:r>
      <w:r w:rsidR="000B076F" w:rsidRPr="00E97D17">
        <w:t>.</w:t>
      </w:r>
      <w:r w:rsidR="000B076F" w:rsidRPr="00E97D17">
        <w:rPr>
          <w:vertAlign w:val="superscript"/>
        </w:rPr>
        <w:footnoteReference w:id="54"/>
      </w:r>
      <w:r w:rsidR="000B076F" w:rsidRPr="00E97D17">
        <w:t xml:space="preserve"> It is widely used owing to the broad scope of the offence, encompassing the evasion of most taxes, through a wide range of acts and omissions,</w:t>
      </w:r>
      <w:r w:rsidR="000B076F" w:rsidRPr="00E97D17">
        <w:rPr>
          <w:vertAlign w:val="superscript"/>
        </w:rPr>
        <w:footnoteReference w:id="55"/>
      </w:r>
      <w:r w:rsidR="000B076F" w:rsidRPr="00E97D17">
        <w:t xml:space="preserve"> both by the individual concerned </w:t>
      </w:r>
      <w:r w:rsidR="00E85580" w:rsidRPr="00E97D17">
        <w:t>and</w:t>
      </w:r>
      <w:r w:rsidR="000B076F" w:rsidRPr="00E97D17">
        <w:t xml:space="preserve"> any facilitators.</w:t>
      </w:r>
      <w:r w:rsidR="000B076F" w:rsidRPr="00E97D17">
        <w:rPr>
          <w:vertAlign w:val="superscript"/>
        </w:rPr>
        <w:footnoteReference w:id="56"/>
      </w:r>
      <w:r w:rsidR="001721A2" w:rsidRPr="00E97D17">
        <w:t xml:space="preserve"> </w:t>
      </w:r>
      <w:r w:rsidR="000B076F" w:rsidRPr="00E97D17">
        <w:t>As cheating can be a ‘conduct offence’, there is no need to prove any resultant loss.</w:t>
      </w:r>
      <w:r w:rsidR="000B076F" w:rsidRPr="00E97D17">
        <w:rPr>
          <w:rStyle w:val="FootnoteReference"/>
        </w:rPr>
        <w:footnoteReference w:id="57"/>
      </w:r>
      <w:r w:rsidR="000B076F" w:rsidRPr="00E97D17">
        <w:t xml:space="preserve"> In essence, ‘cheating can include any form of fraudulent conduct</w:t>
      </w:r>
      <w:r w:rsidR="00E85580" w:rsidRPr="00E97D17">
        <w:t xml:space="preserve"> which results in diverting money from the revenue</w:t>
      </w:r>
      <w:r w:rsidR="000B076F" w:rsidRPr="00E97D17">
        <w:t>’.</w:t>
      </w:r>
      <w:r w:rsidR="000B076F" w:rsidRPr="00E97D17">
        <w:rPr>
          <w:rStyle w:val="FootnoteReference"/>
        </w:rPr>
        <w:footnoteReference w:id="58"/>
      </w:r>
      <w:r w:rsidR="000B076F" w:rsidRPr="00E97D17">
        <w:t xml:space="preserve"> A</w:t>
      </w:r>
      <w:r w:rsidR="001721A2" w:rsidRPr="00E97D17">
        <w:t>s a common law offence, the maximum penalty is an unlimited fine or life imprisonment.</w:t>
      </w:r>
      <w:r w:rsidR="001721A2" w:rsidRPr="00E97D17">
        <w:rPr>
          <w:vertAlign w:val="superscript"/>
        </w:rPr>
        <w:footnoteReference w:id="59"/>
      </w:r>
      <w:r w:rsidR="000B076F" w:rsidRPr="00E97D17">
        <w:t xml:space="preserve"> </w:t>
      </w:r>
      <w:r w:rsidR="00F758DD" w:rsidRPr="00E97D17">
        <w:t xml:space="preserve">The breadth of the offence and </w:t>
      </w:r>
      <w:r w:rsidR="00896479">
        <w:t xml:space="preserve">its </w:t>
      </w:r>
      <w:r w:rsidR="00F758DD" w:rsidRPr="00E97D17">
        <w:t xml:space="preserve">lack of certainty has led to allegations that the cheating offence is incompatible with </w:t>
      </w:r>
      <w:r w:rsidR="00457B85" w:rsidRPr="00E97D17">
        <w:t>the ECHR.</w:t>
      </w:r>
      <w:r w:rsidR="00F758DD" w:rsidRPr="00E97D17">
        <w:rPr>
          <w:rStyle w:val="FootnoteReference"/>
        </w:rPr>
        <w:footnoteReference w:id="60"/>
      </w:r>
      <w:r w:rsidR="00F758DD" w:rsidRPr="00E97D17">
        <w:t xml:space="preserve"> Many commentators have called for the abolition of the offence,</w:t>
      </w:r>
      <w:r w:rsidR="00F758DD" w:rsidRPr="00E97D17">
        <w:rPr>
          <w:rStyle w:val="FootnoteReference"/>
        </w:rPr>
        <w:footnoteReference w:id="61"/>
      </w:r>
      <w:r w:rsidR="00F758DD" w:rsidRPr="00E97D17">
        <w:t xml:space="preserve"> or for placing it on a statutory basis.</w:t>
      </w:r>
      <w:r w:rsidR="00F758DD" w:rsidRPr="00E97D17">
        <w:rPr>
          <w:rStyle w:val="FootnoteReference"/>
        </w:rPr>
        <w:footnoteReference w:id="62"/>
      </w:r>
      <w:r w:rsidR="00F758DD" w:rsidRPr="00E97D17">
        <w:t xml:space="preserve"> </w:t>
      </w:r>
    </w:p>
    <w:p w14:paraId="5C5B3B5F" w14:textId="155C4E3D" w:rsidR="001721A2" w:rsidRDefault="000B076F" w:rsidP="00A0406D">
      <w:r w:rsidRPr="00E97D17">
        <w:lastRenderedPageBreak/>
        <w:t>Conspiracy to defraud also survived the abolition of other common law conspiracies, which were replaced by statutory offences.</w:t>
      </w:r>
      <w:r w:rsidRPr="00E97D17">
        <w:rPr>
          <w:rStyle w:val="FootnoteReference"/>
        </w:rPr>
        <w:footnoteReference w:id="63"/>
      </w:r>
      <w:r w:rsidRPr="00E97D17">
        <w:t xml:space="preserve"> There are said to be two forms or variants of the </w:t>
      </w:r>
      <w:r w:rsidR="005112E0">
        <w:t xml:space="preserve">common law </w:t>
      </w:r>
      <w:r w:rsidRPr="00E97D17">
        <w:t>offence, specifically, ‘agreeing d</w:t>
      </w:r>
      <w:r w:rsidR="00AA29F8" w:rsidRPr="00E97D17">
        <w:t>ishonestly to prejudice another’</w:t>
      </w:r>
      <w:r w:rsidRPr="00E97D17">
        <w:t>s economic interests’ or ‘agreeing to mislead a person with intent to cause him to act contrary to his duty</w:t>
      </w:r>
      <w:r w:rsidR="001327B4">
        <w:t>’</w:t>
      </w:r>
      <w:r w:rsidRPr="00E97D17">
        <w:t>.</w:t>
      </w:r>
      <w:r w:rsidRPr="00E97D17">
        <w:rPr>
          <w:rStyle w:val="FootnoteReference"/>
        </w:rPr>
        <w:footnoteReference w:id="64"/>
      </w:r>
      <w:r w:rsidRPr="00E97D17">
        <w:t xml:space="preserve"> </w:t>
      </w:r>
      <w:r w:rsidR="00E85580" w:rsidRPr="00E97D17">
        <w:t xml:space="preserve">The offence </w:t>
      </w:r>
      <w:r w:rsidR="003571FD" w:rsidRPr="00E97D17">
        <w:t>is</w:t>
      </w:r>
      <w:r w:rsidR="00E85580" w:rsidRPr="00E97D17">
        <w:t xml:space="preserve"> useful in tax evasion cases involving misrepresentation, falsification and/or concealment by several defendants,</w:t>
      </w:r>
      <w:r w:rsidR="00E85580" w:rsidRPr="00E97D17">
        <w:rPr>
          <w:rStyle w:val="FootnoteReference"/>
        </w:rPr>
        <w:footnoteReference w:id="65"/>
      </w:r>
      <w:r w:rsidR="00E85580" w:rsidRPr="00E97D17">
        <w:t xml:space="preserve"> or for prosecuting the facilitators of tax fraud schemes.</w:t>
      </w:r>
      <w:r w:rsidR="00E85580" w:rsidRPr="00E97D17">
        <w:rPr>
          <w:rStyle w:val="FootnoteReference"/>
        </w:rPr>
        <w:footnoteReference w:id="66"/>
      </w:r>
      <w:r w:rsidR="00E85580" w:rsidRPr="00E97D17">
        <w:t xml:space="preserve"> </w:t>
      </w:r>
      <w:r w:rsidRPr="00E97D17">
        <w:t>The offence is extraordinarily broad in nature, lacking any requirement to prove an intent to deceive,</w:t>
      </w:r>
      <w:r w:rsidRPr="00E97D17">
        <w:rPr>
          <w:rStyle w:val="FootnoteReference"/>
        </w:rPr>
        <w:footnoteReference w:id="67"/>
      </w:r>
      <w:r w:rsidRPr="00E97D17">
        <w:t xml:space="preserve"> or an intent to cause loss to the victim, or even any ill-motive</w:t>
      </w:r>
      <w:r w:rsidR="00F73784">
        <w:t>;</w:t>
      </w:r>
      <w:r w:rsidR="00F73784" w:rsidRPr="00E97D17">
        <w:t xml:space="preserve"> </w:t>
      </w:r>
      <w:r w:rsidRPr="00E97D17">
        <w:t>merely requiring a</w:t>
      </w:r>
      <w:r w:rsidR="002E12D0" w:rsidRPr="00E97D17">
        <w:t xml:space="preserve"> demonstration that the victim’s, in this case HMRC’s,</w:t>
      </w:r>
      <w:r w:rsidRPr="00E97D17">
        <w:t xml:space="preserve"> interests have been </w:t>
      </w:r>
      <w:r w:rsidR="003C43CC">
        <w:t>set back</w:t>
      </w:r>
      <w:r w:rsidR="003C43CC" w:rsidRPr="00E97D17">
        <w:t xml:space="preserve"> </w:t>
      </w:r>
      <w:r w:rsidRPr="00E97D17">
        <w:t>in some way.</w:t>
      </w:r>
      <w:r w:rsidRPr="00E97D17">
        <w:rPr>
          <w:rStyle w:val="FootnoteReference"/>
        </w:rPr>
        <w:footnoteReference w:id="68"/>
      </w:r>
      <w:r w:rsidRPr="00E97D17">
        <w:t xml:space="preserve"> Indeed, the offence has been labelled ‘one of the most controversial offences’,</w:t>
      </w:r>
      <w:bookmarkStart w:id="6" w:name="_Ref112239216"/>
      <w:r w:rsidRPr="00E97D17">
        <w:rPr>
          <w:rStyle w:val="FootnoteReference"/>
        </w:rPr>
        <w:footnoteReference w:id="69"/>
      </w:r>
      <w:bookmarkEnd w:id="6"/>
      <w:r w:rsidRPr="00E97D17">
        <w:t xml:space="preserve"> and has been subject to repeated calls for abolition from </w:t>
      </w:r>
      <w:r w:rsidR="00F758DD" w:rsidRPr="00E97D17">
        <w:t>academics</w:t>
      </w:r>
      <w:r w:rsidR="00B820C6">
        <w:t>,</w:t>
      </w:r>
      <w:r w:rsidR="00F758DD" w:rsidRPr="00E97D17">
        <w:rPr>
          <w:rStyle w:val="FootnoteReference"/>
        </w:rPr>
        <w:footnoteReference w:id="70"/>
      </w:r>
      <w:r w:rsidR="00F758DD" w:rsidRPr="00E97D17">
        <w:t xml:space="preserve"> and </w:t>
      </w:r>
      <w:r w:rsidR="006523A6">
        <w:t xml:space="preserve">from </w:t>
      </w:r>
      <w:r w:rsidR="00F758DD" w:rsidRPr="00E97D17">
        <w:t>the Law Commission.</w:t>
      </w:r>
      <w:bookmarkStart w:id="7" w:name="_Ref112239562"/>
      <w:r w:rsidR="00F758DD" w:rsidRPr="00E97D17">
        <w:rPr>
          <w:rStyle w:val="FootnoteReference"/>
        </w:rPr>
        <w:footnoteReference w:id="71"/>
      </w:r>
      <w:bookmarkEnd w:id="7"/>
    </w:p>
    <w:p w14:paraId="1BF0A98E" w14:textId="7DC24085" w:rsidR="005917AB" w:rsidRPr="0093188B" w:rsidRDefault="005917AB" w:rsidP="00A0406D">
      <w:pPr>
        <w:pStyle w:val="Heading2"/>
      </w:pPr>
      <w:r w:rsidRPr="0093188B">
        <w:t>Breadth, Overlap and Redundancy</w:t>
      </w:r>
    </w:p>
    <w:p w14:paraId="570E0B07" w14:textId="4B4EC0EA" w:rsidR="005917AB" w:rsidRDefault="00620CC2" w:rsidP="001327B4">
      <w:r w:rsidRPr="00620CC2">
        <w:t xml:space="preserve">The preceding section showed considerable overlap between the statutory and common law offences. </w:t>
      </w:r>
      <w:r w:rsidR="005917AB" w:rsidRPr="00E97D17">
        <w:t xml:space="preserve">Indeed, upon the enactment of the income tax evasion offence, it was explicitly </w:t>
      </w:r>
      <w:proofErr w:type="spellStart"/>
      <w:r w:rsidR="005917AB" w:rsidRPr="00E97D17">
        <w:lastRenderedPageBreak/>
        <w:t>recognised</w:t>
      </w:r>
      <w:proofErr w:type="spellEnd"/>
      <w:r w:rsidR="005917AB" w:rsidRPr="00E97D17">
        <w:t xml:space="preserve"> that the offence would do little more than place cheating on a statutory basis for the purposes of income tax.</w:t>
      </w:r>
      <w:r w:rsidR="005917AB" w:rsidRPr="00E97D17">
        <w:rPr>
          <w:rStyle w:val="FootnoteReference"/>
        </w:rPr>
        <w:footnoteReference w:id="72"/>
      </w:r>
      <w:r w:rsidR="005917AB" w:rsidRPr="00E97D17">
        <w:t xml:space="preserve"> </w:t>
      </w:r>
      <w:r w:rsidR="00896479">
        <w:t xml:space="preserve">Additionally, </w:t>
      </w:r>
      <w:r w:rsidR="005917AB" w:rsidRPr="00E97D17">
        <w:t xml:space="preserve">for a significant period, the cheating offence was used to address all VAT frauds, notwithstanding the existence of statutory offences. This was due to HMRC’s position that VAT frauds did not encompass economic activity </w:t>
      </w:r>
      <w:r w:rsidR="009A083E">
        <w:t xml:space="preserve">(which would be subject to VAT) </w:t>
      </w:r>
      <w:r w:rsidR="005917AB" w:rsidRPr="00E97D17">
        <w:t>for the purposes of withholding repayments</w:t>
      </w:r>
      <w:r w:rsidR="009A083E">
        <w:t xml:space="preserve"> from fraudsters.</w:t>
      </w:r>
      <w:r w:rsidR="005917AB" w:rsidRPr="00E97D17">
        <w:t xml:space="preserve"> </w:t>
      </w:r>
      <w:r w:rsidR="00707583">
        <w:t>T</w:t>
      </w:r>
      <w:r w:rsidR="009A083E">
        <w:t xml:space="preserve">he denial of economic activity, and thus liability to pay VAT, was </w:t>
      </w:r>
      <w:r w:rsidR="00F4375E">
        <w:t xml:space="preserve">also </w:t>
      </w:r>
      <w:r w:rsidR="009A083E">
        <w:t>thought to prevent the</w:t>
      </w:r>
      <w:r w:rsidR="009A083E" w:rsidRPr="00E97D17">
        <w:t xml:space="preserve"> </w:t>
      </w:r>
      <w:r w:rsidR="005917AB" w:rsidRPr="00E97D17">
        <w:t xml:space="preserve">use of the </w:t>
      </w:r>
      <w:r w:rsidR="009A083E">
        <w:t xml:space="preserve">section 72 </w:t>
      </w:r>
      <w:r w:rsidR="005917AB" w:rsidRPr="00E97D17">
        <w:t>offence in such circumstances.</w:t>
      </w:r>
      <w:r w:rsidR="005917AB" w:rsidRPr="00E97D17">
        <w:rPr>
          <w:rStyle w:val="FootnoteReference"/>
        </w:rPr>
        <w:footnoteReference w:id="73"/>
      </w:r>
      <w:r w:rsidR="005917AB" w:rsidRPr="00E97D17">
        <w:t xml:space="preserve"> While case law later restored the ability of prosecutors to charge the VAT evasion offence in cases concerning carousel and missing trader frauds,</w:t>
      </w:r>
      <w:r w:rsidR="005917AB" w:rsidRPr="00E97D17">
        <w:rPr>
          <w:rStyle w:val="FootnoteReference"/>
        </w:rPr>
        <w:footnoteReference w:id="74"/>
      </w:r>
      <w:r w:rsidR="005917AB" w:rsidRPr="00E97D17">
        <w:t xml:space="preserve"> it also illustrates the duplicity and redundancy of the statutory offence while the cheating offence is retained.</w:t>
      </w:r>
      <w:r w:rsidR="006000C1">
        <w:t xml:space="preserve"> </w:t>
      </w:r>
      <w:r w:rsidR="005917AB" w:rsidRPr="00766CD5">
        <w:t xml:space="preserve">While codification of the criminal law is a worthwhile </w:t>
      </w:r>
      <w:proofErr w:type="spellStart"/>
      <w:r w:rsidR="005917AB" w:rsidRPr="00766CD5">
        <w:t>endeavour</w:t>
      </w:r>
      <w:proofErr w:type="spellEnd"/>
      <w:r w:rsidR="005917AB" w:rsidRPr="00766CD5">
        <w:t>,</w:t>
      </w:r>
      <w:r w:rsidR="005917AB" w:rsidRPr="00766CD5">
        <w:rPr>
          <w:rStyle w:val="FootnoteReference"/>
        </w:rPr>
        <w:footnoteReference w:id="75"/>
      </w:r>
      <w:r w:rsidR="005917AB" w:rsidRPr="00766CD5">
        <w:t xml:space="preserve"> this implies that the common law offence will be abolished or, at least, that its use will be restricted. However, </w:t>
      </w:r>
      <w:r w:rsidR="00D32B2C">
        <w:t>many years</w:t>
      </w:r>
      <w:r w:rsidR="005917AB" w:rsidRPr="00766CD5">
        <w:t xml:space="preserve"> after the enactment of th</w:t>
      </w:r>
      <w:r w:rsidR="00D32B2C">
        <w:t>ese</w:t>
      </w:r>
      <w:r w:rsidR="005917AB" w:rsidRPr="00766CD5">
        <w:t xml:space="preserve"> offence</w:t>
      </w:r>
      <w:r w:rsidR="00D32B2C">
        <w:t>s</w:t>
      </w:r>
      <w:r w:rsidR="005917AB" w:rsidRPr="00766CD5">
        <w:t xml:space="preserve">, cheating the public revenue is still </w:t>
      </w:r>
      <w:r w:rsidR="006523A6">
        <w:t>the</w:t>
      </w:r>
      <w:r w:rsidR="005917AB" w:rsidRPr="00766CD5">
        <w:t xml:space="preserve"> preferred charge.</w:t>
      </w:r>
      <w:r w:rsidR="00707583">
        <w:rPr>
          <w:rStyle w:val="FootnoteReference"/>
        </w:rPr>
        <w:footnoteReference w:id="76"/>
      </w:r>
    </w:p>
    <w:p w14:paraId="7DCDEBF6" w14:textId="1FDA115C" w:rsidR="006000C1" w:rsidRDefault="006000C1" w:rsidP="00A0406D">
      <w:r>
        <w:t>This is problematic considering the especially</w:t>
      </w:r>
      <w:r w:rsidRPr="00E97D17">
        <w:t xml:space="preserve"> expansive scope of </w:t>
      </w:r>
      <w:r>
        <w:t xml:space="preserve">common law </w:t>
      </w:r>
      <w:r w:rsidRPr="00E97D17">
        <w:t xml:space="preserve">tax </w:t>
      </w:r>
      <w:r w:rsidRPr="00386C69">
        <w:t xml:space="preserve">evasion offences, which have a detrimental impact on legal certainty, fair labelling, and the wider </w:t>
      </w:r>
      <w:r w:rsidR="007A5ADD">
        <w:t>R</w:t>
      </w:r>
      <w:r w:rsidRPr="00386C69">
        <w:t xml:space="preserve">ule of </w:t>
      </w:r>
      <w:r w:rsidR="007A5ADD">
        <w:t>L</w:t>
      </w:r>
      <w:r w:rsidRPr="00386C69">
        <w:t xml:space="preserve">aw. The ambiguous contours of the common law offences are further obscured by the </w:t>
      </w:r>
      <w:proofErr w:type="spellStart"/>
      <w:r w:rsidRPr="00643E71">
        <w:t>mens</w:t>
      </w:r>
      <w:proofErr w:type="spellEnd"/>
      <w:r w:rsidRPr="00643E71">
        <w:t xml:space="preserve"> rea</w:t>
      </w:r>
      <w:r w:rsidRPr="00386C69">
        <w:t xml:space="preserve"> element of such offences, dishonesty, or, more accurately, the test for its determination.</w:t>
      </w:r>
      <w:r>
        <w:t xml:space="preserve"> </w:t>
      </w:r>
    </w:p>
    <w:p w14:paraId="0088D50B" w14:textId="1411A652" w:rsidR="009249DC" w:rsidRPr="0093188B" w:rsidRDefault="009249DC" w:rsidP="00A0406D">
      <w:pPr>
        <w:pStyle w:val="Heading2"/>
      </w:pPr>
      <w:r w:rsidRPr="0093188B">
        <w:t xml:space="preserve">Dishonesty </w:t>
      </w:r>
    </w:p>
    <w:p w14:paraId="187B47DC" w14:textId="47AF4776" w:rsidR="00327423" w:rsidRPr="00766CD5" w:rsidRDefault="006000C1" w:rsidP="001327B4">
      <w:r>
        <w:lastRenderedPageBreak/>
        <w:t>T</w:t>
      </w:r>
      <w:r w:rsidR="00266048" w:rsidRPr="00E97D17">
        <w:t xml:space="preserve">he </w:t>
      </w:r>
      <w:r w:rsidR="00266048" w:rsidRPr="00643E71">
        <w:t xml:space="preserve">actus </w:t>
      </w:r>
      <w:proofErr w:type="spellStart"/>
      <w:r w:rsidR="00266048" w:rsidRPr="00643E71">
        <w:t>reus</w:t>
      </w:r>
      <w:proofErr w:type="spellEnd"/>
      <w:r w:rsidR="00266048" w:rsidRPr="00E97D17">
        <w:rPr>
          <w:i/>
        </w:rPr>
        <w:t xml:space="preserve"> </w:t>
      </w:r>
      <w:r w:rsidR="00266048" w:rsidRPr="00E97D17">
        <w:t xml:space="preserve">of </w:t>
      </w:r>
      <w:r w:rsidR="00C621C0">
        <w:t>common law</w:t>
      </w:r>
      <w:r w:rsidR="00266048" w:rsidRPr="00E97D17">
        <w:t xml:space="preserve"> tax evasion offences is so extraordinarily broad</w:t>
      </w:r>
      <w:r w:rsidR="0032333B">
        <w:t xml:space="preserve"> ‒ </w:t>
      </w:r>
      <w:r w:rsidR="00266048" w:rsidRPr="00E97D17">
        <w:t>being satisfied by any</w:t>
      </w:r>
      <w:r w:rsidR="00266048" w:rsidRPr="00E97D17">
        <w:rPr>
          <w:i/>
        </w:rPr>
        <w:t xml:space="preserve"> </w:t>
      </w:r>
      <w:r w:rsidR="00266048" w:rsidRPr="00E97D17">
        <w:t>form of fraudulent conduct or agreement</w:t>
      </w:r>
      <w:r w:rsidR="00266048" w:rsidRPr="00E97D17">
        <w:rPr>
          <w:rStyle w:val="FootnoteReference"/>
        </w:rPr>
        <w:footnoteReference w:id="77"/>
      </w:r>
      <w:r w:rsidR="0032333B">
        <w:t xml:space="preserve"> ‒ </w:t>
      </w:r>
      <w:r w:rsidR="00266048" w:rsidRPr="00E97D17">
        <w:t xml:space="preserve">that </w:t>
      </w:r>
      <w:r w:rsidR="002E12D0" w:rsidRPr="00E97D17">
        <w:t xml:space="preserve">the </w:t>
      </w:r>
      <w:r w:rsidR="00EB11ED" w:rsidRPr="00E97D17">
        <w:t xml:space="preserve">fault </w:t>
      </w:r>
      <w:r w:rsidR="002E12D0" w:rsidRPr="00E97D17">
        <w:t xml:space="preserve">element of </w:t>
      </w:r>
      <w:r w:rsidR="00266048" w:rsidRPr="00E97D17">
        <w:t>dishonesty is often the ‘only live issue at trial</w:t>
      </w:r>
      <w:r w:rsidR="0032333B">
        <w:t>’</w:t>
      </w:r>
      <w:r w:rsidR="00266048" w:rsidRPr="00E97D17">
        <w:t>.</w:t>
      </w:r>
      <w:r w:rsidR="00266048" w:rsidRPr="00E97D17">
        <w:rPr>
          <w:rStyle w:val="FootnoteReference"/>
        </w:rPr>
        <w:footnoteReference w:id="78"/>
      </w:r>
      <w:r w:rsidR="00266048" w:rsidRPr="00E97D17">
        <w:t xml:space="preserve"> </w:t>
      </w:r>
      <w:r w:rsidR="00327423" w:rsidRPr="00766CD5">
        <w:t xml:space="preserve">Moreover, even though some of the statutory offences may be narrower in scope, often the </w:t>
      </w:r>
      <w:r w:rsidR="00327423" w:rsidRPr="00643E71">
        <w:t xml:space="preserve">actus </w:t>
      </w:r>
      <w:proofErr w:type="spellStart"/>
      <w:r w:rsidR="00327423" w:rsidRPr="00643E71">
        <w:t>reus</w:t>
      </w:r>
      <w:proofErr w:type="spellEnd"/>
      <w:r w:rsidR="00327423" w:rsidRPr="00766CD5">
        <w:rPr>
          <w:i/>
        </w:rPr>
        <w:t xml:space="preserve"> </w:t>
      </w:r>
      <w:r w:rsidR="00327423" w:rsidRPr="00766CD5">
        <w:t>of the offence is usually predetermined or admitted, leaving the trial to focus on dishonesty.</w:t>
      </w:r>
      <w:r w:rsidR="00327423" w:rsidRPr="00766CD5">
        <w:rPr>
          <w:rStyle w:val="FootnoteReference"/>
        </w:rPr>
        <w:footnoteReference w:id="79"/>
      </w:r>
      <w:r w:rsidR="00327423" w:rsidRPr="00766CD5">
        <w:t xml:space="preserve"> As such, ‘the notion of dishonesty is central to considerations of criminality in tax non-compliance’.</w:t>
      </w:r>
      <w:r w:rsidR="00327423" w:rsidRPr="00766CD5">
        <w:rPr>
          <w:rStyle w:val="FootnoteReference"/>
        </w:rPr>
        <w:footnoteReference w:id="80"/>
      </w:r>
      <w:r w:rsidR="00327423" w:rsidRPr="00766CD5">
        <w:t xml:space="preserve"> </w:t>
      </w:r>
      <w:r w:rsidR="002832D7">
        <w:t>Nonetheless</w:t>
      </w:r>
      <w:r w:rsidR="00327423" w:rsidRPr="00E97D17">
        <w:t xml:space="preserve">, the failure to </w:t>
      </w:r>
      <w:r w:rsidR="001B4E9F">
        <w:t xml:space="preserve">clearly </w:t>
      </w:r>
      <w:r w:rsidR="00327423" w:rsidRPr="00E97D17">
        <w:t>define dishonesty in English Law has itself long been regarded as problematic.</w:t>
      </w:r>
    </w:p>
    <w:p w14:paraId="2997C32F" w14:textId="65F498F8" w:rsidR="001A0F74" w:rsidRPr="00766CD5" w:rsidRDefault="00327423" w:rsidP="00A0406D">
      <w:r w:rsidRPr="00766CD5">
        <w:t xml:space="preserve">In </w:t>
      </w:r>
      <w:r w:rsidRPr="00766CD5">
        <w:rPr>
          <w:i/>
        </w:rPr>
        <w:t>Feely</w:t>
      </w:r>
      <w:r w:rsidRPr="00766CD5">
        <w:t>,</w:t>
      </w:r>
      <w:r w:rsidRPr="00766CD5">
        <w:rPr>
          <w:rStyle w:val="FootnoteReference"/>
        </w:rPr>
        <w:footnoteReference w:id="81"/>
      </w:r>
      <w:r w:rsidRPr="00766CD5">
        <w:t xml:space="preserve"> it was determined that dishonesty is an ordinary word,</w:t>
      </w:r>
      <w:r w:rsidR="00130C4B">
        <w:t xml:space="preserve"> which</w:t>
      </w:r>
      <w:r w:rsidRPr="00766CD5">
        <w:t xml:space="preserve"> should not be defined judicially, but rather, should be regarded as a question of fact</w:t>
      </w:r>
      <w:r w:rsidR="00D31093">
        <w:t xml:space="preserve"> to be</w:t>
      </w:r>
      <w:r w:rsidR="002A7ED7">
        <w:t xml:space="preserve"> </w:t>
      </w:r>
      <w:r w:rsidRPr="00766CD5">
        <w:t xml:space="preserve">determined by the jury. </w:t>
      </w:r>
      <w:r w:rsidR="002832D7">
        <w:t>Accordingly, i</w:t>
      </w:r>
      <w:r w:rsidRPr="00766CD5">
        <w:t xml:space="preserve">n contrast to the traditional approach taken to the interpretation and application of criminal offences in English Law, the dishonesty test does not provide a legal definition of the term for the jury to apply to the defendant’s conduct; rather, it asks them to </w:t>
      </w:r>
      <w:proofErr w:type="spellStart"/>
      <w:r w:rsidRPr="00766CD5">
        <w:t>characterise</w:t>
      </w:r>
      <w:proofErr w:type="spellEnd"/>
      <w:r w:rsidRPr="00766CD5">
        <w:t xml:space="preserve"> his conduct, in effect, making a moral judgement as to whether it is sufficiently reprehensible to warrant </w:t>
      </w:r>
      <w:proofErr w:type="spellStart"/>
      <w:r w:rsidRPr="00766CD5">
        <w:t>criminalisation</w:t>
      </w:r>
      <w:proofErr w:type="spellEnd"/>
      <w:r w:rsidRPr="00766CD5">
        <w:t>.</w:t>
      </w:r>
      <w:bookmarkStart w:id="8" w:name="_Ref112239678"/>
      <w:r w:rsidRPr="00766CD5">
        <w:rPr>
          <w:rStyle w:val="FootnoteReference"/>
        </w:rPr>
        <w:footnoteReference w:id="82"/>
      </w:r>
      <w:bookmarkEnd w:id="8"/>
      <w:r w:rsidRPr="00766CD5">
        <w:t xml:space="preserve"> The</w:t>
      </w:r>
      <w:r w:rsidRPr="00766CD5">
        <w:rPr>
          <w:i/>
        </w:rPr>
        <w:t xml:space="preserve"> Ghosh</w:t>
      </w:r>
      <w:r w:rsidRPr="00766CD5">
        <w:t xml:space="preserve"> test was the accepted test for dishonesty for 35 years.</w:t>
      </w:r>
      <w:r w:rsidR="00D70C08" w:rsidRPr="00766CD5">
        <w:rPr>
          <w:rStyle w:val="FootnoteReference"/>
        </w:rPr>
        <w:footnoteReference w:id="83"/>
      </w:r>
      <w:r w:rsidRPr="00766CD5">
        <w:t xml:space="preserve"> </w:t>
      </w:r>
      <w:r w:rsidR="002832D7">
        <w:t>In</w:t>
      </w:r>
      <w:r w:rsidR="002832D7" w:rsidRPr="00766CD5">
        <w:t xml:space="preserve"> </w:t>
      </w:r>
      <w:r w:rsidR="002832D7" w:rsidRPr="00766CD5">
        <w:rPr>
          <w:i/>
        </w:rPr>
        <w:t xml:space="preserve">Ghosh, </w:t>
      </w:r>
      <w:r w:rsidR="002832D7" w:rsidRPr="00766CD5">
        <w:t xml:space="preserve">Lord Lane CJ stated that the test to be applied is as follows: </w:t>
      </w:r>
    </w:p>
    <w:p w14:paraId="22A10186" w14:textId="7058177C" w:rsidR="002832D7" w:rsidRPr="00766CD5" w:rsidRDefault="0032333B" w:rsidP="00A0406D">
      <w:pPr>
        <w:pStyle w:val="List"/>
      </w:pPr>
      <w:r>
        <w:t xml:space="preserve">1. </w:t>
      </w:r>
      <w:r w:rsidR="002832D7" w:rsidRPr="00766CD5">
        <w:t xml:space="preserve">Was the defendant’s conduct dishonest according to the ordinary standards of reasonable and honest people? </w:t>
      </w:r>
    </w:p>
    <w:p w14:paraId="15C4399D" w14:textId="3E574B74" w:rsidR="002832D7" w:rsidRPr="00766CD5" w:rsidRDefault="0032333B" w:rsidP="00A0406D">
      <w:pPr>
        <w:pStyle w:val="List"/>
      </w:pPr>
      <w:r>
        <w:lastRenderedPageBreak/>
        <w:t xml:space="preserve">2. </w:t>
      </w:r>
      <w:r w:rsidR="002832D7" w:rsidRPr="00766CD5">
        <w:t>If it was so dishonest, did the defendant himself realise that what he was doing was by those standards dishonest?</w:t>
      </w:r>
      <w:r w:rsidR="002832D7" w:rsidRPr="00766CD5">
        <w:rPr>
          <w:rStyle w:val="FootnoteReference"/>
        </w:rPr>
        <w:footnoteReference w:id="84"/>
      </w:r>
    </w:p>
    <w:p w14:paraId="1A313038" w14:textId="6729BB83" w:rsidR="00327423" w:rsidRDefault="002832D7" w:rsidP="0032333B">
      <w:r>
        <w:t>T</w:t>
      </w:r>
      <w:r w:rsidR="00327423" w:rsidRPr="00766CD5">
        <w:t>he</w:t>
      </w:r>
      <w:r>
        <w:t xml:space="preserve"> </w:t>
      </w:r>
      <w:r>
        <w:rPr>
          <w:i/>
        </w:rPr>
        <w:t>Ghosh</w:t>
      </w:r>
      <w:r w:rsidR="00327423" w:rsidRPr="00766CD5">
        <w:t xml:space="preserve"> test was subject to intense and widespread criticism from academics,</w:t>
      </w:r>
      <w:bookmarkStart w:id="9" w:name="_Ref112239817"/>
      <w:r w:rsidR="00327423" w:rsidRPr="00766CD5">
        <w:rPr>
          <w:rStyle w:val="FootnoteReference"/>
        </w:rPr>
        <w:footnoteReference w:id="85"/>
      </w:r>
      <w:bookmarkEnd w:id="9"/>
      <w:r w:rsidR="00327423" w:rsidRPr="00766CD5">
        <w:t xml:space="preserve"> and senior judges.</w:t>
      </w:r>
      <w:r w:rsidR="00327423" w:rsidRPr="00766CD5">
        <w:rPr>
          <w:rStyle w:val="FootnoteReference"/>
        </w:rPr>
        <w:footnoteReference w:id="86"/>
      </w:r>
      <w:r w:rsidR="00130C4B">
        <w:t xml:space="preserve"> M</w:t>
      </w:r>
      <w:r w:rsidR="00327423" w:rsidRPr="00766CD5">
        <w:t>any feared that</w:t>
      </w:r>
      <w:r w:rsidR="00130C4B">
        <w:t xml:space="preserve"> diverse perceptions of dishonesty</w:t>
      </w:r>
      <w:r w:rsidR="00327423" w:rsidRPr="00766CD5">
        <w:t xml:space="preserve"> would lead to inconsistent outcomes</w:t>
      </w:r>
      <w:r>
        <w:t>,</w:t>
      </w:r>
      <w:r w:rsidR="00327423" w:rsidRPr="00766CD5">
        <w:rPr>
          <w:rStyle w:val="FootnoteReference"/>
        </w:rPr>
        <w:footnoteReference w:id="87"/>
      </w:r>
      <w:r>
        <w:t xml:space="preserve"> as well as </w:t>
      </w:r>
      <w:r w:rsidR="00327423" w:rsidRPr="00766CD5">
        <w:t>longer and more difficult trials</w:t>
      </w:r>
      <w:r w:rsidR="00DC65B2">
        <w:t>, with</w:t>
      </w:r>
      <w:r w:rsidR="00327423" w:rsidRPr="00766CD5">
        <w:t xml:space="preserve"> the </w:t>
      </w:r>
      <w:r w:rsidR="00DC65B2">
        <w:t>ambiguity meaning</w:t>
      </w:r>
      <w:r w:rsidR="00327423" w:rsidRPr="00766CD5">
        <w:t xml:space="preserve"> that it was logical for a defendant to ‘take his chance with the jury’.</w:t>
      </w:r>
      <w:r w:rsidR="00327423" w:rsidRPr="00766CD5">
        <w:rPr>
          <w:rStyle w:val="FootnoteReference"/>
        </w:rPr>
        <w:footnoteReference w:id="88"/>
      </w:r>
      <w:r w:rsidR="00327423" w:rsidRPr="00766CD5">
        <w:t xml:space="preserve"> The second limb of the </w:t>
      </w:r>
      <w:r w:rsidR="00327423" w:rsidRPr="00766CD5">
        <w:rPr>
          <w:i/>
        </w:rPr>
        <w:t>Ghosh</w:t>
      </w:r>
      <w:r w:rsidR="00327423" w:rsidRPr="00766CD5">
        <w:t xml:space="preserve"> test was also</w:t>
      </w:r>
      <w:r w:rsidR="008C0301">
        <w:t xml:space="preserve"> perceived to be</w:t>
      </w:r>
      <w:r w:rsidR="00327423" w:rsidRPr="00766CD5">
        <w:t xml:space="preserve"> problematic </w:t>
      </w:r>
      <w:r w:rsidR="00927027">
        <w:t xml:space="preserve">because </w:t>
      </w:r>
      <w:r w:rsidR="00327423" w:rsidRPr="00766CD5">
        <w:t xml:space="preserve">it allowed the defendant to advance something akin to mistake of law as a </w:t>
      </w:r>
      <w:proofErr w:type="spellStart"/>
      <w:r w:rsidR="00327423" w:rsidRPr="00766CD5">
        <w:t>defence</w:t>
      </w:r>
      <w:proofErr w:type="spellEnd"/>
      <w:r w:rsidR="00327423" w:rsidRPr="00766CD5">
        <w:t>.</w:t>
      </w:r>
      <w:r w:rsidR="00327423" w:rsidRPr="00766CD5">
        <w:rPr>
          <w:rStyle w:val="FootnoteReference"/>
        </w:rPr>
        <w:footnoteReference w:id="89"/>
      </w:r>
      <w:r w:rsidR="00327423" w:rsidRPr="00766CD5">
        <w:t xml:space="preserve"> </w:t>
      </w:r>
      <w:r>
        <w:t>Accordingly, i</w:t>
      </w:r>
      <w:r w:rsidR="00327423" w:rsidRPr="00766CD5">
        <w:t xml:space="preserve">n </w:t>
      </w:r>
      <w:r w:rsidR="00327423" w:rsidRPr="00766CD5">
        <w:rPr>
          <w:i/>
        </w:rPr>
        <w:t>Ivey</w:t>
      </w:r>
      <w:r w:rsidR="00327423" w:rsidRPr="00766CD5">
        <w:t>, the Supreme Court held that the second limb ‘does not correctly represent the law and that directions based upon it ought no longer to be given’.</w:t>
      </w:r>
      <w:r w:rsidR="00327423" w:rsidRPr="00766CD5">
        <w:rPr>
          <w:rStyle w:val="FootnoteReference"/>
        </w:rPr>
        <w:footnoteReference w:id="90"/>
      </w:r>
      <w:r w:rsidR="00327423" w:rsidRPr="00766CD5">
        <w:t xml:space="preserve"> Instead, the Court held that the test for dishonesty should involve a subjective assessment of the individual’s knowledge or beliefs as to the facts, followed by an application of the objective standards of ordinary decent people in light of this assessment. The defendant’s own perceptions of the honesty of his conduct are </w:t>
      </w:r>
      <w:r>
        <w:t>ir</w:t>
      </w:r>
      <w:r w:rsidR="00327423" w:rsidRPr="00766CD5">
        <w:t>relevant.</w:t>
      </w:r>
      <w:r w:rsidR="002B18A9">
        <w:t xml:space="preserve"> </w:t>
      </w:r>
      <w:r w:rsidR="00405A8E" w:rsidRPr="00C97193">
        <w:rPr>
          <w:i/>
          <w:iCs/>
        </w:rPr>
        <w:t>Ivey</w:t>
      </w:r>
      <w:r w:rsidR="00405A8E">
        <w:t xml:space="preserve"> was itself a civil case but</w:t>
      </w:r>
      <w:r w:rsidR="00DA6AA2">
        <w:t>,</w:t>
      </w:r>
      <w:r w:rsidR="00405A8E">
        <w:t xml:space="preserve"> i</w:t>
      </w:r>
      <w:r>
        <w:t>n</w:t>
      </w:r>
      <w:r w:rsidR="00327423" w:rsidRPr="00766CD5">
        <w:t xml:space="preserve"> </w:t>
      </w:r>
      <w:r w:rsidR="00327423" w:rsidRPr="00766CD5">
        <w:rPr>
          <w:i/>
        </w:rPr>
        <w:t>Barton</w:t>
      </w:r>
      <w:r w:rsidR="00327423" w:rsidRPr="00766CD5">
        <w:t>,</w:t>
      </w:r>
      <w:r w:rsidR="00327423" w:rsidRPr="00766CD5">
        <w:rPr>
          <w:rStyle w:val="FootnoteReference"/>
        </w:rPr>
        <w:footnoteReference w:id="91"/>
      </w:r>
      <w:r w:rsidR="00327423" w:rsidRPr="00766CD5">
        <w:t xml:space="preserve"> the </w:t>
      </w:r>
      <w:r w:rsidR="00405A8E">
        <w:t>C</w:t>
      </w:r>
      <w:r w:rsidR="00327423" w:rsidRPr="00766CD5">
        <w:t xml:space="preserve">ourt </w:t>
      </w:r>
      <w:r w:rsidR="00405A8E">
        <w:t xml:space="preserve">of Criminal Appeal </w:t>
      </w:r>
      <w:r w:rsidR="00327423" w:rsidRPr="00766CD5">
        <w:t xml:space="preserve">held that the correct test of dishonesty in English </w:t>
      </w:r>
      <w:r w:rsidR="00C621C0">
        <w:t>criminal l</w:t>
      </w:r>
      <w:r w:rsidR="00327423" w:rsidRPr="00766CD5">
        <w:t xml:space="preserve">aw was </w:t>
      </w:r>
      <w:r w:rsidR="00405A8E">
        <w:t xml:space="preserve">now </w:t>
      </w:r>
      <w:r w:rsidR="00327423" w:rsidRPr="00766CD5">
        <w:t xml:space="preserve">that established in </w:t>
      </w:r>
      <w:r w:rsidR="00327423" w:rsidRPr="00766CD5">
        <w:rPr>
          <w:i/>
        </w:rPr>
        <w:t>Ivey</w:t>
      </w:r>
      <w:r>
        <w:t>.</w:t>
      </w:r>
      <w:r w:rsidR="00327423" w:rsidRPr="00766CD5">
        <w:rPr>
          <w:rStyle w:val="FootnoteReference"/>
        </w:rPr>
        <w:footnoteReference w:id="92"/>
      </w:r>
    </w:p>
    <w:p w14:paraId="405B67D7" w14:textId="5850FD50" w:rsidR="00153478" w:rsidRPr="00766CD5" w:rsidRDefault="00153478" w:rsidP="00A0406D">
      <w:r w:rsidRPr="00766CD5">
        <w:t>While the decision has been welcomed by many who support the eradication of the subjective limb,</w:t>
      </w:r>
      <w:r w:rsidRPr="00766CD5">
        <w:rPr>
          <w:rStyle w:val="FootnoteReference"/>
        </w:rPr>
        <w:footnoteReference w:id="93"/>
      </w:r>
      <w:r w:rsidRPr="00766CD5">
        <w:t xml:space="preserve"> the decision to replace </w:t>
      </w:r>
      <w:r w:rsidRPr="00766CD5">
        <w:rPr>
          <w:i/>
        </w:rPr>
        <w:t xml:space="preserve">Ghosh </w:t>
      </w:r>
      <w:r w:rsidRPr="00766CD5">
        <w:t xml:space="preserve">with </w:t>
      </w:r>
      <w:r w:rsidRPr="00766CD5">
        <w:rPr>
          <w:i/>
        </w:rPr>
        <w:t xml:space="preserve">Ivey </w:t>
      </w:r>
      <w:r w:rsidRPr="00766CD5">
        <w:t xml:space="preserve">does not resolve the issues inherent in the test </w:t>
      </w:r>
      <w:r w:rsidRPr="00766CD5">
        <w:lastRenderedPageBreak/>
        <w:t xml:space="preserve">of dishonesty. As Ormerod and Laird note, the sustained objections to </w:t>
      </w:r>
      <w:r w:rsidRPr="00766CD5">
        <w:rPr>
          <w:i/>
        </w:rPr>
        <w:t xml:space="preserve">Ghosh </w:t>
      </w:r>
      <w:r w:rsidRPr="00766CD5">
        <w:t>were primarily focused on the objective, rather than subjective, limb.</w:t>
      </w:r>
      <w:r w:rsidRPr="00766CD5">
        <w:rPr>
          <w:rStyle w:val="FootnoteReference"/>
        </w:rPr>
        <w:footnoteReference w:id="94"/>
      </w:r>
      <w:r w:rsidRPr="00766CD5">
        <w:t xml:space="preserve"> However, this has since become its ‘most prominent feature’,</w:t>
      </w:r>
      <w:r w:rsidRPr="00766CD5">
        <w:rPr>
          <w:rStyle w:val="FootnoteReference"/>
        </w:rPr>
        <w:footnoteReference w:id="95"/>
      </w:r>
      <w:r w:rsidRPr="00766CD5">
        <w:t xml:space="preserve"> exacerbating the issues identified above. </w:t>
      </w:r>
      <w:r w:rsidRPr="00766CD5">
        <w:rPr>
          <w:i/>
        </w:rPr>
        <w:t xml:space="preserve">Ivey </w:t>
      </w:r>
      <w:r w:rsidRPr="00766CD5">
        <w:t>has compounded concerns surrounding legal certainty, particularly considering the sheer breadth of many dishonesty offences.</w:t>
      </w:r>
      <w:r w:rsidRPr="00766CD5">
        <w:rPr>
          <w:rStyle w:val="FootnoteReference"/>
        </w:rPr>
        <w:footnoteReference w:id="96"/>
      </w:r>
      <w:r w:rsidRPr="00766CD5">
        <w:t xml:space="preserve"> This is because, divergent interpretations of dishonesty will not only prevent the defendant from being able to determine whether any one jury would </w:t>
      </w:r>
      <w:proofErr w:type="spellStart"/>
      <w:r w:rsidRPr="00766CD5">
        <w:t>characterise</w:t>
      </w:r>
      <w:proofErr w:type="spellEnd"/>
      <w:r w:rsidRPr="00766CD5">
        <w:t xml:space="preserve"> his conduct as dishonest in advance, but also, </w:t>
      </w:r>
      <w:r w:rsidRPr="00766CD5">
        <w:rPr>
          <w:i/>
        </w:rPr>
        <w:t xml:space="preserve">Ivey </w:t>
      </w:r>
      <w:r w:rsidRPr="00766CD5">
        <w:t xml:space="preserve">ensures that he no longer even has to appreciate his conduct would be so </w:t>
      </w:r>
      <w:proofErr w:type="spellStart"/>
      <w:r w:rsidRPr="00766CD5">
        <w:t>characterised</w:t>
      </w:r>
      <w:proofErr w:type="spellEnd"/>
      <w:r w:rsidRPr="00766CD5">
        <w:t>.</w:t>
      </w:r>
      <w:r w:rsidRPr="00766CD5">
        <w:rPr>
          <w:rStyle w:val="FootnoteReference"/>
        </w:rPr>
        <w:footnoteReference w:id="97"/>
      </w:r>
      <w:r w:rsidRPr="00766CD5">
        <w:t xml:space="preserve"> In this respect, the subjective limb served an important function in the criminal law, providing increased legal certainty,</w:t>
      </w:r>
      <w:r w:rsidRPr="00766CD5">
        <w:rPr>
          <w:rStyle w:val="FootnoteReference"/>
        </w:rPr>
        <w:footnoteReference w:id="98"/>
      </w:r>
      <w:r w:rsidRPr="00766CD5">
        <w:t xml:space="preserve"> and narrowing the scope of application of some of the widest offences.</w:t>
      </w:r>
      <w:r w:rsidRPr="00766CD5">
        <w:rPr>
          <w:rStyle w:val="FootnoteReference"/>
        </w:rPr>
        <w:footnoteReference w:id="99"/>
      </w:r>
      <w:r w:rsidRPr="00766CD5">
        <w:t xml:space="preserve"> The </w:t>
      </w:r>
      <w:r w:rsidRPr="00766CD5">
        <w:rPr>
          <w:i/>
        </w:rPr>
        <w:t xml:space="preserve">Ghosh </w:t>
      </w:r>
      <w:r w:rsidRPr="00766CD5">
        <w:t>test was defended on this basis by the Law Commission.</w:t>
      </w:r>
      <w:r w:rsidRPr="00766CD5">
        <w:rPr>
          <w:rStyle w:val="FootnoteReference"/>
        </w:rPr>
        <w:footnoteReference w:id="100"/>
      </w:r>
      <w:r w:rsidRPr="00766CD5">
        <w:t xml:space="preserve"> </w:t>
      </w:r>
    </w:p>
    <w:p w14:paraId="483F8408" w14:textId="4F903657" w:rsidR="00130C4B" w:rsidRDefault="008E0213" w:rsidP="00A0406D">
      <w:r>
        <w:t>T</w:t>
      </w:r>
      <w:r w:rsidR="00266048" w:rsidRPr="00E97D17">
        <w:t xml:space="preserve">he issues surrounding dishonesty are exacerbated </w:t>
      </w:r>
      <w:r w:rsidR="00AD43C4" w:rsidRPr="00E97D17">
        <w:t xml:space="preserve">in </w:t>
      </w:r>
      <w:r w:rsidR="00827B42" w:rsidRPr="00E97D17">
        <w:t>the</w:t>
      </w:r>
      <w:r w:rsidR="00AD43C4" w:rsidRPr="00E97D17">
        <w:t xml:space="preserve"> tax evasion context</w:t>
      </w:r>
      <w:r w:rsidR="000A4192" w:rsidRPr="00E97D17">
        <w:t xml:space="preserve"> where dishonesty is used as a positive element of the offence, forming the key determinant of both its nature and definition.</w:t>
      </w:r>
      <w:r w:rsidR="000A4192" w:rsidRPr="00E97D17">
        <w:rPr>
          <w:rStyle w:val="FootnoteReference"/>
        </w:rPr>
        <w:footnoteReference w:id="101"/>
      </w:r>
      <w:r w:rsidR="00C621C0">
        <w:t xml:space="preserve"> O</w:t>
      </w:r>
      <w:r w:rsidR="002832D7" w:rsidRPr="00766CD5">
        <w:t xml:space="preserve">rmerod persuasively argues the failure to define dishonesty </w:t>
      </w:r>
      <w:r w:rsidR="00C621C0">
        <w:t>is</w:t>
      </w:r>
      <w:r w:rsidR="002832D7" w:rsidRPr="00766CD5">
        <w:t xml:space="preserve"> exacerbated in ‘</w:t>
      </w:r>
      <w:proofErr w:type="spellStart"/>
      <w:r w:rsidR="002832D7" w:rsidRPr="00766CD5">
        <w:t>specialised</w:t>
      </w:r>
      <w:proofErr w:type="spellEnd"/>
      <w:r w:rsidR="002832D7" w:rsidRPr="00766CD5">
        <w:t xml:space="preserve"> cases’, where juries, in the absence of relevant experience, fail to understand or appreciate the context in which the conduct is undertaken, preventing them from accurately determining the defendant’s honesty.</w:t>
      </w:r>
      <w:r w:rsidR="002832D7" w:rsidRPr="00766CD5">
        <w:rPr>
          <w:rStyle w:val="FootnoteReference"/>
        </w:rPr>
        <w:footnoteReference w:id="102"/>
      </w:r>
      <w:r w:rsidR="002832D7" w:rsidRPr="00766CD5">
        <w:t xml:space="preserve"> Tax evasion is an example of such a </w:t>
      </w:r>
      <w:proofErr w:type="spellStart"/>
      <w:r w:rsidR="002832D7" w:rsidRPr="00766CD5">
        <w:t>specialised</w:t>
      </w:r>
      <w:proofErr w:type="spellEnd"/>
      <w:r w:rsidR="002832D7" w:rsidRPr="00766CD5">
        <w:t xml:space="preserve"> case, as it often involves com</w:t>
      </w:r>
      <w:r w:rsidR="00DD0DBC">
        <w:t>ple</w:t>
      </w:r>
      <w:r w:rsidR="002832D7" w:rsidRPr="00766CD5">
        <w:t xml:space="preserve">x and contrived tax arrangements, which are </w:t>
      </w:r>
      <w:r w:rsidR="0007227A">
        <w:t>unfamiliar</w:t>
      </w:r>
      <w:r w:rsidR="0007227A" w:rsidRPr="00766CD5">
        <w:t xml:space="preserve"> </w:t>
      </w:r>
      <w:r w:rsidR="002832D7" w:rsidRPr="00766CD5">
        <w:t xml:space="preserve">to many </w:t>
      </w:r>
      <w:r w:rsidR="002832D7" w:rsidRPr="00766CD5">
        <w:lastRenderedPageBreak/>
        <w:t>jurors.</w:t>
      </w:r>
      <w:r w:rsidR="002832D7" w:rsidRPr="00766CD5">
        <w:rPr>
          <w:rStyle w:val="FootnoteReference"/>
        </w:rPr>
        <w:footnoteReference w:id="103"/>
      </w:r>
      <w:r w:rsidR="002832D7" w:rsidRPr="00766CD5">
        <w:t xml:space="preserve"> Many will be unable to determine whether a defendant is to be regarded as dishonest using their own standards, let alone the abstract standards of ‘ordinary decent people’. Moreover, the jury is prohibited from hearing any evidence pertaining to the meaning of dishonesty in particular contexts,</w:t>
      </w:r>
      <w:r w:rsidR="002832D7" w:rsidRPr="00766CD5">
        <w:rPr>
          <w:rStyle w:val="FootnoteReference"/>
        </w:rPr>
        <w:footnoteReference w:id="104"/>
      </w:r>
      <w:r w:rsidR="002832D7" w:rsidRPr="00766CD5">
        <w:t xml:space="preserve"> including evidence of common market practice,</w:t>
      </w:r>
      <w:r w:rsidR="002832D7" w:rsidRPr="00766CD5">
        <w:rPr>
          <w:rStyle w:val="FootnoteReference"/>
        </w:rPr>
        <w:footnoteReference w:id="105"/>
      </w:r>
      <w:r w:rsidR="002832D7" w:rsidRPr="00766CD5">
        <w:t xml:space="preserve"> and regulatory attitudes to the conduct in question.</w:t>
      </w:r>
      <w:r w:rsidR="002832D7" w:rsidRPr="00766CD5">
        <w:rPr>
          <w:rStyle w:val="FootnoteReference"/>
        </w:rPr>
        <w:footnoteReference w:id="106"/>
      </w:r>
      <w:r w:rsidR="002832D7" w:rsidRPr="00766CD5">
        <w:t xml:space="preserve"> These concerns are further exacerbated when tax has been evaded through the concealment of income, assets or activities offshore; as well as being complicated and unfamiliar to most jurors, the activities involved will be hidden, inhibiting the </w:t>
      </w:r>
      <w:r w:rsidR="00130C4B">
        <w:t>collection of evidence</w:t>
      </w:r>
      <w:r w:rsidR="002832D7" w:rsidRPr="00766CD5">
        <w:t>.</w:t>
      </w:r>
      <w:r w:rsidR="002832D7" w:rsidRPr="00766CD5">
        <w:rPr>
          <w:rStyle w:val="FootnoteReference"/>
        </w:rPr>
        <w:footnoteReference w:id="107"/>
      </w:r>
      <w:r w:rsidR="002832D7">
        <w:t xml:space="preserve"> </w:t>
      </w:r>
    </w:p>
    <w:p w14:paraId="66C65DE6" w14:textId="1C12F679" w:rsidR="00C621C0" w:rsidRPr="0065295A" w:rsidRDefault="00C621C0" w:rsidP="00A0406D">
      <w:r>
        <w:t xml:space="preserve">Accordingly, </w:t>
      </w:r>
      <w:r w:rsidR="003D1507">
        <w:t xml:space="preserve">the role of </w:t>
      </w:r>
      <w:r>
        <w:t>d</w:t>
      </w:r>
      <w:r w:rsidRPr="00766CD5">
        <w:t>ishonesty</w:t>
      </w:r>
      <w:r w:rsidR="00115EDE">
        <w:t xml:space="preserve"> within these offences</w:t>
      </w:r>
      <w:r w:rsidRPr="00766CD5">
        <w:t xml:space="preserve"> creates a lack of certainty for individuals, who should be able to foresee in advance the legal consequence of a certain course of action, as well as for prosecutors, who must decide whether to charge a defendant according to the prosecution’s prospects of success.</w:t>
      </w:r>
      <w:bookmarkStart w:id="10" w:name="_Ref112239995"/>
      <w:r w:rsidRPr="00766CD5">
        <w:rPr>
          <w:rStyle w:val="FootnoteReference"/>
        </w:rPr>
        <w:footnoteReference w:id="108"/>
      </w:r>
      <w:bookmarkEnd w:id="10"/>
      <w:r w:rsidRPr="00766CD5">
        <w:t xml:space="preserve"> </w:t>
      </w:r>
      <w:r w:rsidR="00DA2FB2">
        <w:t>Additionally</w:t>
      </w:r>
      <w:r w:rsidRPr="00766CD5">
        <w:t xml:space="preserve">, the test is likely to hinder prosecutions for </w:t>
      </w:r>
      <w:r w:rsidR="00AB6399">
        <w:t>tax evasion</w:t>
      </w:r>
      <w:r w:rsidRPr="00766CD5">
        <w:t>, as a</w:t>
      </w:r>
      <w:r w:rsidR="008C0301">
        <w:t xml:space="preserve"> tax</w:t>
      </w:r>
      <w:r w:rsidRPr="00766CD5">
        <w:t xml:space="preserve"> authority with discretion to select appropriate response to criminality is likely to be cautious, imposing cost-effective civil penalties, rather than a costly and uncertain prosecution, in all </w:t>
      </w:r>
      <w:r w:rsidR="00405A8E">
        <w:t xml:space="preserve">save </w:t>
      </w:r>
      <w:r w:rsidR="002A37B3">
        <w:t xml:space="preserve">for </w:t>
      </w:r>
      <w:r w:rsidR="00405A8E">
        <w:t>the most</w:t>
      </w:r>
      <w:r w:rsidR="000631BF" w:rsidRPr="00766CD5">
        <w:t xml:space="preserve"> </w:t>
      </w:r>
      <w:r w:rsidRPr="00766CD5">
        <w:t>straightforward cases.</w:t>
      </w:r>
      <w:r w:rsidRPr="00766CD5">
        <w:rPr>
          <w:rStyle w:val="FootnoteReference"/>
        </w:rPr>
        <w:footnoteReference w:id="109"/>
      </w:r>
      <w:r w:rsidRPr="00766CD5">
        <w:t xml:space="preserve"> </w:t>
      </w:r>
      <w:r w:rsidRPr="0065295A">
        <w:t>This was demonstrated following the introduction of prosecutorial targets</w:t>
      </w:r>
      <w:r w:rsidR="000779E2" w:rsidRPr="0065295A">
        <w:t xml:space="preserve"> in 2010, which led HMRC to ‘focus on less complex cases’</w:t>
      </w:r>
      <w:r w:rsidR="000631BF">
        <w:t>,</w:t>
      </w:r>
      <w:r w:rsidR="000779E2" w:rsidRPr="0065295A">
        <w:t xml:space="preserve"> particularly ‘lower-value cases’, with prosecutions being </w:t>
      </w:r>
      <w:r w:rsidR="000779E2" w:rsidRPr="0065295A">
        <w:lastRenderedPageBreak/>
        <w:t>undertaken for</w:t>
      </w:r>
      <w:r w:rsidR="0065295A">
        <w:t xml:space="preserve"> tax</w:t>
      </w:r>
      <w:r w:rsidR="000779E2" w:rsidRPr="0065295A">
        <w:t xml:space="preserve"> losses as small as £250.</w:t>
      </w:r>
      <w:r w:rsidRPr="0065295A">
        <w:rPr>
          <w:rStyle w:val="FootnoteReference"/>
        </w:rPr>
        <w:footnoteReference w:id="110"/>
      </w:r>
      <w:r w:rsidRPr="0065295A">
        <w:t xml:space="preserve"> </w:t>
      </w:r>
      <w:r w:rsidR="000779E2" w:rsidRPr="0065295A">
        <w:t>The difficulties inherent in the dishonesty test are also</w:t>
      </w:r>
      <w:r w:rsidRPr="0065295A">
        <w:t xml:space="preserve"> at least implicitly </w:t>
      </w:r>
      <w:proofErr w:type="spellStart"/>
      <w:r w:rsidRPr="0065295A">
        <w:t>recognised</w:t>
      </w:r>
      <w:proofErr w:type="spellEnd"/>
      <w:r w:rsidRPr="0065295A">
        <w:t xml:space="preserve"> by the introduction of a strict liability</w:t>
      </w:r>
      <w:r w:rsidR="002A7ED7" w:rsidRPr="0065295A">
        <w:t xml:space="preserve"> offshore tax evasion</w:t>
      </w:r>
      <w:r w:rsidRPr="0065295A">
        <w:t xml:space="preserve"> offence.</w:t>
      </w:r>
      <w:r w:rsidRPr="0065295A">
        <w:rPr>
          <w:vertAlign w:val="superscript"/>
        </w:rPr>
        <w:footnoteReference w:id="111"/>
      </w:r>
      <w:r w:rsidR="00130C4B" w:rsidRPr="0065295A">
        <w:t xml:space="preserve"> </w:t>
      </w:r>
    </w:p>
    <w:p w14:paraId="107B43DA" w14:textId="323DFCFE" w:rsidR="001A0F74" w:rsidRDefault="000B7BF8" w:rsidP="008A70D2">
      <w:pPr>
        <w:rPr>
          <w:b/>
        </w:rPr>
      </w:pPr>
      <w:r>
        <w:t>T</w:t>
      </w:r>
      <w:r w:rsidRPr="00766CD5">
        <w:t xml:space="preserve">he failure to </w:t>
      </w:r>
      <w:r>
        <w:t xml:space="preserve">clearly </w:t>
      </w:r>
      <w:r w:rsidRPr="00766CD5">
        <w:t>define dishonesty</w:t>
      </w:r>
      <w:r>
        <w:t xml:space="preserve"> and</w:t>
      </w:r>
      <w:r w:rsidRPr="00766CD5">
        <w:t xml:space="preserve"> to propound a suitable test for its determination has</w:t>
      </w:r>
      <w:r>
        <w:t xml:space="preserve"> thus</w:t>
      </w:r>
      <w:r w:rsidRPr="00766CD5">
        <w:t xml:space="preserve"> had a detrimental impact on prosecutions for tax evasion offences</w:t>
      </w:r>
      <w:r>
        <w:t xml:space="preserve">. </w:t>
      </w:r>
      <w:r w:rsidR="000779E2">
        <w:t>Nevertheless</w:t>
      </w:r>
      <w:r w:rsidR="00C621C0" w:rsidRPr="00766CD5">
        <w:t xml:space="preserve">, dishonesty fulfils an important role in the delineation of tax offences, by excluding conduct from the scope of the offence, which is either not morally blameworthy, or insufficiently blameworthy for the purposes of </w:t>
      </w:r>
      <w:proofErr w:type="spellStart"/>
      <w:r w:rsidR="00C621C0" w:rsidRPr="00766CD5">
        <w:t>criminalisation</w:t>
      </w:r>
      <w:proofErr w:type="spellEnd"/>
      <w:r w:rsidR="00C621C0" w:rsidRPr="00766CD5">
        <w:t>, as well as activities the defendant genuinely believes he has a right to lawfully undertake.</w:t>
      </w:r>
      <w:r w:rsidR="00C621C0" w:rsidRPr="00766CD5">
        <w:rPr>
          <w:rStyle w:val="FootnoteReference"/>
        </w:rPr>
        <w:footnoteReference w:id="112"/>
      </w:r>
      <w:r w:rsidR="00C621C0" w:rsidRPr="00766CD5">
        <w:t xml:space="preserve"> In this respect, the test </w:t>
      </w:r>
      <w:r w:rsidR="00C74C3E">
        <w:t xml:space="preserve">arguably </w:t>
      </w:r>
      <w:r w:rsidR="00C621C0" w:rsidRPr="00766CD5">
        <w:t>implements justice over consistency.</w:t>
      </w:r>
      <w:r w:rsidR="00C621C0" w:rsidRPr="00766CD5">
        <w:rPr>
          <w:rStyle w:val="FootnoteReference"/>
        </w:rPr>
        <w:footnoteReference w:id="113"/>
      </w:r>
      <w:r w:rsidR="00C621C0" w:rsidRPr="00766CD5">
        <w:t xml:space="preserve"> This is particularly important in a tax evasion context where the sheer breadth of the offences means that dishonesty is the only element that distinguishes a failed tax avoidance scheme, or even a simple mistake, from a serious criminal offence.</w:t>
      </w:r>
      <w:r w:rsidR="00C621C0" w:rsidRPr="00766CD5">
        <w:rPr>
          <w:vertAlign w:val="superscript"/>
        </w:rPr>
        <w:footnoteReference w:id="114"/>
      </w:r>
      <w:r w:rsidR="00C621C0" w:rsidRPr="00766CD5">
        <w:t xml:space="preserve"> It is of vital importance to the Rule of Law that such distinctions are made, for those who attempt to act within the boundaries of the law should be treated differently from those who do not.</w:t>
      </w:r>
      <w:r w:rsidR="00C621C0" w:rsidRPr="00766CD5">
        <w:rPr>
          <w:rStyle w:val="FootnoteReference"/>
        </w:rPr>
        <w:footnoteReference w:id="115"/>
      </w:r>
      <w:r w:rsidR="00C621C0" w:rsidRPr="00766CD5">
        <w:t xml:space="preserve"> In </w:t>
      </w:r>
      <w:r w:rsidR="00130C4B">
        <w:t xml:space="preserve">this respect, </w:t>
      </w:r>
      <w:r w:rsidR="00C621C0" w:rsidRPr="00766CD5">
        <w:t xml:space="preserve">the dishonesty criterion more accurately captures the meaning attributed to tax evasion, as it permits an examination of the accused’s motive, or, his knowledge, intentions </w:t>
      </w:r>
      <w:r w:rsidR="00C621C0" w:rsidRPr="00766CD5">
        <w:lastRenderedPageBreak/>
        <w:t>and beliefs</w:t>
      </w:r>
      <w:r w:rsidR="000779E2">
        <w:t>.</w:t>
      </w:r>
      <w:r w:rsidR="00C621C0" w:rsidRPr="00766CD5">
        <w:rPr>
          <w:rStyle w:val="FootnoteReference"/>
        </w:rPr>
        <w:footnoteReference w:id="116"/>
      </w:r>
      <w:r w:rsidR="00C621C0" w:rsidRPr="00766CD5">
        <w:t xml:space="preserve"> This is essential, as it is these aspects of the accused’s state of mind which are pivotal in transforming a simple failure to notify, or a failure to correctly declare a tax liability, into an act or omission warranting a criminal response. </w:t>
      </w:r>
      <w:r w:rsidR="00130C4B">
        <w:t>Accordingly,</w:t>
      </w:r>
      <w:r w:rsidR="00C621C0" w:rsidRPr="00766CD5">
        <w:t xml:space="preserve"> dishonesty </w:t>
      </w:r>
      <w:r w:rsidR="00130C4B">
        <w:t xml:space="preserve">may </w:t>
      </w:r>
      <w:r w:rsidR="002A7ED7">
        <w:t xml:space="preserve">be the most appropriate form of </w:t>
      </w:r>
      <w:proofErr w:type="spellStart"/>
      <w:r w:rsidR="002A7ED7" w:rsidRPr="00643E71">
        <w:t>mens</w:t>
      </w:r>
      <w:proofErr w:type="spellEnd"/>
      <w:r w:rsidR="002A7ED7" w:rsidRPr="00643E71">
        <w:t xml:space="preserve"> rea</w:t>
      </w:r>
      <w:r w:rsidR="002A7ED7">
        <w:rPr>
          <w:i/>
        </w:rPr>
        <w:t xml:space="preserve"> </w:t>
      </w:r>
      <w:r w:rsidR="002A7ED7">
        <w:t xml:space="preserve">for </w:t>
      </w:r>
      <w:r w:rsidR="000779E2">
        <w:t xml:space="preserve">UK </w:t>
      </w:r>
      <w:r w:rsidR="002A7ED7">
        <w:t>tax evasion offences</w:t>
      </w:r>
      <w:r w:rsidR="00617936">
        <w:t xml:space="preserve"> and its application should not be avoided through the enactment of strict liability offences</w:t>
      </w:r>
      <w:r w:rsidR="002A7ED7">
        <w:t xml:space="preserve">. However, </w:t>
      </w:r>
      <w:r w:rsidR="000779E2">
        <w:t xml:space="preserve">the preceding analysis demonstrates that if dishonesty is to be retained, it should be defined </w:t>
      </w:r>
      <w:r w:rsidR="0007227A">
        <w:t xml:space="preserve">subjectively </w:t>
      </w:r>
      <w:r w:rsidR="000779E2">
        <w:t>for the purposes of tax offences</w:t>
      </w:r>
      <w:r w:rsidR="0007227A">
        <w:t>, as formerly required by</w:t>
      </w:r>
      <w:r w:rsidR="00617936">
        <w:t xml:space="preserve"> the </w:t>
      </w:r>
      <w:r w:rsidR="00617936" w:rsidRPr="00C97193">
        <w:rPr>
          <w:i/>
        </w:rPr>
        <w:t>Ghosh</w:t>
      </w:r>
      <w:r w:rsidR="00617936">
        <w:rPr>
          <w:i/>
        </w:rPr>
        <w:t xml:space="preserve"> </w:t>
      </w:r>
      <w:r w:rsidR="00617936">
        <w:t xml:space="preserve">test. </w:t>
      </w:r>
      <w:r w:rsidR="000779E2">
        <w:t xml:space="preserve">This argument is also supported by </w:t>
      </w:r>
      <w:proofErr w:type="spellStart"/>
      <w:r w:rsidR="000779E2">
        <w:t>analysing</w:t>
      </w:r>
      <w:proofErr w:type="spellEnd"/>
      <w:r w:rsidR="000779E2">
        <w:t xml:space="preserve"> the scope and operation of US tax evasion offences, including the</w:t>
      </w:r>
      <w:r w:rsidR="0065295A">
        <w:t xml:space="preserve"> positive</w:t>
      </w:r>
      <w:r w:rsidR="000779E2">
        <w:t xml:space="preserve"> impact of clearly defining the </w:t>
      </w:r>
      <w:proofErr w:type="spellStart"/>
      <w:r w:rsidR="000779E2" w:rsidRPr="00643E71">
        <w:t>mens</w:t>
      </w:r>
      <w:proofErr w:type="spellEnd"/>
      <w:r w:rsidR="000779E2" w:rsidRPr="00643E71">
        <w:t xml:space="preserve"> rea</w:t>
      </w:r>
      <w:r w:rsidR="000779E2">
        <w:rPr>
          <w:i/>
        </w:rPr>
        <w:t xml:space="preserve"> </w:t>
      </w:r>
      <w:r w:rsidR="000779E2">
        <w:t xml:space="preserve">element of </w:t>
      </w:r>
      <w:proofErr w:type="spellStart"/>
      <w:r w:rsidR="000779E2">
        <w:t>wilfulness</w:t>
      </w:r>
      <w:proofErr w:type="spellEnd"/>
      <w:r w:rsidR="00C74C3E">
        <w:t xml:space="preserve">. </w:t>
      </w:r>
    </w:p>
    <w:p w14:paraId="294B64AC" w14:textId="3FC8366A" w:rsidR="009249DC" w:rsidRPr="00B40DC5" w:rsidRDefault="00A80C53" w:rsidP="00A0406D">
      <w:pPr>
        <w:pStyle w:val="Heading1"/>
      </w:pPr>
      <w:r>
        <w:t>2</w:t>
      </w:r>
      <w:r w:rsidR="00B40DC5" w:rsidRPr="00B40DC5">
        <w:t xml:space="preserve">. </w:t>
      </w:r>
      <w:r w:rsidR="009249DC" w:rsidRPr="00B40DC5">
        <w:t xml:space="preserve">United States – Tax Evasion Offences </w:t>
      </w:r>
    </w:p>
    <w:p w14:paraId="506D2C7F" w14:textId="1F550C14" w:rsidR="00AC79D3" w:rsidRDefault="00482C8D" w:rsidP="00C72451">
      <w:r>
        <w:t>The US is a</w:t>
      </w:r>
      <w:r w:rsidRPr="00482C8D">
        <w:t xml:space="preserve"> country the UK often looks to for inspiration regarding optimal law and enforcement practice</w:t>
      </w:r>
      <w:r>
        <w:t xml:space="preserve">, especially </w:t>
      </w:r>
      <w:r w:rsidR="005676B7">
        <w:t xml:space="preserve">for the purposes of combatting </w:t>
      </w:r>
      <w:r>
        <w:t>financial crime</w:t>
      </w:r>
      <w:r w:rsidRPr="00482C8D">
        <w:t>.</w:t>
      </w:r>
      <w:r w:rsidR="009D381D" w:rsidRPr="00E97D17">
        <w:rPr>
          <w:rStyle w:val="FootnoteReference"/>
        </w:rPr>
        <w:footnoteReference w:id="117"/>
      </w:r>
      <w:r w:rsidR="005676B7">
        <w:t xml:space="preserve"> This section argues that the UK could gain significant insights from the </w:t>
      </w:r>
      <w:r w:rsidR="00833834">
        <w:t xml:space="preserve">logical </w:t>
      </w:r>
      <w:r w:rsidR="005676B7">
        <w:t>US framework of tax evasion offences. This is because, i</w:t>
      </w:r>
      <w:r w:rsidR="00AC79D3">
        <w:t xml:space="preserve">n contrast to the UK, </w:t>
      </w:r>
      <w:r w:rsidR="009D381D" w:rsidRPr="00E97D17">
        <w:t xml:space="preserve">US tax evasion offences </w:t>
      </w:r>
      <w:proofErr w:type="spellStart"/>
      <w:r w:rsidR="009D381D" w:rsidRPr="00E97D17">
        <w:t>centre</w:t>
      </w:r>
      <w:proofErr w:type="spellEnd"/>
      <w:r w:rsidR="009D381D" w:rsidRPr="00E97D17">
        <w:t xml:space="preserve"> on the underlying conduct giving rise to the offence, as opposed to the type of tax involved. In this respect, the US has been able to enact a ‘complete criminal code’</w:t>
      </w:r>
      <w:r w:rsidR="00547298">
        <w:t xml:space="preserve"> of tax offences</w:t>
      </w:r>
      <w:r w:rsidR="009D381D" w:rsidRPr="00E97D17">
        <w:t xml:space="preserve">, obviating the need to rely on other general white-collar offences, and enabling different labels and sanctions </w:t>
      </w:r>
      <w:r w:rsidR="009D381D" w:rsidRPr="00E97D17">
        <w:lastRenderedPageBreak/>
        <w:t>to be attached to different categories of offending.</w:t>
      </w:r>
      <w:bookmarkStart w:id="11" w:name="_Ref112240038"/>
      <w:r w:rsidR="009D381D" w:rsidRPr="00E97D17">
        <w:rPr>
          <w:rStyle w:val="FootnoteReference"/>
        </w:rPr>
        <w:footnoteReference w:id="118"/>
      </w:r>
      <w:bookmarkEnd w:id="11"/>
      <w:r w:rsidR="009D381D" w:rsidRPr="00E97D17">
        <w:t xml:space="preserve"> Importantly, the US clearly differentiates between culpable actions and omissions in respect of tax crimes. </w:t>
      </w:r>
    </w:p>
    <w:p w14:paraId="2F715535" w14:textId="45846263" w:rsidR="005676B7" w:rsidRPr="00766CD5" w:rsidRDefault="00306469" w:rsidP="00A0406D">
      <w:r w:rsidRPr="00E97D17">
        <w:t xml:space="preserve">The ‘capstone’ of </w:t>
      </w:r>
      <w:r w:rsidR="00AC79D3">
        <w:t>the US</w:t>
      </w:r>
      <w:r w:rsidRPr="00E97D17">
        <w:t xml:space="preserve"> criminal sanctions regime</w:t>
      </w:r>
      <w:r w:rsidRPr="00E97D17">
        <w:rPr>
          <w:rStyle w:val="FootnoteReference"/>
        </w:rPr>
        <w:footnoteReference w:id="119"/>
      </w:r>
      <w:r w:rsidRPr="00E97D17">
        <w:t xml:space="preserve"> is the felony offence under §7201 of the </w:t>
      </w:r>
      <w:r w:rsidR="008F0A33" w:rsidRPr="00E97D17">
        <w:t xml:space="preserve">Internal </w:t>
      </w:r>
      <w:r w:rsidRPr="00E97D17">
        <w:t>R</w:t>
      </w:r>
      <w:r w:rsidR="008F0A33" w:rsidRPr="00E97D17">
        <w:t xml:space="preserve">evenue </w:t>
      </w:r>
      <w:r w:rsidRPr="00E97D17">
        <w:t>C</w:t>
      </w:r>
      <w:r w:rsidR="008F0A33" w:rsidRPr="00E97D17">
        <w:t>ode (IRC)</w:t>
      </w:r>
      <w:r w:rsidRPr="00E97D17">
        <w:t xml:space="preserve"> of </w:t>
      </w:r>
      <w:proofErr w:type="spellStart"/>
      <w:r w:rsidRPr="00E97D17">
        <w:t>wilfully</w:t>
      </w:r>
      <w:proofErr w:type="spellEnd"/>
      <w:r w:rsidRPr="00E97D17">
        <w:t xml:space="preserve"> attempting in any manner to evade or defeat any tax imposed by the IRC, or the payment thereof.</w:t>
      </w:r>
      <w:r w:rsidRPr="00E97D17">
        <w:rPr>
          <w:rStyle w:val="FootnoteReference"/>
        </w:rPr>
        <w:footnoteReference w:id="120"/>
      </w:r>
      <w:r w:rsidRPr="00E97D17">
        <w:t xml:space="preserve"> </w:t>
      </w:r>
      <w:r w:rsidR="005676B7" w:rsidRPr="00766CD5">
        <w:t>The offence has been used to combat the evasion of income tax, including tax on illicit income,</w:t>
      </w:r>
      <w:r w:rsidR="005676B7" w:rsidRPr="00766CD5">
        <w:rPr>
          <w:rStyle w:val="FootnoteReference"/>
        </w:rPr>
        <w:footnoteReference w:id="121"/>
      </w:r>
      <w:r w:rsidR="005676B7" w:rsidRPr="00766CD5">
        <w:t xml:space="preserve"> but is also applicable to the evasion of </w:t>
      </w:r>
      <w:r w:rsidR="00BA0C35">
        <w:t xml:space="preserve">other taxes, such as </w:t>
      </w:r>
      <w:r w:rsidR="005676B7" w:rsidRPr="00766CD5">
        <w:t>excise, estate and gift taxes.</w:t>
      </w:r>
      <w:bookmarkStart w:id="12" w:name="_Ref112240123"/>
      <w:r w:rsidR="005676B7" w:rsidRPr="00766CD5">
        <w:rPr>
          <w:rStyle w:val="FootnoteReference"/>
        </w:rPr>
        <w:footnoteReference w:id="122"/>
      </w:r>
      <w:bookmarkEnd w:id="12"/>
      <w:r w:rsidR="005676B7" w:rsidRPr="00766CD5">
        <w:t xml:space="preserve"> The offence can be committed in two ways, namely, an attempt to evade or defeat the assessment of tax, or an attempt to evade or defeat the payment of tax.</w:t>
      </w:r>
      <w:r w:rsidR="005676B7" w:rsidRPr="00766CD5">
        <w:rPr>
          <w:rStyle w:val="FootnoteReference"/>
        </w:rPr>
        <w:footnoteReference w:id="123"/>
      </w:r>
      <w:r w:rsidR="005676B7" w:rsidRPr="00766CD5">
        <w:t xml:space="preserve"> The first form of the offence requires proof of a tax deficiency, an affirmative act constituting evasion or attempted evasion of assessment, and </w:t>
      </w:r>
      <w:proofErr w:type="spellStart"/>
      <w:r w:rsidR="005676B7" w:rsidRPr="00766CD5">
        <w:t>wilfulness</w:t>
      </w:r>
      <w:proofErr w:type="spellEnd"/>
      <w:r w:rsidR="005676B7" w:rsidRPr="00766CD5">
        <w:t>.</w:t>
      </w:r>
      <w:r w:rsidR="005676B7" w:rsidRPr="00766CD5">
        <w:rPr>
          <w:rStyle w:val="FootnoteReference"/>
        </w:rPr>
        <w:footnoteReference w:id="124"/>
      </w:r>
      <w:r w:rsidR="005676B7" w:rsidRPr="00766CD5">
        <w:t xml:space="preserve"> The second has similar elements, but does not require proof of a tax deficiency, instead requiring proof that a tax has been assessed, is due and owed by the taxpayer.</w:t>
      </w:r>
      <w:r w:rsidR="005676B7" w:rsidRPr="00766CD5">
        <w:rPr>
          <w:rStyle w:val="FootnoteReference"/>
        </w:rPr>
        <w:footnoteReference w:id="125"/>
      </w:r>
      <w:r w:rsidR="005676B7" w:rsidRPr="00766CD5">
        <w:t xml:space="preserve"> Both iterations of the offence apply to ‘any person’, expanding the application of the offence to those who are not personally responsible for the payment,</w:t>
      </w:r>
      <w:r w:rsidR="005676B7" w:rsidRPr="00766CD5">
        <w:rPr>
          <w:rStyle w:val="FootnoteReference"/>
        </w:rPr>
        <w:footnoteReference w:id="126"/>
      </w:r>
      <w:r w:rsidR="005676B7" w:rsidRPr="00766CD5">
        <w:t xml:space="preserve"> including officers and shareholders of corporations that have evaded taxation,</w:t>
      </w:r>
      <w:r w:rsidR="005676B7" w:rsidRPr="00766CD5">
        <w:rPr>
          <w:rStyle w:val="FootnoteReference"/>
        </w:rPr>
        <w:footnoteReference w:id="127"/>
      </w:r>
      <w:r w:rsidR="005676B7" w:rsidRPr="00766CD5">
        <w:t xml:space="preserve"> as well as professional facilitators, such as attorneys </w:t>
      </w:r>
      <w:r w:rsidR="005676B7" w:rsidRPr="00766CD5">
        <w:lastRenderedPageBreak/>
        <w:t>and accountants.</w:t>
      </w:r>
      <w:r w:rsidR="005676B7" w:rsidRPr="00766CD5">
        <w:rPr>
          <w:rStyle w:val="FootnoteReference"/>
        </w:rPr>
        <w:footnoteReference w:id="128"/>
      </w:r>
      <w:r w:rsidR="00DA6AA2">
        <w:t xml:space="preserve"> </w:t>
      </w:r>
      <w:r w:rsidR="00A94E0E">
        <w:t xml:space="preserve">However, </w:t>
      </w:r>
      <w:r w:rsidR="006F7598">
        <w:t xml:space="preserve">in such cases, </w:t>
      </w:r>
      <w:r w:rsidR="00A94E0E">
        <w:t>the offence of aiding and assisting tax fraud is more likely to be used,</w:t>
      </w:r>
      <w:r w:rsidR="00A94E0E">
        <w:rPr>
          <w:rStyle w:val="FootnoteReference"/>
        </w:rPr>
        <w:footnoteReference w:id="129"/>
      </w:r>
      <w:r w:rsidR="00A94E0E">
        <w:t xml:space="preserve"> as</w:t>
      </w:r>
      <w:r w:rsidR="00A94E0E" w:rsidRPr="00766CD5">
        <w:t xml:space="preserve"> it does not require proof of a tax deficiency</w:t>
      </w:r>
      <w:r w:rsidR="00A94E0E">
        <w:t>.</w:t>
      </w:r>
      <w:r w:rsidR="00A94E0E" w:rsidRPr="00766CD5">
        <w:rPr>
          <w:rStyle w:val="FootnoteReference"/>
        </w:rPr>
        <w:footnoteReference w:id="130"/>
      </w:r>
      <w:r w:rsidR="002B18A9">
        <w:t xml:space="preserve"> </w:t>
      </w:r>
    </w:p>
    <w:p w14:paraId="206DCD7F" w14:textId="3CCBFE35" w:rsidR="005676B7" w:rsidRDefault="005676B7" w:rsidP="00A0406D">
      <w:r w:rsidRPr="00766CD5">
        <w:t>For evasion of assessment cases, although the prosecution must demonstrate a tax deficiency, it is not compelled to demonstrate the exact amount of any deficiency.</w:t>
      </w:r>
      <w:bookmarkStart w:id="13" w:name="_Ref112240377"/>
      <w:r w:rsidRPr="00766CD5">
        <w:rPr>
          <w:rStyle w:val="FootnoteReference"/>
        </w:rPr>
        <w:footnoteReference w:id="131"/>
      </w:r>
      <w:bookmarkEnd w:id="13"/>
      <w:r w:rsidRPr="00766CD5">
        <w:t xml:space="preserve"> Such an </w:t>
      </w:r>
      <w:proofErr w:type="spellStart"/>
      <w:r w:rsidRPr="00766CD5">
        <w:t>endeavour</w:t>
      </w:r>
      <w:proofErr w:type="spellEnd"/>
      <w:r w:rsidRPr="00766CD5">
        <w:t xml:space="preserve"> is viewed as unnecessary in the course of imposing criminal penalties, as opposed to recovering evaded taxation.</w:t>
      </w:r>
      <w:r w:rsidRPr="00766CD5">
        <w:rPr>
          <w:rStyle w:val="FootnoteReference"/>
        </w:rPr>
        <w:footnoteReference w:id="132"/>
      </w:r>
      <w:r w:rsidRPr="00766CD5">
        <w:t xml:space="preserve"> Accordingly, both direct and indirect methods of proof can be used to demonstrate a tax deficiency.</w:t>
      </w:r>
      <w:r w:rsidRPr="00766CD5">
        <w:rPr>
          <w:rStyle w:val="FootnoteReference"/>
        </w:rPr>
        <w:footnoteReference w:id="133"/>
      </w:r>
      <w:r w:rsidRPr="00766CD5">
        <w:t xml:space="preserve"> </w:t>
      </w:r>
      <w:r w:rsidR="00585FEE" w:rsidRPr="00766CD5">
        <w:t xml:space="preserve">The direct method of proof refers to the use of specific items to </w:t>
      </w:r>
      <w:r w:rsidR="006F7598">
        <w:t>demonstrate the</w:t>
      </w:r>
      <w:r w:rsidR="00585FEE" w:rsidRPr="00766CD5">
        <w:t xml:space="preserve"> deficiency, whereas indirect methods involve the use of circumstantial evidence to demonstrate inaccurate reporting of, or a failure to report, income.</w:t>
      </w:r>
      <w:r w:rsidR="00585FEE" w:rsidRPr="00766CD5">
        <w:rPr>
          <w:rStyle w:val="FootnoteReference"/>
        </w:rPr>
        <w:footnoteReference w:id="134"/>
      </w:r>
      <w:r w:rsidR="00585FEE" w:rsidRPr="00766CD5">
        <w:t xml:space="preserve"> </w:t>
      </w:r>
      <w:r w:rsidRPr="00766CD5">
        <w:t>Although the amount need not be precisely determined, the majority of circuit courts have held that the amount of the deficiency must be ‘substantial’.</w:t>
      </w:r>
      <w:r w:rsidRPr="00766CD5">
        <w:rPr>
          <w:rStyle w:val="FootnoteReference"/>
        </w:rPr>
        <w:footnoteReference w:id="135"/>
      </w:r>
      <w:r w:rsidRPr="00766CD5">
        <w:t xml:space="preserve"> This is a ‘relative term’ that must be interpreted with regard to the context and circumstances of the case.</w:t>
      </w:r>
      <w:r w:rsidRPr="00766CD5">
        <w:rPr>
          <w:rStyle w:val="FootnoteReference"/>
        </w:rPr>
        <w:footnoteReference w:id="136"/>
      </w:r>
      <w:r w:rsidRPr="00766CD5">
        <w:t xml:space="preserve"> The statutory requirement of ‘an attempt in any manner’ requires an affirmative act to evade or defeat a tax, as opposed to an omission or ‘passive neglect’.</w:t>
      </w:r>
      <w:r w:rsidRPr="00766CD5">
        <w:rPr>
          <w:rStyle w:val="FootnoteReference"/>
        </w:rPr>
        <w:footnoteReference w:id="137"/>
      </w:r>
      <w:r w:rsidRPr="00766CD5">
        <w:t xml:space="preserve"> Indeed, it is this element of the offence that differentiates it from the misdemeanor offences contained in §7203.</w:t>
      </w:r>
      <w:r w:rsidRPr="00766CD5">
        <w:rPr>
          <w:rStyle w:val="FootnoteReference"/>
        </w:rPr>
        <w:footnoteReference w:id="138"/>
      </w:r>
      <w:r w:rsidRPr="00766CD5">
        <w:t xml:space="preserve"> As such, the simple </w:t>
      </w:r>
      <w:r w:rsidRPr="00766CD5">
        <w:lastRenderedPageBreak/>
        <w:t xml:space="preserve">failure to file a tax return does not fall within the scope of the section, that is, unless it is accompanied by an affirmative act, </w:t>
      </w:r>
      <w:r w:rsidR="001B381F">
        <w:t>including</w:t>
      </w:r>
      <w:r w:rsidRPr="00766CD5">
        <w:t xml:space="preserve"> the concealment of income or the making of a false statement to the IRS.</w:t>
      </w:r>
      <w:r w:rsidRPr="00766CD5">
        <w:rPr>
          <w:rStyle w:val="FootnoteReference"/>
        </w:rPr>
        <w:footnoteReference w:id="139"/>
      </w:r>
    </w:p>
    <w:p w14:paraId="0303A3F7" w14:textId="10D22C98" w:rsidR="006B7387" w:rsidRDefault="00306469" w:rsidP="00A0406D">
      <w:r w:rsidRPr="00E97D17">
        <w:t xml:space="preserve">In contrast, §7203 provides for four misdemeanor offences of </w:t>
      </w:r>
      <w:proofErr w:type="spellStart"/>
      <w:r w:rsidRPr="00E97D17">
        <w:t>wilfully</w:t>
      </w:r>
      <w:proofErr w:type="spellEnd"/>
      <w:r w:rsidRPr="00E97D17">
        <w:t xml:space="preserve"> failing to ‘pay any estimated tax or tax’, to ‘make a return’, ‘keep any records’, ‘or supply any information’.</w:t>
      </w:r>
      <w:r w:rsidRPr="00E97D17">
        <w:rPr>
          <w:rStyle w:val="FootnoteReference"/>
        </w:rPr>
        <w:footnoteReference w:id="140"/>
      </w:r>
      <w:r w:rsidRPr="00E97D17">
        <w:t xml:space="preserve"> </w:t>
      </w:r>
      <w:r w:rsidR="00220B47">
        <w:t>T</w:t>
      </w:r>
      <w:r w:rsidR="00833834" w:rsidRPr="00766CD5">
        <w:t>he offences should not be used when an affirmative attempt to evade can be demonstrated.</w:t>
      </w:r>
      <w:r w:rsidR="00833834" w:rsidRPr="00766CD5">
        <w:rPr>
          <w:rStyle w:val="FootnoteReference"/>
        </w:rPr>
        <w:footnoteReference w:id="141"/>
      </w:r>
      <w:r w:rsidR="00833834" w:rsidRPr="00766CD5">
        <w:t xml:space="preserve"> Failing to file a return is the most heavily </w:t>
      </w:r>
      <w:proofErr w:type="spellStart"/>
      <w:r w:rsidR="00833834" w:rsidRPr="00766CD5">
        <w:t>utilised</w:t>
      </w:r>
      <w:proofErr w:type="spellEnd"/>
      <w:r w:rsidR="00833834" w:rsidRPr="00766CD5">
        <w:t xml:space="preserve"> offence under section §7203.</w:t>
      </w:r>
      <w:r w:rsidR="00833834" w:rsidRPr="00766CD5">
        <w:rPr>
          <w:rStyle w:val="FootnoteReference"/>
        </w:rPr>
        <w:footnoteReference w:id="142"/>
      </w:r>
      <w:r w:rsidR="00833834" w:rsidRPr="00766CD5">
        <w:t xml:space="preserve"> The offence requires proof that the defendant ‘(1) was required to file a return, (2) failed to file a return, and (3) acted </w:t>
      </w:r>
      <w:proofErr w:type="spellStart"/>
      <w:r w:rsidR="00833834" w:rsidRPr="00766CD5">
        <w:t>wilfully</w:t>
      </w:r>
      <w:proofErr w:type="spellEnd"/>
      <w:r w:rsidR="00833834" w:rsidRPr="00766CD5">
        <w:t xml:space="preserve"> in failing to file.’</w:t>
      </w:r>
      <w:r w:rsidR="00833834" w:rsidRPr="00766CD5">
        <w:rPr>
          <w:rStyle w:val="FootnoteReference"/>
        </w:rPr>
        <w:footnoteReference w:id="143"/>
      </w:r>
      <w:r w:rsidR="00833834" w:rsidRPr="00766CD5">
        <w:t xml:space="preserve"> The first element is usually satisfied by demonstrating that the defendant’s taxable income exceeded the minimum amount required to file.</w:t>
      </w:r>
      <w:r w:rsidR="00833834" w:rsidRPr="00766CD5">
        <w:rPr>
          <w:rStyle w:val="FootnoteReference"/>
        </w:rPr>
        <w:footnoteReference w:id="144"/>
      </w:r>
      <w:r w:rsidR="00833834" w:rsidRPr="00766CD5">
        <w:t xml:space="preserve"> There is no need to prove a tax deficiency, although this may be helpful in determining </w:t>
      </w:r>
      <w:proofErr w:type="spellStart"/>
      <w:r w:rsidR="00833834" w:rsidRPr="00766CD5">
        <w:t>wilfullness</w:t>
      </w:r>
      <w:proofErr w:type="spellEnd"/>
      <w:r w:rsidR="00833834" w:rsidRPr="00766CD5">
        <w:t>.</w:t>
      </w:r>
      <w:r w:rsidR="00833834" w:rsidRPr="00766CD5">
        <w:rPr>
          <w:rStyle w:val="FootnoteReference"/>
        </w:rPr>
        <w:footnoteReference w:id="145"/>
      </w:r>
      <w:r w:rsidR="00833834" w:rsidRPr="00766CD5">
        <w:t xml:space="preserve"> The second element of the offence is satisfied either by a complete failure to file, or the filing of a document that contains so little information that it is incapable of being labelled a tax return.</w:t>
      </w:r>
      <w:r w:rsidR="00833834" w:rsidRPr="00766CD5">
        <w:rPr>
          <w:rStyle w:val="FootnoteReference"/>
        </w:rPr>
        <w:footnoteReference w:id="146"/>
      </w:r>
      <w:r w:rsidR="00833834" w:rsidRPr="00766CD5">
        <w:t xml:space="preserve"> The final element, </w:t>
      </w:r>
      <w:proofErr w:type="spellStart"/>
      <w:r w:rsidR="00833834" w:rsidRPr="00766CD5">
        <w:t>wilfullness</w:t>
      </w:r>
      <w:proofErr w:type="spellEnd"/>
      <w:r w:rsidR="00833834" w:rsidRPr="00766CD5">
        <w:t>, has the same meaning as for other tax evasion offences</w:t>
      </w:r>
      <w:r w:rsidR="00220B47">
        <w:t>, specifically</w:t>
      </w:r>
      <w:r w:rsidR="00220B47" w:rsidRPr="00766CD5">
        <w:t>,</w:t>
      </w:r>
      <w:r w:rsidR="00220B47">
        <w:t xml:space="preserve"> a</w:t>
      </w:r>
      <w:r w:rsidR="00220B47" w:rsidRPr="00766CD5">
        <w:t xml:space="preserve"> </w:t>
      </w:r>
      <w:r w:rsidR="00220B47">
        <w:t>‘</w:t>
      </w:r>
      <w:r w:rsidR="00A658A1">
        <w:t xml:space="preserve">voluntary </w:t>
      </w:r>
      <w:r w:rsidR="00220B47" w:rsidRPr="00766CD5">
        <w:t>intentional violation of a known legal duty</w:t>
      </w:r>
      <w:r w:rsidR="00220B47">
        <w:t>’</w:t>
      </w:r>
      <w:r w:rsidR="00833834" w:rsidRPr="00766CD5">
        <w:t>.</w:t>
      </w:r>
      <w:r w:rsidR="00833834" w:rsidRPr="00766CD5">
        <w:rPr>
          <w:rStyle w:val="FootnoteReference"/>
        </w:rPr>
        <w:footnoteReference w:id="147"/>
      </w:r>
      <w:r w:rsidR="00833834" w:rsidRPr="00766CD5">
        <w:t xml:space="preserve"> However, it is important to note that, under this form of the offence, the duty is to file a return.</w:t>
      </w:r>
      <w:r w:rsidR="00833834" w:rsidRPr="00766CD5">
        <w:rPr>
          <w:rStyle w:val="FootnoteReference"/>
        </w:rPr>
        <w:footnoteReference w:id="148"/>
      </w:r>
      <w:r w:rsidR="00833834" w:rsidRPr="00766CD5">
        <w:t xml:space="preserve"> As such, </w:t>
      </w:r>
      <w:proofErr w:type="spellStart"/>
      <w:r w:rsidR="00833834" w:rsidRPr="00766CD5">
        <w:t>wilfullness</w:t>
      </w:r>
      <w:proofErr w:type="spellEnd"/>
      <w:r w:rsidR="00833834" w:rsidRPr="00766CD5">
        <w:t xml:space="preserve"> does not require an intent to evade taxation, but rather a </w:t>
      </w:r>
      <w:r w:rsidR="00833834" w:rsidRPr="00766CD5">
        <w:lastRenderedPageBreak/>
        <w:t>‘voluntary, purposeful, deliberate, and intentional, as distinguished from accidental, inadvertent, or negligent’ failure to act.</w:t>
      </w:r>
      <w:r w:rsidR="00833834" w:rsidRPr="00766CD5">
        <w:rPr>
          <w:rStyle w:val="FootnoteReference"/>
        </w:rPr>
        <w:footnoteReference w:id="149"/>
      </w:r>
      <w:r w:rsidR="00833834" w:rsidRPr="00766CD5">
        <w:t xml:space="preserve"> </w:t>
      </w:r>
    </w:p>
    <w:p w14:paraId="04DA08BB" w14:textId="1BCAE6CC" w:rsidR="002119A1" w:rsidRPr="000227BC" w:rsidRDefault="00306469" w:rsidP="00A0406D">
      <w:r w:rsidRPr="00E97D17">
        <w:t xml:space="preserve">Other </w:t>
      </w:r>
      <w:r w:rsidR="00644328" w:rsidRPr="00E97D17">
        <w:t xml:space="preserve">US </w:t>
      </w:r>
      <w:r w:rsidRPr="00E97D17">
        <w:t xml:space="preserve">offences </w:t>
      </w:r>
      <w:proofErr w:type="spellStart"/>
      <w:r w:rsidRPr="00E97D17">
        <w:t>criminalise</w:t>
      </w:r>
      <w:proofErr w:type="spellEnd"/>
      <w:r w:rsidRPr="00E97D17">
        <w:t xml:space="preserve"> tax perjury,</w:t>
      </w:r>
      <w:r w:rsidRPr="00E97D17">
        <w:rPr>
          <w:rStyle w:val="FootnoteReference"/>
        </w:rPr>
        <w:footnoteReference w:id="150"/>
      </w:r>
      <w:r w:rsidRPr="00E97D17">
        <w:t xml:space="preserve"> aiding and assisting tax fraud,</w:t>
      </w:r>
      <w:r w:rsidRPr="00E97D17">
        <w:rPr>
          <w:rStyle w:val="FootnoteReference"/>
        </w:rPr>
        <w:footnoteReference w:id="151"/>
      </w:r>
      <w:r w:rsidR="00644328" w:rsidRPr="00E97D17">
        <w:t xml:space="preserve"> attempting to interfere with the administration of Internal Revenue Laws,</w:t>
      </w:r>
      <w:r w:rsidR="00644328" w:rsidRPr="00E97D17">
        <w:rPr>
          <w:rStyle w:val="FootnoteReference"/>
        </w:rPr>
        <w:footnoteReference w:id="152"/>
      </w:r>
      <w:r w:rsidR="00644328" w:rsidRPr="00E97D17">
        <w:t xml:space="preserve"> delivering or disclosing fraudulent returns, statements, or other documents,</w:t>
      </w:r>
      <w:r w:rsidR="00644328" w:rsidRPr="00E97D17">
        <w:rPr>
          <w:rStyle w:val="FootnoteReference"/>
        </w:rPr>
        <w:footnoteReference w:id="153"/>
      </w:r>
      <w:r w:rsidR="00644328" w:rsidRPr="00E97D17">
        <w:t xml:space="preserve"> and unlawfully recovering property following its lawful seizure by </w:t>
      </w:r>
      <w:r w:rsidR="00644328" w:rsidRPr="000227BC">
        <w:t>the IRS.</w:t>
      </w:r>
      <w:r w:rsidR="00644328" w:rsidRPr="000227BC">
        <w:rPr>
          <w:rStyle w:val="FootnoteReference"/>
        </w:rPr>
        <w:footnoteReference w:id="154"/>
      </w:r>
      <w:r w:rsidR="00845A63" w:rsidRPr="000227BC">
        <w:t xml:space="preserve"> </w:t>
      </w:r>
      <w:r w:rsidR="00DA2FB2">
        <w:t>Additionally</w:t>
      </w:r>
      <w:r w:rsidR="00AC79D3" w:rsidRPr="000227BC">
        <w:t>, general offences, such as conspiracy,</w:t>
      </w:r>
      <w:r w:rsidR="00AC79D3" w:rsidRPr="000227BC">
        <w:rPr>
          <w:rStyle w:val="FootnoteReference"/>
        </w:rPr>
        <w:footnoteReference w:id="155"/>
      </w:r>
      <w:r w:rsidR="00AC79D3" w:rsidRPr="000227BC">
        <w:t xml:space="preserve"> mail and wire fraud,</w:t>
      </w:r>
      <w:r w:rsidR="00AC79D3" w:rsidRPr="000227BC">
        <w:rPr>
          <w:rStyle w:val="FootnoteReference"/>
        </w:rPr>
        <w:footnoteReference w:id="156"/>
      </w:r>
      <w:r w:rsidR="00AC79D3" w:rsidRPr="000227BC">
        <w:t xml:space="preserve"> may be used to address tax evasion</w:t>
      </w:r>
      <w:r w:rsidR="00C74C3E">
        <w:t>. However</w:t>
      </w:r>
      <w:r w:rsidR="00AC79D3" w:rsidRPr="000227BC">
        <w:t>, use of these offences is restricted by enforcement policies.</w:t>
      </w:r>
      <w:r w:rsidR="000227BC" w:rsidRPr="000227BC">
        <w:t xml:space="preserve"> Such charges will only be brought when there is a ‘large fraud loss or a substantial pattern of conduct and there is a significant benefit to bringing the charges instead of or in addition to Title 26 violations.’</w:t>
      </w:r>
      <w:r w:rsidR="00AC79D3" w:rsidRPr="000227BC">
        <w:rPr>
          <w:rStyle w:val="FootnoteReference"/>
        </w:rPr>
        <w:footnoteReference w:id="157"/>
      </w:r>
      <w:r w:rsidR="002B18A9">
        <w:t xml:space="preserve"> </w:t>
      </w:r>
      <w:r w:rsidR="00220B47">
        <w:t>This is in contrast to the UK, wh</w:t>
      </w:r>
      <w:r w:rsidR="008A4BAC">
        <w:t>ich has not provided official</w:t>
      </w:r>
      <w:r w:rsidR="00220B47">
        <w:t xml:space="preserve"> guidance</w:t>
      </w:r>
      <w:r w:rsidR="008A4BAC">
        <w:t>, leaving the courts to prevent over</w:t>
      </w:r>
      <w:r w:rsidR="006F7598">
        <w:t>-</w:t>
      </w:r>
      <w:proofErr w:type="spellStart"/>
      <w:r w:rsidR="008A4BAC">
        <w:t>criminalisation</w:t>
      </w:r>
      <w:proofErr w:type="spellEnd"/>
      <w:r w:rsidR="006F7598">
        <w:t>;</w:t>
      </w:r>
      <w:r w:rsidR="008A4BAC" w:rsidRPr="00766CD5">
        <w:t xml:space="preserve"> </w:t>
      </w:r>
      <w:r w:rsidR="008A4BAC">
        <w:t>I</w:t>
      </w:r>
      <w:r w:rsidR="008A4BAC" w:rsidRPr="00766CD5">
        <w:t xml:space="preserve">n </w:t>
      </w:r>
      <w:r w:rsidR="008A4BAC" w:rsidRPr="00766CD5">
        <w:rPr>
          <w:i/>
        </w:rPr>
        <w:t xml:space="preserve">R v GH, </w:t>
      </w:r>
      <w:r w:rsidR="008A4BAC" w:rsidRPr="00766CD5">
        <w:t xml:space="preserve">the </w:t>
      </w:r>
      <w:r w:rsidR="008A4BAC">
        <w:t>Supreme Court</w:t>
      </w:r>
      <w:r w:rsidR="008A4BAC" w:rsidRPr="00766CD5">
        <w:t xml:space="preserve"> held that ‘it would be bad practice for the prosecution to add additional counts of [money laundering] unless there is a proper public purpose in doing so’.</w:t>
      </w:r>
      <w:r w:rsidR="008A4BAC" w:rsidRPr="00766CD5">
        <w:rPr>
          <w:rStyle w:val="FootnoteReference"/>
        </w:rPr>
        <w:footnoteReference w:id="158"/>
      </w:r>
      <w:r w:rsidR="008A4BAC" w:rsidRPr="00766CD5">
        <w:t xml:space="preserve"> However, this is entirely at the court’s discretion</w:t>
      </w:r>
      <w:r w:rsidR="008A4BAC">
        <w:t>.</w:t>
      </w:r>
      <w:r w:rsidR="008A4BAC" w:rsidRPr="00766CD5">
        <w:rPr>
          <w:rStyle w:val="FootnoteReference"/>
        </w:rPr>
        <w:footnoteReference w:id="159"/>
      </w:r>
      <w:r w:rsidR="008A4BAC" w:rsidRPr="00766CD5">
        <w:t xml:space="preserve"> </w:t>
      </w:r>
    </w:p>
    <w:p w14:paraId="627B6E95" w14:textId="5087DB17" w:rsidR="00AC79D3" w:rsidRDefault="00687F74" w:rsidP="00A0406D">
      <w:r>
        <w:lastRenderedPageBreak/>
        <w:t xml:space="preserve">The US has not enacted a specific statutory offence pertaining to the corporate facilitators of tax crimes. This is because the US is able to attribute criminal liability to corporations through the </w:t>
      </w:r>
      <w:r w:rsidR="00E844AE">
        <w:t>‘</w:t>
      </w:r>
      <w:proofErr w:type="spellStart"/>
      <w:r w:rsidR="00DC1AA8" w:rsidRPr="00C97193">
        <w:t>R</w:t>
      </w:r>
      <w:r w:rsidRPr="00C97193">
        <w:t>espondeat</w:t>
      </w:r>
      <w:proofErr w:type="spellEnd"/>
      <w:r w:rsidRPr="00C97193">
        <w:t xml:space="preserve"> </w:t>
      </w:r>
      <w:r w:rsidR="00DC1AA8" w:rsidRPr="00C97193">
        <w:t>S</w:t>
      </w:r>
      <w:r w:rsidRPr="00C97193">
        <w:t>uperior</w:t>
      </w:r>
      <w:r w:rsidR="00E844AE">
        <w:t>’</w:t>
      </w:r>
      <w:r>
        <w:rPr>
          <w:i/>
        </w:rPr>
        <w:t xml:space="preserve"> </w:t>
      </w:r>
      <w:r w:rsidR="006065BD">
        <w:t>d</w:t>
      </w:r>
      <w:r>
        <w:t>octrine</w:t>
      </w:r>
      <w:r w:rsidR="000227BC">
        <w:t xml:space="preserve">, </w:t>
      </w:r>
      <w:r w:rsidR="002119A1" w:rsidRPr="00766CD5">
        <w:t>which attributes criminal liability to a corporation based on the acts of its employees.</w:t>
      </w:r>
      <w:r w:rsidR="002119A1" w:rsidRPr="00766CD5">
        <w:rPr>
          <w:rStyle w:val="FootnoteReference"/>
        </w:rPr>
        <w:footnoteReference w:id="160"/>
      </w:r>
      <w:r w:rsidR="002119A1" w:rsidRPr="00766CD5">
        <w:t xml:space="preserve"> As such, the </w:t>
      </w:r>
      <w:proofErr w:type="spellStart"/>
      <w:r w:rsidR="00DC1AA8" w:rsidRPr="00C97193">
        <w:t>R</w:t>
      </w:r>
      <w:r w:rsidR="002119A1" w:rsidRPr="00C97193">
        <w:t>espondeat</w:t>
      </w:r>
      <w:proofErr w:type="spellEnd"/>
      <w:r w:rsidR="002119A1" w:rsidRPr="00C97193">
        <w:t xml:space="preserve"> </w:t>
      </w:r>
      <w:r w:rsidR="00DC1AA8" w:rsidRPr="00C97193">
        <w:t>S</w:t>
      </w:r>
      <w:r w:rsidR="002119A1" w:rsidRPr="00C97193">
        <w:t>uperior</w:t>
      </w:r>
      <w:r w:rsidR="002119A1" w:rsidRPr="00766CD5">
        <w:t xml:space="preserve"> </w:t>
      </w:r>
      <w:r w:rsidR="006065BD">
        <w:t>d</w:t>
      </w:r>
      <w:r w:rsidR="002119A1" w:rsidRPr="00766CD5">
        <w:t xml:space="preserve">octrine provides for a much wider basis of corporate criminal liability than the </w:t>
      </w:r>
      <w:r w:rsidR="006065BD">
        <w:t>I</w:t>
      </w:r>
      <w:r w:rsidR="002119A1" w:rsidRPr="00766CD5">
        <w:t>dentification doctrine in the UK</w:t>
      </w:r>
      <w:r w:rsidR="000227BC">
        <w:t xml:space="preserve"> and has proved far more successful in addressing the corporate facilitators of tax crimes</w:t>
      </w:r>
      <w:r w:rsidR="002119A1" w:rsidRPr="00766CD5">
        <w:t>.</w:t>
      </w:r>
      <w:r w:rsidR="002119A1" w:rsidRPr="00766CD5">
        <w:rPr>
          <w:rStyle w:val="FootnoteReference"/>
        </w:rPr>
        <w:footnoteReference w:id="161"/>
      </w:r>
      <w:r w:rsidR="002119A1" w:rsidRPr="00766CD5">
        <w:t xml:space="preserve"> </w:t>
      </w:r>
      <w:r w:rsidR="00083A33">
        <w:t>For</w:t>
      </w:r>
      <w:r w:rsidR="00EA472C">
        <w:t xml:space="preserve"> instance, t</w:t>
      </w:r>
      <w:r w:rsidR="00EA472C" w:rsidRPr="00766CD5">
        <w:t>he US has reached</w:t>
      </w:r>
      <w:r w:rsidR="00EA472C">
        <w:t xml:space="preserve"> a plethora of Deferred Prosecution Agreements and Non-Prosecution Agreements </w:t>
      </w:r>
      <w:r w:rsidR="00BA0C35">
        <w:t xml:space="preserve">(DPAs/NPAs) </w:t>
      </w:r>
      <w:r w:rsidR="00EA472C" w:rsidRPr="00766CD5">
        <w:t xml:space="preserve">with </w:t>
      </w:r>
      <w:r w:rsidR="005F3FF7">
        <w:t xml:space="preserve">numerous corporations </w:t>
      </w:r>
      <w:r w:rsidR="00EA472C" w:rsidRPr="00766CD5">
        <w:t>for their facilitation of the use of fraudulent tax shelters.</w:t>
      </w:r>
      <w:r w:rsidR="00EA472C" w:rsidRPr="00766CD5">
        <w:rPr>
          <w:rStyle w:val="FootnoteReference"/>
        </w:rPr>
        <w:footnoteReference w:id="162"/>
      </w:r>
      <w:r w:rsidR="00EA472C" w:rsidRPr="00766CD5">
        <w:t xml:space="preserve"> The US has also </w:t>
      </w:r>
      <w:r w:rsidR="00EA472C">
        <w:t>concluded a</w:t>
      </w:r>
      <w:r w:rsidR="00EA472C" w:rsidRPr="00766CD5">
        <w:t xml:space="preserve"> significant number of DPAs/NPAs with foreign banks for their facilitation of tax evasion by US citizens through offshore accounts.</w:t>
      </w:r>
      <w:r w:rsidR="00EA472C" w:rsidRPr="00766CD5">
        <w:rPr>
          <w:rStyle w:val="FootnoteReference"/>
        </w:rPr>
        <w:footnoteReference w:id="163"/>
      </w:r>
      <w:r w:rsidR="00EA472C" w:rsidRPr="00766CD5">
        <w:t xml:space="preserve"> </w:t>
      </w:r>
      <w:r w:rsidR="00EA472C">
        <w:t>For instance</w:t>
      </w:r>
      <w:r w:rsidR="00D31093">
        <w:t>,</w:t>
      </w:r>
      <w:r w:rsidR="00EA472C">
        <w:t xml:space="preserve"> </w:t>
      </w:r>
      <w:r w:rsidR="00EA472C" w:rsidRPr="00766CD5">
        <w:t xml:space="preserve">the US reached NPAs with 80 </w:t>
      </w:r>
      <w:r w:rsidR="00BA0C35">
        <w:t xml:space="preserve">Swiss </w:t>
      </w:r>
      <w:r w:rsidR="00EA472C" w:rsidRPr="00766CD5">
        <w:t>banks</w:t>
      </w:r>
      <w:r w:rsidR="00EA472C">
        <w:t xml:space="preserve"> through the Swiss Bank Program,</w:t>
      </w:r>
      <w:r w:rsidR="00EA472C" w:rsidRPr="00766CD5">
        <w:t xml:space="preserve"> </w:t>
      </w:r>
      <w:r w:rsidR="00EA472C">
        <w:t>imposing</w:t>
      </w:r>
      <w:r w:rsidR="00EA472C" w:rsidRPr="00766CD5">
        <w:t xml:space="preserve"> over $1.36billion in penalties</w:t>
      </w:r>
      <w:r w:rsidR="00EA472C">
        <w:t xml:space="preserve"> for their facilitation of tax evasion</w:t>
      </w:r>
      <w:r w:rsidR="00BA0C35">
        <w:t xml:space="preserve"> by US citizens</w:t>
      </w:r>
      <w:r w:rsidR="00EA472C" w:rsidRPr="00766CD5">
        <w:t>.</w:t>
      </w:r>
      <w:r w:rsidR="00EA472C" w:rsidRPr="00766CD5">
        <w:rPr>
          <w:rStyle w:val="FootnoteReference"/>
        </w:rPr>
        <w:footnoteReference w:id="164"/>
      </w:r>
      <w:r w:rsidR="00EA472C" w:rsidRPr="00766CD5">
        <w:t xml:space="preserve"> </w:t>
      </w:r>
    </w:p>
    <w:p w14:paraId="76270797" w14:textId="7D33B070" w:rsidR="009249DC" w:rsidRDefault="009249DC" w:rsidP="00A0406D">
      <w:pPr>
        <w:pStyle w:val="Heading2"/>
      </w:pPr>
      <w:proofErr w:type="spellStart"/>
      <w:r w:rsidRPr="0093188B">
        <w:t>Wilfulness</w:t>
      </w:r>
      <w:proofErr w:type="spellEnd"/>
    </w:p>
    <w:p w14:paraId="0A485AB7" w14:textId="621C2C3B" w:rsidR="000227BC" w:rsidRPr="00766CD5" w:rsidRDefault="00845A63" w:rsidP="003E46C5">
      <w:r w:rsidRPr="00E97D17">
        <w:lastRenderedPageBreak/>
        <w:t xml:space="preserve">Most US tax evasion offences require proof of </w:t>
      </w:r>
      <w:proofErr w:type="spellStart"/>
      <w:r w:rsidRPr="00E97D17">
        <w:t>wilfulness</w:t>
      </w:r>
      <w:proofErr w:type="spellEnd"/>
      <w:r w:rsidRPr="00E97D17">
        <w:t>.</w:t>
      </w:r>
      <w:r w:rsidRPr="00E97D17">
        <w:rPr>
          <w:rStyle w:val="FootnoteReference"/>
        </w:rPr>
        <w:footnoteReference w:id="165"/>
      </w:r>
      <w:r w:rsidRPr="00E97D17">
        <w:t xml:space="preserve"> </w:t>
      </w:r>
      <w:r w:rsidR="005676B7" w:rsidRPr="00766CD5">
        <w:t xml:space="preserve">Indeed, </w:t>
      </w:r>
      <w:proofErr w:type="spellStart"/>
      <w:r w:rsidR="005676B7" w:rsidRPr="00766CD5">
        <w:t>wilfulness</w:t>
      </w:r>
      <w:proofErr w:type="spellEnd"/>
      <w:r w:rsidR="005676B7" w:rsidRPr="00766CD5">
        <w:t xml:space="preserve"> has acted as </w:t>
      </w:r>
      <w:r w:rsidR="005676B7" w:rsidRPr="00F54669">
        <w:t xml:space="preserve">the </w:t>
      </w:r>
      <w:proofErr w:type="spellStart"/>
      <w:r w:rsidR="005676B7" w:rsidRPr="00643E71">
        <w:t>mens</w:t>
      </w:r>
      <w:proofErr w:type="spellEnd"/>
      <w:r w:rsidR="005676B7" w:rsidRPr="00643E71">
        <w:t xml:space="preserve"> rea</w:t>
      </w:r>
      <w:r w:rsidR="005676B7" w:rsidRPr="00F54669">
        <w:t xml:space="preserve"> element of US tax evasion offences since 1919.</w:t>
      </w:r>
      <w:bookmarkStart w:id="14" w:name="_Ref112240481"/>
      <w:r w:rsidR="005676B7" w:rsidRPr="00F54669">
        <w:rPr>
          <w:rStyle w:val="FootnoteReference"/>
        </w:rPr>
        <w:footnoteReference w:id="166"/>
      </w:r>
      <w:bookmarkEnd w:id="14"/>
      <w:r w:rsidR="005676B7" w:rsidRPr="00F54669">
        <w:t xml:space="preserve"> The inclusion of this form of </w:t>
      </w:r>
      <w:proofErr w:type="spellStart"/>
      <w:r w:rsidR="005676B7" w:rsidRPr="00643E71">
        <w:t>mens</w:t>
      </w:r>
      <w:proofErr w:type="spellEnd"/>
      <w:r w:rsidR="005676B7" w:rsidRPr="00643E71">
        <w:t xml:space="preserve"> rea</w:t>
      </w:r>
      <w:r w:rsidR="005676B7" w:rsidRPr="00F54669">
        <w:t xml:space="preserve"> is</w:t>
      </w:r>
      <w:r w:rsidR="005676B7" w:rsidRPr="00766CD5">
        <w:t xml:space="preserve"> intended to effect </w:t>
      </w:r>
      <w:r w:rsidR="007E5C6E">
        <w:t xml:space="preserve">the </w:t>
      </w:r>
      <w:r w:rsidR="005676B7" w:rsidRPr="00766CD5">
        <w:t>Congressional intention of constructing ‘penalties that separate the purposeful tax violator from the well-meaning, but easily confused, mass of taxpayers’.</w:t>
      </w:r>
      <w:r w:rsidR="005676B7" w:rsidRPr="00766CD5">
        <w:rPr>
          <w:rStyle w:val="FootnoteReference"/>
        </w:rPr>
        <w:footnoteReference w:id="167"/>
      </w:r>
      <w:r w:rsidR="005676B7" w:rsidRPr="00766CD5">
        <w:t xml:space="preserve"> In </w:t>
      </w:r>
      <w:r w:rsidR="005676B7" w:rsidRPr="00766CD5">
        <w:rPr>
          <w:i/>
        </w:rPr>
        <w:t>United States v Murdock</w:t>
      </w:r>
      <w:r w:rsidR="005676B7" w:rsidRPr="00766CD5">
        <w:t xml:space="preserve">, the Supreme Court held that </w:t>
      </w:r>
      <w:proofErr w:type="spellStart"/>
      <w:r w:rsidR="005676B7" w:rsidRPr="00766CD5">
        <w:t>wilfulness</w:t>
      </w:r>
      <w:proofErr w:type="spellEnd"/>
      <w:r w:rsidR="005676B7" w:rsidRPr="00766CD5">
        <w:t xml:space="preserve"> not only requires an act ‘which is intentional, or knowing, or voluntary, as distinguished from accidental’, but also</w:t>
      </w:r>
      <w:r w:rsidR="006F7598">
        <w:t>,</w:t>
      </w:r>
      <w:r w:rsidR="005676B7" w:rsidRPr="00766CD5">
        <w:t xml:space="preserve"> ‘an act done with a bad purpose’ </w:t>
      </w:r>
      <w:r w:rsidR="00E844AE">
        <w:t>or</w:t>
      </w:r>
      <w:r w:rsidR="00E844AE" w:rsidRPr="00766CD5">
        <w:t xml:space="preserve"> </w:t>
      </w:r>
      <w:r w:rsidR="005676B7" w:rsidRPr="00766CD5">
        <w:t>an ‘evil motive’.</w:t>
      </w:r>
      <w:r w:rsidR="005676B7" w:rsidRPr="00766CD5">
        <w:rPr>
          <w:rStyle w:val="FootnoteReference"/>
        </w:rPr>
        <w:footnoteReference w:id="168"/>
      </w:r>
      <w:r w:rsidR="005676B7" w:rsidRPr="00766CD5">
        <w:t xml:space="preserve"> In </w:t>
      </w:r>
      <w:r w:rsidR="005676B7" w:rsidRPr="00766CD5">
        <w:rPr>
          <w:i/>
        </w:rPr>
        <w:t>United States v Bishop</w:t>
      </w:r>
      <w:r w:rsidR="005676B7" w:rsidRPr="00766CD5">
        <w:t xml:space="preserve">, the Supreme Court explained that the term </w:t>
      </w:r>
      <w:proofErr w:type="spellStart"/>
      <w:r w:rsidR="005676B7" w:rsidRPr="00766CD5">
        <w:t>wi</w:t>
      </w:r>
      <w:r w:rsidR="000227BC">
        <w:t>l</w:t>
      </w:r>
      <w:r w:rsidR="005676B7" w:rsidRPr="00766CD5">
        <w:t>ful</w:t>
      </w:r>
      <w:r w:rsidR="000227BC">
        <w:t>l</w:t>
      </w:r>
      <w:r w:rsidR="005676B7" w:rsidRPr="00766CD5">
        <w:t>y</w:t>
      </w:r>
      <w:proofErr w:type="spellEnd"/>
      <w:r w:rsidR="005676B7" w:rsidRPr="00766CD5">
        <w:t xml:space="preserve"> should be afforded an identical interpretation for both the </w:t>
      </w:r>
      <w:proofErr w:type="spellStart"/>
      <w:r w:rsidR="005676B7" w:rsidRPr="00766CD5">
        <w:t>misdemeanour</w:t>
      </w:r>
      <w:proofErr w:type="spellEnd"/>
      <w:r w:rsidR="005676B7" w:rsidRPr="00766CD5">
        <w:t xml:space="preserve"> and felony offences, clarifying that the term </w:t>
      </w:r>
      <w:proofErr w:type="spellStart"/>
      <w:r w:rsidR="005676B7" w:rsidRPr="00766CD5">
        <w:t>wilfully</w:t>
      </w:r>
      <w:proofErr w:type="spellEnd"/>
      <w:r w:rsidR="005676B7" w:rsidRPr="00766CD5">
        <w:t xml:space="preserve"> refers to a ‘voluntary, intentional violation of a known legal duty’.</w:t>
      </w:r>
      <w:r w:rsidR="005676B7" w:rsidRPr="00766CD5">
        <w:rPr>
          <w:rStyle w:val="FootnoteReference"/>
        </w:rPr>
        <w:footnoteReference w:id="169"/>
      </w:r>
      <w:r w:rsidR="005676B7" w:rsidRPr="00766CD5">
        <w:t xml:space="preserve"> In </w:t>
      </w:r>
      <w:r w:rsidR="005676B7" w:rsidRPr="00766CD5">
        <w:rPr>
          <w:i/>
        </w:rPr>
        <w:t xml:space="preserve">United States v </w:t>
      </w:r>
      <w:proofErr w:type="spellStart"/>
      <w:r w:rsidR="005676B7" w:rsidRPr="00766CD5">
        <w:rPr>
          <w:i/>
        </w:rPr>
        <w:t>Pomponio</w:t>
      </w:r>
      <w:proofErr w:type="spellEnd"/>
      <w:r w:rsidR="005676B7" w:rsidRPr="00766CD5">
        <w:t xml:space="preserve">, the Court reiterated this definition, but declined to </w:t>
      </w:r>
      <w:proofErr w:type="spellStart"/>
      <w:r w:rsidR="005676B7" w:rsidRPr="00766CD5">
        <w:t>recognise</w:t>
      </w:r>
      <w:proofErr w:type="spellEnd"/>
      <w:r w:rsidR="005676B7" w:rsidRPr="00766CD5">
        <w:t xml:space="preserve"> improper motive as a necessary component of </w:t>
      </w:r>
      <w:proofErr w:type="spellStart"/>
      <w:r w:rsidR="005676B7" w:rsidRPr="00766CD5">
        <w:t>wilfulness</w:t>
      </w:r>
      <w:proofErr w:type="spellEnd"/>
      <w:r w:rsidR="005676B7" w:rsidRPr="00766CD5">
        <w:t>.</w:t>
      </w:r>
      <w:r w:rsidR="005676B7" w:rsidRPr="00766CD5">
        <w:rPr>
          <w:rStyle w:val="FootnoteReference"/>
        </w:rPr>
        <w:footnoteReference w:id="170"/>
      </w:r>
      <w:r w:rsidR="005676B7" w:rsidRPr="00766CD5">
        <w:t xml:space="preserve"> After </w:t>
      </w:r>
      <w:proofErr w:type="spellStart"/>
      <w:r w:rsidR="005676B7" w:rsidRPr="00766CD5">
        <w:rPr>
          <w:i/>
        </w:rPr>
        <w:t>Pomponio</w:t>
      </w:r>
      <w:proofErr w:type="spellEnd"/>
      <w:r w:rsidR="005676B7" w:rsidRPr="00766CD5">
        <w:rPr>
          <w:i/>
        </w:rPr>
        <w:t xml:space="preserve">, </w:t>
      </w:r>
      <w:r w:rsidR="005676B7" w:rsidRPr="00766CD5">
        <w:t xml:space="preserve">circuit courts differed on their interpretation of the knowledge component of </w:t>
      </w:r>
      <w:proofErr w:type="spellStart"/>
      <w:r w:rsidR="005676B7" w:rsidRPr="00766CD5">
        <w:t>wilfulness</w:t>
      </w:r>
      <w:proofErr w:type="spellEnd"/>
      <w:r w:rsidR="005676B7" w:rsidRPr="00766CD5">
        <w:t xml:space="preserve">, with most applying a subjective standard of evaluation, but with others </w:t>
      </w:r>
      <w:r w:rsidR="00E844AE">
        <w:t>requiring</w:t>
      </w:r>
      <w:r w:rsidR="00E844AE" w:rsidRPr="00766CD5">
        <w:t xml:space="preserve"> </w:t>
      </w:r>
      <w:r w:rsidR="005676B7" w:rsidRPr="00766CD5">
        <w:t>that a defendant’s claims to lack knowledge had to be objectively reasonable.</w:t>
      </w:r>
      <w:bookmarkStart w:id="15" w:name="_Ref112240527"/>
      <w:r w:rsidR="005676B7" w:rsidRPr="00766CD5">
        <w:rPr>
          <w:rStyle w:val="FootnoteReference"/>
        </w:rPr>
        <w:footnoteReference w:id="171"/>
      </w:r>
      <w:bookmarkEnd w:id="15"/>
      <w:r w:rsidR="005676B7" w:rsidRPr="00766CD5">
        <w:t xml:space="preserve"> </w:t>
      </w:r>
    </w:p>
    <w:p w14:paraId="626182FA" w14:textId="56C73AD6" w:rsidR="006E4081" w:rsidRDefault="005676B7" w:rsidP="00475063">
      <w:r w:rsidRPr="00766CD5">
        <w:t xml:space="preserve">This conflict was resolved in </w:t>
      </w:r>
      <w:r w:rsidRPr="00766CD5">
        <w:rPr>
          <w:i/>
        </w:rPr>
        <w:t>Cheek v United States</w:t>
      </w:r>
      <w:r w:rsidRPr="00766CD5">
        <w:t>, which confirmed the application of the higher subjective standard,</w:t>
      </w:r>
      <w:r w:rsidRPr="00766CD5">
        <w:rPr>
          <w:rStyle w:val="FootnoteReference"/>
        </w:rPr>
        <w:footnoteReference w:id="172"/>
      </w:r>
      <w:r w:rsidRPr="00766CD5">
        <w:t xml:space="preserve"> while also holding that constitutional objections to taxation will not negate </w:t>
      </w:r>
      <w:proofErr w:type="spellStart"/>
      <w:r w:rsidRPr="00766CD5">
        <w:t>wilfulness</w:t>
      </w:r>
      <w:proofErr w:type="spellEnd"/>
      <w:r w:rsidRPr="00766CD5">
        <w:t>.</w:t>
      </w:r>
      <w:r w:rsidRPr="00766CD5">
        <w:rPr>
          <w:rStyle w:val="FootnoteReference"/>
        </w:rPr>
        <w:footnoteReference w:id="173"/>
      </w:r>
      <w:r w:rsidRPr="00766CD5">
        <w:t xml:space="preserve"> As a result</w:t>
      </w:r>
      <w:r w:rsidR="00E112D1">
        <w:t>,</w:t>
      </w:r>
      <w:r w:rsidRPr="00766CD5">
        <w:t xml:space="preserve"> individuals are not considered to have acted </w:t>
      </w:r>
      <w:proofErr w:type="spellStart"/>
      <w:r w:rsidRPr="00766CD5">
        <w:t>wilfully</w:t>
      </w:r>
      <w:proofErr w:type="spellEnd"/>
      <w:r w:rsidRPr="00766CD5">
        <w:t xml:space="preserve"> if </w:t>
      </w:r>
      <w:r w:rsidRPr="00766CD5">
        <w:lastRenderedPageBreak/>
        <w:t>they misunderstand the meaning or application of tax laws in good faith.</w:t>
      </w:r>
      <w:r w:rsidRPr="00766CD5">
        <w:rPr>
          <w:rStyle w:val="FootnoteReference"/>
        </w:rPr>
        <w:footnoteReference w:id="174"/>
      </w:r>
      <w:r w:rsidRPr="00766CD5">
        <w:t xml:space="preserve"> This includes misunderstandings based on advice given by a professional, providing that the advice was sought and relied on in good faith, and that all material facts were disclosed.</w:t>
      </w:r>
      <w:r w:rsidRPr="00766CD5">
        <w:rPr>
          <w:rStyle w:val="FootnoteReference"/>
        </w:rPr>
        <w:footnoteReference w:id="175"/>
      </w:r>
      <w:r w:rsidRPr="00766CD5">
        <w:t xml:space="preserve"> </w:t>
      </w:r>
    </w:p>
    <w:p w14:paraId="758C8900" w14:textId="72844010" w:rsidR="005676B7" w:rsidRPr="00766CD5" w:rsidRDefault="00DA2FB2" w:rsidP="00475063">
      <w:r>
        <w:t>Additionally</w:t>
      </w:r>
      <w:r w:rsidR="005676B7" w:rsidRPr="00766CD5">
        <w:t xml:space="preserve">, the uncertainty of the law in question may prevent a finding of </w:t>
      </w:r>
      <w:proofErr w:type="spellStart"/>
      <w:r w:rsidR="005676B7" w:rsidRPr="00766CD5">
        <w:t>wilfulness</w:t>
      </w:r>
      <w:proofErr w:type="spellEnd"/>
      <w:r w:rsidR="005676B7" w:rsidRPr="00766CD5">
        <w:t>,</w:t>
      </w:r>
      <w:r w:rsidR="005676B7" w:rsidRPr="00766CD5">
        <w:rPr>
          <w:rStyle w:val="FootnoteReference"/>
        </w:rPr>
        <w:footnoteReference w:id="176"/>
      </w:r>
      <w:r w:rsidR="005676B7" w:rsidRPr="00766CD5">
        <w:t xml:space="preserve"> for uncertainty prevents a defendant from possessing the requisite intent to violate the tax laws.</w:t>
      </w:r>
      <w:r w:rsidR="005676B7" w:rsidRPr="00766CD5">
        <w:rPr>
          <w:rStyle w:val="FootnoteReference"/>
        </w:rPr>
        <w:footnoteReference w:id="177"/>
      </w:r>
      <w:r w:rsidR="006E4081">
        <w:t xml:space="preserve"> Circuit courts are split as to whether uncertainty negates </w:t>
      </w:r>
      <w:proofErr w:type="spellStart"/>
      <w:r w:rsidR="006E4081">
        <w:t>wilfulness</w:t>
      </w:r>
      <w:proofErr w:type="spellEnd"/>
      <w:r w:rsidR="006E4081">
        <w:t xml:space="preserve"> absolutely, or whether the defendant must rely on the uncertainty.</w:t>
      </w:r>
      <w:r w:rsidR="006E4081">
        <w:rPr>
          <w:rStyle w:val="FootnoteReference"/>
        </w:rPr>
        <w:footnoteReference w:id="178"/>
      </w:r>
      <w:r w:rsidR="005676B7" w:rsidRPr="00766CD5">
        <w:t xml:space="preserve"> Some US courts have held that uncertainty is a legal inquiry to be resolved by the court by looking at the relevant authorities,</w:t>
      </w:r>
      <w:r w:rsidR="005676B7" w:rsidRPr="00766CD5">
        <w:rPr>
          <w:rStyle w:val="FootnoteReference"/>
        </w:rPr>
        <w:footnoteReference w:id="179"/>
      </w:r>
      <w:r w:rsidR="005676B7" w:rsidRPr="00766CD5">
        <w:t xml:space="preserve"> while others have held that uncertainty is also factual inquiry to be resolved by the jury through the ascertainment of its impact on the defendant’s mental state.</w:t>
      </w:r>
      <w:r w:rsidR="005676B7" w:rsidRPr="00766CD5">
        <w:rPr>
          <w:rStyle w:val="FootnoteReference"/>
        </w:rPr>
        <w:footnoteReference w:id="180"/>
      </w:r>
      <w:r w:rsidR="005676B7" w:rsidRPr="00766CD5">
        <w:t xml:space="preserve"> Several circuits have held that the law must be unknowable, rather than simply unknown.</w:t>
      </w:r>
      <w:r w:rsidR="005676B7" w:rsidRPr="00766CD5">
        <w:rPr>
          <w:rStyle w:val="FootnoteReference"/>
        </w:rPr>
        <w:footnoteReference w:id="181"/>
      </w:r>
      <w:r w:rsidR="006E4081">
        <w:t xml:space="preserve"> </w:t>
      </w:r>
      <w:r w:rsidR="00EF6078" w:rsidRPr="00766CD5">
        <w:t xml:space="preserve">Alternatively, this </w:t>
      </w:r>
      <w:r w:rsidR="00EF6078">
        <w:t>could be perceived</w:t>
      </w:r>
      <w:r w:rsidR="00EF6078" w:rsidRPr="00766CD5">
        <w:t xml:space="preserve"> as part of a ‘vagueness </w:t>
      </w:r>
      <w:proofErr w:type="spellStart"/>
      <w:r w:rsidR="002B18A9" w:rsidRPr="00766CD5">
        <w:t>defen</w:t>
      </w:r>
      <w:r w:rsidR="002B18A9">
        <w:t>c</w:t>
      </w:r>
      <w:r w:rsidR="002B18A9" w:rsidRPr="00766CD5">
        <w:t>e</w:t>
      </w:r>
      <w:proofErr w:type="spellEnd"/>
      <w:r w:rsidR="002B18A9" w:rsidRPr="00766CD5">
        <w:t>’</w:t>
      </w:r>
      <w:r w:rsidR="00EF6078" w:rsidRPr="00766CD5">
        <w:t xml:space="preserve">, grounded on a violation of the due process clause of the Fifth Amendment, which requires fair warning of </w:t>
      </w:r>
      <w:proofErr w:type="spellStart"/>
      <w:r w:rsidR="00EF6078" w:rsidRPr="00766CD5">
        <w:t>criminalisation</w:t>
      </w:r>
      <w:proofErr w:type="spellEnd"/>
      <w:r w:rsidR="00EF6078">
        <w:t xml:space="preserve"> and bears similarities to Article 7 of the ECHR</w:t>
      </w:r>
      <w:r w:rsidR="00EF6078" w:rsidRPr="00766CD5">
        <w:t>.</w:t>
      </w:r>
      <w:r w:rsidR="00EF6078" w:rsidRPr="00766CD5">
        <w:rPr>
          <w:rStyle w:val="FootnoteReference"/>
        </w:rPr>
        <w:footnoteReference w:id="182"/>
      </w:r>
      <w:r w:rsidR="00EF6078" w:rsidRPr="00766CD5">
        <w:t xml:space="preserve"> </w:t>
      </w:r>
      <w:r w:rsidR="00806DA8">
        <w:t>Effectively,</w:t>
      </w:r>
      <w:r w:rsidR="006E4081">
        <w:t xml:space="preserve"> </w:t>
      </w:r>
      <w:r w:rsidR="00806DA8">
        <w:t xml:space="preserve">constitutional challenges in the US </w:t>
      </w:r>
      <w:proofErr w:type="spellStart"/>
      <w:r w:rsidR="00806DA8">
        <w:t>centre</w:t>
      </w:r>
      <w:proofErr w:type="spellEnd"/>
      <w:r w:rsidR="00806DA8">
        <w:t xml:space="preserve"> on the </w:t>
      </w:r>
      <w:r w:rsidR="00806DA8" w:rsidRPr="00806DA8">
        <w:t>application</w:t>
      </w:r>
      <w:r w:rsidR="00806DA8">
        <w:t xml:space="preserve"> of </w:t>
      </w:r>
      <w:proofErr w:type="spellStart"/>
      <w:r w:rsidR="00806DA8">
        <w:t>wilfulness</w:t>
      </w:r>
      <w:proofErr w:type="spellEnd"/>
      <w:r w:rsidR="00806DA8">
        <w:t xml:space="preserve"> to unclear tax laws, as opposed to the definition of </w:t>
      </w:r>
      <w:proofErr w:type="spellStart"/>
      <w:r w:rsidR="00806DA8">
        <w:t>wilfulness</w:t>
      </w:r>
      <w:proofErr w:type="spellEnd"/>
      <w:r w:rsidR="00806DA8">
        <w:t xml:space="preserve"> itself.</w:t>
      </w:r>
    </w:p>
    <w:p w14:paraId="2B70AECD" w14:textId="5EE77C15" w:rsidR="005676B7" w:rsidRPr="00766CD5" w:rsidRDefault="005676B7" w:rsidP="00475063">
      <w:r w:rsidRPr="00766CD5">
        <w:t xml:space="preserve">Although ignorance of the law is not typically </w:t>
      </w:r>
      <w:proofErr w:type="spellStart"/>
      <w:r w:rsidRPr="00766CD5">
        <w:t>recognised</w:t>
      </w:r>
      <w:proofErr w:type="spellEnd"/>
      <w:r w:rsidRPr="00766CD5">
        <w:t xml:space="preserve"> as a </w:t>
      </w:r>
      <w:proofErr w:type="spellStart"/>
      <w:r w:rsidRPr="00766CD5">
        <w:t>defence</w:t>
      </w:r>
      <w:proofErr w:type="spellEnd"/>
      <w:r w:rsidRPr="00766CD5">
        <w:t xml:space="preserve"> to a criminal charge in the US, the Court explicitly held that criminal tax offences should be afforded special treatment </w:t>
      </w:r>
      <w:r w:rsidRPr="00766CD5">
        <w:lastRenderedPageBreak/>
        <w:t>‘due to the complexity of the tax laws’.</w:t>
      </w:r>
      <w:r w:rsidRPr="00766CD5">
        <w:rPr>
          <w:rStyle w:val="FootnoteReference"/>
        </w:rPr>
        <w:footnoteReference w:id="183"/>
      </w:r>
      <w:r w:rsidRPr="00766CD5">
        <w:t xml:space="preserve"> The holding in </w:t>
      </w:r>
      <w:r w:rsidRPr="00766CD5">
        <w:rPr>
          <w:i/>
        </w:rPr>
        <w:t xml:space="preserve">Cheek </w:t>
      </w:r>
      <w:r w:rsidRPr="00766CD5">
        <w:t xml:space="preserve">bears similarities to the </w:t>
      </w:r>
      <w:r w:rsidRPr="00766CD5">
        <w:rPr>
          <w:i/>
        </w:rPr>
        <w:t xml:space="preserve">Ghosh </w:t>
      </w:r>
      <w:r w:rsidRPr="00766CD5">
        <w:t>interpretation of dishonesty in the UK and has garnered similar criticisms; specifically, that employing a subjective test will allow tax evaders with ‘outrageously unreasonable’ beliefs to escape liability and will prompt tax evaders to ‘cling to frivolous views of the law in the hope of convincing a jury of their sincerity’, inhibiting law enforcement.</w:t>
      </w:r>
      <w:r w:rsidRPr="00766CD5">
        <w:rPr>
          <w:rStyle w:val="FootnoteReference"/>
        </w:rPr>
        <w:footnoteReference w:id="184"/>
      </w:r>
      <w:r w:rsidRPr="00766CD5">
        <w:t xml:space="preserve"> Nonetheless, as in the UK, the reasonableness of a belief will no doubt be influential in determining its sincerity.</w:t>
      </w:r>
      <w:r w:rsidRPr="00766CD5">
        <w:rPr>
          <w:rStyle w:val="FootnoteReference"/>
        </w:rPr>
        <w:footnoteReference w:id="185"/>
      </w:r>
      <w:r w:rsidR="005C0257">
        <w:t xml:space="preserve"> Additionally</w:t>
      </w:r>
      <w:r w:rsidRPr="00766CD5">
        <w:t xml:space="preserve">, subjective </w:t>
      </w:r>
      <w:proofErr w:type="spellStart"/>
      <w:r w:rsidRPr="00766CD5">
        <w:t>wilfulness</w:t>
      </w:r>
      <w:proofErr w:type="spellEnd"/>
      <w:r w:rsidRPr="00766CD5">
        <w:t xml:space="preserve"> can be inferred from circumstantial evidence of the defendant’s conduct, including affirmative attempts to evade taxation.</w:t>
      </w:r>
      <w:r w:rsidRPr="00766CD5">
        <w:rPr>
          <w:rStyle w:val="FootnoteReference"/>
        </w:rPr>
        <w:footnoteReference w:id="186"/>
      </w:r>
      <w:r w:rsidRPr="00766CD5">
        <w:t xml:space="preserve"> The court will take into account the defendant’s previous conduct and compliance history,</w:t>
      </w:r>
      <w:r w:rsidRPr="00766CD5">
        <w:rPr>
          <w:rStyle w:val="FootnoteReference"/>
        </w:rPr>
        <w:footnoteReference w:id="187"/>
      </w:r>
      <w:r w:rsidRPr="00766CD5">
        <w:t xml:space="preserve"> as well as their knowledge and abilities.</w:t>
      </w:r>
      <w:r w:rsidRPr="00766CD5">
        <w:rPr>
          <w:rStyle w:val="FootnoteReference"/>
        </w:rPr>
        <w:footnoteReference w:id="188"/>
      </w:r>
      <w:r w:rsidRPr="00766CD5">
        <w:t xml:space="preserve"> Further, </w:t>
      </w:r>
      <w:proofErr w:type="spellStart"/>
      <w:r w:rsidRPr="00766CD5">
        <w:t>wilfulness</w:t>
      </w:r>
      <w:proofErr w:type="spellEnd"/>
      <w:r w:rsidRPr="00766CD5">
        <w:t xml:space="preserve"> extends to </w:t>
      </w:r>
      <w:proofErr w:type="spellStart"/>
      <w:r w:rsidRPr="00766CD5">
        <w:t>wilful</w:t>
      </w:r>
      <w:proofErr w:type="spellEnd"/>
      <w:r w:rsidRPr="00766CD5">
        <w:t xml:space="preserve"> blindness, encapsulating defendants who claim ignorance owing to their deliberate attempts to ignore the facts,</w:t>
      </w:r>
      <w:r w:rsidRPr="00766CD5">
        <w:rPr>
          <w:rStyle w:val="FootnoteReference"/>
        </w:rPr>
        <w:footnoteReference w:id="189"/>
      </w:r>
      <w:r w:rsidRPr="00766CD5">
        <w:t xml:space="preserve"> thus mitigating the impact of a subjective standard on the ability to bring prosecutions for this offence.</w:t>
      </w:r>
      <w:r w:rsidRPr="00766CD5">
        <w:rPr>
          <w:rStyle w:val="FootnoteReference"/>
        </w:rPr>
        <w:footnoteReference w:id="190"/>
      </w:r>
      <w:r w:rsidR="002D2CDA">
        <w:t xml:space="preserve"> Many US commentators also lament</w:t>
      </w:r>
      <w:r w:rsidR="00CE2A6B">
        <w:t>ed</w:t>
      </w:r>
      <w:r w:rsidR="002D2CDA">
        <w:t xml:space="preserve"> </w:t>
      </w:r>
      <w:r w:rsidR="00D51167">
        <w:t>defendants’</w:t>
      </w:r>
      <w:r w:rsidR="002D2CDA">
        <w:t xml:space="preserve"> ability to rebut </w:t>
      </w:r>
      <w:proofErr w:type="spellStart"/>
      <w:r w:rsidR="002D2CDA">
        <w:t>wilfulness</w:t>
      </w:r>
      <w:proofErr w:type="spellEnd"/>
      <w:r w:rsidR="002D2CDA">
        <w:t xml:space="preserve"> through obtaining professional advice, arguing that it will encourage </w:t>
      </w:r>
      <w:r w:rsidR="002D2CDA" w:rsidRPr="00194E51">
        <w:t xml:space="preserve">tax evaders to avoid liability by seeking </w:t>
      </w:r>
      <w:r w:rsidR="002D2CDA">
        <w:t>professional services, as well as</w:t>
      </w:r>
      <w:r w:rsidR="002F7253">
        <w:t xml:space="preserve"> increase</w:t>
      </w:r>
      <w:r w:rsidR="002D2CDA">
        <w:t xml:space="preserve"> </w:t>
      </w:r>
      <w:r w:rsidR="00D51167">
        <w:t>the number of</w:t>
      </w:r>
      <w:r w:rsidR="002D2CDA">
        <w:t xml:space="preserve"> unscrupulous legal </w:t>
      </w:r>
      <w:r w:rsidR="002D2CDA">
        <w:lastRenderedPageBreak/>
        <w:t>professionals.</w:t>
      </w:r>
      <w:r w:rsidR="002D2CDA">
        <w:rPr>
          <w:rStyle w:val="FootnoteReference"/>
        </w:rPr>
        <w:footnoteReference w:id="191"/>
      </w:r>
      <w:r w:rsidR="002D2CDA">
        <w:t xml:space="preserve"> However, </w:t>
      </w:r>
      <w:r w:rsidR="00D51167">
        <w:t xml:space="preserve">seeking legal advice should be encouraged and </w:t>
      </w:r>
      <w:r w:rsidR="002D2CDA">
        <w:t>demonstrating good faith reliance on the advice is an onerous task.</w:t>
      </w:r>
      <w:r w:rsidR="002D2CDA">
        <w:rPr>
          <w:rStyle w:val="FootnoteReference"/>
        </w:rPr>
        <w:footnoteReference w:id="192"/>
      </w:r>
      <w:r w:rsidR="002D2CDA">
        <w:t xml:space="preserve"> Moreover, even if the doctrine ‘errs on the side of </w:t>
      </w:r>
      <w:proofErr w:type="spellStart"/>
      <w:r w:rsidR="002D2CDA">
        <w:t>underinclusion</w:t>
      </w:r>
      <w:proofErr w:type="spellEnd"/>
      <w:r w:rsidR="002D2CDA">
        <w:t>’</w:t>
      </w:r>
      <w:r w:rsidR="00D51167">
        <w:t>,</w:t>
      </w:r>
      <w:r w:rsidR="00D51167">
        <w:rPr>
          <w:rStyle w:val="FootnoteReference"/>
        </w:rPr>
        <w:footnoteReference w:id="193"/>
      </w:r>
      <w:r w:rsidR="00D51167">
        <w:t xml:space="preserve"> arguably, it should be dishonest facilitators, rather than clients</w:t>
      </w:r>
      <w:r w:rsidR="00CE2A6B">
        <w:t xml:space="preserve"> acting in good faith</w:t>
      </w:r>
      <w:r w:rsidR="00D51167">
        <w:t xml:space="preserve">, who should face criminal sanction. In this respect, </w:t>
      </w:r>
      <w:r w:rsidRPr="00766CD5">
        <w:t xml:space="preserve">when a </w:t>
      </w:r>
      <w:proofErr w:type="spellStart"/>
      <w:r w:rsidR="002B18A9" w:rsidRPr="00766CD5">
        <w:t>defen</w:t>
      </w:r>
      <w:r w:rsidR="002B18A9">
        <w:t>c</w:t>
      </w:r>
      <w:r w:rsidR="002B18A9" w:rsidRPr="00766CD5">
        <w:t>e</w:t>
      </w:r>
      <w:proofErr w:type="spellEnd"/>
      <w:r w:rsidR="002B18A9" w:rsidRPr="00766CD5">
        <w:t xml:space="preserve"> </w:t>
      </w:r>
      <w:r w:rsidRPr="00766CD5">
        <w:t xml:space="preserve">of legal uncertainty is raised </w:t>
      </w:r>
      <w:r w:rsidR="00D51167">
        <w:t>by a facilitator in</w:t>
      </w:r>
      <w:r w:rsidR="00D51167" w:rsidRPr="00766CD5">
        <w:t xml:space="preserve"> </w:t>
      </w:r>
      <w:r w:rsidRPr="00766CD5">
        <w:t xml:space="preserve">relation to a tax avoidance shelter, it is often rejected when </w:t>
      </w:r>
      <w:r w:rsidR="00D51167">
        <w:t>their</w:t>
      </w:r>
      <w:r w:rsidRPr="00766CD5">
        <w:t xml:space="preserve"> role extended to fraudulent implementation.</w:t>
      </w:r>
      <w:r w:rsidRPr="00766CD5">
        <w:rPr>
          <w:rStyle w:val="FootnoteReference"/>
        </w:rPr>
        <w:footnoteReference w:id="194"/>
      </w:r>
    </w:p>
    <w:p w14:paraId="799619EE" w14:textId="27D16FAD" w:rsidR="00B40DC5" w:rsidRDefault="005676B7" w:rsidP="008A70D2">
      <w:pPr>
        <w:rPr>
          <w:b/>
        </w:rPr>
      </w:pPr>
      <w:r w:rsidRPr="00766CD5">
        <w:t>In fact, rather than unjustifiably inhibiting law enforcement, by placing such emphasis on the subjective intention of the perpetrator or facilitator to comply with their obligations, US case law pays greater deference to the inherent nature of criminal tax evasion than its UK counterpart</w:t>
      </w:r>
      <w:r w:rsidR="00C74C3E">
        <w:t xml:space="preserve">, following the decision in </w:t>
      </w:r>
      <w:r w:rsidR="00C74C3E">
        <w:rPr>
          <w:i/>
        </w:rPr>
        <w:t>Ivey</w:t>
      </w:r>
      <w:r w:rsidRPr="00766CD5">
        <w:t xml:space="preserve">. This is supported by the fact that </w:t>
      </w:r>
      <w:proofErr w:type="spellStart"/>
      <w:r w:rsidRPr="00766CD5">
        <w:t>wilfulness</w:t>
      </w:r>
      <w:proofErr w:type="spellEnd"/>
      <w:r w:rsidRPr="00766CD5">
        <w:t xml:space="preserve"> is afforded a narrower interpretation in tax offences than for other offences,</w:t>
      </w:r>
      <w:r w:rsidRPr="00766CD5">
        <w:rPr>
          <w:rStyle w:val="FootnoteReference"/>
        </w:rPr>
        <w:footnoteReference w:id="195"/>
      </w:r>
      <w:r w:rsidRPr="00766CD5">
        <w:t xml:space="preserve"> including BSA violations, such as, structuring offences,</w:t>
      </w:r>
      <w:bookmarkStart w:id="16" w:name="_Ref111804813"/>
      <w:r w:rsidRPr="00766CD5">
        <w:rPr>
          <w:rStyle w:val="FootnoteReference"/>
        </w:rPr>
        <w:footnoteReference w:id="196"/>
      </w:r>
      <w:bookmarkEnd w:id="16"/>
      <w:r w:rsidRPr="00766CD5">
        <w:t xml:space="preserve"> and FBAR violations.</w:t>
      </w:r>
      <w:r w:rsidRPr="00766CD5">
        <w:rPr>
          <w:rStyle w:val="FootnoteReference"/>
        </w:rPr>
        <w:footnoteReference w:id="197"/>
      </w:r>
      <w:r w:rsidRPr="00766CD5">
        <w:t xml:space="preserve"> </w:t>
      </w:r>
      <w:r w:rsidR="00E112D1">
        <w:t xml:space="preserve">Additionally, </w:t>
      </w:r>
      <w:r w:rsidRPr="00766CD5">
        <w:t xml:space="preserve">the courts have persistently </w:t>
      </w:r>
      <w:proofErr w:type="spellStart"/>
      <w:r w:rsidRPr="00766CD5">
        <w:t>emphasised</w:t>
      </w:r>
      <w:proofErr w:type="spellEnd"/>
      <w:r w:rsidRPr="00766CD5">
        <w:t xml:space="preserve"> that tax offences are a rare exception to the fundamental principle of criminal law that ignorance of the law is not an excuse, owing to the complexity of the tax law and the numerous errors that result from its application, even by honest taxpayers.</w:t>
      </w:r>
      <w:r w:rsidRPr="00766CD5">
        <w:rPr>
          <w:rStyle w:val="FootnoteReference"/>
        </w:rPr>
        <w:footnoteReference w:id="198"/>
      </w:r>
      <w:r w:rsidRPr="00766CD5">
        <w:t xml:space="preserve"> The </w:t>
      </w:r>
      <w:r w:rsidRPr="00766CD5">
        <w:lastRenderedPageBreak/>
        <w:t>fact that Congress has not interfered with these decisions in the tax context, despite having done so for structuring offences,</w:t>
      </w:r>
      <w:r w:rsidRPr="00766CD5">
        <w:rPr>
          <w:rStyle w:val="FootnoteReference"/>
        </w:rPr>
        <w:footnoteReference w:id="199"/>
      </w:r>
      <w:r w:rsidRPr="00766CD5">
        <w:t xml:space="preserve"> and despite approving this interpretation in other statutory contexts,</w:t>
      </w:r>
      <w:r w:rsidRPr="00766CD5">
        <w:rPr>
          <w:rStyle w:val="FootnoteReference"/>
        </w:rPr>
        <w:footnoteReference w:id="200"/>
      </w:r>
      <w:r w:rsidRPr="00766CD5">
        <w:t xml:space="preserve"> demonstrates its approval of the judicial interpretation of </w:t>
      </w:r>
      <w:proofErr w:type="spellStart"/>
      <w:r w:rsidRPr="00766CD5">
        <w:t>wilfulness</w:t>
      </w:r>
      <w:proofErr w:type="spellEnd"/>
      <w:r w:rsidRPr="00766CD5">
        <w:t xml:space="preserve">, as well as its intention to clearly distinguish tax evasion from other criminal offences, paying greater respect to the labelling function of the criminal law. More importantly, although </w:t>
      </w:r>
      <w:proofErr w:type="spellStart"/>
      <w:r w:rsidRPr="00766CD5">
        <w:t>wilfulness</w:t>
      </w:r>
      <w:proofErr w:type="spellEnd"/>
      <w:r w:rsidRPr="00766CD5">
        <w:t xml:space="preserve"> is determined by a jury, the term is not left for the </w:t>
      </w:r>
      <w:r w:rsidR="00B37347">
        <w:t>jury</w:t>
      </w:r>
      <w:r w:rsidRPr="00766CD5">
        <w:t xml:space="preserve"> to define.</w:t>
      </w:r>
      <w:r w:rsidRPr="00766CD5">
        <w:rPr>
          <w:rStyle w:val="FootnoteReference"/>
        </w:rPr>
        <w:footnoteReference w:id="201"/>
      </w:r>
      <w:r w:rsidRPr="00766CD5">
        <w:t xml:space="preserve"> Rather, as the case law </w:t>
      </w:r>
      <w:r w:rsidR="00E112D1">
        <w:t>suggests</w:t>
      </w:r>
      <w:r w:rsidRPr="00766CD5">
        <w:t>, the meaning of the term has been refined over 100 years</w:t>
      </w:r>
      <w:r w:rsidR="00821E8F">
        <w:t xml:space="preserve"> through binding judicial decisions</w:t>
      </w:r>
      <w:r w:rsidRPr="00766CD5">
        <w:t xml:space="preserve">, providing greater clarity to this area of criminal law than the decisions that </w:t>
      </w:r>
      <w:r w:rsidR="00821E8F">
        <w:t>abdicate responsibility for</w:t>
      </w:r>
      <w:r w:rsidRPr="00766CD5">
        <w:t xml:space="preserve"> </w:t>
      </w:r>
      <w:r w:rsidR="00821E8F">
        <w:t xml:space="preserve">defining </w:t>
      </w:r>
      <w:r w:rsidRPr="00766CD5">
        <w:t>dishonesty</w:t>
      </w:r>
      <w:r w:rsidR="00821E8F">
        <w:t xml:space="preserve"> to juries</w:t>
      </w:r>
      <w:r w:rsidRPr="00766CD5">
        <w:t xml:space="preserve"> in the UK. </w:t>
      </w:r>
    </w:p>
    <w:p w14:paraId="249D144D" w14:textId="095C2BA9" w:rsidR="00C74C3E" w:rsidRPr="00B40DC5" w:rsidRDefault="0093188B" w:rsidP="00475063">
      <w:pPr>
        <w:pStyle w:val="Heading1"/>
      </w:pPr>
      <w:r>
        <w:t>3</w:t>
      </w:r>
      <w:r w:rsidR="00B40DC5" w:rsidRPr="00B40DC5">
        <w:t xml:space="preserve">. </w:t>
      </w:r>
      <w:r w:rsidR="00014BF8" w:rsidRPr="00B40DC5">
        <w:t xml:space="preserve">Comparison </w:t>
      </w:r>
      <w:r w:rsidR="00B37347" w:rsidRPr="00B40DC5">
        <w:t xml:space="preserve">and Reform </w:t>
      </w:r>
    </w:p>
    <w:p w14:paraId="7C3C04E8" w14:textId="681D2EF3" w:rsidR="005826C7" w:rsidRDefault="00014BF8" w:rsidP="00115A0C">
      <w:r w:rsidRPr="00766CD5">
        <w:t xml:space="preserve">Both </w:t>
      </w:r>
      <w:r w:rsidR="00E112D1">
        <w:t xml:space="preserve">jurisdictions </w:t>
      </w:r>
      <w:r w:rsidRPr="00766CD5">
        <w:t xml:space="preserve">have comprehensive legal frameworks providing for the </w:t>
      </w:r>
      <w:proofErr w:type="spellStart"/>
      <w:r w:rsidRPr="00766CD5">
        <w:t>criminalisation</w:t>
      </w:r>
      <w:proofErr w:type="spellEnd"/>
      <w:r w:rsidRPr="00766CD5">
        <w:t xml:space="preserve"> of tax evasion, as well as the facilitation of these crimes by both individuals and corporations. Indeed, there appear to be few omissions in the scope of liability imposed in each jurisdiction. However, while the UK has enacted several offences pertaining to the evasion of different types of taxes, US tax evasion offences </w:t>
      </w:r>
      <w:proofErr w:type="spellStart"/>
      <w:r w:rsidRPr="00766CD5">
        <w:t>centre</w:t>
      </w:r>
      <w:proofErr w:type="spellEnd"/>
      <w:r w:rsidRPr="00766CD5">
        <w:t xml:space="preserve"> on the underlying conduct giving rise to the offence. </w:t>
      </w:r>
      <w:r w:rsidR="00381810">
        <w:t>T</w:t>
      </w:r>
      <w:r w:rsidRPr="00766CD5">
        <w:t>he US has been able to enact a ‘complete criminal code’</w:t>
      </w:r>
      <w:r w:rsidR="0040421F">
        <w:t xml:space="preserve"> for tax offences</w:t>
      </w:r>
      <w:r w:rsidRPr="00766CD5">
        <w:t>, obviating the need to rely on other general white-collar offences, and enabling different labels and sanctions to be attached to different categories of offending.</w:t>
      </w:r>
      <w:r w:rsidRPr="00766CD5">
        <w:rPr>
          <w:rStyle w:val="FootnoteReference"/>
        </w:rPr>
        <w:footnoteReference w:id="202"/>
      </w:r>
      <w:r w:rsidRPr="00766CD5">
        <w:t xml:space="preserve"> </w:t>
      </w:r>
      <w:r w:rsidR="00E112D1">
        <w:t>T</w:t>
      </w:r>
      <w:r w:rsidRPr="00766CD5">
        <w:t>he US clearly differentiates between culpable actions and omissions in respect</w:t>
      </w:r>
      <w:r w:rsidR="00821E8F">
        <w:t xml:space="preserve"> </w:t>
      </w:r>
      <w:r w:rsidRPr="00766CD5">
        <w:t>of tax crimes. In contrast, the UK rarely uses its statutory offences</w:t>
      </w:r>
      <w:r w:rsidR="00E112D1">
        <w:t xml:space="preserve"> and prefers</w:t>
      </w:r>
      <w:r w:rsidR="00381810">
        <w:t xml:space="preserve"> </w:t>
      </w:r>
      <w:r w:rsidRPr="00766CD5">
        <w:t>charging the common law offence of cheating the public revenue, a catch-all crime with a</w:t>
      </w:r>
      <w:r w:rsidR="00E112D1">
        <w:t xml:space="preserve"> </w:t>
      </w:r>
      <w:r w:rsidRPr="00766CD5">
        <w:t xml:space="preserve">severe sentence of imprisonment. </w:t>
      </w:r>
      <w:r w:rsidR="00E112D1">
        <w:t xml:space="preserve">Both jurisdictions </w:t>
      </w:r>
      <w:r w:rsidRPr="00766CD5">
        <w:t xml:space="preserve">use one form of </w:t>
      </w:r>
      <w:proofErr w:type="spellStart"/>
      <w:r w:rsidRPr="00643E71">
        <w:t>mens</w:t>
      </w:r>
      <w:proofErr w:type="spellEnd"/>
      <w:r w:rsidRPr="00643E71">
        <w:t xml:space="preserve"> rea</w:t>
      </w:r>
      <w:r w:rsidRPr="00F54669">
        <w:t xml:space="preserve"> consistently</w:t>
      </w:r>
      <w:r w:rsidRPr="00766CD5">
        <w:t xml:space="preserve"> for almost all tax evasion offences. However, whereas the judicial failure to</w:t>
      </w:r>
      <w:r w:rsidR="0040421F">
        <w:t xml:space="preserve"> clearly</w:t>
      </w:r>
      <w:r w:rsidRPr="00766CD5">
        <w:t xml:space="preserve"> </w:t>
      </w:r>
      <w:r w:rsidRPr="00766CD5">
        <w:lastRenderedPageBreak/>
        <w:t xml:space="preserve">define dishonesty in the UK has left the application of this term fraught with uncertainty, US case law provides a higher level of clarity in the interpretation of the term </w:t>
      </w:r>
      <w:proofErr w:type="spellStart"/>
      <w:r w:rsidRPr="00766CD5">
        <w:t>wilfulness</w:t>
      </w:r>
      <w:proofErr w:type="spellEnd"/>
      <w:r w:rsidRPr="00766CD5">
        <w:t>.</w:t>
      </w:r>
      <w:r w:rsidR="0057464E">
        <w:t xml:space="preserve"> Accordingly, t</w:t>
      </w:r>
      <w:r w:rsidR="009D381D" w:rsidRPr="00E97D17">
        <w:t>he</w:t>
      </w:r>
      <w:r w:rsidR="00845A63" w:rsidRPr="00E97D17">
        <w:t xml:space="preserve"> US framework illustrates the benefits that would stem from a reconsideration of the</w:t>
      </w:r>
      <w:r w:rsidR="009D381D" w:rsidRPr="00E97D17">
        <w:t xml:space="preserve"> UK</w:t>
      </w:r>
      <w:r w:rsidR="00845A63" w:rsidRPr="00E97D17">
        <w:t>’s</w:t>
      </w:r>
      <w:r w:rsidR="009D381D" w:rsidRPr="00E97D17">
        <w:t xml:space="preserve"> approach to </w:t>
      </w:r>
      <w:proofErr w:type="spellStart"/>
      <w:r w:rsidR="009D381D" w:rsidRPr="00E97D17">
        <w:t>criminalis</w:t>
      </w:r>
      <w:r w:rsidR="00845A63" w:rsidRPr="00E97D17">
        <w:t>ing</w:t>
      </w:r>
      <w:proofErr w:type="spellEnd"/>
      <w:r w:rsidR="009D381D" w:rsidRPr="00E97D17">
        <w:t xml:space="preserve"> tax evasion, enacting offences based on the underlying conduct, rather than retaining a patchwork of duplicitous offences for each ty</w:t>
      </w:r>
      <w:r w:rsidR="008F0A33" w:rsidRPr="00E97D17">
        <w:t xml:space="preserve">pe of tax evaded. This would </w:t>
      </w:r>
      <w:r w:rsidR="009D381D" w:rsidRPr="00E97D17">
        <w:t xml:space="preserve">help to </w:t>
      </w:r>
      <w:r w:rsidR="00BA0C35">
        <w:t xml:space="preserve">limit the </w:t>
      </w:r>
      <w:r w:rsidR="00E07961">
        <w:t xml:space="preserve">sheer </w:t>
      </w:r>
      <w:r w:rsidR="00BA0C35">
        <w:t xml:space="preserve">number, as well as </w:t>
      </w:r>
      <w:r w:rsidR="009D381D" w:rsidRPr="00E97D17">
        <w:t>circumscribe the overly broad scope</w:t>
      </w:r>
      <w:r w:rsidR="00BA0C35">
        <w:t>,</w:t>
      </w:r>
      <w:r w:rsidR="009D381D" w:rsidRPr="00E97D17">
        <w:t xml:space="preserve"> of UK tax evasion off</w:t>
      </w:r>
      <w:r w:rsidR="00845A63" w:rsidRPr="00E97D17">
        <w:t>ences. T</w:t>
      </w:r>
      <w:r w:rsidR="00644328" w:rsidRPr="00E97D17">
        <w:t xml:space="preserve">he US </w:t>
      </w:r>
      <w:r w:rsidR="00845A63" w:rsidRPr="00E97D17">
        <w:t xml:space="preserve">also </w:t>
      </w:r>
      <w:r w:rsidR="00644328" w:rsidRPr="00E97D17">
        <w:t xml:space="preserve">demonstrates that, while the UK does not necessarily have to alter the </w:t>
      </w:r>
      <w:r w:rsidR="002431DB" w:rsidRPr="00E97D17">
        <w:t xml:space="preserve">chosen </w:t>
      </w:r>
      <w:r w:rsidR="00644328" w:rsidRPr="00E97D17">
        <w:t xml:space="preserve">form </w:t>
      </w:r>
      <w:r w:rsidR="00644328" w:rsidRPr="00F54669">
        <w:t xml:space="preserve">of </w:t>
      </w:r>
      <w:proofErr w:type="spellStart"/>
      <w:r w:rsidR="00644328" w:rsidRPr="00643E71">
        <w:t>mens</w:t>
      </w:r>
      <w:proofErr w:type="spellEnd"/>
      <w:r w:rsidR="00644328" w:rsidRPr="00643E71">
        <w:t xml:space="preserve"> rea</w:t>
      </w:r>
      <w:r w:rsidR="00644328" w:rsidRPr="00F54669">
        <w:t>,</w:t>
      </w:r>
      <w:r w:rsidR="00845A63" w:rsidRPr="00F54669">
        <w:t xml:space="preserve"> </w:t>
      </w:r>
      <w:r w:rsidR="00644328" w:rsidRPr="00F54669">
        <w:t>significant benefits</w:t>
      </w:r>
      <w:r w:rsidR="00644328" w:rsidRPr="00E97D17">
        <w:t xml:space="preserve"> could be gained in providing a statutory or judicial definition of this term, including a higher level of certainty for prosecutors and defendants.</w:t>
      </w:r>
      <w:r w:rsidR="00F51E5E">
        <w:t xml:space="preserve"> On the other hand, while the US approach to attributing criminal liability to corporations for the facilitation of tax crimes appears to be more effective than its UK counterpart, reform must take place within wider ongoing efforts to reform corporate criminal liability more generally.</w:t>
      </w:r>
      <w:r w:rsidR="00F51E5E">
        <w:rPr>
          <w:rStyle w:val="FootnoteReference"/>
        </w:rPr>
        <w:footnoteReference w:id="203"/>
      </w:r>
    </w:p>
    <w:p w14:paraId="160C100C" w14:textId="197594A2" w:rsidR="00B40DC5" w:rsidRDefault="00157138" w:rsidP="008A70D2">
      <w:r>
        <w:t>Aside from a US-style system of offences</w:t>
      </w:r>
      <w:r w:rsidR="0057464E">
        <w:t xml:space="preserve">, </w:t>
      </w:r>
      <w:r w:rsidR="005826C7">
        <w:t>thought should be given to other reform options</w:t>
      </w:r>
      <w:r w:rsidR="00542686">
        <w:t>.</w:t>
      </w:r>
      <w:r w:rsidR="00F36B1D" w:rsidRPr="00766CD5">
        <w:rPr>
          <w:rStyle w:val="FootnoteReference"/>
        </w:rPr>
        <w:footnoteReference w:id="204"/>
      </w:r>
      <w:r w:rsidR="00542686">
        <w:t xml:space="preserve"> For instance, the common law offences could be abolished, or their use severely restricted, in preference </w:t>
      </w:r>
      <w:r w:rsidR="00CA58F6">
        <w:t>to</w:t>
      </w:r>
      <w:r w:rsidR="00542686">
        <w:t xml:space="preserve"> the </w:t>
      </w:r>
      <w:r w:rsidR="00F36B1D">
        <w:t xml:space="preserve">statutory offences. Otherwise, the offence of </w:t>
      </w:r>
      <w:r w:rsidR="002C1588" w:rsidRPr="00766CD5">
        <w:t>cheat</w:t>
      </w:r>
      <w:r w:rsidR="00F36B1D">
        <w:t>ing the publi</w:t>
      </w:r>
      <w:bookmarkStart w:id="17" w:name="_GoBack"/>
      <w:bookmarkEnd w:id="17"/>
      <w:r w:rsidR="00F36B1D">
        <w:t>c revenue could be placed</w:t>
      </w:r>
      <w:r w:rsidR="002C1588" w:rsidRPr="00766CD5">
        <w:t xml:space="preserve"> on a statutory basis</w:t>
      </w:r>
      <w:r w:rsidR="00A73FA0">
        <w:t>, with a clear definition of dishonesty, and</w:t>
      </w:r>
      <w:r w:rsidR="002C1588" w:rsidRPr="00766CD5">
        <w:t xml:space="preserve"> </w:t>
      </w:r>
      <w:r w:rsidR="00F36B1D">
        <w:t>many of the</w:t>
      </w:r>
      <w:r w:rsidR="002C1588" w:rsidRPr="00766CD5">
        <w:t xml:space="preserve"> tax-specific offences</w:t>
      </w:r>
      <w:r w:rsidR="00F36B1D">
        <w:t xml:space="preserve"> could be removed from the statute book</w:t>
      </w:r>
      <w:r w:rsidR="002C1588" w:rsidRPr="00766CD5">
        <w:t>.</w:t>
      </w:r>
      <w:r w:rsidR="005826C7">
        <w:t xml:space="preserve"> This would help to define the nature of criminal tax evasion in the UK; a task that has been neglected so far by both national and international stakeholders.</w:t>
      </w:r>
      <w:r w:rsidR="005826C7">
        <w:rPr>
          <w:rStyle w:val="FootnoteReference"/>
        </w:rPr>
        <w:footnoteReference w:id="205"/>
      </w:r>
      <w:r w:rsidR="005826C7">
        <w:t xml:space="preserve"> However, this would be </w:t>
      </w:r>
      <w:r w:rsidR="00F36B1D">
        <w:t xml:space="preserve">a </w:t>
      </w:r>
      <w:r w:rsidR="005826C7">
        <w:t>less preferable</w:t>
      </w:r>
      <w:r w:rsidR="00F36B1D">
        <w:t xml:space="preserve"> solution</w:t>
      </w:r>
      <w:r w:rsidR="005826C7">
        <w:t xml:space="preserve"> than </w:t>
      </w:r>
      <w:r w:rsidR="00083A33">
        <w:t>a</w:t>
      </w:r>
      <w:r w:rsidR="005826C7">
        <w:t xml:space="preserve"> US</w:t>
      </w:r>
      <w:r w:rsidR="00083A33">
        <w:t>-style</w:t>
      </w:r>
      <w:r w:rsidR="005826C7">
        <w:t xml:space="preserve"> system</w:t>
      </w:r>
      <w:r w:rsidR="00083A33">
        <w:t xml:space="preserve"> of offence</w:t>
      </w:r>
      <w:r w:rsidR="00F36B1D">
        <w:t>s</w:t>
      </w:r>
      <w:r w:rsidR="005826C7">
        <w:t>,</w:t>
      </w:r>
      <w:r w:rsidR="00F36B1D">
        <w:t xml:space="preserve"> with clearly defined </w:t>
      </w:r>
      <w:proofErr w:type="spellStart"/>
      <w:r w:rsidR="00F36B1D" w:rsidRPr="00643E71">
        <w:t>mens</w:t>
      </w:r>
      <w:proofErr w:type="spellEnd"/>
      <w:r w:rsidR="00F36B1D" w:rsidRPr="00643E71">
        <w:t xml:space="preserve"> rea</w:t>
      </w:r>
      <w:r w:rsidR="00F36B1D" w:rsidRPr="00F54669">
        <w:t xml:space="preserve"> elements</w:t>
      </w:r>
      <w:r w:rsidR="00F36B1D">
        <w:t xml:space="preserve">. A system of offences based on the underlying conduct </w:t>
      </w:r>
      <w:proofErr w:type="spellStart"/>
      <w:r w:rsidR="00F36B1D">
        <w:t>characterising</w:t>
      </w:r>
      <w:proofErr w:type="spellEnd"/>
      <w:r w:rsidR="00F36B1D">
        <w:t xml:space="preserve"> tax evasion, as opposed to the </w:t>
      </w:r>
      <w:proofErr w:type="gramStart"/>
      <w:r w:rsidR="00F36B1D">
        <w:t>particular type of tax</w:t>
      </w:r>
      <w:proofErr w:type="gramEnd"/>
      <w:r w:rsidR="00F36B1D">
        <w:t xml:space="preserve"> evaded, </w:t>
      </w:r>
      <w:r w:rsidR="00083A33">
        <w:t>would</w:t>
      </w:r>
      <w:r w:rsidR="007936B4">
        <w:t xml:space="preserve"> more </w:t>
      </w:r>
      <w:r w:rsidR="00F36B1D">
        <w:t xml:space="preserve">effectively address the </w:t>
      </w:r>
      <w:r w:rsidR="007A5ADD">
        <w:t>R</w:t>
      </w:r>
      <w:r w:rsidR="00F36B1D">
        <w:t xml:space="preserve">ule of </w:t>
      </w:r>
      <w:r w:rsidR="007A5ADD">
        <w:t>L</w:t>
      </w:r>
      <w:r w:rsidR="00F36B1D">
        <w:t xml:space="preserve">aw’s demands for clarity and certainty. </w:t>
      </w:r>
      <w:r w:rsidR="00A73FA0">
        <w:t xml:space="preserve">This reform should be accompanied by the adoption of enforcement policies. </w:t>
      </w:r>
      <w:proofErr w:type="gramStart"/>
      <w:r w:rsidR="00A73FA0">
        <w:t>In particular, prosecutors</w:t>
      </w:r>
      <w:proofErr w:type="gramEnd"/>
      <w:r w:rsidR="00A73FA0">
        <w:t xml:space="preserve"> should be restricted in their ability to use general white-collar offences, such as fraud and money laundering, in addition or in preference to statutory tax evasion offences. </w:t>
      </w:r>
      <w:r w:rsidR="00A73FA0">
        <w:lastRenderedPageBreak/>
        <w:t>While money laundering or fraud charges may be appropriate in some cases, the</w:t>
      </w:r>
      <w:r w:rsidR="00972775">
        <w:t>se offences</w:t>
      </w:r>
      <w:r w:rsidR="00A73FA0">
        <w:t xml:space="preserve"> should not be used simply because they have </w:t>
      </w:r>
      <w:proofErr w:type="gramStart"/>
      <w:r w:rsidR="00A73FA0">
        <w:t>less</w:t>
      </w:r>
      <w:proofErr w:type="gramEnd"/>
      <w:r w:rsidR="00972775">
        <w:t xml:space="preserve"> </w:t>
      </w:r>
      <w:r w:rsidR="00A73FA0">
        <w:t xml:space="preserve">demanding forms of </w:t>
      </w:r>
      <w:proofErr w:type="spellStart"/>
      <w:r w:rsidR="00A73FA0" w:rsidRPr="00643E71">
        <w:t>mens</w:t>
      </w:r>
      <w:proofErr w:type="spellEnd"/>
      <w:r w:rsidR="00A73FA0" w:rsidRPr="00643E71">
        <w:t xml:space="preserve"> rea</w:t>
      </w:r>
      <w:r w:rsidR="00A73FA0" w:rsidRPr="00C97193">
        <w:t>.</w:t>
      </w:r>
    </w:p>
    <w:p w14:paraId="5B8C23BE" w14:textId="1A0A2AA4" w:rsidR="007936B4" w:rsidRPr="00B40DC5" w:rsidRDefault="0093188B" w:rsidP="00475063">
      <w:pPr>
        <w:pStyle w:val="Heading1"/>
      </w:pPr>
      <w:r>
        <w:t>4</w:t>
      </w:r>
      <w:r w:rsidR="00B40DC5" w:rsidRPr="00B40DC5">
        <w:t xml:space="preserve">. </w:t>
      </w:r>
      <w:r w:rsidR="007936B4" w:rsidRPr="00B40DC5">
        <w:t xml:space="preserve">Conclusion </w:t>
      </w:r>
    </w:p>
    <w:p w14:paraId="18727B5D" w14:textId="05934867" w:rsidR="00796B4D" w:rsidRPr="00E97D17" w:rsidRDefault="0007227A" w:rsidP="00115A0C">
      <w:r>
        <w:t>T</w:t>
      </w:r>
      <w:r w:rsidR="0057464E" w:rsidRPr="00E97D17">
        <w:t xml:space="preserve">he </w:t>
      </w:r>
      <w:r w:rsidR="00796B4D">
        <w:t xml:space="preserve">historic </w:t>
      </w:r>
      <w:r w:rsidR="0057464E" w:rsidRPr="00E97D17">
        <w:t xml:space="preserve">relative disinterest in tax evasion </w:t>
      </w:r>
      <w:r>
        <w:t xml:space="preserve">from both politicians and academics </w:t>
      </w:r>
      <w:r w:rsidR="0057464E" w:rsidRPr="00E97D17">
        <w:t>may be explained by the lack of prosecutions</w:t>
      </w:r>
      <w:r>
        <w:t>.</w:t>
      </w:r>
      <w:r w:rsidR="0057464E" w:rsidRPr="00E97D17">
        <w:rPr>
          <w:rStyle w:val="FootnoteReference"/>
        </w:rPr>
        <w:footnoteReference w:id="206"/>
      </w:r>
      <w:r>
        <w:t xml:space="preserve"> However,</w:t>
      </w:r>
      <w:r w:rsidR="0057464E" w:rsidRPr="00E97D17">
        <w:t xml:space="preserve"> given the increasing use of the criminal justice system, this position is no longer tenable. </w:t>
      </w:r>
      <w:r w:rsidR="007936B4" w:rsidRPr="00E97D17">
        <w:t xml:space="preserve">This </w:t>
      </w:r>
      <w:r w:rsidR="00255D21">
        <w:t>chapter</w:t>
      </w:r>
      <w:r w:rsidR="007936B4" w:rsidRPr="00E97D17">
        <w:t xml:space="preserve"> </w:t>
      </w:r>
      <w:r w:rsidR="007936B4">
        <w:t>demonstrated</w:t>
      </w:r>
      <w:r w:rsidR="007936B4" w:rsidRPr="00E97D17">
        <w:t xml:space="preserve"> that the criminal offences pertaining to tax evasion </w:t>
      </w:r>
      <w:r w:rsidR="00957B6C" w:rsidRPr="00E97D17">
        <w:t>need</w:t>
      </w:r>
      <w:r w:rsidR="007936B4" w:rsidRPr="00E97D17">
        <w:t xml:space="preserve"> simplification and </w:t>
      </w:r>
      <w:proofErr w:type="spellStart"/>
      <w:r w:rsidR="007936B4" w:rsidRPr="00E97D17">
        <w:t>modernisation</w:t>
      </w:r>
      <w:proofErr w:type="spellEnd"/>
      <w:r w:rsidR="007936B4" w:rsidRPr="00E97D17">
        <w:t xml:space="preserve"> through the enactment of a contemporary statute, returning doctrinal coherence to this increasingly </w:t>
      </w:r>
      <w:proofErr w:type="spellStart"/>
      <w:r w:rsidR="007936B4" w:rsidRPr="00E97D17">
        <w:t>utilised</w:t>
      </w:r>
      <w:proofErr w:type="spellEnd"/>
      <w:r w:rsidR="007936B4" w:rsidRPr="00E97D17">
        <w:t xml:space="preserve"> area of criminal law. There are several options for a logical tax evasion framework, including a statutory cheating offence</w:t>
      </w:r>
      <w:r w:rsidR="007936B4">
        <w:t>. However, this chapter calls for a US-style</w:t>
      </w:r>
      <w:r w:rsidR="007936B4" w:rsidRPr="00E97D17">
        <w:t xml:space="preserve"> system of offences based on the underlying conduct, with different sanctions for different degrees of culpability. </w:t>
      </w:r>
      <w:r w:rsidR="009D644C" w:rsidRPr="00E97D17">
        <w:t xml:space="preserve">In contrast to the </w:t>
      </w:r>
      <w:r w:rsidR="0057464E">
        <w:t xml:space="preserve">current </w:t>
      </w:r>
      <w:r w:rsidR="009D644C" w:rsidRPr="00E97D17">
        <w:t xml:space="preserve">patchwork of tax evasion offences, significant efforts have been taken to consolidate and </w:t>
      </w:r>
      <w:proofErr w:type="spellStart"/>
      <w:r w:rsidR="009D644C" w:rsidRPr="00E97D17">
        <w:t>modernise</w:t>
      </w:r>
      <w:proofErr w:type="spellEnd"/>
      <w:r w:rsidR="009D644C" w:rsidRPr="00E97D17">
        <w:t xml:space="preserve"> other financial crimes</w:t>
      </w:r>
      <w:r w:rsidR="008F0A33" w:rsidRPr="00E97D17">
        <w:t xml:space="preserve"> in the UK</w:t>
      </w:r>
      <w:r w:rsidR="009D644C" w:rsidRPr="00E97D17">
        <w:t xml:space="preserve">, such as terrorism financing, money laundering, fraud and bribery, through the enactment of the Terrorism Act 2000, the Proceeds of Crime Act 2002, the Fraud Act 2006 and the Bribery Act 2010 respectively. </w:t>
      </w:r>
      <w:r w:rsidR="0057464E">
        <w:t>As such, this chapter calls for the next seminal economic crime statute</w:t>
      </w:r>
      <w:r w:rsidR="00D51167">
        <w:t>,</w:t>
      </w:r>
      <w:r w:rsidR="0057464E">
        <w:t xml:space="preserve"> enacting a logical scheme of tax evasion offences.</w:t>
      </w:r>
      <w:r w:rsidR="002B18A9">
        <w:t xml:space="preserve"> </w:t>
      </w:r>
    </w:p>
    <w:sectPr w:rsidR="00796B4D" w:rsidRPr="00E97D17">
      <w:footerReference w:type="defaul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D524214" w14:textId="77777777" w:rsidR="00A0406D" w:rsidRDefault="00A0406D" w:rsidP="009A1D53">
      <w:r>
        <w:separator/>
      </w:r>
    </w:p>
  </w:endnote>
  <w:endnote w:type="continuationSeparator" w:id="0">
    <w:p w14:paraId="786CA392" w14:textId="77777777" w:rsidR="00A0406D" w:rsidRDefault="00A0406D" w:rsidP="009A1D5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RMT">
    <w:altName w:val="Times New Roman"/>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69508497"/>
      <w:docPartObj>
        <w:docPartGallery w:val="Page Numbers (Bottom of Page)"/>
        <w:docPartUnique/>
      </w:docPartObj>
    </w:sdtPr>
    <w:sdtEndPr>
      <w:rPr>
        <w:noProof/>
      </w:rPr>
    </w:sdtEndPr>
    <w:sdtContent>
      <w:p w14:paraId="7766F196" w14:textId="6C265C57" w:rsidR="00A0406D" w:rsidRDefault="00A0406D">
        <w:pPr>
          <w:pStyle w:val="Footer"/>
          <w:jc w:val="center"/>
        </w:pPr>
        <w:r>
          <w:fldChar w:fldCharType="begin"/>
        </w:r>
        <w:r>
          <w:instrText xml:space="preserve"> PAGE   \* MERGEFORMAT </w:instrText>
        </w:r>
        <w:r>
          <w:fldChar w:fldCharType="separate"/>
        </w:r>
        <w:r>
          <w:rPr>
            <w:noProof/>
          </w:rPr>
          <w:t>11</w:t>
        </w:r>
        <w:r>
          <w:rPr>
            <w:noProof/>
          </w:rPr>
          <w:fldChar w:fldCharType="end"/>
        </w:r>
      </w:p>
    </w:sdtContent>
  </w:sdt>
  <w:p w14:paraId="434F0167" w14:textId="77777777" w:rsidR="00A0406D" w:rsidRDefault="00A0406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2218504" w14:textId="77777777" w:rsidR="00A0406D" w:rsidRDefault="00A0406D" w:rsidP="009A1D53">
      <w:r>
        <w:separator/>
      </w:r>
    </w:p>
  </w:footnote>
  <w:footnote w:type="continuationSeparator" w:id="0">
    <w:p w14:paraId="1FBE1A67" w14:textId="77777777" w:rsidR="00A0406D" w:rsidRDefault="00A0406D" w:rsidP="009A1D53">
      <w:r>
        <w:continuationSeparator/>
      </w:r>
    </w:p>
  </w:footnote>
  <w:footnote w:id="1">
    <w:p w14:paraId="294C2015" w14:textId="3ED8987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t>*</w:t>
      </w:r>
      <w:r w:rsidRPr="0089053D">
        <w:rPr>
          <w:rFonts w:ascii="Times New Roman" w:hAnsi="Times New Roman" w:cs="Times New Roman"/>
        </w:rPr>
        <w:t xml:space="preserve"> </w:t>
      </w:r>
      <w:r w:rsidR="00475063">
        <w:rPr>
          <w:rFonts w:ascii="Times New Roman" w:hAnsi="Times New Roman" w:cs="Times New Roman"/>
        </w:rPr>
        <w:t xml:space="preserve">Senior </w:t>
      </w:r>
      <w:r w:rsidRPr="0089053D">
        <w:rPr>
          <w:rFonts w:ascii="Times New Roman" w:hAnsi="Times New Roman" w:cs="Times New Roman"/>
        </w:rPr>
        <w:t>Lecturer in Law, University of the West of England.</w:t>
      </w:r>
    </w:p>
  </w:footnote>
  <w:footnote w:id="2">
    <w:p w14:paraId="35B7DA3A" w14:textId="536E8AD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Tackling Fraud against the Inland Revenue: Report by the Comptroller and Auditor General </w:t>
      </w:r>
      <w:r w:rsidRPr="0089053D">
        <w:rPr>
          <w:rFonts w:ascii="Times New Roman" w:hAnsi="Times New Roman" w:cs="Times New Roman"/>
        </w:rPr>
        <w:t>HC 429 (2002</w:t>
      </w:r>
      <w:r>
        <w:rPr>
          <w:rFonts w:ascii="Times New Roman" w:hAnsi="Times New Roman" w:cs="Times New Roman"/>
        </w:rPr>
        <w:t>‒</w:t>
      </w:r>
      <w:r w:rsidRPr="0089053D">
        <w:rPr>
          <w:rFonts w:ascii="Times New Roman" w:hAnsi="Times New Roman" w:cs="Times New Roman"/>
        </w:rPr>
        <w:t>03) 39.</w:t>
      </w:r>
    </w:p>
  </w:footnote>
  <w:footnote w:id="3">
    <w:p w14:paraId="693BB005" w14:textId="52D1EA1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Inland Revenue, </w:t>
      </w:r>
      <w:r w:rsidRPr="0089053D">
        <w:rPr>
          <w:rFonts w:ascii="Times New Roman" w:hAnsi="Times New Roman" w:cs="Times New Roman"/>
          <w:i/>
        </w:rPr>
        <w:t xml:space="preserve">Report of the Commissioners of Her Majesty’s Inland Revenue for the Year Ending 31st March 2002, One-Hundred and Forty-Fourth Report </w:t>
      </w:r>
      <w:r w:rsidRPr="0089053D">
        <w:rPr>
          <w:rFonts w:ascii="Times New Roman" w:hAnsi="Times New Roman" w:cs="Times New Roman"/>
        </w:rPr>
        <w:t>(Cm 5706, 2002). Customs and Excise typically made greater use of the criminal justice system in addressing tax offences, bringing 127 prosecutions in 1998</w:t>
      </w:r>
      <w:r>
        <w:rPr>
          <w:rFonts w:ascii="Times New Roman" w:hAnsi="Times New Roman" w:cs="Times New Roman"/>
        </w:rPr>
        <w:t>‒</w:t>
      </w:r>
      <w:r w:rsidRPr="0089053D">
        <w:rPr>
          <w:rFonts w:ascii="Times New Roman" w:hAnsi="Times New Roman" w:cs="Times New Roman"/>
        </w:rPr>
        <w:t xml:space="preserve">9, Lord </w:t>
      </w:r>
      <w:proofErr w:type="spellStart"/>
      <w:r w:rsidRPr="0089053D">
        <w:rPr>
          <w:rFonts w:ascii="Times New Roman" w:hAnsi="Times New Roman" w:cs="Times New Roman"/>
        </w:rPr>
        <w:t>Grabiner</w:t>
      </w:r>
      <w:proofErr w:type="spellEnd"/>
      <w:r w:rsidRPr="0089053D">
        <w:rPr>
          <w:rFonts w:ascii="Times New Roman" w:hAnsi="Times New Roman" w:cs="Times New Roman"/>
        </w:rPr>
        <w:t xml:space="preserve"> QC, </w:t>
      </w:r>
      <w:r w:rsidRPr="0089053D">
        <w:rPr>
          <w:rFonts w:ascii="Times New Roman" w:hAnsi="Times New Roman" w:cs="Times New Roman"/>
          <w:i/>
        </w:rPr>
        <w:t>The Informal Economy</w:t>
      </w:r>
      <w:r w:rsidRPr="0089053D">
        <w:rPr>
          <w:rFonts w:ascii="Times New Roman" w:hAnsi="Times New Roman" w:cs="Times New Roman"/>
        </w:rPr>
        <w:t xml:space="preserve"> (HM Treasury, March 2000) 34.</w:t>
      </w:r>
    </w:p>
  </w:footnote>
  <w:footnote w:id="4">
    <w:p w14:paraId="31DC9E90" w14:textId="5A0E823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Committee of Public Accounts, HMRC: Tackling the Hidden Economy </w:t>
      </w:r>
      <w:r w:rsidRPr="0089053D">
        <w:rPr>
          <w:rFonts w:ascii="Times New Roman" w:hAnsi="Times New Roman" w:cs="Times New Roman"/>
        </w:rPr>
        <w:t>HC 712 (2007</w:t>
      </w:r>
      <w:r>
        <w:rPr>
          <w:rFonts w:ascii="Times New Roman" w:hAnsi="Times New Roman" w:cs="Times New Roman"/>
        </w:rPr>
        <w:t>‒</w:t>
      </w:r>
      <w:r w:rsidRPr="0089053D">
        <w:rPr>
          <w:rFonts w:ascii="Times New Roman" w:hAnsi="Times New Roman" w:cs="Times New Roman"/>
        </w:rPr>
        <w:t>08) 6.</w:t>
      </w:r>
    </w:p>
  </w:footnote>
  <w:footnote w:id="5">
    <w:p w14:paraId="77BBBF9E" w14:textId="79A58C1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Treasury Committee,</w:t>
      </w:r>
      <w:r w:rsidRPr="0089053D">
        <w:rPr>
          <w:rFonts w:ascii="Times New Roman" w:hAnsi="Times New Roman" w:cs="Times New Roman"/>
        </w:rPr>
        <w:t xml:space="preserve"> </w:t>
      </w:r>
      <w:r w:rsidRPr="0089053D">
        <w:rPr>
          <w:rFonts w:ascii="Times New Roman" w:hAnsi="Times New Roman" w:cs="Times New Roman"/>
          <w:i/>
        </w:rPr>
        <w:t xml:space="preserve">Closing the Tax Gap: HMRC’s Record at Ensuring Compliance </w:t>
      </w:r>
      <w:r w:rsidRPr="0089053D">
        <w:rPr>
          <w:rFonts w:ascii="Times New Roman" w:hAnsi="Times New Roman" w:cs="Times New Roman"/>
        </w:rPr>
        <w:t>HC 1371 (2010</w:t>
      </w:r>
      <w:r>
        <w:rPr>
          <w:rFonts w:ascii="Times New Roman" w:hAnsi="Times New Roman" w:cs="Times New Roman"/>
        </w:rPr>
        <w:t>‒</w:t>
      </w:r>
      <w:r w:rsidRPr="0089053D">
        <w:rPr>
          <w:rFonts w:ascii="Times New Roman" w:hAnsi="Times New Roman" w:cs="Times New Roman"/>
        </w:rPr>
        <w:t>12) 11.</w:t>
      </w:r>
    </w:p>
  </w:footnote>
  <w:footnote w:id="6">
    <w:p w14:paraId="4E7E68BB" w14:textId="01A33F6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Public Accounts Committee, Oral Evidence: Tax Avoidance and Evasion: HSBC</w:t>
      </w:r>
      <w:r w:rsidRPr="0089053D">
        <w:rPr>
          <w:rFonts w:ascii="Times New Roman" w:hAnsi="Times New Roman" w:cs="Times New Roman"/>
        </w:rPr>
        <w:t xml:space="preserve"> HC 1095 (2014</w:t>
      </w:r>
      <w:r>
        <w:rPr>
          <w:rFonts w:ascii="Times New Roman" w:hAnsi="Times New Roman" w:cs="Times New Roman"/>
        </w:rPr>
        <w:t>‒</w:t>
      </w:r>
      <w:r w:rsidRPr="0089053D">
        <w:rPr>
          <w:rFonts w:ascii="Times New Roman" w:hAnsi="Times New Roman" w:cs="Times New Roman"/>
        </w:rPr>
        <w:t xml:space="preserve">15); </w:t>
      </w:r>
      <w:r w:rsidRPr="0089053D">
        <w:rPr>
          <w:rFonts w:ascii="Times New Roman" w:hAnsi="Times New Roman" w:cs="Times New Roman"/>
          <w:i/>
        </w:rPr>
        <w:t>Public Accounts Committee,</w:t>
      </w:r>
      <w:r w:rsidRPr="0089053D">
        <w:rPr>
          <w:rFonts w:ascii="Times New Roman" w:hAnsi="Times New Roman" w:cs="Times New Roman"/>
        </w:rPr>
        <w:t xml:space="preserve"> </w:t>
      </w:r>
      <w:r w:rsidRPr="0089053D">
        <w:rPr>
          <w:rFonts w:ascii="Times New Roman" w:hAnsi="Times New Roman" w:cs="Times New Roman"/>
          <w:i/>
        </w:rPr>
        <w:t xml:space="preserve">Oral Evidence: Increasing the Effectiveness of Tax Collection: A </w:t>
      </w:r>
      <w:proofErr w:type="spellStart"/>
      <w:r w:rsidRPr="0089053D">
        <w:rPr>
          <w:rFonts w:ascii="Times New Roman" w:hAnsi="Times New Roman" w:cs="Times New Roman"/>
          <w:i/>
        </w:rPr>
        <w:t>Stocktake</w:t>
      </w:r>
      <w:proofErr w:type="spellEnd"/>
      <w:r w:rsidRPr="0089053D">
        <w:rPr>
          <w:rFonts w:ascii="Times New Roman" w:hAnsi="Times New Roman" w:cs="Times New Roman"/>
          <w:i/>
        </w:rPr>
        <w:t xml:space="preserve"> of Progress Since 2010 </w:t>
      </w:r>
      <w:r w:rsidRPr="0089053D">
        <w:rPr>
          <w:rFonts w:ascii="Times New Roman" w:hAnsi="Times New Roman" w:cs="Times New Roman"/>
        </w:rPr>
        <w:t>HC 974 (2014</w:t>
      </w:r>
      <w:r>
        <w:rPr>
          <w:rFonts w:ascii="Times New Roman" w:hAnsi="Times New Roman" w:cs="Times New Roman"/>
        </w:rPr>
        <w:t>‒</w:t>
      </w:r>
      <w:r w:rsidRPr="0089053D">
        <w:rPr>
          <w:rFonts w:ascii="Times New Roman" w:hAnsi="Times New Roman" w:cs="Times New Roman"/>
        </w:rPr>
        <w:t>15).</w:t>
      </w:r>
    </w:p>
  </w:footnote>
  <w:footnote w:id="7">
    <w:p w14:paraId="08AA9475" w14:textId="6EC2FD7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HM Treasury,</w:t>
      </w:r>
      <w:r w:rsidRPr="0089053D">
        <w:rPr>
          <w:rFonts w:ascii="Times New Roman" w:hAnsi="Times New Roman" w:cs="Times New Roman"/>
        </w:rPr>
        <w:t xml:space="preserve"> </w:t>
      </w:r>
      <w:r w:rsidRPr="0089053D">
        <w:rPr>
          <w:rFonts w:ascii="Times New Roman" w:hAnsi="Times New Roman" w:cs="Times New Roman"/>
          <w:i/>
        </w:rPr>
        <w:t xml:space="preserve">Summer Budget 2015 </w:t>
      </w:r>
      <w:r w:rsidRPr="0089053D">
        <w:rPr>
          <w:rFonts w:ascii="Times New Roman" w:hAnsi="Times New Roman" w:cs="Times New Roman"/>
        </w:rPr>
        <w:t>HC 264 (2015</w:t>
      </w:r>
      <w:r>
        <w:rPr>
          <w:rFonts w:ascii="Times New Roman" w:hAnsi="Times New Roman" w:cs="Times New Roman"/>
        </w:rPr>
        <w:t>‒</w:t>
      </w:r>
      <w:r w:rsidRPr="0089053D">
        <w:rPr>
          <w:rFonts w:ascii="Times New Roman" w:hAnsi="Times New Roman" w:cs="Times New Roman"/>
        </w:rPr>
        <w:t>16) 43.</w:t>
      </w:r>
    </w:p>
  </w:footnote>
  <w:footnote w:id="8">
    <w:p w14:paraId="130E00E2" w14:textId="471B317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National Audit Office,</w:t>
      </w:r>
      <w:r w:rsidRPr="0089053D">
        <w:rPr>
          <w:rFonts w:ascii="Times New Roman" w:hAnsi="Times New Roman" w:cs="Times New Roman"/>
        </w:rPr>
        <w:t xml:space="preserve"> </w:t>
      </w:r>
      <w:r w:rsidRPr="0089053D">
        <w:rPr>
          <w:rFonts w:ascii="Times New Roman" w:hAnsi="Times New Roman" w:cs="Times New Roman"/>
          <w:i/>
        </w:rPr>
        <w:t xml:space="preserve">Tackling Tax Fraud: How HMRC Responds to Tax Evasion, The Hidden Economy and Criminal Attacks </w:t>
      </w:r>
      <w:r w:rsidRPr="0089053D">
        <w:rPr>
          <w:rFonts w:ascii="Times New Roman" w:hAnsi="Times New Roman" w:cs="Times New Roman"/>
        </w:rPr>
        <w:t>HC 610 (2015</w:t>
      </w:r>
      <w:r>
        <w:rPr>
          <w:rFonts w:ascii="Times New Roman" w:hAnsi="Times New Roman" w:cs="Times New Roman"/>
        </w:rPr>
        <w:t>‒</w:t>
      </w:r>
      <w:r w:rsidRPr="0089053D">
        <w:rPr>
          <w:rFonts w:ascii="Times New Roman" w:hAnsi="Times New Roman" w:cs="Times New Roman"/>
        </w:rPr>
        <w:t xml:space="preserve">16) 33; </w:t>
      </w:r>
      <w:r w:rsidRPr="0089053D">
        <w:rPr>
          <w:rFonts w:ascii="Times New Roman" w:hAnsi="Times New Roman" w:cs="Times New Roman"/>
          <w:i/>
        </w:rPr>
        <w:t>HM Revenue and Customs,</w:t>
      </w:r>
      <w:r w:rsidRPr="0089053D">
        <w:rPr>
          <w:rFonts w:ascii="Times New Roman" w:hAnsi="Times New Roman" w:cs="Times New Roman"/>
        </w:rPr>
        <w:t xml:space="preserve"> </w:t>
      </w:r>
      <w:r w:rsidRPr="0089053D">
        <w:rPr>
          <w:rFonts w:ascii="Times New Roman" w:hAnsi="Times New Roman" w:cs="Times New Roman"/>
          <w:i/>
        </w:rPr>
        <w:t>Annual Report and Accounts 2014</w:t>
      </w:r>
      <w:r>
        <w:rPr>
          <w:rFonts w:ascii="Times New Roman" w:hAnsi="Times New Roman" w:cs="Times New Roman"/>
          <w:i/>
        </w:rPr>
        <w:t>‒</w:t>
      </w:r>
      <w:r w:rsidRPr="0089053D">
        <w:rPr>
          <w:rFonts w:ascii="Times New Roman" w:hAnsi="Times New Roman" w:cs="Times New Roman"/>
          <w:i/>
        </w:rPr>
        <w:t xml:space="preserve">15 (For the year ended 31 March 2015) </w:t>
      </w:r>
      <w:r w:rsidRPr="0089053D">
        <w:rPr>
          <w:rFonts w:ascii="Times New Roman" w:hAnsi="Times New Roman" w:cs="Times New Roman"/>
        </w:rPr>
        <w:t>HC 18 (2014</w:t>
      </w:r>
      <w:r>
        <w:rPr>
          <w:rFonts w:ascii="Times New Roman" w:hAnsi="Times New Roman" w:cs="Times New Roman"/>
        </w:rPr>
        <w:t>‒</w:t>
      </w:r>
      <w:r w:rsidRPr="0089053D">
        <w:rPr>
          <w:rFonts w:ascii="Times New Roman" w:hAnsi="Times New Roman" w:cs="Times New Roman"/>
        </w:rPr>
        <w:t>15) 16.</w:t>
      </w:r>
    </w:p>
  </w:footnote>
  <w:footnote w:id="9">
    <w:p w14:paraId="4B5D0005" w14:textId="7953D49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HM Revenue and Customs,</w:t>
      </w:r>
      <w:r w:rsidRPr="0089053D">
        <w:rPr>
          <w:rFonts w:ascii="Times New Roman" w:hAnsi="Times New Roman" w:cs="Times New Roman"/>
        </w:rPr>
        <w:t xml:space="preserve"> </w:t>
      </w:r>
      <w:r w:rsidRPr="0089053D">
        <w:rPr>
          <w:rFonts w:ascii="Times New Roman" w:hAnsi="Times New Roman" w:cs="Times New Roman"/>
          <w:i/>
        </w:rPr>
        <w:t>Annual Report and Accounts 2015</w:t>
      </w:r>
      <w:r>
        <w:rPr>
          <w:rFonts w:ascii="Times New Roman" w:hAnsi="Times New Roman" w:cs="Times New Roman"/>
          <w:i/>
        </w:rPr>
        <w:t>‒</w:t>
      </w:r>
      <w:r w:rsidRPr="0089053D">
        <w:rPr>
          <w:rFonts w:ascii="Times New Roman" w:hAnsi="Times New Roman" w:cs="Times New Roman"/>
          <w:i/>
        </w:rPr>
        <w:t>16 (For the year ended 31 March 2016)</w:t>
      </w:r>
      <w:r w:rsidRPr="0089053D">
        <w:rPr>
          <w:rFonts w:ascii="Times New Roman" w:hAnsi="Times New Roman" w:cs="Times New Roman"/>
        </w:rPr>
        <w:t xml:space="preserve"> HC 338 (2015</w:t>
      </w:r>
      <w:r>
        <w:rPr>
          <w:rFonts w:ascii="Times New Roman" w:hAnsi="Times New Roman" w:cs="Times New Roman"/>
        </w:rPr>
        <w:t>‒</w:t>
      </w:r>
      <w:r w:rsidRPr="0089053D">
        <w:rPr>
          <w:rFonts w:ascii="Times New Roman" w:hAnsi="Times New Roman" w:cs="Times New Roman"/>
        </w:rPr>
        <w:t>16) 22.</w:t>
      </w:r>
    </w:p>
  </w:footnote>
  <w:footnote w:id="10">
    <w:p w14:paraId="49D68A42" w14:textId="282A112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HM Revenue and Customs,</w:t>
      </w:r>
      <w:r w:rsidRPr="0089053D">
        <w:rPr>
          <w:rFonts w:ascii="Times New Roman" w:hAnsi="Times New Roman" w:cs="Times New Roman"/>
        </w:rPr>
        <w:t xml:space="preserve"> </w:t>
      </w:r>
      <w:r w:rsidRPr="0089053D">
        <w:rPr>
          <w:rFonts w:ascii="Times New Roman" w:hAnsi="Times New Roman" w:cs="Times New Roman"/>
          <w:i/>
        </w:rPr>
        <w:t>Annual Report and Accounts 2016</w:t>
      </w:r>
      <w:r>
        <w:rPr>
          <w:rFonts w:ascii="Times New Roman" w:hAnsi="Times New Roman" w:cs="Times New Roman"/>
          <w:i/>
        </w:rPr>
        <w:t>‒</w:t>
      </w:r>
      <w:r w:rsidRPr="0089053D">
        <w:rPr>
          <w:rFonts w:ascii="Times New Roman" w:hAnsi="Times New Roman" w:cs="Times New Roman"/>
          <w:i/>
        </w:rPr>
        <w:t xml:space="preserve">17 (For the year ended 31 March 2017) </w:t>
      </w:r>
      <w:r w:rsidRPr="0089053D">
        <w:rPr>
          <w:rFonts w:ascii="Times New Roman" w:hAnsi="Times New Roman" w:cs="Times New Roman"/>
        </w:rPr>
        <w:t>HC 18 (2016</w:t>
      </w:r>
      <w:r>
        <w:rPr>
          <w:rFonts w:ascii="Times New Roman" w:hAnsi="Times New Roman" w:cs="Times New Roman"/>
        </w:rPr>
        <w:t>‒</w:t>
      </w:r>
      <w:r w:rsidRPr="0089053D">
        <w:rPr>
          <w:rFonts w:ascii="Times New Roman" w:hAnsi="Times New Roman" w:cs="Times New Roman"/>
        </w:rPr>
        <w:t>17) 24.</w:t>
      </w:r>
    </w:p>
  </w:footnote>
  <w:footnote w:id="11">
    <w:p w14:paraId="4682DE3E" w14:textId="60BA90B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HM Revenue and Customs,</w:t>
      </w:r>
      <w:r w:rsidRPr="0089053D">
        <w:rPr>
          <w:rFonts w:ascii="Times New Roman" w:hAnsi="Times New Roman" w:cs="Times New Roman"/>
        </w:rPr>
        <w:t xml:space="preserve"> </w:t>
      </w:r>
      <w:r w:rsidRPr="0089053D">
        <w:rPr>
          <w:rFonts w:ascii="Times New Roman" w:hAnsi="Times New Roman" w:cs="Times New Roman"/>
          <w:i/>
        </w:rPr>
        <w:t>Annual Report and Accounts 2017</w:t>
      </w:r>
      <w:r>
        <w:rPr>
          <w:rFonts w:ascii="Times New Roman" w:hAnsi="Times New Roman" w:cs="Times New Roman"/>
          <w:i/>
        </w:rPr>
        <w:t>‒</w:t>
      </w:r>
      <w:r w:rsidRPr="0089053D">
        <w:rPr>
          <w:rFonts w:ascii="Times New Roman" w:hAnsi="Times New Roman" w:cs="Times New Roman"/>
          <w:i/>
        </w:rPr>
        <w:t xml:space="preserve">18 (For the year ended 31 March 2018) </w:t>
      </w:r>
      <w:r w:rsidRPr="0089053D">
        <w:rPr>
          <w:rFonts w:ascii="Times New Roman" w:hAnsi="Times New Roman" w:cs="Times New Roman"/>
        </w:rPr>
        <w:t>HC 1222 (2017</w:t>
      </w:r>
      <w:r>
        <w:rPr>
          <w:rFonts w:ascii="Times New Roman" w:hAnsi="Times New Roman" w:cs="Times New Roman"/>
        </w:rPr>
        <w:t>‒</w:t>
      </w:r>
      <w:r w:rsidRPr="0089053D">
        <w:rPr>
          <w:rFonts w:ascii="Times New Roman" w:hAnsi="Times New Roman" w:cs="Times New Roman"/>
        </w:rPr>
        <w:t>18) 25.</w:t>
      </w:r>
    </w:p>
  </w:footnote>
  <w:footnote w:id="12">
    <w:p w14:paraId="751A52C9" w14:textId="3530F10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HM Revenue &amp; Customs,</w:t>
      </w:r>
      <w:r w:rsidRPr="0089053D">
        <w:rPr>
          <w:rFonts w:ascii="Times New Roman" w:hAnsi="Times New Roman" w:cs="Times New Roman"/>
          <w:i/>
        </w:rPr>
        <w:t xml:space="preserve"> HMRC Quarterly Performance Report: October to December 2020</w:t>
      </w:r>
      <w:r w:rsidRPr="0089053D">
        <w:rPr>
          <w:rFonts w:ascii="Times New Roman" w:hAnsi="Times New Roman" w:cs="Times New Roman"/>
        </w:rPr>
        <w:t xml:space="preserve"> (HMRC Corporate Report, 4 February 2021) Data Table. </w:t>
      </w:r>
    </w:p>
  </w:footnote>
  <w:footnote w:id="13">
    <w:p w14:paraId="695917FD" w14:textId="6E8921D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HM Revenue &amp; Customs,</w:t>
      </w:r>
      <w:r w:rsidRPr="0089053D">
        <w:rPr>
          <w:rFonts w:ascii="Times New Roman" w:hAnsi="Times New Roman" w:cs="Times New Roman"/>
          <w:i/>
        </w:rPr>
        <w:t xml:space="preserve"> HMRC Quarterly Performance Report: January to March 2022 </w:t>
      </w:r>
      <w:r w:rsidRPr="0089053D">
        <w:rPr>
          <w:rFonts w:ascii="Times New Roman" w:hAnsi="Times New Roman" w:cs="Times New Roman"/>
        </w:rPr>
        <w:t xml:space="preserve">(HMRC Corporate Report, 18 July 2022) Data Table. </w:t>
      </w:r>
    </w:p>
  </w:footnote>
  <w:footnote w:id="14">
    <w:p w14:paraId="2D5D21FF" w14:textId="0D7129D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At present, the only comprehensive study is P </w:t>
      </w:r>
      <w:proofErr w:type="spellStart"/>
      <w:r w:rsidRPr="0089053D">
        <w:rPr>
          <w:rFonts w:ascii="Times New Roman" w:hAnsi="Times New Roman" w:cs="Times New Roman"/>
        </w:rPr>
        <w:t>Alldridge</w:t>
      </w:r>
      <w:proofErr w:type="spellEnd"/>
      <w:r w:rsidRPr="0089053D">
        <w:rPr>
          <w:rFonts w:ascii="Times New Roman" w:hAnsi="Times New Roman" w:cs="Times New Roman"/>
        </w:rPr>
        <w:t xml:space="preserve">, </w:t>
      </w:r>
      <w:r w:rsidRPr="0089053D">
        <w:rPr>
          <w:rFonts w:ascii="Times New Roman" w:hAnsi="Times New Roman" w:cs="Times New Roman"/>
          <w:i/>
        </w:rPr>
        <w:t>Criminal Justice and Taxation</w:t>
      </w:r>
      <w:r w:rsidRPr="0089053D">
        <w:rPr>
          <w:rFonts w:ascii="Times New Roman" w:hAnsi="Times New Roman" w:cs="Times New Roman"/>
        </w:rPr>
        <w:t xml:space="preserve"> (OUP, 2017). </w:t>
      </w:r>
    </w:p>
  </w:footnote>
  <w:footnote w:id="15">
    <w:p w14:paraId="1B44904E" w14:textId="7FCF395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Enacted as a summary offence in the Finance Act 2000, s</w:t>
      </w:r>
      <w:r>
        <w:rPr>
          <w:rFonts w:ascii="Times New Roman" w:hAnsi="Times New Roman" w:cs="Times New Roman"/>
        </w:rPr>
        <w:t xml:space="preserve"> </w:t>
      </w:r>
      <w:r w:rsidRPr="0089053D">
        <w:rPr>
          <w:rFonts w:ascii="Times New Roman" w:hAnsi="Times New Roman" w:cs="Times New Roman"/>
        </w:rPr>
        <w:t>144. The offence is now contained in s</w:t>
      </w:r>
      <w:r>
        <w:rPr>
          <w:rFonts w:ascii="Times New Roman" w:hAnsi="Times New Roman" w:cs="Times New Roman"/>
        </w:rPr>
        <w:t xml:space="preserve"> </w:t>
      </w:r>
      <w:r w:rsidRPr="0089053D">
        <w:rPr>
          <w:rFonts w:ascii="Times New Roman" w:hAnsi="Times New Roman" w:cs="Times New Roman"/>
        </w:rPr>
        <w:t>106A of the Taxes Management Act 1970 and is triable either way.</w:t>
      </w:r>
    </w:p>
  </w:footnote>
  <w:footnote w:id="16">
    <w:p w14:paraId="3060CEA3" w14:textId="314F344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 Salter, ‘Some Thoughts on the Fraudulent Evasion of Income Tax’ (2002) 6 </w:t>
      </w:r>
      <w:r w:rsidRPr="0089053D">
        <w:rPr>
          <w:rFonts w:ascii="Times New Roman" w:hAnsi="Times New Roman" w:cs="Times New Roman"/>
          <w:i/>
        </w:rPr>
        <w:t>British Tax Review</w:t>
      </w:r>
      <w:r w:rsidRPr="0089053D">
        <w:rPr>
          <w:rFonts w:ascii="Times New Roman" w:hAnsi="Times New Roman" w:cs="Times New Roman"/>
        </w:rPr>
        <w:t xml:space="preserve"> 489, 503.</w:t>
      </w:r>
    </w:p>
  </w:footnote>
  <w:footnote w:id="17">
    <w:p w14:paraId="0CE415F0" w14:textId="55E5B117" w:rsidR="00A0406D" w:rsidRPr="00EC08AA"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EC08AA">
        <w:rPr>
          <w:rFonts w:ascii="Times New Roman" w:hAnsi="Times New Roman" w:cs="Times New Roman"/>
        </w:rPr>
        <w:t xml:space="preserve"> </w:t>
      </w:r>
      <w:r w:rsidRPr="00EC08AA">
        <w:rPr>
          <w:rFonts w:ascii="Times New Roman" w:hAnsi="Times New Roman" w:cs="Times New Roman"/>
          <w:i/>
        </w:rPr>
        <w:t xml:space="preserve">Tuck </w:t>
      </w:r>
      <w:r w:rsidRPr="00EC08AA">
        <w:rPr>
          <w:rFonts w:ascii="Times New Roman" w:hAnsi="Times New Roman" w:cs="Times New Roman"/>
        </w:rPr>
        <w:t>[2018] EWCA Crim 2529</w:t>
      </w:r>
      <w:r>
        <w:rPr>
          <w:rFonts w:ascii="Times New Roman" w:hAnsi="Times New Roman" w:cs="Times New Roman"/>
        </w:rPr>
        <w:t>,</w:t>
      </w:r>
      <w:r w:rsidRPr="00EC08AA">
        <w:rPr>
          <w:rFonts w:ascii="Times New Roman" w:hAnsi="Times New Roman" w:cs="Times New Roman"/>
        </w:rPr>
        <w:t xml:space="preserve"> [11]. </w:t>
      </w:r>
    </w:p>
  </w:footnote>
  <w:footnote w:id="18">
    <w:p w14:paraId="252A600C" w14:textId="2333143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Martin and another</w:t>
      </w:r>
      <w:r w:rsidRPr="0089053D">
        <w:rPr>
          <w:rFonts w:ascii="Times New Roman" w:hAnsi="Times New Roman" w:cs="Times New Roman"/>
        </w:rPr>
        <w:t xml:space="preserve"> [1998] 2 Cr App R 385 (CA); Although reflected in sentencing, </w:t>
      </w:r>
      <w:r w:rsidRPr="0089053D">
        <w:rPr>
          <w:rFonts w:ascii="Times New Roman" w:hAnsi="Times New Roman" w:cs="Times New Roman"/>
          <w:i/>
        </w:rPr>
        <w:t xml:space="preserve">Khan </w:t>
      </w:r>
      <w:r w:rsidRPr="0089053D">
        <w:rPr>
          <w:rFonts w:ascii="Times New Roman" w:hAnsi="Times New Roman" w:cs="Times New Roman"/>
        </w:rPr>
        <w:t>[2017] EWCA Crim 703.</w:t>
      </w:r>
    </w:p>
  </w:footnote>
  <w:footnote w:id="19">
    <w:p w14:paraId="65B36740" w14:textId="4B8C29B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DC Ormerod, ‘Summary Evasion of Income Tax’ [2002] </w:t>
      </w:r>
      <w:r w:rsidRPr="0089053D">
        <w:rPr>
          <w:rFonts w:ascii="Times New Roman" w:hAnsi="Times New Roman" w:cs="Times New Roman"/>
          <w:i/>
          <w:iCs/>
        </w:rPr>
        <w:t>Crim</w:t>
      </w:r>
      <w:r>
        <w:rPr>
          <w:rFonts w:ascii="Times New Roman" w:hAnsi="Times New Roman" w:cs="Times New Roman"/>
          <w:i/>
          <w:iCs/>
        </w:rPr>
        <w:t xml:space="preserve"> </w:t>
      </w:r>
      <w:r w:rsidRPr="0089053D">
        <w:rPr>
          <w:rFonts w:ascii="Times New Roman" w:hAnsi="Times New Roman" w:cs="Times New Roman"/>
          <w:i/>
          <w:iCs/>
        </w:rPr>
        <w:t>LR</w:t>
      </w:r>
      <w:r w:rsidRPr="0089053D">
        <w:rPr>
          <w:rFonts w:ascii="Times New Roman" w:hAnsi="Times New Roman" w:cs="Times New Roman"/>
        </w:rPr>
        <w:t xml:space="preserve"> 3, 14.</w:t>
      </w:r>
    </w:p>
  </w:footnote>
  <w:footnote w:id="20">
    <w:p w14:paraId="2E8CF99D" w14:textId="7F7CBD0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Taxes Management Act 1970, s</w:t>
      </w:r>
      <w:r>
        <w:rPr>
          <w:rFonts w:ascii="Times New Roman" w:hAnsi="Times New Roman" w:cs="Times New Roman"/>
        </w:rPr>
        <w:t xml:space="preserve"> </w:t>
      </w:r>
      <w:r w:rsidRPr="0089053D">
        <w:rPr>
          <w:rFonts w:ascii="Times New Roman" w:hAnsi="Times New Roman" w:cs="Times New Roman"/>
        </w:rPr>
        <w:t>106B.</w:t>
      </w:r>
    </w:p>
  </w:footnote>
  <w:footnote w:id="21">
    <w:p w14:paraId="7150BD12" w14:textId="1DA05C44" w:rsidR="00A0406D" w:rsidRPr="002B18A9"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2B18A9">
        <w:rPr>
          <w:rFonts w:ascii="Times New Roman" w:hAnsi="Times New Roman" w:cs="Times New Roman"/>
        </w:rPr>
        <w:t>, s 106C.</w:t>
      </w:r>
    </w:p>
  </w:footnote>
  <w:footnote w:id="22">
    <w:p w14:paraId="41724EDB" w14:textId="1623893A" w:rsidR="00A0406D" w:rsidRPr="002B18A9" w:rsidRDefault="00A0406D" w:rsidP="00360ED4">
      <w:pPr>
        <w:pStyle w:val="FootnoteText"/>
        <w:rPr>
          <w:rFonts w:ascii="Times New Roman" w:hAnsi="Times New Roman" w:cs="Times New Roman"/>
        </w:rPr>
      </w:pPr>
      <w:r w:rsidRPr="002B18A9">
        <w:rPr>
          <w:rStyle w:val="FootnoteReference"/>
          <w:rFonts w:ascii="Times New Roman" w:hAnsi="Times New Roman" w:cs="Times New Roman"/>
        </w:rPr>
        <w:footnoteRef/>
      </w:r>
      <w:r w:rsidRPr="002B18A9">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2B18A9">
        <w:rPr>
          <w:rFonts w:ascii="Times New Roman" w:hAnsi="Times New Roman" w:cs="Times New Roman"/>
        </w:rPr>
        <w:t>, s 106D.</w:t>
      </w:r>
    </w:p>
  </w:footnote>
  <w:footnote w:id="23">
    <w:p w14:paraId="5947F003" w14:textId="0514475C" w:rsidR="00A0406D" w:rsidRPr="0089053D" w:rsidRDefault="00A0406D" w:rsidP="00360ED4">
      <w:pPr>
        <w:pStyle w:val="FootnoteText"/>
        <w:rPr>
          <w:rFonts w:ascii="Times New Roman" w:hAnsi="Times New Roman" w:cs="Times New Roman"/>
        </w:rPr>
      </w:pPr>
      <w:r w:rsidRPr="002B18A9">
        <w:rPr>
          <w:rStyle w:val="FootnoteReference"/>
          <w:rFonts w:ascii="Times New Roman" w:hAnsi="Times New Roman" w:cs="Times New Roman"/>
        </w:rPr>
        <w:footnoteRef/>
      </w:r>
      <w:r w:rsidRPr="002B18A9">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2B18A9">
        <w:rPr>
          <w:rFonts w:ascii="Times New Roman" w:hAnsi="Times New Roman" w:cs="Times New Roman"/>
        </w:rPr>
        <w:t>,</w:t>
      </w:r>
      <w:r w:rsidRPr="0089053D">
        <w:rPr>
          <w:rFonts w:ascii="Times New Roman" w:hAnsi="Times New Roman" w:cs="Times New Roman"/>
        </w:rPr>
        <w:t xml:space="preserve"> s</w:t>
      </w:r>
      <w:r>
        <w:rPr>
          <w:rFonts w:ascii="Times New Roman" w:hAnsi="Times New Roman" w:cs="Times New Roman"/>
        </w:rPr>
        <w:t xml:space="preserve"> </w:t>
      </w:r>
      <w:r w:rsidRPr="0089053D">
        <w:rPr>
          <w:rFonts w:ascii="Times New Roman" w:hAnsi="Times New Roman" w:cs="Times New Roman"/>
        </w:rPr>
        <w:t>106B(1)(b), s</w:t>
      </w:r>
      <w:r>
        <w:rPr>
          <w:rFonts w:ascii="Times New Roman" w:hAnsi="Times New Roman" w:cs="Times New Roman"/>
        </w:rPr>
        <w:t xml:space="preserve"> </w:t>
      </w:r>
      <w:r w:rsidRPr="0089053D">
        <w:rPr>
          <w:rFonts w:ascii="Times New Roman" w:hAnsi="Times New Roman" w:cs="Times New Roman"/>
        </w:rPr>
        <w:t>106C(1)(c), s</w:t>
      </w:r>
      <w:r>
        <w:rPr>
          <w:rFonts w:ascii="Times New Roman" w:hAnsi="Times New Roman" w:cs="Times New Roman"/>
        </w:rPr>
        <w:t xml:space="preserve"> </w:t>
      </w:r>
      <w:r w:rsidRPr="0089053D">
        <w:rPr>
          <w:rFonts w:ascii="Times New Roman" w:hAnsi="Times New Roman" w:cs="Times New Roman"/>
        </w:rPr>
        <w:t>106D(1)(b), s</w:t>
      </w:r>
      <w:r>
        <w:rPr>
          <w:rFonts w:ascii="Times New Roman" w:hAnsi="Times New Roman" w:cs="Times New Roman"/>
        </w:rPr>
        <w:t xml:space="preserve"> </w:t>
      </w:r>
      <w:r w:rsidRPr="0089053D">
        <w:rPr>
          <w:rFonts w:ascii="Times New Roman" w:hAnsi="Times New Roman" w:cs="Times New Roman"/>
        </w:rPr>
        <w:t>106</w:t>
      </w:r>
      <w:proofErr w:type="gramStart"/>
      <w:r w:rsidRPr="0089053D">
        <w:rPr>
          <w:rFonts w:ascii="Times New Roman" w:hAnsi="Times New Roman" w:cs="Times New Roman"/>
        </w:rPr>
        <w:t>F(</w:t>
      </w:r>
      <w:proofErr w:type="gramEnd"/>
      <w:r w:rsidRPr="0089053D">
        <w:rPr>
          <w:rFonts w:ascii="Times New Roman" w:hAnsi="Times New Roman" w:cs="Times New Roman"/>
        </w:rPr>
        <w:t xml:space="preserve">2); </w:t>
      </w:r>
      <w:r w:rsidRPr="00A0406D">
        <w:rPr>
          <w:rFonts w:ascii="Times New Roman" w:hAnsi="Times New Roman" w:cs="Times New Roman"/>
        </w:rPr>
        <w:t>The Sections</w:t>
      </w:r>
      <w:r w:rsidRPr="0089053D">
        <w:rPr>
          <w:rFonts w:ascii="Times New Roman" w:hAnsi="Times New Roman" w:cs="Times New Roman"/>
        </w:rPr>
        <w:t xml:space="preserve"> 106B, 106C and 106D of the Taxes Management Act 1970 (Specified Threshold Amount) Regulations 2017, SI 2017/988, Reg 3. The offence applies to income tax and capital gains tax, and encompasses all offshore income and gains that are not reportable under the Common Reporting Standard, </w:t>
      </w:r>
      <w:r w:rsidRPr="00A0406D">
        <w:rPr>
          <w:rFonts w:ascii="Times New Roman" w:hAnsi="Times New Roman" w:cs="Times New Roman"/>
        </w:rPr>
        <w:t>ibid</w:t>
      </w:r>
      <w:r>
        <w:rPr>
          <w:rFonts w:ascii="Times New Roman" w:hAnsi="Times New Roman" w:cs="Times New Roman"/>
        </w:rPr>
        <w:t>,</w:t>
      </w:r>
      <w:r w:rsidRPr="0089053D">
        <w:rPr>
          <w:rFonts w:ascii="Times New Roman" w:hAnsi="Times New Roman" w:cs="Times New Roman"/>
        </w:rPr>
        <w:t xml:space="preserve"> Reg 2C.</w:t>
      </w:r>
    </w:p>
  </w:footnote>
  <w:footnote w:id="24">
    <w:p w14:paraId="37CF95BB" w14:textId="062529E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Value Added Tax Act 1994, s</w:t>
      </w:r>
      <w:r>
        <w:rPr>
          <w:rFonts w:ascii="Times New Roman" w:hAnsi="Times New Roman" w:cs="Times New Roman"/>
        </w:rPr>
        <w:t xml:space="preserve"> </w:t>
      </w:r>
      <w:r w:rsidRPr="0089053D">
        <w:rPr>
          <w:rFonts w:ascii="Times New Roman" w:hAnsi="Times New Roman" w:cs="Times New Roman"/>
        </w:rPr>
        <w:t>72(1), s</w:t>
      </w:r>
      <w:r>
        <w:rPr>
          <w:rFonts w:ascii="Times New Roman" w:hAnsi="Times New Roman" w:cs="Times New Roman"/>
        </w:rPr>
        <w:t xml:space="preserve"> </w:t>
      </w:r>
      <w:r w:rsidRPr="0089053D">
        <w:rPr>
          <w:rFonts w:ascii="Times New Roman" w:hAnsi="Times New Roman" w:cs="Times New Roman"/>
        </w:rPr>
        <w:t>72(3)(a)</w:t>
      </w:r>
      <w:r>
        <w:rPr>
          <w:rFonts w:ascii="Times New Roman" w:hAnsi="Times New Roman" w:cs="Times New Roman"/>
        </w:rPr>
        <w:t xml:space="preserve"> </w:t>
      </w:r>
      <w:r w:rsidRPr="0089053D">
        <w:rPr>
          <w:rFonts w:ascii="Times New Roman" w:hAnsi="Times New Roman" w:cs="Times New Roman"/>
        </w:rPr>
        <w:t>&amp;</w:t>
      </w:r>
      <w:r>
        <w:rPr>
          <w:rFonts w:ascii="Times New Roman" w:hAnsi="Times New Roman" w:cs="Times New Roman"/>
        </w:rPr>
        <w:t xml:space="preserve"> </w:t>
      </w:r>
      <w:r w:rsidRPr="0089053D">
        <w:rPr>
          <w:rFonts w:ascii="Times New Roman" w:hAnsi="Times New Roman" w:cs="Times New Roman"/>
        </w:rPr>
        <w:t>(b), s</w:t>
      </w:r>
      <w:r>
        <w:rPr>
          <w:rFonts w:ascii="Times New Roman" w:hAnsi="Times New Roman" w:cs="Times New Roman"/>
        </w:rPr>
        <w:t xml:space="preserve"> </w:t>
      </w:r>
      <w:r w:rsidRPr="0089053D">
        <w:rPr>
          <w:rFonts w:ascii="Times New Roman" w:hAnsi="Times New Roman" w:cs="Times New Roman"/>
        </w:rPr>
        <w:t>72(8), s</w:t>
      </w:r>
      <w:r>
        <w:rPr>
          <w:rFonts w:ascii="Times New Roman" w:hAnsi="Times New Roman" w:cs="Times New Roman"/>
        </w:rPr>
        <w:t xml:space="preserve"> </w:t>
      </w:r>
      <w:r w:rsidRPr="0089053D">
        <w:rPr>
          <w:rFonts w:ascii="Times New Roman" w:hAnsi="Times New Roman" w:cs="Times New Roman"/>
        </w:rPr>
        <w:t>72(10), s</w:t>
      </w:r>
      <w:r>
        <w:rPr>
          <w:rFonts w:ascii="Times New Roman" w:hAnsi="Times New Roman" w:cs="Times New Roman"/>
        </w:rPr>
        <w:t xml:space="preserve"> </w:t>
      </w:r>
      <w:r w:rsidRPr="0089053D">
        <w:rPr>
          <w:rFonts w:ascii="Times New Roman" w:hAnsi="Times New Roman" w:cs="Times New Roman"/>
        </w:rPr>
        <w:t>72(11).</w:t>
      </w:r>
    </w:p>
  </w:footnote>
  <w:footnote w:id="25">
    <w:p w14:paraId="31AFFD54" w14:textId="3C5C0BC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s</w:t>
      </w:r>
      <w:r>
        <w:rPr>
          <w:rFonts w:ascii="Times New Roman" w:hAnsi="Times New Roman" w:cs="Times New Roman"/>
        </w:rPr>
        <w:t xml:space="preserve"> </w:t>
      </w:r>
      <w:r w:rsidRPr="0089053D">
        <w:rPr>
          <w:rFonts w:ascii="Times New Roman" w:hAnsi="Times New Roman" w:cs="Times New Roman"/>
        </w:rPr>
        <w:t>72(1).</w:t>
      </w:r>
    </w:p>
  </w:footnote>
  <w:footnote w:id="26">
    <w:p w14:paraId="4796438D" w14:textId="799A86D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i/>
        </w:rPr>
        <w:t>Binfield</w:t>
      </w:r>
      <w:proofErr w:type="spellEnd"/>
      <w:r w:rsidRPr="0089053D">
        <w:rPr>
          <w:rFonts w:ascii="Times New Roman" w:hAnsi="Times New Roman" w:cs="Times New Roman"/>
          <w:i/>
        </w:rPr>
        <w:t xml:space="preserve"> </w:t>
      </w:r>
      <w:r w:rsidRPr="0089053D">
        <w:rPr>
          <w:rFonts w:ascii="Times New Roman" w:hAnsi="Times New Roman" w:cs="Times New Roman"/>
        </w:rPr>
        <w:t xml:space="preserve">[2019] EWCA Crim 1812; [2020] Lloyd's Rep FC 18. </w:t>
      </w:r>
    </w:p>
  </w:footnote>
  <w:footnote w:id="27">
    <w:p w14:paraId="6AAA4F5D" w14:textId="3C649803"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Value Added Tax Act 1994, s</w:t>
      </w:r>
      <w:r>
        <w:rPr>
          <w:rFonts w:ascii="Times New Roman" w:hAnsi="Times New Roman" w:cs="Times New Roman"/>
        </w:rPr>
        <w:t xml:space="preserve"> </w:t>
      </w:r>
      <w:r w:rsidRPr="0089053D">
        <w:rPr>
          <w:rFonts w:ascii="Times New Roman" w:hAnsi="Times New Roman" w:cs="Times New Roman"/>
        </w:rPr>
        <w:t>72(8).</w:t>
      </w:r>
    </w:p>
  </w:footnote>
  <w:footnote w:id="28">
    <w:p w14:paraId="49915428" w14:textId="1F9FA4E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J O’Donnell, ‘Vat Investigation’ (2007) 57 </w:t>
      </w:r>
      <w:r w:rsidRPr="0089053D">
        <w:rPr>
          <w:rFonts w:ascii="Times New Roman" w:hAnsi="Times New Roman" w:cs="Times New Roman"/>
          <w:i/>
        </w:rPr>
        <w:t>VAT Dig</w:t>
      </w:r>
      <w:r w:rsidRPr="0089053D">
        <w:rPr>
          <w:rFonts w:ascii="Times New Roman" w:hAnsi="Times New Roman" w:cs="Times New Roman"/>
        </w:rPr>
        <w:t xml:space="preserve"> 1, 16. </w:t>
      </w:r>
    </w:p>
  </w:footnote>
  <w:footnote w:id="29">
    <w:p w14:paraId="22B38624" w14:textId="37CE01E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Alldridge</w:t>
      </w:r>
      <w:proofErr w:type="spellEnd"/>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_Ref112743454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13</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59. </w:t>
      </w:r>
    </w:p>
  </w:footnote>
  <w:footnote w:id="30">
    <w:p w14:paraId="65022DBE" w14:textId="1A2484D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Article 7 of the Convention for the Protection of Human Rights and Fundamental Freedoms (Rome, 4</w:t>
      </w:r>
    </w:p>
    <w:p w14:paraId="2DBC2DBF" w14:textId="38350881" w:rsidR="00A0406D" w:rsidRPr="008A1199" w:rsidRDefault="00A0406D" w:rsidP="00360ED4">
      <w:pPr>
        <w:pStyle w:val="FootnoteText"/>
        <w:rPr>
          <w:rFonts w:ascii="Times New Roman" w:hAnsi="Times New Roman" w:cs="Times New Roman"/>
          <w:lang w:val="it-IT"/>
        </w:rPr>
      </w:pPr>
      <w:r w:rsidRPr="008A1199">
        <w:rPr>
          <w:rFonts w:ascii="Times New Roman" w:hAnsi="Times New Roman" w:cs="Times New Roman"/>
          <w:lang w:val="it-IT"/>
        </w:rPr>
        <w:t xml:space="preserve">November 1950); </w:t>
      </w:r>
      <w:r w:rsidRPr="008A1199">
        <w:rPr>
          <w:rFonts w:ascii="Times New Roman" w:hAnsi="Times New Roman" w:cs="Times New Roman"/>
          <w:i/>
          <w:lang w:val="it-IT"/>
        </w:rPr>
        <w:t xml:space="preserve">Pattni </w:t>
      </w:r>
      <w:r w:rsidRPr="008A1199">
        <w:rPr>
          <w:rFonts w:ascii="Times New Roman" w:hAnsi="Times New Roman" w:cs="Times New Roman"/>
          <w:lang w:val="it-IT"/>
        </w:rPr>
        <w:t>[2001] Crim LR 570 (CC).</w:t>
      </w:r>
    </w:p>
  </w:footnote>
  <w:footnote w:id="31">
    <w:p w14:paraId="5C2DE75F" w14:textId="20E5BFE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Customs and Excise Management Act 1979, s</w:t>
      </w:r>
      <w:r>
        <w:rPr>
          <w:rFonts w:ascii="Times New Roman" w:hAnsi="Times New Roman" w:cs="Times New Roman"/>
        </w:rPr>
        <w:t xml:space="preserve"> </w:t>
      </w:r>
      <w:r w:rsidRPr="0089053D">
        <w:rPr>
          <w:rFonts w:ascii="Times New Roman" w:hAnsi="Times New Roman" w:cs="Times New Roman"/>
        </w:rPr>
        <w:t>167(1), s</w:t>
      </w:r>
      <w:r>
        <w:rPr>
          <w:rFonts w:ascii="Times New Roman" w:hAnsi="Times New Roman" w:cs="Times New Roman"/>
        </w:rPr>
        <w:t xml:space="preserve"> </w:t>
      </w:r>
      <w:r w:rsidRPr="0089053D">
        <w:rPr>
          <w:rFonts w:ascii="Times New Roman" w:hAnsi="Times New Roman" w:cs="Times New Roman"/>
        </w:rPr>
        <w:t>167(3), s</w:t>
      </w:r>
      <w:r>
        <w:rPr>
          <w:rFonts w:ascii="Times New Roman" w:hAnsi="Times New Roman" w:cs="Times New Roman"/>
        </w:rPr>
        <w:t xml:space="preserve"> </w:t>
      </w:r>
      <w:r w:rsidRPr="0089053D">
        <w:rPr>
          <w:rFonts w:ascii="Times New Roman" w:hAnsi="Times New Roman" w:cs="Times New Roman"/>
        </w:rPr>
        <w:t>168(1), s</w:t>
      </w:r>
      <w:r>
        <w:rPr>
          <w:rFonts w:ascii="Times New Roman" w:hAnsi="Times New Roman" w:cs="Times New Roman"/>
        </w:rPr>
        <w:t xml:space="preserve"> </w:t>
      </w:r>
      <w:r w:rsidRPr="0089053D">
        <w:rPr>
          <w:rFonts w:ascii="Times New Roman" w:hAnsi="Times New Roman" w:cs="Times New Roman"/>
        </w:rPr>
        <w:t>170(</w:t>
      </w:r>
      <w:proofErr w:type="gramStart"/>
      <w:r w:rsidRPr="0089053D">
        <w:rPr>
          <w:rFonts w:ascii="Times New Roman" w:hAnsi="Times New Roman" w:cs="Times New Roman"/>
        </w:rPr>
        <w:t>1)&amp;</w:t>
      </w:r>
      <w:proofErr w:type="gramEnd"/>
      <w:r w:rsidRPr="0089053D">
        <w:rPr>
          <w:rFonts w:ascii="Times New Roman" w:hAnsi="Times New Roman" w:cs="Times New Roman"/>
        </w:rPr>
        <w:t>(2), s</w:t>
      </w:r>
      <w:r>
        <w:rPr>
          <w:rFonts w:ascii="Times New Roman" w:hAnsi="Times New Roman" w:cs="Times New Roman"/>
        </w:rPr>
        <w:t xml:space="preserve"> </w:t>
      </w:r>
      <w:r w:rsidRPr="0089053D">
        <w:rPr>
          <w:rFonts w:ascii="Times New Roman" w:hAnsi="Times New Roman" w:cs="Times New Roman"/>
        </w:rPr>
        <w:t>170B.</w:t>
      </w:r>
      <w:r>
        <w:rPr>
          <w:rFonts w:ascii="Times New Roman" w:hAnsi="Times New Roman" w:cs="Times New Roman"/>
        </w:rPr>
        <w:t xml:space="preserve"> </w:t>
      </w:r>
    </w:p>
  </w:footnote>
  <w:footnote w:id="32">
    <w:p w14:paraId="68120E9C" w14:textId="5686DE1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s</w:t>
      </w:r>
      <w:r>
        <w:rPr>
          <w:rFonts w:ascii="Times New Roman" w:hAnsi="Times New Roman" w:cs="Times New Roman"/>
        </w:rPr>
        <w:t xml:space="preserve"> </w:t>
      </w:r>
      <w:r w:rsidRPr="0089053D">
        <w:rPr>
          <w:rFonts w:ascii="Times New Roman" w:hAnsi="Times New Roman" w:cs="Times New Roman"/>
        </w:rPr>
        <w:t>170(1)(ii).</w:t>
      </w:r>
    </w:p>
  </w:footnote>
  <w:footnote w:id="33">
    <w:p w14:paraId="17C7747B" w14:textId="7B7B84C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s</w:t>
      </w:r>
      <w:r>
        <w:rPr>
          <w:rFonts w:ascii="Times New Roman" w:hAnsi="Times New Roman" w:cs="Times New Roman"/>
        </w:rPr>
        <w:t xml:space="preserve"> </w:t>
      </w:r>
      <w:r w:rsidRPr="0089053D">
        <w:rPr>
          <w:rFonts w:ascii="Times New Roman" w:hAnsi="Times New Roman" w:cs="Times New Roman"/>
        </w:rPr>
        <w:t>170(1)(</w:t>
      </w:r>
      <w:proofErr w:type="spellStart"/>
      <w:r w:rsidRPr="0089053D">
        <w:rPr>
          <w:rFonts w:ascii="Times New Roman" w:hAnsi="Times New Roman" w:cs="Times New Roman"/>
        </w:rPr>
        <w:t>i</w:t>
      </w:r>
      <w:proofErr w:type="spellEnd"/>
      <w:r w:rsidRPr="0089053D">
        <w:rPr>
          <w:rFonts w:ascii="Times New Roman" w:hAnsi="Times New Roman" w:cs="Times New Roman"/>
        </w:rPr>
        <w:t>), s</w:t>
      </w:r>
      <w:r>
        <w:rPr>
          <w:rFonts w:ascii="Times New Roman" w:hAnsi="Times New Roman" w:cs="Times New Roman"/>
        </w:rPr>
        <w:t xml:space="preserve"> </w:t>
      </w:r>
      <w:r w:rsidRPr="0089053D">
        <w:rPr>
          <w:rFonts w:ascii="Times New Roman" w:hAnsi="Times New Roman" w:cs="Times New Roman"/>
        </w:rPr>
        <w:t>170(1)(iii).</w:t>
      </w:r>
    </w:p>
  </w:footnote>
  <w:footnote w:id="34">
    <w:p w14:paraId="59CC452F" w14:textId="05176A6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for instance, </w:t>
      </w:r>
      <w:proofErr w:type="spellStart"/>
      <w:r w:rsidRPr="0089053D">
        <w:rPr>
          <w:rFonts w:ascii="Times New Roman" w:hAnsi="Times New Roman" w:cs="Times New Roman"/>
          <w:i/>
        </w:rPr>
        <w:t>Bhegani</w:t>
      </w:r>
      <w:proofErr w:type="spellEnd"/>
      <w:r w:rsidRPr="0089053D">
        <w:rPr>
          <w:rFonts w:ascii="Times New Roman" w:hAnsi="Times New Roman" w:cs="Times New Roman"/>
          <w:i/>
        </w:rPr>
        <w:t xml:space="preserve"> </w:t>
      </w:r>
      <w:r w:rsidRPr="0089053D">
        <w:rPr>
          <w:rFonts w:ascii="Times New Roman" w:hAnsi="Times New Roman" w:cs="Times New Roman"/>
        </w:rPr>
        <w:t xml:space="preserve">[2016] EWCA Crim 2109; </w:t>
      </w:r>
      <w:r w:rsidRPr="0089053D">
        <w:rPr>
          <w:rFonts w:ascii="Times New Roman" w:hAnsi="Times New Roman" w:cs="Times New Roman"/>
          <w:i/>
        </w:rPr>
        <w:t xml:space="preserve">Birks </w:t>
      </w:r>
      <w:r w:rsidRPr="0089053D">
        <w:rPr>
          <w:rFonts w:ascii="Times New Roman" w:hAnsi="Times New Roman" w:cs="Times New Roman"/>
        </w:rPr>
        <w:t xml:space="preserve">[2017] EWCA Crim 810; </w:t>
      </w:r>
      <w:proofErr w:type="spellStart"/>
      <w:r w:rsidRPr="0089053D">
        <w:rPr>
          <w:rFonts w:ascii="Times New Roman" w:hAnsi="Times New Roman" w:cs="Times New Roman"/>
          <w:i/>
        </w:rPr>
        <w:t>Jhurry</w:t>
      </w:r>
      <w:proofErr w:type="spellEnd"/>
      <w:r w:rsidRPr="0089053D">
        <w:rPr>
          <w:rFonts w:ascii="Times New Roman" w:hAnsi="Times New Roman" w:cs="Times New Roman"/>
          <w:i/>
        </w:rPr>
        <w:t xml:space="preserve"> </w:t>
      </w:r>
      <w:r w:rsidRPr="0089053D">
        <w:rPr>
          <w:rFonts w:ascii="Times New Roman" w:hAnsi="Times New Roman" w:cs="Times New Roman"/>
        </w:rPr>
        <w:t>[2018]</w:t>
      </w:r>
      <w:r w:rsidRPr="0089053D">
        <w:rPr>
          <w:rFonts w:ascii="Times New Roman" w:hAnsi="Times New Roman" w:cs="Times New Roman"/>
          <w:i/>
        </w:rPr>
        <w:t xml:space="preserve"> </w:t>
      </w:r>
      <w:r w:rsidRPr="0089053D">
        <w:rPr>
          <w:rFonts w:ascii="Times New Roman" w:hAnsi="Times New Roman" w:cs="Times New Roman"/>
        </w:rPr>
        <w:t>EWCA Crim 2799; [2019] 1 Cr App R (S) 40.</w:t>
      </w:r>
    </w:p>
  </w:footnote>
  <w:footnote w:id="35">
    <w:p w14:paraId="0C870640" w14:textId="67C4D47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for instance, </w:t>
      </w:r>
      <w:proofErr w:type="spellStart"/>
      <w:r w:rsidRPr="0089053D">
        <w:rPr>
          <w:rFonts w:ascii="Times New Roman" w:hAnsi="Times New Roman" w:cs="Times New Roman"/>
          <w:i/>
        </w:rPr>
        <w:t>Lendrum</w:t>
      </w:r>
      <w:proofErr w:type="spellEnd"/>
      <w:r w:rsidRPr="0089053D">
        <w:rPr>
          <w:rFonts w:ascii="Times New Roman" w:hAnsi="Times New Roman" w:cs="Times New Roman"/>
          <w:i/>
        </w:rPr>
        <w:t xml:space="preserve"> </w:t>
      </w:r>
      <w:r w:rsidRPr="0089053D">
        <w:rPr>
          <w:rFonts w:ascii="Times New Roman" w:hAnsi="Times New Roman" w:cs="Times New Roman"/>
        </w:rPr>
        <w:t>[2011] EWCA Crim 228; [2011] 2 Cr App R (S) 69.</w:t>
      </w:r>
    </w:p>
  </w:footnote>
  <w:footnote w:id="36">
    <w:p w14:paraId="3307877D" w14:textId="369FE97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Customs and Excise Management Act 1979, s</w:t>
      </w:r>
      <w:r>
        <w:rPr>
          <w:rFonts w:ascii="Times New Roman" w:hAnsi="Times New Roman" w:cs="Times New Roman"/>
        </w:rPr>
        <w:t xml:space="preserve"> </w:t>
      </w:r>
      <w:r w:rsidRPr="0089053D">
        <w:rPr>
          <w:rFonts w:ascii="Times New Roman" w:hAnsi="Times New Roman" w:cs="Times New Roman"/>
        </w:rPr>
        <w:t xml:space="preserve">170(1)(b). Specifically, ‘carrying, removing, depositing, </w:t>
      </w:r>
      <w:proofErr w:type="spellStart"/>
      <w:r w:rsidRPr="0089053D">
        <w:rPr>
          <w:rFonts w:ascii="Times New Roman" w:hAnsi="Times New Roman" w:cs="Times New Roman"/>
        </w:rPr>
        <w:t>harbouring</w:t>
      </w:r>
      <w:proofErr w:type="spellEnd"/>
      <w:r w:rsidRPr="0089053D">
        <w:rPr>
          <w:rFonts w:ascii="Times New Roman" w:hAnsi="Times New Roman" w:cs="Times New Roman"/>
        </w:rPr>
        <w:t xml:space="preserve">, keeping or concealing or in any manner dealing with any such </w:t>
      </w:r>
      <w:proofErr w:type="gramStart"/>
      <w:r w:rsidRPr="0089053D">
        <w:rPr>
          <w:rFonts w:ascii="Times New Roman" w:hAnsi="Times New Roman" w:cs="Times New Roman"/>
        </w:rPr>
        <w:t>goods’</w:t>
      </w:r>
      <w:proofErr w:type="gramEnd"/>
      <w:r w:rsidRPr="0089053D">
        <w:rPr>
          <w:rFonts w:ascii="Times New Roman" w:hAnsi="Times New Roman" w:cs="Times New Roman"/>
        </w:rPr>
        <w:t xml:space="preserve">. </w:t>
      </w:r>
    </w:p>
  </w:footnote>
  <w:footnote w:id="37">
    <w:p w14:paraId="42E58FC4" w14:textId="20DEC4A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s</w:t>
      </w:r>
      <w:r>
        <w:rPr>
          <w:rFonts w:ascii="Times New Roman" w:hAnsi="Times New Roman" w:cs="Times New Roman"/>
        </w:rPr>
        <w:t xml:space="preserve"> </w:t>
      </w:r>
      <w:r w:rsidRPr="0089053D">
        <w:rPr>
          <w:rFonts w:ascii="Times New Roman" w:hAnsi="Times New Roman" w:cs="Times New Roman"/>
        </w:rPr>
        <w:t>170(2).</w:t>
      </w:r>
    </w:p>
  </w:footnote>
  <w:footnote w:id="38">
    <w:p w14:paraId="7BC9255F" w14:textId="6E5948A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Neal </w:t>
      </w:r>
      <w:r w:rsidRPr="0089053D">
        <w:rPr>
          <w:rFonts w:ascii="Times New Roman" w:hAnsi="Times New Roman" w:cs="Times New Roman"/>
        </w:rPr>
        <w:t>[1984] 3 All ER 156 (CA);</w:t>
      </w:r>
      <w:r w:rsidRPr="0089053D">
        <w:rPr>
          <w:rFonts w:ascii="Times New Roman" w:hAnsi="Times New Roman" w:cs="Times New Roman"/>
          <w:i/>
        </w:rPr>
        <w:t xml:space="preserve"> </w:t>
      </w:r>
      <w:r w:rsidRPr="0089053D">
        <w:rPr>
          <w:rFonts w:ascii="Times New Roman" w:hAnsi="Times New Roman" w:cs="Times New Roman"/>
        </w:rPr>
        <w:t>(1983) 77 Cr App R 283, 287.</w:t>
      </w:r>
    </w:p>
  </w:footnote>
  <w:footnote w:id="39">
    <w:p w14:paraId="6EAB9F2D" w14:textId="46AB34A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Finance Act 2003, s</w:t>
      </w:r>
      <w:r>
        <w:rPr>
          <w:rFonts w:ascii="Times New Roman" w:hAnsi="Times New Roman" w:cs="Times New Roman"/>
        </w:rPr>
        <w:t xml:space="preserve"> </w:t>
      </w:r>
      <w:r w:rsidRPr="0089053D">
        <w:rPr>
          <w:rFonts w:ascii="Times New Roman" w:hAnsi="Times New Roman" w:cs="Times New Roman"/>
        </w:rPr>
        <w:t>95.</w:t>
      </w:r>
    </w:p>
  </w:footnote>
  <w:footnote w:id="40">
    <w:p w14:paraId="49067051" w14:textId="20ED456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 xml:space="preserve">Law Commission, </w:t>
      </w:r>
      <w:r w:rsidRPr="0089053D">
        <w:rPr>
          <w:rFonts w:ascii="Times New Roman" w:hAnsi="Times New Roman" w:cs="Times New Roman"/>
          <w:i/>
        </w:rPr>
        <w:t>Corporate Criminal Liability: An Options Paper</w:t>
      </w:r>
      <w:r w:rsidRPr="0089053D">
        <w:rPr>
          <w:rFonts w:ascii="Times New Roman" w:hAnsi="Times New Roman" w:cs="Times New Roman"/>
        </w:rPr>
        <w:t xml:space="preserve"> (2022). </w:t>
      </w:r>
    </w:p>
  </w:footnote>
  <w:footnote w:id="41">
    <w:p w14:paraId="170FADB8" w14:textId="1ED8CCF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Criminal Finances Act 2017, ss</w:t>
      </w:r>
      <w:r>
        <w:rPr>
          <w:rFonts w:ascii="Times New Roman" w:hAnsi="Times New Roman" w:cs="Times New Roman"/>
        </w:rPr>
        <w:t xml:space="preserve"> </w:t>
      </w:r>
      <w:r w:rsidRPr="0089053D">
        <w:rPr>
          <w:rFonts w:ascii="Times New Roman" w:hAnsi="Times New Roman" w:cs="Times New Roman"/>
        </w:rPr>
        <w:t>45</w:t>
      </w:r>
      <w:r>
        <w:rPr>
          <w:rFonts w:ascii="Times New Roman" w:hAnsi="Times New Roman" w:cs="Times New Roman"/>
        </w:rPr>
        <w:t>‒</w:t>
      </w:r>
      <w:r w:rsidRPr="0089053D">
        <w:rPr>
          <w:rFonts w:ascii="Times New Roman" w:hAnsi="Times New Roman" w:cs="Times New Roman"/>
        </w:rPr>
        <w:t>46.</w:t>
      </w:r>
    </w:p>
  </w:footnote>
  <w:footnote w:id="42">
    <w:p w14:paraId="014F16A7" w14:textId="1BFAE5C1" w:rsidR="00A0406D" w:rsidRPr="0089053D" w:rsidRDefault="00A0406D" w:rsidP="00360ED4">
      <w:pPr>
        <w:pStyle w:val="FootnoteText"/>
        <w:rPr>
          <w:rFonts w:ascii="Times New Roman" w:hAnsi="Times New Roman" w:cs="Times New Roman"/>
          <w:i/>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Serious Fraud Office v Barclays Plc </w:t>
      </w:r>
      <w:r w:rsidRPr="0089053D">
        <w:rPr>
          <w:rFonts w:ascii="Times New Roman" w:hAnsi="Times New Roman" w:cs="Times New Roman"/>
        </w:rPr>
        <w:t>[2018] EWHC 3055 (QB); [2020] 1 Cr App R 28.</w:t>
      </w:r>
    </w:p>
  </w:footnote>
  <w:footnote w:id="43">
    <w:p w14:paraId="6E4161DD" w14:textId="118BB6D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Criminal Finances Act 2017, s</w:t>
      </w:r>
      <w:r>
        <w:rPr>
          <w:rFonts w:ascii="Times New Roman" w:hAnsi="Times New Roman" w:cs="Times New Roman"/>
        </w:rPr>
        <w:t xml:space="preserve"> </w:t>
      </w:r>
      <w:r w:rsidRPr="0089053D">
        <w:rPr>
          <w:rFonts w:ascii="Times New Roman" w:hAnsi="Times New Roman" w:cs="Times New Roman"/>
        </w:rPr>
        <w:t>45(1), s</w:t>
      </w:r>
      <w:r>
        <w:rPr>
          <w:rFonts w:ascii="Times New Roman" w:hAnsi="Times New Roman" w:cs="Times New Roman"/>
        </w:rPr>
        <w:t xml:space="preserve"> </w:t>
      </w:r>
      <w:r w:rsidRPr="0089053D">
        <w:rPr>
          <w:rFonts w:ascii="Times New Roman" w:hAnsi="Times New Roman" w:cs="Times New Roman"/>
        </w:rPr>
        <w:t>46(1).</w:t>
      </w:r>
    </w:p>
  </w:footnote>
  <w:footnote w:id="44">
    <w:p w14:paraId="60F560BD" w14:textId="03ECE74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s</w:t>
      </w:r>
      <w:r>
        <w:rPr>
          <w:rFonts w:ascii="Times New Roman" w:hAnsi="Times New Roman" w:cs="Times New Roman"/>
        </w:rPr>
        <w:t xml:space="preserve"> </w:t>
      </w:r>
      <w:r w:rsidRPr="0089053D">
        <w:rPr>
          <w:rFonts w:ascii="Times New Roman" w:hAnsi="Times New Roman" w:cs="Times New Roman"/>
        </w:rPr>
        <w:t>45(2), s</w:t>
      </w:r>
      <w:r>
        <w:rPr>
          <w:rFonts w:ascii="Times New Roman" w:hAnsi="Times New Roman" w:cs="Times New Roman"/>
        </w:rPr>
        <w:t xml:space="preserve"> </w:t>
      </w:r>
      <w:r w:rsidRPr="0089053D">
        <w:rPr>
          <w:rFonts w:ascii="Times New Roman" w:hAnsi="Times New Roman" w:cs="Times New Roman"/>
        </w:rPr>
        <w:t>46(3).</w:t>
      </w:r>
    </w:p>
  </w:footnote>
  <w:footnote w:id="45">
    <w:p w14:paraId="258AA66C" w14:textId="087C087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HM Revenue &amp; Customs, </w:t>
      </w:r>
      <w:r w:rsidRPr="0089053D">
        <w:rPr>
          <w:rFonts w:ascii="Times New Roman" w:hAnsi="Times New Roman" w:cs="Times New Roman"/>
          <w:i/>
        </w:rPr>
        <w:t>Number of Live Corporate Criminal Offences Investigations</w:t>
      </w:r>
      <w:r w:rsidRPr="0089053D">
        <w:rPr>
          <w:rFonts w:ascii="Times New Roman" w:hAnsi="Times New Roman" w:cs="Times New Roman"/>
        </w:rPr>
        <w:t xml:space="preserve"> (HMRC FOI Release, </w:t>
      </w:r>
      <w:r>
        <w:rPr>
          <w:rFonts w:ascii="Times New Roman" w:hAnsi="Times New Roman" w:cs="Times New Roman"/>
        </w:rPr>
        <w:t>u</w:t>
      </w:r>
      <w:r w:rsidRPr="0089053D">
        <w:rPr>
          <w:rFonts w:ascii="Times New Roman" w:hAnsi="Times New Roman" w:cs="Times New Roman"/>
        </w:rPr>
        <w:t>pdated 30 June 2022).</w:t>
      </w:r>
    </w:p>
  </w:footnote>
  <w:footnote w:id="46">
    <w:p w14:paraId="4F881A99" w14:textId="2559016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Fraud Act 2006, ss</w:t>
      </w:r>
      <w:r>
        <w:rPr>
          <w:rFonts w:ascii="Times New Roman" w:hAnsi="Times New Roman" w:cs="Times New Roman"/>
        </w:rPr>
        <w:t xml:space="preserve"> </w:t>
      </w:r>
      <w:r w:rsidRPr="0089053D">
        <w:rPr>
          <w:rFonts w:ascii="Times New Roman" w:hAnsi="Times New Roman" w:cs="Times New Roman"/>
        </w:rPr>
        <w:t>2</w:t>
      </w:r>
      <w:r>
        <w:rPr>
          <w:rFonts w:ascii="Times New Roman" w:hAnsi="Times New Roman" w:cs="Times New Roman"/>
        </w:rPr>
        <w:t>‒</w:t>
      </w:r>
      <w:r w:rsidRPr="0089053D">
        <w:rPr>
          <w:rFonts w:ascii="Times New Roman" w:hAnsi="Times New Roman" w:cs="Times New Roman"/>
        </w:rPr>
        <w:t>3; Theft Act 1968, s</w:t>
      </w:r>
      <w:r>
        <w:rPr>
          <w:rFonts w:ascii="Times New Roman" w:hAnsi="Times New Roman" w:cs="Times New Roman"/>
        </w:rPr>
        <w:t xml:space="preserve"> </w:t>
      </w:r>
      <w:r w:rsidRPr="0089053D">
        <w:rPr>
          <w:rFonts w:ascii="Times New Roman" w:hAnsi="Times New Roman" w:cs="Times New Roman"/>
        </w:rPr>
        <w:t xml:space="preserve">17. See for instance, </w:t>
      </w:r>
      <w:r w:rsidRPr="0089053D">
        <w:rPr>
          <w:rFonts w:ascii="Times New Roman" w:hAnsi="Times New Roman" w:cs="Times New Roman"/>
          <w:i/>
        </w:rPr>
        <w:t xml:space="preserve">Backhouse v HM Revenue &amp; Customs Prosecution Office </w:t>
      </w:r>
      <w:r w:rsidRPr="0089053D">
        <w:rPr>
          <w:rFonts w:ascii="Times New Roman" w:hAnsi="Times New Roman" w:cs="Times New Roman"/>
        </w:rPr>
        <w:t xml:space="preserve">[2012] EWCA Civ 1000; [2013] Lloyd's Rep FC 1. </w:t>
      </w:r>
    </w:p>
  </w:footnote>
  <w:footnote w:id="47">
    <w:p w14:paraId="3371469C" w14:textId="24155E4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D Ormerod, ‘The Fraud Act 2006 – </w:t>
      </w:r>
      <w:proofErr w:type="spellStart"/>
      <w:r w:rsidRPr="0089053D">
        <w:rPr>
          <w:rFonts w:ascii="Times New Roman" w:hAnsi="Times New Roman" w:cs="Times New Roman"/>
        </w:rPr>
        <w:t>Criminalising</w:t>
      </w:r>
      <w:proofErr w:type="spellEnd"/>
      <w:r w:rsidRPr="0089053D">
        <w:rPr>
          <w:rFonts w:ascii="Times New Roman" w:hAnsi="Times New Roman" w:cs="Times New Roman"/>
        </w:rPr>
        <w:t xml:space="preserve"> Lying?’ [2007] </w:t>
      </w:r>
      <w:r w:rsidRPr="0089053D">
        <w:rPr>
          <w:rFonts w:ascii="Times New Roman" w:hAnsi="Times New Roman" w:cs="Times New Roman"/>
          <w:i/>
          <w:iCs/>
        </w:rPr>
        <w:t>Crim</w:t>
      </w:r>
      <w:r>
        <w:rPr>
          <w:rFonts w:ascii="Times New Roman" w:hAnsi="Times New Roman" w:cs="Times New Roman"/>
          <w:i/>
          <w:iCs/>
        </w:rPr>
        <w:t xml:space="preserve"> </w:t>
      </w:r>
      <w:r w:rsidRPr="0089053D">
        <w:rPr>
          <w:rFonts w:ascii="Times New Roman" w:hAnsi="Times New Roman" w:cs="Times New Roman"/>
          <w:i/>
          <w:iCs/>
        </w:rPr>
        <w:t>LR</w:t>
      </w:r>
      <w:r w:rsidRPr="0089053D">
        <w:rPr>
          <w:rFonts w:ascii="Times New Roman" w:hAnsi="Times New Roman" w:cs="Times New Roman"/>
        </w:rPr>
        <w:t xml:space="preserve"> 193, 196. </w:t>
      </w:r>
    </w:p>
  </w:footnote>
  <w:footnote w:id="48">
    <w:p w14:paraId="1BAE9F26" w14:textId="1D3B851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Proceeds of Crime Act 2002, ss</w:t>
      </w:r>
      <w:r>
        <w:rPr>
          <w:rFonts w:ascii="Times New Roman" w:hAnsi="Times New Roman" w:cs="Times New Roman"/>
        </w:rPr>
        <w:t xml:space="preserve"> </w:t>
      </w:r>
      <w:r w:rsidRPr="0089053D">
        <w:rPr>
          <w:rFonts w:ascii="Times New Roman" w:hAnsi="Times New Roman" w:cs="Times New Roman"/>
        </w:rPr>
        <w:t>327</w:t>
      </w:r>
      <w:r>
        <w:rPr>
          <w:rFonts w:ascii="Times New Roman" w:hAnsi="Times New Roman" w:cs="Times New Roman"/>
        </w:rPr>
        <w:t>‒</w:t>
      </w:r>
      <w:r w:rsidRPr="0089053D">
        <w:rPr>
          <w:rFonts w:ascii="Times New Roman" w:hAnsi="Times New Roman" w:cs="Times New Roman"/>
        </w:rPr>
        <w:t>329, s</w:t>
      </w:r>
      <w:r>
        <w:rPr>
          <w:rFonts w:ascii="Times New Roman" w:hAnsi="Times New Roman" w:cs="Times New Roman"/>
        </w:rPr>
        <w:t xml:space="preserve"> </w:t>
      </w:r>
      <w:r w:rsidRPr="0089053D">
        <w:rPr>
          <w:rFonts w:ascii="Times New Roman" w:hAnsi="Times New Roman" w:cs="Times New Roman"/>
        </w:rPr>
        <w:t>340.</w:t>
      </w:r>
    </w:p>
  </w:footnote>
  <w:footnote w:id="49">
    <w:p w14:paraId="151C2B6E" w14:textId="03FB231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for instance, </w:t>
      </w:r>
      <w:r w:rsidRPr="0089053D">
        <w:rPr>
          <w:rFonts w:ascii="Times New Roman" w:hAnsi="Times New Roman" w:cs="Times New Roman"/>
          <w:i/>
        </w:rPr>
        <w:t>K</w:t>
      </w:r>
      <w:r w:rsidRPr="0089053D">
        <w:rPr>
          <w:rFonts w:ascii="Times New Roman" w:hAnsi="Times New Roman" w:cs="Times New Roman"/>
        </w:rPr>
        <w:t xml:space="preserve"> [2007] EWCA Crim 491; [2007] 1 WLR 2262; </w:t>
      </w:r>
      <w:r w:rsidRPr="0089053D">
        <w:rPr>
          <w:rFonts w:ascii="Times New Roman" w:hAnsi="Times New Roman" w:cs="Times New Roman"/>
          <w:i/>
        </w:rPr>
        <w:t xml:space="preserve">William and William and William </w:t>
      </w:r>
      <w:r w:rsidRPr="0089053D">
        <w:rPr>
          <w:rFonts w:ascii="Times New Roman" w:hAnsi="Times New Roman" w:cs="Times New Roman"/>
        </w:rPr>
        <w:t>[2013] EWCA Crim 1262; [2015] Lloyd</w:t>
      </w:r>
      <w:r>
        <w:rPr>
          <w:rFonts w:ascii="Times New Roman" w:hAnsi="Times New Roman" w:cs="Times New Roman"/>
        </w:rPr>
        <w:t>’</w:t>
      </w:r>
      <w:r w:rsidRPr="0089053D">
        <w:rPr>
          <w:rFonts w:ascii="Times New Roman" w:hAnsi="Times New Roman" w:cs="Times New Roman"/>
        </w:rPr>
        <w:t>s Rep FC 704.</w:t>
      </w:r>
    </w:p>
  </w:footnote>
  <w:footnote w:id="50">
    <w:p w14:paraId="74BADE65" w14:textId="2986D0C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V </w:t>
      </w:r>
      <w:proofErr w:type="spellStart"/>
      <w:r w:rsidRPr="0089053D">
        <w:rPr>
          <w:rFonts w:ascii="Times New Roman" w:hAnsi="Times New Roman" w:cs="Times New Roman"/>
        </w:rPr>
        <w:t>Mitsilegas</w:t>
      </w:r>
      <w:proofErr w:type="spellEnd"/>
      <w:r>
        <w:rPr>
          <w:rFonts w:ascii="Times New Roman" w:hAnsi="Times New Roman" w:cs="Times New Roman"/>
        </w:rPr>
        <w:t xml:space="preserve"> and</w:t>
      </w:r>
      <w:r w:rsidRPr="0089053D">
        <w:rPr>
          <w:rFonts w:ascii="Times New Roman" w:hAnsi="Times New Roman" w:cs="Times New Roman"/>
        </w:rPr>
        <w:t xml:space="preserve"> N </w:t>
      </w:r>
      <w:proofErr w:type="spellStart"/>
      <w:r w:rsidRPr="0089053D">
        <w:rPr>
          <w:rFonts w:ascii="Times New Roman" w:hAnsi="Times New Roman" w:cs="Times New Roman"/>
        </w:rPr>
        <w:t>Vavoula</w:t>
      </w:r>
      <w:proofErr w:type="spellEnd"/>
      <w:r w:rsidRPr="0089053D">
        <w:rPr>
          <w:rFonts w:ascii="Times New Roman" w:hAnsi="Times New Roman" w:cs="Times New Roman"/>
        </w:rPr>
        <w:t xml:space="preserve">, ‘The Evolving EU Anti-Money Laundering Regime: Challenges for Fundamental Rights and the Rule of Law’ (2016) 23 </w:t>
      </w:r>
      <w:r w:rsidRPr="0089053D">
        <w:rPr>
          <w:rFonts w:ascii="Times New Roman" w:hAnsi="Times New Roman" w:cs="Times New Roman"/>
          <w:i/>
        </w:rPr>
        <w:t>Maastricht Journal of European and Comparative Law</w:t>
      </w:r>
      <w:r w:rsidRPr="0089053D">
        <w:rPr>
          <w:rFonts w:ascii="Times New Roman" w:hAnsi="Times New Roman" w:cs="Times New Roman"/>
        </w:rPr>
        <w:t xml:space="preserve"> 261, 267. This was </w:t>
      </w:r>
      <w:proofErr w:type="spellStart"/>
      <w:r w:rsidRPr="0089053D">
        <w:rPr>
          <w:rFonts w:ascii="Times New Roman" w:hAnsi="Times New Roman" w:cs="Times New Roman"/>
        </w:rPr>
        <w:t>recognised</w:t>
      </w:r>
      <w:proofErr w:type="spellEnd"/>
      <w:r w:rsidRPr="0089053D">
        <w:rPr>
          <w:rFonts w:ascii="Times New Roman" w:hAnsi="Times New Roman" w:cs="Times New Roman"/>
        </w:rPr>
        <w:t xml:space="preserve"> by the Supreme Court in </w:t>
      </w:r>
      <w:r w:rsidRPr="0089053D">
        <w:rPr>
          <w:rFonts w:ascii="Times New Roman" w:hAnsi="Times New Roman" w:cs="Times New Roman"/>
          <w:i/>
        </w:rPr>
        <w:t>GH</w:t>
      </w:r>
      <w:r w:rsidRPr="0089053D">
        <w:rPr>
          <w:rFonts w:ascii="Times New Roman" w:hAnsi="Times New Roman" w:cs="Times New Roman"/>
        </w:rPr>
        <w:t xml:space="preserve"> [2015] UKSC 24; [2015] 1 WLR 2126</w:t>
      </w:r>
      <w:r>
        <w:rPr>
          <w:rFonts w:ascii="Times New Roman" w:hAnsi="Times New Roman" w:cs="Times New Roman"/>
        </w:rPr>
        <w:t>,</w:t>
      </w:r>
      <w:r w:rsidRPr="0089053D">
        <w:rPr>
          <w:rFonts w:ascii="Times New Roman" w:hAnsi="Times New Roman" w:cs="Times New Roman"/>
        </w:rPr>
        <w:t xml:space="preserve"> [48].</w:t>
      </w:r>
    </w:p>
  </w:footnote>
  <w:footnote w:id="51">
    <w:p w14:paraId="3FF2B4D0" w14:textId="19AE208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TaxWatch</w:t>
      </w:r>
      <w:proofErr w:type="spellEnd"/>
      <w:r w:rsidRPr="0089053D">
        <w:rPr>
          <w:rFonts w:ascii="Times New Roman" w:hAnsi="Times New Roman" w:cs="Times New Roman"/>
        </w:rPr>
        <w:t xml:space="preserve">, </w:t>
      </w:r>
      <w:r w:rsidRPr="0089053D">
        <w:rPr>
          <w:rFonts w:ascii="Times New Roman" w:hAnsi="Times New Roman" w:cs="Times New Roman"/>
          <w:i/>
        </w:rPr>
        <w:t>Equality before the Law? HMRC’s Use of Criminal Prosecutions for Tax Fraud and other Revenue Crimes. A Comparison with Benefits Fraud</w:t>
      </w:r>
      <w:r w:rsidRPr="0089053D">
        <w:rPr>
          <w:rFonts w:ascii="Times New Roman" w:hAnsi="Times New Roman" w:cs="Times New Roman"/>
        </w:rPr>
        <w:t xml:space="preserve"> (</w:t>
      </w:r>
      <w:proofErr w:type="spellStart"/>
      <w:r w:rsidRPr="0089053D">
        <w:rPr>
          <w:rFonts w:ascii="Times New Roman" w:hAnsi="Times New Roman" w:cs="Times New Roman"/>
        </w:rPr>
        <w:t>TaxWatch</w:t>
      </w:r>
      <w:proofErr w:type="spellEnd"/>
      <w:r w:rsidRPr="0089053D">
        <w:rPr>
          <w:rFonts w:ascii="Times New Roman" w:hAnsi="Times New Roman" w:cs="Times New Roman"/>
        </w:rPr>
        <w:t>, 2021).</w:t>
      </w:r>
    </w:p>
  </w:footnote>
  <w:footnote w:id="52">
    <w:p w14:paraId="5D0F6D99" w14:textId="0BF2D5C3"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G McBain, ‘</w:t>
      </w:r>
      <w:proofErr w:type="spellStart"/>
      <w:r w:rsidRPr="0089053D">
        <w:rPr>
          <w:rFonts w:ascii="Times New Roman" w:hAnsi="Times New Roman" w:cs="Times New Roman"/>
        </w:rPr>
        <w:t>Modernising</w:t>
      </w:r>
      <w:proofErr w:type="spellEnd"/>
      <w:r w:rsidRPr="0089053D">
        <w:rPr>
          <w:rFonts w:ascii="Times New Roman" w:hAnsi="Times New Roman" w:cs="Times New Roman"/>
        </w:rPr>
        <w:t xml:space="preserve"> the Common Law Offence of Cheating the Public Revenue’ (2015) 8(1) </w:t>
      </w:r>
      <w:r w:rsidRPr="0089053D">
        <w:rPr>
          <w:rFonts w:ascii="Times New Roman" w:hAnsi="Times New Roman" w:cs="Times New Roman"/>
          <w:i/>
        </w:rPr>
        <w:t xml:space="preserve">Journal of Politics and Law </w:t>
      </w:r>
      <w:r w:rsidRPr="0089053D">
        <w:rPr>
          <w:rFonts w:ascii="Times New Roman" w:hAnsi="Times New Roman" w:cs="Times New Roman"/>
        </w:rPr>
        <w:t>40, 76.</w:t>
      </w:r>
    </w:p>
  </w:footnote>
  <w:footnote w:id="53">
    <w:p w14:paraId="33EC5ED9" w14:textId="3674208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i/>
          <w:iCs/>
        </w:rPr>
        <w:t>,</w:t>
      </w:r>
      <w:r w:rsidRPr="0089053D">
        <w:rPr>
          <w:rFonts w:ascii="Times New Roman" w:hAnsi="Times New Roman" w:cs="Times New Roman"/>
        </w:rPr>
        <w:t xml:space="preserve"> 40</w:t>
      </w:r>
      <w:r>
        <w:rPr>
          <w:rFonts w:ascii="Times New Roman" w:hAnsi="Times New Roman" w:cs="Times New Roman"/>
        </w:rPr>
        <w:t>;</w:t>
      </w:r>
      <w:r w:rsidRPr="0089053D">
        <w:rPr>
          <w:rFonts w:ascii="Times New Roman" w:hAnsi="Times New Roman" w:cs="Times New Roman"/>
        </w:rPr>
        <w:t xml:space="preserve"> see also D Ormerod, ‘Cheating the Public Revenue’ [1998] </w:t>
      </w:r>
      <w:r w:rsidRPr="00B548F3">
        <w:rPr>
          <w:rFonts w:ascii="Times New Roman" w:hAnsi="Times New Roman" w:cs="Times New Roman"/>
          <w:i/>
          <w:iCs/>
        </w:rPr>
        <w:t>Crim</w:t>
      </w:r>
      <w:r>
        <w:rPr>
          <w:rFonts w:ascii="Times New Roman" w:hAnsi="Times New Roman" w:cs="Times New Roman"/>
          <w:i/>
          <w:iCs/>
        </w:rPr>
        <w:t xml:space="preserve"> </w:t>
      </w:r>
      <w:r w:rsidRPr="00B548F3">
        <w:rPr>
          <w:rFonts w:ascii="Times New Roman" w:hAnsi="Times New Roman" w:cs="Times New Roman"/>
          <w:i/>
          <w:iCs/>
        </w:rPr>
        <w:t>LR</w:t>
      </w:r>
      <w:r w:rsidRPr="0089053D">
        <w:rPr>
          <w:rFonts w:ascii="Times New Roman" w:hAnsi="Times New Roman" w:cs="Times New Roman"/>
        </w:rPr>
        <w:t xml:space="preserve"> 627, 628. </w:t>
      </w:r>
    </w:p>
  </w:footnote>
  <w:footnote w:id="54">
    <w:p w14:paraId="0DFF83A0" w14:textId="12F005B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The offence was expressly preserved in the Theft Act 1968, s</w:t>
      </w:r>
      <w:r>
        <w:rPr>
          <w:rFonts w:ascii="Times New Roman" w:hAnsi="Times New Roman" w:cs="Times New Roman"/>
        </w:rPr>
        <w:t xml:space="preserve"> </w:t>
      </w:r>
      <w:r w:rsidRPr="0089053D">
        <w:rPr>
          <w:rFonts w:ascii="Times New Roman" w:hAnsi="Times New Roman" w:cs="Times New Roman"/>
        </w:rPr>
        <w:t xml:space="preserve">32(1)(a), despite the recommendation of the Criminal Law Revision Committee in its </w:t>
      </w:r>
      <w:r w:rsidRPr="0089053D">
        <w:rPr>
          <w:rFonts w:ascii="Times New Roman" w:hAnsi="Times New Roman" w:cs="Times New Roman"/>
          <w:i/>
        </w:rPr>
        <w:t>Eighth Report: Theft and Related Offences</w:t>
      </w:r>
      <w:r w:rsidRPr="0089053D">
        <w:rPr>
          <w:rFonts w:ascii="Times New Roman" w:hAnsi="Times New Roman" w:cs="Times New Roman"/>
        </w:rPr>
        <w:t xml:space="preserve"> (</w:t>
      </w:r>
      <w:proofErr w:type="spellStart"/>
      <w:r w:rsidRPr="0089053D">
        <w:rPr>
          <w:rFonts w:ascii="Times New Roman" w:hAnsi="Times New Roman" w:cs="Times New Roman"/>
        </w:rPr>
        <w:t>Cmnd</w:t>
      </w:r>
      <w:proofErr w:type="spellEnd"/>
      <w:r w:rsidRPr="0089053D">
        <w:rPr>
          <w:rFonts w:ascii="Times New Roman" w:hAnsi="Times New Roman" w:cs="Times New Roman"/>
        </w:rPr>
        <w:t xml:space="preserve"> 2977, 1966).</w:t>
      </w:r>
    </w:p>
  </w:footnote>
  <w:footnote w:id="55">
    <w:p w14:paraId="1E694DF8" w14:textId="5ED9BB2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i/>
        </w:rPr>
        <w:t>Mavji</w:t>
      </w:r>
      <w:proofErr w:type="spellEnd"/>
      <w:r w:rsidRPr="0089053D">
        <w:rPr>
          <w:rFonts w:ascii="Times New Roman" w:hAnsi="Times New Roman" w:cs="Times New Roman"/>
          <w:i/>
        </w:rPr>
        <w:t xml:space="preserve"> </w:t>
      </w:r>
      <w:r w:rsidRPr="0089053D">
        <w:rPr>
          <w:rFonts w:ascii="Times New Roman" w:hAnsi="Times New Roman" w:cs="Times New Roman"/>
        </w:rPr>
        <w:t>[1987] 1 WLR 1388, 1392 (CA).</w:t>
      </w:r>
    </w:p>
  </w:footnote>
  <w:footnote w:id="56">
    <w:p w14:paraId="48E0E974" w14:textId="0F53F52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for instance, </w:t>
      </w:r>
      <w:r w:rsidRPr="0089053D">
        <w:rPr>
          <w:rFonts w:ascii="Times New Roman" w:hAnsi="Times New Roman" w:cs="Times New Roman"/>
          <w:i/>
        </w:rPr>
        <w:t>Whitson-Dew and Richards</w:t>
      </w:r>
      <w:r w:rsidRPr="0089053D">
        <w:rPr>
          <w:rFonts w:ascii="Times New Roman" w:hAnsi="Times New Roman" w:cs="Times New Roman"/>
        </w:rPr>
        <w:t xml:space="preserve"> [2019] EWCA Crim 2131; [2020] 1 Cr App R (S) 56; </w:t>
      </w:r>
      <w:r w:rsidRPr="0089053D">
        <w:rPr>
          <w:rFonts w:ascii="Times New Roman" w:hAnsi="Times New Roman" w:cs="Times New Roman"/>
          <w:i/>
        </w:rPr>
        <w:t xml:space="preserve">Charlton </w:t>
      </w:r>
      <w:r w:rsidRPr="0089053D">
        <w:rPr>
          <w:rFonts w:ascii="Times New Roman" w:hAnsi="Times New Roman" w:cs="Times New Roman"/>
        </w:rPr>
        <w:t>[1996] STC 1418 (CA).</w:t>
      </w:r>
    </w:p>
  </w:footnote>
  <w:footnote w:id="57">
    <w:p w14:paraId="7768D01E" w14:textId="7372D16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Hunt </w:t>
      </w:r>
      <w:r w:rsidRPr="0089053D">
        <w:rPr>
          <w:rFonts w:ascii="Times New Roman" w:hAnsi="Times New Roman" w:cs="Times New Roman"/>
        </w:rPr>
        <w:t xml:space="preserve">[1994] Crim LR 747, 748 (CA). If the offence is charged as a ‘result offence’, the prosecution may need to demonstrate loss, see </w:t>
      </w:r>
      <w:r w:rsidRPr="0089053D">
        <w:rPr>
          <w:rFonts w:ascii="Times New Roman" w:hAnsi="Times New Roman" w:cs="Times New Roman"/>
          <w:i/>
        </w:rPr>
        <w:t xml:space="preserve">Lunn </w:t>
      </w:r>
      <w:r w:rsidRPr="0089053D">
        <w:rPr>
          <w:rFonts w:ascii="Times New Roman" w:hAnsi="Times New Roman" w:cs="Times New Roman"/>
        </w:rPr>
        <w:t>[2017] EWCA Crim 34</w:t>
      </w:r>
      <w:r>
        <w:rPr>
          <w:rFonts w:ascii="Times New Roman" w:hAnsi="Times New Roman" w:cs="Times New Roman"/>
        </w:rPr>
        <w:t>,</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24</w:t>
      </w:r>
      <w:r>
        <w:rPr>
          <w:rFonts w:ascii="Times New Roman" w:hAnsi="Times New Roman" w:cs="Times New Roman"/>
        </w:rPr>
        <w:t>]</w:t>
      </w:r>
      <w:r w:rsidRPr="0089053D">
        <w:rPr>
          <w:rFonts w:ascii="Times New Roman" w:hAnsi="Times New Roman" w:cs="Times New Roman"/>
        </w:rPr>
        <w:t>.</w:t>
      </w:r>
      <w:r>
        <w:rPr>
          <w:rFonts w:ascii="Times New Roman" w:hAnsi="Times New Roman" w:cs="Times New Roman"/>
        </w:rPr>
        <w:t xml:space="preserve"> </w:t>
      </w:r>
    </w:p>
  </w:footnote>
  <w:footnote w:id="58">
    <w:p w14:paraId="0B050BF5" w14:textId="3992E37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Less, The Times</w:t>
      </w:r>
      <w:r w:rsidRPr="0089053D">
        <w:rPr>
          <w:rFonts w:ascii="Times New Roman" w:hAnsi="Times New Roman" w:cs="Times New Roman"/>
        </w:rPr>
        <w:t xml:space="preserve"> </w:t>
      </w:r>
      <w:r>
        <w:rPr>
          <w:rFonts w:ascii="Times New Roman" w:hAnsi="Times New Roman" w:cs="Times New Roman"/>
        </w:rPr>
        <w:t xml:space="preserve">(30 </w:t>
      </w:r>
      <w:r w:rsidRPr="0089053D">
        <w:rPr>
          <w:rFonts w:ascii="Times New Roman" w:hAnsi="Times New Roman" w:cs="Times New Roman"/>
        </w:rPr>
        <w:t>March 1993</w:t>
      </w:r>
      <w:r>
        <w:rPr>
          <w:rFonts w:ascii="Times New Roman" w:hAnsi="Times New Roman" w:cs="Times New Roman"/>
        </w:rPr>
        <w:t>)</w:t>
      </w:r>
      <w:r w:rsidRPr="0089053D">
        <w:rPr>
          <w:rFonts w:ascii="Times New Roman" w:hAnsi="Times New Roman" w:cs="Times New Roman"/>
        </w:rPr>
        <w:t>.</w:t>
      </w:r>
    </w:p>
  </w:footnote>
  <w:footnote w:id="59">
    <w:p w14:paraId="5BA86F9F" w14:textId="7777777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JH Howard, ‘Cheating the Public Revenue’ [2010] </w:t>
      </w:r>
      <w:r w:rsidRPr="0089053D">
        <w:rPr>
          <w:rFonts w:ascii="Times New Roman" w:hAnsi="Times New Roman" w:cs="Times New Roman"/>
          <w:i/>
        </w:rPr>
        <w:t>Tax Journal</w:t>
      </w:r>
      <w:r w:rsidRPr="0089053D">
        <w:rPr>
          <w:rFonts w:ascii="Times New Roman" w:hAnsi="Times New Roman" w:cs="Times New Roman"/>
        </w:rPr>
        <w:t xml:space="preserve"> 16, 16. </w:t>
      </w:r>
    </w:p>
  </w:footnote>
  <w:footnote w:id="60">
    <w:p w14:paraId="67CF1AC0" w14:textId="7470E0F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Specifically, Art</w:t>
      </w:r>
      <w:r>
        <w:rPr>
          <w:rFonts w:ascii="Times New Roman" w:hAnsi="Times New Roman" w:cs="Times New Roman"/>
        </w:rPr>
        <w:t>icle</w:t>
      </w:r>
      <w:r w:rsidRPr="0089053D">
        <w:rPr>
          <w:rFonts w:ascii="Times New Roman" w:hAnsi="Times New Roman" w:cs="Times New Roman"/>
        </w:rPr>
        <w:t xml:space="preserve"> 7. See, </w:t>
      </w:r>
      <w:proofErr w:type="spellStart"/>
      <w:r w:rsidRPr="0089053D">
        <w:rPr>
          <w:rFonts w:ascii="Times New Roman" w:hAnsi="Times New Roman" w:cs="Times New Roman"/>
        </w:rPr>
        <w:t>eg</w:t>
      </w:r>
      <w:proofErr w:type="spellEnd"/>
      <w:r w:rsidRPr="0089053D">
        <w:rPr>
          <w:rFonts w:ascii="Times New Roman" w:hAnsi="Times New Roman" w:cs="Times New Roman"/>
        </w:rPr>
        <w:t xml:space="preserve">, G Virgo, ‘Cheating the Public Revenue: Fictions and Human Rights’ (2002) 61 </w:t>
      </w:r>
      <w:r w:rsidRPr="0089053D">
        <w:rPr>
          <w:rFonts w:ascii="Times New Roman" w:hAnsi="Times New Roman" w:cs="Times New Roman"/>
          <w:i/>
          <w:iCs/>
        </w:rPr>
        <w:t>CLJ</w:t>
      </w:r>
      <w:r w:rsidRPr="0089053D">
        <w:rPr>
          <w:rFonts w:ascii="Times New Roman" w:hAnsi="Times New Roman" w:cs="Times New Roman"/>
        </w:rPr>
        <w:t xml:space="preserve"> 47. Yet challenges brought on this basis have been unsuccessful, </w:t>
      </w:r>
      <w:r w:rsidRPr="0089053D">
        <w:rPr>
          <w:rFonts w:ascii="Times New Roman" w:hAnsi="Times New Roman" w:cs="Times New Roman"/>
          <w:i/>
        </w:rPr>
        <w:t xml:space="preserve">R. v </w:t>
      </w:r>
      <w:proofErr w:type="spellStart"/>
      <w:r w:rsidRPr="0089053D">
        <w:rPr>
          <w:rFonts w:ascii="Times New Roman" w:hAnsi="Times New Roman" w:cs="Times New Roman"/>
          <w:i/>
        </w:rPr>
        <w:t>Pattni</w:t>
      </w:r>
      <w:proofErr w:type="spellEnd"/>
      <w:r w:rsidRPr="0089053D">
        <w:rPr>
          <w:rFonts w:ascii="Times New Roman" w:hAnsi="Times New Roman" w:cs="Times New Roman"/>
          <w:i/>
        </w:rPr>
        <w:t xml:space="preserve"> </w:t>
      </w:r>
      <w:r w:rsidRPr="0089053D">
        <w:rPr>
          <w:rFonts w:ascii="Times New Roman" w:hAnsi="Times New Roman" w:cs="Times New Roman"/>
        </w:rPr>
        <w:t>[2001] Crim LR 570.</w:t>
      </w:r>
      <w:r>
        <w:rPr>
          <w:rFonts w:ascii="Times New Roman" w:hAnsi="Times New Roman" w:cs="Times New Roman"/>
        </w:rPr>
        <w:t xml:space="preserve"> </w:t>
      </w:r>
    </w:p>
  </w:footnote>
  <w:footnote w:id="61">
    <w:p w14:paraId="0F42187C" w14:textId="3F783EA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Ormerod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_Ref112239098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52</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645.</w:t>
      </w:r>
    </w:p>
  </w:footnote>
  <w:footnote w:id="62">
    <w:p w14:paraId="75B213A0" w14:textId="3043E07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McBain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_Ref112239401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51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76; G Virgo, ‘Cheating the Public Revenue’ (2000) 59(1) </w:t>
      </w:r>
      <w:r w:rsidRPr="0089053D">
        <w:rPr>
          <w:rFonts w:ascii="Times New Roman" w:hAnsi="Times New Roman" w:cs="Times New Roman"/>
          <w:i/>
          <w:iCs/>
        </w:rPr>
        <w:t>CLJ</w:t>
      </w:r>
      <w:r w:rsidRPr="0089053D">
        <w:rPr>
          <w:rFonts w:ascii="Times New Roman" w:hAnsi="Times New Roman" w:cs="Times New Roman"/>
        </w:rPr>
        <w:t xml:space="preserve"> 42, 45.</w:t>
      </w:r>
    </w:p>
  </w:footnote>
  <w:footnote w:id="63">
    <w:p w14:paraId="4BA7E560" w14:textId="59EE463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Criminal Law Act 1977, s</w:t>
      </w:r>
      <w:r>
        <w:rPr>
          <w:rFonts w:ascii="Times New Roman" w:hAnsi="Times New Roman" w:cs="Times New Roman"/>
        </w:rPr>
        <w:t xml:space="preserve"> </w:t>
      </w:r>
      <w:r w:rsidRPr="0089053D">
        <w:rPr>
          <w:rFonts w:ascii="Times New Roman" w:hAnsi="Times New Roman" w:cs="Times New Roman"/>
        </w:rPr>
        <w:t>1, s</w:t>
      </w:r>
      <w:r>
        <w:rPr>
          <w:rFonts w:ascii="Times New Roman" w:hAnsi="Times New Roman" w:cs="Times New Roman"/>
        </w:rPr>
        <w:t xml:space="preserve"> </w:t>
      </w:r>
      <w:r w:rsidRPr="0089053D">
        <w:rPr>
          <w:rFonts w:ascii="Times New Roman" w:hAnsi="Times New Roman" w:cs="Times New Roman"/>
        </w:rPr>
        <w:t xml:space="preserve">5(2). </w:t>
      </w:r>
    </w:p>
  </w:footnote>
  <w:footnote w:id="64">
    <w:p w14:paraId="3288B1CB" w14:textId="4E63958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Evans </w:t>
      </w:r>
      <w:r w:rsidRPr="0089053D">
        <w:rPr>
          <w:rFonts w:ascii="Times New Roman" w:hAnsi="Times New Roman" w:cs="Times New Roman"/>
        </w:rPr>
        <w:t>[2014] 1 WLR 2817, [36], quoting D Ormerod</w:t>
      </w:r>
      <w:r>
        <w:rPr>
          <w:rFonts w:ascii="Times New Roman" w:hAnsi="Times New Roman" w:cs="Times New Roman"/>
        </w:rPr>
        <w:t xml:space="preserve"> and</w:t>
      </w:r>
      <w:r w:rsidRPr="0089053D">
        <w:rPr>
          <w:rFonts w:ascii="Times New Roman" w:hAnsi="Times New Roman" w:cs="Times New Roman"/>
        </w:rPr>
        <w:t xml:space="preserve"> DH Williams, </w:t>
      </w:r>
      <w:r w:rsidRPr="0089053D">
        <w:rPr>
          <w:rFonts w:ascii="Times New Roman" w:hAnsi="Times New Roman" w:cs="Times New Roman"/>
          <w:i/>
        </w:rPr>
        <w:t>Smith's Law of Theft</w:t>
      </w:r>
      <w:r w:rsidRPr="0089053D">
        <w:rPr>
          <w:rFonts w:ascii="Times New Roman" w:hAnsi="Times New Roman" w:cs="Times New Roman"/>
        </w:rPr>
        <w:t xml:space="preserve">, 9th </w:t>
      </w:r>
      <w:proofErr w:type="spellStart"/>
      <w:r w:rsidRPr="0089053D">
        <w:rPr>
          <w:rFonts w:ascii="Times New Roman" w:hAnsi="Times New Roman" w:cs="Times New Roman"/>
        </w:rPr>
        <w:t>edn</w:t>
      </w:r>
      <w:proofErr w:type="spellEnd"/>
      <w:r w:rsidRPr="0089053D">
        <w:rPr>
          <w:rFonts w:ascii="Times New Roman" w:hAnsi="Times New Roman" w:cs="Times New Roman"/>
        </w:rPr>
        <w:t xml:space="preserve"> (OUP, 2007)</w:t>
      </w:r>
      <w:r>
        <w:rPr>
          <w:rFonts w:ascii="Times New Roman" w:hAnsi="Times New Roman" w:cs="Times New Roman"/>
        </w:rPr>
        <w:t>,</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5.12</w:t>
      </w:r>
      <w:r>
        <w:rPr>
          <w:rFonts w:ascii="Times New Roman" w:hAnsi="Times New Roman" w:cs="Times New Roman"/>
        </w:rPr>
        <w:t>]</w:t>
      </w:r>
      <w:r w:rsidRPr="0089053D">
        <w:rPr>
          <w:rFonts w:ascii="Times New Roman" w:hAnsi="Times New Roman" w:cs="Times New Roman"/>
        </w:rPr>
        <w:t xml:space="preserve">. </w:t>
      </w:r>
    </w:p>
  </w:footnote>
  <w:footnote w:id="65">
    <w:p w14:paraId="41199715" w14:textId="06DE034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sidRPr="0089053D">
        <w:rPr>
          <w:rFonts w:ascii="Times New Roman" w:hAnsi="Times New Roman" w:cs="Times New Roman"/>
        </w:rPr>
        <w:t xml:space="preserve"> </w:t>
      </w:r>
      <w:r w:rsidRPr="0089053D">
        <w:rPr>
          <w:rFonts w:ascii="Times New Roman" w:hAnsi="Times New Roman" w:cs="Times New Roman"/>
          <w:i/>
        </w:rPr>
        <w:t xml:space="preserve">Bache </w:t>
      </w:r>
      <w:r w:rsidRPr="0089053D">
        <w:rPr>
          <w:rFonts w:ascii="Times New Roman" w:hAnsi="Times New Roman" w:cs="Times New Roman"/>
        </w:rPr>
        <w:t xml:space="preserve">[2014] EWCA Crim 2464; </w:t>
      </w:r>
      <w:proofErr w:type="spellStart"/>
      <w:r w:rsidRPr="0089053D">
        <w:rPr>
          <w:rFonts w:ascii="Times New Roman" w:hAnsi="Times New Roman" w:cs="Times New Roman"/>
          <w:i/>
        </w:rPr>
        <w:t>Bobrovas</w:t>
      </w:r>
      <w:proofErr w:type="spellEnd"/>
      <w:r w:rsidRPr="0089053D">
        <w:rPr>
          <w:rFonts w:ascii="Times New Roman" w:hAnsi="Times New Roman" w:cs="Times New Roman"/>
        </w:rPr>
        <w:t xml:space="preserve"> [2014] EWCA Crim 752; </w:t>
      </w:r>
      <w:r w:rsidRPr="0089053D">
        <w:rPr>
          <w:rFonts w:ascii="Times New Roman" w:hAnsi="Times New Roman" w:cs="Times New Roman"/>
          <w:i/>
        </w:rPr>
        <w:t xml:space="preserve">Hodges, Lineker and Stacey </w:t>
      </w:r>
      <w:r w:rsidRPr="0089053D">
        <w:rPr>
          <w:rFonts w:ascii="Times New Roman" w:hAnsi="Times New Roman" w:cs="Times New Roman"/>
        </w:rPr>
        <w:t xml:space="preserve">[2006] EWCA Crim 2706. </w:t>
      </w:r>
    </w:p>
  </w:footnote>
  <w:footnote w:id="66">
    <w:p w14:paraId="0DC5E569" w14:textId="0E31526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for instance, </w:t>
      </w:r>
      <w:r w:rsidRPr="0089053D">
        <w:rPr>
          <w:rFonts w:ascii="Times New Roman" w:hAnsi="Times New Roman" w:cs="Times New Roman"/>
          <w:i/>
        </w:rPr>
        <w:t>Hughes</w:t>
      </w:r>
      <w:r w:rsidRPr="0089053D">
        <w:rPr>
          <w:rFonts w:ascii="Times New Roman" w:hAnsi="Times New Roman" w:cs="Times New Roman"/>
        </w:rPr>
        <w:t xml:space="preserve"> (16 August 2018, unreported), Southwark Crown Court. </w:t>
      </w:r>
    </w:p>
  </w:footnote>
  <w:footnote w:id="67">
    <w:p w14:paraId="7BFEAC61" w14:textId="647221D6" w:rsidR="00A0406D" w:rsidRPr="0089053D" w:rsidRDefault="00A0406D" w:rsidP="00360ED4">
      <w:pPr>
        <w:pStyle w:val="FootnoteText"/>
        <w:rPr>
          <w:rFonts w:ascii="Times New Roman" w:hAnsi="Times New Roman" w:cs="Times New Roman"/>
          <w:lang w:val="it-IT"/>
        </w:rPr>
      </w:pPr>
      <w:r w:rsidRPr="0089053D">
        <w:rPr>
          <w:rStyle w:val="FootnoteReference"/>
          <w:rFonts w:ascii="Times New Roman" w:hAnsi="Times New Roman" w:cs="Times New Roman"/>
        </w:rPr>
        <w:footnoteRef/>
      </w:r>
      <w:r w:rsidRPr="0089053D">
        <w:rPr>
          <w:rFonts w:ascii="Times New Roman" w:hAnsi="Times New Roman" w:cs="Times New Roman"/>
          <w:lang w:val="it-IT"/>
        </w:rPr>
        <w:t xml:space="preserve"> </w:t>
      </w:r>
      <w:r w:rsidRPr="0089053D">
        <w:rPr>
          <w:rFonts w:ascii="Times New Roman" w:hAnsi="Times New Roman" w:cs="Times New Roman"/>
          <w:i/>
          <w:lang w:val="it-IT"/>
        </w:rPr>
        <w:t>Scott v Metropolitan Police Commissioner</w:t>
      </w:r>
      <w:r w:rsidRPr="0089053D">
        <w:rPr>
          <w:rFonts w:ascii="Times New Roman" w:hAnsi="Times New Roman" w:cs="Times New Roman"/>
          <w:lang w:val="it-IT"/>
        </w:rPr>
        <w:t xml:space="preserve"> [1974] 3 WLR 741 (HL). </w:t>
      </w:r>
    </w:p>
  </w:footnote>
  <w:footnote w:id="68">
    <w:p w14:paraId="74281120" w14:textId="6761266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Wai Yu-Tsang v The Queen</w:t>
      </w:r>
      <w:r w:rsidRPr="0089053D">
        <w:rPr>
          <w:rFonts w:ascii="Times New Roman" w:hAnsi="Times New Roman" w:cs="Times New Roman"/>
        </w:rPr>
        <w:t xml:space="preserve"> [1992] 1 AC 269, 276</w:t>
      </w:r>
      <w:r>
        <w:rPr>
          <w:rFonts w:ascii="Times New Roman" w:hAnsi="Times New Roman" w:cs="Times New Roman"/>
        </w:rPr>
        <w:t>‒</w:t>
      </w:r>
      <w:r w:rsidRPr="0089053D">
        <w:rPr>
          <w:rFonts w:ascii="Times New Roman" w:hAnsi="Times New Roman" w:cs="Times New Roman"/>
        </w:rPr>
        <w:t xml:space="preserve">7 (PC); </w:t>
      </w:r>
      <w:proofErr w:type="spellStart"/>
      <w:r w:rsidRPr="0089053D">
        <w:rPr>
          <w:rFonts w:ascii="Times New Roman" w:hAnsi="Times New Roman" w:cs="Times New Roman"/>
          <w:i/>
        </w:rPr>
        <w:t>Allsop</w:t>
      </w:r>
      <w:proofErr w:type="spellEnd"/>
      <w:r w:rsidRPr="0089053D">
        <w:rPr>
          <w:rFonts w:ascii="Times New Roman" w:hAnsi="Times New Roman" w:cs="Times New Roman"/>
        </w:rPr>
        <w:t xml:space="preserve"> (1977) 64 Cr App R 29 (CA).</w:t>
      </w:r>
    </w:p>
  </w:footnote>
  <w:footnote w:id="69">
    <w:p w14:paraId="4025FD9F" w14:textId="7F301AB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 Ormerod</w:t>
      </w:r>
      <w:r>
        <w:rPr>
          <w:rFonts w:ascii="Times New Roman" w:hAnsi="Times New Roman" w:cs="Times New Roman"/>
        </w:rPr>
        <w:t xml:space="preserve"> and</w:t>
      </w:r>
      <w:r w:rsidRPr="0089053D">
        <w:rPr>
          <w:rFonts w:ascii="Times New Roman" w:hAnsi="Times New Roman" w:cs="Times New Roman"/>
        </w:rPr>
        <w:t xml:space="preserve"> K Laird, ‘Ivey v Genting Casinos – Much Ado about Nothing?’ (2018) 9 </w:t>
      </w:r>
      <w:r w:rsidRPr="0089053D">
        <w:rPr>
          <w:rFonts w:ascii="Times New Roman" w:hAnsi="Times New Roman" w:cs="Times New Roman"/>
          <w:i/>
        </w:rPr>
        <w:t xml:space="preserve">UK Supreme Court Yearbook </w:t>
      </w:r>
      <w:r w:rsidRPr="0089053D">
        <w:rPr>
          <w:rFonts w:ascii="Times New Roman" w:hAnsi="Times New Roman" w:cs="Times New Roman"/>
        </w:rPr>
        <w:t xml:space="preserve">380, 393. </w:t>
      </w:r>
    </w:p>
  </w:footnote>
  <w:footnote w:id="70">
    <w:p w14:paraId="0C7FA67D" w14:textId="4762145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ATH Smith, ‘Conspiracy to Defraud’ [1988] </w:t>
      </w:r>
      <w:r w:rsidRPr="00E81DD3">
        <w:rPr>
          <w:rFonts w:ascii="Times New Roman" w:hAnsi="Times New Roman" w:cs="Times New Roman"/>
          <w:i/>
          <w:iCs/>
        </w:rPr>
        <w:t>Crim</w:t>
      </w:r>
      <w:r>
        <w:rPr>
          <w:rFonts w:ascii="Times New Roman" w:hAnsi="Times New Roman" w:cs="Times New Roman"/>
          <w:i/>
          <w:iCs/>
        </w:rPr>
        <w:t xml:space="preserve"> </w:t>
      </w:r>
      <w:r w:rsidRPr="00E81DD3">
        <w:rPr>
          <w:rFonts w:ascii="Times New Roman" w:hAnsi="Times New Roman" w:cs="Times New Roman"/>
          <w:i/>
          <w:iCs/>
        </w:rPr>
        <w:t>LR</w:t>
      </w:r>
      <w:r w:rsidRPr="0089053D">
        <w:rPr>
          <w:rFonts w:ascii="Times New Roman" w:hAnsi="Times New Roman" w:cs="Times New Roman"/>
        </w:rPr>
        <w:t xml:space="preserve"> 508; JC Smith, ‘Conspiracy to Defraud: Some Comments on the Law Commission's Report’ [1995] </w:t>
      </w:r>
      <w:r w:rsidRPr="00E81DD3">
        <w:rPr>
          <w:rFonts w:ascii="Times New Roman" w:hAnsi="Times New Roman" w:cs="Times New Roman"/>
          <w:i/>
          <w:iCs/>
        </w:rPr>
        <w:t>Crim</w:t>
      </w:r>
      <w:r>
        <w:rPr>
          <w:rFonts w:ascii="Times New Roman" w:hAnsi="Times New Roman" w:cs="Times New Roman"/>
          <w:i/>
          <w:iCs/>
        </w:rPr>
        <w:t xml:space="preserve"> </w:t>
      </w:r>
      <w:r w:rsidRPr="00E81DD3">
        <w:rPr>
          <w:rFonts w:ascii="Times New Roman" w:hAnsi="Times New Roman" w:cs="Times New Roman"/>
          <w:i/>
          <w:iCs/>
        </w:rPr>
        <w:t>LR</w:t>
      </w:r>
      <w:r w:rsidRPr="0089053D">
        <w:rPr>
          <w:rFonts w:ascii="Times New Roman" w:hAnsi="Times New Roman" w:cs="Times New Roman"/>
        </w:rPr>
        <w:t xml:space="preserve"> 209. </w:t>
      </w:r>
    </w:p>
  </w:footnote>
  <w:footnote w:id="71">
    <w:p w14:paraId="1822C834" w14:textId="07A07EB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 xml:space="preserve">Law Commission, </w:t>
      </w:r>
      <w:r w:rsidRPr="0089053D">
        <w:rPr>
          <w:rFonts w:ascii="Times New Roman" w:hAnsi="Times New Roman" w:cs="Times New Roman"/>
          <w:i/>
        </w:rPr>
        <w:t xml:space="preserve">Fraud </w:t>
      </w:r>
      <w:r w:rsidRPr="0089053D">
        <w:rPr>
          <w:rFonts w:ascii="Times New Roman" w:hAnsi="Times New Roman" w:cs="Times New Roman"/>
        </w:rPr>
        <w:t>(</w:t>
      </w:r>
      <w:r>
        <w:rPr>
          <w:rFonts w:ascii="Times New Roman" w:hAnsi="Times New Roman" w:cs="Times New Roman"/>
        </w:rPr>
        <w:t>LC No</w:t>
      </w:r>
      <w:r w:rsidRPr="0089053D">
        <w:rPr>
          <w:rFonts w:ascii="Times New Roman" w:hAnsi="Times New Roman" w:cs="Times New Roman"/>
        </w:rPr>
        <w:t xml:space="preserve"> 276, 2002) 57. Earlier reports recommended the retention of the offence, ‘until ways can be found of preserving its practical advantages’ </w:t>
      </w:r>
      <w:r w:rsidRPr="0089053D">
        <w:rPr>
          <w:rFonts w:ascii="Times New Roman" w:hAnsi="Times New Roman" w:cs="Times New Roman"/>
          <w:i/>
        </w:rPr>
        <w:t xml:space="preserve">Criminal Law: Conspiracy to Defraud </w:t>
      </w:r>
      <w:r w:rsidRPr="0089053D">
        <w:rPr>
          <w:rFonts w:ascii="Times New Roman" w:hAnsi="Times New Roman" w:cs="Times New Roman"/>
        </w:rPr>
        <w:t>(</w:t>
      </w:r>
      <w:r>
        <w:rPr>
          <w:rFonts w:ascii="Times New Roman" w:hAnsi="Times New Roman" w:cs="Times New Roman"/>
        </w:rPr>
        <w:t>LC No</w:t>
      </w:r>
      <w:r w:rsidRPr="0089053D">
        <w:rPr>
          <w:rFonts w:ascii="Times New Roman" w:hAnsi="Times New Roman" w:cs="Times New Roman"/>
        </w:rPr>
        <w:t xml:space="preserve"> 228, 1994) 63; </w:t>
      </w:r>
      <w:r w:rsidRPr="0089053D">
        <w:rPr>
          <w:rFonts w:ascii="Times New Roman" w:hAnsi="Times New Roman" w:cs="Times New Roman"/>
          <w:i/>
        </w:rPr>
        <w:t xml:space="preserve">Criminal Law: Report on Conspiracy and Criminal Law Reform </w:t>
      </w:r>
      <w:r w:rsidRPr="0089053D">
        <w:rPr>
          <w:rFonts w:ascii="Times New Roman" w:hAnsi="Times New Roman" w:cs="Times New Roman"/>
        </w:rPr>
        <w:t>(</w:t>
      </w:r>
      <w:r>
        <w:rPr>
          <w:rFonts w:ascii="Times New Roman" w:hAnsi="Times New Roman" w:cs="Times New Roman"/>
        </w:rPr>
        <w:t>LC No</w:t>
      </w:r>
      <w:r w:rsidRPr="0089053D">
        <w:rPr>
          <w:rFonts w:ascii="Times New Roman" w:hAnsi="Times New Roman" w:cs="Times New Roman"/>
        </w:rPr>
        <w:t xml:space="preserve"> 76, 1976) 43. </w:t>
      </w:r>
    </w:p>
  </w:footnote>
  <w:footnote w:id="72">
    <w:p w14:paraId="37FDF97B" w14:textId="1BA9FB0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Inland Revenue,</w:t>
      </w:r>
      <w:r w:rsidRPr="0089053D">
        <w:rPr>
          <w:rFonts w:ascii="Times New Roman" w:hAnsi="Times New Roman" w:cs="Times New Roman"/>
          <w:i/>
        </w:rPr>
        <w:t xml:space="preserve"> Tax Bulletin – Issue 49</w:t>
      </w:r>
      <w:r w:rsidRPr="0089053D">
        <w:rPr>
          <w:rFonts w:ascii="Times New Roman" w:hAnsi="Times New Roman" w:cs="Times New Roman"/>
        </w:rPr>
        <w:t xml:space="preserve"> (Inland Revenue, 2000). </w:t>
      </w:r>
    </w:p>
  </w:footnote>
  <w:footnote w:id="73">
    <w:p w14:paraId="2558C039" w14:textId="60582F9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i/>
        </w:rPr>
        <w:t>Hashash</w:t>
      </w:r>
      <w:proofErr w:type="spellEnd"/>
      <w:r w:rsidRPr="0089053D">
        <w:rPr>
          <w:rFonts w:ascii="Times New Roman" w:hAnsi="Times New Roman" w:cs="Times New Roman"/>
          <w:i/>
        </w:rPr>
        <w:t xml:space="preserve"> </w:t>
      </w:r>
      <w:r w:rsidRPr="0089053D">
        <w:rPr>
          <w:rFonts w:ascii="Times New Roman" w:hAnsi="Times New Roman" w:cs="Times New Roman"/>
        </w:rPr>
        <w:t>[2006] EWCA Crim 2518; [2008] STC 1158</w:t>
      </w:r>
      <w:r>
        <w:rPr>
          <w:rFonts w:ascii="Times New Roman" w:hAnsi="Times New Roman" w:cs="Times New Roman"/>
        </w:rPr>
        <w:t>,</w:t>
      </w:r>
      <w:r w:rsidRPr="0089053D">
        <w:rPr>
          <w:rFonts w:ascii="Times New Roman" w:hAnsi="Times New Roman" w:cs="Times New Roman"/>
        </w:rPr>
        <w:t xml:space="preserve"> [</w:t>
      </w:r>
      <w:proofErr w:type="gramStart"/>
      <w:r w:rsidRPr="0089053D">
        <w:rPr>
          <w:rFonts w:ascii="Times New Roman" w:hAnsi="Times New Roman" w:cs="Times New Roman"/>
        </w:rPr>
        <w:t>3]</w:t>
      </w:r>
      <w:r>
        <w:rPr>
          <w:rFonts w:ascii="Times New Roman" w:hAnsi="Times New Roman" w:cs="Times New Roman"/>
        </w:rPr>
        <w:t>‒</w:t>
      </w:r>
      <w:proofErr w:type="gramEnd"/>
      <w:r w:rsidRPr="0089053D">
        <w:rPr>
          <w:rFonts w:ascii="Times New Roman" w:hAnsi="Times New Roman" w:cs="Times New Roman"/>
        </w:rPr>
        <w:t xml:space="preserve">[5]. </w:t>
      </w:r>
    </w:p>
  </w:footnote>
  <w:footnote w:id="74">
    <w:p w14:paraId="58D30AB2" w14:textId="7CA91E1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rPr>
        <w:t xml:space="preserve">, </w:t>
      </w:r>
      <w:r w:rsidRPr="0089053D">
        <w:rPr>
          <w:rFonts w:ascii="Times New Roman" w:hAnsi="Times New Roman" w:cs="Times New Roman"/>
        </w:rPr>
        <w:t>[</w:t>
      </w:r>
      <w:proofErr w:type="gramStart"/>
      <w:r w:rsidRPr="0089053D">
        <w:rPr>
          <w:rFonts w:ascii="Times New Roman" w:hAnsi="Times New Roman" w:cs="Times New Roman"/>
        </w:rPr>
        <w:t>29]</w:t>
      </w:r>
      <w:r>
        <w:rPr>
          <w:rFonts w:ascii="Times New Roman" w:hAnsi="Times New Roman" w:cs="Times New Roman"/>
        </w:rPr>
        <w:t>‒</w:t>
      </w:r>
      <w:proofErr w:type="gramEnd"/>
      <w:r w:rsidRPr="0089053D">
        <w:rPr>
          <w:rFonts w:ascii="Times New Roman" w:hAnsi="Times New Roman" w:cs="Times New Roman"/>
        </w:rPr>
        <w:t>[33].</w:t>
      </w:r>
    </w:p>
  </w:footnote>
  <w:footnote w:id="75">
    <w:p w14:paraId="497A6A39" w14:textId="3895C16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 xml:space="preserve">Law Commission, </w:t>
      </w:r>
      <w:r w:rsidRPr="0089053D">
        <w:rPr>
          <w:rFonts w:ascii="Times New Roman" w:hAnsi="Times New Roman" w:cs="Times New Roman"/>
          <w:i/>
        </w:rPr>
        <w:t xml:space="preserve">Codification of the Criminal Law: A Report to the Law Commission </w:t>
      </w:r>
      <w:r w:rsidRPr="0089053D">
        <w:rPr>
          <w:rFonts w:ascii="Times New Roman" w:hAnsi="Times New Roman" w:cs="Times New Roman"/>
        </w:rPr>
        <w:t>(</w:t>
      </w:r>
      <w:r>
        <w:rPr>
          <w:rFonts w:ascii="Times New Roman" w:hAnsi="Times New Roman" w:cs="Times New Roman"/>
        </w:rPr>
        <w:t>LC No</w:t>
      </w:r>
      <w:r w:rsidRPr="0089053D">
        <w:rPr>
          <w:rFonts w:ascii="Times New Roman" w:hAnsi="Times New Roman" w:cs="Times New Roman"/>
        </w:rPr>
        <w:t xml:space="preserve"> 143, 1985); See more recently, E Steiner, ‘Challenging (Again) the Undemocratic Form of the Common Law: Codification as a Method of Making the Law Accessible to Citizens’ (2020) 31(1) </w:t>
      </w:r>
      <w:r w:rsidRPr="0089053D">
        <w:rPr>
          <w:rFonts w:ascii="Times New Roman" w:hAnsi="Times New Roman" w:cs="Times New Roman"/>
          <w:i/>
        </w:rPr>
        <w:t>King’s Law Journal</w:t>
      </w:r>
      <w:r w:rsidRPr="0089053D">
        <w:rPr>
          <w:rFonts w:ascii="Times New Roman" w:hAnsi="Times New Roman" w:cs="Times New Roman"/>
        </w:rPr>
        <w:t xml:space="preserve"> 27. </w:t>
      </w:r>
    </w:p>
  </w:footnote>
  <w:footnote w:id="76">
    <w:p w14:paraId="6819A04D" w14:textId="53807BE8" w:rsidR="00A0406D" w:rsidRPr="0089053D" w:rsidRDefault="00A0406D" w:rsidP="00360ED4">
      <w:pPr>
        <w:pStyle w:val="CommentText"/>
      </w:pPr>
      <w:r w:rsidRPr="0089053D">
        <w:rPr>
          <w:rStyle w:val="FootnoteReference"/>
        </w:rPr>
        <w:footnoteRef/>
      </w:r>
      <w:r w:rsidRPr="0089053D">
        <w:t xml:space="preserve"> In </w:t>
      </w:r>
      <w:proofErr w:type="spellStart"/>
      <w:r w:rsidRPr="0089053D">
        <w:rPr>
          <w:i/>
          <w:iCs/>
        </w:rPr>
        <w:t>Rimmington</w:t>
      </w:r>
      <w:proofErr w:type="spellEnd"/>
      <w:r w:rsidRPr="0089053D">
        <w:rPr>
          <w:i/>
          <w:iCs/>
        </w:rPr>
        <w:t xml:space="preserve">, </w:t>
      </w:r>
      <w:r w:rsidRPr="0089053D">
        <w:rPr>
          <w:iCs/>
        </w:rPr>
        <w:t xml:space="preserve">Lord Bingham stated that </w:t>
      </w:r>
      <w:r>
        <w:rPr>
          <w:iCs/>
        </w:rPr>
        <w:t>‘</w:t>
      </w:r>
      <w:r w:rsidRPr="0089053D">
        <w:rPr>
          <w:shd w:val="clear" w:color="auto" w:fill="FFFFFF"/>
        </w:rPr>
        <w:t>good practice and respect for the primacy of statute (…) require that conduct falling within the terms of a specific statutory provision should be prosecuted under that provision unless there is good reason for doing otherwise.</w:t>
      </w:r>
      <w:r>
        <w:rPr>
          <w:shd w:val="clear" w:color="auto" w:fill="FFFFFF"/>
        </w:rPr>
        <w:t>’</w:t>
      </w:r>
      <w:r w:rsidRPr="0089053D">
        <w:t xml:space="preserve"> [2005] UKHL 63; [2006] 1 AC 459</w:t>
      </w:r>
      <w:r>
        <w:t>,</w:t>
      </w:r>
      <w:r w:rsidRPr="0089053D">
        <w:t xml:space="preserve"> [30]. However, courts will </w:t>
      </w:r>
      <w:r>
        <w:t>‘</w:t>
      </w:r>
      <w:r w:rsidRPr="0089053D">
        <w:t>be slow to interfere</w:t>
      </w:r>
      <w:r>
        <w:t>’</w:t>
      </w:r>
      <w:r w:rsidRPr="0089053D">
        <w:t xml:space="preserve"> </w:t>
      </w:r>
      <w:r w:rsidRPr="0089053D">
        <w:rPr>
          <w:i/>
          <w:iCs/>
        </w:rPr>
        <w:t>DS</w:t>
      </w:r>
      <w:r w:rsidRPr="0089053D">
        <w:t xml:space="preserve"> [2017] EWCA Crim 1410; [2018] 1 WLR 5609</w:t>
      </w:r>
      <w:r>
        <w:t>,</w:t>
      </w:r>
      <w:r w:rsidRPr="0089053D">
        <w:t xml:space="preserve"> [48].</w:t>
      </w:r>
    </w:p>
  </w:footnote>
  <w:footnote w:id="77">
    <w:p w14:paraId="09672E9D" w14:textId="747F890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Less, The Times</w:t>
      </w:r>
      <w:r w:rsidRPr="0089053D">
        <w:rPr>
          <w:rFonts w:ascii="Times New Roman" w:hAnsi="Times New Roman" w:cs="Times New Roman"/>
        </w:rPr>
        <w:t xml:space="preserve"> </w:t>
      </w:r>
      <w:r>
        <w:rPr>
          <w:rFonts w:ascii="Times New Roman" w:hAnsi="Times New Roman" w:cs="Times New Roman"/>
        </w:rPr>
        <w:t xml:space="preserve">(30 </w:t>
      </w:r>
      <w:r w:rsidRPr="0089053D">
        <w:rPr>
          <w:rFonts w:ascii="Times New Roman" w:hAnsi="Times New Roman" w:cs="Times New Roman"/>
        </w:rPr>
        <w:t>March 1993</w:t>
      </w:r>
      <w:r>
        <w:rPr>
          <w:rFonts w:ascii="Times New Roman" w:hAnsi="Times New Roman" w:cs="Times New Roman"/>
        </w:rPr>
        <w:t>)</w:t>
      </w:r>
      <w:r w:rsidRPr="0089053D">
        <w:rPr>
          <w:rFonts w:ascii="Times New Roman" w:hAnsi="Times New Roman" w:cs="Times New Roman"/>
        </w:rPr>
        <w:t xml:space="preserve">, </w:t>
      </w:r>
      <w:r w:rsidRPr="0089053D">
        <w:rPr>
          <w:rFonts w:ascii="Times New Roman" w:hAnsi="Times New Roman" w:cs="Times New Roman"/>
          <w:i/>
        </w:rPr>
        <w:t>Scott v Metropolitan Police Commissioner</w:t>
      </w:r>
      <w:r w:rsidRPr="0089053D">
        <w:rPr>
          <w:rFonts w:ascii="Times New Roman" w:hAnsi="Times New Roman" w:cs="Times New Roman"/>
        </w:rPr>
        <w:t xml:space="preserve"> [1974] 3 WLR 741 (HL).</w:t>
      </w:r>
    </w:p>
  </w:footnote>
  <w:footnote w:id="78">
    <w:p w14:paraId="5673E798" w14:textId="1C1C60D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Ormerod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_Ref112239098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52</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630; Law Com 276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_Ref112239562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70</w:t>
      </w:r>
      <w:r w:rsidRPr="0089053D">
        <w:rPr>
          <w:rFonts w:ascii="Times New Roman" w:hAnsi="Times New Roman" w:cs="Times New Roman"/>
        </w:rPr>
        <w:fldChar w:fldCharType="end"/>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_Ref112239562 \h  \* MERGEFORMAT </w:instrText>
      </w:r>
      <w:r w:rsidRPr="0089053D">
        <w:rPr>
          <w:rFonts w:ascii="Times New Roman" w:hAnsi="Times New Roman" w:cs="Times New Roman"/>
        </w:rPr>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86.</w:t>
      </w:r>
    </w:p>
  </w:footnote>
  <w:footnote w:id="79">
    <w:p w14:paraId="1C1C3313" w14:textId="2F69BC6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P Kiernan</w:t>
      </w:r>
      <w:r>
        <w:rPr>
          <w:rFonts w:ascii="Times New Roman" w:hAnsi="Times New Roman" w:cs="Times New Roman"/>
        </w:rPr>
        <w:t xml:space="preserve"> and</w:t>
      </w:r>
      <w:r w:rsidRPr="0089053D">
        <w:rPr>
          <w:rFonts w:ascii="Times New Roman" w:hAnsi="Times New Roman" w:cs="Times New Roman"/>
        </w:rPr>
        <w:t xml:space="preserve"> G Scanlon, ‘Fraud and the Law Commission: The Future of Dishonesty’ (2003) 24 </w:t>
      </w:r>
      <w:r w:rsidRPr="0089053D">
        <w:rPr>
          <w:rFonts w:ascii="Times New Roman" w:hAnsi="Times New Roman" w:cs="Times New Roman"/>
          <w:i/>
        </w:rPr>
        <w:t>Company Lawyer</w:t>
      </w:r>
      <w:r w:rsidRPr="0089053D">
        <w:rPr>
          <w:rFonts w:ascii="Times New Roman" w:hAnsi="Times New Roman" w:cs="Times New Roman"/>
        </w:rPr>
        <w:t xml:space="preserve"> 4, 6.</w:t>
      </w:r>
    </w:p>
  </w:footnote>
  <w:footnote w:id="80">
    <w:p w14:paraId="00E01687" w14:textId="0D79047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 Bourton, ‘Revisiting Dishonesty – The New Strict Liability Offence for Offshore Tax Evaders’ in C Monaghan</w:t>
      </w:r>
      <w:r>
        <w:rPr>
          <w:rFonts w:ascii="Times New Roman" w:hAnsi="Times New Roman" w:cs="Times New Roman"/>
        </w:rPr>
        <w:t xml:space="preserve"> and</w:t>
      </w:r>
      <w:r w:rsidRPr="0089053D">
        <w:rPr>
          <w:rFonts w:ascii="Times New Roman" w:hAnsi="Times New Roman" w:cs="Times New Roman"/>
        </w:rPr>
        <w:t xml:space="preserve"> N Monaghan (</w:t>
      </w:r>
      <w:r>
        <w:rPr>
          <w:rFonts w:ascii="Times New Roman" w:hAnsi="Times New Roman" w:cs="Times New Roman"/>
        </w:rPr>
        <w:t>e</w:t>
      </w:r>
      <w:r w:rsidRPr="0089053D">
        <w:rPr>
          <w:rFonts w:ascii="Times New Roman" w:hAnsi="Times New Roman" w:cs="Times New Roman"/>
        </w:rPr>
        <w:t xml:space="preserve">ds), </w:t>
      </w:r>
      <w:r w:rsidRPr="0089053D">
        <w:rPr>
          <w:rFonts w:ascii="Times New Roman" w:hAnsi="Times New Roman" w:cs="Times New Roman"/>
          <w:i/>
        </w:rPr>
        <w:t xml:space="preserve">Financial Crime and Corporate Misconduct: A Critical Evaluation of Fraud Legislation </w:t>
      </w:r>
      <w:r w:rsidRPr="0089053D">
        <w:rPr>
          <w:rFonts w:ascii="Times New Roman" w:hAnsi="Times New Roman" w:cs="Times New Roman"/>
        </w:rPr>
        <w:t>(The Law of Financial Crime Series, Routledge</w:t>
      </w:r>
      <w:r>
        <w:rPr>
          <w:rFonts w:ascii="Times New Roman" w:hAnsi="Times New Roman" w:cs="Times New Roman"/>
        </w:rPr>
        <w:t>,</w:t>
      </w:r>
      <w:r w:rsidRPr="0089053D">
        <w:rPr>
          <w:rFonts w:ascii="Times New Roman" w:hAnsi="Times New Roman" w:cs="Times New Roman"/>
        </w:rPr>
        <w:t xml:space="preserve"> 2018). </w:t>
      </w:r>
    </w:p>
  </w:footnote>
  <w:footnote w:id="81">
    <w:p w14:paraId="65FEC071" w14:textId="6856693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Feely </w:t>
      </w:r>
      <w:r w:rsidRPr="0089053D">
        <w:rPr>
          <w:rFonts w:ascii="Times New Roman" w:hAnsi="Times New Roman" w:cs="Times New Roman"/>
        </w:rPr>
        <w:t>[1973] QB 530 (CA).</w:t>
      </w:r>
    </w:p>
  </w:footnote>
  <w:footnote w:id="82">
    <w:p w14:paraId="542A0D2C" w14:textId="7F8E7D3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 xml:space="preserve">Law Commission, </w:t>
      </w:r>
      <w:r w:rsidRPr="0089053D">
        <w:rPr>
          <w:rFonts w:ascii="Times New Roman" w:hAnsi="Times New Roman" w:cs="Times New Roman"/>
          <w:i/>
        </w:rPr>
        <w:t>Legislating the Criminal Code: Fraud and Deception: A Consultation Paper</w:t>
      </w:r>
      <w:r w:rsidRPr="0089053D">
        <w:rPr>
          <w:rFonts w:ascii="Times New Roman" w:hAnsi="Times New Roman" w:cs="Times New Roman"/>
        </w:rPr>
        <w:t xml:space="preserve"> (</w:t>
      </w:r>
      <w:r>
        <w:rPr>
          <w:rFonts w:ascii="Times New Roman" w:hAnsi="Times New Roman" w:cs="Times New Roman"/>
        </w:rPr>
        <w:t>LC No</w:t>
      </w:r>
      <w:r w:rsidRPr="0089053D">
        <w:rPr>
          <w:rFonts w:ascii="Times New Roman" w:hAnsi="Times New Roman" w:cs="Times New Roman"/>
        </w:rPr>
        <w:t xml:space="preserve"> 155, 1999)</w:t>
      </w:r>
      <w:r>
        <w:rPr>
          <w:rFonts w:ascii="Times New Roman" w:hAnsi="Times New Roman" w:cs="Times New Roman"/>
        </w:rPr>
        <w:t>,</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5.11</w:t>
      </w:r>
      <w:r>
        <w:rPr>
          <w:rFonts w:ascii="Times New Roman" w:hAnsi="Times New Roman" w:cs="Times New Roman"/>
        </w:rPr>
        <w:t>]</w:t>
      </w:r>
      <w:r w:rsidRPr="0089053D">
        <w:rPr>
          <w:rFonts w:ascii="Times New Roman" w:hAnsi="Times New Roman" w:cs="Times New Roman"/>
        </w:rPr>
        <w:t>.</w:t>
      </w:r>
    </w:p>
  </w:footnote>
  <w:footnote w:id="83">
    <w:p w14:paraId="615654F8" w14:textId="160A84C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Pr>
          <w:rFonts w:ascii="Times New Roman" w:hAnsi="Times New Roman" w:cs="Times New Roman"/>
          <w:i/>
        </w:rPr>
        <w:t xml:space="preserve"> </w:t>
      </w:r>
      <w:r w:rsidRPr="0089053D">
        <w:rPr>
          <w:rFonts w:ascii="Times New Roman" w:hAnsi="Times New Roman" w:cs="Times New Roman"/>
          <w:i/>
        </w:rPr>
        <w:t>Ghosh</w:t>
      </w:r>
      <w:r w:rsidRPr="0089053D">
        <w:rPr>
          <w:rFonts w:ascii="Times New Roman" w:hAnsi="Times New Roman" w:cs="Times New Roman"/>
        </w:rPr>
        <w:t xml:space="preserve"> [1982] QB 1053 (CA).</w:t>
      </w:r>
    </w:p>
  </w:footnote>
  <w:footnote w:id="84">
    <w:p w14:paraId="56332D6E" w14:textId="06332E93" w:rsidR="00A0406D" w:rsidRPr="00215AB0" w:rsidRDefault="00A0406D" w:rsidP="00360ED4">
      <w:pPr>
        <w:pStyle w:val="FootnoteText"/>
        <w:rPr>
          <w:rFonts w:ascii="Times New Roman" w:hAnsi="Times New Roman" w:cs="Times New Roman"/>
          <w:lang w:val="it-IT"/>
        </w:rPr>
      </w:pPr>
      <w:r w:rsidRPr="0089053D">
        <w:rPr>
          <w:rStyle w:val="FootnoteReference"/>
          <w:rFonts w:ascii="Times New Roman" w:hAnsi="Times New Roman" w:cs="Times New Roman"/>
        </w:rPr>
        <w:footnoteRef/>
      </w:r>
      <w:r w:rsidRPr="00215AB0">
        <w:rPr>
          <w:rFonts w:ascii="Times New Roman" w:hAnsi="Times New Roman" w:cs="Times New Roman"/>
          <w:lang w:val="it-IT"/>
        </w:rPr>
        <w:t xml:space="preserve"> </w:t>
      </w:r>
      <w:r>
        <w:rPr>
          <w:rFonts w:ascii="Times New Roman" w:hAnsi="Times New Roman" w:cs="Times New Roman"/>
          <w:lang w:val="it-IT"/>
        </w:rPr>
        <w:t>i</w:t>
      </w:r>
      <w:r w:rsidRPr="00A0406D">
        <w:rPr>
          <w:rFonts w:ascii="Times New Roman" w:hAnsi="Times New Roman" w:cs="Times New Roman"/>
          <w:lang w:val="it-IT"/>
        </w:rPr>
        <w:t>bid</w:t>
      </w:r>
      <w:r w:rsidRPr="00215AB0">
        <w:rPr>
          <w:rFonts w:ascii="Times New Roman" w:hAnsi="Times New Roman" w:cs="Times New Roman"/>
          <w:i/>
          <w:iCs/>
          <w:lang w:val="it-IT"/>
        </w:rPr>
        <w:t xml:space="preserve">, </w:t>
      </w:r>
      <w:r w:rsidRPr="00215AB0">
        <w:rPr>
          <w:rFonts w:ascii="Times New Roman" w:hAnsi="Times New Roman" w:cs="Times New Roman"/>
          <w:lang w:val="it-IT"/>
        </w:rPr>
        <w:t xml:space="preserve">1064 per Lord Lane CJ. </w:t>
      </w:r>
    </w:p>
  </w:footnote>
  <w:footnote w:id="85">
    <w:p w14:paraId="28C20544" w14:textId="51DBAD1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E </w:t>
      </w:r>
      <w:proofErr w:type="spellStart"/>
      <w:r w:rsidRPr="0089053D">
        <w:rPr>
          <w:rFonts w:ascii="Times New Roman" w:hAnsi="Times New Roman" w:cs="Times New Roman"/>
        </w:rPr>
        <w:t>Griew</w:t>
      </w:r>
      <w:proofErr w:type="spellEnd"/>
      <w:r w:rsidRPr="0089053D">
        <w:rPr>
          <w:rFonts w:ascii="Times New Roman" w:hAnsi="Times New Roman" w:cs="Times New Roman"/>
        </w:rPr>
        <w:t xml:space="preserve">, ‘Dishonesty: Objections to Feely and Ghosh’ [1985] </w:t>
      </w:r>
      <w:r w:rsidRPr="00215AB0">
        <w:rPr>
          <w:rFonts w:ascii="Times New Roman" w:hAnsi="Times New Roman" w:cs="Times New Roman"/>
          <w:i/>
          <w:iCs/>
        </w:rPr>
        <w:t>Crim</w:t>
      </w:r>
      <w:r>
        <w:rPr>
          <w:rFonts w:ascii="Times New Roman" w:hAnsi="Times New Roman" w:cs="Times New Roman"/>
          <w:i/>
          <w:iCs/>
        </w:rPr>
        <w:t xml:space="preserve"> </w:t>
      </w:r>
      <w:r w:rsidRPr="00215AB0">
        <w:rPr>
          <w:rFonts w:ascii="Times New Roman" w:hAnsi="Times New Roman" w:cs="Times New Roman"/>
          <w:i/>
          <w:iCs/>
        </w:rPr>
        <w:t>LR</w:t>
      </w:r>
      <w:r w:rsidRPr="0089053D">
        <w:rPr>
          <w:rFonts w:ascii="Times New Roman" w:hAnsi="Times New Roman" w:cs="Times New Roman"/>
        </w:rPr>
        <w:t xml:space="preserve"> 341; JR Spencer, ‘Dishonesty: What the Jury Thinks the Defendant Thought the Jury Would Have Thought’ [1982] </w:t>
      </w:r>
      <w:r w:rsidRPr="00215AB0">
        <w:rPr>
          <w:rFonts w:ascii="Times New Roman" w:hAnsi="Times New Roman" w:cs="Times New Roman"/>
          <w:i/>
          <w:iCs/>
        </w:rPr>
        <w:t>CLJ</w:t>
      </w:r>
      <w:r w:rsidRPr="0089053D">
        <w:rPr>
          <w:rFonts w:ascii="Times New Roman" w:hAnsi="Times New Roman" w:cs="Times New Roman"/>
        </w:rPr>
        <w:t xml:space="preserve"> 222.</w:t>
      </w:r>
    </w:p>
  </w:footnote>
  <w:footnote w:id="86">
    <w:p w14:paraId="3650BA93" w14:textId="3B9B03C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Ormerod </w:t>
      </w:r>
      <w:r>
        <w:rPr>
          <w:rFonts w:ascii="Times New Roman" w:hAnsi="Times New Roman" w:cs="Times New Roman"/>
        </w:rPr>
        <w:t>and</w:t>
      </w:r>
      <w:r w:rsidRPr="0089053D">
        <w:rPr>
          <w:rFonts w:ascii="Times New Roman" w:hAnsi="Times New Roman" w:cs="Times New Roman"/>
        </w:rPr>
        <w:t xml:space="preserve"> Laird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_Ref112239216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68</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386, citing </w:t>
      </w:r>
      <w:proofErr w:type="spellStart"/>
      <w:r w:rsidRPr="0089053D">
        <w:rPr>
          <w:rFonts w:ascii="Times New Roman" w:hAnsi="Times New Roman" w:cs="Times New Roman"/>
          <w:i/>
        </w:rPr>
        <w:t>Starglade</w:t>
      </w:r>
      <w:proofErr w:type="spellEnd"/>
      <w:r w:rsidRPr="0089053D">
        <w:rPr>
          <w:rFonts w:ascii="Times New Roman" w:hAnsi="Times New Roman" w:cs="Times New Roman"/>
          <w:i/>
        </w:rPr>
        <w:t xml:space="preserve"> Properties Ltd v Nash</w:t>
      </w:r>
      <w:r w:rsidRPr="0089053D">
        <w:rPr>
          <w:rFonts w:ascii="Times New Roman" w:hAnsi="Times New Roman" w:cs="Times New Roman"/>
        </w:rPr>
        <w:t xml:space="preserve"> [2010] EWCA Civ 1314; [2011] Lloyd</w:t>
      </w:r>
      <w:r>
        <w:rPr>
          <w:rFonts w:ascii="Times New Roman" w:hAnsi="Times New Roman" w:cs="Times New Roman"/>
        </w:rPr>
        <w:t>’</w:t>
      </w:r>
      <w:r w:rsidRPr="0089053D">
        <w:rPr>
          <w:rFonts w:ascii="Times New Roman" w:hAnsi="Times New Roman" w:cs="Times New Roman"/>
        </w:rPr>
        <w:t xml:space="preserve">s Rep FC 102 and </w:t>
      </w:r>
      <w:r w:rsidRPr="0089053D">
        <w:rPr>
          <w:rFonts w:ascii="Times New Roman" w:hAnsi="Times New Roman" w:cs="Times New Roman"/>
          <w:i/>
        </w:rPr>
        <w:t xml:space="preserve">Cornelius </w:t>
      </w:r>
      <w:r w:rsidRPr="0089053D">
        <w:rPr>
          <w:rFonts w:ascii="Times New Roman" w:hAnsi="Times New Roman" w:cs="Times New Roman"/>
        </w:rPr>
        <w:t xml:space="preserve">[2012] EWCA Crim 500. </w:t>
      </w:r>
    </w:p>
  </w:footnote>
  <w:footnote w:id="87">
    <w:p w14:paraId="5B1A4DD2" w14:textId="2873E11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Law Com 155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_Ref112239678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81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60</w:t>
      </w:r>
      <w:r>
        <w:rPr>
          <w:rFonts w:ascii="Times New Roman" w:hAnsi="Times New Roman" w:cs="Times New Roman"/>
        </w:rPr>
        <w:t>‒</w:t>
      </w:r>
      <w:r w:rsidRPr="0089053D">
        <w:rPr>
          <w:rFonts w:ascii="Times New Roman" w:hAnsi="Times New Roman" w:cs="Times New Roman"/>
        </w:rPr>
        <w:t>65.</w:t>
      </w:r>
    </w:p>
  </w:footnote>
  <w:footnote w:id="88">
    <w:p w14:paraId="47E0DEA4" w14:textId="548FD1F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Griew</w:t>
      </w:r>
      <w:proofErr w:type="spellEnd"/>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_Ref112239817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84</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343.</w:t>
      </w:r>
    </w:p>
  </w:footnote>
  <w:footnote w:id="89">
    <w:p w14:paraId="18CA27CD" w14:textId="27DBC98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Spencer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_Ref112239817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84</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224. </w:t>
      </w:r>
    </w:p>
  </w:footnote>
  <w:footnote w:id="90">
    <w:p w14:paraId="37916BD8" w14:textId="1A6AE82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Ivey v Genting Casinos UK Ltd (t/a Crockfords Club)</w:t>
      </w:r>
      <w:r w:rsidRPr="0089053D">
        <w:rPr>
          <w:rFonts w:ascii="Times New Roman" w:hAnsi="Times New Roman" w:cs="Times New Roman"/>
        </w:rPr>
        <w:t xml:space="preserve"> [2017] UKSC 67; [2018] AC 391</w:t>
      </w:r>
      <w:r>
        <w:rPr>
          <w:rFonts w:ascii="Times New Roman" w:hAnsi="Times New Roman" w:cs="Times New Roman"/>
        </w:rPr>
        <w:t>,</w:t>
      </w:r>
      <w:r w:rsidRPr="0089053D">
        <w:rPr>
          <w:rFonts w:ascii="Times New Roman" w:hAnsi="Times New Roman" w:cs="Times New Roman"/>
        </w:rPr>
        <w:t xml:space="preserve"> [74]. </w:t>
      </w:r>
    </w:p>
  </w:footnote>
  <w:footnote w:id="91">
    <w:p w14:paraId="57A98544" w14:textId="3957829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Barton </w:t>
      </w:r>
      <w:r w:rsidRPr="0089053D">
        <w:rPr>
          <w:rFonts w:ascii="Times New Roman" w:hAnsi="Times New Roman" w:cs="Times New Roman"/>
        </w:rPr>
        <w:t>[2020] EWCA Crim 575; [2020] 2 Cr App R 7.</w:t>
      </w:r>
    </w:p>
  </w:footnote>
  <w:footnote w:id="92">
    <w:p w14:paraId="186B6573" w14:textId="79600A9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i/>
          <w:iCs/>
        </w:rPr>
        <w:t>,</w:t>
      </w:r>
      <w:r w:rsidRPr="0089053D">
        <w:rPr>
          <w:rFonts w:ascii="Times New Roman" w:hAnsi="Times New Roman" w:cs="Times New Roman"/>
        </w:rPr>
        <w:t xml:space="preserve"> [84].</w:t>
      </w:r>
    </w:p>
  </w:footnote>
  <w:footnote w:id="93">
    <w:p w14:paraId="052336C4" w14:textId="1C759BC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M Galli, ‘Oh my Ghosh: Supreme Court Redefines Test for Dishonesty in Ivey v Genting Casinos’ (2018) 29(2) </w:t>
      </w:r>
      <w:r w:rsidRPr="0089053D">
        <w:rPr>
          <w:rFonts w:ascii="Times New Roman" w:hAnsi="Times New Roman" w:cs="Times New Roman"/>
          <w:i/>
        </w:rPr>
        <w:t>Entertainment Law Review</w:t>
      </w:r>
      <w:r w:rsidRPr="0089053D">
        <w:rPr>
          <w:rFonts w:ascii="Times New Roman" w:hAnsi="Times New Roman" w:cs="Times New Roman"/>
        </w:rPr>
        <w:t xml:space="preserve"> 55.</w:t>
      </w:r>
    </w:p>
  </w:footnote>
  <w:footnote w:id="94">
    <w:p w14:paraId="32F8BEEB" w14:textId="21C67B8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 Ormerod</w:t>
      </w:r>
      <w:r>
        <w:rPr>
          <w:rFonts w:ascii="Times New Roman" w:hAnsi="Times New Roman" w:cs="Times New Roman"/>
        </w:rPr>
        <w:t xml:space="preserve"> and</w:t>
      </w:r>
      <w:r w:rsidRPr="0089053D">
        <w:rPr>
          <w:rFonts w:ascii="Times New Roman" w:hAnsi="Times New Roman" w:cs="Times New Roman"/>
        </w:rPr>
        <w:t xml:space="preserve"> K Laird, ‘The Future of Dishonesty </w:t>
      </w:r>
      <w:r>
        <w:rPr>
          <w:rFonts w:ascii="Times New Roman" w:hAnsi="Times New Roman" w:cs="Times New Roman"/>
        </w:rPr>
        <w:t>‒</w:t>
      </w:r>
      <w:r w:rsidRPr="0089053D">
        <w:rPr>
          <w:rFonts w:ascii="Times New Roman" w:hAnsi="Times New Roman" w:cs="Times New Roman"/>
        </w:rPr>
        <w:t xml:space="preserve"> Some Practical Considerations’ (2020) 6 </w:t>
      </w:r>
      <w:r w:rsidRPr="0089053D">
        <w:rPr>
          <w:rFonts w:ascii="Times New Roman" w:hAnsi="Times New Roman" w:cs="Times New Roman"/>
          <w:i/>
        </w:rPr>
        <w:t>Archbold Review</w:t>
      </w:r>
      <w:r w:rsidRPr="0089053D">
        <w:rPr>
          <w:rFonts w:ascii="Times New Roman" w:hAnsi="Times New Roman" w:cs="Times New Roman"/>
        </w:rPr>
        <w:t xml:space="preserve"> 8, 9.</w:t>
      </w:r>
    </w:p>
  </w:footnote>
  <w:footnote w:id="95">
    <w:p w14:paraId="0BC0FC50" w14:textId="107623E3"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w:t>
      </w:r>
    </w:p>
  </w:footnote>
  <w:footnote w:id="96">
    <w:p w14:paraId="059C52B9" w14:textId="6C59D333"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GR Sullivan, AP </w:t>
      </w:r>
      <w:proofErr w:type="spellStart"/>
      <w:r w:rsidRPr="0089053D">
        <w:rPr>
          <w:rFonts w:ascii="Times New Roman" w:hAnsi="Times New Roman" w:cs="Times New Roman"/>
        </w:rPr>
        <w:t>Simester</w:t>
      </w:r>
      <w:proofErr w:type="spellEnd"/>
      <w:r w:rsidRPr="0089053D">
        <w:rPr>
          <w:rFonts w:ascii="Times New Roman" w:hAnsi="Times New Roman" w:cs="Times New Roman"/>
        </w:rPr>
        <w:t xml:space="preserve">, ‘Judging Dishonesty’ (2020) 136 </w:t>
      </w:r>
      <w:r w:rsidRPr="007D6E5F">
        <w:rPr>
          <w:rFonts w:ascii="Times New Roman" w:hAnsi="Times New Roman" w:cs="Times New Roman"/>
          <w:i/>
          <w:iCs/>
        </w:rPr>
        <w:t>LQR</w:t>
      </w:r>
      <w:r w:rsidRPr="0089053D">
        <w:rPr>
          <w:rFonts w:ascii="Times New Roman" w:hAnsi="Times New Roman" w:cs="Times New Roman"/>
        </w:rPr>
        <w:t xml:space="preserve"> 523, 526.</w:t>
      </w:r>
    </w:p>
  </w:footnote>
  <w:footnote w:id="97">
    <w:p w14:paraId="591E2586" w14:textId="78C7860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xml:space="preserve">. </w:t>
      </w:r>
    </w:p>
  </w:footnote>
  <w:footnote w:id="98">
    <w:p w14:paraId="749266DC" w14:textId="52C68D1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The </w:t>
      </w:r>
      <w:r w:rsidRPr="0089053D">
        <w:rPr>
          <w:rFonts w:ascii="Times New Roman" w:hAnsi="Times New Roman" w:cs="Times New Roman"/>
          <w:i/>
        </w:rPr>
        <w:t xml:space="preserve">Ghosh </w:t>
      </w:r>
      <w:r w:rsidRPr="0089053D">
        <w:rPr>
          <w:rFonts w:ascii="Times New Roman" w:hAnsi="Times New Roman" w:cs="Times New Roman"/>
        </w:rPr>
        <w:t>test was considered to meet the requirements of Art</w:t>
      </w:r>
      <w:r>
        <w:rPr>
          <w:rFonts w:ascii="Times New Roman" w:hAnsi="Times New Roman" w:cs="Times New Roman"/>
        </w:rPr>
        <w:t>icle</w:t>
      </w:r>
      <w:r w:rsidRPr="0089053D">
        <w:rPr>
          <w:rFonts w:ascii="Times New Roman" w:hAnsi="Times New Roman" w:cs="Times New Roman"/>
        </w:rPr>
        <w:t xml:space="preserve"> 7 of the ECHR, </w:t>
      </w:r>
      <w:proofErr w:type="spellStart"/>
      <w:r w:rsidRPr="0089053D">
        <w:rPr>
          <w:rFonts w:ascii="Times New Roman" w:hAnsi="Times New Roman" w:cs="Times New Roman"/>
          <w:i/>
        </w:rPr>
        <w:t>Pattni</w:t>
      </w:r>
      <w:proofErr w:type="spellEnd"/>
      <w:r w:rsidRPr="0089053D">
        <w:rPr>
          <w:rFonts w:ascii="Times New Roman" w:hAnsi="Times New Roman" w:cs="Times New Roman"/>
        </w:rPr>
        <w:t xml:space="preserve"> [2001] </w:t>
      </w:r>
      <w:r w:rsidRPr="00A50F46">
        <w:rPr>
          <w:rFonts w:ascii="Times New Roman" w:hAnsi="Times New Roman" w:cs="Times New Roman"/>
        </w:rPr>
        <w:t>Crim LR</w:t>
      </w:r>
      <w:r w:rsidRPr="0089053D">
        <w:rPr>
          <w:rFonts w:ascii="Times New Roman" w:hAnsi="Times New Roman" w:cs="Times New Roman"/>
        </w:rPr>
        <w:t xml:space="preserve"> 570. </w:t>
      </w:r>
    </w:p>
  </w:footnote>
  <w:footnote w:id="99">
    <w:p w14:paraId="2F80F651" w14:textId="050AB1D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‘The Court may have inadvertently broadened a number of criminal offences that were already stretching the limits of what can legitimately be </w:t>
      </w:r>
      <w:proofErr w:type="spellStart"/>
      <w:r w:rsidRPr="0089053D">
        <w:rPr>
          <w:rFonts w:ascii="Times New Roman" w:hAnsi="Times New Roman" w:cs="Times New Roman"/>
        </w:rPr>
        <w:t>criminalised</w:t>
      </w:r>
      <w:proofErr w:type="spellEnd"/>
      <w:r w:rsidRPr="0089053D">
        <w:rPr>
          <w:rFonts w:ascii="Times New Roman" w:hAnsi="Times New Roman" w:cs="Times New Roman"/>
        </w:rPr>
        <w:t xml:space="preserve">’, Ormerod </w:t>
      </w:r>
      <w:r>
        <w:rPr>
          <w:rFonts w:ascii="Times New Roman" w:hAnsi="Times New Roman" w:cs="Times New Roman"/>
        </w:rPr>
        <w:t>and</w:t>
      </w:r>
      <w:r w:rsidRPr="0089053D">
        <w:rPr>
          <w:rFonts w:ascii="Times New Roman" w:hAnsi="Times New Roman" w:cs="Times New Roman"/>
        </w:rPr>
        <w:t xml:space="preserve"> Laird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_Ref112239216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68</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394.</w:t>
      </w:r>
    </w:p>
  </w:footnote>
  <w:footnote w:id="100">
    <w:p w14:paraId="01764697" w14:textId="36732BD3"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Law Com 276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_Ref112239562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70</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43. </w:t>
      </w:r>
    </w:p>
  </w:footnote>
  <w:footnote w:id="101">
    <w:p w14:paraId="0D6EE1BE" w14:textId="4E28156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Contrary to the recommendations of the Law Commission, which believed that dishonesty should act as a negative element of an offence, negating, rather than establishing, liability, </w:t>
      </w:r>
      <w:r w:rsidRPr="00A0406D">
        <w:rPr>
          <w:rFonts w:ascii="Times New Roman" w:hAnsi="Times New Roman" w:cs="Times New Roman"/>
        </w:rPr>
        <w:t>ibid</w:t>
      </w:r>
      <w:r>
        <w:rPr>
          <w:rFonts w:ascii="Times New Roman" w:hAnsi="Times New Roman" w:cs="Times New Roman"/>
        </w:rPr>
        <w:t>,</w:t>
      </w:r>
      <w:r w:rsidRPr="0089053D">
        <w:rPr>
          <w:rFonts w:ascii="Times New Roman" w:hAnsi="Times New Roman" w:cs="Times New Roman"/>
        </w:rPr>
        <w:t xml:space="preserve"> 41. </w:t>
      </w:r>
    </w:p>
  </w:footnote>
  <w:footnote w:id="102">
    <w:p w14:paraId="340DBD37" w14:textId="05932CC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Ormerod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_Ref112239098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52</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635. </w:t>
      </w:r>
    </w:p>
  </w:footnote>
  <w:footnote w:id="103">
    <w:p w14:paraId="0E20A6BF" w14:textId="236266E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J Freedman, ‘Tax and Corporate Responsibility’ (2003) 695(2) </w:t>
      </w:r>
      <w:r w:rsidRPr="0089053D">
        <w:rPr>
          <w:rFonts w:ascii="Times New Roman" w:hAnsi="Times New Roman" w:cs="Times New Roman"/>
          <w:i/>
        </w:rPr>
        <w:t>Tax Journal</w:t>
      </w:r>
      <w:r w:rsidRPr="0089053D">
        <w:rPr>
          <w:rFonts w:ascii="Times New Roman" w:hAnsi="Times New Roman" w:cs="Times New Roman"/>
        </w:rPr>
        <w:t xml:space="preserve"> 1, 3.</w:t>
      </w:r>
    </w:p>
  </w:footnote>
  <w:footnote w:id="104">
    <w:p w14:paraId="15A9B6F8" w14:textId="2A3C3DC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K Campbell, ‘The Test of Dishonesty in R v Ghosh’ (1984) 43 </w:t>
      </w:r>
      <w:r w:rsidRPr="0089053D">
        <w:rPr>
          <w:rFonts w:ascii="Times New Roman" w:hAnsi="Times New Roman" w:cs="Times New Roman"/>
          <w:i/>
          <w:iCs/>
        </w:rPr>
        <w:t>CLJ</w:t>
      </w:r>
      <w:r w:rsidRPr="0089053D">
        <w:rPr>
          <w:rFonts w:ascii="Times New Roman" w:hAnsi="Times New Roman" w:cs="Times New Roman"/>
        </w:rPr>
        <w:t xml:space="preserve"> 349, 358. </w:t>
      </w:r>
    </w:p>
  </w:footnote>
  <w:footnote w:id="105">
    <w:p w14:paraId="2ADD09CF" w14:textId="134303D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This was formerly only relevant to the second question of </w:t>
      </w:r>
      <w:r w:rsidRPr="0089053D">
        <w:rPr>
          <w:rFonts w:ascii="Times New Roman" w:hAnsi="Times New Roman" w:cs="Times New Roman"/>
          <w:i/>
        </w:rPr>
        <w:t>Ghosh</w:t>
      </w:r>
      <w:r w:rsidRPr="0089053D">
        <w:rPr>
          <w:rFonts w:ascii="Times New Roman" w:hAnsi="Times New Roman" w:cs="Times New Roman"/>
        </w:rPr>
        <w:t xml:space="preserve">, see </w:t>
      </w:r>
      <w:r w:rsidRPr="0089053D">
        <w:rPr>
          <w:rFonts w:ascii="Times New Roman" w:hAnsi="Times New Roman" w:cs="Times New Roman"/>
          <w:i/>
        </w:rPr>
        <w:t xml:space="preserve">Hayes </w:t>
      </w:r>
      <w:r w:rsidRPr="0089053D">
        <w:rPr>
          <w:rFonts w:ascii="Times New Roman" w:hAnsi="Times New Roman" w:cs="Times New Roman"/>
        </w:rPr>
        <w:t>[2015]</w:t>
      </w:r>
      <w:r w:rsidRPr="0089053D">
        <w:rPr>
          <w:rFonts w:ascii="Times New Roman" w:hAnsi="Times New Roman" w:cs="Times New Roman"/>
          <w:i/>
        </w:rPr>
        <w:t xml:space="preserve"> </w:t>
      </w:r>
      <w:r w:rsidRPr="0089053D">
        <w:rPr>
          <w:rFonts w:ascii="Times New Roman" w:hAnsi="Times New Roman" w:cs="Times New Roman"/>
        </w:rPr>
        <w:t xml:space="preserve">EWCA Crim 1944; [2016] 1 Cr App R (S) 63; Common market practice might be considered when ascertaining the defendant’s subjective beliefs as part of the </w:t>
      </w:r>
      <w:r w:rsidRPr="0089053D">
        <w:rPr>
          <w:rFonts w:ascii="Times New Roman" w:hAnsi="Times New Roman" w:cs="Times New Roman"/>
          <w:i/>
        </w:rPr>
        <w:t xml:space="preserve">Ivey </w:t>
      </w:r>
      <w:r w:rsidRPr="0089053D">
        <w:rPr>
          <w:rFonts w:ascii="Times New Roman" w:hAnsi="Times New Roman" w:cs="Times New Roman"/>
        </w:rPr>
        <w:t xml:space="preserve">test, see </w:t>
      </w:r>
      <w:r w:rsidRPr="0089053D">
        <w:rPr>
          <w:rFonts w:ascii="Times New Roman" w:hAnsi="Times New Roman" w:cs="Times New Roman"/>
          <w:i/>
        </w:rPr>
        <w:t>Hussein v FCA</w:t>
      </w:r>
      <w:r w:rsidRPr="0089053D">
        <w:rPr>
          <w:rFonts w:ascii="Times New Roman" w:hAnsi="Times New Roman" w:cs="Times New Roman"/>
        </w:rPr>
        <w:t xml:space="preserve"> [2018] UKUT 186 (TCC); [2018] Lloyd</w:t>
      </w:r>
      <w:r>
        <w:rPr>
          <w:rFonts w:ascii="Times New Roman" w:hAnsi="Times New Roman" w:cs="Times New Roman"/>
        </w:rPr>
        <w:t>’</w:t>
      </w:r>
      <w:r w:rsidRPr="0089053D">
        <w:rPr>
          <w:rFonts w:ascii="Times New Roman" w:hAnsi="Times New Roman" w:cs="Times New Roman"/>
        </w:rPr>
        <w:t xml:space="preserve">s Rep FC 574; Z Leggett, ‘The New Test for Dishonesty in Criminal Law </w:t>
      </w:r>
      <w:r>
        <w:rPr>
          <w:rFonts w:ascii="Times New Roman" w:hAnsi="Times New Roman" w:cs="Times New Roman"/>
        </w:rPr>
        <w:t>‒</w:t>
      </w:r>
      <w:r w:rsidRPr="0089053D">
        <w:rPr>
          <w:rFonts w:ascii="Times New Roman" w:hAnsi="Times New Roman" w:cs="Times New Roman"/>
        </w:rPr>
        <w:t xml:space="preserve"> Lessons from the Courts of Equity?’ (2020) 84(1) </w:t>
      </w:r>
      <w:r w:rsidRPr="0089053D">
        <w:rPr>
          <w:rFonts w:ascii="Times New Roman" w:hAnsi="Times New Roman" w:cs="Times New Roman"/>
          <w:i/>
        </w:rPr>
        <w:t>Journal of Criminal Law</w:t>
      </w:r>
      <w:r w:rsidRPr="0089053D">
        <w:rPr>
          <w:rFonts w:ascii="Times New Roman" w:hAnsi="Times New Roman" w:cs="Times New Roman"/>
        </w:rPr>
        <w:t xml:space="preserve"> 37, 47. </w:t>
      </w:r>
    </w:p>
  </w:footnote>
  <w:footnote w:id="106">
    <w:p w14:paraId="7CCE0923" w14:textId="4C9719D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Hayes </w:t>
      </w:r>
      <w:r w:rsidRPr="0089053D">
        <w:rPr>
          <w:rFonts w:ascii="Times New Roman" w:hAnsi="Times New Roman" w:cs="Times New Roman"/>
        </w:rPr>
        <w:t>[2015]</w:t>
      </w:r>
      <w:r w:rsidRPr="0089053D">
        <w:rPr>
          <w:rFonts w:ascii="Times New Roman" w:hAnsi="Times New Roman" w:cs="Times New Roman"/>
          <w:i/>
        </w:rPr>
        <w:t xml:space="preserve"> </w:t>
      </w:r>
      <w:r w:rsidRPr="0089053D">
        <w:rPr>
          <w:rFonts w:ascii="Times New Roman" w:hAnsi="Times New Roman" w:cs="Times New Roman"/>
        </w:rPr>
        <w:t xml:space="preserve">EWCA Crim 1944; [2016] 1 Cr App R (S) 63, [19]. </w:t>
      </w:r>
    </w:p>
  </w:footnote>
  <w:footnote w:id="107">
    <w:p w14:paraId="7501BC0D" w14:textId="6FB5FEC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Fisher discusses these issues in relation to the HSBC scandal in J Fisher, ‘HSBC, Tax Evasion and Criminal Prosecution’ (2015) 1253 </w:t>
      </w:r>
      <w:r w:rsidRPr="0089053D">
        <w:rPr>
          <w:rFonts w:ascii="Times New Roman" w:hAnsi="Times New Roman" w:cs="Times New Roman"/>
          <w:i/>
        </w:rPr>
        <w:t>Tax</w:t>
      </w:r>
      <w:r w:rsidRPr="0089053D">
        <w:rPr>
          <w:rFonts w:ascii="Times New Roman" w:hAnsi="Times New Roman" w:cs="Times New Roman"/>
        </w:rPr>
        <w:t xml:space="preserve"> </w:t>
      </w:r>
      <w:r w:rsidRPr="0089053D">
        <w:rPr>
          <w:rFonts w:ascii="Times New Roman" w:hAnsi="Times New Roman" w:cs="Times New Roman"/>
          <w:i/>
        </w:rPr>
        <w:t>Journal</w:t>
      </w:r>
      <w:r w:rsidRPr="0089053D">
        <w:rPr>
          <w:rFonts w:ascii="Times New Roman" w:hAnsi="Times New Roman" w:cs="Times New Roman"/>
        </w:rPr>
        <w:t xml:space="preserve"> 6.</w:t>
      </w:r>
    </w:p>
  </w:footnote>
  <w:footnote w:id="108">
    <w:p w14:paraId="4990FB18" w14:textId="0B67BBA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M </w:t>
      </w:r>
      <w:proofErr w:type="spellStart"/>
      <w:r w:rsidRPr="0089053D">
        <w:rPr>
          <w:rFonts w:ascii="Times New Roman" w:hAnsi="Times New Roman" w:cs="Times New Roman"/>
        </w:rPr>
        <w:t>Wasik</w:t>
      </w:r>
      <w:proofErr w:type="spellEnd"/>
      <w:r w:rsidRPr="0089053D">
        <w:rPr>
          <w:rFonts w:ascii="Times New Roman" w:hAnsi="Times New Roman" w:cs="Times New Roman"/>
        </w:rPr>
        <w:t>, ‘</w:t>
      </w:r>
      <w:proofErr w:type="spellStart"/>
      <w:r w:rsidRPr="0089053D">
        <w:rPr>
          <w:rFonts w:ascii="Times New Roman" w:hAnsi="Times New Roman" w:cs="Times New Roman"/>
        </w:rPr>
        <w:t>Mens</w:t>
      </w:r>
      <w:proofErr w:type="spellEnd"/>
      <w:r w:rsidRPr="0089053D">
        <w:rPr>
          <w:rFonts w:ascii="Times New Roman" w:hAnsi="Times New Roman" w:cs="Times New Roman"/>
        </w:rPr>
        <w:t xml:space="preserve"> Rea, Motive and the Problem of Dishonesty in the Law of Theft</w:t>
      </w:r>
      <w:r>
        <w:rPr>
          <w:rFonts w:ascii="Times New Roman" w:hAnsi="Times New Roman" w:cs="Times New Roman"/>
        </w:rPr>
        <w:t>’</w:t>
      </w:r>
      <w:r w:rsidRPr="0089053D">
        <w:rPr>
          <w:rFonts w:ascii="Times New Roman" w:hAnsi="Times New Roman" w:cs="Times New Roman"/>
        </w:rPr>
        <w:t xml:space="preserve"> [1979] </w:t>
      </w:r>
      <w:r w:rsidRPr="0089053D">
        <w:rPr>
          <w:rFonts w:ascii="Times New Roman" w:hAnsi="Times New Roman" w:cs="Times New Roman"/>
          <w:i/>
          <w:iCs/>
        </w:rPr>
        <w:t>Crim</w:t>
      </w:r>
      <w:r>
        <w:rPr>
          <w:rFonts w:ascii="Times New Roman" w:hAnsi="Times New Roman" w:cs="Times New Roman"/>
          <w:i/>
          <w:iCs/>
        </w:rPr>
        <w:t xml:space="preserve"> </w:t>
      </w:r>
      <w:r w:rsidRPr="0089053D">
        <w:rPr>
          <w:rFonts w:ascii="Times New Roman" w:hAnsi="Times New Roman" w:cs="Times New Roman"/>
          <w:i/>
          <w:iCs/>
        </w:rPr>
        <w:t>LR</w:t>
      </w:r>
      <w:r w:rsidRPr="0089053D">
        <w:rPr>
          <w:rFonts w:ascii="Times New Roman" w:hAnsi="Times New Roman" w:cs="Times New Roman"/>
        </w:rPr>
        <w:t xml:space="preserve"> 543, 552.</w:t>
      </w:r>
    </w:p>
  </w:footnote>
  <w:footnote w:id="109">
    <w:p w14:paraId="728A985A" w14:textId="2E81C15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HM Revenue &amp; Customs</w:t>
      </w:r>
      <w:r w:rsidRPr="0089053D">
        <w:rPr>
          <w:rFonts w:ascii="Times New Roman" w:hAnsi="Times New Roman" w:cs="Times New Roman"/>
          <w:i/>
        </w:rPr>
        <w:t>, HMRC’s Criminal Investigation Policy</w:t>
      </w:r>
      <w:r w:rsidRPr="0089053D">
        <w:rPr>
          <w:rFonts w:ascii="Times New Roman" w:hAnsi="Times New Roman" w:cs="Times New Roman"/>
        </w:rPr>
        <w:t xml:space="preserve"> (HMRC Guidance, 2021).</w:t>
      </w:r>
    </w:p>
  </w:footnote>
  <w:footnote w:id="110">
    <w:p w14:paraId="19B9D520" w14:textId="5FA1B5C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National Audit Office</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_Ref112239933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7</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33.</w:t>
      </w:r>
    </w:p>
  </w:footnote>
  <w:footnote w:id="111">
    <w:p w14:paraId="0931D9E3" w14:textId="320D7CB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Taxes Management Act 1970, s</w:t>
      </w:r>
      <w:r>
        <w:rPr>
          <w:rFonts w:ascii="Times New Roman" w:hAnsi="Times New Roman" w:cs="Times New Roman"/>
        </w:rPr>
        <w:t xml:space="preserve"> </w:t>
      </w:r>
      <w:r w:rsidRPr="0089053D">
        <w:rPr>
          <w:rFonts w:ascii="Times New Roman" w:hAnsi="Times New Roman" w:cs="Times New Roman"/>
        </w:rPr>
        <w:t>106B, s</w:t>
      </w:r>
      <w:r>
        <w:rPr>
          <w:rFonts w:ascii="Times New Roman" w:hAnsi="Times New Roman" w:cs="Times New Roman"/>
        </w:rPr>
        <w:t xml:space="preserve"> </w:t>
      </w:r>
      <w:r w:rsidRPr="0089053D">
        <w:rPr>
          <w:rFonts w:ascii="Times New Roman" w:hAnsi="Times New Roman" w:cs="Times New Roman"/>
        </w:rPr>
        <w:t>106C, s</w:t>
      </w:r>
      <w:r>
        <w:rPr>
          <w:rFonts w:ascii="Times New Roman" w:hAnsi="Times New Roman" w:cs="Times New Roman"/>
        </w:rPr>
        <w:t xml:space="preserve"> </w:t>
      </w:r>
      <w:r w:rsidRPr="0089053D">
        <w:rPr>
          <w:rFonts w:ascii="Times New Roman" w:hAnsi="Times New Roman" w:cs="Times New Roman"/>
        </w:rPr>
        <w:t>106D. S Bourton, ‘Revisiting Dishonesty – The New Strict Liability Offence for Offshore Tax Evaders’ in C Monaghan</w:t>
      </w:r>
      <w:r>
        <w:rPr>
          <w:rFonts w:ascii="Times New Roman" w:hAnsi="Times New Roman" w:cs="Times New Roman"/>
        </w:rPr>
        <w:t xml:space="preserve"> and</w:t>
      </w:r>
      <w:r w:rsidRPr="0089053D">
        <w:rPr>
          <w:rFonts w:ascii="Times New Roman" w:hAnsi="Times New Roman" w:cs="Times New Roman"/>
        </w:rPr>
        <w:t xml:space="preserve"> N Monaghan (</w:t>
      </w:r>
      <w:r>
        <w:rPr>
          <w:rFonts w:ascii="Times New Roman" w:hAnsi="Times New Roman" w:cs="Times New Roman"/>
        </w:rPr>
        <w:t>e</w:t>
      </w:r>
      <w:r w:rsidRPr="0089053D">
        <w:rPr>
          <w:rFonts w:ascii="Times New Roman" w:hAnsi="Times New Roman" w:cs="Times New Roman"/>
        </w:rPr>
        <w:t xml:space="preserve">ds), </w:t>
      </w:r>
      <w:r w:rsidRPr="0089053D">
        <w:rPr>
          <w:rFonts w:ascii="Times New Roman" w:hAnsi="Times New Roman" w:cs="Times New Roman"/>
          <w:i/>
        </w:rPr>
        <w:t>Financial Crime and Corporate Misconduct: A Critical Evaluation of Fraud Legislation</w:t>
      </w:r>
      <w:r w:rsidRPr="0089053D">
        <w:rPr>
          <w:rFonts w:ascii="Times New Roman" w:hAnsi="Times New Roman" w:cs="Times New Roman"/>
        </w:rPr>
        <w:t xml:space="preserve"> (The Law of Financial Crime Series, Routledge</w:t>
      </w:r>
      <w:r>
        <w:rPr>
          <w:rFonts w:ascii="Times New Roman" w:hAnsi="Times New Roman" w:cs="Times New Roman"/>
        </w:rPr>
        <w:t>,</w:t>
      </w:r>
      <w:r w:rsidRPr="0089053D">
        <w:rPr>
          <w:rFonts w:ascii="Times New Roman" w:hAnsi="Times New Roman" w:cs="Times New Roman"/>
        </w:rPr>
        <w:t xml:space="preserve"> 2018). </w:t>
      </w:r>
    </w:p>
  </w:footnote>
  <w:footnote w:id="112">
    <w:p w14:paraId="080C723D" w14:textId="52814FD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i/>
        </w:rPr>
        <w:t xml:space="preserve"> </w:t>
      </w:r>
      <w:r w:rsidRPr="0089053D">
        <w:rPr>
          <w:rFonts w:ascii="Times New Roman" w:hAnsi="Times New Roman" w:cs="Times New Roman"/>
        </w:rPr>
        <w:t xml:space="preserve">Law Com 155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_Ref112239678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81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7.40.</w:t>
      </w:r>
    </w:p>
  </w:footnote>
  <w:footnote w:id="113">
    <w:p w14:paraId="6087405C" w14:textId="5251727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R Tur, ‘Dishonesty and the Jury’ in AP Griffiths (ed), </w:t>
      </w:r>
      <w:r w:rsidRPr="0089053D">
        <w:rPr>
          <w:rFonts w:ascii="Times New Roman" w:hAnsi="Times New Roman" w:cs="Times New Roman"/>
          <w:i/>
        </w:rPr>
        <w:t xml:space="preserve">Philosophy and Practice </w:t>
      </w:r>
      <w:r w:rsidRPr="0089053D">
        <w:rPr>
          <w:rFonts w:ascii="Times New Roman" w:hAnsi="Times New Roman" w:cs="Times New Roman"/>
        </w:rPr>
        <w:t>(CUP, 1985) 83.</w:t>
      </w:r>
    </w:p>
  </w:footnote>
  <w:footnote w:id="114">
    <w:p w14:paraId="3FBCFE16" w14:textId="3919F963" w:rsidR="00A0406D" w:rsidRPr="0089053D" w:rsidRDefault="00A0406D" w:rsidP="00360ED4">
      <w:pPr>
        <w:pStyle w:val="FootnoteText"/>
        <w:rPr>
          <w:rFonts w:ascii="Times New Roman" w:hAnsi="Times New Roman" w:cs="Times New Roman"/>
          <w:i/>
        </w:rPr>
      </w:pPr>
      <w:r w:rsidRPr="0089053D">
        <w:rPr>
          <w:rStyle w:val="FootnoteReference"/>
          <w:rFonts w:ascii="Times New Roman" w:hAnsi="Times New Roman" w:cs="Times New Roman"/>
        </w:rPr>
        <w:footnoteRef/>
      </w:r>
      <w:r w:rsidRPr="0089053D">
        <w:rPr>
          <w:rFonts w:ascii="Times New Roman" w:hAnsi="Times New Roman" w:cs="Times New Roman"/>
        </w:rPr>
        <w:t xml:space="preserve"> Honest mistakes are highly likely considering the complexity and length of the UK’s tax code. ‘At more than ten million words it is the world’s longest.’ D Frisby</w:t>
      </w:r>
      <w:r>
        <w:rPr>
          <w:rFonts w:ascii="Times New Roman" w:hAnsi="Times New Roman" w:cs="Times New Roman"/>
        </w:rPr>
        <w:t xml:space="preserve"> and</w:t>
      </w:r>
      <w:r w:rsidRPr="0089053D">
        <w:rPr>
          <w:rFonts w:ascii="Times New Roman" w:hAnsi="Times New Roman" w:cs="Times New Roman"/>
        </w:rPr>
        <w:t xml:space="preserve"> </w:t>
      </w:r>
      <w:proofErr w:type="gramStart"/>
      <w:r w:rsidRPr="0089053D">
        <w:rPr>
          <w:rFonts w:ascii="Times New Roman" w:hAnsi="Times New Roman" w:cs="Times New Roman"/>
        </w:rPr>
        <w:t>A</w:t>
      </w:r>
      <w:proofErr w:type="gramEnd"/>
      <w:r w:rsidRPr="0089053D">
        <w:rPr>
          <w:rFonts w:ascii="Times New Roman" w:hAnsi="Times New Roman" w:cs="Times New Roman"/>
        </w:rPr>
        <w:t xml:space="preserve"> Oury, ‘Budget Revolution’ (2020) 185(4736) </w:t>
      </w:r>
      <w:r w:rsidRPr="0089053D">
        <w:rPr>
          <w:rFonts w:ascii="Times New Roman" w:hAnsi="Times New Roman" w:cs="Times New Roman"/>
          <w:i/>
        </w:rPr>
        <w:t xml:space="preserve">Taxation </w:t>
      </w:r>
      <w:r w:rsidRPr="0089053D">
        <w:rPr>
          <w:rFonts w:ascii="Times New Roman" w:hAnsi="Times New Roman" w:cs="Times New Roman"/>
        </w:rPr>
        <w:t>8, 8</w:t>
      </w:r>
      <w:r w:rsidRPr="0089053D">
        <w:rPr>
          <w:rFonts w:ascii="Times New Roman" w:hAnsi="Times New Roman" w:cs="Times New Roman"/>
          <w:i/>
        </w:rPr>
        <w:t xml:space="preserve">. </w:t>
      </w:r>
    </w:p>
  </w:footnote>
  <w:footnote w:id="115">
    <w:p w14:paraId="506C64B6" w14:textId="48FF638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P </w:t>
      </w:r>
      <w:proofErr w:type="spellStart"/>
      <w:r w:rsidRPr="0089053D">
        <w:rPr>
          <w:rFonts w:ascii="Times New Roman" w:hAnsi="Times New Roman" w:cs="Times New Roman"/>
        </w:rPr>
        <w:t>Alldridge</w:t>
      </w:r>
      <w:proofErr w:type="spellEnd"/>
      <w:r w:rsidRPr="0089053D">
        <w:rPr>
          <w:rFonts w:ascii="Times New Roman" w:hAnsi="Times New Roman" w:cs="Times New Roman"/>
        </w:rPr>
        <w:t xml:space="preserve">, ‘Tax Avoidance, Tax Evasion, Money Laundering and the Problem of </w:t>
      </w:r>
      <w:r>
        <w:rPr>
          <w:rFonts w:ascii="Times New Roman" w:hAnsi="Times New Roman" w:cs="Times New Roman"/>
        </w:rPr>
        <w:t>“</w:t>
      </w:r>
      <w:r w:rsidRPr="0089053D">
        <w:rPr>
          <w:rFonts w:ascii="Times New Roman" w:hAnsi="Times New Roman" w:cs="Times New Roman"/>
        </w:rPr>
        <w:t>Offshore</w:t>
      </w:r>
      <w:r>
        <w:rPr>
          <w:rFonts w:ascii="Times New Roman" w:hAnsi="Times New Roman" w:cs="Times New Roman"/>
        </w:rPr>
        <w:t>”</w:t>
      </w:r>
      <w:r w:rsidRPr="0089053D">
        <w:rPr>
          <w:rFonts w:ascii="Times New Roman" w:hAnsi="Times New Roman" w:cs="Times New Roman"/>
        </w:rPr>
        <w:t>’ in S Rose-Ackerman</w:t>
      </w:r>
      <w:r>
        <w:rPr>
          <w:rFonts w:ascii="Times New Roman" w:hAnsi="Times New Roman" w:cs="Times New Roman"/>
        </w:rPr>
        <w:t xml:space="preserve"> and</w:t>
      </w:r>
      <w:r w:rsidRPr="0089053D">
        <w:rPr>
          <w:rFonts w:ascii="Times New Roman" w:hAnsi="Times New Roman" w:cs="Times New Roman"/>
        </w:rPr>
        <w:t xml:space="preserve"> P </w:t>
      </w:r>
      <w:proofErr w:type="spellStart"/>
      <w:r w:rsidRPr="0089053D">
        <w:rPr>
          <w:rFonts w:ascii="Times New Roman" w:hAnsi="Times New Roman" w:cs="Times New Roman"/>
        </w:rPr>
        <w:t>Lagunes</w:t>
      </w:r>
      <w:proofErr w:type="spellEnd"/>
      <w:r w:rsidRPr="0089053D">
        <w:rPr>
          <w:rFonts w:ascii="Times New Roman" w:hAnsi="Times New Roman" w:cs="Times New Roman"/>
        </w:rPr>
        <w:t xml:space="preserve"> (eds), </w:t>
      </w:r>
      <w:r w:rsidRPr="0089053D">
        <w:rPr>
          <w:rFonts w:ascii="Times New Roman" w:hAnsi="Times New Roman" w:cs="Times New Roman"/>
          <w:i/>
        </w:rPr>
        <w:t xml:space="preserve">Greed, Corruption and the Modern State </w:t>
      </w:r>
      <w:r w:rsidRPr="0089053D">
        <w:rPr>
          <w:rFonts w:ascii="Times New Roman" w:hAnsi="Times New Roman" w:cs="Times New Roman"/>
        </w:rPr>
        <w:t>(Essays in Political Economy, Edward Elgar</w:t>
      </w:r>
      <w:r>
        <w:rPr>
          <w:rFonts w:ascii="Times New Roman" w:hAnsi="Times New Roman" w:cs="Times New Roman"/>
        </w:rPr>
        <w:t>,</w:t>
      </w:r>
      <w:r w:rsidRPr="0089053D">
        <w:rPr>
          <w:rFonts w:ascii="Times New Roman" w:hAnsi="Times New Roman" w:cs="Times New Roman"/>
        </w:rPr>
        <w:t xml:space="preserve"> 2015) 332.</w:t>
      </w:r>
    </w:p>
  </w:footnote>
  <w:footnote w:id="116">
    <w:p w14:paraId="07794D07" w14:textId="22D7501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Wasik</w:t>
      </w:r>
      <w:proofErr w:type="spellEnd"/>
      <w:r w:rsidRPr="0089053D">
        <w:rPr>
          <w:rFonts w:ascii="Times New Roman" w:hAnsi="Times New Roman" w:cs="Times New Roman"/>
        </w:rPr>
        <w:t xml:space="preserve"> notes that accepting motive as relevant to the consideration of criminal liability underscores much of the criticism of Ghosh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_Ref112239995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107</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550. However, Jiang states ‘motive is irrelevant qua motive; the relevance of motive is always traceable to intention and belief (…) It is the intention, not its motivating force, that matters in the sight of the law’. Z Jiang, ‘Unifying and Defining ‘Dishonesty’ in the Law of Trusts’ (2020) 26(5) </w:t>
      </w:r>
      <w:r w:rsidRPr="007D6E5F">
        <w:rPr>
          <w:rFonts w:ascii="Times New Roman" w:hAnsi="Times New Roman" w:cs="Times New Roman"/>
          <w:i/>
          <w:iCs/>
        </w:rPr>
        <w:t>T&amp;T</w:t>
      </w:r>
      <w:r w:rsidRPr="0089053D">
        <w:rPr>
          <w:rFonts w:ascii="Times New Roman" w:hAnsi="Times New Roman" w:cs="Times New Roman"/>
        </w:rPr>
        <w:t xml:space="preserve"> 429, 437. Nevertheless, </w:t>
      </w:r>
      <w:r w:rsidR="00F34F88" w:rsidRPr="0089053D">
        <w:rPr>
          <w:rFonts w:ascii="Times New Roman" w:hAnsi="Times New Roman" w:cs="Times New Roman"/>
        </w:rPr>
        <w:t>these</w:t>
      </w:r>
      <w:r w:rsidRPr="0089053D">
        <w:rPr>
          <w:rFonts w:ascii="Times New Roman" w:hAnsi="Times New Roman" w:cs="Times New Roman"/>
        </w:rPr>
        <w:t xml:space="preserve"> concepts are inextricably connected, with someone’s motive, or their reason for doing something, informing their knowledge and intention. The dishonesty test enables juries to consider </w:t>
      </w:r>
      <w:r w:rsidR="00F34F88" w:rsidRPr="0089053D">
        <w:rPr>
          <w:rFonts w:ascii="Times New Roman" w:hAnsi="Times New Roman" w:cs="Times New Roman"/>
        </w:rPr>
        <w:t>all</w:t>
      </w:r>
      <w:r w:rsidRPr="0089053D">
        <w:rPr>
          <w:rFonts w:ascii="Times New Roman" w:hAnsi="Times New Roman" w:cs="Times New Roman"/>
        </w:rPr>
        <w:t xml:space="preserve"> these aspects of a defendant’s state of mind. </w:t>
      </w:r>
    </w:p>
  </w:footnote>
  <w:footnote w:id="117">
    <w:p w14:paraId="1F71E2CF" w14:textId="342A28D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For instance, the UK introduced Deferred Prosecution Agreements (DPAs) owing to the US use of this enforcement tool, Ministry of Justice, </w:t>
      </w:r>
      <w:r w:rsidRPr="0089053D">
        <w:rPr>
          <w:rFonts w:ascii="Times New Roman" w:hAnsi="Times New Roman" w:cs="Times New Roman"/>
          <w:i/>
        </w:rPr>
        <w:t xml:space="preserve">Consultation on a New Enforcement Tool to Deal with Economic Crime Committed by Commercial </w:t>
      </w:r>
      <w:proofErr w:type="spellStart"/>
      <w:r w:rsidRPr="0089053D">
        <w:rPr>
          <w:rFonts w:ascii="Times New Roman" w:hAnsi="Times New Roman" w:cs="Times New Roman"/>
          <w:i/>
        </w:rPr>
        <w:t>Organisations</w:t>
      </w:r>
      <w:proofErr w:type="spellEnd"/>
      <w:r w:rsidRPr="0089053D">
        <w:rPr>
          <w:rFonts w:ascii="Times New Roman" w:hAnsi="Times New Roman" w:cs="Times New Roman"/>
          <w:i/>
        </w:rPr>
        <w:t>: Deferred Prosecution Agreements</w:t>
      </w:r>
      <w:r w:rsidRPr="0089053D">
        <w:rPr>
          <w:rFonts w:ascii="Times New Roman" w:hAnsi="Times New Roman" w:cs="Times New Roman"/>
        </w:rPr>
        <w:t xml:space="preserve"> (Cm 8348, 2012) 19.</w:t>
      </w:r>
    </w:p>
  </w:footnote>
  <w:footnote w:id="118">
    <w:p w14:paraId="6F16E9AD" w14:textId="5B6B927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G </w:t>
      </w:r>
      <w:proofErr w:type="spellStart"/>
      <w:r w:rsidRPr="0089053D">
        <w:rPr>
          <w:rFonts w:ascii="Times New Roman" w:hAnsi="Times New Roman" w:cs="Times New Roman"/>
        </w:rPr>
        <w:t>Szott</w:t>
      </w:r>
      <w:proofErr w:type="spellEnd"/>
      <w:r w:rsidRPr="0089053D">
        <w:rPr>
          <w:rFonts w:ascii="Times New Roman" w:hAnsi="Times New Roman" w:cs="Times New Roman"/>
        </w:rPr>
        <w:t xml:space="preserve"> </w:t>
      </w:r>
      <w:proofErr w:type="spellStart"/>
      <w:r w:rsidRPr="0089053D">
        <w:rPr>
          <w:rFonts w:ascii="Times New Roman" w:hAnsi="Times New Roman" w:cs="Times New Roman"/>
        </w:rPr>
        <w:t>Moohr</w:t>
      </w:r>
      <w:proofErr w:type="spellEnd"/>
      <w:r w:rsidRPr="0089053D">
        <w:rPr>
          <w:rFonts w:ascii="Times New Roman" w:hAnsi="Times New Roman" w:cs="Times New Roman"/>
        </w:rPr>
        <w:t xml:space="preserve">, ‘Tax Evasion as </w:t>
      </w:r>
      <w:proofErr w:type="gramStart"/>
      <w:r w:rsidRPr="0089053D">
        <w:rPr>
          <w:rFonts w:ascii="Times New Roman" w:hAnsi="Times New Roman" w:cs="Times New Roman"/>
        </w:rPr>
        <w:t>White Collar</w:t>
      </w:r>
      <w:proofErr w:type="gramEnd"/>
      <w:r w:rsidRPr="0089053D">
        <w:rPr>
          <w:rFonts w:ascii="Times New Roman" w:hAnsi="Times New Roman" w:cs="Times New Roman"/>
        </w:rPr>
        <w:t xml:space="preserve"> Fraud’ (2009) 9 </w:t>
      </w:r>
      <w:r w:rsidRPr="0089053D">
        <w:rPr>
          <w:rFonts w:ascii="Times New Roman" w:hAnsi="Times New Roman" w:cs="Times New Roman"/>
          <w:i/>
        </w:rPr>
        <w:t>Houston Business and Tax Law Journal</w:t>
      </w:r>
      <w:r w:rsidRPr="0089053D">
        <w:rPr>
          <w:rFonts w:ascii="Times New Roman" w:hAnsi="Times New Roman" w:cs="Times New Roman"/>
        </w:rPr>
        <w:t xml:space="preserve"> 208, 209; The offences were ‘calculated to induce prompt and forthright fulfillment of every duty under the income tax law and to provide a penalty suitable to every degree of delinquency.’ </w:t>
      </w:r>
      <w:r w:rsidRPr="0089053D">
        <w:rPr>
          <w:rFonts w:ascii="Times New Roman" w:hAnsi="Times New Roman" w:cs="Times New Roman"/>
          <w:i/>
        </w:rPr>
        <w:t xml:space="preserve">Spies v United States </w:t>
      </w:r>
      <w:r w:rsidRPr="0089053D">
        <w:rPr>
          <w:rFonts w:ascii="Times New Roman" w:hAnsi="Times New Roman" w:cs="Times New Roman"/>
        </w:rPr>
        <w:t>317 US 492, 497 (1943).</w:t>
      </w:r>
    </w:p>
  </w:footnote>
  <w:footnote w:id="119">
    <w:p w14:paraId="5D0F80D1" w14:textId="6B093FE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L Brown, A Jamali, ‘Tax Violations’ (2014) 51 </w:t>
      </w:r>
      <w:r w:rsidRPr="0089053D">
        <w:rPr>
          <w:rFonts w:ascii="Times New Roman" w:hAnsi="Times New Roman" w:cs="Times New Roman"/>
          <w:i/>
        </w:rPr>
        <w:t>American Criminal Law Review</w:t>
      </w:r>
      <w:r w:rsidRPr="0089053D">
        <w:rPr>
          <w:rFonts w:ascii="Times New Roman" w:hAnsi="Times New Roman" w:cs="Times New Roman"/>
        </w:rPr>
        <w:t xml:space="preserve"> 1751, 1759.</w:t>
      </w:r>
    </w:p>
  </w:footnote>
  <w:footnote w:id="120">
    <w:p w14:paraId="36CDAC37" w14:textId="7777777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26 USC § 7201.</w:t>
      </w:r>
    </w:p>
  </w:footnote>
  <w:footnote w:id="121">
    <w:p w14:paraId="089132E0" w14:textId="6EE33D0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James v United States</w:t>
      </w:r>
      <w:r w:rsidRPr="0089053D">
        <w:rPr>
          <w:rFonts w:ascii="Times New Roman" w:hAnsi="Times New Roman" w:cs="Times New Roman"/>
        </w:rPr>
        <w:t>, 366 US 213 (1961).</w:t>
      </w:r>
    </w:p>
  </w:footnote>
  <w:footnote w:id="122">
    <w:p w14:paraId="45596363" w14:textId="5225EAD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 </w:t>
      </w:r>
      <w:proofErr w:type="spellStart"/>
      <w:r w:rsidRPr="0089053D">
        <w:rPr>
          <w:rFonts w:ascii="Times New Roman" w:hAnsi="Times New Roman" w:cs="Times New Roman"/>
        </w:rPr>
        <w:t>Comisky</w:t>
      </w:r>
      <w:proofErr w:type="spellEnd"/>
      <w:r w:rsidRPr="0089053D">
        <w:rPr>
          <w:rFonts w:ascii="Times New Roman" w:hAnsi="Times New Roman" w:cs="Times New Roman"/>
        </w:rPr>
        <w:t>, L Feld</w:t>
      </w:r>
      <w:r>
        <w:rPr>
          <w:rFonts w:ascii="Times New Roman" w:hAnsi="Times New Roman" w:cs="Times New Roman"/>
        </w:rPr>
        <w:t xml:space="preserve"> and</w:t>
      </w:r>
      <w:r w:rsidRPr="0089053D">
        <w:rPr>
          <w:rFonts w:ascii="Times New Roman" w:hAnsi="Times New Roman" w:cs="Times New Roman"/>
        </w:rPr>
        <w:t xml:space="preserve"> S Harris, </w:t>
      </w:r>
      <w:r w:rsidRPr="0089053D">
        <w:rPr>
          <w:rFonts w:ascii="Times New Roman" w:hAnsi="Times New Roman" w:cs="Times New Roman"/>
          <w:i/>
        </w:rPr>
        <w:t>Tax Fraud &amp; Evasion: Offenses, Trials, Civil Penalties</w:t>
      </w:r>
      <w:r w:rsidRPr="0089053D">
        <w:rPr>
          <w:rFonts w:ascii="Times New Roman" w:hAnsi="Times New Roman" w:cs="Times New Roman"/>
        </w:rPr>
        <w:t xml:space="preserve"> [Vol 1] (Thomson Reuters, 2020) §</w:t>
      </w:r>
      <w:r>
        <w:rPr>
          <w:rFonts w:ascii="Times New Roman" w:hAnsi="Times New Roman" w:cs="Times New Roman"/>
        </w:rPr>
        <w:t xml:space="preserve"> </w:t>
      </w:r>
      <w:r w:rsidRPr="0089053D">
        <w:rPr>
          <w:rFonts w:ascii="Times New Roman" w:hAnsi="Times New Roman" w:cs="Times New Roman"/>
        </w:rPr>
        <w:t>2.03[7].</w:t>
      </w:r>
    </w:p>
  </w:footnote>
  <w:footnote w:id="123">
    <w:p w14:paraId="1146A6A8" w14:textId="7091FBD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MA Turner, ‘Build an Awareness of Unlawful Tax Evasion to Ensure Avoidance’ (2008) 81 </w:t>
      </w:r>
      <w:r w:rsidRPr="0089053D">
        <w:rPr>
          <w:rFonts w:ascii="Times New Roman" w:hAnsi="Times New Roman" w:cs="Times New Roman"/>
          <w:i/>
        </w:rPr>
        <w:t xml:space="preserve">Practical Tax Strategies </w:t>
      </w:r>
      <w:r w:rsidRPr="0089053D">
        <w:rPr>
          <w:rFonts w:ascii="Times New Roman" w:hAnsi="Times New Roman" w:cs="Times New Roman"/>
        </w:rPr>
        <w:t>230, 233.</w:t>
      </w:r>
    </w:p>
  </w:footnote>
  <w:footnote w:id="124">
    <w:p w14:paraId="5E743EC4" w14:textId="29DC9CB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Sansone v United States, </w:t>
      </w:r>
      <w:r w:rsidRPr="0089053D">
        <w:rPr>
          <w:rFonts w:ascii="Times New Roman" w:hAnsi="Times New Roman" w:cs="Times New Roman"/>
        </w:rPr>
        <w:t xml:space="preserve">380 US 343, 351 (1965). </w:t>
      </w:r>
    </w:p>
  </w:footnote>
  <w:footnote w:id="125">
    <w:p w14:paraId="2C98C6D6" w14:textId="1E23E53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Comisky</w:t>
      </w:r>
      <w:proofErr w:type="spellEnd"/>
      <w:r w:rsidRPr="0089053D">
        <w:rPr>
          <w:rFonts w:ascii="Times New Roman" w:hAnsi="Times New Roman" w:cs="Times New Roman"/>
        </w:rPr>
        <w:t xml:space="preserve"> </w:t>
      </w:r>
      <w:r w:rsidRPr="00A0406D">
        <w:rPr>
          <w:rFonts w:ascii="Times New Roman" w:hAnsi="Times New Roman" w:cs="Times New Roman"/>
          <w:iCs/>
        </w:rPr>
        <w:t>et al</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_Ref112240123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121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w:t>
      </w:r>
      <w:r>
        <w:rPr>
          <w:rFonts w:ascii="Times New Roman" w:hAnsi="Times New Roman" w:cs="Times New Roman"/>
        </w:rPr>
        <w:t xml:space="preserve"> </w:t>
      </w:r>
      <w:r w:rsidRPr="0089053D">
        <w:rPr>
          <w:rFonts w:ascii="Times New Roman" w:hAnsi="Times New Roman" w:cs="Times New Roman"/>
        </w:rPr>
        <w:t>2.03[4].</w:t>
      </w:r>
    </w:p>
  </w:footnote>
  <w:footnote w:id="126">
    <w:p w14:paraId="2B9DB024" w14:textId="0A5EE20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rPr>
        <w:t>,</w:t>
      </w:r>
      <w:r w:rsidRPr="0089053D">
        <w:rPr>
          <w:rFonts w:ascii="Times New Roman" w:hAnsi="Times New Roman" w:cs="Times New Roman"/>
        </w:rPr>
        <w:t xml:space="preserve"> §</w:t>
      </w:r>
      <w:r>
        <w:rPr>
          <w:rFonts w:ascii="Times New Roman" w:hAnsi="Times New Roman" w:cs="Times New Roman"/>
        </w:rPr>
        <w:t xml:space="preserve"> </w:t>
      </w:r>
      <w:r w:rsidRPr="0089053D">
        <w:rPr>
          <w:rFonts w:ascii="Times New Roman" w:hAnsi="Times New Roman" w:cs="Times New Roman"/>
        </w:rPr>
        <w:t>2.03[5].</w:t>
      </w:r>
    </w:p>
  </w:footnote>
  <w:footnote w:id="127">
    <w:p w14:paraId="5B7B23FA" w14:textId="0F11572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w:t>
      </w:r>
      <w:r w:rsidRPr="0089053D">
        <w:rPr>
          <w:rFonts w:ascii="Times New Roman" w:hAnsi="Times New Roman" w:cs="Times New Roman"/>
          <w:i/>
        </w:rPr>
        <w:t>United States v Irwin</w:t>
      </w:r>
      <w:r w:rsidRPr="0089053D">
        <w:rPr>
          <w:rFonts w:ascii="Times New Roman" w:hAnsi="Times New Roman" w:cs="Times New Roman"/>
        </w:rPr>
        <w:t>, 593 F2d 138 (1</w:t>
      </w:r>
      <w:r>
        <w:rPr>
          <w:rFonts w:ascii="Times New Roman" w:hAnsi="Times New Roman" w:cs="Times New Roman"/>
        </w:rPr>
        <w:t>st</w:t>
      </w:r>
      <w:r w:rsidRPr="0089053D">
        <w:rPr>
          <w:rFonts w:ascii="Times New Roman" w:hAnsi="Times New Roman" w:cs="Times New Roman"/>
        </w:rPr>
        <w:t xml:space="preserve"> Cir. 1979).</w:t>
      </w:r>
    </w:p>
  </w:footnote>
  <w:footnote w:id="128">
    <w:p w14:paraId="1E2011ED" w14:textId="690B18E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w:t>
      </w:r>
      <w:r w:rsidRPr="0089053D">
        <w:rPr>
          <w:rFonts w:ascii="Times New Roman" w:hAnsi="Times New Roman" w:cs="Times New Roman"/>
          <w:i/>
        </w:rPr>
        <w:t>United States v Helmsley</w:t>
      </w:r>
      <w:r w:rsidRPr="0089053D">
        <w:rPr>
          <w:rFonts w:ascii="Times New Roman" w:hAnsi="Times New Roman" w:cs="Times New Roman"/>
        </w:rPr>
        <w:t>, 941 F2d 71 (2d Cir. 1991).</w:t>
      </w:r>
    </w:p>
  </w:footnote>
  <w:footnote w:id="129">
    <w:p w14:paraId="11ACA445" w14:textId="45FCF72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26 USC § 7206(2).</w:t>
      </w:r>
    </w:p>
  </w:footnote>
  <w:footnote w:id="130">
    <w:p w14:paraId="7171D13F" w14:textId="1BEA8D4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Hull v United States, </w:t>
      </w:r>
      <w:r w:rsidRPr="0089053D">
        <w:rPr>
          <w:rFonts w:ascii="Times New Roman" w:hAnsi="Times New Roman" w:cs="Times New Roman"/>
        </w:rPr>
        <w:t>324 F.2d 817, 823 (5</w:t>
      </w:r>
      <w:r>
        <w:rPr>
          <w:rFonts w:ascii="Times New Roman" w:hAnsi="Times New Roman" w:cs="Times New Roman"/>
        </w:rPr>
        <w:t>th</w:t>
      </w:r>
      <w:r w:rsidRPr="0089053D">
        <w:rPr>
          <w:rFonts w:ascii="Times New Roman" w:hAnsi="Times New Roman" w:cs="Times New Roman"/>
        </w:rPr>
        <w:t xml:space="preserve"> Cir 1963); </w:t>
      </w:r>
      <w:r w:rsidRPr="0089053D">
        <w:rPr>
          <w:rFonts w:ascii="Times New Roman" w:hAnsi="Times New Roman" w:cs="Times New Roman"/>
          <w:i/>
        </w:rPr>
        <w:t xml:space="preserve">United States v Chon, </w:t>
      </w:r>
      <w:r w:rsidRPr="0089053D">
        <w:rPr>
          <w:rFonts w:ascii="Times New Roman" w:hAnsi="Times New Roman" w:cs="Times New Roman"/>
        </w:rPr>
        <w:t>713 F3d 812, 820-21 (5</w:t>
      </w:r>
      <w:r>
        <w:rPr>
          <w:rFonts w:ascii="Times New Roman" w:hAnsi="Times New Roman" w:cs="Times New Roman"/>
        </w:rPr>
        <w:t>th</w:t>
      </w:r>
      <w:r w:rsidRPr="0089053D">
        <w:rPr>
          <w:rFonts w:ascii="Times New Roman" w:hAnsi="Times New Roman" w:cs="Times New Roman"/>
        </w:rPr>
        <w:t xml:space="preserve"> Cir 2013).</w:t>
      </w:r>
    </w:p>
  </w:footnote>
  <w:footnote w:id="131">
    <w:p w14:paraId="4F5C7E59" w14:textId="5D4E7A5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SD </w:t>
      </w:r>
      <w:proofErr w:type="spellStart"/>
      <w:r w:rsidRPr="0089053D">
        <w:rPr>
          <w:rFonts w:ascii="Times New Roman" w:hAnsi="Times New Roman" w:cs="Times New Roman"/>
        </w:rPr>
        <w:t>Shimick</w:t>
      </w:r>
      <w:proofErr w:type="spellEnd"/>
      <w:r w:rsidRPr="0089053D">
        <w:rPr>
          <w:rFonts w:ascii="Times New Roman" w:hAnsi="Times New Roman" w:cs="Times New Roman"/>
        </w:rPr>
        <w:t xml:space="preserve">, ‘Heisenberg’s Uncertainty: An Analysis of Criminal Tax Pretextual Prosecutions in the Context of Breaking </w:t>
      </w:r>
      <w:proofErr w:type="spellStart"/>
      <w:r w:rsidRPr="0089053D">
        <w:rPr>
          <w:rFonts w:ascii="Times New Roman" w:hAnsi="Times New Roman" w:cs="Times New Roman"/>
        </w:rPr>
        <w:t>Bad’s</w:t>
      </w:r>
      <w:proofErr w:type="spellEnd"/>
      <w:r w:rsidRPr="0089053D">
        <w:rPr>
          <w:rFonts w:ascii="Times New Roman" w:hAnsi="Times New Roman" w:cs="Times New Roman"/>
        </w:rPr>
        <w:t xml:space="preserve"> Notorious Anti-Hero’ (2014) 50 </w:t>
      </w:r>
      <w:r w:rsidRPr="0089053D">
        <w:rPr>
          <w:rFonts w:ascii="Times New Roman" w:hAnsi="Times New Roman" w:cs="Times New Roman"/>
          <w:i/>
        </w:rPr>
        <w:t>Tulsa Law Review</w:t>
      </w:r>
      <w:r w:rsidRPr="0089053D">
        <w:rPr>
          <w:rFonts w:ascii="Times New Roman" w:hAnsi="Times New Roman" w:cs="Times New Roman"/>
        </w:rPr>
        <w:t xml:space="preserve"> 43, 54.</w:t>
      </w:r>
    </w:p>
  </w:footnote>
  <w:footnote w:id="132">
    <w:p w14:paraId="2A680096" w14:textId="26B897A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Johnson, </w:t>
      </w:r>
      <w:r w:rsidRPr="0089053D">
        <w:rPr>
          <w:rFonts w:ascii="Times New Roman" w:hAnsi="Times New Roman" w:cs="Times New Roman"/>
        </w:rPr>
        <w:t>319 US 503, 517 (1943).</w:t>
      </w:r>
    </w:p>
  </w:footnote>
  <w:footnote w:id="133">
    <w:p w14:paraId="72EB55AD" w14:textId="0E5CEED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Shimick</w:t>
      </w:r>
      <w:proofErr w:type="spellEnd"/>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_Ref112240377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130</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59.</w:t>
      </w:r>
    </w:p>
  </w:footnote>
  <w:footnote w:id="134">
    <w:p w14:paraId="15955E21" w14:textId="1E48E37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L Brown, A Jamali, ‘Tax Violations’ (2014) 51 </w:t>
      </w:r>
      <w:r w:rsidRPr="0089053D">
        <w:rPr>
          <w:rFonts w:ascii="Times New Roman" w:hAnsi="Times New Roman" w:cs="Times New Roman"/>
          <w:i/>
        </w:rPr>
        <w:t>Am Crim L Rev</w:t>
      </w:r>
      <w:r w:rsidRPr="0089053D">
        <w:rPr>
          <w:rFonts w:ascii="Times New Roman" w:hAnsi="Times New Roman" w:cs="Times New Roman"/>
        </w:rPr>
        <w:t xml:space="preserve"> 1751, 1761.</w:t>
      </w:r>
    </w:p>
  </w:footnote>
  <w:footnote w:id="135">
    <w:p w14:paraId="4CF1D753" w14:textId="10F543B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Shimick</w:t>
      </w:r>
      <w:proofErr w:type="spellEnd"/>
      <w:r w:rsidRPr="0089053D">
        <w:rPr>
          <w:rFonts w:ascii="Times New Roman" w:hAnsi="Times New Roman" w:cs="Times New Roman"/>
        </w:rPr>
        <w:t xml:space="preserve"> notes that the Supreme Court has declined to address the issue, despite the circuit court split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_Ref112240377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130</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54.</w:t>
      </w:r>
    </w:p>
  </w:footnote>
  <w:footnote w:id="136">
    <w:p w14:paraId="74DE7BFE" w14:textId="43B01CC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IRS</w:t>
      </w:r>
      <w:r w:rsidRPr="0089053D">
        <w:rPr>
          <w:rFonts w:ascii="Times New Roman" w:hAnsi="Times New Roman" w:cs="Times New Roman"/>
          <w:i/>
        </w:rPr>
        <w:t>, Internal Revenue Manual: 9.1.3.3.2.2.1 26 USC §7201 – Additional Tax Due and Owing</w:t>
      </w:r>
      <w:r w:rsidRPr="0089053D">
        <w:rPr>
          <w:rFonts w:ascii="Times New Roman" w:hAnsi="Times New Roman" w:cs="Times New Roman"/>
        </w:rPr>
        <w:t xml:space="preserve"> (24 February 2010).</w:t>
      </w:r>
    </w:p>
  </w:footnote>
  <w:footnote w:id="137">
    <w:p w14:paraId="56F45AD0" w14:textId="780D4BC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Spies v United States </w:t>
      </w:r>
      <w:r w:rsidRPr="0089053D">
        <w:rPr>
          <w:rFonts w:ascii="Times New Roman" w:hAnsi="Times New Roman" w:cs="Times New Roman"/>
        </w:rPr>
        <w:t xml:space="preserve">317 US 492, 499 (1943). </w:t>
      </w:r>
    </w:p>
  </w:footnote>
  <w:footnote w:id="138">
    <w:p w14:paraId="774CB2AE" w14:textId="05EC437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499.</w:t>
      </w:r>
    </w:p>
  </w:footnote>
  <w:footnote w:id="139">
    <w:p w14:paraId="546FA43D" w14:textId="39F791F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The traditional list of affirmative acts is outlined in </w:t>
      </w:r>
      <w:r w:rsidRPr="0089053D">
        <w:rPr>
          <w:rFonts w:ascii="Times New Roman" w:hAnsi="Times New Roman" w:cs="Times New Roman"/>
          <w:i/>
        </w:rPr>
        <w:t xml:space="preserve">Spies v United States </w:t>
      </w:r>
      <w:r w:rsidRPr="0089053D">
        <w:rPr>
          <w:rFonts w:ascii="Times New Roman" w:hAnsi="Times New Roman" w:cs="Times New Roman"/>
        </w:rPr>
        <w:t xml:space="preserve">317 US 492, 495 (1943). This type of evasion is known as a ‘Spies evasion’, </w:t>
      </w:r>
      <w:proofErr w:type="spellStart"/>
      <w:r w:rsidRPr="0089053D">
        <w:rPr>
          <w:rFonts w:ascii="Times New Roman" w:hAnsi="Times New Roman" w:cs="Times New Roman"/>
        </w:rPr>
        <w:t>Comisky</w:t>
      </w:r>
      <w:proofErr w:type="spellEnd"/>
      <w:r w:rsidRPr="0089053D">
        <w:rPr>
          <w:rFonts w:ascii="Times New Roman" w:hAnsi="Times New Roman" w:cs="Times New Roman"/>
        </w:rPr>
        <w:t xml:space="preserve"> </w:t>
      </w:r>
      <w:r w:rsidRPr="00A0406D">
        <w:rPr>
          <w:rFonts w:ascii="Times New Roman" w:hAnsi="Times New Roman" w:cs="Times New Roman"/>
          <w:iCs/>
        </w:rPr>
        <w:t>et al</w:t>
      </w:r>
      <w:r w:rsidRPr="003E46C5">
        <w:rPr>
          <w:rFonts w:ascii="Times New Roman" w:hAnsi="Times New Roman" w:cs="Times New Roman"/>
          <w:iCs/>
        </w:rPr>
        <w:t>,</w:t>
      </w:r>
      <w:r w:rsidRPr="0089053D">
        <w:rPr>
          <w:rFonts w:ascii="Times New Roman" w:hAnsi="Times New Roman" w:cs="Times New Roman"/>
        </w:rPr>
        <w:t xml:space="preserve"> above 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_Ref112240123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121</w:t>
      </w:r>
      <w:r w:rsidRPr="0089053D">
        <w:rPr>
          <w:rFonts w:ascii="Times New Roman" w:hAnsi="Times New Roman" w:cs="Times New Roman"/>
        </w:rPr>
        <w:fldChar w:fldCharType="end"/>
      </w:r>
      <w:r w:rsidRPr="0089053D">
        <w:rPr>
          <w:rFonts w:ascii="Times New Roman" w:hAnsi="Times New Roman" w:cs="Times New Roman"/>
        </w:rPr>
        <w:t xml:space="preserve">, at § 2.03[2]. See also, </w:t>
      </w:r>
      <w:r w:rsidRPr="0089053D">
        <w:rPr>
          <w:rFonts w:ascii="Times New Roman" w:hAnsi="Times New Roman" w:cs="Times New Roman"/>
          <w:i/>
        </w:rPr>
        <w:t>United States v Copeland</w:t>
      </w:r>
      <w:r w:rsidRPr="0089053D">
        <w:rPr>
          <w:rFonts w:ascii="Times New Roman" w:hAnsi="Times New Roman" w:cs="Times New Roman"/>
        </w:rPr>
        <w:t>, 786 F2d 768, 770 (7</w:t>
      </w:r>
      <w:r>
        <w:rPr>
          <w:rFonts w:ascii="Times New Roman" w:hAnsi="Times New Roman" w:cs="Times New Roman"/>
        </w:rPr>
        <w:t>th</w:t>
      </w:r>
      <w:r w:rsidRPr="0089053D">
        <w:rPr>
          <w:rFonts w:ascii="Times New Roman" w:hAnsi="Times New Roman" w:cs="Times New Roman"/>
        </w:rPr>
        <w:t xml:space="preserve"> Cir. 1985).</w:t>
      </w:r>
    </w:p>
  </w:footnote>
  <w:footnote w:id="140">
    <w:p w14:paraId="009E71EE" w14:textId="081F0573"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26 USC §</w:t>
      </w:r>
      <w:r>
        <w:rPr>
          <w:rFonts w:ascii="Times New Roman" w:hAnsi="Times New Roman" w:cs="Times New Roman"/>
        </w:rPr>
        <w:t xml:space="preserve"> </w:t>
      </w:r>
      <w:r w:rsidRPr="0089053D">
        <w:rPr>
          <w:rFonts w:ascii="Times New Roman" w:hAnsi="Times New Roman" w:cs="Times New Roman"/>
        </w:rPr>
        <w:t>7203.</w:t>
      </w:r>
    </w:p>
  </w:footnote>
  <w:footnote w:id="141">
    <w:p w14:paraId="1943AECE" w14:textId="6EAE50D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Department of Justice</w:t>
      </w:r>
      <w:r w:rsidRPr="0089053D">
        <w:rPr>
          <w:rFonts w:ascii="Times New Roman" w:hAnsi="Times New Roman" w:cs="Times New Roman"/>
          <w:i/>
        </w:rPr>
        <w:t>, Criminal Tax Manual</w:t>
      </w:r>
      <w:r w:rsidRPr="0089053D">
        <w:rPr>
          <w:rFonts w:ascii="Times New Roman" w:hAnsi="Times New Roman" w:cs="Times New Roman"/>
        </w:rPr>
        <w:t xml:space="preserve"> (29 June 2022), §</w:t>
      </w:r>
      <w:r>
        <w:rPr>
          <w:rFonts w:ascii="Times New Roman" w:hAnsi="Times New Roman" w:cs="Times New Roman"/>
        </w:rPr>
        <w:t xml:space="preserve"> </w:t>
      </w:r>
      <w:r w:rsidRPr="0089053D">
        <w:rPr>
          <w:rFonts w:ascii="Times New Roman" w:hAnsi="Times New Roman" w:cs="Times New Roman"/>
        </w:rPr>
        <w:t>10.02.</w:t>
      </w:r>
    </w:p>
  </w:footnote>
  <w:footnote w:id="142">
    <w:p w14:paraId="5495CEE8" w14:textId="77BB368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rPr>
        <w:t>,</w:t>
      </w:r>
      <w:r w:rsidRPr="0089053D">
        <w:rPr>
          <w:rFonts w:ascii="Times New Roman" w:hAnsi="Times New Roman" w:cs="Times New Roman"/>
        </w:rPr>
        <w:t xml:space="preserve"> §</w:t>
      </w:r>
      <w:r>
        <w:rPr>
          <w:rFonts w:ascii="Times New Roman" w:hAnsi="Times New Roman" w:cs="Times New Roman"/>
        </w:rPr>
        <w:t xml:space="preserve"> </w:t>
      </w:r>
      <w:r w:rsidRPr="0089053D">
        <w:rPr>
          <w:rFonts w:ascii="Times New Roman" w:hAnsi="Times New Roman" w:cs="Times New Roman"/>
        </w:rPr>
        <w:t xml:space="preserve">10.03; </w:t>
      </w:r>
      <w:proofErr w:type="spellStart"/>
      <w:r w:rsidRPr="0089053D">
        <w:rPr>
          <w:rFonts w:ascii="Times New Roman" w:hAnsi="Times New Roman" w:cs="Times New Roman"/>
        </w:rPr>
        <w:t>Comisky</w:t>
      </w:r>
      <w:proofErr w:type="spellEnd"/>
      <w:r w:rsidRPr="0089053D">
        <w:rPr>
          <w:rFonts w:ascii="Times New Roman" w:hAnsi="Times New Roman" w:cs="Times New Roman"/>
        </w:rPr>
        <w:t xml:space="preserve"> </w:t>
      </w:r>
      <w:r w:rsidRPr="00A0406D">
        <w:rPr>
          <w:rFonts w:ascii="Times New Roman" w:hAnsi="Times New Roman" w:cs="Times New Roman"/>
          <w:iCs/>
        </w:rPr>
        <w:t>et al</w:t>
      </w:r>
      <w:r w:rsidRPr="00C72451">
        <w:rPr>
          <w:rFonts w:ascii="Times New Roman" w:hAnsi="Times New Roman" w:cs="Times New Roman"/>
          <w:iCs/>
        </w:rPr>
        <w:t xml:space="preserve"> (</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_Ref112240123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121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§2.09[1]. </w:t>
      </w:r>
    </w:p>
  </w:footnote>
  <w:footnote w:id="143">
    <w:p w14:paraId="122F6B5B" w14:textId="62DF0005" w:rsidR="00A0406D" w:rsidRPr="0089053D" w:rsidRDefault="00A0406D" w:rsidP="00360ED4">
      <w:pPr>
        <w:pStyle w:val="FootnoteText"/>
        <w:rPr>
          <w:rFonts w:ascii="Times New Roman" w:hAnsi="Times New Roman" w:cs="Times New Roman"/>
          <w:i/>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Hassebrock, </w:t>
      </w:r>
      <w:r w:rsidRPr="0089053D">
        <w:rPr>
          <w:rFonts w:ascii="Times New Roman" w:hAnsi="Times New Roman" w:cs="Times New Roman"/>
        </w:rPr>
        <w:t>663 F3d 906, 919 (7</w:t>
      </w:r>
      <w:r>
        <w:rPr>
          <w:rFonts w:ascii="Times New Roman" w:hAnsi="Times New Roman" w:cs="Times New Roman"/>
        </w:rPr>
        <w:t>th</w:t>
      </w:r>
      <w:r w:rsidRPr="0089053D">
        <w:rPr>
          <w:rFonts w:ascii="Times New Roman" w:hAnsi="Times New Roman" w:cs="Times New Roman"/>
        </w:rPr>
        <w:t xml:space="preserve"> Cir 2011). </w:t>
      </w:r>
    </w:p>
  </w:footnote>
  <w:footnote w:id="144">
    <w:p w14:paraId="40364A11" w14:textId="3484A88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26 USC §</w:t>
      </w:r>
      <w:r>
        <w:rPr>
          <w:rFonts w:ascii="Times New Roman" w:hAnsi="Times New Roman" w:cs="Times New Roman"/>
        </w:rPr>
        <w:t xml:space="preserve"> </w:t>
      </w:r>
      <w:r w:rsidRPr="0089053D">
        <w:rPr>
          <w:rFonts w:ascii="Times New Roman" w:hAnsi="Times New Roman" w:cs="Times New Roman"/>
        </w:rPr>
        <w:t>6012. This is unnecessary for corporations, 26 USC §</w:t>
      </w:r>
      <w:r>
        <w:rPr>
          <w:rFonts w:ascii="Times New Roman" w:hAnsi="Times New Roman" w:cs="Times New Roman"/>
        </w:rPr>
        <w:t xml:space="preserve"> </w:t>
      </w:r>
      <w:r w:rsidRPr="0089053D">
        <w:rPr>
          <w:rFonts w:ascii="Times New Roman" w:hAnsi="Times New Roman" w:cs="Times New Roman"/>
        </w:rPr>
        <w:t xml:space="preserve">6012(2). </w:t>
      </w:r>
    </w:p>
  </w:footnote>
  <w:footnote w:id="145">
    <w:p w14:paraId="7DC43701" w14:textId="7B44D6D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Comisky</w:t>
      </w:r>
      <w:proofErr w:type="spellEnd"/>
      <w:r w:rsidRPr="0089053D">
        <w:rPr>
          <w:rFonts w:ascii="Times New Roman" w:hAnsi="Times New Roman" w:cs="Times New Roman"/>
        </w:rPr>
        <w:t xml:space="preserve"> </w:t>
      </w:r>
      <w:r w:rsidRPr="00A0406D">
        <w:rPr>
          <w:rFonts w:ascii="Times New Roman" w:hAnsi="Times New Roman" w:cs="Times New Roman"/>
          <w:iCs/>
        </w:rPr>
        <w:t>et al</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_Ref112240123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121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 2.09[1].</w:t>
      </w:r>
    </w:p>
  </w:footnote>
  <w:footnote w:id="146">
    <w:p w14:paraId="6B7F107B" w14:textId="6097A8E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Marston, </w:t>
      </w:r>
      <w:r w:rsidRPr="0089053D">
        <w:rPr>
          <w:rFonts w:ascii="Times New Roman" w:hAnsi="Times New Roman" w:cs="Times New Roman"/>
        </w:rPr>
        <w:t>517 F3d 996, 1001 (8</w:t>
      </w:r>
      <w:r>
        <w:rPr>
          <w:rFonts w:ascii="Times New Roman" w:hAnsi="Times New Roman" w:cs="Times New Roman"/>
        </w:rPr>
        <w:t>th</w:t>
      </w:r>
      <w:r w:rsidRPr="0089053D">
        <w:rPr>
          <w:rFonts w:ascii="Times New Roman" w:hAnsi="Times New Roman" w:cs="Times New Roman"/>
        </w:rPr>
        <w:t xml:space="preserve"> Cir 2008).</w:t>
      </w:r>
    </w:p>
  </w:footnote>
  <w:footnote w:id="147">
    <w:p w14:paraId="04A826EA" w14:textId="34E5722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United States v Bishop</w:t>
      </w:r>
      <w:r w:rsidRPr="0089053D">
        <w:rPr>
          <w:rFonts w:ascii="Times New Roman" w:hAnsi="Times New Roman" w:cs="Times New Roman"/>
        </w:rPr>
        <w:t>, 412 US 346, 361 (1973).</w:t>
      </w:r>
    </w:p>
  </w:footnote>
  <w:footnote w:id="148">
    <w:p w14:paraId="36B706F7" w14:textId="589C5EF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26 USC §</w:t>
      </w:r>
      <w:r>
        <w:rPr>
          <w:rFonts w:ascii="Times New Roman" w:hAnsi="Times New Roman" w:cs="Times New Roman"/>
        </w:rPr>
        <w:t xml:space="preserve"> </w:t>
      </w:r>
      <w:r w:rsidRPr="0089053D">
        <w:rPr>
          <w:rFonts w:ascii="Times New Roman" w:hAnsi="Times New Roman" w:cs="Times New Roman"/>
        </w:rPr>
        <w:t xml:space="preserve">7203;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Smukler</w:t>
      </w:r>
      <w:proofErr w:type="spellEnd"/>
      <w:r w:rsidRPr="0089053D">
        <w:rPr>
          <w:rFonts w:ascii="Times New Roman" w:hAnsi="Times New Roman" w:cs="Times New Roman"/>
        </w:rPr>
        <w:t>, 986 F3d 229, 241 (3</w:t>
      </w:r>
      <w:r>
        <w:rPr>
          <w:rFonts w:ascii="Times New Roman" w:hAnsi="Times New Roman" w:cs="Times New Roman"/>
        </w:rPr>
        <w:t>rd</w:t>
      </w:r>
      <w:r w:rsidRPr="0089053D">
        <w:rPr>
          <w:rFonts w:ascii="Times New Roman" w:hAnsi="Times New Roman" w:cs="Times New Roman"/>
        </w:rPr>
        <w:t xml:space="preserve"> Cir 2021).</w:t>
      </w:r>
    </w:p>
  </w:footnote>
  <w:footnote w:id="149">
    <w:p w14:paraId="2692F70B" w14:textId="72426B9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IRS</w:t>
      </w:r>
      <w:r w:rsidRPr="0089053D">
        <w:rPr>
          <w:rFonts w:ascii="Times New Roman" w:hAnsi="Times New Roman" w:cs="Times New Roman"/>
          <w:i/>
        </w:rPr>
        <w:t>, Internal Revenue Manual: 9.1.3.3.4.1.3 26 USC §7203 – Willfulness</w:t>
      </w:r>
      <w:r w:rsidRPr="0089053D">
        <w:rPr>
          <w:rFonts w:ascii="Times New Roman" w:hAnsi="Times New Roman" w:cs="Times New Roman"/>
        </w:rPr>
        <w:t xml:space="preserve"> (15 May 2008).</w:t>
      </w:r>
    </w:p>
  </w:footnote>
  <w:footnote w:id="150">
    <w:p w14:paraId="59857AF8" w14:textId="6F06ADEF" w:rsidR="00A0406D" w:rsidRPr="0089053D" w:rsidRDefault="00A0406D" w:rsidP="00360ED4">
      <w:pPr>
        <w:pStyle w:val="FootnoteText"/>
        <w:rPr>
          <w:rFonts w:ascii="Times New Roman" w:hAnsi="Times New Roman" w:cs="Times New Roman"/>
          <w:lang w:val="it-IT"/>
        </w:rPr>
      </w:pPr>
      <w:r w:rsidRPr="0089053D">
        <w:rPr>
          <w:rStyle w:val="FootnoteReference"/>
          <w:rFonts w:ascii="Times New Roman" w:hAnsi="Times New Roman" w:cs="Times New Roman"/>
        </w:rPr>
        <w:footnoteRef/>
      </w:r>
      <w:r w:rsidRPr="0089053D">
        <w:rPr>
          <w:rFonts w:ascii="Times New Roman" w:hAnsi="Times New Roman" w:cs="Times New Roman"/>
          <w:lang w:val="it-IT"/>
        </w:rPr>
        <w:t xml:space="preserve"> </w:t>
      </w:r>
      <w:r w:rsidRPr="0089053D">
        <w:rPr>
          <w:rFonts w:ascii="Times New Roman" w:hAnsi="Times New Roman" w:cs="Times New Roman"/>
          <w:lang w:val="it-IT"/>
        </w:rPr>
        <w:t>26 USC §</w:t>
      </w:r>
      <w:r>
        <w:rPr>
          <w:rFonts w:ascii="Times New Roman" w:hAnsi="Times New Roman" w:cs="Times New Roman"/>
          <w:lang w:val="it-IT"/>
        </w:rPr>
        <w:t xml:space="preserve"> </w:t>
      </w:r>
      <w:r w:rsidRPr="0089053D">
        <w:rPr>
          <w:rFonts w:ascii="Times New Roman" w:hAnsi="Times New Roman" w:cs="Times New Roman"/>
          <w:lang w:val="it-IT"/>
        </w:rPr>
        <w:t>7206(1).</w:t>
      </w:r>
    </w:p>
  </w:footnote>
  <w:footnote w:id="151">
    <w:p w14:paraId="70CB6F2F" w14:textId="6E4BAF7E" w:rsidR="00A0406D" w:rsidRPr="0089053D" w:rsidRDefault="00A0406D" w:rsidP="00360ED4">
      <w:pPr>
        <w:pStyle w:val="FootnoteText"/>
        <w:rPr>
          <w:rFonts w:ascii="Times New Roman" w:hAnsi="Times New Roman" w:cs="Times New Roman"/>
          <w:lang w:val="it-IT"/>
        </w:rPr>
      </w:pPr>
      <w:r w:rsidRPr="0089053D">
        <w:rPr>
          <w:rStyle w:val="FootnoteReference"/>
          <w:rFonts w:ascii="Times New Roman" w:hAnsi="Times New Roman" w:cs="Times New Roman"/>
        </w:rPr>
        <w:footnoteRef/>
      </w:r>
      <w:r w:rsidRPr="0089053D">
        <w:rPr>
          <w:rFonts w:ascii="Times New Roman" w:hAnsi="Times New Roman" w:cs="Times New Roman"/>
          <w:lang w:val="it-IT"/>
        </w:rPr>
        <w:t xml:space="preserve"> </w:t>
      </w:r>
      <w:r w:rsidRPr="0089053D">
        <w:rPr>
          <w:rFonts w:ascii="Times New Roman" w:hAnsi="Times New Roman" w:cs="Times New Roman"/>
          <w:lang w:val="it-IT"/>
        </w:rPr>
        <w:t>26 USC §</w:t>
      </w:r>
      <w:r>
        <w:rPr>
          <w:rFonts w:ascii="Times New Roman" w:hAnsi="Times New Roman" w:cs="Times New Roman"/>
          <w:lang w:val="it-IT"/>
        </w:rPr>
        <w:t xml:space="preserve"> </w:t>
      </w:r>
      <w:r w:rsidRPr="0089053D">
        <w:rPr>
          <w:rFonts w:ascii="Times New Roman" w:hAnsi="Times New Roman" w:cs="Times New Roman"/>
          <w:lang w:val="it-IT"/>
        </w:rPr>
        <w:t xml:space="preserve">7206(2). </w:t>
      </w:r>
    </w:p>
  </w:footnote>
  <w:footnote w:id="152">
    <w:p w14:paraId="47754361" w14:textId="689876C6" w:rsidR="00A0406D" w:rsidRPr="0089053D" w:rsidRDefault="00A0406D" w:rsidP="00360ED4">
      <w:pPr>
        <w:pStyle w:val="FootnoteText"/>
        <w:rPr>
          <w:rFonts w:ascii="Times New Roman" w:hAnsi="Times New Roman" w:cs="Times New Roman"/>
          <w:lang w:val="it-IT"/>
        </w:rPr>
      </w:pPr>
      <w:r w:rsidRPr="0089053D">
        <w:rPr>
          <w:rStyle w:val="FootnoteReference"/>
          <w:rFonts w:ascii="Times New Roman" w:hAnsi="Times New Roman" w:cs="Times New Roman"/>
        </w:rPr>
        <w:footnoteRef/>
      </w:r>
      <w:r w:rsidRPr="0089053D">
        <w:rPr>
          <w:rFonts w:ascii="Times New Roman" w:hAnsi="Times New Roman" w:cs="Times New Roman"/>
          <w:lang w:val="it-IT"/>
        </w:rPr>
        <w:t xml:space="preserve"> </w:t>
      </w:r>
      <w:r w:rsidRPr="0089053D">
        <w:rPr>
          <w:rFonts w:ascii="Times New Roman" w:hAnsi="Times New Roman" w:cs="Times New Roman"/>
          <w:lang w:val="it-IT"/>
        </w:rPr>
        <w:t>26 USC §</w:t>
      </w:r>
      <w:r>
        <w:rPr>
          <w:rFonts w:ascii="Times New Roman" w:hAnsi="Times New Roman" w:cs="Times New Roman"/>
          <w:lang w:val="it-IT"/>
        </w:rPr>
        <w:t xml:space="preserve"> </w:t>
      </w:r>
      <w:r w:rsidRPr="0089053D">
        <w:rPr>
          <w:rFonts w:ascii="Times New Roman" w:hAnsi="Times New Roman" w:cs="Times New Roman"/>
          <w:lang w:val="it-IT"/>
        </w:rPr>
        <w:t xml:space="preserve">7212(a). </w:t>
      </w:r>
    </w:p>
  </w:footnote>
  <w:footnote w:id="153">
    <w:p w14:paraId="78A6A9E4" w14:textId="3C116977" w:rsidR="00A0406D" w:rsidRPr="0089053D" w:rsidRDefault="00A0406D" w:rsidP="00360ED4">
      <w:pPr>
        <w:pStyle w:val="FootnoteText"/>
        <w:rPr>
          <w:rFonts w:ascii="Times New Roman" w:hAnsi="Times New Roman" w:cs="Times New Roman"/>
          <w:lang w:val="it-IT"/>
        </w:rPr>
      </w:pPr>
      <w:r w:rsidRPr="0089053D">
        <w:rPr>
          <w:rStyle w:val="FootnoteReference"/>
          <w:rFonts w:ascii="Times New Roman" w:hAnsi="Times New Roman" w:cs="Times New Roman"/>
        </w:rPr>
        <w:footnoteRef/>
      </w:r>
      <w:r w:rsidRPr="0089053D">
        <w:rPr>
          <w:rFonts w:ascii="Times New Roman" w:hAnsi="Times New Roman" w:cs="Times New Roman"/>
          <w:lang w:val="it-IT"/>
        </w:rPr>
        <w:t xml:space="preserve"> </w:t>
      </w:r>
      <w:r w:rsidRPr="0089053D">
        <w:rPr>
          <w:rFonts w:ascii="Times New Roman" w:hAnsi="Times New Roman" w:cs="Times New Roman"/>
          <w:lang w:val="it-IT"/>
        </w:rPr>
        <w:t>26 USC §</w:t>
      </w:r>
      <w:r>
        <w:rPr>
          <w:rFonts w:ascii="Times New Roman" w:hAnsi="Times New Roman" w:cs="Times New Roman"/>
          <w:lang w:val="it-IT"/>
        </w:rPr>
        <w:t xml:space="preserve"> </w:t>
      </w:r>
      <w:r w:rsidRPr="0089053D">
        <w:rPr>
          <w:rFonts w:ascii="Times New Roman" w:hAnsi="Times New Roman" w:cs="Times New Roman"/>
          <w:lang w:val="it-IT"/>
        </w:rPr>
        <w:t>7207.</w:t>
      </w:r>
    </w:p>
  </w:footnote>
  <w:footnote w:id="154">
    <w:p w14:paraId="2CD07EE0" w14:textId="0307C46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26 USC §</w:t>
      </w:r>
      <w:r>
        <w:rPr>
          <w:rFonts w:ascii="Times New Roman" w:hAnsi="Times New Roman" w:cs="Times New Roman"/>
        </w:rPr>
        <w:t xml:space="preserve"> </w:t>
      </w:r>
      <w:r w:rsidRPr="0089053D">
        <w:rPr>
          <w:rFonts w:ascii="Times New Roman" w:hAnsi="Times New Roman" w:cs="Times New Roman"/>
        </w:rPr>
        <w:t>7212(b).</w:t>
      </w:r>
    </w:p>
  </w:footnote>
  <w:footnote w:id="155">
    <w:p w14:paraId="39D9F850" w14:textId="155B82B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18 USC §</w:t>
      </w:r>
      <w:r>
        <w:rPr>
          <w:rFonts w:ascii="Times New Roman" w:hAnsi="Times New Roman" w:cs="Times New Roman"/>
        </w:rPr>
        <w:t xml:space="preserve"> </w:t>
      </w:r>
      <w:r w:rsidRPr="0089053D">
        <w:rPr>
          <w:rFonts w:ascii="Times New Roman" w:hAnsi="Times New Roman" w:cs="Times New Roman"/>
        </w:rPr>
        <w:t xml:space="preserve">371. </w:t>
      </w:r>
      <w:r w:rsidRPr="0089053D">
        <w:rPr>
          <w:rFonts w:ascii="Times New Roman" w:hAnsi="Times New Roman" w:cs="Times New Roman"/>
          <w:i/>
        </w:rPr>
        <w:t xml:space="preserve">United States v Klein, </w:t>
      </w:r>
      <w:r w:rsidRPr="0089053D">
        <w:rPr>
          <w:rFonts w:ascii="Times New Roman" w:hAnsi="Times New Roman" w:cs="Times New Roman"/>
        </w:rPr>
        <w:t>247 F2d 908, 921 (2</w:t>
      </w:r>
      <w:r>
        <w:rPr>
          <w:rFonts w:ascii="Times New Roman" w:hAnsi="Times New Roman" w:cs="Times New Roman"/>
        </w:rPr>
        <w:t>nd</w:t>
      </w:r>
      <w:r w:rsidRPr="0089053D">
        <w:rPr>
          <w:rFonts w:ascii="Times New Roman" w:hAnsi="Times New Roman" w:cs="Times New Roman"/>
        </w:rPr>
        <w:t xml:space="preserve"> Cir 1957).</w:t>
      </w:r>
    </w:p>
  </w:footnote>
  <w:footnote w:id="156">
    <w:p w14:paraId="7A17D92B" w14:textId="2FE73B2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18 USC §§ 1341 and 1343. </w:t>
      </w:r>
      <w:proofErr w:type="spellStart"/>
      <w:r w:rsidRPr="0089053D">
        <w:rPr>
          <w:rFonts w:ascii="Times New Roman" w:hAnsi="Times New Roman" w:cs="Times New Roman"/>
          <w:i/>
        </w:rPr>
        <w:t>Pasquantino</w:t>
      </w:r>
      <w:proofErr w:type="spellEnd"/>
      <w:r w:rsidRPr="0089053D">
        <w:rPr>
          <w:rFonts w:ascii="Times New Roman" w:hAnsi="Times New Roman" w:cs="Times New Roman"/>
          <w:i/>
        </w:rPr>
        <w:t xml:space="preserve"> v United States</w:t>
      </w:r>
      <w:r w:rsidRPr="0089053D">
        <w:rPr>
          <w:rFonts w:ascii="Times New Roman" w:hAnsi="Times New Roman" w:cs="Times New Roman"/>
        </w:rPr>
        <w:t xml:space="preserve">, 544 US 349, 125 </w:t>
      </w:r>
      <w:proofErr w:type="spellStart"/>
      <w:r w:rsidRPr="0089053D">
        <w:rPr>
          <w:rFonts w:ascii="Times New Roman" w:hAnsi="Times New Roman" w:cs="Times New Roman"/>
        </w:rPr>
        <w:t>S.Ct</w:t>
      </w:r>
      <w:proofErr w:type="spellEnd"/>
      <w:r w:rsidRPr="0089053D">
        <w:rPr>
          <w:rFonts w:ascii="Times New Roman" w:hAnsi="Times New Roman" w:cs="Times New Roman"/>
        </w:rPr>
        <w:t xml:space="preserve">. 1766 (2005); </w:t>
      </w:r>
      <w:r w:rsidRPr="0089053D">
        <w:rPr>
          <w:rFonts w:ascii="Times New Roman" w:hAnsi="Times New Roman" w:cs="Times New Roman"/>
          <w:i/>
        </w:rPr>
        <w:t xml:space="preserve">Fountain v United States, </w:t>
      </w:r>
      <w:r w:rsidRPr="0089053D">
        <w:rPr>
          <w:rFonts w:ascii="Times New Roman" w:hAnsi="Times New Roman" w:cs="Times New Roman"/>
        </w:rPr>
        <w:t>357 F3d 250, 256 (2</w:t>
      </w:r>
      <w:r>
        <w:rPr>
          <w:rFonts w:ascii="Times New Roman" w:hAnsi="Times New Roman" w:cs="Times New Roman"/>
        </w:rPr>
        <w:t>nd</w:t>
      </w:r>
      <w:r w:rsidRPr="0089053D">
        <w:rPr>
          <w:rFonts w:ascii="Times New Roman" w:hAnsi="Times New Roman" w:cs="Times New Roman"/>
        </w:rPr>
        <w:t xml:space="preserve"> Cir 2004). </w:t>
      </w:r>
    </w:p>
  </w:footnote>
  <w:footnote w:id="157">
    <w:p w14:paraId="7FF34B17" w14:textId="0A7CE5D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Department of Justice</w:t>
      </w:r>
      <w:r w:rsidRPr="0089053D">
        <w:rPr>
          <w:rFonts w:ascii="Times New Roman" w:hAnsi="Times New Roman" w:cs="Times New Roman"/>
          <w:i/>
        </w:rPr>
        <w:t>, Justice Manual</w:t>
      </w:r>
      <w:r w:rsidRPr="0089053D">
        <w:rPr>
          <w:rFonts w:ascii="Times New Roman" w:hAnsi="Times New Roman" w:cs="Times New Roman"/>
        </w:rPr>
        <w:t xml:space="preserve"> (June 2020), §</w:t>
      </w:r>
      <w:r>
        <w:rPr>
          <w:rFonts w:ascii="Times New Roman" w:hAnsi="Times New Roman" w:cs="Times New Roman"/>
        </w:rPr>
        <w:t xml:space="preserve"> </w:t>
      </w:r>
      <w:r w:rsidRPr="0089053D">
        <w:rPr>
          <w:rFonts w:ascii="Times New Roman" w:hAnsi="Times New Roman" w:cs="Times New Roman"/>
        </w:rPr>
        <w:t>6-4.210.</w:t>
      </w:r>
    </w:p>
  </w:footnote>
  <w:footnote w:id="158">
    <w:p w14:paraId="41FAE5D4" w14:textId="34563A3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Including, where the conduct involved ‘some added criminality’ or it was impossible to prosecute the defendant for the predicate offence, </w:t>
      </w:r>
      <w:r w:rsidRPr="0089053D">
        <w:rPr>
          <w:rFonts w:ascii="Times New Roman" w:hAnsi="Times New Roman" w:cs="Times New Roman"/>
          <w:i/>
        </w:rPr>
        <w:t>GH</w:t>
      </w:r>
      <w:r w:rsidRPr="0089053D">
        <w:rPr>
          <w:rFonts w:ascii="Times New Roman" w:hAnsi="Times New Roman" w:cs="Times New Roman"/>
        </w:rPr>
        <w:t xml:space="preserve"> [2015] UKSC 24; [2015] 1 WLR 2126</w:t>
      </w:r>
      <w:r>
        <w:rPr>
          <w:rFonts w:ascii="Times New Roman" w:hAnsi="Times New Roman" w:cs="Times New Roman"/>
        </w:rPr>
        <w:t>,</w:t>
      </w:r>
      <w:r w:rsidRPr="0089053D">
        <w:rPr>
          <w:rFonts w:ascii="Times New Roman" w:hAnsi="Times New Roman" w:cs="Times New Roman"/>
        </w:rPr>
        <w:t xml:space="preserve"> [48].</w:t>
      </w:r>
    </w:p>
  </w:footnote>
  <w:footnote w:id="159">
    <w:p w14:paraId="514FC537" w14:textId="113A471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xml:space="preserve">; see also AM Maugeri, ‘Self-laundering the Proceeds of Tax Evasion in Comparative Law: Between Effectiveness and Safeguards’ (2018) 9(1) </w:t>
      </w:r>
      <w:r w:rsidRPr="0089053D">
        <w:rPr>
          <w:rFonts w:ascii="Times New Roman" w:hAnsi="Times New Roman" w:cs="Times New Roman"/>
          <w:i/>
        </w:rPr>
        <w:t>NJECL</w:t>
      </w:r>
      <w:r w:rsidRPr="0089053D">
        <w:rPr>
          <w:rFonts w:ascii="Times New Roman" w:hAnsi="Times New Roman" w:cs="Times New Roman"/>
        </w:rPr>
        <w:t xml:space="preserve"> 83, 102.</w:t>
      </w:r>
      <w:r>
        <w:rPr>
          <w:rFonts w:ascii="Times New Roman" w:hAnsi="Times New Roman" w:cs="Times New Roman"/>
        </w:rPr>
        <w:t xml:space="preserve"> </w:t>
      </w:r>
    </w:p>
  </w:footnote>
  <w:footnote w:id="160">
    <w:p w14:paraId="5051EDFB" w14:textId="0D644BB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N Ryder, ‘</w:t>
      </w:r>
      <w:r>
        <w:rPr>
          <w:rFonts w:ascii="Times New Roman" w:hAnsi="Times New Roman" w:cs="Times New Roman"/>
        </w:rPr>
        <w:t>“</w:t>
      </w:r>
      <w:r w:rsidRPr="0089053D">
        <w:rPr>
          <w:rFonts w:ascii="Times New Roman" w:hAnsi="Times New Roman" w:cs="Times New Roman"/>
        </w:rPr>
        <w:t>Too Scared to Prosecute and Too Scared to Jail?</w:t>
      </w:r>
      <w:r>
        <w:rPr>
          <w:rFonts w:ascii="Times New Roman" w:hAnsi="Times New Roman" w:cs="Times New Roman"/>
        </w:rPr>
        <w:t>”</w:t>
      </w:r>
      <w:r w:rsidRPr="0089053D">
        <w:rPr>
          <w:rFonts w:ascii="Times New Roman" w:hAnsi="Times New Roman" w:cs="Times New Roman"/>
        </w:rPr>
        <w:t xml:space="preserve"> A Critical and Comparative Analysis of Enforcement of Financial Crime Legislation against Corporations in the USA and the UK’ (2018) 82(3) </w:t>
      </w:r>
      <w:r w:rsidRPr="0089053D">
        <w:rPr>
          <w:rFonts w:ascii="Times New Roman" w:hAnsi="Times New Roman" w:cs="Times New Roman"/>
          <w:i/>
        </w:rPr>
        <w:t xml:space="preserve">Journal of Criminal Law </w:t>
      </w:r>
      <w:r w:rsidRPr="0089053D">
        <w:rPr>
          <w:rFonts w:ascii="Times New Roman" w:hAnsi="Times New Roman" w:cs="Times New Roman"/>
        </w:rPr>
        <w:t>245, 249.</w:t>
      </w:r>
    </w:p>
  </w:footnote>
  <w:footnote w:id="161">
    <w:p w14:paraId="570518B7" w14:textId="1044686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i/>
          <w:iCs/>
        </w:rPr>
        <w:t>,</w:t>
      </w:r>
      <w:r w:rsidRPr="0089053D">
        <w:rPr>
          <w:rFonts w:ascii="Times New Roman" w:hAnsi="Times New Roman" w:cs="Times New Roman"/>
        </w:rPr>
        <w:t xml:space="preserve"> 262; R Luskin, ‘Caring about Corporate “Due Care”: Why Criminal </w:t>
      </w:r>
      <w:proofErr w:type="spellStart"/>
      <w:r w:rsidRPr="0089053D">
        <w:rPr>
          <w:rFonts w:ascii="Times New Roman" w:hAnsi="Times New Roman" w:cs="Times New Roman"/>
          <w:i/>
        </w:rPr>
        <w:t>Respondeat</w:t>
      </w:r>
      <w:proofErr w:type="spellEnd"/>
      <w:r w:rsidRPr="0089053D">
        <w:rPr>
          <w:rFonts w:ascii="Times New Roman" w:hAnsi="Times New Roman" w:cs="Times New Roman"/>
          <w:i/>
        </w:rPr>
        <w:t xml:space="preserve"> Superior </w:t>
      </w:r>
      <w:r w:rsidRPr="0089053D">
        <w:rPr>
          <w:rFonts w:ascii="Times New Roman" w:hAnsi="Times New Roman" w:cs="Times New Roman"/>
        </w:rPr>
        <w:t xml:space="preserve">Liability Outreaches its Justification’ (2020) 57(2) </w:t>
      </w:r>
      <w:r w:rsidRPr="0089053D">
        <w:rPr>
          <w:rFonts w:ascii="Times New Roman" w:hAnsi="Times New Roman" w:cs="Times New Roman"/>
          <w:i/>
        </w:rPr>
        <w:t>American Criminal Law Review</w:t>
      </w:r>
      <w:r w:rsidRPr="0089053D">
        <w:rPr>
          <w:rFonts w:ascii="Times New Roman" w:hAnsi="Times New Roman" w:cs="Times New Roman"/>
        </w:rPr>
        <w:t xml:space="preserve"> 303, 313.</w:t>
      </w:r>
    </w:p>
  </w:footnote>
  <w:footnote w:id="162">
    <w:p w14:paraId="40676770" w14:textId="48431DE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the DPAs and NPAs reached with KPMG, Ernst and Young LLP and Deutsche Bank. See, </w:t>
      </w:r>
      <w:proofErr w:type="spellStart"/>
      <w:r w:rsidRPr="0089053D">
        <w:rPr>
          <w:rFonts w:ascii="Times New Roman" w:hAnsi="Times New Roman" w:cs="Times New Roman"/>
        </w:rPr>
        <w:t>Comisky</w:t>
      </w:r>
      <w:proofErr w:type="spellEnd"/>
      <w:r w:rsidRPr="0089053D">
        <w:rPr>
          <w:rFonts w:ascii="Times New Roman" w:hAnsi="Times New Roman" w:cs="Times New Roman"/>
        </w:rPr>
        <w:t xml:space="preserve"> </w:t>
      </w:r>
      <w:r w:rsidRPr="00A0406D">
        <w:rPr>
          <w:rFonts w:ascii="Times New Roman" w:hAnsi="Times New Roman" w:cs="Times New Roman"/>
          <w:iCs/>
        </w:rPr>
        <w:t>et al</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_Ref112240123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121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 1.08.</w:t>
      </w:r>
    </w:p>
  </w:footnote>
  <w:footnote w:id="163">
    <w:p w14:paraId="59F81BCD" w14:textId="74001B0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Department of Justice, </w:t>
      </w:r>
      <w:r w:rsidRPr="0089053D">
        <w:rPr>
          <w:rFonts w:ascii="Times New Roman" w:hAnsi="Times New Roman" w:cs="Times New Roman"/>
          <w:i/>
        </w:rPr>
        <w:t>Mizrahi-</w:t>
      </w:r>
      <w:proofErr w:type="spellStart"/>
      <w:r w:rsidRPr="0089053D">
        <w:rPr>
          <w:rFonts w:ascii="Times New Roman" w:hAnsi="Times New Roman" w:cs="Times New Roman"/>
          <w:i/>
        </w:rPr>
        <w:t>Tefahot</w:t>
      </w:r>
      <w:proofErr w:type="spellEnd"/>
      <w:r w:rsidRPr="0089053D">
        <w:rPr>
          <w:rFonts w:ascii="Times New Roman" w:hAnsi="Times New Roman" w:cs="Times New Roman"/>
          <w:i/>
        </w:rPr>
        <w:t xml:space="preserve"> Bank Ltd Admits its Employees Helped US Taxpayers Conceal Income and Assets</w:t>
      </w:r>
      <w:r w:rsidRPr="0089053D">
        <w:rPr>
          <w:rFonts w:ascii="Times New Roman" w:hAnsi="Times New Roman" w:cs="Times New Roman"/>
        </w:rPr>
        <w:t xml:space="preserve"> (Department of Justice Press Release 19-215, 12 March 2019). </w:t>
      </w:r>
    </w:p>
  </w:footnote>
  <w:footnote w:id="164">
    <w:p w14:paraId="1E4F5D0B" w14:textId="3D1F33B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Department of Justice, </w:t>
      </w:r>
      <w:r w:rsidRPr="0089053D">
        <w:rPr>
          <w:rFonts w:ascii="Times New Roman" w:hAnsi="Times New Roman" w:cs="Times New Roman"/>
          <w:i/>
        </w:rPr>
        <w:t xml:space="preserve">Justice Department Announces Final Swiss Bank Program Category 2 Resolution with HSZH </w:t>
      </w:r>
      <w:proofErr w:type="spellStart"/>
      <w:r w:rsidRPr="0089053D">
        <w:rPr>
          <w:rFonts w:ascii="Times New Roman" w:hAnsi="Times New Roman" w:cs="Times New Roman"/>
          <w:i/>
        </w:rPr>
        <w:t>Verwaltungs</w:t>
      </w:r>
      <w:proofErr w:type="spellEnd"/>
      <w:r w:rsidRPr="0089053D">
        <w:rPr>
          <w:rFonts w:ascii="Times New Roman" w:hAnsi="Times New Roman" w:cs="Times New Roman"/>
          <w:i/>
        </w:rPr>
        <w:t xml:space="preserve"> AG</w:t>
      </w:r>
      <w:r w:rsidRPr="0089053D">
        <w:rPr>
          <w:rFonts w:ascii="Times New Roman" w:hAnsi="Times New Roman" w:cs="Times New Roman"/>
        </w:rPr>
        <w:t xml:space="preserve"> (Department of Justice Press Release 16-093, 27 January 2016). </w:t>
      </w:r>
    </w:p>
  </w:footnote>
  <w:footnote w:id="165">
    <w:p w14:paraId="55A01258" w14:textId="2E36205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Pr>
          <w:rFonts w:ascii="Times New Roman" w:hAnsi="Times New Roman" w:cs="Times New Roman"/>
          <w:i/>
        </w:rPr>
        <w:t xml:space="preserve"> </w:t>
      </w:r>
      <w:r w:rsidRPr="0089053D">
        <w:rPr>
          <w:rFonts w:ascii="Times New Roman" w:hAnsi="Times New Roman" w:cs="Times New Roman"/>
          <w:i/>
        </w:rPr>
        <w:t xml:space="preserve">Cheek v United States, </w:t>
      </w:r>
      <w:r w:rsidRPr="0089053D">
        <w:rPr>
          <w:rFonts w:ascii="Times New Roman" w:hAnsi="Times New Roman" w:cs="Times New Roman"/>
        </w:rPr>
        <w:t xml:space="preserve">498 U.S. 192, 201 (1991); </w:t>
      </w:r>
      <w:r w:rsidRPr="0089053D">
        <w:rPr>
          <w:rFonts w:ascii="Times New Roman" w:hAnsi="Times New Roman" w:cs="Times New Roman"/>
          <w:i/>
        </w:rPr>
        <w:t xml:space="preserve">United States v Trevino, </w:t>
      </w:r>
      <w:r w:rsidRPr="0089053D">
        <w:rPr>
          <w:rFonts w:ascii="Times New Roman" w:hAnsi="Times New Roman" w:cs="Times New Roman"/>
        </w:rPr>
        <w:t xml:space="preserve">419 F.3d 896, 901 (9th Cir. 2005); </w:t>
      </w:r>
      <w:r w:rsidRPr="0089053D">
        <w:rPr>
          <w:rFonts w:ascii="Times New Roman" w:hAnsi="Times New Roman" w:cs="Times New Roman"/>
          <w:i/>
        </w:rPr>
        <w:t>United States v Bishop</w:t>
      </w:r>
      <w:r w:rsidRPr="0089053D">
        <w:rPr>
          <w:rFonts w:ascii="Times New Roman" w:hAnsi="Times New Roman" w:cs="Times New Roman"/>
        </w:rPr>
        <w:t>, 412 US 346, 360-361 (1973).</w:t>
      </w:r>
    </w:p>
  </w:footnote>
  <w:footnote w:id="166">
    <w:p w14:paraId="692C08FD" w14:textId="4B9E8DE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J Stein, ‘Criminal Liability for Willful Evasion of an Uncertain Tax’ (1981) 81(6) </w:t>
      </w:r>
      <w:r w:rsidRPr="0089053D">
        <w:rPr>
          <w:rFonts w:ascii="Times New Roman" w:hAnsi="Times New Roman" w:cs="Times New Roman"/>
          <w:i/>
        </w:rPr>
        <w:t>Columbia Law Review</w:t>
      </w:r>
      <w:r w:rsidRPr="0089053D">
        <w:rPr>
          <w:rFonts w:ascii="Times New Roman" w:hAnsi="Times New Roman" w:cs="Times New Roman"/>
        </w:rPr>
        <w:t xml:space="preserve"> 1348, 1355. </w:t>
      </w:r>
    </w:p>
  </w:footnote>
  <w:footnote w:id="167">
    <w:p w14:paraId="5961AED2" w14:textId="70740EC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United States v Bishop</w:t>
      </w:r>
      <w:r w:rsidRPr="0089053D">
        <w:rPr>
          <w:rFonts w:ascii="Times New Roman" w:hAnsi="Times New Roman" w:cs="Times New Roman"/>
        </w:rPr>
        <w:t xml:space="preserve">, 412 US 346, 361 (1973); </w:t>
      </w:r>
      <w:r w:rsidRPr="00A0406D">
        <w:rPr>
          <w:rFonts w:ascii="Times New Roman" w:hAnsi="Times New Roman" w:cs="Times New Roman"/>
        </w:rPr>
        <w:t>ibid</w:t>
      </w:r>
      <w:r w:rsidRPr="0089053D">
        <w:rPr>
          <w:rFonts w:ascii="Times New Roman" w:hAnsi="Times New Roman" w:cs="Times New Roman"/>
        </w:rPr>
        <w:t xml:space="preserve">. </w:t>
      </w:r>
    </w:p>
  </w:footnote>
  <w:footnote w:id="168">
    <w:p w14:paraId="137C911F" w14:textId="1CB7C00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Murdock, </w:t>
      </w:r>
      <w:r w:rsidRPr="0089053D">
        <w:rPr>
          <w:rFonts w:ascii="Times New Roman" w:hAnsi="Times New Roman" w:cs="Times New Roman"/>
        </w:rPr>
        <w:t>290 US 389, 394-5 (1933).</w:t>
      </w:r>
    </w:p>
  </w:footnote>
  <w:footnote w:id="169">
    <w:p w14:paraId="2CD81C24" w14:textId="43EDC29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United States v Bishop</w:t>
      </w:r>
      <w:r w:rsidRPr="0089053D">
        <w:rPr>
          <w:rFonts w:ascii="Times New Roman" w:hAnsi="Times New Roman" w:cs="Times New Roman"/>
        </w:rPr>
        <w:t>, 412 US 346, 360-361 (1973).</w:t>
      </w:r>
    </w:p>
  </w:footnote>
  <w:footnote w:id="170">
    <w:p w14:paraId="79BC6EA9" w14:textId="483229E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Pomponio</w:t>
      </w:r>
      <w:proofErr w:type="spellEnd"/>
      <w:r w:rsidRPr="0089053D">
        <w:rPr>
          <w:rFonts w:ascii="Times New Roman" w:hAnsi="Times New Roman" w:cs="Times New Roman"/>
          <w:i/>
        </w:rPr>
        <w:t xml:space="preserve">, </w:t>
      </w:r>
      <w:r w:rsidRPr="0089053D">
        <w:rPr>
          <w:rFonts w:ascii="Times New Roman" w:hAnsi="Times New Roman" w:cs="Times New Roman"/>
        </w:rPr>
        <w:t>429 US 10, 12 (1976).</w:t>
      </w:r>
    </w:p>
  </w:footnote>
  <w:footnote w:id="171">
    <w:p w14:paraId="4CEE4494" w14:textId="3BEFC0F9"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NA </w:t>
      </w:r>
      <w:proofErr w:type="spellStart"/>
      <w:r w:rsidRPr="0089053D">
        <w:rPr>
          <w:rFonts w:ascii="Times New Roman" w:hAnsi="Times New Roman" w:cs="Times New Roman"/>
        </w:rPr>
        <w:t>Mirkay</w:t>
      </w:r>
      <w:proofErr w:type="spellEnd"/>
      <w:r w:rsidRPr="0089053D">
        <w:rPr>
          <w:rFonts w:ascii="Times New Roman" w:hAnsi="Times New Roman" w:cs="Times New Roman"/>
        </w:rPr>
        <w:t xml:space="preserve"> III, ‘The Supreme Court’s Decision in Cheek: Does It Encourage Willful Tax Evasion?’ (1991) 56(4) </w:t>
      </w:r>
      <w:r w:rsidRPr="0089053D">
        <w:rPr>
          <w:rFonts w:ascii="Times New Roman" w:hAnsi="Times New Roman" w:cs="Times New Roman"/>
          <w:i/>
        </w:rPr>
        <w:t>Missouri Law Review</w:t>
      </w:r>
      <w:r w:rsidRPr="0089053D">
        <w:rPr>
          <w:rFonts w:ascii="Times New Roman" w:hAnsi="Times New Roman" w:cs="Times New Roman"/>
        </w:rPr>
        <w:t xml:space="preserve"> 1119, 1131. </w:t>
      </w:r>
    </w:p>
  </w:footnote>
  <w:footnote w:id="172">
    <w:p w14:paraId="6BC9ACEB" w14:textId="77CADCF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Cheek v United States</w:t>
      </w:r>
      <w:r w:rsidRPr="0089053D">
        <w:rPr>
          <w:rFonts w:ascii="Times New Roman" w:hAnsi="Times New Roman" w:cs="Times New Roman"/>
        </w:rPr>
        <w:t>, 498 US 192, 200 (1991).</w:t>
      </w:r>
    </w:p>
  </w:footnote>
  <w:footnote w:id="173">
    <w:p w14:paraId="32FB9454" w14:textId="4297A52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Pr>
          <w:rFonts w:ascii="Times New Roman" w:hAnsi="Times New Roman" w:cs="Times New Roman"/>
          <w:i/>
          <w:iCs/>
        </w:rPr>
        <w:t>,</w:t>
      </w:r>
      <w:r w:rsidRPr="0089053D">
        <w:rPr>
          <w:rFonts w:ascii="Times New Roman" w:hAnsi="Times New Roman" w:cs="Times New Roman"/>
        </w:rPr>
        <w:t xml:space="preserve"> 206.</w:t>
      </w:r>
    </w:p>
  </w:footnote>
  <w:footnote w:id="174">
    <w:p w14:paraId="78763626" w14:textId="1D6F937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Comisky</w:t>
      </w:r>
      <w:proofErr w:type="spellEnd"/>
      <w:r w:rsidRPr="0089053D">
        <w:rPr>
          <w:rFonts w:ascii="Times New Roman" w:hAnsi="Times New Roman" w:cs="Times New Roman"/>
        </w:rPr>
        <w:t xml:space="preserve"> </w:t>
      </w:r>
      <w:r w:rsidRPr="00A0406D">
        <w:rPr>
          <w:rFonts w:ascii="Times New Roman" w:hAnsi="Times New Roman" w:cs="Times New Roman"/>
          <w:iCs/>
        </w:rPr>
        <w:t>et al</w:t>
      </w:r>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_Ref112240123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121</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 2.03[3][a].</w:t>
      </w:r>
    </w:p>
  </w:footnote>
  <w:footnote w:id="175">
    <w:p w14:paraId="6A0855A0" w14:textId="3D93A45D"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Renner </w:t>
      </w:r>
      <w:r w:rsidRPr="0089053D">
        <w:rPr>
          <w:rFonts w:ascii="Times New Roman" w:hAnsi="Times New Roman" w:cs="Times New Roman"/>
        </w:rPr>
        <w:t>648 F3d 680, 687 (8</w:t>
      </w:r>
      <w:r>
        <w:rPr>
          <w:rFonts w:ascii="Times New Roman" w:hAnsi="Times New Roman" w:cs="Times New Roman"/>
        </w:rPr>
        <w:t>th</w:t>
      </w:r>
      <w:r w:rsidRPr="0089053D">
        <w:rPr>
          <w:rFonts w:ascii="Times New Roman" w:hAnsi="Times New Roman" w:cs="Times New Roman"/>
        </w:rPr>
        <w:t xml:space="preserve"> Cir 2011); </w:t>
      </w:r>
      <w:r w:rsidRPr="0089053D">
        <w:rPr>
          <w:rFonts w:ascii="Times New Roman" w:hAnsi="Times New Roman" w:cs="Times New Roman"/>
          <w:i/>
        </w:rPr>
        <w:t xml:space="preserve">United States v Wright </w:t>
      </w:r>
      <w:r w:rsidRPr="0089053D">
        <w:rPr>
          <w:rFonts w:ascii="Times New Roman" w:hAnsi="Times New Roman" w:cs="Times New Roman"/>
        </w:rPr>
        <w:t>798 Fed. Appx. 849, 852 (6</w:t>
      </w:r>
      <w:r>
        <w:rPr>
          <w:rFonts w:ascii="Times New Roman" w:hAnsi="Times New Roman" w:cs="Times New Roman"/>
        </w:rPr>
        <w:t>th</w:t>
      </w:r>
      <w:r w:rsidRPr="0089053D">
        <w:rPr>
          <w:rFonts w:ascii="Times New Roman" w:hAnsi="Times New Roman" w:cs="Times New Roman"/>
        </w:rPr>
        <w:t xml:space="preserve"> Cir 2019).</w:t>
      </w:r>
    </w:p>
  </w:footnote>
  <w:footnote w:id="176">
    <w:p w14:paraId="5CC9C4D9" w14:textId="544BAB8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James v United States</w:t>
      </w:r>
      <w:r w:rsidRPr="0089053D">
        <w:rPr>
          <w:rFonts w:ascii="Times New Roman" w:hAnsi="Times New Roman" w:cs="Times New Roman"/>
        </w:rPr>
        <w:t>, 366 U.S. 213 (1961).</w:t>
      </w:r>
    </w:p>
  </w:footnote>
  <w:footnote w:id="177">
    <w:p w14:paraId="43919DFC" w14:textId="027B4A3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Critzer</w:t>
      </w:r>
      <w:proofErr w:type="spellEnd"/>
      <w:r w:rsidRPr="0089053D">
        <w:rPr>
          <w:rFonts w:ascii="Times New Roman" w:hAnsi="Times New Roman" w:cs="Times New Roman"/>
          <w:i/>
        </w:rPr>
        <w:t xml:space="preserve">, </w:t>
      </w:r>
      <w:r w:rsidRPr="0089053D">
        <w:rPr>
          <w:rFonts w:ascii="Times New Roman" w:hAnsi="Times New Roman" w:cs="Times New Roman"/>
        </w:rPr>
        <w:t>498 F2d 1160, 1162 (4</w:t>
      </w:r>
      <w:r>
        <w:rPr>
          <w:rFonts w:ascii="Times New Roman" w:hAnsi="Times New Roman" w:cs="Times New Roman"/>
        </w:rPr>
        <w:t>th</w:t>
      </w:r>
      <w:r w:rsidRPr="0089053D">
        <w:rPr>
          <w:rFonts w:ascii="Times New Roman" w:hAnsi="Times New Roman" w:cs="Times New Roman"/>
        </w:rPr>
        <w:t xml:space="preserve"> Cir 1974).</w:t>
      </w:r>
    </w:p>
  </w:footnote>
  <w:footnote w:id="178">
    <w:p w14:paraId="4E5B4185" w14:textId="27BDD09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MM Kwon, ‘The Criminality of Tax Planning’ (2015) 18(4) </w:t>
      </w:r>
      <w:r w:rsidRPr="0089053D">
        <w:rPr>
          <w:rFonts w:ascii="Times New Roman" w:hAnsi="Times New Roman" w:cs="Times New Roman"/>
          <w:i/>
        </w:rPr>
        <w:t>Florida Tax Review</w:t>
      </w:r>
      <w:r w:rsidRPr="0089053D">
        <w:rPr>
          <w:rFonts w:ascii="Times New Roman" w:hAnsi="Times New Roman" w:cs="Times New Roman"/>
        </w:rPr>
        <w:t xml:space="preserve"> 153, 180. </w:t>
      </w:r>
    </w:p>
  </w:footnote>
  <w:footnote w:id="179">
    <w:p w14:paraId="32462769" w14:textId="7DA1961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Mallas</w:t>
      </w:r>
      <w:proofErr w:type="spellEnd"/>
      <w:r w:rsidRPr="0089053D">
        <w:rPr>
          <w:rFonts w:ascii="Times New Roman" w:hAnsi="Times New Roman" w:cs="Times New Roman"/>
        </w:rPr>
        <w:t>, 762 F2d 361, 364 (4</w:t>
      </w:r>
      <w:r>
        <w:rPr>
          <w:rFonts w:ascii="Times New Roman" w:hAnsi="Times New Roman" w:cs="Times New Roman"/>
        </w:rPr>
        <w:t>th</w:t>
      </w:r>
      <w:r w:rsidRPr="0089053D">
        <w:rPr>
          <w:rFonts w:ascii="Times New Roman" w:hAnsi="Times New Roman" w:cs="Times New Roman"/>
        </w:rPr>
        <w:t xml:space="preserve"> Cir 1985).</w:t>
      </w:r>
    </w:p>
  </w:footnote>
  <w:footnote w:id="180">
    <w:p w14:paraId="4862C794" w14:textId="039DABF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Garber, </w:t>
      </w:r>
      <w:r w:rsidRPr="0089053D">
        <w:rPr>
          <w:rFonts w:ascii="Times New Roman" w:hAnsi="Times New Roman" w:cs="Times New Roman"/>
        </w:rPr>
        <w:t>607 F2d 92 (5</w:t>
      </w:r>
      <w:r>
        <w:rPr>
          <w:rFonts w:ascii="Times New Roman" w:hAnsi="Times New Roman" w:cs="Times New Roman"/>
        </w:rPr>
        <w:t>th</w:t>
      </w:r>
      <w:r w:rsidRPr="0089053D">
        <w:rPr>
          <w:rFonts w:ascii="Times New Roman" w:hAnsi="Times New Roman" w:cs="Times New Roman"/>
        </w:rPr>
        <w:t xml:space="preserve"> Cir. 1979)</w:t>
      </w:r>
      <w:r>
        <w:rPr>
          <w:rFonts w:ascii="Times New Roman" w:hAnsi="Times New Roman" w:cs="Times New Roman"/>
        </w:rPr>
        <w:t>.</w:t>
      </w:r>
      <w:r w:rsidRPr="0089053D">
        <w:rPr>
          <w:rFonts w:ascii="Times New Roman" w:hAnsi="Times New Roman" w:cs="Times New Roman"/>
        </w:rPr>
        <w:t xml:space="preserve"> In Harris, the Court held that ‘the doubtfulness of a tax law can influence a criminal trial in two ways. The law can be objectively ambiguous, (…) Alternatively, the defendant or the defendant’s tax advisors may have subjectively, but wrongly, seen an ambiguity’ </w:t>
      </w:r>
      <w:r w:rsidRPr="0089053D">
        <w:rPr>
          <w:rFonts w:ascii="Times New Roman" w:hAnsi="Times New Roman" w:cs="Times New Roman"/>
          <w:i/>
        </w:rPr>
        <w:t xml:space="preserve">United States v Harris, </w:t>
      </w:r>
      <w:r w:rsidRPr="0089053D">
        <w:rPr>
          <w:rFonts w:ascii="Times New Roman" w:hAnsi="Times New Roman" w:cs="Times New Roman"/>
        </w:rPr>
        <w:t>942 F2d 1125, 1132 (7</w:t>
      </w:r>
      <w:r>
        <w:rPr>
          <w:rFonts w:ascii="Times New Roman" w:hAnsi="Times New Roman" w:cs="Times New Roman"/>
        </w:rPr>
        <w:t>th</w:t>
      </w:r>
      <w:r w:rsidRPr="0089053D">
        <w:rPr>
          <w:rFonts w:ascii="Times New Roman" w:hAnsi="Times New Roman" w:cs="Times New Roman"/>
        </w:rPr>
        <w:t xml:space="preserve"> Cir. 1991). </w:t>
      </w:r>
    </w:p>
  </w:footnote>
  <w:footnote w:id="181">
    <w:p w14:paraId="108F49D7" w14:textId="5BC987F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George </w:t>
      </w:r>
      <w:r w:rsidRPr="0089053D">
        <w:rPr>
          <w:rFonts w:ascii="Times New Roman" w:hAnsi="Times New Roman" w:cs="Times New Roman"/>
        </w:rPr>
        <w:t>420 F3d 991 (9</w:t>
      </w:r>
      <w:r>
        <w:rPr>
          <w:rFonts w:ascii="Times New Roman" w:hAnsi="Times New Roman" w:cs="Times New Roman"/>
        </w:rPr>
        <w:t>th</w:t>
      </w:r>
      <w:r w:rsidRPr="0089053D">
        <w:rPr>
          <w:rFonts w:ascii="Times New Roman" w:hAnsi="Times New Roman" w:cs="Times New Roman"/>
        </w:rPr>
        <w:t xml:space="preserve"> Cir 2005);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Kahre</w:t>
      </w:r>
      <w:proofErr w:type="spellEnd"/>
      <w:r w:rsidRPr="0089053D">
        <w:rPr>
          <w:rFonts w:ascii="Times New Roman" w:hAnsi="Times New Roman" w:cs="Times New Roman"/>
          <w:i/>
        </w:rPr>
        <w:t xml:space="preserve">, </w:t>
      </w:r>
      <w:r w:rsidRPr="0089053D">
        <w:rPr>
          <w:rFonts w:ascii="Times New Roman" w:hAnsi="Times New Roman" w:cs="Times New Roman"/>
        </w:rPr>
        <w:t>737 F3d 554, 570 (9</w:t>
      </w:r>
      <w:r>
        <w:rPr>
          <w:rFonts w:ascii="Times New Roman" w:hAnsi="Times New Roman" w:cs="Times New Roman"/>
        </w:rPr>
        <w:t>th</w:t>
      </w:r>
      <w:r w:rsidRPr="0089053D">
        <w:rPr>
          <w:rFonts w:ascii="Times New Roman" w:hAnsi="Times New Roman" w:cs="Times New Roman"/>
        </w:rPr>
        <w:t xml:space="preserve"> Cir 2014).</w:t>
      </w:r>
    </w:p>
  </w:footnote>
  <w:footnote w:id="182">
    <w:p w14:paraId="71AA8889" w14:textId="05AC3C3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Stein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_Ref112240481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165</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1357. See also </w:t>
      </w:r>
      <w:r w:rsidRPr="0089053D">
        <w:rPr>
          <w:rFonts w:ascii="Times New Roman" w:hAnsi="Times New Roman" w:cs="Times New Roman"/>
          <w:i/>
        </w:rPr>
        <w:t xml:space="preserve">United States v Dahlstrom, </w:t>
      </w:r>
      <w:r w:rsidRPr="0089053D">
        <w:rPr>
          <w:rFonts w:ascii="Times New Roman" w:hAnsi="Times New Roman" w:cs="Times New Roman"/>
        </w:rPr>
        <w:t>713 F2d 1423 (9</w:t>
      </w:r>
      <w:r>
        <w:rPr>
          <w:rFonts w:ascii="Times New Roman" w:hAnsi="Times New Roman" w:cs="Times New Roman"/>
        </w:rPr>
        <w:t>th</w:t>
      </w:r>
      <w:r w:rsidRPr="0089053D">
        <w:rPr>
          <w:rFonts w:ascii="Times New Roman" w:hAnsi="Times New Roman" w:cs="Times New Roman"/>
        </w:rPr>
        <w:t xml:space="preserve"> Cir 1983).</w:t>
      </w:r>
    </w:p>
  </w:footnote>
  <w:footnote w:id="183">
    <w:p w14:paraId="6410851C" w14:textId="797285AB" w:rsidR="00A0406D" w:rsidRPr="0089053D" w:rsidRDefault="00A0406D" w:rsidP="00360ED4">
      <w:pPr>
        <w:pStyle w:val="FootnoteText"/>
        <w:rPr>
          <w:rFonts w:ascii="Times New Roman" w:hAnsi="Times New Roman" w:cs="Times New Roman"/>
          <w:u w:val="single"/>
        </w:rPr>
      </w:pPr>
      <w:r w:rsidRPr="0089053D">
        <w:rPr>
          <w:rStyle w:val="FootnoteReference"/>
          <w:rFonts w:ascii="Times New Roman" w:hAnsi="Times New Roman" w:cs="Times New Roman"/>
        </w:rPr>
        <w:footnoteRef/>
      </w:r>
      <w:r w:rsidRPr="0089053D">
        <w:rPr>
          <w:rFonts w:ascii="Times New Roman" w:hAnsi="Times New Roman" w:cs="Times New Roman"/>
          <w:i/>
        </w:rPr>
        <w:t xml:space="preserve"> Cheek v United States</w:t>
      </w:r>
      <w:r w:rsidRPr="0089053D">
        <w:rPr>
          <w:rFonts w:ascii="Times New Roman" w:hAnsi="Times New Roman" w:cs="Times New Roman"/>
        </w:rPr>
        <w:t xml:space="preserve">, 498 US 192, 200 (1991) citing </w:t>
      </w:r>
      <w:r w:rsidRPr="0089053D">
        <w:rPr>
          <w:rFonts w:ascii="Times New Roman" w:hAnsi="Times New Roman" w:cs="Times New Roman"/>
          <w:i/>
        </w:rPr>
        <w:t xml:space="preserve">United States v Murdock, </w:t>
      </w:r>
      <w:r w:rsidRPr="0089053D">
        <w:rPr>
          <w:rFonts w:ascii="Times New Roman" w:hAnsi="Times New Roman" w:cs="Times New Roman"/>
        </w:rPr>
        <w:t>290 US 389, 396 (1933).</w:t>
      </w:r>
    </w:p>
  </w:footnote>
  <w:footnote w:id="184">
    <w:p w14:paraId="68CF725D" w14:textId="20B3B2AA"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Cheek v United States</w:t>
      </w:r>
      <w:r w:rsidRPr="0089053D">
        <w:rPr>
          <w:rFonts w:ascii="Times New Roman" w:hAnsi="Times New Roman" w:cs="Times New Roman"/>
        </w:rPr>
        <w:t xml:space="preserve">, 498 US 192, 210 (1991); </w:t>
      </w:r>
      <w:proofErr w:type="spellStart"/>
      <w:r w:rsidRPr="0089053D">
        <w:rPr>
          <w:rFonts w:ascii="Times New Roman" w:hAnsi="Times New Roman" w:cs="Times New Roman"/>
        </w:rPr>
        <w:t>Mirkay</w:t>
      </w:r>
      <w:proofErr w:type="spellEnd"/>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_Ref112240527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170</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1139; MD </w:t>
      </w:r>
      <w:proofErr w:type="spellStart"/>
      <w:r w:rsidRPr="0089053D">
        <w:rPr>
          <w:rFonts w:ascii="Times New Roman" w:hAnsi="Times New Roman" w:cs="Times New Roman"/>
        </w:rPr>
        <w:t>Yochum</w:t>
      </w:r>
      <w:proofErr w:type="spellEnd"/>
      <w:r w:rsidRPr="0089053D">
        <w:rPr>
          <w:rFonts w:ascii="Times New Roman" w:hAnsi="Times New Roman" w:cs="Times New Roman"/>
        </w:rPr>
        <w:t xml:space="preserve">, ‘Cheek is Chic. Ignorance of the Law is an Excuse for Tax Crimes – A Fashion that Does Not Wear Well’ (1993) 31 </w:t>
      </w:r>
      <w:proofErr w:type="spellStart"/>
      <w:r w:rsidRPr="00840834">
        <w:rPr>
          <w:rFonts w:ascii="Times New Roman" w:hAnsi="Times New Roman" w:cs="Times New Roman"/>
          <w:i/>
          <w:iCs/>
        </w:rPr>
        <w:t>Duq</w:t>
      </w:r>
      <w:proofErr w:type="spellEnd"/>
      <w:r w:rsidRPr="00840834">
        <w:rPr>
          <w:rFonts w:ascii="Times New Roman" w:hAnsi="Times New Roman" w:cs="Times New Roman"/>
          <w:i/>
          <w:iCs/>
        </w:rPr>
        <w:t xml:space="preserve"> L</w:t>
      </w:r>
      <w:r>
        <w:rPr>
          <w:rFonts w:ascii="Times New Roman" w:hAnsi="Times New Roman" w:cs="Times New Roman"/>
          <w:i/>
          <w:iCs/>
        </w:rPr>
        <w:t>aw</w:t>
      </w:r>
      <w:r w:rsidRPr="00840834">
        <w:rPr>
          <w:rFonts w:ascii="Times New Roman" w:hAnsi="Times New Roman" w:cs="Times New Roman"/>
          <w:i/>
          <w:iCs/>
        </w:rPr>
        <w:t xml:space="preserve"> Rev</w:t>
      </w:r>
      <w:r>
        <w:rPr>
          <w:rFonts w:ascii="Times New Roman" w:hAnsi="Times New Roman" w:cs="Times New Roman"/>
          <w:i/>
          <w:iCs/>
        </w:rPr>
        <w:t>iew</w:t>
      </w:r>
      <w:r w:rsidRPr="00840834">
        <w:rPr>
          <w:rFonts w:ascii="Times New Roman" w:hAnsi="Times New Roman" w:cs="Times New Roman"/>
          <w:i/>
          <w:iCs/>
        </w:rPr>
        <w:t xml:space="preserve"> </w:t>
      </w:r>
      <w:r w:rsidRPr="0089053D">
        <w:rPr>
          <w:rFonts w:ascii="Times New Roman" w:hAnsi="Times New Roman" w:cs="Times New Roman"/>
        </w:rPr>
        <w:t>249, 253.</w:t>
      </w:r>
    </w:p>
  </w:footnote>
  <w:footnote w:id="185">
    <w:p w14:paraId="796348E7" w14:textId="23A0997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Cheek v United States</w:t>
      </w:r>
      <w:r w:rsidRPr="0089053D">
        <w:rPr>
          <w:rFonts w:ascii="Times New Roman" w:hAnsi="Times New Roman" w:cs="Times New Roman"/>
        </w:rPr>
        <w:t xml:space="preserve">, 498 US 192, 203-4 (1991);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Pensyl</w:t>
      </w:r>
      <w:proofErr w:type="spellEnd"/>
      <w:r w:rsidRPr="0089053D">
        <w:rPr>
          <w:rFonts w:ascii="Times New Roman" w:hAnsi="Times New Roman" w:cs="Times New Roman"/>
          <w:i/>
        </w:rPr>
        <w:t xml:space="preserve">, </w:t>
      </w:r>
      <w:r w:rsidRPr="0089053D">
        <w:rPr>
          <w:rFonts w:ascii="Times New Roman" w:hAnsi="Times New Roman" w:cs="Times New Roman"/>
        </w:rPr>
        <w:t>387 F.3d 456, 459-60 (6</w:t>
      </w:r>
      <w:r>
        <w:rPr>
          <w:rFonts w:ascii="Times New Roman" w:hAnsi="Times New Roman" w:cs="Times New Roman"/>
        </w:rPr>
        <w:t>th</w:t>
      </w:r>
      <w:r w:rsidRPr="0089053D">
        <w:rPr>
          <w:rFonts w:ascii="Times New Roman" w:hAnsi="Times New Roman" w:cs="Times New Roman"/>
        </w:rPr>
        <w:t xml:space="preserve"> Cir. 2004); DE Field, ‘Sincerity &amp; Credibility: The True Concerns in Assessing Willfulness – An Analysis and Criticism of United States v. </w:t>
      </w:r>
      <w:proofErr w:type="spellStart"/>
      <w:r w:rsidRPr="0089053D">
        <w:rPr>
          <w:rFonts w:ascii="Times New Roman" w:hAnsi="Times New Roman" w:cs="Times New Roman"/>
        </w:rPr>
        <w:t>Pensyl</w:t>
      </w:r>
      <w:proofErr w:type="spellEnd"/>
      <w:r w:rsidRPr="0089053D">
        <w:rPr>
          <w:rFonts w:ascii="Times New Roman" w:hAnsi="Times New Roman" w:cs="Times New Roman"/>
        </w:rPr>
        <w:t xml:space="preserve">’ (2005) 59(1) </w:t>
      </w:r>
      <w:r w:rsidRPr="00840834">
        <w:rPr>
          <w:rFonts w:ascii="Times New Roman" w:hAnsi="Times New Roman" w:cs="Times New Roman"/>
          <w:i/>
          <w:iCs/>
        </w:rPr>
        <w:t>Tax Law</w:t>
      </w:r>
      <w:r w:rsidRPr="0089053D">
        <w:rPr>
          <w:rFonts w:ascii="Times New Roman" w:hAnsi="Times New Roman" w:cs="Times New Roman"/>
        </w:rPr>
        <w:t xml:space="preserve"> 283, 294. </w:t>
      </w:r>
    </w:p>
  </w:footnote>
  <w:footnote w:id="186">
    <w:p w14:paraId="70F0AE11" w14:textId="2C2DEF72"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Guidry, </w:t>
      </w:r>
      <w:r w:rsidRPr="0089053D">
        <w:rPr>
          <w:rFonts w:ascii="Times New Roman" w:hAnsi="Times New Roman" w:cs="Times New Roman"/>
        </w:rPr>
        <w:t>199 F.3d 1150, 1157 (10</w:t>
      </w:r>
      <w:r>
        <w:rPr>
          <w:rFonts w:ascii="Times New Roman" w:hAnsi="Times New Roman" w:cs="Times New Roman"/>
        </w:rPr>
        <w:t>th</w:t>
      </w:r>
      <w:r w:rsidRPr="0089053D">
        <w:rPr>
          <w:rFonts w:ascii="Times New Roman" w:hAnsi="Times New Roman" w:cs="Times New Roman"/>
        </w:rPr>
        <w:t xml:space="preserve"> Cir. 1999); </w:t>
      </w:r>
      <w:r w:rsidRPr="0089053D">
        <w:rPr>
          <w:rFonts w:ascii="Times New Roman" w:hAnsi="Times New Roman" w:cs="Times New Roman"/>
          <w:i/>
        </w:rPr>
        <w:t xml:space="preserve">Spies v United States </w:t>
      </w:r>
      <w:r w:rsidRPr="0089053D">
        <w:rPr>
          <w:rFonts w:ascii="Times New Roman" w:hAnsi="Times New Roman" w:cs="Times New Roman"/>
        </w:rPr>
        <w:t>317 US 492, 499 (1943).</w:t>
      </w:r>
    </w:p>
  </w:footnote>
  <w:footnote w:id="187">
    <w:p w14:paraId="5C52AE98" w14:textId="51B8E510"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United States v Lavoie</w:t>
      </w:r>
      <w:r w:rsidRPr="0089053D">
        <w:rPr>
          <w:rFonts w:ascii="Times New Roman" w:hAnsi="Times New Roman" w:cs="Times New Roman"/>
        </w:rPr>
        <w:t>, 433 F3d 95, 98 (1</w:t>
      </w:r>
      <w:r>
        <w:rPr>
          <w:rFonts w:ascii="Times New Roman" w:hAnsi="Times New Roman" w:cs="Times New Roman"/>
        </w:rPr>
        <w:t>st</w:t>
      </w:r>
      <w:r w:rsidRPr="0089053D">
        <w:rPr>
          <w:rFonts w:ascii="Times New Roman" w:hAnsi="Times New Roman" w:cs="Times New Roman"/>
        </w:rPr>
        <w:t xml:space="preserve"> Cir 2005);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Daraio</w:t>
      </w:r>
      <w:proofErr w:type="spellEnd"/>
      <w:r w:rsidRPr="0089053D">
        <w:rPr>
          <w:rFonts w:ascii="Times New Roman" w:hAnsi="Times New Roman" w:cs="Times New Roman"/>
          <w:i/>
        </w:rPr>
        <w:t xml:space="preserve">, </w:t>
      </w:r>
      <w:r w:rsidRPr="0089053D">
        <w:rPr>
          <w:rFonts w:ascii="Times New Roman" w:hAnsi="Times New Roman" w:cs="Times New Roman"/>
        </w:rPr>
        <w:t>445 F3d 253, 264-65 (3</w:t>
      </w:r>
      <w:r>
        <w:rPr>
          <w:rFonts w:ascii="Times New Roman" w:hAnsi="Times New Roman" w:cs="Times New Roman"/>
        </w:rPr>
        <w:t>rd</w:t>
      </w:r>
      <w:r w:rsidRPr="0089053D">
        <w:rPr>
          <w:rFonts w:ascii="Times New Roman" w:hAnsi="Times New Roman" w:cs="Times New Roman"/>
        </w:rPr>
        <w:t xml:space="preserve"> Cir 2006).</w:t>
      </w:r>
    </w:p>
  </w:footnote>
  <w:footnote w:id="188">
    <w:p w14:paraId="6B00F720" w14:textId="33EE6D7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Guidry, </w:t>
      </w:r>
      <w:r w:rsidRPr="0089053D">
        <w:rPr>
          <w:rFonts w:ascii="Times New Roman" w:hAnsi="Times New Roman" w:cs="Times New Roman"/>
        </w:rPr>
        <w:t>199 F3d 1150, 1157</w:t>
      </w:r>
      <w:r>
        <w:rPr>
          <w:rFonts w:ascii="Times New Roman" w:hAnsi="Times New Roman" w:cs="Times New Roman"/>
        </w:rPr>
        <w:t>‒</w:t>
      </w:r>
      <w:r w:rsidRPr="0089053D">
        <w:rPr>
          <w:rFonts w:ascii="Times New Roman" w:hAnsi="Times New Roman" w:cs="Times New Roman"/>
        </w:rPr>
        <w:t>58 (10</w:t>
      </w:r>
      <w:r>
        <w:rPr>
          <w:rFonts w:ascii="Times New Roman" w:hAnsi="Times New Roman" w:cs="Times New Roman"/>
        </w:rPr>
        <w:t>th</w:t>
      </w:r>
      <w:r w:rsidRPr="0089053D">
        <w:rPr>
          <w:rFonts w:ascii="Times New Roman" w:hAnsi="Times New Roman" w:cs="Times New Roman"/>
        </w:rPr>
        <w:t xml:space="preserve"> Cir 1999); </w:t>
      </w:r>
      <w:r w:rsidRPr="0089053D">
        <w:rPr>
          <w:rFonts w:ascii="Times New Roman" w:hAnsi="Times New Roman" w:cs="Times New Roman"/>
          <w:i/>
        </w:rPr>
        <w:t xml:space="preserve">United States v Bok, </w:t>
      </w:r>
      <w:r w:rsidRPr="0089053D">
        <w:rPr>
          <w:rFonts w:ascii="Times New Roman" w:hAnsi="Times New Roman" w:cs="Times New Roman"/>
        </w:rPr>
        <w:t>156 F3d 157, 166 (2</w:t>
      </w:r>
      <w:r>
        <w:rPr>
          <w:rFonts w:ascii="Times New Roman" w:hAnsi="Times New Roman" w:cs="Times New Roman"/>
        </w:rPr>
        <w:t>nd</w:t>
      </w:r>
      <w:r w:rsidRPr="0089053D">
        <w:rPr>
          <w:rFonts w:ascii="Times New Roman" w:hAnsi="Times New Roman" w:cs="Times New Roman"/>
        </w:rPr>
        <w:t xml:space="preserve"> Cir 1983) M Angelo, A Welles </w:t>
      </w:r>
      <w:proofErr w:type="spellStart"/>
      <w:r w:rsidRPr="0089053D">
        <w:rPr>
          <w:rFonts w:ascii="Times New Roman" w:hAnsi="Times New Roman" w:cs="Times New Roman"/>
        </w:rPr>
        <w:t>Hasen</w:t>
      </w:r>
      <w:proofErr w:type="spellEnd"/>
      <w:r w:rsidRPr="0089053D">
        <w:rPr>
          <w:rFonts w:ascii="Times New Roman" w:hAnsi="Times New Roman" w:cs="Times New Roman"/>
        </w:rPr>
        <w:t xml:space="preserve">, U </w:t>
      </w:r>
      <w:proofErr w:type="spellStart"/>
      <w:r w:rsidRPr="0089053D">
        <w:rPr>
          <w:rFonts w:ascii="Times New Roman" w:hAnsi="Times New Roman" w:cs="Times New Roman"/>
        </w:rPr>
        <w:t>Hindberg</w:t>
      </w:r>
      <w:proofErr w:type="spellEnd"/>
      <w:r w:rsidRPr="0089053D">
        <w:rPr>
          <w:rFonts w:ascii="Times New Roman" w:hAnsi="Times New Roman" w:cs="Times New Roman"/>
        </w:rPr>
        <w:t>, R Kesselring</w:t>
      </w:r>
      <w:r>
        <w:rPr>
          <w:rFonts w:ascii="Times New Roman" w:hAnsi="Times New Roman" w:cs="Times New Roman"/>
        </w:rPr>
        <w:t xml:space="preserve"> and</w:t>
      </w:r>
      <w:r w:rsidRPr="0089053D">
        <w:rPr>
          <w:rFonts w:ascii="Times New Roman" w:hAnsi="Times New Roman" w:cs="Times New Roman"/>
        </w:rPr>
        <w:t xml:space="preserve"> H Perlman, ‘Tax Violations’ (2020) 57 </w:t>
      </w:r>
      <w:r w:rsidRPr="00A0406D">
        <w:rPr>
          <w:rFonts w:ascii="Times New Roman" w:hAnsi="Times New Roman" w:cs="Times New Roman"/>
          <w:i/>
          <w:iCs/>
        </w:rPr>
        <w:t>Am Crim L Rev</w:t>
      </w:r>
      <w:r w:rsidRPr="0089053D">
        <w:rPr>
          <w:rFonts w:ascii="Times New Roman" w:hAnsi="Times New Roman" w:cs="Times New Roman"/>
        </w:rPr>
        <w:t xml:space="preserve"> 1349, 1367.</w:t>
      </w:r>
    </w:p>
  </w:footnote>
  <w:footnote w:id="189">
    <w:p w14:paraId="1F1574C6" w14:textId="589E236B"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w:t>
      </w:r>
      <w:proofErr w:type="spellStart"/>
      <w:r w:rsidRPr="0089053D">
        <w:rPr>
          <w:rFonts w:ascii="Times New Roman" w:hAnsi="Times New Roman" w:cs="Times New Roman"/>
          <w:i/>
        </w:rPr>
        <w:t>Jinwright</w:t>
      </w:r>
      <w:proofErr w:type="spellEnd"/>
      <w:r w:rsidRPr="0089053D">
        <w:rPr>
          <w:rFonts w:ascii="Times New Roman" w:hAnsi="Times New Roman" w:cs="Times New Roman"/>
          <w:i/>
        </w:rPr>
        <w:t xml:space="preserve">, </w:t>
      </w:r>
      <w:r w:rsidRPr="0089053D">
        <w:rPr>
          <w:rFonts w:ascii="Times New Roman" w:hAnsi="Times New Roman" w:cs="Times New Roman"/>
        </w:rPr>
        <w:t>683 F.3d 471, 478 (4</w:t>
      </w:r>
      <w:r>
        <w:rPr>
          <w:rFonts w:ascii="Times New Roman" w:hAnsi="Times New Roman" w:cs="Times New Roman"/>
        </w:rPr>
        <w:t>th</w:t>
      </w:r>
      <w:r w:rsidRPr="0089053D">
        <w:rPr>
          <w:rFonts w:ascii="Times New Roman" w:hAnsi="Times New Roman" w:cs="Times New Roman"/>
        </w:rPr>
        <w:t xml:space="preserve"> Cir, 2012).</w:t>
      </w:r>
    </w:p>
  </w:footnote>
  <w:footnote w:id="190">
    <w:p w14:paraId="152D8402" w14:textId="38819C17"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R </w:t>
      </w:r>
      <w:proofErr w:type="spellStart"/>
      <w:r w:rsidRPr="0089053D">
        <w:rPr>
          <w:rFonts w:ascii="Times New Roman" w:hAnsi="Times New Roman" w:cs="Times New Roman"/>
        </w:rPr>
        <w:t>Zuraw</w:t>
      </w:r>
      <w:proofErr w:type="spellEnd"/>
      <w:r w:rsidRPr="0089053D">
        <w:rPr>
          <w:rFonts w:ascii="Times New Roman" w:hAnsi="Times New Roman" w:cs="Times New Roman"/>
        </w:rPr>
        <w:t xml:space="preserve">, ‘Sniping Down Ignorance Claims: The Third Circuit in United States v </w:t>
      </w:r>
      <w:proofErr w:type="spellStart"/>
      <w:r w:rsidRPr="0089053D">
        <w:rPr>
          <w:rFonts w:ascii="Times New Roman" w:hAnsi="Times New Roman" w:cs="Times New Roman"/>
        </w:rPr>
        <w:t>Stadtmauer</w:t>
      </w:r>
      <w:proofErr w:type="spellEnd"/>
      <w:r w:rsidRPr="0089053D">
        <w:rPr>
          <w:rFonts w:ascii="Times New Roman" w:hAnsi="Times New Roman" w:cs="Times New Roman"/>
        </w:rPr>
        <w:t xml:space="preserve"> Upholds Willful Blindness Instructions in Criminal Tax Cases’ (2012) 56(4) </w:t>
      </w:r>
      <w:r w:rsidRPr="00840834">
        <w:rPr>
          <w:rFonts w:ascii="Times New Roman" w:hAnsi="Times New Roman" w:cs="Times New Roman"/>
          <w:i/>
          <w:iCs/>
        </w:rPr>
        <w:t>Villanova L</w:t>
      </w:r>
      <w:r>
        <w:rPr>
          <w:rFonts w:ascii="Times New Roman" w:hAnsi="Times New Roman" w:cs="Times New Roman"/>
          <w:i/>
          <w:iCs/>
        </w:rPr>
        <w:t>aw</w:t>
      </w:r>
      <w:r w:rsidRPr="00840834">
        <w:rPr>
          <w:rFonts w:ascii="Times New Roman" w:hAnsi="Times New Roman" w:cs="Times New Roman"/>
          <w:i/>
          <w:iCs/>
        </w:rPr>
        <w:t xml:space="preserve"> Rev</w:t>
      </w:r>
      <w:r>
        <w:rPr>
          <w:rFonts w:ascii="Times New Roman" w:hAnsi="Times New Roman" w:cs="Times New Roman"/>
          <w:i/>
          <w:iCs/>
        </w:rPr>
        <w:t>iew</w:t>
      </w:r>
      <w:r w:rsidRPr="0089053D">
        <w:rPr>
          <w:rFonts w:ascii="Times New Roman" w:hAnsi="Times New Roman" w:cs="Times New Roman"/>
        </w:rPr>
        <w:t xml:space="preserve"> 779, 801. </w:t>
      </w:r>
    </w:p>
  </w:footnote>
  <w:footnote w:id="191">
    <w:p w14:paraId="2BB94BFB" w14:textId="2EFB902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L Hall and SJ Seligman, ‘Mistake of Law and </w:t>
      </w:r>
      <w:proofErr w:type="spellStart"/>
      <w:r w:rsidRPr="0089053D">
        <w:rPr>
          <w:rFonts w:ascii="Times New Roman" w:hAnsi="Times New Roman" w:cs="Times New Roman"/>
        </w:rPr>
        <w:t>Mens</w:t>
      </w:r>
      <w:proofErr w:type="spellEnd"/>
      <w:r w:rsidRPr="0089053D">
        <w:rPr>
          <w:rFonts w:ascii="Times New Roman" w:hAnsi="Times New Roman" w:cs="Times New Roman"/>
        </w:rPr>
        <w:t xml:space="preserve"> Rea’ (1940) 8 </w:t>
      </w:r>
      <w:r w:rsidRPr="00840834">
        <w:rPr>
          <w:rFonts w:ascii="Times New Roman" w:hAnsi="Times New Roman" w:cs="Times New Roman"/>
          <w:i/>
          <w:iCs/>
        </w:rPr>
        <w:t>U</w:t>
      </w:r>
      <w:r>
        <w:rPr>
          <w:rFonts w:ascii="Times New Roman" w:hAnsi="Times New Roman" w:cs="Times New Roman"/>
          <w:i/>
          <w:iCs/>
        </w:rPr>
        <w:t>niversity of</w:t>
      </w:r>
      <w:r w:rsidRPr="0089053D">
        <w:rPr>
          <w:rFonts w:ascii="Times New Roman" w:hAnsi="Times New Roman" w:cs="Times New Roman"/>
        </w:rPr>
        <w:t xml:space="preserve"> </w:t>
      </w:r>
      <w:r w:rsidRPr="0089053D">
        <w:rPr>
          <w:rFonts w:ascii="Times New Roman" w:hAnsi="Times New Roman" w:cs="Times New Roman"/>
          <w:i/>
        </w:rPr>
        <w:t>Chi</w:t>
      </w:r>
      <w:r>
        <w:rPr>
          <w:rFonts w:ascii="Times New Roman" w:hAnsi="Times New Roman" w:cs="Times New Roman"/>
          <w:i/>
        </w:rPr>
        <w:t>cago</w:t>
      </w:r>
      <w:r w:rsidRPr="0089053D">
        <w:rPr>
          <w:rFonts w:ascii="Times New Roman" w:hAnsi="Times New Roman" w:cs="Times New Roman"/>
          <w:i/>
        </w:rPr>
        <w:t xml:space="preserve"> L</w:t>
      </w:r>
      <w:r>
        <w:rPr>
          <w:rFonts w:ascii="Times New Roman" w:hAnsi="Times New Roman" w:cs="Times New Roman"/>
          <w:i/>
        </w:rPr>
        <w:t>aw</w:t>
      </w:r>
      <w:r w:rsidRPr="0089053D">
        <w:rPr>
          <w:rFonts w:ascii="Times New Roman" w:hAnsi="Times New Roman" w:cs="Times New Roman"/>
          <w:i/>
        </w:rPr>
        <w:t xml:space="preserve"> Rev</w:t>
      </w:r>
      <w:r>
        <w:rPr>
          <w:rFonts w:ascii="Times New Roman" w:hAnsi="Times New Roman" w:cs="Times New Roman"/>
          <w:i/>
        </w:rPr>
        <w:t>iew</w:t>
      </w:r>
      <w:r w:rsidRPr="0089053D">
        <w:rPr>
          <w:rFonts w:ascii="Times New Roman" w:hAnsi="Times New Roman" w:cs="Times New Roman"/>
        </w:rPr>
        <w:t xml:space="preserve"> 641, 652. </w:t>
      </w:r>
    </w:p>
  </w:footnote>
  <w:footnote w:id="192">
    <w:p w14:paraId="7935C0BB" w14:textId="4A140B9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SW Buell, ‘Good Faith and Law Evasion’ (2011) 58(3) </w:t>
      </w:r>
      <w:r w:rsidRPr="00840834">
        <w:rPr>
          <w:rFonts w:ascii="Times New Roman" w:hAnsi="Times New Roman" w:cs="Times New Roman"/>
          <w:i/>
          <w:iCs/>
        </w:rPr>
        <w:t>UCLA Law Review</w:t>
      </w:r>
      <w:r w:rsidRPr="0089053D">
        <w:rPr>
          <w:rFonts w:ascii="Times New Roman" w:hAnsi="Times New Roman" w:cs="Times New Roman"/>
        </w:rPr>
        <w:t xml:space="preserve"> 611, 642</w:t>
      </w:r>
      <w:r>
        <w:rPr>
          <w:rFonts w:ascii="Times New Roman" w:hAnsi="Times New Roman" w:cs="Times New Roman"/>
        </w:rPr>
        <w:t>‒</w:t>
      </w:r>
      <w:r w:rsidRPr="0089053D">
        <w:rPr>
          <w:rFonts w:ascii="Times New Roman" w:hAnsi="Times New Roman" w:cs="Times New Roman"/>
        </w:rPr>
        <w:t>43.</w:t>
      </w:r>
    </w:p>
  </w:footnote>
  <w:footnote w:id="193">
    <w:p w14:paraId="1AB9DA62" w14:textId="00CD1026"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Pr>
          <w:rFonts w:ascii="Times New Roman" w:hAnsi="Times New Roman" w:cs="Times New Roman"/>
        </w:rPr>
        <w:t>i</w:t>
      </w:r>
      <w:r w:rsidRPr="00A0406D">
        <w:rPr>
          <w:rFonts w:ascii="Times New Roman" w:hAnsi="Times New Roman" w:cs="Times New Roman"/>
        </w:rPr>
        <w:t>bid</w:t>
      </w:r>
      <w:r w:rsidRPr="0089053D">
        <w:rPr>
          <w:rFonts w:ascii="Times New Roman" w:hAnsi="Times New Roman" w:cs="Times New Roman"/>
        </w:rPr>
        <w:t xml:space="preserve">, 643. </w:t>
      </w:r>
    </w:p>
  </w:footnote>
  <w:footnote w:id="194">
    <w:p w14:paraId="0E2DFD6C" w14:textId="47C113C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w:t>
      </w:r>
      <w:r w:rsidRPr="0089053D">
        <w:rPr>
          <w:rFonts w:ascii="Times New Roman" w:hAnsi="Times New Roman" w:cs="Times New Roman"/>
          <w:i/>
        </w:rPr>
        <w:t xml:space="preserve">United States v Solomon, </w:t>
      </w:r>
      <w:r w:rsidRPr="0089053D">
        <w:rPr>
          <w:rFonts w:ascii="Times New Roman" w:hAnsi="Times New Roman" w:cs="Times New Roman"/>
        </w:rPr>
        <w:t>825 F2d 1292, 1297-98 (9</w:t>
      </w:r>
      <w:r>
        <w:rPr>
          <w:rFonts w:ascii="Times New Roman" w:hAnsi="Times New Roman" w:cs="Times New Roman"/>
        </w:rPr>
        <w:t>th</w:t>
      </w:r>
      <w:r w:rsidRPr="0089053D">
        <w:rPr>
          <w:rFonts w:ascii="Times New Roman" w:hAnsi="Times New Roman" w:cs="Times New Roman"/>
        </w:rPr>
        <w:t xml:space="preserve"> Cir 1987); </w:t>
      </w:r>
      <w:r w:rsidRPr="0089053D">
        <w:rPr>
          <w:rFonts w:ascii="Times New Roman" w:hAnsi="Times New Roman" w:cs="Times New Roman"/>
          <w:i/>
        </w:rPr>
        <w:t xml:space="preserve">United States v Smith, </w:t>
      </w:r>
      <w:r w:rsidRPr="0089053D">
        <w:rPr>
          <w:rFonts w:ascii="Times New Roman" w:hAnsi="Times New Roman" w:cs="Times New Roman"/>
        </w:rPr>
        <w:t>424 F3d 992 (9</w:t>
      </w:r>
      <w:r>
        <w:rPr>
          <w:rFonts w:ascii="Times New Roman" w:hAnsi="Times New Roman" w:cs="Times New Roman"/>
        </w:rPr>
        <w:t>th</w:t>
      </w:r>
      <w:r w:rsidRPr="0089053D">
        <w:rPr>
          <w:rFonts w:ascii="Times New Roman" w:hAnsi="Times New Roman" w:cs="Times New Roman"/>
        </w:rPr>
        <w:t xml:space="preserve"> Cir 2005). Department of Justice</w:t>
      </w:r>
      <w:r w:rsidRPr="0089053D">
        <w:rPr>
          <w:rFonts w:ascii="Times New Roman" w:hAnsi="Times New Roman" w:cs="Times New Roman"/>
          <w:i/>
        </w:rPr>
        <w:t>, Criminal Tax Manual</w:t>
      </w:r>
      <w:r w:rsidRPr="0089053D">
        <w:rPr>
          <w:rFonts w:ascii="Times New Roman" w:hAnsi="Times New Roman" w:cs="Times New Roman"/>
        </w:rPr>
        <w:t xml:space="preserve"> (16 November 2020), §13.07.</w:t>
      </w:r>
    </w:p>
  </w:footnote>
  <w:footnote w:id="195">
    <w:p w14:paraId="155FD0A9" w14:textId="011C3189" w:rsidR="00A0406D" w:rsidRPr="0089053D" w:rsidRDefault="00A0406D" w:rsidP="00360ED4">
      <w:pPr>
        <w:pStyle w:val="FootnoteText"/>
        <w:rPr>
          <w:rFonts w:ascii="Times New Roman" w:hAnsi="Times New Roman" w:cs="Times New Roman"/>
          <w:i/>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 xml:space="preserve">United States v Kay, </w:t>
      </w:r>
      <w:r w:rsidRPr="0089053D">
        <w:rPr>
          <w:rFonts w:ascii="Times New Roman" w:hAnsi="Times New Roman" w:cs="Times New Roman"/>
        </w:rPr>
        <w:t>513 F.3d 432, 447 (5</w:t>
      </w:r>
      <w:r>
        <w:rPr>
          <w:rFonts w:ascii="Times New Roman" w:hAnsi="Times New Roman" w:cs="Times New Roman"/>
        </w:rPr>
        <w:t>th</w:t>
      </w:r>
      <w:r w:rsidRPr="0089053D">
        <w:rPr>
          <w:rFonts w:ascii="Times New Roman" w:hAnsi="Times New Roman" w:cs="Times New Roman"/>
        </w:rPr>
        <w:t xml:space="preserve"> Cir. 2007); </w:t>
      </w:r>
      <w:r w:rsidRPr="0089053D">
        <w:rPr>
          <w:rFonts w:ascii="Times New Roman" w:hAnsi="Times New Roman" w:cs="Times New Roman"/>
          <w:i/>
        </w:rPr>
        <w:t xml:space="preserve">United States v Skilling, </w:t>
      </w:r>
      <w:r w:rsidRPr="0089053D">
        <w:rPr>
          <w:rFonts w:ascii="Times New Roman" w:hAnsi="Times New Roman" w:cs="Times New Roman"/>
        </w:rPr>
        <w:t>554 F.3d 529, 548-49 (5</w:t>
      </w:r>
      <w:r>
        <w:rPr>
          <w:rFonts w:ascii="Times New Roman" w:hAnsi="Times New Roman" w:cs="Times New Roman"/>
        </w:rPr>
        <w:t>th</w:t>
      </w:r>
      <w:r w:rsidRPr="0089053D">
        <w:rPr>
          <w:rFonts w:ascii="Times New Roman" w:hAnsi="Times New Roman" w:cs="Times New Roman"/>
        </w:rPr>
        <w:t xml:space="preserve"> Cir 2009); </w:t>
      </w:r>
      <w:proofErr w:type="spellStart"/>
      <w:r w:rsidRPr="0089053D">
        <w:rPr>
          <w:rFonts w:ascii="Times New Roman" w:hAnsi="Times New Roman" w:cs="Times New Roman"/>
        </w:rPr>
        <w:t>Szott</w:t>
      </w:r>
      <w:proofErr w:type="spellEnd"/>
      <w:r w:rsidRPr="0089053D">
        <w:rPr>
          <w:rFonts w:ascii="Times New Roman" w:hAnsi="Times New Roman" w:cs="Times New Roman"/>
        </w:rPr>
        <w:t xml:space="preserve"> </w:t>
      </w:r>
      <w:proofErr w:type="spellStart"/>
      <w:r w:rsidRPr="0089053D">
        <w:rPr>
          <w:rFonts w:ascii="Times New Roman" w:hAnsi="Times New Roman" w:cs="Times New Roman"/>
        </w:rPr>
        <w:t>Moohr</w:t>
      </w:r>
      <w:proofErr w:type="spellEnd"/>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_Ref112240038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117</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212. </w:t>
      </w:r>
    </w:p>
  </w:footnote>
  <w:footnote w:id="196">
    <w:p w14:paraId="17D48E42" w14:textId="6ABC6E5E"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In </w:t>
      </w:r>
      <w:proofErr w:type="spellStart"/>
      <w:r w:rsidRPr="0089053D">
        <w:rPr>
          <w:rFonts w:ascii="Times New Roman" w:hAnsi="Times New Roman" w:cs="Times New Roman"/>
          <w:i/>
        </w:rPr>
        <w:t>Ratzlaf</w:t>
      </w:r>
      <w:proofErr w:type="spellEnd"/>
      <w:r w:rsidRPr="0089053D">
        <w:rPr>
          <w:rFonts w:ascii="Times New Roman" w:hAnsi="Times New Roman" w:cs="Times New Roman"/>
          <w:i/>
        </w:rPr>
        <w:t xml:space="preserve"> v United States, </w:t>
      </w:r>
      <w:r w:rsidRPr="0089053D">
        <w:rPr>
          <w:rFonts w:ascii="Times New Roman" w:hAnsi="Times New Roman" w:cs="Times New Roman"/>
        </w:rPr>
        <w:t>510 US 135, 144</w:t>
      </w:r>
      <w:r>
        <w:rPr>
          <w:rFonts w:ascii="Times New Roman" w:hAnsi="Times New Roman" w:cs="Times New Roman"/>
        </w:rPr>
        <w:t>‒</w:t>
      </w:r>
      <w:r w:rsidRPr="0089053D">
        <w:rPr>
          <w:rFonts w:ascii="Times New Roman" w:hAnsi="Times New Roman" w:cs="Times New Roman"/>
        </w:rPr>
        <w:t xml:space="preserve">149 (1994) the Supreme Court held ‘we are unpersuaded by the argument that structuring is so obviously “evil” or “inherently bad” that the “willfulness” requirement is satisfied irrespective of the defendant’s knowledge of the illegality’, Congress later amended 31 USC § 5324 to reverse this decision. I </w:t>
      </w:r>
      <w:proofErr w:type="spellStart"/>
      <w:r w:rsidRPr="0089053D">
        <w:rPr>
          <w:rFonts w:ascii="Times New Roman" w:hAnsi="Times New Roman" w:cs="Times New Roman"/>
        </w:rPr>
        <w:t>Comisky</w:t>
      </w:r>
      <w:proofErr w:type="spellEnd"/>
      <w:r w:rsidRPr="0089053D">
        <w:rPr>
          <w:rFonts w:ascii="Times New Roman" w:hAnsi="Times New Roman" w:cs="Times New Roman"/>
        </w:rPr>
        <w:t>, L Feld</w:t>
      </w:r>
      <w:r>
        <w:rPr>
          <w:rFonts w:ascii="Times New Roman" w:hAnsi="Times New Roman" w:cs="Times New Roman"/>
        </w:rPr>
        <w:t xml:space="preserve"> and</w:t>
      </w:r>
      <w:r w:rsidRPr="0089053D">
        <w:rPr>
          <w:rFonts w:ascii="Times New Roman" w:hAnsi="Times New Roman" w:cs="Times New Roman"/>
        </w:rPr>
        <w:t xml:space="preserve"> S Harris, </w:t>
      </w:r>
      <w:r w:rsidRPr="0089053D">
        <w:rPr>
          <w:rFonts w:ascii="Times New Roman" w:hAnsi="Times New Roman" w:cs="Times New Roman"/>
          <w:i/>
        </w:rPr>
        <w:t>Tax Fraud &amp; Evasion: Offenses, Trials, Civil Penalties</w:t>
      </w:r>
      <w:r w:rsidRPr="0089053D">
        <w:rPr>
          <w:rFonts w:ascii="Times New Roman" w:hAnsi="Times New Roman" w:cs="Times New Roman"/>
        </w:rPr>
        <w:t xml:space="preserve"> [Vol 2] (Thomson Reuters, 2020) at § 11.06[2][b].</w:t>
      </w:r>
    </w:p>
  </w:footnote>
  <w:footnote w:id="197">
    <w:p w14:paraId="5062298E" w14:textId="104CFB7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eg</w:t>
      </w:r>
      <w:proofErr w:type="spellEnd"/>
      <w:r>
        <w:rPr>
          <w:rFonts w:ascii="Times New Roman" w:hAnsi="Times New Roman" w:cs="Times New Roman"/>
        </w:rPr>
        <w:t>,</w:t>
      </w:r>
      <w:r w:rsidRPr="0089053D">
        <w:rPr>
          <w:rFonts w:ascii="Times New Roman" w:hAnsi="Times New Roman" w:cs="Times New Roman"/>
        </w:rPr>
        <w:t xml:space="preserve"> </w:t>
      </w:r>
      <w:r w:rsidRPr="0089053D">
        <w:rPr>
          <w:rFonts w:ascii="Times New Roman" w:hAnsi="Times New Roman" w:cs="Times New Roman"/>
          <w:i/>
        </w:rPr>
        <w:t>United States v Horowitz</w:t>
      </w:r>
      <w:r w:rsidRPr="0089053D">
        <w:rPr>
          <w:rFonts w:ascii="Times New Roman" w:hAnsi="Times New Roman" w:cs="Times New Roman"/>
        </w:rPr>
        <w:t>, 978 F.3d 80, 88 (4</w:t>
      </w:r>
      <w:r>
        <w:rPr>
          <w:rFonts w:ascii="Times New Roman" w:hAnsi="Times New Roman" w:cs="Times New Roman"/>
        </w:rPr>
        <w:t>th</w:t>
      </w:r>
      <w:r w:rsidRPr="0089053D">
        <w:rPr>
          <w:rFonts w:ascii="Times New Roman" w:hAnsi="Times New Roman" w:cs="Times New Roman"/>
        </w:rPr>
        <w:t xml:space="preserve"> Cir 2020).</w:t>
      </w:r>
    </w:p>
  </w:footnote>
  <w:footnote w:id="198">
    <w:p w14:paraId="60E11389" w14:textId="5556CBC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r w:rsidRPr="0089053D">
        <w:rPr>
          <w:rFonts w:ascii="Times New Roman" w:hAnsi="Times New Roman" w:cs="Times New Roman"/>
          <w:i/>
        </w:rPr>
        <w:t>Spies v United States</w:t>
      </w:r>
      <w:r w:rsidRPr="0089053D">
        <w:rPr>
          <w:rFonts w:ascii="Times New Roman" w:hAnsi="Times New Roman" w:cs="Times New Roman"/>
        </w:rPr>
        <w:t xml:space="preserve">, 317 US 492, 496 (1943); </w:t>
      </w:r>
      <w:r w:rsidRPr="0089053D">
        <w:rPr>
          <w:rFonts w:ascii="Times New Roman" w:hAnsi="Times New Roman" w:cs="Times New Roman"/>
          <w:i/>
        </w:rPr>
        <w:t>United States v Bishop</w:t>
      </w:r>
      <w:r w:rsidRPr="0089053D">
        <w:rPr>
          <w:rFonts w:ascii="Times New Roman" w:hAnsi="Times New Roman" w:cs="Times New Roman"/>
        </w:rPr>
        <w:t xml:space="preserve">, 412 US 346, 360 (1973); </w:t>
      </w:r>
      <w:proofErr w:type="spellStart"/>
      <w:r w:rsidRPr="0089053D">
        <w:rPr>
          <w:rFonts w:ascii="Times New Roman" w:hAnsi="Times New Roman" w:cs="Times New Roman"/>
          <w:i/>
        </w:rPr>
        <w:t>Ratzlaf</w:t>
      </w:r>
      <w:proofErr w:type="spellEnd"/>
      <w:r w:rsidRPr="0089053D">
        <w:rPr>
          <w:rFonts w:ascii="Times New Roman" w:hAnsi="Times New Roman" w:cs="Times New Roman"/>
          <w:i/>
        </w:rPr>
        <w:t xml:space="preserve"> v United States, </w:t>
      </w:r>
      <w:r w:rsidRPr="0089053D">
        <w:rPr>
          <w:rFonts w:ascii="Times New Roman" w:hAnsi="Times New Roman" w:cs="Times New Roman"/>
        </w:rPr>
        <w:t>510 US 135, 149 (1994).</w:t>
      </w:r>
    </w:p>
  </w:footnote>
  <w:footnote w:id="199">
    <w:p w14:paraId="35B75EA3" w14:textId="47655E1C"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w:t>
      </w:r>
      <w:proofErr w:type="spellStart"/>
      <w:r w:rsidRPr="0089053D">
        <w:rPr>
          <w:rFonts w:ascii="Times New Roman" w:hAnsi="Times New Roman" w:cs="Times New Roman"/>
        </w:rPr>
        <w:t>n</w:t>
      </w:r>
      <w:proofErr w:type="spellEnd"/>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_Ref111804813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195</w:t>
      </w:r>
      <w:r w:rsidRPr="0089053D">
        <w:rPr>
          <w:rFonts w:ascii="Times New Roman" w:hAnsi="Times New Roman" w:cs="Times New Roman"/>
        </w:rPr>
        <w:fldChar w:fldCharType="end"/>
      </w:r>
      <w:r w:rsidRPr="0089053D">
        <w:rPr>
          <w:rFonts w:ascii="Times New Roman" w:hAnsi="Times New Roman" w:cs="Times New Roman"/>
        </w:rPr>
        <w:t xml:space="preserve">. </w:t>
      </w:r>
    </w:p>
  </w:footnote>
  <w:footnote w:id="200">
    <w:p w14:paraId="56B67452" w14:textId="041EEC58"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Congress intended the term </w:t>
      </w:r>
      <w:proofErr w:type="spellStart"/>
      <w:r w:rsidRPr="0089053D">
        <w:rPr>
          <w:rFonts w:ascii="Times New Roman" w:hAnsi="Times New Roman" w:cs="Times New Roman"/>
        </w:rPr>
        <w:t>wilfully</w:t>
      </w:r>
      <w:proofErr w:type="spellEnd"/>
      <w:r w:rsidRPr="0089053D">
        <w:rPr>
          <w:rFonts w:ascii="Times New Roman" w:hAnsi="Times New Roman" w:cs="Times New Roman"/>
        </w:rPr>
        <w:t xml:space="preserve"> in the Child Support Recovery Act, 18 USC § 228 (1994) to be afforded the same interpretation as for tax offences. SL Davies, ‘The Jurisprudence of Willfulness: An Evolving Theory of Excusable Ignorance’ (1998) 48(3) </w:t>
      </w:r>
      <w:r w:rsidRPr="0089053D">
        <w:rPr>
          <w:rFonts w:ascii="Times New Roman" w:hAnsi="Times New Roman" w:cs="Times New Roman"/>
          <w:i/>
        </w:rPr>
        <w:t>Duke Law Journal</w:t>
      </w:r>
      <w:r w:rsidRPr="0089053D">
        <w:rPr>
          <w:rFonts w:ascii="Times New Roman" w:hAnsi="Times New Roman" w:cs="Times New Roman"/>
        </w:rPr>
        <w:t xml:space="preserve"> 341, 405.</w:t>
      </w:r>
    </w:p>
  </w:footnote>
  <w:footnote w:id="201">
    <w:p w14:paraId="30995737" w14:textId="241B168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As it is in the UK, owing to </w:t>
      </w:r>
      <w:r w:rsidRPr="0089053D">
        <w:rPr>
          <w:rFonts w:ascii="Times New Roman" w:hAnsi="Times New Roman" w:cs="Times New Roman"/>
          <w:i/>
        </w:rPr>
        <w:t xml:space="preserve">Feely </w:t>
      </w:r>
      <w:r w:rsidRPr="0089053D">
        <w:rPr>
          <w:rFonts w:ascii="Times New Roman" w:hAnsi="Times New Roman" w:cs="Times New Roman"/>
        </w:rPr>
        <w:t>[1973] QB 530 (CA).</w:t>
      </w:r>
    </w:p>
  </w:footnote>
  <w:footnote w:id="202">
    <w:p w14:paraId="03173923" w14:textId="64663E1F"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Szott</w:t>
      </w:r>
      <w:proofErr w:type="spellEnd"/>
      <w:r w:rsidRPr="0089053D">
        <w:rPr>
          <w:rFonts w:ascii="Times New Roman" w:hAnsi="Times New Roman" w:cs="Times New Roman"/>
        </w:rPr>
        <w:t xml:space="preserve"> </w:t>
      </w:r>
      <w:proofErr w:type="spellStart"/>
      <w:r w:rsidRPr="0089053D">
        <w:rPr>
          <w:rFonts w:ascii="Times New Roman" w:hAnsi="Times New Roman" w:cs="Times New Roman"/>
        </w:rPr>
        <w:t>Moohr</w:t>
      </w:r>
      <w:proofErr w:type="spellEnd"/>
      <w:r w:rsidRPr="0089053D">
        <w:rPr>
          <w:rFonts w:ascii="Times New Roman" w:hAnsi="Times New Roman" w:cs="Times New Roman"/>
        </w:rPr>
        <w:t xml:space="preserve">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_Ref112240038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117</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209.</w:t>
      </w:r>
    </w:p>
  </w:footnote>
  <w:footnote w:id="203">
    <w:p w14:paraId="4BC8DDED" w14:textId="1677D5D5"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Law Commission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_Ref112245505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39</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w:t>
      </w:r>
    </w:p>
  </w:footnote>
  <w:footnote w:id="204">
    <w:p w14:paraId="6446D9D7" w14:textId="52ECB621"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w:t>
      </w:r>
      <w:proofErr w:type="spellStart"/>
      <w:r w:rsidRPr="0089053D">
        <w:rPr>
          <w:rFonts w:ascii="Times New Roman" w:hAnsi="Times New Roman" w:cs="Times New Roman"/>
        </w:rPr>
        <w:t>Alldridge</w:t>
      </w:r>
      <w:proofErr w:type="spellEnd"/>
      <w:r w:rsidRPr="0089053D">
        <w:rPr>
          <w:rFonts w:ascii="Times New Roman" w:hAnsi="Times New Roman" w:cs="Times New Roman"/>
        </w:rPr>
        <w:t xml:space="preserve"> identifies several options for reform </w:t>
      </w:r>
      <w:r>
        <w:rPr>
          <w:rFonts w:ascii="Times New Roman" w:hAnsi="Times New Roman" w:cs="Times New Roman"/>
        </w:rPr>
        <w:t>(</w:t>
      </w:r>
      <w:r w:rsidRPr="0089053D">
        <w:rPr>
          <w:rFonts w:ascii="Times New Roman" w:hAnsi="Times New Roman" w:cs="Times New Roman"/>
        </w:rPr>
        <w:t>n</w:t>
      </w:r>
      <w:r>
        <w:rPr>
          <w:rFonts w:ascii="Times New Roman" w:hAnsi="Times New Roman" w:cs="Times New Roman"/>
        </w:rPr>
        <w:t xml:space="preserve"> </w:t>
      </w:r>
      <w:r w:rsidRPr="0089053D">
        <w:rPr>
          <w:rFonts w:ascii="Times New Roman" w:hAnsi="Times New Roman" w:cs="Times New Roman"/>
        </w:rPr>
        <w:fldChar w:fldCharType="begin"/>
      </w:r>
      <w:r w:rsidRPr="0089053D">
        <w:rPr>
          <w:rFonts w:ascii="Times New Roman" w:hAnsi="Times New Roman" w:cs="Times New Roman"/>
        </w:rPr>
        <w:instrText xml:space="preserve"> NOTEREF _Ref112743454 \h  \* MERGEFORMAT </w:instrText>
      </w:r>
      <w:r w:rsidRPr="0089053D">
        <w:rPr>
          <w:rFonts w:ascii="Times New Roman" w:hAnsi="Times New Roman" w:cs="Times New Roman"/>
        </w:rPr>
      </w:r>
      <w:r w:rsidRPr="0089053D">
        <w:rPr>
          <w:rFonts w:ascii="Times New Roman" w:hAnsi="Times New Roman" w:cs="Times New Roman"/>
        </w:rPr>
        <w:fldChar w:fldCharType="separate"/>
      </w:r>
      <w:r w:rsidRPr="0089053D">
        <w:rPr>
          <w:rFonts w:ascii="Times New Roman" w:hAnsi="Times New Roman" w:cs="Times New Roman"/>
        </w:rPr>
        <w:t>13</w:t>
      </w:r>
      <w:r w:rsidRPr="0089053D">
        <w:rPr>
          <w:rFonts w:ascii="Times New Roman" w:hAnsi="Times New Roman" w:cs="Times New Roman"/>
        </w:rPr>
        <w:fldChar w:fldCharType="end"/>
      </w:r>
      <w:r>
        <w:rPr>
          <w:rFonts w:ascii="Times New Roman" w:hAnsi="Times New Roman" w:cs="Times New Roman"/>
        </w:rPr>
        <w:t>)</w:t>
      </w:r>
      <w:r w:rsidRPr="0089053D">
        <w:rPr>
          <w:rFonts w:ascii="Times New Roman" w:hAnsi="Times New Roman" w:cs="Times New Roman"/>
        </w:rPr>
        <w:t xml:space="preserve"> 69. </w:t>
      </w:r>
    </w:p>
  </w:footnote>
  <w:footnote w:id="205">
    <w:p w14:paraId="64C72AD9" w14:textId="064520A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See generally, U Turksen, ‘The Importance of a Common Definition of Tax Crime and its Impact on Criminal Countermeasures in the EU: An Explorative Study’ (2020) 20 </w:t>
      </w:r>
      <w:r w:rsidRPr="0089053D">
        <w:rPr>
          <w:rFonts w:ascii="Times New Roman" w:hAnsi="Times New Roman" w:cs="Times New Roman"/>
          <w:i/>
        </w:rPr>
        <w:t>European Law Enforcement Research Bulletin</w:t>
      </w:r>
      <w:r w:rsidRPr="0089053D">
        <w:rPr>
          <w:rFonts w:ascii="Times New Roman" w:hAnsi="Times New Roman" w:cs="Times New Roman"/>
        </w:rPr>
        <w:t xml:space="preserve"> 91.</w:t>
      </w:r>
    </w:p>
  </w:footnote>
  <w:footnote w:id="206">
    <w:p w14:paraId="538AC27A" w14:textId="0CD40C84" w:rsidR="00A0406D" w:rsidRPr="0089053D" w:rsidRDefault="00A0406D" w:rsidP="00360ED4">
      <w:pPr>
        <w:pStyle w:val="FootnoteText"/>
        <w:rPr>
          <w:rFonts w:ascii="Times New Roman" w:hAnsi="Times New Roman" w:cs="Times New Roman"/>
        </w:rPr>
      </w:pPr>
      <w:r w:rsidRPr="0089053D">
        <w:rPr>
          <w:rStyle w:val="FootnoteReference"/>
          <w:rFonts w:ascii="Times New Roman" w:hAnsi="Times New Roman" w:cs="Times New Roman"/>
        </w:rPr>
        <w:footnoteRef/>
      </w:r>
      <w:r w:rsidRPr="0089053D">
        <w:rPr>
          <w:rFonts w:ascii="Times New Roman" w:hAnsi="Times New Roman" w:cs="Times New Roman"/>
        </w:rPr>
        <w:t xml:space="preserve"> J </w:t>
      </w:r>
      <w:proofErr w:type="spellStart"/>
      <w:r w:rsidRPr="0089053D">
        <w:rPr>
          <w:rFonts w:ascii="Times New Roman" w:hAnsi="Times New Roman" w:cs="Times New Roman"/>
        </w:rPr>
        <w:t>Roording</w:t>
      </w:r>
      <w:proofErr w:type="spellEnd"/>
      <w:r w:rsidRPr="0089053D">
        <w:rPr>
          <w:rFonts w:ascii="Times New Roman" w:hAnsi="Times New Roman" w:cs="Times New Roman"/>
        </w:rPr>
        <w:t xml:space="preserve">, ‘The Punishment of Tax Fraud’ [1996] </w:t>
      </w:r>
      <w:r w:rsidRPr="00840834">
        <w:rPr>
          <w:rFonts w:ascii="Times New Roman" w:hAnsi="Times New Roman" w:cs="Times New Roman"/>
          <w:i/>
          <w:iCs/>
        </w:rPr>
        <w:t>Crim</w:t>
      </w:r>
      <w:r>
        <w:rPr>
          <w:rFonts w:ascii="Times New Roman" w:hAnsi="Times New Roman" w:cs="Times New Roman"/>
          <w:i/>
          <w:iCs/>
        </w:rPr>
        <w:t xml:space="preserve"> </w:t>
      </w:r>
      <w:r w:rsidRPr="00840834">
        <w:rPr>
          <w:rFonts w:ascii="Times New Roman" w:hAnsi="Times New Roman" w:cs="Times New Roman"/>
          <w:i/>
          <w:iCs/>
        </w:rPr>
        <w:t>LR</w:t>
      </w:r>
      <w:r w:rsidRPr="0089053D">
        <w:rPr>
          <w:rFonts w:ascii="Times New Roman" w:hAnsi="Times New Roman" w:cs="Times New Roman"/>
        </w:rPr>
        <w:t xml:space="preserve"> 240, 248.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3A6793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C2C2164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DD4980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8E0093A"/>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79EB20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3C43372"/>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02553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0DEA072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5764208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9087F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6A88439B"/>
    <w:multiLevelType w:val="hybridMultilevel"/>
    <w:tmpl w:val="77FC7B8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F974847"/>
    <w:multiLevelType w:val="hybridMultilevel"/>
    <w:tmpl w:val="1116CE1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0"/>
  </w:num>
  <w:num w:numId="2">
    <w:abstractNumId w:val="11"/>
  </w:num>
  <w:num w:numId="3">
    <w:abstractNumId w:val="9"/>
  </w:num>
  <w:num w:numId="4">
    <w:abstractNumId w:val="7"/>
  </w:num>
  <w:num w:numId="5">
    <w:abstractNumId w:val="6"/>
  </w:num>
  <w:num w:numId="6">
    <w:abstractNumId w:val="5"/>
  </w:num>
  <w:num w:numId="7">
    <w:abstractNumId w:val="4"/>
  </w:num>
  <w:num w:numId="8">
    <w:abstractNumId w:val="8"/>
  </w:num>
  <w:num w:numId="9">
    <w:abstractNumId w:val="3"/>
  </w:num>
  <w:num w:numId="10">
    <w:abstractNumId w:val="2"/>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50"/>
  <w:proofState w:spelling="clean" w:grammar="clean"/>
  <w:attachedTemplate r:id="rId1"/>
  <w:linkStyl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08ED"/>
    <w:rsid w:val="0000085E"/>
    <w:rsid w:val="00010B72"/>
    <w:rsid w:val="0001279C"/>
    <w:rsid w:val="00014BF8"/>
    <w:rsid w:val="000227BC"/>
    <w:rsid w:val="00023908"/>
    <w:rsid w:val="00023C41"/>
    <w:rsid w:val="00033042"/>
    <w:rsid w:val="00033830"/>
    <w:rsid w:val="00034637"/>
    <w:rsid w:val="000353C4"/>
    <w:rsid w:val="00037539"/>
    <w:rsid w:val="00042F83"/>
    <w:rsid w:val="0005013C"/>
    <w:rsid w:val="00052DCE"/>
    <w:rsid w:val="000536DE"/>
    <w:rsid w:val="00060B27"/>
    <w:rsid w:val="00061D86"/>
    <w:rsid w:val="000631BF"/>
    <w:rsid w:val="000636BB"/>
    <w:rsid w:val="000677D8"/>
    <w:rsid w:val="0007227A"/>
    <w:rsid w:val="00073F0E"/>
    <w:rsid w:val="000765E8"/>
    <w:rsid w:val="000779E2"/>
    <w:rsid w:val="00081575"/>
    <w:rsid w:val="00083A33"/>
    <w:rsid w:val="00090E48"/>
    <w:rsid w:val="00090F3F"/>
    <w:rsid w:val="000915A6"/>
    <w:rsid w:val="000A074C"/>
    <w:rsid w:val="000A4192"/>
    <w:rsid w:val="000B076F"/>
    <w:rsid w:val="000B1F07"/>
    <w:rsid w:val="000B2D16"/>
    <w:rsid w:val="000B7BF8"/>
    <w:rsid w:val="000C4C01"/>
    <w:rsid w:val="000C7E20"/>
    <w:rsid w:val="000D1A82"/>
    <w:rsid w:val="000D1D18"/>
    <w:rsid w:val="000D430E"/>
    <w:rsid w:val="000E08A9"/>
    <w:rsid w:val="000E55A8"/>
    <w:rsid w:val="000F5107"/>
    <w:rsid w:val="000F7F26"/>
    <w:rsid w:val="00101F5A"/>
    <w:rsid w:val="00104831"/>
    <w:rsid w:val="00115A0C"/>
    <w:rsid w:val="00115EDE"/>
    <w:rsid w:val="001243B0"/>
    <w:rsid w:val="00124B0E"/>
    <w:rsid w:val="00130C4B"/>
    <w:rsid w:val="00131153"/>
    <w:rsid w:val="001327B4"/>
    <w:rsid w:val="00153478"/>
    <w:rsid w:val="00156170"/>
    <w:rsid w:val="00157138"/>
    <w:rsid w:val="00163554"/>
    <w:rsid w:val="00170287"/>
    <w:rsid w:val="001721A2"/>
    <w:rsid w:val="001847C7"/>
    <w:rsid w:val="00184A3B"/>
    <w:rsid w:val="00194E51"/>
    <w:rsid w:val="001A0F74"/>
    <w:rsid w:val="001A2539"/>
    <w:rsid w:val="001B381F"/>
    <w:rsid w:val="001B4E9F"/>
    <w:rsid w:val="001D76AF"/>
    <w:rsid w:val="001F2643"/>
    <w:rsid w:val="001F4953"/>
    <w:rsid w:val="002069A4"/>
    <w:rsid w:val="00207DD7"/>
    <w:rsid w:val="00207FD1"/>
    <w:rsid w:val="002119A1"/>
    <w:rsid w:val="002129F0"/>
    <w:rsid w:val="00215AB0"/>
    <w:rsid w:val="00220B47"/>
    <w:rsid w:val="002304C3"/>
    <w:rsid w:val="00234202"/>
    <w:rsid w:val="002431DB"/>
    <w:rsid w:val="0025160A"/>
    <w:rsid w:val="002548C7"/>
    <w:rsid w:val="002558BE"/>
    <w:rsid w:val="00255D21"/>
    <w:rsid w:val="00260834"/>
    <w:rsid w:val="002624AD"/>
    <w:rsid w:val="0026438A"/>
    <w:rsid w:val="00266048"/>
    <w:rsid w:val="0026680A"/>
    <w:rsid w:val="00267537"/>
    <w:rsid w:val="002751E1"/>
    <w:rsid w:val="002832D7"/>
    <w:rsid w:val="0028438E"/>
    <w:rsid w:val="00284A55"/>
    <w:rsid w:val="00285DD7"/>
    <w:rsid w:val="002A0359"/>
    <w:rsid w:val="002A37B3"/>
    <w:rsid w:val="002A7ED7"/>
    <w:rsid w:val="002B01F7"/>
    <w:rsid w:val="002B0DDA"/>
    <w:rsid w:val="002B18A9"/>
    <w:rsid w:val="002B6B65"/>
    <w:rsid w:val="002C1588"/>
    <w:rsid w:val="002D28E2"/>
    <w:rsid w:val="002D2CDA"/>
    <w:rsid w:val="002E12D0"/>
    <w:rsid w:val="002E25FC"/>
    <w:rsid w:val="002E455C"/>
    <w:rsid w:val="002F2628"/>
    <w:rsid w:val="002F7253"/>
    <w:rsid w:val="00306469"/>
    <w:rsid w:val="003146FD"/>
    <w:rsid w:val="0031515D"/>
    <w:rsid w:val="0031662E"/>
    <w:rsid w:val="00316F61"/>
    <w:rsid w:val="00320FAF"/>
    <w:rsid w:val="0032333B"/>
    <w:rsid w:val="00327423"/>
    <w:rsid w:val="003432FE"/>
    <w:rsid w:val="003502E5"/>
    <w:rsid w:val="00352F02"/>
    <w:rsid w:val="003571FD"/>
    <w:rsid w:val="00360BB1"/>
    <w:rsid w:val="00360ED4"/>
    <w:rsid w:val="00365437"/>
    <w:rsid w:val="0036644B"/>
    <w:rsid w:val="00367391"/>
    <w:rsid w:val="00377728"/>
    <w:rsid w:val="00381810"/>
    <w:rsid w:val="00381EB4"/>
    <w:rsid w:val="003824F5"/>
    <w:rsid w:val="003869E7"/>
    <w:rsid w:val="00386C69"/>
    <w:rsid w:val="003A347D"/>
    <w:rsid w:val="003A7FBD"/>
    <w:rsid w:val="003B4B2E"/>
    <w:rsid w:val="003B5837"/>
    <w:rsid w:val="003B697A"/>
    <w:rsid w:val="003C2EE5"/>
    <w:rsid w:val="003C3047"/>
    <w:rsid w:val="003C43CC"/>
    <w:rsid w:val="003C63AC"/>
    <w:rsid w:val="003D1507"/>
    <w:rsid w:val="003D64D3"/>
    <w:rsid w:val="003E0B83"/>
    <w:rsid w:val="003E3D7B"/>
    <w:rsid w:val="003E46C5"/>
    <w:rsid w:val="003E6448"/>
    <w:rsid w:val="00402973"/>
    <w:rsid w:val="0040421F"/>
    <w:rsid w:val="00405A8E"/>
    <w:rsid w:val="00410C92"/>
    <w:rsid w:val="00420266"/>
    <w:rsid w:val="00424806"/>
    <w:rsid w:val="00427BDE"/>
    <w:rsid w:val="00437E63"/>
    <w:rsid w:val="00440391"/>
    <w:rsid w:val="00442196"/>
    <w:rsid w:val="00443A22"/>
    <w:rsid w:val="00445DC3"/>
    <w:rsid w:val="00453A8B"/>
    <w:rsid w:val="00457B85"/>
    <w:rsid w:val="00461A78"/>
    <w:rsid w:val="00471705"/>
    <w:rsid w:val="00473F04"/>
    <w:rsid w:val="00475063"/>
    <w:rsid w:val="0048180F"/>
    <w:rsid w:val="00482C8D"/>
    <w:rsid w:val="00484992"/>
    <w:rsid w:val="00495B90"/>
    <w:rsid w:val="004A40C0"/>
    <w:rsid w:val="004B507A"/>
    <w:rsid w:val="004B6946"/>
    <w:rsid w:val="004C0DAC"/>
    <w:rsid w:val="004C272A"/>
    <w:rsid w:val="004D49B0"/>
    <w:rsid w:val="004D6E89"/>
    <w:rsid w:val="004D6F18"/>
    <w:rsid w:val="004E38AD"/>
    <w:rsid w:val="004F0181"/>
    <w:rsid w:val="004F4747"/>
    <w:rsid w:val="00503D79"/>
    <w:rsid w:val="00505C5A"/>
    <w:rsid w:val="005066A4"/>
    <w:rsid w:val="005112E0"/>
    <w:rsid w:val="005215D2"/>
    <w:rsid w:val="00521BF7"/>
    <w:rsid w:val="00532EE6"/>
    <w:rsid w:val="00533ECD"/>
    <w:rsid w:val="00541D93"/>
    <w:rsid w:val="00542686"/>
    <w:rsid w:val="00545396"/>
    <w:rsid w:val="00547298"/>
    <w:rsid w:val="00551102"/>
    <w:rsid w:val="0055334A"/>
    <w:rsid w:val="005650D1"/>
    <w:rsid w:val="0056655B"/>
    <w:rsid w:val="005676B7"/>
    <w:rsid w:val="005718E7"/>
    <w:rsid w:val="00571DD8"/>
    <w:rsid w:val="0057464E"/>
    <w:rsid w:val="005826C7"/>
    <w:rsid w:val="00585FEE"/>
    <w:rsid w:val="005917AB"/>
    <w:rsid w:val="00596509"/>
    <w:rsid w:val="005A1491"/>
    <w:rsid w:val="005A5582"/>
    <w:rsid w:val="005B7A67"/>
    <w:rsid w:val="005C0257"/>
    <w:rsid w:val="005C07D2"/>
    <w:rsid w:val="005C54D6"/>
    <w:rsid w:val="005D5830"/>
    <w:rsid w:val="005D635E"/>
    <w:rsid w:val="005E532C"/>
    <w:rsid w:val="005F2ED8"/>
    <w:rsid w:val="005F3FF7"/>
    <w:rsid w:val="006000C1"/>
    <w:rsid w:val="00602550"/>
    <w:rsid w:val="00605772"/>
    <w:rsid w:val="006065BD"/>
    <w:rsid w:val="00607D27"/>
    <w:rsid w:val="00617936"/>
    <w:rsid w:val="00620CC2"/>
    <w:rsid w:val="00621F7D"/>
    <w:rsid w:val="00622B53"/>
    <w:rsid w:val="0062456B"/>
    <w:rsid w:val="00627340"/>
    <w:rsid w:val="00631E54"/>
    <w:rsid w:val="00632C18"/>
    <w:rsid w:val="00641530"/>
    <w:rsid w:val="00643E71"/>
    <w:rsid w:val="00644328"/>
    <w:rsid w:val="00647816"/>
    <w:rsid w:val="006523A6"/>
    <w:rsid w:val="0065295A"/>
    <w:rsid w:val="00654C8F"/>
    <w:rsid w:val="00677B26"/>
    <w:rsid w:val="00681B49"/>
    <w:rsid w:val="00687F74"/>
    <w:rsid w:val="006A4763"/>
    <w:rsid w:val="006A5159"/>
    <w:rsid w:val="006A6E4C"/>
    <w:rsid w:val="006B3437"/>
    <w:rsid w:val="006B6FD3"/>
    <w:rsid w:val="006B7387"/>
    <w:rsid w:val="006C5595"/>
    <w:rsid w:val="006D0295"/>
    <w:rsid w:val="006D3429"/>
    <w:rsid w:val="006D7DC6"/>
    <w:rsid w:val="006E4081"/>
    <w:rsid w:val="006E4D12"/>
    <w:rsid w:val="006E63A3"/>
    <w:rsid w:val="006E75FF"/>
    <w:rsid w:val="006F3DFB"/>
    <w:rsid w:val="006F7598"/>
    <w:rsid w:val="00700BD3"/>
    <w:rsid w:val="00701477"/>
    <w:rsid w:val="00704AF9"/>
    <w:rsid w:val="00704DB0"/>
    <w:rsid w:val="0070706A"/>
    <w:rsid w:val="00707583"/>
    <w:rsid w:val="00711705"/>
    <w:rsid w:val="00712123"/>
    <w:rsid w:val="00715972"/>
    <w:rsid w:val="00722FB5"/>
    <w:rsid w:val="00723A31"/>
    <w:rsid w:val="00734D72"/>
    <w:rsid w:val="00736F86"/>
    <w:rsid w:val="0074649C"/>
    <w:rsid w:val="00751F67"/>
    <w:rsid w:val="00756410"/>
    <w:rsid w:val="0075681F"/>
    <w:rsid w:val="007707ED"/>
    <w:rsid w:val="00770D2A"/>
    <w:rsid w:val="00775C4C"/>
    <w:rsid w:val="00782994"/>
    <w:rsid w:val="00787E8B"/>
    <w:rsid w:val="007936B4"/>
    <w:rsid w:val="00796B4D"/>
    <w:rsid w:val="007A0B43"/>
    <w:rsid w:val="007A186A"/>
    <w:rsid w:val="007A5ADD"/>
    <w:rsid w:val="007B0BD4"/>
    <w:rsid w:val="007B2BBB"/>
    <w:rsid w:val="007B74EB"/>
    <w:rsid w:val="007D6E5F"/>
    <w:rsid w:val="007E2C71"/>
    <w:rsid w:val="007E5C6E"/>
    <w:rsid w:val="007F79BB"/>
    <w:rsid w:val="00803C6E"/>
    <w:rsid w:val="00806DA8"/>
    <w:rsid w:val="008108ED"/>
    <w:rsid w:val="00812831"/>
    <w:rsid w:val="008143E4"/>
    <w:rsid w:val="00816D3B"/>
    <w:rsid w:val="00821E8F"/>
    <w:rsid w:val="00827B42"/>
    <w:rsid w:val="00833834"/>
    <w:rsid w:val="00840834"/>
    <w:rsid w:val="00841122"/>
    <w:rsid w:val="00841344"/>
    <w:rsid w:val="00845731"/>
    <w:rsid w:val="00845A63"/>
    <w:rsid w:val="0085563E"/>
    <w:rsid w:val="00871D18"/>
    <w:rsid w:val="00872474"/>
    <w:rsid w:val="00875C2F"/>
    <w:rsid w:val="00882060"/>
    <w:rsid w:val="008835A5"/>
    <w:rsid w:val="0089011D"/>
    <w:rsid w:val="0089053D"/>
    <w:rsid w:val="00891846"/>
    <w:rsid w:val="0089513C"/>
    <w:rsid w:val="00895EC0"/>
    <w:rsid w:val="00896479"/>
    <w:rsid w:val="008966AE"/>
    <w:rsid w:val="008A1199"/>
    <w:rsid w:val="008A1C83"/>
    <w:rsid w:val="008A2420"/>
    <w:rsid w:val="008A4A68"/>
    <w:rsid w:val="008A4BAC"/>
    <w:rsid w:val="008A70D2"/>
    <w:rsid w:val="008A7330"/>
    <w:rsid w:val="008A76F1"/>
    <w:rsid w:val="008B33D0"/>
    <w:rsid w:val="008B7DC1"/>
    <w:rsid w:val="008C0301"/>
    <w:rsid w:val="008C0BCC"/>
    <w:rsid w:val="008C552D"/>
    <w:rsid w:val="008C7A75"/>
    <w:rsid w:val="008D4359"/>
    <w:rsid w:val="008D60EB"/>
    <w:rsid w:val="008E0213"/>
    <w:rsid w:val="008E1826"/>
    <w:rsid w:val="008E647E"/>
    <w:rsid w:val="008F025F"/>
    <w:rsid w:val="008F0A33"/>
    <w:rsid w:val="008F4CB5"/>
    <w:rsid w:val="008F4F53"/>
    <w:rsid w:val="008F74F0"/>
    <w:rsid w:val="00904F8E"/>
    <w:rsid w:val="0090604E"/>
    <w:rsid w:val="00906239"/>
    <w:rsid w:val="009249DC"/>
    <w:rsid w:val="00927027"/>
    <w:rsid w:val="0093188B"/>
    <w:rsid w:val="00934D44"/>
    <w:rsid w:val="009426BF"/>
    <w:rsid w:val="00943BC8"/>
    <w:rsid w:val="009440D3"/>
    <w:rsid w:val="00947A49"/>
    <w:rsid w:val="0095534B"/>
    <w:rsid w:val="00957B6C"/>
    <w:rsid w:val="00972775"/>
    <w:rsid w:val="00980E25"/>
    <w:rsid w:val="0098230F"/>
    <w:rsid w:val="00984337"/>
    <w:rsid w:val="00984651"/>
    <w:rsid w:val="009850E0"/>
    <w:rsid w:val="00987E7E"/>
    <w:rsid w:val="00990A48"/>
    <w:rsid w:val="00994A27"/>
    <w:rsid w:val="009A083E"/>
    <w:rsid w:val="009A1D53"/>
    <w:rsid w:val="009B5997"/>
    <w:rsid w:val="009C338F"/>
    <w:rsid w:val="009C36B7"/>
    <w:rsid w:val="009C458E"/>
    <w:rsid w:val="009C6647"/>
    <w:rsid w:val="009D0163"/>
    <w:rsid w:val="009D381D"/>
    <w:rsid w:val="009D644C"/>
    <w:rsid w:val="009E0973"/>
    <w:rsid w:val="009E567A"/>
    <w:rsid w:val="009F7244"/>
    <w:rsid w:val="00A0406D"/>
    <w:rsid w:val="00A152F8"/>
    <w:rsid w:val="00A1730F"/>
    <w:rsid w:val="00A2694D"/>
    <w:rsid w:val="00A42E3E"/>
    <w:rsid w:val="00A44D24"/>
    <w:rsid w:val="00A47A21"/>
    <w:rsid w:val="00A50F46"/>
    <w:rsid w:val="00A6322A"/>
    <w:rsid w:val="00A658A1"/>
    <w:rsid w:val="00A66DAA"/>
    <w:rsid w:val="00A73FA0"/>
    <w:rsid w:val="00A80C53"/>
    <w:rsid w:val="00A8496D"/>
    <w:rsid w:val="00A92887"/>
    <w:rsid w:val="00A93BAC"/>
    <w:rsid w:val="00A94078"/>
    <w:rsid w:val="00A94E0E"/>
    <w:rsid w:val="00A978B4"/>
    <w:rsid w:val="00A97D00"/>
    <w:rsid w:val="00AA29F8"/>
    <w:rsid w:val="00AA6295"/>
    <w:rsid w:val="00AA742A"/>
    <w:rsid w:val="00AB4F86"/>
    <w:rsid w:val="00AB6399"/>
    <w:rsid w:val="00AB6CB6"/>
    <w:rsid w:val="00AB76BE"/>
    <w:rsid w:val="00AC79D3"/>
    <w:rsid w:val="00AD1A63"/>
    <w:rsid w:val="00AD43C4"/>
    <w:rsid w:val="00AD48EB"/>
    <w:rsid w:val="00AD590D"/>
    <w:rsid w:val="00AE23CB"/>
    <w:rsid w:val="00AE3CD5"/>
    <w:rsid w:val="00AE589D"/>
    <w:rsid w:val="00AE7F5E"/>
    <w:rsid w:val="00AF3D93"/>
    <w:rsid w:val="00B17583"/>
    <w:rsid w:val="00B31334"/>
    <w:rsid w:val="00B36793"/>
    <w:rsid w:val="00B36ED1"/>
    <w:rsid w:val="00B37347"/>
    <w:rsid w:val="00B40DC5"/>
    <w:rsid w:val="00B41DA5"/>
    <w:rsid w:val="00B45CFC"/>
    <w:rsid w:val="00B5389C"/>
    <w:rsid w:val="00B548F3"/>
    <w:rsid w:val="00B55EA2"/>
    <w:rsid w:val="00B560C1"/>
    <w:rsid w:val="00B71DB0"/>
    <w:rsid w:val="00B733A9"/>
    <w:rsid w:val="00B74BCE"/>
    <w:rsid w:val="00B820C6"/>
    <w:rsid w:val="00B83EE4"/>
    <w:rsid w:val="00B8529C"/>
    <w:rsid w:val="00B973B1"/>
    <w:rsid w:val="00BA04D5"/>
    <w:rsid w:val="00BA0C35"/>
    <w:rsid w:val="00BA1907"/>
    <w:rsid w:val="00BA1F51"/>
    <w:rsid w:val="00BA6758"/>
    <w:rsid w:val="00BB005B"/>
    <w:rsid w:val="00BB073B"/>
    <w:rsid w:val="00BB3830"/>
    <w:rsid w:val="00BB3BB2"/>
    <w:rsid w:val="00BC09AA"/>
    <w:rsid w:val="00BC1BBF"/>
    <w:rsid w:val="00BC6F5F"/>
    <w:rsid w:val="00BD302B"/>
    <w:rsid w:val="00BF05CB"/>
    <w:rsid w:val="00BF1708"/>
    <w:rsid w:val="00BF6816"/>
    <w:rsid w:val="00BF68F6"/>
    <w:rsid w:val="00C0377F"/>
    <w:rsid w:val="00C0696F"/>
    <w:rsid w:val="00C10737"/>
    <w:rsid w:val="00C145CF"/>
    <w:rsid w:val="00C168F0"/>
    <w:rsid w:val="00C25048"/>
    <w:rsid w:val="00C27CEC"/>
    <w:rsid w:val="00C308EB"/>
    <w:rsid w:val="00C347DC"/>
    <w:rsid w:val="00C36636"/>
    <w:rsid w:val="00C41762"/>
    <w:rsid w:val="00C5036C"/>
    <w:rsid w:val="00C515A2"/>
    <w:rsid w:val="00C53EFB"/>
    <w:rsid w:val="00C61536"/>
    <w:rsid w:val="00C621C0"/>
    <w:rsid w:val="00C6636A"/>
    <w:rsid w:val="00C66396"/>
    <w:rsid w:val="00C72451"/>
    <w:rsid w:val="00C7442A"/>
    <w:rsid w:val="00C74C3E"/>
    <w:rsid w:val="00C762F9"/>
    <w:rsid w:val="00C82C77"/>
    <w:rsid w:val="00C85F5C"/>
    <w:rsid w:val="00C96967"/>
    <w:rsid w:val="00C97193"/>
    <w:rsid w:val="00CA3847"/>
    <w:rsid w:val="00CA58F6"/>
    <w:rsid w:val="00CC0F8A"/>
    <w:rsid w:val="00CC2C65"/>
    <w:rsid w:val="00CC467D"/>
    <w:rsid w:val="00CC5EF3"/>
    <w:rsid w:val="00CE2A6B"/>
    <w:rsid w:val="00CF177A"/>
    <w:rsid w:val="00D068FF"/>
    <w:rsid w:val="00D20C20"/>
    <w:rsid w:val="00D20DF0"/>
    <w:rsid w:val="00D241FB"/>
    <w:rsid w:val="00D27354"/>
    <w:rsid w:val="00D31093"/>
    <w:rsid w:val="00D32B2C"/>
    <w:rsid w:val="00D35D5E"/>
    <w:rsid w:val="00D3720F"/>
    <w:rsid w:val="00D41619"/>
    <w:rsid w:val="00D4174E"/>
    <w:rsid w:val="00D50A65"/>
    <w:rsid w:val="00D51167"/>
    <w:rsid w:val="00D5222E"/>
    <w:rsid w:val="00D53838"/>
    <w:rsid w:val="00D54ACB"/>
    <w:rsid w:val="00D56292"/>
    <w:rsid w:val="00D5694B"/>
    <w:rsid w:val="00D6249A"/>
    <w:rsid w:val="00D70C08"/>
    <w:rsid w:val="00D72DDE"/>
    <w:rsid w:val="00D759B4"/>
    <w:rsid w:val="00D77CCF"/>
    <w:rsid w:val="00D812BB"/>
    <w:rsid w:val="00D94C83"/>
    <w:rsid w:val="00D960D6"/>
    <w:rsid w:val="00D972A4"/>
    <w:rsid w:val="00DA2FB2"/>
    <w:rsid w:val="00DA4615"/>
    <w:rsid w:val="00DA6AA2"/>
    <w:rsid w:val="00DA6B59"/>
    <w:rsid w:val="00DB0926"/>
    <w:rsid w:val="00DB7476"/>
    <w:rsid w:val="00DC1AA8"/>
    <w:rsid w:val="00DC65B2"/>
    <w:rsid w:val="00DD07CD"/>
    <w:rsid w:val="00DD0DBC"/>
    <w:rsid w:val="00DE0F96"/>
    <w:rsid w:val="00DE1EC6"/>
    <w:rsid w:val="00DE4DED"/>
    <w:rsid w:val="00DF1899"/>
    <w:rsid w:val="00DF428F"/>
    <w:rsid w:val="00E04746"/>
    <w:rsid w:val="00E07961"/>
    <w:rsid w:val="00E112D1"/>
    <w:rsid w:val="00E121F1"/>
    <w:rsid w:val="00E26597"/>
    <w:rsid w:val="00E35ED9"/>
    <w:rsid w:val="00E37A68"/>
    <w:rsid w:val="00E5521C"/>
    <w:rsid w:val="00E74DAD"/>
    <w:rsid w:val="00E76C07"/>
    <w:rsid w:val="00E8147C"/>
    <w:rsid w:val="00E81A59"/>
    <w:rsid w:val="00E81DD3"/>
    <w:rsid w:val="00E844AE"/>
    <w:rsid w:val="00E85580"/>
    <w:rsid w:val="00E9438C"/>
    <w:rsid w:val="00E95F8D"/>
    <w:rsid w:val="00E962FF"/>
    <w:rsid w:val="00E97D17"/>
    <w:rsid w:val="00E97E35"/>
    <w:rsid w:val="00EA0942"/>
    <w:rsid w:val="00EA1B19"/>
    <w:rsid w:val="00EA2E1C"/>
    <w:rsid w:val="00EA472C"/>
    <w:rsid w:val="00EB11ED"/>
    <w:rsid w:val="00EC08AA"/>
    <w:rsid w:val="00EC409A"/>
    <w:rsid w:val="00EC598C"/>
    <w:rsid w:val="00EC7A23"/>
    <w:rsid w:val="00ED3247"/>
    <w:rsid w:val="00EF3519"/>
    <w:rsid w:val="00EF6078"/>
    <w:rsid w:val="00F003F5"/>
    <w:rsid w:val="00F00806"/>
    <w:rsid w:val="00F01F34"/>
    <w:rsid w:val="00F040E3"/>
    <w:rsid w:val="00F06CA7"/>
    <w:rsid w:val="00F07334"/>
    <w:rsid w:val="00F07757"/>
    <w:rsid w:val="00F20AB0"/>
    <w:rsid w:val="00F2570F"/>
    <w:rsid w:val="00F32D07"/>
    <w:rsid w:val="00F3366C"/>
    <w:rsid w:val="00F34672"/>
    <w:rsid w:val="00F34F88"/>
    <w:rsid w:val="00F36B1D"/>
    <w:rsid w:val="00F43547"/>
    <w:rsid w:val="00F4375E"/>
    <w:rsid w:val="00F51E5E"/>
    <w:rsid w:val="00F52E80"/>
    <w:rsid w:val="00F530EF"/>
    <w:rsid w:val="00F54669"/>
    <w:rsid w:val="00F575FB"/>
    <w:rsid w:val="00F57C4C"/>
    <w:rsid w:val="00F61F93"/>
    <w:rsid w:val="00F6475B"/>
    <w:rsid w:val="00F6696A"/>
    <w:rsid w:val="00F67C67"/>
    <w:rsid w:val="00F73784"/>
    <w:rsid w:val="00F74B7F"/>
    <w:rsid w:val="00F758DD"/>
    <w:rsid w:val="00F85940"/>
    <w:rsid w:val="00F913C2"/>
    <w:rsid w:val="00FA70D6"/>
    <w:rsid w:val="00FB70A8"/>
    <w:rsid w:val="00FC339F"/>
    <w:rsid w:val="00FC5E50"/>
    <w:rsid w:val="00FD1045"/>
    <w:rsid w:val="00FE7151"/>
    <w:rsid w:val="00FF253F"/>
    <w:rsid w:val="00FF3A1D"/>
    <w:rsid w:val="00FF6E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83B0D2"/>
  <w15:chartTrackingRefBased/>
  <w15:docId w15:val="{75031157-7CB0-4AC0-99B6-679D0286E4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iPriority="0" w:unhideWhenUsed="1"/>
    <w:lsdException w:name="List Continue 2" w:semiHidden="1" w:uiPriority="0"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45DC3"/>
    <w:pPr>
      <w:spacing w:before="120" w:after="120" w:line="360" w:lineRule="auto"/>
      <w:jc w:val="both"/>
    </w:pPr>
    <w:rPr>
      <w:rFonts w:ascii="Times New Roman" w:eastAsia="Times New Roman" w:hAnsi="Times New Roman" w:cs="Times New Roman"/>
      <w:sz w:val="24"/>
      <w:szCs w:val="24"/>
      <w:lang w:val="en-US"/>
    </w:rPr>
  </w:style>
  <w:style w:type="paragraph" w:styleId="Heading1">
    <w:name w:val="heading 1"/>
    <w:basedOn w:val="Normal"/>
    <w:next w:val="Normal"/>
    <w:link w:val="Heading1Char"/>
    <w:qFormat/>
    <w:rsid w:val="00445DC3"/>
    <w:pPr>
      <w:autoSpaceDE w:val="0"/>
      <w:autoSpaceDN w:val="0"/>
      <w:adjustRightInd w:val="0"/>
      <w:spacing w:before="480" w:after="360"/>
      <w:jc w:val="center"/>
      <w:outlineLvl w:val="0"/>
    </w:pPr>
    <w:rPr>
      <w:rFonts w:ascii="TimesNRMT" w:hAnsi="TimesNRMT" w:cs="TimesNRMT"/>
      <w:sz w:val="32"/>
      <w:szCs w:val="28"/>
    </w:rPr>
  </w:style>
  <w:style w:type="paragraph" w:styleId="Heading2">
    <w:name w:val="heading 2"/>
    <w:next w:val="Normal"/>
    <w:link w:val="Heading2Char"/>
    <w:qFormat/>
    <w:rsid w:val="00445DC3"/>
    <w:pPr>
      <w:spacing w:before="480" w:after="240" w:line="240" w:lineRule="auto"/>
      <w:outlineLvl w:val="1"/>
    </w:pPr>
    <w:rPr>
      <w:rFonts w:ascii="Times New Roman" w:eastAsia="Times New Roman" w:hAnsi="Times New Roman" w:cs="Times New Roman"/>
      <w:bCs/>
      <w:color w:val="000080"/>
      <w:sz w:val="28"/>
      <w:szCs w:val="28"/>
      <w:lang w:val="en-US"/>
    </w:rPr>
  </w:style>
  <w:style w:type="paragraph" w:styleId="Heading3">
    <w:name w:val="heading 3"/>
    <w:next w:val="Normal"/>
    <w:link w:val="Heading3Char"/>
    <w:qFormat/>
    <w:rsid w:val="00445DC3"/>
    <w:pPr>
      <w:keepNext/>
      <w:spacing w:before="360" w:after="240" w:line="240" w:lineRule="auto"/>
      <w:outlineLvl w:val="2"/>
    </w:pPr>
    <w:rPr>
      <w:rFonts w:ascii="Arial" w:eastAsia="Times New Roman" w:hAnsi="Arial" w:cs="Arial"/>
      <w:bCs/>
      <w:color w:val="FF0000"/>
      <w:sz w:val="24"/>
      <w:szCs w:val="24"/>
      <w:lang w:val="en-US"/>
    </w:rPr>
  </w:style>
  <w:style w:type="paragraph" w:styleId="Heading4">
    <w:name w:val="heading 4"/>
    <w:next w:val="Normal"/>
    <w:link w:val="Heading4Char"/>
    <w:qFormat/>
    <w:rsid w:val="00445DC3"/>
    <w:pPr>
      <w:spacing w:before="360" w:after="0" w:line="240" w:lineRule="auto"/>
      <w:outlineLvl w:val="3"/>
    </w:pPr>
    <w:rPr>
      <w:rFonts w:ascii="Times New Roman" w:eastAsia="Times New Roman" w:hAnsi="Times New Roman" w:cs="Times New Roman"/>
      <w:bCs/>
      <w:color w:val="800080"/>
      <w:sz w:val="24"/>
      <w:szCs w:val="24"/>
    </w:rPr>
  </w:style>
  <w:style w:type="paragraph" w:styleId="Heading5">
    <w:name w:val="heading 5"/>
    <w:basedOn w:val="Normal"/>
    <w:next w:val="Normal"/>
    <w:link w:val="Heading5Char"/>
    <w:qFormat/>
    <w:rsid w:val="00445DC3"/>
    <w:pPr>
      <w:spacing w:before="360"/>
      <w:outlineLvl w:val="4"/>
    </w:pPr>
    <w:rPr>
      <w:color w:val="FF6600"/>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9A1D53"/>
    <w:rPr>
      <w:rFonts w:asciiTheme="minorHAnsi" w:hAnsiTheme="minorHAnsi" w:cstheme="minorBidi"/>
      <w:sz w:val="20"/>
      <w:szCs w:val="20"/>
    </w:rPr>
  </w:style>
  <w:style w:type="character" w:customStyle="1" w:styleId="FootnoteTextChar">
    <w:name w:val="Footnote Text Char"/>
    <w:basedOn w:val="DefaultParagraphFont"/>
    <w:link w:val="FootnoteText"/>
    <w:uiPriority w:val="99"/>
    <w:rsid w:val="009A1D53"/>
    <w:rPr>
      <w:sz w:val="20"/>
      <w:szCs w:val="20"/>
    </w:rPr>
  </w:style>
  <w:style w:type="character" w:styleId="FootnoteReference">
    <w:name w:val="footnote reference"/>
    <w:basedOn w:val="DefaultParagraphFont"/>
    <w:uiPriority w:val="99"/>
    <w:unhideWhenUsed/>
    <w:rsid w:val="009A1D53"/>
    <w:rPr>
      <w:vertAlign w:val="superscript"/>
    </w:rPr>
  </w:style>
  <w:style w:type="character" w:styleId="CommentReference">
    <w:name w:val="annotation reference"/>
    <w:basedOn w:val="DefaultParagraphFont"/>
    <w:uiPriority w:val="99"/>
    <w:semiHidden/>
    <w:unhideWhenUsed/>
    <w:rsid w:val="009D644C"/>
    <w:rPr>
      <w:sz w:val="16"/>
      <w:szCs w:val="16"/>
    </w:rPr>
  </w:style>
  <w:style w:type="paragraph" w:styleId="CommentText">
    <w:name w:val="annotation text"/>
    <w:basedOn w:val="Normal"/>
    <w:link w:val="CommentTextChar"/>
    <w:uiPriority w:val="99"/>
    <w:unhideWhenUsed/>
    <w:rsid w:val="009D644C"/>
    <w:rPr>
      <w:sz w:val="20"/>
      <w:szCs w:val="20"/>
    </w:rPr>
  </w:style>
  <w:style w:type="character" w:customStyle="1" w:styleId="CommentTextChar">
    <w:name w:val="Comment Text Char"/>
    <w:basedOn w:val="DefaultParagraphFont"/>
    <w:link w:val="CommentText"/>
    <w:uiPriority w:val="99"/>
    <w:rsid w:val="009D644C"/>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9D644C"/>
    <w:rPr>
      <w:b/>
      <w:bCs/>
    </w:rPr>
  </w:style>
  <w:style w:type="character" w:customStyle="1" w:styleId="CommentSubjectChar">
    <w:name w:val="Comment Subject Char"/>
    <w:basedOn w:val="CommentTextChar"/>
    <w:link w:val="CommentSubject"/>
    <w:uiPriority w:val="99"/>
    <w:semiHidden/>
    <w:rsid w:val="009D644C"/>
    <w:rPr>
      <w:rFonts w:ascii="Calibri" w:hAnsi="Calibri" w:cs="Calibri"/>
      <w:b/>
      <w:bCs/>
      <w:sz w:val="20"/>
      <w:szCs w:val="20"/>
    </w:rPr>
  </w:style>
  <w:style w:type="paragraph" w:styleId="BalloonText">
    <w:name w:val="Balloon Text"/>
    <w:basedOn w:val="Normal"/>
    <w:link w:val="BalloonTextChar"/>
    <w:uiPriority w:val="99"/>
    <w:semiHidden/>
    <w:unhideWhenUsed/>
    <w:rsid w:val="009D644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644C"/>
    <w:rPr>
      <w:rFonts w:ascii="Segoe UI" w:hAnsi="Segoe UI" w:cs="Segoe UI"/>
      <w:sz w:val="18"/>
      <w:szCs w:val="18"/>
    </w:rPr>
  </w:style>
  <w:style w:type="paragraph" w:styleId="Revision">
    <w:name w:val="Revision"/>
    <w:hidden/>
    <w:uiPriority w:val="99"/>
    <w:semiHidden/>
    <w:rsid w:val="00F913C2"/>
    <w:pPr>
      <w:spacing w:after="0" w:line="240" w:lineRule="auto"/>
    </w:pPr>
    <w:rPr>
      <w:rFonts w:ascii="Calibri" w:hAnsi="Calibri" w:cs="Calibri"/>
    </w:rPr>
  </w:style>
  <w:style w:type="paragraph" w:styleId="Header">
    <w:name w:val="header"/>
    <w:basedOn w:val="Normal"/>
    <w:link w:val="HeaderChar"/>
    <w:uiPriority w:val="99"/>
    <w:unhideWhenUsed/>
    <w:rsid w:val="00F913C2"/>
    <w:pPr>
      <w:tabs>
        <w:tab w:val="center" w:pos="4513"/>
        <w:tab w:val="right" w:pos="9026"/>
      </w:tabs>
    </w:pPr>
  </w:style>
  <w:style w:type="character" w:customStyle="1" w:styleId="HeaderChar">
    <w:name w:val="Header Char"/>
    <w:basedOn w:val="DefaultParagraphFont"/>
    <w:link w:val="Header"/>
    <w:uiPriority w:val="99"/>
    <w:rsid w:val="00F913C2"/>
    <w:rPr>
      <w:rFonts w:ascii="Calibri" w:hAnsi="Calibri" w:cs="Calibri"/>
    </w:rPr>
  </w:style>
  <w:style w:type="paragraph" w:styleId="Footer">
    <w:name w:val="footer"/>
    <w:basedOn w:val="Normal"/>
    <w:link w:val="FooterChar"/>
    <w:uiPriority w:val="99"/>
    <w:unhideWhenUsed/>
    <w:rsid w:val="00F913C2"/>
    <w:pPr>
      <w:tabs>
        <w:tab w:val="center" w:pos="4513"/>
        <w:tab w:val="right" w:pos="9026"/>
      </w:tabs>
    </w:pPr>
  </w:style>
  <w:style w:type="character" w:customStyle="1" w:styleId="FooterChar">
    <w:name w:val="Footer Char"/>
    <w:basedOn w:val="DefaultParagraphFont"/>
    <w:link w:val="Footer"/>
    <w:uiPriority w:val="99"/>
    <w:rsid w:val="00F913C2"/>
    <w:rPr>
      <w:rFonts w:ascii="Calibri" w:hAnsi="Calibri" w:cs="Calibri"/>
    </w:rPr>
  </w:style>
  <w:style w:type="paragraph" w:styleId="ListParagraph">
    <w:name w:val="List Paragraph"/>
    <w:basedOn w:val="Normal"/>
    <w:uiPriority w:val="34"/>
    <w:qFormat/>
    <w:rsid w:val="00327423"/>
    <w:pPr>
      <w:spacing w:after="200" w:line="276" w:lineRule="auto"/>
      <w:ind w:left="720"/>
      <w:contextualSpacing/>
    </w:pPr>
    <w:rPr>
      <w:rFonts w:asciiTheme="minorHAnsi" w:hAnsiTheme="minorHAnsi" w:cstheme="minorBidi"/>
    </w:rPr>
  </w:style>
  <w:style w:type="character" w:styleId="Hyperlink">
    <w:name w:val="Hyperlink"/>
    <w:basedOn w:val="DefaultParagraphFont"/>
    <w:uiPriority w:val="99"/>
    <w:unhideWhenUsed/>
    <w:rsid w:val="00D812BB"/>
    <w:rPr>
      <w:color w:val="0563C1" w:themeColor="hyperlink"/>
      <w:u w:val="single"/>
    </w:rPr>
  </w:style>
  <w:style w:type="character" w:styleId="UnresolvedMention">
    <w:name w:val="Unresolved Mention"/>
    <w:basedOn w:val="DefaultParagraphFont"/>
    <w:uiPriority w:val="99"/>
    <w:semiHidden/>
    <w:unhideWhenUsed/>
    <w:rsid w:val="00D812BB"/>
    <w:rPr>
      <w:color w:val="605E5C"/>
      <w:shd w:val="clear" w:color="auto" w:fill="E1DFDD"/>
    </w:rPr>
  </w:style>
  <w:style w:type="character" w:customStyle="1" w:styleId="Heading1Char">
    <w:name w:val="Heading 1 Char"/>
    <w:basedOn w:val="DefaultParagraphFont"/>
    <w:link w:val="Heading1"/>
    <w:rsid w:val="005066A4"/>
    <w:rPr>
      <w:rFonts w:ascii="TimesNRMT" w:eastAsia="Times New Roman" w:hAnsi="TimesNRMT" w:cs="TimesNRMT"/>
      <w:sz w:val="32"/>
      <w:szCs w:val="28"/>
      <w:lang w:val="en-US"/>
    </w:rPr>
  </w:style>
  <w:style w:type="character" w:customStyle="1" w:styleId="Heading2Char">
    <w:name w:val="Heading 2 Char"/>
    <w:basedOn w:val="DefaultParagraphFont"/>
    <w:link w:val="Heading2"/>
    <w:rsid w:val="005066A4"/>
    <w:rPr>
      <w:rFonts w:ascii="Times New Roman" w:eastAsia="Times New Roman" w:hAnsi="Times New Roman" w:cs="Times New Roman"/>
      <w:bCs/>
      <w:color w:val="000080"/>
      <w:sz w:val="28"/>
      <w:szCs w:val="28"/>
      <w:lang w:val="en-US"/>
    </w:rPr>
  </w:style>
  <w:style w:type="character" w:customStyle="1" w:styleId="Heading3Char">
    <w:name w:val="Heading 3 Char"/>
    <w:basedOn w:val="DefaultParagraphFont"/>
    <w:link w:val="Heading3"/>
    <w:rsid w:val="005066A4"/>
    <w:rPr>
      <w:rFonts w:ascii="Arial" w:eastAsia="Times New Roman" w:hAnsi="Arial" w:cs="Arial"/>
      <w:bCs/>
      <w:color w:val="FF0000"/>
      <w:sz w:val="24"/>
      <w:szCs w:val="24"/>
      <w:lang w:val="en-US"/>
    </w:rPr>
  </w:style>
  <w:style w:type="character" w:customStyle="1" w:styleId="Heading4Char">
    <w:name w:val="Heading 4 Char"/>
    <w:basedOn w:val="DefaultParagraphFont"/>
    <w:link w:val="Heading4"/>
    <w:rsid w:val="005066A4"/>
    <w:rPr>
      <w:rFonts w:ascii="Times New Roman" w:eastAsia="Times New Roman" w:hAnsi="Times New Roman" w:cs="Times New Roman"/>
      <w:bCs/>
      <w:color w:val="800080"/>
      <w:sz w:val="24"/>
      <w:szCs w:val="24"/>
    </w:rPr>
  </w:style>
  <w:style w:type="character" w:customStyle="1" w:styleId="Heading5Char">
    <w:name w:val="Heading 5 Char"/>
    <w:basedOn w:val="DefaultParagraphFont"/>
    <w:link w:val="Heading5"/>
    <w:rsid w:val="005066A4"/>
    <w:rPr>
      <w:rFonts w:ascii="Times New Roman" w:eastAsia="Times New Roman" w:hAnsi="Times New Roman" w:cs="Times New Roman"/>
      <w:color w:val="FF6600"/>
      <w:lang w:val="en-US"/>
    </w:rPr>
  </w:style>
  <w:style w:type="paragraph" w:customStyle="1" w:styleId="ShortHead">
    <w:name w:val="ShortHead"/>
    <w:rsid w:val="00445DC3"/>
    <w:pPr>
      <w:tabs>
        <w:tab w:val="left" w:pos="567"/>
      </w:tabs>
      <w:spacing w:after="0" w:line="240" w:lineRule="auto"/>
    </w:pPr>
    <w:rPr>
      <w:rFonts w:ascii="Arial" w:eastAsia="Times New Roman" w:hAnsi="Arial" w:cs="Times New Roman"/>
      <w:b/>
      <w:color w:val="008000"/>
      <w:sz w:val="20"/>
      <w:szCs w:val="20"/>
      <w:lang w:eastAsia="en-GB"/>
    </w:rPr>
  </w:style>
  <w:style w:type="paragraph" w:customStyle="1" w:styleId="Dedication">
    <w:name w:val="Dedication"/>
    <w:basedOn w:val="Normal"/>
    <w:rsid w:val="00445DC3"/>
    <w:pPr>
      <w:tabs>
        <w:tab w:val="left" w:pos="567"/>
      </w:tabs>
      <w:jc w:val="center"/>
    </w:pPr>
    <w:rPr>
      <w:rFonts w:ascii="Arial" w:hAnsi="Arial"/>
      <w:sz w:val="20"/>
      <w:szCs w:val="20"/>
      <w:lang w:val="en-GB" w:eastAsia="en-GB"/>
    </w:rPr>
  </w:style>
  <w:style w:type="paragraph" w:customStyle="1" w:styleId="TitlePageSubtitle">
    <w:name w:val="TitlePageSubtitle"/>
    <w:basedOn w:val="TitlePageTitle"/>
    <w:rsid w:val="00445DC3"/>
    <w:rPr>
      <w:sz w:val="40"/>
    </w:rPr>
  </w:style>
  <w:style w:type="paragraph" w:customStyle="1" w:styleId="TitlePageTitle">
    <w:name w:val="TitlePageTitle"/>
    <w:rsid w:val="00445DC3"/>
    <w:pPr>
      <w:spacing w:after="0" w:line="240" w:lineRule="auto"/>
      <w:jc w:val="center"/>
    </w:pPr>
    <w:rPr>
      <w:rFonts w:ascii="Times New Roman" w:eastAsia="Times New Roman" w:hAnsi="Times New Roman" w:cs="Times New Roman"/>
      <w:sz w:val="52"/>
      <w:szCs w:val="24"/>
      <w:lang w:val="en-US"/>
    </w:rPr>
  </w:style>
  <w:style w:type="paragraph" w:customStyle="1" w:styleId="SeriesInfoTitle">
    <w:name w:val="SeriesInfoTitle"/>
    <w:basedOn w:val="Normal"/>
    <w:rsid w:val="00445DC3"/>
    <w:pPr>
      <w:jc w:val="center"/>
    </w:pPr>
    <w:rPr>
      <w:b/>
      <w:szCs w:val="20"/>
      <w:lang w:val="en-GB"/>
    </w:rPr>
  </w:style>
  <w:style w:type="paragraph" w:customStyle="1" w:styleId="HalfTitle">
    <w:name w:val="HalfTitle"/>
    <w:basedOn w:val="Normal"/>
    <w:rsid w:val="00445DC3"/>
    <w:pPr>
      <w:tabs>
        <w:tab w:val="left" w:pos="567"/>
      </w:tabs>
      <w:jc w:val="center"/>
    </w:pPr>
    <w:rPr>
      <w:rFonts w:ascii="Arial" w:hAnsi="Arial"/>
      <w:smallCaps/>
      <w:sz w:val="28"/>
      <w:szCs w:val="20"/>
      <w:lang w:val="en-GB" w:eastAsia="en-GB"/>
    </w:rPr>
  </w:style>
  <w:style w:type="paragraph" w:styleId="List">
    <w:name w:val="List"/>
    <w:basedOn w:val="Normal"/>
    <w:rsid w:val="00445DC3"/>
    <w:pPr>
      <w:spacing w:before="240" w:line="240" w:lineRule="auto"/>
      <w:contextualSpacing/>
    </w:pPr>
    <w:rPr>
      <w:lang w:val="en-GB"/>
    </w:rPr>
  </w:style>
  <w:style w:type="paragraph" w:styleId="List2">
    <w:name w:val="List 2"/>
    <w:basedOn w:val="Normal"/>
    <w:rsid w:val="00445DC3"/>
    <w:pPr>
      <w:spacing w:before="0" w:line="240" w:lineRule="auto"/>
      <w:ind w:left="568" w:hanging="284"/>
      <w:contextualSpacing/>
    </w:pPr>
  </w:style>
  <w:style w:type="paragraph" w:styleId="ListContinue">
    <w:name w:val="List Continue"/>
    <w:basedOn w:val="List"/>
    <w:rsid w:val="00445DC3"/>
  </w:style>
  <w:style w:type="paragraph" w:styleId="ListContinue2">
    <w:name w:val="List Continue 2"/>
    <w:basedOn w:val="List2"/>
    <w:rsid w:val="00445DC3"/>
  </w:style>
  <w:style w:type="paragraph" w:customStyle="1" w:styleId="Index1">
    <w:name w:val="Index1"/>
    <w:next w:val="Normal"/>
    <w:rsid w:val="00445DC3"/>
    <w:pPr>
      <w:tabs>
        <w:tab w:val="right" w:pos="8312"/>
      </w:tabs>
      <w:spacing w:before="120" w:after="0" w:line="240" w:lineRule="auto"/>
    </w:pPr>
    <w:rPr>
      <w:rFonts w:ascii="Arial" w:eastAsia="Times New Roman" w:hAnsi="Arial" w:cs="Times New Roman"/>
      <w:sz w:val="20"/>
      <w:szCs w:val="20"/>
      <w:lang w:eastAsia="en-GB"/>
    </w:rPr>
  </w:style>
  <w:style w:type="paragraph" w:customStyle="1" w:styleId="Index2">
    <w:name w:val="Index2"/>
    <w:rsid w:val="00445DC3"/>
    <w:pPr>
      <w:tabs>
        <w:tab w:val="right" w:pos="8312"/>
      </w:tabs>
      <w:spacing w:before="120" w:after="0" w:line="240" w:lineRule="auto"/>
      <w:ind w:left="567"/>
    </w:pPr>
    <w:rPr>
      <w:rFonts w:ascii="Arial" w:eastAsia="Times New Roman" w:hAnsi="Arial" w:cs="Times New Roman"/>
      <w:sz w:val="20"/>
      <w:szCs w:val="20"/>
      <w:lang w:eastAsia="en-GB"/>
    </w:rPr>
  </w:style>
  <w:style w:type="paragraph" w:customStyle="1" w:styleId="Index3">
    <w:name w:val="Index3"/>
    <w:rsid w:val="00445DC3"/>
    <w:pPr>
      <w:tabs>
        <w:tab w:val="right" w:pos="8312"/>
      </w:tabs>
      <w:spacing w:before="120" w:after="0" w:line="240" w:lineRule="auto"/>
      <w:ind w:left="1134"/>
    </w:pPr>
    <w:rPr>
      <w:rFonts w:ascii="Arial" w:eastAsia="Times New Roman" w:hAnsi="Arial" w:cs="Times New Roman"/>
      <w:sz w:val="20"/>
      <w:szCs w:val="20"/>
      <w:lang w:eastAsia="en-GB"/>
    </w:rPr>
  </w:style>
  <w:style w:type="paragraph" w:customStyle="1" w:styleId="Index4">
    <w:name w:val="Index4"/>
    <w:rsid w:val="00445DC3"/>
    <w:pPr>
      <w:tabs>
        <w:tab w:val="right" w:pos="8312"/>
      </w:tabs>
      <w:spacing w:before="120" w:after="0" w:line="240" w:lineRule="auto"/>
      <w:ind w:left="1701"/>
    </w:pPr>
    <w:rPr>
      <w:rFonts w:ascii="Arial" w:eastAsia="Times New Roman" w:hAnsi="Arial" w:cs="Times New Roman"/>
      <w:sz w:val="20"/>
      <w:szCs w:val="20"/>
      <w:lang w:eastAsia="en-GB"/>
    </w:rPr>
  </w:style>
  <w:style w:type="paragraph" w:customStyle="1" w:styleId="ArtworkB">
    <w:name w:val="#ArtworkB"/>
    <w:rsid w:val="00445DC3"/>
    <w:pPr>
      <w:pBdr>
        <w:top w:val="thickThinMediumGap" w:sz="12" w:space="1" w:color="auto"/>
        <w:left w:val="thickThinMediumGap" w:sz="12" w:space="4" w:color="auto"/>
        <w:bottom w:val="thickThinMediumGap" w:sz="12" w:space="1" w:color="auto"/>
        <w:right w:val="thickThinMediumGap" w:sz="12" w:space="4" w:color="auto"/>
      </w:pBdr>
      <w:shd w:val="clear" w:color="auto" w:fill="808000"/>
      <w:tabs>
        <w:tab w:val="left" w:pos="567"/>
      </w:tabs>
      <w:spacing w:before="120" w:after="0" w:line="240" w:lineRule="auto"/>
    </w:pPr>
    <w:rPr>
      <w:rFonts w:ascii="Arial" w:eastAsia="Times New Roman" w:hAnsi="Arial" w:cs="Times New Roman"/>
      <w:b/>
      <w:color w:val="00FFFF"/>
      <w:sz w:val="20"/>
      <w:szCs w:val="20"/>
      <w:lang w:eastAsia="en-GB"/>
    </w:rPr>
  </w:style>
  <w:style w:type="paragraph" w:customStyle="1" w:styleId="ArtworkE">
    <w:name w:val="#ArtworkE"/>
    <w:rsid w:val="00445DC3"/>
    <w:pPr>
      <w:pBdr>
        <w:top w:val="single" w:sz="6" w:space="1" w:color="auto"/>
        <w:left w:val="single" w:sz="6" w:space="4" w:color="auto"/>
        <w:bottom w:val="single" w:sz="6" w:space="1" w:color="auto"/>
        <w:right w:val="single" w:sz="6" w:space="4" w:color="auto"/>
      </w:pBdr>
      <w:shd w:val="clear" w:color="auto" w:fill="808000"/>
      <w:tabs>
        <w:tab w:val="left" w:pos="567"/>
      </w:tabs>
      <w:spacing w:before="120" w:after="0" w:line="240" w:lineRule="auto"/>
      <w:jc w:val="right"/>
    </w:pPr>
    <w:rPr>
      <w:rFonts w:ascii="Arial" w:eastAsia="Times New Roman" w:hAnsi="Arial" w:cs="Times New Roman"/>
      <w:b/>
      <w:color w:val="00FFFF"/>
      <w:sz w:val="20"/>
      <w:szCs w:val="20"/>
      <w:lang w:eastAsia="en-GB"/>
    </w:rPr>
  </w:style>
  <w:style w:type="paragraph" w:customStyle="1" w:styleId="Artwork">
    <w:name w:val="Artwork"/>
    <w:rsid w:val="00445DC3"/>
    <w:pPr>
      <w:tabs>
        <w:tab w:val="left" w:pos="567"/>
      </w:tabs>
      <w:spacing w:before="120" w:after="0" w:line="240" w:lineRule="auto"/>
    </w:pPr>
    <w:rPr>
      <w:rFonts w:ascii="Arial" w:eastAsia="Times New Roman" w:hAnsi="Arial" w:cs="Times New Roman"/>
      <w:b/>
      <w:color w:val="0000FF"/>
      <w:sz w:val="20"/>
      <w:szCs w:val="20"/>
      <w:lang w:eastAsia="en-GB"/>
    </w:rPr>
  </w:style>
  <w:style w:type="paragraph" w:customStyle="1" w:styleId="Author">
    <w:name w:val="Author"/>
    <w:rsid w:val="00445DC3"/>
    <w:pPr>
      <w:tabs>
        <w:tab w:val="left" w:pos="567"/>
      </w:tabs>
      <w:spacing w:after="0" w:line="240" w:lineRule="auto"/>
      <w:jc w:val="center"/>
    </w:pPr>
    <w:rPr>
      <w:rFonts w:ascii="Arial" w:eastAsia="Times New Roman" w:hAnsi="Arial" w:cs="Times New Roman"/>
      <w:sz w:val="20"/>
      <w:szCs w:val="20"/>
      <w:lang w:eastAsia="en-GB"/>
    </w:rPr>
  </w:style>
  <w:style w:type="paragraph" w:styleId="Quote">
    <w:name w:val="Quote"/>
    <w:link w:val="QuoteChar"/>
    <w:qFormat/>
    <w:rsid w:val="00445DC3"/>
    <w:pPr>
      <w:tabs>
        <w:tab w:val="left" w:pos="567"/>
      </w:tabs>
      <w:spacing w:before="120" w:after="120" w:line="240" w:lineRule="auto"/>
      <w:ind w:left="680"/>
    </w:pPr>
    <w:rPr>
      <w:rFonts w:ascii="Times New Roman" w:eastAsia="Times New Roman" w:hAnsi="Times New Roman" w:cs="Times New Roman"/>
      <w:szCs w:val="20"/>
      <w:lang w:eastAsia="en-GB"/>
    </w:rPr>
  </w:style>
  <w:style w:type="character" w:customStyle="1" w:styleId="QuoteChar">
    <w:name w:val="Quote Char"/>
    <w:basedOn w:val="DefaultParagraphFont"/>
    <w:link w:val="Quote"/>
    <w:rsid w:val="005066A4"/>
    <w:rPr>
      <w:rFonts w:ascii="Times New Roman" w:eastAsia="Times New Roman" w:hAnsi="Times New Roman" w:cs="Times New Roman"/>
      <w:szCs w:val="20"/>
      <w:lang w:eastAsia="en-GB"/>
    </w:rPr>
  </w:style>
  <w:style w:type="paragraph" w:customStyle="1" w:styleId="QuoteContinued">
    <w:name w:val="QuoteContinued"/>
    <w:rsid w:val="00445DC3"/>
    <w:pPr>
      <w:tabs>
        <w:tab w:val="left" w:pos="567"/>
      </w:tabs>
      <w:spacing w:before="60" w:after="0" w:line="240" w:lineRule="auto"/>
      <w:ind w:left="680"/>
    </w:pPr>
    <w:rPr>
      <w:rFonts w:ascii="Times New Roman" w:eastAsia="Times New Roman" w:hAnsi="Times New Roman" w:cs="Times New Roman"/>
      <w:szCs w:val="20"/>
      <w:lang w:eastAsia="en-GB"/>
    </w:rPr>
  </w:style>
  <w:style w:type="paragraph" w:customStyle="1" w:styleId="ChapNumber">
    <w:name w:val="ChapNumber"/>
    <w:rsid w:val="00445DC3"/>
    <w:pPr>
      <w:tabs>
        <w:tab w:val="left" w:pos="567"/>
      </w:tabs>
      <w:spacing w:before="120" w:after="0" w:line="240" w:lineRule="auto"/>
      <w:jc w:val="center"/>
    </w:pPr>
    <w:rPr>
      <w:rFonts w:ascii="Arial" w:eastAsia="Times New Roman" w:hAnsi="Arial" w:cs="Times New Roman"/>
      <w:sz w:val="32"/>
      <w:szCs w:val="20"/>
      <w:lang w:eastAsia="en-GB"/>
    </w:rPr>
  </w:style>
  <w:style w:type="paragraph" w:customStyle="1" w:styleId="ChapTitle">
    <w:name w:val="ChapTitle"/>
    <w:rsid w:val="00445DC3"/>
    <w:pPr>
      <w:tabs>
        <w:tab w:val="left" w:pos="567"/>
      </w:tabs>
      <w:spacing w:before="240" w:after="0" w:line="240" w:lineRule="auto"/>
      <w:jc w:val="center"/>
    </w:pPr>
    <w:rPr>
      <w:rFonts w:ascii="Arial" w:eastAsia="Times New Roman" w:hAnsi="Arial" w:cs="Times New Roman"/>
      <w:sz w:val="40"/>
      <w:szCs w:val="20"/>
      <w:lang w:eastAsia="en-GB"/>
    </w:rPr>
  </w:style>
  <w:style w:type="paragraph" w:customStyle="1" w:styleId="ChapSubtitle">
    <w:name w:val="ChapSubtitle"/>
    <w:basedOn w:val="Title"/>
    <w:rsid w:val="00445DC3"/>
    <w:pPr>
      <w:spacing w:before="360" w:after="360"/>
      <w:outlineLvl w:val="9"/>
    </w:pPr>
    <w:rPr>
      <w:rFonts w:ascii="Times New Roman" w:hAnsi="Times New Roman" w:cs="Times New Roman"/>
      <w:kern w:val="0"/>
      <w:szCs w:val="28"/>
      <w:lang w:val="en-GB"/>
    </w:rPr>
  </w:style>
  <w:style w:type="paragraph" w:styleId="Title">
    <w:name w:val="Title"/>
    <w:basedOn w:val="Normal"/>
    <w:link w:val="TitleChar"/>
    <w:qFormat/>
    <w:rsid w:val="00445DC3"/>
    <w:pPr>
      <w:spacing w:before="240" w:after="60"/>
      <w:jc w:val="center"/>
      <w:outlineLvl w:val="0"/>
    </w:pPr>
    <w:rPr>
      <w:rFonts w:ascii="Arial" w:hAnsi="Arial" w:cs="Arial"/>
      <w:b/>
      <w:bCs/>
      <w:kern w:val="28"/>
      <w:sz w:val="32"/>
      <w:szCs w:val="32"/>
    </w:rPr>
  </w:style>
  <w:style w:type="character" w:customStyle="1" w:styleId="TitleChar">
    <w:name w:val="Title Char"/>
    <w:basedOn w:val="DefaultParagraphFont"/>
    <w:link w:val="Title"/>
    <w:rsid w:val="005066A4"/>
    <w:rPr>
      <w:rFonts w:ascii="Arial" w:eastAsia="Times New Roman" w:hAnsi="Arial" w:cs="Arial"/>
      <w:b/>
      <w:bCs/>
      <w:kern w:val="28"/>
      <w:sz w:val="32"/>
      <w:szCs w:val="32"/>
      <w:lang w:val="en-US"/>
    </w:rPr>
  </w:style>
  <w:style w:type="paragraph" w:customStyle="1" w:styleId="NormalContinued">
    <w:name w:val="NormalContinued"/>
    <w:basedOn w:val="Normal"/>
    <w:rsid w:val="00445DC3"/>
  </w:style>
  <w:style w:type="paragraph" w:customStyle="1" w:styleId="BiblioEntry">
    <w:name w:val="BiblioEntry"/>
    <w:rsid w:val="00445DC3"/>
    <w:pPr>
      <w:tabs>
        <w:tab w:val="left" w:pos="567"/>
      </w:tabs>
      <w:spacing w:before="120" w:after="0" w:line="240" w:lineRule="auto"/>
      <w:ind w:left="567" w:hanging="567"/>
    </w:pPr>
    <w:rPr>
      <w:rFonts w:ascii="Times New Roman" w:eastAsia="Times New Roman" w:hAnsi="Times New Roman" w:cs="Times New Roman"/>
      <w:sz w:val="24"/>
      <w:szCs w:val="20"/>
      <w:lang w:eastAsia="en-GB"/>
    </w:rPr>
  </w:style>
  <w:style w:type="paragraph" w:customStyle="1" w:styleId="TableB">
    <w:name w:val="#TableB"/>
    <w:rsid w:val="00445DC3"/>
    <w:pPr>
      <w:pBdr>
        <w:top w:val="thickThinMediumGap" w:sz="12" w:space="1" w:color="auto"/>
        <w:left w:val="thickThinMediumGap" w:sz="12" w:space="4" w:color="auto"/>
        <w:bottom w:val="thickThinMediumGap" w:sz="12" w:space="1" w:color="auto"/>
        <w:right w:val="thickThinMediumGap" w:sz="12" w:space="4" w:color="auto"/>
      </w:pBdr>
      <w:shd w:val="clear" w:color="auto" w:fill="00FF00"/>
      <w:tabs>
        <w:tab w:val="left" w:pos="567"/>
      </w:tabs>
      <w:spacing w:before="120" w:after="120" w:line="240" w:lineRule="auto"/>
    </w:pPr>
    <w:rPr>
      <w:rFonts w:ascii="Arial" w:eastAsia="Times New Roman" w:hAnsi="Arial" w:cs="Times New Roman"/>
      <w:b/>
      <w:sz w:val="20"/>
      <w:szCs w:val="20"/>
      <w:lang w:eastAsia="en-GB"/>
    </w:rPr>
  </w:style>
  <w:style w:type="paragraph" w:customStyle="1" w:styleId="TableE">
    <w:name w:val="#TableE"/>
    <w:rsid w:val="00445DC3"/>
    <w:pPr>
      <w:pBdr>
        <w:top w:val="single" w:sz="6" w:space="1" w:color="auto"/>
        <w:left w:val="single" w:sz="6" w:space="4" w:color="auto"/>
        <w:bottom w:val="single" w:sz="6" w:space="1" w:color="auto"/>
        <w:right w:val="single" w:sz="6" w:space="4" w:color="auto"/>
      </w:pBdr>
      <w:shd w:val="clear" w:color="auto" w:fill="00FF00"/>
      <w:tabs>
        <w:tab w:val="left" w:pos="567"/>
      </w:tabs>
      <w:spacing w:before="120" w:after="0" w:line="240" w:lineRule="auto"/>
      <w:jc w:val="right"/>
    </w:pPr>
    <w:rPr>
      <w:rFonts w:ascii="Arial" w:eastAsia="Times New Roman" w:hAnsi="Arial" w:cs="Times New Roman"/>
      <w:b/>
      <w:sz w:val="20"/>
      <w:szCs w:val="20"/>
      <w:lang w:eastAsia="en-GB"/>
    </w:rPr>
  </w:style>
  <w:style w:type="paragraph" w:customStyle="1" w:styleId="Quote-list">
    <w:name w:val="Quote-list"/>
    <w:basedOn w:val="Quote"/>
    <w:rsid w:val="00445DC3"/>
    <w:pPr>
      <w:keepLines/>
      <w:contextualSpacing/>
    </w:pPr>
  </w:style>
  <w:style w:type="paragraph" w:customStyle="1" w:styleId="Quote-sublist">
    <w:name w:val="Quote-sublist"/>
    <w:basedOn w:val="Quote-list"/>
    <w:rsid w:val="00445DC3"/>
    <w:pPr>
      <w:ind w:left="1134"/>
    </w:pPr>
  </w:style>
  <w:style w:type="paragraph" w:customStyle="1" w:styleId="PartNumber">
    <w:name w:val="PartNumber"/>
    <w:rsid w:val="00445DC3"/>
    <w:pPr>
      <w:tabs>
        <w:tab w:val="left" w:pos="567"/>
      </w:tabs>
      <w:spacing w:before="240" w:after="0" w:line="240" w:lineRule="auto"/>
    </w:pPr>
    <w:rPr>
      <w:rFonts w:ascii="Arial" w:eastAsia="Times New Roman" w:hAnsi="Arial" w:cs="Times New Roman"/>
      <w:b/>
      <w:sz w:val="44"/>
      <w:szCs w:val="20"/>
      <w:lang w:eastAsia="en-GB"/>
    </w:rPr>
  </w:style>
  <w:style w:type="paragraph" w:customStyle="1" w:styleId="PartTitle">
    <w:name w:val="PartTitle"/>
    <w:rsid w:val="00445DC3"/>
    <w:pPr>
      <w:tabs>
        <w:tab w:val="left" w:pos="567"/>
      </w:tabs>
      <w:spacing w:after="360" w:line="240" w:lineRule="auto"/>
    </w:pPr>
    <w:rPr>
      <w:rFonts w:ascii="Arial" w:eastAsia="Times New Roman" w:hAnsi="Arial" w:cs="Times New Roman"/>
      <w:sz w:val="44"/>
      <w:szCs w:val="20"/>
      <w:lang w:eastAsia="en-GB"/>
    </w:rPr>
  </w:style>
  <w:style w:type="character" w:customStyle="1" w:styleId="leader-fill">
    <w:name w:val="leader-fill"/>
    <w:rsid w:val="00445DC3"/>
    <w:rPr>
      <w:rFonts w:cs="Times New Roman"/>
      <w:color w:val="800000"/>
      <w:shd w:val="clear" w:color="auto" w:fill="auto"/>
      <w:lang w:val="en-GB" w:eastAsia="x-none"/>
    </w:rPr>
  </w:style>
  <w:style w:type="paragraph" w:customStyle="1" w:styleId="Epigraph">
    <w:name w:val="Epigraph"/>
    <w:basedOn w:val="Quote"/>
    <w:rsid w:val="00445DC3"/>
    <w:pPr>
      <w:jc w:val="right"/>
    </w:pPr>
  </w:style>
  <w:style w:type="paragraph" w:customStyle="1" w:styleId="Figurecaption">
    <w:name w:val="Figure caption"/>
    <w:basedOn w:val="Normal"/>
    <w:rsid w:val="00445DC3"/>
    <w:pPr>
      <w:spacing w:before="240"/>
      <w:jc w:val="left"/>
    </w:pPr>
    <w:rPr>
      <w:b/>
    </w:rPr>
  </w:style>
  <w:style w:type="paragraph" w:customStyle="1" w:styleId="Abstract">
    <w:name w:val="Abstract"/>
    <w:basedOn w:val="Normal"/>
    <w:rsid w:val="00445DC3"/>
    <w:pPr>
      <w:ind w:left="284" w:right="284"/>
    </w:pPr>
    <w:rPr>
      <w:sz w:val="20"/>
    </w:rPr>
  </w:style>
  <w:style w:type="paragraph" w:customStyle="1" w:styleId="TableCaption">
    <w:name w:val="TableCaption"/>
    <w:basedOn w:val="Figurecaption"/>
    <w:next w:val="Normal"/>
    <w:rsid w:val="00445DC3"/>
    <w:pPr>
      <w:spacing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81970149">
      <w:bodyDiv w:val="1"/>
      <w:marLeft w:val="0"/>
      <w:marRight w:val="0"/>
      <w:marTop w:val="0"/>
      <w:marBottom w:val="0"/>
      <w:divBdr>
        <w:top w:val="none" w:sz="0" w:space="0" w:color="auto"/>
        <w:left w:val="none" w:sz="0" w:space="0" w:color="auto"/>
        <w:bottom w:val="none" w:sz="0" w:space="0" w:color="auto"/>
        <w:right w:val="none" w:sz="0" w:space="0" w:color="auto"/>
      </w:divBdr>
    </w:div>
    <w:div w:id="912668779">
      <w:bodyDiv w:val="1"/>
      <w:marLeft w:val="0"/>
      <w:marRight w:val="0"/>
      <w:marTop w:val="0"/>
      <w:marBottom w:val="0"/>
      <w:divBdr>
        <w:top w:val="none" w:sz="0" w:space="0" w:color="auto"/>
        <w:left w:val="none" w:sz="0" w:space="0" w:color="auto"/>
        <w:bottom w:val="none" w:sz="0" w:space="0" w:color="auto"/>
        <w:right w:val="none" w:sz="0" w:space="0" w:color="auto"/>
      </w:divBdr>
    </w:div>
    <w:div w:id="1113792759">
      <w:bodyDiv w:val="1"/>
      <w:marLeft w:val="0"/>
      <w:marRight w:val="0"/>
      <w:marTop w:val="0"/>
      <w:marBottom w:val="0"/>
      <w:divBdr>
        <w:top w:val="none" w:sz="0" w:space="0" w:color="auto"/>
        <w:left w:val="none" w:sz="0" w:space="0" w:color="auto"/>
        <w:bottom w:val="none" w:sz="0" w:space="0" w:color="auto"/>
        <w:right w:val="none" w:sz="0" w:space="0" w:color="auto"/>
      </w:divBdr>
    </w:div>
    <w:div w:id="1524319655">
      <w:bodyDiv w:val="1"/>
      <w:marLeft w:val="0"/>
      <w:marRight w:val="0"/>
      <w:marTop w:val="0"/>
      <w:marBottom w:val="0"/>
      <w:divBdr>
        <w:top w:val="none" w:sz="0" w:space="0" w:color="auto"/>
        <w:left w:val="none" w:sz="0" w:space="0" w:color="auto"/>
        <w:bottom w:val="none" w:sz="0" w:space="0" w:color="auto"/>
        <w:right w:val="none" w:sz="0" w:space="0" w:color="auto"/>
      </w:divBdr>
    </w:div>
    <w:div w:id="1550460470">
      <w:bodyDiv w:val="1"/>
      <w:marLeft w:val="0"/>
      <w:marRight w:val="0"/>
      <w:marTop w:val="0"/>
      <w:marBottom w:val="0"/>
      <w:divBdr>
        <w:top w:val="none" w:sz="0" w:space="0" w:color="auto"/>
        <w:left w:val="none" w:sz="0" w:space="0" w:color="auto"/>
        <w:bottom w:val="none" w:sz="0" w:space="0" w:color="auto"/>
        <w:right w:val="none" w:sz="0" w:space="0" w:color="auto"/>
      </w:divBdr>
    </w:div>
    <w:div w:id="1702826696">
      <w:bodyDiv w:val="1"/>
      <w:marLeft w:val="0"/>
      <w:marRight w:val="0"/>
      <w:marTop w:val="0"/>
      <w:marBottom w:val="0"/>
      <w:divBdr>
        <w:top w:val="none" w:sz="0" w:space="0" w:color="auto"/>
        <w:left w:val="none" w:sz="0" w:space="0" w:color="auto"/>
        <w:bottom w:val="none" w:sz="0" w:space="0" w:color="auto"/>
        <w:right w:val="none" w:sz="0" w:space="0" w:color="auto"/>
      </w:divBdr>
      <w:divsChild>
        <w:div w:id="1765303823">
          <w:marLeft w:val="0"/>
          <w:marRight w:val="0"/>
          <w:marTop w:val="0"/>
          <w:marBottom w:val="0"/>
          <w:divBdr>
            <w:top w:val="none" w:sz="0" w:space="0" w:color="auto"/>
            <w:left w:val="none" w:sz="0" w:space="0" w:color="auto"/>
            <w:bottom w:val="none" w:sz="0" w:space="0" w:color="auto"/>
            <w:right w:val="none" w:sz="0" w:space="0" w:color="auto"/>
          </w:divBdr>
        </w:div>
        <w:div w:id="1384980875">
          <w:marLeft w:val="0"/>
          <w:marRight w:val="0"/>
          <w:marTop w:val="0"/>
          <w:marBottom w:val="0"/>
          <w:divBdr>
            <w:top w:val="none" w:sz="0" w:space="0" w:color="auto"/>
            <w:left w:val="none" w:sz="0" w:space="0" w:color="auto"/>
            <w:bottom w:val="none" w:sz="0" w:space="0" w:color="auto"/>
            <w:right w:val="none" w:sz="0" w:space="0" w:color="auto"/>
          </w:divBdr>
          <w:divsChild>
            <w:div w:id="1905139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rian\Desktop\Claire's%20documents\Hart%20Buyer's%20Remedies\HART%20TEMPLATE.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f6569699-ae44-4c85-9383-dd5a41d3d471"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C495DC29F69DA41B831D7985DDEFF7A" ma:contentTypeVersion="15" ma:contentTypeDescription="Create a new document." ma:contentTypeScope="" ma:versionID="470adb7271247610cf1ee58b30a2a3a3">
  <xsd:schema xmlns:xsd="http://www.w3.org/2001/XMLSchema" xmlns:xs="http://www.w3.org/2001/XMLSchema" xmlns:p="http://schemas.microsoft.com/office/2006/metadata/properties" xmlns:ns3="f6569699-ae44-4c85-9383-dd5a41d3d471" xmlns:ns4="da5da9df-85e1-4e4b-b319-af1e48434c21" targetNamespace="http://schemas.microsoft.com/office/2006/metadata/properties" ma:root="true" ma:fieldsID="37868817fed20e626980733b83e453e6" ns3:_="" ns4:_="">
    <xsd:import namespace="f6569699-ae44-4c85-9383-dd5a41d3d471"/>
    <xsd:import namespace="da5da9df-85e1-4e4b-b319-af1e48434c21"/>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element ref="ns3:MediaServiceOCR" minOccurs="0"/>
                <xsd:element ref="ns3:MediaServiceGenerationTime" minOccurs="0"/>
                <xsd:element ref="ns3:MediaServiceEventHashCode" minOccurs="0"/>
                <xsd:element ref="ns3:_activity"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6569699-ae44-4c85-9383-dd5a41d3d47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AutoTags" ma:index="17" nillable="true" ma:displayName="Tags" ma:internalName="MediaServiceAutoTags"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a5da9df-85e1-4e4b-b319-af1e48434c21"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34B360-2D55-437F-9576-84F7A9785383}">
  <ds:schemaRefs>
    <ds:schemaRef ds:uri="http://schemas.microsoft.com/office/infopath/2007/PartnerControls"/>
    <ds:schemaRef ds:uri="f6569699-ae44-4c85-9383-dd5a41d3d471"/>
    <ds:schemaRef ds:uri="http://purl.org/dc/term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da5da9df-85e1-4e4b-b319-af1e48434c21"/>
    <ds:schemaRef ds:uri="http://www.w3.org/XML/1998/namespace"/>
    <ds:schemaRef ds:uri="http://purl.org/dc/dcmitype/"/>
  </ds:schemaRefs>
</ds:datastoreItem>
</file>

<file path=customXml/itemProps2.xml><?xml version="1.0" encoding="utf-8"?>
<ds:datastoreItem xmlns:ds="http://schemas.openxmlformats.org/officeDocument/2006/customXml" ds:itemID="{875F4717-4D9B-447E-BCD0-52A810B06747}">
  <ds:schemaRefs>
    <ds:schemaRef ds:uri="http://schemas.microsoft.com/sharepoint/v3/contenttype/forms"/>
  </ds:schemaRefs>
</ds:datastoreItem>
</file>

<file path=customXml/itemProps3.xml><?xml version="1.0" encoding="utf-8"?>
<ds:datastoreItem xmlns:ds="http://schemas.openxmlformats.org/officeDocument/2006/customXml" ds:itemID="{8FBB99C0-4BE5-49D1-89F3-24FAD3CFE3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6569699-ae44-4c85-9383-dd5a41d3d471"/>
    <ds:schemaRef ds:uri="da5da9df-85e1-4e4b-b319-af1e48434c2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9E02869-7C2F-4E1E-BBFF-C528671186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HART TEMPLATE</Template>
  <TotalTime>0</TotalTime>
  <Pages>27</Pages>
  <Words>5862</Words>
  <Characters>33416</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University of the West of England</Company>
  <LinksUpToDate>false</LinksUpToDate>
  <CharactersWithSpaces>39200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Sam Bourton</dc:creator>
  <cp:keywords/>
  <dc:description/>
  <cp:lastModifiedBy>Sam Bourton</cp:lastModifiedBy>
  <cp:revision>3</cp:revision>
  <dcterms:created xsi:type="dcterms:W3CDTF">2023-10-25T12:10:00Z</dcterms:created>
  <dcterms:modified xsi:type="dcterms:W3CDTF">2023-10-25T12:10:00Z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0x0101001C495DC29F69DA41B831D7985DDEFF7A</vt:lpwstr>
  </property>
</Properties>
</file>