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3D4B" w14:textId="558B380B" w:rsidR="00E8246A" w:rsidRPr="00EC6853" w:rsidRDefault="00E8246A" w:rsidP="009B7C6E">
      <w:pPr>
        <w:spacing w:after="0" w:line="240" w:lineRule="auto"/>
        <w:jc w:val="both"/>
        <w:rPr>
          <w:rFonts w:cstheme="minorHAnsi"/>
          <w:b/>
          <w:bCs/>
          <w:sz w:val="24"/>
          <w:szCs w:val="24"/>
        </w:rPr>
      </w:pPr>
      <w:r w:rsidRPr="00EC6853">
        <w:rPr>
          <w:rFonts w:cstheme="minorHAnsi"/>
          <w:b/>
          <w:bCs/>
          <w:sz w:val="24"/>
          <w:szCs w:val="24"/>
        </w:rPr>
        <w:t xml:space="preserve">Territorial Conflicts on the Territory of the Former Soviet Union. Stabilised </w:t>
      </w:r>
      <w:r w:rsidRPr="00EC6853">
        <w:rPr>
          <w:rFonts w:cstheme="minorHAnsi"/>
          <w:b/>
          <w:bCs/>
          <w:i/>
          <w:iCs/>
          <w:sz w:val="24"/>
          <w:szCs w:val="24"/>
        </w:rPr>
        <w:t xml:space="preserve">de facto </w:t>
      </w:r>
      <w:r w:rsidRPr="00EC6853">
        <w:rPr>
          <w:rFonts w:cstheme="minorHAnsi"/>
          <w:b/>
          <w:bCs/>
          <w:sz w:val="24"/>
          <w:szCs w:val="24"/>
        </w:rPr>
        <w:t>Regimes between Territorial Integrity, the Right of Self-determination, and the Interests of Third Parties</w:t>
      </w:r>
    </w:p>
    <w:p w14:paraId="08B98ACB" w14:textId="7CB2090A" w:rsidR="00E8246A" w:rsidRPr="00EC6853" w:rsidRDefault="00E8246A" w:rsidP="009B7C6E">
      <w:pPr>
        <w:spacing w:after="0" w:line="240" w:lineRule="auto"/>
        <w:jc w:val="both"/>
        <w:rPr>
          <w:rFonts w:cstheme="minorHAnsi"/>
          <w:b/>
          <w:bCs/>
          <w:sz w:val="24"/>
          <w:szCs w:val="24"/>
        </w:rPr>
      </w:pPr>
      <w:proofErr w:type="spellStart"/>
      <w:r w:rsidRPr="00EC6853">
        <w:rPr>
          <w:rFonts w:cstheme="minorHAnsi"/>
          <w:b/>
          <w:bCs/>
          <w:sz w:val="24"/>
          <w:szCs w:val="24"/>
        </w:rPr>
        <w:t>Noëlle</w:t>
      </w:r>
      <w:proofErr w:type="spellEnd"/>
      <w:r w:rsidRPr="00EC6853">
        <w:rPr>
          <w:rFonts w:cstheme="minorHAnsi"/>
          <w:b/>
          <w:bCs/>
          <w:sz w:val="24"/>
          <w:szCs w:val="24"/>
        </w:rPr>
        <w:t xml:space="preserve"> </w:t>
      </w:r>
      <w:proofErr w:type="spellStart"/>
      <w:r w:rsidRPr="00EC6853">
        <w:rPr>
          <w:rFonts w:cstheme="minorHAnsi"/>
          <w:b/>
          <w:bCs/>
          <w:sz w:val="24"/>
          <w:szCs w:val="24"/>
        </w:rPr>
        <w:t>Quénivet</w:t>
      </w:r>
      <w:proofErr w:type="spellEnd"/>
      <w:r w:rsidR="00DF4E6B">
        <w:rPr>
          <w:rStyle w:val="FootnoteReference"/>
          <w:rFonts w:cstheme="minorHAnsi"/>
          <w:b/>
          <w:bCs/>
          <w:sz w:val="24"/>
          <w:szCs w:val="24"/>
        </w:rPr>
        <w:footnoteReference w:customMarkFollows="1" w:id="1"/>
        <w:t>*</w:t>
      </w:r>
    </w:p>
    <w:p w14:paraId="658E89D8" w14:textId="77777777" w:rsidR="00E8246A" w:rsidRPr="00EC6853" w:rsidRDefault="00E8246A" w:rsidP="009B7C6E">
      <w:pPr>
        <w:spacing w:after="0" w:line="240" w:lineRule="auto"/>
        <w:jc w:val="both"/>
        <w:rPr>
          <w:rFonts w:cstheme="minorHAnsi"/>
          <w:sz w:val="24"/>
          <w:szCs w:val="24"/>
        </w:rPr>
      </w:pPr>
    </w:p>
    <w:p w14:paraId="037E31AF" w14:textId="062CEDA4" w:rsidR="009920A9" w:rsidRPr="00C23C5C" w:rsidRDefault="009920A9" w:rsidP="00C23C5C">
      <w:pPr>
        <w:pStyle w:val="Heading1"/>
      </w:pPr>
      <w:r w:rsidRPr="00C23C5C">
        <w:t>Introduction</w:t>
      </w:r>
    </w:p>
    <w:p w14:paraId="54FD4860" w14:textId="256077B7" w:rsidR="00D40E10" w:rsidRPr="00EC6853" w:rsidRDefault="00A318A7" w:rsidP="005337E3">
      <w:pPr>
        <w:spacing w:after="0" w:line="240" w:lineRule="auto"/>
        <w:ind w:firstLine="720"/>
        <w:jc w:val="both"/>
        <w:rPr>
          <w:rFonts w:cstheme="minorHAnsi"/>
          <w:sz w:val="24"/>
          <w:szCs w:val="24"/>
        </w:rPr>
      </w:pPr>
      <w:r w:rsidRPr="00EC6853">
        <w:rPr>
          <w:rFonts w:cstheme="minorHAnsi"/>
          <w:sz w:val="24"/>
          <w:szCs w:val="24"/>
        </w:rPr>
        <w:t xml:space="preserve">Since the fall of the Soviet Union, </w:t>
      </w:r>
      <w:r w:rsidR="00A41982">
        <w:rPr>
          <w:rFonts w:cstheme="minorHAnsi"/>
          <w:sz w:val="24"/>
          <w:szCs w:val="24"/>
        </w:rPr>
        <w:t>nine</w:t>
      </w:r>
      <w:r w:rsidRPr="00EC6853">
        <w:rPr>
          <w:rFonts w:cstheme="minorHAnsi"/>
          <w:sz w:val="24"/>
          <w:szCs w:val="24"/>
        </w:rPr>
        <w:t xml:space="preserve"> non-State entities have appeared on its territory, each claiming independence, if not statehood: Abkhazia (Republic of Abkhazia</w:t>
      </w:r>
      <w:r w:rsidR="006F290F">
        <w:rPr>
          <w:rFonts w:cstheme="minorHAnsi"/>
          <w:sz w:val="24"/>
          <w:szCs w:val="24"/>
        </w:rPr>
        <w:t xml:space="preserve"> or </w:t>
      </w:r>
      <w:proofErr w:type="spellStart"/>
      <w:r w:rsidR="006F290F">
        <w:rPr>
          <w:rFonts w:cstheme="minorHAnsi"/>
          <w:sz w:val="24"/>
          <w:szCs w:val="24"/>
        </w:rPr>
        <w:t>Apsny</w:t>
      </w:r>
      <w:proofErr w:type="spellEnd"/>
      <w:r w:rsidRPr="00EC6853">
        <w:rPr>
          <w:rFonts w:cstheme="minorHAnsi"/>
          <w:sz w:val="24"/>
          <w:szCs w:val="24"/>
        </w:rPr>
        <w:t xml:space="preserve">), Chechnya (Republic of </w:t>
      </w:r>
      <w:proofErr w:type="spellStart"/>
      <w:r w:rsidRPr="00EC6853">
        <w:rPr>
          <w:rFonts w:cstheme="minorHAnsi"/>
          <w:sz w:val="24"/>
          <w:szCs w:val="24"/>
        </w:rPr>
        <w:t>Ichkheria</w:t>
      </w:r>
      <w:proofErr w:type="spellEnd"/>
      <w:r w:rsidRPr="00EC6853">
        <w:rPr>
          <w:rFonts w:cstheme="minorHAnsi"/>
          <w:sz w:val="24"/>
          <w:szCs w:val="24"/>
        </w:rPr>
        <w:t xml:space="preserve">), Crimea (Republic of Crimea), Donetsk People’s Republic, </w:t>
      </w:r>
      <w:proofErr w:type="spellStart"/>
      <w:r w:rsidR="00A41982">
        <w:rPr>
          <w:rFonts w:cstheme="minorHAnsi"/>
          <w:sz w:val="24"/>
          <w:szCs w:val="24"/>
        </w:rPr>
        <w:t>Gagauzia</w:t>
      </w:r>
      <w:proofErr w:type="spellEnd"/>
      <w:r w:rsidR="00A41982">
        <w:rPr>
          <w:rFonts w:cstheme="minorHAnsi"/>
          <w:sz w:val="24"/>
          <w:szCs w:val="24"/>
        </w:rPr>
        <w:t xml:space="preserve"> (Republic of </w:t>
      </w:r>
      <w:proofErr w:type="spellStart"/>
      <w:r w:rsidR="00A41982">
        <w:rPr>
          <w:rFonts w:cstheme="minorHAnsi"/>
          <w:sz w:val="24"/>
          <w:szCs w:val="24"/>
        </w:rPr>
        <w:t>Gagauzia</w:t>
      </w:r>
      <w:proofErr w:type="spellEnd"/>
      <w:r w:rsidR="00A41982">
        <w:rPr>
          <w:rFonts w:cstheme="minorHAnsi"/>
          <w:sz w:val="24"/>
          <w:szCs w:val="24"/>
        </w:rPr>
        <w:t xml:space="preserve">), </w:t>
      </w:r>
      <w:r w:rsidRPr="00EC6853">
        <w:rPr>
          <w:rFonts w:cstheme="minorHAnsi"/>
          <w:sz w:val="24"/>
          <w:szCs w:val="24"/>
        </w:rPr>
        <w:t xml:space="preserve">Luhansk People’s Republic, Nagorno-Karabakh (Republic of Artsakh), Transnistria (the Pridnestrovian Moldavian Republic), and South Ossetia (the Republic of South Ossetia - State of Alania). </w:t>
      </w:r>
      <w:r w:rsidR="00030E28">
        <w:rPr>
          <w:rFonts w:cstheme="minorHAnsi"/>
          <w:sz w:val="24"/>
          <w:szCs w:val="24"/>
        </w:rPr>
        <w:t xml:space="preserve">As </w:t>
      </w:r>
      <w:proofErr w:type="spellStart"/>
      <w:r w:rsidR="00030E28">
        <w:rPr>
          <w:rFonts w:cstheme="minorHAnsi"/>
          <w:sz w:val="24"/>
          <w:szCs w:val="24"/>
        </w:rPr>
        <w:t>Coppieters</w:t>
      </w:r>
      <w:proofErr w:type="spellEnd"/>
      <w:r w:rsidR="00030E28">
        <w:rPr>
          <w:rFonts w:cstheme="minorHAnsi"/>
          <w:sz w:val="24"/>
          <w:szCs w:val="24"/>
        </w:rPr>
        <w:t xml:space="preserve"> </w:t>
      </w:r>
      <w:r w:rsidR="00BE0FD0">
        <w:rPr>
          <w:rFonts w:cstheme="minorHAnsi"/>
          <w:sz w:val="24"/>
          <w:szCs w:val="24"/>
        </w:rPr>
        <w:t>acknowledges</w:t>
      </w:r>
      <w:r w:rsidR="00030E28">
        <w:rPr>
          <w:rFonts w:cstheme="minorHAnsi"/>
          <w:sz w:val="24"/>
          <w:szCs w:val="24"/>
        </w:rPr>
        <w:t>, ‘[t]he flood of declarations of sovereignty and independence […] posed a challenge to the Soviet authorities, as well as to the international community.’</w:t>
      </w:r>
      <w:r w:rsidR="00030E28">
        <w:rPr>
          <w:rStyle w:val="FootnoteReference"/>
          <w:rFonts w:cstheme="minorHAnsi"/>
          <w:sz w:val="24"/>
          <w:szCs w:val="24"/>
        </w:rPr>
        <w:footnoteReference w:id="2"/>
      </w:r>
      <w:r w:rsidR="00030E28">
        <w:rPr>
          <w:rFonts w:cstheme="minorHAnsi"/>
          <w:sz w:val="24"/>
          <w:szCs w:val="24"/>
        </w:rPr>
        <w:t xml:space="preserve"> </w:t>
      </w:r>
      <w:r w:rsidR="00A41982">
        <w:rPr>
          <w:rFonts w:cstheme="minorHAnsi"/>
          <w:sz w:val="24"/>
          <w:szCs w:val="24"/>
        </w:rPr>
        <w:t>Two</w:t>
      </w:r>
      <w:r w:rsidR="004A2777">
        <w:rPr>
          <w:rFonts w:cstheme="minorHAnsi"/>
          <w:sz w:val="24"/>
          <w:szCs w:val="24"/>
        </w:rPr>
        <w:t xml:space="preserve"> of these entities</w:t>
      </w:r>
      <w:r w:rsidR="00A41982">
        <w:rPr>
          <w:rFonts w:cstheme="minorHAnsi"/>
          <w:sz w:val="24"/>
          <w:szCs w:val="24"/>
        </w:rPr>
        <w:t xml:space="preserve"> have been incorporated back into their parent State</w:t>
      </w:r>
      <w:r w:rsidRPr="00EC6853">
        <w:rPr>
          <w:rFonts w:cstheme="minorHAnsi"/>
          <w:sz w:val="24"/>
          <w:szCs w:val="24"/>
        </w:rPr>
        <w:t xml:space="preserve"> (Chechnya</w:t>
      </w:r>
      <w:r w:rsidR="00A41982">
        <w:rPr>
          <w:rFonts w:cstheme="minorHAnsi"/>
          <w:sz w:val="24"/>
          <w:szCs w:val="24"/>
        </w:rPr>
        <w:t xml:space="preserve"> and </w:t>
      </w:r>
      <w:proofErr w:type="spellStart"/>
      <w:r w:rsidR="00A41982">
        <w:rPr>
          <w:rFonts w:cstheme="minorHAnsi"/>
          <w:sz w:val="24"/>
          <w:szCs w:val="24"/>
        </w:rPr>
        <w:t>Gagauzia</w:t>
      </w:r>
      <w:proofErr w:type="spellEnd"/>
      <w:r w:rsidR="00A41982">
        <w:rPr>
          <w:rFonts w:cstheme="minorHAnsi"/>
          <w:sz w:val="24"/>
          <w:szCs w:val="24"/>
        </w:rPr>
        <w:t>), three (</w:t>
      </w:r>
      <w:r w:rsidR="001D700D" w:rsidRPr="00EC6853">
        <w:rPr>
          <w:rFonts w:cstheme="minorHAnsi"/>
          <w:sz w:val="24"/>
          <w:szCs w:val="24"/>
        </w:rPr>
        <w:t>Crimea, Donetsk People’s Republic and Luhansk People’s Republic</w:t>
      </w:r>
      <w:r w:rsidRPr="00EC6853">
        <w:rPr>
          <w:rFonts w:cstheme="minorHAnsi"/>
          <w:sz w:val="24"/>
          <w:szCs w:val="24"/>
        </w:rPr>
        <w:t xml:space="preserve">) have been incorporated </w:t>
      </w:r>
      <w:r w:rsidR="001D700D" w:rsidRPr="00EC6853">
        <w:rPr>
          <w:rFonts w:cstheme="minorHAnsi"/>
          <w:sz w:val="24"/>
          <w:szCs w:val="24"/>
        </w:rPr>
        <w:t>unlawfully</w:t>
      </w:r>
      <w:r w:rsidR="00B81371">
        <w:rPr>
          <w:rStyle w:val="FootnoteReference"/>
          <w:rFonts w:cstheme="minorHAnsi"/>
          <w:sz w:val="24"/>
          <w:szCs w:val="24"/>
        </w:rPr>
        <w:footnoteReference w:id="3"/>
      </w:r>
      <w:r w:rsidR="001D700D" w:rsidRPr="00EC6853">
        <w:rPr>
          <w:rFonts w:cstheme="minorHAnsi"/>
          <w:sz w:val="24"/>
          <w:szCs w:val="24"/>
        </w:rPr>
        <w:t xml:space="preserve"> </w:t>
      </w:r>
      <w:r w:rsidRPr="00EC6853">
        <w:rPr>
          <w:rFonts w:cstheme="minorHAnsi"/>
          <w:sz w:val="24"/>
          <w:szCs w:val="24"/>
        </w:rPr>
        <w:t>into another State whilst the others are perduring as non-State entities</w:t>
      </w:r>
      <w:r w:rsidR="00771000" w:rsidRPr="00EC6853">
        <w:rPr>
          <w:rFonts w:cstheme="minorHAnsi"/>
          <w:sz w:val="24"/>
          <w:szCs w:val="24"/>
        </w:rPr>
        <w:t xml:space="preserve"> and can be classed as </w:t>
      </w:r>
      <w:r w:rsidR="00771000" w:rsidRPr="00EC6853">
        <w:rPr>
          <w:rFonts w:cstheme="minorHAnsi"/>
          <w:i/>
          <w:sz w:val="24"/>
          <w:szCs w:val="24"/>
        </w:rPr>
        <w:t xml:space="preserve">de facto </w:t>
      </w:r>
      <w:r w:rsidR="00771000" w:rsidRPr="00EC6853">
        <w:rPr>
          <w:rFonts w:cstheme="minorHAnsi"/>
          <w:sz w:val="24"/>
          <w:szCs w:val="24"/>
        </w:rPr>
        <w:t>stabilised regimes</w:t>
      </w:r>
      <w:r w:rsidR="00D40E10" w:rsidRPr="00EC6853">
        <w:rPr>
          <w:rFonts w:cstheme="minorHAnsi"/>
          <w:sz w:val="24"/>
          <w:szCs w:val="24"/>
        </w:rPr>
        <w:t xml:space="preserve"> / States</w:t>
      </w:r>
      <w:r w:rsidRPr="00EC6853">
        <w:rPr>
          <w:rFonts w:cstheme="minorHAnsi"/>
          <w:sz w:val="24"/>
          <w:szCs w:val="24"/>
        </w:rPr>
        <w:t>.</w:t>
      </w:r>
      <w:r w:rsidR="00D40E10" w:rsidRPr="00EC6853">
        <w:rPr>
          <w:rFonts w:cstheme="minorHAnsi"/>
          <w:sz w:val="24"/>
          <w:szCs w:val="24"/>
        </w:rPr>
        <w:t xml:space="preserve"> </w:t>
      </w:r>
    </w:p>
    <w:p w14:paraId="1CB1A16C" w14:textId="7C436BFC" w:rsidR="001F0EA8" w:rsidRPr="006E6B00" w:rsidRDefault="00D40E10" w:rsidP="0044048E">
      <w:pPr>
        <w:spacing w:after="0" w:line="240" w:lineRule="auto"/>
        <w:ind w:firstLine="720"/>
        <w:jc w:val="both"/>
        <w:rPr>
          <w:rFonts w:cstheme="minorHAnsi"/>
          <w:sz w:val="24"/>
          <w:szCs w:val="24"/>
        </w:rPr>
      </w:pPr>
      <w:r w:rsidRPr="00EC6853">
        <w:rPr>
          <w:rFonts w:cstheme="minorHAnsi"/>
          <w:i/>
          <w:iCs/>
          <w:sz w:val="24"/>
          <w:szCs w:val="24"/>
        </w:rPr>
        <w:t xml:space="preserve">De facto </w:t>
      </w:r>
      <w:r w:rsidRPr="00EC6853">
        <w:rPr>
          <w:rFonts w:cstheme="minorHAnsi"/>
          <w:sz w:val="24"/>
          <w:szCs w:val="24"/>
        </w:rPr>
        <w:t xml:space="preserve">States have been defined by </w:t>
      </w:r>
      <w:proofErr w:type="spellStart"/>
      <w:r w:rsidRPr="00EC6853">
        <w:rPr>
          <w:rFonts w:cstheme="minorHAnsi"/>
          <w:sz w:val="24"/>
          <w:szCs w:val="24"/>
        </w:rPr>
        <w:t>Pegg</w:t>
      </w:r>
      <w:proofErr w:type="spellEnd"/>
      <w:r w:rsidRPr="00EC6853">
        <w:rPr>
          <w:rFonts w:cstheme="minorHAnsi"/>
          <w:sz w:val="24"/>
          <w:szCs w:val="24"/>
        </w:rPr>
        <w:t xml:space="preserve"> as ‘entities which feature long-term, effective, and popularly-supported organized political leadership that provide governmental services to a given population in a defined territorial area’ and which ‘seek international recognition and view themselves as capable of meeting the obligations of sovereign statehood.’</w:t>
      </w:r>
      <w:r w:rsidRPr="00EC6853">
        <w:rPr>
          <w:rStyle w:val="FootnoteReference"/>
          <w:rFonts w:cstheme="minorHAnsi"/>
          <w:sz w:val="24"/>
          <w:szCs w:val="24"/>
        </w:rPr>
        <w:footnoteReference w:id="4"/>
      </w:r>
      <w:r w:rsidR="00A318A7" w:rsidRPr="00EC6853">
        <w:rPr>
          <w:rFonts w:cstheme="minorHAnsi"/>
          <w:sz w:val="24"/>
          <w:szCs w:val="24"/>
        </w:rPr>
        <w:t xml:space="preserve"> </w:t>
      </w:r>
      <w:r w:rsidRPr="00EC6853">
        <w:rPr>
          <w:rFonts w:cstheme="minorHAnsi"/>
          <w:i/>
          <w:iCs/>
          <w:sz w:val="24"/>
          <w:szCs w:val="24"/>
        </w:rPr>
        <w:t xml:space="preserve">De facto </w:t>
      </w:r>
      <w:r w:rsidR="00B81371">
        <w:rPr>
          <w:rFonts w:cstheme="minorHAnsi"/>
          <w:sz w:val="24"/>
          <w:szCs w:val="24"/>
        </w:rPr>
        <w:t>S</w:t>
      </w:r>
      <w:r w:rsidRPr="00EC6853">
        <w:rPr>
          <w:rFonts w:cstheme="minorHAnsi"/>
          <w:sz w:val="24"/>
          <w:szCs w:val="24"/>
        </w:rPr>
        <w:t xml:space="preserve">tates </w:t>
      </w:r>
      <w:r w:rsidR="00870E1E" w:rsidRPr="00EC6853">
        <w:rPr>
          <w:rFonts w:cstheme="minorHAnsi"/>
          <w:sz w:val="24"/>
          <w:szCs w:val="24"/>
        </w:rPr>
        <w:t xml:space="preserve">cause a significant </w:t>
      </w:r>
      <w:r w:rsidR="00767802">
        <w:rPr>
          <w:rFonts w:cstheme="minorHAnsi"/>
          <w:sz w:val="24"/>
          <w:szCs w:val="24"/>
        </w:rPr>
        <w:t>headache</w:t>
      </w:r>
      <w:r w:rsidR="00870E1E" w:rsidRPr="00EC6853">
        <w:rPr>
          <w:rFonts w:cstheme="minorHAnsi"/>
          <w:sz w:val="24"/>
          <w:szCs w:val="24"/>
        </w:rPr>
        <w:t xml:space="preserve"> for international law. Indeed, </w:t>
      </w:r>
      <w:r w:rsidR="00030E28">
        <w:rPr>
          <w:rFonts w:cstheme="minorHAnsi"/>
          <w:sz w:val="24"/>
          <w:szCs w:val="24"/>
        </w:rPr>
        <w:t>the concept of</w:t>
      </w:r>
      <w:r w:rsidR="00870E1E" w:rsidRPr="00EC6853">
        <w:rPr>
          <w:rFonts w:cstheme="minorHAnsi"/>
          <w:sz w:val="24"/>
          <w:szCs w:val="24"/>
        </w:rPr>
        <w:t xml:space="preserve"> </w:t>
      </w:r>
      <w:r w:rsidR="00870E1E" w:rsidRPr="00EC6853">
        <w:rPr>
          <w:rFonts w:cstheme="minorHAnsi"/>
          <w:i/>
          <w:iCs/>
          <w:sz w:val="24"/>
          <w:szCs w:val="24"/>
        </w:rPr>
        <w:t xml:space="preserve">de facto </w:t>
      </w:r>
      <w:r w:rsidR="00870E1E" w:rsidRPr="00EC6853">
        <w:rPr>
          <w:rFonts w:cstheme="minorHAnsi"/>
          <w:sz w:val="24"/>
          <w:szCs w:val="24"/>
        </w:rPr>
        <w:t>States indicate</w:t>
      </w:r>
      <w:r w:rsidR="00030E28">
        <w:rPr>
          <w:rFonts w:cstheme="minorHAnsi"/>
          <w:sz w:val="24"/>
          <w:szCs w:val="24"/>
        </w:rPr>
        <w:t>s</w:t>
      </w:r>
      <w:r w:rsidR="00870E1E" w:rsidRPr="00EC6853">
        <w:rPr>
          <w:rFonts w:cstheme="minorHAnsi"/>
          <w:sz w:val="24"/>
          <w:szCs w:val="24"/>
        </w:rPr>
        <w:t xml:space="preserve"> that there are</w:t>
      </w:r>
      <w:r w:rsidR="00B81371">
        <w:rPr>
          <w:rFonts w:cstheme="minorHAnsi"/>
          <w:sz w:val="24"/>
          <w:szCs w:val="24"/>
        </w:rPr>
        <w:t xml:space="preserve"> (at least)</w:t>
      </w:r>
      <w:r w:rsidR="00870E1E" w:rsidRPr="00EC6853">
        <w:rPr>
          <w:rFonts w:cstheme="minorHAnsi"/>
          <w:sz w:val="24"/>
          <w:szCs w:val="24"/>
        </w:rPr>
        <w:t xml:space="preserve"> two sovereignty claims over a territory and a population, </w:t>
      </w:r>
      <w:r w:rsidR="00CC1CCB">
        <w:rPr>
          <w:rFonts w:cstheme="minorHAnsi"/>
          <w:sz w:val="24"/>
          <w:szCs w:val="24"/>
        </w:rPr>
        <w:t xml:space="preserve">usually </w:t>
      </w:r>
      <w:r w:rsidR="00870E1E" w:rsidRPr="00EC6853">
        <w:rPr>
          <w:rFonts w:cstheme="minorHAnsi"/>
          <w:sz w:val="24"/>
          <w:szCs w:val="24"/>
        </w:rPr>
        <w:t xml:space="preserve">one by a group invoking the right of self-determination and </w:t>
      </w:r>
      <w:r w:rsidR="00CC1CCB">
        <w:rPr>
          <w:rFonts w:cstheme="minorHAnsi"/>
          <w:sz w:val="24"/>
          <w:szCs w:val="24"/>
        </w:rPr>
        <w:t xml:space="preserve">another by </w:t>
      </w:r>
      <w:r w:rsidR="00870E1E" w:rsidRPr="00EC6853">
        <w:rPr>
          <w:rFonts w:cstheme="minorHAnsi"/>
          <w:sz w:val="24"/>
          <w:szCs w:val="24"/>
        </w:rPr>
        <w:t>a State ascertaining the principle of territorial integrity.</w:t>
      </w:r>
      <w:r w:rsidR="00870E1E" w:rsidRPr="00EC6853">
        <w:rPr>
          <w:rStyle w:val="FootnoteReference"/>
          <w:rFonts w:cstheme="minorHAnsi"/>
          <w:sz w:val="24"/>
          <w:szCs w:val="24"/>
        </w:rPr>
        <w:footnoteReference w:id="5"/>
      </w:r>
      <w:r w:rsidR="002233B0">
        <w:rPr>
          <w:rFonts w:cstheme="minorHAnsi"/>
          <w:sz w:val="24"/>
          <w:szCs w:val="24"/>
        </w:rPr>
        <w:t xml:space="preserve"> And, b</w:t>
      </w:r>
      <w:r w:rsidR="002233B0" w:rsidRPr="00EC6853">
        <w:rPr>
          <w:rFonts w:cstheme="minorHAnsi"/>
          <w:sz w:val="24"/>
          <w:szCs w:val="24"/>
        </w:rPr>
        <w:t>ecause they are deemed to have contravened one of the fundamental norms of international law, that of the territorial integrity of the State, and have been created without the permission of the State from which they have broken away, they are shunned, ‘marginalised and treated with disapproval’</w:t>
      </w:r>
      <w:r w:rsidR="002233B0" w:rsidRPr="00EC6853">
        <w:rPr>
          <w:rStyle w:val="FootnoteReference"/>
          <w:rFonts w:cstheme="minorHAnsi"/>
          <w:sz w:val="24"/>
          <w:szCs w:val="24"/>
        </w:rPr>
        <w:footnoteReference w:id="6"/>
      </w:r>
      <w:r w:rsidR="002233B0">
        <w:rPr>
          <w:rFonts w:cstheme="minorHAnsi"/>
          <w:sz w:val="24"/>
          <w:szCs w:val="24"/>
        </w:rPr>
        <w:t xml:space="preserve"> and ‘exposed to […] the threat of </w:t>
      </w:r>
      <w:r w:rsidR="009D458B">
        <w:rPr>
          <w:rFonts w:cstheme="minorHAnsi"/>
          <w:sz w:val="24"/>
          <w:szCs w:val="24"/>
        </w:rPr>
        <w:t>extinction’</w:t>
      </w:r>
      <w:r w:rsidR="002233B0">
        <w:rPr>
          <w:rStyle w:val="FootnoteReference"/>
          <w:rFonts w:cstheme="minorHAnsi"/>
          <w:sz w:val="24"/>
          <w:szCs w:val="24"/>
        </w:rPr>
        <w:footnoteReference w:id="7"/>
      </w:r>
      <w:r w:rsidR="005161C0">
        <w:rPr>
          <w:rFonts w:cstheme="minorHAnsi"/>
          <w:sz w:val="24"/>
          <w:szCs w:val="24"/>
        </w:rPr>
        <w:t xml:space="preserve"> or ignored.</w:t>
      </w:r>
      <w:r w:rsidR="005161C0">
        <w:rPr>
          <w:rStyle w:val="FootnoteReference"/>
          <w:rFonts w:cstheme="minorHAnsi"/>
          <w:sz w:val="24"/>
          <w:szCs w:val="24"/>
        </w:rPr>
        <w:footnoteReference w:id="8"/>
      </w:r>
      <w:r w:rsidR="001F0EA8">
        <w:rPr>
          <w:rFonts w:cstheme="minorHAnsi"/>
          <w:sz w:val="24"/>
          <w:szCs w:val="24"/>
        </w:rPr>
        <w:t xml:space="preserve"> </w:t>
      </w:r>
    </w:p>
    <w:p w14:paraId="401A85F0" w14:textId="33D7EE30" w:rsidR="00B4679E" w:rsidRPr="00181BF9" w:rsidRDefault="003008F9" w:rsidP="009B7C6E">
      <w:pPr>
        <w:spacing w:after="0" w:line="240" w:lineRule="auto"/>
        <w:ind w:firstLine="720"/>
        <w:jc w:val="both"/>
        <w:rPr>
          <w:rFonts w:cstheme="minorHAnsi"/>
          <w:sz w:val="24"/>
          <w:szCs w:val="24"/>
        </w:rPr>
      </w:pPr>
      <w:r w:rsidRPr="00EC6853">
        <w:rPr>
          <w:rFonts w:cstheme="minorHAnsi"/>
          <w:sz w:val="24"/>
          <w:szCs w:val="24"/>
        </w:rPr>
        <w:lastRenderedPageBreak/>
        <w:t xml:space="preserve">Their situation </w:t>
      </w:r>
      <w:r w:rsidR="00060D96">
        <w:rPr>
          <w:rFonts w:cstheme="minorHAnsi"/>
          <w:sz w:val="24"/>
          <w:szCs w:val="24"/>
        </w:rPr>
        <w:t>unmistakably</w:t>
      </w:r>
      <w:r w:rsidRPr="00EC6853">
        <w:rPr>
          <w:rFonts w:cstheme="minorHAnsi"/>
          <w:sz w:val="24"/>
          <w:szCs w:val="24"/>
        </w:rPr>
        <w:t xml:space="preserve"> put</w:t>
      </w:r>
      <w:r w:rsidR="001D700D" w:rsidRPr="00EC6853">
        <w:rPr>
          <w:rFonts w:cstheme="minorHAnsi"/>
          <w:sz w:val="24"/>
          <w:szCs w:val="24"/>
        </w:rPr>
        <w:t>s</w:t>
      </w:r>
      <w:r w:rsidRPr="00EC6853">
        <w:rPr>
          <w:rFonts w:cstheme="minorHAnsi"/>
          <w:sz w:val="24"/>
          <w:szCs w:val="24"/>
        </w:rPr>
        <w:t xml:space="preserve"> in relief the definition of statehood and its criteria and the international community</w:t>
      </w:r>
      <w:r w:rsidR="005337E3">
        <w:rPr>
          <w:rFonts w:cstheme="minorHAnsi"/>
          <w:sz w:val="24"/>
          <w:szCs w:val="24"/>
        </w:rPr>
        <w:t>’s</w:t>
      </w:r>
      <w:r w:rsidRPr="00EC6853">
        <w:rPr>
          <w:rFonts w:cstheme="minorHAnsi"/>
          <w:sz w:val="24"/>
          <w:szCs w:val="24"/>
        </w:rPr>
        <w:t xml:space="preserve"> unwilling</w:t>
      </w:r>
      <w:r w:rsidR="005337E3">
        <w:rPr>
          <w:rFonts w:cstheme="minorHAnsi"/>
          <w:sz w:val="24"/>
          <w:szCs w:val="24"/>
        </w:rPr>
        <w:t>ness</w:t>
      </w:r>
      <w:r w:rsidRPr="00EC6853">
        <w:rPr>
          <w:rFonts w:cstheme="minorHAnsi"/>
          <w:sz w:val="24"/>
          <w:szCs w:val="24"/>
        </w:rPr>
        <w:t xml:space="preserve"> to consider them as States because</w:t>
      </w:r>
      <w:r w:rsidR="00232AFD" w:rsidRPr="00EC6853">
        <w:rPr>
          <w:rFonts w:cstheme="minorHAnsi"/>
          <w:sz w:val="24"/>
          <w:szCs w:val="24"/>
        </w:rPr>
        <w:t xml:space="preserve"> they do not have the right of self-determination and</w:t>
      </w:r>
      <w:r w:rsidRPr="00EC6853">
        <w:rPr>
          <w:rFonts w:cstheme="minorHAnsi"/>
          <w:sz w:val="24"/>
          <w:szCs w:val="24"/>
        </w:rPr>
        <w:t xml:space="preserve"> were created in violation of core principles of international law such as</w:t>
      </w:r>
      <w:r w:rsidR="00232AFD" w:rsidRPr="00EC6853">
        <w:rPr>
          <w:rFonts w:cstheme="minorHAnsi"/>
          <w:sz w:val="24"/>
          <w:szCs w:val="24"/>
        </w:rPr>
        <w:t xml:space="preserve"> territorial integrity and</w:t>
      </w:r>
      <w:r w:rsidRPr="00EC6853">
        <w:rPr>
          <w:rFonts w:cstheme="minorHAnsi"/>
          <w:sz w:val="24"/>
          <w:szCs w:val="24"/>
        </w:rPr>
        <w:t xml:space="preserve"> the prohibition of the use of force. </w:t>
      </w:r>
      <w:r w:rsidR="002C1E2D">
        <w:rPr>
          <w:rFonts w:cstheme="minorHAnsi"/>
          <w:sz w:val="24"/>
          <w:szCs w:val="24"/>
        </w:rPr>
        <w:t>As t</w:t>
      </w:r>
      <w:r w:rsidR="002E6028" w:rsidRPr="00EC6853">
        <w:rPr>
          <w:rFonts w:cstheme="minorHAnsi"/>
          <w:sz w:val="24"/>
          <w:szCs w:val="24"/>
        </w:rPr>
        <w:t>he topic</w:t>
      </w:r>
      <w:r w:rsidR="005337E3">
        <w:rPr>
          <w:rFonts w:cstheme="minorHAnsi"/>
          <w:sz w:val="24"/>
          <w:szCs w:val="24"/>
        </w:rPr>
        <w:t>s</w:t>
      </w:r>
      <w:r w:rsidR="002E6028" w:rsidRPr="00EC6853">
        <w:rPr>
          <w:rFonts w:cstheme="minorHAnsi"/>
          <w:sz w:val="24"/>
          <w:szCs w:val="24"/>
        </w:rPr>
        <w:t xml:space="preserve"> of statehood</w:t>
      </w:r>
      <w:r w:rsidR="005337E3">
        <w:rPr>
          <w:rFonts w:cstheme="minorHAnsi"/>
          <w:sz w:val="24"/>
          <w:szCs w:val="24"/>
        </w:rPr>
        <w:t xml:space="preserve"> and recognition are</w:t>
      </w:r>
      <w:r w:rsidR="002E6028" w:rsidRPr="00EC6853">
        <w:rPr>
          <w:rFonts w:cstheme="minorHAnsi"/>
          <w:sz w:val="24"/>
          <w:szCs w:val="24"/>
        </w:rPr>
        <w:t xml:space="preserve"> widely covered in international law literature</w:t>
      </w:r>
      <w:r w:rsidR="005337E3">
        <w:rPr>
          <w:rFonts w:cstheme="minorHAnsi"/>
          <w:sz w:val="24"/>
          <w:szCs w:val="24"/>
        </w:rPr>
        <w:t>,</w:t>
      </w:r>
      <w:r w:rsidR="002E6028" w:rsidRPr="00EC6853">
        <w:rPr>
          <w:rStyle w:val="FootnoteReference"/>
          <w:rFonts w:cstheme="minorHAnsi"/>
          <w:sz w:val="24"/>
          <w:szCs w:val="24"/>
        </w:rPr>
        <w:footnoteReference w:id="9"/>
      </w:r>
      <w:r w:rsidR="002E6028" w:rsidRPr="00EC6853">
        <w:rPr>
          <w:rFonts w:cstheme="minorHAnsi"/>
          <w:sz w:val="24"/>
          <w:szCs w:val="24"/>
        </w:rPr>
        <w:t xml:space="preserve"> </w:t>
      </w:r>
      <w:r w:rsidR="002C1E2D">
        <w:rPr>
          <w:rFonts w:cstheme="minorHAnsi"/>
          <w:sz w:val="24"/>
          <w:szCs w:val="24"/>
        </w:rPr>
        <w:t>t</w:t>
      </w:r>
      <w:r w:rsidR="002E6028" w:rsidRPr="00EC6853">
        <w:rPr>
          <w:rFonts w:cstheme="minorHAnsi"/>
          <w:sz w:val="24"/>
          <w:szCs w:val="24"/>
        </w:rPr>
        <w:t xml:space="preserve">his chapter does not aim to be another </w:t>
      </w:r>
      <w:r w:rsidR="002E6028" w:rsidRPr="00181BF9">
        <w:rPr>
          <w:rFonts w:cstheme="minorHAnsi"/>
          <w:sz w:val="24"/>
          <w:szCs w:val="24"/>
        </w:rPr>
        <w:t>treatise on statehood (or recognition)</w:t>
      </w:r>
      <w:r w:rsidR="00947AB1" w:rsidRPr="00181BF9">
        <w:rPr>
          <w:rFonts w:cstheme="minorHAnsi"/>
          <w:sz w:val="24"/>
          <w:szCs w:val="24"/>
        </w:rPr>
        <w:t>; rather</w:t>
      </w:r>
      <w:r w:rsidR="001C4564" w:rsidRPr="00181BF9">
        <w:rPr>
          <w:rFonts w:cstheme="minorHAnsi"/>
          <w:sz w:val="24"/>
          <w:szCs w:val="24"/>
        </w:rPr>
        <w:t>,</w:t>
      </w:r>
      <w:r w:rsidR="00947AB1" w:rsidRPr="00181BF9">
        <w:rPr>
          <w:rFonts w:cstheme="minorHAnsi"/>
          <w:sz w:val="24"/>
          <w:szCs w:val="24"/>
        </w:rPr>
        <w:t xml:space="preserve"> its goal is to discuss the concept of statehood in relation to the </w:t>
      </w:r>
      <w:r w:rsidR="00947AB1" w:rsidRPr="00181BF9">
        <w:rPr>
          <w:rFonts w:cstheme="minorHAnsi"/>
          <w:i/>
          <w:iCs/>
          <w:sz w:val="24"/>
          <w:szCs w:val="24"/>
        </w:rPr>
        <w:t xml:space="preserve">de facto </w:t>
      </w:r>
      <w:r w:rsidR="00947AB1" w:rsidRPr="00181BF9">
        <w:rPr>
          <w:rFonts w:cstheme="minorHAnsi"/>
          <w:sz w:val="24"/>
          <w:szCs w:val="24"/>
        </w:rPr>
        <w:t xml:space="preserve">entities </w:t>
      </w:r>
      <w:r w:rsidR="005337E3" w:rsidRPr="00181BF9">
        <w:rPr>
          <w:rFonts w:cstheme="minorHAnsi"/>
          <w:sz w:val="24"/>
          <w:szCs w:val="24"/>
        </w:rPr>
        <w:t>in the post-Soviet space</w:t>
      </w:r>
      <w:r w:rsidR="00947AB1" w:rsidRPr="00181BF9">
        <w:rPr>
          <w:rFonts w:cstheme="minorHAnsi"/>
          <w:sz w:val="24"/>
          <w:szCs w:val="24"/>
        </w:rPr>
        <w:t xml:space="preserve">. </w:t>
      </w:r>
      <w:r w:rsidR="003F0BB6">
        <w:rPr>
          <w:rFonts w:cstheme="minorHAnsi"/>
          <w:sz w:val="24"/>
          <w:szCs w:val="24"/>
        </w:rPr>
        <w:t>Some a</w:t>
      </w:r>
      <w:r w:rsidR="00181BF9">
        <w:rPr>
          <w:rFonts w:cstheme="minorHAnsi"/>
          <w:sz w:val="24"/>
          <w:szCs w:val="24"/>
        </w:rPr>
        <w:t xml:space="preserve">cademics have, of course, sought to examine statehood and recognition </w:t>
      </w:r>
      <w:r w:rsidR="003F0BB6">
        <w:rPr>
          <w:rFonts w:cstheme="minorHAnsi"/>
          <w:sz w:val="24"/>
          <w:szCs w:val="24"/>
        </w:rPr>
        <w:t xml:space="preserve">as applied to </w:t>
      </w:r>
      <w:r w:rsidR="00A436A8">
        <w:rPr>
          <w:rFonts w:cstheme="minorHAnsi"/>
          <w:sz w:val="24"/>
          <w:szCs w:val="24"/>
        </w:rPr>
        <w:t xml:space="preserve">these entities </w:t>
      </w:r>
      <w:r w:rsidR="003F0BB6">
        <w:rPr>
          <w:rFonts w:cstheme="minorHAnsi"/>
          <w:sz w:val="24"/>
          <w:szCs w:val="24"/>
        </w:rPr>
        <w:t xml:space="preserve">too. However, their </w:t>
      </w:r>
      <w:r w:rsidR="00A436A8">
        <w:rPr>
          <w:rFonts w:cstheme="minorHAnsi"/>
          <w:sz w:val="24"/>
          <w:szCs w:val="24"/>
        </w:rPr>
        <w:t>research</w:t>
      </w:r>
      <w:r w:rsidR="003F0BB6">
        <w:rPr>
          <w:rFonts w:cstheme="minorHAnsi"/>
          <w:sz w:val="24"/>
          <w:szCs w:val="24"/>
        </w:rPr>
        <w:t xml:space="preserve"> </w:t>
      </w:r>
      <w:r w:rsidR="00947AB1" w:rsidRPr="00181BF9">
        <w:rPr>
          <w:rFonts w:cstheme="minorHAnsi"/>
          <w:sz w:val="24"/>
          <w:szCs w:val="24"/>
        </w:rPr>
        <w:t xml:space="preserve">usually </w:t>
      </w:r>
      <w:r w:rsidR="003F0BB6">
        <w:rPr>
          <w:rFonts w:cstheme="minorHAnsi"/>
          <w:sz w:val="24"/>
          <w:szCs w:val="24"/>
        </w:rPr>
        <w:t>centres</w:t>
      </w:r>
      <w:r w:rsidR="00947AB1" w:rsidRPr="00181BF9">
        <w:rPr>
          <w:rFonts w:cstheme="minorHAnsi"/>
          <w:sz w:val="24"/>
          <w:szCs w:val="24"/>
        </w:rPr>
        <w:t xml:space="preserve"> on one specific entity</w:t>
      </w:r>
      <w:r w:rsidR="00181BF9" w:rsidRPr="00181BF9">
        <w:rPr>
          <w:rFonts w:cstheme="minorHAnsi"/>
          <w:sz w:val="24"/>
          <w:szCs w:val="24"/>
        </w:rPr>
        <w:t>,</w:t>
      </w:r>
      <w:r w:rsidR="00E05CE0" w:rsidRPr="00181BF9">
        <w:rPr>
          <w:rStyle w:val="FootnoteReference"/>
          <w:rFonts w:cstheme="minorHAnsi"/>
          <w:sz w:val="24"/>
          <w:szCs w:val="24"/>
        </w:rPr>
        <w:footnoteReference w:id="10"/>
      </w:r>
      <w:r w:rsidR="00947AB1" w:rsidRPr="00181BF9">
        <w:rPr>
          <w:rFonts w:cstheme="minorHAnsi"/>
          <w:sz w:val="24"/>
          <w:szCs w:val="24"/>
        </w:rPr>
        <w:t xml:space="preserve"> </w:t>
      </w:r>
      <w:r w:rsidR="00181BF9" w:rsidRPr="00181BF9">
        <w:rPr>
          <w:rFonts w:cstheme="minorHAnsi"/>
          <w:sz w:val="24"/>
          <w:szCs w:val="24"/>
        </w:rPr>
        <w:t>overwhelmingly on Abkhazia and South Ossetia, less on Transnistria and rather rarely on Nagorno-Karabakh.</w:t>
      </w:r>
      <w:r w:rsidR="003F0BB6">
        <w:rPr>
          <w:rStyle w:val="FootnoteReference"/>
          <w:rFonts w:cstheme="minorHAnsi"/>
          <w:sz w:val="24"/>
          <w:szCs w:val="24"/>
        </w:rPr>
        <w:footnoteReference w:id="11"/>
      </w:r>
      <w:r w:rsidR="00181BF9" w:rsidRPr="00181BF9">
        <w:rPr>
          <w:rFonts w:cstheme="minorHAnsi"/>
          <w:sz w:val="24"/>
          <w:szCs w:val="24"/>
        </w:rPr>
        <w:t xml:space="preserve"> </w:t>
      </w:r>
      <w:r w:rsidR="00A436A8">
        <w:rPr>
          <w:rFonts w:cstheme="minorHAnsi"/>
          <w:sz w:val="24"/>
          <w:szCs w:val="24"/>
        </w:rPr>
        <w:t>Further, the majority of such scholarly works are</w:t>
      </w:r>
      <w:r w:rsidR="00947AB1" w:rsidRPr="00181BF9">
        <w:rPr>
          <w:rFonts w:cstheme="minorHAnsi"/>
          <w:sz w:val="24"/>
          <w:szCs w:val="24"/>
        </w:rPr>
        <w:t xml:space="preserve"> solidly grounded in politics and international relations, </w:t>
      </w:r>
      <w:r w:rsidR="00A436A8">
        <w:rPr>
          <w:rFonts w:cstheme="minorHAnsi"/>
          <w:sz w:val="24"/>
          <w:szCs w:val="24"/>
        </w:rPr>
        <w:t>rather than in international law. In contrast, t</w:t>
      </w:r>
      <w:r w:rsidR="00947AB1" w:rsidRPr="00181BF9">
        <w:rPr>
          <w:rFonts w:cstheme="minorHAnsi"/>
          <w:sz w:val="24"/>
          <w:szCs w:val="24"/>
        </w:rPr>
        <w:t>his chapter examines a</w:t>
      </w:r>
      <w:r w:rsidR="00A436A8">
        <w:rPr>
          <w:rFonts w:cstheme="minorHAnsi"/>
          <w:sz w:val="24"/>
          <w:szCs w:val="24"/>
        </w:rPr>
        <w:t xml:space="preserve">ll four </w:t>
      </w:r>
      <w:r w:rsidR="00947AB1" w:rsidRPr="00181BF9">
        <w:rPr>
          <w:rFonts w:cstheme="minorHAnsi"/>
          <w:sz w:val="24"/>
          <w:szCs w:val="24"/>
        </w:rPr>
        <w:t>entities</w:t>
      </w:r>
      <w:r w:rsidR="00A436A8">
        <w:rPr>
          <w:rFonts w:cstheme="minorHAnsi"/>
          <w:sz w:val="24"/>
          <w:szCs w:val="24"/>
        </w:rPr>
        <w:t xml:space="preserve"> (Abkhazia, South Ossetia, Transnistria, and Nagorno-Karabakh)</w:t>
      </w:r>
      <w:r w:rsidR="00947AB1" w:rsidRPr="00181BF9">
        <w:rPr>
          <w:rFonts w:cstheme="minorHAnsi"/>
          <w:sz w:val="24"/>
          <w:szCs w:val="24"/>
        </w:rPr>
        <w:t xml:space="preserve"> and espouses an international law approach.</w:t>
      </w:r>
      <w:r w:rsidR="005337E3" w:rsidRPr="00181BF9">
        <w:rPr>
          <w:rStyle w:val="FootnoteReference"/>
          <w:rFonts w:cstheme="minorHAnsi"/>
          <w:sz w:val="24"/>
          <w:szCs w:val="24"/>
        </w:rPr>
        <w:footnoteReference w:id="12"/>
      </w:r>
      <w:r w:rsidR="00B81371" w:rsidRPr="00181BF9">
        <w:rPr>
          <w:rFonts w:cstheme="minorHAnsi"/>
          <w:sz w:val="24"/>
          <w:szCs w:val="24"/>
        </w:rPr>
        <w:t xml:space="preserve"> </w:t>
      </w:r>
    </w:p>
    <w:p w14:paraId="2BCE4641" w14:textId="2288D1C6" w:rsidR="001D700D" w:rsidRPr="00EC6853" w:rsidRDefault="00B81371" w:rsidP="009B7C6E">
      <w:pPr>
        <w:spacing w:after="0" w:line="240" w:lineRule="auto"/>
        <w:ind w:firstLine="720"/>
        <w:jc w:val="both"/>
        <w:rPr>
          <w:rFonts w:cstheme="minorHAnsi"/>
        </w:rPr>
      </w:pPr>
      <w:r w:rsidRPr="00181BF9">
        <w:rPr>
          <w:rFonts w:cstheme="minorHAnsi"/>
          <w:sz w:val="24"/>
          <w:szCs w:val="24"/>
        </w:rPr>
        <w:t>To shed a better light on the</w:t>
      </w:r>
      <w:r w:rsidR="00B4679E" w:rsidRPr="00181BF9">
        <w:rPr>
          <w:rFonts w:cstheme="minorHAnsi"/>
          <w:sz w:val="24"/>
          <w:szCs w:val="24"/>
        </w:rPr>
        <w:t xml:space="preserve"> conundrum in which these entities </w:t>
      </w:r>
      <w:r w:rsidR="00A436A8">
        <w:rPr>
          <w:rFonts w:cstheme="minorHAnsi"/>
          <w:sz w:val="24"/>
          <w:szCs w:val="24"/>
        </w:rPr>
        <w:t>find themselves</w:t>
      </w:r>
      <w:r w:rsidR="00B4679E" w:rsidRPr="00181BF9">
        <w:rPr>
          <w:rFonts w:cstheme="minorHAnsi"/>
          <w:sz w:val="24"/>
          <w:szCs w:val="24"/>
        </w:rPr>
        <w:t>, a socio-legal methodology seems most appropriate to</w:t>
      </w:r>
      <w:r w:rsidR="00B4679E">
        <w:rPr>
          <w:rFonts w:cstheme="minorHAnsi"/>
          <w:sz w:val="24"/>
          <w:szCs w:val="24"/>
        </w:rPr>
        <w:t xml:space="preserve"> understand how the law and reality interact and affect each other. Undoubtedly political, economic, </w:t>
      </w:r>
      <w:r w:rsidR="00A436A8">
        <w:rPr>
          <w:rFonts w:cstheme="minorHAnsi"/>
          <w:sz w:val="24"/>
          <w:szCs w:val="24"/>
        </w:rPr>
        <w:t>social,</w:t>
      </w:r>
      <w:r w:rsidR="00B4679E">
        <w:rPr>
          <w:rFonts w:cstheme="minorHAnsi"/>
          <w:sz w:val="24"/>
          <w:szCs w:val="24"/>
        </w:rPr>
        <w:t xml:space="preserve"> and cultural factors are at play in any situation concerning statehood, secession and recognition. Combined with a doctrinal research method that uses secondary literature in the field of</w:t>
      </w:r>
      <w:r w:rsidR="0077221C">
        <w:rPr>
          <w:rFonts w:cstheme="minorHAnsi"/>
          <w:sz w:val="24"/>
          <w:szCs w:val="24"/>
        </w:rPr>
        <w:t xml:space="preserve"> notably</w:t>
      </w:r>
      <w:r w:rsidR="00B4679E">
        <w:rPr>
          <w:rFonts w:cstheme="minorHAnsi"/>
          <w:sz w:val="24"/>
          <w:szCs w:val="24"/>
        </w:rPr>
        <w:t xml:space="preserve"> law, politics, </w:t>
      </w:r>
      <w:r w:rsidR="00A436A8">
        <w:rPr>
          <w:rFonts w:cstheme="minorHAnsi"/>
          <w:sz w:val="24"/>
          <w:szCs w:val="24"/>
        </w:rPr>
        <w:t>anthropology,</w:t>
      </w:r>
      <w:r w:rsidR="00B4679E">
        <w:rPr>
          <w:rFonts w:cstheme="minorHAnsi"/>
          <w:sz w:val="24"/>
          <w:szCs w:val="24"/>
        </w:rPr>
        <w:t xml:space="preserve"> and sociology</w:t>
      </w:r>
      <w:r w:rsidR="00A436A8">
        <w:rPr>
          <w:rFonts w:cstheme="minorHAnsi"/>
          <w:sz w:val="24"/>
          <w:szCs w:val="24"/>
        </w:rPr>
        <w:t xml:space="preserve"> this chapter offers not only a discussion of the pertinent law but also</w:t>
      </w:r>
      <w:r w:rsidR="0077221C">
        <w:rPr>
          <w:rFonts w:cstheme="minorHAnsi"/>
          <w:sz w:val="24"/>
          <w:szCs w:val="24"/>
        </w:rPr>
        <w:t xml:space="preserve"> a highly contextualised application of the law to the four entities</w:t>
      </w:r>
      <w:r w:rsidR="00B4679E" w:rsidRPr="005E7BB9">
        <w:rPr>
          <w:rFonts w:cstheme="minorHAnsi"/>
        </w:rPr>
        <w:t>.</w:t>
      </w:r>
    </w:p>
    <w:p w14:paraId="7F07FC9D" w14:textId="03C64F6D" w:rsidR="00A8460E" w:rsidRDefault="00A8460E" w:rsidP="009B7C6E">
      <w:pPr>
        <w:spacing w:after="0" w:line="240" w:lineRule="auto"/>
        <w:ind w:firstLine="720"/>
        <w:jc w:val="both"/>
        <w:rPr>
          <w:rFonts w:cstheme="minorHAnsi"/>
          <w:sz w:val="24"/>
          <w:szCs w:val="24"/>
        </w:rPr>
      </w:pPr>
      <w:r>
        <w:rPr>
          <w:rFonts w:cstheme="minorHAnsi"/>
          <w:sz w:val="24"/>
          <w:szCs w:val="24"/>
        </w:rPr>
        <w:t xml:space="preserve">The chapter demonstrates that contemporary law is so entrenched in defending the principle of territorial integrity that, as these four </w:t>
      </w:r>
      <w:r>
        <w:rPr>
          <w:rFonts w:cstheme="minorHAnsi"/>
          <w:i/>
          <w:iCs/>
          <w:sz w:val="24"/>
          <w:szCs w:val="24"/>
        </w:rPr>
        <w:t xml:space="preserve">de facto </w:t>
      </w:r>
      <w:r>
        <w:rPr>
          <w:rFonts w:cstheme="minorHAnsi"/>
          <w:sz w:val="24"/>
          <w:szCs w:val="24"/>
        </w:rPr>
        <w:t xml:space="preserve">States struggle to survive, they are not only likely to perdure as ‘problem entities’ but, as third parties are </w:t>
      </w:r>
      <w:r w:rsidR="00DA3E5A">
        <w:rPr>
          <w:rFonts w:cstheme="minorHAnsi"/>
          <w:sz w:val="24"/>
          <w:szCs w:val="24"/>
        </w:rPr>
        <w:t>(</w:t>
      </w:r>
      <w:r>
        <w:rPr>
          <w:rFonts w:cstheme="minorHAnsi"/>
          <w:sz w:val="24"/>
          <w:szCs w:val="24"/>
        </w:rPr>
        <w:t>increasingly</w:t>
      </w:r>
      <w:r w:rsidR="00DA3E5A">
        <w:rPr>
          <w:rFonts w:cstheme="minorHAnsi"/>
          <w:sz w:val="24"/>
          <w:szCs w:val="24"/>
        </w:rPr>
        <w:t>)</w:t>
      </w:r>
      <w:r>
        <w:rPr>
          <w:rFonts w:cstheme="minorHAnsi"/>
          <w:sz w:val="24"/>
          <w:szCs w:val="24"/>
        </w:rPr>
        <w:t xml:space="preserve"> interested in supporting them, are in fact most likely to end up being </w:t>
      </w:r>
      <w:r w:rsidR="005337E3">
        <w:rPr>
          <w:rFonts w:cstheme="minorHAnsi"/>
          <w:sz w:val="24"/>
          <w:szCs w:val="24"/>
        </w:rPr>
        <w:t xml:space="preserve">run </w:t>
      </w:r>
      <w:r w:rsidR="0077221C">
        <w:rPr>
          <w:rFonts w:cstheme="minorHAnsi"/>
          <w:sz w:val="24"/>
          <w:szCs w:val="24"/>
        </w:rPr>
        <w:t xml:space="preserve">by </w:t>
      </w:r>
      <w:r w:rsidR="005337E3">
        <w:rPr>
          <w:rFonts w:cstheme="minorHAnsi"/>
          <w:sz w:val="24"/>
          <w:szCs w:val="24"/>
        </w:rPr>
        <w:t xml:space="preserve">and eventually </w:t>
      </w:r>
      <w:r>
        <w:rPr>
          <w:rFonts w:cstheme="minorHAnsi"/>
          <w:sz w:val="24"/>
          <w:szCs w:val="24"/>
        </w:rPr>
        <w:t xml:space="preserve">incorporated in a patron State. </w:t>
      </w:r>
      <w:r w:rsidR="002B032D">
        <w:rPr>
          <w:rFonts w:cstheme="minorHAnsi"/>
          <w:sz w:val="24"/>
          <w:szCs w:val="24"/>
        </w:rPr>
        <w:t>Indeed, t</w:t>
      </w:r>
      <w:r w:rsidR="00CC1CCB">
        <w:rPr>
          <w:rFonts w:cstheme="minorHAnsi"/>
          <w:sz w:val="24"/>
          <w:szCs w:val="24"/>
        </w:rPr>
        <w:t xml:space="preserve">he lack of recognition has pushed them to seek assistance </w:t>
      </w:r>
      <w:r w:rsidR="00041767">
        <w:rPr>
          <w:rFonts w:cstheme="minorHAnsi"/>
          <w:sz w:val="24"/>
          <w:szCs w:val="24"/>
        </w:rPr>
        <w:t>from</w:t>
      </w:r>
      <w:r w:rsidR="00CC1CCB">
        <w:rPr>
          <w:rFonts w:cstheme="minorHAnsi"/>
          <w:sz w:val="24"/>
          <w:szCs w:val="24"/>
        </w:rPr>
        <w:t xml:space="preserve"> a patron</w:t>
      </w:r>
      <w:r w:rsidR="00DA3E5A">
        <w:rPr>
          <w:rFonts w:cstheme="minorHAnsi"/>
          <w:sz w:val="24"/>
          <w:szCs w:val="24"/>
        </w:rPr>
        <w:t xml:space="preserve"> S</w:t>
      </w:r>
      <w:r w:rsidR="00CC1CCB">
        <w:rPr>
          <w:rFonts w:cstheme="minorHAnsi"/>
          <w:sz w:val="24"/>
          <w:szCs w:val="24"/>
        </w:rPr>
        <w:t xml:space="preserve">tate to the extent that </w:t>
      </w:r>
      <w:r w:rsidR="00AB7C66">
        <w:rPr>
          <w:rFonts w:cstheme="minorHAnsi"/>
          <w:sz w:val="24"/>
          <w:szCs w:val="24"/>
        </w:rPr>
        <w:t>their claim to statehood is further weakened as they are unable to stand as independent States.</w:t>
      </w:r>
      <w:r w:rsidR="00CC1CCB">
        <w:rPr>
          <w:rFonts w:cstheme="minorHAnsi"/>
          <w:sz w:val="24"/>
          <w:szCs w:val="24"/>
        </w:rPr>
        <w:t xml:space="preserve"> </w:t>
      </w:r>
    </w:p>
    <w:p w14:paraId="7735CA97" w14:textId="1A913DEF" w:rsidR="00D51635" w:rsidRPr="00EC6853" w:rsidRDefault="00232AFD" w:rsidP="009B7C6E">
      <w:pPr>
        <w:spacing w:after="0" w:line="240" w:lineRule="auto"/>
        <w:ind w:firstLine="720"/>
        <w:jc w:val="both"/>
        <w:rPr>
          <w:rFonts w:cstheme="minorHAnsi"/>
          <w:sz w:val="24"/>
          <w:szCs w:val="24"/>
        </w:rPr>
      </w:pPr>
      <w:r w:rsidRPr="00EC6853">
        <w:rPr>
          <w:rFonts w:cstheme="minorHAnsi"/>
          <w:sz w:val="24"/>
          <w:szCs w:val="24"/>
        </w:rPr>
        <w:t>T</w:t>
      </w:r>
      <w:r w:rsidR="005244A3" w:rsidRPr="00EC6853">
        <w:rPr>
          <w:rFonts w:cstheme="minorHAnsi"/>
          <w:sz w:val="24"/>
          <w:szCs w:val="24"/>
        </w:rPr>
        <w:t xml:space="preserve">his </w:t>
      </w:r>
      <w:r w:rsidR="00F12228" w:rsidRPr="00EC6853">
        <w:rPr>
          <w:rFonts w:cstheme="minorHAnsi"/>
          <w:sz w:val="24"/>
          <w:szCs w:val="24"/>
        </w:rPr>
        <w:t>chap</w:t>
      </w:r>
      <w:r w:rsidR="0004323C">
        <w:rPr>
          <w:rFonts w:cstheme="minorHAnsi"/>
          <w:sz w:val="24"/>
          <w:szCs w:val="24"/>
        </w:rPr>
        <w:t>te</w:t>
      </w:r>
      <w:r w:rsidR="00F12228" w:rsidRPr="00EC6853">
        <w:rPr>
          <w:rFonts w:cstheme="minorHAnsi"/>
          <w:sz w:val="24"/>
          <w:szCs w:val="24"/>
        </w:rPr>
        <w:t>r</w:t>
      </w:r>
      <w:r w:rsidR="005244A3" w:rsidRPr="00EC6853">
        <w:rPr>
          <w:rFonts w:cstheme="minorHAnsi"/>
          <w:sz w:val="24"/>
          <w:szCs w:val="24"/>
        </w:rPr>
        <w:t xml:space="preserve"> </w:t>
      </w:r>
      <w:r w:rsidR="00C92CC3" w:rsidRPr="00EC6853">
        <w:rPr>
          <w:rFonts w:cstheme="minorHAnsi"/>
          <w:sz w:val="24"/>
          <w:szCs w:val="24"/>
        </w:rPr>
        <w:t>e</w:t>
      </w:r>
      <w:r w:rsidR="00F12228" w:rsidRPr="00EC6853">
        <w:rPr>
          <w:rFonts w:cstheme="minorHAnsi"/>
          <w:sz w:val="24"/>
          <w:szCs w:val="24"/>
        </w:rPr>
        <w:t>xamin</w:t>
      </w:r>
      <w:r w:rsidR="00C92CC3" w:rsidRPr="00EC6853">
        <w:rPr>
          <w:rFonts w:cstheme="minorHAnsi"/>
          <w:sz w:val="24"/>
          <w:szCs w:val="24"/>
        </w:rPr>
        <w:t>es</w:t>
      </w:r>
      <w:r w:rsidR="00F12228" w:rsidRPr="00EC6853">
        <w:rPr>
          <w:rFonts w:cstheme="minorHAnsi"/>
          <w:sz w:val="24"/>
          <w:szCs w:val="24"/>
        </w:rPr>
        <w:t xml:space="preserve"> </w:t>
      </w:r>
      <w:r w:rsidR="003E5198" w:rsidRPr="00EC6853">
        <w:rPr>
          <w:rFonts w:cstheme="minorHAnsi"/>
          <w:sz w:val="24"/>
          <w:szCs w:val="24"/>
        </w:rPr>
        <w:t>the criteria of statehood</w:t>
      </w:r>
      <w:r w:rsidR="00C92CC3" w:rsidRPr="00EC6853">
        <w:rPr>
          <w:rFonts w:cstheme="minorHAnsi"/>
          <w:sz w:val="24"/>
          <w:szCs w:val="24"/>
        </w:rPr>
        <w:t xml:space="preserve"> according to the Montevideo Convention</w:t>
      </w:r>
      <w:r w:rsidR="003E5198" w:rsidRPr="00EC6853">
        <w:rPr>
          <w:rFonts w:cstheme="minorHAnsi"/>
          <w:sz w:val="24"/>
          <w:szCs w:val="24"/>
        </w:rPr>
        <w:t xml:space="preserve"> </w:t>
      </w:r>
      <w:r w:rsidR="00F12228" w:rsidRPr="00EC6853">
        <w:rPr>
          <w:rFonts w:cstheme="minorHAnsi"/>
          <w:sz w:val="24"/>
          <w:szCs w:val="24"/>
        </w:rPr>
        <w:t>and appli</w:t>
      </w:r>
      <w:r w:rsidR="00C92CC3" w:rsidRPr="00EC6853">
        <w:rPr>
          <w:rFonts w:cstheme="minorHAnsi"/>
          <w:sz w:val="24"/>
          <w:szCs w:val="24"/>
        </w:rPr>
        <w:t>es</w:t>
      </w:r>
      <w:r w:rsidR="00F12228" w:rsidRPr="00EC6853">
        <w:rPr>
          <w:rFonts w:cstheme="minorHAnsi"/>
          <w:sz w:val="24"/>
          <w:szCs w:val="24"/>
        </w:rPr>
        <w:t xml:space="preserve"> </w:t>
      </w:r>
      <w:r w:rsidR="00030E28">
        <w:rPr>
          <w:rFonts w:cstheme="minorHAnsi"/>
          <w:sz w:val="24"/>
          <w:szCs w:val="24"/>
        </w:rPr>
        <w:t xml:space="preserve">them </w:t>
      </w:r>
      <w:r w:rsidR="00F12228" w:rsidRPr="00EC6853">
        <w:rPr>
          <w:rFonts w:cstheme="minorHAnsi"/>
          <w:sz w:val="24"/>
          <w:szCs w:val="24"/>
        </w:rPr>
        <w:t>to these entities</w:t>
      </w:r>
      <w:r w:rsidR="00C92CC3" w:rsidRPr="00EC6853">
        <w:rPr>
          <w:rFonts w:cstheme="minorHAnsi"/>
          <w:sz w:val="24"/>
          <w:szCs w:val="24"/>
        </w:rPr>
        <w:t xml:space="preserve"> </w:t>
      </w:r>
      <w:r w:rsidR="003E5198" w:rsidRPr="00EC6853">
        <w:rPr>
          <w:rFonts w:cstheme="minorHAnsi"/>
          <w:sz w:val="24"/>
          <w:szCs w:val="24"/>
        </w:rPr>
        <w:t xml:space="preserve">with a view to </w:t>
      </w:r>
      <w:r w:rsidR="00462C41">
        <w:rPr>
          <w:rFonts w:cstheme="minorHAnsi"/>
          <w:sz w:val="24"/>
          <w:szCs w:val="24"/>
        </w:rPr>
        <w:t>evaluating</w:t>
      </w:r>
      <w:r w:rsidR="003E5198" w:rsidRPr="00EC6853">
        <w:rPr>
          <w:rFonts w:cstheme="minorHAnsi"/>
          <w:sz w:val="24"/>
          <w:szCs w:val="24"/>
        </w:rPr>
        <w:t xml:space="preserve"> their </w:t>
      </w:r>
      <w:r w:rsidR="00374650" w:rsidRPr="00EC6853">
        <w:rPr>
          <w:rFonts w:cstheme="minorHAnsi"/>
          <w:sz w:val="24"/>
          <w:szCs w:val="24"/>
        </w:rPr>
        <w:t>statehood</w:t>
      </w:r>
      <w:r w:rsidRPr="00EC6853">
        <w:rPr>
          <w:rFonts w:cstheme="minorHAnsi"/>
          <w:sz w:val="24"/>
          <w:szCs w:val="24"/>
        </w:rPr>
        <w:t xml:space="preserve">. </w:t>
      </w:r>
      <w:r w:rsidR="00F43B60" w:rsidRPr="00EC6853">
        <w:rPr>
          <w:rFonts w:cstheme="minorHAnsi"/>
          <w:sz w:val="24"/>
          <w:szCs w:val="24"/>
        </w:rPr>
        <w:t xml:space="preserve">The </w:t>
      </w:r>
      <w:r w:rsidR="0004323C">
        <w:rPr>
          <w:rFonts w:cstheme="minorHAnsi"/>
          <w:sz w:val="24"/>
          <w:szCs w:val="24"/>
        </w:rPr>
        <w:t>chapter</w:t>
      </w:r>
      <w:r w:rsidR="00F43B60" w:rsidRPr="00EC6853">
        <w:rPr>
          <w:rFonts w:cstheme="minorHAnsi"/>
          <w:sz w:val="24"/>
          <w:szCs w:val="24"/>
        </w:rPr>
        <w:t xml:space="preserve"> then turns its attention to </w:t>
      </w:r>
      <w:r w:rsidR="0065491B" w:rsidRPr="00EC6853">
        <w:rPr>
          <w:rFonts w:cstheme="minorHAnsi"/>
          <w:sz w:val="24"/>
          <w:szCs w:val="24"/>
        </w:rPr>
        <w:t xml:space="preserve">identifying the legal factors that </w:t>
      </w:r>
      <w:r w:rsidR="00E8246A" w:rsidRPr="00EC6853">
        <w:rPr>
          <w:rFonts w:cstheme="minorHAnsi"/>
          <w:sz w:val="24"/>
          <w:szCs w:val="24"/>
        </w:rPr>
        <w:t>prevent</w:t>
      </w:r>
      <w:r w:rsidR="0065491B" w:rsidRPr="00EC6853">
        <w:rPr>
          <w:rFonts w:cstheme="minorHAnsi"/>
          <w:sz w:val="24"/>
          <w:szCs w:val="24"/>
        </w:rPr>
        <w:t xml:space="preserve"> these entities from being </w:t>
      </w:r>
      <w:r w:rsidR="00F1457E" w:rsidRPr="00EC6853">
        <w:rPr>
          <w:rFonts w:cstheme="minorHAnsi"/>
          <w:sz w:val="24"/>
          <w:szCs w:val="24"/>
        </w:rPr>
        <w:t>recognised as</w:t>
      </w:r>
      <w:r w:rsidR="0065491B" w:rsidRPr="00EC6853">
        <w:rPr>
          <w:rFonts w:cstheme="minorHAnsi"/>
          <w:sz w:val="24"/>
          <w:szCs w:val="24"/>
        </w:rPr>
        <w:t xml:space="preserve"> States </w:t>
      </w:r>
      <w:r w:rsidR="00F93B21" w:rsidRPr="00EC6853">
        <w:rPr>
          <w:rFonts w:cstheme="minorHAnsi"/>
          <w:sz w:val="24"/>
          <w:szCs w:val="24"/>
        </w:rPr>
        <w:t xml:space="preserve">such as the violation of the prohibition of the use of force </w:t>
      </w:r>
      <w:r w:rsidR="005309C9" w:rsidRPr="00EC6853">
        <w:rPr>
          <w:rFonts w:cstheme="minorHAnsi"/>
          <w:sz w:val="24"/>
          <w:szCs w:val="24"/>
        </w:rPr>
        <w:t>and the principle</w:t>
      </w:r>
      <w:r w:rsidR="00F93B21" w:rsidRPr="00EC6853">
        <w:rPr>
          <w:rFonts w:cstheme="minorHAnsi"/>
          <w:sz w:val="24"/>
          <w:szCs w:val="24"/>
        </w:rPr>
        <w:t xml:space="preserve"> of territorial integrity</w:t>
      </w:r>
      <w:r w:rsidR="0004323C">
        <w:rPr>
          <w:rFonts w:cstheme="minorHAnsi"/>
          <w:sz w:val="24"/>
          <w:szCs w:val="24"/>
        </w:rPr>
        <w:t xml:space="preserve"> before examining the </w:t>
      </w:r>
      <w:r w:rsidR="005309C9" w:rsidRPr="00EC6853">
        <w:rPr>
          <w:rFonts w:cstheme="minorHAnsi"/>
          <w:sz w:val="24"/>
          <w:szCs w:val="24"/>
        </w:rPr>
        <w:t>right of self-determination</w:t>
      </w:r>
      <w:r w:rsidR="0004323C">
        <w:rPr>
          <w:rFonts w:cstheme="minorHAnsi"/>
          <w:sz w:val="24"/>
          <w:szCs w:val="24"/>
        </w:rPr>
        <w:t xml:space="preserve"> claim made by these entities</w:t>
      </w:r>
      <w:r w:rsidR="005309C9" w:rsidRPr="00EC6853">
        <w:rPr>
          <w:rFonts w:cstheme="minorHAnsi"/>
          <w:sz w:val="24"/>
          <w:szCs w:val="24"/>
        </w:rPr>
        <w:t xml:space="preserve">. </w:t>
      </w:r>
      <w:r w:rsidR="005337E3">
        <w:rPr>
          <w:rFonts w:cstheme="minorHAnsi"/>
          <w:sz w:val="24"/>
          <w:szCs w:val="24"/>
        </w:rPr>
        <w:t xml:space="preserve">It eventually </w:t>
      </w:r>
      <w:r w:rsidR="00AB7C66">
        <w:rPr>
          <w:rFonts w:cstheme="minorHAnsi"/>
          <w:sz w:val="24"/>
          <w:szCs w:val="24"/>
        </w:rPr>
        <w:t>considers their</w:t>
      </w:r>
      <w:r w:rsidR="005337E3">
        <w:rPr>
          <w:rFonts w:cstheme="minorHAnsi"/>
          <w:sz w:val="24"/>
          <w:szCs w:val="24"/>
        </w:rPr>
        <w:t xml:space="preserve"> relationship with ‘interested third parties’</w:t>
      </w:r>
      <w:r w:rsidR="00AB7C66">
        <w:rPr>
          <w:rFonts w:cstheme="minorHAnsi"/>
          <w:sz w:val="24"/>
          <w:szCs w:val="24"/>
        </w:rPr>
        <w:t xml:space="preserve"> that have become their </w:t>
      </w:r>
      <w:r w:rsidR="00CC1CCB">
        <w:rPr>
          <w:rFonts w:cstheme="minorHAnsi"/>
          <w:sz w:val="24"/>
          <w:szCs w:val="24"/>
        </w:rPr>
        <w:t xml:space="preserve">patron State and concludes that, </w:t>
      </w:r>
      <w:r w:rsidR="000674B6">
        <w:rPr>
          <w:rFonts w:cstheme="minorHAnsi"/>
          <w:sz w:val="24"/>
          <w:szCs w:val="24"/>
        </w:rPr>
        <w:t>first</w:t>
      </w:r>
      <w:r w:rsidR="00DA3E5A">
        <w:rPr>
          <w:rFonts w:cstheme="minorHAnsi"/>
          <w:sz w:val="24"/>
          <w:szCs w:val="24"/>
        </w:rPr>
        <w:t>,</w:t>
      </w:r>
      <w:r w:rsidR="000674B6">
        <w:rPr>
          <w:rFonts w:cstheme="minorHAnsi"/>
          <w:sz w:val="24"/>
          <w:szCs w:val="24"/>
        </w:rPr>
        <w:t xml:space="preserve"> </w:t>
      </w:r>
      <w:r w:rsidR="00CC1CCB">
        <w:rPr>
          <w:rFonts w:cstheme="minorHAnsi"/>
          <w:sz w:val="24"/>
          <w:szCs w:val="24"/>
        </w:rPr>
        <w:t xml:space="preserve">cast away from the </w:t>
      </w:r>
      <w:r w:rsidR="00CC1CCB">
        <w:rPr>
          <w:rFonts w:cstheme="minorHAnsi"/>
          <w:sz w:val="24"/>
          <w:szCs w:val="24"/>
        </w:rPr>
        <w:lastRenderedPageBreak/>
        <w:t>international community</w:t>
      </w:r>
      <w:r w:rsidR="000674B6">
        <w:rPr>
          <w:rFonts w:cstheme="minorHAnsi"/>
          <w:sz w:val="24"/>
          <w:szCs w:val="24"/>
        </w:rPr>
        <w:t xml:space="preserve"> because they have failed to fulfil </w:t>
      </w:r>
      <w:r w:rsidR="00DA3E5A">
        <w:rPr>
          <w:rFonts w:cstheme="minorHAnsi"/>
          <w:sz w:val="24"/>
          <w:szCs w:val="24"/>
        </w:rPr>
        <w:t xml:space="preserve">the </w:t>
      </w:r>
      <w:r w:rsidR="000674B6">
        <w:rPr>
          <w:rFonts w:cstheme="minorHAnsi"/>
          <w:sz w:val="24"/>
          <w:szCs w:val="24"/>
        </w:rPr>
        <w:t>requirements for recognition</w:t>
      </w:r>
      <w:r w:rsidR="00CC1CCB">
        <w:rPr>
          <w:rFonts w:cstheme="minorHAnsi"/>
          <w:sz w:val="24"/>
          <w:szCs w:val="24"/>
        </w:rPr>
        <w:t xml:space="preserve"> and</w:t>
      </w:r>
      <w:r w:rsidR="00DA3E5A">
        <w:rPr>
          <w:rFonts w:cstheme="minorHAnsi"/>
          <w:sz w:val="24"/>
          <w:szCs w:val="24"/>
        </w:rPr>
        <w:t>,</w:t>
      </w:r>
      <w:r w:rsidR="00CC1CCB">
        <w:rPr>
          <w:rFonts w:cstheme="minorHAnsi"/>
          <w:sz w:val="24"/>
          <w:szCs w:val="24"/>
        </w:rPr>
        <w:t xml:space="preserve"> </w:t>
      </w:r>
      <w:r w:rsidR="000674B6">
        <w:rPr>
          <w:rFonts w:cstheme="minorHAnsi"/>
          <w:sz w:val="24"/>
          <w:szCs w:val="24"/>
        </w:rPr>
        <w:t>second</w:t>
      </w:r>
      <w:r w:rsidR="00DA3E5A">
        <w:rPr>
          <w:rFonts w:cstheme="minorHAnsi"/>
          <w:sz w:val="24"/>
          <w:szCs w:val="24"/>
        </w:rPr>
        <w:t>,</w:t>
      </w:r>
      <w:r w:rsidR="000674B6">
        <w:rPr>
          <w:rFonts w:cstheme="minorHAnsi"/>
          <w:sz w:val="24"/>
          <w:szCs w:val="24"/>
        </w:rPr>
        <w:t xml:space="preserve"> </w:t>
      </w:r>
      <w:r w:rsidR="00940904">
        <w:rPr>
          <w:rFonts w:cstheme="minorHAnsi"/>
          <w:sz w:val="24"/>
          <w:szCs w:val="24"/>
        </w:rPr>
        <w:t xml:space="preserve">existing </w:t>
      </w:r>
      <w:r w:rsidR="00CC1CCB">
        <w:rPr>
          <w:rFonts w:cstheme="minorHAnsi"/>
          <w:sz w:val="24"/>
          <w:szCs w:val="24"/>
        </w:rPr>
        <w:t xml:space="preserve">under the aegis of patron States, they are now </w:t>
      </w:r>
      <w:r w:rsidR="00DA3E5A">
        <w:rPr>
          <w:rFonts w:cstheme="minorHAnsi"/>
          <w:sz w:val="24"/>
          <w:szCs w:val="24"/>
        </w:rPr>
        <w:t xml:space="preserve">even </w:t>
      </w:r>
      <w:r w:rsidR="00CC1CCB">
        <w:rPr>
          <w:rFonts w:cstheme="minorHAnsi"/>
          <w:sz w:val="24"/>
          <w:szCs w:val="24"/>
        </w:rPr>
        <w:t>further away from statehood than they ever were.</w:t>
      </w:r>
    </w:p>
    <w:p w14:paraId="7BC6A5C3" w14:textId="77777777" w:rsidR="00265695" w:rsidRPr="00EC6853" w:rsidRDefault="00265695" w:rsidP="009B7C6E">
      <w:pPr>
        <w:spacing w:after="0" w:line="240" w:lineRule="auto"/>
        <w:jc w:val="both"/>
        <w:rPr>
          <w:rFonts w:cstheme="minorHAnsi"/>
          <w:sz w:val="24"/>
          <w:szCs w:val="24"/>
        </w:rPr>
      </w:pPr>
    </w:p>
    <w:p w14:paraId="39F03A02" w14:textId="5AA4AFDA" w:rsidR="00D74162" w:rsidRPr="00C23C5C" w:rsidRDefault="00706665" w:rsidP="00C23C5C">
      <w:pPr>
        <w:pStyle w:val="Heading1"/>
      </w:pPr>
      <w:r>
        <w:t xml:space="preserve">1. </w:t>
      </w:r>
      <w:r w:rsidR="00D74162" w:rsidRPr="00C23C5C">
        <w:t>Statehood under International Law</w:t>
      </w:r>
    </w:p>
    <w:p w14:paraId="5185A31F" w14:textId="4C6FFCA0" w:rsidR="00810785" w:rsidRPr="00EC6853" w:rsidRDefault="000361F1" w:rsidP="005337E3">
      <w:pPr>
        <w:spacing w:after="0" w:line="240" w:lineRule="auto"/>
        <w:jc w:val="both"/>
        <w:textAlignment w:val="baseline"/>
        <w:rPr>
          <w:rFonts w:eastAsia="Times New Roman" w:cstheme="minorHAnsi"/>
          <w:color w:val="000000"/>
          <w:sz w:val="24"/>
          <w:szCs w:val="24"/>
          <w:lang w:eastAsia="en-GB"/>
        </w:rPr>
      </w:pPr>
      <w:r w:rsidRPr="00EC6853">
        <w:rPr>
          <w:rFonts w:cstheme="minorHAnsi"/>
          <w:sz w:val="24"/>
          <w:szCs w:val="24"/>
        </w:rPr>
        <w:t xml:space="preserve">The most </w:t>
      </w:r>
      <w:r w:rsidR="004C335E">
        <w:rPr>
          <w:rFonts w:cstheme="minorHAnsi"/>
          <w:sz w:val="24"/>
          <w:szCs w:val="24"/>
        </w:rPr>
        <w:t>agreed upon</w:t>
      </w:r>
      <w:r w:rsidRPr="00EC6853">
        <w:rPr>
          <w:rFonts w:cstheme="minorHAnsi"/>
          <w:sz w:val="24"/>
          <w:szCs w:val="24"/>
        </w:rPr>
        <w:t xml:space="preserve"> definition of a State is enshrined in Article 1 of the Montevideo Convention:</w:t>
      </w:r>
      <w:r w:rsidRPr="00EC6853">
        <w:rPr>
          <w:rStyle w:val="FootnoteReference"/>
          <w:rFonts w:cstheme="minorHAnsi"/>
          <w:sz w:val="24"/>
          <w:szCs w:val="24"/>
        </w:rPr>
        <w:footnoteReference w:id="13"/>
      </w:r>
      <w:r w:rsidRPr="00EC6853">
        <w:rPr>
          <w:rFonts w:cstheme="minorHAnsi"/>
          <w:sz w:val="24"/>
          <w:szCs w:val="24"/>
        </w:rPr>
        <w:t xml:space="preserve"> ‘T</w:t>
      </w:r>
      <w:r w:rsidRPr="00EC6853">
        <w:rPr>
          <w:rFonts w:eastAsia="Times New Roman" w:cstheme="minorHAnsi"/>
          <w:color w:val="000000"/>
          <w:sz w:val="24"/>
          <w:szCs w:val="24"/>
          <w:lang w:eastAsia="en-GB"/>
        </w:rPr>
        <w:t>he state as a person of international law should possess the following qualifications: a. a permanent population; b. a defined territory; c. government; and d. capacity to enter into relations with the other states’.</w:t>
      </w:r>
      <w:r w:rsidRPr="00EC6853">
        <w:rPr>
          <w:rStyle w:val="FootnoteReference"/>
          <w:rFonts w:eastAsia="Times New Roman" w:cstheme="minorHAnsi"/>
          <w:color w:val="000000"/>
          <w:sz w:val="24"/>
          <w:szCs w:val="24"/>
          <w:lang w:eastAsia="en-GB"/>
        </w:rPr>
        <w:footnoteReference w:id="14"/>
      </w:r>
      <w:r w:rsidRPr="00EC6853">
        <w:rPr>
          <w:rFonts w:eastAsia="Times New Roman" w:cstheme="minorHAnsi"/>
          <w:color w:val="000000"/>
          <w:sz w:val="24"/>
          <w:szCs w:val="24"/>
          <w:lang w:eastAsia="en-GB"/>
        </w:rPr>
        <w:t xml:space="preserve"> Whilst it is sometimes pointed out that the Convention is only applicable to the American continent, it is </w:t>
      </w:r>
      <w:r w:rsidR="009F20F1">
        <w:rPr>
          <w:rFonts w:eastAsia="Times New Roman" w:cstheme="minorHAnsi"/>
          <w:color w:val="000000"/>
          <w:sz w:val="24"/>
          <w:szCs w:val="24"/>
          <w:lang w:eastAsia="en-GB"/>
        </w:rPr>
        <w:t>claimed</w:t>
      </w:r>
      <w:r w:rsidRPr="00EC6853">
        <w:rPr>
          <w:rFonts w:eastAsia="Times New Roman" w:cstheme="minorHAnsi"/>
          <w:color w:val="000000"/>
          <w:sz w:val="24"/>
          <w:szCs w:val="24"/>
          <w:lang w:eastAsia="en-GB"/>
        </w:rPr>
        <w:t xml:space="preserve"> that the definition is of customary nature</w:t>
      </w:r>
      <w:r w:rsidR="000F79FF">
        <w:rPr>
          <w:rStyle w:val="FootnoteReference"/>
          <w:rFonts w:eastAsia="Times New Roman" w:cstheme="minorHAnsi"/>
          <w:color w:val="000000"/>
          <w:sz w:val="24"/>
          <w:szCs w:val="24"/>
          <w:lang w:eastAsia="en-GB"/>
        </w:rPr>
        <w:footnoteReference w:id="15"/>
      </w:r>
      <w:r w:rsidRPr="00EC6853">
        <w:rPr>
          <w:rFonts w:eastAsia="Times New Roman" w:cstheme="minorHAnsi"/>
          <w:color w:val="000000"/>
          <w:sz w:val="24"/>
          <w:szCs w:val="24"/>
          <w:lang w:eastAsia="en-GB"/>
        </w:rPr>
        <w:t xml:space="preserve"> as it has been </w:t>
      </w:r>
      <w:r w:rsidR="00E35E7D">
        <w:rPr>
          <w:rFonts w:eastAsia="Times New Roman" w:cstheme="minorHAnsi"/>
          <w:color w:val="000000"/>
          <w:sz w:val="24"/>
          <w:szCs w:val="24"/>
          <w:lang w:eastAsia="en-GB"/>
        </w:rPr>
        <w:t>broadly</w:t>
      </w:r>
      <w:r w:rsidRPr="00EC6853">
        <w:rPr>
          <w:rFonts w:eastAsia="Times New Roman" w:cstheme="minorHAnsi"/>
          <w:color w:val="000000"/>
          <w:sz w:val="24"/>
          <w:szCs w:val="24"/>
          <w:lang w:eastAsia="en-GB"/>
        </w:rPr>
        <w:t xml:space="preserve"> accepted</w:t>
      </w:r>
      <w:r w:rsidR="000F79FF">
        <w:rPr>
          <w:rStyle w:val="FootnoteReference"/>
          <w:rFonts w:eastAsia="Times New Roman" w:cstheme="minorHAnsi"/>
          <w:color w:val="000000"/>
          <w:sz w:val="24"/>
          <w:szCs w:val="24"/>
          <w:lang w:eastAsia="en-GB"/>
        </w:rPr>
        <w:footnoteReference w:id="16"/>
      </w:r>
      <w:r w:rsidRPr="00EC6853">
        <w:rPr>
          <w:rFonts w:eastAsia="Times New Roman" w:cstheme="minorHAnsi"/>
          <w:color w:val="000000"/>
          <w:sz w:val="24"/>
          <w:szCs w:val="24"/>
          <w:lang w:eastAsia="en-GB"/>
        </w:rPr>
        <w:t xml:space="preserve"> and practised.</w:t>
      </w:r>
      <w:r w:rsidR="007A5419">
        <w:rPr>
          <w:rStyle w:val="FootnoteReference"/>
          <w:rFonts w:eastAsia="Times New Roman" w:cstheme="minorHAnsi"/>
          <w:color w:val="000000"/>
          <w:sz w:val="24"/>
          <w:szCs w:val="24"/>
          <w:lang w:eastAsia="en-GB"/>
        </w:rPr>
        <w:footnoteReference w:id="17"/>
      </w:r>
      <w:r w:rsidRPr="00EC6853">
        <w:rPr>
          <w:rFonts w:eastAsia="Times New Roman" w:cstheme="minorHAnsi"/>
          <w:color w:val="000000"/>
          <w:sz w:val="24"/>
          <w:szCs w:val="24"/>
          <w:lang w:eastAsia="en-GB"/>
        </w:rPr>
        <w:t xml:space="preserve"> </w:t>
      </w:r>
      <w:r w:rsidR="000F79FF" w:rsidRPr="00FA3605">
        <w:rPr>
          <w:rFonts w:eastAsia="Times New Roman" w:cstheme="minorHAnsi"/>
          <w:color w:val="000000"/>
          <w:sz w:val="24"/>
          <w:szCs w:val="24"/>
          <w:lang w:eastAsia="en-GB"/>
        </w:rPr>
        <w:t xml:space="preserve">The </w:t>
      </w:r>
      <w:r w:rsidR="000F79FF" w:rsidRPr="00FA3605">
        <w:rPr>
          <w:sz w:val="24"/>
          <w:szCs w:val="24"/>
        </w:rPr>
        <w:t>‘criteria have become a touchstone for the definition of a state’</w:t>
      </w:r>
      <w:r w:rsidR="000F79FF" w:rsidRPr="00FA3605">
        <w:rPr>
          <w:rStyle w:val="FootnoteReference"/>
          <w:sz w:val="24"/>
          <w:szCs w:val="24"/>
        </w:rPr>
        <w:footnoteReference w:id="18"/>
      </w:r>
      <w:r w:rsidR="005337E3">
        <w:rPr>
          <w:sz w:val="24"/>
          <w:szCs w:val="24"/>
        </w:rPr>
        <w:t xml:space="preserve"> and so</w:t>
      </w:r>
      <w:r w:rsidR="00510AA4" w:rsidRPr="00EC6853">
        <w:rPr>
          <w:rFonts w:eastAsia="Times New Roman" w:cstheme="minorHAnsi"/>
          <w:color w:val="000000"/>
          <w:sz w:val="24"/>
          <w:szCs w:val="24"/>
          <w:lang w:eastAsia="en-GB"/>
        </w:rPr>
        <w:t xml:space="preserve"> should form the basis </w:t>
      </w:r>
      <w:r w:rsidR="00CA3851" w:rsidRPr="00EC6853">
        <w:rPr>
          <w:rFonts w:eastAsia="Times New Roman" w:cstheme="minorHAnsi"/>
          <w:color w:val="000000"/>
          <w:sz w:val="24"/>
          <w:szCs w:val="24"/>
          <w:lang w:eastAsia="en-GB"/>
        </w:rPr>
        <w:t>of any assessment of an entity’s claim to statehood</w:t>
      </w:r>
      <w:r w:rsidR="00C954C1" w:rsidRPr="00EC6853">
        <w:rPr>
          <w:rFonts w:eastAsia="Times New Roman" w:cstheme="minorHAnsi"/>
          <w:color w:val="000000"/>
          <w:sz w:val="24"/>
          <w:szCs w:val="24"/>
          <w:lang w:eastAsia="en-GB"/>
        </w:rPr>
        <w:t xml:space="preserve"> as it is accepted that an entity that fulfils the requirements is a State</w:t>
      </w:r>
      <w:r w:rsidR="00CA3851" w:rsidRPr="00EC6853">
        <w:rPr>
          <w:rFonts w:eastAsia="Times New Roman" w:cstheme="minorHAnsi"/>
          <w:color w:val="000000"/>
          <w:sz w:val="24"/>
          <w:szCs w:val="24"/>
          <w:lang w:eastAsia="en-GB"/>
        </w:rPr>
        <w:t>.</w:t>
      </w:r>
      <w:r w:rsidR="00C954C1" w:rsidRPr="00EC6853">
        <w:rPr>
          <w:rStyle w:val="FootnoteReference"/>
          <w:rFonts w:eastAsia="Times New Roman" w:cstheme="minorHAnsi"/>
          <w:color w:val="000000"/>
          <w:sz w:val="24"/>
          <w:szCs w:val="24"/>
          <w:lang w:eastAsia="en-GB"/>
        </w:rPr>
        <w:footnoteReference w:id="19"/>
      </w:r>
      <w:r w:rsidR="00CA3851" w:rsidRPr="00EC6853">
        <w:rPr>
          <w:rFonts w:eastAsia="Times New Roman" w:cstheme="minorHAnsi"/>
          <w:color w:val="000000"/>
          <w:sz w:val="24"/>
          <w:szCs w:val="24"/>
          <w:lang w:eastAsia="en-GB"/>
        </w:rPr>
        <w:t xml:space="preserve"> </w:t>
      </w:r>
      <w:r w:rsidR="00A61083">
        <w:rPr>
          <w:rFonts w:eastAsia="Times New Roman" w:cstheme="minorHAnsi"/>
          <w:color w:val="000000"/>
          <w:sz w:val="24"/>
          <w:szCs w:val="24"/>
          <w:lang w:eastAsia="en-GB"/>
        </w:rPr>
        <w:t>They are ‘the irreducible elements required for an entity to effectively function as a State’.</w:t>
      </w:r>
      <w:r w:rsidR="00A61083">
        <w:rPr>
          <w:rStyle w:val="FootnoteReference"/>
          <w:rFonts w:eastAsia="Times New Roman" w:cstheme="minorHAnsi"/>
          <w:color w:val="000000"/>
          <w:sz w:val="24"/>
          <w:szCs w:val="24"/>
          <w:lang w:eastAsia="en-GB"/>
        </w:rPr>
        <w:footnoteReference w:id="20"/>
      </w:r>
      <w:r w:rsidR="00A61083">
        <w:rPr>
          <w:rFonts w:eastAsia="Times New Roman" w:cstheme="minorHAnsi"/>
          <w:color w:val="000000"/>
          <w:sz w:val="24"/>
          <w:szCs w:val="24"/>
          <w:lang w:eastAsia="en-GB"/>
        </w:rPr>
        <w:t xml:space="preserve"> </w:t>
      </w:r>
      <w:r w:rsidR="00CA3851" w:rsidRPr="00EC6853">
        <w:rPr>
          <w:rFonts w:eastAsia="Times New Roman" w:cstheme="minorHAnsi"/>
          <w:color w:val="000000"/>
          <w:sz w:val="24"/>
          <w:szCs w:val="24"/>
          <w:lang w:eastAsia="en-GB"/>
        </w:rPr>
        <w:t>This</w:t>
      </w:r>
      <w:r w:rsidR="00510AA4" w:rsidRPr="00EC6853">
        <w:rPr>
          <w:rFonts w:eastAsia="Times New Roman" w:cstheme="minorHAnsi"/>
          <w:color w:val="000000"/>
          <w:sz w:val="24"/>
          <w:szCs w:val="24"/>
          <w:lang w:eastAsia="en-GB"/>
        </w:rPr>
        <w:t xml:space="preserve"> section</w:t>
      </w:r>
      <w:r w:rsidR="00D77CD7" w:rsidRPr="00EC6853">
        <w:rPr>
          <w:rFonts w:eastAsia="Times New Roman" w:cstheme="minorHAnsi"/>
          <w:color w:val="000000"/>
          <w:sz w:val="24"/>
          <w:szCs w:val="24"/>
          <w:lang w:eastAsia="en-GB"/>
        </w:rPr>
        <w:t xml:space="preserve">, therefore, </w:t>
      </w:r>
      <w:r w:rsidR="00510AA4" w:rsidRPr="00EC6853">
        <w:rPr>
          <w:rFonts w:eastAsia="Times New Roman" w:cstheme="minorHAnsi"/>
          <w:color w:val="000000"/>
          <w:sz w:val="24"/>
          <w:szCs w:val="24"/>
          <w:lang w:eastAsia="en-GB"/>
        </w:rPr>
        <w:t>examines each criterion and applies</w:t>
      </w:r>
      <w:r w:rsidR="00D77CD7" w:rsidRPr="00EC6853">
        <w:rPr>
          <w:rFonts w:eastAsia="Times New Roman" w:cstheme="minorHAnsi"/>
          <w:color w:val="000000"/>
          <w:sz w:val="24"/>
          <w:szCs w:val="24"/>
          <w:lang w:eastAsia="en-GB"/>
        </w:rPr>
        <w:t xml:space="preserve"> it</w:t>
      </w:r>
      <w:r w:rsidR="00810785" w:rsidRPr="00EC6853">
        <w:rPr>
          <w:rFonts w:eastAsia="Times New Roman" w:cstheme="minorHAnsi"/>
          <w:color w:val="000000"/>
          <w:sz w:val="24"/>
          <w:szCs w:val="24"/>
          <w:lang w:eastAsia="en-GB"/>
        </w:rPr>
        <w:t xml:space="preserve"> to the </w:t>
      </w:r>
      <w:r w:rsidR="0077221C">
        <w:rPr>
          <w:rFonts w:eastAsia="Times New Roman" w:cstheme="minorHAnsi"/>
          <w:color w:val="000000"/>
          <w:sz w:val="24"/>
          <w:szCs w:val="24"/>
          <w:lang w:eastAsia="en-GB"/>
        </w:rPr>
        <w:t>S</w:t>
      </w:r>
      <w:r w:rsidR="00810785" w:rsidRPr="00EC6853">
        <w:rPr>
          <w:rFonts w:eastAsia="Times New Roman" w:cstheme="minorHAnsi"/>
          <w:color w:val="000000"/>
          <w:sz w:val="24"/>
          <w:szCs w:val="24"/>
          <w:lang w:eastAsia="en-GB"/>
        </w:rPr>
        <w:t>tate-like entities on the territory of the former Soviet Union.</w:t>
      </w:r>
    </w:p>
    <w:p w14:paraId="43AD67E1" w14:textId="77777777" w:rsidR="000361F1" w:rsidRPr="00EC6853" w:rsidRDefault="000361F1" w:rsidP="009B7C6E">
      <w:pPr>
        <w:spacing w:after="0" w:line="240" w:lineRule="auto"/>
        <w:textAlignment w:val="baseline"/>
        <w:rPr>
          <w:rFonts w:cstheme="minorHAnsi"/>
          <w:sz w:val="24"/>
          <w:szCs w:val="24"/>
        </w:rPr>
      </w:pPr>
    </w:p>
    <w:p w14:paraId="2EDE372D" w14:textId="7DEFCEBB" w:rsidR="00A940E1" w:rsidRPr="00C23C5C" w:rsidRDefault="00706665" w:rsidP="00C23C5C">
      <w:pPr>
        <w:pStyle w:val="Heading2"/>
      </w:pPr>
      <w:r>
        <w:t xml:space="preserve">1.1. </w:t>
      </w:r>
      <w:r w:rsidR="00A940E1" w:rsidRPr="00C23C5C">
        <w:t xml:space="preserve">Permanent </w:t>
      </w:r>
      <w:r w:rsidR="00EC5584">
        <w:t>P</w:t>
      </w:r>
      <w:r w:rsidR="00A940E1" w:rsidRPr="00C23C5C">
        <w:t>opulation</w:t>
      </w:r>
    </w:p>
    <w:p w14:paraId="404103A0" w14:textId="13A55AEB" w:rsidR="009714F7" w:rsidRDefault="00D77CD7" w:rsidP="009B7C6E">
      <w:pPr>
        <w:spacing w:after="0" w:line="240" w:lineRule="auto"/>
        <w:jc w:val="both"/>
        <w:rPr>
          <w:rFonts w:cstheme="minorHAnsi"/>
          <w:sz w:val="24"/>
          <w:szCs w:val="24"/>
        </w:rPr>
      </w:pPr>
      <w:r w:rsidRPr="00EC6853">
        <w:rPr>
          <w:rFonts w:cstheme="minorHAnsi"/>
          <w:sz w:val="24"/>
          <w:szCs w:val="24"/>
        </w:rPr>
        <w:t xml:space="preserve">The criterion of a permanent population is probably one of the least contentious. A population is comprised of all inhabitants of the territory and is not limited to those who have a legal relationship with the </w:t>
      </w:r>
      <w:r w:rsidR="002E39E4" w:rsidRPr="00EC6853">
        <w:rPr>
          <w:rFonts w:cstheme="minorHAnsi"/>
          <w:sz w:val="24"/>
          <w:szCs w:val="24"/>
        </w:rPr>
        <w:t>S</w:t>
      </w:r>
      <w:r w:rsidRPr="00EC6853">
        <w:rPr>
          <w:rFonts w:cstheme="minorHAnsi"/>
          <w:sz w:val="24"/>
          <w:szCs w:val="24"/>
        </w:rPr>
        <w:t xml:space="preserve">tate via </w:t>
      </w:r>
      <w:r w:rsidR="002C2B00">
        <w:rPr>
          <w:rFonts w:cstheme="minorHAnsi"/>
          <w:sz w:val="24"/>
          <w:szCs w:val="24"/>
        </w:rPr>
        <w:t xml:space="preserve">the bond of </w:t>
      </w:r>
      <w:r w:rsidRPr="00EC6853">
        <w:rPr>
          <w:rFonts w:cstheme="minorHAnsi"/>
          <w:sz w:val="24"/>
          <w:szCs w:val="24"/>
        </w:rPr>
        <w:t>nationality.</w:t>
      </w:r>
      <w:r w:rsidR="002C2B00">
        <w:rPr>
          <w:rStyle w:val="FootnoteReference"/>
          <w:rFonts w:cstheme="minorHAnsi"/>
          <w:sz w:val="24"/>
          <w:szCs w:val="24"/>
        </w:rPr>
        <w:footnoteReference w:id="21"/>
      </w:r>
      <w:r w:rsidR="002E39E4" w:rsidRPr="00EC6853">
        <w:rPr>
          <w:rFonts w:cstheme="minorHAnsi"/>
          <w:sz w:val="24"/>
          <w:szCs w:val="24"/>
        </w:rPr>
        <w:t xml:space="preserve"> Cultur</w:t>
      </w:r>
      <w:r w:rsidR="0077221C">
        <w:rPr>
          <w:rFonts w:cstheme="minorHAnsi"/>
          <w:sz w:val="24"/>
          <w:szCs w:val="24"/>
        </w:rPr>
        <w:t>e</w:t>
      </w:r>
      <w:r w:rsidR="002E39E4" w:rsidRPr="00EC6853">
        <w:rPr>
          <w:rFonts w:cstheme="minorHAnsi"/>
          <w:sz w:val="24"/>
          <w:szCs w:val="24"/>
        </w:rPr>
        <w:t>, religio</w:t>
      </w:r>
      <w:r w:rsidR="0077221C">
        <w:rPr>
          <w:rFonts w:cstheme="minorHAnsi"/>
          <w:sz w:val="24"/>
          <w:szCs w:val="24"/>
        </w:rPr>
        <w:t>n</w:t>
      </w:r>
      <w:r w:rsidR="002E39E4" w:rsidRPr="00EC6853">
        <w:rPr>
          <w:rFonts w:cstheme="minorHAnsi"/>
          <w:sz w:val="24"/>
          <w:szCs w:val="24"/>
        </w:rPr>
        <w:t xml:space="preserve">, language, </w:t>
      </w:r>
      <w:r w:rsidR="002E39E4" w:rsidRPr="00EC6853">
        <w:rPr>
          <w:rFonts w:cstheme="minorHAnsi"/>
          <w:sz w:val="24"/>
          <w:szCs w:val="24"/>
        </w:rPr>
        <w:lastRenderedPageBreak/>
        <w:t>ethnic</w:t>
      </w:r>
      <w:r w:rsidR="0077221C">
        <w:rPr>
          <w:rFonts w:cstheme="minorHAnsi"/>
          <w:sz w:val="24"/>
          <w:szCs w:val="24"/>
        </w:rPr>
        <w:t>ity</w:t>
      </w:r>
      <w:r w:rsidR="002E39E4" w:rsidRPr="00EC6853">
        <w:rPr>
          <w:rFonts w:cstheme="minorHAnsi"/>
          <w:sz w:val="24"/>
          <w:szCs w:val="24"/>
        </w:rPr>
        <w:t xml:space="preserve"> or any other bond is irrelevant.</w:t>
      </w:r>
      <w:r w:rsidR="00EC5584">
        <w:rPr>
          <w:rStyle w:val="FootnoteReference"/>
          <w:rFonts w:cstheme="minorHAnsi"/>
          <w:sz w:val="24"/>
          <w:szCs w:val="24"/>
        </w:rPr>
        <w:footnoteReference w:id="22"/>
      </w:r>
      <w:r w:rsidR="002E39E4" w:rsidRPr="00EC6853">
        <w:rPr>
          <w:rFonts w:cstheme="minorHAnsi"/>
          <w:sz w:val="24"/>
          <w:szCs w:val="24"/>
        </w:rPr>
        <w:t xml:space="preserve"> The size of the population does not matter</w:t>
      </w:r>
      <w:r w:rsidR="00E74FC5" w:rsidRPr="00EC6853">
        <w:rPr>
          <w:rFonts w:cstheme="minorHAnsi"/>
          <w:sz w:val="24"/>
          <w:szCs w:val="24"/>
        </w:rPr>
        <w:t xml:space="preserve"> either</w:t>
      </w:r>
      <w:r w:rsidR="002C2B00">
        <w:rPr>
          <w:rStyle w:val="FootnoteReference"/>
          <w:rFonts w:cstheme="minorHAnsi"/>
          <w:sz w:val="24"/>
          <w:szCs w:val="24"/>
        </w:rPr>
        <w:footnoteReference w:id="23"/>
      </w:r>
      <w:r w:rsidR="002E39E4" w:rsidRPr="00EC6853">
        <w:rPr>
          <w:rFonts w:cstheme="minorHAnsi"/>
          <w:sz w:val="24"/>
          <w:szCs w:val="24"/>
        </w:rPr>
        <w:t xml:space="preserve"> as examples of</w:t>
      </w:r>
      <w:r w:rsidR="00387E38">
        <w:rPr>
          <w:rFonts w:cstheme="minorHAnsi"/>
          <w:sz w:val="24"/>
          <w:szCs w:val="24"/>
        </w:rPr>
        <w:t xml:space="preserve"> </w:t>
      </w:r>
      <w:r w:rsidR="003D6E04" w:rsidRPr="00EC6853">
        <w:rPr>
          <w:rFonts w:cstheme="minorHAnsi"/>
          <w:sz w:val="24"/>
          <w:szCs w:val="24"/>
        </w:rPr>
        <w:t xml:space="preserve">micro-States such as Andorra, Monaco, etc prove. </w:t>
      </w:r>
    </w:p>
    <w:p w14:paraId="7A652A49" w14:textId="218B3FD8" w:rsidR="00654D1E" w:rsidRPr="00EC6853" w:rsidRDefault="00E74FC5" w:rsidP="009B7C6E">
      <w:pPr>
        <w:spacing w:after="0" w:line="240" w:lineRule="auto"/>
        <w:jc w:val="both"/>
        <w:rPr>
          <w:rFonts w:cstheme="minorHAnsi"/>
          <w:sz w:val="24"/>
          <w:szCs w:val="24"/>
        </w:rPr>
      </w:pPr>
      <w:r w:rsidRPr="00EC6853">
        <w:rPr>
          <w:rFonts w:cstheme="minorHAnsi"/>
          <w:sz w:val="24"/>
          <w:szCs w:val="24"/>
        </w:rPr>
        <w:t xml:space="preserve">The adjective ‘permanent’ </w:t>
      </w:r>
      <w:r w:rsidR="00387E38">
        <w:rPr>
          <w:rFonts w:cstheme="minorHAnsi"/>
          <w:sz w:val="24"/>
          <w:szCs w:val="24"/>
        </w:rPr>
        <w:t>that suggests a stable community</w:t>
      </w:r>
      <w:r w:rsidR="00387E38" w:rsidRPr="00EC6853">
        <w:rPr>
          <w:rFonts w:cstheme="minorHAnsi"/>
          <w:sz w:val="24"/>
          <w:szCs w:val="24"/>
        </w:rPr>
        <w:t xml:space="preserve"> </w:t>
      </w:r>
      <w:r w:rsidRPr="00EC6853">
        <w:rPr>
          <w:rFonts w:cstheme="minorHAnsi"/>
          <w:sz w:val="24"/>
          <w:szCs w:val="24"/>
        </w:rPr>
        <w:t>leads to some more debate</w:t>
      </w:r>
      <w:r w:rsidR="00387E38">
        <w:rPr>
          <w:rFonts w:cstheme="minorHAnsi"/>
          <w:sz w:val="24"/>
          <w:szCs w:val="24"/>
        </w:rPr>
        <w:t>.</w:t>
      </w:r>
      <w:r w:rsidRPr="00EC6853">
        <w:rPr>
          <w:rStyle w:val="FootnoteReference"/>
          <w:rFonts w:cstheme="minorHAnsi"/>
          <w:sz w:val="24"/>
          <w:szCs w:val="24"/>
        </w:rPr>
        <w:footnoteReference w:id="24"/>
      </w:r>
      <w:r w:rsidRPr="00EC6853">
        <w:rPr>
          <w:rFonts w:cstheme="minorHAnsi"/>
          <w:sz w:val="24"/>
          <w:szCs w:val="24"/>
        </w:rPr>
        <w:t xml:space="preserve"> According to the </w:t>
      </w:r>
      <w:r w:rsidRPr="0077221C">
        <w:rPr>
          <w:rFonts w:cstheme="minorHAnsi"/>
          <w:i/>
          <w:iCs/>
          <w:sz w:val="24"/>
          <w:szCs w:val="24"/>
        </w:rPr>
        <w:t xml:space="preserve">Western Sahara </w:t>
      </w:r>
      <w:r w:rsidRPr="00434F9A">
        <w:rPr>
          <w:rFonts w:cstheme="minorHAnsi"/>
          <w:i/>
          <w:iCs/>
          <w:sz w:val="24"/>
          <w:szCs w:val="24"/>
        </w:rPr>
        <w:t>Advisory Opinion</w:t>
      </w:r>
      <w:r w:rsidRPr="00EC6853">
        <w:rPr>
          <w:rFonts w:cstheme="minorHAnsi"/>
          <w:sz w:val="24"/>
          <w:szCs w:val="24"/>
        </w:rPr>
        <w:t>, it includes nomads too.</w:t>
      </w:r>
      <w:r w:rsidRPr="00EC6853">
        <w:rPr>
          <w:rStyle w:val="FootnoteReference"/>
          <w:rFonts w:cstheme="minorHAnsi"/>
          <w:sz w:val="24"/>
          <w:szCs w:val="24"/>
        </w:rPr>
        <w:footnoteReference w:id="25"/>
      </w:r>
      <w:r w:rsidRPr="00EC6853">
        <w:rPr>
          <w:rFonts w:cstheme="minorHAnsi"/>
          <w:sz w:val="24"/>
          <w:szCs w:val="24"/>
        </w:rPr>
        <w:t xml:space="preserve"> Migration flows do not affect the permanent element of the population either</w:t>
      </w:r>
      <w:r w:rsidR="00887EBA" w:rsidRPr="00EC6853">
        <w:rPr>
          <w:rFonts w:cstheme="minorHAnsi"/>
          <w:sz w:val="24"/>
          <w:szCs w:val="24"/>
        </w:rPr>
        <w:t xml:space="preserve"> even when such flows are forced</w:t>
      </w:r>
      <w:r w:rsidR="007E224D" w:rsidRPr="00EC6853">
        <w:rPr>
          <w:rFonts w:cstheme="minorHAnsi"/>
          <w:sz w:val="24"/>
          <w:szCs w:val="24"/>
        </w:rPr>
        <w:t>.</w:t>
      </w:r>
      <w:r w:rsidRPr="00EC6853">
        <w:rPr>
          <w:rStyle w:val="FootnoteReference"/>
          <w:rFonts w:cstheme="minorHAnsi"/>
          <w:sz w:val="24"/>
          <w:szCs w:val="24"/>
        </w:rPr>
        <w:footnoteReference w:id="26"/>
      </w:r>
      <w:r w:rsidR="00BD5F56" w:rsidRPr="00EC6853">
        <w:rPr>
          <w:rFonts w:cstheme="minorHAnsi"/>
          <w:sz w:val="24"/>
          <w:szCs w:val="24"/>
        </w:rPr>
        <w:t xml:space="preserve"> The issue of population replacement or modification is </w:t>
      </w:r>
      <w:r w:rsidR="00A8460E">
        <w:rPr>
          <w:rFonts w:cstheme="minorHAnsi"/>
          <w:sz w:val="24"/>
          <w:szCs w:val="24"/>
        </w:rPr>
        <w:t>not one that is examined as part of the criterion.</w:t>
      </w:r>
      <w:r w:rsidR="00EC5584">
        <w:rPr>
          <w:rStyle w:val="FootnoteReference"/>
          <w:rFonts w:cstheme="minorHAnsi"/>
          <w:sz w:val="24"/>
          <w:szCs w:val="24"/>
        </w:rPr>
        <w:footnoteReference w:id="27"/>
      </w:r>
    </w:p>
    <w:p w14:paraId="3EAD8957" w14:textId="2F8D7503" w:rsidR="00E74FC5" w:rsidRPr="004A2777" w:rsidRDefault="00654D1E" w:rsidP="009B7C6E">
      <w:pPr>
        <w:spacing w:after="0" w:line="240" w:lineRule="auto"/>
        <w:jc w:val="both"/>
        <w:rPr>
          <w:rFonts w:cstheme="minorHAnsi"/>
          <w:sz w:val="24"/>
          <w:szCs w:val="24"/>
        </w:rPr>
      </w:pPr>
      <w:r w:rsidRPr="00EC6853">
        <w:rPr>
          <w:rFonts w:cstheme="minorHAnsi"/>
          <w:sz w:val="24"/>
          <w:szCs w:val="24"/>
        </w:rPr>
        <w:t>All four entities have a permanent population</w:t>
      </w:r>
      <w:r w:rsidR="00BD5F56" w:rsidRPr="00EC6853">
        <w:rPr>
          <w:rFonts w:cstheme="minorHAnsi"/>
          <w:sz w:val="24"/>
          <w:szCs w:val="24"/>
        </w:rPr>
        <w:t xml:space="preserve"> </w:t>
      </w:r>
      <w:r w:rsidRPr="00EC6853">
        <w:rPr>
          <w:rFonts w:cstheme="minorHAnsi"/>
          <w:sz w:val="24"/>
          <w:szCs w:val="24"/>
        </w:rPr>
        <w:t xml:space="preserve">and, as explained, the fact that there have been accusations of ethnic cleansing by the disintegrating State, such claims are irrelevant in relation to the definition of a permanent population under the Montevideo Convention. </w:t>
      </w:r>
    </w:p>
    <w:p w14:paraId="2D1E553D" w14:textId="77777777" w:rsidR="00A940E1" w:rsidRPr="00EC6853" w:rsidRDefault="00A940E1" w:rsidP="009B7C6E">
      <w:pPr>
        <w:spacing w:after="0" w:line="240" w:lineRule="auto"/>
        <w:jc w:val="both"/>
        <w:rPr>
          <w:rFonts w:cstheme="minorHAnsi"/>
          <w:sz w:val="24"/>
          <w:szCs w:val="24"/>
        </w:rPr>
      </w:pPr>
    </w:p>
    <w:p w14:paraId="15EEE9D3" w14:textId="73DAE3A0" w:rsidR="00737DFE" w:rsidRPr="00C23C5C" w:rsidRDefault="00706665" w:rsidP="00C23C5C">
      <w:pPr>
        <w:pStyle w:val="Heading2"/>
      </w:pPr>
      <w:r>
        <w:t xml:space="preserve">1.2. </w:t>
      </w:r>
      <w:r w:rsidR="00A940E1" w:rsidRPr="00C23C5C">
        <w:t xml:space="preserve">Defined </w:t>
      </w:r>
      <w:r w:rsidR="00120319" w:rsidRPr="00C23C5C">
        <w:t xml:space="preserve">Territory </w:t>
      </w:r>
    </w:p>
    <w:p w14:paraId="1750A753" w14:textId="5C9EAA6B" w:rsidR="00CE4226" w:rsidRPr="00EC6853" w:rsidRDefault="00CE4226" w:rsidP="009B7C6E">
      <w:pPr>
        <w:spacing w:after="0" w:line="240" w:lineRule="auto"/>
        <w:jc w:val="both"/>
        <w:rPr>
          <w:rFonts w:cstheme="minorHAnsi"/>
          <w:sz w:val="24"/>
          <w:szCs w:val="24"/>
        </w:rPr>
      </w:pPr>
      <w:r w:rsidRPr="00EC6853">
        <w:rPr>
          <w:rFonts w:cstheme="minorHAnsi"/>
          <w:sz w:val="24"/>
          <w:szCs w:val="24"/>
        </w:rPr>
        <w:t>The second element of a State is that of a defined territory: ‘[t]</w:t>
      </w:r>
      <w:proofErr w:type="spellStart"/>
      <w:r w:rsidRPr="00EC6853">
        <w:rPr>
          <w:rFonts w:cstheme="minorHAnsi"/>
          <w:sz w:val="24"/>
          <w:szCs w:val="24"/>
        </w:rPr>
        <w:t>e</w:t>
      </w:r>
      <w:r w:rsidR="00737DFE" w:rsidRPr="00EC6853">
        <w:rPr>
          <w:rFonts w:cstheme="minorHAnsi"/>
          <w:sz w:val="24"/>
          <w:szCs w:val="24"/>
        </w:rPr>
        <w:t>rritory</w:t>
      </w:r>
      <w:proofErr w:type="spellEnd"/>
      <w:r w:rsidR="00737DFE" w:rsidRPr="00EC6853">
        <w:rPr>
          <w:rFonts w:cstheme="minorHAnsi"/>
          <w:sz w:val="24"/>
          <w:szCs w:val="24"/>
        </w:rPr>
        <w:t xml:space="preserve"> would seem to be an absolute necessity to the modern state.’</w:t>
      </w:r>
      <w:r w:rsidR="00737DFE" w:rsidRPr="00EC6853">
        <w:rPr>
          <w:rStyle w:val="FootnoteReference"/>
          <w:rFonts w:cstheme="minorHAnsi"/>
          <w:sz w:val="24"/>
          <w:szCs w:val="24"/>
        </w:rPr>
        <w:footnoteReference w:id="28"/>
      </w:r>
      <w:r w:rsidR="00944FE6" w:rsidRPr="00EC6853">
        <w:rPr>
          <w:rFonts w:cstheme="minorHAnsi"/>
          <w:sz w:val="24"/>
          <w:szCs w:val="24"/>
        </w:rPr>
        <w:t xml:space="preserve"> </w:t>
      </w:r>
      <w:r w:rsidRPr="00EC6853">
        <w:rPr>
          <w:rFonts w:cstheme="minorHAnsi"/>
          <w:sz w:val="24"/>
          <w:szCs w:val="24"/>
        </w:rPr>
        <w:t>Two reasons can be adduced for the need to have a territory. First, ‘all forms of state are based on the territorialization of political power’</w:t>
      </w:r>
      <w:r w:rsidR="009714F7">
        <w:rPr>
          <w:rFonts w:cstheme="minorHAnsi"/>
          <w:sz w:val="24"/>
          <w:szCs w:val="24"/>
        </w:rPr>
        <w:t>,</w:t>
      </w:r>
      <w:r w:rsidRPr="00EC6853">
        <w:rPr>
          <w:rStyle w:val="FootnoteReference"/>
          <w:rFonts w:cstheme="minorHAnsi"/>
          <w:sz w:val="24"/>
          <w:szCs w:val="24"/>
        </w:rPr>
        <w:footnoteReference w:id="29"/>
      </w:r>
      <w:r w:rsidR="00D75355">
        <w:rPr>
          <w:rFonts w:cstheme="minorHAnsi"/>
          <w:sz w:val="24"/>
          <w:szCs w:val="24"/>
        </w:rPr>
        <w:t xml:space="preserve"> and as explained in the </w:t>
      </w:r>
      <w:r w:rsidR="00D75355">
        <w:rPr>
          <w:rFonts w:cstheme="minorHAnsi"/>
          <w:i/>
          <w:iCs/>
          <w:sz w:val="24"/>
          <w:szCs w:val="24"/>
        </w:rPr>
        <w:t xml:space="preserve">Island of Palmas </w:t>
      </w:r>
      <w:r w:rsidR="00D75355" w:rsidRPr="00434F9A">
        <w:rPr>
          <w:rFonts w:cstheme="minorHAnsi"/>
          <w:i/>
          <w:iCs/>
          <w:sz w:val="24"/>
          <w:szCs w:val="24"/>
        </w:rPr>
        <w:t>Case</w:t>
      </w:r>
      <w:r w:rsidR="00D75355">
        <w:rPr>
          <w:rFonts w:cstheme="minorHAnsi"/>
          <w:sz w:val="24"/>
          <w:szCs w:val="24"/>
        </w:rPr>
        <w:t>, ‘[t]</w:t>
      </w:r>
      <w:proofErr w:type="spellStart"/>
      <w:r w:rsidR="00D75355">
        <w:rPr>
          <w:rFonts w:cstheme="minorHAnsi"/>
          <w:sz w:val="24"/>
          <w:szCs w:val="24"/>
        </w:rPr>
        <w:t>erritorial</w:t>
      </w:r>
      <w:proofErr w:type="spellEnd"/>
      <w:r w:rsidR="00D75355">
        <w:rPr>
          <w:rFonts w:cstheme="minorHAnsi"/>
          <w:sz w:val="24"/>
          <w:szCs w:val="24"/>
        </w:rPr>
        <w:t xml:space="preserve"> sovereignty […] involves the exclusive right to display the activities of a State.’</w:t>
      </w:r>
      <w:r w:rsidR="00D75355">
        <w:rPr>
          <w:rStyle w:val="FootnoteReference"/>
          <w:rFonts w:cstheme="minorHAnsi"/>
          <w:sz w:val="24"/>
          <w:szCs w:val="24"/>
        </w:rPr>
        <w:footnoteReference w:id="30"/>
      </w:r>
      <w:r w:rsidRPr="00EC6853">
        <w:rPr>
          <w:rFonts w:cstheme="minorHAnsi"/>
          <w:sz w:val="24"/>
          <w:szCs w:val="24"/>
        </w:rPr>
        <w:t xml:space="preserve"> It is on its territory that a State is able to </w:t>
      </w:r>
      <w:r w:rsidR="00E27E16" w:rsidRPr="00EC6853">
        <w:rPr>
          <w:rFonts w:cstheme="minorHAnsi"/>
          <w:sz w:val="24"/>
          <w:szCs w:val="24"/>
        </w:rPr>
        <w:t xml:space="preserve">exercise its power. </w:t>
      </w:r>
      <w:r w:rsidR="009714F7">
        <w:rPr>
          <w:rFonts w:cstheme="minorHAnsi"/>
          <w:sz w:val="24"/>
          <w:szCs w:val="24"/>
        </w:rPr>
        <w:t>Territory and population thus go hand in</w:t>
      </w:r>
      <w:r w:rsidR="002002B7">
        <w:rPr>
          <w:rFonts w:cstheme="minorHAnsi"/>
          <w:sz w:val="24"/>
          <w:szCs w:val="24"/>
        </w:rPr>
        <w:t xml:space="preserve"> </w:t>
      </w:r>
      <w:r w:rsidR="009714F7">
        <w:rPr>
          <w:rFonts w:cstheme="minorHAnsi"/>
          <w:sz w:val="24"/>
          <w:szCs w:val="24"/>
        </w:rPr>
        <w:t xml:space="preserve">hand. </w:t>
      </w:r>
      <w:r w:rsidR="00E27E16" w:rsidRPr="00EC6853">
        <w:rPr>
          <w:rFonts w:cstheme="minorHAnsi"/>
          <w:sz w:val="24"/>
          <w:szCs w:val="24"/>
        </w:rPr>
        <w:t>Second, a territory ensures that a State is self-sufficient.</w:t>
      </w:r>
      <w:r w:rsidR="00E27E16" w:rsidRPr="00EC6853">
        <w:rPr>
          <w:rStyle w:val="FootnoteReference"/>
          <w:rFonts w:cstheme="minorHAnsi"/>
          <w:sz w:val="24"/>
          <w:szCs w:val="24"/>
        </w:rPr>
        <w:footnoteReference w:id="31"/>
      </w:r>
      <w:r w:rsidR="009C070F" w:rsidRPr="00EC6853">
        <w:rPr>
          <w:rFonts w:cstheme="minorHAnsi"/>
          <w:sz w:val="24"/>
          <w:szCs w:val="24"/>
        </w:rPr>
        <w:t xml:space="preserve"> </w:t>
      </w:r>
      <w:r w:rsidRPr="00EC6853">
        <w:rPr>
          <w:rFonts w:cstheme="minorHAnsi"/>
          <w:sz w:val="24"/>
          <w:szCs w:val="24"/>
        </w:rPr>
        <w:t>The territory must be some form of naturally formed land</w:t>
      </w:r>
      <w:r w:rsidR="00D75355">
        <w:rPr>
          <w:rFonts w:cstheme="minorHAnsi"/>
          <w:sz w:val="24"/>
          <w:szCs w:val="24"/>
        </w:rPr>
        <w:t>.</w:t>
      </w:r>
      <w:r w:rsidRPr="00EC6853">
        <w:rPr>
          <w:rStyle w:val="FootnoteReference"/>
          <w:rFonts w:cstheme="minorHAnsi"/>
          <w:sz w:val="24"/>
          <w:szCs w:val="24"/>
        </w:rPr>
        <w:footnoteReference w:id="32"/>
      </w:r>
      <w:r w:rsidRPr="00EC6853">
        <w:rPr>
          <w:rFonts w:cstheme="minorHAnsi"/>
          <w:sz w:val="24"/>
          <w:szCs w:val="24"/>
        </w:rPr>
        <w:t xml:space="preserve"> </w:t>
      </w:r>
      <w:r w:rsidR="00D75355">
        <w:rPr>
          <w:rFonts w:cstheme="minorHAnsi"/>
          <w:sz w:val="24"/>
          <w:szCs w:val="24"/>
        </w:rPr>
        <w:t>I</w:t>
      </w:r>
      <w:r w:rsidRPr="00EC6853">
        <w:rPr>
          <w:rFonts w:cstheme="minorHAnsi"/>
          <w:sz w:val="24"/>
          <w:szCs w:val="24"/>
        </w:rPr>
        <w:t>ts size is irrelevant</w:t>
      </w:r>
      <w:r w:rsidR="00D75355">
        <w:rPr>
          <w:rStyle w:val="FootnoteReference"/>
          <w:rFonts w:cstheme="minorHAnsi"/>
          <w:sz w:val="24"/>
          <w:szCs w:val="24"/>
        </w:rPr>
        <w:footnoteReference w:id="33"/>
      </w:r>
      <w:r w:rsidRPr="00EC6853">
        <w:rPr>
          <w:rFonts w:cstheme="minorHAnsi"/>
          <w:sz w:val="24"/>
          <w:szCs w:val="24"/>
        </w:rPr>
        <w:t xml:space="preserve"> as the existence of micro-States </w:t>
      </w:r>
      <w:r w:rsidR="00D46867">
        <w:rPr>
          <w:rFonts w:cstheme="minorHAnsi"/>
          <w:sz w:val="24"/>
          <w:szCs w:val="24"/>
        </w:rPr>
        <w:t>showcases</w:t>
      </w:r>
      <w:r w:rsidR="00D75355">
        <w:rPr>
          <w:rFonts w:cstheme="minorHAnsi"/>
          <w:sz w:val="24"/>
          <w:szCs w:val="24"/>
        </w:rPr>
        <w:t xml:space="preserve"> and it does not need to show contiguity</w:t>
      </w:r>
      <w:r w:rsidRPr="00EC6853">
        <w:rPr>
          <w:rFonts w:cstheme="minorHAnsi"/>
          <w:sz w:val="24"/>
          <w:szCs w:val="24"/>
        </w:rPr>
        <w:t>.</w:t>
      </w:r>
      <w:r w:rsidR="00D75355">
        <w:rPr>
          <w:rStyle w:val="FootnoteReference"/>
          <w:rFonts w:cstheme="minorHAnsi"/>
          <w:sz w:val="24"/>
          <w:szCs w:val="24"/>
        </w:rPr>
        <w:footnoteReference w:id="34"/>
      </w:r>
      <w:r w:rsidRPr="00EC6853">
        <w:rPr>
          <w:rFonts w:cstheme="minorHAnsi"/>
          <w:sz w:val="24"/>
          <w:szCs w:val="24"/>
        </w:rPr>
        <w:t xml:space="preserve"> </w:t>
      </w:r>
    </w:p>
    <w:p w14:paraId="78F60729" w14:textId="653DDFB6" w:rsidR="00A940E1" w:rsidRPr="002C2B00" w:rsidRDefault="00CE4226" w:rsidP="009B7C6E">
      <w:pPr>
        <w:spacing w:after="0" w:line="240" w:lineRule="auto"/>
        <w:jc w:val="both"/>
        <w:rPr>
          <w:rFonts w:cstheme="minorHAnsi"/>
          <w:sz w:val="24"/>
          <w:szCs w:val="24"/>
        </w:rPr>
      </w:pPr>
      <w:r w:rsidRPr="00EC6853">
        <w:rPr>
          <w:rFonts w:cstheme="minorHAnsi"/>
          <w:sz w:val="24"/>
          <w:szCs w:val="24"/>
        </w:rPr>
        <w:t>The question arises as to what is meant by</w:t>
      </w:r>
      <w:r w:rsidR="00C201C6" w:rsidRPr="00EC6853">
        <w:rPr>
          <w:rFonts w:cstheme="minorHAnsi"/>
          <w:sz w:val="24"/>
          <w:szCs w:val="24"/>
        </w:rPr>
        <w:t xml:space="preserve"> the adjective</w:t>
      </w:r>
      <w:r w:rsidRPr="00EC6853">
        <w:rPr>
          <w:rFonts w:cstheme="minorHAnsi"/>
          <w:sz w:val="24"/>
          <w:szCs w:val="24"/>
        </w:rPr>
        <w:t xml:space="preserve"> ‘defined’. It </w:t>
      </w:r>
      <w:r w:rsidR="00C201C6" w:rsidRPr="00EC6853">
        <w:rPr>
          <w:rFonts w:cstheme="minorHAnsi"/>
          <w:sz w:val="24"/>
          <w:szCs w:val="24"/>
        </w:rPr>
        <w:t>is agreed that it should not be interpreted so as to require a State to have defined borders. First, using the interpretation method specified in Article 33 of the Vienna Convention on the Law of Treaties on the use of all authenticated language versions of a treaty,</w:t>
      </w:r>
      <w:r w:rsidR="00C201C6" w:rsidRPr="00EC6853">
        <w:rPr>
          <w:rStyle w:val="FootnoteReference"/>
          <w:rFonts w:cstheme="minorHAnsi"/>
          <w:sz w:val="24"/>
          <w:szCs w:val="24"/>
        </w:rPr>
        <w:footnoteReference w:id="35"/>
      </w:r>
      <w:r w:rsidR="00C201C6" w:rsidRPr="00EC6853">
        <w:rPr>
          <w:rFonts w:cstheme="minorHAnsi"/>
          <w:sz w:val="24"/>
          <w:szCs w:val="24"/>
        </w:rPr>
        <w:t xml:space="preserve"> it should be noted that whilst the English version of the Montevideo Convention refers to a ‘defined’ territory, the French uses the adjective ‘</w:t>
      </w:r>
      <w:proofErr w:type="spellStart"/>
      <w:r w:rsidR="00C201C6" w:rsidRPr="00EC6853">
        <w:rPr>
          <w:rFonts w:cstheme="minorHAnsi"/>
          <w:sz w:val="24"/>
          <w:szCs w:val="24"/>
        </w:rPr>
        <w:t>déterminé</w:t>
      </w:r>
      <w:proofErr w:type="spellEnd"/>
      <w:r w:rsidR="00C201C6" w:rsidRPr="00EC6853">
        <w:rPr>
          <w:rFonts w:cstheme="minorHAnsi"/>
          <w:sz w:val="24"/>
          <w:szCs w:val="24"/>
        </w:rPr>
        <w:t xml:space="preserve">’ (and a similar version is </w:t>
      </w:r>
      <w:r w:rsidR="00E12768">
        <w:rPr>
          <w:rFonts w:cstheme="minorHAnsi"/>
          <w:sz w:val="24"/>
          <w:szCs w:val="24"/>
        </w:rPr>
        <w:t>adopted</w:t>
      </w:r>
      <w:r w:rsidR="00C201C6" w:rsidRPr="00EC6853">
        <w:rPr>
          <w:rFonts w:cstheme="minorHAnsi"/>
          <w:sz w:val="24"/>
          <w:szCs w:val="24"/>
        </w:rPr>
        <w:t xml:space="preserve"> in Spanish and Portuguese) which means a ‘given territory’ rather than a ‘defined’ one. </w:t>
      </w:r>
      <w:r w:rsidR="009C070F" w:rsidRPr="00EC6853">
        <w:rPr>
          <w:rFonts w:cstheme="minorHAnsi"/>
          <w:sz w:val="24"/>
          <w:szCs w:val="24"/>
        </w:rPr>
        <w:t>Second, it is agreed that the St</w:t>
      </w:r>
      <w:r w:rsidR="00A940E1" w:rsidRPr="00EC6853">
        <w:rPr>
          <w:rFonts w:cstheme="minorHAnsi"/>
          <w:sz w:val="24"/>
          <w:szCs w:val="24"/>
        </w:rPr>
        <w:t xml:space="preserve">ate </w:t>
      </w:r>
      <w:r w:rsidR="00A940E1" w:rsidRPr="00EC6853">
        <w:rPr>
          <w:rFonts w:cstheme="minorHAnsi"/>
          <w:sz w:val="24"/>
          <w:szCs w:val="24"/>
        </w:rPr>
        <w:lastRenderedPageBreak/>
        <w:t xml:space="preserve">must have control of at least an uncontroversial core territory even if the exact delimitations of the border are </w:t>
      </w:r>
      <w:r w:rsidR="009C070F" w:rsidRPr="00EC6853">
        <w:rPr>
          <w:rFonts w:cstheme="minorHAnsi"/>
          <w:sz w:val="24"/>
          <w:szCs w:val="24"/>
        </w:rPr>
        <w:t>debatable.</w:t>
      </w:r>
      <w:r w:rsidR="00A940E1" w:rsidRPr="00EC6853">
        <w:rPr>
          <w:rStyle w:val="FootnoteReference"/>
          <w:rFonts w:cstheme="minorHAnsi"/>
          <w:sz w:val="24"/>
          <w:szCs w:val="24"/>
        </w:rPr>
        <w:footnoteReference w:id="36"/>
      </w:r>
      <w:r w:rsidR="00D75355">
        <w:rPr>
          <w:rFonts w:cstheme="minorHAnsi"/>
          <w:sz w:val="24"/>
          <w:szCs w:val="24"/>
        </w:rPr>
        <w:t xml:space="preserve"> As was stated in the </w:t>
      </w:r>
      <w:r w:rsidR="00D75355">
        <w:rPr>
          <w:rFonts w:cstheme="minorHAnsi"/>
          <w:i/>
          <w:iCs/>
          <w:sz w:val="24"/>
          <w:szCs w:val="24"/>
        </w:rPr>
        <w:t xml:space="preserve">Deutsche Continental Gas-Gesellschaft </w:t>
      </w:r>
      <w:r w:rsidR="00D75355" w:rsidRPr="00434F9A">
        <w:rPr>
          <w:rFonts w:cstheme="minorHAnsi"/>
          <w:i/>
          <w:iCs/>
          <w:sz w:val="24"/>
          <w:szCs w:val="24"/>
        </w:rPr>
        <w:t>Case</w:t>
      </w:r>
      <w:r w:rsidR="00D75355">
        <w:rPr>
          <w:rFonts w:cstheme="minorHAnsi"/>
          <w:sz w:val="24"/>
          <w:szCs w:val="24"/>
        </w:rPr>
        <w:t xml:space="preserve">, </w:t>
      </w:r>
      <w:r w:rsidR="00387E38">
        <w:rPr>
          <w:rFonts w:cstheme="minorHAnsi"/>
          <w:sz w:val="24"/>
          <w:szCs w:val="24"/>
        </w:rPr>
        <w:t>‘[</w:t>
      </w:r>
      <w:proofErr w:type="spellStart"/>
      <w:r w:rsidR="00387E38">
        <w:rPr>
          <w:rFonts w:cstheme="minorHAnsi"/>
          <w:sz w:val="24"/>
          <w:szCs w:val="24"/>
        </w:rPr>
        <w:t>i</w:t>
      </w:r>
      <w:proofErr w:type="spellEnd"/>
      <w:r w:rsidR="00387E38">
        <w:rPr>
          <w:rFonts w:cstheme="minorHAnsi"/>
          <w:sz w:val="24"/>
          <w:szCs w:val="24"/>
        </w:rPr>
        <w:t>]</w:t>
      </w:r>
      <w:r w:rsidR="002C2B00">
        <w:rPr>
          <w:rFonts w:cstheme="minorHAnsi"/>
          <w:sz w:val="24"/>
          <w:szCs w:val="24"/>
        </w:rPr>
        <w:t>In order to say that a State exists […] it is enough that this territory has a sufficient consistency, even though its boundaries have not yet been accurately delimited, and that the State actually exercises independent public authority over that territory.’</w:t>
      </w:r>
      <w:r w:rsidR="002C2B00">
        <w:rPr>
          <w:rStyle w:val="FootnoteReference"/>
          <w:rFonts w:cstheme="minorHAnsi"/>
          <w:sz w:val="24"/>
          <w:szCs w:val="24"/>
        </w:rPr>
        <w:footnoteReference w:id="37"/>
      </w:r>
      <w:r w:rsidR="002C2B00">
        <w:rPr>
          <w:rFonts w:cstheme="minorHAnsi"/>
          <w:sz w:val="24"/>
          <w:szCs w:val="24"/>
        </w:rPr>
        <w:t xml:space="preserve"> Such a position was confirmed by the International Court of Justice</w:t>
      </w:r>
      <w:r w:rsidR="00AB7C66">
        <w:rPr>
          <w:rFonts w:cstheme="minorHAnsi"/>
          <w:sz w:val="24"/>
          <w:szCs w:val="24"/>
        </w:rPr>
        <w:t xml:space="preserve"> (ICJ)</w:t>
      </w:r>
      <w:r w:rsidR="002C2B00">
        <w:rPr>
          <w:rFonts w:cstheme="minorHAnsi"/>
          <w:sz w:val="24"/>
          <w:szCs w:val="24"/>
        </w:rPr>
        <w:t xml:space="preserve"> in the </w:t>
      </w:r>
      <w:r w:rsidR="002C2B00" w:rsidRPr="0077221C">
        <w:rPr>
          <w:rFonts w:cstheme="minorHAnsi"/>
          <w:i/>
          <w:sz w:val="24"/>
          <w:szCs w:val="24"/>
        </w:rPr>
        <w:t>North Sea Continental Shelf</w:t>
      </w:r>
      <w:r w:rsidR="002C2B00">
        <w:rPr>
          <w:rFonts w:cstheme="minorHAnsi"/>
          <w:i/>
          <w:iCs/>
          <w:sz w:val="24"/>
          <w:szCs w:val="24"/>
        </w:rPr>
        <w:t xml:space="preserve"> </w:t>
      </w:r>
      <w:r w:rsidR="002C2B00" w:rsidRPr="00434F9A">
        <w:rPr>
          <w:rFonts w:cstheme="minorHAnsi"/>
          <w:i/>
          <w:iCs/>
          <w:sz w:val="24"/>
          <w:szCs w:val="24"/>
        </w:rPr>
        <w:t>Cases</w:t>
      </w:r>
      <w:r w:rsidR="002C2B00">
        <w:rPr>
          <w:rStyle w:val="FootnoteReference"/>
          <w:rFonts w:cstheme="minorHAnsi"/>
          <w:sz w:val="24"/>
          <w:szCs w:val="24"/>
        </w:rPr>
        <w:footnoteReference w:id="38"/>
      </w:r>
      <w:r w:rsidR="002C2B00">
        <w:rPr>
          <w:rFonts w:cstheme="minorHAnsi"/>
          <w:sz w:val="24"/>
          <w:szCs w:val="24"/>
        </w:rPr>
        <w:t xml:space="preserve"> and in practice.</w:t>
      </w:r>
      <w:r w:rsidR="002C2B00">
        <w:rPr>
          <w:rStyle w:val="FootnoteReference"/>
          <w:rFonts w:cstheme="minorHAnsi"/>
          <w:sz w:val="24"/>
          <w:szCs w:val="24"/>
        </w:rPr>
        <w:footnoteReference w:id="39"/>
      </w:r>
    </w:p>
    <w:p w14:paraId="0AF8FC00" w14:textId="7A54F0E1" w:rsidR="009D19A0" w:rsidRPr="00EC6853" w:rsidRDefault="00677CC5" w:rsidP="009B7C6E">
      <w:pPr>
        <w:spacing w:after="0" w:line="240" w:lineRule="auto"/>
        <w:jc w:val="both"/>
        <w:rPr>
          <w:rFonts w:cstheme="minorHAnsi"/>
          <w:sz w:val="24"/>
          <w:szCs w:val="24"/>
        </w:rPr>
      </w:pPr>
      <w:r>
        <w:rPr>
          <w:rFonts w:cstheme="minorHAnsi"/>
          <w:sz w:val="24"/>
          <w:szCs w:val="24"/>
        </w:rPr>
        <w:t>With regard to the four entities</w:t>
      </w:r>
      <w:r w:rsidR="009D19A0" w:rsidRPr="00EC6853">
        <w:rPr>
          <w:rFonts w:cstheme="minorHAnsi"/>
          <w:sz w:val="24"/>
          <w:szCs w:val="24"/>
        </w:rPr>
        <w:t>, the territory is defined, usually circumscribed by the administrative borders of the previous power/</w:t>
      </w:r>
      <w:r w:rsidR="0077221C">
        <w:rPr>
          <w:rFonts w:cstheme="minorHAnsi"/>
          <w:sz w:val="24"/>
          <w:szCs w:val="24"/>
        </w:rPr>
        <w:t>S</w:t>
      </w:r>
      <w:r w:rsidR="009D19A0" w:rsidRPr="00EC6853">
        <w:rPr>
          <w:rFonts w:cstheme="minorHAnsi"/>
          <w:sz w:val="24"/>
          <w:szCs w:val="24"/>
        </w:rPr>
        <w:t>tate</w:t>
      </w:r>
      <w:r>
        <w:rPr>
          <w:rFonts w:cstheme="minorHAnsi"/>
          <w:sz w:val="24"/>
          <w:szCs w:val="24"/>
        </w:rPr>
        <w:t>.</w:t>
      </w:r>
      <w:r w:rsidR="00EC5584">
        <w:rPr>
          <w:rStyle w:val="FootnoteReference"/>
          <w:rFonts w:cstheme="minorHAnsi"/>
          <w:sz w:val="24"/>
          <w:szCs w:val="24"/>
        </w:rPr>
        <w:footnoteReference w:id="40"/>
      </w:r>
      <w:r>
        <w:rPr>
          <w:rFonts w:cstheme="minorHAnsi"/>
          <w:sz w:val="24"/>
          <w:szCs w:val="24"/>
        </w:rPr>
        <w:t xml:space="preserve"> What is more, the p</w:t>
      </w:r>
      <w:r w:rsidR="009D19A0" w:rsidRPr="00EC6853">
        <w:rPr>
          <w:rFonts w:cstheme="minorHAnsi"/>
          <w:sz w:val="24"/>
          <w:szCs w:val="24"/>
        </w:rPr>
        <w:t xml:space="preserve">resence of </w:t>
      </w:r>
      <w:r w:rsidR="00E42483" w:rsidRPr="00EC6853">
        <w:rPr>
          <w:rFonts w:cstheme="minorHAnsi"/>
          <w:sz w:val="24"/>
          <w:szCs w:val="24"/>
        </w:rPr>
        <w:t xml:space="preserve">military </w:t>
      </w:r>
      <w:r w:rsidR="009D19A0" w:rsidRPr="00EC6853">
        <w:rPr>
          <w:rFonts w:cstheme="minorHAnsi"/>
          <w:sz w:val="24"/>
          <w:szCs w:val="24"/>
        </w:rPr>
        <w:t>forces such as UNOMIG in Abkhazia,</w:t>
      </w:r>
      <w:r w:rsidR="009D19A0" w:rsidRPr="00EC6853">
        <w:rPr>
          <w:rStyle w:val="FootnoteReference"/>
          <w:rFonts w:cstheme="minorHAnsi"/>
          <w:sz w:val="24"/>
          <w:szCs w:val="24"/>
        </w:rPr>
        <w:footnoteReference w:id="41"/>
      </w:r>
      <w:r w:rsidR="009D19A0" w:rsidRPr="00EC6853">
        <w:rPr>
          <w:rFonts w:cstheme="minorHAnsi"/>
          <w:sz w:val="24"/>
          <w:szCs w:val="24"/>
        </w:rPr>
        <w:t xml:space="preserve"> peacekeeping troops in South Ossetia</w:t>
      </w:r>
      <w:r w:rsidR="00E42483" w:rsidRPr="00EC6853">
        <w:rPr>
          <w:rFonts w:cstheme="minorHAnsi"/>
          <w:sz w:val="24"/>
          <w:szCs w:val="24"/>
        </w:rPr>
        <w:t>,</w:t>
      </w:r>
      <w:r w:rsidR="00E42483" w:rsidRPr="00EC6853">
        <w:rPr>
          <w:rStyle w:val="FootnoteReference"/>
          <w:rFonts w:cstheme="minorHAnsi"/>
          <w:sz w:val="24"/>
          <w:szCs w:val="24"/>
        </w:rPr>
        <w:footnoteReference w:id="42"/>
      </w:r>
      <w:r w:rsidR="00E42483" w:rsidRPr="00EC6853">
        <w:rPr>
          <w:rFonts w:cstheme="minorHAnsi"/>
          <w:sz w:val="24"/>
          <w:szCs w:val="24"/>
        </w:rPr>
        <w:t xml:space="preserve"> Russian troops in Transnistria</w:t>
      </w:r>
      <w:r w:rsidR="00992CE5" w:rsidRPr="00EC6853">
        <w:rPr>
          <w:rFonts w:cstheme="minorHAnsi"/>
          <w:sz w:val="24"/>
          <w:szCs w:val="24"/>
        </w:rPr>
        <w:t>,</w:t>
      </w:r>
      <w:r w:rsidR="00E42483" w:rsidRPr="00EC6853">
        <w:rPr>
          <w:rStyle w:val="FootnoteReference"/>
          <w:rFonts w:cstheme="minorHAnsi"/>
          <w:sz w:val="24"/>
          <w:szCs w:val="24"/>
        </w:rPr>
        <w:footnoteReference w:id="43"/>
      </w:r>
      <w:r w:rsidR="00992CE5" w:rsidRPr="00EC6853">
        <w:rPr>
          <w:rFonts w:cstheme="minorHAnsi"/>
          <w:sz w:val="24"/>
          <w:szCs w:val="24"/>
        </w:rPr>
        <w:t xml:space="preserve"> </w:t>
      </w:r>
      <w:r w:rsidR="005971AF">
        <w:rPr>
          <w:rFonts w:cstheme="minorHAnsi"/>
          <w:sz w:val="24"/>
          <w:szCs w:val="24"/>
        </w:rPr>
        <w:t xml:space="preserve">and </w:t>
      </w:r>
      <w:r w:rsidR="00992CE5" w:rsidRPr="00EC6853">
        <w:rPr>
          <w:rFonts w:cstheme="minorHAnsi"/>
          <w:sz w:val="24"/>
          <w:szCs w:val="24"/>
        </w:rPr>
        <w:t>Russian peacekeeping troops in 2020 in Nagorno-Karabakh</w:t>
      </w:r>
      <w:r w:rsidR="00992CE5" w:rsidRPr="00EC6853">
        <w:rPr>
          <w:rStyle w:val="FootnoteReference"/>
          <w:rFonts w:cstheme="minorHAnsi"/>
          <w:sz w:val="24"/>
          <w:szCs w:val="24"/>
        </w:rPr>
        <w:footnoteReference w:id="44"/>
      </w:r>
      <w:r w:rsidR="005971AF">
        <w:rPr>
          <w:rFonts w:cstheme="minorHAnsi"/>
          <w:sz w:val="24"/>
          <w:szCs w:val="24"/>
        </w:rPr>
        <w:t xml:space="preserve"> seem to indicate that not only the territory is defined but the borders </w:t>
      </w:r>
      <w:r w:rsidR="009B67BE">
        <w:rPr>
          <w:rFonts w:cstheme="minorHAnsi"/>
          <w:sz w:val="24"/>
          <w:szCs w:val="24"/>
        </w:rPr>
        <w:t xml:space="preserve">are </w:t>
      </w:r>
      <w:r w:rsidR="005971AF">
        <w:rPr>
          <w:rFonts w:cstheme="minorHAnsi"/>
          <w:sz w:val="24"/>
          <w:szCs w:val="24"/>
        </w:rPr>
        <w:t xml:space="preserve">delimited too. </w:t>
      </w:r>
      <w:r w:rsidR="003C0909">
        <w:rPr>
          <w:rFonts w:cstheme="minorHAnsi"/>
          <w:sz w:val="24"/>
          <w:szCs w:val="24"/>
        </w:rPr>
        <w:t>There has been a debate as to where the borders of South Ossetia are, notably because the 2008 six-point agreement did not specify the borders and</w:t>
      </w:r>
      <w:r w:rsidR="009B2025">
        <w:rPr>
          <w:rFonts w:cstheme="minorHAnsi"/>
          <w:sz w:val="24"/>
          <w:szCs w:val="24"/>
        </w:rPr>
        <w:t>,</w:t>
      </w:r>
      <w:r w:rsidR="003C0909">
        <w:rPr>
          <w:rFonts w:cstheme="minorHAnsi"/>
          <w:sz w:val="24"/>
          <w:szCs w:val="24"/>
        </w:rPr>
        <w:t xml:space="preserve"> as a result of the presence of Russian guards installing a barbed-wire fence and ‘border’ signs</w:t>
      </w:r>
      <w:r w:rsidR="009B2025">
        <w:rPr>
          <w:rFonts w:cstheme="minorHAnsi"/>
          <w:sz w:val="24"/>
          <w:szCs w:val="24"/>
        </w:rPr>
        <w:t>,</w:t>
      </w:r>
      <w:r w:rsidR="003C0909">
        <w:rPr>
          <w:rFonts w:cstheme="minorHAnsi"/>
          <w:sz w:val="24"/>
          <w:szCs w:val="24"/>
        </w:rPr>
        <w:t xml:space="preserve"> it appears that the line of the border has moved.</w:t>
      </w:r>
      <w:r w:rsidR="003C0909">
        <w:rPr>
          <w:rStyle w:val="FootnoteReference"/>
          <w:rFonts w:cstheme="minorHAnsi"/>
          <w:sz w:val="24"/>
          <w:szCs w:val="24"/>
        </w:rPr>
        <w:footnoteReference w:id="45"/>
      </w:r>
      <w:r w:rsidR="003C0909">
        <w:rPr>
          <w:rFonts w:cstheme="minorHAnsi"/>
          <w:sz w:val="24"/>
          <w:szCs w:val="24"/>
        </w:rPr>
        <w:t xml:space="preserve"> </w:t>
      </w:r>
      <w:r w:rsidR="005971AF">
        <w:rPr>
          <w:rFonts w:cstheme="minorHAnsi"/>
          <w:sz w:val="24"/>
          <w:szCs w:val="24"/>
        </w:rPr>
        <w:t>The</w:t>
      </w:r>
      <w:r w:rsidR="009D19A0" w:rsidRPr="00EC6853">
        <w:rPr>
          <w:rFonts w:cstheme="minorHAnsi"/>
          <w:sz w:val="24"/>
          <w:szCs w:val="24"/>
        </w:rPr>
        <w:t xml:space="preserve"> </w:t>
      </w:r>
      <w:r w:rsidR="003C0909">
        <w:rPr>
          <w:rFonts w:cstheme="minorHAnsi"/>
          <w:sz w:val="24"/>
          <w:szCs w:val="24"/>
        </w:rPr>
        <w:t>other</w:t>
      </w:r>
      <w:r w:rsidR="009D19A0" w:rsidRPr="00EC6853">
        <w:rPr>
          <w:rFonts w:cstheme="minorHAnsi"/>
          <w:sz w:val="24"/>
          <w:szCs w:val="24"/>
        </w:rPr>
        <w:t xml:space="preserve"> problematic case </w:t>
      </w:r>
      <w:r w:rsidR="006E61B5">
        <w:rPr>
          <w:rFonts w:cstheme="minorHAnsi"/>
          <w:sz w:val="24"/>
          <w:szCs w:val="24"/>
        </w:rPr>
        <w:t>might be</w:t>
      </w:r>
      <w:r w:rsidR="009D19A0" w:rsidRPr="00EC6853">
        <w:rPr>
          <w:rFonts w:cstheme="minorHAnsi"/>
          <w:sz w:val="24"/>
          <w:szCs w:val="24"/>
        </w:rPr>
        <w:t xml:space="preserve"> </w:t>
      </w:r>
      <w:r w:rsidR="005971AF">
        <w:rPr>
          <w:rFonts w:cstheme="minorHAnsi"/>
          <w:sz w:val="24"/>
          <w:szCs w:val="24"/>
        </w:rPr>
        <w:t xml:space="preserve">that of </w:t>
      </w:r>
      <w:r w:rsidR="009D19A0" w:rsidRPr="00EC6853">
        <w:rPr>
          <w:rFonts w:cstheme="minorHAnsi"/>
          <w:sz w:val="24"/>
          <w:szCs w:val="24"/>
        </w:rPr>
        <w:t>Nagorno</w:t>
      </w:r>
      <w:r w:rsidR="009B67BE">
        <w:rPr>
          <w:rFonts w:cstheme="minorHAnsi"/>
          <w:sz w:val="24"/>
          <w:szCs w:val="24"/>
        </w:rPr>
        <w:t>-</w:t>
      </w:r>
      <w:r w:rsidR="009D19A0" w:rsidRPr="00EC6853">
        <w:rPr>
          <w:rFonts w:cstheme="minorHAnsi"/>
          <w:sz w:val="24"/>
          <w:szCs w:val="24"/>
        </w:rPr>
        <w:t>Karabakh as</w:t>
      </w:r>
      <w:r w:rsidR="006D3E9E">
        <w:rPr>
          <w:rFonts w:cstheme="minorHAnsi"/>
          <w:sz w:val="24"/>
          <w:szCs w:val="24"/>
        </w:rPr>
        <w:t xml:space="preserve"> whilst the </w:t>
      </w:r>
      <w:r w:rsidR="006D3E9E">
        <w:rPr>
          <w:rFonts w:cstheme="minorHAnsi"/>
          <w:i/>
          <w:sz w:val="24"/>
          <w:szCs w:val="24"/>
        </w:rPr>
        <w:t xml:space="preserve">de facto </w:t>
      </w:r>
      <w:r w:rsidR="006D3E9E">
        <w:rPr>
          <w:rFonts w:cstheme="minorHAnsi"/>
          <w:sz w:val="24"/>
          <w:szCs w:val="24"/>
        </w:rPr>
        <w:t>State is in control of the territory of the former administrative entity,</w:t>
      </w:r>
      <w:r w:rsidR="009D19A0" w:rsidRPr="00EC6853">
        <w:rPr>
          <w:rFonts w:cstheme="minorHAnsi"/>
          <w:sz w:val="24"/>
          <w:szCs w:val="24"/>
        </w:rPr>
        <w:t xml:space="preserve"> there </w:t>
      </w:r>
      <w:r w:rsidR="006E61B5">
        <w:rPr>
          <w:rFonts w:cstheme="minorHAnsi"/>
          <w:sz w:val="24"/>
          <w:szCs w:val="24"/>
        </w:rPr>
        <w:t>were</w:t>
      </w:r>
      <w:r w:rsidR="009D19A0" w:rsidRPr="00EC6853">
        <w:rPr>
          <w:rFonts w:cstheme="minorHAnsi"/>
          <w:sz w:val="24"/>
          <w:szCs w:val="24"/>
        </w:rPr>
        <w:t xml:space="preserve"> occupied territories from a previous armed conflict between Armenia and Azerbaijan</w:t>
      </w:r>
      <w:r w:rsidR="003D7429" w:rsidRPr="00EC6853">
        <w:rPr>
          <w:rFonts w:cstheme="minorHAnsi"/>
          <w:sz w:val="24"/>
          <w:szCs w:val="24"/>
        </w:rPr>
        <w:t xml:space="preserve"> in 1992 (</w:t>
      </w:r>
      <w:r w:rsidR="006D3E9E">
        <w:rPr>
          <w:rFonts w:cstheme="minorHAnsi"/>
          <w:sz w:val="24"/>
          <w:szCs w:val="24"/>
        </w:rPr>
        <w:t>that are undisputedly Azerbaijani territory</w:t>
      </w:r>
      <w:r w:rsidR="006E61B5">
        <w:rPr>
          <w:rFonts w:cstheme="minorHAnsi"/>
          <w:sz w:val="24"/>
          <w:szCs w:val="24"/>
        </w:rPr>
        <w:t>).</w:t>
      </w:r>
      <w:r w:rsidR="006D3E9E">
        <w:rPr>
          <w:rStyle w:val="FootnoteReference"/>
          <w:rFonts w:cstheme="minorHAnsi"/>
          <w:sz w:val="24"/>
          <w:szCs w:val="24"/>
        </w:rPr>
        <w:footnoteReference w:id="46"/>
      </w:r>
      <w:r w:rsidR="006E61B5">
        <w:rPr>
          <w:rFonts w:cstheme="minorHAnsi"/>
          <w:sz w:val="24"/>
          <w:szCs w:val="24"/>
        </w:rPr>
        <w:t xml:space="preserve"> However, as they have been ‘reconquered’ by Azerbaijan in the 2020 conflict, the question does not arise anymore.  </w:t>
      </w:r>
    </w:p>
    <w:p w14:paraId="50EDAD4D" w14:textId="77777777" w:rsidR="00BE1FF5" w:rsidRPr="00EC6853" w:rsidRDefault="00BE1FF5" w:rsidP="009B7C6E">
      <w:pPr>
        <w:spacing w:after="0" w:line="240" w:lineRule="auto"/>
        <w:jc w:val="both"/>
        <w:rPr>
          <w:rFonts w:cstheme="minorHAnsi"/>
          <w:sz w:val="24"/>
          <w:szCs w:val="24"/>
        </w:rPr>
      </w:pPr>
    </w:p>
    <w:p w14:paraId="61D3A7CA" w14:textId="2D4CBFA0" w:rsidR="009920A9" w:rsidRPr="00C23C5C" w:rsidRDefault="00706665" w:rsidP="00C23C5C">
      <w:pPr>
        <w:pStyle w:val="Heading2"/>
      </w:pPr>
      <w:r>
        <w:t xml:space="preserve">1.3. </w:t>
      </w:r>
      <w:r w:rsidR="00120319" w:rsidRPr="00C23C5C">
        <w:t xml:space="preserve">Government </w:t>
      </w:r>
    </w:p>
    <w:p w14:paraId="43AA2DBD" w14:textId="1DBE9144" w:rsidR="009714F7" w:rsidRDefault="00782864" w:rsidP="009B7C6E">
      <w:pPr>
        <w:spacing w:after="0" w:line="240" w:lineRule="auto"/>
        <w:jc w:val="both"/>
        <w:rPr>
          <w:rFonts w:cstheme="minorHAnsi"/>
          <w:sz w:val="24"/>
          <w:szCs w:val="24"/>
        </w:rPr>
      </w:pPr>
      <w:r>
        <w:rPr>
          <w:rFonts w:cstheme="minorHAnsi"/>
          <w:sz w:val="24"/>
          <w:szCs w:val="24"/>
        </w:rPr>
        <w:t xml:space="preserve">The third element of the Montevideo Convention is that of a government. </w:t>
      </w:r>
      <w:r w:rsidR="009714F7">
        <w:rPr>
          <w:rFonts w:cstheme="minorHAnsi"/>
          <w:sz w:val="24"/>
          <w:szCs w:val="24"/>
        </w:rPr>
        <w:t xml:space="preserve">Contrary to the two previous criteria, no adjective </w:t>
      </w:r>
      <w:r w:rsidR="00666390">
        <w:rPr>
          <w:rFonts w:cstheme="minorHAnsi"/>
          <w:sz w:val="24"/>
          <w:szCs w:val="24"/>
        </w:rPr>
        <w:t>is appended to the noun. The form that this political organisation takes is irrelevant</w:t>
      </w:r>
      <w:r w:rsidR="00467719">
        <w:rPr>
          <w:rFonts w:cstheme="minorHAnsi"/>
          <w:sz w:val="24"/>
          <w:szCs w:val="24"/>
        </w:rPr>
        <w:t>: ‘[n]o rule of international law […] requires the structure of a State to follow any particular pattern, as is evident from the diversity of the forms of State found in the world today.’</w:t>
      </w:r>
      <w:r w:rsidR="00467719">
        <w:rPr>
          <w:rStyle w:val="FootnoteReference"/>
          <w:rFonts w:cstheme="minorHAnsi"/>
          <w:sz w:val="24"/>
          <w:szCs w:val="24"/>
        </w:rPr>
        <w:footnoteReference w:id="47"/>
      </w:r>
      <w:r w:rsidR="00666390">
        <w:rPr>
          <w:rFonts w:cstheme="minorHAnsi"/>
          <w:sz w:val="24"/>
          <w:szCs w:val="24"/>
        </w:rPr>
        <w:t xml:space="preserve"> Specifying the type of government would run counter </w:t>
      </w:r>
      <w:r w:rsidR="000754FC">
        <w:rPr>
          <w:rFonts w:cstheme="minorHAnsi"/>
          <w:sz w:val="24"/>
          <w:szCs w:val="24"/>
        </w:rPr>
        <w:t>several</w:t>
      </w:r>
      <w:r w:rsidR="002D7732">
        <w:rPr>
          <w:rFonts w:cstheme="minorHAnsi"/>
          <w:sz w:val="24"/>
          <w:szCs w:val="24"/>
        </w:rPr>
        <w:t xml:space="preserve"> international law principles. </w:t>
      </w:r>
      <w:r w:rsidR="002B1BC6">
        <w:rPr>
          <w:rFonts w:cstheme="minorHAnsi"/>
          <w:sz w:val="24"/>
          <w:szCs w:val="24"/>
        </w:rPr>
        <w:t xml:space="preserve">First, as the </w:t>
      </w:r>
      <w:r w:rsidR="00AB7C66">
        <w:rPr>
          <w:rFonts w:cstheme="minorHAnsi"/>
          <w:sz w:val="24"/>
          <w:szCs w:val="24"/>
        </w:rPr>
        <w:t>ICJ</w:t>
      </w:r>
      <w:r w:rsidR="002B1BC6">
        <w:rPr>
          <w:rFonts w:cstheme="minorHAnsi"/>
          <w:sz w:val="24"/>
          <w:szCs w:val="24"/>
        </w:rPr>
        <w:t xml:space="preserve"> </w:t>
      </w:r>
      <w:r w:rsidR="002B1BC6" w:rsidRPr="002B1BC6">
        <w:rPr>
          <w:rFonts w:cstheme="minorHAnsi"/>
          <w:sz w:val="24"/>
          <w:szCs w:val="24"/>
        </w:rPr>
        <w:t xml:space="preserve">explained in the </w:t>
      </w:r>
      <w:r w:rsidR="002B1BC6" w:rsidRPr="0077221C">
        <w:rPr>
          <w:rFonts w:cstheme="minorHAnsi"/>
          <w:i/>
          <w:sz w:val="24"/>
          <w:szCs w:val="24"/>
        </w:rPr>
        <w:t>Nicaragua</w:t>
      </w:r>
      <w:r w:rsidR="002B1BC6" w:rsidRPr="002B1BC6">
        <w:rPr>
          <w:rFonts w:cstheme="minorHAnsi"/>
          <w:i/>
          <w:iCs/>
          <w:sz w:val="24"/>
          <w:szCs w:val="24"/>
        </w:rPr>
        <w:t xml:space="preserve"> </w:t>
      </w:r>
      <w:r w:rsidR="00434F9A" w:rsidRPr="00434F9A">
        <w:rPr>
          <w:rFonts w:cstheme="minorHAnsi"/>
          <w:i/>
          <w:iCs/>
          <w:sz w:val="24"/>
          <w:szCs w:val="24"/>
        </w:rPr>
        <w:t>C</w:t>
      </w:r>
      <w:r w:rsidR="002B1BC6" w:rsidRPr="00434F9A">
        <w:rPr>
          <w:rFonts w:cstheme="minorHAnsi"/>
          <w:i/>
          <w:iCs/>
          <w:sz w:val="24"/>
          <w:szCs w:val="24"/>
        </w:rPr>
        <w:t>ase</w:t>
      </w:r>
      <w:r w:rsidR="002B1BC6" w:rsidRPr="002B1BC6">
        <w:rPr>
          <w:rFonts w:cstheme="minorHAnsi"/>
          <w:sz w:val="24"/>
          <w:szCs w:val="24"/>
        </w:rPr>
        <w:t xml:space="preserve">, to oblige a State to adhere to a particular doctrine ‘would </w:t>
      </w:r>
      <w:r w:rsidR="002B1BC6" w:rsidRPr="002B1BC6">
        <w:rPr>
          <w:sz w:val="24"/>
          <w:szCs w:val="24"/>
        </w:rPr>
        <w:t xml:space="preserve">make nonsense of the fundamental principle of State </w:t>
      </w:r>
      <w:r w:rsidR="002B1BC6" w:rsidRPr="002B1BC6">
        <w:rPr>
          <w:sz w:val="24"/>
          <w:szCs w:val="24"/>
        </w:rPr>
        <w:lastRenderedPageBreak/>
        <w:t>sovereignty on which the whole of international law rests, and the freedom of choice of the political, social, economic and cultural system of a State.’</w:t>
      </w:r>
      <w:r w:rsidR="002B1BC6" w:rsidRPr="002B1BC6">
        <w:rPr>
          <w:rStyle w:val="FootnoteReference"/>
          <w:sz w:val="24"/>
          <w:szCs w:val="24"/>
        </w:rPr>
        <w:footnoteReference w:id="48"/>
      </w:r>
      <w:r w:rsidR="002B1BC6" w:rsidRPr="002B1BC6">
        <w:rPr>
          <w:sz w:val="24"/>
          <w:szCs w:val="24"/>
        </w:rPr>
        <w:t xml:space="preserve"> </w:t>
      </w:r>
      <w:r w:rsidR="002B1BC6" w:rsidRPr="002B1BC6">
        <w:rPr>
          <w:rFonts w:cstheme="minorHAnsi"/>
          <w:sz w:val="24"/>
          <w:szCs w:val="24"/>
        </w:rPr>
        <w:t>Second</w:t>
      </w:r>
      <w:r w:rsidR="002D7732" w:rsidRPr="002B1BC6">
        <w:rPr>
          <w:rFonts w:cstheme="minorHAnsi"/>
          <w:sz w:val="24"/>
          <w:szCs w:val="24"/>
        </w:rPr>
        <w:t>, the principle of non-intervention in internal affairs combined with the principle of equality prevents States from imposing on another State a certain type of political organisation.</w:t>
      </w:r>
      <w:r w:rsidR="002D7732" w:rsidRPr="002B1BC6">
        <w:rPr>
          <w:rStyle w:val="FootnoteReference"/>
          <w:rFonts w:cstheme="minorHAnsi"/>
          <w:sz w:val="24"/>
          <w:szCs w:val="24"/>
        </w:rPr>
        <w:footnoteReference w:id="49"/>
      </w:r>
      <w:r w:rsidR="002B1BC6" w:rsidRPr="002B1BC6">
        <w:rPr>
          <w:rFonts w:cstheme="minorHAnsi"/>
          <w:sz w:val="24"/>
          <w:szCs w:val="24"/>
        </w:rPr>
        <w:t xml:space="preserve"> Third</w:t>
      </w:r>
      <w:r w:rsidR="002D7732" w:rsidRPr="002B1BC6">
        <w:rPr>
          <w:rFonts w:cstheme="minorHAnsi"/>
          <w:sz w:val="24"/>
          <w:szCs w:val="24"/>
        </w:rPr>
        <w:t>, the right</w:t>
      </w:r>
      <w:r w:rsidR="00666390" w:rsidRPr="002B1BC6">
        <w:rPr>
          <w:rFonts w:cstheme="minorHAnsi"/>
          <w:sz w:val="24"/>
          <w:szCs w:val="24"/>
        </w:rPr>
        <w:t xml:space="preserve"> of self-determination that allows people to choose the type of political organisation that </w:t>
      </w:r>
      <w:r w:rsidR="002D7732" w:rsidRPr="002B1BC6">
        <w:rPr>
          <w:rFonts w:cstheme="minorHAnsi"/>
          <w:sz w:val="24"/>
          <w:szCs w:val="24"/>
        </w:rPr>
        <w:t xml:space="preserve">organises and </w:t>
      </w:r>
      <w:r w:rsidR="00666390" w:rsidRPr="002B1BC6">
        <w:rPr>
          <w:rFonts w:cstheme="minorHAnsi"/>
          <w:sz w:val="24"/>
          <w:szCs w:val="24"/>
        </w:rPr>
        <w:t>runs them</w:t>
      </w:r>
      <w:r w:rsidR="002D7732" w:rsidRPr="002B1BC6">
        <w:rPr>
          <w:rFonts w:cstheme="minorHAnsi"/>
          <w:sz w:val="24"/>
          <w:szCs w:val="24"/>
        </w:rPr>
        <w:t xml:space="preserve"> would be violated</w:t>
      </w:r>
      <w:r w:rsidR="00666390" w:rsidRPr="002B1BC6">
        <w:rPr>
          <w:rFonts w:cstheme="minorHAnsi"/>
          <w:sz w:val="24"/>
          <w:szCs w:val="24"/>
        </w:rPr>
        <w:t>.</w:t>
      </w:r>
      <w:r w:rsidR="000754FC" w:rsidRPr="002B1BC6">
        <w:rPr>
          <w:rFonts w:cstheme="minorHAnsi"/>
          <w:sz w:val="24"/>
          <w:szCs w:val="24"/>
        </w:rPr>
        <w:t xml:space="preserve"> It is sometimes contended that whilst this was</w:t>
      </w:r>
      <w:r w:rsidR="000754FC">
        <w:rPr>
          <w:rFonts w:cstheme="minorHAnsi"/>
          <w:sz w:val="24"/>
          <w:szCs w:val="24"/>
        </w:rPr>
        <w:t xml:space="preserve"> the position adopted prior to 1990, it changed, at least on the European continent, following the fall of the Soviet Union and Yugoslavia as, to obtain recognition, the new entities had to </w:t>
      </w:r>
      <w:r w:rsidR="00684A61">
        <w:rPr>
          <w:rFonts w:cstheme="minorHAnsi"/>
          <w:sz w:val="24"/>
          <w:szCs w:val="24"/>
        </w:rPr>
        <w:t>attest</w:t>
      </w:r>
      <w:r w:rsidR="000754FC">
        <w:rPr>
          <w:rFonts w:cstheme="minorHAnsi"/>
          <w:sz w:val="24"/>
          <w:szCs w:val="24"/>
        </w:rPr>
        <w:t xml:space="preserve"> that they constituted themselves on a democratic basis.</w:t>
      </w:r>
      <w:r w:rsidR="00666390">
        <w:rPr>
          <w:rFonts w:cstheme="minorHAnsi"/>
          <w:sz w:val="24"/>
          <w:szCs w:val="24"/>
        </w:rPr>
        <w:t xml:space="preserve"> </w:t>
      </w:r>
      <w:r w:rsidR="000754FC">
        <w:rPr>
          <w:rFonts w:cstheme="minorHAnsi"/>
          <w:sz w:val="24"/>
          <w:szCs w:val="24"/>
        </w:rPr>
        <w:t xml:space="preserve">Such an argument is incorrect because, as observed by </w:t>
      </w:r>
      <w:proofErr w:type="spellStart"/>
      <w:r w:rsidR="000754FC" w:rsidRPr="0077221C">
        <w:rPr>
          <w:rFonts w:cstheme="minorHAnsi"/>
          <w:sz w:val="24"/>
          <w:szCs w:val="24"/>
        </w:rPr>
        <w:t>Fikfak</w:t>
      </w:r>
      <w:proofErr w:type="spellEnd"/>
      <w:r w:rsidR="000754FC">
        <w:rPr>
          <w:rFonts w:cstheme="minorHAnsi"/>
          <w:sz w:val="24"/>
          <w:szCs w:val="24"/>
        </w:rPr>
        <w:t>, the requirement of being a democracy ‘should be regarded as a recognition requirement and not a statehood criterion.’</w:t>
      </w:r>
      <w:r w:rsidR="000754FC">
        <w:rPr>
          <w:rStyle w:val="FootnoteReference"/>
          <w:rFonts w:cstheme="minorHAnsi"/>
          <w:sz w:val="24"/>
          <w:szCs w:val="24"/>
        </w:rPr>
        <w:footnoteReference w:id="50"/>
      </w:r>
      <w:r w:rsidR="000754FC">
        <w:rPr>
          <w:rFonts w:cstheme="minorHAnsi"/>
          <w:sz w:val="24"/>
          <w:szCs w:val="24"/>
        </w:rPr>
        <w:t xml:space="preserve"> </w:t>
      </w:r>
    </w:p>
    <w:p w14:paraId="7BDD0DC6" w14:textId="214AD2A0" w:rsidR="007A1942" w:rsidRDefault="00185D4F" w:rsidP="009B7C6E">
      <w:pPr>
        <w:spacing w:after="0" w:line="240" w:lineRule="auto"/>
        <w:jc w:val="both"/>
        <w:rPr>
          <w:rFonts w:cstheme="minorHAnsi"/>
          <w:sz w:val="24"/>
          <w:szCs w:val="24"/>
        </w:rPr>
      </w:pPr>
      <w:r>
        <w:rPr>
          <w:rFonts w:cstheme="minorHAnsi"/>
          <w:sz w:val="24"/>
          <w:szCs w:val="24"/>
        </w:rPr>
        <w:t>Notwithstanding the lack of</w:t>
      </w:r>
      <w:r w:rsidR="007A1942">
        <w:rPr>
          <w:rFonts w:cstheme="minorHAnsi"/>
          <w:sz w:val="24"/>
          <w:szCs w:val="24"/>
        </w:rPr>
        <w:t xml:space="preserve"> </w:t>
      </w:r>
      <w:r w:rsidR="003A206A">
        <w:rPr>
          <w:rFonts w:cstheme="minorHAnsi"/>
          <w:sz w:val="24"/>
          <w:szCs w:val="24"/>
        </w:rPr>
        <w:t xml:space="preserve">an </w:t>
      </w:r>
      <w:r w:rsidR="007A1942">
        <w:rPr>
          <w:rFonts w:cstheme="minorHAnsi"/>
          <w:sz w:val="24"/>
          <w:szCs w:val="24"/>
        </w:rPr>
        <w:t>adjective to qualify the government</w:t>
      </w:r>
      <w:r w:rsidR="003A206A">
        <w:rPr>
          <w:rFonts w:cstheme="minorHAnsi"/>
          <w:sz w:val="24"/>
          <w:szCs w:val="24"/>
        </w:rPr>
        <w:t xml:space="preserve"> element</w:t>
      </w:r>
      <w:r w:rsidR="007A1942">
        <w:rPr>
          <w:rFonts w:cstheme="minorHAnsi"/>
          <w:sz w:val="24"/>
          <w:szCs w:val="24"/>
        </w:rPr>
        <w:t>, practice shows that the government must be ‘central’, i.e., that there is one unique source of power.</w:t>
      </w:r>
      <w:r w:rsidR="001816A1">
        <w:rPr>
          <w:rFonts w:cstheme="minorHAnsi"/>
          <w:sz w:val="24"/>
          <w:szCs w:val="24"/>
        </w:rPr>
        <w:t xml:space="preserve"> T</w:t>
      </w:r>
      <w:r w:rsidR="001816A1">
        <w:rPr>
          <w:rFonts w:eastAsia="Times New Roman" w:cstheme="minorHAnsi"/>
          <w:color w:val="000000"/>
          <w:sz w:val="24"/>
          <w:szCs w:val="24"/>
          <w:lang w:eastAsia="en-GB"/>
        </w:rPr>
        <w:t>he entity must set up a legal order and a central apparatus that is organised and able to exercise its authority over the territory and the people.</w:t>
      </w:r>
      <w:r w:rsidR="001816A1">
        <w:rPr>
          <w:rStyle w:val="FootnoteReference"/>
          <w:rFonts w:cstheme="minorHAnsi"/>
          <w:sz w:val="24"/>
          <w:szCs w:val="24"/>
        </w:rPr>
        <w:footnoteReference w:id="51"/>
      </w:r>
      <w:r w:rsidR="001816A1">
        <w:rPr>
          <w:rFonts w:eastAsia="Times New Roman" w:cstheme="minorHAnsi"/>
          <w:color w:val="000000"/>
          <w:sz w:val="24"/>
          <w:szCs w:val="24"/>
          <w:lang w:eastAsia="en-GB"/>
        </w:rPr>
        <w:t xml:space="preserve"> </w:t>
      </w:r>
      <w:r w:rsidR="007A1942">
        <w:rPr>
          <w:rFonts w:cstheme="minorHAnsi"/>
          <w:sz w:val="24"/>
          <w:szCs w:val="24"/>
        </w:rPr>
        <w:t>What matters is that the</w:t>
      </w:r>
      <w:r w:rsidR="00FB63B3">
        <w:rPr>
          <w:rFonts w:cstheme="minorHAnsi"/>
          <w:sz w:val="24"/>
          <w:szCs w:val="24"/>
        </w:rPr>
        <w:t xml:space="preserve">re is a </w:t>
      </w:r>
      <w:r w:rsidR="00FB63B3" w:rsidRPr="001816A1">
        <w:rPr>
          <w:rFonts w:cstheme="minorHAnsi"/>
          <w:i/>
          <w:iCs/>
          <w:sz w:val="24"/>
          <w:szCs w:val="24"/>
        </w:rPr>
        <w:t>central</w:t>
      </w:r>
      <w:r w:rsidR="00FB63B3">
        <w:rPr>
          <w:rFonts w:cstheme="minorHAnsi"/>
          <w:sz w:val="24"/>
          <w:szCs w:val="24"/>
        </w:rPr>
        <w:t xml:space="preserve"> legal order, usually derived from the constitution</w:t>
      </w:r>
      <w:r w:rsidR="007A1942">
        <w:rPr>
          <w:rFonts w:cstheme="minorHAnsi"/>
          <w:sz w:val="24"/>
          <w:szCs w:val="24"/>
        </w:rPr>
        <w:t>.</w:t>
      </w:r>
      <w:r w:rsidR="00FB63B3">
        <w:rPr>
          <w:rStyle w:val="FootnoteReference"/>
          <w:rFonts w:cstheme="minorHAnsi"/>
          <w:sz w:val="24"/>
          <w:szCs w:val="24"/>
        </w:rPr>
        <w:footnoteReference w:id="52"/>
      </w:r>
      <w:r w:rsidR="007A1942">
        <w:rPr>
          <w:rFonts w:cstheme="minorHAnsi"/>
          <w:sz w:val="24"/>
          <w:szCs w:val="24"/>
        </w:rPr>
        <w:t xml:space="preserve"> The </w:t>
      </w:r>
      <w:r w:rsidR="007A1942" w:rsidRPr="007A1942">
        <w:rPr>
          <w:rFonts w:cstheme="minorHAnsi"/>
          <w:sz w:val="24"/>
          <w:szCs w:val="24"/>
        </w:rPr>
        <w:t xml:space="preserve">reason is that a single authority should be able to assure the internal stability of the </w:t>
      </w:r>
      <w:r w:rsidR="0077221C">
        <w:rPr>
          <w:rFonts w:cstheme="minorHAnsi"/>
          <w:sz w:val="24"/>
          <w:szCs w:val="24"/>
        </w:rPr>
        <w:t>S</w:t>
      </w:r>
      <w:r w:rsidR="007A1942" w:rsidRPr="007A1942">
        <w:rPr>
          <w:rFonts w:cstheme="minorHAnsi"/>
          <w:sz w:val="24"/>
          <w:szCs w:val="24"/>
        </w:rPr>
        <w:t xml:space="preserve">tate as well as its ability to meet its </w:t>
      </w:r>
      <w:r w:rsidR="000754FC">
        <w:rPr>
          <w:rFonts w:cstheme="minorHAnsi"/>
          <w:sz w:val="24"/>
          <w:szCs w:val="24"/>
        </w:rPr>
        <w:t>obligation</w:t>
      </w:r>
      <w:r w:rsidR="0077221C">
        <w:rPr>
          <w:rFonts w:cstheme="minorHAnsi"/>
          <w:sz w:val="24"/>
          <w:szCs w:val="24"/>
        </w:rPr>
        <w:t>s</w:t>
      </w:r>
      <w:r w:rsidR="007A1942" w:rsidRPr="007A1942">
        <w:rPr>
          <w:rFonts w:cstheme="minorHAnsi"/>
          <w:sz w:val="24"/>
          <w:szCs w:val="24"/>
        </w:rPr>
        <w:t xml:space="preserve"> on the international level</w:t>
      </w:r>
      <w:r w:rsidR="007A1942">
        <w:rPr>
          <w:rFonts w:cstheme="minorHAnsi"/>
          <w:sz w:val="24"/>
          <w:szCs w:val="24"/>
        </w:rPr>
        <w:t>.</w:t>
      </w:r>
      <w:r w:rsidR="007A1942">
        <w:rPr>
          <w:rStyle w:val="FootnoteReference"/>
          <w:rFonts w:cstheme="minorHAnsi"/>
          <w:sz w:val="24"/>
          <w:szCs w:val="24"/>
        </w:rPr>
        <w:footnoteReference w:id="53"/>
      </w:r>
    </w:p>
    <w:p w14:paraId="649C2459" w14:textId="28D7FA70" w:rsidR="00A8460E" w:rsidRPr="0077221C" w:rsidRDefault="00782864" w:rsidP="009B7C6E">
      <w:pPr>
        <w:spacing w:after="0" w:line="240" w:lineRule="auto"/>
        <w:jc w:val="both"/>
        <w:rPr>
          <w:rFonts w:cstheme="minorHAnsi"/>
          <w:sz w:val="24"/>
          <w:szCs w:val="24"/>
        </w:rPr>
      </w:pPr>
      <w:r w:rsidRPr="0077221C">
        <w:rPr>
          <w:rFonts w:cstheme="minorHAnsi"/>
          <w:sz w:val="24"/>
          <w:szCs w:val="24"/>
        </w:rPr>
        <w:t xml:space="preserve">Though the </w:t>
      </w:r>
      <w:r w:rsidR="009714F7" w:rsidRPr="0077221C">
        <w:rPr>
          <w:rFonts w:cstheme="minorHAnsi"/>
          <w:sz w:val="24"/>
          <w:szCs w:val="24"/>
        </w:rPr>
        <w:t>Montevideo Convention</w:t>
      </w:r>
      <w:r w:rsidR="00CF63A9" w:rsidRPr="0077221C">
        <w:rPr>
          <w:rFonts w:cstheme="minorHAnsi"/>
          <w:sz w:val="24"/>
          <w:szCs w:val="24"/>
        </w:rPr>
        <w:t xml:space="preserve"> does not </w:t>
      </w:r>
      <w:r w:rsidR="0010377D" w:rsidRPr="0077221C">
        <w:rPr>
          <w:rFonts w:cstheme="minorHAnsi"/>
          <w:sz w:val="24"/>
          <w:szCs w:val="24"/>
        </w:rPr>
        <w:t xml:space="preserve">use the </w:t>
      </w:r>
      <w:r w:rsidR="00382557" w:rsidRPr="0077221C">
        <w:rPr>
          <w:rFonts w:cstheme="minorHAnsi"/>
          <w:sz w:val="24"/>
          <w:szCs w:val="24"/>
        </w:rPr>
        <w:t>adjective</w:t>
      </w:r>
      <w:r w:rsidR="0010377D" w:rsidRPr="0077221C">
        <w:rPr>
          <w:rFonts w:cstheme="minorHAnsi"/>
          <w:sz w:val="24"/>
          <w:szCs w:val="24"/>
        </w:rPr>
        <w:t xml:space="preserve"> ‘effective’ </w:t>
      </w:r>
      <w:r w:rsidR="00382557" w:rsidRPr="0077221C">
        <w:rPr>
          <w:rFonts w:cstheme="minorHAnsi"/>
          <w:sz w:val="24"/>
          <w:szCs w:val="24"/>
        </w:rPr>
        <w:t xml:space="preserve">to qualify the government, the </w:t>
      </w:r>
      <w:r w:rsidR="00E42483" w:rsidRPr="0077221C">
        <w:rPr>
          <w:rFonts w:cstheme="minorHAnsi"/>
          <w:sz w:val="24"/>
          <w:szCs w:val="24"/>
        </w:rPr>
        <w:t xml:space="preserve">government must </w:t>
      </w:r>
      <w:r w:rsidR="005A22C1" w:rsidRPr="0077221C">
        <w:rPr>
          <w:rFonts w:cstheme="minorHAnsi"/>
          <w:sz w:val="24"/>
          <w:szCs w:val="24"/>
        </w:rPr>
        <w:t>exhibit its</w:t>
      </w:r>
      <w:r w:rsidR="00E42483" w:rsidRPr="0077221C">
        <w:rPr>
          <w:rFonts w:cstheme="minorHAnsi"/>
          <w:sz w:val="24"/>
          <w:szCs w:val="24"/>
        </w:rPr>
        <w:t xml:space="preserve"> effective control of the population and the </w:t>
      </w:r>
      <w:r w:rsidR="00382557" w:rsidRPr="0077221C">
        <w:rPr>
          <w:rFonts w:cstheme="minorHAnsi"/>
          <w:sz w:val="24"/>
          <w:szCs w:val="24"/>
        </w:rPr>
        <w:t>territory</w:t>
      </w:r>
      <w:r w:rsidR="0062117D" w:rsidRPr="0077221C">
        <w:rPr>
          <w:rStyle w:val="FootnoteReference"/>
          <w:rFonts w:cstheme="minorHAnsi"/>
          <w:sz w:val="24"/>
          <w:szCs w:val="24"/>
        </w:rPr>
        <w:footnoteReference w:id="54"/>
      </w:r>
      <w:r w:rsidR="00382557" w:rsidRPr="0077221C">
        <w:rPr>
          <w:rFonts w:cstheme="minorHAnsi"/>
          <w:sz w:val="24"/>
          <w:szCs w:val="24"/>
        </w:rPr>
        <w:t xml:space="preserve"> in the sense that it has the capacity to </w:t>
      </w:r>
      <w:r w:rsidR="00E60B71" w:rsidRPr="0077221C">
        <w:rPr>
          <w:rFonts w:cstheme="minorHAnsi"/>
          <w:sz w:val="24"/>
          <w:szCs w:val="24"/>
        </w:rPr>
        <w:t>legisla</w:t>
      </w:r>
      <w:r w:rsidR="007C506A" w:rsidRPr="0077221C">
        <w:rPr>
          <w:rFonts w:cstheme="minorHAnsi"/>
          <w:sz w:val="24"/>
          <w:szCs w:val="24"/>
        </w:rPr>
        <w:t>t</w:t>
      </w:r>
      <w:r w:rsidR="00E60B71" w:rsidRPr="0077221C">
        <w:rPr>
          <w:rFonts w:cstheme="minorHAnsi"/>
          <w:sz w:val="24"/>
          <w:szCs w:val="24"/>
        </w:rPr>
        <w:t xml:space="preserve">e (or give orders), </w:t>
      </w:r>
      <w:r w:rsidR="00382557" w:rsidRPr="0077221C">
        <w:rPr>
          <w:rFonts w:cstheme="minorHAnsi"/>
          <w:sz w:val="24"/>
          <w:szCs w:val="24"/>
        </w:rPr>
        <w:t>apply, implement and enforce the law</w:t>
      </w:r>
      <w:r w:rsidR="00E60B71" w:rsidRPr="0077221C">
        <w:rPr>
          <w:rFonts w:eastAsia="Times New Roman" w:cstheme="minorHAnsi"/>
          <w:color w:val="000000"/>
          <w:sz w:val="24"/>
          <w:szCs w:val="24"/>
          <w:lang w:eastAsia="en-GB"/>
        </w:rPr>
        <w:t xml:space="preserve"> and establish basic institutions.</w:t>
      </w:r>
      <w:r w:rsidR="00E60B71" w:rsidRPr="0077221C">
        <w:rPr>
          <w:rStyle w:val="FootnoteReference"/>
          <w:rFonts w:eastAsia="Times New Roman" w:cstheme="minorHAnsi"/>
          <w:color w:val="000000"/>
          <w:sz w:val="24"/>
          <w:szCs w:val="24"/>
          <w:lang w:eastAsia="en-GB"/>
        </w:rPr>
        <w:footnoteReference w:id="55"/>
      </w:r>
      <w:r w:rsidR="00382557" w:rsidRPr="0077221C">
        <w:rPr>
          <w:rFonts w:cstheme="minorHAnsi"/>
          <w:sz w:val="24"/>
          <w:szCs w:val="24"/>
        </w:rPr>
        <w:t xml:space="preserve"> It also has the ‘monopoly of force’.</w:t>
      </w:r>
      <w:r w:rsidR="00356E76" w:rsidRPr="0077221C">
        <w:rPr>
          <w:rStyle w:val="FootnoteReference"/>
          <w:rFonts w:cstheme="minorHAnsi"/>
          <w:sz w:val="24"/>
          <w:szCs w:val="24"/>
        </w:rPr>
        <w:footnoteReference w:id="56"/>
      </w:r>
      <w:r w:rsidR="00382557" w:rsidRPr="0077221C">
        <w:rPr>
          <w:rFonts w:cstheme="minorHAnsi"/>
          <w:sz w:val="24"/>
          <w:szCs w:val="24"/>
        </w:rPr>
        <w:t xml:space="preserve"> </w:t>
      </w:r>
      <w:r w:rsidR="00A61083" w:rsidRPr="0077221C">
        <w:rPr>
          <w:rFonts w:cstheme="minorHAnsi"/>
          <w:sz w:val="24"/>
          <w:szCs w:val="24"/>
        </w:rPr>
        <w:t xml:space="preserve">Crawford </w:t>
      </w:r>
      <w:r w:rsidR="00BE0FD0" w:rsidRPr="0077221C">
        <w:rPr>
          <w:rFonts w:cstheme="minorHAnsi"/>
          <w:sz w:val="24"/>
          <w:szCs w:val="24"/>
        </w:rPr>
        <w:t>clarifies</w:t>
      </w:r>
      <w:r w:rsidR="00A61083" w:rsidRPr="0077221C">
        <w:rPr>
          <w:rFonts w:cstheme="minorHAnsi"/>
          <w:sz w:val="24"/>
          <w:szCs w:val="24"/>
        </w:rPr>
        <w:t xml:space="preserve"> that at a minimum it includes ‘some degree of maintenance of law and order and the establishment of basic institutions’.</w:t>
      </w:r>
      <w:r w:rsidR="00A61083" w:rsidRPr="0077221C">
        <w:rPr>
          <w:rStyle w:val="FootnoteReference"/>
          <w:rFonts w:cstheme="minorHAnsi"/>
          <w:sz w:val="24"/>
          <w:szCs w:val="24"/>
        </w:rPr>
        <w:footnoteReference w:id="57"/>
      </w:r>
      <w:r w:rsidR="00467719" w:rsidRPr="0077221C">
        <w:rPr>
          <w:rFonts w:cstheme="minorHAnsi"/>
          <w:sz w:val="24"/>
          <w:szCs w:val="24"/>
        </w:rPr>
        <w:t xml:space="preserve"> It is in this context that the structure of the entity is to be assessed, </w:t>
      </w:r>
      <w:r w:rsidR="00E60B71" w:rsidRPr="0077221C">
        <w:rPr>
          <w:rFonts w:cstheme="minorHAnsi"/>
          <w:sz w:val="24"/>
          <w:szCs w:val="24"/>
        </w:rPr>
        <w:t>even if ‘[t]here is no bright line between effective and ineffective’ and it is rather a matter of degree.</w:t>
      </w:r>
      <w:r w:rsidR="00E60B71" w:rsidRPr="0077221C">
        <w:rPr>
          <w:rStyle w:val="FootnoteReference"/>
          <w:rFonts w:cstheme="minorHAnsi"/>
          <w:sz w:val="24"/>
          <w:szCs w:val="24"/>
        </w:rPr>
        <w:footnoteReference w:id="58"/>
      </w:r>
      <w:r w:rsidR="00E60B71" w:rsidRPr="0077221C">
        <w:rPr>
          <w:rFonts w:cstheme="minorHAnsi"/>
          <w:sz w:val="24"/>
          <w:szCs w:val="24"/>
        </w:rPr>
        <w:t xml:space="preserve">  </w:t>
      </w:r>
    </w:p>
    <w:p w14:paraId="48E84DEA" w14:textId="17D00620" w:rsidR="00A8460E" w:rsidRDefault="00382557" w:rsidP="009B7C6E">
      <w:pPr>
        <w:spacing w:after="0" w:line="240" w:lineRule="auto"/>
        <w:jc w:val="both"/>
        <w:rPr>
          <w:rFonts w:cstheme="minorHAnsi"/>
          <w:sz w:val="24"/>
          <w:szCs w:val="24"/>
        </w:rPr>
      </w:pPr>
      <w:r>
        <w:rPr>
          <w:rFonts w:cstheme="minorHAnsi"/>
          <w:sz w:val="24"/>
          <w:szCs w:val="24"/>
        </w:rPr>
        <w:t>Whilst the effectiveness of the government has been stressed multiple times, in practice,</w:t>
      </w:r>
      <w:r w:rsidR="00E42483" w:rsidRPr="00EC6853">
        <w:rPr>
          <w:rFonts w:cstheme="minorHAnsi"/>
          <w:sz w:val="24"/>
          <w:szCs w:val="24"/>
        </w:rPr>
        <w:t xml:space="preserve"> especially in relation to the decolonisation process, some entities were recognised although the</w:t>
      </w:r>
      <w:r w:rsidR="003655C4" w:rsidRPr="00EC6853">
        <w:rPr>
          <w:rFonts w:cstheme="minorHAnsi"/>
          <w:sz w:val="24"/>
          <w:szCs w:val="24"/>
        </w:rPr>
        <w:t>y had no control over territory and people</w:t>
      </w:r>
      <w:r>
        <w:rPr>
          <w:rFonts w:cstheme="minorHAnsi"/>
          <w:sz w:val="24"/>
          <w:szCs w:val="24"/>
        </w:rPr>
        <w:t>.</w:t>
      </w:r>
      <w:r w:rsidR="003655C4" w:rsidRPr="00EC6853">
        <w:rPr>
          <w:rStyle w:val="FootnoteReference"/>
          <w:rFonts w:cstheme="minorHAnsi"/>
          <w:sz w:val="24"/>
          <w:szCs w:val="24"/>
        </w:rPr>
        <w:footnoteReference w:id="59"/>
      </w:r>
      <w:r>
        <w:rPr>
          <w:rFonts w:cstheme="minorHAnsi"/>
          <w:sz w:val="24"/>
          <w:szCs w:val="24"/>
        </w:rPr>
        <w:t xml:space="preserve"> More recent examples </w:t>
      </w:r>
      <w:r w:rsidR="007C506A">
        <w:rPr>
          <w:rFonts w:cstheme="minorHAnsi"/>
          <w:sz w:val="24"/>
          <w:szCs w:val="24"/>
        </w:rPr>
        <w:t xml:space="preserve">such as Bosnia Herzegovina, East Timor and Kosovo </w:t>
      </w:r>
      <w:r>
        <w:rPr>
          <w:rFonts w:cstheme="minorHAnsi"/>
          <w:sz w:val="24"/>
          <w:szCs w:val="24"/>
        </w:rPr>
        <w:t xml:space="preserve">however </w:t>
      </w:r>
      <w:r w:rsidR="00684A61">
        <w:rPr>
          <w:rFonts w:cstheme="minorHAnsi"/>
          <w:sz w:val="24"/>
          <w:szCs w:val="24"/>
        </w:rPr>
        <w:t>attest</w:t>
      </w:r>
      <w:r>
        <w:rPr>
          <w:rFonts w:cstheme="minorHAnsi"/>
          <w:sz w:val="24"/>
          <w:szCs w:val="24"/>
        </w:rPr>
        <w:t xml:space="preserve"> that effectiveness is sometimes not that </w:t>
      </w:r>
      <w:r w:rsidR="00C63BC5">
        <w:rPr>
          <w:rFonts w:cstheme="minorHAnsi"/>
          <w:sz w:val="24"/>
          <w:szCs w:val="24"/>
        </w:rPr>
        <w:lastRenderedPageBreak/>
        <w:t>decisive</w:t>
      </w:r>
      <w:r w:rsidR="007C506A">
        <w:rPr>
          <w:rFonts w:cstheme="minorHAnsi"/>
          <w:sz w:val="24"/>
          <w:szCs w:val="24"/>
        </w:rPr>
        <w:t>.</w:t>
      </w:r>
      <w:r w:rsidR="00D86437" w:rsidRPr="00EC6853">
        <w:rPr>
          <w:rStyle w:val="FootnoteReference"/>
          <w:rFonts w:cstheme="minorHAnsi"/>
          <w:sz w:val="24"/>
          <w:szCs w:val="24"/>
        </w:rPr>
        <w:footnoteReference w:id="60"/>
      </w:r>
      <w:r w:rsidR="0043136C">
        <w:rPr>
          <w:rFonts w:cstheme="minorHAnsi"/>
          <w:sz w:val="24"/>
          <w:szCs w:val="24"/>
        </w:rPr>
        <w:t xml:space="preserve"> The point, it seems, is that the right to self-determination counterbalances the absence of an effective government.</w:t>
      </w:r>
      <w:r w:rsidR="0043136C">
        <w:rPr>
          <w:rStyle w:val="FootnoteReference"/>
          <w:rFonts w:cstheme="minorHAnsi"/>
          <w:sz w:val="24"/>
          <w:szCs w:val="24"/>
        </w:rPr>
        <w:footnoteReference w:id="61"/>
      </w:r>
      <w:r w:rsidR="00C711D6">
        <w:rPr>
          <w:rFonts w:cstheme="minorHAnsi"/>
          <w:sz w:val="24"/>
          <w:szCs w:val="24"/>
        </w:rPr>
        <w:t xml:space="preserve"> That being the exception rather than the rule, effectiveness is a </w:t>
      </w:r>
      <w:r w:rsidR="005A26DD">
        <w:rPr>
          <w:rFonts w:cstheme="minorHAnsi"/>
          <w:sz w:val="24"/>
          <w:szCs w:val="24"/>
        </w:rPr>
        <w:t>fundamental</w:t>
      </w:r>
      <w:r w:rsidR="00C711D6">
        <w:rPr>
          <w:rFonts w:cstheme="minorHAnsi"/>
          <w:sz w:val="24"/>
          <w:szCs w:val="24"/>
        </w:rPr>
        <w:t xml:space="preserve"> requirement for statehood.</w:t>
      </w:r>
      <w:r w:rsidR="00A61083">
        <w:rPr>
          <w:rFonts w:cstheme="minorHAnsi"/>
          <w:sz w:val="24"/>
          <w:szCs w:val="24"/>
        </w:rPr>
        <w:t xml:space="preserve"> As </w:t>
      </w:r>
      <w:r w:rsidR="00A61083" w:rsidRPr="0077221C">
        <w:rPr>
          <w:rFonts w:cstheme="minorHAnsi"/>
          <w:sz w:val="24"/>
          <w:szCs w:val="24"/>
        </w:rPr>
        <w:t>Crawford</w:t>
      </w:r>
      <w:r w:rsidR="00A61083">
        <w:rPr>
          <w:rFonts w:cstheme="minorHAnsi"/>
          <w:sz w:val="24"/>
          <w:szCs w:val="24"/>
        </w:rPr>
        <w:t xml:space="preserve"> insists, ‘the requirement that a putative State have an effective government might be regarded as central to its claim for statehood’.</w:t>
      </w:r>
      <w:r w:rsidR="00A61083">
        <w:rPr>
          <w:rStyle w:val="FootnoteReference"/>
          <w:rFonts w:cstheme="minorHAnsi"/>
          <w:sz w:val="24"/>
          <w:szCs w:val="24"/>
        </w:rPr>
        <w:footnoteReference w:id="62"/>
      </w:r>
      <w:r w:rsidR="00C711D6">
        <w:rPr>
          <w:rFonts w:cstheme="minorHAnsi"/>
          <w:sz w:val="24"/>
          <w:szCs w:val="24"/>
        </w:rPr>
        <w:t xml:space="preserve"> </w:t>
      </w:r>
    </w:p>
    <w:p w14:paraId="19A63AC8" w14:textId="2F9DDDCC" w:rsidR="00E60B71" w:rsidRDefault="00C711D6" w:rsidP="00E60B71">
      <w:pPr>
        <w:spacing w:after="0" w:line="240" w:lineRule="auto"/>
        <w:jc w:val="both"/>
        <w:rPr>
          <w:rFonts w:cstheme="minorHAnsi"/>
          <w:sz w:val="24"/>
          <w:szCs w:val="24"/>
        </w:rPr>
      </w:pPr>
      <w:r>
        <w:rPr>
          <w:rFonts w:cstheme="minorHAnsi"/>
          <w:sz w:val="24"/>
          <w:szCs w:val="24"/>
        </w:rPr>
        <w:t xml:space="preserve">In a modern world, one may question whether effectiveness </w:t>
      </w:r>
      <w:r w:rsidRPr="00C711D6">
        <w:rPr>
          <w:rFonts w:cstheme="minorHAnsi"/>
          <w:sz w:val="24"/>
          <w:szCs w:val="24"/>
        </w:rPr>
        <w:t xml:space="preserve">should be limited </w:t>
      </w:r>
      <w:r>
        <w:rPr>
          <w:rFonts w:cstheme="minorHAnsi"/>
          <w:sz w:val="24"/>
          <w:szCs w:val="24"/>
        </w:rPr>
        <w:t>to the application of force a</w:t>
      </w:r>
      <w:r w:rsidRPr="00C711D6">
        <w:rPr>
          <w:rFonts w:cstheme="minorHAnsi"/>
          <w:sz w:val="24"/>
          <w:szCs w:val="24"/>
        </w:rPr>
        <w:t xml:space="preserve">nd the ability </w:t>
      </w:r>
      <w:r>
        <w:rPr>
          <w:rFonts w:cstheme="minorHAnsi"/>
          <w:sz w:val="24"/>
          <w:szCs w:val="24"/>
        </w:rPr>
        <w:t xml:space="preserve">of the government </w:t>
      </w:r>
      <w:r w:rsidRPr="00C711D6">
        <w:rPr>
          <w:rFonts w:cstheme="minorHAnsi"/>
          <w:sz w:val="24"/>
          <w:szCs w:val="24"/>
        </w:rPr>
        <w:t>to impose its power on the territory and population.</w:t>
      </w:r>
      <w:r w:rsidR="000236FB">
        <w:rPr>
          <w:rFonts w:cstheme="minorHAnsi"/>
          <w:sz w:val="24"/>
          <w:szCs w:val="24"/>
        </w:rPr>
        <w:t xml:space="preserve"> </w:t>
      </w:r>
      <w:r w:rsidR="000A7911">
        <w:rPr>
          <w:rFonts w:cstheme="minorHAnsi"/>
          <w:sz w:val="24"/>
          <w:szCs w:val="24"/>
        </w:rPr>
        <w:t xml:space="preserve">A certain degree of governmental services ought to be provided as statehood cannot be reduced to a couple of attributes </w:t>
      </w:r>
      <w:r w:rsidR="007C506A">
        <w:rPr>
          <w:rFonts w:cstheme="minorHAnsi"/>
          <w:sz w:val="24"/>
          <w:szCs w:val="24"/>
        </w:rPr>
        <w:t>as it is meant to work as</w:t>
      </w:r>
      <w:r w:rsidR="000A7911">
        <w:rPr>
          <w:rFonts w:cstheme="minorHAnsi"/>
          <w:sz w:val="24"/>
          <w:szCs w:val="24"/>
        </w:rPr>
        <w:t xml:space="preserve"> a comprehensive social order.</w:t>
      </w:r>
      <w:r w:rsidR="000A7911">
        <w:rPr>
          <w:rStyle w:val="FootnoteReference"/>
          <w:rFonts w:cstheme="minorHAnsi"/>
          <w:sz w:val="24"/>
          <w:szCs w:val="24"/>
        </w:rPr>
        <w:footnoteReference w:id="63"/>
      </w:r>
      <w:r w:rsidR="000A7911">
        <w:rPr>
          <w:rFonts w:cstheme="minorHAnsi"/>
          <w:sz w:val="24"/>
          <w:szCs w:val="24"/>
        </w:rPr>
        <w:t xml:space="preserve"> </w:t>
      </w:r>
      <w:proofErr w:type="spellStart"/>
      <w:r w:rsidR="000236FB" w:rsidRPr="0077221C">
        <w:rPr>
          <w:rFonts w:cstheme="minorHAnsi"/>
          <w:sz w:val="24"/>
          <w:szCs w:val="24"/>
        </w:rPr>
        <w:t>Kurtskhalia</w:t>
      </w:r>
      <w:proofErr w:type="spellEnd"/>
      <w:r w:rsidR="000236FB" w:rsidRPr="0077221C">
        <w:rPr>
          <w:rFonts w:cstheme="minorHAnsi"/>
          <w:sz w:val="24"/>
          <w:szCs w:val="24"/>
        </w:rPr>
        <w:t xml:space="preserve"> </w:t>
      </w:r>
      <w:r w:rsidR="0060439E">
        <w:rPr>
          <w:rFonts w:cstheme="minorHAnsi"/>
          <w:sz w:val="24"/>
          <w:szCs w:val="24"/>
        </w:rPr>
        <w:t>posits</w:t>
      </w:r>
      <w:r w:rsidR="000236FB">
        <w:rPr>
          <w:rFonts w:cstheme="minorHAnsi"/>
          <w:sz w:val="24"/>
          <w:szCs w:val="24"/>
        </w:rPr>
        <w:t xml:space="preserve"> that ‘[t]he fullness of the territorial sovereignty of a state is expressed in the fact that each state on its own territory is able to determine the extent and nature of its competences, to regulate social relations in the most varied fields, to impose its authority on the entire social mechanism and to manage resources and national wealth.’</w:t>
      </w:r>
      <w:r w:rsidR="000236FB">
        <w:rPr>
          <w:rStyle w:val="FootnoteReference"/>
          <w:rFonts w:cstheme="minorHAnsi"/>
          <w:sz w:val="24"/>
          <w:szCs w:val="24"/>
        </w:rPr>
        <w:footnoteReference w:id="64"/>
      </w:r>
      <w:r w:rsidRPr="00C711D6">
        <w:rPr>
          <w:rFonts w:cstheme="minorHAnsi"/>
          <w:sz w:val="24"/>
          <w:szCs w:val="24"/>
        </w:rPr>
        <w:t xml:space="preserve"> </w:t>
      </w:r>
      <w:r w:rsidR="000A7911">
        <w:rPr>
          <w:rFonts w:cstheme="minorHAnsi"/>
          <w:sz w:val="24"/>
          <w:szCs w:val="24"/>
        </w:rPr>
        <w:t>This means that in determining the effectiveness of a government, the ability to sustain an economy and provide welfare, health and social services for the population</w:t>
      </w:r>
      <w:r w:rsidR="000A7911">
        <w:rPr>
          <w:rStyle w:val="FootnoteReference"/>
          <w:rFonts w:cstheme="minorHAnsi"/>
          <w:sz w:val="24"/>
          <w:szCs w:val="24"/>
        </w:rPr>
        <w:footnoteReference w:id="65"/>
      </w:r>
      <w:r w:rsidR="000A7911">
        <w:rPr>
          <w:rFonts w:cstheme="minorHAnsi"/>
          <w:sz w:val="24"/>
          <w:szCs w:val="24"/>
        </w:rPr>
        <w:t xml:space="preserve"> </w:t>
      </w:r>
      <w:r w:rsidRPr="00C711D6">
        <w:rPr>
          <w:rFonts w:cstheme="minorHAnsi"/>
          <w:sz w:val="24"/>
          <w:szCs w:val="24"/>
        </w:rPr>
        <w:t>should also be taken into account</w:t>
      </w:r>
      <w:r>
        <w:rPr>
          <w:rFonts w:cstheme="minorHAnsi"/>
          <w:sz w:val="24"/>
          <w:szCs w:val="24"/>
        </w:rPr>
        <w:t>.</w:t>
      </w:r>
      <w:r w:rsidRPr="00C711D6">
        <w:rPr>
          <w:rFonts w:cstheme="minorHAnsi"/>
          <w:sz w:val="24"/>
          <w:szCs w:val="24"/>
        </w:rPr>
        <w:t xml:space="preserve"> After all</w:t>
      </w:r>
      <w:r>
        <w:rPr>
          <w:rFonts w:cstheme="minorHAnsi"/>
          <w:sz w:val="24"/>
          <w:szCs w:val="24"/>
        </w:rPr>
        <w:t>,</w:t>
      </w:r>
      <w:r w:rsidRPr="00C711D6">
        <w:rPr>
          <w:rFonts w:cstheme="minorHAnsi"/>
          <w:sz w:val="24"/>
          <w:szCs w:val="24"/>
        </w:rPr>
        <w:t xml:space="preserve"> increasingly</w:t>
      </w:r>
      <w:r>
        <w:rPr>
          <w:rFonts w:cstheme="minorHAnsi"/>
          <w:sz w:val="24"/>
          <w:szCs w:val="24"/>
        </w:rPr>
        <w:t>,</w:t>
      </w:r>
      <w:r w:rsidRPr="00C711D6">
        <w:rPr>
          <w:rFonts w:cstheme="minorHAnsi"/>
          <w:sz w:val="24"/>
          <w:szCs w:val="24"/>
        </w:rPr>
        <w:t xml:space="preserve"> security is understood</w:t>
      </w:r>
      <w:r w:rsidR="007C506A">
        <w:rPr>
          <w:rFonts w:cstheme="minorHAnsi"/>
          <w:sz w:val="24"/>
          <w:szCs w:val="24"/>
        </w:rPr>
        <w:t xml:space="preserve"> not</w:t>
      </w:r>
      <w:r w:rsidRPr="00C711D6">
        <w:rPr>
          <w:rFonts w:cstheme="minorHAnsi"/>
          <w:sz w:val="24"/>
          <w:szCs w:val="24"/>
        </w:rPr>
        <w:t xml:space="preserve"> only as military security but also as human and environmental security.</w:t>
      </w:r>
      <w:r w:rsidR="00E60B71">
        <w:rPr>
          <w:rFonts w:cstheme="minorHAnsi"/>
          <w:sz w:val="24"/>
          <w:szCs w:val="24"/>
        </w:rPr>
        <w:t xml:space="preserve"> </w:t>
      </w:r>
    </w:p>
    <w:p w14:paraId="0C8B429C" w14:textId="0E910618" w:rsidR="006F290F" w:rsidRPr="00BD1D03" w:rsidRDefault="00CD684B" w:rsidP="00FF0B3D">
      <w:pPr>
        <w:spacing w:after="0" w:line="240" w:lineRule="auto"/>
        <w:jc w:val="both"/>
        <w:rPr>
          <w:rFonts w:cstheme="minorHAnsi"/>
          <w:sz w:val="24"/>
          <w:szCs w:val="24"/>
        </w:rPr>
      </w:pPr>
      <w:r>
        <w:rPr>
          <w:rFonts w:eastAsia="Times New Roman" w:cstheme="minorHAnsi"/>
          <w:color w:val="000000"/>
          <w:sz w:val="24"/>
          <w:szCs w:val="24"/>
          <w:lang w:eastAsia="en-GB"/>
        </w:rPr>
        <w:t xml:space="preserve">Applying these criteria to the entities studied in this chapter </w:t>
      </w:r>
      <w:r w:rsidR="00CD0184">
        <w:rPr>
          <w:rFonts w:eastAsia="Times New Roman" w:cstheme="minorHAnsi"/>
          <w:color w:val="000000"/>
          <w:sz w:val="24"/>
          <w:szCs w:val="24"/>
          <w:lang w:eastAsia="en-GB"/>
        </w:rPr>
        <w:t xml:space="preserve">is </w:t>
      </w:r>
      <w:r w:rsidR="00DA3E5A">
        <w:rPr>
          <w:rFonts w:eastAsia="Times New Roman" w:cstheme="minorHAnsi"/>
          <w:color w:val="000000"/>
          <w:sz w:val="24"/>
          <w:szCs w:val="24"/>
          <w:lang w:eastAsia="en-GB"/>
        </w:rPr>
        <w:t>arduous</w:t>
      </w:r>
      <w:r w:rsidR="00CD0184">
        <w:rPr>
          <w:rFonts w:eastAsia="Times New Roman" w:cstheme="minorHAnsi"/>
          <w:color w:val="000000"/>
          <w:sz w:val="24"/>
          <w:szCs w:val="24"/>
          <w:lang w:eastAsia="en-GB"/>
        </w:rPr>
        <w:t xml:space="preserve"> because of the paucity of information relating to the effectiveness of the entities. </w:t>
      </w:r>
      <w:r>
        <w:rPr>
          <w:rFonts w:eastAsia="Times New Roman" w:cstheme="minorHAnsi"/>
          <w:color w:val="000000"/>
          <w:sz w:val="24"/>
          <w:szCs w:val="24"/>
          <w:lang w:eastAsia="en-GB"/>
        </w:rPr>
        <w:t xml:space="preserve">Accordingly (and unfortunately), only a cursory application of the current situation is provided. </w:t>
      </w:r>
      <w:r w:rsidRPr="00133E2E">
        <w:rPr>
          <w:rFonts w:cstheme="minorHAnsi"/>
          <w:sz w:val="24"/>
          <w:szCs w:val="24"/>
        </w:rPr>
        <w:t xml:space="preserve">The four </w:t>
      </w:r>
      <w:r w:rsidR="00FF0B3D">
        <w:rPr>
          <w:rFonts w:cstheme="minorHAnsi"/>
          <w:i/>
          <w:iCs/>
          <w:sz w:val="24"/>
          <w:szCs w:val="24"/>
        </w:rPr>
        <w:t xml:space="preserve">de facto </w:t>
      </w:r>
      <w:r w:rsidR="00FF0B3D">
        <w:rPr>
          <w:rFonts w:cstheme="minorHAnsi"/>
          <w:sz w:val="24"/>
          <w:szCs w:val="24"/>
        </w:rPr>
        <w:t>States</w:t>
      </w:r>
      <w:r w:rsidRPr="00133E2E">
        <w:rPr>
          <w:rFonts w:cstheme="minorHAnsi"/>
          <w:sz w:val="24"/>
          <w:szCs w:val="24"/>
        </w:rPr>
        <w:t xml:space="preserve"> are all</w:t>
      </w:r>
      <w:r w:rsidR="00FF0B3D">
        <w:rPr>
          <w:rFonts w:cstheme="minorHAnsi"/>
          <w:sz w:val="24"/>
          <w:szCs w:val="24"/>
        </w:rPr>
        <w:t xml:space="preserve"> (more or less)</w:t>
      </w:r>
      <w:r w:rsidRPr="00133E2E">
        <w:rPr>
          <w:rFonts w:cstheme="minorHAnsi"/>
          <w:sz w:val="24"/>
          <w:szCs w:val="24"/>
        </w:rPr>
        <w:t xml:space="preserve"> in effective control over the territory and population. Georgia does not exercise any of its sovereign prerogatives in Abkhazia and South Ossetia; the same holds true about Moldova and Transnistria and Azerbaijan and Nagorno-Karabakh. All four entities have promulgated a constitution establishing the powers of the institutions</w:t>
      </w:r>
      <w:r w:rsidRPr="00133E2E">
        <w:rPr>
          <w:rStyle w:val="FootnoteReference"/>
          <w:rFonts w:cstheme="minorHAnsi"/>
          <w:sz w:val="24"/>
          <w:szCs w:val="24"/>
        </w:rPr>
        <w:footnoteReference w:id="66"/>
      </w:r>
      <w:r w:rsidRPr="00133E2E">
        <w:rPr>
          <w:rFonts w:cstheme="minorHAnsi"/>
          <w:sz w:val="24"/>
          <w:szCs w:val="24"/>
        </w:rPr>
        <w:t xml:space="preserve"> as well as a number of local laws.</w:t>
      </w:r>
      <w:r w:rsidRPr="00133E2E">
        <w:rPr>
          <w:rStyle w:val="FootnoteReference"/>
          <w:rFonts w:cstheme="minorHAnsi"/>
          <w:sz w:val="24"/>
          <w:szCs w:val="24"/>
        </w:rPr>
        <w:footnoteReference w:id="67"/>
      </w:r>
      <w:r w:rsidRPr="00133E2E">
        <w:rPr>
          <w:rFonts w:cstheme="minorHAnsi"/>
          <w:sz w:val="24"/>
          <w:szCs w:val="24"/>
        </w:rPr>
        <w:t xml:space="preserve"> The law is enforced and applied by independent courts,</w:t>
      </w:r>
      <w:r w:rsidRPr="00133E2E">
        <w:rPr>
          <w:rStyle w:val="FootnoteReference"/>
          <w:rFonts w:cstheme="minorHAnsi"/>
          <w:sz w:val="24"/>
          <w:szCs w:val="24"/>
        </w:rPr>
        <w:footnoteReference w:id="68"/>
      </w:r>
      <w:r w:rsidRPr="00133E2E">
        <w:rPr>
          <w:rFonts w:cstheme="minorHAnsi"/>
          <w:sz w:val="24"/>
          <w:szCs w:val="24"/>
        </w:rPr>
        <w:t xml:space="preserve"> with a supreme court as the highest judicial authority</w:t>
      </w:r>
      <w:r w:rsidRPr="00133E2E">
        <w:rPr>
          <w:rStyle w:val="FootnoteReference"/>
          <w:rFonts w:cstheme="minorHAnsi"/>
          <w:sz w:val="24"/>
          <w:szCs w:val="24"/>
        </w:rPr>
        <w:footnoteReference w:id="69"/>
      </w:r>
      <w:r w:rsidRPr="00133E2E">
        <w:rPr>
          <w:rFonts w:cstheme="minorHAnsi"/>
          <w:sz w:val="24"/>
          <w:szCs w:val="24"/>
        </w:rPr>
        <w:t xml:space="preserve"> and sometimes a constitutional court verifying the constitutionality of legislation.</w:t>
      </w:r>
      <w:r w:rsidRPr="00133E2E">
        <w:rPr>
          <w:rStyle w:val="FootnoteReference"/>
          <w:rFonts w:cstheme="minorHAnsi"/>
          <w:sz w:val="24"/>
          <w:szCs w:val="24"/>
        </w:rPr>
        <w:footnoteReference w:id="70"/>
      </w:r>
      <w:r w:rsidRPr="00133E2E">
        <w:rPr>
          <w:rFonts w:cstheme="minorHAnsi"/>
          <w:sz w:val="24"/>
          <w:szCs w:val="24"/>
        </w:rPr>
        <w:t xml:space="preserve"> </w:t>
      </w:r>
      <w:r w:rsidR="00465B2F">
        <w:rPr>
          <w:rFonts w:cstheme="minorHAnsi"/>
          <w:sz w:val="24"/>
          <w:szCs w:val="24"/>
        </w:rPr>
        <w:t>Many</w:t>
      </w:r>
      <w:r w:rsidRPr="00133E2E">
        <w:rPr>
          <w:rFonts w:cstheme="minorHAnsi"/>
          <w:sz w:val="24"/>
          <w:szCs w:val="24"/>
        </w:rPr>
        <w:t xml:space="preserve"> entities have a central bank</w:t>
      </w:r>
      <w:r w:rsidRPr="00133E2E">
        <w:rPr>
          <w:rStyle w:val="FootnoteReference"/>
          <w:rFonts w:cstheme="minorHAnsi"/>
          <w:sz w:val="24"/>
          <w:szCs w:val="24"/>
        </w:rPr>
        <w:footnoteReference w:id="71"/>
      </w:r>
      <w:r>
        <w:rPr>
          <w:rFonts w:cstheme="minorHAnsi"/>
          <w:sz w:val="24"/>
          <w:szCs w:val="24"/>
        </w:rPr>
        <w:t xml:space="preserve"> </w:t>
      </w:r>
      <w:r w:rsidRPr="000B48A8">
        <w:rPr>
          <w:sz w:val="24"/>
          <w:szCs w:val="24"/>
        </w:rPr>
        <w:t xml:space="preserve">and state taxation </w:t>
      </w:r>
      <w:r w:rsidRPr="000B48A8">
        <w:rPr>
          <w:sz w:val="24"/>
          <w:szCs w:val="24"/>
        </w:rPr>
        <w:lastRenderedPageBreak/>
        <w:t>system</w:t>
      </w:r>
      <w:r w:rsidR="0051666D">
        <w:rPr>
          <w:sz w:val="24"/>
          <w:szCs w:val="24"/>
        </w:rPr>
        <w:t>.</w:t>
      </w:r>
      <w:r w:rsidRPr="000B48A8">
        <w:rPr>
          <w:rStyle w:val="FootnoteReference"/>
          <w:sz w:val="24"/>
          <w:szCs w:val="24"/>
        </w:rPr>
        <w:footnoteReference w:id="72"/>
      </w:r>
      <w:r w:rsidR="0051666D">
        <w:rPr>
          <w:sz w:val="24"/>
          <w:szCs w:val="24"/>
        </w:rPr>
        <w:t xml:space="preserve"> </w:t>
      </w:r>
      <w:r w:rsidRPr="000B48A8">
        <w:rPr>
          <w:sz w:val="24"/>
          <w:szCs w:val="24"/>
        </w:rPr>
        <w:t xml:space="preserve"> </w:t>
      </w:r>
      <w:r>
        <w:rPr>
          <w:rFonts w:cstheme="minorHAnsi"/>
          <w:sz w:val="24"/>
          <w:szCs w:val="24"/>
        </w:rPr>
        <w:t>S</w:t>
      </w:r>
      <w:r w:rsidRPr="00133E2E">
        <w:rPr>
          <w:rFonts w:cstheme="minorHAnsi"/>
          <w:sz w:val="24"/>
          <w:szCs w:val="24"/>
        </w:rPr>
        <w:t xml:space="preserve">ometimes </w:t>
      </w:r>
      <w:r>
        <w:rPr>
          <w:rFonts w:cstheme="minorHAnsi"/>
          <w:sz w:val="24"/>
          <w:szCs w:val="24"/>
        </w:rPr>
        <w:t xml:space="preserve">they have </w:t>
      </w:r>
      <w:r w:rsidRPr="00133E2E">
        <w:rPr>
          <w:rFonts w:cstheme="minorHAnsi"/>
          <w:sz w:val="24"/>
          <w:szCs w:val="24"/>
        </w:rPr>
        <w:t>their own currency</w:t>
      </w:r>
      <w:r w:rsidRPr="00133E2E">
        <w:rPr>
          <w:rStyle w:val="FootnoteReference"/>
          <w:rFonts w:cstheme="minorHAnsi"/>
          <w:sz w:val="24"/>
          <w:szCs w:val="24"/>
        </w:rPr>
        <w:footnoteReference w:id="73"/>
      </w:r>
      <w:r>
        <w:rPr>
          <w:rFonts w:cstheme="minorHAnsi"/>
          <w:sz w:val="24"/>
          <w:szCs w:val="24"/>
        </w:rPr>
        <w:t xml:space="preserve"> or have adopted </w:t>
      </w:r>
      <w:r w:rsidR="003817A5">
        <w:rPr>
          <w:rFonts w:cstheme="minorHAnsi"/>
          <w:sz w:val="24"/>
          <w:szCs w:val="24"/>
        </w:rPr>
        <w:t>a foreign</w:t>
      </w:r>
      <w:r>
        <w:rPr>
          <w:rFonts w:cstheme="minorHAnsi"/>
          <w:sz w:val="24"/>
          <w:szCs w:val="24"/>
        </w:rPr>
        <w:t xml:space="preserve"> currency, such as</w:t>
      </w:r>
      <w:r w:rsidRPr="00133E2E">
        <w:rPr>
          <w:rFonts w:cstheme="minorHAnsi"/>
          <w:sz w:val="24"/>
          <w:szCs w:val="24"/>
        </w:rPr>
        <w:t xml:space="preserve"> </w:t>
      </w:r>
      <w:r>
        <w:rPr>
          <w:rFonts w:cstheme="minorHAnsi"/>
          <w:sz w:val="24"/>
          <w:szCs w:val="24"/>
        </w:rPr>
        <w:t xml:space="preserve">the Russian </w:t>
      </w:r>
      <w:proofErr w:type="spellStart"/>
      <w:r w:rsidRPr="00D75ABB">
        <w:rPr>
          <w:rFonts w:cstheme="minorHAnsi"/>
          <w:sz w:val="24"/>
          <w:szCs w:val="24"/>
        </w:rPr>
        <w:t>ruble</w:t>
      </w:r>
      <w:proofErr w:type="spellEnd"/>
      <w:r w:rsidR="003817A5">
        <w:rPr>
          <w:rFonts w:cstheme="minorHAnsi"/>
          <w:sz w:val="24"/>
          <w:szCs w:val="24"/>
        </w:rPr>
        <w:t xml:space="preserve"> (</w:t>
      </w:r>
      <w:r>
        <w:rPr>
          <w:rFonts w:cstheme="minorHAnsi"/>
          <w:sz w:val="24"/>
          <w:szCs w:val="24"/>
        </w:rPr>
        <w:t>either officially</w:t>
      </w:r>
      <w:r w:rsidRPr="00D75ABB">
        <w:rPr>
          <w:rStyle w:val="FootnoteReference"/>
          <w:rFonts w:cstheme="minorHAnsi"/>
          <w:sz w:val="24"/>
          <w:szCs w:val="24"/>
        </w:rPr>
        <w:footnoteReference w:id="74"/>
      </w:r>
      <w:r>
        <w:rPr>
          <w:rFonts w:cstheme="minorHAnsi"/>
          <w:sz w:val="24"/>
          <w:szCs w:val="24"/>
        </w:rPr>
        <w:t xml:space="preserve"> or informally</w:t>
      </w:r>
      <w:r>
        <w:rPr>
          <w:rStyle w:val="FootnoteReference"/>
          <w:rFonts w:cstheme="minorHAnsi"/>
          <w:sz w:val="24"/>
          <w:szCs w:val="24"/>
        </w:rPr>
        <w:footnoteReference w:id="75"/>
      </w:r>
      <w:r w:rsidR="003817A5">
        <w:rPr>
          <w:rFonts w:cstheme="minorHAnsi"/>
          <w:sz w:val="24"/>
          <w:szCs w:val="24"/>
        </w:rPr>
        <w:t>)</w:t>
      </w:r>
      <w:r w:rsidR="00465B2F">
        <w:rPr>
          <w:rFonts w:cstheme="minorHAnsi"/>
          <w:sz w:val="24"/>
          <w:szCs w:val="24"/>
        </w:rPr>
        <w:t xml:space="preserve"> or the Armenian dram.</w:t>
      </w:r>
      <w:r w:rsidR="00465B2F">
        <w:rPr>
          <w:rStyle w:val="FootnoteReference"/>
          <w:rFonts w:cstheme="minorHAnsi"/>
          <w:sz w:val="24"/>
          <w:szCs w:val="24"/>
        </w:rPr>
        <w:footnoteReference w:id="76"/>
      </w:r>
      <w:r w:rsidR="00465B2F">
        <w:rPr>
          <w:rFonts w:cstheme="minorHAnsi"/>
          <w:sz w:val="24"/>
          <w:szCs w:val="24"/>
        </w:rPr>
        <w:t xml:space="preserve"> </w:t>
      </w:r>
      <w:r w:rsidRPr="00133E2E">
        <w:rPr>
          <w:rFonts w:cstheme="minorHAnsi"/>
          <w:sz w:val="24"/>
          <w:szCs w:val="24"/>
        </w:rPr>
        <w:t>Each entity grants nationality</w:t>
      </w:r>
      <w:r w:rsidRPr="00133E2E">
        <w:rPr>
          <w:rStyle w:val="FootnoteReference"/>
          <w:rFonts w:cstheme="minorHAnsi"/>
          <w:sz w:val="24"/>
          <w:szCs w:val="24"/>
        </w:rPr>
        <w:footnoteReference w:id="77"/>
      </w:r>
      <w:r w:rsidRPr="00133E2E">
        <w:rPr>
          <w:rFonts w:cstheme="minorHAnsi"/>
          <w:sz w:val="24"/>
          <w:szCs w:val="24"/>
        </w:rPr>
        <w:t xml:space="preserve"> </w:t>
      </w:r>
      <w:r>
        <w:rPr>
          <w:rFonts w:cstheme="minorHAnsi"/>
          <w:sz w:val="24"/>
          <w:szCs w:val="24"/>
        </w:rPr>
        <w:t xml:space="preserve">though </w:t>
      </w:r>
      <w:r w:rsidRPr="00E0394B">
        <w:rPr>
          <w:sz w:val="24"/>
          <w:szCs w:val="24"/>
        </w:rPr>
        <w:t xml:space="preserve">many inhabitants chose to adopt </w:t>
      </w:r>
      <w:r>
        <w:rPr>
          <w:sz w:val="24"/>
          <w:szCs w:val="24"/>
        </w:rPr>
        <w:t xml:space="preserve">the </w:t>
      </w:r>
      <w:r w:rsidRPr="00E0394B">
        <w:rPr>
          <w:sz w:val="24"/>
          <w:szCs w:val="24"/>
        </w:rPr>
        <w:t>Russian</w:t>
      </w:r>
      <w:r w:rsidR="00CD0184" w:rsidRPr="00E0394B">
        <w:rPr>
          <w:rStyle w:val="FootnoteReference"/>
          <w:sz w:val="24"/>
          <w:szCs w:val="24"/>
        </w:rPr>
        <w:footnoteReference w:id="78"/>
      </w:r>
      <w:r w:rsidR="00CD0184">
        <w:rPr>
          <w:sz w:val="24"/>
          <w:szCs w:val="24"/>
        </w:rPr>
        <w:t xml:space="preserve"> or Armenian</w:t>
      </w:r>
      <w:r w:rsidR="00CD0184">
        <w:rPr>
          <w:rStyle w:val="FootnoteReference"/>
          <w:sz w:val="24"/>
          <w:szCs w:val="24"/>
        </w:rPr>
        <w:footnoteReference w:id="79"/>
      </w:r>
      <w:r w:rsidRPr="00E0394B">
        <w:rPr>
          <w:sz w:val="24"/>
          <w:szCs w:val="24"/>
        </w:rPr>
        <w:t xml:space="preserve"> nationality</w:t>
      </w:r>
      <w:r w:rsidR="00CD0184">
        <w:rPr>
          <w:sz w:val="24"/>
          <w:szCs w:val="24"/>
        </w:rPr>
        <w:t xml:space="preserve">. </w:t>
      </w:r>
      <w:r w:rsidRPr="00133E2E">
        <w:rPr>
          <w:rFonts w:cstheme="minorHAnsi"/>
          <w:sz w:val="24"/>
          <w:szCs w:val="24"/>
        </w:rPr>
        <w:t>The defence of the entity is in the hands of the local military forces and the President is the Commander-in-Chief</w:t>
      </w:r>
      <w:r w:rsidR="008D066D">
        <w:rPr>
          <w:rFonts w:cstheme="minorHAnsi"/>
          <w:sz w:val="24"/>
          <w:szCs w:val="24"/>
        </w:rPr>
        <w:t>,</w:t>
      </w:r>
      <w:r w:rsidRPr="00133E2E">
        <w:rPr>
          <w:rStyle w:val="FootnoteReference"/>
          <w:rFonts w:cstheme="minorHAnsi"/>
          <w:sz w:val="24"/>
          <w:szCs w:val="24"/>
        </w:rPr>
        <w:footnoteReference w:id="80"/>
      </w:r>
      <w:r w:rsidR="008D066D">
        <w:rPr>
          <w:rFonts w:cstheme="minorHAnsi"/>
          <w:sz w:val="24"/>
          <w:szCs w:val="24"/>
        </w:rPr>
        <w:t xml:space="preserve"> at least on paper since in reality</w:t>
      </w:r>
      <w:r w:rsidR="0077221C">
        <w:rPr>
          <w:rFonts w:cstheme="minorHAnsi"/>
          <w:sz w:val="24"/>
          <w:szCs w:val="24"/>
        </w:rPr>
        <w:t>,</w:t>
      </w:r>
      <w:r w:rsidR="008D066D">
        <w:rPr>
          <w:rFonts w:cstheme="minorHAnsi"/>
          <w:sz w:val="24"/>
          <w:szCs w:val="24"/>
        </w:rPr>
        <w:t xml:space="preserve"> the presence of Russian and Armenian armed forces ensures the security of the entities.</w:t>
      </w:r>
      <w:r w:rsidR="003817A5">
        <w:rPr>
          <w:rFonts w:cstheme="minorHAnsi"/>
          <w:sz w:val="24"/>
          <w:szCs w:val="24"/>
        </w:rPr>
        <w:t xml:space="preserve"> </w:t>
      </w:r>
      <w:r w:rsidR="00BD1D03">
        <w:rPr>
          <w:rFonts w:cstheme="minorHAnsi"/>
          <w:sz w:val="24"/>
          <w:szCs w:val="24"/>
        </w:rPr>
        <w:t xml:space="preserve">These </w:t>
      </w:r>
      <w:r w:rsidR="00BD1D03">
        <w:rPr>
          <w:rFonts w:cstheme="minorHAnsi"/>
          <w:i/>
          <w:iCs/>
          <w:sz w:val="24"/>
          <w:szCs w:val="24"/>
        </w:rPr>
        <w:t xml:space="preserve">de facto </w:t>
      </w:r>
      <w:r w:rsidR="00BD1D03">
        <w:rPr>
          <w:rFonts w:cstheme="minorHAnsi"/>
          <w:sz w:val="24"/>
          <w:szCs w:val="24"/>
        </w:rPr>
        <w:t>States have also established legislation and systems in the field of health care, education, cultural, social welfare and environmental protection</w:t>
      </w:r>
      <w:r w:rsidR="00BD1D03">
        <w:rPr>
          <w:rStyle w:val="FootnoteReference"/>
          <w:rFonts w:cstheme="minorHAnsi"/>
          <w:sz w:val="24"/>
          <w:szCs w:val="24"/>
        </w:rPr>
        <w:footnoteReference w:id="81"/>
      </w:r>
      <w:r w:rsidR="00BD1D03">
        <w:rPr>
          <w:rFonts w:cstheme="minorHAnsi"/>
          <w:sz w:val="24"/>
          <w:szCs w:val="24"/>
        </w:rPr>
        <w:t xml:space="preserve"> </w:t>
      </w:r>
      <w:r w:rsidR="005543E2">
        <w:rPr>
          <w:rFonts w:cstheme="minorHAnsi"/>
          <w:sz w:val="24"/>
          <w:szCs w:val="24"/>
        </w:rPr>
        <w:t>all the more as the constitution</w:t>
      </w:r>
      <w:r w:rsidR="009443DE">
        <w:rPr>
          <w:rFonts w:cstheme="minorHAnsi"/>
          <w:sz w:val="24"/>
          <w:szCs w:val="24"/>
        </w:rPr>
        <w:t>s</w:t>
      </w:r>
      <w:r w:rsidR="00BD1D03">
        <w:rPr>
          <w:rFonts w:cstheme="minorHAnsi"/>
          <w:sz w:val="24"/>
          <w:szCs w:val="24"/>
        </w:rPr>
        <w:t xml:space="preserve"> link </w:t>
      </w:r>
      <w:r w:rsidR="00325E40">
        <w:rPr>
          <w:rFonts w:cstheme="minorHAnsi"/>
          <w:sz w:val="24"/>
          <w:szCs w:val="24"/>
        </w:rPr>
        <w:t>the delivery of such</w:t>
      </w:r>
      <w:r w:rsidR="005543E2">
        <w:rPr>
          <w:rFonts w:cstheme="minorHAnsi"/>
          <w:sz w:val="24"/>
          <w:szCs w:val="24"/>
        </w:rPr>
        <w:t xml:space="preserve"> social goods to human rights guarantees.</w:t>
      </w:r>
      <w:r w:rsidR="005543E2">
        <w:rPr>
          <w:rStyle w:val="FootnoteReference"/>
          <w:rFonts w:cstheme="minorHAnsi"/>
          <w:sz w:val="24"/>
          <w:szCs w:val="24"/>
        </w:rPr>
        <w:footnoteReference w:id="82"/>
      </w:r>
      <w:r w:rsidR="008D066D">
        <w:rPr>
          <w:rFonts w:cstheme="minorHAnsi"/>
          <w:sz w:val="24"/>
          <w:szCs w:val="24"/>
        </w:rPr>
        <w:t xml:space="preserve"> The effectiveness of such legislation is nonetheless limited by a lack of financial resources</w:t>
      </w:r>
      <w:r w:rsidR="00DC4FE8">
        <w:rPr>
          <w:rFonts w:cstheme="minorHAnsi"/>
          <w:sz w:val="24"/>
          <w:szCs w:val="24"/>
        </w:rPr>
        <w:t>, a poor economy</w:t>
      </w:r>
      <w:r w:rsidR="008D066D">
        <w:rPr>
          <w:rFonts w:cstheme="minorHAnsi"/>
          <w:sz w:val="24"/>
          <w:szCs w:val="24"/>
        </w:rPr>
        <w:t xml:space="preserve"> and thus great reliance on Russia and Armenia to provide the funds to support the local economy.</w:t>
      </w:r>
      <w:r w:rsidR="00DC4FE8">
        <w:rPr>
          <w:rFonts w:cstheme="minorHAnsi"/>
          <w:sz w:val="24"/>
          <w:szCs w:val="24"/>
        </w:rPr>
        <w:t xml:space="preserve"> </w:t>
      </w:r>
    </w:p>
    <w:p w14:paraId="4CDCE1FA" w14:textId="634BE250" w:rsidR="00CD684B" w:rsidRDefault="003817A5" w:rsidP="00FF0B3D">
      <w:pPr>
        <w:spacing w:after="0" w:line="240" w:lineRule="auto"/>
        <w:jc w:val="both"/>
        <w:rPr>
          <w:rFonts w:cstheme="minorHAnsi"/>
          <w:sz w:val="24"/>
          <w:szCs w:val="24"/>
        </w:rPr>
      </w:pPr>
      <w:r>
        <w:rPr>
          <w:rFonts w:cstheme="minorHAnsi"/>
          <w:sz w:val="24"/>
          <w:szCs w:val="24"/>
        </w:rPr>
        <w:t xml:space="preserve">Undoubtedly, such entities have been able to set up a classic State apparatus that is effective, though </w:t>
      </w:r>
      <w:r w:rsidR="00DC4FE8">
        <w:rPr>
          <w:rFonts w:cstheme="minorHAnsi"/>
          <w:sz w:val="24"/>
          <w:szCs w:val="24"/>
        </w:rPr>
        <w:t>it remains rather limited in the sense that whilst they are able to perform the Weberian definition of a State and some basic State functions, they struggle at the economic and social</w:t>
      </w:r>
      <w:r w:rsidR="0077221C">
        <w:rPr>
          <w:rFonts w:cstheme="minorHAnsi"/>
          <w:sz w:val="24"/>
          <w:szCs w:val="24"/>
        </w:rPr>
        <w:t xml:space="preserve"> level.</w:t>
      </w:r>
      <w:r w:rsidR="00DC4FE8">
        <w:rPr>
          <w:rFonts w:cstheme="minorHAnsi"/>
          <w:sz w:val="24"/>
          <w:szCs w:val="24"/>
        </w:rPr>
        <w:t xml:space="preserve"> Moreover, </w:t>
      </w:r>
      <w:r w:rsidR="006F290F">
        <w:rPr>
          <w:rFonts w:cstheme="minorHAnsi"/>
          <w:sz w:val="24"/>
          <w:szCs w:val="24"/>
        </w:rPr>
        <w:t xml:space="preserve">the independence of these entities might be </w:t>
      </w:r>
      <w:r w:rsidR="00DC4FE8">
        <w:rPr>
          <w:rFonts w:cstheme="minorHAnsi"/>
          <w:sz w:val="24"/>
          <w:szCs w:val="24"/>
        </w:rPr>
        <w:t xml:space="preserve">rightly </w:t>
      </w:r>
      <w:r w:rsidR="006F290F">
        <w:rPr>
          <w:rFonts w:cstheme="minorHAnsi"/>
          <w:sz w:val="24"/>
          <w:szCs w:val="24"/>
        </w:rPr>
        <w:t xml:space="preserve">questioned. </w:t>
      </w:r>
    </w:p>
    <w:p w14:paraId="24D361BA" w14:textId="77777777" w:rsidR="00CC33E0" w:rsidRPr="00EC6853" w:rsidRDefault="00CC33E0" w:rsidP="009B7C6E">
      <w:pPr>
        <w:spacing w:after="0" w:line="240" w:lineRule="auto"/>
        <w:jc w:val="both"/>
        <w:rPr>
          <w:rFonts w:cstheme="minorHAnsi"/>
          <w:sz w:val="24"/>
          <w:szCs w:val="24"/>
        </w:rPr>
      </w:pPr>
    </w:p>
    <w:p w14:paraId="099CC4E0" w14:textId="2E20787E" w:rsidR="00120319" w:rsidRPr="00C23C5C" w:rsidRDefault="00706665" w:rsidP="00C23C5C">
      <w:pPr>
        <w:pStyle w:val="Heading2"/>
      </w:pPr>
      <w:r>
        <w:t xml:space="preserve">1.4. </w:t>
      </w:r>
      <w:r w:rsidR="00120319" w:rsidRPr="00C23C5C">
        <w:t xml:space="preserve">Capacity to Enter into Relations with other </w:t>
      </w:r>
      <w:r w:rsidR="00CF63A9" w:rsidRPr="00C23C5C">
        <w:t>States</w:t>
      </w:r>
    </w:p>
    <w:p w14:paraId="46A82CEC" w14:textId="535D9C82" w:rsidR="0014510D" w:rsidRDefault="00BB4E1F" w:rsidP="009B7C6E">
      <w:pPr>
        <w:spacing w:after="0" w:line="240" w:lineRule="auto"/>
        <w:jc w:val="both"/>
        <w:rPr>
          <w:rFonts w:cstheme="minorHAnsi"/>
          <w:sz w:val="24"/>
          <w:szCs w:val="24"/>
        </w:rPr>
      </w:pPr>
      <w:r w:rsidRPr="00BB4E1F">
        <w:rPr>
          <w:rFonts w:cstheme="minorHAnsi"/>
          <w:sz w:val="24"/>
          <w:szCs w:val="24"/>
        </w:rPr>
        <w:t xml:space="preserve">The </w:t>
      </w:r>
      <w:r>
        <w:rPr>
          <w:rFonts w:cstheme="minorHAnsi"/>
          <w:sz w:val="24"/>
          <w:szCs w:val="24"/>
        </w:rPr>
        <w:t xml:space="preserve">fourth </w:t>
      </w:r>
      <w:r w:rsidRPr="00BB4E1F">
        <w:rPr>
          <w:rFonts w:cstheme="minorHAnsi"/>
          <w:sz w:val="24"/>
          <w:szCs w:val="24"/>
        </w:rPr>
        <w:t>criterion</w:t>
      </w:r>
      <w:r>
        <w:rPr>
          <w:rFonts w:cstheme="minorHAnsi"/>
          <w:sz w:val="24"/>
          <w:szCs w:val="24"/>
        </w:rPr>
        <w:t xml:space="preserve">, </w:t>
      </w:r>
      <w:r w:rsidR="00501988">
        <w:rPr>
          <w:rFonts w:cstheme="minorHAnsi"/>
          <w:sz w:val="24"/>
          <w:szCs w:val="24"/>
        </w:rPr>
        <w:t>that</w:t>
      </w:r>
      <w:r w:rsidRPr="00BB4E1F">
        <w:rPr>
          <w:rFonts w:cstheme="minorHAnsi"/>
          <w:sz w:val="24"/>
          <w:szCs w:val="24"/>
        </w:rPr>
        <w:t xml:space="preserve"> of the capacity to enter into relations with other </w:t>
      </w:r>
      <w:r w:rsidR="0077221C">
        <w:rPr>
          <w:rFonts w:cstheme="minorHAnsi"/>
          <w:sz w:val="24"/>
          <w:szCs w:val="24"/>
        </w:rPr>
        <w:t>S</w:t>
      </w:r>
      <w:r w:rsidRPr="00BB4E1F">
        <w:rPr>
          <w:rFonts w:cstheme="minorHAnsi"/>
          <w:sz w:val="24"/>
          <w:szCs w:val="24"/>
        </w:rPr>
        <w:t>tates</w:t>
      </w:r>
      <w:r w:rsidR="00900B78">
        <w:rPr>
          <w:rFonts w:cstheme="minorHAnsi"/>
          <w:sz w:val="24"/>
          <w:szCs w:val="24"/>
        </w:rPr>
        <w:t>,</w:t>
      </w:r>
      <w:r w:rsidRPr="00BB4E1F">
        <w:rPr>
          <w:rFonts w:cstheme="minorHAnsi"/>
          <w:sz w:val="24"/>
          <w:szCs w:val="24"/>
        </w:rPr>
        <w:t xml:space="preserve"> is probably the most </w:t>
      </w:r>
      <w:r w:rsidR="00900B78">
        <w:rPr>
          <w:rFonts w:cstheme="minorHAnsi"/>
          <w:sz w:val="24"/>
          <w:szCs w:val="24"/>
        </w:rPr>
        <w:t>strenuous</w:t>
      </w:r>
      <w:r w:rsidRPr="00BB4E1F">
        <w:rPr>
          <w:rFonts w:cstheme="minorHAnsi"/>
          <w:sz w:val="24"/>
          <w:szCs w:val="24"/>
        </w:rPr>
        <w:t xml:space="preserve"> to </w:t>
      </w:r>
      <w:r w:rsidR="005C7B3D">
        <w:rPr>
          <w:rFonts w:cstheme="minorHAnsi"/>
          <w:sz w:val="24"/>
          <w:szCs w:val="24"/>
        </w:rPr>
        <w:t>describe</w:t>
      </w:r>
      <w:r w:rsidRPr="00BB4E1F">
        <w:rPr>
          <w:rFonts w:cstheme="minorHAnsi"/>
          <w:sz w:val="24"/>
          <w:szCs w:val="24"/>
        </w:rPr>
        <w:t xml:space="preserve">. Some authors </w:t>
      </w:r>
      <w:r w:rsidR="009F20F1">
        <w:rPr>
          <w:rFonts w:cstheme="minorHAnsi"/>
          <w:sz w:val="24"/>
          <w:szCs w:val="24"/>
        </w:rPr>
        <w:t>maintain</w:t>
      </w:r>
      <w:r w:rsidRPr="00BB4E1F">
        <w:rPr>
          <w:rFonts w:cstheme="minorHAnsi"/>
          <w:sz w:val="24"/>
          <w:szCs w:val="24"/>
        </w:rPr>
        <w:t xml:space="preserve"> </w:t>
      </w:r>
      <w:r>
        <w:rPr>
          <w:rFonts w:cstheme="minorHAnsi"/>
          <w:sz w:val="24"/>
          <w:szCs w:val="24"/>
        </w:rPr>
        <w:t xml:space="preserve">that </w:t>
      </w:r>
      <w:r w:rsidRPr="00BB4E1F">
        <w:rPr>
          <w:rFonts w:cstheme="minorHAnsi"/>
          <w:sz w:val="24"/>
          <w:szCs w:val="24"/>
        </w:rPr>
        <w:t>it should</w:t>
      </w:r>
      <w:r>
        <w:rPr>
          <w:rFonts w:cstheme="minorHAnsi"/>
          <w:sz w:val="24"/>
          <w:szCs w:val="24"/>
        </w:rPr>
        <w:t xml:space="preserve"> </w:t>
      </w:r>
      <w:r w:rsidRPr="00BB4E1F">
        <w:rPr>
          <w:rFonts w:cstheme="minorHAnsi"/>
          <w:sz w:val="24"/>
          <w:szCs w:val="24"/>
        </w:rPr>
        <w:t>n</w:t>
      </w:r>
      <w:r>
        <w:rPr>
          <w:rFonts w:cstheme="minorHAnsi"/>
          <w:sz w:val="24"/>
          <w:szCs w:val="24"/>
        </w:rPr>
        <w:t>o</w:t>
      </w:r>
      <w:r w:rsidRPr="00BB4E1F">
        <w:rPr>
          <w:rFonts w:cstheme="minorHAnsi"/>
          <w:sz w:val="24"/>
          <w:szCs w:val="24"/>
        </w:rPr>
        <w:t xml:space="preserve">t be an element of statehood </w:t>
      </w:r>
      <w:r>
        <w:rPr>
          <w:rFonts w:cstheme="minorHAnsi"/>
          <w:sz w:val="24"/>
          <w:szCs w:val="24"/>
        </w:rPr>
        <w:t>because it is</w:t>
      </w:r>
      <w:r w:rsidRPr="00BB4E1F">
        <w:rPr>
          <w:rFonts w:cstheme="minorHAnsi"/>
          <w:sz w:val="24"/>
          <w:szCs w:val="24"/>
        </w:rPr>
        <w:t xml:space="preserve"> a consequen</w:t>
      </w:r>
      <w:r>
        <w:rPr>
          <w:rFonts w:cstheme="minorHAnsi"/>
          <w:sz w:val="24"/>
          <w:szCs w:val="24"/>
        </w:rPr>
        <w:t>ce</w:t>
      </w:r>
      <w:r w:rsidRPr="00BB4E1F">
        <w:rPr>
          <w:rFonts w:cstheme="minorHAnsi"/>
          <w:sz w:val="24"/>
          <w:szCs w:val="24"/>
        </w:rPr>
        <w:t xml:space="preserve"> of an </w:t>
      </w:r>
      <w:r>
        <w:rPr>
          <w:rFonts w:cstheme="minorHAnsi"/>
          <w:sz w:val="24"/>
          <w:szCs w:val="24"/>
        </w:rPr>
        <w:t>entity’s</w:t>
      </w:r>
      <w:r w:rsidRPr="00BB4E1F">
        <w:rPr>
          <w:rFonts w:cstheme="minorHAnsi"/>
          <w:sz w:val="24"/>
          <w:szCs w:val="24"/>
        </w:rPr>
        <w:t xml:space="preserve"> ability to fulfil</w:t>
      </w:r>
      <w:r>
        <w:rPr>
          <w:rFonts w:cstheme="minorHAnsi"/>
          <w:sz w:val="24"/>
          <w:szCs w:val="24"/>
        </w:rPr>
        <w:t xml:space="preserve"> the</w:t>
      </w:r>
      <w:r w:rsidRPr="00BB4E1F">
        <w:rPr>
          <w:rFonts w:cstheme="minorHAnsi"/>
          <w:sz w:val="24"/>
          <w:szCs w:val="24"/>
        </w:rPr>
        <w:t xml:space="preserve"> three previous requirements</w:t>
      </w:r>
      <w:r>
        <w:rPr>
          <w:rFonts w:cstheme="minorHAnsi"/>
          <w:sz w:val="24"/>
          <w:szCs w:val="24"/>
        </w:rPr>
        <w:t>,</w:t>
      </w:r>
      <w:r>
        <w:rPr>
          <w:rStyle w:val="FootnoteReference"/>
        </w:rPr>
        <w:footnoteReference w:id="83"/>
      </w:r>
      <w:r>
        <w:rPr>
          <w:rFonts w:cstheme="minorHAnsi"/>
          <w:sz w:val="24"/>
          <w:szCs w:val="24"/>
        </w:rPr>
        <w:t xml:space="preserve"> the argument being that this</w:t>
      </w:r>
      <w:r w:rsidRPr="00BB4E1F">
        <w:rPr>
          <w:rFonts w:cstheme="minorHAnsi"/>
          <w:sz w:val="24"/>
          <w:szCs w:val="24"/>
        </w:rPr>
        <w:t xml:space="preserve"> capacity </w:t>
      </w:r>
      <w:r>
        <w:rPr>
          <w:rFonts w:cstheme="minorHAnsi"/>
          <w:sz w:val="24"/>
          <w:szCs w:val="24"/>
        </w:rPr>
        <w:t>is</w:t>
      </w:r>
      <w:r w:rsidRPr="00BB4E1F">
        <w:rPr>
          <w:rFonts w:cstheme="minorHAnsi"/>
          <w:sz w:val="24"/>
          <w:szCs w:val="24"/>
        </w:rPr>
        <w:t xml:space="preserve"> not limited to </w:t>
      </w:r>
      <w:r>
        <w:rPr>
          <w:rFonts w:cstheme="minorHAnsi"/>
          <w:sz w:val="24"/>
          <w:szCs w:val="24"/>
        </w:rPr>
        <w:t>S</w:t>
      </w:r>
      <w:r w:rsidRPr="00BB4E1F">
        <w:rPr>
          <w:rFonts w:cstheme="minorHAnsi"/>
          <w:sz w:val="24"/>
          <w:szCs w:val="24"/>
        </w:rPr>
        <w:t xml:space="preserve">tates and thus not a sign that an entity is a </w:t>
      </w:r>
      <w:r>
        <w:rPr>
          <w:rFonts w:cstheme="minorHAnsi"/>
          <w:sz w:val="24"/>
          <w:szCs w:val="24"/>
        </w:rPr>
        <w:t>S</w:t>
      </w:r>
      <w:r w:rsidRPr="00BB4E1F">
        <w:rPr>
          <w:rFonts w:cstheme="minorHAnsi"/>
          <w:sz w:val="24"/>
          <w:szCs w:val="24"/>
        </w:rPr>
        <w:t>tate</w:t>
      </w:r>
      <w:r>
        <w:rPr>
          <w:rFonts w:cstheme="minorHAnsi"/>
          <w:sz w:val="24"/>
          <w:szCs w:val="24"/>
        </w:rPr>
        <w:t>.</w:t>
      </w:r>
      <w:r w:rsidRPr="00BB4E1F">
        <w:rPr>
          <w:rFonts w:cstheme="minorHAnsi"/>
          <w:sz w:val="24"/>
          <w:szCs w:val="24"/>
        </w:rPr>
        <w:t xml:space="preserve"> Accordingly</w:t>
      </w:r>
      <w:r>
        <w:rPr>
          <w:rFonts w:cstheme="minorHAnsi"/>
          <w:sz w:val="24"/>
          <w:szCs w:val="24"/>
        </w:rPr>
        <w:t xml:space="preserve">, </w:t>
      </w:r>
      <w:r w:rsidRPr="00EC6853">
        <w:rPr>
          <w:rFonts w:cstheme="minorHAnsi"/>
          <w:sz w:val="24"/>
          <w:szCs w:val="24"/>
        </w:rPr>
        <w:t>‘</w:t>
      </w:r>
      <w:r>
        <w:rPr>
          <w:rFonts w:cstheme="minorHAnsi"/>
          <w:sz w:val="24"/>
          <w:szCs w:val="24"/>
        </w:rPr>
        <w:t>[e]</w:t>
      </w:r>
      <w:proofErr w:type="spellStart"/>
      <w:r w:rsidRPr="00EC6853">
        <w:rPr>
          <w:rFonts w:cstheme="minorHAnsi"/>
          <w:sz w:val="24"/>
          <w:szCs w:val="24"/>
        </w:rPr>
        <w:t>ven</w:t>
      </w:r>
      <w:proofErr w:type="spellEnd"/>
      <w:r w:rsidRPr="00EC6853">
        <w:rPr>
          <w:rFonts w:cstheme="minorHAnsi"/>
          <w:sz w:val="24"/>
          <w:szCs w:val="24"/>
        </w:rPr>
        <w:t xml:space="preserve"> if capacity were unique to states, the better view seems to be that, though capacity results from statehood, it is not an element in a state’s creation.’</w:t>
      </w:r>
      <w:r w:rsidRPr="00EC6853">
        <w:rPr>
          <w:rStyle w:val="FootnoteReference"/>
          <w:rFonts w:cstheme="minorHAnsi"/>
          <w:sz w:val="24"/>
          <w:szCs w:val="24"/>
        </w:rPr>
        <w:footnoteReference w:id="84"/>
      </w:r>
      <w:r w:rsidR="0014510D">
        <w:rPr>
          <w:rFonts w:cstheme="minorHAnsi"/>
          <w:sz w:val="24"/>
          <w:szCs w:val="24"/>
        </w:rPr>
        <w:t xml:space="preserve"> </w:t>
      </w:r>
    </w:p>
    <w:p w14:paraId="3C62692B" w14:textId="4F5853AB" w:rsidR="00F50BD0" w:rsidRDefault="0014510D" w:rsidP="00F50BD0">
      <w:pPr>
        <w:spacing w:after="0" w:line="240" w:lineRule="auto"/>
        <w:jc w:val="both"/>
        <w:rPr>
          <w:rFonts w:cstheme="minorHAnsi"/>
          <w:sz w:val="24"/>
          <w:szCs w:val="24"/>
        </w:rPr>
      </w:pPr>
      <w:r>
        <w:rPr>
          <w:rFonts w:cstheme="minorHAnsi"/>
          <w:sz w:val="24"/>
          <w:szCs w:val="24"/>
        </w:rPr>
        <w:lastRenderedPageBreak/>
        <w:t xml:space="preserve">Scholars </w:t>
      </w:r>
      <w:r w:rsidRPr="0014510D">
        <w:rPr>
          <w:rFonts w:cstheme="minorHAnsi"/>
          <w:sz w:val="24"/>
          <w:szCs w:val="24"/>
        </w:rPr>
        <w:t xml:space="preserve">who </w:t>
      </w:r>
      <w:r>
        <w:rPr>
          <w:rFonts w:cstheme="minorHAnsi"/>
          <w:sz w:val="24"/>
          <w:szCs w:val="24"/>
        </w:rPr>
        <w:t>accept that</w:t>
      </w:r>
      <w:r w:rsidRPr="0014510D">
        <w:rPr>
          <w:rFonts w:cstheme="minorHAnsi"/>
          <w:sz w:val="24"/>
          <w:szCs w:val="24"/>
        </w:rPr>
        <w:t xml:space="preserve"> it is a requirement struggle with its practical application. First</w:t>
      </w:r>
      <w:r>
        <w:rPr>
          <w:rFonts w:cstheme="minorHAnsi"/>
          <w:sz w:val="24"/>
          <w:szCs w:val="24"/>
        </w:rPr>
        <w:t>,</w:t>
      </w:r>
      <w:r w:rsidRPr="0014510D">
        <w:rPr>
          <w:rFonts w:cstheme="minorHAnsi"/>
          <w:sz w:val="24"/>
          <w:szCs w:val="24"/>
        </w:rPr>
        <w:t xml:space="preserve"> the word </w:t>
      </w:r>
      <w:r>
        <w:rPr>
          <w:rFonts w:cstheme="minorHAnsi"/>
          <w:sz w:val="24"/>
          <w:szCs w:val="24"/>
        </w:rPr>
        <w:t>‘</w:t>
      </w:r>
      <w:r w:rsidRPr="0014510D">
        <w:rPr>
          <w:rFonts w:cstheme="minorHAnsi"/>
          <w:sz w:val="24"/>
          <w:szCs w:val="24"/>
        </w:rPr>
        <w:t>capacity</w:t>
      </w:r>
      <w:r>
        <w:rPr>
          <w:rFonts w:cstheme="minorHAnsi"/>
          <w:sz w:val="24"/>
          <w:szCs w:val="24"/>
        </w:rPr>
        <w:t>’</w:t>
      </w:r>
      <w:r w:rsidRPr="0014510D">
        <w:rPr>
          <w:rFonts w:cstheme="minorHAnsi"/>
          <w:sz w:val="24"/>
          <w:szCs w:val="24"/>
        </w:rPr>
        <w:t xml:space="preserve"> can be understood as </w:t>
      </w:r>
      <w:r>
        <w:rPr>
          <w:rFonts w:cstheme="minorHAnsi"/>
          <w:sz w:val="24"/>
          <w:szCs w:val="24"/>
        </w:rPr>
        <w:t>taking measures enabling an entity</w:t>
      </w:r>
      <w:r w:rsidRPr="0014510D">
        <w:rPr>
          <w:rFonts w:cstheme="minorHAnsi"/>
          <w:sz w:val="24"/>
          <w:szCs w:val="24"/>
        </w:rPr>
        <w:t xml:space="preserve"> to </w:t>
      </w:r>
      <w:r>
        <w:rPr>
          <w:rFonts w:cstheme="minorHAnsi"/>
          <w:sz w:val="24"/>
          <w:szCs w:val="24"/>
        </w:rPr>
        <w:t xml:space="preserve">act. </w:t>
      </w:r>
      <w:r w:rsidR="00041767">
        <w:rPr>
          <w:rFonts w:cstheme="minorHAnsi"/>
          <w:sz w:val="24"/>
          <w:szCs w:val="24"/>
        </w:rPr>
        <w:t>A hypothetical example is</w:t>
      </w:r>
      <w:r w:rsidRPr="0014510D">
        <w:rPr>
          <w:rFonts w:cstheme="minorHAnsi"/>
          <w:sz w:val="24"/>
          <w:szCs w:val="24"/>
        </w:rPr>
        <w:t xml:space="preserve"> </w:t>
      </w:r>
      <w:r w:rsidR="001B4EA5">
        <w:rPr>
          <w:rFonts w:cstheme="minorHAnsi"/>
          <w:sz w:val="24"/>
          <w:szCs w:val="24"/>
        </w:rPr>
        <w:t>an</w:t>
      </w:r>
      <w:r w:rsidRPr="0014510D">
        <w:rPr>
          <w:rFonts w:cstheme="minorHAnsi"/>
          <w:sz w:val="24"/>
          <w:szCs w:val="24"/>
        </w:rPr>
        <w:t xml:space="preserve"> entity </w:t>
      </w:r>
      <w:r w:rsidR="001B4EA5">
        <w:rPr>
          <w:rFonts w:cstheme="minorHAnsi"/>
          <w:sz w:val="24"/>
          <w:szCs w:val="24"/>
        </w:rPr>
        <w:t>that</w:t>
      </w:r>
      <w:r w:rsidRPr="0014510D">
        <w:rPr>
          <w:rFonts w:cstheme="minorHAnsi"/>
          <w:sz w:val="24"/>
          <w:szCs w:val="24"/>
        </w:rPr>
        <w:t xml:space="preserve"> set</w:t>
      </w:r>
      <w:r w:rsidR="001B4EA5">
        <w:rPr>
          <w:rFonts w:cstheme="minorHAnsi"/>
          <w:sz w:val="24"/>
          <w:szCs w:val="24"/>
        </w:rPr>
        <w:t>s</w:t>
      </w:r>
      <w:r w:rsidRPr="0014510D">
        <w:rPr>
          <w:rFonts w:cstheme="minorHAnsi"/>
          <w:sz w:val="24"/>
          <w:szCs w:val="24"/>
        </w:rPr>
        <w:t xml:space="preserve"> up a </w:t>
      </w:r>
      <w:r>
        <w:rPr>
          <w:rFonts w:cstheme="minorHAnsi"/>
          <w:sz w:val="24"/>
          <w:szCs w:val="24"/>
        </w:rPr>
        <w:t>M</w:t>
      </w:r>
      <w:r w:rsidRPr="0014510D">
        <w:rPr>
          <w:rFonts w:cstheme="minorHAnsi"/>
          <w:sz w:val="24"/>
          <w:szCs w:val="24"/>
        </w:rPr>
        <w:t xml:space="preserve">inistry </w:t>
      </w:r>
      <w:r>
        <w:rPr>
          <w:rFonts w:cstheme="minorHAnsi"/>
          <w:sz w:val="24"/>
          <w:szCs w:val="24"/>
        </w:rPr>
        <w:t>of Foreign</w:t>
      </w:r>
      <w:r w:rsidRPr="0014510D">
        <w:rPr>
          <w:rFonts w:cstheme="minorHAnsi"/>
          <w:sz w:val="24"/>
          <w:szCs w:val="24"/>
        </w:rPr>
        <w:t xml:space="preserve"> </w:t>
      </w:r>
      <w:r>
        <w:rPr>
          <w:rFonts w:cstheme="minorHAnsi"/>
          <w:sz w:val="24"/>
          <w:szCs w:val="24"/>
        </w:rPr>
        <w:t>A</w:t>
      </w:r>
      <w:r w:rsidRPr="0014510D">
        <w:rPr>
          <w:rFonts w:cstheme="minorHAnsi"/>
          <w:sz w:val="24"/>
          <w:szCs w:val="24"/>
        </w:rPr>
        <w:t>ffairs wi</w:t>
      </w:r>
      <w:r>
        <w:rPr>
          <w:rFonts w:cstheme="minorHAnsi"/>
          <w:sz w:val="24"/>
          <w:szCs w:val="24"/>
        </w:rPr>
        <w:t>ll</w:t>
      </w:r>
      <w:r w:rsidRPr="0014510D">
        <w:rPr>
          <w:rFonts w:cstheme="minorHAnsi"/>
          <w:sz w:val="24"/>
          <w:szCs w:val="24"/>
        </w:rPr>
        <w:t xml:space="preserve">ing to engage with States and other international legal entities. </w:t>
      </w:r>
      <w:r w:rsidR="0062117D">
        <w:rPr>
          <w:rFonts w:cstheme="minorHAnsi"/>
          <w:sz w:val="24"/>
          <w:szCs w:val="24"/>
        </w:rPr>
        <w:t>It can be understood as the ability ‘to effectively govern the concerned territory to the extent that it can undertake and apply international obligations internally.’</w:t>
      </w:r>
      <w:r w:rsidR="0062117D">
        <w:rPr>
          <w:rStyle w:val="FootnoteReference"/>
          <w:rFonts w:cstheme="minorHAnsi"/>
          <w:sz w:val="24"/>
          <w:szCs w:val="24"/>
        </w:rPr>
        <w:footnoteReference w:id="85"/>
      </w:r>
      <w:r w:rsidR="00F50BD0">
        <w:rPr>
          <w:rFonts w:cstheme="minorHAnsi"/>
          <w:sz w:val="24"/>
          <w:szCs w:val="24"/>
        </w:rPr>
        <w:t xml:space="preserve"> </w:t>
      </w:r>
      <w:r w:rsidR="00F50BD0" w:rsidRPr="00133E2E">
        <w:rPr>
          <w:rFonts w:cstheme="minorHAnsi"/>
          <w:sz w:val="24"/>
          <w:szCs w:val="24"/>
        </w:rPr>
        <w:t>The constitution of Abkhazia specifies that it is a subject of international law</w:t>
      </w:r>
      <w:r w:rsidR="00F50BD0" w:rsidRPr="00133E2E">
        <w:rPr>
          <w:rStyle w:val="FootnoteReference"/>
          <w:rFonts w:cstheme="minorHAnsi"/>
          <w:sz w:val="24"/>
          <w:szCs w:val="24"/>
        </w:rPr>
        <w:footnoteReference w:id="86"/>
      </w:r>
      <w:r w:rsidR="00F50BD0">
        <w:rPr>
          <w:rFonts w:cstheme="minorHAnsi"/>
          <w:sz w:val="24"/>
          <w:szCs w:val="24"/>
        </w:rPr>
        <w:t xml:space="preserve"> and that of South Ossetia that the entity</w:t>
      </w:r>
      <w:r w:rsidR="00F50BD0" w:rsidRPr="000740C0">
        <w:rPr>
          <w:rFonts w:cstheme="minorHAnsi"/>
          <w:sz w:val="24"/>
          <w:szCs w:val="24"/>
        </w:rPr>
        <w:t xml:space="preserve"> </w:t>
      </w:r>
      <w:r w:rsidR="00F50BD0" w:rsidRPr="00D75ABB">
        <w:rPr>
          <w:rFonts w:cstheme="minorHAnsi"/>
          <w:sz w:val="24"/>
          <w:szCs w:val="24"/>
        </w:rPr>
        <w:t>can enter into relations with other States</w:t>
      </w:r>
      <w:r w:rsidR="00F50BD0">
        <w:rPr>
          <w:rFonts w:cstheme="minorHAnsi"/>
          <w:sz w:val="24"/>
          <w:szCs w:val="24"/>
        </w:rPr>
        <w:t>.</w:t>
      </w:r>
      <w:r w:rsidR="00F50BD0">
        <w:rPr>
          <w:rStyle w:val="FootnoteReference"/>
          <w:rFonts w:cstheme="minorHAnsi"/>
          <w:sz w:val="24"/>
          <w:szCs w:val="24"/>
        </w:rPr>
        <w:footnoteReference w:id="87"/>
      </w:r>
      <w:r w:rsidR="00F50BD0">
        <w:rPr>
          <w:rFonts w:cstheme="minorHAnsi"/>
          <w:sz w:val="24"/>
          <w:szCs w:val="24"/>
        </w:rPr>
        <w:t xml:space="preserve">  </w:t>
      </w:r>
      <w:r w:rsidR="00F50BD0" w:rsidRPr="00133E2E">
        <w:rPr>
          <w:rFonts w:cstheme="minorHAnsi"/>
          <w:sz w:val="24"/>
          <w:szCs w:val="24"/>
        </w:rPr>
        <w:t>Foreign Affairs are often conducted by the President</w:t>
      </w:r>
      <w:r w:rsidR="00F50BD0" w:rsidRPr="00133E2E">
        <w:rPr>
          <w:rStyle w:val="FootnoteReference"/>
          <w:rFonts w:cstheme="minorHAnsi"/>
          <w:sz w:val="24"/>
          <w:szCs w:val="24"/>
        </w:rPr>
        <w:footnoteReference w:id="88"/>
      </w:r>
      <w:r w:rsidR="00F50BD0">
        <w:rPr>
          <w:rFonts w:cstheme="minorHAnsi"/>
          <w:sz w:val="24"/>
          <w:szCs w:val="24"/>
        </w:rPr>
        <w:t xml:space="preserve"> though in Transnistria,</w:t>
      </w:r>
      <w:r w:rsidR="00F50BD0" w:rsidRPr="00133E2E">
        <w:rPr>
          <w:rFonts w:cstheme="minorHAnsi"/>
          <w:sz w:val="24"/>
          <w:szCs w:val="24"/>
        </w:rPr>
        <w:t xml:space="preserve"> </w:t>
      </w:r>
      <w:r w:rsidR="00F50BD0">
        <w:rPr>
          <w:rFonts w:cstheme="minorHAnsi"/>
          <w:sz w:val="24"/>
          <w:szCs w:val="24"/>
        </w:rPr>
        <w:t>t</w:t>
      </w:r>
      <w:r w:rsidR="00F50BD0" w:rsidRPr="0052649E">
        <w:rPr>
          <w:rFonts w:cstheme="minorHAnsi"/>
          <w:sz w:val="24"/>
          <w:szCs w:val="24"/>
        </w:rPr>
        <w:t>he main lines of the foreign policy, including the military doctrine, are determined by the legislative power</w:t>
      </w:r>
      <w:r w:rsidR="00F50BD0" w:rsidRPr="0052649E">
        <w:rPr>
          <w:rStyle w:val="FootnoteReference"/>
          <w:rFonts w:cstheme="minorHAnsi"/>
          <w:sz w:val="24"/>
          <w:szCs w:val="24"/>
        </w:rPr>
        <w:footnoteReference w:id="89"/>
      </w:r>
      <w:r w:rsidR="00F50BD0" w:rsidRPr="0052649E">
        <w:rPr>
          <w:rFonts w:cstheme="minorHAnsi"/>
          <w:sz w:val="24"/>
          <w:szCs w:val="24"/>
        </w:rPr>
        <w:t xml:space="preserve"> and implemented by executive power</w:t>
      </w:r>
      <w:r w:rsidR="00F50BD0">
        <w:rPr>
          <w:rFonts w:cstheme="minorHAnsi"/>
          <w:sz w:val="24"/>
          <w:szCs w:val="24"/>
        </w:rPr>
        <w:t>.</w:t>
      </w:r>
      <w:r w:rsidR="00F50BD0" w:rsidRPr="0052649E">
        <w:rPr>
          <w:rStyle w:val="FootnoteReference"/>
          <w:rFonts w:cstheme="minorHAnsi"/>
          <w:sz w:val="24"/>
          <w:szCs w:val="24"/>
        </w:rPr>
        <w:footnoteReference w:id="90"/>
      </w:r>
      <w:r w:rsidR="00F50BD0" w:rsidRPr="00F50BD0">
        <w:rPr>
          <w:rFonts w:cstheme="minorHAnsi"/>
          <w:sz w:val="24"/>
          <w:szCs w:val="24"/>
        </w:rPr>
        <w:t xml:space="preserve"> </w:t>
      </w:r>
      <w:r w:rsidR="00F50BD0">
        <w:rPr>
          <w:rFonts w:cstheme="minorHAnsi"/>
          <w:sz w:val="24"/>
          <w:szCs w:val="24"/>
        </w:rPr>
        <w:t xml:space="preserve">In practice, it is interesting to note that </w:t>
      </w:r>
      <w:r w:rsidR="00F50BD0" w:rsidRPr="00EC6853">
        <w:rPr>
          <w:rFonts w:cstheme="minorHAnsi"/>
          <w:sz w:val="24"/>
          <w:szCs w:val="24"/>
        </w:rPr>
        <w:t>in November 2000, the ministers of foreign affairs of Transnistria, Abkhazia, South Ossetia and Nagorno-Karabakh met in Tiraspol</w:t>
      </w:r>
      <w:r w:rsidR="00F50BD0">
        <w:rPr>
          <w:rFonts w:cstheme="minorHAnsi"/>
          <w:sz w:val="24"/>
          <w:szCs w:val="24"/>
        </w:rPr>
        <w:t>.</w:t>
      </w:r>
      <w:r w:rsidR="00F50BD0" w:rsidRPr="00EC6853">
        <w:rPr>
          <w:rStyle w:val="FootnoteReference"/>
          <w:rFonts w:cstheme="minorHAnsi"/>
          <w:sz w:val="24"/>
          <w:szCs w:val="24"/>
        </w:rPr>
        <w:footnoteReference w:id="91"/>
      </w:r>
      <w:r w:rsidR="00F50BD0">
        <w:rPr>
          <w:rFonts w:cstheme="minorHAnsi"/>
          <w:sz w:val="24"/>
          <w:szCs w:val="24"/>
        </w:rPr>
        <w:t xml:space="preserve"> S</w:t>
      </w:r>
      <w:r w:rsidR="00F50BD0" w:rsidRPr="0014510D">
        <w:rPr>
          <w:rFonts w:cstheme="minorHAnsi"/>
          <w:sz w:val="24"/>
          <w:szCs w:val="24"/>
        </w:rPr>
        <w:t xml:space="preserve">hould this meeting be considered as a piece of evidence </w:t>
      </w:r>
      <w:r w:rsidR="00F50BD0">
        <w:rPr>
          <w:rFonts w:cstheme="minorHAnsi"/>
          <w:sz w:val="24"/>
          <w:szCs w:val="24"/>
        </w:rPr>
        <w:t>that</w:t>
      </w:r>
      <w:r w:rsidR="00F50BD0" w:rsidRPr="0014510D">
        <w:rPr>
          <w:rFonts w:cstheme="minorHAnsi"/>
          <w:sz w:val="24"/>
          <w:szCs w:val="24"/>
        </w:rPr>
        <w:t xml:space="preserve"> these four entities have </w:t>
      </w:r>
      <w:r w:rsidR="00F50BD0">
        <w:rPr>
          <w:rFonts w:cstheme="minorHAnsi"/>
          <w:sz w:val="24"/>
          <w:szCs w:val="24"/>
        </w:rPr>
        <w:t>the</w:t>
      </w:r>
      <w:r w:rsidR="00F50BD0" w:rsidRPr="0014510D">
        <w:rPr>
          <w:rFonts w:cstheme="minorHAnsi"/>
          <w:sz w:val="24"/>
          <w:szCs w:val="24"/>
        </w:rPr>
        <w:t xml:space="preserve"> capacity to enter into relations with other </w:t>
      </w:r>
      <w:r w:rsidR="006C54EA">
        <w:rPr>
          <w:rFonts w:cstheme="minorHAnsi"/>
          <w:sz w:val="24"/>
          <w:szCs w:val="24"/>
        </w:rPr>
        <w:t>S</w:t>
      </w:r>
      <w:r w:rsidR="00F50BD0" w:rsidRPr="0014510D">
        <w:rPr>
          <w:rFonts w:cstheme="minorHAnsi"/>
          <w:sz w:val="24"/>
          <w:szCs w:val="24"/>
        </w:rPr>
        <w:t>tates?</w:t>
      </w:r>
      <w:r w:rsidR="00F50BD0">
        <w:rPr>
          <w:rStyle w:val="FootnoteReference"/>
          <w:rFonts w:cstheme="minorHAnsi"/>
          <w:sz w:val="24"/>
          <w:szCs w:val="24"/>
        </w:rPr>
        <w:footnoteReference w:id="92"/>
      </w:r>
      <w:r w:rsidR="00F50BD0" w:rsidRPr="0014510D">
        <w:rPr>
          <w:rFonts w:cstheme="minorHAnsi"/>
          <w:sz w:val="24"/>
          <w:szCs w:val="24"/>
        </w:rPr>
        <w:t xml:space="preserve"> </w:t>
      </w:r>
      <w:r w:rsidR="009F7734">
        <w:rPr>
          <w:rFonts w:cstheme="minorHAnsi"/>
          <w:sz w:val="24"/>
          <w:szCs w:val="24"/>
        </w:rPr>
        <w:t>In September 2005, Russia organised a conference with South Ossetia, Abkhazia and Transnistria.</w:t>
      </w:r>
      <w:r w:rsidR="009F7734">
        <w:rPr>
          <w:rStyle w:val="FootnoteReference"/>
          <w:rFonts w:cstheme="minorHAnsi"/>
          <w:sz w:val="24"/>
          <w:szCs w:val="24"/>
        </w:rPr>
        <w:footnoteReference w:id="93"/>
      </w:r>
      <w:r w:rsidR="009F7734">
        <w:rPr>
          <w:rFonts w:cstheme="minorHAnsi"/>
          <w:sz w:val="24"/>
          <w:szCs w:val="24"/>
        </w:rPr>
        <w:t xml:space="preserve"> </w:t>
      </w:r>
      <w:r w:rsidR="00D861FA">
        <w:rPr>
          <w:rFonts w:cstheme="minorHAnsi"/>
          <w:sz w:val="24"/>
          <w:szCs w:val="24"/>
        </w:rPr>
        <w:t>In 2015</w:t>
      </w:r>
      <w:r w:rsidR="000A72ED">
        <w:rPr>
          <w:rFonts w:cstheme="minorHAnsi"/>
          <w:sz w:val="24"/>
          <w:szCs w:val="24"/>
        </w:rPr>
        <w:t>,</w:t>
      </w:r>
      <w:r w:rsidR="00D861FA">
        <w:rPr>
          <w:rFonts w:cstheme="minorHAnsi"/>
          <w:sz w:val="24"/>
          <w:szCs w:val="24"/>
        </w:rPr>
        <w:t xml:space="preserve"> the South Ossetian President was seeking closer ties not only with Abkhazia and Transnistria but also with Luhansk and Donetsk.</w:t>
      </w:r>
      <w:r w:rsidR="00D861FA">
        <w:rPr>
          <w:rStyle w:val="FootnoteReference"/>
          <w:rFonts w:cstheme="minorHAnsi"/>
          <w:sz w:val="24"/>
          <w:szCs w:val="24"/>
        </w:rPr>
        <w:footnoteReference w:id="94"/>
      </w:r>
      <w:r w:rsidR="00D861FA">
        <w:rPr>
          <w:rFonts w:cstheme="minorHAnsi"/>
          <w:sz w:val="24"/>
          <w:szCs w:val="24"/>
        </w:rPr>
        <w:t xml:space="preserve"> </w:t>
      </w:r>
      <w:r w:rsidR="00F50BD0" w:rsidRPr="0014510D">
        <w:rPr>
          <w:rFonts w:cstheme="minorHAnsi"/>
          <w:sz w:val="24"/>
          <w:szCs w:val="24"/>
        </w:rPr>
        <w:t>After all</w:t>
      </w:r>
      <w:r w:rsidR="00F50BD0">
        <w:rPr>
          <w:rFonts w:cstheme="minorHAnsi"/>
          <w:sz w:val="24"/>
          <w:szCs w:val="24"/>
        </w:rPr>
        <w:t>,</w:t>
      </w:r>
      <w:r w:rsidR="00F50BD0" w:rsidRPr="0014510D">
        <w:rPr>
          <w:rFonts w:cstheme="minorHAnsi"/>
          <w:sz w:val="24"/>
          <w:szCs w:val="24"/>
        </w:rPr>
        <w:t xml:space="preserve"> if they can interact with </w:t>
      </w:r>
      <w:r w:rsidR="00F50BD0">
        <w:rPr>
          <w:rFonts w:cstheme="minorHAnsi"/>
          <w:sz w:val="24"/>
          <w:szCs w:val="24"/>
        </w:rPr>
        <w:t>each other</w:t>
      </w:r>
      <w:r w:rsidR="00F50BD0" w:rsidRPr="0014510D">
        <w:rPr>
          <w:rFonts w:cstheme="minorHAnsi"/>
          <w:sz w:val="24"/>
          <w:szCs w:val="24"/>
        </w:rPr>
        <w:t xml:space="preserve"> why should</w:t>
      </w:r>
      <w:r w:rsidR="00F50BD0">
        <w:rPr>
          <w:rFonts w:cstheme="minorHAnsi"/>
          <w:sz w:val="24"/>
          <w:szCs w:val="24"/>
        </w:rPr>
        <w:t xml:space="preserve"> </w:t>
      </w:r>
      <w:r w:rsidR="00F50BD0" w:rsidRPr="0014510D">
        <w:rPr>
          <w:rFonts w:cstheme="minorHAnsi"/>
          <w:sz w:val="24"/>
          <w:szCs w:val="24"/>
        </w:rPr>
        <w:t>they</w:t>
      </w:r>
      <w:r w:rsidR="00F50BD0">
        <w:rPr>
          <w:rFonts w:cstheme="minorHAnsi"/>
          <w:sz w:val="24"/>
          <w:szCs w:val="24"/>
        </w:rPr>
        <w:t xml:space="preserve"> not</w:t>
      </w:r>
      <w:r w:rsidR="00F50BD0" w:rsidRPr="0014510D">
        <w:rPr>
          <w:rFonts w:cstheme="minorHAnsi"/>
          <w:sz w:val="24"/>
          <w:szCs w:val="24"/>
        </w:rPr>
        <w:t xml:space="preserve"> have this capacity in relation to </w:t>
      </w:r>
      <w:r w:rsidR="00F50BD0">
        <w:rPr>
          <w:rFonts w:cstheme="minorHAnsi"/>
          <w:sz w:val="24"/>
          <w:szCs w:val="24"/>
        </w:rPr>
        <w:t>S</w:t>
      </w:r>
      <w:r w:rsidR="00F50BD0" w:rsidRPr="0014510D">
        <w:rPr>
          <w:rFonts w:cstheme="minorHAnsi"/>
          <w:sz w:val="24"/>
          <w:szCs w:val="24"/>
        </w:rPr>
        <w:t>tates</w:t>
      </w:r>
      <w:r w:rsidR="00F50BD0">
        <w:rPr>
          <w:rFonts w:cstheme="minorHAnsi"/>
          <w:sz w:val="24"/>
          <w:szCs w:val="24"/>
        </w:rPr>
        <w:t>?</w:t>
      </w:r>
    </w:p>
    <w:p w14:paraId="31136A60" w14:textId="78D247EF" w:rsidR="00D37356" w:rsidRDefault="00D37356" w:rsidP="009B7C6E">
      <w:pPr>
        <w:spacing w:after="0" w:line="240" w:lineRule="auto"/>
        <w:jc w:val="both"/>
        <w:rPr>
          <w:rFonts w:cstheme="minorHAnsi"/>
          <w:sz w:val="24"/>
          <w:szCs w:val="24"/>
        </w:rPr>
      </w:pPr>
      <w:r>
        <w:rPr>
          <w:rFonts w:cstheme="minorHAnsi"/>
          <w:sz w:val="24"/>
          <w:szCs w:val="24"/>
        </w:rPr>
        <w:t>Second</w:t>
      </w:r>
      <w:r w:rsidR="0014510D">
        <w:rPr>
          <w:rFonts w:cstheme="minorHAnsi"/>
          <w:sz w:val="24"/>
          <w:szCs w:val="24"/>
        </w:rPr>
        <w:t xml:space="preserve">, </w:t>
      </w:r>
      <w:r w:rsidR="00501988">
        <w:rPr>
          <w:rFonts w:cstheme="minorHAnsi"/>
          <w:sz w:val="24"/>
          <w:szCs w:val="24"/>
        </w:rPr>
        <w:t>the quality of the interaction needs to be investigated. B</w:t>
      </w:r>
      <w:r w:rsidR="0014510D">
        <w:rPr>
          <w:rFonts w:cstheme="minorHAnsi"/>
          <w:sz w:val="24"/>
          <w:szCs w:val="24"/>
        </w:rPr>
        <w:t>esides the</w:t>
      </w:r>
      <w:r w:rsidR="00501988">
        <w:rPr>
          <w:rFonts w:cstheme="minorHAnsi"/>
          <w:sz w:val="24"/>
          <w:szCs w:val="24"/>
        </w:rPr>
        <w:t xml:space="preserve"> classic</w:t>
      </w:r>
      <w:r w:rsidR="0014510D">
        <w:rPr>
          <w:rFonts w:cstheme="minorHAnsi"/>
          <w:sz w:val="24"/>
          <w:szCs w:val="24"/>
        </w:rPr>
        <w:t xml:space="preserve"> </w:t>
      </w:r>
      <w:r w:rsidR="0014510D" w:rsidRPr="0014510D">
        <w:rPr>
          <w:rFonts w:cstheme="minorHAnsi"/>
          <w:sz w:val="24"/>
          <w:szCs w:val="24"/>
        </w:rPr>
        <w:t>capacity to sign and ratify treaties</w:t>
      </w:r>
      <w:r w:rsidR="0014510D">
        <w:rPr>
          <w:rFonts w:cstheme="minorHAnsi"/>
          <w:sz w:val="24"/>
          <w:szCs w:val="24"/>
        </w:rPr>
        <w:t>,</w:t>
      </w:r>
      <w:r w:rsidR="0014510D" w:rsidRPr="0014510D">
        <w:rPr>
          <w:rFonts w:cstheme="minorHAnsi"/>
          <w:sz w:val="24"/>
          <w:szCs w:val="24"/>
        </w:rPr>
        <w:t xml:space="preserve"> it might be </w:t>
      </w:r>
      <w:r w:rsidR="00767802">
        <w:rPr>
          <w:rFonts w:cstheme="minorHAnsi"/>
          <w:sz w:val="24"/>
          <w:szCs w:val="24"/>
        </w:rPr>
        <w:t>tricky</w:t>
      </w:r>
      <w:r w:rsidR="0014510D" w:rsidRPr="0014510D">
        <w:rPr>
          <w:rFonts w:cstheme="minorHAnsi"/>
          <w:sz w:val="24"/>
          <w:szCs w:val="24"/>
        </w:rPr>
        <w:t xml:space="preserve"> to pinpoint how</w:t>
      </w:r>
      <w:r w:rsidR="0014510D">
        <w:rPr>
          <w:rFonts w:cstheme="minorHAnsi"/>
          <w:sz w:val="24"/>
          <w:szCs w:val="24"/>
        </w:rPr>
        <w:t xml:space="preserve"> the requirement of capacity </w:t>
      </w:r>
      <w:r w:rsidR="0014510D" w:rsidRPr="0014510D">
        <w:rPr>
          <w:rFonts w:cstheme="minorHAnsi"/>
          <w:sz w:val="24"/>
          <w:szCs w:val="24"/>
        </w:rPr>
        <w:t xml:space="preserve">is fulfilled. </w:t>
      </w:r>
      <w:r w:rsidR="0014510D">
        <w:rPr>
          <w:rFonts w:cstheme="minorHAnsi"/>
          <w:sz w:val="24"/>
          <w:szCs w:val="24"/>
        </w:rPr>
        <w:t xml:space="preserve">Would </w:t>
      </w:r>
      <w:r w:rsidR="0014510D" w:rsidRPr="0014510D">
        <w:rPr>
          <w:rFonts w:cstheme="minorHAnsi"/>
          <w:sz w:val="24"/>
          <w:szCs w:val="24"/>
        </w:rPr>
        <w:t xml:space="preserve">the establishment of </w:t>
      </w:r>
      <w:r w:rsidR="0014510D">
        <w:rPr>
          <w:rFonts w:cstheme="minorHAnsi"/>
          <w:sz w:val="24"/>
          <w:szCs w:val="24"/>
        </w:rPr>
        <w:t xml:space="preserve">an embassy satisfy the </w:t>
      </w:r>
      <w:r w:rsidR="0014510D" w:rsidRPr="0014510D">
        <w:rPr>
          <w:rFonts w:cstheme="minorHAnsi"/>
          <w:sz w:val="24"/>
          <w:szCs w:val="24"/>
        </w:rPr>
        <w:t>requirement</w:t>
      </w:r>
      <w:r w:rsidR="009D5972">
        <w:rPr>
          <w:rFonts w:cstheme="minorHAnsi"/>
          <w:sz w:val="24"/>
          <w:szCs w:val="24"/>
        </w:rPr>
        <w:t>, the accreditation of a commercial representation benefiting from some privileges,</w:t>
      </w:r>
      <w:r w:rsidR="009D5972">
        <w:rPr>
          <w:rStyle w:val="FootnoteReference"/>
          <w:rFonts w:cstheme="minorHAnsi"/>
          <w:sz w:val="24"/>
          <w:szCs w:val="24"/>
        </w:rPr>
        <w:footnoteReference w:id="95"/>
      </w:r>
      <w:r w:rsidR="000236FB">
        <w:rPr>
          <w:rFonts w:cstheme="minorHAnsi"/>
          <w:sz w:val="24"/>
          <w:szCs w:val="24"/>
        </w:rPr>
        <w:t xml:space="preserve"> or would lower-key events such as meetings between officials suffice</w:t>
      </w:r>
      <w:r w:rsidR="0014510D" w:rsidRPr="0014510D">
        <w:rPr>
          <w:rFonts w:cstheme="minorHAnsi"/>
          <w:sz w:val="24"/>
          <w:szCs w:val="24"/>
        </w:rPr>
        <w:t xml:space="preserve">? </w:t>
      </w:r>
      <w:r w:rsidR="000236FB" w:rsidRPr="001B4EA5">
        <w:rPr>
          <w:rFonts w:cstheme="minorHAnsi"/>
          <w:iCs/>
          <w:sz w:val="24"/>
          <w:szCs w:val="24"/>
        </w:rPr>
        <w:t>Ker-Lindsay</w:t>
      </w:r>
      <w:r w:rsidR="000236FB">
        <w:rPr>
          <w:rFonts w:cstheme="minorHAnsi"/>
          <w:sz w:val="24"/>
          <w:szCs w:val="24"/>
        </w:rPr>
        <w:t xml:space="preserve"> brilliantly highlights the myriad of ways States officially interact with </w:t>
      </w:r>
      <w:r w:rsidR="000236FB">
        <w:rPr>
          <w:rFonts w:cstheme="minorHAnsi"/>
          <w:i/>
          <w:iCs/>
          <w:sz w:val="24"/>
          <w:szCs w:val="24"/>
        </w:rPr>
        <w:t xml:space="preserve">de facto </w:t>
      </w:r>
      <w:r w:rsidR="000236FB">
        <w:rPr>
          <w:rFonts w:cstheme="minorHAnsi"/>
          <w:sz w:val="24"/>
          <w:szCs w:val="24"/>
        </w:rPr>
        <w:t xml:space="preserve">States without </w:t>
      </w:r>
      <w:r w:rsidR="00CF665A">
        <w:rPr>
          <w:rFonts w:cstheme="minorHAnsi"/>
          <w:sz w:val="24"/>
          <w:szCs w:val="24"/>
        </w:rPr>
        <w:t>still</w:t>
      </w:r>
      <w:r w:rsidR="000236FB">
        <w:rPr>
          <w:rFonts w:cstheme="minorHAnsi"/>
          <w:sz w:val="24"/>
          <w:szCs w:val="24"/>
        </w:rPr>
        <w:t xml:space="preserve"> recognising them</w:t>
      </w:r>
      <w:r>
        <w:rPr>
          <w:rFonts w:cstheme="minorHAnsi"/>
          <w:sz w:val="24"/>
          <w:szCs w:val="24"/>
        </w:rPr>
        <w:t>:</w:t>
      </w:r>
      <w:r>
        <w:rPr>
          <w:rStyle w:val="FootnoteReference"/>
          <w:rFonts w:cstheme="minorHAnsi"/>
          <w:sz w:val="24"/>
          <w:szCs w:val="24"/>
        </w:rPr>
        <w:footnoteReference w:id="96"/>
      </w:r>
      <w:r>
        <w:rPr>
          <w:rFonts w:cstheme="minorHAnsi"/>
          <w:sz w:val="24"/>
          <w:szCs w:val="24"/>
        </w:rPr>
        <w:t xml:space="preserve"> missions (usually called liaison offices) rather than embassies are established,</w:t>
      </w:r>
      <w:r>
        <w:rPr>
          <w:rStyle w:val="FootnoteReference"/>
          <w:rFonts w:cstheme="minorHAnsi"/>
          <w:sz w:val="24"/>
          <w:szCs w:val="24"/>
        </w:rPr>
        <w:footnoteReference w:id="97"/>
      </w:r>
      <w:r>
        <w:rPr>
          <w:rFonts w:cstheme="minorHAnsi"/>
          <w:sz w:val="24"/>
          <w:szCs w:val="24"/>
        </w:rPr>
        <w:t xml:space="preserve"> official documents and passports are recognised, </w:t>
      </w:r>
      <w:r w:rsidR="00FF0B3D">
        <w:rPr>
          <w:rFonts w:cstheme="minorHAnsi"/>
          <w:sz w:val="24"/>
          <w:szCs w:val="24"/>
        </w:rPr>
        <w:t xml:space="preserve">there are </w:t>
      </w:r>
      <w:r>
        <w:rPr>
          <w:rFonts w:cstheme="minorHAnsi"/>
          <w:sz w:val="24"/>
          <w:szCs w:val="24"/>
        </w:rPr>
        <w:t>direct or indirect economic interaction</w:t>
      </w:r>
      <w:r w:rsidR="00FF0B3D">
        <w:rPr>
          <w:rFonts w:cstheme="minorHAnsi"/>
          <w:sz w:val="24"/>
          <w:szCs w:val="24"/>
        </w:rPr>
        <w:t>s</w:t>
      </w:r>
      <w:r>
        <w:rPr>
          <w:rFonts w:cstheme="minorHAnsi"/>
          <w:sz w:val="24"/>
          <w:szCs w:val="24"/>
        </w:rPr>
        <w:t>,</w:t>
      </w:r>
      <w:r w:rsidR="007C201E">
        <w:rPr>
          <w:rStyle w:val="FootnoteReference"/>
          <w:rFonts w:cstheme="minorHAnsi"/>
          <w:sz w:val="24"/>
          <w:szCs w:val="24"/>
        </w:rPr>
        <w:footnoteReference w:id="98"/>
      </w:r>
      <w:r>
        <w:rPr>
          <w:rFonts w:cstheme="minorHAnsi"/>
          <w:sz w:val="24"/>
          <w:szCs w:val="24"/>
        </w:rPr>
        <w:t xml:space="preserve"> </w:t>
      </w:r>
      <w:r w:rsidR="00FF0B3D">
        <w:rPr>
          <w:rFonts w:cstheme="minorHAnsi"/>
          <w:sz w:val="24"/>
          <w:szCs w:val="24"/>
        </w:rPr>
        <w:t xml:space="preserve">or </w:t>
      </w:r>
      <w:r>
        <w:rPr>
          <w:rFonts w:cstheme="minorHAnsi"/>
          <w:sz w:val="24"/>
          <w:szCs w:val="24"/>
        </w:rPr>
        <w:t xml:space="preserve">sporting, cultural and </w:t>
      </w:r>
      <w:r w:rsidR="001B4EA5">
        <w:rPr>
          <w:rFonts w:cstheme="minorHAnsi"/>
          <w:sz w:val="24"/>
          <w:szCs w:val="24"/>
        </w:rPr>
        <w:t>educational</w:t>
      </w:r>
      <w:r>
        <w:rPr>
          <w:rFonts w:cstheme="minorHAnsi"/>
          <w:sz w:val="24"/>
          <w:szCs w:val="24"/>
        </w:rPr>
        <w:t xml:space="preserve"> interactions.</w:t>
      </w:r>
      <w:r w:rsidR="00081FFB">
        <w:rPr>
          <w:rStyle w:val="FootnoteReference"/>
          <w:rFonts w:cstheme="minorHAnsi"/>
          <w:sz w:val="24"/>
          <w:szCs w:val="24"/>
        </w:rPr>
        <w:footnoteReference w:id="99"/>
      </w:r>
    </w:p>
    <w:p w14:paraId="01D19DF1" w14:textId="0A9C82E6" w:rsidR="00F50BD0" w:rsidRDefault="00F50BD0" w:rsidP="009B7C6E">
      <w:pPr>
        <w:spacing w:after="0" w:line="240" w:lineRule="auto"/>
        <w:jc w:val="both"/>
        <w:rPr>
          <w:rFonts w:cstheme="minorHAnsi"/>
          <w:sz w:val="24"/>
          <w:szCs w:val="24"/>
        </w:rPr>
      </w:pPr>
      <w:r>
        <w:rPr>
          <w:rFonts w:cstheme="minorHAnsi"/>
          <w:sz w:val="24"/>
          <w:szCs w:val="24"/>
        </w:rPr>
        <w:t xml:space="preserve">Appraising the interaction of the four entities studied in this chapter is rather challenging owing to the paucity of information and the impossibility of scrutinising the interaction of all States towards these entities. The assessment can therefore (again!) only rely on work by </w:t>
      </w:r>
      <w:r>
        <w:rPr>
          <w:rFonts w:cstheme="minorHAnsi"/>
          <w:sz w:val="24"/>
          <w:szCs w:val="24"/>
        </w:rPr>
        <w:lastRenderedPageBreak/>
        <w:t>other experts and focus on available information. For example, Nagorno-Karabakh has very little foreign trade except towards Armenia.</w:t>
      </w:r>
      <w:r>
        <w:rPr>
          <w:rStyle w:val="FootnoteReference"/>
          <w:rFonts w:cstheme="minorHAnsi"/>
          <w:sz w:val="24"/>
          <w:szCs w:val="24"/>
        </w:rPr>
        <w:footnoteReference w:id="100"/>
      </w:r>
      <w:r>
        <w:rPr>
          <w:rFonts w:cstheme="minorHAnsi"/>
          <w:sz w:val="24"/>
          <w:szCs w:val="24"/>
        </w:rPr>
        <w:t xml:space="preserve"> The USA provides foreign (humanitarian) aid to Nagorno-Karabakh</w:t>
      </w:r>
      <w:r>
        <w:rPr>
          <w:rStyle w:val="FootnoteReference"/>
          <w:rFonts w:cstheme="minorHAnsi"/>
          <w:sz w:val="24"/>
          <w:szCs w:val="24"/>
        </w:rPr>
        <w:footnoteReference w:id="101"/>
      </w:r>
      <w:r>
        <w:rPr>
          <w:rFonts w:cstheme="minorHAnsi"/>
          <w:sz w:val="24"/>
          <w:szCs w:val="24"/>
        </w:rPr>
        <w:t xml:space="preserve"> and has had from 1998 to 2019 funds earmarked to that effect</w:t>
      </w:r>
      <w:r>
        <w:rPr>
          <w:rStyle w:val="FootnoteReference"/>
          <w:rFonts w:cstheme="minorHAnsi"/>
          <w:sz w:val="24"/>
          <w:szCs w:val="24"/>
        </w:rPr>
        <w:footnoteReference w:id="102"/>
      </w:r>
      <w:r w:rsidR="001B4EA5">
        <w:rPr>
          <w:rFonts w:cstheme="minorHAnsi"/>
          <w:sz w:val="24"/>
          <w:szCs w:val="24"/>
        </w:rPr>
        <w:t xml:space="preserve"> </w:t>
      </w:r>
      <w:r>
        <w:rPr>
          <w:rFonts w:cstheme="minorHAnsi"/>
          <w:sz w:val="24"/>
          <w:szCs w:val="24"/>
        </w:rPr>
        <w:t>though it does not regard this direct aid as recognition.</w:t>
      </w:r>
      <w:r>
        <w:rPr>
          <w:rStyle w:val="FootnoteReference"/>
          <w:rFonts w:cstheme="minorHAnsi"/>
          <w:sz w:val="24"/>
          <w:szCs w:val="24"/>
        </w:rPr>
        <w:footnoteReference w:id="103"/>
      </w:r>
      <w:r>
        <w:rPr>
          <w:rFonts w:cstheme="minorHAnsi"/>
          <w:sz w:val="24"/>
          <w:szCs w:val="24"/>
        </w:rPr>
        <w:t xml:space="preserve"> </w:t>
      </w:r>
      <w:r w:rsidR="005A22C1">
        <w:rPr>
          <w:rFonts w:cstheme="minorHAnsi"/>
          <w:sz w:val="24"/>
          <w:szCs w:val="24"/>
        </w:rPr>
        <w:t>Be that as it may</w:t>
      </w:r>
      <w:r>
        <w:rPr>
          <w:rFonts w:cstheme="minorHAnsi"/>
          <w:sz w:val="24"/>
          <w:szCs w:val="24"/>
        </w:rPr>
        <w:t>, it never directly engaged with Nagorno-Karabakh.</w:t>
      </w:r>
      <w:r>
        <w:rPr>
          <w:rStyle w:val="FootnoteReference"/>
          <w:rFonts w:cstheme="minorHAnsi"/>
          <w:sz w:val="24"/>
          <w:szCs w:val="24"/>
        </w:rPr>
        <w:footnoteReference w:id="104"/>
      </w:r>
      <w:r>
        <w:rPr>
          <w:rFonts w:cstheme="minorHAnsi"/>
          <w:sz w:val="24"/>
          <w:szCs w:val="24"/>
        </w:rPr>
        <w:t xml:space="preserve"> </w:t>
      </w:r>
      <w:r w:rsidR="005A22C1">
        <w:rPr>
          <w:rFonts w:cstheme="minorHAnsi"/>
          <w:sz w:val="24"/>
          <w:szCs w:val="24"/>
        </w:rPr>
        <w:t>Likewise, t</w:t>
      </w:r>
      <w:r>
        <w:rPr>
          <w:rFonts w:cstheme="minorHAnsi"/>
          <w:sz w:val="24"/>
          <w:szCs w:val="24"/>
        </w:rPr>
        <w:t xml:space="preserve">he US has rarely engaged directly with Abkhazia and when it has, it was usually with mid-level </w:t>
      </w:r>
      <w:r>
        <w:rPr>
          <w:rFonts w:cstheme="minorHAnsi"/>
          <w:i/>
          <w:iCs/>
          <w:sz w:val="24"/>
          <w:szCs w:val="24"/>
        </w:rPr>
        <w:t xml:space="preserve">de facto </w:t>
      </w:r>
      <w:r>
        <w:rPr>
          <w:rFonts w:cstheme="minorHAnsi"/>
          <w:sz w:val="24"/>
          <w:szCs w:val="24"/>
        </w:rPr>
        <w:t>officials, mayors, commerce and trade representatives, etc.</w:t>
      </w:r>
      <w:r>
        <w:rPr>
          <w:rStyle w:val="FootnoteReference"/>
          <w:rFonts w:cstheme="minorHAnsi"/>
          <w:sz w:val="24"/>
          <w:szCs w:val="24"/>
        </w:rPr>
        <w:footnoteReference w:id="105"/>
      </w:r>
      <w:r>
        <w:rPr>
          <w:rFonts w:cstheme="minorHAnsi"/>
          <w:sz w:val="24"/>
          <w:szCs w:val="24"/>
        </w:rPr>
        <w:t xml:space="preserve"> </w:t>
      </w:r>
      <w:r w:rsidR="005A22C1">
        <w:rPr>
          <w:rFonts w:cstheme="minorHAnsi"/>
          <w:sz w:val="24"/>
          <w:szCs w:val="24"/>
        </w:rPr>
        <w:t>A</w:t>
      </w:r>
      <w:r>
        <w:rPr>
          <w:rFonts w:cstheme="minorHAnsi"/>
          <w:sz w:val="24"/>
          <w:szCs w:val="24"/>
        </w:rPr>
        <w:t xml:space="preserve">s </w:t>
      </w:r>
      <w:proofErr w:type="spellStart"/>
      <w:r w:rsidRPr="001B4EA5">
        <w:rPr>
          <w:rFonts w:cstheme="minorHAnsi"/>
          <w:iCs/>
          <w:sz w:val="24"/>
          <w:szCs w:val="24"/>
        </w:rPr>
        <w:t>Pegg</w:t>
      </w:r>
      <w:proofErr w:type="spellEnd"/>
      <w:r w:rsidRPr="001B4EA5">
        <w:rPr>
          <w:rFonts w:cstheme="minorHAnsi"/>
          <w:iCs/>
          <w:sz w:val="24"/>
          <w:szCs w:val="24"/>
        </w:rPr>
        <w:t xml:space="preserve"> and Berg</w:t>
      </w:r>
      <w:r>
        <w:rPr>
          <w:rFonts w:cstheme="minorHAnsi"/>
          <w:sz w:val="24"/>
          <w:szCs w:val="24"/>
        </w:rPr>
        <w:t xml:space="preserve"> demonstrate </w:t>
      </w:r>
      <w:r w:rsidR="001C57A5">
        <w:rPr>
          <w:rFonts w:cstheme="minorHAnsi"/>
          <w:sz w:val="24"/>
          <w:szCs w:val="24"/>
        </w:rPr>
        <w:t xml:space="preserve">in relation to Abkhazia and South Ossetia, </w:t>
      </w:r>
      <w:r>
        <w:rPr>
          <w:rFonts w:cstheme="minorHAnsi"/>
          <w:sz w:val="24"/>
          <w:szCs w:val="24"/>
        </w:rPr>
        <w:t xml:space="preserve">‘the commonly held belief that international society ignores </w:t>
      </w:r>
      <w:r>
        <w:rPr>
          <w:rFonts w:cstheme="minorHAnsi"/>
          <w:i/>
          <w:iCs/>
          <w:sz w:val="24"/>
          <w:szCs w:val="24"/>
        </w:rPr>
        <w:t xml:space="preserve">de facto </w:t>
      </w:r>
      <w:r>
        <w:rPr>
          <w:rFonts w:cstheme="minorHAnsi"/>
          <w:sz w:val="24"/>
          <w:szCs w:val="24"/>
        </w:rPr>
        <w:t>states is incorrect’.</w:t>
      </w:r>
      <w:r>
        <w:rPr>
          <w:rStyle w:val="FootnoteReference"/>
          <w:rFonts w:cstheme="minorHAnsi"/>
          <w:sz w:val="24"/>
          <w:szCs w:val="24"/>
        </w:rPr>
        <w:footnoteReference w:id="106"/>
      </w:r>
      <w:r>
        <w:rPr>
          <w:rFonts w:cstheme="minorHAnsi"/>
          <w:sz w:val="24"/>
          <w:szCs w:val="24"/>
        </w:rPr>
        <w:t xml:space="preserve"> </w:t>
      </w:r>
    </w:p>
    <w:p w14:paraId="499EA495" w14:textId="2D88D543" w:rsidR="00C172FA" w:rsidRDefault="0014510D" w:rsidP="009B7C6E">
      <w:pPr>
        <w:spacing w:after="0" w:line="240" w:lineRule="auto"/>
        <w:jc w:val="both"/>
        <w:rPr>
          <w:rFonts w:cstheme="minorHAnsi"/>
          <w:sz w:val="24"/>
          <w:szCs w:val="24"/>
        </w:rPr>
      </w:pPr>
      <w:r w:rsidRPr="0014510D">
        <w:rPr>
          <w:rFonts w:cstheme="minorHAnsi"/>
          <w:sz w:val="24"/>
          <w:szCs w:val="24"/>
        </w:rPr>
        <w:t>Third, and more fundamentally, scholars observe that without recognition there is no real possibility to enter into relations with</w:t>
      </w:r>
      <w:r w:rsidR="005161C0">
        <w:rPr>
          <w:rFonts w:cstheme="minorHAnsi"/>
          <w:sz w:val="24"/>
          <w:szCs w:val="24"/>
        </w:rPr>
        <w:t xml:space="preserve"> other St</w:t>
      </w:r>
      <w:r w:rsidRPr="0014510D">
        <w:rPr>
          <w:rFonts w:cstheme="minorHAnsi"/>
          <w:sz w:val="24"/>
          <w:szCs w:val="24"/>
        </w:rPr>
        <w:t>ate</w:t>
      </w:r>
      <w:r w:rsidR="005161C0">
        <w:rPr>
          <w:rFonts w:cstheme="minorHAnsi"/>
          <w:sz w:val="24"/>
          <w:szCs w:val="24"/>
        </w:rPr>
        <w:t>s</w:t>
      </w:r>
      <w:r w:rsidRPr="0014510D">
        <w:rPr>
          <w:rFonts w:cstheme="minorHAnsi"/>
          <w:sz w:val="24"/>
          <w:szCs w:val="24"/>
        </w:rPr>
        <w:t xml:space="preserve">. </w:t>
      </w:r>
      <w:r w:rsidR="00EE34C0" w:rsidRPr="0014510D">
        <w:rPr>
          <w:rFonts w:cstheme="minorHAnsi"/>
          <w:sz w:val="24"/>
          <w:szCs w:val="24"/>
        </w:rPr>
        <w:t>‘</w:t>
      </w:r>
      <w:r w:rsidR="00EE34C0" w:rsidRPr="0014510D">
        <w:rPr>
          <w:sz w:val="24"/>
          <w:szCs w:val="24"/>
        </w:rPr>
        <w:t>Without recognition, a state</w:t>
      </w:r>
      <w:r w:rsidR="005161C0">
        <w:rPr>
          <w:sz w:val="24"/>
          <w:szCs w:val="24"/>
        </w:rPr>
        <w:t>’</w:t>
      </w:r>
      <w:r w:rsidR="00EE34C0" w:rsidRPr="0014510D">
        <w:rPr>
          <w:sz w:val="24"/>
          <w:szCs w:val="24"/>
        </w:rPr>
        <w:t>s capability to enter relations with another state is greatly limited due to its isolation from the international community.’</w:t>
      </w:r>
      <w:r w:rsidR="00EE34C0" w:rsidRPr="001B4EA5">
        <w:rPr>
          <w:rStyle w:val="FootnoteReference"/>
          <w:sz w:val="24"/>
          <w:szCs w:val="24"/>
        </w:rPr>
        <w:footnoteReference w:id="107"/>
      </w:r>
      <w:r>
        <w:rPr>
          <w:sz w:val="24"/>
          <w:szCs w:val="24"/>
        </w:rPr>
        <w:t xml:space="preserve"> </w:t>
      </w:r>
      <w:r w:rsidRPr="0014510D">
        <w:rPr>
          <w:sz w:val="24"/>
          <w:szCs w:val="24"/>
        </w:rPr>
        <w:t xml:space="preserve">Even though it is </w:t>
      </w:r>
      <w:r w:rsidR="000E29D6">
        <w:rPr>
          <w:sz w:val="24"/>
          <w:szCs w:val="24"/>
        </w:rPr>
        <w:t xml:space="preserve">broadly </w:t>
      </w:r>
      <w:r w:rsidRPr="0014510D">
        <w:rPr>
          <w:sz w:val="24"/>
          <w:szCs w:val="24"/>
        </w:rPr>
        <w:t>agreed that recognition is declaratory</w:t>
      </w:r>
      <w:r w:rsidR="00F155B9">
        <w:rPr>
          <w:rStyle w:val="FootnoteReference"/>
          <w:sz w:val="24"/>
          <w:szCs w:val="24"/>
        </w:rPr>
        <w:footnoteReference w:id="108"/>
      </w:r>
      <w:r w:rsidR="00F155B9">
        <w:rPr>
          <w:sz w:val="24"/>
          <w:szCs w:val="24"/>
        </w:rPr>
        <w:t xml:space="preserve"> </w:t>
      </w:r>
      <w:r w:rsidRPr="0014510D">
        <w:rPr>
          <w:sz w:val="24"/>
          <w:szCs w:val="24"/>
        </w:rPr>
        <w:t>and not constitutive</w:t>
      </w:r>
      <w:r w:rsidR="00F155B9">
        <w:rPr>
          <w:sz w:val="24"/>
          <w:szCs w:val="24"/>
        </w:rPr>
        <w:t>,</w:t>
      </w:r>
      <w:r w:rsidR="00246181">
        <w:rPr>
          <w:rStyle w:val="FootnoteReference"/>
          <w:sz w:val="24"/>
          <w:szCs w:val="24"/>
        </w:rPr>
        <w:footnoteReference w:id="109"/>
      </w:r>
      <w:r w:rsidRPr="0014510D">
        <w:rPr>
          <w:sz w:val="24"/>
          <w:szCs w:val="24"/>
        </w:rPr>
        <w:t xml:space="preserve"> without recognition new entities struggle</w:t>
      </w:r>
      <w:r w:rsidR="00F155B9">
        <w:rPr>
          <w:sz w:val="24"/>
          <w:szCs w:val="24"/>
        </w:rPr>
        <w:t xml:space="preserve"> to function as State</w:t>
      </w:r>
      <w:r w:rsidR="00410D0C">
        <w:rPr>
          <w:sz w:val="24"/>
          <w:szCs w:val="24"/>
        </w:rPr>
        <w:t>s</w:t>
      </w:r>
      <w:r w:rsidR="00F155B9">
        <w:rPr>
          <w:sz w:val="24"/>
          <w:szCs w:val="24"/>
        </w:rPr>
        <w:t>.</w:t>
      </w:r>
      <w:r w:rsidR="00F155B9" w:rsidRPr="00EC6853">
        <w:rPr>
          <w:rStyle w:val="FootnoteReference"/>
          <w:rFonts w:cstheme="minorHAnsi"/>
          <w:sz w:val="24"/>
          <w:szCs w:val="24"/>
        </w:rPr>
        <w:footnoteReference w:id="110"/>
      </w:r>
      <w:r w:rsidR="00F155B9" w:rsidRPr="00F155B9">
        <w:rPr>
          <w:rFonts w:cstheme="minorHAnsi"/>
          <w:sz w:val="24"/>
          <w:szCs w:val="24"/>
        </w:rPr>
        <w:t xml:space="preserve"> </w:t>
      </w:r>
      <w:r w:rsidR="00F155B9">
        <w:rPr>
          <w:rFonts w:cstheme="minorHAnsi"/>
          <w:sz w:val="24"/>
          <w:szCs w:val="24"/>
        </w:rPr>
        <w:t>The r</w:t>
      </w:r>
      <w:r w:rsidR="00F155B9" w:rsidRPr="00EC6853">
        <w:rPr>
          <w:rFonts w:cstheme="minorHAnsi"/>
          <w:sz w:val="24"/>
          <w:szCs w:val="24"/>
        </w:rPr>
        <w:t xml:space="preserve">eality is that </w:t>
      </w:r>
      <w:r w:rsidR="00410D0C">
        <w:rPr>
          <w:rFonts w:cstheme="minorHAnsi"/>
          <w:sz w:val="24"/>
          <w:szCs w:val="24"/>
        </w:rPr>
        <w:t>they are</w:t>
      </w:r>
      <w:r w:rsidR="00F155B9" w:rsidRPr="00EC6853">
        <w:rPr>
          <w:rFonts w:cstheme="minorHAnsi"/>
          <w:sz w:val="24"/>
          <w:szCs w:val="24"/>
        </w:rPr>
        <w:t xml:space="preserve"> not able to work if </w:t>
      </w:r>
      <w:r w:rsidR="00410D0C">
        <w:rPr>
          <w:rFonts w:cstheme="minorHAnsi"/>
          <w:sz w:val="24"/>
          <w:szCs w:val="24"/>
        </w:rPr>
        <w:t>they are</w:t>
      </w:r>
      <w:r w:rsidR="00F155B9" w:rsidRPr="00EC6853">
        <w:rPr>
          <w:rFonts w:cstheme="minorHAnsi"/>
          <w:sz w:val="24"/>
          <w:szCs w:val="24"/>
        </w:rPr>
        <w:t xml:space="preserve"> not recognised by a certain number of States</w:t>
      </w:r>
      <w:r w:rsidR="00F155B9">
        <w:rPr>
          <w:rFonts w:cstheme="minorHAnsi"/>
          <w:sz w:val="24"/>
          <w:szCs w:val="24"/>
        </w:rPr>
        <w:t>.</w:t>
      </w:r>
      <w:r w:rsidR="00F155B9" w:rsidRPr="00EC6853">
        <w:rPr>
          <w:rStyle w:val="FootnoteReference"/>
          <w:rFonts w:cstheme="minorHAnsi"/>
          <w:sz w:val="24"/>
          <w:szCs w:val="24"/>
        </w:rPr>
        <w:footnoteReference w:id="111"/>
      </w:r>
      <w:r w:rsidR="00F155B9">
        <w:rPr>
          <w:rFonts w:cstheme="minorHAnsi"/>
          <w:sz w:val="24"/>
          <w:szCs w:val="24"/>
        </w:rPr>
        <w:t xml:space="preserve"> </w:t>
      </w:r>
      <w:r w:rsidR="00410D0C">
        <w:rPr>
          <w:rFonts w:cstheme="minorHAnsi"/>
          <w:sz w:val="24"/>
          <w:szCs w:val="24"/>
        </w:rPr>
        <w:t>They</w:t>
      </w:r>
      <w:r w:rsidR="00FB63B3">
        <w:rPr>
          <w:rFonts w:cstheme="minorHAnsi"/>
          <w:sz w:val="24"/>
          <w:szCs w:val="24"/>
        </w:rPr>
        <w:t xml:space="preserve"> need to be recognised by </w:t>
      </w:r>
      <w:r w:rsidR="00410D0C">
        <w:rPr>
          <w:rFonts w:cstheme="minorHAnsi"/>
          <w:sz w:val="24"/>
          <w:szCs w:val="24"/>
        </w:rPr>
        <w:t>their</w:t>
      </w:r>
      <w:r w:rsidR="00FB63B3">
        <w:rPr>
          <w:rFonts w:cstheme="minorHAnsi"/>
          <w:sz w:val="24"/>
          <w:szCs w:val="24"/>
        </w:rPr>
        <w:t xml:space="preserve"> peers, i.e., States, as being one of them.</w:t>
      </w:r>
      <w:r w:rsidR="00FB63B3">
        <w:rPr>
          <w:rStyle w:val="FootnoteReference"/>
          <w:rFonts w:cstheme="minorHAnsi"/>
          <w:sz w:val="24"/>
          <w:szCs w:val="24"/>
        </w:rPr>
        <w:footnoteReference w:id="112"/>
      </w:r>
      <w:r w:rsidR="00FB63B3">
        <w:rPr>
          <w:rFonts w:cstheme="minorHAnsi"/>
          <w:sz w:val="24"/>
          <w:szCs w:val="24"/>
        </w:rPr>
        <w:t xml:space="preserve"> </w:t>
      </w:r>
      <w:r w:rsidR="00F155B9">
        <w:rPr>
          <w:rFonts w:cstheme="minorHAnsi"/>
          <w:sz w:val="24"/>
          <w:szCs w:val="24"/>
        </w:rPr>
        <w:t xml:space="preserve">Such a position </w:t>
      </w:r>
      <w:r w:rsidR="005A22C1">
        <w:rPr>
          <w:rFonts w:cstheme="minorHAnsi"/>
          <w:sz w:val="24"/>
          <w:szCs w:val="24"/>
        </w:rPr>
        <w:t>lays bare the fact</w:t>
      </w:r>
      <w:r w:rsidR="007A1942">
        <w:rPr>
          <w:rFonts w:cstheme="minorHAnsi"/>
          <w:sz w:val="24"/>
          <w:szCs w:val="24"/>
        </w:rPr>
        <w:t xml:space="preserve"> that r</w:t>
      </w:r>
      <w:r w:rsidR="00E104D5" w:rsidRPr="00EC6853">
        <w:rPr>
          <w:rFonts w:cstheme="minorHAnsi"/>
          <w:sz w:val="24"/>
          <w:szCs w:val="24"/>
        </w:rPr>
        <w:t>ecognition is evidentiary: ‘non-recognition by the vast majority of States in the international community suggests that the factual criteria for statehood are not considered to have been fulfilled’</w:t>
      </w:r>
      <w:r w:rsidR="00FB63B3">
        <w:rPr>
          <w:rFonts w:cstheme="minorHAnsi"/>
          <w:sz w:val="24"/>
          <w:szCs w:val="24"/>
        </w:rPr>
        <w:t>.</w:t>
      </w:r>
      <w:r w:rsidR="00E104D5" w:rsidRPr="00EC6853">
        <w:rPr>
          <w:rStyle w:val="FootnoteReference"/>
          <w:rFonts w:cstheme="minorHAnsi"/>
          <w:sz w:val="24"/>
          <w:szCs w:val="24"/>
        </w:rPr>
        <w:footnoteReference w:id="113"/>
      </w:r>
      <w:r w:rsidR="00E104D5" w:rsidRPr="00EC6853">
        <w:rPr>
          <w:rFonts w:cstheme="minorHAnsi"/>
          <w:sz w:val="24"/>
          <w:szCs w:val="24"/>
        </w:rPr>
        <w:t xml:space="preserve"> </w:t>
      </w:r>
      <w:r w:rsidR="00FB63B3">
        <w:rPr>
          <w:rFonts w:cstheme="minorHAnsi"/>
          <w:sz w:val="24"/>
          <w:szCs w:val="24"/>
        </w:rPr>
        <w:t xml:space="preserve">In this </w:t>
      </w:r>
      <w:r w:rsidR="00A8460E">
        <w:rPr>
          <w:rFonts w:cstheme="minorHAnsi"/>
          <w:sz w:val="24"/>
          <w:szCs w:val="24"/>
        </w:rPr>
        <w:t>vein</w:t>
      </w:r>
      <w:r w:rsidR="00FB63B3">
        <w:rPr>
          <w:rFonts w:cstheme="minorHAnsi"/>
          <w:sz w:val="24"/>
          <w:szCs w:val="24"/>
        </w:rPr>
        <w:t xml:space="preserve">, it is suggested </w:t>
      </w:r>
      <w:r w:rsidR="007A1942">
        <w:rPr>
          <w:rFonts w:cstheme="minorHAnsi"/>
          <w:sz w:val="24"/>
          <w:szCs w:val="24"/>
        </w:rPr>
        <w:t>that the fourth ‘criterion’ is a consequence rather than an element of statehood.</w:t>
      </w:r>
      <w:r w:rsidR="0062117D">
        <w:rPr>
          <w:rStyle w:val="FootnoteReference"/>
          <w:rFonts w:cstheme="minorHAnsi"/>
          <w:sz w:val="24"/>
          <w:szCs w:val="24"/>
        </w:rPr>
        <w:footnoteReference w:id="114"/>
      </w:r>
      <w:r w:rsidR="007A1942">
        <w:rPr>
          <w:rFonts w:cstheme="minorHAnsi"/>
          <w:sz w:val="24"/>
          <w:szCs w:val="24"/>
        </w:rPr>
        <w:t xml:space="preserve"> Alternatively, it could be </w:t>
      </w:r>
      <w:r w:rsidR="009F20F1">
        <w:rPr>
          <w:rFonts w:cstheme="minorHAnsi"/>
          <w:sz w:val="24"/>
          <w:szCs w:val="24"/>
        </w:rPr>
        <w:t>defended</w:t>
      </w:r>
      <w:r w:rsidR="007A1942">
        <w:rPr>
          <w:rFonts w:cstheme="minorHAnsi"/>
          <w:sz w:val="24"/>
          <w:szCs w:val="24"/>
        </w:rPr>
        <w:t xml:space="preserve"> that</w:t>
      </w:r>
      <w:r w:rsidR="007A1942" w:rsidRPr="00EC6853">
        <w:rPr>
          <w:rFonts w:cstheme="minorHAnsi"/>
          <w:sz w:val="24"/>
          <w:szCs w:val="24"/>
        </w:rPr>
        <w:t xml:space="preserve"> recognition is</w:t>
      </w:r>
      <w:r w:rsidR="007A1942">
        <w:rPr>
          <w:rFonts w:cstheme="minorHAnsi"/>
          <w:sz w:val="24"/>
          <w:szCs w:val="24"/>
        </w:rPr>
        <w:t>,</w:t>
      </w:r>
      <w:r w:rsidR="007A1942" w:rsidRPr="00EC6853">
        <w:rPr>
          <w:rFonts w:cstheme="minorHAnsi"/>
          <w:sz w:val="24"/>
          <w:szCs w:val="24"/>
        </w:rPr>
        <w:t xml:space="preserve"> in practice</w:t>
      </w:r>
      <w:r w:rsidR="007A1942">
        <w:rPr>
          <w:rFonts w:cstheme="minorHAnsi"/>
          <w:sz w:val="24"/>
          <w:szCs w:val="24"/>
        </w:rPr>
        <w:t>,</w:t>
      </w:r>
      <w:r w:rsidR="007A1942" w:rsidRPr="00EC6853">
        <w:rPr>
          <w:rFonts w:cstheme="minorHAnsi"/>
          <w:sz w:val="24"/>
          <w:szCs w:val="24"/>
        </w:rPr>
        <w:t xml:space="preserve"> a requirement of statehood</w:t>
      </w:r>
      <w:r w:rsidR="007A1942" w:rsidRPr="00EC6853">
        <w:rPr>
          <w:rStyle w:val="FootnoteReference"/>
          <w:rFonts w:cstheme="minorHAnsi"/>
          <w:sz w:val="24"/>
          <w:szCs w:val="24"/>
        </w:rPr>
        <w:footnoteReference w:id="115"/>
      </w:r>
      <w:r w:rsidR="007A1942">
        <w:rPr>
          <w:rFonts w:cstheme="minorHAnsi"/>
          <w:sz w:val="24"/>
          <w:szCs w:val="24"/>
        </w:rPr>
        <w:t xml:space="preserve"> or that </w:t>
      </w:r>
      <w:r w:rsidR="007A1942" w:rsidRPr="00EC6853">
        <w:rPr>
          <w:rFonts w:cstheme="minorHAnsi"/>
          <w:sz w:val="24"/>
          <w:szCs w:val="24"/>
        </w:rPr>
        <w:t xml:space="preserve">‘in the context of secession at least, recognition of the seceded state by other states has at least </w:t>
      </w:r>
      <w:r w:rsidR="007A1942" w:rsidRPr="00EC6853">
        <w:rPr>
          <w:rFonts w:cstheme="minorHAnsi"/>
          <w:sz w:val="24"/>
          <w:szCs w:val="24"/>
        </w:rPr>
        <w:lastRenderedPageBreak/>
        <w:t>some part to play in its creation.’</w:t>
      </w:r>
      <w:r w:rsidR="007A1942" w:rsidRPr="00EC6853">
        <w:rPr>
          <w:rStyle w:val="FootnoteReference"/>
          <w:rFonts w:cstheme="minorHAnsi"/>
          <w:sz w:val="24"/>
          <w:szCs w:val="24"/>
        </w:rPr>
        <w:footnoteReference w:id="116"/>
      </w:r>
      <w:r w:rsidR="00225FB0">
        <w:rPr>
          <w:rFonts w:cstheme="minorHAnsi"/>
          <w:sz w:val="24"/>
          <w:szCs w:val="24"/>
        </w:rPr>
        <w:t xml:space="preserve"> </w:t>
      </w:r>
      <w:r w:rsidR="00C172FA" w:rsidRPr="00EC6853">
        <w:rPr>
          <w:rFonts w:cstheme="minorHAnsi"/>
          <w:sz w:val="24"/>
          <w:szCs w:val="24"/>
        </w:rPr>
        <w:t>Abkhazia and S</w:t>
      </w:r>
      <w:r w:rsidR="00FF0B3D">
        <w:rPr>
          <w:rFonts w:cstheme="minorHAnsi"/>
          <w:sz w:val="24"/>
          <w:szCs w:val="24"/>
        </w:rPr>
        <w:t>outh</w:t>
      </w:r>
      <w:r w:rsidR="00C172FA" w:rsidRPr="00EC6853">
        <w:rPr>
          <w:rFonts w:cstheme="minorHAnsi"/>
          <w:sz w:val="24"/>
          <w:szCs w:val="24"/>
        </w:rPr>
        <w:t xml:space="preserve"> Ossetia </w:t>
      </w:r>
      <w:r w:rsidR="00246181">
        <w:rPr>
          <w:rFonts w:cstheme="minorHAnsi"/>
          <w:sz w:val="24"/>
          <w:szCs w:val="24"/>
        </w:rPr>
        <w:t>have been</w:t>
      </w:r>
      <w:r w:rsidR="00C172FA" w:rsidRPr="00EC6853">
        <w:rPr>
          <w:rFonts w:cstheme="minorHAnsi"/>
          <w:sz w:val="24"/>
          <w:szCs w:val="24"/>
        </w:rPr>
        <w:t xml:space="preserve"> recognised by Russia, Nicaragua, Venezuela</w:t>
      </w:r>
      <w:r w:rsidR="00246181">
        <w:rPr>
          <w:rFonts w:cstheme="minorHAnsi"/>
          <w:sz w:val="24"/>
          <w:szCs w:val="24"/>
        </w:rPr>
        <w:t xml:space="preserve">, Tuvalu and </w:t>
      </w:r>
      <w:r w:rsidR="00C172FA" w:rsidRPr="00EC6853">
        <w:rPr>
          <w:rFonts w:cstheme="minorHAnsi"/>
          <w:sz w:val="24"/>
          <w:szCs w:val="24"/>
        </w:rPr>
        <w:t>Nauru</w:t>
      </w:r>
      <w:r w:rsidR="00246181">
        <w:rPr>
          <w:rFonts w:cstheme="minorHAnsi"/>
          <w:sz w:val="24"/>
          <w:szCs w:val="24"/>
        </w:rPr>
        <w:t>,</w:t>
      </w:r>
      <w:r w:rsidR="00C172FA" w:rsidRPr="00EC6853">
        <w:rPr>
          <w:rStyle w:val="FootnoteReference"/>
          <w:rFonts w:cstheme="minorHAnsi"/>
          <w:sz w:val="24"/>
          <w:szCs w:val="24"/>
        </w:rPr>
        <w:footnoteReference w:id="117"/>
      </w:r>
      <w:r w:rsidR="00246181">
        <w:rPr>
          <w:rFonts w:cstheme="minorHAnsi"/>
          <w:sz w:val="24"/>
          <w:szCs w:val="24"/>
        </w:rPr>
        <w:t xml:space="preserve"> and Syria</w:t>
      </w:r>
      <w:r w:rsidR="006E2F52" w:rsidRPr="00BA4490">
        <w:rPr>
          <w:rFonts w:cstheme="minorHAnsi"/>
          <w:sz w:val="24"/>
          <w:szCs w:val="24"/>
        </w:rPr>
        <w:t>.</w:t>
      </w:r>
      <w:r w:rsidR="00246181" w:rsidRPr="00BA4490">
        <w:rPr>
          <w:rStyle w:val="FootnoteReference"/>
          <w:rFonts w:cstheme="minorHAnsi"/>
          <w:sz w:val="24"/>
          <w:szCs w:val="24"/>
        </w:rPr>
        <w:footnoteReference w:id="118"/>
      </w:r>
      <w:r w:rsidR="00246181" w:rsidRPr="00BA4490">
        <w:rPr>
          <w:rFonts w:cstheme="minorHAnsi"/>
          <w:sz w:val="24"/>
          <w:szCs w:val="24"/>
        </w:rPr>
        <w:t xml:space="preserve"> </w:t>
      </w:r>
      <w:r w:rsidR="00FD442E">
        <w:rPr>
          <w:rFonts w:cstheme="minorHAnsi"/>
          <w:sz w:val="24"/>
          <w:szCs w:val="24"/>
        </w:rPr>
        <w:t>Abkhazia was also recognised by Vanuatu in 2011.</w:t>
      </w:r>
      <w:r w:rsidR="00FD442E">
        <w:rPr>
          <w:rStyle w:val="FootnoteReference"/>
          <w:rFonts w:cstheme="minorHAnsi"/>
          <w:sz w:val="24"/>
          <w:szCs w:val="24"/>
        </w:rPr>
        <w:footnoteReference w:id="119"/>
      </w:r>
      <w:r w:rsidR="00FD442E">
        <w:rPr>
          <w:rFonts w:cstheme="minorHAnsi"/>
          <w:sz w:val="24"/>
          <w:szCs w:val="24"/>
        </w:rPr>
        <w:t xml:space="preserve"> </w:t>
      </w:r>
      <w:r w:rsidR="00410303">
        <w:rPr>
          <w:rFonts w:cstheme="minorHAnsi"/>
          <w:sz w:val="24"/>
          <w:szCs w:val="24"/>
        </w:rPr>
        <w:t xml:space="preserve">Neither </w:t>
      </w:r>
      <w:r w:rsidR="00246181" w:rsidRPr="00BA4490">
        <w:rPr>
          <w:rFonts w:cstheme="minorHAnsi"/>
          <w:sz w:val="24"/>
          <w:szCs w:val="24"/>
        </w:rPr>
        <w:t xml:space="preserve">Nagorno-Karabakh </w:t>
      </w:r>
      <w:r w:rsidR="00410303">
        <w:rPr>
          <w:rFonts w:cstheme="minorHAnsi"/>
          <w:sz w:val="24"/>
          <w:szCs w:val="24"/>
        </w:rPr>
        <w:t>nor</w:t>
      </w:r>
      <w:r w:rsidR="00246181" w:rsidRPr="00BA4490">
        <w:rPr>
          <w:rFonts w:cstheme="minorHAnsi"/>
          <w:sz w:val="24"/>
          <w:szCs w:val="24"/>
        </w:rPr>
        <w:t xml:space="preserve"> Transnistria </w:t>
      </w:r>
      <w:r w:rsidR="006E2F52" w:rsidRPr="00BA4490">
        <w:rPr>
          <w:rFonts w:cstheme="minorHAnsi"/>
          <w:sz w:val="24"/>
          <w:szCs w:val="24"/>
        </w:rPr>
        <w:t>ha</w:t>
      </w:r>
      <w:r w:rsidR="00410303">
        <w:rPr>
          <w:rFonts w:cstheme="minorHAnsi"/>
          <w:sz w:val="24"/>
          <w:szCs w:val="24"/>
        </w:rPr>
        <w:t>ve</w:t>
      </w:r>
      <w:r w:rsidR="006E2F52" w:rsidRPr="00BA4490">
        <w:rPr>
          <w:rFonts w:cstheme="minorHAnsi"/>
          <w:sz w:val="24"/>
          <w:szCs w:val="24"/>
        </w:rPr>
        <w:t xml:space="preserve"> been recognised</w:t>
      </w:r>
      <w:r w:rsidR="00FF0B3D">
        <w:rPr>
          <w:rFonts w:cstheme="minorHAnsi"/>
          <w:sz w:val="24"/>
          <w:szCs w:val="24"/>
        </w:rPr>
        <w:t xml:space="preserve"> though</w:t>
      </w:r>
      <w:r w:rsidR="006E2F52" w:rsidRPr="00BA4490">
        <w:rPr>
          <w:rFonts w:cstheme="minorHAnsi"/>
          <w:sz w:val="24"/>
          <w:szCs w:val="24"/>
        </w:rPr>
        <w:t>.</w:t>
      </w:r>
      <w:r w:rsidR="00410303">
        <w:rPr>
          <w:rStyle w:val="FootnoteReference"/>
          <w:rFonts w:cstheme="minorHAnsi"/>
          <w:sz w:val="24"/>
          <w:szCs w:val="24"/>
        </w:rPr>
        <w:footnoteReference w:id="120"/>
      </w:r>
      <w:r w:rsidR="00246181">
        <w:rPr>
          <w:rFonts w:cstheme="minorHAnsi"/>
          <w:sz w:val="24"/>
          <w:szCs w:val="24"/>
        </w:rPr>
        <w:t xml:space="preserve">  </w:t>
      </w:r>
      <w:r w:rsidR="007A0E79" w:rsidRPr="00EC6853">
        <w:rPr>
          <w:rFonts w:cstheme="minorHAnsi"/>
          <w:sz w:val="24"/>
          <w:szCs w:val="24"/>
        </w:rPr>
        <w:t xml:space="preserve"> </w:t>
      </w:r>
    </w:p>
    <w:p w14:paraId="655BEE24" w14:textId="3B63E508" w:rsidR="00A83AFF" w:rsidRDefault="00FE14BD" w:rsidP="009B7C6E">
      <w:pPr>
        <w:spacing w:after="0" w:line="240" w:lineRule="auto"/>
        <w:jc w:val="both"/>
        <w:rPr>
          <w:rFonts w:cstheme="minorHAnsi"/>
          <w:sz w:val="24"/>
          <w:szCs w:val="24"/>
        </w:rPr>
      </w:pPr>
      <w:r>
        <w:rPr>
          <w:rFonts w:cstheme="minorHAnsi"/>
          <w:sz w:val="24"/>
          <w:szCs w:val="24"/>
        </w:rPr>
        <w:t>These d</w:t>
      </w:r>
      <w:r w:rsidR="00081FFB">
        <w:rPr>
          <w:rFonts w:cstheme="minorHAnsi"/>
          <w:i/>
          <w:iCs/>
          <w:sz w:val="24"/>
          <w:szCs w:val="24"/>
        </w:rPr>
        <w:t xml:space="preserve">e facto </w:t>
      </w:r>
      <w:r w:rsidR="00081FFB">
        <w:rPr>
          <w:rFonts w:cstheme="minorHAnsi"/>
          <w:sz w:val="24"/>
          <w:szCs w:val="24"/>
        </w:rPr>
        <w:t xml:space="preserve">States have thus the capacity to enter into relations with States; yet, the question is whether their level and intensity of engagement is deemed sufficient to consider them as States. </w:t>
      </w:r>
      <w:r w:rsidR="00325E40">
        <w:rPr>
          <w:rFonts w:cstheme="minorHAnsi"/>
          <w:sz w:val="24"/>
          <w:szCs w:val="24"/>
        </w:rPr>
        <w:t xml:space="preserve">In the case of the four entities, whilst they certainly show </w:t>
      </w:r>
      <w:r>
        <w:rPr>
          <w:rFonts w:cstheme="minorHAnsi"/>
          <w:sz w:val="24"/>
          <w:szCs w:val="24"/>
        </w:rPr>
        <w:t xml:space="preserve">a </w:t>
      </w:r>
      <w:r w:rsidR="00325E40">
        <w:rPr>
          <w:rFonts w:cstheme="minorHAnsi"/>
          <w:sz w:val="24"/>
          <w:szCs w:val="24"/>
        </w:rPr>
        <w:t>willingness to engage with other States, their lack of recognition hamper</w:t>
      </w:r>
      <w:r w:rsidR="004231D8">
        <w:rPr>
          <w:rFonts w:cstheme="minorHAnsi"/>
          <w:sz w:val="24"/>
          <w:szCs w:val="24"/>
        </w:rPr>
        <w:t>s</w:t>
      </w:r>
      <w:r w:rsidR="00325E40">
        <w:rPr>
          <w:rFonts w:cstheme="minorHAnsi"/>
          <w:sz w:val="24"/>
          <w:szCs w:val="24"/>
        </w:rPr>
        <w:t xml:space="preserve"> them from reaching the required level and intensity. </w:t>
      </w:r>
    </w:p>
    <w:p w14:paraId="02563A14" w14:textId="40FEC065" w:rsidR="00B74B4D" w:rsidRDefault="00B74B4D" w:rsidP="009B7C6E">
      <w:pPr>
        <w:spacing w:after="0" w:line="240" w:lineRule="auto"/>
        <w:jc w:val="both"/>
        <w:rPr>
          <w:rFonts w:cstheme="minorHAnsi"/>
          <w:sz w:val="24"/>
          <w:szCs w:val="24"/>
        </w:rPr>
      </w:pPr>
    </w:p>
    <w:p w14:paraId="1170411E" w14:textId="372592C0" w:rsidR="001A70A3" w:rsidRDefault="0069086D" w:rsidP="009B7C6E">
      <w:pPr>
        <w:spacing w:after="0" w:line="240" w:lineRule="auto"/>
        <w:jc w:val="both"/>
        <w:rPr>
          <w:rFonts w:cstheme="minorHAnsi"/>
          <w:sz w:val="24"/>
          <w:szCs w:val="24"/>
        </w:rPr>
      </w:pPr>
      <w:r>
        <w:rPr>
          <w:rFonts w:cstheme="minorHAnsi"/>
          <w:sz w:val="24"/>
          <w:szCs w:val="24"/>
        </w:rPr>
        <w:t xml:space="preserve">As </w:t>
      </w:r>
      <w:proofErr w:type="spellStart"/>
      <w:r>
        <w:rPr>
          <w:rFonts w:cstheme="minorHAnsi"/>
          <w:sz w:val="24"/>
          <w:szCs w:val="24"/>
        </w:rPr>
        <w:t>Okos</w:t>
      </w:r>
      <w:r w:rsidR="009F20F1">
        <w:rPr>
          <w:rFonts w:cstheme="minorHAnsi"/>
          <w:sz w:val="24"/>
          <w:szCs w:val="24"/>
        </w:rPr>
        <w:t>a</w:t>
      </w:r>
      <w:proofErr w:type="spellEnd"/>
      <w:r>
        <w:rPr>
          <w:rFonts w:cstheme="minorHAnsi"/>
          <w:sz w:val="24"/>
          <w:szCs w:val="24"/>
        </w:rPr>
        <w:t xml:space="preserve"> </w:t>
      </w:r>
      <w:r w:rsidR="0060439E">
        <w:rPr>
          <w:rFonts w:cstheme="minorHAnsi"/>
          <w:sz w:val="24"/>
          <w:szCs w:val="24"/>
        </w:rPr>
        <w:t>summarises</w:t>
      </w:r>
      <w:r>
        <w:rPr>
          <w:rFonts w:cstheme="minorHAnsi"/>
          <w:sz w:val="24"/>
          <w:szCs w:val="24"/>
        </w:rPr>
        <w:t>, ‘</w:t>
      </w:r>
      <w:r>
        <w:rPr>
          <w:rFonts w:cstheme="minorHAnsi"/>
          <w:i/>
          <w:iCs/>
          <w:sz w:val="24"/>
          <w:szCs w:val="24"/>
        </w:rPr>
        <w:t xml:space="preserve">[d]e facto </w:t>
      </w:r>
      <w:r>
        <w:rPr>
          <w:rFonts w:cstheme="minorHAnsi"/>
          <w:sz w:val="24"/>
          <w:szCs w:val="24"/>
        </w:rPr>
        <w:t>states are entities that satisfy the four criteria of statehood enumerated in the Montevideo Convention.’</w:t>
      </w:r>
      <w:r>
        <w:rPr>
          <w:rStyle w:val="FootnoteReference"/>
          <w:rFonts w:cstheme="minorHAnsi"/>
          <w:sz w:val="24"/>
          <w:szCs w:val="24"/>
        </w:rPr>
        <w:footnoteReference w:id="121"/>
      </w:r>
      <w:r>
        <w:rPr>
          <w:rFonts w:cstheme="minorHAnsi"/>
          <w:sz w:val="24"/>
          <w:szCs w:val="24"/>
        </w:rPr>
        <w:t xml:space="preserve"> Abkhazia, South Ossetia, Transnistria and Nagorno-Karabakh prove the point, though for some their claims are less well grounded. Yet, they are not viewed as State</w:t>
      </w:r>
      <w:r w:rsidR="00465718">
        <w:rPr>
          <w:rFonts w:cstheme="minorHAnsi"/>
          <w:sz w:val="24"/>
          <w:szCs w:val="24"/>
        </w:rPr>
        <w:t>s and this is because, despite all claims to the contrary, a State does not exist in international law as soon as it exists, i.e., as soon as it meets the Montevideo criteria.</w:t>
      </w:r>
      <w:r w:rsidR="00465718">
        <w:rPr>
          <w:rStyle w:val="FootnoteReference"/>
          <w:rFonts w:cstheme="minorHAnsi"/>
          <w:sz w:val="24"/>
          <w:szCs w:val="24"/>
        </w:rPr>
        <w:footnoteReference w:id="122"/>
      </w:r>
      <w:r w:rsidR="00465718">
        <w:rPr>
          <w:rFonts w:cstheme="minorHAnsi"/>
          <w:sz w:val="24"/>
          <w:szCs w:val="24"/>
        </w:rPr>
        <w:t xml:space="preserve"> </w:t>
      </w:r>
    </w:p>
    <w:p w14:paraId="05F01E47" w14:textId="7C12FB93" w:rsidR="00A4757B" w:rsidRPr="00C23C5C" w:rsidRDefault="00706665" w:rsidP="00C23C5C">
      <w:pPr>
        <w:pStyle w:val="Heading1"/>
      </w:pPr>
      <w:r>
        <w:t xml:space="preserve">2. </w:t>
      </w:r>
      <w:r w:rsidR="00A8460E" w:rsidRPr="00C23C5C">
        <w:t>Violations of the Prohibition of the Use of Force and of the Principle of Territorial Integrity</w:t>
      </w:r>
    </w:p>
    <w:p w14:paraId="2C968560" w14:textId="1093C23C" w:rsidR="00F02C7C" w:rsidRDefault="00FE14BD" w:rsidP="009B7C6E">
      <w:pPr>
        <w:spacing w:after="0" w:line="240" w:lineRule="auto"/>
        <w:jc w:val="both"/>
        <w:rPr>
          <w:rFonts w:cstheme="minorHAnsi"/>
          <w:sz w:val="24"/>
          <w:szCs w:val="24"/>
        </w:rPr>
      </w:pPr>
      <w:r>
        <w:rPr>
          <w:rFonts w:cstheme="minorHAnsi"/>
          <w:sz w:val="24"/>
          <w:szCs w:val="24"/>
        </w:rPr>
        <w:t>It is largely agreed that the fulfilment of the Montevideo Convention requirements is not sufficient.</w:t>
      </w:r>
      <w:r>
        <w:rPr>
          <w:rStyle w:val="FootnoteReference"/>
          <w:rFonts w:cstheme="minorHAnsi"/>
          <w:sz w:val="24"/>
          <w:szCs w:val="24"/>
        </w:rPr>
        <w:footnoteReference w:id="123"/>
      </w:r>
      <w:r>
        <w:rPr>
          <w:rFonts w:cstheme="minorHAnsi"/>
          <w:sz w:val="24"/>
          <w:szCs w:val="24"/>
        </w:rPr>
        <w:t xml:space="preserve"> It should because, u</w:t>
      </w:r>
      <w:r w:rsidR="00563796">
        <w:rPr>
          <w:rFonts w:cstheme="minorHAnsi"/>
          <w:sz w:val="24"/>
          <w:szCs w:val="24"/>
        </w:rPr>
        <w:t>nder</w:t>
      </w:r>
      <w:r w:rsidR="00563796" w:rsidRPr="00EC6853">
        <w:rPr>
          <w:rFonts w:cstheme="minorHAnsi"/>
          <w:sz w:val="24"/>
          <w:szCs w:val="24"/>
        </w:rPr>
        <w:t xml:space="preserve"> the declarative theory of recognition that prevails under contemporary international law,</w:t>
      </w:r>
      <w:r w:rsidR="00563796">
        <w:rPr>
          <w:rFonts w:cstheme="minorHAnsi"/>
          <w:sz w:val="24"/>
          <w:szCs w:val="24"/>
        </w:rPr>
        <w:t xml:space="preserve"> an entity does not need to be recognised as a State to be one. Recognition only confirms the existence of the State.</w:t>
      </w:r>
      <w:r w:rsidR="0071613D">
        <w:rPr>
          <w:rStyle w:val="FootnoteReference"/>
          <w:rFonts w:cstheme="minorHAnsi"/>
          <w:sz w:val="24"/>
          <w:szCs w:val="24"/>
        </w:rPr>
        <w:footnoteReference w:id="124"/>
      </w:r>
      <w:r w:rsidR="00563796">
        <w:rPr>
          <w:rFonts w:cstheme="minorHAnsi"/>
          <w:sz w:val="24"/>
          <w:szCs w:val="24"/>
        </w:rPr>
        <w:t xml:space="preserve"> </w:t>
      </w:r>
      <w:r>
        <w:rPr>
          <w:rFonts w:cstheme="minorHAnsi"/>
          <w:sz w:val="24"/>
          <w:szCs w:val="24"/>
        </w:rPr>
        <w:t>T</w:t>
      </w:r>
      <w:r w:rsidR="00563796">
        <w:rPr>
          <w:rFonts w:cstheme="minorHAnsi"/>
          <w:sz w:val="24"/>
          <w:szCs w:val="24"/>
        </w:rPr>
        <w:t xml:space="preserve">he reality is that </w:t>
      </w:r>
      <w:r w:rsidR="00563796" w:rsidRPr="00EC6853">
        <w:rPr>
          <w:rFonts w:cstheme="minorHAnsi"/>
          <w:sz w:val="24"/>
          <w:szCs w:val="24"/>
        </w:rPr>
        <w:t>‘</w:t>
      </w:r>
      <w:r w:rsidR="00563796">
        <w:rPr>
          <w:rFonts w:cstheme="minorHAnsi"/>
          <w:sz w:val="24"/>
          <w:szCs w:val="24"/>
        </w:rPr>
        <w:t>[a]</w:t>
      </w:r>
      <w:r w:rsidR="00563796" w:rsidRPr="00EC6853">
        <w:rPr>
          <w:rFonts w:cstheme="minorHAnsi"/>
          <w:sz w:val="24"/>
          <w:szCs w:val="24"/>
        </w:rPr>
        <w:t xml:space="preserve"> state does not simply exist as a matter of fact: the existence of a state is determined by </w:t>
      </w:r>
      <w:r w:rsidR="00563796" w:rsidRPr="00FE14BD">
        <w:rPr>
          <w:rFonts w:cstheme="minorHAnsi"/>
          <w:i/>
          <w:iCs/>
          <w:sz w:val="24"/>
          <w:szCs w:val="24"/>
        </w:rPr>
        <w:t>meeting international legal standards</w:t>
      </w:r>
      <w:r w:rsidR="00563796" w:rsidRPr="00EC6853">
        <w:rPr>
          <w:rFonts w:cstheme="minorHAnsi"/>
          <w:sz w:val="24"/>
          <w:szCs w:val="24"/>
        </w:rPr>
        <w:t xml:space="preserve"> and failure to do so implies denial of statehood in international </w:t>
      </w:r>
      <w:r w:rsidR="00563796" w:rsidRPr="007F0872">
        <w:rPr>
          <w:rFonts w:cstheme="minorHAnsi"/>
          <w:sz w:val="24"/>
          <w:szCs w:val="24"/>
        </w:rPr>
        <w:t>law.’</w:t>
      </w:r>
      <w:r w:rsidR="00563796" w:rsidRPr="007F0872">
        <w:rPr>
          <w:rStyle w:val="FootnoteReference"/>
          <w:rFonts w:cstheme="minorHAnsi"/>
          <w:sz w:val="24"/>
          <w:szCs w:val="24"/>
        </w:rPr>
        <w:footnoteReference w:id="125"/>
      </w:r>
      <w:r w:rsidR="00563796">
        <w:rPr>
          <w:rFonts w:cstheme="minorHAnsi"/>
          <w:sz w:val="24"/>
          <w:szCs w:val="24"/>
        </w:rPr>
        <w:t xml:space="preserve"> </w:t>
      </w:r>
      <w:r w:rsidR="00744241">
        <w:rPr>
          <w:rFonts w:cstheme="minorHAnsi"/>
          <w:sz w:val="24"/>
          <w:szCs w:val="24"/>
        </w:rPr>
        <w:t>Despite claims to the contrary, recognition plays a significant role</w:t>
      </w:r>
      <w:r w:rsidR="00744241">
        <w:rPr>
          <w:rStyle w:val="FootnoteReference"/>
          <w:rFonts w:cstheme="minorHAnsi"/>
          <w:sz w:val="24"/>
          <w:szCs w:val="24"/>
        </w:rPr>
        <w:footnoteReference w:id="126"/>
      </w:r>
      <w:r w:rsidR="00744241">
        <w:rPr>
          <w:rFonts w:cstheme="minorHAnsi"/>
          <w:sz w:val="24"/>
          <w:szCs w:val="24"/>
        </w:rPr>
        <w:t xml:space="preserve"> and even more so for s</w:t>
      </w:r>
      <w:r w:rsidR="008C7AD8">
        <w:rPr>
          <w:rFonts w:cstheme="minorHAnsi"/>
          <w:sz w:val="24"/>
          <w:szCs w:val="24"/>
        </w:rPr>
        <w:t xml:space="preserve">eceding entities. </w:t>
      </w:r>
      <w:r w:rsidR="00A43066">
        <w:rPr>
          <w:rFonts w:cstheme="minorHAnsi"/>
          <w:sz w:val="24"/>
          <w:szCs w:val="24"/>
        </w:rPr>
        <w:t>For them, recognition becomes central; it is what matters in the end</w:t>
      </w:r>
      <w:r w:rsidR="000C286E">
        <w:rPr>
          <w:rFonts w:cstheme="minorHAnsi"/>
          <w:sz w:val="24"/>
          <w:szCs w:val="24"/>
        </w:rPr>
        <w:t>: ‘The defining characteristic of unrecognized states, the factor that determines their position in the international system and predominates in internal debates, is their lack of recognition’.</w:t>
      </w:r>
      <w:r w:rsidR="000C286E">
        <w:rPr>
          <w:rStyle w:val="FootnoteReference"/>
          <w:rFonts w:cstheme="minorHAnsi"/>
          <w:sz w:val="24"/>
          <w:szCs w:val="24"/>
        </w:rPr>
        <w:footnoteReference w:id="127"/>
      </w:r>
      <w:r w:rsidR="00563796" w:rsidRPr="00563796">
        <w:rPr>
          <w:rFonts w:cstheme="minorHAnsi"/>
          <w:sz w:val="24"/>
          <w:szCs w:val="24"/>
        </w:rPr>
        <w:t xml:space="preserve"> </w:t>
      </w:r>
      <w:r w:rsidR="000C286E">
        <w:rPr>
          <w:rFonts w:cstheme="minorHAnsi"/>
          <w:sz w:val="24"/>
          <w:szCs w:val="24"/>
        </w:rPr>
        <w:t>Recognition comes at a price</w:t>
      </w:r>
      <w:r>
        <w:rPr>
          <w:rFonts w:cstheme="minorHAnsi"/>
          <w:sz w:val="24"/>
          <w:szCs w:val="24"/>
        </w:rPr>
        <w:t xml:space="preserve"> </w:t>
      </w:r>
      <w:r w:rsidR="000C286E">
        <w:rPr>
          <w:rFonts w:cstheme="minorHAnsi"/>
          <w:sz w:val="24"/>
          <w:szCs w:val="24"/>
        </w:rPr>
        <w:t xml:space="preserve">fixed by the international community of States that </w:t>
      </w:r>
      <w:r w:rsidR="00744241">
        <w:rPr>
          <w:rFonts w:cstheme="minorHAnsi"/>
          <w:sz w:val="24"/>
          <w:szCs w:val="24"/>
        </w:rPr>
        <w:t>introduced</w:t>
      </w:r>
      <w:r w:rsidR="000C286E">
        <w:rPr>
          <w:rFonts w:cstheme="minorHAnsi"/>
          <w:sz w:val="24"/>
          <w:szCs w:val="24"/>
        </w:rPr>
        <w:t xml:space="preserve"> </w:t>
      </w:r>
      <w:r w:rsidR="00744241">
        <w:rPr>
          <w:rFonts w:cstheme="minorHAnsi"/>
          <w:sz w:val="24"/>
          <w:szCs w:val="24"/>
        </w:rPr>
        <w:t>normative, additional, elements to determine whether an entity ought to be recognised as a State.</w:t>
      </w:r>
      <w:r w:rsidR="00744241">
        <w:rPr>
          <w:rStyle w:val="FootnoteReference"/>
          <w:rFonts w:cstheme="minorHAnsi"/>
          <w:sz w:val="24"/>
          <w:szCs w:val="24"/>
        </w:rPr>
        <w:footnoteReference w:id="128"/>
      </w:r>
      <w:r w:rsidR="000B5B99" w:rsidRPr="000B5B99">
        <w:rPr>
          <w:rFonts w:cstheme="minorHAnsi"/>
          <w:sz w:val="24"/>
          <w:szCs w:val="24"/>
        </w:rPr>
        <w:t xml:space="preserve"> </w:t>
      </w:r>
    </w:p>
    <w:p w14:paraId="1FEBA5DF" w14:textId="2E47114A" w:rsidR="006A556B" w:rsidRDefault="006A556B" w:rsidP="009B7C6E">
      <w:pPr>
        <w:spacing w:after="0" w:line="240" w:lineRule="auto"/>
        <w:jc w:val="both"/>
        <w:rPr>
          <w:rFonts w:cstheme="minorHAnsi"/>
          <w:sz w:val="24"/>
          <w:szCs w:val="24"/>
        </w:rPr>
      </w:pPr>
    </w:p>
    <w:p w14:paraId="776EFCFA" w14:textId="6FB7F767" w:rsidR="006A556B" w:rsidRDefault="00706665" w:rsidP="006A556B">
      <w:pPr>
        <w:pStyle w:val="Heading2"/>
      </w:pPr>
      <w:r>
        <w:lastRenderedPageBreak/>
        <w:t xml:space="preserve">2.1. </w:t>
      </w:r>
      <w:r w:rsidR="006A556B">
        <w:t>Element of Statehood or Recognition</w:t>
      </w:r>
    </w:p>
    <w:p w14:paraId="15B56C9E" w14:textId="77777777" w:rsidR="006A556B" w:rsidRDefault="006A556B" w:rsidP="009B7C6E">
      <w:pPr>
        <w:spacing w:after="0" w:line="240" w:lineRule="auto"/>
        <w:jc w:val="both"/>
        <w:rPr>
          <w:rFonts w:cstheme="minorHAnsi"/>
          <w:sz w:val="24"/>
          <w:szCs w:val="24"/>
        </w:rPr>
      </w:pPr>
      <w:r>
        <w:rPr>
          <w:rFonts w:cstheme="minorHAnsi"/>
          <w:sz w:val="24"/>
          <w:szCs w:val="24"/>
        </w:rPr>
        <w:t xml:space="preserve">It is in the 1970s that the international community started to deny recognition to entities that were unlawfully created; such entities are </w:t>
      </w:r>
      <w:r w:rsidRPr="00E83E74">
        <w:rPr>
          <w:rFonts w:cstheme="minorHAnsi"/>
          <w:sz w:val="24"/>
          <w:szCs w:val="24"/>
        </w:rPr>
        <w:t>‘illegitimate no matter how effective’</w:t>
      </w:r>
      <w:r>
        <w:rPr>
          <w:rFonts w:cstheme="minorHAnsi"/>
          <w:sz w:val="24"/>
          <w:szCs w:val="24"/>
        </w:rPr>
        <w:t>.</w:t>
      </w:r>
      <w:r w:rsidRPr="00E83E74">
        <w:rPr>
          <w:rStyle w:val="FootnoteReference"/>
          <w:rFonts w:cstheme="minorHAnsi"/>
          <w:sz w:val="24"/>
          <w:szCs w:val="24"/>
        </w:rPr>
        <w:footnoteReference w:id="129"/>
      </w:r>
      <w:r>
        <w:rPr>
          <w:rFonts w:cstheme="minorHAnsi"/>
          <w:sz w:val="24"/>
          <w:szCs w:val="24"/>
        </w:rPr>
        <w:t xml:space="preserve"> The </w:t>
      </w:r>
      <w:proofErr w:type="spellStart"/>
      <w:r>
        <w:rPr>
          <w:rFonts w:cstheme="minorHAnsi"/>
          <w:sz w:val="24"/>
          <w:szCs w:val="24"/>
        </w:rPr>
        <w:t>Tagliavini</w:t>
      </w:r>
      <w:proofErr w:type="spellEnd"/>
      <w:r>
        <w:rPr>
          <w:rFonts w:cstheme="minorHAnsi"/>
          <w:sz w:val="24"/>
          <w:szCs w:val="24"/>
        </w:rPr>
        <w:t xml:space="preserve"> report made the point that ‘[</w:t>
      </w:r>
      <w:proofErr w:type="spellStart"/>
      <w:r>
        <w:rPr>
          <w:rFonts w:cstheme="minorHAnsi"/>
          <w:sz w:val="24"/>
          <w:szCs w:val="24"/>
        </w:rPr>
        <w:t>i</w:t>
      </w:r>
      <w:proofErr w:type="spellEnd"/>
      <w:r>
        <w:rPr>
          <w:rFonts w:cstheme="minorHAnsi"/>
          <w:sz w:val="24"/>
          <w:szCs w:val="24"/>
        </w:rPr>
        <w:t xml:space="preserve">]n current international law, the observation of legal principles which are themselves enshrined in international law (notably the principles of self-determination and the prohibition of the use of force), are accepted as an </w:t>
      </w:r>
      <w:r>
        <w:rPr>
          <w:rFonts w:cstheme="minorHAnsi"/>
          <w:i/>
          <w:iCs/>
          <w:sz w:val="24"/>
          <w:szCs w:val="24"/>
        </w:rPr>
        <w:t xml:space="preserve">additional </w:t>
      </w:r>
      <w:r>
        <w:rPr>
          <w:rFonts w:cstheme="minorHAnsi"/>
          <w:sz w:val="24"/>
          <w:szCs w:val="24"/>
        </w:rPr>
        <w:t>standard for the qualification of an entity as a state’.</w:t>
      </w:r>
      <w:r>
        <w:rPr>
          <w:rStyle w:val="FootnoteReference"/>
          <w:rFonts w:cstheme="minorHAnsi"/>
          <w:sz w:val="24"/>
          <w:szCs w:val="24"/>
        </w:rPr>
        <w:footnoteReference w:id="130"/>
      </w:r>
    </w:p>
    <w:p w14:paraId="7014D50D" w14:textId="5BA6121D" w:rsidR="006A556B" w:rsidRDefault="00F02C7C" w:rsidP="009B7C6E">
      <w:pPr>
        <w:spacing w:after="0" w:line="240" w:lineRule="auto"/>
        <w:jc w:val="both"/>
        <w:rPr>
          <w:rFonts w:cstheme="minorHAnsi"/>
          <w:sz w:val="24"/>
          <w:szCs w:val="24"/>
        </w:rPr>
      </w:pPr>
      <w:r>
        <w:rPr>
          <w:rFonts w:cstheme="minorHAnsi"/>
          <w:sz w:val="24"/>
          <w:szCs w:val="24"/>
        </w:rPr>
        <w:t>Whilst legal literature is unclear</w:t>
      </w:r>
      <w:r w:rsidRPr="00EC6853">
        <w:rPr>
          <w:rFonts w:cstheme="minorHAnsi"/>
          <w:sz w:val="24"/>
          <w:szCs w:val="24"/>
        </w:rPr>
        <w:t xml:space="preserve"> whether </w:t>
      </w:r>
      <w:r>
        <w:rPr>
          <w:rFonts w:cstheme="minorHAnsi"/>
          <w:sz w:val="24"/>
          <w:szCs w:val="24"/>
        </w:rPr>
        <w:t>such elements</w:t>
      </w:r>
      <w:r w:rsidRPr="00EC6853">
        <w:rPr>
          <w:rFonts w:cstheme="minorHAnsi"/>
          <w:sz w:val="24"/>
          <w:szCs w:val="24"/>
        </w:rPr>
        <w:t xml:space="preserve"> relate to </w:t>
      </w:r>
      <w:r>
        <w:rPr>
          <w:rFonts w:cstheme="minorHAnsi"/>
          <w:sz w:val="24"/>
          <w:szCs w:val="24"/>
        </w:rPr>
        <w:t xml:space="preserve">recognition, </w:t>
      </w:r>
      <w:r w:rsidRPr="00EC6853">
        <w:rPr>
          <w:rFonts w:cstheme="minorHAnsi"/>
          <w:sz w:val="24"/>
          <w:szCs w:val="24"/>
        </w:rPr>
        <w:t xml:space="preserve">becoming a member of an international organisation or are </w:t>
      </w:r>
      <w:r>
        <w:rPr>
          <w:rFonts w:cstheme="minorHAnsi"/>
          <w:sz w:val="24"/>
          <w:szCs w:val="24"/>
        </w:rPr>
        <w:t xml:space="preserve">now deemed to be </w:t>
      </w:r>
      <w:r w:rsidRPr="00EC6853">
        <w:rPr>
          <w:rFonts w:cstheme="minorHAnsi"/>
          <w:sz w:val="24"/>
          <w:szCs w:val="24"/>
        </w:rPr>
        <w:t>more generally related to statehood</w:t>
      </w:r>
      <w:r>
        <w:rPr>
          <w:rFonts w:cstheme="minorHAnsi"/>
          <w:sz w:val="24"/>
          <w:szCs w:val="24"/>
        </w:rPr>
        <w:t>,</w:t>
      </w:r>
      <w:r w:rsidRPr="00EC6853">
        <w:rPr>
          <w:rStyle w:val="FootnoteReference"/>
          <w:rFonts w:cstheme="minorHAnsi"/>
          <w:sz w:val="24"/>
          <w:szCs w:val="24"/>
        </w:rPr>
        <w:footnoteReference w:id="131"/>
      </w:r>
      <w:r>
        <w:rPr>
          <w:rFonts w:cstheme="minorHAnsi"/>
          <w:sz w:val="24"/>
          <w:szCs w:val="24"/>
        </w:rPr>
        <w:t xml:space="preserve"> it is argued that these elements are essential for recognition but not for statehood purposes. </w:t>
      </w:r>
      <w:r w:rsidR="007E0A2E">
        <w:rPr>
          <w:rFonts w:cstheme="minorHAnsi"/>
          <w:sz w:val="24"/>
          <w:szCs w:val="24"/>
        </w:rPr>
        <w:t xml:space="preserve">First, </w:t>
      </w:r>
      <w:r w:rsidR="00744241">
        <w:rPr>
          <w:rFonts w:cstheme="minorHAnsi"/>
          <w:sz w:val="24"/>
          <w:szCs w:val="24"/>
        </w:rPr>
        <w:t>such</w:t>
      </w:r>
      <w:r w:rsidR="00744241" w:rsidRPr="00EC6853">
        <w:rPr>
          <w:rFonts w:cstheme="minorHAnsi"/>
          <w:sz w:val="24"/>
          <w:szCs w:val="24"/>
        </w:rPr>
        <w:t xml:space="preserve"> requirements exist </w:t>
      </w:r>
      <w:r w:rsidR="00744241">
        <w:rPr>
          <w:rFonts w:cstheme="minorHAnsi"/>
          <w:sz w:val="24"/>
          <w:szCs w:val="24"/>
        </w:rPr>
        <w:t>because</w:t>
      </w:r>
      <w:r w:rsidR="00744241" w:rsidRPr="00EC6853">
        <w:rPr>
          <w:rFonts w:cstheme="minorHAnsi"/>
          <w:sz w:val="24"/>
          <w:szCs w:val="24"/>
        </w:rPr>
        <w:t xml:space="preserve"> once an entity is a </w:t>
      </w:r>
      <w:r w:rsidR="00744241">
        <w:rPr>
          <w:rFonts w:cstheme="minorHAnsi"/>
          <w:sz w:val="24"/>
          <w:szCs w:val="24"/>
        </w:rPr>
        <w:t>S</w:t>
      </w:r>
      <w:r w:rsidR="00744241" w:rsidRPr="00EC6853">
        <w:rPr>
          <w:rFonts w:cstheme="minorHAnsi"/>
          <w:sz w:val="24"/>
          <w:szCs w:val="24"/>
        </w:rPr>
        <w:t xml:space="preserve">tate it acquires all the rights and, of course, obligations related to this status; it is, therefore, important to ensure </w:t>
      </w:r>
      <w:r w:rsidR="00744241">
        <w:rPr>
          <w:rFonts w:cstheme="minorHAnsi"/>
          <w:sz w:val="24"/>
          <w:szCs w:val="24"/>
        </w:rPr>
        <w:t>that from the outset</w:t>
      </w:r>
      <w:r w:rsidR="00744241" w:rsidRPr="00EC6853">
        <w:rPr>
          <w:rFonts w:cstheme="minorHAnsi"/>
          <w:sz w:val="24"/>
          <w:szCs w:val="24"/>
        </w:rPr>
        <w:t xml:space="preserve"> a new </w:t>
      </w:r>
      <w:r w:rsidR="00F54E9F">
        <w:rPr>
          <w:rFonts w:cstheme="minorHAnsi"/>
          <w:sz w:val="24"/>
          <w:szCs w:val="24"/>
        </w:rPr>
        <w:t>S</w:t>
      </w:r>
      <w:r w:rsidR="00744241" w:rsidRPr="00EC6853">
        <w:rPr>
          <w:rFonts w:cstheme="minorHAnsi"/>
          <w:sz w:val="24"/>
          <w:szCs w:val="24"/>
        </w:rPr>
        <w:t xml:space="preserve">tate complies with </w:t>
      </w:r>
      <w:r w:rsidR="00744241">
        <w:rPr>
          <w:rFonts w:cstheme="minorHAnsi"/>
          <w:sz w:val="24"/>
          <w:szCs w:val="24"/>
        </w:rPr>
        <w:t>international law</w:t>
      </w:r>
      <w:r w:rsidR="00744241" w:rsidRPr="00EC6853">
        <w:rPr>
          <w:rFonts w:cstheme="minorHAnsi"/>
          <w:sz w:val="24"/>
          <w:szCs w:val="24"/>
        </w:rPr>
        <w:t>.</w:t>
      </w:r>
      <w:r w:rsidR="00744241" w:rsidRPr="00EC6853">
        <w:rPr>
          <w:rStyle w:val="FootnoteReference"/>
          <w:rFonts w:cstheme="minorHAnsi"/>
          <w:sz w:val="24"/>
          <w:szCs w:val="24"/>
        </w:rPr>
        <w:footnoteReference w:id="132"/>
      </w:r>
      <w:r w:rsidR="00744241">
        <w:rPr>
          <w:rFonts w:cstheme="minorHAnsi"/>
          <w:sz w:val="24"/>
          <w:szCs w:val="24"/>
        </w:rPr>
        <w:t xml:space="preserve"> </w:t>
      </w:r>
      <w:r w:rsidR="00E60B71">
        <w:rPr>
          <w:rFonts w:cstheme="minorHAnsi"/>
          <w:sz w:val="24"/>
          <w:szCs w:val="24"/>
        </w:rPr>
        <w:t xml:space="preserve">As </w:t>
      </w:r>
      <w:proofErr w:type="spellStart"/>
      <w:r w:rsidR="00E60B71" w:rsidRPr="001B4EA5">
        <w:rPr>
          <w:rFonts w:cstheme="minorHAnsi"/>
          <w:sz w:val="24"/>
          <w:szCs w:val="24"/>
        </w:rPr>
        <w:t>Hillgruber</w:t>
      </w:r>
      <w:proofErr w:type="spellEnd"/>
      <w:r w:rsidR="00E60B71">
        <w:rPr>
          <w:rFonts w:cstheme="minorHAnsi"/>
          <w:sz w:val="24"/>
          <w:szCs w:val="24"/>
        </w:rPr>
        <w:t xml:space="preserve"> explains, ‘[t]he reliability of the new entity as a partner in international relations is the decisive criterion of statehood in the sense of international law’.</w:t>
      </w:r>
      <w:r w:rsidR="00E60B71">
        <w:rPr>
          <w:rStyle w:val="FootnoteReference"/>
          <w:rFonts w:cstheme="minorHAnsi"/>
          <w:sz w:val="24"/>
          <w:szCs w:val="24"/>
        </w:rPr>
        <w:footnoteReference w:id="133"/>
      </w:r>
      <w:r>
        <w:rPr>
          <w:rFonts w:cstheme="minorHAnsi"/>
          <w:sz w:val="24"/>
          <w:szCs w:val="24"/>
        </w:rPr>
        <w:t xml:space="preserve"> In other words, it is the relationship between the new entity and the ‘established’ States that is at stake. It is a question of recognition</w:t>
      </w:r>
      <w:r w:rsidR="001B4EA5">
        <w:rPr>
          <w:rStyle w:val="FootnoteReference"/>
          <w:rFonts w:cstheme="minorHAnsi"/>
          <w:sz w:val="24"/>
          <w:szCs w:val="24"/>
        </w:rPr>
        <w:footnoteReference w:id="134"/>
      </w:r>
      <w:r w:rsidR="001B4EA5">
        <w:rPr>
          <w:rFonts w:cstheme="minorHAnsi"/>
          <w:sz w:val="24"/>
          <w:szCs w:val="24"/>
        </w:rPr>
        <w:t xml:space="preserve"> </w:t>
      </w:r>
      <w:r>
        <w:rPr>
          <w:rFonts w:cstheme="minorHAnsi"/>
          <w:sz w:val="24"/>
          <w:szCs w:val="24"/>
        </w:rPr>
        <w:t>and not statehood.</w:t>
      </w:r>
      <w:r w:rsidR="00E60B71">
        <w:rPr>
          <w:rFonts w:cstheme="minorHAnsi"/>
          <w:sz w:val="24"/>
          <w:szCs w:val="24"/>
        </w:rPr>
        <w:t xml:space="preserve"> </w:t>
      </w:r>
      <w:r w:rsidR="00744241">
        <w:rPr>
          <w:rFonts w:cstheme="minorHAnsi"/>
          <w:sz w:val="24"/>
          <w:szCs w:val="24"/>
        </w:rPr>
        <w:t xml:space="preserve">Second, </w:t>
      </w:r>
      <w:r w:rsidR="007E0A2E">
        <w:rPr>
          <w:rFonts w:cstheme="minorHAnsi"/>
          <w:sz w:val="24"/>
          <w:szCs w:val="24"/>
        </w:rPr>
        <w:t xml:space="preserve">these requirements </w:t>
      </w:r>
      <w:r w:rsidR="000D693F" w:rsidRPr="00EC6853">
        <w:rPr>
          <w:rFonts w:cstheme="minorHAnsi"/>
          <w:sz w:val="24"/>
          <w:szCs w:val="24"/>
        </w:rPr>
        <w:t xml:space="preserve">relate to values deemed to be shared by </w:t>
      </w:r>
      <w:r w:rsidR="00407E6A">
        <w:rPr>
          <w:rFonts w:cstheme="minorHAnsi"/>
          <w:sz w:val="24"/>
          <w:szCs w:val="24"/>
        </w:rPr>
        <w:t>this</w:t>
      </w:r>
      <w:r w:rsidR="000D693F" w:rsidRPr="00EC6853">
        <w:rPr>
          <w:rFonts w:cstheme="minorHAnsi"/>
          <w:sz w:val="24"/>
          <w:szCs w:val="24"/>
        </w:rPr>
        <w:t xml:space="preserve"> community</w:t>
      </w:r>
      <w:r w:rsidR="00563796">
        <w:rPr>
          <w:rFonts w:cstheme="minorHAnsi"/>
          <w:sz w:val="24"/>
          <w:szCs w:val="24"/>
        </w:rPr>
        <w:t>;</w:t>
      </w:r>
      <w:r w:rsidR="004F3A52">
        <w:rPr>
          <w:rFonts w:cstheme="minorHAnsi"/>
          <w:sz w:val="24"/>
          <w:szCs w:val="24"/>
        </w:rPr>
        <w:t xml:space="preserve"> the additional criteria are</w:t>
      </w:r>
      <w:r w:rsidR="008A3AED">
        <w:rPr>
          <w:rFonts w:cstheme="minorHAnsi"/>
          <w:sz w:val="24"/>
          <w:szCs w:val="24"/>
        </w:rPr>
        <w:t xml:space="preserve"> considered to be</w:t>
      </w:r>
      <w:r w:rsidR="004F3A52">
        <w:rPr>
          <w:rFonts w:cstheme="minorHAnsi"/>
          <w:sz w:val="24"/>
          <w:szCs w:val="24"/>
        </w:rPr>
        <w:t xml:space="preserve"> of </w:t>
      </w:r>
      <w:r w:rsidR="004F3A52">
        <w:rPr>
          <w:rFonts w:cstheme="minorHAnsi"/>
          <w:i/>
          <w:iCs/>
          <w:sz w:val="24"/>
          <w:szCs w:val="24"/>
        </w:rPr>
        <w:t xml:space="preserve">jus cogens </w:t>
      </w:r>
      <w:r w:rsidR="004F3A52">
        <w:rPr>
          <w:rFonts w:cstheme="minorHAnsi"/>
          <w:sz w:val="24"/>
          <w:szCs w:val="24"/>
        </w:rPr>
        <w:t>nature and, so, creating State</w:t>
      </w:r>
      <w:r w:rsidR="00F54E9F">
        <w:rPr>
          <w:rFonts w:cstheme="minorHAnsi"/>
          <w:sz w:val="24"/>
          <w:szCs w:val="24"/>
        </w:rPr>
        <w:t>s</w:t>
      </w:r>
      <w:r w:rsidR="004F3A52">
        <w:rPr>
          <w:rFonts w:cstheme="minorHAnsi"/>
          <w:sz w:val="24"/>
          <w:szCs w:val="24"/>
        </w:rPr>
        <w:t xml:space="preserve"> in violation of such criteria means that </w:t>
      </w:r>
      <w:r w:rsidR="00F54E9F">
        <w:rPr>
          <w:rFonts w:cstheme="minorHAnsi"/>
          <w:sz w:val="24"/>
          <w:szCs w:val="24"/>
        </w:rPr>
        <w:t>they</w:t>
      </w:r>
      <w:r w:rsidR="004F3A52">
        <w:rPr>
          <w:rFonts w:cstheme="minorHAnsi"/>
          <w:sz w:val="24"/>
          <w:szCs w:val="24"/>
        </w:rPr>
        <w:t xml:space="preserve"> </w:t>
      </w:r>
      <w:r w:rsidR="00F54E9F">
        <w:rPr>
          <w:rFonts w:cstheme="minorHAnsi"/>
          <w:sz w:val="24"/>
          <w:szCs w:val="24"/>
        </w:rPr>
        <w:t>are</w:t>
      </w:r>
      <w:r w:rsidR="004F3A52">
        <w:rPr>
          <w:rFonts w:cstheme="minorHAnsi"/>
          <w:sz w:val="24"/>
          <w:szCs w:val="24"/>
        </w:rPr>
        <w:t xml:space="preserve"> illegal </w:t>
      </w:r>
      <w:r w:rsidR="004F3A52">
        <w:rPr>
          <w:rFonts w:cstheme="minorHAnsi"/>
          <w:i/>
          <w:iCs/>
          <w:sz w:val="24"/>
          <w:szCs w:val="24"/>
        </w:rPr>
        <w:t>per se</w:t>
      </w:r>
      <w:r w:rsidR="004F3A52">
        <w:rPr>
          <w:rStyle w:val="FootnoteReference"/>
          <w:rFonts w:cstheme="minorHAnsi"/>
          <w:sz w:val="24"/>
          <w:szCs w:val="24"/>
        </w:rPr>
        <w:footnoteReference w:id="135"/>
      </w:r>
      <w:r w:rsidR="008A3AED">
        <w:rPr>
          <w:rFonts w:cstheme="minorHAnsi"/>
          <w:i/>
          <w:iCs/>
          <w:sz w:val="24"/>
          <w:szCs w:val="24"/>
        </w:rPr>
        <w:t xml:space="preserve"> </w:t>
      </w:r>
      <w:r w:rsidR="008A3AED">
        <w:rPr>
          <w:rFonts w:cstheme="minorHAnsi"/>
          <w:sz w:val="24"/>
          <w:szCs w:val="24"/>
        </w:rPr>
        <w:t>or legal nullities</w:t>
      </w:r>
      <w:r w:rsidR="008A3AED">
        <w:rPr>
          <w:rStyle w:val="FootnoteReference"/>
          <w:rFonts w:cstheme="minorHAnsi"/>
          <w:sz w:val="24"/>
          <w:szCs w:val="24"/>
        </w:rPr>
        <w:footnoteReference w:id="136"/>
      </w:r>
      <w:r w:rsidR="008A3AED">
        <w:rPr>
          <w:rFonts w:cstheme="minorHAnsi"/>
          <w:i/>
          <w:iCs/>
          <w:sz w:val="24"/>
          <w:szCs w:val="24"/>
        </w:rPr>
        <w:t xml:space="preserve"> </w:t>
      </w:r>
      <w:r w:rsidR="00563796">
        <w:rPr>
          <w:rFonts w:cstheme="minorHAnsi"/>
          <w:sz w:val="24"/>
          <w:szCs w:val="24"/>
        </w:rPr>
        <w:t xml:space="preserve">as the international community </w:t>
      </w:r>
      <w:r w:rsidR="00D46867">
        <w:rPr>
          <w:rFonts w:cstheme="minorHAnsi"/>
          <w:sz w:val="24"/>
          <w:szCs w:val="24"/>
        </w:rPr>
        <w:t>asserts</w:t>
      </w:r>
      <w:r w:rsidR="00563796">
        <w:rPr>
          <w:rFonts w:cstheme="minorHAnsi"/>
          <w:sz w:val="24"/>
          <w:szCs w:val="24"/>
        </w:rPr>
        <w:t xml:space="preserve"> that they ca</w:t>
      </w:r>
      <w:r w:rsidR="00300A45">
        <w:rPr>
          <w:rFonts w:cstheme="minorHAnsi"/>
          <w:sz w:val="24"/>
          <w:szCs w:val="24"/>
        </w:rPr>
        <w:t>nnot derive a right from a wrong (</w:t>
      </w:r>
      <w:proofErr w:type="spellStart"/>
      <w:r w:rsidR="00300A45">
        <w:rPr>
          <w:rFonts w:cstheme="minorHAnsi"/>
          <w:i/>
          <w:iCs/>
          <w:sz w:val="24"/>
          <w:szCs w:val="24"/>
        </w:rPr>
        <w:t>ex injuria</w:t>
      </w:r>
      <w:proofErr w:type="spellEnd"/>
      <w:r w:rsidR="00300A45">
        <w:rPr>
          <w:rFonts w:cstheme="minorHAnsi"/>
          <w:i/>
          <w:iCs/>
          <w:sz w:val="24"/>
          <w:szCs w:val="24"/>
        </w:rPr>
        <w:t xml:space="preserve"> jus non </w:t>
      </w:r>
      <w:proofErr w:type="spellStart"/>
      <w:r w:rsidR="00300A45">
        <w:rPr>
          <w:rFonts w:cstheme="minorHAnsi"/>
          <w:i/>
          <w:iCs/>
          <w:sz w:val="24"/>
          <w:szCs w:val="24"/>
        </w:rPr>
        <w:t>oritur</w:t>
      </w:r>
      <w:proofErr w:type="spellEnd"/>
      <w:r w:rsidR="00300A45">
        <w:rPr>
          <w:rFonts w:cstheme="minorHAnsi"/>
          <w:i/>
          <w:iCs/>
          <w:sz w:val="24"/>
          <w:szCs w:val="24"/>
        </w:rPr>
        <w:t>)</w:t>
      </w:r>
      <w:r w:rsidR="008C7AD8">
        <w:rPr>
          <w:rFonts w:cstheme="minorHAnsi"/>
          <w:sz w:val="24"/>
          <w:szCs w:val="24"/>
        </w:rPr>
        <w:t>.</w:t>
      </w:r>
      <w:r w:rsidR="00300A45">
        <w:rPr>
          <w:rStyle w:val="FootnoteReference"/>
          <w:rFonts w:cstheme="minorHAnsi"/>
          <w:sz w:val="24"/>
          <w:szCs w:val="24"/>
        </w:rPr>
        <w:footnoteReference w:id="137"/>
      </w:r>
      <w:r w:rsidR="008C7AD8">
        <w:rPr>
          <w:rFonts w:cstheme="minorHAnsi"/>
          <w:sz w:val="24"/>
          <w:szCs w:val="24"/>
        </w:rPr>
        <w:t xml:space="preserve"> </w:t>
      </w:r>
      <w:r w:rsidR="007D7811">
        <w:rPr>
          <w:rFonts w:cstheme="minorHAnsi"/>
          <w:sz w:val="24"/>
          <w:szCs w:val="24"/>
        </w:rPr>
        <w:t>Again, this to some extent concerns the relationship between the entity and ‘</w:t>
      </w:r>
      <w:r w:rsidR="007D7811" w:rsidRPr="006A556B">
        <w:rPr>
          <w:rFonts w:cstheme="minorHAnsi"/>
          <w:sz w:val="24"/>
          <w:szCs w:val="24"/>
        </w:rPr>
        <w:t xml:space="preserve">established’ States. </w:t>
      </w:r>
      <w:r w:rsidR="008C7AD8" w:rsidRPr="006A556B">
        <w:rPr>
          <w:rFonts w:cstheme="minorHAnsi"/>
          <w:sz w:val="24"/>
          <w:szCs w:val="24"/>
        </w:rPr>
        <w:t xml:space="preserve">Third, </w:t>
      </w:r>
      <w:proofErr w:type="spellStart"/>
      <w:r w:rsidR="007D7811" w:rsidRPr="00387AEF">
        <w:rPr>
          <w:rFonts w:cstheme="minorHAnsi"/>
          <w:sz w:val="24"/>
          <w:szCs w:val="24"/>
        </w:rPr>
        <w:t>Gazzini</w:t>
      </w:r>
      <w:proofErr w:type="spellEnd"/>
      <w:r w:rsidR="007D7811" w:rsidRPr="006A556B">
        <w:rPr>
          <w:rFonts w:cstheme="minorHAnsi"/>
          <w:sz w:val="24"/>
          <w:szCs w:val="24"/>
        </w:rPr>
        <w:t xml:space="preserve"> reminds us that ‘</w:t>
      </w:r>
      <w:r w:rsidR="007D7811" w:rsidRPr="006A556B">
        <w:rPr>
          <w:rFonts w:cstheme="minorHAnsi"/>
          <w:color w:val="000000"/>
          <w:sz w:val="24"/>
          <w:szCs w:val="24"/>
        </w:rPr>
        <w:t>The question of the existence of the subject must be kept separate from that of the responsibility for and consequences of violations of international law.’</w:t>
      </w:r>
      <w:r w:rsidR="007D7811" w:rsidRPr="006A556B">
        <w:rPr>
          <w:rStyle w:val="FootnoteReference"/>
          <w:rFonts w:cstheme="minorHAnsi"/>
          <w:sz w:val="24"/>
          <w:szCs w:val="24"/>
        </w:rPr>
        <w:footnoteReference w:id="138"/>
      </w:r>
      <w:r w:rsidR="007D7811" w:rsidRPr="006A556B">
        <w:rPr>
          <w:rFonts w:cstheme="minorHAnsi"/>
          <w:color w:val="000000"/>
          <w:sz w:val="24"/>
          <w:szCs w:val="24"/>
        </w:rPr>
        <w:t xml:space="preserve"> Otherwise, the purpose of international law, that to regulate the relationship between independent entities, is jeopardised. </w:t>
      </w:r>
      <w:r w:rsidR="006A556B" w:rsidRPr="006A556B">
        <w:rPr>
          <w:rFonts w:cstheme="minorHAnsi"/>
          <w:color w:val="000000"/>
          <w:sz w:val="24"/>
          <w:szCs w:val="24"/>
        </w:rPr>
        <w:t xml:space="preserve">Fourth, </w:t>
      </w:r>
      <w:r w:rsidR="008C7AD8" w:rsidRPr="006A556B">
        <w:rPr>
          <w:rFonts w:cstheme="minorHAnsi"/>
          <w:sz w:val="24"/>
          <w:szCs w:val="24"/>
        </w:rPr>
        <w:t>a</w:t>
      </w:r>
      <w:r w:rsidR="000D693F" w:rsidRPr="006A556B">
        <w:rPr>
          <w:rFonts w:cstheme="minorHAnsi"/>
          <w:sz w:val="24"/>
          <w:szCs w:val="24"/>
        </w:rPr>
        <w:t>lthough one might agree that it is imperative for such values to be taken into account</w:t>
      </w:r>
      <w:r w:rsidR="00744241" w:rsidRPr="006A556B">
        <w:rPr>
          <w:rFonts w:cstheme="minorHAnsi"/>
          <w:sz w:val="24"/>
          <w:szCs w:val="24"/>
        </w:rPr>
        <w:t>, no agreement can be discerned on what t</w:t>
      </w:r>
      <w:r w:rsidR="000D693F" w:rsidRPr="006A556B">
        <w:rPr>
          <w:rFonts w:cstheme="minorHAnsi"/>
          <w:sz w:val="24"/>
          <w:szCs w:val="24"/>
        </w:rPr>
        <w:t>hese values or elements are.</w:t>
      </w:r>
      <w:r w:rsidR="000D693F" w:rsidRPr="006A556B">
        <w:rPr>
          <w:rStyle w:val="FootnoteReference"/>
          <w:rFonts w:cstheme="minorHAnsi"/>
          <w:sz w:val="24"/>
          <w:szCs w:val="24"/>
        </w:rPr>
        <w:footnoteReference w:id="139"/>
      </w:r>
      <w:r w:rsidR="008C7AD8" w:rsidRPr="006A556B">
        <w:rPr>
          <w:rFonts w:cstheme="minorHAnsi"/>
          <w:sz w:val="24"/>
          <w:szCs w:val="24"/>
        </w:rPr>
        <w:t xml:space="preserve"> The ones most commonly</w:t>
      </w:r>
      <w:r w:rsidR="008C7AD8" w:rsidRPr="00EC6853">
        <w:rPr>
          <w:rFonts w:cstheme="minorHAnsi"/>
          <w:sz w:val="24"/>
          <w:szCs w:val="24"/>
        </w:rPr>
        <w:t xml:space="preserve"> referred to in academic literature and found in the practice of </w:t>
      </w:r>
      <w:r w:rsidR="00F54E9F">
        <w:rPr>
          <w:rFonts w:cstheme="minorHAnsi"/>
          <w:sz w:val="24"/>
          <w:szCs w:val="24"/>
        </w:rPr>
        <w:t>S</w:t>
      </w:r>
      <w:r w:rsidR="008C7AD8" w:rsidRPr="00EC6853">
        <w:rPr>
          <w:rFonts w:cstheme="minorHAnsi"/>
          <w:sz w:val="24"/>
          <w:szCs w:val="24"/>
        </w:rPr>
        <w:t xml:space="preserve">tates are that an entity cannot become a </w:t>
      </w:r>
      <w:r w:rsidR="00F54E9F">
        <w:rPr>
          <w:rFonts w:cstheme="minorHAnsi"/>
          <w:sz w:val="24"/>
          <w:szCs w:val="24"/>
        </w:rPr>
        <w:t>S</w:t>
      </w:r>
      <w:r w:rsidR="008C7AD8" w:rsidRPr="00EC6853">
        <w:rPr>
          <w:rFonts w:cstheme="minorHAnsi"/>
          <w:sz w:val="24"/>
          <w:szCs w:val="24"/>
        </w:rPr>
        <w:t xml:space="preserve">tate if 1) it has been created in violation of the right of self-determination, 2) has violated the territorial integrity of the </w:t>
      </w:r>
      <w:r w:rsidR="00F54E9F">
        <w:rPr>
          <w:rFonts w:cstheme="minorHAnsi"/>
          <w:sz w:val="24"/>
          <w:szCs w:val="24"/>
        </w:rPr>
        <w:t>S</w:t>
      </w:r>
      <w:r w:rsidR="008C7AD8" w:rsidRPr="00EC6853">
        <w:rPr>
          <w:rFonts w:cstheme="minorHAnsi"/>
          <w:sz w:val="24"/>
          <w:szCs w:val="24"/>
        </w:rPr>
        <w:t xml:space="preserve">tate from which it claims secession, </w:t>
      </w:r>
      <w:r w:rsidR="00387AEF">
        <w:rPr>
          <w:rFonts w:cstheme="minorHAnsi"/>
          <w:sz w:val="24"/>
          <w:szCs w:val="24"/>
        </w:rPr>
        <w:t xml:space="preserve">or </w:t>
      </w:r>
      <w:r w:rsidR="008C7AD8" w:rsidRPr="00EC6853">
        <w:rPr>
          <w:rFonts w:cstheme="minorHAnsi"/>
          <w:sz w:val="24"/>
          <w:szCs w:val="24"/>
        </w:rPr>
        <w:t>3) it has been created by the use of force.</w:t>
      </w:r>
      <w:r w:rsidR="001E4136">
        <w:rPr>
          <w:rStyle w:val="FootnoteReference"/>
          <w:rFonts w:cstheme="minorHAnsi"/>
          <w:sz w:val="24"/>
          <w:szCs w:val="24"/>
        </w:rPr>
        <w:footnoteReference w:id="140"/>
      </w:r>
      <w:r w:rsidR="00744241">
        <w:rPr>
          <w:rFonts w:cstheme="minorHAnsi"/>
          <w:sz w:val="24"/>
          <w:szCs w:val="24"/>
        </w:rPr>
        <w:t xml:space="preserve"> </w:t>
      </w:r>
      <w:r w:rsidR="006A556B">
        <w:rPr>
          <w:rFonts w:cstheme="minorHAnsi"/>
          <w:sz w:val="24"/>
          <w:szCs w:val="24"/>
        </w:rPr>
        <w:t>Fifth, u</w:t>
      </w:r>
      <w:r w:rsidR="00946DBD">
        <w:rPr>
          <w:rFonts w:cstheme="minorHAnsi"/>
          <w:sz w:val="24"/>
          <w:szCs w:val="24"/>
        </w:rPr>
        <w:t xml:space="preserve">nlike the Montevideo </w:t>
      </w:r>
      <w:r w:rsidR="00946DBD">
        <w:rPr>
          <w:rFonts w:cstheme="minorHAnsi"/>
          <w:sz w:val="24"/>
          <w:szCs w:val="24"/>
        </w:rPr>
        <w:lastRenderedPageBreak/>
        <w:t>requirements that need to be fulfilled, these elements in fact prevent an entity from being considered a State: ‘[t]he underlying idea behind the concept is that an illegally created entity cannot become a State’.</w:t>
      </w:r>
      <w:r w:rsidR="00946DBD">
        <w:rPr>
          <w:rStyle w:val="FootnoteReference"/>
          <w:rFonts w:cstheme="minorHAnsi"/>
          <w:sz w:val="24"/>
          <w:szCs w:val="24"/>
        </w:rPr>
        <w:footnoteReference w:id="141"/>
      </w:r>
      <w:r w:rsidR="00946DBD">
        <w:rPr>
          <w:rFonts w:cstheme="minorHAnsi"/>
          <w:sz w:val="24"/>
          <w:szCs w:val="24"/>
        </w:rPr>
        <w:t xml:space="preserve"> </w:t>
      </w:r>
      <w:r w:rsidR="006A556B">
        <w:rPr>
          <w:rFonts w:cstheme="minorHAnsi"/>
          <w:sz w:val="24"/>
          <w:szCs w:val="24"/>
        </w:rPr>
        <w:t xml:space="preserve">Again, this deals with recognition and not statehood. </w:t>
      </w:r>
    </w:p>
    <w:p w14:paraId="7CB5654D" w14:textId="01B83659" w:rsidR="00E97EEB" w:rsidRDefault="006A556B" w:rsidP="009B7C6E">
      <w:pPr>
        <w:spacing w:after="0" w:line="240" w:lineRule="auto"/>
        <w:jc w:val="both"/>
        <w:rPr>
          <w:rFonts w:cstheme="minorHAnsi"/>
          <w:sz w:val="24"/>
          <w:szCs w:val="24"/>
        </w:rPr>
      </w:pPr>
      <w:proofErr w:type="spellStart"/>
      <w:r w:rsidRPr="00387AEF">
        <w:rPr>
          <w:rFonts w:cstheme="minorHAnsi"/>
          <w:sz w:val="24"/>
          <w:szCs w:val="24"/>
        </w:rPr>
        <w:t>Sterio</w:t>
      </w:r>
      <w:proofErr w:type="spellEnd"/>
      <w:r w:rsidRPr="006A556B">
        <w:rPr>
          <w:rFonts w:cstheme="minorHAnsi"/>
          <w:sz w:val="24"/>
          <w:szCs w:val="24"/>
        </w:rPr>
        <w:t xml:space="preserve"> propound</w:t>
      </w:r>
      <w:r>
        <w:rPr>
          <w:rFonts w:cstheme="minorHAnsi"/>
          <w:sz w:val="24"/>
          <w:szCs w:val="24"/>
        </w:rPr>
        <w:t xml:space="preserve">s an alternative view: </w:t>
      </w:r>
      <w:r w:rsidR="00F02C7C" w:rsidRPr="006A556B">
        <w:rPr>
          <w:rFonts w:cstheme="minorHAnsi"/>
          <w:sz w:val="24"/>
          <w:szCs w:val="24"/>
        </w:rPr>
        <w:t>‘[t]</w:t>
      </w:r>
      <w:proofErr w:type="spellStart"/>
      <w:r w:rsidR="00F02C7C" w:rsidRPr="006A556B">
        <w:rPr>
          <w:rFonts w:cstheme="minorHAnsi"/>
          <w:sz w:val="24"/>
          <w:szCs w:val="24"/>
        </w:rPr>
        <w:t>hese</w:t>
      </w:r>
      <w:proofErr w:type="spellEnd"/>
      <w:r w:rsidR="00F02C7C" w:rsidRPr="006A556B">
        <w:rPr>
          <w:rFonts w:cstheme="minorHAnsi"/>
          <w:sz w:val="24"/>
          <w:szCs w:val="24"/>
        </w:rPr>
        <w:t xml:space="preserve"> additional criteria are in reality subparts of the fourth pillar of statehood, the capacity to enter into relations’.</w:t>
      </w:r>
      <w:r w:rsidR="00F02C7C" w:rsidRPr="006A556B">
        <w:rPr>
          <w:rStyle w:val="FootnoteReference"/>
          <w:rFonts w:cstheme="minorHAnsi"/>
          <w:sz w:val="24"/>
          <w:szCs w:val="24"/>
        </w:rPr>
        <w:footnoteReference w:id="142"/>
      </w:r>
      <w:r w:rsidRPr="006A556B">
        <w:rPr>
          <w:rFonts w:cstheme="minorHAnsi"/>
          <w:i/>
          <w:iCs/>
          <w:sz w:val="24"/>
          <w:szCs w:val="24"/>
        </w:rPr>
        <w:t xml:space="preserve"> </w:t>
      </w:r>
      <w:r w:rsidRPr="006A556B">
        <w:rPr>
          <w:rFonts w:cstheme="minorHAnsi"/>
          <w:sz w:val="24"/>
          <w:szCs w:val="24"/>
        </w:rPr>
        <w:t xml:space="preserve">Her criteria are slightly different from the ones usually </w:t>
      </w:r>
      <w:r w:rsidR="00E97EEB">
        <w:rPr>
          <w:rFonts w:cstheme="minorHAnsi"/>
          <w:sz w:val="24"/>
          <w:szCs w:val="24"/>
        </w:rPr>
        <w:t>enunciated</w:t>
      </w:r>
      <w:r w:rsidRPr="006A556B">
        <w:rPr>
          <w:rFonts w:cstheme="minorHAnsi"/>
          <w:sz w:val="24"/>
          <w:szCs w:val="24"/>
        </w:rPr>
        <w:t xml:space="preserve"> by scholars. She refers to ‘the need for recognition by both regional partners, as well as the most powerful states […]; a demonstrated respect for human/minority rights; and a commitment to participate in international organizations, and to abide by a set world order’.</w:t>
      </w:r>
      <w:r w:rsidR="00387AEF" w:rsidRPr="006A556B">
        <w:rPr>
          <w:rStyle w:val="FootnoteReference"/>
          <w:rFonts w:cstheme="minorHAnsi"/>
          <w:sz w:val="24"/>
          <w:szCs w:val="24"/>
        </w:rPr>
        <w:footnoteReference w:id="143"/>
      </w:r>
    </w:p>
    <w:p w14:paraId="196FAA9C" w14:textId="58C59C9A" w:rsidR="00D3388F" w:rsidRPr="00E16B89" w:rsidRDefault="00E97EEB" w:rsidP="009B7C6E">
      <w:pPr>
        <w:spacing w:after="0" w:line="240" w:lineRule="auto"/>
        <w:jc w:val="both"/>
        <w:rPr>
          <w:rFonts w:cstheme="minorHAnsi"/>
          <w:i/>
          <w:iCs/>
          <w:sz w:val="24"/>
          <w:szCs w:val="24"/>
        </w:rPr>
      </w:pPr>
      <w:r>
        <w:rPr>
          <w:rFonts w:cstheme="minorHAnsi"/>
          <w:sz w:val="24"/>
          <w:szCs w:val="24"/>
        </w:rPr>
        <w:t>Overall, w</w:t>
      </w:r>
      <w:r w:rsidR="006A556B">
        <w:rPr>
          <w:rFonts w:cstheme="minorHAnsi"/>
          <w:sz w:val="24"/>
          <w:szCs w:val="24"/>
        </w:rPr>
        <w:t>hilst these elements are not imperative for statehood purposes, they are for recognition purposes and thus crucial for entities seceding from their parent State.</w:t>
      </w:r>
    </w:p>
    <w:p w14:paraId="5DD72EA7" w14:textId="19BEC254" w:rsidR="00D3388F" w:rsidRDefault="00D3388F" w:rsidP="00387AEF">
      <w:pPr>
        <w:spacing w:after="0" w:line="240" w:lineRule="auto"/>
        <w:jc w:val="both"/>
        <w:rPr>
          <w:rFonts w:cstheme="minorHAnsi"/>
          <w:sz w:val="24"/>
          <w:szCs w:val="24"/>
        </w:rPr>
      </w:pPr>
      <w:r>
        <w:rPr>
          <w:rFonts w:cstheme="minorHAnsi"/>
          <w:sz w:val="24"/>
          <w:szCs w:val="24"/>
        </w:rPr>
        <w:t>In relation to Abkhazia, South Ossetia, Transnistria, and Nagorno-Karabakh the principles they have transgressed include the prohibition on the use of force and the principle of territorial integrity</w:t>
      </w:r>
      <w:r w:rsidR="00C23C5C">
        <w:rPr>
          <w:rFonts w:cstheme="minorHAnsi"/>
          <w:sz w:val="24"/>
          <w:szCs w:val="24"/>
        </w:rPr>
        <w:t>.</w:t>
      </w:r>
      <w:r w:rsidR="00387AEF">
        <w:rPr>
          <w:rFonts w:cstheme="minorHAnsi"/>
          <w:sz w:val="24"/>
          <w:szCs w:val="24"/>
        </w:rPr>
        <w:t xml:space="preserve"> Their right </w:t>
      </w:r>
      <w:r w:rsidR="005B5A89">
        <w:rPr>
          <w:rFonts w:cstheme="minorHAnsi"/>
          <w:sz w:val="24"/>
          <w:szCs w:val="24"/>
        </w:rPr>
        <w:t>to</w:t>
      </w:r>
      <w:r w:rsidR="00387AEF">
        <w:rPr>
          <w:rFonts w:cstheme="minorHAnsi"/>
          <w:sz w:val="24"/>
          <w:szCs w:val="24"/>
        </w:rPr>
        <w:t xml:space="preserve"> self-determination </w:t>
      </w:r>
      <w:r w:rsidR="005B5A89">
        <w:rPr>
          <w:rFonts w:cstheme="minorHAnsi"/>
          <w:sz w:val="24"/>
          <w:szCs w:val="24"/>
        </w:rPr>
        <w:t>is scrutinised in depth in Section 3.</w:t>
      </w:r>
    </w:p>
    <w:p w14:paraId="3E032066" w14:textId="2325A917" w:rsidR="008C7AD8" w:rsidRDefault="008C7AD8" w:rsidP="009B7C6E">
      <w:pPr>
        <w:spacing w:after="0" w:line="240" w:lineRule="auto"/>
        <w:jc w:val="both"/>
        <w:rPr>
          <w:rFonts w:cstheme="minorHAnsi"/>
          <w:sz w:val="24"/>
          <w:szCs w:val="24"/>
        </w:rPr>
      </w:pPr>
    </w:p>
    <w:p w14:paraId="16E8D6C1" w14:textId="50A19120" w:rsidR="00F1457E" w:rsidRPr="00C23C5C" w:rsidRDefault="00706665" w:rsidP="00C23C5C">
      <w:pPr>
        <w:pStyle w:val="Heading2"/>
      </w:pPr>
      <w:r>
        <w:t xml:space="preserve">2.2. </w:t>
      </w:r>
      <w:r w:rsidR="00F1457E" w:rsidRPr="00C23C5C">
        <w:t>Unlawful Use of Force</w:t>
      </w:r>
    </w:p>
    <w:p w14:paraId="354EC0B5" w14:textId="46A75D1B" w:rsidR="00D06DD8" w:rsidRPr="00450F99" w:rsidRDefault="00FB6916" w:rsidP="009B7C6E">
      <w:pPr>
        <w:spacing w:after="0" w:line="240" w:lineRule="auto"/>
        <w:jc w:val="both"/>
        <w:rPr>
          <w:rFonts w:cstheme="minorHAnsi"/>
          <w:sz w:val="24"/>
          <w:szCs w:val="24"/>
        </w:rPr>
      </w:pPr>
      <w:r>
        <w:rPr>
          <w:rFonts w:cstheme="minorHAnsi"/>
          <w:sz w:val="24"/>
          <w:szCs w:val="24"/>
        </w:rPr>
        <w:t xml:space="preserve">One of the </w:t>
      </w:r>
      <w:r w:rsidR="005A26DD">
        <w:rPr>
          <w:rFonts w:cstheme="minorHAnsi"/>
          <w:sz w:val="24"/>
          <w:szCs w:val="24"/>
        </w:rPr>
        <w:t>main</w:t>
      </w:r>
      <w:r>
        <w:rPr>
          <w:rFonts w:cstheme="minorHAnsi"/>
          <w:sz w:val="24"/>
          <w:szCs w:val="24"/>
        </w:rPr>
        <w:t xml:space="preserve"> international law principles is the prohibition of the use of force. </w:t>
      </w:r>
      <w:r w:rsidR="00D06DD8">
        <w:rPr>
          <w:rFonts w:cstheme="minorHAnsi"/>
          <w:sz w:val="24"/>
          <w:szCs w:val="24"/>
        </w:rPr>
        <w:t xml:space="preserve">This principle, enshrined in Article 2(4) UN Charter, covers not only the actual use of force but also the threat of the use of force aimed at the territorial integrity of the State. </w:t>
      </w:r>
      <w:r w:rsidR="000F3F32">
        <w:rPr>
          <w:rFonts w:cstheme="minorHAnsi"/>
          <w:sz w:val="24"/>
          <w:szCs w:val="24"/>
        </w:rPr>
        <w:t xml:space="preserve">Whilst the prohibition of the use of force is often deemed to be </w:t>
      </w:r>
      <w:r>
        <w:rPr>
          <w:rFonts w:cstheme="minorHAnsi"/>
          <w:sz w:val="24"/>
          <w:szCs w:val="24"/>
        </w:rPr>
        <w:t xml:space="preserve">of </w:t>
      </w:r>
      <w:r>
        <w:rPr>
          <w:rFonts w:cstheme="minorHAnsi"/>
          <w:i/>
          <w:iCs/>
          <w:sz w:val="24"/>
          <w:szCs w:val="24"/>
        </w:rPr>
        <w:t xml:space="preserve">jus cogens </w:t>
      </w:r>
      <w:r>
        <w:rPr>
          <w:rFonts w:cstheme="minorHAnsi"/>
          <w:sz w:val="24"/>
          <w:szCs w:val="24"/>
        </w:rPr>
        <w:t>nature,</w:t>
      </w:r>
      <w:r w:rsidR="001E5A37">
        <w:rPr>
          <w:rStyle w:val="FootnoteReference"/>
          <w:rFonts w:cstheme="minorHAnsi"/>
          <w:sz w:val="24"/>
          <w:szCs w:val="24"/>
        </w:rPr>
        <w:footnoteReference w:id="144"/>
      </w:r>
      <w:r>
        <w:rPr>
          <w:rFonts w:cstheme="minorHAnsi"/>
          <w:sz w:val="24"/>
          <w:szCs w:val="24"/>
        </w:rPr>
        <w:t xml:space="preserve"> </w:t>
      </w:r>
      <w:r w:rsidR="00450F99">
        <w:rPr>
          <w:rFonts w:cstheme="minorHAnsi"/>
          <w:sz w:val="24"/>
          <w:szCs w:val="24"/>
        </w:rPr>
        <w:t>some scholars such as Green disagree</w:t>
      </w:r>
      <w:r w:rsidR="005B5A89">
        <w:rPr>
          <w:rFonts w:cstheme="minorHAnsi"/>
          <w:sz w:val="24"/>
          <w:szCs w:val="24"/>
        </w:rPr>
        <w:t xml:space="preserve">, offering a more nuanced </w:t>
      </w:r>
      <w:r w:rsidR="00450F99">
        <w:rPr>
          <w:rStyle w:val="FootnoteReference"/>
          <w:rFonts w:cstheme="minorHAnsi"/>
          <w:sz w:val="24"/>
          <w:szCs w:val="24"/>
        </w:rPr>
        <w:footnoteReference w:id="145"/>
      </w:r>
      <w:r w:rsidR="00450F99">
        <w:rPr>
          <w:rFonts w:cstheme="minorHAnsi"/>
          <w:sz w:val="24"/>
          <w:szCs w:val="24"/>
        </w:rPr>
        <w:t xml:space="preserve"> Moreover,</w:t>
      </w:r>
      <w:r w:rsidR="00450F99">
        <w:rPr>
          <w:sz w:val="24"/>
          <w:szCs w:val="24"/>
        </w:rPr>
        <w:t xml:space="preserve"> </w:t>
      </w:r>
      <w:r w:rsidR="000F3F32">
        <w:rPr>
          <w:rFonts w:cstheme="minorHAnsi"/>
          <w:sz w:val="24"/>
          <w:szCs w:val="24"/>
        </w:rPr>
        <w:t xml:space="preserve">the latest work of the </w:t>
      </w:r>
      <w:r w:rsidR="000F3F32" w:rsidRPr="00450F99">
        <w:rPr>
          <w:rFonts w:cstheme="minorHAnsi"/>
          <w:sz w:val="24"/>
          <w:szCs w:val="24"/>
        </w:rPr>
        <w:t xml:space="preserve">International Law Commission only refers to ‘the prohibition of aggression’ which is of a higher threshold than the prohibition of the use of force as an example of </w:t>
      </w:r>
      <w:r w:rsidR="005B5A89">
        <w:rPr>
          <w:rFonts w:cstheme="minorHAnsi"/>
          <w:sz w:val="24"/>
          <w:szCs w:val="24"/>
        </w:rPr>
        <w:t xml:space="preserve">a </w:t>
      </w:r>
      <w:r w:rsidR="000F3F32" w:rsidRPr="00450F99">
        <w:rPr>
          <w:rFonts w:cstheme="minorHAnsi"/>
          <w:sz w:val="24"/>
          <w:szCs w:val="24"/>
        </w:rPr>
        <w:t>peremptory norm.</w:t>
      </w:r>
      <w:r w:rsidR="000F3F32" w:rsidRPr="00450F99">
        <w:rPr>
          <w:rStyle w:val="FootnoteReference"/>
          <w:rFonts w:cstheme="minorHAnsi"/>
          <w:sz w:val="24"/>
          <w:szCs w:val="24"/>
        </w:rPr>
        <w:footnoteReference w:id="146"/>
      </w:r>
      <w:r w:rsidR="000F3F32" w:rsidRPr="00450F99">
        <w:rPr>
          <w:rFonts w:cstheme="minorHAnsi"/>
          <w:sz w:val="24"/>
          <w:szCs w:val="24"/>
        </w:rPr>
        <w:t xml:space="preserve"> </w:t>
      </w:r>
    </w:p>
    <w:p w14:paraId="09068395" w14:textId="3D73130A" w:rsidR="00E778D7" w:rsidRDefault="00FB6916" w:rsidP="009B7C6E">
      <w:pPr>
        <w:spacing w:after="0" w:line="240" w:lineRule="auto"/>
        <w:jc w:val="both"/>
        <w:rPr>
          <w:rFonts w:cstheme="minorHAnsi"/>
          <w:color w:val="000000"/>
          <w:sz w:val="24"/>
          <w:szCs w:val="24"/>
          <w:shd w:val="clear" w:color="auto" w:fill="FFFFFF"/>
        </w:rPr>
      </w:pPr>
      <w:r w:rsidRPr="00450F99">
        <w:rPr>
          <w:rFonts w:cstheme="minorHAnsi"/>
          <w:sz w:val="24"/>
          <w:szCs w:val="24"/>
        </w:rPr>
        <w:t>An entity created by the unlawful use of force cannot be recognised because it violates the prohibition.</w:t>
      </w:r>
      <w:r w:rsidR="002F3A01" w:rsidRPr="00450F99">
        <w:rPr>
          <w:rStyle w:val="FootnoteReference"/>
          <w:rFonts w:cstheme="minorHAnsi"/>
          <w:sz w:val="24"/>
          <w:szCs w:val="24"/>
        </w:rPr>
        <w:footnoteReference w:id="147"/>
      </w:r>
      <w:r w:rsidRPr="00450F99">
        <w:rPr>
          <w:rFonts w:cstheme="minorHAnsi"/>
          <w:sz w:val="24"/>
          <w:szCs w:val="24"/>
        </w:rPr>
        <w:t xml:space="preserve"> The first application of this principle in relation to the non-recognition of a </w:t>
      </w:r>
      <w:r w:rsidRPr="00450F99">
        <w:rPr>
          <w:rFonts w:cstheme="minorHAnsi"/>
          <w:i/>
          <w:iCs/>
          <w:sz w:val="24"/>
          <w:szCs w:val="24"/>
        </w:rPr>
        <w:t xml:space="preserve">de facto </w:t>
      </w:r>
      <w:r w:rsidRPr="00450F99">
        <w:rPr>
          <w:rFonts w:cstheme="minorHAnsi"/>
          <w:sz w:val="24"/>
          <w:szCs w:val="24"/>
        </w:rPr>
        <w:t>State was</w:t>
      </w:r>
      <w:r>
        <w:rPr>
          <w:rFonts w:cstheme="minorHAnsi"/>
          <w:sz w:val="24"/>
          <w:szCs w:val="24"/>
        </w:rPr>
        <w:t xml:space="preserve"> the adoption of Resolution 541 in 1983 by the</w:t>
      </w:r>
      <w:r w:rsidR="001F4177">
        <w:rPr>
          <w:rFonts w:cstheme="minorHAnsi"/>
          <w:sz w:val="24"/>
          <w:szCs w:val="24"/>
        </w:rPr>
        <w:t xml:space="preserve"> United Nations Security Council following the creation of the Turkish Republic of Northern Cyprus.</w:t>
      </w:r>
      <w:r w:rsidR="00D06DD8">
        <w:rPr>
          <w:rStyle w:val="FootnoteReference"/>
          <w:rFonts w:cstheme="minorHAnsi"/>
          <w:sz w:val="24"/>
          <w:szCs w:val="24"/>
        </w:rPr>
        <w:footnoteReference w:id="148"/>
      </w:r>
      <w:r w:rsidR="001E5A37">
        <w:rPr>
          <w:rFonts w:cstheme="minorHAnsi"/>
          <w:sz w:val="24"/>
          <w:szCs w:val="24"/>
        </w:rPr>
        <w:t xml:space="preserve"> States are thus bound to withhold recognition, whether formal or implied, of that entity because of a breach of a </w:t>
      </w:r>
      <w:r w:rsidR="001E5A37">
        <w:rPr>
          <w:rFonts w:cstheme="minorHAnsi"/>
          <w:i/>
          <w:iCs/>
          <w:sz w:val="24"/>
          <w:szCs w:val="24"/>
        </w:rPr>
        <w:t xml:space="preserve">jus cogens </w:t>
      </w:r>
      <w:r w:rsidR="001E5A37">
        <w:rPr>
          <w:rFonts w:cstheme="minorHAnsi"/>
          <w:sz w:val="24"/>
          <w:szCs w:val="24"/>
        </w:rPr>
        <w:t>norm.</w:t>
      </w:r>
      <w:r w:rsidR="001F4177">
        <w:rPr>
          <w:rFonts w:cstheme="minorHAnsi"/>
          <w:sz w:val="24"/>
          <w:szCs w:val="24"/>
        </w:rPr>
        <w:t xml:space="preserve"> </w:t>
      </w:r>
      <w:r w:rsidR="0095409B">
        <w:rPr>
          <w:rFonts w:cstheme="minorHAnsi"/>
          <w:sz w:val="24"/>
          <w:szCs w:val="24"/>
        </w:rPr>
        <w:t xml:space="preserve">This is backed by Article 41(2) of the </w:t>
      </w:r>
      <w:r w:rsidR="0095409B" w:rsidRPr="004239D0">
        <w:rPr>
          <w:rFonts w:cstheme="minorHAnsi"/>
          <w:sz w:val="24"/>
          <w:szCs w:val="24"/>
        </w:rPr>
        <w:t xml:space="preserve">Articles on </w:t>
      </w:r>
      <w:r w:rsidR="004239D0" w:rsidRPr="004239D0">
        <w:rPr>
          <w:rFonts w:cstheme="minorHAnsi"/>
          <w:sz w:val="24"/>
          <w:szCs w:val="24"/>
        </w:rPr>
        <w:t>the</w:t>
      </w:r>
      <w:r w:rsidR="0095409B" w:rsidRPr="004239D0">
        <w:rPr>
          <w:rFonts w:cstheme="minorHAnsi"/>
          <w:sz w:val="24"/>
          <w:szCs w:val="24"/>
        </w:rPr>
        <w:t xml:space="preserve"> Responsibility</w:t>
      </w:r>
      <w:r w:rsidR="004239D0" w:rsidRPr="004239D0">
        <w:rPr>
          <w:rFonts w:cstheme="minorHAnsi"/>
          <w:sz w:val="24"/>
          <w:szCs w:val="24"/>
        </w:rPr>
        <w:t xml:space="preserve"> of</w:t>
      </w:r>
      <w:r w:rsidR="004239D0">
        <w:rPr>
          <w:rFonts w:cstheme="minorHAnsi"/>
          <w:sz w:val="24"/>
          <w:szCs w:val="24"/>
        </w:rPr>
        <w:t xml:space="preserve"> States for Internationally Wrongful Acts</w:t>
      </w:r>
      <w:r w:rsidR="0095409B">
        <w:rPr>
          <w:rFonts w:cstheme="minorHAnsi"/>
          <w:sz w:val="24"/>
          <w:szCs w:val="24"/>
        </w:rPr>
        <w:t xml:space="preserve"> </w:t>
      </w:r>
      <w:r w:rsidR="00E97EEB">
        <w:rPr>
          <w:rFonts w:cstheme="minorHAnsi"/>
          <w:sz w:val="24"/>
          <w:szCs w:val="24"/>
        </w:rPr>
        <w:t>which</w:t>
      </w:r>
      <w:r w:rsidR="0095409B">
        <w:rPr>
          <w:rFonts w:cstheme="minorHAnsi"/>
          <w:sz w:val="24"/>
          <w:szCs w:val="24"/>
        </w:rPr>
        <w:t xml:space="preserve"> obliges States not to recognise as lawful a situation created by a breach of a peremptory norm</w:t>
      </w:r>
      <w:r w:rsidR="0095409B">
        <w:rPr>
          <w:rStyle w:val="FootnoteReference"/>
          <w:rFonts w:cstheme="minorHAnsi"/>
          <w:sz w:val="24"/>
          <w:szCs w:val="24"/>
        </w:rPr>
        <w:footnoteReference w:id="149"/>
      </w:r>
      <w:r w:rsidR="000F3F32">
        <w:rPr>
          <w:rFonts w:cstheme="minorHAnsi"/>
          <w:sz w:val="24"/>
          <w:szCs w:val="24"/>
        </w:rPr>
        <w:t xml:space="preserve"> and Conclusion 19(2)</w:t>
      </w:r>
      <w:r w:rsidR="00E319D3">
        <w:rPr>
          <w:rFonts w:cstheme="minorHAnsi"/>
          <w:sz w:val="24"/>
          <w:szCs w:val="24"/>
        </w:rPr>
        <w:t xml:space="preserve"> </w:t>
      </w:r>
      <w:r w:rsidR="000F3F32" w:rsidRPr="001567E0">
        <w:rPr>
          <w:rFonts w:cstheme="minorHAnsi"/>
          <w:sz w:val="24"/>
          <w:szCs w:val="24"/>
        </w:rPr>
        <w:t xml:space="preserve">of the </w:t>
      </w:r>
      <w:r w:rsidR="000F3F32" w:rsidRPr="001567E0">
        <w:rPr>
          <w:sz w:val="24"/>
          <w:szCs w:val="24"/>
        </w:rPr>
        <w:t>Draft conclusions on identification and legal consequences of peremptory norms of general international law (</w:t>
      </w:r>
      <w:r w:rsidR="000F3F32" w:rsidRPr="001567E0">
        <w:rPr>
          <w:i/>
          <w:iCs/>
          <w:sz w:val="24"/>
          <w:szCs w:val="24"/>
        </w:rPr>
        <w:t>jus cogens</w:t>
      </w:r>
      <w:r w:rsidR="000F3F32" w:rsidRPr="001567E0">
        <w:rPr>
          <w:sz w:val="24"/>
          <w:szCs w:val="24"/>
        </w:rPr>
        <w:t>).</w:t>
      </w:r>
      <w:r w:rsidR="000F3F32" w:rsidRPr="001567E0">
        <w:rPr>
          <w:rStyle w:val="FootnoteReference"/>
          <w:sz w:val="24"/>
          <w:szCs w:val="24"/>
        </w:rPr>
        <w:footnoteReference w:id="150"/>
      </w:r>
      <w:r w:rsidR="000F3F32" w:rsidRPr="001567E0">
        <w:rPr>
          <w:sz w:val="24"/>
          <w:szCs w:val="24"/>
        </w:rPr>
        <w:t xml:space="preserve"> </w:t>
      </w:r>
      <w:r w:rsidR="00E319D3" w:rsidRPr="001567E0">
        <w:rPr>
          <w:rFonts w:cstheme="minorHAnsi"/>
          <w:sz w:val="24"/>
          <w:szCs w:val="24"/>
        </w:rPr>
        <w:t xml:space="preserve">Consequently, the entity is denied the rights, competences and privileges </w:t>
      </w:r>
      <w:r w:rsidR="00E319D3" w:rsidRPr="001567E0">
        <w:rPr>
          <w:rFonts w:cstheme="minorHAnsi"/>
          <w:sz w:val="24"/>
          <w:szCs w:val="24"/>
        </w:rPr>
        <w:lastRenderedPageBreak/>
        <w:t>associated with statehood.</w:t>
      </w:r>
      <w:r w:rsidR="00E319D3" w:rsidRPr="001567E0">
        <w:rPr>
          <w:rStyle w:val="FootnoteReference"/>
          <w:rFonts w:cstheme="minorHAnsi"/>
          <w:sz w:val="24"/>
          <w:szCs w:val="24"/>
        </w:rPr>
        <w:footnoteReference w:id="151"/>
      </w:r>
      <w:r w:rsidR="00E319D3" w:rsidRPr="001567E0">
        <w:rPr>
          <w:rFonts w:cstheme="minorHAnsi"/>
          <w:sz w:val="24"/>
          <w:szCs w:val="24"/>
        </w:rPr>
        <w:t xml:space="preserve"> </w:t>
      </w:r>
      <w:r w:rsidR="001E5A37" w:rsidRPr="001567E0">
        <w:rPr>
          <w:rFonts w:cstheme="minorHAnsi"/>
          <w:color w:val="000000"/>
          <w:sz w:val="24"/>
          <w:szCs w:val="24"/>
          <w:shd w:val="clear" w:color="auto" w:fill="FFFFFF"/>
        </w:rPr>
        <w:t xml:space="preserve">Whilst it may be </w:t>
      </w:r>
      <w:r w:rsidR="009F20F1">
        <w:rPr>
          <w:rFonts w:cstheme="minorHAnsi"/>
          <w:color w:val="000000"/>
          <w:sz w:val="24"/>
          <w:szCs w:val="24"/>
          <w:shd w:val="clear" w:color="auto" w:fill="FFFFFF"/>
        </w:rPr>
        <w:t>suggested</w:t>
      </w:r>
      <w:r w:rsidR="001E5A37" w:rsidRPr="001567E0">
        <w:rPr>
          <w:rFonts w:cstheme="minorHAnsi"/>
          <w:color w:val="000000"/>
          <w:sz w:val="24"/>
          <w:szCs w:val="24"/>
          <w:shd w:val="clear" w:color="auto" w:fill="FFFFFF"/>
        </w:rPr>
        <w:t xml:space="preserve"> that such an enouncement relates</w:t>
      </w:r>
      <w:r w:rsidR="001E5A37" w:rsidRPr="001567E0">
        <w:rPr>
          <w:rFonts w:cstheme="minorHAnsi"/>
          <w:sz w:val="24"/>
          <w:szCs w:val="24"/>
        </w:rPr>
        <w:t xml:space="preserve"> to recognition and not to statehood as such, it should be stressed</w:t>
      </w:r>
      <w:r w:rsidR="0081697D">
        <w:rPr>
          <w:rFonts w:cstheme="minorHAnsi"/>
          <w:sz w:val="24"/>
          <w:szCs w:val="24"/>
        </w:rPr>
        <w:t xml:space="preserve"> that</w:t>
      </w:r>
      <w:r w:rsidR="001E5A37" w:rsidRPr="001567E0">
        <w:rPr>
          <w:rFonts w:cstheme="minorHAnsi"/>
          <w:sz w:val="24"/>
          <w:szCs w:val="24"/>
        </w:rPr>
        <w:t xml:space="preserve"> </w:t>
      </w:r>
      <w:r w:rsidR="0095409B" w:rsidRPr="001567E0">
        <w:rPr>
          <w:rFonts w:cstheme="minorHAnsi"/>
          <w:sz w:val="24"/>
          <w:szCs w:val="24"/>
        </w:rPr>
        <w:t>a wider approach has been taken in recent years. For example, i</w:t>
      </w:r>
      <w:r w:rsidR="00E778D7" w:rsidRPr="001567E0">
        <w:rPr>
          <w:rFonts w:cstheme="minorHAnsi"/>
          <w:sz w:val="24"/>
          <w:szCs w:val="24"/>
        </w:rPr>
        <w:t>n 2005, the Parliamentary Assembly of the Council</w:t>
      </w:r>
      <w:r w:rsidR="00E778D7">
        <w:rPr>
          <w:rFonts w:cstheme="minorHAnsi"/>
          <w:sz w:val="24"/>
          <w:szCs w:val="24"/>
        </w:rPr>
        <w:t xml:space="preserve"> of Europe</w:t>
      </w:r>
      <w:r w:rsidR="00E778D7" w:rsidRPr="00EC6853">
        <w:rPr>
          <w:rFonts w:cstheme="minorHAnsi"/>
          <w:sz w:val="24"/>
          <w:szCs w:val="24"/>
        </w:rPr>
        <w:t xml:space="preserve"> ‘</w:t>
      </w:r>
      <w:r w:rsidR="00E778D7" w:rsidRPr="00EC6853">
        <w:rPr>
          <w:rFonts w:cstheme="minorHAnsi"/>
          <w:color w:val="000000"/>
          <w:sz w:val="24"/>
          <w:szCs w:val="24"/>
          <w:shd w:val="clear" w:color="auto" w:fill="FFFFFF"/>
        </w:rPr>
        <w:t>reaffirm</w:t>
      </w:r>
      <w:r w:rsidR="00E778D7">
        <w:rPr>
          <w:rFonts w:cstheme="minorHAnsi"/>
          <w:color w:val="000000"/>
          <w:sz w:val="24"/>
          <w:szCs w:val="24"/>
          <w:shd w:val="clear" w:color="auto" w:fill="FFFFFF"/>
        </w:rPr>
        <w:t>[ed]</w:t>
      </w:r>
      <w:r w:rsidR="00E778D7" w:rsidRPr="00EC6853">
        <w:rPr>
          <w:rFonts w:cstheme="minorHAnsi"/>
          <w:color w:val="000000"/>
          <w:sz w:val="24"/>
          <w:szCs w:val="24"/>
          <w:shd w:val="clear" w:color="auto" w:fill="FFFFFF"/>
        </w:rPr>
        <w:t xml:space="preserve"> that independence and secession of a regional territory from a state may only be achieved through a </w:t>
      </w:r>
      <w:r w:rsidR="00E778D7" w:rsidRPr="001E5A37">
        <w:rPr>
          <w:rFonts w:cstheme="minorHAnsi"/>
          <w:i/>
          <w:iCs/>
          <w:color w:val="000000"/>
          <w:sz w:val="24"/>
          <w:szCs w:val="24"/>
          <w:shd w:val="clear" w:color="auto" w:fill="FFFFFF"/>
        </w:rPr>
        <w:t>lawful</w:t>
      </w:r>
      <w:r w:rsidR="00E778D7" w:rsidRPr="00EC6853">
        <w:rPr>
          <w:rFonts w:cstheme="minorHAnsi"/>
          <w:color w:val="000000"/>
          <w:sz w:val="24"/>
          <w:szCs w:val="24"/>
          <w:shd w:val="clear" w:color="auto" w:fill="FFFFFF"/>
        </w:rPr>
        <w:t xml:space="preserve"> and </w:t>
      </w:r>
      <w:r w:rsidR="00E778D7" w:rsidRPr="00E778D7">
        <w:rPr>
          <w:rFonts w:cstheme="minorHAnsi"/>
          <w:i/>
          <w:iCs/>
          <w:color w:val="000000"/>
          <w:sz w:val="24"/>
          <w:szCs w:val="24"/>
          <w:shd w:val="clear" w:color="auto" w:fill="FFFFFF"/>
        </w:rPr>
        <w:t>peaceful</w:t>
      </w:r>
      <w:r w:rsidR="00E778D7" w:rsidRPr="00EC6853">
        <w:rPr>
          <w:rFonts w:cstheme="minorHAnsi"/>
          <w:color w:val="000000"/>
          <w:sz w:val="24"/>
          <w:szCs w:val="24"/>
          <w:shd w:val="clear" w:color="auto" w:fill="FFFFFF"/>
        </w:rPr>
        <w:t xml:space="preserve"> process based on the democratic support of the inhabitants of such territory and </w:t>
      </w:r>
      <w:r w:rsidR="00E778D7" w:rsidRPr="00E778D7">
        <w:rPr>
          <w:rFonts w:cstheme="minorHAnsi"/>
          <w:i/>
          <w:iCs/>
          <w:color w:val="000000"/>
          <w:sz w:val="24"/>
          <w:szCs w:val="24"/>
          <w:shd w:val="clear" w:color="auto" w:fill="FFFFFF"/>
        </w:rPr>
        <w:t>not in the wake of an armed conflict</w:t>
      </w:r>
      <w:r w:rsidR="00E778D7" w:rsidRPr="00EC6853">
        <w:rPr>
          <w:rFonts w:cstheme="minorHAnsi"/>
          <w:color w:val="000000"/>
          <w:sz w:val="24"/>
          <w:szCs w:val="24"/>
          <w:shd w:val="clear" w:color="auto" w:fill="FFFFFF"/>
        </w:rPr>
        <w:t xml:space="preserve"> leading to ethnic expulsion and the de facto annexation of such territory to another state’</w:t>
      </w:r>
      <w:r w:rsidR="0095409B">
        <w:rPr>
          <w:rFonts w:cstheme="minorHAnsi"/>
          <w:color w:val="000000"/>
          <w:sz w:val="24"/>
          <w:szCs w:val="24"/>
          <w:shd w:val="clear" w:color="auto" w:fill="FFFFFF"/>
        </w:rPr>
        <w:t>,</w:t>
      </w:r>
      <w:r w:rsidR="00E778D7" w:rsidRPr="00EC6853">
        <w:rPr>
          <w:rStyle w:val="FootnoteReference"/>
          <w:rFonts w:cstheme="minorHAnsi"/>
          <w:color w:val="000000"/>
          <w:sz w:val="24"/>
          <w:szCs w:val="24"/>
          <w:shd w:val="clear" w:color="auto" w:fill="FFFFFF"/>
        </w:rPr>
        <w:footnoteReference w:id="152"/>
      </w:r>
      <w:r w:rsidR="0095409B">
        <w:rPr>
          <w:rFonts w:cstheme="minorHAnsi"/>
          <w:color w:val="000000"/>
          <w:sz w:val="24"/>
          <w:szCs w:val="24"/>
          <w:shd w:val="clear" w:color="auto" w:fill="FFFFFF"/>
        </w:rPr>
        <w:t xml:space="preserve"> thereby dropping any express reference to recognition and seemingly linking it to </w:t>
      </w:r>
      <w:r w:rsidR="00E97EEB">
        <w:rPr>
          <w:rFonts w:cstheme="minorHAnsi"/>
          <w:color w:val="000000"/>
          <w:sz w:val="24"/>
          <w:szCs w:val="24"/>
          <w:shd w:val="clear" w:color="auto" w:fill="FFFFFF"/>
        </w:rPr>
        <w:t>independence and secession</w:t>
      </w:r>
      <w:r w:rsidR="0095409B">
        <w:rPr>
          <w:rFonts w:cstheme="minorHAnsi"/>
          <w:color w:val="000000"/>
          <w:sz w:val="24"/>
          <w:szCs w:val="24"/>
          <w:shd w:val="clear" w:color="auto" w:fill="FFFFFF"/>
        </w:rPr>
        <w:t xml:space="preserve">. </w:t>
      </w:r>
      <w:r w:rsidR="009F7BB8">
        <w:rPr>
          <w:rFonts w:cstheme="minorHAnsi"/>
          <w:color w:val="000000"/>
          <w:sz w:val="24"/>
          <w:szCs w:val="24"/>
          <w:shd w:val="clear" w:color="auto" w:fill="FFFFFF"/>
        </w:rPr>
        <w:t xml:space="preserve"> </w:t>
      </w:r>
    </w:p>
    <w:p w14:paraId="35392D0A" w14:textId="6B4B1B15" w:rsidR="00C715AF" w:rsidRPr="00B54F11" w:rsidRDefault="00C715AF" w:rsidP="009B7C6E">
      <w:pPr>
        <w:spacing w:after="0" w:line="240" w:lineRule="auto"/>
        <w:jc w:val="both"/>
        <w:rPr>
          <w:rFonts w:cstheme="minorHAnsi"/>
          <w:i/>
          <w:iCs/>
          <w:color w:val="000000"/>
          <w:sz w:val="24"/>
          <w:szCs w:val="24"/>
          <w:shd w:val="clear" w:color="auto" w:fill="FFFFFF"/>
        </w:rPr>
      </w:pPr>
      <w:r>
        <w:rPr>
          <w:rFonts w:cstheme="minorHAnsi"/>
          <w:color w:val="000000"/>
          <w:sz w:val="24"/>
          <w:szCs w:val="24"/>
          <w:shd w:val="clear" w:color="auto" w:fill="FFFFFF"/>
        </w:rPr>
        <w:t xml:space="preserve">Whilst the principle undoubtedly makes sense, its strict application within the context of the creation of new States unable to secede from their </w:t>
      </w:r>
      <w:r w:rsidR="005B5A89">
        <w:rPr>
          <w:rFonts w:cstheme="minorHAnsi"/>
          <w:color w:val="000000"/>
          <w:sz w:val="24"/>
          <w:szCs w:val="24"/>
          <w:shd w:val="clear" w:color="auto" w:fill="FFFFFF"/>
        </w:rPr>
        <w:t>parent</w:t>
      </w:r>
      <w:r>
        <w:rPr>
          <w:rFonts w:cstheme="minorHAnsi"/>
          <w:color w:val="000000"/>
          <w:sz w:val="24"/>
          <w:szCs w:val="24"/>
          <w:shd w:val="clear" w:color="auto" w:fill="FFFFFF"/>
        </w:rPr>
        <w:t xml:space="preserve"> State </w:t>
      </w:r>
      <w:r w:rsidR="001E4136">
        <w:rPr>
          <w:rFonts w:cstheme="minorHAnsi"/>
          <w:color w:val="000000"/>
          <w:sz w:val="24"/>
          <w:szCs w:val="24"/>
          <w:shd w:val="clear" w:color="auto" w:fill="FFFFFF"/>
        </w:rPr>
        <w:t>might be</w:t>
      </w:r>
      <w:r>
        <w:rPr>
          <w:rFonts w:cstheme="minorHAnsi"/>
          <w:color w:val="000000"/>
          <w:sz w:val="24"/>
          <w:szCs w:val="24"/>
          <w:shd w:val="clear" w:color="auto" w:fill="FFFFFF"/>
        </w:rPr>
        <w:t xml:space="preserve"> questionable. </w:t>
      </w:r>
      <w:r w:rsidR="002E7A69">
        <w:rPr>
          <w:rFonts w:cstheme="minorHAnsi"/>
          <w:color w:val="000000"/>
          <w:sz w:val="24"/>
          <w:szCs w:val="24"/>
          <w:shd w:val="clear" w:color="auto" w:fill="FFFFFF"/>
        </w:rPr>
        <w:t>First, o</w:t>
      </w:r>
      <w:r w:rsidR="001E4136">
        <w:rPr>
          <w:rFonts w:cstheme="minorHAnsi"/>
          <w:color w:val="000000"/>
          <w:sz w:val="24"/>
          <w:szCs w:val="24"/>
          <w:shd w:val="clear" w:color="auto" w:fill="FFFFFF"/>
        </w:rPr>
        <w:t>ften,</w:t>
      </w:r>
      <w:r>
        <w:rPr>
          <w:rFonts w:cstheme="minorHAnsi"/>
          <w:color w:val="000000"/>
          <w:sz w:val="24"/>
          <w:szCs w:val="24"/>
          <w:shd w:val="clear" w:color="auto" w:fill="FFFFFF"/>
        </w:rPr>
        <w:t xml:space="preserve"> they emerge from armed conflicts, having defeated the armed forces of their </w:t>
      </w:r>
      <w:r w:rsidR="005B5A89">
        <w:rPr>
          <w:rFonts w:cstheme="minorHAnsi"/>
          <w:color w:val="000000"/>
          <w:sz w:val="24"/>
          <w:szCs w:val="24"/>
          <w:shd w:val="clear" w:color="auto" w:fill="FFFFFF"/>
        </w:rPr>
        <w:t>parent</w:t>
      </w:r>
      <w:r>
        <w:rPr>
          <w:rFonts w:cstheme="minorHAnsi"/>
          <w:color w:val="000000"/>
          <w:sz w:val="24"/>
          <w:szCs w:val="24"/>
          <w:shd w:val="clear" w:color="auto" w:fill="FFFFFF"/>
        </w:rPr>
        <w:t xml:space="preserve"> State, unwilling to let the</w:t>
      </w:r>
      <w:r w:rsidR="001E4136">
        <w:rPr>
          <w:rFonts w:cstheme="minorHAnsi"/>
          <w:color w:val="000000"/>
          <w:sz w:val="24"/>
          <w:szCs w:val="24"/>
          <w:shd w:val="clear" w:color="auto" w:fill="FFFFFF"/>
        </w:rPr>
        <w:t xml:space="preserve"> entity become independent.</w:t>
      </w:r>
      <w:r w:rsidR="00CC4780">
        <w:rPr>
          <w:rFonts w:cstheme="minorHAnsi"/>
          <w:color w:val="000000"/>
          <w:sz w:val="24"/>
          <w:szCs w:val="24"/>
          <w:shd w:val="clear" w:color="auto" w:fill="FFFFFF"/>
        </w:rPr>
        <w:t xml:space="preserve"> </w:t>
      </w:r>
      <w:r w:rsidR="002E7A69">
        <w:rPr>
          <w:rFonts w:cstheme="minorHAnsi"/>
          <w:color w:val="000000"/>
          <w:sz w:val="24"/>
          <w:szCs w:val="24"/>
          <w:shd w:val="clear" w:color="auto" w:fill="FFFFFF"/>
        </w:rPr>
        <w:t>Second, as Peters points out, it is unclear ‘</w:t>
      </w:r>
      <w:r w:rsidR="002E7A69">
        <w:rPr>
          <w:rFonts w:cstheme="minorHAnsi"/>
          <w:i/>
          <w:iCs/>
          <w:color w:val="000000"/>
          <w:sz w:val="24"/>
          <w:szCs w:val="24"/>
          <w:shd w:val="clear" w:color="auto" w:fill="FFFFFF"/>
        </w:rPr>
        <w:t xml:space="preserve">whose </w:t>
      </w:r>
      <w:r w:rsidR="002E7A69">
        <w:rPr>
          <w:rFonts w:cstheme="minorHAnsi"/>
          <w:color w:val="000000"/>
          <w:sz w:val="24"/>
          <w:szCs w:val="24"/>
          <w:shd w:val="clear" w:color="auto" w:fill="FFFFFF"/>
        </w:rPr>
        <w:t>use of force’ makes an independence declaration violative of international law.</w:t>
      </w:r>
      <w:r w:rsidR="002E7A69">
        <w:rPr>
          <w:rStyle w:val="FootnoteReference"/>
          <w:rFonts w:cstheme="minorHAnsi"/>
          <w:color w:val="000000"/>
          <w:sz w:val="24"/>
          <w:szCs w:val="24"/>
          <w:shd w:val="clear" w:color="auto" w:fill="FFFFFF"/>
        </w:rPr>
        <w:footnoteReference w:id="153"/>
      </w:r>
      <w:r w:rsidR="002E7A69">
        <w:rPr>
          <w:rFonts w:cstheme="minorHAnsi"/>
          <w:color w:val="000000"/>
          <w:sz w:val="24"/>
          <w:szCs w:val="24"/>
          <w:shd w:val="clear" w:color="auto" w:fill="FFFFFF"/>
        </w:rPr>
        <w:t xml:space="preserve"> Third, it might </w:t>
      </w:r>
      <w:r w:rsidR="00CC4780">
        <w:rPr>
          <w:rFonts w:cstheme="minorHAnsi"/>
          <w:color w:val="000000"/>
          <w:sz w:val="24"/>
          <w:szCs w:val="24"/>
          <w:shd w:val="clear" w:color="auto" w:fill="FFFFFF"/>
        </w:rPr>
        <w:t>be contended that the prohibition on the use of force only applies to States and not to non-State actors</w:t>
      </w:r>
      <w:r w:rsidR="004B3E60">
        <w:rPr>
          <w:rFonts w:cstheme="minorHAnsi"/>
          <w:color w:val="000000"/>
          <w:sz w:val="24"/>
          <w:szCs w:val="24"/>
          <w:shd w:val="clear" w:color="auto" w:fill="FFFFFF"/>
        </w:rPr>
        <w:t xml:space="preserve"> since it is enshrined in legal instruments that govern relations between States</w:t>
      </w:r>
      <w:r w:rsidR="00CC4780">
        <w:rPr>
          <w:rFonts w:cstheme="minorHAnsi"/>
          <w:color w:val="000000"/>
          <w:sz w:val="24"/>
          <w:szCs w:val="24"/>
          <w:shd w:val="clear" w:color="auto" w:fill="FFFFFF"/>
        </w:rPr>
        <w:t xml:space="preserve">. </w:t>
      </w:r>
      <w:r w:rsidR="002E7A69">
        <w:rPr>
          <w:rFonts w:cstheme="minorHAnsi"/>
          <w:color w:val="000000"/>
          <w:sz w:val="24"/>
          <w:szCs w:val="24"/>
          <w:shd w:val="clear" w:color="auto" w:fill="FFFFFF"/>
        </w:rPr>
        <w:t>Fourth</w:t>
      </w:r>
      <w:r w:rsidR="00CC4780">
        <w:rPr>
          <w:rFonts w:cstheme="minorHAnsi"/>
          <w:color w:val="000000"/>
          <w:sz w:val="24"/>
          <w:szCs w:val="24"/>
          <w:shd w:val="clear" w:color="auto" w:fill="FFFFFF"/>
        </w:rPr>
        <w:t xml:space="preserve">, since the UN Security Council Resolution was passed in the context of a </w:t>
      </w:r>
      <w:r w:rsidR="00CC4780">
        <w:rPr>
          <w:rFonts w:cstheme="minorHAnsi"/>
          <w:i/>
          <w:iCs/>
          <w:color w:val="000000"/>
          <w:sz w:val="24"/>
          <w:szCs w:val="24"/>
          <w:shd w:val="clear" w:color="auto" w:fill="FFFFFF"/>
        </w:rPr>
        <w:t xml:space="preserve">de facto </w:t>
      </w:r>
      <w:r w:rsidR="00CC4780">
        <w:rPr>
          <w:rFonts w:cstheme="minorHAnsi"/>
          <w:color w:val="000000"/>
          <w:sz w:val="24"/>
          <w:szCs w:val="24"/>
          <w:shd w:val="clear" w:color="auto" w:fill="FFFFFF"/>
        </w:rPr>
        <w:t>State being created by the use of force by a State (Turkey) it could be maintained, that the rule only applies when another State is involved (which would tally up with the previous proposition).</w:t>
      </w:r>
      <w:r w:rsidR="008171A0">
        <w:rPr>
          <w:rFonts w:cstheme="minorHAnsi"/>
          <w:color w:val="000000"/>
          <w:sz w:val="24"/>
          <w:szCs w:val="24"/>
          <w:shd w:val="clear" w:color="auto" w:fill="FFFFFF"/>
        </w:rPr>
        <w:t xml:space="preserve"> Accordingly, it is debatable whether the </w:t>
      </w:r>
      <w:r w:rsidR="00B54F11">
        <w:rPr>
          <w:rFonts w:cstheme="minorHAnsi"/>
          <w:color w:val="000000"/>
          <w:sz w:val="24"/>
          <w:szCs w:val="24"/>
          <w:shd w:val="clear" w:color="auto" w:fill="FFFFFF"/>
        </w:rPr>
        <w:t>principle</w:t>
      </w:r>
      <w:r w:rsidR="008171A0">
        <w:rPr>
          <w:rFonts w:cstheme="minorHAnsi"/>
          <w:color w:val="000000"/>
          <w:sz w:val="24"/>
          <w:szCs w:val="24"/>
          <w:shd w:val="clear" w:color="auto" w:fill="FFFFFF"/>
        </w:rPr>
        <w:t xml:space="preserve"> applies more generally. T</w:t>
      </w:r>
      <w:r w:rsidR="00B54F11">
        <w:rPr>
          <w:rFonts w:cstheme="minorHAnsi"/>
          <w:color w:val="000000"/>
          <w:sz w:val="24"/>
          <w:szCs w:val="24"/>
          <w:shd w:val="clear" w:color="auto" w:fill="FFFFFF"/>
        </w:rPr>
        <w:t>o some extent, t</w:t>
      </w:r>
      <w:r w:rsidR="008171A0">
        <w:rPr>
          <w:rFonts w:cstheme="minorHAnsi"/>
          <w:color w:val="000000"/>
          <w:sz w:val="24"/>
          <w:szCs w:val="24"/>
          <w:shd w:val="clear" w:color="auto" w:fill="FFFFFF"/>
        </w:rPr>
        <w:t>he aforementioned 2005 Resolution of the Parliamentary Assembly</w:t>
      </w:r>
      <w:r w:rsidR="00B54F11">
        <w:rPr>
          <w:rFonts w:cstheme="minorHAnsi"/>
          <w:color w:val="000000"/>
          <w:sz w:val="24"/>
          <w:szCs w:val="24"/>
          <w:shd w:val="clear" w:color="auto" w:fill="FFFFFF"/>
        </w:rPr>
        <w:t xml:space="preserve"> could confirm this interpretation as it refers to ‘an armed conflict leading to […] the de facto annexation of such territory to another state’</w:t>
      </w:r>
      <w:r w:rsidR="002E7A69">
        <w:rPr>
          <w:rFonts w:cstheme="minorHAnsi"/>
          <w:color w:val="000000"/>
          <w:sz w:val="24"/>
          <w:szCs w:val="24"/>
          <w:shd w:val="clear" w:color="auto" w:fill="FFFFFF"/>
        </w:rPr>
        <w:t xml:space="preserve"> and not to any armed conflict</w:t>
      </w:r>
      <w:r w:rsidR="00B54F11">
        <w:rPr>
          <w:rFonts w:cstheme="minorHAnsi"/>
          <w:color w:val="000000"/>
          <w:sz w:val="24"/>
          <w:szCs w:val="24"/>
          <w:shd w:val="clear" w:color="auto" w:fill="FFFFFF"/>
        </w:rPr>
        <w:t>; yet, it also stresses that the independence must be ‘achieved through a […] peaceful process’</w:t>
      </w:r>
      <w:r w:rsidR="009955E1">
        <w:rPr>
          <w:rFonts w:cstheme="minorHAnsi"/>
          <w:color w:val="000000"/>
          <w:sz w:val="24"/>
          <w:szCs w:val="24"/>
          <w:shd w:val="clear" w:color="auto" w:fill="FFFFFF"/>
        </w:rPr>
        <w:t>, thereby covering all use</w:t>
      </w:r>
      <w:r w:rsidR="00BD151A">
        <w:rPr>
          <w:rFonts w:cstheme="minorHAnsi"/>
          <w:color w:val="000000"/>
          <w:sz w:val="24"/>
          <w:szCs w:val="24"/>
          <w:shd w:val="clear" w:color="auto" w:fill="FFFFFF"/>
        </w:rPr>
        <w:t>s</w:t>
      </w:r>
      <w:r w:rsidR="009955E1">
        <w:rPr>
          <w:rFonts w:cstheme="minorHAnsi"/>
          <w:color w:val="000000"/>
          <w:sz w:val="24"/>
          <w:szCs w:val="24"/>
          <w:shd w:val="clear" w:color="auto" w:fill="FFFFFF"/>
        </w:rPr>
        <w:t xml:space="preserve"> of force.</w:t>
      </w:r>
    </w:p>
    <w:p w14:paraId="5CFA1671" w14:textId="1977CA32" w:rsidR="00AC2864" w:rsidRDefault="00F0615A" w:rsidP="000D76E0">
      <w:pPr>
        <w:spacing w:after="0" w:line="240" w:lineRule="auto"/>
        <w:jc w:val="both"/>
        <w:rPr>
          <w:rFonts w:cstheme="minorHAnsi"/>
          <w:sz w:val="24"/>
          <w:szCs w:val="24"/>
        </w:rPr>
      </w:pPr>
      <w:r>
        <w:rPr>
          <w:rFonts w:cstheme="minorHAnsi"/>
          <w:sz w:val="24"/>
          <w:szCs w:val="24"/>
        </w:rPr>
        <w:t xml:space="preserve">In relation to the four </w:t>
      </w:r>
      <w:r>
        <w:rPr>
          <w:rFonts w:cstheme="minorHAnsi"/>
          <w:i/>
          <w:iCs/>
          <w:sz w:val="24"/>
          <w:szCs w:val="24"/>
        </w:rPr>
        <w:t xml:space="preserve">de facto </w:t>
      </w:r>
      <w:r>
        <w:rPr>
          <w:rFonts w:cstheme="minorHAnsi"/>
          <w:sz w:val="24"/>
          <w:szCs w:val="24"/>
        </w:rPr>
        <w:t xml:space="preserve">States in the post-Soviet space, </w:t>
      </w:r>
      <w:r w:rsidR="00534154">
        <w:rPr>
          <w:rFonts w:cstheme="minorHAnsi"/>
          <w:sz w:val="24"/>
          <w:szCs w:val="24"/>
        </w:rPr>
        <w:t>one</w:t>
      </w:r>
      <w:r w:rsidR="00C02C4E">
        <w:rPr>
          <w:rFonts w:cstheme="minorHAnsi"/>
          <w:sz w:val="24"/>
          <w:szCs w:val="24"/>
        </w:rPr>
        <w:t xml:space="preserve"> declared </w:t>
      </w:r>
      <w:r w:rsidR="00534154">
        <w:rPr>
          <w:rFonts w:cstheme="minorHAnsi"/>
          <w:sz w:val="24"/>
          <w:szCs w:val="24"/>
        </w:rPr>
        <w:t>its</w:t>
      </w:r>
      <w:r w:rsidR="00C02C4E">
        <w:rPr>
          <w:rFonts w:cstheme="minorHAnsi"/>
          <w:sz w:val="24"/>
          <w:szCs w:val="24"/>
        </w:rPr>
        <w:t xml:space="preserve"> independence after an armed conflict</w:t>
      </w:r>
      <w:r w:rsidR="00902176">
        <w:rPr>
          <w:rFonts w:cstheme="minorHAnsi"/>
          <w:sz w:val="24"/>
          <w:szCs w:val="24"/>
        </w:rPr>
        <w:t xml:space="preserve"> </w:t>
      </w:r>
      <w:r w:rsidR="006C54EA">
        <w:rPr>
          <w:rFonts w:cstheme="minorHAnsi"/>
          <w:sz w:val="24"/>
          <w:szCs w:val="24"/>
        </w:rPr>
        <w:t>(</w:t>
      </w:r>
      <w:r w:rsidR="00254D98">
        <w:rPr>
          <w:rFonts w:cstheme="minorHAnsi"/>
          <w:sz w:val="24"/>
          <w:szCs w:val="24"/>
        </w:rPr>
        <w:t>Nagorno-Karabakh</w:t>
      </w:r>
      <w:r w:rsidR="006C54EA">
        <w:rPr>
          <w:rFonts w:cstheme="minorHAnsi"/>
          <w:sz w:val="24"/>
          <w:szCs w:val="24"/>
        </w:rPr>
        <w:t>)</w:t>
      </w:r>
      <w:r w:rsidR="005B6D0F">
        <w:rPr>
          <w:rFonts w:cstheme="minorHAnsi"/>
          <w:sz w:val="24"/>
          <w:szCs w:val="24"/>
        </w:rPr>
        <w:t xml:space="preserve"> whilst</w:t>
      </w:r>
      <w:r w:rsidR="006C54EA">
        <w:rPr>
          <w:rFonts w:cstheme="minorHAnsi"/>
          <w:sz w:val="24"/>
          <w:szCs w:val="24"/>
        </w:rPr>
        <w:t>,</w:t>
      </w:r>
      <w:r w:rsidR="005B6D0F">
        <w:rPr>
          <w:rFonts w:cstheme="minorHAnsi"/>
          <w:sz w:val="24"/>
          <w:szCs w:val="24"/>
        </w:rPr>
        <w:t xml:space="preserve"> for the</w:t>
      </w:r>
      <w:r w:rsidR="00163380">
        <w:rPr>
          <w:rFonts w:cstheme="minorHAnsi"/>
          <w:sz w:val="24"/>
          <w:szCs w:val="24"/>
        </w:rPr>
        <w:t xml:space="preserve"> other</w:t>
      </w:r>
      <w:r w:rsidR="00534154">
        <w:rPr>
          <w:rFonts w:cstheme="minorHAnsi"/>
          <w:sz w:val="24"/>
          <w:szCs w:val="24"/>
        </w:rPr>
        <w:t>s</w:t>
      </w:r>
      <w:r w:rsidR="005B6D0F">
        <w:rPr>
          <w:rFonts w:cstheme="minorHAnsi"/>
          <w:sz w:val="24"/>
          <w:szCs w:val="24"/>
        </w:rPr>
        <w:t>, t</w:t>
      </w:r>
      <w:r w:rsidR="00C02C4E">
        <w:rPr>
          <w:rFonts w:cstheme="minorHAnsi"/>
          <w:sz w:val="24"/>
          <w:szCs w:val="24"/>
        </w:rPr>
        <w:t>he conflict followed the declaration of independence</w:t>
      </w:r>
      <w:r>
        <w:rPr>
          <w:rFonts w:cstheme="minorHAnsi"/>
          <w:sz w:val="24"/>
          <w:szCs w:val="24"/>
        </w:rPr>
        <w:t xml:space="preserve">. </w:t>
      </w:r>
      <w:r w:rsidR="0017305F">
        <w:rPr>
          <w:rFonts w:cstheme="minorHAnsi"/>
          <w:sz w:val="24"/>
          <w:szCs w:val="24"/>
        </w:rPr>
        <w:t>When scrutinising the timeline, one needs to bear in mind that the Soviet Union was</w:t>
      </w:r>
      <w:r w:rsidR="00201E83">
        <w:rPr>
          <w:rFonts w:cstheme="minorHAnsi"/>
          <w:sz w:val="24"/>
          <w:szCs w:val="24"/>
        </w:rPr>
        <w:t xml:space="preserve">, as a matter of law, </w:t>
      </w:r>
      <w:r w:rsidR="0017305F">
        <w:rPr>
          <w:rFonts w:cstheme="minorHAnsi"/>
          <w:sz w:val="24"/>
          <w:szCs w:val="24"/>
        </w:rPr>
        <w:t>dissolved</w:t>
      </w:r>
      <w:r w:rsidR="00201E83">
        <w:rPr>
          <w:rFonts w:cstheme="minorHAnsi"/>
          <w:sz w:val="24"/>
          <w:szCs w:val="24"/>
        </w:rPr>
        <w:t xml:space="preserve"> </w:t>
      </w:r>
      <w:r w:rsidR="0017305F">
        <w:rPr>
          <w:rFonts w:cstheme="minorHAnsi"/>
          <w:sz w:val="24"/>
          <w:szCs w:val="24"/>
        </w:rPr>
        <w:t>on 31 December 1991</w:t>
      </w:r>
      <w:r w:rsidR="00201E83">
        <w:rPr>
          <w:rFonts w:cstheme="minorHAnsi"/>
          <w:sz w:val="24"/>
          <w:szCs w:val="24"/>
        </w:rPr>
        <w:t xml:space="preserve"> and that the home States involved in this study, i.e., Georgia, Moldova and Azerbaijan, all declared their own independence before the formal collapse of the Soviet Union, thereby further complicating legal matters</w:t>
      </w:r>
      <w:r w:rsidR="0017305F">
        <w:rPr>
          <w:rFonts w:cstheme="minorHAnsi"/>
          <w:sz w:val="24"/>
          <w:szCs w:val="24"/>
        </w:rPr>
        <w:t xml:space="preserve">. </w:t>
      </w:r>
      <w:r w:rsidR="0081697D" w:rsidRPr="00EC6853">
        <w:rPr>
          <w:rFonts w:cstheme="minorHAnsi"/>
          <w:sz w:val="24"/>
          <w:szCs w:val="24"/>
        </w:rPr>
        <w:t>On 25 August 1990</w:t>
      </w:r>
      <w:r w:rsidR="0081697D">
        <w:rPr>
          <w:rFonts w:cstheme="minorHAnsi"/>
          <w:sz w:val="24"/>
          <w:szCs w:val="24"/>
        </w:rPr>
        <w:t>, i.e., before the collapse of the Soviet Union,</w:t>
      </w:r>
      <w:r w:rsidR="0081697D" w:rsidRPr="00EC6853">
        <w:rPr>
          <w:rFonts w:cstheme="minorHAnsi"/>
          <w:sz w:val="24"/>
          <w:szCs w:val="24"/>
        </w:rPr>
        <w:t xml:space="preserve"> the Supreme Council of Abkhazia adopted a ‘Declaration of State Sovereignty’.</w:t>
      </w:r>
      <w:r w:rsidR="0081697D">
        <w:rPr>
          <w:rFonts w:cstheme="minorHAnsi"/>
          <w:sz w:val="24"/>
          <w:szCs w:val="24"/>
        </w:rPr>
        <w:t xml:space="preserve"> Then, a</w:t>
      </w:r>
      <w:r w:rsidR="00C11462">
        <w:rPr>
          <w:rFonts w:cstheme="minorHAnsi"/>
          <w:sz w:val="24"/>
          <w:szCs w:val="24"/>
        </w:rPr>
        <w:t xml:space="preserve"> month after Abkhazia declared its independence </w:t>
      </w:r>
      <w:r w:rsidR="0081697D">
        <w:rPr>
          <w:rFonts w:cstheme="minorHAnsi"/>
          <w:sz w:val="24"/>
          <w:szCs w:val="24"/>
        </w:rPr>
        <w:t>on 23</w:t>
      </w:r>
      <w:r w:rsidR="00C11462">
        <w:rPr>
          <w:rFonts w:cstheme="minorHAnsi"/>
          <w:sz w:val="24"/>
          <w:szCs w:val="24"/>
        </w:rPr>
        <w:t xml:space="preserve"> July 1992, Georgia sent troops to restore order, an operation that led to an armed conflict</w:t>
      </w:r>
      <w:r w:rsidR="00C02C4E">
        <w:rPr>
          <w:rFonts w:cstheme="minorHAnsi"/>
          <w:sz w:val="24"/>
          <w:szCs w:val="24"/>
        </w:rPr>
        <w:t xml:space="preserve"> and the withdrawal of Georgian troops</w:t>
      </w:r>
      <w:r w:rsidR="0081697D">
        <w:rPr>
          <w:rFonts w:cstheme="minorHAnsi"/>
          <w:sz w:val="24"/>
          <w:szCs w:val="24"/>
        </w:rPr>
        <w:t xml:space="preserve"> and most Georgians were forced to flee</w:t>
      </w:r>
      <w:r w:rsidR="0081697D" w:rsidRPr="00EC6853">
        <w:rPr>
          <w:rFonts w:cstheme="minorHAnsi"/>
          <w:sz w:val="24"/>
          <w:szCs w:val="24"/>
        </w:rPr>
        <w:t>.</w:t>
      </w:r>
      <w:r w:rsidR="0081697D">
        <w:rPr>
          <w:rStyle w:val="FootnoteReference"/>
          <w:rFonts w:cstheme="minorHAnsi"/>
          <w:sz w:val="24"/>
          <w:szCs w:val="24"/>
        </w:rPr>
        <w:footnoteReference w:id="154"/>
      </w:r>
      <w:r w:rsidR="00C02C4E">
        <w:rPr>
          <w:rFonts w:cstheme="minorHAnsi"/>
          <w:sz w:val="24"/>
          <w:szCs w:val="24"/>
        </w:rPr>
        <w:t xml:space="preserve"> </w:t>
      </w:r>
      <w:r w:rsidR="0081697D" w:rsidRPr="00EC6853">
        <w:rPr>
          <w:rFonts w:cstheme="minorHAnsi"/>
          <w:sz w:val="24"/>
          <w:szCs w:val="24"/>
        </w:rPr>
        <w:t>During that conflict, Russia supported the Abkhaz forces by</w:t>
      </w:r>
      <w:r w:rsidR="00F54B36">
        <w:rPr>
          <w:rFonts w:cstheme="minorHAnsi"/>
          <w:sz w:val="24"/>
          <w:szCs w:val="24"/>
        </w:rPr>
        <w:t>,</w:t>
      </w:r>
      <w:r w:rsidR="0081697D" w:rsidRPr="00EC6853">
        <w:rPr>
          <w:rFonts w:cstheme="minorHAnsi"/>
          <w:sz w:val="24"/>
          <w:szCs w:val="24"/>
        </w:rPr>
        <w:t xml:space="preserve"> e.g., providing them with weapons, attacking targets in Georgian-controlled territory, etc.</w:t>
      </w:r>
      <w:r w:rsidR="0081697D" w:rsidRPr="00EC6853">
        <w:rPr>
          <w:rStyle w:val="FootnoteReference"/>
          <w:rFonts w:cstheme="minorHAnsi"/>
          <w:sz w:val="24"/>
          <w:szCs w:val="24"/>
        </w:rPr>
        <w:footnoteReference w:id="155"/>
      </w:r>
      <w:r w:rsidR="0081697D" w:rsidRPr="00EC6853">
        <w:rPr>
          <w:rFonts w:cstheme="minorHAnsi"/>
          <w:sz w:val="24"/>
          <w:szCs w:val="24"/>
        </w:rPr>
        <w:t xml:space="preserve"> </w:t>
      </w:r>
      <w:r w:rsidR="00287C73">
        <w:rPr>
          <w:rFonts w:cstheme="minorHAnsi"/>
          <w:sz w:val="24"/>
          <w:szCs w:val="24"/>
        </w:rPr>
        <w:t xml:space="preserve">A spanner is however thrown into this timeline by Abkhazia itself </w:t>
      </w:r>
      <w:r w:rsidR="00F54B36">
        <w:rPr>
          <w:rFonts w:cstheme="minorHAnsi"/>
          <w:sz w:val="24"/>
          <w:szCs w:val="24"/>
        </w:rPr>
        <w:t xml:space="preserve">as it </w:t>
      </w:r>
      <w:r w:rsidR="00287C73">
        <w:rPr>
          <w:rFonts w:cstheme="minorHAnsi"/>
          <w:sz w:val="24"/>
          <w:szCs w:val="24"/>
        </w:rPr>
        <w:t xml:space="preserve">declares in the 12 </w:t>
      </w:r>
      <w:r w:rsidR="00287C73">
        <w:rPr>
          <w:rFonts w:cstheme="minorHAnsi"/>
          <w:sz w:val="24"/>
          <w:szCs w:val="24"/>
        </w:rPr>
        <w:lastRenderedPageBreak/>
        <w:t xml:space="preserve">October 1999 Act of </w:t>
      </w:r>
      <w:r w:rsidR="00287C73" w:rsidRPr="00287C73">
        <w:rPr>
          <w:rFonts w:cstheme="minorHAnsi"/>
          <w:sz w:val="24"/>
          <w:szCs w:val="24"/>
        </w:rPr>
        <w:t>State Independence of the Republic of Abkhazia that ‘</w:t>
      </w:r>
      <w:r w:rsidR="00287C73" w:rsidRPr="00287C73">
        <w:rPr>
          <w:rFonts w:cstheme="minorHAnsi"/>
          <w:sz w:val="24"/>
          <w:szCs w:val="24"/>
          <w:shd w:val="clear" w:color="auto" w:fill="FFFFFF"/>
        </w:rPr>
        <w:t xml:space="preserve">the subsequent </w:t>
      </w:r>
      <w:proofErr w:type="spellStart"/>
      <w:r w:rsidR="00287C73" w:rsidRPr="00287C73">
        <w:rPr>
          <w:rFonts w:cstheme="minorHAnsi"/>
          <w:sz w:val="24"/>
          <w:szCs w:val="24"/>
          <w:shd w:val="clear" w:color="auto" w:fill="FFFFFF"/>
        </w:rPr>
        <w:t>Abkhazo</w:t>
      </w:r>
      <w:proofErr w:type="spellEnd"/>
      <w:r w:rsidR="00287C73" w:rsidRPr="00287C73">
        <w:rPr>
          <w:rFonts w:cstheme="minorHAnsi"/>
          <w:sz w:val="24"/>
          <w:szCs w:val="24"/>
          <w:shd w:val="clear" w:color="auto" w:fill="FFFFFF"/>
        </w:rPr>
        <w:t>-Georgian war of 1992-1993 resulted in the independence of Abkhazia both de facto and de jure’</w:t>
      </w:r>
      <w:r w:rsidR="00287C73">
        <w:rPr>
          <w:rFonts w:cstheme="minorHAnsi"/>
          <w:sz w:val="24"/>
          <w:szCs w:val="24"/>
          <w:shd w:val="clear" w:color="auto" w:fill="FFFFFF"/>
        </w:rPr>
        <w:t>,</w:t>
      </w:r>
      <w:r w:rsidR="00287C73" w:rsidRPr="00287C73">
        <w:rPr>
          <w:rFonts w:cstheme="minorHAnsi"/>
          <w:sz w:val="24"/>
          <w:szCs w:val="24"/>
          <w:shd w:val="clear" w:color="auto" w:fill="FFFFFF"/>
        </w:rPr>
        <w:t xml:space="preserve"> </w:t>
      </w:r>
      <w:r w:rsidR="00287C73">
        <w:rPr>
          <w:rFonts w:cstheme="minorHAnsi"/>
          <w:sz w:val="24"/>
          <w:szCs w:val="24"/>
          <w:shd w:val="clear" w:color="auto" w:fill="FFFFFF"/>
        </w:rPr>
        <w:t>thereby claiming that independence was the product of an armed conflict</w:t>
      </w:r>
      <w:r w:rsidR="005E233D">
        <w:rPr>
          <w:rFonts w:cstheme="minorHAnsi"/>
          <w:sz w:val="24"/>
          <w:szCs w:val="24"/>
          <w:shd w:val="clear" w:color="auto" w:fill="FFFFFF"/>
        </w:rPr>
        <w:t xml:space="preserve"> whilst at the same time stating that its people ‘have reaffirmed</w:t>
      </w:r>
      <w:r w:rsidR="00287C73">
        <w:rPr>
          <w:rFonts w:cstheme="minorHAnsi"/>
          <w:sz w:val="24"/>
          <w:szCs w:val="24"/>
          <w:shd w:val="clear" w:color="auto" w:fill="FFFFFF"/>
        </w:rPr>
        <w:t xml:space="preserve"> </w:t>
      </w:r>
      <w:r w:rsidR="005E233D">
        <w:rPr>
          <w:rFonts w:cstheme="minorHAnsi"/>
          <w:sz w:val="24"/>
          <w:szCs w:val="24"/>
          <w:shd w:val="clear" w:color="auto" w:fill="FFFFFF"/>
        </w:rPr>
        <w:t>their determination to proceed with building a sovereign, democratic State.’</w:t>
      </w:r>
      <w:r w:rsidR="005E233D">
        <w:rPr>
          <w:rStyle w:val="FootnoteReference"/>
          <w:rFonts w:cstheme="minorHAnsi"/>
          <w:sz w:val="24"/>
          <w:szCs w:val="24"/>
        </w:rPr>
        <w:footnoteReference w:id="156"/>
      </w:r>
      <w:r w:rsidR="005E233D">
        <w:rPr>
          <w:rFonts w:cstheme="minorHAnsi"/>
          <w:sz w:val="24"/>
          <w:szCs w:val="24"/>
        </w:rPr>
        <w:t xml:space="preserve"> </w:t>
      </w:r>
    </w:p>
    <w:p w14:paraId="7015AA4C" w14:textId="75950E15" w:rsidR="00AC2864" w:rsidRDefault="00C02C4E" w:rsidP="000D76E0">
      <w:pPr>
        <w:spacing w:after="0" w:line="240" w:lineRule="auto"/>
        <w:jc w:val="both"/>
        <w:rPr>
          <w:color w:val="000000"/>
          <w:sz w:val="24"/>
          <w:szCs w:val="24"/>
          <w:shd w:val="clear" w:color="auto" w:fill="FFFFFF"/>
        </w:rPr>
      </w:pPr>
      <w:r w:rsidRPr="00287C73">
        <w:rPr>
          <w:rFonts w:cstheme="minorHAnsi"/>
          <w:sz w:val="24"/>
          <w:szCs w:val="24"/>
        </w:rPr>
        <w:t>Transnistria claimed its independence</w:t>
      </w:r>
      <w:r w:rsidR="00EC7ADF" w:rsidRPr="00287C73">
        <w:rPr>
          <w:rFonts w:cstheme="minorHAnsi"/>
          <w:sz w:val="24"/>
          <w:szCs w:val="24"/>
        </w:rPr>
        <w:t xml:space="preserve"> before any use of force. Following a referendum that lasted between December 1989 and November 1990 with 90% of the voters in favour of independence</w:t>
      </w:r>
      <w:r w:rsidR="00EC7ADF">
        <w:rPr>
          <w:rFonts w:cstheme="minorHAnsi"/>
          <w:sz w:val="24"/>
          <w:szCs w:val="24"/>
        </w:rPr>
        <w:t xml:space="preserve">, </w:t>
      </w:r>
      <w:r w:rsidR="00EC7ADF" w:rsidRPr="00D8618B">
        <w:rPr>
          <w:rFonts w:cstheme="minorHAnsi"/>
          <w:sz w:val="24"/>
          <w:szCs w:val="24"/>
        </w:rPr>
        <w:t xml:space="preserve">the Congress of </w:t>
      </w:r>
      <w:r w:rsidR="00EC7ADF">
        <w:rPr>
          <w:rFonts w:cstheme="minorHAnsi"/>
          <w:sz w:val="24"/>
          <w:szCs w:val="24"/>
        </w:rPr>
        <w:t>D</w:t>
      </w:r>
      <w:r w:rsidR="00EC7ADF" w:rsidRPr="00D8618B">
        <w:rPr>
          <w:rFonts w:cstheme="minorHAnsi"/>
          <w:sz w:val="24"/>
          <w:szCs w:val="24"/>
        </w:rPr>
        <w:t>eputies in Tiraspol declare</w:t>
      </w:r>
      <w:r w:rsidR="00EC7ADF">
        <w:rPr>
          <w:rFonts w:cstheme="minorHAnsi"/>
          <w:sz w:val="24"/>
          <w:szCs w:val="24"/>
        </w:rPr>
        <w:t>d</w:t>
      </w:r>
      <w:r w:rsidR="00EC7ADF" w:rsidRPr="00D8618B">
        <w:rPr>
          <w:rFonts w:cstheme="minorHAnsi"/>
          <w:sz w:val="24"/>
          <w:szCs w:val="24"/>
        </w:rPr>
        <w:t xml:space="preserve"> independence on 2 September 1990 </w:t>
      </w:r>
      <w:r w:rsidR="00EC7ADF">
        <w:rPr>
          <w:color w:val="000000"/>
          <w:sz w:val="24"/>
          <w:szCs w:val="24"/>
          <w:shd w:val="clear" w:color="auto" w:fill="FFFFFF"/>
        </w:rPr>
        <w:t>whilst</w:t>
      </w:r>
      <w:r w:rsidR="00EC7ADF" w:rsidRPr="00D8618B">
        <w:rPr>
          <w:color w:val="000000"/>
          <w:sz w:val="24"/>
          <w:szCs w:val="24"/>
          <w:shd w:val="clear" w:color="auto" w:fill="FFFFFF"/>
        </w:rPr>
        <w:t xml:space="preserve"> Moldova </w:t>
      </w:r>
      <w:r w:rsidR="00EC7ADF">
        <w:rPr>
          <w:color w:val="000000"/>
          <w:sz w:val="24"/>
          <w:szCs w:val="24"/>
          <w:shd w:val="clear" w:color="auto" w:fill="FFFFFF"/>
        </w:rPr>
        <w:t xml:space="preserve">was </w:t>
      </w:r>
      <w:r w:rsidR="00EC7ADF" w:rsidRPr="00D8618B">
        <w:rPr>
          <w:color w:val="000000"/>
          <w:sz w:val="24"/>
          <w:szCs w:val="24"/>
          <w:shd w:val="clear" w:color="auto" w:fill="FFFFFF"/>
        </w:rPr>
        <w:t xml:space="preserve">still part of </w:t>
      </w:r>
      <w:r w:rsidR="00EC7ADF">
        <w:rPr>
          <w:color w:val="000000"/>
          <w:sz w:val="24"/>
          <w:szCs w:val="24"/>
          <w:shd w:val="clear" w:color="auto" w:fill="FFFFFF"/>
        </w:rPr>
        <w:t xml:space="preserve">the </w:t>
      </w:r>
      <w:r w:rsidR="00EC7ADF" w:rsidRPr="00D8618B">
        <w:rPr>
          <w:color w:val="000000"/>
          <w:sz w:val="24"/>
          <w:szCs w:val="24"/>
          <w:shd w:val="clear" w:color="auto" w:fill="FFFFFF"/>
        </w:rPr>
        <w:t>Soviet Union</w:t>
      </w:r>
      <w:r w:rsidR="00EC7ADF">
        <w:rPr>
          <w:color w:val="000000"/>
          <w:sz w:val="24"/>
          <w:szCs w:val="24"/>
          <w:shd w:val="clear" w:color="auto" w:fill="FFFFFF"/>
        </w:rPr>
        <w:t xml:space="preserve">. The </w:t>
      </w:r>
      <w:r w:rsidR="00EC7ADF" w:rsidRPr="00D8618B">
        <w:rPr>
          <w:color w:val="000000"/>
          <w:sz w:val="24"/>
          <w:szCs w:val="24"/>
          <w:shd w:val="clear" w:color="auto" w:fill="FFFFFF"/>
        </w:rPr>
        <w:t xml:space="preserve">Supreme </w:t>
      </w:r>
      <w:r w:rsidR="008D4FC4">
        <w:rPr>
          <w:color w:val="000000"/>
          <w:sz w:val="24"/>
          <w:szCs w:val="24"/>
          <w:shd w:val="clear" w:color="auto" w:fill="FFFFFF"/>
        </w:rPr>
        <w:t>Council</w:t>
      </w:r>
      <w:r w:rsidR="008D4FC4" w:rsidRPr="00D8618B">
        <w:rPr>
          <w:color w:val="000000"/>
          <w:sz w:val="24"/>
          <w:szCs w:val="24"/>
          <w:shd w:val="clear" w:color="auto" w:fill="FFFFFF"/>
        </w:rPr>
        <w:t xml:space="preserve"> </w:t>
      </w:r>
      <w:r w:rsidR="00EC7ADF" w:rsidRPr="00D8618B">
        <w:rPr>
          <w:color w:val="000000"/>
          <w:sz w:val="24"/>
          <w:szCs w:val="24"/>
          <w:shd w:val="clear" w:color="auto" w:fill="FFFFFF"/>
        </w:rPr>
        <w:t>of Transnistria vote</w:t>
      </w:r>
      <w:r w:rsidR="00EC7ADF">
        <w:rPr>
          <w:color w:val="000000"/>
          <w:sz w:val="24"/>
          <w:szCs w:val="24"/>
          <w:shd w:val="clear" w:color="auto" w:fill="FFFFFF"/>
        </w:rPr>
        <w:t>d</w:t>
      </w:r>
      <w:r w:rsidR="00EC7ADF" w:rsidRPr="00D8618B">
        <w:rPr>
          <w:color w:val="000000"/>
          <w:sz w:val="24"/>
          <w:szCs w:val="24"/>
          <w:shd w:val="clear" w:color="auto" w:fill="FFFFFF"/>
        </w:rPr>
        <w:t xml:space="preserve"> to join </w:t>
      </w:r>
      <w:r w:rsidR="00EC7ADF">
        <w:rPr>
          <w:color w:val="000000"/>
          <w:sz w:val="24"/>
          <w:szCs w:val="24"/>
          <w:shd w:val="clear" w:color="auto" w:fill="FFFFFF"/>
        </w:rPr>
        <w:t xml:space="preserve">the </w:t>
      </w:r>
      <w:r w:rsidR="00201E83">
        <w:rPr>
          <w:color w:val="000000"/>
          <w:sz w:val="24"/>
          <w:szCs w:val="24"/>
          <w:shd w:val="clear" w:color="auto" w:fill="FFFFFF"/>
        </w:rPr>
        <w:t>Union of Soviet Socialist Republics (USSR)</w:t>
      </w:r>
      <w:r w:rsidR="00EC7ADF" w:rsidRPr="00D8618B">
        <w:rPr>
          <w:color w:val="000000"/>
          <w:sz w:val="24"/>
          <w:szCs w:val="24"/>
          <w:shd w:val="clear" w:color="auto" w:fill="FFFFFF"/>
        </w:rPr>
        <w:t xml:space="preserve"> on 2 September 1991</w:t>
      </w:r>
      <w:r w:rsidR="008D4FC4">
        <w:rPr>
          <w:color w:val="000000"/>
          <w:sz w:val="24"/>
          <w:szCs w:val="24"/>
          <w:shd w:val="clear" w:color="auto" w:fill="FFFFFF"/>
        </w:rPr>
        <w:t>,</w:t>
      </w:r>
      <w:r w:rsidR="00EC7ADF" w:rsidRPr="00D8618B">
        <w:rPr>
          <w:color w:val="000000"/>
          <w:sz w:val="24"/>
          <w:szCs w:val="24"/>
          <w:shd w:val="clear" w:color="auto" w:fill="FFFFFF"/>
        </w:rPr>
        <w:t xml:space="preserve"> after Moldova declare</w:t>
      </w:r>
      <w:r w:rsidR="008D4FC4">
        <w:rPr>
          <w:color w:val="000000"/>
          <w:sz w:val="24"/>
          <w:szCs w:val="24"/>
          <w:shd w:val="clear" w:color="auto" w:fill="FFFFFF"/>
        </w:rPr>
        <w:t>d</w:t>
      </w:r>
      <w:r w:rsidR="00EC7ADF" w:rsidRPr="00D8618B">
        <w:rPr>
          <w:color w:val="000000"/>
          <w:sz w:val="24"/>
          <w:szCs w:val="24"/>
          <w:shd w:val="clear" w:color="auto" w:fill="FFFFFF"/>
        </w:rPr>
        <w:t xml:space="preserve"> its independence</w:t>
      </w:r>
      <w:r w:rsidR="00EC7ADF">
        <w:rPr>
          <w:color w:val="000000"/>
          <w:sz w:val="24"/>
          <w:szCs w:val="24"/>
          <w:shd w:val="clear" w:color="auto" w:fill="FFFFFF"/>
        </w:rPr>
        <w:t xml:space="preserve"> but eventually, after a referendum carried out on 1 December 1991, declared its </w:t>
      </w:r>
      <w:r w:rsidR="00EC7ADF" w:rsidRPr="00733762">
        <w:rPr>
          <w:color w:val="000000"/>
          <w:sz w:val="24"/>
          <w:szCs w:val="24"/>
          <w:shd w:val="clear" w:color="auto" w:fill="FFFFFF"/>
        </w:rPr>
        <w:t>independence outside the Soviet Union.</w:t>
      </w:r>
      <w:r>
        <w:rPr>
          <w:rFonts w:cstheme="minorHAnsi"/>
          <w:sz w:val="24"/>
          <w:szCs w:val="24"/>
        </w:rPr>
        <w:t xml:space="preserve"> </w:t>
      </w:r>
      <w:r w:rsidR="00EC7ADF" w:rsidRPr="00733762">
        <w:rPr>
          <w:color w:val="000000"/>
          <w:sz w:val="24"/>
          <w:szCs w:val="24"/>
          <w:shd w:val="clear" w:color="auto" w:fill="FFFFFF"/>
        </w:rPr>
        <w:t>Clashes between the police and separatists and eventually paramilitary formations and professional guards ended in an armed conflict in June 1992. The Russian 14</w:t>
      </w:r>
      <w:r w:rsidR="00EC7ADF" w:rsidRPr="00733762">
        <w:rPr>
          <w:color w:val="000000"/>
          <w:sz w:val="24"/>
          <w:szCs w:val="24"/>
          <w:shd w:val="clear" w:color="auto" w:fill="FFFFFF"/>
          <w:vertAlign w:val="superscript"/>
        </w:rPr>
        <w:t>th</w:t>
      </w:r>
      <w:r w:rsidR="00EC7ADF" w:rsidRPr="00733762">
        <w:rPr>
          <w:color w:val="000000"/>
          <w:sz w:val="24"/>
          <w:szCs w:val="24"/>
          <w:shd w:val="clear" w:color="auto" w:fill="FFFFFF"/>
        </w:rPr>
        <w:t xml:space="preserve"> Army that was present in Transnistria directly or indirectly helped secessionists</w:t>
      </w:r>
      <w:r w:rsidR="00EC7ADF">
        <w:rPr>
          <w:color w:val="000000"/>
          <w:sz w:val="24"/>
          <w:szCs w:val="24"/>
          <w:shd w:val="clear" w:color="auto" w:fill="FFFFFF"/>
        </w:rPr>
        <w:t>,</w:t>
      </w:r>
      <w:r w:rsidRPr="00D8618B">
        <w:rPr>
          <w:rStyle w:val="FootnoteReference"/>
          <w:color w:val="000000"/>
          <w:sz w:val="24"/>
          <w:szCs w:val="24"/>
          <w:shd w:val="clear" w:color="auto" w:fill="FFFFFF"/>
        </w:rPr>
        <w:footnoteReference w:id="157"/>
      </w:r>
      <w:r w:rsidR="00800298">
        <w:rPr>
          <w:color w:val="000000"/>
          <w:sz w:val="24"/>
          <w:szCs w:val="24"/>
          <w:shd w:val="clear" w:color="auto" w:fill="FFFFFF"/>
        </w:rPr>
        <w:t xml:space="preserve"> providing </w:t>
      </w:r>
      <w:r w:rsidR="00800298" w:rsidRPr="00B347CF">
        <w:rPr>
          <w:sz w:val="24"/>
          <w:szCs w:val="24"/>
        </w:rPr>
        <w:t>military, economic, financial</w:t>
      </w:r>
      <w:r w:rsidR="008572AD">
        <w:rPr>
          <w:sz w:val="24"/>
          <w:szCs w:val="24"/>
        </w:rPr>
        <w:t>,</w:t>
      </w:r>
      <w:r w:rsidR="00800298" w:rsidRPr="00B347CF">
        <w:rPr>
          <w:sz w:val="24"/>
          <w:szCs w:val="24"/>
        </w:rPr>
        <w:t xml:space="preserve"> and political support.</w:t>
      </w:r>
      <w:r w:rsidR="00800298" w:rsidRPr="00800298">
        <w:rPr>
          <w:rStyle w:val="FootnoteReference"/>
          <w:sz w:val="24"/>
          <w:szCs w:val="24"/>
        </w:rPr>
        <w:t xml:space="preserve"> </w:t>
      </w:r>
      <w:r w:rsidR="00800298" w:rsidRPr="00B347CF">
        <w:rPr>
          <w:rStyle w:val="FootnoteReference"/>
          <w:sz w:val="24"/>
          <w:szCs w:val="24"/>
        </w:rPr>
        <w:footnoteReference w:id="158"/>
      </w:r>
      <w:r w:rsidR="00800298">
        <w:t xml:space="preserve"> </w:t>
      </w:r>
      <w:r>
        <w:rPr>
          <w:color w:val="000000"/>
          <w:sz w:val="24"/>
          <w:szCs w:val="24"/>
          <w:shd w:val="clear" w:color="auto" w:fill="FFFFFF"/>
        </w:rPr>
        <w:t xml:space="preserve"> </w:t>
      </w:r>
    </w:p>
    <w:p w14:paraId="62E04C14" w14:textId="427E77E3" w:rsidR="00AC2864" w:rsidRDefault="00EC7ADF" w:rsidP="000D76E0">
      <w:pPr>
        <w:spacing w:after="0" w:line="240" w:lineRule="auto"/>
        <w:jc w:val="both"/>
        <w:rPr>
          <w:rFonts w:cstheme="minorHAnsi"/>
          <w:sz w:val="24"/>
          <w:szCs w:val="24"/>
        </w:rPr>
      </w:pPr>
      <w:r>
        <w:rPr>
          <w:rFonts w:cstheme="minorHAnsi"/>
          <w:sz w:val="24"/>
          <w:szCs w:val="24"/>
        </w:rPr>
        <w:t>In November 1989</w:t>
      </w:r>
      <w:r w:rsidR="008D4FC4">
        <w:rPr>
          <w:rFonts w:cstheme="minorHAnsi"/>
          <w:sz w:val="24"/>
          <w:szCs w:val="24"/>
        </w:rPr>
        <w:t>,</w:t>
      </w:r>
      <w:r>
        <w:rPr>
          <w:rFonts w:cstheme="minorHAnsi"/>
          <w:sz w:val="24"/>
          <w:szCs w:val="24"/>
        </w:rPr>
        <w:t xml:space="preserve"> the South Ossetian Council asked Georgia to upgrade its status to that of an autonomous republic.</w:t>
      </w:r>
      <w:r>
        <w:rPr>
          <w:rStyle w:val="FootnoteReference"/>
        </w:rPr>
        <w:footnoteReference w:id="159"/>
      </w:r>
      <w:r>
        <w:rPr>
          <w:rFonts w:cstheme="minorHAnsi"/>
          <w:sz w:val="24"/>
          <w:szCs w:val="24"/>
        </w:rPr>
        <w:t xml:space="preserve"> Georgia refused to do so. </w:t>
      </w:r>
      <w:r w:rsidR="00534154">
        <w:rPr>
          <w:rFonts w:cstheme="minorHAnsi"/>
          <w:sz w:val="24"/>
          <w:szCs w:val="24"/>
        </w:rPr>
        <w:t>Then on 20 September 1990</w:t>
      </w:r>
      <w:r w:rsidR="00254D98">
        <w:rPr>
          <w:rFonts w:cstheme="minorHAnsi"/>
          <w:sz w:val="24"/>
          <w:szCs w:val="24"/>
        </w:rPr>
        <w:t>,</w:t>
      </w:r>
      <w:r w:rsidR="00534154">
        <w:rPr>
          <w:rFonts w:cstheme="minorHAnsi"/>
          <w:sz w:val="24"/>
          <w:szCs w:val="24"/>
        </w:rPr>
        <w:t xml:space="preserve"> it declared itself an independent Republic, part of the USSR.</w:t>
      </w:r>
      <w:r w:rsidR="00534154">
        <w:rPr>
          <w:rStyle w:val="FootnoteReference"/>
          <w:rFonts w:cstheme="minorHAnsi"/>
          <w:sz w:val="24"/>
          <w:szCs w:val="24"/>
        </w:rPr>
        <w:footnoteReference w:id="160"/>
      </w:r>
      <w:r w:rsidR="00534154">
        <w:rPr>
          <w:rFonts w:cstheme="minorHAnsi"/>
          <w:sz w:val="24"/>
          <w:szCs w:val="24"/>
        </w:rPr>
        <w:t xml:space="preserve"> </w:t>
      </w:r>
      <w:r>
        <w:rPr>
          <w:rFonts w:cstheme="minorHAnsi"/>
          <w:sz w:val="24"/>
          <w:szCs w:val="24"/>
        </w:rPr>
        <w:t>Following clashes between Georgians and South Ossetians and a declaration of emergency Georgian troops were deployed in December 1990.</w:t>
      </w:r>
      <w:r w:rsidR="00042EAD">
        <w:rPr>
          <w:rStyle w:val="FootnoteReference"/>
          <w:rFonts w:cstheme="minorHAnsi"/>
          <w:sz w:val="24"/>
          <w:szCs w:val="24"/>
        </w:rPr>
        <w:footnoteReference w:id="161"/>
      </w:r>
      <w:r>
        <w:rPr>
          <w:rFonts w:cstheme="minorHAnsi"/>
          <w:sz w:val="24"/>
          <w:szCs w:val="24"/>
        </w:rPr>
        <w:t xml:space="preserve"> </w:t>
      </w:r>
      <w:r w:rsidR="00F0615A">
        <w:rPr>
          <w:rFonts w:cstheme="minorHAnsi"/>
          <w:sz w:val="24"/>
          <w:szCs w:val="24"/>
        </w:rPr>
        <w:t>South Ossetia</w:t>
      </w:r>
      <w:r w:rsidR="000F780A">
        <w:rPr>
          <w:rFonts w:cstheme="minorHAnsi"/>
          <w:sz w:val="24"/>
          <w:szCs w:val="24"/>
        </w:rPr>
        <w:t xml:space="preserve"> </w:t>
      </w:r>
      <w:r w:rsidR="00F0615A">
        <w:rPr>
          <w:rFonts w:cstheme="minorHAnsi"/>
          <w:sz w:val="24"/>
          <w:szCs w:val="24"/>
        </w:rPr>
        <w:t>declared its</w:t>
      </w:r>
      <w:r w:rsidR="00534154">
        <w:rPr>
          <w:rFonts w:cstheme="minorHAnsi"/>
          <w:sz w:val="24"/>
          <w:szCs w:val="24"/>
        </w:rPr>
        <w:t xml:space="preserve"> formal</w:t>
      </w:r>
      <w:r w:rsidR="00F0615A">
        <w:rPr>
          <w:rFonts w:cstheme="minorHAnsi"/>
          <w:sz w:val="24"/>
          <w:szCs w:val="24"/>
        </w:rPr>
        <w:t xml:space="preserve"> independence </w:t>
      </w:r>
      <w:r w:rsidR="00C11462">
        <w:rPr>
          <w:rFonts w:cstheme="minorHAnsi"/>
          <w:sz w:val="24"/>
          <w:szCs w:val="24"/>
        </w:rPr>
        <w:t>in December 1991</w:t>
      </w:r>
      <w:r w:rsidR="00C2436E">
        <w:rPr>
          <w:rFonts w:cstheme="minorHAnsi"/>
          <w:sz w:val="24"/>
          <w:szCs w:val="24"/>
        </w:rPr>
        <w:t>. T</w:t>
      </w:r>
      <w:r>
        <w:rPr>
          <w:rFonts w:cstheme="minorHAnsi"/>
          <w:sz w:val="24"/>
          <w:szCs w:val="24"/>
        </w:rPr>
        <w:t>hen</w:t>
      </w:r>
      <w:r w:rsidR="00C2436E">
        <w:rPr>
          <w:rFonts w:cstheme="minorHAnsi"/>
          <w:sz w:val="24"/>
          <w:szCs w:val="24"/>
        </w:rPr>
        <w:t xml:space="preserve"> the population</w:t>
      </w:r>
      <w:r>
        <w:rPr>
          <w:rFonts w:cstheme="minorHAnsi"/>
          <w:sz w:val="24"/>
          <w:szCs w:val="24"/>
        </w:rPr>
        <w:t xml:space="preserve"> </w:t>
      </w:r>
      <w:r w:rsidR="000F780A">
        <w:rPr>
          <w:rFonts w:cstheme="minorHAnsi"/>
          <w:sz w:val="24"/>
          <w:szCs w:val="24"/>
        </w:rPr>
        <w:t xml:space="preserve">approved secession from Georgia and integration with Russia </w:t>
      </w:r>
      <w:r w:rsidR="0060439E">
        <w:rPr>
          <w:rFonts w:cstheme="minorHAnsi"/>
          <w:sz w:val="24"/>
          <w:szCs w:val="24"/>
        </w:rPr>
        <w:t>by way of</w:t>
      </w:r>
      <w:r w:rsidR="000F780A">
        <w:rPr>
          <w:rFonts w:cstheme="minorHAnsi"/>
          <w:sz w:val="24"/>
          <w:szCs w:val="24"/>
        </w:rPr>
        <w:t xml:space="preserve"> a referen</w:t>
      </w:r>
      <w:r w:rsidR="0060439E">
        <w:rPr>
          <w:rFonts w:cstheme="minorHAnsi"/>
          <w:sz w:val="24"/>
          <w:szCs w:val="24"/>
        </w:rPr>
        <w:t xml:space="preserve">dum </w:t>
      </w:r>
      <w:r w:rsidR="000F780A">
        <w:rPr>
          <w:rFonts w:cstheme="minorHAnsi"/>
          <w:sz w:val="24"/>
          <w:szCs w:val="24"/>
        </w:rPr>
        <w:t xml:space="preserve">in January 1992 </w:t>
      </w:r>
      <w:r w:rsidR="00C2436E">
        <w:rPr>
          <w:rFonts w:cstheme="minorHAnsi"/>
          <w:sz w:val="24"/>
          <w:szCs w:val="24"/>
        </w:rPr>
        <w:t>which led to the Supreme Council of the Republic of South Ossetia proclaiming its independence in May 1992.</w:t>
      </w:r>
      <w:r w:rsidR="00C2436E">
        <w:rPr>
          <w:rStyle w:val="FootnoteReference"/>
          <w:rFonts w:cstheme="minorHAnsi"/>
          <w:sz w:val="24"/>
          <w:szCs w:val="24"/>
        </w:rPr>
        <w:footnoteReference w:id="162"/>
      </w:r>
      <w:r w:rsidR="00C2436E">
        <w:rPr>
          <w:rFonts w:cstheme="minorHAnsi"/>
          <w:sz w:val="24"/>
          <w:szCs w:val="24"/>
        </w:rPr>
        <w:t xml:space="preserve"> This all took place in the midst of</w:t>
      </w:r>
      <w:r>
        <w:rPr>
          <w:rFonts w:cstheme="minorHAnsi"/>
          <w:sz w:val="24"/>
          <w:szCs w:val="24"/>
        </w:rPr>
        <w:t xml:space="preserve"> hostilities</w:t>
      </w:r>
      <w:r w:rsidR="00C2436E">
        <w:rPr>
          <w:rFonts w:cstheme="minorHAnsi"/>
          <w:sz w:val="24"/>
          <w:szCs w:val="24"/>
        </w:rPr>
        <w:t xml:space="preserve"> which</w:t>
      </w:r>
      <w:r>
        <w:rPr>
          <w:rFonts w:cstheme="minorHAnsi"/>
          <w:sz w:val="24"/>
          <w:szCs w:val="24"/>
        </w:rPr>
        <w:t xml:space="preserve"> lasted until</w:t>
      </w:r>
      <w:r w:rsidR="00042EAD">
        <w:rPr>
          <w:rFonts w:cstheme="minorHAnsi"/>
          <w:sz w:val="24"/>
          <w:szCs w:val="24"/>
        </w:rPr>
        <w:t xml:space="preserve"> </w:t>
      </w:r>
      <w:r w:rsidR="00255D12">
        <w:rPr>
          <w:rFonts w:cstheme="minorHAnsi"/>
          <w:sz w:val="24"/>
          <w:szCs w:val="24"/>
        </w:rPr>
        <w:t xml:space="preserve">the </w:t>
      </w:r>
      <w:proofErr w:type="spellStart"/>
      <w:r w:rsidR="00255D12">
        <w:rPr>
          <w:rFonts w:cstheme="minorHAnsi"/>
          <w:sz w:val="24"/>
          <w:szCs w:val="24"/>
        </w:rPr>
        <w:t>Dagomys</w:t>
      </w:r>
      <w:proofErr w:type="spellEnd"/>
      <w:r w:rsidR="00255D12">
        <w:rPr>
          <w:rFonts w:cstheme="minorHAnsi"/>
          <w:sz w:val="24"/>
          <w:szCs w:val="24"/>
        </w:rPr>
        <w:t xml:space="preserve"> peace agreement on </w:t>
      </w:r>
      <w:r w:rsidR="00042EAD">
        <w:rPr>
          <w:rFonts w:cstheme="minorHAnsi"/>
          <w:sz w:val="24"/>
          <w:szCs w:val="24"/>
        </w:rPr>
        <w:t>24</w:t>
      </w:r>
      <w:r>
        <w:rPr>
          <w:rFonts w:cstheme="minorHAnsi"/>
          <w:sz w:val="24"/>
          <w:szCs w:val="24"/>
        </w:rPr>
        <w:t xml:space="preserve"> </w:t>
      </w:r>
      <w:r w:rsidR="000F780A">
        <w:rPr>
          <w:rFonts w:cstheme="minorHAnsi"/>
          <w:sz w:val="24"/>
          <w:szCs w:val="24"/>
        </w:rPr>
        <w:t>June 1992</w:t>
      </w:r>
      <w:r w:rsidR="0060439E" w:rsidRPr="00EC7ADF">
        <w:rPr>
          <w:rFonts w:cstheme="minorHAnsi"/>
          <w:sz w:val="24"/>
          <w:szCs w:val="24"/>
        </w:rPr>
        <w:t xml:space="preserve">. </w:t>
      </w:r>
    </w:p>
    <w:p w14:paraId="4984A19B" w14:textId="0A3308AB" w:rsidR="000D76E0" w:rsidRDefault="00163380" w:rsidP="000D76E0">
      <w:pPr>
        <w:spacing w:after="0" w:line="240" w:lineRule="auto"/>
        <w:jc w:val="both"/>
        <w:rPr>
          <w:rFonts w:cstheme="minorHAnsi"/>
          <w:sz w:val="24"/>
          <w:szCs w:val="24"/>
        </w:rPr>
      </w:pPr>
      <w:r>
        <w:rPr>
          <w:rFonts w:cstheme="minorHAnsi"/>
          <w:sz w:val="24"/>
          <w:szCs w:val="24"/>
        </w:rPr>
        <w:t>Nagorno-Karabakh had been embroiled in an (armed) conflict since 1988 under the Soviet Union when it declared its independence by way of a referendum on 10 December 1991. The conflict escalated when Armenia and Azerbaijan became independent, and the Soviet Union collapsed leading to a full armed conflict that ended in a cease-fire brokered by Russia in May 1994.</w:t>
      </w:r>
      <w:r w:rsidR="000D76E0">
        <w:rPr>
          <w:rFonts w:cstheme="minorHAnsi"/>
          <w:sz w:val="24"/>
          <w:szCs w:val="24"/>
        </w:rPr>
        <w:t xml:space="preserve"> What must be stressed in this situation is the important role played by Armenia in the conflict</w:t>
      </w:r>
      <w:r w:rsidR="00D32112">
        <w:rPr>
          <w:rFonts w:cstheme="minorHAnsi"/>
          <w:sz w:val="24"/>
          <w:szCs w:val="24"/>
        </w:rPr>
        <w:t xml:space="preserve"> as it sent troops onto Azerbaijani territory in January 1992 and by mid-1992 its forces controlled the Nagorno-Karabakh and the Lachin corridor</w:t>
      </w:r>
      <w:r w:rsidR="000D76E0">
        <w:rPr>
          <w:rFonts w:cstheme="minorHAnsi"/>
          <w:sz w:val="24"/>
          <w:szCs w:val="24"/>
        </w:rPr>
        <w:t>.</w:t>
      </w:r>
      <w:r w:rsidR="00D32112">
        <w:rPr>
          <w:rStyle w:val="FootnoteReference"/>
          <w:rFonts w:cstheme="minorHAnsi"/>
          <w:sz w:val="24"/>
          <w:szCs w:val="24"/>
        </w:rPr>
        <w:footnoteReference w:id="163"/>
      </w:r>
      <w:r w:rsidR="00772011">
        <w:rPr>
          <w:rFonts w:cstheme="minorHAnsi"/>
          <w:sz w:val="24"/>
          <w:szCs w:val="24"/>
        </w:rPr>
        <w:t xml:space="preserve"> </w:t>
      </w:r>
      <w:r w:rsidR="00334A1F">
        <w:rPr>
          <w:rFonts w:cstheme="minorHAnsi"/>
          <w:sz w:val="24"/>
          <w:szCs w:val="24"/>
        </w:rPr>
        <w:t>The European Court of Human Rights admitted that it was hardly conceivable that the entity would have been able to fight Azerbaijani armed forces without the support of Armenia.</w:t>
      </w:r>
      <w:r w:rsidR="00334A1F">
        <w:rPr>
          <w:rStyle w:val="FootnoteReference"/>
          <w:rFonts w:cstheme="minorHAnsi"/>
          <w:sz w:val="24"/>
          <w:szCs w:val="24"/>
        </w:rPr>
        <w:footnoteReference w:id="164"/>
      </w:r>
      <w:r w:rsidR="00334A1F">
        <w:rPr>
          <w:rFonts w:cstheme="minorHAnsi"/>
          <w:sz w:val="24"/>
          <w:szCs w:val="24"/>
        </w:rPr>
        <w:t xml:space="preserve"> Resultantly, a</w:t>
      </w:r>
      <w:r w:rsidR="00772011">
        <w:rPr>
          <w:rFonts w:cstheme="minorHAnsi"/>
          <w:sz w:val="24"/>
          <w:szCs w:val="24"/>
        </w:rPr>
        <w:t xml:space="preserve">s </w:t>
      </w:r>
      <w:proofErr w:type="spellStart"/>
      <w:r w:rsidR="00772011" w:rsidRPr="0017305F">
        <w:rPr>
          <w:rFonts w:cstheme="minorHAnsi"/>
          <w:sz w:val="24"/>
          <w:szCs w:val="24"/>
        </w:rPr>
        <w:t>Krüger</w:t>
      </w:r>
      <w:proofErr w:type="spellEnd"/>
      <w:r w:rsidR="00772011">
        <w:rPr>
          <w:rFonts w:cstheme="minorHAnsi"/>
          <w:sz w:val="24"/>
          <w:szCs w:val="24"/>
        </w:rPr>
        <w:t xml:space="preserve"> explains, ‘Armenia thus has not only violated the prohibition on the use of force and the prohibition on </w:t>
      </w:r>
      <w:r w:rsidR="00772011">
        <w:rPr>
          <w:rFonts w:cstheme="minorHAnsi"/>
          <w:sz w:val="24"/>
          <w:szCs w:val="24"/>
        </w:rPr>
        <w:lastRenderedPageBreak/>
        <w:t>intervention under international law in the past, but continues to do so in an unjustified form’.</w:t>
      </w:r>
      <w:r w:rsidR="00772011">
        <w:rPr>
          <w:rStyle w:val="FootnoteReference"/>
          <w:rFonts w:cstheme="minorHAnsi"/>
          <w:sz w:val="24"/>
          <w:szCs w:val="24"/>
        </w:rPr>
        <w:footnoteReference w:id="165"/>
      </w:r>
      <w:r w:rsidR="000D76E0">
        <w:rPr>
          <w:rFonts w:cstheme="minorHAnsi"/>
          <w:sz w:val="24"/>
          <w:szCs w:val="24"/>
        </w:rPr>
        <w:t xml:space="preserve"> Parallels can thus be drawn with the Turkish Republic of No</w:t>
      </w:r>
      <w:r w:rsidR="000D76E0" w:rsidRPr="000D76E0">
        <w:rPr>
          <w:rFonts w:cstheme="minorHAnsi"/>
          <w:sz w:val="24"/>
          <w:szCs w:val="24"/>
        </w:rPr>
        <w:t>rthern Cyprus. In fact, ‘[f]</w:t>
      </w:r>
      <w:proofErr w:type="spellStart"/>
      <w:r w:rsidR="000D76E0" w:rsidRPr="000D76E0">
        <w:rPr>
          <w:rFonts w:cstheme="minorHAnsi"/>
          <w:sz w:val="24"/>
          <w:szCs w:val="24"/>
        </w:rPr>
        <w:t>ull</w:t>
      </w:r>
      <w:proofErr w:type="spellEnd"/>
      <w:r w:rsidR="000D76E0" w:rsidRPr="000D76E0">
        <w:rPr>
          <w:rFonts w:cstheme="minorHAnsi"/>
          <w:sz w:val="24"/>
          <w:szCs w:val="24"/>
        </w:rPr>
        <w:t xml:space="preserve"> independence of Nagorno-Karabakh recognized by the world community is now unthinkable as is unthinkable a recognized independent Cyprus Turkish Republic.’</w:t>
      </w:r>
      <w:r w:rsidR="000D76E0" w:rsidRPr="000D76E0">
        <w:rPr>
          <w:rStyle w:val="FootnoteReference"/>
          <w:rFonts w:cstheme="minorHAnsi"/>
          <w:sz w:val="24"/>
          <w:szCs w:val="24"/>
        </w:rPr>
        <w:footnoteReference w:id="166"/>
      </w:r>
      <w:r w:rsidR="000D76E0" w:rsidRPr="000D76E0">
        <w:rPr>
          <w:rFonts w:cstheme="minorHAnsi"/>
          <w:sz w:val="24"/>
          <w:szCs w:val="24"/>
        </w:rPr>
        <w:t xml:space="preserve"> </w:t>
      </w:r>
    </w:p>
    <w:p w14:paraId="4E179450" w14:textId="5C85D809" w:rsidR="000D76E0" w:rsidRDefault="0017305F" w:rsidP="00C02C4E">
      <w:pPr>
        <w:spacing w:after="0" w:line="240" w:lineRule="auto"/>
        <w:jc w:val="both"/>
        <w:rPr>
          <w:rFonts w:cstheme="minorHAnsi"/>
          <w:sz w:val="24"/>
          <w:szCs w:val="24"/>
        </w:rPr>
      </w:pPr>
      <w:r>
        <w:rPr>
          <w:rFonts w:cstheme="minorHAnsi"/>
          <w:sz w:val="24"/>
          <w:szCs w:val="24"/>
        </w:rPr>
        <w:t>To conclude</w:t>
      </w:r>
      <w:r w:rsidR="000D76E0">
        <w:rPr>
          <w:rFonts w:cstheme="minorHAnsi"/>
          <w:sz w:val="24"/>
          <w:szCs w:val="24"/>
        </w:rPr>
        <w:t xml:space="preserve">, in </w:t>
      </w:r>
      <w:r w:rsidR="00255D12">
        <w:rPr>
          <w:rFonts w:cstheme="minorHAnsi"/>
          <w:sz w:val="24"/>
          <w:szCs w:val="24"/>
        </w:rPr>
        <w:t xml:space="preserve">South Ossetia and </w:t>
      </w:r>
      <w:r w:rsidR="000D76E0">
        <w:rPr>
          <w:rFonts w:cstheme="minorHAnsi"/>
          <w:sz w:val="24"/>
          <w:szCs w:val="24"/>
        </w:rPr>
        <w:t xml:space="preserve">Transnistria, it was the declaration of independence that led to an armed conflict and thus no violation of the prohibition of the use of force can be attached to these </w:t>
      </w:r>
      <w:r w:rsidR="000D76E0">
        <w:rPr>
          <w:rFonts w:cstheme="minorHAnsi"/>
          <w:i/>
          <w:iCs/>
          <w:sz w:val="24"/>
          <w:szCs w:val="24"/>
        </w:rPr>
        <w:t xml:space="preserve">de facto </w:t>
      </w:r>
      <w:r w:rsidR="000D76E0">
        <w:rPr>
          <w:rFonts w:cstheme="minorHAnsi"/>
          <w:sz w:val="24"/>
          <w:szCs w:val="24"/>
        </w:rPr>
        <w:t>States.</w:t>
      </w:r>
      <w:r w:rsidR="00287C73">
        <w:rPr>
          <w:rFonts w:cstheme="minorHAnsi"/>
          <w:sz w:val="24"/>
          <w:szCs w:val="24"/>
        </w:rPr>
        <w:t xml:space="preserve"> In Abkhazia</w:t>
      </w:r>
      <w:r w:rsidR="008D4FC4">
        <w:rPr>
          <w:rFonts w:cstheme="minorHAnsi"/>
          <w:sz w:val="24"/>
          <w:szCs w:val="24"/>
        </w:rPr>
        <w:t>,</w:t>
      </w:r>
      <w:r w:rsidR="00287C73">
        <w:rPr>
          <w:rFonts w:cstheme="minorHAnsi"/>
          <w:sz w:val="24"/>
          <w:szCs w:val="24"/>
        </w:rPr>
        <w:t xml:space="preserve"> the timeline seems to indicate the </w:t>
      </w:r>
      <w:r w:rsidR="00793739">
        <w:rPr>
          <w:rFonts w:cstheme="minorHAnsi"/>
          <w:sz w:val="24"/>
          <w:szCs w:val="24"/>
        </w:rPr>
        <w:t>same,</w:t>
      </w:r>
      <w:r w:rsidR="00287C73">
        <w:rPr>
          <w:rFonts w:cstheme="minorHAnsi"/>
          <w:sz w:val="24"/>
          <w:szCs w:val="24"/>
        </w:rPr>
        <w:t xml:space="preserve"> but the official position of Abkhazia is </w:t>
      </w:r>
      <w:r w:rsidR="005E233D">
        <w:rPr>
          <w:rFonts w:cstheme="minorHAnsi"/>
          <w:sz w:val="24"/>
          <w:szCs w:val="24"/>
        </w:rPr>
        <w:t>somehow more muddled</w:t>
      </w:r>
      <w:r w:rsidR="00287C73">
        <w:rPr>
          <w:rFonts w:cstheme="minorHAnsi"/>
          <w:sz w:val="24"/>
          <w:szCs w:val="24"/>
        </w:rPr>
        <w:t>.</w:t>
      </w:r>
      <w:r w:rsidR="000D76E0">
        <w:rPr>
          <w:rFonts w:cstheme="minorHAnsi"/>
          <w:sz w:val="24"/>
          <w:szCs w:val="24"/>
        </w:rPr>
        <w:t xml:space="preserve"> </w:t>
      </w:r>
      <w:r w:rsidR="00287C73">
        <w:rPr>
          <w:rFonts w:cstheme="minorHAnsi"/>
          <w:sz w:val="24"/>
          <w:szCs w:val="24"/>
        </w:rPr>
        <w:t>As for Nagorno-Karabakh, there is no doubt that i</w:t>
      </w:r>
      <w:r w:rsidR="000D76E0">
        <w:rPr>
          <w:rFonts w:cstheme="minorHAnsi"/>
          <w:sz w:val="24"/>
          <w:szCs w:val="24"/>
        </w:rPr>
        <w:t>ndependence was reached by using force</w:t>
      </w:r>
      <w:r w:rsidR="00772011">
        <w:rPr>
          <w:rFonts w:cstheme="minorHAnsi"/>
          <w:sz w:val="24"/>
          <w:szCs w:val="24"/>
        </w:rPr>
        <w:t>.</w:t>
      </w:r>
    </w:p>
    <w:p w14:paraId="472CE9E2" w14:textId="77777777" w:rsidR="007A6028" w:rsidRPr="00D8618B" w:rsidRDefault="007A6028" w:rsidP="00C02C4E">
      <w:pPr>
        <w:spacing w:after="0" w:line="240" w:lineRule="auto"/>
        <w:jc w:val="both"/>
        <w:rPr>
          <w:color w:val="000000"/>
          <w:sz w:val="24"/>
          <w:szCs w:val="24"/>
          <w:shd w:val="clear" w:color="auto" w:fill="FFFFFF"/>
        </w:rPr>
      </w:pPr>
    </w:p>
    <w:p w14:paraId="22C8701C" w14:textId="0B995EB5" w:rsidR="00F1457E" w:rsidRPr="00C23C5C" w:rsidRDefault="00706665" w:rsidP="00C23C5C">
      <w:pPr>
        <w:pStyle w:val="Heading2"/>
      </w:pPr>
      <w:r>
        <w:t xml:space="preserve">2.3. </w:t>
      </w:r>
      <w:r w:rsidR="00F1457E" w:rsidRPr="00C23C5C">
        <w:t>Violation of the Principle of Territorial Integrity</w:t>
      </w:r>
    </w:p>
    <w:p w14:paraId="6F9228AA" w14:textId="30FD2977" w:rsidR="006F2ECE" w:rsidRDefault="006F2ECE" w:rsidP="009B7C6E">
      <w:pPr>
        <w:spacing w:after="0" w:line="240" w:lineRule="auto"/>
        <w:jc w:val="both"/>
        <w:rPr>
          <w:rFonts w:cstheme="minorHAnsi"/>
          <w:sz w:val="24"/>
          <w:szCs w:val="24"/>
        </w:rPr>
      </w:pPr>
      <w:r>
        <w:rPr>
          <w:rFonts w:cstheme="minorHAnsi"/>
          <w:sz w:val="24"/>
          <w:szCs w:val="24"/>
        </w:rPr>
        <w:t xml:space="preserve">Whereas in the past, entities only had to prove that they fulfilled the objective criteria of statehood, this changed in the second half of the twentieth century </w:t>
      </w:r>
      <w:r w:rsidR="00201E83">
        <w:rPr>
          <w:rFonts w:cstheme="minorHAnsi"/>
          <w:sz w:val="24"/>
          <w:szCs w:val="24"/>
        </w:rPr>
        <w:t>which</w:t>
      </w:r>
      <w:r>
        <w:rPr>
          <w:rFonts w:cstheme="minorHAnsi"/>
          <w:sz w:val="24"/>
          <w:szCs w:val="24"/>
        </w:rPr>
        <w:t xml:space="preserve"> ‘witnessed the rejection of unilateral secession and a widespread refusal to accept the legalisation of de facto statehood.’</w:t>
      </w:r>
      <w:r>
        <w:rPr>
          <w:rStyle w:val="FootnoteReference"/>
          <w:rFonts w:cstheme="minorHAnsi"/>
          <w:sz w:val="24"/>
          <w:szCs w:val="24"/>
        </w:rPr>
        <w:footnoteReference w:id="167"/>
      </w:r>
    </w:p>
    <w:p w14:paraId="718A7337" w14:textId="1585346D" w:rsidR="007A590F" w:rsidRPr="003E708B" w:rsidRDefault="006F2ECE" w:rsidP="009B7C6E">
      <w:pPr>
        <w:spacing w:after="0" w:line="240" w:lineRule="auto"/>
        <w:jc w:val="both"/>
        <w:rPr>
          <w:rFonts w:cstheme="minorHAnsi"/>
          <w:sz w:val="24"/>
          <w:szCs w:val="24"/>
        </w:rPr>
      </w:pPr>
      <w:r>
        <w:rPr>
          <w:rFonts w:cstheme="minorHAnsi"/>
          <w:sz w:val="24"/>
          <w:szCs w:val="24"/>
        </w:rPr>
        <w:t xml:space="preserve">Such a </w:t>
      </w:r>
      <w:r w:rsidR="002F2FE6">
        <w:rPr>
          <w:rFonts w:cstheme="minorHAnsi"/>
          <w:sz w:val="24"/>
          <w:szCs w:val="24"/>
        </w:rPr>
        <w:t>change is</w:t>
      </w:r>
      <w:r w:rsidR="00A26D4C">
        <w:rPr>
          <w:rFonts w:cstheme="minorHAnsi"/>
          <w:sz w:val="24"/>
          <w:szCs w:val="24"/>
        </w:rPr>
        <w:t xml:space="preserve"> </w:t>
      </w:r>
      <w:r w:rsidR="002F2FE6">
        <w:rPr>
          <w:rFonts w:cstheme="minorHAnsi"/>
          <w:sz w:val="24"/>
          <w:szCs w:val="24"/>
        </w:rPr>
        <w:t xml:space="preserve">linked </w:t>
      </w:r>
      <w:r w:rsidR="002F2FE6" w:rsidRPr="00AB574C">
        <w:rPr>
          <w:rFonts w:cstheme="minorHAnsi"/>
          <w:sz w:val="24"/>
          <w:szCs w:val="24"/>
        </w:rPr>
        <w:t xml:space="preserve">to the </w:t>
      </w:r>
      <w:r w:rsidR="007A590F" w:rsidRPr="00AB574C">
        <w:rPr>
          <w:rFonts w:cstheme="minorHAnsi"/>
          <w:sz w:val="24"/>
          <w:szCs w:val="24"/>
        </w:rPr>
        <w:t>principle of territorial integrity</w:t>
      </w:r>
      <w:r w:rsidR="00A26D4C" w:rsidRPr="00AB574C">
        <w:rPr>
          <w:rFonts w:cstheme="minorHAnsi"/>
          <w:sz w:val="24"/>
          <w:szCs w:val="24"/>
        </w:rPr>
        <w:t xml:space="preserve">. As </w:t>
      </w:r>
      <w:r w:rsidR="00A26D4C" w:rsidRPr="00D94B50">
        <w:rPr>
          <w:rFonts w:cstheme="minorHAnsi"/>
          <w:i/>
          <w:iCs/>
          <w:sz w:val="24"/>
          <w:szCs w:val="24"/>
        </w:rPr>
        <w:t>Hanna</w:t>
      </w:r>
      <w:r w:rsidR="00A26D4C" w:rsidRPr="00AB574C">
        <w:rPr>
          <w:rFonts w:cstheme="minorHAnsi"/>
          <w:sz w:val="24"/>
          <w:szCs w:val="24"/>
        </w:rPr>
        <w:t xml:space="preserve"> explains, ‘[c]</w:t>
      </w:r>
      <w:proofErr w:type="spellStart"/>
      <w:r w:rsidR="00A26D4C" w:rsidRPr="00AB574C">
        <w:rPr>
          <w:sz w:val="24"/>
          <w:szCs w:val="24"/>
        </w:rPr>
        <w:t>ontemporary</w:t>
      </w:r>
      <w:proofErr w:type="spellEnd"/>
      <w:r w:rsidR="00A26D4C" w:rsidRPr="00AB574C">
        <w:rPr>
          <w:sz w:val="24"/>
          <w:szCs w:val="24"/>
        </w:rPr>
        <w:t xml:space="preserve"> secession claims violate territorial integrity, the central characteristic of international law.’</w:t>
      </w:r>
      <w:r w:rsidR="00A26D4C" w:rsidRPr="00AB574C">
        <w:rPr>
          <w:rStyle w:val="FootnoteReference"/>
          <w:sz w:val="24"/>
          <w:szCs w:val="24"/>
        </w:rPr>
        <w:footnoteReference w:id="168"/>
      </w:r>
      <w:r w:rsidR="00A26D4C" w:rsidRPr="00AB574C">
        <w:rPr>
          <w:sz w:val="24"/>
          <w:szCs w:val="24"/>
        </w:rPr>
        <w:t xml:space="preserve"> This principle, </w:t>
      </w:r>
      <w:r w:rsidR="002F2FE6" w:rsidRPr="00AB574C">
        <w:rPr>
          <w:rFonts w:cstheme="minorHAnsi"/>
          <w:sz w:val="24"/>
          <w:szCs w:val="24"/>
        </w:rPr>
        <w:t>which</w:t>
      </w:r>
      <w:r w:rsidR="007A590F" w:rsidRPr="00AB574C">
        <w:rPr>
          <w:rFonts w:cstheme="minorHAnsi"/>
          <w:sz w:val="24"/>
          <w:szCs w:val="24"/>
        </w:rPr>
        <w:t xml:space="preserve"> ensures that a State ‘is the paramount authority within its own borders’</w:t>
      </w:r>
      <w:r w:rsidR="00A26D4C" w:rsidRPr="00AB574C">
        <w:rPr>
          <w:rFonts w:cstheme="minorHAnsi"/>
          <w:sz w:val="24"/>
          <w:szCs w:val="24"/>
        </w:rPr>
        <w:t>,</w:t>
      </w:r>
      <w:r w:rsidR="007A590F" w:rsidRPr="00AB574C">
        <w:rPr>
          <w:rStyle w:val="FootnoteReference"/>
          <w:rFonts w:cstheme="minorHAnsi"/>
          <w:sz w:val="24"/>
          <w:szCs w:val="24"/>
        </w:rPr>
        <w:footnoteReference w:id="169"/>
      </w:r>
      <w:r w:rsidR="007E3F54" w:rsidRPr="00AB574C">
        <w:rPr>
          <w:rFonts w:cstheme="minorHAnsi"/>
          <w:sz w:val="24"/>
          <w:szCs w:val="24"/>
        </w:rPr>
        <w:t xml:space="preserve"> is found in Article 2</w:t>
      </w:r>
      <w:r w:rsidR="007E3F54">
        <w:rPr>
          <w:rFonts w:cstheme="minorHAnsi"/>
          <w:sz w:val="24"/>
          <w:szCs w:val="24"/>
        </w:rPr>
        <w:t>(4) of the UN Charter</w:t>
      </w:r>
      <w:r w:rsidR="00D01EE1">
        <w:rPr>
          <w:rFonts w:cstheme="minorHAnsi"/>
          <w:sz w:val="24"/>
          <w:szCs w:val="24"/>
        </w:rPr>
        <w:t xml:space="preserve"> </w:t>
      </w:r>
      <w:r w:rsidR="00EC7ADF">
        <w:rPr>
          <w:rFonts w:cstheme="minorHAnsi"/>
          <w:sz w:val="24"/>
          <w:szCs w:val="24"/>
        </w:rPr>
        <w:t>(</w:t>
      </w:r>
      <w:r w:rsidR="00D01EE1">
        <w:rPr>
          <w:rFonts w:cstheme="minorHAnsi"/>
          <w:sz w:val="24"/>
          <w:szCs w:val="24"/>
        </w:rPr>
        <w:t>and is thus closely linked to the principle of the prohibition of the use of force</w:t>
      </w:r>
      <w:r w:rsidR="00D01EE1">
        <w:rPr>
          <w:rStyle w:val="FootnoteReference"/>
          <w:rFonts w:cstheme="minorHAnsi"/>
          <w:sz w:val="24"/>
          <w:szCs w:val="24"/>
        </w:rPr>
        <w:footnoteReference w:id="170"/>
      </w:r>
      <w:r w:rsidR="00EC7ADF">
        <w:rPr>
          <w:rFonts w:cstheme="minorHAnsi"/>
          <w:sz w:val="24"/>
          <w:szCs w:val="24"/>
        </w:rPr>
        <w:t>),</w:t>
      </w:r>
      <w:r w:rsidR="007E3F54">
        <w:rPr>
          <w:rFonts w:cstheme="minorHAnsi"/>
          <w:sz w:val="24"/>
          <w:szCs w:val="24"/>
        </w:rPr>
        <w:t xml:space="preserve"> repeated in the Friendly Relations Declaration which asserts that ‘the territorial integrity and political independence of the State are inviolable’,</w:t>
      </w:r>
      <w:r w:rsidR="007E3F54">
        <w:rPr>
          <w:rStyle w:val="FootnoteReference"/>
          <w:rFonts w:cstheme="minorHAnsi"/>
          <w:sz w:val="24"/>
          <w:szCs w:val="24"/>
        </w:rPr>
        <w:footnoteReference w:id="171"/>
      </w:r>
      <w:r w:rsidR="007E3F54">
        <w:rPr>
          <w:rFonts w:cstheme="minorHAnsi"/>
          <w:sz w:val="24"/>
          <w:szCs w:val="24"/>
        </w:rPr>
        <w:t xml:space="preserve"> and reaffirmed in a </w:t>
      </w:r>
      <w:r w:rsidR="00E35E7D">
        <w:rPr>
          <w:rFonts w:cstheme="minorHAnsi"/>
          <w:sz w:val="24"/>
          <w:szCs w:val="24"/>
        </w:rPr>
        <w:t>far-reaching</w:t>
      </w:r>
      <w:r w:rsidR="007E3F54">
        <w:rPr>
          <w:rFonts w:cstheme="minorHAnsi"/>
          <w:sz w:val="24"/>
          <w:szCs w:val="24"/>
        </w:rPr>
        <w:t xml:space="preserve"> range of cases before the ICJ.</w:t>
      </w:r>
      <w:r w:rsidR="00505A00">
        <w:rPr>
          <w:rStyle w:val="FootnoteReference"/>
          <w:rFonts w:cstheme="minorHAnsi"/>
          <w:sz w:val="24"/>
          <w:szCs w:val="24"/>
        </w:rPr>
        <w:footnoteReference w:id="172"/>
      </w:r>
      <w:r w:rsidR="00BE11E4">
        <w:rPr>
          <w:rFonts w:cstheme="minorHAnsi"/>
          <w:sz w:val="24"/>
          <w:szCs w:val="24"/>
        </w:rPr>
        <w:t xml:space="preserve"> It is also </w:t>
      </w:r>
      <w:r w:rsidR="00EC7ADF">
        <w:rPr>
          <w:rFonts w:cstheme="minorHAnsi"/>
          <w:sz w:val="24"/>
          <w:szCs w:val="24"/>
        </w:rPr>
        <w:t xml:space="preserve">viewed </w:t>
      </w:r>
      <w:r w:rsidR="00BE11E4">
        <w:rPr>
          <w:rFonts w:cstheme="minorHAnsi"/>
          <w:sz w:val="24"/>
          <w:szCs w:val="24"/>
        </w:rPr>
        <w:t>of customary nature</w:t>
      </w:r>
      <w:r w:rsidR="00BE11E4">
        <w:rPr>
          <w:rStyle w:val="FootnoteReference"/>
          <w:rFonts w:cstheme="minorHAnsi"/>
          <w:sz w:val="24"/>
          <w:szCs w:val="24"/>
        </w:rPr>
        <w:footnoteReference w:id="173"/>
      </w:r>
      <w:r w:rsidR="00EC7ADF">
        <w:rPr>
          <w:rFonts w:cstheme="minorHAnsi"/>
          <w:sz w:val="24"/>
          <w:szCs w:val="24"/>
        </w:rPr>
        <w:t xml:space="preserve"> though</w:t>
      </w:r>
      <w:r w:rsidR="007E3F54">
        <w:rPr>
          <w:rFonts w:cstheme="minorHAnsi"/>
          <w:sz w:val="24"/>
          <w:szCs w:val="24"/>
        </w:rPr>
        <w:t xml:space="preserve"> </w:t>
      </w:r>
      <w:r w:rsidR="00EC7ADF">
        <w:rPr>
          <w:rFonts w:cstheme="minorHAnsi"/>
          <w:sz w:val="24"/>
          <w:szCs w:val="24"/>
        </w:rPr>
        <w:t xml:space="preserve">not necessarily deemed to be of </w:t>
      </w:r>
      <w:r w:rsidR="00EC7ADF">
        <w:rPr>
          <w:rFonts w:cstheme="minorHAnsi"/>
          <w:i/>
          <w:iCs/>
          <w:sz w:val="24"/>
          <w:szCs w:val="24"/>
        </w:rPr>
        <w:t xml:space="preserve">jus cogens </w:t>
      </w:r>
      <w:r w:rsidR="00EC7ADF">
        <w:rPr>
          <w:rFonts w:cstheme="minorHAnsi"/>
          <w:sz w:val="24"/>
          <w:szCs w:val="24"/>
        </w:rPr>
        <w:t>nature.</w:t>
      </w:r>
      <w:r w:rsidR="00EC7ADF">
        <w:rPr>
          <w:rStyle w:val="FootnoteReference"/>
          <w:rFonts w:cstheme="minorHAnsi"/>
          <w:sz w:val="24"/>
          <w:szCs w:val="24"/>
        </w:rPr>
        <w:footnoteReference w:id="174"/>
      </w:r>
      <w:r w:rsidR="00EC7ADF">
        <w:rPr>
          <w:rFonts w:cstheme="minorHAnsi"/>
          <w:sz w:val="24"/>
          <w:szCs w:val="24"/>
        </w:rPr>
        <w:t xml:space="preserve"> </w:t>
      </w:r>
      <w:r w:rsidR="00DF6974">
        <w:rPr>
          <w:rFonts w:cstheme="minorHAnsi"/>
          <w:sz w:val="24"/>
          <w:szCs w:val="24"/>
        </w:rPr>
        <w:t xml:space="preserve">The principle is even more important as </w:t>
      </w:r>
      <w:r w:rsidR="0068519D">
        <w:rPr>
          <w:rFonts w:cstheme="minorHAnsi"/>
          <w:sz w:val="24"/>
          <w:szCs w:val="24"/>
        </w:rPr>
        <w:t xml:space="preserve">a </w:t>
      </w:r>
      <w:r w:rsidR="00DF6974">
        <w:rPr>
          <w:rFonts w:cstheme="minorHAnsi"/>
          <w:sz w:val="24"/>
          <w:szCs w:val="24"/>
        </w:rPr>
        <w:t>territory ‘is the essence of their statehood’.</w:t>
      </w:r>
      <w:r w:rsidR="00DF6974">
        <w:rPr>
          <w:rStyle w:val="FootnoteReference"/>
          <w:rFonts w:cstheme="minorHAnsi"/>
          <w:sz w:val="24"/>
          <w:szCs w:val="24"/>
        </w:rPr>
        <w:footnoteReference w:id="175"/>
      </w:r>
      <w:r w:rsidR="00DF6974">
        <w:rPr>
          <w:rFonts w:cstheme="minorHAnsi"/>
          <w:sz w:val="24"/>
          <w:szCs w:val="24"/>
        </w:rPr>
        <w:t xml:space="preserve"> </w:t>
      </w:r>
    </w:p>
    <w:p w14:paraId="796408E1" w14:textId="4FF4D93C" w:rsidR="005A26DD" w:rsidRDefault="005A26DD" w:rsidP="009B7C6E">
      <w:pPr>
        <w:spacing w:after="0" w:line="240" w:lineRule="auto"/>
        <w:jc w:val="both"/>
        <w:rPr>
          <w:rFonts w:cstheme="minorHAnsi"/>
          <w:sz w:val="24"/>
          <w:szCs w:val="24"/>
        </w:rPr>
      </w:pPr>
      <w:r>
        <w:rPr>
          <w:rFonts w:cstheme="minorHAnsi"/>
          <w:sz w:val="24"/>
          <w:szCs w:val="24"/>
        </w:rPr>
        <w:t>A fundamental question is whether the principle applies within a State.</w:t>
      </w:r>
      <w:r w:rsidR="00505A00">
        <w:rPr>
          <w:rFonts w:cstheme="minorHAnsi"/>
          <w:sz w:val="24"/>
          <w:szCs w:val="24"/>
        </w:rPr>
        <w:t xml:space="preserve"> Article 2(4) UN Charter and the Friendly Relations Declaration confine the application of the principle to relations between States.</w:t>
      </w:r>
      <w:r w:rsidR="00505A00">
        <w:rPr>
          <w:rStyle w:val="FootnoteReference"/>
          <w:rFonts w:cstheme="minorHAnsi"/>
          <w:sz w:val="24"/>
          <w:szCs w:val="24"/>
        </w:rPr>
        <w:footnoteReference w:id="176"/>
      </w:r>
      <w:r w:rsidR="00505A00">
        <w:rPr>
          <w:rFonts w:cstheme="minorHAnsi"/>
          <w:sz w:val="24"/>
          <w:szCs w:val="24"/>
        </w:rPr>
        <w:t xml:space="preserve"> </w:t>
      </w:r>
      <w:r>
        <w:rPr>
          <w:rFonts w:cstheme="minorHAnsi"/>
          <w:sz w:val="24"/>
          <w:szCs w:val="24"/>
        </w:rPr>
        <w:t xml:space="preserve"> In the </w:t>
      </w:r>
      <w:r w:rsidRPr="00254D98">
        <w:rPr>
          <w:rFonts w:cstheme="minorHAnsi"/>
          <w:i/>
          <w:sz w:val="24"/>
          <w:szCs w:val="24"/>
        </w:rPr>
        <w:t>Advisory Opinion on Kosovo</w:t>
      </w:r>
      <w:r>
        <w:rPr>
          <w:rFonts w:cstheme="minorHAnsi"/>
          <w:sz w:val="24"/>
          <w:szCs w:val="24"/>
        </w:rPr>
        <w:t>, the ICJ stated that ‘the scope of the principle of territorial integrity is confined to the sphere of relations between States’,</w:t>
      </w:r>
      <w:r>
        <w:rPr>
          <w:rStyle w:val="FootnoteReference"/>
          <w:rFonts w:cstheme="minorHAnsi"/>
          <w:sz w:val="24"/>
          <w:szCs w:val="24"/>
        </w:rPr>
        <w:footnoteReference w:id="177"/>
      </w:r>
      <w:r>
        <w:rPr>
          <w:rFonts w:cstheme="minorHAnsi"/>
          <w:sz w:val="24"/>
          <w:szCs w:val="24"/>
        </w:rPr>
        <w:t xml:space="preserve"> thus </w:t>
      </w:r>
      <w:r>
        <w:rPr>
          <w:rFonts w:cstheme="minorHAnsi"/>
          <w:sz w:val="24"/>
          <w:szCs w:val="24"/>
        </w:rPr>
        <w:lastRenderedPageBreak/>
        <w:t>applying the principle ‘only</w:t>
      </w:r>
      <w:r w:rsidR="001D0809">
        <w:rPr>
          <w:rFonts w:cstheme="minorHAnsi"/>
          <w:sz w:val="24"/>
          <w:szCs w:val="24"/>
        </w:rPr>
        <w:t>,</w:t>
      </w:r>
      <w:r>
        <w:rPr>
          <w:rFonts w:cstheme="minorHAnsi"/>
          <w:sz w:val="24"/>
          <w:szCs w:val="24"/>
        </w:rPr>
        <w:t xml:space="preserve"> horizontally, but not vertically within a State’.</w:t>
      </w:r>
      <w:r>
        <w:rPr>
          <w:rStyle w:val="FootnoteReference"/>
          <w:rFonts w:cstheme="minorHAnsi"/>
          <w:sz w:val="24"/>
          <w:szCs w:val="24"/>
        </w:rPr>
        <w:footnoteReference w:id="178"/>
      </w:r>
      <w:r>
        <w:rPr>
          <w:rFonts w:cstheme="minorHAnsi"/>
          <w:sz w:val="24"/>
          <w:szCs w:val="24"/>
        </w:rPr>
        <w:t xml:space="preserve"> </w:t>
      </w:r>
      <w:r w:rsidR="00835A2F">
        <w:rPr>
          <w:rFonts w:cstheme="minorHAnsi"/>
          <w:sz w:val="24"/>
          <w:szCs w:val="24"/>
        </w:rPr>
        <w:t>Accordingly,</w:t>
      </w:r>
      <w:r>
        <w:rPr>
          <w:rFonts w:cstheme="minorHAnsi"/>
          <w:sz w:val="24"/>
          <w:szCs w:val="24"/>
        </w:rPr>
        <w:t xml:space="preserve"> a non-State entity cannot violate the principle of territorial integrity since the principle only applies between States</w:t>
      </w:r>
      <w:r w:rsidR="00505A00">
        <w:rPr>
          <w:rFonts w:cstheme="minorHAnsi"/>
          <w:sz w:val="24"/>
          <w:szCs w:val="24"/>
        </w:rPr>
        <w:t>,</w:t>
      </w:r>
      <w:r w:rsidR="00BB1F3A">
        <w:rPr>
          <w:rStyle w:val="FootnoteReference"/>
          <w:rFonts w:cstheme="minorHAnsi"/>
          <w:sz w:val="24"/>
          <w:szCs w:val="24"/>
        </w:rPr>
        <w:footnoteReference w:id="179"/>
      </w:r>
      <w:r w:rsidR="00505A00">
        <w:rPr>
          <w:rFonts w:cstheme="minorHAnsi"/>
          <w:sz w:val="24"/>
          <w:szCs w:val="24"/>
        </w:rPr>
        <w:t xml:space="preserve"> a position that </w:t>
      </w:r>
      <w:r w:rsidR="00505A00" w:rsidRPr="00684A61">
        <w:rPr>
          <w:rFonts w:cstheme="minorHAnsi"/>
          <w:sz w:val="24"/>
          <w:szCs w:val="24"/>
        </w:rPr>
        <w:t>Vidmar</w:t>
      </w:r>
      <w:r w:rsidR="00505A00">
        <w:rPr>
          <w:rFonts w:cstheme="minorHAnsi"/>
          <w:sz w:val="24"/>
          <w:szCs w:val="24"/>
        </w:rPr>
        <w:t xml:space="preserve"> </w:t>
      </w:r>
      <w:r w:rsidR="00CB6654">
        <w:rPr>
          <w:rFonts w:cstheme="minorHAnsi"/>
          <w:sz w:val="24"/>
          <w:szCs w:val="24"/>
        </w:rPr>
        <w:t xml:space="preserve">and </w:t>
      </w:r>
      <w:r w:rsidR="00CB6654" w:rsidRPr="00684A61">
        <w:rPr>
          <w:rFonts w:cstheme="minorHAnsi"/>
          <w:sz w:val="24"/>
          <w:szCs w:val="24"/>
        </w:rPr>
        <w:t>Corten</w:t>
      </w:r>
      <w:r w:rsidR="00CB6654">
        <w:rPr>
          <w:rFonts w:cstheme="minorHAnsi"/>
          <w:sz w:val="24"/>
          <w:szCs w:val="24"/>
        </w:rPr>
        <w:t xml:space="preserve"> </w:t>
      </w:r>
      <w:r w:rsidR="00462C41">
        <w:rPr>
          <w:rFonts w:cstheme="minorHAnsi"/>
          <w:sz w:val="24"/>
          <w:szCs w:val="24"/>
        </w:rPr>
        <w:t>apprise</w:t>
      </w:r>
      <w:r w:rsidR="00505A00">
        <w:rPr>
          <w:rFonts w:cstheme="minorHAnsi"/>
          <w:sz w:val="24"/>
          <w:szCs w:val="24"/>
        </w:rPr>
        <w:t xml:space="preserve"> as incorrect</w:t>
      </w:r>
      <w:r>
        <w:rPr>
          <w:rFonts w:cstheme="minorHAnsi"/>
          <w:sz w:val="24"/>
          <w:szCs w:val="24"/>
        </w:rPr>
        <w:t>.</w:t>
      </w:r>
      <w:r w:rsidR="00CB6654">
        <w:rPr>
          <w:rStyle w:val="FootnoteReference"/>
          <w:rFonts w:cstheme="minorHAnsi"/>
          <w:sz w:val="24"/>
          <w:szCs w:val="24"/>
        </w:rPr>
        <w:footnoteReference w:id="180"/>
      </w:r>
      <w:r>
        <w:rPr>
          <w:rFonts w:cstheme="minorHAnsi"/>
          <w:sz w:val="24"/>
          <w:szCs w:val="24"/>
        </w:rPr>
        <w:t xml:space="preserve"> </w:t>
      </w:r>
      <w:r w:rsidR="00505A00">
        <w:rPr>
          <w:rFonts w:cstheme="minorHAnsi"/>
          <w:sz w:val="24"/>
          <w:szCs w:val="24"/>
        </w:rPr>
        <w:t xml:space="preserve">As </w:t>
      </w:r>
      <w:r w:rsidR="00CB6654" w:rsidRPr="00D94B50">
        <w:rPr>
          <w:rFonts w:cstheme="minorHAnsi"/>
          <w:i/>
          <w:iCs/>
          <w:sz w:val="24"/>
          <w:szCs w:val="24"/>
        </w:rPr>
        <w:t>Vidmar</w:t>
      </w:r>
      <w:r w:rsidR="00505A00">
        <w:rPr>
          <w:rFonts w:cstheme="minorHAnsi"/>
          <w:sz w:val="24"/>
          <w:szCs w:val="24"/>
        </w:rPr>
        <w:t xml:space="preserve"> argues, the Friendly Relations Declaration mentions the principle of territorial integrity in the context of the right of self-determination that applies to peoples.</w:t>
      </w:r>
      <w:r w:rsidR="00505A00">
        <w:rPr>
          <w:rStyle w:val="FootnoteReference"/>
          <w:rFonts w:cstheme="minorHAnsi"/>
          <w:sz w:val="24"/>
          <w:szCs w:val="24"/>
        </w:rPr>
        <w:footnoteReference w:id="181"/>
      </w:r>
      <w:r w:rsidR="00505A00">
        <w:rPr>
          <w:rFonts w:cstheme="minorHAnsi"/>
          <w:sz w:val="24"/>
          <w:szCs w:val="24"/>
        </w:rPr>
        <w:t xml:space="preserve"> In other words</w:t>
      </w:r>
      <w:r w:rsidR="00604D5F">
        <w:rPr>
          <w:rFonts w:cstheme="minorHAnsi"/>
          <w:sz w:val="24"/>
          <w:szCs w:val="24"/>
        </w:rPr>
        <w:t>,</w:t>
      </w:r>
      <w:r w:rsidR="00505A00">
        <w:rPr>
          <w:rFonts w:cstheme="minorHAnsi"/>
          <w:sz w:val="24"/>
          <w:szCs w:val="24"/>
        </w:rPr>
        <w:t xml:space="preserve"> the principle of territorial integrity </w:t>
      </w:r>
      <w:r w:rsidR="00604D5F">
        <w:rPr>
          <w:rFonts w:cstheme="minorHAnsi"/>
          <w:sz w:val="24"/>
          <w:szCs w:val="24"/>
        </w:rPr>
        <w:t>constrains</w:t>
      </w:r>
      <w:r w:rsidR="00505A00">
        <w:rPr>
          <w:rFonts w:cstheme="minorHAnsi"/>
          <w:sz w:val="24"/>
          <w:szCs w:val="24"/>
        </w:rPr>
        <w:t xml:space="preserve"> </w:t>
      </w:r>
      <w:r w:rsidR="00604D5F">
        <w:rPr>
          <w:rFonts w:cstheme="minorHAnsi"/>
          <w:sz w:val="24"/>
          <w:szCs w:val="24"/>
        </w:rPr>
        <w:t>the peoples’ right of self-determination</w:t>
      </w:r>
      <w:r w:rsidR="000B39D2">
        <w:rPr>
          <w:rFonts w:cstheme="minorHAnsi"/>
          <w:sz w:val="24"/>
          <w:szCs w:val="24"/>
        </w:rPr>
        <w:t xml:space="preserve"> and so, the principle of territorial sovereignty cannot be solely applied between States</w:t>
      </w:r>
      <w:r w:rsidR="00BB1F3A">
        <w:rPr>
          <w:rFonts w:cstheme="minorHAnsi"/>
          <w:sz w:val="24"/>
          <w:szCs w:val="24"/>
        </w:rPr>
        <w:t xml:space="preserve">, a position also adopted in the </w:t>
      </w:r>
      <w:proofErr w:type="spellStart"/>
      <w:r w:rsidR="00525391">
        <w:rPr>
          <w:rFonts w:cstheme="minorHAnsi"/>
          <w:sz w:val="24"/>
          <w:szCs w:val="24"/>
        </w:rPr>
        <w:t>Tagliavini</w:t>
      </w:r>
      <w:proofErr w:type="spellEnd"/>
      <w:r w:rsidR="00BB1F3A">
        <w:rPr>
          <w:rFonts w:cstheme="minorHAnsi"/>
          <w:sz w:val="24"/>
          <w:szCs w:val="24"/>
        </w:rPr>
        <w:t xml:space="preserve"> report</w:t>
      </w:r>
      <w:r w:rsidR="00604D5F">
        <w:rPr>
          <w:rFonts w:cstheme="minorHAnsi"/>
          <w:sz w:val="24"/>
          <w:szCs w:val="24"/>
        </w:rPr>
        <w:t>.</w:t>
      </w:r>
      <w:r w:rsidR="00BB1F3A">
        <w:rPr>
          <w:rStyle w:val="FootnoteReference"/>
          <w:rFonts w:cstheme="minorHAnsi"/>
          <w:sz w:val="24"/>
          <w:szCs w:val="24"/>
        </w:rPr>
        <w:footnoteReference w:id="182"/>
      </w:r>
      <w:r w:rsidR="00604D5F">
        <w:rPr>
          <w:rFonts w:cstheme="minorHAnsi"/>
          <w:sz w:val="24"/>
          <w:szCs w:val="24"/>
        </w:rPr>
        <w:t xml:space="preserve"> </w:t>
      </w:r>
      <w:r w:rsidR="00835A2F">
        <w:rPr>
          <w:rFonts w:cstheme="minorHAnsi"/>
          <w:sz w:val="24"/>
          <w:szCs w:val="24"/>
        </w:rPr>
        <w:t xml:space="preserve">Moreover, the principle has been extensively referred to in </w:t>
      </w:r>
      <w:r w:rsidR="00CB6654">
        <w:rPr>
          <w:rFonts w:cstheme="minorHAnsi"/>
          <w:sz w:val="24"/>
          <w:szCs w:val="24"/>
        </w:rPr>
        <w:t>the context of</w:t>
      </w:r>
      <w:r w:rsidR="00835A2F">
        <w:rPr>
          <w:rFonts w:cstheme="minorHAnsi"/>
          <w:sz w:val="24"/>
          <w:szCs w:val="24"/>
        </w:rPr>
        <w:t xml:space="preserve"> terrorism (usually deployed by non-State actors),</w:t>
      </w:r>
      <w:r w:rsidR="00835A2F">
        <w:rPr>
          <w:rStyle w:val="FootnoteReference"/>
          <w:rFonts w:cstheme="minorHAnsi"/>
          <w:sz w:val="24"/>
          <w:szCs w:val="24"/>
        </w:rPr>
        <w:footnoteReference w:id="183"/>
      </w:r>
      <w:r w:rsidR="00835A2F">
        <w:rPr>
          <w:rFonts w:cstheme="minorHAnsi"/>
          <w:sz w:val="24"/>
          <w:szCs w:val="24"/>
        </w:rPr>
        <w:t xml:space="preserve"> indigenous peoples,</w:t>
      </w:r>
      <w:r w:rsidR="00835A2F">
        <w:rPr>
          <w:rStyle w:val="FootnoteReference"/>
          <w:rFonts w:cstheme="minorHAnsi"/>
          <w:sz w:val="24"/>
          <w:szCs w:val="24"/>
        </w:rPr>
        <w:footnoteReference w:id="184"/>
      </w:r>
      <w:r w:rsidR="00835A2F">
        <w:rPr>
          <w:rFonts w:cstheme="minorHAnsi"/>
          <w:sz w:val="24"/>
          <w:szCs w:val="24"/>
        </w:rPr>
        <w:t xml:space="preserve"> minorities,</w:t>
      </w:r>
      <w:r w:rsidR="00835A2F">
        <w:rPr>
          <w:rStyle w:val="FootnoteReference"/>
          <w:rFonts w:cstheme="minorHAnsi"/>
          <w:sz w:val="24"/>
          <w:szCs w:val="24"/>
        </w:rPr>
        <w:footnoteReference w:id="185"/>
      </w:r>
      <w:r w:rsidR="00835A2F">
        <w:rPr>
          <w:rFonts w:cstheme="minorHAnsi"/>
          <w:sz w:val="24"/>
          <w:szCs w:val="24"/>
        </w:rPr>
        <w:t xml:space="preserve"> etc.</w:t>
      </w:r>
    </w:p>
    <w:p w14:paraId="5B8717BC" w14:textId="77777777" w:rsidR="0068519D" w:rsidRDefault="000B39D2" w:rsidP="009B7C6E">
      <w:pPr>
        <w:spacing w:after="0" w:line="240" w:lineRule="auto"/>
        <w:jc w:val="both"/>
        <w:rPr>
          <w:sz w:val="24"/>
          <w:szCs w:val="24"/>
        </w:rPr>
      </w:pPr>
      <w:r>
        <w:rPr>
          <w:sz w:val="24"/>
          <w:szCs w:val="24"/>
        </w:rPr>
        <w:t xml:space="preserve">The application of the principle to non-State </w:t>
      </w:r>
      <w:r w:rsidR="00DF6974">
        <w:rPr>
          <w:sz w:val="24"/>
          <w:szCs w:val="24"/>
        </w:rPr>
        <w:t>entities</w:t>
      </w:r>
      <w:r w:rsidR="00604D5F">
        <w:rPr>
          <w:sz w:val="24"/>
          <w:szCs w:val="24"/>
        </w:rPr>
        <w:t xml:space="preserve"> seems to lead to accepting an absolute prohibition of unilateral secession.</w:t>
      </w:r>
      <w:r>
        <w:rPr>
          <w:rStyle w:val="FootnoteReference"/>
          <w:sz w:val="24"/>
          <w:szCs w:val="24"/>
        </w:rPr>
        <w:footnoteReference w:id="186"/>
      </w:r>
      <w:r w:rsidR="00604D5F">
        <w:rPr>
          <w:sz w:val="24"/>
          <w:szCs w:val="24"/>
        </w:rPr>
        <w:t xml:space="preserve"> </w:t>
      </w:r>
      <w:r w:rsidR="00A26D4C" w:rsidRPr="00A26D4C">
        <w:rPr>
          <w:rFonts w:cstheme="minorHAnsi"/>
          <w:sz w:val="24"/>
          <w:szCs w:val="24"/>
        </w:rPr>
        <w:t>T</w:t>
      </w:r>
      <w:r w:rsidR="002F2FE6" w:rsidRPr="00A26D4C">
        <w:rPr>
          <w:rFonts w:cstheme="minorHAnsi"/>
          <w:sz w:val="24"/>
          <w:szCs w:val="24"/>
        </w:rPr>
        <w:t xml:space="preserve">here is </w:t>
      </w:r>
      <w:r w:rsidR="00A26D4C" w:rsidRPr="00A26D4C">
        <w:rPr>
          <w:rFonts w:cstheme="minorHAnsi"/>
          <w:sz w:val="24"/>
          <w:szCs w:val="24"/>
        </w:rPr>
        <w:t xml:space="preserve">indeed </w:t>
      </w:r>
      <w:r w:rsidR="002F2FE6" w:rsidRPr="00A26D4C">
        <w:rPr>
          <w:rFonts w:cstheme="minorHAnsi"/>
          <w:sz w:val="24"/>
          <w:szCs w:val="24"/>
        </w:rPr>
        <w:t>no principle</w:t>
      </w:r>
      <w:r w:rsidR="009B7C6E" w:rsidRPr="00A26D4C">
        <w:rPr>
          <w:rFonts w:cstheme="minorHAnsi"/>
          <w:sz w:val="24"/>
          <w:szCs w:val="24"/>
        </w:rPr>
        <w:t xml:space="preserve"> of or right to</w:t>
      </w:r>
      <w:r w:rsidR="002F2FE6" w:rsidRPr="00A26D4C">
        <w:rPr>
          <w:rFonts w:cstheme="minorHAnsi"/>
          <w:sz w:val="24"/>
          <w:szCs w:val="24"/>
        </w:rPr>
        <w:t xml:space="preserve"> secession</w:t>
      </w:r>
      <w:r w:rsidR="0068519D">
        <w:rPr>
          <w:rFonts w:cstheme="minorHAnsi"/>
          <w:sz w:val="24"/>
          <w:szCs w:val="24"/>
        </w:rPr>
        <w:t>.</w:t>
      </w:r>
      <w:r w:rsidR="009B7C6E" w:rsidRPr="00A26D4C">
        <w:rPr>
          <w:rStyle w:val="FootnoteReference"/>
          <w:rFonts w:cstheme="minorHAnsi"/>
          <w:sz w:val="24"/>
          <w:szCs w:val="24"/>
        </w:rPr>
        <w:footnoteReference w:id="187"/>
      </w:r>
      <w:r w:rsidR="0068519D">
        <w:rPr>
          <w:rFonts w:cstheme="minorHAnsi"/>
          <w:sz w:val="24"/>
          <w:szCs w:val="24"/>
        </w:rPr>
        <w:t xml:space="preserve"> </w:t>
      </w:r>
      <w:r w:rsidR="00A26D4C" w:rsidRPr="00A26D4C">
        <w:rPr>
          <w:rFonts w:cstheme="minorHAnsi"/>
          <w:sz w:val="24"/>
          <w:szCs w:val="24"/>
        </w:rPr>
        <w:t xml:space="preserve"> </w:t>
      </w:r>
      <w:r w:rsidR="0068519D">
        <w:rPr>
          <w:rFonts w:cstheme="minorHAnsi"/>
          <w:sz w:val="24"/>
          <w:szCs w:val="24"/>
        </w:rPr>
        <w:t>A</w:t>
      </w:r>
      <w:r w:rsidR="00A26D4C" w:rsidRPr="00A26D4C">
        <w:rPr>
          <w:rFonts w:cstheme="minorHAnsi"/>
          <w:sz w:val="24"/>
          <w:szCs w:val="24"/>
        </w:rPr>
        <w:t xml:space="preserve">s </w:t>
      </w:r>
      <w:proofErr w:type="spellStart"/>
      <w:r w:rsidR="00A26D4C" w:rsidRPr="00684A61">
        <w:rPr>
          <w:rFonts w:cstheme="minorHAnsi"/>
          <w:sz w:val="24"/>
          <w:szCs w:val="24"/>
        </w:rPr>
        <w:t>Borgen</w:t>
      </w:r>
      <w:proofErr w:type="spellEnd"/>
      <w:r w:rsidR="00A26D4C" w:rsidRPr="00A26D4C">
        <w:rPr>
          <w:rFonts w:cstheme="minorHAnsi"/>
          <w:sz w:val="24"/>
          <w:szCs w:val="24"/>
        </w:rPr>
        <w:t xml:space="preserve"> bluntly states, </w:t>
      </w:r>
      <w:r w:rsidR="00A26D4C" w:rsidRPr="00A26D4C">
        <w:rPr>
          <w:sz w:val="24"/>
          <w:szCs w:val="24"/>
        </w:rPr>
        <w:t>secession ‘is treated as a fact: a secession either was successful, it was not, or it is still being contested.’</w:t>
      </w:r>
      <w:r w:rsidR="00A26D4C" w:rsidRPr="00A26D4C">
        <w:rPr>
          <w:rStyle w:val="FootnoteReference"/>
          <w:rFonts w:cstheme="minorHAnsi"/>
          <w:sz w:val="24"/>
          <w:szCs w:val="24"/>
        </w:rPr>
        <w:footnoteReference w:id="188"/>
      </w:r>
      <w:r w:rsidR="00645CD3">
        <w:rPr>
          <w:sz w:val="24"/>
          <w:szCs w:val="24"/>
        </w:rPr>
        <w:t xml:space="preserve"> </w:t>
      </w:r>
    </w:p>
    <w:p w14:paraId="75E5A8A3" w14:textId="0AC84629" w:rsidR="00B93142" w:rsidRPr="0068519D" w:rsidRDefault="0068519D" w:rsidP="009B7C6E">
      <w:pPr>
        <w:spacing w:after="0" w:line="240" w:lineRule="auto"/>
        <w:jc w:val="both"/>
        <w:rPr>
          <w:sz w:val="24"/>
          <w:szCs w:val="24"/>
        </w:rPr>
      </w:pPr>
      <w:r>
        <w:rPr>
          <w:sz w:val="24"/>
          <w:szCs w:val="24"/>
        </w:rPr>
        <w:t>According to some scholars, s</w:t>
      </w:r>
      <w:r w:rsidR="002F2FE6" w:rsidRPr="00A26D4C">
        <w:rPr>
          <w:rFonts w:cstheme="minorHAnsi"/>
          <w:sz w:val="24"/>
          <w:szCs w:val="24"/>
        </w:rPr>
        <w:t xml:space="preserve">ecession is permitted, </w:t>
      </w:r>
      <w:r w:rsidR="00C63BC5">
        <w:rPr>
          <w:rFonts w:cstheme="minorHAnsi"/>
          <w:sz w:val="24"/>
          <w:szCs w:val="24"/>
        </w:rPr>
        <w:t>on the condition that</w:t>
      </w:r>
      <w:r w:rsidR="002F2FE6" w:rsidRPr="00A26D4C">
        <w:rPr>
          <w:rFonts w:cstheme="minorHAnsi"/>
          <w:sz w:val="24"/>
          <w:szCs w:val="24"/>
        </w:rPr>
        <w:t xml:space="preserve"> the </w:t>
      </w:r>
      <w:r w:rsidR="005B5A89">
        <w:rPr>
          <w:rFonts w:cstheme="minorHAnsi"/>
          <w:sz w:val="24"/>
          <w:szCs w:val="24"/>
        </w:rPr>
        <w:t>parent</w:t>
      </w:r>
      <w:r w:rsidR="002F2FE6" w:rsidRPr="00A26D4C">
        <w:rPr>
          <w:rFonts w:cstheme="minorHAnsi"/>
          <w:sz w:val="24"/>
          <w:szCs w:val="24"/>
        </w:rPr>
        <w:t xml:space="preserve"> State allows it</w:t>
      </w:r>
      <w:r w:rsidR="001D0809">
        <w:rPr>
          <w:rFonts w:cstheme="minorHAnsi"/>
          <w:sz w:val="24"/>
          <w:szCs w:val="24"/>
        </w:rPr>
        <w:t xml:space="preserve"> and so the principle of territorial sovereignty is not breached.</w:t>
      </w:r>
      <w:r w:rsidR="001D0809">
        <w:rPr>
          <w:rStyle w:val="FootnoteReference"/>
          <w:rFonts w:cstheme="minorHAnsi"/>
          <w:sz w:val="24"/>
          <w:szCs w:val="24"/>
        </w:rPr>
        <w:footnoteReference w:id="189"/>
      </w:r>
      <w:r w:rsidR="001D0809">
        <w:rPr>
          <w:rFonts w:cstheme="minorHAnsi"/>
          <w:sz w:val="24"/>
          <w:szCs w:val="24"/>
        </w:rPr>
        <w:t xml:space="preserve"> This </w:t>
      </w:r>
      <w:r w:rsidR="00B93142">
        <w:rPr>
          <w:rFonts w:cstheme="minorHAnsi"/>
          <w:sz w:val="24"/>
          <w:szCs w:val="24"/>
        </w:rPr>
        <w:t xml:space="preserve">means that </w:t>
      </w:r>
      <w:r w:rsidR="007A590F" w:rsidRPr="00EC6853">
        <w:rPr>
          <w:rFonts w:cstheme="minorHAnsi"/>
          <w:sz w:val="24"/>
          <w:szCs w:val="24"/>
        </w:rPr>
        <w:t>‘</w:t>
      </w:r>
      <w:r w:rsidR="00B93142">
        <w:rPr>
          <w:rFonts w:cstheme="minorHAnsi"/>
          <w:sz w:val="24"/>
          <w:szCs w:val="24"/>
        </w:rPr>
        <w:t>[s]</w:t>
      </w:r>
      <w:proofErr w:type="spellStart"/>
      <w:r w:rsidR="007A590F" w:rsidRPr="00EC6853">
        <w:rPr>
          <w:rFonts w:cstheme="minorHAnsi"/>
          <w:sz w:val="24"/>
          <w:szCs w:val="24"/>
        </w:rPr>
        <w:t>tatehood</w:t>
      </w:r>
      <w:proofErr w:type="spellEnd"/>
      <w:r w:rsidR="007A590F" w:rsidRPr="00EC6853">
        <w:rPr>
          <w:rFonts w:cstheme="minorHAnsi"/>
          <w:sz w:val="24"/>
          <w:szCs w:val="24"/>
        </w:rPr>
        <w:t xml:space="preserve"> [is] secure only when the prior claimant to those territorial units relinquish[es] its claim’</w:t>
      </w:r>
      <w:r w:rsidR="007A590F" w:rsidRPr="00EC6853">
        <w:rPr>
          <w:rStyle w:val="FootnoteReference"/>
          <w:rFonts w:cstheme="minorHAnsi"/>
          <w:sz w:val="24"/>
          <w:szCs w:val="24"/>
        </w:rPr>
        <w:footnoteReference w:id="190"/>
      </w:r>
      <w:r w:rsidR="00B93142">
        <w:rPr>
          <w:rFonts w:cstheme="minorHAnsi"/>
          <w:sz w:val="24"/>
          <w:szCs w:val="24"/>
        </w:rPr>
        <w:t xml:space="preserve"> </w:t>
      </w:r>
      <w:r w:rsidR="004B3E60">
        <w:rPr>
          <w:rFonts w:cstheme="minorHAnsi"/>
          <w:sz w:val="24"/>
          <w:szCs w:val="24"/>
        </w:rPr>
        <w:t xml:space="preserve">and </w:t>
      </w:r>
      <w:r w:rsidR="00B93142">
        <w:rPr>
          <w:rFonts w:cstheme="minorHAnsi"/>
          <w:sz w:val="24"/>
          <w:szCs w:val="24"/>
        </w:rPr>
        <w:t>if ‘</w:t>
      </w:r>
      <w:r w:rsidR="00B93142" w:rsidRPr="00EC6853">
        <w:rPr>
          <w:rFonts w:cstheme="minorHAnsi"/>
          <w:color w:val="000000"/>
          <w:sz w:val="24"/>
          <w:szCs w:val="24"/>
          <w:shd w:val="clear" w:color="auto" w:fill="FFFFFF"/>
        </w:rPr>
        <w:t>achieved through a lawful and peaceful process</w:t>
      </w:r>
      <w:r w:rsidR="00B93142">
        <w:rPr>
          <w:rFonts w:cstheme="minorHAnsi"/>
          <w:color w:val="000000"/>
          <w:sz w:val="24"/>
          <w:szCs w:val="24"/>
          <w:shd w:val="clear" w:color="auto" w:fill="FFFFFF"/>
        </w:rPr>
        <w:t>’</w:t>
      </w:r>
      <w:r w:rsidR="004B3E60">
        <w:rPr>
          <w:rFonts w:cstheme="minorHAnsi"/>
          <w:color w:val="000000"/>
          <w:sz w:val="24"/>
          <w:szCs w:val="24"/>
          <w:shd w:val="clear" w:color="auto" w:fill="FFFFFF"/>
        </w:rPr>
        <w:t>.</w:t>
      </w:r>
      <w:r w:rsidR="00B93142" w:rsidRPr="00EC6853">
        <w:rPr>
          <w:rStyle w:val="FootnoteReference"/>
          <w:rFonts w:cstheme="minorHAnsi"/>
          <w:color w:val="000000"/>
          <w:sz w:val="24"/>
          <w:szCs w:val="24"/>
          <w:shd w:val="clear" w:color="auto" w:fill="FFFFFF"/>
        </w:rPr>
        <w:footnoteReference w:id="191"/>
      </w:r>
      <w:r w:rsidR="00B93142">
        <w:rPr>
          <w:rFonts w:cstheme="minorHAnsi"/>
          <w:color w:val="000000"/>
          <w:sz w:val="24"/>
          <w:szCs w:val="24"/>
          <w:shd w:val="clear" w:color="auto" w:fill="FFFFFF"/>
        </w:rPr>
        <w:t xml:space="preserve"> Acceptance of secession occurs through some formal official act of recognition. </w:t>
      </w:r>
      <w:r w:rsidR="00CF665A">
        <w:rPr>
          <w:rFonts w:cstheme="minorHAnsi"/>
          <w:color w:val="000000"/>
          <w:sz w:val="24"/>
          <w:szCs w:val="24"/>
          <w:shd w:val="clear" w:color="auto" w:fill="FFFFFF"/>
        </w:rPr>
        <w:t>Still</w:t>
      </w:r>
      <w:r w:rsidR="00B93142">
        <w:rPr>
          <w:rFonts w:cstheme="minorHAnsi"/>
          <w:color w:val="000000"/>
          <w:sz w:val="24"/>
          <w:szCs w:val="24"/>
          <w:shd w:val="clear" w:color="auto" w:fill="FFFFFF"/>
        </w:rPr>
        <w:t xml:space="preserve">, </w:t>
      </w:r>
      <w:r w:rsidR="00B93142" w:rsidRPr="00EC6853">
        <w:rPr>
          <w:rFonts w:cstheme="minorHAnsi"/>
          <w:sz w:val="24"/>
          <w:szCs w:val="24"/>
        </w:rPr>
        <w:t>‘the metropolitan capitals are reluctant to abandon one of their strongest weapons with regard to their separatist regions: that is, withholding formal recognition of their existence. Non-recognition relegates the self-declared states to continued pariah status in international relations.’</w:t>
      </w:r>
      <w:r w:rsidR="00B93142" w:rsidRPr="00EC6853">
        <w:rPr>
          <w:rStyle w:val="FootnoteReference"/>
          <w:rFonts w:cstheme="minorHAnsi"/>
          <w:sz w:val="24"/>
          <w:szCs w:val="24"/>
        </w:rPr>
        <w:footnoteReference w:id="192"/>
      </w:r>
      <w:r w:rsidR="00A70D8D">
        <w:rPr>
          <w:rFonts w:cstheme="minorHAnsi"/>
          <w:sz w:val="24"/>
          <w:szCs w:val="24"/>
        </w:rPr>
        <w:t xml:space="preserve"> </w:t>
      </w:r>
    </w:p>
    <w:p w14:paraId="3A5A589E" w14:textId="70BE499A" w:rsidR="007A590F" w:rsidRPr="00EC6853" w:rsidRDefault="00AB574C" w:rsidP="009B7C6E">
      <w:pPr>
        <w:spacing w:after="0" w:line="240" w:lineRule="auto"/>
        <w:jc w:val="both"/>
        <w:rPr>
          <w:rFonts w:cstheme="minorHAnsi"/>
          <w:sz w:val="24"/>
          <w:szCs w:val="24"/>
        </w:rPr>
      </w:pPr>
      <w:r>
        <w:rPr>
          <w:rFonts w:cstheme="minorHAnsi"/>
          <w:sz w:val="24"/>
          <w:szCs w:val="24"/>
        </w:rPr>
        <w:t xml:space="preserve">In the case of Abkhazia and South Ossetia, Georgia did not accept the secession of these two entities. Its original silence cannot be deemed as acquiescence as, quickly after Georgia settled its political system, it clearly indicated that the territory of Abkhazia and South Ossetia </w:t>
      </w:r>
      <w:r>
        <w:rPr>
          <w:rFonts w:cstheme="minorHAnsi"/>
          <w:sz w:val="24"/>
          <w:szCs w:val="24"/>
        </w:rPr>
        <w:lastRenderedPageBreak/>
        <w:t>belonged to Georgia.</w:t>
      </w:r>
      <w:r w:rsidR="00E04936">
        <w:rPr>
          <w:rStyle w:val="FootnoteReference"/>
          <w:rFonts w:cstheme="minorHAnsi"/>
          <w:sz w:val="24"/>
          <w:szCs w:val="24"/>
        </w:rPr>
        <w:footnoteReference w:id="193"/>
      </w:r>
      <w:r w:rsidR="00A74C07">
        <w:rPr>
          <w:rFonts w:cstheme="minorHAnsi"/>
          <w:sz w:val="24"/>
          <w:szCs w:val="24"/>
        </w:rPr>
        <w:t xml:space="preserve"> </w:t>
      </w:r>
      <w:r w:rsidR="00E04936">
        <w:rPr>
          <w:rFonts w:cstheme="minorHAnsi"/>
          <w:sz w:val="24"/>
          <w:szCs w:val="24"/>
        </w:rPr>
        <w:t xml:space="preserve">Such territorial sovereignty was also </w:t>
      </w:r>
      <w:r w:rsidR="004C335E">
        <w:rPr>
          <w:rFonts w:cstheme="minorHAnsi"/>
          <w:sz w:val="24"/>
          <w:szCs w:val="24"/>
        </w:rPr>
        <w:t>favoured</w:t>
      </w:r>
      <w:r w:rsidR="00E04936">
        <w:rPr>
          <w:rFonts w:cstheme="minorHAnsi"/>
          <w:sz w:val="24"/>
          <w:szCs w:val="24"/>
        </w:rPr>
        <w:t xml:space="preserve"> by the UN Security Council with regard to Abkhazia</w:t>
      </w:r>
      <w:r w:rsidR="00E04936" w:rsidRPr="00EC6853">
        <w:rPr>
          <w:rStyle w:val="FootnoteReference"/>
          <w:rFonts w:cstheme="minorHAnsi"/>
          <w:sz w:val="24"/>
          <w:szCs w:val="24"/>
        </w:rPr>
        <w:footnoteReference w:id="194"/>
      </w:r>
      <w:r w:rsidR="00E04936">
        <w:rPr>
          <w:rFonts w:cstheme="minorHAnsi"/>
          <w:sz w:val="24"/>
          <w:szCs w:val="24"/>
        </w:rPr>
        <w:t xml:space="preserve"> until the 2008 armed conflict oppos</w:t>
      </w:r>
      <w:r w:rsidR="00450F99">
        <w:rPr>
          <w:rFonts w:cstheme="minorHAnsi"/>
          <w:sz w:val="24"/>
          <w:szCs w:val="24"/>
        </w:rPr>
        <w:t>ing</w:t>
      </w:r>
      <w:r w:rsidR="00E04936">
        <w:rPr>
          <w:rFonts w:cstheme="minorHAnsi"/>
          <w:sz w:val="24"/>
          <w:szCs w:val="24"/>
        </w:rPr>
        <w:t xml:space="preserve"> Georgia to Russia in South Ossetia. Nothing similar was however undertaken in relation to South Ossetia though the phrasing of many resolutions regarding Abkhazia </w:t>
      </w:r>
      <w:r w:rsidR="00821794">
        <w:rPr>
          <w:rFonts w:cstheme="minorHAnsi"/>
          <w:sz w:val="24"/>
          <w:szCs w:val="24"/>
        </w:rPr>
        <w:t>invokes</w:t>
      </w:r>
      <w:r w:rsidR="00E04936">
        <w:rPr>
          <w:rFonts w:cstheme="minorHAnsi"/>
          <w:sz w:val="24"/>
          <w:szCs w:val="24"/>
        </w:rPr>
        <w:t xml:space="preserve"> the territorial sovereignty of Georgia more </w:t>
      </w:r>
      <w:r w:rsidR="00E04936" w:rsidRPr="00144F04">
        <w:rPr>
          <w:rFonts w:cstheme="minorHAnsi"/>
          <w:sz w:val="24"/>
          <w:szCs w:val="24"/>
        </w:rPr>
        <w:t>generally.</w:t>
      </w:r>
      <w:r w:rsidR="009C3428">
        <w:rPr>
          <w:rStyle w:val="FootnoteReference"/>
          <w:rFonts w:cstheme="minorHAnsi"/>
          <w:sz w:val="24"/>
          <w:szCs w:val="24"/>
        </w:rPr>
        <w:footnoteReference w:id="195"/>
      </w:r>
      <w:r w:rsidR="00E04936" w:rsidRPr="00144F04">
        <w:rPr>
          <w:rFonts w:cstheme="minorHAnsi"/>
          <w:sz w:val="24"/>
          <w:szCs w:val="24"/>
        </w:rPr>
        <w:t xml:space="preserve"> </w:t>
      </w:r>
      <w:r w:rsidRPr="00144F04">
        <w:rPr>
          <w:rFonts w:cstheme="minorHAnsi"/>
          <w:sz w:val="24"/>
          <w:szCs w:val="24"/>
        </w:rPr>
        <w:t xml:space="preserve">Moldova </w:t>
      </w:r>
      <w:r w:rsidR="001F2AED" w:rsidRPr="00144F04">
        <w:rPr>
          <w:rFonts w:cstheme="minorHAnsi"/>
          <w:sz w:val="24"/>
          <w:szCs w:val="24"/>
        </w:rPr>
        <w:t>did not</w:t>
      </w:r>
      <w:r w:rsidRPr="00144F04">
        <w:rPr>
          <w:rFonts w:cstheme="minorHAnsi"/>
          <w:sz w:val="24"/>
          <w:szCs w:val="24"/>
        </w:rPr>
        <w:t xml:space="preserve"> </w:t>
      </w:r>
      <w:r w:rsidR="004C335E">
        <w:rPr>
          <w:rFonts w:cstheme="minorHAnsi"/>
          <w:sz w:val="24"/>
          <w:szCs w:val="24"/>
        </w:rPr>
        <w:t>approve</w:t>
      </w:r>
      <w:r w:rsidRPr="00144F04">
        <w:rPr>
          <w:rFonts w:cstheme="minorHAnsi"/>
          <w:sz w:val="24"/>
          <w:szCs w:val="24"/>
        </w:rPr>
        <w:t xml:space="preserve"> </w:t>
      </w:r>
      <w:r w:rsidR="00B52EAD">
        <w:rPr>
          <w:rFonts w:cstheme="minorHAnsi"/>
          <w:sz w:val="24"/>
          <w:szCs w:val="24"/>
        </w:rPr>
        <w:t xml:space="preserve">of </w:t>
      </w:r>
      <w:r w:rsidRPr="00144F04">
        <w:rPr>
          <w:rFonts w:cstheme="minorHAnsi"/>
          <w:sz w:val="24"/>
          <w:szCs w:val="24"/>
        </w:rPr>
        <w:t>the secession of Transnistria either.</w:t>
      </w:r>
      <w:r w:rsidR="001F2AED" w:rsidRPr="00144F04">
        <w:rPr>
          <w:rStyle w:val="FootnoteReference"/>
          <w:rFonts w:cstheme="minorHAnsi"/>
          <w:sz w:val="24"/>
          <w:szCs w:val="24"/>
        </w:rPr>
        <w:footnoteReference w:id="196"/>
      </w:r>
      <w:r>
        <w:rPr>
          <w:rFonts w:cstheme="minorHAnsi"/>
          <w:sz w:val="24"/>
          <w:szCs w:val="24"/>
        </w:rPr>
        <w:t xml:space="preserve">  </w:t>
      </w:r>
      <w:r w:rsidR="001F2AED">
        <w:rPr>
          <w:rFonts w:cstheme="minorHAnsi"/>
          <w:sz w:val="24"/>
          <w:szCs w:val="24"/>
        </w:rPr>
        <w:t xml:space="preserve">Likewise, Azerbaijan, from the outset, rejected the secession of </w:t>
      </w:r>
      <w:r w:rsidR="007A590F" w:rsidRPr="00EC6853">
        <w:rPr>
          <w:rFonts w:cstheme="minorHAnsi"/>
          <w:sz w:val="24"/>
          <w:szCs w:val="24"/>
        </w:rPr>
        <w:t>Nagorno-Karabakh</w:t>
      </w:r>
      <w:r w:rsidR="00B52EAD">
        <w:rPr>
          <w:rFonts w:cstheme="minorHAnsi"/>
          <w:sz w:val="24"/>
          <w:szCs w:val="24"/>
        </w:rPr>
        <w:t xml:space="preserve"> as it fought to keep control of it</w:t>
      </w:r>
      <w:r w:rsidR="001F2AED">
        <w:rPr>
          <w:rFonts w:cstheme="minorHAnsi"/>
          <w:sz w:val="24"/>
          <w:szCs w:val="24"/>
        </w:rPr>
        <w:t xml:space="preserve">. Such a position has been widely accepted at the international level, with a </w:t>
      </w:r>
      <w:r w:rsidR="00CB4616">
        <w:rPr>
          <w:rFonts w:cstheme="minorHAnsi"/>
          <w:sz w:val="24"/>
          <w:szCs w:val="24"/>
        </w:rPr>
        <w:t>plethora</w:t>
      </w:r>
      <w:r w:rsidR="001F2AED">
        <w:rPr>
          <w:rFonts w:cstheme="minorHAnsi"/>
          <w:sz w:val="24"/>
          <w:szCs w:val="24"/>
        </w:rPr>
        <w:t xml:space="preserve"> of UN Security Council resolutions </w:t>
      </w:r>
      <w:r w:rsidR="001F2AED" w:rsidRPr="00EC6853">
        <w:rPr>
          <w:rFonts w:cstheme="minorHAnsi"/>
          <w:sz w:val="24"/>
          <w:szCs w:val="24"/>
        </w:rPr>
        <w:t>refer</w:t>
      </w:r>
      <w:r w:rsidR="001F2AED">
        <w:rPr>
          <w:rFonts w:cstheme="minorHAnsi"/>
          <w:sz w:val="24"/>
          <w:szCs w:val="24"/>
        </w:rPr>
        <w:t>ring</w:t>
      </w:r>
      <w:r w:rsidR="007A590F" w:rsidRPr="00EC6853">
        <w:rPr>
          <w:rFonts w:cstheme="minorHAnsi"/>
          <w:sz w:val="24"/>
          <w:szCs w:val="24"/>
        </w:rPr>
        <w:t xml:space="preserve"> to the territorial integrity</w:t>
      </w:r>
      <w:r w:rsidR="001F2AED">
        <w:rPr>
          <w:rFonts w:cstheme="minorHAnsi"/>
          <w:sz w:val="24"/>
          <w:szCs w:val="24"/>
        </w:rPr>
        <w:t xml:space="preserve"> of all States in the region</w:t>
      </w:r>
      <w:r w:rsidR="001F2AED">
        <w:rPr>
          <w:rStyle w:val="FootnoteReference"/>
          <w:rFonts w:cstheme="minorHAnsi"/>
          <w:sz w:val="24"/>
          <w:szCs w:val="24"/>
        </w:rPr>
        <w:footnoteReference w:id="197"/>
      </w:r>
      <w:r w:rsidR="001F2AED">
        <w:rPr>
          <w:rFonts w:cstheme="minorHAnsi"/>
          <w:sz w:val="24"/>
          <w:szCs w:val="24"/>
        </w:rPr>
        <w:t xml:space="preserve"> and/or specifically mentioning that</w:t>
      </w:r>
      <w:r w:rsidR="007A590F" w:rsidRPr="00EC6853">
        <w:rPr>
          <w:rFonts w:cstheme="minorHAnsi"/>
          <w:sz w:val="24"/>
          <w:szCs w:val="24"/>
        </w:rPr>
        <w:t xml:space="preserve"> of Azerbaijan</w:t>
      </w:r>
      <w:r w:rsidR="001F2AED">
        <w:rPr>
          <w:rFonts w:cstheme="minorHAnsi"/>
          <w:sz w:val="24"/>
          <w:szCs w:val="24"/>
        </w:rPr>
        <w:t>.</w:t>
      </w:r>
      <w:r w:rsidR="007A590F" w:rsidRPr="00EC6853">
        <w:rPr>
          <w:rFonts w:cstheme="minorHAnsi"/>
          <w:sz w:val="24"/>
          <w:szCs w:val="24"/>
        </w:rPr>
        <w:t xml:space="preserve"> </w:t>
      </w:r>
    </w:p>
    <w:p w14:paraId="5C3D819D" w14:textId="6CD74E04" w:rsidR="00604D5F" w:rsidRPr="009B7C6E" w:rsidRDefault="00604D5F" w:rsidP="00604D5F">
      <w:pPr>
        <w:spacing w:after="0" w:line="240" w:lineRule="auto"/>
        <w:jc w:val="both"/>
        <w:rPr>
          <w:rFonts w:cstheme="minorHAnsi"/>
          <w:color w:val="000000"/>
          <w:sz w:val="24"/>
          <w:szCs w:val="24"/>
          <w:shd w:val="clear" w:color="auto" w:fill="FFFFFF"/>
        </w:rPr>
      </w:pPr>
      <w:r>
        <w:rPr>
          <w:rFonts w:cstheme="minorHAnsi"/>
          <w:sz w:val="24"/>
          <w:szCs w:val="24"/>
        </w:rPr>
        <w:t>That being said, as Vidmar stresses, there is no legal basis in international law that prohibits unilateral secession.</w:t>
      </w:r>
      <w:r>
        <w:rPr>
          <w:rStyle w:val="FootnoteReference"/>
          <w:rFonts w:cstheme="minorHAnsi"/>
          <w:sz w:val="24"/>
          <w:szCs w:val="24"/>
        </w:rPr>
        <w:footnoteReference w:id="198"/>
      </w:r>
      <w:r>
        <w:rPr>
          <w:rFonts w:cstheme="minorHAnsi"/>
          <w:sz w:val="24"/>
          <w:szCs w:val="24"/>
        </w:rPr>
        <w:t xml:space="preserve"> A better position is that international law is neutral</w:t>
      </w:r>
      <w:r w:rsidR="00180549">
        <w:rPr>
          <w:rStyle w:val="FootnoteReference"/>
          <w:rFonts w:cstheme="minorHAnsi"/>
          <w:sz w:val="24"/>
          <w:szCs w:val="24"/>
        </w:rPr>
        <w:footnoteReference w:id="199"/>
      </w:r>
      <w:r>
        <w:rPr>
          <w:rFonts w:cstheme="minorHAnsi"/>
          <w:sz w:val="24"/>
          <w:szCs w:val="24"/>
        </w:rPr>
        <w:t xml:space="preserve"> towards secession: ‘an entity is neither prohibited from, nor entitled to, secession when the parent State continues to make a counterclaim to territorial integrity.’</w:t>
      </w:r>
      <w:r>
        <w:rPr>
          <w:rStyle w:val="FootnoteReference"/>
          <w:rFonts w:cstheme="minorHAnsi"/>
          <w:sz w:val="24"/>
          <w:szCs w:val="24"/>
        </w:rPr>
        <w:footnoteReference w:id="200"/>
      </w:r>
      <w:r>
        <w:rPr>
          <w:rFonts w:cstheme="minorHAnsi"/>
          <w:sz w:val="24"/>
          <w:szCs w:val="24"/>
        </w:rPr>
        <w:t xml:space="preserve"> </w:t>
      </w:r>
      <w:r w:rsidR="000B39D2">
        <w:rPr>
          <w:rFonts w:cstheme="minorHAnsi"/>
          <w:sz w:val="24"/>
          <w:szCs w:val="24"/>
        </w:rPr>
        <w:t xml:space="preserve">For as long as a counterclaim to territorial integrity </w:t>
      </w:r>
      <w:r w:rsidR="00631F27">
        <w:rPr>
          <w:rFonts w:cstheme="minorHAnsi"/>
          <w:sz w:val="24"/>
          <w:szCs w:val="24"/>
        </w:rPr>
        <w:t xml:space="preserve">exists </w:t>
      </w:r>
      <w:r w:rsidR="000B39D2">
        <w:rPr>
          <w:rFonts w:cstheme="minorHAnsi"/>
          <w:sz w:val="24"/>
          <w:szCs w:val="24"/>
        </w:rPr>
        <w:t>and is not disregarded by the international community, the seceding entity is not a State.</w:t>
      </w:r>
      <w:r w:rsidR="000B39D2">
        <w:rPr>
          <w:rStyle w:val="FootnoteReference"/>
          <w:rFonts w:cstheme="minorHAnsi"/>
          <w:sz w:val="24"/>
          <w:szCs w:val="24"/>
        </w:rPr>
        <w:footnoteReference w:id="201"/>
      </w:r>
      <w:r w:rsidR="000B39D2">
        <w:rPr>
          <w:rFonts w:cstheme="minorHAnsi"/>
          <w:sz w:val="24"/>
          <w:szCs w:val="24"/>
        </w:rPr>
        <w:t xml:space="preserve"> </w:t>
      </w:r>
      <w:proofErr w:type="spellStart"/>
      <w:r w:rsidR="00E93C07" w:rsidRPr="005B5A89">
        <w:rPr>
          <w:rFonts w:cstheme="minorHAnsi"/>
          <w:sz w:val="24"/>
          <w:szCs w:val="24"/>
        </w:rPr>
        <w:t>Fikfak’s</w:t>
      </w:r>
      <w:proofErr w:type="spellEnd"/>
      <w:r w:rsidR="00E93C07">
        <w:rPr>
          <w:rFonts w:cstheme="minorHAnsi"/>
          <w:sz w:val="24"/>
          <w:szCs w:val="24"/>
        </w:rPr>
        <w:t xml:space="preserve"> interpretation of the </w:t>
      </w:r>
      <w:r w:rsidR="00E93C07">
        <w:rPr>
          <w:rFonts w:cstheme="minorHAnsi"/>
          <w:i/>
          <w:iCs/>
          <w:sz w:val="24"/>
          <w:szCs w:val="24"/>
        </w:rPr>
        <w:t xml:space="preserve">Re Secession of Quebec </w:t>
      </w:r>
      <w:r w:rsidR="00E93C07">
        <w:rPr>
          <w:rFonts w:cstheme="minorHAnsi"/>
          <w:sz w:val="24"/>
          <w:szCs w:val="24"/>
        </w:rPr>
        <w:t>supports this view as she notes that ‘(1) the success of a unilateral secession depends on international recognition, and (2) the conduct of the parent state towards the independence-seeking entity will be considered very important when states decide on granting recognition.’</w:t>
      </w:r>
      <w:r w:rsidR="00E93C07">
        <w:rPr>
          <w:rStyle w:val="FootnoteReference"/>
          <w:rFonts w:cstheme="minorHAnsi"/>
          <w:sz w:val="24"/>
          <w:szCs w:val="24"/>
        </w:rPr>
        <w:footnoteReference w:id="202"/>
      </w:r>
      <w:r w:rsidR="00E93C07">
        <w:rPr>
          <w:rFonts w:cstheme="minorHAnsi"/>
          <w:sz w:val="24"/>
          <w:szCs w:val="24"/>
        </w:rPr>
        <w:t xml:space="preserve"> </w:t>
      </w:r>
      <w:r w:rsidR="009F7734">
        <w:rPr>
          <w:rFonts w:cstheme="minorHAnsi"/>
          <w:sz w:val="24"/>
          <w:szCs w:val="24"/>
        </w:rPr>
        <w:t>Moreover, a wide range of international legal instruments preclude secession without the consent of the parent State.</w:t>
      </w:r>
      <w:r w:rsidR="009F7734">
        <w:rPr>
          <w:rStyle w:val="FootnoteReference"/>
          <w:rFonts w:cstheme="minorHAnsi"/>
          <w:sz w:val="24"/>
          <w:szCs w:val="24"/>
        </w:rPr>
        <w:footnoteReference w:id="203"/>
      </w:r>
      <w:r w:rsidR="009F7734">
        <w:rPr>
          <w:rFonts w:cstheme="minorHAnsi"/>
          <w:sz w:val="24"/>
          <w:szCs w:val="24"/>
        </w:rPr>
        <w:t xml:space="preserve"> However</w:t>
      </w:r>
      <w:r>
        <w:rPr>
          <w:rFonts w:cstheme="minorHAnsi"/>
          <w:sz w:val="24"/>
          <w:szCs w:val="24"/>
        </w:rPr>
        <w:t xml:space="preserve">, the principle of territorial integrity is no guarantee against the application of the right of self-determination, notably because of the safeguard clause included in the Friendly Relations Declaration that </w:t>
      </w:r>
      <w:r w:rsidR="00821794">
        <w:rPr>
          <w:rFonts w:cstheme="minorHAnsi"/>
          <w:sz w:val="24"/>
          <w:szCs w:val="24"/>
        </w:rPr>
        <w:t>alludes</w:t>
      </w:r>
      <w:r>
        <w:rPr>
          <w:rFonts w:cstheme="minorHAnsi"/>
          <w:sz w:val="24"/>
          <w:szCs w:val="24"/>
        </w:rPr>
        <w:t xml:space="preserve"> to </w:t>
      </w:r>
      <w:r w:rsidR="00BB4A47">
        <w:rPr>
          <w:rFonts w:cstheme="minorHAnsi"/>
          <w:sz w:val="24"/>
          <w:szCs w:val="24"/>
        </w:rPr>
        <w:t>what is called ‘</w:t>
      </w:r>
      <w:r>
        <w:rPr>
          <w:rFonts w:cstheme="minorHAnsi"/>
          <w:sz w:val="24"/>
          <w:szCs w:val="24"/>
        </w:rPr>
        <w:t>remedial secession</w:t>
      </w:r>
      <w:r w:rsidR="00BB4A47">
        <w:rPr>
          <w:rFonts w:cstheme="minorHAnsi"/>
          <w:sz w:val="24"/>
          <w:szCs w:val="24"/>
        </w:rPr>
        <w:t>’</w:t>
      </w:r>
      <w:r w:rsidR="00645CD3">
        <w:rPr>
          <w:rFonts w:cstheme="minorHAnsi"/>
          <w:sz w:val="24"/>
          <w:szCs w:val="24"/>
        </w:rPr>
        <w:t>.</w:t>
      </w:r>
      <w:r>
        <w:rPr>
          <w:rStyle w:val="FootnoteReference"/>
          <w:rFonts w:cstheme="minorHAnsi"/>
          <w:sz w:val="24"/>
          <w:szCs w:val="24"/>
        </w:rPr>
        <w:footnoteReference w:id="204"/>
      </w:r>
      <w:r w:rsidR="00BB4A47">
        <w:rPr>
          <w:rFonts w:cstheme="minorHAnsi"/>
          <w:sz w:val="24"/>
          <w:szCs w:val="24"/>
        </w:rPr>
        <w:t xml:space="preserve"> </w:t>
      </w:r>
    </w:p>
    <w:p w14:paraId="2D4FAD91" w14:textId="2944D2DA" w:rsidR="006A0617" w:rsidRDefault="00E07E7E" w:rsidP="009B7C6E">
      <w:pPr>
        <w:spacing w:after="0" w:line="240" w:lineRule="auto"/>
        <w:jc w:val="both"/>
        <w:rPr>
          <w:rFonts w:cstheme="minorHAnsi"/>
          <w:sz w:val="24"/>
          <w:szCs w:val="24"/>
        </w:rPr>
      </w:pPr>
      <w:r>
        <w:rPr>
          <w:rFonts w:cstheme="minorHAnsi"/>
          <w:sz w:val="24"/>
          <w:szCs w:val="24"/>
        </w:rPr>
        <w:t xml:space="preserve">If secession is permitted, it must comply with the </w:t>
      </w:r>
      <w:proofErr w:type="spellStart"/>
      <w:r>
        <w:rPr>
          <w:rFonts w:cstheme="minorHAnsi"/>
          <w:i/>
          <w:iCs/>
          <w:sz w:val="24"/>
          <w:szCs w:val="24"/>
        </w:rPr>
        <w:t>uti</w:t>
      </w:r>
      <w:proofErr w:type="spellEnd"/>
      <w:r>
        <w:rPr>
          <w:rFonts w:cstheme="minorHAnsi"/>
          <w:i/>
          <w:iCs/>
          <w:sz w:val="24"/>
          <w:szCs w:val="24"/>
        </w:rPr>
        <w:t xml:space="preserve"> </w:t>
      </w:r>
      <w:proofErr w:type="spellStart"/>
      <w:r>
        <w:rPr>
          <w:rFonts w:cstheme="minorHAnsi"/>
          <w:i/>
          <w:iCs/>
          <w:sz w:val="24"/>
          <w:szCs w:val="24"/>
        </w:rPr>
        <w:t>possidetis</w:t>
      </w:r>
      <w:proofErr w:type="spellEnd"/>
      <w:r w:rsidR="00D64A0D">
        <w:rPr>
          <w:rFonts w:cstheme="minorHAnsi"/>
          <w:i/>
          <w:iCs/>
          <w:sz w:val="24"/>
          <w:szCs w:val="24"/>
        </w:rPr>
        <w:t xml:space="preserve"> juris</w:t>
      </w:r>
      <w:r>
        <w:rPr>
          <w:rFonts w:cstheme="minorHAnsi"/>
          <w:i/>
          <w:iCs/>
          <w:sz w:val="24"/>
          <w:szCs w:val="24"/>
        </w:rPr>
        <w:t xml:space="preserve"> </w:t>
      </w:r>
      <w:r>
        <w:rPr>
          <w:rFonts w:cstheme="minorHAnsi"/>
          <w:sz w:val="24"/>
          <w:szCs w:val="24"/>
        </w:rPr>
        <w:t>rule</w:t>
      </w:r>
      <w:r w:rsidR="006304BD">
        <w:rPr>
          <w:rFonts w:cstheme="minorHAnsi"/>
          <w:sz w:val="24"/>
          <w:szCs w:val="24"/>
        </w:rPr>
        <w:t>,</w:t>
      </w:r>
      <w:r w:rsidR="006304BD" w:rsidRPr="006304BD">
        <w:rPr>
          <w:rStyle w:val="FootnoteReference"/>
          <w:rFonts w:cstheme="minorHAnsi"/>
          <w:sz w:val="24"/>
          <w:szCs w:val="24"/>
        </w:rPr>
        <w:t xml:space="preserve"> </w:t>
      </w:r>
      <w:r w:rsidR="006304BD">
        <w:rPr>
          <w:rFonts w:cstheme="minorHAnsi"/>
          <w:sz w:val="24"/>
          <w:szCs w:val="24"/>
        </w:rPr>
        <w:t xml:space="preserve">which is </w:t>
      </w:r>
      <w:r w:rsidR="006A0617">
        <w:rPr>
          <w:rFonts w:cstheme="minorHAnsi"/>
          <w:sz w:val="24"/>
          <w:szCs w:val="24"/>
        </w:rPr>
        <w:t>understood as</w:t>
      </w:r>
      <w:r w:rsidR="006304BD">
        <w:rPr>
          <w:rFonts w:cstheme="minorHAnsi"/>
          <w:sz w:val="24"/>
          <w:szCs w:val="24"/>
        </w:rPr>
        <w:t xml:space="preserve"> the principle of respect for the territorial </w:t>
      </w:r>
      <w:r w:rsidR="006304BD" w:rsidRPr="006304BD">
        <w:rPr>
          <w:rFonts w:cstheme="minorHAnsi"/>
          <w:i/>
          <w:iCs/>
          <w:sz w:val="24"/>
          <w:szCs w:val="24"/>
        </w:rPr>
        <w:t>status quo</w:t>
      </w:r>
      <w:r w:rsidR="006304BD" w:rsidRPr="00EC6853">
        <w:rPr>
          <w:rFonts w:cstheme="minorHAnsi"/>
          <w:sz w:val="24"/>
          <w:szCs w:val="24"/>
        </w:rPr>
        <w:t>.</w:t>
      </w:r>
      <w:r w:rsidR="006304BD" w:rsidRPr="00EC6853">
        <w:rPr>
          <w:rStyle w:val="FootnoteReference"/>
          <w:rFonts w:cstheme="minorHAnsi"/>
          <w:sz w:val="24"/>
          <w:szCs w:val="24"/>
        </w:rPr>
        <w:footnoteReference w:id="205"/>
      </w:r>
      <w:r w:rsidR="006304BD">
        <w:rPr>
          <w:rFonts w:cstheme="minorHAnsi"/>
          <w:sz w:val="24"/>
          <w:szCs w:val="24"/>
        </w:rPr>
        <w:t xml:space="preserve"> </w:t>
      </w:r>
      <w:r w:rsidR="00946DBD" w:rsidRPr="006A0617">
        <w:rPr>
          <w:rFonts w:cstheme="minorHAnsi"/>
          <w:sz w:val="24"/>
          <w:szCs w:val="24"/>
        </w:rPr>
        <w:t xml:space="preserve">The rule is widely </w:t>
      </w:r>
      <w:r w:rsidR="004C335E">
        <w:rPr>
          <w:rFonts w:cstheme="minorHAnsi"/>
          <w:sz w:val="24"/>
          <w:szCs w:val="24"/>
        </w:rPr>
        <w:t>acknowledged</w:t>
      </w:r>
      <w:r w:rsidR="00946DBD" w:rsidRPr="006A0617">
        <w:rPr>
          <w:rFonts w:cstheme="minorHAnsi"/>
          <w:sz w:val="24"/>
          <w:szCs w:val="24"/>
        </w:rPr>
        <w:t>, its ‘</w:t>
      </w:r>
      <w:r w:rsidR="00946DBD" w:rsidRPr="006A0617">
        <w:rPr>
          <w:sz w:val="24"/>
          <w:szCs w:val="24"/>
        </w:rPr>
        <w:t xml:space="preserve">periodic restatement […] </w:t>
      </w:r>
      <w:proofErr w:type="spellStart"/>
      <w:r w:rsidR="00946DBD" w:rsidRPr="006A0617">
        <w:rPr>
          <w:sz w:val="24"/>
          <w:szCs w:val="24"/>
        </w:rPr>
        <w:t>perpetuat</w:t>
      </w:r>
      <w:proofErr w:type="spellEnd"/>
      <w:r w:rsidR="00946DBD" w:rsidRPr="006A0617">
        <w:rPr>
          <w:sz w:val="24"/>
          <w:szCs w:val="24"/>
        </w:rPr>
        <w:t>[</w:t>
      </w:r>
      <w:proofErr w:type="spellStart"/>
      <w:r w:rsidR="00946DBD" w:rsidRPr="006A0617">
        <w:rPr>
          <w:sz w:val="24"/>
          <w:szCs w:val="24"/>
        </w:rPr>
        <w:t>ing</w:t>
      </w:r>
      <w:proofErr w:type="spellEnd"/>
      <w:r w:rsidR="00946DBD" w:rsidRPr="006A0617">
        <w:rPr>
          <w:sz w:val="24"/>
          <w:szCs w:val="24"/>
        </w:rPr>
        <w:t xml:space="preserve">] its salience in the international law governing </w:t>
      </w:r>
      <w:r w:rsidR="00946DBD" w:rsidRPr="006A0617">
        <w:rPr>
          <w:sz w:val="24"/>
          <w:szCs w:val="24"/>
        </w:rPr>
        <w:lastRenderedPageBreak/>
        <w:t>territory’.</w:t>
      </w:r>
      <w:r w:rsidR="00946DBD" w:rsidRPr="006A0617">
        <w:rPr>
          <w:rStyle w:val="FootnoteReference"/>
          <w:sz w:val="24"/>
          <w:szCs w:val="24"/>
        </w:rPr>
        <w:footnoteReference w:id="206"/>
      </w:r>
      <w:r w:rsidR="00946DBD" w:rsidRPr="006A0617">
        <w:rPr>
          <w:sz w:val="24"/>
          <w:szCs w:val="24"/>
        </w:rPr>
        <w:t xml:space="preserve"> Its latest iteration </w:t>
      </w:r>
      <w:r w:rsidR="00946DBD">
        <w:rPr>
          <w:sz w:val="24"/>
          <w:szCs w:val="24"/>
        </w:rPr>
        <w:t>is</w:t>
      </w:r>
      <w:r w:rsidR="00946DBD" w:rsidRPr="006A0617">
        <w:rPr>
          <w:sz w:val="24"/>
          <w:szCs w:val="24"/>
        </w:rPr>
        <w:t xml:space="preserve"> found in Opinion 3 of the </w:t>
      </w:r>
      <w:proofErr w:type="spellStart"/>
      <w:r w:rsidR="00946DBD" w:rsidRPr="006A0617">
        <w:rPr>
          <w:sz w:val="24"/>
          <w:szCs w:val="24"/>
        </w:rPr>
        <w:t>Badinter</w:t>
      </w:r>
      <w:proofErr w:type="spellEnd"/>
      <w:r w:rsidR="00946DBD" w:rsidRPr="006A0617">
        <w:rPr>
          <w:sz w:val="24"/>
          <w:szCs w:val="24"/>
        </w:rPr>
        <w:t xml:space="preserve"> Committee which, based on the </w:t>
      </w:r>
      <w:r w:rsidR="00946DBD" w:rsidRPr="006A0617">
        <w:rPr>
          <w:i/>
          <w:iCs/>
          <w:sz w:val="24"/>
          <w:szCs w:val="24"/>
        </w:rPr>
        <w:t xml:space="preserve">Frontier Dispute </w:t>
      </w:r>
      <w:r w:rsidR="00946DBD" w:rsidRPr="00434F9A">
        <w:rPr>
          <w:i/>
          <w:sz w:val="24"/>
          <w:szCs w:val="24"/>
        </w:rPr>
        <w:t>Case</w:t>
      </w:r>
      <w:r w:rsidR="00946DBD" w:rsidRPr="006A0617">
        <w:rPr>
          <w:iCs/>
          <w:sz w:val="24"/>
          <w:szCs w:val="24"/>
        </w:rPr>
        <w:t>,</w:t>
      </w:r>
      <w:r w:rsidR="00946DBD" w:rsidRPr="006A0617">
        <w:rPr>
          <w:rStyle w:val="FootnoteReference"/>
          <w:iCs/>
          <w:sz w:val="24"/>
          <w:szCs w:val="24"/>
        </w:rPr>
        <w:footnoteReference w:id="207"/>
      </w:r>
      <w:r w:rsidR="00946DBD" w:rsidRPr="006A0617">
        <w:rPr>
          <w:sz w:val="24"/>
          <w:szCs w:val="24"/>
        </w:rPr>
        <w:t xml:space="preserve"> </w:t>
      </w:r>
      <w:r w:rsidR="00946DBD" w:rsidRPr="006A0617">
        <w:rPr>
          <w:rFonts w:cstheme="minorHAnsi"/>
          <w:sz w:val="24"/>
          <w:szCs w:val="24"/>
        </w:rPr>
        <w:t>determined that it ‘</w:t>
      </w:r>
      <w:r w:rsidR="00946DBD" w:rsidRPr="006A0617">
        <w:rPr>
          <w:sz w:val="24"/>
          <w:szCs w:val="24"/>
        </w:rPr>
        <w:t>is today recognized as a general principle’.</w:t>
      </w:r>
      <w:r w:rsidR="00946DBD" w:rsidRPr="006A0617">
        <w:rPr>
          <w:rStyle w:val="FootnoteReference"/>
          <w:sz w:val="24"/>
          <w:szCs w:val="24"/>
        </w:rPr>
        <w:footnoteReference w:id="208"/>
      </w:r>
      <w:r w:rsidR="00F62771">
        <w:rPr>
          <w:sz w:val="24"/>
          <w:szCs w:val="24"/>
        </w:rPr>
        <w:t xml:space="preserve"> </w:t>
      </w:r>
      <w:r w:rsidR="00CF665A">
        <w:rPr>
          <w:sz w:val="24"/>
          <w:szCs w:val="24"/>
        </w:rPr>
        <w:t>Notwithstanding</w:t>
      </w:r>
      <w:r w:rsidR="00F62771">
        <w:rPr>
          <w:sz w:val="24"/>
          <w:szCs w:val="24"/>
        </w:rPr>
        <w:t xml:space="preserve">, as </w:t>
      </w:r>
      <w:proofErr w:type="spellStart"/>
      <w:r w:rsidR="00F62771" w:rsidRPr="00254D98">
        <w:rPr>
          <w:sz w:val="24"/>
          <w:szCs w:val="24"/>
        </w:rPr>
        <w:t>M</w:t>
      </w:r>
      <w:r w:rsidR="00F62771" w:rsidRPr="00254D98">
        <w:rPr>
          <w:rFonts w:cstheme="minorHAnsi"/>
          <w:sz w:val="24"/>
          <w:szCs w:val="24"/>
        </w:rPr>
        <w:t>ä</w:t>
      </w:r>
      <w:r w:rsidR="00F62771" w:rsidRPr="00254D98">
        <w:rPr>
          <w:sz w:val="24"/>
          <w:szCs w:val="24"/>
        </w:rPr>
        <w:t>lksoo</w:t>
      </w:r>
      <w:proofErr w:type="spellEnd"/>
      <w:r w:rsidR="00F62771">
        <w:rPr>
          <w:sz w:val="24"/>
          <w:szCs w:val="24"/>
        </w:rPr>
        <w:t xml:space="preserve"> </w:t>
      </w:r>
      <w:r w:rsidR="005C7B3D">
        <w:rPr>
          <w:sz w:val="24"/>
          <w:szCs w:val="24"/>
        </w:rPr>
        <w:t>expounds</w:t>
      </w:r>
      <w:r w:rsidR="00F62771">
        <w:rPr>
          <w:sz w:val="24"/>
          <w:szCs w:val="24"/>
        </w:rPr>
        <w:t>, the principle is neither codified in a treaty nor ‘is it obvious that it is a universally binding customary rule.’</w:t>
      </w:r>
      <w:r w:rsidR="00F62771">
        <w:rPr>
          <w:rStyle w:val="FootnoteReference"/>
          <w:sz w:val="24"/>
          <w:szCs w:val="24"/>
        </w:rPr>
        <w:footnoteReference w:id="209"/>
      </w:r>
      <w:r w:rsidR="00194E1A">
        <w:rPr>
          <w:sz w:val="24"/>
          <w:szCs w:val="24"/>
        </w:rPr>
        <w:t xml:space="preserve"> </w:t>
      </w:r>
      <w:r w:rsidR="006A0617">
        <w:rPr>
          <w:rFonts w:cstheme="minorHAnsi"/>
          <w:sz w:val="24"/>
          <w:szCs w:val="24"/>
        </w:rPr>
        <w:t xml:space="preserve">The ICJ </w:t>
      </w:r>
      <w:r w:rsidR="00946DBD">
        <w:rPr>
          <w:rFonts w:cstheme="minorHAnsi"/>
          <w:sz w:val="24"/>
          <w:szCs w:val="24"/>
        </w:rPr>
        <w:t>stressed</w:t>
      </w:r>
      <w:r w:rsidR="006A0617">
        <w:rPr>
          <w:rFonts w:cstheme="minorHAnsi"/>
          <w:sz w:val="24"/>
          <w:szCs w:val="24"/>
        </w:rPr>
        <w:t xml:space="preserve"> that the principle ‘is logically connected with the phenomenon of the obtaining of independence’.</w:t>
      </w:r>
      <w:r w:rsidR="006A0617">
        <w:rPr>
          <w:rStyle w:val="FootnoteReference"/>
          <w:rFonts w:cstheme="minorHAnsi"/>
          <w:sz w:val="24"/>
          <w:szCs w:val="24"/>
        </w:rPr>
        <w:footnoteReference w:id="210"/>
      </w:r>
      <w:r w:rsidR="006A0617">
        <w:rPr>
          <w:rFonts w:cstheme="minorHAnsi"/>
          <w:sz w:val="24"/>
          <w:szCs w:val="24"/>
        </w:rPr>
        <w:t xml:space="preserve"> Originally applied in the context of the decolonisation of Spanish</w:t>
      </w:r>
      <w:r w:rsidR="00317739">
        <w:rPr>
          <w:rFonts w:cstheme="minorHAnsi"/>
          <w:sz w:val="24"/>
          <w:szCs w:val="24"/>
        </w:rPr>
        <w:t xml:space="preserve"> South</w:t>
      </w:r>
      <w:r w:rsidR="006A0617">
        <w:rPr>
          <w:rFonts w:cstheme="minorHAnsi"/>
          <w:sz w:val="24"/>
          <w:szCs w:val="24"/>
        </w:rPr>
        <w:t xml:space="preserve"> America and Africa,</w:t>
      </w:r>
      <w:r w:rsidR="006A0617">
        <w:rPr>
          <w:rStyle w:val="FootnoteReference"/>
          <w:rFonts w:cstheme="minorHAnsi"/>
          <w:sz w:val="24"/>
          <w:szCs w:val="24"/>
        </w:rPr>
        <w:footnoteReference w:id="211"/>
      </w:r>
      <w:r w:rsidR="006A0617">
        <w:rPr>
          <w:rFonts w:cstheme="minorHAnsi"/>
          <w:sz w:val="24"/>
          <w:szCs w:val="24"/>
        </w:rPr>
        <w:t xml:space="preserve"> the rule </w:t>
      </w:r>
      <w:r>
        <w:rPr>
          <w:rFonts w:cstheme="minorHAnsi"/>
          <w:sz w:val="24"/>
          <w:szCs w:val="24"/>
        </w:rPr>
        <w:t xml:space="preserve">specifies that new entities must keep </w:t>
      </w:r>
      <w:r w:rsidRPr="00EC6853">
        <w:rPr>
          <w:rFonts w:cstheme="minorHAnsi"/>
          <w:sz w:val="24"/>
          <w:szCs w:val="24"/>
        </w:rPr>
        <w:t>the borders inherited from the colonisation or from the administrative divisions of the State</w:t>
      </w:r>
      <w:r>
        <w:rPr>
          <w:rFonts w:cstheme="minorHAnsi"/>
          <w:sz w:val="24"/>
          <w:szCs w:val="24"/>
        </w:rPr>
        <w:t>.</w:t>
      </w:r>
      <w:r w:rsidR="00D64A0D">
        <w:rPr>
          <w:rStyle w:val="FootnoteReference"/>
          <w:rFonts w:cstheme="minorHAnsi"/>
          <w:sz w:val="24"/>
          <w:szCs w:val="24"/>
        </w:rPr>
        <w:footnoteReference w:id="212"/>
      </w:r>
      <w:r>
        <w:rPr>
          <w:rFonts w:cstheme="minorHAnsi"/>
          <w:sz w:val="24"/>
          <w:szCs w:val="24"/>
        </w:rPr>
        <w:t xml:space="preserve"> </w:t>
      </w:r>
      <w:r w:rsidR="006A0617">
        <w:rPr>
          <w:rFonts w:cstheme="minorHAnsi"/>
          <w:sz w:val="24"/>
          <w:szCs w:val="24"/>
        </w:rPr>
        <w:t xml:space="preserve">This means that, </w:t>
      </w:r>
      <w:r w:rsidR="006A0617" w:rsidRPr="00EC6853">
        <w:rPr>
          <w:rFonts w:cstheme="minorHAnsi"/>
          <w:sz w:val="24"/>
          <w:szCs w:val="24"/>
        </w:rPr>
        <w:t>‘except where otherwise agreed, the former boundaries become frontiers protected by international law’.</w:t>
      </w:r>
      <w:r w:rsidR="006A0617">
        <w:rPr>
          <w:rStyle w:val="FootnoteReference"/>
          <w:rFonts w:cstheme="minorHAnsi"/>
          <w:sz w:val="24"/>
          <w:szCs w:val="24"/>
        </w:rPr>
        <w:footnoteReference w:id="213"/>
      </w:r>
    </w:p>
    <w:p w14:paraId="3C8D4CF3" w14:textId="6BBAD3B4" w:rsidR="00AC2864" w:rsidRDefault="00946DBD" w:rsidP="00CB4616">
      <w:pPr>
        <w:spacing w:after="0" w:line="240" w:lineRule="auto"/>
        <w:jc w:val="both"/>
        <w:rPr>
          <w:rFonts w:cstheme="minorHAnsi"/>
          <w:sz w:val="24"/>
          <w:szCs w:val="24"/>
        </w:rPr>
      </w:pPr>
      <w:r>
        <w:rPr>
          <w:sz w:val="24"/>
          <w:szCs w:val="24"/>
        </w:rPr>
        <w:t xml:space="preserve">Whilst the national borders become </w:t>
      </w:r>
      <w:r w:rsidR="00F1457E" w:rsidRPr="00EC6853">
        <w:rPr>
          <w:rFonts w:cstheme="minorHAnsi"/>
          <w:sz w:val="24"/>
          <w:szCs w:val="24"/>
        </w:rPr>
        <w:t>the new international borders</w:t>
      </w:r>
      <w:r w:rsidR="00D8794C">
        <w:rPr>
          <w:rFonts w:cstheme="minorHAnsi"/>
          <w:sz w:val="24"/>
          <w:szCs w:val="24"/>
        </w:rPr>
        <w:t>,</w:t>
      </w:r>
      <w:r w:rsidR="00F1457E" w:rsidRPr="00EC6853">
        <w:rPr>
          <w:rFonts w:cstheme="minorHAnsi"/>
          <w:sz w:val="24"/>
          <w:szCs w:val="24"/>
        </w:rPr>
        <w:t xml:space="preserve"> autonomous regions </w:t>
      </w:r>
      <w:r>
        <w:rPr>
          <w:rFonts w:cstheme="minorHAnsi"/>
          <w:sz w:val="24"/>
          <w:szCs w:val="24"/>
        </w:rPr>
        <w:t>within that State do</w:t>
      </w:r>
      <w:r w:rsidR="00F1457E" w:rsidRPr="00EC6853">
        <w:rPr>
          <w:rFonts w:cstheme="minorHAnsi"/>
          <w:sz w:val="24"/>
          <w:szCs w:val="24"/>
        </w:rPr>
        <w:t xml:space="preserve"> not have </w:t>
      </w:r>
      <w:r w:rsidR="00F1457E" w:rsidRPr="00442DA5">
        <w:rPr>
          <w:rFonts w:cstheme="minorHAnsi"/>
          <w:sz w:val="24"/>
          <w:szCs w:val="24"/>
        </w:rPr>
        <w:t>this opportunity</w:t>
      </w:r>
      <w:r w:rsidRPr="00442DA5">
        <w:rPr>
          <w:rFonts w:cstheme="minorHAnsi"/>
          <w:sz w:val="24"/>
          <w:szCs w:val="24"/>
        </w:rPr>
        <w:t xml:space="preserve">. Sadly, this is one of the sources of the </w:t>
      </w:r>
      <w:r w:rsidR="00767802" w:rsidRPr="00442DA5">
        <w:rPr>
          <w:rFonts w:cstheme="minorHAnsi"/>
          <w:sz w:val="24"/>
          <w:szCs w:val="24"/>
        </w:rPr>
        <w:t xml:space="preserve">current intractable </w:t>
      </w:r>
      <w:r w:rsidR="00BD151A" w:rsidRPr="00442DA5">
        <w:rPr>
          <w:rFonts w:cstheme="minorHAnsi"/>
          <w:sz w:val="24"/>
          <w:szCs w:val="24"/>
        </w:rPr>
        <w:t>plight</w:t>
      </w:r>
      <w:r w:rsidRPr="00442DA5">
        <w:rPr>
          <w:rFonts w:cstheme="minorHAnsi"/>
          <w:sz w:val="24"/>
          <w:szCs w:val="24"/>
        </w:rPr>
        <w:t xml:space="preserve"> faced by the </w:t>
      </w:r>
      <w:r w:rsidRPr="00442DA5">
        <w:rPr>
          <w:rFonts w:cstheme="minorHAnsi"/>
          <w:i/>
          <w:iCs/>
          <w:sz w:val="24"/>
          <w:szCs w:val="24"/>
        </w:rPr>
        <w:t xml:space="preserve">de facto </w:t>
      </w:r>
      <w:r w:rsidRPr="00442DA5">
        <w:rPr>
          <w:rFonts w:cstheme="minorHAnsi"/>
          <w:sz w:val="24"/>
          <w:szCs w:val="24"/>
        </w:rPr>
        <w:t>States in the post-Soviet space. They were autonomous</w:t>
      </w:r>
      <w:r w:rsidR="00EC300E">
        <w:rPr>
          <w:rFonts w:cstheme="minorHAnsi"/>
          <w:sz w:val="24"/>
          <w:szCs w:val="24"/>
        </w:rPr>
        <w:t xml:space="preserve"> republics or</w:t>
      </w:r>
      <w:r w:rsidRPr="00442DA5">
        <w:rPr>
          <w:rFonts w:cstheme="minorHAnsi"/>
          <w:sz w:val="24"/>
          <w:szCs w:val="24"/>
        </w:rPr>
        <w:t xml:space="preserve"> regions</w:t>
      </w:r>
      <w:r w:rsidR="00EC300E">
        <w:rPr>
          <w:rFonts w:cstheme="minorHAnsi"/>
          <w:sz w:val="24"/>
          <w:szCs w:val="24"/>
        </w:rPr>
        <w:t xml:space="preserve"> (oblasts)</w:t>
      </w:r>
      <w:r w:rsidRPr="00442DA5">
        <w:rPr>
          <w:rFonts w:cstheme="minorHAnsi"/>
          <w:sz w:val="24"/>
          <w:szCs w:val="24"/>
        </w:rPr>
        <w:t xml:space="preserve"> within Soviet States </w:t>
      </w:r>
      <w:r w:rsidR="00EC300E">
        <w:rPr>
          <w:rFonts w:cstheme="minorHAnsi"/>
          <w:sz w:val="24"/>
          <w:szCs w:val="24"/>
        </w:rPr>
        <w:t>and were thus prevented from declaring their independence.</w:t>
      </w:r>
      <w:r w:rsidR="00EC300E">
        <w:rPr>
          <w:rStyle w:val="FootnoteReference"/>
          <w:rFonts w:cstheme="minorHAnsi"/>
          <w:sz w:val="24"/>
          <w:szCs w:val="24"/>
        </w:rPr>
        <w:footnoteReference w:id="214"/>
      </w:r>
      <w:r w:rsidR="00EC300E">
        <w:rPr>
          <w:rFonts w:cstheme="minorHAnsi"/>
          <w:sz w:val="24"/>
          <w:szCs w:val="24"/>
        </w:rPr>
        <w:t xml:space="preserve"> </w:t>
      </w:r>
      <w:r w:rsidR="008D0337" w:rsidRPr="00254D98">
        <w:rPr>
          <w:rFonts w:cstheme="minorHAnsi"/>
          <w:sz w:val="24"/>
          <w:szCs w:val="24"/>
        </w:rPr>
        <w:t>Bowring</w:t>
      </w:r>
      <w:r w:rsidR="00EC300E">
        <w:rPr>
          <w:rFonts w:cstheme="minorHAnsi"/>
          <w:sz w:val="24"/>
          <w:szCs w:val="24"/>
        </w:rPr>
        <w:t xml:space="preserve"> </w:t>
      </w:r>
      <w:r w:rsidR="00D46867">
        <w:rPr>
          <w:rFonts w:cstheme="minorHAnsi"/>
          <w:sz w:val="24"/>
          <w:szCs w:val="24"/>
        </w:rPr>
        <w:t>indicates</w:t>
      </w:r>
      <w:r w:rsidR="008D0337">
        <w:rPr>
          <w:rFonts w:cstheme="minorHAnsi"/>
          <w:sz w:val="24"/>
          <w:szCs w:val="24"/>
        </w:rPr>
        <w:t xml:space="preserve"> that Abkhazia, South Ossetia</w:t>
      </w:r>
      <w:r w:rsidR="00EC300E">
        <w:rPr>
          <w:rFonts w:cstheme="minorHAnsi"/>
          <w:sz w:val="24"/>
          <w:szCs w:val="24"/>
        </w:rPr>
        <w:t>,</w:t>
      </w:r>
      <w:r w:rsidR="008D0337">
        <w:rPr>
          <w:rFonts w:cstheme="minorHAnsi"/>
          <w:sz w:val="24"/>
          <w:szCs w:val="24"/>
        </w:rPr>
        <w:t xml:space="preserve"> and Transnistria never </w:t>
      </w:r>
      <w:r w:rsidR="00EC300E">
        <w:rPr>
          <w:rFonts w:cstheme="minorHAnsi"/>
          <w:sz w:val="24"/>
          <w:szCs w:val="24"/>
        </w:rPr>
        <w:t>seceded</w:t>
      </w:r>
      <w:r w:rsidR="008D0337">
        <w:rPr>
          <w:rFonts w:cstheme="minorHAnsi"/>
          <w:sz w:val="24"/>
          <w:szCs w:val="24"/>
        </w:rPr>
        <w:t xml:space="preserve"> from what is now their </w:t>
      </w:r>
      <w:r w:rsidR="005B5A89">
        <w:rPr>
          <w:rFonts w:cstheme="minorHAnsi"/>
          <w:sz w:val="24"/>
          <w:szCs w:val="24"/>
        </w:rPr>
        <w:t>parent</w:t>
      </w:r>
      <w:r w:rsidR="008D0337">
        <w:rPr>
          <w:rFonts w:cstheme="minorHAnsi"/>
          <w:sz w:val="24"/>
          <w:szCs w:val="24"/>
        </w:rPr>
        <w:t xml:space="preserve"> State.</w:t>
      </w:r>
      <w:r w:rsidR="008D0337">
        <w:rPr>
          <w:rStyle w:val="FootnoteReference"/>
          <w:rFonts w:cstheme="minorHAnsi"/>
          <w:sz w:val="24"/>
          <w:szCs w:val="24"/>
        </w:rPr>
        <w:footnoteReference w:id="215"/>
      </w:r>
      <w:r>
        <w:rPr>
          <w:rFonts w:cstheme="minorHAnsi"/>
          <w:sz w:val="24"/>
          <w:szCs w:val="24"/>
        </w:rPr>
        <w:t xml:space="preserve"> </w:t>
      </w:r>
      <w:r w:rsidR="00B646A0">
        <w:rPr>
          <w:rFonts w:cstheme="minorHAnsi"/>
          <w:sz w:val="24"/>
          <w:szCs w:val="24"/>
        </w:rPr>
        <w:t>This is however partially incorrect</w:t>
      </w:r>
      <w:r w:rsidR="00535A31">
        <w:rPr>
          <w:rFonts w:cstheme="minorHAnsi"/>
          <w:sz w:val="24"/>
          <w:szCs w:val="24"/>
        </w:rPr>
        <w:t xml:space="preserve"> though it is </w:t>
      </w:r>
      <w:r w:rsidR="00042EAD">
        <w:rPr>
          <w:rFonts w:cstheme="minorHAnsi"/>
          <w:sz w:val="24"/>
          <w:szCs w:val="24"/>
        </w:rPr>
        <w:t xml:space="preserve">true that all three entities expressed their desire to become independent </w:t>
      </w:r>
      <w:r w:rsidR="00EC300E" w:rsidRPr="00EC300E">
        <w:rPr>
          <w:rFonts w:cstheme="minorHAnsi"/>
          <w:i/>
          <w:iCs/>
          <w:sz w:val="24"/>
          <w:szCs w:val="24"/>
        </w:rPr>
        <w:t>prior</w:t>
      </w:r>
      <w:r w:rsidR="00EC300E">
        <w:rPr>
          <w:rFonts w:cstheme="minorHAnsi"/>
          <w:sz w:val="24"/>
          <w:szCs w:val="24"/>
        </w:rPr>
        <w:t xml:space="preserve"> to the collapse of</w:t>
      </w:r>
      <w:r w:rsidR="00042EAD">
        <w:rPr>
          <w:rFonts w:cstheme="minorHAnsi"/>
          <w:sz w:val="24"/>
          <w:szCs w:val="24"/>
        </w:rPr>
        <w:t xml:space="preserve"> the Soviet Union. </w:t>
      </w:r>
    </w:p>
    <w:p w14:paraId="5B389AC9" w14:textId="5DF18DE5" w:rsidR="00AC2864" w:rsidRDefault="00B646A0" w:rsidP="00CB4616">
      <w:pPr>
        <w:spacing w:after="0" w:line="240" w:lineRule="auto"/>
        <w:jc w:val="both"/>
        <w:rPr>
          <w:rFonts w:cstheme="minorHAnsi"/>
          <w:sz w:val="24"/>
          <w:szCs w:val="24"/>
        </w:rPr>
      </w:pPr>
      <w:r>
        <w:rPr>
          <w:rFonts w:cstheme="minorHAnsi"/>
          <w:sz w:val="24"/>
          <w:szCs w:val="24"/>
        </w:rPr>
        <w:t xml:space="preserve">South Ossetia had been an autonomous </w:t>
      </w:r>
      <w:r w:rsidR="002F5312">
        <w:rPr>
          <w:rFonts w:cstheme="minorHAnsi"/>
          <w:sz w:val="24"/>
          <w:szCs w:val="24"/>
        </w:rPr>
        <w:t>region</w:t>
      </w:r>
      <w:r>
        <w:rPr>
          <w:rFonts w:cstheme="minorHAnsi"/>
          <w:sz w:val="24"/>
          <w:szCs w:val="24"/>
        </w:rPr>
        <w:t xml:space="preserve"> as part of Georgia and requested an upgrade of status to that of an autonomous republic in November 1989, </w:t>
      </w:r>
      <w:r w:rsidR="00EC300E">
        <w:rPr>
          <w:rFonts w:cstheme="minorHAnsi"/>
          <w:sz w:val="24"/>
          <w:szCs w:val="24"/>
        </w:rPr>
        <w:t>before</w:t>
      </w:r>
      <w:r>
        <w:rPr>
          <w:rFonts w:cstheme="minorHAnsi"/>
          <w:sz w:val="24"/>
          <w:szCs w:val="24"/>
        </w:rPr>
        <w:t xml:space="preserve"> the fall of the Soviet Union. It was not a republic</w:t>
      </w:r>
      <w:r w:rsidR="00EC300E">
        <w:rPr>
          <w:rFonts w:cstheme="minorHAnsi"/>
          <w:sz w:val="24"/>
          <w:szCs w:val="24"/>
        </w:rPr>
        <w:t>; but,</w:t>
      </w:r>
      <w:r>
        <w:rPr>
          <w:rFonts w:cstheme="minorHAnsi"/>
          <w:sz w:val="24"/>
          <w:szCs w:val="24"/>
        </w:rPr>
        <w:t xml:space="preserve"> it was not part of a republic</w:t>
      </w:r>
      <w:r w:rsidR="00EC300E">
        <w:rPr>
          <w:rFonts w:cstheme="minorHAnsi"/>
          <w:sz w:val="24"/>
          <w:szCs w:val="24"/>
        </w:rPr>
        <w:t xml:space="preserve"> either</w:t>
      </w:r>
      <w:r>
        <w:rPr>
          <w:rFonts w:cstheme="minorHAnsi"/>
          <w:sz w:val="24"/>
          <w:szCs w:val="24"/>
        </w:rPr>
        <w:t xml:space="preserve"> and thus an administrative entity within an administrative entity. </w:t>
      </w:r>
      <w:r w:rsidR="00042EAD">
        <w:rPr>
          <w:rFonts w:cstheme="minorHAnsi"/>
          <w:sz w:val="24"/>
          <w:szCs w:val="24"/>
        </w:rPr>
        <w:t>On 20 September 1990</w:t>
      </w:r>
      <w:r w:rsidR="00AC2864">
        <w:rPr>
          <w:rFonts w:cstheme="minorHAnsi"/>
          <w:sz w:val="24"/>
          <w:szCs w:val="24"/>
        </w:rPr>
        <w:t>,</w:t>
      </w:r>
      <w:r w:rsidR="00042EAD">
        <w:rPr>
          <w:rFonts w:cstheme="minorHAnsi"/>
          <w:sz w:val="24"/>
          <w:szCs w:val="24"/>
        </w:rPr>
        <w:t xml:space="preserve"> it self-proclaimed itself </w:t>
      </w:r>
      <w:r w:rsidR="00EC300E">
        <w:rPr>
          <w:rFonts w:cstheme="minorHAnsi"/>
          <w:sz w:val="24"/>
          <w:szCs w:val="24"/>
        </w:rPr>
        <w:t xml:space="preserve">as </w:t>
      </w:r>
      <w:r w:rsidR="00042EAD">
        <w:rPr>
          <w:rFonts w:cstheme="minorHAnsi"/>
          <w:sz w:val="24"/>
          <w:szCs w:val="24"/>
        </w:rPr>
        <w:t xml:space="preserve">an independent republic, </w:t>
      </w:r>
      <w:r w:rsidR="00EC300E">
        <w:rPr>
          <w:rFonts w:cstheme="minorHAnsi"/>
          <w:sz w:val="24"/>
          <w:szCs w:val="24"/>
        </w:rPr>
        <w:t xml:space="preserve">a </w:t>
      </w:r>
      <w:r w:rsidR="00042EAD">
        <w:rPr>
          <w:rFonts w:cstheme="minorHAnsi"/>
          <w:sz w:val="24"/>
          <w:szCs w:val="24"/>
        </w:rPr>
        <w:t>constituent part of the USSR and thus seced</w:t>
      </w:r>
      <w:r w:rsidR="00EC300E">
        <w:rPr>
          <w:rFonts w:cstheme="minorHAnsi"/>
          <w:sz w:val="24"/>
          <w:szCs w:val="24"/>
        </w:rPr>
        <w:t>ed</w:t>
      </w:r>
      <w:r w:rsidR="00042EAD">
        <w:rPr>
          <w:rFonts w:cstheme="minorHAnsi"/>
          <w:sz w:val="24"/>
          <w:szCs w:val="24"/>
        </w:rPr>
        <w:t xml:space="preserve"> from Georgia</w:t>
      </w:r>
      <w:r w:rsidR="00AC2864">
        <w:rPr>
          <w:rFonts w:cstheme="minorHAnsi"/>
          <w:sz w:val="24"/>
          <w:szCs w:val="24"/>
        </w:rPr>
        <w:t xml:space="preserve"> </w:t>
      </w:r>
      <w:r w:rsidR="002F5312">
        <w:rPr>
          <w:rFonts w:cstheme="minorHAnsi"/>
          <w:sz w:val="24"/>
          <w:szCs w:val="24"/>
        </w:rPr>
        <w:t>which</w:t>
      </w:r>
      <w:r w:rsidR="00AC2864">
        <w:rPr>
          <w:rFonts w:cstheme="minorHAnsi"/>
          <w:sz w:val="24"/>
          <w:szCs w:val="24"/>
        </w:rPr>
        <w:t xml:space="preserve"> was a Soviet Republic</w:t>
      </w:r>
      <w:r w:rsidR="00042EAD">
        <w:rPr>
          <w:rFonts w:cstheme="minorHAnsi"/>
          <w:sz w:val="24"/>
          <w:szCs w:val="24"/>
        </w:rPr>
        <w:t>.</w:t>
      </w:r>
      <w:r w:rsidR="00042EAD">
        <w:rPr>
          <w:rStyle w:val="FootnoteReference"/>
          <w:rFonts w:cstheme="minorHAnsi"/>
          <w:sz w:val="24"/>
          <w:szCs w:val="24"/>
        </w:rPr>
        <w:footnoteReference w:id="216"/>
      </w:r>
      <w:r w:rsidR="00042EAD">
        <w:rPr>
          <w:rFonts w:cstheme="minorHAnsi"/>
          <w:sz w:val="24"/>
          <w:szCs w:val="24"/>
        </w:rPr>
        <w:t xml:space="preserve"> </w:t>
      </w:r>
      <w:r w:rsidR="006F1C95">
        <w:rPr>
          <w:rFonts w:cstheme="minorHAnsi"/>
          <w:sz w:val="24"/>
          <w:szCs w:val="24"/>
        </w:rPr>
        <w:t xml:space="preserve">The plot thickens even more as Georgia dissolved the </w:t>
      </w:r>
      <w:r w:rsidR="00254D98">
        <w:rPr>
          <w:rFonts w:cstheme="minorHAnsi"/>
          <w:sz w:val="24"/>
          <w:szCs w:val="24"/>
        </w:rPr>
        <w:t>region</w:t>
      </w:r>
      <w:r w:rsidR="006F1C95">
        <w:rPr>
          <w:rFonts w:cstheme="minorHAnsi"/>
          <w:sz w:val="24"/>
          <w:szCs w:val="24"/>
        </w:rPr>
        <w:t xml:space="preserve"> on 11 December 1990.</w:t>
      </w:r>
      <w:r w:rsidR="00574D80">
        <w:rPr>
          <w:rStyle w:val="FootnoteReference"/>
          <w:rFonts w:cstheme="minorHAnsi"/>
          <w:sz w:val="24"/>
          <w:szCs w:val="24"/>
        </w:rPr>
        <w:footnoteReference w:id="217"/>
      </w:r>
      <w:r w:rsidR="006F1C95">
        <w:rPr>
          <w:rFonts w:cstheme="minorHAnsi"/>
          <w:sz w:val="24"/>
          <w:szCs w:val="24"/>
        </w:rPr>
        <w:t xml:space="preserve"> </w:t>
      </w:r>
      <w:r>
        <w:rPr>
          <w:rFonts w:cstheme="minorHAnsi"/>
          <w:sz w:val="24"/>
          <w:szCs w:val="24"/>
        </w:rPr>
        <w:t>South Ossetia declared its independence on 29 May 1992, after the collapse of the Soviet Union and the creation of Georgia. It thus seceded from Georgia</w:t>
      </w:r>
      <w:r w:rsidR="00194E1A">
        <w:rPr>
          <w:rFonts w:cstheme="minorHAnsi"/>
          <w:sz w:val="24"/>
          <w:szCs w:val="24"/>
        </w:rPr>
        <w:t xml:space="preserve"> as an independent State</w:t>
      </w:r>
      <w:r w:rsidR="00574D80">
        <w:rPr>
          <w:rFonts w:cstheme="minorHAnsi"/>
          <w:sz w:val="24"/>
          <w:szCs w:val="24"/>
        </w:rPr>
        <w:t xml:space="preserve"> though as a non-territory</w:t>
      </w:r>
      <w:r w:rsidR="00042EAD">
        <w:rPr>
          <w:rFonts w:cstheme="minorHAnsi"/>
          <w:sz w:val="24"/>
          <w:szCs w:val="24"/>
        </w:rPr>
        <w:t xml:space="preserve"> (according to Georgia)</w:t>
      </w:r>
      <w:r w:rsidR="00574D80">
        <w:rPr>
          <w:rFonts w:cstheme="minorHAnsi"/>
          <w:sz w:val="24"/>
          <w:szCs w:val="24"/>
        </w:rPr>
        <w:t xml:space="preserve"> which means that it violated the </w:t>
      </w:r>
      <w:proofErr w:type="spellStart"/>
      <w:r w:rsidR="00574D80">
        <w:rPr>
          <w:rFonts w:cstheme="minorHAnsi"/>
          <w:i/>
          <w:iCs/>
          <w:sz w:val="24"/>
          <w:szCs w:val="24"/>
        </w:rPr>
        <w:t>uti</w:t>
      </w:r>
      <w:proofErr w:type="spellEnd"/>
      <w:r w:rsidR="00574D80">
        <w:rPr>
          <w:rFonts w:cstheme="minorHAnsi"/>
          <w:i/>
          <w:iCs/>
          <w:sz w:val="24"/>
          <w:szCs w:val="24"/>
        </w:rPr>
        <w:t xml:space="preserve"> </w:t>
      </w:r>
      <w:proofErr w:type="spellStart"/>
      <w:r w:rsidR="00574D80">
        <w:rPr>
          <w:rFonts w:cstheme="minorHAnsi"/>
          <w:i/>
          <w:iCs/>
          <w:sz w:val="24"/>
          <w:szCs w:val="24"/>
        </w:rPr>
        <w:t>possidetis</w:t>
      </w:r>
      <w:proofErr w:type="spellEnd"/>
      <w:r w:rsidR="00574D80">
        <w:rPr>
          <w:rFonts w:cstheme="minorHAnsi"/>
          <w:i/>
          <w:iCs/>
          <w:sz w:val="24"/>
          <w:szCs w:val="24"/>
        </w:rPr>
        <w:t xml:space="preserve"> </w:t>
      </w:r>
      <w:r w:rsidR="00574D80">
        <w:rPr>
          <w:rFonts w:cstheme="minorHAnsi"/>
          <w:sz w:val="24"/>
          <w:szCs w:val="24"/>
        </w:rPr>
        <w:t>rule that requires administrative borders to be kept</w:t>
      </w:r>
      <w:r>
        <w:rPr>
          <w:rFonts w:cstheme="minorHAnsi"/>
          <w:sz w:val="24"/>
          <w:szCs w:val="24"/>
        </w:rPr>
        <w:t xml:space="preserve">. </w:t>
      </w:r>
    </w:p>
    <w:p w14:paraId="631D111B" w14:textId="3FFD6509" w:rsidR="00AC2864" w:rsidRDefault="00BA6242" w:rsidP="00CB4616">
      <w:pPr>
        <w:spacing w:after="0" w:line="240" w:lineRule="auto"/>
        <w:jc w:val="both"/>
        <w:rPr>
          <w:rFonts w:cstheme="minorHAnsi"/>
          <w:sz w:val="24"/>
          <w:szCs w:val="24"/>
        </w:rPr>
      </w:pPr>
      <w:r>
        <w:rPr>
          <w:rFonts w:cstheme="minorHAnsi"/>
          <w:sz w:val="24"/>
          <w:szCs w:val="24"/>
        </w:rPr>
        <w:t>O</w:t>
      </w:r>
      <w:r w:rsidR="00442DA5" w:rsidRPr="00EC6853">
        <w:rPr>
          <w:rFonts w:cstheme="minorHAnsi"/>
          <w:sz w:val="24"/>
          <w:szCs w:val="24"/>
        </w:rPr>
        <w:t>n 25 August 1990</w:t>
      </w:r>
      <w:r w:rsidR="00D8794C">
        <w:rPr>
          <w:rFonts w:cstheme="minorHAnsi"/>
          <w:sz w:val="24"/>
          <w:szCs w:val="24"/>
        </w:rPr>
        <w:t>,</w:t>
      </w:r>
      <w:r w:rsidR="00442DA5" w:rsidRPr="00EC6853">
        <w:rPr>
          <w:rFonts w:cstheme="minorHAnsi"/>
          <w:sz w:val="24"/>
          <w:szCs w:val="24"/>
        </w:rPr>
        <w:t xml:space="preserve"> the Supreme Council of Abkhazia adopted a ‘Declaration of State Sovereignty’</w:t>
      </w:r>
      <w:r w:rsidR="00442DA5">
        <w:rPr>
          <w:rFonts w:cstheme="minorHAnsi"/>
          <w:sz w:val="24"/>
          <w:szCs w:val="24"/>
        </w:rPr>
        <w:t>, and on 23 July 1992 after</w:t>
      </w:r>
      <w:r w:rsidR="00EC300E">
        <w:rPr>
          <w:rFonts w:cstheme="minorHAnsi"/>
          <w:sz w:val="24"/>
          <w:szCs w:val="24"/>
        </w:rPr>
        <w:t xml:space="preserve"> the creation of Georgia and</w:t>
      </w:r>
      <w:r w:rsidR="00442DA5">
        <w:rPr>
          <w:rFonts w:cstheme="minorHAnsi"/>
          <w:sz w:val="24"/>
          <w:szCs w:val="24"/>
        </w:rPr>
        <w:t xml:space="preserve"> the collapse of the Soviet Union reiterated its independence</w:t>
      </w:r>
      <w:r w:rsidR="00442DA5" w:rsidRPr="00EC6853">
        <w:rPr>
          <w:rFonts w:cstheme="minorHAnsi"/>
          <w:sz w:val="24"/>
          <w:szCs w:val="24"/>
        </w:rPr>
        <w:t>.</w:t>
      </w:r>
      <w:r w:rsidR="00EC300E">
        <w:rPr>
          <w:rFonts w:cstheme="minorHAnsi"/>
          <w:sz w:val="24"/>
          <w:szCs w:val="24"/>
        </w:rPr>
        <w:t xml:space="preserve"> </w:t>
      </w:r>
      <w:r w:rsidR="00535A31">
        <w:rPr>
          <w:rFonts w:cstheme="minorHAnsi"/>
          <w:sz w:val="24"/>
          <w:szCs w:val="24"/>
        </w:rPr>
        <w:t xml:space="preserve">If one considers the declaration of State sovereignty as a declaration of independence, Abkhazia did not violate the principle of territorial integrity of Georgia but, as explained earlier, given that the 1999 Act of Independence indicates that independence was declared after the conflict with Georgia, the logical conclusion is that </w:t>
      </w:r>
      <w:r w:rsidR="00535A31">
        <w:rPr>
          <w:rFonts w:cstheme="minorHAnsi"/>
          <w:sz w:val="24"/>
          <w:szCs w:val="24"/>
        </w:rPr>
        <w:lastRenderedPageBreak/>
        <w:t xml:space="preserve">Abkhazia was in breach of the principle. </w:t>
      </w:r>
      <w:r w:rsidR="00D85B9F">
        <w:rPr>
          <w:rFonts w:cstheme="minorHAnsi"/>
          <w:sz w:val="24"/>
          <w:szCs w:val="24"/>
        </w:rPr>
        <w:t xml:space="preserve">It would however not have violated the </w:t>
      </w:r>
      <w:proofErr w:type="spellStart"/>
      <w:r w:rsidR="00D85B9F">
        <w:rPr>
          <w:rFonts w:cstheme="minorHAnsi"/>
          <w:i/>
          <w:iCs/>
          <w:sz w:val="24"/>
          <w:szCs w:val="24"/>
        </w:rPr>
        <w:t>uti</w:t>
      </w:r>
      <w:proofErr w:type="spellEnd"/>
      <w:r w:rsidR="00D85B9F">
        <w:rPr>
          <w:rFonts w:cstheme="minorHAnsi"/>
          <w:i/>
          <w:iCs/>
          <w:sz w:val="24"/>
          <w:szCs w:val="24"/>
        </w:rPr>
        <w:t xml:space="preserve"> </w:t>
      </w:r>
      <w:proofErr w:type="spellStart"/>
      <w:r w:rsidR="00D85B9F">
        <w:rPr>
          <w:rFonts w:cstheme="minorHAnsi"/>
          <w:i/>
          <w:iCs/>
          <w:sz w:val="24"/>
          <w:szCs w:val="24"/>
        </w:rPr>
        <w:t>possidetis</w:t>
      </w:r>
      <w:proofErr w:type="spellEnd"/>
      <w:r w:rsidR="00D85B9F">
        <w:rPr>
          <w:rFonts w:cstheme="minorHAnsi"/>
          <w:i/>
          <w:iCs/>
          <w:sz w:val="24"/>
          <w:szCs w:val="24"/>
        </w:rPr>
        <w:t xml:space="preserve"> </w:t>
      </w:r>
      <w:r w:rsidR="00D85B9F">
        <w:rPr>
          <w:rFonts w:cstheme="minorHAnsi"/>
          <w:sz w:val="24"/>
          <w:szCs w:val="24"/>
        </w:rPr>
        <w:t>rule.</w:t>
      </w:r>
      <w:r w:rsidR="00D85B9F">
        <w:rPr>
          <w:rStyle w:val="FootnoteReference"/>
          <w:rFonts w:cstheme="minorHAnsi"/>
          <w:sz w:val="24"/>
          <w:szCs w:val="24"/>
        </w:rPr>
        <w:footnoteReference w:id="218"/>
      </w:r>
      <w:r w:rsidR="00D85B9F">
        <w:rPr>
          <w:rFonts w:cstheme="minorHAnsi"/>
          <w:sz w:val="24"/>
          <w:szCs w:val="24"/>
        </w:rPr>
        <w:t xml:space="preserve"> </w:t>
      </w:r>
    </w:p>
    <w:p w14:paraId="6C9A0E74" w14:textId="77777777" w:rsidR="00AC2864" w:rsidRDefault="00BA6242" w:rsidP="00CB4616">
      <w:pPr>
        <w:spacing w:after="0" w:line="240" w:lineRule="auto"/>
        <w:jc w:val="both"/>
        <w:rPr>
          <w:color w:val="000000"/>
          <w:sz w:val="24"/>
          <w:szCs w:val="24"/>
          <w:shd w:val="clear" w:color="auto" w:fill="FFFFFF"/>
        </w:rPr>
      </w:pPr>
      <w:r>
        <w:rPr>
          <w:rFonts w:cstheme="minorHAnsi"/>
          <w:sz w:val="24"/>
          <w:szCs w:val="24"/>
        </w:rPr>
        <w:t xml:space="preserve">Transnistria </w:t>
      </w:r>
      <w:r w:rsidRPr="00D8618B">
        <w:rPr>
          <w:rFonts w:cstheme="minorHAnsi"/>
          <w:sz w:val="24"/>
          <w:szCs w:val="24"/>
        </w:rPr>
        <w:t>declare</w:t>
      </w:r>
      <w:r>
        <w:rPr>
          <w:rFonts w:cstheme="minorHAnsi"/>
          <w:sz w:val="24"/>
          <w:szCs w:val="24"/>
        </w:rPr>
        <w:t>d</w:t>
      </w:r>
      <w:r w:rsidRPr="00D8618B">
        <w:rPr>
          <w:rFonts w:cstheme="minorHAnsi"/>
          <w:sz w:val="24"/>
          <w:szCs w:val="24"/>
        </w:rPr>
        <w:t xml:space="preserve"> </w:t>
      </w:r>
      <w:r w:rsidR="00535A31">
        <w:rPr>
          <w:rFonts w:cstheme="minorHAnsi"/>
          <w:sz w:val="24"/>
          <w:szCs w:val="24"/>
        </w:rPr>
        <w:t xml:space="preserve">its </w:t>
      </w:r>
      <w:r w:rsidRPr="00D8618B">
        <w:rPr>
          <w:rFonts w:cstheme="minorHAnsi"/>
          <w:sz w:val="24"/>
          <w:szCs w:val="24"/>
        </w:rPr>
        <w:t xml:space="preserve">independence on 2 September 1990 </w:t>
      </w:r>
      <w:r>
        <w:rPr>
          <w:color w:val="000000"/>
          <w:sz w:val="24"/>
          <w:szCs w:val="24"/>
          <w:shd w:val="clear" w:color="auto" w:fill="FFFFFF"/>
        </w:rPr>
        <w:t>when</w:t>
      </w:r>
      <w:r w:rsidRPr="00D8618B">
        <w:rPr>
          <w:color w:val="000000"/>
          <w:sz w:val="24"/>
          <w:szCs w:val="24"/>
          <w:shd w:val="clear" w:color="auto" w:fill="FFFFFF"/>
        </w:rPr>
        <w:t xml:space="preserve"> Moldova </w:t>
      </w:r>
      <w:r>
        <w:rPr>
          <w:color w:val="000000"/>
          <w:sz w:val="24"/>
          <w:szCs w:val="24"/>
          <w:shd w:val="clear" w:color="auto" w:fill="FFFFFF"/>
        </w:rPr>
        <w:t xml:space="preserve">was </w:t>
      </w:r>
      <w:r w:rsidRPr="00D8618B">
        <w:rPr>
          <w:color w:val="000000"/>
          <w:sz w:val="24"/>
          <w:szCs w:val="24"/>
          <w:shd w:val="clear" w:color="auto" w:fill="FFFFFF"/>
        </w:rPr>
        <w:t xml:space="preserve">still part of </w:t>
      </w:r>
      <w:r>
        <w:rPr>
          <w:color w:val="000000"/>
          <w:sz w:val="24"/>
          <w:szCs w:val="24"/>
          <w:shd w:val="clear" w:color="auto" w:fill="FFFFFF"/>
        </w:rPr>
        <w:t xml:space="preserve">the </w:t>
      </w:r>
      <w:r w:rsidRPr="00D8618B">
        <w:rPr>
          <w:color w:val="000000"/>
          <w:sz w:val="24"/>
          <w:szCs w:val="24"/>
          <w:shd w:val="clear" w:color="auto" w:fill="FFFFFF"/>
        </w:rPr>
        <w:t>Soviet Union</w:t>
      </w:r>
      <w:r>
        <w:rPr>
          <w:color w:val="000000"/>
          <w:sz w:val="24"/>
          <w:szCs w:val="24"/>
          <w:shd w:val="clear" w:color="auto" w:fill="FFFFFF"/>
        </w:rPr>
        <w:t xml:space="preserve"> and expressed its wish to join the USSR as an independent Republic on 2 September 1991 after Moldova declared its independence. On 1 December 1991, a further referendum enabled Transnistria to declare its independence outside the Soviet Union. </w:t>
      </w:r>
      <w:r w:rsidR="00535A31">
        <w:rPr>
          <w:color w:val="000000"/>
          <w:sz w:val="24"/>
          <w:szCs w:val="24"/>
          <w:shd w:val="clear" w:color="auto" w:fill="FFFFFF"/>
        </w:rPr>
        <w:t>Taking into account the 1990 declaration of independence</w:t>
      </w:r>
      <w:r>
        <w:rPr>
          <w:color w:val="000000"/>
          <w:sz w:val="24"/>
          <w:szCs w:val="24"/>
          <w:shd w:val="clear" w:color="auto" w:fill="FFFFFF"/>
        </w:rPr>
        <w:t xml:space="preserve">, </w:t>
      </w:r>
      <w:r w:rsidR="00535A31">
        <w:rPr>
          <w:color w:val="000000"/>
          <w:sz w:val="24"/>
          <w:szCs w:val="24"/>
          <w:shd w:val="clear" w:color="auto" w:fill="FFFFFF"/>
        </w:rPr>
        <w:t xml:space="preserve">the conclusion is that </w:t>
      </w:r>
      <w:r>
        <w:rPr>
          <w:color w:val="000000"/>
          <w:sz w:val="24"/>
          <w:szCs w:val="24"/>
          <w:shd w:val="clear" w:color="auto" w:fill="FFFFFF"/>
        </w:rPr>
        <w:t>Transnistria did not secede from Moldova</w:t>
      </w:r>
      <w:r w:rsidR="00194E1A">
        <w:rPr>
          <w:color w:val="000000"/>
          <w:sz w:val="24"/>
          <w:szCs w:val="24"/>
          <w:shd w:val="clear" w:color="auto" w:fill="FFFFFF"/>
        </w:rPr>
        <w:t xml:space="preserve"> as an independent State</w:t>
      </w:r>
      <w:r>
        <w:rPr>
          <w:color w:val="000000"/>
          <w:sz w:val="24"/>
          <w:szCs w:val="24"/>
          <w:shd w:val="clear" w:color="auto" w:fill="FFFFFF"/>
        </w:rPr>
        <w:t>.</w:t>
      </w:r>
      <w:r w:rsidR="00194E1A">
        <w:rPr>
          <w:color w:val="000000"/>
          <w:sz w:val="24"/>
          <w:szCs w:val="24"/>
          <w:shd w:val="clear" w:color="auto" w:fill="FFFFFF"/>
        </w:rPr>
        <w:t xml:space="preserve"> </w:t>
      </w:r>
      <w:r w:rsidR="00574D80">
        <w:rPr>
          <w:color w:val="000000"/>
          <w:sz w:val="24"/>
          <w:szCs w:val="24"/>
          <w:shd w:val="clear" w:color="auto" w:fill="FFFFFF"/>
        </w:rPr>
        <w:t xml:space="preserve">These </w:t>
      </w:r>
      <w:r w:rsidR="00535A31">
        <w:rPr>
          <w:color w:val="000000"/>
          <w:sz w:val="24"/>
          <w:szCs w:val="24"/>
          <w:shd w:val="clear" w:color="auto" w:fill="FFFFFF"/>
        </w:rPr>
        <w:t>three</w:t>
      </w:r>
      <w:r w:rsidR="00574D80">
        <w:rPr>
          <w:color w:val="000000"/>
          <w:sz w:val="24"/>
          <w:szCs w:val="24"/>
          <w:shd w:val="clear" w:color="auto" w:fill="FFFFFF"/>
        </w:rPr>
        <w:t xml:space="preserve"> </w:t>
      </w:r>
      <w:r w:rsidR="00194E1A">
        <w:rPr>
          <w:color w:val="000000"/>
          <w:sz w:val="24"/>
          <w:szCs w:val="24"/>
          <w:shd w:val="clear" w:color="auto" w:fill="FFFFFF"/>
        </w:rPr>
        <w:t>entities also kept their administrative borders as a republic</w:t>
      </w:r>
      <w:r w:rsidR="00535A31">
        <w:rPr>
          <w:color w:val="000000"/>
          <w:sz w:val="24"/>
          <w:szCs w:val="24"/>
          <w:shd w:val="clear" w:color="auto" w:fill="FFFFFF"/>
        </w:rPr>
        <w:t>/region</w:t>
      </w:r>
      <w:r w:rsidR="00194E1A">
        <w:rPr>
          <w:color w:val="000000"/>
          <w:sz w:val="24"/>
          <w:szCs w:val="24"/>
          <w:shd w:val="clear" w:color="auto" w:fill="FFFFFF"/>
        </w:rPr>
        <w:t>.</w:t>
      </w:r>
      <w:r w:rsidR="008572AD">
        <w:rPr>
          <w:color w:val="000000"/>
          <w:sz w:val="24"/>
          <w:szCs w:val="24"/>
          <w:shd w:val="clear" w:color="auto" w:fill="FFFFFF"/>
        </w:rPr>
        <w:t xml:space="preserve"> </w:t>
      </w:r>
    </w:p>
    <w:p w14:paraId="2C914637" w14:textId="0783E4E4" w:rsidR="0092524E" w:rsidRDefault="00772011" w:rsidP="00CB4616">
      <w:pPr>
        <w:spacing w:after="0" w:line="240" w:lineRule="auto"/>
        <w:jc w:val="both"/>
        <w:rPr>
          <w:color w:val="000000"/>
          <w:sz w:val="24"/>
          <w:szCs w:val="24"/>
          <w:shd w:val="clear" w:color="auto" w:fill="FFFFFF"/>
        </w:rPr>
      </w:pPr>
      <w:r>
        <w:rPr>
          <w:color w:val="000000"/>
          <w:sz w:val="24"/>
          <w:szCs w:val="24"/>
          <w:shd w:val="clear" w:color="auto" w:fill="FFFFFF"/>
        </w:rPr>
        <w:t>In relation to Nagorno-Karabakh, it can be contended that it was an original component of the Republic of Azerbaijan and thus seceded from that independent State.</w:t>
      </w:r>
      <w:r w:rsidR="00B2706F">
        <w:rPr>
          <w:rStyle w:val="FootnoteReference"/>
          <w:color w:val="000000"/>
          <w:sz w:val="24"/>
          <w:szCs w:val="24"/>
          <w:shd w:val="clear" w:color="auto" w:fill="FFFFFF"/>
        </w:rPr>
        <w:footnoteReference w:id="219"/>
      </w:r>
      <w:r>
        <w:rPr>
          <w:color w:val="000000"/>
          <w:sz w:val="24"/>
          <w:szCs w:val="24"/>
          <w:shd w:val="clear" w:color="auto" w:fill="FFFFFF"/>
        </w:rPr>
        <w:t xml:space="preserve"> </w:t>
      </w:r>
      <w:r w:rsidR="00B2706F">
        <w:rPr>
          <w:color w:val="000000"/>
          <w:sz w:val="24"/>
          <w:szCs w:val="24"/>
          <w:shd w:val="clear" w:color="auto" w:fill="FFFFFF"/>
        </w:rPr>
        <w:t>Azerbaijan declared its independence on 30 August 1991</w:t>
      </w:r>
      <w:r w:rsidR="006F1C95">
        <w:rPr>
          <w:color w:val="000000"/>
          <w:sz w:val="24"/>
          <w:szCs w:val="24"/>
          <w:shd w:val="clear" w:color="auto" w:fill="FFFFFF"/>
        </w:rPr>
        <w:t>,</w:t>
      </w:r>
      <w:r w:rsidR="00F54B36">
        <w:rPr>
          <w:color w:val="000000"/>
          <w:sz w:val="24"/>
          <w:szCs w:val="24"/>
          <w:shd w:val="clear" w:color="auto" w:fill="FFFFFF"/>
        </w:rPr>
        <w:t xml:space="preserve"> Nagorno-Karabakh declared its independence four days later,</w:t>
      </w:r>
      <w:r w:rsidR="00F54B36">
        <w:rPr>
          <w:rStyle w:val="FootnoteReference"/>
          <w:color w:val="000000"/>
          <w:sz w:val="24"/>
          <w:szCs w:val="24"/>
          <w:shd w:val="clear" w:color="auto" w:fill="FFFFFF"/>
        </w:rPr>
        <w:footnoteReference w:id="220"/>
      </w:r>
      <w:r w:rsidR="00F54B36">
        <w:rPr>
          <w:color w:val="000000"/>
          <w:sz w:val="24"/>
          <w:szCs w:val="24"/>
          <w:shd w:val="clear" w:color="auto" w:fill="FFFFFF"/>
        </w:rPr>
        <w:t xml:space="preserve"> Azerbaijan then</w:t>
      </w:r>
      <w:r w:rsidR="006F1C95">
        <w:rPr>
          <w:color w:val="000000"/>
          <w:sz w:val="24"/>
          <w:szCs w:val="24"/>
          <w:shd w:val="clear" w:color="auto" w:fill="FFFFFF"/>
        </w:rPr>
        <w:t xml:space="preserve"> abolished the legal status of Nagorno-Karabakh as an autonomous </w:t>
      </w:r>
      <w:r w:rsidR="00254D98">
        <w:rPr>
          <w:color w:val="000000"/>
          <w:sz w:val="24"/>
          <w:szCs w:val="24"/>
          <w:shd w:val="clear" w:color="auto" w:fill="FFFFFF"/>
        </w:rPr>
        <w:t>region</w:t>
      </w:r>
      <w:r w:rsidR="006F1C95">
        <w:rPr>
          <w:color w:val="000000"/>
          <w:sz w:val="24"/>
          <w:szCs w:val="24"/>
          <w:shd w:val="clear" w:color="auto" w:fill="FFFFFF"/>
        </w:rPr>
        <w:t xml:space="preserve"> on 26 November 1991</w:t>
      </w:r>
      <w:r w:rsidR="006F1C95">
        <w:rPr>
          <w:rStyle w:val="FootnoteReference"/>
          <w:color w:val="000000"/>
          <w:sz w:val="24"/>
          <w:szCs w:val="24"/>
          <w:shd w:val="clear" w:color="auto" w:fill="FFFFFF"/>
        </w:rPr>
        <w:footnoteReference w:id="221"/>
      </w:r>
      <w:r w:rsidR="006F1C95">
        <w:rPr>
          <w:color w:val="000000"/>
          <w:sz w:val="24"/>
          <w:szCs w:val="24"/>
          <w:shd w:val="clear" w:color="auto" w:fill="FFFFFF"/>
        </w:rPr>
        <w:t xml:space="preserve"> and brought it under its direct rule</w:t>
      </w:r>
      <w:r w:rsidR="00B2706F">
        <w:rPr>
          <w:color w:val="000000"/>
          <w:sz w:val="24"/>
          <w:szCs w:val="24"/>
          <w:shd w:val="clear" w:color="auto" w:fill="FFFFFF"/>
        </w:rPr>
        <w:t xml:space="preserve"> </w:t>
      </w:r>
      <w:r w:rsidR="006F1C95">
        <w:rPr>
          <w:color w:val="000000"/>
          <w:sz w:val="24"/>
          <w:szCs w:val="24"/>
          <w:shd w:val="clear" w:color="auto" w:fill="FFFFFF"/>
        </w:rPr>
        <w:t>and then on 10 December 1991</w:t>
      </w:r>
      <w:r w:rsidR="00F54B36">
        <w:rPr>
          <w:color w:val="000000"/>
          <w:sz w:val="24"/>
          <w:szCs w:val="24"/>
          <w:shd w:val="clear" w:color="auto" w:fill="FFFFFF"/>
        </w:rPr>
        <w:t xml:space="preserve"> </w:t>
      </w:r>
      <w:r w:rsidR="00B2706F">
        <w:rPr>
          <w:color w:val="000000"/>
          <w:sz w:val="24"/>
          <w:szCs w:val="24"/>
          <w:shd w:val="clear" w:color="auto" w:fill="FFFFFF"/>
        </w:rPr>
        <w:t xml:space="preserve">Nagorno-Karabakh </w:t>
      </w:r>
      <w:r w:rsidR="006F1C95">
        <w:rPr>
          <w:color w:val="000000"/>
          <w:sz w:val="24"/>
          <w:szCs w:val="24"/>
          <w:shd w:val="clear" w:color="auto" w:fill="FFFFFF"/>
        </w:rPr>
        <w:t>declared its independence</w:t>
      </w:r>
      <w:r w:rsidR="00E652C7">
        <w:rPr>
          <w:rStyle w:val="FootnoteReference"/>
          <w:color w:val="000000"/>
          <w:sz w:val="24"/>
          <w:szCs w:val="24"/>
          <w:shd w:val="clear" w:color="auto" w:fill="FFFFFF"/>
        </w:rPr>
        <w:footnoteReference w:id="222"/>
      </w:r>
      <w:r w:rsidR="006F1C95">
        <w:rPr>
          <w:color w:val="000000"/>
          <w:sz w:val="24"/>
          <w:szCs w:val="24"/>
          <w:shd w:val="clear" w:color="auto" w:fill="FFFFFF"/>
        </w:rPr>
        <w:t xml:space="preserve"> </w:t>
      </w:r>
      <w:r w:rsidR="00F54B36">
        <w:rPr>
          <w:color w:val="000000"/>
          <w:sz w:val="24"/>
          <w:szCs w:val="24"/>
          <w:shd w:val="clear" w:color="auto" w:fill="FFFFFF"/>
        </w:rPr>
        <w:t>following a referendum.</w:t>
      </w:r>
    </w:p>
    <w:p w14:paraId="0B4E42DA" w14:textId="77777777" w:rsidR="0092524E" w:rsidRDefault="0092524E" w:rsidP="00CB4616">
      <w:pPr>
        <w:spacing w:after="0" w:line="240" w:lineRule="auto"/>
        <w:jc w:val="both"/>
        <w:rPr>
          <w:color w:val="000000"/>
          <w:sz w:val="24"/>
          <w:szCs w:val="24"/>
          <w:shd w:val="clear" w:color="auto" w:fill="FFFFFF"/>
        </w:rPr>
      </w:pPr>
    </w:p>
    <w:p w14:paraId="01545AC2" w14:textId="5C3F813F" w:rsidR="003219D4" w:rsidRPr="005577BE" w:rsidRDefault="00535A31" w:rsidP="00CB4616">
      <w:pPr>
        <w:spacing w:after="0" w:line="240" w:lineRule="auto"/>
        <w:jc w:val="both"/>
        <w:rPr>
          <w:rFonts w:cstheme="minorHAnsi"/>
          <w:sz w:val="24"/>
          <w:szCs w:val="24"/>
        </w:rPr>
      </w:pPr>
      <w:r>
        <w:rPr>
          <w:color w:val="000000"/>
          <w:sz w:val="24"/>
          <w:szCs w:val="24"/>
          <w:shd w:val="clear" w:color="auto" w:fill="FFFFFF"/>
        </w:rPr>
        <w:t xml:space="preserve">Owing to the complicated situation that developed as the Soviet Union was collapsing, it is difficult to assess in clear terms whether the </w:t>
      </w:r>
      <w:r>
        <w:rPr>
          <w:i/>
          <w:iCs/>
          <w:color w:val="000000"/>
          <w:sz w:val="24"/>
          <w:szCs w:val="24"/>
          <w:shd w:val="clear" w:color="auto" w:fill="FFFFFF"/>
        </w:rPr>
        <w:t xml:space="preserve">de facto </w:t>
      </w:r>
      <w:r>
        <w:rPr>
          <w:color w:val="000000"/>
          <w:sz w:val="24"/>
          <w:szCs w:val="24"/>
          <w:shd w:val="clear" w:color="auto" w:fill="FFFFFF"/>
        </w:rPr>
        <w:t xml:space="preserve">States violated the principle of territorial sovereignty as it is often unclear when they seceded and </w:t>
      </w:r>
      <w:r w:rsidR="0092524E">
        <w:rPr>
          <w:color w:val="000000"/>
          <w:sz w:val="24"/>
          <w:szCs w:val="24"/>
          <w:shd w:val="clear" w:color="auto" w:fill="FFFFFF"/>
        </w:rPr>
        <w:t xml:space="preserve">resultantly whether they seceded from </w:t>
      </w:r>
      <w:r>
        <w:rPr>
          <w:color w:val="000000"/>
          <w:sz w:val="24"/>
          <w:szCs w:val="24"/>
          <w:shd w:val="clear" w:color="auto" w:fill="FFFFFF"/>
        </w:rPr>
        <w:t>their so-called parent-State (i.e., Georgia, Moldova</w:t>
      </w:r>
      <w:r w:rsidR="0092524E">
        <w:rPr>
          <w:color w:val="000000"/>
          <w:sz w:val="24"/>
          <w:szCs w:val="24"/>
          <w:shd w:val="clear" w:color="auto" w:fill="FFFFFF"/>
        </w:rPr>
        <w:t>,</w:t>
      </w:r>
      <w:r>
        <w:rPr>
          <w:color w:val="000000"/>
          <w:sz w:val="24"/>
          <w:szCs w:val="24"/>
          <w:shd w:val="clear" w:color="auto" w:fill="FFFFFF"/>
        </w:rPr>
        <w:t xml:space="preserve"> and Azerbaijan) or</w:t>
      </w:r>
      <w:r w:rsidR="0092524E">
        <w:rPr>
          <w:color w:val="000000"/>
          <w:sz w:val="24"/>
          <w:szCs w:val="24"/>
          <w:shd w:val="clear" w:color="auto" w:fill="FFFFFF"/>
        </w:rPr>
        <w:t xml:space="preserve"> from the Soviet Union. The international community nevertheless has taken the view that these entities seceded from their parent-State</w:t>
      </w:r>
      <w:r w:rsidR="0092524E">
        <w:rPr>
          <w:rStyle w:val="FootnoteReference"/>
          <w:color w:val="000000"/>
          <w:sz w:val="24"/>
          <w:szCs w:val="24"/>
          <w:shd w:val="clear" w:color="auto" w:fill="FFFFFF"/>
        </w:rPr>
        <w:footnoteReference w:id="223"/>
      </w:r>
      <w:r w:rsidR="0092524E">
        <w:rPr>
          <w:color w:val="000000"/>
          <w:sz w:val="24"/>
          <w:szCs w:val="24"/>
          <w:shd w:val="clear" w:color="auto" w:fill="FFFFFF"/>
        </w:rPr>
        <w:t xml:space="preserve"> and, a</w:t>
      </w:r>
      <w:r w:rsidR="00CB4616">
        <w:rPr>
          <w:rFonts w:cstheme="minorHAnsi"/>
          <w:sz w:val="24"/>
          <w:szCs w:val="24"/>
        </w:rPr>
        <w:t xml:space="preserve">s </w:t>
      </w:r>
      <w:r w:rsidR="00CB4616" w:rsidRPr="00201E83">
        <w:rPr>
          <w:rFonts w:cstheme="minorHAnsi"/>
          <w:sz w:val="24"/>
          <w:szCs w:val="24"/>
        </w:rPr>
        <w:t>Vidmar</w:t>
      </w:r>
      <w:r w:rsidR="00CB4616">
        <w:rPr>
          <w:rFonts w:cstheme="minorHAnsi"/>
          <w:sz w:val="24"/>
          <w:szCs w:val="24"/>
        </w:rPr>
        <w:t xml:space="preserve"> </w:t>
      </w:r>
      <w:r w:rsidR="005C7B3D">
        <w:rPr>
          <w:rFonts w:cstheme="minorHAnsi"/>
          <w:sz w:val="24"/>
          <w:szCs w:val="24"/>
        </w:rPr>
        <w:t>points out</w:t>
      </w:r>
      <w:r w:rsidR="00CB4616">
        <w:rPr>
          <w:rFonts w:cstheme="minorHAnsi"/>
          <w:sz w:val="24"/>
          <w:szCs w:val="24"/>
        </w:rPr>
        <w:t>, ‘[u]</w:t>
      </w:r>
      <w:proofErr w:type="spellStart"/>
      <w:r w:rsidR="00CB4616">
        <w:rPr>
          <w:rFonts w:cstheme="minorHAnsi"/>
          <w:sz w:val="24"/>
          <w:szCs w:val="24"/>
        </w:rPr>
        <w:t>ltimately</w:t>
      </w:r>
      <w:proofErr w:type="spellEnd"/>
      <w:r w:rsidR="00CB4616">
        <w:rPr>
          <w:rFonts w:cstheme="minorHAnsi"/>
          <w:sz w:val="24"/>
          <w:szCs w:val="24"/>
        </w:rPr>
        <w:t>, the hurdle that the independence-seeking entity needs to overcome is the territorial integrity of its parent State’.</w:t>
      </w:r>
      <w:r w:rsidR="00CB4616">
        <w:rPr>
          <w:rStyle w:val="FootnoteReference"/>
          <w:rFonts w:cstheme="minorHAnsi"/>
          <w:sz w:val="24"/>
          <w:szCs w:val="24"/>
        </w:rPr>
        <w:footnoteReference w:id="224"/>
      </w:r>
      <w:r w:rsidR="00CB4616">
        <w:rPr>
          <w:rFonts w:cstheme="minorHAnsi"/>
          <w:sz w:val="24"/>
          <w:szCs w:val="24"/>
        </w:rPr>
        <w:t xml:space="preserve"> Such impediment can only be removed in the case of remedial secession, </w:t>
      </w:r>
      <w:r w:rsidR="00F1457E" w:rsidRPr="00EC6853">
        <w:rPr>
          <w:rFonts w:cstheme="minorHAnsi"/>
          <w:sz w:val="24"/>
          <w:szCs w:val="24"/>
        </w:rPr>
        <w:t>as a last resort</w:t>
      </w:r>
      <w:r w:rsidR="00CB4616">
        <w:rPr>
          <w:rFonts w:cstheme="minorHAnsi"/>
          <w:sz w:val="24"/>
          <w:szCs w:val="24"/>
        </w:rPr>
        <w:t>.</w:t>
      </w:r>
      <w:r w:rsidR="00CC39EE">
        <w:rPr>
          <w:rFonts w:cstheme="minorHAnsi"/>
          <w:sz w:val="24"/>
          <w:szCs w:val="24"/>
        </w:rPr>
        <w:t xml:space="preserve"> </w:t>
      </w:r>
      <w:r w:rsidR="005577BE">
        <w:rPr>
          <w:rFonts w:cstheme="minorHAnsi"/>
          <w:sz w:val="24"/>
          <w:szCs w:val="24"/>
        </w:rPr>
        <w:t xml:space="preserve">It is by invoking the right of self-determination that the peoples of these </w:t>
      </w:r>
      <w:r w:rsidR="005577BE">
        <w:rPr>
          <w:rFonts w:cstheme="minorHAnsi"/>
          <w:i/>
          <w:iCs/>
          <w:sz w:val="24"/>
          <w:szCs w:val="24"/>
        </w:rPr>
        <w:t xml:space="preserve">de facto </w:t>
      </w:r>
      <w:r w:rsidR="005577BE">
        <w:rPr>
          <w:rFonts w:cstheme="minorHAnsi"/>
          <w:sz w:val="24"/>
          <w:szCs w:val="24"/>
        </w:rPr>
        <w:t xml:space="preserve">States </w:t>
      </w:r>
      <w:r w:rsidR="00317739">
        <w:rPr>
          <w:rFonts w:cstheme="minorHAnsi"/>
          <w:sz w:val="24"/>
          <w:szCs w:val="24"/>
        </w:rPr>
        <w:t>might be able to</w:t>
      </w:r>
      <w:r w:rsidR="005577BE">
        <w:rPr>
          <w:rFonts w:cstheme="minorHAnsi"/>
          <w:sz w:val="24"/>
          <w:szCs w:val="24"/>
        </w:rPr>
        <w:t xml:space="preserve"> claim that they can secede. </w:t>
      </w:r>
    </w:p>
    <w:p w14:paraId="4A65FBBC" w14:textId="58CA07C1" w:rsidR="00020535" w:rsidRPr="00EC6853" w:rsidRDefault="00706665" w:rsidP="00C23C5C">
      <w:pPr>
        <w:pStyle w:val="Heading1"/>
      </w:pPr>
      <w:r>
        <w:t xml:space="preserve">3. </w:t>
      </w:r>
      <w:r w:rsidR="00CB4616">
        <w:t>Remedial Secession</w:t>
      </w:r>
      <w:r w:rsidR="00C23C5C">
        <w:t xml:space="preserve"> and t</w:t>
      </w:r>
      <w:r w:rsidR="00CB4616">
        <w:t>he</w:t>
      </w:r>
      <w:r w:rsidR="00020535" w:rsidRPr="00EC6853">
        <w:t xml:space="preserve"> Right of Self-Determination</w:t>
      </w:r>
    </w:p>
    <w:p w14:paraId="4253BAF9" w14:textId="40C53605" w:rsidR="00CC39EE" w:rsidRDefault="00CC39EE" w:rsidP="009B7C6E">
      <w:pPr>
        <w:spacing w:after="0" w:line="240" w:lineRule="auto"/>
        <w:jc w:val="both"/>
        <w:rPr>
          <w:rFonts w:cstheme="minorHAnsi"/>
          <w:sz w:val="24"/>
          <w:szCs w:val="24"/>
        </w:rPr>
      </w:pPr>
      <w:r>
        <w:rPr>
          <w:rFonts w:cstheme="minorHAnsi"/>
          <w:sz w:val="24"/>
          <w:szCs w:val="24"/>
        </w:rPr>
        <w:t>The right of self-determination, if denied internally, allows for a lawful violation of the principle of territorial integrity leading to the exercise of the right of self-determination externally and the creation of a new State.</w:t>
      </w:r>
      <w:r w:rsidR="00E93C07">
        <w:rPr>
          <w:rStyle w:val="FootnoteReference"/>
          <w:rFonts w:cstheme="minorHAnsi"/>
          <w:sz w:val="24"/>
          <w:szCs w:val="24"/>
        </w:rPr>
        <w:footnoteReference w:id="225"/>
      </w:r>
      <w:r>
        <w:rPr>
          <w:rFonts w:cstheme="minorHAnsi"/>
          <w:sz w:val="24"/>
          <w:szCs w:val="24"/>
        </w:rPr>
        <w:t xml:space="preserve"> In other words, albeit sacrosanct, the principle of territorial integrity can be breached by peoples, provided some specific circumstances are present. </w:t>
      </w:r>
      <w:r w:rsidR="002C579E">
        <w:rPr>
          <w:rFonts w:cstheme="minorHAnsi"/>
          <w:sz w:val="24"/>
          <w:szCs w:val="24"/>
        </w:rPr>
        <w:t xml:space="preserve">All three Caucasian </w:t>
      </w:r>
      <w:r w:rsidR="002C579E">
        <w:rPr>
          <w:rFonts w:cstheme="minorHAnsi"/>
          <w:i/>
          <w:iCs/>
          <w:sz w:val="24"/>
          <w:szCs w:val="24"/>
        </w:rPr>
        <w:t xml:space="preserve">de facto </w:t>
      </w:r>
      <w:r w:rsidR="002C579E">
        <w:rPr>
          <w:rFonts w:cstheme="minorHAnsi"/>
          <w:sz w:val="24"/>
          <w:szCs w:val="24"/>
        </w:rPr>
        <w:t>States</w:t>
      </w:r>
      <w:r w:rsidR="00980862">
        <w:rPr>
          <w:rFonts w:cstheme="minorHAnsi"/>
          <w:sz w:val="24"/>
          <w:szCs w:val="24"/>
        </w:rPr>
        <w:t xml:space="preserve"> claim in their constitutions that they are based on the right of self-determination,</w:t>
      </w:r>
      <w:r w:rsidR="00980862">
        <w:rPr>
          <w:rStyle w:val="FootnoteReference"/>
          <w:rFonts w:cstheme="minorHAnsi"/>
          <w:sz w:val="24"/>
          <w:szCs w:val="24"/>
        </w:rPr>
        <w:footnoteReference w:id="226"/>
      </w:r>
      <w:r w:rsidR="00980862">
        <w:rPr>
          <w:rFonts w:cstheme="minorHAnsi"/>
          <w:sz w:val="24"/>
          <w:szCs w:val="24"/>
        </w:rPr>
        <w:t xml:space="preserve"> whilst the constitution of Transnistria </w:t>
      </w:r>
      <w:r w:rsidR="002C579E">
        <w:rPr>
          <w:rFonts w:cstheme="minorHAnsi"/>
          <w:sz w:val="24"/>
          <w:szCs w:val="24"/>
        </w:rPr>
        <w:t>makes no such claim</w:t>
      </w:r>
      <w:r w:rsidR="00980862">
        <w:rPr>
          <w:rFonts w:cstheme="minorHAnsi"/>
          <w:sz w:val="24"/>
          <w:szCs w:val="24"/>
        </w:rPr>
        <w:t xml:space="preserve">. </w:t>
      </w:r>
      <w:r>
        <w:rPr>
          <w:rFonts w:cstheme="minorHAnsi"/>
          <w:sz w:val="24"/>
          <w:szCs w:val="24"/>
        </w:rPr>
        <w:t xml:space="preserve">After </w:t>
      </w:r>
      <w:r w:rsidR="002F3A01">
        <w:rPr>
          <w:rFonts w:cstheme="minorHAnsi"/>
          <w:sz w:val="24"/>
          <w:szCs w:val="24"/>
        </w:rPr>
        <w:t>offering a critical presentation of</w:t>
      </w:r>
      <w:r>
        <w:rPr>
          <w:rFonts w:cstheme="minorHAnsi"/>
          <w:sz w:val="24"/>
          <w:szCs w:val="24"/>
        </w:rPr>
        <w:t xml:space="preserve"> the right of self-determination this </w:t>
      </w:r>
      <w:r w:rsidR="005C34D7">
        <w:rPr>
          <w:rFonts w:cstheme="minorHAnsi"/>
          <w:sz w:val="24"/>
          <w:szCs w:val="24"/>
        </w:rPr>
        <w:t>s</w:t>
      </w:r>
      <w:r>
        <w:rPr>
          <w:rFonts w:cstheme="minorHAnsi"/>
          <w:sz w:val="24"/>
          <w:szCs w:val="24"/>
        </w:rPr>
        <w:t>ection examines the circumstances under which peoples can exercise their right to external self-determination and create a State</w:t>
      </w:r>
      <w:r w:rsidR="002F3A01">
        <w:rPr>
          <w:rFonts w:cstheme="minorHAnsi"/>
          <w:sz w:val="24"/>
          <w:szCs w:val="24"/>
        </w:rPr>
        <w:t xml:space="preserve"> whilst applying the requirements to the four </w:t>
      </w:r>
      <w:r w:rsidR="002F3A01">
        <w:rPr>
          <w:rFonts w:cstheme="minorHAnsi"/>
          <w:i/>
          <w:iCs/>
          <w:sz w:val="24"/>
          <w:szCs w:val="24"/>
        </w:rPr>
        <w:t xml:space="preserve">de facto </w:t>
      </w:r>
      <w:r w:rsidR="002F3A01">
        <w:rPr>
          <w:rFonts w:cstheme="minorHAnsi"/>
          <w:sz w:val="24"/>
          <w:szCs w:val="24"/>
        </w:rPr>
        <w:t>States</w:t>
      </w:r>
      <w:r>
        <w:rPr>
          <w:rFonts w:cstheme="minorHAnsi"/>
          <w:sz w:val="24"/>
          <w:szCs w:val="24"/>
        </w:rPr>
        <w:t>.</w:t>
      </w:r>
    </w:p>
    <w:p w14:paraId="57168937" w14:textId="169AF759" w:rsidR="004745EC" w:rsidRDefault="004745EC" w:rsidP="009B7C6E">
      <w:pPr>
        <w:spacing w:after="0" w:line="240" w:lineRule="auto"/>
        <w:jc w:val="both"/>
        <w:rPr>
          <w:rFonts w:cstheme="minorHAnsi"/>
          <w:sz w:val="24"/>
          <w:szCs w:val="24"/>
        </w:rPr>
      </w:pPr>
    </w:p>
    <w:p w14:paraId="520FC82E" w14:textId="3024D6B4" w:rsidR="004745EC" w:rsidRDefault="00706665" w:rsidP="00C23C5C">
      <w:pPr>
        <w:pStyle w:val="Heading2"/>
      </w:pPr>
      <w:r>
        <w:t xml:space="preserve">3.1. </w:t>
      </w:r>
      <w:r w:rsidR="004745EC">
        <w:t>The Right of Self-Determination</w:t>
      </w:r>
    </w:p>
    <w:p w14:paraId="3FB7BB97" w14:textId="2954D636" w:rsidR="002F3A01" w:rsidRPr="00EC6853" w:rsidRDefault="002F3A01" w:rsidP="002F3A01">
      <w:pPr>
        <w:spacing w:after="0" w:line="240" w:lineRule="auto"/>
        <w:jc w:val="both"/>
        <w:rPr>
          <w:rFonts w:cstheme="minorHAnsi"/>
          <w:sz w:val="24"/>
          <w:szCs w:val="24"/>
        </w:rPr>
      </w:pPr>
      <w:r w:rsidRPr="00EC6853">
        <w:rPr>
          <w:rFonts w:cstheme="minorHAnsi"/>
          <w:sz w:val="24"/>
          <w:szCs w:val="24"/>
        </w:rPr>
        <w:t xml:space="preserve">The right of self-determination is </w:t>
      </w:r>
      <w:r w:rsidR="00060D96">
        <w:rPr>
          <w:rFonts w:cstheme="minorHAnsi"/>
          <w:sz w:val="24"/>
          <w:szCs w:val="24"/>
        </w:rPr>
        <w:t>undeniably</w:t>
      </w:r>
      <w:r w:rsidRPr="00EC6853">
        <w:rPr>
          <w:rFonts w:cstheme="minorHAnsi"/>
          <w:sz w:val="24"/>
          <w:szCs w:val="24"/>
        </w:rPr>
        <w:t xml:space="preserve"> one of the most controversial principles of international law.</w:t>
      </w:r>
      <w:r w:rsidR="0054688F">
        <w:rPr>
          <w:rStyle w:val="FootnoteReference"/>
        </w:rPr>
        <w:footnoteReference w:id="227"/>
      </w:r>
      <w:r w:rsidRPr="00EC6853">
        <w:rPr>
          <w:rFonts w:cstheme="minorHAnsi"/>
          <w:sz w:val="24"/>
          <w:szCs w:val="24"/>
        </w:rPr>
        <w:t xml:space="preserve"> ‘Controversial to all, inconveniencing to many, and passionately vexing to a few, it has remained central to political changes and scholarly discourse’</w:t>
      </w:r>
      <w:r w:rsidR="00864A35">
        <w:rPr>
          <w:rFonts w:cstheme="minorHAnsi"/>
          <w:sz w:val="24"/>
          <w:szCs w:val="24"/>
        </w:rPr>
        <w:t>.</w:t>
      </w:r>
      <w:r w:rsidRPr="00EC6853">
        <w:rPr>
          <w:rStyle w:val="FootnoteReference"/>
          <w:rFonts w:cstheme="minorHAnsi"/>
          <w:sz w:val="24"/>
          <w:szCs w:val="24"/>
        </w:rPr>
        <w:footnoteReference w:id="228"/>
      </w:r>
      <w:r w:rsidRPr="00EC6853">
        <w:rPr>
          <w:rFonts w:cstheme="minorHAnsi"/>
          <w:sz w:val="24"/>
          <w:szCs w:val="24"/>
        </w:rPr>
        <w:t xml:space="preserve"> Its interpretation is manifold and increasingly diverging, especially since the declaration of independence of Kosovo </w:t>
      </w:r>
      <w:r w:rsidR="00864A35">
        <w:rPr>
          <w:rFonts w:cstheme="minorHAnsi"/>
          <w:sz w:val="24"/>
          <w:szCs w:val="24"/>
        </w:rPr>
        <w:t>which</w:t>
      </w:r>
      <w:r w:rsidRPr="00EC6853">
        <w:rPr>
          <w:rFonts w:cstheme="minorHAnsi"/>
          <w:sz w:val="24"/>
          <w:szCs w:val="24"/>
        </w:rPr>
        <w:t xml:space="preserve"> has led to a flurry of heated debates.</w:t>
      </w:r>
      <w:r w:rsidR="00AB7C66">
        <w:rPr>
          <w:rStyle w:val="FootnoteReference"/>
          <w:rFonts w:cstheme="minorHAnsi"/>
          <w:sz w:val="24"/>
          <w:szCs w:val="24"/>
        </w:rPr>
        <w:footnoteReference w:id="229"/>
      </w:r>
      <w:r w:rsidRPr="00EC6853">
        <w:rPr>
          <w:rFonts w:cstheme="minorHAnsi"/>
          <w:sz w:val="24"/>
          <w:szCs w:val="24"/>
        </w:rPr>
        <w:t xml:space="preserve"> </w:t>
      </w:r>
    </w:p>
    <w:p w14:paraId="06A4625B" w14:textId="770C138E" w:rsidR="002F3A01" w:rsidRPr="00EC6853" w:rsidRDefault="002F3A01" w:rsidP="002F3A01">
      <w:pPr>
        <w:spacing w:after="0" w:line="240" w:lineRule="auto"/>
        <w:jc w:val="both"/>
        <w:rPr>
          <w:rFonts w:cstheme="minorHAnsi"/>
          <w:sz w:val="24"/>
          <w:szCs w:val="24"/>
        </w:rPr>
      </w:pPr>
      <w:r w:rsidRPr="00EC6853">
        <w:rPr>
          <w:rFonts w:cstheme="minorHAnsi"/>
          <w:sz w:val="24"/>
          <w:szCs w:val="24"/>
        </w:rPr>
        <w:t xml:space="preserve">The right of self-determination </w:t>
      </w:r>
      <w:r w:rsidR="000176C0">
        <w:rPr>
          <w:rFonts w:cstheme="minorHAnsi"/>
          <w:sz w:val="24"/>
          <w:szCs w:val="24"/>
        </w:rPr>
        <w:t>is enshrined</w:t>
      </w:r>
      <w:r w:rsidRPr="00EC6853">
        <w:rPr>
          <w:rFonts w:cstheme="minorHAnsi"/>
          <w:sz w:val="24"/>
          <w:szCs w:val="24"/>
        </w:rPr>
        <w:t xml:space="preserve"> in a variety of legally and non-legally binding </w:t>
      </w:r>
      <w:r w:rsidR="00864A35">
        <w:rPr>
          <w:rFonts w:cstheme="minorHAnsi"/>
          <w:sz w:val="24"/>
          <w:szCs w:val="24"/>
        </w:rPr>
        <w:t>instruments</w:t>
      </w:r>
      <w:r w:rsidRPr="00EC6853">
        <w:rPr>
          <w:rFonts w:cstheme="minorHAnsi"/>
          <w:sz w:val="24"/>
          <w:szCs w:val="24"/>
        </w:rPr>
        <w:t xml:space="preserve">. Articles 1(2) and 55 of the United Nations Charter expressly </w:t>
      </w:r>
      <w:r w:rsidR="00821794">
        <w:rPr>
          <w:rFonts w:cstheme="minorHAnsi"/>
          <w:sz w:val="24"/>
          <w:szCs w:val="24"/>
        </w:rPr>
        <w:t>refer</w:t>
      </w:r>
      <w:r w:rsidRPr="00EC6853">
        <w:rPr>
          <w:rFonts w:cstheme="minorHAnsi"/>
          <w:sz w:val="24"/>
          <w:szCs w:val="24"/>
        </w:rPr>
        <w:t xml:space="preserve"> </w:t>
      </w:r>
      <w:r w:rsidR="005C34D7">
        <w:rPr>
          <w:rFonts w:cstheme="minorHAnsi"/>
          <w:sz w:val="24"/>
          <w:szCs w:val="24"/>
        </w:rPr>
        <w:t xml:space="preserve">to </w:t>
      </w:r>
      <w:r w:rsidRPr="00EC6853">
        <w:rPr>
          <w:rFonts w:cstheme="minorHAnsi"/>
          <w:sz w:val="24"/>
          <w:szCs w:val="24"/>
        </w:rPr>
        <w:t xml:space="preserve">the principle of self-determination of peoples. It also appears in </w:t>
      </w:r>
      <w:r w:rsidR="00864A35">
        <w:rPr>
          <w:rFonts w:cstheme="minorHAnsi"/>
          <w:sz w:val="24"/>
          <w:szCs w:val="24"/>
        </w:rPr>
        <w:t>A</w:t>
      </w:r>
      <w:r w:rsidRPr="00EC6853">
        <w:rPr>
          <w:rFonts w:cstheme="minorHAnsi"/>
          <w:sz w:val="24"/>
          <w:szCs w:val="24"/>
        </w:rPr>
        <w:t xml:space="preserve">rticle 1 </w:t>
      </w:r>
      <w:r w:rsidR="00864A35">
        <w:rPr>
          <w:rFonts w:cstheme="minorHAnsi"/>
          <w:sz w:val="24"/>
          <w:szCs w:val="24"/>
        </w:rPr>
        <w:t>of</w:t>
      </w:r>
      <w:r w:rsidRPr="00EC6853">
        <w:rPr>
          <w:rFonts w:cstheme="minorHAnsi"/>
          <w:sz w:val="24"/>
          <w:szCs w:val="24"/>
        </w:rPr>
        <w:t xml:space="preserve"> </w:t>
      </w:r>
      <w:r w:rsidR="00864A35">
        <w:rPr>
          <w:rFonts w:cstheme="minorHAnsi"/>
          <w:sz w:val="24"/>
          <w:szCs w:val="24"/>
        </w:rPr>
        <w:t>the</w:t>
      </w:r>
      <w:r w:rsidRPr="00EC6853">
        <w:rPr>
          <w:rFonts w:cstheme="minorHAnsi"/>
          <w:sz w:val="24"/>
          <w:szCs w:val="24"/>
        </w:rPr>
        <w:t xml:space="preserve"> </w:t>
      </w:r>
      <w:r w:rsidR="00864A35">
        <w:rPr>
          <w:rFonts w:cstheme="minorHAnsi"/>
          <w:sz w:val="24"/>
          <w:szCs w:val="24"/>
        </w:rPr>
        <w:t>I</w:t>
      </w:r>
      <w:r w:rsidRPr="00EC6853">
        <w:rPr>
          <w:rFonts w:cstheme="minorHAnsi"/>
          <w:sz w:val="24"/>
          <w:szCs w:val="24"/>
        </w:rPr>
        <w:t xml:space="preserve">nternational </w:t>
      </w:r>
      <w:r w:rsidR="00864A35">
        <w:rPr>
          <w:rFonts w:cstheme="minorHAnsi"/>
          <w:sz w:val="24"/>
          <w:szCs w:val="24"/>
        </w:rPr>
        <w:t>C</w:t>
      </w:r>
      <w:r w:rsidRPr="00EC6853">
        <w:rPr>
          <w:rFonts w:cstheme="minorHAnsi"/>
          <w:sz w:val="24"/>
          <w:szCs w:val="24"/>
        </w:rPr>
        <w:t xml:space="preserve">ovenant on </w:t>
      </w:r>
      <w:r w:rsidR="00864A35">
        <w:rPr>
          <w:rFonts w:cstheme="minorHAnsi"/>
          <w:sz w:val="24"/>
          <w:szCs w:val="24"/>
        </w:rPr>
        <w:t>C</w:t>
      </w:r>
      <w:r w:rsidRPr="00EC6853">
        <w:rPr>
          <w:rFonts w:cstheme="minorHAnsi"/>
          <w:sz w:val="24"/>
          <w:szCs w:val="24"/>
        </w:rPr>
        <w:t xml:space="preserve">ivil and </w:t>
      </w:r>
      <w:r w:rsidR="00864A35">
        <w:rPr>
          <w:rFonts w:cstheme="minorHAnsi"/>
          <w:sz w:val="24"/>
          <w:szCs w:val="24"/>
        </w:rPr>
        <w:t>P</w:t>
      </w:r>
      <w:r w:rsidRPr="00EC6853">
        <w:rPr>
          <w:rFonts w:cstheme="minorHAnsi"/>
          <w:sz w:val="24"/>
          <w:szCs w:val="24"/>
        </w:rPr>
        <w:t xml:space="preserve">olitical </w:t>
      </w:r>
      <w:r w:rsidR="00864A35">
        <w:rPr>
          <w:rFonts w:cstheme="minorHAnsi"/>
          <w:sz w:val="24"/>
          <w:szCs w:val="24"/>
        </w:rPr>
        <w:t>R</w:t>
      </w:r>
      <w:r w:rsidRPr="00EC6853">
        <w:rPr>
          <w:rFonts w:cstheme="minorHAnsi"/>
          <w:sz w:val="24"/>
          <w:szCs w:val="24"/>
        </w:rPr>
        <w:t>ights</w:t>
      </w:r>
      <w:r w:rsidR="00864A35">
        <w:rPr>
          <w:rStyle w:val="FootnoteReference"/>
          <w:rFonts w:cstheme="minorHAnsi"/>
          <w:sz w:val="24"/>
          <w:szCs w:val="24"/>
        </w:rPr>
        <w:footnoteReference w:id="230"/>
      </w:r>
      <w:r w:rsidRPr="00EC6853">
        <w:rPr>
          <w:rFonts w:cstheme="minorHAnsi"/>
          <w:sz w:val="24"/>
          <w:szCs w:val="24"/>
        </w:rPr>
        <w:t xml:space="preserve"> and the </w:t>
      </w:r>
      <w:r w:rsidR="00864A35">
        <w:rPr>
          <w:rFonts w:cstheme="minorHAnsi"/>
          <w:sz w:val="24"/>
          <w:szCs w:val="24"/>
        </w:rPr>
        <w:t>I</w:t>
      </w:r>
      <w:r w:rsidRPr="00EC6853">
        <w:rPr>
          <w:rFonts w:cstheme="minorHAnsi"/>
          <w:sz w:val="24"/>
          <w:szCs w:val="24"/>
        </w:rPr>
        <w:t xml:space="preserve">nternational </w:t>
      </w:r>
      <w:r w:rsidR="00864A35">
        <w:rPr>
          <w:rFonts w:cstheme="minorHAnsi"/>
          <w:sz w:val="24"/>
          <w:szCs w:val="24"/>
        </w:rPr>
        <w:t>C</w:t>
      </w:r>
      <w:r w:rsidRPr="00EC6853">
        <w:rPr>
          <w:rFonts w:cstheme="minorHAnsi"/>
          <w:sz w:val="24"/>
          <w:szCs w:val="24"/>
        </w:rPr>
        <w:t xml:space="preserve">ovenant on </w:t>
      </w:r>
      <w:r w:rsidR="00864A35">
        <w:rPr>
          <w:rFonts w:cstheme="minorHAnsi"/>
          <w:sz w:val="24"/>
          <w:szCs w:val="24"/>
        </w:rPr>
        <w:t>E</w:t>
      </w:r>
      <w:r w:rsidRPr="00EC6853">
        <w:rPr>
          <w:rFonts w:cstheme="minorHAnsi"/>
          <w:sz w:val="24"/>
          <w:szCs w:val="24"/>
        </w:rPr>
        <w:t xml:space="preserve">conomic </w:t>
      </w:r>
      <w:r w:rsidR="00864A35">
        <w:rPr>
          <w:rFonts w:cstheme="minorHAnsi"/>
          <w:sz w:val="24"/>
          <w:szCs w:val="24"/>
        </w:rPr>
        <w:t>S</w:t>
      </w:r>
      <w:r w:rsidRPr="00EC6853">
        <w:rPr>
          <w:rFonts w:cstheme="minorHAnsi"/>
          <w:sz w:val="24"/>
          <w:szCs w:val="24"/>
        </w:rPr>
        <w:t xml:space="preserve">ocial and </w:t>
      </w:r>
      <w:r w:rsidR="00864A35">
        <w:rPr>
          <w:rFonts w:cstheme="minorHAnsi"/>
          <w:sz w:val="24"/>
          <w:szCs w:val="24"/>
        </w:rPr>
        <w:t>C</w:t>
      </w:r>
      <w:r w:rsidRPr="00EC6853">
        <w:rPr>
          <w:rFonts w:cstheme="minorHAnsi"/>
          <w:sz w:val="24"/>
          <w:szCs w:val="24"/>
        </w:rPr>
        <w:t xml:space="preserve">ultural </w:t>
      </w:r>
      <w:r w:rsidR="00864A35">
        <w:rPr>
          <w:rFonts w:cstheme="minorHAnsi"/>
          <w:sz w:val="24"/>
          <w:szCs w:val="24"/>
        </w:rPr>
        <w:t>R</w:t>
      </w:r>
      <w:r w:rsidRPr="00EC6853">
        <w:rPr>
          <w:rFonts w:cstheme="minorHAnsi"/>
          <w:sz w:val="24"/>
          <w:szCs w:val="24"/>
        </w:rPr>
        <w:t>ights.</w:t>
      </w:r>
      <w:r w:rsidR="00864A35">
        <w:rPr>
          <w:rStyle w:val="FootnoteReference"/>
          <w:rFonts w:cstheme="minorHAnsi"/>
          <w:sz w:val="24"/>
          <w:szCs w:val="24"/>
        </w:rPr>
        <w:footnoteReference w:id="231"/>
      </w:r>
      <w:r w:rsidRPr="00EC6853">
        <w:rPr>
          <w:rFonts w:cstheme="minorHAnsi"/>
          <w:sz w:val="24"/>
          <w:szCs w:val="24"/>
        </w:rPr>
        <w:t xml:space="preserve"> Moreover, it is found in two important declarations of the United Nations General Assembly, the 1960 Declaration on the Granting of Independence to Colonial Countries and Peoples</w:t>
      </w:r>
      <w:r w:rsidRPr="00EC6853">
        <w:rPr>
          <w:rStyle w:val="FootnoteReference"/>
          <w:rFonts w:cstheme="minorHAnsi"/>
          <w:sz w:val="24"/>
          <w:szCs w:val="24"/>
        </w:rPr>
        <w:footnoteReference w:id="232"/>
      </w:r>
      <w:r w:rsidRPr="00EC6853">
        <w:rPr>
          <w:rFonts w:cstheme="minorHAnsi"/>
          <w:sz w:val="24"/>
          <w:szCs w:val="24"/>
        </w:rPr>
        <w:t xml:space="preserve"> and the 1970 Declaration on Principles of International Law Concerning Friendly Relations and Co-operation Among States in Accordance with the Charter of the United Nations.</w:t>
      </w:r>
      <w:r w:rsidRPr="00EC6853">
        <w:rPr>
          <w:rStyle w:val="FootnoteReference"/>
          <w:rFonts w:cstheme="minorHAnsi"/>
          <w:sz w:val="24"/>
          <w:szCs w:val="24"/>
        </w:rPr>
        <w:footnoteReference w:id="233"/>
      </w:r>
      <w:r w:rsidRPr="00EC6853">
        <w:rPr>
          <w:rFonts w:cstheme="minorHAnsi"/>
          <w:sz w:val="24"/>
          <w:szCs w:val="24"/>
        </w:rPr>
        <w:t xml:space="preserve"> More generally, the principle of self-determination </w:t>
      </w:r>
      <w:r w:rsidR="005B57B4">
        <w:rPr>
          <w:rFonts w:cstheme="minorHAnsi"/>
          <w:sz w:val="24"/>
          <w:szCs w:val="24"/>
        </w:rPr>
        <w:t xml:space="preserve">is </w:t>
      </w:r>
      <w:r w:rsidRPr="00EC6853">
        <w:rPr>
          <w:rFonts w:cstheme="minorHAnsi"/>
          <w:sz w:val="24"/>
          <w:szCs w:val="24"/>
        </w:rPr>
        <w:t xml:space="preserve">viewed </w:t>
      </w:r>
      <w:r w:rsidR="005C34D7">
        <w:rPr>
          <w:rFonts w:cstheme="minorHAnsi"/>
          <w:sz w:val="24"/>
          <w:szCs w:val="24"/>
        </w:rPr>
        <w:t>to be of</w:t>
      </w:r>
      <w:r w:rsidRPr="00EC6853">
        <w:rPr>
          <w:rFonts w:cstheme="minorHAnsi"/>
          <w:sz w:val="24"/>
          <w:szCs w:val="24"/>
        </w:rPr>
        <w:t xml:space="preserve"> customary natur</w:t>
      </w:r>
      <w:r w:rsidR="003E708B">
        <w:rPr>
          <w:rFonts w:cstheme="minorHAnsi"/>
          <w:sz w:val="24"/>
          <w:szCs w:val="24"/>
        </w:rPr>
        <w:t>e</w:t>
      </w:r>
      <w:r w:rsidRPr="00EC6853">
        <w:rPr>
          <w:rStyle w:val="FootnoteReference"/>
          <w:rFonts w:cstheme="minorHAnsi"/>
          <w:sz w:val="24"/>
          <w:szCs w:val="24"/>
        </w:rPr>
        <w:footnoteReference w:id="234"/>
      </w:r>
      <w:r w:rsidR="003E708B">
        <w:rPr>
          <w:rFonts w:cstheme="minorHAnsi"/>
          <w:sz w:val="24"/>
          <w:szCs w:val="24"/>
        </w:rPr>
        <w:t xml:space="preserve"> and, according to the latest work of the International Law Commission,</w:t>
      </w:r>
      <w:r w:rsidR="005C34D7">
        <w:rPr>
          <w:rFonts w:cstheme="minorHAnsi"/>
          <w:sz w:val="24"/>
          <w:szCs w:val="24"/>
        </w:rPr>
        <w:t xml:space="preserve"> is</w:t>
      </w:r>
      <w:r w:rsidR="003E708B">
        <w:rPr>
          <w:rFonts w:cstheme="minorHAnsi"/>
          <w:sz w:val="24"/>
          <w:szCs w:val="24"/>
        </w:rPr>
        <w:t xml:space="preserve"> of </w:t>
      </w:r>
      <w:r w:rsidR="003E708B">
        <w:rPr>
          <w:rFonts w:cstheme="minorHAnsi"/>
          <w:i/>
          <w:iCs/>
          <w:sz w:val="24"/>
          <w:szCs w:val="24"/>
        </w:rPr>
        <w:t xml:space="preserve">jus cogens </w:t>
      </w:r>
      <w:r w:rsidR="003E708B">
        <w:rPr>
          <w:rFonts w:cstheme="minorHAnsi"/>
          <w:sz w:val="24"/>
          <w:szCs w:val="24"/>
        </w:rPr>
        <w:t>nature.</w:t>
      </w:r>
      <w:r w:rsidR="003E708B">
        <w:rPr>
          <w:rStyle w:val="FootnoteReference"/>
          <w:rFonts w:cstheme="minorHAnsi"/>
          <w:sz w:val="24"/>
          <w:szCs w:val="24"/>
        </w:rPr>
        <w:footnoteReference w:id="235"/>
      </w:r>
      <w:r w:rsidRPr="00EC6853">
        <w:rPr>
          <w:rFonts w:cstheme="minorHAnsi"/>
          <w:sz w:val="24"/>
          <w:szCs w:val="24"/>
        </w:rPr>
        <w:t xml:space="preserve"> </w:t>
      </w:r>
      <w:r w:rsidR="00144F04">
        <w:rPr>
          <w:rFonts w:cstheme="minorHAnsi"/>
          <w:sz w:val="24"/>
          <w:szCs w:val="24"/>
        </w:rPr>
        <w:t>The ICJ has recognised it as ‘one of the essential principles of contemporary international law’.</w:t>
      </w:r>
      <w:r w:rsidR="00144F04">
        <w:rPr>
          <w:rStyle w:val="FootnoteReference"/>
          <w:rFonts w:cstheme="minorHAnsi"/>
          <w:sz w:val="24"/>
          <w:szCs w:val="24"/>
        </w:rPr>
        <w:footnoteReference w:id="236"/>
      </w:r>
      <w:r w:rsidR="00144F04">
        <w:rPr>
          <w:rFonts w:cstheme="minorHAnsi"/>
          <w:sz w:val="24"/>
          <w:szCs w:val="24"/>
        </w:rPr>
        <w:t xml:space="preserve"> </w:t>
      </w:r>
      <w:r w:rsidR="005B57B4">
        <w:rPr>
          <w:rFonts w:cstheme="minorHAnsi"/>
          <w:sz w:val="24"/>
          <w:szCs w:val="24"/>
        </w:rPr>
        <w:t>A</w:t>
      </w:r>
      <w:r w:rsidRPr="00EC6853">
        <w:rPr>
          <w:rFonts w:cstheme="minorHAnsi"/>
          <w:sz w:val="24"/>
          <w:szCs w:val="24"/>
        </w:rPr>
        <w:t xml:space="preserve">t the European level, </w:t>
      </w:r>
      <w:r w:rsidR="005B57B4">
        <w:rPr>
          <w:rFonts w:cstheme="minorHAnsi"/>
          <w:sz w:val="24"/>
          <w:szCs w:val="24"/>
        </w:rPr>
        <w:t>t</w:t>
      </w:r>
      <w:r w:rsidRPr="00EC6853">
        <w:rPr>
          <w:rFonts w:cstheme="minorHAnsi"/>
          <w:sz w:val="24"/>
          <w:szCs w:val="24"/>
        </w:rPr>
        <w:t>he Helsinki Final Act</w:t>
      </w:r>
      <w:r w:rsidRPr="00EC6853">
        <w:rPr>
          <w:rStyle w:val="FootnoteReference"/>
          <w:rFonts w:cstheme="minorHAnsi"/>
          <w:sz w:val="24"/>
          <w:szCs w:val="24"/>
        </w:rPr>
        <w:footnoteReference w:id="237"/>
      </w:r>
      <w:r w:rsidRPr="00EC6853">
        <w:rPr>
          <w:rFonts w:cstheme="minorHAnsi"/>
          <w:sz w:val="24"/>
          <w:szCs w:val="24"/>
        </w:rPr>
        <w:t xml:space="preserve"> and the Charter of Paris,</w:t>
      </w:r>
      <w:r w:rsidRPr="00EC6853">
        <w:rPr>
          <w:rStyle w:val="FootnoteReference"/>
          <w:rFonts w:cstheme="minorHAnsi"/>
          <w:sz w:val="24"/>
          <w:szCs w:val="24"/>
        </w:rPr>
        <w:footnoteReference w:id="238"/>
      </w:r>
      <w:r w:rsidRPr="00EC6853">
        <w:rPr>
          <w:rFonts w:cstheme="minorHAnsi"/>
          <w:sz w:val="24"/>
          <w:szCs w:val="24"/>
        </w:rPr>
        <w:t xml:space="preserve"> two </w:t>
      </w:r>
      <w:r w:rsidR="005B57B4">
        <w:rPr>
          <w:rFonts w:cstheme="minorHAnsi"/>
          <w:sz w:val="24"/>
          <w:szCs w:val="24"/>
        </w:rPr>
        <w:t>instruments</w:t>
      </w:r>
      <w:r w:rsidRPr="00EC6853">
        <w:rPr>
          <w:rFonts w:cstheme="minorHAnsi"/>
          <w:sz w:val="24"/>
          <w:szCs w:val="24"/>
        </w:rPr>
        <w:t xml:space="preserve"> referred to in the Declaration on the Guidelines on Recognition of New States in Eastern Europe and the Soviet Union</w:t>
      </w:r>
      <w:r w:rsidR="005B57B4">
        <w:rPr>
          <w:rFonts w:cstheme="minorHAnsi"/>
          <w:sz w:val="24"/>
          <w:szCs w:val="24"/>
        </w:rPr>
        <w:t xml:space="preserve">, safeguard the right </w:t>
      </w:r>
      <w:r w:rsidR="00D8119B">
        <w:rPr>
          <w:rFonts w:cstheme="minorHAnsi"/>
          <w:sz w:val="24"/>
          <w:szCs w:val="24"/>
        </w:rPr>
        <w:t>to</w:t>
      </w:r>
      <w:r w:rsidR="005B57B4">
        <w:rPr>
          <w:rFonts w:cstheme="minorHAnsi"/>
          <w:sz w:val="24"/>
          <w:szCs w:val="24"/>
        </w:rPr>
        <w:t xml:space="preserve"> self-determination</w:t>
      </w:r>
      <w:r w:rsidR="00D8119B">
        <w:rPr>
          <w:rFonts w:cstheme="minorHAnsi"/>
          <w:sz w:val="24"/>
          <w:szCs w:val="24"/>
        </w:rPr>
        <w:t xml:space="preserve"> too</w:t>
      </w:r>
      <w:r w:rsidRPr="00EC6853">
        <w:rPr>
          <w:rFonts w:cstheme="minorHAnsi"/>
          <w:sz w:val="24"/>
          <w:szCs w:val="24"/>
        </w:rPr>
        <w:t xml:space="preserve">. </w:t>
      </w:r>
    </w:p>
    <w:p w14:paraId="5E882F9F" w14:textId="74396553" w:rsidR="000176C0" w:rsidRDefault="002F3A01" w:rsidP="000176C0">
      <w:pPr>
        <w:spacing w:after="0" w:line="240" w:lineRule="auto"/>
        <w:jc w:val="both"/>
        <w:rPr>
          <w:rFonts w:cstheme="minorHAnsi"/>
          <w:sz w:val="24"/>
          <w:szCs w:val="24"/>
          <w:shd w:val="clear" w:color="auto" w:fill="FFFFFF"/>
        </w:rPr>
      </w:pPr>
      <w:r w:rsidRPr="00EC6853">
        <w:rPr>
          <w:rFonts w:cstheme="minorHAnsi"/>
          <w:sz w:val="24"/>
          <w:szCs w:val="24"/>
        </w:rPr>
        <w:t xml:space="preserve">None of these </w:t>
      </w:r>
      <w:r w:rsidR="005B57B4">
        <w:rPr>
          <w:rFonts w:cstheme="minorHAnsi"/>
          <w:sz w:val="24"/>
          <w:szCs w:val="24"/>
        </w:rPr>
        <w:t>instruments</w:t>
      </w:r>
      <w:r w:rsidRPr="00EC6853">
        <w:rPr>
          <w:rFonts w:cstheme="minorHAnsi"/>
          <w:sz w:val="24"/>
          <w:szCs w:val="24"/>
        </w:rPr>
        <w:t xml:space="preserve"> </w:t>
      </w:r>
      <w:r w:rsidR="005A22C1">
        <w:rPr>
          <w:rFonts w:cstheme="minorHAnsi"/>
          <w:sz w:val="24"/>
          <w:szCs w:val="24"/>
        </w:rPr>
        <w:t>though</w:t>
      </w:r>
      <w:r w:rsidRPr="00EC6853">
        <w:rPr>
          <w:rFonts w:cstheme="minorHAnsi"/>
          <w:sz w:val="24"/>
          <w:szCs w:val="24"/>
        </w:rPr>
        <w:t xml:space="preserve"> </w:t>
      </w:r>
      <w:r w:rsidR="005C7B3D">
        <w:rPr>
          <w:rFonts w:cstheme="minorHAnsi"/>
          <w:sz w:val="24"/>
          <w:szCs w:val="24"/>
        </w:rPr>
        <w:t>define</w:t>
      </w:r>
      <w:r w:rsidRPr="00EC6853">
        <w:rPr>
          <w:rFonts w:cstheme="minorHAnsi"/>
          <w:sz w:val="24"/>
          <w:szCs w:val="24"/>
        </w:rPr>
        <w:t xml:space="preserve"> the right of self-determination. </w:t>
      </w:r>
      <w:r w:rsidR="005B57B4">
        <w:rPr>
          <w:rFonts w:cstheme="minorHAnsi"/>
          <w:sz w:val="24"/>
          <w:szCs w:val="24"/>
        </w:rPr>
        <w:t>First, i</w:t>
      </w:r>
      <w:r w:rsidRPr="00EC6853">
        <w:rPr>
          <w:rFonts w:cstheme="minorHAnsi"/>
          <w:sz w:val="24"/>
          <w:szCs w:val="24"/>
        </w:rPr>
        <w:t xml:space="preserve">t is </w:t>
      </w:r>
      <w:r w:rsidR="005B57B4">
        <w:rPr>
          <w:rFonts w:cstheme="minorHAnsi"/>
          <w:sz w:val="24"/>
          <w:szCs w:val="24"/>
        </w:rPr>
        <w:t>often essentially</w:t>
      </w:r>
      <w:r w:rsidRPr="00EC6853">
        <w:rPr>
          <w:rFonts w:cstheme="minorHAnsi"/>
          <w:sz w:val="24"/>
          <w:szCs w:val="24"/>
        </w:rPr>
        <w:t xml:space="preserve"> linked to the decolonisation process</w:t>
      </w:r>
      <w:r w:rsidR="00112E83">
        <w:rPr>
          <w:rFonts w:cstheme="minorHAnsi"/>
          <w:sz w:val="24"/>
          <w:szCs w:val="24"/>
        </w:rPr>
        <w:t>.</w:t>
      </w:r>
      <w:r w:rsidR="00112E83">
        <w:rPr>
          <w:rStyle w:val="FootnoteReference"/>
          <w:rFonts w:cstheme="minorHAnsi"/>
          <w:color w:val="000000"/>
          <w:sz w:val="24"/>
          <w:szCs w:val="24"/>
          <w:shd w:val="clear" w:color="auto" w:fill="FFFFFF"/>
        </w:rPr>
        <w:footnoteReference w:id="239"/>
      </w:r>
      <w:r w:rsidRPr="00EC6853">
        <w:rPr>
          <w:rFonts w:cstheme="minorHAnsi"/>
          <w:sz w:val="24"/>
          <w:szCs w:val="24"/>
        </w:rPr>
        <w:t xml:space="preserve"> One can point out that the Declaration on the Granting of Independence to Colonial Countries and Peoples refers to ‘colonised peoples’ and not to ‘peoples’.</w:t>
      </w:r>
      <w:r w:rsidR="00647963">
        <w:rPr>
          <w:rStyle w:val="FootnoteReference"/>
          <w:rFonts w:cstheme="minorHAnsi"/>
          <w:sz w:val="24"/>
          <w:szCs w:val="24"/>
        </w:rPr>
        <w:footnoteReference w:id="240"/>
      </w:r>
      <w:r w:rsidR="00CF665A">
        <w:rPr>
          <w:rFonts w:cstheme="minorHAnsi"/>
          <w:sz w:val="24"/>
          <w:szCs w:val="24"/>
        </w:rPr>
        <w:t xml:space="preserve"> S</w:t>
      </w:r>
      <w:r w:rsidRPr="00EC6853">
        <w:rPr>
          <w:rFonts w:cstheme="minorHAnsi"/>
          <w:sz w:val="24"/>
          <w:szCs w:val="24"/>
        </w:rPr>
        <w:t>uch an interpretation would</w:t>
      </w:r>
      <w:r w:rsidR="00CF665A">
        <w:rPr>
          <w:rFonts w:cstheme="minorHAnsi"/>
          <w:sz w:val="24"/>
          <w:szCs w:val="24"/>
        </w:rPr>
        <w:t xml:space="preserve"> however</w:t>
      </w:r>
      <w:r w:rsidRPr="00EC6853">
        <w:rPr>
          <w:rFonts w:cstheme="minorHAnsi"/>
          <w:sz w:val="24"/>
          <w:szCs w:val="24"/>
        </w:rPr>
        <w:t xml:space="preserve"> be flawed because the right of self-determination</w:t>
      </w:r>
      <w:r w:rsidR="005D5AEB">
        <w:rPr>
          <w:rFonts w:cstheme="minorHAnsi"/>
          <w:sz w:val="24"/>
          <w:szCs w:val="24"/>
        </w:rPr>
        <w:t xml:space="preserve"> (albeit phrased as autonomy)</w:t>
      </w:r>
      <w:r w:rsidRPr="00EC6853">
        <w:rPr>
          <w:rFonts w:cstheme="minorHAnsi"/>
          <w:sz w:val="24"/>
          <w:szCs w:val="24"/>
        </w:rPr>
        <w:t xml:space="preserve"> was originally mentioned in relation to minorities in Europe after the First World War</w:t>
      </w:r>
      <w:r w:rsidR="005D5AEB">
        <w:rPr>
          <w:rFonts w:cstheme="minorHAnsi"/>
          <w:sz w:val="24"/>
          <w:szCs w:val="24"/>
        </w:rPr>
        <w:t xml:space="preserve">, as one of US President Wilson’s 14 points, </w:t>
      </w:r>
      <w:r w:rsidRPr="00EC6853">
        <w:rPr>
          <w:rFonts w:cstheme="minorHAnsi"/>
          <w:sz w:val="24"/>
          <w:szCs w:val="24"/>
        </w:rPr>
        <w:t xml:space="preserve"> and </w:t>
      </w:r>
      <w:r w:rsidR="005D5AEB">
        <w:rPr>
          <w:rFonts w:cstheme="minorHAnsi"/>
          <w:sz w:val="24"/>
          <w:szCs w:val="24"/>
        </w:rPr>
        <w:lastRenderedPageBreak/>
        <w:t xml:space="preserve">more specifically </w:t>
      </w:r>
      <w:r w:rsidRPr="00EC6853">
        <w:rPr>
          <w:rFonts w:cstheme="minorHAnsi"/>
          <w:sz w:val="24"/>
          <w:szCs w:val="24"/>
        </w:rPr>
        <w:t>the collapse of the Austrian-Hungarian</w:t>
      </w:r>
      <w:r w:rsidR="005D5AEB">
        <w:rPr>
          <w:rFonts w:cstheme="minorHAnsi"/>
          <w:sz w:val="24"/>
          <w:szCs w:val="24"/>
        </w:rPr>
        <w:t xml:space="preserve"> and Ottoman</w:t>
      </w:r>
      <w:r w:rsidRPr="00EC6853">
        <w:rPr>
          <w:rFonts w:cstheme="minorHAnsi"/>
          <w:sz w:val="24"/>
          <w:szCs w:val="24"/>
        </w:rPr>
        <w:t xml:space="preserve"> empire</w:t>
      </w:r>
      <w:r w:rsidR="005D5AEB">
        <w:rPr>
          <w:rFonts w:cstheme="minorHAnsi"/>
          <w:sz w:val="24"/>
          <w:szCs w:val="24"/>
        </w:rPr>
        <w:t>s</w:t>
      </w:r>
      <w:r w:rsidRPr="00EC6853">
        <w:rPr>
          <w:rFonts w:cstheme="minorHAnsi"/>
          <w:sz w:val="24"/>
          <w:szCs w:val="24"/>
        </w:rPr>
        <w:t>.</w:t>
      </w:r>
      <w:r w:rsidR="005577BE">
        <w:rPr>
          <w:rStyle w:val="FootnoteReference"/>
          <w:rFonts w:cstheme="minorHAnsi"/>
          <w:sz w:val="24"/>
          <w:szCs w:val="24"/>
        </w:rPr>
        <w:footnoteReference w:id="241"/>
      </w:r>
      <w:r w:rsidRPr="00EC6853">
        <w:rPr>
          <w:rFonts w:cstheme="minorHAnsi"/>
          <w:sz w:val="24"/>
          <w:szCs w:val="24"/>
        </w:rPr>
        <w:t xml:space="preserve"> </w:t>
      </w:r>
      <w:r w:rsidR="00B9588D">
        <w:rPr>
          <w:rFonts w:cstheme="minorHAnsi"/>
          <w:sz w:val="24"/>
          <w:szCs w:val="24"/>
        </w:rPr>
        <w:t xml:space="preserve">Moreover, as </w:t>
      </w:r>
      <w:proofErr w:type="spellStart"/>
      <w:r w:rsidR="00B9588D" w:rsidRPr="00254D98">
        <w:rPr>
          <w:rFonts w:cstheme="minorHAnsi"/>
          <w:sz w:val="24"/>
          <w:szCs w:val="24"/>
        </w:rPr>
        <w:t>Sterio</w:t>
      </w:r>
      <w:proofErr w:type="spellEnd"/>
      <w:r w:rsidR="00B9588D">
        <w:rPr>
          <w:rFonts w:cstheme="minorHAnsi"/>
          <w:sz w:val="24"/>
          <w:szCs w:val="24"/>
        </w:rPr>
        <w:t xml:space="preserve"> demonstrates, a wide range of legal instruments offer </w:t>
      </w:r>
      <w:r w:rsidR="005438B9">
        <w:rPr>
          <w:rFonts w:cstheme="minorHAnsi"/>
          <w:sz w:val="24"/>
          <w:szCs w:val="24"/>
        </w:rPr>
        <w:t>a wider approach to the right of self-determination.</w:t>
      </w:r>
      <w:r w:rsidR="005438B9">
        <w:rPr>
          <w:rStyle w:val="FootnoteReference"/>
          <w:rFonts w:cstheme="minorHAnsi"/>
          <w:sz w:val="24"/>
          <w:szCs w:val="24"/>
        </w:rPr>
        <w:footnoteReference w:id="242"/>
      </w:r>
      <w:r w:rsidR="005438B9">
        <w:rPr>
          <w:rFonts w:cstheme="minorHAnsi"/>
          <w:sz w:val="24"/>
          <w:szCs w:val="24"/>
        </w:rPr>
        <w:t xml:space="preserve"> </w:t>
      </w:r>
      <w:r w:rsidR="005B57B4">
        <w:rPr>
          <w:rFonts w:cstheme="minorHAnsi"/>
          <w:sz w:val="24"/>
          <w:szCs w:val="24"/>
        </w:rPr>
        <w:t>Second, the right of s</w:t>
      </w:r>
      <w:r w:rsidR="005B57B4" w:rsidRPr="00EC6853">
        <w:rPr>
          <w:rFonts w:cstheme="minorHAnsi"/>
          <w:sz w:val="24"/>
          <w:szCs w:val="24"/>
        </w:rPr>
        <w:t xml:space="preserve">elf-determination </w:t>
      </w:r>
      <w:r w:rsidR="005B57B4">
        <w:rPr>
          <w:rFonts w:cstheme="minorHAnsi"/>
          <w:sz w:val="24"/>
          <w:szCs w:val="24"/>
        </w:rPr>
        <w:t xml:space="preserve">tends to be associated with </w:t>
      </w:r>
      <w:r w:rsidR="005B57B4" w:rsidRPr="00EC6853">
        <w:rPr>
          <w:rFonts w:cstheme="minorHAnsi"/>
          <w:sz w:val="24"/>
          <w:szCs w:val="24"/>
        </w:rPr>
        <w:t xml:space="preserve">secession </w:t>
      </w:r>
      <w:r w:rsidR="005B57B4">
        <w:rPr>
          <w:rFonts w:cstheme="minorHAnsi"/>
          <w:sz w:val="24"/>
          <w:szCs w:val="24"/>
        </w:rPr>
        <w:t>when the reality is that the right of self-determination can take an internal and external form</w:t>
      </w:r>
      <w:r w:rsidR="00BC0DDB">
        <w:rPr>
          <w:rStyle w:val="FootnoteReference"/>
          <w:rFonts w:cstheme="minorHAnsi"/>
          <w:sz w:val="24"/>
          <w:szCs w:val="24"/>
        </w:rPr>
        <w:footnoteReference w:id="243"/>
      </w:r>
      <w:r w:rsidR="00BC0DDB">
        <w:rPr>
          <w:rFonts w:cstheme="minorHAnsi"/>
          <w:sz w:val="24"/>
          <w:szCs w:val="24"/>
        </w:rPr>
        <w:t xml:space="preserve"> as clearly spelled out in the Declaration on Principles Guiding Relations between the Participating States of the Helsinki Final Act 1975.</w:t>
      </w:r>
      <w:r w:rsidR="00BC0DDB">
        <w:rPr>
          <w:rStyle w:val="FootnoteReference"/>
          <w:rFonts w:cstheme="minorHAnsi"/>
          <w:sz w:val="24"/>
          <w:szCs w:val="24"/>
        </w:rPr>
        <w:footnoteReference w:id="244"/>
      </w:r>
      <w:r w:rsidR="00793787">
        <w:rPr>
          <w:rFonts w:cstheme="minorHAnsi"/>
          <w:sz w:val="24"/>
          <w:szCs w:val="24"/>
        </w:rPr>
        <w:t xml:space="preserve"> Furthermore,</w:t>
      </w:r>
      <w:r w:rsidR="005B57B4">
        <w:rPr>
          <w:rFonts w:cstheme="minorHAnsi"/>
          <w:sz w:val="24"/>
          <w:szCs w:val="24"/>
        </w:rPr>
        <w:t xml:space="preserve"> </w:t>
      </w:r>
      <w:proofErr w:type="spellStart"/>
      <w:r w:rsidRPr="00254D98">
        <w:rPr>
          <w:rFonts w:cstheme="minorHAnsi"/>
          <w:sz w:val="24"/>
          <w:szCs w:val="24"/>
        </w:rPr>
        <w:t>Ezetah</w:t>
      </w:r>
      <w:proofErr w:type="spellEnd"/>
      <w:r w:rsidRPr="00EC6853">
        <w:rPr>
          <w:rFonts w:cstheme="minorHAnsi"/>
          <w:sz w:val="24"/>
          <w:szCs w:val="24"/>
        </w:rPr>
        <w:t xml:space="preserve"> </w:t>
      </w:r>
      <w:r w:rsidR="005B57B4">
        <w:rPr>
          <w:rFonts w:cstheme="minorHAnsi"/>
          <w:sz w:val="24"/>
          <w:szCs w:val="24"/>
        </w:rPr>
        <w:t>observes that</w:t>
      </w:r>
      <w:r w:rsidRPr="00EC6853">
        <w:rPr>
          <w:rFonts w:cstheme="minorHAnsi"/>
          <w:sz w:val="24"/>
          <w:szCs w:val="24"/>
        </w:rPr>
        <w:t xml:space="preserve"> ‘the breadth of the right of self-determination is not coterminous with secession alone, it has provided for imaginative construction of legal relations that will enhance peaceful coexistence between minorities and majority cultures. Its legitimate exercise could range from a democratic framework, degrees of autonomy with an existing state, to outright separation.’</w:t>
      </w:r>
      <w:r w:rsidRPr="00EC6853">
        <w:rPr>
          <w:rStyle w:val="FootnoteReference"/>
          <w:rFonts w:cstheme="minorHAnsi"/>
          <w:sz w:val="24"/>
          <w:szCs w:val="24"/>
        </w:rPr>
        <w:footnoteReference w:id="245"/>
      </w:r>
      <w:r w:rsidRPr="00EC6853">
        <w:rPr>
          <w:rFonts w:cstheme="minorHAnsi"/>
          <w:sz w:val="24"/>
          <w:szCs w:val="24"/>
        </w:rPr>
        <w:t xml:space="preserve"> </w:t>
      </w:r>
    </w:p>
    <w:p w14:paraId="2E6722D5" w14:textId="45B00F2F" w:rsidR="004745EC" w:rsidRDefault="004745EC" w:rsidP="000176C0">
      <w:pPr>
        <w:spacing w:after="0" w:line="240" w:lineRule="auto"/>
        <w:jc w:val="both"/>
        <w:rPr>
          <w:rFonts w:cstheme="minorHAnsi"/>
          <w:sz w:val="24"/>
          <w:szCs w:val="24"/>
          <w:shd w:val="clear" w:color="auto" w:fill="FFFFFF"/>
        </w:rPr>
      </w:pPr>
    </w:p>
    <w:p w14:paraId="0E4354B2" w14:textId="7115060F" w:rsidR="004745EC" w:rsidRPr="00EC6853" w:rsidRDefault="00706665" w:rsidP="00C23C5C">
      <w:pPr>
        <w:pStyle w:val="Heading2"/>
      </w:pPr>
      <w:r>
        <w:rPr>
          <w:shd w:val="clear" w:color="auto" w:fill="FFFFFF"/>
        </w:rPr>
        <w:t xml:space="preserve">3.2. </w:t>
      </w:r>
      <w:r w:rsidR="004745EC">
        <w:rPr>
          <w:shd w:val="clear" w:color="auto" w:fill="FFFFFF"/>
        </w:rPr>
        <w:t xml:space="preserve">Conditions to Exercise the Right to </w:t>
      </w:r>
      <w:r w:rsidR="004C7069">
        <w:rPr>
          <w:shd w:val="clear" w:color="auto" w:fill="FFFFFF"/>
        </w:rPr>
        <w:t xml:space="preserve">External </w:t>
      </w:r>
      <w:r w:rsidR="004745EC">
        <w:rPr>
          <w:shd w:val="clear" w:color="auto" w:fill="FFFFFF"/>
        </w:rPr>
        <w:t>Self-Determination</w:t>
      </w:r>
    </w:p>
    <w:p w14:paraId="28249139" w14:textId="5FF2231B" w:rsidR="00793787" w:rsidRDefault="00793787" w:rsidP="002F3A01">
      <w:pPr>
        <w:spacing w:after="0" w:line="240" w:lineRule="auto"/>
        <w:jc w:val="both"/>
        <w:rPr>
          <w:rFonts w:cstheme="minorHAnsi"/>
          <w:bCs/>
          <w:sz w:val="24"/>
          <w:szCs w:val="24"/>
        </w:rPr>
      </w:pPr>
      <w:r>
        <w:rPr>
          <w:rFonts w:cstheme="minorHAnsi"/>
          <w:bCs/>
          <w:sz w:val="24"/>
          <w:szCs w:val="24"/>
        </w:rPr>
        <w:t xml:space="preserve">The right to self-determination can only be exercised by ‘peoples’ and provided a certain set of circumstances is present. </w:t>
      </w:r>
    </w:p>
    <w:p w14:paraId="37D7DC55" w14:textId="77777777" w:rsidR="00793787" w:rsidRDefault="00793787" w:rsidP="002F3A01">
      <w:pPr>
        <w:spacing w:after="0" w:line="240" w:lineRule="auto"/>
        <w:jc w:val="both"/>
        <w:rPr>
          <w:rFonts w:cstheme="minorHAnsi"/>
          <w:bCs/>
          <w:sz w:val="24"/>
          <w:szCs w:val="24"/>
        </w:rPr>
      </w:pPr>
    </w:p>
    <w:p w14:paraId="4D886750" w14:textId="4369CF4B" w:rsidR="00793787" w:rsidRDefault="00706665" w:rsidP="00793787">
      <w:pPr>
        <w:pStyle w:val="Heading4"/>
      </w:pPr>
      <w:r>
        <w:t xml:space="preserve">3.2.1. </w:t>
      </w:r>
      <w:r w:rsidR="00793787">
        <w:t>The Definition of Peoples</w:t>
      </w:r>
    </w:p>
    <w:p w14:paraId="000227A9" w14:textId="1DE3F706" w:rsidR="0091258F" w:rsidRDefault="002F3A01" w:rsidP="002F3A01">
      <w:pPr>
        <w:spacing w:after="0" w:line="240" w:lineRule="auto"/>
        <w:jc w:val="both"/>
        <w:rPr>
          <w:rFonts w:cstheme="minorHAnsi"/>
          <w:sz w:val="24"/>
          <w:szCs w:val="24"/>
        </w:rPr>
      </w:pPr>
      <w:r w:rsidRPr="00695EF1">
        <w:rPr>
          <w:rFonts w:cstheme="minorHAnsi"/>
          <w:bCs/>
          <w:sz w:val="24"/>
          <w:szCs w:val="24"/>
        </w:rPr>
        <w:t>The first point to examine is who the right holders are</w:t>
      </w:r>
      <w:r w:rsidR="009F20F1">
        <w:rPr>
          <w:rFonts w:cstheme="minorHAnsi"/>
          <w:bCs/>
          <w:sz w:val="24"/>
          <w:szCs w:val="24"/>
        </w:rPr>
        <w:t>.</w:t>
      </w:r>
      <w:r w:rsidRPr="00695EF1">
        <w:rPr>
          <w:rFonts w:cstheme="minorHAnsi"/>
          <w:bCs/>
          <w:sz w:val="24"/>
          <w:szCs w:val="24"/>
        </w:rPr>
        <w:t xml:space="preserve"> </w:t>
      </w:r>
      <w:r w:rsidR="009F20F1">
        <w:rPr>
          <w:rFonts w:cstheme="minorHAnsi"/>
          <w:bCs/>
          <w:sz w:val="24"/>
          <w:szCs w:val="24"/>
        </w:rPr>
        <w:t xml:space="preserve">They </w:t>
      </w:r>
      <w:r w:rsidRPr="00EC6853">
        <w:rPr>
          <w:rFonts w:cstheme="minorHAnsi"/>
          <w:sz w:val="24"/>
          <w:szCs w:val="24"/>
        </w:rPr>
        <w:t>are defined and interpreted narrowly so as to temper the potentially destructive and destabilising effect of the principle of self-determination.</w:t>
      </w:r>
      <w:r w:rsidRPr="00EC6853">
        <w:rPr>
          <w:rStyle w:val="FootnoteReference"/>
          <w:rFonts w:cstheme="minorHAnsi"/>
          <w:sz w:val="24"/>
          <w:szCs w:val="24"/>
        </w:rPr>
        <w:footnoteReference w:id="246"/>
      </w:r>
      <w:r w:rsidRPr="00EC6853">
        <w:rPr>
          <w:rFonts w:cstheme="minorHAnsi"/>
          <w:sz w:val="24"/>
          <w:szCs w:val="24"/>
        </w:rPr>
        <w:t xml:space="preserve"> As a result, the right of self-determination is limited to people and does not include minorities.</w:t>
      </w:r>
      <w:r w:rsidRPr="00EC6853">
        <w:rPr>
          <w:rStyle w:val="FootnoteReference"/>
          <w:rFonts w:cstheme="minorHAnsi"/>
          <w:sz w:val="24"/>
          <w:szCs w:val="24"/>
        </w:rPr>
        <w:footnoteReference w:id="247"/>
      </w:r>
      <w:r w:rsidRPr="00EC6853">
        <w:rPr>
          <w:rFonts w:cstheme="minorHAnsi"/>
          <w:sz w:val="24"/>
          <w:szCs w:val="24"/>
        </w:rPr>
        <w:t xml:space="preserve"> </w:t>
      </w:r>
      <w:r w:rsidR="00CF665A">
        <w:rPr>
          <w:rFonts w:cstheme="minorHAnsi"/>
          <w:sz w:val="24"/>
          <w:szCs w:val="24"/>
        </w:rPr>
        <w:t>T</w:t>
      </w:r>
      <w:r w:rsidRPr="00EC6853">
        <w:rPr>
          <w:rFonts w:cstheme="minorHAnsi"/>
          <w:sz w:val="24"/>
          <w:szCs w:val="24"/>
        </w:rPr>
        <w:t>his post-WWII interpretation</w:t>
      </w:r>
      <w:r w:rsidR="009F20F1">
        <w:rPr>
          <w:rFonts w:cstheme="minorHAnsi"/>
          <w:sz w:val="24"/>
          <w:szCs w:val="24"/>
        </w:rPr>
        <w:t xml:space="preserve"> is</w:t>
      </w:r>
      <w:r w:rsidRPr="00EC6853">
        <w:rPr>
          <w:rFonts w:cstheme="minorHAnsi"/>
          <w:sz w:val="24"/>
          <w:szCs w:val="24"/>
        </w:rPr>
        <w:t xml:space="preserve"> a product of decolonisation times</w:t>
      </w:r>
      <w:r w:rsidR="009F20F1">
        <w:rPr>
          <w:rFonts w:cstheme="minorHAnsi"/>
          <w:sz w:val="24"/>
          <w:szCs w:val="24"/>
        </w:rPr>
        <w:t xml:space="preserve"> that has little place in a more contemporary context and thus </w:t>
      </w:r>
      <w:r w:rsidRPr="00EC6853">
        <w:rPr>
          <w:rFonts w:cstheme="minorHAnsi"/>
          <w:sz w:val="24"/>
          <w:szCs w:val="24"/>
        </w:rPr>
        <w:t>ought to be revised.</w:t>
      </w:r>
      <w:r w:rsidRPr="00EC6853">
        <w:rPr>
          <w:rStyle w:val="FootnoteReference"/>
          <w:rFonts w:cstheme="minorHAnsi"/>
          <w:sz w:val="24"/>
          <w:szCs w:val="24"/>
        </w:rPr>
        <w:footnoteReference w:id="248"/>
      </w:r>
      <w:r w:rsidRPr="00EC6853">
        <w:rPr>
          <w:rFonts w:cstheme="minorHAnsi"/>
          <w:sz w:val="24"/>
          <w:szCs w:val="24"/>
        </w:rPr>
        <w:t xml:space="preserve"> For example, </w:t>
      </w:r>
      <w:r w:rsidRPr="00254D98">
        <w:rPr>
          <w:rFonts w:cstheme="minorHAnsi"/>
          <w:sz w:val="24"/>
          <w:szCs w:val="24"/>
        </w:rPr>
        <w:t>Moore</w:t>
      </w:r>
      <w:r w:rsidRPr="00EC6853">
        <w:rPr>
          <w:rFonts w:cstheme="minorHAnsi"/>
          <w:sz w:val="24"/>
          <w:szCs w:val="24"/>
        </w:rPr>
        <w:t xml:space="preserve"> </w:t>
      </w:r>
      <w:r w:rsidR="00E35E7D">
        <w:rPr>
          <w:rFonts w:cstheme="minorHAnsi"/>
          <w:sz w:val="24"/>
          <w:szCs w:val="24"/>
        </w:rPr>
        <w:t>asserts</w:t>
      </w:r>
      <w:r w:rsidRPr="00EC6853">
        <w:rPr>
          <w:rFonts w:cstheme="minorHAnsi"/>
          <w:sz w:val="24"/>
          <w:szCs w:val="24"/>
        </w:rPr>
        <w:t xml:space="preserve"> that there are two conceptions of ‘peoples’</w:t>
      </w:r>
      <w:r w:rsidR="00D8119B">
        <w:rPr>
          <w:rFonts w:cstheme="minorHAnsi"/>
          <w:sz w:val="24"/>
          <w:szCs w:val="24"/>
        </w:rPr>
        <w:t xml:space="preserve">, a stance that can be </w:t>
      </w:r>
      <w:r w:rsidR="0012317B">
        <w:rPr>
          <w:rFonts w:cstheme="minorHAnsi"/>
          <w:sz w:val="24"/>
          <w:szCs w:val="24"/>
        </w:rPr>
        <w:t>justified</w:t>
      </w:r>
      <w:r w:rsidR="00D8119B">
        <w:rPr>
          <w:rFonts w:cstheme="minorHAnsi"/>
          <w:sz w:val="24"/>
          <w:szCs w:val="24"/>
        </w:rPr>
        <w:t xml:space="preserve"> by remembering that </w:t>
      </w:r>
      <w:r w:rsidR="00D8119B" w:rsidRPr="00222789">
        <w:rPr>
          <w:rFonts w:cstheme="minorHAnsi"/>
          <w:sz w:val="24"/>
          <w:szCs w:val="24"/>
        </w:rPr>
        <w:t>‘[t]he underlying purpose of the Montevideo Convention was to promote the self-determination for colonial or national ethnic minority populations and assist them join the world community as a nation-state, with all the protections offered by that new status.’</w:t>
      </w:r>
      <w:r w:rsidR="00D8119B" w:rsidRPr="00222789">
        <w:rPr>
          <w:rStyle w:val="FootnoteReference"/>
          <w:rFonts w:cstheme="minorHAnsi"/>
          <w:sz w:val="24"/>
          <w:szCs w:val="24"/>
        </w:rPr>
        <w:footnoteReference w:id="249"/>
      </w:r>
      <w:r w:rsidR="00D8119B">
        <w:rPr>
          <w:rFonts w:cstheme="minorHAnsi"/>
          <w:sz w:val="24"/>
          <w:szCs w:val="24"/>
        </w:rPr>
        <w:t xml:space="preserve"> </w:t>
      </w:r>
      <w:r w:rsidRPr="00EC6853">
        <w:rPr>
          <w:rFonts w:cstheme="minorHAnsi"/>
          <w:sz w:val="24"/>
          <w:szCs w:val="24"/>
        </w:rPr>
        <w:t xml:space="preserve">The first </w:t>
      </w:r>
      <w:r w:rsidR="00D8119B">
        <w:rPr>
          <w:rFonts w:cstheme="minorHAnsi"/>
          <w:sz w:val="24"/>
          <w:szCs w:val="24"/>
        </w:rPr>
        <w:t xml:space="preserve">approach </w:t>
      </w:r>
      <w:r w:rsidRPr="00222789">
        <w:rPr>
          <w:rFonts w:cstheme="minorHAnsi"/>
          <w:sz w:val="24"/>
          <w:szCs w:val="24"/>
        </w:rPr>
        <w:t xml:space="preserve">views ‘peoples’ as a political entity that wishes to exercise its right of self-determination within a defined territory. </w:t>
      </w:r>
      <w:r w:rsidR="00D8119B">
        <w:rPr>
          <w:rFonts w:cstheme="minorHAnsi"/>
          <w:sz w:val="24"/>
          <w:szCs w:val="24"/>
        </w:rPr>
        <w:t>The term is closely related to territory: the ‘peoples’ are all inhabitants of a non-self-governing territory or the entire population of a State.</w:t>
      </w:r>
      <w:r w:rsidR="00D8119B">
        <w:rPr>
          <w:rStyle w:val="FootnoteReference"/>
          <w:rFonts w:cstheme="minorHAnsi"/>
          <w:sz w:val="24"/>
          <w:szCs w:val="24"/>
        </w:rPr>
        <w:footnoteReference w:id="250"/>
      </w:r>
      <w:r w:rsidR="00D8119B">
        <w:rPr>
          <w:rFonts w:cstheme="minorHAnsi"/>
          <w:sz w:val="24"/>
          <w:szCs w:val="24"/>
        </w:rPr>
        <w:t xml:space="preserve"> </w:t>
      </w:r>
      <w:r w:rsidRPr="00222789">
        <w:rPr>
          <w:rFonts w:cstheme="minorHAnsi"/>
          <w:sz w:val="24"/>
          <w:szCs w:val="24"/>
        </w:rPr>
        <w:t xml:space="preserve">The second </w:t>
      </w:r>
      <w:r w:rsidR="00D8119B">
        <w:rPr>
          <w:rFonts w:cstheme="minorHAnsi"/>
          <w:sz w:val="24"/>
          <w:szCs w:val="24"/>
        </w:rPr>
        <w:t xml:space="preserve">approach </w:t>
      </w:r>
      <w:r w:rsidRPr="00222789">
        <w:rPr>
          <w:rFonts w:cstheme="minorHAnsi"/>
          <w:sz w:val="24"/>
          <w:szCs w:val="24"/>
        </w:rPr>
        <w:t xml:space="preserve">considers that a people is based on ethnic, </w:t>
      </w:r>
      <w:r w:rsidRPr="00222789">
        <w:rPr>
          <w:rFonts w:cstheme="minorHAnsi"/>
          <w:sz w:val="24"/>
          <w:szCs w:val="24"/>
        </w:rPr>
        <w:lastRenderedPageBreak/>
        <w:t>religious and/or linguistic lines</w:t>
      </w:r>
      <w:r w:rsidR="00144F04">
        <w:rPr>
          <w:rFonts w:cstheme="minorHAnsi"/>
          <w:sz w:val="24"/>
          <w:szCs w:val="24"/>
        </w:rPr>
        <w:t>,</w:t>
      </w:r>
      <w:r w:rsidRPr="00222789">
        <w:rPr>
          <w:rStyle w:val="FootnoteReference"/>
          <w:rFonts w:cstheme="minorHAnsi"/>
          <w:sz w:val="24"/>
          <w:szCs w:val="24"/>
        </w:rPr>
        <w:footnoteReference w:id="251"/>
      </w:r>
      <w:r w:rsidR="00144F04">
        <w:rPr>
          <w:rFonts w:cstheme="minorHAnsi"/>
          <w:sz w:val="24"/>
          <w:szCs w:val="24"/>
        </w:rPr>
        <w:t xml:space="preserve"> an approach that follows the lines of Resolution 2625 which refers to ‘race, creed, or colour’</w:t>
      </w:r>
      <w:r w:rsidR="00144F04">
        <w:rPr>
          <w:rStyle w:val="FootnoteReference"/>
          <w:rFonts w:cstheme="minorHAnsi"/>
          <w:sz w:val="24"/>
          <w:szCs w:val="24"/>
        </w:rPr>
        <w:footnoteReference w:id="252"/>
      </w:r>
      <w:r w:rsidR="00144F04">
        <w:rPr>
          <w:rFonts w:cstheme="minorHAnsi"/>
          <w:sz w:val="24"/>
          <w:szCs w:val="24"/>
        </w:rPr>
        <w:t xml:space="preserve"> and the UNESCO definition that mentions seven shared characteristics.</w:t>
      </w:r>
      <w:r w:rsidR="00144F04">
        <w:rPr>
          <w:rStyle w:val="FootnoteReference"/>
          <w:rFonts w:cstheme="minorHAnsi"/>
          <w:sz w:val="24"/>
          <w:szCs w:val="24"/>
        </w:rPr>
        <w:footnoteReference w:id="253"/>
      </w:r>
      <w:r w:rsidR="00604CC6">
        <w:rPr>
          <w:rFonts w:cstheme="minorHAnsi"/>
          <w:sz w:val="24"/>
          <w:szCs w:val="24"/>
        </w:rPr>
        <w:t xml:space="preserve"> </w:t>
      </w:r>
      <w:r w:rsidR="00007866">
        <w:rPr>
          <w:rFonts w:cstheme="minorHAnsi"/>
          <w:sz w:val="24"/>
          <w:szCs w:val="24"/>
        </w:rPr>
        <w:t xml:space="preserve">Further, it is suggested that the group must </w:t>
      </w:r>
      <w:r w:rsidR="00D94B50">
        <w:rPr>
          <w:rFonts w:cstheme="minorHAnsi"/>
          <w:sz w:val="24"/>
          <w:szCs w:val="24"/>
        </w:rPr>
        <w:t>fulfil</w:t>
      </w:r>
      <w:r w:rsidR="0012317B">
        <w:rPr>
          <w:rFonts w:cstheme="minorHAnsi"/>
          <w:sz w:val="24"/>
          <w:szCs w:val="24"/>
        </w:rPr>
        <w:t xml:space="preserve"> objective and subjective criteria, the former being a common ethnic origin, a language, an attachment to a particular territory and the latter being the perception of the group as belonging together and being different from others.</w:t>
      </w:r>
      <w:r w:rsidR="0012317B">
        <w:rPr>
          <w:rStyle w:val="FootnoteReference"/>
          <w:rFonts w:cstheme="minorHAnsi"/>
          <w:sz w:val="24"/>
          <w:szCs w:val="24"/>
        </w:rPr>
        <w:footnoteReference w:id="254"/>
      </w:r>
      <w:r w:rsidR="001A70A3" w:rsidRPr="00222789">
        <w:rPr>
          <w:rFonts w:cstheme="minorHAnsi"/>
          <w:sz w:val="24"/>
          <w:szCs w:val="24"/>
        </w:rPr>
        <w:t xml:space="preserve"> </w:t>
      </w:r>
      <w:r w:rsidRPr="00EC6853">
        <w:rPr>
          <w:rFonts w:cstheme="minorHAnsi"/>
          <w:sz w:val="24"/>
          <w:szCs w:val="24"/>
        </w:rPr>
        <w:t xml:space="preserve">Interestingly, the </w:t>
      </w:r>
      <w:proofErr w:type="spellStart"/>
      <w:r w:rsidRPr="00EC6853">
        <w:rPr>
          <w:rFonts w:cstheme="minorHAnsi"/>
          <w:sz w:val="24"/>
          <w:szCs w:val="24"/>
        </w:rPr>
        <w:t>Badinter</w:t>
      </w:r>
      <w:proofErr w:type="spellEnd"/>
      <w:r w:rsidRPr="00EC6853">
        <w:rPr>
          <w:rFonts w:cstheme="minorHAnsi"/>
          <w:sz w:val="24"/>
          <w:szCs w:val="24"/>
        </w:rPr>
        <w:t xml:space="preserve"> </w:t>
      </w:r>
      <w:r w:rsidR="0091258F">
        <w:rPr>
          <w:rFonts w:cstheme="minorHAnsi"/>
          <w:sz w:val="24"/>
          <w:szCs w:val="24"/>
        </w:rPr>
        <w:t>Committee,</w:t>
      </w:r>
      <w:r w:rsidRPr="00EC6853">
        <w:rPr>
          <w:rFonts w:cstheme="minorHAnsi"/>
          <w:sz w:val="24"/>
          <w:szCs w:val="24"/>
        </w:rPr>
        <w:t xml:space="preserve"> when asked about the right of self-determination</w:t>
      </w:r>
      <w:r w:rsidR="0091258F">
        <w:rPr>
          <w:rFonts w:cstheme="minorHAnsi"/>
          <w:sz w:val="24"/>
          <w:szCs w:val="24"/>
        </w:rPr>
        <w:t>,</w:t>
      </w:r>
      <w:r w:rsidRPr="00EC6853">
        <w:rPr>
          <w:rFonts w:cstheme="minorHAnsi"/>
          <w:sz w:val="24"/>
          <w:szCs w:val="24"/>
        </w:rPr>
        <w:t xml:space="preserve"> did not </w:t>
      </w:r>
      <w:r w:rsidR="00821794">
        <w:rPr>
          <w:rFonts w:cstheme="minorHAnsi"/>
          <w:sz w:val="24"/>
          <w:szCs w:val="24"/>
        </w:rPr>
        <w:t>invoke the concept of</w:t>
      </w:r>
      <w:r w:rsidRPr="00EC6853">
        <w:rPr>
          <w:rFonts w:cstheme="minorHAnsi"/>
          <w:sz w:val="24"/>
          <w:szCs w:val="24"/>
        </w:rPr>
        <w:t xml:space="preserve"> ‘peoples’ but preferred </w:t>
      </w:r>
      <w:r w:rsidR="00821794">
        <w:rPr>
          <w:rFonts w:cstheme="minorHAnsi"/>
          <w:sz w:val="24"/>
          <w:szCs w:val="24"/>
        </w:rPr>
        <w:t xml:space="preserve">that of </w:t>
      </w:r>
      <w:r w:rsidRPr="00EC6853">
        <w:rPr>
          <w:rFonts w:cstheme="minorHAnsi"/>
          <w:sz w:val="24"/>
          <w:szCs w:val="24"/>
        </w:rPr>
        <w:t>‘communities’ and specifically recognised that these communities had the right to see their identities recognised.</w:t>
      </w:r>
      <w:r w:rsidRPr="00EC6853">
        <w:rPr>
          <w:rStyle w:val="FootnoteReference"/>
          <w:rFonts w:cstheme="minorHAnsi"/>
          <w:sz w:val="24"/>
          <w:szCs w:val="24"/>
        </w:rPr>
        <w:footnoteReference w:id="255"/>
      </w:r>
      <w:r w:rsidRPr="00EC6853">
        <w:rPr>
          <w:rFonts w:cstheme="minorHAnsi"/>
          <w:sz w:val="24"/>
          <w:szCs w:val="24"/>
        </w:rPr>
        <w:t xml:space="preserve"> </w:t>
      </w:r>
    </w:p>
    <w:p w14:paraId="1C75A848" w14:textId="7ABC94AC" w:rsidR="002F3A01" w:rsidRDefault="002F3A01" w:rsidP="002F3A01">
      <w:pPr>
        <w:spacing w:after="0" w:line="240" w:lineRule="auto"/>
        <w:jc w:val="both"/>
        <w:rPr>
          <w:rFonts w:cstheme="minorHAnsi"/>
          <w:sz w:val="24"/>
          <w:szCs w:val="24"/>
        </w:rPr>
      </w:pPr>
      <w:r w:rsidRPr="00EC6853">
        <w:rPr>
          <w:rFonts w:cstheme="minorHAnsi"/>
          <w:sz w:val="24"/>
          <w:szCs w:val="24"/>
        </w:rPr>
        <w:t xml:space="preserve">Using a broad interpretation of the term ‘people’ outside the decolonisation context, </w:t>
      </w:r>
      <w:r w:rsidR="0091258F">
        <w:rPr>
          <w:rFonts w:cstheme="minorHAnsi"/>
          <w:sz w:val="24"/>
          <w:szCs w:val="24"/>
        </w:rPr>
        <w:t xml:space="preserve">some of </w:t>
      </w:r>
      <w:r w:rsidRPr="00EC6853">
        <w:rPr>
          <w:rFonts w:cstheme="minorHAnsi"/>
          <w:sz w:val="24"/>
          <w:szCs w:val="24"/>
        </w:rPr>
        <w:t xml:space="preserve">the population of the </w:t>
      </w:r>
      <w:r w:rsidR="0091258F">
        <w:rPr>
          <w:rFonts w:cstheme="minorHAnsi"/>
          <w:i/>
          <w:iCs/>
          <w:sz w:val="24"/>
          <w:szCs w:val="24"/>
        </w:rPr>
        <w:t xml:space="preserve">de facto </w:t>
      </w:r>
      <w:r w:rsidR="0091258F">
        <w:rPr>
          <w:rFonts w:cstheme="minorHAnsi"/>
          <w:sz w:val="24"/>
          <w:szCs w:val="24"/>
        </w:rPr>
        <w:t>States in the post-Soviet space c</w:t>
      </w:r>
      <w:r w:rsidRPr="00EC6853">
        <w:rPr>
          <w:rFonts w:cstheme="minorHAnsi"/>
          <w:sz w:val="24"/>
          <w:szCs w:val="24"/>
        </w:rPr>
        <w:t xml:space="preserve">ould be defined as peoples as they wish to exercise their right of self-determination by establishing a functioning entity within a defined </w:t>
      </w:r>
      <w:r w:rsidRPr="00FA2355">
        <w:rPr>
          <w:rFonts w:cstheme="minorHAnsi"/>
          <w:sz w:val="24"/>
          <w:szCs w:val="24"/>
        </w:rPr>
        <w:t>territory</w:t>
      </w:r>
      <w:r w:rsidR="0091258F" w:rsidRPr="00FA2355">
        <w:rPr>
          <w:rFonts w:cstheme="minorHAnsi"/>
          <w:sz w:val="24"/>
          <w:szCs w:val="24"/>
        </w:rPr>
        <w:t xml:space="preserve">. In addition, some of them also </w:t>
      </w:r>
      <w:r w:rsidRPr="00FA2355">
        <w:rPr>
          <w:rFonts w:cstheme="minorHAnsi"/>
          <w:sz w:val="24"/>
          <w:szCs w:val="24"/>
        </w:rPr>
        <w:t>share ethnic, religious, and language backgrounds whilst being different from the population of the State from which they wish to secede.</w:t>
      </w:r>
      <w:r w:rsidR="0091258F" w:rsidRPr="00FA2355">
        <w:rPr>
          <w:rFonts w:cstheme="minorHAnsi"/>
          <w:sz w:val="24"/>
          <w:szCs w:val="24"/>
        </w:rPr>
        <w:t xml:space="preserve"> Abkhazian people are undoubtedly different from Georgians</w:t>
      </w:r>
      <w:r w:rsidR="00144733">
        <w:rPr>
          <w:rFonts w:cstheme="minorHAnsi"/>
          <w:sz w:val="24"/>
          <w:szCs w:val="24"/>
        </w:rPr>
        <w:t xml:space="preserve"> (and Russians), enjoying a different culture and language</w:t>
      </w:r>
      <w:r w:rsidR="0091258F" w:rsidRPr="00FA2355">
        <w:rPr>
          <w:rFonts w:cstheme="minorHAnsi"/>
          <w:sz w:val="24"/>
          <w:szCs w:val="24"/>
        </w:rPr>
        <w:t>.</w:t>
      </w:r>
      <w:r w:rsidR="00144733">
        <w:rPr>
          <w:rStyle w:val="FootnoteReference"/>
          <w:rFonts w:cstheme="minorHAnsi"/>
          <w:sz w:val="24"/>
          <w:szCs w:val="24"/>
        </w:rPr>
        <w:footnoteReference w:id="256"/>
      </w:r>
      <w:r w:rsidR="0091258F" w:rsidRPr="00FA2355">
        <w:rPr>
          <w:rFonts w:cstheme="minorHAnsi"/>
          <w:sz w:val="24"/>
          <w:szCs w:val="24"/>
        </w:rPr>
        <w:t xml:space="preserve"> South Ossetian</w:t>
      </w:r>
      <w:r w:rsidR="00144733">
        <w:rPr>
          <w:rFonts w:cstheme="minorHAnsi"/>
          <w:sz w:val="24"/>
          <w:szCs w:val="24"/>
        </w:rPr>
        <w:t>s</w:t>
      </w:r>
      <w:r w:rsidR="0091258F" w:rsidRPr="00FA2355">
        <w:rPr>
          <w:rFonts w:cstheme="minorHAnsi"/>
          <w:sz w:val="24"/>
          <w:szCs w:val="24"/>
        </w:rPr>
        <w:t xml:space="preserve"> </w:t>
      </w:r>
      <w:r w:rsidR="0044048E" w:rsidRPr="00FA2355">
        <w:rPr>
          <w:rFonts w:cstheme="minorHAnsi"/>
          <w:sz w:val="24"/>
          <w:szCs w:val="24"/>
        </w:rPr>
        <w:t>are of Iranian origin</w:t>
      </w:r>
      <w:r w:rsidR="003844CA">
        <w:rPr>
          <w:rFonts w:cstheme="minorHAnsi"/>
          <w:sz w:val="24"/>
          <w:szCs w:val="24"/>
        </w:rPr>
        <w:t xml:space="preserve"> (and call themselves ‘Alans’ after an Iranian tribe)</w:t>
      </w:r>
      <w:r w:rsidR="00144733">
        <w:rPr>
          <w:rFonts w:cstheme="minorHAnsi"/>
          <w:sz w:val="24"/>
          <w:szCs w:val="24"/>
        </w:rPr>
        <w:t>,</w:t>
      </w:r>
      <w:r w:rsidR="003844CA">
        <w:rPr>
          <w:rStyle w:val="FootnoteReference"/>
          <w:rFonts w:cstheme="minorHAnsi"/>
          <w:sz w:val="24"/>
          <w:szCs w:val="24"/>
        </w:rPr>
        <w:footnoteReference w:id="257"/>
      </w:r>
      <w:r w:rsidR="0044048E" w:rsidRPr="00FA2355">
        <w:rPr>
          <w:rFonts w:cstheme="minorHAnsi"/>
          <w:sz w:val="24"/>
          <w:szCs w:val="24"/>
        </w:rPr>
        <w:t xml:space="preserve"> have a kin-State in the neighbouring Republic of North Ossetia that is part of Russia</w:t>
      </w:r>
      <w:r w:rsidR="0044048E" w:rsidRPr="00FA2355">
        <w:rPr>
          <w:rStyle w:val="FootnoteReference"/>
          <w:rFonts w:cstheme="minorHAnsi"/>
          <w:sz w:val="24"/>
          <w:szCs w:val="24"/>
        </w:rPr>
        <w:footnoteReference w:id="258"/>
      </w:r>
      <w:r w:rsidR="0044048E" w:rsidRPr="00FA2355">
        <w:rPr>
          <w:rFonts w:cstheme="minorHAnsi"/>
          <w:sz w:val="24"/>
          <w:szCs w:val="24"/>
        </w:rPr>
        <w:t xml:space="preserve"> </w:t>
      </w:r>
      <w:r w:rsidR="00144733">
        <w:rPr>
          <w:rFonts w:cstheme="minorHAnsi"/>
          <w:sz w:val="24"/>
          <w:szCs w:val="24"/>
        </w:rPr>
        <w:t>and ‘enjoy a distinctive culture, language, and history of self-rule’.</w:t>
      </w:r>
      <w:r w:rsidR="00144733">
        <w:rPr>
          <w:rStyle w:val="FootnoteReference"/>
          <w:rFonts w:cstheme="minorHAnsi"/>
          <w:sz w:val="24"/>
          <w:szCs w:val="24"/>
        </w:rPr>
        <w:footnoteReference w:id="259"/>
      </w:r>
      <w:r w:rsidR="00144733">
        <w:rPr>
          <w:rFonts w:cstheme="minorHAnsi"/>
          <w:sz w:val="24"/>
          <w:szCs w:val="24"/>
        </w:rPr>
        <w:t xml:space="preserve"> </w:t>
      </w:r>
      <w:r w:rsidR="0091258F" w:rsidRPr="00FA2355">
        <w:rPr>
          <w:rFonts w:cstheme="minorHAnsi"/>
          <w:sz w:val="24"/>
          <w:szCs w:val="24"/>
        </w:rPr>
        <w:t>The population of Nagorno-Karabakh is almost exclusively Armenian</w:t>
      </w:r>
      <w:r w:rsidR="000144A5" w:rsidRPr="00FA2355">
        <w:rPr>
          <w:rFonts w:cstheme="minorHAnsi"/>
          <w:sz w:val="24"/>
          <w:szCs w:val="24"/>
        </w:rPr>
        <w:t xml:space="preserve"> which is that of their kin-State</w:t>
      </w:r>
      <w:r w:rsidR="0091258F" w:rsidRPr="00FA2355">
        <w:rPr>
          <w:rFonts w:cstheme="minorHAnsi"/>
          <w:sz w:val="24"/>
          <w:szCs w:val="24"/>
        </w:rPr>
        <w:t>.</w:t>
      </w:r>
      <w:r w:rsidR="000144A5" w:rsidRPr="00FA2355">
        <w:rPr>
          <w:rStyle w:val="FootnoteReference"/>
          <w:rFonts w:cstheme="minorHAnsi"/>
          <w:sz w:val="24"/>
          <w:szCs w:val="24"/>
        </w:rPr>
        <w:footnoteReference w:id="260"/>
      </w:r>
      <w:r w:rsidR="0091258F" w:rsidRPr="00FA2355">
        <w:rPr>
          <w:rFonts w:cstheme="minorHAnsi"/>
          <w:sz w:val="24"/>
          <w:szCs w:val="24"/>
        </w:rPr>
        <w:t xml:space="preserve"> </w:t>
      </w:r>
      <w:r w:rsidR="00C02C4E" w:rsidRPr="00FA2355">
        <w:rPr>
          <w:rFonts w:cstheme="minorHAnsi"/>
          <w:sz w:val="24"/>
          <w:szCs w:val="24"/>
        </w:rPr>
        <w:t xml:space="preserve">In contrast, the population of Transnistria is </w:t>
      </w:r>
      <w:r w:rsidR="000144A5" w:rsidRPr="00FA2355">
        <w:rPr>
          <w:rFonts w:cstheme="minorHAnsi"/>
          <w:sz w:val="24"/>
          <w:szCs w:val="24"/>
        </w:rPr>
        <w:t>mainly Russian and Ukrainian but there is no (real or claimed</w:t>
      </w:r>
      <w:r w:rsidR="000144A5">
        <w:rPr>
          <w:rFonts w:cstheme="minorHAnsi"/>
          <w:sz w:val="24"/>
          <w:szCs w:val="24"/>
        </w:rPr>
        <w:t>) Transnistrian people</w:t>
      </w:r>
      <w:r w:rsidR="000144A5">
        <w:rPr>
          <w:rStyle w:val="FootnoteReference"/>
          <w:rFonts w:cstheme="minorHAnsi"/>
          <w:sz w:val="24"/>
          <w:szCs w:val="24"/>
        </w:rPr>
        <w:footnoteReference w:id="261"/>
      </w:r>
      <w:r w:rsidR="00573A2F">
        <w:rPr>
          <w:rFonts w:cstheme="minorHAnsi"/>
          <w:sz w:val="24"/>
          <w:szCs w:val="24"/>
        </w:rPr>
        <w:t xml:space="preserve"> though there is ‘a separate history, and a certain Soviet nostalgia.’</w:t>
      </w:r>
      <w:r w:rsidR="00573A2F">
        <w:rPr>
          <w:rStyle w:val="FootnoteReference"/>
          <w:rFonts w:cstheme="minorHAnsi"/>
          <w:sz w:val="24"/>
          <w:szCs w:val="24"/>
        </w:rPr>
        <w:footnoteReference w:id="262"/>
      </w:r>
    </w:p>
    <w:p w14:paraId="3E114A37" w14:textId="3858F819" w:rsidR="00793787" w:rsidRDefault="00793787" w:rsidP="002F3A01">
      <w:pPr>
        <w:spacing w:after="0" w:line="240" w:lineRule="auto"/>
        <w:jc w:val="both"/>
        <w:rPr>
          <w:rFonts w:cstheme="minorHAnsi"/>
          <w:sz w:val="24"/>
          <w:szCs w:val="24"/>
        </w:rPr>
      </w:pPr>
    </w:p>
    <w:p w14:paraId="4832A1EF" w14:textId="407D2B31" w:rsidR="00793787" w:rsidRPr="00C02C4E" w:rsidRDefault="00706665" w:rsidP="00793787">
      <w:pPr>
        <w:pStyle w:val="Heading4"/>
        <w:rPr>
          <w:color w:val="000000"/>
          <w:shd w:val="clear" w:color="auto" w:fill="FFFFFF"/>
        </w:rPr>
      </w:pPr>
      <w:r>
        <w:t xml:space="preserve">3.2.2. </w:t>
      </w:r>
      <w:r w:rsidR="00793787">
        <w:t>Circumstances under which the Right of Self-Determination Can Be Exercised</w:t>
      </w:r>
    </w:p>
    <w:p w14:paraId="0396C810" w14:textId="72BE0459" w:rsidR="00787572" w:rsidRDefault="002F3A01" w:rsidP="00EF4601">
      <w:pPr>
        <w:spacing w:after="0" w:line="240" w:lineRule="auto"/>
        <w:jc w:val="both"/>
        <w:rPr>
          <w:rFonts w:cstheme="minorHAnsi"/>
          <w:sz w:val="24"/>
          <w:szCs w:val="24"/>
        </w:rPr>
      </w:pPr>
      <w:r w:rsidRPr="0091258F">
        <w:rPr>
          <w:rFonts w:cstheme="minorHAnsi"/>
          <w:bCs/>
          <w:sz w:val="24"/>
          <w:szCs w:val="24"/>
        </w:rPr>
        <w:t xml:space="preserve">The second point is that even if the peoples have the right </w:t>
      </w:r>
      <w:r w:rsidR="00DF6974">
        <w:rPr>
          <w:rFonts w:cstheme="minorHAnsi"/>
          <w:bCs/>
          <w:sz w:val="24"/>
          <w:szCs w:val="24"/>
        </w:rPr>
        <w:t>to</w:t>
      </w:r>
      <w:r w:rsidRPr="0091258F">
        <w:rPr>
          <w:rFonts w:cstheme="minorHAnsi"/>
          <w:bCs/>
          <w:sz w:val="24"/>
          <w:szCs w:val="24"/>
        </w:rPr>
        <w:t xml:space="preserve"> self-determination a certain set of circumstances must be present. In</w:t>
      </w:r>
      <w:r w:rsidRPr="00EC6853">
        <w:rPr>
          <w:rFonts w:cstheme="minorHAnsi"/>
          <w:sz w:val="24"/>
          <w:szCs w:val="24"/>
        </w:rPr>
        <w:t xml:space="preserve"> 1998</w:t>
      </w:r>
      <w:r w:rsidR="00D8794C">
        <w:rPr>
          <w:rFonts w:cstheme="minorHAnsi"/>
          <w:sz w:val="24"/>
          <w:szCs w:val="24"/>
        </w:rPr>
        <w:t>,</w:t>
      </w:r>
      <w:r w:rsidRPr="00EC6853">
        <w:rPr>
          <w:rFonts w:cstheme="minorHAnsi"/>
          <w:sz w:val="24"/>
          <w:szCs w:val="24"/>
        </w:rPr>
        <w:t xml:space="preserve"> the Supreme Court of Canada, when examining </w:t>
      </w:r>
      <w:r w:rsidR="0091258F">
        <w:rPr>
          <w:rFonts w:cstheme="minorHAnsi"/>
          <w:sz w:val="24"/>
          <w:szCs w:val="24"/>
        </w:rPr>
        <w:t>the</w:t>
      </w:r>
      <w:r w:rsidRPr="00EC6853">
        <w:rPr>
          <w:rFonts w:cstheme="minorHAnsi"/>
          <w:sz w:val="24"/>
          <w:szCs w:val="24"/>
        </w:rPr>
        <w:t xml:space="preserve"> right of self-determination</w:t>
      </w:r>
      <w:r w:rsidR="0091258F">
        <w:rPr>
          <w:rFonts w:cstheme="minorHAnsi"/>
          <w:sz w:val="24"/>
          <w:szCs w:val="24"/>
        </w:rPr>
        <w:t xml:space="preserve"> in the context of</w:t>
      </w:r>
      <w:r w:rsidRPr="00EC6853">
        <w:rPr>
          <w:rFonts w:cstheme="minorHAnsi"/>
          <w:sz w:val="24"/>
          <w:szCs w:val="24"/>
        </w:rPr>
        <w:t xml:space="preserve"> </w:t>
      </w:r>
      <w:r w:rsidR="0091258F">
        <w:rPr>
          <w:rFonts w:cstheme="minorHAnsi"/>
          <w:sz w:val="24"/>
          <w:szCs w:val="24"/>
        </w:rPr>
        <w:t xml:space="preserve">a </w:t>
      </w:r>
      <w:r w:rsidRPr="00EC6853">
        <w:rPr>
          <w:rFonts w:cstheme="minorHAnsi"/>
          <w:sz w:val="24"/>
          <w:szCs w:val="24"/>
        </w:rPr>
        <w:t xml:space="preserve">secession claim made by Quebec, stated that there were only </w:t>
      </w:r>
      <w:r w:rsidR="0091258F">
        <w:rPr>
          <w:rFonts w:cstheme="minorHAnsi"/>
          <w:sz w:val="24"/>
          <w:szCs w:val="24"/>
        </w:rPr>
        <w:t>three</w:t>
      </w:r>
      <w:r w:rsidRPr="00EC6853">
        <w:rPr>
          <w:rFonts w:cstheme="minorHAnsi"/>
          <w:sz w:val="24"/>
          <w:szCs w:val="24"/>
        </w:rPr>
        <w:t xml:space="preserve"> situations allowing the right of self-determination to lead to secession. Either 1) the peoples are from a former colony ‘breaking from the “imperial” power’,</w:t>
      </w:r>
      <w:r w:rsidRPr="00EC6853">
        <w:rPr>
          <w:rStyle w:val="FootnoteReference"/>
          <w:rFonts w:cstheme="minorHAnsi"/>
          <w:sz w:val="24"/>
          <w:szCs w:val="24"/>
        </w:rPr>
        <w:footnoteReference w:id="263"/>
      </w:r>
      <w:r w:rsidRPr="00EC6853">
        <w:rPr>
          <w:rFonts w:cstheme="minorHAnsi"/>
          <w:sz w:val="24"/>
          <w:szCs w:val="24"/>
        </w:rPr>
        <w:t xml:space="preserve"> 2) the claim does not stem from colonial territories but ‘</w:t>
      </w:r>
      <w:r w:rsidRPr="00EC6853">
        <w:rPr>
          <w:rFonts w:cstheme="minorHAnsi"/>
          <w:color w:val="000000"/>
          <w:sz w:val="24"/>
          <w:szCs w:val="24"/>
        </w:rPr>
        <w:t>where a people is subject to alien subjugation, domination or exploitation’</w:t>
      </w:r>
      <w:r w:rsidRPr="00EC6853">
        <w:rPr>
          <w:rStyle w:val="FootnoteReference"/>
          <w:rFonts w:cstheme="minorHAnsi"/>
          <w:sz w:val="24"/>
          <w:szCs w:val="24"/>
        </w:rPr>
        <w:footnoteReference w:id="264"/>
      </w:r>
      <w:r w:rsidRPr="00EC6853">
        <w:rPr>
          <w:rFonts w:cstheme="minorHAnsi"/>
          <w:sz w:val="24"/>
          <w:szCs w:val="24"/>
        </w:rPr>
        <w:t xml:space="preserve"> or 3) ‘w</w:t>
      </w:r>
      <w:r w:rsidRPr="00EC6853">
        <w:rPr>
          <w:rFonts w:cstheme="minorHAnsi"/>
          <w:color w:val="000000"/>
          <w:sz w:val="24"/>
          <w:szCs w:val="24"/>
        </w:rPr>
        <w:t xml:space="preserve">hen a people is blocked from the meaningful exercise of its right to self-determination internally, it is entitled, as a last resort, </w:t>
      </w:r>
      <w:r w:rsidRPr="00EC6853">
        <w:rPr>
          <w:rFonts w:cstheme="minorHAnsi"/>
          <w:color w:val="000000"/>
          <w:sz w:val="24"/>
          <w:szCs w:val="24"/>
        </w:rPr>
        <w:lastRenderedPageBreak/>
        <w:t>to exercise it by secession’.</w:t>
      </w:r>
      <w:r w:rsidRPr="00EC6853">
        <w:rPr>
          <w:rStyle w:val="FootnoteReference"/>
          <w:rFonts w:cstheme="minorHAnsi"/>
          <w:sz w:val="24"/>
          <w:szCs w:val="24"/>
        </w:rPr>
        <w:footnoteReference w:id="265"/>
      </w:r>
      <w:r w:rsidRPr="00EC6853">
        <w:rPr>
          <w:rFonts w:cstheme="minorHAnsi"/>
          <w:color w:val="000000"/>
          <w:sz w:val="24"/>
          <w:szCs w:val="24"/>
        </w:rPr>
        <w:t xml:space="preserve"> </w:t>
      </w:r>
      <w:r w:rsidR="00787572">
        <w:rPr>
          <w:rFonts w:cstheme="minorHAnsi"/>
          <w:sz w:val="24"/>
          <w:szCs w:val="24"/>
        </w:rPr>
        <w:t>A fourth situation mentioned in the literature is that racial groups that are denied access to government can exercise their right of self-determination.</w:t>
      </w:r>
      <w:r w:rsidR="00787572">
        <w:rPr>
          <w:rStyle w:val="FootnoteReference"/>
          <w:rFonts w:cstheme="minorHAnsi"/>
          <w:sz w:val="24"/>
          <w:szCs w:val="24"/>
        </w:rPr>
        <w:footnoteReference w:id="266"/>
      </w:r>
      <w:r w:rsidR="00787572">
        <w:rPr>
          <w:rFonts w:cstheme="minorHAnsi"/>
          <w:sz w:val="24"/>
          <w:szCs w:val="24"/>
        </w:rPr>
        <w:t xml:space="preserve"> Racial groups are automatically viewed as ‘peoples’ having such a right. It is however unclear how ‘racial groups’ are defined and how they are different from ‘ethnic groups’ that do not have the automatic right of self-determination. </w:t>
      </w:r>
      <w:r w:rsidR="00201E83">
        <w:rPr>
          <w:rFonts w:cstheme="minorHAnsi"/>
          <w:sz w:val="24"/>
          <w:szCs w:val="24"/>
        </w:rPr>
        <w:t>Accordingly, this fourth proposition is not covered in this chapter.</w:t>
      </w:r>
    </w:p>
    <w:p w14:paraId="1C183ACF" w14:textId="0053CF82" w:rsidR="00BC0DDB" w:rsidRDefault="00787572" w:rsidP="00EF4601">
      <w:pPr>
        <w:spacing w:after="0" w:line="240" w:lineRule="auto"/>
        <w:jc w:val="both"/>
        <w:rPr>
          <w:sz w:val="24"/>
          <w:szCs w:val="24"/>
        </w:rPr>
      </w:pPr>
      <w:r>
        <w:rPr>
          <w:rFonts w:cstheme="minorHAnsi"/>
          <w:sz w:val="24"/>
          <w:szCs w:val="24"/>
        </w:rPr>
        <w:t>The third circumstance mentioned in the case dealt with by the</w:t>
      </w:r>
      <w:r w:rsidR="002F3A01" w:rsidRPr="00FC661E">
        <w:rPr>
          <w:rFonts w:cstheme="minorHAnsi"/>
          <w:color w:val="000000"/>
          <w:sz w:val="24"/>
          <w:szCs w:val="24"/>
        </w:rPr>
        <w:t xml:space="preserve"> Supreme Court </w:t>
      </w:r>
      <w:r>
        <w:rPr>
          <w:rFonts w:cstheme="minorHAnsi"/>
          <w:color w:val="000000"/>
          <w:sz w:val="24"/>
          <w:szCs w:val="24"/>
        </w:rPr>
        <w:t xml:space="preserve">of Canada is controversial. In fact, it avowed that it </w:t>
      </w:r>
      <w:r w:rsidR="002F3A01" w:rsidRPr="00FC661E">
        <w:rPr>
          <w:rFonts w:cstheme="minorHAnsi"/>
          <w:color w:val="000000"/>
          <w:sz w:val="24"/>
          <w:szCs w:val="24"/>
        </w:rPr>
        <w:t>was unclear whether the third possibility reflected the then state of international law</w:t>
      </w:r>
      <w:r w:rsidR="0020561E">
        <w:rPr>
          <w:rFonts w:cstheme="minorHAnsi"/>
          <w:color w:val="000000"/>
          <w:sz w:val="24"/>
          <w:szCs w:val="24"/>
        </w:rPr>
        <w:t>.</w:t>
      </w:r>
      <w:r w:rsidR="002F3A01" w:rsidRPr="00FC661E">
        <w:rPr>
          <w:rStyle w:val="FootnoteReference"/>
          <w:rFonts w:cstheme="minorHAnsi"/>
          <w:color w:val="000000"/>
          <w:sz w:val="24"/>
          <w:szCs w:val="24"/>
        </w:rPr>
        <w:footnoteReference w:id="267"/>
      </w:r>
      <w:r>
        <w:rPr>
          <w:rFonts w:cstheme="minorHAnsi"/>
          <w:color w:val="000000"/>
          <w:sz w:val="24"/>
          <w:szCs w:val="24"/>
        </w:rPr>
        <w:t xml:space="preserve"> </w:t>
      </w:r>
      <w:r w:rsidR="00AC2864">
        <w:rPr>
          <w:rFonts w:cstheme="minorHAnsi"/>
          <w:sz w:val="24"/>
          <w:szCs w:val="24"/>
        </w:rPr>
        <w:t>In the years following the pronouncement of the Supreme Court of Canada</w:t>
      </w:r>
      <w:r w:rsidR="00FC661E" w:rsidRPr="00FC661E">
        <w:rPr>
          <w:rFonts w:cstheme="minorHAnsi"/>
          <w:sz w:val="24"/>
          <w:szCs w:val="24"/>
        </w:rPr>
        <w:t xml:space="preserve">, UN documents such as the </w:t>
      </w:r>
      <w:r w:rsidR="00DF6974" w:rsidRPr="00FC661E">
        <w:rPr>
          <w:rFonts w:cstheme="minorHAnsi"/>
          <w:sz w:val="24"/>
          <w:szCs w:val="24"/>
        </w:rPr>
        <w:t>Millennium</w:t>
      </w:r>
      <w:r w:rsidR="00FC661E" w:rsidRPr="00FC661E">
        <w:rPr>
          <w:rFonts w:cstheme="minorHAnsi"/>
          <w:sz w:val="24"/>
          <w:szCs w:val="24"/>
        </w:rPr>
        <w:t xml:space="preserve"> Declaration</w:t>
      </w:r>
      <w:r w:rsidR="00FC661E" w:rsidRPr="00FC661E">
        <w:rPr>
          <w:rStyle w:val="FootnoteReference"/>
          <w:sz w:val="24"/>
          <w:szCs w:val="24"/>
        </w:rPr>
        <w:footnoteReference w:id="268"/>
      </w:r>
      <w:r w:rsidR="00FC661E" w:rsidRPr="00FC661E">
        <w:rPr>
          <w:rFonts w:cstheme="minorHAnsi"/>
          <w:sz w:val="24"/>
          <w:szCs w:val="24"/>
        </w:rPr>
        <w:t xml:space="preserve"> or the World Summit Outcome</w:t>
      </w:r>
      <w:r w:rsidR="00FC661E" w:rsidRPr="00FC661E">
        <w:rPr>
          <w:rStyle w:val="FootnoteReference"/>
          <w:sz w:val="24"/>
          <w:szCs w:val="24"/>
        </w:rPr>
        <w:footnoteReference w:id="269"/>
      </w:r>
      <w:r w:rsidR="00FC661E" w:rsidRPr="00FC661E">
        <w:rPr>
          <w:rFonts w:cstheme="minorHAnsi"/>
          <w:sz w:val="24"/>
          <w:szCs w:val="24"/>
        </w:rPr>
        <w:t xml:space="preserve"> only referred to the first two </w:t>
      </w:r>
      <w:r w:rsidR="00BD151A">
        <w:rPr>
          <w:rFonts w:cstheme="minorHAnsi"/>
          <w:sz w:val="24"/>
          <w:szCs w:val="24"/>
        </w:rPr>
        <w:t>circumstances</w:t>
      </w:r>
      <w:r w:rsidR="003B1EC0">
        <w:rPr>
          <w:sz w:val="24"/>
          <w:szCs w:val="24"/>
        </w:rPr>
        <w:t>.</w:t>
      </w:r>
      <w:r w:rsidR="0012317B">
        <w:rPr>
          <w:sz w:val="24"/>
          <w:szCs w:val="24"/>
        </w:rPr>
        <w:t xml:space="preserve"> </w:t>
      </w:r>
      <w:r w:rsidR="00C318A4">
        <w:rPr>
          <w:sz w:val="24"/>
          <w:szCs w:val="24"/>
        </w:rPr>
        <w:t>Some scholars even brush away this third possibility and, instead, focus on the right of self-determination as entrenched in three areas, ‘an anti-colonial standard’, ‘a ban on foreign military occupation’ and ‘as a requirement that all racial groups be given full access to government.’</w:t>
      </w:r>
      <w:r w:rsidR="00C318A4">
        <w:rPr>
          <w:rStyle w:val="FootnoteReference"/>
          <w:sz w:val="24"/>
          <w:szCs w:val="24"/>
        </w:rPr>
        <w:footnoteReference w:id="270"/>
      </w:r>
      <w:r w:rsidR="00C318A4">
        <w:rPr>
          <w:sz w:val="24"/>
          <w:szCs w:val="24"/>
        </w:rPr>
        <w:t xml:space="preserve"> </w:t>
      </w:r>
      <w:r w:rsidR="003B1EC0">
        <w:rPr>
          <w:sz w:val="24"/>
          <w:szCs w:val="24"/>
        </w:rPr>
        <w:t xml:space="preserve">position of the ICJ in the </w:t>
      </w:r>
      <w:r w:rsidR="003B1EC0" w:rsidRPr="00254D98">
        <w:rPr>
          <w:i/>
          <w:sz w:val="24"/>
          <w:szCs w:val="24"/>
        </w:rPr>
        <w:t>Advisory Opinion on Kosovo</w:t>
      </w:r>
      <w:r w:rsidR="003B1EC0">
        <w:rPr>
          <w:sz w:val="24"/>
          <w:szCs w:val="24"/>
        </w:rPr>
        <w:t xml:space="preserve"> is more nuanced as it acknowledges this contested right, indicating that ‘the practice of States [in instances of declarations of independence outside this context] does not point to the emergence in international law of a new rule prohibiting the making of a declaration of independence in such cases.’</w:t>
      </w:r>
      <w:r w:rsidR="003B1EC0">
        <w:rPr>
          <w:rStyle w:val="FootnoteReference"/>
          <w:sz w:val="24"/>
          <w:szCs w:val="24"/>
        </w:rPr>
        <w:footnoteReference w:id="271"/>
      </w:r>
      <w:r w:rsidR="00E64F4A">
        <w:rPr>
          <w:sz w:val="24"/>
          <w:szCs w:val="24"/>
        </w:rPr>
        <w:t xml:space="preserve"> Likewise, the </w:t>
      </w:r>
      <w:r w:rsidR="00C318A4">
        <w:rPr>
          <w:sz w:val="24"/>
          <w:szCs w:val="24"/>
        </w:rPr>
        <w:t xml:space="preserve">2009 </w:t>
      </w:r>
      <w:proofErr w:type="spellStart"/>
      <w:r w:rsidR="00C318A4">
        <w:rPr>
          <w:sz w:val="24"/>
          <w:szCs w:val="24"/>
        </w:rPr>
        <w:t>Tagliavini</w:t>
      </w:r>
      <w:proofErr w:type="spellEnd"/>
      <w:r w:rsidR="00C318A4">
        <w:rPr>
          <w:sz w:val="24"/>
          <w:szCs w:val="24"/>
        </w:rPr>
        <w:t xml:space="preserve"> report</w:t>
      </w:r>
      <w:r w:rsidR="00C318A4">
        <w:rPr>
          <w:rStyle w:val="FootnoteReference"/>
          <w:sz w:val="24"/>
          <w:szCs w:val="24"/>
        </w:rPr>
        <w:footnoteReference w:id="272"/>
      </w:r>
      <w:r w:rsidR="00C318A4">
        <w:rPr>
          <w:sz w:val="24"/>
          <w:szCs w:val="24"/>
        </w:rPr>
        <w:t xml:space="preserve"> and an Opinion of the </w:t>
      </w:r>
      <w:r w:rsidR="00E64F4A">
        <w:rPr>
          <w:sz w:val="24"/>
          <w:szCs w:val="24"/>
        </w:rPr>
        <w:t>Venice Commission in 2014</w:t>
      </w:r>
      <w:r w:rsidR="00C318A4">
        <w:rPr>
          <w:rStyle w:val="FootnoteReference"/>
          <w:sz w:val="24"/>
          <w:szCs w:val="24"/>
        </w:rPr>
        <w:footnoteReference w:id="273"/>
      </w:r>
      <w:r w:rsidR="00C318A4" w:rsidRPr="00C318A4">
        <w:rPr>
          <w:sz w:val="24"/>
          <w:szCs w:val="24"/>
        </w:rPr>
        <w:t xml:space="preserve"> </w:t>
      </w:r>
      <w:r w:rsidR="00C318A4">
        <w:rPr>
          <w:sz w:val="24"/>
          <w:szCs w:val="24"/>
        </w:rPr>
        <w:t xml:space="preserve">maintain </w:t>
      </w:r>
      <w:r w:rsidR="00E64F4A">
        <w:rPr>
          <w:sz w:val="24"/>
          <w:szCs w:val="24"/>
        </w:rPr>
        <w:t>that the existence of this right remained controversial under international law.</w:t>
      </w:r>
      <w:r w:rsidR="00C318A4" w:rsidRPr="00C318A4">
        <w:rPr>
          <w:sz w:val="24"/>
          <w:szCs w:val="24"/>
        </w:rPr>
        <w:t xml:space="preserve"> </w:t>
      </w:r>
    </w:p>
    <w:p w14:paraId="7DDB7D28" w14:textId="45F5AC09" w:rsidR="0070780D" w:rsidRPr="002C579E" w:rsidRDefault="000A1FE6" w:rsidP="00EF4601">
      <w:pPr>
        <w:spacing w:after="0" w:line="240" w:lineRule="auto"/>
        <w:jc w:val="both"/>
        <w:rPr>
          <w:rFonts w:cstheme="minorHAnsi"/>
          <w:sz w:val="24"/>
          <w:szCs w:val="24"/>
        </w:rPr>
      </w:pPr>
      <w:r>
        <w:rPr>
          <w:rFonts w:cstheme="minorHAnsi"/>
          <w:sz w:val="24"/>
          <w:szCs w:val="24"/>
        </w:rPr>
        <w:t>It might nevertheless be contended that the third situation is</w:t>
      </w:r>
      <w:r w:rsidR="00792EB7">
        <w:rPr>
          <w:rFonts w:cstheme="minorHAnsi"/>
          <w:sz w:val="24"/>
          <w:szCs w:val="24"/>
        </w:rPr>
        <w:t xml:space="preserve"> somehow</w:t>
      </w:r>
      <w:r>
        <w:rPr>
          <w:rFonts w:cstheme="minorHAnsi"/>
          <w:sz w:val="24"/>
          <w:szCs w:val="24"/>
        </w:rPr>
        <w:t xml:space="preserve"> recognised in law. </w:t>
      </w:r>
      <w:r w:rsidR="005C34D7">
        <w:rPr>
          <w:rFonts w:cstheme="minorHAnsi"/>
          <w:sz w:val="24"/>
          <w:szCs w:val="24"/>
        </w:rPr>
        <w:t xml:space="preserve">The </w:t>
      </w:r>
      <w:r w:rsidR="002F3A01" w:rsidRPr="00FC661E">
        <w:rPr>
          <w:rFonts w:cstheme="minorHAnsi"/>
          <w:sz w:val="24"/>
          <w:szCs w:val="24"/>
        </w:rPr>
        <w:t>Friendly Relations Declaration</w:t>
      </w:r>
      <w:r w:rsidR="005C34D7">
        <w:rPr>
          <w:rFonts w:cstheme="minorHAnsi"/>
          <w:sz w:val="24"/>
          <w:szCs w:val="24"/>
        </w:rPr>
        <w:t xml:space="preserve"> contains a safeguarding clause, overriding the principle of territorial integrity when the right of self-determination is invoked:</w:t>
      </w:r>
      <w:r w:rsidR="0025547E" w:rsidRPr="00112E83">
        <w:rPr>
          <w:rFonts w:cstheme="minorHAnsi"/>
          <w:sz w:val="24"/>
          <w:szCs w:val="24"/>
        </w:rPr>
        <w:t xml:space="preserve"> </w:t>
      </w:r>
      <w:r w:rsidR="002F3A01" w:rsidRPr="00112E83">
        <w:rPr>
          <w:rFonts w:cstheme="minorHAnsi"/>
          <w:sz w:val="24"/>
          <w:szCs w:val="24"/>
        </w:rPr>
        <w:t>‘</w:t>
      </w:r>
      <w:r w:rsidR="002F3A01" w:rsidRPr="00112E83">
        <w:rPr>
          <w:rFonts w:cstheme="minorHAnsi"/>
          <w:color w:val="000000"/>
          <w:sz w:val="24"/>
          <w:szCs w:val="24"/>
          <w:shd w:val="clear" w:color="auto" w:fill="FFFFFF"/>
        </w:rPr>
        <w:t>Nothing in the foregoing</w:t>
      </w:r>
      <w:r w:rsidR="002F3A01" w:rsidRPr="00EC6853">
        <w:rPr>
          <w:rFonts w:cstheme="minorHAnsi"/>
          <w:color w:val="000000"/>
          <w:sz w:val="24"/>
          <w:szCs w:val="24"/>
          <w:shd w:val="clear" w:color="auto" w:fill="FFFFFF"/>
        </w:rPr>
        <w:t xml:space="preserve"> paragraphs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 as described above and thus possessed of a government </w:t>
      </w:r>
      <w:r w:rsidR="002F3A01" w:rsidRPr="004745EC">
        <w:rPr>
          <w:rFonts w:cstheme="minorHAnsi"/>
          <w:color w:val="000000"/>
          <w:sz w:val="24"/>
          <w:szCs w:val="24"/>
          <w:shd w:val="clear" w:color="auto" w:fill="FFFFFF"/>
        </w:rPr>
        <w:t>representing the whole people belonging to the territory without distinction as to race, creed or colour.’</w:t>
      </w:r>
      <w:r w:rsidR="002F3A01" w:rsidRPr="004745EC">
        <w:rPr>
          <w:rFonts w:cstheme="minorHAnsi"/>
          <w:sz w:val="24"/>
          <w:szCs w:val="24"/>
        </w:rPr>
        <w:t xml:space="preserve"> </w:t>
      </w:r>
      <w:r w:rsidR="0025547E" w:rsidRPr="004745EC">
        <w:rPr>
          <w:rFonts w:cstheme="minorHAnsi"/>
          <w:sz w:val="24"/>
          <w:szCs w:val="24"/>
        </w:rPr>
        <w:t>Put simply, if the State cannot secure the internal right of self-determination, people have the right to external self-determination</w:t>
      </w:r>
      <w:r w:rsidR="004745EC" w:rsidRPr="004745EC">
        <w:rPr>
          <w:rFonts w:cstheme="minorHAnsi"/>
          <w:sz w:val="24"/>
          <w:szCs w:val="24"/>
        </w:rPr>
        <w:t xml:space="preserve"> though secession is </w:t>
      </w:r>
      <w:r w:rsidR="004745EC" w:rsidRPr="004745EC">
        <w:rPr>
          <w:rFonts w:cstheme="minorHAnsi"/>
          <w:sz w:val="24"/>
          <w:szCs w:val="24"/>
        </w:rPr>
        <w:lastRenderedPageBreak/>
        <w:t>viewed as a</w:t>
      </w:r>
      <w:r w:rsidR="0020561E">
        <w:rPr>
          <w:rFonts w:cstheme="minorHAnsi"/>
          <w:sz w:val="24"/>
          <w:szCs w:val="24"/>
        </w:rPr>
        <w:t xml:space="preserve">n </w:t>
      </w:r>
      <w:proofErr w:type="spellStart"/>
      <w:r w:rsidR="0020561E">
        <w:rPr>
          <w:rFonts w:cstheme="minorHAnsi"/>
          <w:i/>
          <w:iCs/>
          <w:sz w:val="24"/>
          <w:szCs w:val="24"/>
        </w:rPr>
        <w:t>ultimum</w:t>
      </w:r>
      <w:proofErr w:type="spellEnd"/>
      <w:r w:rsidR="0020561E">
        <w:rPr>
          <w:rFonts w:cstheme="minorHAnsi"/>
          <w:i/>
          <w:iCs/>
          <w:sz w:val="24"/>
          <w:szCs w:val="24"/>
        </w:rPr>
        <w:t xml:space="preserve"> </w:t>
      </w:r>
      <w:proofErr w:type="spellStart"/>
      <w:r w:rsidR="0020561E">
        <w:rPr>
          <w:rFonts w:cstheme="minorHAnsi"/>
          <w:i/>
          <w:iCs/>
          <w:sz w:val="24"/>
          <w:szCs w:val="24"/>
        </w:rPr>
        <w:t>remedium</w:t>
      </w:r>
      <w:proofErr w:type="spellEnd"/>
      <w:r w:rsidR="004745EC" w:rsidRPr="004745EC">
        <w:rPr>
          <w:rFonts w:cstheme="minorHAnsi"/>
          <w:sz w:val="24"/>
          <w:szCs w:val="24"/>
        </w:rPr>
        <w:t>.</w:t>
      </w:r>
      <w:r w:rsidR="008F16FE">
        <w:rPr>
          <w:rStyle w:val="FootnoteReference"/>
          <w:rFonts w:cstheme="minorHAnsi"/>
          <w:sz w:val="24"/>
          <w:szCs w:val="24"/>
        </w:rPr>
        <w:footnoteReference w:id="274"/>
      </w:r>
      <w:r w:rsidR="004745EC" w:rsidRPr="004745EC">
        <w:rPr>
          <w:rFonts w:cstheme="minorHAnsi"/>
          <w:sz w:val="24"/>
          <w:szCs w:val="24"/>
        </w:rPr>
        <w:t xml:space="preserve"> </w:t>
      </w:r>
      <w:r w:rsidR="0020561E" w:rsidRPr="0020561E">
        <w:rPr>
          <w:rFonts w:cstheme="minorHAnsi"/>
          <w:sz w:val="24"/>
          <w:szCs w:val="24"/>
        </w:rPr>
        <w:t>Such a right was also mentioned in the 1921 report on the Aaland Island outside the decolonisation context: ‘The separation of a minority from the State of which it forms part and its incorporation in another State can only be considered as an altogether exceptional solution, a last resort when the State lacks either the will or the power to enact and apply just and effective guaranteed (religious, linguistic and social freedom).’</w:t>
      </w:r>
      <w:r w:rsidR="0020561E" w:rsidRPr="0020561E">
        <w:rPr>
          <w:rStyle w:val="FootnoteReference"/>
          <w:rFonts w:cstheme="minorHAnsi"/>
          <w:sz w:val="24"/>
          <w:szCs w:val="24"/>
        </w:rPr>
        <w:footnoteReference w:id="275"/>
      </w:r>
      <w:r w:rsidR="00792EB7">
        <w:rPr>
          <w:rFonts w:cstheme="minorHAnsi"/>
          <w:sz w:val="24"/>
          <w:szCs w:val="24"/>
        </w:rPr>
        <w:t xml:space="preserve"> More recently, the</w:t>
      </w:r>
      <w:r w:rsidR="00254D98">
        <w:rPr>
          <w:rFonts w:cstheme="minorHAnsi"/>
          <w:sz w:val="24"/>
          <w:szCs w:val="24"/>
        </w:rPr>
        <w:t xml:space="preserve"> ICJ </w:t>
      </w:r>
      <w:r w:rsidR="00792EB7" w:rsidRPr="002C579E">
        <w:rPr>
          <w:rFonts w:cstheme="minorHAnsi"/>
          <w:sz w:val="24"/>
          <w:szCs w:val="24"/>
        </w:rPr>
        <w:t xml:space="preserve">in the </w:t>
      </w:r>
      <w:proofErr w:type="spellStart"/>
      <w:r w:rsidR="00792EB7" w:rsidRPr="00254D98">
        <w:rPr>
          <w:rFonts w:cstheme="minorHAnsi"/>
          <w:i/>
          <w:sz w:val="24"/>
          <w:szCs w:val="24"/>
        </w:rPr>
        <w:t>Chagos</w:t>
      </w:r>
      <w:proofErr w:type="spellEnd"/>
      <w:r w:rsidR="00792EB7" w:rsidRPr="00254D98">
        <w:rPr>
          <w:rFonts w:cstheme="minorHAnsi"/>
          <w:i/>
          <w:sz w:val="24"/>
          <w:szCs w:val="24"/>
        </w:rPr>
        <w:t xml:space="preserve"> </w:t>
      </w:r>
      <w:r w:rsidR="00792EB7" w:rsidRPr="00254D98">
        <w:rPr>
          <w:rFonts w:cstheme="minorHAnsi"/>
          <w:iCs/>
          <w:sz w:val="24"/>
          <w:szCs w:val="24"/>
        </w:rPr>
        <w:t xml:space="preserve">Advisory </w:t>
      </w:r>
      <w:r w:rsidR="00792EB7" w:rsidRPr="00434F9A">
        <w:rPr>
          <w:rFonts w:cstheme="minorHAnsi"/>
          <w:i/>
          <w:sz w:val="24"/>
          <w:szCs w:val="24"/>
        </w:rPr>
        <w:t>Opinion</w:t>
      </w:r>
      <w:r w:rsidR="00792EB7" w:rsidRPr="002C579E">
        <w:rPr>
          <w:rFonts w:cstheme="minorHAnsi"/>
          <w:sz w:val="24"/>
          <w:szCs w:val="24"/>
        </w:rPr>
        <w:t xml:space="preserve"> tentatively declared that ‘the right of self-determination, as a fundamental human right, has a broad scope of application’,</w:t>
      </w:r>
      <w:r w:rsidR="002C579E">
        <w:rPr>
          <w:rStyle w:val="FootnoteReference"/>
          <w:rFonts w:cstheme="minorHAnsi"/>
          <w:sz w:val="24"/>
          <w:szCs w:val="24"/>
        </w:rPr>
        <w:footnoteReference w:id="276"/>
      </w:r>
      <w:r w:rsidR="00792EB7" w:rsidRPr="002C579E">
        <w:rPr>
          <w:rFonts w:cstheme="minorHAnsi"/>
          <w:sz w:val="24"/>
          <w:szCs w:val="24"/>
        </w:rPr>
        <w:t xml:space="preserve"> leading some academic</w:t>
      </w:r>
      <w:r w:rsidR="00BE6050" w:rsidRPr="002C579E">
        <w:rPr>
          <w:rFonts w:cstheme="minorHAnsi"/>
          <w:sz w:val="24"/>
          <w:szCs w:val="24"/>
        </w:rPr>
        <w:t>s</w:t>
      </w:r>
      <w:r w:rsidR="00792EB7" w:rsidRPr="002C579E">
        <w:rPr>
          <w:rFonts w:cstheme="minorHAnsi"/>
          <w:sz w:val="24"/>
          <w:szCs w:val="24"/>
        </w:rPr>
        <w:t xml:space="preserve"> such as </w:t>
      </w:r>
      <w:proofErr w:type="spellStart"/>
      <w:r w:rsidR="00792EB7" w:rsidRPr="00254D98">
        <w:rPr>
          <w:rFonts w:cstheme="minorHAnsi"/>
          <w:sz w:val="24"/>
          <w:szCs w:val="24"/>
        </w:rPr>
        <w:t>Klabbers</w:t>
      </w:r>
      <w:proofErr w:type="spellEnd"/>
      <w:r w:rsidR="00792EB7" w:rsidRPr="002C579E">
        <w:rPr>
          <w:rFonts w:cstheme="minorHAnsi"/>
          <w:i/>
          <w:iCs/>
          <w:sz w:val="24"/>
          <w:szCs w:val="24"/>
        </w:rPr>
        <w:t xml:space="preserve"> </w:t>
      </w:r>
      <w:r w:rsidR="00792EB7" w:rsidRPr="002C579E">
        <w:rPr>
          <w:rFonts w:cstheme="minorHAnsi"/>
          <w:sz w:val="24"/>
          <w:szCs w:val="24"/>
        </w:rPr>
        <w:t xml:space="preserve">to suggest that the Court might be </w:t>
      </w:r>
      <w:r w:rsidR="00BE6050" w:rsidRPr="002C579E">
        <w:rPr>
          <w:rFonts w:cstheme="minorHAnsi"/>
          <w:sz w:val="24"/>
          <w:szCs w:val="24"/>
        </w:rPr>
        <w:t xml:space="preserve">hinting at </w:t>
      </w:r>
      <w:r w:rsidR="002C579E" w:rsidRPr="002C579E">
        <w:rPr>
          <w:rFonts w:cstheme="minorHAnsi"/>
          <w:sz w:val="24"/>
          <w:szCs w:val="24"/>
        </w:rPr>
        <w:t>‘</w:t>
      </w:r>
      <w:r w:rsidR="002C579E" w:rsidRPr="002C579E">
        <w:rPr>
          <w:sz w:val="24"/>
          <w:szCs w:val="24"/>
        </w:rPr>
        <w:t xml:space="preserve">external self-determination (i.e. secession) as </w:t>
      </w:r>
      <w:proofErr w:type="spellStart"/>
      <w:r w:rsidR="002C579E" w:rsidRPr="002C579E">
        <w:rPr>
          <w:i/>
          <w:iCs/>
          <w:sz w:val="24"/>
          <w:szCs w:val="24"/>
        </w:rPr>
        <w:t>ultimum</w:t>
      </w:r>
      <w:proofErr w:type="spellEnd"/>
      <w:r w:rsidR="002C579E" w:rsidRPr="002C579E">
        <w:rPr>
          <w:i/>
          <w:iCs/>
          <w:sz w:val="24"/>
          <w:szCs w:val="24"/>
        </w:rPr>
        <w:t xml:space="preserve"> </w:t>
      </w:r>
      <w:proofErr w:type="spellStart"/>
      <w:r w:rsidR="002C579E" w:rsidRPr="002C579E">
        <w:rPr>
          <w:i/>
          <w:iCs/>
          <w:sz w:val="24"/>
          <w:szCs w:val="24"/>
        </w:rPr>
        <w:t>remedium</w:t>
      </w:r>
      <w:proofErr w:type="spellEnd"/>
      <w:r w:rsidR="002C579E" w:rsidRPr="002C579E">
        <w:rPr>
          <w:sz w:val="24"/>
          <w:szCs w:val="24"/>
        </w:rPr>
        <w:t xml:space="preserve"> in the face of gross oppression, useful in those circumstances where all else fails, and perhaps conditional on much blood already having been shed’.</w:t>
      </w:r>
      <w:r w:rsidR="002C579E" w:rsidRPr="002C579E">
        <w:rPr>
          <w:rStyle w:val="FootnoteReference"/>
          <w:sz w:val="24"/>
          <w:szCs w:val="24"/>
        </w:rPr>
        <w:footnoteReference w:id="277"/>
      </w:r>
    </w:p>
    <w:p w14:paraId="47AB6BEA" w14:textId="2095E6EF" w:rsidR="002F3A01" w:rsidRPr="00EC6853" w:rsidRDefault="00825BF5" w:rsidP="002F3A01">
      <w:pPr>
        <w:spacing w:after="0" w:line="240" w:lineRule="auto"/>
        <w:jc w:val="both"/>
        <w:rPr>
          <w:rFonts w:cstheme="minorHAnsi"/>
          <w:sz w:val="24"/>
          <w:szCs w:val="24"/>
        </w:rPr>
      </w:pPr>
      <w:r w:rsidRPr="002C579E">
        <w:rPr>
          <w:rFonts w:cstheme="minorHAnsi"/>
          <w:sz w:val="24"/>
          <w:szCs w:val="24"/>
        </w:rPr>
        <w:t xml:space="preserve">It might come as a </w:t>
      </w:r>
      <w:r w:rsidR="000A1FE6" w:rsidRPr="002C579E">
        <w:rPr>
          <w:rFonts w:cstheme="minorHAnsi"/>
          <w:sz w:val="24"/>
          <w:szCs w:val="24"/>
        </w:rPr>
        <w:t>surprise,</w:t>
      </w:r>
      <w:r w:rsidRPr="002C579E">
        <w:rPr>
          <w:rFonts w:cstheme="minorHAnsi"/>
          <w:sz w:val="24"/>
          <w:szCs w:val="24"/>
        </w:rPr>
        <w:t xml:space="preserve"> but the people of</w:t>
      </w:r>
      <w:r w:rsidRPr="0020561E">
        <w:rPr>
          <w:rFonts w:cstheme="minorHAnsi"/>
          <w:sz w:val="24"/>
          <w:szCs w:val="24"/>
        </w:rPr>
        <w:t xml:space="preserve"> Abkhazia </w:t>
      </w:r>
      <w:r w:rsidR="007E5435" w:rsidRPr="0020561E">
        <w:rPr>
          <w:rFonts w:cstheme="minorHAnsi"/>
          <w:sz w:val="24"/>
          <w:szCs w:val="24"/>
        </w:rPr>
        <w:t>have</w:t>
      </w:r>
      <w:r w:rsidRPr="0020561E">
        <w:rPr>
          <w:rFonts w:cstheme="minorHAnsi"/>
          <w:sz w:val="24"/>
          <w:szCs w:val="24"/>
        </w:rPr>
        <w:t xml:space="preserve"> made claims of colonisation.</w:t>
      </w:r>
      <w:r w:rsidR="002F3A01" w:rsidRPr="0020561E">
        <w:rPr>
          <w:rStyle w:val="FootnoteReference"/>
          <w:rFonts w:cstheme="minorHAnsi"/>
          <w:sz w:val="24"/>
          <w:szCs w:val="24"/>
        </w:rPr>
        <w:footnoteReference w:id="278"/>
      </w:r>
      <w:r w:rsidR="002F3A01" w:rsidRPr="0020561E">
        <w:rPr>
          <w:rFonts w:cstheme="minorHAnsi"/>
          <w:sz w:val="24"/>
          <w:szCs w:val="24"/>
        </w:rPr>
        <w:t xml:space="preserve"> </w:t>
      </w:r>
      <w:r w:rsidRPr="0020561E">
        <w:rPr>
          <w:rFonts w:cstheme="minorHAnsi"/>
          <w:sz w:val="24"/>
          <w:szCs w:val="24"/>
        </w:rPr>
        <w:t>T</w:t>
      </w:r>
      <w:r w:rsidR="0007314A" w:rsidRPr="0020561E">
        <w:rPr>
          <w:rFonts w:cstheme="minorHAnsi"/>
          <w:sz w:val="24"/>
          <w:szCs w:val="24"/>
        </w:rPr>
        <w:t xml:space="preserve">o the author’s knowledge, </w:t>
      </w:r>
      <w:r w:rsidR="0007314A">
        <w:rPr>
          <w:rFonts w:cstheme="minorHAnsi"/>
          <w:sz w:val="24"/>
          <w:szCs w:val="24"/>
        </w:rPr>
        <w:t>t</w:t>
      </w:r>
      <w:r>
        <w:rPr>
          <w:rFonts w:cstheme="minorHAnsi"/>
          <w:sz w:val="24"/>
          <w:szCs w:val="24"/>
        </w:rPr>
        <w:t xml:space="preserve">he people of the other three </w:t>
      </w:r>
      <w:r>
        <w:rPr>
          <w:rFonts w:cstheme="minorHAnsi"/>
          <w:i/>
          <w:iCs/>
          <w:sz w:val="24"/>
          <w:szCs w:val="24"/>
        </w:rPr>
        <w:t xml:space="preserve">de facto </w:t>
      </w:r>
      <w:r>
        <w:rPr>
          <w:rFonts w:cstheme="minorHAnsi"/>
          <w:sz w:val="24"/>
          <w:szCs w:val="24"/>
        </w:rPr>
        <w:t>States have however not</w:t>
      </w:r>
      <w:r w:rsidR="0007314A">
        <w:rPr>
          <w:rFonts w:cstheme="minorHAnsi"/>
          <w:sz w:val="24"/>
          <w:szCs w:val="24"/>
        </w:rPr>
        <w:t xml:space="preserve"> made such claims</w:t>
      </w:r>
      <w:r>
        <w:rPr>
          <w:rFonts w:cstheme="minorHAnsi"/>
          <w:sz w:val="24"/>
          <w:szCs w:val="24"/>
        </w:rPr>
        <w:t>. Their claim does not hold much ground because</w:t>
      </w:r>
      <w:r w:rsidR="002F3A01" w:rsidRPr="00EC6853">
        <w:rPr>
          <w:rFonts w:cstheme="minorHAnsi"/>
          <w:sz w:val="24"/>
          <w:szCs w:val="24"/>
        </w:rPr>
        <w:t xml:space="preserve"> the UN </w:t>
      </w:r>
      <w:r>
        <w:rPr>
          <w:rFonts w:cstheme="minorHAnsi"/>
          <w:sz w:val="24"/>
          <w:szCs w:val="24"/>
        </w:rPr>
        <w:t>R</w:t>
      </w:r>
      <w:r w:rsidR="002F3A01" w:rsidRPr="00EC6853">
        <w:rPr>
          <w:rFonts w:cstheme="minorHAnsi"/>
          <w:sz w:val="24"/>
          <w:szCs w:val="24"/>
        </w:rPr>
        <w:t xml:space="preserve">esolution </w:t>
      </w:r>
      <w:r>
        <w:rPr>
          <w:rFonts w:cstheme="minorHAnsi"/>
          <w:sz w:val="24"/>
          <w:szCs w:val="24"/>
        </w:rPr>
        <w:t>‘</w:t>
      </w:r>
      <w:r w:rsidR="002F3A01" w:rsidRPr="00EC6853">
        <w:rPr>
          <w:rFonts w:cstheme="minorHAnsi"/>
          <w:sz w:val="24"/>
          <w:szCs w:val="24"/>
        </w:rPr>
        <w:t xml:space="preserve">Principles which Should Guide Members in Determining whether or not an Obligation Exists to Transmit the Information Called in Article 73e of the Charter of the </w:t>
      </w:r>
      <w:r w:rsidR="002F3A01" w:rsidRPr="004745EC">
        <w:rPr>
          <w:rFonts w:cstheme="minorHAnsi"/>
          <w:sz w:val="24"/>
          <w:szCs w:val="24"/>
        </w:rPr>
        <w:t>United Nations</w:t>
      </w:r>
      <w:r w:rsidRPr="004745EC">
        <w:rPr>
          <w:rFonts w:cstheme="minorHAnsi"/>
          <w:sz w:val="24"/>
          <w:szCs w:val="24"/>
        </w:rPr>
        <w:t>’</w:t>
      </w:r>
      <w:r w:rsidR="002F3A01" w:rsidRPr="004745EC">
        <w:rPr>
          <w:rStyle w:val="FootnoteReference"/>
          <w:rFonts w:cstheme="minorHAnsi"/>
          <w:sz w:val="24"/>
          <w:szCs w:val="24"/>
        </w:rPr>
        <w:footnoteReference w:id="279"/>
      </w:r>
      <w:r w:rsidR="002F3A01" w:rsidRPr="004745EC">
        <w:rPr>
          <w:rFonts w:cstheme="minorHAnsi"/>
          <w:sz w:val="24"/>
          <w:szCs w:val="24"/>
        </w:rPr>
        <w:t xml:space="preserve"> specifies that colonies must be physically separated from the colonial power and must be ethnically and culturally different</w:t>
      </w:r>
      <w:r w:rsidRPr="004745EC">
        <w:rPr>
          <w:rFonts w:cstheme="minorHAnsi"/>
          <w:sz w:val="24"/>
          <w:szCs w:val="24"/>
        </w:rPr>
        <w:t>.</w:t>
      </w:r>
      <w:r w:rsidR="002F3A01" w:rsidRPr="004745EC">
        <w:rPr>
          <w:rFonts w:cstheme="minorHAnsi"/>
          <w:sz w:val="24"/>
          <w:szCs w:val="24"/>
        </w:rPr>
        <w:t xml:space="preserve"> </w:t>
      </w:r>
      <w:r w:rsidR="0012317B" w:rsidRPr="004745EC">
        <w:rPr>
          <w:rFonts w:cstheme="minorHAnsi"/>
          <w:sz w:val="24"/>
          <w:szCs w:val="24"/>
        </w:rPr>
        <w:t>The ‘</w:t>
      </w:r>
      <w:r w:rsidR="004C7069">
        <w:rPr>
          <w:rFonts w:cstheme="minorHAnsi"/>
          <w:sz w:val="24"/>
          <w:szCs w:val="24"/>
        </w:rPr>
        <w:t>saltwater</w:t>
      </w:r>
      <w:r w:rsidR="0012317B" w:rsidRPr="004745EC">
        <w:rPr>
          <w:rFonts w:cstheme="minorHAnsi"/>
          <w:sz w:val="24"/>
          <w:szCs w:val="24"/>
        </w:rPr>
        <w:t xml:space="preserve"> colonialism’</w:t>
      </w:r>
      <w:r w:rsidR="000F231B" w:rsidRPr="004745EC">
        <w:rPr>
          <w:rFonts w:cstheme="minorHAnsi"/>
          <w:sz w:val="24"/>
          <w:szCs w:val="24"/>
        </w:rPr>
        <w:t xml:space="preserve"> approach means</w:t>
      </w:r>
      <w:r w:rsidR="000F231B">
        <w:rPr>
          <w:rFonts w:cstheme="minorHAnsi"/>
          <w:sz w:val="24"/>
          <w:szCs w:val="24"/>
        </w:rPr>
        <w:t xml:space="preserve"> that oppression within </w:t>
      </w:r>
      <w:r w:rsidR="004745EC">
        <w:rPr>
          <w:rFonts w:cstheme="minorHAnsi"/>
          <w:sz w:val="24"/>
          <w:szCs w:val="24"/>
        </w:rPr>
        <w:t xml:space="preserve">the </w:t>
      </w:r>
      <w:r w:rsidR="000F231B">
        <w:rPr>
          <w:rFonts w:cstheme="minorHAnsi"/>
          <w:sz w:val="24"/>
          <w:szCs w:val="24"/>
        </w:rPr>
        <w:t>metropolitan territory is not viewed as colonialism and so does not fall within that exception.</w:t>
      </w:r>
      <w:r w:rsidR="004745EC">
        <w:rPr>
          <w:rStyle w:val="FootnoteReference"/>
          <w:rFonts w:cstheme="minorHAnsi"/>
          <w:sz w:val="24"/>
          <w:szCs w:val="24"/>
        </w:rPr>
        <w:footnoteReference w:id="280"/>
      </w:r>
      <w:r w:rsidR="0012317B">
        <w:rPr>
          <w:rFonts w:cstheme="minorHAnsi"/>
          <w:sz w:val="24"/>
          <w:szCs w:val="24"/>
        </w:rPr>
        <w:t xml:space="preserve"> </w:t>
      </w:r>
      <w:r>
        <w:rPr>
          <w:rFonts w:cstheme="minorHAnsi"/>
          <w:sz w:val="24"/>
          <w:szCs w:val="24"/>
        </w:rPr>
        <w:t xml:space="preserve">Accordingly, the first way to claim the external right of self-determination </w:t>
      </w:r>
      <w:r w:rsidR="00821794">
        <w:rPr>
          <w:rFonts w:cstheme="minorHAnsi"/>
          <w:sz w:val="24"/>
          <w:szCs w:val="24"/>
        </w:rPr>
        <w:t xml:space="preserve">is of no avail to </w:t>
      </w:r>
      <w:r w:rsidR="002F3A01" w:rsidRPr="00EC6853">
        <w:rPr>
          <w:rFonts w:cstheme="minorHAnsi"/>
          <w:sz w:val="24"/>
          <w:szCs w:val="24"/>
        </w:rPr>
        <w:t>Abkhazia</w:t>
      </w:r>
      <w:r>
        <w:rPr>
          <w:rFonts w:cstheme="minorHAnsi"/>
          <w:sz w:val="24"/>
          <w:szCs w:val="24"/>
        </w:rPr>
        <w:t xml:space="preserve"> or any other </w:t>
      </w:r>
      <w:r>
        <w:rPr>
          <w:rFonts w:cstheme="minorHAnsi"/>
          <w:i/>
          <w:iCs/>
          <w:sz w:val="24"/>
          <w:szCs w:val="24"/>
        </w:rPr>
        <w:t xml:space="preserve">de facto </w:t>
      </w:r>
      <w:r>
        <w:rPr>
          <w:rFonts w:cstheme="minorHAnsi"/>
          <w:sz w:val="24"/>
          <w:szCs w:val="24"/>
        </w:rPr>
        <w:t>States in the post-Soviet space</w:t>
      </w:r>
      <w:r w:rsidR="002F3A01" w:rsidRPr="00EC6853">
        <w:rPr>
          <w:rFonts w:cstheme="minorHAnsi"/>
          <w:sz w:val="24"/>
          <w:szCs w:val="24"/>
        </w:rPr>
        <w:t>.</w:t>
      </w:r>
      <w:r w:rsidR="004C7069">
        <w:rPr>
          <w:rStyle w:val="FootnoteReference"/>
          <w:rFonts w:cstheme="minorHAnsi"/>
          <w:sz w:val="24"/>
          <w:szCs w:val="24"/>
        </w:rPr>
        <w:footnoteReference w:id="281"/>
      </w:r>
      <w:r w:rsidR="002F3A01" w:rsidRPr="00EC6853">
        <w:rPr>
          <w:rFonts w:cstheme="minorHAnsi"/>
          <w:sz w:val="24"/>
          <w:szCs w:val="24"/>
        </w:rPr>
        <w:t xml:space="preserve"> </w:t>
      </w:r>
    </w:p>
    <w:p w14:paraId="23C83B47" w14:textId="5F7820FB" w:rsidR="007E5435" w:rsidRDefault="002F3A01" w:rsidP="002F3A01">
      <w:pPr>
        <w:spacing w:after="0" w:line="240" w:lineRule="auto"/>
        <w:jc w:val="both"/>
        <w:rPr>
          <w:rFonts w:cstheme="minorHAnsi"/>
          <w:sz w:val="24"/>
          <w:szCs w:val="24"/>
        </w:rPr>
      </w:pPr>
      <w:r w:rsidRPr="00EC6853">
        <w:rPr>
          <w:rFonts w:cstheme="minorHAnsi"/>
          <w:sz w:val="24"/>
          <w:szCs w:val="24"/>
        </w:rPr>
        <w:t xml:space="preserve">The second </w:t>
      </w:r>
      <w:r w:rsidR="00793787">
        <w:rPr>
          <w:rFonts w:cstheme="minorHAnsi"/>
          <w:sz w:val="24"/>
          <w:szCs w:val="24"/>
        </w:rPr>
        <w:t>situation</w:t>
      </w:r>
      <w:r w:rsidRPr="00EC6853">
        <w:rPr>
          <w:rFonts w:cstheme="minorHAnsi"/>
          <w:sz w:val="24"/>
          <w:szCs w:val="24"/>
        </w:rPr>
        <w:t xml:space="preserve"> is to claim alien subjugation. Indeed, ‘self-determination’s commitment to ending alien, imposed rule seems logically consistent with giving full expression to the population’s will in organizing the state.’</w:t>
      </w:r>
      <w:r w:rsidRPr="00EC6853">
        <w:rPr>
          <w:rStyle w:val="FootnoteReference"/>
          <w:rFonts w:cstheme="minorHAnsi"/>
          <w:sz w:val="24"/>
          <w:szCs w:val="24"/>
        </w:rPr>
        <w:footnoteReference w:id="282"/>
      </w:r>
      <w:r w:rsidRPr="00EC6853">
        <w:rPr>
          <w:rFonts w:cstheme="minorHAnsi"/>
          <w:sz w:val="24"/>
          <w:szCs w:val="24"/>
        </w:rPr>
        <w:t xml:space="preserve"> The question inevitably centres on defining ‘alien’ and ‘subjugation,</w:t>
      </w:r>
      <w:r w:rsidRPr="00EC6853">
        <w:rPr>
          <w:rFonts w:cstheme="minorHAnsi"/>
          <w:color w:val="000000"/>
          <w:sz w:val="24"/>
          <w:szCs w:val="24"/>
        </w:rPr>
        <w:t xml:space="preserve"> domination or exploitation’</w:t>
      </w:r>
      <w:r w:rsidRPr="00EC6853">
        <w:rPr>
          <w:rFonts w:cstheme="minorHAnsi"/>
          <w:sz w:val="24"/>
          <w:szCs w:val="24"/>
        </w:rPr>
        <w:t>. Quite often the phrase ‘foreign rule’ also appears in literature. Alien or foreign</w:t>
      </w:r>
      <w:r w:rsidR="000A1FE6">
        <w:rPr>
          <w:rFonts w:cstheme="minorHAnsi"/>
          <w:sz w:val="24"/>
          <w:szCs w:val="24"/>
        </w:rPr>
        <w:t xml:space="preserve"> </w:t>
      </w:r>
      <w:r w:rsidRPr="00EC6853">
        <w:rPr>
          <w:rFonts w:cstheme="minorHAnsi"/>
          <w:sz w:val="24"/>
          <w:szCs w:val="24"/>
        </w:rPr>
        <w:t xml:space="preserve">seems to indicate that </w:t>
      </w:r>
      <w:r w:rsidR="000A1FE6">
        <w:rPr>
          <w:rFonts w:cstheme="minorHAnsi"/>
          <w:sz w:val="24"/>
          <w:szCs w:val="24"/>
        </w:rPr>
        <w:t xml:space="preserve">people are subdued by a group different from theirs; </w:t>
      </w:r>
      <w:r w:rsidR="00CF665A">
        <w:rPr>
          <w:rFonts w:cstheme="minorHAnsi"/>
          <w:sz w:val="24"/>
          <w:szCs w:val="24"/>
        </w:rPr>
        <w:t>nonetheless</w:t>
      </w:r>
      <w:r w:rsidR="000A1FE6">
        <w:rPr>
          <w:rFonts w:cstheme="minorHAnsi"/>
          <w:sz w:val="24"/>
          <w:szCs w:val="24"/>
        </w:rPr>
        <w:t xml:space="preserve">, there is little discussion in academia on the definition of ‘alien’ or ‘foreign’. Most of the discussion centres on the use of force against people and its </w:t>
      </w:r>
      <w:r w:rsidR="000A1FE6">
        <w:rPr>
          <w:rFonts w:cstheme="minorHAnsi"/>
          <w:sz w:val="24"/>
          <w:szCs w:val="24"/>
        </w:rPr>
        <w:lastRenderedPageBreak/>
        <w:t>prohibition under international law.</w:t>
      </w:r>
      <w:r w:rsidR="000A1FE6">
        <w:rPr>
          <w:rStyle w:val="FootnoteReference"/>
          <w:rFonts w:cstheme="minorHAnsi"/>
          <w:sz w:val="24"/>
          <w:szCs w:val="24"/>
        </w:rPr>
        <w:footnoteReference w:id="283"/>
      </w:r>
      <w:r w:rsidR="000A1FE6">
        <w:rPr>
          <w:rFonts w:cstheme="minorHAnsi"/>
          <w:sz w:val="24"/>
          <w:szCs w:val="24"/>
        </w:rPr>
        <w:t xml:space="preserve"> </w:t>
      </w:r>
      <w:r w:rsidRPr="00EC6853">
        <w:rPr>
          <w:rFonts w:cstheme="minorHAnsi"/>
          <w:sz w:val="24"/>
          <w:szCs w:val="24"/>
        </w:rPr>
        <w:t xml:space="preserve">Could </w:t>
      </w:r>
      <w:r w:rsidR="00AF6805">
        <w:rPr>
          <w:rFonts w:cstheme="minorHAnsi"/>
          <w:sz w:val="24"/>
          <w:szCs w:val="24"/>
        </w:rPr>
        <w:t>nonetheless the concept of ‘</w:t>
      </w:r>
      <w:r w:rsidRPr="00EC6853">
        <w:rPr>
          <w:rFonts w:cstheme="minorHAnsi"/>
          <w:sz w:val="24"/>
          <w:szCs w:val="24"/>
        </w:rPr>
        <w:t>alien rule</w:t>
      </w:r>
      <w:r w:rsidR="00AF6805">
        <w:rPr>
          <w:rFonts w:cstheme="minorHAnsi"/>
          <w:sz w:val="24"/>
          <w:szCs w:val="24"/>
        </w:rPr>
        <w:t>’ cover</w:t>
      </w:r>
      <w:r w:rsidRPr="00EC6853">
        <w:rPr>
          <w:rFonts w:cstheme="minorHAnsi"/>
          <w:sz w:val="24"/>
          <w:szCs w:val="24"/>
        </w:rPr>
        <w:t xml:space="preserve"> not only </w:t>
      </w:r>
      <w:r w:rsidR="00793787">
        <w:rPr>
          <w:rFonts w:cstheme="minorHAnsi"/>
          <w:sz w:val="24"/>
          <w:szCs w:val="24"/>
        </w:rPr>
        <w:t xml:space="preserve">the </w:t>
      </w:r>
      <w:r w:rsidRPr="00EC6853">
        <w:rPr>
          <w:rFonts w:cstheme="minorHAnsi"/>
          <w:sz w:val="24"/>
          <w:szCs w:val="24"/>
        </w:rPr>
        <w:t xml:space="preserve">military but also </w:t>
      </w:r>
      <w:r w:rsidR="00177D5D">
        <w:rPr>
          <w:rFonts w:cstheme="minorHAnsi"/>
          <w:sz w:val="24"/>
          <w:szCs w:val="24"/>
        </w:rPr>
        <w:t xml:space="preserve">the </w:t>
      </w:r>
      <w:r w:rsidRPr="00EC6853">
        <w:rPr>
          <w:rFonts w:cstheme="minorHAnsi"/>
          <w:sz w:val="24"/>
          <w:szCs w:val="24"/>
        </w:rPr>
        <w:t xml:space="preserve">economic and cultural imposition of norms? </w:t>
      </w:r>
      <w:r w:rsidR="00AF6805">
        <w:rPr>
          <w:rFonts w:cstheme="minorHAnsi"/>
          <w:sz w:val="24"/>
          <w:szCs w:val="24"/>
        </w:rPr>
        <w:t xml:space="preserve">It might be possible to </w:t>
      </w:r>
      <w:r w:rsidR="000A1FE6">
        <w:rPr>
          <w:rFonts w:cstheme="minorHAnsi"/>
          <w:sz w:val="24"/>
          <w:szCs w:val="24"/>
        </w:rPr>
        <w:t>draw this conclusion</w:t>
      </w:r>
      <w:r w:rsidR="00AF6805">
        <w:rPr>
          <w:rFonts w:cstheme="minorHAnsi"/>
          <w:sz w:val="24"/>
          <w:szCs w:val="24"/>
        </w:rPr>
        <w:t xml:space="preserve"> </w:t>
      </w:r>
      <w:r w:rsidRPr="00EC6853">
        <w:rPr>
          <w:rFonts w:cstheme="minorHAnsi"/>
          <w:sz w:val="24"/>
          <w:szCs w:val="24"/>
        </w:rPr>
        <w:t xml:space="preserve">because </w:t>
      </w:r>
      <w:r w:rsidR="00AF6805">
        <w:rPr>
          <w:rFonts w:cstheme="minorHAnsi"/>
          <w:sz w:val="24"/>
          <w:szCs w:val="24"/>
        </w:rPr>
        <w:t xml:space="preserve">the </w:t>
      </w:r>
      <w:r w:rsidRPr="00EC6853">
        <w:rPr>
          <w:rFonts w:cstheme="minorHAnsi"/>
          <w:sz w:val="24"/>
          <w:szCs w:val="24"/>
        </w:rPr>
        <w:t xml:space="preserve">Friendly Relations Declaration </w:t>
      </w:r>
      <w:r w:rsidR="00AF6805">
        <w:rPr>
          <w:rFonts w:cstheme="minorHAnsi"/>
          <w:sz w:val="24"/>
          <w:szCs w:val="24"/>
        </w:rPr>
        <w:t>spells out that</w:t>
      </w:r>
      <w:r w:rsidRPr="00EC6853">
        <w:rPr>
          <w:rFonts w:cstheme="minorHAnsi"/>
          <w:sz w:val="24"/>
          <w:szCs w:val="24"/>
        </w:rPr>
        <w:t xml:space="preserve"> ‘</w:t>
      </w:r>
      <w:r w:rsidR="00AF6805">
        <w:rPr>
          <w:rFonts w:cstheme="minorHAnsi"/>
          <w:sz w:val="24"/>
          <w:szCs w:val="24"/>
        </w:rPr>
        <w:t>[e]</w:t>
      </w:r>
      <w:r w:rsidRPr="00EC6853">
        <w:rPr>
          <w:rFonts w:cstheme="minorHAnsi"/>
          <w:sz w:val="24"/>
          <w:szCs w:val="24"/>
        </w:rPr>
        <w:t>very State has an inalienable right to choose its political, economic, social, and cultural systems’</w:t>
      </w:r>
      <w:r w:rsidR="00AF6805">
        <w:rPr>
          <w:rFonts w:cstheme="minorHAnsi"/>
          <w:sz w:val="24"/>
          <w:szCs w:val="24"/>
        </w:rPr>
        <w:t>.</w:t>
      </w:r>
      <w:r w:rsidR="00AF6805">
        <w:rPr>
          <w:rStyle w:val="FootnoteReference"/>
          <w:rFonts w:cstheme="minorHAnsi"/>
          <w:sz w:val="24"/>
          <w:szCs w:val="24"/>
        </w:rPr>
        <w:footnoteReference w:id="284"/>
      </w:r>
    </w:p>
    <w:p w14:paraId="65E0D747" w14:textId="6C3DB8C6" w:rsidR="002C346B" w:rsidRDefault="00AF6805" w:rsidP="002F3A01">
      <w:pPr>
        <w:spacing w:after="0" w:line="240" w:lineRule="auto"/>
        <w:jc w:val="both"/>
        <w:rPr>
          <w:rFonts w:cstheme="minorHAnsi"/>
          <w:sz w:val="24"/>
          <w:szCs w:val="24"/>
        </w:rPr>
      </w:pPr>
      <w:r w:rsidRPr="00EC6853">
        <w:rPr>
          <w:rFonts w:cstheme="minorHAnsi"/>
          <w:sz w:val="24"/>
          <w:szCs w:val="24"/>
        </w:rPr>
        <w:t>‘All of the separatist authorities insist on an inherent moral entitlement to self-determination in the face of “alien” and “imposed” rule.’</w:t>
      </w:r>
      <w:r w:rsidRPr="00EC6853">
        <w:rPr>
          <w:rStyle w:val="FootnoteReference"/>
          <w:rFonts w:cstheme="minorHAnsi"/>
          <w:sz w:val="24"/>
          <w:szCs w:val="24"/>
        </w:rPr>
        <w:footnoteReference w:id="285"/>
      </w:r>
      <w:r w:rsidRPr="00EC6853">
        <w:rPr>
          <w:rFonts w:cstheme="minorHAnsi"/>
          <w:sz w:val="24"/>
          <w:szCs w:val="24"/>
        </w:rPr>
        <w:t xml:space="preserve"> </w:t>
      </w:r>
      <w:r w:rsidR="002F3A01" w:rsidRPr="00EC6853">
        <w:rPr>
          <w:rFonts w:cstheme="minorHAnsi"/>
          <w:sz w:val="24"/>
          <w:szCs w:val="24"/>
        </w:rPr>
        <w:t xml:space="preserve">Most of these entities </w:t>
      </w:r>
      <w:r w:rsidR="00DD5659">
        <w:rPr>
          <w:rFonts w:cstheme="minorHAnsi"/>
          <w:sz w:val="24"/>
          <w:szCs w:val="24"/>
        </w:rPr>
        <w:t xml:space="preserve">were either independent at some time in history or </w:t>
      </w:r>
      <w:r w:rsidR="002F3A01" w:rsidRPr="00EC6853">
        <w:rPr>
          <w:rFonts w:cstheme="minorHAnsi"/>
          <w:sz w:val="24"/>
          <w:szCs w:val="24"/>
        </w:rPr>
        <w:t xml:space="preserve">belonged for a short(er) time to </w:t>
      </w:r>
      <w:r w:rsidR="00873E7D">
        <w:rPr>
          <w:rFonts w:cstheme="minorHAnsi"/>
          <w:sz w:val="24"/>
          <w:szCs w:val="24"/>
        </w:rPr>
        <w:t>(an)</w:t>
      </w:r>
      <w:r w:rsidR="002F3A01" w:rsidRPr="00EC6853">
        <w:rPr>
          <w:rFonts w:cstheme="minorHAnsi"/>
          <w:sz w:val="24"/>
          <w:szCs w:val="24"/>
        </w:rPr>
        <w:t>other State</w:t>
      </w:r>
      <w:r w:rsidR="00DD5659">
        <w:rPr>
          <w:rFonts w:cstheme="minorHAnsi"/>
          <w:sz w:val="24"/>
          <w:szCs w:val="24"/>
        </w:rPr>
        <w:t xml:space="preserve"> and then were incorporated into the State from which they are seceding</w:t>
      </w:r>
      <w:r>
        <w:rPr>
          <w:rFonts w:cstheme="minorHAnsi"/>
          <w:sz w:val="24"/>
          <w:szCs w:val="24"/>
        </w:rPr>
        <w:t xml:space="preserve">. </w:t>
      </w:r>
      <w:r w:rsidR="004C335E">
        <w:rPr>
          <w:rFonts w:cstheme="minorHAnsi"/>
          <w:sz w:val="24"/>
          <w:szCs w:val="24"/>
        </w:rPr>
        <w:t>Abkhazia states in</w:t>
      </w:r>
      <w:r w:rsidR="004C335E" w:rsidRPr="005E233D">
        <w:rPr>
          <w:rFonts w:cstheme="minorHAnsi"/>
          <w:sz w:val="24"/>
          <w:szCs w:val="24"/>
        </w:rPr>
        <w:t xml:space="preserve"> its 1999 Act of independence</w:t>
      </w:r>
      <w:r w:rsidR="004C335E">
        <w:rPr>
          <w:rFonts w:cstheme="minorHAnsi"/>
          <w:sz w:val="24"/>
          <w:szCs w:val="24"/>
        </w:rPr>
        <w:t xml:space="preserve"> </w:t>
      </w:r>
      <w:r w:rsidR="004C335E" w:rsidRPr="005E233D">
        <w:rPr>
          <w:rFonts w:cstheme="minorHAnsi"/>
          <w:sz w:val="24"/>
          <w:szCs w:val="24"/>
        </w:rPr>
        <w:t>that ‘</w:t>
      </w:r>
      <w:r w:rsidR="004C335E" w:rsidRPr="005E233D">
        <w:rPr>
          <w:rFonts w:cstheme="minorHAnsi"/>
          <w:sz w:val="24"/>
          <w:szCs w:val="24"/>
          <w:shd w:val="clear" w:color="auto" w:fill="FFFFFF"/>
        </w:rPr>
        <w:t>Abkhazian Statehood stretches over 12 centuries of history. For centuries the people of Abkhazia have had to struggle to preserve their independence.’</w:t>
      </w:r>
      <w:r w:rsidR="004C335E">
        <w:rPr>
          <w:rStyle w:val="FootnoteReference"/>
          <w:rFonts w:cstheme="minorHAnsi"/>
          <w:sz w:val="24"/>
          <w:szCs w:val="24"/>
          <w:shd w:val="clear" w:color="auto" w:fill="FFFFFF"/>
        </w:rPr>
        <w:footnoteReference w:id="286"/>
      </w:r>
      <w:r w:rsidR="004C335E" w:rsidRPr="005E233D">
        <w:rPr>
          <w:rFonts w:cstheme="minorHAnsi"/>
          <w:sz w:val="24"/>
          <w:szCs w:val="24"/>
          <w:shd w:val="clear" w:color="auto" w:fill="FFFFFF"/>
        </w:rPr>
        <w:t> </w:t>
      </w:r>
      <w:r w:rsidR="00DD5659" w:rsidRPr="00EC6853">
        <w:rPr>
          <w:rFonts w:cstheme="minorHAnsi"/>
          <w:sz w:val="24"/>
          <w:szCs w:val="24"/>
        </w:rPr>
        <w:t>Abkhazia had been an independent Soviet Republic recognised on 31 March 1921,</w:t>
      </w:r>
      <w:r w:rsidR="00DD5659">
        <w:rPr>
          <w:rFonts w:cstheme="minorHAnsi"/>
          <w:sz w:val="24"/>
          <w:szCs w:val="24"/>
        </w:rPr>
        <w:t xml:space="preserve"> but it was quickly </w:t>
      </w:r>
      <w:r w:rsidR="00DD5659" w:rsidRPr="00EC6853">
        <w:rPr>
          <w:rFonts w:cstheme="minorHAnsi"/>
          <w:sz w:val="24"/>
          <w:szCs w:val="24"/>
        </w:rPr>
        <w:t>forced to conclude a confederative union treaty with Georgia. In 1931</w:t>
      </w:r>
      <w:r w:rsidR="00DD769D">
        <w:rPr>
          <w:rFonts w:cstheme="minorHAnsi"/>
          <w:sz w:val="24"/>
          <w:szCs w:val="24"/>
        </w:rPr>
        <w:t>,</w:t>
      </w:r>
      <w:r w:rsidR="00DD5659" w:rsidRPr="00EC6853">
        <w:rPr>
          <w:rFonts w:cstheme="minorHAnsi"/>
          <w:sz w:val="24"/>
          <w:szCs w:val="24"/>
        </w:rPr>
        <w:t xml:space="preserve"> it was incorporated</w:t>
      </w:r>
      <w:r w:rsidR="00DD5659">
        <w:rPr>
          <w:rFonts w:cstheme="minorHAnsi"/>
          <w:sz w:val="24"/>
          <w:szCs w:val="24"/>
        </w:rPr>
        <w:t xml:space="preserve"> without its express consent</w:t>
      </w:r>
      <w:r w:rsidR="00DD5659" w:rsidRPr="00EC6853">
        <w:rPr>
          <w:rFonts w:cstheme="minorHAnsi"/>
          <w:sz w:val="24"/>
          <w:szCs w:val="24"/>
        </w:rPr>
        <w:t xml:space="preserve"> into the Soviet Republic of Georgia which granted </w:t>
      </w:r>
      <w:r w:rsidR="00DD5659" w:rsidRPr="005E233D">
        <w:rPr>
          <w:rFonts w:cstheme="minorHAnsi"/>
          <w:sz w:val="24"/>
          <w:szCs w:val="24"/>
        </w:rPr>
        <w:t xml:space="preserve">it autonomous status. </w:t>
      </w:r>
    </w:p>
    <w:p w14:paraId="58988151" w14:textId="61A8B315" w:rsidR="002C346B" w:rsidRDefault="00DD5659" w:rsidP="002F3A01">
      <w:pPr>
        <w:spacing w:after="0" w:line="240" w:lineRule="auto"/>
        <w:jc w:val="both"/>
        <w:rPr>
          <w:rFonts w:cstheme="minorHAnsi"/>
          <w:sz w:val="24"/>
          <w:szCs w:val="24"/>
        </w:rPr>
      </w:pPr>
      <w:r w:rsidRPr="005E233D">
        <w:rPr>
          <w:rFonts w:cstheme="minorHAnsi"/>
          <w:sz w:val="24"/>
          <w:szCs w:val="24"/>
        </w:rPr>
        <w:t>South Ossetia, much like Abkhazia, has had a long history of self-rule</w:t>
      </w:r>
      <w:r w:rsidR="003844CA">
        <w:rPr>
          <w:rFonts w:cstheme="minorHAnsi"/>
          <w:sz w:val="24"/>
          <w:szCs w:val="24"/>
        </w:rPr>
        <w:t>. However</w:t>
      </w:r>
      <w:r w:rsidRPr="005E233D">
        <w:rPr>
          <w:rFonts w:cstheme="minorHAnsi"/>
          <w:sz w:val="24"/>
          <w:szCs w:val="24"/>
        </w:rPr>
        <w:t xml:space="preserve">, unlike most Caucasian </w:t>
      </w:r>
      <w:r>
        <w:rPr>
          <w:rFonts w:cstheme="minorHAnsi"/>
          <w:sz w:val="24"/>
          <w:szCs w:val="24"/>
        </w:rPr>
        <w:t>people,</w:t>
      </w:r>
      <w:r w:rsidR="003844CA">
        <w:rPr>
          <w:rFonts w:cstheme="minorHAnsi"/>
          <w:sz w:val="24"/>
          <w:szCs w:val="24"/>
        </w:rPr>
        <w:t xml:space="preserve"> it</w:t>
      </w:r>
      <w:r>
        <w:rPr>
          <w:rFonts w:cstheme="minorHAnsi"/>
          <w:sz w:val="24"/>
          <w:szCs w:val="24"/>
        </w:rPr>
        <w:t xml:space="preserve"> sided with the Bolsheviks against Georgia in the early 1920s</w:t>
      </w:r>
      <w:r w:rsidR="003844CA">
        <w:rPr>
          <w:rFonts w:cstheme="minorHAnsi"/>
          <w:sz w:val="24"/>
          <w:szCs w:val="24"/>
        </w:rPr>
        <w:t xml:space="preserve"> and was thus given autonomous status by Moscow in 1922</w:t>
      </w:r>
      <w:r>
        <w:rPr>
          <w:rFonts w:cstheme="minorHAnsi"/>
          <w:sz w:val="24"/>
          <w:szCs w:val="24"/>
        </w:rPr>
        <w:t>.</w:t>
      </w:r>
      <w:r w:rsidR="003844CA">
        <w:rPr>
          <w:rStyle w:val="FootnoteReference"/>
          <w:rFonts w:cstheme="minorHAnsi"/>
          <w:sz w:val="24"/>
          <w:szCs w:val="24"/>
        </w:rPr>
        <w:footnoteReference w:id="287"/>
      </w:r>
      <w:r>
        <w:rPr>
          <w:rFonts w:cstheme="minorHAnsi"/>
          <w:sz w:val="24"/>
          <w:szCs w:val="24"/>
        </w:rPr>
        <w:t xml:space="preserve"> </w:t>
      </w:r>
      <w:r w:rsidR="003844CA">
        <w:rPr>
          <w:rFonts w:cstheme="minorHAnsi"/>
          <w:sz w:val="24"/>
          <w:szCs w:val="24"/>
        </w:rPr>
        <w:t>Indeed, f</w:t>
      </w:r>
      <w:r>
        <w:rPr>
          <w:rFonts w:cstheme="minorHAnsi"/>
          <w:sz w:val="24"/>
          <w:szCs w:val="24"/>
        </w:rPr>
        <w:t xml:space="preserve">ollowing the creation in 1921 of the Georgian Socialist Soviet Republic and its subsequent incorporation in the Soviet Union, the South Ossetian Autonomous </w:t>
      </w:r>
      <w:r w:rsidR="00254D98">
        <w:rPr>
          <w:rFonts w:cstheme="minorHAnsi"/>
          <w:sz w:val="24"/>
          <w:szCs w:val="24"/>
        </w:rPr>
        <w:t>region</w:t>
      </w:r>
      <w:r w:rsidR="003844CA">
        <w:rPr>
          <w:rFonts w:cstheme="minorHAnsi"/>
          <w:sz w:val="24"/>
          <w:szCs w:val="24"/>
        </w:rPr>
        <w:t xml:space="preserve"> </w:t>
      </w:r>
      <w:r>
        <w:rPr>
          <w:rFonts w:cstheme="minorHAnsi"/>
          <w:sz w:val="24"/>
          <w:szCs w:val="24"/>
        </w:rPr>
        <w:t xml:space="preserve">became part of Georgia. </w:t>
      </w:r>
    </w:p>
    <w:p w14:paraId="133100A6" w14:textId="77777777" w:rsidR="002C346B" w:rsidRDefault="00943C18" w:rsidP="002F3A01">
      <w:pPr>
        <w:spacing w:after="0" w:line="240" w:lineRule="auto"/>
        <w:jc w:val="both"/>
        <w:rPr>
          <w:rFonts w:cstheme="minorHAnsi"/>
          <w:sz w:val="24"/>
          <w:szCs w:val="24"/>
        </w:rPr>
      </w:pPr>
      <w:r>
        <w:rPr>
          <w:rFonts w:cstheme="minorHAnsi"/>
          <w:sz w:val="24"/>
          <w:szCs w:val="24"/>
        </w:rPr>
        <w:t xml:space="preserve">The history of </w:t>
      </w:r>
      <w:r w:rsidRPr="00D8618B">
        <w:rPr>
          <w:rFonts w:cstheme="minorHAnsi"/>
          <w:sz w:val="24"/>
          <w:szCs w:val="24"/>
        </w:rPr>
        <w:t>Transnistria</w:t>
      </w:r>
      <w:r>
        <w:rPr>
          <w:rFonts w:cstheme="minorHAnsi"/>
          <w:sz w:val="24"/>
          <w:szCs w:val="24"/>
        </w:rPr>
        <w:t xml:space="preserve"> is not an easy one either. Between 1924 and 1940, the </w:t>
      </w:r>
      <w:r w:rsidRPr="00D8618B">
        <w:rPr>
          <w:color w:val="000000"/>
          <w:sz w:val="24"/>
          <w:szCs w:val="24"/>
          <w:shd w:val="clear" w:color="auto" w:fill="FFFFFF"/>
        </w:rPr>
        <w:t>Moldavian Autonomous Soviet Socialist Republic</w:t>
      </w:r>
      <w:r>
        <w:rPr>
          <w:color w:val="000000"/>
          <w:sz w:val="24"/>
          <w:szCs w:val="24"/>
          <w:shd w:val="clear" w:color="auto" w:fill="FFFFFF"/>
        </w:rPr>
        <w:t xml:space="preserve"> was an autonomous republic of the Ukrainian Soviet Socialist Republic which included Transnistria. After WWII, the </w:t>
      </w:r>
      <w:r w:rsidRPr="00D8618B">
        <w:rPr>
          <w:color w:val="000000"/>
          <w:sz w:val="24"/>
          <w:szCs w:val="24"/>
          <w:shd w:val="clear" w:color="auto" w:fill="FFFFFF"/>
        </w:rPr>
        <w:t xml:space="preserve">‘Moldavian Soviet Socialist Republic’ with most of Bessarabia and </w:t>
      </w:r>
      <w:r>
        <w:rPr>
          <w:color w:val="000000"/>
          <w:sz w:val="24"/>
          <w:szCs w:val="24"/>
          <w:shd w:val="clear" w:color="auto" w:fill="FFFFFF"/>
        </w:rPr>
        <w:t xml:space="preserve">what </w:t>
      </w:r>
      <w:r w:rsidRPr="00D8618B">
        <w:rPr>
          <w:color w:val="000000"/>
          <w:sz w:val="24"/>
          <w:szCs w:val="24"/>
          <w:shd w:val="clear" w:color="auto" w:fill="FFFFFF"/>
        </w:rPr>
        <w:t>is now Transnistria</w:t>
      </w:r>
      <w:r>
        <w:rPr>
          <w:color w:val="000000"/>
          <w:sz w:val="24"/>
          <w:szCs w:val="24"/>
          <w:shd w:val="clear" w:color="auto" w:fill="FFFFFF"/>
        </w:rPr>
        <w:t xml:space="preserve"> was created.</w:t>
      </w:r>
      <w:r w:rsidRPr="00D8618B">
        <w:rPr>
          <w:rStyle w:val="FootnoteReference"/>
          <w:color w:val="000000"/>
          <w:sz w:val="24"/>
          <w:szCs w:val="24"/>
          <w:shd w:val="clear" w:color="auto" w:fill="FFFFFF"/>
        </w:rPr>
        <w:footnoteReference w:id="288"/>
      </w:r>
      <w:r>
        <w:rPr>
          <w:color w:val="000000"/>
          <w:sz w:val="24"/>
          <w:szCs w:val="24"/>
          <w:shd w:val="clear" w:color="auto" w:fill="FFFFFF"/>
        </w:rPr>
        <w:t xml:space="preserve"> Accordingly, </w:t>
      </w:r>
      <w:r w:rsidR="00AF6805" w:rsidRPr="00103CE7">
        <w:rPr>
          <w:rFonts w:cstheme="minorHAnsi"/>
          <w:sz w:val="24"/>
          <w:szCs w:val="24"/>
        </w:rPr>
        <w:t>Transnistria</w:t>
      </w:r>
      <w:r w:rsidR="00873E7D" w:rsidRPr="00103CE7">
        <w:rPr>
          <w:rFonts w:cstheme="minorHAnsi"/>
          <w:sz w:val="24"/>
          <w:szCs w:val="24"/>
        </w:rPr>
        <w:t xml:space="preserve"> </w:t>
      </w:r>
      <w:r w:rsidR="00E35E7D">
        <w:rPr>
          <w:rFonts w:cstheme="minorHAnsi"/>
          <w:sz w:val="24"/>
          <w:szCs w:val="24"/>
        </w:rPr>
        <w:t>claimed</w:t>
      </w:r>
      <w:r w:rsidR="00873E7D">
        <w:rPr>
          <w:rFonts w:cstheme="minorHAnsi"/>
          <w:sz w:val="24"/>
          <w:szCs w:val="24"/>
        </w:rPr>
        <w:t xml:space="preserve"> that although it was part of the Moldavian Soviet Republic it had not been part of Romania before the Second World War.</w:t>
      </w:r>
      <w:r w:rsidR="00873E7D">
        <w:rPr>
          <w:rStyle w:val="FootnoteReference"/>
          <w:rFonts w:cstheme="minorHAnsi"/>
          <w:sz w:val="24"/>
          <w:szCs w:val="24"/>
        </w:rPr>
        <w:footnoteReference w:id="289"/>
      </w:r>
      <w:r w:rsidR="00873E7D">
        <w:rPr>
          <w:rFonts w:cstheme="minorHAnsi"/>
          <w:sz w:val="24"/>
          <w:szCs w:val="24"/>
        </w:rPr>
        <w:t xml:space="preserve"> </w:t>
      </w:r>
    </w:p>
    <w:p w14:paraId="4A3EAFC7" w14:textId="6E1A581D" w:rsidR="002C346B" w:rsidRDefault="00943C18" w:rsidP="002F3A01">
      <w:pPr>
        <w:spacing w:after="0" w:line="240" w:lineRule="auto"/>
        <w:jc w:val="both"/>
        <w:rPr>
          <w:rFonts w:cstheme="minorHAnsi"/>
          <w:sz w:val="24"/>
          <w:szCs w:val="24"/>
        </w:rPr>
      </w:pPr>
      <w:r>
        <w:rPr>
          <w:rFonts w:cstheme="minorHAnsi"/>
          <w:sz w:val="24"/>
          <w:szCs w:val="24"/>
        </w:rPr>
        <w:t xml:space="preserve">Nagorno-Karabakh’s history is even more complicated. It was originally part of the Transcaucasian Democratic Federative Republic which dissolved into Armenia, </w:t>
      </w:r>
      <w:r w:rsidR="008F2EDE">
        <w:rPr>
          <w:rFonts w:cstheme="minorHAnsi"/>
          <w:sz w:val="24"/>
          <w:szCs w:val="24"/>
        </w:rPr>
        <w:t>Azerbaijan,</w:t>
      </w:r>
      <w:r>
        <w:rPr>
          <w:rFonts w:cstheme="minorHAnsi"/>
          <w:sz w:val="24"/>
          <w:szCs w:val="24"/>
        </w:rPr>
        <w:t xml:space="preserve"> and Georgia. Several wars pitted Armenia against Azerbaijan over </w:t>
      </w:r>
      <w:r w:rsidR="005E233D">
        <w:rPr>
          <w:rFonts w:cstheme="minorHAnsi"/>
          <w:sz w:val="24"/>
          <w:szCs w:val="24"/>
        </w:rPr>
        <w:t>Nagorno-Karabakh</w:t>
      </w:r>
      <w:r w:rsidR="000C6975">
        <w:rPr>
          <w:rFonts w:cstheme="minorHAnsi"/>
          <w:sz w:val="24"/>
          <w:szCs w:val="24"/>
        </w:rPr>
        <w:t xml:space="preserve"> between 1918 and 1920 until, following the defeat of the Ottoman Empire, the British provisionally gave Nagorno-Karabakh to Azerbaijan</w:t>
      </w:r>
      <w:r w:rsidR="008B414F">
        <w:rPr>
          <w:rFonts w:cstheme="minorHAnsi"/>
          <w:sz w:val="24"/>
          <w:szCs w:val="24"/>
        </w:rPr>
        <w:t>,</w:t>
      </w:r>
      <w:r w:rsidR="00CA6CDD">
        <w:rPr>
          <w:rStyle w:val="FootnoteReference"/>
          <w:rFonts w:cstheme="minorHAnsi"/>
          <w:sz w:val="24"/>
          <w:szCs w:val="24"/>
        </w:rPr>
        <w:footnoteReference w:id="290"/>
      </w:r>
      <w:r w:rsidR="008B414F">
        <w:rPr>
          <w:rFonts w:cstheme="minorHAnsi"/>
          <w:sz w:val="24"/>
          <w:szCs w:val="24"/>
        </w:rPr>
        <w:t xml:space="preserve"> a deci</w:t>
      </w:r>
      <w:r w:rsidR="00CA6CDD">
        <w:rPr>
          <w:rFonts w:cstheme="minorHAnsi"/>
          <w:sz w:val="24"/>
          <w:szCs w:val="24"/>
        </w:rPr>
        <w:t>sion entrenched by t</w:t>
      </w:r>
      <w:r w:rsidR="008B414F">
        <w:rPr>
          <w:rFonts w:cstheme="minorHAnsi"/>
          <w:sz w:val="24"/>
          <w:szCs w:val="24"/>
        </w:rPr>
        <w:t>he Bolsheviks in 1921</w:t>
      </w:r>
      <w:r w:rsidR="008F2EDE">
        <w:rPr>
          <w:rFonts w:cstheme="minorHAnsi"/>
          <w:sz w:val="24"/>
          <w:szCs w:val="24"/>
        </w:rPr>
        <w:t xml:space="preserve"> </w:t>
      </w:r>
      <w:r w:rsidR="00D27DB9">
        <w:rPr>
          <w:rFonts w:cstheme="minorHAnsi"/>
          <w:sz w:val="24"/>
          <w:szCs w:val="24"/>
        </w:rPr>
        <w:t>following which</w:t>
      </w:r>
      <w:r w:rsidR="008F2EDE">
        <w:rPr>
          <w:rFonts w:cstheme="minorHAnsi"/>
          <w:sz w:val="24"/>
          <w:szCs w:val="24"/>
        </w:rPr>
        <w:t xml:space="preserve"> Nagorno-Karabakh became </w:t>
      </w:r>
      <w:r w:rsidR="00254D98">
        <w:rPr>
          <w:rFonts w:cstheme="minorHAnsi"/>
          <w:sz w:val="24"/>
          <w:szCs w:val="24"/>
        </w:rPr>
        <w:t xml:space="preserve">a region </w:t>
      </w:r>
      <w:r w:rsidR="008F2EDE">
        <w:rPr>
          <w:rFonts w:cstheme="minorHAnsi"/>
          <w:sz w:val="24"/>
          <w:szCs w:val="24"/>
        </w:rPr>
        <w:t>in the Azerbaijan Soviet Socialist Republic</w:t>
      </w:r>
      <w:r w:rsidR="00D27DB9">
        <w:rPr>
          <w:rFonts w:cstheme="minorHAnsi"/>
          <w:sz w:val="24"/>
          <w:szCs w:val="24"/>
        </w:rPr>
        <w:t xml:space="preserve"> in 1923</w:t>
      </w:r>
      <w:r>
        <w:rPr>
          <w:rFonts w:cstheme="minorHAnsi"/>
          <w:sz w:val="24"/>
          <w:szCs w:val="24"/>
        </w:rPr>
        <w:t>.</w:t>
      </w:r>
      <w:r w:rsidR="00D27DB9">
        <w:rPr>
          <w:rStyle w:val="FootnoteReference"/>
          <w:rFonts w:cstheme="minorHAnsi"/>
          <w:sz w:val="24"/>
          <w:szCs w:val="24"/>
        </w:rPr>
        <w:footnoteReference w:id="291"/>
      </w:r>
      <w:r w:rsidR="008F2EDE">
        <w:rPr>
          <w:rFonts w:cstheme="minorHAnsi"/>
          <w:sz w:val="24"/>
          <w:szCs w:val="24"/>
        </w:rPr>
        <w:t xml:space="preserve"> As soon as the Soviet Union </w:t>
      </w:r>
      <w:r w:rsidR="005A22C1">
        <w:rPr>
          <w:rFonts w:cstheme="minorHAnsi"/>
          <w:sz w:val="24"/>
          <w:szCs w:val="24"/>
        </w:rPr>
        <w:t>unveiled</w:t>
      </w:r>
      <w:r w:rsidR="008F2EDE">
        <w:rPr>
          <w:rFonts w:cstheme="minorHAnsi"/>
          <w:sz w:val="24"/>
          <w:szCs w:val="24"/>
        </w:rPr>
        <w:t xml:space="preserve"> </w:t>
      </w:r>
      <w:r w:rsidR="005A22C1">
        <w:rPr>
          <w:rFonts w:cstheme="minorHAnsi"/>
          <w:sz w:val="24"/>
          <w:szCs w:val="24"/>
        </w:rPr>
        <w:t>its</w:t>
      </w:r>
      <w:r w:rsidR="008F2EDE">
        <w:rPr>
          <w:rFonts w:cstheme="minorHAnsi"/>
          <w:sz w:val="24"/>
          <w:szCs w:val="24"/>
        </w:rPr>
        <w:t xml:space="preserve"> weaknesses in the late 1980s the population of Nagorno-Karabakh demanded to be transferred to the Armenian Soviet Socialist Republic.</w:t>
      </w:r>
      <w:r w:rsidR="008C5245">
        <w:rPr>
          <w:rFonts w:cstheme="minorHAnsi"/>
          <w:sz w:val="24"/>
          <w:szCs w:val="24"/>
        </w:rPr>
        <w:t xml:space="preserve"> </w:t>
      </w:r>
    </w:p>
    <w:p w14:paraId="44BA0072" w14:textId="32C62442" w:rsidR="002F3A01" w:rsidRPr="00EC6853" w:rsidRDefault="008C5245" w:rsidP="002F3A01">
      <w:pPr>
        <w:spacing w:after="0" w:line="240" w:lineRule="auto"/>
        <w:jc w:val="both"/>
        <w:rPr>
          <w:rFonts w:cstheme="minorHAnsi"/>
          <w:sz w:val="24"/>
          <w:szCs w:val="24"/>
        </w:rPr>
      </w:pPr>
      <w:r>
        <w:rPr>
          <w:rFonts w:cstheme="minorHAnsi"/>
          <w:sz w:val="24"/>
          <w:szCs w:val="24"/>
        </w:rPr>
        <w:t xml:space="preserve">To some extent, they could claim that they have been under foreign occupation, but the problem ineluctably is the timeframe. As </w:t>
      </w:r>
      <w:proofErr w:type="spellStart"/>
      <w:r w:rsidRPr="00201E83">
        <w:rPr>
          <w:rFonts w:cstheme="minorHAnsi"/>
          <w:sz w:val="24"/>
          <w:szCs w:val="24"/>
        </w:rPr>
        <w:t>Mälksoo</w:t>
      </w:r>
      <w:proofErr w:type="spellEnd"/>
      <w:r>
        <w:rPr>
          <w:rFonts w:cstheme="minorHAnsi"/>
          <w:sz w:val="24"/>
          <w:szCs w:val="24"/>
        </w:rPr>
        <w:t xml:space="preserve"> rightly questions in relation to Transnistria, ‘when borders are drawn in post-imperial spaces, should the baseline be 1991 or, for instance, 1939?’.</w:t>
      </w:r>
      <w:r>
        <w:rPr>
          <w:rStyle w:val="FootnoteReference"/>
          <w:rFonts w:cstheme="minorHAnsi"/>
          <w:sz w:val="24"/>
          <w:szCs w:val="24"/>
        </w:rPr>
        <w:footnoteReference w:id="292"/>
      </w:r>
      <w:r>
        <w:rPr>
          <w:rFonts w:cstheme="minorHAnsi"/>
          <w:sz w:val="24"/>
          <w:szCs w:val="24"/>
        </w:rPr>
        <w:t xml:space="preserve"> For some of these entities, one would need to go as far back as imperial Russia. Where do we </w:t>
      </w:r>
      <w:r w:rsidR="00201E83">
        <w:rPr>
          <w:rFonts w:cstheme="minorHAnsi"/>
          <w:sz w:val="24"/>
          <w:szCs w:val="24"/>
        </w:rPr>
        <w:t>start</w:t>
      </w:r>
      <w:r>
        <w:rPr>
          <w:rFonts w:cstheme="minorHAnsi"/>
          <w:sz w:val="24"/>
          <w:szCs w:val="24"/>
        </w:rPr>
        <w:t xml:space="preserve"> the clock? That being said, when allowing colonised peoples to exercise </w:t>
      </w:r>
      <w:r>
        <w:rPr>
          <w:rFonts w:cstheme="minorHAnsi"/>
          <w:sz w:val="24"/>
          <w:szCs w:val="24"/>
        </w:rPr>
        <w:lastRenderedPageBreak/>
        <w:t>their right of self-determination no date is set either</w:t>
      </w:r>
      <w:r w:rsidR="00C318A4">
        <w:rPr>
          <w:rFonts w:cstheme="minorHAnsi"/>
          <w:sz w:val="24"/>
          <w:szCs w:val="24"/>
        </w:rPr>
        <w:t xml:space="preserve"> but the situation of such peoples has always been deemed different from other groups.</w:t>
      </w:r>
      <w:r w:rsidR="00BE6050">
        <w:rPr>
          <w:rStyle w:val="FootnoteReference"/>
          <w:rFonts w:cstheme="minorHAnsi"/>
          <w:sz w:val="24"/>
          <w:szCs w:val="24"/>
        </w:rPr>
        <w:footnoteReference w:id="293"/>
      </w:r>
      <w:r w:rsidR="00C318A4">
        <w:rPr>
          <w:rFonts w:cstheme="minorHAnsi"/>
          <w:sz w:val="24"/>
          <w:szCs w:val="24"/>
        </w:rPr>
        <w:t xml:space="preserve"> </w:t>
      </w:r>
      <w:r w:rsidR="00793787">
        <w:rPr>
          <w:rFonts w:cstheme="minorHAnsi"/>
          <w:sz w:val="24"/>
          <w:szCs w:val="24"/>
        </w:rPr>
        <w:t xml:space="preserve">Given the legal uncertainty as to the definition of ‘alien’ or ‘foreign’ rule concept, it </w:t>
      </w:r>
      <w:r w:rsidR="002C346B">
        <w:rPr>
          <w:rFonts w:cstheme="minorHAnsi"/>
          <w:sz w:val="24"/>
          <w:szCs w:val="24"/>
        </w:rPr>
        <w:t xml:space="preserve">could be contended that the </w:t>
      </w:r>
      <w:r w:rsidR="002C346B">
        <w:rPr>
          <w:rFonts w:cstheme="minorHAnsi"/>
          <w:i/>
          <w:iCs/>
          <w:sz w:val="24"/>
          <w:szCs w:val="24"/>
        </w:rPr>
        <w:t xml:space="preserve">de facto </w:t>
      </w:r>
      <w:r w:rsidR="002C346B">
        <w:rPr>
          <w:rFonts w:cstheme="minorHAnsi"/>
          <w:sz w:val="24"/>
          <w:szCs w:val="24"/>
        </w:rPr>
        <w:t xml:space="preserve">States have such a claim, albeit against Russia and </w:t>
      </w:r>
      <w:r w:rsidR="00177D5D">
        <w:rPr>
          <w:rFonts w:cstheme="minorHAnsi"/>
          <w:sz w:val="24"/>
          <w:szCs w:val="24"/>
        </w:rPr>
        <w:t xml:space="preserve">the </w:t>
      </w:r>
      <w:r w:rsidR="002C346B">
        <w:rPr>
          <w:rFonts w:cstheme="minorHAnsi"/>
          <w:sz w:val="24"/>
          <w:szCs w:val="24"/>
        </w:rPr>
        <w:t>Soviet Union but not against their parent State (i.e., Georgia, Moldova and Azerbaijan).</w:t>
      </w:r>
      <w:r w:rsidR="00793787">
        <w:rPr>
          <w:rFonts w:cstheme="minorHAnsi"/>
          <w:sz w:val="24"/>
          <w:szCs w:val="24"/>
        </w:rPr>
        <w:t xml:space="preserve"> </w:t>
      </w:r>
    </w:p>
    <w:p w14:paraId="14C0BC20" w14:textId="152289C7" w:rsidR="005D5AEB" w:rsidRDefault="00112E83" w:rsidP="0054688F">
      <w:pPr>
        <w:spacing w:after="0" w:line="240" w:lineRule="auto"/>
        <w:jc w:val="both"/>
        <w:rPr>
          <w:rFonts w:cstheme="minorHAnsi"/>
          <w:sz w:val="24"/>
          <w:szCs w:val="24"/>
        </w:rPr>
      </w:pPr>
      <w:r>
        <w:rPr>
          <w:rFonts w:cstheme="minorHAnsi"/>
          <w:sz w:val="24"/>
          <w:szCs w:val="24"/>
        </w:rPr>
        <w:t xml:space="preserve">The third </w:t>
      </w:r>
      <w:r w:rsidR="00793787">
        <w:rPr>
          <w:rFonts w:cstheme="minorHAnsi"/>
          <w:sz w:val="24"/>
          <w:szCs w:val="24"/>
        </w:rPr>
        <w:t>situation</w:t>
      </w:r>
      <w:r w:rsidR="00C318A4">
        <w:rPr>
          <w:rFonts w:cstheme="minorHAnsi"/>
          <w:sz w:val="24"/>
          <w:szCs w:val="24"/>
        </w:rPr>
        <w:t xml:space="preserve"> mentioned in the </w:t>
      </w:r>
      <w:r w:rsidR="00C318A4" w:rsidRPr="00254D98">
        <w:rPr>
          <w:rFonts w:cstheme="minorHAnsi"/>
          <w:i/>
          <w:sz w:val="24"/>
          <w:szCs w:val="24"/>
        </w:rPr>
        <w:t>Re Secession of Quebec</w:t>
      </w:r>
      <w:r w:rsidR="00C318A4">
        <w:rPr>
          <w:rFonts w:cstheme="minorHAnsi"/>
          <w:sz w:val="24"/>
          <w:szCs w:val="24"/>
        </w:rPr>
        <w:t xml:space="preserve"> </w:t>
      </w:r>
      <w:r w:rsidR="00434F9A" w:rsidRPr="00434F9A">
        <w:rPr>
          <w:rFonts w:cstheme="minorHAnsi"/>
          <w:i/>
          <w:iCs/>
          <w:sz w:val="24"/>
          <w:szCs w:val="24"/>
        </w:rPr>
        <w:t>C</w:t>
      </w:r>
      <w:r w:rsidR="00C318A4" w:rsidRPr="00434F9A">
        <w:rPr>
          <w:rFonts w:cstheme="minorHAnsi"/>
          <w:i/>
          <w:iCs/>
          <w:sz w:val="24"/>
          <w:szCs w:val="24"/>
        </w:rPr>
        <w:t>ase</w:t>
      </w:r>
      <w:r>
        <w:rPr>
          <w:rFonts w:cstheme="minorHAnsi"/>
          <w:sz w:val="24"/>
          <w:szCs w:val="24"/>
        </w:rPr>
        <w:t xml:space="preserve"> also requires investigation. </w:t>
      </w:r>
      <w:r w:rsidR="006F74E5">
        <w:rPr>
          <w:rFonts w:cstheme="minorHAnsi"/>
          <w:color w:val="000000"/>
          <w:sz w:val="24"/>
          <w:szCs w:val="24"/>
          <w:shd w:val="clear" w:color="auto" w:fill="FFFFFF"/>
        </w:rPr>
        <w:t xml:space="preserve">It </w:t>
      </w:r>
      <w:r w:rsidR="005D5AEB">
        <w:rPr>
          <w:rFonts w:cstheme="minorHAnsi"/>
          <w:color w:val="000000"/>
          <w:sz w:val="24"/>
          <w:szCs w:val="24"/>
          <w:shd w:val="clear" w:color="auto" w:fill="FFFFFF"/>
        </w:rPr>
        <w:t>exposes</w:t>
      </w:r>
      <w:r w:rsidR="006F74E5">
        <w:rPr>
          <w:rFonts w:cstheme="minorHAnsi"/>
          <w:color w:val="000000"/>
          <w:sz w:val="24"/>
          <w:szCs w:val="24"/>
          <w:shd w:val="clear" w:color="auto" w:fill="FFFFFF"/>
        </w:rPr>
        <w:t xml:space="preserve"> the inherent tension between the right of self-</w:t>
      </w:r>
      <w:r w:rsidR="006F74E5" w:rsidRPr="005D5AEB">
        <w:rPr>
          <w:rFonts w:cstheme="minorHAnsi"/>
          <w:color w:val="000000"/>
          <w:sz w:val="24"/>
          <w:szCs w:val="24"/>
          <w:shd w:val="clear" w:color="auto" w:fill="FFFFFF"/>
        </w:rPr>
        <w:t>determination and territorial sovereignty</w:t>
      </w:r>
      <w:r w:rsidR="0007314A">
        <w:rPr>
          <w:rFonts w:cstheme="minorHAnsi"/>
          <w:color w:val="000000"/>
          <w:sz w:val="24"/>
          <w:szCs w:val="24"/>
          <w:shd w:val="clear" w:color="auto" w:fill="FFFFFF"/>
        </w:rPr>
        <w:t>.</w:t>
      </w:r>
      <w:r w:rsidR="006F74E5" w:rsidRPr="005D5AEB">
        <w:rPr>
          <w:rStyle w:val="FootnoteReference"/>
          <w:sz w:val="24"/>
          <w:szCs w:val="24"/>
        </w:rPr>
        <w:footnoteReference w:id="294"/>
      </w:r>
      <w:r w:rsidR="005D5AEB" w:rsidRPr="005D5AEB">
        <w:rPr>
          <w:sz w:val="24"/>
          <w:szCs w:val="24"/>
        </w:rPr>
        <w:t xml:space="preserve"> </w:t>
      </w:r>
      <w:r w:rsidR="0054688F" w:rsidRPr="005D5AEB">
        <w:rPr>
          <w:rFonts w:cstheme="minorHAnsi"/>
          <w:sz w:val="24"/>
          <w:szCs w:val="24"/>
        </w:rPr>
        <w:t xml:space="preserve">The solution </w:t>
      </w:r>
      <w:r w:rsidR="008C5245">
        <w:rPr>
          <w:rFonts w:cstheme="minorHAnsi"/>
          <w:sz w:val="24"/>
          <w:szCs w:val="24"/>
        </w:rPr>
        <w:t>for</w:t>
      </w:r>
      <w:r w:rsidR="0054688F" w:rsidRPr="005D5AEB">
        <w:rPr>
          <w:rFonts w:cstheme="minorHAnsi"/>
          <w:sz w:val="24"/>
          <w:szCs w:val="24"/>
        </w:rPr>
        <w:t xml:space="preserve"> groups unhappy within the administrative borders is to grant them a broad right of self-determination in the form of self-governance</w:t>
      </w:r>
      <w:r w:rsidR="00317739">
        <w:rPr>
          <w:rFonts w:cstheme="minorHAnsi"/>
          <w:sz w:val="24"/>
          <w:szCs w:val="24"/>
        </w:rPr>
        <w:t xml:space="preserve">, </w:t>
      </w:r>
      <w:r w:rsidR="008C5245">
        <w:rPr>
          <w:rFonts w:cstheme="minorHAnsi"/>
          <w:sz w:val="24"/>
          <w:szCs w:val="24"/>
        </w:rPr>
        <w:t xml:space="preserve">and </w:t>
      </w:r>
      <w:r w:rsidR="00317739">
        <w:rPr>
          <w:rFonts w:cstheme="minorHAnsi"/>
          <w:sz w:val="24"/>
          <w:szCs w:val="24"/>
        </w:rPr>
        <w:t xml:space="preserve">ensure that the rule of law is maintained and that there is </w:t>
      </w:r>
      <w:r w:rsidR="0054688F" w:rsidRPr="005D5AEB">
        <w:rPr>
          <w:rFonts w:cstheme="minorHAnsi"/>
          <w:sz w:val="24"/>
          <w:szCs w:val="24"/>
        </w:rPr>
        <w:t xml:space="preserve">a solid </w:t>
      </w:r>
      <w:r w:rsidR="0054688F" w:rsidRPr="005D5AEB">
        <w:rPr>
          <w:sz w:val="24"/>
          <w:szCs w:val="24"/>
        </w:rPr>
        <w:t>‘commitment to human rights with a special sensitivity to those of minorities, whether ethnic, religious, social or linguistic’.</w:t>
      </w:r>
      <w:r w:rsidR="0054688F" w:rsidRPr="005D5AEB">
        <w:rPr>
          <w:rStyle w:val="FootnoteReference"/>
          <w:sz w:val="24"/>
          <w:szCs w:val="24"/>
        </w:rPr>
        <w:footnoteReference w:id="295"/>
      </w:r>
      <w:r w:rsidR="0054688F" w:rsidRPr="005D5AEB">
        <w:rPr>
          <w:sz w:val="24"/>
          <w:szCs w:val="24"/>
        </w:rPr>
        <w:t xml:space="preserve"> If</w:t>
      </w:r>
      <w:r w:rsidR="008C5245">
        <w:rPr>
          <w:sz w:val="24"/>
          <w:szCs w:val="24"/>
        </w:rPr>
        <w:t>,</w:t>
      </w:r>
      <w:r w:rsidR="0054688F" w:rsidRPr="005D5AEB">
        <w:rPr>
          <w:sz w:val="24"/>
          <w:szCs w:val="24"/>
        </w:rPr>
        <w:t xml:space="preserve"> </w:t>
      </w:r>
      <w:r w:rsidR="00CF665A">
        <w:rPr>
          <w:sz w:val="24"/>
          <w:szCs w:val="24"/>
        </w:rPr>
        <w:t>nonetheless</w:t>
      </w:r>
      <w:r w:rsidR="0054688F" w:rsidRPr="005D5AEB">
        <w:rPr>
          <w:sz w:val="24"/>
          <w:szCs w:val="24"/>
        </w:rPr>
        <w:t>, internal self-determination is denied, then external self-determination is an option.</w:t>
      </w:r>
      <w:r w:rsidR="00317739">
        <w:rPr>
          <w:rStyle w:val="FootnoteReference"/>
          <w:sz w:val="24"/>
          <w:szCs w:val="24"/>
        </w:rPr>
        <w:footnoteReference w:id="296"/>
      </w:r>
      <w:r w:rsidR="0054688F" w:rsidRPr="005D5AEB">
        <w:rPr>
          <w:sz w:val="24"/>
          <w:szCs w:val="24"/>
        </w:rPr>
        <w:t xml:space="preserve"> As </w:t>
      </w:r>
      <w:proofErr w:type="spellStart"/>
      <w:r w:rsidR="0054688F" w:rsidRPr="00201E83">
        <w:rPr>
          <w:sz w:val="24"/>
          <w:szCs w:val="24"/>
        </w:rPr>
        <w:t>Heintze</w:t>
      </w:r>
      <w:proofErr w:type="spellEnd"/>
      <w:r w:rsidR="0054688F" w:rsidRPr="005D5AEB">
        <w:rPr>
          <w:sz w:val="24"/>
          <w:szCs w:val="24"/>
        </w:rPr>
        <w:t xml:space="preserve"> </w:t>
      </w:r>
      <w:r w:rsidR="005C7B3D">
        <w:rPr>
          <w:sz w:val="24"/>
          <w:szCs w:val="24"/>
        </w:rPr>
        <w:t>maintains</w:t>
      </w:r>
      <w:r w:rsidR="0054688F" w:rsidRPr="005D5AEB">
        <w:rPr>
          <w:sz w:val="24"/>
          <w:szCs w:val="24"/>
        </w:rPr>
        <w:t xml:space="preserve">, </w:t>
      </w:r>
      <w:r w:rsidR="00EF4601" w:rsidRPr="005D5AEB">
        <w:rPr>
          <w:sz w:val="24"/>
          <w:szCs w:val="24"/>
        </w:rPr>
        <w:t xml:space="preserve">such a stance </w:t>
      </w:r>
      <w:r w:rsidR="00201E83">
        <w:rPr>
          <w:rFonts w:cstheme="minorHAnsi"/>
          <w:sz w:val="24"/>
          <w:szCs w:val="24"/>
        </w:rPr>
        <w:t xml:space="preserve">finds some </w:t>
      </w:r>
      <w:r w:rsidR="000176C0" w:rsidRPr="005D5AEB">
        <w:rPr>
          <w:rFonts w:cstheme="minorHAnsi"/>
          <w:sz w:val="24"/>
          <w:szCs w:val="24"/>
        </w:rPr>
        <w:t xml:space="preserve">support </w:t>
      </w:r>
      <w:r w:rsidR="00EF4601" w:rsidRPr="005D5AEB">
        <w:rPr>
          <w:rFonts w:cstheme="minorHAnsi"/>
          <w:sz w:val="24"/>
          <w:szCs w:val="24"/>
        </w:rPr>
        <w:t>among</w:t>
      </w:r>
      <w:r w:rsidR="000176C0" w:rsidRPr="005D5AEB">
        <w:rPr>
          <w:rFonts w:cstheme="minorHAnsi"/>
          <w:sz w:val="24"/>
          <w:szCs w:val="24"/>
        </w:rPr>
        <w:t xml:space="preserve"> the OSCE States</w:t>
      </w:r>
      <w:r w:rsidR="000176C0" w:rsidRPr="005D5AEB">
        <w:rPr>
          <w:rStyle w:val="FootnoteReference"/>
          <w:rFonts w:cstheme="minorHAnsi"/>
          <w:sz w:val="24"/>
          <w:szCs w:val="24"/>
        </w:rPr>
        <w:footnoteReference w:id="297"/>
      </w:r>
      <w:r w:rsidR="00E64F4A">
        <w:rPr>
          <w:rFonts w:cstheme="minorHAnsi"/>
          <w:sz w:val="24"/>
          <w:szCs w:val="24"/>
        </w:rPr>
        <w:t xml:space="preserve"> and is also mentioned in an opinion of the Venice Commission.</w:t>
      </w:r>
      <w:r w:rsidR="00E64F4A">
        <w:rPr>
          <w:rStyle w:val="FootnoteReference"/>
          <w:rFonts w:cstheme="minorHAnsi"/>
          <w:sz w:val="24"/>
          <w:szCs w:val="24"/>
        </w:rPr>
        <w:footnoteReference w:id="298"/>
      </w:r>
      <w:r w:rsidR="000176C0" w:rsidRPr="005D5AEB">
        <w:rPr>
          <w:rFonts w:cstheme="minorHAnsi"/>
          <w:sz w:val="24"/>
          <w:szCs w:val="24"/>
        </w:rPr>
        <w:t xml:space="preserve"> </w:t>
      </w:r>
    </w:p>
    <w:p w14:paraId="6D262877" w14:textId="0DD88A5B" w:rsidR="0054688F" w:rsidRDefault="00EF4601" w:rsidP="0054688F">
      <w:pPr>
        <w:spacing w:after="0" w:line="240" w:lineRule="auto"/>
        <w:jc w:val="both"/>
      </w:pPr>
      <w:r w:rsidRPr="005D5AEB">
        <w:rPr>
          <w:rFonts w:cstheme="minorHAnsi"/>
          <w:sz w:val="24"/>
          <w:szCs w:val="24"/>
        </w:rPr>
        <w:t>The conditions under which the option of what is often called remedial secession</w:t>
      </w:r>
      <w:r w:rsidR="008C5245">
        <w:rPr>
          <w:rFonts w:cstheme="minorHAnsi"/>
          <w:sz w:val="24"/>
          <w:szCs w:val="24"/>
        </w:rPr>
        <w:t xml:space="preserve"> is available</w:t>
      </w:r>
      <w:r w:rsidRPr="005D5AEB">
        <w:rPr>
          <w:rStyle w:val="FootnoteReference"/>
          <w:rFonts w:cstheme="minorHAnsi"/>
          <w:sz w:val="24"/>
          <w:szCs w:val="24"/>
        </w:rPr>
        <w:footnoteReference w:id="299"/>
      </w:r>
      <w:r w:rsidRPr="005D5AEB">
        <w:rPr>
          <w:rFonts w:cstheme="minorHAnsi"/>
          <w:sz w:val="24"/>
          <w:szCs w:val="24"/>
        </w:rPr>
        <w:t xml:space="preserve"> are open </w:t>
      </w:r>
      <w:r w:rsidR="005D5AEB">
        <w:rPr>
          <w:rFonts w:cstheme="minorHAnsi"/>
          <w:sz w:val="24"/>
          <w:szCs w:val="24"/>
        </w:rPr>
        <w:t>for discussion</w:t>
      </w:r>
      <w:r w:rsidRPr="005D5AEB">
        <w:rPr>
          <w:rFonts w:cstheme="minorHAnsi"/>
          <w:sz w:val="24"/>
          <w:szCs w:val="24"/>
        </w:rPr>
        <w:t xml:space="preserve">. It is agreed that a certain threshold and intensity of violations committed against the people need to have been reached. </w:t>
      </w:r>
      <w:r w:rsidR="00330209">
        <w:rPr>
          <w:rFonts w:cstheme="minorHAnsi"/>
          <w:sz w:val="24"/>
          <w:szCs w:val="24"/>
        </w:rPr>
        <w:t>The Supreme Court of Canada specified that the right to external self-determination ‘arises only in the most extreme cases and, even then, under carefully defined circumstances.’</w:t>
      </w:r>
      <w:r w:rsidR="00330209">
        <w:rPr>
          <w:rStyle w:val="FootnoteReference"/>
          <w:rFonts w:cstheme="minorHAnsi"/>
          <w:sz w:val="24"/>
          <w:szCs w:val="24"/>
        </w:rPr>
        <w:footnoteReference w:id="300"/>
      </w:r>
      <w:r w:rsidR="00330209">
        <w:rPr>
          <w:rFonts w:cstheme="minorHAnsi"/>
          <w:sz w:val="24"/>
          <w:szCs w:val="24"/>
        </w:rPr>
        <w:t xml:space="preserve"> </w:t>
      </w:r>
      <w:r w:rsidR="008C5245" w:rsidRPr="00A25DF3">
        <w:rPr>
          <w:rFonts w:cstheme="minorHAnsi"/>
          <w:sz w:val="24"/>
          <w:szCs w:val="24"/>
        </w:rPr>
        <w:t>Buchanan</w:t>
      </w:r>
      <w:r w:rsidR="00D94B50">
        <w:rPr>
          <w:rFonts w:cstheme="minorHAnsi"/>
          <w:sz w:val="24"/>
          <w:szCs w:val="24"/>
        </w:rPr>
        <w:t xml:space="preserve"> asserts that </w:t>
      </w:r>
      <w:r w:rsidR="008C5245">
        <w:rPr>
          <w:rFonts w:cstheme="minorHAnsi"/>
          <w:sz w:val="24"/>
          <w:szCs w:val="24"/>
        </w:rPr>
        <w:t>‘[t]</w:t>
      </w:r>
      <w:proofErr w:type="spellStart"/>
      <w:r w:rsidR="008C5245">
        <w:rPr>
          <w:rFonts w:cstheme="minorHAnsi"/>
          <w:sz w:val="24"/>
          <w:szCs w:val="24"/>
        </w:rPr>
        <w:t>hese</w:t>
      </w:r>
      <w:proofErr w:type="spellEnd"/>
      <w:r w:rsidR="008C5245">
        <w:rPr>
          <w:rFonts w:cstheme="minorHAnsi"/>
          <w:sz w:val="24"/>
          <w:szCs w:val="24"/>
        </w:rPr>
        <w:t xml:space="preserve"> injustices must be of such consequence as to void international support for the state’s claim to the territory in question’.</w:t>
      </w:r>
      <w:r w:rsidR="008C5245">
        <w:rPr>
          <w:rStyle w:val="FootnoteReference"/>
          <w:rFonts w:cstheme="minorHAnsi"/>
          <w:sz w:val="24"/>
          <w:szCs w:val="24"/>
        </w:rPr>
        <w:footnoteReference w:id="301"/>
      </w:r>
      <w:r w:rsidR="008C5245">
        <w:rPr>
          <w:rFonts w:cstheme="minorHAnsi"/>
          <w:sz w:val="24"/>
          <w:szCs w:val="24"/>
        </w:rPr>
        <w:t xml:space="preserve"> In this vein, genocide and crimes against humanity would undoubtedly cross the threshold. Yet, n</w:t>
      </w:r>
      <w:r w:rsidRPr="005D5AEB">
        <w:rPr>
          <w:rFonts w:cstheme="minorHAnsi"/>
          <w:sz w:val="24"/>
          <w:szCs w:val="24"/>
        </w:rPr>
        <w:t>ot all human rights violations will lend themselves to the option of remedial</w:t>
      </w:r>
      <w:r>
        <w:rPr>
          <w:rFonts w:cstheme="minorHAnsi"/>
          <w:sz w:val="24"/>
          <w:szCs w:val="24"/>
        </w:rPr>
        <w:t xml:space="preserve"> secession.</w:t>
      </w:r>
      <w:r w:rsidR="00007866">
        <w:rPr>
          <w:rFonts w:cstheme="minorHAnsi"/>
          <w:sz w:val="24"/>
          <w:szCs w:val="24"/>
        </w:rPr>
        <w:t xml:space="preserve"> The group must be </w:t>
      </w:r>
      <w:r w:rsidR="00007866" w:rsidRPr="008C5245">
        <w:rPr>
          <w:rFonts w:cstheme="minorHAnsi"/>
          <w:sz w:val="24"/>
          <w:szCs w:val="24"/>
        </w:rPr>
        <w:t>able to point at severe cases of human rights abuses and clear acts of oppression committed by the authorities</w:t>
      </w:r>
      <w:r w:rsidR="00990A5F" w:rsidRPr="008C5245">
        <w:rPr>
          <w:rFonts w:cstheme="minorHAnsi"/>
          <w:sz w:val="24"/>
          <w:szCs w:val="24"/>
        </w:rPr>
        <w:t>.</w:t>
      </w:r>
      <w:r w:rsidR="00007866" w:rsidRPr="008C5245">
        <w:rPr>
          <w:rStyle w:val="FootnoteReference"/>
          <w:rFonts w:cstheme="minorHAnsi"/>
          <w:sz w:val="24"/>
          <w:szCs w:val="24"/>
        </w:rPr>
        <w:footnoteReference w:id="302"/>
      </w:r>
      <w:r w:rsidR="00990A5F" w:rsidRPr="008C5245">
        <w:rPr>
          <w:rFonts w:cstheme="minorHAnsi"/>
          <w:sz w:val="24"/>
          <w:szCs w:val="24"/>
        </w:rPr>
        <w:t xml:space="preserve"> In the words of the Supreme Court of Canada, it must have been denied ‘</w:t>
      </w:r>
      <w:r w:rsidR="00990A5F" w:rsidRPr="008C5245">
        <w:rPr>
          <w:sz w:val="24"/>
          <w:szCs w:val="24"/>
        </w:rPr>
        <w:t>meaningful access to government to pursue their political, economic, cultural and social development’.</w:t>
      </w:r>
      <w:r w:rsidR="00990A5F" w:rsidRPr="008C5245">
        <w:rPr>
          <w:rStyle w:val="FootnoteReference"/>
          <w:sz w:val="24"/>
          <w:szCs w:val="24"/>
        </w:rPr>
        <w:footnoteReference w:id="303"/>
      </w:r>
      <w:r w:rsidRPr="008C5245">
        <w:rPr>
          <w:rFonts w:cstheme="minorHAnsi"/>
          <w:sz w:val="24"/>
          <w:szCs w:val="24"/>
        </w:rPr>
        <w:t xml:space="preserve"> </w:t>
      </w:r>
      <w:r w:rsidR="00D511F3" w:rsidRPr="008C5245">
        <w:rPr>
          <w:rFonts w:cstheme="minorHAnsi"/>
          <w:sz w:val="24"/>
          <w:szCs w:val="24"/>
        </w:rPr>
        <w:t xml:space="preserve">The Venice Commission of the Council of Europe stated that ‘a secession would only be an option of last resort in a situation where a people’s right to internal self-determination has been </w:t>
      </w:r>
      <w:r w:rsidR="00D511F3" w:rsidRPr="008C5245">
        <w:rPr>
          <w:rFonts w:cstheme="minorHAnsi"/>
          <w:i/>
          <w:iCs/>
          <w:sz w:val="24"/>
          <w:szCs w:val="24"/>
        </w:rPr>
        <w:t xml:space="preserve">persistently and massively </w:t>
      </w:r>
      <w:r w:rsidR="00D511F3" w:rsidRPr="008C5245">
        <w:rPr>
          <w:rFonts w:cstheme="minorHAnsi"/>
          <w:sz w:val="24"/>
          <w:szCs w:val="24"/>
        </w:rPr>
        <w:t>violated and all other means have failed.’</w:t>
      </w:r>
      <w:r w:rsidR="00D511F3" w:rsidRPr="008C5245">
        <w:rPr>
          <w:rStyle w:val="FootnoteReference"/>
          <w:rFonts w:cstheme="minorHAnsi"/>
          <w:sz w:val="24"/>
          <w:szCs w:val="24"/>
        </w:rPr>
        <w:footnoteReference w:id="304"/>
      </w:r>
      <w:r w:rsidR="00D511F3" w:rsidRPr="008C5245">
        <w:rPr>
          <w:rFonts w:cstheme="minorHAnsi"/>
          <w:sz w:val="24"/>
          <w:szCs w:val="24"/>
        </w:rPr>
        <w:t xml:space="preserve"> </w:t>
      </w:r>
      <w:r w:rsidR="00007866" w:rsidRPr="008C5245">
        <w:rPr>
          <w:rFonts w:cstheme="minorHAnsi"/>
          <w:sz w:val="24"/>
          <w:szCs w:val="24"/>
        </w:rPr>
        <w:t>Some scholars maintain that ‘persistent and discriminatory exclusion from governance’</w:t>
      </w:r>
      <w:r w:rsidR="00007866" w:rsidRPr="008C5245">
        <w:rPr>
          <w:rStyle w:val="FootnoteReference"/>
          <w:rFonts w:cstheme="minorHAnsi"/>
          <w:sz w:val="24"/>
          <w:szCs w:val="24"/>
        </w:rPr>
        <w:footnoteReference w:id="305"/>
      </w:r>
      <w:r w:rsidR="00007866" w:rsidRPr="008C5245">
        <w:rPr>
          <w:rFonts w:cstheme="minorHAnsi"/>
          <w:sz w:val="24"/>
          <w:szCs w:val="24"/>
        </w:rPr>
        <w:t xml:space="preserve"> </w:t>
      </w:r>
      <w:r w:rsidR="00D75AC6" w:rsidRPr="008C5245">
        <w:rPr>
          <w:rFonts w:cstheme="minorHAnsi"/>
          <w:sz w:val="24"/>
          <w:szCs w:val="24"/>
        </w:rPr>
        <w:t>could also reach the required threshold.</w:t>
      </w:r>
      <w:r w:rsidR="00D75AC6">
        <w:rPr>
          <w:rFonts w:cstheme="minorHAnsi"/>
          <w:sz w:val="24"/>
          <w:szCs w:val="24"/>
        </w:rPr>
        <w:t xml:space="preserve"> </w:t>
      </w:r>
    </w:p>
    <w:p w14:paraId="7508FE9C" w14:textId="331F91A5" w:rsidR="00103CE7" w:rsidRDefault="000176C0" w:rsidP="00103CE7">
      <w:pPr>
        <w:spacing w:after="0" w:line="240" w:lineRule="auto"/>
        <w:jc w:val="both"/>
        <w:rPr>
          <w:color w:val="000000"/>
          <w:sz w:val="24"/>
          <w:szCs w:val="24"/>
          <w:shd w:val="clear" w:color="auto" w:fill="FFFFFF"/>
        </w:rPr>
      </w:pPr>
      <w:r w:rsidRPr="00EC6853">
        <w:rPr>
          <w:rFonts w:cstheme="minorHAnsi"/>
          <w:sz w:val="24"/>
          <w:szCs w:val="24"/>
        </w:rPr>
        <w:lastRenderedPageBreak/>
        <w:t xml:space="preserve">All </w:t>
      </w:r>
      <w:r w:rsidR="00990A5F">
        <w:rPr>
          <w:rFonts w:cstheme="minorHAnsi"/>
          <w:i/>
          <w:iCs/>
          <w:sz w:val="24"/>
          <w:szCs w:val="24"/>
        </w:rPr>
        <w:t xml:space="preserve">de facto </w:t>
      </w:r>
      <w:r w:rsidR="00990A5F">
        <w:rPr>
          <w:rFonts w:cstheme="minorHAnsi"/>
          <w:sz w:val="24"/>
          <w:szCs w:val="24"/>
        </w:rPr>
        <w:t>States studied in this chapter</w:t>
      </w:r>
      <w:r w:rsidRPr="00EC6853">
        <w:rPr>
          <w:rFonts w:cstheme="minorHAnsi"/>
          <w:sz w:val="24"/>
          <w:szCs w:val="24"/>
        </w:rPr>
        <w:t xml:space="preserve"> claim that they </w:t>
      </w:r>
      <w:r w:rsidR="0008636D">
        <w:rPr>
          <w:rFonts w:cstheme="minorHAnsi"/>
          <w:sz w:val="24"/>
          <w:szCs w:val="24"/>
        </w:rPr>
        <w:t>were</w:t>
      </w:r>
      <w:r w:rsidRPr="00EC6853">
        <w:rPr>
          <w:rFonts w:cstheme="minorHAnsi"/>
          <w:sz w:val="24"/>
          <w:szCs w:val="24"/>
        </w:rPr>
        <w:t xml:space="preserve"> not given any autonomy on the national level and thus have</w:t>
      </w:r>
      <w:r w:rsidR="0008636D">
        <w:rPr>
          <w:rFonts w:cstheme="minorHAnsi"/>
          <w:sz w:val="24"/>
          <w:szCs w:val="24"/>
        </w:rPr>
        <w:t xml:space="preserve"> had</w:t>
      </w:r>
      <w:r w:rsidRPr="00EC6853">
        <w:rPr>
          <w:rFonts w:cstheme="minorHAnsi"/>
          <w:sz w:val="24"/>
          <w:szCs w:val="24"/>
        </w:rPr>
        <w:t xml:space="preserve"> to seek </w:t>
      </w:r>
      <w:r w:rsidRPr="006452BC">
        <w:rPr>
          <w:rFonts w:cstheme="minorHAnsi"/>
          <w:sz w:val="24"/>
          <w:szCs w:val="24"/>
        </w:rPr>
        <w:t>external self-determination</w:t>
      </w:r>
      <w:r w:rsidR="0008636D" w:rsidRPr="006452BC">
        <w:rPr>
          <w:rFonts w:cstheme="minorHAnsi"/>
          <w:sz w:val="24"/>
          <w:szCs w:val="24"/>
        </w:rPr>
        <w:t>. The</w:t>
      </w:r>
      <w:r w:rsidRPr="006452BC">
        <w:rPr>
          <w:rFonts w:cstheme="minorHAnsi"/>
          <w:sz w:val="24"/>
          <w:szCs w:val="24"/>
        </w:rPr>
        <w:t xml:space="preserve"> </w:t>
      </w:r>
      <w:r w:rsidR="0008636D" w:rsidRPr="006452BC">
        <w:rPr>
          <w:rFonts w:cstheme="minorHAnsi"/>
          <w:sz w:val="24"/>
          <w:szCs w:val="24"/>
        </w:rPr>
        <w:t>lack of regard towards minorities no doubt contributed to these communities feeling discriminated</w:t>
      </w:r>
      <w:r w:rsidR="00C2436E" w:rsidRPr="006452BC">
        <w:rPr>
          <w:rFonts w:cstheme="minorHAnsi"/>
          <w:sz w:val="24"/>
          <w:szCs w:val="24"/>
        </w:rPr>
        <w:t xml:space="preserve"> against,</w:t>
      </w:r>
      <w:r w:rsidR="0008636D" w:rsidRPr="006452BC">
        <w:rPr>
          <w:rFonts w:cstheme="minorHAnsi"/>
          <w:sz w:val="24"/>
          <w:szCs w:val="24"/>
        </w:rPr>
        <w:t xml:space="preserve"> </w:t>
      </w:r>
      <w:r w:rsidR="0046569D" w:rsidRPr="006452BC">
        <w:rPr>
          <w:rFonts w:cstheme="minorHAnsi"/>
          <w:sz w:val="24"/>
          <w:szCs w:val="24"/>
        </w:rPr>
        <w:t>even at the time of the Soviet Union.</w:t>
      </w:r>
      <w:r w:rsidR="00D85B9F" w:rsidRPr="006452BC">
        <w:rPr>
          <w:rStyle w:val="FootnoteReference"/>
          <w:rFonts w:cstheme="minorHAnsi"/>
          <w:sz w:val="24"/>
          <w:szCs w:val="24"/>
        </w:rPr>
        <w:footnoteReference w:id="306"/>
      </w:r>
      <w:r w:rsidR="006452BC" w:rsidRPr="006452BC">
        <w:rPr>
          <w:rFonts w:cstheme="minorHAnsi"/>
          <w:sz w:val="24"/>
          <w:szCs w:val="24"/>
        </w:rPr>
        <w:t xml:space="preserve"> The situation seemed to worsen towards the end of the reign of the Soviet Union. For example, although </w:t>
      </w:r>
      <w:r w:rsidR="006452BC" w:rsidRPr="006452BC">
        <w:rPr>
          <w:sz w:val="24"/>
          <w:szCs w:val="24"/>
        </w:rPr>
        <w:t>South Ossetia lacked under the Soviet period a strong identity and its population was rather well integrated with Georgia,</w:t>
      </w:r>
      <w:r w:rsidR="006452BC" w:rsidRPr="006452BC">
        <w:rPr>
          <w:rStyle w:val="FootnoteReference"/>
          <w:sz w:val="24"/>
          <w:szCs w:val="24"/>
        </w:rPr>
        <w:footnoteReference w:id="307"/>
      </w:r>
      <w:r w:rsidR="006452BC" w:rsidRPr="006452BC">
        <w:rPr>
          <w:rFonts w:cstheme="minorHAnsi"/>
          <w:sz w:val="24"/>
          <w:szCs w:val="24"/>
        </w:rPr>
        <w:t xml:space="preserve"> pronouncements made by the Georgian authorities viewing national minorities as ‘guests’ and questioning their loyalty to Georgia pushed them to demand increased autonomy</w:t>
      </w:r>
      <w:r w:rsidR="006452BC">
        <w:rPr>
          <w:rFonts w:cstheme="minorHAnsi"/>
          <w:sz w:val="24"/>
          <w:szCs w:val="24"/>
        </w:rPr>
        <w:t>,</w:t>
      </w:r>
      <w:r w:rsidR="006452BC" w:rsidRPr="006452BC">
        <w:rPr>
          <w:rStyle w:val="FootnoteReference"/>
          <w:rFonts w:cstheme="minorHAnsi"/>
          <w:sz w:val="24"/>
          <w:szCs w:val="24"/>
        </w:rPr>
        <w:footnoteReference w:id="308"/>
      </w:r>
      <w:r w:rsidR="006452BC">
        <w:rPr>
          <w:rFonts w:cstheme="minorHAnsi"/>
          <w:sz w:val="24"/>
          <w:szCs w:val="24"/>
        </w:rPr>
        <w:t xml:space="preserve"> moving from a</w:t>
      </w:r>
      <w:r w:rsidR="00254D98">
        <w:rPr>
          <w:rFonts w:cstheme="minorHAnsi"/>
          <w:sz w:val="24"/>
          <w:szCs w:val="24"/>
        </w:rPr>
        <w:t xml:space="preserve"> region </w:t>
      </w:r>
      <w:r w:rsidR="006452BC">
        <w:rPr>
          <w:rFonts w:cstheme="minorHAnsi"/>
          <w:sz w:val="24"/>
          <w:szCs w:val="24"/>
        </w:rPr>
        <w:t>to a Republic.</w:t>
      </w:r>
      <w:r w:rsidR="006452BC" w:rsidRPr="006452BC">
        <w:rPr>
          <w:rStyle w:val="FootnoteReference"/>
          <w:rFonts w:cstheme="minorHAnsi"/>
          <w:sz w:val="24"/>
          <w:szCs w:val="24"/>
        </w:rPr>
        <w:footnoteReference w:id="309"/>
      </w:r>
      <w:r w:rsidR="006452BC">
        <w:rPr>
          <w:rFonts w:cstheme="minorHAnsi"/>
          <w:sz w:val="24"/>
          <w:szCs w:val="24"/>
        </w:rPr>
        <w:t xml:space="preserve"> This request f</w:t>
      </w:r>
      <w:r w:rsidR="0008636D" w:rsidRPr="006452BC">
        <w:rPr>
          <w:rFonts w:cstheme="minorHAnsi"/>
          <w:sz w:val="24"/>
          <w:szCs w:val="24"/>
        </w:rPr>
        <w:t xml:space="preserve">or </w:t>
      </w:r>
      <w:r w:rsidR="0046569D" w:rsidRPr="006452BC">
        <w:rPr>
          <w:rFonts w:cstheme="minorHAnsi"/>
          <w:sz w:val="24"/>
          <w:szCs w:val="24"/>
        </w:rPr>
        <w:t xml:space="preserve">an </w:t>
      </w:r>
      <w:r w:rsidR="006452BC">
        <w:rPr>
          <w:rFonts w:cstheme="minorHAnsi"/>
          <w:sz w:val="24"/>
          <w:szCs w:val="24"/>
        </w:rPr>
        <w:t>‘</w:t>
      </w:r>
      <w:r w:rsidR="0046569D" w:rsidRPr="006452BC">
        <w:rPr>
          <w:rFonts w:cstheme="minorHAnsi"/>
          <w:sz w:val="24"/>
          <w:szCs w:val="24"/>
        </w:rPr>
        <w:t>upgrade</w:t>
      </w:r>
      <w:r w:rsidR="006452BC">
        <w:rPr>
          <w:rFonts w:cstheme="minorHAnsi"/>
          <w:sz w:val="24"/>
          <w:szCs w:val="24"/>
        </w:rPr>
        <w:t>’</w:t>
      </w:r>
      <w:r w:rsidR="0046569D" w:rsidRPr="006452BC">
        <w:rPr>
          <w:rFonts w:cstheme="minorHAnsi"/>
          <w:sz w:val="24"/>
          <w:szCs w:val="24"/>
        </w:rPr>
        <w:t xml:space="preserve"> in </w:t>
      </w:r>
      <w:r w:rsidR="0008636D" w:rsidRPr="006452BC">
        <w:rPr>
          <w:rFonts w:cstheme="minorHAnsi"/>
          <w:sz w:val="24"/>
          <w:szCs w:val="24"/>
        </w:rPr>
        <w:t xml:space="preserve">autonomy </w:t>
      </w:r>
      <w:r w:rsidR="006452BC">
        <w:rPr>
          <w:rFonts w:cstheme="minorHAnsi"/>
          <w:sz w:val="24"/>
          <w:szCs w:val="24"/>
        </w:rPr>
        <w:t xml:space="preserve">was </w:t>
      </w:r>
      <w:r w:rsidR="0057171E">
        <w:rPr>
          <w:rFonts w:cstheme="minorHAnsi"/>
          <w:sz w:val="24"/>
          <w:szCs w:val="24"/>
        </w:rPr>
        <w:t>the reaction towards a fear of discrimination. Also</w:t>
      </w:r>
      <w:r w:rsidR="00F54B36">
        <w:rPr>
          <w:rFonts w:cstheme="minorHAnsi"/>
          <w:sz w:val="24"/>
          <w:szCs w:val="24"/>
        </w:rPr>
        <w:t xml:space="preserve">, Armenians in </w:t>
      </w:r>
      <w:r w:rsidR="0046569D" w:rsidRPr="006452BC">
        <w:rPr>
          <w:rFonts w:cstheme="minorHAnsi"/>
          <w:sz w:val="24"/>
          <w:szCs w:val="24"/>
        </w:rPr>
        <w:t>Nagorno-Karabakh</w:t>
      </w:r>
      <w:r w:rsidR="00F54B36">
        <w:rPr>
          <w:rFonts w:cstheme="minorHAnsi"/>
          <w:sz w:val="24"/>
          <w:szCs w:val="24"/>
        </w:rPr>
        <w:t xml:space="preserve"> cited violations of their rights when they</w:t>
      </w:r>
      <w:r w:rsidR="0046569D">
        <w:rPr>
          <w:rFonts w:cstheme="minorHAnsi"/>
          <w:sz w:val="24"/>
          <w:szCs w:val="24"/>
        </w:rPr>
        <w:t xml:space="preserve"> asked to become part of the Armenian Soviet Socialist Republic</w:t>
      </w:r>
      <w:r w:rsidR="00F54B36">
        <w:rPr>
          <w:rStyle w:val="FootnoteReference"/>
          <w:rFonts w:cstheme="minorHAnsi"/>
          <w:sz w:val="24"/>
          <w:szCs w:val="24"/>
        </w:rPr>
        <w:footnoteReference w:id="310"/>
      </w:r>
      <w:r w:rsidR="0046569D">
        <w:rPr>
          <w:rFonts w:cstheme="minorHAnsi"/>
          <w:sz w:val="24"/>
          <w:szCs w:val="24"/>
        </w:rPr>
        <w:t xml:space="preserve"> </w:t>
      </w:r>
      <w:r w:rsidR="0008636D" w:rsidRPr="00EC6853">
        <w:rPr>
          <w:rFonts w:cstheme="minorHAnsi"/>
          <w:sz w:val="24"/>
          <w:szCs w:val="24"/>
        </w:rPr>
        <w:t>and eventually</w:t>
      </w:r>
      <w:r w:rsidR="0046569D">
        <w:rPr>
          <w:rFonts w:cstheme="minorHAnsi"/>
          <w:sz w:val="24"/>
          <w:szCs w:val="24"/>
        </w:rPr>
        <w:t xml:space="preserve">, as the Soviet Union collapsed, </w:t>
      </w:r>
      <w:r w:rsidR="00DD769D">
        <w:rPr>
          <w:rFonts w:cstheme="minorHAnsi"/>
          <w:sz w:val="24"/>
          <w:szCs w:val="24"/>
        </w:rPr>
        <w:t xml:space="preserve">led to its claims of </w:t>
      </w:r>
      <w:r w:rsidR="0008636D" w:rsidRPr="00EC6853">
        <w:rPr>
          <w:rFonts w:cstheme="minorHAnsi"/>
          <w:sz w:val="24"/>
          <w:szCs w:val="24"/>
        </w:rPr>
        <w:t>statehood</w:t>
      </w:r>
      <w:r w:rsidR="0008636D">
        <w:rPr>
          <w:rFonts w:cstheme="minorHAnsi"/>
          <w:sz w:val="24"/>
          <w:szCs w:val="24"/>
        </w:rPr>
        <w:t xml:space="preserve">. </w:t>
      </w:r>
      <w:r w:rsidR="0057171E">
        <w:rPr>
          <w:rFonts w:cstheme="minorHAnsi"/>
          <w:sz w:val="24"/>
          <w:szCs w:val="24"/>
        </w:rPr>
        <w:t>For many of these entities, t</w:t>
      </w:r>
      <w:r w:rsidR="005B2E8F">
        <w:rPr>
          <w:rFonts w:cstheme="minorHAnsi"/>
          <w:sz w:val="24"/>
          <w:szCs w:val="24"/>
        </w:rPr>
        <w:t>he situation did not improve after the fall of the Soviet Union.</w:t>
      </w:r>
      <w:r w:rsidR="00C2436E">
        <w:rPr>
          <w:rStyle w:val="FootnoteReference"/>
          <w:rFonts w:cstheme="minorHAnsi"/>
          <w:sz w:val="24"/>
          <w:szCs w:val="24"/>
        </w:rPr>
        <w:footnoteReference w:id="311"/>
      </w:r>
      <w:r w:rsidR="005B2E8F">
        <w:rPr>
          <w:rFonts w:cstheme="minorHAnsi"/>
          <w:sz w:val="24"/>
          <w:szCs w:val="24"/>
        </w:rPr>
        <w:t xml:space="preserve"> </w:t>
      </w:r>
      <w:r w:rsidR="0008636D">
        <w:rPr>
          <w:rFonts w:cstheme="minorHAnsi"/>
          <w:sz w:val="24"/>
          <w:szCs w:val="24"/>
        </w:rPr>
        <w:t xml:space="preserve">For example, </w:t>
      </w:r>
      <w:r w:rsidRPr="00EC6853">
        <w:rPr>
          <w:rFonts w:cstheme="minorHAnsi"/>
          <w:sz w:val="24"/>
          <w:szCs w:val="24"/>
        </w:rPr>
        <w:t>Moldova and Georgia tried to impose laws that limited the use of the language of minorities and the possibility to be taught in that language.</w:t>
      </w:r>
      <w:r w:rsidRPr="00EC6853">
        <w:rPr>
          <w:rStyle w:val="FootnoteReference"/>
          <w:rFonts w:cstheme="minorHAnsi"/>
          <w:sz w:val="24"/>
          <w:szCs w:val="24"/>
        </w:rPr>
        <w:footnoteReference w:id="312"/>
      </w:r>
      <w:r w:rsidRPr="00EC6853">
        <w:rPr>
          <w:rFonts w:cstheme="minorHAnsi"/>
          <w:sz w:val="24"/>
          <w:szCs w:val="24"/>
        </w:rPr>
        <w:t xml:space="preserve"> </w:t>
      </w:r>
      <w:r w:rsidR="00873E7D">
        <w:rPr>
          <w:rFonts w:cstheme="minorHAnsi"/>
          <w:sz w:val="24"/>
          <w:szCs w:val="24"/>
        </w:rPr>
        <w:t>This antagonised the local population</w:t>
      </w:r>
      <w:r w:rsidR="00103CE7">
        <w:rPr>
          <w:rFonts w:cstheme="minorHAnsi"/>
          <w:sz w:val="24"/>
          <w:szCs w:val="24"/>
        </w:rPr>
        <w:t>s</w:t>
      </w:r>
      <w:r w:rsidR="00A25DF3">
        <w:rPr>
          <w:rFonts w:cstheme="minorHAnsi"/>
          <w:sz w:val="24"/>
          <w:szCs w:val="24"/>
        </w:rPr>
        <w:t xml:space="preserve"> who expressed not only their</w:t>
      </w:r>
      <w:r w:rsidR="00873E7D">
        <w:rPr>
          <w:rFonts w:cstheme="minorHAnsi"/>
          <w:sz w:val="24"/>
          <w:szCs w:val="24"/>
        </w:rPr>
        <w:t xml:space="preserve"> concern</w:t>
      </w:r>
      <w:r w:rsidR="00A25DF3">
        <w:rPr>
          <w:rFonts w:cstheme="minorHAnsi"/>
          <w:sz w:val="24"/>
          <w:szCs w:val="24"/>
        </w:rPr>
        <w:t>s</w:t>
      </w:r>
      <w:r w:rsidR="00873E7D">
        <w:rPr>
          <w:rFonts w:cstheme="minorHAnsi"/>
          <w:sz w:val="24"/>
          <w:szCs w:val="24"/>
        </w:rPr>
        <w:t xml:space="preserve"> </w:t>
      </w:r>
      <w:r w:rsidR="00A25DF3">
        <w:rPr>
          <w:rFonts w:cstheme="minorHAnsi"/>
          <w:sz w:val="24"/>
          <w:szCs w:val="24"/>
        </w:rPr>
        <w:t>that they would have a</w:t>
      </w:r>
      <w:r w:rsidR="00873E7D">
        <w:rPr>
          <w:rFonts w:cstheme="minorHAnsi"/>
          <w:sz w:val="24"/>
          <w:szCs w:val="24"/>
        </w:rPr>
        <w:t xml:space="preserve"> ‘potential inferior position “under” the new “nationalist” majority’ </w:t>
      </w:r>
      <w:r w:rsidR="00A25DF3">
        <w:rPr>
          <w:rFonts w:cstheme="minorHAnsi"/>
          <w:sz w:val="24"/>
          <w:szCs w:val="24"/>
        </w:rPr>
        <w:t xml:space="preserve">but also </w:t>
      </w:r>
      <w:r w:rsidR="00873E7D">
        <w:rPr>
          <w:rFonts w:cstheme="minorHAnsi"/>
          <w:sz w:val="24"/>
          <w:szCs w:val="24"/>
        </w:rPr>
        <w:t>pro-Russian sentiments.</w:t>
      </w:r>
      <w:r w:rsidR="00873E7D">
        <w:rPr>
          <w:rStyle w:val="FootnoteReference"/>
          <w:rFonts w:cstheme="minorHAnsi"/>
          <w:sz w:val="24"/>
          <w:szCs w:val="24"/>
        </w:rPr>
        <w:footnoteReference w:id="313"/>
      </w:r>
      <w:r w:rsidR="00873E7D">
        <w:rPr>
          <w:rFonts w:cstheme="minorHAnsi"/>
          <w:sz w:val="24"/>
          <w:szCs w:val="24"/>
        </w:rPr>
        <w:t xml:space="preserve"> </w:t>
      </w:r>
      <w:r w:rsidR="00C50191">
        <w:rPr>
          <w:rFonts w:cstheme="minorHAnsi"/>
          <w:sz w:val="24"/>
          <w:szCs w:val="24"/>
        </w:rPr>
        <w:t>Georgia also suppressed the autonomous status of South Ossetia in December 1990, thus removing the South Ossetian people’s right of internal self-determination.</w:t>
      </w:r>
      <w:r w:rsidR="00C50191">
        <w:rPr>
          <w:rStyle w:val="FootnoteReference"/>
          <w:rFonts w:cstheme="minorHAnsi"/>
          <w:sz w:val="24"/>
          <w:szCs w:val="24"/>
        </w:rPr>
        <w:footnoteReference w:id="314"/>
      </w:r>
      <w:r w:rsidR="00C50191">
        <w:rPr>
          <w:rFonts w:cstheme="minorHAnsi"/>
          <w:sz w:val="24"/>
          <w:szCs w:val="24"/>
        </w:rPr>
        <w:t xml:space="preserve"> In relation to Transnistria, </w:t>
      </w:r>
      <w:r w:rsidR="00C50191">
        <w:rPr>
          <w:color w:val="000000"/>
          <w:sz w:val="24"/>
          <w:szCs w:val="24"/>
          <w:shd w:val="clear" w:color="auto" w:fill="FFFFFF"/>
        </w:rPr>
        <w:t>i</w:t>
      </w:r>
      <w:r w:rsidR="005B2E8F" w:rsidRPr="00733762">
        <w:rPr>
          <w:color w:val="000000"/>
          <w:sz w:val="24"/>
          <w:szCs w:val="24"/>
          <w:shd w:val="clear" w:color="auto" w:fill="FFFFFF"/>
        </w:rPr>
        <w:t xml:space="preserve">t is </w:t>
      </w:r>
      <w:r w:rsidR="00D46867">
        <w:rPr>
          <w:rFonts w:cstheme="minorHAnsi"/>
          <w:sz w:val="24"/>
          <w:szCs w:val="24"/>
        </w:rPr>
        <w:t>established</w:t>
      </w:r>
      <w:r w:rsidR="005B2E8F" w:rsidRPr="00733762">
        <w:rPr>
          <w:rFonts w:cstheme="minorHAnsi"/>
          <w:sz w:val="24"/>
          <w:szCs w:val="24"/>
        </w:rPr>
        <w:t xml:space="preserve"> that it was the prospect of the reunification of Moldova with Romania that led to the secessionist movement.</w:t>
      </w:r>
      <w:r w:rsidR="005B2E8F" w:rsidRPr="00733762">
        <w:rPr>
          <w:rStyle w:val="FootnoteReference"/>
          <w:rFonts w:cstheme="minorHAnsi"/>
          <w:sz w:val="24"/>
          <w:szCs w:val="24"/>
        </w:rPr>
        <w:footnoteReference w:id="315"/>
      </w:r>
      <w:r w:rsidR="005B2E8F" w:rsidRPr="00733762">
        <w:rPr>
          <w:rFonts w:cstheme="minorHAnsi"/>
          <w:sz w:val="24"/>
          <w:szCs w:val="24"/>
        </w:rPr>
        <w:t xml:space="preserve"> </w:t>
      </w:r>
      <w:r w:rsidRPr="00EC6853">
        <w:rPr>
          <w:rFonts w:cstheme="minorHAnsi"/>
          <w:sz w:val="24"/>
          <w:szCs w:val="24"/>
        </w:rPr>
        <w:t>Nagorno-Karabakh also complained about the lack of autonomy within Azerbaijan and discriminatory policies</w:t>
      </w:r>
      <w:r w:rsidRPr="00EC6853">
        <w:rPr>
          <w:rStyle w:val="FootnoteReference"/>
          <w:rFonts w:cstheme="minorHAnsi"/>
          <w:sz w:val="24"/>
          <w:szCs w:val="24"/>
        </w:rPr>
        <w:footnoteReference w:id="316"/>
      </w:r>
      <w:r w:rsidR="00D27DB9">
        <w:rPr>
          <w:rFonts w:cstheme="minorHAnsi"/>
          <w:sz w:val="24"/>
          <w:szCs w:val="24"/>
        </w:rPr>
        <w:t xml:space="preserve"> but these seem to be less prominently mentioned in the literature.</w:t>
      </w:r>
      <w:r w:rsidR="0026171D">
        <w:rPr>
          <w:rFonts w:cstheme="minorHAnsi"/>
          <w:sz w:val="24"/>
          <w:szCs w:val="24"/>
        </w:rPr>
        <w:t xml:space="preserve"> It is </w:t>
      </w:r>
      <w:r w:rsidR="00D75AC6">
        <w:rPr>
          <w:rFonts w:cstheme="minorHAnsi"/>
          <w:sz w:val="24"/>
          <w:szCs w:val="24"/>
        </w:rPr>
        <w:t>nevertheless</w:t>
      </w:r>
      <w:r w:rsidR="0026171D">
        <w:rPr>
          <w:rFonts w:cstheme="minorHAnsi"/>
          <w:sz w:val="24"/>
          <w:szCs w:val="24"/>
        </w:rPr>
        <w:t xml:space="preserve"> doubtful that the threshold of violations of human and especially minority rights </w:t>
      </w:r>
      <w:r w:rsidR="00C2436E">
        <w:rPr>
          <w:rFonts w:cstheme="minorHAnsi"/>
          <w:sz w:val="24"/>
          <w:szCs w:val="24"/>
        </w:rPr>
        <w:t>reaches</w:t>
      </w:r>
      <w:r w:rsidR="0026171D">
        <w:rPr>
          <w:rFonts w:cstheme="minorHAnsi"/>
          <w:sz w:val="24"/>
          <w:szCs w:val="24"/>
        </w:rPr>
        <w:t xml:space="preserve"> the level required to claim remedial secession.</w:t>
      </w:r>
      <w:r w:rsidR="00D75AC6">
        <w:rPr>
          <w:rStyle w:val="FootnoteReference"/>
          <w:rFonts w:cstheme="minorHAnsi"/>
          <w:sz w:val="24"/>
          <w:szCs w:val="24"/>
        </w:rPr>
        <w:footnoteReference w:id="317"/>
      </w:r>
      <w:r w:rsidR="0026171D">
        <w:rPr>
          <w:rFonts w:cstheme="minorHAnsi"/>
          <w:sz w:val="24"/>
          <w:szCs w:val="24"/>
        </w:rPr>
        <w:t xml:space="preserve"> </w:t>
      </w:r>
      <w:r w:rsidR="00103CE7">
        <w:rPr>
          <w:rFonts w:cstheme="minorHAnsi"/>
          <w:sz w:val="24"/>
          <w:szCs w:val="24"/>
        </w:rPr>
        <w:t xml:space="preserve">Some </w:t>
      </w:r>
      <w:r w:rsidR="00103CE7">
        <w:rPr>
          <w:rFonts w:cstheme="minorHAnsi"/>
          <w:i/>
          <w:iCs/>
          <w:sz w:val="24"/>
          <w:szCs w:val="24"/>
        </w:rPr>
        <w:t xml:space="preserve">de </w:t>
      </w:r>
      <w:r w:rsidR="00103CE7" w:rsidRPr="00D8618B">
        <w:rPr>
          <w:rFonts w:cstheme="minorHAnsi"/>
          <w:i/>
          <w:iCs/>
          <w:sz w:val="24"/>
          <w:szCs w:val="24"/>
        </w:rPr>
        <w:t xml:space="preserve">facto </w:t>
      </w:r>
      <w:r w:rsidR="00103CE7" w:rsidRPr="00D8618B">
        <w:rPr>
          <w:rFonts w:cstheme="minorHAnsi"/>
          <w:sz w:val="24"/>
          <w:szCs w:val="24"/>
        </w:rPr>
        <w:t xml:space="preserve">States have incorrectly labelled some of the policies </w:t>
      </w:r>
      <w:r w:rsidR="005B2E8F">
        <w:rPr>
          <w:rFonts w:cstheme="minorHAnsi"/>
          <w:sz w:val="24"/>
          <w:szCs w:val="24"/>
        </w:rPr>
        <w:t>‘</w:t>
      </w:r>
      <w:r w:rsidR="00103CE7" w:rsidRPr="00D8618B">
        <w:rPr>
          <w:rFonts w:cstheme="minorHAnsi"/>
          <w:sz w:val="24"/>
          <w:szCs w:val="24"/>
        </w:rPr>
        <w:t>genocidal</w:t>
      </w:r>
      <w:r w:rsidR="005B2E8F">
        <w:rPr>
          <w:rFonts w:cstheme="minorHAnsi"/>
          <w:sz w:val="24"/>
          <w:szCs w:val="24"/>
        </w:rPr>
        <w:t>’</w:t>
      </w:r>
      <w:r w:rsidR="00103CE7" w:rsidRPr="00D8618B">
        <w:rPr>
          <w:rFonts w:cstheme="minorHAnsi"/>
          <w:sz w:val="24"/>
          <w:szCs w:val="24"/>
        </w:rPr>
        <w:t>. T</w:t>
      </w:r>
      <w:r w:rsidR="00D8618B" w:rsidRPr="00D8618B">
        <w:rPr>
          <w:rFonts w:cstheme="minorHAnsi"/>
          <w:sz w:val="24"/>
          <w:szCs w:val="24"/>
        </w:rPr>
        <w:t>he T</w:t>
      </w:r>
      <w:r w:rsidR="00103CE7" w:rsidRPr="00D8618B">
        <w:rPr>
          <w:rFonts w:cstheme="minorHAnsi"/>
          <w:sz w:val="24"/>
          <w:szCs w:val="24"/>
        </w:rPr>
        <w:t>ransnistria</w:t>
      </w:r>
      <w:r w:rsidR="00D8618B" w:rsidRPr="00D8618B">
        <w:rPr>
          <w:rFonts w:cstheme="minorHAnsi"/>
          <w:sz w:val="24"/>
          <w:szCs w:val="24"/>
        </w:rPr>
        <w:t>n authorities</w:t>
      </w:r>
      <w:r w:rsidR="00103CE7" w:rsidRPr="00D8618B">
        <w:rPr>
          <w:rFonts w:cstheme="minorHAnsi"/>
          <w:sz w:val="24"/>
          <w:szCs w:val="24"/>
        </w:rPr>
        <w:t xml:space="preserve"> referred to </w:t>
      </w:r>
      <w:r w:rsidR="00D8618B" w:rsidRPr="00D8618B">
        <w:rPr>
          <w:rFonts w:cstheme="minorHAnsi"/>
          <w:sz w:val="24"/>
          <w:szCs w:val="24"/>
        </w:rPr>
        <w:t>‘</w:t>
      </w:r>
      <w:r w:rsidR="00103CE7" w:rsidRPr="00D8618B">
        <w:rPr>
          <w:color w:val="000000"/>
          <w:sz w:val="24"/>
          <w:szCs w:val="24"/>
          <w:shd w:val="clear" w:color="auto" w:fill="FFFFFF"/>
        </w:rPr>
        <w:t>the policy of genocide against a part, as Moldova considers, of its people.’</w:t>
      </w:r>
      <w:r w:rsidR="00103CE7" w:rsidRPr="00D8618B">
        <w:rPr>
          <w:rStyle w:val="FootnoteReference"/>
          <w:color w:val="000000"/>
          <w:sz w:val="24"/>
          <w:szCs w:val="24"/>
          <w:shd w:val="clear" w:color="auto" w:fill="FFFFFF"/>
        </w:rPr>
        <w:footnoteReference w:id="318"/>
      </w:r>
      <w:r w:rsidR="00AA2DE2">
        <w:rPr>
          <w:color w:val="000000"/>
          <w:sz w:val="24"/>
          <w:szCs w:val="24"/>
          <w:shd w:val="clear" w:color="auto" w:fill="FFFFFF"/>
        </w:rPr>
        <w:t xml:space="preserve"> </w:t>
      </w:r>
      <w:r w:rsidR="006523AC">
        <w:rPr>
          <w:color w:val="000000"/>
          <w:sz w:val="24"/>
          <w:szCs w:val="24"/>
          <w:shd w:val="clear" w:color="auto" w:fill="FFFFFF"/>
        </w:rPr>
        <w:t xml:space="preserve">In 2004 </w:t>
      </w:r>
      <w:proofErr w:type="spellStart"/>
      <w:r w:rsidR="006523AC">
        <w:rPr>
          <w:color w:val="000000"/>
          <w:sz w:val="24"/>
          <w:szCs w:val="24"/>
          <w:shd w:val="clear" w:color="auto" w:fill="FFFFFF"/>
        </w:rPr>
        <w:t>Koko</w:t>
      </w:r>
      <w:r w:rsidR="006523AC">
        <w:rPr>
          <w:rFonts w:cstheme="minorHAnsi"/>
          <w:color w:val="000000"/>
          <w:sz w:val="24"/>
          <w:szCs w:val="24"/>
          <w:shd w:val="clear" w:color="auto" w:fill="FFFFFF"/>
        </w:rPr>
        <w:t>ï</w:t>
      </w:r>
      <w:r w:rsidR="006523AC">
        <w:rPr>
          <w:color w:val="000000"/>
          <w:sz w:val="24"/>
          <w:szCs w:val="24"/>
          <w:shd w:val="clear" w:color="auto" w:fill="FFFFFF"/>
        </w:rPr>
        <w:t>ty</w:t>
      </w:r>
      <w:proofErr w:type="spellEnd"/>
      <w:r w:rsidR="006523AC">
        <w:rPr>
          <w:color w:val="000000"/>
          <w:sz w:val="24"/>
          <w:szCs w:val="24"/>
          <w:shd w:val="clear" w:color="auto" w:fill="FFFFFF"/>
        </w:rPr>
        <w:t>, President of South Ossetia</w:t>
      </w:r>
      <w:r w:rsidR="00177D5D">
        <w:rPr>
          <w:color w:val="000000"/>
          <w:sz w:val="24"/>
          <w:szCs w:val="24"/>
          <w:shd w:val="clear" w:color="auto" w:fill="FFFFFF"/>
        </w:rPr>
        <w:t>,</w:t>
      </w:r>
      <w:r w:rsidR="006523AC">
        <w:rPr>
          <w:color w:val="000000"/>
          <w:sz w:val="24"/>
          <w:szCs w:val="24"/>
          <w:shd w:val="clear" w:color="auto" w:fill="FFFFFF"/>
        </w:rPr>
        <w:t xml:space="preserve"> requested from the Georgian Parliament the recognition of the genocide of the South Ossetian people between 1989 and 1991.</w:t>
      </w:r>
      <w:r w:rsidR="006523AC">
        <w:rPr>
          <w:rStyle w:val="FootnoteReference"/>
          <w:color w:val="000000"/>
          <w:sz w:val="24"/>
          <w:szCs w:val="24"/>
          <w:shd w:val="clear" w:color="auto" w:fill="FFFFFF"/>
        </w:rPr>
        <w:footnoteReference w:id="319"/>
      </w:r>
      <w:r w:rsidR="006523AC">
        <w:rPr>
          <w:color w:val="000000"/>
          <w:sz w:val="24"/>
          <w:szCs w:val="24"/>
          <w:shd w:val="clear" w:color="auto" w:fill="FFFFFF"/>
        </w:rPr>
        <w:t xml:space="preserve"> </w:t>
      </w:r>
      <w:r w:rsidR="00D75AC6">
        <w:rPr>
          <w:color w:val="000000"/>
          <w:sz w:val="24"/>
          <w:szCs w:val="24"/>
          <w:shd w:val="clear" w:color="auto" w:fill="FFFFFF"/>
        </w:rPr>
        <w:t>These are unsubstantiated claims.</w:t>
      </w:r>
      <w:r w:rsidR="00C50191">
        <w:rPr>
          <w:rStyle w:val="FootnoteReference"/>
          <w:color w:val="000000"/>
          <w:sz w:val="24"/>
          <w:szCs w:val="24"/>
          <w:shd w:val="clear" w:color="auto" w:fill="FFFFFF"/>
        </w:rPr>
        <w:footnoteReference w:id="320"/>
      </w:r>
    </w:p>
    <w:p w14:paraId="15B94240" w14:textId="7F2F55BB" w:rsidR="002B5268" w:rsidRDefault="002B5268" w:rsidP="00103CE7">
      <w:pPr>
        <w:spacing w:after="0" w:line="240" w:lineRule="auto"/>
        <w:jc w:val="both"/>
        <w:rPr>
          <w:color w:val="000000"/>
          <w:sz w:val="24"/>
          <w:szCs w:val="24"/>
          <w:shd w:val="clear" w:color="auto" w:fill="FFFFFF"/>
        </w:rPr>
      </w:pPr>
    </w:p>
    <w:p w14:paraId="55F8E7E2" w14:textId="63D499F5" w:rsidR="002B5268" w:rsidRPr="00D8618B" w:rsidRDefault="00706665" w:rsidP="002B5268">
      <w:pPr>
        <w:pStyle w:val="Heading4"/>
        <w:rPr>
          <w:shd w:val="clear" w:color="auto" w:fill="FFFFFF"/>
        </w:rPr>
      </w:pPr>
      <w:r>
        <w:rPr>
          <w:shd w:val="clear" w:color="auto" w:fill="FFFFFF"/>
        </w:rPr>
        <w:lastRenderedPageBreak/>
        <w:t xml:space="preserve">3.2.3. </w:t>
      </w:r>
      <w:r w:rsidR="00693C4C">
        <w:rPr>
          <w:shd w:val="clear" w:color="auto" w:fill="FFFFFF"/>
        </w:rPr>
        <w:t>Expressing t</w:t>
      </w:r>
      <w:r w:rsidR="002B5268">
        <w:rPr>
          <w:shd w:val="clear" w:color="auto" w:fill="FFFFFF"/>
        </w:rPr>
        <w:t xml:space="preserve">he Right of Self-Determination </w:t>
      </w:r>
      <w:r w:rsidR="00693C4C">
        <w:rPr>
          <w:shd w:val="clear" w:color="auto" w:fill="FFFFFF"/>
        </w:rPr>
        <w:t>by Way of Referendum</w:t>
      </w:r>
    </w:p>
    <w:p w14:paraId="737284D5" w14:textId="362E421A" w:rsidR="00513DC6" w:rsidRDefault="00513DC6" w:rsidP="000176C0">
      <w:pPr>
        <w:spacing w:after="0" w:line="240" w:lineRule="auto"/>
        <w:jc w:val="both"/>
        <w:rPr>
          <w:rFonts w:cstheme="minorHAnsi"/>
          <w:sz w:val="24"/>
          <w:szCs w:val="24"/>
        </w:rPr>
      </w:pPr>
      <w:r>
        <w:rPr>
          <w:rFonts w:cstheme="minorHAnsi"/>
          <w:sz w:val="24"/>
          <w:szCs w:val="24"/>
        </w:rPr>
        <w:t>In addition, the external right of self-determination ‘must be the expression of the free and genuine will of the people concerned.’</w:t>
      </w:r>
      <w:r>
        <w:rPr>
          <w:rStyle w:val="FootnoteReference"/>
          <w:rFonts w:cstheme="minorHAnsi"/>
          <w:sz w:val="24"/>
          <w:szCs w:val="24"/>
        </w:rPr>
        <w:footnoteReference w:id="321"/>
      </w:r>
      <w:r>
        <w:rPr>
          <w:rFonts w:cstheme="minorHAnsi"/>
          <w:sz w:val="24"/>
          <w:szCs w:val="24"/>
        </w:rPr>
        <w:t xml:space="preserve"> Though this statement was made</w:t>
      </w:r>
      <w:r w:rsidR="00FC3B3D">
        <w:rPr>
          <w:rFonts w:cstheme="minorHAnsi"/>
          <w:sz w:val="24"/>
          <w:szCs w:val="24"/>
        </w:rPr>
        <w:t xml:space="preserve"> by the ICJ</w:t>
      </w:r>
      <w:r>
        <w:rPr>
          <w:rFonts w:cstheme="minorHAnsi"/>
          <w:sz w:val="24"/>
          <w:szCs w:val="24"/>
        </w:rPr>
        <w:t xml:space="preserve"> in relation to non-self-governing territories and thus</w:t>
      </w:r>
      <w:r w:rsidR="007F778F">
        <w:rPr>
          <w:rFonts w:cstheme="minorHAnsi"/>
          <w:sz w:val="24"/>
          <w:szCs w:val="24"/>
        </w:rPr>
        <w:t xml:space="preserve"> in the context of</w:t>
      </w:r>
      <w:r>
        <w:rPr>
          <w:rFonts w:cstheme="minorHAnsi"/>
          <w:sz w:val="24"/>
          <w:szCs w:val="24"/>
        </w:rPr>
        <w:t xml:space="preserve"> decolonisation, academics and legal instruments have stressed the importance of ensuring that the people express their will. </w:t>
      </w:r>
      <w:r w:rsidRPr="00254D98">
        <w:rPr>
          <w:rFonts w:cstheme="minorHAnsi"/>
          <w:sz w:val="24"/>
          <w:szCs w:val="24"/>
        </w:rPr>
        <w:t>Crawford</w:t>
      </w:r>
      <w:r>
        <w:rPr>
          <w:rFonts w:cstheme="minorHAnsi"/>
          <w:sz w:val="24"/>
          <w:szCs w:val="24"/>
        </w:rPr>
        <w:t xml:space="preserve"> </w:t>
      </w:r>
      <w:r w:rsidR="0026171D" w:rsidRPr="00D8618B">
        <w:rPr>
          <w:rFonts w:cstheme="minorHAnsi"/>
          <w:sz w:val="24"/>
          <w:szCs w:val="24"/>
        </w:rPr>
        <w:t>argue</w:t>
      </w:r>
      <w:r>
        <w:rPr>
          <w:rFonts w:cstheme="minorHAnsi"/>
          <w:sz w:val="24"/>
          <w:szCs w:val="24"/>
        </w:rPr>
        <w:t>s</w:t>
      </w:r>
      <w:r w:rsidR="0026171D" w:rsidRPr="00D8618B">
        <w:rPr>
          <w:rFonts w:cstheme="minorHAnsi"/>
          <w:sz w:val="24"/>
          <w:szCs w:val="24"/>
        </w:rPr>
        <w:t xml:space="preserve"> that </w:t>
      </w:r>
      <w:r w:rsidR="005D1E9A" w:rsidRPr="00D8618B">
        <w:rPr>
          <w:rFonts w:cstheme="minorHAnsi"/>
          <w:sz w:val="24"/>
          <w:szCs w:val="24"/>
        </w:rPr>
        <w:t>if</w:t>
      </w:r>
      <w:r w:rsidR="0026171D" w:rsidRPr="00D8618B">
        <w:rPr>
          <w:rFonts w:cstheme="minorHAnsi"/>
          <w:sz w:val="24"/>
          <w:szCs w:val="24"/>
        </w:rPr>
        <w:t xml:space="preserve"> the</w:t>
      </w:r>
      <w:r w:rsidR="005D1E9A" w:rsidRPr="00D8618B">
        <w:rPr>
          <w:rFonts w:cstheme="minorHAnsi"/>
          <w:sz w:val="24"/>
          <w:szCs w:val="24"/>
        </w:rPr>
        <w:t xml:space="preserve"> ‘State forcibly denies self-determination to the</w:t>
      </w:r>
      <w:r w:rsidR="005D1E9A">
        <w:rPr>
          <w:rFonts w:cstheme="minorHAnsi"/>
          <w:sz w:val="24"/>
          <w:szCs w:val="24"/>
        </w:rPr>
        <w:t xml:space="preserve"> territory in question […] the principle of self-determination operates in favour of the statehood of the seceding territory, </w:t>
      </w:r>
      <w:r w:rsidR="005D1E9A" w:rsidRPr="0026171D">
        <w:rPr>
          <w:rFonts w:cstheme="minorHAnsi"/>
          <w:i/>
          <w:iCs/>
          <w:sz w:val="24"/>
          <w:szCs w:val="24"/>
        </w:rPr>
        <w:t>provided that the seceding government can properly be regarded as representative of the people of the territory</w:t>
      </w:r>
      <w:r w:rsidR="005D1E9A">
        <w:rPr>
          <w:rFonts w:cstheme="minorHAnsi"/>
          <w:sz w:val="24"/>
          <w:szCs w:val="24"/>
        </w:rPr>
        <w:t>’</w:t>
      </w:r>
      <w:r w:rsidR="0026171D">
        <w:rPr>
          <w:rFonts w:cstheme="minorHAnsi"/>
          <w:sz w:val="24"/>
          <w:szCs w:val="24"/>
        </w:rPr>
        <w:t>.</w:t>
      </w:r>
      <w:r w:rsidR="005D1E9A">
        <w:rPr>
          <w:rStyle w:val="FootnoteReference"/>
          <w:rFonts w:cstheme="minorHAnsi"/>
          <w:sz w:val="24"/>
          <w:szCs w:val="24"/>
        </w:rPr>
        <w:footnoteReference w:id="322"/>
      </w:r>
      <w:r w:rsidR="0026171D">
        <w:rPr>
          <w:rFonts w:cstheme="minorHAnsi"/>
          <w:sz w:val="24"/>
          <w:szCs w:val="24"/>
        </w:rPr>
        <w:t xml:space="preserve"> </w:t>
      </w:r>
      <w:r>
        <w:rPr>
          <w:rFonts w:cstheme="minorHAnsi"/>
          <w:sz w:val="24"/>
          <w:szCs w:val="24"/>
        </w:rPr>
        <w:t>A slightly different</w:t>
      </w:r>
      <w:r w:rsidR="0026171D">
        <w:rPr>
          <w:rFonts w:cstheme="minorHAnsi"/>
          <w:sz w:val="24"/>
          <w:szCs w:val="24"/>
        </w:rPr>
        <w:t xml:space="preserve"> position</w:t>
      </w:r>
      <w:r>
        <w:rPr>
          <w:rFonts w:cstheme="minorHAnsi"/>
          <w:sz w:val="24"/>
          <w:szCs w:val="24"/>
        </w:rPr>
        <w:t xml:space="preserve"> is adopted by the</w:t>
      </w:r>
      <w:r w:rsidR="008200C0">
        <w:rPr>
          <w:rFonts w:cstheme="minorHAnsi"/>
          <w:sz w:val="24"/>
          <w:szCs w:val="24"/>
        </w:rPr>
        <w:t xml:space="preserve"> Parliamentary Assembly of the</w:t>
      </w:r>
      <w:r>
        <w:rPr>
          <w:rFonts w:cstheme="minorHAnsi"/>
          <w:sz w:val="24"/>
          <w:szCs w:val="24"/>
        </w:rPr>
        <w:t xml:space="preserve"> Council of Europe: it does not refer to (forceful) secession from a State and </w:t>
      </w:r>
      <w:r w:rsidR="008200C0">
        <w:rPr>
          <w:rFonts w:cstheme="minorHAnsi"/>
          <w:sz w:val="24"/>
          <w:szCs w:val="24"/>
        </w:rPr>
        <w:t>focuses more on the people than on the government</w:t>
      </w:r>
      <w:r w:rsidR="00177D5D">
        <w:rPr>
          <w:rFonts w:cstheme="minorHAnsi"/>
          <w:sz w:val="24"/>
          <w:szCs w:val="24"/>
        </w:rPr>
        <w:t>:</w:t>
      </w:r>
      <w:r w:rsidR="008200C0">
        <w:rPr>
          <w:rFonts w:cstheme="minorHAnsi"/>
          <w:sz w:val="24"/>
          <w:szCs w:val="24"/>
        </w:rPr>
        <w:t xml:space="preserve"> </w:t>
      </w:r>
      <w:r w:rsidR="00FC661E" w:rsidRPr="00EC6853">
        <w:rPr>
          <w:rFonts w:cstheme="minorHAnsi"/>
          <w:sz w:val="24"/>
          <w:szCs w:val="24"/>
        </w:rPr>
        <w:t>‘</w:t>
      </w:r>
      <w:r w:rsidR="00FC661E" w:rsidRPr="00EC6853">
        <w:rPr>
          <w:rFonts w:cstheme="minorHAnsi"/>
          <w:color w:val="000000"/>
          <w:sz w:val="24"/>
          <w:szCs w:val="24"/>
          <w:shd w:val="clear" w:color="auto" w:fill="FFFFFF"/>
        </w:rPr>
        <w:t xml:space="preserve">independence and secession of a regional territory from a state may only be achieved through a lawful and </w:t>
      </w:r>
      <w:r w:rsidR="00FC661E" w:rsidRPr="00112E83">
        <w:rPr>
          <w:rFonts w:cstheme="minorHAnsi"/>
          <w:color w:val="000000"/>
          <w:sz w:val="24"/>
          <w:szCs w:val="24"/>
          <w:shd w:val="clear" w:color="auto" w:fill="FFFFFF"/>
        </w:rPr>
        <w:t>peaceful</w:t>
      </w:r>
      <w:r w:rsidR="00FC661E" w:rsidRPr="00EC6853">
        <w:rPr>
          <w:rFonts w:cstheme="minorHAnsi"/>
          <w:color w:val="000000"/>
          <w:sz w:val="24"/>
          <w:szCs w:val="24"/>
          <w:shd w:val="clear" w:color="auto" w:fill="FFFFFF"/>
        </w:rPr>
        <w:t xml:space="preserve"> process based on the </w:t>
      </w:r>
      <w:r w:rsidR="00FC661E" w:rsidRPr="00FC661E">
        <w:rPr>
          <w:rFonts w:cstheme="minorHAnsi"/>
          <w:i/>
          <w:iCs/>
          <w:color w:val="000000"/>
          <w:sz w:val="24"/>
          <w:szCs w:val="24"/>
          <w:shd w:val="clear" w:color="auto" w:fill="FFFFFF"/>
        </w:rPr>
        <w:t xml:space="preserve">democratic support of the inhabitants of such territory </w:t>
      </w:r>
      <w:r w:rsidR="0026171D">
        <w:rPr>
          <w:rFonts w:cstheme="minorHAnsi"/>
          <w:color w:val="000000"/>
          <w:sz w:val="24"/>
          <w:szCs w:val="24"/>
          <w:shd w:val="clear" w:color="auto" w:fill="FFFFFF"/>
        </w:rPr>
        <w:t>[…]</w:t>
      </w:r>
      <w:r w:rsidR="00FC661E" w:rsidRPr="00EC6853">
        <w:rPr>
          <w:rFonts w:cstheme="minorHAnsi"/>
          <w:color w:val="000000"/>
          <w:sz w:val="24"/>
          <w:szCs w:val="24"/>
          <w:shd w:val="clear" w:color="auto" w:fill="FFFFFF"/>
        </w:rPr>
        <w:t>.’</w:t>
      </w:r>
      <w:r w:rsidR="00FC661E" w:rsidRPr="00EC6853">
        <w:rPr>
          <w:rStyle w:val="FootnoteReference"/>
          <w:rFonts w:cstheme="minorHAnsi"/>
          <w:color w:val="000000"/>
          <w:sz w:val="24"/>
          <w:szCs w:val="24"/>
          <w:shd w:val="clear" w:color="auto" w:fill="FFFFFF"/>
        </w:rPr>
        <w:footnoteReference w:id="323"/>
      </w:r>
      <w:r w:rsidR="0026171D" w:rsidRPr="0026171D">
        <w:rPr>
          <w:rFonts w:cstheme="minorHAnsi"/>
          <w:sz w:val="24"/>
          <w:szCs w:val="24"/>
        </w:rPr>
        <w:t xml:space="preserve"> </w:t>
      </w:r>
    </w:p>
    <w:p w14:paraId="295B2275" w14:textId="1546BC7A" w:rsidR="00D8618B" w:rsidRDefault="00787572" w:rsidP="000176C0">
      <w:pPr>
        <w:spacing w:after="0" w:line="240" w:lineRule="auto"/>
        <w:jc w:val="both"/>
        <w:rPr>
          <w:rFonts w:cstheme="minorHAnsi"/>
          <w:sz w:val="24"/>
          <w:szCs w:val="24"/>
        </w:rPr>
      </w:pPr>
      <w:r>
        <w:rPr>
          <w:rFonts w:cstheme="minorHAnsi"/>
          <w:sz w:val="24"/>
          <w:szCs w:val="24"/>
        </w:rPr>
        <w:t>T</w:t>
      </w:r>
      <w:r w:rsidR="00D63B46">
        <w:rPr>
          <w:rFonts w:cstheme="minorHAnsi"/>
          <w:sz w:val="24"/>
          <w:szCs w:val="24"/>
        </w:rPr>
        <w:t xml:space="preserve">he </w:t>
      </w:r>
      <w:proofErr w:type="spellStart"/>
      <w:r w:rsidR="00D63B46">
        <w:rPr>
          <w:rFonts w:cstheme="minorHAnsi"/>
          <w:sz w:val="24"/>
          <w:szCs w:val="24"/>
        </w:rPr>
        <w:t>Badinter</w:t>
      </w:r>
      <w:proofErr w:type="spellEnd"/>
      <w:r w:rsidR="00D63B46">
        <w:rPr>
          <w:rFonts w:cstheme="minorHAnsi"/>
          <w:sz w:val="24"/>
          <w:szCs w:val="24"/>
        </w:rPr>
        <w:t xml:space="preserve"> Committee established </w:t>
      </w:r>
      <w:r w:rsidR="0026171D">
        <w:rPr>
          <w:rFonts w:cstheme="minorHAnsi"/>
          <w:sz w:val="24"/>
          <w:szCs w:val="24"/>
        </w:rPr>
        <w:t>r</w:t>
      </w:r>
      <w:r w:rsidR="0026171D" w:rsidRPr="00EC6853">
        <w:rPr>
          <w:rFonts w:cstheme="minorHAnsi"/>
          <w:sz w:val="24"/>
          <w:szCs w:val="24"/>
        </w:rPr>
        <w:t>eferend</w:t>
      </w:r>
      <w:r w:rsidR="00D8618B">
        <w:rPr>
          <w:rFonts w:cstheme="minorHAnsi"/>
          <w:sz w:val="24"/>
          <w:szCs w:val="24"/>
        </w:rPr>
        <w:t>ums</w:t>
      </w:r>
      <w:r w:rsidR="0026171D">
        <w:rPr>
          <w:rFonts w:cstheme="minorHAnsi"/>
          <w:sz w:val="24"/>
          <w:szCs w:val="24"/>
        </w:rPr>
        <w:t xml:space="preserve"> a</w:t>
      </w:r>
      <w:r w:rsidR="00D63B46">
        <w:rPr>
          <w:rFonts w:cstheme="minorHAnsi"/>
          <w:sz w:val="24"/>
          <w:szCs w:val="24"/>
        </w:rPr>
        <w:t xml:space="preserve">s </w:t>
      </w:r>
      <w:r w:rsidR="0026171D">
        <w:rPr>
          <w:rFonts w:cstheme="minorHAnsi"/>
          <w:sz w:val="24"/>
          <w:szCs w:val="24"/>
        </w:rPr>
        <w:t>a</w:t>
      </w:r>
      <w:r w:rsidR="0026171D" w:rsidRPr="00EC6853">
        <w:rPr>
          <w:rFonts w:cstheme="minorHAnsi"/>
          <w:sz w:val="24"/>
          <w:szCs w:val="24"/>
        </w:rPr>
        <w:t xml:space="preserve"> test </w:t>
      </w:r>
      <w:r w:rsidR="00D63B46">
        <w:rPr>
          <w:rFonts w:cstheme="minorHAnsi"/>
          <w:sz w:val="24"/>
          <w:szCs w:val="24"/>
        </w:rPr>
        <w:t xml:space="preserve">to express the wishes of the population </w:t>
      </w:r>
      <w:r w:rsidR="0026171D" w:rsidRPr="00EC6853">
        <w:rPr>
          <w:rFonts w:cstheme="minorHAnsi"/>
          <w:sz w:val="24"/>
          <w:szCs w:val="24"/>
        </w:rPr>
        <w:t>for se</w:t>
      </w:r>
      <w:r w:rsidR="00D63B46">
        <w:rPr>
          <w:rFonts w:cstheme="minorHAnsi"/>
          <w:sz w:val="24"/>
          <w:szCs w:val="24"/>
        </w:rPr>
        <w:t>cession</w:t>
      </w:r>
      <w:r w:rsidR="00AD1554">
        <w:rPr>
          <w:rFonts w:cstheme="minorHAnsi"/>
          <w:sz w:val="24"/>
          <w:szCs w:val="24"/>
        </w:rPr>
        <w:t>,</w:t>
      </w:r>
      <w:r w:rsidR="0026171D" w:rsidRPr="00EC6853">
        <w:rPr>
          <w:rStyle w:val="FootnoteReference"/>
          <w:rFonts w:cstheme="minorHAnsi"/>
          <w:sz w:val="24"/>
          <w:szCs w:val="24"/>
        </w:rPr>
        <w:footnoteReference w:id="324"/>
      </w:r>
      <w:r w:rsidR="00AD1554">
        <w:rPr>
          <w:rFonts w:cstheme="minorHAnsi"/>
          <w:sz w:val="24"/>
          <w:szCs w:val="24"/>
        </w:rPr>
        <w:t xml:space="preserve"> but it is debatable whether holding a referendum is a requirement under customary international law</w:t>
      </w:r>
      <w:r w:rsidR="00AD1554">
        <w:rPr>
          <w:rStyle w:val="FootnoteReference"/>
          <w:rFonts w:cstheme="minorHAnsi"/>
          <w:sz w:val="24"/>
          <w:szCs w:val="24"/>
        </w:rPr>
        <w:footnoteReference w:id="325"/>
      </w:r>
      <w:r w:rsidR="00AD1554">
        <w:rPr>
          <w:rFonts w:cstheme="minorHAnsi"/>
          <w:sz w:val="24"/>
          <w:szCs w:val="24"/>
        </w:rPr>
        <w:t xml:space="preserve"> all the more as there might be other ways to show that the seceding government represents the people of the territory.</w:t>
      </w:r>
      <w:r w:rsidR="00D63B46">
        <w:rPr>
          <w:rFonts w:cstheme="minorHAnsi"/>
          <w:sz w:val="24"/>
          <w:szCs w:val="24"/>
        </w:rPr>
        <w:t xml:space="preserve"> </w:t>
      </w:r>
      <w:r w:rsidR="00036E07">
        <w:rPr>
          <w:rFonts w:cstheme="minorHAnsi"/>
          <w:sz w:val="24"/>
          <w:szCs w:val="24"/>
        </w:rPr>
        <w:t xml:space="preserve">Even if the referendum is not legally binding, it still has consequences; it would ‘weaken the democratic </w:t>
      </w:r>
      <w:r w:rsidR="00036E07" w:rsidRPr="005B5A89">
        <w:rPr>
          <w:rFonts w:cstheme="minorHAnsi"/>
          <w:sz w:val="24"/>
          <w:szCs w:val="24"/>
        </w:rPr>
        <w:t>legitimacy’</w:t>
      </w:r>
      <w:r w:rsidR="007F778F" w:rsidRPr="005B5A89">
        <w:rPr>
          <w:rFonts w:cstheme="minorHAnsi"/>
          <w:sz w:val="24"/>
          <w:szCs w:val="24"/>
        </w:rPr>
        <w:t xml:space="preserve"> of the parent</w:t>
      </w:r>
      <w:r w:rsidR="005B5A89" w:rsidRPr="005B5A89">
        <w:rPr>
          <w:rFonts w:cstheme="minorHAnsi"/>
          <w:sz w:val="24"/>
          <w:szCs w:val="24"/>
        </w:rPr>
        <w:t xml:space="preserve"> </w:t>
      </w:r>
      <w:r w:rsidR="007F778F" w:rsidRPr="005B5A89">
        <w:rPr>
          <w:rFonts w:cstheme="minorHAnsi"/>
          <w:sz w:val="24"/>
          <w:szCs w:val="24"/>
        </w:rPr>
        <w:t>State</w:t>
      </w:r>
      <w:r w:rsidR="00036E07" w:rsidRPr="005B5A89">
        <w:rPr>
          <w:rFonts w:cstheme="minorHAnsi"/>
          <w:sz w:val="24"/>
          <w:szCs w:val="24"/>
        </w:rPr>
        <w:t xml:space="preserve"> and ‘support </w:t>
      </w:r>
      <w:r w:rsidR="00036E07">
        <w:rPr>
          <w:rFonts w:cstheme="minorHAnsi"/>
          <w:sz w:val="24"/>
          <w:szCs w:val="24"/>
        </w:rPr>
        <w:t>[…] the democratic credentials of the independence movement’.</w:t>
      </w:r>
      <w:r w:rsidR="00036E07">
        <w:rPr>
          <w:rStyle w:val="FootnoteReference"/>
          <w:rFonts w:cstheme="minorHAnsi"/>
          <w:sz w:val="24"/>
          <w:szCs w:val="24"/>
        </w:rPr>
        <w:footnoteReference w:id="326"/>
      </w:r>
      <w:r w:rsidR="00036E07">
        <w:rPr>
          <w:rFonts w:cstheme="minorHAnsi"/>
          <w:sz w:val="24"/>
          <w:szCs w:val="24"/>
        </w:rPr>
        <w:t xml:space="preserve"> </w:t>
      </w:r>
      <w:r w:rsidR="009E582B">
        <w:rPr>
          <w:rFonts w:cstheme="minorHAnsi"/>
          <w:sz w:val="24"/>
          <w:szCs w:val="24"/>
        </w:rPr>
        <w:t xml:space="preserve">Yet, that does not mean that only a referendum can lead to secession; </w:t>
      </w:r>
      <w:r w:rsidR="00036E07">
        <w:rPr>
          <w:rFonts w:cstheme="minorHAnsi"/>
          <w:sz w:val="24"/>
          <w:szCs w:val="24"/>
        </w:rPr>
        <w:t>the aforementioned</w:t>
      </w:r>
      <w:r w:rsidR="009E582B">
        <w:rPr>
          <w:rFonts w:cstheme="minorHAnsi"/>
          <w:sz w:val="24"/>
          <w:szCs w:val="24"/>
        </w:rPr>
        <w:t xml:space="preserve"> conditions must be fulfilled</w:t>
      </w:r>
      <w:r w:rsidR="002A6E32">
        <w:rPr>
          <w:rFonts w:cstheme="minorHAnsi"/>
          <w:sz w:val="24"/>
          <w:szCs w:val="24"/>
        </w:rPr>
        <w:t xml:space="preserve"> since a referendum ‘is </w:t>
      </w:r>
      <w:r w:rsidR="002A6E32">
        <w:rPr>
          <w:rFonts w:cstheme="minorHAnsi"/>
          <w:i/>
          <w:iCs/>
          <w:sz w:val="24"/>
          <w:szCs w:val="24"/>
        </w:rPr>
        <w:t>not a sufficient</w:t>
      </w:r>
      <w:r w:rsidR="002A6E32">
        <w:rPr>
          <w:rFonts w:cstheme="minorHAnsi"/>
          <w:sz w:val="24"/>
          <w:szCs w:val="24"/>
        </w:rPr>
        <w:t xml:space="preserve"> condition under international law’</w:t>
      </w:r>
      <w:r w:rsidR="009E582B">
        <w:rPr>
          <w:rFonts w:cstheme="minorHAnsi"/>
          <w:sz w:val="24"/>
          <w:szCs w:val="24"/>
        </w:rPr>
        <w:t>.</w:t>
      </w:r>
      <w:r w:rsidR="002A6E32">
        <w:rPr>
          <w:rStyle w:val="FootnoteReference"/>
          <w:rFonts w:cstheme="minorHAnsi"/>
          <w:sz w:val="24"/>
          <w:szCs w:val="24"/>
        </w:rPr>
        <w:footnoteReference w:id="327"/>
      </w:r>
      <w:r w:rsidR="009E582B">
        <w:rPr>
          <w:rFonts w:cstheme="minorHAnsi"/>
          <w:sz w:val="24"/>
          <w:szCs w:val="24"/>
        </w:rPr>
        <w:t xml:space="preserve"> </w:t>
      </w:r>
      <w:r w:rsidR="00036E07" w:rsidRPr="00A25DF3">
        <w:rPr>
          <w:rFonts w:cstheme="minorHAnsi"/>
          <w:sz w:val="24"/>
          <w:szCs w:val="24"/>
        </w:rPr>
        <w:t>Weller</w:t>
      </w:r>
      <w:r w:rsidR="00036E07">
        <w:rPr>
          <w:rFonts w:cstheme="minorHAnsi"/>
          <w:sz w:val="24"/>
          <w:szCs w:val="24"/>
        </w:rPr>
        <w:t xml:space="preserve"> persuasively </w:t>
      </w:r>
      <w:r w:rsidR="00D46867">
        <w:rPr>
          <w:rFonts w:cstheme="minorHAnsi"/>
          <w:sz w:val="24"/>
          <w:szCs w:val="24"/>
        </w:rPr>
        <w:t>maintains</w:t>
      </w:r>
      <w:r w:rsidR="00036E07">
        <w:rPr>
          <w:rFonts w:cstheme="minorHAnsi"/>
          <w:sz w:val="24"/>
          <w:szCs w:val="24"/>
        </w:rPr>
        <w:t xml:space="preserve"> that the</w:t>
      </w:r>
      <w:r w:rsidR="002E7A69">
        <w:rPr>
          <w:rFonts w:cstheme="minorHAnsi"/>
          <w:sz w:val="24"/>
          <w:szCs w:val="24"/>
        </w:rPr>
        <w:t>re are more than the</w:t>
      </w:r>
      <w:r w:rsidR="00036E07">
        <w:rPr>
          <w:rFonts w:cstheme="minorHAnsi"/>
          <w:sz w:val="24"/>
          <w:szCs w:val="24"/>
        </w:rPr>
        <w:t xml:space="preserve"> three situations mentioned in the </w:t>
      </w:r>
      <w:r w:rsidR="00036E07" w:rsidRPr="00254D98">
        <w:rPr>
          <w:rFonts w:cstheme="minorHAnsi"/>
          <w:i/>
          <w:sz w:val="24"/>
          <w:szCs w:val="24"/>
        </w:rPr>
        <w:t>Re Secession of Quebec</w:t>
      </w:r>
      <w:r w:rsidR="00036E07">
        <w:rPr>
          <w:rFonts w:cstheme="minorHAnsi"/>
          <w:i/>
          <w:iCs/>
          <w:sz w:val="24"/>
          <w:szCs w:val="24"/>
        </w:rPr>
        <w:t xml:space="preserve"> </w:t>
      </w:r>
      <w:r w:rsidR="00036E07" w:rsidRPr="00434F9A">
        <w:rPr>
          <w:rFonts w:cstheme="minorHAnsi"/>
          <w:i/>
          <w:iCs/>
          <w:sz w:val="24"/>
          <w:szCs w:val="24"/>
        </w:rPr>
        <w:t>Case</w:t>
      </w:r>
      <w:r w:rsidR="002E7A69">
        <w:rPr>
          <w:rFonts w:cstheme="minorHAnsi"/>
          <w:sz w:val="24"/>
          <w:szCs w:val="24"/>
        </w:rPr>
        <w:t>.</w:t>
      </w:r>
      <w:r w:rsidR="00036E07">
        <w:rPr>
          <w:rFonts w:cstheme="minorHAnsi"/>
          <w:sz w:val="24"/>
          <w:szCs w:val="24"/>
        </w:rPr>
        <w:t xml:space="preserve"> </w:t>
      </w:r>
      <w:r w:rsidR="002E7A69">
        <w:rPr>
          <w:rFonts w:cstheme="minorHAnsi"/>
          <w:sz w:val="24"/>
          <w:szCs w:val="24"/>
        </w:rPr>
        <w:t>I</w:t>
      </w:r>
      <w:r w:rsidR="00036E07">
        <w:rPr>
          <w:rFonts w:cstheme="minorHAnsi"/>
          <w:sz w:val="24"/>
          <w:szCs w:val="24"/>
        </w:rPr>
        <w:t>n the case of implied constitutional self-determination, a referen</w:t>
      </w:r>
      <w:r w:rsidR="00A25DF3">
        <w:rPr>
          <w:rFonts w:cstheme="minorHAnsi"/>
          <w:sz w:val="24"/>
          <w:szCs w:val="24"/>
        </w:rPr>
        <w:t>dum</w:t>
      </w:r>
      <w:r w:rsidR="00036E07">
        <w:rPr>
          <w:rFonts w:cstheme="minorHAnsi"/>
          <w:sz w:val="24"/>
          <w:szCs w:val="24"/>
        </w:rPr>
        <w:t xml:space="preserve"> in favour of independence should be followed by negotiations</w:t>
      </w:r>
      <w:r w:rsidR="002E7A69">
        <w:rPr>
          <w:rFonts w:cstheme="minorHAnsi"/>
          <w:sz w:val="24"/>
          <w:szCs w:val="24"/>
        </w:rPr>
        <w:t xml:space="preserve"> in good faith,</w:t>
      </w:r>
      <w:r w:rsidR="002E7A69">
        <w:rPr>
          <w:rStyle w:val="FootnoteReference"/>
          <w:rFonts w:cstheme="minorHAnsi"/>
          <w:sz w:val="24"/>
          <w:szCs w:val="24"/>
        </w:rPr>
        <w:footnoteReference w:id="328"/>
      </w:r>
      <w:r w:rsidR="002E7A69">
        <w:rPr>
          <w:rFonts w:cstheme="minorHAnsi"/>
          <w:sz w:val="24"/>
          <w:szCs w:val="24"/>
        </w:rPr>
        <w:t xml:space="preserve"> which reinforces the view that it must be a ‘lawful and peaceful process’.</w:t>
      </w:r>
    </w:p>
    <w:p w14:paraId="5B97017E" w14:textId="4BCC7C15" w:rsidR="002C346B" w:rsidRDefault="00D63B46" w:rsidP="000176C0">
      <w:pPr>
        <w:spacing w:after="0" w:line="240" w:lineRule="auto"/>
        <w:jc w:val="both"/>
        <w:rPr>
          <w:rFonts w:cstheme="minorHAnsi"/>
          <w:sz w:val="24"/>
          <w:szCs w:val="24"/>
        </w:rPr>
      </w:pPr>
      <w:r>
        <w:rPr>
          <w:rFonts w:cstheme="minorHAnsi"/>
          <w:sz w:val="24"/>
          <w:szCs w:val="24"/>
        </w:rPr>
        <w:t>Two questions need to be raised</w:t>
      </w:r>
      <w:r w:rsidR="002C346B">
        <w:rPr>
          <w:rFonts w:cstheme="minorHAnsi"/>
          <w:sz w:val="24"/>
          <w:szCs w:val="24"/>
        </w:rPr>
        <w:t xml:space="preserve"> in relation to referendums</w:t>
      </w:r>
      <w:r>
        <w:rPr>
          <w:rFonts w:cstheme="minorHAnsi"/>
          <w:sz w:val="24"/>
          <w:szCs w:val="24"/>
        </w:rPr>
        <w:t xml:space="preserve">. </w:t>
      </w:r>
      <w:r w:rsidR="009363EF">
        <w:rPr>
          <w:rFonts w:cstheme="minorHAnsi"/>
          <w:sz w:val="24"/>
          <w:szCs w:val="24"/>
        </w:rPr>
        <w:t xml:space="preserve">First, </w:t>
      </w:r>
      <w:r w:rsidR="00CF665A">
        <w:rPr>
          <w:rFonts w:cstheme="minorHAnsi"/>
          <w:sz w:val="24"/>
          <w:szCs w:val="24"/>
        </w:rPr>
        <w:t xml:space="preserve">the eligibility of </w:t>
      </w:r>
      <w:r w:rsidR="009363EF">
        <w:rPr>
          <w:rFonts w:cstheme="minorHAnsi"/>
          <w:sz w:val="24"/>
          <w:szCs w:val="24"/>
        </w:rPr>
        <w:t>the voters</w:t>
      </w:r>
      <w:r w:rsidR="00CF665A">
        <w:rPr>
          <w:rFonts w:cstheme="minorHAnsi"/>
          <w:sz w:val="24"/>
          <w:szCs w:val="24"/>
        </w:rPr>
        <w:t>.</w:t>
      </w:r>
      <w:r w:rsidR="009363EF">
        <w:rPr>
          <w:rFonts w:cstheme="minorHAnsi"/>
          <w:sz w:val="24"/>
          <w:szCs w:val="24"/>
        </w:rPr>
        <w:t xml:space="preserve"> S</w:t>
      </w:r>
      <w:r w:rsidRPr="009363EF">
        <w:rPr>
          <w:rFonts w:cstheme="minorHAnsi"/>
          <w:sz w:val="24"/>
          <w:szCs w:val="24"/>
        </w:rPr>
        <w:t xml:space="preserve">hould they include the whole population of the State or should they be limited to those present on the territory of the authority that claims the right of self-determination? Georgia, for example, </w:t>
      </w:r>
      <w:r w:rsidR="00E35E7D">
        <w:rPr>
          <w:rFonts w:cstheme="minorHAnsi"/>
          <w:sz w:val="24"/>
          <w:szCs w:val="24"/>
        </w:rPr>
        <w:t>defended</w:t>
      </w:r>
      <w:r w:rsidRPr="009363EF">
        <w:rPr>
          <w:rFonts w:cstheme="minorHAnsi"/>
          <w:sz w:val="24"/>
          <w:szCs w:val="24"/>
        </w:rPr>
        <w:t xml:space="preserve"> that </w:t>
      </w:r>
      <w:r w:rsidR="000176C0" w:rsidRPr="009363EF">
        <w:rPr>
          <w:rFonts w:cstheme="minorHAnsi"/>
          <w:sz w:val="24"/>
          <w:szCs w:val="24"/>
        </w:rPr>
        <w:t xml:space="preserve">the entire demos </w:t>
      </w:r>
      <w:r w:rsidRPr="009363EF">
        <w:rPr>
          <w:rFonts w:cstheme="minorHAnsi"/>
          <w:sz w:val="24"/>
          <w:szCs w:val="24"/>
        </w:rPr>
        <w:t xml:space="preserve">need to </w:t>
      </w:r>
      <w:r w:rsidR="000176C0" w:rsidRPr="009363EF">
        <w:rPr>
          <w:rFonts w:cstheme="minorHAnsi"/>
          <w:sz w:val="24"/>
          <w:szCs w:val="24"/>
        </w:rPr>
        <w:t xml:space="preserve">take part in </w:t>
      </w:r>
      <w:r w:rsidRPr="009363EF">
        <w:rPr>
          <w:rFonts w:cstheme="minorHAnsi"/>
          <w:sz w:val="24"/>
          <w:szCs w:val="24"/>
        </w:rPr>
        <w:t xml:space="preserve">the exercise of the right of </w:t>
      </w:r>
      <w:r w:rsidR="000176C0" w:rsidRPr="009363EF">
        <w:rPr>
          <w:rFonts w:cstheme="minorHAnsi"/>
          <w:sz w:val="24"/>
          <w:szCs w:val="24"/>
        </w:rPr>
        <w:t>self-determination</w:t>
      </w:r>
      <w:r w:rsidR="004B3E60">
        <w:rPr>
          <w:rFonts w:cstheme="minorHAnsi"/>
          <w:sz w:val="24"/>
          <w:szCs w:val="24"/>
        </w:rPr>
        <w:t>,</w:t>
      </w:r>
      <w:r w:rsidRPr="009363EF">
        <w:rPr>
          <w:rStyle w:val="FootnoteReference"/>
          <w:rFonts w:cstheme="minorHAnsi"/>
          <w:sz w:val="24"/>
          <w:szCs w:val="24"/>
        </w:rPr>
        <w:footnoteReference w:id="329"/>
      </w:r>
      <w:r w:rsidR="004B3E60" w:rsidRPr="004B3E60">
        <w:rPr>
          <w:rFonts w:cstheme="minorHAnsi"/>
          <w:sz w:val="24"/>
          <w:szCs w:val="24"/>
        </w:rPr>
        <w:t xml:space="preserve"> </w:t>
      </w:r>
      <w:r w:rsidR="004B3E60">
        <w:rPr>
          <w:rFonts w:cstheme="minorHAnsi"/>
          <w:sz w:val="24"/>
          <w:szCs w:val="24"/>
        </w:rPr>
        <w:t xml:space="preserve">claiming that </w:t>
      </w:r>
      <w:r w:rsidR="004B3E60" w:rsidRPr="00A26D4C">
        <w:rPr>
          <w:rFonts w:cstheme="minorHAnsi"/>
          <w:sz w:val="24"/>
          <w:szCs w:val="24"/>
        </w:rPr>
        <w:t>‘[c]</w:t>
      </w:r>
      <w:proofErr w:type="spellStart"/>
      <w:r w:rsidR="004B3E60" w:rsidRPr="00A26D4C">
        <w:rPr>
          <w:rFonts w:cstheme="minorHAnsi"/>
          <w:sz w:val="24"/>
          <w:szCs w:val="24"/>
        </w:rPr>
        <w:t>ontemporary</w:t>
      </w:r>
      <w:proofErr w:type="spellEnd"/>
      <w:r w:rsidR="004B3E60" w:rsidRPr="00A26D4C">
        <w:rPr>
          <w:rFonts w:cstheme="minorHAnsi"/>
          <w:sz w:val="24"/>
          <w:szCs w:val="24"/>
        </w:rPr>
        <w:t xml:space="preserve"> international</w:t>
      </w:r>
      <w:r w:rsidR="004B3E60" w:rsidRPr="00EC6853">
        <w:rPr>
          <w:rFonts w:cstheme="minorHAnsi"/>
          <w:sz w:val="24"/>
          <w:szCs w:val="24"/>
        </w:rPr>
        <w:t xml:space="preserve"> law […] repudiate[s] the right of […] peoples to secede unilaterally without taking the will of the whole State into account’</w:t>
      </w:r>
      <w:r w:rsidR="004B3E60">
        <w:rPr>
          <w:rFonts w:cstheme="minorHAnsi"/>
          <w:sz w:val="24"/>
          <w:szCs w:val="24"/>
        </w:rPr>
        <w:t>.</w:t>
      </w:r>
      <w:r w:rsidR="004B3E60" w:rsidRPr="00EC6853">
        <w:rPr>
          <w:rStyle w:val="FootnoteReference"/>
          <w:rFonts w:cstheme="minorHAnsi"/>
          <w:sz w:val="24"/>
          <w:szCs w:val="24"/>
        </w:rPr>
        <w:footnoteReference w:id="330"/>
      </w:r>
      <w:r w:rsidR="004B3E60">
        <w:rPr>
          <w:rFonts w:cstheme="minorHAnsi"/>
          <w:sz w:val="24"/>
          <w:szCs w:val="24"/>
        </w:rPr>
        <w:t xml:space="preserve"> </w:t>
      </w:r>
      <w:r w:rsidR="003B2EFE">
        <w:rPr>
          <w:rFonts w:cstheme="minorHAnsi"/>
          <w:sz w:val="24"/>
          <w:szCs w:val="24"/>
        </w:rPr>
        <w:t xml:space="preserve">In contrast, </w:t>
      </w:r>
      <w:r w:rsidR="008E3B53">
        <w:rPr>
          <w:rFonts w:cstheme="minorHAnsi"/>
          <w:sz w:val="24"/>
          <w:szCs w:val="24"/>
        </w:rPr>
        <w:t>the Venice Commission points out that in general, in federal and non-federal states,</w:t>
      </w:r>
      <w:r w:rsidR="002A6E32">
        <w:rPr>
          <w:rFonts w:cstheme="minorHAnsi"/>
          <w:sz w:val="24"/>
          <w:szCs w:val="24"/>
        </w:rPr>
        <w:t xml:space="preserve"> </w:t>
      </w:r>
      <w:r w:rsidR="008E3B53">
        <w:rPr>
          <w:rFonts w:cstheme="minorHAnsi"/>
          <w:sz w:val="24"/>
          <w:szCs w:val="24"/>
        </w:rPr>
        <w:t>only those registered as the electorate for the territory in question</w:t>
      </w:r>
      <w:r w:rsidR="00843705">
        <w:rPr>
          <w:rFonts w:cstheme="minorHAnsi"/>
          <w:sz w:val="24"/>
          <w:szCs w:val="24"/>
        </w:rPr>
        <w:t xml:space="preserve"> are </w:t>
      </w:r>
      <w:r w:rsidR="00843705">
        <w:rPr>
          <w:rFonts w:cstheme="minorHAnsi"/>
          <w:sz w:val="24"/>
          <w:szCs w:val="24"/>
        </w:rPr>
        <w:lastRenderedPageBreak/>
        <w:t>eligible</w:t>
      </w:r>
      <w:r w:rsidR="003B2EFE">
        <w:rPr>
          <w:rFonts w:cstheme="minorHAnsi"/>
          <w:sz w:val="24"/>
          <w:szCs w:val="24"/>
        </w:rPr>
        <w:t>.</w:t>
      </w:r>
      <w:r w:rsidR="00F80324">
        <w:rPr>
          <w:rStyle w:val="FootnoteReference"/>
          <w:rFonts w:cstheme="minorHAnsi"/>
          <w:sz w:val="24"/>
          <w:szCs w:val="24"/>
        </w:rPr>
        <w:footnoteReference w:id="331"/>
      </w:r>
      <w:r w:rsidR="003B2EFE">
        <w:rPr>
          <w:rFonts w:cstheme="minorHAnsi"/>
          <w:sz w:val="24"/>
          <w:szCs w:val="24"/>
        </w:rPr>
        <w:t xml:space="preserve">  I</w:t>
      </w:r>
      <w:r w:rsidR="00EF3C6A" w:rsidRPr="009363EF">
        <w:rPr>
          <w:rFonts w:cstheme="minorHAnsi"/>
          <w:sz w:val="24"/>
          <w:szCs w:val="24"/>
        </w:rPr>
        <w:t>n Opinion No 4</w:t>
      </w:r>
      <w:r w:rsidR="00843705">
        <w:rPr>
          <w:rFonts w:cstheme="minorHAnsi"/>
          <w:sz w:val="24"/>
          <w:szCs w:val="24"/>
        </w:rPr>
        <w:t>,</w:t>
      </w:r>
      <w:r w:rsidR="00EF3C6A" w:rsidRPr="009363EF">
        <w:rPr>
          <w:rFonts w:cstheme="minorHAnsi"/>
          <w:sz w:val="24"/>
          <w:szCs w:val="24"/>
        </w:rPr>
        <w:t xml:space="preserve"> the </w:t>
      </w:r>
      <w:proofErr w:type="spellStart"/>
      <w:r w:rsidR="00EF3C6A" w:rsidRPr="009363EF">
        <w:rPr>
          <w:rFonts w:cstheme="minorHAnsi"/>
          <w:sz w:val="24"/>
          <w:szCs w:val="24"/>
        </w:rPr>
        <w:t>Badinter</w:t>
      </w:r>
      <w:proofErr w:type="spellEnd"/>
      <w:r w:rsidR="00EF3C6A" w:rsidRPr="009363EF">
        <w:rPr>
          <w:rFonts w:cstheme="minorHAnsi"/>
          <w:sz w:val="24"/>
          <w:szCs w:val="24"/>
        </w:rPr>
        <w:t xml:space="preserve"> Committee stressed that </w:t>
      </w:r>
      <w:r w:rsidR="009363EF" w:rsidRPr="009363EF">
        <w:rPr>
          <w:rFonts w:cstheme="minorHAnsi"/>
          <w:sz w:val="24"/>
          <w:szCs w:val="24"/>
        </w:rPr>
        <w:t>all ethnic groups of a specific territory ought to be allowed to take part in the vote</w:t>
      </w:r>
      <w:r w:rsidR="00F80324">
        <w:rPr>
          <w:rFonts w:cstheme="minorHAnsi"/>
          <w:sz w:val="24"/>
          <w:szCs w:val="24"/>
        </w:rPr>
        <w:t>.</w:t>
      </w:r>
      <w:r w:rsidR="005B2E8F">
        <w:rPr>
          <w:rStyle w:val="FootnoteReference"/>
          <w:rFonts w:cstheme="minorHAnsi"/>
          <w:sz w:val="24"/>
          <w:szCs w:val="24"/>
        </w:rPr>
        <w:footnoteReference w:id="332"/>
      </w:r>
      <w:r w:rsidR="009363EF" w:rsidRPr="009363EF">
        <w:rPr>
          <w:rFonts w:cstheme="minorHAnsi"/>
          <w:sz w:val="24"/>
          <w:szCs w:val="24"/>
        </w:rPr>
        <w:t xml:space="preserve"> </w:t>
      </w:r>
      <w:r w:rsidR="00F80324">
        <w:rPr>
          <w:rFonts w:cstheme="minorHAnsi"/>
          <w:sz w:val="24"/>
          <w:szCs w:val="24"/>
        </w:rPr>
        <w:t>Still, some might choose not to take part.</w:t>
      </w:r>
      <w:r w:rsidR="00A25DF3">
        <w:rPr>
          <w:rStyle w:val="FootnoteReference"/>
          <w:rFonts w:cstheme="minorHAnsi"/>
          <w:sz w:val="24"/>
          <w:szCs w:val="24"/>
        </w:rPr>
        <w:footnoteReference w:id="333"/>
      </w:r>
      <w:r w:rsidR="00F80324">
        <w:rPr>
          <w:rFonts w:cstheme="minorHAnsi"/>
          <w:sz w:val="24"/>
          <w:szCs w:val="24"/>
        </w:rPr>
        <w:t xml:space="preserve"> </w:t>
      </w:r>
      <w:r w:rsidR="00F80324" w:rsidRPr="009363EF">
        <w:rPr>
          <w:rFonts w:cstheme="minorHAnsi"/>
          <w:sz w:val="24"/>
          <w:szCs w:val="24"/>
        </w:rPr>
        <w:t xml:space="preserve">Should this be taken into account? </w:t>
      </w:r>
      <w:r w:rsidR="00F80324">
        <w:rPr>
          <w:rFonts w:cstheme="minorHAnsi"/>
          <w:sz w:val="24"/>
          <w:szCs w:val="24"/>
        </w:rPr>
        <w:t xml:space="preserve">Perhaps not as their lack of participation is in itself the expression of a political opinion. </w:t>
      </w:r>
      <w:r w:rsidR="00F80324" w:rsidRPr="00C43CF8">
        <w:rPr>
          <w:rFonts w:cstheme="minorHAnsi"/>
          <w:sz w:val="24"/>
          <w:szCs w:val="24"/>
        </w:rPr>
        <w:t>As the Venice Commission indicates, ‘</w:t>
      </w:r>
      <w:r w:rsidR="00F80324" w:rsidRPr="00C43CF8">
        <w:rPr>
          <w:sz w:val="24"/>
          <w:szCs w:val="24"/>
        </w:rPr>
        <w:t>a decision to abstain from voting is nevertheless a legitimate attitude that citizens may adopt on a fundamental issue such as national independence’.</w:t>
      </w:r>
      <w:r w:rsidR="00F80324" w:rsidRPr="00C43CF8">
        <w:rPr>
          <w:rStyle w:val="FootnoteReference"/>
          <w:sz w:val="24"/>
          <w:szCs w:val="24"/>
        </w:rPr>
        <w:footnoteReference w:id="334"/>
      </w:r>
      <w:r w:rsidR="00F80324" w:rsidRPr="00C43CF8">
        <w:rPr>
          <w:rFonts w:cstheme="minorHAnsi"/>
          <w:sz w:val="24"/>
          <w:szCs w:val="24"/>
        </w:rPr>
        <w:t xml:space="preserve"> </w:t>
      </w:r>
    </w:p>
    <w:p w14:paraId="673A375A" w14:textId="5CF7397A" w:rsidR="000176C0" w:rsidRDefault="009363EF" w:rsidP="000176C0">
      <w:pPr>
        <w:spacing w:after="0" w:line="240" w:lineRule="auto"/>
        <w:jc w:val="both"/>
        <w:rPr>
          <w:rFonts w:cstheme="minorHAnsi"/>
          <w:sz w:val="24"/>
          <w:szCs w:val="24"/>
        </w:rPr>
      </w:pPr>
      <w:r>
        <w:rPr>
          <w:rFonts w:cstheme="minorHAnsi"/>
          <w:sz w:val="24"/>
          <w:szCs w:val="24"/>
        </w:rPr>
        <w:t xml:space="preserve">Second, which standards should be applied when holding the referendum? </w:t>
      </w:r>
      <w:r w:rsidR="002D537E">
        <w:rPr>
          <w:rFonts w:cstheme="minorHAnsi"/>
          <w:sz w:val="24"/>
          <w:szCs w:val="24"/>
        </w:rPr>
        <w:t xml:space="preserve">At a minimum, the </w:t>
      </w:r>
      <w:r w:rsidR="0001471F">
        <w:rPr>
          <w:rFonts w:cstheme="minorHAnsi"/>
          <w:sz w:val="24"/>
          <w:szCs w:val="24"/>
        </w:rPr>
        <w:t>2007 Code</w:t>
      </w:r>
      <w:r w:rsidR="002D537E">
        <w:rPr>
          <w:rFonts w:cstheme="minorHAnsi"/>
          <w:sz w:val="24"/>
          <w:szCs w:val="24"/>
        </w:rPr>
        <w:t xml:space="preserve"> of Good Practice on Referendums</w:t>
      </w:r>
      <w:r w:rsidR="002D537E">
        <w:rPr>
          <w:rStyle w:val="FootnoteReference"/>
          <w:rFonts w:cstheme="minorHAnsi"/>
          <w:sz w:val="24"/>
          <w:szCs w:val="24"/>
        </w:rPr>
        <w:footnoteReference w:id="335"/>
      </w:r>
      <w:r w:rsidR="002D537E">
        <w:rPr>
          <w:rFonts w:cstheme="minorHAnsi"/>
          <w:sz w:val="24"/>
          <w:szCs w:val="24"/>
        </w:rPr>
        <w:t xml:space="preserve"> elaborated by the Venice Commission ought to be complied with. It reiterates the principles of universal, equal, free and secret suffrage and lays down conditions for implementing such principles</w:t>
      </w:r>
      <w:r w:rsidR="0001471F">
        <w:rPr>
          <w:rFonts w:cstheme="minorHAnsi"/>
          <w:sz w:val="24"/>
          <w:szCs w:val="24"/>
        </w:rPr>
        <w:t>, stressing</w:t>
      </w:r>
      <w:r w:rsidR="002D537E">
        <w:rPr>
          <w:rFonts w:cstheme="minorHAnsi"/>
          <w:sz w:val="24"/>
          <w:szCs w:val="24"/>
        </w:rPr>
        <w:t xml:space="preserve"> the importance of respect for human rights as the basis of democratic referendums</w:t>
      </w:r>
      <w:r w:rsidR="002D537E">
        <w:rPr>
          <w:rStyle w:val="FootnoteReference"/>
          <w:rFonts w:cstheme="minorHAnsi"/>
          <w:sz w:val="24"/>
          <w:szCs w:val="24"/>
        </w:rPr>
        <w:footnoteReference w:id="336"/>
      </w:r>
      <w:r w:rsidR="002D537E">
        <w:rPr>
          <w:rFonts w:cstheme="minorHAnsi"/>
          <w:sz w:val="24"/>
          <w:szCs w:val="24"/>
        </w:rPr>
        <w:t xml:space="preserve"> and encourag</w:t>
      </w:r>
      <w:r w:rsidR="0001471F">
        <w:rPr>
          <w:rFonts w:cstheme="minorHAnsi"/>
          <w:sz w:val="24"/>
          <w:szCs w:val="24"/>
        </w:rPr>
        <w:t>ing</w:t>
      </w:r>
      <w:r w:rsidR="002D537E">
        <w:rPr>
          <w:rFonts w:cstheme="minorHAnsi"/>
          <w:sz w:val="24"/>
          <w:szCs w:val="24"/>
        </w:rPr>
        <w:t xml:space="preserve"> the use of national and international observers.</w:t>
      </w:r>
      <w:r w:rsidR="002D537E">
        <w:rPr>
          <w:rStyle w:val="FootnoteReference"/>
          <w:rFonts w:cstheme="minorHAnsi"/>
          <w:sz w:val="24"/>
          <w:szCs w:val="24"/>
        </w:rPr>
        <w:footnoteReference w:id="337"/>
      </w:r>
      <w:r w:rsidR="002D537E">
        <w:rPr>
          <w:rFonts w:cstheme="minorHAnsi"/>
          <w:sz w:val="24"/>
          <w:szCs w:val="24"/>
        </w:rPr>
        <w:t xml:space="preserve"> </w:t>
      </w:r>
      <w:r w:rsidR="007F0872">
        <w:rPr>
          <w:rFonts w:cstheme="minorHAnsi"/>
          <w:sz w:val="24"/>
          <w:szCs w:val="24"/>
        </w:rPr>
        <w:t xml:space="preserve">Referendums related to the external right of self-determination are </w:t>
      </w:r>
      <w:r w:rsidR="00031CAA">
        <w:rPr>
          <w:rFonts w:cstheme="minorHAnsi"/>
          <w:sz w:val="24"/>
          <w:szCs w:val="24"/>
        </w:rPr>
        <w:t>nevertheless</w:t>
      </w:r>
      <w:r w:rsidR="007F0872">
        <w:rPr>
          <w:rFonts w:cstheme="minorHAnsi"/>
          <w:sz w:val="24"/>
          <w:szCs w:val="24"/>
        </w:rPr>
        <w:t xml:space="preserve"> not mentioned in the Guidelines and one might rightly question whether higher standards should not be applicable given the high stakes of such referendums.</w:t>
      </w:r>
      <w:r w:rsidR="000F6B38">
        <w:rPr>
          <w:rFonts w:cstheme="minorHAnsi"/>
          <w:sz w:val="24"/>
          <w:szCs w:val="24"/>
        </w:rPr>
        <w:t xml:space="preserve"> The latest iterations carried out in Ukraine are testimonies of referendums used to mask territorial expansion.</w:t>
      </w:r>
      <w:r w:rsidR="000F6B38">
        <w:rPr>
          <w:rStyle w:val="FootnoteReference"/>
          <w:rFonts w:cstheme="minorHAnsi"/>
          <w:sz w:val="24"/>
          <w:szCs w:val="24"/>
        </w:rPr>
        <w:footnoteReference w:id="338"/>
      </w:r>
      <w:r w:rsidR="000F6B38">
        <w:rPr>
          <w:rFonts w:cstheme="minorHAnsi"/>
          <w:sz w:val="24"/>
          <w:szCs w:val="24"/>
        </w:rPr>
        <w:t xml:space="preserve"> </w:t>
      </w:r>
      <w:r w:rsidR="00AD1554">
        <w:rPr>
          <w:rFonts w:cstheme="minorHAnsi"/>
          <w:sz w:val="24"/>
          <w:szCs w:val="24"/>
        </w:rPr>
        <w:t xml:space="preserve">However, the Venice Commission </w:t>
      </w:r>
      <w:r w:rsidR="00031CAA">
        <w:rPr>
          <w:rFonts w:cstheme="minorHAnsi"/>
          <w:sz w:val="24"/>
          <w:szCs w:val="24"/>
        </w:rPr>
        <w:t>in its 2005 Opinion on the independence referendum in Montenegro referred to a wide range of guidelines and codes of good practice relating to electoral matters and referendums on the national level</w:t>
      </w:r>
      <w:r w:rsidR="00AD1554">
        <w:rPr>
          <w:rStyle w:val="FootnoteReference"/>
          <w:rFonts w:cstheme="minorHAnsi"/>
          <w:sz w:val="24"/>
          <w:szCs w:val="24"/>
        </w:rPr>
        <w:footnoteReference w:id="339"/>
      </w:r>
      <w:r w:rsidR="00031CAA">
        <w:rPr>
          <w:rFonts w:cstheme="minorHAnsi"/>
          <w:sz w:val="24"/>
          <w:szCs w:val="24"/>
        </w:rPr>
        <w:t xml:space="preserve"> and established that certain framework conditions for a free and fair vote had to be guaranteed</w:t>
      </w:r>
      <w:r w:rsidR="00031CAA">
        <w:rPr>
          <w:rStyle w:val="FootnoteReference"/>
          <w:rFonts w:cstheme="minorHAnsi"/>
          <w:sz w:val="24"/>
          <w:szCs w:val="24"/>
        </w:rPr>
        <w:footnoteReference w:id="340"/>
      </w:r>
      <w:r w:rsidR="00031CAA">
        <w:rPr>
          <w:rFonts w:cstheme="minorHAnsi"/>
          <w:sz w:val="24"/>
          <w:szCs w:val="24"/>
        </w:rPr>
        <w:t xml:space="preserve"> </w:t>
      </w:r>
      <w:r w:rsidR="003B2EFE">
        <w:rPr>
          <w:rFonts w:cstheme="minorHAnsi"/>
          <w:sz w:val="24"/>
          <w:szCs w:val="24"/>
        </w:rPr>
        <w:t xml:space="preserve">and </w:t>
      </w:r>
      <w:r w:rsidR="00031CAA">
        <w:rPr>
          <w:rFonts w:cstheme="minorHAnsi"/>
          <w:sz w:val="24"/>
          <w:szCs w:val="24"/>
        </w:rPr>
        <w:t>that there were no recognised standards regarding the level of participation</w:t>
      </w:r>
      <w:r w:rsidR="003B2EFE">
        <w:rPr>
          <w:rFonts w:cstheme="minorHAnsi"/>
          <w:sz w:val="24"/>
          <w:szCs w:val="24"/>
        </w:rPr>
        <w:t>.</w:t>
      </w:r>
      <w:r w:rsidR="00031CAA">
        <w:rPr>
          <w:rStyle w:val="FootnoteReference"/>
          <w:rFonts w:cstheme="minorHAnsi"/>
          <w:sz w:val="24"/>
          <w:szCs w:val="24"/>
        </w:rPr>
        <w:footnoteReference w:id="341"/>
      </w:r>
      <w:r w:rsidR="00031CAA">
        <w:rPr>
          <w:rFonts w:cstheme="minorHAnsi"/>
          <w:sz w:val="24"/>
          <w:szCs w:val="24"/>
        </w:rPr>
        <w:t xml:space="preserve"> </w:t>
      </w:r>
      <w:r w:rsidR="003B2EFE">
        <w:rPr>
          <w:rFonts w:cstheme="minorHAnsi"/>
          <w:sz w:val="24"/>
          <w:szCs w:val="24"/>
        </w:rPr>
        <w:t>Where it differed from other types of referendum is in relation to the rules on majority, requiring a higher level than a simple majority of those voting.</w:t>
      </w:r>
      <w:r w:rsidR="003B2EFE">
        <w:rPr>
          <w:rStyle w:val="FootnoteReference"/>
          <w:rFonts w:cstheme="minorHAnsi"/>
          <w:sz w:val="24"/>
          <w:szCs w:val="24"/>
        </w:rPr>
        <w:footnoteReference w:id="342"/>
      </w:r>
    </w:p>
    <w:p w14:paraId="4712AB03" w14:textId="15C4EFAB" w:rsidR="002C346B" w:rsidRDefault="0001471F" w:rsidP="0001471F">
      <w:pPr>
        <w:spacing w:after="0" w:line="240" w:lineRule="auto"/>
        <w:jc w:val="both"/>
        <w:rPr>
          <w:rFonts w:cstheme="minorHAnsi"/>
          <w:sz w:val="24"/>
          <w:szCs w:val="24"/>
        </w:rPr>
      </w:pPr>
      <w:r>
        <w:rPr>
          <w:rFonts w:cstheme="minorHAnsi"/>
          <w:sz w:val="24"/>
          <w:szCs w:val="24"/>
        </w:rPr>
        <w:t>T</w:t>
      </w:r>
      <w:r w:rsidRPr="00EC6853">
        <w:rPr>
          <w:rFonts w:cstheme="minorHAnsi"/>
          <w:sz w:val="24"/>
          <w:szCs w:val="24"/>
        </w:rPr>
        <w:t xml:space="preserve">he overwhelming majority of these </w:t>
      </w:r>
      <w:r>
        <w:rPr>
          <w:rFonts w:cstheme="minorHAnsi"/>
          <w:i/>
          <w:iCs/>
          <w:sz w:val="24"/>
          <w:szCs w:val="24"/>
        </w:rPr>
        <w:t xml:space="preserve">de facto </w:t>
      </w:r>
      <w:r>
        <w:rPr>
          <w:rFonts w:cstheme="minorHAnsi"/>
          <w:sz w:val="24"/>
          <w:szCs w:val="24"/>
        </w:rPr>
        <w:t>States</w:t>
      </w:r>
      <w:r w:rsidRPr="00EC6853">
        <w:rPr>
          <w:rFonts w:cstheme="minorHAnsi"/>
          <w:sz w:val="24"/>
          <w:szCs w:val="24"/>
        </w:rPr>
        <w:t xml:space="preserve"> did not carry out a referendum</w:t>
      </w:r>
      <w:r>
        <w:rPr>
          <w:rFonts w:cstheme="minorHAnsi"/>
          <w:sz w:val="24"/>
          <w:szCs w:val="24"/>
        </w:rPr>
        <w:t xml:space="preserve"> at first</w:t>
      </w:r>
      <w:r w:rsidR="00787572">
        <w:rPr>
          <w:rFonts w:cstheme="minorHAnsi"/>
          <w:sz w:val="24"/>
          <w:szCs w:val="24"/>
        </w:rPr>
        <w:t>;</w:t>
      </w:r>
      <w:r>
        <w:rPr>
          <w:rFonts w:cstheme="minorHAnsi"/>
          <w:sz w:val="24"/>
          <w:szCs w:val="24"/>
        </w:rPr>
        <w:t xml:space="preserve"> referend</w:t>
      </w:r>
      <w:r w:rsidR="00787572">
        <w:rPr>
          <w:rFonts w:cstheme="minorHAnsi"/>
          <w:sz w:val="24"/>
          <w:szCs w:val="24"/>
        </w:rPr>
        <w:t>ums</w:t>
      </w:r>
      <w:r>
        <w:rPr>
          <w:rFonts w:cstheme="minorHAnsi"/>
          <w:sz w:val="24"/>
          <w:szCs w:val="24"/>
        </w:rPr>
        <w:t xml:space="preserve"> were conducted to confirm declarations of independence made by the then regional</w:t>
      </w:r>
      <w:r w:rsidR="005B2E8F">
        <w:rPr>
          <w:rFonts w:cstheme="minorHAnsi"/>
          <w:sz w:val="24"/>
          <w:szCs w:val="24"/>
        </w:rPr>
        <w:t>/local</w:t>
      </w:r>
      <w:r>
        <w:rPr>
          <w:rFonts w:cstheme="minorHAnsi"/>
          <w:sz w:val="24"/>
          <w:szCs w:val="24"/>
        </w:rPr>
        <w:t xml:space="preserve"> authorities. In</w:t>
      </w:r>
      <w:r w:rsidRPr="00EC6853">
        <w:rPr>
          <w:rFonts w:cstheme="minorHAnsi"/>
          <w:sz w:val="24"/>
          <w:szCs w:val="24"/>
        </w:rPr>
        <w:t xml:space="preserve"> August </w:t>
      </w:r>
      <w:r w:rsidRPr="0079477B">
        <w:rPr>
          <w:rFonts w:cstheme="minorHAnsi"/>
          <w:sz w:val="24"/>
          <w:szCs w:val="24"/>
        </w:rPr>
        <w:t>1990</w:t>
      </w:r>
      <w:r w:rsidR="007A7284">
        <w:rPr>
          <w:rFonts w:cstheme="minorHAnsi"/>
          <w:sz w:val="24"/>
          <w:szCs w:val="24"/>
        </w:rPr>
        <w:t>,</w:t>
      </w:r>
      <w:r w:rsidRPr="0079477B">
        <w:rPr>
          <w:rFonts w:cstheme="minorHAnsi"/>
          <w:sz w:val="24"/>
          <w:szCs w:val="24"/>
        </w:rPr>
        <w:t xml:space="preserve"> the regional parliament of Abkhazia declared independence followed by local elections which supported the decision</w:t>
      </w:r>
      <w:r w:rsidR="002F0700">
        <w:rPr>
          <w:rFonts w:cstheme="minorHAnsi"/>
          <w:sz w:val="24"/>
          <w:szCs w:val="24"/>
        </w:rPr>
        <w:t>,</w:t>
      </w:r>
      <w:r w:rsidRPr="0079477B">
        <w:rPr>
          <w:rStyle w:val="FootnoteReference"/>
          <w:rFonts w:cstheme="minorHAnsi"/>
          <w:sz w:val="24"/>
          <w:szCs w:val="24"/>
        </w:rPr>
        <w:footnoteReference w:id="343"/>
      </w:r>
      <w:r w:rsidRPr="0079477B">
        <w:rPr>
          <w:rFonts w:cstheme="minorHAnsi"/>
          <w:sz w:val="24"/>
          <w:szCs w:val="24"/>
        </w:rPr>
        <w:t xml:space="preserve"> then in July 1992 the </w:t>
      </w:r>
      <w:r w:rsidRPr="0079477B">
        <w:rPr>
          <w:rFonts w:cstheme="minorHAnsi"/>
          <w:i/>
          <w:iCs/>
          <w:sz w:val="24"/>
          <w:szCs w:val="24"/>
        </w:rPr>
        <w:t xml:space="preserve">de facto </w:t>
      </w:r>
      <w:r w:rsidRPr="0079477B">
        <w:rPr>
          <w:rFonts w:cstheme="minorHAnsi"/>
          <w:sz w:val="24"/>
          <w:szCs w:val="24"/>
        </w:rPr>
        <w:t xml:space="preserve">authorities proclaimed a law that re-established the constitution of </w:t>
      </w:r>
      <w:r w:rsidR="002F0700">
        <w:rPr>
          <w:rFonts w:cstheme="minorHAnsi"/>
          <w:sz w:val="24"/>
          <w:szCs w:val="24"/>
        </w:rPr>
        <w:t xml:space="preserve">the </w:t>
      </w:r>
      <w:r w:rsidRPr="0079477B">
        <w:rPr>
          <w:rFonts w:cstheme="minorHAnsi"/>
          <w:sz w:val="24"/>
          <w:szCs w:val="24"/>
        </w:rPr>
        <w:t>Soviet Union of 1925 that saw Abkhazia as an independent republic.</w:t>
      </w:r>
      <w:r w:rsidRPr="0079477B">
        <w:rPr>
          <w:rStyle w:val="FootnoteReference"/>
          <w:rFonts w:cstheme="minorHAnsi"/>
          <w:sz w:val="24"/>
          <w:szCs w:val="24"/>
        </w:rPr>
        <w:footnoteReference w:id="344"/>
      </w:r>
      <w:r w:rsidRPr="0079477B">
        <w:rPr>
          <w:rFonts w:cstheme="minorHAnsi"/>
          <w:sz w:val="24"/>
          <w:szCs w:val="24"/>
        </w:rPr>
        <w:t xml:space="preserve"> </w:t>
      </w:r>
      <w:r w:rsidR="0079477B" w:rsidRPr="0079477B">
        <w:rPr>
          <w:rFonts w:cstheme="minorHAnsi"/>
          <w:sz w:val="24"/>
          <w:szCs w:val="24"/>
        </w:rPr>
        <w:t>In November 1994</w:t>
      </w:r>
      <w:r w:rsidR="007A7284">
        <w:rPr>
          <w:rFonts w:cstheme="minorHAnsi"/>
          <w:sz w:val="24"/>
          <w:szCs w:val="24"/>
        </w:rPr>
        <w:t>,</w:t>
      </w:r>
      <w:r w:rsidR="0079477B" w:rsidRPr="0079477B">
        <w:rPr>
          <w:rFonts w:cstheme="minorHAnsi"/>
          <w:sz w:val="24"/>
          <w:szCs w:val="24"/>
        </w:rPr>
        <w:t xml:space="preserve"> the </w:t>
      </w:r>
      <w:r w:rsidR="0079477B" w:rsidRPr="0079477B">
        <w:rPr>
          <w:rFonts w:cstheme="minorHAnsi"/>
          <w:sz w:val="24"/>
          <w:szCs w:val="24"/>
        </w:rPr>
        <w:lastRenderedPageBreak/>
        <w:t xml:space="preserve">Supreme Council of the Republic of Abkhazia adopted a </w:t>
      </w:r>
      <w:r w:rsidR="00486060">
        <w:rPr>
          <w:rFonts w:cstheme="minorHAnsi"/>
          <w:sz w:val="24"/>
          <w:szCs w:val="24"/>
        </w:rPr>
        <w:t>constitution</w:t>
      </w:r>
      <w:r w:rsidR="0079477B" w:rsidRPr="00EC6853">
        <w:rPr>
          <w:rFonts w:cstheme="minorHAnsi"/>
          <w:sz w:val="24"/>
          <w:szCs w:val="24"/>
        </w:rPr>
        <w:t xml:space="preserve">. </w:t>
      </w:r>
      <w:r w:rsidR="00A4693B">
        <w:rPr>
          <w:rFonts w:cstheme="minorHAnsi"/>
          <w:sz w:val="24"/>
          <w:szCs w:val="24"/>
        </w:rPr>
        <w:t xml:space="preserve">According to official figures, the </w:t>
      </w:r>
      <w:r w:rsidR="00254D98">
        <w:rPr>
          <w:rFonts w:cstheme="minorHAnsi"/>
          <w:sz w:val="24"/>
          <w:szCs w:val="24"/>
        </w:rPr>
        <w:t>C</w:t>
      </w:r>
      <w:r w:rsidR="00A4693B">
        <w:rPr>
          <w:rFonts w:cstheme="minorHAnsi"/>
          <w:sz w:val="24"/>
          <w:szCs w:val="24"/>
        </w:rPr>
        <w:t xml:space="preserve">onstitution was approved by 97.7% of the voters in </w:t>
      </w:r>
      <w:r w:rsidR="00287C73">
        <w:rPr>
          <w:rFonts w:cstheme="minorHAnsi"/>
          <w:sz w:val="24"/>
          <w:szCs w:val="24"/>
        </w:rPr>
        <w:t xml:space="preserve">October </w:t>
      </w:r>
      <w:r w:rsidR="0079477B" w:rsidRPr="00EC6853">
        <w:rPr>
          <w:rFonts w:cstheme="minorHAnsi"/>
          <w:sz w:val="24"/>
          <w:szCs w:val="24"/>
        </w:rPr>
        <w:t>1999</w:t>
      </w:r>
      <w:r w:rsidR="00A4693B">
        <w:rPr>
          <w:rFonts w:cstheme="minorHAnsi"/>
          <w:sz w:val="24"/>
          <w:szCs w:val="24"/>
        </w:rPr>
        <w:t xml:space="preserve"> and led</w:t>
      </w:r>
      <w:r w:rsidR="0079477B" w:rsidRPr="00EC6853">
        <w:rPr>
          <w:rFonts w:cstheme="minorHAnsi"/>
          <w:sz w:val="24"/>
          <w:szCs w:val="24"/>
        </w:rPr>
        <w:t xml:space="preserve"> Abkhazia to issue its formal act of </w:t>
      </w:r>
      <w:r w:rsidR="00254D98">
        <w:rPr>
          <w:rFonts w:cstheme="minorHAnsi"/>
          <w:sz w:val="24"/>
          <w:szCs w:val="24"/>
        </w:rPr>
        <w:t>S</w:t>
      </w:r>
      <w:r w:rsidR="0079477B" w:rsidRPr="00EC6853">
        <w:rPr>
          <w:rFonts w:cstheme="minorHAnsi"/>
          <w:sz w:val="24"/>
          <w:szCs w:val="24"/>
        </w:rPr>
        <w:t>tate independence</w:t>
      </w:r>
      <w:r w:rsidR="0079477B">
        <w:rPr>
          <w:rFonts w:cstheme="minorHAnsi"/>
          <w:sz w:val="24"/>
          <w:szCs w:val="24"/>
        </w:rPr>
        <w:t>.</w:t>
      </w:r>
      <w:r w:rsidR="00A4693B">
        <w:rPr>
          <w:rStyle w:val="FootnoteReference"/>
          <w:rFonts w:cstheme="minorHAnsi"/>
          <w:sz w:val="24"/>
          <w:szCs w:val="24"/>
        </w:rPr>
        <w:footnoteReference w:id="345"/>
      </w:r>
      <w:r w:rsidR="00CF480B" w:rsidRPr="00CF480B">
        <w:rPr>
          <w:rFonts w:cstheme="minorHAnsi"/>
          <w:sz w:val="24"/>
          <w:szCs w:val="24"/>
        </w:rPr>
        <w:t xml:space="preserve"> </w:t>
      </w:r>
    </w:p>
    <w:p w14:paraId="12570518" w14:textId="32680B03" w:rsidR="002C346B" w:rsidRDefault="00CF480B" w:rsidP="0001471F">
      <w:pPr>
        <w:spacing w:after="0" w:line="240" w:lineRule="auto"/>
        <w:jc w:val="both"/>
        <w:rPr>
          <w:rFonts w:cstheme="minorHAnsi"/>
          <w:sz w:val="24"/>
          <w:szCs w:val="24"/>
        </w:rPr>
      </w:pPr>
      <w:r>
        <w:rPr>
          <w:rFonts w:cstheme="minorHAnsi"/>
          <w:sz w:val="24"/>
          <w:szCs w:val="24"/>
        </w:rPr>
        <w:t>South Ossetia declared its independence on 29 May 1992. A first Constitution was approved in 1993 and a second in April 2001, this time by way of referendum.</w:t>
      </w:r>
      <w:r>
        <w:rPr>
          <w:rStyle w:val="FootnoteReference"/>
        </w:rPr>
        <w:footnoteReference w:id="346"/>
      </w:r>
      <w:r>
        <w:rPr>
          <w:rFonts w:cstheme="minorHAnsi"/>
          <w:sz w:val="24"/>
          <w:szCs w:val="24"/>
        </w:rPr>
        <w:t xml:space="preserve"> </w:t>
      </w:r>
      <w:r w:rsidR="00835954">
        <w:rPr>
          <w:rFonts w:cstheme="minorHAnsi"/>
          <w:sz w:val="24"/>
          <w:szCs w:val="24"/>
        </w:rPr>
        <w:t>On 12 November 2006</w:t>
      </w:r>
      <w:r w:rsidR="007A7284">
        <w:rPr>
          <w:rFonts w:cstheme="minorHAnsi"/>
          <w:sz w:val="24"/>
          <w:szCs w:val="24"/>
        </w:rPr>
        <w:t>,</w:t>
      </w:r>
      <w:r w:rsidR="00835954">
        <w:rPr>
          <w:rFonts w:cstheme="minorHAnsi"/>
          <w:sz w:val="24"/>
          <w:szCs w:val="24"/>
        </w:rPr>
        <w:t xml:space="preserve"> another referendum </w:t>
      </w:r>
      <w:r w:rsidR="002F0700">
        <w:rPr>
          <w:rFonts w:cstheme="minorHAnsi"/>
          <w:sz w:val="24"/>
          <w:szCs w:val="24"/>
        </w:rPr>
        <w:t xml:space="preserve">with results of 99.9% </w:t>
      </w:r>
      <w:r w:rsidR="00835954">
        <w:rPr>
          <w:rFonts w:cstheme="minorHAnsi"/>
          <w:sz w:val="24"/>
          <w:szCs w:val="24"/>
        </w:rPr>
        <w:t xml:space="preserve">solidified South Ossetia’s wish to be independent </w:t>
      </w:r>
      <w:r w:rsidR="002F0700">
        <w:rPr>
          <w:rFonts w:cstheme="minorHAnsi"/>
          <w:sz w:val="24"/>
          <w:szCs w:val="24"/>
        </w:rPr>
        <w:t>of</w:t>
      </w:r>
      <w:r w:rsidR="00835954">
        <w:rPr>
          <w:rFonts w:cstheme="minorHAnsi"/>
          <w:sz w:val="24"/>
          <w:szCs w:val="24"/>
        </w:rPr>
        <w:t xml:space="preserve"> Georgia.</w:t>
      </w:r>
      <w:r w:rsidR="00103DBC">
        <w:rPr>
          <w:rStyle w:val="FootnoteReference"/>
          <w:rFonts w:cstheme="minorHAnsi"/>
          <w:sz w:val="24"/>
          <w:szCs w:val="24"/>
        </w:rPr>
        <w:footnoteReference w:id="347"/>
      </w:r>
      <w:r w:rsidR="00835954">
        <w:rPr>
          <w:rFonts w:cstheme="minorHAnsi"/>
          <w:sz w:val="24"/>
          <w:szCs w:val="24"/>
        </w:rPr>
        <w:t xml:space="preserve"> </w:t>
      </w:r>
    </w:p>
    <w:p w14:paraId="3CCA27A3" w14:textId="77777777" w:rsidR="002C346B" w:rsidRDefault="0001471F" w:rsidP="0001471F">
      <w:pPr>
        <w:spacing w:after="0" w:line="240" w:lineRule="auto"/>
        <w:jc w:val="both"/>
        <w:rPr>
          <w:rFonts w:cstheme="minorHAnsi"/>
          <w:sz w:val="24"/>
          <w:szCs w:val="24"/>
        </w:rPr>
      </w:pPr>
      <w:r w:rsidRPr="00CF480B">
        <w:rPr>
          <w:rFonts w:cstheme="minorHAnsi"/>
          <w:sz w:val="24"/>
          <w:szCs w:val="24"/>
        </w:rPr>
        <w:t xml:space="preserve">Nagorno-Karabakh </w:t>
      </w:r>
      <w:r w:rsidR="00CF480B" w:rsidRPr="00CF480B">
        <w:rPr>
          <w:rFonts w:cstheme="minorHAnsi"/>
          <w:sz w:val="24"/>
          <w:szCs w:val="24"/>
        </w:rPr>
        <w:t>declared its independence from Azerbaijan</w:t>
      </w:r>
      <w:r w:rsidRPr="00CF480B">
        <w:rPr>
          <w:rFonts w:cstheme="minorHAnsi"/>
          <w:sz w:val="24"/>
          <w:szCs w:val="24"/>
        </w:rPr>
        <w:t xml:space="preserve"> through a decision of its parliament on </w:t>
      </w:r>
      <w:r w:rsidRPr="00C43CF8">
        <w:rPr>
          <w:rFonts w:cstheme="minorHAnsi"/>
          <w:sz w:val="24"/>
          <w:szCs w:val="24"/>
        </w:rPr>
        <w:t>2 September 1991</w:t>
      </w:r>
      <w:r w:rsidR="00CF480B" w:rsidRPr="00C43CF8">
        <w:rPr>
          <w:rFonts w:cstheme="minorHAnsi"/>
          <w:sz w:val="24"/>
          <w:szCs w:val="24"/>
        </w:rPr>
        <w:t xml:space="preserve"> that was</w:t>
      </w:r>
      <w:r w:rsidRPr="00C43CF8">
        <w:rPr>
          <w:rFonts w:cstheme="minorHAnsi"/>
          <w:sz w:val="24"/>
          <w:szCs w:val="24"/>
        </w:rPr>
        <w:t xml:space="preserve"> followed by a referendum on 10 December with 99.9% in favour of independence.</w:t>
      </w:r>
      <w:r w:rsidR="00CF480B" w:rsidRPr="00C43CF8">
        <w:rPr>
          <w:rStyle w:val="FootnoteReference"/>
          <w:rFonts w:cstheme="minorHAnsi"/>
          <w:sz w:val="24"/>
          <w:szCs w:val="24"/>
        </w:rPr>
        <w:footnoteReference w:id="348"/>
      </w:r>
      <w:r w:rsidRPr="00C43CF8">
        <w:rPr>
          <w:rFonts w:cstheme="minorHAnsi"/>
          <w:sz w:val="24"/>
          <w:szCs w:val="24"/>
        </w:rPr>
        <w:t xml:space="preserve"> The referendum was boycotted by the Azeris</w:t>
      </w:r>
      <w:r w:rsidR="00CF480B" w:rsidRPr="00C43CF8">
        <w:rPr>
          <w:rStyle w:val="FootnoteReference"/>
          <w:rFonts w:cstheme="minorHAnsi"/>
          <w:sz w:val="24"/>
          <w:szCs w:val="24"/>
        </w:rPr>
        <w:footnoteReference w:id="349"/>
      </w:r>
      <w:r w:rsidR="00C43CF8" w:rsidRPr="00C43CF8">
        <w:rPr>
          <w:rFonts w:cstheme="minorHAnsi"/>
          <w:sz w:val="24"/>
          <w:szCs w:val="24"/>
        </w:rPr>
        <w:t xml:space="preserve"> and thus some doubts can be cast over the results. </w:t>
      </w:r>
      <w:r w:rsidRPr="00C43CF8">
        <w:rPr>
          <w:rFonts w:cstheme="minorHAnsi"/>
          <w:sz w:val="24"/>
          <w:szCs w:val="24"/>
        </w:rPr>
        <w:t xml:space="preserve">The new parliament declared its independence again on 6 January 1992. </w:t>
      </w:r>
    </w:p>
    <w:p w14:paraId="10EF888C" w14:textId="48EF85CA" w:rsidR="002C346B" w:rsidRDefault="0001471F" w:rsidP="0001471F">
      <w:pPr>
        <w:spacing w:after="0" w:line="240" w:lineRule="auto"/>
        <w:jc w:val="both"/>
        <w:rPr>
          <w:rFonts w:cstheme="minorHAnsi"/>
          <w:color w:val="000000"/>
          <w:sz w:val="24"/>
          <w:szCs w:val="24"/>
          <w:shd w:val="clear" w:color="auto" w:fill="FFFFFF"/>
        </w:rPr>
      </w:pPr>
      <w:r w:rsidRPr="00C43CF8">
        <w:rPr>
          <w:rFonts w:cstheme="minorHAnsi"/>
          <w:sz w:val="24"/>
          <w:szCs w:val="24"/>
        </w:rPr>
        <w:t>In contrast,</w:t>
      </w:r>
      <w:r w:rsidR="008B6B0E" w:rsidRPr="00C43CF8">
        <w:rPr>
          <w:rFonts w:cstheme="minorHAnsi"/>
          <w:sz w:val="24"/>
          <w:szCs w:val="24"/>
        </w:rPr>
        <w:t xml:space="preserve"> </w:t>
      </w:r>
      <w:r w:rsidR="00CF480B" w:rsidRPr="00C43CF8">
        <w:rPr>
          <w:rFonts w:cstheme="minorHAnsi"/>
          <w:sz w:val="24"/>
          <w:szCs w:val="24"/>
        </w:rPr>
        <w:t>it was a referendum between December 1989 and November 1990 that led the Congress</w:t>
      </w:r>
      <w:r w:rsidR="00CF480B" w:rsidRPr="00D8618B">
        <w:rPr>
          <w:rFonts w:cstheme="minorHAnsi"/>
          <w:sz w:val="24"/>
          <w:szCs w:val="24"/>
        </w:rPr>
        <w:t xml:space="preserve"> of </w:t>
      </w:r>
      <w:r w:rsidR="00254D98">
        <w:rPr>
          <w:rFonts w:cstheme="minorHAnsi"/>
          <w:sz w:val="24"/>
          <w:szCs w:val="24"/>
        </w:rPr>
        <w:t>D</w:t>
      </w:r>
      <w:r w:rsidR="00CF480B" w:rsidRPr="00D8618B">
        <w:rPr>
          <w:rFonts w:cstheme="minorHAnsi"/>
          <w:sz w:val="24"/>
          <w:szCs w:val="24"/>
        </w:rPr>
        <w:t xml:space="preserve">eputies in Tiraspol </w:t>
      </w:r>
      <w:r w:rsidR="00CF480B">
        <w:rPr>
          <w:rFonts w:cstheme="minorHAnsi"/>
          <w:sz w:val="24"/>
          <w:szCs w:val="24"/>
        </w:rPr>
        <w:t xml:space="preserve">(under </w:t>
      </w:r>
      <w:r w:rsidR="002F0700">
        <w:rPr>
          <w:rFonts w:cstheme="minorHAnsi"/>
          <w:sz w:val="24"/>
          <w:szCs w:val="24"/>
        </w:rPr>
        <w:t xml:space="preserve">the </w:t>
      </w:r>
      <w:r w:rsidR="00CF480B">
        <w:rPr>
          <w:rFonts w:cstheme="minorHAnsi"/>
          <w:sz w:val="24"/>
          <w:szCs w:val="24"/>
        </w:rPr>
        <w:t xml:space="preserve">Soviet Union) to </w:t>
      </w:r>
      <w:r w:rsidR="00CF480B" w:rsidRPr="00D8618B">
        <w:rPr>
          <w:rFonts w:cstheme="minorHAnsi"/>
          <w:sz w:val="24"/>
          <w:szCs w:val="24"/>
        </w:rPr>
        <w:t>declare independence on 2 September 1990</w:t>
      </w:r>
      <w:r w:rsidR="00CF480B">
        <w:rPr>
          <w:color w:val="000000"/>
          <w:sz w:val="24"/>
          <w:szCs w:val="24"/>
          <w:shd w:val="clear" w:color="auto" w:fill="FFFFFF"/>
        </w:rPr>
        <w:t xml:space="preserve">. </w:t>
      </w:r>
      <w:r w:rsidR="00CF480B">
        <w:rPr>
          <w:rFonts w:cstheme="minorHAnsi"/>
          <w:sz w:val="24"/>
          <w:szCs w:val="24"/>
        </w:rPr>
        <w:t>Then, a</w:t>
      </w:r>
      <w:r w:rsidR="008B6B0E" w:rsidRPr="00CF480B">
        <w:rPr>
          <w:rFonts w:cstheme="minorHAnsi"/>
          <w:sz w:val="24"/>
          <w:szCs w:val="24"/>
        </w:rPr>
        <w:t>s claimed by the Transnistrian authorities,</w:t>
      </w:r>
      <w:r w:rsidRPr="00CF480B">
        <w:rPr>
          <w:rFonts w:cstheme="minorHAnsi"/>
          <w:sz w:val="24"/>
          <w:szCs w:val="24"/>
        </w:rPr>
        <w:t xml:space="preserve"> </w:t>
      </w:r>
      <w:r w:rsidR="008B6B0E" w:rsidRPr="00CF480B">
        <w:rPr>
          <w:rFonts w:cstheme="minorHAnsi"/>
          <w:sz w:val="24"/>
          <w:szCs w:val="24"/>
        </w:rPr>
        <w:t>‘</w:t>
      </w:r>
      <w:r w:rsidR="008B6B0E" w:rsidRPr="00CF480B">
        <w:rPr>
          <w:color w:val="000000"/>
          <w:sz w:val="24"/>
          <w:szCs w:val="24"/>
          <w:shd w:val="clear" w:color="auto" w:fill="FFFFFF"/>
        </w:rPr>
        <w:t>the Moldavian Republic</w:t>
      </w:r>
      <w:r w:rsidR="008B6B0E" w:rsidRPr="00D8618B">
        <w:rPr>
          <w:color w:val="000000"/>
          <w:sz w:val="24"/>
          <w:szCs w:val="24"/>
          <w:shd w:val="clear" w:color="auto" w:fill="FFFFFF"/>
        </w:rPr>
        <w:t xml:space="preserve"> of </w:t>
      </w:r>
      <w:proofErr w:type="spellStart"/>
      <w:r w:rsidR="008B6B0E" w:rsidRPr="00D8618B">
        <w:rPr>
          <w:color w:val="000000"/>
          <w:sz w:val="24"/>
          <w:szCs w:val="24"/>
          <w:shd w:val="clear" w:color="auto" w:fill="FFFFFF"/>
        </w:rPr>
        <w:t>Pridnestrovye</w:t>
      </w:r>
      <w:proofErr w:type="spellEnd"/>
      <w:r w:rsidR="008B6B0E" w:rsidRPr="00D8618B">
        <w:rPr>
          <w:color w:val="000000"/>
          <w:sz w:val="24"/>
          <w:szCs w:val="24"/>
          <w:shd w:val="clear" w:color="auto" w:fill="FFFFFF"/>
        </w:rPr>
        <w:t xml:space="preserve"> is an </w:t>
      </w:r>
      <w:r w:rsidR="008B6B0E" w:rsidRPr="008B6B0E">
        <w:rPr>
          <w:color w:val="000000"/>
          <w:sz w:val="24"/>
          <w:szCs w:val="24"/>
          <w:shd w:val="clear" w:color="auto" w:fill="FFFFFF"/>
        </w:rPr>
        <w:t>independent state, created as a result of an all-people referendum’</w:t>
      </w:r>
      <w:r w:rsidR="008B6B0E" w:rsidRPr="008B6B0E">
        <w:rPr>
          <w:rStyle w:val="FootnoteReference"/>
          <w:color w:val="000000"/>
          <w:sz w:val="24"/>
          <w:szCs w:val="24"/>
          <w:shd w:val="clear" w:color="auto" w:fill="FFFFFF"/>
        </w:rPr>
        <w:footnoteReference w:id="350"/>
      </w:r>
      <w:r w:rsidR="008B6B0E" w:rsidRPr="008B6B0E">
        <w:rPr>
          <w:color w:val="000000"/>
          <w:sz w:val="24"/>
          <w:szCs w:val="24"/>
          <w:shd w:val="clear" w:color="auto" w:fill="FFFFFF"/>
        </w:rPr>
        <w:t xml:space="preserve"> held on </w:t>
      </w:r>
      <w:r w:rsidR="00D8618B" w:rsidRPr="008B6B0E">
        <w:rPr>
          <w:rFonts w:cstheme="minorHAnsi"/>
          <w:sz w:val="24"/>
          <w:szCs w:val="24"/>
        </w:rPr>
        <w:t>1 December 1991</w:t>
      </w:r>
      <w:r w:rsidR="008B6B0E" w:rsidRPr="008B6B0E">
        <w:rPr>
          <w:rFonts w:cstheme="minorHAnsi"/>
          <w:sz w:val="24"/>
          <w:szCs w:val="24"/>
        </w:rPr>
        <w:t xml:space="preserve">. </w:t>
      </w:r>
      <w:r w:rsidRPr="008B6B0E">
        <w:rPr>
          <w:rFonts w:cstheme="minorHAnsi"/>
          <w:sz w:val="24"/>
          <w:szCs w:val="24"/>
        </w:rPr>
        <w:t xml:space="preserve">A further referendum was held on </w:t>
      </w:r>
      <w:r w:rsidRPr="008B6B0E">
        <w:rPr>
          <w:rFonts w:cstheme="minorHAnsi"/>
          <w:color w:val="000000"/>
          <w:sz w:val="24"/>
          <w:szCs w:val="24"/>
          <w:shd w:val="clear" w:color="auto" w:fill="FFFFFF"/>
        </w:rPr>
        <w:t xml:space="preserve">17 </w:t>
      </w:r>
      <w:r w:rsidRPr="008572AD">
        <w:rPr>
          <w:rFonts w:cstheme="minorHAnsi"/>
          <w:color w:val="000000"/>
          <w:sz w:val="24"/>
          <w:szCs w:val="24"/>
          <w:shd w:val="clear" w:color="auto" w:fill="FFFFFF"/>
        </w:rPr>
        <w:t>September 2006</w:t>
      </w:r>
      <w:r w:rsidR="008B6B0E" w:rsidRPr="008572AD">
        <w:rPr>
          <w:rFonts w:cstheme="minorHAnsi"/>
          <w:color w:val="000000"/>
          <w:sz w:val="24"/>
          <w:szCs w:val="24"/>
          <w:shd w:val="clear" w:color="auto" w:fill="FFFFFF"/>
        </w:rPr>
        <w:t xml:space="preserve"> that </w:t>
      </w:r>
      <w:r w:rsidRPr="008572AD">
        <w:rPr>
          <w:rFonts w:cstheme="minorHAnsi"/>
          <w:color w:val="000000"/>
          <w:sz w:val="24"/>
          <w:szCs w:val="24"/>
          <w:shd w:val="clear" w:color="auto" w:fill="FFFFFF"/>
        </w:rPr>
        <w:t>clearly indicated</w:t>
      </w:r>
      <w:r w:rsidR="008B6B0E" w:rsidRPr="008572AD">
        <w:rPr>
          <w:rFonts w:cstheme="minorHAnsi"/>
          <w:color w:val="000000"/>
          <w:sz w:val="24"/>
          <w:szCs w:val="24"/>
          <w:shd w:val="clear" w:color="auto" w:fill="FFFFFF"/>
        </w:rPr>
        <w:t xml:space="preserve"> that the population wished for</w:t>
      </w:r>
      <w:r w:rsidRPr="008572AD">
        <w:rPr>
          <w:rFonts w:cstheme="minorHAnsi"/>
          <w:color w:val="000000"/>
          <w:sz w:val="24"/>
          <w:szCs w:val="24"/>
          <w:shd w:val="clear" w:color="auto" w:fill="FFFFFF"/>
        </w:rPr>
        <w:t xml:space="preserve"> independence with </w:t>
      </w:r>
      <w:r w:rsidR="008B6B0E" w:rsidRPr="008572AD">
        <w:rPr>
          <w:rFonts w:cstheme="minorHAnsi"/>
          <w:color w:val="000000"/>
          <w:sz w:val="24"/>
          <w:szCs w:val="24"/>
          <w:shd w:val="clear" w:color="auto" w:fill="FFFFFF"/>
        </w:rPr>
        <w:t xml:space="preserve">a </w:t>
      </w:r>
      <w:r w:rsidRPr="008572AD">
        <w:rPr>
          <w:rFonts w:cstheme="minorHAnsi"/>
          <w:color w:val="000000"/>
          <w:sz w:val="24"/>
          <w:szCs w:val="24"/>
          <w:shd w:val="clear" w:color="auto" w:fill="FFFFFF"/>
        </w:rPr>
        <w:t>subsequent free accession to the Russian Federation.</w:t>
      </w:r>
      <w:r w:rsidR="007F0872" w:rsidRPr="008572AD">
        <w:rPr>
          <w:rFonts w:cstheme="minorHAnsi"/>
          <w:color w:val="000000"/>
          <w:sz w:val="24"/>
          <w:szCs w:val="24"/>
          <w:shd w:val="clear" w:color="auto" w:fill="FFFFFF"/>
        </w:rPr>
        <w:t xml:space="preserve"> </w:t>
      </w:r>
    </w:p>
    <w:p w14:paraId="66BDB012" w14:textId="51CD07AE" w:rsidR="0001471F" w:rsidRDefault="00FF3E34" w:rsidP="0001471F">
      <w:pPr>
        <w:spacing w:after="0" w:line="240" w:lineRule="auto"/>
        <w:jc w:val="both"/>
        <w:rPr>
          <w:rFonts w:cstheme="minorHAnsi"/>
          <w:sz w:val="24"/>
          <w:szCs w:val="24"/>
        </w:rPr>
      </w:pPr>
      <w:r w:rsidRPr="008572AD">
        <w:rPr>
          <w:rFonts w:cstheme="minorHAnsi"/>
          <w:color w:val="000000"/>
          <w:sz w:val="24"/>
          <w:szCs w:val="24"/>
          <w:shd w:val="clear" w:color="auto" w:fill="FFFFFF"/>
        </w:rPr>
        <w:t xml:space="preserve">Whether the referendums complied with the </w:t>
      </w:r>
      <w:r w:rsidR="007F0872" w:rsidRPr="008572AD">
        <w:rPr>
          <w:rFonts w:cstheme="minorHAnsi"/>
          <w:sz w:val="24"/>
          <w:szCs w:val="24"/>
        </w:rPr>
        <w:t xml:space="preserve">principles of universal, equal, free and secret suffrage is </w:t>
      </w:r>
      <w:r w:rsidR="00DA3E5A">
        <w:rPr>
          <w:rFonts w:cstheme="minorHAnsi"/>
          <w:sz w:val="24"/>
          <w:szCs w:val="24"/>
        </w:rPr>
        <w:t>hard</w:t>
      </w:r>
      <w:r w:rsidR="007F0872" w:rsidRPr="008572AD">
        <w:rPr>
          <w:rFonts w:cstheme="minorHAnsi"/>
          <w:sz w:val="24"/>
          <w:szCs w:val="24"/>
        </w:rPr>
        <w:t xml:space="preserve"> to assess</w:t>
      </w:r>
      <w:r w:rsidRPr="008572AD">
        <w:rPr>
          <w:rFonts w:cstheme="minorHAnsi"/>
          <w:sz w:val="24"/>
          <w:szCs w:val="24"/>
        </w:rPr>
        <w:t xml:space="preserve"> as no information seems available on how these referendums were carried out</w:t>
      </w:r>
      <w:r w:rsidR="007F0872" w:rsidRPr="008572AD">
        <w:rPr>
          <w:rFonts w:cstheme="minorHAnsi"/>
          <w:sz w:val="24"/>
          <w:szCs w:val="24"/>
        </w:rPr>
        <w:t xml:space="preserve">. </w:t>
      </w:r>
      <w:r w:rsidRPr="008572AD">
        <w:rPr>
          <w:rFonts w:cstheme="minorHAnsi"/>
          <w:sz w:val="24"/>
          <w:szCs w:val="24"/>
        </w:rPr>
        <w:t>There were no international observers and figures of 95-99</w:t>
      </w:r>
      <w:r w:rsidR="008572AD" w:rsidRPr="008572AD">
        <w:rPr>
          <w:rFonts w:cstheme="minorHAnsi"/>
          <w:sz w:val="24"/>
          <w:szCs w:val="24"/>
        </w:rPr>
        <w:t>% of</w:t>
      </w:r>
      <w:r w:rsidRPr="008572AD">
        <w:rPr>
          <w:rFonts w:cstheme="minorHAnsi"/>
          <w:sz w:val="24"/>
          <w:szCs w:val="24"/>
        </w:rPr>
        <w:t xml:space="preserve"> the population in favour of independence do tend to look </w:t>
      </w:r>
      <w:r w:rsidR="008572AD" w:rsidRPr="008572AD">
        <w:rPr>
          <w:rFonts w:cstheme="minorHAnsi"/>
          <w:sz w:val="24"/>
          <w:szCs w:val="24"/>
        </w:rPr>
        <w:t>suspicious</w:t>
      </w:r>
      <w:r w:rsidRPr="008572AD">
        <w:rPr>
          <w:rFonts w:cstheme="minorHAnsi"/>
          <w:sz w:val="24"/>
          <w:szCs w:val="24"/>
        </w:rPr>
        <w:t>.</w:t>
      </w:r>
      <w:r w:rsidR="00573A2F">
        <w:rPr>
          <w:rFonts w:cstheme="minorHAnsi"/>
          <w:sz w:val="24"/>
          <w:szCs w:val="24"/>
        </w:rPr>
        <w:t xml:space="preserve"> As</w:t>
      </w:r>
      <w:r w:rsidR="00573A2F" w:rsidRPr="00573A2F">
        <w:rPr>
          <w:rFonts w:cstheme="minorHAnsi"/>
          <w:sz w:val="28"/>
          <w:szCs w:val="24"/>
        </w:rPr>
        <w:t xml:space="preserve"> </w:t>
      </w:r>
      <w:proofErr w:type="spellStart"/>
      <w:r w:rsidR="00573A2F" w:rsidRPr="00573A2F">
        <w:rPr>
          <w:rFonts w:cstheme="minorHAnsi"/>
          <w:i/>
          <w:sz w:val="24"/>
        </w:rPr>
        <w:t>Kolstø</w:t>
      </w:r>
      <w:proofErr w:type="spellEnd"/>
      <w:r w:rsidR="00573A2F" w:rsidRPr="00573A2F">
        <w:rPr>
          <w:rFonts w:cstheme="minorHAnsi"/>
          <w:sz w:val="28"/>
          <w:szCs w:val="24"/>
        </w:rPr>
        <w:t xml:space="preserve"> </w:t>
      </w:r>
      <w:r w:rsidR="00573A2F">
        <w:rPr>
          <w:rFonts w:cstheme="minorHAnsi"/>
          <w:sz w:val="24"/>
          <w:szCs w:val="24"/>
        </w:rPr>
        <w:t>explains, ‘many quasi-states have an authoritarian regime in which election results must be treated with great care as indicators of popular attitudes’.</w:t>
      </w:r>
      <w:r w:rsidR="00573A2F">
        <w:rPr>
          <w:rStyle w:val="FootnoteReference"/>
          <w:rFonts w:cstheme="minorHAnsi"/>
          <w:sz w:val="24"/>
          <w:szCs w:val="24"/>
        </w:rPr>
        <w:footnoteReference w:id="351"/>
      </w:r>
      <w:r>
        <w:rPr>
          <w:rFonts w:cstheme="minorHAnsi"/>
          <w:sz w:val="24"/>
          <w:szCs w:val="24"/>
        </w:rPr>
        <w:t xml:space="preserve"> </w:t>
      </w:r>
    </w:p>
    <w:p w14:paraId="141376DA" w14:textId="77777777" w:rsidR="002C346B" w:rsidRDefault="002C346B" w:rsidP="0001471F">
      <w:pPr>
        <w:spacing w:after="0" w:line="240" w:lineRule="auto"/>
        <w:jc w:val="both"/>
        <w:rPr>
          <w:rFonts w:cstheme="minorHAnsi"/>
          <w:color w:val="000000"/>
          <w:sz w:val="24"/>
          <w:szCs w:val="24"/>
          <w:shd w:val="clear" w:color="auto" w:fill="FFFFFF"/>
        </w:rPr>
      </w:pPr>
    </w:p>
    <w:p w14:paraId="4C794536" w14:textId="63836C09" w:rsidR="0074608E" w:rsidRDefault="001367F7" w:rsidP="0074608E">
      <w:pPr>
        <w:spacing w:after="0" w:line="240" w:lineRule="auto"/>
        <w:jc w:val="both"/>
        <w:rPr>
          <w:rFonts w:cstheme="minorHAnsi"/>
          <w:sz w:val="24"/>
          <w:szCs w:val="24"/>
        </w:rPr>
      </w:pPr>
      <w:r>
        <w:rPr>
          <w:rFonts w:cstheme="minorHAnsi"/>
          <w:color w:val="000000"/>
          <w:sz w:val="24"/>
          <w:szCs w:val="24"/>
          <w:shd w:val="clear" w:color="auto" w:fill="FFFFFF"/>
        </w:rPr>
        <w:t xml:space="preserve">Overall, none of the peoples in these </w:t>
      </w:r>
      <w:r>
        <w:rPr>
          <w:rFonts w:cstheme="minorHAnsi"/>
          <w:i/>
          <w:iCs/>
          <w:color w:val="000000"/>
          <w:sz w:val="24"/>
          <w:szCs w:val="24"/>
          <w:shd w:val="clear" w:color="auto" w:fill="FFFFFF"/>
        </w:rPr>
        <w:t xml:space="preserve">de facto </w:t>
      </w:r>
      <w:r>
        <w:rPr>
          <w:rFonts w:cstheme="minorHAnsi"/>
          <w:color w:val="000000"/>
          <w:sz w:val="24"/>
          <w:szCs w:val="24"/>
          <w:shd w:val="clear" w:color="auto" w:fill="FFFFFF"/>
        </w:rPr>
        <w:t>entities appear to have a clear right to self-determination. Whilst three of them qualify as people (Transnistria does not), they cannot persuasively show that they are either colonised, under foreign or alien occupation or have a right to remedial secession since the threshold of violations against them has not been met. Unless a wider approach towards the conditions for the exercise of the right of self-determination including the right to secession by choice</w:t>
      </w:r>
      <w:r>
        <w:rPr>
          <w:rStyle w:val="FootnoteReference"/>
          <w:rFonts w:cstheme="minorHAnsi"/>
          <w:color w:val="000000"/>
          <w:sz w:val="24"/>
          <w:szCs w:val="24"/>
          <w:shd w:val="clear" w:color="auto" w:fill="FFFFFF"/>
        </w:rPr>
        <w:footnoteReference w:id="352"/>
      </w:r>
      <w:r>
        <w:rPr>
          <w:rFonts w:cstheme="minorHAnsi"/>
          <w:color w:val="000000"/>
          <w:sz w:val="24"/>
          <w:szCs w:val="24"/>
          <w:shd w:val="clear" w:color="auto" w:fill="FFFFFF"/>
        </w:rPr>
        <w:t xml:space="preserve"> is espoused, they cannot claim to be allowed to breach the principle of territorial sovereignty. </w:t>
      </w:r>
      <w:r w:rsidR="0074608E" w:rsidRPr="00730A0A">
        <w:rPr>
          <w:rFonts w:cstheme="minorHAnsi"/>
          <w:sz w:val="24"/>
          <w:szCs w:val="24"/>
        </w:rPr>
        <w:t xml:space="preserve">Clearly, the </w:t>
      </w:r>
      <w:r w:rsidR="0074608E" w:rsidRPr="00730A0A">
        <w:rPr>
          <w:rFonts w:cstheme="minorHAnsi"/>
          <w:i/>
          <w:iCs/>
          <w:sz w:val="24"/>
          <w:szCs w:val="24"/>
        </w:rPr>
        <w:t xml:space="preserve">de facto </w:t>
      </w:r>
      <w:r w:rsidR="0074608E" w:rsidRPr="00730A0A">
        <w:rPr>
          <w:rFonts w:cstheme="minorHAnsi"/>
          <w:sz w:val="24"/>
          <w:szCs w:val="24"/>
        </w:rPr>
        <w:t xml:space="preserve">States in the post-Soviet space suffer from a </w:t>
      </w:r>
      <w:r w:rsidR="0074608E">
        <w:rPr>
          <w:rFonts w:cstheme="minorHAnsi"/>
          <w:sz w:val="24"/>
          <w:szCs w:val="24"/>
        </w:rPr>
        <w:t>far-reaching</w:t>
      </w:r>
      <w:r w:rsidR="0074608E" w:rsidRPr="00730A0A">
        <w:rPr>
          <w:rFonts w:cstheme="minorHAnsi"/>
          <w:sz w:val="24"/>
          <w:szCs w:val="24"/>
        </w:rPr>
        <w:t xml:space="preserve"> </w:t>
      </w:r>
      <w:r w:rsidR="0074608E">
        <w:rPr>
          <w:rFonts w:cstheme="minorHAnsi"/>
          <w:sz w:val="24"/>
          <w:szCs w:val="24"/>
        </w:rPr>
        <w:t>gamut</w:t>
      </w:r>
      <w:r w:rsidR="0074608E" w:rsidRPr="00730A0A">
        <w:rPr>
          <w:rFonts w:cstheme="minorHAnsi"/>
          <w:sz w:val="24"/>
          <w:szCs w:val="24"/>
        </w:rPr>
        <w:t xml:space="preserve"> of </w:t>
      </w:r>
      <w:r w:rsidR="0074608E">
        <w:rPr>
          <w:rFonts w:cstheme="minorHAnsi"/>
          <w:sz w:val="24"/>
          <w:szCs w:val="24"/>
        </w:rPr>
        <w:t>international violations</w:t>
      </w:r>
      <w:r w:rsidR="0074608E" w:rsidRPr="00730A0A">
        <w:rPr>
          <w:rFonts w:cstheme="minorHAnsi"/>
          <w:sz w:val="24"/>
          <w:szCs w:val="24"/>
        </w:rPr>
        <w:t xml:space="preserve"> that prevents them from being recognised as States.</w:t>
      </w:r>
      <w:r w:rsidR="0074608E">
        <w:rPr>
          <w:rFonts w:cstheme="minorHAnsi"/>
          <w:sz w:val="24"/>
          <w:szCs w:val="24"/>
        </w:rPr>
        <w:t xml:space="preserve"> </w:t>
      </w:r>
      <w:r w:rsidR="005A22C1">
        <w:rPr>
          <w:rFonts w:cstheme="minorHAnsi"/>
          <w:sz w:val="24"/>
          <w:szCs w:val="24"/>
        </w:rPr>
        <w:t>Be that as it may</w:t>
      </w:r>
      <w:r w:rsidR="00264C24">
        <w:rPr>
          <w:rFonts w:cstheme="minorHAnsi"/>
          <w:sz w:val="24"/>
          <w:szCs w:val="24"/>
        </w:rPr>
        <w:t>: despite</w:t>
      </w:r>
      <w:r w:rsidR="0074608E">
        <w:rPr>
          <w:rFonts w:cstheme="minorHAnsi"/>
          <w:sz w:val="24"/>
          <w:szCs w:val="24"/>
        </w:rPr>
        <w:t xml:space="preserve"> claiming that they cannot be recognised, the problem of their factual existence for over 30 years does not disappear. </w:t>
      </w:r>
    </w:p>
    <w:p w14:paraId="43D48D3B" w14:textId="77777777" w:rsidR="00894228" w:rsidRPr="00454789" w:rsidRDefault="00894228" w:rsidP="0074608E">
      <w:pPr>
        <w:spacing w:after="0" w:line="240" w:lineRule="auto"/>
        <w:jc w:val="both"/>
        <w:rPr>
          <w:rFonts w:cstheme="minorHAnsi"/>
          <w:sz w:val="24"/>
          <w:szCs w:val="24"/>
        </w:rPr>
      </w:pPr>
    </w:p>
    <w:p w14:paraId="559790CB" w14:textId="44143221" w:rsidR="00C23C5C" w:rsidRDefault="00706665" w:rsidP="00C23C5C">
      <w:pPr>
        <w:pStyle w:val="Heading1"/>
      </w:pPr>
      <w:r>
        <w:lastRenderedPageBreak/>
        <w:t xml:space="preserve">4. </w:t>
      </w:r>
      <w:r w:rsidR="00B13CFD">
        <w:t xml:space="preserve">Interests of Third Parties </w:t>
      </w:r>
      <w:r w:rsidR="0074608E">
        <w:t>and Independence</w:t>
      </w:r>
    </w:p>
    <w:p w14:paraId="4AA0CD94" w14:textId="3AD183CC" w:rsidR="0074608E" w:rsidRDefault="0074608E" w:rsidP="0074608E">
      <w:pPr>
        <w:spacing w:after="0" w:line="240" w:lineRule="auto"/>
        <w:jc w:val="both"/>
        <w:rPr>
          <w:rFonts w:cstheme="minorHAnsi"/>
          <w:sz w:val="24"/>
          <w:szCs w:val="24"/>
        </w:rPr>
      </w:pPr>
      <w:proofErr w:type="spellStart"/>
      <w:r w:rsidRPr="00D94B50">
        <w:rPr>
          <w:rFonts w:cstheme="minorHAnsi"/>
          <w:i/>
          <w:iCs/>
          <w:sz w:val="24"/>
          <w:szCs w:val="24"/>
        </w:rPr>
        <w:t>Benneh</w:t>
      </w:r>
      <w:proofErr w:type="spellEnd"/>
      <w:r w:rsidRPr="00EC6853">
        <w:rPr>
          <w:rFonts w:cstheme="minorHAnsi"/>
          <w:sz w:val="24"/>
          <w:szCs w:val="24"/>
        </w:rPr>
        <w:t xml:space="preserve"> argues</w:t>
      </w:r>
      <w:r>
        <w:rPr>
          <w:rFonts w:cstheme="minorHAnsi"/>
          <w:sz w:val="24"/>
          <w:szCs w:val="24"/>
        </w:rPr>
        <w:t xml:space="preserve"> that </w:t>
      </w:r>
      <w:r w:rsidRPr="00EC6853">
        <w:rPr>
          <w:rFonts w:cstheme="minorHAnsi"/>
          <w:sz w:val="24"/>
          <w:szCs w:val="24"/>
        </w:rPr>
        <w:t xml:space="preserve">the additional ‘criteria which have emerged from developing practices </w:t>
      </w:r>
      <w:r w:rsidRPr="00254D98">
        <w:rPr>
          <w:rFonts w:cstheme="minorHAnsi"/>
          <w:sz w:val="24"/>
          <w:szCs w:val="24"/>
        </w:rPr>
        <w:t>provide[] a basis</w:t>
      </w:r>
      <w:r w:rsidRPr="00EC6853">
        <w:rPr>
          <w:rFonts w:cstheme="minorHAnsi"/>
          <w:sz w:val="24"/>
          <w:szCs w:val="24"/>
        </w:rPr>
        <w:t xml:space="preserve"> for conceptualising and reconstructing </w:t>
      </w:r>
      <w:r w:rsidRPr="00EC6853">
        <w:rPr>
          <w:rFonts w:cstheme="minorHAnsi"/>
          <w:i/>
          <w:iCs/>
          <w:sz w:val="24"/>
          <w:szCs w:val="24"/>
        </w:rPr>
        <w:t>more viable states</w:t>
      </w:r>
      <w:r w:rsidRPr="00EC6853">
        <w:rPr>
          <w:rFonts w:cstheme="minorHAnsi"/>
          <w:sz w:val="24"/>
          <w:szCs w:val="24"/>
        </w:rPr>
        <w:t>’</w:t>
      </w:r>
      <w:r>
        <w:rPr>
          <w:rFonts w:cstheme="minorHAnsi"/>
          <w:sz w:val="24"/>
          <w:szCs w:val="24"/>
        </w:rPr>
        <w:t>.</w:t>
      </w:r>
      <w:r w:rsidRPr="00EC6853">
        <w:rPr>
          <w:rStyle w:val="FootnoteReference"/>
          <w:rFonts w:cstheme="minorHAnsi"/>
          <w:sz w:val="24"/>
          <w:szCs w:val="24"/>
        </w:rPr>
        <w:footnoteReference w:id="353"/>
      </w:r>
      <w:r w:rsidRPr="00EC6853">
        <w:rPr>
          <w:rFonts w:cstheme="minorHAnsi"/>
          <w:sz w:val="24"/>
          <w:szCs w:val="24"/>
        </w:rPr>
        <w:t xml:space="preserve"> In other words, statehood is increasingly granted to those entities that are deemed to be likely to be viable and viability is determined by these factors.</w:t>
      </w:r>
      <w:r>
        <w:rPr>
          <w:rFonts w:cstheme="minorHAnsi"/>
          <w:sz w:val="24"/>
          <w:szCs w:val="24"/>
        </w:rPr>
        <w:t xml:space="preserve"> It is, </w:t>
      </w:r>
      <w:r w:rsidR="005A22C1">
        <w:rPr>
          <w:rFonts w:cstheme="minorHAnsi"/>
          <w:sz w:val="24"/>
          <w:szCs w:val="24"/>
        </w:rPr>
        <w:t>on the other hand</w:t>
      </w:r>
      <w:r>
        <w:rPr>
          <w:rFonts w:cstheme="minorHAnsi"/>
          <w:sz w:val="24"/>
          <w:szCs w:val="24"/>
        </w:rPr>
        <w:t xml:space="preserve">, doubtful that the aforementioned additional ‘criteria’ inevitably lead to more viable States as they </w:t>
      </w:r>
      <w:r w:rsidR="00787572">
        <w:rPr>
          <w:rFonts w:cstheme="minorHAnsi"/>
          <w:sz w:val="24"/>
          <w:szCs w:val="24"/>
        </w:rPr>
        <w:t>truly</w:t>
      </w:r>
      <w:r>
        <w:rPr>
          <w:rFonts w:cstheme="minorHAnsi"/>
          <w:sz w:val="24"/>
          <w:szCs w:val="24"/>
        </w:rPr>
        <w:t xml:space="preserve"> relate to the ability and willingness to comply with international law rather than to stand as independent entities. The </w:t>
      </w:r>
      <w:r>
        <w:rPr>
          <w:rFonts w:cstheme="minorHAnsi"/>
          <w:i/>
          <w:iCs/>
          <w:sz w:val="24"/>
          <w:szCs w:val="24"/>
        </w:rPr>
        <w:t xml:space="preserve">de facto </w:t>
      </w:r>
      <w:r>
        <w:rPr>
          <w:rFonts w:cstheme="minorHAnsi"/>
          <w:sz w:val="24"/>
          <w:szCs w:val="24"/>
        </w:rPr>
        <w:t>States in the post-Soviet space prove the point: although they fulfil the essential requirements of statehood according to the Montevideo Convention, they are not ‘lawful’ entities; yet, they exist and survive and they do so because they have found support in interested third parties, patron States</w:t>
      </w:r>
      <w:r w:rsidR="00C2436E">
        <w:rPr>
          <w:rFonts w:cstheme="minorHAnsi"/>
          <w:sz w:val="24"/>
          <w:szCs w:val="24"/>
        </w:rPr>
        <w:t xml:space="preserve">. Their viability is sadly linked to their </w:t>
      </w:r>
      <w:r w:rsidR="00894228">
        <w:rPr>
          <w:rFonts w:cstheme="minorHAnsi"/>
          <w:sz w:val="24"/>
          <w:szCs w:val="24"/>
        </w:rPr>
        <w:t xml:space="preserve">increasing state of dependence on external support and concomitantly their </w:t>
      </w:r>
      <w:r w:rsidR="00C2436E">
        <w:rPr>
          <w:rFonts w:cstheme="minorHAnsi"/>
          <w:sz w:val="24"/>
          <w:szCs w:val="24"/>
        </w:rPr>
        <w:t>growing lack of independence. This has</w:t>
      </w:r>
      <w:r w:rsidR="00B13CFD">
        <w:rPr>
          <w:rFonts w:cstheme="minorHAnsi"/>
          <w:sz w:val="24"/>
          <w:szCs w:val="24"/>
        </w:rPr>
        <w:t>, in turn, led to several important legal consequences</w:t>
      </w:r>
      <w:r w:rsidR="00650C9D">
        <w:rPr>
          <w:rFonts w:cstheme="minorHAnsi"/>
          <w:sz w:val="24"/>
          <w:szCs w:val="24"/>
        </w:rPr>
        <w:t xml:space="preserve"> and in fact further </w:t>
      </w:r>
      <w:r w:rsidR="00C2436E">
        <w:rPr>
          <w:rFonts w:cstheme="minorHAnsi"/>
          <w:sz w:val="24"/>
          <w:szCs w:val="24"/>
        </w:rPr>
        <w:t>supports</w:t>
      </w:r>
      <w:r w:rsidR="00650C9D">
        <w:rPr>
          <w:rFonts w:cstheme="minorHAnsi"/>
          <w:sz w:val="24"/>
          <w:szCs w:val="24"/>
        </w:rPr>
        <w:t xml:space="preserve"> the claim that the</w:t>
      </w:r>
      <w:r w:rsidR="00C2436E">
        <w:rPr>
          <w:rFonts w:cstheme="minorHAnsi"/>
          <w:sz w:val="24"/>
          <w:szCs w:val="24"/>
        </w:rPr>
        <w:t>se entities</w:t>
      </w:r>
      <w:r w:rsidR="00650C9D">
        <w:rPr>
          <w:rFonts w:cstheme="minorHAnsi"/>
          <w:sz w:val="24"/>
          <w:szCs w:val="24"/>
        </w:rPr>
        <w:t xml:space="preserve"> are not States.</w:t>
      </w:r>
    </w:p>
    <w:p w14:paraId="1AB221A5" w14:textId="7867B686" w:rsidR="00B13CFD" w:rsidRDefault="00B13CFD" w:rsidP="0074608E">
      <w:pPr>
        <w:spacing w:after="0" w:line="240" w:lineRule="auto"/>
        <w:jc w:val="both"/>
        <w:rPr>
          <w:rFonts w:cstheme="minorHAnsi"/>
          <w:sz w:val="24"/>
          <w:szCs w:val="24"/>
        </w:rPr>
      </w:pPr>
    </w:p>
    <w:p w14:paraId="3DD234C1" w14:textId="04F858BF" w:rsidR="00B13CFD" w:rsidRDefault="00706665" w:rsidP="00B13CFD">
      <w:pPr>
        <w:pStyle w:val="Heading2"/>
      </w:pPr>
      <w:r>
        <w:t xml:space="preserve">4.1. </w:t>
      </w:r>
      <w:r w:rsidR="00B13CFD">
        <w:t xml:space="preserve">Link between Statehood, </w:t>
      </w:r>
      <w:r w:rsidR="00650C9D">
        <w:t>Viability</w:t>
      </w:r>
      <w:r w:rsidR="00B13CFD">
        <w:t xml:space="preserve"> and Independence</w:t>
      </w:r>
    </w:p>
    <w:p w14:paraId="099FD5E6" w14:textId="77777777" w:rsidR="00DC4FE8" w:rsidRDefault="00454789" w:rsidP="00120F99">
      <w:pPr>
        <w:spacing w:after="0" w:line="240" w:lineRule="auto"/>
        <w:jc w:val="both"/>
        <w:rPr>
          <w:rFonts w:cstheme="minorHAnsi"/>
          <w:sz w:val="24"/>
          <w:szCs w:val="24"/>
        </w:rPr>
      </w:pPr>
      <w:r>
        <w:rPr>
          <w:rFonts w:cstheme="minorHAnsi"/>
          <w:sz w:val="24"/>
          <w:szCs w:val="24"/>
        </w:rPr>
        <w:t xml:space="preserve">It is acknowledged that ‘nascent political communities that receive international recognition during their attempts to secede </w:t>
      </w:r>
      <w:r>
        <w:rPr>
          <w:rFonts w:cstheme="minorHAnsi"/>
          <w:i/>
          <w:iCs/>
          <w:sz w:val="24"/>
          <w:szCs w:val="24"/>
        </w:rPr>
        <w:t xml:space="preserve">seem </w:t>
      </w:r>
      <w:r>
        <w:rPr>
          <w:rFonts w:cstheme="minorHAnsi"/>
          <w:sz w:val="24"/>
          <w:szCs w:val="24"/>
        </w:rPr>
        <w:t>more likely to become independent states than those that do not.’</w:t>
      </w:r>
      <w:r>
        <w:rPr>
          <w:rStyle w:val="FootnoteReference"/>
          <w:rFonts w:cstheme="minorHAnsi"/>
          <w:sz w:val="24"/>
          <w:szCs w:val="24"/>
        </w:rPr>
        <w:footnoteReference w:id="354"/>
      </w:r>
      <w:r>
        <w:rPr>
          <w:rFonts w:cstheme="minorHAnsi"/>
          <w:sz w:val="24"/>
          <w:szCs w:val="24"/>
        </w:rPr>
        <w:t xml:space="preserve"> Earlier recognition empowers </w:t>
      </w:r>
      <w:r>
        <w:rPr>
          <w:rFonts w:cstheme="minorHAnsi"/>
          <w:i/>
          <w:iCs/>
          <w:sz w:val="24"/>
          <w:szCs w:val="24"/>
        </w:rPr>
        <w:t xml:space="preserve">de facto </w:t>
      </w:r>
      <w:r>
        <w:rPr>
          <w:rFonts w:cstheme="minorHAnsi"/>
          <w:sz w:val="24"/>
          <w:szCs w:val="24"/>
        </w:rPr>
        <w:t>States and supports their (full) independence.</w:t>
      </w:r>
      <w:r>
        <w:rPr>
          <w:rStyle w:val="FootnoteReference"/>
          <w:rFonts w:cstheme="minorHAnsi"/>
          <w:sz w:val="24"/>
          <w:szCs w:val="24"/>
        </w:rPr>
        <w:footnoteReference w:id="355"/>
      </w:r>
      <w:r>
        <w:rPr>
          <w:rFonts w:cstheme="minorHAnsi"/>
          <w:sz w:val="24"/>
          <w:szCs w:val="24"/>
        </w:rPr>
        <w:t xml:space="preserve"> Unfortunately, this is too late for the four entities in the post-Soviet space. The reality is that they </w:t>
      </w:r>
      <w:r w:rsidR="00830624">
        <w:rPr>
          <w:rFonts w:cstheme="minorHAnsi"/>
          <w:sz w:val="24"/>
          <w:szCs w:val="24"/>
        </w:rPr>
        <w:t>appear to be</w:t>
      </w:r>
      <w:r>
        <w:rPr>
          <w:rFonts w:cstheme="minorHAnsi"/>
          <w:sz w:val="24"/>
          <w:szCs w:val="24"/>
        </w:rPr>
        <w:t xml:space="preserve"> counterexamples of the theory propounded by many scholars that there is a strong correlation between recognition and survival</w:t>
      </w:r>
      <w:r w:rsidR="00830624">
        <w:rPr>
          <w:rFonts w:cstheme="minorHAnsi"/>
          <w:sz w:val="24"/>
          <w:szCs w:val="24"/>
        </w:rPr>
        <w:t>,</w:t>
      </w:r>
      <w:r>
        <w:rPr>
          <w:rStyle w:val="FootnoteReference"/>
          <w:rFonts w:cstheme="minorHAnsi"/>
          <w:sz w:val="24"/>
          <w:szCs w:val="24"/>
        </w:rPr>
        <w:footnoteReference w:id="356"/>
      </w:r>
      <w:r w:rsidR="00830624">
        <w:rPr>
          <w:rFonts w:cstheme="minorHAnsi"/>
          <w:sz w:val="24"/>
          <w:szCs w:val="24"/>
        </w:rPr>
        <w:t xml:space="preserve"> not only of the State but also its citizens,</w:t>
      </w:r>
      <w:r w:rsidR="00830624">
        <w:rPr>
          <w:rStyle w:val="FootnoteReference"/>
          <w:rFonts w:cstheme="minorHAnsi"/>
          <w:sz w:val="24"/>
          <w:szCs w:val="24"/>
        </w:rPr>
        <w:footnoteReference w:id="357"/>
      </w:r>
      <w:r>
        <w:rPr>
          <w:rFonts w:cstheme="minorHAnsi"/>
          <w:sz w:val="24"/>
          <w:szCs w:val="24"/>
        </w:rPr>
        <w:t xml:space="preserve"> and that </w:t>
      </w:r>
      <w:r w:rsidRPr="00F47A9D">
        <w:rPr>
          <w:rFonts w:cstheme="minorHAnsi"/>
          <w:sz w:val="24"/>
          <w:szCs w:val="24"/>
        </w:rPr>
        <w:t>once recognised, an entity ‘is much more likely to survive than if [States] say that they will have nothing to do with it’.</w:t>
      </w:r>
      <w:r w:rsidRPr="00F47A9D">
        <w:rPr>
          <w:rStyle w:val="FootnoteReference"/>
          <w:rFonts w:cstheme="minorHAnsi"/>
          <w:sz w:val="24"/>
          <w:szCs w:val="24"/>
        </w:rPr>
        <w:footnoteReference w:id="358"/>
      </w:r>
      <w:r w:rsidRPr="00F47A9D">
        <w:rPr>
          <w:rFonts w:cstheme="minorHAnsi"/>
          <w:sz w:val="24"/>
          <w:szCs w:val="24"/>
        </w:rPr>
        <w:t xml:space="preserve"> </w:t>
      </w:r>
    </w:p>
    <w:p w14:paraId="410B0213" w14:textId="2CB61553" w:rsidR="00830624" w:rsidRDefault="00830624" w:rsidP="00120F99">
      <w:pPr>
        <w:spacing w:after="0" w:line="240" w:lineRule="auto"/>
        <w:jc w:val="both"/>
        <w:rPr>
          <w:rFonts w:cstheme="minorHAnsi"/>
          <w:sz w:val="24"/>
          <w:szCs w:val="24"/>
        </w:rPr>
      </w:pPr>
      <w:r>
        <w:rPr>
          <w:rFonts w:cstheme="minorHAnsi"/>
          <w:sz w:val="24"/>
          <w:szCs w:val="24"/>
        </w:rPr>
        <w:t>The two main challenges faced by these entities are security issues as they are at the mercy of being taken back by their parent State or annexed by another State and economic problems: ‘key actors in unrecognised states see the issues of underdevelopment and fragility as secondary to and by-products of the root cause issue of non-recognition.’</w:t>
      </w:r>
      <w:r>
        <w:rPr>
          <w:rStyle w:val="FootnoteReference"/>
          <w:rFonts w:cstheme="minorHAnsi"/>
          <w:sz w:val="24"/>
          <w:szCs w:val="24"/>
        </w:rPr>
        <w:footnoteReference w:id="359"/>
      </w:r>
      <w:r w:rsidR="00DC4FE8">
        <w:rPr>
          <w:rFonts w:cstheme="minorHAnsi"/>
          <w:sz w:val="24"/>
          <w:szCs w:val="24"/>
        </w:rPr>
        <w:t xml:space="preserve"> </w:t>
      </w:r>
      <w:r w:rsidR="0051666D">
        <w:rPr>
          <w:rFonts w:cstheme="minorHAnsi"/>
          <w:sz w:val="24"/>
          <w:szCs w:val="24"/>
        </w:rPr>
        <w:t>Often, emerging out of an armed conflict, they need to rebuild the economy and have no money to do so. Moreover, as they are not recognised very few foreign firms invest in the local economy.</w:t>
      </w:r>
      <w:r w:rsidR="0051666D">
        <w:rPr>
          <w:rStyle w:val="FootnoteReference"/>
          <w:rFonts w:cstheme="minorHAnsi"/>
          <w:sz w:val="24"/>
          <w:szCs w:val="24"/>
        </w:rPr>
        <w:footnoteReference w:id="360"/>
      </w:r>
      <w:r w:rsidR="0051666D" w:rsidRPr="0051666D">
        <w:rPr>
          <w:rFonts w:cstheme="minorHAnsi"/>
          <w:sz w:val="24"/>
          <w:szCs w:val="24"/>
        </w:rPr>
        <w:t xml:space="preserve"> </w:t>
      </w:r>
      <w:r w:rsidR="0051666D">
        <w:rPr>
          <w:rFonts w:cstheme="minorHAnsi"/>
          <w:sz w:val="24"/>
          <w:szCs w:val="24"/>
        </w:rPr>
        <w:t xml:space="preserve">More crucially, they are unable to trade with States (and set up trade agreements) and access vital loans and funds on the international level as they cannot become members of the relevant international organisations. </w:t>
      </w:r>
    </w:p>
    <w:p w14:paraId="07DEAB34" w14:textId="4491D74B" w:rsidR="00BE6407" w:rsidRPr="007F0872" w:rsidRDefault="00454789" w:rsidP="00120F99">
      <w:pPr>
        <w:spacing w:after="0" w:line="240" w:lineRule="auto"/>
        <w:jc w:val="both"/>
        <w:rPr>
          <w:rFonts w:cstheme="minorHAnsi"/>
          <w:sz w:val="24"/>
          <w:szCs w:val="24"/>
        </w:rPr>
      </w:pPr>
      <w:r w:rsidRPr="00F47A9D">
        <w:rPr>
          <w:rFonts w:cstheme="minorHAnsi"/>
          <w:sz w:val="24"/>
          <w:szCs w:val="24"/>
        </w:rPr>
        <w:lastRenderedPageBreak/>
        <w:t xml:space="preserve">One of the </w:t>
      </w:r>
      <w:r>
        <w:rPr>
          <w:rFonts w:cstheme="minorHAnsi"/>
          <w:sz w:val="24"/>
          <w:szCs w:val="24"/>
        </w:rPr>
        <w:t>reasons</w:t>
      </w:r>
      <w:r w:rsidR="0051666D">
        <w:rPr>
          <w:rStyle w:val="FootnoteReference"/>
          <w:rFonts w:cstheme="minorHAnsi"/>
          <w:sz w:val="24"/>
          <w:szCs w:val="24"/>
        </w:rPr>
        <w:footnoteReference w:id="361"/>
      </w:r>
      <w:r w:rsidRPr="00F47A9D">
        <w:rPr>
          <w:rFonts w:cstheme="minorHAnsi"/>
          <w:sz w:val="24"/>
          <w:szCs w:val="24"/>
        </w:rPr>
        <w:t xml:space="preserve"> they have survived is that they have turned towards States that either recognise or support them</w:t>
      </w:r>
      <w:r w:rsidR="0051666D">
        <w:rPr>
          <w:rFonts w:cstheme="minorHAnsi"/>
          <w:sz w:val="24"/>
          <w:szCs w:val="24"/>
        </w:rPr>
        <w:t>: an external patron State</w:t>
      </w:r>
      <w:r w:rsidRPr="00F47A9D">
        <w:rPr>
          <w:rFonts w:cstheme="minorHAnsi"/>
          <w:sz w:val="24"/>
          <w:szCs w:val="24"/>
        </w:rPr>
        <w:t xml:space="preserve">. As </w:t>
      </w:r>
      <w:r w:rsidRPr="00894228">
        <w:rPr>
          <w:rFonts w:cstheme="minorHAnsi"/>
          <w:sz w:val="24"/>
          <w:szCs w:val="24"/>
        </w:rPr>
        <w:t>Caspersen</w:t>
      </w:r>
      <w:r w:rsidRPr="00F47A9D">
        <w:rPr>
          <w:rFonts w:cstheme="minorHAnsi"/>
          <w:sz w:val="24"/>
          <w:szCs w:val="24"/>
        </w:rPr>
        <w:t xml:space="preserve"> states, ‘[d]</w:t>
      </w:r>
      <w:proofErr w:type="spellStart"/>
      <w:r w:rsidRPr="00F47A9D">
        <w:rPr>
          <w:rFonts w:cstheme="minorHAnsi"/>
          <w:sz w:val="24"/>
          <w:szCs w:val="24"/>
        </w:rPr>
        <w:t>ue</w:t>
      </w:r>
      <w:proofErr w:type="spellEnd"/>
      <w:r w:rsidRPr="00F47A9D">
        <w:rPr>
          <w:rFonts w:cstheme="minorHAnsi"/>
          <w:sz w:val="24"/>
          <w:szCs w:val="24"/>
        </w:rPr>
        <w:t xml:space="preserve"> to their lack of international recognition, unrecognized states are not spoilt for choice when it comes to attracting external support, and patron states therefore fill in an important gap. </w:t>
      </w:r>
      <w:r w:rsidRPr="00F47A9D">
        <w:rPr>
          <w:sz w:val="24"/>
          <w:szCs w:val="24"/>
        </w:rPr>
        <w:t>Based on ethnic links or strategic interests, these states choose to support unrecognized states with diplomatic, economic, and military assistance. Such external support helps compensate for the lack of international recognition and significantly assists the process of state-</w:t>
      </w:r>
      <w:r w:rsidRPr="00BA5F1E">
        <w:rPr>
          <w:sz w:val="24"/>
          <w:szCs w:val="24"/>
        </w:rPr>
        <w:t>building</w:t>
      </w:r>
      <w:r w:rsidRPr="00BA5F1E">
        <w:rPr>
          <w:rFonts w:cstheme="minorHAnsi"/>
          <w:sz w:val="24"/>
          <w:szCs w:val="24"/>
        </w:rPr>
        <w:t>’.</w:t>
      </w:r>
      <w:r w:rsidRPr="00BA5F1E">
        <w:rPr>
          <w:rStyle w:val="FootnoteReference"/>
          <w:rFonts w:cstheme="minorHAnsi"/>
          <w:sz w:val="24"/>
          <w:szCs w:val="24"/>
        </w:rPr>
        <w:footnoteReference w:id="362"/>
      </w:r>
      <w:r w:rsidRPr="00BA5F1E">
        <w:rPr>
          <w:rFonts w:cstheme="minorHAnsi"/>
          <w:sz w:val="24"/>
          <w:szCs w:val="24"/>
        </w:rPr>
        <w:t xml:space="preserve"> </w:t>
      </w:r>
      <w:r w:rsidR="00830624">
        <w:rPr>
          <w:rFonts w:cstheme="minorHAnsi"/>
          <w:sz w:val="24"/>
          <w:szCs w:val="24"/>
        </w:rPr>
        <w:t>Yet, this support is not without interest</w:t>
      </w:r>
      <w:r w:rsidR="004E360B">
        <w:rPr>
          <w:rFonts w:cstheme="minorHAnsi"/>
          <w:sz w:val="24"/>
          <w:szCs w:val="24"/>
        </w:rPr>
        <w:t xml:space="preserve">: </w:t>
      </w:r>
      <w:r w:rsidR="004E360B">
        <w:rPr>
          <w:rFonts w:cstheme="minorHAnsi"/>
          <w:i/>
          <w:sz w:val="24"/>
          <w:szCs w:val="24"/>
        </w:rPr>
        <w:t xml:space="preserve">de facto </w:t>
      </w:r>
      <w:r w:rsidR="004E360B">
        <w:rPr>
          <w:rFonts w:cstheme="minorHAnsi"/>
          <w:sz w:val="24"/>
          <w:szCs w:val="24"/>
        </w:rPr>
        <w:t>States are often used as a proxy to achieve long-term aims, usually directed at the parent State.</w:t>
      </w:r>
      <w:r w:rsidR="004E360B">
        <w:rPr>
          <w:rStyle w:val="FootnoteReference"/>
          <w:rFonts w:cstheme="minorHAnsi"/>
          <w:sz w:val="24"/>
          <w:szCs w:val="24"/>
        </w:rPr>
        <w:footnoteReference w:id="363"/>
      </w:r>
      <w:r w:rsidR="004E360B">
        <w:rPr>
          <w:rFonts w:cstheme="minorHAnsi"/>
          <w:sz w:val="24"/>
          <w:szCs w:val="24"/>
        </w:rPr>
        <w:t xml:space="preserve"> This problem is compounded by the fact that</w:t>
      </w:r>
      <w:r w:rsidR="00BE6407">
        <w:rPr>
          <w:rFonts w:cstheme="minorHAnsi"/>
          <w:sz w:val="24"/>
          <w:szCs w:val="24"/>
        </w:rPr>
        <w:t xml:space="preserve"> </w:t>
      </w:r>
      <w:r w:rsidR="00BE6407" w:rsidRPr="0046353C">
        <w:rPr>
          <w:sz w:val="24"/>
          <w:szCs w:val="24"/>
        </w:rPr>
        <w:t xml:space="preserve">‘this type of very small State might be particularly suited to forms of intervention and/or influence which could well characterize dangerous manifestations of </w:t>
      </w:r>
      <w:proofErr w:type="spellStart"/>
      <w:r w:rsidR="00BE6407" w:rsidRPr="0046353C">
        <w:rPr>
          <w:sz w:val="24"/>
          <w:szCs w:val="24"/>
        </w:rPr>
        <w:t>neo</w:t>
      </w:r>
      <w:r w:rsidR="00BE6407" w:rsidRPr="0046353C">
        <w:rPr>
          <w:sz w:val="24"/>
          <w:szCs w:val="24"/>
        </w:rPr>
        <w:softHyphen/>
        <w:t>colonialism</w:t>
      </w:r>
      <w:proofErr w:type="spellEnd"/>
      <w:r w:rsidR="00BE6407" w:rsidRPr="0046353C">
        <w:rPr>
          <w:sz w:val="24"/>
          <w:szCs w:val="24"/>
        </w:rPr>
        <w:t>.’</w:t>
      </w:r>
      <w:r w:rsidR="00BE6407" w:rsidRPr="0046353C">
        <w:rPr>
          <w:sz w:val="24"/>
          <w:szCs w:val="24"/>
          <w:vertAlign w:val="superscript"/>
        </w:rPr>
        <w:footnoteReference w:id="364"/>
      </w:r>
      <w:r w:rsidR="00830624">
        <w:rPr>
          <w:sz w:val="24"/>
          <w:szCs w:val="24"/>
        </w:rPr>
        <w:t xml:space="preserve"> </w:t>
      </w:r>
    </w:p>
    <w:p w14:paraId="3E2ADA59" w14:textId="07D70E26" w:rsidR="004B6A37" w:rsidRDefault="00574D80" w:rsidP="00120F99">
      <w:pPr>
        <w:spacing w:after="0" w:line="240" w:lineRule="auto"/>
        <w:jc w:val="both"/>
        <w:rPr>
          <w:rFonts w:cstheme="minorHAnsi"/>
          <w:sz w:val="24"/>
          <w:szCs w:val="24"/>
        </w:rPr>
      </w:pPr>
      <w:r>
        <w:rPr>
          <w:rFonts w:cstheme="minorHAnsi"/>
          <w:sz w:val="24"/>
          <w:szCs w:val="24"/>
        </w:rPr>
        <w:t xml:space="preserve">As </w:t>
      </w:r>
      <w:r w:rsidRPr="00254D98">
        <w:rPr>
          <w:rFonts w:cstheme="minorHAnsi"/>
          <w:sz w:val="24"/>
          <w:szCs w:val="24"/>
        </w:rPr>
        <w:t>Roeder</w:t>
      </w:r>
      <w:r>
        <w:rPr>
          <w:rFonts w:cstheme="minorHAnsi"/>
          <w:sz w:val="24"/>
          <w:szCs w:val="24"/>
        </w:rPr>
        <w:t xml:space="preserve"> explains, after the fall of the Soviet Union, outside allies such as Russia and Armenia prevented the parent State ‘from reversing the secessions even after new unified [parent state] leadership had consolidated power’,</w:t>
      </w:r>
      <w:r>
        <w:rPr>
          <w:rStyle w:val="FootnoteReference"/>
          <w:rFonts w:cstheme="minorHAnsi"/>
          <w:sz w:val="24"/>
          <w:szCs w:val="24"/>
        </w:rPr>
        <w:footnoteReference w:id="365"/>
      </w:r>
      <w:r>
        <w:rPr>
          <w:rFonts w:cstheme="minorHAnsi"/>
          <w:sz w:val="24"/>
          <w:szCs w:val="24"/>
        </w:rPr>
        <w:t xml:space="preserve"> a situation that has been reinforced in the past decade. </w:t>
      </w:r>
      <w:r w:rsidR="00454789" w:rsidRPr="00BA5F1E">
        <w:rPr>
          <w:rFonts w:cstheme="minorHAnsi"/>
          <w:sz w:val="24"/>
          <w:szCs w:val="24"/>
        </w:rPr>
        <w:t xml:space="preserve">Abkhazia, South Ossetia, and Transnistria have turned towards Russia though not all of them had originally a penchant for Russia. As </w:t>
      </w:r>
      <w:proofErr w:type="spellStart"/>
      <w:r w:rsidR="00454789" w:rsidRPr="00254D98">
        <w:rPr>
          <w:rFonts w:cstheme="minorHAnsi"/>
          <w:sz w:val="24"/>
          <w:szCs w:val="24"/>
        </w:rPr>
        <w:t>Darchiashvili</w:t>
      </w:r>
      <w:proofErr w:type="spellEnd"/>
      <w:r w:rsidR="00454789" w:rsidRPr="00BA5F1E">
        <w:rPr>
          <w:rFonts w:cstheme="minorHAnsi"/>
          <w:sz w:val="24"/>
          <w:szCs w:val="24"/>
        </w:rPr>
        <w:t xml:space="preserve"> </w:t>
      </w:r>
      <w:r w:rsidR="00D46867">
        <w:rPr>
          <w:rFonts w:cstheme="minorHAnsi"/>
          <w:sz w:val="24"/>
          <w:szCs w:val="24"/>
        </w:rPr>
        <w:t>evinces</w:t>
      </w:r>
      <w:r w:rsidR="00454789" w:rsidRPr="00BA5F1E">
        <w:rPr>
          <w:rFonts w:cstheme="minorHAnsi"/>
          <w:sz w:val="24"/>
          <w:szCs w:val="24"/>
        </w:rPr>
        <w:t>, the separatist claims of Abkhazia and South Ossetia were ‘</w:t>
      </w:r>
      <w:r w:rsidR="00454789" w:rsidRPr="00BA5F1E">
        <w:rPr>
          <w:sz w:val="24"/>
          <w:szCs w:val="24"/>
        </w:rPr>
        <w:t>not the result of a Russian plot but rather that of a process of “awakening” in these ethnic groups, which was distinct from the Georgian “rebirth”’</w:t>
      </w:r>
      <w:r w:rsidR="00454789" w:rsidRPr="00BA5F1E">
        <w:rPr>
          <w:rFonts w:cstheme="minorHAnsi"/>
          <w:sz w:val="24"/>
          <w:szCs w:val="24"/>
        </w:rPr>
        <w:t>.</w:t>
      </w:r>
      <w:r w:rsidR="00454789" w:rsidRPr="00BA5F1E">
        <w:rPr>
          <w:rStyle w:val="FootnoteReference"/>
          <w:rFonts w:cstheme="minorHAnsi"/>
          <w:sz w:val="24"/>
          <w:szCs w:val="24"/>
        </w:rPr>
        <w:footnoteReference w:id="366"/>
      </w:r>
      <w:r w:rsidR="00454789">
        <w:rPr>
          <w:rFonts w:cstheme="minorHAnsi"/>
          <w:sz w:val="24"/>
          <w:szCs w:val="24"/>
        </w:rPr>
        <w:t xml:space="preserve"> That being said, South Ossetia has always </w:t>
      </w:r>
      <w:r w:rsidR="007F3BD6">
        <w:rPr>
          <w:rFonts w:cstheme="minorHAnsi"/>
          <w:sz w:val="24"/>
          <w:szCs w:val="24"/>
        </w:rPr>
        <w:t>enjoyed</w:t>
      </w:r>
      <w:r w:rsidR="00454789">
        <w:rPr>
          <w:rFonts w:cstheme="minorHAnsi"/>
          <w:sz w:val="24"/>
          <w:szCs w:val="24"/>
        </w:rPr>
        <w:t xml:space="preserve"> good relations with Russia.</w:t>
      </w:r>
      <w:r w:rsidR="00454789">
        <w:rPr>
          <w:rStyle w:val="FootnoteReference"/>
          <w:rFonts w:cstheme="minorHAnsi"/>
          <w:sz w:val="24"/>
          <w:szCs w:val="24"/>
        </w:rPr>
        <w:footnoteReference w:id="367"/>
      </w:r>
      <w:r w:rsidR="00454789" w:rsidRPr="00BA5F1E">
        <w:rPr>
          <w:rFonts w:cstheme="minorHAnsi"/>
          <w:sz w:val="24"/>
          <w:szCs w:val="24"/>
        </w:rPr>
        <w:t xml:space="preserve"> In contrast, Nagorno-Karabakh found in Armenia natural reinforcement. These entities have subsequently (or</w:t>
      </w:r>
      <w:r w:rsidR="00454789">
        <w:rPr>
          <w:rFonts w:cstheme="minorHAnsi"/>
          <w:sz w:val="24"/>
          <w:szCs w:val="24"/>
        </w:rPr>
        <w:t xml:space="preserve"> concurrently) developed a relationship of clientelism and have sometimes been used and/or exploited by the supporting State, taking ‘geopolitical advantage of minorities within former, non-Russian, Soviet republics’.</w:t>
      </w:r>
      <w:r w:rsidR="00454789">
        <w:rPr>
          <w:rStyle w:val="FootnoteReference"/>
          <w:rFonts w:cstheme="minorHAnsi"/>
          <w:sz w:val="24"/>
          <w:szCs w:val="24"/>
        </w:rPr>
        <w:footnoteReference w:id="368"/>
      </w:r>
      <w:r w:rsidR="00454789">
        <w:rPr>
          <w:rFonts w:cstheme="minorHAnsi"/>
          <w:sz w:val="24"/>
          <w:szCs w:val="24"/>
        </w:rPr>
        <w:t xml:space="preserve"> Abkhazia and South Ossetia are ‘part of a Russia-dominated, post-imperial economic and cultural ecosystem’</w:t>
      </w:r>
      <w:r w:rsidR="00454789">
        <w:rPr>
          <w:rStyle w:val="FootnoteReference"/>
          <w:rFonts w:cstheme="minorHAnsi"/>
          <w:sz w:val="24"/>
          <w:szCs w:val="24"/>
        </w:rPr>
        <w:footnoteReference w:id="369"/>
      </w:r>
      <w:r w:rsidR="00454789">
        <w:rPr>
          <w:rFonts w:cstheme="minorHAnsi"/>
          <w:sz w:val="24"/>
          <w:szCs w:val="24"/>
        </w:rPr>
        <w:t xml:space="preserve"> whereas Transnistria ‘survives by virtue of the military, economic, financial and political support given to it by the Russian Federation.’</w:t>
      </w:r>
      <w:r w:rsidR="00454789">
        <w:rPr>
          <w:rStyle w:val="FootnoteReference"/>
          <w:rFonts w:cstheme="minorHAnsi"/>
          <w:sz w:val="24"/>
          <w:szCs w:val="24"/>
        </w:rPr>
        <w:footnoteReference w:id="370"/>
      </w:r>
      <w:r w:rsidR="00454789">
        <w:rPr>
          <w:rFonts w:cstheme="minorHAnsi"/>
          <w:sz w:val="24"/>
          <w:szCs w:val="24"/>
        </w:rPr>
        <w:t xml:space="preserve"> </w:t>
      </w:r>
    </w:p>
    <w:p w14:paraId="74AC12A1" w14:textId="366FC9B8" w:rsidR="00B13CFD" w:rsidRDefault="00B13CFD" w:rsidP="00120F99">
      <w:pPr>
        <w:spacing w:after="0" w:line="240" w:lineRule="auto"/>
        <w:jc w:val="both"/>
        <w:rPr>
          <w:rFonts w:cstheme="minorHAnsi"/>
          <w:sz w:val="24"/>
          <w:szCs w:val="24"/>
        </w:rPr>
      </w:pPr>
    </w:p>
    <w:p w14:paraId="799A5907" w14:textId="250064D5" w:rsidR="00B13CFD" w:rsidRDefault="00706665" w:rsidP="00B13CFD">
      <w:pPr>
        <w:pStyle w:val="Heading2"/>
      </w:pPr>
      <w:r>
        <w:t xml:space="preserve">4.2. </w:t>
      </w:r>
      <w:r w:rsidR="00B13CFD">
        <w:t xml:space="preserve">Consequences of Obtaining Third Party Support to Survive  </w:t>
      </w:r>
    </w:p>
    <w:p w14:paraId="65A963BE" w14:textId="3449220D" w:rsidR="004B6A37" w:rsidRDefault="00454789" w:rsidP="00120F99">
      <w:pPr>
        <w:spacing w:after="0" w:line="240" w:lineRule="auto"/>
        <w:jc w:val="both"/>
        <w:rPr>
          <w:rFonts w:cstheme="minorHAnsi"/>
          <w:sz w:val="24"/>
          <w:szCs w:val="24"/>
        </w:rPr>
      </w:pPr>
      <w:r>
        <w:rPr>
          <w:rFonts w:cstheme="minorHAnsi"/>
          <w:sz w:val="24"/>
          <w:szCs w:val="24"/>
        </w:rPr>
        <w:t xml:space="preserve">Whilst it seems </w:t>
      </w:r>
      <w:r>
        <w:rPr>
          <w:rFonts w:cstheme="minorHAnsi"/>
          <w:i/>
          <w:iCs/>
          <w:sz w:val="24"/>
          <w:szCs w:val="24"/>
        </w:rPr>
        <w:t xml:space="preserve">prima facie </w:t>
      </w:r>
      <w:r>
        <w:rPr>
          <w:rFonts w:cstheme="minorHAnsi"/>
          <w:sz w:val="24"/>
          <w:szCs w:val="24"/>
        </w:rPr>
        <w:t xml:space="preserve">an issue linked to international relations and not to international law, </w:t>
      </w:r>
      <w:r w:rsidR="004B6A37">
        <w:rPr>
          <w:rFonts w:cstheme="minorHAnsi"/>
          <w:sz w:val="24"/>
          <w:szCs w:val="24"/>
        </w:rPr>
        <w:t xml:space="preserve">the </w:t>
      </w:r>
      <w:r w:rsidR="00124608">
        <w:rPr>
          <w:rFonts w:cstheme="minorHAnsi"/>
          <w:sz w:val="24"/>
          <w:szCs w:val="24"/>
        </w:rPr>
        <w:t xml:space="preserve">legal </w:t>
      </w:r>
      <w:r w:rsidR="004B6A37">
        <w:rPr>
          <w:rFonts w:cstheme="minorHAnsi"/>
          <w:sz w:val="24"/>
          <w:szCs w:val="24"/>
        </w:rPr>
        <w:t>consequences of such support are multifaceted.</w:t>
      </w:r>
    </w:p>
    <w:p w14:paraId="44EDF375" w14:textId="0570646D" w:rsidR="004D7F8F" w:rsidRDefault="004B6A37" w:rsidP="00334A1F">
      <w:pPr>
        <w:spacing w:after="0" w:line="240" w:lineRule="auto"/>
        <w:jc w:val="both"/>
        <w:rPr>
          <w:rFonts w:cstheme="minorHAnsi"/>
          <w:sz w:val="24"/>
          <w:szCs w:val="24"/>
          <w:highlight w:val="yellow"/>
        </w:rPr>
      </w:pPr>
      <w:r>
        <w:rPr>
          <w:rFonts w:cstheme="minorHAnsi"/>
          <w:sz w:val="24"/>
          <w:szCs w:val="24"/>
        </w:rPr>
        <w:t xml:space="preserve">First, support </w:t>
      </w:r>
      <w:r w:rsidR="00454789">
        <w:rPr>
          <w:rFonts w:cstheme="minorHAnsi"/>
          <w:sz w:val="24"/>
          <w:szCs w:val="24"/>
        </w:rPr>
        <w:t>has</w:t>
      </w:r>
      <w:r>
        <w:rPr>
          <w:rFonts w:cstheme="minorHAnsi"/>
          <w:sz w:val="24"/>
          <w:szCs w:val="24"/>
        </w:rPr>
        <w:t xml:space="preserve"> </w:t>
      </w:r>
      <w:r w:rsidR="00454789">
        <w:rPr>
          <w:rFonts w:cstheme="minorHAnsi"/>
          <w:sz w:val="24"/>
          <w:szCs w:val="24"/>
        </w:rPr>
        <w:t xml:space="preserve">led to </w:t>
      </w:r>
      <w:r w:rsidR="00454789">
        <w:rPr>
          <w:rFonts w:cstheme="minorHAnsi"/>
          <w:i/>
          <w:iCs/>
          <w:sz w:val="24"/>
          <w:szCs w:val="24"/>
        </w:rPr>
        <w:t xml:space="preserve">de facto </w:t>
      </w:r>
      <w:r w:rsidR="00454789">
        <w:rPr>
          <w:rFonts w:cstheme="minorHAnsi"/>
          <w:sz w:val="24"/>
          <w:szCs w:val="24"/>
        </w:rPr>
        <w:t xml:space="preserve">or </w:t>
      </w:r>
      <w:r w:rsidR="00454789">
        <w:rPr>
          <w:rFonts w:cstheme="minorHAnsi"/>
          <w:i/>
          <w:iCs/>
          <w:sz w:val="24"/>
          <w:szCs w:val="24"/>
        </w:rPr>
        <w:t>de jure</w:t>
      </w:r>
      <w:r w:rsidR="00454789">
        <w:rPr>
          <w:rFonts w:cstheme="minorHAnsi"/>
          <w:sz w:val="24"/>
          <w:szCs w:val="24"/>
        </w:rPr>
        <w:t xml:space="preserve"> </w:t>
      </w:r>
      <w:r>
        <w:rPr>
          <w:rFonts w:cstheme="minorHAnsi"/>
          <w:sz w:val="24"/>
          <w:szCs w:val="24"/>
        </w:rPr>
        <w:t xml:space="preserve">occupation and in some instances </w:t>
      </w:r>
      <w:r w:rsidR="00454789">
        <w:rPr>
          <w:rFonts w:cstheme="minorHAnsi"/>
          <w:sz w:val="24"/>
          <w:szCs w:val="24"/>
        </w:rPr>
        <w:t xml:space="preserve">annexation, i.e., situations unlawful under international law. </w:t>
      </w:r>
      <w:r w:rsidR="00124608">
        <w:rPr>
          <w:rFonts w:cstheme="minorHAnsi"/>
          <w:sz w:val="24"/>
          <w:szCs w:val="24"/>
        </w:rPr>
        <w:t xml:space="preserve">Following the 2008 armed conflict in South </w:t>
      </w:r>
      <w:r w:rsidR="00124608">
        <w:rPr>
          <w:rFonts w:cstheme="minorHAnsi"/>
          <w:sz w:val="24"/>
          <w:szCs w:val="24"/>
        </w:rPr>
        <w:lastRenderedPageBreak/>
        <w:t>Ossetia and Abkhazia, a six-point cease-fire plan was brokered. As Russia deployed more forces in Abkhazia</w:t>
      </w:r>
      <w:r w:rsidR="00124608">
        <w:rPr>
          <w:rStyle w:val="FootnoteReference"/>
          <w:rFonts w:cstheme="minorHAnsi"/>
          <w:sz w:val="24"/>
          <w:szCs w:val="24"/>
        </w:rPr>
        <w:footnoteReference w:id="371"/>
      </w:r>
      <w:r w:rsidR="00124608">
        <w:rPr>
          <w:rFonts w:cstheme="minorHAnsi"/>
          <w:sz w:val="24"/>
          <w:szCs w:val="24"/>
        </w:rPr>
        <w:t xml:space="preserve"> and South Ossetia to the extent that it is claimed Russia occupies Abkhazia</w:t>
      </w:r>
      <w:r w:rsidR="00124608">
        <w:rPr>
          <w:rStyle w:val="FootnoteReference"/>
          <w:rFonts w:cstheme="minorHAnsi"/>
          <w:sz w:val="24"/>
          <w:szCs w:val="24"/>
        </w:rPr>
        <w:footnoteReference w:id="372"/>
      </w:r>
      <w:r w:rsidR="00124608">
        <w:rPr>
          <w:rFonts w:cstheme="minorHAnsi"/>
          <w:sz w:val="24"/>
          <w:szCs w:val="24"/>
        </w:rPr>
        <w:t xml:space="preserve"> and South Osset</w:t>
      </w:r>
      <w:r w:rsidR="00124608" w:rsidRPr="009A3201">
        <w:rPr>
          <w:rFonts w:cstheme="minorHAnsi"/>
          <w:sz w:val="24"/>
          <w:szCs w:val="24"/>
        </w:rPr>
        <w:t>ia.</w:t>
      </w:r>
      <w:r w:rsidR="00124608" w:rsidRPr="009A3201">
        <w:rPr>
          <w:rStyle w:val="FootnoteReference"/>
          <w:rFonts w:cstheme="minorHAnsi"/>
          <w:sz w:val="24"/>
          <w:szCs w:val="24"/>
        </w:rPr>
        <w:footnoteReference w:id="373"/>
      </w:r>
      <w:r w:rsidR="00124608" w:rsidRPr="009A3201">
        <w:rPr>
          <w:rFonts w:cstheme="minorHAnsi"/>
          <w:sz w:val="24"/>
          <w:szCs w:val="24"/>
        </w:rPr>
        <w:t xml:space="preserve"> </w:t>
      </w:r>
      <w:r w:rsidRPr="009A3201">
        <w:rPr>
          <w:rFonts w:cstheme="minorHAnsi"/>
          <w:sz w:val="24"/>
          <w:szCs w:val="24"/>
        </w:rPr>
        <w:t xml:space="preserve">Transnistria </w:t>
      </w:r>
      <w:r w:rsidR="004D7F8F" w:rsidRPr="009A3201">
        <w:rPr>
          <w:rFonts w:cstheme="minorHAnsi"/>
          <w:sz w:val="24"/>
          <w:szCs w:val="24"/>
        </w:rPr>
        <w:t xml:space="preserve">is also considered to be </w:t>
      </w:r>
      <w:r w:rsidRPr="009A3201">
        <w:rPr>
          <w:rFonts w:cstheme="minorHAnsi"/>
          <w:sz w:val="24"/>
          <w:szCs w:val="24"/>
        </w:rPr>
        <w:t>occupied by Russia</w:t>
      </w:r>
      <w:r w:rsidR="004D7F8F" w:rsidRPr="009A3201">
        <w:rPr>
          <w:rFonts w:cstheme="minorHAnsi"/>
          <w:sz w:val="24"/>
          <w:szCs w:val="24"/>
        </w:rPr>
        <w:t>.</w:t>
      </w:r>
      <w:r w:rsidR="00124608" w:rsidRPr="009A3201">
        <w:rPr>
          <w:rFonts w:cstheme="minorHAnsi"/>
          <w:sz w:val="24"/>
          <w:szCs w:val="24"/>
        </w:rPr>
        <w:t xml:space="preserve"> </w:t>
      </w:r>
      <w:r w:rsidR="00150399" w:rsidRPr="009A3201">
        <w:rPr>
          <w:color w:val="000000"/>
          <w:sz w:val="24"/>
          <w:szCs w:val="24"/>
          <w:shd w:val="clear" w:color="auto" w:fill="FFFFFF"/>
        </w:rPr>
        <w:t>For some scholars, the prese</w:t>
      </w:r>
      <w:r w:rsidR="00150399" w:rsidRPr="006D4864">
        <w:rPr>
          <w:color w:val="000000"/>
          <w:sz w:val="24"/>
          <w:szCs w:val="24"/>
          <w:shd w:val="clear" w:color="auto" w:fill="FFFFFF"/>
        </w:rPr>
        <w:t>nce of Russian troops</w:t>
      </w:r>
      <w:r w:rsidR="007F3BD6">
        <w:rPr>
          <w:color w:val="000000"/>
          <w:sz w:val="24"/>
          <w:szCs w:val="24"/>
          <w:shd w:val="clear" w:color="auto" w:fill="FFFFFF"/>
        </w:rPr>
        <w:t xml:space="preserve"> in Transnistria</w:t>
      </w:r>
      <w:r w:rsidR="00150399" w:rsidRPr="006D4864">
        <w:rPr>
          <w:color w:val="000000"/>
          <w:sz w:val="24"/>
          <w:szCs w:val="24"/>
          <w:shd w:val="clear" w:color="auto" w:fill="FFFFFF"/>
        </w:rPr>
        <w:t xml:space="preserve"> since 1991 is a form of occupation.</w:t>
      </w:r>
      <w:r w:rsidR="00150399" w:rsidRPr="006D4864">
        <w:rPr>
          <w:rStyle w:val="FootnoteReference"/>
          <w:rFonts w:cstheme="minorHAnsi"/>
          <w:sz w:val="24"/>
          <w:szCs w:val="24"/>
        </w:rPr>
        <w:footnoteReference w:id="374"/>
      </w:r>
      <w:r w:rsidR="00150399" w:rsidRPr="006D4864">
        <w:rPr>
          <w:color w:val="000000"/>
          <w:sz w:val="24"/>
          <w:szCs w:val="24"/>
          <w:shd w:val="clear" w:color="auto" w:fill="FFFFFF"/>
        </w:rPr>
        <w:t xml:space="preserve"> </w:t>
      </w:r>
      <w:r w:rsidR="00124608" w:rsidRPr="006D4864">
        <w:rPr>
          <w:rFonts w:cstheme="minorHAnsi"/>
          <w:sz w:val="24"/>
          <w:szCs w:val="24"/>
        </w:rPr>
        <w:t xml:space="preserve">Some observers argue that Armenia controls Nagorno-Karabakh </w:t>
      </w:r>
      <w:r w:rsidR="00D32112" w:rsidRPr="006D4864">
        <w:rPr>
          <w:rFonts w:cstheme="minorHAnsi"/>
          <w:sz w:val="24"/>
          <w:szCs w:val="24"/>
        </w:rPr>
        <w:t>since 1994,</w:t>
      </w:r>
      <w:r w:rsidR="00124608" w:rsidRPr="006D4864">
        <w:rPr>
          <w:rStyle w:val="FootnoteReference"/>
          <w:rFonts w:cstheme="minorHAnsi"/>
          <w:sz w:val="24"/>
          <w:szCs w:val="24"/>
        </w:rPr>
        <w:footnoteReference w:id="375"/>
      </w:r>
      <w:r w:rsidR="00D32112" w:rsidRPr="006D4864">
        <w:rPr>
          <w:rFonts w:cstheme="minorHAnsi"/>
          <w:sz w:val="24"/>
          <w:szCs w:val="24"/>
        </w:rPr>
        <w:t xml:space="preserve"> whilst others go as far back as January 1992, a couple of weeks after Nagorno-Karabakh declared its independence.</w:t>
      </w:r>
      <w:r w:rsidR="00D32112" w:rsidRPr="006D4864">
        <w:rPr>
          <w:rStyle w:val="FootnoteReference"/>
          <w:rFonts w:cstheme="minorHAnsi"/>
          <w:sz w:val="24"/>
          <w:szCs w:val="24"/>
        </w:rPr>
        <w:footnoteReference w:id="376"/>
      </w:r>
      <w:r w:rsidR="00124608" w:rsidRPr="006D4864">
        <w:rPr>
          <w:rFonts w:cstheme="minorHAnsi"/>
          <w:sz w:val="24"/>
          <w:szCs w:val="24"/>
        </w:rPr>
        <w:t xml:space="preserve"> </w:t>
      </w:r>
      <w:r w:rsidR="006D4864" w:rsidRPr="006D4864">
        <w:rPr>
          <w:rFonts w:cstheme="minorHAnsi"/>
          <w:sz w:val="24"/>
          <w:szCs w:val="24"/>
        </w:rPr>
        <w:t>The United Nations General Assembly passed a resolution in 2008 referring to Nagorno-Karabakh as occupied territory</w:t>
      </w:r>
      <w:r w:rsidR="006D4864" w:rsidRPr="006D4864">
        <w:rPr>
          <w:rStyle w:val="FootnoteReference"/>
          <w:rFonts w:cstheme="minorHAnsi"/>
          <w:sz w:val="24"/>
          <w:szCs w:val="24"/>
        </w:rPr>
        <w:footnoteReference w:id="377"/>
      </w:r>
      <w:r w:rsidR="00650C9D">
        <w:rPr>
          <w:rFonts w:cstheme="minorHAnsi"/>
          <w:sz w:val="24"/>
          <w:szCs w:val="24"/>
        </w:rPr>
        <w:t xml:space="preserve"> whilst the Parliamentary Assembly of the Council of </w:t>
      </w:r>
      <w:r w:rsidR="00650C9D" w:rsidRPr="00650C9D">
        <w:rPr>
          <w:rFonts w:cstheme="minorHAnsi"/>
          <w:sz w:val="24"/>
          <w:szCs w:val="24"/>
        </w:rPr>
        <w:t xml:space="preserve">Europe has </w:t>
      </w:r>
      <w:r w:rsidR="00B1372F">
        <w:rPr>
          <w:rFonts w:cstheme="minorHAnsi"/>
          <w:sz w:val="24"/>
          <w:szCs w:val="24"/>
        </w:rPr>
        <w:t xml:space="preserve">impliedly referred to the </w:t>
      </w:r>
      <w:r w:rsidR="00B1372F">
        <w:rPr>
          <w:rFonts w:cstheme="minorHAnsi"/>
          <w:i/>
          <w:sz w:val="24"/>
          <w:szCs w:val="24"/>
        </w:rPr>
        <w:t xml:space="preserve">de facto </w:t>
      </w:r>
      <w:r w:rsidR="00B1372F">
        <w:rPr>
          <w:rFonts w:cstheme="minorHAnsi"/>
          <w:sz w:val="24"/>
          <w:szCs w:val="24"/>
        </w:rPr>
        <w:t xml:space="preserve">annexation of </w:t>
      </w:r>
      <w:r w:rsidR="00650C9D" w:rsidRPr="00650C9D">
        <w:rPr>
          <w:rFonts w:cstheme="minorHAnsi"/>
          <w:sz w:val="24"/>
          <w:szCs w:val="24"/>
          <w:shd w:val="clear" w:color="auto" w:fill="FFFFFF"/>
        </w:rPr>
        <w:t>Nagorno-Karabakh by Armenia.</w:t>
      </w:r>
      <w:r w:rsidR="00650C9D" w:rsidRPr="00650C9D">
        <w:rPr>
          <w:rStyle w:val="FootnoteReference"/>
          <w:rFonts w:cstheme="minorHAnsi"/>
          <w:sz w:val="24"/>
          <w:szCs w:val="24"/>
          <w:shd w:val="clear" w:color="auto" w:fill="FFFFFF"/>
        </w:rPr>
        <w:footnoteReference w:id="378"/>
      </w:r>
      <w:r w:rsidR="00650C9D" w:rsidRPr="00650C9D">
        <w:rPr>
          <w:rFonts w:cstheme="minorHAnsi"/>
          <w:sz w:val="24"/>
          <w:szCs w:val="24"/>
          <w:shd w:val="clear" w:color="auto" w:fill="FFFFFF"/>
        </w:rPr>
        <w:t xml:space="preserve"> </w:t>
      </w:r>
      <w:r w:rsidRPr="00650C9D">
        <w:rPr>
          <w:rFonts w:cstheme="minorHAnsi"/>
          <w:sz w:val="24"/>
          <w:szCs w:val="24"/>
        </w:rPr>
        <w:t xml:space="preserve"> </w:t>
      </w:r>
    </w:p>
    <w:p w14:paraId="0574D9B3" w14:textId="1C805ECE" w:rsidR="004D7F8F" w:rsidRDefault="004D7F8F" w:rsidP="00334A1F">
      <w:pPr>
        <w:spacing w:after="0" w:line="240" w:lineRule="auto"/>
        <w:jc w:val="both"/>
        <w:rPr>
          <w:rFonts w:cstheme="minorHAnsi"/>
          <w:sz w:val="24"/>
          <w:szCs w:val="24"/>
        </w:rPr>
      </w:pPr>
      <w:r w:rsidRPr="004D7F8F">
        <w:rPr>
          <w:rFonts w:cstheme="minorHAnsi"/>
          <w:sz w:val="24"/>
          <w:szCs w:val="24"/>
        </w:rPr>
        <w:t xml:space="preserve">The </w:t>
      </w:r>
      <w:r>
        <w:rPr>
          <w:rFonts w:cstheme="minorHAnsi"/>
          <w:sz w:val="24"/>
          <w:szCs w:val="24"/>
        </w:rPr>
        <w:t xml:space="preserve">way the ‘independence’ of Ukrainian regions was </w:t>
      </w:r>
      <w:r w:rsidR="009A3201">
        <w:rPr>
          <w:rFonts w:cstheme="minorHAnsi"/>
          <w:sz w:val="24"/>
          <w:szCs w:val="24"/>
        </w:rPr>
        <w:t xml:space="preserve">recently </w:t>
      </w:r>
      <w:r>
        <w:rPr>
          <w:rFonts w:cstheme="minorHAnsi"/>
          <w:sz w:val="24"/>
          <w:szCs w:val="24"/>
        </w:rPr>
        <w:t>handled by Russia is undoubtedly a</w:t>
      </w:r>
      <w:r w:rsidR="009A3201">
        <w:rPr>
          <w:rFonts w:cstheme="minorHAnsi"/>
          <w:sz w:val="24"/>
          <w:szCs w:val="24"/>
        </w:rPr>
        <w:t>n additional</w:t>
      </w:r>
      <w:r>
        <w:rPr>
          <w:rFonts w:cstheme="minorHAnsi"/>
          <w:sz w:val="24"/>
          <w:szCs w:val="24"/>
        </w:rPr>
        <w:t xml:space="preserve"> cause for concern. </w:t>
      </w:r>
      <w:r w:rsidR="00454789" w:rsidRPr="004D7F8F">
        <w:rPr>
          <w:rFonts w:cstheme="minorHAnsi"/>
          <w:sz w:val="24"/>
          <w:szCs w:val="24"/>
        </w:rPr>
        <w:t>F</w:t>
      </w:r>
      <w:r w:rsidR="00454789">
        <w:rPr>
          <w:rFonts w:cstheme="minorHAnsi"/>
          <w:sz w:val="24"/>
          <w:szCs w:val="24"/>
        </w:rPr>
        <w:t>or example, as the Republics of Donetsk and Luhansk declared their independence in</w:t>
      </w:r>
      <w:r w:rsidR="00334A1F">
        <w:rPr>
          <w:rFonts w:cstheme="minorHAnsi"/>
          <w:sz w:val="24"/>
          <w:szCs w:val="24"/>
        </w:rPr>
        <w:t xml:space="preserve"> April 2014, </w:t>
      </w:r>
      <w:r w:rsidR="00454789">
        <w:rPr>
          <w:rFonts w:cstheme="minorHAnsi"/>
          <w:sz w:val="24"/>
          <w:szCs w:val="24"/>
        </w:rPr>
        <w:t xml:space="preserve">the international community viewed it as a </w:t>
      </w:r>
      <w:r w:rsidR="00454789">
        <w:rPr>
          <w:rFonts w:cstheme="minorHAnsi"/>
          <w:i/>
          <w:iCs/>
          <w:sz w:val="24"/>
          <w:szCs w:val="24"/>
        </w:rPr>
        <w:t xml:space="preserve">de facto </w:t>
      </w:r>
      <w:r w:rsidR="00454789">
        <w:rPr>
          <w:rFonts w:cstheme="minorHAnsi"/>
          <w:sz w:val="24"/>
          <w:szCs w:val="24"/>
        </w:rPr>
        <w:t xml:space="preserve">annexation by Russia. The next step was the </w:t>
      </w:r>
      <w:r w:rsidR="007F3BD6">
        <w:rPr>
          <w:rFonts w:cstheme="minorHAnsi"/>
          <w:sz w:val="24"/>
          <w:szCs w:val="24"/>
        </w:rPr>
        <w:t xml:space="preserve">official </w:t>
      </w:r>
      <w:r w:rsidR="00454789">
        <w:rPr>
          <w:rFonts w:cstheme="minorHAnsi"/>
          <w:sz w:val="24"/>
          <w:szCs w:val="24"/>
        </w:rPr>
        <w:t xml:space="preserve">recognition by Russia of these entities as independent States </w:t>
      </w:r>
      <w:r w:rsidR="00334A1F">
        <w:rPr>
          <w:rFonts w:cstheme="minorHAnsi"/>
          <w:sz w:val="24"/>
          <w:szCs w:val="24"/>
        </w:rPr>
        <w:t>on 21</w:t>
      </w:r>
      <w:r w:rsidR="00454789">
        <w:rPr>
          <w:rFonts w:cstheme="minorHAnsi"/>
          <w:sz w:val="24"/>
          <w:szCs w:val="24"/>
        </w:rPr>
        <w:t xml:space="preserve"> February 2022 and eventually </w:t>
      </w:r>
      <w:r w:rsidR="00334A1F">
        <w:rPr>
          <w:rFonts w:cstheme="minorHAnsi"/>
          <w:sz w:val="24"/>
          <w:szCs w:val="24"/>
        </w:rPr>
        <w:t xml:space="preserve">in September 2022 </w:t>
      </w:r>
      <w:r w:rsidR="00454789">
        <w:rPr>
          <w:rFonts w:cstheme="minorHAnsi"/>
          <w:sz w:val="24"/>
          <w:szCs w:val="24"/>
        </w:rPr>
        <w:t xml:space="preserve">their incorporation into the Russian Federation, i.e., their </w:t>
      </w:r>
      <w:r w:rsidR="00454789">
        <w:rPr>
          <w:rFonts w:cstheme="minorHAnsi"/>
          <w:i/>
          <w:iCs/>
          <w:sz w:val="24"/>
          <w:szCs w:val="24"/>
        </w:rPr>
        <w:t xml:space="preserve">de jure </w:t>
      </w:r>
      <w:r w:rsidR="00454789">
        <w:rPr>
          <w:rFonts w:cstheme="minorHAnsi"/>
          <w:sz w:val="24"/>
          <w:szCs w:val="24"/>
        </w:rPr>
        <w:t xml:space="preserve">annexation. The pace at which this took place was fast and one might rightfully question whether this process might not be applied to other </w:t>
      </w:r>
      <w:r w:rsidR="00454789">
        <w:rPr>
          <w:rFonts w:cstheme="minorHAnsi"/>
          <w:i/>
          <w:iCs/>
          <w:sz w:val="24"/>
          <w:szCs w:val="24"/>
        </w:rPr>
        <w:t xml:space="preserve">de facto </w:t>
      </w:r>
      <w:r w:rsidR="00454789">
        <w:rPr>
          <w:rFonts w:cstheme="minorHAnsi"/>
          <w:sz w:val="24"/>
          <w:szCs w:val="24"/>
        </w:rPr>
        <w:t xml:space="preserve">States. </w:t>
      </w:r>
    </w:p>
    <w:p w14:paraId="6E093244" w14:textId="3BA0088D" w:rsidR="004B6A37" w:rsidRPr="00650C9D" w:rsidRDefault="000F1904" w:rsidP="00334A1F">
      <w:pPr>
        <w:spacing w:after="0" w:line="240" w:lineRule="auto"/>
        <w:jc w:val="both"/>
        <w:rPr>
          <w:rFonts w:cstheme="minorHAnsi"/>
          <w:color w:val="444444"/>
          <w:sz w:val="24"/>
          <w:szCs w:val="24"/>
          <w:shd w:val="clear" w:color="auto" w:fill="FFFFFF"/>
        </w:rPr>
      </w:pPr>
      <w:r>
        <w:rPr>
          <w:sz w:val="24"/>
          <w:szCs w:val="24"/>
        </w:rPr>
        <w:t>Indeed, in March 2022 the President of South Ossetia announced that it would ‘take the relevant legislative steps [for] [t]he republic of South Ossetia [to be] part of its historical homeland – Russia’ and expressly referred to Russia’s invasion of Ukraine as a ‘window of opportunity’.</w:t>
      </w:r>
      <w:r>
        <w:rPr>
          <w:rStyle w:val="FootnoteReference"/>
          <w:sz w:val="24"/>
          <w:szCs w:val="24"/>
        </w:rPr>
        <w:footnoteReference w:id="379"/>
      </w:r>
      <w:r>
        <w:rPr>
          <w:sz w:val="24"/>
          <w:szCs w:val="24"/>
        </w:rPr>
        <w:t xml:space="preserve"> The referendum was however cancelled in May 2022.</w:t>
      </w:r>
      <w:r>
        <w:rPr>
          <w:rStyle w:val="FootnoteReference"/>
          <w:sz w:val="24"/>
          <w:szCs w:val="24"/>
        </w:rPr>
        <w:footnoteReference w:id="380"/>
      </w:r>
    </w:p>
    <w:p w14:paraId="19401B1C" w14:textId="3BDDA4D9" w:rsidR="00E60B71" w:rsidRPr="00C329E5" w:rsidRDefault="004B6A37" w:rsidP="00334A1F">
      <w:pPr>
        <w:spacing w:after="0" w:line="240" w:lineRule="auto"/>
        <w:jc w:val="both"/>
        <w:rPr>
          <w:rFonts w:cstheme="minorHAnsi"/>
          <w:sz w:val="24"/>
          <w:szCs w:val="24"/>
        </w:rPr>
      </w:pPr>
      <w:r>
        <w:rPr>
          <w:sz w:val="24"/>
          <w:szCs w:val="24"/>
        </w:rPr>
        <w:t xml:space="preserve">Second, </w:t>
      </w:r>
      <w:r w:rsidR="0071613D">
        <w:rPr>
          <w:sz w:val="24"/>
          <w:szCs w:val="24"/>
        </w:rPr>
        <w:t xml:space="preserve">independence is a requirement for statehood. </w:t>
      </w:r>
      <w:r w:rsidR="00BE6407">
        <w:rPr>
          <w:sz w:val="24"/>
          <w:szCs w:val="24"/>
        </w:rPr>
        <w:t xml:space="preserve">In 1963, </w:t>
      </w:r>
      <w:r w:rsidR="00E60B71" w:rsidRPr="00254D98">
        <w:rPr>
          <w:sz w:val="24"/>
          <w:szCs w:val="24"/>
        </w:rPr>
        <w:t>Higgins</w:t>
      </w:r>
      <w:r w:rsidR="00E60B71" w:rsidRPr="00E83E74">
        <w:rPr>
          <w:sz w:val="24"/>
          <w:szCs w:val="24"/>
        </w:rPr>
        <w:t xml:space="preserve"> observed that ‘international law has long demanded that before an entity can be acknowledged as a state, it must possess independence and sovereignty’</w:t>
      </w:r>
      <w:r w:rsidR="00E60B71">
        <w:rPr>
          <w:rStyle w:val="FootnoteReference"/>
          <w:sz w:val="24"/>
          <w:szCs w:val="24"/>
        </w:rPr>
        <w:footnoteReference w:id="381"/>
      </w:r>
      <w:r w:rsidR="00E60B71" w:rsidRPr="00E83E74">
        <w:rPr>
          <w:sz w:val="24"/>
          <w:szCs w:val="24"/>
        </w:rPr>
        <w:t xml:space="preserve"> and that ‘i</w:t>
      </w:r>
      <w:r w:rsidR="00E60B71" w:rsidRPr="00E83E74">
        <w:rPr>
          <w:sz w:val="24"/>
          <w:szCs w:val="24"/>
          <w:lang w:eastAsia="en-GB"/>
        </w:rPr>
        <w:t>ndependence is an indispensable element in the notion of statehood under international law.’</w:t>
      </w:r>
      <w:r w:rsidR="00E60B71" w:rsidRPr="00E83E74">
        <w:rPr>
          <w:sz w:val="24"/>
          <w:szCs w:val="24"/>
          <w:vertAlign w:val="superscript"/>
        </w:rPr>
        <w:footnoteReference w:id="382"/>
      </w:r>
      <w:r w:rsidR="00E60B71" w:rsidRPr="00E83E74">
        <w:rPr>
          <w:sz w:val="24"/>
          <w:szCs w:val="24"/>
        </w:rPr>
        <w:t xml:space="preserve"> </w:t>
      </w:r>
      <w:r w:rsidR="00E60B71">
        <w:rPr>
          <w:sz w:val="24"/>
          <w:szCs w:val="24"/>
        </w:rPr>
        <w:t xml:space="preserve">Indeed, </w:t>
      </w:r>
      <w:r w:rsidR="00E60B71">
        <w:rPr>
          <w:rFonts w:cstheme="minorHAnsi"/>
          <w:sz w:val="24"/>
          <w:szCs w:val="24"/>
        </w:rPr>
        <w:t>‘[s]</w:t>
      </w:r>
      <w:proofErr w:type="spellStart"/>
      <w:r w:rsidR="00E60B71">
        <w:rPr>
          <w:rFonts w:cstheme="minorHAnsi"/>
          <w:sz w:val="24"/>
          <w:szCs w:val="24"/>
        </w:rPr>
        <w:t>ince</w:t>
      </w:r>
      <w:proofErr w:type="spellEnd"/>
      <w:r w:rsidR="00E60B71">
        <w:rPr>
          <w:rFonts w:cstheme="minorHAnsi"/>
          <w:sz w:val="24"/>
          <w:szCs w:val="24"/>
        </w:rPr>
        <w:t xml:space="preserve"> independence is an expression of sovereignty, that, according to international law, is the evidence of statehood.’</w:t>
      </w:r>
      <w:r w:rsidR="00E60B71">
        <w:rPr>
          <w:rStyle w:val="FootnoteReference"/>
          <w:rFonts w:cstheme="minorHAnsi"/>
          <w:sz w:val="24"/>
          <w:szCs w:val="24"/>
        </w:rPr>
        <w:footnoteReference w:id="383"/>
      </w:r>
      <w:r w:rsidR="00E60B71">
        <w:rPr>
          <w:rFonts w:cstheme="minorHAnsi"/>
          <w:sz w:val="24"/>
          <w:szCs w:val="24"/>
        </w:rPr>
        <w:t xml:space="preserve"> </w:t>
      </w:r>
      <w:r w:rsidR="00120F99">
        <w:rPr>
          <w:rFonts w:cstheme="minorHAnsi"/>
          <w:sz w:val="24"/>
          <w:szCs w:val="24"/>
        </w:rPr>
        <w:t>The importance of the independence criteria is supported by an alternative to the Montevideo Convention definition. I</w:t>
      </w:r>
      <w:r w:rsidR="00E60B71">
        <w:rPr>
          <w:rFonts w:cstheme="minorHAnsi"/>
          <w:sz w:val="24"/>
          <w:szCs w:val="24"/>
        </w:rPr>
        <w:t>n many States and legal literature</w:t>
      </w:r>
      <w:r w:rsidR="00C329E5">
        <w:rPr>
          <w:rFonts w:cstheme="minorHAnsi"/>
          <w:sz w:val="24"/>
          <w:szCs w:val="24"/>
        </w:rPr>
        <w:t>,</w:t>
      </w:r>
      <w:r w:rsidR="00E60B71">
        <w:rPr>
          <w:rFonts w:cstheme="minorHAnsi"/>
          <w:sz w:val="24"/>
          <w:szCs w:val="24"/>
        </w:rPr>
        <w:t xml:space="preserve"> the last two </w:t>
      </w:r>
      <w:r w:rsidR="00E60B71">
        <w:rPr>
          <w:rFonts w:cstheme="minorHAnsi"/>
          <w:sz w:val="24"/>
          <w:szCs w:val="24"/>
        </w:rPr>
        <w:lastRenderedPageBreak/>
        <w:t>criteria are merged and replaced by the criterion of an independent power and/or government</w:t>
      </w:r>
      <w:r w:rsidR="00120F99">
        <w:rPr>
          <w:rFonts w:cstheme="minorHAnsi"/>
          <w:sz w:val="24"/>
          <w:szCs w:val="24"/>
        </w:rPr>
        <w:t>;</w:t>
      </w:r>
      <w:r w:rsidR="00E60B71">
        <w:rPr>
          <w:rStyle w:val="FootnoteReference"/>
          <w:rFonts w:cstheme="minorHAnsi"/>
          <w:sz w:val="24"/>
          <w:szCs w:val="24"/>
        </w:rPr>
        <w:footnoteReference w:id="384"/>
      </w:r>
      <w:r w:rsidR="00C329E5">
        <w:rPr>
          <w:rFonts w:cstheme="minorHAnsi"/>
          <w:sz w:val="24"/>
          <w:szCs w:val="24"/>
        </w:rPr>
        <w:t xml:space="preserve"> i</w:t>
      </w:r>
      <w:r w:rsidR="00E60B71">
        <w:rPr>
          <w:rFonts w:cstheme="minorHAnsi"/>
          <w:sz w:val="24"/>
          <w:szCs w:val="24"/>
        </w:rPr>
        <w:t>n many European States,</w:t>
      </w:r>
      <w:r w:rsidR="00E60B71">
        <w:rPr>
          <w:rStyle w:val="FootnoteReference"/>
          <w:rFonts w:cstheme="minorHAnsi"/>
          <w:sz w:val="24"/>
          <w:szCs w:val="24"/>
        </w:rPr>
        <w:footnoteReference w:id="385"/>
      </w:r>
      <w:r w:rsidR="00E60B71">
        <w:rPr>
          <w:rFonts w:cstheme="minorHAnsi"/>
          <w:sz w:val="24"/>
          <w:szCs w:val="24"/>
        </w:rPr>
        <w:t xml:space="preserve"> the three-elements doctrine (‘</w:t>
      </w:r>
      <w:proofErr w:type="spellStart"/>
      <w:r w:rsidR="00E60B71" w:rsidRPr="00A958A6">
        <w:rPr>
          <w:rFonts w:cstheme="minorHAnsi"/>
          <w:i/>
          <w:iCs/>
          <w:sz w:val="24"/>
          <w:szCs w:val="24"/>
        </w:rPr>
        <w:t>drei-Elementen-Lehre</w:t>
      </w:r>
      <w:proofErr w:type="spellEnd"/>
      <w:r w:rsidR="00E60B71">
        <w:rPr>
          <w:rFonts w:cstheme="minorHAnsi"/>
          <w:sz w:val="24"/>
          <w:szCs w:val="24"/>
        </w:rPr>
        <w:t xml:space="preserve">’) coined by </w:t>
      </w:r>
      <w:proofErr w:type="spellStart"/>
      <w:r w:rsidR="00E60B71" w:rsidRPr="00254D98">
        <w:rPr>
          <w:rFonts w:cstheme="minorHAnsi"/>
          <w:sz w:val="24"/>
          <w:szCs w:val="24"/>
        </w:rPr>
        <w:t>Jellinek</w:t>
      </w:r>
      <w:proofErr w:type="spellEnd"/>
      <w:r w:rsidR="00E60B71">
        <w:rPr>
          <w:rStyle w:val="FootnoteReference"/>
          <w:rFonts w:cstheme="minorHAnsi"/>
          <w:sz w:val="24"/>
          <w:szCs w:val="24"/>
        </w:rPr>
        <w:footnoteReference w:id="386"/>
      </w:r>
      <w:r w:rsidR="00E60B71">
        <w:rPr>
          <w:rFonts w:cstheme="minorHAnsi"/>
          <w:sz w:val="24"/>
          <w:szCs w:val="24"/>
        </w:rPr>
        <w:t xml:space="preserve"> prevails. </w:t>
      </w:r>
      <w:r w:rsidR="00E60B71" w:rsidRPr="00EC6853">
        <w:rPr>
          <w:rFonts w:eastAsia="Times New Roman" w:cstheme="minorHAnsi"/>
          <w:color w:val="000000"/>
          <w:sz w:val="24"/>
          <w:szCs w:val="24"/>
          <w:lang w:eastAsia="en-GB"/>
        </w:rPr>
        <w:t xml:space="preserve">These three elements of understanding </w:t>
      </w:r>
      <w:r w:rsidR="00E60B71">
        <w:rPr>
          <w:rFonts w:eastAsia="Times New Roman" w:cstheme="minorHAnsi"/>
          <w:color w:val="000000"/>
          <w:sz w:val="24"/>
          <w:szCs w:val="24"/>
          <w:lang w:eastAsia="en-GB"/>
        </w:rPr>
        <w:t>are</w:t>
      </w:r>
      <w:r w:rsidR="00E60B71" w:rsidRPr="00EC6853">
        <w:rPr>
          <w:rFonts w:eastAsia="Times New Roman" w:cstheme="minorHAnsi"/>
          <w:color w:val="000000"/>
          <w:sz w:val="24"/>
          <w:szCs w:val="24"/>
          <w:lang w:eastAsia="en-GB"/>
        </w:rPr>
        <w:t xml:space="preserve"> also found in the </w:t>
      </w:r>
      <w:r w:rsidR="00E60B71">
        <w:rPr>
          <w:rFonts w:eastAsia="Times New Roman" w:cstheme="minorHAnsi"/>
          <w:color w:val="000000"/>
          <w:sz w:val="24"/>
          <w:szCs w:val="24"/>
          <w:lang w:eastAsia="en-GB"/>
        </w:rPr>
        <w:t xml:space="preserve">Opinion 1 of the </w:t>
      </w:r>
      <w:proofErr w:type="spellStart"/>
      <w:r w:rsidR="00E60B71">
        <w:rPr>
          <w:rFonts w:eastAsia="Times New Roman" w:cstheme="minorHAnsi"/>
          <w:color w:val="000000"/>
          <w:sz w:val="24"/>
          <w:szCs w:val="24"/>
          <w:lang w:eastAsia="en-GB"/>
        </w:rPr>
        <w:t>Badinter</w:t>
      </w:r>
      <w:proofErr w:type="spellEnd"/>
      <w:r w:rsidR="00E60B71">
        <w:rPr>
          <w:rFonts w:eastAsia="Times New Roman" w:cstheme="minorHAnsi"/>
          <w:color w:val="000000"/>
          <w:sz w:val="24"/>
          <w:szCs w:val="24"/>
          <w:lang w:eastAsia="en-GB"/>
        </w:rPr>
        <w:t xml:space="preserve"> Committee</w:t>
      </w:r>
      <w:r w:rsidR="00E60B71">
        <w:rPr>
          <w:rStyle w:val="FootnoteReference"/>
          <w:rFonts w:eastAsia="Times New Roman" w:cstheme="minorHAnsi"/>
          <w:color w:val="000000"/>
          <w:sz w:val="24"/>
          <w:szCs w:val="24"/>
          <w:lang w:eastAsia="en-GB"/>
        </w:rPr>
        <w:footnoteReference w:id="387"/>
      </w:r>
      <w:r w:rsidR="004C7069">
        <w:rPr>
          <w:rFonts w:eastAsia="Times New Roman" w:cstheme="minorHAnsi"/>
          <w:color w:val="000000"/>
          <w:sz w:val="24"/>
          <w:szCs w:val="24"/>
          <w:lang w:eastAsia="en-GB"/>
        </w:rPr>
        <w:t xml:space="preserve"> and in the </w:t>
      </w:r>
      <w:proofErr w:type="spellStart"/>
      <w:r w:rsidR="00525391">
        <w:rPr>
          <w:rFonts w:eastAsia="Times New Roman" w:cstheme="minorHAnsi"/>
          <w:color w:val="000000"/>
          <w:sz w:val="24"/>
          <w:szCs w:val="24"/>
          <w:lang w:eastAsia="en-GB"/>
        </w:rPr>
        <w:t>Tagliavini</w:t>
      </w:r>
      <w:proofErr w:type="spellEnd"/>
      <w:r w:rsidR="004C7069">
        <w:rPr>
          <w:rFonts w:eastAsia="Times New Roman" w:cstheme="minorHAnsi"/>
          <w:color w:val="000000"/>
          <w:sz w:val="24"/>
          <w:szCs w:val="24"/>
          <w:lang w:eastAsia="en-GB"/>
        </w:rPr>
        <w:t xml:space="preserve"> report.</w:t>
      </w:r>
      <w:r w:rsidR="004C7069">
        <w:rPr>
          <w:rStyle w:val="FootnoteReference"/>
          <w:rFonts w:eastAsia="Times New Roman" w:cstheme="minorHAnsi"/>
          <w:color w:val="000000"/>
          <w:sz w:val="24"/>
          <w:szCs w:val="24"/>
          <w:lang w:eastAsia="en-GB"/>
        </w:rPr>
        <w:footnoteReference w:id="388"/>
      </w:r>
      <w:r w:rsidR="00E60B71">
        <w:rPr>
          <w:rFonts w:eastAsia="Times New Roman" w:cstheme="minorHAnsi"/>
          <w:color w:val="000000"/>
          <w:sz w:val="24"/>
          <w:szCs w:val="24"/>
          <w:lang w:eastAsia="en-GB"/>
        </w:rPr>
        <w:t xml:space="preserve"> </w:t>
      </w:r>
      <w:r w:rsidR="00E60B71">
        <w:rPr>
          <w:rFonts w:cstheme="minorHAnsi"/>
          <w:sz w:val="24"/>
          <w:szCs w:val="24"/>
        </w:rPr>
        <w:t>According to this doctrine, the elements of the State are a territory (</w:t>
      </w:r>
      <w:r w:rsidR="00A958A6">
        <w:rPr>
          <w:rFonts w:cstheme="minorHAnsi"/>
          <w:sz w:val="24"/>
          <w:szCs w:val="24"/>
        </w:rPr>
        <w:t>‘</w:t>
      </w:r>
      <w:proofErr w:type="spellStart"/>
      <w:r w:rsidR="00E60B71" w:rsidRPr="00254D98">
        <w:rPr>
          <w:rFonts w:cstheme="minorHAnsi"/>
          <w:i/>
          <w:iCs/>
          <w:sz w:val="24"/>
          <w:szCs w:val="24"/>
        </w:rPr>
        <w:t>Staatsgebiet</w:t>
      </w:r>
      <w:proofErr w:type="spellEnd"/>
      <w:r w:rsidR="00A958A6">
        <w:rPr>
          <w:rFonts w:cstheme="minorHAnsi"/>
          <w:i/>
          <w:iCs/>
          <w:sz w:val="24"/>
          <w:szCs w:val="24"/>
        </w:rPr>
        <w:t>’</w:t>
      </w:r>
      <w:r w:rsidR="00E60B71">
        <w:rPr>
          <w:rFonts w:cstheme="minorHAnsi"/>
          <w:sz w:val="24"/>
          <w:szCs w:val="24"/>
        </w:rPr>
        <w:t>), a population (</w:t>
      </w:r>
      <w:r w:rsidR="00A958A6">
        <w:rPr>
          <w:rFonts w:cstheme="minorHAnsi"/>
          <w:sz w:val="24"/>
          <w:szCs w:val="24"/>
        </w:rPr>
        <w:t>‘</w:t>
      </w:r>
      <w:proofErr w:type="spellStart"/>
      <w:r w:rsidR="00E60B71" w:rsidRPr="00254D98">
        <w:rPr>
          <w:rFonts w:cstheme="minorHAnsi"/>
          <w:i/>
          <w:iCs/>
          <w:sz w:val="24"/>
          <w:szCs w:val="24"/>
        </w:rPr>
        <w:t>Staatsvolk</w:t>
      </w:r>
      <w:proofErr w:type="spellEnd"/>
      <w:r w:rsidR="00A958A6">
        <w:rPr>
          <w:rFonts w:cstheme="minorHAnsi"/>
          <w:i/>
          <w:iCs/>
          <w:sz w:val="24"/>
          <w:szCs w:val="24"/>
        </w:rPr>
        <w:t>’</w:t>
      </w:r>
      <w:r w:rsidR="00E60B71">
        <w:rPr>
          <w:rFonts w:cstheme="minorHAnsi"/>
          <w:sz w:val="24"/>
          <w:szCs w:val="24"/>
        </w:rPr>
        <w:t>) and ‘sovereign’ power (</w:t>
      </w:r>
      <w:r w:rsidR="00A958A6">
        <w:rPr>
          <w:rFonts w:cstheme="minorHAnsi"/>
          <w:sz w:val="24"/>
          <w:szCs w:val="24"/>
        </w:rPr>
        <w:t>‘“</w:t>
      </w:r>
      <w:proofErr w:type="spellStart"/>
      <w:r w:rsidR="00E60B71" w:rsidRPr="00254D98">
        <w:rPr>
          <w:rFonts w:cstheme="minorHAnsi"/>
          <w:i/>
          <w:iCs/>
          <w:sz w:val="24"/>
          <w:szCs w:val="24"/>
        </w:rPr>
        <w:t>souver</w:t>
      </w:r>
      <w:r w:rsidR="00F17084" w:rsidRPr="00254D98">
        <w:rPr>
          <w:rFonts w:cstheme="minorHAnsi"/>
          <w:i/>
          <w:iCs/>
          <w:sz w:val="24"/>
          <w:szCs w:val="24"/>
        </w:rPr>
        <w:t>ä</w:t>
      </w:r>
      <w:r w:rsidR="00E60B71" w:rsidRPr="00254D98">
        <w:rPr>
          <w:rFonts w:cstheme="minorHAnsi"/>
          <w:i/>
          <w:iCs/>
          <w:sz w:val="24"/>
          <w:szCs w:val="24"/>
        </w:rPr>
        <w:t>ne</w:t>
      </w:r>
      <w:proofErr w:type="spellEnd"/>
      <w:r w:rsidR="00A958A6">
        <w:rPr>
          <w:rFonts w:cstheme="minorHAnsi"/>
          <w:i/>
          <w:iCs/>
          <w:sz w:val="24"/>
          <w:szCs w:val="24"/>
        </w:rPr>
        <w:t>”</w:t>
      </w:r>
      <w:r w:rsidR="00E60B71" w:rsidRPr="00254D98">
        <w:rPr>
          <w:rFonts w:cstheme="minorHAnsi"/>
          <w:i/>
          <w:iCs/>
          <w:sz w:val="24"/>
          <w:szCs w:val="24"/>
        </w:rPr>
        <w:t xml:space="preserve"> </w:t>
      </w:r>
      <w:proofErr w:type="spellStart"/>
      <w:r w:rsidR="00E60B71" w:rsidRPr="00254D98">
        <w:rPr>
          <w:rFonts w:cstheme="minorHAnsi"/>
          <w:i/>
          <w:iCs/>
          <w:sz w:val="24"/>
          <w:szCs w:val="24"/>
        </w:rPr>
        <w:t>Staatsgewalt</w:t>
      </w:r>
      <w:proofErr w:type="spellEnd"/>
      <w:r w:rsidR="00A958A6">
        <w:rPr>
          <w:rFonts w:cstheme="minorHAnsi"/>
          <w:i/>
          <w:iCs/>
          <w:sz w:val="24"/>
          <w:szCs w:val="24"/>
        </w:rPr>
        <w:t>’</w:t>
      </w:r>
      <w:r w:rsidR="00E60B71">
        <w:rPr>
          <w:rFonts w:cstheme="minorHAnsi"/>
          <w:sz w:val="24"/>
          <w:szCs w:val="24"/>
        </w:rPr>
        <w:t>).</w:t>
      </w:r>
      <w:r w:rsidR="00E60B71" w:rsidRPr="00FD00B2">
        <w:rPr>
          <w:rFonts w:eastAsia="Times New Roman" w:cstheme="minorHAnsi"/>
          <w:color w:val="000000"/>
          <w:sz w:val="24"/>
          <w:szCs w:val="24"/>
          <w:lang w:eastAsia="en-GB"/>
        </w:rPr>
        <w:t xml:space="preserve"> </w:t>
      </w:r>
      <w:r w:rsidR="00E60B71" w:rsidRPr="00EC6853">
        <w:rPr>
          <w:rFonts w:eastAsia="Times New Roman" w:cstheme="minorHAnsi"/>
          <w:color w:val="000000"/>
          <w:sz w:val="24"/>
          <w:szCs w:val="24"/>
          <w:lang w:eastAsia="en-GB"/>
        </w:rPr>
        <w:t>For example, in German international law literature</w:t>
      </w:r>
      <w:r w:rsidR="00C329E5">
        <w:rPr>
          <w:rFonts w:eastAsia="Times New Roman" w:cstheme="minorHAnsi"/>
          <w:color w:val="000000"/>
          <w:sz w:val="24"/>
          <w:szCs w:val="24"/>
          <w:lang w:eastAsia="en-GB"/>
        </w:rPr>
        <w:t>,</w:t>
      </w:r>
      <w:r w:rsidR="00E60B71" w:rsidRPr="00EC6853">
        <w:rPr>
          <w:rFonts w:eastAsia="Times New Roman" w:cstheme="minorHAnsi"/>
          <w:color w:val="000000"/>
          <w:sz w:val="24"/>
          <w:szCs w:val="24"/>
          <w:lang w:eastAsia="en-GB"/>
        </w:rPr>
        <w:t xml:space="preserve"> the two</w:t>
      </w:r>
      <w:r w:rsidR="00C329E5">
        <w:rPr>
          <w:rFonts w:eastAsia="Times New Roman" w:cstheme="minorHAnsi"/>
          <w:color w:val="000000"/>
          <w:sz w:val="24"/>
          <w:szCs w:val="24"/>
          <w:lang w:eastAsia="en-GB"/>
        </w:rPr>
        <w:t xml:space="preserve"> last</w:t>
      </w:r>
      <w:r w:rsidR="00E60B71" w:rsidRPr="00EC6853">
        <w:rPr>
          <w:rFonts w:eastAsia="Times New Roman" w:cstheme="minorHAnsi"/>
          <w:color w:val="000000"/>
          <w:sz w:val="24"/>
          <w:szCs w:val="24"/>
          <w:lang w:eastAsia="en-GB"/>
        </w:rPr>
        <w:t xml:space="preserve"> elements are understood as state power (</w:t>
      </w:r>
      <w:r w:rsidR="00A958A6">
        <w:rPr>
          <w:rFonts w:eastAsia="Times New Roman" w:cstheme="minorHAnsi"/>
          <w:color w:val="000000"/>
          <w:sz w:val="24"/>
          <w:szCs w:val="24"/>
          <w:lang w:eastAsia="en-GB"/>
        </w:rPr>
        <w:t>‘</w:t>
      </w:r>
      <w:proofErr w:type="spellStart"/>
      <w:r w:rsidR="00E60B71" w:rsidRPr="00254D98">
        <w:rPr>
          <w:rFonts w:eastAsia="Times New Roman" w:cstheme="minorHAnsi"/>
          <w:i/>
          <w:iCs/>
          <w:color w:val="000000"/>
          <w:sz w:val="24"/>
          <w:szCs w:val="24"/>
          <w:lang w:eastAsia="en-GB"/>
        </w:rPr>
        <w:t>Staatsgewalt</w:t>
      </w:r>
      <w:proofErr w:type="spellEnd"/>
      <w:r w:rsidR="00A958A6">
        <w:rPr>
          <w:rFonts w:eastAsia="Times New Roman" w:cstheme="minorHAnsi"/>
          <w:i/>
          <w:iCs/>
          <w:color w:val="000000"/>
          <w:sz w:val="24"/>
          <w:szCs w:val="24"/>
          <w:lang w:eastAsia="en-GB"/>
        </w:rPr>
        <w:t>’</w:t>
      </w:r>
      <w:r w:rsidR="00E60B71" w:rsidRPr="00EC6853">
        <w:rPr>
          <w:rFonts w:eastAsia="Times New Roman" w:cstheme="minorHAnsi"/>
          <w:color w:val="000000"/>
          <w:sz w:val="24"/>
          <w:szCs w:val="24"/>
          <w:lang w:eastAsia="en-GB"/>
        </w:rPr>
        <w:t>) that can be divided into internal and external power.</w:t>
      </w:r>
      <w:r w:rsidR="00E60B71" w:rsidRPr="00EC6853">
        <w:rPr>
          <w:rStyle w:val="FootnoteReference"/>
          <w:rFonts w:eastAsia="Times New Roman" w:cstheme="minorHAnsi"/>
          <w:color w:val="000000"/>
          <w:sz w:val="24"/>
          <w:szCs w:val="24"/>
          <w:lang w:eastAsia="en-GB"/>
        </w:rPr>
        <w:footnoteReference w:id="389"/>
      </w:r>
      <w:r w:rsidR="00E60B71" w:rsidRPr="00EC6853">
        <w:rPr>
          <w:rFonts w:eastAsia="Times New Roman" w:cstheme="minorHAnsi"/>
          <w:color w:val="000000"/>
          <w:sz w:val="24"/>
          <w:szCs w:val="24"/>
          <w:lang w:eastAsia="en-GB"/>
        </w:rPr>
        <w:t xml:space="preserve"> </w:t>
      </w:r>
      <w:r w:rsidR="00E60B71">
        <w:rPr>
          <w:rFonts w:eastAsia="Times New Roman" w:cstheme="minorHAnsi"/>
          <w:color w:val="000000"/>
          <w:sz w:val="24"/>
          <w:szCs w:val="24"/>
          <w:lang w:eastAsia="en-GB"/>
        </w:rPr>
        <w:t xml:space="preserve">Consequently, a State is constituted by ‘a sedentary population living on a defined territory and organised under a self-imposed, effective and lasting order, not derived from a </w:t>
      </w:r>
      <w:r w:rsidR="00E60B71" w:rsidRPr="00D766CC">
        <w:rPr>
          <w:rFonts w:eastAsia="Times New Roman" w:cstheme="minorHAnsi"/>
          <w:sz w:val="24"/>
          <w:szCs w:val="24"/>
          <w:lang w:eastAsia="en-GB"/>
        </w:rPr>
        <w:t>State.’</w:t>
      </w:r>
      <w:r w:rsidR="00E60B71" w:rsidRPr="00D766CC">
        <w:rPr>
          <w:rStyle w:val="FootnoteReference"/>
          <w:rFonts w:cstheme="minorHAnsi"/>
          <w:sz w:val="24"/>
          <w:szCs w:val="24"/>
          <w:shd w:val="clear" w:color="auto" w:fill="FFFFFF"/>
        </w:rPr>
        <w:footnoteReference w:id="390"/>
      </w:r>
      <w:r w:rsidR="00E60B71" w:rsidRPr="00D766CC">
        <w:rPr>
          <w:rFonts w:eastAsia="Times New Roman" w:cstheme="minorHAnsi"/>
          <w:sz w:val="24"/>
          <w:szCs w:val="24"/>
          <w:lang w:eastAsia="en-GB"/>
        </w:rPr>
        <w:t xml:space="preserve"> In short</w:t>
      </w:r>
      <w:r w:rsidR="00E60B71">
        <w:rPr>
          <w:rFonts w:eastAsia="Times New Roman" w:cstheme="minorHAnsi"/>
          <w:color w:val="000000"/>
          <w:sz w:val="24"/>
          <w:szCs w:val="24"/>
          <w:lang w:eastAsia="en-GB"/>
        </w:rPr>
        <w:t>: ‘a territory, a population and an effective and independent government.’</w:t>
      </w:r>
      <w:r w:rsidR="00E60B71" w:rsidRPr="00EC6853">
        <w:rPr>
          <w:rStyle w:val="FootnoteReference"/>
          <w:rFonts w:eastAsia="Times New Roman" w:cstheme="minorHAnsi"/>
          <w:color w:val="000000"/>
          <w:sz w:val="24"/>
          <w:szCs w:val="24"/>
          <w:lang w:eastAsia="en-GB"/>
        </w:rPr>
        <w:footnoteReference w:id="391"/>
      </w:r>
      <w:r w:rsidR="00E60B71">
        <w:rPr>
          <w:rFonts w:eastAsia="Times New Roman" w:cstheme="minorHAnsi"/>
          <w:color w:val="000000"/>
          <w:sz w:val="24"/>
          <w:szCs w:val="24"/>
          <w:lang w:eastAsia="en-GB"/>
        </w:rPr>
        <w:t xml:space="preserve"> </w:t>
      </w:r>
    </w:p>
    <w:p w14:paraId="3D40AE9B" w14:textId="2C0DB1F7" w:rsidR="0084193D" w:rsidRDefault="00C329E5" w:rsidP="00120F99">
      <w:pPr>
        <w:spacing w:after="0" w:line="240" w:lineRule="auto"/>
        <w:jc w:val="both"/>
        <w:textAlignment w:val="baseline"/>
        <w:rPr>
          <w:rFonts w:eastAsia="Times New Roman" w:cstheme="minorHAnsi"/>
          <w:color w:val="000000"/>
          <w:sz w:val="24"/>
          <w:szCs w:val="24"/>
          <w:lang w:eastAsia="en-GB"/>
        </w:rPr>
      </w:pPr>
      <w:r>
        <w:rPr>
          <w:rFonts w:cstheme="minorHAnsi"/>
          <w:sz w:val="24"/>
          <w:szCs w:val="24"/>
        </w:rPr>
        <w:t>Consequently</w:t>
      </w:r>
      <w:r w:rsidR="0084193D">
        <w:rPr>
          <w:rFonts w:cstheme="minorHAnsi"/>
          <w:sz w:val="24"/>
          <w:szCs w:val="24"/>
        </w:rPr>
        <w:t xml:space="preserve">, </w:t>
      </w:r>
      <w:r w:rsidR="00120F99">
        <w:rPr>
          <w:rFonts w:cstheme="minorHAnsi"/>
          <w:sz w:val="24"/>
          <w:szCs w:val="24"/>
        </w:rPr>
        <w:t xml:space="preserve">independence is an excellent gauge of </w:t>
      </w:r>
      <w:r w:rsidR="00CB112A">
        <w:rPr>
          <w:rFonts w:cstheme="minorHAnsi"/>
          <w:sz w:val="24"/>
          <w:szCs w:val="24"/>
        </w:rPr>
        <w:t>an entity’s</w:t>
      </w:r>
      <w:r w:rsidR="00120F99">
        <w:rPr>
          <w:rFonts w:cstheme="minorHAnsi"/>
          <w:sz w:val="24"/>
          <w:szCs w:val="24"/>
        </w:rPr>
        <w:t xml:space="preserve"> ability to function as a </w:t>
      </w:r>
      <w:r w:rsidR="00254D98">
        <w:rPr>
          <w:rFonts w:cstheme="minorHAnsi"/>
          <w:sz w:val="24"/>
          <w:szCs w:val="24"/>
        </w:rPr>
        <w:t>S</w:t>
      </w:r>
      <w:r w:rsidR="00120F99">
        <w:rPr>
          <w:rFonts w:cstheme="minorHAnsi"/>
          <w:sz w:val="24"/>
          <w:szCs w:val="24"/>
        </w:rPr>
        <w:t xml:space="preserve">tate. </w:t>
      </w:r>
      <w:r w:rsidR="0084193D">
        <w:rPr>
          <w:rFonts w:eastAsia="Times New Roman" w:cstheme="minorHAnsi"/>
          <w:color w:val="000000"/>
          <w:sz w:val="24"/>
          <w:szCs w:val="24"/>
          <w:lang w:eastAsia="en-GB"/>
        </w:rPr>
        <w:t>I</w:t>
      </w:r>
      <w:r w:rsidR="0084193D">
        <w:rPr>
          <w:rFonts w:cstheme="minorHAnsi"/>
          <w:sz w:val="24"/>
          <w:szCs w:val="24"/>
        </w:rPr>
        <w:t xml:space="preserve">ndependence can be divided into internal </w:t>
      </w:r>
      <w:r w:rsidR="0084193D" w:rsidRPr="00EC6853">
        <w:rPr>
          <w:rFonts w:eastAsia="Times New Roman" w:cstheme="minorHAnsi"/>
          <w:color w:val="000000"/>
          <w:sz w:val="24"/>
          <w:szCs w:val="24"/>
          <w:lang w:eastAsia="en-GB"/>
        </w:rPr>
        <w:t xml:space="preserve">and </w:t>
      </w:r>
      <w:r w:rsidR="0084193D">
        <w:rPr>
          <w:rFonts w:eastAsia="Times New Roman" w:cstheme="minorHAnsi"/>
          <w:color w:val="000000"/>
          <w:sz w:val="24"/>
          <w:szCs w:val="24"/>
          <w:lang w:eastAsia="en-GB"/>
        </w:rPr>
        <w:t>external</w:t>
      </w:r>
      <w:r w:rsidR="0084193D" w:rsidRPr="00EC6853">
        <w:rPr>
          <w:rFonts w:eastAsia="Times New Roman" w:cstheme="minorHAnsi"/>
          <w:color w:val="000000"/>
          <w:sz w:val="24"/>
          <w:szCs w:val="24"/>
          <w:lang w:eastAsia="en-GB"/>
        </w:rPr>
        <w:t xml:space="preserve"> independence</w:t>
      </w:r>
      <w:r w:rsidR="0084193D">
        <w:rPr>
          <w:rFonts w:eastAsia="Times New Roman" w:cstheme="minorHAnsi"/>
          <w:color w:val="000000"/>
          <w:sz w:val="24"/>
          <w:szCs w:val="24"/>
          <w:lang w:eastAsia="en-GB"/>
        </w:rPr>
        <w:t xml:space="preserve">, the former </w:t>
      </w:r>
      <w:r w:rsidR="0084193D">
        <w:rPr>
          <w:rFonts w:cstheme="minorHAnsi"/>
          <w:sz w:val="24"/>
          <w:szCs w:val="24"/>
        </w:rPr>
        <w:t>referring to the constitutional autonomy of the entity and the latter requiring the State to be under no other authority than international law (</w:t>
      </w:r>
      <w:r w:rsidR="00A958A6">
        <w:rPr>
          <w:rFonts w:cstheme="minorHAnsi"/>
          <w:sz w:val="24"/>
          <w:szCs w:val="24"/>
        </w:rPr>
        <w:t>‘</w:t>
      </w:r>
      <w:proofErr w:type="spellStart"/>
      <w:r w:rsidR="0084193D" w:rsidRPr="00254D98">
        <w:rPr>
          <w:rFonts w:eastAsia="Times New Roman" w:cstheme="minorHAnsi"/>
          <w:i/>
          <w:iCs/>
          <w:color w:val="000000"/>
          <w:sz w:val="24"/>
          <w:szCs w:val="24"/>
          <w:lang w:eastAsia="en-GB"/>
        </w:rPr>
        <w:t>V</w:t>
      </w:r>
      <w:r w:rsidR="00F17084" w:rsidRPr="00254D98">
        <w:rPr>
          <w:rFonts w:eastAsia="Times New Roman" w:cstheme="minorHAnsi"/>
          <w:i/>
          <w:iCs/>
          <w:color w:val="000000"/>
          <w:sz w:val="24"/>
          <w:szCs w:val="24"/>
          <w:lang w:eastAsia="en-GB"/>
        </w:rPr>
        <w:t>ö</w:t>
      </w:r>
      <w:r w:rsidR="0084193D" w:rsidRPr="00254D98">
        <w:rPr>
          <w:rFonts w:eastAsia="Times New Roman" w:cstheme="minorHAnsi"/>
          <w:i/>
          <w:iCs/>
          <w:color w:val="000000"/>
          <w:sz w:val="24"/>
          <w:szCs w:val="24"/>
          <w:lang w:eastAsia="en-GB"/>
        </w:rPr>
        <w:t>lkerrechtsunmittelbarkeit</w:t>
      </w:r>
      <w:proofErr w:type="spellEnd"/>
      <w:r w:rsidR="00A958A6">
        <w:rPr>
          <w:rFonts w:eastAsia="Times New Roman" w:cstheme="minorHAnsi"/>
          <w:i/>
          <w:iCs/>
          <w:color w:val="000000"/>
          <w:sz w:val="24"/>
          <w:szCs w:val="24"/>
          <w:lang w:eastAsia="en-GB"/>
        </w:rPr>
        <w:t>’</w:t>
      </w:r>
      <w:r w:rsidR="0084193D" w:rsidRPr="00EC6853">
        <w:rPr>
          <w:rFonts w:eastAsia="Times New Roman" w:cstheme="minorHAnsi"/>
          <w:color w:val="000000"/>
          <w:sz w:val="24"/>
          <w:szCs w:val="24"/>
          <w:lang w:eastAsia="en-GB"/>
        </w:rPr>
        <w:t xml:space="preserve">) and not under any other authority (and especially no other </w:t>
      </w:r>
      <w:r w:rsidR="00254D98">
        <w:rPr>
          <w:rFonts w:eastAsia="Times New Roman" w:cstheme="minorHAnsi"/>
          <w:color w:val="000000"/>
          <w:sz w:val="24"/>
          <w:szCs w:val="24"/>
          <w:lang w:eastAsia="en-GB"/>
        </w:rPr>
        <w:t>S</w:t>
      </w:r>
      <w:r w:rsidR="0084193D" w:rsidRPr="00EC6853">
        <w:rPr>
          <w:rFonts w:eastAsia="Times New Roman" w:cstheme="minorHAnsi"/>
          <w:color w:val="000000"/>
          <w:sz w:val="24"/>
          <w:szCs w:val="24"/>
          <w:lang w:eastAsia="en-GB"/>
        </w:rPr>
        <w:t>tate authority).</w:t>
      </w:r>
      <w:r w:rsidR="0084193D" w:rsidRPr="00EC6853">
        <w:rPr>
          <w:rStyle w:val="FootnoteReference"/>
          <w:rFonts w:eastAsia="Times New Roman" w:cstheme="minorHAnsi"/>
          <w:color w:val="000000"/>
          <w:sz w:val="24"/>
          <w:szCs w:val="24"/>
          <w:lang w:eastAsia="en-GB"/>
        </w:rPr>
        <w:footnoteReference w:id="392"/>
      </w:r>
      <w:r w:rsidR="0084193D" w:rsidRPr="00B45FEE">
        <w:rPr>
          <w:rFonts w:eastAsia="Times New Roman" w:cstheme="minorHAnsi"/>
          <w:color w:val="000000"/>
          <w:sz w:val="24"/>
          <w:szCs w:val="24"/>
          <w:lang w:eastAsia="en-GB"/>
        </w:rPr>
        <w:t xml:space="preserve"> </w:t>
      </w:r>
    </w:p>
    <w:p w14:paraId="75774559" w14:textId="247119FE" w:rsidR="0084193D" w:rsidRDefault="0084193D" w:rsidP="00120F99">
      <w:pPr>
        <w:spacing w:after="0" w:line="240" w:lineRule="auto"/>
        <w:jc w:val="both"/>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States, of course, enjoy a broad range of links with other States but one they cannot have is a constitutional relationship with another State.</w:t>
      </w:r>
      <w:r>
        <w:rPr>
          <w:rStyle w:val="FootnoteReference"/>
          <w:rFonts w:eastAsia="Times New Roman" w:cstheme="minorHAnsi"/>
          <w:color w:val="000000"/>
          <w:sz w:val="24"/>
          <w:szCs w:val="24"/>
          <w:lang w:eastAsia="en-GB"/>
        </w:rPr>
        <w:footnoteReference w:id="393"/>
      </w:r>
      <w:r>
        <w:rPr>
          <w:rFonts w:eastAsia="Times New Roman" w:cstheme="minorHAnsi"/>
          <w:color w:val="000000"/>
          <w:sz w:val="24"/>
          <w:szCs w:val="24"/>
          <w:lang w:eastAsia="en-GB"/>
        </w:rPr>
        <w:t xml:space="preserve"> The power of the </w:t>
      </w:r>
      <w:r>
        <w:rPr>
          <w:rFonts w:eastAsia="Times New Roman" w:cstheme="minorHAnsi"/>
          <w:i/>
          <w:iCs/>
          <w:color w:val="000000"/>
          <w:sz w:val="24"/>
          <w:szCs w:val="24"/>
          <w:lang w:eastAsia="en-GB"/>
        </w:rPr>
        <w:t xml:space="preserve">de facto </w:t>
      </w:r>
      <w:r>
        <w:rPr>
          <w:rFonts w:eastAsia="Times New Roman" w:cstheme="minorHAnsi"/>
          <w:color w:val="000000"/>
          <w:sz w:val="24"/>
          <w:szCs w:val="24"/>
          <w:lang w:eastAsia="en-GB"/>
        </w:rPr>
        <w:t>State is not</w:t>
      </w:r>
      <w:r w:rsidRPr="001A10E9">
        <w:rPr>
          <w:rFonts w:eastAsia="Times New Roman" w:cstheme="minorHAnsi"/>
          <w:color w:val="000000"/>
          <w:sz w:val="24"/>
          <w:szCs w:val="24"/>
          <w:lang w:eastAsia="en-GB"/>
        </w:rPr>
        <w:t xml:space="preserve"> </w:t>
      </w:r>
      <w:r w:rsidRPr="00EC6853">
        <w:rPr>
          <w:rFonts w:eastAsia="Times New Roman" w:cstheme="minorHAnsi"/>
          <w:color w:val="000000"/>
          <w:sz w:val="24"/>
          <w:szCs w:val="24"/>
          <w:lang w:eastAsia="en-GB"/>
        </w:rPr>
        <w:t xml:space="preserve">derived from another </w:t>
      </w:r>
      <w:r w:rsidR="00254D98">
        <w:rPr>
          <w:rFonts w:eastAsia="Times New Roman" w:cstheme="minorHAnsi"/>
          <w:color w:val="000000"/>
          <w:sz w:val="24"/>
          <w:szCs w:val="24"/>
          <w:lang w:eastAsia="en-GB"/>
        </w:rPr>
        <w:t>S</w:t>
      </w:r>
      <w:r w:rsidRPr="00EC6853">
        <w:rPr>
          <w:rFonts w:eastAsia="Times New Roman" w:cstheme="minorHAnsi"/>
          <w:color w:val="000000"/>
          <w:sz w:val="24"/>
          <w:szCs w:val="24"/>
          <w:lang w:eastAsia="en-GB"/>
        </w:rPr>
        <w:t>tate</w:t>
      </w:r>
      <w:r>
        <w:rPr>
          <w:rFonts w:eastAsia="Times New Roman" w:cstheme="minorHAnsi"/>
          <w:color w:val="000000"/>
          <w:sz w:val="24"/>
          <w:szCs w:val="24"/>
          <w:lang w:eastAsia="en-GB"/>
        </w:rPr>
        <w:t>;</w:t>
      </w:r>
      <w:r w:rsidRPr="00EC6853">
        <w:rPr>
          <w:rStyle w:val="FootnoteReference"/>
          <w:rFonts w:eastAsia="Times New Roman" w:cstheme="minorHAnsi"/>
          <w:color w:val="000000"/>
          <w:sz w:val="24"/>
          <w:szCs w:val="24"/>
          <w:lang w:eastAsia="en-GB"/>
        </w:rPr>
        <w:footnoteReference w:id="394"/>
      </w:r>
      <w:r>
        <w:rPr>
          <w:rFonts w:eastAsia="Times New Roman" w:cstheme="minorHAnsi"/>
          <w:color w:val="000000"/>
          <w:sz w:val="24"/>
          <w:szCs w:val="24"/>
          <w:lang w:eastAsia="en-GB"/>
        </w:rPr>
        <w:t xml:space="preserve"> the government is the ultimate authority.</w:t>
      </w:r>
      <w:r>
        <w:rPr>
          <w:rStyle w:val="FootnoteReference"/>
          <w:rFonts w:eastAsia="Times New Roman" w:cstheme="minorHAnsi"/>
          <w:color w:val="000000"/>
          <w:sz w:val="24"/>
          <w:szCs w:val="24"/>
          <w:lang w:eastAsia="en-GB"/>
        </w:rPr>
        <w:footnoteReference w:id="395"/>
      </w:r>
      <w:r>
        <w:rPr>
          <w:rFonts w:eastAsia="Times New Roman" w:cstheme="minorHAnsi"/>
          <w:color w:val="000000"/>
          <w:sz w:val="24"/>
          <w:szCs w:val="24"/>
          <w:lang w:eastAsia="en-GB"/>
        </w:rPr>
        <w:t xml:space="preserve"> Only those entities that are constitutionally independent are considered States by the international community.</w:t>
      </w:r>
      <w:r>
        <w:rPr>
          <w:rStyle w:val="FootnoteReference"/>
          <w:rFonts w:eastAsia="Times New Roman" w:cstheme="minorHAnsi"/>
          <w:color w:val="000000"/>
          <w:sz w:val="24"/>
          <w:szCs w:val="24"/>
          <w:lang w:eastAsia="en-GB"/>
        </w:rPr>
        <w:footnoteReference w:id="396"/>
      </w:r>
      <w:r w:rsidRPr="00012BEC">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This stresses the importance of a constitution that spells out the principles and basic rules in light of which the population is to be governed. Independence is, of course not absolute, as the State is still bound by international law.</w:t>
      </w:r>
      <w:r w:rsidRPr="00EC6853">
        <w:rPr>
          <w:rStyle w:val="FootnoteReference"/>
          <w:rFonts w:eastAsia="Times New Roman" w:cstheme="minorHAnsi"/>
          <w:color w:val="000000"/>
          <w:sz w:val="24"/>
          <w:szCs w:val="24"/>
          <w:lang w:eastAsia="en-GB"/>
        </w:rPr>
        <w:footnoteReference w:id="397"/>
      </w:r>
      <w:r>
        <w:rPr>
          <w:rFonts w:eastAsia="Times New Roman" w:cstheme="minorHAnsi"/>
          <w:color w:val="000000"/>
          <w:sz w:val="24"/>
          <w:szCs w:val="24"/>
          <w:lang w:eastAsia="en-GB"/>
        </w:rPr>
        <w:t xml:space="preserve"> In other words, the only dependence that is allowed is that of international laws, be they general or particular.</w:t>
      </w:r>
      <w:r>
        <w:rPr>
          <w:rStyle w:val="FootnoteReference"/>
          <w:rFonts w:eastAsia="Times New Roman" w:cstheme="minorHAnsi"/>
          <w:color w:val="000000"/>
          <w:sz w:val="24"/>
          <w:szCs w:val="24"/>
          <w:lang w:eastAsia="en-GB"/>
        </w:rPr>
        <w:footnoteReference w:id="398"/>
      </w:r>
      <w:r>
        <w:rPr>
          <w:rFonts w:eastAsia="Times New Roman" w:cstheme="minorHAnsi"/>
          <w:color w:val="000000"/>
          <w:sz w:val="24"/>
          <w:szCs w:val="24"/>
          <w:lang w:eastAsia="en-GB"/>
        </w:rPr>
        <w:t xml:space="preserve"> It is in this frame that a State is allowed to pass over to another State certain rights (e.g., the right to deploy troops on its territory; the right to take binding decisions on its behalf) but this must be done in such a way that there is genuine consent and that the ultimate decision-maker is the State. </w:t>
      </w:r>
    </w:p>
    <w:p w14:paraId="034E5F6A" w14:textId="147D649E" w:rsidR="00095768" w:rsidRDefault="0084193D" w:rsidP="00095768">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To appraise the level of independence of a </w:t>
      </w:r>
      <w:r>
        <w:rPr>
          <w:rFonts w:eastAsia="Times New Roman" w:cstheme="minorHAnsi"/>
          <w:i/>
          <w:iCs/>
          <w:color w:val="000000"/>
          <w:sz w:val="24"/>
          <w:szCs w:val="24"/>
          <w:lang w:eastAsia="en-GB"/>
        </w:rPr>
        <w:t xml:space="preserve">de facto </w:t>
      </w:r>
      <w:r>
        <w:rPr>
          <w:rFonts w:eastAsia="Times New Roman" w:cstheme="minorHAnsi"/>
          <w:color w:val="000000"/>
          <w:sz w:val="24"/>
          <w:szCs w:val="24"/>
          <w:lang w:eastAsia="en-GB"/>
        </w:rPr>
        <w:t xml:space="preserve">State, a broad view is adopted; the focus is not only on the constitutional setting and military support but also on political and </w:t>
      </w:r>
      <w:r>
        <w:rPr>
          <w:rFonts w:eastAsia="Times New Roman" w:cstheme="minorHAnsi"/>
          <w:color w:val="000000"/>
          <w:sz w:val="24"/>
          <w:szCs w:val="24"/>
          <w:lang w:eastAsia="en-GB"/>
        </w:rPr>
        <w:lastRenderedPageBreak/>
        <w:t>economic ties. The reason for this is because, when examining whether a State is in effective control over the territory and inhabitants of another State, the European Court of Human Rights’ ‘</w:t>
      </w:r>
      <w:r w:rsidRPr="00EC6853">
        <w:rPr>
          <w:rFonts w:cstheme="minorHAnsi"/>
          <w:color w:val="000000"/>
          <w:sz w:val="24"/>
          <w:szCs w:val="24"/>
          <w:shd w:val="clear" w:color="auto" w:fill="FFFFFF"/>
        </w:rPr>
        <w:t>assessment will primarily depend on military involvement, but other indicators, such as economic and political support,’</w:t>
      </w:r>
      <w:r w:rsidRPr="00EC6853">
        <w:rPr>
          <w:rStyle w:val="FootnoteReference"/>
          <w:rFonts w:cstheme="minorHAnsi"/>
          <w:color w:val="000000"/>
          <w:sz w:val="24"/>
          <w:szCs w:val="24"/>
          <w:shd w:val="clear" w:color="auto" w:fill="FFFFFF"/>
        </w:rPr>
        <w:footnoteReference w:id="399"/>
      </w:r>
      <w:r>
        <w:rPr>
          <w:rFonts w:cstheme="minorHAnsi"/>
          <w:color w:val="000000"/>
          <w:sz w:val="24"/>
          <w:szCs w:val="24"/>
          <w:shd w:val="clear" w:color="auto" w:fill="FFFFFF"/>
        </w:rPr>
        <w:t xml:space="preserve"> will also be used since the Court is evaluating whether the State exercises </w:t>
      </w:r>
      <w:r w:rsidRPr="00EC6853">
        <w:rPr>
          <w:rFonts w:cstheme="minorHAnsi"/>
          <w:color w:val="000000"/>
          <w:sz w:val="24"/>
          <w:szCs w:val="24"/>
          <w:shd w:val="clear" w:color="auto" w:fill="FFFFFF"/>
        </w:rPr>
        <w:t>‘significant and decisive influence’</w:t>
      </w:r>
      <w:r>
        <w:rPr>
          <w:rStyle w:val="FootnoteReference"/>
          <w:rFonts w:cstheme="minorHAnsi"/>
          <w:color w:val="000000"/>
          <w:sz w:val="24"/>
          <w:szCs w:val="24"/>
          <w:shd w:val="clear" w:color="auto" w:fill="FFFFFF"/>
        </w:rPr>
        <w:footnoteReference w:id="400"/>
      </w:r>
      <w:r>
        <w:rPr>
          <w:rFonts w:cstheme="minorHAnsi"/>
          <w:color w:val="000000"/>
          <w:sz w:val="24"/>
          <w:szCs w:val="24"/>
          <w:shd w:val="clear" w:color="auto" w:fill="FFFFFF"/>
        </w:rPr>
        <w:t xml:space="preserve"> on the territory of another State. That jurisprudence is particularly apposite as the </w:t>
      </w:r>
      <w:r>
        <w:rPr>
          <w:rFonts w:cstheme="minorHAnsi"/>
          <w:i/>
          <w:iCs/>
          <w:color w:val="000000"/>
          <w:sz w:val="24"/>
          <w:szCs w:val="24"/>
          <w:shd w:val="clear" w:color="auto" w:fill="FFFFFF"/>
        </w:rPr>
        <w:t xml:space="preserve">de facto </w:t>
      </w:r>
      <w:r>
        <w:rPr>
          <w:rFonts w:cstheme="minorHAnsi"/>
          <w:color w:val="000000"/>
          <w:sz w:val="24"/>
          <w:szCs w:val="24"/>
          <w:shd w:val="clear" w:color="auto" w:fill="FFFFFF"/>
        </w:rPr>
        <w:t xml:space="preserve">States are on the territory of States parties to the European Convention on Human Rights and violations committed in </w:t>
      </w:r>
      <w:r>
        <w:rPr>
          <w:rFonts w:cstheme="minorHAnsi"/>
          <w:i/>
          <w:iCs/>
          <w:color w:val="000000"/>
          <w:sz w:val="24"/>
          <w:szCs w:val="24"/>
          <w:shd w:val="clear" w:color="auto" w:fill="FFFFFF"/>
        </w:rPr>
        <w:t xml:space="preserve">de facto </w:t>
      </w:r>
      <w:r>
        <w:rPr>
          <w:rFonts w:cstheme="minorHAnsi"/>
          <w:color w:val="000000"/>
          <w:sz w:val="24"/>
          <w:szCs w:val="24"/>
          <w:shd w:val="clear" w:color="auto" w:fill="FFFFFF"/>
        </w:rPr>
        <w:t xml:space="preserve">States have been the subject of seminal cases. </w:t>
      </w:r>
      <w:r w:rsidR="00095768">
        <w:rPr>
          <w:rFonts w:cstheme="minorHAnsi"/>
          <w:color w:val="000000"/>
          <w:sz w:val="24"/>
          <w:szCs w:val="24"/>
          <w:shd w:val="clear" w:color="auto" w:fill="FFFFFF"/>
        </w:rPr>
        <w:t xml:space="preserve">A further element to investigate relates to the citizenship/nationality of the inhabitants. </w:t>
      </w:r>
      <w:r w:rsidR="00095768">
        <w:rPr>
          <w:rFonts w:eastAsia="Times New Roman" w:cstheme="minorHAnsi"/>
          <w:color w:val="000000"/>
          <w:sz w:val="24"/>
          <w:szCs w:val="24"/>
          <w:lang w:eastAsia="en-GB"/>
        </w:rPr>
        <w:t xml:space="preserve">Can inhabitants of the territory be granted the nationality of the </w:t>
      </w:r>
      <w:r w:rsidR="00095768">
        <w:rPr>
          <w:rFonts w:eastAsia="Times New Roman" w:cstheme="minorHAnsi"/>
          <w:i/>
          <w:iCs/>
          <w:color w:val="000000"/>
          <w:sz w:val="24"/>
          <w:szCs w:val="24"/>
          <w:lang w:eastAsia="en-GB"/>
        </w:rPr>
        <w:t xml:space="preserve">de facto </w:t>
      </w:r>
      <w:r w:rsidR="00095768">
        <w:rPr>
          <w:rFonts w:eastAsia="Times New Roman" w:cstheme="minorHAnsi"/>
          <w:color w:val="000000"/>
          <w:sz w:val="24"/>
          <w:szCs w:val="24"/>
          <w:lang w:eastAsia="en-GB"/>
        </w:rPr>
        <w:t xml:space="preserve">States since </w:t>
      </w:r>
      <w:r w:rsidR="00095768">
        <w:rPr>
          <w:rFonts w:cstheme="minorHAnsi"/>
          <w:sz w:val="24"/>
          <w:szCs w:val="24"/>
        </w:rPr>
        <w:t>‘[n]</w:t>
      </w:r>
      <w:proofErr w:type="spellStart"/>
      <w:r w:rsidR="00095768">
        <w:rPr>
          <w:rFonts w:cstheme="minorHAnsi"/>
          <w:sz w:val="24"/>
          <w:szCs w:val="24"/>
        </w:rPr>
        <w:t>ationality</w:t>
      </w:r>
      <w:proofErr w:type="spellEnd"/>
      <w:r w:rsidR="00095768">
        <w:rPr>
          <w:rFonts w:cstheme="minorHAnsi"/>
          <w:sz w:val="24"/>
          <w:szCs w:val="24"/>
        </w:rPr>
        <w:t xml:space="preserve"> is dependent upon statehood, not vice versa’?</w:t>
      </w:r>
      <w:r w:rsidR="00095768">
        <w:rPr>
          <w:rStyle w:val="FootnoteReference"/>
          <w:rFonts w:cstheme="minorHAnsi"/>
          <w:sz w:val="24"/>
          <w:szCs w:val="24"/>
        </w:rPr>
        <w:footnoteReference w:id="401"/>
      </w:r>
      <w:r w:rsidR="00095768">
        <w:rPr>
          <w:rFonts w:eastAsia="Times New Roman" w:cstheme="minorHAnsi"/>
          <w:color w:val="000000"/>
          <w:sz w:val="24"/>
          <w:szCs w:val="24"/>
          <w:lang w:eastAsia="en-GB"/>
        </w:rPr>
        <w:t xml:space="preserve"> </w:t>
      </w:r>
    </w:p>
    <w:p w14:paraId="65B3112E" w14:textId="6374ADD8" w:rsidR="0084193D" w:rsidRDefault="0084193D" w:rsidP="0084193D">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w:t>
      </w:r>
      <w:r w:rsidRPr="00EC6853">
        <w:rPr>
          <w:rFonts w:eastAsia="Times New Roman" w:cstheme="minorHAnsi"/>
          <w:color w:val="000000"/>
          <w:sz w:val="24"/>
          <w:szCs w:val="24"/>
          <w:lang w:eastAsia="en-GB"/>
        </w:rPr>
        <w:t>‘capacity of self-government equally affect (sic) the ability of a state to enter into international relations with other states.’</w:t>
      </w:r>
      <w:r w:rsidRPr="00EC6853">
        <w:rPr>
          <w:rStyle w:val="FootnoteReference"/>
          <w:rFonts w:eastAsia="Times New Roman" w:cstheme="minorHAnsi"/>
          <w:color w:val="000000"/>
          <w:sz w:val="24"/>
          <w:szCs w:val="24"/>
          <w:lang w:eastAsia="en-GB"/>
        </w:rPr>
        <w:footnoteReference w:id="402"/>
      </w:r>
      <w:r>
        <w:rPr>
          <w:rFonts w:eastAsia="Times New Roman" w:cstheme="minorHAnsi"/>
          <w:color w:val="000000"/>
          <w:sz w:val="24"/>
          <w:szCs w:val="24"/>
          <w:lang w:eastAsia="en-GB"/>
        </w:rPr>
        <w:t xml:space="preserve"> If a State struggles to maintain independence on the national level, it is highly unlikely to be able to maintain it externally. This vindicates the argument that ‘the capacity of the State to establish legal relations with other States is an expression of independence’.</w:t>
      </w:r>
      <w:r>
        <w:rPr>
          <w:rStyle w:val="FootnoteReference"/>
          <w:rFonts w:eastAsia="Times New Roman" w:cstheme="minorHAnsi"/>
          <w:color w:val="000000"/>
          <w:sz w:val="24"/>
          <w:szCs w:val="24"/>
          <w:lang w:eastAsia="en-GB"/>
        </w:rPr>
        <w:footnoteReference w:id="403"/>
      </w:r>
      <w:r>
        <w:rPr>
          <w:rFonts w:eastAsia="Times New Roman" w:cstheme="minorHAnsi"/>
          <w:color w:val="000000"/>
          <w:sz w:val="24"/>
          <w:szCs w:val="24"/>
          <w:lang w:eastAsia="en-GB"/>
        </w:rPr>
        <w:t xml:space="preserve"> Likewise, i</w:t>
      </w:r>
      <w:r w:rsidRPr="00EC6853">
        <w:rPr>
          <w:rFonts w:cstheme="minorHAnsi"/>
          <w:sz w:val="24"/>
          <w:szCs w:val="24"/>
        </w:rPr>
        <w:t>f an entity is not able to be in contact with other States, then it cannot be under international law</w:t>
      </w:r>
      <w:r>
        <w:rPr>
          <w:rFonts w:cstheme="minorHAnsi"/>
          <w:sz w:val="24"/>
          <w:szCs w:val="24"/>
        </w:rPr>
        <w:t>.</w:t>
      </w:r>
      <w:r w:rsidRPr="00EC6853">
        <w:rPr>
          <w:rStyle w:val="FootnoteReference"/>
          <w:rFonts w:cstheme="minorHAnsi"/>
          <w:sz w:val="24"/>
          <w:szCs w:val="24"/>
        </w:rPr>
        <w:footnoteReference w:id="404"/>
      </w:r>
      <w:r>
        <w:rPr>
          <w:rFonts w:cstheme="minorHAnsi"/>
          <w:sz w:val="24"/>
          <w:szCs w:val="24"/>
        </w:rPr>
        <w:t xml:space="preserve"> </w:t>
      </w:r>
      <w:r>
        <w:rPr>
          <w:rFonts w:eastAsia="Times New Roman" w:cstheme="minorHAnsi"/>
          <w:color w:val="000000"/>
          <w:sz w:val="24"/>
          <w:szCs w:val="24"/>
          <w:lang w:eastAsia="en-GB"/>
        </w:rPr>
        <w:t>Many micro-</w:t>
      </w:r>
      <w:r w:rsidR="00254D98">
        <w:rPr>
          <w:rFonts w:eastAsia="Times New Roman" w:cstheme="minorHAnsi"/>
          <w:color w:val="000000"/>
          <w:sz w:val="24"/>
          <w:szCs w:val="24"/>
          <w:lang w:eastAsia="en-GB"/>
        </w:rPr>
        <w:t>S</w:t>
      </w:r>
      <w:r>
        <w:rPr>
          <w:rFonts w:eastAsia="Times New Roman" w:cstheme="minorHAnsi"/>
          <w:color w:val="000000"/>
          <w:sz w:val="24"/>
          <w:szCs w:val="24"/>
          <w:lang w:eastAsia="en-GB"/>
        </w:rPr>
        <w:t>tates have endowed another State with the exercise of their external powers and especially handed over their defence and are, yet, considered States.</w:t>
      </w:r>
      <w:r>
        <w:rPr>
          <w:rStyle w:val="FootnoteReference"/>
          <w:rFonts w:eastAsia="Times New Roman" w:cstheme="minorHAnsi"/>
          <w:color w:val="000000"/>
          <w:sz w:val="24"/>
          <w:szCs w:val="24"/>
          <w:lang w:eastAsia="en-GB"/>
        </w:rPr>
        <w:footnoteReference w:id="405"/>
      </w:r>
      <w:r>
        <w:rPr>
          <w:rFonts w:eastAsia="Times New Roman" w:cstheme="minorHAnsi"/>
          <w:color w:val="000000"/>
          <w:sz w:val="24"/>
          <w:szCs w:val="24"/>
          <w:lang w:eastAsia="en-GB"/>
        </w:rPr>
        <w:t xml:space="preserve"> </w:t>
      </w:r>
      <w:r w:rsidR="00894228">
        <w:rPr>
          <w:rFonts w:eastAsia="Times New Roman" w:cstheme="minorHAnsi"/>
          <w:color w:val="000000"/>
          <w:sz w:val="24"/>
          <w:szCs w:val="24"/>
          <w:lang w:eastAsia="en-GB"/>
        </w:rPr>
        <w:t>Based on criteria often mentioned in national jurisprudence on State recognition, some of the</w:t>
      </w:r>
      <w:r>
        <w:rPr>
          <w:rFonts w:eastAsia="Times New Roman" w:cstheme="minorHAnsi"/>
          <w:color w:val="000000"/>
          <w:sz w:val="24"/>
          <w:szCs w:val="24"/>
          <w:lang w:eastAsia="en-GB"/>
        </w:rPr>
        <w:t xml:space="preserve"> elements that need to be assessed are: who is in charge of border controls? Are there custom duties and, if yes, who is collecting them? </w:t>
      </w:r>
      <w:r w:rsidR="00095768">
        <w:rPr>
          <w:rFonts w:eastAsia="Times New Roman" w:cstheme="minorHAnsi"/>
          <w:color w:val="000000"/>
          <w:sz w:val="24"/>
          <w:szCs w:val="24"/>
          <w:lang w:eastAsia="en-GB"/>
        </w:rPr>
        <w:t>Is the entity free to determine its foreign policy?</w:t>
      </w:r>
      <w:r>
        <w:rPr>
          <w:rFonts w:eastAsia="Times New Roman" w:cstheme="minorHAnsi"/>
          <w:color w:val="000000"/>
          <w:sz w:val="24"/>
          <w:szCs w:val="24"/>
          <w:lang w:eastAsia="en-GB"/>
        </w:rPr>
        <w:t xml:space="preserve"> </w:t>
      </w:r>
    </w:p>
    <w:p w14:paraId="1C2EFC4E" w14:textId="519205B1" w:rsidR="00B13CFD" w:rsidRDefault="00B13CFD" w:rsidP="0084193D">
      <w:pPr>
        <w:spacing w:after="0" w:line="240" w:lineRule="auto"/>
        <w:jc w:val="both"/>
        <w:rPr>
          <w:rFonts w:eastAsia="Times New Roman" w:cstheme="minorHAnsi"/>
          <w:color w:val="000000"/>
          <w:sz w:val="24"/>
          <w:szCs w:val="24"/>
          <w:lang w:eastAsia="en-GB"/>
        </w:rPr>
      </w:pPr>
    </w:p>
    <w:p w14:paraId="69F12A78" w14:textId="6E1860B5" w:rsidR="00B13CFD" w:rsidRDefault="00706665" w:rsidP="00B13CFD">
      <w:pPr>
        <w:pStyle w:val="Heading2"/>
        <w:rPr>
          <w:rFonts w:eastAsia="Times New Roman"/>
          <w:lang w:eastAsia="en-GB"/>
        </w:rPr>
      </w:pPr>
      <w:r>
        <w:rPr>
          <w:rFonts w:eastAsia="Times New Roman"/>
          <w:lang w:eastAsia="en-GB"/>
        </w:rPr>
        <w:t xml:space="preserve">4.3. </w:t>
      </w:r>
      <w:r w:rsidR="00B13CFD">
        <w:rPr>
          <w:rFonts w:eastAsia="Times New Roman"/>
          <w:lang w:eastAsia="en-GB"/>
        </w:rPr>
        <w:t xml:space="preserve">Lack of Independence of </w:t>
      </w:r>
      <w:r w:rsidR="00B13CFD">
        <w:rPr>
          <w:rFonts w:eastAsia="Times New Roman"/>
          <w:i/>
          <w:iCs/>
          <w:lang w:eastAsia="en-GB"/>
        </w:rPr>
        <w:t xml:space="preserve">de facto </w:t>
      </w:r>
      <w:r w:rsidR="00B13CFD">
        <w:rPr>
          <w:rFonts w:eastAsia="Times New Roman"/>
          <w:lang w:eastAsia="en-GB"/>
        </w:rPr>
        <w:t>States in the Post-Soviet Space</w:t>
      </w:r>
    </w:p>
    <w:p w14:paraId="708DC5A1" w14:textId="75CD58C8" w:rsidR="0031573A" w:rsidRPr="0031573A" w:rsidRDefault="00706665" w:rsidP="0031573A">
      <w:pPr>
        <w:pStyle w:val="Heading4"/>
      </w:pPr>
      <w:r>
        <w:t xml:space="preserve">4.3.1. </w:t>
      </w:r>
      <w:r w:rsidR="0031573A" w:rsidRPr="0031573A">
        <w:t>Abkhazia and South Ossetia</w:t>
      </w:r>
    </w:p>
    <w:p w14:paraId="0C9A8178" w14:textId="77777777" w:rsidR="008D417B" w:rsidRDefault="00F17084" w:rsidP="00255D12">
      <w:pPr>
        <w:spacing w:after="0" w:line="240" w:lineRule="auto"/>
        <w:jc w:val="both"/>
        <w:rPr>
          <w:sz w:val="24"/>
          <w:szCs w:val="24"/>
        </w:rPr>
      </w:pPr>
      <w:r w:rsidRPr="00437D07">
        <w:rPr>
          <w:rFonts w:eastAsia="Times New Roman" w:cstheme="minorHAnsi"/>
          <w:color w:val="000000"/>
          <w:sz w:val="24"/>
          <w:szCs w:val="24"/>
          <w:lang w:eastAsia="en-GB"/>
        </w:rPr>
        <w:t xml:space="preserve">Abkhazia and South Ossetia </w:t>
      </w:r>
      <w:r w:rsidR="00437D07">
        <w:rPr>
          <w:rFonts w:eastAsia="Times New Roman" w:cstheme="minorHAnsi"/>
          <w:color w:val="000000"/>
          <w:sz w:val="24"/>
          <w:szCs w:val="24"/>
          <w:lang w:eastAsia="en-GB"/>
        </w:rPr>
        <w:t>are rather similar</w:t>
      </w:r>
      <w:r w:rsidR="00095768">
        <w:rPr>
          <w:rFonts w:eastAsia="Times New Roman" w:cstheme="minorHAnsi"/>
          <w:color w:val="000000"/>
          <w:sz w:val="24"/>
          <w:szCs w:val="24"/>
          <w:lang w:eastAsia="en-GB"/>
        </w:rPr>
        <w:t xml:space="preserve">. </w:t>
      </w:r>
      <w:r w:rsidR="00980862">
        <w:rPr>
          <w:rFonts w:eastAsia="Times New Roman" w:cstheme="minorHAnsi"/>
          <w:color w:val="000000"/>
          <w:sz w:val="24"/>
          <w:szCs w:val="24"/>
          <w:lang w:eastAsia="en-GB"/>
        </w:rPr>
        <w:t xml:space="preserve">The </w:t>
      </w:r>
      <w:r w:rsidR="00980862" w:rsidRPr="00FD6752">
        <w:rPr>
          <w:sz w:val="24"/>
          <w:szCs w:val="24"/>
        </w:rPr>
        <w:t>constitutions of Abkhazia and South Ossetia refer to the people as ‘the bearer of sovereignty and the only source of authority’.</w:t>
      </w:r>
      <w:r w:rsidR="00980862" w:rsidRPr="00704679">
        <w:rPr>
          <w:sz w:val="24"/>
          <w:szCs w:val="24"/>
          <w:vertAlign w:val="superscript"/>
        </w:rPr>
        <w:footnoteReference w:id="406"/>
      </w:r>
      <w:r w:rsidR="00980862" w:rsidRPr="00FD6752">
        <w:rPr>
          <w:sz w:val="24"/>
          <w:szCs w:val="24"/>
        </w:rPr>
        <w:t xml:space="preserve"> </w:t>
      </w:r>
      <w:r w:rsidR="00CF665A">
        <w:rPr>
          <w:sz w:val="24"/>
          <w:szCs w:val="24"/>
        </w:rPr>
        <w:t>N</w:t>
      </w:r>
      <w:r w:rsidR="00980862" w:rsidRPr="00FD6752">
        <w:rPr>
          <w:sz w:val="24"/>
          <w:szCs w:val="24"/>
        </w:rPr>
        <w:t xml:space="preserve">oteworthy </w:t>
      </w:r>
      <w:r w:rsidR="00CF665A">
        <w:rPr>
          <w:sz w:val="24"/>
          <w:szCs w:val="24"/>
        </w:rPr>
        <w:t xml:space="preserve">is </w:t>
      </w:r>
      <w:r w:rsidR="00980862" w:rsidRPr="00FD6752">
        <w:rPr>
          <w:sz w:val="24"/>
          <w:szCs w:val="24"/>
        </w:rPr>
        <w:t xml:space="preserve">Article </w:t>
      </w:r>
      <w:r w:rsidR="00FD6752" w:rsidRPr="00FD6752">
        <w:rPr>
          <w:sz w:val="24"/>
          <w:szCs w:val="24"/>
        </w:rPr>
        <w:t>3</w:t>
      </w:r>
      <w:r w:rsidR="00980862" w:rsidRPr="00FD6752">
        <w:rPr>
          <w:sz w:val="24"/>
          <w:szCs w:val="24"/>
        </w:rPr>
        <w:t xml:space="preserve">(1) of the </w:t>
      </w:r>
      <w:r w:rsidR="00FD6752" w:rsidRPr="00FD6752">
        <w:rPr>
          <w:sz w:val="24"/>
          <w:szCs w:val="24"/>
        </w:rPr>
        <w:t xml:space="preserve">Constitution of South Ossetia </w:t>
      </w:r>
      <w:r w:rsidR="00CF665A">
        <w:rPr>
          <w:sz w:val="24"/>
          <w:szCs w:val="24"/>
        </w:rPr>
        <w:t xml:space="preserve">that </w:t>
      </w:r>
      <w:r w:rsidR="00FD6752" w:rsidRPr="00FD6752">
        <w:rPr>
          <w:sz w:val="24"/>
          <w:szCs w:val="24"/>
        </w:rPr>
        <w:t xml:space="preserve">states that ‘[t]he Republic of South Ossetia independently determines its state-legal status, resolves issues of political, economic, socio-cultural development.’ </w:t>
      </w:r>
    </w:p>
    <w:p w14:paraId="105BDCE0" w14:textId="61A6E538" w:rsidR="008D417B" w:rsidRDefault="00095768" w:rsidP="00255D12">
      <w:pPr>
        <w:spacing w:after="0" w:line="240" w:lineRule="auto"/>
        <w:jc w:val="both"/>
        <w:rPr>
          <w:sz w:val="24"/>
          <w:szCs w:val="24"/>
        </w:rPr>
      </w:pPr>
      <w:r w:rsidRPr="00FD6752">
        <w:rPr>
          <w:sz w:val="24"/>
          <w:szCs w:val="24"/>
        </w:rPr>
        <w:t xml:space="preserve">Their political system </w:t>
      </w:r>
      <w:r w:rsidR="00FC3FA1">
        <w:rPr>
          <w:sz w:val="24"/>
          <w:szCs w:val="24"/>
        </w:rPr>
        <w:t>is</w:t>
      </w:r>
      <w:r w:rsidR="008D417B">
        <w:rPr>
          <w:sz w:val="24"/>
          <w:szCs w:val="24"/>
        </w:rPr>
        <w:t>, on paper,</w:t>
      </w:r>
      <w:r w:rsidRPr="00FD6752">
        <w:rPr>
          <w:sz w:val="24"/>
          <w:szCs w:val="24"/>
        </w:rPr>
        <w:t xml:space="preserve"> independent of Russia in the sense that they have </w:t>
      </w:r>
      <w:r w:rsidRPr="00BD4C8D">
        <w:rPr>
          <w:sz w:val="24"/>
          <w:szCs w:val="24"/>
        </w:rPr>
        <w:t xml:space="preserve">their own institutions of </w:t>
      </w:r>
      <w:r w:rsidR="00BD4C8D" w:rsidRPr="00BD4C8D">
        <w:rPr>
          <w:sz w:val="24"/>
          <w:szCs w:val="24"/>
        </w:rPr>
        <w:t>governance</w:t>
      </w:r>
      <w:r w:rsidR="00BD4C8D" w:rsidRPr="009B2025">
        <w:rPr>
          <w:rFonts w:cstheme="minorHAnsi"/>
          <w:sz w:val="24"/>
          <w:szCs w:val="24"/>
        </w:rPr>
        <w:t>,</w:t>
      </w:r>
      <w:r w:rsidR="00FC3FA1" w:rsidRPr="009B2025">
        <w:rPr>
          <w:rFonts w:cstheme="minorHAnsi"/>
          <w:sz w:val="24"/>
          <w:szCs w:val="24"/>
        </w:rPr>
        <w:t xml:space="preserve"> but the problem concerns </w:t>
      </w:r>
      <w:r w:rsidRPr="009B2025">
        <w:rPr>
          <w:rFonts w:cstheme="minorHAnsi"/>
          <w:sz w:val="24"/>
          <w:szCs w:val="24"/>
        </w:rPr>
        <w:t>political parties and elites</w:t>
      </w:r>
      <w:r w:rsidR="00650A92">
        <w:rPr>
          <w:rFonts w:cstheme="minorHAnsi"/>
          <w:sz w:val="24"/>
          <w:szCs w:val="24"/>
        </w:rPr>
        <w:t>. The problem is particularly acute in</w:t>
      </w:r>
      <w:r w:rsidR="009B2025" w:rsidRPr="009B2025">
        <w:rPr>
          <w:rFonts w:cstheme="minorHAnsi"/>
          <w:sz w:val="24"/>
          <w:szCs w:val="24"/>
        </w:rPr>
        <w:t xml:space="preserve"> South Ossetia where a number of institutions were</w:t>
      </w:r>
      <w:r w:rsidR="0005394C">
        <w:rPr>
          <w:rFonts w:cstheme="minorHAnsi"/>
          <w:sz w:val="24"/>
          <w:szCs w:val="24"/>
        </w:rPr>
        <w:t xml:space="preserve"> already</w:t>
      </w:r>
      <w:r w:rsidR="009B2025" w:rsidRPr="009B2025">
        <w:rPr>
          <w:rFonts w:cstheme="minorHAnsi"/>
          <w:sz w:val="24"/>
          <w:szCs w:val="24"/>
        </w:rPr>
        <w:t xml:space="preserve"> prior to 2008 ‘staffed </w:t>
      </w:r>
      <w:r w:rsidR="009B2025" w:rsidRPr="009B2025">
        <w:rPr>
          <w:rFonts w:cstheme="minorHAnsi"/>
          <w:color w:val="000000"/>
          <w:sz w:val="24"/>
          <w:szCs w:val="24"/>
          <w:shd w:val="clear" w:color="auto" w:fill="FFFFFF"/>
        </w:rPr>
        <w:t xml:space="preserve">by Russian representatives or South Ossetians with Russian citizenship </w:t>
      </w:r>
      <w:r w:rsidR="009B2025" w:rsidRPr="009B2025">
        <w:rPr>
          <w:rFonts w:cstheme="minorHAnsi"/>
          <w:color w:val="000000"/>
          <w:sz w:val="24"/>
          <w:szCs w:val="24"/>
          <w:shd w:val="clear" w:color="auto" w:fill="FFFFFF"/>
        </w:rPr>
        <w:lastRenderedPageBreak/>
        <w:t>that have worked previously in equivalent positions in Central Russia or in North Ossetia’</w:t>
      </w:r>
      <w:r w:rsidR="0005394C">
        <w:rPr>
          <w:rFonts w:cstheme="minorHAnsi"/>
          <w:color w:val="000000"/>
          <w:sz w:val="24"/>
          <w:szCs w:val="24"/>
          <w:shd w:val="clear" w:color="auto" w:fill="FFFFFF"/>
        </w:rPr>
        <w:t>.</w:t>
      </w:r>
      <w:r w:rsidR="009B2025" w:rsidRPr="009B2025">
        <w:rPr>
          <w:rStyle w:val="FootnoteReference"/>
          <w:rFonts w:cstheme="minorHAnsi"/>
          <w:sz w:val="24"/>
          <w:szCs w:val="24"/>
        </w:rPr>
        <w:footnoteReference w:id="407"/>
      </w:r>
      <w:r w:rsidR="0005394C">
        <w:rPr>
          <w:rFonts w:cstheme="minorHAnsi"/>
          <w:color w:val="000000"/>
          <w:sz w:val="24"/>
          <w:szCs w:val="24"/>
          <w:shd w:val="clear" w:color="auto" w:fill="FFFFFF"/>
        </w:rPr>
        <w:t xml:space="preserve"> In elections in South Ossetia the choice is rather limited</w:t>
      </w:r>
      <w:r w:rsidR="0057171E">
        <w:rPr>
          <w:rStyle w:val="FootnoteReference"/>
          <w:rFonts w:cstheme="minorHAnsi"/>
          <w:color w:val="000000"/>
          <w:sz w:val="24"/>
          <w:szCs w:val="24"/>
          <w:shd w:val="clear" w:color="auto" w:fill="FFFFFF"/>
        </w:rPr>
        <w:footnoteReference w:id="408"/>
      </w:r>
      <w:r w:rsidR="0005394C">
        <w:rPr>
          <w:rFonts w:cstheme="minorHAnsi"/>
          <w:color w:val="000000"/>
          <w:sz w:val="24"/>
          <w:szCs w:val="24"/>
          <w:shd w:val="clear" w:color="auto" w:fill="FFFFFF"/>
        </w:rPr>
        <w:t xml:space="preserve"> as candidates must be allowed by Russia</w:t>
      </w:r>
      <w:r w:rsidR="008D475D">
        <w:rPr>
          <w:rFonts w:cstheme="minorHAnsi"/>
          <w:color w:val="000000"/>
          <w:sz w:val="24"/>
          <w:szCs w:val="24"/>
          <w:shd w:val="clear" w:color="auto" w:fill="FFFFFF"/>
        </w:rPr>
        <w:t>,</w:t>
      </w:r>
      <w:r w:rsidR="0005394C">
        <w:rPr>
          <w:rFonts w:cstheme="minorHAnsi"/>
          <w:color w:val="000000"/>
          <w:sz w:val="24"/>
          <w:szCs w:val="24"/>
          <w:shd w:val="clear" w:color="auto" w:fill="FFFFFF"/>
        </w:rPr>
        <w:t xml:space="preserve"> and the local authorities</w:t>
      </w:r>
      <w:r w:rsidR="008D417B">
        <w:rPr>
          <w:rFonts w:cstheme="minorHAnsi"/>
          <w:color w:val="000000"/>
          <w:sz w:val="24"/>
          <w:szCs w:val="24"/>
          <w:shd w:val="clear" w:color="auto" w:fill="FFFFFF"/>
        </w:rPr>
        <w:t xml:space="preserve"> and its institution</w:t>
      </w:r>
      <w:r w:rsidR="008D475D">
        <w:rPr>
          <w:rFonts w:cstheme="minorHAnsi"/>
          <w:color w:val="000000"/>
          <w:sz w:val="24"/>
          <w:szCs w:val="24"/>
          <w:shd w:val="clear" w:color="auto" w:fill="FFFFFF"/>
        </w:rPr>
        <w:t>s</w:t>
      </w:r>
      <w:r w:rsidR="008D417B">
        <w:rPr>
          <w:rFonts w:cstheme="minorHAnsi"/>
          <w:color w:val="000000"/>
          <w:sz w:val="24"/>
          <w:szCs w:val="24"/>
          <w:shd w:val="clear" w:color="auto" w:fill="FFFFFF"/>
        </w:rPr>
        <w:t xml:space="preserve"> are dependent on Moscow’s political and economic support.</w:t>
      </w:r>
      <w:r w:rsidR="0005394C">
        <w:rPr>
          <w:rStyle w:val="FootnoteReference"/>
          <w:rFonts w:cstheme="minorHAnsi"/>
          <w:color w:val="000000"/>
          <w:sz w:val="24"/>
          <w:szCs w:val="24"/>
          <w:shd w:val="clear" w:color="auto" w:fill="FFFFFF"/>
        </w:rPr>
        <w:footnoteReference w:id="409"/>
      </w:r>
      <w:r w:rsidR="0005394C">
        <w:rPr>
          <w:rFonts w:cstheme="minorHAnsi"/>
          <w:color w:val="000000"/>
          <w:sz w:val="24"/>
          <w:szCs w:val="24"/>
          <w:shd w:val="clear" w:color="auto" w:fill="FFFFFF"/>
        </w:rPr>
        <w:t xml:space="preserve"> </w:t>
      </w:r>
      <w:r w:rsidR="008D417B">
        <w:rPr>
          <w:rFonts w:cstheme="minorHAnsi"/>
          <w:color w:val="000000"/>
          <w:sz w:val="24"/>
          <w:szCs w:val="24"/>
          <w:shd w:val="clear" w:color="auto" w:fill="FFFFFF"/>
        </w:rPr>
        <w:t xml:space="preserve">Previously, </w:t>
      </w:r>
      <w:r w:rsidR="0057171E">
        <w:rPr>
          <w:rFonts w:cstheme="minorHAnsi"/>
          <w:color w:val="000000"/>
          <w:sz w:val="24"/>
          <w:szCs w:val="24"/>
          <w:shd w:val="clear" w:color="auto" w:fill="FFFFFF"/>
        </w:rPr>
        <w:t xml:space="preserve">and especially in Abkhazia, </w:t>
      </w:r>
      <w:r w:rsidR="008D417B">
        <w:rPr>
          <w:rFonts w:cstheme="minorHAnsi"/>
          <w:color w:val="000000"/>
          <w:sz w:val="24"/>
          <w:szCs w:val="24"/>
          <w:shd w:val="clear" w:color="auto" w:fill="FFFFFF"/>
        </w:rPr>
        <w:t>w</w:t>
      </w:r>
      <w:r w:rsidR="009B23AB" w:rsidRPr="009B2025">
        <w:rPr>
          <w:rFonts w:cstheme="minorHAnsi"/>
          <w:sz w:val="24"/>
          <w:szCs w:val="24"/>
        </w:rPr>
        <w:t xml:space="preserve">hilst the political elite </w:t>
      </w:r>
      <w:r w:rsidR="00FC3FA1" w:rsidRPr="009B2025">
        <w:rPr>
          <w:rFonts w:cstheme="minorHAnsi"/>
          <w:sz w:val="24"/>
          <w:szCs w:val="24"/>
        </w:rPr>
        <w:t>was</w:t>
      </w:r>
      <w:r w:rsidR="009B23AB" w:rsidRPr="009B2025">
        <w:rPr>
          <w:rFonts w:cstheme="minorHAnsi"/>
          <w:sz w:val="24"/>
          <w:szCs w:val="24"/>
        </w:rPr>
        <w:t xml:space="preserve"> generally supportive of Russia, </w:t>
      </w:r>
      <w:r w:rsidR="00FC3FA1" w:rsidRPr="009B2025">
        <w:rPr>
          <w:rFonts w:cstheme="minorHAnsi"/>
          <w:sz w:val="24"/>
          <w:szCs w:val="24"/>
        </w:rPr>
        <w:t>it did not necessarily agree with Russian policies and at times clashed with i</w:t>
      </w:r>
      <w:r w:rsidR="00650A92">
        <w:rPr>
          <w:rFonts w:cstheme="minorHAnsi"/>
          <w:sz w:val="24"/>
          <w:szCs w:val="24"/>
        </w:rPr>
        <w:t>t.</w:t>
      </w:r>
      <w:r w:rsidR="00FC3FA1" w:rsidRPr="009B2025">
        <w:rPr>
          <w:rStyle w:val="FootnoteReference"/>
          <w:rFonts w:cstheme="minorHAnsi"/>
          <w:sz w:val="24"/>
          <w:szCs w:val="24"/>
        </w:rPr>
        <w:footnoteReference w:id="410"/>
      </w:r>
      <w:r w:rsidR="00FC3FA1" w:rsidRPr="009B2025">
        <w:rPr>
          <w:rFonts w:cstheme="minorHAnsi"/>
          <w:sz w:val="24"/>
          <w:szCs w:val="24"/>
        </w:rPr>
        <w:t xml:space="preserve"> </w:t>
      </w:r>
      <w:r w:rsidR="00FC3FA1">
        <w:rPr>
          <w:sz w:val="24"/>
          <w:szCs w:val="24"/>
        </w:rPr>
        <w:t>This changed around 2015-2016 with a political elite loyal to Russia and ‘integrated into the Russian vertical power structure and accountable more to Moscow rather than their own population.’</w:t>
      </w:r>
      <w:r w:rsidR="00FC3FA1">
        <w:rPr>
          <w:rStyle w:val="FootnoteReference"/>
          <w:sz w:val="24"/>
          <w:szCs w:val="24"/>
        </w:rPr>
        <w:footnoteReference w:id="411"/>
      </w:r>
      <w:r w:rsidR="00650A92">
        <w:rPr>
          <w:sz w:val="24"/>
          <w:szCs w:val="24"/>
        </w:rPr>
        <w:t xml:space="preserve"> In Abkhazia</w:t>
      </w:r>
      <w:r w:rsidR="0057171E">
        <w:rPr>
          <w:sz w:val="24"/>
          <w:szCs w:val="24"/>
        </w:rPr>
        <w:t>,</w:t>
      </w:r>
      <w:r w:rsidR="00650A92">
        <w:rPr>
          <w:sz w:val="24"/>
          <w:szCs w:val="24"/>
        </w:rPr>
        <w:t xml:space="preserve"> </w:t>
      </w:r>
      <w:r w:rsidR="00650A92" w:rsidRPr="009B2025">
        <w:rPr>
          <w:rFonts w:cstheme="minorHAnsi"/>
          <w:sz w:val="24"/>
          <w:szCs w:val="24"/>
        </w:rPr>
        <w:t>the</w:t>
      </w:r>
      <w:r w:rsidR="00650A92">
        <w:rPr>
          <w:rFonts w:cstheme="minorHAnsi"/>
          <w:sz w:val="24"/>
          <w:szCs w:val="24"/>
        </w:rPr>
        <w:t>re</w:t>
      </w:r>
      <w:r w:rsidR="00650A92" w:rsidRPr="009B2025">
        <w:rPr>
          <w:rFonts w:cstheme="minorHAnsi"/>
          <w:sz w:val="24"/>
          <w:szCs w:val="24"/>
        </w:rPr>
        <w:t xml:space="preserve"> </w:t>
      </w:r>
      <w:r w:rsidR="0057171E">
        <w:rPr>
          <w:rFonts w:cstheme="minorHAnsi"/>
          <w:sz w:val="24"/>
          <w:szCs w:val="24"/>
        </w:rPr>
        <w:t>were</w:t>
      </w:r>
      <w:r w:rsidR="00650A92">
        <w:rPr>
          <w:rFonts w:cstheme="minorHAnsi"/>
          <w:sz w:val="24"/>
          <w:szCs w:val="24"/>
        </w:rPr>
        <w:t xml:space="preserve"> </w:t>
      </w:r>
      <w:r w:rsidR="00650A92" w:rsidRPr="009B2025">
        <w:rPr>
          <w:rFonts w:cstheme="minorHAnsi"/>
          <w:sz w:val="24"/>
          <w:szCs w:val="24"/>
        </w:rPr>
        <w:t xml:space="preserve">occasional demonstrations against pro-Moscow policies viewed as diminishing </w:t>
      </w:r>
      <w:r w:rsidR="00650A92">
        <w:rPr>
          <w:rFonts w:cstheme="minorHAnsi"/>
          <w:sz w:val="24"/>
          <w:szCs w:val="24"/>
        </w:rPr>
        <w:t>its</w:t>
      </w:r>
      <w:r w:rsidR="00650A92" w:rsidRPr="009B2025">
        <w:rPr>
          <w:rFonts w:cstheme="minorHAnsi"/>
          <w:sz w:val="24"/>
          <w:szCs w:val="24"/>
        </w:rPr>
        <w:t xml:space="preserve"> in</w:t>
      </w:r>
      <w:r w:rsidR="00650A92">
        <w:rPr>
          <w:rFonts w:cstheme="minorHAnsi"/>
          <w:sz w:val="24"/>
          <w:szCs w:val="24"/>
        </w:rPr>
        <w:t>dependence</w:t>
      </w:r>
      <w:r w:rsidR="00650A92">
        <w:rPr>
          <w:sz w:val="24"/>
          <w:szCs w:val="24"/>
        </w:rPr>
        <w:t>,</w:t>
      </w:r>
      <w:r w:rsidR="00650A92">
        <w:rPr>
          <w:rStyle w:val="FootnoteReference"/>
          <w:sz w:val="24"/>
          <w:szCs w:val="24"/>
        </w:rPr>
        <w:footnoteReference w:id="412"/>
      </w:r>
      <w:r w:rsidR="00650A92">
        <w:rPr>
          <w:sz w:val="24"/>
          <w:szCs w:val="24"/>
        </w:rPr>
        <w:t xml:space="preserve"> and the government had even in 2021 to deal with opposition protesters.</w:t>
      </w:r>
      <w:r w:rsidR="00650A92">
        <w:rPr>
          <w:rStyle w:val="FootnoteReference"/>
          <w:sz w:val="24"/>
          <w:szCs w:val="24"/>
        </w:rPr>
        <w:footnoteReference w:id="413"/>
      </w:r>
      <w:r w:rsidR="00650A92">
        <w:rPr>
          <w:sz w:val="24"/>
          <w:szCs w:val="24"/>
        </w:rPr>
        <w:t xml:space="preserve"> Elections in Abkhazia can be said to be generally relatively free.</w:t>
      </w:r>
      <w:r w:rsidR="00650A92">
        <w:rPr>
          <w:rStyle w:val="FootnoteReference"/>
          <w:sz w:val="24"/>
          <w:szCs w:val="24"/>
        </w:rPr>
        <w:footnoteReference w:id="414"/>
      </w:r>
    </w:p>
    <w:p w14:paraId="28FCF96F" w14:textId="0E0948B3" w:rsidR="008D417B" w:rsidRPr="0057171E" w:rsidRDefault="0031573A" w:rsidP="00255D12">
      <w:pPr>
        <w:spacing w:after="0" w:line="240" w:lineRule="auto"/>
        <w:jc w:val="both"/>
        <w:rPr>
          <w:sz w:val="24"/>
          <w:szCs w:val="24"/>
        </w:rPr>
      </w:pPr>
      <w:r>
        <w:rPr>
          <w:sz w:val="24"/>
          <w:szCs w:val="24"/>
        </w:rPr>
        <w:t>Whilst both entities are able to adopt their own legislation, they have gradually unified their legal system with that of Russia.</w:t>
      </w:r>
      <w:r>
        <w:rPr>
          <w:rStyle w:val="FootnoteReference"/>
          <w:sz w:val="24"/>
          <w:szCs w:val="24"/>
        </w:rPr>
        <w:footnoteReference w:id="415"/>
      </w:r>
      <w:r w:rsidR="00103DBC">
        <w:rPr>
          <w:sz w:val="24"/>
          <w:szCs w:val="24"/>
        </w:rPr>
        <w:t xml:space="preserve"> Some authors argue that Sout</w:t>
      </w:r>
      <w:r w:rsidR="00103DBC" w:rsidRPr="008D417B">
        <w:rPr>
          <w:rFonts w:cstheme="minorHAnsi"/>
          <w:sz w:val="24"/>
          <w:szCs w:val="24"/>
        </w:rPr>
        <w:t xml:space="preserve">h Ossetia has </w:t>
      </w:r>
      <w:r w:rsidR="0020561E" w:rsidRPr="008D417B">
        <w:rPr>
          <w:rFonts w:cstheme="minorHAnsi"/>
          <w:sz w:val="24"/>
          <w:szCs w:val="24"/>
        </w:rPr>
        <w:t>as a matter of</w:t>
      </w:r>
      <w:r w:rsidR="00103DBC" w:rsidRPr="008D417B">
        <w:rPr>
          <w:rFonts w:cstheme="minorHAnsi"/>
          <w:sz w:val="24"/>
          <w:szCs w:val="24"/>
        </w:rPr>
        <w:t xml:space="preserve"> fact copied Russian law</w:t>
      </w:r>
      <w:r w:rsidR="008D417B" w:rsidRPr="008D417B">
        <w:rPr>
          <w:rFonts w:cstheme="minorHAnsi"/>
          <w:sz w:val="24"/>
          <w:szCs w:val="24"/>
        </w:rPr>
        <w:t>,</w:t>
      </w:r>
      <w:r w:rsidR="00103DBC" w:rsidRPr="008D417B">
        <w:rPr>
          <w:rStyle w:val="FootnoteReference"/>
          <w:rFonts w:cstheme="minorHAnsi"/>
          <w:sz w:val="24"/>
          <w:szCs w:val="24"/>
        </w:rPr>
        <w:footnoteReference w:id="416"/>
      </w:r>
      <w:r w:rsidR="008D417B" w:rsidRPr="008D417B">
        <w:rPr>
          <w:rFonts w:cstheme="minorHAnsi"/>
          <w:sz w:val="24"/>
          <w:szCs w:val="24"/>
        </w:rPr>
        <w:t xml:space="preserve"> Freedom House specifically mentioning that ‘</w:t>
      </w:r>
      <w:r w:rsidR="008D417B" w:rsidRPr="008D417B">
        <w:rPr>
          <w:rFonts w:cstheme="minorHAnsi"/>
          <w:sz w:val="24"/>
          <w:szCs w:val="24"/>
          <w:shd w:val="clear" w:color="auto" w:fill="FFFFFF"/>
        </w:rPr>
        <w:t>South Ossetia uses a modified version of the Russian criminal code.’</w:t>
      </w:r>
      <w:r w:rsidR="008D417B" w:rsidRPr="008D417B">
        <w:rPr>
          <w:rStyle w:val="FootnoteReference"/>
          <w:rFonts w:cstheme="minorHAnsi"/>
          <w:sz w:val="24"/>
          <w:szCs w:val="24"/>
        </w:rPr>
        <w:footnoteReference w:id="417"/>
      </w:r>
      <w:r w:rsidRPr="008D417B">
        <w:rPr>
          <w:rFonts w:cstheme="minorHAnsi"/>
          <w:sz w:val="24"/>
          <w:szCs w:val="24"/>
        </w:rPr>
        <w:t xml:space="preserve"> </w:t>
      </w:r>
      <w:r w:rsidR="0057171E">
        <w:rPr>
          <w:rFonts w:cstheme="minorHAnsi"/>
          <w:sz w:val="24"/>
          <w:szCs w:val="24"/>
        </w:rPr>
        <w:t>In 2016</w:t>
      </w:r>
      <w:r w:rsidR="008D475D">
        <w:rPr>
          <w:rFonts w:cstheme="minorHAnsi"/>
          <w:sz w:val="24"/>
          <w:szCs w:val="24"/>
        </w:rPr>
        <w:t>,</w:t>
      </w:r>
      <w:r w:rsidR="0057171E">
        <w:rPr>
          <w:rFonts w:cstheme="minorHAnsi"/>
          <w:sz w:val="24"/>
          <w:szCs w:val="24"/>
        </w:rPr>
        <w:t xml:space="preserve"> it was revealed that Russian government agencies were drafting bills to be adopted by the parliament of South Ossetia.</w:t>
      </w:r>
      <w:r w:rsidR="0057171E">
        <w:rPr>
          <w:rStyle w:val="FootnoteReference"/>
          <w:rFonts w:cstheme="minorHAnsi"/>
          <w:sz w:val="24"/>
          <w:szCs w:val="24"/>
        </w:rPr>
        <w:footnoteReference w:id="418"/>
      </w:r>
    </w:p>
    <w:p w14:paraId="7C60416B" w14:textId="745E0AB4" w:rsidR="00102E67" w:rsidRDefault="00FC3FA1" w:rsidP="00255D12">
      <w:pPr>
        <w:spacing w:after="0" w:line="240" w:lineRule="auto"/>
        <w:jc w:val="both"/>
        <w:rPr>
          <w:rFonts w:cstheme="minorHAnsi"/>
          <w:sz w:val="24"/>
          <w:szCs w:val="24"/>
        </w:rPr>
      </w:pPr>
      <w:r>
        <w:rPr>
          <w:sz w:val="24"/>
          <w:szCs w:val="24"/>
        </w:rPr>
        <w:t>E</w:t>
      </w:r>
      <w:r w:rsidR="00095768">
        <w:rPr>
          <w:rFonts w:eastAsia="Times New Roman" w:cstheme="minorHAnsi"/>
          <w:color w:val="000000"/>
          <w:sz w:val="24"/>
          <w:szCs w:val="24"/>
          <w:lang w:eastAsia="en-GB"/>
        </w:rPr>
        <w:t>conomically, both States are tied to Russia</w:t>
      </w:r>
      <w:r w:rsidR="00095768" w:rsidRPr="00095768">
        <w:rPr>
          <w:rFonts w:eastAsia="Times New Roman" w:cstheme="minorHAnsi"/>
          <w:color w:val="000000"/>
          <w:sz w:val="24"/>
          <w:szCs w:val="24"/>
          <w:lang w:eastAsia="en-GB"/>
        </w:rPr>
        <w:t xml:space="preserve">. </w:t>
      </w:r>
      <w:r w:rsidR="00CD684B" w:rsidRPr="00095768">
        <w:rPr>
          <w:rFonts w:cstheme="minorHAnsi"/>
          <w:sz w:val="24"/>
          <w:szCs w:val="24"/>
        </w:rPr>
        <w:t xml:space="preserve">Russia pays local pensions and contributes to the </w:t>
      </w:r>
      <w:r w:rsidR="00254D98">
        <w:rPr>
          <w:rFonts w:cstheme="minorHAnsi"/>
          <w:sz w:val="24"/>
          <w:szCs w:val="24"/>
        </w:rPr>
        <w:t>S</w:t>
      </w:r>
      <w:r w:rsidR="00CD684B" w:rsidRPr="00095768">
        <w:rPr>
          <w:rFonts w:cstheme="minorHAnsi"/>
          <w:sz w:val="24"/>
          <w:szCs w:val="24"/>
        </w:rPr>
        <w:t>tate budgets of Abkhazia and South Ossetia.</w:t>
      </w:r>
      <w:r w:rsidR="00CD684B" w:rsidRPr="00095768">
        <w:rPr>
          <w:rStyle w:val="FootnoteReference"/>
          <w:rFonts w:cstheme="minorHAnsi"/>
          <w:sz w:val="24"/>
          <w:szCs w:val="24"/>
        </w:rPr>
        <w:footnoteReference w:id="419"/>
      </w:r>
      <w:r w:rsidR="001F5239">
        <w:rPr>
          <w:rFonts w:cstheme="minorHAnsi"/>
          <w:sz w:val="24"/>
          <w:szCs w:val="24"/>
        </w:rPr>
        <w:t xml:space="preserve"> Whilst South Ossetia completely relies on Russia,</w:t>
      </w:r>
      <w:r w:rsidR="007F3BD6">
        <w:rPr>
          <w:rStyle w:val="FootnoteReference"/>
          <w:rFonts w:cstheme="minorHAnsi"/>
          <w:sz w:val="24"/>
          <w:szCs w:val="24"/>
        </w:rPr>
        <w:footnoteReference w:id="420"/>
      </w:r>
      <w:r w:rsidR="001F5239">
        <w:rPr>
          <w:rFonts w:cstheme="minorHAnsi"/>
          <w:sz w:val="24"/>
          <w:szCs w:val="24"/>
        </w:rPr>
        <w:t xml:space="preserve"> Abkhazia still draws </w:t>
      </w:r>
      <w:r w:rsidR="0020162F">
        <w:rPr>
          <w:rFonts w:cstheme="minorHAnsi"/>
          <w:sz w:val="24"/>
          <w:szCs w:val="24"/>
        </w:rPr>
        <w:t>money from tourism and some foreign economic links.</w:t>
      </w:r>
      <w:r w:rsidR="0020162F">
        <w:rPr>
          <w:rStyle w:val="FootnoteReference"/>
          <w:rFonts w:cstheme="minorHAnsi"/>
          <w:sz w:val="24"/>
          <w:szCs w:val="24"/>
        </w:rPr>
        <w:footnoteReference w:id="421"/>
      </w:r>
      <w:r w:rsidR="00FD6752">
        <w:rPr>
          <w:rFonts w:cstheme="minorHAnsi"/>
          <w:sz w:val="24"/>
          <w:szCs w:val="24"/>
        </w:rPr>
        <w:t xml:space="preserve"> </w:t>
      </w:r>
      <w:r w:rsidR="00650A92">
        <w:rPr>
          <w:rFonts w:cstheme="minorHAnsi"/>
          <w:sz w:val="24"/>
          <w:szCs w:val="24"/>
        </w:rPr>
        <w:t xml:space="preserve">Recent data also </w:t>
      </w:r>
      <w:r w:rsidR="008D475D">
        <w:rPr>
          <w:rFonts w:cstheme="minorHAnsi"/>
          <w:sz w:val="24"/>
          <w:szCs w:val="24"/>
        </w:rPr>
        <w:t>r</w:t>
      </w:r>
      <w:r w:rsidR="005A22C1">
        <w:rPr>
          <w:rFonts w:cstheme="minorHAnsi"/>
          <w:sz w:val="24"/>
          <w:szCs w:val="24"/>
        </w:rPr>
        <w:t>eveals</w:t>
      </w:r>
      <w:r w:rsidR="00650A92">
        <w:rPr>
          <w:rFonts w:cstheme="minorHAnsi"/>
          <w:sz w:val="24"/>
          <w:szCs w:val="24"/>
        </w:rPr>
        <w:t xml:space="preserve"> that Moscow’s contributions to Abkhazia’s budget have declined in the past few years.</w:t>
      </w:r>
      <w:r w:rsidR="00650A92">
        <w:rPr>
          <w:rStyle w:val="FootnoteReference"/>
          <w:rFonts w:cstheme="minorHAnsi"/>
          <w:sz w:val="24"/>
          <w:szCs w:val="24"/>
        </w:rPr>
        <w:footnoteReference w:id="422"/>
      </w:r>
      <w:r w:rsidR="00A958A6">
        <w:rPr>
          <w:rFonts w:cstheme="minorHAnsi"/>
          <w:sz w:val="24"/>
          <w:szCs w:val="24"/>
        </w:rPr>
        <w:t xml:space="preserve"> </w:t>
      </w:r>
      <w:r w:rsidR="001F5239">
        <w:rPr>
          <w:rFonts w:cstheme="minorHAnsi"/>
          <w:sz w:val="24"/>
          <w:szCs w:val="24"/>
        </w:rPr>
        <w:t>After Russia had signed a Treaty of Friendship, Cooperation and Mutual Assistance in 2008 with South Ossetia and Abkhazia respectively, it signed with both a Treaty of Alliance and Strategic Partnership, in February 2015 with South Ossetia</w:t>
      </w:r>
      <w:r w:rsidR="001F5239">
        <w:rPr>
          <w:rStyle w:val="FootnoteReference"/>
          <w:rFonts w:cstheme="minorHAnsi"/>
          <w:sz w:val="24"/>
          <w:szCs w:val="24"/>
        </w:rPr>
        <w:footnoteReference w:id="423"/>
      </w:r>
      <w:r w:rsidR="001F5239">
        <w:rPr>
          <w:rFonts w:cstheme="minorHAnsi"/>
          <w:sz w:val="24"/>
          <w:szCs w:val="24"/>
        </w:rPr>
        <w:t xml:space="preserve"> and in November 2014 with Abkhazia.</w:t>
      </w:r>
      <w:r w:rsidR="001F5239">
        <w:rPr>
          <w:rStyle w:val="FootnoteReference"/>
          <w:rFonts w:cstheme="minorHAnsi"/>
          <w:sz w:val="24"/>
          <w:szCs w:val="24"/>
        </w:rPr>
        <w:footnoteReference w:id="424"/>
      </w:r>
      <w:r w:rsidR="001F5239">
        <w:rPr>
          <w:rFonts w:cstheme="minorHAnsi"/>
          <w:sz w:val="24"/>
          <w:szCs w:val="24"/>
        </w:rPr>
        <w:t xml:space="preserve"> These treaties provide extensive assistance from Russia on the economic, social and </w:t>
      </w:r>
      <w:r w:rsidR="00BD4C8D">
        <w:rPr>
          <w:rFonts w:cstheme="minorHAnsi"/>
          <w:sz w:val="24"/>
          <w:szCs w:val="24"/>
        </w:rPr>
        <w:t>educational</w:t>
      </w:r>
      <w:r w:rsidR="001F5239">
        <w:rPr>
          <w:rFonts w:cstheme="minorHAnsi"/>
          <w:sz w:val="24"/>
          <w:szCs w:val="24"/>
        </w:rPr>
        <w:t xml:space="preserve"> level</w:t>
      </w:r>
      <w:r w:rsidR="008D475D">
        <w:rPr>
          <w:rFonts w:cstheme="minorHAnsi"/>
          <w:sz w:val="24"/>
          <w:szCs w:val="24"/>
        </w:rPr>
        <w:t>s</w:t>
      </w:r>
      <w:r w:rsidR="001F5239">
        <w:rPr>
          <w:rFonts w:cstheme="minorHAnsi"/>
          <w:sz w:val="24"/>
          <w:szCs w:val="24"/>
        </w:rPr>
        <w:t xml:space="preserve">. </w:t>
      </w:r>
    </w:p>
    <w:p w14:paraId="77A7D97F" w14:textId="340B5C12" w:rsidR="00102E67" w:rsidRDefault="00FD6752" w:rsidP="00C13C1D">
      <w:pPr>
        <w:spacing w:after="0" w:line="240" w:lineRule="auto"/>
        <w:jc w:val="both"/>
        <w:rPr>
          <w:rFonts w:cstheme="minorHAnsi"/>
          <w:sz w:val="24"/>
          <w:szCs w:val="24"/>
        </w:rPr>
      </w:pPr>
      <w:r>
        <w:rPr>
          <w:rFonts w:cstheme="minorHAnsi"/>
          <w:sz w:val="24"/>
          <w:szCs w:val="24"/>
        </w:rPr>
        <w:lastRenderedPageBreak/>
        <w:t>Whilst the constitution of Abkhazia makes no reference to its borders or territorial integrity, the constitution of South Ossetia stresses the important function played by the State in protecting its sovereignty and territorial integrity.</w:t>
      </w:r>
      <w:r>
        <w:rPr>
          <w:rStyle w:val="FootnoteReference"/>
          <w:rFonts w:cstheme="minorHAnsi"/>
          <w:sz w:val="24"/>
          <w:szCs w:val="24"/>
        </w:rPr>
        <w:footnoteReference w:id="425"/>
      </w:r>
      <w:r>
        <w:rPr>
          <w:rFonts w:cstheme="minorHAnsi"/>
          <w:sz w:val="24"/>
          <w:szCs w:val="24"/>
        </w:rPr>
        <w:t xml:space="preserve"> </w:t>
      </w:r>
      <w:r w:rsidR="00BD4C8D">
        <w:rPr>
          <w:sz w:val="24"/>
          <w:szCs w:val="24"/>
        </w:rPr>
        <w:t>That being said</w:t>
      </w:r>
      <w:r w:rsidR="00BD4C8D" w:rsidRPr="00BD4C8D">
        <w:rPr>
          <w:sz w:val="24"/>
          <w:szCs w:val="24"/>
        </w:rPr>
        <w:t>, in 2006</w:t>
      </w:r>
      <w:r w:rsidR="00BD4C8D">
        <w:rPr>
          <w:sz w:val="24"/>
          <w:szCs w:val="24"/>
        </w:rPr>
        <w:t>-2008</w:t>
      </w:r>
      <w:r w:rsidR="00BD4C8D" w:rsidRPr="00BD4C8D">
        <w:rPr>
          <w:sz w:val="24"/>
          <w:szCs w:val="24"/>
        </w:rPr>
        <w:t xml:space="preserve"> the </w:t>
      </w:r>
      <w:r w:rsidR="00BD4C8D">
        <w:rPr>
          <w:sz w:val="24"/>
          <w:szCs w:val="24"/>
        </w:rPr>
        <w:t xml:space="preserve">key </w:t>
      </w:r>
      <w:r w:rsidR="00BD4C8D" w:rsidRPr="00BD4C8D">
        <w:rPr>
          <w:sz w:val="24"/>
          <w:szCs w:val="24"/>
        </w:rPr>
        <w:t xml:space="preserve">security posts in South Ossetia </w:t>
      </w:r>
      <w:r w:rsidR="00BD4C8D">
        <w:rPr>
          <w:sz w:val="24"/>
          <w:szCs w:val="24"/>
        </w:rPr>
        <w:t xml:space="preserve">and Abkhazia </w:t>
      </w:r>
      <w:r w:rsidR="00BD4C8D" w:rsidRPr="00BD4C8D">
        <w:rPr>
          <w:sz w:val="24"/>
          <w:szCs w:val="24"/>
        </w:rPr>
        <w:t>were held by current or former Russian officials</w:t>
      </w:r>
      <w:r w:rsidR="00BD4C8D" w:rsidRPr="00BD4C8D">
        <w:rPr>
          <w:rStyle w:val="FootnoteReference"/>
          <w:sz w:val="24"/>
          <w:szCs w:val="24"/>
        </w:rPr>
        <w:footnoteReference w:id="426"/>
      </w:r>
      <w:r w:rsidR="00BD4C8D">
        <w:rPr>
          <w:sz w:val="24"/>
          <w:szCs w:val="24"/>
        </w:rPr>
        <w:t xml:space="preserve"> </w:t>
      </w:r>
      <w:r w:rsidR="009B2025">
        <w:rPr>
          <w:sz w:val="24"/>
          <w:szCs w:val="24"/>
        </w:rPr>
        <w:t xml:space="preserve">and following the 2008 armed conflict and the signature of the </w:t>
      </w:r>
      <w:r w:rsidR="00C13C1D">
        <w:rPr>
          <w:rFonts w:cstheme="minorHAnsi"/>
          <w:sz w:val="24"/>
          <w:szCs w:val="24"/>
        </w:rPr>
        <w:t>2008 agreements</w:t>
      </w:r>
      <w:r w:rsidR="009B2025">
        <w:rPr>
          <w:rFonts w:cstheme="minorHAnsi"/>
          <w:sz w:val="24"/>
          <w:szCs w:val="24"/>
        </w:rPr>
        <w:t>,</w:t>
      </w:r>
      <w:r w:rsidR="00C13C1D">
        <w:rPr>
          <w:rFonts w:cstheme="minorHAnsi"/>
          <w:sz w:val="24"/>
          <w:szCs w:val="24"/>
        </w:rPr>
        <w:t xml:space="preserve"> </w:t>
      </w:r>
      <w:r w:rsidR="009B2025">
        <w:rPr>
          <w:rFonts w:cstheme="minorHAnsi"/>
          <w:sz w:val="24"/>
          <w:szCs w:val="24"/>
        </w:rPr>
        <w:t xml:space="preserve">Russia significantly increased its military </w:t>
      </w:r>
      <w:r w:rsidR="00C13C1D">
        <w:rPr>
          <w:rFonts w:cstheme="minorHAnsi"/>
          <w:sz w:val="24"/>
          <w:szCs w:val="24"/>
        </w:rPr>
        <w:t>presence on the territory of these two entities,</w:t>
      </w:r>
      <w:r w:rsidR="00C13C1D">
        <w:rPr>
          <w:rStyle w:val="FootnoteReference"/>
          <w:rFonts w:cstheme="minorHAnsi"/>
          <w:sz w:val="24"/>
          <w:szCs w:val="24"/>
        </w:rPr>
        <w:footnoteReference w:id="427"/>
      </w:r>
      <w:r w:rsidR="00C13C1D">
        <w:rPr>
          <w:rFonts w:cstheme="minorHAnsi"/>
          <w:sz w:val="24"/>
          <w:szCs w:val="24"/>
        </w:rPr>
        <w:t xml:space="preserve"> thereby indicating their reliance on Russia for </w:t>
      </w:r>
      <w:r w:rsidR="009B2025">
        <w:rPr>
          <w:rFonts w:cstheme="minorHAnsi"/>
          <w:sz w:val="24"/>
          <w:szCs w:val="24"/>
        </w:rPr>
        <w:t>their</w:t>
      </w:r>
      <w:r w:rsidR="00C13C1D">
        <w:rPr>
          <w:rFonts w:cstheme="minorHAnsi"/>
          <w:sz w:val="24"/>
          <w:szCs w:val="24"/>
        </w:rPr>
        <w:t xml:space="preserve"> security.</w:t>
      </w:r>
      <w:r w:rsidR="00C13C1D">
        <w:rPr>
          <w:rStyle w:val="FootnoteReference"/>
          <w:rFonts w:cstheme="minorHAnsi"/>
          <w:sz w:val="24"/>
          <w:szCs w:val="24"/>
        </w:rPr>
        <w:footnoteReference w:id="428"/>
      </w:r>
      <w:r w:rsidR="00C13C1D">
        <w:rPr>
          <w:rFonts w:cstheme="minorHAnsi"/>
          <w:sz w:val="24"/>
          <w:szCs w:val="24"/>
        </w:rPr>
        <w:t xml:space="preserve"> </w:t>
      </w:r>
      <w:r w:rsidR="001F5239">
        <w:rPr>
          <w:rFonts w:cstheme="minorHAnsi"/>
          <w:sz w:val="24"/>
          <w:szCs w:val="24"/>
        </w:rPr>
        <w:t xml:space="preserve">The 2014/2015 treaties </w:t>
      </w:r>
      <w:r w:rsidR="009B2025">
        <w:rPr>
          <w:rFonts w:cstheme="minorHAnsi"/>
          <w:sz w:val="24"/>
          <w:szCs w:val="24"/>
        </w:rPr>
        <w:t xml:space="preserve">now </w:t>
      </w:r>
      <w:r w:rsidR="00D861FA">
        <w:rPr>
          <w:rFonts w:cstheme="minorHAnsi"/>
          <w:sz w:val="24"/>
          <w:szCs w:val="24"/>
        </w:rPr>
        <w:t xml:space="preserve">provide for a </w:t>
      </w:r>
      <w:r w:rsidR="00102E67">
        <w:rPr>
          <w:rFonts w:cstheme="minorHAnsi"/>
          <w:sz w:val="24"/>
          <w:szCs w:val="24"/>
        </w:rPr>
        <w:t>‘single</w:t>
      </w:r>
      <w:r w:rsidR="00D861FA">
        <w:rPr>
          <w:rFonts w:cstheme="minorHAnsi"/>
          <w:sz w:val="24"/>
          <w:szCs w:val="24"/>
        </w:rPr>
        <w:t xml:space="preserve"> space of defence and security</w:t>
      </w:r>
      <w:r w:rsidR="00102E67">
        <w:rPr>
          <w:rFonts w:cstheme="minorHAnsi"/>
          <w:sz w:val="24"/>
          <w:szCs w:val="24"/>
        </w:rPr>
        <w:t>’</w:t>
      </w:r>
      <w:r w:rsidR="003C5281">
        <w:rPr>
          <w:rFonts w:cstheme="minorHAnsi"/>
          <w:sz w:val="24"/>
          <w:szCs w:val="24"/>
        </w:rPr>
        <w:t xml:space="preserve"> in relation to South Ossetia</w:t>
      </w:r>
      <w:r w:rsidR="00102E67">
        <w:rPr>
          <w:rStyle w:val="FootnoteReference"/>
          <w:rFonts w:cstheme="minorHAnsi"/>
          <w:sz w:val="24"/>
          <w:szCs w:val="24"/>
        </w:rPr>
        <w:footnoteReference w:id="429"/>
      </w:r>
      <w:r w:rsidR="003C5281">
        <w:rPr>
          <w:rFonts w:cstheme="minorHAnsi"/>
          <w:sz w:val="24"/>
          <w:szCs w:val="24"/>
        </w:rPr>
        <w:t xml:space="preserve"> and a ‘common space for </w:t>
      </w:r>
      <w:proofErr w:type="spellStart"/>
      <w:r w:rsidR="003C5281">
        <w:rPr>
          <w:rFonts w:cstheme="minorHAnsi"/>
          <w:sz w:val="24"/>
          <w:szCs w:val="24"/>
        </w:rPr>
        <w:t>defense</w:t>
      </w:r>
      <w:proofErr w:type="spellEnd"/>
      <w:r w:rsidR="003C5281">
        <w:rPr>
          <w:rFonts w:cstheme="minorHAnsi"/>
          <w:sz w:val="24"/>
          <w:szCs w:val="24"/>
        </w:rPr>
        <w:t xml:space="preserve"> and security’ in relation to Abkhazia.</w:t>
      </w:r>
      <w:r w:rsidR="003C5281">
        <w:rPr>
          <w:rStyle w:val="FootnoteReference"/>
          <w:rFonts w:cstheme="minorHAnsi"/>
          <w:sz w:val="24"/>
          <w:szCs w:val="24"/>
        </w:rPr>
        <w:footnoteReference w:id="430"/>
      </w:r>
      <w:r>
        <w:rPr>
          <w:rFonts w:cstheme="minorHAnsi"/>
          <w:sz w:val="24"/>
          <w:szCs w:val="24"/>
        </w:rPr>
        <w:t xml:space="preserve"> </w:t>
      </w:r>
      <w:r w:rsidR="007E7E56">
        <w:rPr>
          <w:rFonts w:cstheme="minorHAnsi"/>
          <w:sz w:val="24"/>
          <w:szCs w:val="24"/>
        </w:rPr>
        <w:t>The agreement</w:t>
      </w:r>
      <w:r w:rsidR="002C5ECD">
        <w:rPr>
          <w:rFonts w:cstheme="minorHAnsi"/>
          <w:sz w:val="24"/>
          <w:szCs w:val="24"/>
        </w:rPr>
        <w:t xml:space="preserve"> with South Ossetia</w:t>
      </w:r>
      <w:r w:rsidR="007E7E56">
        <w:rPr>
          <w:rFonts w:cstheme="minorHAnsi"/>
          <w:sz w:val="24"/>
          <w:szCs w:val="24"/>
        </w:rPr>
        <w:t xml:space="preserve"> also envisages the incorporation of the armed forces, security agencies</w:t>
      </w:r>
      <w:r w:rsidR="00102E67">
        <w:rPr>
          <w:rStyle w:val="FootnoteReference"/>
          <w:rFonts w:cstheme="minorHAnsi"/>
          <w:sz w:val="24"/>
          <w:szCs w:val="24"/>
        </w:rPr>
        <w:footnoteReference w:id="431"/>
      </w:r>
      <w:r w:rsidR="007E7E56">
        <w:rPr>
          <w:rFonts w:cstheme="minorHAnsi"/>
          <w:sz w:val="24"/>
          <w:szCs w:val="24"/>
        </w:rPr>
        <w:t xml:space="preserve"> and custom authorities</w:t>
      </w:r>
      <w:r w:rsidR="00102E67">
        <w:rPr>
          <w:rStyle w:val="FootnoteReference"/>
          <w:rFonts w:cstheme="minorHAnsi"/>
          <w:sz w:val="24"/>
          <w:szCs w:val="24"/>
        </w:rPr>
        <w:footnoteReference w:id="432"/>
      </w:r>
      <w:r w:rsidR="007E7E56">
        <w:rPr>
          <w:rFonts w:cstheme="minorHAnsi"/>
          <w:sz w:val="24"/>
          <w:szCs w:val="24"/>
        </w:rPr>
        <w:t xml:space="preserve"> of South Ossetia into those of Russia</w:t>
      </w:r>
      <w:r w:rsidR="007E7E56">
        <w:rPr>
          <w:rStyle w:val="FootnoteReference"/>
          <w:rFonts w:cstheme="minorHAnsi"/>
          <w:sz w:val="24"/>
          <w:szCs w:val="24"/>
        </w:rPr>
        <w:footnoteReference w:id="433"/>
      </w:r>
      <w:r w:rsidR="002C5ECD">
        <w:rPr>
          <w:rFonts w:cstheme="minorHAnsi"/>
          <w:sz w:val="24"/>
          <w:szCs w:val="24"/>
        </w:rPr>
        <w:t xml:space="preserve"> whilst the agreement with Abkhazia is less straightforward, providing for ‘joint efforts in protecting the state border’</w:t>
      </w:r>
      <w:r w:rsidR="002C5ECD">
        <w:rPr>
          <w:rStyle w:val="FootnoteReference"/>
          <w:rFonts w:cstheme="minorHAnsi"/>
          <w:sz w:val="24"/>
          <w:szCs w:val="24"/>
        </w:rPr>
        <w:footnoteReference w:id="434"/>
      </w:r>
      <w:r w:rsidR="002C5ECD">
        <w:rPr>
          <w:rFonts w:cstheme="minorHAnsi"/>
          <w:sz w:val="24"/>
          <w:szCs w:val="24"/>
        </w:rPr>
        <w:t xml:space="preserve"> and a gradual standardisation and harmonisation.</w:t>
      </w:r>
      <w:r w:rsidR="002C5ECD">
        <w:rPr>
          <w:rStyle w:val="FootnoteReference"/>
          <w:rFonts w:cstheme="minorHAnsi"/>
          <w:sz w:val="24"/>
          <w:szCs w:val="24"/>
        </w:rPr>
        <w:footnoteReference w:id="435"/>
      </w:r>
      <w:r w:rsidR="00BD4C8D">
        <w:rPr>
          <w:rFonts w:cstheme="minorHAnsi"/>
          <w:sz w:val="24"/>
          <w:szCs w:val="24"/>
        </w:rPr>
        <w:t xml:space="preserve"> </w:t>
      </w:r>
      <w:r w:rsidR="00AE65D4">
        <w:rPr>
          <w:rFonts w:cstheme="minorHAnsi"/>
          <w:sz w:val="24"/>
          <w:szCs w:val="24"/>
        </w:rPr>
        <w:t xml:space="preserve">Abkhazia thus retains its own armed forces. </w:t>
      </w:r>
      <w:r w:rsidR="009F6BD6">
        <w:rPr>
          <w:rFonts w:cstheme="minorHAnsi"/>
          <w:sz w:val="24"/>
          <w:szCs w:val="24"/>
        </w:rPr>
        <w:t>T</w:t>
      </w:r>
      <w:r w:rsidR="00095768">
        <w:rPr>
          <w:rFonts w:cstheme="minorHAnsi"/>
          <w:sz w:val="24"/>
          <w:szCs w:val="24"/>
        </w:rPr>
        <w:t xml:space="preserve">he borders of </w:t>
      </w:r>
      <w:r w:rsidR="00095768" w:rsidRPr="00095768">
        <w:rPr>
          <w:rFonts w:cstheme="minorHAnsi"/>
          <w:sz w:val="24"/>
          <w:szCs w:val="24"/>
        </w:rPr>
        <w:t>Abkhazia</w:t>
      </w:r>
      <w:r w:rsidR="00095768" w:rsidRPr="00095768">
        <w:rPr>
          <w:rStyle w:val="FootnoteReference"/>
          <w:rFonts w:cstheme="minorHAnsi"/>
          <w:sz w:val="24"/>
          <w:szCs w:val="24"/>
        </w:rPr>
        <w:footnoteReference w:id="436"/>
      </w:r>
      <w:r w:rsidR="00095768" w:rsidRPr="00095768">
        <w:rPr>
          <w:rFonts w:cstheme="minorHAnsi"/>
          <w:sz w:val="24"/>
          <w:szCs w:val="24"/>
        </w:rPr>
        <w:t xml:space="preserve"> and</w:t>
      </w:r>
      <w:r w:rsidR="00095768">
        <w:rPr>
          <w:rFonts w:cstheme="minorHAnsi"/>
          <w:sz w:val="24"/>
          <w:szCs w:val="24"/>
        </w:rPr>
        <w:t xml:space="preserve"> South Ossetia</w:t>
      </w:r>
      <w:r w:rsidR="001F5239">
        <w:rPr>
          <w:rStyle w:val="FootnoteReference"/>
          <w:rFonts w:cstheme="minorHAnsi"/>
          <w:sz w:val="24"/>
          <w:szCs w:val="24"/>
        </w:rPr>
        <w:footnoteReference w:id="437"/>
      </w:r>
      <w:r w:rsidR="001F5239">
        <w:rPr>
          <w:rFonts w:cstheme="minorHAnsi"/>
          <w:sz w:val="24"/>
          <w:szCs w:val="24"/>
        </w:rPr>
        <w:t xml:space="preserve"> </w:t>
      </w:r>
      <w:r w:rsidR="00095768">
        <w:rPr>
          <w:rFonts w:cstheme="minorHAnsi"/>
          <w:sz w:val="24"/>
          <w:szCs w:val="24"/>
        </w:rPr>
        <w:t>are</w:t>
      </w:r>
      <w:r w:rsidR="009F6BD6">
        <w:rPr>
          <w:rFonts w:cstheme="minorHAnsi"/>
          <w:sz w:val="24"/>
          <w:szCs w:val="24"/>
        </w:rPr>
        <w:t xml:space="preserve"> also</w:t>
      </w:r>
      <w:r w:rsidR="00095768">
        <w:rPr>
          <w:rFonts w:cstheme="minorHAnsi"/>
          <w:sz w:val="24"/>
          <w:szCs w:val="24"/>
        </w:rPr>
        <w:t xml:space="preserve"> controlled by </w:t>
      </w:r>
      <w:r w:rsidR="00AE65D4">
        <w:rPr>
          <w:rFonts w:cstheme="minorHAnsi"/>
          <w:sz w:val="24"/>
          <w:szCs w:val="24"/>
        </w:rPr>
        <w:t xml:space="preserve">or with </w:t>
      </w:r>
      <w:r w:rsidR="00095768">
        <w:rPr>
          <w:rFonts w:cstheme="minorHAnsi"/>
          <w:sz w:val="24"/>
          <w:szCs w:val="24"/>
        </w:rPr>
        <w:t>Russia</w:t>
      </w:r>
      <w:r w:rsidR="009B2025">
        <w:rPr>
          <w:rStyle w:val="FootnoteReference"/>
          <w:rFonts w:cstheme="minorHAnsi"/>
          <w:sz w:val="24"/>
          <w:szCs w:val="24"/>
        </w:rPr>
        <w:footnoteReference w:id="438"/>
      </w:r>
      <w:r w:rsidR="001F5239">
        <w:rPr>
          <w:rFonts w:cstheme="minorHAnsi"/>
          <w:sz w:val="24"/>
          <w:szCs w:val="24"/>
        </w:rPr>
        <w:t xml:space="preserve"> </w:t>
      </w:r>
      <w:r w:rsidR="009F6BD6">
        <w:rPr>
          <w:rFonts w:cstheme="minorHAnsi"/>
          <w:sz w:val="24"/>
          <w:szCs w:val="24"/>
        </w:rPr>
        <w:t xml:space="preserve">and a policy of </w:t>
      </w:r>
      <w:proofErr w:type="spellStart"/>
      <w:r w:rsidR="009F6BD6">
        <w:rPr>
          <w:rFonts w:cstheme="minorHAnsi"/>
          <w:sz w:val="24"/>
          <w:szCs w:val="24"/>
        </w:rPr>
        <w:t>borderisation</w:t>
      </w:r>
      <w:proofErr w:type="spellEnd"/>
      <w:r w:rsidR="009F6BD6">
        <w:rPr>
          <w:rFonts w:cstheme="minorHAnsi"/>
          <w:sz w:val="24"/>
          <w:szCs w:val="24"/>
        </w:rPr>
        <w:t>, i.e., the installation of physical infrastructure along the administrative boundary line, has been implemented on the territories of Abkhazia and South Ossetia.</w:t>
      </w:r>
      <w:r w:rsidR="009F6BD6">
        <w:rPr>
          <w:rStyle w:val="FootnoteReference"/>
          <w:rFonts w:cstheme="minorHAnsi"/>
          <w:sz w:val="24"/>
          <w:szCs w:val="24"/>
        </w:rPr>
        <w:footnoteReference w:id="439"/>
      </w:r>
      <w:r w:rsidR="009F6BD6">
        <w:rPr>
          <w:rFonts w:cstheme="minorHAnsi"/>
          <w:sz w:val="24"/>
          <w:szCs w:val="24"/>
        </w:rPr>
        <w:t xml:space="preserve"> </w:t>
      </w:r>
      <w:r w:rsidR="00102E67">
        <w:rPr>
          <w:rFonts w:cstheme="minorHAnsi"/>
          <w:sz w:val="24"/>
          <w:szCs w:val="24"/>
        </w:rPr>
        <w:t>An armed attack on one of them is considered as an armed attack on the other.</w:t>
      </w:r>
      <w:r w:rsidR="00102E67">
        <w:rPr>
          <w:rStyle w:val="FootnoteReference"/>
          <w:rFonts w:cstheme="minorHAnsi"/>
          <w:sz w:val="24"/>
          <w:szCs w:val="24"/>
        </w:rPr>
        <w:footnoteReference w:id="440"/>
      </w:r>
      <w:r w:rsidR="00102E67">
        <w:rPr>
          <w:rFonts w:cstheme="minorHAnsi"/>
          <w:sz w:val="24"/>
          <w:szCs w:val="24"/>
        </w:rPr>
        <w:t xml:space="preserve"> </w:t>
      </w:r>
      <w:r w:rsidR="00D861FA">
        <w:rPr>
          <w:rFonts w:cstheme="minorHAnsi"/>
          <w:sz w:val="24"/>
          <w:szCs w:val="24"/>
        </w:rPr>
        <w:t xml:space="preserve">Based on </w:t>
      </w:r>
      <w:r w:rsidR="009F6BD6">
        <w:rPr>
          <w:rFonts w:cstheme="minorHAnsi"/>
          <w:sz w:val="24"/>
          <w:szCs w:val="24"/>
        </w:rPr>
        <w:t>the 2015</w:t>
      </w:r>
      <w:r w:rsidR="00D861FA">
        <w:rPr>
          <w:rFonts w:cstheme="minorHAnsi"/>
          <w:sz w:val="24"/>
          <w:szCs w:val="24"/>
        </w:rPr>
        <w:t xml:space="preserve"> treaty, Abkhazia </w:t>
      </w:r>
      <w:r w:rsidR="008263D5">
        <w:rPr>
          <w:rFonts w:cstheme="minorHAnsi"/>
          <w:sz w:val="24"/>
          <w:szCs w:val="24"/>
        </w:rPr>
        <w:t xml:space="preserve">also signed a programme on the formation </w:t>
      </w:r>
      <w:r w:rsidR="008263D5" w:rsidRPr="00CF665A">
        <w:rPr>
          <w:rFonts w:cstheme="minorHAnsi"/>
          <w:sz w:val="24"/>
          <w:szCs w:val="24"/>
        </w:rPr>
        <w:t>of common social and economic space with</w:t>
      </w:r>
      <w:r w:rsidR="008263D5">
        <w:rPr>
          <w:rFonts w:cstheme="minorHAnsi"/>
          <w:sz w:val="24"/>
          <w:szCs w:val="24"/>
        </w:rPr>
        <w:t xml:space="preserve"> Abkhazia in November 2020</w:t>
      </w:r>
      <w:r w:rsidR="00650A92">
        <w:rPr>
          <w:rFonts w:cstheme="minorHAnsi"/>
          <w:sz w:val="24"/>
          <w:szCs w:val="24"/>
        </w:rPr>
        <w:t>,</w:t>
      </w:r>
      <w:r w:rsidR="00406E99">
        <w:rPr>
          <w:rStyle w:val="FootnoteReference"/>
          <w:rFonts w:cstheme="minorHAnsi"/>
          <w:sz w:val="24"/>
          <w:szCs w:val="24"/>
        </w:rPr>
        <w:footnoteReference w:id="441"/>
      </w:r>
      <w:r w:rsidR="00650A92">
        <w:rPr>
          <w:rFonts w:cstheme="minorHAnsi"/>
          <w:sz w:val="24"/>
          <w:szCs w:val="24"/>
        </w:rPr>
        <w:t xml:space="preserve"> as it fa</w:t>
      </w:r>
      <w:r w:rsidR="006E45C9">
        <w:rPr>
          <w:rFonts w:cstheme="minorHAnsi"/>
          <w:sz w:val="24"/>
          <w:szCs w:val="24"/>
        </w:rPr>
        <w:t>ced economic hardship during the pandemic and thus dropped its lukewarm approach towards further integration with Russia.</w:t>
      </w:r>
      <w:r w:rsidR="006E45C9">
        <w:rPr>
          <w:rStyle w:val="FootnoteReference"/>
          <w:rFonts w:cstheme="minorHAnsi"/>
          <w:sz w:val="24"/>
          <w:szCs w:val="24"/>
        </w:rPr>
        <w:footnoteReference w:id="442"/>
      </w:r>
      <w:r w:rsidR="00095768">
        <w:rPr>
          <w:rFonts w:cstheme="minorHAnsi"/>
          <w:sz w:val="24"/>
          <w:szCs w:val="24"/>
        </w:rPr>
        <w:t xml:space="preserve"> </w:t>
      </w:r>
    </w:p>
    <w:p w14:paraId="589D3A87" w14:textId="0ED96E9F" w:rsidR="003C5281" w:rsidRDefault="00095768" w:rsidP="00255D12">
      <w:pPr>
        <w:spacing w:after="0" w:line="240" w:lineRule="auto"/>
        <w:jc w:val="both"/>
        <w:rPr>
          <w:rFonts w:cstheme="minorHAnsi"/>
          <w:sz w:val="24"/>
          <w:szCs w:val="24"/>
        </w:rPr>
      </w:pPr>
      <w:r>
        <w:rPr>
          <w:rFonts w:cstheme="minorHAnsi"/>
          <w:sz w:val="24"/>
          <w:szCs w:val="24"/>
        </w:rPr>
        <w:t xml:space="preserve">Article 3 of the Constitution of Abkhazia claims that it is subject to international law and can enter into relations with other States by way of treaties. It thus recognises no other authority but international law. </w:t>
      </w:r>
      <w:r w:rsidR="00FD6752">
        <w:rPr>
          <w:rFonts w:cstheme="minorHAnsi"/>
          <w:sz w:val="24"/>
          <w:szCs w:val="24"/>
        </w:rPr>
        <w:t>Article 10 of the Constitution of South Ossetia similarly refers to its right to enter into alliances with other States</w:t>
      </w:r>
      <w:r w:rsidR="005309B0">
        <w:rPr>
          <w:rFonts w:cstheme="minorHAnsi"/>
          <w:sz w:val="24"/>
          <w:szCs w:val="24"/>
        </w:rPr>
        <w:t xml:space="preserve"> and in Article 11(2) refers to South Ossetia’s relationship with other States being based on treaties and principles and norms of international law, thereby stressing its independence. </w:t>
      </w:r>
      <w:r w:rsidR="003C5281">
        <w:rPr>
          <w:rFonts w:cstheme="minorHAnsi"/>
          <w:sz w:val="24"/>
          <w:szCs w:val="24"/>
        </w:rPr>
        <w:t xml:space="preserve">With regard to independence in the matter of foreign policy, as mentioned before, their ability to conduct an independent foreign policy is limited because of the lack of recognition though South Ossetia has shown little </w:t>
      </w:r>
      <w:r w:rsidR="003C5281">
        <w:rPr>
          <w:rFonts w:cstheme="minorHAnsi"/>
          <w:sz w:val="24"/>
          <w:szCs w:val="24"/>
        </w:rPr>
        <w:lastRenderedPageBreak/>
        <w:t>interest in developing relations with States other than Russia.</w:t>
      </w:r>
      <w:r w:rsidR="003C5281">
        <w:rPr>
          <w:rStyle w:val="FootnoteReference"/>
          <w:rFonts w:cstheme="minorHAnsi"/>
          <w:sz w:val="24"/>
          <w:szCs w:val="24"/>
        </w:rPr>
        <w:footnoteReference w:id="443"/>
      </w:r>
      <w:r w:rsidR="003C5281">
        <w:rPr>
          <w:rFonts w:cstheme="minorHAnsi"/>
          <w:sz w:val="24"/>
          <w:szCs w:val="24"/>
        </w:rPr>
        <w:t xml:space="preserve"> </w:t>
      </w:r>
      <w:r w:rsidR="005E233D">
        <w:rPr>
          <w:rFonts w:cstheme="minorHAnsi"/>
          <w:sz w:val="24"/>
          <w:szCs w:val="24"/>
        </w:rPr>
        <w:t>Whereas</w:t>
      </w:r>
      <w:r w:rsidR="003C5281">
        <w:rPr>
          <w:rFonts w:cstheme="minorHAnsi"/>
          <w:sz w:val="24"/>
          <w:szCs w:val="24"/>
        </w:rPr>
        <w:t xml:space="preserve"> Article 11 of the </w:t>
      </w:r>
      <w:r w:rsidR="003C5281" w:rsidRPr="00704679">
        <w:rPr>
          <w:rFonts w:cstheme="minorHAnsi"/>
          <w:sz w:val="24"/>
          <w:szCs w:val="24"/>
        </w:rPr>
        <w:t>Constitution of South Ossetia spells out the principles upon which South Ossetia’s foreign policy is built</w:t>
      </w:r>
      <w:r w:rsidR="005E233D">
        <w:rPr>
          <w:rFonts w:cstheme="minorHAnsi"/>
          <w:sz w:val="24"/>
          <w:szCs w:val="24"/>
        </w:rPr>
        <w:t xml:space="preserve"> it is </w:t>
      </w:r>
      <w:r w:rsidR="000F1904">
        <w:rPr>
          <w:rFonts w:cstheme="minorHAnsi"/>
          <w:sz w:val="24"/>
          <w:szCs w:val="24"/>
        </w:rPr>
        <w:t>Abkhazia’s</w:t>
      </w:r>
      <w:r w:rsidR="005E233D">
        <w:rPr>
          <w:rFonts w:cstheme="minorHAnsi"/>
          <w:sz w:val="24"/>
          <w:szCs w:val="24"/>
        </w:rPr>
        <w:t xml:space="preserve"> formal act of independence of 1999 that refers to such principles</w:t>
      </w:r>
      <w:r w:rsidR="003C5281" w:rsidRPr="00704679">
        <w:rPr>
          <w:rFonts w:cstheme="minorHAnsi"/>
          <w:sz w:val="24"/>
          <w:szCs w:val="24"/>
        </w:rPr>
        <w:t>.</w:t>
      </w:r>
      <w:r w:rsidR="005E233D">
        <w:rPr>
          <w:rStyle w:val="FootnoteReference"/>
          <w:rFonts w:cstheme="minorHAnsi"/>
          <w:sz w:val="24"/>
          <w:szCs w:val="24"/>
        </w:rPr>
        <w:footnoteReference w:id="444"/>
      </w:r>
      <w:r w:rsidR="003C5281">
        <w:rPr>
          <w:rFonts w:cstheme="minorHAnsi"/>
          <w:sz w:val="24"/>
          <w:szCs w:val="24"/>
        </w:rPr>
        <w:t xml:space="preserve"> </w:t>
      </w:r>
      <w:r w:rsidR="005E233D">
        <w:rPr>
          <w:rFonts w:cstheme="minorHAnsi"/>
          <w:sz w:val="24"/>
          <w:szCs w:val="24"/>
        </w:rPr>
        <w:t>They include the classic principles of equality, non-interference in internal affairs, good neighbourhood, etc. Yet</w:t>
      </w:r>
      <w:r w:rsidR="003C5281">
        <w:rPr>
          <w:rFonts w:cstheme="minorHAnsi"/>
          <w:sz w:val="24"/>
          <w:szCs w:val="24"/>
        </w:rPr>
        <w:t xml:space="preserve">, the 2015 Treaty </w:t>
      </w:r>
      <w:r w:rsidR="007F3BD6">
        <w:rPr>
          <w:rFonts w:cstheme="minorHAnsi"/>
          <w:sz w:val="24"/>
          <w:szCs w:val="24"/>
        </w:rPr>
        <w:t>evidently</w:t>
      </w:r>
      <w:r w:rsidR="003C5281">
        <w:rPr>
          <w:rFonts w:cstheme="minorHAnsi"/>
          <w:sz w:val="24"/>
          <w:szCs w:val="24"/>
        </w:rPr>
        <w:t xml:space="preserve"> states that South Ossetia and Russia on the one hand and Abkhazia and Russia on the other are to ‘pursue a coordinated foreign policy’</w:t>
      </w:r>
      <w:r w:rsidR="005E233D">
        <w:rPr>
          <w:rFonts w:cstheme="minorHAnsi"/>
          <w:sz w:val="24"/>
          <w:szCs w:val="24"/>
        </w:rPr>
        <w:t>,</w:t>
      </w:r>
      <w:r w:rsidR="003C5281">
        <w:rPr>
          <w:rStyle w:val="FootnoteReference"/>
          <w:rFonts w:cstheme="minorHAnsi"/>
          <w:sz w:val="24"/>
          <w:szCs w:val="24"/>
        </w:rPr>
        <w:footnoteReference w:id="445"/>
      </w:r>
      <w:r w:rsidR="005E233D">
        <w:rPr>
          <w:rFonts w:cstheme="minorHAnsi"/>
          <w:sz w:val="24"/>
          <w:szCs w:val="24"/>
        </w:rPr>
        <w:t xml:space="preserve"> thereby leaving very little room for an independent foreign policy.</w:t>
      </w:r>
    </w:p>
    <w:p w14:paraId="4CB47AAB" w14:textId="21D28099" w:rsidR="003C5281" w:rsidRDefault="00FD6752" w:rsidP="003C0909">
      <w:pPr>
        <w:spacing w:after="0" w:line="240" w:lineRule="auto"/>
        <w:jc w:val="both"/>
        <w:rPr>
          <w:sz w:val="24"/>
          <w:szCs w:val="24"/>
        </w:rPr>
      </w:pPr>
      <w:r>
        <w:rPr>
          <w:rFonts w:cstheme="minorHAnsi"/>
          <w:sz w:val="24"/>
          <w:szCs w:val="24"/>
        </w:rPr>
        <w:t xml:space="preserve">An interesting feature of the Constitution of South Ossetia is its reference </w:t>
      </w:r>
      <w:r w:rsidRPr="00FD6752">
        <w:rPr>
          <w:sz w:val="24"/>
          <w:szCs w:val="24"/>
        </w:rPr>
        <w:t>to its relations with the Republic of North Ossetia which</w:t>
      </w:r>
      <w:r>
        <w:rPr>
          <w:sz w:val="24"/>
          <w:szCs w:val="24"/>
        </w:rPr>
        <w:t>,</w:t>
      </w:r>
      <w:r w:rsidRPr="00FD6752">
        <w:rPr>
          <w:sz w:val="24"/>
          <w:szCs w:val="24"/>
        </w:rPr>
        <w:t xml:space="preserve"> it declares</w:t>
      </w:r>
      <w:r>
        <w:rPr>
          <w:sz w:val="24"/>
          <w:szCs w:val="24"/>
        </w:rPr>
        <w:t>,</w:t>
      </w:r>
      <w:r w:rsidRPr="00FD6752">
        <w:rPr>
          <w:sz w:val="24"/>
          <w:szCs w:val="24"/>
        </w:rPr>
        <w:t xml:space="preserve"> is built ‘on the basis of ethnic, national, historical and territorial unity, socio-economic and cultural integration.’</w:t>
      </w:r>
      <w:r w:rsidRPr="00FD6752">
        <w:rPr>
          <w:sz w:val="24"/>
          <w:szCs w:val="24"/>
          <w:vertAlign w:val="superscript"/>
        </w:rPr>
        <w:footnoteReference w:id="446"/>
      </w:r>
      <w:r>
        <w:rPr>
          <w:sz w:val="24"/>
          <w:szCs w:val="24"/>
        </w:rPr>
        <w:t xml:space="preserve"> It should be remembered that North Ossetia is part of Russia and that the idea of an ‘integration’ mentioned in the constitution no doubt conveys the impression that, in the long run, the aim is </w:t>
      </w:r>
      <w:r w:rsidR="005309B0">
        <w:rPr>
          <w:sz w:val="24"/>
          <w:szCs w:val="24"/>
        </w:rPr>
        <w:t xml:space="preserve">its </w:t>
      </w:r>
      <w:r>
        <w:rPr>
          <w:sz w:val="24"/>
          <w:szCs w:val="24"/>
        </w:rPr>
        <w:t xml:space="preserve">incorporation into Russia. </w:t>
      </w:r>
      <w:r w:rsidR="003C0909">
        <w:rPr>
          <w:sz w:val="24"/>
          <w:szCs w:val="24"/>
        </w:rPr>
        <w:t xml:space="preserve">The Treaty signed between Russia and South Ossetia further supports this view. First, in contrast to the one with Abkhazia whose title contains ‘alliance and strategic partnership’, the one with South Ossetia refers to ‘alliance and </w:t>
      </w:r>
      <w:r w:rsidR="003C0909" w:rsidRPr="003C0909">
        <w:rPr>
          <w:i/>
          <w:iCs/>
          <w:sz w:val="24"/>
          <w:szCs w:val="24"/>
        </w:rPr>
        <w:t>integration</w:t>
      </w:r>
      <w:r w:rsidR="003C0909">
        <w:rPr>
          <w:sz w:val="24"/>
          <w:szCs w:val="24"/>
        </w:rPr>
        <w:t>’. Second, the treaty with South Ossetia contains 15 straightforward clauses and is valid for 25 years, automatically extended for successive ten-year periods</w:t>
      </w:r>
      <w:r w:rsidR="003C0909">
        <w:rPr>
          <w:rStyle w:val="FootnoteReference"/>
          <w:sz w:val="24"/>
          <w:szCs w:val="24"/>
        </w:rPr>
        <w:footnoteReference w:id="447"/>
      </w:r>
      <w:r w:rsidR="003C0909">
        <w:rPr>
          <w:sz w:val="24"/>
          <w:szCs w:val="24"/>
        </w:rPr>
        <w:t xml:space="preserve"> whereas the one with Abkhazia is more elaborate with 24 provisions and </w:t>
      </w:r>
      <w:r w:rsidR="00AE65D4">
        <w:rPr>
          <w:sz w:val="24"/>
          <w:szCs w:val="24"/>
        </w:rPr>
        <w:t>is</w:t>
      </w:r>
      <w:r w:rsidR="003C0909">
        <w:rPr>
          <w:sz w:val="24"/>
          <w:szCs w:val="24"/>
        </w:rPr>
        <w:t xml:space="preserve"> concluded for 10 </w:t>
      </w:r>
      <w:r w:rsidR="00AE65D4">
        <w:rPr>
          <w:sz w:val="24"/>
          <w:szCs w:val="24"/>
        </w:rPr>
        <w:t xml:space="preserve">years, automatically renewed for successive </w:t>
      </w:r>
      <w:r w:rsidR="009B2025">
        <w:rPr>
          <w:sz w:val="24"/>
          <w:szCs w:val="24"/>
        </w:rPr>
        <w:t>five-year</w:t>
      </w:r>
      <w:r w:rsidR="00AE65D4">
        <w:rPr>
          <w:sz w:val="24"/>
          <w:szCs w:val="24"/>
        </w:rPr>
        <w:t xml:space="preserve"> periods.</w:t>
      </w:r>
      <w:r w:rsidR="00AE65D4">
        <w:rPr>
          <w:rStyle w:val="FootnoteReference"/>
          <w:sz w:val="24"/>
          <w:szCs w:val="24"/>
        </w:rPr>
        <w:footnoteReference w:id="448"/>
      </w:r>
      <w:r w:rsidR="00AE65D4">
        <w:rPr>
          <w:sz w:val="24"/>
          <w:szCs w:val="24"/>
        </w:rPr>
        <w:t xml:space="preserve"> </w:t>
      </w:r>
      <w:r w:rsidR="000F1904">
        <w:rPr>
          <w:sz w:val="24"/>
          <w:szCs w:val="24"/>
        </w:rPr>
        <w:t>As South Ossetia announced a referendum to join Russia in 2022 (which was later cancelled), Abkhazia, on the other hand, declared that it had no plans to join Russia.</w:t>
      </w:r>
      <w:r w:rsidR="000F1904">
        <w:rPr>
          <w:rStyle w:val="FootnoteReference"/>
          <w:sz w:val="24"/>
          <w:szCs w:val="24"/>
        </w:rPr>
        <w:footnoteReference w:id="449"/>
      </w:r>
      <w:r w:rsidR="00312EA7">
        <w:rPr>
          <w:sz w:val="24"/>
          <w:szCs w:val="24"/>
        </w:rPr>
        <w:t xml:space="preserve"> The population of the latter has always been divided on whether it ought to be independent or become a part of Russia.</w:t>
      </w:r>
      <w:r w:rsidR="00312EA7">
        <w:rPr>
          <w:rStyle w:val="FootnoteReference"/>
          <w:sz w:val="24"/>
          <w:szCs w:val="24"/>
        </w:rPr>
        <w:footnoteReference w:id="450"/>
      </w:r>
    </w:p>
    <w:p w14:paraId="4D27C576" w14:textId="14819670" w:rsidR="00E45146" w:rsidRDefault="005309B0" w:rsidP="00255D12">
      <w:pPr>
        <w:spacing w:after="0" w:line="240" w:lineRule="auto"/>
        <w:jc w:val="both"/>
        <w:rPr>
          <w:rFonts w:cstheme="minorHAnsi"/>
          <w:sz w:val="24"/>
          <w:szCs w:val="24"/>
        </w:rPr>
      </w:pPr>
      <w:r>
        <w:rPr>
          <w:sz w:val="24"/>
          <w:szCs w:val="24"/>
        </w:rPr>
        <w:t>Although both States grant nationality to the inhabitants, the overwhelming majority of the population also holds Russian nationality</w:t>
      </w:r>
      <w:r w:rsidR="00102E67">
        <w:rPr>
          <w:sz w:val="24"/>
          <w:szCs w:val="24"/>
        </w:rPr>
        <w:t xml:space="preserve"> and the 2015 Treaty has simplified the procedure for acquiring Russian citizenship</w:t>
      </w:r>
      <w:r>
        <w:rPr>
          <w:sz w:val="24"/>
          <w:szCs w:val="24"/>
        </w:rPr>
        <w:t>.</w:t>
      </w:r>
      <w:r w:rsidR="00102E67">
        <w:rPr>
          <w:rStyle w:val="FootnoteReference"/>
          <w:sz w:val="24"/>
          <w:szCs w:val="24"/>
        </w:rPr>
        <w:footnoteReference w:id="451"/>
      </w:r>
      <w:r>
        <w:rPr>
          <w:sz w:val="24"/>
          <w:szCs w:val="24"/>
        </w:rPr>
        <w:t xml:space="preserve"> </w:t>
      </w:r>
      <w:r w:rsidR="00B7013C">
        <w:rPr>
          <w:sz w:val="24"/>
          <w:szCs w:val="24"/>
        </w:rPr>
        <w:t>Whilst this means that Russian citizens are entitled to Russian medical insurance,</w:t>
      </w:r>
      <w:r w:rsidR="00B7013C">
        <w:rPr>
          <w:rStyle w:val="FootnoteReference"/>
          <w:sz w:val="24"/>
          <w:szCs w:val="24"/>
        </w:rPr>
        <w:footnoteReference w:id="452"/>
      </w:r>
      <w:r w:rsidR="00B7013C">
        <w:rPr>
          <w:sz w:val="24"/>
          <w:szCs w:val="24"/>
        </w:rPr>
        <w:t xml:space="preserve"> health care,</w:t>
      </w:r>
      <w:r w:rsidR="00B7013C">
        <w:rPr>
          <w:rStyle w:val="FootnoteReference"/>
          <w:sz w:val="24"/>
          <w:szCs w:val="24"/>
        </w:rPr>
        <w:footnoteReference w:id="453"/>
      </w:r>
      <w:r w:rsidR="00B7013C">
        <w:rPr>
          <w:sz w:val="24"/>
          <w:szCs w:val="24"/>
        </w:rPr>
        <w:t xml:space="preserve"> pensions,</w:t>
      </w:r>
      <w:r w:rsidR="00B7013C">
        <w:rPr>
          <w:rStyle w:val="FootnoteReference"/>
          <w:sz w:val="24"/>
          <w:szCs w:val="24"/>
        </w:rPr>
        <w:footnoteReference w:id="454"/>
      </w:r>
      <w:r w:rsidR="00B7013C">
        <w:rPr>
          <w:sz w:val="24"/>
          <w:szCs w:val="24"/>
        </w:rPr>
        <w:t xml:space="preserve"> etc.</w:t>
      </w:r>
      <w:r w:rsidR="004C7069">
        <w:rPr>
          <w:rStyle w:val="FootnoteReference"/>
          <w:sz w:val="24"/>
          <w:szCs w:val="24"/>
        </w:rPr>
        <w:footnoteReference w:id="455"/>
      </w:r>
      <w:r w:rsidR="00D85B9F">
        <w:rPr>
          <w:sz w:val="24"/>
          <w:szCs w:val="24"/>
        </w:rPr>
        <w:t xml:space="preserve">, this </w:t>
      </w:r>
      <w:proofErr w:type="spellStart"/>
      <w:r w:rsidR="00D85B9F">
        <w:rPr>
          <w:sz w:val="24"/>
          <w:szCs w:val="24"/>
        </w:rPr>
        <w:t>passportisation</w:t>
      </w:r>
      <w:proofErr w:type="spellEnd"/>
      <w:r w:rsidR="00D85B9F">
        <w:rPr>
          <w:sz w:val="24"/>
          <w:szCs w:val="24"/>
        </w:rPr>
        <w:t xml:space="preserve"> policy</w:t>
      </w:r>
      <w:r w:rsidR="00D85B9F">
        <w:rPr>
          <w:rStyle w:val="FootnoteReference"/>
          <w:sz w:val="24"/>
          <w:szCs w:val="24"/>
        </w:rPr>
        <w:footnoteReference w:id="456"/>
      </w:r>
      <w:r w:rsidR="00B7013C">
        <w:rPr>
          <w:sz w:val="24"/>
          <w:szCs w:val="24"/>
        </w:rPr>
        <w:t xml:space="preserve"> has also</w:t>
      </w:r>
      <w:r>
        <w:rPr>
          <w:sz w:val="24"/>
          <w:szCs w:val="24"/>
        </w:rPr>
        <w:t xml:space="preserve"> given Russia the opportunity and the legal authority to claim that in intervening in these </w:t>
      </w:r>
      <w:r>
        <w:rPr>
          <w:i/>
          <w:iCs/>
          <w:sz w:val="24"/>
          <w:szCs w:val="24"/>
        </w:rPr>
        <w:t xml:space="preserve">de facto </w:t>
      </w:r>
      <w:r>
        <w:rPr>
          <w:sz w:val="24"/>
          <w:szCs w:val="24"/>
        </w:rPr>
        <w:t xml:space="preserve">States against Georgia it was protecting its own nationals. Russia’s claims have </w:t>
      </w:r>
      <w:r w:rsidR="00CF665A">
        <w:rPr>
          <w:sz w:val="24"/>
          <w:szCs w:val="24"/>
        </w:rPr>
        <w:t>nevertheless</w:t>
      </w:r>
      <w:r>
        <w:rPr>
          <w:sz w:val="24"/>
          <w:szCs w:val="24"/>
        </w:rPr>
        <w:t xml:space="preserve"> been dismissed by scholars as unsound.</w:t>
      </w:r>
      <w:r>
        <w:rPr>
          <w:rStyle w:val="FootnoteReference"/>
          <w:sz w:val="24"/>
          <w:szCs w:val="24"/>
        </w:rPr>
        <w:footnoteReference w:id="457"/>
      </w:r>
      <w:r>
        <w:rPr>
          <w:sz w:val="24"/>
          <w:szCs w:val="24"/>
        </w:rPr>
        <w:t xml:space="preserve"> </w:t>
      </w:r>
      <w:r w:rsidR="00255D12">
        <w:rPr>
          <w:rFonts w:cstheme="minorHAnsi"/>
          <w:sz w:val="24"/>
          <w:szCs w:val="24"/>
        </w:rPr>
        <w:t xml:space="preserve">As </w:t>
      </w:r>
      <w:r w:rsidR="00255D12">
        <w:rPr>
          <w:rFonts w:cstheme="minorHAnsi"/>
          <w:i/>
          <w:iCs/>
          <w:sz w:val="24"/>
          <w:szCs w:val="24"/>
        </w:rPr>
        <w:t xml:space="preserve">German </w:t>
      </w:r>
      <w:r w:rsidR="00255D12">
        <w:rPr>
          <w:rFonts w:cstheme="minorHAnsi"/>
          <w:sz w:val="24"/>
          <w:szCs w:val="24"/>
        </w:rPr>
        <w:t>concludes, ‘[w]</w:t>
      </w:r>
      <w:proofErr w:type="spellStart"/>
      <w:r w:rsidR="00255D12">
        <w:rPr>
          <w:rFonts w:cstheme="minorHAnsi"/>
          <w:sz w:val="24"/>
          <w:szCs w:val="24"/>
        </w:rPr>
        <w:t>ithout</w:t>
      </w:r>
      <w:proofErr w:type="spellEnd"/>
      <w:r w:rsidR="00255D12">
        <w:rPr>
          <w:rFonts w:cstheme="minorHAnsi"/>
          <w:sz w:val="24"/>
          <w:szCs w:val="24"/>
        </w:rPr>
        <w:t xml:space="preserve"> Russian patronage, South Ossetia is not a viable state and would not survive, unable to function as a state entity’.</w:t>
      </w:r>
      <w:r w:rsidR="00255D12">
        <w:rPr>
          <w:rStyle w:val="FootnoteReference"/>
          <w:rFonts w:cstheme="minorHAnsi"/>
          <w:sz w:val="24"/>
          <w:szCs w:val="24"/>
        </w:rPr>
        <w:footnoteReference w:id="458"/>
      </w:r>
      <w:r w:rsidR="00255D12">
        <w:rPr>
          <w:rFonts w:cstheme="minorHAnsi"/>
          <w:sz w:val="24"/>
          <w:szCs w:val="24"/>
        </w:rPr>
        <w:t xml:space="preserve"> The same </w:t>
      </w:r>
      <w:r w:rsidR="002C5ECD">
        <w:rPr>
          <w:rFonts w:cstheme="minorHAnsi"/>
          <w:sz w:val="24"/>
          <w:szCs w:val="24"/>
        </w:rPr>
        <w:t>observation can be made</w:t>
      </w:r>
      <w:r w:rsidR="00255D12">
        <w:rPr>
          <w:rFonts w:cstheme="minorHAnsi"/>
          <w:sz w:val="24"/>
          <w:szCs w:val="24"/>
        </w:rPr>
        <w:t xml:space="preserve"> of Abkhazia</w:t>
      </w:r>
      <w:r w:rsidR="0020162F">
        <w:rPr>
          <w:rFonts w:cstheme="minorHAnsi"/>
          <w:sz w:val="24"/>
          <w:szCs w:val="24"/>
        </w:rPr>
        <w:t xml:space="preserve"> though to a </w:t>
      </w:r>
      <w:r w:rsidR="0020162F">
        <w:rPr>
          <w:rFonts w:cstheme="minorHAnsi"/>
          <w:sz w:val="24"/>
          <w:szCs w:val="24"/>
        </w:rPr>
        <w:lastRenderedPageBreak/>
        <w:t>lesser extent</w:t>
      </w:r>
      <w:r w:rsidR="00255D12">
        <w:rPr>
          <w:rFonts w:cstheme="minorHAnsi"/>
          <w:sz w:val="24"/>
          <w:szCs w:val="24"/>
        </w:rPr>
        <w:t>.</w:t>
      </w:r>
      <w:r w:rsidR="00225FB0">
        <w:rPr>
          <w:rStyle w:val="FootnoteReference"/>
          <w:rFonts w:cstheme="minorHAnsi"/>
          <w:sz w:val="24"/>
          <w:szCs w:val="24"/>
        </w:rPr>
        <w:footnoteReference w:id="459"/>
      </w:r>
      <w:r w:rsidR="00255D12">
        <w:rPr>
          <w:rFonts w:cstheme="minorHAnsi"/>
          <w:sz w:val="24"/>
          <w:szCs w:val="24"/>
        </w:rPr>
        <w:t xml:space="preserve"> </w:t>
      </w:r>
      <w:r w:rsidR="00011A8A">
        <w:rPr>
          <w:rFonts w:cstheme="minorHAnsi"/>
          <w:sz w:val="24"/>
          <w:szCs w:val="24"/>
        </w:rPr>
        <w:t>In 2008</w:t>
      </w:r>
      <w:r w:rsidR="005733B4">
        <w:rPr>
          <w:rFonts w:cstheme="minorHAnsi"/>
          <w:sz w:val="24"/>
          <w:szCs w:val="24"/>
        </w:rPr>
        <w:t>,</w:t>
      </w:r>
      <w:r w:rsidR="00011A8A">
        <w:rPr>
          <w:rFonts w:cstheme="minorHAnsi"/>
          <w:sz w:val="24"/>
          <w:szCs w:val="24"/>
        </w:rPr>
        <w:t xml:space="preserve"> the </w:t>
      </w:r>
      <w:proofErr w:type="spellStart"/>
      <w:r w:rsidR="00525391">
        <w:rPr>
          <w:rFonts w:cstheme="minorHAnsi"/>
          <w:sz w:val="24"/>
          <w:szCs w:val="24"/>
        </w:rPr>
        <w:t>Tagliavini</w:t>
      </w:r>
      <w:proofErr w:type="spellEnd"/>
      <w:r w:rsidR="00011A8A">
        <w:rPr>
          <w:rFonts w:cstheme="minorHAnsi"/>
          <w:sz w:val="24"/>
          <w:szCs w:val="24"/>
        </w:rPr>
        <w:t xml:space="preserve"> report referred to ‘creeping annexation’</w:t>
      </w:r>
      <w:r w:rsidR="00011A8A">
        <w:rPr>
          <w:rStyle w:val="FootnoteReference"/>
          <w:rFonts w:cstheme="minorHAnsi"/>
          <w:sz w:val="24"/>
          <w:szCs w:val="24"/>
        </w:rPr>
        <w:footnoteReference w:id="460"/>
      </w:r>
      <w:r w:rsidR="00225FB0">
        <w:rPr>
          <w:rFonts w:cstheme="minorHAnsi"/>
          <w:sz w:val="24"/>
          <w:szCs w:val="24"/>
        </w:rPr>
        <w:t xml:space="preserve"> </w:t>
      </w:r>
      <w:r w:rsidR="00011A8A">
        <w:rPr>
          <w:rFonts w:cstheme="minorHAnsi"/>
          <w:sz w:val="24"/>
          <w:szCs w:val="24"/>
        </w:rPr>
        <w:t>but it was undou</w:t>
      </w:r>
      <w:r w:rsidR="009E582B">
        <w:rPr>
          <w:rFonts w:cstheme="minorHAnsi"/>
          <w:sz w:val="24"/>
          <w:szCs w:val="24"/>
        </w:rPr>
        <w:t>btedly</w:t>
      </w:r>
      <w:r w:rsidR="00011A8A">
        <w:rPr>
          <w:rFonts w:cstheme="minorHAnsi"/>
          <w:sz w:val="24"/>
          <w:szCs w:val="24"/>
        </w:rPr>
        <w:t xml:space="preserve"> t</w:t>
      </w:r>
      <w:r w:rsidR="009E582B">
        <w:rPr>
          <w:rFonts w:cstheme="minorHAnsi"/>
          <w:sz w:val="24"/>
          <w:szCs w:val="24"/>
        </w:rPr>
        <w:t xml:space="preserve">he 2008 armed conflict and </w:t>
      </w:r>
      <w:r w:rsidR="00011A8A">
        <w:rPr>
          <w:rFonts w:cstheme="minorHAnsi"/>
          <w:sz w:val="24"/>
          <w:szCs w:val="24"/>
        </w:rPr>
        <w:t>the ensuing</w:t>
      </w:r>
      <w:r w:rsidR="009E582B">
        <w:rPr>
          <w:rFonts w:cstheme="minorHAnsi"/>
          <w:sz w:val="24"/>
          <w:szCs w:val="24"/>
        </w:rPr>
        <w:t xml:space="preserve"> recognition by Russia that decreased</w:t>
      </w:r>
      <w:r w:rsidR="00011A8A">
        <w:rPr>
          <w:rFonts w:cstheme="minorHAnsi"/>
          <w:sz w:val="24"/>
          <w:szCs w:val="24"/>
        </w:rPr>
        <w:t xml:space="preserve"> South Ossetia’s and Abkhazia’s</w:t>
      </w:r>
      <w:r w:rsidR="009E582B">
        <w:rPr>
          <w:rFonts w:cstheme="minorHAnsi"/>
          <w:sz w:val="24"/>
          <w:szCs w:val="24"/>
        </w:rPr>
        <w:t xml:space="preserve"> claim</w:t>
      </w:r>
      <w:r w:rsidR="005733B4">
        <w:rPr>
          <w:rFonts w:cstheme="minorHAnsi"/>
          <w:sz w:val="24"/>
          <w:szCs w:val="24"/>
        </w:rPr>
        <w:t>s</w:t>
      </w:r>
      <w:r w:rsidR="009E582B">
        <w:rPr>
          <w:rFonts w:cstheme="minorHAnsi"/>
          <w:sz w:val="24"/>
          <w:szCs w:val="24"/>
        </w:rPr>
        <w:t xml:space="preserve"> of independence and thus</w:t>
      </w:r>
      <w:r w:rsidR="005733B4">
        <w:rPr>
          <w:rFonts w:cstheme="minorHAnsi"/>
          <w:sz w:val="24"/>
          <w:szCs w:val="24"/>
        </w:rPr>
        <w:t xml:space="preserve"> their claims to</w:t>
      </w:r>
      <w:r w:rsidR="009E582B">
        <w:rPr>
          <w:rFonts w:cstheme="minorHAnsi"/>
          <w:sz w:val="24"/>
          <w:szCs w:val="24"/>
        </w:rPr>
        <w:t xml:space="preserve"> statehood. </w:t>
      </w:r>
      <w:r w:rsidR="00FC3FA1">
        <w:rPr>
          <w:rFonts w:cstheme="minorHAnsi"/>
          <w:sz w:val="24"/>
          <w:szCs w:val="24"/>
        </w:rPr>
        <w:t>It is quite telling that two Russian scholars state that ‘many officials in Moscow started to treat the republics as two additional constitutional territories of the Federation.’</w:t>
      </w:r>
      <w:r w:rsidR="00FC3FA1">
        <w:rPr>
          <w:rStyle w:val="FootnoteReference"/>
          <w:rFonts w:cstheme="minorHAnsi"/>
          <w:sz w:val="24"/>
          <w:szCs w:val="24"/>
        </w:rPr>
        <w:footnoteReference w:id="461"/>
      </w:r>
    </w:p>
    <w:p w14:paraId="1A8DEF69" w14:textId="52263FC4" w:rsidR="0031573A" w:rsidRDefault="0031573A" w:rsidP="00255D12">
      <w:pPr>
        <w:spacing w:after="0" w:line="240" w:lineRule="auto"/>
        <w:jc w:val="both"/>
        <w:rPr>
          <w:rFonts w:cstheme="minorHAnsi"/>
          <w:sz w:val="24"/>
          <w:szCs w:val="24"/>
        </w:rPr>
      </w:pPr>
    </w:p>
    <w:p w14:paraId="2069365D" w14:textId="096F6D6C" w:rsidR="0031573A" w:rsidRPr="00255D12" w:rsidRDefault="00706665" w:rsidP="0031573A">
      <w:pPr>
        <w:pStyle w:val="Heading4"/>
      </w:pPr>
      <w:r>
        <w:t xml:space="preserve">4.3.2. </w:t>
      </w:r>
      <w:r w:rsidR="0031573A">
        <w:t>Transnistria</w:t>
      </w:r>
    </w:p>
    <w:p w14:paraId="70474139" w14:textId="2EA2C38C" w:rsidR="004E360B" w:rsidRDefault="00A00ECD" w:rsidP="0084193D">
      <w:pPr>
        <w:spacing w:after="0" w:line="240" w:lineRule="auto"/>
        <w:jc w:val="both"/>
        <w:rPr>
          <w:color w:val="000000"/>
          <w:sz w:val="24"/>
          <w:szCs w:val="24"/>
          <w:shd w:val="clear" w:color="auto" w:fill="FFFFFF"/>
        </w:rPr>
      </w:pPr>
      <w:r w:rsidRPr="00704679">
        <w:rPr>
          <w:rFonts w:cstheme="minorHAnsi"/>
          <w:sz w:val="24"/>
          <w:szCs w:val="24"/>
        </w:rPr>
        <w:t xml:space="preserve">Transnistria is different from the previous </w:t>
      </w:r>
      <w:r w:rsidRPr="00704679">
        <w:rPr>
          <w:rFonts w:cstheme="minorHAnsi"/>
          <w:i/>
          <w:iCs/>
          <w:sz w:val="24"/>
          <w:szCs w:val="24"/>
        </w:rPr>
        <w:t xml:space="preserve">de facto </w:t>
      </w:r>
      <w:r w:rsidRPr="00704679">
        <w:rPr>
          <w:rFonts w:cstheme="minorHAnsi"/>
          <w:sz w:val="24"/>
          <w:szCs w:val="24"/>
        </w:rPr>
        <w:t xml:space="preserve">States </w:t>
      </w:r>
      <w:r w:rsidR="00704679" w:rsidRPr="00704679">
        <w:rPr>
          <w:rFonts w:cstheme="minorHAnsi"/>
          <w:sz w:val="24"/>
          <w:szCs w:val="24"/>
        </w:rPr>
        <w:t>though it shares common features</w:t>
      </w:r>
      <w:r w:rsidRPr="00704679">
        <w:rPr>
          <w:rFonts w:cstheme="minorHAnsi"/>
          <w:sz w:val="24"/>
          <w:szCs w:val="24"/>
        </w:rPr>
        <w:t xml:space="preserve">. </w:t>
      </w:r>
      <w:r w:rsidR="00704679" w:rsidRPr="00704679">
        <w:rPr>
          <w:rFonts w:cstheme="minorHAnsi"/>
          <w:sz w:val="24"/>
          <w:szCs w:val="24"/>
        </w:rPr>
        <w:t>Under Article 1 of its Constitution, the people are ‘the bearer of sovereignty and the only source of power’. The political governance system appears independent as the entity has its own institutions and laws</w:t>
      </w:r>
      <w:r w:rsidR="00FE2750">
        <w:rPr>
          <w:rFonts w:cstheme="minorHAnsi"/>
          <w:sz w:val="24"/>
          <w:szCs w:val="24"/>
        </w:rPr>
        <w:t xml:space="preserve"> but it is </w:t>
      </w:r>
      <w:r w:rsidR="000D5549">
        <w:rPr>
          <w:rFonts w:cstheme="minorHAnsi"/>
          <w:sz w:val="24"/>
          <w:szCs w:val="24"/>
        </w:rPr>
        <w:t>corrupt and there is no meaningful opposition</w:t>
      </w:r>
      <w:r w:rsidR="00704679" w:rsidRPr="00704679">
        <w:rPr>
          <w:rFonts w:cstheme="minorHAnsi"/>
          <w:sz w:val="24"/>
          <w:szCs w:val="24"/>
        </w:rPr>
        <w:t>.</w:t>
      </w:r>
      <w:r w:rsidR="000D5549">
        <w:rPr>
          <w:rStyle w:val="FootnoteReference"/>
          <w:rFonts w:cstheme="minorHAnsi"/>
          <w:sz w:val="24"/>
          <w:szCs w:val="24"/>
        </w:rPr>
        <w:footnoteReference w:id="462"/>
      </w:r>
      <w:r w:rsidR="00704679" w:rsidRPr="00704679">
        <w:rPr>
          <w:rFonts w:cstheme="minorHAnsi"/>
          <w:sz w:val="24"/>
          <w:szCs w:val="24"/>
        </w:rPr>
        <w:t xml:space="preserve"> Elections are run periodically and there are no reports of Russian meddling</w:t>
      </w:r>
      <w:r w:rsidR="000D5549">
        <w:rPr>
          <w:rFonts w:cstheme="minorHAnsi"/>
          <w:sz w:val="24"/>
          <w:szCs w:val="24"/>
        </w:rPr>
        <w:t xml:space="preserve"> but given that the entire political elite supports Russia’s role as a patron-state,</w:t>
      </w:r>
      <w:r w:rsidR="000D5549">
        <w:rPr>
          <w:rStyle w:val="FootnoteReference"/>
          <w:rFonts w:cstheme="minorHAnsi"/>
          <w:sz w:val="24"/>
          <w:szCs w:val="24"/>
        </w:rPr>
        <w:footnoteReference w:id="463"/>
      </w:r>
      <w:r w:rsidR="000D5549">
        <w:rPr>
          <w:rFonts w:cstheme="minorHAnsi"/>
          <w:sz w:val="24"/>
          <w:szCs w:val="24"/>
        </w:rPr>
        <w:t xml:space="preserve"> no such interference is necessary. Moreover, </w:t>
      </w:r>
      <w:r w:rsidR="00573A2F">
        <w:rPr>
          <w:rFonts w:cstheme="minorHAnsi"/>
          <w:sz w:val="24"/>
          <w:szCs w:val="24"/>
        </w:rPr>
        <w:t>some of the ministerial posts were held by former KGB officials,</w:t>
      </w:r>
      <w:r w:rsidR="00573A2F">
        <w:rPr>
          <w:rStyle w:val="FootnoteReference"/>
          <w:rFonts w:cstheme="minorHAnsi"/>
          <w:sz w:val="24"/>
          <w:szCs w:val="24"/>
        </w:rPr>
        <w:footnoteReference w:id="464"/>
      </w:r>
      <w:r w:rsidR="00573A2F">
        <w:rPr>
          <w:rFonts w:cstheme="minorHAnsi"/>
          <w:sz w:val="24"/>
          <w:szCs w:val="24"/>
        </w:rPr>
        <w:t xml:space="preserve"> thus questioning the independence of the political elite. </w:t>
      </w:r>
      <w:r w:rsidR="00150399">
        <w:rPr>
          <w:rFonts w:cstheme="minorHAnsi"/>
          <w:sz w:val="24"/>
          <w:szCs w:val="24"/>
        </w:rPr>
        <w:t xml:space="preserve">It should </w:t>
      </w:r>
      <w:r w:rsidR="00573A2F">
        <w:rPr>
          <w:rFonts w:cstheme="minorHAnsi"/>
          <w:sz w:val="24"/>
          <w:szCs w:val="24"/>
        </w:rPr>
        <w:t xml:space="preserve">also </w:t>
      </w:r>
      <w:r w:rsidR="00150399">
        <w:rPr>
          <w:rFonts w:cstheme="minorHAnsi"/>
          <w:sz w:val="24"/>
          <w:szCs w:val="24"/>
        </w:rPr>
        <w:t xml:space="preserve">be noted that on </w:t>
      </w:r>
      <w:r w:rsidR="00150399">
        <w:rPr>
          <w:color w:val="000000"/>
          <w:sz w:val="24"/>
          <w:szCs w:val="24"/>
          <w:shd w:val="clear" w:color="auto" w:fill="FFFFFF"/>
        </w:rPr>
        <w:t xml:space="preserve">17 September 2006, a second independence referendum was held, supporting the independence with the subsequent free association with Russia. In the long run, it appears that Transnistria wants to be incorporated into Russia. </w:t>
      </w:r>
      <w:r w:rsidR="004E360B">
        <w:rPr>
          <w:color w:val="000000"/>
          <w:sz w:val="24"/>
          <w:szCs w:val="24"/>
          <w:shd w:val="clear" w:color="auto" w:fill="FFFFFF"/>
        </w:rPr>
        <w:t>In addition, n</w:t>
      </w:r>
      <w:r w:rsidR="004E360B">
        <w:rPr>
          <w:rFonts w:cstheme="minorHAnsi"/>
          <w:sz w:val="24"/>
          <w:szCs w:val="24"/>
        </w:rPr>
        <w:t>otwithstanding Article 3 which provides for the nationality of Transnistria, as explained earlier, the majority of the population has also acquired Russian nationality.</w:t>
      </w:r>
    </w:p>
    <w:p w14:paraId="20FBAAA4" w14:textId="4F369B90" w:rsidR="003C5281" w:rsidRPr="00D92001" w:rsidRDefault="00150399" w:rsidP="0084193D">
      <w:pPr>
        <w:spacing w:after="0" w:line="240" w:lineRule="auto"/>
        <w:jc w:val="both"/>
        <w:rPr>
          <w:rFonts w:cstheme="minorHAnsi"/>
          <w:sz w:val="24"/>
          <w:szCs w:val="24"/>
        </w:rPr>
      </w:pPr>
      <w:r>
        <w:rPr>
          <w:rFonts w:cstheme="minorHAnsi"/>
          <w:sz w:val="24"/>
          <w:szCs w:val="24"/>
        </w:rPr>
        <w:t>Transnistria’s</w:t>
      </w:r>
      <w:r w:rsidR="00704679" w:rsidRPr="00704679">
        <w:rPr>
          <w:rFonts w:cstheme="minorHAnsi"/>
          <w:sz w:val="24"/>
          <w:szCs w:val="24"/>
        </w:rPr>
        <w:t xml:space="preserve"> e</w:t>
      </w:r>
      <w:r w:rsidR="0084193D" w:rsidRPr="00704679">
        <w:rPr>
          <w:sz w:val="24"/>
          <w:szCs w:val="24"/>
        </w:rPr>
        <w:t xml:space="preserve">conomic system </w:t>
      </w:r>
      <w:r w:rsidR="00704679" w:rsidRPr="00704679">
        <w:rPr>
          <w:sz w:val="24"/>
          <w:szCs w:val="24"/>
        </w:rPr>
        <w:t>is</w:t>
      </w:r>
      <w:r w:rsidR="0084193D" w:rsidRPr="00704679">
        <w:rPr>
          <w:sz w:val="24"/>
          <w:szCs w:val="24"/>
        </w:rPr>
        <w:t xml:space="preserve"> boosted by Russia </w:t>
      </w:r>
      <w:r w:rsidR="00704679" w:rsidRPr="00704679">
        <w:rPr>
          <w:sz w:val="24"/>
          <w:szCs w:val="24"/>
        </w:rPr>
        <w:t>wh</w:t>
      </w:r>
      <w:r w:rsidR="000D5549">
        <w:rPr>
          <w:sz w:val="24"/>
          <w:szCs w:val="24"/>
        </w:rPr>
        <w:t>i</w:t>
      </w:r>
      <w:r w:rsidR="00704679" w:rsidRPr="00704679">
        <w:rPr>
          <w:sz w:val="24"/>
          <w:szCs w:val="24"/>
        </w:rPr>
        <w:t>ch</w:t>
      </w:r>
      <w:r w:rsidR="0084193D" w:rsidRPr="00704679">
        <w:rPr>
          <w:sz w:val="24"/>
          <w:szCs w:val="24"/>
        </w:rPr>
        <w:t xml:space="preserve"> supports local companies, offers special gas prices,</w:t>
      </w:r>
      <w:r w:rsidR="000D5549">
        <w:rPr>
          <w:rStyle w:val="FootnoteReference"/>
          <w:sz w:val="24"/>
          <w:szCs w:val="24"/>
        </w:rPr>
        <w:footnoteReference w:id="465"/>
      </w:r>
      <w:r w:rsidR="0084193D" w:rsidRPr="00704679">
        <w:rPr>
          <w:sz w:val="24"/>
          <w:szCs w:val="24"/>
        </w:rPr>
        <w:t xml:space="preserve"> economic aid</w:t>
      </w:r>
      <w:r w:rsidR="0084193D" w:rsidRPr="00704679">
        <w:rPr>
          <w:rStyle w:val="FootnoteReference"/>
          <w:sz w:val="24"/>
          <w:szCs w:val="24"/>
        </w:rPr>
        <w:footnoteReference w:id="466"/>
      </w:r>
      <w:r w:rsidR="0084193D" w:rsidRPr="00704679">
        <w:rPr>
          <w:sz w:val="24"/>
          <w:szCs w:val="24"/>
        </w:rPr>
        <w:t xml:space="preserve"> and economic subsidies </w:t>
      </w:r>
      <w:r w:rsidR="0084193D" w:rsidRPr="00704679">
        <w:rPr>
          <w:rFonts w:cstheme="minorHAnsi"/>
          <w:sz w:val="24"/>
          <w:szCs w:val="24"/>
        </w:rPr>
        <w:t>more generally.</w:t>
      </w:r>
      <w:r w:rsidR="0084193D" w:rsidRPr="00704679">
        <w:rPr>
          <w:rStyle w:val="FootnoteReference"/>
          <w:rFonts w:cstheme="minorHAnsi"/>
          <w:color w:val="161616"/>
          <w:sz w:val="24"/>
          <w:szCs w:val="24"/>
          <w:shd w:val="clear" w:color="auto" w:fill="FFFFFF"/>
        </w:rPr>
        <w:footnoteReference w:id="467"/>
      </w:r>
      <w:r w:rsidR="0084193D" w:rsidRPr="00704679">
        <w:rPr>
          <w:rFonts w:cstheme="minorHAnsi"/>
          <w:sz w:val="24"/>
          <w:szCs w:val="24"/>
        </w:rPr>
        <w:t xml:space="preserve"> </w:t>
      </w:r>
      <w:r w:rsidR="004E360B">
        <w:rPr>
          <w:rFonts w:cstheme="minorHAnsi"/>
          <w:sz w:val="24"/>
          <w:szCs w:val="24"/>
        </w:rPr>
        <w:t>As a result of the lower price of gas, local enterprises are more competitive and household energy prices have been kept low.</w:t>
      </w:r>
      <w:r w:rsidR="004E360B">
        <w:rPr>
          <w:rStyle w:val="FootnoteReference"/>
          <w:rFonts w:cstheme="minorHAnsi"/>
          <w:sz w:val="24"/>
          <w:szCs w:val="24"/>
        </w:rPr>
        <w:footnoteReference w:id="468"/>
      </w:r>
      <w:r w:rsidR="004E360B">
        <w:rPr>
          <w:rFonts w:cstheme="minorHAnsi"/>
          <w:sz w:val="24"/>
          <w:szCs w:val="24"/>
        </w:rPr>
        <w:t xml:space="preserve"> Russia has also</w:t>
      </w:r>
      <w:r w:rsidR="004E360B" w:rsidRPr="00D92001">
        <w:rPr>
          <w:rFonts w:cstheme="minorHAnsi"/>
          <w:sz w:val="24"/>
          <w:szCs w:val="24"/>
        </w:rPr>
        <w:t xml:space="preserve"> opened its market to goods from Transnistria, thereby boosting its economy.</w:t>
      </w:r>
      <w:r w:rsidR="004E360B" w:rsidRPr="00D92001">
        <w:rPr>
          <w:rStyle w:val="FootnoteReference"/>
          <w:rFonts w:cstheme="minorHAnsi"/>
          <w:sz w:val="24"/>
          <w:szCs w:val="24"/>
        </w:rPr>
        <w:footnoteReference w:id="469"/>
      </w:r>
      <w:r w:rsidR="0005394C" w:rsidRPr="00D92001">
        <w:rPr>
          <w:rFonts w:cstheme="minorHAnsi"/>
          <w:sz w:val="24"/>
          <w:szCs w:val="24"/>
        </w:rPr>
        <w:t xml:space="preserve"> More </w:t>
      </w:r>
      <w:r w:rsidR="006E45C9" w:rsidRPr="00D92001">
        <w:rPr>
          <w:rFonts w:cstheme="minorHAnsi"/>
          <w:sz w:val="24"/>
          <w:szCs w:val="24"/>
        </w:rPr>
        <w:t>worryingly</w:t>
      </w:r>
      <w:r w:rsidR="0005394C" w:rsidRPr="00D92001">
        <w:rPr>
          <w:rFonts w:cstheme="minorHAnsi"/>
          <w:sz w:val="24"/>
          <w:szCs w:val="24"/>
        </w:rPr>
        <w:t xml:space="preserve">, </w:t>
      </w:r>
      <w:r w:rsidR="0005394C" w:rsidRPr="00D92001">
        <w:rPr>
          <w:rFonts w:cstheme="minorHAnsi"/>
          <w:sz w:val="24"/>
          <w:szCs w:val="24"/>
          <w:shd w:val="clear" w:color="auto" w:fill="FFFFFF"/>
        </w:rPr>
        <w:t>Sheriff Enterprises</w:t>
      </w:r>
      <w:r w:rsidR="00894228">
        <w:rPr>
          <w:rFonts w:cstheme="minorHAnsi"/>
          <w:sz w:val="24"/>
          <w:szCs w:val="24"/>
          <w:shd w:val="clear" w:color="auto" w:fill="FFFFFF"/>
        </w:rPr>
        <w:t>, the second largest company in Transnistria,</w:t>
      </w:r>
      <w:r w:rsidR="0005394C" w:rsidRPr="00D92001">
        <w:rPr>
          <w:rFonts w:cstheme="minorHAnsi"/>
          <w:sz w:val="24"/>
          <w:szCs w:val="24"/>
          <w:shd w:val="clear" w:color="auto" w:fill="FFFFFF"/>
        </w:rPr>
        <w:t xml:space="preserve"> is a powerful business conglomerate that dominates not only the Transnistrian economy and has also a stronghold on political matters.</w:t>
      </w:r>
      <w:r w:rsidR="0005394C" w:rsidRPr="00D92001">
        <w:rPr>
          <w:rStyle w:val="FootnoteReference"/>
          <w:rFonts w:cstheme="minorHAnsi"/>
          <w:sz w:val="24"/>
          <w:szCs w:val="24"/>
          <w:shd w:val="clear" w:color="auto" w:fill="FFFFFF"/>
        </w:rPr>
        <w:footnoteReference w:id="470"/>
      </w:r>
      <w:r w:rsidR="0005394C" w:rsidRPr="00D92001">
        <w:rPr>
          <w:rFonts w:cstheme="minorHAnsi"/>
          <w:sz w:val="24"/>
          <w:szCs w:val="24"/>
          <w:shd w:val="clear" w:color="auto" w:fill="FFFFFF"/>
        </w:rPr>
        <w:t xml:space="preserve"> </w:t>
      </w:r>
    </w:p>
    <w:p w14:paraId="3F5D891D" w14:textId="1BEDEDD1" w:rsidR="0031573A" w:rsidRDefault="00704679" w:rsidP="0084193D">
      <w:pPr>
        <w:spacing w:after="0" w:line="240" w:lineRule="auto"/>
        <w:jc w:val="both"/>
        <w:rPr>
          <w:rFonts w:cstheme="minorHAnsi"/>
          <w:sz w:val="24"/>
          <w:szCs w:val="24"/>
        </w:rPr>
      </w:pPr>
      <w:r w:rsidRPr="00D92001">
        <w:rPr>
          <w:rFonts w:cstheme="minorHAnsi"/>
          <w:sz w:val="24"/>
          <w:szCs w:val="24"/>
        </w:rPr>
        <w:t xml:space="preserve">The President is </w:t>
      </w:r>
      <w:r w:rsidR="00DD16F2" w:rsidRPr="00D92001">
        <w:rPr>
          <w:rFonts w:cstheme="minorHAnsi"/>
          <w:sz w:val="24"/>
          <w:szCs w:val="24"/>
        </w:rPr>
        <w:t>assigned the key role of adopting measures relating to the sovereignty, independence and territorial integrity</w:t>
      </w:r>
      <w:r w:rsidR="00DD16F2">
        <w:rPr>
          <w:rFonts w:cstheme="minorHAnsi"/>
          <w:sz w:val="24"/>
          <w:szCs w:val="24"/>
        </w:rPr>
        <w:t xml:space="preserve"> of the entity</w:t>
      </w:r>
      <w:r w:rsidR="00DD16F2">
        <w:rPr>
          <w:rStyle w:val="FootnoteReference"/>
          <w:rFonts w:cstheme="minorHAnsi"/>
          <w:sz w:val="24"/>
          <w:szCs w:val="24"/>
        </w:rPr>
        <w:footnoteReference w:id="471"/>
      </w:r>
      <w:r w:rsidR="00DD16F2">
        <w:rPr>
          <w:rFonts w:cstheme="minorHAnsi"/>
          <w:sz w:val="24"/>
          <w:szCs w:val="24"/>
        </w:rPr>
        <w:t xml:space="preserve"> whilst the armed forces are to defend thes</w:t>
      </w:r>
      <w:r w:rsidR="00DD16F2" w:rsidRPr="00150399">
        <w:rPr>
          <w:rFonts w:cstheme="minorHAnsi"/>
          <w:sz w:val="24"/>
          <w:szCs w:val="24"/>
        </w:rPr>
        <w:t>e principles.</w:t>
      </w:r>
      <w:r w:rsidR="00DD16F2" w:rsidRPr="00150399">
        <w:rPr>
          <w:rStyle w:val="FootnoteReference"/>
          <w:rFonts w:cstheme="minorHAnsi"/>
          <w:sz w:val="24"/>
          <w:szCs w:val="24"/>
        </w:rPr>
        <w:footnoteReference w:id="472"/>
      </w:r>
      <w:r w:rsidR="00DD16F2" w:rsidRPr="00150399">
        <w:rPr>
          <w:rFonts w:cstheme="minorHAnsi"/>
          <w:sz w:val="24"/>
          <w:szCs w:val="24"/>
        </w:rPr>
        <w:t xml:space="preserve"> The reality is that the Russian 14</w:t>
      </w:r>
      <w:r w:rsidR="00DD16F2" w:rsidRPr="00150399">
        <w:rPr>
          <w:rFonts w:cstheme="minorHAnsi"/>
          <w:sz w:val="24"/>
          <w:szCs w:val="24"/>
          <w:vertAlign w:val="superscript"/>
        </w:rPr>
        <w:t>th</w:t>
      </w:r>
      <w:r w:rsidR="00DD16F2" w:rsidRPr="00150399">
        <w:rPr>
          <w:rFonts w:cstheme="minorHAnsi"/>
          <w:sz w:val="24"/>
          <w:szCs w:val="24"/>
        </w:rPr>
        <w:t xml:space="preserve"> army has been in Transnistria since its inception</w:t>
      </w:r>
      <w:r w:rsidR="00150399">
        <w:rPr>
          <w:rFonts w:cstheme="minorHAnsi"/>
          <w:sz w:val="24"/>
          <w:szCs w:val="24"/>
        </w:rPr>
        <w:t xml:space="preserve"> and</w:t>
      </w:r>
      <w:r w:rsidR="00150399" w:rsidRPr="00150399">
        <w:rPr>
          <w:rFonts w:cstheme="minorHAnsi"/>
          <w:sz w:val="24"/>
          <w:szCs w:val="24"/>
        </w:rPr>
        <w:t xml:space="preserve"> that it appears to be with the consent of the State authorities</w:t>
      </w:r>
      <w:r w:rsidR="00150399">
        <w:rPr>
          <w:rStyle w:val="FootnoteReference"/>
          <w:rFonts w:cstheme="minorHAnsi"/>
          <w:sz w:val="24"/>
          <w:szCs w:val="24"/>
        </w:rPr>
        <w:footnoteReference w:id="473"/>
      </w:r>
      <w:r w:rsidR="00150399" w:rsidRPr="00150399">
        <w:rPr>
          <w:rFonts w:cstheme="minorHAnsi"/>
          <w:sz w:val="24"/>
          <w:szCs w:val="24"/>
        </w:rPr>
        <w:t xml:space="preserve"> even though Russia had, as part of its accession commitments to the Council of Europe, agreed that it </w:t>
      </w:r>
      <w:r w:rsidR="00150399" w:rsidRPr="00150399">
        <w:rPr>
          <w:rFonts w:cstheme="minorHAnsi"/>
          <w:sz w:val="24"/>
          <w:szCs w:val="24"/>
        </w:rPr>
        <w:lastRenderedPageBreak/>
        <w:t>would remove the 14</w:t>
      </w:r>
      <w:r w:rsidR="00150399" w:rsidRPr="00150399">
        <w:rPr>
          <w:rFonts w:cstheme="minorHAnsi"/>
          <w:sz w:val="24"/>
          <w:szCs w:val="24"/>
          <w:vertAlign w:val="superscript"/>
        </w:rPr>
        <w:t>th</w:t>
      </w:r>
      <w:r w:rsidR="00150399" w:rsidRPr="00150399">
        <w:rPr>
          <w:rFonts w:cstheme="minorHAnsi"/>
          <w:sz w:val="24"/>
          <w:szCs w:val="24"/>
        </w:rPr>
        <w:t xml:space="preserve"> army</w:t>
      </w:r>
      <w:r w:rsidR="00150399" w:rsidRPr="00150399">
        <w:rPr>
          <w:rStyle w:val="FootnoteReference"/>
          <w:rFonts w:cstheme="minorHAnsi"/>
          <w:sz w:val="24"/>
          <w:szCs w:val="24"/>
        </w:rPr>
        <w:footnoteReference w:id="474"/>
      </w:r>
      <w:r w:rsidR="00150399">
        <w:rPr>
          <w:rFonts w:cstheme="minorHAnsi"/>
          <w:sz w:val="24"/>
          <w:szCs w:val="24"/>
        </w:rPr>
        <w:t xml:space="preserve"> though never did.</w:t>
      </w:r>
      <w:r w:rsidR="00150399" w:rsidRPr="00150399">
        <w:rPr>
          <w:rFonts w:cstheme="minorHAnsi"/>
          <w:sz w:val="24"/>
          <w:szCs w:val="24"/>
        </w:rPr>
        <w:t xml:space="preserve"> How much</w:t>
      </w:r>
      <w:r w:rsidR="00150399" w:rsidRPr="00150399">
        <w:rPr>
          <w:sz w:val="24"/>
          <w:szCs w:val="24"/>
        </w:rPr>
        <w:t xml:space="preserve"> this consent is genuine is difficult to gauge. </w:t>
      </w:r>
      <w:r w:rsidR="000D5549">
        <w:rPr>
          <w:sz w:val="24"/>
          <w:szCs w:val="24"/>
        </w:rPr>
        <w:t>Criticizing the presence of the so-called ‘peacekeeping’ troops has been penalised in the criminal code.</w:t>
      </w:r>
      <w:r w:rsidR="000D5549">
        <w:rPr>
          <w:rStyle w:val="FootnoteReference"/>
          <w:sz w:val="24"/>
          <w:szCs w:val="24"/>
        </w:rPr>
        <w:footnoteReference w:id="475"/>
      </w:r>
      <w:r w:rsidR="000D5549">
        <w:rPr>
          <w:sz w:val="24"/>
          <w:szCs w:val="24"/>
        </w:rPr>
        <w:t xml:space="preserve"> </w:t>
      </w:r>
      <w:r w:rsidR="00150399" w:rsidRPr="00150399">
        <w:rPr>
          <w:sz w:val="24"/>
          <w:szCs w:val="24"/>
        </w:rPr>
        <w:t xml:space="preserve">As the European Court of Human </w:t>
      </w:r>
      <w:r w:rsidR="00150399" w:rsidRPr="00150399">
        <w:rPr>
          <w:rFonts w:cstheme="minorHAnsi"/>
          <w:sz w:val="24"/>
          <w:szCs w:val="24"/>
        </w:rPr>
        <w:t xml:space="preserve">Rights already stated in </w:t>
      </w:r>
      <w:r w:rsidR="00150399" w:rsidRPr="00254D98">
        <w:rPr>
          <w:rFonts w:cstheme="minorHAnsi"/>
          <w:i/>
          <w:iCs/>
          <w:sz w:val="24"/>
          <w:szCs w:val="24"/>
        </w:rPr>
        <w:t>Catan</w:t>
      </w:r>
      <w:r w:rsidR="00150399" w:rsidRPr="00150399">
        <w:rPr>
          <w:rFonts w:cstheme="minorHAnsi"/>
          <w:i/>
          <w:iCs/>
          <w:sz w:val="24"/>
          <w:szCs w:val="24"/>
        </w:rPr>
        <w:t xml:space="preserve"> </w:t>
      </w:r>
      <w:r w:rsidR="00150399" w:rsidRPr="00150399">
        <w:rPr>
          <w:rFonts w:cstheme="minorHAnsi"/>
          <w:sz w:val="24"/>
          <w:szCs w:val="24"/>
        </w:rPr>
        <w:t>‘</w:t>
      </w:r>
      <w:r w:rsidR="00150399">
        <w:rPr>
          <w:rStyle w:val="sfbbfee58"/>
          <w:rFonts w:cstheme="minorHAnsi"/>
          <w:color w:val="000000"/>
          <w:sz w:val="24"/>
          <w:szCs w:val="24"/>
          <w:shd w:val="clear" w:color="auto" w:fill="FFFFFF"/>
        </w:rPr>
        <w:t>[t]</w:t>
      </w:r>
      <w:r w:rsidR="00150399" w:rsidRPr="00150399">
        <w:rPr>
          <w:rStyle w:val="sfbbfee58"/>
          <w:rFonts w:cstheme="minorHAnsi"/>
          <w:color w:val="000000"/>
          <w:sz w:val="24"/>
          <w:szCs w:val="24"/>
          <w:shd w:val="clear" w:color="auto" w:fill="FFFFFF"/>
        </w:rPr>
        <w:t>he continued Russian military and armaments presence in the region sent a strong signal, to the ‘MRT’ leaders, the Moldovan Government and international observers, of Russia’s continued military support for the separatists.’</w:t>
      </w:r>
      <w:r w:rsidR="00150399" w:rsidRPr="00150399">
        <w:rPr>
          <w:rStyle w:val="FootnoteReference"/>
          <w:rFonts w:cstheme="minorHAnsi"/>
          <w:color w:val="000000"/>
          <w:sz w:val="24"/>
          <w:szCs w:val="24"/>
          <w:shd w:val="clear" w:color="auto" w:fill="FFFFFF"/>
        </w:rPr>
        <w:footnoteReference w:id="476"/>
      </w:r>
      <w:r w:rsidR="00150399" w:rsidRPr="00150399">
        <w:rPr>
          <w:rFonts w:cstheme="minorHAnsi"/>
          <w:sz w:val="24"/>
          <w:szCs w:val="24"/>
        </w:rPr>
        <w:t xml:space="preserve"> In examining acts that took place in 1991-1992, the European Court of Human Rights stated that Transnistria was ‘under the effective authority, or at the very least under the decisive influence, of the Russian Federation’</w:t>
      </w:r>
      <w:r w:rsidR="00150399" w:rsidRPr="00150399">
        <w:rPr>
          <w:rStyle w:val="FootnoteReference"/>
          <w:rFonts w:cstheme="minorHAnsi"/>
          <w:sz w:val="24"/>
          <w:szCs w:val="24"/>
        </w:rPr>
        <w:footnoteReference w:id="477"/>
      </w:r>
      <w:r w:rsidR="00150399" w:rsidRPr="00150399">
        <w:rPr>
          <w:rFonts w:cstheme="minorHAnsi"/>
          <w:sz w:val="24"/>
          <w:szCs w:val="24"/>
        </w:rPr>
        <w:t xml:space="preserve"> which had provided military, economic, financial and political support.</w:t>
      </w:r>
      <w:r w:rsidR="00150399" w:rsidRPr="00150399">
        <w:rPr>
          <w:rStyle w:val="FootnoteReference"/>
          <w:rFonts w:cstheme="minorHAnsi"/>
          <w:sz w:val="24"/>
          <w:szCs w:val="24"/>
        </w:rPr>
        <w:footnoteReference w:id="478"/>
      </w:r>
      <w:r w:rsidR="00150399" w:rsidRPr="00150399">
        <w:rPr>
          <w:rFonts w:cstheme="minorHAnsi"/>
          <w:sz w:val="24"/>
          <w:szCs w:val="24"/>
        </w:rPr>
        <w:t xml:space="preserve"> Such support was</w:t>
      </w:r>
      <w:r w:rsidR="00150399" w:rsidRPr="00150399">
        <w:rPr>
          <w:sz w:val="24"/>
          <w:szCs w:val="24"/>
        </w:rPr>
        <w:t xml:space="preserve"> still visible between 2004 and 2007,</w:t>
      </w:r>
      <w:r w:rsidR="00150399" w:rsidRPr="00150399">
        <w:rPr>
          <w:rStyle w:val="FootnoteReference"/>
          <w:sz w:val="24"/>
          <w:szCs w:val="24"/>
        </w:rPr>
        <w:footnoteReference w:id="479"/>
      </w:r>
      <w:r w:rsidR="00150399" w:rsidRPr="00150399">
        <w:rPr>
          <w:sz w:val="24"/>
          <w:szCs w:val="24"/>
        </w:rPr>
        <w:t xml:space="preserve"> between 2008 and 2010</w:t>
      </w:r>
      <w:r w:rsidR="00150399" w:rsidRPr="00150399">
        <w:rPr>
          <w:rStyle w:val="FootnoteReference"/>
          <w:sz w:val="24"/>
          <w:szCs w:val="24"/>
        </w:rPr>
        <w:footnoteReference w:id="480"/>
      </w:r>
      <w:r w:rsidR="00150399" w:rsidRPr="00150399">
        <w:rPr>
          <w:sz w:val="24"/>
          <w:szCs w:val="24"/>
        </w:rPr>
        <w:t xml:space="preserve"> and is likely to be still in place at the time of writing.</w:t>
      </w:r>
      <w:r w:rsidR="00573A2F">
        <w:rPr>
          <w:sz w:val="24"/>
          <w:szCs w:val="24"/>
        </w:rPr>
        <w:t xml:space="preserve"> It is doubtful that without these armed forces, Transnistria would exist.</w:t>
      </w:r>
      <w:r w:rsidR="00573A2F">
        <w:rPr>
          <w:rStyle w:val="FootnoteReference"/>
          <w:sz w:val="24"/>
          <w:szCs w:val="24"/>
        </w:rPr>
        <w:footnoteReference w:id="481"/>
      </w:r>
      <w:r w:rsidR="00150399" w:rsidRPr="00150399">
        <w:rPr>
          <w:rFonts w:cstheme="minorHAnsi"/>
          <w:sz w:val="24"/>
          <w:szCs w:val="24"/>
        </w:rPr>
        <w:t xml:space="preserve"> </w:t>
      </w:r>
    </w:p>
    <w:p w14:paraId="27B895C4" w14:textId="2D9CC97F" w:rsidR="001D7F76" w:rsidRDefault="00923554" w:rsidP="0084193D">
      <w:pPr>
        <w:spacing w:after="0" w:line="240" w:lineRule="auto"/>
        <w:jc w:val="both"/>
        <w:rPr>
          <w:rFonts w:cstheme="minorHAnsi"/>
          <w:sz w:val="24"/>
          <w:szCs w:val="24"/>
        </w:rPr>
      </w:pPr>
      <w:r>
        <w:rPr>
          <w:rFonts w:cstheme="minorHAnsi"/>
          <w:sz w:val="24"/>
          <w:szCs w:val="24"/>
        </w:rPr>
        <w:t>The Constitution of Transnistria spells out that should a treaty conflict with national law, it can only be ratified following a change in national law,</w:t>
      </w:r>
      <w:r>
        <w:rPr>
          <w:rStyle w:val="FootnoteReference"/>
          <w:rFonts w:cstheme="minorHAnsi"/>
          <w:sz w:val="24"/>
          <w:szCs w:val="24"/>
        </w:rPr>
        <w:footnoteReference w:id="482"/>
      </w:r>
      <w:r>
        <w:rPr>
          <w:rFonts w:cstheme="minorHAnsi"/>
          <w:sz w:val="24"/>
          <w:szCs w:val="24"/>
        </w:rPr>
        <w:t xml:space="preserve"> thereby accepting the primacy of international law. Alike the Constitution of South Ossetia, that of Transnistria refers to its relationship with other States being based on treaties and principles and norms of international law, thereby stressing its independence.</w:t>
      </w:r>
      <w:r>
        <w:rPr>
          <w:rStyle w:val="FootnoteReference"/>
          <w:rFonts w:cstheme="minorHAnsi"/>
          <w:sz w:val="24"/>
          <w:szCs w:val="24"/>
        </w:rPr>
        <w:footnoteReference w:id="483"/>
      </w:r>
      <w:r>
        <w:rPr>
          <w:rFonts w:cstheme="minorHAnsi"/>
          <w:sz w:val="24"/>
          <w:szCs w:val="24"/>
        </w:rPr>
        <w:t xml:space="preserve"> </w:t>
      </w:r>
      <w:r w:rsidR="00150399" w:rsidRPr="00150399">
        <w:rPr>
          <w:rFonts w:cstheme="minorHAnsi"/>
          <w:sz w:val="24"/>
          <w:szCs w:val="24"/>
        </w:rPr>
        <w:t xml:space="preserve">Article 10 of the Constitution spells out the principles upon which the foreign policy of Transnistria is based but, much like the two </w:t>
      </w:r>
      <w:r w:rsidR="00B13CFD" w:rsidRPr="00150399">
        <w:rPr>
          <w:rFonts w:cstheme="minorHAnsi"/>
          <w:sz w:val="24"/>
          <w:szCs w:val="24"/>
        </w:rPr>
        <w:t>Caucasian</w:t>
      </w:r>
      <w:r w:rsidR="00150399" w:rsidRPr="00150399">
        <w:rPr>
          <w:rFonts w:cstheme="minorHAnsi"/>
          <w:sz w:val="24"/>
          <w:szCs w:val="24"/>
        </w:rPr>
        <w:t xml:space="preserve"> entities, is</w:t>
      </w:r>
      <w:r w:rsidR="00B13CFD">
        <w:rPr>
          <w:rFonts w:cstheme="minorHAnsi"/>
          <w:sz w:val="24"/>
          <w:szCs w:val="24"/>
        </w:rPr>
        <w:t>,</w:t>
      </w:r>
      <w:r w:rsidR="00150399" w:rsidRPr="00150399">
        <w:rPr>
          <w:rFonts w:cstheme="minorHAnsi"/>
          <w:sz w:val="24"/>
          <w:szCs w:val="24"/>
        </w:rPr>
        <w:t xml:space="preserve"> owing to a lack of recognition</w:t>
      </w:r>
      <w:r w:rsidR="00B13CFD">
        <w:rPr>
          <w:rFonts w:cstheme="minorHAnsi"/>
          <w:sz w:val="24"/>
          <w:szCs w:val="24"/>
        </w:rPr>
        <w:t>,</w:t>
      </w:r>
      <w:r w:rsidR="00150399" w:rsidRPr="00150399">
        <w:rPr>
          <w:rFonts w:cstheme="minorHAnsi"/>
          <w:sz w:val="24"/>
          <w:szCs w:val="24"/>
        </w:rPr>
        <w:t xml:space="preserve"> unable to exercise it. In its foreign economic relations, Russia </w:t>
      </w:r>
      <w:r w:rsidR="00150399">
        <w:rPr>
          <w:rFonts w:cstheme="minorHAnsi"/>
          <w:sz w:val="24"/>
          <w:szCs w:val="24"/>
        </w:rPr>
        <w:t xml:space="preserve">not only is its main trading partner but also </w:t>
      </w:r>
      <w:r w:rsidR="00150399" w:rsidRPr="00150399">
        <w:rPr>
          <w:rFonts w:cstheme="minorHAnsi"/>
          <w:sz w:val="24"/>
          <w:szCs w:val="24"/>
        </w:rPr>
        <w:t>controls its borders. As noted by the European Court of Human Rights</w:t>
      </w:r>
      <w:r w:rsidR="005733B4">
        <w:rPr>
          <w:rFonts w:cstheme="minorHAnsi"/>
          <w:sz w:val="24"/>
          <w:szCs w:val="24"/>
        </w:rPr>
        <w:t>,</w:t>
      </w:r>
      <w:r w:rsidR="00150399" w:rsidRPr="00150399">
        <w:rPr>
          <w:rFonts w:cstheme="minorHAnsi"/>
          <w:sz w:val="24"/>
          <w:szCs w:val="24"/>
        </w:rPr>
        <w:t xml:space="preserve"> Russia was able to ban imports from Moldova, thus controlling the ‘economic’ borders of Transnistria.</w:t>
      </w:r>
      <w:r w:rsidR="00150399" w:rsidRPr="00150399">
        <w:rPr>
          <w:rStyle w:val="FootnoteReference"/>
          <w:rFonts w:cstheme="minorHAnsi"/>
          <w:sz w:val="24"/>
          <w:szCs w:val="24"/>
        </w:rPr>
        <w:footnoteReference w:id="484"/>
      </w:r>
      <w:r>
        <w:rPr>
          <w:rFonts w:cstheme="minorHAnsi"/>
          <w:sz w:val="24"/>
          <w:szCs w:val="24"/>
        </w:rPr>
        <w:t xml:space="preserve"> Undoubtedly</w:t>
      </w:r>
      <w:r w:rsidR="00D92001">
        <w:rPr>
          <w:rFonts w:cstheme="minorHAnsi"/>
          <w:sz w:val="24"/>
          <w:szCs w:val="24"/>
        </w:rPr>
        <w:t>,</w:t>
      </w:r>
      <w:r>
        <w:rPr>
          <w:rFonts w:cstheme="minorHAnsi"/>
          <w:sz w:val="24"/>
          <w:szCs w:val="24"/>
        </w:rPr>
        <w:t xml:space="preserve"> without Russian support, Transnistria would not be able to survive. Its independence is and has </w:t>
      </w:r>
      <w:r w:rsidRPr="006D4864">
        <w:rPr>
          <w:rFonts w:cstheme="minorHAnsi"/>
          <w:sz w:val="24"/>
          <w:szCs w:val="24"/>
        </w:rPr>
        <w:t xml:space="preserve">always been highly </w:t>
      </w:r>
      <w:r w:rsidR="00F34169" w:rsidRPr="006D4864">
        <w:rPr>
          <w:rFonts w:cstheme="minorHAnsi"/>
          <w:sz w:val="24"/>
          <w:szCs w:val="24"/>
        </w:rPr>
        <w:t xml:space="preserve">questionable and so is its statehood. </w:t>
      </w:r>
    </w:p>
    <w:p w14:paraId="36171D09" w14:textId="2FC1A70E" w:rsidR="0031573A" w:rsidRDefault="0031573A" w:rsidP="0084193D">
      <w:pPr>
        <w:spacing w:after="0" w:line="240" w:lineRule="auto"/>
        <w:jc w:val="both"/>
        <w:rPr>
          <w:rFonts w:cstheme="minorHAnsi"/>
          <w:sz w:val="24"/>
          <w:szCs w:val="24"/>
        </w:rPr>
      </w:pPr>
    </w:p>
    <w:p w14:paraId="3332942F" w14:textId="20E97CFA" w:rsidR="0031573A" w:rsidRPr="006D4864" w:rsidRDefault="00706665" w:rsidP="0031573A">
      <w:pPr>
        <w:pStyle w:val="Heading4"/>
      </w:pPr>
      <w:r>
        <w:t xml:space="preserve">4.3.3. </w:t>
      </w:r>
      <w:r w:rsidR="0031573A">
        <w:t>Nagorno-Karabakh</w:t>
      </w:r>
    </w:p>
    <w:p w14:paraId="56076216" w14:textId="473A86C3" w:rsidR="00312EA7" w:rsidRDefault="00092832" w:rsidP="00540CE3">
      <w:pPr>
        <w:spacing w:after="0" w:line="240" w:lineRule="auto"/>
        <w:jc w:val="both"/>
        <w:rPr>
          <w:sz w:val="24"/>
          <w:szCs w:val="24"/>
        </w:rPr>
      </w:pPr>
      <w:r w:rsidRPr="006D4864">
        <w:rPr>
          <w:rFonts w:cstheme="minorHAnsi"/>
          <w:sz w:val="24"/>
          <w:szCs w:val="24"/>
        </w:rPr>
        <w:t xml:space="preserve">That of Nagorno-Karabakh, this time in relation to Armenia, is even more questionable. Already in 2010, </w:t>
      </w:r>
      <w:proofErr w:type="spellStart"/>
      <w:r w:rsidRPr="00D92001">
        <w:rPr>
          <w:rFonts w:cstheme="minorHAnsi"/>
          <w:i/>
          <w:sz w:val="24"/>
          <w:szCs w:val="24"/>
        </w:rPr>
        <w:t>Krüger</w:t>
      </w:r>
      <w:proofErr w:type="spellEnd"/>
      <w:r w:rsidRPr="006D4864">
        <w:rPr>
          <w:rFonts w:cstheme="minorHAnsi"/>
          <w:sz w:val="24"/>
          <w:szCs w:val="24"/>
        </w:rPr>
        <w:t xml:space="preserve"> was arguing that Nagorno-Karabakh and Armenia were a loose </w:t>
      </w:r>
      <w:r w:rsidRPr="006D4864">
        <w:rPr>
          <w:rFonts w:cstheme="minorHAnsi"/>
          <w:i/>
          <w:iCs/>
          <w:sz w:val="24"/>
          <w:szCs w:val="24"/>
        </w:rPr>
        <w:t>de facto</w:t>
      </w:r>
      <w:r w:rsidRPr="006D4864">
        <w:rPr>
          <w:rFonts w:cstheme="minorHAnsi"/>
          <w:sz w:val="24"/>
          <w:szCs w:val="24"/>
        </w:rPr>
        <w:t xml:space="preserve"> federation.</w:t>
      </w:r>
      <w:r w:rsidRPr="006D4864">
        <w:rPr>
          <w:rStyle w:val="FootnoteReference"/>
          <w:rFonts w:cstheme="minorHAnsi"/>
          <w:sz w:val="24"/>
          <w:szCs w:val="24"/>
        </w:rPr>
        <w:footnoteReference w:id="485"/>
      </w:r>
      <w:r w:rsidR="00F34169" w:rsidRPr="006D4864">
        <w:rPr>
          <w:rFonts w:cstheme="minorHAnsi"/>
          <w:sz w:val="24"/>
          <w:szCs w:val="24"/>
        </w:rPr>
        <w:t xml:space="preserve"> </w:t>
      </w:r>
      <w:r w:rsidR="00DE20DF">
        <w:rPr>
          <w:sz w:val="24"/>
          <w:szCs w:val="24"/>
        </w:rPr>
        <w:t>Its population tends to favour unification with Armenia rather than independence</w:t>
      </w:r>
      <w:r w:rsidR="00DE20DF">
        <w:rPr>
          <w:rStyle w:val="FootnoteReference"/>
          <w:sz w:val="24"/>
          <w:szCs w:val="24"/>
        </w:rPr>
        <w:footnoteReference w:id="486"/>
      </w:r>
      <w:r w:rsidR="00DE20DF">
        <w:rPr>
          <w:sz w:val="24"/>
          <w:szCs w:val="24"/>
        </w:rPr>
        <w:t xml:space="preserve"> and Armenia never recognised its independence. </w:t>
      </w:r>
      <w:r w:rsidR="00CE7631">
        <w:rPr>
          <w:rFonts w:cstheme="minorHAnsi"/>
          <w:sz w:val="24"/>
          <w:szCs w:val="24"/>
        </w:rPr>
        <w:t xml:space="preserve">In </w:t>
      </w:r>
      <w:r w:rsidR="0020561E">
        <w:rPr>
          <w:rFonts w:cstheme="minorHAnsi"/>
          <w:sz w:val="24"/>
          <w:szCs w:val="24"/>
        </w:rPr>
        <w:t xml:space="preserve">point of </w:t>
      </w:r>
      <w:r w:rsidR="00CE7631">
        <w:rPr>
          <w:rFonts w:cstheme="minorHAnsi"/>
          <w:sz w:val="24"/>
          <w:szCs w:val="24"/>
        </w:rPr>
        <w:t xml:space="preserve">fact, </w:t>
      </w:r>
      <w:r w:rsidR="00CE7631" w:rsidRPr="006D4864">
        <w:rPr>
          <w:sz w:val="24"/>
          <w:szCs w:val="24"/>
        </w:rPr>
        <w:t>Article 19 of the Constitution specifically refers to the ‘Ties with the Republic of Armenia and Armenian Diaspora’, explaining that Nagorno-Karabakh ‘shall implement a policy aimed at political, economic and military cooperation and ensuring comprehensive ties and security with the Republic of Armenia.’</w:t>
      </w:r>
      <w:r w:rsidR="00DE20DF">
        <w:rPr>
          <w:sz w:val="24"/>
          <w:szCs w:val="24"/>
        </w:rPr>
        <w:t xml:space="preserve"> The Preamble of the Constitution refers to ‘Motherland Armenia’.</w:t>
      </w:r>
      <w:r w:rsidR="00CE7631">
        <w:rPr>
          <w:sz w:val="24"/>
          <w:szCs w:val="24"/>
        </w:rPr>
        <w:t xml:space="preserve"> It </w:t>
      </w:r>
      <w:r w:rsidR="00CE7631">
        <w:rPr>
          <w:sz w:val="24"/>
          <w:szCs w:val="24"/>
        </w:rPr>
        <w:lastRenderedPageBreak/>
        <w:t xml:space="preserve">could not be more explicit in stating its close relationship </w:t>
      </w:r>
      <w:r w:rsidR="00CE7631" w:rsidRPr="00A52EF7">
        <w:rPr>
          <w:sz w:val="24"/>
          <w:szCs w:val="24"/>
        </w:rPr>
        <w:t>with Armenia</w:t>
      </w:r>
      <w:r w:rsidR="00DE20DF">
        <w:rPr>
          <w:sz w:val="24"/>
          <w:szCs w:val="24"/>
        </w:rPr>
        <w:t xml:space="preserve"> whilst still stressing its independence and statehood in the same Preamble</w:t>
      </w:r>
      <w:r w:rsidR="00CE7631" w:rsidRPr="00A52EF7">
        <w:rPr>
          <w:sz w:val="24"/>
          <w:szCs w:val="24"/>
        </w:rPr>
        <w:t xml:space="preserve">. </w:t>
      </w:r>
    </w:p>
    <w:p w14:paraId="1416295C" w14:textId="48A90E86" w:rsidR="007F60CE" w:rsidRDefault="00F34169" w:rsidP="00540CE3">
      <w:pPr>
        <w:spacing w:after="0" w:line="240" w:lineRule="auto"/>
        <w:jc w:val="both"/>
        <w:rPr>
          <w:rFonts w:cstheme="minorHAnsi"/>
          <w:sz w:val="24"/>
          <w:szCs w:val="24"/>
        </w:rPr>
      </w:pPr>
      <w:r w:rsidRPr="00A52EF7">
        <w:rPr>
          <w:sz w:val="24"/>
          <w:szCs w:val="24"/>
        </w:rPr>
        <w:t>From</w:t>
      </w:r>
      <w:r w:rsidRPr="006D4864">
        <w:rPr>
          <w:sz w:val="24"/>
          <w:szCs w:val="24"/>
        </w:rPr>
        <w:t xml:space="preserve"> a political perspective, the Constitution states that the power belongs to the people</w:t>
      </w:r>
      <w:r w:rsidRPr="00CE7631">
        <w:rPr>
          <w:sz w:val="24"/>
          <w:szCs w:val="24"/>
          <w:vertAlign w:val="superscript"/>
        </w:rPr>
        <w:footnoteReference w:id="487"/>
      </w:r>
      <w:r w:rsidRPr="006D4864">
        <w:rPr>
          <w:sz w:val="24"/>
          <w:szCs w:val="24"/>
        </w:rPr>
        <w:t xml:space="preserve"> and provides for the establishment of institutions to govern the entity. Elections are held at regular </w:t>
      </w:r>
      <w:r w:rsidR="006D4864" w:rsidRPr="006D4864">
        <w:rPr>
          <w:sz w:val="24"/>
          <w:szCs w:val="24"/>
        </w:rPr>
        <w:t>intervals</w:t>
      </w:r>
      <w:r w:rsidR="006E45C9">
        <w:rPr>
          <w:sz w:val="24"/>
          <w:szCs w:val="24"/>
        </w:rPr>
        <w:t xml:space="preserve"> and in contrast to previous years, the 2020 Presidential elections were assessed as relatively free and fair.</w:t>
      </w:r>
      <w:r w:rsidR="006E45C9">
        <w:rPr>
          <w:rStyle w:val="FootnoteReference"/>
          <w:sz w:val="24"/>
          <w:szCs w:val="24"/>
        </w:rPr>
        <w:footnoteReference w:id="488"/>
      </w:r>
      <w:r w:rsidR="006E45C9">
        <w:rPr>
          <w:sz w:val="24"/>
          <w:szCs w:val="24"/>
        </w:rPr>
        <w:t xml:space="preserve"> However</w:t>
      </w:r>
      <w:r w:rsidR="006D4864" w:rsidRPr="006D4864">
        <w:rPr>
          <w:sz w:val="24"/>
          <w:szCs w:val="24"/>
        </w:rPr>
        <w:t>,</w:t>
      </w:r>
      <w:r w:rsidRPr="006D4864">
        <w:rPr>
          <w:sz w:val="24"/>
          <w:szCs w:val="24"/>
        </w:rPr>
        <w:t xml:space="preserve"> </w:t>
      </w:r>
      <w:r w:rsidR="00CE7631">
        <w:rPr>
          <w:sz w:val="24"/>
          <w:szCs w:val="24"/>
        </w:rPr>
        <w:t>there is an interchange of prominent politicians (including Ministers) between Armenia and Nagorno-Karabakh,</w:t>
      </w:r>
      <w:r w:rsidR="00E67975">
        <w:rPr>
          <w:rStyle w:val="FootnoteReference"/>
          <w:sz w:val="24"/>
          <w:szCs w:val="24"/>
        </w:rPr>
        <w:footnoteReference w:id="489"/>
      </w:r>
      <w:r w:rsidR="00CE1206">
        <w:rPr>
          <w:sz w:val="24"/>
          <w:szCs w:val="24"/>
        </w:rPr>
        <w:t xml:space="preserve"> and </w:t>
      </w:r>
      <w:r w:rsidR="006D3E9E">
        <w:rPr>
          <w:sz w:val="24"/>
          <w:szCs w:val="24"/>
        </w:rPr>
        <w:t>there are</w:t>
      </w:r>
      <w:r w:rsidR="00CE1206">
        <w:rPr>
          <w:sz w:val="24"/>
          <w:szCs w:val="24"/>
        </w:rPr>
        <w:t xml:space="preserve"> </w:t>
      </w:r>
      <w:r w:rsidR="006D3E9E">
        <w:rPr>
          <w:sz w:val="24"/>
          <w:szCs w:val="24"/>
        </w:rPr>
        <w:t>claims</w:t>
      </w:r>
      <w:r w:rsidR="00CE1206">
        <w:rPr>
          <w:sz w:val="24"/>
          <w:szCs w:val="24"/>
        </w:rPr>
        <w:t xml:space="preserve"> that they are </w:t>
      </w:r>
      <w:r w:rsidR="0020561E">
        <w:rPr>
          <w:sz w:val="24"/>
          <w:szCs w:val="24"/>
        </w:rPr>
        <w:t>in truth</w:t>
      </w:r>
      <w:r w:rsidR="00CE1206">
        <w:rPr>
          <w:sz w:val="24"/>
          <w:szCs w:val="24"/>
        </w:rPr>
        <w:t xml:space="preserve"> appointed by Armenia,</w:t>
      </w:r>
      <w:r w:rsidR="00CE7631">
        <w:rPr>
          <w:rStyle w:val="FootnoteReference"/>
          <w:sz w:val="24"/>
          <w:szCs w:val="24"/>
        </w:rPr>
        <w:footnoteReference w:id="490"/>
      </w:r>
      <w:r w:rsidR="00CE7631">
        <w:rPr>
          <w:sz w:val="24"/>
          <w:szCs w:val="24"/>
        </w:rPr>
        <w:t xml:space="preserve"> thereby raising the issue of the real political independence of the entity</w:t>
      </w:r>
      <w:r w:rsidRPr="006D4864">
        <w:rPr>
          <w:sz w:val="24"/>
          <w:szCs w:val="24"/>
        </w:rPr>
        <w:t>.</w:t>
      </w:r>
      <w:r w:rsidR="002035FC">
        <w:rPr>
          <w:sz w:val="24"/>
          <w:szCs w:val="24"/>
        </w:rPr>
        <w:t xml:space="preserve"> Armenia in 2000 acknowledged that its authorities ‘wield[ed] major influence over Nagorno-Karabakh’.</w:t>
      </w:r>
      <w:r w:rsidR="002035FC">
        <w:rPr>
          <w:rStyle w:val="FootnoteReference"/>
          <w:sz w:val="24"/>
          <w:szCs w:val="24"/>
        </w:rPr>
        <w:footnoteReference w:id="491"/>
      </w:r>
      <w:r w:rsidR="001C57A5">
        <w:rPr>
          <w:sz w:val="24"/>
          <w:szCs w:val="24"/>
        </w:rPr>
        <w:t xml:space="preserve"> On the other hand, the tail has sometimes been able to wag the dog as, for example, Nagorno-Karabakh was instrumental in toppling the Armenian president</w:t>
      </w:r>
      <w:r w:rsidR="002035FC">
        <w:rPr>
          <w:sz w:val="24"/>
          <w:szCs w:val="24"/>
        </w:rPr>
        <w:t>.</w:t>
      </w:r>
      <w:r w:rsidR="001C57A5">
        <w:rPr>
          <w:rStyle w:val="FootnoteReference"/>
          <w:sz w:val="24"/>
          <w:szCs w:val="24"/>
        </w:rPr>
        <w:footnoteReference w:id="492"/>
      </w:r>
      <w:r w:rsidR="001C57A5">
        <w:rPr>
          <w:sz w:val="24"/>
          <w:szCs w:val="24"/>
        </w:rPr>
        <w:t xml:space="preserve"> </w:t>
      </w:r>
      <w:r w:rsidR="00D02512">
        <w:rPr>
          <w:sz w:val="24"/>
          <w:szCs w:val="24"/>
        </w:rPr>
        <w:t>In addition, since the 2018 changes in Armenia that led to its disengagement in Nagorno-Karabakh, the political elite has grown in size with many independent candidates.</w:t>
      </w:r>
      <w:r w:rsidR="00D02512">
        <w:rPr>
          <w:rStyle w:val="FootnoteReference"/>
          <w:sz w:val="24"/>
          <w:szCs w:val="24"/>
        </w:rPr>
        <w:footnoteReference w:id="493"/>
      </w:r>
      <w:r w:rsidR="00D02512">
        <w:rPr>
          <w:sz w:val="24"/>
          <w:szCs w:val="24"/>
        </w:rPr>
        <w:t xml:space="preserve"> The 2020 defeat against Azerbaijan has also seen a withdrawal of Armenia’s influence in local politics.</w:t>
      </w:r>
      <w:r w:rsidR="00D02512">
        <w:rPr>
          <w:rStyle w:val="FootnoteReference"/>
          <w:sz w:val="24"/>
          <w:szCs w:val="24"/>
        </w:rPr>
        <w:footnoteReference w:id="494"/>
      </w:r>
      <w:r w:rsidR="00D02512">
        <w:rPr>
          <w:sz w:val="24"/>
          <w:szCs w:val="24"/>
        </w:rPr>
        <w:t xml:space="preserve"> </w:t>
      </w:r>
      <w:r w:rsidR="001C57A5">
        <w:rPr>
          <w:sz w:val="24"/>
          <w:szCs w:val="24"/>
        </w:rPr>
        <w:t>It is claimed that s</w:t>
      </w:r>
      <w:r w:rsidR="00334A1F">
        <w:rPr>
          <w:sz w:val="24"/>
          <w:szCs w:val="24"/>
        </w:rPr>
        <w:t xml:space="preserve">ome of the </w:t>
      </w:r>
      <w:r w:rsidR="00334A1F" w:rsidRPr="001C57A5">
        <w:rPr>
          <w:sz w:val="24"/>
          <w:szCs w:val="24"/>
        </w:rPr>
        <w:t>l</w:t>
      </w:r>
      <w:r w:rsidR="00CE7631" w:rsidRPr="001C57A5">
        <w:rPr>
          <w:rFonts w:cstheme="minorHAnsi"/>
          <w:sz w:val="24"/>
          <w:szCs w:val="24"/>
        </w:rPr>
        <w:t>aws adopted in Armenia are applicable in Nagorno-Karabakh</w:t>
      </w:r>
      <w:r w:rsidR="00334A1F" w:rsidRPr="001C57A5">
        <w:rPr>
          <w:rFonts w:cstheme="minorHAnsi"/>
          <w:sz w:val="24"/>
          <w:szCs w:val="24"/>
        </w:rPr>
        <w:t>.</w:t>
      </w:r>
      <w:r w:rsidR="00CE7631" w:rsidRPr="001C57A5">
        <w:rPr>
          <w:rStyle w:val="FootnoteReference"/>
          <w:rFonts w:cstheme="minorHAnsi"/>
          <w:sz w:val="24"/>
          <w:szCs w:val="24"/>
        </w:rPr>
        <w:footnoteReference w:id="495"/>
      </w:r>
      <w:r w:rsidR="006D4864" w:rsidRPr="001C57A5">
        <w:rPr>
          <w:rFonts w:cstheme="minorHAnsi"/>
          <w:sz w:val="24"/>
          <w:szCs w:val="24"/>
        </w:rPr>
        <w:t xml:space="preserve"> </w:t>
      </w:r>
      <w:r w:rsidR="00CE7631" w:rsidRPr="001C57A5">
        <w:rPr>
          <w:rFonts w:cstheme="minorHAnsi"/>
          <w:sz w:val="24"/>
          <w:szCs w:val="24"/>
        </w:rPr>
        <w:t>Th</w:t>
      </w:r>
      <w:r w:rsidR="00CE7631">
        <w:rPr>
          <w:rFonts w:cstheme="minorHAnsi"/>
          <w:sz w:val="24"/>
          <w:szCs w:val="24"/>
        </w:rPr>
        <w:t xml:space="preserve">e Armenian government </w:t>
      </w:r>
      <w:r w:rsidR="00CE7631" w:rsidRPr="00CE7631">
        <w:rPr>
          <w:rFonts w:cstheme="minorHAnsi"/>
          <w:sz w:val="24"/>
          <w:szCs w:val="24"/>
        </w:rPr>
        <w:t>transfers large amounts of money to Nagorno-Karabakh to sustain its economy</w:t>
      </w:r>
      <w:r w:rsidR="006D3E9E">
        <w:rPr>
          <w:rFonts w:cstheme="minorHAnsi"/>
          <w:sz w:val="24"/>
          <w:szCs w:val="24"/>
        </w:rPr>
        <w:t>.</w:t>
      </w:r>
      <w:r w:rsidR="00CE7631" w:rsidRPr="00CE7631">
        <w:rPr>
          <w:rStyle w:val="FootnoteReference"/>
          <w:rFonts w:cstheme="minorHAnsi"/>
          <w:sz w:val="24"/>
          <w:szCs w:val="24"/>
        </w:rPr>
        <w:footnoteReference w:id="496"/>
      </w:r>
      <w:r w:rsidR="006D3E9E">
        <w:rPr>
          <w:rFonts w:cstheme="minorHAnsi"/>
          <w:sz w:val="24"/>
          <w:szCs w:val="24"/>
        </w:rPr>
        <w:t xml:space="preserve"> </w:t>
      </w:r>
      <w:r w:rsidR="00CE7631" w:rsidRPr="00CE7631">
        <w:rPr>
          <w:rFonts w:cstheme="minorHAnsi"/>
          <w:sz w:val="24"/>
          <w:szCs w:val="24"/>
        </w:rPr>
        <w:t xml:space="preserve"> </w:t>
      </w:r>
    </w:p>
    <w:p w14:paraId="18A4B2D2" w14:textId="09B7D79D" w:rsidR="00540CE3" w:rsidRDefault="00CE7631" w:rsidP="00540CE3">
      <w:pPr>
        <w:spacing w:after="0" w:line="240" w:lineRule="auto"/>
        <w:jc w:val="both"/>
        <w:rPr>
          <w:sz w:val="24"/>
          <w:szCs w:val="24"/>
        </w:rPr>
      </w:pPr>
      <w:r w:rsidRPr="00CE7631">
        <w:rPr>
          <w:rFonts w:cstheme="minorHAnsi"/>
          <w:sz w:val="24"/>
          <w:szCs w:val="24"/>
        </w:rPr>
        <w:t>The inhabitants hold Armenian passports</w:t>
      </w:r>
      <w:r w:rsidRPr="00CE7631">
        <w:rPr>
          <w:rStyle w:val="FootnoteReference"/>
          <w:rFonts w:cstheme="minorHAnsi"/>
          <w:sz w:val="24"/>
          <w:szCs w:val="24"/>
        </w:rPr>
        <w:footnoteReference w:id="497"/>
      </w:r>
      <w:r w:rsidRPr="00CE7631">
        <w:rPr>
          <w:rFonts w:cstheme="minorHAnsi"/>
          <w:sz w:val="24"/>
          <w:szCs w:val="24"/>
        </w:rPr>
        <w:t xml:space="preserve"> even though Nagorno-Karabakh has its ow</w:t>
      </w:r>
      <w:r w:rsidRPr="00CE7631">
        <w:rPr>
          <w:sz w:val="24"/>
          <w:szCs w:val="24"/>
        </w:rPr>
        <w:t>n citizenship.</w:t>
      </w:r>
      <w:r w:rsidR="0010792B">
        <w:rPr>
          <w:sz w:val="24"/>
          <w:szCs w:val="24"/>
        </w:rPr>
        <w:t xml:space="preserve"> As the nationality of Nagorno-Karabakh </w:t>
      </w:r>
      <w:r w:rsidR="00DE20DF">
        <w:rPr>
          <w:sz w:val="24"/>
          <w:szCs w:val="24"/>
        </w:rPr>
        <w:t>was</w:t>
      </w:r>
      <w:r w:rsidR="0010792B">
        <w:rPr>
          <w:sz w:val="24"/>
          <w:szCs w:val="24"/>
        </w:rPr>
        <w:t xml:space="preserve"> not recognised</w:t>
      </w:r>
      <w:r w:rsidR="00DE20DF">
        <w:rPr>
          <w:sz w:val="24"/>
          <w:szCs w:val="24"/>
        </w:rPr>
        <w:t xml:space="preserve"> and the constitution of the time did not refer to a citizenship</w:t>
      </w:r>
      <w:r w:rsidR="0010792B">
        <w:rPr>
          <w:sz w:val="24"/>
          <w:szCs w:val="24"/>
        </w:rPr>
        <w:t>, a 1999 Agreement provide</w:t>
      </w:r>
      <w:r w:rsidR="00DE20DF">
        <w:rPr>
          <w:sz w:val="24"/>
          <w:szCs w:val="24"/>
        </w:rPr>
        <w:t>d</w:t>
      </w:r>
      <w:r w:rsidR="0010792B">
        <w:rPr>
          <w:sz w:val="24"/>
          <w:szCs w:val="24"/>
        </w:rPr>
        <w:t xml:space="preserve"> that Armenia c</w:t>
      </w:r>
      <w:r w:rsidR="00DE20DF">
        <w:rPr>
          <w:sz w:val="24"/>
          <w:szCs w:val="24"/>
        </w:rPr>
        <w:t>ould</w:t>
      </w:r>
      <w:r w:rsidR="0010792B">
        <w:rPr>
          <w:sz w:val="24"/>
          <w:szCs w:val="24"/>
        </w:rPr>
        <w:t xml:space="preserve"> deliver Armenian passports for travel purposes only.</w:t>
      </w:r>
      <w:r w:rsidR="0010792B">
        <w:rPr>
          <w:rStyle w:val="FootnoteReference"/>
          <w:sz w:val="24"/>
          <w:szCs w:val="24"/>
        </w:rPr>
        <w:footnoteReference w:id="498"/>
      </w:r>
      <w:r w:rsidR="0010792B">
        <w:rPr>
          <w:sz w:val="24"/>
          <w:szCs w:val="24"/>
        </w:rPr>
        <w:t xml:space="preserve"> </w:t>
      </w:r>
      <w:r w:rsidR="00835954">
        <w:rPr>
          <w:sz w:val="24"/>
          <w:szCs w:val="24"/>
        </w:rPr>
        <w:t>This type of ‘citizenship’ however does not make holders of such passports eligible for benefits reserved to Armenian citizens.</w:t>
      </w:r>
      <w:r w:rsidR="00835954">
        <w:rPr>
          <w:rStyle w:val="FootnoteReference"/>
          <w:sz w:val="24"/>
          <w:szCs w:val="24"/>
        </w:rPr>
        <w:footnoteReference w:id="499"/>
      </w:r>
      <w:r w:rsidR="001071B2">
        <w:rPr>
          <w:sz w:val="24"/>
          <w:szCs w:val="24"/>
        </w:rPr>
        <w:t xml:space="preserve"> </w:t>
      </w:r>
      <w:r w:rsidR="00312EA7">
        <w:rPr>
          <w:sz w:val="24"/>
          <w:szCs w:val="24"/>
        </w:rPr>
        <w:t>Overall</w:t>
      </w:r>
      <w:r w:rsidR="006D4864" w:rsidRPr="00CE7631">
        <w:rPr>
          <w:sz w:val="24"/>
          <w:szCs w:val="24"/>
        </w:rPr>
        <w:t xml:space="preserve">, ‘when it comes to economy, culture and </w:t>
      </w:r>
      <w:proofErr w:type="spellStart"/>
      <w:r w:rsidR="006D4864" w:rsidRPr="00CE7631">
        <w:rPr>
          <w:sz w:val="24"/>
          <w:szCs w:val="24"/>
        </w:rPr>
        <w:t>defense</w:t>
      </w:r>
      <w:proofErr w:type="spellEnd"/>
      <w:r w:rsidR="006D4864" w:rsidRPr="00CE7631">
        <w:rPr>
          <w:sz w:val="24"/>
          <w:szCs w:val="24"/>
        </w:rPr>
        <w:t>, Nagorno-Karabakh and Armenia can be seen as a single space’.</w:t>
      </w:r>
      <w:r w:rsidR="006D4864" w:rsidRPr="00CE7631">
        <w:rPr>
          <w:sz w:val="24"/>
          <w:szCs w:val="24"/>
          <w:vertAlign w:val="superscript"/>
        </w:rPr>
        <w:footnoteReference w:id="500"/>
      </w:r>
      <w:r w:rsidR="006D4864" w:rsidRPr="00CE7631">
        <w:rPr>
          <w:sz w:val="24"/>
          <w:szCs w:val="24"/>
        </w:rPr>
        <w:t xml:space="preserve"> </w:t>
      </w:r>
      <w:r w:rsidRPr="00CE7631">
        <w:rPr>
          <w:sz w:val="24"/>
          <w:szCs w:val="24"/>
        </w:rPr>
        <w:t>Clearly, Nagorno-Karabakh is not able to maintain itself without Armenia.</w:t>
      </w:r>
      <w:r w:rsidRPr="00CE7631">
        <w:rPr>
          <w:sz w:val="24"/>
          <w:szCs w:val="24"/>
          <w:vertAlign w:val="superscript"/>
        </w:rPr>
        <w:footnoteReference w:id="501"/>
      </w:r>
      <w:r w:rsidRPr="00CE7631">
        <w:rPr>
          <w:sz w:val="24"/>
          <w:szCs w:val="24"/>
        </w:rPr>
        <w:t xml:space="preserve"> </w:t>
      </w:r>
    </w:p>
    <w:p w14:paraId="0E69C570" w14:textId="2418511E" w:rsidR="00F34169" w:rsidRDefault="00CE7631" w:rsidP="00540CE3">
      <w:pPr>
        <w:spacing w:after="0" w:line="240" w:lineRule="auto"/>
        <w:jc w:val="both"/>
        <w:rPr>
          <w:rFonts w:cstheme="minorHAnsi"/>
          <w:sz w:val="24"/>
          <w:szCs w:val="24"/>
        </w:rPr>
      </w:pPr>
      <w:r w:rsidRPr="00CE7631">
        <w:rPr>
          <w:sz w:val="24"/>
          <w:szCs w:val="24"/>
        </w:rPr>
        <w:t xml:space="preserve">Under Article 5 of the Constitution, international law has primacy over national law. </w:t>
      </w:r>
      <w:r w:rsidR="006D4864" w:rsidRPr="00CE7631">
        <w:rPr>
          <w:sz w:val="24"/>
          <w:szCs w:val="24"/>
        </w:rPr>
        <w:t>Like for the other entities, the President is the most important power in</w:t>
      </w:r>
      <w:r w:rsidR="006D4864" w:rsidRPr="00CE7631">
        <w:rPr>
          <w:rFonts w:cstheme="minorHAnsi"/>
          <w:sz w:val="24"/>
          <w:szCs w:val="24"/>
        </w:rPr>
        <w:t xml:space="preserve"> relation to national security and armed forces.</w:t>
      </w:r>
      <w:r w:rsidR="006D4864" w:rsidRPr="00CE7631">
        <w:rPr>
          <w:rStyle w:val="FootnoteReference"/>
          <w:rFonts w:cstheme="minorHAnsi"/>
          <w:sz w:val="24"/>
          <w:szCs w:val="24"/>
        </w:rPr>
        <w:footnoteReference w:id="502"/>
      </w:r>
      <w:r w:rsidRPr="00CE7631">
        <w:rPr>
          <w:rFonts w:cstheme="minorHAnsi"/>
          <w:sz w:val="24"/>
          <w:szCs w:val="24"/>
        </w:rPr>
        <w:t xml:space="preserve"> However, the Armenian armed forces are constantly present</w:t>
      </w:r>
      <w:r w:rsidR="002035FC">
        <w:rPr>
          <w:rFonts w:cstheme="minorHAnsi"/>
          <w:sz w:val="24"/>
          <w:szCs w:val="24"/>
        </w:rPr>
        <w:t>,</w:t>
      </w:r>
      <w:r w:rsidRPr="00CE7631">
        <w:rPr>
          <w:rStyle w:val="FootnoteReference"/>
          <w:rFonts w:cstheme="minorHAnsi"/>
          <w:sz w:val="24"/>
          <w:szCs w:val="24"/>
        </w:rPr>
        <w:footnoteReference w:id="503"/>
      </w:r>
      <w:r w:rsidR="002035FC">
        <w:rPr>
          <w:rFonts w:cstheme="minorHAnsi"/>
          <w:sz w:val="24"/>
          <w:szCs w:val="24"/>
        </w:rPr>
        <w:t xml:space="preserve"> despite claims to the contrary,</w:t>
      </w:r>
      <w:r w:rsidR="002035FC">
        <w:rPr>
          <w:rStyle w:val="FootnoteReference"/>
          <w:rFonts w:cstheme="minorHAnsi"/>
          <w:sz w:val="24"/>
          <w:szCs w:val="24"/>
        </w:rPr>
        <w:footnoteReference w:id="504"/>
      </w:r>
      <w:r w:rsidR="00E67975">
        <w:rPr>
          <w:rFonts w:cstheme="minorHAnsi"/>
          <w:sz w:val="24"/>
          <w:szCs w:val="24"/>
        </w:rPr>
        <w:t xml:space="preserve"> and conscripts sent to Nagorno-Karabakh.</w:t>
      </w:r>
      <w:r w:rsidR="00E67975">
        <w:rPr>
          <w:rStyle w:val="FootnoteReference"/>
          <w:rFonts w:cstheme="minorHAnsi"/>
          <w:sz w:val="24"/>
          <w:szCs w:val="24"/>
        </w:rPr>
        <w:footnoteReference w:id="505"/>
      </w:r>
      <w:r w:rsidR="006D4864" w:rsidRPr="00CE7631">
        <w:rPr>
          <w:rFonts w:cstheme="minorHAnsi"/>
          <w:sz w:val="24"/>
          <w:szCs w:val="24"/>
        </w:rPr>
        <w:t xml:space="preserve"> </w:t>
      </w:r>
      <w:r w:rsidR="00E67975">
        <w:rPr>
          <w:rFonts w:cstheme="minorHAnsi"/>
          <w:sz w:val="24"/>
          <w:szCs w:val="24"/>
        </w:rPr>
        <w:t xml:space="preserve">The 1994 agreement on Military Cooperation between the Governments of the Republic of Armenia and the </w:t>
      </w:r>
      <w:r w:rsidR="00E67975">
        <w:rPr>
          <w:rFonts w:cstheme="minorHAnsi"/>
          <w:sz w:val="24"/>
          <w:szCs w:val="24"/>
        </w:rPr>
        <w:lastRenderedPageBreak/>
        <w:t xml:space="preserve">Republic of Nagorno-Karabakh provides for close military cooperation between Armenia and the </w:t>
      </w:r>
      <w:r w:rsidR="00E67975">
        <w:rPr>
          <w:rFonts w:cstheme="minorHAnsi"/>
          <w:i/>
          <w:iCs/>
          <w:sz w:val="24"/>
          <w:szCs w:val="24"/>
        </w:rPr>
        <w:t xml:space="preserve">de facto </w:t>
      </w:r>
      <w:r w:rsidR="00E67975">
        <w:rPr>
          <w:rFonts w:cstheme="minorHAnsi"/>
          <w:sz w:val="24"/>
          <w:szCs w:val="24"/>
        </w:rPr>
        <w:t>State</w:t>
      </w:r>
      <w:r w:rsidR="00334A1F">
        <w:rPr>
          <w:rFonts w:cstheme="minorHAnsi"/>
          <w:sz w:val="24"/>
          <w:szCs w:val="24"/>
        </w:rPr>
        <w:t>,</w:t>
      </w:r>
      <w:r w:rsidR="00E67975">
        <w:rPr>
          <w:rStyle w:val="FootnoteReference"/>
          <w:rFonts w:cstheme="minorHAnsi"/>
          <w:sz w:val="24"/>
          <w:szCs w:val="24"/>
        </w:rPr>
        <w:footnoteReference w:id="506"/>
      </w:r>
      <w:r w:rsidR="00334A1F">
        <w:rPr>
          <w:rFonts w:cstheme="minorHAnsi"/>
          <w:sz w:val="24"/>
          <w:szCs w:val="24"/>
        </w:rPr>
        <w:t xml:space="preserve"> and has formalised Armenia’s military involvement.</w:t>
      </w:r>
      <w:r w:rsidR="00334A1F">
        <w:rPr>
          <w:rStyle w:val="FootnoteReference"/>
          <w:rFonts w:cstheme="minorHAnsi"/>
          <w:sz w:val="24"/>
          <w:szCs w:val="24"/>
        </w:rPr>
        <w:footnoteReference w:id="507"/>
      </w:r>
      <w:r w:rsidR="00E67975">
        <w:rPr>
          <w:rFonts w:cstheme="minorHAnsi"/>
          <w:sz w:val="24"/>
          <w:szCs w:val="24"/>
        </w:rPr>
        <w:t xml:space="preserve"> </w:t>
      </w:r>
      <w:r w:rsidR="006D4864" w:rsidRPr="00CE7631">
        <w:rPr>
          <w:rFonts w:cstheme="minorHAnsi"/>
          <w:sz w:val="24"/>
          <w:szCs w:val="24"/>
        </w:rPr>
        <w:t>Foreign policy is conducted by the President but again is rather limited, owing to the lack of recognition of the entity. The Constitution</w:t>
      </w:r>
      <w:r w:rsidR="006D4864">
        <w:rPr>
          <w:rFonts w:cstheme="minorHAnsi"/>
          <w:sz w:val="24"/>
          <w:szCs w:val="24"/>
        </w:rPr>
        <w:t xml:space="preserve"> also </w:t>
      </w:r>
      <w:r>
        <w:rPr>
          <w:rFonts w:cstheme="minorHAnsi"/>
          <w:sz w:val="24"/>
          <w:szCs w:val="24"/>
        </w:rPr>
        <w:t>mentions</w:t>
      </w:r>
      <w:r w:rsidR="006D4864">
        <w:rPr>
          <w:rFonts w:cstheme="minorHAnsi"/>
          <w:sz w:val="24"/>
          <w:szCs w:val="24"/>
        </w:rPr>
        <w:t xml:space="preserve"> the principles of foreign policy</w:t>
      </w:r>
      <w:r w:rsidR="006D4864">
        <w:rPr>
          <w:rStyle w:val="FootnoteReference"/>
          <w:rFonts w:cstheme="minorHAnsi"/>
          <w:sz w:val="24"/>
          <w:szCs w:val="24"/>
        </w:rPr>
        <w:footnoteReference w:id="508"/>
      </w:r>
      <w:r>
        <w:rPr>
          <w:rFonts w:cstheme="minorHAnsi"/>
          <w:sz w:val="24"/>
          <w:szCs w:val="24"/>
        </w:rPr>
        <w:t xml:space="preserve"> though it does not specify that its relationship with other States is based on treaty law and other related international law norms. </w:t>
      </w:r>
      <w:r w:rsidR="00540CE3">
        <w:rPr>
          <w:rFonts w:cstheme="minorHAnsi"/>
          <w:sz w:val="24"/>
          <w:szCs w:val="24"/>
        </w:rPr>
        <w:t>Of</w:t>
      </w:r>
      <w:r w:rsidR="00650C9D">
        <w:rPr>
          <w:rFonts w:cstheme="minorHAnsi"/>
          <w:sz w:val="24"/>
          <w:szCs w:val="24"/>
        </w:rPr>
        <w:t xml:space="preserve"> the four </w:t>
      </w:r>
      <w:r w:rsidR="00650C9D">
        <w:rPr>
          <w:rFonts w:cstheme="minorHAnsi"/>
          <w:i/>
          <w:iCs/>
          <w:sz w:val="24"/>
          <w:szCs w:val="24"/>
        </w:rPr>
        <w:t xml:space="preserve">de facto </w:t>
      </w:r>
      <w:r w:rsidR="00650C9D">
        <w:rPr>
          <w:rFonts w:cstheme="minorHAnsi"/>
          <w:sz w:val="24"/>
          <w:szCs w:val="24"/>
        </w:rPr>
        <w:t>States, Nagorno-Karabakh is undoubtedly the least independent entity and thus does not fulfil the requirements of statehood.</w:t>
      </w:r>
    </w:p>
    <w:p w14:paraId="2925DA91" w14:textId="2C3EAF4A" w:rsidR="00650C9D" w:rsidRDefault="00650C9D" w:rsidP="00092832">
      <w:pPr>
        <w:spacing w:line="240" w:lineRule="auto"/>
        <w:jc w:val="both"/>
        <w:rPr>
          <w:rFonts w:cstheme="minorHAnsi"/>
          <w:sz w:val="24"/>
          <w:szCs w:val="24"/>
        </w:rPr>
      </w:pPr>
    </w:p>
    <w:p w14:paraId="7BD76FB6" w14:textId="1A3F6036" w:rsidR="00650C9D" w:rsidRDefault="00650C9D" w:rsidP="00A52EF7">
      <w:pPr>
        <w:pStyle w:val="Heading1"/>
      </w:pPr>
      <w:r>
        <w:t>Conclusion</w:t>
      </w:r>
    </w:p>
    <w:p w14:paraId="156C3844" w14:textId="1FD80CF5" w:rsidR="00390F8F" w:rsidRDefault="00390F8F" w:rsidP="009350A5">
      <w:pPr>
        <w:spacing w:after="0" w:line="240" w:lineRule="auto"/>
        <w:jc w:val="both"/>
        <w:rPr>
          <w:rFonts w:cstheme="minorHAnsi"/>
          <w:sz w:val="24"/>
          <w:szCs w:val="24"/>
        </w:rPr>
      </w:pPr>
      <w:r>
        <w:rPr>
          <w:rFonts w:cstheme="minorHAnsi"/>
          <w:sz w:val="24"/>
          <w:szCs w:val="24"/>
        </w:rPr>
        <w:t>The four entities analysed in this chapter possess many trappings of statehood, similar to sovereign recognised States. They have a defined territory, a permanent population, an effective government though it is more basic in its functions than one would expect, especially in a European context, and have shown their capacity to enter into relations with other entities. However, owing to a lack of recognition, they are unable to conduct effective foreign relations with States apart from their patron State.</w:t>
      </w:r>
    </w:p>
    <w:p w14:paraId="140681BD" w14:textId="4FE8712F" w:rsidR="00B82D0C" w:rsidRDefault="00B82D0C" w:rsidP="009350A5">
      <w:pPr>
        <w:spacing w:after="0" w:line="240" w:lineRule="auto"/>
        <w:jc w:val="both"/>
        <w:rPr>
          <w:rFonts w:cstheme="minorHAnsi"/>
          <w:sz w:val="24"/>
          <w:szCs w:val="24"/>
        </w:rPr>
      </w:pPr>
      <w:r>
        <w:rPr>
          <w:rFonts w:cstheme="minorHAnsi"/>
          <w:sz w:val="24"/>
          <w:szCs w:val="24"/>
        </w:rPr>
        <w:t>Lack of recognition should not be a problem since, after all, there is some agreement that recognition as a unilateral act, i.e., an act based on political considerations that has legal consequences, is declarative. In other words, an entity is deemed a State from the moment it fulfils the Montevideo Convention requirements and no recognition to this effect is required. Such theory ensures that an entity does not need to seek recognition from major powers and can without official recognition defend its territorial integrity and independence as well as organise itself without undue interference.</w:t>
      </w:r>
      <w:r>
        <w:rPr>
          <w:rStyle w:val="FootnoteReference"/>
          <w:rFonts w:cstheme="minorHAnsi"/>
          <w:sz w:val="24"/>
          <w:szCs w:val="24"/>
        </w:rPr>
        <w:footnoteReference w:id="509"/>
      </w:r>
      <w:r>
        <w:rPr>
          <w:rFonts w:cstheme="minorHAnsi"/>
          <w:sz w:val="24"/>
          <w:szCs w:val="24"/>
        </w:rPr>
        <w:t xml:space="preserve"> However, for entities that are seceding from their parent State, recognition is essential.</w:t>
      </w:r>
    </w:p>
    <w:p w14:paraId="609F7157" w14:textId="2C5666F0" w:rsidR="007C2835" w:rsidRDefault="00390F8F" w:rsidP="009350A5">
      <w:pPr>
        <w:spacing w:after="0" w:line="240" w:lineRule="auto"/>
        <w:jc w:val="both"/>
        <w:rPr>
          <w:rFonts w:cstheme="minorHAnsi"/>
          <w:sz w:val="24"/>
          <w:szCs w:val="24"/>
        </w:rPr>
      </w:pPr>
      <w:r>
        <w:rPr>
          <w:rFonts w:cstheme="minorHAnsi"/>
          <w:sz w:val="24"/>
          <w:szCs w:val="24"/>
        </w:rPr>
        <w:t>In the</w:t>
      </w:r>
      <w:r w:rsidR="00B82D0C">
        <w:rPr>
          <w:rFonts w:cstheme="minorHAnsi"/>
          <w:sz w:val="24"/>
          <w:szCs w:val="24"/>
        </w:rPr>
        <w:t xml:space="preserve"> 1970s</w:t>
      </w:r>
      <w:r w:rsidR="00B60773">
        <w:rPr>
          <w:rFonts w:cstheme="minorHAnsi"/>
          <w:sz w:val="24"/>
          <w:szCs w:val="24"/>
        </w:rPr>
        <w:t>,</w:t>
      </w:r>
      <w:r w:rsidR="00B82D0C">
        <w:rPr>
          <w:rFonts w:cstheme="minorHAnsi"/>
          <w:sz w:val="24"/>
          <w:szCs w:val="24"/>
        </w:rPr>
        <w:t xml:space="preserve"> the international community via the United Nations</w:t>
      </w:r>
      <w:r w:rsidR="000674B6">
        <w:rPr>
          <w:rFonts w:cstheme="minorHAnsi"/>
          <w:sz w:val="24"/>
          <w:szCs w:val="24"/>
        </w:rPr>
        <w:t xml:space="preserve"> declared that failure to comply with some key principles of international law would inexorably lead to a denial of recognition of the emerging State. </w:t>
      </w:r>
      <w:r w:rsidR="00D62B2D">
        <w:rPr>
          <w:rFonts w:cstheme="minorHAnsi"/>
          <w:sz w:val="24"/>
          <w:szCs w:val="24"/>
        </w:rPr>
        <w:t>Some</w:t>
      </w:r>
      <w:r w:rsidR="000674B6">
        <w:rPr>
          <w:rFonts w:cstheme="minorHAnsi"/>
          <w:sz w:val="24"/>
          <w:szCs w:val="24"/>
        </w:rPr>
        <w:t xml:space="preserve"> of the </w:t>
      </w:r>
      <w:r w:rsidR="000674B6">
        <w:rPr>
          <w:rFonts w:cstheme="minorHAnsi"/>
          <w:i/>
          <w:sz w:val="24"/>
          <w:szCs w:val="24"/>
        </w:rPr>
        <w:t xml:space="preserve">de facto </w:t>
      </w:r>
      <w:r w:rsidR="000674B6">
        <w:rPr>
          <w:rFonts w:cstheme="minorHAnsi"/>
          <w:sz w:val="24"/>
          <w:szCs w:val="24"/>
        </w:rPr>
        <w:t xml:space="preserve">States studied in this chapter breached </w:t>
      </w:r>
      <w:r w:rsidR="00D62B2D">
        <w:rPr>
          <w:rFonts w:cstheme="minorHAnsi"/>
          <w:sz w:val="24"/>
          <w:szCs w:val="24"/>
        </w:rPr>
        <w:t xml:space="preserve">one of these principles but not all. The problem is that as </w:t>
      </w:r>
      <w:r w:rsidR="00180549">
        <w:rPr>
          <w:rFonts w:cstheme="minorHAnsi"/>
          <w:sz w:val="24"/>
          <w:szCs w:val="24"/>
        </w:rPr>
        <w:t xml:space="preserve">the </w:t>
      </w:r>
      <w:r w:rsidR="00D62B2D">
        <w:rPr>
          <w:rFonts w:cstheme="minorHAnsi"/>
          <w:sz w:val="24"/>
          <w:szCs w:val="24"/>
        </w:rPr>
        <w:t>Soviet Union was collapsing, assessing whether they seceded from the Soviet Union, a Soviet Republic or an independent State – especially when multiple declarations of sovereignty/independence were made – is difficult and so is the lawfulness of their creation.</w:t>
      </w:r>
    </w:p>
    <w:p w14:paraId="60EA34A7" w14:textId="562D1776" w:rsidR="007C2835" w:rsidRDefault="00D62B2D" w:rsidP="009350A5">
      <w:pPr>
        <w:spacing w:after="0" w:line="240" w:lineRule="auto"/>
        <w:jc w:val="both"/>
        <w:rPr>
          <w:rFonts w:cstheme="minorHAnsi"/>
          <w:sz w:val="24"/>
          <w:szCs w:val="24"/>
        </w:rPr>
      </w:pPr>
      <w:r>
        <w:rPr>
          <w:rFonts w:cstheme="minorHAnsi"/>
          <w:sz w:val="24"/>
          <w:szCs w:val="24"/>
        </w:rPr>
        <w:t>As for their claim to the right of self-determination, the current state of the law is that they do not fulfil the criteria; a broad definition of alien/foreign occupation</w:t>
      </w:r>
      <w:r w:rsidR="00193B4A">
        <w:rPr>
          <w:rFonts w:cstheme="minorHAnsi"/>
          <w:sz w:val="24"/>
          <w:szCs w:val="24"/>
        </w:rPr>
        <w:t xml:space="preserve"> or of remedial secession (provided it is accepted) would need to be adopted. As much as one might sympathise with their claims and especially decades of discrimination and lack of meaningful self-governance, they cannot claim a right to self-determination.</w:t>
      </w:r>
      <w:r w:rsidR="00340ACB">
        <w:rPr>
          <w:rFonts w:cstheme="minorHAnsi"/>
          <w:sz w:val="24"/>
          <w:szCs w:val="24"/>
        </w:rPr>
        <w:t xml:space="preserve"> A change in the interpretation of the circumstances under which a people can invoke such a right is unlikely to be adopted any time soon. The latest jurisprudence of the UK Supreme Court on the Scottish </w:t>
      </w:r>
      <w:r w:rsidR="00180549">
        <w:rPr>
          <w:rFonts w:cstheme="minorHAnsi"/>
          <w:sz w:val="24"/>
          <w:szCs w:val="24"/>
        </w:rPr>
        <w:t>people’s</w:t>
      </w:r>
      <w:r w:rsidR="00340ACB">
        <w:rPr>
          <w:rFonts w:cstheme="minorHAnsi"/>
          <w:sz w:val="24"/>
          <w:szCs w:val="24"/>
        </w:rPr>
        <w:t xml:space="preserve"> claim is nothing but a reiteration of previous case law</w:t>
      </w:r>
      <w:r w:rsidR="00530084">
        <w:rPr>
          <w:rFonts w:cstheme="minorHAnsi"/>
          <w:sz w:val="24"/>
          <w:szCs w:val="24"/>
        </w:rPr>
        <w:t xml:space="preserve">. Moreover, even if </w:t>
      </w:r>
      <w:r w:rsidR="004E11E4">
        <w:rPr>
          <w:rFonts w:cstheme="minorHAnsi"/>
          <w:sz w:val="24"/>
          <w:szCs w:val="24"/>
        </w:rPr>
        <w:t xml:space="preserve">the </w:t>
      </w:r>
      <w:r w:rsidR="00530084">
        <w:rPr>
          <w:rFonts w:cstheme="minorHAnsi"/>
          <w:sz w:val="24"/>
          <w:szCs w:val="24"/>
        </w:rPr>
        <w:t xml:space="preserve">UK Supreme </w:t>
      </w:r>
      <w:r w:rsidR="004E11E4">
        <w:rPr>
          <w:rFonts w:cstheme="minorHAnsi"/>
          <w:sz w:val="24"/>
          <w:szCs w:val="24"/>
        </w:rPr>
        <w:t xml:space="preserve">Court ‘almost accepted remedial secessions’ validity </w:t>
      </w:r>
      <w:r w:rsidR="004E11E4">
        <w:rPr>
          <w:rFonts w:cstheme="minorHAnsi"/>
          <w:i/>
          <w:iCs/>
          <w:sz w:val="24"/>
          <w:szCs w:val="24"/>
        </w:rPr>
        <w:t xml:space="preserve">de </w:t>
      </w:r>
      <w:proofErr w:type="spellStart"/>
      <w:r w:rsidR="004E11E4">
        <w:rPr>
          <w:rFonts w:cstheme="minorHAnsi"/>
          <w:i/>
          <w:iCs/>
          <w:sz w:val="24"/>
          <w:szCs w:val="24"/>
        </w:rPr>
        <w:t>plano</w:t>
      </w:r>
      <w:proofErr w:type="spellEnd"/>
      <w:r w:rsidR="004E11E4">
        <w:rPr>
          <w:rFonts w:cstheme="minorHAnsi"/>
          <w:i/>
          <w:iCs/>
          <w:sz w:val="24"/>
          <w:szCs w:val="24"/>
        </w:rPr>
        <w:t>’</w:t>
      </w:r>
      <w:r w:rsidR="00530084">
        <w:rPr>
          <w:rFonts w:cstheme="minorHAnsi"/>
          <w:i/>
          <w:iCs/>
          <w:sz w:val="24"/>
          <w:szCs w:val="24"/>
        </w:rPr>
        <w:t xml:space="preserve"> </w:t>
      </w:r>
      <w:r w:rsidR="00530084">
        <w:rPr>
          <w:rFonts w:cstheme="minorHAnsi"/>
          <w:sz w:val="24"/>
          <w:szCs w:val="24"/>
        </w:rPr>
        <w:t>and the doctrine of remedial secession is gaining traction,</w:t>
      </w:r>
      <w:r w:rsidR="00530084">
        <w:rPr>
          <w:rStyle w:val="FootnoteReference"/>
          <w:rFonts w:cstheme="minorHAnsi"/>
          <w:sz w:val="24"/>
          <w:szCs w:val="24"/>
        </w:rPr>
        <w:footnoteReference w:id="510"/>
      </w:r>
      <w:r w:rsidR="00530084">
        <w:rPr>
          <w:rFonts w:cstheme="minorHAnsi"/>
          <w:sz w:val="24"/>
          <w:szCs w:val="24"/>
        </w:rPr>
        <w:t xml:space="preserve"> t</w:t>
      </w:r>
      <w:r w:rsidR="00340ACB">
        <w:rPr>
          <w:rFonts w:cstheme="minorHAnsi"/>
          <w:sz w:val="24"/>
          <w:szCs w:val="24"/>
        </w:rPr>
        <w:t xml:space="preserve">he use of the referenda in Ukraine leading to </w:t>
      </w:r>
      <w:r w:rsidR="00340ACB">
        <w:rPr>
          <w:rFonts w:cstheme="minorHAnsi"/>
          <w:sz w:val="24"/>
          <w:szCs w:val="24"/>
        </w:rPr>
        <w:lastRenderedPageBreak/>
        <w:t xml:space="preserve">declarations of independence and eventual incorporations into Russia has led the international community to grow worried about deploying such means to </w:t>
      </w:r>
      <w:r w:rsidR="00684A61">
        <w:rPr>
          <w:rFonts w:cstheme="minorHAnsi"/>
          <w:sz w:val="24"/>
          <w:szCs w:val="24"/>
        </w:rPr>
        <w:t>detect</w:t>
      </w:r>
      <w:r w:rsidR="00340ACB">
        <w:rPr>
          <w:rFonts w:cstheme="minorHAnsi"/>
          <w:sz w:val="24"/>
          <w:szCs w:val="24"/>
        </w:rPr>
        <w:t xml:space="preserve"> the peoples’ longing for independence</w:t>
      </w:r>
      <w:r w:rsidR="00530084">
        <w:rPr>
          <w:rFonts w:cstheme="minorHAnsi"/>
          <w:sz w:val="24"/>
          <w:szCs w:val="24"/>
        </w:rPr>
        <w:t xml:space="preserve"> and grant independence more generally</w:t>
      </w:r>
      <w:r w:rsidR="00340ACB">
        <w:rPr>
          <w:rFonts w:cstheme="minorHAnsi"/>
          <w:sz w:val="24"/>
          <w:szCs w:val="24"/>
        </w:rPr>
        <w:t xml:space="preserve">. </w:t>
      </w:r>
    </w:p>
    <w:p w14:paraId="4465288A" w14:textId="78276945" w:rsidR="009350A5" w:rsidRDefault="007C2835" w:rsidP="009350A5">
      <w:pPr>
        <w:spacing w:after="0" w:line="240" w:lineRule="auto"/>
        <w:jc w:val="both"/>
        <w:rPr>
          <w:rFonts w:cstheme="minorHAnsi"/>
          <w:sz w:val="24"/>
          <w:szCs w:val="24"/>
        </w:rPr>
      </w:pPr>
      <w:r>
        <w:rPr>
          <w:rFonts w:cstheme="minorHAnsi"/>
          <w:sz w:val="24"/>
          <w:szCs w:val="24"/>
        </w:rPr>
        <w:t xml:space="preserve">The problem </w:t>
      </w:r>
      <w:r w:rsidR="00193B4A">
        <w:rPr>
          <w:rFonts w:cstheme="minorHAnsi"/>
          <w:sz w:val="24"/>
          <w:szCs w:val="24"/>
        </w:rPr>
        <w:t xml:space="preserve">for the international community </w:t>
      </w:r>
      <w:r>
        <w:rPr>
          <w:rFonts w:cstheme="minorHAnsi"/>
          <w:sz w:val="24"/>
          <w:szCs w:val="24"/>
        </w:rPr>
        <w:t>is</w:t>
      </w:r>
      <w:r w:rsidR="00193B4A">
        <w:rPr>
          <w:rFonts w:cstheme="minorHAnsi"/>
          <w:sz w:val="24"/>
          <w:szCs w:val="24"/>
        </w:rPr>
        <w:t>, as much as it was hoped that the</w:t>
      </w:r>
      <w:r w:rsidR="00684A61">
        <w:rPr>
          <w:rFonts w:cstheme="minorHAnsi"/>
          <w:sz w:val="24"/>
          <w:szCs w:val="24"/>
        </w:rPr>
        <w:t>se entities</w:t>
      </w:r>
      <w:r w:rsidR="00193B4A">
        <w:rPr>
          <w:rFonts w:cstheme="minorHAnsi"/>
          <w:sz w:val="24"/>
          <w:szCs w:val="24"/>
        </w:rPr>
        <w:t xml:space="preserve"> would come back into the fold of their </w:t>
      </w:r>
      <w:r w:rsidR="00684A61">
        <w:rPr>
          <w:rFonts w:cstheme="minorHAnsi"/>
          <w:sz w:val="24"/>
          <w:szCs w:val="24"/>
        </w:rPr>
        <w:t>‘</w:t>
      </w:r>
      <w:r w:rsidR="00193B4A">
        <w:rPr>
          <w:rFonts w:cstheme="minorHAnsi"/>
          <w:sz w:val="24"/>
          <w:szCs w:val="24"/>
        </w:rPr>
        <w:t>parents</w:t>
      </w:r>
      <w:r w:rsidR="00684A61">
        <w:rPr>
          <w:rFonts w:cstheme="minorHAnsi"/>
          <w:sz w:val="24"/>
          <w:szCs w:val="24"/>
        </w:rPr>
        <w:t>’</w:t>
      </w:r>
      <w:r w:rsidR="00193B4A">
        <w:rPr>
          <w:rFonts w:cstheme="minorHAnsi"/>
          <w:sz w:val="24"/>
          <w:szCs w:val="24"/>
        </w:rPr>
        <w:t xml:space="preserve">, they have survived for 30 years. These three decades have not made them stronger in the sense of </w:t>
      </w:r>
      <w:r w:rsidR="00201E83">
        <w:rPr>
          <w:rFonts w:cstheme="minorHAnsi"/>
          <w:sz w:val="24"/>
          <w:szCs w:val="24"/>
        </w:rPr>
        <w:t>S</w:t>
      </w:r>
      <w:r w:rsidR="00193B4A">
        <w:rPr>
          <w:rFonts w:cstheme="minorHAnsi"/>
          <w:sz w:val="24"/>
          <w:szCs w:val="24"/>
        </w:rPr>
        <w:t>tate- and nation-building, it has led them to seek the support of a p</w:t>
      </w:r>
      <w:r w:rsidR="00684A61">
        <w:rPr>
          <w:rFonts w:cstheme="minorHAnsi"/>
          <w:sz w:val="24"/>
          <w:szCs w:val="24"/>
        </w:rPr>
        <w:t>atron</w:t>
      </w:r>
      <w:r w:rsidR="00193B4A">
        <w:rPr>
          <w:rFonts w:cstheme="minorHAnsi"/>
          <w:sz w:val="24"/>
          <w:szCs w:val="24"/>
        </w:rPr>
        <w:t xml:space="preserve"> State or allow a </w:t>
      </w:r>
      <w:r w:rsidR="00D92001">
        <w:rPr>
          <w:rFonts w:cstheme="minorHAnsi"/>
          <w:sz w:val="24"/>
          <w:szCs w:val="24"/>
        </w:rPr>
        <w:t>third</w:t>
      </w:r>
      <w:r w:rsidR="00894228">
        <w:rPr>
          <w:rFonts w:cstheme="minorHAnsi"/>
          <w:sz w:val="24"/>
          <w:szCs w:val="24"/>
        </w:rPr>
        <w:t xml:space="preserve"> </w:t>
      </w:r>
      <w:r w:rsidR="00D92001">
        <w:rPr>
          <w:rFonts w:cstheme="minorHAnsi"/>
          <w:sz w:val="24"/>
          <w:szCs w:val="24"/>
        </w:rPr>
        <w:t>party</w:t>
      </w:r>
      <w:r w:rsidR="00193B4A">
        <w:rPr>
          <w:rFonts w:cstheme="minorHAnsi"/>
          <w:sz w:val="24"/>
          <w:szCs w:val="24"/>
        </w:rPr>
        <w:t xml:space="preserve"> State to offer its support. The consequences are wide-ranging but</w:t>
      </w:r>
      <w:r w:rsidR="002035FC">
        <w:rPr>
          <w:rFonts w:cstheme="minorHAnsi"/>
          <w:sz w:val="24"/>
          <w:szCs w:val="24"/>
        </w:rPr>
        <w:t>,</w:t>
      </w:r>
      <w:r w:rsidR="00193B4A">
        <w:rPr>
          <w:rFonts w:cstheme="minorHAnsi"/>
          <w:sz w:val="24"/>
          <w:szCs w:val="24"/>
        </w:rPr>
        <w:t xml:space="preserve"> from a legal perspective</w:t>
      </w:r>
      <w:r w:rsidR="002035FC">
        <w:rPr>
          <w:rFonts w:cstheme="minorHAnsi"/>
          <w:sz w:val="24"/>
          <w:szCs w:val="24"/>
        </w:rPr>
        <w:t>,</w:t>
      </w:r>
      <w:r w:rsidR="00193B4A">
        <w:rPr>
          <w:rFonts w:cstheme="minorHAnsi"/>
          <w:sz w:val="24"/>
          <w:szCs w:val="24"/>
        </w:rPr>
        <w:t xml:space="preserve"> the most obvious one is that now their claim to statehood is even weaker than it was before; their governments might be </w:t>
      </w:r>
      <w:r w:rsidR="002035FC">
        <w:rPr>
          <w:rFonts w:cstheme="minorHAnsi"/>
          <w:sz w:val="24"/>
          <w:szCs w:val="24"/>
        </w:rPr>
        <w:t>effective,</w:t>
      </w:r>
      <w:r w:rsidR="00193B4A">
        <w:rPr>
          <w:rFonts w:cstheme="minorHAnsi"/>
          <w:sz w:val="24"/>
          <w:szCs w:val="24"/>
        </w:rPr>
        <w:t xml:space="preserve"> but they are not independent</w:t>
      </w:r>
      <w:r w:rsidR="009350A5">
        <w:rPr>
          <w:rFonts w:cstheme="minorHAnsi"/>
          <w:sz w:val="24"/>
          <w:szCs w:val="24"/>
        </w:rPr>
        <w:t xml:space="preserve">. 2008 was a watershed year for South Ossetia and </w:t>
      </w:r>
      <w:r w:rsidR="002035FC">
        <w:rPr>
          <w:rFonts w:cstheme="minorHAnsi"/>
          <w:sz w:val="24"/>
          <w:szCs w:val="24"/>
        </w:rPr>
        <w:t>Abkhazia</w:t>
      </w:r>
      <w:r w:rsidR="009350A5">
        <w:rPr>
          <w:rFonts w:cstheme="minorHAnsi"/>
          <w:sz w:val="24"/>
          <w:szCs w:val="24"/>
        </w:rPr>
        <w:t xml:space="preserve">; Transnistria and Nagorno-Karabakh have gradually (the former more slowly than the latter) slipped into the hands of their patron State. </w:t>
      </w:r>
    </w:p>
    <w:p w14:paraId="34E4C67D" w14:textId="0281E092" w:rsidR="00180549" w:rsidRDefault="009350A5" w:rsidP="0084193D">
      <w:pPr>
        <w:spacing w:after="0" w:line="240" w:lineRule="auto"/>
        <w:jc w:val="both"/>
        <w:rPr>
          <w:rFonts w:cstheme="minorHAnsi"/>
          <w:sz w:val="24"/>
          <w:szCs w:val="24"/>
        </w:rPr>
      </w:pPr>
      <w:r>
        <w:rPr>
          <w:rFonts w:cstheme="minorHAnsi"/>
          <w:sz w:val="24"/>
          <w:szCs w:val="24"/>
        </w:rPr>
        <w:t>At this point</w:t>
      </w:r>
      <w:r w:rsidR="002035FC">
        <w:rPr>
          <w:rFonts w:cstheme="minorHAnsi"/>
          <w:sz w:val="24"/>
          <w:szCs w:val="24"/>
        </w:rPr>
        <w:t>,</w:t>
      </w:r>
      <w:r>
        <w:rPr>
          <w:rFonts w:cstheme="minorHAnsi"/>
          <w:sz w:val="24"/>
          <w:szCs w:val="24"/>
        </w:rPr>
        <w:t xml:space="preserve"> it is even more difficult to recognise them. Too late? Abkhazia, South Ossetia, and Transnistria are more or less </w:t>
      </w:r>
      <w:r>
        <w:rPr>
          <w:rFonts w:cstheme="minorHAnsi"/>
          <w:i/>
          <w:sz w:val="24"/>
          <w:szCs w:val="24"/>
        </w:rPr>
        <w:t xml:space="preserve">de facto </w:t>
      </w:r>
      <w:r>
        <w:rPr>
          <w:rFonts w:cstheme="minorHAnsi"/>
          <w:sz w:val="24"/>
          <w:szCs w:val="24"/>
        </w:rPr>
        <w:t xml:space="preserve">constituent parts of </w:t>
      </w:r>
      <w:r w:rsidR="00180549">
        <w:rPr>
          <w:rFonts w:cstheme="minorHAnsi"/>
          <w:sz w:val="24"/>
          <w:szCs w:val="24"/>
        </w:rPr>
        <w:t>Russia,</w:t>
      </w:r>
      <w:r>
        <w:rPr>
          <w:rFonts w:cstheme="minorHAnsi"/>
          <w:sz w:val="24"/>
          <w:szCs w:val="24"/>
        </w:rPr>
        <w:t xml:space="preserve"> and it is doubtful that </w:t>
      </w:r>
      <w:r w:rsidR="00D92001">
        <w:rPr>
          <w:rFonts w:cstheme="minorHAnsi"/>
          <w:sz w:val="24"/>
          <w:szCs w:val="24"/>
        </w:rPr>
        <w:t xml:space="preserve">their </w:t>
      </w:r>
      <w:r>
        <w:rPr>
          <w:rFonts w:cstheme="minorHAnsi"/>
          <w:sz w:val="24"/>
          <w:szCs w:val="24"/>
        </w:rPr>
        <w:t xml:space="preserve">recognition by the international community (if it were to ignore the unlawfulness of their emergence </w:t>
      </w:r>
      <w:r w:rsidRPr="00CA423B">
        <w:rPr>
          <w:rFonts w:cstheme="minorHAnsi"/>
          <w:sz w:val="24"/>
          <w:szCs w:val="24"/>
        </w:rPr>
        <w:t xml:space="preserve">and set aside the complicated history of the dissolution of the Soviet Union) would boost their (real) independence and thus contribute to reinforcing their statehood. Given Russia’s attitude towards its near abroad, the international community might recognise three satellite statelets, all mouthpieces of Russia. As for Nagorno-Karabakh, the situation at the time of writing has sadly reached new lows with </w:t>
      </w:r>
      <w:r w:rsidR="006E61B5" w:rsidRPr="00CA423B">
        <w:rPr>
          <w:rFonts w:cstheme="minorHAnsi"/>
          <w:sz w:val="24"/>
          <w:szCs w:val="24"/>
        </w:rPr>
        <w:t>a blockade of the Lachin corridor.</w:t>
      </w:r>
      <w:r w:rsidR="00DA3E5A" w:rsidRPr="00CA423B">
        <w:rPr>
          <w:rFonts w:cstheme="minorHAnsi"/>
          <w:sz w:val="24"/>
          <w:szCs w:val="24"/>
        </w:rPr>
        <w:t xml:space="preserve"> Maybe, indeed, too late.</w:t>
      </w:r>
      <w:r w:rsidR="00684A61" w:rsidRPr="00CA423B">
        <w:rPr>
          <w:rFonts w:cstheme="minorHAnsi"/>
          <w:sz w:val="24"/>
          <w:szCs w:val="24"/>
        </w:rPr>
        <w:t xml:space="preserve"> </w:t>
      </w:r>
    </w:p>
    <w:p w14:paraId="4B72B754" w14:textId="702A9579" w:rsidR="00180549" w:rsidRDefault="00684A61" w:rsidP="0084193D">
      <w:pPr>
        <w:spacing w:after="0" w:line="240" w:lineRule="auto"/>
        <w:jc w:val="both"/>
        <w:rPr>
          <w:rFonts w:ascii="Calibri" w:hAnsi="Calibri" w:cs="Calibri"/>
          <w:color w:val="242424"/>
          <w:sz w:val="24"/>
          <w:szCs w:val="24"/>
          <w:shd w:val="clear" w:color="auto" w:fill="FFFFFF"/>
        </w:rPr>
      </w:pPr>
      <w:r w:rsidRPr="00CA423B">
        <w:rPr>
          <w:rFonts w:cstheme="minorHAnsi"/>
          <w:sz w:val="24"/>
          <w:szCs w:val="24"/>
        </w:rPr>
        <w:t xml:space="preserve">Whether </w:t>
      </w:r>
      <w:r w:rsidR="00894228" w:rsidRPr="00CA423B">
        <w:rPr>
          <w:rFonts w:ascii="Calibri" w:hAnsi="Calibri" w:cs="Calibri"/>
          <w:color w:val="242424"/>
          <w:sz w:val="24"/>
          <w:szCs w:val="24"/>
          <w:shd w:val="clear" w:color="auto" w:fill="FFFFFF"/>
        </w:rPr>
        <w:t xml:space="preserve">there </w:t>
      </w:r>
      <w:r w:rsidRPr="00CA423B">
        <w:rPr>
          <w:rFonts w:ascii="Calibri" w:hAnsi="Calibri" w:cs="Calibri"/>
          <w:color w:val="242424"/>
          <w:sz w:val="24"/>
          <w:szCs w:val="24"/>
          <w:shd w:val="clear" w:color="auto" w:fill="FFFFFF"/>
        </w:rPr>
        <w:t xml:space="preserve">is </w:t>
      </w:r>
      <w:r w:rsidR="00894228" w:rsidRPr="00CA423B">
        <w:rPr>
          <w:rFonts w:ascii="Calibri" w:hAnsi="Calibri" w:cs="Calibri"/>
          <w:color w:val="242424"/>
          <w:sz w:val="24"/>
          <w:szCs w:val="24"/>
          <w:shd w:val="clear" w:color="auto" w:fill="FFFFFF"/>
        </w:rPr>
        <w:t xml:space="preserve">a point for them to continue striving for independence and statehood </w:t>
      </w:r>
      <w:r w:rsidRPr="00CA423B">
        <w:rPr>
          <w:rFonts w:ascii="Calibri" w:hAnsi="Calibri" w:cs="Calibri"/>
          <w:color w:val="242424"/>
          <w:sz w:val="24"/>
          <w:szCs w:val="24"/>
          <w:shd w:val="clear" w:color="auto" w:fill="FFFFFF"/>
        </w:rPr>
        <w:t xml:space="preserve">is very much a question for these entities to </w:t>
      </w:r>
      <w:r w:rsidR="00CA423B">
        <w:rPr>
          <w:rFonts w:ascii="Calibri" w:hAnsi="Calibri" w:cs="Calibri"/>
          <w:color w:val="242424"/>
          <w:sz w:val="24"/>
          <w:szCs w:val="24"/>
          <w:shd w:val="clear" w:color="auto" w:fill="FFFFFF"/>
        </w:rPr>
        <w:t>answer</w:t>
      </w:r>
      <w:r w:rsidRPr="00CA423B">
        <w:rPr>
          <w:rFonts w:ascii="Calibri" w:hAnsi="Calibri" w:cs="Calibri"/>
          <w:color w:val="242424"/>
          <w:sz w:val="24"/>
          <w:szCs w:val="24"/>
          <w:shd w:val="clear" w:color="auto" w:fill="FFFFFF"/>
        </w:rPr>
        <w:t xml:space="preserve"> for themselves. </w:t>
      </w:r>
      <w:r w:rsidR="00180549">
        <w:rPr>
          <w:rFonts w:ascii="Calibri" w:hAnsi="Calibri" w:cs="Calibri"/>
          <w:color w:val="242424"/>
          <w:sz w:val="24"/>
          <w:szCs w:val="24"/>
          <w:shd w:val="clear" w:color="auto" w:fill="FFFFFF"/>
        </w:rPr>
        <w:t>They</w:t>
      </w:r>
      <w:r w:rsidRPr="00CA423B">
        <w:rPr>
          <w:rFonts w:ascii="Calibri" w:hAnsi="Calibri" w:cs="Calibri"/>
          <w:color w:val="242424"/>
          <w:sz w:val="24"/>
          <w:szCs w:val="24"/>
          <w:shd w:val="clear" w:color="auto" w:fill="FFFFFF"/>
        </w:rPr>
        <w:t xml:space="preserve"> do not want to go back into the fold of their parent State</w:t>
      </w:r>
      <w:r w:rsidR="00CA423B" w:rsidRPr="00CA423B">
        <w:rPr>
          <w:rFonts w:ascii="Calibri" w:hAnsi="Calibri" w:cs="Calibri"/>
          <w:color w:val="242424"/>
          <w:sz w:val="24"/>
          <w:szCs w:val="24"/>
          <w:shd w:val="clear" w:color="auto" w:fill="FFFFFF"/>
        </w:rPr>
        <w:t xml:space="preserve">; they even prefer to fall within the legal, </w:t>
      </w:r>
      <w:r w:rsidR="00CA423B" w:rsidRPr="00180549">
        <w:rPr>
          <w:rFonts w:ascii="Calibri" w:hAnsi="Calibri" w:cs="Calibri"/>
          <w:color w:val="242424"/>
          <w:sz w:val="24"/>
          <w:szCs w:val="24"/>
          <w:shd w:val="clear" w:color="auto" w:fill="FFFFFF"/>
        </w:rPr>
        <w:t>political, economic, social, and cultural realm of another State with which they sometimes originally did not share much affinity. To some extent, their claim to statehood seems to be a reflex grounded in the past with no actual will or teeth in the contemporaneous world.</w:t>
      </w:r>
      <w:r w:rsidR="00A62439" w:rsidRPr="00180549">
        <w:rPr>
          <w:rFonts w:ascii="Calibri" w:hAnsi="Calibri" w:cs="Calibri"/>
          <w:color w:val="242424"/>
          <w:sz w:val="24"/>
          <w:szCs w:val="24"/>
          <w:shd w:val="clear" w:color="auto" w:fill="FFFFFF"/>
        </w:rPr>
        <w:t xml:space="preserve"> </w:t>
      </w:r>
    </w:p>
    <w:p w14:paraId="2AB60D65" w14:textId="74E2C48D" w:rsidR="00894228" w:rsidRPr="00180549" w:rsidRDefault="00A62439" w:rsidP="0084193D">
      <w:pPr>
        <w:spacing w:after="0" w:line="240" w:lineRule="auto"/>
        <w:jc w:val="both"/>
        <w:rPr>
          <w:rFonts w:ascii="Calibri" w:hAnsi="Calibri" w:cs="Calibri"/>
          <w:color w:val="242424"/>
          <w:shd w:val="clear" w:color="auto" w:fill="FFFFFF"/>
        </w:rPr>
      </w:pPr>
      <w:r w:rsidRPr="00180549">
        <w:rPr>
          <w:rFonts w:ascii="Calibri" w:hAnsi="Calibri" w:cs="Calibri"/>
          <w:color w:val="242424"/>
          <w:sz w:val="24"/>
          <w:szCs w:val="24"/>
          <w:shd w:val="clear" w:color="auto" w:fill="FFFFFF"/>
        </w:rPr>
        <w:t xml:space="preserve">From a legal perspective, their situation is troubling because their territory is formally governed by the law of their parent State which can be held responsible for international law violations occurring on the territory without yet having any means of implementation or enforcement of the law. </w:t>
      </w:r>
      <w:r w:rsidR="00180549">
        <w:rPr>
          <w:rFonts w:ascii="Calibri" w:hAnsi="Calibri" w:cs="Calibri"/>
          <w:color w:val="242424"/>
          <w:sz w:val="24"/>
          <w:szCs w:val="24"/>
          <w:shd w:val="clear" w:color="auto" w:fill="FFFFFF"/>
        </w:rPr>
        <w:t>The</w:t>
      </w:r>
      <w:r w:rsidRPr="00180549">
        <w:rPr>
          <w:rFonts w:ascii="Calibri" w:hAnsi="Calibri" w:cs="Calibri"/>
          <w:color w:val="242424"/>
          <w:sz w:val="24"/>
          <w:szCs w:val="24"/>
          <w:shd w:val="clear" w:color="auto" w:fill="FFFFFF"/>
        </w:rPr>
        <w:t xml:space="preserve"> only State that would have such power is the patron State which often denies any involvement or influence on the entity. The result is the creation of a lawless </w:t>
      </w:r>
      <w:r w:rsidR="00180549" w:rsidRPr="00180549">
        <w:rPr>
          <w:rFonts w:ascii="Calibri" w:hAnsi="Calibri" w:cs="Calibri"/>
          <w:color w:val="242424"/>
          <w:sz w:val="24"/>
          <w:szCs w:val="24"/>
          <w:shd w:val="clear" w:color="auto" w:fill="FFFFFF"/>
        </w:rPr>
        <w:t>area that does not even aspire any more to comply with international law</w:t>
      </w:r>
      <w:r w:rsidR="00180549">
        <w:rPr>
          <w:rFonts w:ascii="Calibri" w:hAnsi="Calibri" w:cs="Calibri"/>
          <w:color w:val="242424"/>
          <w:sz w:val="24"/>
          <w:szCs w:val="24"/>
          <w:shd w:val="clear" w:color="auto" w:fill="FFFFFF"/>
        </w:rPr>
        <w:t xml:space="preserve"> and be recognised as a State by the international community.</w:t>
      </w:r>
      <w:r>
        <w:rPr>
          <w:rFonts w:ascii="Calibri" w:hAnsi="Calibri" w:cs="Calibri"/>
          <w:color w:val="242424"/>
          <w:shd w:val="clear" w:color="auto" w:fill="FFFFFF"/>
        </w:rPr>
        <w:t xml:space="preserve"> </w:t>
      </w:r>
    </w:p>
    <w:sectPr w:rsidR="00894228" w:rsidRPr="001805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B4E5" w14:textId="77777777" w:rsidR="00E06B7C" w:rsidRDefault="00E06B7C" w:rsidP="00DA015B">
      <w:pPr>
        <w:spacing w:after="0" w:line="240" w:lineRule="auto"/>
      </w:pPr>
      <w:r>
        <w:separator/>
      </w:r>
    </w:p>
  </w:endnote>
  <w:endnote w:type="continuationSeparator" w:id="0">
    <w:p w14:paraId="46D4C4A8" w14:textId="77777777" w:rsidR="00E06B7C" w:rsidRDefault="00E06B7C" w:rsidP="00DA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37E5" w14:textId="77777777" w:rsidR="00E06B7C" w:rsidRDefault="00E06B7C" w:rsidP="00DA015B">
      <w:pPr>
        <w:spacing w:after="0" w:line="240" w:lineRule="auto"/>
      </w:pPr>
      <w:r>
        <w:separator/>
      </w:r>
    </w:p>
  </w:footnote>
  <w:footnote w:type="continuationSeparator" w:id="0">
    <w:p w14:paraId="4EA8D5AE" w14:textId="77777777" w:rsidR="00E06B7C" w:rsidRDefault="00E06B7C" w:rsidP="00DA015B">
      <w:pPr>
        <w:spacing w:after="0" w:line="240" w:lineRule="auto"/>
      </w:pPr>
      <w:r>
        <w:continuationSeparator/>
      </w:r>
    </w:p>
  </w:footnote>
  <w:footnote w:id="1">
    <w:p w14:paraId="5511CFB3" w14:textId="11429779" w:rsidR="00DF4E6B" w:rsidRPr="00834D0C" w:rsidRDefault="00DF4E6B" w:rsidP="00834D0C">
      <w:pPr>
        <w:pStyle w:val="FootnoteText"/>
        <w:jc w:val="both"/>
      </w:pPr>
      <w:r w:rsidRPr="00834D0C">
        <w:rPr>
          <w:rStyle w:val="FootnoteReference"/>
        </w:rPr>
        <w:t>*</w:t>
      </w:r>
      <w:r w:rsidRPr="00834D0C">
        <w:t xml:space="preserve"> </w:t>
      </w:r>
      <w:proofErr w:type="spellStart"/>
      <w:r w:rsidRPr="00834D0C">
        <w:rPr>
          <w:rFonts w:cstheme="minorHAnsi"/>
        </w:rPr>
        <w:t>Noëlle</w:t>
      </w:r>
      <w:proofErr w:type="spellEnd"/>
      <w:r w:rsidRPr="00834D0C">
        <w:rPr>
          <w:rFonts w:cstheme="minorHAnsi"/>
        </w:rPr>
        <w:t xml:space="preserve"> </w:t>
      </w:r>
      <w:proofErr w:type="spellStart"/>
      <w:r w:rsidRPr="00834D0C">
        <w:rPr>
          <w:rFonts w:cstheme="minorHAnsi"/>
        </w:rPr>
        <w:t>Quénivet</w:t>
      </w:r>
      <w:proofErr w:type="spellEnd"/>
      <w:r w:rsidRPr="00834D0C">
        <w:rPr>
          <w:rFonts w:cstheme="minorHAnsi"/>
        </w:rPr>
        <w:t xml:space="preserve"> is Professor of International Law at the Bristol Law School, University of the West of England</w:t>
      </w:r>
      <w:r w:rsidR="00192D69" w:rsidRPr="00834D0C">
        <w:rPr>
          <w:rFonts w:cstheme="minorHAnsi"/>
        </w:rPr>
        <w:t xml:space="preserve"> (United Kingdom)</w:t>
      </w:r>
      <w:r w:rsidRPr="00834D0C">
        <w:rPr>
          <w:rFonts w:cstheme="minorHAnsi"/>
        </w:rPr>
        <w:t>. She would like to thank</w:t>
      </w:r>
      <w:r w:rsidR="00192D69" w:rsidRPr="00834D0C">
        <w:rPr>
          <w:rFonts w:cstheme="minorHAnsi"/>
        </w:rPr>
        <w:t xml:space="preserve"> the organisers of and participants to the </w:t>
      </w:r>
      <w:r w:rsidR="00834D0C" w:rsidRPr="00834D0C">
        <w:rPr>
          <w:rFonts w:cstheme="minorHAnsi"/>
        </w:rPr>
        <w:t>conference for their feedback on the presentation as well as Dr Sabine Hassler for commenting on and proofreading this chapter.</w:t>
      </w:r>
    </w:p>
  </w:footnote>
  <w:footnote w:id="2">
    <w:p w14:paraId="213BBBC0" w14:textId="735F1D58" w:rsidR="002B032D" w:rsidRPr="00834D0C" w:rsidRDefault="002B032D" w:rsidP="00163B41">
      <w:pPr>
        <w:pStyle w:val="FootnoteText"/>
        <w:jc w:val="both"/>
        <w:rPr>
          <w:rFonts w:cstheme="minorHAnsi"/>
        </w:rPr>
      </w:pPr>
      <w:r w:rsidRPr="00834D0C">
        <w:rPr>
          <w:rStyle w:val="FootnoteReference"/>
          <w:rFonts w:cstheme="minorHAnsi"/>
        </w:rPr>
        <w:footnoteRef/>
      </w:r>
      <w:r w:rsidR="003A328B" w:rsidRPr="00834D0C">
        <w:rPr>
          <w:rFonts w:cstheme="minorHAnsi"/>
        </w:rPr>
        <w:t xml:space="preserve"> B</w:t>
      </w:r>
      <w:r w:rsidR="00834D0C">
        <w:rPr>
          <w:rFonts w:cstheme="minorHAnsi"/>
        </w:rPr>
        <w:t>runo</w:t>
      </w:r>
      <w:r w:rsidR="003A328B" w:rsidRPr="00834D0C">
        <w:rPr>
          <w:rFonts w:cstheme="minorHAnsi"/>
        </w:rPr>
        <w:t xml:space="preserve"> </w:t>
      </w:r>
      <w:proofErr w:type="spellStart"/>
      <w:r w:rsidR="003A328B" w:rsidRPr="00834D0C">
        <w:rPr>
          <w:rFonts w:cstheme="minorHAnsi"/>
        </w:rPr>
        <w:t>Coppieters</w:t>
      </w:r>
      <w:proofErr w:type="spellEnd"/>
      <w:r w:rsidR="003A328B" w:rsidRPr="00834D0C">
        <w:rPr>
          <w:rFonts w:cstheme="minorHAnsi"/>
        </w:rPr>
        <w:t xml:space="preserve">, ‘Four Positions on the Recognition of States in and after the Soviet Union, with Special Reference to Abkhazia’ (2018) 70(6) </w:t>
      </w:r>
      <w:proofErr w:type="spellStart"/>
      <w:r w:rsidR="00834D0C" w:rsidRPr="00834D0C">
        <w:rPr>
          <w:rFonts w:cstheme="minorHAnsi"/>
          <w:i/>
          <w:iCs/>
        </w:rPr>
        <w:t>Eur</w:t>
      </w:r>
      <w:proofErr w:type="spellEnd"/>
      <w:r w:rsidR="00834D0C" w:rsidRPr="00834D0C">
        <w:rPr>
          <w:rFonts w:cstheme="minorHAnsi"/>
          <w:i/>
          <w:iCs/>
        </w:rPr>
        <w:t xml:space="preserve">-Asia Stud </w:t>
      </w:r>
      <w:r w:rsidR="003A328B" w:rsidRPr="00834D0C">
        <w:rPr>
          <w:rFonts w:cstheme="minorHAnsi"/>
        </w:rPr>
        <w:t>991, 991.</w:t>
      </w:r>
    </w:p>
  </w:footnote>
  <w:footnote w:id="3">
    <w:p w14:paraId="00DD70D7" w14:textId="44B385CA" w:rsidR="00B81371" w:rsidRPr="00834D0C" w:rsidRDefault="00B81371" w:rsidP="00163B41">
      <w:pPr>
        <w:pStyle w:val="FootnoteText"/>
        <w:jc w:val="both"/>
      </w:pPr>
      <w:r w:rsidRPr="00834D0C">
        <w:rPr>
          <w:rStyle w:val="FootnoteReference"/>
        </w:rPr>
        <w:footnoteRef/>
      </w:r>
      <w:r w:rsidRPr="00834D0C">
        <w:t xml:space="preserve"> For a contrary view regarding Crimea, see Alexei Moiseev, ‘Concerning Certain Positions on the Ukrainian Issue in International Law’ (2015) 53(2) </w:t>
      </w:r>
      <w:r w:rsidR="00834D0C" w:rsidRPr="00834D0C">
        <w:rPr>
          <w:i/>
          <w:iCs/>
        </w:rPr>
        <w:t>Russ Polit Law</w:t>
      </w:r>
      <w:r w:rsidRPr="00834D0C">
        <w:rPr>
          <w:i/>
          <w:iCs/>
        </w:rPr>
        <w:t xml:space="preserve"> </w:t>
      </w:r>
      <w:r w:rsidRPr="00834D0C">
        <w:t xml:space="preserve">47-60 and the views of Russian academics presented in </w:t>
      </w:r>
      <w:r w:rsidR="003A328B" w:rsidRPr="00834D0C">
        <w:rPr>
          <w:rFonts w:cstheme="minorHAnsi"/>
        </w:rPr>
        <w:t xml:space="preserve">Erika </w:t>
      </w:r>
      <w:proofErr w:type="spellStart"/>
      <w:r w:rsidR="003A328B" w:rsidRPr="00834D0C">
        <w:rPr>
          <w:rFonts w:cstheme="minorHAnsi"/>
        </w:rPr>
        <w:t>Leonaitė</w:t>
      </w:r>
      <w:proofErr w:type="spellEnd"/>
      <w:r w:rsidR="003A328B" w:rsidRPr="00834D0C">
        <w:rPr>
          <w:rFonts w:cstheme="minorHAnsi"/>
        </w:rPr>
        <w:t xml:space="preserve"> and </w:t>
      </w:r>
      <w:proofErr w:type="spellStart"/>
      <w:r w:rsidR="003A328B" w:rsidRPr="00834D0C">
        <w:rPr>
          <w:rFonts w:cstheme="minorHAnsi"/>
        </w:rPr>
        <w:t>Dainius</w:t>
      </w:r>
      <w:proofErr w:type="spellEnd"/>
      <w:r w:rsidR="003A328B" w:rsidRPr="00834D0C">
        <w:rPr>
          <w:rFonts w:cstheme="minorHAnsi"/>
        </w:rPr>
        <w:t xml:space="preserve"> </w:t>
      </w:r>
      <w:proofErr w:type="spellStart"/>
      <w:r w:rsidR="003A328B" w:rsidRPr="00834D0C">
        <w:rPr>
          <w:rFonts w:cstheme="minorHAnsi"/>
        </w:rPr>
        <w:t>Žalimas</w:t>
      </w:r>
      <w:proofErr w:type="spellEnd"/>
      <w:r w:rsidR="003A328B" w:rsidRPr="00834D0C">
        <w:rPr>
          <w:rFonts w:cstheme="minorHAnsi"/>
        </w:rPr>
        <w:t xml:space="preserve">, ‘The Annexation of Crimea and Attempts to Justify it in the Context of International Law’ (2015-2016) 14 </w:t>
      </w:r>
      <w:r w:rsidR="003A328B" w:rsidRPr="00834D0C">
        <w:rPr>
          <w:rFonts w:cstheme="minorHAnsi"/>
          <w:i/>
          <w:iCs/>
        </w:rPr>
        <w:t xml:space="preserve">Lith Ann </w:t>
      </w:r>
      <w:proofErr w:type="spellStart"/>
      <w:r w:rsidR="003A328B" w:rsidRPr="00834D0C">
        <w:rPr>
          <w:rFonts w:cstheme="minorHAnsi"/>
          <w:i/>
          <w:iCs/>
        </w:rPr>
        <w:t>Strateg</w:t>
      </w:r>
      <w:proofErr w:type="spellEnd"/>
      <w:r w:rsidR="003A328B" w:rsidRPr="00834D0C">
        <w:rPr>
          <w:rFonts w:cstheme="minorHAnsi"/>
          <w:i/>
          <w:iCs/>
        </w:rPr>
        <w:t xml:space="preserve"> Rev</w:t>
      </w:r>
      <w:r w:rsidR="00834D0C" w:rsidRPr="00834D0C">
        <w:rPr>
          <w:rFonts w:cstheme="minorHAnsi"/>
          <w:i/>
          <w:iCs/>
        </w:rPr>
        <w:t xml:space="preserve"> </w:t>
      </w:r>
      <w:r w:rsidR="003A328B" w:rsidRPr="00834D0C">
        <w:rPr>
          <w:rFonts w:cstheme="minorHAnsi"/>
        </w:rPr>
        <w:t>11</w:t>
      </w:r>
      <w:r w:rsidR="00A958A6" w:rsidRPr="00834D0C">
        <w:rPr>
          <w:rFonts w:cstheme="minorHAnsi"/>
        </w:rPr>
        <w:t>-63</w:t>
      </w:r>
      <w:r w:rsidR="003A328B" w:rsidRPr="00834D0C">
        <w:rPr>
          <w:rFonts w:cstheme="minorHAnsi"/>
        </w:rPr>
        <w:t>.</w:t>
      </w:r>
    </w:p>
  </w:footnote>
  <w:footnote w:id="4">
    <w:p w14:paraId="047398D3" w14:textId="57059E0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3A328B" w:rsidRPr="00834D0C">
        <w:rPr>
          <w:rFonts w:cstheme="minorHAnsi"/>
        </w:rPr>
        <w:t xml:space="preserve">Scott </w:t>
      </w:r>
      <w:proofErr w:type="spellStart"/>
      <w:r w:rsidR="003A328B" w:rsidRPr="00834D0C">
        <w:rPr>
          <w:rFonts w:cstheme="minorHAnsi"/>
        </w:rPr>
        <w:t>Pegg</w:t>
      </w:r>
      <w:proofErr w:type="spellEnd"/>
      <w:r w:rsidR="003A328B" w:rsidRPr="00834D0C">
        <w:rPr>
          <w:rFonts w:cstheme="minorHAnsi"/>
        </w:rPr>
        <w:t xml:space="preserve">, </w:t>
      </w:r>
      <w:r w:rsidR="003A328B" w:rsidRPr="00834D0C">
        <w:rPr>
          <w:rFonts w:cstheme="minorHAnsi"/>
          <w:i/>
          <w:iCs/>
        </w:rPr>
        <w:t xml:space="preserve">International Society and the De Facto State </w:t>
      </w:r>
      <w:r w:rsidR="003A328B" w:rsidRPr="00834D0C">
        <w:rPr>
          <w:rFonts w:cstheme="minorHAnsi"/>
        </w:rPr>
        <w:t xml:space="preserve">(Routledge 1998) </w:t>
      </w:r>
      <w:r w:rsidRPr="00834D0C">
        <w:rPr>
          <w:rFonts w:cstheme="minorHAnsi"/>
        </w:rPr>
        <w:t xml:space="preserve">4. See also </w:t>
      </w:r>
      <w:r w:rsidR="0084605E" w:rsidRPr="00834D0C">
        <w:rPr>
          <w:rFonts w:cstheme="minorHAnsi"/>
        </w:rPr>
        <w:t xml:space="preserve">Scott </w:t>
      </w:r>
      <w:proofErr w:type="spellStart"/>
      <w:r w:rsidR="0084605E" w:rsidRPr="00834D0C">
        <w:rPr>
          <w:rFonts w:cstheme="minorHAnsi"/>
        </w:rPr>
        <w:t>Pegg</w:t>
      </w:r>
      <w:proofErr w:type="spellEnd"/>
      <w:r w:rsidR="0084605E" w:rsidRPr="00834D0C">
        <w:rPr>
          <w:rFonts w:cstheme="minorHAnsi"/>
        </w:rPr>
        <w:t xml:space="preserve"> and </w:t>
      </w:r>
      <w:proofErr w:type="spellStart"/>
      <w:r w:rsidR="0084605E" w:rsidRPr="00834D0C">
        <w:rPr>
          <w:rFonts w:cstheme="minorHAnsi"/>
        </w:rPr>
        <w:t>Eiki</w:t>
      </w:r>
      <w:proofErr w:type="spellEnd"/>
      <w:r w:rsidR="0084605E" w:rsidRPr="00834D0C">
        <w:rPr>
          <w:rFonts w:cstheme="minorHAnsi"/>
        </w:rPr>
        <w:t xml:space="preserve"> Berg, ‘Lost and Found: The WikiLeaks of </w:t>
      </w:r>
      <w:r w:rsidR="0084605E" w:rsidRPr="00834D0C">
        <w:rPr>
          <w:rFonts w:cstheme="minorHAnsi"/>
          <w:i/>
          <w:iCs/>
        </w:rPr>
        <w:t xml:space="preserve">De Facto </w:t>
      </w:r>
      <w:r w:rsidR="0084605E" w:rsidRPr="00834D0C">
        <w:rPr>
          <w:rFonts w:cstheme="minorHAnsi"/>
        </w:rPr>
        <w:t xml:space="preserve">State-Great Power Relations’ (2016) 17 </w:t>
      </w:r>
      <w:r w:rsidR="0084605E" w:rsidRPr="00834D0C">
        <w:rPr>
          <w:rFonts w:cstheme="minorHAnsi"/>
          <w:i/>
          <w:iCs/>
        </w:rPr>
        <w:t xml:space="preserve">Int Stud </w:t>
      </w:r>
      <w:proofErr w:type="spellStart"/>
      <w:r w:rsidR="0084605E" w:rsidRPr="00834D0C">
        <w:rPr>
          <w:rFonts w:cstheme="minorHAnsi"/>
          <w:i/>
          <w:iCs/>
        </w:rPr>
        <w:t>Perspect</w:t>
      </w:r>
      <w:proofErr w:type="spellEnd"/>
      <w:r w:rsidR="0084605E" w:rsidRPr="00834D0C">
        <w:rPr>
          <w:rFonts w:cstheme="minorHAnsi"/>
          <w:i/>
          <w:iCs/>
        </w:rPr>
        <w:t xml:space="preserve"> </w:t>
      </w:r>
      <w:r w:rsidR="0084605E" w:rsidRPr="00834D0C">
        <w:rPr>
          <w:rFonts w:cstheme="minorHAnsi"/>
        </w:rPr>
        <w:t xml:space="preserve">267, </w:t>
      </w:r>
      <w:r w:rsidRPr="00834D0C">
        <w:rPr>
          <w:rFonts w:cstheme="minorHAnsi"/>
        </w:rPr>
        <w:t>268.</w:t>
      </w:r>
      <w:r w:rsidRPr="00834D0C">
        <w:rPr>
          <w:rFonts w:cstheme="minorHAnsi"/>
          <w:highlight w:val="yellow"/>
        </w:rPr>
        <w:t xml:space="preserve"> </w:t>
      </w:r>
    </w:p>
  </w:footnote>
  <w:footnote w:id="5">
    <w:p w14:paraId="1AEF9F57" w14:textId="3AADA7A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84605E" w:rsidRPr="00834D0C">
        <w:rPr>
          <w:rFonts w:cstheme="minorHAnsi"/>
        </w:rPr>
        <w:t xml:space="preserve">Alexander </w:t>
      </w:r>
      <w:proofErr w:type="spellStart"/>
      <w:r w:rsidR="0084605E" w:rsidRPr="00834D0C">
        <w:rPr>
          <w:rFonts w:cstheme="minorHAnsi"/>
        </w:rPr>
        <w:t>Kurtskhalia</w:t>
      </w:r>
      <w:proofErr w:type="spellEnd"/>
      <w:r w:rsidR="0084605E" w:rsidRPr="00834D0C">
        <w:rPr>
          <w:rFonts w:cstheme="minorHAnsi"/>
        </w:rPr>
        <w:t xml:space="preserve">, ‘The Application Process of International Law in Solution of Territorial Conflict of the Republic of Moldova and Georgia’ (2019) 3(86) </w:t>
      </w:r>
      <w:proofErr w:type="spellStart"/>
      <w:r w:rsidR="0084605E" w:rsidRPr="00834D0C">
        <w:rPr>
          <w:rFonts w:cstheme="minorHAnsi"/>
          <w:i/>
          <w:iCs/>
        </w:rPr>
        <w:t>Moldoscopie</w:t>
      </w:r>
      <w:proofErr w:type="spellEnd"/>
      <w:r w:rsidR="0084605E" w:rsidRPr="00834D0C">
        <w:rPr>
          <w:rFonts w:cstheme="minorHAnsi"/>
          <w:i/>
          <w:iCs/>
        </w:rPr>
        <w:t xml:space="preserve"> </w:t>
      </w:r>
      <w:r w:rsidR="0084605E" w:rsidRPr="00834D0C">
        <w:rPr>
          <w:rFonts w:cstheme="minorHAnsi"/>
        </w:rPr>
        <w:t xml:space="preserve">69, </w:t>
      </w:r>
      <w:r w:rsidRPr="00834D0C">
        <w:rPr>
          <w:rFonts w:cstheme="minorHAnsi"/>
        </w:rPr>
        <w:t>75.</w:t>
      </w:r>
    </w:p>
  </w:footnote>
  <w:footnote w:id="6">
    <w:p w14:paraId="13EADCFF" w14:textId="3F2AA0B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266BFC" w:rsidRPr="00834D0C">
        <w:rPr>
          <w:rFonts w:cstheme="minorHAnsi"/>
        </w:rPr>
        <w:t xml:space="preserve">James Ker-Lindsay, ‘The Stigmatisation of de facto States: Disapproval and “Engagement without Recognition”’ (2018) 17(4) </w:t>
      </w:r>
      <w:r w:rsidR="00266BFC" w:rsidRPr="00834D0C">
        <w:rPr>
          <w:rFonts w:cstheme="minorHAnsi"/>
          <w:i/>
          <w:iCs/>
        </w:rPr>
        <w:t xml:space="preserve">Ethnopolitics </w:t>
      </w:r>
      <w:r w:rsidR="00266BFC" w:rsidRPr="00834D0C">
        <w:rPr>
          <w:rFonts w:cstheme="minorHAnsi"/>
        </w:rPr>
        <w:t xml:space="preserve">362, </w:t>
      </w:r>
      <w:r w:rsidRPr="00834D0C">
        <w:rPr>
          <w:rFonts w:cstheme="minorHAnsi"/>
        </w:rPr>
        <w:t>362.</w:t>
      </w:r>
    </w:p>
  </w:footnote>
  <w:footnote w:id="7">
    <w:p w14:paraId="342CD883" w14:textId="2445800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266BFC" w:rsidRPr="00834D0C">
        <w:rPr>
          <w:rFonts w:cstheme="minorHAnsi"/>
        </w:rPr>
        <w:t xml:space="preserve">Janis </w:t>
      </w:r>
      <w:proofErr w:type="spellStart"/>
      <w:r w:rsidR="00266BFC" w:rsidRPr="00834D0C">
        <w:rPr>
          <w:rFonts w:cstheme="minorHAnsi"/>
        </w:rPr>
        <w:t>Grzybowski</w:t>
      </w:r>
      <w:proofErr w:type="spellEnd"/>
      <w:r w:rsidR="00266BFC" w:rsidRPr="00834D0C">
        <w:rPr>
          <w:rFonts w:cstheme="minorHAnsi"/>
        </w:rPr>
        <w:t xml:space="preserve">, ‘The Paradox of State Identification: </w:t>
      </w:r>
      <w:r w:rsidR="00266BFC" w:rsidRPr="00834D0C">
        <w:rPr>
          <w:rFonts w:cstheme="minorHAnsi"/>
          <w:i/>
          <w:iCs/>
        </w:rPr>
        <w:t xml:space="preserve">de facto </w:t>
      </w:r>
      <w:r w:rsidR="00266BFC" w:rsidRPr="00834D0C">
        <w:rPr>
          <w:rFonts w:cstheme="minorHAnsi"/>
        </w:rPr>
        <w:t xml:space="preserve">States, Recognition, and the (Re-)Production of the International’ (2019) 11 </w:t>
      </w:r>
      <w:r w:rsidR="00266BFC" w:rsidRPr="00834D0C">
        <w:rPr>
          <w:rFonts w:cstheme="minorHAnsi"/>
          <w:i/>
          <w:iCs/>
        </w:rPr>
        <w:t xml:space="preserve">Int Theory </w:t>
      </w:r>
      <w:r w:rsidR="00266BFC" w:rsidRPr="00834D0C">
        <w:rPr>
          <w:rFonts w:cstheme="minorHAnsi"/>
        </w:rPr>
        <w:t xml:space="preserve">241, </w:t>
      </w:r>
      <w:r w:rsidRPr="00834D0C">
        <w:rPr>
          <w:rFonts w:cstheme="minorHAnsi"/>
        </w:rPr>
        <w:t xml:space="preserve">241. </w:t>
      </w:r>
      <w:proofErr w:type="spellStart"/>
      <w:r w:rsidRPr="00834D0C">
        <w:rPr>
          <w:rFonts w:cstheme="minorHAnsi"/>
        </w:rPr>
        <w:t>Pegg</w:t>
      </w:r>
      <w:proofErr w:type="spellEnd"/>
      <w:r w:rsidRPr="00834D0C">
        <w:rPr>
          <w:rFonts w:cstheme="minorHAnsi"/>
        </w:rPr>
        <w:t>/Berg</w:t>
      </w:r>
      <w:r w:rsidR="0084605E"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84605E" w:rsidRPr="00834D0C">
        <w:rPr>
          <w:rFonts w:cstheme="minorHAnsi"/>
        </w:rPr>
        <w:t>3</w:t>
      </w:r>
      <w:r w:rsidRPr="00834D0C">
        <w:rPr>
          <w:rFonts w:cstheme="minorHAnsi"/>
        </w:rPr>
        <w:t>) 268-269.</w:t>
      </w:r>
    </w:p>
  </w:footnote>
  <w:footnote w:id="8">
    <w:p w14:paraId="6375BC27" w14:textId="2F98084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84605E" w:rsidRPr="00834D0C">
        <w:rPr>
          <w:rFonts w:cstheme="minorHAnsi"/>
        </w:rPr>
        <w:t>Pegg</w:t>
      </w:r>
      <w:proofErr w:type="spellEnd"/>
      <w:r w:rsidR="0084605E" w:rsidRPr="00834D0C">
        <w:rPr>
          <w:rFonts w:cstheme="minorHAnsi"/>
        </w:rPr>
        <w:t xml:space="preserve">/Berg (n 3) </w:t>
      </w:r>
      <w:r w:rsidRPr="00834D0C">
        <w:rPr>
          <w:rFonts w:cstheme="minorHAnsi"/>
        </w:rPr>
        <w:t>268.</w:t>
      </w:r>
    </w:p>
  </w:footnote>
  <w:footnote w:id="9">
    <w:p w14:paraId="73CC71F9" w14:textId="019DE600" w:rsidR="002B032D" w:rsidRPr="00834D0C" w:rsidRDefault="002B032D" w:rsidP="00163B41">
      <w:pPr>
        <w:spacing w:after="0" w:line="240" w:lineRule="auto"/>
        <w:jc w:val="both"/>
        <w:rPr>
          <w:rFonts w:cstheme="minorHAnsi"/>
          <w:sz w:val="20"/>
          <w:szCs w:val="20"/>
        </w:rPr>
      </w:pPr>
      <w:r w:rsidRPr="00834D0C">
        <w:rPr>
          <w:rFonts w:cstheme="minorHAnsi"/>
          <w:sz w:val="20"/>
          <w:szCs w:val="20"/>
          <w:vertAlign w:val="superscript"/>
        </w:rPr>
        <w:footnoteRef/>
      </w:r>
      <w:r w:rsidRPr="00834D0C">
        <w:rPr>
          <w:rFonts w:cstheme="minorHAnsi"/>
          <w:sz w:val="20"/>
          <w:szCs w:val="20"/>
        </w:rPr>
        <w:t xml:space="preserve"> See the excellent works of e.g., </w:t>
      </w:r>
      <w:r w:rsidR="00266BFC" w:rsidRPr="00834D0C">
        <w:rPr>
          <w:rFonts w:cstheme="minorHAnsi"/>
          <w:sz w:val="20"/>
          <w:szCs w:val="20"/>
        </w:rPr>
        <w:t xml:space="preserve">James Crawford, </w:t>
      </w:r>
      <w:r w:rsidR="00266BFC" w:rsidRPr="00834D0C">
        <w:rPr>
          <w:rFonts w:cstheme="minorHAnsi"/>
          <w:i/>
          <w:iCs/>
          <w:sz w:val="20"/>
          <w:szCs w:val="20"/>
        </w:rPr>
        <w:t>The Creation of States in International Law</w:t>
      </w:r>
      <w:r w:rsidR="00266BFC" w:rsidRPr="00834D0C">
        <w:rPr>
          <w:rFonts w:cstheme="minorHAnsi"/>
          <w:sz w:val="20"/>
          <w:szCs w:val="20"/>
        </w:rPr>
        <w:t xml:space="preserve"> (OUP 2006)</w:t>
      </w:r>
      <w:r w:rsidRPr="00834D0C">
        <w:rPr>
          <w:rFonts w:cstheme="minorHAnsi"/>
          <w:sz w:val="20"/>
          <w:szCs w:val="20"/>
        </w:rPr>
        <w:t xml:space="preserve">; </w:t>
      </w:r>
      <w:r w:rsidR="00E96CF5" w:rsidRPr="00834D0C">
        <w:rPr>
          <w:rFonts w:cstheme="minorHAnsi"/>
          <w:sz w:val="20"/>
          <w:szCs w:val="20"/>
        </w:rPr>
        <w:t xml:space="preserve">John Dugard and David </w:t>
      </w:r>
      <w:proofErr w:type="spellStart"/>
      <w:r w:rsidR="00E96CF5" w:rsidRPr="00834D0C">
        <w:rPr>
          <w:rFonts w:cstheme="minorHAnsi"/>
          <w:sz w:val="20"/>
          <w:szCs w:val="20"/>
        </w:rPr>
        <w:t>Raič</w:t>
      </w:r>
      <w:proofErr w:type="spellEnd"/>
      <w:r w:rsidR="00E96CF5" w:rsidRPr="00834D0C">
        <w:rPr>
          <w:rFonts w:cstheme="minorHAnsi"/>
          <w:sz w:val="20"/>
          <w:szCs w:val="20"/>
        </w:rPr>
        <w:t xml:space="preserve">, ‘The Role of Recognition in the Law and Practice of Secession’ in Marcelo Cohen (ed), </w:t>
      </w:r>
      <w:r w:rsidR="00E96CF5" w:rsidRPr="00834D0C">
        <w:rPr>
          <w:rFonts w:cstheme="minorHAnsi"/>
          <w:i/>
          <w:iCs/>
          <w:sz w:val="20"/>
          <w:szCs w:val="20"/>
        </w:rPr>
        <w:t>Secession, International Law Perspectives</w:t>
      </w:r>
      <w:r w:rsidR="00E96CF5" w:rsidRPr="00834D0C">
        <w:rPr>
          <w:rFonts w:cstheme="minorHAnsi"/>
          <w:sz w:val="20"/>
          <w:szCs w:val="20"/>
        </w:rPr>
        <w:t xml:space="preserve"> (CUP 2006) </w:t>
      </w:r>
      <w:r w:rsidRPr="00834D0C">
        <w:rPr>
          <w:rFonts w:cstheme="minorHAnsi"/>
          <w:sz w:val="20"/>
          <w:szCs w:val="20"/>
        </w:rPr>
        <w:t xml:space="preserve">94; </w:t>
      </w:r>
      <w:r w:rsidR="00E96CF5" w:rsidRPr="00834D0C">
        <w:rPr>
          <w:rFonts w:cstheme="minorHAnsi"/>
          <w:sz w:val="20"/>
          <w:szCs w:val="20"/>
        </w:rPr>
        <w:t xml:space="preserve">Jure Vidmar, </w:t>
      </w:r>
      <w:r w:rsidR="00E96CF5" w:rsidRPr="00834D0C">
        <w:rPr>
          <w:rFonts w:cstheme="minorHAnsi"/>
          <w:i/>
          <w:iCs/>
          <w:sz w:val="20"/>
          <w:szCs w:val="20"/>
        </w:rPr>
        <w:t>Democratic Statehood in International Law: The Emergence of New States in Post-Cold War Practice</w:t>
      </w:r>
      <w:r w:rsidR="00E96CF5" w:rsidRPr="00834D0C">
        <w:rPr>
          <w:rFonts w:cstheme="minorHAnsi"/>
          <w:sz w:val="20"/>
          <w:szCs w:val="20"/>
        </w:rPr>
        <w:t xml:space="preserve"> (Hart 2013)</w:t>
      </w:r>
      <w:r w:rsidRPr="00834D0C">
        <w:rPr>
          <w:rFonts w:cstheme="minorHAnsi"/>
          <w:sz w:val="20"/>
          <w:szCs w:val="20"/>
        </w:rPr>
        <w:t>.</w:t>
      </w:r>
    </w:p>
  </w:footnote>
  <w:footnote w:id="10">
    <w:p w14:paraId="39A63509" w14:textId="16B457A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the chapters in </w:t>
      </w:r>
      <w:proofErr w:type="spellStart"/>
      <w:r w:rsidR="00E96CF5" w:rsidRPr="00834D0C">
        <w:rPr>
          <w:rFonts w:cstheme="minorHAnsi"/>
        </w:rPr>
        <w:t>Benedikt</w:t>
      </w:r>
      <w:proofErr w:type="spellEnd"/>
      <w:r w:rsidR="00E96CF5" w:rsidRPr="00834D0C">
        <w:rPr>
          <w:rFonts w:cstheme="minorHAnsi"/>
        </w:rPr>
        <w:t xml:space="preserve"> C </w:t>
      </w:r>
      <w:proofErr w:type="spellStart"/>
      <w:r w:rsidR="00E96CF5" w:rsidRPr="00834D0C">
        <w:rPr>
          <w:rFonts w:cstheme="minorHAnsi"/>
        </w:rPr>
        <w:t>Harzl</w:t>
      </w:r>
      <w:proofErr w:type="spellEnd"/>
      <w:r w:rsidR="00E96CF5" w:rsidRPr="00834D0C">
        <w:rPr>
          <w:rFonts w:cstheme="minorHAnsi"/>
        </w:rPr>
        <w:t xml:space="preserve"> and Roman Petrov (eds), </w:t>
      </w:r>
      <w:r w:rsidR="00E96CF5" w:rsidRPr="00834D0C">
        <w:rPr>
          <w:rFonts w:cstheme="minorHAnsi"/>
          <w:i/>
          <w:iCs/>
        </w:rPr>
        <w:t xml:space="preserve">Unrecognized Entities. Perspectives in International, European and Constitutional Law </w:t>
      </w:r>
      <w:r w:rsidR="00E96CF5" w:rsidRPr="00834D0C">
        <w:rPr>
          <w:rFonts w:cstheme="minorHAnsi"/>
        </w:rPr>
        <w:t>(Brill 2021)</w:t>
      </w:r>
      <w:r w:rsidRPr="00834D0C">
        <w:rPr>
          <w:rFonts w:cstheme="minorHAnsi"/>
        </w:rPr>
        <w:t xml:space="preserve">; Heiko </w:t>
      </w:r>
      <w:proofErr w:type="spellStart"/>
      <w:r w:rsidRPr="00834D0C">
        <w:rPr>
          <w:rFonts w:cstheme="minorHAnsi"/>
        </w:rPr>
        <w:t>Krüger</w:t>
      </w:r>
      <w:proofErr w:type="spellEnd"/>
      <w:r w:rsidRPr="00834D0C">
        <w:rPr>
          <w:rFonts w:cstheme="minorHAnsi"/>
          <w:i/>
          <w:iCs/>
        </w:rPr>
        <w:t>,</w:t>
      </w:r>
      <w:r w:rsidRPr="00834D0C">
        <w:rPr>
          <w:rFonts w:cstheme="minorHAnsi"/>
        </w:rPr>
        <w:t xml:space="preserve"> </w:t>
      </w:r>
      <w:r w:rsidRPr="00834D0C">
        <w:rPr>
          <w:rFonts w:cstheme="minorHAnsi"/>
          <w:i/>
          <w:iCs/>
        </w:rPr>
        <w:t>The Nagorno-Karabakh Conflict. A Legal Analysis</w:t>
      </w:r>
      <w:r w:rsidRPr="00834D0C">
        <w:rPr>
          <w:rFonts w:cstheme="minorHAnsi"/>
        </w:rPr>
        <w:t xml:space="preserve"> </w:t>
      </w:r>
      <w:r w:rsidR="00E96CF5" w:rsidRPr="00834D0C">
        <w:rPr>
          <w:rFonts w:cstheme="minorHAnsi"/>
        </w:rPr>
        <w:t xml:space="preserve">(Springer </w:t>
      </w:r>
      <w:r w:rsidRPr="00834D0C">
        <w:rPr>
          <w:rFonts w:cstheme="minorHAnsi"/>
        </w:rPr>
        <w:t>2010</w:t>
      </w:r>
      <w:r w:rsidR="00E96CF5" w:rsidRPr="00834D0C">
        <w:rPr>
          <w:rFonts w:cstheme="minorHAnsi"/>
        </w:rPr>
        <w:t>)</w:t>
      </w:r>
      <w:r w:rsidRPr="00834D0C">
        <w:rPr>
          <w:rFonts w:cstheme="minorHAnsi"/>
        </w:rPr>
        <w:t xml:space="preserve">. A notable exception is Charles Kings, </w:t>
      </w:r>
      <w:r w:rsidR="00E96CF5" w:rsidRPr="00834D0C">
        <w:rPr>
          <w:rFonts w:cstheme="minorHAnsi"/>
        </w:rPr>
        <w:t>‘</w:t>
      </w:r>
      <w:r w:rsidRPr="00834D0C">
        <w:rPr>
          <w:rFonts w:cstheme="minorHAnsi"/>
        </w:rPr>
        <w:t>The Benefits of Ethnic War: Understanding Eurasia’s Unrecognized States</w:t>
      </w:r>
      <w:r w:rsidR="00E96CF5" w:rsidRPr="00834D0C">
        <w:rPr>
          <w:rFonts w:cstheme="minorHAnsi"/>
        </w:rPr>
        <w:t xml:space="preserve"> (2001)</w:t>
      </w:r>
      <w:r w:rsidRPr="00834D0C">
        <w:rPr>
          <w:rFonts w:cstheme="minorHAnsi"/>
        </w:rPr>
        <w:t xml:space="preserve"> </w:t>
      </w:r>
      <w:r w:rsidR="00E96CF5" w:rsidRPr="00834D0C">
        <w:rPr>
          <w:rFonts w:cstheme="minorHAnsi"/>
        </w:rPr>
        <w:t xml:space="preserve">53(4) </w:t>
      </w:r>
      <w:r w:rsidRPr="00834D0C">
        <w:rPr>
          <w:rFonts w:cstheme="minorHAnsi"/>
          <w:i/>
          <w:iCs/>
        </w:rPr>
        <w:t>World Polit</w:t>
      </w:r>
      <w:r w:rsidRPr="00834D0C">
        <w:rPr>
          <w:rFonts w:cstheme="minorHAnsi"/>
        </w:rPr>
        <w:t xml:space="preserve"> 524</w:t>
      </w:r>
      <w:r w:rsidR="00E96CF5" w:rsidRPr="00834D0C">
        <w:rPr>
          <w:rFonts w:cstheme="minorHAnsi"/>
        </w:rPr>
        <w:t>-552</w:t>
      </w:r>
      <w:r w:rsidRPr="00834D0C">
        <w:rPr>
          <w:rFonts w:cstheme="minorHAnsi"/>
        </w:rPr>
        <w:t xml:space="preserve"> which examines the four </w:t>
      </w:r>
      <w:r w:rsidRPr="00834D0C">
        <w:rPr>
          <w:rFonts w:cstheme="minorHAnsi"/>
          <w:i/>
          <w:iCs/>
        </w:rPr>
        <w:t xml:space="preserve">de facto </w:t>
      </w:r>
      <w:r w:rsidRPr="00834D0C">
        <w:rPr>
          <w:rFonts w:cstheme="minorHAnsi"/>
        </w:rPr>
        <w:t xml:space="preserve">States </w:t>
      </w:r>
      <w:r w:rsidR="00834D0C" w:rsidRPr="00834D0C">
        <w:rPr>
          <w:rFonts w:cstheme="minorHAnsi"/>
        </w:rPr>
        <w:t>studied</w:t>
      </w:r>
      <w:r w:rsidRPr="00834D0C">
        <w:rPr>
          <w:rFonts w:cstheme="minorHAnsi"/>
        </w:rPr>
        <w:t xml:space="preserve"> in this chapter. </w:t>
      </w:r>
    </w:p>
  </w:footnote>
  <w:footnote w:id="11">
    <w:p w14:paraId="694D470C" w14:textId="1FFA3F0D" w:rsidR="003F0BB6" w:rsidRPr="00834D0C" w:rsidRDefault="003F0BB6" w:rsidP="00163B41">
      <w:pPr>
        <w:pStyle w:val="FootnoteText"/>
        <w:jc w:val="both"/>
      </w:pPr>
      <w:r w:rsidRPr="00834D0C">
        <w:rPr>
          <w:rStyle w:val="FootnoteReference"/>
        </w:rPr>
        <w:footnoteRef/>
      </w:r>
      <w:r w:rsidRPr="00834D0C">
        <w:t xml:space="preserve"> Such works are extensively referred to in this chapter. </w:t>
      </w:r>
    </w:p>
  </w:footnote>
  <w:footnote w:id="12">
    <w:p w14:paraId="4D86D2E9" w14:textId="0E868491" w:rsidR="002B032D" w:rsidRPr="00834D0C" w:rsidRDefault="002B032D" w:rsidP="00163B41">
      <w:pPr>
        <w:pStyle w:val="FootnoteText"/>
        <w:jc w:val="both"/>
      </w:pPr>
      <w:r w:rsidRPr="00834D0C">
        <w:rPr>
          <w:rStyle w:val="FootnoteReference"/>
        </w:rPr>
        <w:footnoteRef/>
      </w:r>
      <w:r w:rsidRPr="00834D0C">
        <w:t xml:space="preserve"> </w:t>
      </w:r>
      <w:r w:rsidRPr="00834D0C">
        <w:rPr>
          <w:rFonts w:cstheme="minorHAnsi"/>
        </w:rPr>
        <w:t>There are very few international law papers looking at the four entities. One of them is a chapter by Bowring (</w:t>
      </w:r>
      <w:r w:rsidR="00E96CF5" w:rsidRPr="00834D0C">
        <w:rPr>
          <w:rFonts w:cstheme="minorHAnsi"/>
        </w:rPr>
        <w:t xml:space="preserve">Bill Bowring, ‘International Law and Non-Recognized Entities. Towards a Frozen Future?’ </w:t>
      </w:r>
      <w:r w:rsidRPr="00834D0C">
        <w:rPr>
          <w:rFonts w:cstheme="minorHAnsi"/>
        </w:rPr>
        <w:t xml:space="preserve">in </w:t>
      </w:r>
      <w:proofErr w:type="spellStart"/>
      <w:r w:rsidRPr="00834D0C">
        <w:rPr>
          <w:rFonts w:cstheme="minorHAnsi"/>
        </w:rPr>
        <w:t>Harzl</w:t>
      </w:r>
      <w:proofErr w:type="spellEnd"/>
      <w:r w:rsidRPr="00834D0C">
        <w:rPr>
          <w:rFonts w:cstheme="minorHAnsi"/>
        </w:rPr>
        <w:t>/Petrov</w:t>
      </w:r>
      <w:r w:rsidR="00E96CF5" w:rsidRPr="00834D0C">
        <w:rPr>
          <w:rFonts w:cstheme="minorHAnsi"/>
        </w:rPr>
        <w:t xml:space="preserve"> (n 9)</w:t>
      </w:r>
      <w:r w:rsidRPr="00834D0C">
        <w:rPr>
          <w:rFonts w:cstheme="minorHAnsi"/>
        </w:rPr>
        <w:t xml:space="preserve"> 9) that is rather descriptive, and another is a rather outdated journal article by </w:t>
      </w:r>
      <w:proofErr w:type="spellStart"/>
      <w:r w:rsidRPr="00834D0C">
        <w:rPr>
          <w:rFonts w:cstheme="minorHAnsi"/>
        </w:rPr>
        <w:t>Quénivet</w:t>
      </w:r>
      <w:proofErr w:type="spellEnd"/>
      <w:r w:rsidRPr="00834D0C">
        <w:rPr>
          <w:rFonts w:cstheme="minorHAnsi"/>
        </w:rPr>
        <w:t xml:space="preserve"> (</w:t>
      </w:r>
      <w:proofErr w:type="spellStart"/>
      <w:r w:rsidRPr="00834D0C">
        <w:rPr>
          <w:rFonts w:cstheme="minorHAnsi"/>
        </w:rPr>
        <w:t>Noëlle</w:t>
      </w:r>
      <w:proofErr w:type="spellEnd"/>
      <w:r w:rsidRPr="00834D0C">
        <w:rPr>
          <w:rFonts w:cstheme="minorHAnsi"/>
        </w:rPr>
        <w:t xml:space="preserve"> </w:t>
      </w:r>
      <w:proofErr w:type="spellStart"/>
      <w:r w:rsidRPr="00834D0C">
        <w:rPr>
          <w:rFonts w:cstheme="minorHAnsi"/>
        </w:rPr>
        <w:t>Quénivet</w:t>
      </w:r>
      <w:proofErr w:type="spellEnd"/>
      <w:r w:rsidRPr="00834D0C">
        <w:rPr>
          <w:rFonts w:cstheme="minorHAnsi"/>
        </w:rPr>
        <w:t xml:space="preserve">, </w:t>
      </w:r>
      <w:r w:rsidR="00E96CF5" w:rsidRPr="00834D0C">
        <w:rPr>
          <w:rFonts w:cstheme="minorHAnsi"/>
        </w:rPr>
        <w:t xml:space="preserve">‘15 Jahre </w:t>
      </w:r>
      <w:proofErr w:type="spellStart"/>
      <w:r w:rsidR="00E96CF5" w:rsidRPr="00834D0C">
        <w:rPr>
          <w:rFonts w:cstheme="minorHAnsi"/>
        </w:rPr>
        <w:t>nach</w:t>
      </w:r>
      <w:proofErr w:type="spellEnd"/>
      <w:r w:rsidR="00E96CF5" w:rsidRPr="00834D0C">
        <w:rPr>
          <w:rFonts w:cstheme="minorHAnsi"/>
        </w:rPr>
        <w:t xml:space="preserve"> </w:t>
      </w:r>
      <w:proofErr w:type="spellStart"/>
      <w:r w:rsidR="00E96CF5" w:rsidRPr="00834D0C">
        <w:rPr>
          <w:rFonts w:cstheme="minorHAnsi"/>
        </w:rPr>
        <w:t>dem</w:t>
      </w:r>
      <w:proofErr w:type="spellEnd"/>
      <w:r w:rsidR="00E96CF5" w:rsidRPr="00834D0C">
        <w:rPr>
          <w:rFonts w:cstheme="minorHAnsi"/>
        </w:rPr>
        <w:t xml:space="preserve"> </w:t>
      </w:r>
      <w:proofErr w:type="spellStart"/>
      <w:r w:rsidR="00E96CF5" w:rsidRPr="00834D0C">
        <w:rPr>
          <w:rFonts w:cstheme="minorHAnsi"/>
        </w:rPr>
        <w:t>Zerfall</w:t>
      </w:r>
      <w:proofErr w:type="spellEnd"/>
      <w:r w:rsidR="00E96CF5" w:rsidRPr="00834D0C">
        <w:rPr>
          <w:rFonts w:cstheme="minorHAnsi"/>
        </w:rPr>
        <w:t xml:space="preserve"> der </w:t>
      </w:r>
      <w:proofErr w:type="spellStart"/>
      <w:r w:rsidR="00E96CF5" w:rsidRPr="00834D0C">
        <w:rPr>
          <w:rFonts w:cstheme="minorHAnsi"/>
        </w:rPr>
        <w:t>Sowjetunion</w:t>
      </w:r>
      <w:proofErr w:type="spellEnd"/>
      <w:r w:rsidR="00E96CF5" w:rsidRPr="00834D0C">
        <w:rPr>
          <w:rFonts w:cstheme="minorHAnsi"/>
        </w:rPr>
        <w:t xml:space="preserve">: </w:t>
      </w:r>
      <w:proofErr w:type="spellStart"/>
      <w:r w:rsidR="00E96CF5" w:rsidRPr="00834D0C">
        <w:rPr>
          <w:rFonts w:cstheme="minorHAnsi"/>
        </w:rPr>
        <w:t>Gibt</w:t>
      </w:r>
      <w:proofErr w:type="spellEnd"/>
      <w:r w:rsidR="00E96CF5" w:rsidRPr="00834D0C">
        <w:rPr>
          <w:rFonts w:cstheme="minorHAnsi"/>
        </w:rPr>
        <w:t xml:space="preserve"> es </w:t>
      </w:r>
      <w:proofErr w:type="spellStart"/>
      <w:r w:rsidR="00E96CF5" w:rsidRPr="00834D0C">
        <w:rPr>
          <w:rFonts w:cstheme="minorHAnsi"/>
        </w:rPr>
        <w:t>noch</w:t>
      </w:r>
      <w:proofErr w:type="spellEnd"/>
      <w:r w:rsidR="00E96CF5" w:rsidRPr="00834D0C">
        <w:rPr>
          <w:rFonts w:cstheme="minorHAnsi"/>
        </w:rPr>
        <w:t xml:space="preserve"> </w:t>
      </w:r>
      <w:proofErr w:type="spellStart"/>
      <w:r w:rsidR="00E96CF5" w:rsidRPr="00834D0C">
        <w:rPr>
          <w:rFonts w:cstheme="minorHAnsi"/>
        </w:rPr>
        <w:t>nicht</w:t>
      </w:r>
      <w:proofErr w:type="spellEnd"/>
      <w:r w:rsidR="00E96CF5" w:rsidRPr="00834D0C">
        <w:rPr>
          <w:rFonts w:cstheme="minorHAnsi"/>
        </w:rPr>
        <w:t xml:space="preserve"> </w:t>
      </w:r>
      <w:proofErr w:type="spellStart"/>
      <w:r w:rsidR="00E96CF5" w:rsidRPr="00834D0C">
        <w:rPr>
          <w:rFonts w:cstheme="minorHAnsi"/>
        </w:rPr>
        <w:t>anerkannte</w:t>
      </w:r>
      <w:proofErr w:type="spellEnd"/>
      <w:r w:rsidR="00E96CF5" w:rsidRPr="00834D0C">
        <w:rPr>
          <w:rFonts w:cstheme="minorHAnsi"/>
        </w:rPr>
        <w:t xml:space="preserve"> </w:t>
      </w:r>
      <w:proofErr w:type="spellStart"/>
      <w:r w:rsidR="00E96CF5" w:rsidRPr="00834D0C">
        <w:rPr>
          <w:rFonts w:cstheme="minorHAnsi"/>
        </w:rPr>
        <w:t>Staaten</w:t>
      </w:r>
      <w:proofErr w:type="spellEnd"/>
      <w:r w:rsidR="00E96CF5" w:rsidRPr="00834D0C">
        <w:rPr>
          <w:rFonts w:cstheme="minorHAnsi"/>
        </w:rPr>
        <w:t xml:space="preserve">?’ </w:t>
      </w:r>
      <w:r w:rsidR="00E96CF5" w:rsidRPr="00834D0C">
        <w:rPr>
          <w:rFonts w:cstheme="minorHAnsi"/>
          <w:lang w:val="fr-FR"/>
        </w:rPr>
        <w:t xml:space="preserve">(2006) 44 </w:t>
      </w:r>
      <w:r w:rsidR="00E96CF5" w:rsidRPr="00834D0C">
        <w:rPr>
          <w:rFonts w:cstheme="minorHAnsi"/>
          <w:i/>
          <w:iCs/>
          <w:lang w:val="fr-FR"/>
        </w:rPr>
        <w:t>A</w:t>
      </w:r>
      <w:r w:rsidR="006D71D0" w:rsidRPr="00834D0C">
        <w:rPr>
          <w:rFonts w:cstheme="minorHAnsi"/>
          <w:i/>
          <w:iCs/>
          <w:lang w:val="fr-FR"/>
        </w:rPr>
        <w:t>VR</w:t>
      </w:r>
      <w:r w:rsidRPr="00834D0C">
        <w:rPr>
          <w:rFonts w:cstheme="minorHAnsi"/>
          <w:i/>
          <w:iCs/>
        </w:rPr>
        <w:t xml:space="preserve"> </w:t>
      </w:r>
      <w:r w:rsidRPr="00834D0C">
        <w:rPr>
          <w:rFonts w:cstheme="minorHAnsi"/>
        </w:rPr>
        <w:t>481</w:t>
      </w:r>
      <w:r w:rsidR="006D71D0" w:rsidRPr="00834D0C">
        <w:rPr>
          <w:rFonts w:cstheme="minorHAnsi"/>
        </w:rPr>
        <w:t>.</w:t>
      </w:r>
    </w:p>
  </w:footnote>
  <w:footnote w:id="13">
    <w:p w14:paraId="7F4D8012" w14:textId="7A4C1AD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Crawford (</w:t>
      </w:r>
      <w:r w:rsidR="0084605E" w:rsidRPr="00834D0C">
        <w:rPr>
          <w:rFonts w:cstheme="minorHAnsi"/>
        </w:rPr>
        <w:t>n</w:t>
      </w:r>
      <w:r w:rsidR="00E96CF5" w:rsidRPr="00834D0C">
        <w:rPr>
          <w:rFonts w:cstheme="minorHAnsi"/>
        </w:rPr>
        <w:t xml:space="preserve"> 8</w:t>
      </w:r>
      <w:r w:rsidRPr="00834D0C">
        <w:rPr>
          <w:rFonts w:cstheme="minorHAnsi"/>
        </w:rPr>
        <w:t>) 45.</w:t>
      </w:r>
    </w:p>
  </w:footnote>
  <w:footnote w:id="14">
    <w:p w14:paraId="5B372FF8" w14:textId="5686408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Convention on the Rights and Duties of States (Montevideo Convention), 26 December 1933</w:t>
      </w:r>
      <w:r w:rsidR="00647E1F" w:rsidRPr="00834D0C">
        <w:rPr>
          <w:rFonts w:cstheme="minorHAnsi"/>
        </w:rPr>
        <w:t>, 165 LNTS 19</w:t>
      </w:r>
      <w:r w:rsidRPr="00834D0C">
        <w:rPr>
          <w:rFonts w:cstheme="minorHAnsi"/>
        </w:rPr>
        <w:t>.</w:t>
      </w:r>
    </w:p>
  </w:footnote>
  <w:footnote w:id="15">
    <w:p w14:paraId="65C4B11C" w14:textId="01E6D5E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rPr>
          <w:rFonts w:cstheme="minorHAnsi"/>
        </w:rPr>
        <w:t xml:space="preserve">Irene R Lax, ‘A State of Failure: The Sacrosanctity of Sovereignty and the Perpetuation of Conflict in Weak and Failing States’ (2012) 26 </w:t>
      </w:r>
      <w:r w:rsidRPr="00834D0C">
        <w:rPr>
          <w:rFonts w:cstheme="minorHAnsi"/>
          <w:i/>
          <w:iCs/>
        </w:rPr>
        <w:t>Temple Int’l &amp; Comp</w:t>
      </w:r>
      <w:r w:rsidR="009037C8" w:rsidRPr="00834D0C">
        <w:rPr>
          <w:rFonts w:cstheme="minorHAnsi"/>
          <w:i/>
          <w:iCs/>
        </w:rPr>
        <w:t xml:space="preserve"> </w:t>
      </w:r>
      <w:r w:rsidRPr="00834D0C">
        <w:rPr>
          <w:rFonts w:cstheme="minorHAnsi"/>
          <w:i/>
          <w:iCs/>
        </w:rPr>
        <w:t xml:space="preserve">LJ </w:t>
      </w:r>
      <w:r w:rsidRPr="00834D0C">
        <w:rPr>
          <w:rFonts w:cstheme="minorHAnsi"/>
        </w:rPr>
        <w:t>25</w:t>
      </w:r>
      <w:r w:rsidR="006D71D0" w:rsidRPr="00834D0C">
        <w:rPr>
          <w:rFonts w:cstheme="minorHAnsi"/>
        </w:rPr>
        <w:t xml:space="preserve">, </w:t>
      </w:r>
      <w:r w:rsidRPr="00834D0C">
        <w:rPr>
          <w:rFonts w:cstheme="minorHAnsi"/>
        </w:rPr>
        <w:t xml:space="preserve">40-41; </w:t>
      </w:r>
      <w:r w:rsidR="006D71D0" w:rsidRPr="00834D0C">
        <w:rPr>
          <w:rFonts w:cstheme="minorHAnsi"/>
        </w:rPr>
        <w:t xml:space="preserve">Pamela Epstein, ‘Behind Closed Doors: “Autonomous Colonization in Post United Nations Era – the Case for Western Sahara’ (2009) XV(1) </w:t>
      </w:r>
      <w:r w:rsidRPr="00834D0C">
        <w:rPr>
          <w:rFonts w:cstheme="minorHAnsi"/>
          <w:i/>
          <w:iCs/>
        </w:rPr>
        <w:t>Ann</w:t>
      </w:r>
      <w:r w:rsidR="009037C8" w:rsidRPr="00834D0C">
        <w:rPr>
          <w:rFonts w:cstheme="minorHAnsi"/>
          <w:i/>
          <w:iCs/>
        </w:rPr>
        <w:t xml:space="preserve"> </w:t>
      </w:r>
      <w:proofErr w:type="spellStart"/>
      <w:r w:rsidRPr="00834D0C">
        <w:rPr>
          <w:rFonts w:cstheme="minorHAnsi"/>
          <w:i/>
          <w:iCs/>
        </w:rPr>
        <w:t>Surv</w:t>
      </w:r>
      <w:proofErr w:type="spellEnd"/>
      <w:r w:rsidR="009037C8" w:rsidRPr="00834D0C">
        <w:rPr>
          <w:rFonts w:cstheme="minorHAnsi"/>
          <w:i/>
          <w:iCs/>
        </w:rPr>
        <w:t xml:space="preserve"> </w:t>
      </w:r>
      <w:r w:rsidRPr="00834D0C">
        <w:rPr>
          <w:rFonts w:cstheme="minorHAnsi"/>
          <w:i/>
          <w:iCs/>
        </w:rPr>
        <w:t>Int’l &amp; Comp</w:t>
      </w:r>
      <w:r w:rsidR="009037C8" w:rsidRPr="00834D0C">
        <w:rPr>
          <w:rFonts w:cstheme="minorHAnsi"/>
          <w:i/>
          <w:iCs/>
        </w:rPr>
        <w:t xml:space="preserve"> </w:t>
      </w:r>
      <w:r w:rsidRPr="00834D0C">
        <w:rPr>
          <w:rFonts w:cstheme="minorHAnsi"/>
          <w:i/>
          <w:iCs/>
        </w:rPr>
        <w:t xml:space="preserve">L </w:t>
      </w:r>
      <w:r w:rsidRPr="00834D0C">
        <w:rPr>
          <w:rFonts w:cstheme="minorHAnsi"/>
        </w:rPr>
        <w:t>117</w:t>
      </w:r>
      <w:r w:rsidR="006D71D0" w:rsidRPr="00834D0C">
        <w:rPr>
          <w:rFonts w:cstheme="minorHAnsi"/>
        </w:rPr>
        <w:t xml:space="preserve">, </w:t>
      </w:r>
      <w:r w:rsidRPr="00834D0C">
        <w:rPr>
          <w:rFonts w:cstheme="minorHAnsi"/>
        </w:rPr>
        <w:t>119. Such an assumption is however disputed by Vidmar (</w:t>
      </w:r>
      <w:r w:rsidR="006D71D0" w:rsidRPr="00834D0C">
        <w:rPr>
          <w:rFonts w:cstheme="minorHAnsi"/>
        </w:rPr>
        <w:t xml:space="preserve">Jure Vidmar, ‘Territorial Integrity and the Law of Statehood’ (2012) 44 </w:t>
      </w:r>
      <w:r w:rsidRPr="00834D0C">
        <w:rPr>
          <w:rFonts w:cstheme="minorHAnsi"/>
          <w:i/>
          <w:iCs/>
        </w:rPr>
        <w:t>Geo Wash Int’l L Rev</w:t>
      </w:r>
      <w:r w:rsidRPr="00834D0C">
        <w:rPr>
          <w:rFonts w:cstheme="minorHAnsi"/>
        </w:rPr>
        <w:t xml:space="preserve"> 697</w:t>
      </w:r>
      <w:r w:rsidR="006D71D0" w:rsidRPr="00834D0C">
        <w:rPr>
          <w:rFonts w:cstheme="minorHAnsi"/>
        </w:rPr>
        <w:t xml:space="preserve">, </w:t>
      </w:r>
      <w:r w:rsidRPr="00834D0C">
        <w:rPr>
          <w:rFonts w:cstheme="minorHAnsi"/>
        </w:rPr>
        <w:t>745.</w:t>
      </w:r>
    </w:p>
  </w:footnote>
  <w:footnote w:id="16">
    <w:p w14:paraId="72A1CF39" w14:textId="4124E8D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Vidmar (</w:t>
      </w:r>
      <w:r w:rsidR="0084605E" w:rsidRPr="00834D0C">
        <w:rPr>
          <w:rFonts w:cstheme="minorHAnsi"/>
        </w:rPr>
        <w:t>n</w:t>
      </w:r>
      <w:r w:rsidRPr="00834D0C">
        <w:rPr>
          <w:rFonts w:cstheme="minorHAnsi"/>
        </w:rPr>
        <w:t xml:space="preserve"> </w:t>
      </w:r>
      <w:r w:rsidR="006D71D0" w:rsidRPr="00834D0C">
        <w:rPr>
          <w:rFonts w:cstheme="minorHAnsi"/>
        </w:rPr>
        <w:t>14</w:t>
      </w:r>
      <w:r w:rsidRPr="00834D0C">
        <w:rPr>
          <w:rFonts w:cstheme="minorHAnsi"/>
        </w:rPr>
        <w:t>) 698.</w:t>
      </w:r>
    </w:p>
  </w:footnote>
  <w:footnote w:id="17">
    <w:p w14:paraId="3231C47F" w14:textId="15124EB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eastAsia="Times New Roman" w:cstheme="minorHAnsi"/>
          <w:lang w:eastAsia="en-GB"/>
        </w:rPr>
        <w:t>For example, the EU Declaration on the Guidelines on Recognition of New States in Eastern Europe and the Soviet Union referred to criteria additional to the ‘normal standards of international practice’ (Declaration on the Guidelines on Recognition of New States in Eastern Europe and the Soviet Union, 31 ILM 1485, 1486 (1992), 16 December 1991) that have been interpreted as the Montevideo criteria (</w:t>
      </w:r>
      <w:r w:rsidRPr="00834D0C">
        <w:rPr>
          <w:rFonts w:cstheme="minorHAnsi"/>
        </w:rPr>
        <w:t>See Steven</w:t>
      </w:r>
      <w:r w:rsidRPr="00834D0C">
        <w:rPr>
          <w:rFonts w:cstheme="minorHAnsi"/>
          <w:i/>
          <w:iCs/>
        </w:rPr>
        <w:t xml:space="preserve"> </w:t>
      </w:r>
      <w:proofErr w:type="spellStart"/>
      <w:r w:rsidR="00720A17" w:rsidRPr="00834D0C">
        <w:rPr>
          <w:rFonts w:cstheme="minorHAnsi"/>
        </w:rPr>
        <w:t>Blockmans</w:t>
      </w:r>
      <w:proofErr w:type="spellEnd"/>
      <w:r w:rsidR="00720A17" w:rsidRPr="00834D0C">
        <w:rPr>
          <w:rFonts w:cstheme="minorHAnsi"/>
        </w:rPr>
        <w:t xml:space="preserve">, ‘EU Global Peace Diplomacy: Shaping the Law on Statehood’ in Dimitry </w:t>
      </w:r>
      <w:proofErr w:type="spellStart"/>
      <w:r w:rsidR="00720A17" w:rsidRPr="00834D0C">
        <w:rPr>
          <w:rFonts w:cstheme="minorHAnsi"/>
        </w:rPr>
        <w:t>Kochenov</w:t>
      </w:r>
      <w:proofErr w:type="spellEnd"/>
      <w:r w:rsidR="00720A17" w:rsidRPr="00834D0C">
        <w:rPr>
          <w:rFonts w:cstheme="minorHAnsi"/>
        </w:rPr>
        <w:t xml:space="preserve"> and Fabian </w:t>
      </w:r>
      <w:proofErr w:type="spellStart"/>
      <w:r w:rsidR="00720A17" w:rsidRPr="00834D0C">
        <w:rPr>
          <w:rFonts w:cstheme="minorHAnsi"/>
        </w:rPr>
        <w:t>Amtenbrink</w:t>
      </w:r>
      <w:proofErr w:type="spellEnd"/>
      <w:r w:rsidR="00720A17" w:rsidRPr="00834D0C">
        <w:rPr>
          <w:rFonts w:cstheme="minorHAnsi"/>
        </w:rPr>
        <w:t xml:space="preserve"> (eds), </w:t>
      </w:r>
      <w:r w:rsidR="00720A17" w:rsidRPr="00834D0C">
        <w:rPr>
          <w:rFonts w:cstheme="minorHAnsi"/>
          <w:i/>
          <w:iCs/>
        </w:rPr>
        <w:t xml:space="preserve">The European Union’s Shaping of the International Legal Order </w:t>
      </w:r>
      <w:r w:rsidR="00720A17" w:rsidRPr="00834D0C">
        <w:rPr>
          <w:rFonts w:cstheme="minorHAnsi"/>
        </w:rPr>
        <w:t>(CUP 2014) 130, 142</w:t>
      </w:r>
      <w:r w:rsidRPr="00834D0C">
        <w:rPr>
          <w:rFonts w:cstheme="minorHAnsi"/>
        </w:rPr>
        <w:t xml:space="preserve">); </w:t>
      </w:r>
      <w:r w:rsidR="00720A17" w:rsidRPr="00834D0C">
        <w:rPr>
          <w:rFonts w:cstheme="minorHAnsi"/>
        </w:rPr>
        <w:t xml:space="preserve">Peter </w:t>
      </w:r>
      <w:proofErr w:type="spellStart"/>
      <w:r w:rsidR="00720A17" w:rsidRPr="00834D0C">
        <w:rPr>
          <w:rFonts w:cstheme="minorHAnsi"/>
        </w:rPr>
        <w:t>Radan</w:t>
      </w:r>
      <w:proofErr w:type="spellEnd"/>
      <w:r w:rsidR="00720A17" w:rsidRPr="00834D0C">
        <w:rPr>
          <w:rFonts w:cstheme="minorHAnsi"/>
        </w:rPr>
        <w:t xml:space="preserve">, ‘Secession: A Word in Search of a Meaning’ in Aleksandar </w:t>
      </w:r>
      <w:proofErr w:type="spellStart"/>
      <w:r w:rsidR="00720A17" w:rsidRPr="00834D0C">
        <w:rPr>
          <w:rFonts w:cstheme="minorHAnsi"/>
        </w:rPr>
        <w:t>Pavković</w:t>
      </w:r>
      <w:proofErr w:type="spellEnd"/>
      <w:r w:rsidR="00720A17" w:rsidRPr="00834D0C">
        <w:rPr>
          <w:rFonts w:cstheme="minorHAnsi"/>
        </w:rPr>
        <w:t xml:space="preserve"> and Peter </w:t>
      </w:r>
      <w:proofErr w:type="spellStart"/>
      <w:r w:rsidR="00720A17" w:rsidRPr="00834D0C">
        <w:rPr>
          <w:rFonts w:cstheme="minorHAnsi"/>
        </w:rPr>
        <w:t>Radan</w:t>
      </w:r>
      <w:proofErr w:type="spellEnd"/>
      <w:r w:rsidR="00720A17" w:rsidRPr="00834D0C">
        <w:rPr>
          <w:rFonts w:cstheme="minorHAnsi"/>
        </w:rPr>
        <w:t xml:space="preserve"> (eds), </w:t>
      </w:r>
      <w:r w:rsidR="00720A17" w:rsidRPr="00834D0C">
        <w:rPr>
          <w:rFonts w:cstheme="minorHAnsi"/>
          <w:i/>
          <w:iCs/>
        </w:rPr>
        <w:t xml:space="preserve">On the Way to Statehood. Secession and Globalisation </w:t>
      </w:r>
      <w:r w:rsidR="00720A17" w:rsidRPr="00834D0C">
        <w:rPr>
          <w:rFonts w:cstheme="minorHAnsi"/>
        </w:rPr>
        <w:t>(Ashgate 2008) 17, 19)</w:t>
      </w:r>
      <w:r w:rsidRPr="00834D0C">
        <w:rPr>
          <w:rFonts w:eastAsia="Times New Roman" w:cstheme="minorHAnsi"/>
          <w:lang w:eastAsia="en-GB"/>
        </w:rPr>
        <w:t xml:space="preserve">. </w:t>
      </w:r>
      <w:r w:rsidRPr="00834D0C">
        <w:rPr>
          <w:rFonts w:cstheme="minorHAnsi"/>
        </w:rPr>
        <w:t xml:space="preserve">For a contrary view, see </w:t>
      </w:r>
      <w:r w:rsidR="009037C8" w:rsidRPr="00834D0C">
        <w:rPr>
          <w:rFonts w:cstheme="minorHAnsi"/>
        </w:rPr>
        <w:t xml:space="preserve">Errol Mendes, </w:t>
      </w:r>
      <w:r w:rsidR="009037C8" w:rsidRPr="00834D0C">
        <w:rPr>
          <w:rFonts w:cstheme="minorHAnsi"/>
          <w:i/>
          <w:iCs/>
        </w:rPr>
        <w:t xml:space="preserve">Statehood and Palestine for the Purposes of Article 12(3) of the IC Statute – A Contrary Perspective, </w:t>
      </w:r>
      <w:r w:rsidR="009037C8" w:rsidRPr="00834D0C">
        <w:rPr>
          <w:rFonts w:cstheme="minorHAnsi"/>
        </w:rPr>
        <w:t xml:space="preserve">Submitted to ICC, 30 March 2010, </w:t>
      </w:r>
      <w:r w:rsidRPr="00834D0C">
        <w:rPr>
          <w:rFonts w:cstheme="minorHAnsi"/>
        </w:rPr>
        <w:t>13-14.</w:t>
      </w:r>
    </w:p>
  </w:footnote>
  <w:footnote w:id="18">
    <w:p w14:paraId="28F54CBF" w14:textId="0662812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Epstein</w:t>
      </w:r>
      <w:r w:rsidR="006D71D0"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6D71D0" w:rsidRPr="00834D0C">
        <w:rPr>
          <w:rFonts w:cstheme="minorHAnsi"/>
        </w:rPr>
        <w:t>14</w:t>
      </w:r>
      <w:r w:rsidRPr="00834D0C">
        <w:rPr>
          <w:rFonts w:cstheme="minorHAnsi"/>
        </w:rPr>
        <w:t>) 119.</w:t>
      </w:r>
    </w:p>
  </w:footnote>
  <w:footnote w:id="19">
    <w:p w14:paraId="0CDB31D0" w14:textId="1CED74C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037C8" w:rsidRPr="00834D0C">
        <w:rPr>
          <w:rFonts w:cstheme="minorHAnsi"/>
        </w:rPr>
        <w:t xml:space="preserve">Kenn </w:t>
      </w:r>
      <w:proofErr w:type="spellStart"/>
      <w:r w:rsidR="009037C8" w:rsidRPr="00834D0C">
        <w:rPr>
          <w:rFonts w:cstheme="minorHAnsi"/>
        </w:rPr>
        <w:t>Chinemelu</w:t>
      </w:r>
      <w:proofErr w:type="spellEnd"/>
      <w:r w:rsidR="009037C8" w:rsidRPr="00834D0C">
        <w:rPr>
          <w:rFonts w:cstheme="minorHAnsi"/>
        </w:rPr>
        <w:t xml:space="preserve"> and </w:t>
      </w:r>
      <w:proofErr w:type="spellStart"/>
      <w:r w:rsidR="009037C8" w:rsidRPr="00834D0C">
        <w:rPr>
          <w:rFonts w:cstheme="minorHAnsi"/>
        </w:rPr>
        <w:t>Chibike</w:t>
      </w:r>
      <w:proofErr w:type="spellEnd"/>
      <w:r w:rsidR="009037C8" w:rsidRPr="00834D0C">
        <w:rPr>
          <w:rFonts w:cstheme="minorHAnsi"/>
        </w:rPr>
        <w:t xml:space="preserve"> </w:t>
      </w:r>
      <w:proofErr w:type="spellStart"/>
      <w:r w:rsidR="009037C8" w:rsidRPr="00834D0C">
        <w:rPr>
          <w:rFonts w:cstheme="minorHAnsi"/>
        </w:rPr>
        <w:t>Oraeto</w:t>
      </w:r>
      <w:proofErr w:type="spellEnd"/>
      <w:r w:rsidR="009037C8" w:rsidRPr="00834D0C">
        <w:rPr>
          <w:rFonts w:cstheme="minorHAnsi"/>
        </w:rPr>
        <w:t xml:space="preserve">, ‘Formation of State by Secession and the Import of Recognition in International Law’ (2021) 2(1) </w:t>
      </w:r>
      <w:r w:rsidRPr="00834D0C">
        <w:rPr>
          <w:rFonts w:cstheme="minorHAnsi"/>
          <w:i/>
          <w:iCs/>
        </w:rPr>
        <w:t>LASJURE</w:t>
      </w:r>
      <w:r w:rsidRPr="00834D0C">
        <w:rPr>
          <w:rFonts w:cstheme="minorHAnsi"/>
        </w:rPr>
        <w:t xml:space="preserve"> 25</w:t>
      </w:r>
      <w:r w:rsidR="009037C8" w:rsidRPr="00834D0C">
        <w:rPr>
          <w:rFonts w:cstheme="minorHAnsi"/>
        </w:rPr>
        <w:t xml:space="preserve">, </w:t>
      </w:r>
      <w:r w:rsidRPr="00834D0C">
        <w:rPr>
          <w:rFonts w:cstheme="minorHAnsi"/>
        </w:rPr>
        <w:t xml:space="preserve">34; </w:t>
      </w:r>
      <w:proofErr w:type="spellStart"/>
      <w:r w:rsidRPr="00834D0C">
        <w:rPr>
          <w:rFonts w:cstheme="minorHAnsi"/>
        </w:rPr>
        <w:t>Radan</w:t>
      </w:r>
      <w:proofErr w:type="spellEnd"/>
      <w:r w:rsidR="00720A17" w:rsidRPr="00834D0C">
        <w:rPr>
          <w:rFonts w:cstheme="minorHAnsi"/>
        </w:rPr>
        <w:t xml:space="preserve"> (n 16</w:t>
      </w:r>
      <w:r w:rsidRPr="00834D0C">
        <w:rPr>
          <w:rFonts w:cstheme="minorHAnsi"/>
        </w:rPr>
        <w:t>)</w:t>
      </w:r>
      <w:r w:rsidR="00720A17" w:rsidRPr="00834D0C">
        <w:rPr>
          <w:rFonts w:cstheme="minorHAnsi"/>
        </w:rPr>
        <w:t xml:space="preserve"> </w:t>
      </w:r>
      <w:r w:rsidRPr="00834D0C">
        <w:rPr>
          <w:rFonts w:cstheme="minorHAnsi"/>
        </w:rPr>
        <w:t xml:space="preserve">19; </w:t>
      </w:r>
      <w:r w:rsidR="009037C8" w:rsidRPr="00834D0C">
        <w:rPr>
          <w:rFonts w:cstheme="minorHAnsi"/>
        </w:rPr>
        <w:t xml:space="preserve">Crawford (n 8) </w:t>
      </w:r>
      <w:r w:rsidRPr="00834D0C">
        <w:rPr>
          <w:rFonts w:cstheme="minorHAnsi"/>
        </w:rPr>
        <w:t xml:space="preserve">45-46; </w:t>
      </w:r>
      <w:r w:rsidR="006D71D0" w:rsidRPr="00834D0C">
        <w:rPr>
          <w:rFonts w:cstheme="minorHAnsi"/>
        </w:rPr>
        <w:t xml:space="preserve">Milena </w:t>
      </w:r>
      <w:proofErr w:type="spellStart"/>
      <w:r w:rsidR="006D71D0" w:rsidRPr="00834D0C">
        <w:rPr>
          <w:rFonts w:cstheme="minorHAnsi"/>
        </w:rPr>
        <w:t>Sterio</w:t>
      </w:r>
      <w:proofErr w:type="spellEnd"/>
      <w:r w:rsidR="006D71D0" w:rsidRPr="00834D0C">
        <w:rPr>
          <w:rFonts w:cstheme="minorHAnsi"/>
        </w:rPr>
        <w:t xml:space="preserve">, ‘A Grotian Moment: Changes in the Legal Theory of Statehood’ (2011) 39 </w:t>
      </w:r>
      <w:proofErr w:type="spellStart"/>
      <w:r w:rsidRPr="00834D0C">
        <w:rPr>
          <w:rFonts w:cstheme="minorHAnsi"/>
          <w:i/>
          <w:iCs/>
        </w:rPr>
        <w:t>Denv</w:t>
      </w:r>
      <w:proofErr w:type="spellEnd"/>
      <w:r w:rsidR="009037C8" w:rsidRPr="00834D0C">
        <w:rPr>
          <w:rFonts w:cstheme="minorHAnsi"/>
          <w:i/>
          <w:iCs/>
        </w:rPr>
        <w:t xml:space="preserve"> </w:t>
      </w:r>
      <w:r w:rsidRPr="00834D0C">
        <w:rPr>
          <w:rFonts w:cstheme="minorHAnsi"/>
          <w:i/>
          <w:iCs/>
        </w:rPr>
        <w:t>J</w:t>
      </w:r>
      <w:r w:rsidR="009037C8" w:rsidRPr="00834D0C">
        <w:rPr>
          <w:rFonts w:cstheme="minorHAnsi"/>
          <w:i/>
          <w:iCs/>
        </w:rPr>
        <w:t xml:space="preserve"> </w:t>
      </w:r>
      <w:r w:rsidRPr="00834D0C">
        <w:rPr>
          <w:rFonts w:cstheme="minorHAnsi"/>
          <w:i/>
          <w:iCs/>
        </w:rPr>
        <w:t xml:space="preserve">Int’l L&amp; </w:t>
      </w:r>
      <w:proofErr w:type="spellStart"/>
      <w:r w:rsidRPr="00834D0C">
        <w:rPr>
          <w:rFonts w:cstheme="minorHAnsi"/>
          <w:i/>
          <w:iCs/>
        </w:rPr>
        <w:t>Pol’y</w:t>
      </w:r>
      <w:proofErr w:type="spellEnd"/>
      <w:r w:rsidRPr="00834D0C">
        <w:rPr>
          <w:rFonts w:cstheme="minorHAnsi"/>
        </w:rPr>
        <w:t xml:space="preserve"> 209</w:t>
      </w:r>
      <w:r w:rsidR="006D71D0" w:rsidRPr="00834D0C">
        <w:rPr>
          <w:rFonts w:cstheme="minorHAnsi"/>
        </w:rPr>
        <w:t xml:space="preserve">, </w:t>
      </w:r>
      <w:r w:rsidRPr="00834D0C">
        <w:rPr>
          <w:rFonts w:cstheme="minorHAnsi"/>
        </w:rPr>
        <w:t xml:space="preserve">215; </w:t>
      </w:r>
      <w:r w:rsidR="007D0E05" w:rsidRPr="00834D0C">
        <w:rPr>
          <w:rFonts w:cstheme="minorHAnsi"/>
        </w:rPr>
        <w:t>ICC,</w:t>
      </w:r>
      <w:r w:rsidRPr="00834D0C">
        <w:rPr>
          <w:rFonts w:cstheme="minorHAnsi"/>
        </w:rPr>
        <w:t xml:space="preserve"> </w:t>
      </w:r>
      <w:r w:rsidRPr="00834D0C">
        <w:rPr>
          <w:rFonts w:cstheme="minorHAnsi"/>
          <w:i/>
          <w:iCs/>
        </w:rPr>
        <w:t>Situation in Palestine</w:t>
      </w:r>
      <w:r w:rsidRPr="00834D0C">
        <w:rPr>
          <w:rFonts w:cstheme="minorHAnsi"/>
        </w:rPr>
        <w:t>, Summary of Submissions on Whether the Declaration Lodged by the Palestinian National Authority Meets Statutory Requirements, 3 May 2010, paras 34 and 39.</w:t>
      </w:r>
    </w:p>
  </w:footnote>
  <w:footnote w:id="20">
    <w:p w14:paraId="0106C60E" w14:textId="5F5A2E7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D71D0" w:rsidRPr="00834D0C">
        <w:rPr>
          <w:rFonts w:cstheme="minorHAnsi"/>
        </w:rPr>
        <w:t>Chike</w:t>
      </w:r>
      <w:proofErr w:type="spellEnd"/>
      <w:r w:rsidR="006D71D0" w:rsidRPr="00834D0C">
        <w:rPr>
          <w:rFonts w:cstheme="minorHAnsi"/>
        </w:rPr>
        <w:t xml:space="preserve"> B </w:t>
      </w:r>
      <w:proofErr w:type="spellStart"/>
      <w:r w:rsidR="006D71D0" w:rsidRPr="00834D0C">
        <w:rPr>
          <w:rFonts w:cstheme="minorHAnsi"/>
        </w:rPr>
        <w:t>Okosa</w:t>
      </w:r>
      <w:proofErr w:type="spellEnd"/>
      <w:r w:rsidR="006D71D0" w:rsidRPr="00834D0C">
        <w:rPr>
          <w:rFonts w:cstheme="minorHAnsi"/>
        </w:rPr>
        <w:t xml:space="preserve">, ‘Statehood Theory: Current Scholarship on the Various Theories of Statehood in International Law’ (2018) 1(1) </w:t>
      </w:r>
      <w:r w:rsidRPr="00834D0C">
        <w:rPr>
          <w:rFonts w:cstheme="minorHAnsi"/>
          <w:i/>
          <w:iCs/>
        </w:rPr>
        <w:t>Nile Uni LJ</w:t>
      </w:r>
      <w:r w:rsidRPr="00834D0C">
        <w:rPr>
          <w:rFonts w:cstheme="minorHAnsi"/>
        </w:rPr>
        <w:t xml:space="preserve"> 107</w:t>
      </w:r>
      <w:r w:rsidR="006D71D0" w:rsidRPr="00834D0C">
        <w:rPr>
          <w:rFonts w:cstheme="minorHAnsi"/>
        </w:rPr>
        <w:t xml:space="preserve">, </w:t>
      </w:r>
      <w:r w:rsidRPr="00834D0C">
        <w:rPr>
          <w:rFonts w:cstheme="minorHAnsi"/>
        </w:rPr>
        <w:t>108</w:t>
      </w:r>
      <w:r w:rsidR="006D71D0" w:rsidRPr="00834D0C">
        <w:rPr>
          <w:rFonts w:cstheme="minorHAnsi"/>
        </w:rPr>
        <w:t xml:space="preserve"> and</w:t>
      </w:r>
      <w:r w:rsidRPr="00834D0C">
        <w:rPr>
          <w:rFonts w:cstheme="minorHAnsi"/>
        </w:rPr>
        <w:t xml:space="preserve"> 127.</w:t>
      </w:r>
    </w:p>
  </w:footnote>
  <w:footnote w:id="21">
    <w:p w14:paraId="102F31E5" w14:textId="00D6C09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Crawford (n 8) </w:t>
      </w:r>
      <w:r w:rsidRPr="00834D0C">
        <w:rPr>
          <w:rFonts w:cstheme="minorHAnsi"/>
        </w:rPr>
        <w:t xml:space="preserve">52; </w:t>
      </w:r>
      <w:r w:rsidRPr="00834D0C">
        <w:t xml:space="preserve">European Union, </w:t>
      </w:r>
      <w:r w:rsidRPr="00834D0C">
        <w:rPr>
          <w:i/>
          <w:iCs/>
        </w:rPr>
        <w:t>Independent International Fact-Finding Mission on the Conflict in Georgia</w:t>
      </w:r>
      <w:r w:rsidRPr="00834D0C">
        <w:t>, Volume II, September 2009, 131.</w:t>
      </w:r>
    </w:p>
  </w:footnote>
  <w:footnote w:id="22">
    <w:p w14:paraId="5E3D0317" w14:textId="71AFD190" w:rsidR="002B032D" w:rsidRPr="00834D0C" w:rsidRDefault="002B032D" w:rsidP="00163B41">
      <w:pPr>
        <w:pStyle w:val="FootnoteText"/>
        <w:jc w:val="both"/>
      </w:pPr>
      <w:r w:rsidRPr="00834D0C">
        <w:rPr>
          <w:rStyle w:val="FootnoteReference"/>
        </w:rPr>
        <w:footnoteRef/>
      </w:r>
      <w:r w:rsidRPr="00834D0C">
        <w:t xml:space="preserve"> In German- and French-speaking literature, this is however a requirement. See discussion in EU </w:t>
      </w:r>
      <w:r w:rsidRPr="00834D0C">
        <w:rPr>
          <w:rFonts w:cstheme="minorHAnsi"/>
        </w:rPr>
        <w:t>(</w:t>
      </w:r>
      <w:r w:rsidR="0084605E" w:rsidRPr="00834D0C">
        <w:rPr>
          <w:rFonts w:cstheme="minorHAnsi"/>
        </w:rPr>
        <w:t>n</w:t>
      </w:r>
      <w:r w:rsidRPr="00834D0C">
        <w:rPr>
          <w:rFonts w:cstheme="minorHAnsi"/>
        </w:rPr>
        <w:t xml:space="preserve"> </w:t>
      </w:r>
      <w:r w:rsidR="009037C8" w:rsidRPr="00834D0C">
        <w:rPr>
          <w:rFonts w:cstheme="minorHAnsi"/>
        </w:rPr>
        <w:t>20</w:t>
      </w:r>
      <w:r w:rsidRPr="00834D0C">
        <w:rPr>
          <w:rFonts w:cstheme="minorHAnsi"/>
        </w:rPr>
        <w:t xml:space="preserve">) </w:t>
      </w:r>
      <w:r w:rsidRPr="00834D0C">
        <w:t>130-131 (</w:t>
      </w:r>
      <w:proofErr w:type="spellStart"/>
      <w:r w:rsidRPr="00834D0C">
        <w:t>fn</w:t>
      </w:r>
      <w:proofErr w:type="spellEnd"/>
      <w:r w:rsidRPr="00834D0C">
        <w:t xml:space="preserve"> 18).</w:t>
      </w:r>
    </w:p>
  </w:footnote>
  <w:footnote w:id="23">
    <w:p w14:paraId="683A3992" w14:textId="2EB41E9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Crawford (n 8) </w:t>
      </w:r>
      <w:r w:rsidRPr="00834D0C">
        <w:rPr>
          <w:rFonts w:cstheme="minorHAnsi"/>
        </w:rPr>
        <w:t>52.</w:t>
      </w:r>
    </w:p>
  </w:footnote>
  <w:footnote w:id="24">
    <w:p w14:paraId="5F55D317" w14:textId="288DC97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For example, </w:t>
      </w:r>
      <w:proofErr w:type="spellStart"/>
      <w:r w:rsidRPr="00834D0C">
        <w:rPr>
          <w:rFonts w:cstheme="minorHAnsi"/>
          <w:iCs/>
        </w:rPr>
        <w:t>Merezhko</w:t>
      </w:r>
      <w:proofErr w:type="spellEnd"/>
      <w:r w:rsidRPr="00834D0C">
        <w:rPr>
          <w:rFonts w:cstheme="minorHAnsi"/>
        </w:rPr>
        <w:t xml:space="preserve"> argues that the Holy See (sic) does not have a population as those present are ‘resident functionaries, with the purpose to support it as a religious organization’. </w:t>
      </w:r>
      <w:r w:rsidR="002F3085" w:rsidRPr="00834D0C">
        <w:rPr>
          <w:rFonts w:cstheme="minorHAnsi"/>
        </w:rPr>
        <w:t xml:space="preserve">Oleksandr </w:t>
      </w:r>
      <w:proofErr w:type="spellStart"/>
      <w:r w:rsidR="002F3085" w:rsidRPr="00834D0C">
        <w:rPr>
          <w:rFonts w:cstheme="minorHAnsi"/>
        </w:rPr>
        <w:t>Merezhko</w:t>
      </w:r>
      <w:proofErr w:type="spellEnd"/>
      <w:r w:rsidR="002F3085" w:rsidRPr="00834D0C">
        <w:rPr>
          <w:rFonts w:cstheme="minorHAnsi"/>
        </w:rPr>
        <w:t xml:space="preserve">, ‘The Mystery of the State and Sovereignty in International Law’ (2019) 64 </w:t>
      </w:r>
      <w:r w:rsidRPr="00834D0C">
        <w:rPr>
          <w:rFonts w:cstheme="minorHAnsi"/>
          <w:i/>
          <w:iCs/>
        </w:rPr>
        <w:t xml:space="preserve">St Louis ULJ </w:t>
      </w:r>
      <w:r w:rsidRPr="00834D0C">
        <w:rPr>
          <w:rFonts w:cstheme="minorHAnsi"/>
        </w:rPr>
        <w:t>23</w:t>
      </w:r>
      <w:r w:rsidR="002F3085" w:rsidRPr="00834D0C">
        <w:rPr>
          <w:rFonts w:cstheme="minorHAnsi"/>
        </w:rPr>
        <w:t xml:space="preserve">, </w:t>
      </w:r>
      <w:r w:rsidRPr="00834D0C">
        <w:rPr>
          <w:rFonts w:cstheme="minorHAnsi"/>
        </w:rPr>
        <w:t>34.</w:t>
      </w:r>
    </w:p>
  </w:footnote>
  <w:footnote w:id="25">
    <w:p w14:paraId="60D0EF1B" w14:textId="7AE16F30" w:rsidR="002B032D" w:rsidRPr="00834D0C" w:rsidRDefault="002B032D" w:rsidP="00163B41">
      <w:pPr>
        <w:pStyle w:val="FootnoteText"/>
        <w:jc w:val="both"/>
        <w:rPr>
          <w:rFonts w:cstheme="minorHAnsi"/>
          <w:lang w:val="fr-FR"/>
        </w:rPr>
      </w:pPr>
      <w:r w:rsidRPr="00834D0C">
        <w:rPr>
          <w:rStyle w:val="FootnoteReference"/>
          <w:rFonts w:cstheme="minorHAnsi"/>
        </w:rPr>
        <w:footnoteRef/>
      </w:r>
      <w:r w:rsidRPr="00834D0C">
        <w:rPr>
          <w:rFonts w:cstheme="minorHAnsi"/>
        </w:rPr>
        <w:t xml:space="preserve"> </w:t>
      </w:r>
      <w:r w:rsidR="009770D7" w:rsidRPr="00834D0C">
        <w:rPr>
          <w:rFonts w:cstheme="minorHAnsi"/>
        </w:rPr>
        <w:t>ICJ</w:t>
      </w:r>
      <w:r w:rsidRPr="00834D0C">
        <w:rPr>
          <w:rFonts w:cstheme="minorHAnsi"/>
        </w:rPr>
        <w:t xml:space="preserve">, </w:t>
      </w:r>
      <w:r w:rsidRPr="00834D0C">
        <w:rPr>
          <w:rFonts w:cstheme="minorHAnsi"/>
          <w:i/>
          <w:iCs/>
        </w:rPr>
        <w:t>Western Sahara</w:t>
      </w:r>
      <w:r w:rsidRPr="00834D0C">
        <w:rPr>
          <w:rFonts w:cstheme="minorHAnsi"/>
        </w:rPr>
        <w:t xml:space="preserve">, Advisory Opinion, [1975] ICJ Rep 12, para </w:t>
      </w:r>
      <w:r w:rsidRPr="00834D0C">
        <w:rPr>
          <w:rFonts w:cstheme="minorHAnsi"/>
          <w:lang w:val="fr-FR"/>
        </w:rPr>
        <w:t>81.</w:t>
      </w:r>
    </w:p>
  </w:footnote>
  <w:footnote w:id="26">
    <w:p w14:paraId="559D1A98" w14:textId="7F54551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lang w:val="fr-FR"/>
        </w:rPr>
        <w:t xml:space="preserve"> Wladyslaw</w:t>
      </w:r>
      <w:r w:rsidRPr="00834D0C">
        <w:rPr>
          <w:rFonts w:cstheme="minorHAnsi"/>
          <w:i/>
          <w:iCs/>
          <w:lang w:val="fr-FR"/>
        </w:rPr>
        <w:t xml:space="preserve"> </w:t>
      </w:r>
      <w:proofErr w:type="spellStart"/>
      <w:r w:rsidR="002F3085" w:rsidRPr="00834D0C">
        <w:rPr>
          <w:rFonts w:cstheme="minorHAnsi"/>
          <w:lang w:val="fr-FR"/>
        </w:rPr>
        <w:t>Czaplinski</w:t>
      </w:r>
      <w:proofErr w:type="spellEnd"/>
      <w:r w:rsidR="002F3085" w:rsidRPr="00834D0C">
        <w:rPr>
          <w:rFonts w:cstheme="minorHAnsi"/>
          <w:lang w:val="fr-FR"/>
        </w:rPr>
        <w:t>, ‘La continuité, l’identité et la succession d’Etats – Evaluation de cas récents’ (1993) 26</w:t>
      </w:r>
      <w:r w:rsidRPr="00834D0C">
        <w:rPr>
          <w:rFonts w:cstheme="minorHAnsi"/>
          <w:lang w:val="fr-FR"/>
        </w:rPr>
        <w:t xml:space="preserve"> </w:t>
      </w:r>
      <w:r w:rsidRPr="00834D0C">
        <w:rPr>
          <w:rFonts w:cstheme="minorHAnsi"/>
          <w:i/>
          <w:iCs/>
          <w:lang w:val="fr-FR"/>
        </w:rPr>
        <w:t>RBDI</w:t>
      </w:r>
      <w:r w:rsidRPr="00834D0C">
        <w:rPr>
          <w:rFonts w:cstheme="minorHAnsi"/>
          <w:lang w:val="fr-FR"/>
        </w:rPr>
        <w:t xml:space="preserve"> 374</w:t>
      </w:r>
      <w:r w:rsidR="002F3085" w:rsidRPr="00834D0C">
        <w:rPr>
          <w:rFonts w:cstheme="minorHAnsi"/>
          <w:lang w:val="fr-FR"/>
        </w:rPr>
        <w:t xml:space="preserve">, </w:t>
      </w:r>
      <w:r w:rsidRPr="00834D0C">
        <w:rPr>
          <w:rFonts w:cstheme="minorHAnsi"/>
        </w:rPr>
        <w:t>378.</w:t>
      </w:r>
    </w:p>
  </w:footnote>
  <w:footnote w:id="27">
    <w:p w14:paraId="761D0606" w14:textId="173D4AD6" w:rsidR="002B032D" w:rsidRPr="00834D0C" w:rsidRDefault="002B032D" w:rsidP="00163B41">
      <w:pPr>
        <w:pStyle w:val="FootnoteText"/>
        <w:jc w:val="both"/>
      </w:pPr>
      <w:r w:rsidRPr="00834D0C">
        <w:rPr>
          <w:rStyle w:val="FootnoteReference"/>
        </w:rPr>
        <w:footnoteRef/>
      </w:r>
      <w:r w:rsidRPr="00834D0C">
        <w:t xml:space="preserve"> Interestingly, the </w:t>
      </w:r>
      <w:proofErr w:type="spellStart"/>
      <w:r w:rsidRPr="00834D0C">
        <w:t>Tagliavani</w:t>
      </w:r>
      <w:proofErr w:type="spellEnd"/>
      <w:r w:rsidRPr="00834D0C">
        <w:t xml:space="preserve"> report deems this an important factor to assess whether there is a stable group.</w:t>
      </w:r>
      <w:r w:rsidR="009037C8" w:rsidRPr="00834D0C">
        <w:t xml:space="preserve"> EU </w:t>
      </w:r>
      <w:r w:rsidR="009037C8" w:rsidRPr="00834D0C">
        <w:rPr>
          <w:rFonts w:cstheme="minorHAnsi"/>
        </w:rPr>
        <w:t xml:space="preserve">(n 20) </w:t>
      </w:r>
      <w:r w:rsidRPr="00834D0C">
        <w:t>131.</w:t>
      </w:r>
    </w:p>
  </w:footnote>
  <w:footnote w:id="28">
    <w:p w14:paraId="6155D27F" w14:textId="5D920C4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2F3085" w:rsidRPr="00834D0C">
        <w:rPr>
          <w:rFonts w:cstheme="minorHAnsi"/>
        </w:rPr>
        <w:t xml:space="preserve">Philip Marshall Brown, ‘The Theory of the Independence and Equality of States’ (1915) 9 </w:t>
      </w:r>
      <w:r w:rsidRPr="00834D0C">
        <w:rPr>
          <w:rFonts w:cstheme="minorHAnsi"/>
          <w:i/>
          <w:iCs/>
        </w:rPr>
        <w:t>AJIL</w:t>
      </w:r>
      <w:r w:rsidRPr="00834D0C">
        <w:rPr>
          <w:rFonts w:cstheme="minorHAnsi"/>
        </w:rPr>
        <w:t xml:space="preserve"> 305</w:t>
      </w:r>
      <w:r w:rsidR="002F3085" w:rsidRPr="00834D0C">
        <w:rPr>
          <w:rFonts w:cstheme="minorHAnsi"/>
        </w:rPr>
        <w:t xml:space="preserve">, </w:t>
      </w:r>
      <w:r w:rsidRPr="00834D0C">
        <w:rPr>
          <w:rFonts w:cstheme="minorHAnsi"/>
        </w:rPr>
        <w:t>317.</w:t>
      </w:r>
    </w:p>
  </w:footnote>
  <w:footnote w:id="29">
    <w:p w14:paraId="5CE54872" w14:textId="659FC40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Bob</w:t>
      </w:r>
      <w:r w:rsidRPr="00834D0C">
        <w:rPr>
          <w:rFonts w:cstheme="minorHAnsi"/>
          <w:i/>
          <w:iCs/>
        </w:rPr>
        <w:t xml:space="preserve"> </w:t>
      </w:r>
      <w:r w:rsidR="002F3085" w:rsidRPr="00834D0C">
        <w:rPr>
          <w:rFonts w:cstheme="minorHAnsi"/>
        </w:rPr>
        <w:t xml:space="preserve">Jessop, ‘The Future of the State in an Era of Globalization’ (2003) 3 </w:t>
      </w:r>
      <w:r w:rsidR="002F3085" w:rsidRPr="00834D0C">
        <w:rPr>
          <w:rFonts w:cstheme="minorHAnsi"/>
          <w:i/>
          <w:iCs/>
        </w:rPr>
        <w:t>IPG</w:t>
      </w:r>
      <w:r w:rsidR="002F3085" w:rsidRPr="00834D0C">
        <w:rPr>
          <w:rFonts w:cstheme="minorHAnsi"/>
        </w:rPr>
        <w:t xml:space="preserve"> 30, 30</w:t>
      </w:r>
      <w:r w:rsidRPr="00834D0C">
        <w:rPr>
          <w:rFonts w:cstheme="minorHAnsi"/>
        </w:rPr>
        <w:t>.</w:t>
      </w:r>
    </w:p>
  </w:footnote>
  <w:footnote w:id="30">
    <w:p w14:paraId="308CFD1A" w14:textId="5EB8B7B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iCs/>
        </w:rPr>
        <w:t xml:space="preserve">Island of Palmas Case </w:t>
      </w:r>
      <w:r w:rsidRPr="00834D0C">
        <w:rPr>
          <w:rFonts w:cstheme="minorHAnsi"/>
        </w:rPr>
        <w:t>(1928) 1 RIAA 829, 839 (Arbitrator Huber).</w:t>
      </w:r>
    </w:p>
  </w:footnote>
  <w:footnote w:id="31">
    <w:p w14:paraId="4948EC19" w14:textId="24C0E90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Marshall Brown (</w:t>
      </w:r>
      <w:r w:rsidR="0084605E" w:rsidRPr="00834D0C">
        <w:rPr>
          <w:rFonts w:cstheme="minorHAnsi"/>
        </w:rPr>
        <w:t>n</w:t>
      </w:r>
      <w:r w:rsidRPr="00834D0C">
        <w:rPr>
          <w:rFonts w:cstheme="minorHAnsi"/>
        </w:rPr>
        <w:t xml:space="preserve"> </w:t>
      </w:r>
      <w:r w:rsidR="002F3085" w:rsidRPr="00834D0C">
        <w:rPr>
          <w:rFonts w:cstheme="minorHAnsi"/>
        </w:rPr>
        <w:t>27</w:t>
      </w:r>
      <w:r w:rsidRPr="00834D0C">
        <w:rPr>
          <w:rFonts w:cstheme="minorHAnsi"/>
        </w:rPr>
        <w:t>) 318.</w:t>
      </w:r>
    </w:p>
  </w:footnote>
  <w:footnote w:id="32">
    <w:p w14:paraId="4D7480A1" w14:textId="1030F7FD"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Pr="00834D0C">
        <w:rPr>
          <w:rFonts w:cstheme="minorHAnsi"/>
          <w:lang w:val="de-DE"/>
        </w:rPr>
        <w:t xml:space="preserve">Germany, </w:t>
      </w:r>
      <w:r w:rsidRPr="00834D0C">
        <w:rPr>
          <w:rFonts w:eastAsia="Times New Roman" w:cstheme="minorHAnsi"/>
          <w:lang w:val="de-DE" w:eastAsia="en-GB"/>
        </w:rPr>
        <w:t xml:space="preserve">Verwaltungsgericht Köln, </w:t>
      </w:r>
      <w:r w:rsidRPr="00834D0C">
        <w:rPr>
          <w:rFonts w:eastAsia="Times New Roman" w:cstheme="minorHAnsi"/>
          <w:i/>
          <w:iCs/>
          <w:lang w:val="de-DE" w:eastAsia="en-GB"/>
        </w:rPr>
        <w:t>Fürstentum Sealand</w:t>
      </w:r>
      <w:r w:rsidRPr="00834D0C">
        <w:rPr>
          <w:rFonts w:eastAsia="Times New Roman" w:cstheme="minorHAnsi"/>
          <w:lang w:val="de-DE" w:eastAsia="en-GB"/>
        </w:rPr>
        <w:t>, 3 Ma</w:t>
      </w:r>
      <w:r w:rsidR="00356812" w:rsidRPr="00834D0C">
        <w:rPr>
          <w:rFonts w:eastAsia="Times New Roman" w:cstheme="minorHAnsi"/>
          <w:lang w:val="de-DE" w:eastAsia="en-GB"/>
        </w:rPr>
        <w:t>y</w:t>
      </w:r>
      <w:r w:rsidRPr="00834D0C">
        <w:rPr>
          <w:rFonts w:eastAsia="Times New Roman" w:cstheme="minorHAnsi"/>
          <w:lang w:val="de-DE" w:eastAsia="en-GB"/>
        </w:rPr>
        <w:t xml:space="preserve"> 1978, DVBl 1978, cited in </w:t>
      </w:r>
      <w:r w:rsidR="00356812" w:rsidRPr="00834D0C">
        <w:rPr>
          <w:rFonts w:eastAsia="Times New Roman" w:cstheme="minorHAnsi"/>
          <w:lang w:eastAsia="en-GB"/>
        </w:rPr>
        <w:t xml:space="preserve">Jeannine Hoffmann, Joerg Menzel and Tobias </w:t>
      </w:r>
      <w:proofErr w:type="spellStart"/>
      <w:r w:rsidR="00356812" w:rsidRPr="00834D0C">
        <w:rPr>
          <w:rFonts w:eastAsia="Times New Roman" w:cstheme="minorHAnsi"/>
          <w:lang w:eastAsia="en-GB"/>
        </w:rPr>
        <w:t>Pierlings</w:t>
      </w:r>
      <w:proofErr w:type="spellEnd"/>
      <w:r w:rsidR="00356812" w:rsidRPr="00834D0C">
        <w:rPr>
          <w:rFonts w:eastAsia="Times New Roman" w:cstheme="minorHAnsi"/>
          <w:lang w:eastAsia="en-GB"/>
        </w:rPr>
        <w:t xml:space="preserve">, </w:t>
      </w:r>
      <w:proofErr w:type="spellStart"/>
      <w:r w:rsidR="00356812" w:rsidRPr="00834D0C">
        <w:rPr>
          <w:rFonts w:eastAsia="Times New Roman" w:cstheme="minorHAnsi"/>
          <w:i/>
          <w:iCs/>
          <w:lang w:eastAsia="en-GB"/>
        </w:rPr>
        <w:t>Voelkerrechtsprechung</w:t>
      </w:r>
      <w:proofErr w:type="spellEnd"/>
      <w:r w:rsidR="00356812" w:rsidRPr="00834D0C">
        <w:rPr>
          <w:rFonts w:eastAsia="Times New Roman" w:cstheme="minorHAnsi"/>
          <w:i/>
          <w:iCs/>
          <w:lang w:eastAsia="en-GB"/>
        </w:rPr>
        <w:t xml:space="preserve">. </w:t>
      </w:r>
      <w:proofErr w:type="spellStart"/>
      <w:r w:rsidR="00356812" w:rsidRPr="00834D0C">
        <w:rPr>
          <w:rFonts w:eastAsia="Times New Roman" w:cstheme="minorHAnsi"/>
          <w:i/>
          <w:iCs/>
          <w:lang w:eastAsia="en-GB"/>
        </w:rPr>
        <w:t>Ausgewaehlte</w:t>
      </w:r>
      <w:proofErr w:type="spellEnd"/>
      <w:r w:rsidR="00356812" w:rsidRPr="00834D0C">
        <w:rPr>
          <w:rFonts w:eastAsia="Times New Roman" w:cstheme="minorHAnsi"/>
          <w:i/>
          <w:iCs/>
          <w:lang w:eastAsia="en-GB"/>
        </w:rPr>
        <w:t xml:space="preserve"> </w:t>
      </w:r>
      <w:proofErr w:type="spellStart"/>
      <w:r w:rsidR="00356812" w:rsidRPr="00834D0C">
        <w:rPr>
          <w:rFonts w:eastAsia="Times New Roman" w:cstheme="minorHAnsi"/>
          <w:i/>
          <w:iCs/>
          <w:lang w:eastAsia="en-GB"/>
        </w:rPr>
        <w:t>Entscheidungen</w:t>
      </w:r>
      <w:proofErr w:type="spellEnd"/>
      <w:r w:rsidR="00356812" w:rsidRPr="00834D0C">
        <w:rPr>
          <w:rFonts w:eastAsia="Times New Roman" w:cstheme="minorHAnsi"/>
          <w:i/>
          <w:iCs/>
          <w:lang w:eastAsia="en-GB"/>
        </w:rPr>
        <w:t xml:space="preserve"> </w:t>
      </w:r>
      <w:proofErr w:type="spellStart"/>
      <w:r w:rsidR="00356812" w:rsidRPr="00834D0C">
        <w:rPr>
          <w:rFonts w:eastAsia="Times New Roman" w:cstheme="minorHAnsi"/>
          <w:i/>
          <w:iCs/>
          <w:lang w:eastAsia="en-GB"/>
        </w:rPr>
        <w:t>zum</w:t>
      </w:r>
      <w:proofErr w:type="spellEnd"/>
      <w:r w:rsidR="00356812" w:rsidRPr="00834D0C">
        <w:rPr>
          <w:rFonts w:eastAsia="Times New Roman" w:cstheme="minorHAnsi"/>
          <w:i/>
          <w:iCs/>
          <w:lang w:eastAsia="en-GB"/>
        </w:rPr>
        <w:t xml:space="preserve"> </w:t>
      </w:r>
      <w:proofErr w:type="spellStart"/>
      <w:r w:rsidR="00356812" w:rsidRPr="00834D0C">
        <w:rPr>
          <w:rFonts w:eastAsia="Times New Roman" w:cstheme="minorHAnsi"/>
          <w:i/>
          <w:iCs/>
          <w:lang w:eastAsia="en-GB"/>
        </w:rPr>
        <w:t>Voelkerrecht</w:t>
      </w:r>
      <w:proofErr w:type="spellEnd"/>
      <w:r w:rsidR="00356812" w:rsidRPr="00834D0C">
        <w:rPr>
          <w:rFonts w:eastAsia="Times New Roman" w:cstheme="minorHAnsi"/>
          <w:i/>
          <w:iCs/>
          <w:lang w:eastAsia="en-GB"/>
        </w:rPr>
        <w:t xml:space="preserve"> in </w:t>
      </w:r>
      <w:proofErr w:type="spellStart"/>
      <w:r w:rsidR="00356812" w:rsidRPr="00834D0C">
        <w:rPr>
          <w:rFonts w:eastAsia="Times New Roman" w:cstheme="minorHAnsi"/>
          <w:i/>
          <w:iCs/>
          <w:lang w:eastAsia="en-GB"/>
        </w:rPr>
        <w:t>Perspektive</w:t>
      </w:r>
      <w:proofErr w:type="spellEnd"/>
      <w:r w:rsidR="00356812" w:rsidRPr="00834D0C">
        <w:rPr>
          <w:rFonts w:eastAsia="Times New Roman" w:cstheme="minorHAnsi"/>
          <w:i/>
          <w:iCs/>
          <w:lang w:eastAsia="en-GB"/>
        </w:rPr>
        <w:t xml:space="preserve"> </w:t>
      </w:r>
      <w:r w:rsidR="00356812" w:rsidRPr="00834D0C">
        <w:rPr>
          <w:rFonts w:eastAsia="Times New Roman" w:cstheme="minorHAnsi"/>
          <w:lang w:eastAsia="en-GB"/>
        </w:rPr>
        <w:t xml:space="preserve">(Mohr </w:t>
      </w:r>
      <w:proofErr w:type="spellStart"/>
      <w:r w:rsidR="00356812" w:rsidRPr="00834D0C">
        <w:rPr>
          <w:rFonts w:eastAsia="Times New Roman" w:cstheme="minorHAnsi"/>
          <w:lang w:eastAsia="en-GB"/>
        </w:rPr>
        <w:t>Siebeck</w:t>
      </w:r>
      <w:proofErr w:type="spellEnd"/>
      <w:r w:rsidR="00356812" w:rsidRPr="00834D0C">
        <w:rPr>
          <w:rFonts w:eastAsia="Times New Roman" w:cstheme="minorHAnsi"/>
          <w:lang w:eastAsia="en-GB"/>
        </w:rPr>
        <w:t xml:space="preserve"> 2005) </w:t>
      </w:r>
      <w:r w:rsidRPr="00834D0C">
        <w:rPr>
          <w:rFonts w:eastAsia="Times New Roman" w:cstheme="minorHAnsi"/>
          <w:lang w:val="de-DE" w:eastAsia="en-GB"/>
        </w:rPr>
        <w:t>175-179.</w:t>
      </w:r>
    </w:p>
  </w:footnote>
  <w:footnote w:id="33">
    <w:p w14:paraId="072F7F1D" w14:textId="2DEE6C0E"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00E96CF5" w:rsidRPr="00834D0C">
        <w:rPr>
          <w:rFonts w:cstheme="minorHAnsi"/>
        </w:rPr>
        <w:t xml:space="preserve">Crawford (n 8) </w:t>
      </w:r>
      <w:r w:rsidRPr="00834D0C">
        <w:rPr>
          <w:rFonts w:cstheme="minorHAnsi"/>
          <w:lang w:val="de-DE"/>
        </w:rPr>
        <w:t>46-47.</w:t>
      </w:r>
    </w:p>
  </w:footnote>
  <w:footnote w:id="34">
    <w:p w14:paraId="4807DC7A" w14:textId="2B95D3E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Crawford (n 8) </w:t>
      </w:r>
      <w:r w:rsidRPr="00834D0C">
        <w:rPr>
          <w:rFonts w:cstheme="minorHAnsi"/>
        </w:rPr>
        <w:t>47.</w:t>
      </w:r>
    </w:p>
  </w:footnote>
  <w:footnote w:id="35">
    <w:p w14:paraId="1D1C7DDE" w14:textId="5FAB5DF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Vienna Convention on the Law of Treaties, 23 May 1969, 1155 UNTS 331.</w:t>
      </w:r>
    </w:p>
  </w:footnote>
  <w:footnote w:id="36">
    <w:p w14:paraId="117DAEE7" w14:textId="5201A149"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Pr="00834D0C">
        <w:rPr>
          <w:rFonts w:cstheme="minorHAnsi"/>
          <w:lang w:val="de-DE"/>
        </w:rPr>
        <w:t>Walter Kälin</w:t>
      </w:r>
      <w:r w:rsidR="00356812" w:rsidRPr="00834D0C">
        <w:rPr>
          <w:rFonts w:cstheme="minorHAnsi"/>
          <w:lang w:val="de-DE"/>
        </w:rPr>
        <w:t xml:space="preserve">, </w:t>
      </w:r>
      <w:r w:rsidRPr="00834D0C">
        <w:rPr>
          <w:rFonts w:cstheme="minorHAnsi"/>
          <w:lang w:val="de-DE"/>
        </w:rPr>
        <w:t>Astrid Epiney</w:t>
      </w:r>
      <w:r w:rsidR="00356812" w:rsidRPr="00834D0C">
        <w:rPr>
          <w:rFonts w:cstheme="minorHAnsi"/>
          <w:lang w:val="de-DE"/>
        </w:rPr>
        <w:t xml:space="preserve">, </w:t>
      </w:r>
      <w:r w:rsidRPr="00834D0C">
        <w:rPr>
          <w:rFonts w:cstheme="minorHAnsi"/>
          <w:lang w:val="de-DE"/>
        </w:rPr>
        <w:t>Martina Caroni</w:t>
      </w:r>
      <w:r w:rsidR="00356812" w:rsidRPr="00834D0C">
        <w:rPr>
          <w:rFonts w:cstheme="minorHAnsi"/>
          <w:lang w:val="de-DE"/>
        </w:rPr>
        <w:t xml:space="preserve">, </w:t>
      </w:r>
      <w:r w:rsidRPr="00834D0C">
        <w:rPr>
          <w:rFonts w:cstheme="minorHAnsi"/>
          <w:lang w:val="de-DE"/>
        </w:rPr>
        <w:t>Jörg Künzli</w:t>
      </w:r>
      <w:r w:rsidR="00356812" w:rsidRPr="00834D0C">
        <w:rPr>
          <w:rFonts w:cstheme="minorHAnsi"/>
          <w:lang w:val="de-DE"/>
        </w:rPr>
        <w:t xml:space="preserve"> and </w:t>
      </w:r>
      <w:r w:rsidRPr="00834D0C">
        <w:rPr>
          <w:rFonts w:cstheme="minorHAnsi"/>
          <w:lang w:val="de-DE"/>
        </w:rPr>
        <w:t>Benedikt Pirker</w:t>
      </w:r>
      <w:r w:rsidR="00356812" w:rsidRPr="00834D0C">
        <w:rPr>
          <w:rFonts w:cstheme="minorHAnsi"/>
          <w:lang w:val="de-DE"/>
        </w:rPr>
        <w:t xml:space="preserve">, </w:t>
      </w:r>
      <w:r w:rsidR="00356812" w:rsidRPr="00834D0C">
        <w:rPr>
          <w:rFonts w:cstheme="minorHAnsi"/>
          <w:i/>
          <w:iCs/>
          <w:lang w:val="de-DE"/>
        </w:rPr>
        <w:t>Völkerrecht. Eine Einführung</w:t>
      </w:r>
      <w:r w:rsidR="00356812" w:rsidRPr="00834D0C">
        <w:rPr>
          <w:rFonts w:cstheme="minorHAnsi"/>
          <w:i/>
          <w:iCs/>
        </w:rPr>
        <w:t xml:space="preserve"> </w:t>
      </w:r>
      <w:r w:rsidR="00356812" w:rsidRPr="00834D0C">
        <w:rPr>
          <w:rFonts w:cstheme="minorHAnsi"/>
        </w:rPr>
        <w:t>(5</w:t>
      </w:r>
      <w:r w:rsidR="00356812" w:rsidRPr="00834D0C">
        <w:rPr>
          <w:rFonts w:cstheme="minorHAnsi"/>
          <w:vertAlign w:val="superscript"/>
        </w:rPr>
        <w:t>th</w:t>
      </w:r>
      <w:r w:rsidR="00356812" w:rsidRPr="00834D0C">
        <w:rPr>
          <w:rFonts w:cstheme="minorHAnsi"/>
        </w:rPr>
        <w:t xml:space="preserve"> </w:t>
      </w:r>
      <w:proofErr w:type="spellStart"/>
      <w:r w:rsidR="00356812" w:rsidRPr="00834D0C">
        <w:rPr>
          <w:rFonts w:cstheme="minorHAnsi"/>
        </w:rPr>
        <w:t>edn</w:t>
      </w:r>
      <w:proofErr w:type="spellEnd"/>
      <w:r w:rsidR="00356812" w:rsidRPr="00834D0C">
        <w:rPr>
          <w:rFonts w:cstheme="minorHAnsi"/>
        </w:rPr>
        <w:t xml:space="preserve"> </w:t>
      </w:r>
      <w:proofErr w:type="spellStart"/>
      <w:r w:rsidR="00356812" w:rsidRPr="00834D0C">
        <w:rPr>
          <w:rFonts w:cstheme="minorHAnsi"/>
        </w:rPr>
        <w:t>Staempfli</w:t>
      </w:r>
      <w:proofErr w:type="spellEnd"/>
      <w:r w:rsidR="00356812" w:rsidRPr="00834D0C">
        <w:rPr>
          <w:rFonts w:cstheme="minorHAnsi"/>
        </w:rPr>
        <w:t xml:space="preserve"> 2022)</w:t>
      </w:r>
      <w:r w:rsidRPr="00834D0C">
        <w:rPr>
          <w:rFonts w:cstheme="minorHAnsi"/>
          <w:lang w:val="de-DE"/>
        </w:rPr>
        <w:t xml:space="preserve"> 147; </w:t>
      </w:r>
      <w:r w:rsidR="009037C8" w:rsidRPr="00834D0C">
        <w:t xml:space="preserve">EU </w:t>
      </w:r>
      <w:r w:rsidR="009037C8" w:rsidRPr="00834D0C">
        <w:rPr>
          <w:rFonts w:cstheme="minorHAnsi"/>
        </w:rPr>
        <w:t xml:space="preserve">(n 20) </w:t>
      </w:r>
      <w:r w:rsidRPr="00834D0C">
        <w:rPr>
          <w:lang w:val="de-DE"/>
        </w:rPr>
        <w:t>130.</w:t>
      </w:r>
    </w:p>
  </w:footnote>
  <w:footnote w:id="37">
    <w:p w14:paraId="33EA29D1" w14:textId="23954C1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t>German-Polish Mixed Arbitral Tribunal,</w:t>
      </w:r>
      <w:r w:rsidRPr="00834D0C">
        <w:rPr>
          <w:rFonts w:cstheme="minorHAnsi"/>
        </w:rPr>
        <w:t xml:space="preserve"> </w:t>
      </w:r>
      <w:r w:rsidRPr="00834D0C">
        <w:rPr>
          <w:rFonts w:cstheme="minorHAnsi"/>
          <w:i/>
          <w:iCs/>
        </w:rPr>
        <w:t xml:space="preserve">Deutsche Continental Gas-Gesellschaft v Polish State </w:t>
      </w:r>
      <w:r w:rsidRPr="00834D0C">
        <w:rPr>
          <w:rFonts w:cstheme="minorHAnsi"/>
        </w:rPr>
        <w:t>(1929) 5 ILR 11, 14-15.</w:t>
      </w:r>
    </w:p>
  </w:footnote>
  <w:footnote w:id="38">
    <w:p w14:paraId="75671D77" w14:textId="27AC73F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770D7" w:rsidRPr="00834D0C">
        <w:rPr>
          <w:rFonts w:cstheme="minorHAnsi"/>
        </w:rPr>
        <w:t>ICJ</w:t>
      </w:r>
      <w:r w:rsidRPr="00834D0C">
        <w:rPr>
          <w:rFonts w:cstheme="minorHAnsi"/>
        </w:rPr>
        <w:t xml:space="preserve">, </w:t>
      </w:r>
      <w:r w:rsidRPr="00834D0C">
        <w:rPr>
          <w:rFonts w:cstheme="minorHAnsi"/>
          <w:i/>
          <w:iCs/>
        </w:rPr>
        <w:t>North Sea Continental Shelf Cases (Federal Republic of Germany/Denmark and Federal Republic of Germany/Netherlands)</w:t>
      </w:r>
      <w:r w:rsidRPr="00834D0C">
        <w:rPr>
          <w:rFonts w:cstheme="minorHAnsi"/>
        </w:rPr>
        <w:t>, Judgment, [1969] ICJ Rep 3, 32.</w:t>
      </w:r>
    </w:p>
  </w:footnote>
  <w:footnote w:id="39">
    <w:p w14:paraId="0369BBDF" w14:textId="17FE950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examples in </w:t>
      </w:r>
      <w:r w:rsidR="00E96CF5" w:rsidRPr="00834D0C">
        <w:rPr>
          <w:rFonts w:cstheme="minorHAnsi"/>
        </w:rPr>
        <w:t xml:space="preserve">Crawford (n 8) </w:t>
      </w:r>
      <w:r w:rsidRPr="00834D0C">
        <w:rPr>
          <w:rFonts w:cstheme="minorHAnsi"/>
        </w:rPr>
        <w:t xml:space="preserve">50 and </w:t>
      </w:r>
      <w:r w:rsidR="00356812" w:rsidRPr="00834D0C">
        <w:rPr>
          <w:rFonts w:cstheme="minorHAnsi"/>
        </w:rPr>
        <w:t xml:space="preserve">Malcolm Shaw, </w:t>
      </w:r>
      <w:r w:rsidR="00356812" w:rsidRPr="00834D0C">
        <w:rPr>
          <w:rFonts w:cstheme="minorHAnsi"/>
          <w:i/>
          <w:iCs/>
        </w:rPr>
        <w:t xml:space="preserve">International Law </w:t>
      </w:r>
      <w:r w:rsidR="00356812" w:rsidRPr="00834D0C">
        <w:rPr>
          <w:rFonts w:cstheme="minorHAnsi"/>
        </w:rPr>
        <w:t xml:space="preserve">(CUP 2017) </w:t>
      </w:r>
      <w:r w:rsidRPr="00834D0C">
        <w:rPr>
          <w:rFonts w:cstheme="minorHAnsi"/>
        </w:rPr>
        <w:t>158.</w:t>
      </w:r>
    </w:p>
  </w:footnote>
  <w:footnote w:id="40">
    <w:p w14:paraId="237C0299" w14:textId="0953D18A" w:rsidR="002B032D" w:rsidRPr="00834D0C" w:rsidRDefault="002B032D" w:rsidP="00163B41">
      <w:pPr>
        <w:pStyle w:val="FootnoteText"/>
        <w:jc w:val="both"/>
      </w:pPr>
      <w:r w:rsidRPr="00834D0C">
        <w:rPr>
          <w:rStyle w:val="FootnoteReference"/>
        </w:rPr>
        <w:footnoteRef/>
      </w:r>
      <w:r w:rsidRPr="00834D0C">
        <w:t xml:space="preserve"> For South Ossetia and Abkhazia, see </w:t>
      </w:r>
      <w:r w:rsidR="009037C8" w:rsidRPr="00834D0C">
        <w:t xml:space="preserve">EU </w:t>
      </w:r>
      <w:r w:rsidR="009037C8" w:rsidRPr="00834D0C">
        <w:rPr>
          <w:rFonts w:cstheme="minorHAnsi"/>
        </w:rPr>
        <w:t xml:space="preserve">(n 20) </w:t>
      </w:r>
      <w:r w:rsidRPr="00834D0C">
        <w:t>130.</w:t>
      </w:r>
    </w:p>
  </w:footnote>
  <w:footnote w:id="41">
    <w:p w14:paraId="21402CDE" w14:textId="32698B4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564AE7" w:rsidRPr="00834D0C">
        <w:rPr>
          <w:rFonts w:cstheme="minorHAnsi"/>
        </w:rPr>
        <w:t>UNSC</w:t>
      </w:r>
      <w:r w:rsidRPr="00834D0C">
        <w:rPr>
          <w:rFonts w:cstheme="minorHAnsi"/>
        </w:rPr>
        <w:t>, Resolution 854 (1993), UN Doc S/RES/854 (1993), 6 August 1993.</w:t>
      </w:r>
    </w:p>
  </w:footnote>
  <w:footnote w:id="42">
    <w:p w14:paraId="44073125" w14:textId="36E36AB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356812" w:rsidRPr="00834D0C">
        <w:rPr>
          <w:rFonts w:cstheme="minorHAnsi"/>
        </w:rPr>
        <w:t>Friedrich W</w:t>
      </w:r>
      <w:r w:rsidR="00356812" w:rsidRPr="00834D0C">
        <w:rPr>
          <w:rFonts w:cstheme="minorHAnsi"/>
          <w:i/>
          <w:iCs/>
        </w:rPr>
        <w:t xml:space="preserve"> </w:t>
      </w:r>
      <w:proofErr w:type="spellStart"/>
      <w:r w:rsidR="00356812" w:rsidRPr="00834D0C">
        <w:rPr>
          <w:rFonts w:cstheme="minorHAnsi"/>
        </w:rPr>
        <w:t>Kriesel</w:t>
      </w:r>
      <w:proofErr w:type="spellEnd"/>
      <w:r w:rsidR="00356812" w:rsidRPr="00834D0C">
        <w:rPr>
          <w:rFonts w:cstheme="minorHAnsi"/>
        </w:rPr>
        <w:t xml:space="preserve">, ‘The CSCE Mission to Georgia/South Ossetia and its Cooperation with the Russian Peacekeeping Forces – Model or Individual Case?’ in Hans-Georg Ehrhart, Anna </w:t>
      </w:r>
      <w:proofErr w:type="spellStart"/>
      <w:r w:rsidR="00356812" w:rsidRPr="00834D0C">
        <w:rPr>
          <w:rFonts w:cstheme="minorHAnsi"/>
        </w:rPr>
        <w:t>Kreikemeyer</w:t>
      </w:r>
      <w:proofErr w:type="spellEnd"/>
      <w:r w:rsidR="00356812" w:rsidRPr="00834D0C">
        <w:rPr>
          <w:rFonts w:cstheme="minorHAnsi"/>
        </w:rPr>
        <w:t xml:space="preserve"> and Andrei </w:t>
      </w:r>
      <w:proofErr w:type="spellStart"/>
      <w:r w:rsidR="00356812" w:rsidRPr="00834D0C">
        <w:rPr>
          <w:rFonts w:cstheme="minorHAnsi"/>
        </w:rPr>
        <w:t>Zagorski</w:t>
      </w:r>
      <w:proofErr w:type="spellEnd"/>
      <w:r w:rsidR="00356812" w:rsidRPr="00834D0C">
        <w:rPr>
          <w:rFonts w:cstheme="minorHAnsi"/>
        </w:rPr>
        <w:t xml:space="preserve"> (eds), </w:t>
      </w:r>
      <w:r w:rsidR="00356812" w:rsidRPr="00834D0C">
        <w:rPr>
          <w:rFonts w:cstheme="minorHAnsi"/>
          <w:i/>
          <w:iCs/>
        </w:rPr>
        <w:t xml:space="preserve">Crisis Management in the CIS: Wither Russia? </w:t>
      </w:r>
      <w:r w:rsidR="00356812" w:rsidRPr="00834D0C">
        <w:rPr>
          <w:rFonts w:cstheme="minorHAnsi"/>
        </w:rPr>
        <w:t xml:space="preserve">(Nomos 1995) </w:t>
      </w:r>
      <w:r w:rsidRPr="00834D0C">
        <w:rPr>
          <w:rFonts w:cstheme="minorHAnsi"/>
        </w:rPr>
        <w:t>179.</w:t>
      </w:r>
    </w:p>
  </w:footnote>
  <w:footnote w:id="43">
    <w:p w14:paraId="46A0A5DE" w14:textId="67DDDBB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Marius </w:t>
      </w:r>
      <w:proofErr w:type="spellStart"/>
      <w:r w:rsidRPr="00834D0C">
        <w:rPr>
          <w:rFonts w:cstheme="minorHAnsi"/>
        </w:rPr>
        <w:t>Vahl</w:t>
      </w:r>
      <w:proofErr w:type="spellEnd"/>
      <w:r w:rsidR="00356812" w:rsidRPr="00834D0C">
        <w:rPr>
          <w:rFonts w:cstheme="minorHAnsi"/>
        </w:rPr>
        <w:t xml:space="preserve"> and </w:t>
      </w:r>
      <w:r w:rsidRPr="00834D0C">
        <w:rPr>
          <w:rFonts w:cstheme="minorHAnsi"/>
        </w:rPr>
        <w:t xml:space="preserve">Michael </w:t>
      </w:r>
      <w:r w:rsidR="00356812" w:rsidRPr="00834D0C">
        <w:rPr>
          <w:rFonts w:cstheme="minorHAnsi"/>
        </w:rPr>
        <w:t xml:space="preserve">Emerson, ‘Moldova and the Transnistrian Conflict’ (2004) 1 </w:t>
      </w:r>
      <w:r w:rsidR="00356812" w:rsidRPr="00834D0C">
        <w:rPr>
          <w:rFonts w:cstheme="minorHAnsi"/>
          <w:i/>
          <w:iCs/>
        </w:rPr>
        <w:t>JEMIE</w:t>
      </w:r>
      <w:r w:rsidR="00356812" w:rsidRPr="00834D0C">
        <w:rPr>
          <w:rFonts w:cstheme="minorHAnsi"/>
        </w:rPr>
        <w:t xml:space="preserve"> 1, 8.</w:t>
      </w:r>
    </w:p>
  </w:footnote>
  <w:footnote w:id="44">
    <w:p w14:paraId="155D4826" w14:textId="2A26FFED" w:rsidR="002B032D" w:rsidRPr="00834D0C" w:rsidRDefault="002B032D" w:rsidP="00163B41">
      <w:pPr>
        <w:pStyle w:val="FootnoteText"/>
        <w:jc w:val="both"/>
        <w:rPr>
          <w:rFonts w:cstheme="minorHAnsi"/>
          <w:highlight w:val="yellow"/>
        </w:rPr>
      </w:pPr>
      <w:r w:rsidRPr="00834D0C">
        <w:rPr>
          <w:rStyle w:val="FootnoteReference"/>
          <w:rFonts w:cstheme="minorHAnsi"/>
        </w:rPr>
        <w:footnoteRef/>
      </w:r>
      <w:r w:rsidRPr="00834D0C">
        <w:rPr>
          <w:rFonts w:cstheme="minorHAnsi"/>
        </w:rPr>
        <w:t xml:space="preserve"> See </w:t>
      </w:r>
      <w:r w:rsidRPr="00834D0C">
        <w:t>Freedom House, Freedom in the World 2022 – Nagorno-Karabakh</w:t>
      </w:r>
      <w:r w:rsidR="00486060" w:rsidRPr="00834D0C">
        <w:t>, available at https://freedomhouse.org/country/nagorno-karabakh/freedom-world/2022</w:t>
      </w:r>
      <w:r w:rsidRPr="00834D0C">
        <w:t>.</w:t>
      </w:r>
      <w:r w:rsidRPr="00834D0C">
        <w:rPr>
          <w:rFonts w:cstheme="minorHAnsi"/>
        </w:rPr>
        <w:t xml:space="preserve"> </w:t>
      </w:r>
    </w:p>
  </w:footnote>
  <w:footnote w:id="45">
    <w:p w14:paraId="0CBE89B8" w14:textId="05FF3709" w:rsidR="002B032D" w:rsidRPr="00834D0C" w:rsidRDefault="002B032D" w:rsidP="00163B41">
      <w:pPr>
        <w:pStyle w:val="FootnoteText"/>
        <w:jc w:val="both"/>
      </w:pPr>
      <w:r w:rsidRPr="00834D0C">
        <w:rPr>
          <w:rStyle w:val="FootnoteReference"/>
        </w:rPr>
        <w:footnoteRef/>
      </w:r>
      <w:r w:rsidRPr="00834D0C">
        <w:t xml:space="preserve"> Tracey German</w:t>
      </w:r>
      <w:r w:rsidRPr="00834D0C">
        <w:rPr>
          <w:i/>
          <w:iCs/>
        </w:rPr>
        <w:t xml:space="preserve">, </w:t>
      </w:r>
      <w:r w:rsidR="00FA029C" w:rsidRPr="00834D0C">
        <w:t>‘</w:t>
      </w:r>
      <w:r w:rsidRPr="00834D0C">
        <w:t>Russia and South-Ossetia: Conferring Statehood or Creeping Annexation?</w:t>
      </w:r>
      <w:r w:rsidR="00FA029C" w:rsidRPr="00834D0C">
        <w:t>’</w:t>
      </w:r>
      <w:r w:rsidRPr="00834D0C">
        <w:t xml:space="preserve"> </w:t>
      </w:r>
      <w:r w:rsidR="00FA029C" w:rsidRPr="00834D0C">
        <w:t xml:space="preserve">(2016) 16(1) </w:t>
      </w:r>
      <w:r w:rsidRPr="00834D0C">
        <w:rPr>
          <w:i/>
          <w:iCs/>
        </w:rPr>
        <w:t>S</w:t>
      </w:r>
      <w:r w:rsidR="00FA029C" w:rsidRPr="00834D0C">
        <w:rPr>
          <w:i/>
          <w:iCs/>
        </w:rPr>
        <w:t xml:space="preserve">E </w:t>
      </w:r>
      <w:proofErr w:type="spellStart"/>
      <w:r w:rsidR="00FA029C" w:rsidRPr="00834D0C">
        <w:rPr>
          <w:i/>
          <w:iCs/>
        </w:rPr>
        <w:t>Eur</w:t>
      </w:r>
      <w:proofErr w:type="spellEnd"/>
      <w:r w:rsidR="00FA029C" w:rsidRPr="00834D0C">
        <w:rPr>
          <w:i/>
          <w:iCs/>
        </w:rPr>
        <w:t xml:space="preserve"> Black Sea Stu</w:t>
      </w:r>
      <w:r w:rsidRPr="00834D0C">
        <w:t xml:space="preserve"> 155</w:t>
      </w:r>
      <w:r w:rsidR="00FA029C" w:rsidRPr="00834D0C">
        <w:t xml:space="preserve">, </w:t>
      </w:r>
      <w:r w:rsidRPr="00834D0C">
        <w:t>162-163.</w:t>
      </w:r>
    </w:p>
  </w:footnote>
  <w:footnote w:id="46">
    <w:p w14:paraId="1542B43D" w14:textId="05AFAB10"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rPr>
          <w:rFonts w:cstheme="minorHAnsi"/>
          <w:iCs/>
        </w:rPr>
        <w:t>Pål</w:t>
      </w:r>
      <w:proofErr w:type="spellEnd"/>
      <w:r w:rsidRPr="00834D0C">
        <w:rPr>
          <w:rFonts w:cstheme="minorHAnsi"/>
          <w:iCs/>
        </w:rPr>
        <w:t xml:space="preserve"> </w:t>
      </w:r>
      <w:proofErr w:type="spellStart"/>
      <w:r w:rsidRPr="00834D0C">
        <w:rPr>
          <w:rFonts w:cstheme="minorHAnsi"/>
          <w:iCs/>
        </w:rPr>
        <w:t>Kolstø</w:t>
      </w:r>
      <w:proofErr w:type="spellEnd"/>
      <w:r w:rsidRPr="00834D0C">
        <w:rPr>
          <w:rFonts w:cstheme="minorHAnsi"/>
          <w:iCs/>
        </w:rPr>
        <w:t xml:space="preserve"> and Helge </w:t>
      </w:r>
      <w:proofErr w:type="spellStart"/>
      <w:r w:rsidRPr="00834D0C">
        <w:rPr>
          <w:rFonts w:cstheme="minorHAnsi"/>
          <w:iCs/>
        </w:rPr>
        <w:t>Blakkisrud</w:t>
      </w:r>
      <w:proofErr w:type="spellEnd"/>
      <w:r w:rsidRPr="00834D0C">
        <w:rPr>
          <w:rFonts w:cstheme="minorHAnsi"/>
        </w:rPr>
        <w:t xml:space="preserve">, </w:t>
      </w:r>
      <w:r w:rsidR="002F3085" w:rsidRPr="00834D0C">
        <w:rPr>
          <w:rFonts w:cstheme="minorHAnsi"/>
        </w:rPr>
        <w:t>‘</w:t>
      </w:r>
      <w:r w:rsidRPr="00834D0C">
        <w:rPr>
          <w:rFonts w:cstheme="minorHAnsi"/>
        </w:rPr>
        <w:t>Living with Non-Recognition: State- and Nation-Building in South Caucasian Quasi-States</w:t>
      </w:r>
      <w:r w:rsidR="002F3085" w:rsidRPr="00834D0C">
        <w:rPr>
          <w:rFonts w:cstheme="minorHAnsi"/>
        </w:rPr>
        <w:t>’ (2008) 60(3)</w:t>
      </w:r>
      <w:r w:rsidRPr="00834D0C">
        <w:rPr>
          <w:rFonts w:cstheme="minorHAnsi"/>
        </w:rPr>
        <w:t xml:space="preserve"> </w:t>
      </w:r>
      <w:proofErr w:type="spellStart"/>
      <w:r w:rsidRPr="00834D0C">
        <w:rPr>
          <w:rFonts w:cstheme="minorHAnsi"/>
          <w:i/>
          <w:iCs/>
        </w:rPr>
        <w:t>Eu</w:t>
      </w:r>
      <w:r w:rsidR="002F3085" w:rsidRPr="00834D0C">
        <w:rPr>
          <w:rFonts w:cstheme="minorHAnsi"/>
          <w:i/>
          <w:iCs/>
        </w:rPr>
        <w:t>r</w:t>
      </w:r>
      <w:proofErr w:type="spellEnd"/>
      <w:r w:rsidRPr="00834D0C">
        <w:rPr>
          <w:rFonts w:cstheme="minorHAnsi"/>
          <w:i/>
          <w:iCs/>
        </w:rPr>
        <w:t xml:space="preserve">-Asia Stud </w:t>
      </w:r>
      <w:r w:rsidRPr="00834D0C">
        <w:rPr>
          <w:rFonts w:cstheme="minorHAnsi"/>
        </w:rPr>
        <w:t>483</w:t>
      </w:r>
      <w:r w:rsidR="002F3085" w:rsidRPr="00834D0C">
        <w:rPr>
          <w:rFonts w:cstheme="minorHAnsi"/>
        </w:rPr>
        <w:t>,</w:t>
      </w:r>
      <w:r w:rsidRPr="00834D0C">
        <w:rPr>
          <w:rFonts w:cstheme="minorHAnsi"/>
        </w:rPr>
        <w:t xml:space="preserve"> 490.</w:t>
      </w:r>
    </w:p>
  </w:footnote>
  <w:footnote w:id="47">
    <w:p w14:paraId="18A54170" w14:textId="58E5122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iCs/>
        </w:rPr>
        <w:t>Western Sahara Advisory Opinion</w:t>
      </w:r>
      <w:r w:rsidRPr="00834D0C">
        <w:rPr>
          <w:rFonts w:cstheme="minorHAnsi"/>
        </w:rPr>
        <w:t xml:space="preserve"> (</w:t>
      </w:r>
      <w:r w:rsidR="0084605E" w:rsidRPr="00834D0C">
        <w:rPr>
          <w:rFonts w:cstheme="minorHAnsi"/>
        </w:rPr>
        <w:t>n</w:t>
      </w:r>
      <w:r w:rsidRPr="00834D0C">
        <w:rPr>
          <w:rFonts w:cstheme="minorHAnsi"/>
        </w:rPr>
        <w:t xml:space="preserve"> </w:t>
      </w:r>
      <w:r w:rsidR="00356812" w:rsidRPr="00834D0C">
        <w:rPr>
          <w:rFonts w:cstheme="minorHAnsi"/>
        </w:rPr>
        <w:t>24</w:t>
      </w:r>
      <w:r w:rsidRPr="00834D0C">
        <w:rPr>
          <w:rFonts w:cstheme="minorHAnsi"/>
        </w:rPr>
        <w:t>) para 94.</w:t>
      </w:r>
    </w:p>
  </w:footnote>
  <w:footnote w:id="48">
    <w:p w14:paraId="5C548756" w14:textId="1A8CD3F7"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rPr>
        <w:t xml:space="preserve"> </w:t>
      </w:r>
      <w:r w:rsidR="009770D7" w:rsidRPr="00834D0C">
        <w:rPr>
          <w:rFonts w:cstheme="minorHAnsi"/>
        </w:rPr>
        <w:t>ICJ</w:t>
      </w:r>
      <w:r w:rsidRPr="00834D0C">
        <w:rPr>
          <w:rFonts w:cstheme="minorHAnsi"/>
        </w:rPr>
        <w:t xml:space="preserve">, </w:t>
      </w:r>
      <w:r w:rsidRPr="00834D0C">
        <w:rPr>
          <w:rFonts w:cstheme="minorHAnsi"/>
          <w:i/>
          <w:iCs/>
        </w:rPr>
        <w:t>Case Concerning Military and Paramilitary Activities in and Against Nicaragua (Nicaragua v United States of America)</w:t>
      </w:r>
      <w:r w:rsidR="00530084" w:rsidRPr="00834D0C">
        <w:rPr>
          <w:rFonts w:cstheme="minorHAnsi"/>
        </w:rPr>
        <w:t>,</w:t>
      </w:r>
      <w:r w:rsidRPr="00834D0C">
        <w:rPr>
          <w:rFonts w:cstheme="minorHAnsi"/>
        </w:rPr>
        <w:t xml:space="preserve"> Merits, Judgment, [1986] ICJ Rep 14, para </w:t>
      </w:r>
      <w:r w:rsidRPr="00834D0C">
        <w:rPr>
          <w:rFonts w:cstheme="minorHAnsi"/>
          <w:lang w:val="de-DE"/>
        </w:rPr>
        <w:t xml:space="preserve">263. </w:t>
      </w:r>
    </w:p>
  </w:footnote>
  <w:footnote w:id="49">
    <w:p w14:paraId="4A4FD746" w14:textId="7A77823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lang w:val="de-DE"/>
        </w:rPr>
        <w:t xml:space="preserve"> Kälin </w:t>
      </w:r>
      <w:r w:rsidRPr="002F5312">
        <w:rPr>
          <w:rFonts w:cstheme="minorHAnsi"/>
          <w:i/>
          <w:iCs/>
          <w:lang w:val="de-DE"/>
        </w:rPr>
        <w:t>et al</w:t>
      </w:r>
      <w:r w:rsidR="00356812" w:rsidRPr="00834D0C">
        <w:rPr>
          <w:rFonts w:cstheme="minorHAnsi"/>
          <w:lang w:val="de-DE"/>
        </w:rPr>
        <w:t xml:space="preserve"> </w:t>
      </w:r>
      <w:r w:rsidRPr="00834D0C">
        <w:rPr>
          <w:rFonts w:cstheme="minorHAnsi"/>
          <w:lang w:val="de-DE"/>
        </w:rPr>
        <w:t>(</w:t>
      </w:r>
      <w:r w:rsidR="0084605E" w:rsidRPr="00834D0C">
        <w:rPr>
          <w:rFonts w:cstheme="minorHAnsi"/>
          <w:lang w:val="de-DE"/>
        </w:rPr>
        <w:t>n</w:t>
      </w:r>
      <w:r w:rsidRPr="00834D0C">
        <w:rPr>
          <w:rFonts w:cstheme="minorHAnsi"/>
          <w:lang w:val="de-DE"/>
        </w:rPr>
        <w:t xml:space="preserve"> </w:t>
      </w:r>
      <w:r w:rsidR="00356812" w:rsidRPr="00834D0C">
        <w:rPr>
          <w:rFonts w:cstheme="minorHAnsi"/>
          <w:lang w:val="de-DE"/>
        </w:rPr>
        <w:t>35</w:t>
      </w:r>
      <w:r w:rsidRPr="00834D0C">
        <w:rPr>
          <w:rFonts w:cstheme="minorHAnsi"/>
          <w:lang w:val="de-DE"/>
        </w:rPr>
        <w:t>) 151</w:t>
      </w:r>
      <w:r w:rsidR="00792B2E" w:rsidRPr="00834D0C">
        <w:rPr>
          <w:rFonts w:cstheme="minorHAnsi"/>
          <w:lang w:val="de-DE"/>
        </w:rPr>
        <w:t xml:space="preserve">; </w:t>
      </w:r>
      <w:r w:rsidRPr="00834D0C">
        <w:rPr>
          <w:rFonts w:cstheme="minorHAnsi"/>
          <w:i/>
          <w:iCs/>
          <w:lang w:val="de-DE"/>
        </w:rPr>
        <w:t>Nicaragua Case</w:t>
      </w:r>
      <w:r w:rsidRPr="00834D0C">
        <w:rPr>
          <w:rFonts w:cstheme="minorHAnsi"/>
          <w:lang w:val="de-DE"/>
        </w:rPr>
        <w:t xml:space="preserve"> (</w:t>
      </w:r>
      <w:r w:rsidR="0084605E" w:rsidRPr="00834D0C">
        <w:rPr>
          <w:rFonts w:cstheme="minorHAnsi"/>
          <w:lang w:val="de-DE"/>
        </w:rPr>
        <w:t>n</w:t>
      </w:r>
      <w:r w:rsidRPr="00834D0C">
        <w:rPr>
          <w:rFonts w:cstheme="minorHAnsi"/>
          <w:lang w:val="de-DE"/>
        </w:rPr>
        <w:t xml:space="preserve"> </w:t>
      </w:r>
      <w:r w:rsidR="00530084" w:rsidRPr="00834D0C">
        <w:rPr>
          <w:rFonts w:cstheme="minorHAnsi"/>
          <w:lang w:val="de-DE"/>
        </w:rPr>
        <w:t>47</w:t>
      </w:r>
      <w:r w:rsidRPr="00834D0C">
        <w:rPr>
          <w:rFonts w:cstheme="minorHAnsi"/>
          <w:lang w:val="de-DE"/>
        </w:rPr>
        <w:t xml:space="preserve">) para </w:t>
      </w:r>
      <w:r w:rsidRPr="00834D0C">
        <w:rPr>
          <w:rFonts w:cstheme="minorHAnsi"/>
        </w:rPr>
        <w:t>263.</w:t>
      </w:r>
    </w:p>
  </w:footnote>
  <w:footnote w:id="50">
    <w:p w14:paraId="7B60698B" w14:textId="7285F50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770D7" w:rsidRPr="00834D0C">
        <w:rPr>
          <w:rFonts w:cstheme="minorHAnsi"/>
        </w:rPr>
        <w:t xml:space="preserve">Veronika </w:t>
      </w:r>
      <w:proofErr w:type="spellStart"/>
      <w:r w:rsidR="009770D7" w:rsidRPr="00834D0C">
        <w:rPr>
          <w:rFonts w:cstheme="minorHAnsi"/>
        </w:rPr>
        <w:t>Fikfak</w:t>
      </w:r>
      <w:proofErr w:type="spellEnd"/>
      <w:r w:rsidR="009770D7" w:rsidRPr="00834D0C">
        <w:rPr>
          <w:rFonts w:cstheme="minorHAnsi"/>
        </w:rPr>
        <w:t xml:space="preserve">, ‘Democracy and Statehood’ (2022) 23 </w:t>
      </w:r>
      <w:r w:rsidR="009770D7" w:rsidRPr="00834D0C">
        <w:rPr>
          <w:rFonts w:cstheme="minorHAnsi"/>
          <w:i/>
          <w:iCs/>
        </w:rPr>
        <w:t>C</w:t>
      </w:r>
      <w:r w:rsidR="00834D0C" w:rsidRPr="00834D0C">
        <w:rPr>
          <w:rFonts w:cstheme="minorHAnsi"/>
          <w:i/>
          <w:iCs/>
        </w:rPr>
        <w:t xml:space="preserve">hicago </w:t>
      </w:r>
      <w:r w:rsidR="009770D7" w:rsidRPr="00834D0C">
        <w:rPr>
          <w:rFonts w:cstheme="minorHAnsi"/>
          <w:i/>
          <w:iCs/>
        </w:rPr>
        <w:t>JIL</w:t>
      </w:r>
      <w:r w:rsidR="009770D7" w:rsidRPr="00834D0C">
        <w:rPr>
          <w:rFonts w:cstheme="minorHAnsi"/>
        </w:rPr>
        <w:t xml:space="preserve"> </w:t>
      </w:r>
      <w:r w:rsidRPr="00834D0C">
        <w:rPr>
          <w:rFonts w:cstheme="minorHAnsi"/>
        </w:rPr>
        <w:t>103</w:t>
      </w:r>
      <w:r w:rsidR="009770D7" w:rsidRPr="00834D0C">
        <w:rPr>
          <w:rFonts w:cstheme="minorHAnsi"/>
        </w:rPr>
        <w:t xml:space="preserve">, </w:t>
      </w:r>
      <w:r w:rsidRPr="00834D0C">
        <w:rPr>
          <w:rFonts w:cstheme="minorHAnsi"/>
        </w:rPr>
        <w:t>108.</w:t>
      </w:r>
    </w:p>
  </w:footnote>
  <w:footnote w:id="51">
    <w:p w14:paraId="00335FE8" w14:textId="39B257C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530084" w:rsidRPr="00834D0C">
        <w:rPr>
          <w:rFonts w:cstheme="minorHAnsi"/>
        </w:rPr>
        <w:t>Dren</w:t>
      </w:r>
      <w:proofErr w:type="spellEnd"/>
      <w:r w:rsidR="00530084" w:rsidRPr="00834D0C">
        <w:rPr>
          <w:rFonts w:cstheme="minorHAnsi"/>
        </w:rPr>
        <w:t xml:space="preserve"> </w:t>
      </w:r>
      <w:proofErr w:type="spellStart"/>
      <w:r w:rsidR="00530084" w:rsidRPr="00834D0C">
        <w:rPr>
          <w:rFonts w:cstheme="minorHAnsi"/>
        </w:rPr>
        <w:t>Doli</w:t>
      </w:r>
      <w:proofErr w:type="spellEnd"/>
      <w:r w:rsidR="00530084" w:rsidRPr="00834D0C">
        <w:rPr>
          <w:rFonts w:cstheme="minorHAnsi"/>
        </w:rPr>
        <w:t xml:space="preserve">, </w:t>
      </w:r>
      <w:r w:rsidR="00530084" w:rsidRPr="00834D0C">
        <w:rPr>
          <w:rFonts w:cstheme="minorHAnsi"/>
          <w:i/>
          <w:iCs/>
        </w:rPr>
        <w:t>The International Element, Statehood and Democratic Nation-Building. Exploring the Role of the EU and International Community in Kosovo’s State-Formation and State-Building</w:t>
      </w:r>
      <w:r w:rsidR="00530084" w:rsidRPr="00834D0C">
        <w:rPr>
          <w:rFonts w:cstheme="minorHAnsi"/>
        </w:rPr>
        <w:t xml:space="preserve"> (Springer 2019) </w:t>
      </w:r>
      <w:r w:rsidRPr="00834D0C">
        <w:rPr>
          <w:rFonts w:cstheme="minorHAnsi"/>
        </w:rPr>
        <w:t>109; André</w:t>
      </w:r>
      <w:r w:rsidRPr="00834D0C">
        <w:rPr>
          <w:rFonts w:cstheme="minorHAnsi"/>
          <w:i/>
          <w:iCs/>
        </w:rPr>
        <w:t xml:space="preserve"> </w:t>
      </w:r>
      <w:r w:rsidR="00DC2676" w:rsidRPr="00834D0C">
        <w:rPr>
          <w:rFonts w:cstheme="minorHAnsi"/>
          <w:lang w:val="fr-FR"/>
        </w:rPr>
        <w:t xml:space="preserve">Jolicoeur, ‘De la reconnaissance en droit international’ (1965) 6(2) </w:t>
      </w:r>
      <w:proofErr w:type="spellStart"/>
      <w:r w:rsidRPr="00834D0C">
        <w:rPr>
          <w:rFonts w:cstheme="minorHAnsi"/>
          <w:i/>
          <w:iCs/>
        </w:rPr>
        <w:t>Cah</w:t>
      </w:r>
      <w:proofErr w:type="spellEnd"/>
      <w:r w:rsidR="003673C3" w:rsidRPr="00834D0C">
        <w:rPr>
          <w:rFonts w:cstheme="minorHAnsi"/>
          <w:i/>
          <w:iCs/>
        </w:rPr>
        <w:t xml:space="preserve"> </w:t>
      </w:r>
      <w:r w:rsidRPr="00834D0C">
        <w:rPr>
          <w:rFonts w:cstheme="minorHAnsi"/>
          <w:i/>
          <w:iCs/>
        </w:rPr>
        <w:t>de Droit</w:t>
      </w:r>
      <w:r w:rsidRPr="00834D0C">
        <w:rPr>
          <w:rFonts w:cstheme="minorHAnsi"/>
        </w:rPr>
        <w:t xml:space="preserve"> 85</w:t>
      </w:r>
      <w:r w:rsidR="00DC2676" w:rsidRPr="00834D0C">
        <w:rPr>
          <w:rFonts w:cstheme="minorHAnsi"/>
        </w:rPr>
        <w:t>,</w:t>
      </w:r>
      <w:r w:rsidRPr="00834D0C">
        <w:rPr>
          <w:rFonts w:cstheme="minorHAnsi"/>
        </w:rPr>
        <w:t xml:space="preserve"> 86.</w:t>
      </w:r>
    </w:p>
  </w:footnote>
  <w:footnote w:id="52">
    <w:p w14:paraId="69716DCE" w14:textId="63690B0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Jolicoeur</w:t>
      </w:r>
      <w:proofErr w:type="spellEnd"/>
      <w:r w:rsidR="00DC2676"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DC2676" w:rsidRPr="00834D0C">
        <w:rPr>
          <w:rFonts w:cstheme="minorHAnsi"/>
        </w:rPr>
        <w:t>50</w:t>
      </w:r>
      <w:r w:rsidRPr="00834D0C">
        <w:rPr>
          <w:rFonts w:cstheme="minorHAnsi"/>
        </w:rPr>
        <w:t>) 86.</w:t>
      </w:r>
    </w:p>
  </w:footnote>
  <w:footnote w:id="53">
    <w:p w14:paraId="4E08E513" w14:textId="436FD7E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530084" w:rsidRPr="00834D0C">
        <w:rPr>
          <w:rFonts w:cstheme="minorHAnsi"/>
        </w:rPr>
        <w:t xml:space="preserve">Varun </w:t>
      </w:r>
      <w:proofErr w:type="spellStart"/>
      <w:r w:rsidR="00530084" w:rsidRPr="00834D0C">
        <w:rPr>
          <w:rFonts w:cstheme="minorHAnsi"/>
        </w:rPr>
        <w:t>Modasia</w:t>
      </w:r>
      <w:proofErr w:type="spellEnd"/>
      <w:r w:rsidR="00530084" w:rsidRPr="00834D0C">
        <w:rPr>
          <w:rFonts w:cstheme="minorHAnsi"/>
        </w:rPr>
        <w:t xml:space="preserve">, ‘Creation of Statehood and its Legal Existence under International Law’ (2021) 4(2) </w:t>
      </w:r>
      <w:r w:rsidRPr="00834D0C">
        <w:rPr>
          <w:rFonts w:cstheme="minorHAnsi"/>
          <w:i/>
          <w:iCs/>
        </w:rPr>
        <w:t xml:space="preserve">IJLMH </w:t>
      </w:r>
      <w:r w:rsidRPr="00834D0C">
        <w:rPr>
          <w:rFonts w:cstheme="minorHAnsi"/>
        </w:rPr>
        <w:t>2190</w:t>
      </w:r>
      <w:r w:rsidR="00530084" w:rsidRPr="00834D0C">
        <w:rPr>
          <w:rFonts w:cstheme="minorHAnsi"/>
        </w:rPr>
        <w:t xml:space="preserve">, </w:t>
      </w:r>
      <w:r w:rsidRPr="00834D0C">
        <w:rPr>
          <w:rFonts w:cstheme="minorHAnsi"/>
        </w:rPr>
        <w:t>2197.</w:t>
      </w:r>
    </w:p>
  </w:footnote>
  <w:footnote w:id="54">
    <w:p w14:paraId="5978E6DE" w14:textId="41C1E871" w:rsidR="002B032D" w:rsidRPr="00834D0C" w:rsidRDefault="002B032D" w:rsidP="00163B41">
      <w:pPr>
        <w:pStyle w:val="FootnoteText"/>
        <w:jc w:val="both"/>
        <w:rPr>
          <w:rFonts w:cstheme="minorHAnsi"/>
          <w:lang w:val="fr-FR"/>
        </w:rPr>
      </w:pPr>
      <w:r w:rsidRPr="00834D0C">
        <w:rPr>
          <w:rStyle w:val="FootnoteReference"/>
          <w:rFonts w:cstheme="minorHAnsi"/>
        </w:rPr>
        <w:footnoteRef/>
      </w:r>
      <w:r w:rsidRPr="00834D0C">
        <w:rPr>
          <w:rFonts w:cstheme="minorHAnsi"/>
          <w:lang w:val="fr-FR"/>
        </w:rPr>
        <w:t xml:space="preserve"> </w:t>
      </w:r>
      <w:proofErr w:type="spellStart"/>
      <w:r w:rsidRPr="00834D0C">
        <w:rPr>
          <w:rFonts w:cstheme="minorHAnsi"/>
          <w:lang w:val="fr-FR"/>
        </w:rPr>
        <w:t>Doli</w:t>
      </w:r>
      <w:proofErr w:type="spellEnd"/>
      <w:r w:rsidR="00530084" w:rsidRPr="00834D0C">
        <w:rPr>
          <w:rFonts w:cstheme="minorHAnsi"/>
          <w:lang w:val="fr-FR"/>
        </w:rPr>
        <w:t xml:space="preserve"> (n 50</w:t>
      </w:r>
      <w:r w:rsidRPr="00834D0C">
        <w:rPr>
          <w:rFonts w:cstheme="minorHAnsi"/>
          <w:lang w:val="fr-FR"/>
        </w:rPr>
        <w:t xml:space="preserve">) 105; </w:t>
      </w:r>
      <w:r w:rsidR="00356812" w:rsidRPr="00834D0C">
        <w:rPr>
          <w:rFonts w:cstheme="minorHAnsi"/>
          <w:lang w:val="de-DE"/>
        </w:rPr>
        <w:t xml:space="preserve">Kälin </w:t>
      </w:r>
      <w:r w:rsidR="00356812" w:rsidRPr="002F5312">
        <w:rPr>
          <w:rFonts w:cstheme="minorHAnsi"/>
          <w:i/>
          <w:iCs/>
          <w:lang w:val="de-DE"/>
        </w:rPr>
        <w:t>et al</w:t>
      </w:r>
      <w:r w:rsidR="00356812" w:rsidRPr="00834D0C">
        <w:rPr>
          <w:rFonts w:cstheme="minorHAnsi"/>
          <w:lang w:val="de-DE"/>
        </w:rPr>
        <w:t xml:space="preserve"> (n 35) </w:t>
      </w:r>
      <w:r w:rsidRPr="00834D0C">
        <w:rPr>
          <w:rFonts w:cstheme="minorHAnsi"/>
          <w:lang w:val="fr-FR"/>
        </w:rPr>
        <w:t>150.</w:t>
      </w:r>
    </w:p>
  </w:footnote>
  <w:footnote w:id="55">
    <w:p w14:paraId="0248FACC" w14:textId="0F046B9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Crawford (n 8) </w:t>
      </w:r>
      <w:r w:rsidRPr="00834D0C">
        <w:rPr>
          <w:rFonts w:cstheme="minorHAnsi"/>
        </w:rPr>
        <w:t>59.</w:t>
      </w:r>
    </w:p>
  </w:footnote>
  <w:footnote w:id="56">
    <w:p w14:paraId="14BDE8E2" w14:textId="6A1C37D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Pr="00834D0C">
        <w:rPr>
          <w:rFonts w:cstheme="minorHAnsi"/>
        </w:rPr>
        <w:t>Grzybowski</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266BFC" w:rsidRPr="00834D0C">
        <w:rPr>
          <w:rFonts w:cstheme="minorHAnsi"/>
        </w:rPr>
        <w:t>6</w:t>
      </w:r>
      <w:r w:rsidRPr="00834D0C">
        <w:rPr>
          <w:rFonts w:cstheme="minorHAnsi"/>
        </w:rPr>
        <w:t xml:space="preserve">) 255 who explains that Weber identified states with the ‘human community that (successfully) claims the </w:t>
      </w:r>
      <w:r w:rsidRPr="00834D0C">
        <w:rPr>
          <w:rFonts w:cstheme="minorHAnsi"/>
          <w:i/>
          <w:iCs/>
        </w:rPr>
        <w:t xml:space="preserve">monopoly of legitimate physical violence </w:t>
      </w:r>
      <w:r w:rsidRPr="00834D0C">
        <w:rPr>
          <w:rFonts w:cstheme="minorHAnsi"/>
        </w:rPr>
        <w:t>within a particular territory’.</w:t>
      </w:r>
    </w:p>
  </w:footnote>
  <w:footnote w:id="57">
    <w:p w14:paraId="3E7CFD93" w14:textId="7059AE2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Crawford (n 8) </w:t>
      </w:r>
      <w:r w:rsidRPr="00834D0C">
        <w:rPr>
          <w:rFonts w:cstheme="minorHAnsi"/>
        </w:rPr>
        <w:t>59.</w:t>
      </w:r>
    </w:p>
  </w:footnote>
  <w:footnote w:id="58">
    <w:p w14:paraId="686CAF4C" w14:textId="5BCC423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Anne Peters, </w:t>
      </w:r>
      <w:r w:rsidR="003673C3" w:rsidRPr="00834D0C">
        <w:rPr>
          <w:rFonts w:cstheme="minorHAnsi"/>
        </w:rPr>
        <w:t>‘S</w:t>
      </w:r>
      <w:r w:rsidRPr="00834D0C">
        <w:rPr>
          <w:rFonts w:cstheme="minorHAnsi"/>
        </w:rPr>
        <w:t>tatehood after 1989: “</w:t>
      </w:r>
      <w:proofErr w:type="spellStart"/>
      <w:r w:rsidRPr="00834D0C">
        <w:rPr>
          <w:rFonts w:cstheme="minorHAnsi"/>
        </w:rPr>
        <w:t>Effectivités</w:t>
      </w:r>
      <w:proofErr w:type="spellEnd"/>
      <w:r w:rsidRPr="00834D0C">
        <w:rPr>
          <w:rFonts w:cstheme="minorHAnsi"/>
        </w:rPr>
        <w:t>” between Legality and Virtuality</w:t>
      </w:r>
      <w:r w:rsidR="003673C3" w:rsidRPr="00834D0C">
        <w:rPr>
          <w:rFonts w:cstheme="minorHAnsi"/>
        </w:rPr>
        <w:t>’</w:t>
      </w:r>
      <w:r w:rsidRPr="00834D0C">
        <w:rPr>
          <w:rFonts w:cstheme="minorHAnsi"/>
        </w:rPr>
        <w:t xml:space="preserve"> Proceedings of the European Society of International Law 2010, 1</w:t>
      </w:r>
      <w:r w:rsidR="003673C3" w:rsidRPr="00834D0C">
        <w:rPr>
          <w:rFonts w:cstheme="minorHAnsi"/>
        </w:rPr>
        <w:t xml:space="preserve">, </w:t>
      </w:r>
      <w:r w:rsidRPr="00834D0C">
        <w:rPr>
          <w:rFonts w:cstheme="minorHAnsi"/>
        </w:rPr>
        <w:t>3.</w:t>
      </w:r>
    </w:p>
  </w:footnote>
  <w:footnote w:id="59">
    <w:p w14:paraId="462CCF7A" w14:textId="123B630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Robert</w:t>
      </w:r>
      <w:r w:rsidRPr="00834D0C">
        <w:rPr>
          <w:rFonts w:cstheme="minorHAnsi"/>
          <w:i/>
          <w:iCs/>
        </w:rPr>
        <w:t xml:space="preserve"> </w:t>
      </w:r>
      <w:r w:rsidR="003673C3" w:rsidRPr="00834D0C">
        <w:rPr>
          <w:rFonts w:cstheme="minorHAnsi"/>
        </w:rPr>
        <w:t xml:space="preserve">Jackson, </w:t>
      </w:r>
      <w:r w:rsidR="003673C3" w:rsidRPr="00834D0C">
        <w:rPr>
          <w:rFonts w:cstheme="minorHAnsi"/>
          <w:i/>
          <w:iCs/>
        </w:rPr>
        <w:t>Quasi-States: Sovereignty, International Relations, and the Third World</w:t>
      </w:r>
      <w:r w:rsidR="003673C3" w:rsidRPr="00834D0C">
        <w:rPr>
          <w:rFonts w:cstheme="minorHAnsi"/>
        </w:rPr>
        <w:t xml:space="preserve"> (CUP 1990) </w:t>
      </w:r>
      <w:r w:rsidRPr="00834D0C">
        <w:rPr>
          <w:rFonts w:cstheme="minorHAnsi"/>
        </w:rPr>
        <w:t xml:space="preserve">34; </w:t>
      </w:r>
      <w:r w:rsidR="00E96CF5" w:rsidRPr="00834D0C">
        <w:rPr>
          <w:rFonts w:cstheme="minorHAnsi"/>
        </w:rPr>
        <w:t>Crawford (n 8)</w:t>
      </w:r>
      <w:r w:rsidRPr="00834D0C">
        <w:rPr>
          <w:rFonts w:cstheme="minorHAnsi"/>
        </w:rPr>
        <w:t xml:space="preserve"> 56-58; </w:t>
      </w:r>
      <w:proofErr w:type="spellStart"/>
      <w:r w:rsidRPr="00834D0C">
        <w:rPr>
          <w:rFonts w:cstheme="minorHAnsi"/>
        </w:rPr>
        <w:t>Okosa</w:t>
      </w:r>
      <w:proofErr w:type="spellEnd"/>
      <w:r w:rsidRPr="00834D0C">
        <w:rPr>
          <w:rFonts w:cstheme="minorHAnsi"/>
        </w:rPr>
        <w:t xml:space="preserve"> (</w:t>
      </w:r>
      <w:r w:rsidR="0084605E" w:rsidRPr="00834D0C">
        <w:rPr>
          <w:rFonts w:cstheme="minorHAnsi"/>
        </w:rPr>
        <w:t>n</w:t>
      </w:r>
      <w:r w:rsidR="00720A17" w:rsidRPr="00834D0C">
        <w:rPr>
          <w:rFonts w:cstheme="minorHAnsi"/>
        </w:rPr>
        <w:t xml:space="preserve"> 19</w:t>
      </w:r>
      <w:r w:rsidRPr="00834D0C">
        <w:rPr>
          <w:rFonts w:cstheme="minorHAnsi"/>
        </w:rPr>
        <w:t>) 125.</w:t>
      </w:r>
    </w:p>
  </w:footnote>
  <w:footnote w:id="60">
    <w:p w14:paraId="3A8BAE14" w14:textId="1D1A786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ICC (</w:t>
      </w:r>
      <w:r w:rsidR="0084605E" w:rsidRPr="00834D0C">
        <w:rPr>
          <w:rFonts w:cstheme="minorHAnsi"/>
        </w:rPr>
        <w:t>n</w:t>
      </w:r>
      <w:r w:rsidRPr="00834D0C">
        <w:rPr>
          <w:rFonts w:cstheme="minorHAnsi"/>
        </w:rPr>
        <w:t xml:space="preserve"> </w:t>
      </w:r>
      <w:r w:rsidR="003673C3" w:rsidRPr="00834D0C">
        <w:rPr>
          <w:rFonts w:cstheme="minorHAnsi"/>
        </w:rPr>
        <w:t>18</w:t>
      </w:r>
      <w:r w:rsidRPr="00834D0C">
        <w:rPr>
          <w:rFonts w:cstheme="minorHAnsi"/>
        </w:rPr>
        <w:t xml:space="preserve">) para 43. For a discussion on the recognition of Croatia and Bosnia-Herzegovina despite a lack of a central government exercising effective control, see </w:t>
      </w:r>
      <w:r w:rsidR="006D71D0" w:rsidRPr="00834D0C">
        <w:rPr>
          <w:rFonts w:cstheme="minorHAnsi"/>
        </w:rPr>
        <w:t>Vidmar (n 14)</w:t>
      </w:r>
      <w:r w:rsidRPr="00834D0C">
        <w:rPr>
          <w:rFonts w:cstheme="minorHAnsi"/>
        </w:rPr>
        <w:t xml:space="preserve"> 728-729.</w:t>
      </w:r>
    </w:p>
  </w:footnote>
  <w:footnote w:id="61">
    <w:p w14:paraId="384E2BC3" w14:textId="1C49BFF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ICC (</w:t>
      </w:r>
      <w:r w:rsidR="0084605E" w:rsidRPr="00834D0C">
        <w:rPr>
          <w:rFonts w:cstheme="minorHAnsi"/>
        </w:rPr>
        <w:t>n</w:t>
      </w:r>
      <w:r w:rsidRPr="00834D0C">
        <w:rPr>
          <w:rFonts w:cstheme="minorHAnsi"/>
        </w:rPr>
        <w:t xml:space="preserve"> </w:t>
      </w:r>
      <w:r w:rsidR="003673C3" w:rsidRPr="00834D0C">
        <w:rPr>
          <w:rFonts w:cstheme="minorHAnsi"/>
        </w:rPr>
        <w:t>18</w:t>
      </w:r>
      <w:r w:rsidRPr="00834D0C">
        <w:rPr>
          <w:rFonts w:cstheme="minorHAnsi"/>
        </w:rPr>
        <w:t>) paras 43 and 45.</w:t>
      </w:r>
    </w:p>
  </w:footnote>
  <w:footnote w:id="62">
    <w:p w14:paraId="53544718" w14:textId="64F1B8E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Crawford (n 8) </w:t>
      </w:r>
      <w:r w:rsidRPr="00834D0C">
        <w:rPr>
          <w:rFonts w:cstheme="minorHAnsi"/>
        </w:rPr>
        <w:t>55.</w:t>
      </w:r>
    </w:p>
  </w:footnote>
  <w:footnote w:id="63">
    <w:p w14:paraId="4CE5426F" w14:textId="733949E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266BFC" w:rsidRPr="00834D0C">
        <w:rPr>
          <w:rFonts w:cstheme="minorHAnsi"/>
        </w:rPr>
        <w:t>Grzybowski</w:t>
      </w:r>
      <w:proofErr w:type="spellEnd"/>
      <w:r w:rsidR="00266BFC" w:rsidRPr="00834D0C">
        <w:rPr>
          <w:rFonts w:cstheme="minorHAnsi"/>
        </w:rPr>
        <w:t xml:space="preserve"> (n 6) </w:t>
      </w:r>
      <w:r w:rsidRPr="00834D0C">
        <w:rPr>
          <w:rFonts w:cstheme="minorHAnsi"/>
        </w:rPr>
        <w:t>257.</w:t>
      </w:r>
    </w:p>
  </w:footnote>
  <w:footnote w:id="64">
    <w:p w14:paraId="54602F5D" w14:textId="7A4664E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Kurtskhalia</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84605E" w:rsidRPr="00834D0C">
        <w:rPr>
          <w:rFonts w:cstheme="minorHAnsi"/>
        </w:rPr>
        <w:t>4</w:t>
      </w:r>
      <w:r w:rsidRPr="00834D0C">
        <w:rPr>
          <w:rFonts w:cstheme="minorHAnsi"/>
        </w:rPr>
        <w:t>) 70.</w:t>
      </w:r>
    </w:p>
  </w:footnote>
  <w:footnote w:id="65">
    <w:p w14:paraId="4017B5FE" w14:textId="34792F8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r w:rsidR="00792B2E" w:rsidRPr="00834D0C">
        <w:rPr>
          <w:rFonts w:cstheme="minorHAnsi"/>
        </w:rPr>
        <w:t xml:space="preserve">Christopher Clapham, ‘Degrees of Statehood’ (1998) 24 </w:t>
      </w:r>
      <w:r w:rsidRPr="00834D0C">
        <w:rPr>
          <w:rFonts w:cstheme="minorHAnsi"/>
          <w:i/>
          <w:iCs/>
        </w:rPr>
        <w:t>RIS</w:t>
      </w:r>
      <w:r w:rsidRPr="00834D0C">
        <w:rPr>
          <w:rFonts w:cstheme="minorHAnsi"/>
        </w:rPr>
        <w:t xml:space="preserve"> 143</w:t>
      </w:r>
      <w:r w:rsidR="00792B2E" w:rsidRPr="00834D0C">
        <w:rPr>
          <w:rFonts w:cstheme="minorHAnsi"/>
        </w:rPr>
        <w:t xml:space="preserve">, </w:t>
      </w:r>
      <w:r w:rsidRPr="00834D0C">
        <w:rPr>
          <w:rFonts w:cstheme="minorHAnsi"/>
          <w:lang w:val="de-DE"/>
        </w:rPr>
        <w:t xml:space="preserve">156; Thomas Risse, </w:t>
      </w:r>
      <w:r w:rsidR="00792B2E" w:rsidRPr="00834D0C">
        <w:rPr>
          <w:rFonts w:cstheme="minorHAnsi"/>
        </w:rPr>
        <w:t>‘</w:t>
      </w:r>
      <w:r w:rsidRPr="00834D0C">
        <w:rPr>
          <w:rFonts w:cstheme="minorHAnsi"/>
          <w:lang w:val="de-DE"/>
        </w:rPr>
        <w:t>Governance in Räumen begrenzter Staatlichkeit</w:t>
      </w:r>
      <w:r w:rsidR="00792B2E" w:rsidRPr="00834D0C">
        <w:rPr>
          <w:rFonts w:cstheme="minorHAnsi"/>
        </w:rPr>
        <w:t xml:space="preserve">’ </w:t>
      </w:r>
      <w:r w:rsidRPr="00834D0C">
        <w:rPr>
          <w:rFonts w:cstheme="minorHAnsi"/>
          <w:lang w:val="de-DE"/>
        </w:rPr>
        <w:t>2005</w:t>
      </w:r>
      <w:r w:rsidR="00792B2E" w:rsidRPr="00834D0C">
        <w:rPr>
          <w:rFonts w:cstheme="minorHAnsi"/>
          <w:lang w:val="de-DE"/>
        </w:rPr>
        <w:t xml:space="preserve"> 1 </w:t>
      </w:r>
      <w:r w:rsidR="00792B2E" w:rsidRPr="00834D0C">
        <w:rPr>
          <w:rFonts w:cstheme="minorHAnsi"/>
          <w:i/>
          <w:iCs/>
          <w:lang w:val="de-DE"/>
        </w:rPr>
        <w:t>IP</w:t>
      </w:r>
      <w:r w:rsidRPr="00834D0C">
        <w:rPr>
          <w:rFonts w:cstheme="minorHAnsi"/>
          <w:lang w:val="de-DE"/>
        </w:rPr>
        <w:t xml:space="preserve"> 6</w:t>
      </w:r>
      <w:r w:rsidR="00792B2E" w:rsidRPr="00834D0C">
        <w:rPr>
          <w:rFonts w:cstheme="minorHAnsi"/>
          <w:lang w:val="de-DE"/>
        </w:rPr>
        <w:t>,</w:t>
      </w:r>
      <w:r w:rsidRPr="00834D0C">
        <w:rPr>
          <w:rFonts w:cstheme="minorHAnsi"/>
          <w:lang w:val="de-DE"/>
        </w:rPr>
        <w:t xml:space="preserve"> </w:t>
      </w:r>
      <w:r w:rsidRPr="00834D0C">
        <w:rPr>
          <w:rFonts w:cstheme="minorHAnsi"/>
        </w:rPr>
        <w:t>8.</w:t>
      </w:r>
    </w:p>
  </w:footnote>
  <w:footnote w:id="66">
    <w:p w14:paraId="50D60844" w14:textId="07F2DE4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w:t>
      </w:r>
      <w:r w:rsidR="00486060" w:rsidRPr="00834D0C">
        <w:rPr>
          <w:rFonts w:cstheme="minorHAnsi"/>
        </w:rPr>
        <w:t xml:space="preserve">available at </w:t>
      </w:r>
      <w:r w:rsidRPr="00834D0C">
        <w:rPr>
          <w:rFonts w:cstheme="minorHAnsi"/>
        </w:rPr>
        <w:t xml:space="preserve">https://abkhazworld.com/aw/reports-and-key-texts/607-constitution-of-the-republic-of-abkhazia-apsny); South Ossetia: </w:t>
      </w:r>
      <w:r w:rsidR="00486060" w:rsidRPr="00834D0C">
        <w:rPr>
          <w:rFonts w:cstheme="minorHAnsi"/>
        </w:rPr>
        <w:t xml:space="preserve">available at </w:t>
      </w:r>
      <w:r w:rsidRPr="00834D0C">
        <w:rPr>
          <w:rFonts w:eastAsia="Times New Roman" w:cstheme="minorHAnsi"/>
          <w:lang w:eastAsia="en-GB"/>
        </w:rPr>
        <w:t>https://rsogov.org/republic/constitution</w:t>
      </w:r>
      <w:r w:rsidRPr="00834D0C">
        <w:t xml:space="preserve">; Transnistria:  </w:t>
      </w:r>
      <w:r w:rsidR="00486060" w:rsidRPr="00834D0C">
        <w:t xml:space="preserve">available at </w:t>
      </w:r>
      <w:r w:rsidRPr="00834D0C">
        <w:t>https://mid.gospmr.org/en/bht; Nagorno-Karabakh:</w:t>
      </w:r>
      <w:r w:rsidR="00486060" w:rsidRPr="00834D0C">
        <w:t xml:space="preserve"> available at</w:t>
      </w:r>
      <w:r w:rsidRPr="00834D0C">
        <w:t xml:space="preserve"> http://www.nkr.am/en/constitution-of-Artsakh</w:t>
      </w:r>
    </w:p>
  </w:footnote>
  <w:footnote w:id="67">
    <w:p w14:paraId="3E07E761" w14:textId="073683D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w:t>
      </w:r>
      <w:r w:rsidR="00860EED" w:rsidRPr="00834D0C">
        <w:rPr>
          <w:rFonts w:cstheme="minorHAnsi"/>
        </w:rPr>
        <w:t xml:space="preserve">Constitution, </w:t>
      </w:r>
      <w:r w:rsidRPr="00834D0C">
        <w:rPr>
          <w:rFonts w:cstheme="minorHAnsi"/>
        </w:rPr>
        <w:t xml:space="preserve">Chapter 3; South Ossetia: </w:t>
      </w:r>
      <w:r w:rsidR="00860EED" w:rsidRPr="00834D0C">
        <w:rPr>
          <w:rFonts w:cstheme="minorHAnsi"/>
        </w:rPr>
        <w:t xml:space="preserve">Constitution, </w:t>
      </w:r>
      <w:r w:rsidRPr="00834D0C">
        <w:rPr>
          <w:rFonts w:cstheme="minorHAnsi"/>
        </w:rPr>
        <w:t xml:space="preserve">Chapter IV; Transnistria: </w:t>
      </w:r>
      <w:r w:rsidR="00860EED" w:rsidRPr="00834D0C">
        <w:rPr>
          <w:rFonts w:cstheme="minorHAnsi"/>
        </w:rPr>
        <w:t xml:space="preserve">Constitution, </w:t>
      </w:r>
      <w:r w:rsidRPr="00834D0C">
        <w:rPr>
          <w:rFonts w:cstheme="minorHAnsi"/>
        </w:rPr>
        <w:t xml:space="preserve">Section III, Chapter 2; Nagorno-Karabakh: </w:t>
      </w:r>
      <w:r w:rsidR="00860EED" w:rsidRPr="00834D0C">
        <w:rPr>
          <w:rFonts w:cstheme="minorHAnsi"/>
        </w:rPr>
        <w:t xml:space="preserve">Constitution, </w:t>
      </w:r>
      <w:r w:rsidRPr="00834D0C">
        <w:rPr>
          <w:rFonts w:cstheme="minorHAnsi"/>
        </w:rPr>
        <w:t xml:space="preserve">Chapter 5 </w:t>
      </w:r>
    </w:p>
  </w:footnote>
  <w:footnote w:id="68">
    <w:p w14:paraId="50444370" w14:textId="36D6D1F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w:t>
      </w:r>
      <w:r w:rsidR="00860EED" w:rsidRPr="00834D0C">
        <w:rPr>
          <w:rFonts w:cstheme="minorHAnsi"/>
        </w:rPr>
        <w:t xml:space="preserve">Constitution, </w:t>
      </w:r>
      <w:r w:rsidRPr="00834D0C">
        <w:rPr>
          <w:rFonts w:cstheme="minorHAnsi"/>
        </w:rPr>
        <w:t xml:space="preserve">Chapter 5 ; South-Ossetia: </w:t>
      </w:r>
      <w:r w:rsidR="00860EED" w:rsidRPr="00834D0C">
        <w:rPr>
          <w:rFonts w:cstheme="minorHAnsi"/>
        </w:rPr>
        <w:t xml:space="preserve">Constitution, </w:t>
      </w:r>
      <w:r w:rsidRPr="00834D0C">
        <w:rPr>
          <w:rFonts w:cstheme="minorHAnsi"/>
        </w:rPr>
        <w:t xml:space="preserve">Chapter VI; Transnistria: </w:t>
      </w:r>
      <w:r w:rsidR="00860EED" w:rsidRPr="00834D0C">
        <w:rPr>
          <w:rFonts w:cstheme="minorHAnsi"/>
        </w:rPr>
        <w:t xml:space="preserve">Constitution, </w:t>
      </w:r>
      <w:r w:rsidRPr="00834D0C">
        <w:rPr>
          <w:rFonts w:cstheme="minorHAnsi"/>
        </w:rPr>
        <w:t xml:space="preserve">Section III, Chapter 5; Nagorno-Karabakh: </w:t>
      </w:r>
      <w:r w:rsidR="00860EED" w:rsidRPr="00834D0C">
        <w:rPr>
          <w:rFonts w:cstheme="minorHAnsi"/>
        </w:rPr>
        <w:t xml:space="preserve">Constitution, </w:t>
      </w:r>
      <w:r w:rsidRPr="00834D0C">
        <w:rPr>
          <w:rFonts w:cstheme="minorHAnsi"/>
        </w:rPr>
        <w:t>Chapter 6.</w:t>
      </w:r>
    </w:p>
  </w:footnote>
  <w:footnote w:id="69">
    <w:p w14:paraId="65DBF94D" w14:textId="1B6EED6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w:t>
      </w:r>
      <w:r w:rsidR="00860EED" w:rsidRPr="00834D0C">
        <w:rPr>
          <w:rFonts w:cstheme="minorHAnsi"/>
        </w:rPr>
        <w:t xml:space="preserve">Constitution, </w:t>
      </w:r>
      <w:r w:rsidR="00545051" w:rsidRPr="00834D0C">
        <w:t>Art</w:t>
      </w:r>
      <w:r w:rsidR="00545051" w:rsidRPr="00834D0C">
        <w:rPr>
          <w:rFonts w:cstheme="minorHAnsi"/>
        </w:rPr>
        <w:t xml:space="preserve"> </w:t>
      </w:r>
      <w:r w:rsidRPr="00834D0C">
        <w:rPr>
          <w:rFonts w:cstheme="minorHAnsi"/>
        </w:rPr>
        <w:t xml:space="preserve">68; South-Ossetia: </w:t>
      </w:r>
      <w:r w:rsidR="00DF4E6B" w:rsidRPr="00834D0C">
        <w:rPr>
          <w:rFonts w:cstheme="minorHAnsi"/>
        </w:rPr>
        <w:t>Constitution,</w:t>
      </w:r>
      <w:r w:rsidR="00DF4E6B" w:rsidRPr="00834D0C">
        <w:t xml:space="preserve"> </w:t>
      </w:r>
      <w:r w:rsidR="00545051" w:rsidRPr="00834D0C">
        <w:t>Art</w:t>
      </w:r>
      <w:r w:rsidR="00545051" w:rsidRPr="00834D0C">
        <w:rPr>
          <w:rFonts w:cstheme="minorHAnsi"/>
        </w:rPr>
        <w:t xml:space="preserve"> </w:t>
      </w:r>
      <w:r w:rsidRPr="00834D0C">
        <w:rPr>
          <w:rFonts w:cstheme="minorHAnsi"/>
        </w:rPr>
        <w:t xml:space="preserve">84; Transnistria: </w:t>
      </w:r>
      <w:r w:rsidR="00DF4E6B" w:rsidRPr="00834D0C">
        <w:rPr>
          <w:rFonts w:cstheme="minorHAnsi"/>
        </w:rPr>
        <w:t>Constitution,</w:t>
      </w:r>
      <w:r w:rsidR="00DF4E6B" w:rsidRPr="00834D0C">
        <w:t xml:space="preserve"> </w:t>
      </w:r>
      <w:r w:rsidR="00545051" w:rsidRPr="00834D0C">
        <w:t>Art</w:t>
      </w:r>
      <w:r w:rsidR="00545051" w:rsidRPr="00834D0C">
        <w:rPr>
          <w:rFonts w:cstheme="minorHAnsi"/>
        </w:rPr>
        <w:t xml:space="preserve"> </w:t>
      </w:r>
      <w:r w:rsidRPr="00834D0C">
        <w:rPr>
          <w:rFonts w:cstheme="minorHAnsi"/>
        </w:rPr>
        <w:t xml:space="preserve">89; Nagorno-Karabakh: </w:t>
      </w:r>
      <w:r w:rsidR="00DF4E6B" w:rsidRPr="00834D0C">
        <w:rPr>
          <w:rFonts w:cstheme="minorHAnsi"/>
        </w:rPr>
        <w:t>Constitution,</w:t>
      </w:r>
      <w:r w:rsidR="00DF4E6B" w:rsidRPr="00834D0C">
        <w:t xml:space="preserve"> </w:t>
      </w:r>
      <w:r w:rsidR="00545051" w:rsidRPr="00834D0C">
        <w:t>Art</w:t>
      </w:r>
      <w:r w:rsidR="00545051" w:rsidRPr="00834D0C">
        <w:rPr>
          <w:rFonts w:cstheme="minorHAnsi"/>
        </w:rPr>
        <w:t xml:space="preserve"> </w:t>
      </w:r>
      <w:r w:rsidRPr="00834D0C">
        <w:rPr>
          <w:rFonts w:cstheme="minorHAnsi"/>
        </w:rPr>
        <w:t>140.</w:t>
      </w:r>
    </w:p>
  </w:footnote>
  <w:footnote w:id="70">
    <w:p w14:paraId="42F7E21A" w14:textId="7470259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South Ossetia: </w:t>
      </w:r>
      <w:r w:rsidR="00DF4E6B" w:rsidRPr="00834D0C">
        <w:rPr>
          <w:rFonts w:cstheme="minorHAnsi"/>
        </w:rPr>
        <w:t>Constitution,</w:t>
      </w:r>
      <w:r w:rsidR="00DF4E6B" w:rsidRPr="00834D0C">
        <w:t xml:space="preserve"> </w:t>
      </w:r>
      <w:r w:rsidR="00545051" w:rsidRPr="00834D0C">
        <w:t>Arts</w:t>
      </w:r>
      <w:r w:rsidR="00545051" w:rsidRPr="00834D0C">
        <w:rPr>
          <w:rFonts w:cstheme="minorHAnsi"/>
        </w:rPr>
        <w:t xml:space="preserve"> </w:t>
      </w:r>
      <w:r w:rsidRPr="00834D0C">
        <w:rPr>
          <w:rFonts w:cstheme="minorHAnsi"/>
        </w:rPr>
        <w:t xml:space="preserve">82-83; Transnistria: </w:t>
      </w:r>
      <w:r w:rsidR="00DF4E6B" w:rsidRPr="00834D0C">
        <w:rPr>
          <w:rFonts w:cstheme="minorHAnsi"/>
        </w:rPr>
        <w:t>Constitution,</w:t>
      </w:r>
      <w:r w:rsidR="00DF4E6B" w:rsidRPr="00834D0C">
        <w:t xml:space="preserve"> </w:t>
      </w:r>
      <w:r w:rsidR="00545051" w:rsidRPr="00834D0C">
        <w:t>Arts</w:t>
      </w:r>
      <w:r w:rsidR="00545051" w:rsidRPr="00834D0C">
        <w:rPr>
          <w:rFonts w:cstheme="minorHAnsi"/>
        </w:rPr>
        <w:t xml:space="preserve"> </w:t>
      </w:r>
      <w:r w:rsidRPr="00834D0C">
        <w:rPr>
          <w:rFonts w:cstheme="minorHAnsi"/>
        </w:rPr>
        <w:t>86-88.</w:t>
      </w:r>
    </w:p>
  </w:footnote>
  <w:footnote w:id="71">
    <w:p w14:paraId="3AA9E533" w14:textId="0C54D01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referred to in </w:t>
      </w:r>
      <w:r w:rsidR="00DF4E6B" w:rsidRPr="00834D0C">
        <w:rPr>
          <w:rFonts w:cstheme="minorHAnsi"/>
        </w:rPr>
        <w:t>Constitution,</w:t>
      </w:r>
      <w:r w:rsidR="00DF4E6B" w:rsidRPr="00834D0C">
        <w:t xml:space="preserve"> </w:t>
      </w:r>
      <w:r w:rsidR="00545051" w:rsidRPr="00834D0C">
        <w:t>Art</w:t>
      </w:r>
      <w:r w:rsidR="00545051" w:rsidRPr="00834D0C">
        <w:rPr>
          <w:rFonts w:cstheme="minorHAnsi"/>
        </w:rPr>
        <w:t xml:space="preserve"> </w:t>
      </w:r>
      <w:r w:rsidRPr="00834D0C">
        <w:rPr>
          <w:rFonts w:cstheme="minorHAnsi"/>
        </w:rPr>
        <w:t xml:space="preserve">47; South Ossetia does not seem to have a central bank; Transnistria: </w:t>
      </w:r>
      <w:r w:rsidR="00DF4E6B" w:rsidRPr="00834D0C">
        <w:rPr>
          <w:rFonts w:cstheme="minorHAnsi"/>
        </w:rPr>
        <w:t>Constitution,</w:t>
      </w:r>
      <w:r w:rsidR="00DF4E6B" w:rsidRPr="00834D0C">
        <w:t xml:space="preserve"> </w:t>
      </w:r>
      <w:r w:rsidR="00545051" w:rsidRPr="00834D0C">
        <w:t>Art</w:t>
      </w:r>
      <w:r w:rsidR="00545051" w:rsidRPr="00834D0C">
        <w:rPr>
          <w:rFonts w:cstheme="minorHAnsi"/>
        </w:rPr>
        <w:t xml:space="preserve"> </w:t>
      </w:r>
      <w:r w:rsidRPr="00834D0C">
        <w:rPr>
          <w:rFonts w:cstheme="minorHAnsi"/>
        </w:rPr>
        <w:t>89</w:t>
      </w:r>
      <w:r w:rsidR="00DF4E6B" w:rsidRPr="00834D0C">
        <w:rPr>
          <w:rFonts w:cstheme="minorHAnsi"/>
        </w:rPr>
        <w:t>;</w:t>
      </w:r>
      <w:r w:rsidRPr="00834D0C">
        <w:rPr>
          <w:rFonts w:cstheme="minorHAnsi"/>
        </w:rPr>
        <w:t xml:space="preserve"> Nagorno-Karabakh </w:t>
      </w:r>
      <w:r w:rsidR="00DF4E6B" w:rsidRPr="00834D0C">
        <w:rPr>
          <w:rFonts w:cstheme="minorHAnsi"/>
        </w:rPr>
        <w:t xml:space="preserve">does not seem to have </w:t>
      </w:r>
      <w:r w:rsidRPr="00834D0C">
        <w:rPr>
          <w:rFonts w:cstheme="minorHAnsi"/>
        </w:rPr>
        <w:t xml:space="preserve">a central bank. </w:t>
      </w:r>
    </w:p>
  </w:footnote>
  <w:footnote w:id="72">
    <w:p w14:paraId="22CAA2A1" w14:textId="4C0EC1E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referred to in </w:t>
      </w:r>
      <w:r w:rsidR="006931BE" w:rsidRPr="00834D0C">
        <w:rPr>
          <w:rFonts w:cstheme="minorHAnsi"/>
        </w:rPr>
        <w:t xml:space="preserve">Constitution, </w:t>
      </w:r>
      <w:r w:rsidRPr="00834D0C">
        <w:rPr>
          <w:rFonts w:cstheme="minorHAnsi"/>
        </w:rPr>
        <w:t xml:space="preserve">Arts 29 and 53; South-Ossetia: referred to in </w:t>
      </w:r>
      <w:r w:rsidR="006931BE" w:rsidRPr="00834D0C">
        <w:rPr>
          <w:rFonts w:cstheme="minorHAnsi"/>
        </w:rPr>
        <w:t xml:space="preserve">Constitution, </w:t>
      </w:r>
      <w:r w:rsidRPr="00834D0C">
        <w:rPr>
          <w:rFonts w:cstheme="minorHAnsi"/>
        </w:rPr>
        <w:t xml:space="preserve">Art 45; Transnistria: </w:t>
      </w:r>
      <w:r w:rsidR="006931BE" w:rsidRPr="00834D0C">
        <w:rPr>
          <w:rFonts w:cstheme="minorHAnsi"/>
        </w:rPr>
        <w:t xml:space="preserve">Constitution, </w:t>
      </w:r>
      <w:r w:rsidRPr="00834D0C">
        <w:rPr>
          <w:rFonts w:cstheme="minorHAnsi"/>
        </w:rPr>
        <w:t xml:space="preserve">Arts 96-99; Nagorno-Karabakh: </w:t>
      </w:r>
      <w:r w:rsidR="006931BE" w:rsidRPr="00834D0C">
        <w:rPr>
          <w:rFonts w:cstheme="minorHAnsi"/>
        </w:rPr>
        <w:t>Constitution, A</w:t>
      </w:r>
      <w:r w:rsidRPr="00834D0C">
        <w:rPr>
          <w:rFonts w:cstheme="minorHAnsi"/>
        </w:rPr>
        <w:t>rt 60.</w:t>
      </w:r>
    </w:p>
  </w:footnote>
  <w:footnote w:id="73">
    <w:p w14:paraId="52CDD0CE" w14:textId="1067915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In Abkhazia, the</w:t>
      </w:r>
      <w:r w:rsidRPr="00834D0C">
        <w:rPr>
          <w:rFonts w:cstheme="minorHAnsi"/>
          <w:i/>
          <w:iCs/>
        </w:rPr>
        <w:t xml:space="preserve"> </w:t>
      </w:r>
      <w:proofErr w:type="spellStart"/>
      <w:r w:rsidRPr="00834D0C">
        <w:rPr>
          <w:rFonts w:cstheme="minorHAnsi"/>
        </w:rPr>
        <w:t>apsar</w:t>
      </w:r>
      <w:proofErr w:type="spellEnd"/>
      <w:r w:rsidRPr="00834D0C">
        <w:rPr>
          <w:rFonts w:cstheme="minorHAnsi"/>
        </w:rPr>
        <w:t xml:space="preserve"> exists since 2008; Transnistria: </w:t>
      </w:r>
      <w:r w:rsidR="006931BE" w:rsidRPr="00834D0C">
        <w:rPr>
          <w:rFonts w:cstheme="minorHAnsi"/>
        </w:rPr>
        <w:t xml:space="preserve">Constitution, </w:t>
      </w:r>
      <w:r w:rsidRPr="00834D0C">
        <w:rPr>
          <w:rFonts w:cstheme="minorHAnsi"/>
        </w:rPr>
        <w:t>Art 96; Nagorno-Karabakh: Artsakh dram.</w:t>
      </w:r>
    </w:p>
  </w:footnote>
  <w:footnote w:id="74">
    <w:p w14:paraId="3CD05244" w14:textId="03AEEC84" w:rsidR="002B032D" w:rsidRPr="00834D0C" w:rsidRDefault="002B032D" w:rsidP="00163B41">
      <w:pPr>
        <w:pStyle w:val="FootnoteText"/>
        <w:jc w:val="both"/>
        <w:rPr>
          <w:rFonts w:cstheme="minorHAnsi"/>
          <w:lang w:val="fr-FR"/>
        </w:rPr>
      </w:pPr>
      <w:r w:rsidRPr="00834D0C">
        <w:rPr>
          <w:rStyle w:val="FootnoteReference"/>
          <w:rFonts w:cstheme="minorHAnsi"/>
        </w:rPr>
        <w:footnoteRef/>
      </w:r>
      <w:r w:rsidRPr="00834D0C">
        <w:rPr>
          <w:rFonts w:cstheme="minorHAnsi"/>
          <w:lang w:val="fr-FR"/>
        </w:rPr>
        <w:t xml:space="preserve"> </w:t>
      </w:r>
      <w:proofErr w:type="spellStart"/>
      <w:r w:rsidRPr="00834D0C">
        <w:rPr>
          <w:rFonts w:cstheme="minorHAnsi"/>
          <w:lang w:val="fr-FR"/>
        </w:rPr>
        <w:t>See</w:t>
      </w:r>
      <w:proofErr w:type="spellEnd"/>
      <w:r w:rsidRPr="00834D0C">
        <w:rPr>
          <w:rFonts w:cstheme="minorHAnsi"/>
          <w:lang w:val="fr-FR"/>
        </w:rPr>
        <w:t xml:space="preserve"> </w:t>
      </w:r>
      <w:r w:rsidR="00FA029C" w:rsidRPr="00834D0C">
        <w:rPr>
          <w:rFonts w:cstheme="minorHAnsi"/>
          <w:lang w:val="fr-FR"/>
        </w:rPr>
        <w:t xml:space="preserve">Tracey C German, ‘Le conflit en Ossétie-du-Sud: La Géorgie contre la Russie’ (2006) 1 </w:t>
      </w:r>
      <w:r w:rsidR="00FA029C" w:rsidRPr="00834D0C">
        <w:rPr>
          <w:rFonts w:cstheme="minorHAnsi"/>
          <w:i/>
          <w:iCs/>
          <w:lang w:val="fr-FR"/>
        </w:rPr>
        <w:t xml:space="preserve">Politique Etrangère </w:t>
      </w:r>
      <w:r w:rsidR="00FA029C" w:rsidRPr="00834D0C">
        <w:rPr>
          <w:rFonts w:cstheme="minorHAnsi"/>
          <w:lang w:val="fr-FR"/>
        </w:rPr>
        <w:t xml:space="preserve">51, </w:t>
      </w:r>
      <w:r w:rsidRPr="00834D0C">
        <w:rPr>
          <w:rFonts w:cstheme="minorHAnsi"/>
          <w:lang w:val="fr-FR"/>
        </w:rPr>
        <w:t xml:space="preserve">52; </w:t>
      </w:r>
      <w:proofErr w:type="spellStart"/>
      <w:r w:rsidRPr="00834D0C">
        <w:rPr>
          <w:rFonts w:cstheme="minorHAnsi"/>
          <w:iCs/>
          <w:lang w:val="fr-FR"/>
        </w:rPr>
        <w:t>Kolstø</w:t>
      </w:r>
      <w:proofErr w:type="spellEnd"/>
      <w:r w:rsidRPr="00834D0C">
        <w:rPr>
          <w:rFonts w:cstheme="minorHAnsi"/>
          <w:iCs/>
          <w:lang w:val="fr-FR"/>
        </w:rPr>
        <w:t>/</w:t>
      </w:r>
      <w:proofErr w:type="spellStart"/>
      <w:r w:rsidRPr="00834D0C">
        <w:rPr>
          <w:rFonts w:cstheme="minorHAnsi"/>
          <w:iCs/>
          <w:lang w:val="fr-FR"/>
        </w:rPr>
        <w:t>Blakkisrud</w:t>
      </w:r>
      <w:proofErr w:type="spellEnd"/>
      <w:r w:rsidR="002F3085" w:rsidRPr="00834D0C">
        <w:rPr>
          <w:rFonts w:cstheme="minorHAnsi"/>
          <w:lang w:val="fr-FR"/>
        </w:rPr>
        <w:t xml:space="preserve"> </w:t>
      </w:r>
      <w:r w:rsidRPr="00834D0C">
        <w:rPr>
          <w:rFonts w:cstheme="minorHAnsi"/>
          <w:lang w:val="fr-FR"/>
        </w:rPr>
        <w:t>(</w:t>
      </w:r>
      <w:r w:rsidR="0084605E" w:rsidRPr="00834D0C">
        <w:rPr>
          <w:rFonts w:cstheme="minorHAnsi"/>
          <w:lang w:val="fr-FR"/>
        </w:rPr>
        <w:t>n</w:t>
      </w:r>
      <w:r w:rsidRPr="00834D0C">
        <w:rPr>
          <w:rFonts w:cstheme="minorHAnsi"/>
          <w:lang w:val="fr-FR"/>
        </w:rPr>
        <w:t xml:space="preserve"> </w:t>
      </w:r>
      <w:r w:rsidR="002F3085" w:rsidRPr="00834D0C">
        <w:rPr>
          <w:rFonts w:cstheme="minorHAnsi"/>
          <w:lang w:val="fr-FR"/>
        </w:rPr>
        <w:t>45</w:t>
      </w:r>
      <w:r w:rsidRPr="00834D0C">
        <w:rPr>
          <w:rFonts w:cstheme="minorHAnsi"/>
          <w:lang w:val="fr-FR"/>
        </w:rPr>
        <w:t>) 504.</w:t>
      </w:r>
    </w:p>
  </w:footnote>
  <w:footnote w:id="75">
    <w:p w14:paraId="1EF0D5F8" w14:textId="2A795D3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In Abkhazia the local currency is of limited usage as the Russian </w:t>
      </w:r>
      <w:proofErr w:type="spellStart"/>
      <w:r w:rsidRPr="00834D0C">
        <w:rPr>
          <w:rFonts w:cstheme="minorHAnsi"/>
        </w:rPr>
        <w:t>ruble</w:t>
      </w:r>
      <w:proofErr w:type="spellEnd"/>
      <w:r w:rsidRPr="00834D0C">
        <w:rPr>
          <w:rFonts w:cstheme="minorHAnsi"/>
        </w:rPr>
        <w:t xml:space="preserve"> is widely used.</w:t>
      </w:r>
    </w:p>
  </w:footnote>
  <w:footnote w:id="76">
    <w:p w14:paraId="20911102" w14:textId="5C4DA95D" w:rsidR="002B032D" w:rsidRPr="00834D0C" w:rsidRDefault="002B032D" w:rsidP="00163B41">
      <w:pPr>
        <w:pStyle w:val="FootnoteText"/>
        <w:jc w:val="both"/>
      </w:pPr>
      <w:r w:rsidRPr="00834D0C">
        <w:rPr>
          <w:rStyle w:val="FootnoteReference"/>
        </w:rPr>
        <w:footnoteRef/>
      </w:r>
      <w:r w:rsidRPr="00834D0C">
        <w:t xml:space="preserve"> In Nagorno-Karabakh, the Armenian dram is much more widely used than the Artsakh dram. </w:t>
      </w:r>
      <w:proofErr w:type="spellStart"/>
      <w:r w:rsidR="002F3085" w:rsidRPr="00834D0C">
        <w:rPr>
          <w:rFonts w:cstheme="minorHAnsi"/>
          <w:iCs/>
          <w:lang w:val="fr-FR"/>
        </w:rPr>
        <w:t>Kolstø</w:t>
      </w:r>
      <w:proofErr w:type="spellEnd"/>
      <w:r w:rsidR="002F3085" w:rsidRPr="00834D0C">
        <w:rPr>
          <w:rFonts w:cstheme="minorHAnsi"/>
          <w:iCs/>
          <w:lang w:val="fr-FR"/>
        </w:rPr>
        <w:t>/</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501.</w:t>
      </w:r>
    </w:p>
  </w:footnote>
  <w:footnote w:id="77">
    <w:p w14:paraId="184D47B7" w14:textId="1573266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w:t>
      </w:r>
      <w:r w:rsidR="00802029" w:rsidRPr="00834D0C">
        <w:rPr>
          <w:rFonts w:cstheme="minorHAnsi"/>
        </w:rPr>
        <w:t xml:space="preserve">Constitution, </w:t>
      </w:r>
      <w:r w:rsidRPr="00834D0C">
        <w:rPr>
          <w:rFonts w:cstheme="minorHAnsi"/>
        </w:rPr>
        <w:t xml:space="preserve">Art 49; South Ossetia: </w:t>
      </w:r>
      <w:r w:rsidR="00802029" w:rsidRPr="00834D0C">
        <w:rPr>
          <w:rFonts w:cstheme="minorHAnsi"/>
        </w:rPr>
        <w:t xml:space="preserve">Constitution, </w:t>
      </w:r>
      <w:r w:rsidRPr="00834D0C">
        <w:rPr>
          <w:rFonts w:cstheme="minorHAnsi"/>
        </w:rPr>
        <w:t xml:space="preserve">Art 16; Transnistria: </w:t>
      </w:r>
      <w:r w:rsidR="00802029" w:rsidRPr="00834D0C">
        <w:rPr>
          <w:rFonts w:cstheme="minorHAnsi"/>
        </w:rPr>
        <w:t xml:space="preserve">Constitution, </w:t>
      </w:r>
      <w:r w:rsidRPr="00834D0C">
        <w:rPr>
          <w:rFonts w:cstheme="minorHAnsi"/>
        </w:rPr>
        <w:t xml:space="preserve">Art 3; </w:t>
      </w:r>
      <w:r w:rsidRPr="00834D0C">
        <w:t xml:space="preserve">Nagorno-Karabakh: </w:t>
      </w:r>
      <w:r w:rsidR="00802029" w:rsidRPr="00834D0C">
        <w:t xml:space="preserve">Constitution, </w:t>
      </w:r>
      <w:r w:rsidRPr="00834D0C">
        <w:t>Art 4</w:t>
      </w:r>
      <w:r w:rsidR="00802029" w:rsidRPr="00834D0C">
        <w:t>7</w:t>
      </w:r>
      <w:r w:rsidRPr="00834D0C">
        <w:t>.</w:t>
      </w:r>
    </w:p>
  </w:footnote>
  <w:footnote w:id="78">
    <w:p w14:paraId="1C554CD5" w14:textId="68715EB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For Abkhazia and South Ossetia, see </w:t>
      </w:r>
      <w:r w:rsidR="00792B2E" w:rsidRPr="00834D0C">
        <w:rPr>
          <w:rFonts w:cstheme="minorHAnsi"/>
        </w:rPr>
        <w:t xml:space="preserve">Roman Petrov, ‘The Legal Systems of the Donetsk/Lugansk People’s Republics. International and European Considerations’ in </w:t>
      </w:r>
      <w:proofErr w:type="spellStart"/>
      <w:r w:rsidR="00792B2E" w:rsidRPr="00834D0C">
        <w:rPr>
          <w:rFonts w:cstheme="minorHAnsi"/>
        </w:rPr>
        <w:t>Harzl</w:t>
      </w:r>
      <w:proofErr w:type="spellEnd"/>
      <w:r w:rsidR="00792B2E" w:rsidRPr="00834D0C">
        <w:rPr>
          <w:rFonts w:cstheme="minorHAnsi"/>
        </w:rPr>
        <w:t>/Petrov (n 9) 209, 2</w:t>
      </w:r>
      <w:r w:rsidRPr="00834D0C">
        <w:rPr>
          <w:rFonts w:cstheme="minorHAnsi"/>
        </w:rPr>
        <w:t xml:space="preserve">14 and </w:t>
      </w:r>
      <w:r w:rsidR="009037C8" w:rsidRPr="00834D0C">
        <w:t xml:space="preserve">EU </w:t>
      </w:r>
      <w:r w:rsidR="009037C8" w:rsidRPr="00834D0C">
        <w:rPr>
          <w:rFonts w:cstheme="minorHAnsi"/>
        </w:rPr>
        <w:t xml:space="preserve">(n 20) </w:t>
      </w:r>
      <w:r w:rsidRPr="00834D0C">
        <w:t>132-133</w:t>
      </w:r>
      <w:r w:rsidRPr="00834D0C">
        <w:rPr>
          <w:rFonts w:cstheme="minorHAnsi"/>
        </w:rPr>
        <w:t>. South Ossetian President claimed that 95% of the inhabitants had opted for the Russian nationality (German (</w:t>
      </w:r>
      <w:r w:rsidR="0084605E" w:rsidRPr="00834D0C">
        <w:rPr>
          <w:rFonts w:cstheme="minorHAnsi"/>
        </w:rPr>
        <w:t>n</w:t>
      </w:r>
      <w:r w:rsidRPr="00834D0C">
        <w:rPr>
          <w:rFonts w:cstheme="minorHAnsi"/>
        </w:rPr>
        <w:t xml:space="preserve"> </w:t>
      </w:r>
      <w:r w:rsidR="00FA029C" w:rsidRPr="00834D0C">
        <w:rPr>
          <w:rFonts w:cstheme="minorHAnsi"/>
        </w:rPr>
        <w:t>73</w:t>
      </w:r>
      <w:r w:rsidRPr="00834D0C">
        <w:rPr>
          <w:rFonts w:cstheme="minorHAnsi"/>
        </w:rPr>
        <w:t xml:space="preserve">) 52). For Transnistria, see </w:t>
      </w:r>
      <w:r w:rsidR="00792B2E" w:rsidRPr="00834D0C">
        <w:rPr>
          <w:rFonts w:cstheme="minorHAnsi"/>
        </w:rPr>
        <w:t>ECtHR</w:t>
      </w:r>
      <w:r w:rsidRPr="00834D0C">
        <w:rPr>
          <w:rFonts w:cstheme="minorHAnsi"/>
        </w:rPr>
        <w:t xml:space="preserve">, </w:t>
      </w:r>
      <w:r w:rsidRPr="00834D0C">
        <w:rPr>
          <w:rFonts w:cstheme="minorHAnsi"/>
          <w:i/>
          <w:iCs/>
        </w:rPr>
        <w:t xml:space="preserve">Catan and Others v Moldova and Russia, </w:t>
      </w:r>
      <w:r w:rsidRPr="00834D0C">
        <w:rPr>
          <w:rFonts w:cstheme="minorHAnsi"/>
        </w:rPr>
        <w:t xml:space="preserve">Applications Nos 43370/04, 8252/05 and 18454/06, 19 October 2012, para 42; </w:t>
      </w:r>
      <w:r w:rsidR="00792B2E" w:rsidRPr="00834D0C">
        <w:rPr>
          <w:rFonts w:cstheme="minorHAnsi"/>
        </w:rPr>
        <w:t>ECtHR</w:t>
      </w:r>
      <w:r w:rsidRPr="00834D0C">
        <w:rPr>
          <w:rFonts w:cstheme="minorHAnsi"/>
        </w:rPr>
        <w:t xml:space="preserve">, </w:t>
      </w:r>
      <w:proofErr w:type="spellStart"/>
      <w:r w:rsidRPr="00834D0C">
        <w:rPr>
          <w:rFonts w:cstheme="minorHAnsi"/>
          <w:i/>
          <w:iCs/>
        </w:rPr>
        <w:t>Mozer</w:t>
      </w:r>
      <w:proofErr w:type="spellEnd"/>
      <w:r w:rsidRPr="00834D0C">
        <w:rPr>
          <w:rFonts w:cstheme="minorHAnsi"/>
          <w:i/>
          <w:iCs/>
        </w:rPr>
        <w:t xml:space="preserve"> v Moldova and Russia</w:t>
      </w:r>
      <w:r w:rsidRPr="00834D0C">
        <w:rPr>
          <w:rFonts w:cstheme="minorHAnsi"/>
        </w:rPr>
        <w:t>, Application No 11138/10, 23 February 2016, para 107.</w:t>
      </w:r>
    </w:p>
  </w:footnote>
  <w:footnote w:id="79">
    <w:p w14:paraId="38CEE554" w14:textId="761A53F7" w:rsidR="002B032D" w:rsidRPr="00834D0C" w:rsidRDefault="002B032D" w:rsidP="00163B41">
      <w:pPr>
        <w:pStyle w:val="FootnoteText"/>
        <w:jc w:val="both"/>
      </w:pPr>
      <w:r w:rsidRPr="00834D0C">
        <w:rPr>
          <w:rStyle w:val="FootnoteReference"/>
        </w:rPr>
        <w:footnoteRef/>
      </w:r>
      <w:r w:rsidRPr="00834D0C">
        <w:t xml:space="preserve"> </w:t>
      </w:r>
      <w:r w:rsidR="00792B2E" w:rsidRPr="00834D0C">
        <w:rPr>
          <w:rFonts w:cstheme="minorHAnsi"/>
        </w:rPr>
        <w:t>ECtHR</w:t>
      </w:r>
      <w:r w:rsidRPr="00834D0C">
        <w:t xml:space="preserve">, </w:t>
      </w:r>
      <w:proofErr w:type="spellStart"/>
      <w:r w:rsidRPr="00834D0C">
        <w:rPr>
          <w:i/>
          <w:iCs/>
        </w:rPr>
        <w:t>Chiragov</w:t>
      </w:r>
      <w:proofErr w:type="spellEnd"/>
      <w:r w:rsidRPr="00834D0C">
        <w:rPr>
          <w:i/>
          <w:iCs/>
        </w:rPr>
        <w:t xml:space="preserve"> and Others v Armenia</w:t>
      </w:r>
      <w:r w:rsidRPr="00834D0C">
        <w:t>, Application No 1316/05, 16 June 2015, para 83.</w:t>
      </w:r>
    </w:p>
  </w:footnote>
  <w:footnote w:id="80">
    <w:p w14:paraId="7F77C4E8" w14:textId="7F18064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w:t>
      </w:r>
      <w:r w:rsidR="00802029" w:rsidRPr="00834D0C">
        <w:rPr>
          <w:rFonts w:cstheme="minorHAnsi"/>
        </w:rPr>
        <w:t xml:space="preserve">Constitution, </w:t>
      </w:r>
      <w:r w:rsidR="00545051" w:rsidRPr="00834D0C">
        <w:t>Art</w:t>
      </w:r>
      <w:r w:rsidR="00545051" w:rsidRPr="00834D0C">
        <w:rPr>
          <w:rFonts w:cstheme="minorHAnsi"/>
        </w:rPr>
        <w:t xml:space="preserve"> </w:t>
      </w:r>
      <w:r w:rsidRPr="00834D0C">
        <w:rPr>
          <w:rFonts w:cstheme="minorHAnsi"/>
        </w:rPr>
        <w:t xml:space="preserve">53; South Ossetia: </w:t>
      </w:r>
      <w:r w:rsidR="00802029" w:rsidRPr="00834D0C">
        <w:rPr>
          <w:rFonts w:cstheme="minorHAnsi"/>
        </w:rPr>
        <w:t xml:space="preserve">Constitution, </w:t>
      </w:r>
      <w:r w:rsidR="00802029" w:rsidRPr="00834D0C">
        <w:t>Art</w:t>
      </w:r>
      <w:r w:rsidR="00802029" w:rsidRPr="00834D0C">
        <w:rPr>
          <w:rFonts w:cstheme="minorHAnsi"/>
        </w:rPr>
        <w:t xml:space="preserve"> </w:t>
      </w:r>
      <w:r w:rsidRPr="00834D0C">
        <w:rPr>
          <w:rFonts w:cstheme="minorHAnsi"/>
        </w:rPr>
        <w:t xml:space="preserve">50; Transnistria: </w:t>
      </w:r>
      <w:r w:rsidR="00802029" w:rsidRPr="00834D0C">
        <w:rPr>
          <w:rFonts w:cstheme="minorHAnsi"/>
        </w:rPr>
        <w:t xml:space="preserve">Constitution, </w:t>
      </w:r>
      <w:r w:rsidR="00545051" w:rsidRPr="00834D0C">
        <w:t>Art</w:t>
      </w:r>
      <w:r w:rsidR="00545051" w:rsidRPr="00834D0C">
        <w:rPr>
          <w:rFonts w:cstheme="minorHAnsi"/>
        </w:rPr>
        <w:t xml:space="preserve"> </w:t>
      </w:r>
      <w:r w:rsidRPr="00834D0C">
        <w:rPr>
          <w:rFonts w:cstheme="minorHAnsi"/>
        </w:rPr>
        <w:t xml:space="preserve">71; Nagorno-Karabakh: </w:t>
      </w:r>
      <w:r w:rsidR="00802029" w:rsidRPr="00834D0C">
        <w:rPr>
          <w:rFonts w:cstheme="minorHAnsi"/>
        </w:rPr>
        <w:t xml:space="preserve">Constitution, </w:t>
      </w:r>
      <w:r w:rsidR="00802029" w:rsidRPr="00834D0C">
        <w:t>Art</w:t>
      </w:r>
      <w:r w:rsidR="00802029" w:rsidRPr="00834D0C">
        <w:rPr>
          <w:rFonts w:cstheme="minorHAnsi"/>
        </w:rPr>
        <w:t xml:space="preserve"> </w:t>
      </w:r>
      <w:r w:rsidRPr="00834D0C">
        <w:rPr>
          <w:rFonts w:cstheme="minorHAnsi"/>
        </w:rPr>
        <w:t>94.</w:t>
      </w:r>
    </w:p>
  </w:footnote>
  <w:footnote w:id="81">
    <w:p w14:paraId="05067745" w14:textId="676FFE31" w:rsidR="002B032D" w:rsidRPr="00834D0C" w:rsidRDefault="002B032D" w:rsidP="00163B41">
      <w:pPr>
        <w:pStyle w:val="FootnoteText"/>
        <w:jc w:val="both"/>
      </w:pPr>
      <w:r w:rsidRPr="00834D0C">
        <w:rPr>
          <w:rStyle w:val="FootnoteReference"/>
        </w:rPr>
        <w:footnoteRef/>
      </w:r>
      <w:r w:rsidRPr="00834D0C">
        <w:t xml:space="preserve"> Abkhazia: </w:t>
      </w:r>
      <w:r w:rsidR="00802029" w:rsidRPr="00834D0C">
        <w:t xml:space="preserve">Constitution, </w:t>
      </w:r>
      <w:r w:rsidR="00545051" w:rsidRPr="00834D0C">
        <w:t xml:space="preserve">Arts </w:t>
      </w:r>
      <w:r w:rsidRPr="00834D0C">
        <w:t xml:space="preserve">19 and 53; South Ossetia: </w:t>
      </w:r>
      <w:r w:rsidR="00802029" w:rsidRPr="00834D0C">
        <w:t xml:space="preserve">Constitution, </w:t>
      </w:r>
      <w:r w:rsidRPr="00834D0C">
        <w:t>Arts 25, 26 and 28; Transnistria:</w:t>
      </w:r>
      <w:r w:rsidR="00802029" w:rsidRPr="00834D0C">
        <w:t xml:space="preserve"> Constitution, </w:t>
      </w:r>
      <w:r w:rsidRPr="00834D0C">
        <w:t xml:space="preserve">Arts 38, 39, 41, 42, 56, </w:t>
      </w:r>
      <w:r w:rsidR="00802029" w:rsidRPr="00834D0C">
        <w:t xml:space="preserve">and </w:t>
      </w:r>
      <w:r w:rsidRPr="00834D0C">
        <w:t xml:space="preserve">62; Nagorno-Karabakh: </w:t>
      </w:r>
      <w:r w:rsidR="00802029" w:rsidRPr="00834D0C">
        <w:t xml:space="preserve">Constitution, </w:t>
      </w:r>
      <w:r w:rsidRPr="00834D0C">
        <w:t>Arts 11, 12, 15 and Chapter 3.</w:t>
      </w:r>
    </w:p>
  </w:footnote>
  <w:footnote w:id="82">
    <w:p w14:paraId="1D93016E" w14:textId="53BB36B7" w:rsidR="002B032D" w:rsidRPr="00834D0C" w:rsidRDefault="002B032D" w:rsidP="00163B41">
      <w:pPr>
        <w:pStyle w:val="FootnoteText"/>
        <w:jc w:val="both"/>
      </w:pPr>
      <w:r w:rsidRPr="00834D0C">
        <w:rPr>
          <w:rStyle w:val="FootnoteReference"/>
        </w:rPr>
        <w:footnoteRef/>
      </w:r>
      <w:r w:rsidRPr="00834D0C">
        <w:t xml:space="preserve"> Abkhazia: </w:t>
      </w:r>
      <w:r w:rsidR="00802029" w:rsidRPr="00834D0C">
        <w:rPr>
          <w:rFonts w:cstheme="minorHAnsi"/>
        </w:rPr>
        <w:t xml:space="preserve">Constitution, </w:t>
      </w:r>
      <w:r w:rsidR="00802029" w:rsidRPr="00834D0C">
        <w:t>Arts</w:t>
      </w:r>
      <w:r w:rsidRPr="00834D0C">
        <w:t xml:space="preserve"> 19 and 32; South Ossetia: </w:t>
      </w:r>
      <w:r w:rsidR="00802029" w:rsidRPr="00834D0C">
        <w:rPr>
          <w:rFonts w:cstheme="minorHAnsi"/>
        </w:rPr>
        <w:t xml:space="preserve">Constitution, </w:t>
      </w:r>
      <w:r w:rsidR="00802029" w:rsidRPr="00834D0C">
        <w:t>Arts</w:t>
      </w:r>
      <w:r w:rsidR="00802029" w:rsidRPr="00834D0C">
        <w:rPr>
          <w:rFonts w:cstheme="minorHAnsi"/>
        </w:rPr>
        <w:t xml:space="preserve"> </w:t>
      </w:r>
      <w:r w:rsidRPr="00834D0C">
        <w:t xml:space="preserve">25, 26, 27 and 28; Transnistria: </w:t>
      </w:r>
      <w:r w:rsidR="00802029" w:rsidRPr="00834D0C">
        <w:rPr>
          <w:rFonts w:cstheme="minorHAnsi"/>
        </w:rPr>
        <w:t xml:space="preserve">Constitution, </w:t>
      </w:r>
      <w:r w:rsidR="00802029" w:rsidRPr="00834D0C">
        <w:t>Arts</w:t>
      </w:r>
      <w:r w:rsidRPr="00834D0C">
        <w:t xml:space="preserve"> 38, 39, 40, and 41; Nagorno-Karabakh: </w:t>
      </w:r>
      <w:r w:rsidR="00802029" w:rsidRPr="00834D0C">
        <w:rPr>
          <w:rFonts w:cstheme="minorHAnsi"/>
        </w:rPr>
        <w:t xml:space="preserve">Constitution, </w:t>
      </w:r>
      <w:r w:rsidR="00802029" w:rsidRPr="00834D0C">
        <w:t>Arts</w:t>
      </w:r>
      <w:r w:rsidR="00802029" w:rsidRPr="00834D0C">
        <w:rPr>
          <w:rFonts w:cstheme="minorHAnsi"/>
        </w:rPr>
        <w:t xml:space="preserve"> </w:t>
      </w:r>
      <w:r w:rsidRPr="00834D0C">
        <w:t>38 and 57.</w:t>
      </w:r>
    </w:p>
  </w:footnote>
  <w:footnote w:id="83">
    <w:p w14:paraId="3C2E1D89" w14:textId="6802141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Modasia</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530084" w:rsidRPr="00834D0C">
        <w:rPr>
          <w:rFonts w:cstheme="minorHAnsi"/>
        </w:rPr>
        <w:t>52</w:t>
      </w:r>
      <w:r w:rsidRPr="00834D0C">
        <w:rPr>
          <w:rFonts w:cstheme="minorHAnsi"/>
        </w:rPr>
        <w:t>) 2196.</w:t>
      </w:r>
    </w:p>
  </w:footnote>
  <w:footnote w:id="84">
    <w:p w14:paraId="57D8EF98" w14:textId="2B634C5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43ED5" w:rsidRPr="00834D0C">
        <w:rPr>
          <w:rFonts w:cstheme="minorHAnsi"/>
        </w:rPr>
        <w:t xml:space="preserve">Thomas Grant, ‘Defining Statehood: The Montevideo Convention and its Discontents’ (1998-1999) 37 </w:t>
      </w:r>
      <w:r w:rsidR="00643ED5" w:rsidRPr="00834D0C">
        <w:rPr>
          <w:rFonts w:cstheme="minorHAnsi"/>
          <w:i/>
          <w:iCs/>
        </w:rPr>
        <w:t xml:space="preserve">Columbia J </w:t>
      </w:r>
      <w:proofErr w:type="spellStart"/>
      <w:r w:rsidR="00643ED5" w:rsidRPr="00834D0C">
        <w:rPr>
          <w:rFonts w:cstheme="minorHAnsi"/>
          <w:i/>
          <w:iCs/>
        </w:rPr>
        <w:t>Transnt’l</w:t>
      </w:r>
      <w:proofErr w:type="spellEnd"/>
      <w:r w:rsidR="00643ED5" w:rsidRPr="00834D0C">
        <w:rPr>
          <w:rFonts w:cstheme="minorHAnsi"/>
        </w:rPr>
        <w:t xml:space="preserve"> </w:t>
      </w:r>
      <w:r w:rsidR="00643ED5" w:rsidRPr="00834D0C">
        <w:rPr>
          <w:rFonts w:cstheme="minorHAnsi"/>
          <w:i/>
          <w:iCs/>
        </w:rPr>
        <w:t>Law</w:t>
      </w:r>
      <w:r w:rsidR="00643ED5" w:rsidRPr="00834D0C">
        <w:rPr>
          <w:rFonts w:cstheme="minorHAnsi"/>
        </w:rPr>
        <w:t xml:space="preserve"> 403, </w:t>
      </w:r>
      <w:r w:rsidRPr="00834D0C">
        <w:rPr>
          <w:rFonts w:cstheme="minorHAnsi"/>
        </w:rPr>
        <w:t>435.</w:t>
      </w:r>
    </w:p>
  </w:footnote>
  <w:footnote w:id="85">
    <w:p w14:paraId="206A93C0" w14:textId="34EC298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530084" w:rsidRPr="00834D0C">
        <w:rPr>
          <w:rFonts w:cstheme="minorHAnsi"/>
          <w:lang w:val="fr-FR"/>
        </w:rPr>
        <w:t>Doli</w:t>
      </w:r>
      <w:proofErr w:type="spellEnd"/>
      <w:r w:rsidR="00530084" w:rsidRPr="00834D0C">
        <w:rPr>
          <w:rFonts w:cstheme="minorHAnsi"/>
          <w:lang w:val="fr-FR"/>
        </w:rPr>
        <w:t xml:space="preserve"> (n 50) </w:t>
      </w:r>
      <w:r w:rsidRPr="00834D0C">
        <w:rPr>
          <w:rFonts w:cstheme="minorHAnsi"/>
        </w:rPr>
        <w:t>108.</w:t>
      </w:r>
    </w:p>
  </w:footnote>
  <w:footnote w:id="86">
    <w:p w14:paraId="355438D1" w14:textId="6A30E14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F4E6B" w:rsidRPr="00834D0C">
        <w:rPr>
          <w:rFonts w:cstheme="minorHAnsi"/>
        </w:rPr>
        <w:t>Constitution of Abkhazia,</w:t>
      </w:r>
      <w:r w:rsidR="00DF4E6B" w:rsidRPr="00834D0C">
        <w:t xml:space="preserve"> </w:t>
      </w:r>
      <w:r w:rsidRPr="00834D0C">
        <w:rPr>
          <w:rFonts w:cstheme="minorHAnsi"/>
        </w:rPr>
        <w:t>Art</w:t>
      </w:r>
      <w:r w:rsidRPr="00834D0C">
        <w:t xml:space="preserve"> 3</w:t>
      </w:r>
      <w:r w:rsidRPr="00834D0C">
        <w:rPr>
          <w:rFonts w:cstheme="minorHAnsi"/>
        </w:rPr>
        <w:t>.</w:t>
      </w:r>
    </w:p>
  </w:footnote>
  <w:footnote w:id="87">
    <w:p w14:paraId="7B147E84" w14:textId="3EDF5411" w:rsidR="002B032D" w:rsidRPr="00834D0C" w:rsidRDefault="002B032D" w:rsidP="00163B41">
      <w:pPr>
        <w:pStyle w:val="FootnoteText"/>
        <w:jc w:val="both"/>
      </w:pPr>
      <w:r w:rsidRPr="00834D0C">
        <w:rPr>
          <w:rStyle w:val="FootnoteReference"/>
        </w:rPr>
        <w:footnoteRef/>
      </w:r>
      <w:r w:rsidRPr="00834D0C">
        <w:t xml:space="preserve"> </w:t>
      </w:r>
      <w:r w:rsidR="00DF4E6B" w:rsidRPr="00834D0C">
        <w:rPr>
          <w:rFonts w:cstheme="minorHAnsi"/>
        </w:rPr>
        <w:t xml:space="preserve">Constitution of South Ossetia, </w:t>
      </w:r>
      <w:r w:rsidRPr="00834D0C">
        <w:t>Art 10.</w:t>
      </w:r>
    </w:p>
  </w:footnote>
  <w:footnote w:id="88">
    <w:p w14:paraId="5C4690ED" w14:textId="7ED674A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Abkhazia: </w:t>
      </w:r>
      <w:r w:rsidR="00DF4E6B" w:rsidRPr="00834D0C">
        <w:rPr>
          <w:rFonts w:cstheme="minorHAnsi"/>
        </w:rPr>
        <w:t>Constitution,</w:t>
      </w:r>
      <w:r w:rsidR="00DF4E6B" w:rsidRPr="00834D0C">
        <w:t xml:space="preserve"> </w:t>
      </w:r>
      <w:r w:rsidRPr="00834D0C">
        <w:rPr>
          <w:rFonts w:cstheme="minorHAnsi"/>
        </w:rPr>
        <w:t xml:space="preserve">Art 53; South Ossetia: </w:t>
      </w:r>
      <w:r w:rsidR="00DF4E6B" w:rsidRPr="00834D0C">
        <w:rPr>
          <w:rFonts w:cstheme="minorHAnsi"/>
        </w:rPr>
        <w:t>Constitution,</w:t>
      </w:r>
      <w:r w:rsidR="00DF4E6B" w:rsidRPr="00834D0C">
        <w:t xml:space="preserve"> </w:t>
      </w:r>
      <w:r w:rsidRPr="00834D0C">
        <w:rPr>
          <w:rFonts w:cstheme="minorHAnsi"/>
        </w:rPr>
        <w:t>Art 47.</w:t>
      </w:r>
    </w:p>
  </w:footnote>
  <w:footnote w:id="89">
    <w:p w14:paraId="1A32C16C" w14:textId="3931002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F4E6B" w:rsidRPr="00834D0C">
        <w:rPr>
          <w:rFonts w:cstheme="minorHAnsi"/>
        </w:rPr>
        <w:t>Constitution,</w:t>
      </w:r>
      <w:r w:rsidR="00DF4E6B" w:rsidRPr="00834D0C">
        <w:t xml:space="preserve"> </w:t>
      </w:r>
      <w:r w:rsidRPr="00834D0C">
        <w:rPr>
          <w:rFonts w:cstheme="minorHAnsi"/>
        </w:rPr>
        <w:t>Art 62.</w:t>
      </w:r>
    </w:p>
  </w:footnote>
  <w:footnote w:id="90">
    <w:p w14:paraId="2833003D" w14:textId="003F21F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F4E6B" w:rsidRPr="00834D0C">
        <w:rPr>
          <w:rFonts w:cstheme="minorHAnsi"/>
        </w:rPr>
        <w:t>Constitution,</w:t>
      </w:r>
      <w:r w:rsidR="00DF4E6B" w:rsidRPr="00834D0C">
        <w:t xml:space="preserve"> </w:t>
      </w:r>
      <w:r w:rsidRPr="00834D0C">
        <w:rPr>
          <w:rFonts w:cstheme="minorHAnsi"/>
        </w:rPr>
        <w:t>Arts 71 and 73.</w:t>
      </w:r>
    </w:p>
  </w:footnote>
  <w:footnote w:id="91">
    <w:p w14:paraId="09AE0075" w14:textId="58DE45D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Dov</w:t>
      </w:r>
      <w:proofErr w:type="spellEnd"/>
      <w:r w:rsidRPr="00834D0C">
        <w:rPr>
          <w:rFonts w:cstheme="minorHAnsi"/>
          <w:i/>
          <w:iCs/>
        </w:rPr>
        <w:t xml:space="preserve"> </w:t>
      </w:r>
      <w:r w:rsidR="00643ED5" w:rsidRPr="00834D0C">
        <w:rPr>
          <w:rFonts w:cstheme="minorHAnsi"/>
        </w:rPr>
        <w:t xml:space="preserve">Lynch, ‘Separatist States and Post-Soviet Conflicts’ (2002) 78 </w:t>
      </w:r>
      <w:r w:rsidRPr="00834D0C">
        <w:rPr>
          <w:rFonts w:cstheme="minorHAnsi"/>
          <w:i/>
          <w:iCs/>
        </w:rPr>
        <w:t xml:space="preserve">Int’l </w:t>
      </w:r>
      <w:proofErr w:type="spellStart"/>
      <w:r w:rsidRPr="00834D0C">
        <w:rPr>
          <w:rFonts w:cstheme="minorHAnsi"/>
          <w:i/>
          <w:iCs/>
        </w:rPr>
        <w:t>Aff</w:t>
      </w:r>
      <w:proofErr w:type="spellEnd"/>
      <w:r w:rsidRPr="00834D0C">
        <w:rPr>
          <w:rFonts w:cstheme="minorHAnsi"/>
          <w:i/>
          <w:iCs/>
        </w:rPr>
        <w:t>.(UK)</w:t>
      </w:r>
      <w:r w:rsidRPr="00834D0C">
        <w:rPr>
          <w:rFonts w:cstheme="minorHAnsi"/>
        </w:rPr>
        <w:t xml:space="preserve"> 831. </w:t>
      </w:r>
    </w:p>
  </w:footnote>
  <w:footnote w:id="92">
    <w:p w14:paraId="73544019" w14:textId="4F61144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Other </w:t>
      </w:r>
      <w:r w:rsidRPr="00834D0C">
        <w:rPr>
          <w:rFonts w:cstheme="minorHAnsi"/>
          <w:i/>
          <w:iCs/>
        </w:rPr>
        <w:t xml:space="preserve">de facto </w:t>
      </w:r>
      <w:r w:rsidRPr="00834D0C">
        <w:rPr>
          <w:rFonts w:cstheme="minorHAnsi"/>
        </w:rPr>
        <w:t xml:space="preserve">States have relationships too. For example, in 2020, Somaliland and Taiwan signed a bilateral accord to open representative offices in each entity. See Scott </w:t>
      </w:r>
      <w:proofErr w:type="spellStart"/>
      <w:r w:rsidRPr="00834D0C">
        <w:rPr>
          <w:rFonts w:cstheme="minorHAnsi"/>
        </w:rPr>
        <w:t>Pegg</w:t>
      </w:r>
      <w:proofErr w:type="spellEnd"/>
      <w:r w:rsidRPr="00834D0C">
        <w:rPr>
          <w:rFonts w:cstheme="minorHAnsi"/>
        </w:rPr>
        <w:t>,</w:t>
      </w:r>
      <w:r w:rsidR="00647E1F" w:rsidRPr="00834D0C">
        <w:rPr>
          <w:rFonts w:cstheme="minorHAnsi"/>
        </w:rPr>
        <w:t xml:space="preserve"> ‘</w:t>
      </w:r>
      <w:r w:rsidRPr="00834D0C">
        <w:rPr>
          <w:rFonts w:cstheme="minorHAnsi"/>
        </w:rPr>
        <w:t>The Somaliland-Taiwan Partnership: A New Frontier in De Facto State Diplomacy?</w:t>
      </w:r>
      <w:r w:rsidR="00647E1F" w:rsidRPr="00834D0C">
        <w:rPr>
          <w:rFonts w:cstheme="minorHAnsi"/>
        </w:rPr>
        <w:t>’</w:t>
      </w:r>
      <w:r w:rsidRPr="00834D0C">
        <w:rPr>
          <w:rFonts w:cstheme="minorHAnsi"/>
        </w:rPr>
        <w:t xml:space="preserve"> </w:t>
      </w:r>
      <w:r w:rsidRPr="00834D0C">
        <w:rPr>
          <w:rFonts w:cstheme="minorHAnsi"/>
          <w:i/>
          <w:iCs/>
        </w:rPr>
        <w:t xml:space="preserve">De Facto States Research, </w:t>
      </w:r>
      <w:r w:rsidRPr="00834D0C">
        <w:rPr>
          <w:rFonts w:cstheme="minorHAnsi"/>
        </w:rPr>
        <w:t xml:space="preserve">14 August 2020, available at https://defactostates.ut.ee/blog/somaliland-taiwan-partnership-new-frontier-de-facto-state-diplomacy </w:t>
      </w:r>
    </w:p>
  </w:footnote>
  <w:footnote w:id="93">
    <w:p w14:paraId="15E51CD3" w14:textId="6410F627" w:rsidR="002B032D" w:rsidRPr="00834D0C" w:rsidRDefault="002B032D" w:rsidP="00163B41">
      <w:pPr>
        <w:pStyle w:val="FootnoteText"/>
        <w:jc w:val="both"/>
        <w:rPr>
          <w:lang w:val="fr-FR"/>
        </w:rPr>
      </w:pPr>
      <w:r w:rsidRPr="00834D0C">
        <w:rPr>
          <w:rStyle w:val="FootnoteReference"/>
        </w:rPr>
        <w:footnoteRef/>
      </w:r>
      <w:r w:rsidRPr="00834D0C">
        <w:rPr>
          <w:lang w:val="fr-FR"/>
        </w:rPr>
        <w:t xml:space="preserve"> </w:t>
      </w:r>
      <w:r w:rsidR="00FA029C" w:rsidRPr="00834D0C">
        <w:rPr>
          <w:rFonts w:cstheme="minorHAnsi"/>
        </w:rPr>
        <w:t xml:space="preserve">German (n 73) </w:t>
      </w:r>
      <w:r w:rsidRPr="00834D0C">
        <w:rPr>
          <w:rFonts w:cstheme="minorHAnsi"/>
          <w:lang w:val="fr-FR"/>
        </w:rPr>
        <w:t>60.</w:t>
      </w:r>
    </w:p>
  </w:footnote>
  <w:footnote w:id="94">
    <w:p w14:paraId="15C65EC2" w14:textId="76C368BD" w:rsidR="002B032D" w:rsidRPr="00834D0C" w:rsidRDefault="002B032D" w:rsidP="00163B41">
      <w:pPr>
        <w:pStyle w:val="FootnoteText"/>
        <w:jc w:val="both"/>
      </w:pPr>
      <w:r w:rsidRPr="00834D0C">
        <w:rPr>
          <w:rStyle w:val="FootnoteReference"/>
        </w:rPr>
        <w:footnoteRef/>
      </w:r>
      <w:r w:rsidRPr="00834D0C">
        <w:t xml:space="preserve"> German </w:t>
      </w:r>
      <w:r w:rsidRPr="00834D0C">
        <w:rPr>
          <w:rFonts w:cstheme="minorHAnsi"/>
        </w:rPr>
        <w:t>(</w:t>
      </w:r>
      <w:r w:rsidR="0084605E" w:rsidRPr="00834D0C">
        <w:rPr>
          <w:rFonts w:cstheme="minorHAnsi"/>
        </w:rPr>
        <w:t>n</w:t>
      </w:r>
      <w:r w:rsidRPr="00834D0C">
        <w:rPr>
          <w:rFonts w:cstheme="minorHAnsi"/>
        </w:rPr>
        <w:t xml:space="preserve"> </w:t>
      </w:r>
      <w:r w:rsidR="00FA029C" w:rsidRPr="00834D0C">
        <w:rPr>
          <w:rFonts w:cstheme="minorHAnsi"/>
        </w:rPr>
        <w:t>44</w:t>
      </w:r>
      <w:r w:rsidRPr="00834D0C">
        <w:rPr>
          <w:rFonts w:cstheme="minorHAnsi"/>
        </w:rPr>
        <w:t xml:space="preserve">) </w:t>
      </w:r>
      <w:r w:rsidRPr="00834D0C">
        <w:t>159.</w:t>
      </w:r>
    </w:p>
  </w:footnote>
  <w:footnote w:id="95">
    <w:p w14:paraId="60A2171E" w14:textId="70C54CEC" w:rsidR="002B032D" w:rsidRPr="00834D0C" w:rsidRDefault="002B032D" w:rsidP="00163B41">
      <w:pPr>
        <w:pStyle w:val="FootnoteText"/>
        <w:jc w:val="both"/>
        <w:rPr>
          <w:rFonts w:cstheme="minorHAnsi"/>
          <w:i/>
          <w:iCs/>
          <w:lang w:val="fr-FR"/>
        </w:rPr>
      </w:pPr>
      <w:r w:rsidRPr="00834D0C">
        <w:rPr>
          <w:rStyle w:val="FootnoteReference"/>
          <w:rFonts w:cstheme="minorHAnsi"/>
        </w:rPr>
        <w:footnoteRef/>
      </w:r>
      <w:r w:rsidRPr="00834D0C">
        <w:rPr>
          <w:rFonts w:cstheme="minorHAnsi"/>
          <w:lang w:val="fr-FR"/>
        </w:rPr>
        <w:t xml:space="preserve"> </w:t>
      </w:r>
      <w:proofErr w:type="spellStart"/>
      <w:r w:rsidRPr="00834D0C">
        <w:rPr>
          <w:rFonts w:cstheme="minorHAnsi"/>
          <w:lang w:val="fr-FR"/>
        </w:rPr>
        <w:t>See</w:t>
      </w:r>
      <w:proofErr w:type="spellEnd"/>
      <w:r w:rsidRPr="00834D0C">
        <w:rPr>
          <w:rFonts w:cstheme="minorHAnsi"/>
          <w:lang w:val="fr-FR"/>
        </w:rPr>
        <w:t xml:space="preserve"> France, Cour de Cassation Chambre civile 1, </w:t>
      </w:r>
      <w:r w:rsidRPr="00834D0C">
        <w:rPr>
          <w:rFonts w:cstheme="minorHAnsi"/>
          <w:i/>
          <w:iCs/>
          <w:lang w:val="fr-FR"/>
        </w:rPr>
        <w:t xml:space="preserve">Dame Clerget c Représentation commerciale de la République démocratique du </w:t>
      </w:r>
      <w:proofErr w:type="spellStart"/>
      <w:r w:rsidRPr="00834D0C">
        <w:rPr>
          <w:rFonts w:cstheme="minorHAnsi"/>
          <w:i/>
          <w:iCs/>
          <w:lang w:val="fr-FR"/>
        </w:rPr>
        <w:t>Viet-Nam</w:t>
      </w:r>
      <w:proofErr w:type="spellEnd"/>
      <w:r w:rsidRPr="00834D0C">
        <w:rPr>
          <w:rFonts w:cstheme="minorHAnsi"/>
          <w:i/>
          <w:iCs/>
          <w:lang w:val="fr-FR"/>
        </w:rPr>
        <w:t xml:space="preserve"> et autres</w:t>
      </w:r>
      <w:r w:rsidRPr="00834D0C">
        <w:rPr>
          <w:rFonts w:cstheme="minorHAnsi"/>
          <w:lang w:val="fr-FR"/>
        </w:rPr>
        <w:t xml:space="preserve">, 2 </w:t>
      </w:r>
      <w:proofErr w:type="spellStart"/>
      <w:r w:rsidRPr="00834D0C">
        <w:rPr>
          <w:rFonts w:cstheme="minorHAnsi"/>
          <w:lang w:val="fr-FR"/>
        </w:rPr>
        <w:t>November</w:t>
      </w:r>
      <w:proofErr w:type="spellEnd"/>
      <w:r w:rsidRPr="00834D0C">
        <w:rPr>
          <w:rFonts w:cstheme="minorHAnsi"/>
          <w:lang w:val="fr-FR"/>
        </w:rPr>
        <w:t xml:space="preserve"> 1971, JDI 1972, 267.</w:t>
      </w:r>
    </w:p>
  </w:footnote>
  <w:footnote w:id="96">
    <w:p w14:paraId="39E5F1E5" w14:textId="57D0163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Ker-Lindsay (</w:t>
      </w:r>
      <w:r w:rsidR="0084605E" w:rsidRPr="00834D0C">
        <w:rPr>
          <w:rFonts w:cstheme="minorHAnsi"/>
        </w:rPr>
        <w:t>n</w:t>
      </w:r>
      <w:r w:rsidRPr="00834D0C">
        <w:rPr>
          <w:rFonts w:cstheme="minorHAnsi"/>
        </w:rPr>
        <w:t xml:space="preserve"> </w:t>
      </w:r>
      <w:r w:rsidR="00266BFC" w:rsidRPr="00834D0C">
        <w:rPr>
          <w:rFonts w:cstheme="minorHAnsi"/>
        </w:rPr>
        <w:t>5</w:t>
      </w:r>
      <w:r w:rsidRPr="00834D0C">
        <w:rPr>
          <w:rFonts w:cstheme="minorHAnsi"/>
        </w:rPr>
        <w:t>) 364.</w:t>
      </w:r>
    </w:p>
  </w:footnote>
  <w:footnote w:id="97">
    <w:p w14:paraId="2ADAC012" w14:textId="2CF361D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47E1F" w:rsidRPr="00834D0C">
        <w:rPr>
          <w:rFonts w:cstheme="minorHAnsi"/>
        </w:rPr>
        <w:t xml:space="preserve">Geoff </w:t>
      </w:r>
      <w:proofErr w:type="spellStart"/>
      <w:r w:rsidR="00647E1F" w:rsidRPr="00834D0C">
        <w:rPr>
          <w:rFonts w:cstheme="minorHAnsi"/>
        </w:rPr>
        <w:t>Berridge</w:t>
      </w:r>
      <w:proofErr w:type="spellEnd"/>
      <w:r w:rsidR="00647E1F" w:rsidRPr="00834D0C">
        <w:rPr>
          <w:rFonts w:cstheme="minorHAnsi"/>
        </w:rPr>
        <w:t xml:space="preserve">, </w:t>
      </w:r>
      <w:r w:rsidR="00647E1F" w:rsidRPr="00834D0C">
        <w:rPr>
          <w:rFonts w:cstheme="minorHAnsi"/>
          <w:i/>
          <w:iCs/>
        </w:rPr>
        <w:t xml:space="preserve">Diplomacy. Theory and Practice </w:t>
      </w:r>
      <w:r w:rsidR="00647E1F" w:rsidRPr="00834D0C">
        <w:rPr>
          <w:rFonts w:cstheme="minorHAnsi"/>
        </w:rPr>
        <w:t xml:space="preserve">(Palgrave 2015) </w:t>
      </w:r>
      <w:r w:rsidRPr="00834D0C">
        <w:rPr>
          <w:rFonts w:cstheme="minorHAnsi"/>
        </w:rPr>
        <w:t>238.</w:t>
      </w:r>
    </w:p>
  </w:footnote>
  <w:footnote w:id="98">
    <w:p w14:paraId="13FDC8A1" w14:textId="3D48C21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In his article, </w:t>
      </w:r>
      <w:proofErr w:type="spellStart"/>
      <w:r w:rsidRPr="00834D0C">
        <w:rPr>
          <w:rFonts w:cstheme="minorHAnsi"/>
        </w:rPr>
        <w:t>Kontorovich</w:t>
      </w:r>
      <w:proofErr w:type="spellEnd"/>
      <w:r w:rsidRPr="00834D0C">
        <w:rPr>
          <w:rFonts w:cstheme="minorHAnsi"/>
        </w:rPr>
        <w:t xml:space="preserve"> explains how States have interacted with </w:t>
      </w:r>
      <w:r w:rsidRPr="00834D0C">
        <w:rPr>
          <w:rFonts w:cstheme="minorHAnsi"/>
          <w:i/>
          <w:iCs/>
        </w:rPr>
        <w:t xml:space="preserve">inter alia </w:t>
      </w:r>
      <w:r w:rsidRPr="00834D0C">
        <w:rPr>
          <w:rFonts w:cstheme="minorHAnsi"/>
        </w:rPr>
        <w:t xml:space="preserve">the Turkish Republic of Northern Cyprus, Abkhazia, South Ossetia, Nagorno-Karabakh and Crimea. </w:t>
      </w:r>
      <w:r w:rsidR="00647E1F" w:rsidRPr="00834D0C">
        <w:rPr>
          <w:rFonts w:cstheme="minorHAnsi"/>
        </w:rPr>
        <w:t xml:space="preserve">Eugene </w:t>
      </w:r>
      <w:proofErr w:type="spellStart"/>
      <w:r w:rsidR="00647E1F" w:rsidRPr="00834D0C">
        <w:rPr>
          <w:rFonts w:cstheme="minorHAnsi"/>
        </w:rPr>
        <w:t>Kontorovich</w:t>
      </w:r>
      <w:proofErr w:type="spellEnd"/>
      <w:r w:rsidR="00647E1F" w:rsidRPr="00834D0C">
        <w:rPr>
          <w:rFonts w:cstheme="minorHAnsi"/>
        </w:rPr>
        <w:t xml:space="preserve">, ‘Economic Dealings with Occupied Territories’ (2015) 53 </w:t>
      </w:r>
      <w:r w:rsidRPr="00834D0C">
        <w:rPr>
          <w:rFonts w:cstheme="minorHAnsi"/>
          <w:i/>
          <w:iCs/>
        </w:rPr>
        <w:t>Colum</w:t>
      </w:r>
      <w:r w:rsidR="00647E1F" w:rsidRPr="00834D0C">
        <w:rPr>
          <w:rFonts w:cstheme="minorHAnsi"/>
          <w:i/>
          <w:iCs/>
        </w:rPr>
        <w:t xml:space="preserve"> </w:t>
      </w:r>
      <w:r w:rsidRPr="00834D0C">
        <w:rPr>
          <w:rFonts w:cstheme="minorHAnsi"/>
          <w:i/>
          <w:iCs/>
        </w:rPr>
        <w:t>J</w:t>
      </w:r>
      <w:r w:rsidR="00647E1F" w:rsidRPr="00834D0C">
        <w:rPr>
          <w:rFonts w:cstheme="minorHAnsi"/>
          <w:i/>
          <w:iCs/>
        </w:rPr>
        <w:t xml:space="preserve"> </w:t>
      </w:r>
      <w:proofErr w:type="spellStart"/>
      <w:r w:rsidRPr="00834D0C">
        <w:rPr>
          <w:rFonts w:cstheme="minorHAnsi"/>
          <w:i/>
          <w:iCs/>
        </w:rPr>
        <w:t>Transnat’l</w:t>
      </w:r>
      <w:proofErr w:type="spellEnd"/>
      <w:r w:rsidRPr="00834D0C">
        <w:rPr>
          <w:rFonts w:cstheme="minorHAnsi"/>
          <w:i/>
          <w:iCs/>
        </w:rPr>
        <w:t xml:space="preserve"> L</w:t>
      </w:r>
      <w:r w:rsidRPr="00834D0C">
        <w:rPr>
          <w:rFonts w:cstheme="minorHAnsi"/>
        </w:rPr>
        <w:t xml:space="preserve"> 584. </w:t>
      </w:r>
    </w:p>
  </w:footnote>
  <w:footnote w:id="99">
    <w:p w14:paraId="21296081" w14:textId="1C3F521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also </w:t>
      </w:r>
      <w:proofErr w:type="spellStart"/>
      <w:r w:rsidR="0084605E" w:rsidRPr="00834D0C">
        <w:rPr>
          <w:rFonts w:cstheme="minorHAnsi"/>
        </w:rPr>
        <w:t>Pegg</w:t>
      </w:r>
      <w:proofErr w:type="spellEnd"/>
      <w:r w:rsidR="0084605E" w:rsidRPr="00834D0C">
        <w:rPr>
          <w:rFonts w:cstheme="minorHAnsi"/>
        </w:rPr>
        <w:t xml:space="preserve">/Berg (n 3) </w:t>
      </w:r>
      <w:r w:rsidRPr="00834D0C">
        <w:rPr>
          <w:rFonts w:cstheme="minorHAnsi"/>
        </w:rPr>
        <w:t>267-286.</w:t>
      </w:r>
    </w:p>
  </w:footnote>
  <w:footnote w:id="100">
    <w:p w14:paraId="0DDC9E3F" w14:textId="629CE93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Kontorovich</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647E1F" w:rsidRPr="00834D0C">
        <w:rPr>
          <w:rFonts w:cstheme="minorHAnsi"/>
        </w:rPr>
        <w:t>97</w:t>
      </w:r>
      <w:r w:rsidRPr="00834D0C">
        <w:rPr>
          <w:rFonts w:cstheme="minorHAnsi"/>
        </w:rPr>
        <w:t xml:space="preserve">) 624. </w:t>
      </w:r>
      <w:r w:rsidR="009310E7" w:rsidRPr="00834D0C">
        <w:rPr>
          <w:rFonts w:cstheme="minorHAnsi"/>
        </w:rPr>
        <w:t xml:space="preserve">Nina Caspersen, </w:t>
      </w:r>
      <w:r w:rsidR="009310E7" w:rsidRPr="00834D0C">
        <w:rPr>
          <w:rFonts w:cstheme="minorHAnsi"/>
          <w:i/>
          <w:iCs/>
        </w:rPr>
        <w:t xml:space="preserve">Unrecognized States. The Struggle for Sovereignty in the Modern International System </w:t>
      </w:r>
      <w:r w:rsidR="009310E7" w:rsidRPr="00834D0C">
        <w:rPr>
          <w:rFonts w:cstheme="minorHAnsi"/>
        </w:rPr>
        <w:t xml:space="preserve">(Polity Press 2012) </w:t>
      </w:r>
      <w:r w:rsidRPr="00834D0C">
        <w:rPr>
          <w:rFonts w:cstheme="minorHAnsi"/>
        </w:rPr>
        <w:t>56.</w:t>
      </w:r>
    </w:p>
  </w:footnote>
  <w:footnote w:id="101">
    <w:p w14:paraId="63AF7D2C" w14:textId="0D47BAC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47E1F" w:rsidRPr="00834D0C">
        <w:rPr>
          <w:rFonts w:cstheme="minorHAnsi"/>
        </w:rPr>
        <w:t>Kontorovich</w:t>
      </w:r>
      <w:proofErr w:type="spellEnd"/>
      <w:r w:rsidR="00647E1F" w:rsidRPr="00834D0C">
        <w:rPr>
          <w:rFonts w:cstheme="minorHAnsi"/>
        </w:rPr>
        <w:t xml:space="preserve"> (n 97) </w:t>
      </w:r>
      <w:r w:rsidRPr="00834D0C">
        <w:rPr>
          <w:rFonts w:cstheme="minorHAnsi"/>
        </w:rPr>
        <w:t xml:space="preserve">624; </w:t>
      </w:r>
      <w:r w:rsidR="00647E1F" w:rsidRPr="00834D0C">
        <w:rPr>
          <w:rFonts w:cstheme="minorHAnsi"/>
        </w:rPr>
        <w:t xml:space="preserve">Jim Nichol, ‘Armenia, Azerbaijan, and Georgia: Political Developments and Implications for U.S. Interests’, </w:t>
      </w:r>
      <w:r w:rsidR="00647E1F" w:rsidRPr="00834D0C">
        <w:rPr>
          <w:rFonts w:cstheme="minorHAnsi"/>
          <w:i/>
          <w:iCs/>
        </w:rPr>
        <w:t xml:space="preserve">Congressional Research Service, </w:t>
      </w:r>
      <w:r w:rsidR="00647E1F" w:rsidRPr="00834D0C">
        <w:rPr>
          <w:rFonts w:cstheme="minorHAnsi"/>
        </w:rPr>
        <w:t xml:space="preserve">2 April 2014, </w:t>
      </w:r>
      <w:r w:rsidRPr="00834D0C">
        <w:rPr>
          <w:rFonts w:cstheme="minorHAnsi"/>
        </w:rPr>
        <w:t>65.</w:t>
      </w:r>
    </w:p>
  </w:footnote>
  <w:footnote w:id="102">
    <w:p w14:paraId="5E61FA38" w14:textId="1E67369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Cory Welt</w:t>
      </w:r>
      <w:r w:rsidR="00647E1F" w:rsidRPr="00834D0C">
        <w:rPr>
          <w:rFonts w:cstheme="minorHAnsi"/>
        </w:rPr>
        <w:t xml:space="preserve"> and </w:t>
      </w:r>
      <w:r w:rsidRPr="00834D0C">
        <w:rPr>
          <w:rFonts w:cstheme="minorHAnsi"/>
        </w:rPr>
        <w:t xml:space="preserve">Andrew Bowen, </w:t>
      </w:r>
      <w:r w:rsidRPr="00834D0C">
        <w:rPr>
          <w:rFonts w:cstheme="minorHAnsi"/>
          <w:i/>
          <w:iCs/>
        </w:rPr>
        <w:t>Azerbaijan and Armenia: The Nagorno-Karabakh Conflict</w:t>
      </w:r>
      <w:r w:rsidRPr="00834D0C">
        <w:rPr>
          <w:rFonts w:cstheme="minorHAnsi"/>
        </w:rPr>
        <w:t>, Congressional Research Service, 7 January 2021, R4665, 20.</w:t>
      </w:r>
    </w:p>
  </w:footnote>
  <w:footnote w:id="103">
    <w:p w14:paraId="0EE373BC" w14:textId="01A92DF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47E1F" w:rsidRPr="00834D0C">
        <w:rPr>
          <w:rFonts w:cstheme="minorHAnsi"/>
        </w:rPr>
        <w:t>Kontorovich</w:t>
      </w:r>
      <w:proofErr w:type="spellEnd"/>
      <w:r w:rsidR="00647E1F" w:rsidRPr="00834D0C">
        <w:rPr>
          <w:rFonts w:cstheme="minorHAnsi"/>
        </w:rPr>
        <w:t xml:space="preserve"> (n 97) </w:t>
      </w:r>
      <w:r w:rsidRPr="00834D0C">
        <w:rPr>
          <w:rFonts w:cstheme="minorHAnsi"/>
        </w:rPr>
        <w:t xml:space="preserve">584. </w:t>
      </w:r>
    </w:p>
  </w:footnote>
  <w:footnote w:id="104">
    <w:p w14:paraId="46DB9EAE" w14:textId="74C479F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84605E" w:rsidRPr="00834D0C">
        <w:rPr>
          <w:rFonts w:cstheme="minorHAnsi"/>
        </w:rPr>
        <w:t>Pegg</w:t>
      </w:r>
      <w:proofErr w:type="spellEnd"/>
      <w:r w:rsidR="0084605E" w:rsidRPr="00834D0C">
        <w:rPr>
          <w:rFonts w:cstheme="minorHAnsi"/>
        </w:rPr>
        <w:t xml:space="preserve">/Berg (n 3) </w:t>
      </w:r>
      <w:r w:rsidRPr="00834D0C">
        <w:rPr>
          <w:rFonts w:cstheme="minorHAnsi"/>
        </w:rPr>
        <w:t>276-277.</w:t>
      </w:r>
    </w:p>
  </w:footnote>
  <w:footnote w:id="105">
    <w:p w14:paraId="72635991" w14:textId="00A5EBC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84605E" w:rsidRPr="00834D0C">
        <w:rPr>
          <w:rFonts w:cstheme="minorHAnsi"/>
        </w:rPr>
        <w:t>Pegg</w:t>
      </w:r>
      <w:proofErr w:type="spellEnd"/>
      <w:r w:rsidR="0084605E" w:rsidRPr="00834D0C">
        <w:rPr>
          <w:rFonts w:cstheme="minorHAnsi"/>
        </w:rPr>
        <w:t xml:space="preserve">/Berg (n 3) </w:t>
      </w:r>
      <w:r w:rsidRPr="00834D0C">
        <w:rPr>
          <w:rFonts w:cstheme="minorHAnsi"/>
        </w:rPr>
        <w:t>276-277.</w:t>
      </w:r>
    </w:p>
  </w:footnote>
  <w:footnote w:id="106">
    <w:p w14:paraId="68700024" w14:textId="3242BF8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84605E" w:rsidRPr="00834D0C">
        <w:rPr>
          <w:rFonts w:cstheme="minorHAnsi"/>
        </w:rPr>
        <w:t>Pegg</w:t>
      </w:r>
      <w:proofErr w:type="spellEnd"/>
      <w:r w:rsidR="0084605E" w:rsidRPr="00834D0C">
        <w:rPr>
          <w:rFonts w:cstheme="minorHAnsi"/>
        </w:rPr>
        <w:t xml:space="preserve">/Berg (n 3) </w:t>
      </w:r>
      <w:r w:rsidRPr="00834D0C">
        <w:rPr>
          <w:rFonts w:cstheme="minorHAnsi"/>
        </w:rPr>
        <w:t>280.</w:t>
      </w:r>
    </w:p>
  </w:footnote>
  <w:footnote w:id="107">
    <w:p w14:paraId="68625B82" w14:textId="7A8BCBA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47E1F" w:rsidRPr="00834D0C">
        <w:rPr>
          <w:rFonts w:cstheme="minorHAnsi"/>
        </w:rPr>
        <w:t xml:space="preserve">Anthony Murphy and Vlad </w:t>
      </w:r>
      <w:proofErr w:type="spellStart"/>
      <w:r w:rsidR="00647E1F" w:rsidRPr="00834D0C">
        <w:rPr>
          <w:rFonts w:cstheme="minorHAnsi"/>
        </w:rPr>
        <w:t>Stancescu</w:t>
      </w:r>
      <w:proofErr w:type="spellEnd"/>
      <w:r w:rsidR="00647E1F" w:rsidRPr="00834D0C">
        <w:rPr>
          <w:rFonts w:cstheme="minorHAnsi"/>
        </w:rPr>
        <w:t xml:space="preserve">, ‘State Formation and Recognition in International Law’ (2017) 7(1) </w:t>
      </w:r>
      <w:r w:rsidRPr="00834D0C">
        <w:rPr>
          <w:rFonts w:cstheme="minorHAnsi"/>
          <w:i/>
          <w:iCs/>
        </w:rPr>
        <w:t>Juridical Tribune</w:t>
      </w:r>
      <w:r w:rsidRPr="00834D0C">
        <w:rPr>
          <w:rFonts w:cstheme="minorHAnsi"/>
        </w:rPr>
        <w:t xml:space="preserve"> 6</w:t>
      </w:r>
      <w:r w:rsidR="00647E1F" w:rsidRPr="00834D0C">
        <w:rPr>
          <w:rFonts w:cstheme="minorHAnsi"/>
        </w:rPr>
        <w:t xml:space="preserve">, </w:t>
      </w:r>
      <w:r w:rsidRPr="00834D0C">
        <w:rPr>
          <w:rFonts w:cstheme="minorHAnsi"/>
        </w:rPr>
        <w:t>7</w:t>
      </w:r>
      <w:r w:rsidR="00647E1F" w:rsidRPr="00834D0C">
        <w:rPr>
          <w:rFonts w:cstheme="minorHAnsi"/>
        </w:rPr>
        <w:t>;</w:t>
      </w:r>
      <w:r w:rsidRPr="00834D0C">
        <w:rPr>
          <w:rFonts w:cstheme="minorHAnsi"/>
        </w:rPr>
        <w:t xml:space="preserve"> </w:t>
      </w:r>
      <w:proofErr w:type="spellStart"/>
      <w:r w:rsidR="00530084" w:rsidRPr="00834D0C">
        <w:rPr>
          <w:rFonts w:cstheme="minorHAnsi"/>
          <w:lang w:val="fr-FR"/>
        </w:rPr>
        <w:t>Doli</w:t>
      </w:r>
      <w:proofErr w:type="spellEnd"/>
      <w:r w:rsidR="00530084" w:rsidRPr="00834D0C">
        <w:rPr>
          <w:rFonts w:cstheme="minorHAnsi"/>
          <w:lang w:val="fr-FR"/>
        </w:rPr>
        <w:t xml:space="preserve"> (n 50) </w:t>
      </w:r>
      <w:r w:rsidRPr="00834D0C">
        <w:rPr>
          <w:rFonts w:cstheme="minorHAnsi"/>
        </w:rPr>
        <w:t xml:space="preserve">108; </w:t>
      </w:r>
      <w:r w:rsidR="00DC2676" w:rsidRPr="00834D0C">
        <w:t>Alan James, ‘The Practice of Sovereign Statehood in Contemporary International Society’ (1999) XLVII</w:t>
      </w:r>
      <w:r w:rsidRPr="00834D0C">
        <w:rPr>
          <w:rFonts w:cstheme="minorHAnsi"/>
        </w:rPr>
        <w:t xml:space="preserve"> </w:t>
      </w:r>
      <w:r w:rsidRPr="00834D0C">
        <w:rPr>
          <w:rFonts w:cstheme="minorHAnsi"/>
          <w:i/>
          <w:iCs/>
        </w:rPr>
        <w:t>Pol</w:t>
      </w:r>
      <w:r w:rsidR="00DC2676" w:rsidRPr="00834D0C">
        <w:rPr>
          <w:rFonts w:cstheme="minorHAnsi"/>
          <w:i/>
          <w:iCs/>
        </w:rPr>
        <w:t xml:space="preserve"> </w:t>
      </w:r>
      <w:r w:rsidRPr="00834D0C">
        <w:rPr>
          <w:rFonts w:cstheme="minorHAnsi"/>
          <w:i/>
          <w:iCs/>
        </w:rPr>
        <w:t>Stud</w:t>
      </w:r>
      <w:r w:rsidRPr="00834D0C">
        <w:rPr>
          <w:rFonts w:cstheme="minorHAnsi"/>
        </w:rPr>
        <w:t xml:space="preserve"> 457</w:t>
      </w:r>
      <w:r w:rsidR="00DC2676" w:rsidRPr="00834D0C">
        <w:rPr>
          <w:rFonts w:cstheme="minorHAnsi"/>
        </w:rPr>
        <w:t xml:space="preserve">, </w:t>
      </w:r>
      <w:r w:rsidRPr="00834D0C">
        <w:rPr>
          <w:rFonts w:cstheme="minorHAnsi"/>
        </w:rPr>
        <w:t>466.</w:t>
      </w:r>
    </w:p>
  </w:footnote>
  <w:footnote w:id="108">
    <w:p w14:paraId="437D44B0" w14:textId="29AF6A70" w:rsidR="002B032D" w:rsidRPr="00834D0C" w:rsidRDefault="002B032D" w:rsidP="00163B41">
      <w:pPr>
        <w:spacing w:after="0" w:line="240" w:lineRule="auto"/>
        <w:jc w:val="both"/>
        <w:rPr>
          <w:rFonts w:cstheme="minorHAnsi"/>
          <w:sz w:val="20"/>
          <w:szCs w:val="20"/>
        </w:rPr>
      </w:pPr>
      <w:r w:rsidRPr="00834D0C">
        <w:rPr>
          <w:rStyle w:val="FootnoteReference"/>
          <w:rFonts w:cstheme="minorHAnsi"/>
          <w:sz w:val="20"/>
          <w:szCs w:val="20"/>
        </w:rPr>
        <w:footnoteRef/>
      </w:r>
      <w:r w:rsidRPr="00834D0C">
        <w:rPr>
          <w:rFonts w:cstheme="minorHAnsi"/>
          <w:sz w:val="20"/>
          <w:szCs w:val="20"/>
        </w:rPr>
        <w:t xml:space="preserve"> See Opinion 1, Annex to </w:t>
      </w:r>
      <w:r w:rsidR="00647E1F" w:rsidRPr="00834D0C">
        <w:rPr>
          <w:rFonts w:cstheme="minorHAnsi"/>
          <w:sz w:val="20"/>
          <w:szCs w:val="20"/>
        </w:rPr>
        <w:t xml:space="preserve">Alain Pellet, ‘The Opinions of the </w:t>
      </w:r>
      <w:proofErr w:type="spellStart"/>
      <w:r w:rsidR="00647E1F" w:rsidRPr="00834D0C">
        <w:rPr>
          <w:rFonts w:cstheme="minorHAnsi"/>
          <w:sz w:val="20"/>
          <w:szCs w:val="20"/>
        </w:rPr>
        <w:t>Badinter</w:t>
      </w:r>
      <w:proofErr w:type="spellEnd"/>
      <w:r w:rsidR="00647E1F" w:rsidRPr="00834D0C">
        <w:rPr>
          <w:rFonts w:cstheme="minorHAnsi"/>
          <w:sz w:val="20"/>
          <w:szCs w:val="20"/>
        </w:rPr>
        <w:t xml:space="preserve"> Arbitration Committee. A Second Breath for the Self-Determination of Peoples’ (1992) 63 </w:t>
      </w:r>
      <w:r w:rsidRPr="00834D0C">
        <w:rPr>
          <w:rFonts w:cstheme="minorHAnsi"/>
          <w:i/>
          <w:iCs/>
          <w:sz w:val="20"/>
          <w:szCs w:val="20"/>
        </w:rPr>
        <w:t xml:space="preserve">EJIL </w:t>
      </w:r>
      <w:r w:rsidRPr="00834D0C">
        <w:rPr>
          <w:rFonts w:cstheme="minorHAnsi"/>
          <w:sz w:val="20"/>
          <w:szCs w:val="20"/>
        </w:rPr>
        <w:t>178</w:t>
      </w:r>
      <w:r w:rsidR="00647E1F" w:rsidRPr="00834D0C">
        <w:rPr>
          <w:rFonts w:cstheme="minorHAnsi"/>
          <w:sz w:val="20"/>
          <w:szCs w:val="20"/>
        </w:rPr>
        <w:t>,</w:t>
      </w:r>
      <w:r w:rsidRPr="00834D0C">
        <w:rPr>
          <w:rFonts w:cstheme="minorHAnsi"/>
          <w:sz w:val="20"/>
          <w:szCs w:val="20"/>
        </w:rPr>
        <w:t xml:space="preserve"> 182; Montevideo Convention (</w:t>
      </w:r>
      <w:r w:rsidR="0084605E" w:rsidRPr="00834D0C">
        <w:rPr>
          <w:rFonts w:cstheme="minorHAnsi"/>
          <w:sz w:val="20"/>
          <w:szCs w:val="20"/>
        </w:rPr>
        <w:t>n</w:t>
      </w:r>
      <w:r w:rsidRPr="00834D0C">
        <w:rPr>
          <w:rFonts w:cstheme="minorHAnsi"/>
          <w:sz w:val="20"/>
          <w:szCs w:val="20"/>
        </w:rPr>
        <w:t xml:space="preserve"> </w:t>
      </w:r>
      <w:r w:rsidR="00647E1F" w:rsidRPr="00834D0C">
        <w:rPr>
          <w:rFonts w:cstheme="minorHAnsi"/>
          <w:sz w:val="20"/>
          <w:szCs w:val="20"/>
        </w:rPr>
        <w:t>13</w:t>
      </w:r>
      <w:r w:rsidRPr="00834D0C">
        <w:rPr>
          <w:rFonts w:cstheme="minorHAnsi"/>
          <w:sz w:val="20"/>
          <w:szCs w:val="20"/>
        </w:rPr>
        <w:t xml:space="preserve">) Art 3. </w:t>
      </w:r>
    </w:p>
  </w:footnote>
  <w:footnote w:id="109">
    <w:p w14:paraId="0BE8E585" w14:textId="79ED714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The debate declaratory v constitutive theory is reproduced in a variety of academic papers. </w:t>
      </w:r>
      <w:proofErr w:type="spellStart"/>
      <w:r w:rsidRPr="00834D0C">
        <w:rPr>
          <w:rFonts w:cstheme="minorHAnsi"/>
          <w:lang w:val="fr-FR"/>
        </w:rPr>
        <w:t>See</w:t>
      </w:r>
      <w:proofErr w:type="spellEnd"/>
      <w:r w:rsidRPr="00834D0C">
        <w:rPr>
          <w:rFonts w:cstheme="minorHAnsi"/>
          <w:lang w:val="fr-FR"/>
        </w:rPr>
        <w:t xml:space="preserve">, e.g., </w:t>
      </w:r>
      <w:proofErr w:type="spellStart"/>
      <w:r w:rsidRPr="00834D0C">
        <w:rPr>
          <w:rFonts w:cstheme="minorHAnsi"/>
          <w:lang w:val="fr-FR"/>
        </w:rPr>
        <w:t>Fikfak</w:t>
      </w:r>
      <w:proofErr w:type="spellEnd"/>
      <w:r w:rsidR="00530084" w:rsidRPr="00834D0C">
        <w:rPr>
          <w:rFonts w:cstheme="minorHAnsi"/>
          <w:lang w:val="fr-FR"/>
        </w:rPr>
        <w:t xml:space="preserve"> </w:t>
      </w:r>
      <w:r w:rsidRPr="00834D0C">
        <w:rPr>
          <w:rFonts w:cstheme="minorHAnsi"/>
          <w:lang w:val="fr-FR"/>
        </w:rPr>
        <w:t>(</w:t>
      </w:r>
      <w:r w:rsidR="0084605E" w:rsidRPr="00834D0C">
        <w:rPr>
          <w:rFonts w:cstheme="minorHAnsi"/>
          <w:lang w:val="fr-FR"/>
        </w:rPr>
        <w:t>n</w:t>
      </w:r>
      <w:r w:rsidRPr="00834D0C">
        <w:rPr>
          <w:rFonts w:cstheme="minorHAnsi"/>
          <w:lang w:val="fr-FR"/>
        </w:rPr>
        <w:t xml:space="preserve"> </w:t>
      </w:r>
      <w:r w:rsidR="00530084" w:rsidRPr="00834D0C">
        <w:rPr>
          <w:rFonts w:cstheme="minorHAnsi"/>
          <w:lang w:val="fr-FR"/>
        </w:rPr>
        <w:t>49</w:t>
      </w:r>
      <w:r w:rsidRPr="00834D0C">
        <w:rPr>
          <w:rFonts w:cstheme="minorHAnsi"/>
          <w:lang w:val="fr-FR"/>
        </w:rPr>
        <w:t xml:space="preserve">) 108-109; Mehdi </w:t>
      </w:r>
      <w:proofErr w:type="spellStart"/>
      <w:r w:rsidRPr="00834D0C">
        <w:rPr>
          <w:rFonts w:cstheme="minorHAnsi"/>
          <w:lang w:val="fr-FR"/>
        </w:rPr>
        <w:t>Belkahla</w:t>
      </w:r>
      <w:proofErr w:type="spellEnd"/>
      <w:r w:rsidRPr="00834D0C">
        <w:rPr>
          <w:rFonts w:cstheme="minorHAnsi"/>
          <w:lang w:val="fr-FR"/>
        </w:rPr>
        <w:t xml:space="preserve">, </w:t>
      </w:r>
      <w:r w:rsidR="00453543" w:rsidRPr="00834D0C">
        <w:rPr>
          <w:rFonts w:cstheme="minorHAnsi"/>
          <w:lang w:val="fr-FR"/>
        </w:rPr>
        <w:t>‘</w:t>
      </w:r>
      <w:r w:rsidRPr="00834D0C">
        <w:rPr>
          <w:rFonts w:cstheme="minorHAnsi"/>
          <w:lang w:val="fr-FR"/>
        </w:rPr>
        <w:t>La qualité étatique accordée par le juge interne: Une reconnaissance procédurale de l’Etat?</w:t>
      </w:r>
      <w:r w:rsidR="00453543" w:rsidRPr="00834D0C">
        <w:rPr>
          <w:rFonts w:cstheme="minorHAnsi"/>
          <w:lang w:val="fr-FR"/>
        </w:rPr>
        <w:t xml:space="preserve">’ in </w:t>
      </w:r>
      <w:r w:rsidR="00453543" w:rsidRPr="00834D0C">
        <w:rPr>
          <w:rFonts w:cstheme="minorHAnsi"/>
        </w:rPr>
        <w:t xml:space="preserve">Hélène Ruiz </w:t>
      </w:r>
      <w:proofErr w:type="spellStart"/>
      <w:r w:rsidR="00453543" w:rsidRPr="00834D0C">
        <w:rPr>
          <w:rFonts w:cstheme="minorHAnsi"/>
        </w:rPr>
        <w:t>Fabri</w:t>
      </w:r>
      <w:proofErr w:type="spellEnd"/>
      <w:r w:rsidR="00453543" w:rsidRPr="00834D0C">
        <w:rPr>
          <w:rFonts w:cstheme="minorHAnsi"/>
        </w:rPr>
        <w:t xml:space="preserve"> (ed), </w:t>
      </w:r>
      <w:r w:rsidR="00453543" w:rsidRPr="00834D0C">
        <w:rPr>
          <w:rFonts w:cstheme="minorHAnsi"/>
          <w:i/>
          <w:iCs/>
        </w:rPr>
        <w:t xml:space="preserve">International Law and Litigation: A Look into Procedure </w:t>
      </w:r>
      <w:r w:rsidR="00453543" w:rsidRPr="00834D0C">
        <w:rPr>
          <w:rFonts w:cstheme="minorHAnsi"/>
        </w:rPr>
        <w:t>(Nomos 2019)</w:t>
      </w:r>
      <w:r w:rsidRPr="00834D0C">
        <w:rPr>
          <w:rFonts w:cstheme="minorHAnsi"/>
          <w:lang w:val="fr-FR"/>
        </w:rPr>
        <w:t xml:space="preserve"> 233</w:t>
      </w:r>
      <w:r w:rsidR="00453543" w:rsidRPr="00834D0C">
        <w:rPr>
          <w:rFonts w:cstheme="minorHAnsi"/>
          <w:lang w:val="fr-FR"/>
        </w:rPr>
        <w:t xml:space="preserve">, </w:t>
      </w:r>
      <w:r w:rsidRPr="00834D0C">
        <w:rPr>
          <w:rFonts w:cstheme="minorHAnsi"/>
        </w:rPr>
        <w:t>240-242.</w:t>
      </w:r>
    </w:p>
  </w:footnote>
  <w:footnote w:id="110">
    <w:p w14:paraId="61B2406F" w14:textId="1C7D023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Armen</w:t>
      </w:r>
      <w:r w:rsidRPr="00834D0C">
        <w:rPr>
          <w:rFonts w:cstheme="minorHAnsi"/>
          <w:i/>
          <w:iCs/>
        </w:rPr>
        <w:t xml:space="preserve"> </w:t>
      </w:r>
      <w:proofErr w:type="spellStart"/>
      <w:r w:rsidR="00453543" w:rsidRPr="00834D0C">
        <w:rPr>
          <w:rFonts w:cstheme="minorHAnsi"/>
        </w:rPr>
        <w:t>Tamzarian</w:t>
      </w:r>
      <w:proofErr w:type="spellEnd"/>
      <w:r w:rsidR="00453543" w:rsidRPr="00834D0C">
        <w:rPr>
          <w:rFonts w:cstheme="minorHAnsi"/>
        </w:rPr>
        <w:t xml:space="preserve">, ‘Nagorno-Karabagh’s Right to Political Independence under International Law: An Application of the Principle of Self-Determination’ (1994) 24 </w:t>
      </w:r>
      <w:r w:rsidRPr="00834D0C">
        <w:rPr>
          <w:rFonts w:cstheme="minorHAnsi"/>
          <w:i/>
          <w:iCs/>
        </w:rPr>
        <w:t xml:space="preserve">Southwest </w:t>
      </w:r>
      <w:proofErr w:type="spellStart"/>
      <w:r w:rsidRPr="00834D0C">
        <w:rPr>
          <w:rFonts w:cstheme="minorHAnsi"/>
          <w:i/>
          <w:iCs/>
        </w:rPr>
        <w:t>Univ</w:t>
      </w:r>
      <w:proofErr w:type="spellEnd"/>
      <w:r w:rsidRPr="00834D0C">
        <w:rPr>
          <w:rFonts w:cstheme="minorHAnsi"/>
          <w:i/>
          <w:iCs/>
        </w:rPr>
        <w:t xml:space="preserve"> Law Rev</w:t>
      </w:r>
      <w:r w:rsidRPr="00834D0C">
        <w:rPr>
          <w:rFonts w:cstheme="minorHAnsi"/>
        </w:rPr>
        <w:t xml:space="preserve"> 183</w:t>
      </w:r>
      <w:r w:rsidR="00453543" w:rsidRPr="00834D0C">
        <w:rPr>
          <w:rFonts w:cstheme="minorHAnsi"/>
        </w:rPr>
        <w:t xml:space="preserve">, </w:t>
      </w:r>
      <w:r w:rsidRPr="00834D0C">
        <w:rPr>
          <w:rFonts w:cstheme="minorHAnsi"/>
        </w:rPr>
        <w:t xml:space="preserve">201. See also </w:t>
      </w:r>
      <w:proofErr w:type="spellStart"/>
      <w:r w:rsidRPr="00834D0C">
        <w:rPr>
          <w:rFonts w:cstheme="minorHAnsi"/>
        </w:rPr>
        <w:t>Sterio</w:t>
      </w:r>
      <w:proofErr w:type="spellEnd"/>
      <w:r w:rsidRPr="00834D0C">
        <w:rPr>
          <w:rFonts w:cstheme="minorHAnsi"/>
        </w:rPr>
        <w:t xml:space="preserve"> (</w:t>
      </w:r>
      <w:r w:rsidR="0084605E" w:rsidRPr="00834D0C">
        <w:rPr>
          <w:rFonts w:cstheme="minorHAnsi"/>
        </w:rPr>
        <w:t>n</w:t>
      </w:r>
      <w:r w:rsidR="006D71D0" w:rsidRPr="00834D0C">
        <w:rPr>
          <w:rFonts w:cstheme="minorHAnsi"/>
        </w:rPr>
        <w:t xml:space="preserve"> 18</w:t>
      </w:r>
      <w:r w:rsidRPr="00834D0C">
        <w:rPr>
          <w:rFonts w:cstheme="minorHAnsi"/>
        </w:rPr>
        <w:t>) 216.</w:t>
      </w:r>
    </w:p>
  </w:footnote>
  <w:footnote w:id="111">
    <w:p w14:paraId="711A69E1" w14:textId="5FB91636" w:rsidR="002B032D" w:rsidRPr="00834D0C" w:rsidRDefault="002B032D" w:rsidP="00163B41">
      <w:pPr>
        <w:pStyle w:val="FootnoteText"/>
        <w:jc w:val="both"/>
        <w:rPr>
          <w:rFonts w:cstheme="minorHAnsi"/>
          <w:lang w:val="fr-FR"/>
        </w:rPr>
      </w:pPr>
      <w:r w:rsidRPr="00834D0C">
        <w:rPr>
          <w:rStyle w:val="FootnoteReference"/>
          <w:rFonts w:cstheme="minorHAnsi"/>
        </w:rPr>
        <w:footnoteRef/>
      </w:r>
      <w:r w:rsidRPr="00834D0C">
        <w:rPr>
          <w:rFonts w:cstheme="minorHAnsi"/>
          <w:lang w:val="fr-FR"/>
        </w:rPr>
        <w:t xml:space="preserve"> </w:t>
      </w:r>
      <w:r w:rsidR="00356812" w:rsidRPr="00834D0C">
        <w:rPr>
          <w:rFonts w:cstheme="minorHAnsi"/>
          <w:lang w:val="de-DE"/>
        </w:rPr>
        <w:t xml:space="preserve">Kälin </w:t>
      </w:r>
      <w:r w:rsidR="00356812" w:rsidRPr="002F5312">
        <w:rPr>
          <w:rFonts w:cstheme="minorHAnsi"/>
          <w:i/>
          <w:iCs/>
          <w:lang w:val="de-DE"/>
        </w:rPr>
        <w:t>et al</w:t>
      </w:r>
      <w:r w:rsidR="00356812" w:rsidRPr="00834D0C">
        <w:rPr>
          <w:rFonts w:cstheme="minorHAnsi"/>
          <w:lang w:val="de-DE"/>
        </w:rPr>
        <w:t xml:space="preserve"> (n 35) </w:t>
      </w:r>
      <w:r w:rsidRPr="00834D0C">
        <w:rPr>
          <w:rFonts w:cstheme="minorHAnsi"/>
          <w:lang w:val="fr-FR"/>
        </w:rPr>
        <w:t>154.</w:t>
      </w:r>
    </w:p>
  </w:footnote>
  <w:footnote w:id="112">
    <w:p w14:paraId="1B0C6D72" w14:textId="3805D32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DC2676" w:rsidRPr="00834D0C">
        <w:rPr>
          <w:rFonts w:cstheme="minorHAnsi"/>
        </w:rPr>
        <w:t>Jolicoeur</w:t>
      </w:r>
      <w:proofErr w:type="spellEnd"/>
      <w:r w:rsidR="00DC2676" w:rsidRPr="00834D0C">
        <w:rPr>
          <w:rFonts w:cstheme="minorHAnsi"/>
        </w:rPr>
        <w:t xml:space="preserve"> (n 50) </w:t>
      </w:r>
      <w:r w:rsidRPr="00834D0C">
        <w:rPr>
          <w:rFonts w:cstheme="minorHAnsi"/>
        </w:rPr>
        <w:t>86.</w:t>
      </w:r>
    </w:p>
  </w:footnote>
  <w:footnote w:id="113">
    <w:p w14:paraId="201FB776" w14:textId="3DB45BF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The Netherlands, District Court The Hague, </w:t>
      </w:r>
      <w:r w:rsidRPr="00834D0C">
        <w:rPr>
          <w:rFonts w:cstheme="minorHAnsi"/>
          <w:i/>
          <w:iCs/>
        </w:rPr>
        <w:t>Democratic Republic of East Timor et al v State of the Netherlands</w:t>
      </w:r>
      <w:r w:rsidRPr="00834D0C">
        <w:rPr>
          <w:rFonts w:cstheme="minorHAnsi"/>
        </w:rPr>
        <w:t xml:space="preserve"> (1980) ILR 87 (1992) 74 as cited in </w:t>
      </w:r>
      <w:r w:rsidR="00356812" w:rsidRPr="00834D0C">
        <w:rPr>
          <w:rFonts w:cstheme="minorHAnsi"/>
          <w:lang w:val="de-DE"/>
        </w:rPr>
        <w:t xml:space="preserve">Kälin </w:t>
      </w:r>
      <w:r w:rsidR="00356812" w:rsidRPr="002F5312">
        <w:rPr>
          <w:rFonts w:cstheme="minorHAnsi"/>
          <w:i/>
          <w:iCs/>
          <w:lang w:val="de-DE"/>
        </w:rPr>
        <w:t>et al</w:t>
      </w:r>
      <w:r w:rsidR="00356812" w:rsidRPr="00834D0C">
        <w:rPr>
          <w:rFonts w:cstheme="minorHAnsi"/>
          <w:lang w:val="de-DE"/>
        </w:rPr>
        <w:t xml:space="preserve"> (n 35) </w:t>
      </w:r>
      <w:r w:rsidRPr="00834D0C">
        <w:rPr>
          <w:rFonts w:cstheme="minorHAnsi"/>
        </w:rPr>
        <w:t xml:space="preserve">154. See also </w:t>
      </w:r>
      <w:r w:rsidR="009037C8" w:rsidRPr="00834D0C">
        <w:t xml:space="preserve">EU </w:t>
      </w:r>
      <w:r w:rsidR="009037C8" w:rsidRPr="00834D0C">
        <w:rPr>
          <w:rFonts w:cstheme="minorHAnsi"/>
        </w:rPr>
        <w:t xml:space="preserve">(n 20) </w:t>
      </w:r>
      <w:r w:rsidRPr="00834D0C">
        <w:t>129.</w:t>
      </w:r>
    </w:p>
  </w:footnote>
  <w:footnote w:id="114">
    <w:p w14:paraId="3862EF88" w14:textId="69B4215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00530084" w:rsidRPr="00834D0C">
        <w:rPr>
          <w:rFonts w:cstheme="minorHAnsi"/>
          <w:lang w:val="fr-FR"/>
        </w:rPr>
        <w:t>Doli</w:t>
      </w:r>
      <w:proofErr w:type="spellEnd"/>
      <w:r w:rsidR="00530084" w:rsidRPr="00834D0C">
        <w:rPr>
          <w:rFonts w:cstheme="minorHAnsi"/>
          <w:lang w:val="fr-FR"/>
        </w:rPr>
        <w:t xml:space="preserve"> (n 50) </w:t>
      </w:r>
      <w:r w:rsidRPr="00834D0C">
        <w:rPr>
          <w:rFonts w:cstheme="minorHAnsi"/>
        </w:rPr>
        <w:t>108.</w:t>
      </w:r>
    </w:p>
  </w:footnote>
  <w:footnote w:id="115">
    <w:p w14:paraId="4B77A726" w14:textId="0291425B"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00356812" w:rsidRPr="00834D0C">
        <w:rPr>
          <w:rFonts w:cstheme="minorHAnsi"/>
          <w:lang w:val="de-DE"/>
        </w:rPr>
        <w:t xml:space="preserve">Kälin </w:t>
      </w:r>
      <w:r w:rsidR="00356812" w:rsidRPr="002F5312">
        <w:rPr>
          <w:rFonts w:cstheme="minorHAnsi"/>
          <w:i/>
          <w:iCs/>
          <w:lang w:val="de-DE"/>
        </w:rPr>
        <w:t>et al</w:t>
      </w:r>
      <w:r w:rsidR="00356812" w:rsidRPr="00834D0C">
        <w:rPr>
          <w:rFonts w:cstheme="minorHAnsi"/>
          <w:lang w:val="de-DE"/>
        </w:rPr>
        <w:t xml:space="preserve"> (n 35) </w:t>
      </w:r>
      <w:r w:rsidRPr="00834D0C">
        <w:rPr>
          <w:rFonts w:cstheme="minorHAnsi"/>
          <w:lang w:val="de-DE"/>
        </w:rPr>
        <w:t xml:space="preserve">154; </w:t>
      </w:r>
      <w:proofErr w:type="spellStart"/>
      <w:r w:rsidR="006D71D0" w:rsidRPr="00834D0C">
        <w:rPr>
          <w:rFonts w:cstheme="minorHAnsi"/>
        </w:rPr>
        <w:t>Sterio</w:t>
      </w:r>
      <w:proofErr w:type="spellEnd"/>
      <w:r w:rsidR="006D71D0" w:rsidRPr="00834D0C">
        <w:rPr>
          <w:rFonts w:cstheme="minorHAnsi"/>
        </w:rPr>
        <w:t xml:space="preserve"> (n 18)</w:t>
      </w:r>
      <w:r w:rsidR="007D0E05" w:rsidRPr="00834D0C">
        <w:rPr>
          <w:rFonts w:cstheme="minorHAnsi"/>
        </w:rPr>
        <w:t xml:space="preserve"> </w:t>
      </w:r>
      <w:r w:rsidRPr="00834D0C">
        <w:rPr>
          <w:rFonts w:cstheme="minorHAnsi"/>
          <w:lang w:val="de-DE"/>
        </w:rPr>
        <w:t>230.</w:t>
      </w:r>
    </w:p>
  </w:footnote>
  <w:footnote w:id="116">
    <w:p w14:paraId="0356DCEE" w14:textId="3E500A12"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proofErr w:type="spellStart"/>
      <w:r w:rsidR="00720A17" w:rsidRPr="00834D0C">
        <w:rPr>
          <w:rFonts w:cstheme="minorHAnsi"/>
        </w:rPr>
        <w:t>Radan</w:t>
      </w:r>
      <w:proofErr w:type="spellEnd"/>
      <w:r w:rsidR="00720A17" w:rsidRPr="00834D0C">
        <w:rPr>
          <w:rFonts w:cstheme="minorHAnsi"/>
        </w:rPr>
        <w:t xml:space="preserve"> (n 16) </w:t>
      </w:r>
      <w:r w:rsidRPr="00834D0C">
        <w:rPr>
          <w:rFonts w:cstheme="minorHAnsi"/>
          <w:lang w:val="de-DE"/>
        </w:rPr>
        <w:t>20.</w:t>
      </w:r>
    </w:p>
  </w:footnote>
  <w:footnote w:id="117">
    <w:p w14:paraId="4356FFCC" w14:textId="306D72AD"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00356812" w:rsidRPr="00834D0C">
        <w:rPr>
          <w:rFonts w:cstheme="minorHAnsi"/>
          <w:lang w:val="de-DE"/>
        </w:rPr>
        <w:t xml:space="preserve">Kälin </w:t>
      </w:r>
      <w:r w:rsidR="00356812" w:rsidRPr="002F5312">
        <w:rPr>
          <w:rFonts w:cstheme="minorHAnsi"/>
          <w:i/>
          <w:iCs/>
          <w:lang w:val="de-DE"/>
        </w:rPr>
        <w:t>et al</w:t>
      </w:r>
      <w:r w:rsidR="00356812" w:rsidRPr="00834D0C">
        <w:rPr>
          <w:rFonts w:cstheme="minorHAnsi"/>
          <w:lang w:val="de-DE"/>
        </w:rPr>
        <w:t xml:space="preserve"> (n 35) </w:t>
      </w:r>
      <w:r w:rsidRPr="00834D0C">
        <w:rPr>
          <w:rFonts w:cstheme="minorHAnsi"/>
          <w:lang w:val="de-DE"/>
        </w:rPr>
        <w:t>154.</w:t>
      </w:r>
    </w:p>
  </w:footnote>
  <w:footnote w:id="118">
    <w:p w14:paraId="45D05631" w14:textId="294EC06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‘Countries that </w:t>
      </w:r>
      <w:r w:rsidR="00647E1F" w:rsidRPr="00834D0C">
        <w:rPr>
          <w:rFonts w:cstheme="minorHAnsi"/>
        </w:rPr>
        <w:t>R</w:t>
      </w:r>
      <w:r w:rsidRPr="00834D0C">
        <w:rPr>
          <w:rFonts w:cstheme="minorHAnsi"/>
        </w:rPr>
        <w:t xml:space="preserve">ecognized South Ossetia’s and Abkhazia’s Independence’, </w:t>
      </w:r>
      <w:r w:rsidRPr="00834D0C">
        <w:rPr>
          <w:rFonts w:cstheme="minorHAnsi"/>
          <w:i/>
          <w:iCs/>
        </w:rPr>
        <w:t xml:space="preserve">TASS, </w:t>
      </w:r>
      <w:r w:rsidRPr="00834D0C">
        <w:rPr>
          <w:rFonts w:cstheme="minorHAnsi"/>
        </w:rPr>
        <w:t>29 May 2018.</w:t>
      </w:r>
      <w:r w:rsidRPr="00834D0C">
        <w:rPr>
          <w:rStyle w:val="Hyperlink"/>
          <w:rFonts w:cstheme="minorHAnsi"/>
          <w:color w:val="auto"/>
        </w:rPr>
        <w:t xml:space="preserve"> </w:t>
      </w:r>
    </w:p>
  </w:footnote>
  <w:footnote w:id="119">
    <w:p w14:paraId="5406EE38" w14:textId="1BF3917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43ED5" w:rsidRPr="00834D0C">
        <w:rPr>
          <w:rFonts w:cstheme="minorHAnsi"/>
        </w:rPr>
        <w:t xml:space="preserve">Lauri </w:t>
      </w:r>
      <w:proofErr w:type="spellStart"/>
      <w:r w:rsidR="00643ED5" w:rsidRPr="00834D0C">
        <w:rPr>
          <w:rFonts w:cstheme="minorHAnsi"/>
        </w:rPr>
        <w:t>Mälksoo</w:t>
      </w:r>
      <w:proofErr w:type="spellEnd"/>
      <w:r w:rsidR="00643ED5" w:rsidRPr="00834D0C">
        <w:rPr>
          <w:rFonts w:cstheme="minorHAnsi"/>
        </w:rPr>
        <w:t xml:space="preserve">, ‘Post-Soviet Eurasia, </w:t>
      </w:r>
      <w:proofErr w:type="spellStart"/>
      <w:r w:rsidR="00643ED5" w:rsidRPr="00834D0C">
        <w:rPr>
          <w:rFonts w:cstheme="minorHAnsi"/>
          <w:i/>
          <w:iCs/>
        </w:rPr>
        <w:t>Uti</w:t>
      </w:r>
      <w:proofErr w:type="spellEnd"/>
      <w:r w:rsidR="00643ED5" w:rsidRPr="00834D0C">
        <w:rPr>
          <w:rFonts w:cstheme="minorHAnsi"/>
          <w:i/>
          <w:iCs/>
        </w:rPr>
        <w:t xml:space="preserve"> </w:t>
      </w:r>
      <w:proofErr w:type="spellStart"/>
      <w:r w:rsidR="00643ED5" w:rsidRPr="00834D0C">
        <w:rPr>
          <w:rFonts w:cstheme="minorHAnsi"/>
          <w:i/>
          <w:iCs/>
        </w:rPr>
        <w:t>Possidetis</w:t>
      </w:r>
      <w:proofErr w:type="spellEnd"/>
      <w:r w:rsidR="00643ED5" w:rsidRPr="00834D0C">
        <w:rPr>
          <w:rFonts w:cstheme="minorHAnsi"/>
          <w:i/>
          <w:iCs/>
        </w:rPr>
        <w:t xml:space="preserve"> </w:t>
      </w:r>
      <w:r w:rsidR="00643ED5" w:rsidRPr="00834D0C">
        <w:rPr>
          <w:rFonts w:cstheme="minorHAnsi"/>
        </w:rPr>
        <w:t xml:space="preserve">and the Clash between Universal and Russian-Led Regional Understandings of International Law’ (2021) 53 </w:t>
      </w:r>
      <w:r w:rsidRPr="00834D0C">
        <w:rPr>
          <w:rFonts w:cstheme="minorHAnsi"/>
        </w:rPr>
        <w:t>N</w:t>
      </w:r>
      <w:r w:rsidR="00643ED5" w:rsidRPr="00834D0C">
        <w:rPr>
          <w:rFonts w:cstheme="minorHAnsi"/>
        </w:rPr>
        <w:t xml:space="preserve"> </w:t>
      </w:r>
      <w:r w:rsidRPr="00834D0C">
        <w:rPr>
          <w:rFonts w:cstheme="minorHAnsi"/>
        </w:rPr>
        <w:t>Y</w:t>
      </w:r>
      <w:r w:rsidR="00643ED5" w:rsidRPr="00834D0C">
        <w:rPr>
          <w:rFonts w:cstheme="minorHAnsi"/>
        </w:rPr>
        <w:t xml:space="preserve"> </w:t>
      </w:r>
      <w:r w:rsidRPr="00834D0C">
        <w:rPr>
          <w:rFonts w:cstheme="minorHAnsi"/>
        </w:rPr>
        <w:t>U J</w:t>
      </w:r>
      <w:r w:rsidR="00643ED5" w:rsidRPr="00834D0C">
        <w:rPr>
          <w:rFonts w:cstheme="minorHAnsi"/>
        </w:rPr>
        <w:t xml:space="preserve"> </w:t>
      </w:r>
      <w:r w:rsidRPr="00834D0C">
        <w:rPr>
          <w:rFonts w:cstheme="minorHAnsi"/>
        </w:rPr>
        <w:t>Int’l L &amp; Pol 787</w:t>
      </w:r>
      <w:r w:rsidR="00643ED5" w:rsidRPr="00834D0C">
        <w:rPr>
          <w:rFonts w:cstheme="minorHAnsi"/>
        </w:rPr>
        <w:t xml:space="preserve">, </w:t>
      </w:r>
      <w:r w:rsidRPr="00834D0C">
        <w:rPr>
          <w:rFonts w:cstheme="minorHAnsi"/>
        </w:rPr>
        <w:t>816</w:t>
      </w:r>
      <w:r w:rsidR="00643ED5" w:rsidRPr="00834D0C">
        <w:rPr>
          <w:rFonts w:cstheme="minorHAnsi"/>
        </w:rPr>
        <w:t xml:space="preserve"> (</w:t>
      </w:r>
      <w:r w:rsidRPr="00834D0C">
        <w:rPr>
          <w:rFonts w:cstheme="minorHAnsi"/>
        </w:rPr>
        <w:t>fn93</w:t>
      </w:r>
      <w:r w:rsidR="00643ED5" w:rsidRPr="00834D0C">
        <w:rPr>
          <w:rFonts w:cstheme="minorHAnsi"/>
        </w:rPr>
        <w:t>)</w:t>
      </w:r>
      <w:r w:rsidRPr="00834D0C">
        <w:rPr>
          <w:rFonts w:cstheme="minorHAnsi"/>
        </w:rPr>
        <w:t>.</w:t>
      </w:r>
    </w:p>
  </w:footnote>
  <w:footnote w:id="120">
    <w:p w14:paraId="533A625E" w14:textId="1170D2E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Mälksoo</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643ED5" w:rsidRPr="00834D0C">
        <w:rPr>
          <w:rFonts w:cstheme="minorHAnsi"/>
        </w:rPr>
        <w:t>118</w:t>
      </w:r>
      <w:r w:rsidRPr="00834D0C">
        <w:rPr>
          <w:rFonts w:cstheme="minorHAnsi"/>
        </w:rPr>
        <w:t xml:space="preserve">) 815 </w:t>
      </w:r>
      <w:r w:rsidR="00643ED5" w:rsidRPr="00834D0C">
        <w:rPr>
          <w:rFonts w:cstheme="minorHAnsi"/>
        </w:rPr>
        <w:t>(</w:t>
      </w:r>
      <w:proofErr w:type="spellStart"/>
      <w:r w:rsidRPr="00834D0C">
        <w:rPr>
          <w:rFonts w:cstheme="minorHAnsi"/>
        </w:rPr>
        <w:t>fn</w:t>
      </w:r>
      <w:proofErr w:type="spellEnd"/>
      <w:r w:rsidRPr="00834D0C">
        <w:rPr>
          <w:rFonts w:cstheme="minorHAnsi"/>
        </w:rPr>
        <w:t xml:space="preserve"> 86</w:t>
      </w:r>
      <w:r w:rsidR="00643ED5" w:rsidRPr="00834D0C">
        <w:rPr>
          <w:rFonts w:cstheme="minorHAnsi"/>
        </w:rPr>
        <w:t>)</w:t>
      </w:r>
      <w:r w:rsidRPr="00834D0C">
        <w:rPr>
          <w:rFonts w:cstheme="minorHAnsi"/>
        </w:rPr>
        <w:t>.</w:t>
      </w:r>
    </w:p>
  </w:footnote>
  <w:footnote w:id="121">
    <w:p w14:paraId="06F79345" w14:textId="546B64A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720A17" w:rsidRPr="00834D0C">
        <w:rPr>
          <w:rFonts w:cstheme="minorHAnsi"/>
        </w:rPr>
        <w:t>Okosa</w:t>
      </w:r>
      <w:proofErr w:type="spellEnd"/>
      <w:r w:rsidR="00720A17" w:rsidRPr="00834D0C">
        <w:rPr>
          <w:rFonts w:cstheme="minorHAnsi"/>
        </w:rPr>
        <w:t xml:space="preserve"> (n 19) </w:t>
      </w:r>
      <w:r w:rsidRPr="00834D0C">
        <w:rPr>
          <w:rFonts w:cstheme="minorHAnsi"/>
        </w:rPr>
        <w:t>115.</w:t>
      </w:r>
    </w:p>
  </w:footnote>
  <w:footnote w:id="122">
    <w:p w14:paraId="1162A9CA" w14:textId="0A2DD33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r w:rsidR="006D71D0" w:rsidRPr="00834D0C">
        <w:rPr>
          <w:rFonts w:cstheme="minorHAnsi"/>
        </w:rPr>
        <w:t>Vidmar (n 14)</w:t>
      </w:r>
      <w:r w:rsidRPr="00834D0C">
        <w:rPr>
          <w:rFonts w:cstheme="minorHAnsi"/>
        </w:rPr>
        <w:t xml:space="preserve"> 702-704.</w:t>
      </w:r>
    </w:p>
  </w:footnote>
  <w:footnote w:id="123">
    <w:p w14:paraId="3F6DE61B" w14:textId="08062F5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00530084" w:rsidRPr="00834D0C">
        <w:rPr>
          <w:rFonts w:cstheme="minorHAnsi"/>
          <w:lang w:val="fr-FR"/>
        </w:rPr>
        <w:t>Doli</w:t>
      </w:r>
      <w:proofErr w:type="spellEnd"/>
      <w:r w:rsidR="00530084" w:rsidRPr="00834D0C">
        <w:rPr>
          <w:rFonts w:cstheme="minorHAnsi"/>
          <w:lang w:val="fr-FR"/>
        </w:rPr>
        <w:t xml:space="preserve"> (n 50) </w:t>
      </w:r>
      <w:r w:rsidRPr="00834D0C">
        <w:rPr>
          <w:rFonts w:cstheme="minorHAnsi"/>
        </w:rPr>
        <w:t>100.</w:t>
      </w:r>
    </w:p>
  </w:footnote>
  <w:footnote w:id="124">
    <w:p w14:paraId="43A6170A" w14:textId="3601DBA9" w:rsidR="002B032D" w:rsidRPr="00834D0C" w:rsidRDefault="002B032D" w:rsidP="00163B41">
      <w:pPr>
        <w:pStyle w:val="FootnoteText"/>
        <w:jc w:val="both"/>
      </w:pPr>
      <w:r w:rsidRPr="00834D0C">
        <w:rPr>
          <w:rStyle w:val="FootnoteReference"/>
        </w:rPr>
        <w:footnoteRef/>
      </w:r>
      <w:r w:rsidRPr="00834D0C">
        <w:t xml:space="preserve"> Montevideo Convention (</w:t>
      </w:r>
      <w:r w:rsidR="0084605E" w:rsidRPr="00834D0C">
        <w:t>n</w:t>
      </w:r>
      <w:r w:rsidRPr="00834D0C">
        <w:t xml:space="preserve"> </w:t>
      </w:r>
      <w:r w:rsidR="00647E1F" w:rsidRPr="00834D0C">
        <w:t>13</w:t>
      </w:r>
      <w:r w:rsidRPr="00834D0C">
        <w:t>) Art 6.</w:t>
      </w:r>
    </w:p>
  </w:footnote>
  <w:footnote w:id="125">
    <w:p w14:paraId="0283D271" w14:textId="7A1573C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47E1F" w:rsidRPr="00834D0C">
        <w:rPr>
          <w:rFonts w:cstheme="minorHAnsi"/>
        </w:rPr>
        <w:t xml:space="preserve">Roland </w:t>
      </w:r>
      <w:proofErr w:type="spellStart"/>
      <w:r w:rsidR="00647E1F" w:rsidRPr="00834D0C">
        <w:rPr>
          <w:rFonts w:cstheme="minorHAnsi"/>
        </w:rPr>
        <w:t>Portmann</w:t>
      </w:r>
      <w:proofErr w:type="spellEnd"/>
      <w:r w:rsidR="00647E1F" w:rsidRPr="00834D0C">
        <w:rPr>
          <w:rFonts w:cstheme="minorHAnsi"/>
        </w:rPr>
        <w:t xml:space="preserve">, </w:t>
      </w:r>
      <w:r w:rsidR="00647E1F" w:rsidRPr="00834D0C">
        <w:rPr>
          <w:rFonts w:cstheme="minorHAnsi"/>
          <w:i/>
          <w:iCs/>
        </w:rPr>
        <w:t xml:space="preserve">Legal Personality in International Law </w:t>
      </w:r>
      <w:r w:rsidR="00647E1F" w:rsidRPr="00834D0C">
        <w:rPr>
          <w:rFonts w:cstheme="minorHAnsi"/>
        </w:rPr>
        <w:t xml:space="preserve">(CUP 2010) </w:t>
      </w:r>
      <w:r w:rsidRPr="00834D0C">
        <w:rPr>
          <w:rFonts w:cstheme="minorHAnsi"/>
        </w:rPr>
        <w:t>253 (emphasis added).</w:t>
      </w:r>
    </w:p>
  </w:footnote>
  <w:footnote w:id="126">
    <w:p w14:paraId="39671A81" w14:textId="4898936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720A17" w:rsidRPr="00834D0C">
        <w:rPr>
          <w:rFonts w:cstheme="minorHAnsi"/>
        </w:rPr>
        <w:t>Okosa</w:t>
      </w:r>
      <w:proofErr w:type="spellEnd"/>
      <w:r w:rsidR="00720A17" w:rsidRPr="00834D0C">
        <w:rPr>
          <w:rFonts w:cstheme="minorHAnsi"/>
        </w:rPr>
        <w:t xml:space="preserve"> (n 19) </w:t>
      </w:r>
      <w:r w:rsidRPr="00834D0C">
        <w:rPr>
          <w:rFonts w:cstheme="minorHAnsi"/>
        </w:rPr>
        <w:t>116.</w:t>
      </w:r>
    </w:p>
  </w:footnote>
  <w:footnote w:id="127">
    <w:p w14:paraId="1DF6C3DE" w14:textId="2373ACF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Caspersen</w:t>
      </w:r>
      <w:r w:rsidR="009310E7"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9310E7" w:rsidRPr="00834D0C">
        <w:rPr>
          <w:rFonts w:cstheme="minorHAnsi"/>
        </w:rPr>
        <w:t>99</w:t>
      </w:r>
      <w:r w:rsidRPr="00834D0C">
        <w:rPr>
          <w:rFonts w:cstheme="minorHAnsi"/>
        </w:rPr>
        <w:t>) 16.</w:t>
      </w:r>
    </w:p>
  </w:footnote>
  <w:footnote w:id="128">
    <w:p w14:paraId="66460F5C" w14:textId="48EB6B0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47E1F" w:rsidRPr="00834D0C">
        <w:rPr>
          <w:rFonts w:cstheme="minorHAnsi"/>
        </w:rPr>
        <w:t xml:space="preserve">Antoine </w:t>
      </w:r>
      <w:proofErr w:type="spellStart"/>
      <w:r w:rsidR="00647E1F" w:rsidRPr="00834D0C">
        <w:rPr>
          <w:rFonts w:cstheme="minorHAnsi"/>
        </w:rPr>
        <w:t>Buyse</w:t>
      </w:r>
      <w:proofErr w:type="spellEnd"/>
      <w:r w:rsidR="00647E1F" w:rsidRPr="00834D0C">
        <w:rPr>
          <w:rFonts w:cstheme="minorHAnsi"/>
        </w:rPr>
        <w:t xml:space="preserve"> and Rick Lawson, ‘State Recognition: Admission (</w:t>
      </w:r>
      <w:proofErr w:type="spellStart"/>
      <w:r w:rsidR="00647E1F" w:rsidRPr="00834D0C">
        <w:rPr>
          <w:rFonts w:cstheme="minorHAnsi"/>
        </w:rPr>
        <w:t>Im</w:t>
      </w:r>
      <w:proofErr w:type="spellEnd"/>
      <w:r w:rsidR="00647E1F" w:rsidRPr="00834D0C">
        <w:rPr>
          <w:rFonts w:cstheme="minorHAnsi"/>
        </w:rPr>
        <w:t xml:space="preserve">)Possible’ (2007) 20 </w:t>
      </w:r>
      <w:r w:rsidRPr="00834D0C">
        <w:rPr>
          <w:rFonts w:cstheme="minorHAnsi"/>
          <w:i/>
          <w:iCs/>
        </w:rPr>
        <w:t>LJIL</w:t>
      </w:r>
      <w:r w:rsidRPr="00834D0C">
        <w:rPr>
          <w:rFonts w:cstheme="minorHAnsi"/>
        </w:rPr>
        <w:t xml:space="preserve"> 785</w:t>
      </w:r>
      <w:r w:rsidR="00647E1F" w:rsidRPr="00834D0C">
        <w:rPr>
          <w:rFonts w:cstheme="minorHAnsi"/>
        </w:rPr>
        <w:t xml:space="preserve">, </w:t>
      </w:r>
      <w:r w:rsidRPr="00834D0C">
        <w:rPr>
          <w:rFonts w:cstheme="minorHAnsi"/>
        </w:rPr>
        <w:t xml:space="preserve">785. </w:t>
      </w:r>
    </w:p>
  </w:footnote>
  <w:footnote w:id="129">
    <w:p w14:paraId="0630836E" w14:textId="3DFB968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Pegg</w:t>
      </w:r>
      <w:proofErr w:type="spellEnd"/>
      <w:r w:rsidR="0084605E"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84605E" w:rsidRPr="00834D0C">
        <w:rPr>
          <w:rFonts w:cstheme="minorHAnsi"/>
        </w:rPr>
        <w:t>3</w:t>
      </w:r>
      <w:r w:rsidRPr="00834D0C">
        <w:rPr>
          <w:rFonts w:cstheme="minorHAnsi"/>
        </w:rPr>
        <w:t xml:space="preserve">) 5. See </w:t>
      </w:r>
      <w:r w:rsidR="00720A17" w:rsidRPr="00834D0C">
        <w:rPr>
          <w:rFonts w:cstheme="minorHAnsi"/>
        </w:rPr>
        <w:t xml:space="preserve">Marc Weller, ‘Modesty Can Be a Virtue: Judicial Economy in the ICJ Kosovo Opinion’ (2011) 24 </w:t>
      </w:r>
      <w:r w:rsidR="00720A17" w:rsidRPr="00834D0C">
        <w:rPr>
          <w:rFonts w:cstheme="minorHAnsi"/>
          <w:i/>
          <w:iCs/>
        </w:rPr>
        <w:t>LJIL</w:t>
      </w:r>
      <w:r w:rsidR="00720A17" w:rsidRPr="00834D0C">
        <w:rPr>
          <w:rFonts w:cstheme="minorHAnsi"/>
        </w:rPr>
        <w:t xml:space="preserve"> 127, </w:t>
      </w:r>
      <w:r w:rsidRPr="00834D0C">
        <w:rPr>
          <w:rFonts w:cstheme="minorHAnsi"/>
        </w:rPr>
        <w:t>135.</w:t>
      </w:r>
    </w:p>
  </w:footnote>
  <w:footnote w:id="130">
    <w:p w14:paraId="0E2EB4C2" w14:textId="63042542"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128 (emphasis added).</w:t>
      </w:r>
    </w:p>
  </w:footnote>
  <w:footnote w:id="131">
    <w:p w14:paraId="117428DB" w14:textId="6C68B59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r w:rsidR="00720A17" w:rsidRPr="00834D0C">
        <w:rPr>
          <w:rFonts w:cstheme="minorHAnsi"/>
        </w:rPr>
        <w:t xml:space="preserve">Colin </w:t>
      </w:r>
      <w:proofErr w:type="spellStart"/>
      <w:r w:rsidR="00720A17" w:rsidRPr="00834D0C">
        <w:rPr>
          <w:rFonts w:cstheme="minorHAnsi"/>
        </w:rPr>
        <w:t>Warbrick</w:t>
      </w:r>
      <w:proofErr w:type="spellEnd"/>
      <w:r w:rsidR="00720A17" w:rsidRPr="00834D0C">
        <w:rPr>
          <w:rFonts w:cstheme="minorHAnsi"/>
        </w:rPr>
        <w:t xml:space="preserve">, ‘Recognition of States: European Practice’ in Malcolm Evans (ed), </w:t>
      </w:r>
      <w:r w:rsidR="00720A17" w:rsidRPr="00834D0C">
        <w:rPr>
          <w:rFonts w:cstheme="minorHAnsi"/>
          <w:i/>
          <w:iCs/>
        </w:rPr>
        <w:t xml:space="preserve">Aspects of Statehood and Institutionalism in Contemporary Europe </w:t>
      </w:r>
      <w:r w:rsidR="00720A17" w:rsidRPr="00834D0C">
        <w:rPr>
          <w:rFonts w:cstheme="minorHAnsi"/>
        </w:rPr>
        <w:t>(</w:t>
      </w:r>
      <w:proofErr w:type="spellStart"/>
      <w:r w:rsidR="00720A17" w:rsidRPr="00834D0C">
        <w:rPr>
          <w:rFonts w:cstheme="minorHAnsi"/>
        </w:rPr>
        <w:t>Darthmouth</w:t>
      </w:r>
      <w:proofErr w:type="spellEnd"/>
      <w:r w:rsidRPr="00834D0C">
        <w:rPr>
          <w:rFonts w:cstheme="minorHAnsi"/>
        </w:rPr>
        <w:t xml:space="preserve"> </w:t>
      </w:r>
      <w:r w:rsidRPr="00834D0C">
        <w:rPr>
          <w:rFonts w:cstheme="minorHAnsi"/>
          <w:lang w:val="fr-FR"/>
        </w:rPr>
        <w:t xml:space="preserve">1997) 9, 17; </w:t>
      </w:r>
      <w:r w:rsidR="00720A17" w:rsidRPr="00834D0C">
        <w:rPr>
          <w:rFonts w:cstheme="minorHAnsi"/>
          <w:lang w:val="fr-FR"/>
        </w:rPr>
        <w:t xml:space="preserve">Charpentier, ‘Les déclarations des douze sur la reconnaissance des nouveaux Etats’ (1992) 96 </w:t>
      </w:r>
      <w:r w:rsidRPr="00834D0C">
        <w:rPr>
          <w:rFonts w:cstheme="minorHAnsi"/>
          <w:i/>
          <w:iCs/>
          <w:lang w:val="fr-FR"/>
        </w:rPr>
        <w:t>RGDIP</w:t>
      </w:r>
      <w:r w:rsidRPr="00834D0C">
        <w:rPr>
          <w:rFonts w:cstheme="minorHAnsi"/>
          <w:lang w:val="fr-FR"/>
        </w:rPr>
        <w:t xml:space="preserve"> 343</w:t>
      </w:r>
      <w:r w:rsidR="00720A17" w:rsidRPr="00834D0C">
        <w:rPr>
          <w:rFonts w:cstheme="minorHAnsi"/>
          <w:lang w:val="fr-FR"/>
        </w:rPr>
        <w:t xml:space="preserve">, </w:t>
      </w:r>
      <w:r w:rsidRPr="00834D0C">
        <w:rPr>
          <w:rFonts w:cstheme="minorHAnsi"/>
        </w:rPr>
        <w:t xml:space="preserve">352; </w:t>
      </w:r>
      <w:r w:rsidR="006D71D0" w:rsidRPr="00834D0C">
        <w:rPr>
          <w:rFonts w:cstheme="minorHAnsi"/>
        </w:rPr>
        <w:t xml:space="preserve">Vidmar (n 14) </w:t>
      </w:r>
      <w:r w:rsidRPr="00834D0C">
        <w:rPr>
          <w:rFonts w:cstheme="minorHAnsi"/>
        </w:rPr>
        <w:t xml:space="preserve">704. </w:t>
      </w:r>
    </w:p>
  </w:footnote>
  <w:footnote w:id="132">
    <w:p w14:paraId="6CD6810B" w14:textId="582C907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United Nations, </w:t>
      </w:r>
      <w:r w:rsidRPr="00834D0C">
        <w:rPr>
          <w:rFonts w:cstheme="minorHAnsi"/>
          <w:i/>
          <w:iCs/>
        </w:rPr>
        <w:t>A More Secure World: Our Share Responsibility, Report of the Secretary-General’s High-Level Penal on Threats, Challenges and Change</w:t>
      </w:r>
      <w:r w:rsidRPr="00834D0C">
        <w:rPr>
          <w:rFonts w:cstheme="minorHAnsi"/>
        </w:rPr>
        <w:t xml:space="preserve">, 2004, </w:t>
      </w:r>
      <w:r w:rsidR="00643ED5" w:rsidRPr="00834D0C">
        <w:rPr>
          <w:rFonts w:cstheme="minorHAnsi"/>
        </w:rPr>
        <w:t xml:space="preserve">para </w:t>
      </w:r>
      <w:r w:rsidRPr="00834D0C">
        <w:rPr>
          <w:rFonts w:cstheme="minorHAnsi"/>
        </w:rPr>
        <w:t>29 (emphasis added)</w:t>
      </w:r>
      <w:r w:rsidR="00647E1F" w:rsidRPr="00834D0C">
        <w:rPr>
          <w:rFonts w:cstheme="minorHAnsi"/>
        </w:rPr>
        <w:t>.</w:t>
      </w:r>
    </w:p>
  </w:footnote>
  <w:footnote w:id="133">
    <w:p w14:paraId="472FE04F" w14:textId="54CD458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t xml:space="preserve">Christian </w:t>
      </w:r>
      <w:proofErr w:type="spellStart"/>
      <w:r w:rsidR="006D71D0" w:rsidRPr="00834D0C">
        <w:t>Hillgruber</w:t>
      </w:r>
      <w:proofErr w:type="spellEnd"/>
      <w:r w:rsidR="006D71D0" w:rsidRPr="00834D0C">
        <w:t>, ‘The Admission of New States to the International Community’ (1998) 9</w:t>
      </w:r>
      <w:r w:rsidRPr="00834D0C">
        <w:rPr>
          <w:rFonts w:cstheme="minorHAnsi"/>
        </w:rPr>
        <w:t xml:space="preserve"> </w:t>
      </w:r>
      <w:r w:rsidRPr="00834D0C">
        <w:rPr>
          <w:rFonts w:cstheme="minorHAnsi"/>
          <w:i/>
          <w:iCs/>
        </w:rPr>
        <w:t>EJIL</w:t>
      </w:r>
      <w:r w:rsidRPr="00834D0C">
        <w:rPr>
          <w:rFonts w:cstheme="minorHAnsi"/>
        </w:rPr>
        <w:t xml:space="preserve">  </w:t>
      </w:r>
      <w:r w:rsidR="006D71D0" w:rsidRPr="00834D0C">
        <w:rPr>
          <w:rFonts w:cstheme="minorHAnsi"/>
        </w:rPr>
        <w:t>4</w:t>
      </w:r>
      <w:r w:rsidRPr="00834D0C">
        <w:rPr>
          <w:rFonts w:cstheme="minorHAnsi"/>
        </w:rPr>
        <w:t>49</w:t>
      </w:r>
      <w:r w:rsidR="006D71D0" w:rsidRPr="00834D0C">
        <w:rPr>
          <w:rFonts w:cstheme="minorHAnsi"/>
        </w:rPr>
        <w:t xml:space="preserve">, </w:t>
      </w:r>
      <w:r w:rsidRPr="00834D0C">
        <w:rPr>
          <w:rFonts w:cstheme="minorHAnsi"/>
        </w:rPr>
        <w:t>499.</w:t>
      </w:r>
    </w:p>
  </w:footnote>
  <w:footnote w:id="134">
    <w:p w14:paraId="33B3242A" w14:textId="5A388CB9" w:rsidR="001B4EA5" w:rsidRPr="00834D0C" w:rsidRDefault="001B4EA5" w:rsidP="00163B41">
      <w:pPr>
        <w:pStyle w:val="FootnoteText"/>
        <w:jc w:val="both"/>
      </w:pPr>
      <w:r w:rsidRPr="00834D0C">
        <w:rPr>
          <w:rStyle w:val="FootnoteReference"/>
        </w:rPr>
        <w:footnoteRef/>
      </w:r>
      <w:r w:rsidRPr="00834D0C">
        <w:t xml:space="preserve"> </w:t>
      </w:r>
      <w:r w:rsidR="00387AEF" w:rsidRPr="00834D0C">
        <w:t>To some extent, it is possible to argue that an element of good faith must be present for a State to recognise another entity as a State.</w:t>
      </w:r>
    </w:p>
  </w:footnote>
  <w:footnote w:id="135">
    <w:p w14:paraId="5740CC56" w14:textId="4A6BA1B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720A17" w:rsidRPr="00834D0C">
        <w:rPr>
          <w:rFonts w:cstheme="minorHAnsi"/>
        </w:rPr>
        <w:t>Okosa</w:t>
      </w:r>
      <w:proofErr w:type="spellEnd"/>
      <w:r w:rsidR="00720A17" w:rsidRPr="00834D0C">
        <w:rPr>
          <w:rFonts w:cstheme="minorHAnsi"/>
        </w:rPr>
        <w:t xml:space="preserve"> (n 19) </w:t>
      </w:r>
      <w:r w:rsidRPr="00834D0C">
        <w:rPr>
          <w:rFonts w:cstheme="minorHAnsi"/>
        </w:rPr>
        <w:t xml:space="preserve">116; </w:t>
      </w:r>
      <w:r w:rsidR="006D71D0" w:rsidRPr="00834D0C">
        <w:rPr>
          <w:rFonts w:cstheme="minorHAnsi"/>
        </w:rPr>
        <w:t xml:space="preserve">Vidmar (n 14) </w:t>
      </w:r>
      <w:r w:rsidRPr="00834D0C">
        <w:rPr>
          <w:rFonts w:cstheme="minorHAnsi"/>
        </w:rPr>
        <w:t>704</w:t>
      </w:r>
      <w:r w:rsidR="006D71D0" w:rsidRPr="00834D0C">
        <w:rPr>
          <w:rFonts w:cstheme="minorHAnsi"/>
        </w:rPr>
        <w:t>.</w:t>
      </w:r>
    </w:p>
  </w:footnote>
  <w:footnote w:id="136">
    <w:p w14:paraId="1C323C7A" w14:textId="46A9614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20A17" w:rsidRPr="00834D0C">
        <w:rPr>
          <w:rFonts w:cstheme="minorHAnsi"/>
        </w:rPr>
        <w:t xml:space="preserve">Weller (n 128) </w:t>
      </w:r>
      <w:r w:rsidRPr="00834D0C">
        <w:rPr>
          <w:rFonts w:cstheme="minorHAnsi"/>
        </w:rPr>
        <w:t xml:space="preserve">136. </w:t>
      </w:r>
    </w:p>
  </w:footnote>
  <w:footnote w:id="137">
    <w:p w14:paraId="5BE76FA3" w14:textId="778AF22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discussion in </w:t>
      </w:r>
      <w:proofErr w:type="spellStart"/>
      <w:r w:rsidR="00720A17" w:rsidRPr="00834D0C">
        <w:rPr>
          <w:rFonts w:cstheme="minorHAnsi"/>
        </w:rPr>
        <w:t>Okosa</w:t>
      </w:r>
      <w:proofErr w:type="spellEnd"/>
      <w:r w:rsidR="00720A17" w:rsidRPr="00834D0C">
        <w:rPr>
          <w:rFonts w:cstheme="minorHAnsi"/>
        </w:rPr>
        <w:t xml:space="preserve"> (n 19) </w:t>
      </w:r>
      <w:r w:rsidRPr="00834D0C">
        <w:rPr>
          <w:rFonts w:cstheme="minorHAnsi"/>
        </w:rPr>
        <w:t xml:space="preserve">122; </w:t>
      </w:r>
      <w:proofErr w:type="spellStart"/>
      <w:r w:rsidR="001B4EA5" w:rsidRPr="00834D0C">
        <w:rPr>
          <w:rFonts w:cstheme="minorHAnsi"/>
        </w:rPr>
        <w:t>Leonaitė</w:t>
      </w:r>
      <w:proofErr w:type="spellEnd"/>
      <w:r w:rsidR="002F5312">
        <w:rPr>
          <w:rFonts w:cstheme="minorHAnsi"/>
        </w:rPr>
        <w:t xml:space="preserve"> and</w:t>
      </w:r>
      <w:r w:rsidR="002F5312" w:rsidRPr="00834D0C">
        <w:rPr>
          <w:rFonts w:cstheme="minorHAnsi"/>
        </w:rPr>
        <w:t xml:space="preserve"> </w:t>
      </w:r>
      <w:proofErr w:type="spellStart"/>
      <w:r w:rsidR="001B4EA5" w:rsidRPr="00834D0C">
        <w:rPr>
          <w:rFonts w:cstheme="minorHAnsi"/>
        </w:rPr>
        <w:t>Žalimas</w:t>
      </w:r>
      <w:proofErr w:type="spellEnd"/>
      <w:r w:rsidR="0084605E" w:rsidRPr="00834D0C">
        <w:rPr>
          <w:rFonts w:cstheme="minorHAnsi"/>
        </w:rPr>
        <w:t xml:space="preserve"> (n 3) </w:t>
      </w:r>
      <w:r w:rsidRPr="00834D0C">
        <w:rPr>
          <w:rFonts w:cstheme="minorHAnsi"/>
        </w:rPr>
        <w:t>27.</w:t>
      </w:r>
    </w:p>
  </w:footnote>
  <w:footnote w:id="138">
    <w:p w14:paraId="1DA1031E" w14:textId="4EC46B1A" w:rsidR="002B032D" w:rsidRPr="00834D0C" w:rsidRDefault="002B032D" w:rsidP="00163B41">
      <w:pPr>
        <w:pStyle w:val="FootnoteText"/>
        <w:jc w:val="both"/>
      </w:pPr>
      <w:r w:rsidRPr="00834D0C">
        <w:rPr>
          <w:rStyle w:val="FootnoteReference"/>
        </w:rPr>
        <w:footnoteRef/>
      </w:r>
      <w:r w:rsidRPr="00834D0C">
        <w:t xml:space="preserve"> Tarcisio </w:t>
      </w:r>
      <w:proofErr w:type="spellStart"/>
      <w:r w:rsidRPr="00834D0C">
        <w:t>Gazzini</w:t>
      </w:r>
      <w:proofErr w:type="spellEnd"/>
      <w:r w:rsidRPr="00834D0C">
        <w:rPr>
          <w:i/>
          <w:iCs/>
        </w:rPr>
        <w:t xml:space="preserve">, </w:t>
      </w:r>
      <w:r w:rsidR="00720A17" w:rsidRPr="00834D0C">
        <w:t>‘</w:t>
      </w:r>
      <w:r w:rsidRPr="00834D0C">
        <w:t>Criteria for Statehood as Applied by the EU’s Independent Fact-Finding Mission on the Conflict in Georgia</w:t>
      </w:r>
      <w:r w:rsidR="00720A17" w:rsidRPr="00834D0C">
        <w:t>’</w:t>
      </w:r>
      <w:r w:rsidRPr="00834D0C">
        <w:t xml:space="preserve"> </w:t>
      </w:r>
      <w:proofErr w:type="spellStart"/>
      <w:r w:rsidRPr="00834D0C">
        <w:rPr>
          <w:i/>
          <w:iCs/>
        </w:rPr>
        <w:t>EJIL:Talk</w:t>
      </w:r>
      <w:proofErr w:type="spellEnd"/>
      <w:r w:rsidRPr="00834D0C">
        <w:rPr>
          <w:i/>
          <w:iCs/>
        </w:rPr>
        <w:t>!</w:t>
      </w:r>
      <w:r w:rsidRPr="00834D0C">
        <w:t>, 8 December 2009.</w:t>
      </w:r>
    </w:p>
  </w:footnote>
  <w:footnote w:id="139">
    <w:p w14:paraId="6609BAA1" w14:textId="7E1FA24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Quénivet</w:t>
      </w:r>
      <w:proofErr w:type="spellEnd"/>
      <w:r w:rsidR="006D71D0"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6D71D0" w:rsidRPr="00834D0C">
        <w:rPr>
          <w:rFonts w:cstheme="minorHAnsi"/>
        </w:rPr>
        <w:t>11</w:t>
      </w:r>
      <w:r w:rsidRPr="00834D0C">
        <w:rPr>
          <w:rFonts w:cstheme="minorHAnsi"/>
        </w:rPr>
        <w:t>) 489.</w:t>
      </w:r>
    </w:p>
  </w:footnote>
  <w:footnote w:id="140">
    <w:p w14:paraId="654BA2A7" w14:textId="6A82D17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e.g., </w:t>
      </w:r>
      <w:proofErr w:type="spellStart"/>
      <w:r w:rsidR="00266BFC" w:rsidRPr="00834D0C">
        <w:rPr>
          <w:rFonts w:cstheme="minorHAnsi"/>
        </w:rPr>
        <w:t>Grzybowski</w:t>
      </w:r>
      <w:proofErr w:type="spellEnd"/>
      <w:r w:rsidR="00266BFC" w:rsidRPr="00834D0C">
        <w:rPr>
          <w:rFonts w:cstheme="minorHAnsi"/>
        </w:rPr>
        <w:t xml:space="preserve"> (n 6) </w:t>
      </w:r>
      <w:r w:rsidRPr="00834D0C">
        <w:rPr>
          <w:rFonts w:cstheme="minorHAnsi"/>
        </w:rPr>
        <w:t>254.</w:t>
      </w:r>
    </w:p>
  </w:footnote>
  <w:footnote w:id="141">
    <w:p w14:paraId="63CA72B3" w14:textId="44C6276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rPr>
          <w:rFonts w:cstheme="minorHAnsi"/>
        </w:rPr>
        <w:t xml:space="preserve">Vidmar (n 14) </w:t>
      </w:r>
      <w:r w:rsidRPr="00834D0C">
        <w:rPr>
          <w:rFonts w:cstheme="minorHAnsi"/>
        </w:rPr>
        <w:t>704.</w:t>
      </w:r>
    </w:p>
  </w:footnote>
  <w:footnote w:id="142">
    <w:p w14:paraId="16DAF1EA" w14:textId="41B94CA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D71D0" w:rsidRPr="00834D0C">
        <w:rPr>
          <w:rFonts w:cstheme="minorHAnsi"/>
        </w:rPr>
        <w:t>Sterio</w:t>
      </w:r>
      <w:proofErr w:type="spellEnd"/>
      <w:r w:rsidR="006D71D0" w:rsidRPr="00834D0C">
        <w:rPr>
          <w:rFonts w:cstheme="minorHAnsi"/>
        </w:rPr>
        <w:t xml:space="preserve"> (n 18)</w:t>
      </w:r>
      <w:r w:rsidRPr="00834D0C">
        <w:rPr>
          <w:rFonts w:cstheme="minorHAnsi"/>
        </w:rPr>
        <w:t xml:space="preserve"> 210.</w:t>
      </w:r>
    </w:p>
  </w:footnote>
  <w:footnote w:id="143">
    <w:p w14:paraId="529583E0" w14:textId="704D2F21" w:rsidR="00387AEF" w:rsidRPr="00834D0C" w:rsidRDefault="00387AEF"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D71D0" w:rsidRPr="00834D0C">
        <w:rPr>
          <w:rFonts w:cstheme="minorHAnsi"/>
        </w:rPr>
        <w:t>Sterio</w:t>
      </w:r>
      <w:proofErr w:type="spellEnd"/>
      <w:r w:rsidR="006D71D0" w:rsidRPr="00834D0C">
        <w:rPr>
          <w:rFonts w:cstheme="minorHAnsi"/>
        </w:rPr>
        <w:t xml:space="preserve"> (n 18) </w:t>
      </w:r>
      <w:r w:rsidRPr="00834D0C">
        <w:rPr>
          <w:rFonts w:cstheme="minorHAnsi"/>
        </w:rPr>
        <w:t>210.</w:t>
      </w:r>
    </w:p>
  </w:footnote>
  <w:footnote w:id="144">
    <w:p w14:paraId="50F2497B" w14:textId="2E58399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163B41" w:rsidRPr="00834D0C">
        <w:rPr>
          <w:rFonts w:cstheme="minorHAnsi"/>
        </w:rPr>
        <w:t>ILC</w:t>
      </w:r>
      <w:r w:rsidRPr="00834D0C">
        <w:rPr>
          <w:rFonts w:cstheme="minorHAnsi"/>
        </w:rPr>
        <w:t xml:space="preserve">, </w:t>
      </w:r>
      <w:r w:rsidRPr="00834D0C">
        <w:rPr>
          <w:rFonts w:cstheme="minorHAnsi"/>
          <w:i/>
          <w:iCs/>
        </w:rPr>
        <w:t>Draft Articles on the Responsibility of States for Internationally Wrongful Acts (ARSIWA)</w:t>
      </w:r>
      <w:r w:rsidRPr="00834D0C">
        <w:rPr>
          <w:rFonts w:cstheme="minorHAnsi"/>
        </w:rPr>
        <w:t xml:space="preserve">, Commentary to Art 40 p 112 </w:t>
      </w:r>
      <w:proofErr w:type="spellStart"/>
      <w:r w:rsidRPr="00834D0C">
        <w:rPr>
          <w:rFonts w:cstheme="minorHAnsi"/>
        </w:rPr>
        <w:t>fn</w:t>
      </w:r>
      <w:proofErr w:type="spellEnd"/>
      <w:r w:rsidRPr="00834D0C">
        <w:rPr>
          <w:rFonts w:cstheme="minorHAnsi"/>
        </w:rPr>
        <w:t xml:space="preserve"> 641 and </w:t>
      </w:r>
      <w:proofErr w:type="spellStart"/>
      <w:r w:rsidRPr="00834D0C">
        <w:rPr>
          <w:rFonts w:cstheme="minorHAnsi"/>
        </w:rPr>
        <w:t>fn</w:t>
      </w:r>
      <w:proofErr w:type="spellEnd"/>
      <w:r w:rsidRPr="00834D0C">
        <w:rPr>
          <w:rFonts w:cstheme="minorHAnsi"/>
        </w:rPr>
        <w:t xml:space="preserve"> 644. For an excellent examination of the views of the majority of scholars on the subject, see James Green,</w:t>
      </w:r>
      <w:r w:rsidR="00DC2676" w:rsidRPr="00834D0C">
        <w:rPr>
          <w:rFonts w:cstheme="minorHAnsi"/>
        </w:rPr>
        <w:t xml:space="preserve"> ‘</w:t>
      </w:r>
      <w:r w:rsidRPr="00834D0C">
        <w:rPr>
          <w:rFonts w:cstheme="minorHAnsi"/>
        </w:rPr>
        <w:t>Questioning the Peremptory Status of the Prohibition of the Use of Force</w:t>
      </w:r>
      <w:r w:rsidR="00DC2676" w:rsidRPr="00834D0C">
        <w:rPr>
          <w:rFonts w:cstheme="minorHAnsi"/>
        </w:rPr>
        <w:t>’ (2011) 32</w:t>
      </w:r>
      <w:r w:rsidRPr="00834D0C">
        <w:rPr>
          <w:rFonts w:cstheme="minorHAnsi"/>
        </w:rPr>
        <w:t xml:space="preserve"> </w:t>
      </w:r>
      <w:proofErr w:type="spellStart"/>
      <w:r w:rsidRPr="00834D0C">
        <w:rPr>
          <w:rFonts w:cstheme="minorHAnsi"/>
          <w:i/>
          <w:iCs/>
        </w:rPr>
        <w:t>Mich</w:t>
      </w:r>
      <w:proofErr w:type="spellEnd"/>
      <w:r w:rsidR="00DC2676" w:rsidRPr="00834D0C">
        <w:rPr>
          <w:rFonts w:cstheme="minorHAnsi"/>
          <w:i/>
          <w:iCs/>
        </w:rPr>
        <w:t xml:space="preserve"> </w:t>
      </w:r>
      <w:r w:rsidRPr="00834D0C">
        <w:rPr>
          <w:rFonts w:cstheme="minorHAnsi"/>
          <w:i/>
          <w:iCs/>
        </w:rPr>
        <w:t>L</w:t>
      </w:r>
      <w:r w:rsidR="00DC2676" w:rsidRPr="00834D0C">
        <w:rPr>
          <w:rFonts w:cstheme="minorHAnsi"/>
          <w:i/>
          <w:iCs/>
        </w:rPr>
        <w:t xml:space="preserve"> </w:t>
      </w:r>
      <w:r w:rsidRPr="00834D0C">
        <w:rPr>
          <w:rFonts w:cstheme="minorHAnsi"/>
          <w:i/>
          <w:iCs/>
        </w:rPr>
        <w:t>J</w:t>
      </w:r>
      <w:r w:rsidRPr="00834D0C">
        <w:rPr>
          <w:rFonts w:cstheme="minorHAnsi"/>
        </w:rPr>
        <w:t xml:space="preserve"> 215</w:t>
      </w:r>
      <w:r w:rsidR="00DC2676" w:rsidRPr="00834D0C">
        <w:rPr>
          <w:rFonts w:cstheme="minorHAnsi"/>
        </w:rPr>
        <w:t xml:space="preserve">, </w:t>
      </w:r>
      <w:r w:rsidRPr="00834D0C">
        <w:rPr>
          <w:rFonts w:cstheme="minorHAnsi"/>
        </w:rPr>
        <w:t>220-225.</w:t>
      </w:r>
    </w:p>
  </w:footnote>
  <w:footnote w:id="145">
    <w:p w14:paraId="29B30E7F" w14:textId="1C2770C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Green</w:t>
      </w:r>
      <w:r w:rsidR="00DC2676" w:rsidRPr="00834D0C">
        <w:rPr>
          <w:rFonts w:cstheme="minorHAnsi"/>
        </w:rPr>
        <w:t xml:space="preserve"> </w:t>
      </w:r>
      <w:r w:rsidRPr="00834D0C">
        <w:rPr>
          <w:rFonts w:cstheme="minorHAnsi"/>
        </w:rPr>
        <w:t>(</w:t>
      </w:r>
      <w:r w:rsidR="0084605E" w:rsidRPr="00834D0C">
        <w:rPr>
          <w:rFonts w:cstheme="minorHAnsi"/>
        </w:rPr>
        <w:t>n</w:t>
      </w:r>
      <w:r w:rsidR="00DC2676" w:rsidRPr="00834D0C">
        <w:rPr>
          <w:rFonts w:cstheme="minorHAnsi"/>
        </w:rPr>
        <w:t xml:space="preserve"> 143</w:t>
      </w:r>
      <w:r w:rsidRPr="00834D0C">
        <w:rPr>
          <w:rFonts w:cstheme="minorHAnsi"/>
        </w:rPr>
        <w:t>).</w:t>
      </w:r>
    </w:p>
  </w:footnote>
  <w:footnote w:id="146">
    <w:p w14:paraId="5FBCB646" w14:textId="4BD8D0A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64E89" w:rsidRPr="00834D0C">
        <w:rPr>
          <w:rFonts w:cstheme="minorHAnsi"/>
        </w:rPr>
        <w:t>ILC</w:t>
      </w:r>
      <w:r w:rsidRPr="00834D0C">
        <w:rPr>
          <w:rFonts w:cstheme="minorHAnsi"/>
        </w:rPr>
        <w:t xml:space="preserve">, </w:t>
      </w:r>
      <w:r w:rsidRPr="00834D0C">
        <w:rPr>
          <w:rFonts w:cstheme="minorHAnsi"/>
          <w:i/>
          <w:iCs/>
        </w:rPr>
        <w:t>Draft Conclusions on Identification and Legal Consequences of Peremptory Norms of General International Law (jus cogens)</w:t>
      </w:r>
      <w:r w:rsidRPr="00834D0C">
        <w:rPr>
          <w:rFonts w:cstheme="minorHAnsi"/>
        </w:rPr>
        <w:t>, 2022, Conclusion 23 (Annex)</w:t>
      </w:r>
    </w:p>
  </w:footnote>
  <w:footnote w:id="147">
    <w:p w14:paraId="7FD05C4E" w14:textId="2271D21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720A17" w:rsidRPr="00834D0C">
        <w:rPr>
          <w:rFonts w:cstheme="minorHAnsi"/>
        </w:rPr>
        <w:t>Okosa</w:t>
      </w:r>
      <w:proofErr w:type="spellEnd"/>
      <w:r w:rsidR="00720A17" w:rsidRPr="00834D0C">
        <w:rPr>
          <w:rFonts w:cstheme="minorHAnsi"/>
        </w:rPr>
        <w:t xml:space="preserve"> (n 19) </w:t>
      </w:r>
      <w:r w:rsidRPr="00834D0C">
        <w:rPr>
          <w:rFonts w:cstheme="minorHAnsi"/>
        </w:rPr>
        <w:t xml:space="preserve">118. See </w:t>
      </w:r>
      <w:proofErr w:type="spellStart"/>
      <w:r w:rsidR="0084605E" w:rsidRPr="00834D0C">
        <w:rPr>
          <w:rFonts w:cstheme="minorHAnsi"/>
        </w:rPr>
        <w:t>Leonaitė</w:t>
      </w:r>
      <w:proofErr w:type="spellEnd"/>
      <w:r w:rsidR="002F5312">
        <w:rPr>
          <w:rFonts w:cstheme="minorHAnsi"/>
        </w:rPr>
        <w:t xml:space="preserve"> and</w:t>
      </w:r>
      <w:r w:rsidR="002F5312" w:rsidRPr="00834D0C">
        <w:rPr>
          <w:rFonts w:cstheme="minorHAnsi"/>
        </w:rPr>
        <w:t xml:space="preserve"> </w:t>
      </w:r>
      <w:proofErr w:type="spellStart"/>
      <w:r w:rsidR="0084605E" w:rsidRPr="00834D0C">
        <w:rPr>
          <w:rFonts w:cstheme="minorHAnsi"/>
        </w:rPr>
        <w:t>Žalimas</w:t>
      </w:r>
      <w:proofErr w:type="spellEnd"/>
      <w:r w:rsidR="0084605E" w:rsidRPr="00834D0C">
        <w:rPr>
          <w:rFonts w:cstheme="minorHAnsi"/>
        </w:rPr>
        <w:t xml:space="preserve"> (n 3)</w:t>
      </w:r>
      <w:r w:rsidRPr="00834D0C">
        <w:rPr>
          <w:rFonts w:cstheme="minorHAnsi"/>
        </w:rPr>
        <w:t xml:space="preserve"> 25.</w:t>
      </w:r>
    </w:p>
  </w:footnote>
  <w:footnote w:id="148">
    <w:p w14:paraId="1DF94D4B" w14:textId="4D72D8B7" w:rsidR="002B032D" w:rsidRPr="00834D0C" w:rsidRDefault="002B032D" w:rsidP="00163B41">
      <w:pPr>
        <w:spacing w:after="0" w:line="240" w:lineRule="auto"/>
        <w:jc w:val="both"/>
        <w:rPr>
          <w:rFonts w:cstheme="minorHAnsi"/>
          <w:sz w:val="20"/>
          <w:szCs w:val="20"/>
        </w:rPr>
      </w:pPr>
      <w:r w:rsidRPr="00834D0C">
        <w:rPr>
          <w:rStyle w:val="FootnoteReference"/>
          <w:rFonts w:cstheme="minorHAnsi"/>
          <w:sz w:val="20"/>
          <w:szCs w:val="20"/>
        </w:rPr>
        <w:footnoteRef/>
      </w:r>
      <w:r w:rsidRPr="00834D0C">
        <w:rPr>
          <w:rFonts w:cstheme="minorHAnsi"/>
          <w:sz w:val="20"/>
          <w:szCs w:val="20"/>
        </w:rPr>
        <w:t xml:space="preserve"> </w:t>
      </w:r>
      <w:r w:rsidR="00564AE7" w:rsidRPr="00834D0C">
        <w:rPr>
          <w:rFonts w:cstheme="minorHAnsi"/>
          <w:sz w:val="20"/>
          <w:szCs w:val="20"/>
        </w:rPr>
        <w:t>UNSC</w:t>
      </w:r>
      <w:r w:rsidRPr="00834D0C">
        <w:rPr>
          <w:rFonts w:cstheme="minorHAnsi"/>
          <w:sz w:val="20"/>
          <w:szCs w:val="20"/>
        </w:rPr>
        <w:t>, Resolution 541 (1983), UN Doc S/RES/541, 18 November 1983.</w:t>
      </w:r>
    </w:p>
  </w:footnote>
  <w:footnote w:id="149">
    <w:p w14:paraId="09875CBF" w14:textId="3689B96E" w:rsidR="002B032D" w:rsidRPr="00834D0C" w:rsidRDefault="002B032D" w:rsidP="00163B41">
      <w:pPr>
        <w:spacing w:after="0" w:line="240" w:lineRule="auto"/>
        <w:jc w:val="both"/>
        <w:rPr>
          <w:rFonts w:cstheme="minorHAnsi"/>
          <w:sz w:val="20"/>
          <w:szCs w:val="20"/>
        </w:rPr>
      </w:pPr>
      <w:r w:rsidRPr="00834D0C">
        <w:rPr>
          <w:rFonts w:cstheme="minorHAnsi"/>
          <w:sz w:val="20"/>
          <w:szCs w:val="20"/>
          <w:vertAlign w:val="superscript"/>
        </w:rPr>
        <w:footnoteRef/>
      </w:r>
      <w:r w:rsidRPr="00834D0C">
        <w:rPr>
          <w:rFonts w:cstheme="minorHAnsi"/>
          <w:sz w:val="20"/>
          <w:szCs w:val="20"/>
        </w:rPr>
        <w:t xml:space="preserve"> ARSIWA (</w:t>
      </w:r>
      <w:r w:rsidR="0084605E" w:rsidRPr="00834D0C">
        <w:rPr>
          <w:rFonts w:cstheme="minorHAnsi"/>
          <w:sz w:val="20"/>
          <w:szCs w:val="20"/>
        </w:rPr>
        <w:t>n</w:t>
      </w:r>
      <w:r w:rsidR="00D64E89" w:rsidRPr="00834D0C">
        <w:rPr>
          <w:rFonts w:cstheme="minorHAnsi"/>
          <w:sz w:val="20"/>
          <w:szCs w:val="20"/>
        </w:rPr>
        <w:t xml:space="preserve"> 143</w:t>
      </w:r>
      <w:r w:rsidRPr="00834D0C">
        <w:rPr>
          <w:rFonts w:cstheme="minorHAnsi"/>
          <w:sz w:val="20"/>
          <w:szCs w:val="20"/>
        </w:rPr>
        <w:t>)</w:t>
      </w:r>
      <w:r w:rsidR="00DF4E6B" w:rsidRPr="00834D0C">
        <w:rPr>
          <w:rFonts w:cstheme="minorHAnsi"/>
          <w:sz w:val="20"/>
          <w:szCs w:val="20"/>
        </w:rPr>
        <w:t xml:space="preserve"> </w:t>
      </w:r>
      <w:r w:rsidRPr="00834D0C">
        <w:rPr>
          <w:rFonts w:cstheme="minorHAnsi"/>
          <w:sz w:val="20"/>
          <w:szCs w:val="20"/>
        </w:rPr>
        <w:t xml:space="preserve">Art 41(2) and Commentary paras 5 and 6. </w:t>
      </w:r>
    </w:p>
  </w:footnote>
  <w:footnote w:id="150">
    <w:p w14:paraId="7BC59CEB" w14:textId="4CC75D6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64E89" w:rsidRPr="00834D0C">
        <w:rPr>
          <w:rFonts w:cstheme="minorHAnsi"/>
        </w:rPr>
        <w:t xml:space="preserve">Draft Conclusions on </w:t>
      </w:r>
      <w:r w:rsidR="00D64E89" w:rsidRPr="00834D0C">
        <w:rPr>
          <w:rFonts w:cstheme="minorHAnsi"/>
          <w:i/>
          <w:iCs/>
        </w:rPr>
        <w:t xml:space="preserve">Jus Cogens </w:t>
      </w:r>
      <w:r w:rsidR="00D64E89" w:rsidRPr="00834D0C">
        <w:rPr>
          <w:rFonts w:cstheme="minorHAnsi"/>
        </w:rPr>
        <w:t>Norms (n 145)</w:t>
      </w:r>
      <w:r w:rsidRPr="00834D0C">
        <w:rPr>
          <w:rFonts w:cstheme="minorHAnsi"/>
        </w:rPr>
        <w:t xml:space="preserve">. </w:t>
      </w:r>
    </w:p>
  </w:footnote>
  <w:footnote w:id="151">
    <w:p w14:paraId="68866E92" w14:textId="494E714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r w:rsidR="00D64E89" w:rsidRPr="00834D0C">
        <w:rPr>
          <w:rFonts w:cstheme="minorHAnsi"/>
        </w:rPr>
        <w:t xml:space="preserve">Stefan </w:t>
      </w:r>
      <w:proofErr w:type="spellStart"/>
      <w:r w:rsidR="00D64E89" w:rsidRPr="00834D0C">
        <w:rPr>
          <w:rFonts w:cstheme="minorHAnsi"/>
        </w:rPr>
        <w:t>Talmon</w:t>
      </w:r>
      <w:proofErr w:type="spellEnd"/>
      <w:r w:rsidR="00D64E89" w:rsidRPr="00834D0C">
        <w:rPr>
          <w:rFonts w:cstheme="minorHAnsi"/>
        </w:rPr>
        <w:t xml:space="preserve">, ‘The Duty Not to ‘Recognize as Lawful’ a Situation Created by the Illegal Use of Force or Other Serious Breaches of a </w:t>
      </w:r>
      <w:r w:rsidR="00D64E89" w:rsidRPr="00834D0C">
        <w:rPr>
          <w:rFonts w:cstheme="minorHAnsi"/>
          <w:i/>
          <w:iCs/>
        </w:rPr>
        <w:t>Jus Cogens</w:t>
      </w:r>
      <w:r w:rsidR="00D64E89" w:rsidRPr="00834D0C">
        <w:rPr>
          <w:rFonts w:cstheme="minorHAnsi"/>
        </w:rPr>
        <w:t xml:space="preserve"> Obligation: An Obligation without Real Substance?’ in Christian </w:t>
      </w:r>
      <w:proofErr w:type="spellStart"/>
      <w:r w:rsidR="00D64E89" w:rsidRPr="00834D0C">
        <w:rPr>
          <w:rFonts w:cstheme="minorHAnsi"/>
        </w:rPr>
        <w:t>Tomuschat</w:t>
      </w:r>
      <w:proofErr w:type="spellEnd"/>
      <w:r w:rsidR="00D64E89" w:rsidRPr="00834D0C">
        <w:rPr>
          <w:rFonts w:cstheme="minorHAnsi"/>
        </w:rPr>
        <w:t xml:space="preserve"> and Jean-Marc </w:t>
      </w:r>
      <w:proofErr w:type="spellStart"/>
      <w:r w:rsidR="00D64E89" w:rsidRPr="00834D0C">
        <w:rPr>
          <w:rFonts w:cstheme="minorHAnsi"/>
        </w:rPr>
        <w:t>Thouvenin</w:t>
      </w:r>
      <w:proofErr w:type="spellEnd"/>
      <w:r w:rsidR="00D64E89" w:rsidRPr="00834D0C">
        <w:rPr>
          <w:rFonts w:cstheme="minorHAnsi"/>
        </w:rPr>
        <w:t xml:space="preserve"> (eds), </w:t>
      </w:r>
      <w:r w:rsidR="00D64E89" w:rsidRPr="00834D0C">
        <w:rPr>
          <w:rFonts w:cstheme="minorHAnsi"/>
          <w:i/>
          <w:iCs/>
        </w:rPr>
        <w:t xml:space="preserve">The Fundamental Rules of the International Legal Order: Jus Cogens and Obligations </w:t>
      </w:r>
      <w:proofErr w:type="spellStart"/>
      <w:r w:rsidR="00D64E89" w:rsidRPr="00834D0C">
        <w:rPr>
          <w:rFonts w:cstheme="minorHAnsi"/>
          <w:i/>
          <w:iCs/>
        </w:rPr>
        <w:t>Erga</w:t>
      </w:r>
      <w:proofErr w:type="spellEnd"/>
      <w:r w:rsidR="00D64E89" w:rsidRPr="00834D0C">
        <w:rPr>
          <w:rFonts w:cstheme="minorHAnsi"/>
          <w:i/>
          <w:iCs/>
        </w:rPr>
        <w:t xml:space="preserve"> Omnes </w:t>
      </w:r>
      <w:r w:rsidR="00D64E89" w:rsidRPr="00834D0C">
        <w:rPr>
          <w:rFonts w:cstheme="minorHAnsi"/>
        </w:rPr>
        <w:t>(Brill 2006) 99, 115-117</w:t>
      </w:r>
      <w:r w:rsidRPr="00834D0C">
        <w:rPr>
          <w:rFonts w:cstheme="minorHAnsi"/>
        </w:rPr>
        <w:t>.</w:t>
      </w:r>
    </w:p>
  </w:footnote>
  <w:footnote w:id="152">
    <w:p w14:paraId="4A798077" w14:textId="542E4E3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Style w:val="sb8d990e2"/>
          <w:rFonts w:cstheme="minorHAnsi"/>
          <w:shd w:val="clear" w:color="auto" w:fill="FFFFFF"/>
        </w:rPr>
        <w:t xml:space="preserve">Parliamentary Assembly of the Council of Europe, Resolution 1416 (2005), 25 January 2005 (emphasis added). The resolution, albeit focused on the conflict over the Nagorno-Karabakh, can be used more widely. </w:t>
      </w:r>
    </w:p>
  </w:footnote>
  <w:footnote w:id="153">
    <w:p w14:paraId="288B27F1" w14:textId="66162027" w:rsidR="002B032D" w:rsidRPr="00834D0C" w:rsidRDefault="002B032D" w:rsidP="00163B41">
      <w:pPr>
        <w:pStyle w:val="FootnoteText"/>
        <w:jc w:val="both"/>
      </w:pPr>
      <w:r w:rsidRPr="00834D0C">
        <w:rPr>
          <w:rStyle w:val="FootnoteReference"/>
        </w:rPr>
        <w:footnoteRef/>
      </w:r>
      <w:r w:rsidRPr="00834D0C">
        <w:t xml:space="preserve"> Anne Peters</w:t>
      </w:r>
      <w:r w:rsidRPr="00834D0C">
        <w:rPr>
          <w:i/>
          <w:iCs/>
        </w:rPr>
        <w:t xml:space="preserve">, </w:t>
      </w:r>
      <w:r w:rsidR="00453543" w:rsidRPr="00834D0C">
        <w:t>‘</w:t>
      </w:r>
      <w:r w:rsidRPr="00834D0C">
        <w:t>Populist International Law? The Suspended Independence and the Normative Value of the Referendum on Catalonia</w:t>
      </w:r>
      <w:r w:rsidR="00453543" w:rsidRPr="00834D0C">
        <w:t>’</w:t>
      </w:r>
      <w:r w:rsidRPr="00834D0C">
        <w:rPr>
          <w:i/>
          <w:iCs/>
        </w:rPr>
        <w:t xml:space="preserve"> </w:t>
      </w:r>
      <w:proofErr w:type="spellStart"/>
      <w:r w:rsidRPr="00834D0C">
        <w:rPr>
          <w:i/>
          <w:iCs/>
        </w:rPr>
        <w:t>EJIL:Talk</w:t>
      </w:r>
      <w:proofErr w:type="spellEnd"/>
      <w:r w:rsidRPr="00834D0C">
        <w:rPr>
          <w:i/>
          <w:iCs/>
        </w:rPr>
        <w:t>!</w:t>
      </w:r>
      <w:r w:rsidRPr="00834D0C">
        <w:t xml:space="preserve">, 12 October 2017. </w:t>
      </w:r>
    </w:p>
  </w:footnote>
  <w:footnote w:id="154">
    <w:p w14:paraId="3D264EC1" w14:textId="615C5DE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CA6147" w:rsidRPr="00834D0C">
        <w:rPr>
          <w:rFonts w:cstheme="minorHAnsi"/>
        </w:rPr>
        <w:t>Cory Welt, ‘Georgia: Background and U.S. Policy’</w:t>
      </w:r>
      <w:r w:rsidR="00D64E89" w:rsidRPr="00834D0C">
        <w:rPr>
          <w:rFonts w:cstheme="minorHAnsi"/>
        </w:rPr>
        <w:t>,</w:t>
      </w:r>
      <w:r w:rsidR="00CA6147" w:rsidRPr="00834D0C">
        <w:rPr>
          <w:rFonts w:cstheme="minorHAnsi"/>
        </w:rPr>
        <w:t xml:space="preserve"> </w:t>
      </w:r>
      <w:r w:rsidR="00CA6147" w:rsidRPr="00834D0C">
        <w:rPr>
          <w:rFonts w:cstheme="minorHAnsi"/>
          <w:i/>
          <w:iCs/>
        </w:rPr>
        <w:t xml:space="preserve">Congressional Research Service, </w:t>
      </w:r>
      <w:r w:rsidR="00CA6147" w:rsidRPr="00834D0C">
        <w:rPr>
          <w:rFonts w:cstheme="minorHAnsi"/>
        </w:rPr>
        <w:t xml:space="preserve">10 June 2021, R45307, </w:t>
      </w:r>
      <w:r w:rsidRPr="00834D0C">
        <w:rPr>
          <w:rFonts w:cstheme="minorHAnsi"/>
        </w:rPr>
        <w:t>12.</w:t>
      </w:r>
    </w:p>
  </w:footnote>
  <w:footnote w:id="155">
    <w:p w14:paraId="6A0D120A" w14:textId="3E1A69E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Human Rights Watch, </w:t>
      </w:r>
      <w:r w:rsidRPr="00834D0C">
        <w:rPr>
          <w:rFonts w:cstheme="minorHAnsi"/>
          <w:i/>
          <w:iCs/>
        </w:rPr>
        <w:t>Georgia/Abkhazia: Violations of the Laws of War and Russia’s Role in the Conflict</w:t>
      </w:r>
      <w:r w:rsidRPr="00834D0C">
        <w:rPr>
          <w:rFonts w:cstheme="minorHAnsi"/>
        </w:rPr>
        <w:t xml:space="preserve">, Vol 7, No 7, March 1995. </w:t>
      </w:r>
    </w:p>
  </w:footnote>
  <w:footnote w:id="156">
    <w:p w14:paraId="05656D11" w14:textId="77777777" w:rsidR="002B032D" w:rsidRPr="00834D0C" w:rsidRDefault="002B032D" w:rsidP="00163B41">
      <w:pPr>
        <w:pStyle w:val="FootnoteText"/>
        <w:jc w:val="both"/>
      </w:pPr>
      <w:r w:rsidRPr="00834D0C">
        <w:rPr>
          <w:rStyle w:val="FootnoteReference"/>
        </w:rPr>
        <w:footnoteRef/>
      </w:r>
      <w:r w:rsidRPr="00834D0C">
        <w:t xml:space="preserve"> Act of State Independence of the Republic of Abkhazia, 12 October 1999.</w:t>
      </w:r>
    </w:p>
  </w:footnote>
  <w:footnote w:id="157">
    <w:p w14:paraId="4464CA83" w14:textId="4494D2A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Parliamentary Assembly of the Council of Europe, </w:t>
      </w:r>
      <w:r w:rsidRPr="00834D0C">
        <w:rPr>
          <w:rFonts w:cstheme="minorHAnsi"/>
          <w:i/>
          <w:iCs/>
        </w:rPr>
        <w:t>Report on the Application by Moldova for Membership of the Council of Europe</w:t>
      </w:r>
      <w:r w:rsidRPr="00834D0C">
        <w:rPr>
          <w:rFonts w:cstheme="minorHAnsi"/>
        </w:rPr>
        <w:t>,</w:t>
      </w:r>
      <w:r w:rsidRPr="00834D0C">
        <w:rPr>
          <w:rFonts w:cstheme="minorHAnsi"/>
          <w:i/>
          <w:iCs/>
        </w:rPr>
        <w:t xml:space="preserve"> </w:t>
      </w:r>
      <w:r w:rsidRPr="00834D0C">
        <w:rPr>
          <w:rFonts w:cstheme="minorHAnsi"/>
        </w:rPr>
        <w:t xml:space="preserve">Rapporteur Lord </w:t>
      </w:r>
      <w:proofErr w:type="spellStart"/>
      <w:r w:rsidRPr="00834D0C">
        <w:rPr>
          <w:rFonts w:cstheme="minorHAnsi"/>
        </w:rPr>
        <w:t>Finsberg</w:t>
      </w:r>
      <w:proofErr w:type="spellEnd"/>
      <w:r w:rsidRPr="00834D0C">
        <w:rPr>
          <w:rFonts w:cstheme="minorHAnsi"/>
        </w:rPr>
        <w:t>, Doc 7278 Revised, 22 May 1995, paras 30 and 73</w:t>
      </w:r>
      <w:r w:rsidR="00D64E89" w:rsidRPr="00834D0C">
        <w:rPr>
          <w:rFonts w:cstheme="minorHAnsi"/>
        </w:rPr>
        <w:t>;</w:t>
      </w:r>
      <w:r w:rsidRPr="00834D0C">
        <w:rPr>
          <w:rFonts w:cstheme="minorHAnsi"/>
        </w:rPr>
        <w:t xml:space="preserve"> </w:t>
      </w:r>
      <w:proofErr w:type="spellStart"/>
      <w:r w:rsidRPr="00834D0C">
        <w:rPr>
          <w:rFonts w:cstheme="minorHAnsi"/>
        </w:rPr>
        <w:t>Vahl</w:t>
      </w:r>
      <w:proofErr w:type="spellEnd"/>
      <w:r w:rsidR="002F5312">
        <w:rPr>
          <w:rFonts w:cstheme="minorHAnsi"/>
        </w:rPr>
        <w:t xml:space="preserve"> and</w:t>
      </w:r>
      <w:r w:rsidR="002F5312" w:rsidRPr="00834D0C">
        <w:rPr>
          <w:rFonts w:cstheme="minorHAnsi"/>
        </w:rPr>
        <w:t xml:space="preserve"> </w:t>
      </w:r>
      <w:r w:rsidRPr="00834D0C">
        <w:rPr>
          <w:rFonts w:cstheme="minorHAnsi"/>
        </w:rPr>
        <w:t>Emerson (</w:t>
      </w:r>
      <w:r w:rsidR="0084605E" w:rsidRPr="00834D0C">
        <w:rPr>
          <w:rFonts w:cstheme="minorHAnsi"/>
        </w:rPr>
        <w:t>n</w:t>
      </w:r>
      <w:r w:rsidRPr="00834D0C">
        <w:rPr>
          <w:rFonts w:cstheme="minorHAnsi"/>
        </w:rPr>
        <w:t xml:space="preserve"> </w:t>
      </w:r>
      <w:r w:rsidR="00356812" w:rsidRPr="00834D0C">
        <w:rPr>
          <w:rFonts w:cstheme="minorHAnsi"/>
        </w:rPr>
        <w:t>42</w:t>
      </w:r>
      <w:r w:rsidRPr="00834D0C">
        <w:rPr>
          <w:rFonts w:cstheme="minorHAnsi"/>
        </w:rPr>
        <w:t>) 7.</w:t>
      </w:r>
    </w:p>
  </w:footnote>
  <w:footnote w:id="158">
    <w:p w14:paraId="385BBD60" w14:textId="4F8C850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92B2E" w:rsidRPr="00834D0C">
        <w:rPr>
          <w:rFonts w:cstheme="minorHAnsi"/>
        </w:rPr>
        <w:t>ECtHR</w:t>
      </w:r>
      <w:r w:rsidRPr="00834D0C">
        <w:rPr>
          <w:rFonts w:cstheme="minorHAnsi"/>
        </w:rPr>
        <w:t xml:space="preserve">, </w:t>
      </w:r>
      <w:proofErr w:type="spellStart"/>
      <w:r w:rsidRPr="00834D0C">
        <w:rPr>
          <w:rFonts w:cstheme="minorHAnsi"/>
          <w:i/>
          <w:iCs/>
        </w:rPr>
        <w:t>Ilaşcu</w:t>
      </w:r>
      <w:proofErr w:type="spellEnd"/>
      <w:r w:rsidRPr="00834D0C">
        <w:rPr>
          <w:rFonts w:cstheme="minorHAnsi"/>
          <w:i/>
          <w:iCs/>
        </w:rPr>
        <w:t xml:space="preserve"> and Others v Moldova and Russia</w:t>
      </w:r>
      <w:r w:rsidRPr="00834D0C">
        <w:rPr>
          <w:rFonts w:cstheme="minorHAnsi"/>
        </w:rPr>
        <w:t xml:space="preserve">, Application No 48787/99, 8 July 2004, </w:t>
      </w:r>
      <w:r w:rsidR="00643ED5" w:rsidRPr="00834D0C">
        <w:rPr>
          <w:rFonts w:cstheme="minorHAnsi"/>
        </w:rPr>
        <w:t xml:space="preserve">para </w:t>
      </w:r>
      <w:r w:rsidRPr="00834D0C">
        <w:rPr>
          <w:rFonts w:cstheme="minorHAnsi"/>
        </w:rPr>
        <w:t xml:space="preserve">392; </w:t>
      </w:r>
      <w:r w:rsidRPr="00834D0C">
        <w:rPr>
          <w:rFonts w:cstheme="minorHAnsi"/>
          <w:i/>
          <w:iCs/>
        </w:rPr>
        <w:t>Catan</w:t>
      </w:r>
      <w:r w:rsidRPr="00834D0C">
        <w:rPr>
          <w:rFonts w:cstheme="minorHAnsi"/>
        </w:rPr>
        <w:t xml:space="preserve"> (</w:t>
      </w:r>
      <w:r w:rsidR="0084605E" w:rsidRPr="00834D0C">
        <w:rPr>
          <w:rFonts w:cstheme="minorHAnsi"/>
        </w:rPr>
        <w:t>n</w:t>
      </w:r>
      <w:r w:rsidRPr="00834D0C">
        <w:rPr>
          <w:rFonts w:cstheme="minorHAnsi"/>
        </w:rPr>
        <w:t xml:space="preserve"> </w:t>
      </w:r>
      <w:r w:rsidR="00792B2E" w:rsidRPr="00834D0C">
        <w:rPr>
          <w:rFonts w:cstheme="minorHAnsi"/>
        </w:rPr>
        <w:t>77</w:t>
      </w:r>
      <w:r w:rsidRPr="00834D0C">
        <w:rPr>
          <w:rFonts w:cstheme="minorHAnsi"/>
        </w:rPr>
        <w:t>) para</w:t>
      </w:r>
      <w:r w:rsidR="00643ED5" w:rsidRPr="00834D0C">
        <w:rPr>
          <w:rFonts w:cstheme="minorHAnsi"/>
        </w:rPr>
        <w:t xml:space="preserve"> </w:t>
      </w:r>
      <w:r w:rsidRPr="00834D0C">
        <w:rPr>
          <w:rFonts w:cstheme="minorHAnsi"/>
        </w:rPr>
        <w:t>105.</w:t>
      </w:r>
    </w:p>
  </w:footnote>
  <w:footnote w:id="159">
    <w:p w14:paraId="7F8C3CFB" w14:textId="74715FF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Bowring (</w:t>
      </w:r>
      <w:r w:rsidR="0084605E" w:rsidRPr="00834D0C">
        <w:rPr>
          <w:rFonts w:cstheme="minorHAnsi"/>
        </w:rPr>
        <w:t>n</w:t>
      </w:r>
      <w:r w:rsidRPr="00834D0C">
        <w:rPr>
          <w:rFonts w:cstheme="minorHAnsi"/>
        </w:rPr>
        <w:t xml:space="preserve"> </w:t>
      </w:r>
      <w:r w:rsidR="00E96CF5" w:rsidRPr="00834D0C">
        <w:rPr>
          <w:rFonts w:cstheme="minorHAnsi"/>
        </w:rPr>
        <w:t>11</w:t>
      </w:r>
      <w:r w:rsidRPr="00834D0C">
        <w:rPr>
          <w:rFonts w:cstheme="minorHAnsi"/>
        </w:rPr>
        <w:t>) 17-18.</w:t>
      </w:r>
    </w:p>
  </w:footnote>
  <w:footnote w:id="160">
    <w:p w14:paraId="64C5246A" w14:textId="643D18A1"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German </w:t>
      </w:r>
      <w:r w:rsidR="00FA029C" w:rsidRPr="00834D0C">
        <w:rPr>
          <w:rFonts w:cstheme="minorHAnsi"/>
        </w:rPr>
        <w:t xml:space="preserve">(n 44) </w:t>
      </w:r>
      <w:r w:rsidRPr="00834D0C">
        <w:t>157.</w:t>
      </w:r>
    </w:p>
  </w:footnote>
  <w:footnote w:id="161">
    <w:p w14:paraId="110827EB" w14:textId="6817446C"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German </w:t>
      </w:r>
      <w:r w:rsidR="00FA029C" w:rsidRPr="00834D0C">
        <w:rPr>
          <w:rFonts w:cstheme="minorHAnsi"/>
        </w:rPr>
        <w:t xml:space="preserve">(n 44) </w:t>
      </w:r>
      <w:r w:rsidRPr="00834D0C">
        <w:t>157.</w:t>
      </w:r>
    </w:p>
  </w:footnote>
  <w:footnote w:id="162">
    <w:p w14:paraId="6D20C7B9" w14:textId="7680B0BA" w:rsidR="002B032D" w:rsidRPr="00834D0C" w:rsidRDefault="002B032D" w:rsidP="00163B41">
      <w:pPr>
        <w:pStyle w:val="FootnoteText"/>
        <w:jc w:val="both"/>
      </w:pPr>
      <w:r w:rsidRPr="00834D0C">
        <w:rPr>
          <w:rStyle w:val="FootnoteReference"/>
        </w:rPr>
        <w:footnoteRef/>
      </w:r>
      <w:r w:rsidRPr="00834D0C">
        <w:t xml:space="preserve"> </w:t>
      </w:r>
      <w:proofErr w:type="spellStart"/>
      <w:r w:rsidR="0084605E" w:rsidRPr="00834D0C">
        <w:rPr>
          <w:rFonts w:cstheme="minorHAnsi"/>
        </w:rPr>
        <w:t>Kurtskhalia</w:t>
      </w:r>
      <w:proofErr w:type="spellEnd"/>
      <w:r w:rsidR="0084605E" w:rsidRPr="00834D0C">
        <w:rPr>
          <w:rFonts w:cstheme="minorHAnsi"/>
        </w:rPr>
        <w:t xml:space="preserve"> (n 4) </w:t>
      </w:r>
      <w:r w:rsidRPr="00834D0C">
        <w:rPr>
          <w:rFonts w:cstheme="minorHAnsi"/>
        </w:rPr>
        <w:t xml:space="preserve">76;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488.</w:t>
      </w:r>
    </w:p>
  </w:footnote>
  <w:footnote w:id="163">
    <w:p w14:paraId="39C6A1AD" w14:textId="027EE7D5" w:rsidR="002B032D" w:rsidRPr="00834D0C" w:rsidRDefault="002B032D" w:rsidP="00163B41">
      <w:pPr>
        <w:pStyle w:val="FootnoteText"/>
        <w:jc w:val="both"/>
      </w:pPr>
      <w:r w:rsidRPr="00834D0C">
        <w:rPr>
          <w:rStyle w:val="FootnoteReference"/>
        </w:rPr>
        <w:footnoteRef/>
      </w:r>
      <w:r w:rsidRPr="00834D0C">
        <w:t xml:space="preserve"> </w:t>
      </w:r>
      <w:bookmarkStart w:id="0" w:name="_Hlk122509576"/>
      <w:r w:rsidRPr="00834D0C">
        <w:t xml:space="preserve">Philip G Roeder, </w:t>
      </w:r>
      <w:r w:rsidRPr="00834D0C">
        <w:rPr>
          <w:i/>
          <w:iCs/>
        </w:rPr>
        <w:t>Where Nation-States Come From. Institutional Change in the Age of Nationalism</w:t>
      </w:r>
      <w:r w:rsidR="003673C3" w:rsidRPr="00834D0C">
        <w:t xml:space="preserve"> (P</w:t>
      </w:r>
      <w:r w:rsidR="00793739">
        <w:t>UP</w:t>
      </w:r>
      <w:r w:rsidR="003673C3" w:rsidRPr="00834D0C">
        <w:t xml:space="preserve"> </w:t>
      </w:r>
      <w:r w:rsidRPr="00834D0C">
        <w:t>2007</w:t>
      </w:r>
      <w:bookmarkEnd w:id="0"/>
      <w:r w:rsidR="003673C3" w:rsidRPr="00834D0C">
        <w:t>)</w:t>
      </w:r>
      <w:r w:rsidRPr="00834D0C">
        <w:t xml:space="preserve"> </w:t>
      </w:r>
      <w:r w:rsidRPr="00834D0C">
        <w:rPr>
          <w:rFonts w:cstheme="minorHAnsi"/>
        </w:rPr>
        <w:t>313.</w:t>
      </w:r>
    </w:p>
  </w:footnote>
  <w:footnote w:id="164">
    <w:p w14:paraId="0539E541" w14:textId="5E968AF0"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rPr>
          <w:i/>
          <w:iCs/>
        </w:rPr>
        <w:t>Chiragov</w:t>
      </w:r>
      <w:proofErr w:type="spellEnd"/>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792B2E" w:rsidRPr="00834D0C">
        <w:rPr>
          <w:rFonts w:cstheme="minorHAnsi"/>
        </w:rPr>
        <w:t>78</w:t>
      </w:r>
      <w:r w:rsidRPr="00834D0C">
        <w:rPr>
          <w:rFonts w:cstheme="minorHAnsi"/>
        </w:rPr>
        <w:t xml:space="preserve">) </w:t>
      </w:r>
      <w:r w:rsidRPr="00834D0C">
        <w:t>para 174.</w:t>
      </w:r>
    </w:p>
  </w:footnote>
  <w:footnote w:id="165">
    <w:p w14:paraId="588C42ED" w14:textId="1BC74FF1"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t>Kr</w:t>
      </w:r>
      <w:r w:rsidRPr="00834D0C">
        <w:rPr>
          <w:rFonts w:cstheme="minorHAnsi"/>
        </w:rPr>
        <w:t>ü</w:t>
      </w:r>
      <w:r w:rsidRPr="00834D0C">
        <w:t>ger</w:t>
      </w:r>
      <w:proofErr w:type="spellEnd"/>
      <w:r w:rsidR="00E96CF5"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E96CF5" w:rsidRPr="00834D0C">
        <w:rPr>
          <w:rFonts w:cstheme="minorHAnsi"/>
        </w:rPr>
        <w:t>9</w:t>
      </w:r>
      <w:r w:rsidRPr="00834D0C">
        <w:rPr>
          <w:rFonts w:cstheme="minorHAnsi"/>
        </w:rPr>
        <w:t>)</w:t>
      </w:r>
      <w:r w:rsidRPr="00834D0C">
        <w:t xml:space="preserve"> 112.</w:t>
      </w:r>
    </w:p>
  </w:footnote>
  <w:footnote w:id="166">
    <w:p w14:paraId="13FA3DEE" w14:textId="3D25A39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Dimitry Furman, </w:t>
      </w:r>
      <w:r w:rsidR="00CA6147" w:rsidRPr="00834D0C">
        <w:rPr>
          <w:rFonts w:cstheme="minorHAnsi"/>
        </w:rPr>
        <w:t>‘</w:t>
      </w:r>
      <w:r w:rsidRPr="00834D0C">
        <w:rPr>
          <w:rFonts w:cstheme="minorHAnsi"/>
        </w:rPr>
        <w:t xml:space="preserve">The Dynamic of the </w:t>
      </w:r>
      <w:proofErr w:type="spellStart"/>
      <w:r w:rsidRPr="00834D0C">
        <w:rPr>
          <w:rFonts w:cstheme="minorHAnsi"/>
        </w:rPr>
        <w:t>Karabkah</w:t>
      </w:r>
      <w:proofErr w:type="spellEnd"/>
      <w:r w:rsidRPr="00834D0C">
        <w:rPr>
          <w:rFonts w:cstheme="minorHAnsi"/>
        </w:rPr>
        <w:t xml:space="preserve"> Conflict</w:t>
      </w:r>
      <w:r w:rsidR="00CA6147" w:rsidRPr="00834D0C">
        <w:rPr>
          <w:rFonts w:cstheme="minorHAnsi"/>
        </w:rPr>
        <w:t>’</w:t>
      </w:r>
      <w:r w:rsidRPr="00834D0C">
        <w:rPr>
          <w:rFonts w:cstheme="minorHAnsi"/>
        </w:rPr>
        <w:t xml:space="preserve"> in Ehrhart</w:t>
      </w:r>
      <w:r w:rsidR="002F5312">
        <w:rPr>
          <w:rFonts w:cstheme="minorHAnsi"/>
        </w:rPr>
        <w:t xml:space="preserve">, </w:t>
      </w:r>
      <w:proofErr w:type="spellStart"/>
      <w:r w:rsidRPr="00834D0C">
        <w:rPr>
          <w:rFonts w:cstheme="minorHAnsi"/>
        </w:rPr>
        <w:t>Kreikemayer</w:t>
      </w:r>
      <w:proofErr w:type="spellEnd"/>
      <w:r w:rsidR="002F5312">
        <w:rPr>
          <w:rFonts w:cstheme="minorHAnsi"/>
        </w:rPr>
        <w:t xml:space="preserve"> and </w:t>
      </w:r>
      <w:proofErr w:type="spellStart"/>
      <w:r w:rsidRPr="00834D0C">
        <w:rPr>
          <w:rFonts w:cstheme="minorHAnsi"/>
        </w:rPr>
        <w:t>Zagorski</w:t>
      </w:r>
      <w:proofErr w:type="spellEnd"/>
      <w:r w:rsidR="00CA6147" w:rsidRPr="00834D0C">
        <w:rPr>
          <w:rFonts w:cstheme="minorHAnsi"/>
        </w:rPr>
        <w:t xml:space="preserve"> (n 41)</w:t>
      </w:r>
      <w:r w:rsidRPr="00834D0C">
        <w:rPr>
          <w:rFonts w:cstheme="minorHAnsi"/>
        </w:rPr>
        <w:t xml:space="preserve"> 40. </w:t>
      </w:r>
    </w:p>
  </w:footnote>
  <w:footnote w:id="167">
    <w:p w14:paraId="3B298785" w14:textId="777F6B0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266BFC" w:rsidRPr="00834D0C">
        <w:rPr>
          <w:rFonts w:cstheme="minorHAnsi"/>
        </w:rPr>
        <w:t xml:space="preserve">Ker-Lindsay (n 5) </w:t>
      </w:r>
      <w:r w:rsidRPr="00834D0C">
        <w:rPr>
          <w:rFonts w:cstheme="minorHAnsi"/>
        </w:rPr>
        <w:t>364.</w:t>
      </w:r>
    </w:p>
  </w:footnote>
  <w:footnote w:id="168">
    <w:p w14:paraId="45A6D4A3" w14:textId="2A16D78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CA6147" w:rsidRPr="00834D0C">
        <w:rPr>
          <w:rFonts w:cstheme="minorHAnsi"/>
        </w:rPr>
        <w:t xml:space="preserve">Roya M Hanna, ‘Right to Self-Determination in </w:t>
      </w:r>
      <w:r w:rsidR="00CA6147" w:rsidRPr="00834D0C">
        <w:rPr>
          <w:rFonts w:cstheme="minorHAnsi"/>
          <w:i/>
          <w:iCs/>
        </w:rPr>
        <w:t xml:space="preserve">Re Secession of Quebec’ </w:t>
      </w:r>
      <w:r w:rsidR="00CA6147" w:rsidRPr="00834D0C">
        <w:rPr>
          <w:rFonts w:cstheme="minorHAnsi"/>
        </w:rPr>
        <w:t xml:space="preserve">(1999) 23 </w:t>
      </w:r>
      <w:r w:rsidRPr="00834D0C">
        <w:rPr>
          <w:rFonts w:cstheme="minorHAnsi"/>
          <w:i/>
          <w:iCs/>
        </w:rPr>
        <w:t>Md J Int’l L</w:t>
      </w:r>
      <w:r w:rsidRPr="00834D0C">
        <w:rPr>
          <w:rFonts w:cstheme="minorHAnsi"/>
        </w:rPr>
        <w:t xml:space="preserve"> 213</w:t>
      </w:r>
      <w:r w:rsidR="00CA6147" w:rsidRPr="00834D0C">
        <w:rPr>
          <w:rFonts w:cstheme="minorHAnsi"/>
        </w:rPr>
        <w:t xml:space="preserve">, </w:t>
      </w:r>
      <w:r w:rsidRPr="00834D0C">
        <w:rPr>
          <w:rFonts w:cstheme="minorHAnsi"/>
        </w:rPr>
        <w:t>230.</w:t>
      </w:r>
    </w:p>
  </w:footnote>
  <w:footnote w:id="169">
    <w:p w14:paraId="16FA833D" w14:textId="3147F67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Lax</w:t>
      </w:r>
      <w:r w:rsidR="006D71D0"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6D71D0" w:rsidRPr="00834D0C">
        <w:rPr>
          <w:rFonts w:cstheme="minorHAnsi"/>
        </w:rPr>
        <w:t>14</w:t>
      </w:r>
      <w:r w:rsidRPr="00834D0C">
        <w:rPr>
          <w:rFonts w:cstheme="minorHAnsi"/>
        </w:rPr>
        <w:t>) 58.</w:t>
      </w:r>
    </w:p>
  </w:footnote>
  <w:footnote w:id="170">
    <w:p w14:paraId="5A485F92" w14:textId="6F15ADF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iCs/>
        </w:rPr>
        <w:t>Nicaragua</w:t>
      </w:r>
      <w:r w:rsidRPr="00834D0C">
        <w:rPr>
          <w:rFonts w:cstheme="minorHAnsi"/>
        </w:rPr>
        <w:t xml:space="preserve"> Case (</w:t>
      </w:r>
      <w:r w:rsidR="0084605E" w:rsidRPr="00834D0C">
        <w:rPr>
          <w:rFonts w:cstheme="minorHAnsi"/>
        </w:rPr>
        <w:t>n</w:t>
      </w:r>
      <w:r w:rsidRPr="00834D0C">
        <w:rPr>
          <w:rFonts w:cstheme="minorHAnsi"/>
        </w:rPr>
        <w:t xml:space="preserve"> </w:t>
      </w:r>
      <w:r w:rsidR="00530084" w:rsidRPr="00834D0C">
        <w:rPr>
          <w:rFonts w:cstheme="minorHAnsi"/>
        </w:rPr>
        <w:t>47</w:t>
      </w:r>
      <w:r w:rsidRPr="00834D0C">
        <w:rPr>
          <w:rFonts w:cstheme="minorHAnsi"/>
        </w:rPr>
        <w:t>) para 212.</w:t>
      </w:r>
    </w:p>
  </w:footnote>
  <w:footnote w:id="171">
    <w:p w14:paraId="47FC4EE8" w14:textId="509DF48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Style w:val="FootnoteReference"/>
          <w:rFonts w:cstheme="minorHAnsi"/>
        </w:rPr>
        <w:t xml:space="preserve"> </w:t>
      </w:r>
      <w:r w:rsidR="00564AE7" w:rsidRPr="00834D0C">
        <w:rPr>
          <w:rFonts w:cstheme="minorHAnsi"/>
        </w:rPr>
        <w:t>UNGA</w:t>
      </w:r>
      <w:r w:rsidRPr="00834D0C">
        <w:rPr>
          <w:rFonts w:cstheme="minorHAnsi"/>
        </w:rPr>
        <w:t xml:space="preserve">, </w:t>
      </w:r>
      <w:r w:rsidRPr="00834D0C">
        <w:rPr>
          <w:rFonts w:cstheme="minorHAnsi"/>
          <w:i/>
          <w:iCs/>
        </w:rPr>
        <w:t>Declaration on the Principles of International Law concerning Friendly Relations and Co-operation among States in Accordance with the Charter of the United Nations</w:t>
      </w:r>
      <w:r w:rsidRPr="00834D0C">
        <w:rPr>
          <w:rFonts w:cstheme="minorHAnsi"/>
        </w:rPr>
        <w:t>, UN Doc A/RES/2625 (XXV), 24 October 1970.</w:t>
      </w:r>
    </w:p>
  </w:footnote>
  <w:footnote w:id="172">
    <w:p w14:paraId="17702F29" w14:textId="4FD18FE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770D7" w:rsidRPr="00834D0C">
        <w:rPr>
          <w:rFonts w:cstheme="minorHAnsi"/>
        </w:rPr>
        <w:t>ICJ</w:t>
      </w:r>
      <w:r w:rsidRPr="00834D0C">
        <w:rPr>
          <w:rFonts w:cstheme="minorHAnsi"/>
        </w:rPr>
        <w:t xml:space="preserve">, </w:t>
      </w:r>
      <w:r w:rsidRPr="00834D0C">
        <w:rPr>
          <w:rFonts w:cstheme="minorHAnsi"/>
          <w:i/>
        </w:rPr>
        <w:t xml:space="preserve">Territorial Dispute (Libyan Arab </w:t>
      </w:r>
      <w:proofErr w:type="spellStart"/>
      <w:r w:rsidRPr="00834D0C">
        <w:rPr>
          <w:rFonts w:cstheme="minorHAnsi"/>
          <w:i/>
        </w:rPr>
        <w:t>J’amahiriya</w:t>
      </w:r>
      <w:proofErr w:type="spellEnd"/>
      <w:r w:rsidRPr="00834D0C">
        <w:rPr>
          <w:rFonts w:cstheme="minorHAnsi"/>
          <w:i/>
        </w:rPr>
        <w:t>/Chad)</w:t>
      </w:r>
      <w:r w:rsidRPr="00834D0C">
        <w:rPr>
          <w:rFonts w:cstheme="minorHAnsi"/>
        </w:rPr>
        <w:t xml:space="preserve">, Judgment, [1994] ICJ Rep 6, para 72; </w:t>
      </w:r>
      <w:r w:rsidR="009770D7" w:rsidRPr="00834D0C">
        <w:rPr>
          <w:rFonts w:cstheme="minorHAnsi"/>
        </w:rPr>
        <w:t>ICJ</w:t>
      </w:r>
      <w:r w:rsidRPr="00834D0C">
        <w:rPr>
          <w:rFonts w:cstheme="minorHAnsi"/>
        </w:rPr>
        <w:t xml:space="preserve">, </w:t>
      </w:r>
      <w:r w:rsidRPr="00834D0C">
        <w:rPr>
          <w:rFonts w:cstheme="minorHAnsi"/>
          <w:i/>
        </w:rPr>
        <w:t>The Corfu Channel</w:t>
      </w:r>
      <w:r w:rsidRPr="00834D0C">
        <w:rPr>
          <w:rFonts w:cstheme="minorHAnsi"/>
        </w:rPr>
        <w:t xml:space="preserve"> Case </w:t>
      </w:r>
      <w:r w:rsidRPr="00834D0C">
        <w:rPr>
          <w:rFonts w:cstheme="minorHAnsi"/>
          <w:i/>
          <w:iCs/>
        </w:rPr>
        <w:t>(United Kingdom v Albania)</w:t>
      </w:r>
      <w:r w:rsidRPr="00834D0C">
        <w:rPr>
          <w:rFonts w:cstheme="minorHAnsi"/>
        </w:rPr>
        <w:t>, Judgment, [1949] ICJ Rep 4, 35;</w:t>
      </w:r>
      <w:r w:rsidRPr="00834D0C">
        <w:rPr>
          <w:rFonts w:cstheme="minorHAnsi"/>
          <w:i/>
          <w:iCs/>
        </w:rPr>
        <w:t xml:space="preserve"> Nicaragua</w:t>
      </w:r>
      <w:r w:rsidRPr="00834D0C">
        <w:rPr>
          <w:rFonts w:cstheme="minorHAnsi"/>
        </w:rPr>
        <w:t xml:space="preserve"> Case (</w:t>
      </w:r>
      <w:r w:rsidR="0084605E" w:rsidRPr="00834D0C">
        <w:rPr>
          <w:rFonts w:cstheme="minorHAnsi"/>
        </w:rPr>
        <w:t>n</w:t>
      </w:r>
      <w:r w:rsidRPr="00834D0C">
        <w:rPr>
          <w:rFonts w:cstheme="minorHAnsi"/>
        </w:rPr>
        <w:t xml:space="preserve"> </w:t>
      </w:r>
      <w:r w:rsidR="00530084" w:rsidRPr="00834D0C">
        <w:rPr>
          <w:rFonts w:cstheme="minorHAnsi"/>
        </w:rPr>
        <w:t>47</w:t>
      </w:r>
      <w:r w:rsidRPr="00834D0C">
        <w:rPr>
          <w:rFonts w:cstheme="minorHAnsi"/>
        </w:rPr>
        <w:t xml:space="preserve">) para 263; </w:t>
      </w:r>
      <w:r w:rsidR="009770D7" w:rsidRPr="00834D0C">
        <w:rPr>
          <w:rFonts w:cstheme="minorHAnsi"/>
        </w:rPr>
        <w:t>ICJ</w:t>
      </w:r>
      <w:r w:rsidRPr="00834D0C">
        <w:t xml:space="preserve">, </w:t>
      </w:r>
      <w:r w:rsidRPr="00834D0C">
        <w:rPr>
          <w:i/>
        </w:rPr>
        <w:t xml:space="preserve">Case Concerning the Temple of Preah </w:t>
      </w:r>
      <w:proofErr w:type="spellStart"/>
      <w:r w:rsidRPr="00834D0C">
        <w:rPr>
          <w:i/>
        </w:rPr>
        <w:t>Vihear</w:t>
      </w:r>
      <w:proofErr w:type="spellEnd"/>
      <w:r w:rsidRPr="00834D0C">
        <w:rPr>
          <w:i/>
        </w:rPr>
        <w:t xml:space="preserve"> (Cambodia v Thailand)</w:t>
      </w:r>
      <w:r w:rsidRPr="00834D0C">
        <w:t>, Judgment, [1962] ICJ Rep 6, 34.</w:t>
      </w:r>
    </w:p>
  </w:footnote>
  <w:footnote w:id="173">
    <w:p w14:paraId="4BA38732" w14:textId="56B29F7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D71D0" w:rsidRPr="00834D0C">
        <w:rPr>
          <w:rFonts w:cstheme="minorHAnsi"/>
        </w:rPr>
        <w:t>Sterio</w:t>
      </w:r>
      <w:proofErr w:type="spellEnd"/>
      <w:r w:rsidR="006D71D0" w:rsidRPr="00834D0C">
        <w:rPr>
          <w:rFonts w:cstheme="minorHAnsi"/>
        </w:rPr>
        <w:t xml:space="preserve"> (n 18) </w:t>
      </w:r>
      <w:r w:rsidRPr="00834D0C">
        <w:rPr>
          <w:rFonts w:cstheme="minorHAnsi"/>
        </w:rPr>
        <w:t>223.</w:t>
      </w:r>
    </w:p>
  </w:footnote>
  <w:footnote w:id="174">
    <w:p w14:paraId="28D010DA" w14:textId="23CD4DE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64E89" w:rsidRPr="00834D0C">
        <w:rPr>
          <w:rFonts w:cstheme="minorHAnsi"/>
        </w:rPr>
        <w:t xml:space="preserve">Draft Conclusions on </w:t>
      </w:r>
      <w:r w:rsidR="00D64E89" w:rsidRPr="00834D0C">
        <w:rPr>
          <w:rFonts w:cstheme="minorHAnsi"/>
          <w:i/>
          <w:iCs/>
        </w:rPr>
        <w:t xml:space="preserve">Jus Cogens </w:t>
      </w:r>
      <w:r w:rsidR="00D64E89" w:rsidRPr="00834D0C">
        <w:rPr>
          <w:rFonts w:cstheme="minorHAnsi"/>
        </w:rPr>
        <w:t xml:space="preserve">Norms (n 145) </w:t>
      </w:r>
      <w:r w:rsidRPr="00834D0C">
        <w:rPr>
          <w:rFonts w:cstheme="minorHAnsi"/>
        </w:rPr>
        <w:t>Conclusion 23 (Annex).</w:t>
      </w:r>
    </w:p>
  </w:footnote>
  <w:footnote w:id="175">
    <w:p w14:paraId="266863F8" w14:textId="35C0367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9770D7" w:rsidRPr="00834D0C">
        <w:rPr>
          <w:rFonts w:cstheme="minorHAnsi"/>
        </w:rPr>
        <w:t>Somto</w:t>
      </w:r>
      <w:proofErr w:type="spellEnd"/>
      <w:r w:rsidR="009770D7" w:rsidRPr="00834D0C">
        <w:rPr>
          <w:rFonts w:cstheme="minorHAnsi"/>
        </w:rPr>
        <w:t xml:space="preserve"> David Ojukwu and Osita Dominic </w:t>
      </w:r>
      <w:proofErr w:type="spellStart"/>
      <w:r w:rsidR="009770D7" w:rsidRPr="00834D0C">
        <w:rPr>
          <w:rFonts w:cstheme="minorHAnsi"/>
        </w:rPr>
        <w:t>Okoli</w:t>
      </w:r>
      <w:proofErr w:type="spellEnd"/>
      <w:r w:rsidR="009770D7" w:rsidRPr="00834D0C">
        <w:rPr>
          <w:rFonts w:cstheme="minorHAnsi"/>
        </w:rPr>
        <w:t xml:space="preserve">, ‘A Critical Appraisal of the Right to Self-Determination under International Law’ (2021) 12(1) </w:t>
      </w:r>
      <w:r w:rsidR="009770D7" w:rsidRPr="00834D0C">
        <w:rPr>
          <w:rFonts w:cstheme="minorHAnsi"/>
          <w:i/>
          <w:iCs/>
        </w:rPr>
        <w:t>Nnamdi Azikiwe Uni J Int</w:t>
      </w:r>
      <w:r w:rsidR="002F5312">
        <w:rPr>
          <w:rFonts w:cstheme="minorHAnsi"/>
          <w:i/>
          <w:iCs/>
        </w:rPr>
        <w:t>’</w:t>
      </w:r>
      <w:r w:rsidR="009770D7" w:rsidRPr="00834D0C">
        <w:rPr>
          <w:rFonts w:cstheme="minorHAnsi"/>
          <w:i/>
          <w:iCs/>
        </w:rPr>
        <w:t>l L Jurisprudence</w:t>
      </w:r>
      <w:r w:rsidR="009770D7" w:rsidRPr="00834D0C">
        <w:rPr>
          <w:rFonts w:cstheme="minorHAnsi"/>
        </w:rPr>
        <w:t xml:space="preserve"> 127, 127</w:t>
      </w:r>
      <w:r w:rsidRPr="00834D0C">
        <w:rPr>
          <w:rFonts w:cstheme="minorHAnsi"/>
        </w:rPr>
        <w:t xml:space="preserve">; </w:t>
      </w:r>
      <w:proofErr w:type="spellStart"/>
      <w:r w:rsidR="006D71D0" w:rsidRPr="00834D0C">
        <w:rPr>
          <w:rFonts w:cstheme="minorHAnsi"/>
        </w:rPr>
        <w:t>Sterio</w:t>
      </w:r>
      <w:proofErr w:type="spellEnd"/>
      <w:r w:rsidR="006D71D0" w:rsidRPr="00834D0C">
        <w:rPr>
          <w:rFonts w:cstheme="minorHAnsi"/>
        </w:rPr>
        <w:t xml:space="preserve"> (n 18) </w:t>
      </w:r>
      <w:r w:rsidRPr="00834D0C">
        <w:rPr>
          <w:rFonts w:cstheme="minorHAnsi"/>
        </w:rPr>
        <w:t>223.</w:t>
      </w:r>
    </w:p>
  </w:footnote>
  <w:footnote w:id="176">
    <w:p w14:paraId="67EAAA20" w14:textId="2099827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rPr>
          <w:rFonts w:cstheme="minorHAnsi"/>
        </w:rPr>
        <w:t xml:space="preserve">Vidmar (n 14) </w:t>
      </w:r>
      <w:r w:rsidRPr="00834D0C">
        <w:rPr>
          <w:rFonts w:cstheme="minorHAnsi"/>
        </w:rPr>
        <w:t>707. On Ar</w:t>
      </w:r>
      <w:r w:rsidR="00DF4E6B" w:rsidRPr="00834D0C">
        <w:rPr>
          <w:rFonts w:cstheme="minorHAnsi"/>
        </w:rPr>
        <w:t>t</w:t>
      </w:r>
      <w:r w:rsidRPr="00834D0C">
        <w:rPr>
          <w:rFonts w:cstheme="minorHAnsi"/>
        </w:rPr>
        <w:t xml:space="preserve"> 2(4) UN Charter and its application between States, see </w:t>
      </w:r>
      <w:r w:rsidR="00720A17" w:rsidRPr="00834D0C">
        <w:rPr>
          <w:rFonts w:cstheme="minorHAnsi"/>
        </w:rPr>
        <w:t xml:space="preserve">Olivier Corten, ‘Territorial Integrity Narrowly Interpreted: Reasserting the Classical Inter-State Paradigm of International Law’ (2011) 24 </w:t>
      </w:r>
      <w:r w:rsidRPr="00834D0C">
        <w:rPr>
          <w:rFonts w:cstheme="minorHAnsi"/>
          <w:i/>
          <w:iCs/>
        </w:rPr>
        <w:t>LJIL</w:t>
      </w:r>
      <w:r w:rsidRPr="00834D0C">
        <w:rPr>
          <w:rFonts w:cstheme="minorHAnsi"/>
        </w:rPr>
        <w:t xml:space="preserve"> 87</w:t>
      </w:r>
      <w:r w:rsidR="00720A17" w:rsidRPr="00834D0C">
        <w:rPr>
          <w:rFonts w:cstheme="minorHAnsi"/>
        </w:rPr>
        <w:t xml:space="preserve">, </w:t>
      </w:r>
      <w:r w:rsidRPr="00834D0C">
        <w:rPr>
          <w:rFonts w:cstheme="minorHAnsi"/>
        </w:rPr>
        <w:t>90-91.</w:t>
      </w:r>
    </w:p>
  </w:footnote>
  <w:footnote w:id="177">
    <w:p w14:paraId="2B309F3B" w14:textId="44210A1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770D7" w:rsidRPr="00834D0C">
        <w:rPr>
          <w:rFonts w:cstheme="minorHAnsi"/>
        </w:rPr>
        <w:t>ICJ</w:t>
      </w:r>
      <w:r w:rsidRPr="00834D0C">
        <w:rPr>
          <w:rFonts w:cstheme="minorHAnsi"/>
        </w:rPr>
        <w:t xml:space="preserve">, </w:t>
      </w:r>
      <w:r w:rsidRPr="00834D0C">
        <w:rPr>
          <w:rFonts w:cstheme="minorHAnsi"/>
          <w:i/>
        </w:rPr>
        <w:t>Accordance with International Law of the Unilateral Declaration of Independence in Respect of Kosovo</w:t>
      </w:r>
      <w:r w:rsidRPr="00834D0C">
        <w:rPr>
          <w:rFonts w:cstheme="minorHAnsi"/>
        </w:rPr>
        <w:t>, Advisory Opinion, [2010] ICJ Rep 141, para 80.</w:t>
      </w:r>
    </w:p>
  </w:footnote>
  <w:footnote w:id="178">
    <w:p w14:paraId="306654CB" w14:textId="3E63ED5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Volker </w:t>
      </w:r>
      <w:proofErr w:type="spellStart"/>
      <w:r w:rsidRPr="00834D0C">
        <w:rPr>
          <w:rFonts w:cstheme="minorHAnsi"/>
        </w:rPr>
        <w:t>Röben</w:t>
      </w:r>
      <w:proofErr w:type="spellEnd"/>
      <w:r w:rsidRPr="00834D0C">
        <w:rPr>
          <w:rFonts w:cstheme="minorHAnsi"/>
        </w:rPr>
        <w:t xml:space="preserve">, </w:t>
      </w:r>
      <w:r w:rsidR="009770D7" w:rsidRPr="00834D0C">
        <w:rPr>
          <w:rFonts w:cstheme="minorHAnsi"/>
        </w:rPr>
        <w:t>‘</w:t>
      </w:r>
      <w:r w:rsidRPr="00834D0C">
        <w:rPr>
          <w:rFonts w:cstheme="minorHAnsi"/>
        </w:rPr>
        <w:t>The ICJ Advisory Opinion on the Unilateral Declaration of Independence in Respect of Kosovo: Rules or Principles?</w:t>
      </w:r>
      <w:r w:rsidR="009770D7" w:rsidRPr="00834D0C">
        <w:rPr>
          <w:rFonts w:cstheme="minorHAnsi"/>
        </w:rPr>
        <w:t xml:space="preserve">’ (2010) 2(3) </w:t>
      </w:r>
      <w:proofErr w:type="spellStart"/>
      <w:r w:rsidRPr="00834D0C">
        <w:rPr>
          <w:rFonts w:cstheme="minorHAnsi"/>
          <w:i/>
          <w:iCs/>
        </w:rPr>
        <w:t>GoJIL</w:t>
      </w:r>
      <w:proofErr w:type="spellEnd"/>
      <w:r w:rsidRPr="00834D0C">
        <w:rPr>
          <w:rFonts w:cstheme="minorHAnsi"/>
        </w:rPr>
        <w:t xml:space="preserve"> 1065</w:t>
      </w:r>
      <w:r w:rsidR="009770D7" w:rsidRPr="00834D0C">
        <w:rPr>
          <w:rFonts w:cstheme="minorHAnsi"/>
        </w:rPr>
        <w:t xml:space="preserve">, </w:t>
      </w:r>
      <w:r w:rsidRPr="00834D0C">
        <w:rPr>
          <w:rFonts w:cstheme="minorHAnsi"/>
        </w:rPr>
        <w:t>1068.</w:t>
      </w:r>
    </w:p>
  </w:footnote>
  <w:footnote w:id="179">
    <w:p w14:paraId="24F3F2EF" w14:textId="43441698" w:rsidR="002B032D" w:rsidRPr="00834D0C" w:rsidRDefault="002B032D" w:rsidP="00163B41">
      <w:pPr>
        <w:pStyle w:val="FootnoteText"/>
        <w:jc w:val="both"/>
      </w:pPr>
      <w:r w:rsidRPr="00834D0C">
        <w:rPr>
          <w:rStyle w:val="FootnoteReference"/>
        </w:rPr>
        <w:footnoteRef/>
      </w:r>
      <w:r w:rsidRPr="00834D0C">
        <w:t xml:space="preserve"> Georges Abi–Saab, </w:t>
      </w:r>
      <w:r w:rsidR="009770D7" w:rsidRPr="00834D0C">
        <w:t>‘C</w:t>
      </w:r>
      <w:r w:rsidRPr="00834D0C">
        <w:t>onclusions</w:t>
      </w:r>
      <w:r w:rsidR="009770D7" w:rsidRPr="00834D0C">
        <w:t>’</w:t>
      </w:r>
      <w:r w:rsidRPr="00834D0C">
        <w:t xml:space="preserve"> in</w:t>
      </w:r>
      <w:r w:rsidR="009770D7" w:rsidRPr="00834D0C">
        <w:t xml:space="preserve"> Marcelo</w:t>
      </w:r>
      <w:r w:rsidRPr="00834D0C">
        <w:t xml:space="preserve"> </w:t>
      </w:r>
      <w:r w:rsidR="009770D7" w:rsidRPr="00834D0C">
        <w:t xml:space="preserve">G </w:t>
      </w:r>
      <w:r w:rsidRPr="00834D0C">
        <w:t>Kohen (</w:t>
      </w:r>
      <w:r w:rsidR="009770D7" w:rsidRPr="00834D0C">
        <w:t>ed</w:t>
      </w:r>
      <w:r w:rsidRPr="00834D0C">
        <w:t xml:space="preserve">), </w:t>
      </w:r>
      <w:r w:rsidRPr="00834D0C">
        <w:rPr>
          <w:i/>
          <w:iCs/>
        </w:rPr>
        <w:t>Secession – International Law Perspectives</w:t>
      </w:r>
      <w:r w:rsidRPr="00834D0C">
        <w:t xml:space="preserve"> </w:t>
      </w:r>
      <w:r w:rsidR="009770D7" w:rsidRPr="00834D0C">
        <w:t xml:space="preserve">(CUP </w:t>
      </w:r>
      <w:r w:rsidRPr="00834D0C">
        <w:t>2006</w:t>
      </w:r>
      <w:r w:rsidR="009770D7" w:rsidRPr="00834D0C">
        <w:t xml:space="preserve">) </w:t>
      </w:r>
      <w:r w:rsidRPr="00834D0C">
        <w:t>470</w:t>
      </w:r>
      <w:r w:rsidR="009770D7" w:rsidRPr="00834D0C">
        <w:t xml:space="preserve">, </w:t>
      </w:r>
      <w:r w:rsidRPr="00834D0C">
        <w:t>474.</w:t>
      </w:r>
    </w:p>
  </w:footnote>
  <w:footnote w:id="180">
    <w:p w14:paraId="12E1530F" w14:textId="0764B2E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rPr>
          <w:rFonts w:cstheme="minorHAnsi"/>
        </w:rPr>
        <w:t xml:space="preserve">Vidmar (n 14) </w:t>
      </w:r>
      <w:r w:rsidRPr="00834D0C">
        <w:rPr>
          <w:rFonts w:cstheme="minorHAnsi"/>
        </w:rPr>
        <w:t>368-369. Corten (</w:t>
      </w:r>
      <w:r w:rsidR="0084605E" w:rsidRPr="00834D0C">
        <w:rPr>
          <w:rFonts w:cstheme="minorHAnsi"/>
        </w:rPr>
        <w:t>n</w:t>
      </w:r>
      <w:r w:rsidR="009037C8" w:rsidRPr="00834D0C">
        <w:rPr>
          <w:rFonts w:cstheme="minorHAnsi"/>
        </w:rPr>
        <w:t xml:space="preserve"> 175</w:t>
      </w:r>
      <w:r w:rsidRPr="00834D0C">
        <w:rPr>
          <w:rFonts w:cstheme="minorHAnsi"/>
        </w:rPr>
        <w:t>) 91.</w:t>
      </w:r>
    </w:p>
  </w:footnote>
  <w:footnote w:id="181">
    <w:p w14:paraId="3658B7AD" w14:textId="3C90D57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rPr>
          <w:rFonts w:cstheme="minorHAnsi"/>
        </w:rPr>
        <w:t xml:space="preserve">Vidmar (n 14) </w:t>
      </w:r>
      <w:r w:rsidRPr="00834D0C">
        <w:rPr>
          <w:rFonts w:cstheme="minorHAnsi"/>
        </w:rPr>
        <w:t>708.</w:t>
      </w:r>
    </w:p>
  </w:footnote>
  <w:footnote w:id="182">
    <w:p w14:paraId="4E4397CB" w14:textId="400B202D"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137.</w:t>
      </w:r>
    </w:p>
  </w:footnote>
  <w:footnote w:id="183">
    <w:p w14:paraId="5C1E1F6D" w14:textId="13DCD84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e.g., United Nations Human Rights Council, </w:t>
      </w:r>
      <w:r w:rsidRPr="00834D0C">
        <w:rPr>
          <w:rFonts w:cstheme="minorHAnsi"/>
          <w:i/>
          <w:iCs/>
        </w:rPr>
        <w:t>Enhancement of International Cooperation in the Field of Human Rights</w:t>
      </w:r>
      <w:r w:rsidRPr="00834D0C">
        <w:rPr>
          <w:rFonts w:cstheme="minorHAnsi"/>
        </w:rPr>
        <w:t>, UN Doc</w:t>
      </w:r>
      <w:r w:rsidR="00647E1F" w:rsidRPr="00834D0C">
        <w:rPr>
          <w:rFonts w:cstheme="minorHAnsi"/>
        </w:rPr>
        <w:t xml:space="preserve"> </w:t>
      </w:r>
      <w:r w:rsidRPr="00834D0C">
        <w:rPr>
          <w:rFonts w:cstheme="minorHAnsi"/>
        </w:rPr>
        <w:t xml:space="preserve">A/HRC/RES/47/9, 16 July 2021, </w:t>
      </w:r>
      <w:r w:rsidR="00643ED5" w:rsidRPr="00834D0C">
        <w:rPr>
          <w:rFonts w:cstheme="minorHAnsi"/>
        </w:rPr>
        <w:t xml:space="preserve">para </w:t>
      </w:r>
      <w:r w:rsidRPr="00834D0C">
        <w:rPr>
          <w:rFonts w:cstheme="minorHAnsi"/>
        </w:rPr>
        <w:t>14.</w:t>
      </w:r>
    </w:p>
  </w:footnote>
  <w:footnote w:id="184">
    <w:p w14:paraId="0B04C8C8" w14:textId="7630041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564AE7" w:rsidRPr="00834D0C">
        <w:rPr>
          <w:rFonts w:cstheme="minorHAnsi"/>
        </w:rPr>
        <w:t>UNGA</w:t>
      </w:r>
      <w:r w:rsidRPr="00834D0C">
        <w:rPr>
          <w:rFonts w:cstheme="minorHAnsi"/>
        </w:rPr>
        <w:t xml:space="preserve">, </w:t>
      </w:r>
      <w:r w:rsidRPr="00834D0C">
        <w:rPr>
          <w:rFonts w:cstheme="minorHAnsi"/>
          <w:i/>
          <w:iCs/>
        </w:rPr>
        <w:t>United Nations Declaration on the Rights of Indigenous Peoples</w:t>
      </w:r>
      <w:r w:rsidRPr="00834D0C">
        <w:rPr>
          <w:rFonts w:cstheme="minorHAnsi"/>
        </w:rPr>
        <w:t>, UN Doc A/RES/61/295, 13 September 2007, Ar</w:t>
      </w:r>
      <w:r w:rsidR="00DF4E6B" w:rsidRPr="00834D0C">
        <w:rPr>
          <w:rFonts w:cstheme="minorHAnsi"/>
        </w:rPr>
        <w:t>t</w:t>
      </w:r>
      <w:r w:rsidRPr="00834D0C">
        <w:rPr>
          <w:rFonts w:cstheme="minorHAnsi"/>
        </w:rPr>
        <w:t xml:space="preserve"> 46(1).</w:t>
      </w:r>
    </w:p>
  </w:footnote>
  <w:footnote w:id="185">
    <w:p w14:paraId="2AA3A11C" w14:textId="31E1798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Framework Convention for the Protection of National Minorities, ETS No 157, 1 February 1995, Art 21; European Charter on Regional or Minority Languages, ETS No 148, 5 November 1992, Art 5.</w:t>
      </w:r>
    </w:p>
  </w:footnote>
  <w:footnote w:id="186">
    <w:p w14:paraId="649D73FF" w14:textId="01A2AD5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United Nations Office of Public Information, </w:t>
      </w:r>
      <w:r w:rsidR="00647E1F" w:rsidRPr="00834D0C">
        <w:rPr>
          <w:rFonts w:cstheme="minorHAnsi"/>
        </w:rPr>
        <w:t>‘</w:t>
      </w:r>
      <w:r w:rsidRPr="00834D0C">
        <w:rPr>
          <w:rFonts w:cstheme="minorHAnsi"/>
        </w:rPr>
        <w:t>Statement of Secretary General Thant</w:t>
      </w:r>
      <w:r w:rsidR="00647E1F" w:rsidRPr="00834D0C">
        <w:rPr>
          <w:rFonts w:cstheme="minorHAnsi"/>
        </w:rPr>
        <w:t>’</w:t>
      </w:r>
      <w:r w:rsidRPr="00834D0C">
        <w:rPr>
          <w:rFonts w:cstheme="minorHAnsi"/>
        </w:rPr>
        <w:t xml:space="preserve">, </w:t>
      </w:r>
      <w:r w:rsidRPr="00834D0C">
        <w:rPr>
          <w:rFonts w:cstheme="minorHAnsi"/>
          <w:i/>
          <w:iCs/>
        </w:rPr>
        <w:t>UN Monthly Chronicle</w:t>
      </w:r>
      <w:r w:rsidRPr="00834D0C">
        <w:rPr>
          <w:rFonts w:cstheme="minorHAnsi"/>
        </w:rPr>
        <w:t xml:space="preserve"> 1970, 36. </w:t>
      </w:r>
    </w:p>
  </w:footnote>
  <w:footnote w:id="187">
    <w:p w14:paraId="3FBFAEBB" w14:textId="56E9BE6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47E1F" w:rsidRPr="00834D0C">
        <w:rPr>
          <w:rFonts w:cstheme="minorHAnsi"/>
        </w:rPr>
        <w:t xml:space="preserve">Adam Twardowski, ‘The Return of </w:t>
      </w:r>
      <w:r w:rsidR="00647E1F" w:rsidRPr="00834D0C">
        <w:rPr>
          <w:rFonts w:cstheme="minorHAnsi"/>
          <w:i/>
          <w:iCs/>
        </w:rPr>
        <w:t xml:space="preserve">Novorossiya: </w:t>
      </w:r>
      <w:r w:rsidR="00647E1F" w:rsidRPr="00834D0C">
        <w:rPr>
          <w:rFonts w:cstheme="minorHAnsi"/>
        </w:rPr>
        <w:t xml:space="preserve">Why Russia’s Intervention in Ukraine Exposes the Weakness of International Law’ (2015) 24 </w:t>
      </w:r>
      <w:proofErr w:type="spellStart"/>
      <w:r w:rsidRPr="00834D0C">
        <w:rPr>
          <w:rFonts w:cstheme="minorHAnsi"/>
          <w:i/>
          <w:iCs/>
        </w:rPr>
        <w:t>Minn</w:t>
      </w:r>
      <w:proofErr w:type="spellEnd"/>
      <w:r w:rsidRPr="00834D0C">
        <w:rPr>
          <w:rFonts w:cstheme="minorHAnsi"/>
          <w:i/>
          <w:iCs/>
        </w:rPr>
        <w:t xml:space="preserve"> J Int’l L</w:t>
      </w:r>
      <w:r w:rsidRPr="00834D0C">
        <w:rPr>
          <w:rFonts w:cstheme="minorHAnsi"/>
        </w:rPr>
        <w:t xml:space="preserve"> 351</w:t>
      </w:r>
      <w:r w:rsidR="00647E1F" w:rsidRPr="00834D0C">
        <w:rPr>
          <w:rFonts w:cstheme="minorHAnsi"/>
        </w:rPr>
        <w:t xml:space="preserve">, </w:t>
      </w:r>
      <w:r w:rsidRPr="00834D0C">
        <w:rPr>
          <w:rFonts w:cstheme="minorHAnsi"/>
        </w:rPr>
        <w:t>368.</w:t>
      </w:r>
    </w:p>
  </w:footnote>
  <w:footnote w:id="188">
    <w:p w14:paraId="3519F210" w14:textId="6FA02D3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Chris </w:t>
      </w:r>
      <w:proofErr w:type="spellStart"/>
      <w:r w:rsidRPr="00834D0C">
        <w:rPr>
          <w:rFonts w:cstheme="minorHAnsi"/>
        </w:rPr>
        <w:t>Borgen</w:t>
      </w:r>
      <w:proofErr w:type="spellEnd"/>
      <w:r w:rsidRPr="00834D0C">
        <w:rPr>
          <w:rFonts w:cstheme="minorHAnsi"/>
        </w:rPr>
        <w:t xml:space="preserve">, </w:t>
      </w:r>
      <w:r w:rsidR="009770D7" w:rsidRPr="00834D0C">
        <w:rPr>
          <w:rFonts w:cstheme="minorHAnsi"/>
        </w:rPr>
        <w:t>‘C</w:t>
      </w:r>
      <w:r w:rsidRPr="00834D0C">
        <w:rPr>
          <w:rFonts w:cstheme="minorHAnsi"/>
        </w:rPr>
        <w:t>an Crimea Secede by Referendum?</w:t>
      </w:r>
      <w:r w:rsidR="009770D7" w:rsidRPr="00834D0C">
        <w:rPr>
          <w:rFonts w:cstheme="minorHAnsi"/>
        </w:rPr>
        <w:t>’</w:t>
      </w:r>
      <w:r w:rsidRPr="00834D0C">
        <w:rPr>
          <w:rFonts w:cstheme="minorHAnsi"/>
        </w:rPr>
        <w:t xml:space="preserve"> </w:t>
      </w:r>
      <w:proofErr w:type="spellStart"/>
      <w:r w:rsidRPr="00834D0C">
        <w:rPr>
          <w:rFonts w:cstheme="minorHAnsi"/>
          <w:i/>
          <w:iCs/>
        </w:rPr>
        <w:t>Opinio</w:t>
      </w:r>
      <w:proofErr w:type="spellEnd"/>
      <w:r w:rsidRPr="00834D0C">
        <w:rPr>
          <w:rFonts w:cstheme="minorHAnsi"/>
          <w:i/>
          <w:iCs/>
        </w:rPr>
        <w:t xml:space="preserve"> Juris</w:t>
      </w:r>
      <w:r w:rsidRPr="00834D0C">
        <w:rPr>
          <w:rFonts w:cstheme="minorHAnsi"/>
        </w:rPr>
        <w:t>,</w:t>
      </w:r>
      <w:r w:rsidRPr="00834D0C">
        <w:rPr>
          <w:rFonts w:cstheme="minorHAnsi"/>
          <w:i/>
          <w:iCs/>
        </w:rPr>
        <w:t xml:space="preserve"> </w:t>
      </w:r>
      <w:r w:rsidRPr="00834D0C">
        <w:rPr>
          <w:rFonts w:cstheme="minorHAnsi"/>
        </w:rPr>
        <w:t xml:space="preserve">6 March 2014. </w:t>
      </w:r>
    </w:p>
  </w:footnote>
  <w:footnote w:id="189">
    <w:p w14:paraId="37AD037A" w14:textId="7DF1D610" w:rsidR="002B032D" w:rsidRPr="00834D0C" w:rsidRDefault="002B032D" w:rsidP="00163B41">
      <w:pPr>
        <w:pStyle w:val="FootnoteText"/>
        <w:jc w:val="both"/>
      </w:pPr>
      <w:r w:rsidRPr="00834D0C">
        <w:rPr>
          <w:rStyle w:val="FootnoteReference"/>
        </w:rPr>
        <w:footnoteRef/>
      </w:r>
      <w:r w:rsidRPr="00834D0C">
        <w:t xml:space="preserve"> </w:t>
      </w:r>
      <w:r w:rsidR="00453543" w:rsidRPr="00834D0C">
        <w:rPr>
          <w:rFonts w:cstheme="minorHAnsi"/>
        </w:rPr>
        <w:t xml:space="preserve">Alexander </w:t>
      </w:r>
      <w:proofErr w:type="spellStart"/>
      <w:r w:rsidR="00453543" w:rsidRPr="00834D0C">
        <w:rPr>
          <w:rFonts w:cstheme="minorHAnsi"/>
        </w:rPr>
        <w:t>Orakhelashvili</w:t>
      </w:r>
      <w:proofErr w:type="spellEnd"/>
      <w:r w:rsidR="00453543" w:rsidRPr="00834D0C">
        <w:rPr>
          <w:rFonts w:cstheme="minorHAnsi"/>
        </w:rPr>
        <w:t xml:space="preserve">, ‘Statehood, Recognition and the United Nations System: A Unilateral Declaration of Independence of Kosovo’ (2008) 12 </w:t>
      </w:r>
      <w:r w:rsidRPr="00834D0C">
        <w:rPr>
          <w:rFonts w:cstheme="minorHAnsi"/>
          <w:i/>
          <w:iCs/>
        </w:rPr>
        <w:t xml:space="preserve">Max Planck </w:t>
      </w:r>
      <w:proofErr w:type="spellStart"/>
      <w:r w:rsidRPr="00834D0C">
        <w:rPr>
          <w:rFonts w:cstheme="minorHAnsi"/>
          <w:i/>
          <w:iCs/>
        </w:rPr>
        <w:t>Yrbk</w:t>
      </w:r>
      <w:proofErr w:type="spellEnd"/>
      <w:r w:rsidRPr="00834D0C">
        <w:rPr>
          <w:rFonts w:cstheme="minorHAnsi"/>
          <w:i/>
          <w:iCs/>
        </w:rPr>
        <w:t xml:space="preserve"> UN L</w:t>
      </w:r>
      <w:r w:rsidRPr="00834D0C">
        <w:rPr>
          <w:rFonts w:cstheme="minorHAnsi"/>
        </w:rPr>
        <w:t xml:space="preserve"> 1</w:t>
      </w:r>
      <w:r w:rsidR="00453543" w:rsidRPr="00834D0C">
        <w:rPr>
          <w:rFonts w:cstheme="minorHAnsi"/>
        </w:rPr>
        <w:t xml:space="preserve">, </w:t>
      </w:r>
      <w:r w:rsidRPr="00834D0C">
        <w:rPr>
          <w:rFonts w:cstheme="minorHAnsi"/>
        </w:rPr>
        <w:t>13.</w:t>
      </w:r>
    </w:p>
  </w:footnote>
  <w:footnote w:id="190">
    <w:p w14:paraId="14E14BAF" w14:textId="309A226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Grant (</w:t>
      </w:r>
      <w:r w:rsidR="0084605E" w:rsidRPr="00834D0C">
        <w:rPr>
          <w:rFonts w:cstheme="minorHAnsi"/>
        </w:rPr>
        <w:t>n</w:t>
      </w:r>
      <w:r w:rsidR="00453543" w:rsidRPr="00834D0C">
        <w:rPr>
          <w:rFonts w:cstheme="minorHAnsi"/>
        </w:rPr>
        <w:t xml:space="preserve"> 83</w:t>
      </w:r>
      <w:r w:rsidRPr="00834D0C">
        <w:rPr>
          <w:rFonts w:cstheme="minorHAnsi"/>
        </w:rPr>
        <w:t>) 439-440.</w:t>
      </w:r>
    </w:p>
  </w:footnote>
  <w:footnote w:id="191">
    <w:p w14:paraId="3615B323" w14:textId="546E580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Style w:val="sb8d990e2"/>
          <w:rFonts w:cstheme="minorHAnsi"/>
          <w:shd w:val="clear" w:color="auto" w:fill="FFFFFF"/>
        </w:rPr>
        <w:t xml:space="preserve">PACE Resolution 1416 (2005) </w:t>
      </w:r>
      <w:r w:rsidRPr="00834D0C">
        <w:rPr>
          <w:rFonts w:cstheme="minorHAnsi"/>
        </w:rPr>
        <w:t>(</w:t>
      </w:r>
      <w:r w:rsidR="0084605E" w:rsidRPr="00834D0C">
        <w:rPr>
          <w:rFonts w:cstheme="minorHAnsi"/>
        </w:rPr>
        <w:t>n</w:t>
      </w:r>
      <w:r w:rsidR="00453543" w:rsidRPr="00834D0C">
        <w:rPr>
          <w:rFonts w:cstheme="minorHAnsi"/>
        </w:rPr>
        <w:t xml:space="preserve"> 151</w:t>
      </w:r>
      <w:r w:rsidRPr="00834D0C">
        <w:rPr>
          <w:rFonts w:cstheme="minorHAnsi"/>
        </w:rPr>
        <w:t>).</w:t>
      </w:r>
      <w:r w:rsidRPr="00834D0C">
        <w:rPr>
          <w:rStyle w:val="sb8d990e2"/>
          <w:rFonts w:cstheme="minorHAnsi"/>
          <w:shd w:val="clear" w:color="auto" w:fill="FFFFFF"/>
        </w:rPr>
        <w:t xml:space="preserve"> </w:t>
      </w:r>
    </w:p>
  </w:footnote>
  <w:footnote w:id="192">
    <w:p w14:paraId="786547D8" w14:textId="33DAE1F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Lynch (</w:t>
      </w:r>
      <w:r w:rsidR="0084605E" w:rsidRPr="00834D0C">
        <w:rPr>
          <w:rFonts w:cstheme="minorHAnsi"/>
        </w:rPr>
        <w:t>n</w:t>
      </w:r>
      <w:r w:rsidR="00643ED5" w:rsidRPr="00834D0C">
        <w:rPr>
          <w:rFonts w:cstheme="minorHAnsi"/>
        </w:rPr>
        <w:t xml:space="preserve"> 90</w:t>
      </w:r>
      <w:r w:rsidRPr="00834D0C">
        <w:rPr>
          <w:rFonts w:cstheme="minorHAnsi"/>
        </w:rPr>
        <w:t>) 833.</w:t>
      </w:r>
    </w:p>
  </w:footnote>
  <w:footnote w:id="193">
    <w:p w14:paraId="03C531DD" w14:textId="6C593F6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e.g., U</w:t>
      </w:r>
      <w:r w:rsidR="00564AE7" w:rsidRPr="00834D0C">
        <w:rPr>
          <w:rFonts w:cstheme="minorHAnsi"/>
        </w:rPr>
        <w:t>NGA</w:t>
      </w:r>
      <w:r w:rsidRPr="00834D0C">
        <w:rPr>
          <w:rFonts w:cstheme="minorHAnsi"/>
        </w:rPr>
        <w:t xml:space="preserve">, </w:t>
      </w:r>
      <w:r w:rsidRPr="00834D0C">
        <w:rPr>
          <w:rFonts w:cstheme="minorHAnsi"/>
          <w:i/>
          <w:iCs/>
        </w:rPr>
        <w:t>Right of Peoples to Self-Determination</w:t>
      </w:r>
      <w:r w:rsidRPr="00834D0C">
        <w:rPr>
          <w:rFonts w:cstheme="minorHAnsi"/>
        </w:rPr>
        <w:t xml:space="preserve">, Report of the Secretary-General, UN Doc A/58/180, 24 July 2003, </w:t>
      </w:r>
      <w:r w:rsidR="00643ED5" w:rsidRPr="00834D0C">
        <w:rPr>
          <w:rFonts w:cstheme="minorHAnsi"/>
        </w:rPr>
        <w:t xml:space="preserve">para </w:t>
      </w:r>
      <w:r w:rsidRPr="00834D0C">
        <w:rPr>
          <w:rFonts w:cstheme="minorHAnsi"/>
        </w:rPr>
        <w:t>4.</w:t>
      </w:r>
    </w:p>
  </w:footnote>
  <w:footnote w:id="194">
    <w:p w14:paraId="0BD46FEE" w14:textId="1CC1479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e.g., the first one UN Security Council, Resolution 876 (1993) of 19 October 1993, </w:t>
      </w:r>
      <w:r w:rsidR="00643ED5" w:rsidRPr="00834D0C">
        <w:rPr>
          <w:rFonts w:cstheme="minorHAnsi"/>
        </w:rPr>
        <w:t xml:space="preserve">para </w:t>
      </w:r>
      <w:r w:rsidRPr="00834D0C">
        <w:rPr>
          <w:rFonts w:cstheme="minorHAnsi"/>
        </w:rPr>
        <w:t xml:space="preserve">1 and the last one is United Nations Security Council, Resolution 1808 (2008), UN Doc S/RES/1808 (2008), 15 April 2008, </w:t>
      </w:r>
      <w:r w:rsidR="00643ED5" w:rsidRPr="00834D0C">
        <w:rPr>
          <w:rFonts w:cstheme="minorHAnsi"/>
        </w:rPr>
        <w:t xml:space="preserve">para </w:t>
      </w:r>
      <w:r w:rsidRPr="00834D0C">
        <w:rPr>
          <w:rFonts w:cstheme="minorHAnsi"/>
        </w:rPr>
        <w:t>1</w:t>
      </w:r>
      <w:r w:rsidR="00D64E89" w:rsidRPr="00834D0C">
        <w:rPr>
          <w:rFonts w:cstheme="minorHAnsi"/>
        </w:rPr>
        <w:t>.</w:t>
      </w:r>
    </w:p>
  </w:footnote>
  <w:footnote w:id="195">
    <w:p w14:paraId="079B7A79" w14:textId="79DC2628" w:rsidR="002B032D" w:rsidRPr="00834D0C" w:rsidRDefault="002B032D" w:rsidP="00163B41">
      <w:pPr>
        <w:pStyle w:val="FootnoteText"/>
        <w:jc w:val="both"/>
      </w:pPr>
      <w:r w:rsidRPr="00834D0C">
        <w:rPr>
          <w:rStyle w:val="FootnoteReference"/>
        </w:rPr>
        <w:footnoteRef/>
      </w:r>
      <w:r w:rsidRPr="00834D0C">
        <w:t xml:space="preserve"> See the list of resolutions mentioned in the </w:t>
      </w:r>
      <w:proofErr w:type="spellStart"/>
      <w:r w:rsidRPr="00834D0C">
        <w:t>Tagliavani</w:t>
      </w:r>
      <w:proofErr w:type="spellEnd"/>
      <w:r w:rsidRPr="00834D0C">
        <w:t xml:space="preserve"> report that refers to the territorial integrity of Georgia. </w:t>
      </w:r>
      <w:r w:rsidR="009037C8" w:rsidRPr="00834D0C">
        <w:t xml:space="preserve">EU </w:t>
      </w:r>
      <w:r w:rsidR="009037C8" w:rsidRPr="00834D0C">
        <w:rPr>
          <w:rFonts w:cstheme="minorHAnsi"/>
        </w:rPr>
        <w:t xml:space="preserve">(n 20) </w:t>
      </w:r>
      <w:r w:rsidRPr="00834D0C">
        <w:t>145 (fn81).</w:t>
      </w:r>
    </w:p>
  </w:footnote>
  <w:footnote w:id="196">
    <w:p w14:paraId="52684C48" w14:textId="3DE4BF1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i/>
          <w:iCs/>
        </w:rPr>
        <w:t>Ilaşcu</w:t>
      </w:r>
      <w:proofErr w:type="spellEnd"/>
      <w:r w:rsidRPr="00834D0C">
        <w:rPr>
          <w:rFonts w:cstheme="minorHAnsi"/>
          <w:i/>
          <w:iCs/>
        </w:rPr>
        <w:t xml:space="preserve"> </w:t>
      </w:r>
      <w:r w:rsidRPr="00834D0C">
        <w:rPr>
          <w:rFonts w:cstheme="minorHAnsi"/>
        </w:rPr>
        <w:t>(</w:t>
      </w:r>
      <w:r w:rsidR="0084605E" w:rsidRPr="00834D0C">
        <w:rPr>
          <w:rFonts w:cstheme="minorHAnsi"/>
        </w:rPr>
        <w:t>n</w:t>
      </w:r>
      <w:r w:rsidRPr="00834D0C">
        <w:rPr>
          <w:rFonts w:cstheme="minorHAnsi"/>
        </w:rPr>
        <w:t xml:space="preserve"> </w:t>
      </w:r>
      <w:r w:rsidR="00643ED5" w:rsidRPr="00834D0C">
        <w:rPr>
          <w:rFonts w:cstheme="minorHAnsi"/>
        </w:rPr>
        <w:t>157</w:t>
      </w:r>
      <w:r w:rsidRPr="00834D0C">
        <w:rPr>
          <w:rFonts w:cstheme="minorHAnsi"/>
        </w:rPr>
        <w:t xml:space="preserve">) </w:t>
      </w:r>
      <w:r w:rsidR="00643ED5" w:rsidRPr="00834D0C">
        <w:rPr>
          <w:rFonts w:cstheme="minorHAnsi"/>
        </w:rPr>
        <w:t>para</w:t>
      </w:r>
      <w:r w:rsidRPr="00834D0C">
        <w:rPr>
          <w:rFonts w:cstheme="minorHAnsi"/>
        </w:rPr>
        <w:t xml:space="preserve"> 341. </w:t>
      </w:r>
    </w:p>
  </w:footnote>
  <w:footnote w:id="197">
    <w:p w14:paraId="7A04DA7C" w14:textId="33AFD5A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highlight w:val="yellow"/>
        </w:rPr>
        <w:t>UNSC</w:t>
      </w:r>
      <w:r w:rsidR="00D64E89" w:rsidRPr="00834D0C">
        <w:rPr>
          <w:rFonts w:cstheme="minorHAnsi"/>
          <w:highlight w:val="yellow"/>
        </w:rPr>
        <w:t>,</w:t>
      </w:r>
      <w:r w:rsidRPr="00834D0C">
        <w:rPr>
          <w:rFonts w:cstheme="minorHAnsi"/>
          <w:highlight w:val="yellow"/>
        </w:rPr>
        <w:t xml:space="preserve"> Resolution 822, 30 April 1993, Preamble; </w:t>
      </w:r>
      <w:r w:rsidR="00D64E89" w:rsidRPr="00834D0C">
        <w:rPr>
          <w:rFonts w:cstheme="minorHAnsi"/>
          <w:highlight w:val="yellow"/>
        </w:rPr>
        <w:t xml:space="preserve">UNSC, Resolution </w:t>
      </w:r>
      <w:r w:rsidRPr="00834D0C">
        <w:rPr>
          <w:rFonts w:cstheme="minorHAnsi"/>
          <w:highlight w:val="yellow"/>
        </w:rPr>
        <w:t xml:space="preserve">853, 29 July 1993, Preamble; </w:t>
      </w:r>
      <w:r w:rsidR="00D64E89" w:rsidRPr="00834D0C">
        <w:rPr>
          <w:rFonts w:cstheme="minorHAnsi"/>
          <w:highlight w:val="yellow"/>
        </w:rPr>
        <w:t xml:space="preserve">UNSC, Resolution </w:t>
      </w:r>
      <w:r w:rsidRPr="00834D0C">
        <w:rPr>
          <w:rFonts w:cstheme="minorHAnsi"/>
          <w:highlight w:val="yellow"/>
        </w:rPr>
        <w:t xml:space="preserve">874, 14 October 1993, Preamble; </w:t>
      </w:r>
      <w:r w:rsidR="00D64E89" w:rsidRPr="00834D0C">
        <w:rPr>
          <w:rFonts w:cstheme="minorHAnsi"/>
          <w:highlight w:val="yellow"/>
        </w:rPr>
        <w:t xml:space="preserve">UNSC, Resolution </w:t>
      </w:r>
      <w:r w:rsidRPr="00834D0C">
        <w:rPr>
          <w:rFonts w:cstheme="minorHAnsi"/>
          <w:highlight w:val="yellow"/>
        </w:rPr>
        <w:t>884, 13 November 1993, Preamble.</w:t>
      </w:r>
    </w:p>
  </w:footnote>
  <w:footnote w:id="198">
    <w:p w14:paraId="19A56BFA" w14:textId="093D134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rPr>
          <w:rFonts w:cstheme="minorHAnsi"/>
        </w:rPr>
        <w:t xml:space="preserve">Vidmar (n 14) </w:t>
      </w:r>
      <w:r w:rsidRPr="00834D0C">
        <w:rPr>
          <w:rFonts w:cstheme="minorHAnsi"/>
        </w:rPr>
        <w:t>708.</w:t>
      </w:r>
    </w:p>
  </w:footnote>
  <w:footnote w:id="199">
    <w:p w14:paraId="1AD8E132" w14:textId="41FB66D4" w:rsidR="00180549" w:rsidRPr="00834D0C" w:rsidRDefault="00180549" w:rsidP="00163B41">
      <w:pPr>
        <w:pStyle w:val="FootnoteText"/>
        <w:jc w:val="both"/>
      </w:pPr>
      <w:r w:rsidRPr="00834D0C">
        <w:rPr>
          <w:rStyle w:val="FootnoteReference"/>
        </w:rPr>
        <w:footnoteRef/>
      </w:r>
      <w:r w:rsidRPr="00834D0C">
        <w:t xml:space="preserve"> For a discussion on the concept of neutral legality, see Ka Lok Yip, </w:t>
      </w:r>
      <w:r w:rsidRPr="00834D0C">
        <w:rPr>
          <w:i/>
          <w:iCs/>
        </w:rPr>
        <w:t xml:space="preserve">The Use of Force against Individuals in War under International Law </w:t>
      </w:r>
      <w:r w:rsidRPr="00834D0C">
        <w:t xml:space="preserve">(OUP 2022) </w:t>
      </w:r>
      <w:r w:rsidR="00434F9A" w:rsidRPr="00834D0C">
        <w:t>75-79.</w:t>
      </w:r>
    </w:p>
  </w:footnote>
  <w:footnote w:id="200">
    <w:p w14:paraId="3A651EF7" w14:textId="26AFD6F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lang w:val="fr-FR"/>
        </w:rPr>
        <w:t xml:space="preserve"> </w:t>
      </w:r>
      <w:r w:rsidR="006D71D0" w:rsidRPr="00834D0C">
        <w:rPr>
          <w:rFonts w:cstheme="minorHAnsi"/>
        </w:rPr>
        <w:t xml:space="preserve">Vidmar (n 14) </w:t>
      </w:r>
      <w:r w:rsidRPr="00834D0C">
        <w:rPr>
          <w:rFonts w:cstheme="minorHAnsi"/>
          <w:lang w:val="fr-FR"/>
        </w:rPr>
        <w:t xml:space="preserve">709. </w:t>
      </w:r>
      <w:proofErr w:type="spellStart"/>
      <w:r w:rsidRPr="00834D0C">
        <w:rPr>
          <w:rFonts w:cstheme="minorHAnsi"/>
          <w:lang w:val="fr-FR"/>
        </w:rPr>
        <w:t>See</w:t>
      </w:r>
      <w:proofErr w:type="spellEnd"/>
      <w:r w:rsidRPr="00834D0C">
        <w:rPr>
          <w:rFonts w:cstheme="minorHAnsi"/>
          <w:lang w:val="fr-FR"/>
        </w:rPr>
        <w:t xml:space="preserve"> </w:t>
      </w:r>
      <w:proofErr w:type="spellStart"/>
      <w:r w:rsidRPr="00834D0C">
        <w:rPr>
          <w:rFonts w:cstheme="minorHAnsi"/>
          <w:lang w:val="fr-FR"/>
        </w:rPr>
        <w:t>also</w:t>
      </w:r>
      <w:proofErr w:type="spellEnd"/>
      <w:r w:rsidRPr="00834D0C">
        <w:rPr>
          <w:rFonts w:cstheme="minorHAnsi"/>
          <w:lang w:val="fr-FR"/>
        </w:rPr>
        <w:t xml:space="preserve"> </w:t>
      </w:r>
      <w:r w:rsidR="00D64E89" w:rsidRPr="00834D0C">
        <w:rPr>
          <w:rFonts w:cstheme="minorHAnsi"/>
        </w:rPr>
        <w:t xml:space="preserve">Jean-Baptiste </w:t>
      </w:r>
      <w:proofErr w:type="spellStart"/>
      <w:r w:rsidR="00D64E89" w:rsidRPr="00834D0C">
        <w:rPr>
          <w:rFonts w:cstheme="minorHAnsi"/>
        </w:rPr>
        <w:t>Jeangène</w:t>
      </w:r>
      <w:proofErr w:type="spellEnd"/>
      <w:r w:rsidR="00D64E89" w:rsidRPr="00834D0C">
        <w:rPr>
          <w:rFonts w:cstheme="minorHAnsi"/>
        </w:rPr>
        <w:t xml:space="preserve"> </w:t>
      </w:r>
      <w:proofErr w:type="spellStart"/>
      <w:r w:rsidR="00D64E89" w:rsidRPr="00834D0C">
        <w:rPr>
          <w:rFonts w:cstheme="minorHAnsi"/>
        </w:rPr>
        <w:t>Vilmer</w:t>
      </w:r>
      <w:proofErr w:type="spellEnd"/>
      <w:r w:rsidR="00D64E89" w:rsidRPr="00834D0C">
        <w:rPr>
          <w:rFonts w:cstheme="minorHAnsi"/>
        </w:rPr>
        <w:t>, ‘</w:t>
      </w:r>
      <w:proofErr w:type="spellStart"/>
      <w:r w:rsidR="00D64E89" w:rsidRPr="00834D0C">
        <w:rPr>
          <w:rFonts w:cstheme="minorHAnsi"/>
        </w:rPr>
        <w:t>Crimée</w:t>
      </w:r>
      <w:proofErr w:type="spellEnd"/>
      <w:r w:rsidR="00D64E89" w:rsidRPr="00834D0C">
        <w:rPr>
          <w:rFonts w:cstheme="minorHAnsi"/>
        </w:rPr>
        <w:t xml:space="preserve">: les contradictions du </w:t>
      </w:r>
      <w:proofErr w:type="spellStart"/>
      <w:r w:rsidR="00D64E89" w:rsidRPr="00834D0C">
        <w:rPr>
          <w:rFonts w:cstheme="minorHAnsi"/>
        </w:rPr>
        <w:t>discours</w:t>
      </w:r>
      <w:proofErr w:type="spellEnd"/>
      <w:r w:rsidR="00D64E89" w:rsidRPr="00834D0C">
        <w:rPr>
          <w:rFonts w:cstheme="minorHAnsi"/>
        </w:rPr>
        <w:t xml:space="preserve"> russe’ (2015) 1 </w:t>
      </w:r>
      <w:r w:rsidRPr="00834D0C">
        <w:rPr>
          <w:rFonts w:cstheme="minorHAnsi"/>
          <w:i/>
          <w:iCs/>
          <w:lang w:val="fr-FR"/>
        </w:rPr>
        <w:t xml:space="preserve">Politique Etrangère </w:t>
      </w:r>
      <w:r w:rsidRPr="00834D0C">
        <w:rPr>
          <w:rFonts w:cstheme="minorHAnsi"/>
          <w:lang w:val="fr-FR"/>
        </w:rPr>
        <w:t>159</w:t>
      </w:r>
      <w:r w:rsidR="00D64E89" w:rsidRPr="00834D0C">
        <w:rPr>
          <w:rFonts w:cstheme="minorHAnsi"/>
          <w:lang w:val="fr-FR"/>
        </w:rPr>
        <w:t xml:space="preserve">, </w:t>
      </w:r>
      <w:r w:rsidRPr="00834D0C">
        <w:rPr>
          <w:rFonts w:cstheme="minorHAnsi"/>
        </w:rPr>
        <w:t xml:space="preserve">167; </w:t>
      </w:r>
      <w:r w:rsidR="009037C8" w:rsidRPr="00834D0C">
        <w:rPr>
          <w:rFonts w:cstheme="minorHAnsi"/>
        </w:rPr>
        <w:t xml:space="preserve">Corten (n 175) </w:t>
      </w:r>
      <w:r w:rsidRPr="00834D0C">
        <w:rPr>
          <w:rFonts w:cstheme="minorHAnsi"/>
        </w:rPr>
        <w:t xml:space="preserve">88; </w:t>
      </w:r>
      <w:r w:rsidR="00720A17" w:rsidRPr="00834D0C">
        <w:rPr>
          <w:rFonts w:cstheme="minorHAnsi"/>
        </w:rPr>
        <w:t xml:space="preserve">Weller (n 128) </w:t>
      </w:r>
      <w:r w:rsidRPr="00834D0C">
        <w:rPr>
          <w:rFonts w:cstheme="minorHAnsi"/>
        </w:rPr>
        <w:t xml:space="preserve">135-136; </w:t>
      </w:r>
      <w:r w:rsidR="00720A17" w:rsidRPr="00834D0C">
        <w:rPr>
          <w:rFonts w:cstheme="minorHAnsi"/>
        </w:rPr>
        <w:t xml:space="preserve">Gary Wilson, ‘Secession and Intervention in the former Soviet Space: The Crimean Incident and Russian Interference in its “Near Abroad”’ (2016) 37 </w:t>
      </w:r>
      <w:r w:rsidRPr="00834D0C">
        <w:rPr>
          <w:rFonts w:cstheme="minorHAnsi"/>
          <w:i/>
          <w:iCs/>
        </w:rPr>
        <w:t xml:space="preserve">Liverpool LR </w:t>
      </w:r>
      <w:r w:rsidRPr="00834D0C">
        <w:rPr>
          <w:rFonts w:cstheme="minorHAnsi"/>
        </w:rPr>
        <w:t>153</w:t>
      </w:r>
      <w:r w:rsidR="00720A17" w:rsidRPr="00834D0C">
        <w:rPr>
          <w:rFonts w:cstheme="minorHAnsi"/>
        </w:rPr>
        <w:t xml:space="preserve">, </w:t>
      </w:r>
      <w:r w:rsidRPr="00834D0C">
        <w:rPr>
          <w:rFonts w:cstheme="minorHAnsi"/>
        </w:rPr>
        <w:t>159.</w:t>
      </w:r>
    </w:p>
  </w:footnote>
  <w:footnote w:id="201">
    <w:p w14:paraId="262AC330" w14:textId="694E6C8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rPr>
          <w:rFonts w:cstheme="minorHAnsi"/>
        </w:rPr>
        <w:t xml:space="preserve">Vidmar (n 14) </w:t>
      </w:r>
      <w:r w:rsidRPr="00834D0C">
        <w:rPr>
          <w:rFonts w:cstheme="minorHAnsi"/>
        </w:rPr>
        <w:t>709.</w:t>
      </w:r>
    </w:p>
  </w:footnote>
  <w:footnote w:id="202">
    <w:p w14:paraId="2B4A8105" w14:textId="1A2DB43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530084" w:rsidRPr="00834D0C">
        <w:rPr>
          <w:rFonts w:cstheme="minorHAnsi"/>
          <w:lang w:val="fr-FR"/>
        </w:rPr>
        <w:t>Fikfak</w:t>
      </w:r>
      <w:proofErr w:type="spellEnd"/>
      <w:r w:rsidR="00530084" w:rsidRPr="00834D0C">
        <w:rPr>
          <w:rFonts w:cstheme="minorHAnsi"/>
          <w:lang w:val="fr-FR"/>
        </w:rPr>
        <w:t xml:space="preserve"> (n 49) </w:t>
      </w:r>
      <w:r w:rsidRPr="00834D0C">
        <w:rPr>
          <w:rFonts w:cstheme="minorHAnsi"/>
        </w:rPr>
        <w:t>111. See also Wilson (</w:t>
      </w:r>
      <w:r w:rsidR="0084605E" w:rsidRPr="00834D0C">
        <w:rPr>
          <w:rFonts w:cstheme="minorHAnsi"/>
        </w:rPr>
        <w:t>n</w:t>
      </w:r>
      <w:r w:rsidRPr="00834D0C">
        <w:rPr>
          <w:rFonts w:cstheme="minorHAnsi"/>
        </w:rPr>
        <w:t xml:space="preserve"> </w:t>
      </w:r>
      <w:r w:rsidR="00720A17" w:rsidRPr="00834D0C">
        <w:rPr>
          <w:rFonts w:cstheme="minorHAnsi"/>
        </w:rPr>
        <w:t>199</w:t>
      </w:r>
      <w:r w:rsidRPr="00834D0C">
        <w:rPr>
          <w:rFonts w:cstheme="minorHAnsi"/>
        </w:rPr>
        <w:t>) 159.</w:t>
      </w:r>
    </w:p>
  </w:footnote>
  <w:footnote w:id="203">
    <w:p w14:paraId="3D7C3DC0" w14:textId="048D2B01" w:rsidR="002B032D" w:rsidRPr="00834D0C" w:rsidRDefault="002B032D" w:rsidP="00163B41">
      <w:pPr>
        <w:pStyle w:val="FootnoteText"/>
        <w:jc w:val="both"/>
      </w:pPr>
      <w:r w:rsidRPr="00834D0C">
        <w:rPr>
          <w:rStyle w:val="FootnoteReference"/>
        </w:rPr>
        <w:footnoteRef/>
      </w:r>
      <w:r w:rsidRPr="00834D0C">
        <w:t xml:space="preserve"> See </w:t>
      </w:r>
      <w:proofErr w:type="spellStart"/>
      <w:r w:rsidRPr="00834D0C">
        <w:rPr>
          <w:rFonts w:cstheme="minorHAnsi"/>
        </w:rPr>
        <w:t>Mikulas</w:t>
      </w:r>
      <w:proofErr w:type="spellEnd"/>
      <w:r w:rsidRPr="00834D0C">
        <w:rPr>
          <w:rFonts w:cstheme="minorHAnsi"/>
        </w:rPr>
        <w:t xml:space="preserve"> Fabry, </w:t>
      </w:r>
      <w:r w:rsidR="007D346D" w:rsidRPr="00834D0C">
        <w:rPr>
          <w:rFonts w:cstheme="minorHAnsi"/>
        </w:rPr>
        <w:t>‘</w:t>
      </w:r>
      <w:r w:rsidRPr="00834D0C">
        <w:rPr>
          <w:rFonts w:cstheme="minorHAnsi"/>
        </w:rPr>
        <w:t xml:space="preserve">The Contemporary Practice of State </w:t>
      </w:r>
      <w:r w:rsidR="007D346D" w:rsidRPr="00834D0C">
        <w:rPr>
          <w:rFonts w:cstheme="minorHAnsi"/>
        </w:rPr>
        <w:t>R</w:t>
      </w:r>
      <w:r w:rsidRPr="00834D0C">
        <w:rPr>
          <w:rFonts w:cstheme="minorHAnsi"/>
        </w:rPr>
        <w:t>ecognition: Kosovo, South Ossetia, Abkhazia, and their Aftermath</w:t>
      </w:r>
      <w:r w:rsidR="007D346D" w:rsidRPr="00834D0C">
        <w:rPr>
          <w:rFonts w:cstheme="minorHAnsi"/>
        </w:rPr>
        <w:t>’ (2012) 40(5)</w:t>
      </w:r>
      <w:r w:rsidRPr="00834D0C">
        <w:rPr>
          <w:rFonts w:cstheme="minorHAnsi"/>
        </w:rPr>
        <w:t xml:space="preserve"> </w:t>
      </w:r>
      <w:r w:rsidR="002F5312">
        <w:rPr>
          <w:rFonts w:cstheme="minorHAnsi"/>
          <w:i/>
          <w:iCs/>
        </w:rPr>
        <w:t>Natl Pap</w:t>
      </w:r>
      <w:r w:rsidRPr="00834D0C">
        <w:rPr>
          <w:rFonts w:cstheme="minorHAnsi"/>
        </w:rPr>
        <w:t xml:space="preserve"> 661</w:t>
      </w:r>
      <w:r w:rsidR="007D346D" w:rsidRPr="00834D0C">
        <w:rPr>
          <w:rFonts w:cstheme="minorHAnsi"/>
        </w:rPr>
        <w:t xml:space="preserve">, </w:t>
      </w:r>
      <w:r w:rsidRPr="00834D0C">
        <w:rPr>
          <w:rFonts w:cstheme="minorHAnsi"/>
        </w:rPr>
        <w:t>664.</w:t>
      </w:r>
    </w:p>
  </w:footnote>
  <w:footnote w:id="204">
    <w:p w14:paraId="0000D026" w14:textId="5399AF6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00720A17" w:rsidRPr="00834D0C">
        <w:rPr>
          <w:rFonts w:cstheme="minorHAnsi"/>
        </w:rPr>
        <w:t>Radan</w:t>
      </w:r>
      <w:proofErr w:type="spellEnd"/>
      <w:r w:rsidR="00720A17" w:rsidRPr="00834D0C">
        <w:rPr>
          <w:rFonts w:cstheme="minorHAnsi"/>
        </w:rPr>
        <w:t xml:space="preserve"> (n 16) </w:t>
      </w:r>
      <w:r w:rsidRPr="00834D0C">
        <w:rPr>
          <w:rFonts w:cstheme="minorHAnsi"/>
        </w:rPr>
        <w:t xml:space="preserve">28 and </w:t>
      </w:r>
      <w:r w:rsidR="00720A17" w:rsidRPr="00834D0C">
        <w:rPr>
          <w:rFonts w:cstheme="minorHAnsi"/>
        </w:rPr>
        <w:t>Wilson (n 199)</w:t>
      </w:r>
      <w:r w:rsidRPr="00834D0C">
        <w:rPr>
          <w:rFonts w:cstheme="minorHAnsi"/>
        </w:rPr>
        <w:t xml:space="preserve">161. For a contrary view, see </w:t>
      </w:r>
      <w:r w:rsidR="009037C8" w:rsidRPr="00834D0C">
        <w:t xml:space="preserve">EU </w:t>
      </w:r>
      <w:r w:rsidR="009037C8" w:rsidRPr="00834D0C">
        <w:rPr>
          <w:rFonts w:cstheme="minorHAnsi"/>
        </w:rPr>
        <w:t xml:space="preserve">(n 20) </w:t>
      </w:r>
      <w:r w:rsidRPr="00834D0C">
        <w:t>138.</w:t>
      </w:r>
    </w:p>
  </w:footnote>
  <w:footnote w:id="205">
    <w:p w14:paraId="64C559DC" w14:textId="17F036F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Opinion 3 (</w:t>
      </w:r>
      <w:r w:rsidR="0084605E" w:rsidRPr="00834D0C">
        <w:rPr>
          <w:rFonts w:cstheme="minorHAnsi"/>
        </w:rPr>
        <w:t>n</w:t>
      </w:r>
      <w:r w:rsidR="009310E7" w:rsidRPr="00834D0C">
        <w:rPr>
          <w:rFonts w:cstheme="minorHAnsi"/>
        </w:rPr>
        <w:t xml:space="preserve"> 107</w:t>
      </w:r>
      <w:r w:rsidRPr="00834D0C">
        <w:rPr>
          <w:rFonts w:cstheme="minorHAnsi"/>
        </w:rPr>
        <w:t xml:space="preserve">) 184. </w:t>
      </w:r>
    </w:p>
  </w:footnote>
  <w:footnote w:id="206">
    <w:p w14:paraId="52894768" w14:textId="4487F18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D346D" w:rsidRPr="00834D0C">
        <w:rPr>
          <w:rFonts w:cstheme="minorHAnsi"/>
        </w:rPr>
        <w:t xml:space="preserve">Joshua </w:t>
      </w:r>
      <w:proofErr w:type="spellStart"/>
      <w:r w:rsidR="007D346D" w:rsidRPr="00834D0C">
        <w:rPr>
          <w:rFonts w:cstheme="minorHAnsi"/>
        </w:rPr>
        <w:t>Castellino</w:t>
      </w:r>
      <w:proofErr w:type="spellEnd"/>
      <w:r w:rsidR="007D346D" w:rsidRPr="00834D0C">
        <w:rPr>
          <w:rFonts w:cstheme="minorHAnsi"/>
        </w:rPr>
        <w:t xml:space="preserve">, ‘Territorial Integrity and the </w:t>
      </w:r>
      <w:r w:rsidR="002F5312">
        <w:rPr>
          <w:rFonts w:cstheme="minorHAnsi"/>
        </w:rPr>
        <w:t>“</w:t>
      </w:r>
      <w:r w:rsidR="007D346D" w:rsidRPr="00834D0C">
        <w:rPr>
          <w:rFonts w:cstheme="minorHAnsi"/>
        </w:rPr>
        <w:t>Right</w:t>
      </w:r>
      <w:r w:rsidR="002F5312">
        <w:rPr>
          <w:rFonts w:cstheme="minorHAnsi"/>
        </w:rPr>
        <w:t>”</w:t>
      </w:r>
      <w:r w:rsidR="007D346D" w:rsidRPr="00834D0C">
        <w:rPr>
          <w:rFonts w:cstheme="minorHAnsi"/>
        </w:rPr>
        <w:t xml:space="preserve"> to Self-Determination: An Examination of the Conceptual Tools’ (2008) 33(2) </w:t>
      </w:r>
      <w:r w:rsidRPr="00834D0C">
        <w:rPr>
          <w:rFonts w:cstheme="minorHAnsi"/>
          <w:i/>
          <w:iCs/>
        </w:rPr>
        <w:t>Brook</w:t>
      </w:r>
      <w:r w:rsidR="007D346D" w:rsidRPr="00834D0C">
        <w:rPr>
          <w:rFonts w:cstheme="minorHAnsi"/>
          <w:i/>
          <w:iCs/>
        </w:rPr>
        <w:t xml:space="preserve"> </w:t>
      </w:r>
      <w:r w:rsidRPr="00834D0C">
        <w:rPr>
          <w:rFonts w:cstheme="minorHAnsi"/>
          <w:i/>
          <w:iCs/>
        </w:rPr>
        <w:t>J</w:t>
      </w:r>
      <w:r w:rsidR="007D346D" w:rsidRPr="00834D0C">
        <w:rPr>
          <w:rFonts w:cstheme="minorHAnsi"/>
          <w:i/>
          <w:iCs/>
        </w:rPr>
        <w:t xml:space="preserve"> </w:t>
      </w:r>
      <w:r w:rsidRPr="00834D0C">
        <w:rPr>
          <w:rFonts w:cstheme="minorHAnsi"/>
          <w:i/>
          <w:iCs/>
        </w:rPr>
        <w:t>Int’l L</w:t>
      </w:r>
      <w:r w:rsidRPr="00834D0C">
        <w:rPr>
          <w:rFonts w:cstheme="minorHAnsi"/>
        </w:rPr>
        <w:t xml:space="preserve"> 503</w:t>
      </w:r>
      <w:r w:rsidR="007D346D" w:rsidRPr="00834D0C">
        <w:rPr>
          <w:rFonts w:cstheme="minorHAnsi"/>
        </w:rPr>
        <w:t xml:space="preserve">, </w:t>
      </w:r>
      <w:r w:rsidRPr="00834D0C">
        <w:rPr>
          <w:rFonts w:cstheme="minorHAnsi"/>
        </w:rPr>
        <w:t>507.</w:t>
      </w:r>
    </w:p>
  </w:footnote>
  <w:footnote w:id="207">
    <w:p w14:paraId="7785476E" w14:textId="103F8D8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770D7" w:rsidRPr="00834D0C">
        <w:rPr>
          <w:rFonts w:cstheme="minorHAnsi"/>
        </w:rPr>
        <w:t>ICJ</w:t>
      </w:r>
      <w:r w:rsidRPr="00834D0C">
        <w:rPr>
          <w:rFonts w:cstheme="minorHAnsi"/>
        </w:rPr>
        <w:t xml:space="preserve">, </w:t>
      </w:r>
      <w:r w:rsidRPr="00834D0C">
        <w:rPr>
          <w:rFonts w:cstheme="minorHAnsi"/>
          <w:i/>
        </w:rPr>
        <w:t>Case Concerning the Frontier Dispute (Burkina Faso v Mali)</w:t>
      </w:r>
      <w:r w:rsidRPr="00834D0C">
        <w:rPr>
          <w:rFonts w:cstheme="minorHAnsi"/>
        </w:rPr>
        <w:t>,</w:t>
      </w:r>
      <w:r w:rsidRPr="00834D0C">
        <w:rPr>
          <w:rFonts w:cstheme="minorHAnsi"/>
          <w:i/>
          <w:iCs/>
        </w:rPr>
        <w:t xml:space="preserve"> </w:t>
      </w:r>
      <w:r w:rsidRPr="00834D0C">
        <w:rPr>
          <w:rFonts w:cstheme="minorHAnsi"/>
        </w:rPr>
        <w:t>Judgment, [1986] ICJ Rep 554, para 20.</w:t>
      </w:r>
    </w:p>
  </w:footnote>
  <w:footnote w:id="208">
    <w:p w14:paraId="4F124151" w14:textId="208338E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Opinion 3 (</w:t>
      </w:r>
      <w:r w:rsidR="0084605E" w:rsidRPr="00834D0C">
        <w:rPr>
          <w:rFonts w:cstheme="minorHAnsi"/>
        </w:rPr>
        <w:t>n</w:t>
      </w:r>
      <w:r w:rsidRPr="00834D0C">
        <w:rPr>
          <w:rFonts w:cstheme="minorHAnsi"/>
        </w:rPr>
        <w:t xml:space="preserve"> </w:t>
      </w:r>
      <w:r w:rsidR="009310E7" w:rsidRPr="00834D0C">
        <w:rPr>
          <w:rFonts w:cstheme="minorHAnsi"/>
        </w:rPr>
        <w:t>107</w:t>
      </w:r>
      <w:r w:rsidRPr="00834D0C">
        <w:rPr>
          <w:rFonts w:cstheme="minorHAnsi"/>
        </w:rPr>
        <w:t>) 184.</w:t>
      </w:r>
    </w:p>
  </w:footnote>
  <w:footnote w:id="209">
    <w:p w14:paraId="335C0823" w14:textId="1F09681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43ED5" w:rsidRPr="00834D0C">
        <w:rPr>
          <w:rFonts w:cstheme="minorHAnsi"/>
        </w:rPr>
        <w:t>Mälksoo</w:t>
      </w:r>
      <w:proofErr w:type="spellEnd"/>
      <w:r w:rsidR="00643ED5" w:rsidRPr="00834D0C">
        <w:rPr>
          <w:rFonts w:cstheme="minorHAnsi"/>
        </w:rPr>
        <w:t xml:space="preserve"> (n 118) </w:t>
      </w:r>
      <w:r w:rsidRPr="00834D0C">
        <w:rPr>
          <w:rFonts w:cstheme="minorHAnsi"/>
        </w:rPr>
        <w:t>813.</w:t>
      </w:r>
    </w:p>
  </w:footnote>
  <w:footnote w:id="210">
    <w:p w14:paraId="72419685" w14:textId="36E331C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iCs/>
        </w:rPr>
        <w:t>Frontier Dispute</w:t>
      </w:r>
      <w:r w:rsidRPr="00834D0C">
        <w:rPr>
          <w:rFonts w:cstheme="minorHAnsi"/>
        </w:rPr>
        <w:t xml:space="preserve"> Case</w:t>
      </w:r>
      <w:r w:rsidRPr="00834D0C">
        <w:rPr>
          <w:rFonts w:cstheme="minorHAnsi"/>
          <w:i/>
          <w:iCs/>
        </w:rPr>
        <w:t xml:space="preserve"> </w:t>
      </w:r>
      <w:r w:rsidRPr="00834D0C">
        <w:rPr>
          <w:rFonts w:cstheme="minorHAnsi"/>
        </w:rPr>
        <w:t>(</w:t>
      </w:r>
      <w:r w:rsidR="0084605E" w:rsidRPr="00834D0C">
        <w:rPr>
          <w:rFonts w:cstheme="minorHAnsi"/>
        </w:rPr>
        <w:t>n</w:t>
      </w:r>
      <w:r w:rsidRPr="00834D0C">
        <w:rPr>
          <w:rFonts w:cstheme="minorHAnsi"/>
        </w:rPr>
        <w:t xml:space="preserve"> </w:t>
      </w:r>
      <w:r w:rsidR="00530084" w:rsidRPr="00834D0C">
        <w:rPr>
          <w:rFonts w:cstheme="minorHAnsi"/>
        </w:rPr>
        <w:t>206</w:t>
      </w:r>
      <w:r w:rsidRPr="00834D0C">
        <w:rPr>
          <w:rFonts w:cstheme="minorHAnsi"/>
        </w:rPr>
        <w:t>) para 20.</w:t>
      </w:r>
    </w:p>
  </w:footnote>
  <w:footnote w:id="211">
    <w:p w14:paraId="4D44CED8" w14:textId="681F871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Opinion 3 (</w:t>
      </w:r>
      <w:r w:rsidR="0084605E" w:rsidRPr="00834D0C">
        <w:rPr>
          <w:rFonts w:cstheme="minorHAnsi"/>
        </w:rPr>
        <w:t>n</w:t>
      </w:r>
      <w:r w:rsidRPr="00834D0C">
        <w:rPr>
          <w:rFonts w:cstheme="minorHAnsi"/>
        </w:rPr>
        <w:t xml:space="preserve"> </w:t>
      </w:r>
      <w:r w:rsidR="009310E7" w:rsidRPr="00834D0C">
        <w:rPr>
          <w:rFonts w:cstheme="minorHAnsi"/>
        </w:rPr>
        <w:t>107</w:t>
      </w:r>
      <w:r w:rsidRPr="00834D0C">
        <w:rPr>
          <w:rFonts w:cstheme="minorHAnsi"/>
        </w:rPr>
        <w:t xml:space="preserve">) 184; </w:t>
      </w:r>
      <w:r w:rsidRPr="00834D0C">
        <w:rPr>
          <w:rFonts w:cstheme="minorHAnsi"/>
          <w:i/>
          <w:iCs/>
        </w:rPr>
        <w:t>Frontier Dispute</w:t>
      </w:r>
      <w:r w:rsidRPr="00834D0C">
        <w:rPr>
          <w:rFonts w:cstheme="minorHAnsi"/>
        </w:rPr>
        <w:t xml:space="preserve"> Case</w:t>
      </w:r>
      <w:r w:rsidRPr="00834D0C">
        <w:rPr>
          <w:rFonts w:cstheme="minorHAnsi"/>
          <w:i/>
          <w:iCs/>
        </w:rPr>
        <w:t xml:space="preserve"> </w:t>
      </w:r>
      <w:r w:rsidRPr="00834D0C">
        <w:rPr>
          <w:rFonts w:cstheme="minorHAnsi"/>
        </w:rPr>
        <w:t>(</w:t>
      </w:r>
      <w:r w:rsidR="0084605E" w:rsidRPr="00834D0C">
        <w:rPr>
          <w:rFonts w:cstheme="minorHAnsi"/>
        </w:rPr>
        <w:t>n</w:t>
      </w:r>
      <w:r w:rsidR="00530084" w:rsidRPr="00834D0C">
        <w:rPr>
          <w:rFonts w:cstheme="minorHAnsi"/>
        </w:rPr>
        <w:t xml:space="preserve"> 206</w:t>
      </w:r>
      <w:r w:rsidRPr="00834D0C">
        <w:rPr>
          <w:rFonts w:cstheme="minorHAnsi"/>
        </w:rPr>
        <w:t>) para 20.</w:t>
      </w:r>
    </w:p>
  </w:footnote>
  <w:footnote w:id="212">
    <w:p w14:paraId="7CC64476" w14:textId="7522D2B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356812" w:rsidRPr="00834D0C">
        <w:rPr>
          <w:rFonts w:cstheme="minorHAnsi"/>
        </w:rPr>
        <w:t xml:space="preserve">Malcolm N Shaw, ‘The Heritage of States: The Principle of </w:t>
      </w:r>
      <w:proofErr w:type="spellStart"/>
      <w:r w:rsidR="00356812" w:rsidRPr="00834D0C">
        <w:rPr>
          <w:rFonts w:cstheme="minorHAnsi"/>
        </w:rPr>
        <w:t>Uti</w:t>
      </w:r>
      <w:proofErr w:type="spellEnd"/>
      <w:r w:rsidR="00356812" w:rsidRPr="00834D0C">
        <w:rPr>
          <w:rFonts w:cstheme="minorHAnsi"/>
        </w:rPr>
        <w:t xml:space="preserve"> </w:t>
      </w:r>
      <w:proofErr w:type="spellStart"/>
      <w:r w:rsidR="00356812" w:rsidRPr="00834D0C">
        <w:rPr>
          <w:rFonts w:cstheme="minorHAnsi"/>
        </w:rPr>
        <w:t>Possidetis</w:t>
      </w:r>
      <w:proofErr w:type="spellEnd"/>
      <w:r w:rsidR="00356812" w:rsidRPr="00834D0C">
        <w:rPr>
          <w:rFonts w:cstheme="minorHAnsi"/>
        </w:rPr>
        <w:t xml:space="preserve"> Juris Today’ (1996) 67 </w:t>
      </w:r>
      <w:r w:rsidR="00356812" w:rsidRPr="00834D0C">
        <w:rPr>
          <w:rFonts w:cstheme="minorHAnsi"/>
          <w:i/>
          <w:iCs/>
        </w:rPr>
        <w:t>BYIL</w:t>
      </w:r>
      <w:r w:rsidRPr="00834D0C">
        <w:rPr>
          <w:rFonts w:cstheme="minorHAnsi"/>
        </w:rPr>
        <w:t xml:space="preserve"> 75</w:t>
      </w:r>
      <w:r w:rsidR="00356812" w:rsidRPr="00834D0C">
        <w:rPr>
          <w:rFonts w:cstheme="minorHAnsi"/>
        </w:rPr>
        <w:t xml:space="preserve">, </w:t>
      </w:r>
      <w:r w:rsidRPr="00834D0C">
        <w:rPr>
          <w:rFonts w:cstheme="minorHAnsi"/>
        </w:rPr>
        <w:t>97.</w:t>
      </w:r>
    </w:p>
  </w:footnote>
  <w:footnote w:id="213">
    <w:p w14:paraId="5ED0806B" w14:textId="2391B2C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Opinion 3 (</w:t>
      </w:r>
      <w:r w:rsidR="0084605E" w:rsidRPr="00834D0C">
        <w:rPr>
          <w:rFonts w:cstheme="minorHAnsi"/>
        </w:rPr>
        <w:t>n</w:t>
      </w:r>
      <w:r w:rsidRPr="00834D0C">
        <w:rPr>
          <w:rFonts w:cstheme="minorHAnsi"/>
        </w:rPr>
        <w:t xml:space="preserve"> </w:t>
      </w:r>
      <w:r w:rsidR="009310E7" w:rsidRPr="00834D0C">
        <w:rPr>
          <w:rFonts w:cstheme="minorHAnsi"/>
        </w:rPr>
        <w:t>107</w:t>
      </w:r>
      <w:r w:rsidRPr="00834D0C">
        <w:rPr>
          <w:rFonts w:cstheme="minorHAnsi"/>
        </w:rPr>
        <w:t xml:space="preserve">) 184. See also Opinion 2, Annex to </w:t>
      </w:r>
      <w:r w:rsidRPr="00834D0C">
        <w:rPr>
          <w:rFonts w:cstheme="minorHAnsi"/>
          <w:i/>
          <w:iCs/>
        </w:rPr>
        <w:t xml:space="preserve">Pellet, </w:t>
      </w:r>
      <w:r w:rsidRPr="00834D0C">
        <w:rPr>
          <w:rFonts w:cstheme="minorHAnsi"/>
        </w:rPr>
        <w:t>Opinions (</w:t>
      </w:r>
      <w:r w:rsidR="0084605E" w:rsidRPr="00834D0C">
        <w:rPr>
          <w:rFonts w:cstheme="minorHAnsi"/>
        </w:rPr>
        <w:t>n</w:t>
      </w:r>
      <w:r w:rsidRPr="00834D0C">
        <w:rPr>
          <w:rFonts w:cstheme="minorHAnsi"/>
        </w:rPr>
        <w:t xml:space="preserve"> </w:t>
      </w:r>
      <w:r w:rsidR="009310E7" w:rsidRPr="00834D0C">
        <w:rPr>
          <w:rFonts w:cstheme="minorHAnsi"/>
        </w:rPr>
        <w:t>107</w:t>
      </w:r>
      <w:r w:rsidR="00D64E89" w:rsidRPr="00834D0C">
        <w:rPr>
          <w:rFonts w:cstheme="minorHAnsi"/>
        </w:rPr>
        <w:t>)</w:t>
      </w:r>
      <w:r w:rsidRPr="00834D0C">
        <w:rPr>
          <w:rFonts w:cstheme="minorHAnsi"/>
        </w:rPr>
        <w:t xml:space="preserve"> 183.</w:t>
      </w:r>
    </w:p>
  </w:footnote>
  <w:footnote w:id="214">
    <w:p w14:paraId="0825011B" w14:textId="45D83CF5"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t>Coppieters</w:t>
      </w:r>
      <w:proofErr w:type="spellEnd"/>
      <w:r w:rsidR="003A328B" w:rsidRPr="00834D0C">
        <w:t xml:space="preserve"> (n 1)</w:t>
      </w:r>
      <w:r w:rsidRPr="00834D0C">
        <w:rPr>
          <w:rFonts w:cstheme="minorHAnsi"/>
        </w:rPr>
        <w:t xml:space="preserve"> </w:t>
      </w:r>
      <w:r w:rsidRPr="00834D0C">
        <w:t>992.</w:t>
      </w:r>
    </w:p>
  </w:footnote>
  <w:footnote w:id="215">
    <w:p w14:paraId="22ADF944" w14:textId="4AE3E7C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Bowring (n 11) </w:t>
      </w:r>
      <w:r w:rsidRPr="00834D0C">
        <w:rPr>
          <w:rFonts w:cstheme="minorHAnsi"/>
        </w:rPr>
        <w:t>16-18.</w:t>
      </w:r>
    </w:p>
  </w:footnote>
  <w:footnote w:id="216">
    <w:p w14:paraId="17EC3A2A" w14:textId="652338A3"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German </w:t>
      </w:r>
      <w:r w:rsidR="00FA029C" w:rsidRPr="00834D0C">
        <w:rPr>
          <w:rFonts w:cstheme="minorHAnsi"/>
        </w:rPr>
        <w:t xml:space="preserve">(n 44) </w:t>
      </w:r>
      <w:r w:rsidRPr="00834D0C">
        <w:t>157.</w:t>
      </w:r>
    </w:p>
  </w:footnote>
  <w:footnote w:id="217">
    <w:p w14:paraId="32EC5928" w14:textId="7E45EB72" w:rsidR="002B032D" w:rsidRPr="00834D0C" w:rsidRDefault="002B032D" w:rsidP="00163B41">
      <w:pPr>
        <w:pStyle w:val="FootnoteText"/>
        <w:jc w:val="both"/>
      </w:pPr>
      <w:r w:rsidRPr="00834D0C">
        <w:rPr>
          <w:rStyle w:val="FootnoteReference"/>
        </w:rPr>
        <w:footnoteRef/>
      </w:r>
      <w:r w:rsidRPr="00834D0C">
        <w:t xml:space="preserve"> Roeder</w:t>
      </w:r>
      <w:r w:rsidR="003673C3"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3673C3" w:rsidRPr="00834D0C">
        <w:rPr>
          <w:rFonts w:cstheme="minorHAnsi"/>
        </w:rPr>
        <w:t>162</w:t>
      </w:r>
      <w:r w:rsidRPr="00834D0C">
        <w:rPr>
          <w:rFonts w:cstheme="minorHAnsi"/>
        </w:rPr>
        <w:t>)</w:t>
      </w:r>
      <w:r w:rsidRPr="00834D0C">
        <w:t xml:space="preserve"> 51.</w:t>
      </w:r>
    </w:p>
  </w:footnote>
  <w:footnote w:id="218">
    <w:p w14:paraId="6606FF93" w14:textId="37D2EFE2" w:rsidR="002B032D" w:rsidRPr="00834D0C" w:rsidRDefault="002B032D" w:rsidP="00163B41">
      <w:pPr>
        <w:pStyle w:val="FootnoteText"/>
        <w:jc w:val="both"/>
      </w:pPr>
      <w:r w:rsidRPr="00834D0C">
        <w:rPr>
          <w:rStyle w:val="FootnoteReference"/>
        </w:rPr>
        <w:footnoteRef/>
      </w:r>
      <w:r w:rsidRPr="00834D0C">
        <w:t xml:space="preserve"> See </w:t>
      </w:r>
      <w:r w:rsidR="009037C8" w:rsidRPr="00834D0C">
        <w:t xml:space="preserve">EU </w:t>
      </w:r>
      <w:r w:rsidR="009037C8" w:rsidRPr="00834D0C">
        <w:rPr>
          <w:rFonts w:cstheme="minorHAnsi"/>
        </w:rPr>
        <w:t xml:space="preserve">(n 20) </w:t>
      </w:r>
      <w:r w:rsidRPr="00834D0C">
        <w:t>146.</w:t>
      </w:r>
    </w:p>
  </w:footnote>
  <w:footnote w:id="219">
    <w:p w14:paraId="63235046" w14:textId="5C7E2F72" w:rsidR="002B032D" w:rsidRPr="00834D0C" w:rsidRDefault="002B032D" w:rsidP="00163B41">
      <w:pPr>
        <w:pStyle w:val="FootnoteText"/>
        <w:jc w:val="both"/>
      </w:pPr>
      <w:r w:rsidRPr="00834D0C">
        <w:rPr>
          <w:rStyle w:val="FootnoteReference"/>
        </w:rPr>
        <w:footnoteRef/>
      </w:r>
      <w:r w:rsidRPr="00834D0C">
        <w:t xml:space="preserve"> </w:t>
      </w:r>
      <w:proofErr w:type="spellStart"/>
      <w:r w:rsidR="00E96CF5" w:rsidRPr="00834D0C">
        <w:t>Kr</w:t>
      </w:r>
      <w:r w:rsidR="00E96CF5" w:rsidRPr="00834D0C">
        <w:rPr>
          <w:rFonts w:cstheme="minorHAnsi"/>
        </w:rPr>
        <w:t>ü</w:t>
      </w:r>
      <w:r w:rsidR="00E96CF5" w:rsidRPr="00834D0C">
        <w:t>ger</w:t>
      </w:r>
      <w:proofErr w:type="spellEnd"/>
      <w:r w:rsidR="00E96CF5" w:rsidRPr="00834D0C">
        <w:t xml:space="preserve"> </w:t>
      </w:r>
      <w:r w:rsidR="00E96CF5" w:rsidRPr="00834D0C">
        <w:rPr>
          <w:rFonts w:cstheme="minorHAnsi"/>
        </w:rPr>
        <w:t xml:space="preserve">(n 9) </w:t>
      </w:r>
      <w:r w:rsidRPr="00834D0C">
        <w:t>42-49.</w:t>
      </w:r>
    </w:p>
  </w:footnote>
  <w:footnote w:id="220">
    <w:p w14:paraId="300C9378" w14:textId="07808D13" w:rsidR="002B032D" w:rsidRPr="00834D0C" w:rsidRDefault="002B032D" w:rsidP="00163B41">
      <w:pPr>
        <w:pStyle w:val="FootnoteText"/>
        <w:jc w:val="both"/>
      </w:pPr>
      <w:r w:rsidRPr="00834D0C">
        <w:rPr>
          <w:rStyle w:val="FootnoteReference"/>
        </w:rPr>
        <w:footnoteRef/>
      </w:r>
      <w:r w:rsidRPr="00834D0C">
        <w:t xml:space="preserve"> </w:t>
      </w:r>
      <w:r w:rsidRPr="00834D0C">
        <w:rPr>
          <w:rFonts w:cstheme="minorHAnsi"/>
        </w:rPr>
        <w:t xml:space="preserve">Parliamentary Assembly of the Council of Europe, </w:t>
      </w:r>
      <w:r w:rsidRPr="00834D0C">
        <w:rPr>
          <w:rFonts w:cstheme="minorHAnsi"/>
          <w:i/>
          <w:iCs/>
        </w:rPr>
        <w:t>Armenia’s Application for Membership of the Council of Europe</w:t>
      </w:r>
      <w:r w:rsidRPr="00834D0C">
        <w:rPr>
          <w:rFonts w:cstheme="minorHAnsi"/>
        </w:rPr>
        <w:t>,</w:t>
      </w:r>
      <w:r w:rsidRPr="00834D0C">
        <w:rPr>
          <w:rFonts w:cstheme="minorHAnsi"/>
          <w:i/>
          <w:iCs/>
        </w:rPr>
        <w:t xml:space="preserve"> </w:t>
      </w:r>
      <w:r w:rsidRPr="00834D0C">
        <w:rPr>
          <w:rFonts w:cstheme="minorHAnsi"/>
        </w:rPr>
        <w:t xml:space="preserve">Rapporteur </w:t>
      </w:r>
      <w:proofErr w:type="spellStart"/>
      <w:r w:rsidRPr="00834D0C">
        <w:rPr>
          <w:rFonts w:cstheme="minorHAnsi"/>
        </w:rPr>
        <w:t>Volcic</w:t>
      </w:r>
      <w:proofErr w:type="spellEnd"/>
      <w:r w:rsidRPr="00834D0C">
        <w:rPr>
          <w:rFonts w:cstheme="minorHAnsi"/>
        </w:rPr>
        <w:t xml:space="preserve">, Doc 8747, 23 May 2000, para </w:t>
      </w:r>
      <w:r w:rsidRPr="00834D0C">
        <w:t>49.</w:t>
      </w:r>
    </w:p>
  </w:footnote>
  <w:footnote w:id="221">
    <w:p w14:paraId="45FAD7D9" w14:textId="62715671" w:rsidR="002B032D" w:rsidRPr="00834D0C" w:rsidRDefault="002B032D" w:rsidP="00163B41">
      <w:pPr>
        <w:pStyle w:val="FootnoteText"/>
        <w:jc w:val="both"/>
      </w:pPr>
      <w:r w:rsidRPr="00834D0C">
        <w:rPr>
          <w:rStyle w:val="FootnoteReference"/>
        </w:rPr>
        <w:footnoteRef/>
      </w:r>
      <w:r w:rsidRPr="00834D0C">
        <w:t xml:space="preserve"> </w:t>
      </w:r>
      <w:r w:rsidR="003673C3" w:rsidRPr="00834D0C">
        <w:t xml:space="preserve">Roeder </w:t>
      </w:r>
      <w:r w:rsidR="003673C3" w:rsidRPr="00834D0C">
        <w:rPr>
          <w:rFonts w:cstheme="minorHAnsi"/>
        </w:rPr>
        <w:t xml:space="preserve">(n 162) </w:t>
      </w:r>
      <w:r w:rsidRPr="00834D0C">
        <w:t>51.</w:t>
      </w:r>
    </w:p>
  </w:footnote>
  <w:footnote w:id="222">
    <w:p w14:paraId="09085D8A" w14:textId="32949768" w:rsidR="002B032D" w:rsidRPr="00834D0C" w:rsidRDefault="002B032D" w:rsidP="00163B41">
      <w:pPr>
        <w:pStyle w:val="FootnoteText"/>
        <w:jc w:val="both"/>
      </w:pPr>
      <w:r w:rsidRPr="00834D0C">
        <w:rPr>
          <w:rStyle w:val="FootnoteReference"/>
        </w:rPr>
        <w:footnoteRef/>
      </w:r>
      <w:r w:rsidRPr="00834D0C">
        <w:t xml:space="preserve"> </w:t>
      </w:r>
      <w:r w:rsidR="00792B2E" w:rsidRPr="00834D0C">
        <w:rPr>
          <w:rFonts w:cstheme="minorHAnsi"/>
        </w:rPr>
        <w:t>ECtHR</w:t>
      </w:r>
      <w:r w:rsidRPr="00834D0C">
        <w:t xml:space="preserve">, </w:t>
      </w:r>
      <w:r w:rsidRPr="00834D0C">
        <w:rPr>
          <w:i/>
          <w:iCs/>
        </w:rPr>
        <w:t>Sargsyan v Azerbaijan</w:t>
      </w:r>
      <w:r w:rsidRPr="00834D0C">
        <w:t xml:space="preserve">, Application No 40167/06, 16 June 2015, </w:t>
      </w:r>
      <w:r w:rsidR="00643ED5" w:rsidRPr="00834D0C">
        <w:t xml:space="preserve">para </w:t>
      </w:r>
      <w:r w:rsidRPr="00834D0C">
        <w:t>19.</w:t>
      </w:r>
    </w:p>
  </w:footnote>
  <w:footnote w:id="223">
    <w:p w14:paraId="473D7A2A" w14:textId="19AA9B3B" w:rsidR="002B032D" w:rsidRPr="00834D0C" w:rsidRDefault="002B032D" w:rsidP="00163B41">
      <w:pPr>
        <w:pStyle w:val="FootnoteText"/>
        <w:jc w:val="both"/>
      </w:pPr>
      <w:r w:rsidRPr="00834D0C">
        <w:rPr>
          <w:rStyle w:val="FootnoteReference"/>
        </w:rPr>
        <w:footnoteRef/>
      </w:r>
      <w:r w:rsidRPr="00834D0C">
        <w:t xml:space="preserve"> </w:t>
      </w:r>
      <w:proofErr w:type="spellStart"/>
      <w:r w:rsidR="003A328B" w:rsidRPr="00834D0C">
        <w:t>Coppieters</w:t>
      </w:r>
      <w:proofErr w:type="spellEnd"/>
      <w:r w:rsidR="003A328B" w:rsidRPr="00834D0C">
        <w:t xml:space="preserve"> (n 1)</w:t>
      </w:r>
      <w:r w:rsidR="003A328B" w:rsidRPr="00834D0C">
        <w:rPr>
          <w:rFonts w:cstheme="minorHAnsi"/>
        </w:rPr>
        <w:t xml:space="preserve"> </w:t>
      </w:r>
      <w:r w:rsidRPr="00834D0C">
        <w:t>996.</w:t>
      </w:r>
    </w:p>
  </w:footnote>
  <w:footnote w:id="224">
    <w:p w14:paraId="101247D8" w14:textId="1652DAE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D71D0" w:rsidRPr="00834D0C">
        <w:rPr>
          <w:rFonts w:cstheme="minorHAnsi"/>
        </w:rPr>
        <w:t xml:space="preserve">Vidmar (n 14) </w:t>
      </w:r>
      <w:r w:rsidRPr="00834D0C">
        <w:rPr>
          <w:rFonts w:cstheme="minorHAnsi"/>
        </w:rPr>
        <w:t>746</w:t>
      </w:r>
    </w:p>
  </w:footnote>
  <w:footnote w:id="225">
    <w:p w14:paraId="4E97C8ED" w14:textId="51BACA9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530084" w:rsidRPr="00834D0C">
        <w:rPr>
          <w:rFonts w:cstheme="minorHAnsi"/>
          <w:lang w:val="fr-FR"/>
        </w:rPr>
        <w:t>Fikfak</w:t>
      </w:r>
      <w:proofErr w:type="spellEnd"/>
      <w:r w:rsidR="00530084" w:rsidRPr="00834D0C">
        <w:rPr>
          <w:rFonts w:cstheme="minorHAnsi"/>
          <w:lang w:val="fr-FR"/>
        </w:rPr>
        <w:t xml:space="preserve"> (n 49) </w:t>
      </w:r>
      <w:r w:rsidRPr="00834D0C">
        <w:rPr>
          <w:rFonts w:cstheme="minorHAnsi"/>
        </w:rPr>
        <w:t xml:space="preserve">111; Supreme Court of Canada, </w:t>
      </w:r>
      <w:r w:rsidRPr="00834D0C">
        <w:rPr>
          <w:rFonts w:cstheme="minorHAnsi"/>
          <w:i/>
          <w:iCs/>
        </w:rPr>
        <w:t>Re Secession of Quebec</w:t>
      </w:r>
      <w:r w:rsidRPr="00834D0C">
        <w:rPr>
          <w:rFonts w:cstheme="minorHAnsi"/>
        </w:rPr>
        <w:t xml:space="preserve">, [1998] 2 SCR 217 (Can), </w:t>
      </w:r>
      <w:r w:rsidR="00643ED5" w:rsidRPr="00834D0C">
        <w:rPr>
          <w:rFonts w:cstheme="minorHAnsi"/>
        </w:rPr>
        <w:t>para</w:t>
      </w:r>
      <w:r w:rsidRPr="00834D0C">
        <w:rPr>
          <w:rFonts w:cstheme="minorHAnsi"/>
        </w:rPr>
        <w:t xml:space="preserve"> 126.</w:t>
      </w:r>
    </w:p>
  </w:footnote>
  <w:footnote w:id="226">
    <w:p w14:paraId="4575D473" w14:textId="7E72AD60" w:rsidR="002B032D" w:rsidRPr="00834D0C" w:rsidRDefault="002B032D" w:rsidP="00163B41">
      <w:pPr>
        <w:pStyle w:val="FootnoteText"/>
        <w:jc w:val="both"/>
      </w:pPr>
      <w:r w:rsidRPr="00834D0C">
        <w:rPr>
          <w:rStyle w:val="FootnoteReference"/>
        </w:rPr>
        <w:footnoteRef/>
      </w:r>
      <w:r w:rsidRPr="00834D0C">
        <w:t xml:space="preserve"> Constitution of Abkhazia, Art I; Constitution of South Ossetia, Art 1. See also </w:t>
      </w:r>
      <w:r w:rsidR="009037C8" w:rsidRPr="00834D0C">
        <w:t xml:space="preserve">EU </w:t>
      </w:r>
      <w:r w:rsidR="009037C8" w:rsidRPr="00834D0C">
        <w:rPr>
          <w:rFonts w:cstheme="minorHAnsi"/>
        </w:rPr>
        <w:t xml:space="preserve">(n 20) </w:t>
      </w:r>
      <w:r w:rsidRPr="00834D0C">
        <w:t xml:space="preserve">135; Constitution of Nagorno-Karabakh, Preamble. </w:t>
      </w:r>
    </w:p>
  </w:footnote>
  <w:footnote w:id="227">
    <w:p w14:paraId="2FB42A65" w14:textId="6C3342E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As </w:t>
      </w:r>
      <w:proofErr w:type="spellStart"/>
      <w:r w:rsidRPr="00834D0C">
        <w:rPr>
          <w:rFonts w:cstheme="minorHAnsi"/>
        </w:rPr>
        <w:t>Castellino</w:t>
      </w:r>
      <w:proofErr w:type="spellEnd"/>
      <w:r w:rsidRPr="00834D0C">
        <w:rPr>
          <w:rFonts w:cstheme="minorHAnsi"/>
        </w:rPr>
        <w:t xml:space="preserve"> avows, ‘despite the volumes written from various disciplinary perspectives, the right to self-determination remains an essentially contested right with several meanings attributable to it.’ </w:t>
      </w:r>
      <w:proofErr w:type="spellStart"/>
      <w:r w:rsidRPr="00834D0C">
        <w:rPr>
          <w:rFonts w:cstheme="minorHAnsi"/>
        </w:rPr>
        <w:t>Castellino</w:t>
      </w:r>
      <w:proofErr w:type="spellEnd"/>
      <w:r w:rsidRPr="00834D0C">
        <w:rPr>
          <w:rFonts w:cstheme="minorHAnsi"/>
        </w:rPr>
        <w:t xml:space="preserve"> (</w:t>
      </w:r>
      <w:r w:rsidR="0084605E" w:rsidRPr="00834D0C">
        <w:rPr>
          <w:rFonts w:cstheme="minorHAnsi"/>
        </w:rPr>
        <w:t>n</w:t>
      </w:r>
      <w:r w:rsidR="007D346D" w:rsidRPr="00834D0C">
        <w:rPr>
          <w:rFonts w:cstheme="minorHAnsi"/>
        </w:rPr>
        <w:t xml:space="preserve"> 205</w:t>
      </w:r>
      <w:r w:rsidRPr="00834D0C">
        <w:rPr>
          <w:rFonts w:cstheme="minorHAnsi"/>
        </w:rPr>
        <w:t>) 513.</w:t>
      </w:r>
    </w:p>
  </w:footnote>
  <w:footnote w:id="228">
    <w:p w14:paraId="2EAFF087" w14:textId="2E5DFD8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Chinedu R </w:t>
      </w:r>
      <w:proofErr w:type="spellStart"/>
      <w:r w:rsidRPr="00834D0C">
        <w:rPr>
          <w:rFonts w:cstheme="minorHAnsi"/>
        </w:rPr>
        <w:t>Ezetah</w:t>
      </w:r>
      <w:proofErr w:type="spellEnd"/>
      <w:r w:rsidR="009310E7" w:rsidRPr="00834D0C">
        <w:rPr>
          <w:rFonts w:cstheme="minorHAnsi"/>
        </w:rPr>
        <w:t xml:space="preserve">, ‘Legitimate Governance and Statehood in Africa: Beyond the Failed State and Colonial Self-Determination’ in Edward K </w:t>
      </w:r>
      <w:proofErr w:type="spellStart"/>
      <w:r w:rsidR="009310E7" w:rsidRPr="00834D0C">
        <w:rPr>
          <w:rFonts w:cstheme="minorHAnsi"/>
        </w:rPr>
        <w:t>Quashigah</w:t>
      </w:r>
      <w:proofErr w:type="spellEnd"/>
      <w:r w:rsidR="009310E7" w:rsidRPr="00834D0C">
        <w:rPr>
          <w:rFonts w:cstheme="minorHAnsi"/>
        </w:rPr>
        <w:t xml:space="preserve"> and </w:t>
      </w:r>
      <w:proofErr w:type="spellStart"/>
      <w:r w:rsidR="009310E7" w:rsidRPr="00834D0C">
        <w:rPr>
          <w:rFonts w:cstheme="minorHAnsi"/>
        </w:rPr>
        <w:t>Obiora</w:t>
      </w:r>
      <w:proofErr w:type="spellEnd"/>
      <w:r w:rsidR="009310E7" w:rsidRPr="00834D0C">
        <w:rPr>
          <w:rFonts w:cstheme="minorHAnsi"/>
        </w:rPr>
        <w:t xml:space="preserve"> C Okafor (eds), </w:t>
      </w:r>
      <w:r w:rsidR="009310E7" w:rsidRPr="00834D0C">
        <w:rPr>
          <w:rFonts w:cstheme="minorHAnsi"/>
          <w:i/>
          <w:iCs/>
        </w:rPr>
        <w:t xml:space="preserve">Legitimate Governance in Africa </w:t>
      </w:r>
      <w:r w:rsidR="009310E7" w:rsidRPr="00834D0C">
        <w:rPr>
          <w:rFonts w:cstheme="minorHAnsi"/>
        </w:rPr>
        <w:t>(Kluwer 1999) 42</w:t>
      </w:r>
      <w:r w:rsidRPr="00834D0C">
        <w:rPr>
          <w:rFonts w:cstheme="minorHAnsi"/>
        </w:rPr>
        <w:t>1</w:t>
      </w:r>
      <w:r w:rsidR="009310E7" w:rsidRPr="00834D0C">
        <w:rPr>
          <w:rFonts w:cstheme="minorHAnsi"/>
        </w:rPr>
        <w:t xml:space="preserve">, </w:t>
      </w:r>
      <w:r w:rsidRPr="00834D0C">
        <w:rPr>
          <w:rFonts w:cstheme="minorHAnsi"/>
        </w:rPr>
        <w:t>448.</w:t>
      </w:r>
    </w:p>
  </w:footnote>
  <w:footnote w:id="229">
    <w:p w14:paraId="36AA8EA3" w14:textId="249401BA"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26.</w:t>
      </w:r>
    </w:p>
  </w:footnote>
  <w:footnote w:id="230">
    <w:p w14:paraId="34B62CF3" w14:textId="1DB9CAD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International Covenant on Civil and Political Rights, 999 UNTS 171</w:t>
      </w:r>
      <w:r w:rsidR="009310E7" w:rsidRPr="00834D0C">
        <w:rPr>
          <w:rFonts w:cstheme="minorHAnsi"/>
        </w:rPr>
        <w:t>, 16 December 1966</w:t>
      </w:r>
      <w:r w:rsidRPr="00834D0C">
        <w:rPr>
          <w:rFonts w:cstheme="minorHAnsi"/>
        </w:rPr>
        <w:t xml:space="preserve">. </w:t>
      </w:r>
    </w:p>
  </w:footnote>
  <w:footnote w:id="231">
    <w:p w14:paraId="4ED67FD9" w14:textId="0D02E38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International Covenant on Economic, Social and Cultural Rights, </w:t>
      </w:r>
      <w:r w:rsidR="009310E7" w:rsidRPr="00834D0C">
        <w:rPr>
          <w:rFonts w:cstheme="minorHAnsi"/>
        </w:rPr>
        <w:t xml:space="preserve">993 UNTS 3, </w:t>
      </w:r>
      <w:r w:rsidRPr="00834D0C">
        <w:rPr>
          <w:rFonts w:cstheme="minorHAnsi"/>
        </w:rPr>
        <w:t>16 December 1966.</w:t>
      </w:r>
    </w:p>
  </w:footnote>
  <w:footnote w:id="232">
    <w:p w14:paraId="2EAB4017" w14:textId="28C61A0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564AE7" w:rsidRPr="00834D0C">
        <w:rPr>
          <w:rFonts w:cstheme="minorHAnsi"/>
        </w:rPr>
        <w:t>UNGA</w:t>
      </w:r>
      <w:r w:rsidRPr="00834D0C">
        <w:rPr>
          <w:rFonts w:cstheme="minorHAnsi"/>
        </w:rPr>
        <w:t xml:space="preserve">, </w:t>
      </w:r>
      <w:r w:rsidRPr="00834D0C">
        <w:rPr>
          <w:rFonts w:cstheme="minorHAnsi"/>
          <w:i/>
          <w:iCs/>
        </w:rPr>
        <w:t>Declaration on the Granting of Independence to Colonial Countries and Peoples</w:t>
      </w:r>
      <w:r w:rsidRPr="00834D0C">
        <w:rPr>
          <w:rFonts w:cstheme="minorHAnsi"/>
        </w:rPr>
        <w:t>, UN Doc A/RES/1514(XV), 14 December 1960.</w:t>
      </w:r>
    </w:p>
  </w:footnote>
  <w:footnote w:id="233">
    <w:p w14:paraId="7AC66C0C" w14:textId="1C2DAA3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Friendly Relations Declaration (</w:t>
      </w:r>
      <w:r w:rsidR="0084605E" w:rsidRPr="00834D0C">
        <w:rPr>
          <w:rFonts w:cstheme="minorHAnsi"/>
        </w:rPr>
        <w:t>n</w:t>
      </w:r>
      <w:r w:rsidRPr="00834D0C">
        <w:rPr>
          <w:rFonts w:cstheme="minorHAnsi"/>
        </w:rPr>
        <w:t xml:space="preserve"> </w:t>
      </w:r>
      <w:r w:rsidR="007D0E05" w:rsidRPr="00834D0C">
        <w:rPr>
          <w:rFonts w:cstheme="minorHAnsi"/>
        </w:rPr>
        <w:t>170</w:t>
      </w:r>
      <w:r w:rsidRPr="00834D0C">
        <w:rPr>
          <w:rFonts w:cstheme="minorHAnsi"/>
        </w:rPr>
        <w:t>).</w:t>
      </w:r>
    </w:p>
  </w:footnote>
  <w:footnote w:id="234">
    <w:p w14:paraId="292C0352" w14:textId="76E45B5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iCs/>
        </w:rPr>
        <w:t>Western Sahara Advisory Opinion</w:t>
      </w:r>
      <w:r w:rsidRPr="00834D0C">
        <w:rPr>
          <w:rFonts w:cstheme="minorHAnsi"/>
        </w:rPr>
        <w:t xml:space="preserve"> (</w:t>
      </w:r>
      <w:r w:rsidR="0084605E" w:rsidRPr="00834D0C">
        <w:rPr>
          <w:rFonts w:cstheme="minorHAnsi"/>
        </w:rPr>
        <w:t>n</w:t>
      </w:r>
      <w:r w:rsidRPr="00834D0C">
        <w:rPr>
          <w:rFonts w:cstheme="minorHAnsi"/>
        </w:rPr>
        <w:t xml:space="preserve"> </w:t>
      </w:r>
      <w:r w:rsidR="00356812" w:rsidRPr="00834D0C">
        <w:rPr>
          <w:rFonts w:cstheme="minorHAnsi"/>
        </w:rPr>
        <w:t>24</w:t>
      </w:r>
      <w:r w:rsidRPr="00834D0C">
        <w:rPr>
          <w:rFonts w:cstheme="minorHAnsi"/>
        </w:rPr>
        <w:t xml:space="preserve">); </w:t>
      </w:r>
      <w:r w:rsidRPr="00834D0C">
        <w:rPr>
          <w:rFonts w:cstheme="minorHAnsi"/>
          <w:i/>
          <w:iCs/>
        </w:rPr>
        <w:t>Frontier Dispute</w:t>
      </w:r>
      <w:r w:rsidRPr="00834D0C">
        <w:rPr>
          <w:rFonts w:cstheme="minorHAnsi"/>
        </w:rPr>
        <w:t xml:space="preserve"> Case</w:t>
      </w:r>
      <w:r w:rsidRPr="00834D0C">
        <w:rPr>
          <w:rFonts w:cstheme="minorHAnsi"/>
          <w:i/>
          <w:iCs/>
        </w:rPr>
        <w:t xml:space="preserve"> </w:t>
      </w:r>
      <w:r w:rsidRPr="00834D0C">
        <w:rPr>
          <w:rFonts w:cstheme="minorHAnsi"/>
        </w:rPr>
        <w:t>(</w:t>
      </w:r>
      <w:r w:rsidR="0084605E" w:rsidRPr="00834D0C">
        <w:rPr>
          <w:rFonts w:cstheme="minorHAnsi"/>
        </w:rPr>
        <w:t>n</w:t>
      </w:r>
      <w:r w:rsidRPr="00834D0C">
        <w:rPr>
          <w:rFonts w:cstheme="minorHAnsi"/>
        </w:rPr>
        <w:t xml:space="preserve"> </w:t>
      </w:r>
      <w:r w:rsidR="00530084" w:rsidRPr="00834D0C">
        <w:rPr>
          <w:rFonts w:cstheme="minorHAnsi"/>
        </w:rPr>
        <w:t>206</w:t>
      </w:r>
      <w:r w:rsidRPr="00834D0C">
        <w:rPr>
          <w:rFonts w:cstheme="minorHAnsi"/>
        </w:rPr>
        <w:t xml:space="preserve">); </w:t>
      </w:r>
      <w:r w:rsidR="009770D7" w:rsidRPr="00834D0C">
        <w:rPr>
          <w:rFonts w:cstheme="minorHAnsi"/>
        </w:rPr>
        <w:t>ICJ</w:t>
      </w:r>
      <w:r w:rsidRPr="00834D0C">
        <w:rPr>
          <w:rFonts w:cstheme="minorHAnsi"/>
        </w:rPr>
        <w:t xml:space="preserve">, </w:t>
      </w:r>
      <w:r w:rsidRPr="00834D0C">
        <w:rPr>
          <w:rFonts w:cstheme="minorHAnsi"/>
          <w:i/>
          <w:iCs/>
        </w:rPr>
        <w:t>Case Concerning East Timor (Portugal v Australia)</w:t>
      </w:r>
      <w:r w:rsidRPr="00834D0C">
        <w:rPr>
          <w:rFonts w:cstheme="minorHAnsi"/>
        </w:rPr>
        <w:t>, Judgment,</w:t>
      </w:r>
      <w:r w:rsidRPr="00834D0C">
        <w:rPr>
          <w:rFonts w:cstheme="minorHAnsi"/>
          <w:i/>
          <w:iCs/>
        </w:rPr>
        <w:t xml:space="preserve"> </w:t>
      </w:r>
      <w:r w:rsidRPr="00834D0C">
        <w:rPr>
          <w:rFonts w:cstheme="minorHAnsi"/>
        </w:rPr>
        <w:t xml:space="preserve">[1995] ICJ Rep 90, para 29; </w:t>
      </w:r>
      <w:r w:rsidR="009770D7" w:rsidRPr="00834D0C">
        <w:rPr>
          <w:rFonts w:cstheme="minorHAnsi"/>
        </w:rPr>
        <w:t>ICJ</w:t>
      </w:r>
      <w:r w:rsidRPr="00834D0C">
        <w:t xml:space="preserve">, </w:t>
      </w:r>
      <w:r w:rsidRPr="00834D0C">
        <w:rPr>
          <w:i/>
          <w:iCs/>
        </w:rPr>
        <w:t xml:space="preserve">Legal Consequences of the Separation of the </w:t>
      </w:r>
      <w:proofErr w:type="spellStart"/>
      <w:r w:rsidRPr="00834D0C">
        <w:rPr>
          <w:i/>
          <w:iCs/>
        </w:rPr>
        <w:t>Chagos</w:t>
      </w:r>
      <w:proofErr w:type="spellEnd"/>
      <w:r w:rsidRPr="00834D0C">
        <w:rPr>
          <w:i/>
          <w:iCs/>
        </w:rPr>
        <w:t xml:space="preserve"> Archipelago from Mauritius in 1965</w:t>
      </w:r>
      <w:r w:rsidRPr="00834D0C">
        <w:t>, Advisory Opinion, [2019] ICJ Rep 95, para 152.</w:t>
      </w:r>
    </w:p>
  </w:footnote>
  <w:footnote w:id="235">
    <w:p w14:paraId="6A0370F2" w14:textId="1632A19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Draft Conclusions on </w:t>
      </w:r>
      <w:r w:rsidRPr="00834D0C">
        <w:rPr>
          <w:rFonts w:cstheme="minorHAnsi"/>
          <w:i/>
          <w:iCs/>
        </w:rPr>
        <w:t xml:space="preserve">Jus Cogens </w:t>
      </w:r>
      <w:r w:rsidRPr="00834D0C">
        <w:rPr>
          <w:rFonts w:cstheme="minorHAnsi"/>
        </w:rPr>
        <w:t>Norms (</w:t>
      </w:r>
      <w:r w:rsidR="0084605E" w:rsidRPr="00834D0C">
        <w:rPr>
          <w:rFonts w:cstheme="minorHAnsi"/>
        </w:rPr>
        <w:t>n</w:t>
      </w:r>
      <w:r w:rsidRPr="00834D0C">
        <w:rPr>
          <w:rFonts w:cstheme="minorHAnsi"/>
        </w:rPr>
        <w:t xml:space="preserve"> </w:t>
      </w:r>
      <w:r w:rsidR="009310E7" w:rsidRPr="00834D0C">
        <w:rPr>
          <w:rFonts w:cstheme="minorHAnsi"/>
        </w:rPr>
        <w:t>145</w:t>
      </w:r>
      <w:r w:rsidRPr="00834D0C">
        <w:rPr>
          <w:rFonts w:cstheme="minorHAnsi"/>
        </w:rPr>
        <w:t xml:space="preserve">) Conclusion 23 (Annex). See also Twardowski </w:t>
      </w:r>
      <w:r w:rsidR="00647E1F" w:rsidRPr="00834D0C">
        <w:rPr>
          <w:rFonts w:cstheme="minorHAnsi"/>
        </w:rPr>
        <w:t>(</w:t>
      </w:r>
      <w:r w:rsidR="0084605E" w:rsidRPr="00834D0C">
        <w:rPr>
          <w:rFonts w:cstheme="minorHAnsi"/>
        </w:rPr>
        <w:t>n</w:t>
      </w:r>
      <w:r w:rsidRPr="00834D0C">
        <w:rPr>
          <w:rFonts w:cstheme="minorHAnsi"/>
        </w:rPr>
        <w:t xml:space="preserve"> </w:t>
      </w:r>
      <w:r w:rsidR="00647E1F" w:rsidRPr="00834D0C">
        <w:rPr>
          <w:rFonts w:cstheme="minorHAnsi"/>
        </w:rPr>
        <w:t>186</w:t>
      </w:r>
      <w:r w:rsidRPr="00834D0C">
        <w:rPr>
          <w:rFonts w:cstheme="minorHAnsi"/>
        </w:rPr>
        <w:t>) 368.</w:t>
      </w:r>
    </w:p>
  </w:footnote>
  <w:footnote w:id="236">
    <w:p w14:paraId="1C635F2F" w14:textId="7DD358B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rPr>
        <w:t>Case Concerning East Timor</w:t>
      </w:r>
      <w:r w:rsidRPr="00834D0C">
        <w:rPr>
          <w:rFonts w:cstheme="minorHAnsi"/>
        </w:rPr>
        <w:t xml:space="preserve"> (</w:t>
      </w:r>
      <w:r w:rsidR="0084605E" w:rsidRPr="00834D0C">
        <w:rPr>
          <w:rFonts w:cstheme="minorHAnsi"/>
        </w:rPr>
        <w:t>n</w:t>
      </w:r>
      <w:r w:rsidRPr="00834D0C">
        <w:rPr>
          <w:rFonts w:cstheme="minorHAnsi"/>
        </w:rPr>
        <w:t xml:space="preserve"> </w:t>
      </w:r>
      <w:r w:rsidR="009770D7" w:rsidRPr="00834D0C">
        <w:rPr>
          <w:rFonts w:cstheme="minorHAnsi"/>
        </w:rPr>
        <w:t>233</w:t>
      </w:r>
      <w:r w:rsidRPr="00834D0C">
        <w:rPr>
          <w:rFonts w:cstheme="minorHAnsi"/>
        </w:rPr>
        <w:t>)</w:t>
      </w:r>
      <w:r w:rsidRPr="00834D0C">
        <w:rPr>
          <w:rFonts w:cstheme="minorHAnsi"/>
          <w:i/>
          <w:iCs/>
        </w:rPr>
        <w:t xml:space="preserve"> </w:t>
      </w:r>
      <w:r w:rsidRPr="00834D0C">
        <w:rPr>
          <w:rFonts w:cstheme="minorHAnsi"/>
        </w:rPr>
        <w:t>para 29.</w:t>
      </w:r>
    </w:p>
  </w:footnote>
  <w:footnote w:id="237">
    <w:p w14:paraId="1888171D" w14:textId="3FB87FF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Helsinki Final Act 1975, the Declaration on Principles Guiding Relations between the Participating States.</w:t>
      </w:r>
    </w:p>
  </w:footnote>
  <w:footnote w:id="238">
    <w:p w14:paraId="37EB8176" w14:textId="2C0EB00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Charter of Paris for a New Europe, Paris 1990.</w:t>
      </w:r>
    </w:p>
  </w:footnote>
  <w:footnote w:id="239">
    <w:p w14:paraId="49070F3D" w14:textId="496AEDA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e.g., Written Statement of the People’s Republic of China to the International Court of Justice on the Issue of Kosovo, 16 April 2009; See </w:t>
      </w:r>
      <w:proofErr w:type="spellStart"/>
      <w:r w:rsidRPr="00834D0C">
        <w:rPr>
          <w:i/>
          <w:iCs/>
        </w:rPr>
        <w:t>Chagos</w:t>
      </w:r>
      <w:proofErr w:type="spellEnd"/>
      <w:r w:rsidRPr="00834D0C">
        <w:t xml:space="preserve"> </w:t>
      </w:r>
      <w:r w:rsidRPr="00834D0C">
        <w:rPr>
          <w:i/>
          <w:iCs/>
        </w:rPr>
        <w:t>Advisory Opinion</w:t>
      </w:r>
      <w:r w:rsidRPr="00834D0C">
        <w:t xml:space="preserve"> </w:t>
      </w:r>
      <w:r w:rsidRPr="00834D0C">
        <w:rPr>
          <w:rFonts w:cstheme="minorHAnsi"/>
        </w:rPr>
        <w:t>(</w:t>
      </w:r>
      <w:r w:rsidR="0084605E" w:rsidRPr="00834D0C">
        <w:rPr>
          <w:rFonts w:cstheme="minorHAnsi"/>
        </w:rPr>
        <w:t>n</w:t>
      </w:r>
      <w:r w:rsidR="00530084" w:rsidRPr="00834D0C">
        <w:rPr>
          <w:rFonts w:cstheme="minorHAnsi"/>
        </w:rPr>
        <w:t xml:space="preserve"> 233</w:t>
      </w:r>
      <w:r w:rsidRPr="00834D0C">
        <w:rPr>
          <w:rFonts w:cstheme="minorHAnsi"/>
        </w:rPr>
        <w:t>)</w:t>
      </w:r>
      <w:r w:rsidRPr="00834D0C">
        <w:t>.</w:t>
      </w:r>
      <w:r w:rsidRPr="00834D0C">
        <w:rPr>
          <w:rFonts w:cstheme="minorHAnsi"/>
        </w:rPr>
        <w:t xml:space="preserve"> </w:t>
      </w:r>
    </w:p>
  </w:footnote>
  <w:footnote w:id="240">
    <w:p w14:paraId="7F621A2D" w14:textId="62FDC33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r w:rsidR="00720A17" w:rsidRPr="00834D0C">
        <w:rPr>
          <w:rFonts w:cstheme="minorHAnsi"/>
        </w:rPr>
        <w:t xml:space="preserve">Wilson (n 199) </w:t>
      </w:r>
      <w:r w:rsidRPr="00834D0C">
        <w:rPr>
          <w:rFonts w:cstheme="minorHAnsi"/>
        </w:rPr>
        <w:t>160; Ojukwu</w:t>
      </w:r>
      <w:r w:rsidR="002F5312">
        <w:rPr>
          <w:rFonts w:cstheme="minorHAnsi"/>
        </w:rPr>
        <w:t xml:space="preserve"> and </w:t>
      </w:r>
      <w:proofErr w:type="spellStart"/>
      <w:r w:rsidRPr="00834D0C">
        <w:rPr>
          <w:rFonts w:cstheme="minorHAnsi"/>
        </w:rPr>
        <w:t>Okoli</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9770D7" w:rsidRPr="00834D0C">
        <w:rPr>
          <w:rFonts w:cstheme="minorHAnsi"/>
        </w:rPr>
        <w:t>174</w:t>
      </w:r>
      <w:r w:rsidRPr="00834D0C">
        <w:rPr>
          <w:rFonts w:cstheme="minorHAnsi"/>
        </w:rPr>
        <w:t>) 129.</w:t>
      </w:r>
    </w:p>
  </w:footnote>
  <w:footnote w:id="241">
    <w:p w14:paraId="568EABCF" w14:textId="32C307B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President Woodrow Wilson’s 14 Points (1918). In fact, the concept of self-determination ‘developed as a natural corollary of developing nationalism in the eighteenth and nineteenth centuries’. </w:t>
      </w:r>
      <w:r w:rsidR="007D0E05" w:rsidRPr="00834D0C">
        <w:rPr>
          <w:rFonts w:cstheme="minorHAnsi"/>
        </w:rPr>
        <w:t xml:space="preserve">Hurst Hannum, </w:t>
      </w:r>
      <w:r w:rsidR="007D0E05" w:rsidRPr="00834D0C">
        <w:rPr>
          <w:rFonts w:cstheme="minorHAnsi"/>
          <w:i/>
          <w:iCs/>
        </w:rPr>
        <w:t xml:space="preserve">Autonomy, Sovereignty, and Self-Determination: The Accommodation of Conflicting Rights </w:t>
      </w:r>
      <w:r w:rsidR="007D0E05" w:rsidRPr="00834D0C">
        <w:rPr>
          <w:rFonts w:cstheme="minorHAnsi"/>
        </w:rPr>
        <w:t>(U</w:t>
      </w:r>
      <w:r w:rsidR="002F5312">
        <w:rPr>
          <w:rFonts w:cstheme="minorHAnsi"/>
        </w:rPr>
        <w:t>PP</w:t>
      </w:r>
      <w:r w:rsidR="007D0E05" w:rsidRPr="00834D0C">
        <w:rPr>
          <w:rFonts w:cstheme="minorHAnsi"/>
        </w:rPr>
        <w:t xml:space="preserve"> 1996) </w:t>
      </w:r>
      <w:r w:rsidRPr="00834D0C">
        <w:rPr>
          <w:rFonts w:cstheme="minorHAnsi"/>
        </w:rPr>
        <w:t>27.</w:t>
      </w:r>
    </w:p>
  </w:footnote>
  <w:footnote w:id="242">
    <w:p w14:paraId="262E9527" w14:textId="29773C16" w:rsidR="002B032D" w:rsidRPr="00834D0C" w:rsidRDefault="002B032D" w:rsidP="00163B41">
      <w:pPr>
        <w:pStyle w:val="FootnoteText"/>
        <w:jc w:val="both"/>
      </w:pPr>
      <w:r w:rsidRPr="00834D0C">
        <w:rPr>
          <w:rStyle w:val="FootnoteReference"/>
        </w:rPr>
        <w:footnoteRef/>
      </w:r>
      <w:r w:rsidRPr="00834D0C">
        <w:t xml:space="preserve"> </w:t>
      </w:r>
      <w:r w:rsidR="007D0E05" w:rsidRPr="00834D0C">
        <w:t xml:space="preserve">Milena </w:t>
      </w:r>
      <w:proofErr w:type="spellStart"/>
      <w:r w:rsidRPr="00834D0C">
        <w:rPr>
          <w:rFonts w:cstheme="minorHAnsi"/>
        </w:rPr>
        <w:t>Sterio</w:t>
      </w:r>
      <w:proofErr w:type="spellEnd"/>
      <w:r w:rsidRPr="00834D0C">
        <w:rPr>
          <w:rFonts w:cstheme="minorHAnsi"/>
        </w:rPr>
        <w:t xml:space="preserve">, </w:t>
      </w:r>
      <w:r w:rsidR="007D0E05" w:rsidRPr="00834D0C">
        <w:rPr>
          <w:rFonts w:cstheme="minorHAnsi"/>
          <w:i/>
          <w:iCs/>
        </w:rPr>
        <w:t xml:space="preserve">The </w:t>
      </w:r>
      <w:r w:rsidRPr="00834D0C">
        <w:rPr>
          <w:rFonts w:cstheme="minorHAnsi"/>
          <w:i/>
          <w:iCs/>
        </w:rPr>
        <w:t>Right of Self-Determination</w:t>
      </w:r>
      <w:r w:rsidR="007D0E05" w:rsidRPr="00834D0C">
        <w:rPr>
          <w:rFonts w:cstheme="minorHAnsi"/>
          <w:i/>
          <w:iCs/>
        </w:rPr>
        <w:t xml:space="preserve"> under International Law</w:t>
      </w:r>
      <w:r w:rsidR="007D0E05" w:rsidRPr="00834D0C">
        <w:rPr>
          <w:rFonts w:cstheme="minorHAnsi"/>
        </w:rPr>
        <w:t xml:space="preserve"> (Routledge 2013)</w:t>
      </w:r>
      <w:r w:rsidRPr="00834D0C">
        <w:rPr>
          <w:rFonts w:cstheme="minorHAnsi"/>
        </w:rPr>
        <w:t xml:space="preserve"> 12-13.</w:t>
      </w:r>
    </w:p>
  </w:footnote>
  <w:footnote w:id="243">
    <w:p w14:paraId="1DE80966" w14:textId="05B4C64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770D7" w:rsidRPr="00834D0C">
        <w:rPr>
          <w:rFonts w:cstheme="minorHAnsi"/>
        </w:rPr>
        <w:t>Ojukwu</w:t>
      </w:r>
      <w:r w:rsidR="002F5312">
        <w:rPr>
          <w:rFonts w:cstheme="minorHAnsi"/>
        </w:rPr>
        <w:t xml:space="preserve"> and</w:t>
      </w:r>
      <w:r w:rsidR="002F5312" w:rsidRPr="00834D0C">
        <w:rPr>
          <w:rFonts w:cstheme="minorHAnsi"/>
        </w:rPr>
        <w:t xml:space="preserve"> </w:t>
      </w:r>
      <w:proofErr w:type="spellStart"/>
      <w:r w:rsidR="009770D7" w:rsidRPr="00834D0C">
        <w:rPr>
          <w:rFonts w:cstheme="minorHAnsi"/>
        </w:rPr>
        <w:t>Okoli</w:t>
      </w:r>
      <w:proofErr w:type="spellEnd"/>
      <w:r w:rsidR="009770D7" w:rsidRPr="00834D0C">
        <w:rPr>
          <w:rFonts w:cstheme="minorHAnsi"/>
        </w:rPr>
        <w:t xml:space="preserve"> (n 174) </w:t>
      </w:r>
      <w:r w:rsidRPr="00834D0C">
        <w:rPr>
          <w:rFonts w:cstheme="minorHAnsi"/>
        </w:rPr>
        <w:t xml:space="preserve">134; </w:t>
      </w:r>
      <w:proofErr w:type="spellStart"/>
      <w:r w:rsidR="0084605E" w:rsidRPr="00834D0C">
        <w:rPr>
          <w:rFonts w:cstheme="minorHAnsi"/>
        </w:rPr>
        <w:t>Leonaitė</w:t>
      </w:r>
      <w:proofErr w:type="spellEnd"/>
      <w:r w:rsidR="002F5312">
        <w:rPr>
          <w:rFonts w:cstheme="minorHAnsi"/>
        </w:rPr>
        <w:t xml:space="preserve"> and</w:t>
      </w:r>
      <w:r w:rsidR="002F5312" w:rsidRPr="00834D0C">
        <w:rPr>
          <w:rFonts w:cstheme="minorHAnsi"/>
        </w:rPr>
        <w:t xml:space="preserve"> </w:t>
      </w:r>
      <w:proofErr w:type="spellStart"/>
      <w:r w:rsidR="0084605E" w:rsidRPr="00834D0C">
        <w:rPr>
          <w:rFonts w:cstheme="minorHAnsi"/>
        </w:rPr>
        <w:t>Žalimas</w:t>
      </w:r>
      <w:proofErr w:type="spellEnd"/>
      <w:r w:rsidR="0084605E" w:rsidRPr="00834D0C">
        <w:rPr>
          <w:rFonts w:cstheme="minorHAnsi"/>
        </w:rPr>
        <w:t xml:space="preserve"> (n 3)</w:t>
      </w:r>
      <w:r w:rsidRPr="00834D0C">
        <w:rPr>
          <w:rFonts w:cstheme="minorHAnsi"/>
        </w:rPr>
        <w:t xml:space="preserve"> 24; </w:t>
      </w:r>
      <w:r w:rsidR="00720A17" w:rsidRPr="00834D0C">
        <w:rPr>
          <w:rFonts w:cstheme="minorHAnsi"/>
        </w:rPr>
        <w:t xml:space="preserve">Wilson (n 199) </w:t>
      </w:r>
      <w:r w:rsidRPr="00834D0C">
        <w:rPr>
          <w:rFonts w:cstheme="minorHAnsi"/>
        </w:rPr>
        <w:t xml:space="preserve">160; </w:t>
      </w:r>
      <w:proofErr w:type="spellStart"/>
      <w:r w:rsidRPr="00834D0C">
        <w:rPr>
          <w:rFonts w:cstheme="minorHAnsi"/>
        </w:rPr>
        <w:t>Sterio</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7D0E05" w:rsidRPr="00834D0C">
        <w:rPr>
          <w:rFonts w:cstheme="minorHAnsi"/>
        </w:rPr>
        <w:t>241</w:t>
      </w:r>
      <w:r w:rsidRPr="00834D0C">
        <w:rPr>
          <w:rFonts w:cstheme="minorHAnsi"/>
        </w:rPr>
        <w:t>)</w:t>
      </w:r>
      <w:r w:rsidR="007D0E05" w:rsidRPr="00834D0C">
        <w:rPr>
          <w:rFonts w:cstheme="minorHAnsi"/>
        </w:rPr>
        <w:t xml:space="preserve"> </w:t>
      </w:r>
      <w:r w:rsidRPr="00834D0C">
        <w:rPr>
          <w:rFonts w:cstheme="minorHAnsi"/>
        </w:rPr>
        <w:t>18-21.</w:t>
      </w:r>
    </w:p>
  </w:footnote>
  <w:footnote w:id="244">
    <w:p w14:paraId="638402BE" w14:textId="5F292DA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Helsinki Final Act 1975</w:t>
      </w:r>
      <w:r w:rsidR="00564AE7" w:rsidRPr="00834D0C">
        <w:rPr>
          <w:rFonts w:cstheme="minorHAnsi"/>
        </w:rPr>
        <w:t xml:space="preserve"> (n 236)</w:t>
      </w:r>
      <w:r w:rsidRPr="00834D0C">
        <w:rPr>
          <w:rFonts w:cstheme="minorHAnsi"/>
        </w:rPr>
        <w:t xml:space="preserve"> Art VIII.</w:t>
      </w:r>
    </w:p>
  </w:footnote>
  <w:footnote w:id="245">
    <w:p w14:paraId="60D2621C" w14:textId="5E55C0C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Ezetah</w:t>
      </w:r>
      <w:proofErr w:type="spellEnd"/>
      <w:r w:rsidR="009310E7" w:rsidRPr="00834D0C">
        <w:rPr>
          <w:rFonts w:cstheme="minorHAnsi"/>
        </w:rPr>
        <w:t xml:space="preserve"> </w:t>
      </w:r>
      <w:r w:rsidRPr="00834D0C">
        <w:rPr>
          <w:rFonts w:cstheme="minorHAnsi"/>
        </w:rPr>
        <w:t>(</w:t>
      </w:r>
      <w:r w:rsidR="0084605E" w:rsidRPr="00834D0C">
        <w:rPr>
          <w:rFonts w:cstheme="minorHAnsi"/>
        </w:rPr>
        <w:t>n</w:t>
      </w:r>
      <w:r w:rsidR="009310E7" w:rsidRPr="00834D0C">
        <w:rPr>
          <w:rFonts w:cstheme="minorHAnsi"/>
        </w:rPr>
        <w:t xml:space="preserve"> 227</w:t>
      </w:r>
      <w:r w:rsidRPr="00834D0C">
        <w:rPr>
          <w:rFonts w:cstheme="minorHAnsi"/>
        </w:rPr>
        <w:t>) 453.</w:t>
      </w:r>
    </w:p>
  </w:footnote>
  <w:footnote w:id="246">
    <w:p w14:paraId="020AA8A3" w14:textId="0A6C42A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Margaret</w:t>
      </w:r>
      <w:r w:rsidR="007D0E05" w:rsidRPr="00834D0C">
        <w:rPr>
          <w:rFonts w:cstheme="minorHAnsi"/>
        </w:rPr>
        <w:t xml:space="preserve"> Moore, ‘Sub-State Nationalism and International Law’ (2004) 25 </w:t>
      </w:r>
      <w:proofErr w:type="spellStart"/>
      <w:r w:rsidRPr="00834D0C">
        <w:rPr>
          <w:rFonts w:cstheme="minorHAnsi"/>
          <w:i/>
          <w:iCs/>
        </w:rPr>
        <w:t>Mich</w:t>
      </w:r>
      <w:proofErr w:type="spellEnd"/>
      <w:r w:rsidR="007D0E05" w:rsidRPr="00834D0C">
        <w:rPr>
          <w:rFonts w:cstheme="minorHAnsi"/>
          <w:i/>
          <w:iCs/>
        </w:rPr>
        <w:t xml:space="preserve"> </w:t>
      </w:r>
      <w:r w:rsidRPr="00834D0C">
        <w:rPr>
          <w:rFonts w:cstheme="minorHAnsi"/>
          <w:i/>
          <w:iCs/>
        </w:rPr>
        <w:t>J</w:t>
      </w:r>
      <w:r w:rsidR="007D0E05" w:rsidRPr="00834D0C">
        <w:rPr>
          <w:rFonts w:cstheme="minorHAnsi"/>
          <w:i/>
          <w:iCs/>
        </w:rPr>
        <w:t xml:space="preserve"> </w:t>
      </w:r>
      <w:r w:rsidRPr="00834D0C">
        <w:rPr>
          <w:rFonts w:cstheme="minorHAnsi"/>
          <w:i/>
          <w:iCs/>
        </w:rPr>
        <w:t>Int’l L</w:t>
      </w:r>
      <w:r w:rsidR="007D0E05" w:rsidRPr="00834D0C">
        <w:rPr>
          <w:rFonts w:cstheme="minorHAnsi"/>
          <w:i/>
          <w:iCs/>
        </w:rPr>
        <w:t xml:space="preserve"> </w:t>
      </w:r>
      <w:r w:rsidRPr="00834D0C">
        <w:rPr>
          <w:rFonts w:cstheme="minorHAnsi"/>
        </w:rPr>
        <w:t>1319</w:t>
      </w:r>
      <w:r w:rsidR="007D0E05" w:rsidRPr="00834D0C">
        <w:rPr>
          <w:rFonts w:cstheme="minorHAnsi"/>
        </w:rPr>
        <w:t xml:space="preserve">, </w:t>
      </w:r>
      <w:r w:rsidRPr="00834D0C">
        <w:rPr>
          <w:rFonts w:cstheme="minorHAnsi"/>
        </w:rPr>
        <w:t xml:space="preserve">1323; </w:t>
      </w:r>
      <w:r w:rsidR="009770D7" w:rsidRPr="00834D0C">
        <w:rPr>
          <w:rFonts w:cstheme="minorHAnsi"/>
        </w:rPr>
        <w:t>Ojukwu</w:t>
      </w:r>
      <w:r w:rsidR="002F5312">
        <w:rPr>
          <w:rFonts w:cstheme="minorHAnsi"/>
        </w:rPr>
        <w:t xml:space="preserve"> and</w:t>
      </w:r>
      <w:r w:rsidR="002F5312" w:rsidRPr="00834D0C">
        <w:rPr>
          <w:rFonts w:cstheme="minorHAnsi"/>
        </w:rPr>
        <w:t xml:space="preserve"> </w:t>
      </w:r>
      <w:proofErr w:type="spellStart"/>
      <w:r w:rsidR="009770D7" w:rsidRPr="00834D0C">
        <w:rPr>
          <w:rFonts w:cstheme="minorHAnsi"/>
        </w:rPr>
        <w:t>Okoli</w:t>
      </w:r>
      <w:proofErr w:type="spellEnd"/>
      <w:r w:rsidR="009770D7" w:rsidRPr="00834D0C">
        <w:rPr>
          <w:rFonts w:cstheme="minorHAnsi"/>
        </w:rPr>
        <w:t xml:space="preserve"> (n 174) </w:t>
      </w:r>
      <w:r w:rsidRPr="00834D0C">
        <w:rPr>
          <w:rFonts w:cstheme="minorHAnsi"/>
        </w:rPr>
        <w:t>128; Fabry</w:t>
      </w:r>
      <w:r w:rsidR="007D346D" w:rsidRPr="00834D0C">
        <w:rPr>
          <w:rFonts w:cstheme="minorHAnsi"/>
        </w:rPr>
        <w:t xml:space="preserve"> (n 202) </w:t>
      </w:r>
      <w:r w:rsidRPr="00834D0C">
        <w:rPr>
          <w:rFonts w:cstheme="minorHAnsi"/>
        </w:rPr>
        <w:t xml:space="preserve">664; </w:t>
      </w:r>
      <w:r w:rsidRPr="00834D0C">
        <w:t xml:space="preserve">Jan </w:t>
      </w:r>
      <w:proofErr w:type="spellStart"/>
      <w:r w:rsidRPr="00834D0C">
        <w:t>Klabbers</w:t>
      </w:r>
      <w:proofErr w:type="spellEnd"/>
      <w:r w:rsidRPr="00834D0C">
        <w:rPr>
          <w:i/>
          <w:iCs/>
        </w:rPr>
        <w:t xml:space="preserve">, </w:t>
      </w:r>
      <w:r w:rsidR="007D346D" w:rsidRPr="00834D0C">
        <w:t>‘</w:t>
      </w:r>
      <w:r w:rsidRPr="00834D0C">
        <w:t xml:space="preserve">Shrinking Self-Determination: The </w:t>
      </w:r>
      <w:proofErr w:type="spellStart"/>
      <w:r w:rsidRPr="00834D0C">
        <w:rPr>
          <w:i/>
          <w:iCs/>
        </w:rPr>
        <w:t>Chagos</w:t>
      </w:r>
      <w:proofErr w:type="spellEnd"/>
      <w:r w:rsidRPr="00834D0C">
        <w:rPr>
          <w:i/>
          <w:iCs/>
        </w:rPr>
        <w:t xml:space="preserve"> </w:t>
      </w:r>
      <w:r w:rsidRPr="00834D0C">
        <w:t>Opinion of the International Court of Justice</w:t>
      </w:r>
      <w:r w:rsidR="007D346D" w:rsidRPr="00834D0C">
        <w:t>’</w:t>
      </w:r>
      <w:r w:rsidRPr="00834D0C">
        <w:t xml:space="preserve"> </w:t>
      </w:r>
      <w:r w:rsidRPr="00834D0C">
        <w:rPr>
          <w:i/>
          <w:iCs/>
        </w:rPr>
        <w:t>ESIL Reflections</w:t>
      </w:r>
      <w:r w:rsidRPr="00834D0C">
        <w:t>, 27 March 2019;</w:t>
      </w:r>
      <w:r w:rsidRPr="00834D0C">
        <w:rPr>
          <w:rFonts w:cstheme="minorHAnsi"/>
        </w:rPr>
        <w:t xml:space="preserve"> See e.g., declaration by the Minister of State from the UK Foreign and Commonwealth Office in 1983 (HL, Deb, vol 446, cc94WA). </w:t>
      </w:r>
    </w:p>
  </w:footnote>
  <w:footnote w:id="247">
    <w:p w14:paraId="6DF42E3C" w14:textId="6705AEA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Sub-Commission on Prevention of Discrimination and Protection of Minorities, </w:t>
      </w:r>
      <w:r w:rsidR="00564AE7" w:rsidRPr="00834D0C">
        <w:rPr>
          <w:rFonts w:cstheme="minorHAnsi"/>
          <w:i/>
          <w:iCs/>
        </w:rPr>
        <w:t>T</w:t>
      </w:r>
      <w:r w:rsidRPr="00834D0C">
        <w:rPr>
          <w:rFonts w:cstheme="minorHAnsi"/>
          <w:i/>
          <w:iCs/>
        </w:rPr>
        <w:t>he Right to Self-Determination: Implementation of United Nations Resolutions</w:t>
      </w:r>
      <w:r w:rsidRPr="00834D0C">
        <w:rPr>
          <w:rFonts w:cstheme="minorHAnsi"/>
        </w:rPr>
        <w:t xml:space="preserve">, Study Prepared by Hector Gros </w:t>
      </w:r>
      <w:proofErr w:type="spellStart"/>
      <w:r w:rsidRPr="00834D0C">
        <w:rPr>
          <w:rFonts w:cstheme="minorHAnsi"/>
        </w:rPr>
        <w:t>Esppiell</w:t>
      </w:r>
      <w:proofErr w:type="spellEnd"/>
      <w:r w:rsidRPr="00834D0C">
        <w:rPr>
          <w:rFonts w:cstheme="minorHAnsi"/>
        </w:rPr>
        <w:t xml:space="preserve">, Special Rapporteur, UN Doc E/CN.4/Sub.2/405/Rev.1 (1980), </w:t>
      </w:r>
      <w:r w:rsidR="00643ED5" w:rsidRPr="00834D0C">
        <w:rPr>
          <w:rFonts w:cstheme="minorHAnsi"/>
        </w:rPr>
        <w:t xml:space="preserve">para </w:t>
      </w:r>
      <w:r w:rsidRPr="00834D0C">
        <w:rPr>
          <w:rFonts w:cstheme="minorHAnsi"/>
        </w:rPr>
        <w:t>56.</w:t>
      </w:r>
    </w:p>
  </w:footnote>
  <w:footnote w:id="248">
    <w:p w14:paraId="4B9E9668" w14:textId="78B0782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D71D0" w:rsidRPr="00834D0C">
        <w:rPr>
          <w:rFonts w:cstheme="minorHAnsi"/>
        </w:rPr>
        <w:t>Quénivet</w:t>
      </w:r>
      <w:proofErr w:type="spellEnd"/>
      <w:r w:rsidR="006D71D0" w:rsidRPr="00834D0C">
        <w:rPr>
          <w:rFonts w:cstheme="minorHAnsi"/>
        </w:rPr>
        <w:t xml:space="preserve"> (n 11) </w:t>
      </w:r>
      <w:r w:rsidRPr="00834D0C">
        <w:rPr>
          <w:rFonts w:cstheme="minorHAnsi"/>
        </w:rPr>
        <w:t>491.</w:t>
      </w:r>
    </w:p>
  </w:footnote>
  <w:footnote w:id="249">
    <w:p w14:paraId="3DF2C930" w14:textId="7A5EF6B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D0E05" w:rsidRPr="00834D0C">
        <w:rPr>
          <w:rFonts w:cstheme="minorHAnsi"/>
        </w:rPr>
        <w:t>ICC</w:t>
      </w:r>
      <w:r w:rsidRPr="00834D0C">
        <w:rPr>
          <w:rFonts w:cstheme="minorHAnsi"/>
        </w:rPr>
        <w:t xml:space="preserve">, </w:t>
      </w:r>
      <w:r w:rsidRPr="00834D0C">
        <w:rPr>
          <w:rFonts w:cstheme="minorHAnsi"/>
          <w:i/>
          <w:iCs/>
        </w:rPr>
        <w:t>Situation in the State of Palestine in the Case of the Prosecutor v</w:t>
      </w:r>
      <w:r w:rsidRPr="00834D0C">
        <w:rPr>
          <w:rFonts w:cstheme="minorHAnsi"/>
        </w:rPr>
        <w:t>, Corrected Version of: Court’s Territorial Jurisdiction in Palestine Registration no: ICC-01/18-115, ICC-01/18 (Dr Frank Romano), 16 March 2020, 15.</w:t>
      </w:r>
    </w:p>
  </w:footnote>
  <w:footnote w:id="250">
    <w:p w14:paraId="0FB23A6D" w14:textId="723BFF3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84605E" w:rsidRPr="00834D0C">
        <w:rPr>
          <w:rFonts w:cstheme="minorHAnsi"/>
        </w:rPr>
        <w:t>Leonaitė</w:t>
      </w:r>
      <w:proofErr w:type="spellEnd"/>
      <w:r w:rsidR="002F5312">
        <w:rPr>
          <w:rFonts w:cstheme="minorHAnsi"/>
        </w:rPr>
        <w:t xml:space="preserve"> </w:t>
      </w:r>
      <w:r w:rsidR="002F5312">
        <w:rPr>
          <w:rFonts w:cstheme="minorHAnsi"/>
        </w:rPr>
        <w:t>and</w:t>
      </w:r>
      <w:r w:rsidR="002F5312" w:rsidRPr="00834D0C">
        <w:rPr>
          <w:rFonts w:cstheme="minorHAnsi"/>
        </w:rPr>
        <w:t xml:space="preserve"> </w:t>
      </w:r>
      <w:proofErr w:type="spellStart"/>
      <w:r w:rsidR="0084605E" w:rsidRPr="00834D0C">
        <w:rPr>
          <w:rFonts w:cstheme="minorHAnsi"/>
        </w:rPr>
        <w:t>Žalimas</w:t>
      </w:r>
      <w:proofErr w:type="spellEnd"/>
      <w:r w:rsidR="0084605E" w:rsidRPr="00834D0C">
        <w:rPr>
          <w:rFonts w:cstheme="minorHAnsi"/>
        </w:rPr>
        <w:t xml:space="preserve"> (n 3)</w:t>
      </w:r>
      <w:r w:rsidRPr="00834D0C">
        <w:rPr>
          <w:rFonts w:cstheme="minorHAnsi"/>
        </w:rPr>
        <w:t xml:space="preserve"> 23 and 36.</w:t>
      </w:r>
    </w:p>
  </w:footnote>
  <w:footnote w:id="251">
    <w:p w14:paraId="1DFCDFD6" w14:textId="1D8BDC5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Cs/>
        </w:rPr>
        <w:t>Moore</w:t>
      </w:r>
      <w:r w:rsidR="007D0E05"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7D0E05" w:rsidRPr="00834D0C">
        <w:rPr>
          <w:rFonts w:cstheme="minorHAnsi"/>
        </w:rPr>
        <w:t>345</w:t>
      </w:r>
      <w:r w:rsidRPr="00834D0C">
        <w:rPr>
          <w:rFonts w:cstheme="minorHAnsi"/>
        </w:rPr>
        <w:t>) 1326.</w:t>
      </w:r>
    </w:p>
  </w:footnote>
  <w:footnote w:id="252">
    <w:p w14:paraId="1C8A6BBC" w14:textId="70E269F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Friendly Relations Declaration (</w:t>
      </w:r>
      <w:r w:rsidR="0084605E" w:rsidRPr="00834D0C">
        <w:rPr>
          <w:rFonts w:cstheme="minorHAnsi"/>
        </w:rPr>
        <w:t>n</w:t>
      </w:r>
      <w:r w:rsidR="007D0E05" w:rsidRPr="00834D0C">
        <w:rPr>
          <w:rFonts w:cstheme="minorHAnsi"/>
        </w:rPr>
        <w:t xml:space="preserve"> 170</w:t>
      </w:r>
      <w:r w:rsidRPr="00834D0C">
        <w:rPr>
          <w:rFonts w:cstheme="minorHAnsi"/>
        </w:rPr>
        <w:t>).</w:t>
      </w:r>
    </w:p>
  </w:footnote>
  <w:footnote w:id="253">
    <w:p w14:paraId="233C85A9" w14:textId="282AAD8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UNESCO, </w:t>
      </w:r>
      <w:r w:rsidRPr="00834D0C">
        <w:rPr>
          <w:rFonts w:cstheme="minorHAnsi"/>
          <w:i/>
          <w:iCs/>
        </w:rPr>
        <w:t>International Meeting of Experts on Further Study of the Concept of the Rights of Peoples, 27-30 September 1989</w:t>
      </w:r>
      <w:r w:rsidRPr="00834D0C">
        <w:rPr>
          <w:rFonts w:cstheme="minorHAnsi"/>
        </w:rPr>
        <w:t xml:space="preserve">, UN Doc SHS 89/CONF.602/7, </w:t>
      </w:r>
      <w:r w:rsidR="00643ED5" w:rsidRPr="00834D0C">
        <w:rPr>
          <w:rFonts w:cstheme="minorHAnsi"/>
        </w:rPr>
        <w:t>para</w:t>
      </w:r>
      <w:r w:rsidRPr="00834D0C">
        <w:rPr>
          <w:rFonts w:cstheme="minorHAnsi"/>
        </w:rPr>
        <w:t xml:space="preserve"> 22.</w:t>
      </w:r>
    </w:p>
  </w:footnote>
  <w:footnote w:id="254">
    <w:p w14:paraId="1D0A73B9" w14:textId="259CE0A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0084605E" w:rsidRPr="00834D0C">
        <w:rPr>
          <w:rFonts w:cstheme="minorHAnsi"/>
        </w:rPr>
        <w:t>Leonaitė</w:t>
      </w:r>
      <w:proofErr w:type="spellEnd"/>
      <w:r w:rsidR="002F5312">
        <w:rPr>
          <w:rFonts w:cstheme="minorHAnsi"/>
        </w:rPr>
        <w:t xml:space="preserve"> and</w:t>
      </w:r>
      <w:r w:rsidR="002F5312" w:rsidRPr="00834D0C">
        <w:rPr>
          <w:rFonts w:cstheme="minorHAnsi"/>
        </w:rPr>
        <w:t xml:space="preserve"> </w:t>
      </w:r>
      <w:proofErr w:type="spellStart"/>
      <w:r w:rsidR="0084605E" w:rsidRPr="00834D0C">
        <w:rPr>
          <w:rFonts w:cstheme="minorHAnsi"/>
        </w:rPr>
        <w:t>Žalimas</w:t>
      </w:r>
      <w:proofErr w:type="spellEnd"/>
      <w:r w:rsidR="0084605E" w:rsidRPr="00834D0C">
        <w:rPr>
          <w:rFonts w:cstheme="minorHAnsi"/>
        </w:rPr>
        <w:t xml:space="preserve"> (n 3) </w:t>
      </w:r>
      <w:r w:rsidRPr="00834D0C">
        <w:rPr>
          <w:rFonts w:cstheme="minorHAnsi"/>
        </w:rPr>
        <w:t xml:space="preserve">23; </w:t>
      </w:r>
      <w:r w:rsidR="00720A17" w:rsidRPr="00834D0C">
        <w:rPr>
          <w:rFonts w:cstheme="minorHAnsi"/>
        </w:rPr>
        <w:t xml:space="preserve">Wilson (n 199) </w:t>
      </w:r>
      <w:r w:rsidRPr="00834D0C">
        <w:rPr>
          <w:rFonts w:cstheme="minorHAnsi"/>
        </w:rPr>
        <w:t xml:space="preserve">162; </w:t>
      </w:r>
      <w:proofErr w:type="spellStart"/>
      <w:r w:rsidRPr="00834D0C">
        <w:rPr>
          <w:rFonts w:cstheme="minorHAnsi"/>
        </w:rPr>
        <w:t>Sterio</w:t>
      </w:r>
      <w:proofErr w:type="spellEnd"/>
      <w:r w:rsidR="007D0E05" w:rsidRPr="00834D0C">
        <w:rPr>
          <w:rFonts w:cstheme="minorHAnsi"/>
        </w:rPr>
        <w:t xml:space="preserve"> </w:t>
      </w:r>
      <w:r w:rsidRPr="00834D0C">
        <w:rPr>
          <w:rFonts w:cstheme="minorHAnsi"/>
        </w:rPr>
        <w:t>(</w:t>
      </w:r>
      <w:r w:rsidR="0084605E" w:rsidRPr="00834D0C">
        <w:rPr>
          <w:rFonts w:cstheme="minorHAnsi"/>
        </w:rPr>
        <w:t>n</w:t>
      </w:r>
      <w:r w:rsidRPr="00834D0C">
        <w:rPr>
          <w:rFonts w:cstheme="minorHAnsi"/>
        </w:rPr>
        <w:t xml:space="preserve"> </w:t>
      </w:r>
      <w:r w:rsidR="007D0E05" w:rsidRPr="00834D0C">
        <w:rPr>
          <w:rFonts w:cstheme="minorHAnsi"/>
        </w:rPr>
        <w:t>241</w:t>
      </w:r>
      <w:r w:rsidRPr="00834D0C">
        <w:rPr>
          <w:rFonts w:cstheme="minorHAnsi"/>
        </w:rPr>
        <w:t>) 16-18.</w:t>
      </w:r>
    </w:p>
  </w:footnote>
  <w:footnote w:id="255">
    <w:p w14:paraId="0923D63C" w14:textId="7E6F12F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also Opinion 2 (</w:t>
      </w:r>
      <w:r w:rsidR="0084605E" w:rsidRPr="00834D0C">
        <w:rPr>
          <w:rFonts w:cstheme="minorHAnsi"/>
        </w:rPr>
        <w:t>n</w:t>
      </w:r>
      <w:r w:rsidRPr="00834D0C">
        <w:rPr>
          <w:rFonts w:cstheme="minorHAnsi"/>
        </w:rPr>
        <w:t xml:space="preserve"> </w:t>
      </w:r>
      <w:r w:rsidR="007D0E05" w:rsidRPr="00834D0C">
        <w:rPr>
          <w:rFonts w:cstheme="minorHAnsi"/>
        </w:rPr>
        <w:t>107)</w:t>
      </w:r>
      <w:r w:rsidRPr="00834D0C">
        <w:rPr>
          <w:rFonts w:cstheme="minorHAnsi"/>
        </w:rPr>
        <w:t xml:space="preserve"> 184.</w:t>
      </w:r>
    </w:p>
  </w:footnote>
  <w:footnote w:id="256">
    <w:p w14:paraId="11D001EB" w14:textId="07E22B8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20A17" w:rsidRPr="00834D0C">
        <w:rPr>
          <w:rFonts w:cstheme="minorHAnsi"/>
        </w:rPr>
        <w:t xml:space="preserve">Wilson (n 199) </w:t>
      </w:r>
      <w:r w:rsidRPr="00834D0C">
        <w:rPr>
          <w:rFonts w:cstheme="minorHAnsi"/>
        </w:rPr>
        <w:t xml:space="preserve">156;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485-486.</w:t>
      </w:r>
    </w:p>
  </w:footnote>
  <w:footnote w:id="257">
    <w:p w14:paraId="38ECE6EB" w14:textId="51DD0D48" w:rsidR="002B032D" w:rsidRPr="00834D0C" w:rsidRDefault="002B032D" w:rsidP="00163B41">
      <w:pPr>
        <w:pStyle w:val="FootnoteText"/>
        <w:jc w:val="both"/>
      </w:pPr>
      <w:r w:rsidRPr="00834D0C">
        <w:rPr>
          <w:rStyle w:val="FootnoteReference"/>
        </w:rPr>
        <w:footnoteRef/>
      </w:r>
      <w:r w:rsidRPr="00834D0C">
        <w:t xml:space="preserve"> Thomas De Waal, </w:t>
      </w:r>
      <w:r w:rsidR="00FA029C" w:rsidRPr="00834D0C">
        <w:t>‘</w:t>
      </w:r>
      <w:r w:rsidRPr="00834D0C">
        <w:t>South Ossetia Today</w:t>
      </w:r>
      <w:r w:rsidR="00FA029C" w:rsidRPr="00834D0C">
        <w:t>’</w:t>
      </w:r>
      <w:r w:rsidRPr="00834D0C">
        <w:t>, 3 June 2019, available at https://3dcftas.eu/publications/south-ossetia-today, 2.</w:t>
      </w:r>
    </w:p>
  </w:footnote>
  <w:footnote w:id="258">
    <w:p w14:paraId="7A2D87A8" w14:textId="1B6307F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Bowring (n 11) </w:t>
      </w:r>
      <w:r w:rsidRPr="00834D0C">
        <w:rPr>
          <w:rFonts w:cstheme="minorHAnsi"/>
        </w:rPr>
        <w:t>12.</w:t>
      </w:r>
    </w:p>
  </w:footnote>
  <w:footnote w:id="259">
    <w:p w14:paraId="5F45F2F4" w14:textId="5B40D25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20A17" w:rsidRPr="00834D0C">
        <w:rPr>
          <w:rFonts w:cstheme="minorHAnsi"/>
        </w:rPr>
        <w:t xml:space="preserve">Wilson (n 199) </w:t>
      </w:r>
      <w:r w:rsidRPr="00834D0C">
        <w:rPr>
          <w:rFonts w:cstheme="minorHAnsi"/>
        </w:rPr>
        <w:t xml:space="preserve">155;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487.</w:t>
      </w:r>
    </w:p>
  </w:footnote>
  <w:footnote w:id="260">
    <w:p w14:paraId="1930621E" w14:textId="252BC64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Bowring (n 11) </w:t>
      </w:r>
      <w:r w:rsidRPr="00834D0C">
        <w:rPr>
          <w:rFonts w:cstheme="minorHAnsi"/>
        </w:rPr>
        <w:t>12.</w:t>
      </w:r>
    </w:p>
  </w:footnote>
  <w:footnote w:id="261">
    <w:p w14:paraId="7CDE5646" w14:textId="43BC5DE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Bowring (n 11) </w:t>
      </w:r>
      <w:r w:rsidRPr="00834D0C">
        <w:rPr>
          <w:rFonts w:cstheme="minorHAnsi"/>
        </w:rPr>
        <w:t>12; Report on the Application by Moldova (</w:t>
      </w:r>
      <w:r w:rsidR="0084605E" w:rsidRPr="00834D0C">
        <w:rPr>
          <w:rFonts w:cstheme="minorHAnsi"/>
        </w:rPr>
        <w:t>n</w:t>
      </w:r>
      <w:r w:rsidRPr="00834D0C">
        <w:rPr>
          <w:rFonts w:cstheme="minorHAnsi"/>
        </w:rPr>
        <w:t xml:space="preserve"> </w:t>
      </w:r>
      <w:r w:rsidR="00453543" w:rsidRPr="00834D0C">
        <w:rPr>
          <w:rFonts w:cstheme="minorHAnsi"/>
        </w:rPr>
        <w:t>156</w:t>
      </w:r>
      <w:r w:rsidRPr="00834D0C">
        <w:rPr>
          <w:rFonts w:cstheme="minorHAnsi"/>
        </w:rPr>
        <w:t xml:space="preserve">) </w:t>
      </w:r>
      <w:r w:rsidR="00643ED5" w:rsidRPr="00834D0C">
        <w:rPr>
          <w:rFonts w:cstheme="minorHAnsi"/>
        </w:rPr>
        <w:t xml:space="preserve">para </w:t>
      </w:r>
      <w:r w:rsidRPr="00834D0C">
        <w:rPr>
          <w:rFonts w:cstheme="minorHAnsi"/>
        </w:rPr>
        <w:t>71.</w:t>
      </w:r>
    </w:p>
  </w:footnote>
  <w:footnote w:id="262">
    <w:p w14:paraId="7F7811F5" w14:textId="6552822B"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rPr>
          <w:rFonts w:cstheme="minorHAnsi"/>
          <w:iCs/>
        </w:rPr>
        <w:t>Pål</w:t>
      </w:r>
      <w:proofErr w:type="spellEnd"/>
      <w:r w:rsidRPr="00834D0C">
        <w:rPr>
          <w:rFonts w:cstheme="minorHAnsi"/>
          <w:iCs/>
        </w:rPr>
        <w:t xml:space="preserve"> </w:t>
      </w:r>
      <w:proofErr w:type="spellStart"/>
      <w:r w:rsidRPr="00834D0C">
        <w:rPr>
          <w:rFonts w:cstheme="minorHAnsi"/>
          <w:iCs/>
        </w:rPr>
        <w:t>Kolstø</w:t>
      </w:r>
      <w:proofErr w:type="spellEnd"/>
      <w:r w:rsidRPr="00834D0C">
        <w:rPr>
          <w:rFonts w:cstheme="minorHAnsi"/>
        </w:rPr>
        <w:t xml:space="preserve">, </w:t>
      </w:r>
      <w:r w:rsidR="002F3085" w:rsidRPr="00834D0C">
        <w:rPr>
          <w:rFonts w:cstheme="minorHAnsi"/>
        </w:rPr>
        <w:t>‘T</w:t>
      </w:r>
      <w:r w:rsidRPr="00834D0C">
        <w:rPr>
          <w:rFonts w:cstheme="minorHAnsi"/>
        </w:rPr>
        <w:t>he Sustainability and Future of Unrecognized Quasi-States</w:t>
      </w:r>
      <w:r w:rsidR="002F3085" w:rsidRPr="00834D0C">
        <w:rPr>
          <w:rFonts w:cstheme="minorHAnsi"/>
        </w:rPr>
        <w:t>’ (2006)</w:t>
      </w:r>
      <w:r w:rsidRPr="00834D0C">
        <w:rPr>
          <w:rFonts w:cstheme="minorHAnsi"/>
        </w:rPr>
        <w:t xml:space="preserve"> </w:t>
      </w:r>
      <w:r w:rsidR="002F3085" w:rsidRPr="00834D0C">
        <w:rPr>
          <w:rFonts w:cstheme="minorHAnsi"/>
        </w:rPr>
        <w:t xml:space="preserve">43(6) </w:t>
      </w:r>
      <w:r w:rsidRPr="00834D0C">
        <w:rPr>
          <w:rFonts w:cstheme="minorHAnsi"/>
          <w:i/>
          <w:iCs/>
        </w:rPr>
        <w:t>J Peace Res</w:t>
      </w:r>
      <w:r w:rsidRPr="00834D0C">
        <w:rPr>
          <w:rFonts w:cstheme="minorHAnsi"/>
        </w:rPr>
        <w:t xml:space="preserve"> 723</w:t>
      </w:r>
      <w:r w:rsidR="002F3085" w:rsidRPr="00834D0C">
        <w:rPr>
          <w:rFonts w:cstheme="minorHAnsi"/>
        </w:rPr>
        <w:t xml:space="preserve">, </w:t>
      </w:r>
      <w:r w:rsidRPr="00834D0C">
        <w:t>731.</w:t>
      </w:r>
    </w:p>
  </w:footnote>
  <w:footnote w:id="263">
    <w:p w14:paraId="3EDE65D5" w14:textId="41B4E47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rPr>
        <w:t>Re Secession of Quebec</w:t>
      </w:r>
      <w:r w:rsidRPr="00834D0C">
        <w:rPr>
          <w:rFonts w:cstheme="minorHAnsi"/>
        </w:rPr>
        <w:t xml:space="preserve"> (</w:t>
      </w:r>
      <w:r w:rsidR="0084605E" w:rsidRPr="00834D0C">
        <w:rPr>
          <w:rFonts w:cstheme="minorHAnsi"/>
        </w:rPr>
        <w:t>n</w:t>
      </w:r>
      <w:r w:rsidRPr="00834D0C">
        <w:rPr>
          <w:rFonts w:cstheme="minorHAnsi"/>
        </w:rPr>
        <w:t xml:space="preserve"> </w:t>
      </w:r>
      <w:r w:rsidR="007D346D" w:rsidRPr="00834D0C">
        <w:rPr>
          <w:rFonts w:cstheme="minorHAnsi"/>
        </w:rPr>
        <w:t>224</w:t>
      </w:r>
      <w:r w:rsidRPr="00834D0C">
        <w:rPr>
          <w:rFonts w:cstheme="minorHAnsi"/>
        </w:rPr>
        <w:t xml:space="preserve">) </w:t>
      </w:r>
      <w:r w:rsidR="00643ED5" w:rsidRPr="00834D0C">
        <w:rPr>
          <w:rFonts w:cstheme="minorHAnsi"/>
        </w:rPr>
        <w:t xml:space="preserve">para </w:t>
      </w:r>
      <w:r w:rsidRPr="00834D0C">
        <w:rPr>
          <w:rFonts w:cstheme="minorHAnsi"/>
        </w:rPr>
        <w:t xml:space="preserve">132. </w:t>
      </w:r>
    </w:p>
  </w:footnote>
  <w:footnote w:id="264">
    <w:p w14:paraId="74F57265" w14:textId="742898D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D346D" w:rsidRPr="00834D0C">
        <w:rPr>
          <w:rFonts w:cstheme="minorHAnsi"/>
          <w:i/>
        </w:rPr>
        <w:t>Re Secession of Quebec</w:t>
      </w:r>
      <w:r w:rsidR="007D346D" w:rsidRPr="00834D0C">
        <w:rPr>
          <w:rFonts w:cstheme="minorHAnsi"/>
        </w:rPr>
        <w:t xml:space="preserve"> (n 224) </w:t>
      </w:r>
      <w:r w:rsidR="00643ED5" w:rsidRPr="00834D0C">
        <w:rPr>
          <w:rFonts w:cstheme="minorHAnsi"/>
        </w:rPr>
        <w:t>para</w:t>
      </w:r>
      <w:r w:rsidRPr="00834D0C">
        <w:rPr>
          <w:rFonts w:cstheme="minorHAnsi"/>
        </w:rPr>
        <w:t xml:space="preserve"> 133.</w:t>
      </w:r>
    </w:p>
  </w:footnote>
  <w:footnote w:id="265">
    <w:p w14:paraId="07327A9D" w14:textId="0371CF4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D346D" w:rsidRPr="00834D0C">
        <w:rPr>
          <w:rFonts w:cstheme="minorHAnsi"/>
          <w:i/>
        </w:rPr>
        <w:t>Re Secession of Quebec</w:t>
      </w:r>
      <w:r w:rsidR="007D346D" w:rsidRPr="00834D0C">
        <w:rPr>
          <w:rFonts w:cstheme="minorHAnsi"/>
        </w:rPr>
        <w:t xml:space="preserve"> (n 224) </w:t>
      </w:r>
      <w:r w:rsidR="00643ED5" w:rsidRPr="00834D0C">
        <w:rPr>
          <w:rFonts w:cstheme="minorHAnsi"/>
        </w:rPr>
        <w:t xml:space="preserve">para </w:t>
      </w:r>
      <w:r w:rsidRPr="00834D0C">
        <w:rPr>
          <w:rFonts w:cstheme="minorHAnsi"/>
        </w:rPr>
        <w:t xml:space="preserve">134. These three situations were reiterated recently by the Supreme Court of the United Kingdom (Judgment, </w:t>
      </w:r>
      <w:r w:rsidRPr="00834D0C">
        <w:rPr>
          <w:rFonts w:cstheme="minorHAnsi"/>
          <w:i/>
        </w:rPr>
        <w:t>Reference by the Lord Advocate of Devolution Issue under Paragraph 34 of Schedule 6 to the Scotland Act 1998</w:t>
      </w:r>
      <w:r w:rsidRPr="00834D0C">
        <w:rPr>
          <w:rFonts w:cstheme="minorHAnsi"/>
        </w:rPr>
        <w:t xml:space="preserve">, [2022] UKSC 31, 23 November 2022, paras 88-89). See </w:t>
      </w:r>
      <w:proofErr w:type="spellStart"/>
      <w:r w:rsidRPr="00834D0C">
        <w:rPr>
          <w:rFonts w:cstheme="minorHAnsi"/>
        </w:rPr>
        <w:t>Kushtrim</w:t>
      </w:r>
      <w:proofErr w:type="spellEnd"/>
      <w:r w:rsidRPr="00834D0C">
        <w:rPr>
          <w:rFonts w:cstheme="minorHAnsi"/>
        </w:rPr>
        <w:t xml:space="preserve"> </w:t>
      </w:r>
      <w:proofErr w:type="spellStart"/>
      <w:r w:rsidRPr="00834D0C">
        <w:rPr>
          <w:rFonts w:cstheme="minorHAnsi"/>
        </w:rPr>
        <w:t>Istrefi</w:t>
      </w:r>
      <w:proofErr w:type="spellEnd"/>
      <w:r w:rsidRPr="00834D0C">
        <w:rPr>
          <w:rFonts w:cstheme="minorHAnsi"/>
          <w:i/>
          <w:iCs/>
        </w:rPr>
        <w:t xml:space="preserve">, </w:t>
      </w:r>
      <w:r w:rsidR="00564AE7" w:rsidRPr="00834D0C">
        <w:rPr>
          <w:rFonts w:cstheme="minorHAnsi"/>
        </w:rPr>
        <w:t>‘</w:t>
      </w:r>
      <w:r w:rsidRPr="00834D0C">
        <w:rPr>
          <w:rFonts w:cstheme="minorHAnsi"/>
        </w:rPr>
        <w:t>The UK Supreme Court in the Scottish Case: Revitalising the Doctrine of Remedial Secession</w:t>
      </w:r>
      <w:r w:rsidR="00564AE7" w:rsidRPr="00834D0C">
        <w:rPr>
          <w:rFonts w:cstheme="minorHAnsi"/>
        </w:rPr>
        <w:t>’</w:t>
      </w:r>
      <w:r w:rsidRPr="00834D0C">
        <w:rPr>
          <w:rFonts w:cstheme="minorHAnsi"/>
        </w:rPr>
        <w:t xml:space="preserve"> </w:t>
      </w:r>
      <w:proofErr w:type="spellStart"/>
      <w:r w:rsidRPr="00834D0C">
        <w:rPr>
          <w:rFonts w:cstheme="minorHAnsi"/>
          <w:i/>
          <w:iCs/>
        </w:rPr>
        <w:t>EJIL:Talk</w:t>
      </w:r>
      <w:proofErr w:type="spellEnd"/>
      <w:r w:rsidRPr="00834D0C">
        <w:rPr>
          <w:rFonts w:cstheme="minorHAnsi"/>
          <w:i/>
          <w:iCs/>
        </w:rPr>
        <w:t>!</w:t>
      </w:r>
      <w:r w:rsidRPr="00834D0C">
        <w:rPr>
          <w:rFonts w:cstheme="minorHAnsi"/>
        </w:rPr>
        <w:t>, 14 December 2022.</w:t>
      </w:r>
    </w:p>
  </w:footnote>
  <w:footnote w:id="266">
    <w:p w14:paraId="6885D6A1" w14:textId="0F8EF48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770D7" w:rsidRPr="00834D0C">
        <w:rPr>
          <w:rFonts w:cstheme="minorHAnsi"/>
        </w:rPr>
        <w:t>Ojukwu</w:t>
      </w:r>
      <w:r w:rsidR="002F5312">
        <w:rPr>
          <w:rFonts w:cstheme="minorHAnsi"/>
        </w:rPr>
        <w:t xml:space="preserve"> and</w:t>
      </w:r>
      <w:r w:rsidR="002F5312" w:rsidRPr="00834D0C">
        <w:rPr>
          <w:rFonts w:cstheme="minorHAnsi"/>
        </w:rPr>
        <w:t xml:space="preserve"> </w:t>
      </w:r>
      <w:proofErr w:type="spellStart"/>
      <w:r w:rsidR="009770D7" w:rsidRPr="00834D0C">
        <w:rPr>
          <w:rFonts w:cstheme="minorHAnsi"/>
        </w:rPr>
        <w:t>Okoli</w:t>
      </w:r>
      <w:proofErr w:type="spellEnd"/>
      <w:r w:rsidR="009770D7" w:rsidRPr="00834D0C">
        <w:rPr>
          <w:rFonts w:cstheme="minorHAnsi"/>
        </w:rPr>
        <w:t xml:space="preserve"> (n 174) </w:t>
      </w:r>
      <w:r w:rsidRPr="00834D0C">
        <w:rPr>
          <w:rFonts w:cstheme="minorHAnsi"/>
        </w:rPr>
        <w:t>136-137.</w:t>
      </w:r>
    </w:p>
  </w:footnote>
  <w:footnote w:id="267">
    <w:p w14:paraId="36969E7F" w14:textId="264947B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D346D" w:rsidRPr="00834D0C">
        <w:rPr>
          <w:rFonts w:cstheme="minorHAnsi"/>
          <w:i/>
        </w:rPr>
        <w:t>Re Secession of Quebec</w:t>
      </w:r>
      <w:r w:rsidR="007D346D" w:rsidRPr="00834D0C">
        <w:rPr>
          <w:rFonts w:cstheme="minorHAnsi"/>
        </w:rPr>
        <w:t xml:space="preserve"> (n 224) </w:t>
      </w:r>
      <w:r w:rsidR="00643ED5" w:rsidRPr="00834D0C">
        <w:rPr>
          <w:rFonts w:cstheme="minorHAnsi"/>
        </w:rPr>
        <w:t>para</w:t>
      </w:r>
      <w:r w:rsidRPr="00834D0C">
        <w:rPr>
          <w:rFonts w:cstheme="minorHAnsi"/>
        </w:rPr>
        <w:t xml:space="preserve"> 135.</w:t>
      </w:r>
    </w:p>
  </w:footnote>
  <w:footnote w:id="268">
    <w:p w14:paraId="4C62E058" w14:textId="1FC5B72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564AE7" w:rsidRPr="00834D0C">
        <w:rPr>
          <w:rFonts w:cstheme="minorHAnsi"/>
        </w:rPr>
        <w:t>UNGA</w:t>
      </w:r>
      <w:r w:rsidRPr="00834D0C">
        <w:rPr>
          <w:rFonts w:cstheme="minorHAnsi"/>
        </w:rPr>
        <w:t xml:space="preserve">, Resolution A/RES/55/2, sec 1, 8 September 2000, </w:t>
      </w:r>
      <w:r w:rsidR="00643ED5" w:rsidRPr="00834D0C">
        <w:rPr>
          <w:rFonts w:cstheme="minorHAnsi"/>
        </w:rPr>
        <w:t xml:space="preserve">para </w:t>
      </w:r>
      <w:r w:rsidRPr="00834D0C">
        <w:rPr>
          <w:rFonts w:cstheme="minorHAnsi"/>
        </w:rPr>
        <w:t>4.</w:t>
      </w:r>
    </w:p>
  </w:footnote>
  <w:footnote w:id="269">
    <w:p w14:paraId="373956BA" w14:textId="7F10A20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U</w:t>
      </w:r>
      <w:r w:rsidR="00564AE7" w:rsidRPr="00834D0C">
        <w:rPr>
          <w:rFonts w:cstheme="minorHAnsi"/>
        </w:rPr>
        <w:t>NGA</w:t>
      </w:r>
      <w:r w:rsidRPr="00834D0C">
        <w:rPr>
          <w:rFonts w:cstheme="minorHAnsi"/>
        </w:rPr>
        <w:t xml:space="preserve">, Resolution A/RES/60/1, sec 1, 24 October 2005, </w:t>
      </w:r>
      <w:r w:rsidR="00643ED5" w:rsidRPr="00834D0C">
        <w:rPr>
          <w:rFonts w:cstheme="minorHAnsi"/>
        </w:rPr>
        <w:t xml:space="preserve">para </w:t>
      </w:r>
      <w:r w:rsidRPr="00834D0C">
        <w:rPr>
          <w:rFonts w:cstheme="minorHAnsi"/>
        </w:rPr>
        <w:t>5.</w:t>
      </w:r>
    </w:p>
  </w:footnote>
  <w:footnote w:id="270">
    <w:p w14:paraId="53FAAF26" w14:textId="01F0CB8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770D7" w:rsidRPr="00834D0C">
        <w:rPr>
          <w:rFonts w:cstheme="minorHAnsi"/>
        </w:rPr>
        <w:t>Ojukwu</w:t>
      </w:r>
      <w:r w:rsidR="002F5312">
        <w:rPr>
          <w:rFonts w:cstheme="minorHAnsi"/>
        </w:rPr>
        <w:t xml:space="preserve"> and</w:t>
      </w:r>
      <w:r w:rsidR="002F5312" w:rsidRPr="00834D0C">
        <w:rPr>
          <w:rFonts w:cstheme="minorHAnsi"/>
        </w:rPr>
        <w:t xml:space="preserve"> </w:t>
      </w:r>
      <w:proofErr w:type="spellStart"/>
      <w:r w:rsidR="009770D7" w:rsidRPr="00834D0C">
        <w:rPr>
          <w:rFonts w:cstheme="minorHAnsi"/>
        </w:rPr>
        <w:t>Okoli</w:t>
      </w:r>
      <w:proofErr w:type="spellEnd"/>
      <w:r w:rsidR="009770D7" w:rsidRPr="00834D0C">
        <w:rPr>
          <w:rFonts w:cstheme="minorHAnsi"/>
        </w:rPr>
        <w:t xml:space="preserve"> (n 174) </w:t>
      </w:r>
      <w:r w:rsidRPr="00834D0C">
        <w:rPr>
          <w:rFonts w:cstheme="minorHAnsi"/>
        </w:rPr>
        <w:t>135-137.</w:t>
      </w:r>
    </w:p>
  </w:footnote>
  <w:footnote w:id="271">
    <w:p w14:paraId="25E6F8C6" w14:textId="4EC5A24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i/>
        </w:rPr>
        <w:t>Kosovo Advisory Opinion</w:t>
      </w:r>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9770D7" w:rsidRPr="00834D0C">
        <w:rPr>
          <w:rFonts w:cstheme="minorHAnsi"/>
        </w:rPr>
        <w:t>176</w:t>
      </w:r>
      <w:r w:rsidRPr="00834D0C">
        <w:rPr>
          <w:rFonts w:cstheme="minorHAnsi"/>
        </w:rPr>
        <w:t xml:space="preserve">) para 79. See </w:t>
      </w:r>
      <w:r w:rsidR="00720A17" w:rsidRPr="00834D0C">
        <w:rPr>
          <w:rFonts w:cstheme="minorHAnsi"/>
        </w:rPr>
        <w:t xml:space="preserve">Weller (n 128) </w:t>
      </w:r>
      <w:r w:rsidRPr="00834D0C">
        <w:rPr>
          <w:rFonts w:cstheme="minorHAnsi"/>
        </w:rPr>
        <w:t>137.</w:t>
      </w:r>
    </w:p>
  </w:footnote>
  <w:footnote w:id="272">
    <w:p w14:paraId="23969869" w14:textId="3D7B2C68"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141.</w:t>
      </w:r>
    </w:p>
  </w:footnote>
  <w:footnote w:id="273">
    <w:p w14:paraId="032FF7CA" w14:textId="7EC10F4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European Commission for Democracy through Law (Venice Commission), </w:t>
      </w:r>
      <w:r w:rsidRPr="00834D0C">
        <w:rPr>
          <w:rFonts w:cstheme="minorHAnsi"/>
          <w:i/>
          <w:iCs/>
        </w:rPr>
        <w:t>Opinion on “Whether Draft Federal Constitutional Law No 462741-6 on Amending the Federal Constitutional Law of the Russian Federation on the Procedure of Admission to the Russian Federation and Creation of a New Subject within the Russian Federation Is Compatible with International Law”</w:t>
      </w:r>
      <w:r w:rsidRPr="00834D0C">
        <w:rPr>
          <w:rFonts w:cstheme="minorHAnsi"/>
        </w:rPr>
        <w:t>, Opinion No 763/2014, CDL-AD(2014)004,</w:t>
      </w:r>
      <w:r w:rsidRPr="00834D0C">
        <w:rPr>
          <w:rFonts w:cstheme="minorHAnsi"/>
          <w:i/>
          <w:iCs/>
        </w:rPr>
        <w:t xml:space="preserve"> </w:t>
      </w:r>
      <w:r w:rsidRPr="00834D0C">
        <w:rPr>
          <w:rFonts w:cstheme="minorHAnsi"/>
        </w:rPr>
        <w:t xml:space="preserve">21 March 2014, </w:t>
      </w:r>
      <w:r w:rsidR="00643ED5" w:rsidRPr="00834D0C">
        <w:rPr>
          <w:rFonts w:cstheme="minorHAnsi"/>
        </w:rPr>
        <w:t>para</w:t>
      </w:r>
      <w:r w:rsidRPr="00834D0C">
        <w:rPr>
          <w:rFonts w:cstheme="minorHAnsi"/>
        </w:rPr>
        <w:t xml:space="preserve"> 26. See also </w:t>
      </w:r>
      <w:r w:rsidR="009037C8" w:rsidRPr="00834D0C">
        <w:t xml:space="preserve">EU </w:t>
      </w:r>
      <w:r w:rsidR="009037C8" w:rsidRPr="00834D0C">
        <w:rPr>
          <w:rFonts w:cstheme="minorHAnsi"/>
        </w:rPr>
        <w:t xml:space="preserve">(n 20) </w:t>
      </w:r>
      <w:r w:rsidRPr="00834D0C">
        <w:t>141.</w:t>
      </w:r>
    </w:p>
  </w:footnote>
  <w:footnote w:id="274">
    <w:p w14:paraId="1E29E49A" w14:textId="5C617AF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D346D" w:rsidRPr="00834D0C">
        <w:rPr>
          <w:rFonts w:cstheme="minorHAnsi"/>
        </w:rPr>
        <w:t xml:space="preserve">Allen Buchanan, </w:t>
      </w:r>
      <w:r w:rsidR="007D346D" w:rsidRPr="00834D0C">
        <w:rPr>
          <w:rFonts w:cstheme="minorHAnsi"/>
          <w:i/>
          <w:iCs/>
        </w:rPr>
        <w:t xml:space="preserve">Justice, Legitimacy, and Self-Determination. Moral Foundations for International Law </w:t>
      </w:r>
      <w:r w:rsidR="007D346D" w:rsidRPr="00834D0C">
        <w:rPr>
          <w:rFonts w:cstheme="minorHAnsi"/>
        </w:rPr>
        <w:t xml:space="preserve">(OUP 2003) </w:t>
      </w:r>
      <w:r w:rsidRPr="00834D0C">
        <w:rPr>
          <w:rFonts w:cstheme="minorHAnsi"/>
        </w:rPr>
        <w:t xml:space="preserve">335; </w:t>
      </w:r>
      <w:proofErr w:type="spellStart"/>
      <w:r w:rsidR="0084605E" w:rsidRPr="00834D0C">
        <w:rPr>
          <w:rFonts w:cstheme="minorHAnsi"/>
        </w:rPr>
        <w:t>Kurtskhalia</w:t>
      </w:r>
      <w:proofErr w:type="spellEnd"/>
      <w:r w:rsidR="0084605E" w:rsidRPr="00834D0C">
        <w:rPr>
          <w:rFonts w:cstheme="minorHAnsi"/>
        </w:rPr>
        <w:t xml:space="preserve"> (n 4) </w:t>
      </w:r>
      <w:r w:rsidRPr="00834D0C">
        <w:rPr>
          <w:rFonts w:cstheme="minorHAnsi"/>
        </w:rPr>
        <w:t>75.</w:t>
      </w:r>
    </w:p>
  </w:footnote>
  <w:footnote w:id="275">
    <w:p w14:paraId="4E8F5099" w14:textId="1D89CDFA" w:rsidR="002B032D" w:rsidRPr="00834D0C" w:rsidRDefault="002B032D" w:rsidP="00163B41">
      <w:pPr>
        <w:pStyle w:val="Default"/>
        <w:jc w:val="both"/>
        <w:rPr>
          <w:rFonts w:asciiTheme="minorHAnsi" w:hAnsiTheme="minorHAnsi" w:cstheme="minorHAnsi"/>
          <w:color w:val="auto"/>
          <w:sz w:val="20"/>
          <w:szCs w:val="20"/>
        </w:rPr>
      </w:pPr>
      <w:r w:rsidRPr="00834D0C">
        <w:rPr>
          <w:rStyle w:val="FootnoteReference"/>
          <w:rFonts w:asciiTheme="minorHAnsi" w:hAnsiTheme="minorHAnsi" w:cstheme="minorHAnsi"/>
          <w:color w:val="auto"/>
          <w:sz w:val="20"/>
          <w:szCs w:val="20"/>
        </w:rPr>
        <w:footnoteRef/>
      </w:r>
      <w:r w:rsidRPr="00834D0C">
        <w:rPr>
          <w:rFonts w:asciiTheme="minorHAnsi" w:hAnsiTheme="minorHAnsi" w:cstheme="minorHAnsi"/>
          <w:color w:val="auto"/>
          <w:sz w:val="20"/>
          <w:szCs w:val="20"/>
        </w:rPr>
        <w:t xml:space="preserve"> </w:t>
      </w:r>
      <w:r w:rsidR="00D74517" w:rsidRPr="00834D0C">
        <w:rPr>
          <w:rStyle w:val="Emphasis"/>
          <w:rFonts w:asciiTheme="minorHAnsi" w:hAnsiTheme="minorHAnsi" w:cstheme="minorHAnsi"/>
          <w:sz w:val="20"/>
          <w:szCs w:val="20"/>
          <w:shd w:val="clear" w:color="auto" w:fill="FFFFFF"/>
        </w:rPr>
        <w:t>The Question of the Aaland Islands: Report of the Commission of Jurists, </w:t>
      </w:r>
      <w:r w:rsidR="00D74517" w:rsidRPr="00834D0C">
        <w:rPr>
          <w:rFonts w:asciiTheme="minorHAnsi" w:hAnsiTheme="minorHAnsi" w:cstheme="minorHAnsi"/>
          <w:sz w:val="20"/>
          <w:szCs w:val="20"/>
          <w:shd w:val="clear" w:color="auto" w:fill="FFFFFF"/>
        </w:rPr>
        <w:t>(1920) League of Nations Official Journal Spec Supp 3 [27].</w:t>
      </w:r>
    </w:p>
  </w:footnote>
  <w:footnote w:id="276">
    <w:p w14:paraId="49BFB208" w14:textId="72F57D92"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rPr>
          <w:i/>
        </w:rPr>
        <w:t>Chagos</w:t>
      </w:r>
      <w:proofErr w:type="spellEnd"/>
      <w:r w:rsidRPr="00834D0C">
        <w:rPr>
          <w:i/>
        </w:rPr>
        <w:t xml:space="preserve"> Advisory Opinion</w:t>
      </w:r>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530084" w:rsidRPr="00834D0C">
        <w:rPr>
          <w:rFonts w:cstheme="minorHAnsi"/>
        </w:rPr>
        <w:t>233</w:t>
      </w:r>
      <w:r w:rsidRPr="00834D0C">
        <w:rPr>
          <w:rFonts w:cstheme="minorHAnsi"/>
        </w:rPr>
        <w:t xml:space="preserve">) </w:t>
      </w:r>
      <w:r w:rsidRPr="00834D0C">
        <w:t>para 144.</w:t>
      </w:r>
    </w:p>
  </w:footnote>
  <w:footnote w:id="277">
    <w:p w14:paraId="50409D0B" w14:textId="4E4B937F"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t>Klabbers</w:t>
      </w:r>
      <w:proofErr w:type="spellEnd"/>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7D346D" w:rsidRPr="00834D0C">
        <w:rPr>
          <w:rFonts w:cstheme="minorHAnsi"/>
        </w:rPr>
        <w:t>245</w:t>
      </w:r>
      <w:r w:rsidRPr="00834D0C">
        <w:rPr>
          <w:rFonts w:cstheme="minorHAnsi"/>
        </w:rPr>
        <w:t>).</w:t>
      </w:r>
    </w:p>
  </w:footnote>
  <w:footnote w:id="278">
    <w:p w14:paraId="1E85DC7E" w14:textId="7132C13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European Commission for Democracy through Law, </w:t>
      </w:r>
      <w:r w:rsidRPr="00834D0C">
        <w:rPr>
          <w:rFonts w:cstheme="minorHAnsi"/>
          <w:i/>
          <w:iCs/>
        </w:rPr>
        <w:t xml:space="preserve">Seminar on ‘State-Legal Aspects of on the Settlement of the (Abkhaz) Conflict, </w:t>
      </w:r>
      <w:proofErr w:type="spellStart"/>
      <w:r w:rsidRPr="00834D0C">
        <w:rPr>
          <w:rFonts w:cstheme="minorHAnsi"/>
          <w:i/>
          <w:iCs/>
        </w:rPr>
        <w:t>Pitsunda</w:t>
      </w:r>
      <w:proofErr w:type="spellEnd"/>
      <w:r w:rsidRPr="00834D0C">
        <w:rPr>
          <w:rFonts w:cstheme="minorHAnsi"/>
          <w:i/>
          <w:iCs/>
        </w:rPr>
        <w:t>, Georgia, 12-13 February 2001,</w:t>
      </w:r>
      <w:r w:rsidRPr="00834D0C">
        <w:rPr>
          <w:rFonts w:cstheme="minorHAnsi"/>
        </w:rPr>
        <w:t xml:space="preserve"> </w:t>
      </w:r>
      <w:r w:rsidR="00643ED5" w:rsidRPr="00834D0C">
        <w:rPr>
          <w:rFonts w:cstheme="minorHAnsi"/>
        </w:rPr>
        <w:t xml:space="preserve">para </w:t>
      </w:r>
      <w:r w:rsidRPr="00834D0C">
        <w:rPr>
          <w:rFonts w:cstheme="minorHAnsi"/>
        </w:rPr>
        <w:t xml:space="preserve">3: ‘Their presentation was mainly historical, starting in the eighth century and complaining about Georgian colonisation of their land.’ For those familiar with the history of Russia and the Soviet Union, this might however not come as a surprise. In 1879 the Russian legal scholar Martens drew parallels between England’s and Russia’s activities on the Indian subcontinent and Central Asia respectively. </w:t>
      </w:r>
      <w:proofErr w:type="spellStart"/>
      <w:r w:rsidRPr="00834D0C">
        <w:rPr>
          <w:rFonts w:cstheme="minorHAnsi"/>
          <w:lang w:val="fr-FR"/>
        </w:rPr>
        <w:t>Fyodor</w:t>
      </w:r>
      <w:proofErr w:type="spellEnd"/>
      <w:r w:rsidRPr="00834D0C">
        <w:rPr>
          <w:rFonts w:cstheme="minorHAnsi"/>
          <w:lang w:val="fr-FR"/>
        </w:rPr>
        <w:t xml:space="preserve"> Martens, </w:t>
      </w:r>
      <w:r w:rsidR="00D74517" w:rsidRPr="00834D0C">
        <w:rPr>
          <w:rFonts w:cstheme="minorHAnsi"/>
          <w:lang w:val="fr-FR"/>
        </w:rPr>
        <w:t>‘L</w:t>
      </w:r>
      <w:r w:rsidRPr="00834D0C">
        <w:rPr>
          <w:rFonts w:cstheme="minorHAnsi"/>
          <w:lang w:val="fr-FR"/>
        </w:rPr>
        <w:t>a Russie et l’Angleterre dans l’Asie Centrale</w:t>
      </w:r>
      <w:r w:rsidR="00D74517" w:rsidRPr="00834D0C">
        <w:rPr>
          <w:rFonts w:cstheme="minorHAnsi"/>
          <w:lang w:val="fr-FR"/>
        </w:rPr>
        <w:t>’ (1879)</w:t>
      </w:r>
      <w:r w:rsidRPr="00834D0C">
        <w:rPr>
          <w:rFonts w:cstheme="minorHAnsi"/>
          <w:i/>
          <w:iCs/>
          <w:lang w:val="fr-FR"/>
        </w:rPr>
        <w:t xml:space="preserve"> Revue de Droit International et de Législation Comparée</w:t>
      </w:r>
      <w:r w:rsidRPr="00834D0C">
        <w:rPr>
          <w:rFonts w:cstheme="minorHAnsi"/>
          <w:lang w:val="fr-FR"/>
        </w:rPr>
        <w:t xml:space="preserve"> 227. </w:t>
      </w:r>
      <w:r w:rsidRPr="00834D0C">
        <w:rPr>
          <w:rFonts w:cstheme="minorHAnsi"/>
        </w:rPr>
        <w:t xml:space="preserve">See </w:t>
      </w:r>
      <w:r w:rsidR="00D74517" w:rsidRPr="00834D0C">
        <w:rPr>
          <w:rFonts w:cstheme="minorHAnsi"/>
        </w:rPr>
        <w:t xml:space="preserve">Lauri </w:t>
      </w:r>
      <w:proofErr w:type="spellStart"/>
      <w:r w:rsidR="00D74517" w:rsidRPr="00834D0C">
        <w:rPr>
          <w:rFonts w:cstheme="minorHAnsi"/>
        </w:rPr>
        <w:t>Mälksoo</w:t>
      </w:r>
      <w:proofErr w:type="spellEnd"/>
      <w:r w:rsidR="00D74517" w:rsidRPr="00834D0C">
        <w:rPr>
          <w:rFonts w:cstheme="minorHAnsi"/>
        </w:rPr>
        <w:t xml:space="preserve">, ‘The Legacy of F.F. Martens and the Shadow of Colonialism’ (2022) 21(2) </w:t>
      </w:r>
      <w:r w:rsidRPr="00834D0C">
        <w:rPr>
          <w:rFonts w:cstheme="minorHAnsi"/>
          <w:i/>
          <w:iCs/>
        </w:rPr>
        <w:t>C</w:t>
      </w:r>
      <w:r w:rsidR="00D74517" w:rsidRPr="00834D0C">
        <w:rPr>
          <w:rFonts w:cstheme="minorHAnsi"/>
          <w:i/>
          <w:iCs/>
        </w:rPr>
        <w:t xml:space="preserve">hinese </w:t>
      </w:r>
      <w:r w:rsidRPr="00834D0C">
        <w:rPr>
          <w:rFonts w:cstheme="minorHAnsi"/>
          <w:i/>
          <w:iCs/>
        </w:rPr>
        <w:t>JIL</w:t>
      </w:r>
      <w:r w:rsidRPr="00834D0C">
        <w:rPr>
          <w:rFonts w:cstheme="minorHAnsi"/>
        </w:rPr>
        <w:t xml:space="preserve"> 55</w:t>
      </w:r>
      <w:r w:rsidR="00D74517" w:rsidRPr="00834D0C">
        <w:rPr>
          <w:rFonts w:cstheme="minorHAnsi"/>
        </w:rPr>
        <w:t>-77</w:t>
      </w:r>
      <w:r w:rsidRPr="00834D0C">
        <w:rPr>
          <w:rFonts w:cstheme="minorHAnsi"/>
        </w:rPr>
        <w:t>.</w:t>
      </w:r>
    </w:p>
  </w:footnote>
  <w:footnote w:id="279">
    <w:p w14:paraId="106882D3" w14:textId="39F474F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564AE7" w:rsidRPr="00834D0C">
        <w:rPr>
          <w:rFonts w:cstheme="minorHAnsi"/>
        </w:rPr>
        <w:t>UNGA</w:t>
      </w:r>
      <w:r w:rsidRPr="00834D0C">
        <w:rPr>
          <w:rFonts w:cstheme="minorHAnsi"/>
        </w:rPr>
        <w:t xml:space="preserve">, </w:t>
      </w:r>
      <w:r w:rsidRPr="00834D0C">
        <w:rPr>
          <w:rFonts w:cstheme="minorHAnsi"/>
          <w:i/>
          <w:iCs/>
        </w:rPr>
        <w:t>Principles which Should Guide Members in Determining whether or not an Obligation Exists to Transmit the Information Called in Article 73e of the Charter of the United Nations</w:t>
      </w:r>
      <w:r w:rsidRPr="00834D0C">
        <w:rPr>
          <w:rFonts w:cstheme="minorHAnsi"/>
        </w:rPr>
        <w:t xml:space="preserve">, UN Doc A/RES/1541(XV), 15 December 1960, </w:t>
      </w:r>
      <w:r w:rsidRPr="00834D0C">
        <w:rPr>
          <w:rFonts w:cstheme="minorHAnsi"/>
          <w:shd w:val="clear" w:color="auto" w:fill="FFFFFF"/>
        </w:rPr>
        <w:t xml:space="preserve">Principle IV. </w:t>
      </w:r>
      <w:r w:rsidRPr="00834D0C">
        <w:rPr>
          <w:rFonts w:cstheme="minorHAnsi"/>
        </w:rPr>
        <w:t xml:space="preserve"> </w:t>
      </w:r>
    </w:p>
  </w:footnote>
  <w:footnote w:id="280">
    <w:p w14:paraId="62CF071F" w14:textId="54E9C74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Buchanan</w:t>
      </w:r>
      <w:r w:rsidRPr="00834D0C">
        <w:rPr>
          <w:rFonts w:cstheme="minorHAnsi"/>
          <w:i/>
          <w:iCs/>
        </w:rPr>
        <w:t xml:space="preserve"> </w:t>
      </w:r>
      <w:r w:rsidRPr="00834D0C">
        <w:rPr>
          <w:rFonts w:cstheme="minorHAnsi"/>
        </w:rPr>
        <w:t>(</w:t>
      </w:r>
      <w:r w:rsidR="0084605E" w:rsidRPr="00834D0C">
        <w:rPr>
          <w:rFonts w:cstheme="minorHAnsi"/>
        </w:rPr>
        <w:t>n</w:t>
      </w:r>
      <w:r w:rsidRPr="00834D0C">
        <w:rPr>
          <w:rFonts w:cstheme="minorHAnsi"/>
        </w:rPr>
        <w:t xml:space="preserve"> </w:t>
      </w:r>
      <w:r w:rsidR="007D346D" w:rsidRPr="00834D0C">
        <w:rPr>
          <w:rFonts w:cstheme="minorHAnsi"/>
        </w:rPr>
        <w:t>273</w:t>
      </w:r>
      <w:r w:rsidRPr="00834D0C">
        <w:rPr>
          <w:rFonts w:cstheme="minorHAnsi"/>
        </w:rPr>
        <w:t>) 339-340.</w:t>
      </w:r>
    </w:p>
  </w:footnote>
  <w:footnote w:id="281">
    <w:p w14:paraId="31C9197F" w14:textId="2C30F3CA" w:rsidR="002B032D" w:rsidRPr="00834D0C" w:rsidRDefault="002B032D" w:rsidP="00163B41">
      <w:pPr>
        <w:pStyle w:val="FootnoteText"/>
        <w:jc w:val="both"/>
      </w:pPr>
      <w:r w:rsidRPr="00834D0C">
        <w:rPr>
          <w:rStyle w:val="FootnoteReference"/>
        </w:rPr>
        <w:footnoteRef/>
      </w:r>
      <w:r w:rsidRPr="00834D0C">
        <w:t xml:space="preserve"> It is also dismissed in the </w:t>
      </w:r>
      <w:proofErr w:type="spellStart"/>
      <w:r w:rsidRPr="00834D0C">
        <w:t>Tagliavani</w:t>
      </w:r>
      <w:proofErr w:type="spellEnd"/>
      <w:r w:rsidRPr="00834D0C">
        <w:t xml:space="preserve"> report. </w:t>
      </w:r>
      <w:r w:rsidR="009037C8" w:rsidRPr="00834D0C">
        <w:t xml:space="preserve">EU </w:t>
      </w:r>
      <w:r w:rsidR="009037C8" w:rsidRPr="00834D0C">
        <w:rPr>
          <w:rFonts w:cstheme="minorHAnsi"/>
        </w:rPr>
        <w:t xml:space="preserve">(n 20) </w:t>
      </w:r>
      <w:r w:rsidRPr="00834D0C">
        <w:t>136.</w:t>
      </w:r>
    </w:p>
  </w:footnote>
  <w:footnote w:id="282">
    <w:p w14:paraId="146FA335" w14:textId="6F2ABEA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74517" w:rsidRPr="00834D0C">
        <w:rPr>
          <w:rFonts w:cstheme="minorHAnsi"/>
        </w:rPr>
        <w:t xml:space="preserve">Timothy W Waters, ‘Contemplating Failure and Creating Alternatives in the Balkans: Bosnia’s Peoples, Democracy, and the Shape of Self-Determination’ (2004) 29 </w:t>
      </w:r>
      <w:r w:rsidRPr="00834D0C">
        <w:rPr>
          <w:rFonts w:cstheme="minorHAnsi"/>
          <w:i/>
          <w:iCs/>
        </w:rPr>
        <w:t>Yale J</w:t>
      </w:r>
      <w:r w:rsidR="00D74517" w:rsidRPr="00834D0C">
        <w:rPr>
          <w:rFonts w:cstheme="minorHAnsi"/>
          <w:i/>
          <w:iCs/>
        </w:rPr>
        <w:t xml:space="preserve"> </w:t>
      </w:r>
      <w:r w:rsidRPr="00834D0C">
        <w:rPr>
          <w:rFonts w:cstheme="minorHAnsi"/>
          <w:i/>
          <w:iCs/>
        </w:rPr>
        <w:t>Int’l L</w:t>
      </w:r>
      <w:r w:rsidRPr="00834D0C">
        <w:rPr>
          <w:rFonts w:cstheme="minorHAnsi"/>
        </w:rPr>
        <w:t xml:space="preserve"> 423</w:t>
      </w:r>
      <w:r w:rsidR="00D74517" w:rsidRPr="00834D0C">
        <w:rPr>
          <w:rFonts w:cstheme="minorHAnsi"/>
        </w:rPr>
        <w:t xml:space="preserve">, </w:t>
      </w:r>
      <w:r w:rsidRPr="00834D0C">
        <w:rPr>
          <w:rFonts w:cstheme="minorHAnsi"/>
        </w:rPr>
        <w:t>435.</w:t>
      </w:r>
    </w:p>
  </w:footnote>
  <w:footnote w:id="283">
    <w:p w14:paraId="771BE5D6" w14:textId="6CFF89D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e.g., </w:t>
      </w:r>
      <w:r w:rsidR="009770D7" w:rsidRPr="00834D0C">
        <w:rPr>
          <w:rFonts w:cstheme="minorHAnsi"/>
        </w:rPr>
        <w:t>Ojukwu</w:t>
      </w:r>
      <w:r w:rsidR="002F5312">
        <w:rPr>
          <w:rFonts w:cstheme="minorHAnsi"/>
        </w:rPr>
        <w:t xml:space="preserve"> and</w:t>
      </w:r>
      <w:r w:rsidR="002F5312" w:rsidRPr="00834D0C">
        <w:rPr>
          <w:rFonts w:cstheme="minorHAnsi"/>
        </w:rPr>
        <w:t xml:space="preserve"> </w:t>
      </w:r>
      <w:proofErr w:type="spellStart"/>
      <w:r w:rsidR="009770D7" w:rsidRPr="00834D0C">
        <w:rPr>
          <w:rFonts w:cstheme="minorHAnsi"/>
        </w:rPr>
        <w:t>Okoli</w:t>
      </w:r>
      <w:proofErr w:type="spellEnd"/>
      <w:r w:rsidR="009770D7" w:rsidRPr="00834D0C">
        <w:rPr>
          <w:rFonts w:cstheme="minorHAnsi"/>
        </w:rPr>
        <w:t xml:space="preserve"> (n 174) </w:t>
      </w:r>
      <w:r w:rsidRPr="00834D0C">
        <w:rPr>
          <w:rFonts w:cstheme="minorHAnsi"/>
        </w:rPr>
        <w:t>136.</w:t>
      </w:r>
    </w:p>
  </w:footnote>
  <w:footnote w:id="284">
    <w:p w14:paraId="4BE029A4" w14:textId="0621390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Friendly Relations Declaration (</w:t>
      </w:r>
      <w:r w:rsidR="0084605E" w:rsidRPr="00834D0C">
        <w:rPr>
          <w:rFonts w:cstheme="minorHAnsi"/>
        </w:rPr>
        <w:t>n</w:t>
      </w:r>
      <w:r w:rsidR="00D74517" w:rsidRPr="00834D0C">
        <w:rPr>
          <w:rFonts w:cstheme="minorHAnsi"/>
        </w:rPr>
        <w:t xml:space="preserve"> 170</w:t>
      </w:r>
      <w:r w:rsidRPr="00834D0C">
        <w:rPr>
          <w:rFonts w:cstheme="minorHAnsi"/>
        </w:rPr>
        <w:t>).</w:t>
      </w:r>
    </w:p>
  </w:footnote>
  <w:footnote w:id="285">
    <w:p w14:paraId="501D3573" w14:textId="36AC4F5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643ED5" w:rsidRPr="00834D0C">
        <w:rPr>
          <w:rFonts w:cstheme="minorHAnsi"/>
        </w:rPr>
        <w:t xml:space="preserve">Lynch (n 90) </w:t>
      </w:r>
      <w:r w:rsidRPr="00834D0C">
        <w:rPr>
          <w:rFonts w:cstheme="minorHAnsi"/>
        </w:rPr>
        <w:t>837.</w:t>
      </w:r>
    </w:p>
  </w:footnote>
  <w:footnote w:id="286">
    <w:p w14:paraId="30F575AF" w14:textId="77777777" w:rsidR="002B032D" w:rsidRPr="00834D0C" w:rsidRDefault="002B032D" w:rsidP="00163B41">
      <w:pPr>
        <w:pStyle w:val="FootnoteText"/>
        <w:jc w:val="both"/>
      </w:pPr>
      <w:r w:rsidRPr="00834D0C">
        <w:rPr>
          <w:rStyle w:val="FootnoteReference"/>
        </w:rPr>
        <w:footnoteRef/>
      </w:r>
      <w:r w:rsidRPr="00834D0C">
        <w:t xml:space="preserve"> Act of State Independence of the Republic of Abkhazia, 12 October 1999.</w:t>
      </w:r>
    </w:p>
  </w:footnote>
  <w:footnote w:id="287">
    <w:p w14:paraId="5556879E" w14:textId="1FC3660E" w:rsidR="002B032D" w:rsidRPr="00834D0C" w:rsidRDefault="002B032D" w:rsidP="00163B41">
      <w:pPr>
        <w:pStyle w:val="FootnoteText"/>
        <w:jc w:val="both"/>
      </w:pPr>
      <w:r w:rsidRPr="00834D0C">
        <w:rPr>
          <w:rStyle w:val="FootnoteReference"/>
        </w:rPr>
        <w:footnoteRef/>
      </w:r>
      <w:r w:rsidRPr="00834D0C">
        <w:t xml:space="preserve"> De Waal </w:t>
      </w:r>
      <w:r w:rsidRPr="00834D0C">
        <w:rPr>
          <w:rFonts w:cstheme="minorHAnsi"/>
        </w:rPr>
        <w:t>(</w:t>
      </w:r>
      <w:r w:rsidR="0084605E" w:rsidRPr="00834D0C">
        <w:rPr>
          <w:rFonts w:cstheme="minorHAnsi"/>
        </w:rPr>
        <w:t>n</w:t>
      </w:r>
      <w:r w:rsidR="00FA029C" w:rsidRPr="00834D0C">
        <w:rPr>
          <w:rFonts w:cstheme="minorHAnsi"/>
        </w:rPr>
        <w:t xml:space="preserve"> 256</w:t>
      </w:r>
      <w:r w:rsidRPr="00834D0C">
        <w:rPr>
          <w:rFonts w:cstheme="minorHAnsi"/>
        </w:rPr>
        <w:t xml:space="preserve">) </w:t>
      </w:r>
      <w:r w:rsidRPr="00834D0C">
        <w:t>2.</w:t>
      </w:r>
    </w:p>
  </w:footnote>
  <w:footnote w:id="288">
    <w:p w14:paraId="45698A46" w14:textId="341B892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Report on the Application by Moldova (</w:t>
      </w:r>
      <w:r w:rsidR="0084605E" w:rsidRPr="00834D0C">
        <w:rPr>
          <w:rFonts w:cstheme="minorHAnsi"/>
        </w:rPr>
        <w:t>n</w:t>
      </w:r>
      <w:r w:rsidRPr="00834D0C">
        <w:rPr>
          <w:rFonts w:cstheme="minorHAnsi"/>
        </w:rPr>
        <w:t xml:space="preserve"> </w:t>
      </w:r>
      <w:r w:rsidR="00453543" w:rsidRPr="00834D0C">
        <w:rPr>
          <w:rFonts w:cstheme="minorHAnsi"/>
        </w:rPr>
        <w:t>156</w:t>
      </w:r>
      <w:r w:rsidRPr="00834D0C">
        <w:rPr>
          <w:rFonts w:cstheme="minorHAnsi"/>
        </w:rPr>
        <w:t>) paras 12-13.</w:t>
      </w:r>
    </w:p>
  </w:footnote>
  <w:footnote w:id="289">
    <w:p w14:paraId="1E5A2547" w14:textId="0C5344D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007D346D" w:rsidRPr="00834D0C">
        <w:rPr>
          <w:rFonts w:cstheme="minorHAnsi"/>
        </w:rPr>
        <w:t>Mälksoo</w:t>
      </w:r>
      <w:proofErr w:type="spellEnd"/>
      <w:r w:rsidR="007D346D" w:rsidRPr="00834D0C">
        <w:rPr>
          <w:rFonts w:cstheme="minorHAnsi"/>
        </w:rPr>
        <w:t xml:space="preserve"> (n 118) </w:t>
      </w:r>
      <w:r w:rsidRPr="00834D0C">
        <w:rPr>
          <w:rFonts w:cstheme="minorHAnsi"/>
        </w:rPr>
        <w:t>817.</w:t>
      </w:r>
    </w:p>
  </w:footnote>
  <w:footnote w:id="290">
    <w:p w14:paraId="29D61BF0" w14:textId="6E9BC894" w:rsidR="002B032D" w:rsidRPr="00834D0C" w:rsidRDefault="002B032D" w:rsidP="00163B41">
      <w:pPr>
        <w:pStyle w:val="FootnoteText"/>
        <w:jc w:val="both"/>
      </w:pPr>
      <w:r w:rsidRPr="00834D0C">
        <w:rPr>
          <w:rStyle w:val="FootnoteReference"/>
        </w:rPr>
        <w:footnoteRef/>
      </w:r>
      <w:r w:rsidRPr="00834D0C">
        <w:t xml:space="preserve"> </w:t>
      </w:r>
      <w:proofErr w:type="spellStart"/>
      <w:r w:rsidR="00E96CF5" w:rsidRPr="00834D0C">
        <w:t>Kr</w:t>
      </w:r>
      <w:r w:rsidR="00E96CF5" w:rsidRPr="00834D0C">
        <w:rPr>
          <w:rFonts w:cstheme="minorHAnsi"/>
        </w:rPr>
        <w:t>ü</w:t>
      </w:r>
      <w:r w:rsidR="00E96CF5" w:rsidRPr="00834D0C">
        <w:t>ger</w:t>
      </w:r>
      <w:proofErr w:type="spellEnd"/>
      <w:r w:rsidR="00E96CF5" w:rsidRPr="00834D0C">
        <w:t xml:space="preserve"> </w:t>
      </w:r>
      <w:r w:rsidR="00E96CF5" w:rsidRPr="00834D0C">
        <w:rPr>
          <w:rFonts w:cstheme="minorHAnsi"/>
        </w:rPr>
        <w:t xml:space="preserve">(n 9) </w:t>
      </w:r>
      <w:r w:rsidRPr="00834D0C">
        <w:t>13.</w:t>
      </w:r>
    </w:p>
  </w:footnote>
  <w:footnote w:id="291">
    <w:p w14:paraId="56E796D6" w14:textId="4FDC5586" w:rsidR="002B032D" w:rsidRPr="00834D0C" w:rsidRDefault="002B032D" w:rsidP="00163B41">
      <w:pPr>
        <w:pStyle w:val="FootnoteText"/>
        <w:jc w:val="both"/>
      </w:pPr>
      <w:r w:rsidRPr="00834D0C">
        <w:rPr>
          <w:rStyle w:val="FootnoteReference"/>
        </w:rPr>
        <w:footnoteRef/>
      </w:r>
      <w:r w:rsidRPr="00834D0C">
        <w:t xml:space="preserve"> See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486.</w:t>
      </w:r>
    </w:p>
  </w:footnote>
  <w:footnote w:id="292">
    <w:p w14:paraId="186290C4" w14:textId="1A52FC2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7D346D" w:rsidRPr="00834D0C">
        <w:rPr>
          <w:rFonts w:cstheme="minorHAnsi"/>
        </w:rPr>
        <w:t>Mälksoo</w:t>
      </w:r>
      <w:proofErr w:type="spellEnd"/>
      <w:r w:rsidR="007D346D" w:rsidRPr="00834D0C">
        <w:rPr>
          <w:rFonts w:cstheme="minorHAnsi"/>
        </w:rPr>
        <w:t xml:space="preserve"> (n 118) </w:t>
      </w:r>
      <w:r w:rsidRPr="00834D0C">
        <w:rPr>
          <w:rFonts w:cstheme="minorHAnsi"/>
        </w:rPr>
        <w:t>817.</w:t>
      </w:r>
    </w:p>
  </w:footnote>
  <w:footnote w:id="293">
    <w:p w14:paraId="0131C503" w14:textId="53A01C46" w:rsidR="002B032D" w:rsidRPr="00834D0C" w:rsidRDefault="002B032D" w:rsidP="00163B41">
      <w:pPr>
        <w:pStyle w:val="FootnoteText"/>
        <w:jc w:val="both"/>
      </w:pPr>
      <w:r w:rsidRPr="00834D0C">
        <w:rPr>
          <w:rStyle w:val="FootnoteReference"/>
        </w:rPr>
        <w:footnoteRef/>
      </w:r>
      <w:r w:rsidRPr="00834D0C">
        <w:t xml:space="preserve"> See </w:t>
      </w:r>
      <w:proofErr w:type="spellStart"/>
      <w:r w:rsidRPr="00834D0C">
        <w:t>Klabbers</w:t>
      </w:r>
      <w:proofErr w:type="spellEnd"/>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7D346D" w:rsidRPr="00834D0C">
        <w:rPr>
          <w:rFonts w:cstheme="minorHAnsi"/>
        </w:rPr>
        <w:t>245</w:t>
      </w:r>
      <w:r w:rsidRPr="00834D0C">
        <w:rPr>
          <w:rFonts w:cstheme="minorHAnsi"/>
        </w:rPr>
        <w:t>)</w:t>
      </w:r>
      <w:r w:rsidRPr="00834D0C">
        <w:t>.</w:t>
      </w:r>
    </w:p>
  </w:footnote>
  <w:footnote w:id="294">
    <w:p w14:paraId="7C51248B" w14:textId="40697A8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Boutros Boutros-Ghali, </w:t>
      </w:r>
      <w:r w:rsidRPr="00834D0C">
        <w:rPr>
          <w:rFonts w:cstheme="minorHAnsi"/>
          <w:i/>
          <w:iCs/>
        </w:rPr>
        <w:t xml:space="preserve">An Agenda for Peace, Preventive Diplomacy, </w:t>
      </w:r>
      <w:proofErr w:type="spellStart"/>
      <w:r w:rsidRPr="00834D0C">
        <w:rPr>
          <w:rFonts w:cstheme="minorHAnsi"/>
          <w:i/>
          <w:iCs/>
        </w:rPr>
        <w:t>Peacemaking</w:t>
      </w:r>
      <w:proofErr w:type="spellEnd"/>
      <w:r w:rsidRPr="00834D0C">
        <w:rPr>
          <w:rFonts w:cstheme="minorHAnsi"/>
          <w:i/>
          <w:iCs/>
        </w:rPr>
        <w:t xml:space="preserve"> and Peace-keeping</w:t>
      </w:r>
      <w:r w:rsidRPr="00834D0C">
        <w:rPr>
          <w:rFonts w:cstheme="minorHAnsi"/>
        </w:rPr>
        <w:t xml:space="preserve">, 1992, </w:t>
      </w:r>
      <w:r w:rsidR="00643ED5" w:rsidRPr="00834D0C">
        <w:rPr>
          <w:rFonts w:cstheme="minorHAnsi"/>
        </w:rPr>
        <w:t xml:space="preserve">para </w:t>
      </w:r>
      <w:r w:rsidRPr="00834D0C">
        <w:rPr>
          <w:rFonts w:cstheme="minorHAnsi"/>
        </w:rPr>
        <w:t>19.</w:t>
      </w:r>
    </w:p>
  </w:footnote>
  <w:footnote w:id="295">
    <w:p w14:paraId="54285C07" w14:textId="6618A07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iCs/>
        </w:rPr>
        <w:t>Agenda for Peace</w:t>
      </w:r>
      <w:r w:rsidRPr="00834D0C">
        <w:rPr>
          <w:rFonts w:cstheme="minorHAnsi"/>
        </w:rPr>
        <w:t xml:space="preserve"> (</w:t>
      </w:r>
      <w:r w:rsidR="0084605E" w:rsidRPr="00834D0C">
        <w:rPr>
          <w:rFonts w:cstheme="minorHAnsi"/>
        </w:rPr>
        <w:t>n</w:t>
      </w:r>
      <w:r w:rsidRPr="00834D0C">
        <w:rPr>
          <w:rFonts w:cstheme="minorHAnsi"/>
        </w:rPr>
        <w:t xml:space="preserve"> </w:t>
      </w:r>
      <w:r w:rsidR="007D346D" w:rsidRPr="00834D0C">
        <w:rPr>
          <w:rFonts w:cstheme="minorHAnsi"/>
        </w:rPr>
        <w:t>293</w:t>
      </w:r>
      <w:r w:rsidRPr="00834D0C">
        <w:rPr>
          <w:rFonts w:cstheme="minorHAnsi"/>
        </w:rPr>
        <w:t xml:space="preserve">) </w:t>
      </w:r>
      <w:r w:rsidR="00643ED5" w:rsidRPr="00834D0C">
        <w:rPr>
          <w:rFonts w:cstheme="minorHAnsi"/>
        </w:rPr>
        <w:t xml:space="preserve">para </w:t>
      </w:r>
      <w:r w:rsidRPr="00834D0C">
        <w:rPr>
          <w:rFonts w:cstheme="minorHAnsi"/>
        </w:rPr>
        <w:t>18.</w:t>
      </w:r>
    </w:p>
  </w:footnote>
  <w:footnote w:id="296">
    <w:p w14:paraId="021AB177" w14:textId="6CC0C900"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rPr>
        <w:t xml:space="preserve"> </w:t>
      </w:r>
      <w:r w:rsidR="007D346D" w:rsidRPr="00834D0C">
        <w:rPr>
          <w:rFonts w:cstheme="minorHAnsi"/>
        </w:rPr>
        <w:t xml:space="preserve">Charles Okeke, ‘In Search of Consistency in International Law on the Right to Self-Determination, Non-Interference, and Territorial Integrity’ (2022) 34 </w:t>
      </w:r>
      <w:proofErr w:type="spellStart"/>
      <w:r w:rsidR="007D346D" w:rsidRPr="00834D0C">
        <w:rPr>
          <w:rFonts w:cstheme="minorHAnsi"/>
          <w:i/>
          <w:iCs/>
        </w:rPr>
        <w:t>Technium</w:t>
      </w:r>
      <w:proofErr w:type="spellEnd"/>
      <w:r w:rsidR="007D346D" w:rsidRPr="00834D0C">
        <w:rPr>
          <w:rFonts w:cstheme="minorHAnsi"/>
          <w:i/>
          <w:iCs/>
        </w:rPr>
        <w:t xml:space="preserve"> Social Sciences J </w:t>
      </w:r>
      <w:r w:rsidR="007D346D" w:rsidRPr="00834D0C">
        <w:rPr>
          <w:rFonts w:cstheme="minorHAnsi"/>
        </w:rPr>
        <w:t>331, 335</w:t>
      </w:r>
      <w:r w:rsidRPr="00834D0C">
        <w:rPr>
          <w:rFonts w:cstheme="minorHAnsi"/>
          <w:lang w:val="de-DE"/>
        </w:rPr>
        <w:t xml:space="preserve">; </w:t>
      </w:r>
      <w:r w:rsidR="007D346D" w:rsidRPr="00834D0C">
        <w:rPr>
          <w:rFonts w:cstheme="minorHAnsi"/>
        </w:rPr>
        <w:t>Buchanan</w:t>
      </w:r>
      <w:r w:rsidR="007D346D" w:rsidRPr="00834D0C">
        <w:rPr>
          <w:rFonts w:cstheme="minorHAnsi"/>
          <w:i/>
          <w:iCs/>
        </w:rPr>
        <w:t xml:space="preserve"> </w:t>
      </w:r>
      <w:r w:rsidR="007D346D" w:rsidRPr="00834D0C">
        <w:rPr>
          <w:rFonts w:cstheme="minorHAnsi"/>
        </w:rPr>
        <w:t xml:space="preserve">(n 273) </w:t>
      </w:r>
      <w:r w:rsidRPr="00834D0C">
        <w:rPr>
          <w:rFonts w:cstheme="minorHAnsi"/>
          <w:lang w:val="de-DE"/>
        </w:rPr>
        <w:t>335.</w:t>
      </w:r>
    </w:p>
  </w:footnote>
  <w:footnote w:id="297">
    <w:p w14:paraId="1B8418C1" w14:textId="3F0E776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lang w:val="de-DE"/>
        </w:rPr>
        <w:t xml:space="preserve"> Hans-Joachim</w:t>
      </w:r>
      <w:r w:rsidRPr="00834D0C">
        <w:rPr>
          <w:rFonts w:cstheme="minorHAnsi"/>
          <w:i/>
          <w:iCs/>
          <w:lang w:val="de-DE"/>
        </w:rPr>
        <w:t xml:space="preserve"> </w:t>
      </w:r>
      <w:proofErr w:type="spellStart"/>
      <w:r w:rsidR="007D346D" w:rsidRPr="00834D0C">
        <w:rPr>
          <w:rFonts w:cstheme="minorHAnsi"/>
        </w:rPr>
        <w:t>Heintze</w:t>
      </w:r>
      <w:proofErr w:type="spellEnd"/>
      <w:r w:rsidR="007D346D" w:rsidRPr="00834D0C">
        <w:rPr>
          <w:rFonts w:cstheme="minorHAnsi"/>
        </w:rPr>
        <w:t>, ‘</w:t>
      </w:r>
      <w:proofErr w:type="spellStart"/>
      <w:r w:rsidR="007D346D" w:rsidRPr="00834D0C">
        <w:rPr>
          <w:rFonts w:cstheme="minorHAnsi"/>
        </w:rPr>
        <w:t>Selbstbestimmungsrecht</w:t>
      </w:r>
      <w:proofErr w:type="spellEnd"/>
      <w:r w:rsidR="007D346D" w:rsidRPr="00834D0C">
        <w:rPr>
          <w:rFonts w:cstheme="minorHAnsi"/>
        </w:rPr>
        <w:t xml:space="preserve"> und </w:t>
      </w:r>
      <w:proofErr w:type="spellStart"/>
      <w:r w:rsidR="007D346D" w:rsidRPr="00834D0C">
        <w:rPr>
          <w:rFonts w:cstheme="minorHAnsi"/>
        </w:rPr>
        <w:t>Demokratisierung</w:t>
      </w:r>
      <w:proofErr w:type="spellEnd"/>
      <w:r w:rsidR="007D346D" w:rsidRPr="00834D0C">
        <w:rPr>
          <w:rFonts w:cstheme="minorHAnsi"/>
        </w:rPr>
        <w:t xml:space="preserve">’ (1999) </w:t>
      </w:r>
      <w:r w:rsidRPr="00834D0C">
        <w:rPr>
          <w:rFonts w:cstheme="minorHAnsi"/>
          <w:i/>
          <w:iCs/>
          <w:lang w:val="de-DE"/>
        </w:rPr>
        <w:t>Jahrb für int Sicherheitspolitik</w:t>
      </w:r>
      <w:r w:rsidRPr="00834D0C">
        <w:rPr>
          <w:rFonts w:cstheme="minorHAnsi"/>
          <w:lang w:val="de-DE"/>
        </w:rPr>
        <w:t xml:space="preserve"> 34</w:t>
      </w:r>
      <w:r w:rsidR="007D346D" w:rsidRPr="00834D0C">
        <w:rPr>
          <w:rFonts w:cstheme="minorHAnsi"/>
          <w:lang w:val="de-DE"/>
        </w:rPr>
        <w:t xml:space="preserve">, </w:t>
      </w:r>
      <w:r w:rsidRPr="00834D0C">
        <w:rPr>
          <w:rFonts w:cstheme="minorHAnsi"/>
        </w:rPr>
        <w:t>47.</w:t>
      </w:r>
    </w:p>
  </w:footnote>
  <w:footnote w:id="298">
    <w:p w14:paraId="6CAB4F72" w14:textId="24713C7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Venice Commission Opinion No 763/2014 (</w:t>
      </w:r>
      <w:r w:rsidR="0084605E" w:rsidRPr="00834D0C">
        <w:rPr>
          <w:rFonts w:cstheme="minorHAnsi"/>
        </w:rPr>
        <w:t>n</w:t>
      </w:r>
      <w:r w:rsidRPr="00834D0C">
        <w:rPr>
          <w:rFonts w:cstheme="minorHAnsi"/>
        </w:rPr>
        <w:t xml:space="preserve"> </w:t>
      </w:r>
      <w:r w:rsidR="007D346D" w:rsidRPr="00834D0C">
        <w:rPr>
          <w:rFonts w:cstheme="minorHAnsi"/>
        </w:rPr>
        <w:t>272</w:t>
      </w:r>
      <w:r w:rsidRPr="00834D0C">
        <w:rPr>
          <w:rFonts w:cstheme="minorHAnsi"/>
        </w:rPr>
        <w:t xml:space="preserve">) </w:t>
      </w:r>
      <w:r w:rsidR="00643ED5" w:rsidRPr="00834D0C">
        <w:rPr>
          <w:rFonts w:cstheme="minorHAnsi"/>
        </w:rPr>
        <w:t xml:space="preserve">para </w:t>
      </w:r>
      <w:r w:rsidRPr="00834D0C">
        <w:rPr>
          <w:rFonts w:cstheme="minorHAnsi"/>
        </w:rPr>
        <w:t>26.</w:t>
      </w:r>
    </w:p>
  </w:footnote>
  <w:footnote w:id="299">
    <w:p w14:paraId="5AFC58BC" w14:textId="7BA5187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David L</w:t>
      </w:r>
      <w:r w:rsidRPr="00834D0C">
        <w:rPr>
          <w:rFonts w:cstheme="minorHAnsi"/>
          <w:i/>
          <w:iCs/>
        </w:rPr>
        <w:t xml:space="preserve"> </w:t>
      </w:r>
      <w:proofErr w:type="spellStart"/>
      <w:r w:rsidR="007D346D" w:rsidRPr="00834D0C">
        <w:rPr>
          <w:rFonts w:cstheme="minorHAnsi"/>
        </w:rPr>
        <w:t>Sloss</w:t>
      </w:r>
      <w:proofErr w:type="spellEnd"/>
      <w:r w:rsidR="007D346D" w:rsidRPr="00834D0C">
        <w:rPr>
          <w:rFonts w:cstheme="minorHAnsi"/>
        </w:rPr>
        <w:t xml:space="preserve">, ‘Using International Court of Justice Advisory Opinions to Adjudicate Secessionist Claims’ (2002) 42 </w:t>
      </w:r>
      <w:r w:rsidRPr="00834D0C">
        <w:rPr>
          <w:rFonts w:cstheme="minorHAnsi"/>
          <w:i/>
          <w:iCs/>
        </w:rPr>
        <w:t>Santa Clara L</w:t>
      </w:r>
      <w:r w:rsidR="007D346D" w:rsidRPr="00834D0C">
        <w:rPr>
          <w:rFonts w:cstheme="minorHAnsi"/>
          <w:i/>
          <w:iCs/>
        </w:rPr>
        <w:t xml:space="preserve"> </w:t>
      </w:r>
      <w:r w:rsidRPr="00834D0C">
        <w:rPr>
          <w:rFonts w:cstheme="minorHAnsi"/>
          <w:i/>
          <w:iCs/>
        </w:rPr>
        <w:t>Rev</w:t>
      </w:r>
      <w:r w:rsidRPr="00834D0C">
        <w:rPr>
          <w:rFonts w:cstheme="minorHAnsi"/>
        </w:rPr>
        <w:t xml:space="preserve"> 357</w:t>
      </w:r>
      <w:r w:rsidR="007D346D" w:rsidRPr="00834D0C">
        <w:rPr>
          <w:rFonts w:cstheme="minorHAnsi"/>
        </w:rPr>
        <w:t>,</w:t>
      </w:r>
      <w:r w:rsidRPr="00834D0C">
        <w:rPr>
          <w:rFonts w:cstheme="minorHAnsi"/>
        </w:rPr>
        <w:t xml:space="preserve"> 358.</w:t>
      </w:r>
    </w:p>
  </w:footnote>
  <w:footnote w:id="300">
    <w:p w14:paraId="01A92707" w14:textId="599853C4" w:rsidR="002B032D" w:rsidRPr="00834D0C" w:rsidRDefault="002B032D" w:rsidP="00163B41">
      <w:pPr>
        <w:pStyle w:val="FootnoteText"/>
        <w:jc w:val="both"/>
      </w:pPr>
      <w:r w:rsidRPr="00834D0C">
        <w:rPr>
          <w:rStyle w:val="FootnoteReference"/>
        </w:rPr>
        <w:footnoteRef/>
      </w:r>
      <w:r w:rsidRPr="00834D0C">
        <w:t xml:space="preserve"> </w:t>
      </w:r>
      <w:r w:rsidR="007D346D" w:rsidRPr="00834D0C">
        <w:rPr>
          <w:rFonts w:cstheme="minorHAnsi"/>
          <w:i/>
        </w:rPr>
        <w:t>Re Secession of Quebec</w:t>
      </w:r>
      <w:r w:rsidR="007D346D" w:rsidRPr="00834D0C">
        <w:rPr>
          <w:rFonts w:cstheme="minorHAnsi"/>
        </w:rPr>
        <w:t xml:space="preserve"> (n 224) </w:t>
      </w:r>
      <w:r w:rsidR="00643ED5" w:rsidRPr="00834D0C">
        <w:rPr>
          <w:rFonts w:cstheme="minorHAnsi"/>
        </w:rPr>
        <w:t xml:space="preserve">para </w:t>
      </w:r>
      <w:r w:rsidRPr="00834D0C">
        <w:rPr>
          <w:rFonts w:cstheme="minorHAnsi"/>
        </w:rPr>
        <w:t>126.</w:t>
      </w:r>
    </w:p>
  </w:footnote>
  <w:footnote w:id="301">
    <w:p w14:paraId="1FC45992" w14:textId="152E2B2A"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D346D" w:rsidRPr="00834D0C">
        <w:rPr>
          <w:rFonts w:cstheme="minorHAnsi"/>
        </w:rPr>
        <w:t>Buchanan</w:t>
      </w:r>
      <w:r w:rsidR="007D346D" w:rsidRPr="00834D0C">
        <w:rPr>
          <w:rFonts w:cstheme="minorHAnsi"/>
          <w:i/>
          <w:iCs/>
        </w:rPr>
        <w:t xml:space="preserve"> </w:t>
      </w:r>
      <w:r w:rsidR="007D346D" w:rsidRPr="00834D0C">
        <w:rPr>
          <w:rFonts w:cstheme="minorHAnsi"/>
        </w:rPr>
        <w:t xml:space="preserve">(n 273) </w:t>
      </w:r>
      <w:r w:rsidRPr="00834D0C">
        <w:rPr>
          <w:rFonts w:cstheme="minorHAnsi"/>
        </w:rPr>
        <w:t xml:space="preserve">338. See also African Commission on Human and People’s Rights, </w:t>
      </w:r>
      <w:r w:rsidRPr="00834D0C">
        <w:rPr>
          <w:rFonts w:cstheme="minorHAnsi"/>
          <w:i/>
          <w:iCs/>
        </w:rPr>
        <w:t>Katangese Peoples’ Congress v Zaire</w:t>
      </w:r>
      <w:r w:rsidRPr="00834D0C">
        <w:rPr>
          <w:rFonts w:cstheme="minorHAnsi"/>
        </w:rPr>
        <w:t xml:space="preserve">, Communication No 75/92, 1995, </w:t>
      </w:r>
      <w:r w:rsidR="00643ED5" w:rsidRPr="00834D0C">
        <w:rPr>
          <w:rFonts w:cstheme="minorHAnsi"/>
        </w:rPr>
        <w:t>para</w:t>
      </w:r>
      <w:r w:rsidRPr="00834D0C">
        <w:rPr>
          <w:rFonts w:cstheme="minorHAnsi"/>
        </w:rPr>
        <w:t xml:space="preserve"> 6.</w:t>
      </w:r>
    </w:p>
  </w:footnote>
  <w:footnote w:id="302">
    <w:p w14:paraId="5BCE705B" w14:textId="29E1514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20A17" w:rsidRPr="00834D0C">
        <w:rPr>
          <w:rFonts w:cstheme="minorHAnsi"/>
        </w:rPr>
        <w:t xml:space="preserve">Wilson (n 199) </w:t>
      </w:r>
      <w:r w:rsidRPr="00834D0C">
        <w:rPr>
          <w:rFonts w:cstheme="minorHAnsi"/>
        </w:rPr>
        <w:t>163.</w:t>
      </w:r>
    </w:p>
  </w:footnote>
  <w:footnote w:id="303">
    <w:p w14:paraId="33540946" w14:textId="4805F893" w:rsidR="002B032D" w:rsidRPr="00834D0C" w:rsidRDefault="002B032D" w:rsidP="00163B41">
      <w:pPr>
        <w:pStyle w:val="FootnoteText"/>
        <w:jc w:val="both"/>
      </w:pPr>
      <w:r w:rsidRPr="00834D0C">
        <w:rPr>
          <w:rStyle w:val="FootnoteReference"/>
        </w:rPr>
        <w:footnoteRef/>
      </w:r>
      <w:r w:rsidRPr="00834D0C">
        <w:t xml:space="preserve"> </w:t>
      </w:r>
      <w:r w:rsidR="007D346D" w:rsidRPr="00834D0C">
        <w:rPr>
          <w:rFonts w:cstheme="minorHAnsi"/>
          <w:i/>
        </w:rPr>
        <w:t>Re Secession of Quebec</w:t>
      </w:r>
      <w:r w:rsidR="007D346D" w:rsidRPr="00834D0C">
        <w:rPr>
          <w:rFonts w:cstheme="minorHAnsi"/>
        </w:rPr>
        <w:t xml:space="preserve"> (n 224) </w:t>
      </w:r>
      <w:r w:rsidR="00643ED5" w:rsidRPr="00834D0C">
        <w:rPr>
          <w:rFonts w:cstheme="minorHAnsi"/>
        </w:rPr>
        <w:t xml:space="preserve">para </w:t>
      </w:r>
      <w:r w:rsidRPr="00834D0C">
        <w:rPr>
          <w:rFonts w:cstheme="minorHAnsi"/>
        </w:rPr>
        <w:t>154.</w:t>
      </w:r>
    </w:p>
  </w:footnote>
  <w:footnote w:id="304">
    <w:p w14:paraId="2A237B94" w14:textId="4F7465A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Venice Commission Opinion No 763/2014 (</w:t>
      </w:r>
      <w:r w:rsidR="0084605E" w:rsidRPr="00834D0C">
        <w:rPr>
          <w:rFonts w:cstheme="minorHAnsi"/>
        </w:rPr>
        <w:t>n</w:t>
      </w:r>
      <w:r w:rsidRPr="00834D0C">
        <w:rPr>
          <w:rFonts w:cstheme="minorHAnsi"/>
        </w:rPr>
        <w:t xml:space="preserve"> </w:t>
      </w:r>
      <w:r w:rsidR="007D346D" w:rsidRPr="00834D0C">
        <w:rPr>
          <w:rFonts w:cstheme="minorHAnsi"/>
        </w:rPr>
        <w:t>272</w:t>
      </w:r>
      <w:r w:rsidRPr="00834D0C">
        <w:rPr>
          <w:rFonts w:cstheme="minorHAnsi"/>
        </w:rPr>
        <w:t xml:space="preserve">) </w:t>
      </w:r>
      <w:r w:rsidR="00643ED5" w:rsidRPr="00834D0C">
        <w:rPr>
          <w:rFonts w:cstheme="minorHAnsi"/>
        </w:rPr>
        <w:t>para</w:t>
      </w:r>
      <w:r w:rsidRPr="00834D0C">
        <w:rPr>
          <w:rFonts w:cstheme="minorHAnsi"/>
        </w:rPr>
        <w:t xml:space="preserve"> 26 (emphasis added).</w:t>
      </w:r>
    </w:p>
  </w:footnote>
  <w:footnote w:id="305">
    <w:p w14:paraId="18624058" w14:textId="14BA617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D346D" w:rsidRPr="00834D0C">
        <w:rPr>
          <w:rFonts w:cstheme="minorHAnsi"/>
        </w:rPr>
        <w:t xml:space="preserve">Marc Weller, </w:t>
      </w:r>
      <w:r w:rsidR="007D346D" w:rsidRPr="00834D0C">
        <w:rPr>
          <w:rFonts w:cstheme="minorHAnsi"/>
          <w:i/>
          <w:iCs/>
        </w:rPr>
        <w:t xml:space="preserve">Escaping the Self-Determination Trap </w:t>
      </w:r>
      <w:r w:rsidR="007D346D" w:rsidRPr="00834D0C">
        <w:rPr>
          <w:rFonts w:cstheme="minorHAnsi"/>
        </w:rPr>
        <w:t>(</w:t>
      </w:r>
      <w:proofErr w:type="spellStart"/>
      <w:r w:rsidR="007D346D" w:rsidRPr="00834D0C">
        <w:rPr>
          <w:rFonts w:cstheme="minorHAnsi"/>
        </w:rPr>
        <w:t>Nijhoff</w:t>
      </w:r>
      <w:proofErr w:type="spellEnd"/>
      <w:r w:rsidR="007D346D" w:rsidRPr="00834D0C">
        <w:rPr>
          <w:rFonts w:cstheme="minorHAnsi"/>
        </w:rPr>
        <w:t xml:space="preserve"> 2008) </w:t>
      </w:r>
      <w:r w:rsidRPr="00834D0C">
        <w:rPr>
          <w:rFonts w:cstheme="minorHAnsi"/>
        </w:rPr>
        <w:t>59.</w:t>
      </w:r>
    </w:p>
  </w:footnote>
  <w:footnote w:id="306">
    <w:p w14:paraId="323AABB6" w14:textId="2732B040" w:rsidR="002B032D" w:rsidRPr="00834D0C" w:rsidRDefault="002B032D" w:rsidP="00163B41">
      <w:pPr>
        <w:pStyle w:val="FootnoteText"/>
        <w:jc w:val="both"/>
      </w:pPr>
      <w:r w:rsidRPr="00834D0C">
        <w:rPr>
          <w:rStyle w:val="FootnoteReference"/>
        </w:rPr>
        <w:footnoteRef/>
      </w:r>
      <w:r w:rsidRPr="00834D0C">
        <w:t xml:space="preserve"> In relation to Abkhazia, see </w:t>
      </w:r>
      <w:r w:rsidR="009037C8" w:rsidRPr="00834D0C">
        <w:t xml:space="preserve">EU </w:t>
      </w:r>
      <w:r w:rsidR="009037C8" w:rsidRPr="00834D0C">
        <w:rPr>
          <w:rFonts w:cstheme="minorHAnsi"/>
        </w:rPr>
        <w:t xml:space="preserve">(n 20) </w:t>
      </w:r>
      <w:r w:rsidRPr="00834D0C">
        <w:t xml:space="preserve">146 and </w:t>
      </w:r>
      <w:proofErr w:type="spellStart"/>
      <w:r w:rsidR="002F3085" w:rsidRPr="00834D0C">
        <w:rPr>
          <w:rFonts w:cstheme="minorHAnsi"/>
          <w:iCs/>
          <w:lang w:val="fr-FR"/>
        </w:rPr>
        <w:t>Kolstø</w:t>
      </w:r>
      <w:proofErr w:type="spellEnd"/>
      <w:r w:rsidR="002F5312">
        <w:rPr>
          <w:rFonts w:cstheme="minorHAnsi"/>
          <w:iCs/>
          <w:lang w:val="fr-FR"/>
        </w:rPr>
        <w:t xml:space="preserve"> </w:t>
      </w:r>
      <w:r w:rsidR="002F5312">
        <w:rPr>
          <w:rFonts w:cstheme="minorHAnsi"/>
        </w:rPr>
        <w:t>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486</w:t>
      </w:r>
      <w:r w:rsidRPr="00834D0C">
        <w:t xml:space="preserve">. </w:t>
      </w:r>
    </w:p>
  </w:footnote>
  <w:footnote w:id="307">
    <w:p w14:paraId="08DA98BA" w14:textId="4BE8B8B2"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De Waal </w:t>
      </w:r>
      <w:r w:rsidR="00FA029C" w:rsidRPr="00834D0C">
        <w:rPr>
          <w:rFonts w:cstheme="minorHAnsi"/>
        </w:rPr>
        <w:t>(n 256)</w:t>
      </w:r>
      <w:r w:rsidR="00FA5670" w:rsidRPr="00834D0C">
        <w:rPr>
          <w:rFonts w:cstheme="minorHAnsi"/>
        </w:rPr>
        <w:t xml:space="preserve"> </w:t>
      </w:r>
      <w:r w:rsidRPr="00834D0C">
        <w:t>2-3.</w:t>
      </w:r>
    </w:p>
  </w:footnote>
  <w:footnote w:id="308">
    <w:p w14:paraId="6BB336BC" w14:textId="630174F3" w:rsidR="002B032D" w:rsidRPr="00834D0C" w:rsidRDefault="002B032D" w:rsidP="00163B41">
      <w:pPr>
        <w:pStyle w:val="FootnoteText"/>
        <w:jc w:val="both"/>
      </w:pPr>
      <w:r w:rsidRPr="00834D0C">
        <w:rPr>
          <w:rStyle w:val="FootnoteReference"/>
        </w:rPr>
        <w:footnoteRef/>
      </w:r>
      <w:r w:rsidRPr="00834D0C">
        <w:t xml:space="preserve"> </w:t>
      </w:r>
      <w:r w:rsidR="00FA5670" w:rsidRPr="00834D0C">
        <w:rPr>
          <w:i/>
          <w:iCs/>
        </w:rPr>
        <w:t>Ibid</w:t>
      </w:r>
      <w:r w:rsidRPr="00834D0C">
        <w:rPr>
          <w:rFonts w:cstheme="minorHAnsi"/>
        </w:rPr>
        <w:t xml:space="preserve"> </w:t>
      </w:r>
      <w:r w:rsidRPr="00834D0C">
        <w:t>3.</w:t>
      </w:r>
    </w:p>
  </w:footnote>
  <w:footnote w:id="309">
    <w:p w14:paraId="19D752A5" w14:textId="4FA45625"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144.</w:t>
      </w:r>
    </w:p>
  </w:footnote>
  <w:footnote w:id="310">
    <w:p w14:paraId="34F7F1F0" w14:textId="48BBF364" w:rsidR="002B032D" w:rsidRPr="00834D0C" w:rsidRDefault="002B032D" w:rsidP="00163B41">
      <w:pPr>
        <w:pStyle w:val="FootnoteText"/>
        <w:jc w:val="both"/>
      </w:pPr>
      <w:r w:rsidRPr="00834D0C">
        <w:rPr>
          <w:rStyle w:val="FootnoteReference"/>
        </w:rPr>
        <w:footnoteRef/>
      </w:r>
      <w:r w:rsidRPr="00834D0C">
        <w:rPr>
          <w:rFonts w:cstheme="minorHAnsi"/>
        </w:rPr>
        <w:t xml:space="preserve"> Armenia’s Application for Membership (</w:t>
      </w:r>
      <w:r w:rsidR="0084605E" w:rsidRPr="00834D0C">
        <w:rPr>
          <w:rFonts w:cstheme="minorHAnsi"/>
        </w:rPr>
        <w:t>n</w:t>
      </w:r>
      <w:r w:rsidRPr="00834D0C">
        <w:rPr>
          <w:rFonts w:cstheme="minorHAnsi"/>
        </w:rPr>
        <w:t xml:space="preserve"> </w:t>
      </w:r>
      <w:r w:rsidR="009310E7" w:rsidRPr="00834D0C">
        <w:rPr>
          <w:rFonts w:cstheme="minorHAnsi"/>
        </w:rPr>
        <w:t>219</w:t>
      </w:r>
      <w:r w:rsidRPr="00834D0C">
        <w:rPr>
          <w:rFonts w:cstheme="minorHAnsi"/>
        </w:rPr>
        <w:t xml:space="preserve">) </w:t>
      </w:r>
      <w:r w:rsidR="00643ED5" w:rsidRPr="00834D0C">
        <w:rPr>
          <w:rFonts w:cstheme="minorHAnsi"/>
        </w:rPr>
        <w:t xml:space="preserve">para </w:t>
      </w:r>
      <w:r w:rsidRPr="00834D0C">
        <w:rPr>
          <w:rFonts w:cstheme="minorHAnsi"/>
        </w:rPr>
        <w:t>49.</w:t>
      </w:r>
    </w:p>
  </w:footnote>
  <w:footnote w:id="311">
    <w:p w14:paraId="47D2E8FE" w14:textId="5DE5FC59" w:rsidR="002B032D" w:rsidRPr="00834D0C" w:rsidRDefault="002B032D" w:rsidP="00163B41">
      <w:pPr>
        <w:pStyle w:val="FootnoteText"/>
        <w:jc w:val="both"/>
      </w:pPr>
      <w:r w:rsidRPr="00834D0C">
        <w:rPr>
          <w:rStyle w:val="FootnoteReference"/>
        </w:rPr>
        <w:footnoteRef/>
      </w:r>
      <w:r w:rsidRPr="00834D0C">
        <w:t xml:space="preserve"> See </w:t>
      </w:r>
      <w:proofErr w:type="spellStart"/>
      <w:r w:rsidR="0084605E" w:rsidRPr="00834D0C">
        <w:rPr>
          <w:rFonts w:cstheme="minorHAnsi"/>
        </w:rPr>
        <w:t>Kurtskhalia</w:t>
      </w:r>
      <w:proofErr w:type="spellEnd"/>
      <w:r w:rsidR="0084605E" w:rsidRPr="00834D0C">
        <w:rPr>
          <w:rFonts w:cstheme="minorHAnsi"/>
        </w:rPr>
        <w:t xml:space="preserve"> (n 4) </w:t>
      </w:r>
      <w:r w:rsidRPr="00834D0C">
        <w:rPr>
          <w:rFonts w:cstheme="minorHAnsi"/>
        </w:rPr>
        <w:t>75 in relation to South Ossetia and Abkhazia.</w:t>
      </w:r>
    </w:p>
  </w:footnote>
  <w:footnote w:id="312">
    <w:p w14:paraId="2E95F5AD" w14:textId="42A3F17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006D71D0" w:rsidRPr="00834D0C">
        <w:rPr>
          <w:rFonts w:cstheme="minorHAnsi"/>
        </w:rPr>
        <w:t>Quénivet</w:t>
      </w:r>
      <w:proofErr w:type="spellEnd"/>
      <w:r w:rsidR="006D71D0" w:rsidRPr="00834D0C">
        <w:rPr>
          <w:rFonts w:cstheme="minorHAnsi"/>
        </w:rPr>
        <w:t xml:space="preserve"> (n 11) </w:t>
      </w:r>
      <w:r w:rsidRPr="00834D0C">
        <w:rPr>
          <w:rFonts w:cstheme="minorHAnsi"/>
        </w:rPr>
        <w:t>494.</w:t>
      </w:r>
    </w:p>
  </w:footnote>
  <w:footnote w:id="313">
    <w:p w14:paraId="4BADDBA8" w14:textId="614A34A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007D346D" w:rsidRPr="00834D0C">
        <w:rPr>
          <w:rFonts w:cstheme="minorHAnsi"/>
        </w:rPr>
        <w:t>Mälksoo</w:t>
      </w:r>
      <w:proofErr w:type="spellEnd"/>
      <w:r w:rsidR="007D346D" w:rsidRPr="00834D0C">
        <w:rPr>
          <w:rFonts w:cstheme="minorHAnsi"/>
        </w:rPr>
        <w:t xml:space="preserve"> (n 118) </w:t>
      </w:r>
      <w:r w:rsidRPr="00834D0C">
        <w:rPr>
          <w:rFonts w:cstheme="minorHAnsi"/>
        </w:rPr>
        <w:t>817.</w:t>
      </w:r>
    </w:p>
  </w:footnote>
  <w:footnote w:id="314">
    <w:p w14:paraId="2B1FC0FD" w14:textId="30D9B7E0"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144.</w:t>
      </w:r>
    </w:p>
  </w:footnote>
  <w:footnote w:id="315">
    <w:p w14:paraId="14CE2D74" w14:textId="1F6A6BA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Parliamentary Assembly of the Council of Europe, </w:t>
      </w:r>
      <w:r w:rsidRPr="00834D0C">
        <w:rPr>
          <w:rFonts w:cstheme="minorHAnsi"/>
          <w:i/>
        </w:rPr>
        <w:t>Application by Moldova for Membership of the Council of Europe</w:t>
      </w:r>
      <w:r w:rsidRPr="00834D0C">
        <w:rPr>
          <w:rFonts w:cstheme="minorHAnsi"/>
          <w:iCs/>
        </w:rPr>
        <w:t>,</w:t>
      </w:r>
      <w:r w:rsidRPr="00834D0C">
        <w:rPr>
          <w:rFonts w:cstheme="minorHAnsi"/>
          <w:i/>
          <w:iCs/>
        </w:rPr>
        <w:t xml:space="preserve"> </w:t>
      </w:r>
      <w:r w:rsidRPr="00834D0C">
        <w:rPr>
          <w:rFonts w:cstheme="minorHAnsi"/>
        </w:rPr>
        <w:t xml:space="preserve">Opinion 188 (1995), 27 June 1995, </w:t>
      </w:r>
      <w:r w:rsidR="00643ED5" w:rsidRPr="00834D0C">
        <w:rPr>
          <w:rFonts w:cstheme="minorHAnsi"/>
        </w:rPr>
        <w:t xml:space="preserve">para </w:t>
      </w:r>
      <w:r w:rsidRPr="00834D0C">
        <w:rPr>
          <w:rFonts w:cstheme="minorHAnsi"/>
        </w:rPr>
        <w:t xml:space="preserve">6; </w:t>
      </w:r>
      <w:r w:rsidR="00E96CF5" w:rsidRPr="00834D0C">
        <w:rPr>
          <w:rFonts w:cstheme="minorHAnsi"/>
        </w:rPr>
        <w:t xml:space="preserve">Bowring (n 11) </w:t>
      </w:r>
      <w:r w:rsidRPr="00834D0C">
        <w:rPr>
          <w:rFonts w:cstheme="minorHAnsi"/>
        </w:rPr>
        <w:t>16.</w:t>
      </w:r>
    </w:p>
  </w:footnote>
  <w:footnote w:id="316">
    <w:p w14:paraId="49FEBE52" w14:textId="3C0C078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Tamzarian</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453543" w:rsidRPr="00834D0C">
        <w:rPr>
          <w:rFonts w:cstheme="minorHAnsi"/>
        </w:rPr>
        <w:t>109</w:t>
      </w:r>
      <w:r w:rsidRPr="00834D0C">
        <w:rPr>
          <w:rFonts w:cstheme="minorHAnsi"/>
        </w:rPr>
        <w:t>) 208.</w:t>
      </w:r>
    </w:p>
  </w:footnote>
  <w:footnote w:id="317">
    <w:p w14:paraId="65B484BF" w14:textId="144B47C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20A17" w:rsidRPr="00834D0C">
        <w:rPr>
          <w:rFonts w:cstheme="minorHAnsi"/>
        </w:rPr>
        <w:t xml:space="preserve">Wilson (n 199) </w:t>
      </w:r>
      <w:r w:rsidRPr="00834D0C">
        <w:rPr>
          <w:rFonts w:cstheme="minorHAnsi"/>
        </w:rPr>
        <w:t>163.</w:t>
      </w:r>
    </w:p>
  </w:footnote>
  <w:footnote w:id="318">
    <w:p w14:paraId="678E0D4B" w14:textId="02491E9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Declaration of the ‘Supreme Soviet’ and ‘Government’ of the Transnistrian Moldavian Republic (PMR) of 26 January 1995, Appendix 6 of Report on the Application by Moldova (</w:t>
      </w:r>
      <w:r w:rsidR="0084605E" w:rsidRPr="00834D0C">
        <w:rPr>
          <w:rFonts w:cstheme="minorHAnsi"/>
        </w:rPr>
        <w:t>n</w:t>
      </w:r>
      <w:r w:rsidR="00453543" w:rsidRPr="00834D0C">
        <w:rPr>
          <w:rFonts w:cstheme="minorHAnsi"/>
        </w:rPr>
        <w:t xml:space="preserve"> 156</w:t>
      </w:r>
      <w:r w:rsidRPr="00834D0C">
        <w:rPr>
          <w:rFonts w:cstheme="minorHAnsi"/>
        </w:rPr>
        <w:t>).</w:t>
      </w:r>
    </w:p>
  </w:footnote>
  <w:footnote w:id="319">
    <w:p w14:paraId="402FEC56" w14:textId="5F63C37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lang w:val="fr-FR"/>
        </w:rPr>
        <w:t xml:space="preserve"> </w:t>
      </w:r>
      <w:proofErr w:type="spellStart"/>
      <w:r w:rsidRPr="00834D0C">
        <w:rPr>
          <w:rFonts w:cstheme="minorHAnsi"/>
          <w:lang w:val="fr-FR"/>
        </w:rPr>
        <w:t>Cited</w:t>
      </w:r>
      <w:proofErr w:type="spellEnd"/>
      <w:r w:rsidRPr="00834D0C">
        <w:rPr>
          <w:rFonts w:cstheme="minorHAnsi"/>
          <w:lang w:val="fr-FR"/>
        </w:rPr>
        <w:t xml:space="preserve"> in </w:t>
      </w:r>
      <w:r w:rsidR="00FA029C" w:rsidRPr="00834D0C">
        <w:rPr>
          <w:rFonts w:cstheme="minorHAnsi"/>
        </w:rPr>
        <w:t xml:space="preserve">German (n 73) </w:t>
      </w:r>
      <w:r w:rsidRPr="00834D0C">
        <w:rPr>
          <w:rFonts w:cstheme="minorHAnsi"/>
          <w:lang w:val="fr-FR"/>
        </w:rPr>
        <w:t xml:space="preserve">57. </w:t>
      </w:r>
      <w:r w:rsidRPr="00834D0C">
        <w:rPr>
          <w:shd w:val="clear" w:color="auto" w:fill="FFFFFF"/>
        </w:rPr>
        <w:t>Russian Foreign Minister Lavrov also claimed that Georgia had ‘ordered the deportation of Ossetians to Russia’ in 1991.</w:t>
      </w:r>
      <w:r w:rsidRPr="00834D0C">
        <w:rPr>
          <w:rFonts w:cstheme="minorHAnsi"/>
        </w:rPr>
        <w:t xml:space="preserve"> Address by Sergey Lavrov, Foreign Minister of the Russian Federation, at the 63rd Session of the UN General Assembly, 27 September 2008.</w:t>
      </w:r>
    </w:p>
  </w:footnote>
  <w:footnote w:id="320">
    <w:p w14:paraId="34146715" w14:textId="7A2853F7" w:rsidR="002B032D" w:rsidRPr="00834D0C" w:rsidRDefault="002B032D" w:rsidP="00163B41">
      <w:pPr>
        <w:pStyle w:val="FootnoteText"/>
        <w:jc w:val="both"/>
      </w:pPr>
      <w:r w:rsidRPr="00834D0C">
        <w:rPr>
          <w:rStyle w:val="FootnoteReference"/>
        </w:rPr>
        <w:footnoteRef/>
      </w:r>
      <w:r w:rsidRPr="00834D0C">
        <w:t xml:space="preserve"> In relation to South Ossetia, see e.g., </w:t>
      </w:r>
      <w:r w:rsidR="009037C8" w:rsidRPr="00834D0C">
        <w:t xml:space="preserve">EU </w:t>
      </w:r>
      <w:r w:rsidR="009037C8" w:rsidRPr="00834D0C">
        <w:rPr>
          <w:rFonts w:cstheme="minorHAnsi"/>
        </w:rPr>
        <w:t xml:space="preserve">(n 20) </w:t>
      </w:r>
      <w:r w:rsidRPr="00834D0C">
        <w:t>145 (fn80).</w:t>
      </w:r>
    </w:p>
  </w:footnote>
  <w:footnote w:id="321">
    <w:p w14:paraId="277D9B5E" w14:textId="707DB115"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rPr>
          <w:i/>
        </w:rPr>
        <w:t>Chagos</w:t>
      </w:r>
      <w:proofErr w:type="spellEnd"/>
      <w:r w:rsidRPr="00834D0C">
        <w:rPr>
          <w:i/>
        </w:rPr>
        <w:t xml:space="preserve"> Advisory Opinion</w:t>
      </w:r>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530084" w:rsidRPr="00834D0C">
        <w:rPr>
          <w:rFonts w:cstheme="minorHAnsi"/>
        </w:rPr>
        <w:t>233</w:t>
      </w:r>
      <w:r w:rsidRPr="00834D0C">
        <w:rPr>
          <w:rFonts w:cstheme="minorHAnsi"/>
        </w:rPr>
        <w:t xml:space="preserve">) </w:t>
      </w:r>
      <w:r w:rsidRPr="00834D0C">
        <w:t>para 157.</w:t>
      </w:r>
    </w:p>
  </w:footnote>
  <w:footnote w:id="322">
    <w:p w14:paraId="655E0A34" w14:textId="2AB5ECE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Crawford (n 8)</w:t>
      </w:r>
      <w:r w:rsidRPr="00834D0C">
        <w:rPr>
          <w:rFonts w:cstheme="minorHAnsi"/>
        </w:rPr>
        <w:t xml:space="preserve"> 387 (emphasis added).</w:t>
      </w:r>
    </w:p>
  </w:footnote>
  <w:footnote w:id="323">
    <w:p w14:paraId="59DF1195" w14:textId="0410EC9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Style w:val="sb8d990e2"/>
          <w:rFonts w:cstheme="minorHAnsi"/>
          <w:shd w:val="clear" w:color="auto" w:fill="FFFFFF"/>
        </w:rPr>
        <w:t xml:space="preserve">PACE Resolution 1416 (2005) </w:t>
      </w:r>
      <w:r w:rsidRPr="00834D0C">
        <w:rPr>
          <w:rFonts w:cstheme="minorHAnsi"/>
        </w:rPr>
        <w:t>(</w:t>
      </w:r>
      <w:r w:rsidR="0084605E" w:rsidRPr="00834D0C">
        <w:rPr>
          <w:rFonts w:cstheme="minorHAnsi"/>
        </w:rPr>
        <w:t>n</w:t>
      </w:r>
      <w:r w:rsidR="00453543" w:rsidRPr="00834D0C">
        <w:rPr>
          <w:rFonts w:cstheme="minorHAnsi"/>
        </w:rPr>
        <w:t xml:space="preserve"> 151</w:t>
      </w:r>
      <w:r w:rsidRPr="00834D0C">
        <w:rPr>
          <w:rFonts w:cstheme="minorHAnsi"/>
        </w:rPr>
        <w:t xml:space="preserve">) </w:t>
      </w:r>
      <w:r w:rsidRPr="00834D0C">
        <w:rPr>
          <w:rStyle w:val="sb8d990e2"/>
          <w:rFonts w:cstheme="minorHAnsi"/>
          <w:shd w:val="clear" w:color="auto" w:fill="FFFFFF"/>
        </w:rPr>
        <w:t>(emphasis added).</w:t>
      </w:r>
    </w:p>
  </w:footnote>
  <w:footnote w:id="324">
    <w:p w14:paraId="02293EED" w14:textId="08BBDAF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Opinion 4 </w:t>
      </w:r>
      <w:proofErr w:type="spellStart"/>
      <w:r w:rsidRPr="00834D0C">
        <w:rPr>
          <w:rFonts w:cstheme="minorHAnsi"/>
        </w:rPr>
        <w:t>Badinter</w:t>
      </w:r>
      <w:proofErr w:type="spellEnd"/>
      <w:r w:rsidRPr="00834D0C">
        <w:rPr>
          <w:rFonts w:cstheme="minorHAnsi"/>
        </w:rPr>
        <w:t xml:space="preserve"> Commission reprinted in ILM 31 (1992).</w:t>
      </w:r>
    </w:p>
  </w:footnote>
  <w:footnote w:id="325">
    <w:p w14:paraId="4545F777" w14:textId="0BCCFD33" w:rsidR="002B032D" w:rsidRPr="00834D0C" w:rsidRDefault="002B032D" w:rsidP="00163B41">
      <w:pPr>
        <w:pStyle w:val="FootnoteText"/>
        <w:jc w:val="both"/>
      </w:pPr>
      <w:r w:rsidRPr="00834D0C">
        <w:rPr>
          <w:rStyle w:val="FootnoteReference"/>
        </w:rPr>
        <w:footnoteRef/>
      </w:r>
      <w:r w:rsidRPr="00834D0C">
        <w:t xml:space="preserve"> Peters</w:t>
      </w:r>
      <w:r w:rsidRPr="00834D0C">
        <w:rPr>
          <w:i/>
          <w:iCs/>
        </w:rPr>
        <w:t xml:space="preserve"> </w:t>
      </w:r>
      <w:r w:rsidRPr="00834D0C">
        <w:rPr>
          <w:rFonts w:cstheme="minorHAnsi"/>
        </w:rPr>
        <w:t>(</w:t>
      </w:r>
      <w:r w:rsidR="0084605E" w:rsidRPr="00834D0C">
        <w:rPr>
          <w:rFonts w:cstheme="minorHAnsi"/>
        </w:rPr>
        <w:t>n</w:t>
      </w:r>
      <w:r w:rsidR="00453543" w:rsidRPr="00834D0C">
        <w:rPr>
          <w:rFonts w:cstheme="minorHAnsi"/>
        </w:rPr>
        <w:t xml:space="preserve"> 152</w:t>
      </w:r>
      <w:r w:rsidRPr="00834D0C">
        <w:rPr>
          <w:rFonts w:cstheme="minorHAnsi"/>
        </w:rPr>
        <w:t>)</w:t>
      </w:r>
      <w:r w:rsidRPr="00834D0C">
        <w:t xml:space="preserve">.  </w:t>
      </w:r>
    </w:p>
  </w:footnote>
  <w:footnote w:id="326">
    <w:p w14:paraId="094B9390" w14:textId="2F4631DA" w:rsidR="002B032D" w:rsidRPr="00834D0C" w:rsidRDefault="002B032D" w:rsidP="00163B41">
      <w:pPr>
        <w:pStyle w:val="FootnoteText"/>
        <w:jc w:val="both"/>
        <w:rPr>
          <w:rFonts w:cstheme="minorHAnsi"/>
        </w:rPr>
      </w:pPr>
      <w:r w:rsidRPr="00834D0C">
        <w:rPr>
          <w:rStyle w:val="FootnoteReference"/>
        </w:rPr>
        <w:footnoteRef/>
      </w:r>
      <w:r w:rsidRPr="00834D0C">
        <w:t xml:space="preserve"> </w:t>
      </w:r>
      <w:r w:rsidRPr="00834D0C">
        <w:rPr>
          <w:rFonts w:cstheme="minorHAnsi"/>
          <w:i/>
        </w:rPr>
        <w:t>Reference by the Lord Advocate of Devolution Issue</w:t>
      </w:r>
      <w:r w:rsidRPr="00834D0C">
        <w:rPr>
          <w:rFonts w:cstheme="minorHAnsi"/>
        </w:rPr>
        <w:t xml:space="preserve"> (</w:t>
      </w:r>
      <w:r w:rsidR="0084605E" w:rsidRPr="00834D0C">
        <w:rPr>
          <w:rFonts w:cstheme="minorHAnsi"/>
        </w:rPr>
        <w:t>n</w:t>
      </w:r>
      <w:r w:rsidR="00453543" w:rsidRPr="00834D0C">
        <w:rPr>
          <w:rFonts w:cstheme="minorHAnsi"/>
        </w:rPr>
        <w:t xml:space="preserve"> 264</w:t>
      </w:r>
      <w:r w:rsidRPr="00834D0C">
        <w:rPr>
          <w:rFonts w:cstheme="minorHAnsi"/>
        </w:rPr>
        <w:t xml:space="preserve">) </w:t>
      </w:r>
      <w:r w:rsidR="00643ED5" w:rsidRPr="00834D0C">
        <w:rPr>
          <w:rFonts w:cstheme="minorHAnsi"/>
        </w:rPr>
        <w:t>para</w:t>
      </w:r>
      <w:r w:rsidRPr="00834D0C">
        <w:rPr>
          <w:rFonts w:cstheme="minorHAnsi"/>
        </w:rPr>
        <w:t xml:space="preserve"> 81.</w:t>
      </w:r>
    </w:p>
  </w:footnote>
  <w:footnote w:id="327">
    <w:p w14:paraId="0D3E8EA7" w14:textId="54E5D75F" w:rsidR="002B032D" w:rsidRPr="00834D0C" w:rsidRDefault="002B032D" w:rsidP="00163B41">
      <w:pPr>
        <w:pStyle w:val="FootnoteText"/>
        <w:jc w:val="both"/>
      </w:pPr>
      <w:r w:rsidRPr="00834D0C">
        <w:rPr>
          <w:rStyle w:val="FootnoteReference"/>
        </w:rPr>
        <w:footnoteRef/>
      </w:r>
      <w:r w:rsidRPr="00834D0C">
        <w:t xml:space="preserve"> Peters </w:t>
      </w:r>
      <w:r w:rsidRPr="00834D0C">
        <w:rPr>
          <w:rFonts w:cstheme="minorHAnsi"/>
        </w:rPr>
        <w:t>(</w:t>
      </w:r>
      <w:r w:rsidR="0084605E" w:rsidRPr="00834D0C">
        <w:rPr>
          <w:rFonts w:cstheme="minorHAnsi"/>
        </w:rPr>
        <w:t>n</w:t>
      </w:r>
      <w:r w:rsidRPr="00834D0C">
        <w:rPr>
          <w:rFonts w:cstheme="minorHAnsi"/>
        </w:rPr>
        <w:t xml:space="preserve"> </w:t>
      </w:r>
      <w:r w:rsidR="00453543" w:rsidRPr="00834D0C">
        <w:rPr>
          <w:rFonts w:cstheme="minorHAnsi"/>
        </w:rPr>
        <w:t>152</w:t>
      </w:r>
      <w:r w:rsidRPr="00834D0C">
        <w:rPr>
          <w:rFonts w:cstheme="minorHAnsi"/>
        </w:rPr>
        <w:t>)</w:t>
      </w:r>
      <w:r w:rsidRPr="00834D0C">
        <w:t>.</w:t>
      </w:r>
    </w:p>
  </w:footnote>
  <w:footnote w:id="328">
    <w:p w14:paraId="5803BF84" w14:textId="6AD81622" w:rsidR="002B032D" w:rsidRPr="00834D0C" w:rsidRDefault="002B032D" w:rsidP="00163B41">
      <w:pPr>
        <w:pStyle w:val="FootnoteText"/>
        <w:jc w:val="both"/>
      </w:pPr>
      <w:r w:rsidRPr="00834D0C">
        <w:rPr>
          <w:rStyle w:val="FootnoteReference"/>
        </w:rPr>
        <w:footnoteRef/>
      </w:r>
      <w:r w:rsidRPr="00834D0C">
        <w:t xml:space="preserve"> Marc Weller</w:t>
      </w:r>
      <w:r w:rsidRPr="00834D0C">
        <w:rPr>
          <w:i/>
          <w:iCs/>
        </w:rPr>
        <w:t xml:space="preserve">, </w:t>
      </w:r>
      <w:r w:rsidR="009310E7" w:rsidRPr="00834D0C">
        <w:t>‘</w:t>
      </w:r>
      <w:r w:rsidRPr="00834D0C">
        <w:t>The UK Supreme Court Reference on a Referendum for Scotland and the Right to Constitutional Self-Determination (Part II)</w:t>
      </w:r>
      <w:r w:rsidR="009310E7" w:rsidRPr="00834D0C">
        <w:t>’</w:t>
      </w:r>
      <w:r w:rsidRPr="00834D0C">
        <w:t xml:space="preserve"> </w:t>
      </w:r>
      <w:proofErr w:type="spellStart"/>
      <w:r w:rsidRPr="00834D0C">
        <w:rPr>
          <w:i/>
          <w:iCs/>
        </w:rPr>
        <w:t>EJIL:Talk</w:t>
      </w:r>
      <w:proofErr w:type="spellEnd"/>
      <w:r w:rsidRPr="00834D0C">
        <w:rPr>
          <w:i/>
          <w:iCs/>
        </w:rPr>
        <w:t>!</w:t>
      </w:r>
      <w:r w:rsidR="009310E7" w:rsidRPr="00834D0C">
        <w:rPr>
          <w:i/>
          <w:iCs/>
        </w:rPr>
        <w:t>,</w:t>
      </w:r>
      <w:r w:rsidRPr="00834D0C">
        <w:rPr>
          <w:i/>
          <w:iCs/>
        </w:rPr>
        <w:t xml:space="preserve"> </w:t>
      </w:r>
      <w:r w:rsidRPr="00834D0C">
        <w:t>13 December 2022.</w:t>
      </w:r>
    </w:p>
  </w:footnote>
  <w:footnote w:id="329">
    <w:p w14:paraId="3FA2A0DE" w14:textId="74B66824" w:rsidR="002B032D" w:rsidRPr="00834D0C" w:rsidRDefault="002B032D" w:rsidP="00163B41">
      <w:pPr>
        <w:spacing w:after="0" w:line="240" w:lineRule="auto"/>
        <w:jc w:val="both"/>
        <w:rPr>
          <w:rFonts w:cstheme="minorHAnsi"/>
          <w:sz w:val="20"/>
          <w:szCs w:val="20"/>
        </w:rPr>
      </w:pPr>
      <w:r w:rsidRPr="00834D0C">
        <w:rPr>
          <w:rStyle w:val="FootnoteReference"/>
          <w:rFonts w:cstheme="minorHAnsi"/>
          <w:sz w:val="20"/>
          <w:szCs w:val="20"/>
        </w:rPr>
        <w:footnoteRef/>
      </w:r>
      <w:r w:rsidRPr="00834D0C">
        <w:rPr>
          <w:rFonts w:cstheme="minorHAnsi"/>
          <w:sz w:val="20"/>
          <w:szCs w:val="20"/>
        </w:rPr>
        <w:t xml:space="preserve"> United Nations Economic and Social Council, </w:t>
      </w:r>
      <w:r w:rsidRPr="00834D0C">
        <w:rPr>
          <w:rFonts w:cstheme="minorHAnsi"/>
          <w:i/>
          <w:iCs/>
          <w:sz w:val="20"/>
          <w:szCs w:val="20"/>
        </w:rPr>
        <w:t>Implementation of the International Covenant on Economic, Social and Cultural Rights: Initial Reports Submitted by State Parties under Articles 16 and 17 of the Covenant, Addendum Georgia</w:t>
      </w:r>
      <w:r w:rsidRPr="00834D0C">
        <w:rPr>
          <w:rFonts w:cstheme="minorHAnsi"/>
          <w:sz w:val="20"/>
          <w:szCs w:val="20"/>
        </w:rPr>
        <w:t xml:space="preserve">, UN Doc E/1990/5/Add.37, 23 September 1998, </w:t>
      </w:r>
      <w:r w:rsidR="00643ED5" w:rsidRPr="00834D0C">
        <w:rPr>
          <w:rFonts w:cstheme="minorHAnsi"/>
          <w:sz w:val="20"/>
          <w:szCs w:val="20"/>
        </w:rPr>
        <w:t>para</w:t>
      </w:r>
      <w:r w:rsidRPr="00834D0C">
        <w:rPr>
          <w:rFonts w:cstheme="minorHAnsi"/>
          <w:sz w:val="20"/>
          <w:szCs w:val="20"/>
        </w:rPr>
        <w:t xml:space="preserve"> 29.</w:t>
      </w:r>
    </w:p>
  </w:footnote>
  <w:footnote w:id="330">
    <w:p w14:paraId="5513EBE1" w14:textId="49F07BA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UNGA, Right of Peoples to Self-Determination (</w:t>
      </w:r>
      <w:r w:rsidR="0084605E" w:rsidRPr="00834D0C">
        <w:rPr>
          <w:rFonts w:cstheme="minorHAnsi"/>
        </w:rPr>
        <w:t>n</w:t>
      </w:r>
      <w:r w:rsidRPr="00834D0C">
        <w:rPr>
          <w:rFonts w:cstheme="minorHAnsi"/>
        </w:rPr>
        <w:t xml:space="preserve"> </w:t>
      </w:r>
      <w:r w:rsidR="00D74517" w:rsidRPr="00834D0C">
        <w:rPr>
          <w:rFonts w:cstheme="minorHAnsi"/>
        </w:rPr>
        <w:t>192)</w:t>
      </w:r>
      <w:r w:rsidRPr="00834D0C">
        <w:rPr>
          <w:rFonts w:cstheme="minorHAnsi"/>
        </w:rPr>
        <w:t xml:space="preserve"> </w:t>
      </w:r>
      <w:r w:rsidR="00643ED5" w:rsidRPr="00834D0C">
        <w:rPr>
          <w:rFonts w:cstheme="minorHAnsi"/>
        </w:rPr>
        <w:t xml:space="preserve">para </w:t>
      </w:r>
      <w:r w:rsidRPr="00834D0C">
        <w:rPr>
          <w:rFonts w:cstheme="minorHAnsi"/>
        </w:rPr>
        <w:t>4.</w:t>
      </w:r>
    </w:p>
  </w:footnote>
  <w:footnote w:id="331">
    <w:p w14:paraId="78362199" w14:textId="3DA33824" w:rsidR="002B032D" w:rsidRPr="00834D0C" w:rsidRDefault="002B032D" w:rsidP="00163B41">
      <w:pPr>
        <w:pStyle w:val="FootnoteText"/>
        <w:jc w:val="both"/>
      </w:pPr>
      <w:r w:rsidRPr="00834D0C">
        <w:rPr>
          <w:rStyle w:val="FootnoteReference"/>
        </w:rPr>
        <w:footnoteRef/>
      </w:r>
      <w:r w:rsidRPr="00834D0C">
        <w:t xml:space="preserve"> </w:t>
      </w:r>
      <w:r w:rsidRPr="00834D0C">
        <w:rPr>
          <w:rFonts w:cstheme="minorHAnsi"/>
        </w:rPr>
        <w:t xml:space="preserve">European Commission for Democracy through Law (Venice Commission), </w:t>
      </w:r>
      <w:r w:rsidRPr="00834D0C">
        <w:rPr>
          <w:rFonts w:cstheme="minorHAnsi"/>
          <w:i/>
          <w:iCs/>
        </w:rPr>
        <w:t>Opinion on the Compatibility of the Existing Legislation in Montenegro Concerning the Organisation of Referendums with Applicable International Standards</w:t>
      </w:r>
      <w:r w:rsidRPr="00834D0C">
        <w:rPr>
          <w:rFonts w:cstheme="minorHAnsi"/>
        </w:rPr>
        <w:t>, Opinion No 343/2005, CDL-AD(2005)041, 19 December 2005, paras 51-52.</w:t>
      </w:r>
    </w:p>
  </w:footnote>
  <w:footnote w:id="332">
    <w:p w14:paraId="25DE0759" w14:textId="6271AA68" w:rsidR="002B032D" w:rsidRPr="00834D0C" w:rsidRDefault="002B032D" w:rsidP="00163B41">
      <w:pPr>
        <w:pStyle w:val="FootnoteText"/>
        <w:jc w:val="both"/>
      </w:pPr>
      <w:r w:rsidRPr="00834D0C">
        <w:rPr>
          <w:rStyle w:val="FootnoteReference"/>
        </w:rPr>
        <w:footnoteRef/>
      </w:r>
      <w:r w:rsidRPr="00834D0C">
        <w:t xml:space="preserve"> Opinion 4 </w:t>
      </w:r>
      <w:r w:rsidRPr="00834D0C">
        <w:rPr>
          <w:rFonts w:cstheme="minorHAnsi"/>
        </w:rPr>
        <w:t>(</w:t>
      </w:r>
      <w:r w:rsidR="0084605E" w:rsidRPr="00834D0C">
        <w:rPr>
          <w:rFonts w:cstheme="minorHAnsi"/>
        </w:rPr>
        <w:t>n</w:t>
      </w:r>
      <w:r w:rsidRPr="00834D0C">
        <w:rPr>
          <w:rFonts w:cstheme="minorHAnsi"/>
        </w:rPr>
        <w:t xml:space="preserve"> </w:t>
      </w:r>
      <w:r w:rsidR="009310E7" w:rsidRPr="00834D0C">
        <w:rPr>
          <w:rFonts w:cstheme="minorHAnsi"/>
        </w:rPr>
        <w:t>323</w:t>
      </w:r>
      <w:r w:rsidRPr="00834D0C">
        <w:rPr>
          <w:rFonts w:cstheme="minorHAnsi"/>
        </w:rPr>
        <w:t>).</w:t>
      </w:r>
    </w:p>
  </w:footnote>
  <w:footnote w:id="333">
    <w:p w14:paraId="38DEF08E" w14:textId="18E8B618" w:rsidR="00A25DF3" w:rsidRPr="00834D0C" w:rsidRDefault="00A25DF3" w:rsidP="00163B41">
      <w:pPr>
        <w:pStyle w:val="FootnoteText"/>
        <w:jc w:val="both"/>
      </w:pPr>
      <w:r w:rsidRPr="00834D0C">
        <w:rPr>
          <w:rStyle w:val="FootnoteReference"/>
        </w:rPr>
        <w:footnoteRef/>
      </w:r>
      <w:r w:rsidRPr="00834D0C">
        <w:t xml:space="preserve"> This situation does not refer to individuals who are prevented from attending a polling station,</w:t>
      </w:r>
      <w:r w:rsidR="00894228" w:rsidRPr="00834D0C">
        <w:t xml:space="preserve"> notably because of the presence of menacing State authorities or individuals at </w:t>
      </w:r>
      <w:r w:rsidR="009310E7" w:rsidRPr="00834D0C">
        <w:t xml:space="preserve">the </w:t>
      </w:r>
      <w:r w:rsidR="00894228" w:rsidRPr="00834D0C">
        <w:t>polling station.</w:t>
      </w:r>
    </w:p>
  </w:footnote>
  <w:footnote w:id="334">
    <w:p w14:paraId="74668EDB" w14:textId="42180A7F" w:rsidR="002B032D" w:rsidRPr="00834D0C" w:rsidRDefault="002B032D" w:rsidP="00163B41">
      <w:pPr>
        <w:pStyle w:val="FootnoteText"/>
        <w:jc w:val="both"/>
      </w:pPr>
      <w:r w:rsidRPr="00834D0C">
        <w:rPr>
          <w:rStyle w:val="FootnoteReference"/>
        </w:rPr>
        <w:footnoteRef/>
      </w:r>
      <w:r w:rsidRPr="00834D0C">
        <w:t xml:space="preserve"> </w:t>
      </w:r>
      <w:r w:rsidRPr="00834D0C">
        <w:rPr>
          <w:rFonts w:cstheme="minorHAnsi"/>
        </w:rPr>
        <w:t>Venice Commission Opinion No 343/2005 (</w:t>
      </w:r>
      <w:r w:rsidR="0084605E" w:rsidRPr="00834D0C">
        <w:rPr>
          <w:rFonts w:cstheme="minorHAnsi"/>
        </w:rPr>
        <w:t>n</w:t>
      </w:r>
      <w:r w:rsidRPr="00834D0C">
        <w:rPr>
          <w:rFonts w:cstheme="minorHAnsi"/>
        </w:rPr>
        <w:t xml:space="preserve"> </w:t>
      </w:r>
      <w:r w:rsidR="009310E7" w:rsidRPr="00834D0C">
        <w:rPr>
          <w:rFonts w:cstheme="minorHAnsi"/>
        </w:rPr>
        <w:t>330</w:t>
      </w:r>
      <w:r w:rsidRPr="00834D0C">
        <w:rPr>
          <w:rFonts w:cstheme="minorHAnsi"/>
        </w:rPr>
        <w:t>)</w:t>
      </w:r>
      <w:r w:rsidRPr="00834D0C">
        <w:t xml:space="preserve"> </w:t>
      </w:r>
      <w:r w:rsidR="00643ED5" w:rsidRPr="00834D0C">
        <w:t xml:space="preserve">para </w:t>
      </w:r>
      <w:r w:rsidRPr="00834D0C">
        <w:t>25.</w:t>
      </w:r>
    </w:p>
  </w:footnote>
  <w:footnote w:id="335">
    <w:p w14:paraId="4C525859" w14:textId="02F5BD3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European Commission for Democracy through Law (Venice Commission), </w:t>
      </w:r>
      <w:r w:rsidRPr="00834D0C">
        <w:rPr>
          <w:rFonts w:cstheme="minorHAnsi"/>
          <w:i/>
          <w:iCs/>
        </w:rPr>
        <w:t>Code of Good Practice on Referendums</w:t>
      </w:r>
      <w:r w:rsidRPr="00834D0C">
        <w:rPr>
          <w:rFonts w:cstheme="minorHAnsi"/>
        </w:rPr>
        <w:t>, Study No 371/2006, CDL-AD(2007)008rev-cor, adopted by the Council for Democratic Elections at its 19th meeting (Venice, 16 December 2006) and the Venice Commission at its 70th plenary session (Venice, 16-17 March 2007).</w:t>
      </w:r>
    </w:p>
  </w:footnote>
  <w:footnote w:id="336">
    <w:p w14:paraId="1134B98F" w14:textId="21C8053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Venice Commission Code of Good Practice on Referendums (</w:t>
      </w:r>
      <w:r w:rsidR="0084605E" w:rsidRPr="00834D0C">
        <w:rPr>
          <w:rFonts w:cstheme="minorHAnsi"/>
        </w:rPr>
        <w:t>n</w:t>
      </w:r>
      <w:r w:rsidRPr="00834D0C">
        <w:rPr>
          <w:rFonts w:cstheme="minorHAnsi"/>
        </w:rPr>
        <w:t xml:space="preserve"> </w:t>
      </w:r>
      <w:r w:rsidR="00D64E89" w:rsidRPr="00834D0C">
        <w:rPr>
          <w:rFonts w:cstheme="minorHAnsi"/>
        </w:rPr>
        <w:t>334</w:t>
      </w:r>
      <w:r w:rsidRPr="00834D0C">
        <w:rPr>
          <w:rFonts w:cstheme="minorHAnsi"/>
        </w:rPr>
        <w:t>) Point II(1).</w:t>
      </w:r>
    </w:p>
  </w:footnote>
  <w:footnote w:id="337">
    <w:p w14:paraId="49BE2455" w14:textId="6B3F1DB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64E89" w:rsidRPr="00834D0C">
        <w:rPr>
          <w:rFonts w:cstheme="minorHAnsi"/>
          <w:i/>
          <w:iCs/>
        </w:rPr>
        <w:t xml:space="preserve">Ibid, </w:t>
      </w:r>
      <w:r w:rsidRPr="00834D0C">
        <w:rPr>
          <w:rFonts w:cstheme="minorHAnsi"/>
        </w:rPr>
        <w:t>Point II(3.2).</w:t>
      </w:r>
    </w:p>
  </w:footnote>
  <w:footnote w:id="338">
    <w:p w14:paraId="7D0A4ACD" w14:textId="3BC5C6E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w:t>
      </w:r>
      <w:proofErr w:type="spellStart"/>
      <w:r w:rsidR="0084605E" w:rsidRPr="00834D0C">
        <w:rPr>
          <w:rFonts w:cstheme="minorHAnsi"/>
        </w:rPr>
        <w:t>Leonaitė</w:t>
      </w:r>
      <w:proofErr w:type="spellEnd"/>
      <w:r w:rsidR="002F5312">
        <w:rPr>
          <w:rFonts w:cstheme="minorHAnsi"/>
        </w:rPr>
        <w:t xml:space="preserve"> and</w:t>
      </w:r>
      <w:r w:rsidR="002F5312" w:rsidRPr="00834D0C">
        <w:rPr>
          <w:rFonts w:cstheme="minorHAnsi"/>
        </w:rPr>
        <w:t xml:space="preserve"> </w:t>
      </w:r>
      <w:proofErr w:type="spellStart"/>
      <w:r w:rsidR="0084605E" w:rsidRPr="00834D0C">
        <w:rPr>
          <w:rFonts w:cstheme="minorHAnsi"/>
        </w:rPr>
        <w:t>Žalimas</w:t>
      </w:r>
      <w:proofErr w:type="spellEnd"/>
      <w:r w:rsidR="0084605E" w:rsidRPr="00834D0C">
        <w:rPr>
          <w:rFonts w:cstheme="minorHAnsi"/>
        </w:rPr>
        <w:t xml:space="preserve"> (n 3) </w:t>
      </w:r>
      <w:r w:rsidRPr="00834D0C">
        <w:rPr>
          <w:rFonts w:cstheme="minorHAnsi"/>
        </w:rPr>
        <w:t>44.</w:t>
      </w:r>
    </w:p>
  </w:footnote>
  <w:footnote w:id="339">
    <w:p w14:paraId="51ABF6D6" w14:textId="6F62F32D" w:rsidR="002B032D" w:rsidRPr="00834D0C" w:rsidRDefault="002B032D" w:rsidP="00163B41">
      <w:pPr>
        <w:pStyle w:val="FootnoteText"/>
        <w:jc w:val="both"/>
      </w:pPr>
      <w:r w:rsidRPr="00834D0C">
        <w:rPr>
          <w:rStyle w:val="FootnoteReference"/>
        </w:rPr>
        <w:footnoteRef/>
      </w:r>
      <w:r w:rsidRPr="00834D0C">
        <w:t xml:space="preserve"> </w:t>
      </w:r>
      <w:r w:rsidRPr="00834D0C">
        <w:rPr>
          <w:rFonts w:cstheme="minorHAnsi"/>
        </w:rPr>
        <w:t>Venice Commission Opinion No 343/2005 (</w:t>
      </w:r>
      <w:r w:rsidR="0084605E" w:rsidRPr="00834D0C">
        <w:rPr>
          <w:rFonts w:cstheme="minorHAnsi"/>
        </w:rPr>
        <w:t>n</w:t>
      </w:r>
      <w:r w:rsidR="009310E7" w:rsidRPr="00834D0C">
        <w:rPr>
          <w:rFonts w:cstheme="minorHAnsi"/>
        </w:rPr>
        <w:t xml:space="preserve"> 330</w:t>
      </w:r>
      <w:r w:rsidRPr="00834D0C">
        <w:rPr>
          <w:rFonts w:cstheme="minorHAnsi"/>
        </w:rPr>
        <w:t xml:space="preserve">) </w:t>
      </w:r>
      <w:r w:rsidR="00643ED5" w:rsidRPr="00834D0C">
        <w:rPr>
          <w:rFonts w:cstheme="minorHAnsi"/>
        </w:rPr>
        <w:t xml:space="preserve">para </w:t>
      </w:r>
      <w:r w:rsidRPr="00834D0C">
        <w:rPr>
          <w:rFonts w:cstheme="minorHAnsi"/>
        </w:rPr>
        <w:t>11.</w:t>
      </w:r>
    </w:p>
  </w:footnote>
  <w:footnote w:id="340">
    <w:p w14:paraId="3DF2DDC6" w14:textId="421D9BCC" w:rsidR="002B032D" w:rsidRPr="00834D0C" w:rsidRDefault="002B032D" w:rsidP="00163B41">
      <w:pPr>
        <w:pStyle w:val="FootnoteText"/>
        <w:jc w:val="both"/>
      </w:pPr>
      <w:r w:rsidRPr="00834D0C">
        <w:rPr>
          <w:rStyle w:val="FootnoteReference"/>
        </w:rPr>
        <w:footnoteRef/>
      </w:r>
      <w:r w:rsidRPr="00834D0C">
        <w:t xml:space="preserve"> </w:t>
      </w:r>
      <w:r w:rsidR="00D64E89" w:rsidRPr="00834D0C">
        <w:rPr>
          <w:rFonts w:cstheme="minorHAnsi"/>
          <w:i/>
          <w:iCs/>
        </w:rPr>
        <w:t>Ibid,</w:t>
      </w:r>
      <w:r w:rsidR="009310E7" w:rsidRPr="00834D0C">
        <w:rPr>
          <w:rFonts w:cstheme="minorHAnsi"/>
        </w:rPr>
        <w:t xml:space="preserve"> </w:t>
      </w:r>
      <w:r w:rsidR="00643ED5" w:rsidRPr="00834D0C">
        <w:rPr>
          <w:rFonts w:cstheme="minorHAnsi"/>
        </w:rPr>
        <w:t xml:space="preserve">para </w:t>
      </w:r>
      <w:r w:rsidRPr="00834D0C">
        <w:rPr>
          <w:rFonts w:cstheme="minorHAnsi"/>
        </w:rPr>
        <w:t>17.</w:t>
      </w:r>
    </w:p>
  </w:footnote>
  <w:footnote w:id="341">
    <w:p w14:paraId="1BC291D7" w14:textId="66D28935" w:rsidR="002B032D" w:rsidRPr="00834D0C" w:rsidRDefault="002B032D" w:rsidP="00163B41">
      <w:pPr>
        <w:pStyle w:val="FootnoteText"/>
        <w:jc w:val="both"/>
      </w:pPr>
      <w:r w:rsidRPr="00834D0C">
        <w:rPr>
          <w:rStyle w:val="FootnoteReference"/>
        </w:rPr>
        <w:footnoteRef/>
      </w:r>
      <w:r w:rsidRPr="00834D0C">
        <w:t xml:space="preserve"> </w:t>
      </w:r>
      <w:r w:rsidR="00D64E89" w:rsidRPr="00834D0C">
        <w:rPr>
          <w:rFonts w:cstheme="minorHAnsi"/>
          <w:i/>
          <w:iCs/>
        </w:rPr>
        <w:t xml:space="preserve">Ibid, </w:t>
      </w:r>
      <w:r w:rsidR="00643ED5" w:rsidRPr="00834D0C">
        <w:rPr>
          <w:rFonts w:cstheme="minorHAnsi"/>
        </w:rPr>
        <w:t xml:space="preserve">para </w:t>
      </w:r>
      <w:r w:rsidRPr="00834D0C">
        <w:rPr>
          <w:rFonts w:cstheme="minorHAnsi"/>
        </w:rPr>
        <w:t>22.</w:t>
      </w:r>
    </w:p>
  </w:footnote>
  <w:footnote w:id="342">
    <w:p w14:paraId="4644C538" w14:textId="2C1028B0" w:rsidR="002B032D" w:rsidRPr="00834D0C" w:rsidRDefault="002B032D" w:rsidP="00163B41">
      <w:pPr>
        <w:pStyle w:val="FootnoteText"/>
        <w:jc w:val="both"/>
      </w:pPr>
      <w:r w:rsidRPr="00834D0C">
        <w:rPr>
          <w:rStyle w:val="FootnoteReference"/>
        </w:rPr>
        <w:footnoteRef/>
      </w:r>
      <w:r w:rsidRPr="00834D0C">
        <w:t xml:space="preserve"> </w:t>
      </w:r>
      <w:r w:rsidR="00D64E89" w:rsidRPr="00834D0C">
        <w:rPr>
          <w:rFonts w:cstheme="minorHAnsi"/>
          <w:i/>
          <w:iCs/>
        </w:rPr>
        <w:t>Ibid,</w:t>
      </w:r>
      <w:r w:rsidR="009310E7" w:rsidRPr="00834D0C">
        <w:rPr>
          <w:rFonts w:cstheme="minorHAnsi"/>
        </w:rPr>
        <w:t xml:space="preserve"> </w:t>
      </w:r>
      <w:r w:rsidRPr="00834D0C">
        <w:rPr>
          <w:rFonts w:cstheme="minorHAnsi"/>
        </w:rPr>
        <w:t>paras 33 and 36.</w:t>
      </w:r>
    </w:p>
  </w:footnote>
  <w:footnote w:id="343">
    <w:p w14:paraId="33FAD9FA" w14:textId="6306642F"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Pr="00834D0C">
        <w:rPr>
          <w:rFonts w:cstheme="minorHAnsi"/>
          <w:lang w:val="de-DE"/>
        </w:rPr>
        <w:t xml:space="preserve">Hildemar Gürer, </w:t>
      </w:r>
      <w:r w:rsidR="00D64E89" w:rsidRPr="00834D0C">
        <w:t>‘</w:t>
      </w:r>
      <w:r w:rsidR="00D64E89" w:rsidRPr="00834D0C">
        <w:rPr>
          <w:rFonts w:cstheme="minorHAnsi"/>
          <w:lang w:val="de-DE"/>
        </w:rPr>
        <w:t>K</w:t>
      </w:r>
      <w:r w:rsidRPr="00834D0C">
        <w:rPr>
          <w:rFonts w:cstheme="minorHAnsi"/>
          <w:lang w:val="de-DE"/>
        </w:rPr>
        <w:t>onflikte im Südkaukasus</w:t>
      </w:r>
      <w:r w:rsidR="00D64E89" w:rsidRPr="00834D0C">
        <w:t>’</w:t>
      </w:r>
      <w:r w:rsidRPr="00834D0C">
        <w:rPr>
          <w:rFonts w:cstheme="minorHAnsi"/>
          <w:lang w:val="de-DE"/>
        </w:rPr>
        <w:t>, in Österreichisches Studienzentrum für Frieden and Konfliktlösung (</w:t>
      </w:r>
      <w:r w:rsidR="00D64E89" w:rsidRPr="00834D0C">
        <w:rPr>
          <w:rFonts w:cstheme="minorHAnsi"/>
          <w:lang w:val="de-DE"/>
        </w:rPr>
        <w:t>ed</w:t>
      </w:r>
      <w:r w:rsidRPr="00834D0C">
        <w:rPr>
          <w:rFonts w:cstheme="minorHAnsi"/>
          <w:lang w:val="de-DE"/>
        </w:rPr>
        <w:t xml:space="preserve">), </w:t>
      </w:r>
      <w:r w:rsidRPr="00834D0C">
        <w:rPr>
          <w:rFonts w:cstheme="minorHAnsi"/>
          <w:i/>
          <w:iCs/>
          <w:lang w:val="de-DE"/>
        </w:rPr>
        <w:t>Wie sicher ist Europa? Perspektiven einer zukunftsfähigen Sicherheitspolitik nach der Jahrtausendwende</w:t>
      </w:r>
      <w:r w:rsidRPr="00834D0C">
        <w:rPr>
          <w:rFonts w:cstheme="minorHAnsi"/>
          <w:lang w:val="de-DE"/>
        </w:rPr>
        <w:t xml:space="preserve"> </w:t>
      </w:r>
      <w:r w:rsidR="00D64E89" w:rsidRPr="00834D0C">
        <w:rPr>
          <w:rFonts w:cstheme="minorHAnsi"/>
          <w:lang w:val="de-DE"/>
        </w:rPr>
        <w:t>(</w:t>
      </w:r>
      <w:r w:rsidRPr="00834D0C">
        <w:rPr>
          <w:rFonts w:cstheme="minorHAnsi"/>
          <w:lang w:val="de-DE"/>
        </w:rPr>
        <w:t>2001</w:t>
      </w:r>
      <w:r w:rsidR="00D64E89" w:rsidRPr="00834D0C">
        <w:rPr>
          <w:rFonts w:cstheme="minorHAnsi"/>
          <w:lang w:val="de-DE"/>
        </w:rPr>
        <w:t>)</w:t>
      </w:r>
      <w:r w:rsidRPr="00834D0C">
        <w:rPr>
          <w:rFonts w:cstheme="minorHAnsi"/>
          <w:lang w:val="de-DE"/>
        </w:rPr>
        <w:t xml:space="preserve"> 212</w:t>
      </w:r>
      <w:r w:rsidR="00D64E89" w:rsidRPr="00834D0C">
        <w:rPr>
          <w:rFonts w:cstheme="minorHAnsi"/>
          <w:lang w:val="de-DE"/>
        </w:rPr>
        <w:t xml:space="preserve">, </w:t>
      </w:r>
      <w:r w:rsidRPr="00834D0C">
        <w:rPr>
          <w:rFonts w:cstheme="minorHAnsi"/>
          <w:lang w:val="de-DE"/>
        </w:rPr>
        <w:t>212.</w:t>
      </w:r>
    </w:p>
  </w:footnote>
  <w:footnote w:id="344">
    <w:p w14:paraId="398925CF" w14:textId="2D6C15A9"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00D64E89" w:rsidRPr="00834D0C">
        <w:rPr>
          <w:rFonts w:cstheme="minorHAnsi"/>
          <w:i/>
          <w:iCs/>
          <w:lang w:val="de-DE"/>
        </w:rPr>
        <w:t>Ibidem.</w:t>
      </w:r>
    </w:p>
  </w:footnote>
  <w:footnote w:id="345">
    <w:p w14:paraId="5A9B1FCB" w14:textId="36C912B9" w:rsidR="002B032D" w:rsidRPr="00834D0C" w:rsidRDefault="002B032D" w:rsidP="00163B41">
      <w:pPr>
        <w:pStyle w:val="FootnoteText"/>
        <w:jc w:val="both"/>
      </w:pPr>
      <w:r w:rsidRPr="00834D0C">
        <w:rPr>
          <w:rStyle w:val="FootnoteReference"/>
        </w:rPr>
        <w:footnoteRef/>
      </w:r>
      <w:r w:rsidRPr="00834D0C">
        <w:t xml:space="preserve"> Act of State Independence of the Republic of Abkhazia, 12 October 1999.</w:t>
      </w:r>
    </w:p>
  </w:footnote>
  <w:footnote w:id="346">
    <w:p w14:paraId="02169EBC" w14:textId="72CD648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Bowring (n 11) </w:t>
      </w:r>
      <w:r w:rsidRPr="00834D0C">
        <w:rPr>
          <w:rFonts w:cstheme="minorHAnsi"/>
        </w:rPr>
        <w:t>17-18.</w:t>
      </w:r>
    </w:p>
  </w:footnote>
  <w:footnote w:id="347">
    <w:p w14:paraId="4CFB994E" w14:textId="576DBC04"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503.</w:t>
      </w:r>
    </w:p>
  </w:footnote>
  <w:footnote w:id="348">
    <w:p w14:paraId="4B747B62" w14:textId="695B1C6F" w:rsidR="002B032D" w:rsidRPr="00834D0C" w:rsidRDefault="002B032D" w:rsidP="00163B41">
      <w:pPr>
        <w:pStyle w:val="FootnoteText"/>
        <w:jc w:val="both"/>
      </w:pPr>
      <w:r w:rsidRPr="00834D0C">
        <w:rPr>
          <w:rStyle w:val="FootnoteReference"/>
        </w:rPr>
        <w:footnoteRef/>
      </w:r>
      <w:r w:rsidRPr="00834D0C">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w:t>
      </w:r>
      <w:r w:rsidR="00643ED5" w:rsidRPr="00834D0C">
        <w:t>para</w:t>
      </w:r>
      <w:r w:rsidRPr="00834D0C">
        <w:t xml:space="preserve"> 17; </w:t>
      </w:r>
      <w:r w:rsidRPr="00834D0C">
        <w:rPr>
          <w:i/>
          <w:iCs/>
        </w:rPr>
        <w:t>Sargsyan</w:t>
      </w:r>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D64E89" w:rsidRPr="00834D0C">
        <w:rPr>
          <w:rFonts w:cstheme="minorHAnsi"/>
        </w:rPr>
        <w:t>221</w:t>
      </w:r>
      <w:r w:rsidRPr="00834D0C">
        <w:rPr>
          <w:rFonts w:cstheme="minorHAnsi"/>
        </w:rPr>
        <w:t>)</w:t>
      </w:r>
      <w:r w:rsidRPr="00834D0C">
        <w:t xml:space="preserve"> </w:t>
      </w:r>
      <w:r w:rsidR="00643ED5" w:rsidRPr="00834D0C">
        <w:t xml:space="preserve">para </w:t>
      </w:r>
      <w:r w:rsidRPr="00834D0C">
        <w:t>19.</w:t>
      </w:r>
    </w:p>
  </w:footnote>
  <w:footnote w:id="349">
    <w:p w14:paraId="72927139" w14:textId="5BDD3B78" w:rsidR="002B032D" w:rsidRPr="00834D0C" w:rsidRDefault="002B032D" w:rsidP="00163B41">
      <w:pPr>
        <w:pStyle w:val="FootnoteText"/>
        <w:jc w:val="both"/>
      </w:pPr>
      <w:r w:rsidRPr="00834D0C">
        <w:rPr>
          <w:rStyle w:val="FootnoteReference"/>
        </w:rPr>
        <w:footnoteRef/>
      </w:r>
      <w:r w:rsidRPr="00834D0C">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w:t>
      </w:r>
      <w:r w:rsidR="00643ED5" w:rsidRPr="00834D0C">
        <w:t xml:space="preserve">para </w:t>
      </w:r>
      <w:r w:rsidRPr="00834D0C">
        <w:t>17;</w:t>
      </w:r>
      <w:r w:rsidR="00D64E89" w:rsidRPr="00834D0C">
        <w:t xml:space="preserve"> </w:t>
      </w:r>
      <w:r w:rsidRPr="00834D0C">
        <w:rPr>
          <w:i/>
          <w:iCs/>
        </w:rPr>
        <w:t>Sargsyan</w:t>
      </w:r>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D64E89" w:rsidRPr="00834D0C">
        <w:rPr>
          <w:rFonts w:cstheme="minorHAnsi"/>
        </w:rPr>
        <w:t>221</w:t>
      </w:r>
      <w:r w:rsidRPr="00834D0C">
        <w:rPr>
          <w:rFonts w:cstheme="minorHAnsi"/>
        </w:rPr>
        <w:t>)</w:t>
      </w:r>
      <w:r w:rsidRPr="00834D0C">
        <w:t xml:space="preserve"> </w:t>
      </w:r>
      <w:r w:rsidR="00643ED5" w:rsidRPr="00834D0C">
        <w:t>para</w:t>
      </w:r>
      <w:r w:rsidRPr="00834D0C">
        <w:t xml:space="preserve"> 19.</w:t>
      </w:r>
    </w:p>
  </w:footnote>
  <w:footnote w:id="350">
    <w:p w14:paraId="45480D1F" w14:textId="422A567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Declaration of the ‘Supreme Soviet’ and ‘Government’ of the Transnistrian Moldavian (</w:t>
      </w:r>
      <w:r w:rsidR="0084605E" w:rsidRPr="00834D0C">
        <w:rPr>
          <w:rFonts w:cstheme="minorHAnsi"/>
        </w:rPr>
        <w:t>n</w:t>
      </w:r>
      <w:r w:rsidRPr="00834D0C">
        <w:rPr>
          <w:rFonts w:cstheme="minorHAnsi"/>
        </w:rPr>
        <w:t xml:space="preserve"> </w:t>
      </w:r>
      <w:r w:rsidR="00564AE7" w:rsidRPr="00834D0C">
        <w:rPr>
          <w:rFonts w:cstheme="minorHAnsi"/>
        </w:rPr>
        <w:t>317</w:t>
      </w:r>
      <w:r w:rsidRPr="00834D0C">
        <w:rPr>
          <w:rFonts w:cstheme="minorHAnsi"/>
        </w:rPr>
        <w:t>).</w:t>
      </w:r>
    </w:p>
  </w:footnote>
  <w:footnote w:id="351">
    <w:p w14:paraId="1A24F111" w14:textId="5D66ED13"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rPr>
          <w:rFonts w:cstheme="minorHAnsi"/>
          <w:iCs/>
        </w:rPr>
        <w:t>Kolstø</w:t>
      </w:r>
      <w:proofErr w:type="spellEnd"/>
      <w:r w:rsidR="002F3085" w:rsidRPr="00834D0C">
        <w:rPr>
          <w:rFonts w:cstheme="minorHAnsi"/>
          <w:iCs/>
        </w:rPr>
        <w:t xml:space="preserve"> (n 261)</w:t>
      </w:r>
      <w:r w:rsidR="002F3085" w:rsidRPr="00834D0C">
        <w:t xml:space="preserve"> </w:t>
      </w:r>
      <w:r w:rsidRPr="00834D0C">
        <w:t>731.</w:t>
      </w:r>
    </w:p>
  </w:footnote>
  <w:footnote w:id="352">
    <w:p w14:paraId="37885254" w14:textId="74E7D3E5" w:rsidR="002B032D" w:rsidRPr="00834D0C" w:rsidRDefault="002B032D" w:rsidP="00163B41">
      <w:pPr>
        <w:pStyle w:val="FootnoteText"/>
        <w:jc w:val="both"/>
      </w:pPr>
      <w:r w:rsidRPr="00834D0C">
        <w:rPr>
          <w:rStyle w:val="FootnoteReference"/>
        </w:rPr>
        <w:footnoteRef/>
      </w:r>
      <w:r w:rsidRPr="00834D0C">
        <w:t xml:space="preserve"> See </w:t>
      </w:r>
      <w:proofErr w:type="spellStart"/>
      <w:r w:rsidR="003A328B" w:rsidRPr="00834D0C">
        <w:t>Coppieters</w:t>
      </w:r>
      <w:proofErr w:type="spellEnd"/>
      <w:r w:rsidR="003A328B" w:rsidRPr="00834D0C">
        <w:t xml:space="preserve"> (n 1).</w:t>
      </w:r>
    </w:p>
  </w:footnote>
  <w:footnote w:id="353">
    <w:p w14:paraId="5FEE2909" w14:textId="1A05DFA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Emmanuel</w:t>
      </w:r>
      <w:r w:rsidRPr="00834D0C">
        <w:rPr>
          <w:rFonts w:cstheme="minorHAnsi"/>
          <w:i/>
          <w:iCs/>
        </w:rPr>
        <w:t xml:space="preserve"> </w:t>
      </w:r>
      <w:proofErr w:type="spellStart"/>
      <w:r w:rsidR="00D74517" w:rsidRPr="00834D0C">
        <w:rPr>
          <w:rFonts w:cstheme="minorHAnsi"/>
        </w:rPr>
        <w:t>Yarw</w:t>
      </w:r>
      <w:proofErr w:type="spellEnd"/>
      <w:r w:rsidR="00D74517" w:rsidRPr="00834D0C">
        <w:rPr>
          <w:rFonts w:cstheme="minorHAnsi"/>
        </w:rPr>
        <w:t xml:space="preserve"> </w:t>
      </w:r>
      <w:proofErr w:type="spellStart"/>
      <w:r w:rsidR="00D74517" w:rsidRPr="00834D0C">
        <w:rPr>
          <w:rFonts w:cstheme="minorHAnsi"/>
        </w:rPr>
        <w:t>Benneh</w:t>
      </w:r>
      <w:proofErr w:type="spellEnd"/>
      <w:r w:rsidR="00D74517" w:rsidRPr="00834D0C">
        <w:rPr>
          <w:rFonts w:cstheme="minorHAnsi"/>
        </w:rPr>
        <w:t xml:space="preserve">, ‘Statehood, Territory, Recognition and International Law: Their Interrelationships’ in </w:t>
      </w:r>
      <w:proofErr w:type="spellStart"/>
      <w:r w:rsidR="00D74517" w:rsidRPr="00834D0C">
        <w:rPr>
          <w:rFonts w:cstheme="minorHAnsi"/>
        </w:rPr>
        <w:t>Quashigah</w:t>
      </w:r>
      <w:proofErr w:type="spellEnd"/>
      <w:r w:rsidR="002F5312">
        <w:rPr>
          <w:rFonts w:cstheme="minorHAnsi"/>
        </w:rPr>
        <w:t xml:space="preserve"> and</w:t>
      </w:r>
      <w:r w:rsidR="002F5312" w:rsidRPr="00834D0C">
        <w:rPr>
          <w:rFonts w:cstheme="minorHAnsi"/>
        </w:rPr>
        <w:t xml:space="preserve"> </w:t>
      </w:r>
      <w:r w:rsidR="00D74517" w:rsidRPr="00834D0C">
        <w:rPr>
          <w:rFonts w:cstheme="minorHAnsi"/>
        </w:rPr>
        <w:t>Okafor (n 227) 375, 398</w:t>
      </w:r>
      <w:r w:rsidRPr="00834D0C">
        <w:rPr>
          <w:rFonts w:cstheme="minorHAnsi"/>
        </w:rPr>
        <w:t xml:space="preserve">. </w:t>
      </w:r>
    </w:p>
  </w:footnote>
  <w:footnote w:id="354">
    <w:p w14:paraId="678CDBC0" w14:textId="30378BE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74517" w:rsidRPr="00834D0C">
        <w:rPr>
          <w:rFonts w:cstheme="minorHAnsi"/>
        </w:rPr>
        <w:t xml:space="preserve">Alex Green, ‘Successful Secession and the Value of International Recognition’ in Lea Raible, Jure Vidmar and Sarah McGibbon (eds), </w:t>
      </w:r>
      <w:r w:rsidR="00D74517" w:rsidRPr="00834D0C">
        <w:rPr>
          <w:rFonts w:cstheme="minorHAnsi"/>
          <w:i/>
          <w:iCs/>
        </w:rPr>
        <w:t xml:space="preserve">Research Handbook on Secession </w:t>
      </w:r>
      <w:r w:rsidR="00D74517" w:rsidRPr="00834D0C">
        <w:rPr>
          <w:rFonts w:cstheme="minorHAnsi"/>
        </w:rPr>
        <w:t xml:space="preserve">(Edward Elgar 2022) </w:t>
      </w:r>
      <w:r w:rsidRPr="00834D0C">
        <w:rPr>
          <w:rFonts w:cstheme="minorHAnsi"/>
        </w:rPr>
        <w:t>75</w:t>
      </w:r>
      <w:r w:rsidR="00D74517" w:rsidRPr="00834D0C">
        <w:rPr>
          <w:rFonts w:cstheme="minorHAnsi"/>
        </w:rPr>
        <w:t xml:space="preserve">, </w:t>
      </w:r>
      <w:r w:rsidRPr="00834D0C">
        <w:rPr>
          <w:rFonts w:cstheme="minorHAnsi"/>
        </w:rPr>
        <w:t>76.</w:t>
      </w:r>
    </w:p>
  </w:footnote>
  <w:footnote w:id="355">
    <w:p w14:paraId="21D730D7" w14:textId="2CCC727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Mendes argues that ‘recognition contributes to the process of state formation’. Mendes (</w:t>
      </w:r>
      <w:r w:rsidR="0084605E" w:rsidRPr="00834D0C">
        <w:rPr>
          <w:rFonts w:cstheme="minorHAnsi"/>
        </w:rPr>
        <w:t>n</w:t>
      </w:r>
      <w:r w:rsidR="009037C8" w:rsidRPr="00834D0C">
        <w:rPr>
          <w:rFonts w:cstheme="minorHAnsi"/>
        </w:rPr>
        <w:t xml:space="preserve"> 16</w:t>
      </w:r>
      <w:r w:rsidRPr="00834D0C">
        <w:rPr>
          <w:rFonts w:cstheme="minorHAnsi"/>
        </w:rPr>
        <w:t>) 34.</w:t>
      </w:r>
    </w:p>
  </w:footnote>
  <w:footnote w:id="356">
    <w:p w14:paraId="577964A5" w14:textId="2CF3A85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530084" w:rsidRPr="00834D0C">
        <w:rPr>
          <w:rFonts w:cstheme="minorHAnsi"/>
          <w:lang w:val="fr-FR"/>
        </w:rPr>
        <w:t>Fikfak</w:t>
      </w:r>
      <w:proofErr w:type="spellEnd"/>
      <w:r w:rsidR="00530084" w:rsidRPr="00834D0C">
        <w:rPr>
          <w:rFonts w:cstheme="minorHAnsi"/>
          <w:lang w:val="fr-FR"/>
        </w:rPr>
        <w:t xml:space="preserve"> (n 49) </w:t>
      </w:r>
      <w:r w:rsidRPr="00834D0C">
        <w:rPr>
          <w:rFonts w:cstheme="minorHAnsi"/>
        </w:rPr>
        <w:t>109.</w:t>
      </w:r>
    </w:p>
  </w:footnote>
  <w:footnote w:id="357">
    <w:p w14:paraId="43DFB548" w14:textId="5283B660" w:rsidR="002B032D" w:rsidRPr="00834D0C" w:rsidRDefault="002B032D" w:rsidP="00163B41">
      <w:pPr>
        <w:pStyle w:val="FootnoteText"/>
        <w:jc w:val="both"/>
      </w:pPr>
      <w:r w:rsidRPr="00834D0C">
        <w:rPr>
          <w:rStyle w:val="FootnoteReference"/>
        </w:rPr>
        <w:footnoteRef/>
      </w:r>
      <w:r w:rsidRPr="00834D0C">
        <w:t xml:space="preserve"> </w:t>
      </w:r>
      <w:r w:rsidRPr="00834D0C">
        <w:rPr>
          <w:iCs/>
        </w:rPr>
        <w:t xml:space="preserve">Costas </w:t>
      </w:r>
      <w:proofErr w:type="spellStart"/>
      <w:r w:rsidRPr="00834D0C">
        <w:rPr>
          <w:iCs/>
        </w:rPr>
        <w:t>Laoutides</w:t>
      </w:r>
      <w:proofErr w:type="spellEnd"/>
      <w:r w:rsidRPr="00834D0C">
        <w:rPr>
          <w:i/>
        </w:rPr>
        <w:t>,</w:t>
      </w:r>
      <w:r w:rsidR="000F1A8F" w:rsidRPr="00834D0C">
        <w:rPr>
          <w:i/>
        </w:rPr>
        <w:t xml:space="preserve"> </w:t>
      </w:r>
      <w:r w:rsidR="003673C3" w:rsidRPr="00834D0C">
        <w:rPr>
          <w:iCs/>
        </w:rPr>
        <w:t>‘</w:t>
      </w:r>
      <w:r w:rsidRPr="00834D0C">
        <w:t>Surviving in a Difficult Context: The Question for Development in Unrecognised States</w:t>
      </w:r>
      <w:r w:rsidR="000F1A8F" w:rsidRPr="00834D0C">
        <w:t>’</w:t>
      </w:r>
      <w:r w:rsidRPr="00834D0C">
        <w:t xml:space="preserve"> in </w:t>
      </w:r>
      <w:r w:rsidR="003673C3" w:rsidRPr="00834D0C">
        <w:t xml:space="preserve">Anthony </w:t>
      </w:r>
      <w:r w:rsidRPr="00834D0C">
        <w:t>Ware (</w:t>
      </w:r>
      <w:r w:rsidR="003673C3" w:rsidRPr="00834D0C">
        <w:t>ed</w:t>
      </w:r>
      <w:r w:rsidRPr="00834D0C">
        <w:t xml:space="preserve">), </w:t>
      </w:r>
      <w:r w:rsidRPr="00834D0C">
        <w:rPr>
          <w:i/>
          <w:iCs/>
        </w:rPr>
        <w:t xml:space="preserve">Development in Difficult </w:t>
      </w:r>
      <w:proofErr w:type="spellStart"/>
      <w:r w:rsidRPr="00834D0C">
        <w:rPr>
          <w:i/>
          <w:iCs/>
        </w:rPr>
        <w:t>Sociopolitical</w:t>
      </w:r>
      <w:proofErr w:type="spellEnd"/>
      <w:r w:rsidRPr="00834D0C">
        <w:rPr>
          <w:i/>
          <w:iCs/>
        </w:rPr>
        <w:t xml:space="preserve"> Contexts</w:t>
      </w:r>
      <w:r w:rsidR="003673C3" w:rsidRPr="00834D0C">
        <w:t xml:space="preserve"> (Springer</w:t>
      </w:r>
      <w:r w:rsidRPr="00834D0C">
        <w:t xml:space="preserve"> 2014</w:t>
      </w:r>
      <w:r w:rsidR="003673C3" w:rsidRPr="00834D0C">
        <w:t>)</w:t>
      </w:r>
      <w:r w:rsidRPr="00834D0C">
        <w:t xml:space="preserve"> </w:t>
      </w:r>
      <w:r w:rsidR="003673C3" w:rsidRPr="00834D0C">
        <w:t>7</w:t>
      </w:r>
      <w:r w:rsidRPr="00834D0C">
        <w:t>1</w:t>
      </w:r>
      <w:r w:rsidR="003673C3" w:rsidRPr="00834D0C">
        <w:t xml:space="preserve">, </w:t>
      </w:r>
      <w:r w:rsidRPr="00834D0C">
        <w:t>73.</w:t>
      </w:r>
    </w:p>
  </w:footnote>
  <w:footnote w:id="358">
    <w:p w14:paraId="67170526" w14:textId="710D3A1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Vaughan Lowe, </w:t>
      </w:r>
      <w:r w:rsidRPr="00834D0C">
        <w:rPr>
          <w:rFonts w:cstheme="minorHAnsi"/>
          <w:i/>
          <w:iCs/>
        </w:rPr>
        <w:t xml:space="preserve">International Law </w:t>
      </w:r>
      <w:r w:rsidRPr="00834D0C">
        <w:rPr>
          <w:rFonts w:cstheme="minorHAnsi"/>
        </w:rPr>
        <w:t>(</w:t>
      </w:r>
      <w:r w:rsidR="003673C3" w:rsidRPr="00834D0C">
        <w:rPr>
          <w:rFonts w:cstheme="minorHAnsi"/>
        </w:rPr>
        <w:t xml:space="preserve">OUP </w:t>
      </w:r>
      <w:r w:rsidRPr="00834D0C">
        <w:rPr>
          <w:rFonts w:cstheme="minorHAnsi"/>
        </w:rPr>
        <w:t>2007) 60.</w:t>
      </w:r>
    </w:p>
  </w:footnote>
  <w:footnote w:id="359">
    <w:p w14:paraId="3ED94498" w14:textId="1E8D5243"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rPr>
          <w:iCs/>
        </w:rPr>
        <w:t>Laoutides</w:t>
      </w:r>
      <w:proofErr w:type="spellEnd"/>
      <w:r w:rsidRPr="00834D0C">
        <w:t xml:space="preserve"> </w:t>
      </w:r>
      <w:r w:rsidRPr="00834D0C">
        <w:rPr>
          <w:rFonts w:cstheme="minorHAnsi"/>
        </w:rPr>
        <w:t>(</w:t>
      </w:r>
      <w:r w:rsidR="0084605E" w:rsidRPr="00834D0C">
        <w:rPr>
          <w:rFonts w:cstheme="minorHAnsi"/>
        </w:rPr>
        <w:t>n</w:t>
      </w:r>
      <w:r w:rsidRPr="00834D0C">
        <w:rPr>
          <w:rFonts w:cstheme="minorHAnsi"/>
        </w:rPr>
        <w:t xml:space="preserve"> </w:t>
      </w:r>
      <w:r w:rsidR="003673C3" w:rsidRPr="00834D0C">
        <w:rPr>
          <w:rFonts w:cstheme="minorHAnsi"/>
        </w:rPr>
        <w:t>356</w:t>
      </w:r>
      <w:r w:rsidRPr="00834D0C">
        <w:rPr>
          <w:rFonts w:cstheme="minorHAnsi"/>
        </w:rPr>
        <w:t xml:space="preserve">) </w:t>
      </w:r>
      <w:r w:rsidRPr="00834D0C">
        <w:t>73.</w:t>
      </w:r>
    </w:p>
  </w:footnote>
  <w:footnote w:id="360">
    <w:p w14:paraId="605CCB4C" w14:textId="27CFA058"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rPr>
          <w:rFonts w:cstheme="minorHAnsi"/>
          <w:iCs/>
        </w:rPr>
        <w:t>Kolstø</w:t>
      </w:r>
      <w:proofErr w:type="spellEnd"/>
      <w:r w:rsidR="002F3085" w:rsidRPr="00834D0C">
        <w:rPr>
          <w:rFonts w:cstheme="minorHAnsi"/>
          <w:iCs/>
        </w:rPr>
        <w:t xml:space="preserve"> (n 261)</w:t>
      </w:r>
      <w:r w:rsidR="002F3085" w:rsidRPr="00834D0C">
        <w:t xml:space="preserve"> </w:t>
      </w:r>
      <w:r w:rsidRPr="00834D0C">
        <w:t>729.</w:t>
      </w:r>
    </w:p>
  </w:footnote>
  <w:footnote w:id="361">
    <w:p w14:paraId="29FD2CEB" w14:textId="7EC546CB"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rPr>
          <w:rFonts w:cstheme="minorHAnsi"/>
          <w:i/>
        </w:rPr>
        <w:t>Kolstø</w:t>
      </w:r>
      <w:proofErr w:type="spellEnd"/>
      <w:r w:rsidRPr="00834D0C">
        <w:rPr>
          <w:rFonts w:cstheme="minorHAnsi"/>
          <w:i/>
        </w:rPr>
        <w:t xml:space="preserve"> </w:t>
      </w:r>
      <w:r w:rsidRPr="00834D0C">
        <w:rPr>
          <w:rFonts w:cstheme="minorHAnsi"/>
        </w:rPr>
        <w:t xml:space="preserve">contends that there are at least five factors ‘that contribute to the viability of unrecognized quasi-states: symbolic nation-building; militarization of the society; the weakness of the parent state; support from an external patron; and lack of involvement on the part of the international community.’ </w:t>
      </w:r>
      <w:r w:rsidR="00FA5670" w:rsidRPr="00834D0C">
        <w:rPr>
          <w:rFonts w:cstheme="minorHAnsi"/>
          <w:i/>
        </w:rPr>
        <w:t>Ibidem</w:t>
      </w:r>
      <w:r w:rsidRPr="00834D0C">
        <w:t>.</w:t>
      </w:r>
    </w:p>
  </w:footnote>
  <w:footnote w:id="362">
    <w:p w14:paraId="792D82A1" w14:textId="46970C3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310E7" w:rsidRPr="00834D0C">
        <w:rPr>
          <w:rFonts w:cstheme="minorHAnsi"/>
        </w:rPr>
        <w:t xml:space="preserve">Caspersen (n 99) </w:t>
      </w:r>
      <w:r w:rsidRPr="00834D0C">
        <w:rPr>
          <w:rFonts w:cstheme="minorHAnsi"/>
        </w:rPr>
        <w:t>54-55.</w:t>
      </w:r>
    </w:p>
  </w:footnote>
  <w:footnote w:id="363">
    <w:p w14:paraId="71B261BF" w14:textId="05EF507B" w:rsidR="002B032D" w:rsidRPr="00834D0C" w:rsidRDefault="002B032D" w:rsidP="00163B41">
      <w:pPr>
        <w:pStyle w:val="FootnoteText"/>
        <w:jc w:val="both"/>
      </w:pPr>
      <w:r w:rsidRPr="00834D0C">
        <w:rPr>
          <w:rStyle w:val="FootnoteReference"/>
        </w:rPr>
        <w:footnoteRef/>
      </w:r>
      <w:r w:rsidRPr="00834D0C">
        <w:t xml:space="preserve"> </w:t>
      </w:r>
      <w:proofErr w:type="spellStart"/>
      <w:r w:rsidR="003673C3" w:rsidRPr="00834D0C">
        <w:rPr>
          <w:iCs/>
        </w:rPr>
        <w:t>Laoutides</w:t>
      </w:r>
      <w:proofErr w:type="spellEnd"/>
      <w:r w:rsidR="003673C3" w:rsidRPr="00834D0C">
        <w:t xml:space="preserve"> </w:t>
      </w:r>
      <w:r w:rsidR="003673C3" w:rsidRPr="00834D0C">
        <w:rPr>
          <w:rFonts w:cstheme="minorHAnsi"/>
        </w:rPr>
        <w:t xml:space="preserve">(n 356) </w:t>
      </w:r>
      <w:r w:rsidRPr="00834D0C">
        <w:t>74.</w:t>
      </w:r>
    </w:p>
  </w:footnote>
  <w:footnote w:id="364">
    <w:p w14:paraId="22BB97AD" w14:textId="432A60B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United Nations Sub Commission on Prevention and Protection of Minorities, </w:t>
      </w:r>
      <w:r w:rsidRPr="00834D0C">
        <w:rPr>
          <w:rFonts w:cstheme="minorHAnsi"/>
          <w:i/>
          <w:iCs/>
        </w:rPr>
        <w:t>The Right to Self-Determination: Implementation of United Nations Resolutions</w:t>
      </w:r>
      <w:r w:rsidRPr="00834D0C">
        <w:rPr>
          <w:rFonts w:cstheme="minorHAnsi"/>
        </w:rPr>
        <w:t>,</w:t>
      </w:r>
      <w:r w:rsidRPr="00834D0C">
        <w:rPr>
          <w:rFonts w:cstheme="minorHAnsi"/>
          <w:i/>
          <w:iCs/>
        </w:rPr>
        <w:t xml:space="preserve"> </w:t>
      </w:r>
      <w:r w:rsidRPr="00834D0C">
        <w:rPr>
          <w:rFonts w:cstheme="minorHAnsi"/>
        </w:rPr>
        <w:t xml:space="preserve">Study Prepared by Hector Gros </w:t>
      </w:r>
      <w:proofErr w:type="spellStart"/>
      <w:r w:rsidRPr="00834D0C">
        <w:rPr>
          <w:rFonts w:cstheme="minorHAnsi"/>
        </w:rPr>
        <w:t>Espiell</w:t>
      </w:r>
      <w:proofErr w:type="spellEnd"/>
      <w:r w:rsidRPr="00834D0C">
        <w:rPr>
          <w:rFonts w:cstheme="minorHAnsi"/>
        </w:rPr>
        <w:t xml:space="preserve">, UN Doc E/CN.4/Sub.2/405/Rev.1, 1980, </w:t>
      </w:r>
      <w:r w:rsidR="00643ED5" w:rsidRPr="00834D0C">
        <w:rPr>
          <w:rFonts w:cstheme="minorHAnsi"/>
        </w:rPr>
        <w:t xml:space="preserve">para </w:t>
      </w:r>
      <w:r w:rsidRPr="00834D0C">
        <w:rPr>
          <w:rFonts w:cstheme="minorHAnsi"/>
        </w:rPr>
        <w:t>108.</w:t>
      </w:r>
    </w:p>
  </w:footnote>
  <w:footnote w:id="365">
    <w:p w14:paraId="31885158" w14:textId="4C7D471C" w:rsidR="002B032D" w:rsidRPr="00834D0C" w:rsidRDefault="002B032D" w:rsidP="00163B41">
      <w:pPr>
        <w:pStyle w:val="FootnoteText"/>
        <w:jc w:val="both"/>
      </w:pPr>
      <w:r w:rsidRPr="00834D0C">
        <w:rPr>
          <w:rStyle w:val="FootnoteReference"/>
        </w:rPr>
        <w:footnoteRef/>
      </w:r>
      <w:r w:rsidRPr="00834D0C">
        <w:t xml:space="preserve"> </w:t>
      </w:r>
      <w:r w:rsidR="003673C3" w:rsidRPr="00834D0C">
        <w:t xml:space="preserve">Roeder </w:t>
      </w:r>
      <w:r w:rsidR="003673C3" w:rsidRPr="00834D0C">
        <w:rPr>
          <w:rFonts w:cstheme="minorHAnsi"/>
        </w:rPr>
        <w:t xml:space="preserve">(n 162) </w:t>
      </w:r>
      <w:r w:rsidRPr="00834D0C">
        <w:rPr>
          <w:rFonts w:cstheme="minorHAnsi"/>
        </w:rPr>
        <w:t>309.</w:t>
      </w:r>
    </w:p>
  </w:footnote>
  <w:footnote w:id="366">
    <w:p w14:paraId="61F9560B" w14:textId="675D0BCF" w:rsidR="002B032D" w:rsidRPr="00834D0C" w:rsidRDefault="002B032D" w:rsidP="00163B41">
      <w:pPr>
        <w:pStyle w:val="FootnoteText"/>
        <w:jc w:val="both"/>
        <w:rPr>
          <w:rFonts w:cstheme="minorHAnsi"/>
          <w:i/>
          <w:iCs/>
        </w:rPr>
      </w:pPr>
      <w:r w:rsidRPr="00834D0C">
        <w:rPr>
          <w:rStyle w:val="FootnoteReference"/>
          <w:rFonts w:cstheme="minorHAnsi"/>
        </w:rPr>
        <w:footnoteRef/>
      </w:r>
      <w:r w:rsidRPr="00834D0C">
        <w:rPr>
          <w:rFonts w:cstheme="minorHAnsi"/>
        </w:rPr>
        <w:t xml:space="preserve"> </w:t>
      </w:r>
      <w:r w:rsidR="00F10A43" w:rsidRPr="00834D0C">
        <w:rPr>
          <w:rFonts w:cstheme="minorHAnsi"/>
        </w:rPr>
        <w:t xml:space="preserve">David </w:t>
      </w:r>
      <w:proofErr w:type="spellStart"/>
      <w:r w:rsidR="00F10A43" w:rsidRPr="00834D0C">
        <w:rPr>
          <w:rFonts w:cstheme="minorHAnsi"/>
        </w:rPr>
        <w:t>Dachiashvilli</w:t>
      </w:r>
      <w:proofErr w:type="spellEnd"/>
      <w:r w:rsidR="00F10A43" w:rsidRPr="00834D0C">
        <w:rPr>
          <w:rFonts w:cstheme="minorHAnsi"/>
        </w:rPr>
        <w:t xml:space="preserve">, ‘Georgian Security Problems and Policies’ in Pavel </w:t>
      </w:r>
      <w:proofErr w:type="spellStart"/>
      <w:r w:rsidR="00F10A43" w:rsidRPr="00834D0C">
        <w:rPr>
          <w:rFonts w:cstheme="minorHAnsi"/>
        </w:rPr>
        <w:t>Baev</w:t>
      </w:r>
      <w:proofErr w:type="spellEnd"/>
      <w:r w:rsidR="002F5312">
        <w:rPr>
          <w:rFonts w:cstheme="minorHAnsi"/>
        </w:rPr>
        <w:t xml:space="preserve"> </w:t>
      </w:r>
      <w:r w:rsidR="002F5312">
        <w:rPr>
          <w:rFonts w:cstheme="minorHAnsi"/>
          <w:i/>
          <w:iCs/>
        </w:rPr>
        <w:t>et al</w:t>
      </w:r>
      <w:r w:rsidR="00F10A43" w:rsidRPr="00834D0C">
        <w:rPr>
          <w:rFonts w:cstheme="minorHAnsi"/>
        </w:rPr>
        <w:t xml:space="preserve">, </w:t>
      </w:r>
      <w:r w:rsidR="00F10A43" w:rsidRPr="00834D0C">
        <w:rPr>
          <w:rFonts w:cstheme="minorHAnsi"/>
          <w:i/>
          <w:iCs/>
        </w:rPr>
        <w:t xml:space="preserve">The South Caucasus: A Challenge for the EU </w:t>
      </w:r>
      <w:r w:rsidR="00F10A43" w:rsidRPr="00834D0C">
        <w:rPr>
          <w:rFonts w:cstheme="minorHAnsi"/>
        </w:rPr>
        <w:t>(European Union Institute for Security Studies 2003) 107, 115</w:t>
      </w:r>
      <w:r w:rsidRPr="00834D0C">
        <w:rPr>
          <w:rFonts w:cstheme="minorHAnsi"/>
        </w:rPr>
        <w:t xml:space="preserve">. See also </w:t>
      </w:r>
      <w:r w:rsidR="00FA029C" w:rsidRPr="00834D0C">
        <w:t xml:space="preserve">German </w:t>
      </w:r>
      <w:r w:rsidR="00FA029C" w:rsidRPr="00834D0C">
        <w:rPr>
          <w:rFonts w:cstheme="minorHAnsi"/>
        </w:rPr>
        <w:t xml:space="preserve">(n 44) </w:t>
      </w:r>
      <w:r w:rsidRPr="00834D0C">
        <w:t>157.</w:t>
      </w:r>
    </w:p>
  </w:footnote>
  <w:footnote w:id="367">
    <w:p w14:paraId="3566D211" w14:textId="7C12B16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20A17" w:rsidRPr="00834D0C">
        <w:rPr>
          <w:rFonts w:cstheme="minorHAnsi"/>
        </w:rPr>
        <w:t xml:space="preserve">Wilson (n 199) </w:t>
      </w:r>
      <w:r w:rsidRPr="00834D0C">
        <w:rPr>
          <w:rFonts w:cstheme="minorHAnsi"/>
        </w:rPr>
        <w:t>155.</w:t>
      </w:r>
    </w:p>
  </w:footnote>
  <w:footnote w:id="368">
    <w:p w14:paraId="4495A97F" w14:textId="03FF7223"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7D346D" w:rsidRPr="00834D0C">
        <w:rPr>
          <w:rFonts w:cstheme="minorHAnsi"/>
        </w:rPr>
        <w:t>Mälksoo</w:t>
      </w:r>
      <w:proofErr w:type="spellEnd"/>
      <w:r w:rsidR="007D346D" w:rsidRPr="00834D0C">
        <w:rPr>
          <w:rFonts w:cstheme="minorHAnsi"/>
        </w:rPr>
        <w:t xml:space="preserve"> (n 118) </w:t>
      </w:r>
      <w:r w:rsidRPr="00834D0C">
        <w:rPr>
          <w:rFonts w:cstheme="minorHAnsi"/>
        </w:rPr>
        <w:t xml:space="preserve">816; </w:t>
      </w:r>
      <w:r w:rsidRPr="00834D0C">
        <w:rPr>
          <w:rFonts w:cstheme="minorHAnsi"/>
          <w:i/>
          <w:iCs/>
        </w:rPr>
        <w:t xml:space="preserve">De Waal </w:t>
      </w:r>
      <w:r w:rsidRPr="00834D0C">
        <w:rPr>
          <w:rFonts w:cstheme="minorHAnsi"/>
        </w:rPr>
        <w:t xml:space="preserve">explains well how Russia has used South Ossetia and Abkhazia to counter moves and pronouncements made by the EU and the USA on Georgia. </w:t>
      </w:r>
      <w:r w:rsidR="00FA029C" w:rsidRPr="00834D0C">
        <w:t xml:space="preserve">De Waal </w:t>
      </w:r>
      <w:r w:rsidR="00FA029C" w:rsidRPr="00834D0C">
        <w:rPr>
          <w:rFonts w:cstheme="minorHAnsi"/>
        </w:rPr>
        <w:t xml:space="preserve">(n 256) </w:t>
      </w:r>
      <w:r w:rsidRPr="00834D0C">
        <w:t>6.</w:t>
      </w:r>
    </w:p>
  </w:footnote>
  <w:footnote w:id="369">
    <w:p w14:paraId="3C944660" w14:textId="46A9144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7D346D" w:rsidRPr="00834D0C">
        <w:rPr>
          <w:rFonts w:cstheme="minorHAnsi"/>
        </w:rPr>
        <w:t>Mälksoo</w:t>
      </w:r>
      <w:proofErr w:type="spellEnd"/>
      <w:r w:rsidR="007D346D" w:rsidRPr="00834D0C">
        <w:rPr>
          <w:rFonts w:cstheme="minorHAnsi"/>
        </w:rPr>
        <w:t xml:space="preserve"> (n 118) </w:t>
      </w:r>
      <w:r w:rsidRPr="00834D0C">
        <w:rPr>
          <w:rFonts w:cstheme="minorHAnsi"/>
        </w:rPr>
        <w:t>816</w:t>
      </w:r>
    </w:p>
  </w:footnote>
  <w:footnote w:id="370">
    <w:p w14:paraId="1F5CB787" w14:textId="23C8AAD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i/>
          <w:iCs/>
        </w:rPr>
        <w:t>Ilaşcu</w:t>
      </w:r>
      <w:proofErr w:type="spellEnd"/>
      <w:r w:rsidRPr="00834D0C">
        <w:rPr>
          <w:rFonts w:cstheme="minorHAnsi"/>
          <w:i/>
          <w:iCs/>
        </w:rPr>
        <w:t xml:space="preserve"> </w:t>
      </w:r>
      <w:r w:rsidRPr="00834D0C">
        <w:rPr>
          <w:rFonts w:cstheme="minorHAnsi"/>
        </w:rPr>
        <w:t>(</w:t>
      </w:r>
      <w:r w:rsidR="0084605E" w:rsidRPr="00834D0C">
        <w:rPr>
          <w:rFonts w:cstheme="minorHAnsi"/>
        </w:rPr>
        <w:t>n</w:t>
      </w:r>
      <w:r w:rsidRPr="00834D0C">
        <w:rPr>
          <w:rFonts w:cstheme="minorHAnsi"/>
        </w:rPr>
        <w:t xml:space="preserve"> </w:t>
      </w:r>
      <w:r w:rsidR="00643ED5" w:rsidRPr="00834D0C">
        <w:rPr>
          <w:rFonts w:cstheme="minorHAnsi"/>
        </w:rPr>
        <w:t>157</w:t>
      </w:r>
      <w:r w:rsidRPr="00834D0C">
        <w:rPr>
          <w:rFonts w:cstheme="minorHAnsi"/>
        </w:rPr>
        <w:t xml:space="preserve">) </w:t>
      </w:r>
      <w:r w:rsidR="00643ED5" w:rsidRPr="00834D0C">
        <w:rPr>
          <w:rFonts w:cstheme="minorHAnsi"/>
        </w:rPr>
        <w:t>para</w:t>
      </w:r>
      <w:r w:rsidRPr="00834D0C">
        <w:rPr>
          <w:rFonts w:cstheme="minorHAnsi"/>
        </w:rPr>
        <w:t xml:space="preserve"> 392; Similar phrasing can be found in </w:t>
      </w:r>
      <w:proofErr w:type="spellStart"/>
      <w:r w:rsidRPr="00834D0C">
        <w:rPr>
          <w:rFonts w:cstheme="minorHAnsi"/>
          <w:i/>
          <w:iCs/>
        </w:rPr>
        <w:t>Mozer</w:t>
      </w:r>
      <w:proofErr w:type="spellEnd"/>
      <w:r w:rsidRPr="00834D0C">
        <w:rPr>
          <w:rFonts w:cstheme="minorHAnsi"/>
          <w:i/>
          <w:iCs/>
        </w:rPr>
        <w:t xml:space="preserve"> </w:t>
      </w:r>
      <w:r w:rsidRPr="00834D0C">
        <w:rPr>
          <w:rFonts w:cstheme="minorHAnsi"/>
        </w:rPr>
        <w:t>(</w:t>
      </w:r>
      <w:r w:rsidR="0084605E" w:rsidRPr="00834D0C">
        <w:rPr>
          <w:rFonts w:cstheme="minorHAnsi"/>
        </w:rPr>
        <w:t>n</w:t>
      </w:r>
      <w:r w:rsidRPr="00834D0C">
        <w:rPr>
          <w:rFonts w:cstheme="minorHAnsi"/>
        </w:rPr>
        <w:t xml:space="preserve"> </w:t>
      </w:r>
      <w:r w:rsidR="00643ED5" w:rsidRPr="00834D0C">
        <w:rPr>
          <w:rFonts w:cstheme="minorHAnsi"/>
        </w:rPr>
        <w:t>77</w:t>
      </w:r>
      <w:r w:rsidRPr="00834D0C">
        <w:rPr>
          <w:rFonts w:cstheme="minorHAnsi"/>
        </w:rPr>
        <w:t xml:space="preserve">) </w:t>
      </w:r>
      <w:r w:rsidR="00643ED5" w:rsidRPr="00834D0C">
        <w:rPr>
          <w:rFonts w:cstheme="minorHAnsi"/>
        </w:rPr>
        <w:t>para</w:t>
      </w:r>
      <w:r w:rsidRPr="00834D0C">
        <w:rPr>
          <w:rFonts w:cstheme="minorHAnsi"/>
        </w:rPr>
        <w:t xml:space="preserve"> 110.</w:t>
      </w:r>
    </w:p>
  </w:footnote>
  <w:footnote w:id="371">
    <w:p w14:paraId="51E77B93" w14:textId="29B1300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Welt (</w:t>
      </w:r>
      <w:r w:rsidR="0084605E" w:rsidRPr="00834D0C">
        <w:rPr>
          <w:rFonts w:cstheme="minorHAnsi"/>
        </w:rPr>
        <w:t>n</w:t>
      </w:r>
      <w:r w:rsidRPr="00834D0C">
        <w:rPr>
          <w:rFonts w:cstheme="minorHAnsi"/>
        </w:rPr>
        <w:t xml:space="preserve"> </w:t>
      </w:r>
      <w:r w:rsidR="00CA6147" w:rsidRPr="00834D0C">
        <w:rPr>
          <w:rFonts w:cstheme="minorHAnsi"/>
        </w:rPr>
        <w:t>153</w:t>
      </w:r>
      <w:r w:rsidRPr="00834D0C">
        <w:rPr>
          <w:rFonts w:cstheme="minorHAnsi"/>
        </w:rPr>
        <w:t>) 14.</w:t>
      </w:r>
    </w:p>
  </w:footnote>
  <w:footnote w:id="372">
    <w:p w14:paraId="387C8FF1" w14:textId="465E879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F10A43" w:rsidRPr="00834D0C">
        <w:rPr>
          <w:rFonts w:cstheme="minorHAnsi"/>
        </w:rPr>
        <w:t>Ioannis</w:t>
      </w:r>
      <w:proofErr w:type="spellEnd"/>
      <w:r w:rsidR="00F10A43" w:rsidRPr="00834D0C">
        <w:rPr>
          <w:rFonts w:cstheme="minorHAnsi"/>
        </w:rPr>
        <w:t xml:space="preserve"> E </w:t>
      </w:r>
      <w:proofErr w:type="spellStart"/>
      <w:r w:rsidR="00F10A43" w:rsidRPr="00834D0C">
        <w:rPr>
          <w:rFonts w:cstheme="minorHAnsi"/>
        </w:rPr>
        <w:t>Kotoulas</w:t>
      </w:r>
      <w:proofErr w:type="spellEnd"/>
      <w:r w:rsidR="00F10A43" w:rsidRPr="00834D0C">
        <w:rPr>
          <w:rFonts w:cstheme="minorHAnsi"/>
        </w:rPr>
        <w:t xml:space="preserve">, ‘Russia as a Revisionist State and the 2022 Invasion of Ukraine’ in Collective Scientific Monograph, </w:t>
      </w:r>
      <w:r w:rsidR="00F10A43" w:rsidRPr="00834D0C">
        <w:rPr>
          <w:rFonts w:cstheme="minorHAnsi"/>
          <w:i/>
          <w:iCs/>
        </w:rPr>
        <w:t xml:space="preserve">The Russian-Ukrainian War (2014-2022): Historical, Political, Cultural-Educational, Religious, Economic and Legal Aspects </w:t>
      </w:r>
      <w:r w:rsidR="00F10A43" w:rsidRPr="00834D0C">
        <w:rPr>
          <w:rFonts w:cstheme="minorHAnsi"/>
        </w:rPr>
        <w:t>(</w:t>
      </w:r>
      <w:proofErr w:type="spellStart"/>
      <w:r w:rsidR="00F10A43" w:rsidRPr="00834D0C">
        <w:rPr>
          <w:rFonts w:cstheme="minorHAnsi"/>
        </w:rPr>
        <w:t>Baltija</w:t>
      </w:r>
      <w:proofErr w:type="spellEnd"/>
      <w:r w:rsidR="00F10A43" w:rsidRPr="00834D0C">
        <w:rPr>
          <w:rFonts w:cstheme="minorHAnsi"/>
        </w:rPr>
        <w:t xml:space="preserve"> 2022) 551, </w:t>
      </w:r>
      <w:r w:rsidRPr="00834D0C">
        <w:rPr>
          <w:rFonts w:cstheme="minorHAnsi"/>
        </w:rPr>
        <w:t xml:space="preserve">552; See also Parliamentary Assembly of the Council of Europe, </w:t>
      </w:r>
      <w:r w:rsidRPr="00834D0C">
        <w:rPr>
          <w:rFonts w:cstheme="minorHAnsi"/>
          <w:i/>
          <w:iCs/>
        </w:rPr>
        <w:t>Challenge, on Substantive Grounds, of the Still Unratified Credentials of the Delegation of the Russian Federation</w:t>
      </w:r>
      <w:r w:rsidRPr="00834D0C">
        <w:rPr>
          <w:rFonts w:cstheme="minorHAnsi"/>
        </w:rPr>
        <w:t>,</w:t>
      </w:r>
      <w:r w:rsidRPr="00834D0C">
        <w:rPr>
          <w:rFonts w:cstheme="minorHAnsi"/>
          <w:i/>
          <w:iCs/>
        </w:rPr>
        <w:t xml:space="preserve"> </w:t>
      </w:r>
      <w:r w:rsidRPr="00834D0C">
        <w:rPr>
          <w:rFonts w:cstheme="minorHAnsi"/>
        </w:rPr>
        <w:t xml:space="preserve">Resolution 2034 (2015), 28 January 2015, </w:t>
      </w:r>
      <w:r w:rsidR="00643ED5" w:rsidRPr="00834D0C">
        <w:rPr>
          <w:rFonts w:cstheme="minorHAnsi"/>
        </w:rPr>
        <w:t>para</w:t>
      </w:r>
      <w:r w:rsidRPr="00834D0C">
        <w:rPr>
          <w:rFonts w:cstheme="minorHAnsi"/>
        </w:rPr>
        <w:t xml:space="preserve"> 12.1.</w:t>
      </w:r>
    </w:p>
  </w:footnote>
  <w:footnote w:id="373">
    <w:p w14:paraId="746CED66" w14:textId="15729F1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Kotoulas</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F10A43" w:rsidRPr="00834D0C">
        <w:rPr>
          <w:rFonts w:cstheme="minorHAnsi"/>
        </w:rPr>
        <w:t>371</w:t>
      </w:r>
      <w:r w:rsidRPr="00834D0C">
        <w:rPr>
          <w:rFonts w:cstheme="minorHAnsi"/>
        </w:rPr>
        <w:t>) 552.</w:t>
      </w:r>
    </w:p>
  </w:footnote>
  <w:footnote w:id="374">
    <w:p w14:paraId="62F99661" w14:textId="2EAA7F0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F10A43" w:rsidRPr="00834D0C">
        <w:rPr>
          <w:rFonts w:cstheme="minorHAnsi"/>
          <w:i/>
          <w:iCs/>
        </w:rPr>
        <w:t>Ibidem.</w:t>
      </w:r>
    </w:p>
  </w:footnote>
  <w:footnote w:id="375">
    <w:p w14:paraId="16D784E9" w14:textId="4E19D840" w:rsidR="002B032D" w:rsidRPr="00834D0C" w:rsidRDefault="002B032D" w:rsidP="00163B41">
      <w:pPr>
        <w:pStyle w:val="FootnoteText"/>
        <w:jc w:val="both"/>
      </w:pPr>
      <w:r w:rsidRPr="00834D0C">
        <w:rPr>
          <w:rStyle w:val="FootnoteReference"/>
        </w:rPr>
        <w:footnoteRef/>
      </w:r>
      <w:r w:rsidRPr="00834D0C">
        <w:t xml:space="preserve"> See report mentioned in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w:t>
      </w:r>
      <w:r w:rsidR="00643ED5" w:rsidRPr="00834D0C">
        <w:t>para</w:t>
      </w:r>
      <w:r w:rsidRPr="00834D0C">
        <w:t xml:space="preserve"> 63.</w:t>
      </w:r>
    </w:p>
  </w:footnote>
  <w:footnote w:id="376">
    <w:p w14:paraId="758041DE" w14:textId="704CF495" w:rsidR="002B032D" w:rsidRPr="00834D0C" w:rsidRDefault="002B032D" w:rsidP="00163B41">
      <w:pPr>
        <w:pStyle w:val="FootnoteText"/>
        <w:jc w:val="both"/>
      </w:pPr>
      <w:r w:rsidRPr="00834D0C">
        <w:rPr>
          <w:rStyle w:val="FootnoteReference"/>
        </w:rPr>
        <w:footnoteRef/>
      </w:r>
      <w:r w:rsidRPr="00834D0C">
        <w:t xml:space="preserve"> </w:t>
      </w:r>
      <w:r w:rsidR="003673C3" w:rsidRPr="00834D0C">
        <w:t xml:space="preserve">Roeder </w:t>
      </w:r>
      <w:r w:rsidR="003673C3" w:rsidRPr="00834D0C">
        <w:rPr>
          <w:rFonts w:cstheme="minorHAnsi"/>
        </w:rPr>
        <w:t>(n 162)</w:t>
      </w:r>
      <w:r w:rsidRPr="00834D0C">
        <w:rPr>
          <w:rFonts w:cstheme="minorHAnsi"/>
        </w:rPr>
        <w:t xml:space="preserve"> 313.</w:t>
      </w:r>
    </w:p>
  </w:footnote>
  <w:footnote w:id="377">
    <w:p w14:paraId="095009E9" w14:textId="470CBA2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564AE7" w:rsidRPr="00834D0C">
        <w:rPr>
          <w:rFonts w:cstheme="minorHAnsi"/>
        </w:rPr>
        <w:t>UNGA</w:t>
      </w:r>
      <w:r w:rsidRPr="00834D0C">
        <w:rPr>
          <w:rFonts w:cstheme="minorHAnsi"/>
        </w:rPr>
        <w:t xml:space="preserve">, </w:t>
      </w:r>
      <w:r w:rsidRPr="00834D0C">
        <w:rPr>
          <w:rFonts w:cstheme="minorHAnsi"/>
          <w:i/>
          <w:iCs/>
        </w:rPr>
        <w:t>Resolution 62/243. The Situation in the Occupied Territories of Azerbaijan</w:t>
      </w:r>
      <w:r w:rsidRPr="00834D0C">
        <w:rPr>
          <w:rFonts w:cstheme="minorHAnsi"/>
        </w:rPr>
        <w:t xml:space="preserve">, UN Doc A/RES/6/243, 14 March 2008, </w:t>
      </w:r>
      <w:r w:rsidR="00643ED5" w:rsidRPr="00834D0C">
        <w:rPr>
          <w:rFonts w:cstheme="minorHAnsi"/>
        </w:rPr>
        <w:t xml:space="preserve">para </w:t>
      </w:r>
      <w:r w:rsidRPr="00834D0C">
        <w:rPr>
          <w:rFonts w:cstheme="minorHAnsi"/>
        </w:rPr>
        <w:t>2.</w:t>
      </w:r>
    </w:p>
  </w:footnote>
  <w:footnote w:id="378">
    <w:p w14:paraId="5F2F0B56" w14:textId="4EBB574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Style w:val="sb8d990e2"/>
          <w:rFonts w:cstheme="minorHAnsi"/>
          <w:shd w:val="clear" w:color="auto" w:fill="FFFFFF"/>
        </w:rPr>
        <w:t xml:space="preserve">PACE Resolution 1416 </w:t>
      </w:r>
      <w:r w:rsidRPr="00834D0C">
        <w:rPr>
          <w:rFonts w:cstheme="minorHAnsi"/>
        </w:rPr>
        <w:t>(</w:t>
      </w:r>
      <w:r w:rsidR="0084605E" w:rsidRPr="00834D0C">
        <w:rPr>
          <w:rFonts w:cstheme="minorHAnsi"/>
        </w:rPr>
        <w:t>n</w:t>
      </w:r>
      <w:r w:rsidRPr="00834D0C">
        <w:rPr>
          <w:rFonts w:cstheme="minorHAnsi"/>
        </w:rPr>
        <w:t xml:space="preserve"> </w:t>
      </w:r>
      <w:r w:rsidR="00453543" w:rsidRPr="00834D0C">
        <w:rPr>
          <w:rFonts w:cstheme="minorHAnsi"/>
        </w:rPr>
        <w:t>151</w:t>
      </w:r>
      <w:r w:rsidRPr="00834D0C">
        <w:rPr>
          <w:rFonts w:cstheme="minorHAnsi"/>
        </w:rPr>
        <w:t>)</w:t>
      </w:r>
      <w:r w:rsidRPr="00834D0C">
        <w:rPr>
          <w:rStyle w:val="sb8d990e2"/>
          <w:rFonts w:cstheme="minorHAnsi"/>
          <w:shd w:val="clear" w:color="auto" w:fill="FFFFFF"/>
        </w:rPr>
        <w:t xml:space="preserve"> </w:t>
      </w:r>
      <w:r w:rsidR="00643ED5" w:rsidRPr="00834D0C">
        <w:rPr>
          <w:rStyle w:val="sb8d990e2"/>
          <w:rFonts w:cstheme="minorHAnsi"/>
          <w:shd w:val="clear" w:color="auto" w:fill="FFFFFF"/>
        </w:rPr>
        <w:t xml:space="preserve">para </w:t>
      </w:r>
      <w:r w:rsidRPr="00834D0C">
        <w:rPr>
          <w:rStyle w:val="sb8d990e2"/>
          <w:rFonts w:cstheme="minorHAnsi"/>
          <w:shd w:val="clear" w:color="auto" w:fill="FFFFFF"/>
        </w:rPr>
        <w:t>2.</w:t>
      </w:r>
    </w:p>
  </w:footnote>
  <w:footnote w:id="379">
    <w:p w14:paraId="47AAA770" w14:textId="5992E6D5" w:rsidR="002B032D" w:rsidRPr="00834D0C" w:rsidRDefault="002B032D" w:rsidP="00163B41">
      <w:pPr>
        <w:pStyle w:val="FootnoteText"/>
        <w:jc w:val="both"/>
      </w:pPr>
      <w:r w:rsidRPr="00834D0C">
        <w:rPr>
          <w:rStyle w:val="FootnoteReference"/>
        </w:rPr>
        <w:footnoteRef/>
      </w:r>
      <w:r w:rsidRPr="00834D0C">
        <w:t xml:space="preserve"> Cited in No Author</w:t>
      </w:r>
      <w:r w:rsidRPr="00834D0C">
        <w:rPr>
          <w:i/>
          <w:iCs/>
        </w:rPr>
        <w:t xml:space="preserve">, </w:t>
      </w:r>
      <w:r w:rsidR="000F1A8F" w:rsidRPr="00834D0C">
        <w:t>‘</w:t>
      </w:r>
      <w:r w:rsidRPr="00834D0C">
        <w:t>Georgia’s South Ossetia Plans to Take Steps to Join Russia</w:t>
      </w:r>
      <w:r w:rsidR="000F1A8F" w:rsidRPr="00834D0C">
        <w:t>’</w:t>
      </w:r>
      <w:r w:rsidRPr="00834D0C">
        <w:t xml:space="preserve"> </w:t>
      </w:r>
      <w:r w:rsidRPr="00834D0C">
        <w:rPr>
          <w:i/>
          <w:iCs/>
        </w:rPr>
        <w:t>Al Jazeera</w:t>
      </w:r>
      <w:r w:rsidRPr="00834D0C">
        <w:t>, 31 March 2022.</w:t>
      </w:r>
    </w:p>
  </w:footnote>
  <w:footnote w:id="380">
    <w:p w14:paraId="33E7E592" w14:textId="3D7F4EB6" w:rsidR="002B032D" w:rsidRPr="00834D0C" w:rsidRDefault="002B032D" w:rsidP="00163B41">
      <w:pPr>
        <w:pStyle w:val="FootnoteText"/>
        <w:jc w:val="both"/>
      </w:pPr>
      <w:r w:rsidRPr="00834D0C">
        <w:rPr>
          <w:rStyle w:val="FootnoteReference"/>
        </w:rPr>
        <w:footnoteRef/>
      </w:r>
      <w:r w:rsidRPr="00834D0C">
        <w:t xml:space="preserve"> No Author, </w:t>
      </w:r>
      <w:r w:rsidR="000F1A8F" w:rsidRPr="00834D0C">
        <w:t>‘</w:t>
      </w:r>
      <w:r w:rsidRPr="00834D0C">
        <w:t>Georgia’s South Ossetia Cancels Referendum on Joining Russia</w:t>
      </w:r>
      <w:r w:rsidR="000F1A8F" w:rsidRPr="00834D0C">
        <w:t>’</w:t>
      </w:r>
      <w:r w:rsidRPr="00834D0C">
        <w:t xml:space="preserve"> </w:t>
      </w:r>
      <w:r w:rsidRPr="00834D0C">
        <w:rPr>
          <w:i/>
          <w:iCs/>
        </w:rPr>
        <w:t>Al Jazeera</w:t>
      </w:r>
      <w:r w:rsidRPr="00834D0C">
        <w:t>, 31 May 2022.</w:t>
      </w:r>
    </w:p>
  </w:footnote>
  <w:footnote w:id="381">
    <w:p w14:paraId="78B48632" w14:textId="3CC89886" w:rsidR="002B032D" w:rsidRPr="00834D0C" w:rsidRDefault="002B032D" w:rsidP="00163B41">
      <w:pPr>
        <w:pStyle w:val="FootnoteText"/>
        <w:jc w:val="both"/>
        <w:rPr>
          <w:rFonts w:cstheme="minorHAnsi"/>
          <w:i/>
          <w:lang w:val="fr-FR"/>
        </w:rPr>
      </w:pPr>
      <w:r w:rsidRPr="00834D0C">
        <w:rPr>
          <w:rStyle w:val="FootnoteReference"/>
          <w:rFonts w:cstheme="minorHAnsi"/>
        </w:rPr>
        <w:footnoteRef/>
      </w:r>
      <w:r w:rsidRPr="00834D0C">
        <w:rPr>
          <w:rFonts w:cstheme="minorHAnsi"/>
          <w:lang w:val="fr-FR"/>
        </w:rPr>
        <w:t xml:space="preserve"> </w:t>
      </w:r>
      <w:proofErr w:type="spellStart"/>
      <w:r w:rsidRPr="00834D0C">
        <w:rPr>
          <w:rFonts w:cstheme="minorHAnsi"/>
          <w:lang w:val="fr-FR"/>
        </w:rPr>
        <w:t>See</w:t>
      </w:r>
      <w:proofErr w:type="spellEnd"/>
      <w:r w:rsidRPr="00834D0C">
        <w:rPr>
          <w:rFonts w:cstheme="minorHAnsi"/>
          <w:lang w:val="fr-FR"/>
        </w:rPr>
        <w:t xml:space="preserve"> </w:t>
      </w:r>
      <w:proofErr w:type="spellStart"/>
      <w:r w:rsidRPr="00834D0C">
        <w:rPr>
          <w:rFonts w:cstheme="minorHAnsi"/>
          <w:lang w:val="fr-FR"/>
        </w:rPr>
        <w:t>also</w:t>
      </w:r>
      <w:proofErr w:type="spellEnd"/>
      <w:r w:rsidRPr="00834D0C">
        <w:rPr>
          <w:rFonts w:cstheme="minorHAnsi"/>
          <w:lang w:val="fr-FR"/>
        </w:rPr>
        <w:t xml:space="preserve"> </w:t>
      </w:r>
      <w:r w:rsidR="00F10A43" w:rsidRPr="00834D0C">
        <w:rPr>
          <w:rFonts w:cstheme="minorHAnsi"/>
          <w:lang w:val="fr-FR"/>
        </w:rPr>
        <w:t xml:space="preserve">Brigitte Stern ‘La succession d’Etats’ (1996) 262 </w:t>
      </w:r>
      <w:r w:rsidRPr="00834D0C">
        <w:rPr>
          <w:rFonts w:cstheme="minorHAnsi"/>
          <w:i/>
          <w:iCs/>
          <w:lang w:val="fr-FR"/>
        </w:rPr>
        <w:t>RCADI</w:t>
      </w:r>
      <w:r w:rsidRPr="00834D0C">
        <w:rPr>
          <w:rFonts w:cstheme="minorHAnsi"/>
          <w:lang w:val="fr-FR"/>
        </w:rPr>
        <w:t xml:space="preserve"> 9</w:t>
      </w:r>
      <w:r w:rsidR="00F10A43" w:rsidRPr="00834D0C">
        <w:rPr>
          <w:rFonts w:cstheme="minorHAnsi"/>
          <w:lang w:val="fr-FR"/>
        </w:rPr>
        <w:t xml:space="preserve">, </w:t>
      </w:r>
      <w:r w:rsidRPr="00834D0C">
        <w:rPr>
          <w:rFonts w:cstheme="minorHAnsi"/>
          <w:lang w:val="fr-FR"/>
        </w:rPr>
        <w:t xml:space="preserve">68; </w:t>
      </w:r>
      <w:r w:rsidR="00F10A43" w:rsidRPr="00834D0C">
        <w:rPr>
          <w:rFonts w:cstheme="minorHAnsi"/>
          <w:lang w:val="fr-FR"/>
        </w:rPr>
        <w:t xml:space="preserve">Joe Verhoeven, ‘La reconnaissance internationale: </w:t>
      </w:r>
      <w:r w:rsidR="00A958A6" w:rsidRPr="00834D0C">
        <w:rPr>
          <w:rFonts w:cstheme="minorHAnsi"/>
          <w:lang w:val="fr-FR"/>
        </w:rPr>
        <w:t>déclin</w:t>
      </w:r>
      <w:r w:rsidR="00F10A43" w:rsidRPr="00834D0C">
        <w:rPr>
          <w:rFonts w:cstheme="minorHAnsi"/>
          <w:lang w:val="fr-FR"/>
        </w:rPr>
        <w:t xml:space="preserve"> ou renouveau’ (1993) 39 </w:t>
      </w:r>
      <w:r w:rsidRPr="00834D0C">
        <w:rPr>
          <w:rFonts w:cstheme="minorHAnsi"/>
          <w:i/>
          <w:iCs/>
          <w:lang w:val="fr-FR"/>
        </w:rPr>
        <w:t>AFDI</w:t>
      </w:r>
      <w:r w:rsidRPr="00834D0C">
        <w:rPr>
          <w:rFonts w:cstheme="minorHAnsi"/>
          <w:lang w:val="fr-FR"/>
        </w:rPr>
        <w:t xml:space="preserve"> 7</w:t>
      </w:r>
      <w:r w:rsidR="00F10A43" w:rsidRPr="00834D0C">
        <w:rPr>
          <w:rFonts w:cstheme="minorHAnsi"/>
          <w:lang w:val="fr-FR"/>
        </w:rPr>
        <w:t xml:space="preserve">, </w:t>
      </w:r>
      <w:r w:rsidRPr="00834D0C">
        <w:rPr>
          <w:rFonts w:cstheme="minorHAnsi"/>
          <w:lang w:val="fr-FR"/>
        </w:rPr>
        <w:t xml:space="preserve">37. </w:t>
      </w:r>
    </w:p>
  </w:footnote>
  <w:footnote w:id="382">
    <w:p w14:paraId="408D1F41" w14:textId="21FEF95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564AE7" w:rsidRPr="00834D0C">
        <w:rPr>
          <w:rFonts w:cstheme="minorHAnsi"/>
          <w:lang w:eastAsia="en-GB"/>
        </w:rPr>
        <w:t>Rosalyn Higgins, </w:t>
      </w:r>
      <w:r w:rsidR="00564AE7" w:rsidRPr="00834D0C">
        <w:rPr>
          <w:rFonts w:cstheme="minorHAnsi"/>
          <w:i/>
          <w:iCs/>
          <w:lang w:eastAsia="en-GB"/>
        </w:rPr>
        <w:t>The Development of International Law Through the Political Organs of the United Nations</w:t>
      </w:r>
      <w:r w:rsidR="00564AE7" w:rsidRPr="00834D0C">
        <w:rPr>
          <w:rFonts w:cstheme="minorHAnsi"/>
          <w:lang w:eastAsia="en-GB"/>
        </w:rPr>
        <w:t xml:space="preserve"> (OUP 1963) 25</w:t>
      </w:r>
      <w:r w:rsidRPr="00834D0C">
        <w:rPr>
          <w:rFonts w:cstheme="minorHAnsi"/>
          <w:lang w:eastAsia="en-GB"/>
        </w:rPr>
        <w:t xml:space="preserve">. </w:t>
      </w:r>
      <w:r w:rsidRPr="00834D0C">
        <w:rPr>
          <w:rFonts w:cstheme="minorHAnsi"/>
          <w:i/>
          <w:iCs/>
          <w:lang w:eastAsia="en-GB"/>
        </w:rPr>
        <w:t xml:space="preserve">Grant </w:t>
      </w:r>
      <w:r w:rsidRPr="00834D0C">
        <w:rPr>
          <w:rFonts w:cstheme="minorHAnsi"/>
          <w:lang w:eastAsia="en-GB"/>
        </w:rPr>
        <w:t xml:space="preserve">also argues that </w:t>
      </w:r>
      <w:r w:rsidRPr="00834D0C">
        <w:rPr>
          <w:rFonts w:eastAsia="Times New Roman" w:cstheme="minorHAnsi"/>
          <w:lang w:eastAsia="en-GB"/>
        </w:rPr>
        <w:t>‘[a] putative state experiencing “substantial external control” … may lack the essential attribute of statehood’ (</w:t>
      </w:r>
      <w:r w:rsidRPr="00834D0C">
        <w:rPr>
          <w:rFonts w:cstheme="minorHAnsi"/>
        </w:rPr>
        <w:t>Grant (</w:t>
      </w:r>
      <w:r w:rsidR="0084605E" w:rsidRPr="00834D0C">
        <w:rPr>
          <w:rFonts w:cstheme="minorHAnsi"/>
        </w:rPr>
        <w:t>n</w:t>
      </w:r>
      <w:r w:rsidRPr="00834D0C">
        <w:rPr>
          <w:rFonts w:cstheme="minorHAnsi"/>
        </w:rPr>
        <w:t xml:space="preserve"> </w:t>
      </w:r>
      <w:r w:rsidR="00FA5670" w:rsidRPr="00834D0C">
        <w:rPr>
          <w:rFonts w:cstheme="minorHAnsi"/>
        </w:rPr>
        <w:t>83</w:t>
      </w:r>
      <w:r w:rsidRPr="00834D0C">
        <w:rPr>
          <w:rFonts w:cstheme="minorHAnsi"/>
        </w:rPr>
        <w:t>) 437.</w:t>
      </w:r>
    </w:p>
  </w:footnote>
  <w:footnote w:id="383">
    <w:p w14:paraId="00F4DA75" w14:textId="6B028B9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530084" w:rsidRPr="00834D0C">
        <w:rPr>
          <w:rFonts w:cstheme="minorHAnsi"/>
          <w:lang w:val="fr-FR"/>
        </w:rPr>
        <w:t>Doli</w:t>
      </w:r>
      <w:proofErr w:type="spellEnd"/>
      <w:r w:rsidR="00530084" w:rsidRPr="00834D0C">
        <w:rPr>
          <w:rFonts w:cstheme="minorHAnsi"/>
          <w:lang w:val="fr-FR"/>
        </w:rPr>
        <w:t xml:space="preserve"> (n 50) </w:t>
      </w:r>
      <w:r w:rsidRPr="00834D0C">
        <w:rPr>
          <w:rFonts w:cstheme="minorHAnsi"/>
        </w:rPr>
        <w:t>109.</w:t>
      </w:r>
    </w:p>
  </w:footnote>
  <w:footnote w:id="384">
    <w:p w14:paraId="233C2B55" w14:textId="3F6D3E97"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rPr>
        <w:t xml:space="preserve"> Prior to the Montevideo Convention, international law supported a definition of statehood based on three elements. </w:t>
      </w:r>
      <w:r w:rsidRPr="00834D0C">
        <w:rPr>
          <w:rFonts w:cstheme="minorHAnsi"/>
          <w:i/>
          <w:iCs/>
          <w:lang w:val="de-DE"/>
        </w:rPr>
        <w:t>Deutsche Continental Gas-Gesellschaft</w:t>
      </w:r>
      <w:r w:rsidRPr="00834D0C">
        <w:rPr>
          <w:rFonts w:cstheme="minorHAnsi"/>
          <w:lang w:val="de-DE"/>
        </w:rPr>
        <w:t xml:space="preserve"> (</w:t>
      </w:r>
      <w:r w:rsidR="0084605E" w:rsidRPr="00834D0C">
        <w:rPr>
          <w:rFonts w:cstheme="minorHAnsi"/>
          <w:lang w:val="de-DE"/>
        </w:rPr>
        <w:t>n</w:t>
      </w:r>
      <w:r w:rsidRPr="00834D0C">
        <w:rPr>
          <w:rFonts w:cstheme="minorHAnsi"/>
          <w:lang w:val="de-DE"/>
        </w:rPr>
        <w:t xml:space="preserve"> </w:t>
      </w:r>
      <w:r w:rsidR="007D0E05" w:rsidRPr="00834D0C">
        <w:rPr>
          <w:rFonts w:cstheme="minorHAnsi"/>
          <w:lang w:val="de-DE"/>
        </w:rPr>
        <w:t>36</w:t>
      </w:r>
      <w:r w:rsidRPr="00834D0C">
        <w:rPr>
          <w:rFonts w:cstheme="minorHAnsi"/>
          <w:lang w:val="de-DE"/>
        </w:rPr>
        <w:t>) 14-15.</w:t>
      </w:r>
    </w:p>
  </w:footnote>
  <w:footnote w:id="385">
    <w:p w14:paraId="1C1A8C99" w14:textId="5BCB34CA" w:rsidR="002B032D" w:rsidRPr="00834D0C" w:rsidRDefault="002B032D" w:rsidP="00163B41">
      <w:pPr>
        <w:pStyle w:val="FootnoteText"/>
        <w:jc w:val="both"/>
        <w:rPr>
          <w:rFonts w:cstheme="minorHAnsi"/>
          <w:lang w:val="fr-FR"/>
        </w:rPr>
      </w:pPr>
      <w:r w:rsidRPr="00834D0C">
        <w:rPr>
          <w:rStyle w:val="FootnoteReference"/>
          <w:rFonts w:cstheme="minorHAnsi"/>
        </w:rPr>
        <w:footnoteRef/>
      </w:r>
      <w:r w:rsidRPr="00834D0C">
        <w:rPr>
          <w:rFonts w:cstheme="minorHAnsi"/>
        </w:rPr>
        <w:t xml:space="preserve"> Germany: </w:t>
      </w:r>
      <w:proofErr w:type="spellStart"/>
      <w:r w:rsidRPr="00834D0C">
        <w:rPr>
          <w:rFonts w:eastAsia="Times New Roman" w:cstheme="minorHAnsi"/>
          <w:i/>
          <w:iCs/>
          <w:lang w:eastAsia="en-GB"/>
        </w:rPr>
        <w:t>Fürstentum</w:t>
      </w:r>
      <w:proofErr w:type="spellEnd"/>
      <w:r w:rsidRPr="00834D0C">
        <w:rPr>
          <w:rFonts w:eastAsia="Times New Roman" w:cstheme="minorHAnsi"/>
          <w:i/>
          <w:iCs/>
          <w:lang w:eastAsia="en-GB"/>
        </w:rPr>
        <w:t xml:space="preserve"> </w:t>
      </w:r>
      <w:proofErr w:type="spellStart"/>
      <w:r w:rsidRPr="00834D0C">
        <w:rPr>
          <w:rFonts w:eastAsia="Times New Roman" w:cstheme="minorHAnsi"/>
          <w:i/>
          <w:iCs/>
          <w:lang w:eastAsia="en-GB"/>
        </w:rPr>
        <w:t>Sealand</w:t>
      </w:r>
      <w:proofErr w:type="spellEnd"/>
      <w:r w:rsidRPr="00834D0C">
        <w:rPr>
          <w:rFonts w:eastAsia="Times New Roman" w:cstheme="minorHAnsi"/>
          <w:lang w:eastAsia="en-GB"/>
        </w:rPr>
        <w:t xml:space="preserve"> (</w:t>
      </w:r>
      <w:r w:rsidR="0084605E" w:rsidRPr="00834D0C">
        <w:rPr>
          <w:rFonts w:eastAsia="Times New Roman" w:cstheme="minorHAnsi"/>
          <w:lang w:eastAsia="en-GB"/>
        </w:rPr>
        <w:t>n</w:t>
      </w:r>
      <w:r w:rsidRPr="00834D0C">
        <w:rPr>
          <w:rFonts w:eastAsia="Times New Roman" w:cstheme="minorHAnsi"/>
          <w:lang w:eastAsia="en-GB"/>
        </w:rPr>
        <w:t xml:space="preserve"> </w:t>
      </w:r>
      <w:r w:rsidR="00453543" w:rsidRPr="00834D0C">
        <w:rPr>
          <w:rFonts w:eastAsia="Times New Roman" w:cstheme="minorHAnsi"/>
          <w:lang w:eastAsia="en-GB"/>
        </w:rPr>
        <w:t>31</w:t>
      </w:r>
      <w:r w:rsidRPr="00834D0C">
        <w:rPr>
          <w:rFonts w:eastAsia="Times New Roman" w:cstheme="minorHAnsi"/>
          <w:lang w:eastAsia="en-GB"/>
        </w:rPr>
        <w:t xml:space="preserve">); </w:t>
      </w:r>
      <w:proofErr w:type="spellStart"/>
      <w:r w:rsidRPr="00834D0C">
        <w:rPr>
          <w:rFonts w:eastAsia="Times New Roman" w:cstheme="minorHAnsi"/>
          <w:lang w:eastAsia="en-GB"/>
        </w:rPr>
        <w:t>BVerwG</w:t>
      </w:r>
      <w:proofErr w:type="spellEnd"/>
      <w:r w:rsidRPr="00834D0C">
        <w:rPr>
          <w:rFonts w:eastAsia="Times New Roman" w:cstheme="minorHAnsi"/>
          <w:lang w:eastAsia="en-GB"/>
        </w:rPr>
        <w:t xml:space="preserve"> 1 C 25.92, 28 September 1993, </w:t>
      </w:r>
      <w:r w:rsidR="00643ED5" w:rsidRPr="00834D0C">
        <w:rPr>
          <w:rFonts w:eastAsia="Times New Roman" w:cstheme="minorHAnsi"/>
          <w:lang w:eastAsia="en-GB"/>
        </w:rPr>
        <w:t>para</w:t>
      </w:r>
      <w:r w:rsidRPr="00834D0C">
        <w:rPr>
          <w:rFonts w:eastAsia="Times New Roman" w:cstheme="minorHAnsi"/>
          <w:lang w:eastAsia="en-GB"/>
        </w:rPr>
        <w:t xml:space="preserve"> </w:t>
      </w:r>
      <w:r w:rsidRPr="00834D0C">
        <w:rPr>
          <w:rFonts w:eastAsia="Times New Roman" w:cstheme="minorHAnsi"/>
          <w:lang w:val="fr-FR" w:eastAsia="en-GB"/>
        </w:rPr>
        <w:t xml:space="preserve">20; </w:t>
      </w:r>
      <w:proofErr w:type="spellStart"/>
      <w:r w:rsidRPr="00834D0C">
        <w:rPr>
          <w:rFonts w:cstheme="minorHAnsi"/>
          <w:shd w:val="clear" w:color="auto" w:fill="FFFFFF"/>
          <w:lang w:val="fr-FR"/>
        </w:rPr>
        <w:t>Switzerland</w:t>
      </w:r>
      <w:proofErr w:type="spellEnd"/>
      <w:r w:rsidRPr="00834D0C">
        <w:rPr>
          <w:rFonts w:cstheme="minorHAnsi"/>
          <w:shd w:val="clear" w:color="auto" w:fill="FFFFFF"/>
          <w:lang w:val="fr-FR"/>
        </w:rPr>
        <w:t xml:space="preserve">: </w:t>
      </w:r>
      <w:proofErr w:type="spellStart"/>
      <w:r w:rsidRPr="00834D0C">
        <w:rPr>
          <w:rFonts w:cstheme="minorHAnsi"/>
          <w:lang w:val="fr-FR"/>
        </w:rPr>
        <w:t>BGer</w:t>
      </w:r>
      <w:proofErr w:type="spellEnd"/>
      <w:r w:rsidRPr="00834D0C">
        <w:rPr>
          <w:rFonts w:cstheme="minorHAnsi"/>
          <w:lang w:val="fr-FR"/>
        </w:rPr>
        <w:t xml:space="preserve">, </w:t>
      </w:r>
      <w:r w:rsidRPr="00834D0C">
        <w:rPr>
          <w:rFonts w:cstheme="minorHAnsi"/>
          <w:i/>
          <w:iCs/>
          <w:lang w:val="fr-FR"/>
        </w:rPr>
        <w:t>Wang et consorts c Office des juges d’instruction fédéraux</w:t>
      </w:r>
      <w:r w:rsidRPr="00834D0C">
        <w:rPr>
          <w:rFonts w:cstheme="minorHAnsi"/>
          <w:lang w:val="fr-FR"/>
        </w:rPr>
        <w:t xml:space="preserve">, BGE 130 II 217, 221ff. </w:t>
      </w:r>
    </w:p>
  </w:footnote>
  <w:footnote w:id="386">
    <w:p w14:paraId="41909C61" w14:textId="4E313B6F"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Pr="00834D0C">
        <w:rPr>
          <w:rFonts w:cstheme="minorHAnsi"/>
          <w:lang w:val="de-DE"/>
        </w:rPr>
        <w:t xml:space="preserve">Georg Jellinek, </w:t>
      </w:r>
      <w:r w:rsidRPr="00834D0C">
        <w:rPr>
          <w:rFonts w:cstheme="minorHAnsi"/>
          <w:i/>
          <w:iCs/>
          <w:shd w:val="clear" w:color="auto" w:fill="FFFFFF"/>
          <w:lang w:val="de-DE"/>
        </w:rPr>
        <w:t>Die Lehre von den Staatenverbindungen</w:t>
      </w:r>
      <w:r w:rsidR="00453543" w:rsidRPr="00834D0C">
        <w:rPr>
          <w:rFonts w:cstheme="minorHAnsi"/>
          <w:i/>
          <w:iCs/>
          <w:shd w:val="clear" w:color="auto" w:fill="FFFFFF"/>
          <w:lang w:val="de-DE"/>
        </w:rPr>
        <w:t xml:space="preserve"> </w:t>
      </w:r>
      <w:r w:rsidR="00453543" w:rsidRPr="00834D0C">
        <w:rPr>
          <w:rFonts w:cstheme="minorHAnsi"/>
          <w:shd w:val="clear" w:color="auto" w:fill="FFFFFF"/>
          <w:lang w:val="de-DE"/>
        </w:rPr>
        <w:t>(</w:t>
      </w:r>
      <w:r w:rsidRPr="00834D0C">
        <w:rPr>
          <w:rFonts w:cstheme="minorHAnsi"/>
          <w:shd w:val="clear" w:color="auto" w:fill="FFFFFF"/>
          <w:lang w:val="de-DE"/>
        </w:rPr>
        <w:t>1882</w:t>
      </w:r>
      <w:r w:rsidR="00453543" w:rsidRPr="00834D0C">
        <w:rPr>
          <w:rFonts w:cstheme="minorHAnsi"/>
          <w:shd w:val="clear" w:color="auto" w:fill="FFFFFF"/>
          <w:lang w:val="de-DE"/>
        </w:rPr>
        <w:t>)</w:t>
      </w:r>
      <w:r w:rsidRPr="00834D0C">
        <w:rPr>
          <w:rFonts w:cstheme="minorHAnsi"/>
          <w:shd w:val="clear" w:color="auto" w:fill="FFFFFF"/>
          <w:lang w:val="de-DE"/>
        </w:rPr>
        <w:t xml:space="preserve">; Georg Jellinek, </w:t>
      </w:r>
      <w:r w:rsidRPr="00834D0C">
        <w:rPr>
          <w:rFonts w:cstheme="minorHAnsi"/>
          <w:i/>
          <w:shd w:val="clear" w:color="auto" w:fill="FFFFFF"/>
          <w:lang w:val="de-DE"/>
        </w:rPr>
        <w:t>Allgemeine Staatslehre</w:t>
      </w:r>
      <w:r w:rsidRPr="00834D0C">
        <w:rPr>
          <w:rFonts w:cstheme="minorHAnsi"/>
          <w:iCs/>
          <w:shd w:val="clear" w:color="auto" w:fill="FFFFFF"/>
          <w:lang w:val="de-DE"/>
        </w:rPr>
        <w:t xml:space="preserve"> </w:t>
      </w:r>
      <w:r w:rsidR="00453543" w:rsidRPr="00834D0C">
        <w:rPr>
          <w:rFonts w:cstheme="minorHAnsi"/>
          <w:iCs/>
          <w:shd w:val="clear" w:color="auto" w:fill="FFFFFF"/>
          <w:lang w:val="de-DE"/>
        </w:rPr>
        <w:t>(</w:t>
      </w:r>
      <w:r w:rsidRPr="00834D0C">
        <w:rPr>
          <w:rFonts w:cstheme="minorHAnsi"/>
          <w:shd w:val="clear" w:color="auto" w:fill="FFFFFF"/>
          <w:lang w:val="de-DE"/>
        </w:rPr>
        <w:t>1905).</w:t>
      </w:r>
    </w:p>
  </w:footnote>
  <w:footnote w:id="387">
    <w:p w14:paraId="63CC0410" w14:textId="5A69BF8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A958A6" w:rsidRPr="00834D0C">
        <w:rPr>
          <w:rFonts w:cstheme="minorHAnsi"/>
        </w:rPr>
        <w:t>‘</w:t>
      </w:r>
      <w:r w:rsidRPr="00834D0C">
        <w:rPr>
          <w:rFonts w:cstheme="minorHAnsi"/>
        </w:rPr>
        <w:t>[T]he state is commonly defined as a community which consists of a territory and a population subject to an organized political authority; that such a state is characterized by sovereignty’. See also Opinion 1 (</w:t>
      </w:r>
      <w:r w:rsidR="0084605E" w:rsidRPr="00834D0C">
        <w:rPr>
          <w:rFonts w:cstheme="minorHAnsi"/>
        </w:rPr>
        <w:t>n</w:t>
      </w:r>
      <w:r w:rsidRPr="00834D0C">
        <w:rPr>
          <w:rFonts w:cstheme="minorHAnsi"/>
        </w:rPr>
        <w:t xml:space="preserve"> </w:t>
      </w:r>
      <w:r w:rsidR="007D0E05" w:rsidRPr="00834D0C">
        <w:rPr>
          <w:rFonts w:cstheme="minorHAnsi"/>
        </w:rPr>
        <w:t>107</w:t>
      </w:r>
      <w:r w:rsidRPr="00834D0C">
        <w:rPr>
          <w:rFonts w:cstheme="minorHAnsi"/>
        </w:rPr>
        <w:t>) 182.</w:t>
      </w:r>
    </w:p>
  </w:footnote>
  <w:footnote w:id="388">
    <w:p w14:paraId="2762E918" w14:textId="05591D97"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130-134.</w:t>
      </w:r>
    </w:p>
  </w:footnote>
  <w:footnote w:id="389">
    <w:p w14:paraId="24C4B6F3" w14:textId="664F9BDB"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lang w:val="de-DE"/>
        </w:rPr>
        <w:t xml:space="preserve"> </w:t>
      </w:r>
      <w:r w:rsidRPr="00834D0C">
        <w:rPr>
          <w:rFonts w:cstheme="minorHAnsi"/>
          <w:lang w:val="de-DE"/>
        </w:rPr>
        <w:t>Volker</w:t>
      </w:r>
      <w:r w:rsidRPr="00834D0C">
        <w:rPr>
          <w:rFonts w:cstheme="minorHAnsi"/>
          <w:i/>
          <w:iCs/>
          <w:lang w:val="de-DE"/>
        </w:rPr>
        <w:t xml:space="preserve"> </w:t>
      </w:r>
      <w:r w:rsidR="007D0E05" w:rsidRPr="00834D0C">
        <w:rPr>
          <w:rFonts w:cstheme="minorHAnsi"/>
        </w:rPr>
        <w:t>Epping, ‘</w:t>
      </w:r>
      <w:proofErr w:type="spellStart"/>
      <w:r w:rsidR="007D0E05" w:rsidRPr="00834D0C">
        <w:rPr>
          <w:rFonts w:cstheme="minorHAnsi"/>
        </w:rPr>
        <w:t>Völkerrechtssubjekte</w:t>
      </w:r>
      <w:proofErr w:type="spellEnd"/>
      <w:r w:rsidR="007D0E05" w:rsidRPr="00834D0C">
        <w:rPr>
          <w:rFonts w:cstheme="minorHAnsi"/>
        </w:rPr>
        <w:t xml:space="preserve">’ in Knut Ipsen (ed), </w:t>
      </w:r>
      <w:proofErr w:type="spellStart"/>
      <w:r w:rsidR="007D0E05" w:rsidRPr="00834D0C">
        <w:rPr>
          <w:rFonts w:cstheme="minorHAnsi"/>
          <w:i/>
          <w:iCs/>
        </w:rPr>
        <w:t>Völkerrecht</w:t>
      </w:r>
      <w:proofErr w:type="spellEnd"/>
      <w:r w:rsidR="007D0E05" w:rsidRPr="00834D0C">
        <w:rPr>
          <w:rFonts w:cstheme="minorHAnsi"/>
          <w:i/>
          <w:iCs/>
        </w:rPr>
        <w:t xml:space="preserve"> </w:t>
      </w:r>
      <w:r w:rsidR="007D0E05" w:rsidRPr="00834D0C">
        <w:rPr>
          <w:rFonts w:cstheme="minorHAnsi"/>
        </w:rPr>
        <w:t>(7</w:t>
      </w:r>
      <w:r w:rsidR="007D0E05" w:rsidRPr="00834D0C">
        <w:rPr>
          <w:rFonts w:cstheme="minorHAnsi"/>
          <w:vertAlign w:val="superscript"/>
        </w:rPr>
        <w:t>th</w:t>
      </w:r>
      <w:r w:rsidR="007D0E05" w:rsidRPr="00834D0C">
        <w:rPr>
          <w:rFonts w:cstheme="minorHAnsi"/>
        </w:rPr>
        <w:t xml:space="preserve"> </w:t>
      </w:r>
      <w:proofErr w:type="spellStart"/>
      <w:r w:rsidR="007D0E05" w:rsidRPr="00834D0C">
        <w:rPr>
          <w:rFonts w:cstheme="minorHAnsi"/>
        </w:rPr>
        <w:t>edn</w:t>
      </w:r>
      <w:proofErr w:type="spellEnd"/>
      <w:r w:rsidR="00453543" w:rsidRPr="00834D0C">
        <w:rPr>
          <w:rFonts w:cstheme="minorHAnsi"/>
        </w:rPr>
        <w:t>, Beck</w:t>
      </w:r>
      <w:r w:rsidR="007D0E05" w:rsidRPr="00834D0C">
        <w:rPr>
          <w:rFonts w:cstheme="minorHAnsi"/>
        </w:rPr>
        <w:t xml:space="preserve"> 2018) </w:t>
      </w:r>
      <w:r w:rsidR="00643ED5" w:rsidRPr="00834D0C">
        <w:rPr>
          <w:rFonts w:cstheme="minorHAnsi"/>
        </w:rPr>
        <w:t xml:space="preserve">para </w:t>
      </w:r>
      <w:r w:rsidRPr="00834D0C">
        <w:rPr>
          <w:rFonts w:cstheme="minorHAnsi"/>
        </w:rPr>
        <w:t xml:space="preserve">137. </w:t>
      </w:r>
    </w:p>
  </w:footnote>
  <w:footnote w:id="390">
    <w:p w14:paraId="29AB59A7" w14:textId="48A7E13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Germany, </w:t>
      </w:r>
      <w:proofErr w:type="spellStart"/>
      <w:r w:rsidRPr="00834D0C">
        <w:rPr>
          <w:rFonts w:eastAsia="Times New Roman" w:cstheme="minorHAnsi"/>
          <w:i/>
          <w:iCs/>
          <w:lang w:eastAsia="en-GB"/>
        </w:rPr>
        <w:t>BVerwG</w:t>
      </w:r>
      <w:proofErr w:type="spellEnd"/>
      <w:r w:rsidRPr="00834D0C">
        <w:rPr>
          <w:rFonts w:eastAsia="Times New Roman" w:cstheme="minorHAnsi"/>
          <w:lang w:eastAsia="en-GB"/>
        </w:rPr>
        <w:t xml:space="preserve"> 1 C 25.92, 28 September 1993, </w:t>
      </w:r>
      <w:r w:rsidR="00643ED5" w:rsidRPr="00834D0C">
        <w:rPr>
          <w:rFonts w:eastAsia="Times New Roman" w:cstheme="minorHAnsi"/>
          <w:lang w:eastAsia="en-GB"/>
        </w:rPr>
        <w:t xml:space="preserve">para </w:t>
      </w:r>
      <w:r w:rsidRPr="00834D0C">
        <w:rPr>
          <w:rFonts w:eastAsia="Times New Roman" w:cstheme="minorHAnsi"/>
          <w:lang w:eastAsia="en-GB"/>
        </w:rPr>
        <w:t>20.</w:t>
      </w:r>
    </w:p>
  </w:footnote>
  <w:footnote w:id="391">
    <w:p w14:paraId="2D9B1930" w14:textId="3C5722B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Pr="00834D0C">
        <w:rPr>
          <w:rFonts w:cstheme="minorHAnsi"/>
          <w:i/>
          <w:iCs/>
        </w:rPr>
        <w:t>Wang et consorts</w:t>
      </w:r>
      <w:r w:rsidRPr="00834D0C">
        <w:rPr>
          <w:rFonts w:cstheme="minorHAnsi"/>
        </w:rPr>
        <w:t xml:space="preserve"> (</w:t>
      </w:r>
      <w:r w:rsidR="0084605E" w:rsidRPr="00834D0C">
        <w:rPr>
          <w:rFonts w:cstheme="minorHAnsi"/>
        </w:rPr>
        <w:t>n</w:t>
      </w:r>
      <w:r w:rsidR="00453543" w:rsidRPr="00834D0C">
        <w:rPr>
          <w:rFonts w:cstheme="minorHAnsi"/>
        </w:rPr>
        <w:t xml:space="preserve"> 384</w:t>
      </w:r>
      <w:r w:rsidRPr="00834D0C">
        <w:rPr>
          <w:rFonts w:cstheme="minorHAnsi"/>
        </w:rPr>
        <w:t xml:space="preserve">) 221; see also </w:t>
      </w:r>
      <w:proofErr w:type="spellStart"/>
      <w:r w:rsidRPr="00834D0C">
        <w:rPr>
          <w:rFonts w:cstheme="minorHAnsi"/>
        </w:rPr>
        <w:t>Belkahla</w:t>
      </w:r>
      <w:proofErr w:type="spellEnd"/>
      <w:r w:rsidRPr="00834D0C">
        <w:rPr>
          <w:rFonts w:cstheme="minorHAnsi"/>
        </w:rPr>
        <w:t xml:space="preserve"> (</w:t>
      </w:r>
      <w:r w:rsidR="0084605E" w:rsidRPr="00834D0C">
        <w:rPr>
          <w:rFonts w:cstheme="minorHAnsi"/>
        </w:rPr>
        <w:t>n</w:t>
      </w:r>
      <w:r w:rsidR="00453543" w:rsidRPr="00834D0C">
        <w:rPr>
          <w:rFonts w:cstheme="minorHAnsi"/>
        </w:rPr>
        <w:t xml:space="preserve"> 108</w:t>
      </w:r>
      <w:r w:rsidRPr="00834D0C">
        <w:rPr>
          <w:rFonts w:cstheme="minorHAnsi"/>
        </w:rPr>
        <w:t>) 240.</w:t>
      </w:r>
    </w:p>
  </w:footnote>
  <w:footnote w:id="392">
    <w:p w14:paraId="743D6ADC" w14:textId="177DC6DC"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00356812" w:rsidRPr="00834D0C">
        <w:rPr>
          <w:rFonts w:cstheme="minorHAnsi"/>
          <w:lang w:val="de-DE"/>
        </w:rPr>
        <w:t xml:space="preserve">Kälin </w:t>
      </w:r>
      <w:r w:rsidR="00356812" w:rsidRPr="002F5312">
        <w:rPr>
          <w:rFonts w:cstheme="minorHAnsi"/>
          <w:i/>
          <w:iCs/>
          <w:lang w:val="de-DE"/>
        </w:rPr>
        <w:t>et al</w:t>
      </w:r>
      <w:r w:rsidR="00356812" w:rsidRPr="00834D0C">
        <w:rPr>
          <w:rFonts w:cstheme="minorHAnsi"/>
          <w:lang w:val="de-DE"/>
        </w:rPr>
        <w:t xml:space="preserve"> (n 35) </w:t>
      </w:r>
      <w:r w:rsidRPr="00834D0C">
        <w:rPr>
          <w:rFonts w:cstheme="minorHAnsi"/>
          <w:lang w:val="de-DE"/>
        </w:rPr>
        <w:t>150.</w:t>
      </w:r>
    </w:p>
  </w:footnote>
  <w:footnote w:id="393">
    <w:p w14:paraId="73397840" w14:textId="63899E11"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James (</w:t>
      </w:r>
      <w:r w:rsidR="0084605E" w:rsidRPr="00834D0C">
        <w:rPr>
          <w:rFonts w:cstheme="minorHAnsi"/>
        </w:rPr>
        <w:t>n</w:t>
      </w:r>
      <w:r w:rsidRPr="00834D0C">
        <w:rPr>
          <w:rFonts w:cstheme="minorHAnsi"/>
        </w:rPr>
        <w:t xml:space="preserve"> </w:t>
      </w:r>
      <w:r w:rsidR="00DC2676" w:rsidRPr="00834D0C">
        <w:rPr>
          <w:rFonts w:cstheme="minorHAnsi"/>
        </w:rPr>
        <w:t>106</w:t>
      </w:r>
      <w:r w:rsidRPr="00834D0C">
        <w:rPr>
          <w:rFonts w:cstheme="minorHAnsi"/>
        </w:rPr>
        <w:t>) 461.</w:t>
      </w:r>
    </w:p>
  </w:footnote>
  <w:footnote w:id="394">
    <w:p w14:paraId="7EC712AD" w14:textId="3CF72DED"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r w:rsidRPr="00834D0C">
        <w:rPr>
          <w:rFonts w:cstheme="minorHAnsi"/>
          <w:lang w:val="de-DE"/>
        </w:rPr>
        <w:t>Ulrich</w:t>
      </w:r>
      <w:r w:rsidRPr="00834D0C">
        <w:rPr>
          <w:rFonts w:cstheme="minorHAnsi"/>
          <w:i/>
          <w:iCs/>
          <w:lang w:val="de-DE"/>
        </w:rPr>
        <w:t xml:space="preserve"> </w:t>
      </w:r>
      <w:r w:rsidR="007D0E05" w:rsidRPr="00834D0C">
        <w:rPr>
          <w:rFonts w:cstheme="minorHAnsi"/>
        </w:rPr>
        <w:t xml:space="preserve">Schneider, </w:t>
      </w:r>
      <w:r w:rsidR="007D0E05" w:rsidRPr="00834D0C">
        <w:rPr>
          <w:rFonts w:cstheme="minorHAnsi"/>
          <w:i/>
          <w:iCs/>
        </w:rPr>
        <w:t xml:space="preserve">Die </w:t>
      </w:r>
      <w:proofErr w:type="spellStart"/>
      <w:r w:rsidR="007D0E05" w:rsidRPr="00834D0C">
        <w:rPr>
          <w:rFonts w:cstheme="minorHAnsi"/>
          <w:i/>
          <w:iCs/>
        </w:rPr>
        <w:t>Rechte</w:t>
      </w:r>
      <w:proofErr w:type="spellEnd"/>
      <w:r w:rsidR="007D0E05" w:rsidRPr="00834D0C">
        <w:rPr>
          <w:rFonts w:cstheme="minorHAnsi"/>
          <w:i/>
          <w:iCs/>
        </w:rPr>
        <w:t xml:space="preserve">- und </w:t>
      </w:r>
      <w:proofErr w:type="spellStart"/>
      <w:r w:rsidR="007D0E05" w:rsidRPr="00834D0C">
        <w:rPr>
          <w:rFonts w:cstheme="minorHAnsi"/>
          <w:i/>
          <w:iCs/>
        </w:rPr>
        <w:t>Pflichtenstellung</w:t>
      </w:r>
      <w:proofErr w:type="spellEnd"/>
      <w:r w:rsidR="007D0E05" w:rsidRPr="00834D0C">
        <w:rPr>
          <w:rFonts w:cstheme="minorHAnsi"/>
          <w:i/>
          <w:iCs/>
        </w:rPr>
        <w:t xml:space="preserve"> des </w:t>
      </w:r>
      <w:proofErr w:type="spellStart"/>
      <w:r w:rsidR="007D0E05" w:rsidRPr="00834D0C">
        <w:rPr>
          <w:rFonts w:cstheme="minorHAnsi"/>
          <w:i/>
          <w:iCs/>
        </w:rPr>
        <w:t>Unionbürgers</w:t>
      </w:r>
      <w:proofErr w:type="spellEnd"/>
      <w:r w:rsidR="007D0E05" w:rsidRPr="00834D0C">
        <w:rPr>
          <w:rFonts w:cstheme="minorHAnsi"/>
          <w:i/>
          <w:iCs/>
        </w:rPr>
        <w:t xml:space="preserve">. Der </w:t>
      </w:r>
      <w:proofErr w:type="spellStart"/>
      <w:r w:rsidR="007D0E05" w:rsidRPr="00834D0C">
        <w:rPr>
          <w:rFonts w:cstheme="minorHAnsi"/>
          <w:i/>
          <w:iCs/>
        </w:rPr>
        <w:t>Beginn</w:t>
      </w:r>
      <w:proofErr w:type="spellEnd"/>
      <w:r w:rsidR="007D0E05" w:rsidRPr="00834D0C">
        <w:rPr>
          <w:rFonts w:cstheme="minorHAnsi"/>
          <w:i/>
          <w:iCs/>
        </w:rPr>
        <w:t xml:space="preserve"> </w:t>
      </w:r>
      <w:proofErr w:type="spellStart"/>
      <w:r w:rsidR="007D0E05" w:rsidRPr="00834D0C">
        <w:rPr>
          <w:rFonts w:cstheme="minorHAnsi"/>
          <w:i/>
          <w:iCs/>
        </w:rPr>
        <w:t>einer</w:t>
      </w:r>
      <w:proofErr w:type="spellEnd"/>
      <w:r w:rsidR="007D0E05" w:rsidRPr="00834D0C">
        <w:rPr>
          <w:rFonts w:cstheme="minorHAnsi"/>
          <w:i/>
          <w:iCs/>
        </w:rPr>
        <w:t xml:space="preserve"> </w:t>
      </w:r>
      <w:proofErr w:type="spellStart"/>
      <w:r w:rsidR="007D0E05" w:rsidRPr="00834D0C">
        <w:rPr>
          <w:rFonts w:cstheme="minorHAnsi"/>
          <w:i/>
          <w:iCs/>
        </w:rPr>
        <w:t>europäischen</w:t>
      </w:r>
      <w:proofErr w:type="spellEnd"/>
      <w:r w:rsidR="007D0E05" w:rsidRPr="00834D0C">
        <w:rPr>
          <w:rFonts w:cstheme="minorHAnsi"/>
          <w:i/>
          <w:iCs/>
        </w:rPr>
        <w:t xml:space="preserve"> </w:t>
      </w:r>
      <w:proofErr w:type="spellStart"/>
      <w:r w:rsidR="007D0E05" w:rsidRPr="00834D0C">
        <w:rPr>
          <w:rFonts w:cstheme="minorHAnsi"/>
          <w:i/>
          <w:iCs/>
        </w:rPr>
        <w:t>Staastangehörigkeit</w:t>
      </w:r>
      <w:proofErr w:type="spellEnd"/>
      <w:r w:rsidR="007D0E05" w:rsidRPr="00834D0C">
        <w:rPr>
          <w:rFonts w:cstheme="minorHAnsi"/>
          <w:i/>
          <w:iCs/>
        </w:rPr>
        <w:t xml:space="preserve">? </w:t>
      </w:r>
      <w:r w:rsidR="007D0E05" w:rsidRPr="00834D0C">
        <w:rPr>
          <w:rFonts w:cstheme="minorHAnsi"/>
        </w:rPr>
        <w:t xml:space="preserve">(LIT 2000) </w:t>
      </w:r>
      <w:r w:rsidRPr="00834D0C">
        <w:rPr>
          <w:rFonts w:cstheme="minorHAnsi"/>
          <w:lang w:val="de-DE"/>
        </w:rPr>
        <w:t>22.</w:t>
      </w:r>
    </w:p>
  </w:footnote>
  <w:footnote w:id="395">
    <w:p w14:paraId="3624788D" w14:textId="0BE6E1AB" w:rsidR="002B032D" w:rsidRPr="00834D0C" w:rsidRDefault="002B032D" w:rsidP="00163B41">
      <w:pPr>
        <w:pStyle w:val="FootnoteText"/>
        <w:jc w:val="both"/>
        <w:rPr>
          <w:rFonts w:cstheme="minorHAnsi"/>
          <w:lang w:val="de-DE"/>
        </w:rPr>
      </w:pPr>
      <w:r w:rsidRPr="00834D0C">
        <w:rPr>
          <w:rStyle w:val="FootnoteReference"/>
          <w:rFonts w:cstheme="minorHAnsi"/>
        </w:rPr>
        <w:footnoteRef/>
      </w:r>
      <w:r w:rsidRPr="00834D0C">
        <w:rPr>
          <w:rFonts w:cstheme="minorHAnsi"/>
          <w:lang w:val="de-DE"/>
        </w:rPr>
        <w:t xml:space="preserve"> </w:t>
      </w:r>
      <w:proofErr w:type="spellStart"/>
      <w:r w:rsidR="00720A17" w:rsidRPr="00834D0C">
        <w:rPr>
          <w:rFonts w:cstheme="minorHAnsi"/>
        </w:rPr>
        <w:t>Okosa</w:t>
      </w:r>
      <w:proofErr w:type="spellEnd"/>
      <w:r w:rsidR="00720A17" w:rsidRPr="00834D0C">
        <w:rPr>
          <w:rFonts w:cstheme="minorHAnsi"/>
        </w:rPr>
        <w:t xml:space="preserve"> (n 19) </w:t>
      </w:r>
      <w:r w:rsidRPr="00834D0C">
        <w:rPr>
          <w:rFonts w:cstheme="minorHAnsi"/>
          <w:lang w:val="de-DE"/>
        </w:rPr>
        <w:t>110.</w:t>
      </w:r>
    </w:p>
  </w:footnote>
  <w:footnote w:id="396">
    <w:p w14:paraId="30317CE2" w14:textId="14754B1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DC2676" w:rsidRPr="00834D0C">
        <w:rPr>
          <w:rFonts w:cstheme="minorHAnsi"/>
        </w:rPr>
        <w:t xml:space="preserve">James (n 106) </w:t>
      </w:r>
      <w:r w:rsidRPr="00834D0C">
        <w:rPr>
          <w:rFonts w:cstheme="minorHAnsi"/>
        </w:rPr>
        <w:t>462.</w:t>
      </w:r>
    </w:p>
  </w:footnote>
  <w:footnote w:id="397">
    <w:p w14:paraId="4DD964CD" w14:textId="489C3462" w:rsidR="002B032D" w:rsidRPr="00834D0C" w:rsidRDefault="002B032D" w:rsidP="00163B41">
      <w:pPr>
        <w:pStyle w:val="FootnoteText"/>
        <w:jc w:val="both"/>
        <w:rPr>
          <w:rFonts w:cstheme="minorHAnsi"/>
          <w:lang w:val="fr-FR"/>
        </w:rPr>
      </w:pPr>
      <w:r w:rsidRPr="00834D0C">
        <w:rPr>
          <w:rStyle w:val="FootnoteReference"/>
          <w:rFonts w:cstheme="minorHAnsi"/>
        </w:rPr>
        <w:footnoteRef/>
      </w:r>
      <w:r w:rsidRPr="00834D0C">
        <w:rPr>
          <w:rFonts w:cstheme="minorHAnsi"/>
          <w:lang w:val="fr-FR"/>
        </w:rPr>
        <w:t xml:space="preserve"> </w:t>
      </w:r>
      <w:r w:rsidR="00356812" w:rsidRPr="00834D0C">
        <w:rPr>
          <w:rFonts w:cstheme="minorHAnsi"/>
          <w:lang w:val="de-DE"/>
        </w:rPr>
        <w:t xml:space="preserve">Kälin </w:t>
      </w:r>
      <w:r w:rsidR="00356812" w:rsidRPr="002F5312">
        <w:rPr>
          <w:rFonts w:cstheme="minorHAnsi"/>
          <w:i/>
          <w:iCs/>
          <w:lang w:val="de-DE"/>
        </w:rPr>
        <w:t>et al</w:t>
      </w:r>
      <w:r w:rsidR="00356812" w:rsidRPr="00834D0C">
        <w:rPr>
          <w:rFonts w:cstheme="minorHAnsi"/>
          <w:lang w:val="de-DE"/>
        </w:rPr>
        <w:t xml:space="preserve"> (n 35) </w:t>
      </w:r>
      <w:r w:rsidRPr="00834D0C">
        <w:rPr>
          <w:rFonts w:cstheme="minorHAnsi"/>
          <w:lang w:val="fr-FR"/>
        </w:rPr>
        <w:t>150.</w:t>
      </w:r>
    </w:p>
  </w:footnote>
  <w:footnote w:id="398">
    <w:p w14:paraId="27FCDEF8" w14:textId="611E2356"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DC2676" w:rsidRPr="00834D0C">
        <w:rPr>
          <w:rFonts w:cstheme="minorHAnsi"/>
        </w:rPr>
        <w:t>Jolicoeur</w:t>
      </w:r>
      <w:proofErr w:type="spellEnd"/>
      <w:r w:rsidR="00DC2676" w:rsidRPr="00834D0C">
        <w:rPr>
          <w:rFonts w:cstheme="minorHAnsi"/>
        </w:rPr>
        <w:t xml:space="preserve"> (n 50) </w:t>
      </w:r>
      <w:r w:rsidRPr="00834D0C">
        <w:rPr>
          <w:rFonts w:cstheme="minorHAnsi"/>
        </w:rPr>
        <w:t>86.</w:t>
      </w:r>
    </w:p>
  </w:footnote>
  <w:footnote w:id="399">
    <w:p w14:paraId="2B02A969" w14:textId="33BC2C10"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para </w:t>
      </w:r>
      <w:r w:rsidRPr="00834D0C">
        <w:rPr>
          <w:rFonts w:cstheme="minorHAnsi"/>
        </w:rPr>
        <w:t>169.</w:t>
      </w:r>
    </w:p>
  </w:footnote>
  <w:footnote w:id="400">
    <w:p w14:paraId="2029E867" w14:textId="4B666EF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para </w:t>
      </w:r>
      <w:r w:rsidRPr="00834D0C">
        <w:rPr>
          <w:rFonts w:cstheme="minorHAnsi"/>
        </w:rPr>
        <w:t>186.</w:t>
      </w:r>
    </w:p>
  </w:footnote>
  <w:footnote w:id="401">
    <w:p w14:paraId="07E2B2C9" w14:textId="0E44F562"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Crawford (n 8) </w:t>
      </w:r>
      <w:r w:rsidRPr="00834D0C">
        <w:rPr>
          <w:rFonts w:cstheme="minorHAnsi"/>
        </w:rPr>
        <w:t xml:space="preserve">52. See also France, </w:t>
      </w:r>
      <w:proofErr w:type="spellStart"/>
      <w:r w:rsidRPr="00834D0C">
        <w:rPr>
          <w:rFonts w:cstheme="minorHAnsi"/>
        </w:rPr>
        <w:t>Cour</w:t>
      </w:r>
      <w:proofErr w:type="spellEnd"/>
      <w:r w:rsidRPr="00834D0C">
        <w:rPr>
          <w:rFonts w:cstheme="minorHAnsi"/>
        </w:rPr>
        <w:t xml:space="preserve"> </w:t>
      </w:r>
      <w:proofErr w:type="spellStart"/>
      <w:r w:rsidRPr="00834D0C">
        <w:rPr>
          <w:rFonts w:cstheme="minorHAnsi"/>
        </w:rPr>
        <w:t>Nationale</w:t>
      </w:r>
      <w:proofErr w:type="spellEnd"/>
      <w:r w:rsidRPr="00834D0C">
        <w:rPr>
          <w:rFonts w:cstheme="minorHAnsi"/>
        </w:rPr>
        <w:t xml:space="preserve"> du Droit </w:t>
      </w:r>
      <w:proofErr w:type="spellStart"/>
      <w:r w:rsidRPr="00834D0C">
        <w:rPr>
          <w:rFonts w:cstheme="minorHAnsi"/>
        </w:rPr>
        <w:t>d’Asile</w:t>
      </w:r>
      <w:proofErr w:type="spellEnd"/>
      <w:r w:rsidRPr="00834D0C">
        <w:rPr>
          <w:rFonts w:cstheme="minorHAnsi"/>
        </w:rPr>
        <w:t xml:space="preserve">, </w:t>
      </w:r>
      <w:r w:rsidRPr="00834D0C">
        <w:rPr>
          <w:rFonts w:cstheme="minorHAnsi"/>
          <w:i/>
        </w:rPr>
        <w:t>M G</w:t>
      </w:r>
      <w:r w:rsidRPr="00834D0C">
        <w:rPr>
          <w:rFonts w:cstheme="minorHAnsi"/>
          <w:i/>
          <w:iCs/>
        </w:rPr>
        <w:t xml:space="preserve">, </w:t>
      </w:r>
      <w:r w:rsidRPr="00834D0C">
        <w:rPr>
          <w:rFonts w:cstheme="minorHAnsi"/>
        </w:rPr>
        <w:t xml:space="preserve">No 15036058, 18 October 2016, </w:t>
      </w:r>
      <w:r w:rsidR="00643ED5" w:rsidRPr="00834D0C">
        <w:rPr>
          <w:rFonts w:cstheme="minorHAnsi"/>
        </w:rPr>
        <w:t>para</w:t>
      </w:r>
      <w:r w:rsidRPr="00834D0C">
        <w:rPr>
          <w:rFonts w:cstheme="minorHAnsi"/>
        </w:rPr>
        <w:t xml:space="preserve"> 3.</w:t>
      </w:r>
    </w:p>
  </w:footnote>
  <w:footnote w:id="402">
    <w:p w14:paraId="3EDA503D" w14:textId="19C28A6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Pr="00834D0C">
        <w:rPr>
          <w:rFonts w:cstheme="minorHAnsi"/>
        </w:rPr>
        <w:t>Chinemelu</w:t>
      </w:r>
      <w:proofErr w:type="spellEnd"/>
      <w:r w:rsidR="002F5312">
        <w:rPr>
          <w:rFonts w:cstheme="minorHAnsi"/>
        </w:rPr>
        <w:t xml:space="preserve"> </w:t>
      </w:r>
      <w:r w:rsidR="002F5312">
        <w:rPr>
          <w:rFonts w:cstheme="minorHAnsi"/>
        </w:rPr>
        <w:t>and</w:t>
      </w:r>
      <w:r w:rsidR="002F5312" w:rsidRPr="00834D0C">
        <w:rPr>
          <w:rFonts w:cstheme="minorHAnsi"/>
        </w:rPr>
        <w:t xml:space="preserve"> </w:t>
      </w:r>
      <w:proofErr w:type="spellStart"/>
      <w:r w:rsidRPr="00834D0C">
        <w:rPr>
          <w:rFonts w:cstheme="minorHAnsi"/>
        </w:rPr>
        <w:t>Oraeto</w:t>
      </w:r>
      <w:proofErr w:type="spellEnd"/>
      <w:r w:rsidRPr="00834D0C">
        <w:rPr>
          <w:rFonts w:cstheme="minorHAnsi"/>
        </w:rPr>
        <w:t xml:space="preserve"> (</w:t>
      </w:r>
      <w:r w:rsidR="0084605E" w:rsidRPr="00834D0C">
        <w:rPr>
          <w:rFonts w:cstheme="minorHAnsi"/>
        </w:rPr>
        <w:t>n</w:t>
      </w:r>
      <w:r w:rsidRPr="00834D0C">
        <w:rPr>
          <w:rFonts w:cstheme="minorHAnsi"/>
        </w:rPr>
        <w:t xml:space="preserve"> </w:t>
      </w:r>
      <w:r w:rsidR="009037C8" w:rsidRPr="00834D0C">
        <w:rPr>
          <w:rFonts w:cstheme="minorHAnsi"/>
        </w:rPr>
        <w:t>18</w:t>
      </w:r>
      <w:r w:rsidRPr="00834D0C">
        <w:rPr>
          <w:rFonts w:cstheme="minorHAnsi"/>
        </w:rPr>
        <w:t>) 34.</w:t>
      </w:r>
    </w:p>
  </w:footnote>
  <w:footnote w:id="403">
    <w:p w14:paraId="58450DFF" w14:textId="7E51A7E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530084" w:rsidRPr="00834D0C">
        <w:rPr>
          <w:rFonts w:cstheme="minorHAnsi"/>
          <w:lang w:val="fr-FR"/>
        </w:rPr>
        <w:t>Doli</w:t>
      </w:r>
      <w:proofErr w:type="spellEnd"/>
      <w:r w:rsidR="00530084" w:rsidRPr="00834D0C">
        <w:rPr>
          <w:rFonts w:cstheme="minorHAnsi"/>
          <w:lang w:val="fr-FR"/>
        </w:rPr>
        <w:t xml:space="preserve"> (n 50) </w:t>
      </w:r>
      <w:r w:rsidRPr="00834D0C">
        <w:rPr>
          <w:rFonts w:cstheme="minorHAnsi"/>
        </w:rPr>
        <w:t>108.</w:t>
      </w:r>
    </w:p>
  </w:footnote>
  <w:footnote w:id="404">
    <w:p w14:paraId="6C36E7AB" w14:textId="228D4BB1" w:rsidR="002B032D" w:rsidRPr="00834D0C" w:rsidRDefault="002B032D" w:rsidP="00163B41">
      <w:pPr>
        <w:pStyle w:val="FootnoteText"/>
        <w:jc w:val="both"/>
        <w:rPr>
          <w:rFonts w:cstheme="minorHAnsi"/>
          <w:lang w:val="fr-FR"/>
        </w:rPr>
      </w:pPr>
      <w:r w:rsidRPr="00834D0C">
        <w:rPr>
          <w:rStyle w:val="FootnoteReference"/>
          <w:rFonts w:cstheme="minorHAnsi"/>
        </w:rPr>
        <w:footnoteRef/>
      </w:r>
      <w:r w:rsidRPr="00834D0C">
        <w:rPr>
          <w:rFonts w:cstheme="minorHAnsi"/>
          <w:lang w:val="fr-FR"/>
        </w:rPr>
        <w:t xml:space="preserve"> </w:t>
      </w:r>
      <w:r w:rsidR="00356812" w:rsidRPr="00834D0C">
        <w:rPr>
          <w:rFonts w:cstheme="minorHAnsi"/>
          <w:lang w:val="de-DE"/>
        </w:rPr>
        <w:t xml:space="preserve">Kälin </w:t>
      </w:r>
      <w:r w:rsidR="00356812" w:rsidRPr="002F5312">
        <w:rPr>
          <w:rFonts w:cstheme="minorHAnsi"/>
          <w:i/>
          <w:iCs/>
          <w:lang w:val="de-DE"/>
        </w:rPr>
        <w:t>et al</w:t>
      </w:r>
      <w:r w:rsidR="00356812" w:rsidRPr="00834D0C">
        <w:rPr>
          <w:rFonts w:cstheme="minorHAnsi"/>
          <w:lang w:val="de-DE"/>
        </w:rPr>
        <w:t xml:space="preserve"> (n 35) </w:t>
      </w:r>
      <w:r w:rsidRPr="00834D0C">
        <w:rPr>
          <w:rFonts w:cstheme="minorHAnsi"/>
          <w:lang w:val="fr-FR"/>
        </w:rPr>
        <w:t>154.</w:t>
      </w:r>
    </w:p>
  </w:footnote>
  <w:footnote w:id="405">
    <w:p w14:paraId="11628AE1" w14:textId="4DD4B62F"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proofErr w:type="spellStart"/>
      <w:r w:rsidR="006D71D0" w:rsidRPr="00834D0C">
        <w:rPr>
          <w:rFonts w:cstheme="minorHAnsi"/>
        </w:rPr>
        <w:t>Sterio</w:t>
      </w:r>
      <w:proofErr w:type="spellEnd"/>
      <w:r w:rsidR="006D71D0" w:rsidRPr="00834D0C">
        <w:rPr>
          <w:rFonts w:cstheme="minorHAnsi"/>
        </w:rPr>
        <w:t xml:space="preserve"> (n 18) </w:t>
      </w:r>
      <w:r w:rsidRPr="00834D0C">
        <w:rPr>
          <w:rFonts w:cstheme="minorHAnsi"/>
        </w:rPr>
        <w:t xml:space="preserve">217. See also </w:t>
      </w:r>
      <w:r w:rsidR="007D0E05" w:rsidRPr="00834D0C">
        <w:rPr>
          <w:rFonts w:cstheme="minorHAnsi"/>
        </w:rPr>
        <w:t xml:space="preserve">Rosalyn Cohen, ‘The Concept of Statehood in United Nations Practice’ (1961) </w:t>
      </w:r>
      <w:r w:rsidR="00A958A6" w:rsidRPr="00834D0C">
        <w:rPr>
          <w:rFonts w:cstheme="minorHAnsi"/>
        </w:rPr>
        <w:t>109 U</w:t>
      </w:r>
      <w:r w:rsidR="007D0E05" w:rsidRPr="00834D0C">
        <w:rPr>
          <w:rFonts w:cstheme="minorHAnsi"/>
          <w:i/>
          <w:iCs/>
        </w:rPr>
        <w:t xml:space="preserve"> </w:t>
      </w:r>
      <w:r w:rsidRPr="00834D0C">
        <w:rPr>
          <w:rFonts w:cstheme="minorHAnsi"/>
          <w:i/>
          <w:iCs/>
        </w:rPr>
        <w:t>Pa</w:t>
      </w:r>
      <w:r w:rsidR="007D0E05" w:rsidRPr="00834D0C">
        <w:rPr>
          <w:rFonts w:cstheme="minorHAnsi"/>
          <w:i/>
          <w:iCs/>
        </w:rPr>
        <w:t xml:space="preserve"> </w:t>
      </w:r>
      <w:r w:rsidRPr="00834D0C">
        <w:rPr>
          <w:rFonts w:cstheme="minorHAnsi"/>
          <w:i/>
          <w:iCs/>
        </w:rPr>
        <w:t>L</w:t>
      </w:r>
      <w:r w:rsidR="007D0E05" w:rsidRPr="00834D0C">
        <w:rPr>
          <w:rFonts w:cstheme="minorHAnsi"/>
          <w:i/>
          <w:iCs/>
        </w:rPr>
        <w:t xml:space="preserve"> </w:t>
      </w:r>
      <w:r w:rsidRPr="00834D0C">
        <w:rPr>
          <w:rFonts w:cstheme="minorHAnsi"/>
          <w:i/>
          <w:iCs/>
        </w:rPr>
        <w:t>Rev</w:t>
      </w:r>
      <w:r w:rsidRPr="00834D0C">
        <w:rPr>
          <w:rFonts w:cstheme="minorHAnsi"/>
        </w:rPr>
        <w:t xml:space="preserve"> 1127</w:t>
      </w:r>
      <w:r w:rsidR="007D0E05" w:rsidRPr="00834D0C">
        <w:rPr>
          <w:rFonts w:cstheme="minorHAnsi"/>
        </w:rPr>
        <w:t xml:space="preserve">, </w:t>
      </w:r>
      <w:r w:rsidRPr="00834D0C">
        <w:rPr>
          <w:rFonts w:cstheme="minorHAnsi"/>
        </w:rPr>
        <w:t xml:space="preserve">1140. Examples are the </w:t>
      </w:r>
      <w:r w:rsidRPr="00834D0C">
        <w:rPr>
          <w:rFonts w:eastAsia="Times New Roman" w:cstheme="minorHAnsi"/>
          <w:lang w:eastAsia="en-GB"/>
        </w:rPr>
        <w:t xml:space="preserve">Marshall Islands, the Federated States of Micronesia and Palau and the US (see </w:t>
      </w:r>
      <w:r w:rsidR="007D0E05" w:rsidRPr="00834D0C">
        <w:rPr>
          <w:rFonts w:eastAsia="Times New Roman" w:cstheme="minorHAnsi"/>
          <w:lang w:eastAsia="en-GB"/>
        </w:rPr>
        <w:t>ICC</w:t>
      </w:r>
      <w:r w:rsidRPr="00834D0C">
        <w:rPr>
          <w:rFonts w:eastAsia="Times New Roman" w:cstheme="minorHAnsi"/>
          <w:lang w:eastAsia="en-GB"/>
        </w:rPr>
        <w:t xml:space="preserve">, </w:t>
      </w:r>
      <w:r w:rsidRPr="00834D0C">
        <w:rPr>
          <w:rFonts w:eastAsia="Times New Roman" w:cstheme="minorHAnsi"/>
          <w:i/>
          <w:iCs/>
          <w:lang w:eastAsia="en-GB"/>
        </w:rPr>
        <w:t>Situation in the State of Palestine</w:t>
      </w:r>
      <w:r w:rsidRPr="00834D0C">
        <w:rPr>
          <w:rFonts w:eastAsia="Times New Roman" w:cstheme="minorHAnsi"/>
          <w:iCs/>
          <w:lang w:eastAsia="en-GB"/>
        </w:rPr>
        <w:t>,</w:t>
      </w:r>
      <w:r w:rsidRPr="00834D0C">
        <w:rPr>
          <w:rFonts w:eastAsia="Times New Roman" w:cstheme="minorHAnsi"/>
          <w:i/>
          <w:iCs/>
          <w:lang w:eastAsia="en-GB"/>
        </w:rPr>
        <w:t xml:space="preserve"> </w:t>
      </w:r>
      <w:r w:rsidRPr="00834D0C">
        <w:rPr>
          <w:rFonts w:eastAsia="Times New Roman" w:cstheme="minorHAnsi"/>
          <w:lang w:eastAsia="en-GB"/>
        </w:rPr>
        <w:t xml:space="preserve">Submissions Pursuant to Rule 103 (John Quigley), ICC-01/18, 3 March 2020, </w:t>
      </w:r>
      <w:r w:rsidR="00643ED5" w:rsidRPr="00834D0C">
        <w:rPr>
          <w:rFonts w:eastAsia="Times New Roman" w:cstheme="minorHAnsi"/>
          <w:lang w:eastAsia="en-GB"/>
        </w:rPr>
        <w:t xml:space="preserve">para </w:t>
      </w:r>
      <w:r w:rsidRPr="00834D0C">
        <w:rPr>
          <w:rFonts w:eastAsia="Times New Roman" w:cstheme="minorHAnsi"/>
          <w:lang w:eastAsia="en-GB"/>
        </w:rPr>
        <w:t xml:space="preserve">48); Monaco and France (see </w:t>
      </w:r>
      <w:r w:rsidR="007D0E05" w:rsidRPr="00834D0C">
        <w:rPr>
          <w:rFonts w:eastAsia="Times New Roman" w:cstheme="minorHAnsi"/>
          <w:lang w:eastAsia="en-GB"/>
        </w:rPr>
        <w:t>ICC</w:t>
      </w:r>
      <w:r w:rsidRPr="00834D0C">
        <w:rPr>
          <w:rFonts w:eastAsia="Times New Roman" w:cstheme="minorHAnsi"/>
          <w:lang w:eastAsia="en-GB"/>
        </w:rPr>
        <w:t xml:space="preserve">, </w:t>
      </w:r>
      <w:r w:rsidRPr="00834D0C">
        <w:rPr>
          <w:rFonts w:eastAsia="Times New Roman" w:cstheme="minorHAnsi"/>
          <w:iCs/>
          <w:lang w:eastAsia="en-GB"/>
        </w:rPr>
        <w:t>Situation in the State of Palestine,</w:t>
      </w:r>
      <w:r w:rsidRPr="00834D0C">
        <w:rPr>
          <w:rFonts w:eastAsia="Times New Roman" w:cstheme="minorHAnsi"/>
          <w:i/>
          <w:iCs/>
          <w:lang w:eastAsia="en-GB"/>
        </w:rPr>
        <w:t xml:space="preserve"> </w:t>
      </w:r>
      <w:r w:rsidRPr="00834D0C">
        <w:rPr>
          <w:rFonts w:eastAsia="Times New Roman" w:cstheme="minorHAnsi"/>
          <w:lang w:eastAsia="en-GB"/>
        </w:rPr>
        <w:t xml:space="preserve">Submissions Pursuant to Rule 103 (John Quigley), ICC-01/18, 3 March 2020, </w:t>
      </w:r>
      <w:r w:rsidR="00643ED5" w:rsidRPr="00834D0C">
        <w:rPr>
          <w:rFonts w:eastAsia="Times New Roman" w:cstheme="minorHAnsi"/>
          <w:lang w:eastAsia="en-GB"/>
        </w:rPr>
        <w:t>para</w:t>
      </w:r>
      <w:r w:rsidRPr="00834D0C">
        <w:rPr>
          <w:rFonts w:eastAsia="Times New Roman" w:cstheme="minorHAnsi"/>
          <w:lang w:eastAsia="en-GB"/>
        </w:rPr>
        <w:t xml:space="preserve"> 47); Liechtenstein and Switzerland; Cook Islands and New Zealand.</w:t>
      </w:r>
    </w:p>
  </w:footnote>
  <w:footnote w:id="406">
    <w:p w14:paraId="197ECABF" w14:textId="5FBFCE7D" w:rsidR="002B032D" w:rsidRPr="00834D0C" w:rsidRDefault="002B032D" w:rsidP="00163B41">
      <w:pPr>
        <w:pStyle w:val="FootnoteText"/>
        <w:jc w:val="both"/>
      </w:pPr>
      <w:r w:rsidRPr="00834D0C">
        <w:rPr>
          <w:rStyle w:val="FootnoteReference"/>
        </w:rPr>
        <w:footnoteRef/>
      </w:r>
      <w:r w:rsidRPr="00834D0C">
        <w:t xml:space="preserve"> Constitution of Abkhazia, Art 2; Constitution of South-Ossetia, </w:t>
      </w:r>
      <w:r w:rsidR="00545051" w:rsidRPr="00834D0C">
        <w:t xml:space="preserve">Art </w:t>
      </w:r>
      <w:r w:rsidRPr="00834D0C">
        <w:t>1(2).</w:t>
      </w:r>
    </w:p>
  </w:footnote>
  <w:footnote w:id="407">
    <w:p w14:paraId="34E39BE5" w14:textId="2FC70B87"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 xml:space="preserve">132. See also </w:t>
      </w:r>
      <w:r w:rsidR="00FA029C" w:rsidRPr="00834D0C">
        <w:t xml:space="preserve">De Waal </w:t>
      </w:r>
      <w:r w:rsidR="00FA029C" w:rsidRPr="00834D0C">
        <w:rPr>
          <w:rFonts w:cstheme="minorHAnsi"/>
        </w:rPr>
        <w:t xml:space="preserve">(n 256) </w:t>
      </w:r>
      <w:r w:rsidRPr="00834D0C">
        <w:t>4.</w:t>
      </w:r>
    </w:p>
  </w:footnote>
  <w:footnote w:id="408">
    <w:p w14:paraId="0FC66835" w14:textId="71C1B844"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De Waal </w:t>
      </w:r>
      <w:r w:rsidR="00FA029C" w:rsidRPr="00834D0C">
        <w:rPr>
          <w:rFonts w:cstheme="minorHAnsi"/>
        </w:rPr>
        <w:t xml:space="preserve">(n 256) </w:t>
      </w:r>
      <w:r w:rsidRPr="00834D0C">
        <w:t>4.</w:t>
      </w:r>
    </w:p>
  </w:footnote>
  <w:footnote w:id="409">
    <w:p w14:paraId="3D42B6DA" w14:textId="1C795E1A" w:rsidR="002B032D" w:rsidRPr="00834D0C" w:rsidRDefault="002B032D" w:rsidP="00163B41">
      <w:pPr>
        <w:pStyle w:val="FootnoteText"/>
        <w:jc w:val="both"/>
      </w:pPr>
      <w:r w:rsidRPr="00834D0C">
        <w:rPr>
          <w:rStyle w:val="FootnoteReference"/>
        </w:rPr>
        <w:footnoteRef/>
      </w:r>
      <w:r w:rsidRPr="00834D0C">
        <w:t xml:space="preserve"> Freedom House, Freedom in the World 2022 – South Ossetia</w:t>
      </w:r>
      <w:r w:rsidR="00486060" w:rsidRPr="00834D0C">
        <w:t>, available at https://freedomhouse.org/country/south-ossetia/freedom-world/2022</w:t>
      </w:r>
      <w:r w:rsidRPr="00834D0C">
        <w:t>.</w:t>
      </w:r>
    </w:p>
  </w:footnote>
  <w:footnote w:id="410">
    <w:p w14:paraId="3D27D683" w14:textId="75EDEE72" w:rsidR="002B032D" w:rsidRPr="00834D0C" w:rsidRDefault="002B032D" w:rsidP="00163B41">
      <w:pPr>
        <w:pStyle w:val="FootnoteText"/>
        <w:jc w:val="both"/>
      </w:pPr>
      <w:r w:rsidRPr="00834D0C">
        <w:rPr>
          <w:rStyle w:val="FootnoteReference"/>
        </w:rPr>
        <w:footnoteRef/>
      </w:r>
      <w:r w:rsidRPr="00834D0C">
        <w:t xml:space="preserve"> P</w:t>
      </w:r>
      <w:r w:rsidR="002F3085" w:rsidRPr="00834D0C">
        <w:t>olina</w:t>
      </w:r>
      <w:r w:rsidRPr="00834D0C">
        <w:t xml:space="preserve"> I </w:t>
      </w:r>
      <w:proofErr w:type="spellStart"/>
      <w:r w:rsidRPr="00834D0C">
        <w:t>Kvacheva</w:t>
      </w:r>
      <w:proofErr w:type="spellEnd"/>
      <w:r w:rsidR="002F3085" w:rsidRPr="00834D0C">
        <w:t xml:space="preserve"> and </w:t>
      </w:r>
      <w:r w:rsidRPr="00834D0C">
        <w:t>S</w:t>
      </w:r>
      <w:r w:rsidR="002F3085" w:rsidRPr="00834D0C">
        <w:t>vetlana</w:t>
      </w:r>
      <w:r w:rsidRPr="00834D0C">
        <w:t xml:space="preserve"> V Petrova, </w:t>
      </w:r>
      <w:r w:rsidR="002F3085" w:rsidRPr="00834D0C">
        <w:t>‘</w:t>
      </w:r>
      <w:r w:rsidRPr="00834D0C">
        <w:t>Political and Legal Status of Unrecognized States in the Modern World: Historical and Legal Aspects (A Case Study of the Republic of Abkhazia)</w:t>
      </w:r>
      <w:r w:rsidR="002F3085" w:rsidRPr="00834D0C">
        <w:t>’ (2017) 1(35)</w:t>
      </w:r>
      <w:r w:rsidRPr="00834D0C">
        <w:t xml:space="preserve"> </w:t>
      </w:r>
      <w:r w:rsidRPr="00834D0C">
        <w:rPr>
          <w:i/>
          <w:iCs/>
        </w:rPr>
        <w:t>Perm University Herald Juridical Sciences</w:t>
      </w:r>
      <w:r w:rsidRPr="00834D0C">
        <w:t xml:space="preserve"> 56</w:t>
      </w:r>
      <w:r w:rsidR="002F3085" w:rsidRPr="00834D0C">
        <w:t xml:space="preserve">, </w:t>
      </w:r>
      <w:r w:rsidRPr="00834D0C">
        <w:t>59</w:t>
      </w:r>
      <w:r w:rsidR="007D0E05" w:rsidRPr="00834D0C">
        <w:t>;</w:t>
      </w:r>
      <w:r w:rsidRPr="00834D0C">
        <w:t xml:space="preserve"> </w:t>
      </w:r>
      <w:r w:rsidR="009037C8" w:rsidRPr="00834D0C">
        <w:t xml:space="preserve">EU </w:t>
      </w:r>
      <w:r w:rsidR="009037C8" w:rsidRPr="00834D0C">
        <w:rPr>
          <w:rFonts w:cstheme="minorHAnsi"/>
        </w:rPr>
        <w:t xml:space="preserve">(n 20) </w:t>
      </w:r>
      <w:r w:rsidRPr="00834D0C">
        <w:t xml:space="preserve">133;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500.</w:t>
      </w:r>
    </w:p>
  </w:footnote>
  <w:footnote w:id="411">
    <w:p w14:paraId="487ACE55" w14:textId="71A3242E" w:rsidR="002B032D" w:rsidRPr="00834D0C" w:rsidRDefault="002B032D" w:rsidP="00163B41">
      <w:pPr>
        <w:pStyle w:val="FootnoteText"/>
        <w:jc w:val="both"/>
      </w:pPr>
      <w:r w:rsidRPr="00834D0C">
        <w:rPr>
          <w:rStyle w:val="FootnoteReference"/>
        </w:rPr>
        <w:footnoteRef/>
      </w:r>
      <w:r w:rsidRPr="00834D0C">
        <w:t xml:space="preserve"> </w:t>
      </w:r>
      <w:proofErr w:type="spellStart"/>
      <w:r w:rsidRPr="00834D0C">
        <w:t>Kvacheva</w:t>
      </w:r>
      <w:proofErr w:type="spellEnd"/>
      <w:r w:rsidR="002F5312">
        <w:t xml:space="preserve"> </w:t>
      </w:r>
      <w:r w:rsidR="002F5312">
        <w:rPr>
          <w:rFonts w:cstheme="minorHAnsi"/>
        </w:rPr>
        <w:t>and</w:t>
      </w:r>
      <w:r w:rsidR="002F5312" w:rsidRPr="00834D0C">
        <w:t xml:space="preserve"> </w:t>
      </w:r>
      <w:r w:rsidRPr="00834D0C">
        <w:t xml:space="preserve">Petrova </w:t>
      </w:r>
      <w:r w:rsidRPr="00834D0C">
        <w:rPr>
          <w:rFonts w:cstheme="minorHAnsi"/>
        </w:rPr>
        <w:t>(</w:t>
      </w:r>
      <w:r w:rsidR="0084605E" w:rsidRPr="00834D0C">
        <w:rPr>
          <w:rFonts w:cstheme="minorHAnsi"/>
        </w:rPr>
        <w:t>n</w:t>
      </w:r>
      <w:r w:rsidRPr="00834D0C">
        <w:rPr>
          <w:rFonts w:cstheme="minorHAnsi"/>
        </w:rPr>
        <w:t xml:space="preserve"> </w:t>
      </w:r>
      <w:r w:rsidR="002F3085" w:rsidRPr="00834D0C">
        <w:rPr>
          <w:rFonts w:cstheme="minorHAnsi"/>
        </w:rPr>
        <w:t>409)</w:t>
      </w:r>
      <w:r w:rsidRPr="00834D0C">
        <w:t xml:space="preserve"> 60.</w:t>
      </w:r>
    </w:p>
  </w:footnote>
  <w:footnote w:id="412">
    <w:p w14:paraId="7A0BA134" w14:textId="38DA05C0" w:rsidR="002B032D" w:rsidRPr="00834D0C" w:rsidRDefault="002B032D" w:rsidP="00163B41">
      <w:pPr>
        <w:pStyle w:val="FootnoteText"/>
        <w:jc w:val="both"/>
      </w:pPr>
      <w:r w:rsidRPr="00834D0C">
        <w:rPr>
          <w:rStyle w:val="FootnoteReference"/>
        </w:rPr>
        <w:footnoteRef/>
      </w:r>
      <w:r w:rsidRPr="00834D0C">
        <w:t xml:space="preserve"> See </w:t>
      </w:r>
      <w:r w:rsidR="00FA5670" w:rsidRPr="00834D0C">
        <w:rPr>
          <w:i/>
          <w:iCs/>
        </w:rPr>
        <w:t xml:space="preserve">ibid </w:t>
      </w:r>
      <w:r w:rsidRPr="00834D0C">
        <w:t>59.</w:t>
      </w:r>
    </w:p>
  </w:footnote>
  <w:footnote w:id="413">
    <w:p w14:paraId="35E54BAC" w14:textId="5012A05D" w:rsidR="002B032D" w:rsidRPr="00834D0C" w:rsidRDefault="002B032D" w:rsidP="00163B41">
      <w:pPr>
        <w:pStyle w:val="FootnoteText"/>
        <w:jc w:val="both"/>
      </w:pPr>
      <w:r w:rsidRPr="00834D0C">
        <w:rPr>
          <w:rStyle w:val="FootnoteReference"/>
        </w:rPr>
        <w:footnoteRef/>
      </w:r>
      <w:r w:rsidRPr="00834D0C">
        <w:t xml:space="preserve"> Freedom House, Freedom in the World 2022 – Abkhazia</w:t>
      </w:r>
      <w:r w:rsidR="00486060" w:rsidRPr="00834D0C">
        <w:t>, available at https://freedomhouse.org/country/abkhazia/freedom-world/2022</w:t>
      </w:r>
      <w:r w:rsidRPr="00834D0C">
        <w:t>.</w:t>
      </w:r>
    </w:p>
  </w:footnote>
  <w:footnote w:id="414">
    <w:p w14:paraId="209EA3EE" w14:textId="6A4C828F" w:rsidR="002B032D" w:rsidRPr="00834D0C" w:rsidRDefault="002B032D" w:rsidP="00163B41">
      <w:pPr>
        <w:pStyle w:val="FootnoteText"/>
        <w:jc w:val="both"/>
      </w:pPr>
      <w:r w:rsidRPr="00834D0C">
        <w:rPr>
          <w:rStyle w:val="FootnoteReference"/>
        </w:rPr>
        <w:footnoteRef/>
      </w:r>
      <w:r w:rsidRPr="00834D0C">
        <w:t xml:space="preserve"> </w:t>
      </w:r>
      <w:r w:rsidR="00FA5670" w:rsidRPr="00834D0C">
        <w:rPr>
          <w:i/>
          <w:iCs/>
        </w:rPr>
        <w:t>Ibidem</w:t>
      </w:r>
      <w:r w:rsidRPr="00834D0C">
        <w:t>.</w:t>
      </w:r>
    </w:p>
  </w:footnote>
  <w:footnote w:id="415">
    <w:p w14:paraId="775D708D" w14:textId="20C49D94"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t>Kvacheva</w:t>
      </w:r>
      <w:proofErr w:type="spellEnd"/>
      <w:r w:rsidR="002F5312">
        <w:t xml:space="preserve"> </w:t>
      </w:r>
      <w:r w:rsidR="002F5312">
        <w:rPr>
          <w:rFonts w:cstheme="minorHAnsi"/>
        </w:rPr>
        <w:t>and</w:t>
      </w:r>
      <w:r w:rsidR="002F5312" w:rsidRPr="00834D0C">
        <w:t xml:space="preserve"> </w:t>
      </w:r>
      <w:r w:rsidR="002F3085" w:rsidRPr="00834D0C">
        <w:t xml:space="preserve">Petrova </w:t>
      </w:r>
      <w:r w:rsidR="002F3085" w:rsidRPr="00834D0C">
        <w:rPr>
          <w:rFonts w:cstheme="minorHAnsi"/>
        </w:rPr>
        <w:t xml:space="preserve">(n 409) </w:t>
      </w:r>
      <w:r w:rsidRPr="00834D0C">
        <w:t>63.</w:t>
      </w:r>
    </w:p>
  </w:footnote>
  <w:footnote w:id="416">
    <w:p w14:paraId="34714E47" w14:textId="3E133853"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rPr>
          <w:rFonts w:cstheme="minorHAnsi"/>
          <w:iCs/>
          <w:lang w:val="fr-FR"/>
        </w:rPr>
        <w:t>Kolstø</w:t>
      </w:r>
      <w:proofErr w:type="spellEnd"/>
      <w:r w:rsidR="002F5312">
        <w:rPr>
          <w:rFonts w:cstheme="minorHAnsi"/>
          <w:iCs/>
          <w:lang w:val="fr-FR"/>
        </w:rPr>
        <w:t xml:space="preserve"> </w:t>
      </w:r>
      <w:r w:rsidR="002F5312">
        <w:rPr>
          <w:rFonts w:cstheme="minorHAnsi"/>
        </w:rPr>
        <w:t>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506.</w:t>
      </w:r>
    </w:p>
  </w:footnote>
  <w:footnote w:id="417">
    <w:p w14:paraId="2100D954" w14:textId="26E4C571" w:rsidR="002B032D" w:rsidRPr="00834D0C" w:rsidRDefault="002B032D" w:rsidP="00163B41">
      <w:pPr>
        <w:pStyle w:val="FootnoteText"/>
        <w:jc w:val="both"/>
      </w:pPr>
      <w:r w:rsidRPr="00834D0C">
        <w:rPr>
          <w:rStyle w:val="FootnoteReference"/>
        </w:rPr>
        <w:footnoteRef/>
      </w:r>
      <w:r w:rsidRPr="00834D0C">
        <w:t xml:space="preserve"> Freedom House</w:t>
      </w:r>
      <w:r w:rsidR="00486060" w:rsidRPr="00834D0C">
        <w:t xml:space="preserve"> </w:t>
      </w:r>
      <w:r w:rsidRPr="00834D0C">
        <w:t>South Ossetia</w:t>
      </w:r>
      <w:r w:rsidR="00486060" w:rsidRPr="00834D0C">
        <w:t xml:space="preserve"> (n 408)</w:t>
      </w:r>
      <w:r w:rsidRPr="00834D0C">
        <w:t>.</w:t>
      </w:r>
    </w:p>
  </w:footnote>
  <w:footnote w:id="418">
    <w:p w14:paraId="3405FD56" w14:textId="2D6475B4" w:rsidR="002B032D" w:rsidRPr="00834D0C" w:rsidRDefault="002B032D" w:rsidP="00163B41">
      <w:pPr>
        <w:pStyle w:val="FootnoteText"/>
        <w:jc w:val="both"/>
      </w:pPr>
      <w:r w:rsidRPr="00834D0C">
        <w:rPr>
          <w:rStyle w:val="FootnoteReference"/>
        </w:rPr>
        <w:footnoteRef/>
      </w:r>
      <w:r w:rsidRPr="00834D0C">
        <w:t xml:space="preserve"> Cited in </w:t>
      </w:r>
      <w:r w:rsidR="00FA029C" w:rsidRPr="00834D0C">
        <w:t xml:space="preserve">De Waal </w:t>
      </w:r>
      <w:r w:rsidR="00FA029C" w:rsidRPr="00834D0C">
        <w:rPr>
          <w:rFonts w:cstheme="minorHAnsi"/>
        </w:rPr>
        <w:t xml:space="preserve">(n 256) </w:t>
      </w:r>
      <w:r w:rsidRPr="00834D0C">
        <w:t>5.</w:t>
      </w:r>
    </w:p>
  </w:footnote>
  <w:footnote w:id="419">
    <w:p w14:paraId="3B2E082F" w14:textId="0DED2C1B" w:rsidR="002B032D" w:rsidRPr="00834D0C" w:rsidRDefault="002B032D" w:rsidP="00163B41">
      <w:pPr>
        <w:pStyle w:val="FootnoteText"/>
        <w:jc w:val="both"/>
        <w:rPr>
          <w:rFonts w:cstheme="minorHAnsi"/>
          <w:b/>
          <w:bCs/>
          <w:iCs/>
        </w:rPr>
      </w:pPr>
      <w:r w:rsidRPr="00834D0C">
        <w:rPr>
          <w:rStyle w:val="FootnoteReference"/>
          <w:rFonts w:cstheme="minorHAnsi"/>
        </w:rPr>
        <w:footnoteRef/>
      </w:r>
      <w:r w:rsidRPr="00834D0C">
        <w:rPr>
          <w:rFonts w:cstheme="minorHAnsi"/>
        </w:rPr>
        <w:t xml:space="preserve"> </w:t>
      </w:r>
      <w:r w:rsidR="009310E7" w:rsidRPr="00834D0C">
        <w:rPr>
          <w:rFonts w:cstheme="minorHAnsi"/>
        </w:rPr>
        <w:t xml:space="preserve">Caspersen (n 99) </w:t>
      </w:r>
      <w:r w:rsidRPr="00834D0C">
        <w:rPr>
          <w:rFonts w:cstheme="minorHAnsi"/>
        </w:rPr>
        <w:t xml:space="preserve">56. According to </w:t>
      </w:r>
      <w:proofErr w:type="spellStart"/>
      <w:r w:rsidRPr="00834D0C">
        <w:rPr>
          <w:rFonts w:cstheme="minorHAnsi"/>
        </w:rPr>
        <w:t>Kvacheva</w:t>
      </w:r>
      <w:proofErr w:type="spellEnd"/>
      <w:r w:rsidR="002F5312">
        <w:rPr>
          <w:rFonts w:cstheme="minorHAnsi"/>
        </w:rPr>
        <w:t xml:space="preserve"> </w:t>
      </w:r>
      <w:r w:rsidR="002F5312">
        <w:rPr>
          <w:rFonts w:cstheme="minorHAnsi"/>
        </w:rPr>
        <w:t>and</w:t>
      </w:r>
      <w:r w:rsidR="002F5312" w:rsidRPr="00834D0C">
        <w:rPr>
          <w:rFonts w:cstheme="minorHAnsi"/>
        </w:rPr>
        <w:t xml:space="preserve"> </w:t>
      </w:r>
      <w:r w:rsidRPr="00834D0C">
        <w:rPr>
          <w:rFonts w:cstheme="minorHAnsi"/>
        </w:rPr>
        <w:t>Petrova</w:t>
      </w:r>
      <w:r w:rsidRPr="00834D0C">
        <w:rPr>
          <w:rFonts w:cstheme="minorHAnsi"/>
          <w:i/>
          <w:iCs/>
        </w:rPr>
        <w:t xml:space="preserve"> </w:t>
      </w:r>
      <w:r w:rsidRPr="00834D0C">
        <w:rPr>
          <w:rFonts w:cstheme="minorHAnsi"/>
          <w:iCs/>
        </w:rPr>
        <w:t xml:space="preserve">90% of the South Ossetian and 70% of the Abkhazian budgets are stemming from Russia. </w:t>
      </w:r>
      <w:proofErr w:type="spellStart"/>
      <w:r w:rsidR="002F3085" w:rsidRPr="00834D0C">
        <w:t>Kvacheva</w:t>
      </w:r>
      <w:proofErr w:type="spellEnd"/>
      <w:r w:rsidR="002F5312">
        <w:t xml:space="preserve"> </w:t>
      </w:r>
      <w:r w:rsidR="002F5312">
        <w:rPr>
          <w:rFonts w:cstheme="minorHAnsi"/>
        </w:rPr>
        <w:t>and</w:t>
      </w:r>
      <w:r w:rsidR="002F3085" w:rsidRPr="00834D0C">
        <w:t xml:space="preserve"> Petrova </w:t>
      </w:r>
      <w:r w:rsidR="002F3085" w:rsidRPr="00834D0C">
        <w:rPr>
          <w:rFonts w:cstheme="minorHAnsi"/>
        </w:rPr>
        <w:t xml:space="preserve">(n 409) </w:t>
      </w:r>
      <w:r w:rsidRPr="00834D0C">
        <w:t>59.</w:t>
      </w:r>
    </w:p>
  </w:footnote>
  <w:footnote w:id="420">
    <w:p w14:paraId="5E85AE63" w14:textId="0D23B1B0"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De Waal </w:t>
      </w:r>
      <w:r w:rsidR="00FA029C" w:rsidRPr="00834D0C">
        <w:rPr>
          <w:rFonts w:cstheme="minorHAnsi"/>
        </w:rPr>
        <w:t xml:space="preserve">(n 256) </w:t>
      </w:r>
      <w:r w:rsidRPr="00834D0C">
        <w:t>8.</w:t>
      </w:r>
    </w:p>
  </w:footnote>
  <w:footnote w:id="421">
    <w:p w14:paraId="4AE77686" w14:textId="6C2172DD"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German </w:t>
      </w:r>
      <w:r w:rsidR="00FA029C" w:rsidRPr="00834D0C">
        <w:rPr>
          <w:rFonts w:cstheme="minorHAnsi"/>
        </w:rPr>
        <w:t xml:space="preserve">(n 44) </w:t>
      </w:r>
      <w:r w:rsidRPr="00834D0C">
        <w:t>161.</w:t>
      </w:r>
    </w:p>
  </w:footnote>
  <w:footnote w:id="422">
    <w:p w14:paraId="11B1D615" w14:textId="759F0233" w:rsidR="002B032D" w:rsidRPr="00834D0C" w:rsidRDefault="002B032D" w:rsidP="00163B41">
      <w:pPr>
        <w:pStyle w:val="FootnoteText"/>
        <w:jc w:val="both"/>
      </w:pPr>
      <w:r w:rsidRPr="00834D0C">
        <w:rPr>
          <w:rStyle w:val="FootnoteReference"/>
        </w:rPr>
        <w:footnoteRef/>
      </w:r>
      <w:r w:rsidRPr="00834D0C">
        <w:t xml:space="preserve"> </w:t>
      </w:r>
      <w:r w:rsidR="00486060" w:rsidRPr="00834D0C">
        <w:t>Freedom House Abkhazia (n 412)</w:t>
      </w:r>
      <w:r w:rsidRPr="00834D0C">
        <w:t>.</w:t>
      </w:r>
    </w:p>
  </w:footnote>
  <w:footnote w:id="423">
    <w:p w14:paraId="47D76144" w14:textId="2D23161D" w:rsidR="002B032D" w:rsidRPr="00834D0C" w:rsidRDefault="002B032D" w:rsidP="00163B41">
      <w:pPr>
        <w:pStyle w:val="FootnoteText"/>
        <w:jc w:val="both"/>
      </w:pPr>
      <w:r w:rsidRPr="00834D0C">
        <w:rPr>
          <w:rStyle w:val="FootnoteReference"/>
        </w:rPr>
        <w:footnoteRef/>
      </w:r>
      <w:r w:rsidRPr="00834D0C">
        <w:t xml:space="preserve"> Treaty between the Russian Federation and the Republic of South Ossetia on Alliance and Integration</w:t>
      </w:r>
      <w:r w:rsidR="00486060" w:rsidRPr="00834D0C">
        <w:t xml:space="preserve">, available at </w:t>
      </w:r>
      <w:r w:rsidRPr="00834D0C">
        <w:t>http://kremlin.ru/supplement/4819.</w:t>
      </w:r>
    </w:p>
  </w:footnote>
  <w:footnote w:id="424">
    <w:p w14:paraId="2CBB437F" w14:textId="427081DD" w:rsidR="002B032D" w:rsidRPr="00834D0C" w:rsidRDefault="002B032D" w:rsidP="00163B41">
      <w:pPr>
        <w:pStyle w:val="FootnoteText"/>
        <w:jc w:val="both"/>
      </w:pPr>
      <w:r w:rsidRPr="00834D0C">
        <w:rPr>
          <w:rStyle w:val="FootnoteReference"/>
        </w:rPr>
        <w:footnoteRef/>
      </w:r>
      <w:r w:rsidRPr="00834D0C">
        <w:t xml:space="preserve"> Treaty between the Russian Federation and the Republic of Abkhazia on Alliance and Strategic Partnership</w:t>
      </w:r>
      <w:r w:rsidR="00486060" w:rsidRPr="00834D0C">
        <w:t>, available at</w:t>
      </w:r>
      <w:r w:rsidRPr="00834D0C">
        <w:t xml:space="preserve"> http://kremlin.ru/supplement/4783. </w:t>
      </w:r>
    </w:p>
  </w:footnote>
  <w:footnote w:id="425">
    <w:p w14:paraId="7056A77D" w14:textId="30AD2D2C" w:rsidR="002B032D" w:rsidRPr="00834D0C" w:rsidRDefault="002B032D" w:rsidP="00163B41">
      <w:pPr>
        <w:pStyle w:val="FootnoteText"/>
        <w:jc w:val="both"/>
      </w:pPr>
      <w:r w:rsidRPr="00834D0C">
        <w:rPr>
          <w:rStyle w:val="FootnoteReference"/>
        </w:rPr>
        <w:footnoteRef/>
      </w:r>
      <w:r w:rsidRPr="00834D0C">
        <w:t xml:space="preserve"> Constitution of South-Ossetia, </w:t>
      </w:r>
      <w:r w:rsidR="00545051" w:rsidRPr="00834D0C">
        <w:t xml:space="preserve">Art </w:t>
      </w:r>
      <w:r w:rsidRPr="00834D0C">
        <w:t>3(3).</w:t>
      </w:r>
    </w:p>
  </w:footnote>
  <w:footnote w:id="426">
    <w:p w14:paraId="2137D775" w14:textId="52032AD8" w:rsidR="002B032D" w:rsidRPr="00834D0C" w:rsidRDefault="002B032D" w:rsidP="00163B41">
      <w:pPr>
        <w:pStyle w:val="FootnoteText"/>
        <w:jc w:val="both"/>
      </w:pPr>
      <w:r w:rsidRPr="00834D0C">
        <w:rPr>
          <w:rStyle w:val="FootnoteReference"/>
        </w:rPr>
        <w:footnoteRef/>
      </w:r>
      <w:r w:rsidRPr="00834D0C">
        <w:rPr>
          <w:lang w:val="fr-FR"/>
        </w:rPr>
        <w:t xml:space="preserve"> For South </w:t>
      </w:r>
      <w:proofErr w:type="spellStart"/>
      <w:r w:rsidRPr="00834D0C">
        <w:rPr>
          <w:lang w:val="fr-FR"/>
        </w:rPr>
        <w:t>Ossetia</w:t>
      </w:r>
      <w:proofErr w:type="spellEnd"/>
      <w:r w:rsidRPr="00834D0C">
        <w:rPr>
          <w:lang w:val="fr-FR"/>
        </w:rPr>
        <w:t xml:space="preserve">, </w:t>
      </w:r>
      <w:proofErr w:type="spellStart"/>
      <w:r w:rsidRPr="00834D0C">
        <w:rPr>
          <w:lang w:val="fr-FR"/>
        </w:rPr>
        <w:t>see</w:t>
      </w:r>
      <w:proofErr w:type="spellEnd"/>
      <w:r w:rsidRPr="00834D0C">
        <w:rPr>
          <w:lang w:val="fr-FR"/>
        </w:rPr>
        <w:t xml:space="preserve"> </w:t>
      </w:r>
      <w:r w:rsidRPr="00834D0C">
        <w:rPr>
          <w:rFonts w:cstheme="minorHAnsi"/>
          <w:lang w:val="fr-FR"/>
        </w:rPr>
        <w:t>German</w:t>
      </w:r>
      <w:r w:rsidR="00FA5670" w:rsidRPr="00834D0C">
        <w:rPr>
          <w:rFonts w:cstheme="minorHAnsi"/>
          <w:lang w:val="fr-FR"/>
        </w:rPr>
        <w:t xml:space="preserve"> (</w:t>
      </w:r>
      <w:r w:rsidR="0084605E" w:rsidRPr="00834D0C">
        <w:rPr>
          <w:rFonts w:cstheme="minorHAnsi"/>
          <w:lang w:val="fr-FR"/>
        </w:rPr>
        <w:t>n</w:t>
      </w:r>
      <w:r w:rsidRPr="00834D0C">
        <w:rPr>
          <w:rFonts w:cstheme="minorHAnsi"/>
          <w:lang w:val="fr-FR"/>
        </w:rPr>
        <w:t xml:space="preserve"> </w:t>
      </w:r>
      <w:r w:rsidR="00FA5670" w:rsidRPr="00834D0C">
        <w:rPr>
          <w:rFonts w:cstheme="minorHAnsi"/>
          <w:lang w:val="fr-FR"/>
        </w:rPr>
        <w:t>73</w:t>
      </w:r>
      <w:r w:rsidRPr="00834D0C">
        <w:rPr>
          <w:rFonts w:cstheme="minorHAnsi"/>
          <w:lang w:val="fr-FR"/>
        </w:rPr>
        <w:t>) 59.</w:t>
      </w:r>
      <w:r w:rsidRPr="00834D0C">
        <w:rPr>
          <w:lang w:val="fr-FR"/>
        </w:rPr>
        <w:t xml:space="preserve"> </w:t>
      </w:r>
      <w:r w:rsidRPr="00834D0C">
        <w:t xml:space="preserve">For both entities, see </w:t>
      </w:r>
      <w:r w:rsidR="009037C8" w:rsidRPr="00834D0C">
        <w:t xml:space="preserve">EU </w:t>
      </w:r>
      <w:r w:rsidR="009037C8" w:rsidRPr="00834D0C">
        <w:rPr>
          <w:rFonts w:cstheme="minorHAnsi"/>
        </w:rPr>
        <w:t xml:space="preserve">(n 20) </w:t>
      </w:r>
      <w:r w:rsidRPr="00834D0C">
        <w:t>17-18 and 127-135.</w:t>
      </w:r>
    </w:p>
  </w:footnote>
  <w:footnote w:id="427">
    <w:p w14:paraId="2C86C402" w14:textId="29F3B918" w:rsidR="002B032D" w:rsidRPr="00834D0C" w:rsidRDefault="002B032D" w:rsidP="00163B41">
      <w:pPr>
        <w:pStyle w:val="FootnoteText"/>
        <w:jc w:val="both"/>
      </w:pPr>
      <w:r w:rsidRPr="00834D0C">
        <w:rPr>
          <w:rStyle w:val="FootnoteReference"/>
        </w:rPr>
        <w:footnoteRef/>
      </w:r>
      <w:r w:rsidRPr="00834D0C">
        <w:t xml:space="preserve"> </w:t>
      </w:r>
      <w:r w:rsidR="00792B2E" w:rsidRPr="00834D0C">
        <w:rPr>
          <w:rFonts w:cstheme="minorHAnsi"/>
        </w:rPr>
        <w:t>ECtHR</w:t>
      </w:r>
      <w:r w:rsidRPr="00834D0C">
        <w:t xml:space="preserve">, </w:t>
      </w:r>
      <w:r w:rsidRPr="00834D0C">
        <w:rPr>
          <w:i/>
          <w:iCs/>
        </w:rPr>
        <w:t>Georgia v Russia (II)</w:t>
      </w:r>
      <w:r w:rsidRPr="00834D0C">
        <w:t xml:space="preserve">, Application No 38263/08, 21 January 2021, </w:t>
      </w:r>
      <w:r w:rsidR="00643ED5" w:rsidRPr="00834D0C">
        <w:t xml:space="preserve">para </w:t>
      </w:r>
      <w:r w:rsidRPr="00834D0C">
        <w:t>43.</w:t>
      </w:r>
    </w:p>
  </w:footnote>
  <w:footnote w:id="428">
    <w:p w14:paraId="3FE6B6DA" w14:textId="7CAB7E00" w:rsidR="002B032D" w:rsidRPr="00834D0C" w:rsidRDefault="002B032D" w:rsidP="00163B41">
      <w:pPr>
        <w:pStyle w:val="FootnoteText"/>
        <w:jc w:val="both"/>
      </w:pPr>
      <w:r w:rsidRPr="00834D0C">
        <w:rPr>
          <w:rStyle w:val="FootnoteReference"/>
        </w:rPr>
        <w:footnoteRef/>
      </w:r>
      <w:r w:rsidRPr="00834D0C">
        <w:t xml:space="preserve"> For South Ossetia, see </w:t>
      </w:r>
      <w:r w:rsidR="00FA029C" w:rsidRPr="00834D0C">
        <w:t xml:space="preserve">German </w:t>
      </w:r>
      <w:r w:rsidR="00FA029C" w:rsidRPr="00834D0C">
        <w:rPr>
          <w:rFonts w:cstheme="minorHAnsi"/>
        </w:rPr>
        <w:t xml:space="preserve">(n 44) </w:t>
      </w:r>
      <w:r w:rsidRPr="00834D0C">
        <w:t>160.</w:t>
      </w:r>
    </w:p>
  </w:footnote>
  <w:footnote w:id="429">
    <w:p w14:paraId="54A88FA1" w14:textId="36984DE1"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South Ossetia (n 422) </w:t>
      </w:r>
      <w:r w:rsidR="00545051" w:rsidRPr="00834D0C">
        <w:t xml:space="preserve">Art </w:t>
      </w:r>
      <w:r w:rsidRPr="00834D0C">
        <w:t>2(1)</w:t>
      </w:r>
      <w:r w:rsidR="00A958A6" w:rsidRPr="00834D0C">
        <w:t>.</w:t>
      </w:r>
    </w:p>
  </w:footnote>
  <w:footnote w:id="430">
    <w:p w14:paraId="6082E400" w14:textId="49B87E83"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Abkhazia (n 423) </w:t>
      </w:r>
      <w:r w:rsidR="00545051" w:rsidRPr="00834D0C">
        <w:t xml:space="preserve">Art </w:t>
      </w:r>
      <w:r w:rsidRPr="00834D0C">
        <w:t>5.</w:t>
      </w:r>
    </w:p>
  </w:footnote>
  <w:footnote w:id="431">
    <w:p w14:paraId="64E8A8D2" w14:textId="2026F751"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South Ossetia (n 422) </w:t>
      </w:r>
      <w:r w:rsidR="00545051" w:rsidRPr="00834D0C">
        <w:t xml:space="preserve">Art </w:t>
      </w:r>
      <w:r w:rsidRPr="00834D0C">
        <w:t>2(2).</w:t>
      </w:r>
    </w:p>
  </w:footnote>
  <w:footnote w:id="432">
    <w:p w14:paraId="6972BA34" w14:textId="2B8FBC46"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South Ossetia (n 422) </w:t>
      </w:r>
      <w:r w:rsidR="00545051" w:rsidRPr="00834D0C">
        <w:t xml:space="preserve">Art </w:t>
      </w:r>
      <w:r w:rsidRPr="00834D0C">
        <w:t>5(1).</w:t>
      </w:r>
    </w:p>
  </w:footnote>
  <w:footnote w:id="433">
    <w:p w14:paraId="5464692B" w14:textId="345044C1" w:rsidR="002B032D" w:rsidRPr="00834D0C" w:rsidRDefault="002B032D" w:rsidP="00163B41">
      <w:pPr>
        <w:pStyle w:val="FootnoteText"/>
        <w:jc w:val="both"/>
      </w:pPr>
      <w:r w:rsidRPr="00834D0C">
        <w:rPr>
          <w:rStyle w:val="FootnoteReference"/>
        </w:rPr>
        <w:footnoteRef/>
      </w:r>
      <w:r w:rsidRPr="00834D0C">
        <w:t xml:space="preserve"> See </w:t>
      </w:r>
      <w:r w:rsidR="00FA029C" w:rsidRPr="00834D0C">
        <w:t xml:space="preserve">German </w:t>
      </w:r>
      <w:r w:rsidR="00FA029C" w:rsidRPr="00834D0C">
        <w:rPr>
          <w:rFonts w:cstheme="minorHAnsi"/>
        </w:rPr>
        <w:t xml:space="preserve">(n 44) </w:t>
      </w:r>
      <w:r w:rsidRPr="00834D0C">
        <w:t>159.</w:t>
      </w:r>
    </w:p>
  </w:footnote>
  <w:footnote w:id="434">
    <w:p w14:paraId="2FD3DCBA" w14:textId="1E45871E" w:rsidR="002B032D" w:rsidRPr="00834D0C" w:rsidRDefault="002B032D" w:rsidP="00163B41">
      <w:pPr>
        <w:pStyle w:val="FootnoteText"/>
        <w:jc w:val="both"/>
      </w:pPr>
      <w:r w:rsidRPr="00834D0C">
        <w:rPr>
          <w:rStyle w:val="FootnoteReference"/>
        </w:rPr>
        <w:footnoteRef/>
      </w:r>
      <w:r w:rsidRPr="00834D0C">
        <w:t xml:space="preserve"> </w:t>
      </w:r>
      <w:r w:rsidR="00545051" w:rsidRPr="00834D0C">
        <w:t>Treaty with Abkhazia (n 423) A</w:t>
      </w:r>
      <w:r w:rsidRPr="00834D0C">
        <w:t>rt 9(1)</w:t>
      </w:r>
      <w:r w:rsidR="00FA5670" w:rsidRPr="00834D0C">
        <w:t>.</w:t>
      </w:r>
    </w:p>
  </w:footnote>
  <w:footnote w:id="435">
    <w:p w14:paraId="5378B0F6" w14:textId="7D2E7994" w:rsidR="002B032D" w:rsidRPr="00834D0C" w:rsidRDefault="002B032D" w:rsidP="00163B41">
      <w:pPr>
        <w:pStyle w:val="FootnoteText"/>
        <w:jc w:val="both"/>
      </w:pPr>
      <w:r w:rsidRPr="00834D0C">
        <w:rPr>
          <w:rStyle w:val="FootnoteReference"/>
        </w:rPr>
        <w:footnoteRef/>
      </w:r>
      <w:r w:rsidRPr="00834D0C">
        <w:t xml:space="preserve"> See e.g., </w:t>
      </w:r>
      <w:r w:rsidR="00A958A6" w:rsidRPr="00834D0C">
        <w:t xml:space="preserve">Treaty with Abkhazia (n 423) </w:t>
      </w:r>
      <w:r w:rsidRPr="00834D0C">
        <w:t>Ar</w:t>
      </w:r>
      <w:r w:rsidR="00DF4E6B" w:rsidRPr="00834D0C">
        <w:t>t</w:t>
      </w:r>
      <w:r w:rsidRPr="00834D0C">
        <w:t xml:space="preserve">s 11 and 12. </w:t>
      </w:r>
    </w:p>
  </w:footnote>
  <w:footnote w:id="436">
    <w:p w14:paraId="403CAF75" w14:textId="5D070F27"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PACE</w:t>
      </w:r>
      <w:r w:rsidR="00643ED5" w:rsidRPr="00834D0C">
        <w:rPr>
          <w:rFonts w:cstheme="minorHAnsi"/>
        </w:rPr>
        <w:t xml:space="preserve"> </w:t>
      </w:r>
      <w:r w:rsidRPr="00834D0C">
        <w:rPr>
          <w:rFonts w:cstheme="minorHAnsi"/>
        </w:rPr>
        <w:t>Resolution 2034 (</w:t>
      </w:r>
      <w:r w:rsidR="0084605E" w:rsidRPr="00834D0C">
        <w:rPr>
          <w:rFonts w:cstheme="minorHAnsi"/>
        </w:rPr>
        <w:t>n</w:t>
      </w:r>
      <w:r w:rsidRPr="00834D0C">
        <w:rPr>
          <w:rFonts w:cstheme="minorHAnsi"/>
        </w:rPr>
        <w:t xml:space="preserve"> </w:t>
      </w:r>
      <w:r w:rsidR="00643ED5" w:rsidRPr="00834D0C">
        <w:rPr>
          <w:rFonts w:cstheme="minorHAnsi"/>
        </w:rPr>
        <w:t>371</w:t>
      </w:r>
      <w:r w:rsidRPr="00834D0C">
        <w:rPr>
          <w:rFonts w:cstheme="minorHAnsi"/>
        </w:rPr>
        <w:t xml:space="preserve">) </w:t>
      </w:r>
      <w:r w:rsidR="00643ED5" w:rsidRPr="00834D0C">
        <w:rPr>
          <w:rFonts w:cstheme="minorHAnsi"/>
        </w:rPr>
        <w:t xml:space="preserve">para </w:t>
      </w:r>
      <w:r w:rsidRPr="00834D0C">
        <w:rPr>
          <w:rFonts w:cstheme="minorHAnsi"/>
        </w:rPr>
        <w:t>12.2.</w:t>
      </w:r>
    </w:p>
  </w:footnote>
  <w:footnote w:id="437">
    <w:p w14:paraId="3058C653" w14:textId="70A57BDC" w:rsidR="002B032D" w:rsidRPr="00834D0C" w:rsidRDefault="002B032D" w:rsidP="00163B41">
      <w:pPr>
        <w:pStyle w:val="FootnoteText"/>
        <w:jc w:val="both"/>
      </w:pPr>
      <w:r w:rsidRPr="00834D0C">
        <w:rPr>
          <w:rStyle w:val="FootnoteReference"/>
        </w:rPr>
        <w:footnoteRef/>
      </w:r>
      <w:r w:rsidR="00A958A6" w:rsidRPr="00834D0C">
        <w:t xml:space="preserve"> Treaty with South Ossetia (n 422) </w:t>
      </w:r>
      <w:r w:rsidR="00545051" w:rsidRPr="00834D0C">
        <w:t xml:space="preserve">Art </w:t>
      </w:r>
      <w:r w:rsidRPr="00834D0C">
        <w:t xml:space="preserve">2(2); see </w:t>
      </w:r>
      <w:r w:rsidR="00FA029C" w:rsidRPr="00834D0C">
        <w:t xml:space="preserve">German </w:t>
      </w:r>
      <w:r w:rsidR="00FA029C" w:rsidRPr="00834D0C">
        <w:rPr>
          <w:rFonts w:cstheme="minorHAnsi"/>
        </w:rPr>
        <w:t xml:space="preserve">(n 44) </w:t>
      </w:r>
      <w:r w:rsidRPr="00834D0C">
        <w:t>160.</w:t>
      </w:r>
    </w:p>
  </w:footnote>
  <w:footnote w:id="438">
    <w:p w14:paraId="2034806B" w14:textId="0C80E199" w:rsidR="002B032D" w:rsidRPr="00834D0C" w:rsidRDefault="002B032D" w:rsidP="00163B41">
      <w:pPr>
        <w:pStyle w:val="FootnoteText"/>
        <w:jc w:val="both"/>
      </w:pPr>
      <w:r w:rsidRPr="00834D0C">
        <w:rPr>
          <w:rStyle w:val="FootnoteReference"/>
        </w:rPr>
        <w:footnoteRef/>
      </w:r>
      <w:r w:rsidRPr="00834D0C">
        <w:t xml:space="preserve"> </w:t>
      </w:r>
      <w:r w:rsidRPr="00834D0C">
        <w:rPr>
          <w:i/>
          <w:iCs/>
        </w:rPr>
        <w:t>Georgia v Russia (II)</w:t>
      </w:r>
      <w:r w:rsidRPr="00834D0C">
        <w:t xml:space="preserve"> (</w:t>
      </w:r>
      <w:r w:rsidR="0084605E" w:rsidRPr="00834D0C">
        <w:t>n</w:t>
      </w:r>
      <w:r w:rsidR="00FA5670" w:rsidRPr="00834D0C">
        <w:t xml:space="preserve"> 426</w:t>
      </w:r>
      <w:r w:rsidRPr="00834D0C">
        <w:t xml:space="preserve">) </w:t>
      </w:r>
      <w:r w:rsidR="00643ED5" w:rsidRPr="00834D0C">
        <w:t xml:space="preserve">para </w:t>
      </w:r>
      <w:r w:rsidRPr="00834D0C">
        <w:t>171.</w:t>
      </w:r>
    </w:p>
  </w:footnote>
  <w:footnote w:id="439">
    <w:p w14:paraId="18E211D8" w14:textId="438A40E5" w:rsidR="002B032D" w:rsidRPr="00834D0C" w:rsidRDefault="002B032D" w:rsidP="00163B41">
      <w:pPr>
        <w:pStyle w:val="FootnoteText"/>
        <w:jc w:val="both"/>
      </w:pPr>
      <w:r w:rsidRPr="00834D0C">
        <w:rPr>
          <w:rStyle w:val="FootnoteReference"/>
        </w:rPr>
        <w:footnoteRef/>
      </w:r>
      <w:r w:rsidRPr="00834D0C">
        <w:t xml:space="preserve"> Tracey German</w:t>
      </w:r>
      <w:r w:rsidRPr="00834D0C">
        <w:rPr>
          <w:i/>
          <w:iCs/>
        </w:rPr>
        <w:t xml:space="preserve">, </w:t>
      </w:r>
      <w:r w:rsidR="00FA029C" w:rsidRPr="00834D0C">
        <w:t>‘</w:t>
      </w:r>
      <w:r w:rsidRPr="00834D0C">
        <w:t>Russia and the South Caucasus: The China Challenge</w:t>
      </w:r>
      <w:r w:rsidR="00FA029C" w:rsidRPr="00834D0C">
        <w:t>’ (2022) 74(9)</w:t>
      </w:r>
      <w:r w:rsidRPr="00834D0C">
        <w:t xml:space="preserve"> </w:t>
      </w:r>
      <w:proofErr w:type="spellStart"/>
      <w:r w:rsidRPr="00834D0C">
        <w:rPr>
          <w:rFonts w:cstheme="minorHAnsi"/>
          <w:i/>
          <w:iCs/>
        </w:rPr>
        <w:t>Eur</w:t>
      </w:r>
      <w:proofErr w:type="spellEnd"/>
      <w:r w:rsidRPr="00834D0C">
        <w:rPr>
          <w:rFonts w:cstheme="minorHAnsi"/>
          <w:i/>
          <w:iCs/>
        </w:rPr>
        <w:t xml:space="preserve">-Asia Stud </w:t>
      </w:r>
      <w:r w:rsidRPr="00834D0C">
        <w:t>1596</w:t>
      </w:r>
      <w:r w:rsidR="00FA029C" w:rsidRPr="00834D0C">
        <w:t xml:space="preserve">, </w:t>
      </w:r>
      <w:r w:rsidRPr="00834D0C">
        <w:t xml:space="preserve">1606; </w:t>
      </w:r>
      <w:r w:rsidR="00FA029C" w:rsidRPr="00834D0C">
        <w:t xml:space="preserve">De Waal </w:t>
      </w:r>
      <w:r w:rsidR="00FA029C" w:rsidRPr="00834D0C">
        <w:rPr>
          <w:rFonts w:cstheme="minorHAnsi"/>
        </w:rPr>
        <w:t xml:space="preserve">(n 256) </w:t>
      </w:r>
      <w:r w:rsidRPr="00834D0C">
        <w:t>7.</w:t>
      </w:r>
    </w:p>
  </w:footnote>
  <w:footnote w:id="440">
    <w:p w14:paraId="1A063D24" w14:textId="2B3645FE"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South Ossetia (n 422) </w:t>
      </w:r>
      <w:r w:rsidR="00545051" w:rsidRPr="00834D0C">
        <w:t xml:space="preserve">Art </w:t>
      </w:r>
      <w:r w:rsidRPr="00834D0C">
        <w:t xml:space="preserve">2(3); </w:t>
      </w:r>
      <w:r w:rsidR="00A958A6" w:rsidRPr="00834D0C">
        <w:t xml:space="preserve">Treaty with Abkhazia (n 423) </w:t>
      </w:r>
      <w:r w:rsidR="00545051" w:rsidRPr="00834D0C">
        <w:t xml:space="preserve">Art </w:t>
      </w:r>
      <w:r w:rsidRPr="00834D0C">
        <w:t>6(1).</w:t>
      </w:r>
    </w:p>
  </w:footnote>
  <w:footnote w:id="441">
    <w:p w14:paraId="6DCC056A" w14:textId="4D85295C" w:rsidR="002B032D" w:rsidRPr="00834D0C" w:rsidRDefault="002B032D" w:rsidP="00163B41">
      <w:pPr>
        <w:pStyle w:val="FootnoteText"/>
        <w:jc w:val="both"/>
      </w:pPr>
      <w:r w:rsidRPr="00834D0C">
        <w:rPr>
          <w:rStyle w:val="FootnoteReference"/>
        </w:rPr>
        <w:footnoteRef/>
      </w:r>
      <w:r w:rsidRPr="00834D0C">
        <w:t xml:space="preserve"> No Author</w:t>
      </w:r>
      <w:r w:rsidRPr="00834D0C">
        <w:rPr>
          <w:i/>
          <w:iCs/>
        </w:rPr>
        <w:t xml:space="preserve">, </w:t>
      </w:r>
      <w:r w:rsidR="00FA5670" w:rsidRPr="00834D0C">
        <w:t>‘</w:t>
      </w:r>
      <w:r w:rsidRPr="00834D0C">
        <w:t>Moscow, Sokhumi Sign ‘Common Social-Economic Space’ Program, Tbilisi Decries</w:t>
      </w:r>
      <w:r w:rsidR="00FA5670" w:rsidRPr="00834D0C">
        <w:t xml:space="preserve">’ </w:t>
      </w:r>
      <w:r w:rsidR="00FA5670" w:rsidRPr="00834D0C">
        <w:rPr>
          <w:i/>
          <w:iCs/>
        </w:rPr>
        <w:t xml:space="preserve">Civil Georgia, </w:t>
      </w:r>
      <w:r w:rsidRPr="00834D0C">
        <w:t xml:space="preserve"> 25 November 2020. </w:t>
      </w:r>
    </w:p>
  </w:footnote>
  <w:footnote w:id="442">
    <w:p w14:paraId="088EAD2F" w14:textId="3F94EF94" w:rsidR="002B032D" w:rsidRPr="00834D0C" w:rsidRDefault="002B032D" w:rsidP="00163B41">
      <w:pPr>
        <w:pStyle w:val="FootnoteText"/>
        <w:jc w:val="both"/>
      </w:pPr>
      <w:r w:rsidRPr="00834D0C">
        <w:rPr>
          <w:rStyle w:val="FootnoteReference"/>
        </w:rPr>
        <w:footnoteRef/>
      </w:r>
      <w:r w:rsidRPr="00834D0C">
        <w:t xml:space="preserve"> </w:t>
      </w:r>
      <w:r w:rsidR="00486060" w:rsidRPr="00834D0C">
        <w:t>Freedom House Abkhazia (n 412).</w:t>
      </w:r>
    </w:p>
  </w:footnote>
  <w:footnote w:id="443">
    <w:p w14:paraId="1825B075" w14:textId="04D226B5"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De Waal </w:t>
      </w:r>
      <w:r w:rsidR="00FA029C" w:rsidRPr="00834D0C">
        <w:rPr>
          <w:rFonts w:cstheme="minorHAnsi"/>
        </w:rPr>
        <w:t xml:space="preserve">(n 256) </w:t>
      </w:r>
      <w:r w:rsidRPr="00834D0C">
        <w:t>5.</w:t>
      </w:r>
    </w:p>
  </w:footnote>
  <w:footnote w:id="444">
    <w:p w14:paraId="326D65F9" w14:textId="77777777" w:rsidR="002B032D" w:rsidRPr="00834D0C" w:rsidRDefault="002B032D" w:rsidP="00163B41">
      <w:pPr>
        <w:pStyle w:val="FootnoteText"/>
        <w:jc w:val="both"/>
      </w:pPr>
      <w:r w:rsidRPr="00834D0C">
        <w:rPr>
          <w:rStyle w:val="FootnoteReference"/>
        </w:rPr>
        <w:footnoteRef/>
      </w:r>
      <w:r w:rsidRPr="00834D0C">
        <w:t xml:space="preserve"> Act of State Independence of the Republic of Abkhazia, 12 October 1999.</w:t>
      </w:r>
    </w:p>
  </w:footnote>
  <w:footnote w:id="445">
    <w:p w14:paraId="6A282AC9" w14:textId="14D5BA29" w:rsidR="002B032D" w:rsidRPr="00834D0C" w:rsidRDefault="002B032D" w:rsidP="00163B41">
      <w:pPr>
        <w:pStyle w:val="FootnoteText"/>
        <w:jc w:val="both"/>
      </w:pPr>
      <w:r w:rsidRPr="00834D0C">
        <w:rPr>
          <w:rStyle w:val="FootnoteReference"/>
        </w:rPr>
        <w:footnoteRef/>
      </w:r>
      <w:r w:rsidR="00A958A6" w:rsidRPr="00834D0C">
        <w:t xml:space="preserve"> Treaty with South Ossetia (n 422) </w:t>
      </w:r>
      <w:r w:rsidR="00545051" w:rsidRPr="00834D0C">
        <w:t xml:space="preserve">Art </w:t>
      </w:r>
      <w:r w:rsidRPr="00834D0C">
        <w:t xml:space="preserve">1(1); </w:t>
      </w:r>
      <w:r w:rsidR="00A958A6" w:rsidRPr="00834D0C">
        <w:t xml:space="preserve">Treaty with Abkhazia (n 423) </w:t>
      </w:r>
      <w:r w:rsidR="00545051" w:rsidRPr="00834D0C">
        <w:t xml:space="preserve">Art </w:t>
      </w:r>
      <w:r w:rsidRPr="00834D0C">
        <w:t>4(1).</w:t>
      </w:r>
    </w:p>
  </w:footnote>
  <w:footnote w:id="446">
    <w:p w14:paraId="24C379F4" w14:textId="0167F348" w:rsidR="002B032D" w:rsidRPr="00834D0C" w:rsidRDefault="002B032D" w:rsidP="00163B41">
      <w:pPr>
        <w:pStyle w:val="FootnoteText"/>
        <w:jc w:val="both"/>
      </w:pPr>
      <w:r w:rsidRPr="00834D0C">
        <w:rPr>
          <w:rStyle w:val="FootnoteReference"/>
        </w:rPr>
        <w:footnoteRef/>
      </w:r>
      <w:r w:rsidRPr="00834D0C">
        <w:t xml:space="preserve"> Constitution of South-Ossetia, </w:t>
      </w:r>
      <w:r w:rsidR="00545051" w:rsidRPr="00834D0C">
        <w:t xml:space="preserve">Art </w:t>
      </w:r>
      <w:r w:rsidRPr="00834D0C">
        <w:t>8.</w:t>
      </w:r>
    </w:p>
  </w:footnote>
  <w:footnote w:id="447">
    <w:p w14:paraId="526BA623" w14:textId="048AE0E1"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South Ossetia (n 422) </w:t>
      </w:r>
      <w:r w:rsidR="00545051" w:rsidRPr="00834D0C">
        <w:t xml:space="preserve">Art </w:t>
      </w:r>
      <w:r w:rsidRPr="00834D0C">
        <w:t>5.</w:t>
      </w:r>
    </w:p>
  </w:footnote>
  <w:footnote w:id="448">
    <w:p w14:paraId="68DF66F9" w14:textId="54C5ACD3"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Abkhazia (n 423) </w:t>
      </w:r>
      <w:r w:rsidR="00545051" w:rsidRPr="00834D0C">
        <w:t xml:space="preserve">Art </w:t>
      </w:r>
      <w:r w:rsidRPr="00834D0C">
        <w:t>23</w:t>
      </w:r>
      <w:r w:rsidR="00A958A6" w:rsidRPr="00834D0C">
        <w:t>.</w:t>
      </w:r>
    </w:p>
  </w:footnote>
  <w:footnote w:id="449">
    <w:p w14:paraId="38C37D0D" w14:textId="32AAD28E" w:rsidR="002B032D" w:rsidRPr="00834D0C" w:rsidRDefault="002B032D" w:rsidP="00163B41">
      <w:pPr>
        <w:pStyle w:val="FootnoteText"/>
        <w:jc w:val="both"/>
      </w:pPr>
      <w:r w:rsidRPr="00834D0C">
        <w:rPr>
          <w:rStyle w:val="FootnoteReference"/>
        </w:rPr>
        <w:footnoteRef/>
      </w:r>
      <w:r w:rsidRPr="00834D0C">
        <w:t xml:space="preserve"> No Author (</w:t>
      </w:r>
      <w:r w:rsidR="0084605E" w:rsidRPr="00834D0C">
        <w:t>n</w:t>
      </w:r>
      <w:r w:rsidR="000F1A8F" w:rsidRPr="00834D0C">
        <w:t xml:space="preserve"> 378</w:t>
      </w:r>
      <w:r w:rsidRPr="00834D0C">
        <w:t xml:space="preserve">). </w:t>
      </w:r>
    </w:p>
  </w:footnote>
  <w:footnote w:id="450">
    <w:p w14:paraId="239C2D59" w14:textId="44D502BC" w:rsidR="002B032D" w:rsidRPr="00834D0C" w:rsidRDefault="002B032D" w:rsidP="00163B41">
      <w:pPr>
        <w:pStyle w:val="FootnoteText"/>
        <w:jc w:val="both"/>
      </w:pPr>
      <w:r w:rsidRPr="00834D0C">
        <w:rPr>
          <w:rStyle w:val="FootnoteReference"/>
        </w:rPr>
        <w:footnoteRef/>
      </w:r>
      <w:r w:rsidRPr="00834D0C">
        <w:t xml:space="preserve"> </w:t>
      </w:r>
      <w:proofErr w:type="spellStart"/>
      <w:r w:rsidR="0084605E" w:rsidRPr="00834D0C">
        <w:rPr>
          <w:rFonts w:cstheme="minorHAnsi"/>
        </w:rPr>
        <w:t>Pegg</w:t>
      </w:r>
      <w:proofErr w:type="spellEnd"/>
      <w:r w:rsidR="002F5312">
        <w:rPr>
          <w:rFonts w:cstheme="minorHAnsi"/>
        </w:rPr>
        <w:t xml:space="preserve"> </w:t>
      </w:r>
      <w:r w:rsidR="002F5312">
        <w:rPr>
          <w:rFonts w:cstheme="minorHAnsi"/>
        </w:rPr>
        <w:t>and</w:t>
      </w:r>
      <w:r w:rsidR="002F5312" w:rsidRPr="00834D0C">
        <w:rPr>
          <w:rFonts w:cstheme="minorHAnsi"/>
        </w:rPr>
        <w:t xml:space="preserve"> </w:t>
      </w:r>
      <w:r w:rsidR="0084605E" w:rsidRPr="00834D0C">
        <w:rPr>
          <w:rFonts w:cstheme="minorHAnsi"/>
        </w:rPr>
        <w:t xml:space="preserve">Berg (n 3) </w:t>
      </w:r>
      <w:r w:rsidRPr="00834D0C">
        <w:t>272.</w:t>
      </w:r>
    </w:p>
  </w:footnote>
  <w:footnote w:id="451">
    <w:p w14:paraId="70148A24" w14:textId="23A5D2AA"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South Ossetia (n 422) </w:t>
      </w:r>
      <w:r w:rsidR="00545051" w:rsidRPr="00834D0C">
        <w:t xml:space="preserve">Art </w:t>
      </w:r>
      <w:r w:rsidRPr="00834D0C">
        <w:t xml:space="preserve">6; </w:t>
      </w:r>
      <w:r w:rsidR="00A958A6" w:rsidRPr="00834D0C">
        <w:t xml:space="preserve">Treaty with Abkhazia (n 423) </w:t>
      </w:r>
      <w:r w:rsidR="00545051" w:rsidRPr="00834D0C">
        <w:t xml:space="preserve">Art </w:t>
      </w:r>
      <w:r w:rsidRPr="00834D0C">
        <w:t>13.</w:t>
      </w:r>
    </w:p>
  </w:footnote>
  <w:footnote w:id="452">
    <w:p w14:paraId="2A5263F8" w14:textId="26325457"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Abkhazia (n 423) </w:t>
      </w:r>
      <w:r w:rsidR="00545051" w:rsidRPr="00834D0C">
        <w:t xml:space="preserve">Art </w:t>
      </w:r>
      <w:r w:rsidRPr="00834D0C">
        <w:t xml:space="preserve">16; </w:t>
      </w:r>
      <w:r w:rsidR="00A958A6" w:rsidRPr="00834D0C">
        <w:t xml:space="preserve">Treaty with South Ossetia (n 422) </w:t>
      </w:r>
      <w:r w:rsidR="00545051" w:rsidRPr="00834D0C">
        <w:t xml:space="preserve">Art </w:t>
      </w:r>
      <w:r w:rsidRPr="00834D0C">
        <w:t>9.</w:t>
      </w:r>
    </w:p>
  </w:footnote>
  <w:footnote w:id="453">
    <w:p w14:paraId="45AE0215" w14:textId="301846F5" w:rsidR="002B032D" w:rsidRPr="00834D0C" w:rsidRDefault="002B032D" w:rsidP="00163B41">
      <w:pPr>
        <w:pStyle w:val="FootnoteText"/>
        <w:jc w:val="both"/>
        <w:rPr>
          <w:caps/>
        </w:rPr>
      </w:pPr>
      <w:r w:rsidRPr="00834D0C">
        <w:rPr>
          <w:rStyle w:val="FootnoteReference"/>
        </w:rPr>
        <w:footnoteRef/>
      </w:r>
      <w:r w:rsidRPr="00834D0C">
        <w:t xml:space="preserve"> </w:t>
      </w:r>
      <w:r w:rsidR="00A958A6" w:rsidRPr="00834D0C">
        <w:t xml:space="preserve">Treaty with Abkhazia (n 423) </w:t>
      </w:r>
      <w:r w:rsidR="00545051" w:rsidRPr="00834D0C">
        <w:t xml:space="preserve">Art </w:t>
      </w:r>
      <w:r w:rsidRPr="00834D0C">
        <w:t>17.</w:t>
      </w:r>
    </w:p>
  </w:footnote>
  <w:footnote w:id="454">
    <w:p w14:paraId="38E9D607" w14:textId="6E1AF906" w:rsidR="002B032D" w:rsidRPr="00834D0C" w:rsidRDefault="002B032D" w:rsidP="00163B41">
      <w:pPr>
        <w:pStyle w:val="FootnoteText"/>
        <w:jc w:val="both"/>
      </w:pPr>
      <w:r w:rsidRPr="00834D0C">
        <w:rPr>
          <w:rStyle w:val="FootnoteReference"/>
        </w:rPr>
        <w:footnoteRef/>
      </w:r>
      <w:r w:rsidRPr="00834D0C">
        <w:t xml:space="preserve"> </w:t>
      </w:r>
      <w:r w:rsidR="00A958A6" w:rsidRPr="00834D0C">
        <w:t xml:space="preserve">Treaty with Abkhazia (n 423) </w:t>
      </w:r>
      <w:r w:rsidR="00545051" w:rsidRPr="00834D0C">
        <w:t xml:space="preserve">Art </w:t>
      </w:r>
      <w:r w:rsidRPr="00834D0C">
        <w:t xml:space="preserve">15; </w:t>
      </w:r>
      <w:r w:rsidR="00A958A6" w:rsidRPr="00834D0C">
        <w:t xml:space="preserve">Treaty with South Ossetia (n 422) </w:t>
      </w:r>
      <w:r w:rsidR="00545051" w:rsidRPr="00834D0C">
        <w:t xml:space="preserve">Art </w:t>
      </w:r>
      <w:r w:rsidRPr="00834D0C">
        <w:t>8.</w:t>
      </w:r>
    </w:p>
  </w:footnote>
  <w:footnote w:id="455">
    <w:p w14:paraId="3EEB2148" w14:textId="520DA182" w:rsidR="002B032D" w:rsidRPr="00834D0C" w:rsidRDefault="002B032D" w:rsidP="00163B41">
      <w:pPr>
        <w:pStyle w:val="FootnoteText"/>
        <w:jc w:val="both"/>
      </w:pPr>
      <w:r w:rsidRPr="00834D0C">
        <w:rPr>
          <w:rStyle w:val="FootnoteReference"/>
        </w:rPr>
        <w:footnoteRef/>
      </w:r>
      <w:r w:rsidRPr="00834D0C">
        <w:t xml:space="preserve"> See discussion in </w:t>
      </w:r>
      <w:r w:rsidR="009037C8" w:rsidRPr="00834D0C">
        <w:t xml:space="preserve">EU </w:t>
      </w:r>
      <w:r w:rsidR="009037C8" w:rsidRPr="00834D0C">
        <w:rPr>
          <w:rFonts w:cstheme="minorHAnsi"/>
        </w:rPr>
        <w:t xml:space="preserve">(n 20) </w:t>
      </w:r>
      <w:r w:rsidRPr="00834D0C">
        <w:t>132.</w:t>
      </w:r>
    </w:p>
  </w:footnote>
  <w:footnote w:id="456">
    <w:p w14:paraId="162A4AAF" w14:textId="5DCEA9EA" w:rsidR="002B032D" w:rsidRPr="00834D0C" w:rsidRDefault="002B032D" w:rsidP="00163B41">
      <w:pPr>
        <w:pStyle w:val="FootnoteText"/>
        <w:jc w:val="both"/>
      </w:pPr>
      <w:r w:rsidRPr="00834D0C">
        <w:rPr>
          <w:rStyle w:val="FootnoteReference"/>
        </w:rPr>
        <w:footnoteRef/>
      </w:r>
      <w:r w:rsidRPr="00834D0C">
        <w:t xml:space="preserve"> See </w:t>
      </w:r>
      <w:r w:rsidR="009037C8" w:rsidRPr="00834D0C">
        <w:t xml:space="preserve">EU </w:t>
      </w:r>
      <w:r w:rsidR="009037C8" w:rsidRPr="00834D0C">
        <w:rPr>
          <w:rFonts w:cstheme="minorHAnsi"/>
        </w:rPr>
        <w:t xml:space="preserve">(n 20) </w:t>
      </w:r>
      <w:r w:rsidRPr="00834D0C">
        <w:t>155-183.</w:t>
      </w:r>
    </w:p>
  </w:footnote>
  <w:footnote w:id="457">
    <w:p w14:paraId="48676E0F" w14:textId="6C38ED2F" w:rsidR="002B032D" w:rsidRPr="00834D0C" w:rsidRDefault="002B032D" w:rsidP="00163B41">
      <w:pPr>
        <w:pStyle w:val="FootnoteText"/>
        <w:jc w:val="both"/>
      </w:pPr>
      <w:r w:rsidRPr="00834D0C">
        <w:rPr>
          <w:rStyle w:val="FootnoteReference"/>
        </w:rPr>
        <w:footnoteRef/>
      </w:r>
      <w:r w:rsidRPr="00834D0C">
        <w:t xml:space="preserve"> </w:t>
      </w:r>
      <w:r w:rsidRPr="00834D0C">
        <w:rPr>
          <w:rFonts w:cstheme="minorHAnsi"/>
        </w:rPr>
        <w:t xml:space="preserve">See </w:t>
      </w:r>
      <w:r w:rsidR="00DC2676" w:rsidRPr="00834D0C">
        <w:rPr>
          <w:rFonts w:cstheme="minorHAnsi"/>
        </w:rPr>
        <w:t>James Green, ‘</w:t>
      </w:r>
      <w:proofErr w:type="spellStart"/>
      <w:r w:rsidR="00DC2676" w:rsidRPr="00834D0C">
        <w:rPr>
          <w:rFonts w:cstheme="minorHAnsi"/>
        </w:rPr>
        <w:t>Passportisation</w:t>
      </w:r>
      <w:proofErr w:type="spellEnd"/>
      <w:r w:rsidR="00DC2676" w:rsidRPr="00834D0C">
        <w:rPr>
          <w:rFonts w:cstheme="minorHAnsi"/>
        </w:rPr>
        <w:t xml:space="preserve">, Peacekeepers and Proportionality: The Russian Claim of the Protection of Nationals Abroad in Self-Defence’ in James A Green and Christopher PM Waters (eds), </w:t>
      </w:r>
      <w:r w:rsidR="00DC2676" w:rsidRPr="00834D0C">
        <w:rPr>
          <w:rFonts w:cstheme="minorHAnsi"/>
          <w:i/>
          <w:iCs/>
        </w:rPr>
        <w:t xml:space="preserve">Conflict in the Caucasus. Implications for International Legal Order </w:t>
      </w:r>
      <w:r w:rsidR="00DC2676" w:rsidRPr="00834D0C">
        <w:rPr>
          <w:rFonts w:cstheme="minorHAnsi"/>
        </w:rPr>
        <w:t>(Palgrave 2010) 54-79</w:t>
      </w:r>
      <w:r w:rsidRPr="00834D0C">
        <w:rPr>
          <w:rFonts w:cstheme="minorHAnsi"/>
        </w:rPr>
        <w:t>.</w:t>
      </w:r>
    </w:p>
  </w:footnote>
  <w:footnote w:id="458">
    <w:p w14:paraId="787A5334" w14:textId="547B4B2C" w:rsidR="002B032D" w:rsidRPr="00834D0C" w:rsidRDefault="002B032D" w:rsidP="00163B41">
      <w:pPr>
        <w:pStyle w:val="FootnoteText"/>
        <w:jc w:val="both"/>
      </w:pPr>
      <w:r w:rsidRPr="00834D0C">
        <w:rPr>
          <w:rStyle w:val="FootnoteReference"/>
        </w:rPr>
        <w:footnoteRef/>
      </w:r>
      <w:r w:rsidRPr="00834D0C">
        <w:t xml:space="preserve"> </w:t>
      </w:r>
      <w:r w:rsidR="00FA029C" w:rsidRPr="00834D0C">
        <w:t xml:space="preserve">German </w:t>
      </w:r>
      <w:r w:rsidR="00FA029C" w:rsidRPr="00834D0C">
        <w:rPr>
          <w:rFonts w:cstheme="minorHAnsi"/>
        </w:rPr>
        <w:t xml:space="preserve">(n 44) </w:t>
      </w:r>
      <w:r w:rsidRPr="00834D0C">
        <w:rPr>
          <w:rFonts w:cstheme="minorHAnsi"/>
        </w:rPr>
        <w:t>1</w:t>
      </w:r>
      <w:r w:rsidRPr="00834D0C">
        <w:t>58.</w:t>
      </w:r>
    </w:p>
  </w:footnote>
  <w:footnote w:id="459">
    <w:p w14:paraId="518B6DBD" w14:textId="6D6F5A6D" w:rsidR="002B032D" w:rsidRPr="00834D0C" w:rsidRDefault="002B032D" w:rsidP="00163B41">
      <w:pPr>
        <w:pStyle w:val="FootnoteText"/>
        <w:jc w:val="both"/>
      </w:pPr>
      <w:r w:rsidRPr="00834D0C">
        <w:rPr>
          <w:rStyle w:val="FootnoteReference"/>
        </w:rPr>
        <w:footnoteRef/>
      </w:r>
      <w:r w:rsidRPr="00834D0C">
        <w:t xml:space="preserve"> See </w:t>
      </w:r>
      <w:r w:rsidR="009037C8" w:rsidRPr="00834D0C">
        <w:t xml:space="preserve">EU </w:t>
      </w:r>
      <w:r w:rsidR="009037C8" w:rsidRPr="00834D0C">
        <w:rPr>
          <w:rFonts w:cstheme="minorHAnsi"/>
        </w:rPr>
        <w:t xml:space="preserve">(n 20) </w:t>
      </w:r>
      <w:r w:rsidRPr="00834D0C">
        <w:t>134.</w:t>
      </w:r>
    </w:p>
  </w:footnote>
  <w:footnote w:id="460">
    <w:p w14:paraId="25CC6649" w14:textId="30D9C8BC" w:rsidR="002B032D" w:rsidRPr="00834D0C" w:rsidRDefault="002B032D" w:rsidP="00163B41">
      <w:pPr>
        <w:pStyle w:val="FootnoteText"/>
        <w:jc w:val="both"/>
      </w:pPr>
      <w:r w:rsidRPr="00834D0C">
        <w:rPr>
          <w:rStyle w:val="FootnoteReference"/>
        </w:rPr>
        <w:footnoteRef/>
      </w:r>
      <w:r w:rsidRPr="00834D0C">
        <w:t xml:space="preserve"> </w:t>
      </w:r>
      <w:r w:rsidR="009037C8" w:rsidRPr="00834D0C">
        <w:t xml:space="preserve">EU </w:t>
      </w:r>
      <w:r w:rsidR="009037C8" w:rsidRPr="00834D0C">
        <w:rPr>
          <w:rFonts w:cstheme="minorHAnsi"/>
        </w:rPr>
        <w:t xml:space="preserve">(n 20) </w:t>
      </w:r>
      <w:r w:rsidRPr="00834D0C">
        <w:t>18-19.</w:t>
      </w:r>
    </w:p>
  </w:footnote>
  <w:footnote w:id="461">
    <w:p w14:paraId="25F0FA6F" w14:textId="14FBB8C9"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t>Kvacheva</w:t>
      </w:r>
      <w:proofErr w:type="spellEnd"/>
      <w:r w:rsidR="002F5312">
        <w:rPr>
          <w:rFonts w:cstheme="minorHAnsi"/>
        </w:rPr>
        <w:t xml:space="preserve"> and</w:t>
      </w:r>
      <w:r w:rsidR="002F5312">
        <w:rPr>
          <w:rFonts w:cstheme="minorHAnsi"/>
        </w:rPr>
        <w:t xml:space="preserve"> </w:t>
      </w:r>
      <w:r w:rsidR="002F3085" w:rsidRPr="00834D0C">
        <w:t xml:space="preserve">Petrova </w:t>
      </w:r>
      <w:r w:rsidR="002F3085" w:rsidRPr="00834D0C">
        <w:rPr>
          <w:rFonts w:cstheme="minorHAnsi"/>
        </w:rPr>
        <w:t xml:space="preserve">(n 409) </w:t>
      </w:r>
      <w:r w:rsidRPr="00834D0C">
        <w:t>59.</w:t>
      </w:r>
    </w:p>
  </w:footnote>
  <w:footnote w:id="462">
    <w:p w14:paraId="7A18E2EC" w14:textId="0637CE71" w:rsidR="002B032D" w:rsidRPr="00834D0C" w:rsidRDefault="002B032D" w:rsidP="00163B41">
      <w:pPr>
        <w:pStyle w:val="FootnoteText"/>
        <w:jc w:val="both"/>
      </w:pPr>
      <w:r w:rsidRPr="00834D0C">
        <w:rPr>
          <w:rStyle w:val="FootnoteReference"/>
        </w:rPr>
        <w:footnoteRef/>
      </w:r>
      <w:r w:rsidRPr="00834D0C">
        <w:t xml:space="preserve"> Freedom House, Freedom in the World 2022 – Transnistria</w:t>
      </w:r>
      <w:r w:rsidR="00486060" w:rsidRPr="00834D0C">
        <w:t>, available at https://freedomhouse.org/country/transnistria/freedom-world/2022</w:t>
      </w:r>
      <w:r w:rsidRPr="00834D0C">
        <w:t xml:space="preserve">. </w:t>
      </w:r>
    </w:p>
  </w:footnote>
  <w:footnote w:id="463">
    <w:p w14:paraId="35349D77" w14:textId="4D266A6E" w:rsidR="002B032D" w:rsidRPr="00834D0C" w:rsidRDefault="002B032D" w:rsidP="00163B41">
      <w:pPr>
        <w:pStyle w:val="FootnoteText"/>
        <w:jc w:val="both"/>
      </w:pPr>
      <w:r w:rsidRPr="00834D0C">
        <w:rPr>
          <w:rStyle w:val="FootnoteReference"/>
        </w:rPr>
        <w:footnoteRef/>
      </w:r>
      <w:r w:rsidRPr="00834D0C">
        <w:t xml:space="preserve"> </w:t>
      </w:r>
      <w:r w:rsidR="00FA5670" w:rsidRPr="00834D0C">
        <w:rPr>
          <w:i/>
          <w:iCs/>
        </w:rPr>
        <w:t>Ibidem</w:t>
      </w:r>
      <w:r w:rsidRPr="00834D0C">
        <w:t>.</w:t>
      </w:r>
    </w:p>
  </w:footnote>
  <w:footnote w:id="464">
    <w:p w14:paraId="06F40618" w14:textId="3ADF8A19"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rPr>
          <w:rFonts w:cstheme="minorHAnsi"/>
          <w:iCs/>
        </w:rPr>
        <w:t>Kolstø</w:t>
      </w:r>
      <w:proofErr w:type="spellEnd"/>
      <w:r w:rsidR="002F3085" w:rsidRPr="00834D0C">
        <w:rPr>
          <w:rFonts w:cstheme="minorHAnsi"/>
          <w:iCs/>
        </w:rPr>
        <w:t xml:space="preserve"> (n 261)</w:t>
      </w:r>
      <w:r w:rsidR="002F3085" w:rsidRPr="00834D0C">
        <w:t xml:space="preserve"> </w:t>
      </w:r>
      <w:r w:rsidRPr="00834D0C">
        <w:t>732.</w:t>
      </w:r>
    </w:p>
  </w:footnote>
  <w:footnote w:id="465">
    <w:p w14:paraId="2313AEBF" w14:textId="4BCA5DFE" w:rsidR="002B032D" w:rsidRPr="00834D0C" w:rsidRDefault="002B032D" w:rsidP="00163B41">
      <w:pPr>
        <w:pStyle w:val="FootnoteText"/>
        <w:jc w:val="both"/>
      </w:pPr>
      <w:r w:rsidRPr="00834D0C">
        <w:rPr>
          <w:rStyle w:val="FootnoteReference"/>
        </w:rPr>
        <w:footnoteRef/>
      </w:r>
      <w:r w:rsidRPr="00834D0C">
        <w:t xml:space="preserve"> </w:t>
      </w:r>
      <w:r w:rsidR="00486060" w:rsidRPr="00834D0C">
        <w:t>Freedom House Transnistria (n 461)</w:t>
      </w:r>
      <w:r w:rsidRPr="00834D0C">
        <w:t>.</w:t>
      </w:r>
    </w:p>
  </w:footnote>
  <w:footnote w:id="466">
    <w:p w14:paraId="60AF0CCA" w14:textId="447BD19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92B2E" w:rsidRPr="00834D0C">
        <w:rPr>
          <w:rFonts w:cstheme="minorHAnsi"/>
          <w:i/>
          <w:iCs/>
        </w:rPr>
        <w:t>Catan</w:t>
      </w:r>
      <w:r w:rsidR="00792B2E" w:rsidRPr="00834D0C">
        <w:rPr>
          <w:rFonts w:cstheme="minorHAnsi"/>
        </w:rPr>
        <w:t xml:space="preserve"> (n 77) </w:t>
      </w:r>
      <w:r w:rsidRPr="00834D0C">
        <w:rPr>
          <w:rFonts w:cstheme="minorHAnsi"/>
        </w:rPr>
        <w:t>paras 39 and 41.</w:t>
      </w:r>
    </w:p>
  </w:footnote>
  <w:footnote w:id="467">
    <w:p w14:paraId="368A84F7" w14:textId="684C61D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Parliamentary Assembly of the Council of Europe</w:t>
      </w:r>
      <w:r w:rsidRPr="00834D0C">
        <w:rPr>
          <w:rFonts w:cstheme="minorHAnsi"/>
          <w:i/>
          <w:iCs/>
        </w:rPr>
        <w:t>, The Honouring of Obligations and Commitments by the Russian Federation</w:t>
      </w:r>
      <w:r w:rsidRPr="00834D0C">
        <w:rPr>
          <w:rFonts w:cstheme="minorHAnsi"/>
        </w:rPr>
        <w:t>,</w:t>
      </w:r>
      <w:r w:rsidRPr="00834D0C">
        <w:rPr>
          <w:rFonts w:cstheme="minorHAnsi"/>
          <w:i/>
          <w:iCs/>
        </w:rPr>
        <w:t xml:space="preserve"> </w:t>
      </w:r>
      <w:r w:rsidRPr="00834D0C">
        <w:rPr>
          <w:rFonts w:cstheme="minorHAnsi"/>
        </w:rPr>
        <w:t xml:space="preserve">Doc 13018, 14 September 2012, </w:t>
      </w:r>
      <w:r w:rsidR="00643ED5" w:rsidRPr="00834D0C">
        <w:rPr>
          <w:rFonts w:cstheme="minorHAnsi"/>
        </w:rPr>
        <w:t xml:space="preserve">para </w:t>
      </w:r>
      <w:r w:rsidRPr="00834D0C">
        <w:rPr>
          <w:rFonts w:cstheme="minorHAnsi"/>
        </w:rPr>
        <w:t>157.</w:t>
      </w:r>
    </w:p>
  </w:footnote>
  <w:footnote w:id="468">
    <w:p w14:paraId="7F1C1890" w14:textId="02CF937A" w:rsidR="002B032D" w:rsidRPr="00834D0C" w:rsidRDefault="002B032D" w:rsidP="00163B41">
      <w:pPr>
        <w:pStyle w:val="FootnoteText"/>
        <w:jc w:val="both"/>
      </w:pPr>
      <w:r w:rsidRPr="00834D0C">
        <w:rPr>
          <w:rStyle w:val="FootnoteReference"/>
        </w:rPr>
        <w:footnoteRef/>
      </w:r>
      <w:r w:rsidRPr="00834D0C">
        <w:t xml:space="preserve"> </w:t>
      </w:r>
      <w:proofErr w:type="spellStart"/>
      <w:r w:rsidR="003673C3" w:rsidRPr="00834D0C">
        <w:rPr>
          <w:iCs/>
        </w:rPr>
        <w:t>Laoutides</w:t>
      </w:r>
      <w:proofErr w:type="spellEnd"/>
      <w:r w:rsidR="003673C3" w:rsidRPr="00834D0C">
        <w:t xml:space="preserve"> </w:t>
      </w:r>
      <w:r w:rsidR="003673C3" w:rsidRPr="00834D0C">
        <w:rPr>
          <w:rFonts w:cstheme="minorHAnsi"/>
        </w:rPr>
        <w:t xml:space="preserve">(n 356) </w:t>
      </w:r>
      <w:r w:rsidRPr="00834D0C">
        <w:t>74.</w:t>
      </w:r>
    </w:p>
  </w:footnote>
  <w:footnote w:id="469">
    <w:p w14:paraId="0759E1FD" w14:textId="6B9E4D43" w:rsidR="002B032D" w:rsidRPr="00834D0C" w:rsidRDefault="002B032D" w:rsidP="00163B41">
      <w:pPr>
        <w:pStyle w:val="FootnoteText"/>
        <w:jc w:val="both"/>
      </w:pPr>
      <w:r w:rsidRPr="00834D0C">
        <w:rPr>
          <w:rStyle w:val="FootnoteReference"/>
        </w:rPr>
        <w:footnoteRef/>
      </w:r>
      <w:r w:rsidRPr="00834D0C">
        <w:t xml:space="preserve"> </w:t>
      </w:r>
      <w:r w:rsidR="00FA5670" w:rsidRPr="00834D0C">
        <w:rPr>
          <w:i/>
        </w:rPr>
        <w:t>Ibidem</w:t>
      </w:r>
      <w:r w:rsidRPr="00834D0C">
        <w:t>.</w:t>
      </w:r>
    </w:p>
  </w:footnote>
  <w:footnote w:id="470">
    <w:p w14:paraId="08E341E4" w14:textId="098DEDB2" w:rsidR="002B032D" w:rsidRPr="00834D0C" w:rsidRDefault="002B032D" w:rsidP="00163B41">
      <w:pPr>
        <w:pStyle w:val="FootnoteText"/>
        <w:jc w:val="both"/>
      </w:pPr>
      <w:r w:rsidRPr="00834D0C">
        <w:rPr>
          <w:rStyle w:val="FootnoteReference"/>
        </w:rPr>
        <w:footnoteRef/>
      </w:r>
      <w:r w:rsidRPr="00834D0C">
        <w:t xml:space="preserve"> </w:t>
      </w:r>
      <w:r w:rsidR="00486060" w:rsidRPr="00834D0C">
        <w:t>Freedom House Transnistria (n 461).</w:t>
      </w:r>
    </w:p>
  </w:footnote>
  <w:footnote w:id="471">
    <w:p w14:paraId="4D836B71" w14:textId="41281994" w:rsidR="002B032D" w:rsidRPr="00834D0C" w:rsidRDefault="002B032D" w:rsidP="00163B41">
      <w:pPr>
        <w:pStyle w:val="FootnoteText"/>
        <w:jc w:val="both"/>
      </w:pPr>
      <w:r w:rsidRPr="00834D0C">
        <w:rPr>
          <w:rStyle w:val="FootnoteReference"/>
        </w:rPr>
        <w:footnoteRef/>
      </w:r>
      <w:r w:rsidRPr="00834D0C">
        <w:t xml:space="preserve"> Constitution of Transnistria, </w:t>
      </w:r>
      <w:r w:rsidR="00545051" w:rsidRPr="00834D0C">
        <w:t xml:space="preserve">Art </w:t>
      </w:r>
      <w:r w:rsidRPr="00834D0C">
        <w:t>70.</w:t>
      </w:r>
    </w:p>
  </w:footnote>
  <w:footnote w:id="472">
    <w:p w14:paraId="5E49B251" w14:textId="3644DC69" w:rsidR="002B032D" w:rsidRPr="00834D0C" w:rsidRDefault="002B032D" w:rsidP="00163B41">
      <w:pPr>
        <w:pStyle w:val="FootnoteText"/>
        <w:jc w:val="both"/>
      </w:pPr>
      <w:r w:rsidRPr="00834D0C">
        <w:rPr>
          <w:rStyle w:val="FootnoteReference"/>
        </w:rPr>
        <w:footnoteRef/>
      </w:r>
      <w:r w:rsidRPr="00834D0C">
        <w:t xml:space="preserve"> Constitution of Transnistria, </w:t>
      </w:r>
      <w:r w:rsidR="00545051" w:rsidRPr="00834D0C">
        <w:t xml:space="preserve">Arts </w:t>
      </w:r>
      <w:r w:rsidRPr="00834D0C">
        <w:t>11 and 94.</w:t>
      </w:r>
    </w:p>
  </w:footnote>
  <w:footnote w:id="473">
    <w:p w14:paraId="22E018F8" w14:textId="1834CDBC" w:rsidR="002B032D" w:rsidRPr="00834D0C" w:rsidRDefault="002B032D" w:rsidP="00163B41">
      <w:pPr>
        <w:pStyle w:val="FootnoteText"/>
        <w:jc w:val="both"/>
      </w:pPr>
      <w:r w:rsidRPr="00834D0C">
        <w:rPr>
          <w:rStyle w:val="FootnoteReference"/>
        </w:rPr>
        <w:footnoteRef/>
      </w:r>
      <w:r w:rsidRPr="00834D0C">
        <w:t xml:space="preserve"> A referendum held in 1995 supported the presence of Russian troops in Transnistria. </w:t>
      </w:r>
    </w:p>
  </w:footnote>
  <w:footnote w:id="474">
    <w:p w14:paraId="7AAD5072" w14:textId="148C600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PAC</w:t>
      </w:r>
      <w:r w:rsidR="00643ED5" w:rsidRPr="00834D0C">
        <w:rPr>
          <w:rFonts w:cstheme="minorHAnsi"/>
        </w:rPr>
        <w:t>E</w:t>
      </w:r>
      <w:r w:rsidRPr="00834D0C">
        <w:rPr>
          <w:rFonts w:cstheme="minorHAnsi"/>
        </w:rPr>
        <w:t xml:space="preserve"> Resolution 2034 (</w:t>
      </w:r>
      <w:r w:rsidR="0084605E" w:rsidRPr="00834D0C">
        <w:rPr>
          <w:rFonts w:cstheme="minorHAnsi"/>
        </w:rPr>
        <w:t>n</w:t>
      </w:r>
      <w:r w:rsidR="00643ED5" w:rsidRPr="00834D0C">
        <w:rPr>
          <w:rFonts w:cstheme="minorHAnsi"/>
        </w:rPr>
        <w:t xml:space="preserve"> 371</w:t>
      </w:r>
      <w:r w:rsidRPr="00834D0C">
        <w:rPr>
          <w:rFonts w:cstheme="minorHAnsi"/>
        </w:rPr>
        <w:t>) para 12.3.</w:t>
      </w:r>
    </w:p>
  </w:footnote>
  <w:footnote w:id="475">
    <w:p w14:paraId="11C92BD1" w14:textId="1E30D1E9" w:rsidR="002B032D" w:rsidRPr="00834D0C" w:rsidRDefault="002B032D" w:rsidP="00163B41">
      <w:pPr>
        <w:pStyle w:val="FootnoteText"/>
        <w:jc w:val="both"/>
      </w:pPr>
      <w:r w:rsidRPr="00834D0C">
        <w:rPr>
          <w:rStyle w:val="FootnoteReference"/>
        </w:rPr>
        <w:footnoteRef/>
      </w:r>
      <w:r w:rsidRPr="00834D0C">
        <w:t xml:space="preserve"> </w:t>
      </w:r>
      <w:r w:rsidR="00486060" w:rsidRPr="00834D0C">
        <w:t>Freedom House Transnistria (n 461).</w:t>
      </w:r>
    </w:p>
  </w:footnote>
  <w:footnote w:id="476">
    <w:p w14:paraId="65F40DA3" w14:textId="43A044C8"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92B2E" w:rsidRPr="00834D0C">
        <w:rPr>
          <w:rFonts w:cstheme="minorHAnsi"/>
          <w:i/>
          <w:iCs/>
        </w:rPr>
        <w:t>Catan</w:t>
      </w:r>
      <w:r w:rsidR="00792B2E" w:rsidRPr="00834D0C">
        <w:rPr>
          <w:rFonts w:cstheme="minorHAnsi"/>
        </w:rPr>
        <w:t xml:space="preserve"> (n 77) </w:t>
      </w:r>
      <w:r w:rsidRPr="00834D0C">
        <w:rPr>
          <w:rFonts w:cstheme="minorHAnsi"/>
        </w:rPr>
        <w:t xml:space="preserve">para 121. See also </w:t>
      </w:r>
      <w:r w:rsidR="00486060" w:rsidRPr="00834D0C">
        <w:t>Freedom House Transnistria (n 461).</w:t>
      </w:r>
    </w:p>
  </w:footnote>
  <w:footnote w:id="477">
    <w:p w14:paraId="5EBC1987" w14:textId="3423A9C5"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i/>
          <w:iCs/>
        </w:rPr>
        <w:t xml:space="preserve"> </w:t>
      </w:r>
      <w:proofErr w:type="spellStart"/>
      <w:r w:rsidRPr="00834D0C">
        <w:rPr>
          <w:rFonts w:cstheme="minorHAnsi"/>
          <w:i/>
          <w:iCs/>
        </w:rPr>
        <w:t>Ilaşcu</w:t>
      </w:r>
      <w:proofErr w:type="spellEnd"/>
      <w:r w:rsidRPr="00834D0C">
        <w:rPr>
          <w:rFonts w:cstheme="minorHAnsi"/>
          <w:i/>
          <w:iCs/>
        </w:rPr>
        <w:t xml:space="preserve"> </w:t>
      </w:r>
      <w:r w:rsidRPr="00834D0C">
        <w:rPr>
          <w:rFonts w:cstheme="minorHAnsi"/>
        </w:rPr>
        <w:t>(</w:t>
      </w:r>
      <w:r w:rsidR="0084605E" w:rsidRPr="00834D0C">
        <w:rPr>
          <w:rFonts w:cstheme="minorHAnsi"/>
        </w:rPr>
        <w:t>n</w:t>
      </w:r>
      <w:r w:rsidRPr="00834D0C">
        <w:rPr>
          <w:rFonts w:cstheme="minorHAnsi"/>
        </w:rPr>
        <w:t xml:space="preserve"> </w:t>
      </w:r>
      <w:r w:rsidR="00643ED5" w:rsidRPr="00834D0C">
        <w:rPr>
          <w:rFonts w:cstheme="minorHAnsi"/>
        </w:rPr>
        <w:t>157</w:t>
      </w:r>
      <w:r w:rsidRPr="00834D0C">
        <w:rPr>
          <w:rFonts w:cstheme="minorHAnsi"/>
        </w:rPr>
        <w:t>) para 392.</w:t>
      </w:r>
    </w:p>
  </w:footnote>
  <w:footnote w:id="478">
    <w:p w14:paraId="712C3EC9" w14:textId="69D59A8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See also </w:t>
      </w:r>
      <w:r w:rsidR="00792B2E" w:rsidRPr="00834D0C">
        <w:rPr>
          <w:rFonts w:cstheme="minorHAnsi"/>
          <w:i/>
          <w:iCs/>
        </w:rPr>
        <w:t>Catan</w:t>
      </w:r>
      <w:r w:rsidR="00792B2E" w:rsidRPr="00834D0C">
        <w:rPr>
          <w:rFonts w:cstheme="minorHAnsi"/>
        </w:rPr>
        <w:t xml:space="preserve"> (n 77) </w:t>
      </w:r>
      <w:r w:rsidRPr="00834D0C">
        <w:rPr>
          <w:rFonts w:cstheme="minorHAnsi"/>
        </w:rPr>
        <w:t>para 105.</w:t>
      </w:r>
    </w:p>
  </w:footnote>
  <w:footnote w:id="479">
    <w:p w14:paraId="497190B1" w14:textId="5BDDC0AE"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92B2E" w:rsidRPr="00834D0C">
        <w:rPr>
          <w:rFonts w:cstheme="minorHAnsi"/>
        </w:rPr>
        <w:t>ECtHR</w:t>
      </w:r>
      <w:r w:rsidRPr="00834D0C">
        <w:rPr>
          <w:rFonts w:cstheme="minorHAnsi"/>
        </w:rPr>
        <w:t>,</w:t>
      </w:r>
      <w:r w:rsidRPr="00834D0C">
        <w:rPr>
          <w:rFonts w:cstheme="minorHAnsi"/>
          <w:i/>
          <w:iCs/>
          <w:shd w:val="clear" w:color="auto" w:fill="FFFFFF"/>
        </w:rPr>
        <w:t xml:space="preserve"> </w:t>
      </w:r>
      <w:proofErr w:type="spellStart"/>
      <w:r w:rsidRPr="00834D0C">
        <w:rPr>
          <w:rFonts w:cstheme="minorHAnsi"/>
          <w:i/>
          <w:shd w:val="clear" w:color="auto" w:fill="FFFFFF"/>
        </w:rPr>
        <w:t>Ivanţoc</w:t>
      </w:r>
      <w:proofErr w:type="spellEnd"/>
      <w:r w:rsidRPr="00834D0C">
        <w:rPr>
          <w:rFonts w:cstheme="minorHAnsi"/>
          <w:i/>
          <w:shd w:val="clear" w:color="auto" w:fill="FFFFFF"/>
        </w:rPr>
        <w:t xml:space="preserve"> and Others v Moldova and Russia</w:t>
      </w:r>
      <w:r w:rsidRPr="00834D0C">
        <w:rPr>
          <w:rFonts w:cstheme="minorHAnsi"/>
          <w:shd w:val="clear" w:color="auto" w:fill="FFFFFF"/>
        </w:rPr>
        <w:t>,</w:t>
      </w:r>
      <w:r w:rsidRPr="00834D0C">
        <w:rPr>
          <w:rFonts w:cstheme="minorHAnsi"/>
          <w:i/>
          <w:iCs/>
          <w:shd w:val="clear" w:color="auto" w:fill="FFFFFF"/>
        </w:rPr>
        <w:t xml:space="preserve"> </w:t>
      </w:r>
      <w:r w:rsidRPr="00834D0C">
        <w:rPr>
          <w:rFonts w:cstheme="minorHAnsi"/>
          <w:shd w:val="clear" w:color="auto" w:fill="FFFFFF"/>
        </w:rPr>
        <w:t>Application No 23687/05, 15 November 2011</w:t>
      </w:r>
      <w:r w:rsidRPr="00834D0C">
        <w:rPr>
          <w:rFonts w:cstheme="minorHAnsi"/>
          <w:i/>
          <w:iCs/>
          <w:shd w:val="clear" w:color="auto" w:fill="FFFFFF"/>
        </w:rPr>
        <w:t xml:space="preserve">, </w:t>
      </w:r>
      <w:r w:rsidR="00643ED5" w:rsidRPr="00834D0C">
        <w:rPr>
          <w:rFonts w:cstheme="minorHAnsi"/>
          <w:shd w:val="clear" w:color="auto" w:fill="FFFFFF"/>
        </w:rPr>
        <w:t>para</w:t>
      </w:r>
      <w:r w:rsidRPr="00834D0C">
        <w:rPr>
          <w:rFonts w:cstheme="minorHAnsi"/>
          <w:shd w:val="clear" w:color="auto" w:fill="FFFFFF"/>
        </w:rPr>
        <w:t xml:space="preserve"> 118.</w:t>
      </w:r>
    </w:p>
  </w:footnote>
  <w:footnote w:id="480">
    <w:p w14:paraId="24C8B0E4" w14:textId="62B0E67D"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i/>
          <w:iCs/>
        </w:rPr>
        <w:t xml:space="preserve"> </w:t>
      </w:r>
      <w:proofErr w:type="spellStart"/>
      <w:r w:rsidRPr="00834D0C">
        <w:rPr>
          <w:rFonts w:cstheme="minorHAnsi"/>
          <w:i/>
        </w:rPr>
        <w:t>Mozer</w:t>
      </w:r>
      <w:proofErr w:type="spellEnd"/>
      <w:r w:rsidRPr="00834D0C">
        <w:rPr>
          <w:rFonts w:cstheme="minorHAnsi"/>
          <w:i/>
          <w:iCs/>
        </w:rPr>
        <w:t xml:space="preserve"> </w:t>
      </w:r>
      <w:r w:rsidRPr="00834D0C">
        <w:rPr>
          <w:rFonts w:cstheme="minorHAnsi"/>
        </w:rPr>
        <w:t>(</w:t>
      </w:r>
      <w:r w:rsidR="0084605E" w:rsidRPr="00834D0C">
        <w:rPr>
          <w:rFonts w:cstheme="minorHAnsi"/>
        </w:rPr>
        <w:t>n</w:t>
      </w:r>
      <w:r w:rsidRPr="00834D0C">
        <w:rPr>
          <w:rFonts w:cstheme="minorHAnsi"/>
        </w:rPr>
        <w:t xml:space="preserve"> </w:t>
      </w:r>
      <w:r w:rsidR="00643ED5" w:rsidRPr="00834D0C">
        <w:rPr>
          <w:rFonts w:cstheme="minorHAnsi"/>
        </w:rPr>
        <w:t>77</w:t>
      </w:r>
      <w:r w:rsidRPr="00834D0C">
        <w:rPr>
          <w:rFonts w:cstheme="minorHAnsi"/>
        </w:rPr>
        <w:t>) paras 107-108</w:t>
      </w:r>
      <w:r w:rsidR="00643ED5" w:rsidRPr="00834D0C">
        <w:rPr>
          <w:rFonts w:cstheme="minorHAnsi"/>
        </w:rPr>
        <w:t>.</w:t>
      </w:r>
    </w:p>
  </w:footnote>
  <w:footnote w:id="481">
    <w:p w14:paraId="67B307EF" w14:textId="1E0D4E57"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rPr>
          <w:rFonts w:cstheme="minorHAnsi"/>
          <w:iCs/>
        </w:rPr>
        <w:t>Kolstø</w:t>
      </w:r>
      <w:proofErr w:type="spellEnd"/>
      <w:r w:rsidR="002F3085" w:rsidRPr="00834D0C">
        <w:rPr>
          <w:rFonts w:cstheme="minorHAnsi"/>
          <w:iCs/>
        </w:rPr>
        <w:t xml:space="preserve"> (n 261)</w:t>
      </w:r>
      <w:r w:rsidR="002F3085" w:rsidRPr="00834D0C">
        <w:t xml:space="preserve"> </w:t>
      </w:r>
      <w:r w:rsidRPr="00834D0C">
        <w:t>732.</w:t>
      </w:r>
    </w:p>
  </w:footnote>
  <w:footnote w:id="482">
    <w:p w14:paraId="0536D929" w14:textId="2E70F6DC" w:rsidR="002B032D" w:rsidRPr="00834D0C" w:rsidRDefault="002B032D" w:rsidP="00163B41">
      <w:pPr>
        <w:pStyle w:val="FootnoteText"/>
        <w:jc w:val="both"/>
      </w:pPr>
      <w:r w:rsidRPr="00834D0C">
        <w:rPr>
          <w:rStyle w:val="FootnoteReference"/>
        </w:rPr>
        <w:footnoteRef/>
      </w:r>
      <w:r w:rsidRPr="00834D0C">
        <w:t xml:space="preserve"> Constitution of Transnistria, </w:t>
      </w:r>
      <w:r w:rsidR="00545051" w:rsidRPr="00834D0C">
        <w:t xml:space="preserve">Art </w:t>
      </w:r>
      <w:r w:rsidRPr="00834D0C">
        <w:t>57.</w:t>
      </w:r>
    </w:p>
  </w:footnote>
  <w:footnote w:id="483">
    <w:p w14:paraId="5AF6F2AF" w14:textId="30EB728E" w:rsidR="002B032D" w:rsidRPr="00834D0C" w:rsidRDefault="002B032D" w:rsidP="00163B41">
      <w:pPr>
        <w:pStyle w:val="FootnoteText"/>
        <w:jc w:val="both"/>
      </w:pPr>
      <w:r w:rsidRPr="00834D0C">
        <w:rPr>
          <w:rStyle w:val="FootnoteReference"/>
        </w:rPr>
        <w:footnoteRef/>
      </w:r>
      <w:r w:rsidRPr="00834D0C">
        <w:t xml:space="preserve"> </w:t>
      </w:r>
      <w:r w:rsidR="00FA5670" w:rsidRPr="00834D0C">
        <w:rPr>
          <w:i/>
          <w:iCs/>
        </w:rPr>
        <w:t>Ibid</w:t>
      </w:r>
      <w:r w:rsidRPr="00834D0C">
        <w:t xml:space="preserve">, </w:t>
      </w:r>
      <w:r w:rsidR="00545051" w:rsidRPr="00834D0C">
        <w:t xml:space="preserve">Art </w:t>
      </w:r>
      <w:r w:rsidRPr="00834D0C">
        <w:t>10.</w:t>
      </w:r>
    </w:p>
  </w:footnote>
  <w:footnote w:id="484">
    <w:p w14:paraId="5F328267" w14:textId="5551E854"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792B2E" w:rsidRPr="00834D0C">
        <w:rPr>
          <w:rFonts w:cstheme="minorHAnsi"/>
          <w:i/>
          <w:iCs/>
        </w:rPr>
        <w:t>Catan</w:t>
      </w:r>
      <w:r w:rsidR="00792B2E" w:rsidRPr="00834D0C">
        <w:rPr>
          <w:rFonts w:cstheme="minorHAnsi"/>
        </w:rPr>
        <w:t xml:space="preserve"> (n 77) </w:t>
      </w:r>
      <w:r w:rsidRPr="00834D0C">
        <w:rPr>
          <w:rFonts w:cstheme="minorHAnsi"/>
        </w:rPr>
        <w:t>paras 29 and 30.</w:t>
      </w:r>
    </w:p>
  </w:footnote>
  <w:footnote w:id="485">
    <w:p w14:paraId="53D83708" w14:textId="18A603D0" w:rsidR="002B032D" w:rsidRPr="00834D0C" w:rsidRDefault="002B032D" w:rsidP="00163B41">
      <w:pPr>
        <w:pStyle w:val="FootnoteText"/>
        <w:jc w:val="both"/>
      </w:pPr>
      <w:r w:rsidRPr="00834D0C">
        <w:rPr>
          <w:rStyle w:val="FootnoteReference"/>
        </w:rPr>
        <w:footnoteRef/>
      </w:r>
      <w:r w:rsidRPr="00834D0C">
        <w:t xml:space="preserve"> </w:t>
      </w:r>
      <w:proofErr w:type="spellStart"/>
      <w:r w:rsidR="00E96CF5" w:rsidRPr="00834D0C">
        <w:t>Kr</w:t>
      </w:r>
      <w:r w:rsidR="00E96CF5" w:rsidRPr="00834D0C">
        <w:rPr>
          <w:rFonts w:cstheme="minorHAnsi"/>
        </w:rPr>
        <w:t>ü</w:t>
      </w:r>
      <w:r w:rsidR="00E96CF5" w:rsidRPr="00834D0C">
        <w:t>ger</w:t>
      </w:r>
      <w:proofErr w:type="spellEnd"/>
      <w:r w:rsidR="00E96CF5" w:rsidRPr="00834D0C">
        <w:t xml:space="preserve"> </w:t>
      </w:r>
      <w:r w:rsidR="00E96CF5" w:rsidRPr="00834D0C">
        <w:rPr>
          <w:rFonts w:cstheme="minorHAnsi"/>
        </w:rPr>
        <w:t xml:space="preserve">(n 9) </w:t>
      </w:r>
      <w:r w:rsidRPr="00834D0C">
        <w:t>112-113.</w:t>
      </w:r>
    </w:p>
  </w:footnote>
  <w:footnote w:id="486">
    <w:p w14:paraId="3B2E5A1C" w14:textId="665E5382" w:rsidR="002B032D" w:rsidRPr="00834D0C" w:rsidRDefault="002B032D" w:rsidP="00163B41">
      <w:pPr>
        <w:pStyle w:val="FootnoteText"/>
        <w:jc w:val="both"/>
      </w:pPr>
      <w:r w:rsidRPr="00834D0C">
        <w:rPr>
          <w:rStyle w:val="FootnoteReference"/>
        </w:rPr>
        <w:footnoteRef/>
      </w:r>
      <w:r w:rsidRPr="00834D0C">
        <w:t xml:space="preserve"> </w:t>
      </w:r>
      <w:proofErr w:type="spellStart"/>
      <w:r w:rsidR="0084605E" w:rsidRPr="00834D0C">
        <w:rPr>
          <w:rFonts w:cstheme="minorHAnsi"/>
        </w:rPr>
        <w:t>Pegg</w:t>
      </w:r>
      <w:proofErr w:type="spellEnd"/>
      <w:r w:rsidR="002F5312">
        <w:rPr>
          <w:rFonts w:cstheme="minorHAnsi"/>
        </w:rPr>
        <w:t xml:space="preserve"> </w:t>
      </w:r>
      <w:r w:rsidR="002F5312">
        <w:rPr>
          <w:rFonts w:cstheme="minorHAnsi"/>
        </w:rPr>
        <w:t>and</w:t>
      </w:r>
      <w:r w:rsidR="002F5312" w:rsidRPr="00834D0C">
        <w:rPr>
          <w:rFonts w:cstheme="minorHAnsi"/>
        </w:rPr>
        <w:t xml:space="preserve"> </w:t>
      </w:r>
      <w:r w:rsidR="0084605E" w:rsidRPr="00834D0C">
        <w:rPr>
          <w:rFonts w:cstheme="minorHAnsi"/>
        </w:rPr>
        <w:t xml:space="preserve">Berg (n 3) </w:t>
      </w:r>
      <w:r w:rsidRPr="00834D0C">
        <w:t>272.</w:t>
      </w:r>
    </w:p>
  </w:footnote>
  <w:footnote w:id="487">
    <w:p w14:paraId="2BB3691C" w14:textId="5B54524A" w:rsidR="002B032D" w:rsidRPr="00834D0C" w:rsidRDefault="002B032D" w:rsidP="00163B41">
      <w:pPr>
        <w:pStyle w:val="FootnoteText"/>
        <w:jc w:val="both"/>
      </w:pPr>
      <w:r w:rsidRPr="00834D0C">
        <w:rPr>
          <w:rStyle w:val="FootnoteReference"/>
        </w:rPr>
        <w:footnoteRef/>
      </w:r>
      <w:r w:rsidRPr="00834D0C">
        <w:t xml:space="preserve"> Constitution of Nagorno-Karabakh, </w:t>
      </w:r>
      <w:r w:rsidR="00545051" w:rsidRPr="00834D0C">
        <w:t xml:space="preserve">Art </w:t>
      </w:r>
      <w:r w:rsidRPr="00834D0C">
        <w:t>2(2).</w:t>
      </w:r>
    </w:p>
  </w:footnote>
  <w:footnote w:id="488">
    <w:p w14:paraId="44BC2BFB" w14:textId="777A450D" w:rsidR="002B032D" w:rsidRPr="00834D0C" w:rsidRDefault="002B032D" w:rsidP="00163B41">
      <w:pPr>
        <w:pStyle w:val="FootnoteText"/>
        <w:jc w:val="both"/>
      </w:pPr>
      <w:r w:rsidRPr="00834D0C">
        <w:rPr>
          <w:rStyle w:val="FootnoteReference"/>
        </w:rPr>
        <w:footnoteRef/>
      </w:r>
      <w:r w:rsidRPr="00834D0C">
        <w:t xml:space="preserve"> Freedom House</w:t>
      </w:r>
      <w:r w:rsidR="00486060" w:rsidRPr="00834D0C">
        <w:t xml:space="preserve"> </w:t>
      </w:r>
      <w:r w:rsidRPr="00834D0C">
        <w:t>Nagorno-Karabakh</w:t>
      </w:r>
      <w:r w:rsidR="00486060" w:rsidRPr="00834D0C">
        <w:t xml:space="preserve"> (n 43)</w:t>
      </w:r>
      <w:r w:rsidRPr="00834D0C">
        <w:t>.</w:t>
      </w:r>
    </w:p>
  </w:footnote>
  <w:footnote w:id="489">
    <w:p w14:paraId="372A66F2" w14:textId="04483781" w:rsidR="002B032D" w:rsidRPr="00834D0C" w:rsidRDefault="002B032D" w:rsidP="00163B41">
      <w:pPr>
        <w:pStyle w:val="FootnoteText"/>
        <w:jc w:val="both"/>
      </w:pPr>
      <w:r w:rsidRPr="00834D0C">
        <w:rPr>
          <w:rStyle w:val="FootnoteReference"/>
        </w:rPr>
        <w:footnoteRef/>
      </w:r>
      <w:r w:rsidRPr="00834D0C">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w:t>
      </w:r>
      <w:r w:rsidRPr="00834D0C">
        <w:rPr>
          <w:rFonts w:cstheme="minorHAnsi"/>
        </w:rPr>
        <w:t xml:space="preserve">paras 78 and 181;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501.</w:t>
      </w:r>
    </w:p>
  </w:footnote>
  <w:footnote w:id="490">
    <w:p w14:paraId="5EBE8846" w14:textId="4A9A49AF" w:rsidR="002B032D" w:rsidRPr="00834D0C" w:rsidRDefault="002B032D" w:rsidP="00163B41">
      <w:pPr>
        <w:pStyle w:val="FootnoteText"/>
        <w:jc w:val="both"/>
      </w:pPr>
      <w:r w:rsidRPr="00834D0C">
        <w:rPr>
          <w:rStyle w:val="FootnoteReference"/>
        </w:rPr>
        <w:footnoteRef/>
      </w:r>
      <w:r w:rsidRPr="00834D0C">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(n 78) para</w:t>
      </w:r>
      <w:r w:rsidRPr="00834D0C">
        <w:rPr>
          <w:rFonts w:cstheme="minorHAnsi"/>
        </w:rPr>
        <w:t xml:space="preserve"> 68</w:t>
      </w:r>
      <w:r w:rsidR="00643ED5" w:rsidRPr="00834D0C">
        <w:rPr>
          <w:rFonts w:cstheme="minorHAnsi"/>
        </w:rPr>
        <w:t>.</w:t>
      </w:r>
    </w:p>
  </w:footnote>
  <w:footnote w:id="491">
    <w:p w14:paraId="7C5AFB1C" w14:textId="6F9E13E4" w:rsidR="002B032D" w:rsidRPr="00834D0C" w:rsidRDefault="002B032D" w:rsidP="00163B41">
      <w:pPr>
        <w:pStyle w:val="FootnoteText"/>
        <w:jc w:val="both"/>
      </w:pPr>
      <w:r w:rsidRPr="00834D0C">
        <w:rPr>
          <w:rStyle w:val="FootnoteReference"/>
        </w:rPr>
        <w:footnoteRef/>
      </w:r>
      <w:r w:rsidRPr="00834D0C">
        <w:t xml:space="preserve"> </w:t>
      </w:r>
      <w:r w:rsidR="009310E7" w:rsidRPr="00834D0C">
        <w:rPr>
          <w:rFonts w:cstheme="minorHAnsi"/>
        </w:rPr>
        <w:t xml:space="preserve">Armenia’s Application for Membership (n 219) </w:t>
      </w:r>
      <w:r w:rsidR="00643ED5" w:rsidRPr="00834D0C">
        <w:rPr>
          <w:rFonts w:cstheme="minorHAnsi"/>
        </w:rPr>
        <w:t xml:space="preserve">para </w:t>
      </w:r>
      <w:r w:rsidRPr="00834D0C">
        <w:rPr>
          <w:rFonts w:cstheme="minorHAnsi"/>
        </w:rPr>
        <w:t>59.</w:t>
      </w:r>
    </w:p>
  </w:footnote>
  <w:footnote w:id="492">
    <w:p w14:paraId="5E583FCC" w14:textId="795EBC78"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rPr>
          <w:rFonts w:cstheme="minorHAnsi"/>
          <w:iCs/>
        </w:rPr>
        <w:t>Kolstø</w:t>
      </w:r>
      <w:proofErr w:type="spellEnd"/>
      <w:r w:rsidR="002F3085" w:rsidRPr="00834D0C">
        <w:rPr>
          <w:rFonts w:cstheme="minorHAnsi"/>
          <w:iCs/>
        </w:rPr>
        <w:t xml:space="preserve"> (n 261)</w:t>
      </w:r>
      <w:r w:rsidR="002F3085" w:rsidRPr="00834D0C">
        <w:t xml:space="preserve"> </w:t>
      </w:r>
      <w:r w:rsidRPr="00834D0C">
        <w:t>733.</w:t>
      </w:r>
    </w:p>
  </w:footnote>
  <w:footnote w:id="493">
    <w:p w14:paraId="2EFA619C" w14:textId="51C733BD" w:rsidR="002B032D" w:rsidRPr="00834D0C" w:rsidRDefault="002B032D" w:rsidP="00163B41">
      <w:pPr>
        <w:pStyle w:val="FootnoteText"/>
        <w:jc w:val="both"/>
      </w:pPr>
      <w:r w:rsidRPr="00834D0C">
        <w:rPr>
          <w:rStyle w:val="FootnoteReference"/>
        </w:rPr>
        <w:footnoteRef/>
      </w:r>
      <w:r w:rsidRPr="00834D0C">
        <w:t xml:space="preserve"> </w:t>
      </w:r>
      <w:r w:rsidR="00486060" w:rsidRPr="00834D0C">
        <w:t>Freedom House Nagorno-Karabakh (n 43)</w:t>
      </w:r>
      <w:r w:rsidRPr="00834D0C">
        <w:t>.</w:t>
      </w:r>
    </w:p>
  </w:footnote>
  <w:footnote w:id="494">
    <w:p w14:paraId="2649CC0A" w14:textId="21965BC4" w:rsidR="002B032D" w:rsidRPr="00834D0C" w:rsidRDefault="002B032D" w:rsidP="00163B41">
      <w:pPr>
        <w:pStyle w:val="FootnoteText"/>
        <w:jc w:val="both"/>
      </w:pPr>
      <w:r w:rsidRPr="00834D0C">
        <w:rPr>
          <w:rStyle w:val="FootnoteReference"/>
        </w:rPr>
        <w:footnoteRef/>
      </w:r>
      <w:r w:rsidRPr="00834D0C">
        <w:t xml:space="preserve"> </w:t>
      </w:r>
      <w:r w:rsidR="00FA5670" w:rsidRPr="00834D0C">
        <w:rPr>
          <w:i/>
          <w:iCs/>
        </w:rPr>
        <w:t>Ibidem</w:t>
      </w:r>
      <w:r w:rsidRPr="00834D0C">
        <w:t>.</w:t>
      </w:r>
    </w:p>
  </w:footnote>
  <w:footnote w:id="495">
    <w:p w14:paraId="320D4C65" w14:textId="0F0D7009" w:rsidR="002B032D" w:rsidRPr="00834D0C" w:rsidRDefault="002B032D" w:rsidP="00163B41">
      <w:pPr>
        <w:pStyle w:val="FootnoteText"/>
        <w:jc w:val="both"/>
      </w:pPr>
      <w:r w:rsidRPr="00834D0C">
        <w:rPr>
          <w:rStyle w:val="FootnoteReference"/>
        </w:rPr>
        <w:footnoteRef/>
      </w:r>
      <w:r w:rsidRPr="00834D0C">
        <w:t xml:space="preserve"> Claimed made by the applicants in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para </w:t>
      </w:r>
      <w:r w:rsidRPr="00834D0C">
        <w:rPr>
          <w:rFonts w:cstheme="minorHAnsi"/>
        </w:rPr>
        <w:t>182</w:t>
      </w:r>
      <w:r w:rsidR="00643ED5" w:rsidRPr="00834D0C">
        <w:rPr>
          <w:rFonts w:cstheme="minorHAnsi"/>
        </w:rPr>
        <w:t>.</w:t>
      </w:r>
    </w:p>
  </w:footnote>
  <w:footnote w:id="496">
    <w:p w14:paraId="5252EF30" w14:textId="2EC77777" w:rsidR="002B032D" w:rsidRPr="00834D0C" w:rsidRDefault="002B032D" w:rsidP="00163B41">
      <w:pPr>
        <w:pStyle w:val="FootnoteText"/>
        <w:jc w:val="both"/>
      </w:pPr>
      <w:r w:rsidRPr="00834D0C">
        <w:rPr>
          <w:rStyle w:val="FootnoteReference"/>
        </w:rPr>
        <w:footnoteRef/>
      </w:r>
      <w:r w:rsidRPr="00834D0C">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w:t>
      </w:r>
      <w:r w:rsidRPr="00834D0C">
        <w:rPr>
          <w:rFonts w:cstheme="minorHAnsi"/>
        </w:rPr>
        <w:t xml:space="preserve">paras 68, 80-82, 183;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 xml:space="preserve">496; </w:t>
      </w:r>
      <w:proofErr w:type="spellStart"/>
      <w:r w:rsidR="002F3085" w:rsidRPr="00834D0C">
        <w:rPr>
          <w:rFonts w:cstheme="minorHAnsi"/>
          <w:iCs/>
        </w:rPr>
        <w:t>Kolstø</w:t>
      </w:r>
      <w:proofErr w:type="spellEnd"/>
      <w:r w:rsidR="002F3085" w:rsidRPr="00834D0C">
        <w:rPr>
          <w:rFonts w:cstheme="minorHAnsi"/>
          <w:iCs/>
        </w:rPr>
        <w:t xml:space="preserve"> (n 261)</w:t>
      </w:r>
      <w:r w:rsidR="002F3085" w:rsidRPr="00834D0C">
        <w:t xml:space="preserve"> </w:t>
      </w:r>
      <w:r w:rsidRPr="00834D0C">
        <w:t>733.</w:t>
      </w:r>
    </w:p>
  </w:footnote>
  <w:footnote w:id="497">
    <w:p w14:paraId="6E50E97B" w14:textId="52E9B5D1" w:rsidR="002B032D" w:rsidRPr="00834D0C" w:rsidRDefault="002B032D" w:rsidP="00163B41">
      <w:pPr>
        <w:pStyle w:val="FootnoteText"/>
        <w:jc w:val="both"/>
      </w:pPr>
      <w:r w:rsidRPr="00834D0C">
        <w:rPr>
          <w:rStyle w:val="FootnoteReference"/>
        </w:rPr>
        <w:footnoteRef/>
      </w:r>
      <w:r w:rsidRPr="00834D0C">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para </w:t>
      </w:r>
      <w:r w:rsidRPr="00834D0C">
        <w:rPr>
          <w:rFonts w:cstheme="minorHAnsi"/>
        </w:rPr>
        <w:t>83.</w:t>
      </w:r>
    </w:p>
  </w:footnote>
  <w:footnote w:id="498">
    <w:p w14:paraId="3B6BBFA1" w14:textId="4B2C1F2C" w:rsidR="002B032D" w:rsidRPr="00834D0C" w:rsidRDefault="002B032D" w:rsidP="00163B41">
      <w:pPr>
        <w:pStyle w:val="FootnoteText"/>
        <w:jc w:val="both"/>
      </w:pPr>
      <w:r w:rsidRPr="00834D0C">
        <w:rPr>
          <w:rStyle w:val="FootnoteReference"/>
        </w:rPr>
        <w:footnoteRef/>
      </w:r>
      <w:r w:rsidRPr="00834D0C">
        <w:t xml:space="preserve"> Cited in </w:t>
      </w:r>
      <w:r w:rsidR="00FA5670" w:rsidRPr="00834D0C">
        <w:rPr>
          <w:i/>
          <w:iCs/>
        </w:rPr>
        <w:t>ibidem</w:t>
      </w:r>
      <w:r w:rsidRPr="00834D0C">
        <w:rPr>
          <w:rFonts w:cstheme="minorHAnsi"/>
        </w:rPr>
        <w:t xml:space="preserve">. </w:t>
      </w:r>
    </w:p>
  </w:footnote>
  <w:footnote w:id="499">
    <w:p w14:paraId="502E40D9" w14:textId="78DE3D41" w:rsidR="002B032D" w:rsidRPr="00834D0C" w:rsidRDefault="002B032D" w:rsidP="00163B41">
      <w:pPr>
        <w:pStyle w:val="FootnoteText"/>
        <w:jc w:val="both"/>
      </w:pPr>
      <w:r w:rsidRPr="00834D0C">
        <w:rPr>
          <w:rStyle w:val="FootnoteReference"/>
        </w:rPr>
        <w:footnoteRef/>
      </w:r>
      <w:r w:rsidRPr="00834D0C">
        <w:t xml:space="preserve"> </w:t>
      </w:r>
      <w:proofErr w:type="spellStart"/>
      <w:r w:rsidR="002F3085" w:rsidRPr="00834D0C">
        <w:rPr>
          <w:rFonts w:cstheme="minorHAnsi"/>
          <w:iCs/>
          <w:lang w:val="fr-FR"/>
        </w:rPr>
        <w:t>Kolstø</w:t>
      </w:r>
      <w:proofErr w:type="spellEnd"/>
      <w:r w:rsidR="002F5312">
        <w:rPr>
          <w:rFonts w:cstheme="minorHAnsi"/>
        </w:rPr>
        <w:t xml:space="preserve"> and</w:t>
      </w:r>
      <w:r w:rsidR="002F5312" w:rsidRPr="00834D0C">
        <w:rPr>
          <w:rFonts w:cstheme="minorHAnsi"/>
          <w:iCs/>
          <w:lang w:val="fr-FR"/>
        </w:rPr>
        <w:t xml:space="preserve"> </w:t>
      </w:r>
      <w:proofErr w:type="spellStart"/>
      <w:r w:rsidR="002F3085" w:rsidRPr="00834D0C">
        <w:rPr>
          <w:rFonts w:cstheme="minorHAnsi"/>
          <w:iCs/>
          <w:lang w:val="fr-FR"/>
        </w:rPr>
        <w:t>Blakkisrud</w:t>
      </w:r>
      <w:proofErr w:type="spellEnd"/>
      <w:r w:rsidR="002F3085" w:rsidRPr="00834D0C">
        <w:rPr>
          <w:rFonts w:cstheme="minorHAnsi"/>
          <w:lang w:val="fr-FR"/>
        </w:rPr>
        <w:t xml:space="preserve"> (n 45) </w:t>
      </w:r>
      <w:r w:rsidRPr="00834D0C">
        <w:rPr>
          <w:rFonts w:cstheme="minorHAnsi"/>
        </w:rPr>
        <w:t>501.</w:t>
      </w:r>
    </w:p>
  </w:footnote>
  <w:footnote w:id="500">
    <w:p w14:paraId="3D2BBD25" w14:textId="2E6E803C"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9310E7" w:rsidRPr="00834D0C">
        <w:rPr>
          <w:rFonts w:cstheme="minorHAnsi"/>
        </w:rPr>
        <w:t xml:space="preserve">Caspersen (n 99) </w:t>
      </w:r>
      <w:r w:rsidRPr="00834D0C">
        <w:rPr>
          <w:rFonts w:cstheme="minorHAnsi"/>
        </w:rPr>
        <w:t>56.</w:t>
      </w:r>
    </w:p>
  </w:footnote>
  <w:footnote w:id="501">
    <w:p w14:paraId="064BE4B0" w14:textId="2809B9C9" w:rsidR="002B032D" w:rsidRPr="00834D0C" w:rsidRDefault="002B032D" w:rsidP="00163B41">
      <w:pPr>
        <w:pStyle w:val="FootnoteText"/>
        <w:jc w:val="both"/>
        <w:rPr>
          <w:rFonts w:cstheme="minorHAnsi"/>
        </w:rPr>
      </w:pPr>
      <w:r w:rsidRPr="00834D0C">
        <w:rPr>
          <w:rStyle w:val="FootnoteReference"/>
          <w:rFonts w:cstheme="minorHAnsi"/>
        </w:rPr>
        <w:footnoteRef/>
      </w:r>
      <w:r w:rsidRPr="00834D0C">
        <w:rPr>
          <w:rFonts w:cstheme="minorHAnsi"/>
        </w:rPr>
        <w:t xml:space="preserve"> </w:t>
      </w:r>
      <w:r w:rsidR="00E96CF5" w:rsidRPr="00834D0C">
        <w:rPr>
          <w:rFonts w:cstheme="minorHAnsi"/>
        </w:rPr>
        <w:t xml:space="preserve">Bowring (n 11) </w:t>
      </w:r>
      <w:r w:rsidRPr="00834D0C">
        <w:rPr>
          <w:rFonts w:cstheme="minorHAnsi"/>
        </w:rPr>
        <w:t>21.</w:t>
      </w:r>
    </w:p>
  </w:footnote>
  <w:footnote w:id="502">
    <w:p w14:paraId="63E1E509" w14:textId="18201B50" w:rsidR="002B032D" w:rsidRPr="00834D0C" w:rsidRDefault="002B032D" w:rsidP="00163B41">
      <w:pPr>
        <w:pStyle w:val="FootnoteText"/>
        <w:jc w:val="both"/>
      </w:pPr>
      <w:r w:rsidRPr="00834D0C">
        <w:rPr>
          <w:rStyle w:val="FootnoteReference"/>
        </w:rPr>
        <w:footnoteRef/>
      </w:r>
      <w:r w:rsidRPr="00834D0C">
        <w:t xml:space="preserve"> Constitution of Nagorno-Karabakh, </w:t>
      </w:r>
      <w:r w:rsidR="00545051" w:rsidRPr="00834D0C">
        <w:t xml:space="preserve">Art </w:t>
      </w:r>
      <w:r w:rsidRPr="00834D0C">
        <w:t>94.</w:t>
      </w:r>
    </w:p>
  </w:footnote>
  <w:footnote w:id="503">
    <w:p w14:paraId="71B62588" w14:textId="603A4E7E" w:rsidR="002B032D" w:rsidRPr="00834D0C" w:rsidRDefault="002B032D" w:rsidP="00163B41">
      <w:pPr>
        <w:pStyle w:val="FootnoteText"/>
        <w:jc w:val="both"/>
      </w:pPr>
      <w:r w:rsidRPr="00834D0C">
        <w:rPr>
          <w:rStyle w:val="FootnoteReference"/>
        </w:rPr>
        <w:footnoteRef/>
      </w:r>
      <w:r w:rsidRPr="00834D0C">
        <w:t xml:space="preserve">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w:t>
      </w:r>
      <w:r w:rsidRPr="00834D0C">
        <w:rPr>
          <w:rFonts w:cstheme="minorHAnsi"/>
        </w:rPr>
        <w:t>paras 62, 65, 68.</w:t>
      </w:r>
    </w:p>
  </w:footnote>
  <w:footnote w:id="504">
    <w:p w14:paraId="53ECB314" w14:textId="7AEE05BE" w:rsidR="002B032D" w:rsidRPr="00834D0C" w:rsidRDefault="002B032D" w:rsidP="00163B41">
      <w:pPr>
        <w:pStyle w:val="FootnoteText"/>
        <w:jc w:val="both"/>
      </w:pPr>
      <w:r w:rsidRPr="00834D0C">
        <w:rPr>
          <w:rStyle w:val="FootnoteReference"/>
        </w:rPr>
        <w:footnoteRef/>
      </w:r>
      <w:r w:rsidRPr="00834D0C">
        <w:t xml:space="preserve"> See </w:t>
      </w:r>
      <w:r w:rsidR="009310E7" w:rsidRPr="00834D0C">
        <w:rPr>
          <w:rFonts w:cstheme="minorHAnsi"/>
        </w:rPr>
        <w:t xml:space="preserve">Armenia’s Application for Membership (n 219) </w:t>
      </w:r>
      <w:r w:rsidR="00643ED5" w:rsidRPr="00834D0C">
        <w:rPr>
          <w:rFonts w:cstheme="minorHAnsi"/>
        </w:rPr>
        <w:t>para</w:t>
      </w:r>
      <w:r w:rsidRPr="00834D0C">
        <w:rPr>
          <w:rFonts w:cstheme="minorHAnsi"/>
        </w:rPr>
        <w:t xml:space="preserve"> 60.</w:t>
      </w:r>
    </w:p>
  </w:footnote>
  <w:footnote w:id="505">
    <w:p w14:paraId="358895C0" w14:textId="76B4BEF0" w:rsidR="002B032D" w:rsidRPr="00834D0C" w:rsidRDefault="002B032D" w:rsidP="00163B41">
      <w:pPr>
        <w:pStyle w:val="FootnoteText"/>
        <w:jc w:val="both"/>
      </w:pPr>
      <w:r w:rsidRPr="00834D0C">
        <w:rPr>
          <w:rStyle w:val="FootnoteReference"/>
        </w:rPr>
        <w:footnoteRef/>
      </w:r>
      <w:r w:rsidRPr="00834D0C">
        <w:t xml:space="preserve"> </w:t>
      </w:r>
      <w:r w:rsidR="00792B2E" w:rsidRPr="00834D0C">
        <w:rPr>
          <w:rFonts w:cstheme="minorHAnsi"/>
        </w:rPr>
        <w:t>ECtHR</w:t>
      </w:r>
      <w:r w:rsidRPr="00834D0C">
        <w:t xml:space="preserve">, </w:t>
      </w:r>
      <w:proofErr w:type="spellStart"/>
      <w:r w:rsidRPr="00834D0C">
        <w:rPr>
          <w:i/>
        </w:rPr>
        <w:t>Zalyan</w:t>
      </w:r>
      <w:proofErr w:type="spellEnd"/>
      <w:r w:rsidRPr="00834D0C">
        <w:rPr>
          <w:i/>
        </w:rPr>
        <w:t xml:space="preserve">, Sargsyan and </w:t>
      </w:r>
      <w:proofErr w:type="spellStart"/>
      <w:r w:rsidRPr="00834D0C">
        <w:rPr>
          <w:i/>
        </w:rPr>
        <w:t>Serobyan</w:t>
      </w:r>
      <w:proofErr w:type="spellEnd"/>
      <w:r w:rsidRPr="00834D0C">
        <w:rPr>
          <w:i/>
        </w:rPr>
        <w:t xml:space="preserve"> v Armenia</w:t>
      </w:r>
      <w:r w:rsidRPr="00834D0C">
        <w:t xml:space="preserve">, Applications No 36894/04 and 3521/07, 17 March 2016. </w:t>
      </w:r>
    </w:p>
  </w:footnote>
  <w:footnote w:id="506">
    <w:p w14:paraId="46CE9A1F" w14:textId="6AF0EBB7" w:rsidR="002B032D" w:rsidRPr="00834D0C" w:rsidRDefault="002B032D" w:rsidP="00163B41">
      <w:pPr>
        <w:pStyle w:val="FootnoteText"/>
        <w:jc w:val="both"/>
      </w:pPr>
      <w:r w:rsidRPr="00834D0C">
        <w:rPr>
          <w:rStyle w:val="FootnoteReference"/>
        </w:rPr>
        <w:footnoteRef/>
      </w:r>
      <w:r w:rsidRPr="00834D0C">
        <w:t xml:space="preserve"> Cited in </w:t>
      </w:r>
      <w:proofErr w:type="spellStart"/>
      <w:r w:rsidR="00643ED5" w:rsidRPr="00834D0C">
        <w:rPr>
          <w:i/>
          <w:iCs/>
        </w:rPr>
        <w:t>Chiragov</w:t>
      </w:r>
      <w:proofErr w:type="spellEnd"/>
      <w:r w:rsidR="00643ED5" w:rsidRPr="00834D0C">
        <w:t xml:space="preserve"> </w:t>
      </w:r>
      <w:r w:rsidR="00643ED5" w:rsidRPr="00834D0C">
        <w:rPr>
          <w:rFonts w:cstheme="minorHAnsi"/>
        </w:rPr>
        <w:t xml:space="preserve">(n 78) para </w:t>
      </w:r>
      <w:r w:rsidRPr="00834D0C">
        <w:rPr>
          <w:rFonts w:cstheme="minorHAnsi"/>
        </w:rPr>
        <w:t>74.</w:t>
      </w:r>
    </w:p>
  </w:footnote>
  <w:footnote w:id="507">
    <w:p w14:paraId="43253E61" w14:textId="2315E8EC" w:rsidR="002B032D" w:rsidRPr="00834D0C" w:rsidRDefault="002B032D" w:rsidP="00163B41">
      <w:pPr>
        <w:pStyle w:val="FootnoteText"/>
        <w:jc w:val="both"/>
      </w:pPr>
      <w:r w:rsidRPr="00834D0C">
        <w:rPr>
          <w:rStyle w:val="FootnoteReference"/>
        </w:rPr>
        <w:footnoteRef/>
      </w:r>
      <w:r w:rsidRPr="00834D0C">
        <w:t xml:space="preserve"> </w:t>
      </w:r>
      <w:r w:rsidR="00FA5670" w:rsidRPr="00834D0C">
        <w:rPr>
          <w:i/>
          <w:iCs/>
        </w:rPr>
        <w:t>Ibid</w:t>
      </w:r>
      <w:r w:rsidR="00643ED5" w:rsidRPr="00834D0C">
        <w:rPr>
          <w:rFonts w:cstheme="minorHAnsi"/>
        </w:rPr>
        <w:t xml:space="preserve"> para</w:t>
      </w:r>
      <w:r w:rsidRPr="00834D0C">
        <w:rPr>
          <w:rFonts w:cstheme="minorHAnsi"/>
        </w:rPr>
        <w:t xml:space="preserve"> 175.</w:t>
      </w:r>
    </w:p>
  </w:footnote>
  <w:footnote w:id="508">
    <w:p w14:paraId="44E412AC" w14:textId="7225BC0C" w:rsidR="002B032D" w:rsidRPr="00834D0C" w:rsidRDefault="002B032D" w:rsidP="00163B41">
      <w:pPr>
        <w:pStyle w:val="FootnoteText"/>
        <w:jc w:val="both"/>
      </w:pPr>
      <w:r w:rsidRPr="00834D0C">
        <w:rPr>
          <w:rStyle w:val="FootnoteReference"/>
        </w:rPr>
        <w:footnoteRef/>
      </w:r>
      <w:r w:rsidRPr="00834D0C">
        <w:t xml:space="preserve"> Constitution of Nagorno-Karabakh, </w:t>
      </w:r>
      <w:r w:rsidR="00545051" w:rsidRPr="00834D0C">
        <w:t xml:space="preserve">Art </w:t>
      </w:r>
      <w:r w:rsidRPr="00834D0C">
        <w:t>13.</w:t>
      </w:r>
    </w:p>
  </w:footnote>
  <w:footnote w:id="509">
    <w:p w14:paraId="61EA730A" w14:textId="22FB81F1" w:rsidR="002B032D" w:rsidRPr="00834D0C" w:rsidRDefault="002B032D" w:rsidP="00163B41">
      <w:pPr>
        <w:pStyle w:val="FootnoteText"/>
        <w:jc w:val="both"/>
      </w:pPr>
      <w:r w:rsidRPr="00834D0C">
        <w:rPr>
          <w:rStyle w:val="FootnoteReference"/>
        </w:rPr>
        <w:footnoteRef/>
      </w:r>
      <w:r w:rsidRPr="00834D0C">
        <w:t xml:space="preserve"> </w:t>
      </w:r>
      <w:r w:rsidRPr="00834D0C">
        <w:rPr>
          <w:rFonts w:cstheme="minorHAnsi"/>
        </w:rPr>
        <w:t>Montevideo Convention (</w:t>
      </w:r>
      <w:r w:rsidR="0084605E" w:rsidRPr="00834D0C">
        <w:rPr>
          <w:rFonts w:cstheme="minorHAnsi"/>
        </w:rPr>
        <w:t>n</w:t>
      </w:r>
      <w:r w:rsidRPr="00834D0C">
        <w:rPr>
          <w:rFonts w:cstheme="minorHAnsi"/>
        </w:rPr>
        <w:t xml:space="preserve"> </w:t>
      </w:r>
      <w:r w:rsidR="00647E1F" w:rsidRPr="00834D0C">
        <w:rPr>
          <w:rFonts w:cstheme="minorHAnsi"/>
        </w:rPr>
        <w:t>13</w:t>
      </w:r>
      <w:r w:rsidRPr="00834D0C">
        <w:rPr>
          <w:rFonts w:cstheme="minorHAnsi"/>
        </w:rPr>
        <w:t xml:space="preserve">) </w:t>
      </w:r>
      <w:r w:rsidR="00545051" w:rsidRPr="00834D0C">
        <w:t>Art</w:t>
      </w:r>
      <w:r w:rsidR="00545051" w:rsidRPr="00834D0C">
        <w:rPr>
          <w:rFonts w:cstheme="minorHAnsi"/>
        </w:rPr>
        <w:t xml:space="preserve"> </w:t>
      </w:r>
      <w:r w:rsidRPr="00834D0C">
        <w:rPr>
          <w:rFonts w:cstheme="minorHAnsi"/>
        </w:rPr>
        <w:t>3.</w:t>
      </w:r>
    </w:p>
  </w:footnote>
  <w:footnote w:id="510">
    <w:p w14:paraId="1AE9F398" w14:textId="1A955B76" w:rsidR="00530084" w:rsidRPr="00834D0C" w:rsidRDefault="00530084" w:rsidP="00163B41">
      <w:pPr>
        <w:pStyle w:val="FootnoteText"/>
        <w:jc w:val="both"/>
      </w:pPr>
      <w:r w:rsidRPr="00834D0C">
        <w:rPr>
          <w:rStyle w:val="FootnoteReference"/>
        </w:rPr>
        <w:footnoteRef/>
      </w:r>
      <w:r w:rsidRPr="00834D0C">
        <w:t xml:space="preserve"> See Andrea Maria </w:t>
      </w:r>
      <w:proofErr w:type="spellStart"/>
      <w:r w:rsidRPr="00834D0C">
        <w:t>Pelliconi</w:t>
      </w:r>
      <w:proofErr w:type="spellEnd"/>
      <w:r w:rsidRPr="00834D0C">
        <w:t xml:space="preserve">, ‘Self-Determination as Faux Remedial Secession in Russia’s Annexation Policies: When the Devil Wears Justice’ </w:t>
      </w:r>
      <w:proofErr w:type="spellStart"/>
      <w:r w:rsidRPr="00834D0C">
        <w:rPr>
          <w:i/>
          <w:iCs/>
        </w:rPr>
        <w:t>V</w:t>
      </w:r>
      <w:r w:rsidRPr="00834D0C">
        <w:rPr>
          <w:rFonts w:cstheme="minorHAnsi"/>
          <w:i/>
          <w:iCs/>
        </w:rPr>
        <w:t>ö</w:t>
      </w:r>
      <w:r w:rsidRPr="00834D0C">
        <w:rPr>
          <w:i/>
          <w:iCs/>
        </w:rPr>
        <w:t>lkerrechtsblog</w:t>
      </w:r>
      <w:proofErr w:type="spellEnd"/>
      <w:r w:rsidRPr="00834D0C">
        <w:rPr>
          <w:i/>
          <w:iCs/>
        </w:rPr>
        <w:t xml:space="preserve">, </w:t>
      </w:r>
      <w:r w:rsidRPr="00834D0C">
        <w:t>26 January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22A"/>
    <w:multiLevelType w:val="hybridMultilevel"/>
    <w:tmpl w:val="6714C90C"/>
    <w:lvl w:ilvl="0" w:tplc="B57E3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A1C67"/>
    <w:multiLevelType w:val="hybridMultilevel"/>
    <w:tmpl w:val="B0067D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FD0DC4"/>
    <w:multiLevelType w:val="multilevel"/>
    <w:tmpl w:val="B2421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04012"/>
    <w:multiLevelType w:val="hybridMultilevel"/>
    <w:tmpl w:val="008A1716"/>
    <w:lvl w:ilvl="0" w:tplc="3C68BA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76F82"/>
    <w:multiLevelType w:val="multilevel"/>
    <w:tmpl w:val="25DE3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552890"/>
    <w:multiLevelType w:val="multilevel"/>
    <w:tmpl w:val="9D4050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4A2DF4"/>
    <w:multiLevelType w:val="hybridMultilevel"/>
    <w:tmpl w:val="C6D8E4A8"/>
    <w:lvl w:ilvl="0" w:tplc="1050093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F2DDC"/>
    <w:multiLevelType w:val="hybridMultilevel"/>
    <w:tmpl w:val="9D9C0C04"/>
    <w:lvl w:ilvl="0" w:tplc="74901290">
      <w:start w:val="3"/>
      <w:numFmt w:val="bullet"/>
      <w:lvlText w:val=""/>
      <w:lvlJc w:val="left"/>
      <w:pPr>
        <w:ind w:left="420" w:hanging="360"/>
      </w:pPr>
      <w:rPr>
        <w:rFonts w:ascii="Wingdings" w:eastAsiaTheme="minorHAnsi" w:hAnsi="Wingdings"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445C522A"/>
    <w:multiLevelType w:val="hybridMultilevel"/>
    <w:tmpl w:val="F2C4096A"/>
    <w:lvl w:ilvl="0" w:tplc="26725748">
      <w:numFmt w:val="bullet"/>
      <w:lvlText w:val="-"/>
      <w:lvlJc w:val="left"/>
      <w:pPr>
        <w:ind w:left="720" w:hanging="360"/>
      </w:pPr>
      <w:rPr>
        <w:rFonts w:ascii="Calibri" w:eastAsiaTheme="minorHAnsi" w:hAnsi="Calibri" w:cs="Calibri" w:hint="default"/>
        <w:b/>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E0780"/>
    <w:multiLevelType w:val="hybridMultilevel"/>
    <w:tmpl w:val="974014C2"/>
    <w:lvl w:ilvl="0" w:tplc="7FB23494">
      <w:start w:val="5"/>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755DE"/>
    <w:multiLevelType w:val="multilevel"/>
    <w:tmpl w:val="B6AEABC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E2E6521"/>
    <w:multiLevelType w:val="multilevel"/>
    <w:tmpl w:val="E1644E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CF657E3"/>
    <w:multiLevelType w:val="hybridMultilevel"/>
    <w:tmpl w:val="0B38BEB2"/>
    <w:lvl w:ilvl="0" w:tplc="FE6AD5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939E3"/>
    <w:multiLevelType w:val="multilevel"/>
    <w:tmpl w:val="DDE080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024FBD"/>
    <w:multiLevelType w:val="hybridMultilevel"/>
    <w:tmpl w:val="69069F50"/>
    <w:lvl w:ilvl="0" w:tplc="523400B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705874">
    <w:abstractNumId w:val="8"/>
  </w:num>
  <w:num w:numId="2" w16cid:durableId="2034719390">
    <w:abstractNumId w:val="12"/>
  </w:num>
  <w:num w:numId="3" w16cid:durableId="36976466">
    <w:abstractNumId w:val="3"/>
  </w:num>
  <w:num w:numId="4" w16cid:durableId="1103257663">
    <w:abstractNumId w:val="6"/>
  </w:num>
  <w:num w:numId="5" w16cid:durableId="1557206413">
    <w:abstractNumId w:val="9"/>
  </w:num>
  <w:num w:numId="6" w16cid:durableId="481234588">
    <w:abstractNumId w:val="1"/>
  </w:num>
  <w:num w:numId="7" w16cid:durableId="1452624892">
    <w:abstractNumId w:val="14"/>
  </w:num>
  <w:num w:numId="8" w16cid:durableId="589390910">
    <w:abstractNumId w:val="11"/>
  </w:num>
  <w:num w:numId="9" w16cid:durableId="1060833771">
    <w:abstractNumId w:val="13"/>
  </w:num>
  <w:num w:numId="10" w16cid:durableId="608048566">
    <w:abstractNumId w:val="5"/>
  </w:num>
  <w:num w:numId="11" w16cid:durableId="1178422994">
    <w:abstractNumId w:val="0"/>
  </w:num>
  <w:num w:numId="12" w16cid:durableId="1779326845">
    <w:abstractNumId w:val="10"/>
  </w:num>
  <w:num w:numId="13" w16cid:durableId="154685914">
    <w:abstractNumId w:val="4"/>
  </w:num>
  <w:num w:numId="14" w16cid:durableId="1620916599">
    <w:abstractNumId w:val="7"/>
  </w:num>
  <w:num w:numId="15" w16cid:durableId="79498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73"/>
    <w:rsid w:val="0000143A"/>
    <w:rsid w:val="00002078"/>
    <w:rsid w:val="00003494"/>
    <w:rsid w:val="00003FF3"/>
    <w:rsid w:val="00005E99"/>
    <w:rsid w:val="00007866"/>
    <w:rsid w:val="00010D75"/>
    <w:rsid w:val="00011A8A"/>
    <w:rsid w:val="00012BEC"/>
    <w:rsid w:val="000144A5"/>
    <w:rsid w:val="0001471F"/>
    <w:rsid w:val="00015A83"/>
    <w:rsid w:val="000161DB"/>
    <w:rsid w:val="000176C0"/>
    <w:rsid w:val="00020535"/>
    <w:rsid w:val="000236FB"/>
    <w:rsid w:val="00024F47"/>
    <w:rsid w:val="00027811"/>
    <w:rsid w:val="00030718"/>
    <w:rsid w:val="00030E28"/>
    <w:rsid w:val="00031A4A"/>
    <w:rsid w:val="00031CAA"/>
    <w:rsid w:val="00033F42"/>
    <w:rsid w:val="00034B34"/>
    <w:rsid w:val="000361F1"/>
    <w:rsid w:val="00036E07"/>
    <w:rsid w:val="0003715D"/>
    <w:rsid w:val="00040D88"/>
    <w:rsid w:val="000410D5"/>
    <w:rsid w:val="00041767"/>
    <w:rsid w:val="00041E4B"/>
    <w:rsid w:val="000422D8"/>
    <w:rsid w:val="00042EAD"/>
    <w:rsid w:val="0004323C"/>
    <w:rsid w:val="00045628"/>
    <w:rsid w:val="0005320F"/>
    <w:rsid w:val="0005394C"/>
    <w:rsid w:val="00055588"/>
    <w:rsid w:val="000604D7"/>
    <w:rsid w:val="00060D96"/>
    <w:rsid w:val="00065931"/>
    <w:rsid w:val="000665EB"/>
    <w:rsid w:val="000674B6"/>
    <w:rsid w:val="0007314A"/>
    <w:rsid w:val="000740C0"/>
    <w:rsid w:val="00074A4C"/>
    <w:rsid w:val="000754FC"/>
    <w:rsid w:val="00075C24"/>
    <w:rsid w:val="00080C59"/>
    <w:rsid w:val="00081DBF"/>
    <w:rsid w:val="00081FFB"/>
    <w:rsid w:val="000827B9"/>
    <w:rsid w:val="000830AD"/>
    <w:rsid w:val="000842CD"/>
    <w:rsid w:val="0008434D"/>
    <w:rsid w:val="0008636D"/>
    <w:rsid w:val="00090A39"/>
    <w:rsid w:val="000917AF"/>
    <w:rsid w:val="00092832"/>
    <w:rsid w:val="00095768"/>
    <w:rsid w:val="00095C37"/>
    <w:rsid w:val="000A1FE6"/>
    <w:rsid w:val="000A570B"/>
    <w:rsid w:val="000A5AE2"/>
    <w:rsid w:val="000A6A43"/>
    <w:rsid w:val="000A72ED"/>
    <w:rsid w:val="000A7911"/>
    <w:rsid w:val="000B39D2"/>
    <w:rsid w:val="000B48A8"/>
    <w:rsid w:val="000B5B99"/>
    <w:rsid w:val="000C286E"/>
    <w:rsid w:val="000C2A3B"/>
    <w:rsid w:val="000C6975"/>
    <w:rsid w:val="000D522C"/>
    <w:rsid w:val="000D5549"/>
    <w:rsid w:val="000D6300"/>
    <w:rsid w:val="000D693F"/>
    <w:rsid w:val="000D6CEE"/>
    <w:rsid w:val="000D74AA"/>
    <w:rsid w:val="000D76E0"/>
    <w:rsid w:val="000D7F86"/>
    <w:rsid w:val="000E2006"/>
    <w:rsid w:val="000E29D6"/>
    <w:rsid w:val="000E35B4"/>
    <w:rsid w:val="000F1904"/>
    <w:rsid w:val="000F1A8F"/>
    <w:rsid w:val="000F231B"/>
    <w:rsid w:val="000F3AFB"/>
    <w:rsid w:val="000F3F32"/>
    <w:rsid w:val="000F3F55"/>
    <w:rsid w:val="000F3F6E"/>
    <w:rsid w:val="000F5289"/>
    <w:rsid w:val="000F6B38"/>
    <w:rsid w:val="000F780A"/>
    <w:rsid w:val="000F79FF"/>
    <w:rsid w:val="00100AAE"/>
    <w:rsid w:val="00102E67"/>
    <w:rsid w:val="0010377D"/>
    <w:rsid w:val="00103CE7"/>
    <w:rsid w:val="00103DBC"/>
    <w:rsid w:val="001071B2"/>
    <w:rsid w:val="0010792B"/>
    <w:rsid w:val="00112E83"/>
    <w:rsid w:val="00113022"/>
    <w:rsid w:val="00120319"/>
    <w:rsid w:val="00120F99"/>
    <w:rsid w:val="00121074"/>
    <w:rsid w:val="0012317B"/>
    <w:rsid w:val="00124608"/>
    <w:rsid w:val="00133E2E"/>
    <w:rsid w:val="00135002"/>
    <w:rsid w:val="001367F7"/>
    <w:rsid w:val="00144733"/>
    <w:rsid w:val="00144F04"/>
    <w:rsid w:val="0014510D"/>
    <w:rsid w:val="0014703D"/>
    <w:rsid w:val="00147049"/>
    <w:rsid w:val="001471FA"/>
    <w:rsid w:val="00150399"/>
    <w:rsid w:val="0015329F"/>
    <w:rsid w:val="001567E0"/>
    <w:rsid w:val="00156F76"/>
    <w:rsid w:val="001570AE"/>
    <w:rsid w:val="00157113"/>
    <w:rsid w:val="001608B6"/>
    <w:rsid w:val="00163380"/>
    <w:rsid w:val="001639F4"/>
    <w:rsid w:val="00163B41"/>
    <w:rsid w:val="0016562B"/>
    <w:rsid w:val="0017305F"/>
    <w:rsid w:val="001734AE"/>
    <w:rsid w:val="00177D5D"/>
    <w:rsid w:val="00180549"/>
    <w:rsid w:val="001816A1"/>
    <w:rsid w:val="00181BF9"/>
    <w:rsid w:val="0018434C"/>
    <w:rsid w:val="00185D4F"/>
    <w:rsid w:val="00185EAF"/>
    <w:rsid w:val="001864FF"/>
    <w:rsid w:val="00187420"/>
    <w:rsid w:val="0019019E"/>
    <w:rsid w:val="0019183E"/>
    <w:rsid w:val="00192D69"/>
    <w:rsid w:val="00193B4A"/>
    <w:rsid w:val="00194E1A"/>
    <w:rsid w:val="00195002"/>
    <w:rsid w:val="001957C6"/>
    <w:rsid w:val="001A10E9"/>
    <w:rsid w:val="001A36D8"/>
    <w:rsid w:val="001A70A3"/>
    <w:rsid w:val="001B0848"/>
    <w:rsid w:val="001B0ACB"/>
    <w:rsid w:val="001B17A9"/>
    <w:rsid w:val="001B35D0"/>
    <w:rsid w:val="001B4EA5"/>
    <w:rsid w:val="001C3894"/>
    <w:rsid w:val="001C3938"/>
    <w:rsid w:val="001C451F"/>
    <w:rsid w:val="001C4564"/>
    <w:rsid w:val="001C57A5"/>
    <w:rsid w:val="001D03A0"/>
    <w:rsid w:val="001D0809"/>
    <w:rsid w:val="001D0938"/>
    <w:rsid w:val="001D46BA"/>
    <w:rsid w:val="001D6739"/>
    <w:rsid w:val="001D700D"/>
    <w:rsid w:val="001D70F4"/>
    <w:rsid w:val="001D750E"/>
    <w:rsid w:val="001D76D8"/>
    <w:rsid w:val="001D7F76"/>
    <w:rsid w:val="001E0C5A"/>
    <w:rsid w:val="001E4136"/>
    <w:rsid w:val="001E4E13"/>
    <w:rsid w:val="001E5A37"/>
    <w:rsid w:val="001E693E"/>
    <w:rsid w:val="001E7FD9"/>
    <w:rsid w:val="001F0856"/>
    <w:rsid w:val="001F0EA8"/>
    <w:rsid w:val="001F2AED"/>
    <w:rsid w:val="001F3CDC"/>
    <w:rsid w:val="001F4177"/>
    <w:rsid w:val="001F5239"/>
    <w:rsid w:val="002002B7"/>
    <w:rsid w:val="00200C17"/>
    <w:rsid w:val="0020162F"/>
    <w:rsid w:val="00201E83"/>
    <w:rsid w:val="002035FC"/>
    <w:rsid w:val="00203DEC"/>
    <w:rsid w:val="002055A6"/>
    <w:rsid w:val="0020561E"/>
    <w:rsid w:val="00207B35"/>
    <w:rsid w:val="002216E9"/>
    <w:rsid w:val="00221C11"/>
    <w:rsid w:val="00221DEA"/>
    <w:rsid w:val="00222789"/>
    <w:rsid w:val="002233B0"/>
    <w:rsid w:val="0022452D"/>
    <w:rsid w:val="00225FB0"/>
    <w:rsid w:val="00232AFD"/>
    <w:rsid w:val="00233C2A"/>
    <w:rsid w:val="00233E81"/>
    <w:rsid w:val="002365EB"/>
    <w:rsid w:val="002427BA"/>
    <w:rsid w:val="00246181"/>
    <w:rsid w:val="00247826"/>
    <w:rsid w:val="00254D98"/>
    <w:rsid w:val="0025547E"/>
    <w:rsid w:val="00255D12"/>
    <w:rsid w:val="00256186"/>
    <w:rsid w:val="002572F3"/>
    <w:rsid w:val="0026171D"/>
    <w:rsid w:val="00263692"/>
    <w:rsid w:val="00263BBA"/>
    <w:rsid w:val="00264C24"/>
    <w:rsid w:val="002653D8"/>
    <w:rsid w:val="00265695"/>
    <w:rsid w:val="00265B38"/>
    <w:rsid w:val="00266BFC"/>
    <w:rsid w:val="002835BE"/>
    <w:rsid w:val="00287C73"/>
    <w:rsid w:val="00290362"/>
    <w:rsid w:val="0029073C"/>
    <w:rsid w:val="002924AE"/>
    <w:rsid w:val="00292BA3"/>
    <w:rsid w:val="00293DF6"/>
    <w:rsid w:val="002A4BC3"/>
    <w:rsid w:val="002A6E32"/>
    <w:rsid w:val="002B032D"/>
    <w:rsid w:val="002B1BC6"/>
    <w:rsid w:val="002B5268"/>
    <w:rsid w:val="002C1E2D"/>
    <w:rsid w:val="002C2B00"/>
    <w:rsid w:val="002C346B"/>
    <w:rsid w:val="002C4B95"/>
    <w:rsid w:val="002C579E"/>
    <w:rsid w:val="002C5ECD"/>
    <w:rsid w:val="002C618F"/>
    <w:rsid w:val="002D00C0"/>
    <w:rsid w:val="002D274E"/>
    <w:rsid w:val="002D537E"/>
    <w:rsid w:val="002D7732"/>
    <w:rsid w:val="002E0E6F"/>
    <w:rsid w:val="002E3140"/>
    <w:rsid w:val="002E39E4"/>
    <w:rsid w:val="002E3B11"/>
    <w:rsid w:val="002E6028"/>
    <w:rsid w:val="002E6138"/>
    <w:rsid w:val="002E7A69"/>
    <w:rsid w:val="002F0700"/>
    <w:rsid w:val="002F2081"/>
    <w:rsid w:val="002F2FE6"/>
    <w:rsid w:val="002F3085"/>
    <w:rsid w:val="002F3A01"/>
    <w:rsid w:val="002F5312"/>
    <w:rsid w:val="003008F9"/>
    <w:rsid w:val="00300A45"/>
    <w:rsid w:val="00300D1D"/>
    <w:rsid w:val="00303109"/>
    <w:rsid w:val="0030313F"/>
    <w:rsid w:val="00303F05"/>
    <w:rsid w:val="003077D4"/>
    <w:rsid w:val="00311FC4"/>
    <w:rsid w:val="003128E0"/>
    <w:rsid w:val="00312EA7"/>
    <w:rsid w:val="00313157"/>
    <w:rsid w:val="00314A33"/>
    <w:rsid w:val="0031573A"/>
    <w:rsid w:val="00317739"/>
    <w:rsid w:val="003219D4"/>
    <w:rsid w:val="00325E40"/>
    <w:rsid w:val="00327702"/>
    <w:rsid w:val="00330209"/>
    <w:rsid w:val="00330748"/>
    <w:rsid w:val="00331264"/>
    <w:rsid w:val="00334A1F"/>
    <w:rsid w:val="00340ACB"/>
    <w:rsid w:val="00346CAF"/>
    <w:rsid w:val="00347F56"/>
    <w:rsid w:val="003532D4"/>
    <w:rsid w:val="00356812"/>
    <w:rsid w:val="00356E76"/>
    <w:rsid w:val="00361F9B"/>
    <w:rsid w:val="003626B1"/>
    <w:rsid w:val="00364B8B"/>
    <w:rsid w:val="003655C4"/>
    <w:rsid w:val="003658AF"/>
    <w:rsid w:val="003663E4"/>
    <w:rsid w:val="003673C3"/>
    <w:rsid w:val="00371E86"/>
    <w:rsid w:val="00374650"/>
    <w:rsid w:val="00375263"/>
    <w:rsid w:val="0038024A"/>
    <w:rsid w:val="00380C13"/>
    <w:rsid w:val="003817A5"/>
    <w:rsid w:val="00382557"/>
    <w:rsid w:val="0038449C"/>
    <w:rsid w:val="003844CA"/>
    <w:rsid w:val="003858E8"/>
    <w:rsid w:val="00387AEF"/>
    <w:rsid w:val="00387E38"/>
    <w:rsid w:val="00390BA1"/>
    <w:rsid w:val="00390F8F"/>
    <w:rsid w:val="00391B2D"/>
    <w:rsid w:val="00391E45"/>
    <w:rsid w:val="00394C8A"/>
    <w:rsid w:val="003A206A"/>
    <w:rsid w:val="003A328B"/>
    <w:rsid w:val="003A4765"/>
    <w:rsid w:val="003B190E"/>
    <w:rsid w:val="003B1EC0"/>
    <w:rsid w:val="003B2EFE"/>
    <w:rsid w:val="003B6D3B"/>
    <w:rsid w:val="003C0909"/>
    <w:rsid w:val="003C18F0"/>
    <w:rsid w:val="003C5281"/>
    <w:rsid w:val="003D5728"/>
    <w:rsid w:val="003D6E04"/>
    <w:rsid w:val="003D7429"/>
    <w:rsid w:val="003D7A6B"/>
    <w:rsid w:val="003E1BC7"/>
    <w:rsid w:val="003E248B"/>
    <w:rsid w:val="003E5198"/>
    <w:rsid w:val="003E708B"/>
    <w:rsid w:val="003F0399"/>
    <w:rsid w:val="003F0BB6"/>
    <w:rsid w:val="00406CE7"/>
    <w:rsid w:val="00406E99"/>
    <w:rsid w:val="00407E6A"/>
    <w:rsid w:val="00410303"/>
    <w:rsid w:val="00410D0C"/>
    <w:rsid w:val="00413B0F"/>
    <w:rsid w:val="00414D52"/>
    <w:rsid w:val="00415648"/>
    <w:rsid w:val="00417D68"/>
    <w:rsid w:val="004231D8"/>
    <w:rsid w:val="004239D0"/>
    <w:rsid w:val="00423F49"/>
    <w:rsid w:val="00426B18"/>
    <w:rsid w:val="0043136C"/>
    <w:rsid w:val="00433C24"/>
    <w:rsid w:val="00434F9A"/>
    <w:rsid w:val="00437D07"/>
    <w:rsid w:val="0044048E"/>
    <w:rsid w:val="00442217"/>
    <w:rsid w:val="00442DA5"/>
    <w:rsid w:val="004448C4"/>
    <w:rsid w:val="00445115"/>
    <w:rsid w:val="0044579B"/>
    <w:rsid w:val="004459C9"/>
    <w:rsid w:val="00450F99"/>
    <w:rsid w:val="00453543"/>
    <w:rsid w:val="00453852"/>
    <w:rsid w:val="00454789"/>
    <w:rsid w:val="00460FBE"/>
    <w:rsid w:val="00461933"/>
    <w:rsid w:val="00462105"/>
    <w:rsid w:val="00462C41"/>
    <w:rsid w:val="0046353C"/>
    <w:rsid w:val="00463B7B"/>
    <w:rsid w:val="0046569D"/>
    <w:rsid w:val="00465718"/>
    <w:rsid w:val="00465B2F"/>
    <w:rsid w:val="00467719"/>
    <w:rsid w:val="004711F8"/>
    <w:rsid w:val="004745EC"/>
    <w:rsid w:val="00474D2C"/>
    <w:rsid w:val="00476662"/>
    <w:rsid w:val="00481E86"/>
    <w:rsid w:val="00482ECC"/>
    <w:rsid w:val="0048427D"/>
    <w:rsid w:val="00484889"/>
    <w:rsid w:val="0048592A"/>
    <w:rsid w:val="00486060"/>
    <w:rsid w:val="00486A62"/>
    <w:rsid w:val="004A141E"/>
    <w:rsid w:val="004A267D"/>
    <w:rsid w:val="004A2777"/>
    <w:rsid w:val="004A28A1"/>
    <w:rsid w:val="004A2B7B"/>
    <w:rsid w:val="004A341F"/>
    <w:rsid w:val="004A77CC"/>
    <w:rsid w:val="004B3D62"/>
    <w:rsid w:val="004B3E60"/>
    <w:rsid w:val="004B6A37"/>
    <w:rsid w:val="004B737E"/>
    <w:rsid w:val="004B76D1"/>
    <w:rsid w:val="004C335E"/>
    <w:rsid w:val="004C485F"/>
    <w:rsid w:val="004C7069"/>
    <w:rsid w:val="004D0967"/>
    <w:rsid w:val="004D533F"/>
    <w:rsid w:val="004D7822"/>
    <w:rsid w:val="004D7F8F"/>
    <w:rsid w:val="004E0A5A"/>
    <w:rsid w:val="004E11E4"/>
    <w:rsid w:val="004E360B"/>
    <w:rsid w:val="004E3C9E"/>
    <w:rsid w:val="004E4186"/>
    <w:rsid w:val="004E4501"/>
    <w:rsid w:val="004F2B11"/>
    <w:rsid w:val="004F3A52"/>
    <w:rsid w:val="004F4561"/>
    <w:rsid w:val="00501988"/>
    <w:rsid w:val="00505A00"/>
    <w:rsid w:val="00510AA4"/>
    <w:rsid w:val="00513DC6"/>
    <w:rsid w:val="005161C0"/>
    <w:rsid w:val="0051666D"/>
    <w:rsid w:val="0052240F"/>
    <w:rsid w:val="005244A3"/>
    <w:rsid w:val="00525391"/>
    <w:rsid w:val="0052580F"/>
    <w:rsid w:val="0052649E"/>
    <w:rsid w:val="00530084"/>
    <w:rsid w:val="0053057A"/>
    <w:rsid w:val="005309B0"/>
    <w:rsid w:val="005309C9"/>
    <w:rsid w:val="005337E3"/>
    <w:rsid w:val="00534154"/>
    <w:rsid w:val="00535A31"/>
    <w:rsid w:val="00540CE3"/>
    <w:rsid w:val="005438B9"/>
    <w:rsid w:val="00543CA8"/>
    <w:rsid w:val="00545051"/>
    <w:rsid w:val="0054688F"/>
    <w:rsid w:val="00553BCA"/>
    <w:rsid w:val="005543E2"/>
    <w:rsid w:val="00555295"/>
    <w:rsid w:val="005562DC"/>
    <w:rsid w:val="00557727"/>
    <w:rsid w:val="005577BE"/>
    <w:rsid w:val="00560777"/>
    <w:rsid w:val="00561472"/>
    <w:rsid w:val="00561C9F"/>
    <w:rsid w:val="00563796"/>
    <w:rsid w:val="00564AE7"/>
    <w:rsid w:val="00570F82"/>
    <w:rsid w:val="0057171E"/>
    <w:rsid w:val="005733B4"/>
    <w:rsid w:val="00573A2F"/>
    <w:rsid w:val="00574D80"/>
    <w:rsid w:val="0057553A"/>
    <w:rsid w:val="00582303"/>
    <w:rsid w:val="00583080"/>
    <w:rsid w:val="00584930"/>
    <w:rsid w:val="0058684B"/>
    <w:rsid w:val="00594C9C"/>
    <w:rsid w:val="005971AF"/>
    <w:rsid w:val="005A17D2"/>
    <w:rsid w:val="005A22C1"/>
    <w:rsid w:val="005A26DD"/>
    <w:rsid w:val="005A40EB"/>
    <w:rsid w:val="005A6067"/>
    <w:rsid w:val="005A63BF"/>
    <w:rsid w:val="005B2E8F"/>
    <w:rsid w:val="005B57B4"/>
    <w:rsid w:val="005B5A89"/>
    <w:rsid w:val="005B5D04"/>
    <w:rsid w:val="005B626D"/>
    <w:rsid w:val="005B69E3"/>
    <w:rsid w:val="005B6D0F"/>
    <w:rsid w:val="005B788A"/>
    <w:rsid w:val="005C25C2"/>
    <w:rsid w:val="005C34D7"/>
    <w:rsid w:val="005C374D"/>
    <w:rsid w:val="005C421F"/>
    <w:rsid w:val="005C4A9D"/>
    <w:rsid w:val="005C537C"/>
    <w:rsid w:val="005C7B3D"/>
    <w:rsid w:val="005D1E9A"/>
    <w:rsid w:val="005D5AEB"/>
    <w:rsid w:val="005E233D"/>
    <w:rsid w:val="005E7BB9"/>
    <w:rsid w:val="005F0559"/>
    <w:rsid w:val="005F5F9D"/>
    <w:rsid w:val="00600816"/>
    <w:rsid w:val="006020DC"/>
    <w:rsid w:val="0060439E"/>
    <w:rsid w:val="00604CC6"/>
    <w:rsid w:val="00604D5F"/>
    <w:rsid w:val="00610098"/>
    <w:rsid w:val="0062117D"/>
    <w:rsid w:val="0062542D"/>
    <w:rsid w:val="00626002"/>
    <w:rsid w:val="00627D76"/>
    <w:rsid w:val="006304BD"/>
    <w:rsid w:val="00631F27"/>
    <w:rsid w:val="00633169"/>
    <w:rsid w:val="0063337F"/>
    <w:rsid w:val="006335F7"/>
    <w:rsid w:val="00643ED5"/>
    <w:rsid w:val="006452BC"/>
    <w:rsid w:val="00645CD3"/>
    <w:rsid w:val="00645DA0"/>
    <w:rsid w:val="00646BBA"/>
    <w:rsid w:val="00647963"/>
    <w:rsid w:val="00647E1F"/>
    <w:rsid w:val="00650A92"/>
    <w:rsid w:val="00650C9D"/>
    <w:rsid w:val="006523AC"/>
    <w:rsid w:val="0065491B"/>
    <w:rsid w:val="00654D1E"/>
    <w:rsid w:val="0065671B"/>
    <w:rsid w:val="0066512B"/>
    <w:rsid w:val="00666390"/>
    <w:rsid w:val="006709C2"/>
    <w:rsid w:val="0067770E"/>
    <w:rsid w:val="00677CC5"/>
    <w:rsid w:val="00682C57"/>
    <w:rsid w:val="0068378E"/>
    <w:rsid w:val="006838AD"/>
    <w:rsid w:val="00683FF3"/>
    <w:rsid w:val="00684A61"/>
    <w:rsid w:val="0068519D"/>
    <w:rsid w:val="0069086D"/>
    <w:rsid w:val="006931BE"/>
    <w:rsid w:val="00693C4C"/>
    <w:rsid w:val="00694EE3"/>
    <w:rsid w:val="00695EF1"/>
    <w:rsid w:val="006A0617"/>
    <w:rsid w:val="006A556B"/>
    <w:rsid w:val="006B019D"/>
    <w:rsid w:val="006B1B44"/>
    <w:rsid w:val="006B27E0"/>
    <w:rsid w:val="006C3942"/>
    <w:rsid w:val="006C3EF1"/>
    <w:rsid w:val="006C4CAC"/>
    <w:rsid w:val="006C54EA"/>
    <w:rsid w:val="006C5A7A"/>
    <w:rsid w:val="006C5FA5"/>
    <w:rsid w:val="006D2925"/>
    <w:rsid w:val="006D3E9E"/>
    <w:rsid w:val="006D4864"/>
    <w:rsid w:val="006D4D45"/>
    <w:rsid w:val="006D5E47"/>
    <w:rsid w:val="006D5F5F"/>
    <w:rsid w:val="006D61E0"/>
    <w:rsid w:val="006D71D0"/>
    <w:rsid w:val="006E058F"/>
    <w:rsid w:val="006E2F52"/>
    <w:rsid w:val="006E3310"/>
    <w:rsid w:val="006E45C9"/>
    <w:rsid w:val="006E61B5"/>
    <w:rsid w:val="006E6475"/>
    <w:rsid w:val="006E6B00"/>
    <w:rsid w:val="006E6D57"/>
    <w:rsid w:val="006F1C95"/>
    <w:rsid w:val="006F290F"/>
    <w:rsid w:val="006F2ECE"/>
    <w:rsid w:val="006F3651"/>
    <w:rsid w:val="006F6D88"/>
    <w:rsid w:val="006F74E5"/>
    <w:rsid w:val="00704679"/>
    <w:rsid w:val="00705746"/>
    <w:rsid w:val="00706665"/>
    <w:rsid w:val="0070780D"/>
    <w:rsid w:val="007106CE"/>
    <w:rsid w:val="007107E8"/>
    <w:rsid w:val="00713694"/>
    <w:rsid w:val="00713ACD"/>
    <w:rsid w:val="0071613D"/>
    <w:rsid w:val="00717853"/>
    <w:rsid w:val="00720636"/>
    <w:rsid w:val="00720A17"/>
    <w:rsid w:val="00724CBF"/>
    <w:rsid w:val="00730A0A"/>
    <w:rsid w:val="00731459"/>
    <w:rsid w:val="007320A8"/>
    <w:rsid w:val="0073267E"/>
    <w:rsid w:val="00733762"/>
    <w:rsid w:val="00734F58"/>
    <w:rsid w:val="00735B74"/>
    <w:rsid w:val="007367D5"/>
    <w:rsid w:val="00737DFE"/>
    <w:rsid w:val="00744241"/>
    <w:rsid w:val="007453EE"/>
    <w:rsid w:val="007457F1"/>
    <w:rsid w:val="00745FDA"/>
    <w:rsid w:val="0074608E"/>
    <w:rsid w:val="00756E92"/>
    <w:rsid w:val="007570C2"/>
    <w:rsid w:val="0075785E"/>
    <w:rsid w:val="00764672"/>
    <w:rsid w:val="00765D10"/>
    <w:rsid w:val="00767802"/>
    <w:rsid w:val="00767CC7"/>
    <w:rsid w:val="00771000"/>
    <w:rsid w:val="00772011"/>
    <w:rsid w:val="0077221C"/>
    <w:rsid w:val="00774550"/>
    <w:rsid w:val="00775F5A"/>
    <w:rsid w:val="00782864"/>
    <w:rsid w:val="007831DA"/>
    <w:rsid w:val="0078617F"/>
    <w:rsid w:val="00786C23"/>
    <w:rsid w:val="00787572"/>
    <w:rsid w:val="007919A9"/>
    <w:rsid w:val="00791AEB"/>
    <w:rsid w:val="00791D32"/>
    <w:rsid w:val="00792B2E"/>
    <w:rsid w:val="00792EB7"/>
    <w:rsid w:val="007934D5"/>
    <w:rsid w:val="00793739"/>
    <w:rsid w:val="00793787"/>
    <w:rsid w:val="0079477B"/>
    <w:rsid w:val="00796797"/>
    <w:rsid w:val="007A0E79"/>
    <w:rsid w:val="007A1942"/>
    <w:rsid w:val="007A5419"/>
    <w:rsid w:val="007A590F"/>
    <w:rsid w:val="007A6028"/>
    <w:rsid w:val="007A7284"/>
    <w:rsid w:val="007B0722"/>
    <w:rsid w:val="007B0BA7"/>
    <w:rsid w:val="007C201E"/>
    <w:rsid w:val="007C2835"/>
    <w:rsid w:val="007C3C4D"/>
    <w:rsid w:val="007C4B2C"/>
    <w:rsid w:val="007C506A"/>
    <w:rsid w:val="007C661A"/>
    <w:rsid w:val="007C6C2F"/>
    <w:rsid w:val="007D0B89"/>
    <w:rsid w:val="007D0E05"/>
    <w:rsid w:val="007D0F52"/>
    <w:rsid w:val="007D11FC"/>
    <w:rsid w:val="007D346D"/>
    <w:rsid w:val="007D5668"/>
    <w:rsid w:val="007D6644"/>
    <w:rsid w:val="007D7811"/>
    <w:rsid w:val="007E0A2E"/>
    <w:rsid w:val="007E1B26"/>
    <w:rsid w:val="007E224D"/>
    <w:rsid w:val="007E34F4"/>
    <w:rsid w:val="007E3F54"/>
    <w:rsid w:val="007E4801"/>
    <w:rsid w:val="007E5435"/>
    <w:rsid w:val="007E7E56"/>
    <w:rsid w:val="007F022D"/>
    <w:rsid w:val="007F0872"/>
    <w:rsid w:val="007F22EB"/>
    <w:rsid w:val="007F3ACC"/>
    <w:rsid w:val="007F3BD6"/>
    <w:rsid w:val="007F491D"/>
    <w:rsid w:val="007F60CE"/>
    <w:rsid w:val="007F778F"/>
    <w:rsid w:val="007F7955"/>
    <w:rsid w:val="00800298"/>
    <w:rsid w:val="00800F02"/>
    <w:rsid w:val="00801520"/>
    <w:rsid w:val="00801E4F"/>
    <w:rsid w:val="00802029"/>
    <w:rsid w:val="00802753"/>
    <w:rsid w:val="00805C1D"/>
    <w:rsid w:val="00807FD9"/>
    <w:rsid w:val="00810785"/>
    <w:rsid w:val="00815888"/>
    <w:rsid w:val="0081697D"/>
    <w:rsid w:val="008171A0"/>
    <w:rsid w:val="008200C0"/>
    <w:rsid w:val="0082013A"/>
    <w:rsid w:val="008216C3"/>
    <w:rsid w:val="00821794"/>
    <w:rsid w:val="00823BD9"/>
    <w:rsid w:val="00824D98"/>
    <w:rsid w:val="0082578F"/>
    <w:rsid w:val="00825BF5"/>
    <w:rsid w:val="008263D5"/>
    <w:rsid w:val="00827533"/>
    <w:rsid w:val="00830578"/>
    <w:rsid w:val="00830624"/>
    <w:rsid w:val="0083474B"/>
    <w:rsid w:val="00834A8E"/>
    <w:rsid w:val="00834D0C"/>
    <w:rsid w:val="00835954"/>
    <w:rsid w:val="00835A2F"/>
    <w:rsid w:val="00836787"/>
    <w:rsid w:val="0084175B"/>
    <w:rsid w:val="0084193D"/>
    <w:rsid w:val="0084279D"/>
    <w:rsid w:val="00842811"/>
    <w:rsid w:val="00842D4F"/>
    <w:rsid w:val="00843705"/>
    <w:rsid w:val="008437CF"/>
    <w:rsid w:val="0084605E"/>
    <w:rsid w:val="00846F4C"/>
    <w:rsid w:val="008539B9"/>
    <w:rsid w:val="008572AD"/>
    <w:rsid w:val="00860EED"/>
    <w:rsid w:val="00862B3B"/>
    <w:rsid w:val="00864A35"/>
    <w:rsid w:val="00866B4B"/>
    <w:rsid w:val="00870E1E"/>
    <w:rsid w:val="00871A42"/>
    <w:rsid w:val="00871B13"/>
    <w:rsid w:val="008721CF"/>
    <w:rsid w:val="00873E7D"/>
    <w:rsid w:val="008776A6"/>
    <w:rsid w:val="00877DAE"/>
    <w:rsid w:val="00884748"/>
    <w:rsid w:val="00887EBA"/>
    <w:rsid w:val="0089252E"/>
    <w:rsid w:val="00894228"/>
    <w:rsid w:val="0089743B"/>
    <w:rsid w:val="00897E03"/>
    <w:rsid w:val="008A3773"/>
    <w:rsid w:val="008A3AED"/>
    <w:rsid w:val="008A3CE7"/>
    <w:rsid w:val="008A46C9"/>
    <w:rsid w:val="008B1E2C"/>
    <w:rsid w:val="008B2A75"/>
    <w:rsid w:val="008B414F"/>
    <w:rsid w:val="008B56D0"/>
    <w:rsid w:val="008B5A6B"/>
    <w:rsid w:val="008B6B0E"/>
    <w:rsid w:val="008B7D76"/>
    <w:rsid w:val="008C1788"/>
    <w:rsid w:val="008C256A"/>
    <w:rsid w:val="008C29FA"/>
    <w:rsid w:val="008C5245"/>
    <w:rsid w:val="008C5982"/>
    <w:rsid w:val="008C7A2E"/>
    <w:rsid w:val="008C7AD8"/>
    <w:rsid w:val="008D0337"/>
    <w:rsid w:val="008D066D"/>
    <w:rsid w:val="008D069C"/>
    <w:rsid w:val="008D417B"/>
    <w:rsid w:val="008D475D"/>
    <w:rsid w:val="008D4FC4"/>
    <w:rsid w:val="008D64BD"/>
    <w:rsid w:val="008E039D"/>
    <w:rsid w:val="008E3B53"/>
    <w:rsid w:val="008F16FE"/>
    <w:rsid w:val="008F2EDE"/>
    <w:rsid w:val="008F433B"/>
    <w:rsid w:val="008F6658"/>
    <w:rsid w:val="008F7417"/>
    <w:rsid w:val="00900B78"/>
    <w:rsid w:val="00902176"/>
    <w:rsid w:val="009037C8"/>
    <w:rsid w:val="00907078"/>
    <w:rsid w:val="0091113A"/>
    <w:rsid w:val="0091258F"/>
    <w:rsid w:val="00921A3D"/>
    <w:rsid w:val="0092296E"/>
    <w:rsid w:val="00923554"/>
    <w:rsid w:val="0092524E"/>
    <w:rsid w:val="009257B1"/>
    <w:rsid w:val="00930A7F"/>
    <w:rsid w:val="009310E7"/>
    <w:rsid w:val="00932D0F"/>
    <w:rsid w:val="009350A5"/>
    <w:rsid w:val="00935260"/>
    <w:rsid w:val="009363EF"/>
    <w:rsid w:val="00940904"/>
    <w:rsid w:val="00940D56"/>
    <w:rsid w:val="009438DC"/>
    <w:rsid w:val="00943C18"/>
    <w:rsid w:val="009443DE"/>
    <w:rsid w:val="00944FE6"/>
    <w:rsid w:val="00946DBD"/>
    <w:rsid w:val="009471E3"/>
    <w:rsid w:val="00947AB1"/>
    <w:rsid w:val="009500F1"/>
    <w:rsid w:val="0095067D"/>
    <w:rsid w:val="00950C8A"/>
    <w:rsid w:val="009522FC"/>
    <w:rsid w:val="0095409B"/>
    <w:rsid w:val="00955DCD"/>
    <w:rsid w:val="0095777D"/>
    <w:rsid w:val="009649C7"/>
    <w:rsid w:val="00966EF0"/>
    <w:rsid w:val="009714F7"/>
    <w:rsid w:val="009730B2"/>
    <w:rsid w:val="0097640F"/>
    <w:rsid w:val="009770D7"/>
    <w:rsid w:val="009770E5"/>
    <w:rsid w:val="00980862"/>
    <w:rsid w:val="00981AC0"/>
    <w:rsid w:val="00984FA0"/>
    <w:rsid w:val="00986C05"/>
    <w:rsid w:val="00990A5F"/>
    <w:rsid w:val="009920A9"/>
    <w:rsid w:val="00992CE5"/>
    <w:rsid w:val="009955E1"/>
    <w:rsid w:val="009973F6"/>
    <w:rsid w:val="009A0914"/>
    <w:rsid w:val="009A0B48"/>
    <w:rsid w:val="009A29D1"/>
    <w:rsid w:val="009A3201"/>
    <w:rsid w:val="009A44D2"/>
    <w:rsid w:val="009B2025"/>
    <w:rsid w:val="009B23AB"/>
    <w:rsid w:val="009B4A45"/>
    <w:rsid w:val="009B4ECD"/>
    <w:rsid w:val="009B67BE"/>
    <w:rsid w:val="009B6B9A"/>
    <w:rsid w:val="009B7C6E"/>
    <w:rsid w:val="009C0653"/>
    <w:rsid w:val="009C070F"/>
    <w:rsid w:val="009C3428"/>
    <w:rsid w:val="009C44D9"/>
    <w:rsid w:val="009C6540"/>
    <w:rsid w:val="009C7ADC"/>
    <w:rsid w:val="009C7E9F"/>
    <w:rsid w:val="009D09A5"/>
    <w:rsid w:val="009D19A0"/>
    <w:rsid w:val="009D3BA5"/>
    <w:rsid w:val="009D3D7C"/>
    <w:rsid w:val="009D458B"/>
    <w:rsid w:val="009D56A5"/>
    <w:rsid w:val="009D5972"/>
    <w:rsid w:val="009E33DD"/>
    <w:rsid w:val="009E42FA"/>
    <w:rsid w:val="009E5679"/>
    <w:rsid w:val="009E582B"/>
    <w:rsid w:val="009E5873"/>
    <w:rsid w:val="009F0C18"/>
    <w:rsid w:val="009F1E70"/>
    <w:rsid w:val="009F20F1"/>
    <w:rsid w:val="009F6BD6"/>
    <w:rsid w:val="009F7734"/>
    <w:rsid w:val="009F7BB8"/>
    <w:rsid w:val="00A00ECD"/>
    <w:rsid w:val="00A02153"/>
    <w:rsid w:val="00A04ABB"/>
    <w:rsid w:val="00A05DAE"/>
    <w:rsid w:val="00A13491"/>
    <w:rsid w:val="00A16319"/>
    <w:rsid w:val="00A16EF7"/>
    <w:rsid w:val="00A17B72"/>
    <w:rsid w:val="00A25DF3"/>
    <w:rsid w:val="00A26A74"/>
    <w:rsid w:val="00A26D4C"/>
    <w:rsid w:val="00A27415"/>
    <w:rsid w:val="00A318A7"/>
    <w:rsid w:val="00A32A7E"/>
    <w:rsid w:val="00A373CF"/>
    <w:rsid w:val="00A41982"/>
    <w:rsid w:val="00A43066"/>
    <w:rsid w:val="00A436A8"/>
    <w:rsid w:val="00A43F55"/>
    <w:rsid w:val="00A44BC2"/>
    <w:rsid w:val="00A4693B"/>
    <w:rsid w:val="00A4757B"/>
    <w:rsid w:val="00A52EF7"/>
    <w:rsid w:val="00A53C13"/>
    <w:rsid w:val="00A5433A"/>
    <w:rsid w:val="00A61083"/>
    <w:rsid w:val="00A61E01"/>
    <w:rsid w:val="00A62439"/>
    <w:rsid w:val="00A65561"/>
    <w:rsid w:val="00A664A4"/>
    <w:rsid w:val="00A7000F"/>
    <w:rsid w:val="00A70D8D"/>
    <w:rsid w:val="00A74C07"/>
    <w:rsid w:val="00A829D4"/>
    <w:rsid w:val="00A83AFF"/>
    <w:rsid w:val="00A8402C"/>
    <w:rsid w:val="00A8460E"/>
    <w:rsid w:val="00A91E1D"/>
    <w:rsid w:val="00A940B0"/>
    <w:rsid w:val="00A940E1"/>
    <w:rsid w:val="00A958A6"/>
    <w:rsid w:val="00A96E15"/>
    <w:rsid w:val="00AA2DE2"/>
    <w:rsid w:val="00AA5BA7"/>
    <w:rsid w:val="00AA629E"/>
    <w:rsid w:val="00AB15CF"/>
    <w:rsid w:val="00AB310A"/>
    <w:rsid w:val="00AB34A7"/>
    <w:rsid w:val="00AB50C2"/>
    <w:rsid w:val="00AB574C"/>
    <w:rsid w:val="00AB733C"/>
    <w:rsid w:val="00AB7C66"/>
    <w:rsid w:val="00AC0CFF"/>
    <w:rsid w:val="00AC2864"/>
    <w:rsid w:val="00AD09B6"/>
    <w:rsid w:val="00AD1554"/>
    <w:rsid w:val="00AD2B90"/>
    <w:rsid w:val="00AD3C33"/>
    <w:rsid w:val="00AE65D4"/>
    <w:rsid w:val="00AE6C0C"/>
    <w:rsid w:val="00AE7AB7"/>
    <w:rsid w:val="00AF03BC"/>
    <w:rsid w:val="00AF473D"/>
    <w:rsid w:val="00AF63FC"/>
    <w:rsid w:val="00AF6805"/>
    <w:rsid w:val="00B0543A"/>
    <w:rsid w:val="00B1033A"/>
    <w:rsid w:val="00B1347B"/>
    <w:rsid w:val="00B1372F"/>
    <w:rsid w:val="00B13CFD"/>
    <w:rsid w:val="00B232A3"/>
    <w:rsid w:val="00B25AAB"/>
    <w:rsid w:val="00B2652C"/>
    <w:rsid w:val="00B26D62"/>
    <w:rsid w:val="00B2706F"/>
    <w:rsid w:val="00B305B0"/>
    <w:rsid w:val="00B31593"/>
    <w:rsid w:val="00B34161"/>
    <w:rsid w:val="00B347CF"/>
    <w:rsid w:val="00B34B9A"/>
    <w:rsid w:val="00B363DB"/>
    <w:rsid w:val="00B45FEE"/>
    <w:rsid w:val="00B4679E"/>
    <w:rsid w:val="00B51863"/>
    <w:rsid w:val="00B52EAD"/>
    <w:rsid w:val="00B54F11"/>
    <w:rsid w:val="00B55132"/>
    <w:rsid w:val="00B55E4E"/>
    <w:rsid w:val="00B60773"/>
    <w:rsid w:val="00B622D3"/>
    <w:rsid w:val="00B6350E"/>
    <w:rsid w:val="00B6435D"/>
    <w:rsid w:val="00B646A0"/>
    <w:rsid w:val="00B7013C"/>
    <w:rsid w:val="00B747BA"/>
    <w:rsid w:val="00B74B4D"/>
    <w:rsid w:val="00B75CF4"/>
    <w:rsid w:val="00B81371"/>
    <w:rsid w:val="00B82D0C"/>
    <w:rsid w:val="00B904DF"/>
    <w:rsid w:val="00B91EF3"/>
    <w:rsid w:val="00B92CDE"/>
    <w:rsid w:val="00B93142"/>
    <w:rsid w:val="00B94E48"/>
    <w:rsid w:val="00B9588D"/>
    <w:rsid w:val="00B9799E"/>
    <w:rsid w:val="00BA4490"/>
    <w:rsid w:val="00BA4DB2"/>
    <w:rsid w:val="00BA5F1E"/>
    <w:rsid w:val="00BA6242"/>
    <w:rsid w:val="00BB1F3A"/>
    <w:rsid w:val="00BB4A47"/>
    <w:rsid w:val="00BB4CCF"/>
    <w:rsid w:val="00BB4E1F"/>
    <w:rsid w:val="00BB65B7"/>
    <w:rsid w:val="00BB6E08"/>
    <w:rsid w:val="00BB7832"/>
    <w:rsid w:val="00BC0202"/>
    <w:rsid w:val="00BC0DDB"/>
    <w:rsid w:val="00BD0A03"/>
    <w:rsid w:val="00BD151A"/>
    <w:rsid w:val="00BD1D03"/>
    <w:rsid w:val="00BD3F55"/>
    <w:rsid w:val="00BD4C8D"/>
    <w:rsid w:val="00BD5F56"/>
    <w:rsid w:val="00BE00EC"/>
    <w:rsid w:val="00BE0C93"/>
    <w:rsid w:val="00BE0FD0"/>
    <w:rsid w:val="00BE11E4"/>
    <w:rsid w:val="00BE1FF5"/>
    <w:rsid w:val="00BE27AA"/>
    <w:rsid w:val="00BE3493"/>
    <w:rsid w:val="00BE6050"/>
    <w:rsid w:val="00BE6407"/>
    <w:rsid w:val="00BF78AA"/>
    <w:rsid w:val="00C00E82"/>
    <w:rsid w:val="00C02C4E"/>
    <w:rsid w:val="00C11462"/>
    <w:rsid w:val="00C1202A"/>
    <w:rsid w:val="00C13C1D"/>
    <w:rsid w:val="00C14A07"/>
    <w:rsid w:val="00C172FA"/>
    <w:rsid w:val="00C201C6"/>
    <w:rsid w:val="00C21327"/>
    <w:rsid w:val="00C23C5C"/>
    <w:rsid w:val="00C2436E"/>
    <w:rsid w:val="00C25B56"/>
    <w:rsid w:val="00C25CE4"/>
    <w:rsid w:val="00C30CC6"/>
    <w:rsid w:val="00C318A4"/>
    <w:rsid w:val="00C3269D"/>
    <w:rsid w:val="00C329E5"/>
    <w:rsid w:val="00C355A7"/>
    <w:rsid w:val="00C43CF8"/>
    <w:rsid w:val="00C4461F"/>
    <w:rsid w:val="00C50191"/>
    <w:rsid w:val="00C50C3F"/>
    <w:rsid w:val="00C50E0B"/>
    <w:rsid w:val="00C50F6E"/>
    <w:rsid w:val="00C52DA9"/>
    <w:rsid w:val="00C57F5E"/>
    <w:rsid w:val="00C61A93"/>
    <w:rsid w:val="00C63BC5"/>
    <w:rsid w:val="00C669B4"/>
    <w:rsid w:val="00C66A13"/>
    <w:rsid w:val="00C711D6"/>
    <w:rsid w:val="00C715AF"/>
    <w:rsid w:val="00C725CF"/>
    <w:rsid w:val="00C776D5"/>
    <w:rsid w:val="00C87067"/>
    <w:rsid w:val="00C92CC3"/>
    <w:rsid w:val="00C93FA7"/>
    <w:rsid w:val="00C941F5"/>
    <w:rsid w:val="00C954C1"/>
    <w:rsid w:val="00C97093"/>
    <w:rsid w:val="00CA1C76"/>
    <w:rsid w:val="00CA3851"/>
    <w:rsid w:val="00CA423B"/>
    <w:rsid w:val="00CA4411"/>
    <w:rsid w:val="00CA56C3"/>
    <w:rsid w:val="00CA6147"/>
    <w:rsid w:val="00CA6CDD"/>
    <w:rsid w:val="00CB112A"/>
    <w:rsid w:val="00CB3EF4"/>
    <w:rsid w:val="00CB460D"/>
    <w:rsid w:val="00CB4616"/>
    <w:rsid w:val="00CB6654"/>
    <w:rsid w:val="00CB7B61"/>
    <w:rsid w:val="00CC1CCB"/>
    <w:rsid w:val="00CC24DD"/>
    <w:rsid w:val="00CC33E0"/>
    <w:rsid w:val="00CC39EE"/>
    <w:rsid w:val="00CC4780"/>
    <w:rsid w:val="00CC7916"/>
    <w:rsid w:val="00CD0184"/>
    <w:rsid w:val="00CD1F06"/>
    <w:rsid w:val="00CD458B"/>
    <w:rsid w:val="00CD684B"/>
    <w:rsid w:val="00CE1206"/>
    <w:rsid w:val="00CE4226"/>
    <w:rsid w:val="00CE48F0"/>
    <w:rsid w:val="00CE7631"/>
    <w:rsid w:val="00CF20D3"/>
    <w:rsid w:val="00CF4316"/>
    <w:rsid w:val="00CF480B"/>
    <w:rsid w:val="00CF57B3"/>
    <w:rsid w:val="00CF63A9"/>
    <w:rsid w:val="00CF665A"/>
    <w:rsid w:val="00D01EE1"/>
    <w:rsid w:val="00D0243E"/>
    <w:rsid w:val="00D02512"/>
    <w:rsid w:val="00D05CD4"/>
    <w:rsid w:val="00D06DD8"/>
    <w:rsid w:val="00D0768A"/>
    <w:rsid w:val="00D12BCA"/>
    <w:rsid w:val="00D12CD9"/>
    <w:rsid w:val="00D130D2"/>
    <w:rsid w:val="00D13239"/>
    <w:rsid w:val="00D162BF"/>
    <w:rsid w:val="00D20F49"/>
    <w:rsid w:val="00D26A3F"/>
    <w:rsid w:val="00D270D7"/>
    <w:rsid w:val="00D27393"/>
    <w:rsid w:val="00D27DB9"/>
    <w:rsid w:val="00D32112"/>
    <w:rsid w:val="00D3388F"/>
    <w:rsid w:val="00D358A7"/>
    <w:rsid w:val="00D35AD8"/>
    <w:rsid w:val="00D37356"/>
    <w:rsid w:val="00D4080C"/>
    <w:rsid w:val="00D40E10"/>
    <w:rsid w:val="00D423E0"/>
    <w:rsid w:val="00D43BFE"/>
    <w:rsid w:val="00D46867"/>
    <w:rsid w:val="00D500C0"/>
    <w:rsid w:val="00D511F3"/>
    <w:rsid w:val="00D51635"/>
    <w:rsid w:val="00D530D9"/>
    <w:rsid w:val="00D53643"/>
    <w:rsid w:val="00D61D93"/>
    <w:rsid w:val="00D62B2D"/>
    <w:rsid w:val="00D63685"/>
    <w:rsid w:val="00D63B46"/>
    <w:rsid w:val="00D63D2B"/>
    <w:rsid w:val="00D64A0D"/>
    <w:rsid w:val="00D64E89"/>
    <w:rsid w:val="00D65BDB"/>
    <w:rsid w:val="00D7192E"/>
    <w:rsid w:val="00D74162"/>
    <w:rsid w:val="00D74517"/>
    <w:rsid w:val="00D75355"/>
    <w:rsid w:val="00D75ABB"/>
    <w:rsid w:val="00D75AC6"/>
    <w:rsid w:val="00D766CC"/>
    <w:rsid w:val="00D77CD7"/>
    <w:rsid w:val="00D80862"/>
    <w:rsid w:val="00D80E37"/>
    <w:rsid w:val="00D8119B"/>
    <w:rsid w:val="00D84B5A"/>
    <w:rsid w:val="00D85B9F"/>
    <w:rsid w:val="00D8618B"/>
    <w:rsid w:val="00D861FA"/>
    <w:rsid w:val="00D86437"/>
    <w:rsid w:val="00D8794C"/>
    <w:rsid w:val="00D91078"/>
    <w:rsid w:val="00D9173B"/>
    <w:rsid w:val="00D92001"/>
    <w:rsid w:val="00D94B50"/>
    <w:rsid w:val="00DA015B"/>
    <w:rsid w:val="00DA06E5"/>
    <w:rsid w:val="00DA3E5A"/>
    <w:rsid w:val="00DA40E7"/>
    <w:rsid w:val="00DB5F4F"/>
    <w:rsid w:val="00DC203A"/>
    <w:rsid w:val="00DC2676"/>
    <w:rsid w:val="00DC4FE8"/>
    <w:rsid w:val="00DC59F8"/>
    <w:rsid w:val="00DD16F2"/>
    <w:rsid w:val="00DD4F03"/>
    <w:rsid w:val="00DD5659"/>
    <w:rsid w:val="00DD5A6C"/>
    <w:rsid w:val="00DD769D"/>
    <w:rsid w:val="00DE20DF"/>
    <w:rsid w:val="00DE478A"/>
    <w:rsid w:val="00DF387E"/>
    <w:rsid w:val="00DF4807"/>
    <w:rsid w:val="00DF4E6B"/>
    <w:rsid w:val="00DF6974"/>
    <w:rsid w:val="00E02E86"/>
    <w:rsid w:val="00E0394B"/>
    <w:rsid w:val="00E04936"/>
    <w:rsid w:val="00E05CE0"/>
    <w:rsid w:val="00E06B7C"/>
    <w:rsid w:val="00E07E7E"/>
    <w:rsid w:val="00E07EDD"/>
    <w:rsid w:val="00E104D5"/>
    <w:rsid w:val="00E12768"/>
    <w:rsid w:val="00E16767"/>
    <w:rsid w:val="00E16B89"/>
    <w:rsid w:val="00E2177D"/>
    <w:rsid w:val="00E277CA"/>
    <w:rsid w:val="00E27E16"/>
    <w:rsid w:val="00E319D3"/>
    <w:rsid w:val="00E33030"/>
    <w:rsid w:val="00E35E7D"/>
    <w:rsid w:val="00E36DB0"/>
    <w:rsid w:val="00E42483"/>
    <w:rsid w:val="00E45146"/>
    <w:rsid w:val="00E53D54"/>
    <w:rsid w:val="00E54678"/>
    <w:rsid w:val="00E55716"/>
    <w:rsid w:val="00E60B71"/>
    <w:rsid w:val="00E615EF"/>
    <w:rsid w:val="00E618C8"/>
    <w:rsid w:val="00E622F8"/>
    <w:rsid w:val="00E64F4A"/>
    <w:rsid w:val="00E652C7"/>
    <w:rsid w:val="00E66718"/>
    <w:rsid w:val="00E67459"/>
    <w:rsid w:val="00E67975"/>
    <w:rsid w:val="00E74FC5"/>
    <w:rsid w:val="00E778D7"/>
    <w:rsid w:val="00E805BB"/>
    <w:rsid w:val="00E8246A"/>
    <w:rsid w:val="00E83E74"/>
    <w:rsid w:val="00E90322"/>
    <w:rsid w:val="00E92058"/>
    <w:rsid w:val="00E93C07"/>
    <w:rsid w:val="00E96CDE"/>
    <w:rsid w:val="00E96CF5"/>
    <w:rsid w:val="00E97EEB"/>
    <w:rsid w:val="00EA1A16"/>
    <w:rsid w:val="00EC1972"/>
    <w:rsid w:val="00EC300E"/>
    <w:rsid w:val="00EC492E"/>
    <w:rsid w:val="00EC5584"/>
    <w:rsid w:val="00EC6853"/>
    <w:rsid w:val="00EC7659"/>
    <w:rsid w:val="00EC7ADF"/>
    <w:rsid w:val="00ED2AE3"/>
    <w:rsid w:val="00ED3D38"/>
    <w:rsid w:val="00ED7109"/>
    <w:rsid w:val="00EE03FD"/>
    <w:rsid w:val="00EE0E8B"/>
    <w:rsid w:val="00EE2DFC"/>
    <w:rsid w:val="00EE34C0"/>
    <w:rsid w:val="00EE4D68"/>
    <w:rsid w:val="00EF0154"/>
    <w:rsid w:val="00EF3941"/>
    <w:rsid w:val="00EF3C6A"/>
    <w:rsid w:val="00EF4601"/>
    <w:rsid w:val="00EF4FE4"/>
    <w:rsid w:val="00EF5864"/>
    <w:rsid w:val="00F02C7C"/>
    <w:rsid w:val="00F04515"/>
    <w:rsid w:val="00F0615A"/>
    <w:rsid w:val="00F10A43"/>
    <w:rsid w:val="00F12228"/>
    <w:rsid w:val="00F12D93"/>
    <w:rsid w:val="00F142CC"/>
    <w:rsid w:val="00F1457E"/>
    <w:rsid w:val="00F155B9"/>
    <w:rsid w:val="00F17084"/>
    <w:rsid w:val="00F24398"/>
    <w:rsid w:val="00F26BDC"/>
    <w:rsid w:val="00F275FC"/>
    <w:rsid w:val="00F27E4E"/>
    <w:rsid w:val="00F34169"/>
    <w:rsid w:val="00F43B60"/>
    <w:rsid w:val="00F459C9"/>
    <w:rsid w:val="00F47A9D"/>
    <w:rsid w:val="00F50BD0"/>
    <w:rsid w:val="00F51055"/>
    <w:rsid w:val="00F51927"/>
    <w:rsid w:val="00F5286F"/>
    <w:rsid w:val="00F54B36"/>
    <w:rsid w:val="00F54E9F"/>
    <w:rsid w:val="00F62771"/>
    <w:rsid w:val="00F63395"/>
    <w:rsid w:val="00F63417"/>
    <w:rsid w:val="00F67A4F"/>
    <w:rsid w:val="00F70105"/>
    <w:rsid w:val="00F72879"/>
    <w:rsid w:val="00F80108"/>
    <w:rsid w:val="00F80324"/>
    <w:rsid w:val="00F8253C"/>
    <w:rsid w:val="00F87A88"/>
    <w:rsid w:val="00F90F5F"/>
    <w:rsid w:val="00F93B21"/>
    <w:rsid w:val="00F95841"/>
    <w:rsid w:val="00F97053"/>
    <w:rsid w:val="00F97AAF"/>
    <w:rsid w:val="00FA029C"/>
    <w:rsid w:val="00FA2355"/>
    <w:rsid w:val="00FA3605"/>
    <w:rsid w:val="00FA5670"/>
    <w:rsid w:val="00FA65B5"/>
    <w:rsid w:val="00FA745E"/>
    <w:rsid w:val="00FB52AD"/>
    <w:rsid w:val="00FB569D"/>
    <w:rsid w:val="00FB63B3"/>
    <w:rsid w:val="00FB6916"/>
    <w:rsid w:val="00FC04E6"/>
    <w:rsid w:val="00FC1A9C"/>
    <w:rsid w:val="00FC3B3D"/>
    <w:rsid w:val="00FC3FA1"/>
    <w:rsid w:val="00FC4899"/>
    <w:rsid w:val="00FC4AE4"/>
    <w:rsid w:val="00FC5890"/>
    <w:rsid w:val="00FC661E"/>
    <w:rsid w:val="00FC6675"/>
    <w:rsid w:val="00FD00B2"/>
    <w:rsid w:val="00FD442E"/>
    <w:rsid w:val="00FD6752"/>
    <w:rsid w:val="00FE14BD"/>
    <w:rsid w:val="00FE2750"/>
    <w:rsid w:val="00FF0B3D"/>
    <w:rsid w:val="00FF0F8F"/>
    <w:rsid w:val="00FF3C9F"/>
    <w:rsid w:val="00FF3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5FD2"/>
  <w15:chartTrackingRefBased/>
  <w15:docId w15:val="{88126CEB-7327-490C-9B60-8FC55BED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58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E0C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3157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9D"/>
    <w:pPr>
      <w:ind w:left="720"/>
      <w:contextualSpacing/>
    </w:pPr>
  </w:style>
  <w:style w:type="paragraph" w:styleId="FootnoteText">
    <w:name w:val="footnote text"/>
    <w:basedOn w:val="Normal"/>
    <w:link w:val="FootnoteTextChar"/>
    <w:uiPriority w:val="99"/>
    <w:semiHidden/>
    <w:unhideWhenUsed/>
    <w:rsid w:val="00DA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15B"/>
    <w:rPr>
      <w:sz w:val="20"/>
      <w:szCs w:val="20"/>
    </w:rPr>
  </w:style>
  <w:style w:type="character" w:styleId="FootnoteReference">
    <w:name w:val="footnote reference"/>
    <w:basedOn w:val="DefaultParagraphFont"/>
    <w:uiPriority w:val="99"/>
    <w:semiHidden/>
    <w:unhideWhenUsed/>
    <w:rsid w:val="00DA015B"/>
    <w:rPr>
      <w:vertAlign w:val="superscript"/>
    </w:rPr>
  </w:style>
  <w:style w:type="character" w:customStyle="1" w:styleId="Heading3Char">
    <w:name w:val="Heading 3 Char"/>
    <w:basedOn w:val="DefaultParagraphFont"/>
    <w:link w:val="Heading3"/>
    <w:uiPriority w:val="9"/>
    <w:rsid w:val="001E0C5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84889"/>
    <w:rPr>
      <w:color w:val="0563C1" w:themeColor="hyperlink"/>
      <w:u w:val="single"/>
    </w:rPr>
  </w:style>
  <w:style w:type="character" w:styleId="UnresolvedMention">
    <w:name w:val="Unresolved Mention"/>
    <w:basedOn w:val="DefaultParagraphFont"/>
    <w:uiPriority w:val="99"/>
    <w:semiHidden/>
    <w:unhideWhenUsed/>
    <w:rsid w:val="00484889"/>
    <w:rPr>
      <w:color w:val="605E5C"/>
      <w:shd w:val="clear" w:color="auto" w:fill="E1DFDD"/>
    </w:rPr>
  </w:style>
  <w:style w:type="character" w:customStyle="1" w:styleId="Heading1Char">
    <w:name w:val="Heading 1 Char"/>
    <w:basedOn w:val="DefaultParagraphFont"/>
    <w:link w:val="Heading1"/>
    <w:uiPriority w:val="9"/>
    <w:rsid w:val="00C870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5888"/>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57F5E"/>
    <w:rPr>
      <w:i/>
      <w:iCs/>
    </w:rPr>
  </w:style>
  <w:style w:type="paragraph" w:customStyle="1" w:styleId="s30eec3f8">
    <w:name w:val="s30eec3f8"/>
    <w:basedOn w:val="Normal"/>
    <w:rsid w:val="008721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b8d990e2">
    <w:name w:val="sb8d990e2"/>
    <w:basedOn w:val="DefaultParagraphFont"/>
    <w:rsid w:val="008721CF"/>
  </w:style>
  <w:style w:type="paragraph" w:customStyle="1" w:styleId="s9e9b0cd7">
    <w:name w:val="s9e9b0cd7"/>
    <w:basedOn w:val="Normal"/>
    <w:rsid w:val="008721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fbbfee58">
    <w:name w:val="sfbbfee58"/>
    <w:basedOn w:val="DefaultParagraphFont"/>
    <w:rsid w:val="008721CF"/>
  </w:style>
  <w:style w:type="character" w:customStyle="1" w:styleId="wordhighlighted">
    <w:name w:val="wordhighlighted"/>
    <w:basedOn w:val="DefaultParagraphFont"/>
    <w:rsid w:val="008721CF"/>
  </w:style>
  <w:style w:type="character" w:customStyle="1" w:styleId="s1a844bc0">
    <w:name w:val="s1a844bc0"/>
    <w:basedOn w:val="DefaultParagraphFont"/>
    <w:rsid w:val="008721CF"/>
  </w:style>
  <w:style w:type="character" w:customStyle="1" w:styleId="booktitle">
    <w:name w:val="booktitle"/>
    <w:basedOn w:val="DefaultParagraphFont"/>
    <w:rsid w:val="00CA56C3"/>
  </w:style>
  <w:style w:type="character" w:customStyle="1" w:styleId="mw-page-title-main">
    <w:name w:val="mw-page-title-main"/>
    <w:basedOn w:val="DefaultParagraphFont"/>
    <w:rsid w:val="00292BA3"/>
  </w:style>
  <w:style w:type="paragraph" w:styleId="NormalWeb">
    <w:name w:val="Normal (Web)"/>
    <w:basedOn w:val="Normal"/>
    <w:uiPriority w:val="99"/>
    <w:unhideWhenUsed/>
    <w:rsid w:val="00FD0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72879"/>
    <w:rPr>
      <w:color w:val="954F72" w:themeColor="followedHyperlink"/>
      <w:u w:val="single"/>
    </w:rPr>
  </w:style>
  <w:style w:type="character" w:styleId="PlaceholderText">
    <w:name w:val="Placeholder Text"/>
    <w:basedOn w:val="DefaultParagraphFont"/>
    <w:uiPriority w:val="99"/>
    <w:semiHidden/>
    <w:rsid w:val="00387E38"/>
    <w:rPr>
      <w:color w:val="808080"/>
    </w:rPr>
  </w:style>
  <w:style w:type="character" w:customStyle="1" w:styleId="Heading4Char">
    <w:name w:val="Heading 4 Char"/>
    <w:basedOn w:val="DefaultParagraphFont"/>
    <w:link w:val="Heading4"/>
    <w:uiPriority w:val="9"/>
    <w:rsid w:val="0031573A"/>
    <w:rPr>
      <w:rFonts w:asciiTheme="majorHAnsi" w:eastAsiaTheme="majorEastAsia" w:hAnsiTheme="majorHAnsi" w:cstheme="majorBidi"/>
      <w:i/>
      <w:iCs/>
      <w:color w:val="2F5496" w:themeColor="accent1" w:themeShade="BF"/>
    </w:rPr>
  </w:style>
  <w:style w:type="paragraph" w:customStyle="1" w:styleId="Default">
    <w:name w:val="Default"/>
    <w:rsid w:val="00AC286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E1BC7"/>
    <w:rPr>
      <w:sz w:val="16"/>
      <w:szCs w:val="16"/>
    </w:rPr>
  </w:style>
  <w:style w:type="paragraph" w:styleId="CommentText">
    <w:name w:val="annotation text"/>
    <w:basedOn w:val="Normal"/>
    <w:link w:val="CommentTextChar"/>
    <w:uiPriority w:val="99"/>
    <w:semiHidden/>
    <w:unhideWhenUsed/>
    <w:rsid w:val="003E1BC7"/>
    <w:pPr>
      <w:spacing w:line="240" w:lineRule="auto"/>
    </w:pPr>
    <w:rPr>
      <w:sz w:val="20"/>
      <w:szCs w:val="20"/>
    </w:rPr>
  </w:style>
  <w:style w:type="character" w:customStyle="1" w:styleId="CommentTextChar">
    <w:name w:val="Comment Text Char"/>
    <w:basedOn w:val="DefaultParagraphFont"/>
    <w:link w:val="CommentText"/>
    <w:uiPriority w:val="99"/>
    <w:semiHidden/>
    <w:rsid w:val="003E1BC7"/>
    <w:rPr>
      <w:sz w:val="20"/>
      <w:szCs w:val="20"/>
    </w:rPr>
  </w:style>
  <w:style w:type="paragraph" w:styleId="CommentSubject">
    <w:name w:val="annotation subject"/>
    <w:basedOn w:val="CommentText"/>
    <w:next w:val="CommentText"/>
    <w:link w:val="CommentSubjectChar"/>
    <w:uiPriority w:val="99"/>
    <w:semiHidden/>
    <w:unhideWhenUsed/>
    <w:rsid w:val="003E1BC7"/>
    <w:rPr>
      <w:b/>
      <w:bCs/>
    </w:rPr>
  </w:style>
  <w:style w:type="character" w:customStyle="1" w:styleId="CommentSubjectChar">
    <w:name w:val="Comment Subject Char"/>
    <w:basedOn w:val="CommentTextChar"/>
    <w:link w:val="CommentSubject"/>
    <w:uiPriority w:val="99"/>
    <w:semiHidden/>
    <w:rsid w:val="003E1BC7"/>
    <w:rPr>
      <w:b/>
      <w:bCs/>
      <w:sz w:val="20"/>
      <w:szCs w:val="20"/>
    </w:rPr>
  </w:style>
  <w:style w:type="paragraph" w:styleId="BalloonText">
    <w:name w:val="Balloon Text"/>
    <w:basedOn w:val="Normal"/>
    <w:link w:val="BalloonTextChar"/>
    <w:uiPriority w:val="99"/>
    <w:semiHidden/>
    <w:unhideWhenUsed/>
    <w:rsid w:val="003E1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BC7"/>
    <w:rPr>
      <w:rFonts w:ascii="Segoe UI" w:hAnsi="Segoe UI" w:cs="Segoe UI"/>
      <w:sz w:val="18"/>
      <w:szCs w:val="18"/>
    </w:rPr>
  </w:style>
  <w:style w:type="paragraph" w:styleId="Revision">
    <w:name w:val="Revision"/>
    <w:hidden/>
    <w:uiPriority w:val="99"/>
    <w:semiHidden/>
    <w:rsid w:val="00B81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2994">
      <w:bodyDiv w:val="1"/>
      <w:marLeft w:val="0"/>
      <w:marRight w:val="0"/>
      <w:marTop w:val="0"/>
      <w:marBottom w:val="0"/>
      <w:divBdr>
        <w:top w:val="none" w:sz="0" w:space="0" w:color="auto"/>
        <w:left w:val="none" w:sz="0" w:space="0" w:color="auto"/>
        <w:bottom w:val="none" w:sz="0" w:space="0" w:color="auto"/>
        <w:right w:val="none" w:sz="0" w:space="0" w:color="auto"/>
      </w:divBdr>
    </w:div>
    <w:div w:id="407002229">
      <w:bodyDiv w:val="1"/>
      <w:marLeft w:val="0"/>
      <w:marRight w:val="0"/>
      <w:marTop w:val="0"/>
      <w:marBottom w:val="0"/>
      <w:divBdr>
        <w:top w:val="none" w:sz="0" w:space="0" w:color="auto"/>
        <w:left w:val="none" w:sz="0" w:space="0" w:color="auto"/>
        <w:bottom w:val="none" w:sz="0" w:space="0" w:color="auto"/>
        <w:right w:val="none" w:sz="0" w:space="0" w:color="auto"/>
      </w:divBdr>
    </w:div>
    <w:div w:id="612978614">
      <w:bodyDiv w:val="1"/>
      <w:marLeft w:val="0"/>
      <w:marRight w:val="0"/>
      <w:marTop w:val="0"/>
      <w:marBottom w:val="0"/>
      <w:divBdr>
        <w:top w:val="none" w:sz="0" w:space="0" w:color="auto"/>
        <w:left w:val="none" w:sz="0" w:space="0" w:color="auto"/>
        <w:bottom w:val="none" w:sz="0" w:space="0" w:color="auto"/>
        <w:right w:val="none" w:sz="0" w:space="0" w:color="auto"/>
      </w:divBdr>
      <w:divsChild>
        <w:div w:id="923612365">
          <w:marLeft w:val="0"/>
          <w:marRight w:val="0"/>
          <w:marTop w:val="0"/>
          <w:marBottom w:val="0"/>
          <w:divBdr>
            <w:top w:val="none" w:sz="0" w:space="0" w:color="auto"/>
            <w:left w:val="none" w:sz="0" w:space="0" w:color="auto"/>
            <w:bottom w:val="none" w:sz="0" w:space="0" w:color="auto"/>
            <w:right w:val="none" w:sz="0" w:space="0" w:color="auto"/>
          </w:divBdr>
        </w:div>
      </w:divsChild>
    </w:div>
    <w:div w:id="652375380">
      <w:bodyDiv w:val="1"/>
      <w:marLeft w:val="0"/>
      <w:marRight w:val="0"/>
      <w:marTop w:val="0"/>
      <w:marBottom w:val="0"/>
      <w:divBdr>
        <w:top w:val="none" w:sz="0" w:space="0" w:color="auto"/>
        <w:left w:val="none" w:sz="0" w:space="0" w:color="auto"/>
        <w:bottom w:val="none" w:sz="0" w:space="0" w:color="auto"/>
        <w:right w:val="none" w:sz="0" w:space="0" w:color="auto"/>
      </w:divBdr>
    </w:div>
    <w:div w:id="772095537">
      <w:bodyDiv w:val="1"/>
      <w:marLeft w:val="0"/>
      <w:marRight w:val="0"/>
      <w:marTop w:val="0"/>
      <w:marBottom w:val="0"/>
      <w:divBdr>
        <w:top w:val="none" w:sz="0" w:space="0" w:color="auto"/>
        <w:left w:val="none" w:sz="0" w:space="0" w:color="auto"/>
        <w:bottom w:val="none" w:sz="0" w:space="0" w:color="auto"/>
        <w:right w:val="none" w:sz="0" w:space="0" w:color="auto"/>
      </w:divBdr>
      <w:divsChild>
        <w:div w:id="1867711086">
          <w:marLeft w:val="0"/>
          <w:marRight w:val="0"/>
          <w:marTop w:val="0"/>
          <w:marBottom w:val="0"/>
          <w:divBdr>
            <w:top w:val="none" w:sz="0" w:space="0" w:color="auto"/>
            <w:left w:val="none" w:sz="0" w:space="0" w:color="auto"/>
            <w:bottom w:val="none" w:sz="0" w:space="0" w:color="auto"/>
            <w:right w:val="none" w:sz="0" w:space="0" w:color="auto"/>
          </w:divBdr>
        </w:div>
      </w:divsChild>
    </w:div>
    <w:div w:id="881793555">
      <w:bodyDiv w:val="1"/>
      <w:marLeft w:val="0"/>
      <w:marRight w:val="0"/>
      <w:marTop w:val="0"/>
      <w:marBottom w:val="0"/>
      <w:divBdr>
        <w:top w:val="none" w:sz="0" w:space="0" w:color="auto"/>
        <w:left w:val="none" w:sz="0" w:space="0" w:color="auto"/>
        <w:bottom w:val="none" w:sz="0" w:space="0" w:color="auto"/>
        <w:right w:val="none" w:sz="0" w:space="0" w:color="auto"/>
      </w:divBdr>
    </w:div>
    <w:div w:id="1210848078">
      <w:bodyDiv w:val="1"/>
      <w:marLeft w:val="0"/>
      <w:marRight w:val="0"/>
      <w:marTop w:val="0"/>
      <w:marBottom w:val="0"/>
      <w:divBdr>
        <w:top w:val="none" w:sz="0" w:space="0" w:color="auto"/>
        <w:left w:val="none" w:sz="0" w:space="0" w:color="auto"/>
        <w:bottom w:val="none" w:sz="0" w:space="0" w:color="auto"/>
        <w:right w:val="none" w:sz="0" w:space="0" w:color="auto"/>
      </w:divBdr>
    </w:div>
    <w:div w:id="1286738112">
      <w:bodyDiv w:val="1"/>
      <w:marLeft w:val="0"/>
      <w:marRight w:val="0"/>
      <w:marTop w:val="0"/>
      <w:marBottom w:val="0"/>
      <w:divBdr>
        <w:top w:val="none" w:sz="0" w:space="0" w:color="auto"/>
        <w:left w:val="none" w:sz="0" w:space="0" w:color="auto"/>
        <w:bottom w:val="none" w:sz="0" w:space="0" w:color="auto"/>
        <w:right w:val="none" w:sz="0" w:space="0" w:color="auto"/>
      </w:divBdr>
    </w:div>
    <w:div w:id="1450470327">
      <w:bodyDiv w:val="1"/>
      <w:marLeft w:val="0"/>
      <w:marRight w:val="0"/>
      <w:marTop w:val="0"/>
      <w:marBottom w:val="0"/>
      <w:divBdr>
        <w:top w:val="none" w:sz="0" w:space="0" w:color="auto"/>
        <w:left w:val="none" w:sz="0" w:space="0" w:color="auto"/>
        <w:bottom w:val="none" w:sz="0" w:space="0" w:color="auto"/>
        <w:right w:val="none" w:sz="0" w:space="0" w:color="auto"/>
      </w:divBdr>
    </w:div>
    <w:div w:id="1829786515">
      <w:bodyDiv w:val="1"/>
      <w:marLeft w:val="0"/>
      <w:marRight w:val="0"/>
      <w:marTop w:val="0"/>
      <w:marBottom w:val="0"/>
      <w:divBdr>
        <w:top w:val="none" w:sz="0" w:space="0" w:color="auto"/>
        <w:left w:val="none" w:sz="0" w:space="0" w:color="auto"/>
        <w:bottom w:val="none" w:sz="0" w:space="0" w:color="auto"/>
        <w:right w:val="none" w:sz="0" w:space="0" w:color="auto"/>
      </w:divBdr>
    </w:div>
    <w:div w:id="19809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8E816-1506-4223-AC9B-1F61F89F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17137</Words>
  <Characters>97681</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Quenivet</dc:creator>
  <cp:keywords/>
  <dc:description/>
  <cp:lastModifiedBy>Noelle Quenivet</cp:lastModifiedBy>
  <cp:revision>4</cp:revision>
  <dcterms:created xsi:type="dcterms:W3CDTF">2023-01-29T11:43:00Z</dcterms:created>
  <dcterms:modified xsi:type="dcterms:W3CDTF">2023-01-29T11:53:00Z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058a340aaea39a96b68518cc245db789f46c650ba005adad918d673269cb7b90</vt:lpwstr>
  </property>
</Properties>
</file>