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7382" w14:textId="7A18C015" w:rsidR="00651E52" w:rsidRDefault="00DE4FA7" w:rsidP="003B3AF9">
      <w:pPr>
        <w:spacing w:line="240" w:lineRule="auto"/>
        <w:jc w:val="center"/>
        <w:rPr>
          <w:rFonts w:cstheme="minorHAnsi"/>
          <w:sz w:val="24"/>
          <w:szCs w:val="24"/>
        </w:rPr>
      </w:pPr>
      <w:r w:rsidRPr="00ED05A5">
        <w:rPr>
          <w:rFonts w:cstheme="minorHAnsi"/>
          <w:sz w:val="24"/>
          <w:szCs w:val="24"/>
        </w:rPr>
        <w:t>Assessment and treatment of neutropenic sepsis within the emergency department.</w:t>
      </w:r>
    </w:p>
    <w:p w14:paraId="228DDEA4" w14:textId="08B607E6" w:rsidR="00DE4FA7" w:rsidRPr="00ED05A5" w:rsidRDefault="00DE4FA7" w:rsidP="003B3AF9">
      <w:pPr>
        <w:spacing w:line="240" w:lineRule="auto"/>
        <w:jc w:val="center"/>
        <w:rPr>
          <w:rFonts w:cstheme="minorHAnsi"/>
          <w:b/>
          <w:bCs/>
          <w:sz w:val="24"/>
          <w:szCs w:val="24"/>
        </w:rPr>
      </w:pPr>
      <w:r>
        <w:rPr>
          <w:rFonts w:cstheme="minorHAnsi"/>
          <w:sz w:val="24"/>
          <w:szCs w:val="24"/>
        </w:rPr>
        <w:t>Daniella Leloch</w:t>
      </w:r>
    </w:p>
    <w:p w14:paraId="792F889F" w14:textId="27554923" w:rsidR="002F33D9" w:rsidRPr="00ED05A5" w:rsidRDefault="00DE4FA7" w:rsidP="00081A92">
      <w:pPr>
        <w:spacing w:line="240" w:lineRule="auto"/>
        <w:rPr>
          <w:rFonts w:cstheme="minorHAnsi"/>
          <w:sz w:val="24"/>
          <w:szCs w:val="24"/>
        </w:rPr>
      </w:pPr>
      <w:r w:rsidRPr="00ED05A5">
        <w:rPr>
          <w:rFonts w:cstheme="minorHAnsi"/>
          <w:sz w:val="24"/>
          <w:szCs w:val="24"/>
        </w:rPr>
        <w:t>Abstract</w:t>
      </w:r>
    </w:p>
    <w:p w14:paraId="50E598DC" w14:textId="5B90FDFD" w:rsidR="00642ECE" w:rsidRPr="00ED05A5" w:rsidRDefault="00DE4FA7" w:rsidP="00081A92">
      <w:pPr>
        <w:spacing w:line="240" w:lineRule="auto"/>
        <w:rPr>
          <w:rFonts w:cstheme="minorHAnsi"/>
          <w:sz w:val="24"/>
          <w:szCs w:val="24"/>
        </w:rPr>
      </w:pPr>
      <w:r w:rsidRPr="00ED05A5">
        <w:rPr>
          <w:rFonts w:cstheme="minorHAnsi"/>
          <w:sz w:val="24"/>
          <w:szCs w:val="24"/>
        </w:rPr>
        <w:t xml:space="preserve">Neutropenic sepsis is a life-threatening side effect of </w:t>
      </w:r>
      <w:r w:rsidR="005D161D" w:rsidRPr="00ED05A5">
        <w:rPr>
          <w:rFonts w:cstheme="minorHAnsi"/>
          <w:sz w:val="24"/>
          <w:szCs w:val="24"/>
        </w:rPr>
        <w:t xml:space="preserve">chemotherapy. Neutropenic sepsis has a mortality rate of 2-21% and </w:t>
      </w:r>
      <w:r w:rsidR="00DB51CB" w:rsidRPr="00ED05A5">
        <w:rPr>
          <w:rFonts w:cstheme="minorHAnsi"/>
          <w:sz w:val="24"/>
          <w:szCs w:val="24"/>
        </w:rPr>
        <w:t xml:space="preserve">may affect drug regimens of chemotherapy or other immunosuppressive drug therapy, leading to reduced drug efficacy and impact on cancer treatment outcomes, including disease-free intervals and survival rates.  </w:t>
      </w:r>
      <w:r w:rsidR="000F5A49" w:rsidRPr="00ED05A5">
        <w:rPr>
          <w:rFonts w:cstheme="minorHAnsi"/>
          <w:sz w:val="24"/>
          <w:szCs w:val="24"/>
        </w:rPr>
        <w:t xml:space="preserve">As there are more treatment options for those diagnosed with cancer, doctors, nurses, and allied healthcare professionals will be exposed to more acute oncological emergencies within the emergency department. These healthcare professionals need to </w:t>
      </w:r>
      <w:r w:rsidR="00083890" w:rsidRPr="00ED05A5">
        <w:rPr>
          <w:rFonts w:cstheme="minorHAnsi"/>
          <w:sz w:val="24"/>
          <w:szCs w:val="24"/>
        </w:rPr>
        <w:t>recognise</w:t>
      </w:r>
      <w:r w:rsidR="000F5A49" w:rsidRPr="00ED05A5">
        <w:rPr>
          <w:rFonts w:cstheme="minorHAnsi"/>
          <w:sz w:val="24"/>
          <w:szCs w:val="24"/>
        </w:rPr>
        <w:t xml:space="preserve"> the signs and symptoms of neutropenic sepsis</w:t>
      </w:r>
      <w:r w:rsidR="00083890" w:rsidRPr="00ED05A5">
        <w:rPr>
          <w:rFonts w:cstheme="minorHAnsi"/>
          <w:sz w:val="24"/>
          <w:szCs w:val="24"/>
        </w:rPr>
        <w:t xml:space="preserve"> a</w:t>
      </w:r>
      <w:r w:rsidR="00A91CC3" w:rsidRPr="00ED05A5">
        <w:rPr>
          <w:rFonts w:cstheme="minorHAnsi"/>
          <w:sz w:val="24"/>
          <w:szCs w:val="24"/>
        </w:rPr>
        <w:t>nd be able to provide treatment within the hour to improve the patient’s outcome.</w:t>
      </w:r>
    </w:p>
    <w:p w14:paraId="7C1E69B7" w14:textId="176B1E77" w:rsidR="00642ECE" w:rsidRPr="00ED05A5" w:rsidRDefault="00DE4FA7" w:rsidP="00081A92">
      <w:pPr>
        <w:spacing w:line="240" w:lineRule="auto"/>
        <w:rPr>
          <w:rFonts w:cstheme="minorHAnsi"/>
          <w:sz w:val="24"/>
          <w:szCs w:val="24"/>
        </w:rPr>
      </w:pPr>
      <w:r w:rsidRPr="00ED05A5">
        <w:rPr>
          <w:rFonts w:cstheme="minorHAnsi"/>
          <w:sz w:val="24"/>
          <w:szCs w:val="24"/>
        </w:rPr>
        <w:t>Keywords</w:t>
      </w:r>
    </w:p>
    <w:p w14:paraId="037C8616" w14:textId="3A9F5F4C" w:rsidR="00CC01E2" w:rsidRPr="00ED05A5" w:rsidRDefault="00DE4FA7" w:rsidP="00081A92">
      <w:pPr>
        <w:spacing w:line="240" w:lineRule="auto"/>
        <w:rPr>
          <w:rFonts w:cstheme="minorHAnsi"/>
          <w:sz w:val="24"/>
          <w:szCs w:val="24"/>
        </w:rPr>
      </w:pPr>
      <w:r w:rsidRPr="00ED05A5">
        <w:rPr>
          <w:rFonts w:cstheme="minorHAnsi"/>
          <w:sz w:val="24"/>
          <w:szCs w:val="24"/>
        </w:rPr>
        <w:t xml:space="preserve">Acute oncology, acute oncological emergencies, assessment, </w:t>
      </w:r>
      <w:r w:rsidR="009D021F" w:rsidRPr="00ED05A5">
        <w:rPr>
          <w:rFonts w:cstheme="minorHAnsi"/>
          <w:sz w:val="24"/>
          <w:szCs w:val="24"/>
        </w:rPr>
        <w:t xml:space="preserve">chemotherapy, emergency department, golden hour, neutropenic sepsis, nursing care, </w:t>
      </w:r>
      <w:r w:rsidR="001A4DF8" w:rsidRPr="00ED05A5">
        <w:rPr>
          <w:rFonts w:cstheme="minorHAnsi"/>
          <w:sz w:val="24"/>
          <w:szCs w:val="24"/>
        </w:rPr>
        <w:t xml:space="preserve">signs and symptoms, and systematic anti-cancer treatment. </w:t>
      </w:r>
      <w:r w:rsidRPr="00ED05A5">
        <w:rPr>
          <w:rFonts w:cstheme="minorHAnsi"/>
          <w:sz w:val="24"/>
          <w:szCs w:val="24"/>
        </w:rPr>
        <w:t xml:space="preserve"> </w:t>
      </w:r>
    </w:p>
    <w:p w14:paraId="04E44D60" w14:textId="350CF4D5" w:rsidR="0097706D" w:rsidRPr="00ED05A5" w:rsidRDefault="00DE4FA7" w:rsidP="00081A92">
      <w:pPr>
        <w:spacing w:line="240" w:lineRule="auto"/>
        <w:rPr>
          <w:rFonts w:cstheme="minorHAnsi"/>
          <w:sz w:val="24"/>
          <w:szCs w:val="24"/>
        </w:rPr>
      </w:pPr>
      <w:r w:rsidRPr="00ED05A5">
        <w:rPr>
          <w:rFonts w:cstheme="minorHAnsi"/>
          <w:sz w:val="24"/>
          <w:szCs w:val="24"/>
        </w:rPr>
        <w:t>Introduction</w:t>
      </w:r>
    </w:p>
    <w:p w14:paraId="01598E7A" w14:textId="6D252D84" w:rsidR="00757485" w:rsidRPr="00ED05A5" w:rsidRDefault="00DE4FA7" w:rsidP="00081A92">
      <w:pPr>
        <w:spacing w:line="240" w:lineRule="auto"/>
        <w:rPr>
          <w:rFonts w:cstheme="minorHAnsi"/>
          <w:sz w:val="24"/>
          <w:szCs w:val="24"/>
        </w:rPr>
      </w:pPr>
      <w:r w:rsidRPr="00ED05A5">
        <w:rPr>
          <w:rFonts w:cstheme="minorHAnsi"/>
          <w:sz w:val="24"/>
          <w:szCs w:val="24"/>
        </w:rPr>
        <w:t>There are approximately 375,000 new diagnoses of cancer in the United Kingdom (UK) (Cancer Research 2022)</w:t>
      </w:r>
      <w:r w:rsidR="009C6EB8" w:rsidRPr="00ED05A5">
        <w:rPr>
          <w:rFonts w:cstheme="minorHAnsi"/>
          <w:sz w:val="24"/>
          <w:szCs w:val="24"/>
        </w:rPr>
        <w:t xml:space="preserve">. Doctors, nurses, and allied health professionals will be exposed to acute oncological emergencies arising from complications from cancer and Systematic Anti-Cancer Treatment (SACT) (Walji et al. 2008). SACT has evolved, with the introduction of novel treatments alongside chemotherapy such as immunotherapies, monoclonal antibodies, and increased radiotherapy treatments, as first, second, third- and fourth-line treatments. </w:t>
      </w:r>
      <w:r w:rsidR="000D6A47" w:rsidRPr="00ED05A5">
        <w:rPr>
          <w:rFonts w:cstheme="minorHAnsi"/>
          <w:sz w:val="24"/>
          <w:szCs w:val="24"/>
        </w:rPr>
        <w:t>Chemotherapy works by targeting fast-dividing cells at different stages of the cell cycle.  However, chemotherapy cannot distinguish between cancerous and non-cancerous cells</w:t>
      </w:r>
      <w:r w:rsidR="00582297" w:rsidRPr="00ED05A5">
        <w:rPr>
          <w:rFonts w:cstheme="minorHAnsi"/>
          <w:sz w:val="24"/>
          <w:szCs w:val="24"/>
        </w:rPr>
        <w:t xml:space="preserve">, </w:t>
      </w:r>
      <w:r w:rsidR="00DB2256" w:rsidRPr="00ED05A5">
        <w:rPr>
          <w:rFonts w:cstheme="minorHAnsi"/>
          <w:sz w:val="24"/>
          <w:szCs w:val="24"/>
        </w:rPr>
        <w:t>which</w:t>
      </w:r>
      <w:r w:rsidR="00582297" w:rsidRPr="00ED05A5">
        <w:rPr>
          <w:rFonts w:cstheme="minorHAnsi"/>
          <w:sz w:val="24"/>
          <w:szCs w:val="24"/>
        </w:rPr>
        <w:t xml:space="preserve"> is why patients are experiencing side effects such as neutropenia, nausea and vomiting, </w:t>
      </w:r>
      <w:r w:rsidR="004A5724" w:rsidRPr="00ED05A5">
        <w:rPr>
          <w:rFonts w:cstheme="minorHAnsi"/>
          <w:sz w:val="24"/>
          <w:szCs w:val="24"/>
        </w:rPr>
        <w:t>stomatitis,</w:t>
      </w:r>
      <w:r w:rsidR="00582297" w:rsidRPr="00ED05A5">
        <w:rPr>
          <w:rFonts w:cstheme="minorHAnsi"/>
          <w:sz w:val="24"/>
          <w:szCs w:val="24"/>
        </w:rPr>
        <w:t xml:space="preserve"> and alopecia (Wyatt and Hulbert Williams</w:t>
      </w:r>
      <w:r w:rsidR="007D663F" w:rsidRPr="00ED05A5">
        <w:rPr>
          <w:rFonts w:cstheme="minorHAnsi"/>
          <w:sz w:val="24"/>
          <w:szCs w:val="24"/>
        </w:rPr>
        <w:t xml:space="preserve"> </w:t>
      </w:r>
      <w:r w:rsidR="00582297" w:rsidRPr="00ED05A5">
        <w:rPr>
          <w:rFonts w:cstheme="minorHAnsi"/>
          <w:sz w:val="24"/>
          <w:szCs w:val="24"/>
        </w:rPr>
        <w:t>2015).</w:t>
      </w:r>
    </w:p>
    <w:p w14:paraId="71914FA1" w14:textId="6F716538" w:rsidR="007330BD" w:rsidRPr="00ED05A5" w:rsidRDefault="00DE4FA7" w:rsidP="00081A92">
      <w:pPr>
        <w:spacing w:line="240" w:lineRule="auto"/>
        <w:rPr>
          <w:rFonts w:cstheme="minorHAnsi"/>
          <w:sz w:val="24"/>
          <w:szCs w:val="24"/>
        </w:rPr>
      </w:pPr>
      <w:r w:rsidRPr="00ED05A5">
        <w:rPr>
          <w:rFonts w:cstheme="minorHAnsi"/>
          <w:sz w:val="24"/>
          <w:szCs w:val="24"/>
        </w:rPr>
        <w:t>With this exposure to more available lines of treatments, there would be an increased impact on the bone marrow and cause further and more pronounced myelosuppression (Gabriel 2012). All blood cells derive from a single stem cell</w:t>
      </w:r>
      <w:r w:rsidR="00582297" w:rsidRPr="00ED05A5">
        <w:rPr>
          <w:rFonts w:cstheme="minorHAnsi"/>
          <w:sz w:val="24"/>
          <w:szCs w:val="24"/>
        </w:rPr>
        <w:t xml:space="preserve"> within the bone marrow. </w:t>
      </w:r>
      <w:r w:rsidR="00516E45" w:rsidRPr="00ED05A5">
        <w:rPr>
          <w:rFonts w:cstheme="minorHAnsi"/>
          <w:sz w:val="24"/>
          <w:szCs w:val="24"/>
        </w:rPr>
        <w:t xml:space="preserve"> Chemotherapy damages these </w:t>
      </w:r>
      <w:r w:rsidR="00582297" w:rsidRPr="00ED05A5">
        <w:rPr>
          <w:rFonts w:cstheme="minorHAnsi"/>
          <w:sz w:val="24"/>
          <w:szCs w:val="24"/>
        </w:rPr>
        <w:t>fast-dividing</w:t>
      </w:r>
      <w:r w:rsidR="00516E45" w:rsidRPr="00ED05A5">
        <w:rPr>
          <w:rFonts w:cstheme="minorHAnsi"/>
          <w:sz w:val="24"/>
          <w:szCs w:val="24"/>
        </w:rPr>
        <w:t xml:space="preserve"> cells within the bone marrow, which reduces the number of cells within the blood, this is known as myelosuppression</w:t>
      </w:r>
      <w:r w:rsidRPr="00ED05A5">
        <w:rPr>
          <w:rFonts w:cstheme="minorHAnsi"/>
          <w:sz w:val="24"/>
          <w:szCs w:val="24"/>
        </w:rPr>
        <w:t xml:space="preserve">.  Neutropenia can be described as an abnormal level of neutrophils within the blood and take up to 7 days to mature before being released into the bloodstream. Within the blood, neutrophils constitute up to 70% of the white blood cells and are a part of the body's defence against infection (Wyatt and Hulbert Williams, 2015).  </w:t>
      </w:r>
      <w:r w:rsidR="009665F6" w:rsidRPr="00ED05A5">
        <w:rPr>
          <w:rFonts w:cstheme="minorHAnsi"/>
          <w:sz w:val="24"/>
          <w:szCs w:val="24"/>
        </w:rPr>
        <w:t xml:space="preserve">As chemotherapy affects the bone marrow, the neutrophil count can be at its lowest (Nadir) 7-10 days post-chemotherapy, </w:t>
      </w:r>
      <w:r w:rsidR="004A5724" w:rsidRPr="00ED05A5">
        <w:rPr>
          <w:rFonts w:cstheme="minorHAnsi"/>
          <w:sz w:val="24"/>
          <w:szCs w:val="24"/>
        </w:rPr>
        <w:t>however,</w:t>
      </w:r>
      <w:r w:rsidR="009665F6" w:rsidRPr="00ED05A5">
        <w:rPr>
          <w:rFonts w:cstheme="minorHAnsi"/>
          <w:sz w:val="24"/>
          <w:szCs w:val="24"/>
        </w:rPr>
        <w:t xml:space="preserve"> will normally recover before the next treatment</w:t>
      </w:r>
      <w:r w:rsidR="007D663F" w:rsidRPr="00ED05A5">
        <w:rPr>
          <w:rFonts w:cstheme="minorHAnsi"/>
          <w:sz w:val="24"/>
          <w:szCs w:val="24"/>
        </w:rPr>
        <w:t>.</w:t>
      </w:r>
    </w:p>
    <w:p w14:paraId="51F130DF" w14:textId="63B6065C" w:rsidR="00E73064" w:rsidRPr="00ED05A5" w:rsidRDefault="00DE4FA7" w:rsidP="00081A92">
      <w:pPr>
        <w:spacing w:line="240" w:lineRule="auto"/>
        <w:rPr>
          <w:rFonts w:cstheme="minorHAnsi"/>
          <w:sz w:val="24"/>
          <w:szCs w:val="24"/>
        </w:rPr>
      </w:pPr>
      <w:r w:rsidRPr="00ED05A5">
        <w:rPr>
          <w:rFonts w:cstheme="minorHAnsi"/>
          <w:sz w:val="24"/>
          <w:szCs w:val="24"/>
        </w:rPr>
        <w:t>Sepsis is a dysregulated host response to an infection associated with life-threatening organ dysfunction (Singer 2016). It is estimated within the UK there are 918,000 adult sepsis admissions per year, and 66,096 deaths (</w:t>
      </w:r>
      <w:proofErr w:type="spellStart"/>
      <w:r w:rsidRPr="00ED05A5">
        <w:rPr>
          <w:rFonts w:cstheme="minorHAnsi"/>
          <w:sz w:val="24"/>
          <w:szCs w:val="24"/>
        </w:rPr>
        <w:t>Bion</w:t>
      </w:r>
      <w:proofErr w:type="spellEnd"/>
      <w:r w:rsidRPr="00ED05A5">
        <w:rPr>
          <w:rFonts w:cstheme="minorHAnsi"/>
          <w:sz w:val="24"/>
          <w:szCs w:val="24"/>
        </w:rPr>
        <w:t xml:space="preserve"> et al. 2022).</w:t>
      </w:r>
      <w:r w:rsidR="00A67D72" w:rsidRPr="00ED05A5">
        <w:rPr>
          <w:rFonts w:cstheme="minorHAnsi"/>
          <w:sz w:val="24"/>
          <w:szCs w:val="24"/>
        </w:rPr>
        <w:t xml:space="preserve">  Neutropenic sepsis (NS) </w:t>
      </w:r>
      <w:r w:rsidR="00C81D19" w:rsidRPr="00ED05A5">
        <w:rPr>
          <w:rFonts w:cstheme="minorHAnsi"/>
          <w:sz w:val="24"/>
          <w:szCs w:val="24"/>
        </w:rPr>
        <w:t xml:space="preserve">has mortality between 2-21%, despite the use of colony-stimulating factors (NICE 2012, </w:t>
      </w:r>
      <w:r w:rsidR="00921A58" w:rsidRPr="00ED05A5">
        <w:rPr>
          <w:rFonts w:cstheme="minorHAnsi"/>
          <w:sz w:val="24"/>
          <w:szCs w:val="24"/>
        </w:rPr>
        <w:t xml:space="preserve">Forde </w:t>
      </w:r>
      <w:r w:rsidR="00921A58" w:rsidRPr="00ED05A5">
        <w:rPr>
          <w:rFonts w:cstheme="minorHAnsi"/>
          <w:sz w:val="24"/>
          <w:szCs w:val="24"/>
        </w:rPr>
        <w:lastRenderedPageBreak/>
        <w:t>and Scullin, 2017).</w:t>
      </w:r>
      <w:r w:rsidR="007D663F" w:rsidRPr="00ED05A5">
        <w:rPr>
          <w:rFonts w:cstheme="minorHAnsi"/>
          <w:sz w:val="24"/>
          <w:szCs w:val="24"/>
        </w:rPr>
        <w:t xml:space="preserve">  </w:t>
      </w:r>
      <w:r w:rsidR="00854291" w:rsidRPr="00ED05A5">
        <w:rPr>
          <w:rFonts w:cstheme="minorHAnsi"/>
          <w:sz w:val="24"/>
          <w:szCs w:val="24"/>
        </w:rPr>
        <w:t xml:space="preserve">National reports have been published since 2008, investigating </w:t>
      </w:r>
      <w:r w:rsidR="009A1D39" w:rsidRPr="00ED05A5">
        <w:rPr>
          <w:rFonts w:cstheme="minorHAnsi"/>
          <w:sz w:val="24"/>
          <w:szCs w:val="24"/>
        </w:rPr>
        <w:t>various aspects</w:t>
      </w:r>
      <w:r w:rsidR="00854291" w:rsidRPr="00ED05A5">
        <w:rPr>
          <w:rFonts w:cstheme="minorHAnsi"/>
          <w:sz w:val="24"/>
          <w:szCs w:val="24"/>
        </w:rPr>
        <w:t xml:space="preserve"> of cancer and cancer care (Mansour et al. 2010)</w:t>
      </w:r>
      <w:r w:rsidR="00EE5B20" w:rsidRPr="00ED05A5">
        <w:rPr>
          <w:rFonts w:cstheme="minorHAnsi"/>
          <w:sz w:val="24"/>
          <w:szCs w:val="24"/>
        </w:rPr>
        <w:t xml:space="preserve">. </w:t>
      </w:r>
      <w:r w:rsidR="00854291" w:rsidRPr="00ED05A5">
        <w:rPr>
          <w:rFonts w:cstheme="minorHAnsi"/>
          <w:sz w:val="24"/>
          <w:szCs w:val="24"/>
        </w:rPr>
        <w:t>The National Confidential Enquiry into Patient Outcome and Death (NCEPOD) 2008 report: ‘For better, for Worse’ highlighted unacceptably high death rates within 30 days of administration of cytotoxic chemotherapy</w:t>
      </w:r>
      <w:r w:rsidR="00E4315F" w:rsidRPr="00ED05A5">
        <w:rPr>
          <w:rFonts w:cstheme="minorHAnsi"/>
          <w:sz w:val="24"/>
          <w:szCs w:val="24"/>
        </w:rPr>
        <w:t xml:space="preserve"> (NCEPOD 2008).</w:t>
      </w:r>
      <w:r w:rsidR="00975EC9" w:rsidRPr="00ED05A5">
        <w:rPr>
          <w:rFonts w:cstheme="minorHAnsi"/>
          <w:sz w:val="24"/>
          <w:szCs w:val="24"/>
        </w:rPr>
        <w:t xml:space="preserve"> </w:t>
      </w:r>
      <w:r w:rsidR="00854291" w:rsidRPr="00ED05A5">
        <w:rPr>
          <w:rFonts w:cstheme="minorHAnsi"/>
          <w:sz w:val="24"/>
          <w:szCs w:val="24"/>
        </w:rPr>
        <w:t>A recommendation from this report; the emergency department and clinicians should have the resources and capability to manage toxicities from</w:t>
      </w:r>
      <w:r w:rsidR="008578C6" w:rsidRPr="00ED05A5">
        <w:rPr>
          <w:rFonts w:cstheme="minorHAnsi"/>
          <w:sz w:val="24"/>
          <w:szCs w:val="24"/>
        </w:rPr>
        <w:t xml:space="preserve"> </w:t>
      </w:r>
      <w:r w:rsidR="00854291" w:rsidRPr="00ED05A5">
        <w:rPr>
          <w:rFonts w:cstheme="minorHAnsi"/>
          <w:sz w:val="24"/>
          <w:szCs w:val="24"/>
        </w:rPr>
        <w:t>SAC</w:t>
      </w:r>
      <w:r w:rsidR="008578C6" w:rsidRPr="00ED05A5">
        <w:rPr>
          <w:rFonts w:cstheme="minorHAnsi"/>
          <w:sz w:val="24"/>
          <w:szCs w:val="24"/>
        </w:rPr>
        <w:t>T</w:t>
      </w:r>
      <w:r w:rsidR="00C50D55" w:rsidRPr="00ED05A5">
        <w:rPr>
          <w:rFonts w:cstheme="minorHAnsi"/>
          <w:sz w:val="24"/>
          <w:szCs w:val="24"/>
        </w:rPr>
        <w:t xml:space="preserve">. </w:t>
      </w:r>
      <w:r w:rsidR="00854291" w:rsidRPr="00ED05A5">
        <w:rPr>
          <w:rFonts w:cstheme="minorHAnsi"/>
          <w:sz w:val="24"/>
          <w:szCs w:val="24"/>
        </w:rPr>
        <w:t>The focal point of this recommendation is an agreed local policy and clinical pathway for the management of neutropenic sepsis</w:t>
      </w:r>
      <w:r w:rsidR="006B4EFB" w:rsidRPr="00ED05A5">
        <w:rPr>
          <w:rFonts w:cstheme="minorHAnsi"/>
          <w:sz w:val="24"/>
          <w:szCs w:val="24"/>
        </w:rPr>
        <w:t xml:space="preserve">. </w:t>
      </w:r>
      <w:r w:rsidR="00854291" w:rsidRPr="00ED05A5">
        <w:rPr>
          <w:rFonts w:cstheme="minorHAnsi"/>
          <w:sz w:val="24"/>
          <w:szCs w:val="24"/>
        </w:rPr>
        <w:t>Succeeding the NCEPOD (2008) report</w:t>
      </w:r>
      <w:r w:rsidR="00BA7DAD" w:rsidRPr="00ED05A5">
        <w:rPr>
          <w:rFonts w:cstheme="minorHAnsi"/>
          <w:sz w:val="24"/>
          <w:szCs w:val="24"/>
        </w:rPr>
        <w:t>,</w:t>
      </w:r>
      <w:r w:rsidR="00854291" w:rsidRPr="00ED05A5">
        <w:rPr>
          <w:rFonts w:cstheme="minorHAnsi"/>
          <w:sz w:val="24"/>
          <w:szCs w:val="24"/>
        </w:rPr>
        <w:t xml:space="preserve"> The National Chemotherapy Advisory Group (NCAG) report published in 2009 made recommendations for an acute oncology service (AOS) in every hospital with an Emergency Department (ED) (NCAG 2009)</w:t>
      </w:r>
      <w:r w:rsidR="006B4EFB" w:rsidRPr="00ED05A5">
        <w:rPr>
          <w:rFonts w:cstheme="minorHAnsi"/>
          <w:sz w:val="24"/>
          <w:szCs w:val="24"/>
        </w:rPr>
        <w:t xml:space="preserve">. </w:t>
      </w:r>
      <w:r w:rsidR="00854291" w:rsidRPr="00ED05A5">
        <w:rPr>
          <w:rFonts w:cstheme="minorHAnsi"/>
          <w:sz w:val="24"/>
          <w:szCs w:val="24"/>
        </w:rPr>
        <w:t>This report in addition also highlighted safety issues and the need to develop governance, education and training related to SACT and the side effects of these treatments</w:t>
      </w:r>
      <w:r w:rsidR="00D443B0" w:rsidRPr="00ED05A5">
        <w:rPr>
          <w:rFonts w:cstheme="minorHAnsi"/>
          <w:sz w:val="24"/>
          <w:szCs w:val="24"/>
        </w:rPr>
        <w:t xml:space="preserve">. </w:t>
      </w:r>
      <w:r w:rsidR="00854291" w:rsidRPr="00ED05A5">
        <w:rPr>
          <w:rFonts w:cstheme="minorHAnsi"/>
          <w:sz w:val="24"/>
          <w:szCs w:val="24"/>
        </w:rPr>
        <w:t>The Chemotherapy Services in England: Ensuring quality and safety report (2009) advises that “all patients should be given both verbal and written information about their treatment, likely side effects and whom they should contact if problems arise”</w:t>
      </w:r>
      <w:r w:rsidR="009A1D39" w:rsidRPr="00ED05A5">
        <w:rPr>
          <w:rFonts w:cstheme="minorHAnsi"/>
          <w:sz w:val="24"/>
          <w:szCs w:val="24"/>
        </w:rPr>
        <w:t>.</w:t>
      </w:r>
      <w:r w:rsidR="00854291" w:rsidRPr="00ED05A5">
        <w:rPr>
          <w:rFonts w:cstheme="minorHAnsi"/>
          <w:sz w:val="24"/>
          <w:szCs w:val="24"/>
        </w:rPr>
        <w:t xml:space="preserve"> </w:t>
      </w:r>
    </w:p>
    <w:p w14:paraId="3D53DFE2" w14:textId="4CD7B830" w:rsidR="000F2C83" w:rsidRPr="00ED05A5" w:rsidRDefault="00DE4FA7" w:rsidP="00081A92">
      <w:pPr>
        <w:spacing w:line="240" w:lineRule="auto"/>
        <w:rPr>
          <w:rFonts w:cstheme="minorHAnsi"/>
          <w:sz w:val="24"/>
          <w:szCs w:val="24"/>
        </w:rPr>
      </w:pPr>
      <w:r w:rsidRPr="00ED05A5">
        <w:rPr>
          <w:rFonts w:cstheme="minorHAnsi"/>
          <w:sz w:val="24"/>
          <w:szCs w:val="24"/>
        </w:rPr>
        <w:t xml:space="preserve">There is no </w:t>
      </w:r>
      <w:r w:rsidR="000D1FC0" w:rsidRPr="00ED05A5">
        <w:rPr>
          <w:rFonts w:cstheme="minorHAnsi"/>
          <w:sz w:val="24"/>
          <w:szCs w:val="24"/>
        </w:rPr>
        <w:t>universal definition for NS</w:t>
      </w:r>
      <w:r w:rsidR="00B91C84" w:rsidRPr="00ED05A5">
        <w:rPr>
          <w:rFonts w:cstheme="minorHAnsi"/>
          <w:sz w:val="24"/>
          <w:szCs w:val="24"/>
        </w:rPr>
        <w:t xml:space="preserve"> (King et al. </w:t>
      </w:r>
      <w:r w:rsidR="007D61C0" w:rsidRPr="00ED05A5">
        <w:rPr>
          <w:rFonts w:cstheme="minorHAnsi"/>
          <w:sz w:val="24"/>
          <w:szCs w:val="24"/>
        </w:rPr>
        <w:t>2021)</w:t>
      </w:r>
      <w:r w:rsidR="008578C6" w:rsidRPr="00ED05A5">
        <w:rPr>
          <w:rFonts w:cstheme="minorHAnsi"/>
          <w:sz w:val="24"/>
          <w:szCs w:val="24"/>
        </w:rPr>
        <w:t>.</w:t>
      </w:r>
      <w:r w:rsidR="007D61C0" w:rsidRPr="00ED05A5">
        <w:rPr>
          <w:rFonts w:cstheme="minorHAnsi"/>
          <w:sz w:val="24"/>
          <w:szCs w:val="24"/>
        </w:rPr>
        <w:t xml:space="preserve"> </w:t>
      </w:r>
      <w:r w:rsidR="00E73064" w:rsidRPr="00ED05A5">
        <w:rPr>
          <w:rFonts w:cstheme="minorHAnsi"/>
          <w:sz w:val="24"/>
          <w:szCs w:val="24"/>
        </w:rPr>
        <w:t>NS is defined as a temperature of greater than 38</w:t>
      </w:r>
      <w:r w:rsidR="00E73064" w:rsidRPr="00ED05A5">
        <w:rPr>
          <w:rFonts w:cstheme="minorHAnsi"/>
          <w:sz w:val="24"/>
          <w:szCs w:val="24"/>
          <w:vertAlign w:val="superscript"/>
        </w:rPr>
        <w:t>o</w:t>
      </w:r>
      <w:r w:rsidR="00E73064" w:rsidRPr="00ED05A5">
        <w:rPr>
          <w:rFonts w:cstheme="minorHAnsi"/>
          <w:sz w:val="24"/>
          <w:szCs w:val="24"/>
        </w:rPr>
        <w:t>C, with a neutrophil count of less than 0.5 X 10</w:t>
      </w:r>
      <w:r w:rsidR="00E73064" w:rsidRPr="00ED05A5">
        <w:rPr>
          <w:rFonts w:cstheme="minorHAnsi"/>
          <w:sz w:val="24"/>
          <w:szCs w:val="24"/>
          <w:vertAlign w:val="superscript"/>
        </w:rPr>
        <w:t>9</w:t>
      </w:r>
      <w:r w:rsidR="00E73064" w:rsidRPr="00ED05A5">
        <w:rPr>
          <w:rFonts w:cstheme="minorHAnsi"/>
          <w:sz w:val="24"/>
          <w:szCs w:val="24"/>
        </w:rPr>
        <w:t>/l in a patient undergoing SACT (NICE</w:t>
      </w:r>
      <w:r w:rsidR="001A7267" w:rsidRPr="00ED05A5">
        <w:rPr>
          <w:rFonts w:cstheme="minorHAnsi"/>
          <w:sz w:val="24"/>
          <w:szCs w:val="24"/>
        </w:rPr>
        <w:t xml:space="preserve"> </w:t>
      </w:r>
      <w:r w:rsidR="00E73064" w:rsidRPr="00ED05A5">
        <w:rPr>
          <w:rFonts w:cstheme="minorHAnsi"/>
          <w:sz w:val="24"/>
          <w:szCs w:val="24"/>
        </w:rPr>
        <w:t>2012)</w:t>
      </w:r>
      <w:r w:rsidR="00406F75" w:rsidRPr="00ED05A5">
        <w:rPr>
          <w:rFonts w:cstheme="minorHAnsi"/>
          <w:sz w:val="24"/>
          <w:szCs w:val="24"/>
        </w:rPr>
        <w:t xml:space="preserve">. </w:t>
      </w:r>
      <w:r w:rsidR="002E48D8" w:rsidRPr="00ED05A5">
        <w:rPr>
          <w:rFonts w:cstheme="minorHAnsi"/>
          <w:sz w:val="24"/>
          <w:szCs w:val="24"/>
        </w:rPr>
        <w:t xml:space="preserve">However, </w:t>
      </w:r>
      <w:r w:rsidR="00FF0C90" w:rsidRPr="00ED05A5">
        <w:rPr>
          <w:rFonts w:cstheme="minorHAnsi"/>
          <w:sz w:val="24"/>
          <w:szCs w:val="24"/>
        </w:rPr>
        <w:t>there may be a lack of a delay in the local inflammatory response and absence of pyrexia</w:t>
      </w:r>
      <w:r w:rsidR="006D63B3" w:rsidRPr="00ED05A5">
        <w:rPr>
          <w:rFonts w:cstheme="minorHAnsi"/>
          <w:sz w:val="24"/>
          <w:szCs w:val="24"/>
        </w:rPr>
        <w:t xml:space="preserve"> </w:t>
      </w:r>
      <w:r w:rsidR="006B1F8E" w:rsidRPr="00ED05A5">
        <w:rPr>
          <w:rFonts w:cstheme="minorHAnsi"/>
          <w:sz w:val="24"/>
          <w:szCs w:val="24"/>
        </w:rPr>
        <w:t>(</w:t>
      </w:r>
      <w:r w:rsidR="009872C9" w:rsidRPr="00ED05A5">
        <w:rPr>
          <w:rFonts w:cstheme="minorHAnsi"/>
          <w:sz w:val="24"/>
          <w:szCs w:val="24"/>
        </w:rPr>
        <w:t>Dunkley and McLeod 2015</w:t>
      </w:r>
      <w:r w:rsidR="001A7267" w:rsidRPr="00ED05A5">
        <w:rPr>
          <w:rFonts w:cstheme="minorHAnsi"/>
          <w:sz w:val="24"/>
          <w:szCs w:val="24"/>
        </w:rPr>
        <w:t>,</w:t>
      </w:r>
      <w:r w:rsidR="009872C9" w:rsidRPr="00ED05A5">
        <w:rPr>
          <w:rFonts w:cstheme="minorHAnsi"/>
          <w:sz w:val="24"/>
          <w:szCs w:val="24"/>
        </w:rPr>
        <w:t xml:space="preserve"> </w:t>
      </w:r>
      <w:r w:rsidR="006B1F8E" w:rsidRPr="00ED05A5">
        <w:rPr>
          <w:rFonts w:cstheme="minorHAnsi"/>
          <w:sz w:val="24"/>
          <w:szCs w:val="24"/>
        </w:rPr>
        <w:t>Clarke et al</w:t>
      </w:r>
      <w:r w:rsidR="00911419" w:rsidRPr="00ED05A5">
        <w:rPr>
          <w:rFonts w:cstheme="minorHAnsi"/>
          <w:sz w:val="24"/>
          <w:szCs w:val="24"/>
        </w:rPr>
        <w:t>.</w:t>
      </w:r>
      <w:r w:rsidR="009872C9" w:rsidRPr="00ED05A5">
        <w:rPr>
          <w:rFonts w:cstheme="minorHAnsi"/>
          <w:sz w:val="24"/>
          <w:szCs w:val="24"/>
        </w:rPr>
        <w:t xml:space="preserve"> </w:t>
      </w:r>
      <w:r w:rsidR="006B1F8E" w:rsidRPr="00ED05A5">
        <w:rPr>
          <w:rFonts w:cstheme="minorHAnsi"/>
          <w:sz w:val="24"/>
          <w:szCs w:val="24"/>
        </w:rPr>
        <w:t>2013)</w:t>
      </w:r>
      <w:r w:rsidR="009A1D39" w:rsidRPr="00ED05A5">
        <w:rPr>
          <w:rFonts w:cstheme="minorHAnsi"/>
          <w:sz w:val="24"/>
          <w:szCs w:val="24"/>
        </w:rPr>
        <w:t>.</w:t>
      </w:r>
      <w:r w:rsidR="00406F75" w:rsidRPr="00ED05A5">
        <w:rPr>
          <w:rFonts w:cstheme="minorHAnsi"/>
          <w:sz w:val="24"/>
          <w:szCs w:val="24"/>
        </w:rPr>
        <w:t xml:space="preserve"> P</w:t>
      </w:r>
      <w:r w:rsidR="009872C9" w:rsidRPr="00ED05A5">
        <w:rPr>
          <w:rFonts w:cstheme="minorHAnsi"/>
          <w:sz w:val="24"/>
          <w:szCs w:val="24"/>
        </w:rPr>
        <w:t xml:space="preserve">atients </w:t>
      </w:r>
      <w:r w:rsidR="00BA775D" w:rsidRPr="00ED05A5">
        <w:rPr>
          <w:rFonts w:cstheme="minorHAnsi"/>
          <w:sz w:val="24"/>
          <w:szCs w:val="24"/>
        </w:rPr>
        <w:t>may have taken medications that can mask an elevated temperature and therefore a good patient history will establish this (Foulkes</w:t>
      </w:r>
      <w:r w:rsidR="001A7267" w:rsidRPr="00ED05A5">
        <w:rPr>
          <w:rFonts w:cstheme="minorHAnsi"/>
          <w:sz w:val="24"/>
          <w:szCs w:val="24"/>
        </w:rPr>
        <w:t xml:space="preserve"> </w:t>
      </w:r>
      <w:r w:rsidR="00BA775D" w:rsidRPr="00ED05A5">
        <w:rPr>
          <w:rFonts w:cstheme="minorHAnsi"/>
          <w:sz w:val="24"/>
          <w:szCs w:val="24"/>
        </w:rPr>
        <w:t xml:space="preserve">2010). </w:t>
      </w:r>
      <w:r w:rsidRPr="00ED05A5">
        <w:rPr>
          <w:rFonts w:cstheme="minorHAnsi"/>
          <w:sz w:val="24"/>
          <w:szCs w:val="24"/>
        </w:rPr>
        <w:t>A low temperature</w:t>
      </w:r>
      <w:r w:rsidR="00406F75" w:rsidRPr="00ED05A5">
        <w:rPr>
          <w:rFonts w:cstheme="minorHAnsi"/>
          <w:sz w:val="24"/>
          <w:szCs w:val="24"/>
        </w:rPr>
        <w:t xml:space="preserve"> on the other hand </w:t>
      </w:r>
      <w:r w:rsidRPr="00ED05A5">
        <w:rPr>
          <w:rFonts w:cstheme="minorHAnsi"/>
          <w:sz w:val="24"/>
          <w:szCs w:val="24"/>
        </w:rPr>
        <w:t>below 36°C, can be an indicator of severe sepsis (Angus and van der Poll</w:t>
      </w:r>
      <w:r w:rsidR="000A6482" w:rsidRPr="00ED05A5">
        <w:rPr>
          <w:rFonts w:cstheme="minorHAnsi"/>
          <w:sz w:val="24"/>
          <w:szCs w:val="24"/>
        </w:rPr>
        <w:t xml:space="preserve"> </w:t>
      </w:r>
      <w:r w:rsidRPr="00ED05A5">
        <w:rPr>
          <w:rFonts w:cstheme="minorHAnsi"/>
          <w:sz w:val="24"/>
          <w:szCs w:val="24"/>
        </w:rPr>
        <w:t>2013)</w:t>
      </w:r>
      <w:r w:rsidR="00BE1159" w:rsidRPr="00ED05A5">
        <w:rPr>
          <w:rFonts w:cstheme="minorHAnsi"/>
          <w:sz w:val="24"/>
          <w:szCs w:val="24"/>
        </w:rPr>
        <w:t xml:space="preserve">. </w:t>
      </w:r>
      <w:r w:rsidR="005F577F" w:rsidRPr="00ED05A5">
        <w:rPr>
          <w:rFonts w:cstheme="minorHAnsi"/>
          <w:sz w:val="24"/>
          <w:szCs w:val="24"/>
        </w:rPr>
        <w:t xml:space="preserve">Clarke et al. </w:t>
      </w:r>
      <w:r w:rsidR="001A7267" w:rsidRPr="00ED05A5">
        <w:rPr>
          <w:rFonts w:cstheme="minorHAnsi"/>
          <w:sz w:val="24"/>
          <w:szCs w:val="24"/>
        </w:rPr>
        <w:t>(</w:t>
      </w:r>
      <w:r w:rsidR="005F577F" w:rsidRPr="00ED05A5">
        <w:rPr>
          <w:rFonts w:cstheme="minorHAnsi"/>
          <w:sz w:val="24"/>
          <w:szCs w:val="24"/>
        </w:rPr>
        <w:t>2011</w:t>
      </w:r>
      <w:r w:rsidR="001A7267" w:rsidRPr="00ED05A5">
        <w:rPr>
          <w:rFonts w:cstheme="minorHAnsi"/>
          <w:sz w:val="24"/>
          <w:szCs w:val="24"/>
        </w:rPr>
        <w:t>)</w:t>
      </w:r>
      <w:r w:rsidR="005F577F" w:rsidRPr="00ED05A5">
        <w:rPr>
          <w:rFonts w:cstheme="minorHAnsi"/>
          <w:sz w:val="24"/>
          <w:szCs w:val="24"/>
        </w:rPr>
        <w:t xml:space="preserve"> reviewed clinical guidance </w:t>
      </w:r>
      <w:r w:rsidR="00191A12" w:rsidRPr="00ED05A5">
        <w:rPr>
          <w:rFonts w:cstheme="minorHAnsi"/>
          <w:sz w:val="24"/>
          <w:szCs w:val="24"/>
        </w:rPr>
        <w:t xml:space="preserve">in </w:t>
      </w:r>
      <w:r w:rsidR="000A6482" w:rsidRPr="00ED05A5">
        <w:rPr>
          <w:rFonts w:cstheme="minorHAnsi"/>
          <w:sz w:val="24"/>
          <w:szCs w:val="24"/>
        </w:rPr>
        <w:t xml:space="preserve">UK </w:t>
      </w:r>
      <w:r w:rsidR="00191A12" w:rsidRPr="00ED05A5">
        <w:rPr>
          <w:rFonts w:cstheme="minorHAnsi"/>
          <w:sz w:val="24"/>
          <w:szCs w:val="24"/>
        </w:rPr>
        <w:t xml:space="preserve">cancer centres regarding neutropenic sepsis </w:t>
      </w:r>
      <w:r w:rsidR="000A6482" w:rsidRPr="00ED05A5">
        <w:rPr>
          <w:rFonts w:cstheme="minorHAnsi"/>
          <w:sz w:val="24"/>
          <w:szCs w:val="24"/>
        </w:rPr>
        <w:t xml:space="preserve">and </w:t>
      </w:r>
      <w:r w:rsidR="00191A12" w:rsidRPr="00ED05A5">
        <w:rPr>
          <w:rFonts w:cstheme="minorHAnsi"/>
          <w:sz w:val="24"/>
          <w:szCs w:val="24"/>
        </w:rPr>
        <w:t>noted a lack of consensus regarding trigger temperature values</w:t>
      </w:r>
      <w:r w:rsidR="001A7267" w:rsidRPr="00ED05A5">
        <w:rPr>
          <w:rFonts w:cstheme="minorHAnsi"/>
          <w:sz w:val="24"/>
          <w:szCs w:val="24"/>
        </w:rPr>
        <w:t xml:space="preserve">. </w:t>
      </w:r>
      <w:r w:rsidR="003C6766" w:rsidRPr="00ED05A5">
        <w:rPr>
          <w:rFonts w:cstheme="minorHAnsi"/>
          <w:sz w:val="24"/>
          <w:szCs w:val="24"/>
        </w:rPr>
        <w:t>A</w:t>
      </w:r>
      <w:r w:rsidR="008C4992" w:rsidRPr="00ED05A5">
        <w:rPr>
          <w:rFonts w:cstheme="minorHAnsi"/>
          <w:sz w:val="24"/>
          <w:szCs w:val="24"/>
        </w:rPr>
        <w:t>n abnormal body temperature is described as a potential symptom of an infection-related cause, but its presence or absence is not included in the guidance as a diagnostic indicator of sepsis (Singer et al., 2016).</w:t>
      </w:r>
      <w:r w:rsidR="00822FC1" w:rsidRPr="00ED05A5">
        <w:rPr>
          <w:rFonts w:cstheme="minorHAnsi"/>
          <w:sz w:val="24"/>
          <w:szCs w:val="24"/>
        </w:rPr>
        <w:t xml:space="preserve"> These are examples of the controversies regarding the diagnosis, </w:t>
      </w:r>
      <w:r w:rsidR="009621A1" w:rsidRPr="00ED05A5">
        <w:rPr>
          <w:rFonts w:cstheme="minorHAnsi"/>
          <w:sz w:val="24"/>
          <w:szCs w:val="24"/>
        </w:rPr>
        <w:t>assessment,</w:t>
      </w:r>
      <w:r w:rsidR="00822FC1" w:rsidRPr="00ED05A5">
        <w:rPr>
          <w:rFonts w:cstheme="minorHAnsi"/>
          <w:sz w:val="24"/>
          <w:szCs w:val="24"/>
        </w:rPr>
        <w:t xml:space="preserve"> and management of NS. </w:t>
      </w:r>
    </w:p>
    <w:p w14:paraId="724CE946" w14:textId="77777777" w:rsidR="00087674" w:rsidRDefault="00DE4FA7" w:rsidP="00081A92">
      <w:pPr>
        <w:spacing w:line="240" w:lineRule="auto"/>
        <w:rPr>
          <w:rFonts w:cstheme="minorHAnsi"/>
          <w:sz w:val="24"/>
          <w:szCs w:val="24"/>
        </w:rPr>
      </w:pPr>
      <w:r w:rsidRPr="00ED05A5">
        <w:rPr>
          <w:rFonts w:cstheme="minorHAnsi"/>
          <w:sz w:val="24"/>
          <w:szCs w:val="24"/>
        </w:rPr>
        <w:t>F</w:t>
      </w:r>
      <w:r w:rsidR="00854291" w:rsidRPr="00ED05A5">
        <w:rPr>
          <w:rFonts w:cstheme="minorHAnsi"/>
          <w:sz w:val="24"/>
          <w:szCs w:val="24"/>
        </w:rPr>
        <w:t xml:space="preserve">actors are known to increase </w:t>
      </w:r>
      <w:r w:rsidR="00B173F2" w:rsidRPr="00ED05A5">
        <w:rPr>
          <w:rFonts w:cstheme="minorHAnsi"/>
          <w:sz w:val="24"/>
          <w:szCs w:val="24"/>
        </w:rPr>
        <w:t xml:space="preserve">the </w:t>
      </w:r>
      <w:r w:rsidR="00FA74F3" w:rsidRPr="00ED05A5">
        <w:rPr>
          <w:rFonts w:cstheme="minorHAnsi"/>
          <w:sz w:val="24"/>
          <w:szCs w:val="24"/>
        </w:rPr>
        <w:t>risk of neutropenia</w:t>
      </w:r>
      <w:r w:rsidR="008E624C" w:rsidRPr="00ED05A5">
        <w:rPr>
          <w:rFonts w:cstheme="minorHAnsi"/>
          <w:sz w:val="24"/>
          <w:szCs w:val="24"/>
        </w:rPr>
        <w:t xml:space="preserve"> these are those who are over 60 years of age, </w:t>
      </w:r>
      <w:r w:rsidR="00CB0955" w:rsidRPr="00ED05A5">
        <w:rPr>
          <w:rFonts w:cstheme="minorHAnsi"/>
          <w:sz w:val="24"/>
          <w:szCs w:val="24"/>
        </w:rPr>
        <w:t xml:space="preserve">who </w:t>
      </w:r>
      <w:r w:rsidR="0060490D" w:rsidRPr="00ED05A5">
        <w:rPr>
          <w:rFonts w:cstheme="minorHAnsi"/>
          <w:sz w:val="24"/>
          <w:szCs w:val="24"/>
        </w:rPr>
        <w:t>are on SACT</w:t>
      </w:r>
      <w:r w:rsidR="009158EF" w:rsidRPr="00ED05A5">
        <w:rPr>
          <w:rFonts w:cstheme="minorHAnsi"/>
          <w:sz w:val="24"/>
          <w:szCs w:val="24"/>
        </w:rPr>
        <w:t xml:space="preserve">, on </w:t>
      </w:r>
      <w:r w:rsidR="0060490D" w:rsidRPr="00ED05A5">
        <w:rPr>
          <w:rFonts w:cstheme="minorHAnsi"/>
          <w:sz w:val="24"/>
          <w:szCs w:val="24"/>
        </w:rPr>
        <w:t>corticosteroids</w:t>
      </w:r>
      <w:r w:rsidR="009158EF" w:rsidRPr="00ED05A5">
        <w:rPr>
          <w:rFonts w:cstheme="minorHAnsi"/>
          <w:sz w:val="24"/>
          <w:szCs w:val="24"/>
        </w:rPr>
        <w:t xml:space="preserve"> (as this can cause additional immunosuppression (Klastersky 2016)</w:t>
      </w:r>
      <w:r w:rsidR="0060490D" w:rsidRPr="00ED05A5">
        <w:rPr>
          <w:rFonts w:cstheme="minorHAnsi"/>
          <w:sz w:val="24"/>
          <w:szCs w:val="24"/>
        </w:rPr>
        <w:t>. Those whose cancer is at an advanced stage</w:t>
      </w:r>
      <w:r w:rsidR="00F17A65" w:rsidRPr="00ED05A5">
        <w:rPr>
          <w:rFonts w:cstheme="minorHAnsi"/>
          <w:sz w:val="24"/>
          <w:szCs w:val="24"/>
        </w:rPr>
        <w:t xml:space="preserve">, previous admissions of neutropenia, surgery, prolonged hospital admissions, malnutrition </w:t>
      </w:r>
      <w:r w:rsidR="007A30BC" w:rsidRPr="00ED05A5">
        <w:rPr>
          <w:rFonts w:cstheme="minorHAnsi"/>
          <w:sz w:val="24"/>
          <w:szCs w:val="24"/>
        </w:rPr>
        <w:t>(which</w:t>
      </w:r>
      <w:r w:rsidR="00F17A65" w:rsidRPr="00ED05A5">
        <w:rPr>
          <w:rFonts w:cstheme="minorHAnsi"/>
          <w:sz w:val="24"/>
          <w:szCs w:val="24"/>
        </w:rPr>
        <w:t xml:space="preserve"> ca</w:t>
      </w:r>
      <w:r w:rsidR="007A30BC" w:rsidRPr="00ED05A5">
        <w:rPr>
          <w:rFonts w:cstheme="minorHAnsi"/>
          <w:sz w:val="24"/>
          <w:szCs w:val="24"/>
        </w:rPr>
        <w:t xml:space="preserve">n </w:t>
      </w:r>
      <w:r w:rsidR="00F17A65" w:rsidRPr="00ED05A5">
        <w:rPr>
          <w:rFonts w:cstheme="minorHAnsi"/>
          <w:sz w:val="24"/>
          <w:szCs w:val="24"/>
        </w:rPr>
        <w:t xml:space="preserve">be a side effect of the chemotherapy, due to mucositis), </w:t>
      </w:r>
      <w:r w:rsidR="007A30BC" w:rsidRPr="00ED05A5">
        <w:rPr>
          <w:rFonts w:cstheme="minorHAnsi"/>
          <w:sz w:val="24"/>
          <w:szCs w:val="24"/>
        </w:rPr>
        <w:t>and those with a central venous access device</w:t>
      </w:r>
      <w:r w:rsidR="00484665" w:rsidRPr="00ED05A5">
        <w:rPr>
          <w:rFonts w:cstheme="minorHAnsi"/>
          <w:sz w:val="24"/>
          <w:szCs w:val="24"/>
        </w:rPr>
        <w:t xml:space="preserve"> and those with co- and multiple morbidities </w:t>
      </w:r>
      <w:r w:rsidR="00DA373D" w:rsidRPr="00ED05A5">
        <w:rPr>
          <w:rFonts w:cstheme="minorHAnsi"/>
          <w:sz w:val="24"/>
          <w:szCs w:val="24"/>
        </w:rPr>
        <w:t>(Kochanek 2019</w:t>
      </w:r>
      <w:r w:rsidR="003B3AF9" w:rsidRPr="00ED05A5">
        <w:rPr>
          <w:rFonts w:cstheme="minorHAnsi"/>
          <w:sz w:val="24"/>
          <w:szCs w:val="24"/>
        </w:rPr>
        <w:t>,</w:t>
      </w:r>
      <w:r w:rsidR="00DA373D" w:rsidRPr="00ED05A5">
        <w:rPr>
          <w:rFonts w:cstheme="minorHAnsi"/>
          <w:sz w:val="24"/>
          <w:szCs w:val="24"/>
        </w:rPr>
        <w:t xml:space="preserve"> Morgan</w:t>
      </w:r>
      <w:r w:rsidR="00484665" w:rsidRPr="00ED05A5">
        <w:rPr>
          <w:rFonts w:cstheme="minorHAnsi"/>
          <w:sz w:val="24"/>
          <w:szCs w:val="24"/>
        </w:rPr>
        <w:t>, 2018</w:t>
      </w:r>
      <w:r w:rsidR="003B3AF9" w:rsidRPr="00ED05A5">
        <w:rPr>
          <w:rFonts w:cstheme="minorHAnsi"/>
          <w:sz w:val="24"/>
          <w:szCs w:val="24"/>
        </w:rPr>
        <w:t xml:space="preserve">, </w:t>
      </w:r>
      <w:r w:rsidR="00DA373D" w:rsidRPr="00ED05A5">
        <w:rPr>
          <w:rFonts w:cstheme="minorHAnsi"/>
          <w:sz w:val="24"/>
          <w:szCs w:val="24"/>
        </w:rPr>
        <w:t>White 2017</w:t>
      </w:r>
      <w:r w:rsidR="003B3AF9" w:rsidRPr="00ED05A5">
        <w:rPr>
          <w:rFonts w:cstheme="minorHAnsi"/>
          <w:sz w:val="24"/>
          <w:szCs w:val="24"/>
        </w:rPr>
        <w:t xml:space="preserve">, </w:t>
      </w:r>
      <w:r w:rsidR="00DA373D" w:rsidRPr="00ED05A5">
        <w:rPr>
          <w:rFonts w:cstheme="minorHAnsi"/>
          <w:sz w:val="24"/>
          <w:szCs w:val="24"/>
        </w:rPr>
        <w:t>Klastersky 2016</w:t>
      </w:r>
      <w:r w:rsidR="003B3AF9" w:rsidRPr="00ED05A5">
        <w:rPr>
          <w:rFonts w:cstheme="minorHAnsi"/>
          <w:sz w:val="24"/>
          <w:szCs w:val="24"/>
        </w:rPr>
        <w:t>,</w:t>
      </w:r>
      <w:r w:rsidR="008578C6" w:rsidRPr="00ED05A5">
        <w:rPr>
          <w:rFonts w:cstheme="minorHAnsi"/>
          <w:sz w:val="24"/>
          <w:szCs w:val="24"/>
        </w:rPr>
        <w:t xml:space="preserve"> </w:t>
      </w:r>
      <w:r w:rsidR="003B3AF9" w:rsidRPr="00ED05A5">
        <w:rPr>
          <w:rFonts w:cstheme="minorHAnsi"/>
          <w:sz w:val="24"/>
          <w:szCs w:val="24"/>
        </w:rPr>
        <w:t>W</w:t>
      </w:r>
      <w:r w:rsidR="00DA373D" w:rsidRPr="00ED05A5">
        <w:rPr>
          <w:rFonts w:cstheme="minorHAnsi"/>
          <w:sz w:val="24"/>
          <w:szCs w:val="24"/>
        </w:rPr>
        <w:t>arnock</w:t>
      </w:r>
      <w:r w:rsidR="003B3AF9" w:rsidRPr="00ED05A5">
        <w:rPr>
          <w:rFonts w:cstheme="minorHAnsi"/>
          <w:sz w:val="24"/>
          <w:szCs w:val="24"/>
        </w:rPr>
        <w:t xml:space="preserve"> </w:t>
      </w:r>
      <w:r w:rsidR="00DA373D" w:rsidRPr="00ED05A5">
        <w:rPr>
          <w:rFonts w:cstheme="minorHAnsi"/>
          <w:sz w:val="24"/>
          <w:szCs w:val="24"/>
        </w:rPr>
        <w:t>2016</w:t>
      </w:r>
      <w:r w:rsidR="003B3AF9" w:rsidRPr="00ED05A5">
        <w:rPr>
          <w:rFonts w:cstheme="minorHAnsi"/>
          <w:sz w:val="24"/>
          <w:szCs w:val="24"/>
        </w:rPr>
        <w:t>,</w:t>
      </w:r>
      <w:r w:rsidR="00DA373D" w:rsidRPr="00ED05A5">
        <w:rPr>
          <w:rFonts w:cstheme="minorHAnsi"/>
          <w:sz w:val="24"/>
          <w:szCs w:val="24"/>
        </w:rPr>
        <w:t xml:space="preserve"> Clark</w:t>
      </w:r>
      <w:r w:rsidR="003B3AF9" w:rsidRPr="00ED05A5">
        <w:rPr>
          <w:rFonts w:cstheme="minorHAnsi"/>
          <w:sz w:val="24"/>
          <w:szCs w:val="24"/>
        </w:rPr>
        <w:t xml:space="preserve"> </w:t>
      </w:r>
      <w:r w:rsidR="00DA373D" w:rsidRPr="00ED05A5">
        <w:rPr>
          <w:rFonts w:cstheme="minorHAnsi"/>
          <w:sz w:val="24"/>
          <w:szCs w:val="24"/>
        </w:rPr>
        <w:t>2013).</w:t>
      </w:r>
      <w:r w:rsidR="00BE1159" w:rsidRPr="00ED05A5">
        <w:rPr>
          <w:rFonts w:cstheme="minorHAnsi"/>
          <w:sz w:val="24"/>
          <w:szCs w:val="24"/>
        </w:rPr>
        <w:t xml:space="preserve">  Patient’s receiving high-intensity chemotherapy regimens </w:t>
      </w:r>
      <w:r w:rsidR="005140F2" w:rsidRPr="00ED05A5">
        <w:rPr>
          <w:rFonts w:cstheme="minorHAnsi"/>
          <w:sz w:val="24"/>
          <w:szCs w:val="24"/>
        </w:rPr>
        <w:t xml:space="preserve">(haematological malignancies) </w:t>
      </w:r>
      <w:r w:rsidR="00BE1159" w:rsidRPr="00ED05A5">
        <w:rPr>
          <w:rFonts w:cstheme="minorHAnsi"/>
          <w:sz w:val="24"/>
          <w:szCs w:val="24"/>
        </w:rPr>
        <w:t>and/or undergoing haematopoietic stem cell transplantations are at increased risk of neutropenia</w:t>
      </w:r>
      <w:r w:rsidR="006809D6" w:rsidRPr="00ED05A5">
        <w:rPr>
          <w:rFonts w:cstheme="minorHAnsi"/>
          <w:sz w:val="24"/>
          <w:szCs w:val="24"/>
        </w:rPr>
        <w:t xml:space="preserve"> of 80% and more when </w:t>
      </w:r>
      <w:r w:rsidR="00CB1789" w:rsidRPr="00ED05A5">
        <w:rPr>
          <w:rFonts w:cstheme="minorHAnsi"/>
          <w:sz w:val="24"/>
          <w:szCs w:val="24"/>
        </w:rPr>
        <w:t xml:space="preserve">the incidence varies between 10% and 50% in people with solid </w:t>
      </w:r>
      <w:r w:rsidR="005140F2" w:rsidRPr="00ED05A5">
        <w:rPr>
          <w:rFonts w:cstheme="minorHAnsi"/>
          <w:sz w:val="24"/>
          <w:szCs w:val="24"/>
        </w:rPr>
        <w:t xml:space="preserve">tumours </w:t>
      </w:r>
      <w:r w:rsidR="00BE1159" w:rsidRPr="00ED05A5">
        <w:rPr>
          <w:rFonts w:cstheme="minorHAnsi"/>
          <w:sz w:val="24"/>
          <w:szCs w:val="24"/>
        </w:rPr>
        <w:t>and prolonged neutropenia (neutropenia lasting more than 7 days). Due to the increased risk and prolonged neutropenia, they are also at risk of fungal infections (</w:t>
      </w:r>
      <w:r w:rsidR="00636613" w:rsidRPr="00ED05A5">
        <w:rPr>
          <w:rFonts w:cstheme="minorHAnsi"/>
          <w:sz w:val="24"/>
          <w:szCs w:val="24"/>
        </w:rPr>
        <w:t xml:space="preserve">King, </w:t>
      </w:r>
      <w:proofErr w:type="spellStart"/>
      <w:r w:rsidR="00636613" w:rsidRPr="00ED05A5">
        <w:rPr>
          <w:rFonts w:cstheme="minorHAnsi"/>
          <w:sz w:val="24"/>
          <w:szCs w:val="24"/>
        </w:rPr>
        <w:t>Mcfadyen</w:t>
      </w:r>
      <w:proofErr w:type="spellEnd"/>
      <w:r w:rsidR="00636613" w:rsidRPr="00ED05A5">
        <w:rPr>
          <w:rFonts w:cstheme="minorHAnsi"/>
          <w:sz w:val="24"/>
          <w:szCs w:val="24"/>
        </w:rPr>
        <w:t xml:space="preserve"> and Iles 202</w:t>
      </w:r>
      <w:r w:rsidR="003B3AF9" w:rsidRPr="00ED05A5">
        <w:rPr>
          <w:rFonts w:cstheme="minorHAnsi"/>
          <w:sz w:val="24"/>
          <w:szCs w:val="24"/>
        </w:rPr>
        <w:t>1,</w:t>
      </w:r>
      <w:r w:rsidR="002D1004" w:rsidRPr="00ED05A5">
        <w:rPr>
          <w:rFonts w:cstheme="minorHAnsi"/>
          <w:sz w:val="24"/>
          <w:szCs w:val="24"/>
        </w:rPr>
        <w:t xml:space="preserve"> </w:t>
      </w:r>
      <w:r w:rsidR="00BE1159" w:rsidRPr="00ED05A5">
        <w:rPr>
          <w:rFonts w:cstheme="minorHAnsi"/>
          <w:sz w:val="24"/>
          <w:szCs w:val="24"/>
        </w:rPr>
        <w:t>Kochanek 2019</w:t>
      </w:r>
      <w:r w:rsidR="003B3AF9" w:rsidRPr="00ED05A5">
        <w:rPr>
          <w:rFonts w:cstheme="minorHAnsi"/>
          <w:sz w:val="24"/>
          <w:szCs w:val="24"/>
        </w:rPr>
        <w:t>,</w:t>
      </w:r>
      <w:r w:rsidR="00BE1159" w:rsidRPr="00ED05A5">
        <w:rPr>
          <w:rFonts w:cstheme="minorHAnsi"/>
          <w:sz w:val="24"/>
          <w:szCs w:val="24"/>
        </w:rPr>
        <w:t xml:space="preserve"> White 2017</w:t>
      </w:r>
      <w:r w:rsidR="003B3AF9" w:rsidRPr="00ED05A5">
        <w:rPr>
          <w:rFonts w:cstheme="minorHAnsi"/>
          <w:sz w:val="24"/>
          <w:szCs w:val="24"/>
        </w:rPr>
        <w:t>,</w:t>
      </w:r>
      <w:r w:rsidR="00BE1159" w:rsidRPr="00ED05A5">
        <w:rPr>
          <w:rFonts w:cstheme="minorHAnsi"/>
          <w:sz w:val="24"/>
          <w:szCs w:val="24"/>
        </w:rPr>
        <w:t xml:space="preserve"> Clarke 2013</w:t>
      </w:r>
      <w:r w:rsidR="003B3AF9" w:rsidRPr="00ED05A5">
        <w:rPr>
          <w:rFonts w:cstheme="minorHAnsi"/>
          <w:sz w:val="24"/>
          <w:szCs w:val="24"/>
        </w:rPr>
        <w:t>,</w:t>
      </w:r>
      <w:r w:rsidR="007A186F" w:rsidRPr="00ED05A5">
        <w:rPr>
          <w:rFonts w:cstheme="minorHAnsi"/>
          <w:sz w:val="24"/>
          <w:szCs w:val="24"/>
        </w:rPr>
        <w:t xml:space="preserve"> NICE 2012</w:t>
      </w:r>
      <w:r w:rsidR="00BE1159" w:rsidRPr="00ED05A5">
        <w:rPr>
          <w:rFonts w:cstheme="minorHAnsi"/>
          <w:sz w:val="24"/>
          <w:szCs w:val="24"/>
        </w:rPr>
        <w:t>).</w:t>
      </w:r>
      <w:r w:rsidR="00DA373D" w:rsidRPr="00ED05A5">
        <w:rPr>
          <w:rFonts w:cstheme="minorHAnsi"/>
          <w:sz w:val="24"/>
          <w:szCs w:val="24"/>
        </w:rPr>
        <w:t xml:space="preserve"> </w:t>
      </w:r>
    </w:p>
    <w:p w14:paraId="1F8FF4DB" w14:textId="79BD6808" w:rsidR="00182E87" w:rsidRPr="00ED05A5" w:rsidRDefault="00DE4FA7" w:rsidP="00081A92">
      <w:pPr>
        <w:spacing w:line="240" w:lineRule="auto"/>
        <w:rPr>
          <w:rFonts w:cstheme="minorHAnsi"/>
          <w:sz w:val="24"/>
          <w:szCs w:val="24"/>
        </w:rPr>
      </w:pPr>
      <w:r w:rsidRPr="00ED05A5">
        <w:rPr>
          <w:rFonts w:cstheme="minorHAnsi"/>
          <w:sz w:val="24"/>
          <w:szCs w:val="24"/>
        </w:rPr>
        <w:t xml:space="preserve">Patients with </w:t>
      </w:r>
      <w:r w:rsidR="008578C6" w:rsidRPr="00ED05A5">
        <w:rPr>
          <w:rFonts w:cstheme="minorHAnsi"/>
          <w:sz w:val="24"/>
          <w:szCs w:val="24"/>
        </w:rPr>
        <w:t>NS</w:t>
      </w:r>
      <w:r w:rsidRPr="00ED05A5">
        <w:rPr>
          <w:rFonts w:cstheme="minorHAnsi"/>
          <w:sz w:val="24"/>
          <w:szCs w:val="24"/>
        </w:rPr>
        <w:t xml:space="preserve"> normally fall into one of three categories</w:t>
      </w:r>
      <w:r w:rsidR="008A6FD6" w:rsidRPr="00ED05A5">
        <w:rPr>
          <w:rFonts w:cstheme="minorHAnsi"/>
          <w:sz w:val="24"/>
          <w:szCs w:val="24"/>
        </w:rPr>
        <w:t>:</w:t>
      </w:r>
      <w:r w:rsidR="002D1004" w:rsidRPr="00ED05A5">
        <w:rPr>
          <w:rFonts w:cstheme="minorHAnsi"/>
          <w:sz w:val="24"/>
          <w:szCs w:val="24"/>
        </w:rPr>
        <w:t xml:space="preserve"> those wi</w:t>
      </w:r>
      <w:r w:rsidR="00951D79" w:rsidRPr="00ED05A5">
        <w:rPr>
          <w:rFonts w:cstheme="minorHAnsi"/>
          <w:sz w:val="24"/>
          <w:szCs w:val="24"/>
        </w:rPr>
        <w:t xml:space="preserve">th </w:t>
      </w:r>
      <w:r w:rsidR="005739FE" w:rsidRPr="00ED05A5">
        <w:rPr>
          <w:rFonts w:cstheme="minorHAnsi"/>
          <w:sz w:val="24"/>
          <w:szCs w:val="24"/>
        </w:rPr>
        <w:t>microbiologically</w:t>
      </w:r>
      <w:r w:rsidR="00951D79" w:rsidRPr="00ED05A5">
        <w:rPr>
          <w:rFonts w:cstheme="minorHAnsi"/>
          <w:sz w:val="24"/>
          <w:szCs w:val="24"/>
        </w:rPr>
        <w:t xml:space="preserve"> documented infection when both source and pathogen are known</w:t>
      </w:r>
      <w:r w:rsidR="001D7CD0" w:rsidRPr="00ED05A5">
        <w:rPr>
          <w:rFonts w:cstheme="minorHAnsi"/>
          <w:sz w:val="24"/>
          <w:szCs w:val="24"/>
        </w:rPr>
        <w:t>;</w:t>
      </w:r>
      <w:r w:rsidR="005739FE" w:rsidRPr="00ED05A5">
        <w:rPr>
          <w:rFonts w:cstheme="minorHAnsi"/>
          <w:sz w:val="24"/>
          <w:szCs w:val="24"/>
        </w:rPr>
        <w:t xml:space="preserve"> pathogen not known </w:t>
      </w:r>
      <w:r w:rsidR="006106A9" w:rsidRPr="00ED05A5">
        <w:rPr>
          <w:rFonts w:cstheme="minorHAnsi"/>
          <w:sz w:val="24"/>
          <w:szCs w:val="24"/>
        </w:rPr>
        <w:t>and fever of unknown origin (where neither source nor a pathogen is found)</w:t>
      </w:r>
      <w:r w:rsidR="00A7077E" w:rsidRPr="00ED05A5">
        <w:rPr>
          <w:rFonts w:cstheme="minorHAnsi"/>
          <w:sz w:val="24"/>
          <w:szCs w:val="24"/>
        </w:rPr>
        <w:t xml:space="preserve"> (King, </w:t>
      </w:r>
      <w:proofErr w:type="spellStart"/>
      <w:r w:rsidR="00A7077E" w:rsidRPr="00ED05A5">
        <w:rPr>
          <w:rFonts w:cstheme="minorHAnsi"/>
          <w:sz w:val="24"/>
          <w:szCs w:val="24"/>
        </w:rPr>
        <w:t>Mcfadyen</w:t>
      </w:r>
      <w:proofErr w:type="spellEnd"/>
      <w:r w:rsidR="00A7077E" w:rsidRPr="00ED05A5">
        <w:rPr>
          <w:rFonts w:cstheme="minorHAnsi"/>
          <w:sz w:val="24"/>
          <w:szCs w:val="24"/>
        </w:rPr>
        <w:t xml:space="preserve"> and Iles 2021</w:t>
      </w:r>
      <w:r w:rsidR="003B3AF9" w:rsidRPr="00ED05A5">
        <w:rPr>
          <w:rFonts w:cstheme="minorHAnsi"/>
          <w:sz w:val="24"/>
          <w:szCs w:val="24"/>
        </w:rPr>
        <w:t>,</w:t>
      </w:r>
      <w:r w:rsidR="007A186F" w:rsidRPr="00ED05A5">
        <w:rPr>
          <w:rFonts w:cstheme="minorHAnsi"/>
          <w:sz w:val="24"/>
          <w:szCs w:val="24"/>
        </w:rPr>
        <w:t xml:space="preserve"> </w:t>
      </w:r>
      <w:r w:rsidR="00A7077E" w:rsidRPr="00ED05A5">
        <w:rPr>
          <w:rFonts w:cstheme="minorHAnsi"/>
          <w:sz w:val="24"/>
          <w:szCs w:val="24"/>
        </w:rPr>
        <w:t>The Immunocompromised Host Society 1990).</w:t>
      </w:r>
    </w:p>
    <w:p w14:paraId="3BF2A439" w14:textId="604F5495" w:rsidR="00E73064" w:rsidRPr="00ED05A5" w:rsidRDefault="00DE4FA7" w:rsidP="00081A92">
      <w:pPr>
        <w:spacing w:line="240" w:lineRule="auto"/>
        <w:rPr>
          <w:rFonts w:cstheme="minorHAnsi"/>
          <w:sz w:val="24"/>
          <w:szCs w:val="24"/>
        </w:rPr>
      </w:pPr>
      <w:r w:rsidRPr="00ED05A5">
        <w:rPr>
          <w:rFonts w:cstheme="minorHAnsi"/>
          <w:sz w:val="24"/>
          <w:szCs w:val="24"/>
        </w:rPr>
        <w:lastRenderedPageBreak/>
        <w:t xml:space="preserve">The best </w:t>
      </w:r>
      <w:r w:rsidR="00B40567" w:rsidRPr="00ED05A5">
        <w:rPr>
          <w:rFonts w:cstheme="minorHAnsi"/>
          <w:sz w:val="24"/>
          <w:szCs w:val="24"/>
        </w:rPr>
        <w:t>practice</w:t>
      </w:r>
      <w:r w:rsidR="006E2C4B" w:rsidRPr="00ED05A5">
        <w:rPr>
          <w:rFonts w:cstheme="minorHAnsi"/>
          <w:sz w:val="24"/>
          <w:szCs w:val="24"/>
        </w:rPr>
        <w:t xml:space="preserve"> is the </w:t>
      </w:r>
      <w:r w:rsidR="00805E11" w:rsidRPr="00ED05A5">
        <w:rPr>
          <w:rFonts w:cstheme="minorHAnsi"/>
          <w:sz w:val="24"/>
          <w:szCs w:val="24"/>
        </w:rPr>
        <w:t>administration</w:t>
      </w:r>
      <w:r w:rsidR="006E2C4B" w:rsidRPr="00ED05A5">
        <w:rPr>
          <w:rFonts w:cstheme="minorHAnsi"/>
          <w:sz w:val="24"/>
          <w:szCs w:val="24"/>
        </w:rPr>
        <w:t xml:space="preserve"> of the an</w:t>
      </w:r>
      <w:r w:rsidR="00805E11" w:rsidRPr="00ED05A5">
        <w:rPr>
          <w:rFonts w:cstheme="minorHAnsi"/>
          <w:sz w:val="24"/>
          <w:szCs w:val="24"/>
        </w:rPr>
        <w:t>tibiotic within the golden hour. T</w:t>
      </w:r>
      <w:r w:rsidRPr="00ED05A5">
        <w:rPr>
          <w:rFonts w:cstheme="minorHAnsi"/>
          <w:sz w:val="24"/>
          <w:szCs w:val="24"/>
        </w:rPr>
        <w:t>he patient presenting with suspected NS needs to receive empirical antibiotics within an hour of presentation, known as the ‘door to needle time’ (NCAG 2009)</w:t>
      </w:r>
      <w:r w:rsidR="00811FFD" w:rsidRPr="00ED05A5">
        <w:rPr>
          <w:rFonts w:cstheme="minorHAnsi"/>
          <w:sz w:val="24"/>
          <w:szCs w:val="24"/>
        </w:rPr>
        <w:t xml:space="preserve">. </w:t>
      </w:r>
      <w:r w:rsidR="00B40567" w:rsidRPr="00ED05A5">
        <w:rPr>
          <w:rFonts w:cstheme="minorHAnsi"/>
          <w:sz w:val="24"/>
          <w:szCs w:val="24"/>
        </w:rPr>
        <w:t>A</w:t>
      </w:r>
      <w:r w:rsidRPr="00ED05A5">
        <w:rPr>
          <w:rFonts w:cstheme="minorHAnsi"/>
          <w:sz w:val="24"/>
          <w:szCs w:val="24"/>
        </w:rPr>
        <w:t xml:space="preserve">s </w:t>
      </w:r>
      <w:r w:rsidR="00B40567" w:rsidRPr="00ED05A5">
        <w:rPr>
          <w:rFonts w:cstheme="minorHAnsi"/>
          <w:sz w:val="24"/>
          <w:szCs w:val="24"/>
        </w:rPr>
        <w:t>noted,</w:t>
      </w:r>
      <w:r w:rsidRPr="00ED05A5">
        <w:rPr>
          <w:rFonts w:cstheme="minorHAnsi"/>
          <w:sz w:val="24"/>
          <w:szCs w:val="24"/>
        </w:rPr>
        <w:t xml:space="preserve"> mortality from chemotherapy-induced sepsis ranges from 2 to 21%, and mortality from sepsis (all causes) is 30% rising to 50% for septic shock (Oakley et al</w:t>
      </w:r>
      <w:r w:rsidR="003B3AF9" w:rsidRPr="00ED05A5">
        <w:rPr>
          <w:rFonts w:cstheme="minorHAnsi"/>
          <w:sz w:val="24"/>
          <w:szCs w:val="24"/>
        </w:rPr>
        <w:t>.</w:t>
      </w:r>
      <w:r w:rsidRPr="00ED05A5">
        <w:rPr>
          <w:rFonts w:cstheme="minorHAnsi"/>
          <w:sz w:val="24"/>
          <w:szCs w:val="24"/>
        </w:rPr>
        <w:t xml:space="preserve"> 2016)</w:t>
      </w:r>
      <w:r w:rsidR="00AB6607" w:rsidRPr="00ED05A5">
        <w:rPr>
          <w:rFonts w:cstheme="minorHAnsi"/>
          <w:sz w:val="24"/>
          <w:szCs w:val="24"/>
        </w:rPr>
        <w:t xml:space="preserve">. </w:t>
      </w:r>
      <w:r w:rsidR="00262A1E" w:rsidRPr="00ED05A5">
        <w:rPr>
          <w:rFonts w:cstheme="minorHAnsi"/>
          <w:sz w:val="24"/>
          <w:szCs w:val="24"/>
        </w:rPr>
        <w:t>A</w:t>
      </w:r>
      <w:r w:rsidRPr="00ED05A5">
        <w:rPr>
          <w:rFonts w:cstheme="minorHAnsi"/>
          <w:sz w:val="24"/>
          <w:szCs w:val="24"/>
        </w:rPr>
        <w:t>uthors acknowledged each hour of intravenous (IV) antibiotic delay further increases mortality by 8% and sepsis is a time-dependent medical emergency, which early administration of empirical IV antibiotics can reduce the mortality rate (Gaieski et al</w:t>
      </w:r>
      <w:r w:rsidR="003B3AF9" w:rsidRPr="00ED05A5">
        <w:rPr>
          <w:rFonts w:cstheme="minorHAnsi"/>
          <w:sz w:val="24"/>
          <w:szCs w:val="24"/>
        </w:rPr>
        <w:t>.</w:t>
      </w:r>
      <w:r w:rsidRPr="00ED05A5">
        <w:rPr>
          <w:rFonts w:cstheme="minorHAnsi"/>
          <w:sz w:val="24"/>
          <w:szCs w:val="24"/>
        </w:rPr>
        <w:t xml:space="preserve"> 2010</w:t>
      </w:r>
      <w:r w:rsidR="003B3AF9" w:rsidRPr="00ED05A5">
        <w:rPr>
          <w:rFonts w:cstheme="minorHAnsi"/>
          <w:sz w:val="24"/>
          <w:szCs w:val="24"/>
        </w:rPr>
        <w:t>, Dellinger et al. 2008,</w:t>
      </w:r>
      <w:r w:rsidRPr="00ED05A5">
        <w:rPr>
          <w:rFonts w:cstheme="minorHAnsi"/>
          <w:sz w:val="24"/>
          <w:szCs w:val="24"/>
        </w:rPr>
        <w:t xml:space="preserve"> </w:t>
      </w:r>
      <w:r w:rsidR="003B3AF9" w:rsidRPr="00ED05A5">
        <w:rPr>
          <w:rFonts w:cstheme="minorHAnsi"/>
          <w:sz w:val="24"/>
          <w:szCs w:val="24"/>
        </w:rPr>
        <w:t xml:space="preserve">Lin et al. 2008, </w:t>
      </w:r>
      <w:r w:rsidRPr="00ED05A5">
        <w:rPr>
          <w:rFonts w:cstheme="minorHAnsi"/>
          <w:sz w:val="24"/>
          <w:szCs w:val="24"/>
        </w:rPr>
        <w:t>Zukermann et al</w:t>
      </w:r>
      <w:r w:rsidR="003B3AF9" w:rsidRPr="00ED05A5">
        <w:rPr>
          <w:rFonts w:cstheme="minorHAnsi"/>
          <w:sz w:val="24"/>
          <w:szCs w:val="24"/>
        </w:rPr>
        <w:t>.</w:t>
      </w:r>
      <w:r w:rsidRPr="00ED05A5">
        <w:rPr>
          <w:rFonts w:cstheme="minorHAnsi"/>
          <w:sz w:val="24"/>
          <w:szCs w:val="24"/>
        </w:rPr>
        <w:t xml:space="preserve"> 2008</w:t>
      </w:r>
      <w:r w:rsidR="003B3AF9" w:rsidRPr="00ED05A5">
        <w:rPr>
          <w:rFonts w:cstheme="minorHAnsi"/>
          <w:sz w:val="24"/>
          <w:szCs w:val="24"/>
        </w:rPr>
        <w:t xml:space="preserve">, </w:t>
      </w:r>
      <w:r w:rsidRPr="00ED05A5">
        <w:rPr>
          <w:rFonts w:cstheme="minorHAnsi"/>
          <w:sz w:val="24"/>
          <w:szCs w:val="24"/>
        </w:rPr>
        <w:t>Gross 2006</w:t>
      </w:r>
      <w:r w:rsidR="003B3AF9" w:rsidRPr="00ED05A5">
        <w:rPr>
          <w:rFonts w:cstheme="minorHAnsi"/>
          <w:sz w:val="24"/>
          <w:szCs w:val="24"/>
        </w:rPr>
        <w:t xml:space="preserve">, Kumar et al. 2006, </w:t>
      </w:r>
      <w:r w:rsidRPr="00ED05A5">
        <w:rPr>
          <w:rFonts w:cstheme="minorHAnsi"/>
          <w:sz w:val="24"/>
          <w:szCs w:val="24"/>
        </w:rPr>
        <w:t xml:space="preserve">Larche et al. 2003). Continuing with the </w:t>
      </w:r>
      <w:r w:rsidR="00EF5EBD" w:rsidRPr="00ED05A5">
        <w:rPr>
          <w:rFonts w:cstheme="minorHAnsi"/>
          <w:sz w:val="24"/>
          <w:szCs w:val="24"/>
        </w:rPr>
        <w:t>controversy is the choice of antibiotic</w:t>
      </w:r>
      <w:r w:rsidR="00362138" w:rsidRPr="00ED05A5">
        <w:rPr>
          <w:rFonts w:cstheme="minorHAnsi"/>
          <w:sz w:val="24"/>
          <w:szCs w:val="24"/>
        </w:rPr>
        <w:t xml:space="preserve"> therapy and the duration of the course. </w:t>
      </w:r>
      <w:r w:rsidRPr="00ED05A5">
        <w:rPr>
          <w:rFonts w:cstheme="minorHAnsi"/>
          <w:sz w:val="24"/>
          <w:szCs w:val="24"/>
        </w:rPr>
        <w:t xml:space="preserve">Within the current practice, the antibiotic of choice for the treatment of NS has been a board-spectrum ẞ-lactam antibiotic such as </w:t>
      </w:r>
      <w:r w:rsidR="007D663F" w:rsidRPr="00ED05A5">
        <w:rPr>
          <w:rFonts w:cstheme="minorHAnsi"/>
          <w:sz w:val="24"/>
          <w:szCs w:val="24"/>
        </w:rPr>
        <w:t>P</w:t>
      </w:r>
      <w:r w:rsidRPr="00ED05A5">
        <w:rPr>
          <w:rFonts w:cstheme="minorHAnsi"/>
          <w:sz w:val="24"/>
          <w:szCs w:val="24"/>
        </w:rPr>
        <w:t>iperacillin/</w:t>
      </w:r>
      <w:r w:rsidR="007D663F" w:rsidRPr="00ED05A5">
        <w:rPr>
          <w:rFonts w:cstheme="minorHAnsi"/>
          <w:sz w:val="24"/>
          <w:szCs w:val="24"/>
        </w:rPr>
        <w:t>T</w:t>
      </w:r>
      <w:r w:rsidRPr="00ED05A5">
        <w:rPr>
          <w:rFonts w:cstheme="minorHAnsi"/>
          <w:sz w:val="24"/>
          <w:szCs w:val="24"/>
        </w:rPr>
        <w:t xml:space="preserve">azobactam and </w:t>
      </w:r>
      <w:r w:rsidR="007D663F" w:rsidRPr="00ED05A5">
        <w:rPr>
          <w:rFonts w:cstheme="minorHAnsi"/>
          <w:sz w:val="24"/>
          <w:szCs w:val="24"/>
        </w:rPr>
        <w:t>M</w:t>
      </w:r>
      <w:r w:rsidRPr="00ED05A5">
        <w:rPr>
          <w:rFonts w:cstheme="minorHAnsi"/>
          <w:sz w:val="24"/>
          <w:szCs w:val="24"/>
        </w:rPr>
        <w:t xml:space="preserve">eropenem, in those who are penicillin-allergic treated with a quinolone or a combination therapy of </w:t>
      </w:r>
      <w:r w:rsidR="007D663F" w:rsidRPr="00ED05A5">
        <w:rPr>
          <w:rFonts w:cstheme="minorHAnsi"/>
          <w:sz w:val="24"/>
          <w:szCs w:val="24"/>
        </w:rPr>
        <w:t>A</w:t>
      </w:r>
      <w:r w:rsidRPr="00ED05A5">
        <w:rPr>
          <w:rFonts w:cstheme="minorHAnsi"/>
          <w:sz w:val="24"/>
          <w:szCs w:val="24"/>
        </w:rPr>
        <w:t>ztreonam and Vancomycin (</w:t>
      </w:r>
      <w:r w:rsidR="000A4820" w:rsidRPr="00ED05A5">
        <w:rPr>
          <w:rFonts w:cstheme="minorHAnsi"/>
          <w:sz w:val="24"/>
          <w:szCs w:val="24"/>
        </w:rPr>
        <w:t>NICE</w:t>
      </w:r>
      <w:r w:rsidR="003B3AF9" w:rsidRPr="00ED05A5">
        <w:rPr>
          <w:rFonts w:cstheme="minorHAnsi"/>
          <w:sz w:val="24"/>
          <w:szCs w:val="24"/>
        </w:rPr>
        <w:t xml:space="preserve"> </w:t>
      </w:r>
      <w:r w:rsidR="000A4820" w:rsidRPr="00ED05A5">
        <w:rPr>
          <w:rFonts w:cstheme="minorHAnsi"/>
          <w:sz w:val="24"/>
          <w:szCs w:val="24"/>
        </w:rPr>
        <w:t>2012</w:t>
      </w:r>
      <w:r w:rsidR="003B3AF9" w:rsidRPr="00ED05A5">
        <w:rPr>
          <w:rFonts w:cstheme="minorHAnsi"/>
          <w:sz w:val="24"/>
          <w:szCs w:val="24"/>
        </w:rPr>
        <w:t>,</w:t>
      </w:r>
      <w:r w:rsidR="000A4820" w:rsidRPr="00ED05A5">
        <w:rPr>
          <w:rFonts w:cstheme="minorHAnsi"/>
          <w:sz w:val="24"/>
          <w:szCs w:val="24"/>
        </w:rPr>
        <w:t xml:space="preserve"> </w:t>
      </w:r>
      <w:r w:rsidR="009644CA" w:rsidRPr="00ED05A5">
        <w:rPr>
          <w:rFonts w:cstheme="minorHAnsi"/>
          <w:sz w:val="24"/>
          <w:szCs w:val="24"/>
        </w:rPr>
        <w:t>B</w:t>
      </w:r>
      <w:r w:rsidR="008578C6" w:rsidRPr="00ED05A5">
        <w:rPr>
          <w:rFonts w:cstheme="minorHAnsi"/>
          <w:sz w:val="24"/>
          <w:szCs w:val="24"/>
        </w:rPr>
        <w:t xml:space="preserve">oin, 2022, </w:t>
      </w:r>
      <w:proofErr w:type="spellStart"/>
      <w:r w:rsidRPr="00ED05A5">
        <w:rPr>
          <w:rFonts w:cstheme="minorHAnsi"/>
          <w:sz w:val="24"/>
          <w:szCs w:val="24"/>
        </w:rPr>
        <w:t>Lortholary</w:t>
      </w:r>
      <w:proofErr w:type="spellEnd"/>
      <w:r w:rsidRPr="00ED05A5">
        <w:rPr>
          <w:rFonts w:cstheme="minorHAnsi"/>
          <w:sz w:val="24"/>
          <w:szCs w:val="24"/>
        </w:rPr>
        <w:t xml:space="preserve"> 2008</w:t>
      </w:r>
      <w:r w:rsidR="003B3AF9" w:rsidRPr="00ED05A5">
        <w:rPr>
          <w:rFonts w:cstheme="minorHAnsi"/>
          <w:sz w:val="24"/>
          <w:szCs w:val="24"/>
        </w:rPr>
        <w:t>,</w:t>
      </w:r>
      <w:r w:rsidR="000A4820" w:rsidRPr="00ED05A5">
        <w:rPr>
          <w:rFonts w:cstheme="minorHAnsi"/>
          <w:sz w:val="24"/>
          <w:szCs w:val="24"/>
        </w:rPr>
        <w:t xml:space="preserve"> Bal et al. 2007</w:t>
      </w:r>
      <w:r w:rsidRPr="00ED05A5">
        <w:rPr>
          <w:rFonts w:cstheme="minorHAnsi"/>
          <w:sz w:val="24"/>
          <w:szCs w:val="24"/>
        </w:rPr>
        <w:t>)</w:t>
      </w:r>
      <w:r w:rsidR="000A4820" w:rsidRPr="00ED05A5">
        <w:rPr>
          <w:rFonts w:cstheme="minorHAnsi"/>
          <w:sz w:val="24"/>
          <w:szCs w:val="24"/>
        </w:rPr>
        <w:t>.</w:t>
      </w:r>
    </w:p>
    <w:p w14:paraId="31330F10" w14:textId="553A5116" w:rsidR="00E73064" w:rsidRPr="00ED05A5" w:rsidRDefault="00DE4FA7" w:rsidP="00081A92">
      <w:pPr>
        <w:spacing w:line="240" w:lineRule="auto"/>
        <w:rPr>
          <w:rFonts w:cstheme="minorHAnsi"/>
          <w:sz w:val="24"/>
          <w:szCs w:val="24"/>
        </w:rPr>
      </w:pPr>
      <w:r w:rsidRPr="00ED05A5">
        <w:rPr>
          <w:rFonts w:cstheme="minorHAnsi"/>
          <w:sz w:val="24"/>
          <w:szCs w:val="24"/>
        </w:rPr>
        <w:t xml:space="preserve">NICE guidelines </w:t>
      </w:r>
      <w:r w:rsidR="007A7C2C" w:rsidRPr="00ED05A5">
        <w:rPr>
          <w:rFonts w:cstheme="minorHAnsi"/>
          <w:sz w:val="24"/>
          <w:szCs w:val="24"/>
        </w:rPr>
        <w:t>recommend</w:t>
      </w:r>
      <w:r w:rsidRPr="00ED05A5">
        <w:rPr>
          <w:rFonts w:cstheme="minorHAnsi"/>
          <w:sz w:val="24"/>
          <w:szCs w:val="24"/>
        </w:rPr>
        <w:t xml:space="preserve"> the Multinational Association for Supportive Care in Cancer (</w:t>
      </w:r>
      <w:r w:rsidR="007A7C2C" w:rsidRPr="00ED05A5">
        <w:rPr>
          <w:rFonts w:cstheme="minorHAnsi"/>
          <w:sz w:val="24"/>
          <w:szCs w:val="24"/>
        </w:rPr>
        <w:t>MASCC)</w:t>
      </w:r>
      <w:r w:rsidRPr="00ED05A5">
        <w:rPr>
          <w:rFonts w:cstheme="minorHAnsi"/>
          <w:sz w:val="24"/>
          <w:szCs w:val="24"/>
        </w:rPr>
        <w:t xml:space="preserve"> risk index score</w:t>
      </w:r>
      <w:r w:rsidR="007D663F" w:rsidRPr="00ED05A5">
        <w:rPr>
          <w:rFonts w:cstheme="minorHAnsi"/>
          <w:sz w:val="24"/>
          <w:szCs w:val="24"/>
        </w:rPr>
        <w:t>, should be used in the assessment</w:t>
      </w:r>
      <w:r w:rsidR="00187681" w:rsidRPr="00ED05A5">
        <w:rPr>
          <w:rFonts w:cstheme="minorHAnsi"/>
          <w:sz w:val="24"/>
          <w:szCs w:val="24"/>
        </w:rPr>
        <w:t xml:space="preserve">. </w:t>
      </w:r>
      <w:r w:rsidR="00FA2C5F" w:rsidRPr="00ED05A5">
        <w:rPr>
          <w:rFonts w:cstheme="minorHAnsi"/>
          <w:sz w:val="24"/>
          <w:szCs w:val="24"/>
        </w:rPr>
        <w:t>This should be</w:t>
      </w:r>
      <w:r w:rsidRPr="00ED05A5">
        <w:rPr>
          <w:rFonts w:cstheme="minorHAnsi"/>
          <w:sz w:val="24"/>
          <w:szCs w:val="24"/>
        </w:rPr>
        <w:t xml:space="preserve"> completed</w:t>
      </w:r>
      <w:r w:rsidR="00FA2C5F" w:rsidRPr="00ED05A5">
        <w:rPr>
          <w:rFonts w:cstheme="minorHAnsi"/>
          <w:sz w:val="24"/>
          <w:szCs w:val="24"/>
        </w:rPr>
        <w:t xml:space="preserve"> by the </w:t>
      </w:r>
      <w:r w:rsidR="008D5FE5" w:rsidRPr="00ED05A5">
        <w:rPr>
          <w:rFonts w:cstheme="minorHAnsi"/>
          <w:sz w:val="24"/>
          <w:szCs w:val="24"/>
        </w:rPr>
        <w:t>medical team</w:t>
      </w:r>
      <w:r w:rsidRPr="00ED05A5">
        <w:rPr>
          <w:rFonts w:cstheme="minorHAnsi"/>
          <w:sz w:val="24"/>
          <w:szCs w:val="24"/>
        </w:rPr>
        <w:t xml:space="preserve"> as part of the assessment as best practice for the management and treatment of suspected NS (NICE 2012). This index tool is a weighted scoring system of seven clinical characteristics assessed at presentation</w:t>
      </w:r>
      <w:r w:rsidR="000A3851" w:rsidRPr="00ED05A5">
        <w:rPr>
          <w:rFonts w:cstheme="minorHAnsi"/>
          <w:sz w:val="24"/>
          <w:szCs w:val="24"/>
        </w:rPr>
        <w:t xml:space="preserve">. </w:t>
      </w:r>
      <w:r w:rsidRPr="00ED05A5">
        <w:rPr>
          <w:rFonts w:cstheme="minorHAnsi"/>
          <w:sz w:val="24"/>
          <w:szCs w:val="24"/>
        </w:rPr>
        <w:t>A score of more than 21</w:t>
      </w:r>
      <w:r w:rsidR="003F1BB6" w:rsidRPr="00ED05A5">
        <w:rPr>
          <w:rFonts w:cstheme="minorHAnsi"/>
          <w:sz w:val="24"/>
          <w:szCs w:val="24"/>
        </w:rPr>
        <w:t>, would indicate a lower risk and could potentially be converted to oral antibiotics after the administration of IV antibiotics. T</w:t>
      </w:r>
      <w:r w:rsidRPr="00ED05A5">
        <w:rPr>
          <w:rFonts w:cstheme="minorHAnsi"/>
          <w:sz w:val="24"/>
          <w:szCs w:val="24"/>
        </w:rPr>
        <w:t xml:space="preserve">hose who score less than 21 are at </w:t>
      </w:r>
      <w:r w:rsidR="009621A1" w:rsidRPr="00ED05A5">
        <w:rPr>
          <w:rFonts w:cstheme="minorHAnsi"/>
          <w:sz w:val="24"/>
          <w:szCs w:val="24"/>
        </w:rPr>
        <w:t>substantial risk</w:t>
      </w:r>
      <w:r w:rsidRPr="00ED05A5">
        <w:rPr>
          <w:rFonts w:cstheme="minorHAnsi"/>
          <w:sz w:val="24"/>
          <w:szCs w:val="24"/>
        </w:rPr>
        <w:t xml:space="preserve"> of developing serious medical complications and</w:t>
      </w:r>
      <w:r w:rsidR="003F1BB6" w:rsidRPr="00ED05A5">
        <w:rPr>
          <w:rFonts w:cstheme="minorHAnsi"/>
          <w:sz w:val="24"/>
          <w:szCs w:val="24"/>
        </w:rPr>
        <w:t xml:space="preserve"> should continue to</w:t>
      </w:r>
      <w:r w:rsidRPr="00ED05A5">
        <w:rPr>
          <w:rFonts w:cstheme="minorHAnsi"/>
          <w:sz w:val="24"/>
          <w:szCs w:val="24"/>
        </w:rPr>
        <w:t xml:space="preserve"> receive IV antibiotics (de Naurious et al. 2010</w:t>
      </w:r>
      <w:r w:rsidR="003B3AF9" w:rsidRPr="00ED05A5">
        <w:rPr>
          <w:rFonts w:cstheme="minorHAnsi"/>
          <w:sz w:val="24"/>
          <w:szCs w:val="24"/>
        </w:rPr>
        <w:t>, Innes et al. 2008, Klastersky et al. 2000</w:t>
      </w:r>
      <w:r w:rsidRPr="00ED05A5">
        <w:rPr>
          <w:rFonts w:cstheme="minorHAnsi"/>
          <w:sz w:val="24"/>
          <w:szCs w:val="24"/>
        </w:rPr>
        <w:t xml:space="preserve">).  </w:t>
      </w:r>
      <w:r w:rsidR="002158DB" w:rsidRPr="00ED05A5">
        <w:rPr>
          <w:rFonts w:cstheme="minorHAnsi"/>
          <w:sz w:val="24"/>
          <w:szCs w:val="24"/>
        </w:rPr>
        <w:t xml:space="preserve">However, </w:t>
      </w:r>
      <w:r w:rsidR="00182760" w:rsidRPr="00ED05A5">
        <w:rPr>
          <w:rFonts w:cstheme="minorHAnsi"/>
          <w:sz w:val="24"/>
          <w:szCs w:val="24"/>
        </w:rPr>
        <w:t xml:space="preserve">this is a tool to help aid clinical decisions </w:t>
      </w:r>
      <w:r w:rsidR="003F1BB6" w:rsidRPr="00ED05A5">
        <w:rPr>
          <w:rFonts w:cstheme="minorHAnsi"/>
          <w:sz w:val="24"/>
          <w:szCs w:val="24"/>
        </w:rPr>
        <w:t>and further antibiotics guidance should be in the discussion with the microbiologists and the acute oncology team.</w:t>
      </w:r>
    </w:p>
    <w:p w14:paraId="33206892" w14:textId="69E40F20" w:rsidR="00187681" w:rsidRPr="00ED05A5" w:rsidRDefault="00DE4FA7" w:rsidP="00081A92">
      <w:pPr>
        <w:spacing w:line="240" w:lineRule="auto"/>
        <w:rPr>
          <w:rFonts w:cstheme="minorHAnsi"/>
          <w:sz w:val="24"/>
          <w:szCs w:val="24"/>
        </w:rPr>
      </w:pPr>
      <w:r w:rsidRPr="00ED05A5">
        <w:rPr>
          <w:rFonts w:cstheme="minorHAnsi"/>
          <w:sz w:val="24"/>
          <w:szCs w:val="24"/>
        </w:rPr>
        <w:t>[</w:t>
      </w:r>
      <w:r w:rsidR="00ED05A5" w:rsidRPr="00ED05A5">
        <w:rPr>
          <w:rFonts w:cstheme="minorHAnsi"/>
          <w:sz w:val="24"/>
          <w:szCs w:val="24"/>
        </w:rPr>
        <w:t>MASCC]</w:t>
      </w:r>
    </w:p>
    <w:p w14:paraId="47F59EA7" w14:textId="37B47EB7" w:rsidR="008F0EEF" w:rsidRPr="00ED05A5" w:rsidRDefault="00DE4FA7" w:rsidP="00081A92">
      <w:pPr>
        <w:spacing w:line="240" w:lineRule="auto"/>
        <w:rPr>
          <w:rFonts w:cstheme="minorHAnsi"/>
          <w:sz w:val="24"/>
          <w:szCs w:val="24"/>
        </w:rPr>
      </w:pPr>
      <w:r w:rsidRPr="00ED05A5">
        <w:rPr>
          <w:rFonts w:cstheme="minorHAnsi"/>
          <w:sz w:val="24"/>
          <w:szCs w:val="24"/>
        </w:rPr>
        <w:t xml:space="preserve">A patient may present themselves to the emergency department, medical assessment unit </w:t>
      </w:r>
      <w:r w:rsidR="007C21D2" w:rsidRPr="00ED05A5">
        <w:rPr>
          <w:rFonts w:cstheme="minorHAnsi"/>
          <w:sz w:val="24"/>
          <w:szCs w:val="24"/>
        </w:rPr>
        <w:t xml:space="preserve">or designated area </w:t>
      </w:r>
      <w:r w:rsidR="007C6B8C" w:rsidRPr="00ED05A5">
        <w:rPr>
          <w:rFonts w:cstheme="minorHAnsi"/>
          <w:sz w:val="24"/>
          <w:szCs w:val="24"/>
        </w:rPr>
        <w:t xml:space="preserve">either being referred by calling the </w:t>
      </w:r>
      <w:r w:rsidR="00795385" w:rsidRPr="00ED05A5">
        <w:rPr>
          <w:rFonts w:cstheme="minorHAnsi"/>
          <w:sz w:val="24"/>
          <w:szCs w:val="24"/>
        </w:rPr>
        <w:t>c</w:t>
      </w:r>
      <w:r w:rsidR="007C6B8C" w:rsidRPr="00ED05A5">
        <w:rPr>
          <w:rFonts w:cstheme="minorHAnsi"/>
          <w:sz w:val="24"/>
          <w:szCs w:val="24"/>
        </w:rPr>
        <w:t>hemotherapy h</w:t>
      </w:r>
      <w:r w:rsidR="00465C83" w:rsidRPr="00ED05A5">
        <w:rPr>
          <w:rFonts w:cstheme="minorHAnsi"/>
          <w:sz w:val="24"/>
          <w:szCs w:val="24"/>
        </w:rPr>
        <w:t>elpline</w:t>
      </w:r>
      <w:r w:rsidR="007C6B8C" w:rsidRPr="00ED05A5">
        <w:rPr>
          <w:rFonts w:cstheme="minorHAnsi"/>
          <w:sz w:val="24"/>
          <w:szCs w:val="24"/>
        </w:rPr>
        <w:t xml:space="preserve"> or </w:t>
      </w:r>
      <w:r w:rsidR="0031190E" w:rsidRPr="00ED05A5">
        <w:rPr>
          <w:rFonts w:cstheme="minorHAnsi"/>
          <w:sz w:val="24"/>
          <w:szCs w:val="24"/>
        </w:rPr>
        <w:t>self-presenting</w:t>
      </w:r>
      <w:r w:rsidR="007C6B8C" w:rsidRPr="00ED05A5">
        <w:rPr>
          <w:rFonts w:cstheme="minorHAnsi"/>
          <w:sz w:val="24"/>
          <w:szCs w:val="24"/>
        </w:rPr>
        <w:t>. Those who call the helpline are t</w:t>
      </w:r>
      <w:r w:rsidR="00894C70" w:rsidRPr="00ED05A5">
        <w:rPr>
          <w:rFonts w:cstheme="minorHAnsi"/>
          <w:sz w:val="24"/>
          <w:szCs w:val="24"/>
        </w:rPr>
        <w:t xml:space="preserve">riaged using the </w:t>
      </w:r>
      <w:r w:rsidR="005049EC" w:rsidRPr="00ED05A5">
        <w:rPr>
          <w:rFonts w:cstheme="minorHAnsi"/>
          <w:sz w:val="24"/>
          <w:szCs w:val="24"/>
        </w:rPr>
        <w:t xml:space="preserve">UKONS 24 Hour triage </w:t>
      </w:r>
      <w:r w:rsidR="00465C83" w:rsidRPr="00ED05A5">
        <w:rPr>
          <w:rFonts w:cstheme="minorHAnsi"/>
          <w:sz w:val="24"/>
          <w:szCs w:val="24"/>
        </w:rPr>
        <w:t>tool. This</w:t>
      </w:r>
      <w:r w:rsidR="00894C70" w:rsidRPr="00ED05A5">
        <w:rPr>
          <w:rFonts w:cstheme="minorHAnsi"/>
          <w:sz w:val="24"/>
          <w:szCs w:val="24"/>
        </w:rPr>
        <w:t xml:space="preserve"> is a traffic light</w:t>
      </w:r>
      <w:r w:rsidR="00D14F6C" w:rsidRPr="00ED05A5">
        <w:rPr>
          <w:rFonts w:cstheme="minorHAnsi"/>
          <w:sz w:val="24"/>
          <w:szCs w:val="24"/>
        </w:rPr>
        <w:t xml:space="preserve"> </w:t>
      </w:r>
      <w:r w:rsidR="00894C70" w:rsidRPr="00ED05A5">
        <w:rPr>
          <w:rFonts w:cstheme="minorHAnsi"/>
          <w:sz w:val="24"/>
          <w:szCs w:val="24"/>
        </w:rPr>
        <w:t>approach</w:t>
      </w:r>
      <w:r w:rsidR="00971A41" w:rsidRPr="00ED05A5">
        <w:rPr>
          <w:rFonts w:cstheme="minorHAnsi"/>
          <w:sz w:val="24"/>
          <w:szCs w:val="24"/>
        </w:rPr>
        <w:t xml:space="preserve">, this toolkit </w:t>
      </w:r>
      <w:r w:rsidR="00686F0D" w:rsidRPr="00ED05A5">
        <w:rPr>
          <w:rFonts w:cstheme="minorHAnsi"/>
          <w:sz w:val="24"/>
          <w:szCs w:val="24"/>
        </w:rPr>
        <w:t>was developed in 2007</w:t>
      </w:r>
      <w:r w:rsidR="006B440E" w:rsidRPr="00ED05A5">
        <w:rPr>
          <w:rFonts w:cstheme="minorHAnsi"/>
          <w:sz w:val="24"/>
          <w:szCs w:val="24"/>
        </w:rPr>
        <w:t xml:space="preserve"> and uses the RAG Rating</w:t>
      </w:r>
      <w:r w:rsidR="00D14F6C" w:rsidRPr="00ED05A5">
        <w:rPr>
          <w:rFonts w:cstheme="minorHAnsi"/>
          <w:sz w:val="24"/>
          <w:szCs w:val="24"/>
        </w:rPr>
        <w:t xml:space="preserve"> (UKONS, 2016)</w:t>
      </w:r>
      <w:r w:rsidR="006B440E" w:rsidRPr="00ED05A5">
        <w:rPr>
          <w:rFonts w:cstheme="minorHAnsi"/>
          <w:sz w:val="24"/>
          <w:szCs w:val="24"/>
        </w:rPr>
        <w:t xml:space="preserve">. </w:t>
      </w:r>
      <w:r w:rsidR="00880052" w:rsidRPr="00ED05A5">
        <w:rPr>
          <w:rFonts w:cstheme="minorHAnsi"/>
          <w:sz w:val="24"/>
          <w:szCs w:val="24"/>
        </w:rPr>
        <w:t xml:space="preserve">At this time of the arrival of the door to needle time starts, 60 minutes </w:t>
      </w:r>
      <w:r w:rsidR="002070A9" w:rsidRPr="00ED05A5">
        <w:rPr>
          <w:rFonts w:cstheme="minorHAnsi"/>
          <w:sz w:val="24"/>
          <w:szCs w:val="24"/>
        </w:rPr>
        <w:t>to administer the intravenous antibiotics.</w:t>
      </w:r>
    </w:p>
    <w:p w14:paraId="60D4F09A" w14:textId="0AC1E4EE" w:rsidR="00785081" w:rsidRPr="00ED05A5" w:rsidRDefault="00DE4FA7" w:rsidP="00785081">
      <w:pPr>
        <w:spacing w:line="240" w:lineRule="auto"/>
        <w:rPr>
          <w:rFonts w:cstheme="minorHAnsi"/>
          <w:sz w:val="24"/>
          <w:szCs w:val="24"/>
        </w:rPr>
      </w:pPr>
      <w:r w:rsidRPr="00ED05A5">
        <w:rPr>
          <w:rFonts w:cstheme="minorHAnsi"/>
          <w:sz w:val="24"/>
          <w:szCs w:val="24"/>
        </w:rPr>
        <w:t>Within the history taking, there are key questions to be asked</w:t>
      </w:r>
      <w:r w:rsidR="006D75B3" w:rsidRPr="00ED05A5">
        <w:rPr>
          <w:rFonts w:cstheme="minorHAnsi"/>
          <w:sz w:val="24"/>
          <w:szCs w:val="24"/>
        </w:rPr>
        <w:t xml:space="preserve"> and to ensure if they have any allergies as this would </w:t>
      </w:r>
      <w:r w:rsidR="00DB2256" w:rsidRPr="00ED05A5">
        <w:rPr>
          <w:rFonts w:cstheme="minorHAnsi"/>
          <w:sz w:val="24"/>
          <w:szCs w:val="24"/>
        </w:rPr>
        <w:t>affect</w:t>
      </w:r>
      <w:r w:rsidR="006D75B3" w:rsidRPr="00ED05A5">
        <w:rPr>
          <w:rFonts w:cstheme="minorHAnsi"/>
          <w:sz w:val="24"/>
          <w:szCs w:val="24"/>
        </w:rPr>
        <w:t xml:space="preserve"> the choice of antibiotic. </w:t>
      </w:r>
    </w:p>
    <w:p w14:paraId="23425A1F" w14:textId="2F83EE6C" w:rsidR="00ED3656" w:rsidRPr="00ED05A5" w:rsidRDefault="00DE4FA7" w:rsidP="0054386A">
      <w:pPr>
        <w:spacing w:line="240" w:lineRule="auto"/>
        <w:rPr>
          <w:rFonts w:cstheme="minorHAnsi"/>
          <w:sz w:val="24"/>
          <w:szCs w:val="24"/>
        </w:rPr>
      </w:pPr>
      <w:r w:rsidRPr="00ED05A5">
        <w:rPr>
          <w:rFonts w:cstheme="minorHAnsi"/>
          <w:sz w:val="24"/>
          <w:szCs w:val="24"/>
        </w:rPr>
        <w:t xml:space="preserve">Has the patient received systemic anticancer therapy within the last 6 weeks? </w:t>
      </w:r>
    </w:p>
    <w:p w14:paraId="19EA2597" w14:textId="77777777" w:rsidR="0054386A" w:rsidRPr="00ED05A5" w:rsidRDefault="00DE4FA7" w:rsidP="0054386A">
      <w:pPr>
        <w:spacing w:line="240" w:lineRule="auto"/>
        <w:rPr>
          <w:rFonts w:cstheme="minorHAnsi"/>
          <w:sz w:val="24"/>
          <w:szCs w:val="24"/>
        </w:rPr>
      </w:pPr>
      <w:r w:rsidRPr="00ED05A5">
        <w:rPr>
          <w:rFonts w:cstheme="minorHAnsi"/>
          <w:sz w:val="24"/>
          <w:szCs w:val="24"/>
        </w:rPr>
        <w:t>Does the patient have a temperature ≥38⁰C, or ≥37.5⁰C on two occasions recorded 1 hour apart?</w:t>
      </w:r>
    </w:p>
    <w:p w14:paraId="46B0CA80" w14:textId="77777777" w:rsidR="0054386A" w:rsidRPr="00ED05A5" w:rsidRDefault="00DE4FA7" w:rsidP="0054386A">
      <w:pPr>
        <w:spacing w:line="240" w:lineRule="auto"/>
        <w:rPr>
          <w:rFonts w:cstheme="minorHAnsi"/>
          <w:sz w:val="24"/>
          <w:szCs w:val="24"/>
        </w:rPr>
      </w:pPr>
      <w:r w:rsidRPr="00ED05A5">
        <w:rPr>
          <w:rFonts w:cstheme="minorHAnsi"/>
          <w:sz w:val="24"/>
          <w:szCs w:val="24"/>
        </w:rPr>
        <w:t>Did the patient have a bone marrow transplant?</w:t>
      </w:r>
    </w:p>
    <w:p w14:paraId="075576A2" w14:textId="77777777" w:rsidR="0054386A" w:rsidRPr="00ED05A5" w:rsidRDefault="00DE4FA7" w:rsidP="0054386A">
      <w:pPr>
        <w:spacing w:line="240" w:lineRule="auto"/>
        <w:rPr>
          <w:rFonts w:cstheme="minorHAnsi"/>
          <w:sz w:val="24"/>
          <w:szCs w:val="24"/>
        </w:rPr>
      </w:pPr>
      <w:r w:rsidRPr="00ED05A5">
        <w:rPr>
          <w:rFonts w:cstheme="minorHAnsi"/>
          <w:sz w:val="24"/>
          <w:szCs w:val="24"/>
        </w:rPr>
        <w:t>Is the patient immuno-suppressed (HIV or other)?</w:t>
      </w:r>
    </w:p>
    <w:p w14:paraId="271F5993" w14:textId="1AEBB514" w:rsidR="0054386A" w:rsidRPr="00ED05A5" w:rsidRDefault="00DE4FA7" w:rsidP="0054386A">
      <w:pPr>
        <w:spacing w:line="240" w:lineRule="auto"/>
        <w:rPr>
          <w:rFonts w:cstheme="minorHAnsi"/>
          <w:sz w:val="24"/>
          <w:szCs w:val="24"/>
        </w:rPr>
      </w:pPr>
      <w:r w:rsidRPr="00ED05A5">
        <w:rPr>
          <w:rFonts w:cstheme="minorHAnsi"/>
          <w:sz w:val="24"/>
          <w:szCs w:val="24"/>
        </w:rPr>
        <w:t>What chemotherapy is the patient on and when was the last treatment/tablet?</w:t>
      </w:r>
    </w:p>
    <w:p w14:paraId="10EE4F7F" w14:textId="77777777" w:rsidR="006D75B3" w:rsidRPr="00ED05A5" w:rsidRDefault="00DE4FA7" w:rsidP="00785081">
      <w:pPr>
        <w:spacing w:line="240" w:lineRule="auto"/>
        <w:rPr>
          <w:rFonts w:cstheme="minorHAnsi"/>
          <w:sz w:val="24"/>
          <w:szCs w:val="24"/>
        </w:rPr>
      </w:pPr>
      <w:r w:rsidRPr="00ED05A5">
        <w:rPr>
          <w:rFonts w:cstheme="minorHAnsi"/>
          <w:sz w:val="24"/>
          <w:szCs w:val="24"/>
        </w:rPr>
        <w:t>I</w:t>
      </w:r>
      <w:r w:rsidR="00C7644A" w:rsidRPr="00ED05A5">
        <w:rPr>
          <w:rFonts w:cstheme="minorHAnsi"/>
          <w:sz w:val="24"/>
          <w:szCs w:val="24"/>
        </w:rPr>
        <w:t xml:space="preserve">t is useful to enquire whether: </w:t>
      </w:r>
    </w:p>
    <w:p w14:paraId="72C253B3" w14:textId="7A8D81E5" w:rsidR="00C7644A" w:rsidRPr="00ED05A5" w:rsidRDefault="00DE4FA7" w:rsidP="00785081">
      <w:pPr>
        <w:spacing w:line="240" w:lineRule="auto"/>
        <w:rPr>
          <w:rFonts w:cstheme="minorHAnsi"/>
          <w:sz w:val="24"/>
          <w:szCs w:val="24"/>
        </w:rPr>
      </w:pPr>
      <w:r w:rsidRPr="00ED05A5">
        <w:rPr>
          <w:rFonts w:cstheme="minorHAnsi"/>
          <w:sz w:val="24"/>
          <w:szCs w:val="24"/>
        </w:rPr>
        <w:lastRenderedPageBreak/>
        <w:t>Blood products have been administered within the previous 6-24 hours as this may account for a febrile episode</w:t>
      </w:r>
      <w:r w:rsidR="006D75B3" w:rsidRPr="00ED05A5">
        <w:rPr>
          <w:rFonts w:cstheme="minorHAnsi"/>
          <w:sz w:val="24"/>
          <w:szCs w:val="24"/>
        </w:rPr>
        <w:t xml:space="preserve"> and if the r</w:t>
      </w:r>
      <w:r w:rsidRPr="00ED05A5">
        <w:rPr>
          <w:rFonts w:cstheme="minorHAnsi"/>
          <w:sz w:val="24"/>
          <w:szCs w:val="24"/>
        </w:rPr>
        <w:t xml:space="preserve">igours are associated with the use or flushing of a central venous line. </w:t>
      </w:r>
    </w:p>
    <w:p w14:paraId="6C14347D" w14:textId="041D8E8F" w:rsidR="00BE07F3" w:rsidRPr="00ED05A5" w:rsidRDefault="00DE4FA7" w:rsidP="00081A92">
      <w:pPr>
        <w:spacing w:line="240" w:lineRule="auto"/>
        <w:rPr>
          <w:rFonts w:cstheme="minorHAnsi"/>
          <w:sz w:val="24"/>
          <w:szCs w:val="24"/>
        </w:rPr>
      </w:pPr>
      <w:r w:rsidRPr="00ED05A5">
        <w:rPr>
          <w:rFonts w:cstheme="minorHAnsi"/>
          <w:sz w:val="24"/>
          <w:szCs w:val="24"/>
        </w:rPr>
        <w:t>On examination look for:</w:t>
      </w:r>
    </w:p>
    <w:p w14:paraId="52E18658" w14:textId="7A5B4772" w:rsidR="00AF3953" w:rsidRPr="00ED05A5" w:rsidRDefault="00DE4FA7" w:rsidP="00081A92">
      <w:pPr>
        <w:pStyle w:val="ListParagraph"/>
        <w:numPr>
          <w:ilvl w:val="0"/>
          <w:numId w:val="3"/>
        </w:numPr>
        <w:spacing w:line="240" w:lineRule="auto"/>
        <w:rPr>
          <w:rFonts w:cstheme="minorHAnsi"/>
          <w:b/>
          <w:bCs/>
          <w:sz w:val="24"/>
          <w:szCs w:val="24"/>
        </w:rPr>
      </w:pPr>
      <w:r w:rsidRPr="00ED05A5">
        <w:rPr>
          <w:rFonts w:cstheme="minorHAnsi"/>
          <w:sz w:val="24"/>
          <w:szCs w:val="24"/>
        </w:rPr>
        <w:t>General appearance, level of consciousness and cognition</w:t>
      </w:r>
      <w:r w:rsidRPr="00ED05A5">
        <w:rPr>
          <w:rFonts w:cstheme="minorHAnsi"/>
          <w:b/>
          <w:bCs/>
          <w:sz w:val="24"/>
          <w:szCs w:val="24"/>
        </w:rPr>
        <w:t>.</w:t>
      </w:r>
      <w:r w:rsidR="00BE07F3" w:rsidRPr="00ED05A5">
        <w:rPr>
          <w:rFonts w:cstheme="minorHAnsi"/>
          <w:b/>
          <w:bCs/>
          <w:sz w:val="24"/>
          <w:szCs w:val="24"/>
        </w:rPr>
        <w:t xml:space="preserve"> </w:t>
      </w:r>
      <w:r w:rsidRPr="00ED05A5">
        <w:rPr>
          <w:rFonts w:cstheme="minorHAnsi"/>
          <w:sz w:val="24"/>
          <w:szCs w:val="24"/>
        </w:rPr>
        <w:t>Cognitive assessment should include recognition of new-onset confusion, disorientation, and/or agitation.</w:t>
      </w:r>
      <w:r w:rsidRPr="00ED05A5">
        <w:rPr>
          <w:rFonts w:cstheme="minorHAnsi"/>
          <w:b/>
          <w:bCs/>
          <w:sz w:val="24"/>
          <w:szCs w:val="24"/>
        </w:rPr>
        <w:t xml:space="preserve"> </w:t>
      </w:r>
    </w:p>
    <w:p w14:paraId="05A72A68" w14:textId="785C65E7" w:rsidR="00AF3953"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Temperature</w:t>
      </w:r>
      <w:r w:rsidR="00BE07F3" w:rsidRPr="00ED05A5">
        <w:rPr>
          <w:rFonts w:cstheme="minorHAnsi"/>
          <w:sz w:val="24"/>
          <w:szCs w:val="24"/>
        </w:rPr>
        <w:t>, h</w:t>
      </w:r>
      <w:r w:rsidRPr="00ED05A5">
        <w:rPr>
          <w:rFonts w:cstheme="minorHAnsi"/>
          <w:sz w:val="24"/>
          <w:szCs w:val="24"/>
        </w:rPr>
        <w:t>eart rate, respiratory rate and signs of respiratory distress, and blood pressure.</w:t>
      </w:r>
    </w:p>
    <w:p w14:paraId="2FEE1538" w14:textId="77777777" w:rsidR="00AF3953"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Capillary refill time and oxygen saturation (abnormal results may indicate poor peripheral perfusion).</w:t>
      </w:r>
    </w:p>
    <w:p w14:paraId="5BB0C75B" w14:textId="3D50EF68" w:rsidR="00AF3953"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 xml:space="preserve">Mottled or ashen skin; pallor or cyanosis of the skin, </w:t>
      </w:r>
      <w:r w:rsidR="009621A1" w:rsidRPr="00ED05A5">
        <w:rPr>
          <w:rFonts w:cstheme="minorHAnsi"/>
          <w:sz w:val="24"/>
          <w:szCs w:val="24"/>
        </w:rPr>
        <w:t>lips,</w:t>
      </w:r>
      <w:r w:rsidRPr="00ED05A5">
        <w:rPr>
          <w:rFonts w:cstheme="minorHAnsi"/>
          <w:sz w:val="24"/>
          <w:szCs w:val="24"/>
        </w:rPr>
        <w:t xml:space="preserve"> or tongue; cold peripheries.</w:t>
      </w:r>
    </w:p>
    <w:p w14:paraId="64FD3309" w14:textId="0C3A8FD9" w:rsidR="00785081" w:rsidRPr="00ED05A5" w:rsidRDefault="003C6766" w:rsidP="00081A92">
      <w:pPr>
        <w:pStyle w:val="ListParagraph"/>
        <w:numPr>
          <w:ilvl w:val="0"/>
          <w:numId w:val="3"/>
        </w:numPr>
        <w:spacing w:line="240" w:lineRule="auto"/>
        <w:rPr>
          <w:rFonts w:cstheme="minorHAnsi"/>
          <w:sz w:val="24"/>
          <w:szCs w:val="24"/>
        </w:rPr>
      </w:pPr>
      <w:r w:rsidRPr="00ED05A5">
        <w:rPr>
          <w:rFonts w:cstheme="minorHAnsi"/>
          <w:sz w:val="24"/>
          <w:szCs w:val="24"/>
        </w:rPr>
        <w:t>C</w:t>
      </w:r>
      <w:r w:rsidR="00DE4FA7" w:rsidRPr="00ED05A5">
        <w:rPr>
          <w:rFonts w:cstheme="minorHAnsi"/>
          <w:sz w:val="24"/>
          <w:szCs w:val="24"/>
        </w:rPr>
        <w:t>hills, shivers, rigours</w:t>
      </w:r>
    </w:p>
    <w:p w14:paraId="27DCC8E0" w14:textId="2E0F81BF" w:rsidR="00AF3953"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 xml:space="preserve">A non-blanching rash may suggest meningococcal disease. </w:t>
      </w:r>
    </w:p>
    <w:p w14:paraId="5DEFAF09" w14:textId="2510601F" w:rsidR="00AF3953"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Any breach of skin integrity (for example cuts, burns, or skin infections) or other skin signs suggesting infection, such as erythema, swelling or discharge at a surgical site, or wound breakdown.</w:t>
      </w:r>
      <w:r w:rsidR="004532FF" w:rsidRPr="00ED05A5">
        <w:rPr>
          <w:rFonts w:cstheme="minorHAnsi"/>
          <w:sz w:val="24"/>
          <w:szCs w:val="24"/>
        </w:rPr>
        <w:t xml:space="preserve"> Those who are neutropenic, may not have this due to </w:t>
      </w:r>
      <w:r w:rsidR="00775D91" w:rsidRPr="00ED05A5">
        <w:rPr>
          <w:rFonts w:cstheme="minorHAnsi"/>
          <w:sz w:val="24"/>
          <w:szCs w:val="24"/>
        </w:rPr>
        <w:t xml:space="preserve">the reduced immune and </w:t>
      </w:r>
      <w:r w:rsidR="000A7EA5" w:rsidRPr="00ED05A5">
        <w:rPr>
          <w:rFonts w:cstheme="minorHAnsi"/>
          <w:sz w:val="24"/>
          <w:szCs w:val="24"/>
        </w:rPr>
        <w:t>inflammatory</w:t>
      </w:r>
      <w:r w:rsidR="00775D91" w:rsidRPr="00ED05A5">
        <w:rPr>
          <w:rFonts w:cstheme="minorHAnsi"/>
          <w:sz w:val="24"/>
          <w:szCs w:val="24"/>
        </w:rPr>
        <w:t xml:space="preserve"> response. </w:t>
      </w:r>
    </w:p>
    <w:p w14:paraId="4F1AE5BA" w14:textId="004458E3" w:rsidR="00AF3953" w:rsidRPr="00ED05A5" w:rsidRDefault="00DE4FA7" w:rsidP="00081A92">
      <w:pPr>
        <w:pStyle w:val="ListParagraph"/>
        <w:numPr>
          <w:ilvl w:val="0"/>
          <w:numId w:val="3"/>
        </w:numPr>
        <w:spacing w:line="240" w:lineRule="auto"/>
        <w:rPr>
          <w:rFonts w:cstheme="minorHAnsi"/>
          <w:b/>
          <w:bCs/>
          <w:sz w:val="24"/>
          <w:szCs w:val="24"/>
        </w:rPr>
      </w:pPr>
      <w:r w:rsidRPr="00ED05A5">
        <w:rPr>
          <w:rFonts w:cstheme="minorHAnsi"/>
          <w:sz w:val="24"/>
          <w:szCs w:val="24"/>
        </w:rPr>
        <w:t>Dry mucous membranes or other signs of dehydration</w:t>
      </w:r>
      <w:r w:rsidRPr="00ED05A5">
        <w:rPr>
          <w:rFonts w:cstheme="minorHAnsi"/>
          <w:b/>
          <w:bCs/>
          <w:sz w:val="24"/>
          <w:szCs w:val="24"/>
        </w:rPr>
        <w:t xml:space="preserve">. </w:t>
      </w:r>
    </w:p>
    <w:p w14:paraId="55EBFB44" w14:textId="156A9413" w:rsidR="00AF3953"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The possible underlying source of infection.</w:t>
      </w:r>
      <w:r w:rsidR="00785081" w:rsidRPr="00ED05A5">
        <w:rPr>
          <w:rFonts w:cstheme="minorHAnsi"/>
          <w:sz w:val="24"/>
          <w:szCs w:val="24"/>
        </w:rPr>
        <w:t xml:space="preserve"> Symptoms or signs indicating possible infection such as dysuria, diarrhoea, or productive cough. This includes people who are deteriorating unexpectedly or failing to improve as expected.</w:t>
      </w:r>
    </w:p>
    <w:p w14:paraId="34BF6103" w14:textId="7D66B396" w:rsidR="003A4B8D"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Look at vascular access sites, especially central venous line insertion sites, stem cell aspiration sites, nail margins, skin tunnels, surgical incision sites</w:t>
      </w:r>
    </w:p>
    <w:p w14:paraId="591352B8" w14:textId="0D7175AC" w:rsidR="00AF3953" w:rsidRPr="00ED05A5" w:rsidRDefault="00DE4FA7" w:rsidP="00081A92">
      <w:pPr>
        <w:pStyle w:val="ListParagraph"/>
        <w:numPr>
          <w:ilvl w:val="0"/>
          <w:numId w:val="3"/>
        </w:numPr>
        <w:spacing w:line="240" w:lineRule="auto"/>
        <w:rPr>
          <w:rFonts w:cstheme="minorHAnsi"/>
          <w:sz w:val="24"/>
          <w:szCs w:val="24"/>
        </w:rPr>
      </w:pPr>
      <w:r w:rsidRPr="00ED05A5">
        <w:rPr>
          <w:rFonts w:cstheme="minorHAnsi"/>
          <w:sz w:val="24"/>
          <w:szCs w:val="24"/>
        </w:rPr>
        <w:t>NEWS 2 score</w:t>
      </w:r>
    </w:p>
    <w:p w14:paraId="50CD2D8B" w14:textId="4D523D09" w:rsidR="00E636DF" w:rsidRPr="00ED05A5" w:rsidRDefault="00DE4FA7" w:rsidP="00081A92">
      <w:pPr>
        <w:spacing w:line="240" w:lineRule="auto"/>
        <w:rPr>
          <w:rFonts w:cstheme="minorHAnsi"/>
          <w:sz w:val="24"/>
          <w:szCs w:val="24"/>
        </w:rPr>
      </w:pPr>
      <w:r w:rsidRPr="00ED05A5">
        <w:rPr>
          <w:rFonts w:cstheme="minorHAnsi"/>
          <w:sz w:val="24"/>
          <w:szCs w:val="24"/>
        </w:rPr>
        <w:t>T</w:t>
      </w:r>
      <w:r w:rsidR="003F1BB6" w:rsidRPr="00ED05A5">
        <w:rPr>
          <w:rFonts w:cstheme="minorHAnsi"/>
          <w:sz w:val="24"/>
          <w:szCs w:val="24"/>
        </w:rPr>
        <w:t xml:space="preserve">he patient should be managed following local guidance but should be following the </w:t>
      </w:r>
      <w:r w:rsidR="00A846AE" w:rsidRPr="00ED05A5">
        <w:rPr>
          <w:rFonts w:cstheme="minorHAnsi"/>
          <w:sz w:val="24"/>
          <w:szCs w:val="24"/>
        </w:rPr>
        <w:t>sepsis ‘six’ bundle:</w:t>
      </w:r>
    </w:p>
    <w:p w14:paraId="76C0BF8D" w14:textId="77777777" w:rsidR="00E636DF"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Give oxygen therapy to people with reduced oxygen saturation or with an increase in oxygen requirement over baseline, to maintain oxygen saturation above 94% unless contraindicated.</w:t>
      </w:r>
    </w:p>
    <w:p w14:paraId="495E2F23" w14:textId="744667F4" w:rsidR="00785081" w:rsidRPr="00ED05A5" w:rsidRDefault="00DE4FA7" w:rsidP="00785081">
      <w:pPr>
        <w:pStyle w:val="ListParagraph"/>
        <w:numPr>
          <w:ilvl w:val="0"/>
          <w:numId w:val="2"/>
        </w:numPr>
        <w:spacing w:line="240" w:lineRule="auto"/>
        <w:rPr>
          <w:rFonts w:cstheme="minorHAnsi"/>
          <w:sz w:val="24"/>
          <w:szCs w:val="24"/>
        </w:rPr>
      </w:pPr>
      <w:r w:rsidRPr="00ED05A5">
        <w:rPr>
          <w:rFonts w:cstheme="minorHAnsi"/>
          <w:sz w:val="24"/>
          <w:szCs w:val="24"/>
        </w:rPr>
        <w:t>Take blood tests and microbiology samples including</w:t>
      </w:r>
    </w:p>
    <w:p w14:paraId="45365EA3" w14:textId="66FC54FD" w:rsidR="00A846AE" w:rsidRPr="00ED05A5" w:rsidRDefault="00DE4FA7" w:rsidP="00081A92">
      <w:pPr>
        <w:pStyle w:val="ListParagraph"/>
        <w:numPr>
          <w:ilvl w:val="1"/>
          <w:numId w:val="2"/>
        </w:numPr>
        <w:spacing w:line="240" w:lineRule="auto"/>
        <w:rPr>
          <w:rFonts w:cstheme="minorHAnsi"/>
          <w:sz w:val="24"/>
          <w:szCs w:val="24"/>
        </w:rPr>
      </w:pPr>
      <w:r w:rsidRPr="00ED05A5">
        <w:rPr>
          <w:rFonts w:cstheme="minorHAnsi"/>
          <w:sz w:val="24"/>
          <w:szCs w:val="24"/>
        </w:rPr>
        <w:t>B</w:t>
      </w:r>
      <w:r w:rsidR="00E636DF" w:rsidRPr="00ED05A5">
        <w:rPr>
          <w:rFonts w:cstheme="minorHAnsi"/>
          <w:sz w:val="24"/>
          <w:szCs w:val="24"/>
        </w:rPr>
        <w:t xml:space="preserve">lood gas including glucose and lactate measurement </w:t>
      </w:r>
    </w:p>
    <w:p w14:paraId="4DD1EC8A" w14:textId="59C189DA" w:rsidR="00A846AE" w:rsidRPr="00ED05A5" w:rsidRDefault="00DE4FA7" w:rsidP="00081A92">
      <w:pPr>
        <w:pStyle w:val="ListParagraph"/>
        <w:numPr>
          <w:ilvl w:val="1"/>
          <w:numId w:val="2"/>
        </w:numPr>
        <w:spacing w:line="240" w:lineRule="auto"/>
        <w:rPr>
          <w:rFonts w:cstheme="minorHAnsi"/>
          <w:sz w:val="24"/>
          <w:szCs w:val="24"/>
        </w:rPr>
      </w:pPr>
      <w:r w:rsidRPr="00ED05A5">
        <w:rPr>
          <w:rFonts w:cstheme="minorHAnsi"/>
          <w:sz w:val="24"/>
          <w:szCs w:val="24"/>
        </w:rPr>
        <w:t>Blood culture — ideally done before antibiotic administration. This is done peripherally and from the CVAD.</w:t>
      </w:r>
    </w:p>
    <w:p w14:paraId="6328A832" w14:textId="1E22CB61" w:rsidR="00A846AE" w:rsidRPr="00ED05A5" w:rsidRDefault="00DE4FA7" w:rsidP="00081A92">
      <w:pPr>
        <w:pStyle w:val="ListParagraph"/>
        <w:numPr>
          <w:ilvl w:val="1"/>
          <w:numId w:val="2"/>
        </w:numPr>
        <w:spacing w:line="240" w:lineRule="auto"/>
        <w:rPr>
          <w:rFonts w:cstheme="minorHAnsi"/>
          <w:sz w:val="24"/>
          <w:szCs w:val="24"/>
        </w:rPr>
      </w:pPr>
      <w:r w:rsidRPr="00ED05A5">
        <w:rPr>
          <w:rFonts w:cstheme="minorHAnsi"/>
          <w:sz w:val="24"/>
          <w:szCs w:val="24"/>
        </w:rPr>
        <w:t xml:space="preserve">Full blood count </w:t>
      </w:r>
    </w:p>
    <w:p w14:paraId="07C52CDB" w14:textId="79555C20" w:rsidR="00A846AE" w:rsidRPr="00ED05A5" w:rsidRDefault="00DE4FA7" w:rsidP="00081A92">
      <w:pPr>
        <w:pStyle w:val="ListParagraph"/>
        <w:numPr>
          <w:ilvl w:val="1"/>
          <w:numId w:val="2"/>
        </w:numPr>
        <w:spacing w:line="240" w:lineRule="auto"/>
        <w:rPr>
          <w:rFonts w:cstheme="minorHAnsi"/>
          <w:sz w:val="24"/>
          <w:szCs w:val="24"/>
        </w:rPr>
      </w:pPr>
      <w:r w:rsidRPr="00ED05A5">
        <w:rPr>
          <w:rFonts w:cstheme="minorHAnsi"/>
          <w:sz w:val="24"/>
          <w:szCs w:val="24"/>
        </w:rPr>
        <w:t xml:space="preserve">C-reactive protein (CRP) </w:t>
      </w:r>
    </w:p>
    <w:p w14:paraId="7940993E" w14:textId="48AB695B" w:rsidR="008F0EEF" w:rsidRPr="00ED05A5" w:rsidRDefault="00DE4FA7" w:rsidP="00081A92">
      <w:pPr>
        <w:pStyle w:val="ListParagraph"/>
        <w:numPr>
          <w:ilvl w:val="1"/>
          <w:numId w:val="2"/>
        </w:numPr>
        <w:spacing w:line="240" w:lineRule="auto"/>
        <w:rPr>
          <w:rFonts w:cstheme="minorHAnsi"/>
          <w:sz w:val="24"/>
          <w:szCs w:val="24"/>
        </w:rPr>
      </w:pPr>
      <w:r w:rsidRPr="00ED05A5">
        <w:rPr>
          <w:rFonts w:cstheme="minorHAnsi"/>
          <w:sz w:val="24"/>
          <w:szCs w:val="24"/>
        </w:rPr>
        <w:t xml:space="preserve">Creatinine, </w:t>
      </w:r>
      <w:r w:rsidR="009621A1" w:rsidRPr="00ED05A5">
        <w:rPr>
          <w:rFonts w:cstheme="minorHAnsi"/>
          <w:sz w:val="24"/>
          <w:szCs w:val="24"/>
        </w:rPr>
        <w:t>urea,</w:t>
      </w:r>
      <w:r w:rsidRPr="00ED05A5">
        <w:rPr>
          <w:rFonts w:cstheme="minorHAnsi"/>
          <w:sz w:val="24"/>
          <w:szCs w:val="24"/>
        </w:rPr>
        <w:t xml:space="preserve"> and electrolytes </w:t>
      </w:r>
    </w:p>
    <w:p w14:paraId="0489821C" w14:textId="6370802B" w:rsidR="00A846AE" w:rsidRPr="00ED05A5" w:rsidRDefault="00DE4FA7" w:rsidP="00081A92">
      <w:pPr>
        <w:pStyle w:val="ListParagraph"/>
        <w:numPr>
          <w:ilvl w:val="1"/>
          <w:numId w:val="2"/>
        </w:numPr>
        <w:spacing w:line="240" w:lineRule="auto"/>
        <w:rPr>
          <w:rFonts w:cstheme="minorHAnsi"/>
          <w:sz w:val="24"/>
          <w:szCs w:val="24"/>
        </w:rPr>
      </w:pPr>
      <w:r w:rsidRPr="00ED05A5">
        <w:rPr>
          <w:rFonts w:cstheme="minorHAnsi"/>
          <w:sz w:val="24"/>
          <w:szCs w:val="24"/>
        </w:rPr>
        <w:t xml:space="preserve">Liver function tests </w:t>
      </w:r>
    </w:p>
    <w:p w14:paraId="77402FA3" w14:textId="75E33F02" w:rsidR="00E636DF" w:rsidRPr="00ED05A5" w:rsidRDefault="00DE4FA7" w:rsidP="00081A92">
      <w:pPr>
        <w:pStyle w:val="ListParagraph"/>
        <w:numPr>
          <w:ilvl w:val="1"/>
          <w:numId w:val="2"/>
        </w:numPr>
        <w:spacing w:line="240" w:lineRule="auto"/>
        <w:rPr>
          <w:rFonts w:cstheme="minorHAnsi"/>
          <w:sz w:val="24"/>
          <w:szCs w:val="24"/>
        </w:rPr>
      </w:pPr>
      <w:r w:rsidRPr="00ED05A5">
        <w:rPr>
          <w:rFonts w:cstheme="minorHAnsi"/>
          <w:sz w:val="24"/>
          <w:szCs w:val="24"/>
        </w:rPr>
        <w:t>Clotting screen</w:t>
      </w:r>
    </w:p>
    <w:p w14:paraId="6A2CAC21" w14:textId="37E0F8CB" w:rsidR="00A846AE"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 xml:space="preserve">Urine analysis and culture, sputum microscopy and culture, chest X-ray, and additional investigations such as chest CT. </w:t>
      </w:r>
    </w:p>
    <w:p w14:paraId="181B7BBA" w14:textId="4CB55232" w:rsidR="00E636DF"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 xml:space="preserve">Give an intravenous broad-spectrum antibiotic at the maximum recommended dose. </w:t>
      </w:r>
    </w:p>
    <w:p w14:paraId="71665BD2" w14:textId="77777777" w:rsidR="00E636DF"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Antibiotic treatment should not be delayed until neutropenia is confirmed.</w:t>
      </w:r>
    </w:p>
    <w:p w14:paraId="0EA0686A" w14:textId="77777777" w:rsidR="00424E7B"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Give an intravenous fluid bolus to restore tissue perfusion.</w:t>
      </w:r>
    </w:p>
    <w:p w14:paraId="330A768D" w14:textId="77777777" w:rsidR="00424E7B"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Check serial lactate measurement.</w:t>
      </w:r>
    </w:p>
    <w:p w14:paraId="54ED4FCA" w14:textId="77777777" w:rsidR="00424E7B"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lastRenderedPageBreak/>
        <w:t xml:space="preserve">Check urine output, monitor fluid balance hourly and monitor the person's clinical condition. </w:t>
      </w:r>
    </w:p>
    <w:p w14:paraId="1FF8DC3A" w14:textId="44C541DD" w:rsidR="00E636DF"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 xml:space="preserve">Multinational Association of Supportive Care in Cancer (MASCC) prognostic index to identify people at </w:t>
      </w:r>
      <w:r w:rsidR="009621A1" w:rsidRPr="00ED05A5">
        <w:rPr>
          <w:rFonts w:cstheme="minorHAnsi"/>
          <w:sz w:val="24"/>
          <w:szCs w:val="24"/>
        </w:rPr>
        <w:t>minimal risk</w:t>
      </w:r>
      <w:r w:rsidRPr="00ED05A5">
        <w:rPr>
          <w:rFonts w:cstheme="minorHAnsi"/>
          <w:sz w:val="24"/>
          <w:szCs w:val="24"/>
        </w:rPr>
        <w:t xml:space="preserve"> of complications.</w:t>
      </w:r>
    </w:p>
    <w:p w14:paraId="5E7C8CD8" w14:textId="6497D4A1" w:rsidR="00ED3429" w:rsidRPr="00ED05A5" w:rsidRDefault="00DE4FA7" w:rsidP="00081A92">
      <w:pPr>
        <w:pStyle w:val="ListParagraph"/>
        <w:numPr>
          <w:ilvl w:val="0"/>
          <w:numId w:val="2"/>
        </w:numPr>
        <w:spacing w:line="240" w:lineRule="auto"/>
        <w:rPr>
          <w:rFonts w:cstheme="minorHAnsi"/>
          <w:sz w:val="24"/>
          <w:szCs w:val="24"/>
        </w:rPr>
      </w:pPr>
      <w:r w:rsidRPr="00ED05A5">
        <w:rPr>
          <w:rFonts w:cstheme="minorHAnsi"/>
          <w:sz w:val="24"/>
          <w:szCs w:val="24"/>
        </w:rPr>
        <w:t>Do not give administer any oral chemotherapy</w:t>
      </w:r>
    </w:p>
    <w:p w14:paraId="6CA4FBA3" w14:textId="7FE9DC65" w:rsidR="00E636DF" w:rsidRPr="00ED05A5" w:rsidRDefault="00DE4FA7" w:rsidP="00081A92">
      <w:pPr>
        <w:spacing w:line="240" w:lineRule="auto"/>
        <w:rPr>
          <w:rFonts w:cstheme="minorHAnsi"/>
          <w:sz w:val="24"/>
          <w:szCs w:val="24"/>
        </w:rPr>
      </w:pPr>
      <w:r w:rsidRPr="00ED05A5">
        <w:rPr>
          <w:rFonts w:cstheme="minorHAnsi"/>
          <w:sz w:val="24"/>
          <w:szCs w:val="24"/>
        </w:rPr>
        <w:t>(</w:t>
      </w:r>
      <w:r w:rsidR="00854291" w:rsidRPr="00ED05A5">
        <w:rPr>
          <w:rFonts w:cstheme="minorHAnsi"/>
          <w:sz w:val="24"/>
          <w:szCs w:val="24"/>
        </w:rPr>
        <w:t>NICE 2019</w:t>
      </w:r>
      <w:r w:rsidRPr="00ED05A5">
        <w:rPr>
          <w:rFonts w:cstheme="minorHAnsi"/>
          <w:sz w:val="24"/>
          <w:szCs w:val="24"/>
        </w:rPr>
        <w:t>, Kochanek 2019, Cecconi 2018, Lev 2018, Daniels 2017, Rhodes 2017, White 2017, Klastersky 2016, Singer 2016, Clarke 2013, Gauer, 2013)</w:t>
      </w:r>
    </w:p>
    <w:p w14:paraId="48D132A9" w14:textId="145B657F" w:rsidR="00F86A7B" w:rsidRPr="00ED05A5" w:rsidRDefault="00DE4FA7" w:rsidP="00C7644A">
      <w:pPr>
        <w:spacing w:line="240" w:lineRule="auto"/>
        <w:rPr>
          <w:rFonts w:cstheme="minorHAnsi"/>
          <w:sz w:val="24"/>
          <w:szCs w:val="24"/>
        </w:rPr>
      </w:pPr>
      <w:r w:rsidRPr="00ED05A5">
        <w:rPr>
          <w:rFonts w:cstheme="minorHAnsi"/>
          <w:sz w:val="24"/>
          <w:szCs w:val="24"/>
        </w:rPr>
        <w:t xml:space="preserve">At the time of the administration of the </w:t>
      </w:r>
      <w:r w:rsidR="00B964F0" w:rsidRPr="00ED05A5">
        <w:rPr>
          <w:rFonts w:cstheme="minorHAnsi"/>
          <w:sz w:val="24"/>
          <w:szCs w:val="24"/>
        </w:rPr>
        <w:t xml:space="preserve">IV </w:t>
      </w:r>
      <w:r w:rsidRPr="00ED05A5">
        <w:rPr>
          <w:rFonts w:cstheme="minorHAnsi"/>
          <w:sz w:val="24"/>
          <w:szCs w:val="24"/>
        </w:rPr>
        <w:t xml:space="preserve">antibiotic, is when the clock stops. </w:t>
      </w:r>
      <w:r w:rsidR="00B10DAA" w:rsidRPr="00ED05A5">
        <w:rPr>
          <w:rFonts w:cstheme="minorHAnsi"/>
          <w:sz w:val="24"/>
          <w:szCs w:val="24"/>
        </w:rPr>
        <w:t>Many factors will influence the door to needle time. Delays in the administration of empirical IV antibiotics may also reflect the nebulous symptoms associated with NS and can be indistinct from the common side effects of SACT, such as diarrhoea and mucositis (Oakley et al. 2016; NICE 2012).  It can be down to the work environment, waiting to be reviewed by the clinician and waiting for the prescription and due to the ongoing pressures within the NHS and those who present in a more critical condition would be made a priority. (Oakley 2010; Ko et al 2015).</w:t>
      </w:r>
      <w:r w:rsidR="00755624" w:rsidRPr="00ED05A5">
        <w:rPr>
          <w:rFonts w:cstheme="minorHAnsi"/>
          <w:sz w:val="24"/>
          <w:szCs w:val="24"/>
        </w:rPr>
        <w:t xml:space="preserve"> The patient should be alerted to the AOS Team for review. Infections in neutropenic patients typically take 2-7 days to respond to antimicrobial therapy. </w:t>
      </w:r>
      <w:r w:rsidR="008578C6" w:rsidRPr="00ED05A5">
        <w:rPr>
          <w:rFonts w:cstheme="minorHAnsi"/>
          <w:sz w:val="24"/>
          <w:szCs w:val="24"/>
        </w:rPr>
        <w:t xml:space="preserve">NS may affect drug regimens of chemotherapy or other immunosuppressive drug therapy, leading to reduced drug efficacy and impact on cancer treatment outcomes, including disease-free intervals and survival rates </w:t>
      </w:r>
      <w:r w:rsidR="00B10DAA" w:rsidRPr="00ED05A5">
        <w:rPr>
          <w:rFonts w:cstheme="minorHAnsi"/>
          <w:sz w:val="24"/>
          <w:szCs w:val="24"/>
        </w:rPr>
        <w:t>(</w:t>
      </w:r>
      <w:r w:rsidR="008578C6" w:rsidRPr="00ED05A5">
        <w:rPr>
          <w:rFonts w:cstheme="minorHAnsi"/>
          <w:sz w:val="24"/>
          <w:szCs w:val="24"/>
        </w:rPr>
        <w:t>Klastersky 2016, Warnock 2016, Morgan 201</w:t>
      </w:r>
      <w:r w:rsidR="00755624" w:rsidRPr="00ED05A5">
        <w:rPr>
          <w:rFonts w:cstheme="minorHAnsi"/>
          <w:sz w:val="24"/>
          <w:szCs w:val="24"/>
        </w:rPr>
        <w:t>)</w:t>
      </w:r>
      <w:r w:rsidR="008578C6" w:rsidRPr="00ED05A5">
        <w:rPr>
          <w:rFonts w:cstheme="minorHAnsi"/>
          <w:sz w:val="24"/>
          <w:szCs w:val="24"/>
        </w:rPr>
        <w:t xml:space="preserve">. </w:t>
      </w:r>
    </w:p>
    <w:p w14:paraId="1CB487AB" w14:textId="723632D4" w:rsidR="00030515" w:rsidRPr="00ED05A5" w:rsidRDefault="00DE4FA7" w:rsidP="00081A92">
      <w:pPr>
        <w:spacing w:line="240" w:lineRule="auto"/>
        <w:rPr>
          <w:rFonts w:cstheme="minorHAnsi"/>
          <w:sz w:val="24"/>
          <w:szCs w:val="24"/>
        </w:rPr>
      </w:pPr>
      <w:r w:rsidRPr="00ED05A5">
        <w:rPr>
          <w:rFonts w:cstheme="minorHAnsi"/>
          <w:sz w:val="24"/>
          <w:szCs w:val="24"/>
        </w:rPr>
        <w:t>Conclusion</w:t>
      </w:r>
    </w:p>
    <w:p w14:paraId="74DE0D3F" w14:textId="2ACFD019" w:rsidR="001C43F1" w:rsidRPr="00ED05A5" w:rsidRDefault="00DE4FA7" w:rsidP="00081A92">
      <w:pPr>
        <w:spacing w:line="240" w:lineRule="auto"/>
        <w:rPr>
          <w:rFonts w:cstheme="minorHAnsi"/>
          <w:sz w:val="24"/>
          <w:szCs w:val="24"/>
        </w:rPr>
      </w:pPr>
      <w:r w:rsidRPr="00ED05A5">
        <w:rPr>
          <w:rFonts w:cstheme="minorHAnsi"/>
          <w:sz w:val="24"/>
          <w:szCs w:val="24"/>
        </w:rPr>
        <w:t xml:space="preserve">NS can </w:t>
      </w:r>
      <w:r w:rsidR="00755624" w:rsidRPr="00ED05A5">
        <w:rPr>
          <w:rFonts w:cstheme="minorHAnsi"/>
          <w:sz w:val="24"/>
          <w:szCs w:val="24"/>
        </w:rPr>
        <w:t>be</w:t>
      </w:r>
      <w:r w:rsidRPr="00ED05A5">
        <w:rPr>
          <w:rFonts w:cstheme="minorHAnsi"/>
          <w:sz w:val="24"/>
          <w:szCs w:val="24"/>
        </w:rPr>
        <w:t xml:space="preserve"> a </w:t>
      </w:r>
      <w:r w:rsidR="00BA5050" w:rsidRPr="00ED05A5">
        <w:rPr>
          <w:rFonts w:cstheme="minorHAnsi"/>
          <w:sz w:val="24"/>
          <w:szCs w:val="24"/>
        </w:rPr>
        <w:t xml:space="preserve">life-threatening illness that can be a complication of SACT. </w:t>
      </w:r>
      <w:r w:rsidR="00C1720E" w:rsidRPr="00ED05A5">
        <w:rPr>
          <w:rFonts w:cstheme="minorHAnsi"/>
          <w:sz w:val="24"/>
          <w:szCs w:val="24"/>
        </w:rPr>
        <w:t xml:space="preserve"> Patients are educated about the side effects of the treatment </w:t>
      </w:r>
      <w:r w:rsidR="004273B1" w:rsidRPr="00ED05A5">
        <w:rPr>
          <w:rFonts w:cstheme="minorHAnsi"/>
          <w:sz w:val="24"/>
          <w:szCs w:val="24"/>
        </w:rPr>
        <w:t xml:space="preserve">and awareness of the chemotherapy helpline number they need to call. If NS is suspected, </w:t>
      </w:r>
      <w:r w:rsidR="00D65D82" w:rsidRPr="00ED05A5">
        <w:rPr>
          <w:rFonts w:cstheme="minorHAnsi"/>
          <w:sz w:val="24"/>
          <w:szCs w:val="24"/>
        </w:rPr>
        <w:t>prompt and urgent treatment is required, due to the mortality rate</w:t>
      </w:r>
      <w:r w:rsidR="00942B69" w:rsidRPr="00ED05A5">
        <w:rPr>
          <w:rFonts w:cstheme="minorHAnsi"/>
          <w:sz w:val="24"/>
          <w:szCs w:val="24"/>
        </w:rPr>
        <w:t xml:space="preserve">, this is reduced with the administration of intravenous antibiotics </w:t>
      </w:r>
      <w:r w:rsidR="004E29F4" w:rsidRPr="00ED05A5">
        <w:rPr>
          <w:rFonts w:cstheme="minorHAnsi"/>
          <w:sz w:val="24"/>
          <w:szCs w:val="24"/>
        </w:rPr>
        <w:t>within the</w:t>
      </w:r>
      <w:r w:rsidR="00942B69" w:rsidRPr="00ED05A5">
        <w:rPr>
          <w:rFonts w:cstheme="minorHAnsi"/>
          <w:sz w:val="24"/>
          <w:szCs w:val="24"/>
        </w:rPr>
        <w:t xml:space="preserve"> hour. </w:t>
      </w:r>
      <w:r w:rsidR="00DD06AB" w:rsidRPr="00ED05A5">
        <w:rPr>
          <w:rFonts w:cstheme="minorHAnsi"/>
          <w:sz w:val="24"/>
          <w:szCs w:val="24"/>
        </w:rPr>
        <w:t xml:space="preserve">Nurses must </w:t>
      </w:r>
      <w:r w:rsidR="004E29F4" w:rsidRPr="00ED05A5">
        <w:rPr>
          <w:rFonts w:cstheme="minorHAnsi"/>
          <w:sz w:val="24"/>
          <w:szCs w:val="24"/>
        </w:rPr>
        <w:t>recognise</w:t>
      </w:r>
      <w:r w:rsidR="00DD06AB" w:rsidRPr="00ED05A5">
        <w:rPr>
          <w:rFonts w:cstheme="minorHAnsi"/>
          <w:sz w:val="24"/>
          <w:szCs w:val="24"/>
        </w:rPr>
        <w:t xml:space="preserve"> the signs and symptoms of NS and </w:t>
      </w:r>
      <w:r w:rsidR="00535B86" w:rsidRPr="00ED05A5">
        <w:rPr>
          <w:rFonts w:cstheme="minorHAnsi"/>
          <w:sz w:val="24"/>
          <w:szCs w:val="24"/>
        </w:rPr>
        <w:t>be able t</w:t>
      </w:r>
      <w:r w:rsidR="004E29F4" w:rsidRPr="00ED05A5">
        <w:rPr>
          <w:rFonts w:cstheme="minorHAnsi"/>
          <w:sz w:val="24"/>
          <w:szCs w:val="24"/>
        </w:rPr>
        <w:t xml:space="preserve">o act quickly. </w:t>
      </w:r>
      <w:r w:rsidR="00E22C66" w:rsidRPr="00ED05A5">
        <w:rPr>
          <w:rFonts w:cstheme="minorHAnsi"/>
          <w:sz w:val="24"/>
          <w:szCs w:val="24"/>
        </w:rPr>
        <w:t xml:space="preserve">Ensuring a referral has taken place to the AOS team, to ensure the support of the patient is continued throughout the admission. </w:t>
      </w:r>
    </w:p>
    <w:p w14:paraId="45AF6DA4" w14:textId="2ADD55D5" w:rsidR="001C43F1" w:rsidRPr="00ED05A5" w:rsidRDefault="00DE4FA7" w:rsidP="001C43F1">
      <w:pPr>
        <w:spacing w:line="240" w:lineRule="auto"/>
        <w:rPr>
          <w:rFonts w:cstheme="minorHAnsi"/>
          <w:sz w:val="24"/>
          <w:szCs w:val="24"/>
        </w:rPr>
      </w:pPr>
      <w:r w:rsidRPr="00ED05A5">
        <w:rPr>
          <w:rFonts w:cstheme="minorHAnsi"/>
          <w:sz w:val="24"/>
          <w:szCs w:val="24"/>
        </w:rPr>
        <w:t>Implications for practice</w:t>
      </w:r>
    </w:p>
    <w:p w14:paraId="760E09C9" w14:textId="1DFFCB86" w:rsidR="001C43F1" w:rsidRPr="00ED05A5" w:rsidRDefault="00DE4FA7" w:rsidP="001C43F1">
      <w:pPr>
        <w:spacing w:line="240" w:lineRule="auto"/>
        <w:rPr>
          <w:rFonts w:cstheme="minorHAnsi"/>
          <w:sz w:val="24"/>
          <w:szCs w:val="24"/>
        </w:rPr>
      </w:pPr>
      <w:r w:rsidRPr="00ED05A5">
        <w:rPr>
          <w:rFonts w:cstheme="minorHAnsi"/>
          <w:sz w:val="24"/>
          <w:szCs w:val="24"/>
        </w:rPr>
        <w:t>Nurses should have a high level of suspicion for neutropenic sepsis in patients undergoing chemotherapy.</w:t>
      </w:r>
    </w:p>
    <w:p w14:paraId="139A62BA" w14:textId="2FF3749C" w:rsidR="001C43F1" w:rsidRPr="00ED05A5" w:rsidRDefault="00DE4FA7" w:rsidP="001C43F1">
      <w:pPr>
        <w:spacing w:line="240" w:lineRule="auto"/>
        <w:rPr>
          <w:rFonts w:cstheme="minorHAnsi"/>
          <w:sz w:val="24"/>
          <w:szCs w:val="24"/>
        </w:rPr>
      </w:pPr>
      <w:r w:rsidRPr="00ED05A5">
        <w:rPr>
          <w:rFonts w:cstheme="minorHAnsi"/>
          <w:sz w:val="24"/>
          <w:szCs w:val="24"/>
        </w:rPr>
        <w:t xml:space="preserve">Intravenous antibiotics should not be delayed and administered within 1 hour of presentation. </w:t>
      </w:r>
    </w:p>
    <w:p w14:paraId="24CA330B" w14:textId="43E0F998" w:rsidR="001C43F1" w:rsidRPr="00ED05A5" w:rsidRDefault="00DE4FA7" w:rsidP="001C43F1">
      <w:pPr>
        <w:spacing w:line="240" w:lineRule="auto"/>
        <w:rPr>
          <w:rFonts w:cstheme="minorHAnsi"/>
          <w:sz w:val="24"/>
          <w:szCs w:val="24"/>
        </w:rPr>
      </w:pPr>
      <w:r w:rsidRPr="00ED05A5">
        <w:rPr>
          <w:rFonts w:cstheme="minorHAnsi"/>
          <w:sz w:val="24"/>
          <w:szCs w:val="24"/>
        </w:rPr>
        <w:t xml:space="preserve">Take blood cultures before the administration of antibiotics if possible. </w:t>
      </w:r>
    </w:p>
    <w:p w14:paraId="7C14ECAF" w14:textId="0428E766" w:rsidR="001C43F1" w:rsidRPr="00ED05A5" w:rsidRDefault="00DE4FA7" w:rsidP="001C43F1">
      <w:pPr>
        <w:spacing w:line="240" w:lineRule="auto"/>
        <w:rPr>
          <w:rFonts w:cstheme="minorHAnsi"/>
          <w:sz w:val="24"/>
          <w:szCs w:val="24"/>
        </w:rPr>
      </w:pPr>
      <w:r w:rsidRPr="00ED05A5">
        <w:rPr>
          <w:rFonts w:cstheme="minorHAnsi"/>
          <w:sz w:val="24"/>
          <w:szCs w:val="24"/>
        </w:rPr>
        <w:t xml:space="preserve">Do not wait for blood results before </w:t>
      </w:r>
      <w:r w:rsidR="00DE77B8" w:rsidRPr="00ED05A5">
        <w:rPr>
          <w:rFonts w:cstheme="minorHAnsi"/>
          <w:sz w:val="24"/>
          <w:szCs w:val="24"/>
        </w:rPr>
        <w:t xml:space="preserve">the administration of antibiotic treatment. </w:t>
      </w:r>
    </w:p>
    <w:p w14:paraId="47F26B23" w14:textId="7395204D" w:rsidR="00E22C66" w:rsidRPr="00ED05A5" w:rsidRDefault="00DE4FA7" w:rsidP="00317DA1">
      <w:pPr>
        <w:spacing w:line="240" w:lineRule="auto"/>
        <w:rPr>
          <w:rFonts w:cstheme="minorHAnsi"/>
          <w:sz w:val="24"/>
          <w:szCs w:val="24"/>
        </w:rPr>
      </w:pPr>
      <w:r w:rsidRPr="00ED05A5">
        <w:rPr>
          <w:rFonts w:cstheme="minorHAnsi"/>
          <w:sz w:val="24"/>
          <w:szCs w:val="24"/>
        </w:rPr>
        <w:t>Pyrexia may be absent and therefore not be a ruling factor when assessing for neutropenic sepsis</w:t>
      </w:r>
    </w:p>
    <w:p w14:paraId="3B05181E" w14:textId="4CBB77B5" w:rsidR="00A84136" w:rsidRPr="00ED05A5" w:rsidRDefault="00DE4FA7" w:rsidP="00317DA1">
      <w:pPr>
        <w:spacing w:line="240" w:lineRule="auto"/>
        <w:rPr>
          <w:rFonts w:cstheme="minorHAnsi"/>
          <w:sz w:val="24"/>
          <w:szCs w:val="24"/>
        </w:rPr>
      </w:pPr>
      <w:r w:rsidRPr="00ED05A5">
        <w:rPr>
          <w:rFonts w:cstheme="minorHAnsi"/>
          <w:sz w:val="24"/>
          <w:szCs w:val="24"/>
        </w:rPr>
        <w:t>Conflict of interest statement</w:t>
      </w:r>
    </w:p>
    <w:p w14:paraId="4EEC3604" w14:textId="275920D3" w:rsidR="005213ED" w:rsidRPr="00ED05A5" w:rsidRDefault="00DE4FA7" w:rsidP="00317DA1">
      <w:pPr>
        <w:spacing w:line="240" w:lineRule="auto"/>
        <w:rPr>
          <w:rFonts w:cstheme="minorHAnsi"/>
          <w:sz w:val="24"/>
          <w:szCs w:val="24"/>
        </w:rPr>
      </w:pPr>
      <w:r w:rsidRPr="00ED05A5">
        <w:rPr>
          <w:rFonts w:cstheme="minorHAnsi"/>
          <w:sz w:val="24"/>
          <w:szCs w:val="24"/>
        </w:rPr>
        <w:t>No conflict of interest</w:t>
      </w:r>
    </w:p>
    <w:p w14:paraId="563BF38C" w14:textId="7146E5FF" w:rsidR="00AF0E74" w:rsidRPr="00ED05A5" w:rsidRDefault="00DE4FA7" w:rsidP="00317DA1">
      <w:pPr>
        <w:spacing w:line="240" w:lineRule="auto"/>
        <w:rPr>
          <w:rFonts w:cstheme="minorHAnsi"/>
          <w:sz w:val="24"/>
          <w:szCs w:val="24"/>
        </w:rPr>
      </w:pPr>
      <w:r w:rsidRPr="00ED05A5">
        <w:rPr>
          <w:rFonts w:cstheme="minorHAnsi"/>
          <w:sz w:val="24"/>
          <w:szCs w:val="24"/>
        </w:rPr>
        <w:t>References</w:t>
      </w:r>
    </w:p>
    <w:p w14:paraId="3EE7C814"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lastRenderedPageBreak/>
        <w:t>Bal A, Gould I. (2007) Empirical antimicrobial treatment for chemotherapy-induced febrile neutropenia. International Journal of Antimicrobial Agents. 29, 501-509.</w:t>
      </w:r>
    </w:p>
    <w:p w14:paraId="5CF37F88"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Baskaran ND, Gan GG, Adeeba K (2008) Applying the Multinational Association for Supportive Care in Cancer risk scoring in predicting the outcome of febrile neutropenia patients in a cohort of patients. Annals of Hematology. 87, 563–569</w:t>
      </w:r>
    </w:p>
    <w:p w14:paraId="04705D33" w14:textId="77777777" w:rsidR="00ED05A5" w:rsidRPr="00ED05A5" w:rsidRDefault="00ED05A5" w:rsidP="00081A92">
      <w:pPr>
        <w:pStyle w:val="ListParagraph"/>
        <w:numPr>
          <w:ilvl w:val="0"/>
          <w:numId w:val="4"/>
        </w:numPr>
        <w:spacing w:line="240" w:lineRule="auto"/>
        <w:rPr>
          <w:rFonts w:cstheme="minorHAnsi"/>
          <w:sz w:val="24"/>
          <w:szCs w:val="24"/>
        </w:rPr>
      </w:pPr>
      <w:proofErr w:type="spellStart"/>
      <w:r w:rsidRPr="00ED05A5">
        <w:rPr>
          <w:rFonts w:cstheme="minorHAnsi"/>
          <w:sz w:val="24"/>
          <w:szCs w:val="24"/>
        </w:rPr>
        <w:t>Bion</w:t>
      </w:r>
      <w:proofErr w:type="spellEnd"/>
      <w:r w:rsidRPr="00ED05A5">
        <w:rPr>
          <w:rFonts w:cstheme="minorHAnsi"/>
          <w:sz w:val="24"/>
          <w:szCs w:val="24"/>
        </w:rPr>
        <w:t xml:space="preserve"> J, Barton G, Boyle A et al. (2022) Academy of Medical Royal Colleges Statement on the Initial Antimicrobial Treatment of Sepsis. Academy of Medical Royal Colleges.</w:t>
      </w:r>
    </w:p>
    <w:p w14:paraId="65B42A5E"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Cancer Research UK (2022) Cancer Statistics for the UK. Available From: </w:t>
      </w:r>
      <w:hyperlink r:id="rId6" w:anchor="heading-One" w:history="1">
        <w:r w:rsidRPr="00ED05A5">
          <w:rPr>
            <w:rStyle w:val="Hyperlink"/>
            <w:rFonts w:cstheme="minorHAnsi"/>
            <w:sz w:val="24"/>
            <w:szCs w:val="24"/>
          </w:rPr>
          <w:t>Cancer Statistics for the UK (cancerresearchuk.org)</w:t>
        </w:r>
      </w:hyperlink>
      <w:r w:rsidRPr="00ED05A5">
        <w:rPr>
          <w:rFonts w:cstheme="minorHAnsi"/>
          <w:sz w:val="24"/>
          <w:szCs w:val="24"/>
        </w:rPr>
        <w:t xml:space="preserve"> [Accessed 28</w:t>
      </w:r>
      <w:r w:rsidRPr="00ED05A5">
        <w:rPr>
          <w:rFonts w:cstheme="minorHAnsi"/>
          <w:sz w:val="24"/>
          <w:szCs w:val="24"/>
          <w:vertAlign w:val="superscript"/>
        </w:rPr>
        <w:t>th</w:t>
      </w:r>
      <w:r w:rsidRPr="00ED05A5">
        <w:rPr>
          <w:rFonts w:cstheme="minorHAnsi"/>
          <w:sz w:val="24"/>
          <w:szCs w:val="24"/>
        </w:rPr>
        <w:t xml:space="preserve"> May 2022]. </w:t>
      </w:r>
    </w:p>
    <w:p w14:paraId="4BCA44DE"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Carmona- Bayonas A, Jimenez-Fonseca P, </w:t>
      </w:r>
      <w:proofErr w:type="spellStart"/>
      <w:r w:rsidRPr="00ED05A5">
        <w:rPr>
          <w:rFonts w:cstheme="minorHAnsi"/>
          <w:sz w:val="24"/>
          <w:szCs w:val="24"/>
        </w:rPr>
        <w:t>Virizuela</w:t>
      </w:r>
      <w:proofErr w:type="spellEnd"/>
      <w:r w:rsidRPr="00ED05A5">
        <w:rPr>
          <w:rFonts w:cstheme="minorHAnsi"/>
          <w:sz w:val="24"/>
          <w:szCs w:val="24"/>
        </w:rPr>
        <w:t xml:space="preserve"> EJ (2015) Prediction of serious complications in patients with seemingly stable febrile neutropenia: validation of the clinical index of stable febrile neutropenia in a prospective cohort of patients from the FINITE study. Journal Clinical Oncology. 33, 465-471.</w:t>
      </w:r>
    </w:p>
    <w:p w14:paraId="29C0E7FE"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Carmona-Bayonas A, Gómez J, González-</w:t>
      </w:r>
      <w:proofErr w:type="spellStart"/>
      <w:r w:rsidRPr="00ED05A5">
        <w:rPr>
          <w:rFonts w:cstheme="minorHAnsi"/>
          <w:sz w:val="24"/>
          <w:szCs w:val="24"/>
        </w:rPr>
        <w:t>Billalabeitia</w:t>
      </w:r>
      <w:proofErr w:type="spellEnd"/>
      <w:r w:rsidRPr="00ED05A5">
        <w:rPr>
          <w:rFonts w:cstheme="minorHAnsi"/>
          <w:sz w:val="24"/>
          <w:szCs w:val="24"/>
        </w:rPr>
        <w:t xml:space="preserve"> E (2011) Prognostic evaluation of febrile neutropaenia in apparently stable adult cancer patient. British Journal of Cancer. 105, 612–617.</w:t>
      </w:r>
    </w:p>
    <w:p w14:paraId="6890D1F7"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t>Cecconi M, Evans L, Levy M, et al. (2018) Sepsis and septic shock. Lancet 392(10141), 75-87.</w:t>
      </w:r>
    </w:p>
    <w:p w14:paraId="16D3D0A4"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Cherif H, Johansson E, </w:t>
      </w:r>
      <w:proofErr w:type="spellStart"/>
      <w:r w:rsidRPr="00ED05A5">
        <w:rPr>
          <w:rFonts w:cstheme="minorHAnsi"/>
          <w:sz w:val="24"/>
          <w:szCs w:val="24"/>
        </w:rPr>
        <w:t>Bjorkholm</w:t>
      </w:r>
      <w:proofErr w:type="spellEnd"/>
      <w:r w:rsidRPr="00ED05A5">
        <w:rPr>
          <w:rFonts w:cstheme="minorHAnsi"/>
          <w:sz w:val="24"/>
          <w:szCs w:val="24"/>
        </w:rPr>
        <w:t xml:space="preserve"> M, Kalin, M (2006) The feasibility of early hospital discharge with oral antimicrobial therapy in low-risk patients with febrile neutropenia following chemotherapy for hematologic malignancies. </w:t>
      </w:r>
      <w:proofErr w:type="spellStart"/>
      <w:r w:rsidRPr="00ED05A5">
        <w:rPr>
          <w:rFonts w:cstheme="minorHAnsi"/>
          <w:sz w:val="24"/>
          <w:szCs w:val="24"/>
        </w:rPr>
        <w:t>Haematologica</w:t>
      </w:r>
      <w:proofErr w:type="spellEnd"/>
      <w:r w:rsidRPr="00ED05A5">
        <w:rPr>
          <w:rFonts w:cstheme="minorHAnsi"/>
          <w:sz w:val="24"/>
          <w:szCs w:val="24"/>
        </w:rPr>
        <w:t>. 91, 215-222.</w:t>
      </w:r>
    </w:p>
    <w:p w14:paraId="56F7EA3C" w14:textId="77777777" w:rsidR="00ED05A5" w:rsidRPr="00ED05A5" w:rsidRDefault="00ED05A5" w:rsidP="00E1398B">
      <w:pPr>
        <w:pStyle w:val="ListParagraph"/>
        <w:numPr>
          <w:ilvl w:val="0"/>
          <w:numId w:val="5"/>
        </w:numPr>
        <w:spacing w:line="240" w:lineRule="auto"/>
        <w:rPr>
          <w:rFonts w:cstheme="minorHAnsi"/>
          <w:sz w:val="24"/>
          <w:szCs w:val="24"/>
        </w:rPr>
      </w:pPr>
      <w:r w:rsidRPr="00ED05A5">
        <w:rPr>
          <w:rFonts w:cstheme="minorHAnsi"/>
          <w:sz w:val="24"/>
          <w:szCs w:val="24"/>
        </w:rPr>
        <w:t xml:space="preserve">Clarke R, Jenyon T, van Hamel Parsons V, King A. (2013) Neutropenic sepsis: management and complications. Clinical Medicine 13(2), 185-187. </w:t>
      </w:r>
    </w:p>
    <w:p w14:paraId="7FE1E4A6"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Clarke RT, Warnick J, Stretton, K, Littlewood TJ (2011) Improving the immediate management of neutropenic sepsis in the UK: lessons from a national audit. British Journal of Haematology. 153, 773-779.</w:t>
      </w:r>
    </w:p>
    <w:p w14:paraId="180DA0E1" w14:textId="77777777" w:rsidR="00ED05A5" w:rsidRPr="00ED05A5" w:rsidRDefault="00ED05A5" w:rsidP="00E1398B">
      <w:pPr>
        <w:pStyle w:val="ListParagraph"/>
        <w:numPr>
          <w:ilvl w:val="0"/>
          <w:numId w:val="5"/>
        </w:numPr>
        <w:spacing w:line="240" w:lineRule="auto"/>
        <w:rPr>
          <w:rFonts w:cstheme="minorHAnsi"/>
          <w:sz w:val="24"/>
          <w:szCs w:val="24"/>
        </w:rPr>
      </w:pPr>
      <w:r w:rsidRPr="00ED05A5">
        <w:rPr>
          <w:rFonts w:cstheme="minorHAnsi"/>
          <w:sz w:val="24"/>
          <w:szCs w:val="24"/>
        </w:rPr>
        <w:t xml:space="preserve">Daniels R, McNamara G, Nutbeam T, et al. (2017) UK Sepsis Trust. </w:t>
      </w:r>
      <w:hyperlink r:id="rId7" w:history="1">
        <w:r w:rsidRPr="00ED05A5">
          <w:rPr>
            <w:rStyle w:val="Hyperlink"/>
            <w:rFonts w:cstheme="minorHAnsi"/>
            <w:sz w:val="24"/>
            <w:szCs w:val="24"/>
          </w:rPr>
          <w:t>https://sepsistrust.org</w:t>
        </w:r>
      </w:hyperlink>
      <w:r w:rsidRPr="00ED05A5">
        <w:rPr>
          <w:rFonts w:cstheme="minorHAnsi"/>
          <w:sz w:val="24"/>
          <w:szCs w:val="24"/>
        </w:rPr>
        <w:t xml:space="preserve"> [Accessed 02</w:t>
      </w:r>
      <w:r w:rsidRPr="00ED05A5">
        <w:rPr>
          <w:rFonts w:cstheme="minorHAnsi"/>
          <w:sz w:val="24"/>
          <w:szCs w:val="24"/>
          <w:vertAlign w:val="superscript"/>
        </w:rPr>
        <w:t>nd</w:t>
      </w:r>
      <w:r w:rsidRPr="00ED05A5">
        <w:rPr>
          <w:rFonts w:cstheme="minorHAnsi"/>
          <w:sz w:val="24"/>
          <w:szCs w:val="24"/>
        </w:rPr>
        <w:t xml:space="preserve"> June 2022].</w:t>
      </w:r>
    </w:p>
    <w:p w14:paraId="5DE192DB"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De </w:t>
      </w:r>
      <w:proofErr w:type="spellStart"/>
      <w:r w:rsidRPr="00ED05A5">
        <w:rPr>
          <w:rFonts w:cstheme="minorHAnsi"/>
          <w:sz w:val="24"/>
          <w:szCs w:val="24"/>
        </w:rPr>
        <w:t>Naurois</w:t>
      </w:r>
      <w:proofErr w:type="spellEnd"/>
      <w:r w:rsidRPr="00ED05A5">
        <w:rPr>
          <w:rFonts w:cstheme="minorHAnsi"/>
          <w:sz w:val="24"/>
          <w:szCs w:val="24"/>
        </w:rPr>
        <w:t xml:space="preserve">, J, </w:t>
      </w:r>
      <w:proofErr w:type="spellStart"/>
      <w:r w:rsidRPr="00ED05A5">
        <w:rPr>
          <w:rFonts w:cstheme="minorHAnsi"/>
          <w:sz w:val="24"/>
          <w:szCs w:val="24"/>
        </w:rPr>
        <w:t>Novitzky</w:t>
      </w:r>
      <w:proofErr w:type="spellEnd"/>
      <w:r w:rsidRPr="00ED05A5">
        <w:rPr>
          <w:rFonts w:cstheme="minorHAnsi"/>
          <w:sz w:val="24"/>
          <w:szCs w:val="24"/>
        </w:rPr>
        <w:t>-Basso I, Gill MJ, et al. (2010) Management of febrile neutropenia: ESMO Clinical Practice Guidelines. Annals of Oncology. 21 (supplement 5), 252-256.</w:t>
      </w:r>
    </w:p>
    <w:p w14:paraId="31CBC176"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Dellinger RP, Levy MM, Carlet JM, et al. (2008) Surviving sepsis campaign: international guidelines for management of severe sepsis and septic shock. Critical Care Medicine. 36 (1), 296-327.</w:t>
      </w:r>
    </w:p>
    <w:p w14:paraId="70C9A6E7" w14:textId="77777777" w:rsidR="00ED05A5" w:rsidRPr="00ED05A5" w:rsidRDefault="00ED05A5" w:rsidP="00081A92">
      <w:pPr>
        <w:pStyle w:val="ListParagraph"/>
        <w:numPr>
          <w:ilvl w:val="0"/>
          <w:numId w:val="4"/>
        </w:numPr>
        <w:spacing w:line="240" w:lineRule="auto"/>
        <w:rPr>
          <w:rFonts w:cstheme="minorHAnsi"/>
          <w:sz w:val="24"/>
          <w:szCs w:val="24"/>
        </w:rPr>
      </w:pPr>
      <w:proofErr w:type="spellStart"/>
      <w:r w:rsidRPr="00ED05A5">
        <w:rPr>
          <w:rFonts w:cstheme="minorHAnsi"/>
          <w:sz w:val="24"/>
          <w:szCs w:val="24"/>
        </w:rPr>
        <w:t>Dunkely</w:t>
      </w:r>
      <w:proofErr w:type="spellEnd"/>
      <w:r w:rsidRPr="00ED05A5">
        <w:rPr>
          <w:rFonts w:cstheme="minorHAnsi"/>
          <w:sz w:val="24"/>
          <w:szCs w:val="24"/>
        </w:rPr>
        <w:t xml:space="preserve"> S, </w:t>
      </w:r>
      <w:proofErr w:type="spellStart"/>
      <w:r w:rsidRPr="00ED05A5">
        <w:rPr>
          <w:rFonts w:cstheme="minorHAnsi"/>
          <w:sz w:val="24"/>
          <w:szCs w:val="24"/>
        </w:rPr>
        <w:t>Mcleod</w:t>
      </w:r>
      <w:proofErr w:type="spellEnd"/>
      <w:r w:rsidRPr="00ED05A5">
        <w:rPr>
          <w:rFonts w:cstheme="minorHAnsi"/>
          <w:sz w:val="24"/>
          <w:szCs w:val="24"/>
        </w:rPr>
        <w:t xml:space="preserve"> A (2015) Neutropenic Sepsis; assessment, </w:t>
      </w:r>
      <w:proofErr w:type="gramStart"/>
      <w:r w:rsidRPr="00ED05A5">
        <w:rPr>
          <w:rFonts w:cstheme="minorHAnsi"/>
          <w:sz w:val="24"/>
          <w:szCs w:val="24"/>
        </w:rPr>
        <w:t>pathophysiology</w:t>
      </w:r>
      <w:proofErr w:type="gramEnd"/>
      <w:r w:rsidRPr="00ED05A5">
        <w:rPr>
          <w:rFonts w:cstheme="minorHAnsi"/>
          <w:sz w:val="24"/>
          <w:szCs w:val="24"/>
        </w:rPr>
        <w:t xml:space="preserve"> and nursing care. British Journal of Neuroscience Nursing. 11 (2), 79-87.</w:t>
      </w:r>
    </w:p>
    <w:p w14:paraId="0314E05C"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Ford A, Marshall E (2014). Neutropenic Sepsis: a potentially life-threatening complication of chemotherapy. Clinical Medicine. 14 (5), 538-542.</w:t>
      </w:r>
    </w:p>
    <w:p w14:paraId="52EFE763"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Forde C, Scullin P (2017). Chasing the Golden Hour - Lessons learned from improving initial neutropenic sepsis management. BMJ quality improvement reports, 6(1).</w:t>
      </w:r>
    </w:p>
    <w:p w14:paraId="588CA31F"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Gabriel, J. (2012) Acute oncological emergencies. Nursing Standard. 27 (4), 35-42.</w:t>
      </w:r>
    </w:p>
    <w:p w14:paraId="265ACB28"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Gaieski DF, Mikkelsen ME, Band RA, et al. (2010). Impact on time to antibiotics on survival in patients with severe sepsis or septic shock in whom early goal-directed therapy was initiated in the emergency department. Critical Care Medicine. 38 (4), 1045-1053.</w:t>
      </w:r>
    </w:p>
    <w:p w14:paraId="043090C8"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lastRenderedPageBreak/>
        <w:t>Gauer RL (2013) Early recognition and management of sepsis in adults: the first six hours. American Family Physician. 88(1), 44-53.</w:t>
      </w:r>
    </w:p>
    <w:p w14:paraId="562EF490" w14:textId="77777777" w:rsidR="00ED05A5" w:rsidRPr="00ED05A5" w:rsidRDefault="00ED05A5" w:rsidP="00081A92">
      <w:pPr>
        <w:pStyle w:val="ListParagraph"/>
        <w:numPr>
          <w:ilvl w:val="0"/>
          <w:numId w:val="4"/>
        </w:numPr>
        <w:spacing w:line="240" w:lineRule="auto"/>
        <w:rPr>
          <w:rFonts w:cstheme="minorHAnsi"/>
          <w:sz w:val="24"/>
          <w:szCs w:val="24"/>
        </w:rPr>
      </w:pPr>
      <w:proofErr w:type="spellStart"/>
      <w:r w:rsidRPr="00ED05A5">
        <w:rPr>
          <w:rFonts w:cstheme="minorHAnsi"/>
          <w:sz w:val="24"/>
          <w:szCs w:val="24"/>
        </w:rPr>
        <w:t>Gerlier</w:t>
      </w:r>
      <w:proofErr w:type="spellEnd"/>
      <w:r w:rsidRPr="00ED05A5">
        <w:rPr>
          <w:rFonts w:cstheme="minorHAnsi"/>
          <w:sz w:val="24"/>
          <w:szCs w:val="24"/>
        </w:rPr>
        <w:t xml:space="preserve"> L, </w:t>
      </w:r>
      <w:proofErr w:type="spellStart"/>
      <w:r w:rsidRPr="00ED05A5">
        <w:rPr>
          <w:rFonts w:cstheme="minorHAnsi"/>
          <w:sz w:val="24"/>
          <w:szCs w:val="24"/>
        </w:rPr>
        <w:t>Lamotte</w:t>
      </w:r>
      <w:proofErr w:type="spellEnd"/>
      <w:r w:rsidRPr="00ED05A5">
        <w:rPr>
          <w:rFonts w:cstheme="minorHAnsi"/>
          <w:sz w:val="24"/>
          <w:szCs w:val="24"/>
        </w:rPr>
        <w:t xml:space="preserve"> M, Awada A, et al. (2010). The use of chemotherapy regimens carrying a moderate port high risk of febrile neutropenia and the corresponding management of febrile neutropenia: an expect survey in breast cancer and non-Hodgkin’s lymphoma. BMC Cancer. 10, 642-662.</w:t>
      </w:r>
    </w:p>
    <w:p w14:paraId="62692315"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Glasziou P, Moynihan R, Richards T (2013) Too much medicine, too little care. BMJ. 2, 347.</w:t>
      </w:r>
    </w:p>
    <w:p w14:paraId="7673D69C"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Gross PA (2006) Hypotension and mortality in septic shock: the ‘golden hour’. Critical Care Medicine. 34 (6), 1819-1820.</w:t>
      </w:r>
    </w:p>
    <w:p w14:paraId="54FD13C9"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Ha YE, Song JH, Kang WK, et al. (2010). Clinical factors predicting bacteremia in low-risk febrile neutropenia after anti-cancer chemotherapy. Support Care Cancer.  19, 1761.</w:t>
      </w:r>
    </w:p>
    <w:p w14:paraId="0BECDC44"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Hawkins J, Jones P, McShane B, et al. (2022) Telephone Triage Toolkit for Children's cancer services: A quality initiative. European journal of oncology nursing. 56, 02036-102036.</w:t>
      </w:r>
    </w:p>
    <w:p w14:paraId="18CAD2CE"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Higgins A, Hill A. (2012) Effectiveness of a neutropenic sepsis clinical pathway. Cancer Nursing Practice. 11 (10), 22-27.</w:t>
      </w:r>
    </w:p>
    <w:p w14:paraId="3805E1DB"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Higgins A. (2008) Raising awareness of neutropenic sepsis risk in ambulatory patients. Cancer Nursing Practice. 9(7), 34-38.</w:t>
      </w:r>
    </w:p>
    <w:p w14:paraId="54B6712A"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Innes H, Lim SL, Hall A, et al. (2008) Management of febrile neutropenia in solid tumours and lymphomas using the Multinational Association for Supportive Care in Cancer (MASCC) Risk Index: feasibility and safety in routine clinical practice. Support Care Cancer. 16, 485-491.</w:t>
      </w:r>
    </w:p>
    <w:p w14:paraId="76203398"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Khan S, Dhadda A, Fyfe D, Sundar S. (2008) Impact of neutropenia on delivering planned chemotherapy on solid tumours. European Journal of Cancer Care. 17 (1), 19-25.</w:t>
      </w:r>
    </w:p>
    <w:p w14:paraId="4C68382B"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t>Klastersky J, de Naurois, J, Rolston K. et al. (2016) Management of febrile neutropaenia: ESMO clinical practice guidelines. Annals of Oncology 27(S5), 111-118.</w:t>
      </w:r>
    </w:p>
    <w:p w14:paraId="553F9D77"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Klastersky J, </w:t>
      </w:r>
      <w:proofErr w:type="spellStart"/>
      <w:r w:rsidRPr="00ED05A5">
        <w:rPr>
          <w:rFonts w:cstheme="minorHAnsi"/>
          <w:sz w:val="24"/>
          <w:szCs w:val="24"/>
        </w:rPr>
        <w:t>Paesams</w:t>
      </w:r>
      <w:proofErr w:type="spellEnd"/>
      <w:r w:rsidRPr="00ED05A5">
        <w:rPr>
          <w:rFonts w:cstheme="minorHAnsi"/>
          <w:sz w:val="24"/>
          <w:szCs w:val="24"/>
        </w:rPr>
        <w:t xml:space="preserve">, M, </w:t>
      </w:r>
      <w:proofErr w:type="spellStart"/>
      <w:r w:rsidRPr="00ED05A5">
        <w:rPr>
          <w:rFonts w:cstheme="minorHAnsi"/>
          <w:sz w:val="24"/>
          <w:szCs w:val="24"/>
        </w:rPr>
        <w:t>Georgala</w:t>
      </w:r>
      <w:proofErr w:type="spellEnd"/>
      <w:r w:rsidRPr="00ED05A5">
        <w:rPr>
          <w:rFonts w:cstheme="minorHAnsi"/>
          <w:sz w:val="24"/>
          <w:szCs w:val="24"/>
        </w:rPr>
        <w:t xml:space="preserve">, A. (2006) Outpatient oral antibiotics for febrile neutropenia cancer patients using a predictive for complications. Journal clinical Oncology. 24 (41), 29-34. </w:t>
      </w:r>
    </w:p>
    <w:p w14:paraId="0488C1E4" w14:textId="77777777" w:rsidR="00ED05A5" w:rsidRPr="00ED05A5" w:rsidRDefault="00ED05A5" w:rsidP="00081A92">
      <w:pPr>
        <w:pStyle w:val="ListParagraph"/>
        <w:numPr>
          <w:ilvl w:val="0"/>
          <w:numId w:val="4"/>
        </w:numPr>
        <w:spacing w:line="240" w:lineRule="auto"/>
        <w:rPr>
          <w:rFonts w:cstheme="minorHAnsi"/>
          <w:sz w:val="24"/>
          <w:szCs w:val="24"/>
        </w:rPr>
      </w:pPr>
      <w:proofErr w:type="spellStart"/>
      <w:r w:rsidRPr="00ED05A5">
        <w:rPr>
          <w:rFonts w:cstheme="minorHAnsi"/>
          <w:sz w:val="24"/>
          <w:szCs w:val="24"/>
        </w:rPr>
        <w:t>Klastersky</w:t>
      </w:r>
      <w:proofErr w:type="spellEnd"/>
      <w:r w:rsidRPr="00ED05A5">
        <w:rPr>
          <w:rFonts w:cstheme="minorHAnsi"/>
          <w:sz w:val="24"/>
          <w:szCs w:val="24"/>
        </w:rPr>
        <w:t xml:space="preserve"> J, </w:t>
      </w:r>
      <w:proofErr w:type="spellStart"/>
      <w:r w:rsidRPr="00ED05A5">
        <w:rPr>
          <w:rFonts w:cstheme="minorHAnsi"/>
          <w:sz w:val="24"/>
          <w:szCs w:val="24"/>
        </w:rPr>
        <w:t>Paesmans</w:t>
      </w:r>
      <w:proofErr w:type="spellEnd"/>
      <w:r w:rsidRPr="00ED05A5">
        <w:rPr>
          <w:rFonts w:cstheme="minorHAnsi"/>
          <w:sz w:val="24"/>
          <w:szCs w:val="24"/>
        </w:rPr>
        <w:t xml:space="preserve"> M, Rubenstein EB, et al. (2000) The Multinational Association for Supportive Care in Cancer risk index: A multinational scoring system for identifying low-risk febrile neutropenic cancer patients. Journal of Clinical Oncology. 18, 3038-3051.</w:t>
      </w:r>
    </w:p>
    <w:p w14:paraId="0D82EB46"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Ko BS, Ahn S, Lee YS, et al. (2015) Impact of time to antibiotics in outcomes of chemotherapy-induced febrile neutropenia. Support Cancer Care. 23, 2799-2804.</w:t>
      </w:r>
    </w:p>
    <w:p w14:paraId="72888CAE"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t>Kochanek M, Schalk, E, von Bergwelt-Baildon M, et al. (2019) Management of sepsis in neutropenic cancer patients: 2018 guidelines from the Infectious Diseases Working Party (AGIHO) and Intensive Care Working Party (iCHOP) of the German Society of Hematology and Medical Oncology (DGHO). Annals of Hematology 98(5), 1051-1069.</w:t>
      </w:r>
    </w:p>
    <w:p w14:paraId="7B89EE83"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Krell D, Jones A (2009) Impact of effective prevention and management of febrile neutropenia sepsis. British Journal of Cancer. 101, Supplement 1, 23-26.</w:t>
      </w:r>
    </w:p>
    <w:p w14:paraId="759008CE"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lastRenderedPageBreak/>
        <w:t>Kuderer NM, Dale DC, Crawford J, et al. (2006) Mortality, Morbidity, and cost associated with febrile neutropenia in adult cancer patients. Cancer. 106 (10), 2258-2266.</w:t>
      </w:r>
    </w:p>
    <w:p w14:paraId="31AEB25C"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Kumar A, Roberts D, Wood KE, et al. (2006) Duration of hypotension before initiation of effective anti-microbial therapy is the critical determinant of survival in human septic shock. Critical Care Medicine. 34, 1589-1596.</w:t>
      </w:r>
    </w:p>
    <w:p w14:paraId="15FD4014"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Larche J, Azoulay E, </w:t>
      </w:r>
      <w:proofErr w:type="spellStart"/>
      <w:r w:rsidRPr="00ED05A5">
        <w:rPr>
          <w:rFonts w:cstheme="minorHAnsi"/>
          <w:sz w:val="24"/>
          <w:szCs w:val="24"/>
        </w:rPr>
        <w:t>Fieux</w:t>
      </w:r>
      <w:proofErr w:type="spellEnd"/>
      <w:r w:rsidRPr="00ED05A5">
        <w:rPr>
          <w:rFonts w:cstheme="minorHAnsi"/>
          <w:sz w:val="24"/>
          <w:szCs w:val="24"/>
        </w:rPr>
        <w:t xml:space="preserve"> F, et al. (2003) Improved survival of critically ill cancer patients with septic shock. Intensive Care Medicine. 29, 1688-1695. </w:t>
      </w:r>
    </w:p>
    <w:p w14:paraId="2F8FEBC6"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t>Levy MM, Evans LE, Rhodes A (2018) The Surviving Sepsis Campaign Bundle: 2018 update. Critical Care Medicine. 46(6), 997-1000.</w:t>
      </w:r>
    </w:p>
    <w:p w14:paraId="3F54E0B9"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Lin MY, Weinstein RA, Hota B (2008). Delay of active antimicrobial therapy and mortality among patients with bacteremia: impact of severe neutropenia. Antimicrobial Agents &amp; Chemotherapy. 52, 3188-3194. </w:t>
      </w:r>
    </w:p>
    <w:p w14:paraId="363DF239" w14:textId="77777777" w:rsidR="00ED05A5" w:rsidRPr="00ED05A5" w:rsidRDefault="00ED05A5" w:rsidP="00081A92">
      <w:pPr>
        <w:pStyle w:val="ListParagraph"/>
        <w:numPr>
          <w:ilvl w:val="0"/>
          <w:numId w:val="4"/>
        </w:numPr>
        <w:spacing w:line="240" w:lineRule="auto"/>
        <w:rPr>
          <w:rFonts w:cstheme="minorHAnsi"/>
          <w:sz w:val="24"/>
          <w:szCs w:val="24"/>
        </w:rPr>
      </w:pPr>
      <w:proofErr w:type="spellStart"/>
      <w:r w:rsidRPr="00ED05A5">
        <w:rPr>
          <w:rFonts w:cstheme="minorHAnsi"/>
          <w:sz w:val="24"/>
          <w:szCs w:val="24"/>
        </w:rPr>
        <w:t>Lortholary</w:t>
      </w:r>
      <w:proofErr w:type="spellEnd"/>
      <w:r w:rsidRPr="00ED05A5">
        <w:rPr>
          <w:rFonts w:cstheme="minorHAnsi"/>
          <w:sz w:val="24"/>
          <w:szCs w:val="24"/>
        </w:rPr>
        <w:t xml:space="preserve"> O, Lefort A, Tod M, et al. (2008) Pharmacodynamics and pharmacokinetics of antibacterial drugs in the management of febrile neutropenia. Lancet Infectious Diseases. 8, 612-620.</w:t>
      </w:r>
    </w:p>
    <w:p w14:paraId="01824675"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Mansour D, Simcock R, Gilbert DC (2011) Acute Oncology Service: Assessing the Need and its implications. Clinical Oncology. 23, 168-173.</w:t>
      </w:r>
    </w:p>
    <w:p w14:paraId="7DD5B07F"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Moon JM, Chun BJ (2009). Predicting the complicated neutropenic fever in the emergency department. Emergency Medicine Journal. 26, 802-806.</w:t>
      </w:r>
    </w:p>
    <w:p w14:paraId="09E0E89C"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National Chemotherapy Advisory Group (NCAG) (2009) Chemotherapy Services in England: Ensuring quality and safety. London </w:t>
      </w:r>
    </w:p>
    <w:p w14:paraId="14485A0D"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National Confidential Enquiry into Patient Outcome and Death (NECPOD) (2008) Systemic Anti-Cancer Therapy: For better for Worse. London.</w:t>
      </w:r>
    </w:p>
    <w:p w14:paraId="36B37319"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National Institute for Health and Care Excellence. Neutropenic Sepsis: prevention and management of neutropenic sepsis in cancer patients. CG15. London: NICE, 2012.</w:t>
      </w:r>
    </w:p>
    <w:p w14:paraId="1D535FC6"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t xml:space="preserve">NICE (2019) Sepsis: recognition, assessment, and early management. National Institute for Health and Care Excellence. </w:t>
      </w:r>
      <w:hyperlink r:id="rId8" w:history="1">
        <w:r w:rsidRPr="00ED05A5">
          <w:rPr>
            <w:rStyle w:val="Hyperlink"/>
            <w:rFonts w:cstheme="minorHAnsi"/>
            <w:sz w:val="24"/>
            <w:szCs w:val="24"/>
          </w:rPr>
          <w:t>http://www.nice.org.uk</w:t>
        </w:r>
      </w:hyperlink>
      <w:r w:rsidRPr="00ED05A5">
        <w:rPr>
          <w:rFonts w:cstheme="minorHAnsi"/>
          <w:sz w:val="24"/>
          <w:szCs w:val="24"/>
        </w:rPr>
        <w:t xml:space="preserve"> [accessed 2</w:t>
      </w:r>
      <w:r w:rsidRPr="00ED05A5">
        <w:rPr>
          <w:rFonts w:cstheme="minorHAnsi"/>
          <w:sz w:val="24"/>
          <w:szCs w:val="24"/>
          <w:vertAlign w:val="superscript"/>
        </w:rPr>
        <w:t>nd</w:t>
      </w:r>
      <w:r w:rsidRPr="00ED05A5">
        <w:rPr>
          <w:rFonts w:cstheme="minorHAnsi"/>
          <w:sz w:val="24"/>
          <w:szCs w:val="24"/>
        </w:rPr>
        <w:t xml:space="preserve"> June 2022].</w:t>
      </w:r>
    </w:p>
    <w:p w14:paraId="228DF2AB"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O’Brien C, </w:t>
      </w:r>
      <w:proofErr w:type="spellStart"/>
      <w:r w:rsidRPr="00ED05A5">
        <w:rPr>
          <w:rFonts w:cstheme="minorHAnsi"/>
          <w:sz w:val="24"/>
          <w:szCs w:val="24"/>
        </w:rPr>
        <w:t>Forgaty</w:t>
      </w:r>
      <w:proofErr w:type="spellEnd"/>
      <w:r w:rsidRPr="00ED05A5">
        <w:rPr>
          <w:rFonts w:cstheme="minorHAnsi"/>
          <w:sz w:val="24"/>
          <w:szCs w:val="24"/>
        </w:rPr>
        <w:t xml:space="preserve"> C, Walsh C, et al. (2015) The cost of the inpatient management of febrile neutropenia in cancer patients- a micro-costing study in the Irish healthcare setting. European Journal of Cancer Care. 24, 125-132.</w:t>
      </w:r>
    </w:p>
    <w:p w14:paraId="3AA34564"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Oakley C, Taylor C, Ream E, Metcalfe A (2016) Avoidant conversations about death by </w:t>
      </w:r>
      <w:proofErr w:type="gramStart"/>
      <w:r w:rsidRPr="00ED05A5">
        <w:rPr>
          <w:rFonts w:cstheme="minorHAnsi"/>
          <w:sz w:val="24"/>
          <w:szCs w:val="24"/>
        </w:rPr>
        <w:t>clinicians</w:t>
      </w:r>
      <w:proofErr w:type="gramEnd"/>
      <w:r w:rsidRPr="00ED05A5">
        <w:rPr>
          <w:rFonts w:cstheme="minorHAnsi"/>
          <w:sz w:val="24"/>
          <w:szCs w:val="24"/>
        </w:rPr>
        <w:t xml:space="preserve"> case delays in reporting of neutropenic sepsis: Grounded theory study. Psycho-Oncology. 1 (8), 1-8.</w:t>
      </w:r>
    </w:p>
    <w:p w14:paraId="24A9DACE"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Okera M, Chan S, </w:t>
      </w:r>
      <w:proofErr w:type="spellStart"/>
      <w:r w:rsidRPr="00ED05A5">
        <w:rPr>
          <w:rFonts w:cstheme="minorHAnsi"/>
          <w:sz w:val="24"/>
          <w:szCs w:val="24"/>
        </w:rPr>
        <w:t>Dernede</w:t>
      </w:r>
      <w:proofErr w:type="spellEnd"/>
      <w:r w:rsidRPr="00ED05A5">
        <w:rPr>
          <w:rFonts w:cstheme="minorHAnsi"/>
          <w:sz w:val="24"/>
          <w:szCs w:val="24"/>
        </w:rPr>
        <w:t xml:space="preserve"> U, Chowdhury S (2011) A prospective study of chemotherapy induced febrile neutropenia in the Southwest London Cancer Network. Interpretation of study results </w:t>
      </w:r>
      <w:proofErr w:type="gramStart"/>
      <w:r w:rsidRPr="00ED05A5">
        <w:rPr>
          <w:rFonts w:cstheme="minorHAnsi"/>
          <w:sz w:val="24"/>
          <w:szCs w:val="24"/>
        </w:rPr>
        <w:t>in light of</w:t>
      </w:r>
      <w:proofErr w:type="gramEnd"/>
      <w:r w:rsidRPr="00ED05A5">
        <w:rPr>
          <w:rFonts w:cstheme="minorHAnsi"/>
          <w:sz w:val="24"/>
          <w:szCs w:val="24"/>
        </w:rPr>
        <w:t xml:space="preserve"> NCAG/NCEPOD findings. British Journal of Cancer. 104, 407-412. </w:t>
      </w:r>
    </w:p>
    <w:p w14:paraId="233BE3A2" w14:textId="77777777" w:rsidR="00ED05A5" w:rsidRPr="00ED05A5" w:rsidRDefault="00ED05A5" w:rsidP="00081A92">
      <w:pPr>
        <w:pStyle w:val="ListParagraph"/>
        <w:numPr>
          <w:ilvl w:val="0"/>
          <w:numId w:val="4"/>
        </w:numPr>
        <w:spacing w:line="240" w:lineRule="auto"/>
        <w:rPr>
          <w:rFonts w:cstheme="minorHAnsi"/>
          <w:sz w:val="24"/>
          <w:szCs w:val="24"/>
        </w:rPr>
      </w:pPr>
      <w:proofErr w:type="spellStart"/>
      <w:r w:rsidRPr="00ED05A5">
        <w:rPr>
          <w:rFonts w:cstheme="minorHAnsi"/>
          <w:sz w:val="24"/>
          <w:szCs w:val="24"/>
        </w:rPr>
        <w:t>Pettengell</w:t>
      </w:r>
      <w:proofErr w:type="spellEnd"/>
      <w:r w:rsidRPr="00ED05A5">
        <w:rPr>
          <w:rFonts w:cstheme="minorHAnsi"/>
          <w:sz w:val="24"/>
          <w:szCs w:val="24"/>
        </w:rPr>
        <w:t xml:space="preserve"> R, </w:t>
      </w:r>
      <w:proofErr w:type="spellStart"/>
      <w:r w:rsidRPr="00ED05A5">
        <w:rPr>
          <w:rFonts w:cstheme="minorHAnsi"/>
          <w:sz w:val="24"/>
          <w:szCs w:val="24"/>
        </w:rPr>
        <w:t>Schwenkglenks</w:t>
      </w:r>
      <w:proofErr w:type="spellEnd"/>
      <w:r w:rsidRPr="00ED05A5">
        <w:rPr>
          <w:rFonts w:cstheme="minorHAnsi"/>
          <w:sz w:val="24"/>
          <w:szCs w:val="24"/>
        </w:rPr>
        <w:t xml:space="preserve"> M, </w:t>
      </w:r>
      <w:proofErr w:type="spellStart"/>
      <w:r w:rsidRPr="00ED05A5">
        <w:rPr>
          <w:rFonts w:cstheme="minorHAnsi"/>
          <w:sz w:val="24"/>
          <w:szCs w:val="24"/>
        </w:rPr>
        <w:t>Bosly</w:t>
      </w:r>
      <w:proofErr w:type="spellEnd"/>
      <w:r w:rsidRPr="00ED05A5">
        <w:rPr>
          <w:rFonts w:cstheme="minorHAnsi"/>
          <w:sz w:val="24"/>
          <w:szCs w:val="24"/>
        </w:rPr>
        <w:t xml:space="preserve"> A (2008). Association of reduced relative dose intensity and survival in lymphoma patients receiving chemotherapy. Annals of Haematology. 87 (1), 429-430.</w:t>
      </w:r>
    </w:p>
    <w:p w14:paraId="4B988CAD"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Pun Hui E, Leung KS, Poon T. (2011) Prediction of outcome in cancer patients with febrile neutropenia: a prospective validation of the Multinational Association for Supportive Care in Cancer risk index in a Chinese population and comparison with </w:t>
      </w:r>
      <w:r w:rsidRPr="00ED05A5">
        <w:rPr>
          <w:rFonts w:cstheme="minorHAnsi"/>
          <w:sz w:val="24"/>
          <w:szCs w:val="24"/>
        </w:rPr>
        <w:lastRenderedPageBreak/>
        <w:t>the Talcott model and artificial neural network. Support Care Cancer. 19 (16), 25–1635.</w:t>
      </w:r>
    </w:p>
    <w:p w14:paraId="3659A5FC"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 RCGP (2018) Sepsis: guidance for GPs. Royal College of General Practitioners. </w:t>
      </w:r>
      <w:hyperlink r:id="rId9" w:history="1">
        <w:r w:rsidRPr="00ED05A5">
          <w:rPr>
            <w:rStyle w:val="Hyperlink"/>
            <w:rFonts w:cstheme="minorHAnsi"/>
            <w:sz w:val="24"/>
            <w:szCs w:val="24"/>
          </w:rPr>
          <w:t>http://www.rcgp.org.uk</w:t>
        </w:r>
      </w:hyperlink>
      <w:r w:rsidRPr="00ED05A5">
        <w:rPr>
          <w:rFonts w:cstheme="minorHAnsi"/>
          <w:sz w:val="24"/>
          <w:szCs w:val="24"/>
        </w:rPr>
        <w:t xml:space="preserve"> [Accessed 02</w:t>
      </w:r>
      <w:r w:rsidRPr="00ED05A5">
        <w:rPr>
          <w:rFonts w:cstheme="minorHAnsi"/>
          <w:sz w:val="24"/>
          <w:szCs w:val="24"/>
          <w:vertAlign w:val="superscript"/>
        </w:rPr>
        <w:t>nd</w:t>
      </w:r>
      <w:r w:rsidRPr="00ED05A5">
        <w:rPr>
          <w:rFonts w:cstheme="minorHAnsi"/>
          <w:sz w:val="24"/>
          <w:szCs w:val="24"/>
        </w:rPr>
        <w:t xml:space="preserve"> June 2022].</w:t>
      </w:r>
    </w:p>
    <w:p w14:paraId="284185EC"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t>Rhodes, A, Evans LE, Alhazzani W, et al. (2017) Surviving Sepsis Campaign: International Guidelines for Management of Sepsis and Septic Shock: 2016. Intensive Care Medicine. 43(3), 304-37.</w:t>
      </w:r>
    </w:p>
    <w:p w14:paraId="74BB6C3F" w14:textId="77777777" w:rsidR="00ED05A5" w:rsidRPr="00ED05A5" w:rsidRDefault="00ED05A5" w:rsidP="00CE2764">
      <w:pPr>
        <w:pStyle w:val="ListParagraph"/>
        <w:numPr>
          <w:ilvl w:val="0"/>
          <w:numId w:val="5"/>
        </w:numPr>
        <w:spacing w:line="240" w:lineRule="auto"/>
        <w:rPr>
          <w:rFonts w:cstheme="minorHAnsi"/>
          <w:sz w:val="24"/>
          <w:szCs w:val="24"/>
        </w:rPr>
      </w:pPr>
      <w:r w:rsidRPr="00ED05A5">
        <w:rPr>
          <w:rFonts w:cstheme="minorHAnsi"/>
          <w:sz w:val="24"/>
          <w:szCs w:val="24"/>
        </w:rPr>
        <w:t>Singer, M, Deutschman CS, Seymour CW, et al. (2016) The Third International Consensus Definitions for Sepsis and Septic Shock (Sepsis-3). JAMA 315(8), 801-810.</w:t>
      </w:r>
    </w:p>
    <w:p w14:paraId="5534B1F5"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The Immunocompromised Host Society. From the immunocompromised host Society. (1990) The design, analysis, and reporting of clinical trials on the empirical antibiotic management of the neutropenic patient. Report of a consensus panel. The Journal of Infectious Diseases</w:t>
      </w:r>
      <w:r w:rsidRPr="00ED05A5">
        <w:rPr>
          <w:rFonts w:cstheme="minorHAnsi"/>
          <w:i/>
          <w:iCs/>
          <w:sz w:val="24"/>
          <w:szCs w:val="24"/>
        </w:rPr>
        <w:t xml:space="preserve">. </w:t>
      </w:r>
    </w:p>
    <w:p w14:paraId="619BF49F"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UKONS (2016) United Kingdom Oncology Nursing Society [UKONS] Oncology/Haematology 24 Hour Triage United Kingdom Oncology Nursing Society (2016) Editor P. Jones Retrieved 05th May 2022 from </w:t>
      </w:r>
      <w:hyperlink r:id="rId10" w:history="1">
        <w:r w:rsidRPr="00ED05A5">
          <w:rPr>
            <w:rStyle w:val="Hyperlink"/>
            <w:rFonts w:cstheme="minorHAnsi"/>
            <w:sz w:val="24"/>
            <w:szCs w:val="24"/>
          </w:rPr>
          <w:t>https://www.ukons.org/site/assets/files/1134/oncology_haematology_24_hour_triage.pdf</w:t>
        </w:r>
      </w:hyperlink>
      <w:r w:rsidRPr="00ED05A5">
        <w:rPr>
          <w:rFonts w:cstheme="minorHAnsi"/>
          <w:sz w:val="24"/>
          <w:szCs w:val="24"/>
        </w:rPr>
        <w:t xml:space="preserve"> </w:t>
      </w:r>
    </w:p>
    <w:p w14:paraId="370451D4"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Walji N, Chan AK, Peake, DR. (2008) Common acute oncological emergencies: diagnosis, investigation, and management. Postgraduate Medicine Journal. 84, 418-427.</w:t>
      </w:r>
    </w:p>
    <w:p w14:paraId="3BC3F23B"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Warnock C, </w:t>
      </w:r>
      <w:proofErr w:type="spellStart"/>
      <w:r w:rsidRPr="00ED05A5">
        <w:rPr>
          <w:rFonts w:cstheme="minorHAnsi"/>
          <w:sz w:val="24"/>
          <w:szCs w:val="24"/>
        </w:rPr>
        <w:t>Totterdell</w:t>
      </w:r>
      <w:proofErr w:type="spellEnd"/>
      <w:r w:rsidRPr="00ED05A5">
        <w:rPr>
          <w:rFonts w:cstheme="minorHAnsi"/>
          <w:sz w:val="24"/>
          <w:szCs w:val="24"/>
        </w:rPr>
        <w:t xml:space="preserve"> P, Tod AM, et al. (2018) The role of temperature in the detection and diagnosis of neutropenic sepsis in adult solid tumour cancer patients receiving chemotherapy. European Journal of Oncology Nursing 37, 12-18.</w:t>
      </w:r>
    </w:p>
    <w:p w14:paraId="67308E75" w14:textId="77777777" w:rsidR="00ED05A5" w:rsidRPr="00ED05A5" w:rsidRDefault="00ED05A5" w:rsidP="00081A92">
      <w:pPr>
        <w:pStyle w:val="ListParagraph"/>
        <w:numPr>
          <w:ilvl w:val="0"/>
          <w:numId w:val="4"/>
        </w:numPr>
        <w:spacing w:line="240" w:lineRule="auto"/>
        <w:rPr>
          <w:rFonts w:cstheme="minorHAnsi"/>
          <w:sz w:val="24"/>
          <w:szCs w:val="24"/>
        </w:rPr>
      </w:pPr>
      <w:r w:rsidRPr="00ED05A5">
        <w:rPr>
          <w:rFonts w:cstheme="minorHAnsi"/>
          <w:sz w:val="24"/>
          <w:szCs w:val="24"/>
        </w:rPr>
        <w:t xml:space="preserve">Williams A, </w:t>
      </w:r>
      <w:proofErr w:type="spellStart"/>
      <w:r w:rsidRPr="00ED05A5">
        <w:rPr>
          <w:rFonts w:cstheme="minorHAnsi"/>
          <w:sz w:val="24"/>
          <w:szCs w:val="24"/>
        </w:rPr>
        <w:t>Canidsh</w:t>
      </w:r>
      <w:proofErr w:type="spellEnd"/>
      <w:r w:rsidRPr="00ED05A5">
        <w:rPr>
          <w:rFonts w:cstheme="minorHAnsi"/>
          <w:sz w:val="24"/>
          <w:szCs w:val="24"/>
        </w:rPr>
        <w:t xml:space="preserve"> C, Ayrton, C, et al. (2014) Reducing the Door to Needle Time for Antibiotics in Suspected Neutropenic Sepsis using a Dedicated Pathway. Clinical Oncology. 26, S1-S10.</w:t>
      </w:r>
    </w:p>
    <w:p w14:paraId="4CD61437" w14:textId="77777777" w:rsidR="00ED05A5" w:rsidRPr="00ED05A5" w:rsidRDefault="00ED05A5" w:rsidP="00921A58">
      <w:pPr>
        <w:pStyle w:val="ListParagraph"/>
        <w:numPr>
          <w:ilvl w:val="0"/>
          <w:numId w:val="4"/>
        </w:numPr>
        <w:spacing w:line="240" w:lineRule="auto"/>
        <w:rPr>
          <w:rFonts w:cstheme="minorHAnsi"/>
          <w:sz w:val="24"/>
          <w:szCs w:val="24"/>
        </w:rPr>
      </w:pPr>
      <w:r w:rsidRPr="00ED05A5">
        <w:rPr>
          <w:rFonts w:cstheme="minorHAnsi"/>
          <w:sz w:val="24"/>
          <w:szCs w:val="24"/>
        </w:rPr>
        <w:t xml:space="preserve">Wyatt D, Hulbert-Williams N (2015) Cancer and Cancer Care. London: SAGE Publications Ltd. </w:t>
      </w:r>
    </w:p>
    <w:p w14:paraId="4BD26988" w14:textId="77777777" w:rsidR="00ED05A5" w:rsidRPr="00ED05A5" w:rsidRDefault="00ED05A5" w:rsidP="00BA2308">
      <w:pPr>
        <w:pStyle w:val="ListParagraph"/>
        <w:numPr>
          <w:ilvl w:val="0"/>
          <w:numId w:val="4"/>
        </w:numPr>
        <w:spacing w:line="240" w:lineRule="auto"/>
        <w:rPr>
          <w:rFonts w:cstheme="minorHAnsi"/>
          <w:sz w:val="24"/>
          <w:szCs w:val="24"/>
        </w:rPr>
      </w:pPr>
      <w:r w:rsidRPr="00ED05A5">
        <w:rPr>
          <w:rFonts w:cstheme="minorHAnsi"/>
          <w:sz w:val="24"/>
          <w:szCs w:val="24"/>
        </w:rPr>
        <w:t>Zuckermann J, Moreira LB, Stoll P, et al. (2008) Compliance with a critical pathway for the management of febrile neutropenia and impact on clinical outcomes. Annals of Hematology. 87 (2), 139-145.</w:t>
      </w:r>
    </w:p>
    <w:p w14:paraId="695C32F5" w14:textId="5449619B" w:rsidR="0054386A" w:rsidRDefault="0054386A" w:rsidP="00BA2308">
      <w:pPr>
        <w:spacing w:line="240" w:lineRule="auto"/>
        <w:rPr>
          <w:rFonts w:cstheme="minorHAnsi"/>
          <w:sz w:val="24"/>
          <w:szCs w:val="24"/>
        </w:rPr>
      </w:pPr>
    </w:p>
    <w:p w14:paraId="70927886" w14:textId="3482531F" w:rsidR="0054386A" w:rsidRDefault="004011FC" w:rsidP="00BA2308">
      <w:pPr>
        <w:spacing w:line="240" w:lineRule="auto"/>
        <w:rPr>
          <w:rFonts w:cstheme="minorHAnsi"/>
          <w:sz w:val="24"/>
          <w:szCs w:val="24"/>
        </w:rPr>
      </w:pPr>
      <w:r>
        <w:rPr>
          <w:rFonts w:cstheme="minorHAnsi"/>
          <w:sz w:val="24"/>
          <w:szCs w:val="24"/>
        </w:rPr>
        <w:t>Summary table of risk factors</w:t>
      </w:r>
    </w:p>
    <w:tbl>
      <w:tblPr>
        <w:tblStyle w:val="TableGrid"/>
        <w:tblW w:w="0" w:type="auto"/>
        <w:tblLook w:val="04A0" w:firstRow="1" w:lastRow="0" w:firstColumn="1" w:lastColumn="0" w:noHBand="0" w:noVBand="1"/>
      </w:tblPr>
      <w:tblGrid>
        <w:gridCol w:w="9016"/>
      </w:tblGrid>
      <w:tr w:rsidR="004011FC" w14:paraId="0CCD828D" w14:textId="77777777" w:rsidTr="004011FC">
        <w:tc>
          <w:tcPr>
            <w:tcW w:w="9016" w:type="dxa"/>
          </w:tcPr>
          <w:p w14:paraId="02B29803" w14:textId="77777777" w:rsidR="004011FC" w:rsidRDefault="004011FC" w:rsidP="00BA2308">
            <w:pPr>
              <w:rPr>
                <w:rFonts w:cstheme="minorHAnsi"/>
                <w:sz w:val="24"/>
                <w:szCs w:val="24"/>
              </w:rPr>
            </w:pPr>
            <w:r>
              <w:rPr>
                <w:rFonts w:cstheme="minorHAnsi"/>
                <w:sz w:val="24"/>
                <w:szCs w:val="24"/>
              </w:rPr>
              <w:t>Risk factors of neutropenia</w:t>
            </w:r>
          </w:p>
          <w:p w14:paraId="472677FE" w14:textId="77777777" w:rsidR="00A84CEA" w:rsidRDefault="00A84CEA" w:rsidP="004011FC">
            <w:pPr>
              <w:pStyle w:val="ListParagraph"/>
              <w:numPr>
                <w:ilvl w:val="0"/>
                <w:numId w:val="8"/>
              </w:numPr>
              <w:rPr>
                <w:rFonts w:cstheme="minorHAnsi"/>
                <w:sz w:val="24"/>
                <w:szCs w:val="24"/>
              </w:rPr>
            </w:pPr>
            <w:r>
              <w:rPr>
                <w:rFonts w:cstheme="minorHAnsi"/>
                <w:sz w:val="24"/>
                <w:szCs w:val="24"/>
              </w:rPr>
              <w:t>Cancer at an advanced stage</w:t>
            </w:r>
          </w:p>
          <w:p w14:paraId="29D6342D" w14:textId="77777777" w:rsidR="00A84CEA" w:rsidRPr="004011FC" w:rsidRDefault="00A84CEA" w:rsidP="004011FC">
            <w:pPr>
              <w:pStyle w:val="ListParagraph"/>
              <w:numPr>
                <w:ilvl w:val="0"/>
                <w:numId w:val="8"/>
              </w:numPr>
              <w:rPr>
                <w:rFonts w:cstheme="minorHAnsi"/>
                <w:sz w:val="24"/>
                <w:szCs w:val="24"/>
              </w:rPr>
            </w:pPr>
            <w:r>
              <w:rPr>
                <w:rFonts w:cstheme="minorHAnsi"/>
                <w:sz w:val="24"/>
                <w:szCs w:val="24"/>
              </w:rPr>
              <w:t>Co- and multiple morbidities</w:t>
            </w:r>
          </w:p>
          <w:p w14:paraId="199C6137" w14:textId="77777777" w:rsidR="00A84CEA" w:rsidRDefault="00A84CEA" w:rsidP="004011FC">
            <w:pPr>
              <w:pStyle w:val="ListParagraph"/>
              <w:numPr>
                <w:ilvl w:val="0"/>
                <w:numId w:val="8"/>
              </w:numPr>
              <w:rPr>
                <w:rFonts w:cstheme="minorHAnsi"/>
                <w:sz w:val="24"/>
                <w:szCs w:val="24"/>
              </w:rPr>
            </w:pPr>
            <w:r>
              <w:rPr>
                <w:rFonts w:cstheme="minorHAnsi"/>
                <w:sz w:val="24"/>
                <w:szCs w:val="24"/>
              </w:rPr>
              <w:t>Corticosteroids</w:t>
            </w:r>
          </w:p>
          <w:p w14:paraId="1F4A3DAB" w14:textId="77777777" w:rsidR="00A84CEA" w:rsidRDefault="00A84CEA" w:rsidP="004011FC">
            <w:pPr>
              <w:pStyle w:val="ListParagraph"/>
              <w:numPr>
                <w:ilvl w:val="0"/>
                <w:numId w:val="8"/>
              </w:numPr>
              <w:rPr>
                <w:rFonts w:cstheme="minorHAnsi"/>
                <w:sz w:val="24"/>
                <w:szCs w:val="24"/>
              </w:rPr>
            </w:pPr>
            <w:r>
              <w:rPr>
                <w:rFonts w:cstheme="minorHAnsi"/>
                <w:sz w:val="24"/>
                <w:szCs w:val="24"/>
              </w:rPr>
              <w:t>Haematopoietic stem cell transplant</w:t>
            </w:r>
          </w:p>
          <w:p w14:paraId="7E2C95EB" w14:textId="77777777" w:rsidR="00A84CEA" w:rsidRDefault="00A84CEA" w:rsidP="004011FC">
            <w:pPr>
              <w:pStyle w:val="ListParagraph"/>
              <w:numPr>
                <w:ilvl w:val="0"/>
                <w:numId w:val="8"/>
              </w:numPr>
              <w:rPr>
                <w:rFonts w:cstheme="minorHAnsi"/>
                <w:sz w:val="24"/>
                <w:szCs w:val="24"/>
              </w:rPr>
            </w:pPr>
            <w:r>
              <w:rPr>
                <w:rFonts w:cstheme="minorHAnsi"/>
                <w:sz w:val="24"/>
                <w:szCs w:val="24"/>
              </w:rPr>
              <w:t>High intensity chemotherapy regimes</w:t>
            </w:r>
          </w:p>
          <w:p w14:paraId="0F805F8C" w14:textId="77777777" w:rsidR="00A84CEA" w:rsidRDefault="00A84CEA" w:rsidP="004011FC">
            <w:pPr>
              <w:pStyle w:val="ListParagraph"/>
              <w:numPr>
                <w:ilvl w:val="0"/>
                <w:numId w:val="8"/>
              </w:numPr>
              <w:rPr>
                <w:rFonts w:cstheme="minorHAnsi"/>
                <w:sz w:val="24"/>
                <w:szCs w:val="24"/>
              </w:rPr>
            </w:pPr>
            <w:r>
              <w:rPr>
                <w:rFonts w:cstheme="minorHAnsi"/>
                <w:sz w:val="24"/>
                <w:szCs w:val="24"/>
              </w:rPr>
              <w:t>Malnutrition</w:t>
            </w:r>
          </w:p>
          <w:p w14:paraId="4ADE250C" w14:textId="77777777" w:rsidR="00A84CEA" w:rsidRDefault="00A84CEA" w:rsidP="004011FC">
            <w:pPr>
              <w:pStyle w:val="ListParagraph"/>
              <w:numPr>
                <w:ilvl w:val="0"/>
                <w:numId w:val="8"/>
              </w:numPr>
              <w:rPr>
                <w:rFonts w:cstheme="minorHAnsi"/>
                <w:sz w:val="24"/>
                <w:szCs w:val="24"/>
              </w:rPr>
            </w:pPr>
            <w:r>
              <w:rPr>
                <w:rFonts w:cstheme="minorHAnsi"/>
                <w:sz w:val="24"/>
                <w:szCs w:val="24"/>
              </w:rPr>
              <w:t>Over the age of 60</w:t>
            </w:r>
          </w:p>
          <w:p w14:paraId="47401720" w14:textId="77777777" w:rsidR="00A84CEA" w:rsidRDefault="00A84CEA" w:rsidP="004011FC">
            <w:pPr>
              <w:pStyle w:val="ListParagraph"/>
              <w:numPr>
                <w:ilvl w:val="0"/>
                <w:numId w:val="8"/>
              </w:numPr>
              <w:rPr>
                <w:rFonts w:cstheme="minorHAnsi"/>
                <w:sz w:val="24"/>
                <w:szCs w:val="24"/>
              </w:rPr>
            </w:pPr>
            <w:r>
              <w:rPr>
                <w:rFonts w:cstheme="minorHAnsi"/>
                <w:sz w:val="24"/>
                <w:szCs w:val="24"/>
              </w:rPr>
              <w:t>Previous neutropenia</w:t>
            </w:r>
          </w:p>
          <w:p w14:paraId="00C3F155" w14:textId="77777777" w:rsidR="00A84CEA" w:rsidRDefault="00A84CEA" w:rsidP="004011FC">
            <w:pPr>
              <w:pStyle w:val="ListParagraph"/>
              <w:numPr>
                <w:ilvl w:val="0"/>
                <w:numId w:val="8"/>
              </w:numPr>
              <w:rPr>
                <w:rFonts w:cstheme="minorHAnsi"/>
                <w:sz w:val="24"/>
                <w:szCs w:val="24"/>
              </w:rPr>
            </w:pPr>
            <w:r>
              <w:rPr>
                <w:rFonts w:cstheme="minorHAnsi"/>
                <w:sz w:val="24"/>
                <w:szCs w:val="24"/>
              </w:rPr>
              <w:t>Prolonged hospital admissions</w:t>
            </w:r>
          </w:p>
          <w:p w14:paraId="780E0106" w14:textId="77777777" w:rsidR="00A84CEA" w:rsidRDefault="00A84CEA" w:rsidP="004011FC">
            <w:pPr>
              <w:pStyle w:val="ListParagraph"/>
              <w:numPr>
                <w:ilvl w:val="0"/>
                <w:numId w:val="8"/>
              </w:numPr>
              <w:rPr>
                <w:rFonts w:cstheme="minorHAnsi"/>
                <w:sz w:val="24"/>
                <w:szCs w:val="24"/>
              </w:rPr>
            </w:pPr>
            <w:r>
              <w:rPr>
                <w:rFonts w:cstheme="minorHAnsi"/>
                <w:sz w:val="24"/>
                <w:szCs w:val="24"/>
              </w:rPr>
              <w:t xml:space="preserve">Receiving SACT </w:t>
            </w:r>
          </w:p>
          <w:p w14:paraId="36FFC24B" w14:textId="4C4A3765" w:rsidR="004011FC" w:rsidRPr="004011FC" w:rsidRDefault="00A84CEA" w:rsidP="004011FC">
            <w:pPr>
              <w:pStyle w:val="ListParagraph"/>
              <w:numPr>
                <w:ilvl w:val="0"/>
                <w:numId w:val="8"/>
              </w:numPr>
              <w:rPr>
                <w:rFonts w:cstheme="minorHAnsi"/>
                <w:sz w:val="24"/>
                <w:szCs w:val="24"/>
              </w:rPr>
            </w:pPr>
            <w:r>
              <w:rPr>
                <w:rFonts w:cstheme="minorHAnsi"/>
                <w:sz w:val="24"/>
                <w:szCs w:val="24"/>
              </w:rPr>
              <w:lastRenderedPageBreak/>
              <w:t>Surgery</w:t>
            </w:r>
          </w:p>
        </w:tc>
      </w:tr>
    </w:tbl>
    <w:p w14:paraId="22116D67" w14:textId="07E94A8F" w:rsidR="00A84CEA" w:rsidRDefault="00A84CEA" w:rsidP="00BA2308">
      <w:pPr>
        <w:spacing w:line="240" w:lineRule="auto"/>
        <w:rPr>
          <w:rFonts w:cstheme="minorHAnsi"/>
          <w:sz w:val="24"/>
          <w:szCs w:val="24"/>
        </w:rPr>
      </w:pPr>
    </w:p>
    <w:p w14:paraId="1DB68915" w14:textId="2389CF8F" w:rsidR="00201D88" w:rsidRDefault="00C11DB7" w:rsidP="00BA2308">
      <w:pPr>
        <w:spacing w:line="240" w:lineRule="auto"/>
      </w:pPr>
      <w:r>
        <w:t>MASCC Scoring</w:t>
      </w:r>
    </w:p>
    <w:tbl>
      <w:tblPr>
        <w:tblStyle w:val="TableGrid"/>
        <w:tblW w:w="0" w:type="auto"/>
        <w:tblLook w:val="04A0" w:firstRow="1" w:lastRow="0" w:firstColumn="1" w:lastColumn="0" w:noHBand="0" w:noVBand="1"/>
      </w:tblPr>
      <w:tblGrid>
        <w:gridCol w:w="8151"/>
        <w:gridCol w:w="865"/>
      </w:tblGrid>
      <w:tr w:rsidR="0038060A" w14:paraId="34A25735" w14:textId="77777777" w:rsidTr="0038060A">
        <w:tc>
          <w:tcPr>
            <w:tcW w:w="8500" w:type="dxa"/>
          </w:tcPr>
          <w:p w14:paraId="762693DB" w14:textId="772298F5" w:rsidR="0038060A" w:rsidRDefault="0038060A" w:rsidP="00BA2308">
            <w:r>
              <w:t>Prognostic Factor</w:t>
            </w:r>
          </w:p>
        </w:tc>
        <w:tc>
          <w:tcPr>
            <w:tcW w:w="516" w:type="dxa"/>
          </w:tcPr>
          <w:p w14:paraId="41033F5B" w14:textId="38950FF6" w:rsidR="0038060A" w:rsidRDefault="0038060A" w:rsidP="00BA2308">
            <w:r>
              <w:t>Weight</w:t>
            </w:r>
          </w:p>
        </w:tc>
      </w:tr>
      <w:tr w:rsidR="0038060A" w14:paraId="0C427393" w14:textId="77777777" w:rsidTr="0038060A">
        <w:tc>
          <w:tcPr>
            <w:tcW w:w="8500" w:type="dxa"/>
          </w:tcPr>
          <w:p w14:paraId="52F85B3A" w14:textId="1E9EB14F" w:rsidR="0038060A" w:rsidRDefault="0038060A" w:rsidP="00BA2308">
            <w:r>
              <w:t>Burden of illness</w:t>
            </w:r>
          </w:p>
        </w:tc>
        <w:tc>
          <w:tcPr>
            <w:tcW w:w="516" w:type="dxa"/>
          </w:tcPr>
          <w:p w14:paraId="1CD0AB25" w14:textId="77777777" w:rsidR="0038060A" w:rsidRDefault="0038060A" w:rsidP="00BA2308"/>
        </w:tc>
      </w:tr>
      <w:tr w:rsidR="0038060A" w14:paraId="12B033F1" w14:textId="77777777" w:rsidTr="0038060A">
        <w:tc>
          <w:tcPr>
            <w:tcW w:w="8500" w:type="dxa"/>
          </w:tcPr>
          <w:p w14:paraId="6C588CAA" w14:textId="1B72DB71" w:rsidR="0038060A" w:rsidRDefault="0038060A" w:rsidP="00BA2308">
            <w:r>
              <w:t>No or mild symptoms</w:t>
            </w:r>
          </w:p>
        </w:tc>
        <w:tc>
          <w:tcPr>
            <w:tcW w:w="516" w:type="dxa"/>
          </w:tcPr>
          <w:p w14:paraId="1C1953CA" w14:textId="205935BA" w:rsidR="0038060A" w:rsidRDefault="0038060A" w:rsidP="00BA2308">
            <w:r>
              <w:t>5</w:t>
            </w:r>
          </w:p>
        </w:tc>
      </w:tr>
      <w:tr w:rsidR="0038060A" w14:paraId="52B9B13D" w14:textId="77777777" w:rsidTr="0038060A">
        <w:tc>
          <w:tcPr>
            <w:tcW w:w="8500" w:type="dxa"/>
          </w:tcPr>
          <w:p w14:paraId="0CC569F0" w14:textId="68B4170A" w:rsidR="0038060A" w:rsidRDefault="0038060A" w:rsidP="00BA2308">
            <w:r>
              <w:t>Moderate symptoms</w:t>
            </w:r>
          </w:p>
        </w:tc>
        <w:tc>
          <w:tcPr>
            <w:tcW w:w="516" w:type="dxa"/>
          </w:tcPr>
          <w:p w14:paraId="0C7DD74F" w14:textId="5FE4D8BC" w:rsidR="0038060A" w:rsidRDefault="0038060A" w:rsidP="00BA2308">
            <w:r>
              <w:t>3</w:t>
            </w:r>
          </w:p>
        </w:tc>
      </w:tr>
      <w:tr w:rsidR="0038060A" w14:paraId="4FEE0E20" w14:textId="77777777" w:rsidTr="0038060A">
        <w:tc>
          <w:tcPr>
            <w:tcW w:w="8500" w:type="dxa"/>
          </w:tcPr>
          <w:p w14:paraId="38D14C33" w14:textId="36A29BA9" w:rsidR="0038060A" w:rsidRDefault="0038060A" w:rsidP="00BA2308">
            <w:r>
              <w:t>No hypotension (systolic blood pressure &gt;90 mm Hg)</w:t>
            </w:r>
          </w:p>
        </w:tc>
        <w:tc>
          <w:tcPr>
            <w:tcW w:w="516" w:type="dxa"/>
          </w:tcPr>
          <w:p w14:paraId="50650E9A" w14:textId="173A7891" w:rsidR="0038060A" w:rsidRDefault="0038060A" w:rsidP="00BA2308">
            <w:r>
              <w:t>5</w:t>
            </w:r>
          </w:p>
        </w:tc>
      </w:tr>
      <w:tr w:rsidR="0038060A" w14:paraId="2A969296" w14:textId="77777777" w:rsidTr="0038060A">
        <w:tc>
          <w:tcPr>
            <w:tcW w:w="8500" w:type="dxa"/>
          </w:tcPr>
          <w:p w14:paraId="7AA0B5D7" w14:textId="038124FD" w:rsidR="0038060A" w:rsidRDefault="0038060A" w:rsidP="00BA2308">
            <w:r>
              <w:t>No chronic obstructive pulmonary disease</w:t>
            </w:r>
          </w:p>
        </w:tc>
        <w:tc>
          <w:tcPr>
            <w:tcW w:w="516" w:type="dxa"/>
          </w:tcPr>
          <w:p w14:paraId="026CFF9B" w14:textId="0C74A494" w:rsidR="0038060A" w:rsidRDefault="0038060A" w:rsidP="00BA2308">
            <w:r>
              <w:t>4</w:t>
            </w:r>
          </w:p>
        </w:tc>
      </w:tr>
      <w:tr w:rsidR="0038060A" w14:paraId="608014B0" w14:textId="77777777" w:rsidTr="0038060A">
        <w:tc>
          <w:tcPr>
            <w:tcW w:w="8500" w:type="dxa"/>
          </w:tcPr>
          <w:p w14:paraId="6D823D96" w14:textId="6DE850CA" w:rsidR="0038060A" w:rsidRDefault="0038060A" w:rsidP="00BA2308">
            <w:r>
              <w:t>Solid tumour or no previous fungal infection</w:t>
            </w:r>
          </w:p>
        </w:tc>
        <w:tc>
          <w:tcPr>
            <w:tcW w:w="516" w:type="dxa"/>
          </w:tcPr>
          <w:p w14:paraId="3881A412" w14:textId="04703D63" w:rsidR="0038060A" w:rsidRDefault="0038060A" w:rsidP="00BA2308">
            <w:r>
              <w:t>4</w:t>
            </w:r>
          </w:p>
        </w:tc>
      </w:tr>
      <w:tr w:rsidR="0038060A" w14:paraId="0B6BC5DE" w14:textId="77777777" w:rsidTr="0038060A">
        <w:tc>
          <w:tcPr>
            <w:tcW w:w="8500" w:type="dxa"/>
          </w:tcPr>
          <w:p w14:paraId="2CA68F16" w14:textId="76FD875D" w:rsidR="0038060A" w:rsidRDefault="0038060A" w:rsidP="00BA2308">
            <w:r>
              <w:t>No dehydration requiring parenteral fluids</w:t>
            </w:r>
          </w:p>
        </w:tc>
        <w:tc>
          <w:tcPr>
            <w:tcW w:w="516" w:type="dxa"/>
          </w:tcPr>
          <w:p w14:paraId="0CCC0F18" w14:textId="248C519B" w:rsidR="0038060A" w:rsidRDefault="0038060A" w:rsidP="00BA2308">
            <w:r>
              <w:t>3</w:t>
            </w:r>
          </w:p>
        </w:tc>
      </w:tr>
      <w:tr w:rsidR="0038060A" w14:paraId="28AC4CC9" w14:textId="77777777" w:rsidTr="0038060A">
        <w:tc>
          <w:tcPr>
            <w:tcW w:w="8500" w:type="dxa"/>
          </w:tcPr>
          <w:p w14:paraId="27E47624" w14:textId="68789500" w:rsidR="0038060A" w:rsidRDefault="0038060A" w:rsidP="00BA2308">
            <w:r>
              <w:t>Outpatient status</w:t>
            </w:r>
          </w:p>
        </w:tc>
        <w:tc>
          <w:tcPr>
            <w:tcW w:w="516" w:type="dxa"/>
          </w:tcPr>
          <w:p w14:paraId="0294FCA1" w14:textId="74F91E81" w:rsidR="0038060A" w:rsidRDefault="0038060A" w:rsidP="00BA2308">
            <w:r>
              <w:t>3</w:t>
            </w:r>
          </w:p>
        </w:tc>
      </w:tr>
      <w:tr w:rsidR="002F2784" w14:paraId="705E4F9D" w14:textId="77777777" w:rsidTr="0038060A">
        <w:tc>
          <w:tcPr>
            <w:tcW w:w="8500" w:type="dxa"/>
          </w:tcPr>
          <w:p w14:paraId="7EE2D79F" w14:textId="18BFC9C0" w:rsidR="002F2784" w:rsidRDefault="002F2784" w:rsidP="00BA2308">
            <w:r>
              <w:t>Age &lt; 60 years</w:t>
            </w:r>
          </w:p>
        </w:tc>
        <w:tc>
          <w:tcPr>
            <w:tcW w:w="516" w:type="dxa"/>
          </w:tcPr>
          <w:p w14:paraId="5F76EC91" w14:textId="7BFD6320" w:rsidR="002F2784" w:rsidRDefault="002F2784" w:rsidP="00BA2308">
            <w:r>
              <w:t>2</w:t>
            </w:r>
          </w:p>
        </w:tc>
      </w:tr>
    </w:tbl>
    <w:p w14:paraId="2EB97C88" w14:textId="2265AA0D" w:rsidR="002F2784" w:rsidRDefault="002F2784" w:rsidP="00BA2308">
      <w:pPr>
        <w:spacing w:line="240" w:lineRule="auto"/>
      </w:pPr>
      <w:r>
        <w:t xml:space="preserve"> MASXX Risk Index score </w:t>
      </w:r>
      <m:oMath>
        <m:r>
          <w:rPr>
            <w:rFonts w:ascii="Cambria Math" w:hAnsi="Cambria Math"/>
          </w:rPr>
          <m:t>≥</m:t>
        </m:r>
      </m:oMath>
      <w:r>
        <w:rPr>
          <w:rFonts w:eastAsiaTheme="minorEastAsia"/>
        </w:rPr>
        <w:t xml:space="preserve"> 21 indicates that the patient is at a low-risk complications and mortality.</w:t>
      </w:r>
    </w:p>
    <w:p w14:paraId="79B3981F" w14:textId="7859E058" w:rsidR="0038060A" w:rsidRDefault="0038060A" w:rsidP="00BA2308">
      <w:pPr>
        <w:spacing w:line="240" w:lineRule="auto"/>
      </w:pPr>
    </w:p>
    <w:p w14:paraId="387B58D8" w14:textId="77777777" w:rsidR="00C11DB7" w:rsidRDefault="00C11DB7" w:rsidP="00BA2308">
      <w:pPr>
        <w:spacing w:line="240" w:lineRule="auto"/>
        <w:rPr>
          <w:rFonts w:cstheme="minorHAnsi"/>
          <w:sz w:val="24"/>
          <w:szCs w:val="24"/>
        </w:rPr>
      </w:pPr>
    </w:p>
    <w:p w14:paraId="7F359726" w14:textId="112793B2" w:rsidR="00201D88" w:rsidRPr="00BA2308" w:rsidRDefault="00201D88" w:rsidP="00BA2308">
      <w:pPr>
        <w:spacing w:line="240" w:lineRule="auto"/>
        <w:rPr>
          <w:rFonts w:cstheme="minorHAnsi"/>
          <w:sz w:val="24"/>
          <w:szCs w:val="24"/>
        </w:rPr>
      </w:pPr>
    </w:p>
    <w:sectPr w:rsidR="00201D88" w:rsidRPr="00BA2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08D2"/>
    <w:multiLevelType w:val="hybridMultilevel"/>
    <w:tmpl w:val="07383FFA"/>
    <w:lvl w:ilvl="0" w:tplc="E3D28EC8">
      <w:start w:val="1"/>
      <w:numFmt w:val="bullet"/>
      <w:lvlText w:val=""/>
      <w:lvlJc w:val="left"/>
      <w:pPr>
        <w:ind w:left="720" w:hanging="360"/>
      </w:pPr>
      <w:rPr>
        <w:rFonts w:ascii="Symbol" w:hAnsi="Symbol" w:hint="default"/>
      </w:rPr>
    </w:lvl>
    <w:lvl w:ilvl="1" w:tplc="0A026838" w:tentative="1">
      <w:start w:val="1"/>
      <w:numFmt w:val="bullet"/>
      <w:lvlText w:val="o"/>
      <w:lvlJc w:val="left"/>
      <w:pPr>
        <w:ind w:left="1440" w:hanging="360"/>
      </w:pPr>
      <w:rPr>
        <w:rFonts w:ascii="Courier New" w:hAnsi="Courier New" w:cs="Courier New" w:hint="default"/>
      </w:rPr>
    </w:lvl>
    <w:lvl w:ilvl="2" w:tplc="A5845248" w:tentative="1">
      <w:start w:val="1"/>
      <w:numFmt w:val="bullet"/>
      <w:lvlText w:val=""/>
      <w:lvlJc w:val="left"/>
      <w:pPr>
        <w:ind w:left="2160" w:hanging="360"/>
      </w:pPr>
      <w:rPr>
        <w:rFonts w:ascii="Wingdings" w:hAnsi="Wingdings" w:hint="default"/>
      </w:rPr>
    </w:lvl>
    <w:lvl w:ilvl="3" w:tplc="ED9C1580" w:tentative="1">
      <w:start w:val="1"/>
      <w:numFmt w:val="bullet"/>
      <w:lvlText w:val=""/>
      <w:lvlJc w:val="left"/>
      <w:pPr>
        <w:ind w:left="2880" w:hanging="360"/>
      </w:pPr>
      <w:rPr>
        <w:rFonts w:ascii="Symbol" w:hAnsi="Symbol" w:hint="default"/>
      </w:rPr>
    </w:lvl>
    <w:lvl w:ilvl="4" w:tplc="3AF88D44" w:tentative="1">
      <w:start w:val="1"/>
      <w:numFmt w:val="bullet"/>
      <w:lvlText w:val="o"/>
      <w:lvlJc w:val="left"/>
      <w:pPr>
        <w:ind w:left="3600" w:hanging="360"/>
      </w:pPr>
      <w:rPr>
        <w:rFonts w:ascii="Courier New" w:hAnsi="Courier New" w:cs="Courier New" w:hint="default"/>
      </w:rPr>
    </w:lvl>
    <w:lvl w:ilvl="5" w:tplc="D7CA023E" w:tentative="1">
      <w:start w:val="1"/>
      <w:numFmt w:val="bullet"/>
      <w:lvlText w:val=""/>
      <w:lvlJc w:val="left"/>
      <w:pPr>
        <w:ind w:left="4320" w:hanging="360"/>
      </w:pPr>
      <w:rPr>
        <w:rFonts w:ascii="Wingdings" w:hAnsi="Wingdings" w:hint="default"/>
      </w:rPr>
    </w:lvl>
    <w:lvl w:ilvl="6" w:tplc="5DA26FE8" w:tentative="1">
      <w:start w:val="1"/>
      <w:numFmt w:val="bullet"/>
      <w:lvlText w:val=""/>
      <w:lvlJc w:val="left"/>
      <w:pPr>
        <w:ind w:left="5040" w:hanging="360"/>
      </w:pPr>
      <w:rPr>
        <w:rFonts w:ascii="Symbol" w:hAnsi="Symbol" w:hint="default"/>
      </w:rPr>
    </w:lvl>
    <w:lvl w:ilvl="7" w:tplc="98DE250A" w:tentative="1">
      <w:start w:val="1"/>
      <w:numFmt w:val="bullet"/>
      <w:lvlText w:val="o"/>
      <w:lvlJc w:val="left"/>
      <w:pPr>
        <w:ind w:left="5760" w:hanging="360"/>
      </w:pPr>
      <w:rPr>
        <w:rFonts w:ascii="Courier New" w:hAnsi="Courier New" w:cs="Courier New" w:hint="default"/>
      </w:rPr>
    </w:lvl>
    <w:lvl w:ilvl="8" w:tplc="765872FA" w:tentative="1">
      <w:start w:val="1"/>
      <w:numFmt w:val="bullet"/>
      <w:lvlText w:val=""/>
      <w:lvlJc w:val="left"/>
      <w:pPr>
        <w:ind w:left="6480" w:hanging="360"/>
      </w:pPr>
      <w:rPr>
        <w:rFonts w:ascii="Wingdings" w:hAnsi="Wingdings" w:hint="default"/>
      </w:rPr>
    </w:lvl>
  </w:abstractNum>
  <w:abstractNum w:abstractNumId="1" w15:restartNumberingAfterBreak="0">
    <w:nsid w:val="3F7F22AE"/>
    <w:multiLevelType w:val="hybridMultilevel"/>
    <w:tmpl w:val="47666E1A"/>
    <w:lvl w:ilvl="0" w:tplc="AC247490">
      <w:start w:val="1"/>
      <w:numFmt w:val="bullet"/>
      <w:lvlText w:val=""/>
      <w:lvlJc w:val="left"/>
      <w:pPr>
        <w:ind w:left="720" w:hanging="360"/>
      </w:pPr>
      <w:rPr>
        <w:rFonts w:ascii="Symbol" w:hAnsi="Symbol" w:hint="default"/>
      </w:rPr>
    </w:lvl>
    <w:lvl w:ilvl="1" w:tplc="1BDC0808" w:tentative="1">
      <w:start w:val="1"/>
      <w:numFmt w:val="bullet"/>
      <w:lvlText w:val="o"/>
      <w:lvlJc w:val="left"/>
      <w:pPr>
        <w:ind w:left="1440" w:hanging="360"/>
      </w:pPr>
      <w:rPr>
        <w:rFonts w:ascii="Courier New" w:hAnsi="Courier New" w:cs="Courier New" w:hint="default"/>
      </w:rPr>
    </w:lvl>
    <w:lvl w:ilvl="2" w:tplc="8A92AD66" w:tentative="1">
      <w:start w:val="1"/>
      <w:numFmt w:val="bullet"/>
      <w:lvlText w:val=""/>
      <w:lvlJc w:val="left"/>
      <w:pPr>
        <w:ind w:left="2160" w:hanging="360"/>
      </w:pPr>
      <w:rPr>
        <w:rFonts w:ascii="Wingdings" w:hAnsi="Wingdings" w:hint="default"/>
      </w:rPr>
    </w:lvl>
    <w:lvl w:ilvl="3" w:tplc="AD9E0B72" w:tentative="1">
      <w:start w:val="1"/>
      <w:numFmt w:val="bullet"/>
      <w:lvlText w:val=""/>
      <w:lvlJc w:val="left"/>
      <w:pPr>
        <w:ind w:left="2880" w:hanging="360"/>
      </w:pPr>
      <w:rPr>
        <w:rFonts w:ascii="Symbol" w:hAnsi="Symbol" w:hint="default"/>
      </w:rPr>
    </w:lvl>
    <w:lvl w:ilvl="4" w:tplc="57E09C5C" w:tentative="1">
      <w:start w:val="1"/>
      <w:numFmt w:val="bullet"/>
      <w:lvlText w:val="o"/>
      <w:lvlJc w:val="left"/>
      <w:pPr>
        <w:ind w:left="3600" w:hanging="360"/>
      </w:pPr>
      <w:rPr>
        <w:rFonts w:ascii="Courier New" w:hAnsi="Courier New" w:cs="Courier New" w:hint="default"/>
      </w:rPr>
    </w:lvl>
    <w:lvl w:ilvl="5" w:tplc="26F0133E" w:tentative="1">
      <w:start w:val="1"/>
      <w:numFmt w:val="bullet"/>
      <w:lvlText w:val=""/>
      <w:lvlJc w:val="left"/>
      <w:pPr>
        <w:ind w:left="4320" w:hanging="360"/>
      </w:pPr>
      <w:rPr>
        <w:rFonts w:ascii="Wingdings" w:hAnsi="Wingdings" w:hint="default"/>
      </w:rPr>
    </w:lvl>
    <w:lvl w:ilvl="6" w:tplc="B6543C60" w:tentative="1">
      <w:start w:val="1"/>
      <w:numFmt w:val="bullet"/>
      <w:lvlText w:val=""/>
      <w:lvlJc w:val="left"/>
      <w:pPr>
        <w:ind w:left="5040" w:hanging="360"/>
      </w:pPr>
      <w:rPr>
        <w:rFonts w:ascii="Symbol" w:hAnsi="Symbol" w:hint="default"/>
      </w:rPr>
    </w:lvl>
    <w:lvl w:ilvl="7" w:tplc="7F94EE4E" w:tentative="1">
      <w:start w:val="1"/>
      <w:numFmt w:val="bullet"/>
      <w:lvlText w:val="o"/>
      <w:lvlJc w:val="left"/>
      <w:pPr>
        <w:ind w:left="5760" w:hanging="360"/>
      </w:pPr>
      <w:rPr>
        <w:rFonts w:ascii="Courier New" w:hAnsi="Courier New" w:cs="Courier New" w:hint="default"/>
      </w:rPr>
    </w:lvl>
    <w:lvl w:ilvl="8" w:tplc="BE02CB2E" w:tentative="1">
      <w:start w:val="1"/>
      <w:numFmt w:val="bullet"/>
      <w:lvlText w:val=""/>
      <w:lvlJc w:val="left"/>
      <w:pPr>
        <w:ind w:left="6480" w:hanging="360"/>
      </w:pPr>
      <w:rPr>
        <w:rFonts w:ascii="Wingdings" w:hAnsi="Wingdings" w:hint="default"/>
      </w:rPr>
    </w:lvl>
  </w:abstractNum>
  <w:abstractNum w:abstractNumId="2" w15:restartNumberingAfterBreak="0">
    <w:nsid w:val="540D3C59"/>
    <w:multiLevelType w:val="multilevel"/>
    <w:tmpl w:val="C068E5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31D76"/>
    <w:multiLevelType w:val="hybridMultilevel"/>
    <w:tmpl w:val="F5B6F958"/>
    <w:lvl w:ilvl="0" w:tplc="AF5CDAC6">
      <w:start w:val="1"/>
      <w:numFmt w:val="bullet"/>
      <w:lvlText w:val=""/>
      <w:lvlJc w:val="left"/>
      <w:pPr>
        <w:ind w:left="720" w:hanging="360"/>
      </w:pPr>
      <w:rPr>
        <w:rFonts w:ascii="Symbol" w:hAnsi="Symbol" w:hint="default"/>
      </w:rPr>
    </w:lvl>
    <w:lvl w:ilvl="1" w:tplc="7F6E0A2A" w:tentative="1">
      <w:start w:val="1"/>
      <w:numFmt w:val="bullet"/>
      <w:lvlText w:val="o"/>
      <w:lvlJc w:val="left"/>
      <w:pPr>
        <w:ind w:left="1440" w:hanging="360"/>
      </w:pPr>
      <w:rPr>
        <w:rFonts w:ascii="Courier New" w:hAnsi="Courier New" w:cs="Courier New" w:hint="default"/>
      </w:rPr>
    </w:lvl>
    <w:lvl w:ilvl="2" w:tplc="39525D72" w:tentative="1">
      <w:start w:val="1"/>
      <w:numFmt w:val="bullet"/>
      <w:lvlText w:val=""/>
      <w:lvlJc w:val="left"/>
      <w:pPr>
        <w:ind w:left="2160" w:hanging="360"/>
      </w:pPr>
      <w:rPr>
        <w:rFonts w:ascii="Wingdings" w:hAnsi="Wingdings" w:hint="default"/>
      </w:rPr>
    </w:lvl>
    <w:lvl w:ilvl="3" w:tplc="3EEA07FA" w:tentative="1">
      <w:start w:val="1"/>
      <w:numFmt w:val="bullet"/>
      <w:lvlText w:val=""/>
      <w:lvlJc w:val="left"/>
      <w:pPr>
        <w:ind w:left="2880" w:hanging="360"/>
      </w:pPr>
      <w:rPr>
        <w:rFonts w:ascii="Symbol" w:hAnsi="Symbol" w:hint="default"/>
      </w:rPr>
    </w:lvl>
    <w:lvl w:ilvl="4" w:tplc="6CA0969C" w:tentative="1">
      <w:start w:val="1"/>
      <w:numFmt w:val="bullet"/>
      <w:lvlText w:val="o"/>
      <w:lvlJc w:val="left"/>
      <w:pPr>
        <w:ind w:left="3600" w:hanging="360"/>
      </w:pPr>
      <w:rPr>
        <w:rFonts w:ascii="Courier New" w:hAnsi="Courier New" w:cs="Courier New" w:hint="default"/>
      </w:rPr>
    </w:lvl>
    <w:lvl w:ilvl="5" w:tplc="725CC81A" w:tentative="1">
      <w:start w:val="1"/>
      <w:numFmt w:val="bullet"/>
      <w:lvlText w:val=""/>
      <w:lvlJc w:val="left"/>
      <w:pPr>
        <w:ind w:left="4320" w:hanging="360"/>
      </w:pPr>
      <w:rPr>
        <w:rFonts w:ascii="Wingdings" w:hAnsi="Wingdings" w:hint="default"/>
      </w:rPr>
    </w:lvl>
    <w:lvl w:ilvl="6" w:tplc="43128072" w:tentative="1">
      <w:start w:val="1"/>
      <w:numFmt w:val="bullet"/>
      <w:lvlText w:val=""/>
      <w:lvlJc w:val="left"/>
      <w:pPr>
        <w:ind w:left="5040" w:hanging="360"/>
      </w:pPr>
      <w:rPr>
        <w:rFonts w:ascii="Symbol" w:hAnsi="Symbol" w:hint="default"/>
      </w:rPr>
    </w:lvl>
    <w:lvl w:ilvl="7" w:tplc="33BAE0BE" w:tentative="1">
      <w:start w:val="1"/>
      <w:numFmt w:val="bullet"/>
      <w:lvlText w:val="o"/>
      <w:lvlJc w:val="left"/>
      <w:pPr>
        <w:ind w:left="5760" w:hanging="360"/>
      </w:pPr>
      <w:rPr>
        <w:rFonts w:ascii="Courier New" w:hAnsi="Courier New" w:cs="Courier New" w:hint="default"/>
      </w:rPr>
    </w:lvl>
    <w:lvl w:ilvl="8" w:tplc="7AE8A014" w:tentative="1">
      <w:start w:val="1"/>
      <w:numFmt w:val="bullet"/>
      <w:lvlText w:val=""/>
      <w:lvlJc w:val="left"/>
      <w:pPr>
        <w:ind w:left="6480" w:hanging="360"/>
      </w:pPr>
      <w:rPr>
        <w:rFonts w:ascii="Wingdings" w:hAnsi="Wingdings" w:hint="default"/>
      </w:rPr>
    </w:lvl>
  </w:abstractNum>
  <w:abstractNum w:abstractNumId="4" w15:restartNumberingAfterBreak="0">
    <w:nsid w:val="60F979B2"/>
    <w:multiLevelType w:val="multilevel"/>
    <w:tmpl w:val="E42A9B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47A8A"/>
    <w:multiLevelType w:val="hybridMultilevel"/>
    <w:tmpl w:val="BE100834"/>
    <w:lvl w:ilvl="0" w:tplc="710A09B6">
      <w:start w:val="1"/>
      <w:numFmt w:val="bullet"/>
      <w:lvlText w:val=""/>
      <w:lvlJc w:val="left"/>
      <w:pPr>
        <w:ind w:left="720" w:hanging="360"/>
      </w:pPr>
      <w:rPr>
        <w:rFonts w:ascii="Symbol" w:hAnsi="Symbol" w:hint="default"/>
      </w:rPr>
    </w:lvl>
    <w:lvl w:ilvl="1" w:tplc="D8E43224" w:tentative="1">
      <w:start w:val="1"/>
      <w:numFmt w:val="bullet"/>
      <w:lvlText w:val="o"/>
      <w:lvlJc w:val="left"/>
      <w:pPr>
        <w:ind w:left="1440" w:hanging="360"/>
      </w:pPr>
      <w:rPr>
        <w:rFonts w:ascii="Courier New" w:hAnsi="Courier New" w:cs="Courier New" w:hint="default"/>
      </w:rPr>
    </w:lvl>
    <w:lvl w:ilvl="2" w:tplc="D5AE252A" w:tentative="1">
      <w:start w:val="1"/>
      <w:numFmt w:val="bullet"/>
      <w:lvlText w:val=""/>
      <w:lvlJc w:val="left"/>
      <w:pPr>
        <w:ind w:left="2160" w:hanging="360"/>
      </w:pPr>
      <w:rPr>
        <w:rFonts w:ascii="Wingdings" w:hAnsi="Wingdings" w:hint="default"/>
      </w:rPr>
    </w:lvl>
    <w:lvl w:ilvl="3" w:tplc="1C5446B6" w:tentative="1">
      <w:start w:val="1"/>
      <w:numFmt w:val="bullet"/>
      <w:lvlText w:val=""/>
      <w:lvlJc w:val="left"/>
      <w:pPr>
        <w:ind w:left="2880" w:hanging="360"/>
      </w:pPr>
      <w:rPr>
        <w:rFonts w:ascii="Symbol" w:hAnsi="Symbol" w:hint="default"/>
      </w:rPr>
    </w:lvl>
    <w:lvl w:ilvl="4" w:tplc="01F2E2E4" w:tentative="1">
      <w:start w:val="1"/>
      <w:numFmt w:val="bullet"/>
      <w:lvlText w:val="o"/>
      <w:lvlJc w:val="left"/>
      <w:pPr>
        <w:ind w:left="3600" w:hanging="360"/>
      </w:pPr>
      <w:rPr>
        <w:rFonts w:ascii="Courier New" w:hAnsi="Courier New" w:cs="Courier New" w:hint="default"/>
      </w:rPr>
    </w:lvl>
    <w:lvl w:ilvl="5" w:tplc="01047618" w:tentative="1">
      <w:start w:val="1"/>
      <w:numFmt w:val="bullet"/>
      <w:lvlText w:val=""/>
      <w:lvlJc w:val="left"/>
      <w:pPr>
        <w:ind w:left="4320" w:hanging="360"/>
      </w:pPr>
      <w:rPr>
        <w:rFonts w:ascii="Wingdings" w:hAnsi="Wingdings" w:hint="default"/>
      </w:rPr>
    </w:lvl>
    <w:lvl w:ilvl="6" w:tplc="E610B28E" w:tentative="1">
      <w:start w:val="1"/>
      <w:numFmt w:val="bullet"/>
      <w:lvlText w:val=""/>
      <w:lvlJc w:val="left"/>
      <w:pPr>
        <w:ind w:left="5040" w:hanging="360"/>
      </w:pPr>
      <w:rPr>
        <w:rFonts w:ascii="Symbol" w:hAnsi="Symbol" w:hint="default"/>
      </w:rPr>
    </w:lvl>
    <w:lvl w:ilvl="7" w:tplc="7B642A10" w:tentative="1">
      <w:start w:val="1"/>
      <w:numFmt w:val="bullet"/>
      <w:lvlText w:val="o"/>
      <w:lvlJc w:val="left"/>
      <w:pPr>
        <w:ind w:left="5760" w:hanging="360"/>
      </w:pPr>
      <w:rPr>
        <w:rFonts w:ascii="Courier New" w:hAnsi="Courier New" w:cs="Courier New" w:hint="default"/>
      </w:rPr>
    </w:lvl>
    <w:lvl w:ilvl="8" w:tplc="10F02488" w:tentative="1">
      <w:start w:val="1"/>
      <w:numFmt w:val="bullet"/>
      <w:lvlText w:val=""/>
      <w:lvlJc w:val="left"/>
      <w:pPr>
        <w:ind w:left="6480" w:hanging="360"/>
      </w:pPr>
      <w:rPr>
        <w:rFonts w:ascii="Wingdings" w:hAnsi="Wingdings" w:hint="default"/>
      </w:rPr>
    </w:lvl>
  </w:abstractNum>
  <w:abstractNum w:abstractNumId="6" w15:restartNumberingAfterBreak="0">
    <w:nsid w:val="71203467"/>
    <w:multiLevelType w:val="hybridMultilevel"/>
    <w:tmpl w:val="CB983E52"/>
    <w:lvl w:ilvl="0" w:tplc="D1F2E7DC">
      <w:start w:val="1"/>
      <w:numFmt w:val="bullet"/>
      <w:lvlText w:val=""/>
      <w:lvlJc w:val="left"/>
      <w:pPr>
        <w:ind w:left="720" w:hanging="360"/>
      </w:pPr>
      <w:rPr>
        <w:rFonts w:ascii="Symbol" w:hAnsi="Symbol" w:hint="default"/>
      </w:rPr>
    </w:lvl>
    <w:lvl w:ilvl="1" w:tplc="71A666DE">
      <w:start w:val="1"/>
      <w:numFmt w:val="bullet"/>
      <w:lvlText w:val="o"/>
      <w:lvlJc w:val="left"/>
      <w:pPr>
        <w:ind w:left="1440" w:hanging="360"/>
      </w:pPr>
      <w:rPr>
        <w:rFonts w:ascii="Courier New" w:hAnsi="Courier New" w:cs="Courier New" w:hint="default"/>
      </w:rPr>
    </w:lvl>
    <w:lvl w:ilvl="2" w:tplc="CE2610EC" w:tentative="1">
      <w:start w:val="1"/>
      <w:numFmt w:val="bullet"/>
      <w:lvlText w:val=""/>
      <w:lvlJc w:val="left"/>
      <w:pPr>
        <w:ind w:left="2160" w:hanging="360"/>
      </w:pPr>
      <w:rPr>
        <w:rFonts w:ascii="Wingdings" w:hAnsi="Wingdings" w:hint="default"/>
      </w:rPr>
    </w:lvl>
    <w:lvl w:ilvl="3" w:tplc="7EFC255C" w:tentative="1">
      <w:start w:val="1"/>
      <w:numFmt w:val="bullet"/>
      <w:lvlText w:val=""/>
      <w:lvlJc w:val="left"/>
      <w:pPr>
        <w:ind w:left="2880" w:hanging="360"/>
      </w:pPr>
      <w:rPr>
        <w:rFonts w:ascii="Symbol" w:hAnsi="Symbol" w:hint="default"/>
      </w:rPr>
    </w:lvl>
    <w:lvl w:ilvl="4" w:tplc="B2F60162" w:tentative="1">
      <w:start w:val="1"/>
      <w:numFmt w:val="bullet"/>
      <w:lvlText w:val="o"/>
      <w:lvlJc w:val="left"/>
      <w:pPr>
        <w:ind w:left="3600" w:hanging="360"/>
      </w:pPr>
      <w:rPr>
        <w:rFonts w:ascii="Courier New" w:hAnsi="Courier New" w:cs="Courier New" w:hint="default"/>
      </w:rPr>
    </w:lvl>
    <w:lvl w:ilvl="5" w:tplc="5D3C5816" w:tentative="1">
      <w:start w:val="1"/>
      <w:numFmt w:val="bullet"/>
      <w:lvlText w:val=""/>
      <w:lvlJc w:val="left"/>
      <w:pPr>
        <w:ind w:left="4320" w:hanging="360"/>
      </w:pPr>
      <w:rPr>
        <w:rFonts w:ascii="Wingdings" w:hAnsi="Wingdings" w:hint="default"/>
      </w:rPr>
    </w:lvl>
    <w:lvl w:ilvl="6" w:tplc="C3761742" w:tentative="1">
      <w:start w:val="1"/>
      <w:numFmt w:val="bullet"/>
      <w:lvlText w:val=""/>
      <w:lvlJc w:val="left"/>
      <w:pPr>
        <w:ind w:left="5040" w:hanging="360"/>
      </w:pPr>
      <w:rPr>
        <w:rFonts w:ascii="Symbol" w:hAnsi="Symbol" w:hint="default"/>
      </w:rPr>
    </w:lvl>
    <w:lvl w:ilvl="7" w:tplc="A8D69D02" w:tentative="1">
      <w:start w:val="1"/>
      <w:numFmt w:val="bullet"/>
      <w:lvlText w:val="o"/>
      <w:lvlJc w:val="left"/>
      <w:pPr>
        <w:ind w:left="5760" w:hanging="360"/>
      </w:pPr>
      <w:rPr>
        <w:rFonts w:ascii="Courier New" w:hAnsi="Courier New" w:cs="Courier New" w:hint="default"/>
      </w:rPr>
    </w:lvl>
    <w:lvl w:ilvl="8" w:tplc="C7E413F4" w:tentative="1">
      <w:start w:val="1"/>
      <w:numFmt w:val="bullet"/>
      <w:lvlText w:val=""/>
      <w:lvlJc w:val="left"/>
      <w:pPr>
        <w:ind w:left="6480" w:hanging="360"/>
      </w:pPr>
      <w:rPr>
        <w:rFonts w:ascii="Wingdings" w:hAnsi="Wingdings" w:hint="default"/>
      </w:rPr>
    </w:lvl>
  </w:abstractNum>
  <w:abstractNum w:abstractNumId="7" w15:restartNumberingAfterBreak="0">
    <w:nsid w:val="7814636E"/>
    <w:multiLevelType w:val="hybridMultilevel"/>
    <w:tmpl w:val="9870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775003">
    <w:abstractNumId w:val="2"/>
  </w:num>
  <w:num w:numId="2" w16cid:durableId="1528064386">
    <w:abstractNumId w:val="6"/>
  </w:num>
  <w:num w:numId="3" w16cid:durableId="2063626787">
    <w:abstractNumId w:val="5"/>
  </w:num>
  <w:num w:numId="4" w16cid:durableId="749037245">
    <w:abstractNumId w:val="3"/>
  </w:num>
  <w:num w:numId="5" w16cid:durableId="622618228">
    <w:abstractNumId w:val="0"/>
  </w:num>
  <w:num w:numId="6" w16cid:durableId="799609984">
    <w:abstractNumId w:val="1"/>
  </w:num>
  <w:num w:numId="7" w16cid:durableId="1938825443">
    <w:abstractNumId w:val="4"/>
  </w:num>
  <w:num w:numId="8" w16cid:durableId="222958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08"/>
    <w:rsid w:val="00007BE4"/>
    <w:rsid w:val="00030515"/>
    <w:rsid w:val="0004075F"/>
    <w:rsid w:val="00044432"/>
    <w:rsid w:val="00045718"/>
    <w:rsid w:val="00050605"/>
    <w:rsid w:val="000735D2"/>
    <w:rsid w:val="000806FC"/>
    <w:rsid w:val="00081A92"/>
    <w:rsid w:val="00083890"/>
    <w:rsid w:val="0008684D"/>
    <w:rsid w:val="00087674"/>
    <w:rsid w:val="000A3851"/>
    <w:rsid w:val="000A4820"/>
    <w:rsid w:val="000A6482"/>
    <w:rsid w:val="000A7EA5"/>
    <w:rsid w:val="000C7694"/>
    <w:rsid w:val="000D1FC0"/>
    <w:rsid w:val="000D6A47"/>
    <w:rsid w:val="000D7D01"/>
    <w:rsid w:val="000E18DE"/>
    <w:rsid w:val="000F2C83"/>
    <w:rsid w:val="000F5A49"/>
    <w:rsid w:val="00116B68"/>
    <w:rsid w:val="0012048F"/>
    <w:rsid w:val="00131A1C"/>
    <w:rsid w:val="00141C80"/>
    <w:rsid w:val="00175B4C"/>
    <w:rsid w:val="001763A5"/>
    <w:rsid w:val="00182760"/>
    <w:rsid w:val="00182E87"/>
    <w:rsid w:val="00186D1C"/>
    <w:rsid w:val="00187681"/>
    <w:rsid w:val="00191A12"/>
    <w:rsid w:val="001A4DF8"/>
    <w:rsid w:val="001A7267"/>
    <w:rsid w:val="001B4F56"/>
    <w:rsid w:val="001B6BEC"/>
    <w:rsid w:val="001C1334"/>
    <w:rsid w:val="001C43F1"/>
    <w:rsid w:val="001D7CD0"/>
    <w:rsid w:val="001D7D66"/>
    <w:rsid w:val="00201D88"/>
    <w:rsid w:val="002070A9"/>
    <w:rsid w:val="00211B4C"/>
    <w:rsid w:val="0021451E"/>
    <w:rsid w:val="002158DB"/>
    <w:rsid w:val="002177C6"/>
    <w:rsid w:val="00243D2E"/>
    <w:rsid w:val="002468C4"/>
    <w:rsid w:val="00262A1E"/>
    <w:rsid w:val="0028489D"/>
    <w:rsid w:val="00294B19"/>
    <w:rsid w:val="002A2374"/>
    <w:rsid w:val="002A7B95"/>
    <w:rsid w:val="002C2416"/>
    <w:rsid w:val="002D1004"/>
    <w:rsid w:val="002D4341"/>
    <w:rsid w:val="002E48D8"/>
    <w:rsid w:val="002F2784"/>
    <w:rsid w:val="002F33D9"/>
    <w:rsid w:val="002F3DA1"/>
    <w:rsid w:val="0031190E"/>
    <w:rsid w:val="00317DA1"/>
    <w:rsid w:val="00321812"/>
    <w:rsid w:val="003411AC"/>
    <w:rsid w:val="00362138"/>
    <w:rsid w:val="00374E4C"/>
    <w:rsid w:val="0038060A"/>
    <w:rsid w:val="003A06A5"/>
    <w:rsid w:val="003A3A80"/>
    <w:rsid w:val="003A4B8D"/>
    <w:rsid w:val="003B3AF9"/>
    <w:rsid w:val="003C04B2"/>
    <w:rsid w:val="003C0855"/>
    <w:rsid w:val="003C1E94"/>
    <w:rsid w:val="003C6766"/>
    <w:rsid w:val="003D3682"/>
    <w:rsid w:val="003F1BB6"/>
    <w:rsid w:val="003F4707"/>
    <w:rsid w:val="003F5964"/>
    <w:rsid w:val="003F6C68"/>
    <w:rsid w:val="004011FC"/>
    <w:rsid w:val="00406F75"/>
    <w:rsid w:val="00417780"/>
    <w:rsid w:val="00422652"/>
    <w:rsid w:val="00424E7B"/>
    <w:rsid w:val="004273B1"/>
    <w:rsid w:val="004532FF"/>
    <w:rsid w:val="00457D9A"/>
    <w:rsid w:val="00465C83"/>
    <w:rsid w:val="004764F3"/>
    <w:rsid w:val="00484665"/>
    <w:rsid w:val="00485DDB"/>
    <w:rsid w:val="004A5724"/>
    <w:rsid w:val="004C0FE4"/>
    <w:rsid w:val="004C74DF"/>
    <w:rsid w:val="004E29F4"/>
    <w:rsid w:val="004E3E76"/>
    <w:rsid w:val="004F6667"/>
    <w:rsid w:val="005049EC"/>
    <w:rsid w:val="005140F2"/>
    <w:rsid w:val="00516E45"/>
    <w:rsid w:val="005213ED"/>
    <w:rsid w:val="00535B86"/>
    <w:rsid w:val="00536FD1"/>
    <w:rsid w:val="0054386A"/>
    <w:rsid w:val="00544C16"/>
    <w:rsid w:val="005739FE"/>
    <w:rsid w:val="00582297"/>
    <w:rsid w:val="00587482"/>
    <w:rsid w:val="00587ECB"/>
    <w:rsid w:val="0059652B"/>
    <w:rsid w:val="005C37BD"/>
    <w:rsid w:val="005D161D"/>
    <w:rsid w:val="005E4585"/>
    <w:rsid w:val="005F577F"/>
    <w:rsid w:val="00603971"/>
    <w:rsid w:val="00603B02"/>
    <w:rsid w:val="0060490D"/>
    <w:rsid w:val="006106A9"/>
    <w:rsid w:val="00622C01"/>
    <w:rsid w:val="00624D83"/>
    <w:rsid w:val="00625989"/>
    <w:rsid w:val="00636613"/>
    <w:rsid w:val="0064058A"/>
    <w:rsid w:val="00642C3F"/>
    <w:rsid w:val="00642ECE"/>
    <w:rsid w:val="00651E52"/>
    <w:rsid w:val="006809D6"/>
    <w:rsid w:val="00683AD6"/>
    <w:rsid w:val="0068542F"/>
    <w:rsid w:val="00686F0D"/>
    <w:rsid w:val="006B1F8E"/>
    <w:rsid w:val="006B440E"/>
    <w:rsid w:val="006B4EFB"/>
    <w:rsid w:val="006D63B3"/>
    <w:rsid w:val="006D75B3"/>
    <w:rsid w:val="006E2C4B"/>
    <w:rsid w:val="006E4B5D"/>
    <w:rsid w:val="006F63E1"/>
    <w:rsid w:val="007104C2"/>
    <w:rsid w:val="007237B0"/>
    <w:rsid w:val="00726E46"/>
    <w:rsid w:val="007330BD"/>
    <w:rsid w:val="00735178"/>
    <w:rsid w:val="007413C5"/>
    <w:rsid w:val="0074316E"/>
    <w:rsid w:val="0074730B"/>
    <w:rsid w:val="00755624"/>
    <w:rsid w:val="00757485"/>
    <w:rsid w:val="00771162"/>
    <w:rsid w:val="00775D91"/>
    <w:rsid w:val="0078493B"/>
    <w:rsid w:val="00785081"/>
    <w:rsid w:val="00790CB6"/>
    <w:rsid w:val="00792385"/>
    <w:rsid w:val="00795385"/>
    <w:rsid w:val="007A186F"/>
    <w:rsid w:val="007A30BC"/>
    <w:rsid w:val="007A7C2C"/>
    <w:rsid w:val="007B2F5A"/>
    <w:rsid w:val="007B4AD6"/>
    <w:rsid w:val="007C16E9"/>
    <w:rsid w:val="007C21D2"/>
    <w:rsid w:val="007C6B8C"/>
    <w:rsid w:val="007D290F"/>
    <w:rsid w:val="007D61C0"/>
    <w:rsid w:val="007D663F"/>
    <w:rsid w:val="00805E11"/>
    <w:rsid w:val="00811FFD"/>
    <w:rsid w:val="00812DA5"/>
    <w:rsid w:val="00822FC1"/>
    <w:rsid w:val="0083695D"/>
    <w:rsid w:val="00844963"/>
    <w:rsid w:val="008503A9"/>
    <w:rsid w:val="008522B6"/>
    <w:rsid w:val="00854291"/>
    <w:rsid w:val="008578C6"/>
    <w:rsid w:val="00880052"/>
    <w:rsid w:val="00894C70"/>
    <w:rsid w:val="008A6FD6"/>
    <w:rsid w:val="008C0A3D"/>
    <w:rsid w:val="008C4992"/>
    <w:rsid w:val="008D5FE5"/>
    <w:rsid w:val="008D6C6A"/>
    <w:rsid w:val="008E624C"/>
    <w:rsid w:val="008F0EEF"/>
    <w:rsid w:val="00901708"/>
    <w:rsid w:val="00911419"/>
    <w:rsid w:val="009158EF"/>
    <w:rsid w:val="00921A58"/>
    <w:rsid w:val="00942B69"/>
    <w:rsid w:val="00942E8E"/>
    <w:rsid w:val="00945855"/>
    <w:rsid w:val="00951D79"/>
    <w:rsid w:val="00956A5D"/>
    <w:rsid w:val="00957BDB"/>
    <w:rsid w:val="009621A1"/>
    <w:rsid w:val="009644CA"/>
    <w:rsid w:val="009665F6"/>
    <w:rsid w:val="00966EAD"/>
    <w:rsid w:val="00971A41"/>
    <w:rsid w:val="00975EC9"/>
    <w:rsid w:val="0097706D"/>
    <w:rsid w:val="00986CED"/>
    <w:rsid w:val="009872C9"/>
    <w:rsid w:val="0099774D"/>
    <w:rsid w:val="009A1D39"/>
    <w:rsid w:val="009B4F40"/>
    <w:rsid w:val="009C40B3"/>
    <w:rsid w:val="009C6EB8"/>
    <w:rsid w:val="009D021F"/>
    <w:rsid w:val="009D721F"/>
    <w:rsid w:val="009E488D"/>
    <w:rsid w:val="009E5D2C"/>
    <w:rsid w:val="009E61A5"/>
    <w:rsid w:val="009F7CE1"/>
    <w:rsid w:val="00A07C18"/>
    <w:rsid w:val="00A139D1"/>
    <w:rsid w:val="00A22D10"/>
    <w:rsid w:val="00A400FB"/>
    <w:rsid w:val="00A55D6A"/>
    <w:rsid w:val="00A5644E"/>
    <w:rsid w:val="00A67AE1"/>
    <w:rsid w:val="00A67D72"/>
    <w:rsid w:val="00A7076C"/>
    <w:rsid w:val="00A7077E"/>
    <w:rsid w:val="00A84136"/>
    <w:rsid w:val="00A846AE"/>
    <w:rsid w:val="00A84CEA"/>
    <w:rsid w:val="00A852BB"/>
    <w:rsid w:val="00A8609E"/>
    <w:rsid w:val="00A9054A"/>
    <w:rsid w:val="00A91CC3"/>
    <w:rsid w:val="00A93336"/>
    <w:rsid w:val="00AB12F5"/>
    <w:rsid w:val="00AB6607"/>
    <w:rsid w:val="00AD27E8"/>
    <w:rsid w:val="00AD6947"/>
    <w:rsid w:val="00AE3F46"/>
    <w:rsid w:val="00AF0E74"/>
    <w:rsid w:val="00AF3953"/>
    <w:rsid w:val="00AF4D9B"/>
    <w:rsid w:val="00AF7447"/>
    <w:rsid w:val="00B10DAA"/>
    <w:rsid w:val="00B159B2"/>
    <w:rsid w:val="00B173F2"/>
    <w:rsid w:val="00B40567"/>
    <w:rsid w:val="00B41010"/>
    <w:rsid w:val="00B507FC"/>
    <w:rsid w:val="00B62947"/>
    <w:rsid w:val="00B91513"/>
    <w:rsid w:val="00B91C84"/>
    <w:rsid w:val="00B964F0"/>
    <w:rsid w:val="00BA0327"/>
    <w:rsid w:val="00BA2308"/>
    <w:rsid w:val="00BA5050"/>
    <w:rsid w:val="00BA775D"/>
    <w:rsid w:val="00BA7DAD"/>
    <w:rsid w:val="00BC2E8F"/>
    <w:rsid w:val="00BE07F3"/>
    <w:rsid w:val="00BE1159"/>
    <w:rsid w:val="00BE7EC3"/>
    <w:rsid w:val="00BF4465"/>
    <w:rsid w:val="00C11DB7"/>
    <w:rsid w:val="00C1720E"/>
    <w:rsid w:val="00C50D55"/>
    <w:rsid w:val="00C70254"/>
    <w:rsid w:val="00C713D5"/>
    <w:rsid w:val="00C74104"/>
    <w:rsid w:val="00C7644A"/>
    <w:rsid w:val="00C76593"/>
    <w:rsid w:val="00C81D19"/>
    <w:rsid w:val="00C8633C"/>
    <w:rsid w:val="00C91C1D"/>
    <w:rsid w:val="00C94715"/>
    <w:rsid w:val="00CA4D97"/>
    <w:rsid w:val="00CB0955"/>
    <w:rsid w:val="00CB1789"/>
    <w:rsid w:val="00CC01E2"/>
    <w:rsid w:val="00CC2490"/>
    <w:rsid w:val="00CD3695"/>
    <w:rsid w:val="00CE2764"/>
    <w:rsid w:val="00CF1E65"/>
    <w:rsid w:val="00D10BED"/>
    <w:rsid w:val="00D14B20"/>
    <w:rsid w:val="00D14F6C"/>
    <w:rsid w:val="00D443B0"/>
    <w:rsid w:val="00D514C4"/>
    <w:rsid w:val="00D525A3"/>
    <w:rsid w:val="00D65D82"/>
    <w:rsid w:val="00D70C0B"/>
    <w:rsid w:val="00D83099"/>
    <w:rsid w:val="00D839ED"/>
    <w:rsid w:val="00D847C2"/>
    <w:rsid w:val="00D85BA6"/>
    <w:rsid w:val="00DA084B"/>
    <w:rsid w:val="00DA373D"/>
    <w:rsid w:val="00DB2256"/>
    <w:rsid w:val="00DB51CB"/>
    <w:rsid w:val="00DC512B"/>
    <w:rsid w:val="00DD06AB"/>
    <w:rsid w:val="00DE0BC7"/>
    <w:rsid w:val="00DE4FA7"/>
    <w:rsid w:val="00DE77B8"/>
    <w:rsid w:val="00DF3AEF"/>
    <w:rsid w:val="00E1398B"/>
    <w:rsid w:val="00E157BE"/>
    <w:rsid w:val="00E22C66"/>
    <w:rsid w:val="00E35C89"/>
    <w:rsid w:val="00E41D89"/>
    <w:rsid w:val="00E4315F"/>
    <w:rsid w:val="00E54E66"/>
    <w:rsid w:val="00E636DF"/>
    <w:rsid w:val="00E70F2B"/>
    <w:rsid w:val="00E73064"/>
    <w:rsid w:val="00EB4052"/>
    <w:rsid w:val="00EB756E"/>
    <w:rsid w:val="00ED05A5"/>
    <w:rsid w:val="00ED265E"/>
    <w:rsid w:val="00ED3429"/>
    <w:rsid w:val="00ED3656"/>
    <w:rsid w:val="00EE5B20"/>
    <w:rsid w:val="00EF4708"/>
    <w:rsid w:val="00EF5EBD"/>
    <w:rsid w:val="00F100BC"/>
    <w:rsid w:val="00F17A65"/>
    <w:rsid w:val="00F30154"/>
    <w:rsid w:val="00F50592"/>
    <w:rsid w:val="00F652AD"/>
    <w:rsid w:val="00F708AF"/>
    <w:rsid w:val="00F86A7B"/>
    <w:rsid w:val="00F94BCA"/>
    <w:rsid w:val="00FA185C"/>
    <w:rsid w:val="00FA2C5F"/>
    <w:rsid w:val="00FA74F3"/>
    <w:rsid w:val="00FD291A"/>
    <w:rsid w:val="00FD6567"/>
    <w:rsid w:val="00FE5463"/>
    <w:rsid w:val="00FF0C90"/>
    <w:rsid w:val="00FF0FA4"/>
    <w:rsid w:val="00FF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C20F"/>
  <w15:chartTrackingRefBased/>
  <w15:docId w15:val="{908227DA-ED65-4F3B-BBFB-F76F2AF7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3064"/>
    <w:rPr>
      <w:sz w:val="16"/>
      <w:szCs w:val="16"/>
    </w:rPr>
  </w:style>
  <w:style w:type="paragraph" w:styleId="CommentText">
    <w:name w:val="annotation text"/>
    <w:basedOn w:val="Normal"/>
    <w:link w:val="CommentTextChar"/>
    <w:uiPriority w:val="99"/>
    <w:semiHidden/>
    <w:unhideWhenUsed/>
    <w:rsid w:val="00E7306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3064"/>
    <w:rPr>
      <w:sz w:val="20"/>
      <w:szCs w:val="20"/>
    </w:rPr>
  </w:style>
  <w:style w:type="paragraph" w:styleId="CommentSubject">
    <w:name w:val="annotation subject"/>
    <w:basedOn w:val="CommentText"/>
    <w:next w:val="CommentText"/>
    <w:link w:val="CommentSubjectChar"/>
    <w:uiPriority w:val="99"/>
    <w:semiHidden/>
    <w:unhideWhenUsed/>
    <w:rsid w:val="00A7076C"/>
    <w:pPr>
      <w:spacing w:after="160"/>
    </w:pPr>
    <w:rPr>
      <w:b/>
      <w:bCs/>
    </w:rPr>
  </w:style>
  <w:style w:type="character" w:customStyle="1" w:styleId="CommentSubjectChar">
    <w:name w:val="Comment Subject Char"/>
    <w:basedOn w:val="CommentTextChar"/>
    <w:link w:val="CommentSubject"/>
    <w:uiPriority w:val="99"/>
    <w:semiHidden/>
    <w:rsid w:val="00A7076C"/>
    <w:rPr>
      <w:b/>
      <w:bCs/>
      <w:sz w:val="20"/>
      <w:szCs w:val="20"/>
    </w:rPr>
  </w:style>
  <w:style w:type="paragraph" w:styleId="Header">
    <w:name w:val="header"/>
    <w:basedOn w:val="Normal"/>
    <w:link w:val="HeaderChar"/>
    <w:uiPriority w:val="99"/>
    <w:unhideWhenUsed/>
    <w:rsid w:val="00E15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7BE"/>
  </w:style>
  <w:style w:type="paragraph" w:styleId="Footer">
    <w:name w:val="footer"/>
    <w:basedOn w:val="Normal"/>
    <w:link w:val="FooterChar"/>
    <w:uiPriority w:val="99"/>
    <w:unhideWhenUsed/>
    <w:rsid w:val="00E15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7BE"/>
  </w:style>
  <w:style w:type="paragraph" w:styleId="NormalWeb">
    <w:name w:val="Normal (Web)"/>
    <w:basedOn w:val="Normal"/>
    <w:uiPriority w:val="99"/>
    <w:semiHidden/>
    <w:unhideWhenUsed/>
    <w:rsid w:val="009E5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5D2C"/>
    <w:rPr>
      <w:color w:val="0000FF"/>
      <w:u w:val="single"/>
    </w:rPr>
  </w:style>
  <w:style w:type="character" w:styleId="FollowedHyperlink">
    <w:name w:val="FollowedHyperlink"/>
    <w:basedOn w:val="DefaultParagraphFont"/>
    <w:uiPriority w:val="99"/>
    <w:semiHidden/>
    <w:unhideWhenUsed/>
    <w:rsid w:val="005049EC"/>
    <w:rPr>
      <w:color w:val="954F72" w:themeColor="followedHyperlink"/>
      <w:u w:val="single"/>
    </w:rPr>
  </w:style>
  <w:style w:type="character" w:customStyle="1" w:styleId="UnresolvedMention1">
    <w:name w:val="Unresolved Mention1"/>
    <w:basedOn w:val="DefaultParagraphFont"/>
    <w:uiPriority w:val="99"/>
    <w:semiHidden/>
    <w:unhideWhenUsed/>
    <w:rsid w:val="00AF7447"/>
    <w:rPr>
      <w:color w:val="605E5C"/>
      <w:shd w:val="clear" w:color="auto" w:fill="E1DFDD"/>
    </w:rPr>
  </w:style>
  <w:style w:type="paragraph" w:styleId="ListParagraph">
    <w:name w:val="List Paragraph"/>
    <w:basedOn w:val="Normal"/>
    <w:uiPriority w:val="34"/>
    <w:qFormat/>
    <w:rsid w:val="00A846AE"/>
    <w:pPr>
      <w:ind w:left="720"/>
      <w:contextualSpacing/>
    </w:pPr>
  </w:style>
  <w:style w:type="character" w:customStyle="1" w:styleId="text">
    <w:name w:val="text"/>
    <w:basedOn w:val="DefaultParagraphFont"/>
    <w:rsid w:val="0083695D"/>
  </w:style>
  <w:style w:type="character" w:customStyle="1" w:styleId="author-ref">
    <w:name w:val="author-ref"/>
    <w:basedOn w:val="DefaultParagraphFont"/>
    <w:rsid w:val="0083695D"/>
  </w:style>
  <w:style w:type="character" w:styleId="Emphasis">
    <w:name w:val="Emphasis"/>
    <w:basedOn w:val="DefaultParagraphFont"/>
    <w:uiPriority w:val="20"/>
    <w:qFormat/>
    <w:rsid w:val="0074316E"/>
    <w:rPr>
      <w:i/>
      <w:iCs/>
    </w:rPr>
  </w:style>
  <w:style w:type="paragraph" w:customStyle="1" w:styleId="first">
    <w:name w:val="first"/>
    <w:basedOn w:val="Normal"/>
    <w:rsid w:val="00603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rsid w:val="00603971"/>
    <w:rPr>
      <w:color w:val="605E5C"/>
      <w:shd w:val="clear" w:color="auto" w:fill="E1DFDD"/>
    </w:rPr>
  </w:style>
  <w:style w:type="character" w:customStyle="1" w:styleId="Heading1Char">
    <w:name w:val="Heading 1 Char"/>
    <w:basedOn w:val="DefaultParagraphFont"/>
    <w:link w:val="Heading1"/>
    <w:uiPriority w:val="9"/>
    <w:rsid w:val="00603971"/>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543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4136"/>
    <w:rPr>
      <w:b/>
      <w:bCs/>
    </w:rPr>
  </w:style>
  <w:style w:type="character" w:styleId="PlaceholderText">
    <w:name w:val="Placeholder Text"/>
    <w:basedOn w:val="DefaultParagraphFont"/>
    <w:uiPriority w:val="99"/>
    <w:semiHidden/>
    <w:rsid w:val="002F2784"/>
    <w:rPr>
      <w:color w:val="808080"/>
    </w:rPr>
  </w:style>
  <w:style w:type="character" w:styleId="UnresolvedMention">
    <w:name w:val="Unresolved Mention"/>
    <w:basedOn w:val="DefaultParagraphFont"/>
    <w:uiPriority w:val="99"/>
    <w:rsid w:val="001C1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3" Type="http://schemas.openxmlformats.org/officeDocument/2006/relationships/styles" Target="styles.xml"/><Relationship Id="rId7" Type="http://schemas.openxmlformats.org/officeDocument/2006/relationships/hyperlink" Target="https://sepsistrust.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cerresearchuk.org/health-professional/cancer-statistics-for-the-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kons.org/site/assets/files/1134/oncology_haematology_24_hour_triage.pdf" TargetMode="External"/><Relationship Id="rId4" Type="http://schemas.openxmlformats.org/officeDocument/2006/relationships/settings" Target="settings.xml"/><Relationship Id="rId9" Type="http://schemas.openxmlformats.org/officeDocument/2006/relationships/hyperlink" Target="http://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75655A4-3274-4CF6-8F5B-1310016C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4114</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Medvivo</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Leloch</dc:creator>
  <cp:lastModifiedBy>Daniella Leloch</cp:lastModifiedBy>
  <cp:revision>2</cp:revision>
  <dcterms:created xsi:type="dcterms:W3CDTF">2023-09-18T08:07:00Z</dcterms:created>
  <dcterms:modified xsi:type="dcterms:W3CDTF">2023-09-18T08:07:00Z</dcterms:modified>
</cp:coreProperties>
</file>