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1BC92" w14:textId="77777777" w:rsidR="000027B6" w:rsidRDefault="000027B6" w:rsidP="00A442E4">
      <w:pPr>
        <w:spacing w:line="360" w:lineRule="auto"/>
        <w:rPr>
          <w:b/>
          <w:sz w:val="20"/>
          <w:szCs w:val="20"/>
        </w:rPr>
      </w:pPr>
      <w:bookmarkStart w:id="0" w:name="_Ref203645757"/>
      <w:bookmarkStart w:id="1" w:name="_Toc211237669"/>
      <w:bookmarkStart w:id="2" w:name="_Toc220890605"/>
      <w:r>
        <w:rPr>
          <w:b/>
          <w:sz w:val="20"/>
          <w:szCs w:val="20"/>
        </w:rPr>
        <w:t>Template for engineering journal articles</w:t>
      </w:r>
    </w:p>
    <w:p w14:paraId="3EAC193C" w14:textId="77777777" w:rsidR="008E50C5" w:rsidRDefault="000470F4" w:rsidP="00A442E4">
      <w:pPr>
        <w:pStyle w:val="Articletitle"/>
        <w:numPr>
          <w:ilvl w:val="0"/>
          <w:numId w:val="27"/>
        </w:numPr>
        <w:spacing w:after="0" w:line="360" w:lineRule="auto"/>
        <w:rPr>
          <w:b w:val="0"/>
          <w:sz w:val="20"/>
          <w:szCs w:val="20"/>
        </w:rPr>
      </w:pPr>
      <w:r>
        <w:rPr>
          <w:b w:val="0"/>
          <w:sz w:val="20"/>
          <w:szCs w:val="20"/>
        </w:rPr>
        <w:t>Re</w:t>
      </w:r>
      <w:r w:rsidR="00F964CC">
        <w:rPr>
          <w:b w:val="0"/>
          <w:sz w:val="20"/>
          <w:szCs w:val="20"/>
        </w:rPr>
        <w:t xml:space="preserve">search </w:t>
      </w:r>
      <w:r>
        <w:rPr>
          <w:b w:val="0"/>
          <w:sz w:val="20"/>
          <w:szCs w:val="20"/>
        </w:rPr>
        <w:t>paper</w:t>
      </w:r>
    </w:p>
    <w:p w14:paraId="6B50F7B9" w14:textId="77777777" w:rsidR="0003108B" w:rsidRPr="0006269A" w:rsidRDefault="0003108B" w:rsidP="00A442E4">
      <w:pPr>
        <w:pStyle w:val="Authorname"/>
        <w:numPr>
          <w:ilvl w:val="0"/>
          <w:numId w:val="27"/>
        </w:numPr>
        <w:spacing w:after="0" w:line="360" w:lineRule="auto"/>
        <w:rPr>
          <w:sz w:val="20"/>
        </w:rPr>
      </w:pPr>
      <w:r w:rsidRPr="0006269A">
        <w:rPr>
          <w:sz w:val="20"/>
        </w:rPr>
        <w:t xml:space="preserve">Date text written </w:t>
      </w:r>
      <w:r w:rsidR="009C59C6">
        <w:rPr>
          <w:sz w:val="20"/>
        </w:rPr>
        <w:t>4</w:t>
      </w:r>
      <w:r w:rsidR="000470F4" w:rsidRPr="000470F4">
        <w:rPr>
          <w:sz w:val="20"/>
          <w:vertAlign w:val="superscript"/>
        </w:rPr>
        <w:t>th</w:t>
      </w:r>
      <w:r w:rsidR="000470F4">
        <w:rPr>
          <w:sz w:val="20"/>
        </w:rPr>
        <w:t xml:space="preserve"> </w:t>
      </w:r>
      <w:r w:rsidR="009C59C6">
        <w:rPr>
          <w:sz w:val="20"/>
        </w:rPr>
        <w:t xml:space="preserve">December </w:t>
      </w:r>
      <w:r w:rsidR="00F964CC">
        <w:rPr>
          <w:sz w:val="20"/>
        </w:rPr>
        <w:t>2019.</w:t>
      </w:r>
    </w:p>
    <w:p w14:paraId="1C3C67C0" w14:textId="77777777" w:rsidR="000470F4" w:rsidRDefault="0003108B" w:rsidP="0006269A">
      <w:pPr>
        <w:pStyle w:val="Authoraffiliations"/>
        <w:numPr>
          <w:ilvl w:val="0"/>
          <w:numId w:val="27"/>
        </w:numPr>
      </w:pPr>
      <w:r w:rsidRPr="0006269A">
        <w:t xml:space="preserve">Number of words </w:t>
      </w:r>
      <w:r w:rsidR="000470F4">
        <w:t xml:space="preserve">= </w:t>
      </w:r>
      <w:r w:rsidR="00F964CC">
        <w:t>5</w:t>
      </w:r>
      <w:r w:rsidR="00C869D7">
        <w:t>59</w:t>
      </w:r>
      <w:r w:rsidR="009C59C6">
        <w:t>7</w:t>
      </w:r>
      <w:r w:rsidR="000470F4">
        <w:t>.</w:t>
      </w:r>
    </w:p>
    <w:p w14:paraId="5464E7D2" w14:textId="77777777" w:rsidR="00785C86" w:rsidRPr="000470F4" w:rsidRDefault="002E538A" w:rsidP="00785C86">
      <w:pPr>
        <w:pStyle w:val="Authoraffiliations"/>
        <w:numPr>
          <w:ilvl w:val="0"/>
          <w:numId w:val="27"/>
        </w:numPr>
      </w:pPr>
      <w:r>
        <w:t>Six</w:t>
      </w:r>
      <w:r w:rsidR="00B02A85">
        <w:t xml:space="preserve"> </w:t>
      </w:r>
      <w:r w:rsidR="003A397C">
        <w:t xml:space="preserve">figures and </w:t>
      </w:r>
      <w:r w:rsidR="009C59C6">
        <w:t>1</w:t>
      </w:r>
      <w:r w:rsidR="003A397C">
        <w:t xml:space="preserve"> </w:t>
      </w:r>
      <w:proofErr w:type="gramStart"/>
      <w:r w:rsidR="000470F4">
        <w:t>table</w:t>
      </w:r>
      <w:r w:rsidR="003A397C">
        <w:t>s</w:t>
      </w:r>
      <w:proofErr w:type="gramEnd"/>
      <w:r w:rsidR="000470F4">
        <w:t>.</w:t>
      </w:r>
    </w:p>
    <w:p w14:paraId="3E1E5089" w14:textId="77777777" w:rsidR="0003108B" w:rsidRPr="00A442E4" w:rsidRDefault="00A442E4" w:rsidP="00A442E4">
      <w:pPr>
        <w:pStyle w:val="Articletitle"/>
        <w:spacing w:after="0" w:line="360" w:lineRule="auto"/>
        <w:rPr>
          <w:sz w:val="20"/>
          <w:szCs w:val="20"/>
        </w:rPr>
      </w:pPr>
      <w:r>
        <w:rPr>
          <w:sz w:val="20"/>
          <w:szCs w:val="20"/>
        </w:rPr>
        <w:t>-------------------------------------------------------------------------------------------------------------------------------</w:t>
      </w:r>
    </w:p>
    <w:p w14:paraId="2C046B2B" w14:textId="77777777" w:rsidR="00A442E4" w:rsidRDefault="00A442E4" w:rsidP="00A442E4">
      <w:pPr>
        <w:pStyle w:val="Articletitle"/>
        <w:spacing w:after="0" w:line="360" w:lineRule="auto"/>
        <w:rPr>
          <w:sz w:val="20"/>
          <w:szCs w:val="20"/>
        </w:rPr>
      </w:pPr>
    </w:p>
    <w:p w14:paraId="40900A77" w14:textId="77777777" w:rsidR="0003108B" w:rsidRPr="00A442E4" w:rsidRDefault="00136C37" w:rsidP="00A442E4">
      <w:pPr>
        <w:pStyle w:val="Articletitle"/>
        <w:spacing w:after="0" w:line="360" w:lineRule="auto"/>
        <w:rPr>
          <w:sz w:val="20"/>
          <w:szCs w:val="20"/>
        </w:rPr>
      </w:pPr>
      <w:r w:rsidRPr="00136C37">
        <w:rPr>
          <w:sz w:val="20"/>
          <w:szCs w:val="20"/>
        </w:rPr>
        <w:t>Investigating the use of Joint Probability Curves in Coastal Engineering Practice</w:t>
      </w:r>
    </w:p>
    <w:p w14:paraId="70EE59C2" w14:textId="77777777" w:rsidR="0003108B" w:rsidRDefault="0003108B" w:rsidP="00A442E4">
      <w:pPr>
        <w:pStyle w:val="Authorname"/>
        <w:spacing w:after="0" w:line="360" w:lineRule="auto"/>
        <w:rPr>
          <w:sz w:val="20"/>
        </w:rPr>
      </w:pPr>
    </w:p>
    <w:p w14:paraId="02F66237" w14:textId="77777777" w:rsidR="0003108B" w:rsidRPr="0006269A" w:rsidRDefault="0003108B" w:rsidP="00A442E4">
      <w:pPr>
        <w:pStyle w:val="Authorname"/>
        <w:spacing w:after="0" w:line="360" w:lineRule="auto"/>
        <w:rPr>
          <w:sz w:val="20"/>
        </w:rPr>
      </w:pPr>
      <w:r w:rsidRPr="0006269A">
        <w:rPr>
          <w:sz w:val="20"/>
        </w:rPr>
        <w:t>Author 1</w:t>
      </w:r>
    </w:p>
    <w:p w14:paraId="41227979" w14:textId="77777777" w:rsidR="0003108B" w:rsidRPr="0006269A" w:rsidRDefault="00EC4F32" w:rsidP="0006269A">
      <w:pPr>
        <w:pStyle w:val="Authoraffiliations"/>
        <w:numPr>
          <w:ilvl w:val="0"/>
          <w:numId w:val="28"/>
        </w:numPr>
      </w:pPr>
      <w:r>
        <w:t>Dominic P. Hames</w:t>
      </w:r>
      <w:r w:rsidR="0003108B" w:rsidRPr="0006269A">
        <w:t xml:space="preserve">, </w:t>
      </w:r>
      <w:r w:rsidR="008C07E6">
        <w:t>BEng., MSc., PhD., CEng, MCIWEM</w:t>
      </w:r>
    </w:p>
    <w:p w14:paraId="629AF837" w14:textId="77777777" w:rsidR="00B57B95" w:rsidRDefault="008C07E6" w:rsidP="00B57B95">
      <w:pPr>
        <w:pStyle w:val="Authoraffiliations"/>
        <w:numPr>
          <w:ilvl w:val="0"/>
          <w:numId w:val="28"/>
        </w:numPr>
      </w:pPr>
      <w:r>
        <w:t xml:space="preserve">Principal Engineer, HR Wallingford Ltd., </w:t>
      </w:r>
      <w:proofErr w:type="spellStart"/>
      <w:r>
        <w:t>Oxfordshire</w:t>
      </w:r>
      <w:proofErr w:type="spellEnd"/>
      <w:r>
        <w:t>, UK</w:t>
      </w:r>
    </w:p>
    <w:p w14:paraId="6E313DFA" w14:textId="77777777" w:rsidR="00B57B95" w:rsidRPr="00B57B95" w:rsidRDefault="00B57B95" w:rsidP="00B57B95">
      <w:pPr>
        <w:pStyle w:val="Authoraffiliations"/>
        <w:numPr>
          <w:ilvl w:val="0"/>
          <w:numId w:val="28"/>
        </w:numPr>
      </w:pPr>
      <w:r>
        <w:t>Visiting Lecturer, Brunel University, Uxbridge, UK</w:t>
      </w:r>
    </w:p>
    <w:p w14:paraId="7223A484" w14:textId="77777777" w:rsidR="00261E47" w:rsidRPr="00261E47" w:rsidRDefault="001D5FC1" w:rsidP="001D5FC1">
      <w:pPr>
        <w:pStyle w:val="Authoraffiliations"/>
        <w:numPr>
          <w:ilvl w:val="0"/>
          <w:numId w:val="28"/>
        </w:numPr>
      </w:pPr>
      <w:r w:rsidRPr="001D5FC1">
        <w:t>0000-0001-9506-280X</w:t>
      </w:r>
    </w:p>
    <w:p w14:paraId="5C6B502A" w14:textId="77777777" w:rsidR="0003108B" w:rsidRPr="0006269A" w:rsidRDefault="0003108B" w:rsidP="00A442E4">
      <w:pPr>
        <w:pStyle w:val="Authorname"/>
        <w:spacing w:after="0" w:line="360" w:lineRule="auto"/>
        <w:rPr>
          <w:sz w:val="20"/>
        </w:rPr>
      </w:pPr>
      <w:r w:rsidRPr="0006269A">
        <w:rPr>
          <w:sz w:val="20"/>
        </w:rPr>
        <w:t>Author 2</w:t>
      </w:r>
    </w:p>
    <w:p w14:paraId="1BEF50F9" w14:textId="77777777" w:rsidR="0003108B" w:rsidRPr="0006269A" w:rsidRDefault="001D5FC1" w:rsidP="0006269A">
      <w:pPr>
        <w:pStyle w:val="Authoraffiliations"/>
        <w:numPr>
          <w:ilvl w:val="0"/>
          <w:numId w:val="29"/>
        </w:numPr>
      </w:pPr>
      <w:r>
        <w:t>Ben P. Gouldby</w:t>
      </w:r>
      <w:r w:rsidR="00FE699B">
        <w:t>, BSc.</w:t>
      </w:r>
    </w:p>
    <w:p w14:paraId="470221A5" w14:textId="77777777" w:rsidR="00261E47" w:rsidRDefault="001D5FC1" w:rsidP="001D5FC1">
      <w:pPr>
        <w:pStyle w:val="Authoraffiliations"/>
        <w:numPr>
          <w:ilvl w:val="0"/>
          <w:numId w:val="29"/>
        </w:numPr>
      </w:pPr>
      <w:r>
        <w:t xml:space="preserve">Chief Technical Director, </w:t>
      </w:r>
      <w:r w:rsidRPr="001D5FC1">
        <w:t xml:space="preserve">HR Wallingford Ltd., </w:t>
      </w:r>
      <w:proofErr w:type="spellStart"/>
      <w:r w:rsidRPr="001D5FC1">
        <w:t>Oxfordshire</w:t>
      </w:r>
      <w:proofErr w:type="spellEnd"/>
      <w:r w:rsidRPr="001D5FC1">
        <w:t>, UK</w:t>
      </w:r>
    </w:p>
    <w:p w14:paraId="37D191D5" w14:textId="77777777" w:rsidR="00B57B95" w:rsidRPr="00B57B95" w:rsidRDefault="00B57B95" w:rsidP="00B57B95">
      <w:pPr>
        <w:pStyle w:val="Authoraffiliations"/>
        <w:numPr>
          <w:ilvl w:val="0"/>
          <w:numId w:val="29"/>
        </w:numPr>
      </w:pPr>
      <w:r>
        <w:t>Visiting Professor, Southampton University, Southampton, UK</w:t>
      </w:r>
    </w:p>
    <w:p w14:paraId="7DD45884" w14:textId="77777777" w:rsidR="00261E47" w:rsidRPr="00261E47" w:rsidRDefault="001D5FC1" w:rsidP="001D5FC1">
      <w:pPr>
        <w:pStyle w:val="Authoraffiliations"/>
        <w:numPr>
          <w:ilvl w:val="0"/>
          <w:numId w:val="29"/>
        </w:numPr>
      </w:pPr>
      <w:r w:rsidRPr="001D5FC1">
        <w:t>0000-0003-0415-5897</w:t>
      </w:r>
    </w:p>
    <w:p w14:paraId="5654AC60" w14:textId="77777777" w:rsidR="001D5FC1" w:rsidRPr="0006269A" w:rsidRDefault="001D5FC1" w:rsidP="001D5FC1">
      <w:pPr>
        <w:pStyle w:val="Authorname"/>
        <w:spacing w:after="0" w:line="360" w:lineRule="auto"/>
        <w:rPr>
          <w:sz w:val="20"/>
        </w:rPr>
      </w:pPr>
      <w:r w:rsidRPr="0006269A">
        <w:rPr>
          <w:sz w:val="20"/>
        </w:rPr>
        <w:t>Author 2</w:t>
      </w:r>
    </w:p>
    <w:p w14:paraId="0965B26C" w14:textId="77777777" w:rsidR="001D5FC1" w:rsidRPr="0006269A" w:rsidRDefault="001D5FC1" w:rsidP="00A20A1D">
      <w:pPr>
        <w:pStyle w:val="Authoraffiliations"/>
        <w:numPr>
          <w:ilvl w:val="0"/>
          <w:numId w:val="29"/>
        </w:numPr>
      </w:pPr>
      <w:r>
        <w:t>Peter J. Hawkes</w:t>
      </w:r>
      <w:r w:rsidR="00A20A1D">
        <w:t xml:space="preserve">, </w:t>
      </w:r>
      <w:r w:rsidR="00A20A1D" w:rsidRPr="00A20A1D">
        <w:t>BEng.</w:t>
      </w:r>
      <w:r w:rsidR="00A20A1D">
        <w:t xml:space="preserve">, </w:t>
      </w:r>
      <w:r w:rsidR="00A20A1D" w:rsidRPr="00A20A1D">
        <w:t>PhD.</w:t>
      </w:r>
    </w:p>
    <w:p w14:paraId="1D7AA105" w14:textId="77777777" w:rsidR="001D5FC1" w:rsidRDefault="001D5FC1" w:rsidP="001D5FC1">
      <w:pPr>
        <w:pStyle w:val="Authoraffiliations"/>
        <w:numPr>
          <w:ilvl w:val="0"/>
          <w:numId w:val="29"/>
        </w:numPr>
      </w:pPr>
      <w:r w:rsidRPr="001D5FC1">
        <w:t>Principal Engineer</w:t>
      </w:r>
      <w:r>
        <w:t xml:space="preserve"> (retired)</w:t>
      </w:r>
      <w:r w:rsidRPr="001D5FC1">
        <w:t xml:space="preserve">, HR Wallingford Ltd., </w:t>
      </w:r>
      <w:proofErr w:type="spellStart"/>
      <w:r w:rsidRPr="001D5FC1">
        <w:t>Oxfordshire</w:t>
      </w:r>
      <w:proofErr w:type="spellEnd"/>
      <w:r w:rsidRPr="001D5FC1">
        <w:t>, UK</w:t>
      </w:r>
    </w:p>
    <w:p w14:paraId="047FF0BF" w14:textId="77777777" w:rsidR="001D5FC1" w:rsidRPr="00261E47" w:rsidRDefault="006D67FD" w:rsidP="001D5FC1">
      <w:pPr>
        <w:pStyle w:val="Authoraffiliations"/>
        <w:numPr>
          <w:ilvl w:val="0"/>
          <w:numId w:val="29"/>
        </w:numPr>
      </w:pPr>
      <w:r>
        <w:t>0000-0002-4616-1155</w:t>
      </w:r>
    </w:p>
    <w:p w14:paraId="3B437E25" w14:textId="77777777" w:rsidR="0003108B" w:rsidRPr="0006269A" w:rsidRDefault="0003108B" w:rsidP="008C6E90">
      <w:pPr>
        <w:spacing w:line="360" w:lineRule="auto"/>
        <w:outlineLvl w:val="0"/>
        <w:rPr>
          <w:b/>
          <w:sz w:val="20"/>
          <w:szCs w:val="20"/>
        </w:rPr>
      </w:pPr>
    </w:p>
    <w:p w14:paraId="274B121B" w14:textId="77777777" w:rsidR="0003108B" w:rsidRPr="0006269A" w:rsidRDefault="0003108B" w:rsidP="008C6E90">
      <w:pPr>
        <w:spacing w:line="360" w:lineRule="auto"/>
        <w:rPr>
          <w:b/>
          <w:sz w:val="20"/>
          <w:szCs w:val="20"/>
        </w:rPr>
      </w:pPr>
      <w:r w:rsidRPr="0006269A">
        <w:rPr>
          <w:b/>
          <w:sz w:val="20"/>
          <w:szCs w:val="20"/>
        </w:rPr>
        <w:t>Full contact details of corresponding author.</w:t>
      </w:r>
    </w:p>
    <w:p w14:paraId="06026649" w14:textId="77777777" w:rsidR="00B0185B" w:rsidRPr="00B0185B" w:rsidRDefault="00B0185B" w:rsidP="00B0185B">
      <w:pPr>
        <w:spacing w:line="360" w:lineRule="auto"/>
        <w:outlineLvl w:val="0"/>
        <w:rPr>
          <w:sz w:val="20"/>
          <w:szCs w:val="20"/>
        </w:rPr>
      </w:pPr>
      <w:r w:rsidRPr="00B0185B">
        <w:rPr>
          <w:sz w:val="20"/>
          <w:szCs w:val="20"/>
        </w:rPr>
        <w:t>Dominic Hames</w:t>
      </w:r>
      <w:r>
        <w:rPr>
          <w:sz w:val="20"/>
          <w:szCs w:val="20"/>
        </w:rPr>
        <w:t xml:space="preserve">, </w:t>
      </w:r>
      <w:r w:rsidRPr="00B0185B">
        <w:rPr>
          <w:sz w:val="20"/>
          <w:szCs w:val="20"/>
        </w:rPr>
        <w:t>HR Wallingford</w:t>
      </w:r>
      <w:r>
        <w:rPr>
          <w:sz w:val="20"/>
          <w:szCs w:val="20"/>
        </w:rPr>
        <w:t xml:space="preserve">, </w:t>
      </w:r>
      <w:r w:rsidRPr="00B0185B">
        <w:rPr>
          <w:sz w:val="20"/>
          <w:szCs w:val="20"/>
        </w:rPr>
        <w:t>Howbery Park</w:t>
      </w:r>
      <w:r>
        <w:rPr>
          <w:sz w:val="20"/>
          <w:szCs w:val="20"/>
        </w:rPr>
        <w:t xml:space="preserve">, </w:t>
      </w:r>
      <w:r w:rsidRPr="00B0185B">
        <w:rPr>
          <w:sz w:val="20"/>
          <w:szCs w:val="20"/>
        </w:rPr>
        <w:t>Wallingford, Oxfordshire</w:t>
      </w:r>
      <w:r>
        <w:rPr>
          <w:sz w:val="20"/>
          <w:szCs w:val="20"/>
        </w:rPr>
        <w:t xml:space="preserve">, </w:t>
      </w:r>
      <w:r w:rsidRPr="00B0185B">
        <w:rPr>
          <w:sz w:val="20"/>
          <w:szCs w:val="20"/>
        </w:rPr>
        <w:t>OX10 8BA</w:t>
      </w:r>
    </w:p>
    <w:p w14:paraId="251AB525" w14:textId="77777777" w:rsidR="0003108B" w:rsidRPr="00B0185B" w:rsidRDefault="00B0185B" w:rsidP="00B0185B">
      <w:pPr>
        <w:spacing w:line="360" w:lineRule="auto"/>
        <w:outlineLvl w:val="0"/>
        <w:rPr>
          <w:sz w:val="20"/>
          <w:szCs w:val="20"/>
        </w:rPr>
      </w:pPr>
      <w:r w:rsidRPr="00B0185B">
        <w:rPr>
          <w:sz w:val="20"/>
          <w:szCs w:val="20"/>
        </w:rPr>
        <w:t>United Kingdom</w:t>
      </w:r>
      <w:r w:rsidR="000470F4">
        <w:rPr>
          <w:sz w:val="20"/>
          <w:szCs w:val="20"/>
        </w:rPr>
        <w:t>. Tel: 01491 822298</w:t>
      </w:r>
      <w:r>
        <w:rPr>
          <w:sz w:val="20"/>
          <w:szCs w:val="20"/>
        </w:rPr>
        <w:t>. (d.hames@hrwallingford.com)</w:t>
      </w:r>
    </w:p>
    <w:p w14:paraId="0CA40FE1" w14:textId="77777777" w:rsidR="0074139E" w:rsidRDefault="00F41FAC" w:rsidP="008C6E90">
      <w:pPr>
        <w:spacing w:line="360" w:lineRule="auto"/>
        <w:outlineLvl w:val="0"/>
        <w:rPr>
          <w:b/>
          <w:sz w:val="20"/>
          <w:szCs w:val="20"/>
        </w:rPr>
      </w:pPr>
      <w:r>
        <w:rPr>
          <w:noProof/>
        </w:rPr>
        <mc:AlternateContent>
          <mc:Choice Requires="wps">
            <w:drawing>
              <wp:anchor distT="0" distB="0" distL="114300" distR="114300" simplePos="0" relativeHeight="251657728" behindDoc="0" locked="0" layoutInCell="1" allowOverlap="1" wp14:anchorId="43563BCF" wp14:editId="5E414BB7">
                <wp:simplePos x="0" y="0"/>
                <wp:positionH relativeFrom="column">
                  <wp:posOffset>-43180</wp:posOffset>
                </wp:positionH>
                <wp:positionV relativeFrom="paragraph">
                  <wp:posOffset>172085</wp:posOffset>
                </wp:positionV>
                <wp:extent cx="5038725" cy="23907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390775"/>
                        </a:xfrm>
                        <a:prstGeom prst="rect">
                          <a:avLst/>
                        </a:prstGeom>
                        <a:solidFill>
                          <a:srgbClr val="FFFFFF"/>
                        </a:solidFill>
                        <a:ln w="9525">
                          <a:solidFill>
                            <a:srgbClr val="000000"/>
                          </a:solidFill>
                          <a:miter lim="800000"/>
                          <a:headEnd/>
                          <a:tailEnd/>
                        </a:ln>
                      </wps:spPr>
                      <wps:txbx>
                        <w:txbxContent>
                          <w:p w14:paraId="4D0EC8FE" w14:textId="77777777" w:rsidR="0074139E" w:rsidRDefault="0074139E" w:rsidP="0074139E">
                            <w:pPr>
                              <w:spacing w:line="360" w:lineRule="auto"/>
                              <w:ind w:left="284"/>
                              <w:rPr>
                                <w:i/>
                                <w:sz w:val="20"/>
                                <w:szCs w:val="20"/>
                              </w:rPr>
                            </w:pPr>
                          </w:p>
                          <w:p w14:paraId="4B419EB3" w14:textId="77777777" w:rsidR="0074139E" w:rsidRDefault="0074139E" w:rsidP="0074139E">
                            <w:pPr>
                              <w:spacing w:line="360" w:lineRule="auto"/>
                              <w:ind w:left="284"/>
                              <w:rPr>
                                <w:i/>
                                <w:sz w:val="20"/>
                                <w:szCs w:val="20"/>
                              </w:rPr>
                            </w:pPr>
                            <w:r w:rsidRPr="00A442E4">
                              <w:rPr>
                                <w:i/>
                                <w:sz w:val="20"/>
                                <w:szCs w:val="20"/>
                              </w:rPr>
                              <w:t>Editor</w:t>
                            </w:r>
                            <w:r w:rsidRPr="008C6E90">
                              <w:rPr>
                                <w:i/>
                                <w:sz w:val="20"/>
                                <w:szCs w:val="20"/>
                              </w:rPr>
                              <w:t>’</w:t>
                            </w:r>
                            <w:r w:rsidRPr="00A442E4">
                              <w:rPr>
                                <w:i/>
                                <w:sz w:val="20"/>
                                <w:szCs w:val="20"/>
                              </w:rPr>
                              <w:t xml:space="preserve">s note: </w:t>
                            </w:r>
                            <w:r>
                              <w:rPr>
                                <w:i/>
                                <w:sz w:val="20"/>
                                <w:szCs w:val="20"/>
                              </w:rPr>
                              <w:t>your article’s title and abstract are the main ways that readers will find your work. For each, aim to m</w:t>
                            </w:r>
                            <w:r w:rsidRPr="0074139E">
                              <w:rPr>
                                <w:i/>
                                <w:sz w:val="20"/>
                                <w:szCs w:val="20"/>
                              </w:rPr>
                              <w:t xml:space="preserve">ake </w:t>
                            </w:r>
                            <w:r>
                              <w:rPr>
                                <w:i/>
                                <w:sz w:val="20"/>
                                <w:szCs w:val="20"/>
                              </w:rPr>
                              <w:t>them</w:t>
                            </w:r>
                            <w:r w:rsidRPr="0074139E">
                              <w:rPr>
                                <w:i/>
                                <w:sz w:val="20"/>
                                <w:szCs w:val="20"/>
                              </w:rPr>
                              <w:t>:</w:t>
                            </w:r>
                          </w:p>
                          <w:p w14:paraId="2F721E7B" w14:textId="77777777" w:rsidR="0074139E" w:rsidRPr="0074139E" w:rsidRDefault="0074139E" w:rsidP="0074139E">
                            <w:pPr>
                              <w:spacing w:line="360" w:lineRule="auto"/>
                              <w:ind w:left="284"/>
                              <w:rPr>
                                <w:i/>
                                <w:sz w:val="20"/>
                                <w:szCs w:val="20"/>
                              </w:rPr>
                            </w:pPr>
                            <w:r w:rsidRPr="0074139E">
                              <w:rPr>
                                <w:i/>
                                <w:sz w:val="20"/>
                                <w:szCs w:val="20"/>
                              </w:rPr>
                              <w:t>o</w:t>
                            </w:r>
                            <w:r w:rsidRPr="0074139E">
                              <w:rPr>
                                <w:i/>
                                <w:sz w:val="20"/>
                                <w:szCs w:val="20"/>
                              </w:rPr>
                              <w:tab/>
                              <w:t>clear and interesting</w:t>
                            </w:r>
                          </w:p>
                          <w:p w14:paraId="48082C46" w14:textId="77777777" w:rsidR="0074139E" w:rsidRPr="0074139E" w:rsidRDefault="009C7CEA" w:rsidP="0074139E">
                            <w:pPr>
                              <w:spacing w:line="360" w:lineRule="auto"/>
                              <w:ind w:left="284"/>
                              <w:rPr>
                                <w:i/>
                                <w:sz w:val="20"/>
                                <w:szCs w:val="20"/>
                              </w:rPr>
                            </w:pPr>
                            <w:r>
                              <w:rPr>
                                <w:i/>
                                <w:sz w:val="20"/>
                                <w:szCs w:val="20"/>
                              </w:rPr>
                              <w:t>o</w:t>
                            </w:r>
                            <w:r>
                              <w:rPr>
                                <w:i/>
                                <w:sz w:val="20"/>
                                <w:szCs w:val="20"/>
                              </w:rPr>
                              <w:tab/>
                            </w:r>
                            <w:proofErr w:type="gramStart"/>
                            <w:r>
                              <w:rPr>
                                <w:i/>
                                <w:sz w:val="20"/>
                                <w:szCs w:val="20"/>
                              </w:rPr>
                              <w:t>i</w:t>
                            </w:r>
                            <w:r w:rsidR="0074139E" w:rsidRPr="0074139E">
                              <w:rPr>
                                <w:i/>
                                <w:sz w:val="20"/>
                                <w:szCs w:val="20"/>
                              </w:rPr>
                              <w:t>nclude</w:t>
                            </w:r>
                            <w:proofErr w:type="gramEnd"/>
                            <w:r w:rsidR="0074139E" w:rsidRPr="0074139E">
                              <w:rPr>
                                <w:i/>
                                <w:sz w:val="20"/>
                                <w:szCs w:val="20"/>
                              </w:rPr>
                              <w:t xml:space="preserve"> keywords that your peers might type into a search engine</w:t>
                            </w:r>
                          </w:p>
                          <w:p w14:paraId="7C97603A" w14:textId="77777777" w:rsidR="0074139E" w:rsidRPr="0074139E" w:rsidRDefault="009C7CEA" w:rsidP="0074139E">
                            <w:pPr>
                              <w:spacing w:line="360" w:lineRule="auto"/>
                              <w:ind w:left="284"/>
                              <w:rPr>
                                <w:i/>
                                <w:sz w:val="20"/>
                                <w:szCs w:val="20"/>
                              </w:rPr>
                            </w:pPr>
                            <w:r>
                              <w:rPr>
                                <w:i/>
                                <w:sz w:val="20"/>
                                <w:szCs w:val="20"/>
                              </w:rPr>
                              <w:t>o</w:t>
                            </w:r>
                            <w:r>
                              <w:rPr>
                                <w:i/>
                                <w:sz w:val="20"/>
                                <w:szCs w:val="20"/>
                              </w:rPr>
                              <w:tab/>
                            </w:r>
                            <w:proofErr w:type="gramStart"/>
                            <w:r>
                              <w:rPr>
                                <w:i/>
                                <w:sz w:val="20"/>
                                <w:szCs w:val="20"/>
                              </w:rPr>
                              <w:t>p</w:t>
                            </w:r>
                            <w:r w:rsidR="0074139E" w:rsidRPr="0074139E">
                              <w:rPr>
                                <w:i/>
                                <w:sz w:val="20"/>
                                <w:szCs w:val="20"/>
                              </w:rPr>
                              <w:t>lace</w:t>
                            </w:r>
                            <w:proofErr w:type="gramEnd"/>
                            <w:r w:rsidR="0074139E" w:rsidRPr="0074139E">
                              <w:rPr>
                                <w:i/>
                                <w:sz w:val="20"/>
                                <w:szCs w:val="20"/>
                              </w:rPr>
                              <w:t xml:space="preserve"> such keywords at the beginning of the first sentence. Google will then find them more </w:t>
                            </w:r>
                            <w:proofErr w:type="gramStart"/>
                            <w:r w:rsidR="0074139E" w:rsidRPr="0074139E">
                              <w:rPr>
                                <w:i/>
                                <w:sz w:val="20"/>
                                <w:szCs w:val="20"/>
                              </w:rPr>
                              <w:t>easily</w:t>
                            </w:r>
                            <w:proofErr w:type="gramEnd"/>
                          </w:p>
                          <w:p w14:paraId="5653995D" w14:textId="77777777" w:rsidR="0074139E" w:rsidRDefault="0074139E" w:rsidP="0074139E">
                            <w:pPr>
                              <w:spacing w:line="360" w:lineRule="auto"/>
                              <w:ind w:left="284"/>
                              <w:rPr>
                                <w:i/>
                                <w:sz w:val="20"/>
                                <w:szCs w:val="20"/>
                              </w:rPr>
                            </w:pPr>
                          </w:p>
                          <w:p w14:paraId="602F6E35" w14:textId="77777777" w:rsidR="0074139E" w:rsidRPr="0006269A" w:rsidRDefault="0074139E" w:rsidP="0074139E">
                            <w:pPr>
                              <w:spacing w:line="360" w:lineRule="auto"/>
                              <w:ind w:left="284"/>
                              <w:rPr>
                                <w:i/>
                                <w:sz w:val="20"/>
                                <w:szCs w:val="20"/>
                              </w:rPr>
                            </w:pPr>
                            <w:r w:rsidRPr="0074139E">
                              <w:rPr>
                                <w:i/>
                                <w:sz w:val="20"/>
                                <w:szCs w:val="20"/>
                              </w:rPr>
                              <w:t>Each keyword only needs to be mentioned once, after that use plenty of other similar words</w:t>
                            </w:r>
                            <w:r>
                              <w:rPr>
                                <w: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563BCF" id="_x0000_t202" coordsize="21600,21600" o:spt="202" path="m,l,21600r21600,l21600,xe">
                <v:stroke joinstyle="miter"/>
                <v:path gradientshapeok="t" o:connecttype="rect"/>
              </v:shapetype>
              <v:shape id="Text Box 2" o:spid="_x0000_s1026" type="#_x0000_t202" style="position:absolute;margin-left:-3.4pt;margin-top:13.55pt;width:396.75pt;height:18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">
                <v:textbox>
                  <w:txbxContent>
                    <w:p w14:paraId="4D0EC8FE" w14:textId="77777777" w:rsidR="0074139E" w:rsidRDefault="0074139E" w:rsidP="0074139E">
                      <w:pPr>
                        <w:spacing w:line="360" w:lineRule="auto"/>
                        <w:ind w:left="284"/>
                        <w:rPr>
                          <w:i/>
                          <w:sz w:val="20"/>
                          <w:szCs w:val="20"/>
                        </w:rPr>
                      </w:pPr>
                    </w:p>
                    <w:p w14:paraId="4B419EB3" w14:textId="77777777" w:rsidR="0074139E" w:rsidRDefault="0074139E" w:rsidP="0074139E">
                      <w:pPr>
                        <w:spacing w:line="360" w:lineRule="auto"/>
                        <w:ind w:left="284"/>
                        <w:rPr>
                          <w:i/>
                          <w:sz w:val="20"/>
                          <w:szCs w:val="20"/>
                        </w:rPr>
                      </w:pPr>
                      <w:r w:rsidRPr="00A442E4">
                        <w:rPr>
                          <w:i/>
                          <w:sz w:val="20"/>
                          <w:szCs w:val="20"/>
                        </w:rPr>
                        <w:t>Editor</w:t>
                      </w:r>
                      <w:r w:rsidRPr="008C6E90">
                        <w:rPr>
                          <w:i/>
                          <w:sz w:val="20"/>
                          <w:szCs w:val="20"/>
                        </w:rPr>
                        <w:t>’</w:t>
                      </w:r>
                      <w:r w:rsidRPr="00A442E4">
                        <w:rPr>
                          <w:i/>
                          <w:sz w:val="20"/>
                          <w:szCs w:val="20"/>
                        </w:rPr>
                        <w:t xml:space="preserve">s note: </w:t>
                      </w:r>
                      <w:r>
                        <w:rPr>
                          <w:i/>
                          <w:sz w:val="20"/>
                          <w:szCs w:val="20"/>
                        </w:rPr>
                        <w:t>your article’s title and abstract are the main ways that readers will find your work. For each, aim to m</w:t>
                      </w:r>
                      <w:r w:rsidRPr="0074139E">
                        <w:rPr>
                          <w:i/>
                          <w:sz w:val="20"/>
                          <w:szCs w:val="20"/>
                        </w:rPr>
                        <w:t xml:space="preserve">ake </w:t>
                      </w:r>
                      <w:r>
                        <w:rPr>
                          <w:i/>
                          <w:sz w:val="20"/>
                          <w:szCs w:val="20"/>
                        </w:rPr>
                        <w:t>them</w:t>
                      </w:r>
                      <w:r w:rsidRPr="0074139E">
                        <w:rPr>
                          <w:i/>
                          <w:sz w:val="20"/>
                          <w:szCs w:val="20"/>
                        </w:rPr>
                        <w:t>:</w:t>
                      </w:r>
                    </w:p>
                    <w:p w14:paraId="2F721E7B" w14:textId="77777777" w:rsidR="0074139E" w:rsidRPr="0074139E" w:rsidRDefault="0074139E" w:rsidP="0074139E">
                      <w:pPr>
                        <w:spacing w:line="360" w:lineRule="auto"/>
                        <w:ind w:left="284"/>
                        <w:rPr>
                          <w:i/>
                          <w:sz w:val="20"/>
                          <w:szCs w:val="20"/>
                        </w:rPr>
                      </w:pPr>
                      <w:r w:rsidRPr="0074139E">
                        <w:rPr>
                          <w:i/>
                          <w:sz w:val="20"/>
                          <w:szCs w:val="20"/>
                        </w:rPr>
                        <w:t>o</w:t>
                      </w:r>
                      <w:r w:rsidRPr="0074139E">
                        <w:rPr>
                          <w:i/>
                          <w:sz w:val="20"/>
                          <w:szCs w:val="20"/>
                        </w:rPr>
                        <w:tab/>
                        <w:t>clear and interesting</w:t>
                      </w:r>
                    </w:p>
                    <w:p w14:paraId="48082C46" w14:textId="77777777" w:rsidR="0074139E" w:rsidRPr="0074139E" w:rsidRDefault="009C7CEA" w:rsidP="0074139E">
                      <w:pPr>
                        <w:spacing w:line="360" w:lineRule="auto"/>
                        <w:ind w:left="284"/>
                        <w:rPr>
                          <w:i/>
                          <w:sz w:val="20"/>
                          <w:szCs w:val="20"/>
                        </w:rPr>
                      </w:pPr>
                      <w:r>
                        <w:rPr>
                          <w:i/>
                          <w:sz w:val="20"/>
                          <w:szCs w:val="20"/>
                        </w:rPr>
                        <w:t>o</w:t>
                      </w:r>
                      <w:r>
                        <w:rPr>
                          <w:i/>
                          <w:sz w:val="20"/>
                          <w:szCs w:val="20"/>
                        </w:rPr>
                        <w:tab/>
                      </w:r>
                      <w:proofErr w:type="gramStart"/>
                      <w:r>
                        <w:rPr>
                          <w:i/>
                          <w:sz w:val="20"/>
                          <w:szCs w:val="20"/>
                        </w:rPr>
                        <w:t>i</w:t>
                      </w:r>
                      <w:r w:rsidR="0074139E" w:rsidRPr="0074139E">
                        <w:rPr>
                          <w:i/>
                          <w:sz w:val="20"/>
                          <w:szCs w:val="20"/>
                        </w:rPr>
                        <w:t>nclude</w:t>
                      </w:r>
                      <w:proofErr w:type="gramEnd"/>
                      <w:r w:rsidR="0074139E" w:rsidRPr="0074139E">
                        <w:rPr>
                          <w:i/>
                          <w:sz w:val="20"/>
                          <w:szCs w:val="20"/>
                        </w:rPr>
                        <w:t xml:space="preserve"> keywords that your peers might type into a search engine</w:t>
                      </w:r>
                    </w:p>
                    <w:p w14:paraId="7C97603A" w14:textId="77777777" w:rsidR="0074139E" w:rsidRPr="0074139E" w:rsidRDefault="009C7CEA" w:rsidP="0074139E">
                      <w:pPr>
                        <w:spacing w:line="360" w:lineRule="auto"/>
                        <w:ind w:left="284"/>
                        <w:rPr>
                          <w:i/>
                          <w:sz w:val="20"/>
                          <w:szCs w:val="20"/>
                        </w:rPr>
                      </w:pPr>
                      <w:r>
                        <w:rPr>
                          <w:i/>
                          <w:sz w:val="20"/>
                          <w:szCs w:val="20"/>
                        </w:rPr>
                        <w:t>o</w:t>
                      </w:r>
                      <w:r>
                        <w:rPr>
                          <w:i/>
                          <w:sz w:val="20"/>
                          <w:szCs w:val="20"/>
                        </w:rPr>
                        <w:tab/>
                      </w:r>
                      <w:proofErr w:type="gramStart"/>
                      <w:r>
                        <w:rPr>
                          <w:i/>
                          <w:sz w:val="20"/>
                          <w:szCs w:val="20"/>
                        </w:rPr>
                        <w:t>p</w:t>
                      </w:r>
                      <w:r w:rsidR="0074139E" w:rsidRPr="0074139E">
                        <w:rPr>
                          <w:i/>
                          <w:sz w:val="20"/>
                          <w:szCs w:val="20"/>
                        </w:rPr>
                        <w:t>lace</w:t>
                      </w:r>
                      <w:proofErr w:type="gramEnd"/>
                      <w:r w:rsidR="0074139E" w:rsidRPr="0074139E">
                        <w:rPr>
                          <w:i/>
                          <w:sz w:val="20"/>
                          <w:szCs w:val="20"/>
                        </w:rPr>
                        <w:t xml:space="preserve"> such keywords at the beginning of the first sentence. Google will then find them more </w:t>
                      </w:r>
                      <w:proofErr w:type="gramStart"/>
                      <w:r w:rsidR="0074139E" w:rsidRPr="0074139E">
                        <w:rPr>
                          <w:i/>
                          <w:sz w:val="20"/>
                          <w:szCs w:val="20"/>
                        </w:rPr>
                        <w:t>easily</w:t>
                      </w:r>
                      <w:proofErr w:type="gramEnd"/>
                    </w:p>
                    <w:p w14:paraId="5653995D" w14:textId="77777777" w:rsidR="0074139E" w:rsidRDefault="0074139E" w:rsidP="0074139E">
                      <w:pPr>
                        <w:spacing w:line="360" w:lineRule="auto"/>
                        <w:ind w:left="284"/>
                        <w:rPr>
                          <w:i/>
                          <w:sz w:val="20"/>
                          <w:szCs w:val="20"/>
                        </w:rPr>
                      </w:pPr>
                    </w:p>
                    <w:p w14:paraId="602F6E35" w14:textId="77777777" w:rsidR="0074139E" w:rsidRPr="0006269A" w:rsidRDefault="0074139E" w:rsidP="0074139E">
                      <w:pPr>
                        <w:spacing w:line="360" w:lineRule="auto"/>
                        <w:ind w:left="284"/>
                        <w:rPr>
                          <w:i/>
                          <w:sz w:val="20"/>
                          <w:szCs w:val="20"/>
                        </w:rPr>
                      </w:pPr>
                      <w:r w:rsidRPr="0074139E">
                        <w:rPr>
                          <w:i/>
                          <w:sz w:val="20"/>
                          <w:szCs w:val="20"/>
                        </w:rPr>
                        <w:t>Each keyword only needs to be mentioned once, after that use plenty of other similar words</w:t>
                      </w:r>
                      <w:r>
                        <w:rPr>
                          <w:i/>
                          <w:sz w:val="20"/>
                          <w:szCs w:val="20"/>
                        </w:rPr>
                        <w:t>.</w:t>
                      </w:r>
                    </w:p>
                  </w:txbxContent>
                </v:textbox>
              </v:shape>
            </w:pict>
          </mc:Fallback>
        </mc:AlternateContent>
      </w:r>
    </w:p>
    <w:p w14:paraId="0D01F080" w14:textId="77777777" w:rsidR="0074139E" w:rsidRPr="00A442E4" w:rsidRDefault="0074139E" w:rsidP="008C6E90">
      <w:pPr>
        <w:spacing w:line="360" w:lineRule="auto"/>
        <w:outlineLvl w:val="0"/>
        <w:rPr>
          <w:b/>
          <w:sz w:val="20"/>
          <w:szCs w:val="20"/>
        </w:rPr>
      </w:pPr>
    </w:p>
    <w:p w14:paraId="1E741619" w14:textId="77777777" w:rsidR="0003108B" w:rsidRPr="00A442E4" w:rsidRDefault="0003108B" w:rsidP="008C6E90">
      <w:pPr>
        <w:spacing w:line="360" w:lineRule="auto"/>
        <w:rPr>
          <w:b/>
          <w:sz w:val="20"/>
          <w:szCs w:val="20"/>
        </w:rPr>
      </w:pPr>
      <w:r w:rsidRPr="008C6E90">
        <w:rPr>
          <w:b/>
          <w:sz w:val="20"/>
          <w:szCs w:val="20"/>
        </w:rPr>
        <w:br w:type="page"/>
      </w:r>
    </w:p>
    <w:p w14:paraId="66808E61" w14:textId="77777777" w:rsidR="0003108B" w:rsidRPr="00A442E4" w:rsidRDefault="00103A39" w:rsidP="008C6E90">
      <w:pPr>
        <w:spacing w:line="360" w:lineRule="auto"/>
        <w:outlineLvl w:val="0"/>
        <w:rPr>
          <w:b/>
          <w:sz w:val="20"/>
          <w:szCs w:val="20"/>
        </w:rPr>
      </w:pPr>
      <w:r>
        <w:rPr>
          <w:b/>
          <w:sz w:val="20"/>
          <w:szCs w:val="20"/>
        </w:rPr>
        <w:lastRenderedPageBreak/>
        <w:t>Abstract</w:t>
      </w:r>
    </w:p>
    <w:p w14:paraId="6CE2FC26" w14:textId="77777777" w:rsidR="0003108B" w:rsidRPr="00A442E4" w:rsidRDefault="0003108B" w:rsidP="008C6E90">
      <w:pPr>
        <w:spacing w:line="360" w:lineRule="auto"/>
        <w:outlineLvl w:val="0"/>
        <w:rPr>
          <w:b/>
          <w:sz w:val="20"/>
          <w:szCs w:val="20"/>
        </w:rPr>
      </w:pPr>
    </w:p>
    <w:p w14:paraId="5AF020A2" w14:textId="77777777" w:rsidR="0003108B" w:rsidRPr="00A442E4" w:rsidRDefault="003A397C" w:rsidP="008C6E90">
      <w:pPr>
        <w:spacing w:line="360" w:lineRule="auto"/>
        <w:rPr>
          <w:sz w:val="20"/>
          <w:szCs w:val="20"/>
        </w:rPr>
      </w:pPr>
      <w:r w:rsidRPr="003A397C">
        <w:rPr>
          <w:sz w:val="20"/>
          <w:szCs w:val="20"/>
        </w:rPr>
        <w:t xml:space="preserve">This paper investigates the inherent </w:t>
      </w:r>
      <w:r w:rsidR="00E77EC8">
        <w:rPr>
          <w:sz w:val="20"/>
          <w:szCs w:val="20"/>
        </w:rPr>
        <w:t>inaccuracy</w:t>
      </w:r>
      <w:r w:rsidRPr="003A397C">
        <w:rPr>
          <w:sz w:val="20"/>
          <w:szCs w:val="20"/>
        </w:rPr>
        <w:t xml:space="preserve"> in the estimation of various extreme response variables for different sea defence structures using joint </w:t>
      </w:r>
      <w:r w:rsidR="00EF06DB">
        <w:rPr>
          <w:sz w:val="20"/>
          <w:szCs w:val="20"/>
        </w:rPr>
        <w:t>exceedance</w:t>
      </w:r>
      <w:r w:rsidRPr="003A397C">
        <w:rPr>
          <w:sz w:val="20"/>
          <w:szCs w:val="20"/>
        </w:rPr>
        <w:t xml:space="preserve"> curve approaches in common use around the UK.  Utilising </w:t>
      </w:r>
      <w:r w:rsidR="00FE699B" w:rsidRPr="00FE699B">
        <w:rPr>
          <w:sz w:val="20"/>
          <w:szCs w:val="20"/>
        </w:rPr>
        <w:t xml:space="preserve">stochastically generated </w:t>
      </w:r>
      <w:r w:rsidRPr="003A397C">
        <w:rPr>
          <w:sz w:val="20"/>
          <w:szCs w:val="20"/>
        </w:rPr>
        <w:t xml:space="preserve">nearshore data sets </w:t>
      </w:r>
      <w:r w:rsidR="00FE699B" w:rsidRPr="00FE699B">
        <w:rPr>
          <w:sz w:val="20"/>
          <w:szCs w:val="20"/>
        </w:rPr>
        <w:t>that include extreme</w:t>
      </w:r>
      <w:r w:rsidRPr="003A397C">
        <w:rPr>
          <w:sz w:val="20"/>
          <w:szCs w:val="20"/>
        </w:rPr>
        <w:t xml:space="preserve"> wave and sea level conditions determined at regular intervals around the English coastline as part of a previous study, and asset information from the Environment Agency’s AIMS database, this paper assesses 592 </w:t>
      </w:r>
      <w:r w:rsidR="00ED3865">
        <w:rPr>
          <w:sz w:val="20"/>
          <w:szCs w:val="20"/>
        </w:rPr>
        <w:t xml:space="preserve">sea </w:t>
      </w:r>
      <w:r w:rsidRPr="003A397C">
        <w:rPr>
          <w:sz w:val="20"/>
          <w:szCs w:val="20"/>
        </w:rPr>
        <w:t>defence</w:t>
      </w:r>
      <w:r w:rsidR="00B3406C">
        <w:rPr>
          <w:sz w:val="20"/>
          <w:szCs w:val="20"/>
        </w:rPr>
        <w:t xml:space="preserve"> structure</w:t>
      </w:r>
      <w:r w:rsidRPr="003A397C">
        <w:rPr>
          <w:sz w:val="20"/>
          <w:szCs w:val="20"/>
        </w:rPr>
        <w:t xml:space="preserve">s and their associated extreme response using different </w:t>
      </w:r>
      <w:r w:rsidR="00EF06DB">
        <w:rPr>
          <w:sz w:val="20"/>
          <w:szCs w:val="20"/>
        </w:rPr>
        <w:t>joint exceedance</w:t>
      </w:r>
      <w:r w:rsidRPr="003A397C">
        <w:rPr>
          <w:sz w:val="20"/>
          <w:szCs w:val="20"/>
        </w:rPr>
        <w:t xml:space="preserve"> curve approaches when compared against the response variable approach.  This paper highlights that extreme response variables are </w:t>
      </w:r>
      <w:r w:rsidR="00BA4892">
        <w:rPr>
          <w:sz w:val="20"/>
          <w:szCs w:val="20"/>
        </w:rPr>
        <w:t>often</w:t>
      </w:r>
      <w:r w:rsidRPr="003A397C">
        <w:rPr>
          <w:sz w:val="20"/>
          <w:szCs w:val="20"/>
        </w:rPr>
        <w:t xml:space="preserve"> under-estimated</w:t>
      </w:r>
      <w:r w:rsidR="00B32D25">
        <w:rPr>
          <w:sz w:val="20"/>
          <w:szCs w:val="20"/>
        </w:rPr>
        <w:t xml:space="preserve"> when using a </w:t>
      </w:r>
      <w:r w:rsidR="00EF06DB">
        <w:rPr>
          <w:sz w:val="20"/>
          <w:szCs w:val="20"/>
        </w:rPr>
        <w:t>joint exceedance</w:t>
      </w:r>
      <w:r w:rsidR="00B32D25">
        <w:rPr>
          <w:sz w:val="20"/>
          <w:szCs w:val="20"/>
        </w:rPr>
        <w:t xml:space="preserve"> curve approach</w:t>
      </w:r>
      <w:r w:rsidRPr="003A397C">
        <w:rPr>
          <w:sz w:val="20"/>
          <w:szCs w:val="20"/>
        </w:rPr>
        <w:t xml:space="preserve">, which in </w:t>
      </w:r>
      <w:r w:rsidR="005C6EA8">
        <w:rPr>
          <w:sz w:val="20"/>
          <w:szCs w:val="20"/>
        </w:rPr>
        <w:t>many</w:t>
      </w:r>
      <w:r w:rsidRPr="003A397C">
        <w:rPr>
          <w:sz w:val="20"/>
          <w:szCs w:val="20"/>
        </w:rPr>
        <w:t xml:space="preserve"> cases can be significant.  This suggests that the performance of many sea defence structures </w:t>
      </w:r>
      <w:proofErr w:type="gramStart"/>
      <w:r w:rsidRPr="003A397C">
        <w:rPr>
          <w:sz w:val="20"/>
          <w:szCs w:val="20"/>
        </w:rPr>
        <w:t>are</w:t>
      </w:r>
      <w:proofErr w:type="gramEnd"/>
      <w:r w:rsidRPr="003A397C">
        <w:rPr>
          <w:sz w:val="20"/>
          <w:szCs w:val="20"/>
        </w:rPr>
        <w:t xml:space="preserve"> incorrectly </w:t>
      </w:r>
      <w:r w:rsidR="00EF06DB">
        <w:rPr>
          <w:sz w:val="20"/>
          <w:szCs w:val="20"/>
        </w:rPr>
        <w:t>estimated</w:t>
      </w:r>
      <w:r w:rsidRPr="003A397C">
        <w:rPr>
          <w:sz w:val="20"/>
          <w:szCs w:val="20"/>
        </w:rPr>
        <w:t xml:space="preserve">.  </w:t>
      </w:r>
      <w:proofErr w:type="gramStart"/>
      <w:r w:rsidRPr="003A397C">
        <w:rPr>
          <w:sz w:val="20"/>
          <w:szCs w:val="20"/>
        </w:rPr>
        <w:t>As a consequence</w:t>
      </w:r>
      <w:proofErr w:type="gramEnd"/>
      <w:r w:rsidRPr="003A397C">
        <w:rPr>
          <w:sz w:val="20"/>
          <w:szCs w:val="20"/>
        </w:rPr>
        <w:t xml:space="preserve">, </w:t>
      </w:r>
      <w:r w:rsidR="00EF06DB">
        <w:rPr>
          <w:sz w:val="20"/>
          <w:szCs w:val="20"/>
        </w:rPr>
        <w:t>joint exceedance</w:t>
      </w:r>
      <w:r w:rsidRPr="003A397C">
        <w:rPr>
          <w:sz w:val="20"/>
          <w:szCs w:val="20"/>
        </w:rPr>
        <w:t xml:space="preserve"> curve approaches may under-design </w:t>
      </w:r>
      <w:r w:rsidR="00B3406C">
        <w:rPr>
          <w:sz w:val="20"/>
          <w:szCs w:val="20"/>
        </w:rPr>
        <w:t xml:space="preserve">sea </w:t>
      </w:r>
      <w:r w:rsidRPr="003A397C">
        <w:rPr>
          <w:sz w:val="20"/>
          <w:szCs w:val="20"/>
        </w:rPr>
        <w:t xml:space="preserve">defence structures to a greater level than previously </w:t>
      </w:r>
      <w:r w:rsidR="00FE699B">
        <w:rPr>
          <w:sz w:val="20"/>
          <w:szCs w:val="20"/>
        </w:rPr>
        <w:t>indicated</w:t>
      </w:r>
      <w:r w:rsidRPr="003A397C">
        <w:rPr>
          <w:sz w:val="20"/>
          <w:szCs w:val="20"/>
        </w:rPr>
        <w:t xml:space="preserve">, or </w:t>
      </w:r>
      <w:r w:rsidR="005C6EA8">
        <w:rPr>
          <w:sz w:val="20"/>
          <w:szCs w:val="20"/>
        </w:rPr>
        <w:t xml:space="preserve">significantly </w:t>
      </w:r>
      <w:r w:rsidRPr="003A397C">
        <w:rPr>
          <w:sz w:val="20"/>
          <w:szCs w:val="20"/>
        </w:rPr>
        <w:t>underestimate extreme response variables when assessing the performance of existing structures.</w:t>
      </w:r>
    </w:p>
    <w:p w14:paraId="4920D72B" w14:textId="77777777" w:rsidR="0003108B" w:rsidRPr="00A442E4" w:rsidRDefault="0003108B" w:rsidP="00A442E4">
      <w:pPr>
        <w:pStyle w:val="Keywords"/>
        <w:spacing w:before="0" w:line="360" w:lineRule="auto"/>
        <w:ind w:left="0"/>
        <w:rPr>
          <w:sz w:val="20"/>
          <w:szCs w:val="20"/>
        </w:rPr>
      </w:pPr>
    </w:p>
    <w:p w14:paraId="0BEB712E" w14:textId="77777777" w:rsidR="0003108B" w:rsidRPr="00A442E4" w:rsidRDefault="0003108B" w:rsidP="00A442E4">
      <w:pPr>
        <w:pStyle w:val="Keywords"/>
        <w:spacing w:before="0" w:line="360" w:lineRule="auto"/>
        <w:ind w:left="0"/>
        <w:rPr>
          <w:sz w:val="20"/>
          <w:szCs w:val="20"/>
        </w:rPr>
      </w:pPr>
      <w:r w:rsidRPr="00A442E4">
        <w:rPr>
          <w:b/>
          <w:sz w:val="20"/>
          <w:szCs w:val="20"/>
        </w:rPr>
        <w:t>Keywords</w:t>
      </w:r>
      <w:r w:rsidRPr="00A442E4">
        <w:rPr>
          <w:sz w:val="20"/>
          <w:szCs w:val="20"/>
        </w:rPr>
        <w:t xml:space="preserve"> </w:t>
      </w:r>
      <w:r w:rsidRPr="00A442E4">
        <w:rPr>
          <w:b/>
          <w:sz w:val="20"/>
          <w:szCs w:val="20"/>
        </w:rPr>
        <w:t xml:space="preserve">chosen from ICE Publishing </w:t>
      </w:r>
      <w:proofErr w:type="gramStart"/>
      <w:r w:rsidRPr="00A442E4">
        <w:rPr>
          <w:b/>
          <w:sz w:val="20"/>
          <w:szCs w:val="20"/>
        </w:rPr>
        <w:t>list</w:t>
      </w:r>
      <w:proofErr w:type="gramEnd"/>
    </w:p>
    <w:p w14:paraId="62619C0B" w14:textId="77777777" w:rsidR="0057681D" w:rsidRPr="00A442E4" w:rsidRDefault="00B0185B" w:rsidP="00A442E4">
      <w:pPr>
        <w:pStyle w:val="Keywords"/>
        <w:spacing w:before="0" w:line="360" w:lineRule="auto"/>
        <w:ind w:left="0"/>
        <w:rPr>
          <w:sz w:val="20"/>
          <w:szCs w:val="20"/>
        </w:rPr>
      </w:pPr>
      <w:r w:rsidRPr="00B0185B">
        <w:rPr>
          <w:sz w:val="20"/>
          <w:szCs w:val="20"/>
        </w:rPr>
        <w:t>Coastal engineering</w:t>
      </w:r>
      <w:r>
        <w:rPr>
          <w:sz w:val="20"/>
          <w:szCs w:val="20"/>
        </w:rPr>
        <w:t xml:space="preserve">, </w:t>
      </w:r>
      <w:r w:rsidR="00925D57" w:rsidRPr="00925D57">
        <w:rPr>
          <w:sz w:val="20"/>
          <w:szCs w:val="20"/>
        </w:rPr>
        <w:t>Risk &amp; probability analysis</w:t>
      </w:r>
      <w:r w:rsidR="00925D57">
        <w:rPr>
          <w:sz w:val="20"/>
          <w:szCs w:val="20"/>
        </w:rPr>
        <w:t xml:space="preserve">, </w:t>
      </w:r>
      <w:r w:rsidR="00925D57" w:rsidRPr="00925D57">
        <w:rPr>
          <w:sz w:val="20"/>
          <w:szCs w:val="20"/>
        </w:rPr>
        <w:t xml:space="preserve">Sea </w:t>
      </w:r>
      <w:proofErr w:type="spellStart"/>
      <w:r w:rsidR="00925D57" w:rsidRPr="00925D57">
        <w:rPr>
          <w:sz w:val="20"/>
          <w:szCs w:val="20"/>
        </w:rPr>
        <w:t>defences</w:t>
      </w:r>
      <w:proofErr w:type="spellEnd"/>
      <w:r w:rsidR="00925D57">
        <w:rPr>
          <w:sz w:val="20"/>
          <w:szCs w:val="20"/>
        </w:rPr>
        <w:t>.</w:t>
      </w:r>
    </w:p>
    <w:p w14:paraId="55AC43E3" w14:textId="77777777" w:rsidR="0003108B" w:rsidRPr="00A442E4" w:rsidRDefault="0003108B" w:rsidP="008C6E90">
      <w:pPr>
        <w:spacing w:line="360" w:lineRule="auto"/>
        <w:rPr>
          <w:b/>
          <w:sz w:val="20"/>
          <w:szCs w:val="20"/>
        </w:rPr>
      </w:pPr>
    </w:p>
    <w:p w14:paraId="4CB538E6" w14:textId="77777777" w:rsidR="0003108B" w:rsidRPr="00A442E4" w:rsidRDefault="0003108B" w:rsidP="008C6E90">
      <w:pPr>
        <w:spacing w:line="360" w:lineRule="auto"/>
        <w:rPr>
          <w:b/>
          <w:sz w:val="20"/>
          <w:szCs w:val="20"/>
        </w:rPr>
      </w:pPr>
    </w:p>
    <w:p w14:paraId="5F54BCCC" w14:textId="77777777" w:rsidR="0003108B" w:rsidRPr="00A442E4" w:rsidRDefault="0003108B" w:rsidP="008C6E90">
      <w:pPr>
        <w:spacing w:line="360" w:lineRule="auto"/>
        <w:rPr>
          <w:b/>
          <w:sz w:val="20"/>
          <w:szCs w:val="20"/>
        </w:rPr>
      </w:pPr>
      <w:r w:rsidRPr="00A442E4">
        <w:rPr>
          <w:b/>
          <w:sz w:val="20"/>
          <w:szCs w:val="20"/>
        </w:rPr>
        <w:t xml:space="preserve">List of </w:t>
      </w:r>
      <w:proofErr w:type="gramStart"/>
      <w:r w:rsidRPr="00A442E4">
        <w:rPr>
          <w:b/>
          <w:sz w:val="20"/>
          <w:szCs w:val="20"/>
        </w:rPr>
        <w:t>notation</w:t>
      </w:r>
      <w:proofErr w:type="gramEnd"/>
    </w:p>
    <w:p w14:paraId="50DBD7DE" w14:textId="77777777" w:rsidR="008D170A" w:rsidRPr="008D170A" w:rsidRDefault="008D170A" w:rsidP="00F66A14">
      <w:pPr>
        <w:spacing w:line="360" w:lineRule="auto"/>
        <w:rPr>
          <w:sz w:val="20"/>
          <w:szCs w:val="20"/>
        </w:rPr>
      </w:pPr>
      <w:r>
        <w:rPr>
          <w:sz w:val="20"/>
          <w:szCs w:val="20"/>
        </w:rPr>
        <w:t>AIMS</w:t>
      </w:r>
      <w:r>
        <w:rPr>
          <w:sz w:val="20"/>
          <w:szCs w:val="20"/>
        </w:rPr>
        <w:tab/>
      </w:r>
      <w:r>
        <w:rPr>
          <w:sz w:val="20"/>
          <w:szCs w:val="20"/>
        </w:rPr>
        <w:tab/>
      </w:r>
      <w:r w:rsidRPr="000F7580">
        <w:rPr>
          <w:sz w:val="20"/>
          <w:szCs w:val="20"/>
        </w:rPr>
        <w:t>Asset Information Management System</w:t>
      </w:r>
    </w:p>
    <w:p w14:paraId="1CF53FDC" w14:textId="77777777" w:rsidR="004451DB" w:rsidRPr="008A05FC" w:rsidRDefault="004451DB" w:rsidP="004451DB">
      <w:pPr>
        <w:spacing w:line="360" w:lineRule="auto"/>
        <w:rPr>
          <w:sz w:val="20"/>
          <w:szCs w:val="20"/>
        </w:rPr>
      </w:pPr>
      <w:r w:rsidRPr="008A05FC">
        <w:rPr>
          <w:i/>
          <w:sz w:val="20"/>
          <w:szCs w:val="20"/>
        </w:rPr>
        <w:t>C</w:t>
      </w:r>
      <w:r w:rsidRPr="008A05FC">
        <w:rPr>
          <w:i/>
          <w:sz w:val="20"/>
          <w:szCs w:val="20"/>
          <w:vertAlign w:val="subscript"/>
        </w:rPr>
        <w:t>F</w:t>
      </w:r>
      <w:r w:rsidRPr="008A05FC">
        <w:rPr>
          <w:i/>
          <w:sz w:val="20"/>
          <w:szCs w:val="20"/>
        </w:rPr>
        <w:tab/>
      </w:r>
      <w:r w:rsidRPr="008A05FC">
        <w:rPr>
          <w:i/>
          <w:sz w:val="20"/>
          <w:szCs w:val="20"/>
        </w:rPr>
        <w:tab/>
      </w:r>
      <w:r w:rsidRPr="008A05FC">
        <w:rPr>
          <w:sz w:val="20"/>
          <w:szCs w:val="20"/>
        </w:rPr>
        <w:t>correlation factor</w:t>
      </w:r>
    </w:p>
    <w:p w14:paraId="079F9718" w14:textId="77777777" w:rsidR="00F66A14" w:rsidRPr="008D170A" w:rsidRDefault="00F66A14" w:rsidP="00F66A14">
      <w:pPr>
        <w:spacing w:line="360" w:lineRule="auto"/>
        <w:rPr>
          <w:sz w:val="20"/>
          <w:szCs w:val="20"/>
        </w:rPr>
      </w:pPr>
      <w:proofErr w:type="spellStart"/>
      <w:r w:rsidRPr="008D170A">
        <w:rPr>
          <w:sz w:val="20"/>
          <w:szCs w:val="20"/>
        </w:rPr>
        <w:t>CoMJEC</w:t>
      </w:r>
      <w:proofErr w:type="spellEnd"/>
      <w:r w:rsidRPr="008D170A">
        <w:rPr>
          <w:sz w:val="20"/>
          <w:szCs w:val="20"/>
        </w:rPr>
        <w:tab/>
        <w:t>Composite marginal joint exceedance curve</w:t>
      </w:r>
    </w:p>
    <w:p w14:paraId="107421BA" w14:textId="77777777" w:rsidR="004451DB" w:rsidRPr="008A05FC" w:rsidRDefault="004451DB" w:rsidP="004451DB">
      <w:pPr>
        <w:spacing w:line="360" w:lineRule="auto"/>
        <w:rPr>
          <w:sz w:val="20"/>
          <w:szCs w:val="20"/>
        </w:rPr>
      </w:pPr>
      <w:r w:rsidRPr="008A05FC">
        <w:rPr>
          <w:i/>
          <w:sz w:val="20"/>
          <w:szCs w:val="20"/>
        </w:rPr>
        <w:t>H</w:t>
      </w:r>
      <w:r w:rsidRPr="008A05FC">
        <w:rPr>
          <w:i/>
          <w:sz w:val="20"/>
          <w:szCs w:val="20"/>
          <w:vertAlign w:val="subscript"/>
        </w:rPr>
        <w:t>s</w:t>
      </w:r>
      <w:r w:rsidRPr="008A05FC">
        <w:rPr>
          <w:i/>
          <w:sz w:val="20"/>
          <w:szCs w:val="20"/>
        </w:rPr>
        <w:tab/>
      </w:r>
      <w:r w:rsidRPr="008A05FC">
        <w:rPr>
          <w:i/>
          <w:sz w:val="20"/>
          <w:szCs w:val="20"/>
        </w:rPr>
        <w:tab/>
      </w:r>
      <w:r w:rsidRPr="008A05FC">
        <w:rPr>
          <w:sz w:val="20"/>
          <w:szCs w:val="20"/>
        </w:rPr>
        <w:t>significant wave height</w:t>
      </w:r>
    </w:p>
    <w:p w14:paraId="523EA447" w14:textId="77777777" w:rsidR="00F66A14" w:rsidRPr="008D170A" w:rsidRDefault="00F66A14" w:rsidP="00F66A14">
      <w:pPr>
        <w:spacing w:line="360" w:lineRule="auto"/>
        <w:rPr>
          <w:sz w:val="20"/>
          <w:szCs w:val="20"/>
        </w:rPr>
      </w:pPr>
      <w:proofErr w:type="spellStart"/>
      <w:r w:rsidRPr="008D170A">
        <w:rPr>
          <w:sz w:val="20"/>
          <w:szCs w:val="20"/>
        </w:rPr>
        <w:t>InJoPA</w:t>
      </w:r>
      <w:proofErr w:type="spellEnd"/>
      <w:r w:rsidRPr="008D170A">
        <w:rPr>
          <w:sz w:val="20"/>
          <w:szCs w:val="20"/>
        </w:rPr>
        <w:tab/>
      </w:r>
      <w:r w:rsidRPr="008D170A">
        <w:rPr>
          <w:sz w:val="20"/>
          <w:szCs w:val="20"/>
        </w:rPr>
        <w:tab/>
        <w:t>Intuitive joint probability assessment</w:t>
      </w:r>
    </w:p>
    <w:p w14:paraId="48310B1D" w14:textId="77777777" w:rsidR="008D170A" w:rsidRPr="008D170A" w:rsidRDefault="008D170A" w:rsidP="00F66A14">
      <w:pPr>
        <w:spacing w:line="360" w:lineRule="auto"/>
        <w:rPr>
          <w:color w:val="FF0000"/>
          <w:sz w:val="20"/>
          <w:szCs w:val="20"/>
        </w:rPr>
      </w:pPr>
      <w:r w:rsidRPr="000F7580">
        <w:rPr>
          <w:sz w:val="20"/>
          <w:szCs w:val="20"/>
        </w:rPr>
        <w:t>NFCDD</w:t>
      </w:r>
      <w:r>
        <w:rPr>
          <w:sz w:val="20"/>
          <w:szCs w:val="20"/>
        </w:rPr>
        <w:tab/>
      </w:r>
      <w:r>
        <w:rPr>
          <w:sz w:val="20"/>
          <w:szCs w:val="20"/>
        </w:rPr>
        <w:tab/>
      </w:r>
      <w:r w:rsidRPr="008D170A">
        <w:rPr>
          <w:sz w:val="20"/>
          <w:szCs w:val="20"/>
        </w:rPr>
        <w:t>National Flood and Coastal Defence Database</w:t>
      </w:r>
    </w:p>
    <w:p w14:paraId="1C8430C7" w14:textId="77777777" w:rsidR="004451DB" w:rsidRDefault="004451DB" w:rsidP="004451DB">
      <w:pPr>
        <w:spacing w:line="360" w:lineRule="auto"/>
        <w:rPr>
          <w:sz w:val="20"/>
          <w:szCs w:val="20"/>
        </w:rPr>
      </w:pPr>
      <w:proofErr w:type="spellStart"/>
      <w:r w:rsidRPr="008A05FC">
        <w:rPr>
          <w:i/>
          <w:sz w:val="20"/>
          <w:szCs w:val="20"/>
        </w:rPr>
        <w:t>p</w:t>
      </w:r>
      <w:r w:rsidRPr="008A05FC">
        <w:rPr>
          <w:i/>
          <w:sz w:val="20"/>
          <w:szCs w:val="20"/>
          <w:vertAlign w:val="subscript"/>
        </w:rPr>
        <w:t>E</w:t>
      </w:r>
      <w:proofErr w:type="spellEnd"/>
      <w:r w:rsidRPr="008A05FC">
        <w:rPr>
          <w:sz w:val="20"/>
          <w:szCs w:val="20"/>
        </w:rPr>
        <w:tab/>
      </w:r>
      <w:r w:rsidRPr="008A05FC">
        <w:rPr>
          <w:sz w:val="20"/>
          <w:szCs w:val="20"/>
        </w:rPr>
        <w:tab/>
        <w:t>probability of response</w:t>
      </w:r>
    </w:p>
    <w:p w14:paraId="16500296" w14:textId="77777777" w:rsidR="00FA6439" w:rsidRPr="008A05FC" w:rsidRDefault="00FA6439" w:rsidP="004451DB">
      <w:pPr>
        <w:spacing w:line="360" w:lineRule="auto"/>
        <w:rPr>
          <w:sz w:val="20"/>
          <w:szCs w:val="20"/>
        </w:rPr>
      </w:pPr>
      <w:r>
        <w:rPr>
          <w:sz w:val="20"/>
          <w:szCs w:val="20"/>
        </w:rPr>
        <w:t>RP</w:t>
      </w:r>
      <w:r w:rsidR="001A3502">
        <w:rPr>
          <w:sz w:val="20"/>
          <w:szCs w:val="20"/>
        </w:rPr>
        <w:t>R</w:t>
      </w:r>
      <w:r>
        <w:rPr>
          <w:sz w:val="20"/>
          <w:szCs w:val="20"/>
        </w:rPr>
        <w:t>R</w:t>
      </w:r>
      <w:r>
        <w:rPr>
          <w:sz w:val="20"/>
          <w:szCs w:val="20"/>
        </w:rPr>
        <w:tab/>
      </w:r>
      <w:r>
        <w:rPr>
          <w:sz w:val="20"/>
          <w:szCs w:val="20"/>
        </w:rPr>
        <w:tab/>
        <w:t xml:space="preserve">return period </w:t>
      </w:r>
      <w:r w:rsidR="001A3502">
        <w:rPr>
          <w:sz w:val="20"/>
          <w:szCs w:val="20"/>
        </w:rPr>
        <w:t xml:space="preserve">response </w:t>
      </w:r>
      <w:proofErr w:type="gramStart"/>
      <w:r w:rsidR="001A3502">
        <w:rPr>
          <w:sz w:val="20"/>
          <w:szCs w:val="20"/>
        </w:rPr>
        <w:t>ratio</w:t>
      </w:r>
      <w:proofErr w:type="gramEnd"/>
    </w:p>
    <w:p w14:paraId="167FE220" w14:textId="77777777" w:rsidR="00F66A14" w:rsidRPr="008D170A" w:rsidRDefault="00F66A14" w:rsidP="00F66A14">
      <w:pPr>
        <w:spacing w:line="360" w:lineRule="auto"/>
        <w:rPr>
          <w:sz w:val="20"/>
          <w:szCs w:val="20"/>
        </w:rPr>
      </w:pPr>
      <w:r w:rsidRPr="008D170A">
        <w:rPr>
          <w:i/>
          <w:sz w:val="20"/>
          <w:szCs w:val="20"/>
        </w:rPr>
        <w:t>RV</w:t>
      </w:r>
      <w:r w:rsidRPr="008D170A">
        <w:rPr>
          <w:i/>
          <w:sz w:val="20"/>
          <w:szCs w:val="20"/>
        </w:rPr>
        <w:tab/>
      </w:r>
      <w:r w:rsidRPr="008D170A">
        <w:rPr>
          <w:i/>
          <w:sz w:val="20"/>
          <w:szCs w:val="20"/>
        </w:rPr>
        <w:tab/>
      </w:r>
      <w:r w:rsidRPr="008D170A">
        <w:rPr>
          <w:sz w:val="20"/>
          <w:szCs w:val="20"/>
        </w:rPr>
        <w:t>response variable</w:t>
      </w:r>
    </w:p>
    <w:p w14:paraId="4312B0DA" w14:textId="77777777" w:rsidR="004451DB" w:rsidRPr="00A442E4" w:rsidRDefault="004451DB" w:rsidP="004451DB">
      <w:pPr>
        <w:spacing w:line="360" w:lineRule="auto"/>
        <w:rPr>
          <w:sz w:val="20"/>
          <w:szCs w:val="20"/>
        </w:rPr>
      </w:pPr>
      <w:r w:rsidRPr="008A05FC">
        <w:rPr>
          <w:i/>
          <w:sz w:val="20"/>
          <w:szCs w:val="20"/>
        </w:rPr>
        <w:t>η</w:t>
      </w:r>
      <w:r w:rsidRPr="008A05FC">
        <w:rPr>
          <w:sz w:val="20"/>
          <w:szCs w:val="20"/>
        </w:rPr>
        <w:tab/>
      </w:r>
      <w:r w:rsidRPr="008A05FC">
        <w:rPr>
          <w:sz w:val="20"/>
          <w:szCs w:val="20"/>
        </w:rPr>
        <w:tab/>
        <w:t>sea level</w:t>
      </w:r>
    </w:p>
    <w:p w14:paraId="3F17831F" w14:textId="77777777" w:rsidR="0003108B" w:rsidRPr="00A442E4" w:rsidRDefault="0003108B" w:rsidP="00A442E4">
      <w:pPr>
        <w:spacing w:line="360" w:lineRule="auto"/>
        <w:rPr>
          <w:sz w:val="20"/>
          <w:szCs w:val="20"/>
        </w:rPr>
      </w:pPr>
    </w:p>
    <w:p w14:paraId="040E13A2" w14:textId="77777777" w:rsidR="00A3696E" w:rsidRDefault="00A3696E" w:rsidP="00A3696E">
      <w:pPr>
        <w:spacing w:line="360" w:lineRule="auto"/>
        <w:rPr>
          <w:b/>
          <w:sz w:val="20"/>
          <w:szCs w:val="20"/>
        </w:rPr>
        <w:sectPr w:rsidR="00A3696E" w:rsidSect="0006269A">
          <w:footerReference w:type="default" r:id="rId8"/>
          <w:footerReference w:type="first" r:id="rId9"/>
          <w:footnotePr>
            <w:numFmt w:val="chicago"/>
          </w:footnotePr>
          <w:pgSz w:w="11906" w:h="16838" w:code="9"/>
          <w:pgMar w:top="1560" w:right="1701" w:bottom="1560" w:left="1701" w:header="709" w:footer="0" w:gutter="0"/>
          <w:pgNumType w:start="1"/>
          <w:cols w:space="708"/>
          <w:titlePg/>
          <w:docGrid w:linePitch="360"/>
        </w:sectPr>
      </w:pPr>
    </w:p>
    <w:p w14:paraId="2B13D963" w14:textId="77777777" w:rsidR="00A3696E" w:rsidRDefault="00FA16FA" w:rsidP="00FA16FA">
      <w:pPr>
        <w:spacing w:line="480" w:lineRule="auto"/>
        <w:rPr>
          <w:sz w:val="20"/>
          <w:szCs w:val="20"/>
        </w:rPr>
      </w:pPr>
      <w:r>
        <w:rPr>
          <w:b/>
          <w:sz w:val="20"/>
          <w:szCs w:val="20"/>
        </w:rPr>
        <w:lastRenderedPageBreak/>
        <w:t xml:space="preserve">1. </w:t>
      </w:r>
      <w:r w:rsidR="00A3696E">
        <w:rPr>
          <w:b/>
          <w:sz w:val="20"/>
          <w:szCs w:val="20"/>
        </w:rPr>
        <w:t>Introduction</w:t>
      </w:r>
    </w:p>
    <w:p w14:paraId="338772E6" w14:textId="77777777" w:rsidR="004A7FCA" w:rsidRDefault="00AE7C1E" w:rsidP="004A7FCA">
      <w:pPr>
        <w:spacing w:line="480" w:lineRule="auto"/>
        <w:outlineLvl w:val="0"/>
        <w:rPr>
          <w:sz w:val="20"/>
          <w:szCs w:val="20"/>
        </w:rPr>
      </w:pPr>
      <w:r w:rsidRPr="00AE7C1E">
        <w:rPr>
          <w:sz w:val="20"/>
          <w:szCs w:val="20"/>
        </w:rPr>
        <w:t xml:space="preserve">It </w:t>
      </w:r>
      <w:r>
        <w:rPr>
          <w:sz w:val="20"/>
          <w:szCs w:val="20"/>
        </w:rPr>
        <w:t xml:space="preserve">has long been </w:t>
      </w:r>
      <w:r w:rsidRPr="00AE7C1E">
        <w:rPr>
          <w:sz w:val="20"/>
          <w:szCs w:val="20"/>
        </w:rPr>
        <w:t xml:space="preserve">recognised that it is necessary to account for extreme sea conditions (waves and sea levels), in the design of </w:t>
      </w:r>
      <w:r>
        <w:rPr>
          <w:sz w:val="20"/>
          <w:szCs w:val="20"/>
        </w:rPr>
        <w:t xml:space="preserve">sea defence </w:t>
      </w:r>
      <w:r w:rsidRPr="00AE7C1E">
        <w:rPr>
          <w:sz w:val="20"/>
          <w:szCs w:val="20"/>
        </w:rPr>
        <w:t xml:space="preserve">structures and </w:t>
      </w:r>
      <w:r>
        <w:rPr>
          <w:sz w:val="20"/>
          <w:szCs w:val="20"/>
        </w:rPr>
        <w:t xml:space="preserve">in the assessment of </w:t>
      </w:r>
      <w:r w:rsidRPr="00AE7C1E">
        <w:rPr>
          <w:sz w:val="20"/>
          <w:szCs w:val="20"/>
        </w:rPr>
        <w:t>flood risk</w:t>
      </w:r>
      <w:r>
        <w:rPr>
          <w:sz w:val="20"/>
          <w:szCs w:val="20"/>
        </w:rPr>
        <w:t>.  However, u</w:t>
      </w:r>
      <w:r w:rsidR="004A7FCA" w:rsidRPr="004A7FCA">
        <w:rPr>
          <w:sz w:val="20"/>
          <w:szCs w:val="20"/>
        </w:rPr>
        <w:t xml:space="preserve">ntil the introduction of </w:t>
      </w:r>
      <w:r w:rsidR="005D7F9C">
        <w:rPr>
          <w:sz w:val="20"/>
          <w:szCs w:val="20"/>
        </w:rPr>
        <w:t xml:space="preserve">simplified </w:t>
      </w:r>
      <w:r w:rsidR="00EF06DB">
        <w:rPr>
          <w:sz w:val="20"/>
          <w:szCs w:val="20"/>
        </w:rPr>
        <w:t>joint exceedance</w:t>
      </w:r>
      <w:r w:rsidR="004A7FCA" w:rsidRPr="004A7FCA">
        <w:rPr>
          <w:sz w:val="20"/>
          <w:szCs w:val="20"/>
        </w:rPr>
        <w:t xml:space="preserve"> curve approaches</w:t>
      </w:r>
      <w:r w:rsidR="000A17DA">
        <w:rPr>
          <w:sz w:val="20"/>
          <w:szCs w:val="20"/>
        </w:rPr>
        <w:t xml:space="preserve"> (</w:t>
      </w:r>
      <w:r w:rsidR="0022719A">
        <w:rPr>
          <w:sz w:val="20"/>
          <w:szCs w:val="20"/>
        </w:rPr>
        <w:t>commonly</w:t>
      </w:r>
      <w:r w:rsidR="000A17DA">
        <w:rPr>
          <w:sz w:val="20"/>
          <w:szCs w:val="20"/>
        </w:rPr>
        <w:t xml:space="preserve"> known as joint probability curves)</w:t>
      </w:r>
      <w:r w:rsidR="004A7FCA" w:rsidRPr="004A7FCA">
        <w:rPr>
          <w:sz w:val="20"/>
          <w:szCs w:val="20"/>
        </w:rPr>
        <w:t xml:space="preserve"> in the mid-late 1980s, there were no</w:t>
      </w:r>
      <w:r w:rsidR="000A17DA">
        <w:rPr>
          <w:sz w:val="20"/>
          <w:szCs w:val="20"/>
        </w:rPr>
        <w:t xml:space="preserve"> formal methods to quantify</w:t>
      </w:r>
      <w:r w:rsidR="004A7FCA" w:rsidRPr="004A7FCA">
        <w:rPr>
          <w:sz w:val="20"/>
          <w:szCs w:val="20"/>
        </w:rPr>
        <w:t xml:space="preserve"> </w:t>
      </w:r>
      <w:r w:rsidR="005F2745">
        <w:rPr>
          <w:sz w:val="20"/>
          <w:szCs w:val="20"/>
        </w:rPr>
        <w:t>the</w:t>
      </w:r>
      <w:r w:rsidR="000A17DA">
        <w:rPr>
          <w:sz w:val="20"/>
          <w:szCs w:val="20"/>
        </w:rPr>
        <w:t xml:space="preserve"> joint occurrence of extreme waves </w:t>
      </w:r>
      <w:r w:rsidR="004A7FCA" w:rsidRPr="004A7FCA">
        <w:rPr>
          <w:sz w:val="20"/>
          <w:szCs w:val="20"/>
        </w:rPr>
        <w:t xml:space="preserve">and sea levels and their effect on the performance of sea defence structures, Hames </w:t>
      </w:r>
      <w:r w:rsidR="004A7FCA" w:rsidRPr="004D22C4">
        <w:rPr>
          <w:i/>
          <w:sz w:val="20"/>
          <w:szCs w:val="20"/>
        </w:rPr>
        <w:t>et al.</w:t>
      </w:r>
      <w:r w:rsidR="003117A2">
        <w:rPr>
          <w:sz w:val="20"/>
          <w:szCs w:val="20"/>
        </w:rPr>
        <w:t>, (</w:t>
      </w:r>
      <w:r w:rsidR="004A7FCA" w:rsidRPr="004A7FCA">
        <w:rPr>
          <w:sz w:val="20"/>
          <w:szCs w:val="20"/>
        </w:rPr>
        <w:t>201</w:t>
      </w:r>
      <w:r w:rsidR="005F2745">
        <w:rPr>
          <w:sz w:val="20"/>
          <w:szCs w:val="20"/>
        </w:rPr>
        <w:t>9</w:t>
      </w:r>
      <w:r w:rsidR="004A7FCA" w:rsidRPr="004A7FCA">
        <w:rPr>
          <w:sz w:val="20"/>
          <w:szCs w:val="20"/>
        </w:rPr>
        <w:t xml:space="preserve">).  </w:t>
      </w:r>
      <w:r>
        <w:rPr>
          <w:sz w:val="20"/>
          <w:szCs w:val="20"/>
        </w:rPr>
        <w:t>W</w:t>
      </w:r>
      <w:r w:rsidR="004A7FCA" w:rsidRPr="004A7FCA">
        <w:rPr>
          <w:sz w:val="20"/>
          <w:szCs w:val="20"/>
        </w:rPr>
        <w:t xml:space="preserve">ith the introduction of these approaches, and the increased availability of wave and sea level data from about this time, these approaches started to become established within the coastal engineering community.  This was particularly the case following the </w:t>
      </w:r>
      <w:proofErr w:type="spellStart"/>
      <w:r w:rsidR="004A7FCA" w:rsidRPr="004A7FCA">
        <w:rPr>
          <w:sz w:val="20"/>
          <w:szCs w:val="20"/>
        </w:rPr>
        <w:t>Towyn</w:t>
      </w:r>
      <w:proofErr w:type="spellEnd"/>
      <w:r w:rsidR="004A7FCA" w:rsidRPr="004A7FCA">
        <w:rPr>
          <w:sz w:val="20"/>
          <w:szCs w:val="20"/>
        </w:rPr>
        <w:t xml:space="preserve"> floods in February 1990, and the widely disseminated report looking at the joint probability relationship between waves and sea levels following this event, Hydraulics Research Ltd (1990).</w:t>
      </w:r>
    </w:p>
    <w:p w14:paraId="6E4FA36A" w14:textId="77777777" w:rsidR="005F2745" w:rsidRPr="004A7FCA" w:rsidRDefault="005F2745" w:rsidP="004A7FCA">
      <w:pPr>
        <w:spacing w:line="480" w:lineRule="auto"/>
        <w:outlineLvl w:val="0"/>
        <w:rPr>
          <w:sz w:val="20"/>
          <w:szCs w:val="20"/>
        </w:rPr>
      </w:pPr>
    </w:p>
    <w:p w14:paraId="003D0CC0" w14:textId="77777777" w:rsidR="004A7FCA" w:rsidRDefault="004A7FCA" w:rsidP="004A7FCA">
      <w:pPr>
        <w:spacing w:line="480" w:lineRule="auto"/>
        <w:outlineLvl w:val="0"/>
        <w:rPr>
          <w:sz w:val="20"/>
          <w:szCs w:val="20"/>
        </w:rPr>
      </w:pPr>
      <w:r w:rsidRPr="004A7FCA">
        <w:rPr>
          <w:sz w:val="20"/>
          <w:szCs w:val="20"/>
        </w:rPr>
        <w:t xml:space="preserve">The increased awareness and ease of use of these approaches, as well as their </w:t>
      </w:r>
      <w:proofErr w:type="gramStart"/>
      <w:r w:rsidRPr="004A7FCA">
        <w:rPr>
          <w:sz w:val="20"/>
          <w:szCs w:val="20"/>
        </w:rPr>
        <w:t>more sound</w:t>
      </w:r>
      <w:proofErr w:type="gramEnd"/>
      <w:r w:rsidRPr="004A7FCA">
        <w:rPr>
          <w:sz w:val="20"/>
          <w:szCs w:val="20"/>
        </w:rPr>
        <w:t xml:space="preserve"> scientific principles compared to previous approaches based on “engineering judgement” meant that they quickly became embedded in many engineering studies, forming the basis of many engineering designs and risk &amp; probability analyses over the 1990s, Hames </w:t>
      </w:r>
      <w:r w:rsidRPr="004D22C4">
        <w:rPr>
          <w:i/>
          <w:sz w:val="20"/>
          <w:szCs w:val="20"/>
        </w:rPr>
        <w:t>et al.</w:t>
      </w:r>
      <w:r w:rsidRPr="004A7FCA">
        <w:rPr>
          <w:sz w:val="20"/>
          <w:szCs w:val="20"/>
        </w:rPr>
        <w:t>, (201</w:t>
      </w:r>
      <w:r w:rsidR="005F2745">
        <w:rPr>
          <w:sz w:val="20"/>
          <w:szCs w:val="20"/>
        </w:rPr>
        <w:t>9</w:t>
      </w:r>
      <w:r w:rsidRPr="004A7FCA">
        <w:rPr>
          <w:sz w:val="20"/>
          <w:szCs w:val="20"/>
        </w:rPr>
        <w:t>).  The similarities to previous approaches based on engineering judgement may also have explained the rapid acceptance and adoption of these approaches at this time.</w:t>
      </w:r>
    </w:p>
    <w:p w14:paraId="411EE350" w14:textId="77777777" w:rsidR="004A7FCA" w:rsidRPr="004A7FCA" w:rsidRDefault="004A7FCA" w:rsidP="004A7FCA">
      <w:pPr>
        <w:spacing w:line="480" w:lineRule="auto"/>
        <w:outlineLvl w:val="0"/>
        <w:rPr>
          <w:sz w:val="20"/>
          <w:szCs w:val="20"/>
        </w:rPr>
      </w:pPr>
    </w:p>
    <w:p w14:paraId="59034B6E" w14:textId="77777777" w:rsidR="004A7FCA" w:rsidRDefault="004A7FCA" w:rsidP="004A7FCA">
      <w:pPr>
        <w:spacing w:line="480" w:lineRule="auto"/>
        <w:outlineLvl w:val="0"/>
        <w:rPr>
          <w:sz w:val="20"/>
          <w:szCs w:val="20"/>
        </w:rPr>
      </w:pPr>
      <w:r w:rsidRPr="004A7FCA">
        <w:rPr>
          <w:sz w:val="20"/>
          <w:szCs w:val="20"/>
        </w:rPr>
        <w:t>However</w:t>
      </w:r>
      <w:r w:rsidR="00037760">
        <w:rPr>
          <w:sz w:val="20"/>
          <w:szCs w:val="20"/>
        </w:rPr>
        <w:t>,</w:t>
      </w:r>
      <w:r w:rsidRPr="004A7FCA">
        <w:rPr>
          <w:sz w:val="20"/>
          <w:szCs w:val="20"/>
        </w:rPr>
        <w:t xml:space="preserve"> these approaches, developed at a time when a lack of data and computing power meant that more rigorous approaches were not feasible, contained a known </w:t>
      </w:r>
      <w:r w:rsidR="00E77EC8">
        <w:rPr>
          <w:sz w:val="20"/>
          <w:szCs w:val="20"/>
        </w:rPr>
        <w:t>inaccuracy</w:t>
      </w:r>
      <w:r w:rsidRPr="004A7FCA">
        <w:rPr>
          <w:sz w:val="20"/>
          <w:szCs w:val="20"/>
        </w:rPr>
        <w:t xml:space="preserve"> in that they</w:t>
      </w:r>
      <w:r w:rsidR="00FC48CF">
        <w:rPr>
          <w:sz w:val="20"/>
          <w:szCs w:val="20"/>
        </w:rPr>
        <w:t xml:space="preserve"> </w:t>
      </w:r>
      <w:r w:rsidR="000A17DA">
        <w:rPr>
          <w:sz w:val="20"/>
          <w:szCs w:val="20"/>
        </w:rPr>
        <w:t>are based upon</w:t>
      </w:r>
      <w:r w:rsidR="00E26E8C">
        <w:rPr>
          <w:sz w:val="20"/>
          <w:szCs w:val="20"/>
        </w:rPr>
        <w:t xml:space="preserve"> </w:t>
      </w:r>
      <w:r w:rsidR="000A17DA">
        <w:rPr>
          <w:sz w:val="20"/>
          <w:szCs w:val="20"/>
        </w:rPr>
        <w:t xml:space="preserve">defining the likelihood of extreme </w:t>
      </w:r>
      <w:r w:rsidR="00FC48CF" w:rsidRPr="00FC48CF">
        <w:rPr>
          <w:sz w:val="20"/>
          <w:szCs w:val="20"/>
        </w:rPr>
        <w:t xml:space="preserve">wave and sea level combinations </w:t>
      </w:r>
      <w:r w:rsidR="005F2745">
        <w:rPr>
          <w:sz w:val="20"/>
          <w:szCs w:val="20"/>
        </w:rPr>
        <w:t>which</w:t>
      </w:r>
      <w:r w:rsidR="00FC48CF" w:rsidRPr="00FC48CF">
        <w:rPr>
          <w:sz w:val="20"/>
          <w:szCs w:val="20"/>
        </w:rPr>
        <w:t xml:space="preserve"> do</w:t>
      </w:r>
      <w:r w:rsidR="000A17DA">
        <w:rPr>
          <w:sz w:val="20"/>
          <w:szCs w:val="20"/>
        </w:rPr>
        <w:t xml:space="preserve"> not</w:t>
      </w:r>
      <w:r w:rsidR="00FC48CF" w:rsidRPr="00FC48CF">
        <w:rPr>
          <w:sz w:val="20"/>
          <w:szCs w:val="20"/>
        </w:rPr>
        <w:t xml:space="preserve"> </w:t>
      </w:r>
      <w:r w:rsidR="000A17DA">
        <w:rPr>
          <w:sz w:val="20"/>
          <w:szCs w:val="20"/>
        </w:rPr>
        <w:t xml:space="preserve">directly relate </w:t>
      </w:r>
      <w:r w:rsidR="00FC48CF" w:rsidRPr="00FC48CF">
        <w:rPr>
          <w:sz w:val="20"/>
          <w:szCs w:val="20"/>
        </w:rPr>
        <w:t xml:space="preserve">to </w:t>
      </w:r>
      <w:r w:rsidR="000A17DA">
        <w:rPr>
          <w:sz w:val="20"/>
          <w:szCs w:val="20"/>
        </w:rPr>
        <w:t>extremes of</w:t>
      </w:r>
      <w:r w:rsidR="00E26E8C">
        <w:rPr>
          <w:sz w:val="20"/>
          <w:szCs w:val="20"/>
        </w:rPr>
        <w:t xml:space="preserve"> </w:t>
      </w:r>
      <w:r w:rsidR="005F2745">
        <w:rPr>
          <w:sz w:val="20"/>
          <w:szCs w:val="20"/>
        </w:rPr>
        <w:t xml:space="preserve">the </w:t>
      </w:r>
      <w:r w:rsidR="00FC48CF" w:rsidRPr="004A7FCA">
        <w:rPr>
          <w:sz w:val="20"/>
          <w:szCs w:val="20"/>
        </w:rPr>
        <w:t xml:space="preserve">response variable </w:t>
      </w:r>
      <w:r w:rsidR="00FC48CF">
        <w:rPr>
          <w:sz w:val="20"/>
          <w:szCs w:val="20"/>
        </w:rPr>
        <w:t>(</w:t>
      </w:r>
      <w:r w:rsidR="00FC48CF" w:rsidRPr="00FC48CF">
        <w:rPr>
          <w:sz w:val="20"/>
          <w:szCs w:val="20"/>
        </w:rPr>
        <w:t>RV</w:t>
      </w:r>
      <w:r w:rsidR="00FC48CF">
        <w:rPr>
          <w:sz w:val="20"/>
          <w:szCs w:val="20"/>
        </w:rPr>
        <w:t>)</w:t>
      </w:r>
      <w:r w:rsidR="005D7F9C">
        <w:rPr>
          <w:sz w:val="20"/>
          <w:szCs w:val="20"/>
        </w:rPr>
        <w:t xml:space="preserve"> </w:t>
      </w:r>
      <w:r w:rsidR="005F2745">
        <w:rPr>
          <w:sz w:val="20"/>
          <w:szCs w:val="20"/>
        </w:rPr>
        <w:t xml:space="preserve">of interest.  This could include such things as </w:t>
      </w:r>
      <w:r w:rsidR="005D7F9C">
        <w:rPr>
          <w:sz w:val="20"/>
          <w:szCs w:val="20"/>
        </w:rPr>
        <w:t>wave overtopping, economic damage, loss of life</w:t>
      </w:r>
      <w:r w:rsidR="00FC48CF">
        <w:rPr>
          <w:sz w:val="20"/>
          <w:szCs w:val="20"/>
        </w:rPr>
        <w:t xml:space="preserve">, </w:t>
      </w:r>
      <w:r w:rsidR="00FC48CF" w:rsidRPr="00FC48CF">
        <w:rPr>
          <w:sz w:val="20"/>
          <w:szCs w:val="20"/>
        </w:rPr>
        <w:t xml:space="preserve">Hawkes </w:t>
      </w:r>
      <w:r w:rsidR="00FC48CF" w:rsidRPr="00FC48CF">
        <w:rPr>
          <w:i/>
          <w:sz w:val="20"/>
          <w:szCs w:val="20"/>
        </w:rPr>
        <w:t>et al.</w:t>
      </w:r>
      <w:r w:rsidR="00FC48CF">
        <w:rPr>
          <w:sz w:val="20"/>
          <w:szCs w:val="20"/>
        </w:rPr>
        <w:t xml:space="preserve">, </w:t>
      </w:r>
      <w:r w:rsidR="00FC48CF" w:rsidRPr="00FC48CF">
        <w:rPr>
          <w:sz w:val="20"/>
          <w:szCs w:val="20"/>
        </w:rPr>
        <w:t>(2002)</w:t>
      </w:r>
      <w:r w:rsidR="00FC48CF">
        <w:rPr>
          <w:sz w:val="20"/>
          <w:szCs w:val="20"/>
        </w:rPr>
        <w:t xml:space="preserve"> and </w:t>
      </w:r>
      <w:r w:rsidR="00FC48CF" w:rsidRPr="00FC48CF">
        <w:rPr>
          <w:sz w:val="20"/>
          <w:szCs w:val="20"/>
        </w:rPr>
        <w:t xml:space="preserve">Gouldby </w:t>
      </w:r>
      <w:r w:rsidR="00FC48CF" w:rsidRPr="00FC48CF">
        <w:rPr>
          <w:i/>
          <w:sz w:val="20"/>
          <w:szCs w:val="20"/>
        </w:rPr>
        <w:t>et al.</w:t>
      </w:r>
      <w:r w:rsidR="00FC48CF">
        <w:rPr>
          <w:sz w:val="20"/>
          <w:szCs w:val="20"/>
        </w:rPr>
        <w:t xml:space="preserve">, (2017).  </w:t>
      </w:r>
      <w:r w:rsidRPr="004A7FCA">
        <w:rPr>
          <w:sz w:val="20"/>
          <w:szCs w:val="20"/>
        </w:rPr>
        <w:t>In addition,</w:t>
      </w:r>
      <w:r w:rsidR="000A17DA">
        <w:rPr>
          <w:sz w:val="20"/>
          <w:szCs w:val="20"/>
        </w:rPr>
        <w:t xml:space="preserve"> the application of these methods</w:t>
      </w:r>
      <w:r w:rsidRPr="004A7FCA">
        <w:rPr>
          <w:sz w:val="20"/>
          <w:szCs w:val="20"/>
        </w:rPr>
        <w:t xml:space="preserve"> commonly had to rely on </w:t>
      </w:r>
      <w:r w:rsidR="000A17DA">
        <w:rPr>
          <w:sz w:val="20"/>
          <w:szCs w:val="20"/>
        </w:rPr>
        <w:t xml:space="preserve">restrictive </w:t>
      </w:r>
      <w:r w:rsidRPr="004A7FCA">
        <w:rPr>
          <w:sz w:val="20"/>
          <w:szCs w:val="20"/>
        </w:rPr>
        <w:t xml:space="preserve">assumptions regarding other wave parameters such as wave period and direction.  The introduction of JOIN-SEA, HR Wallingford/Lancaster University (2000a and 2000b) and Hawkes </w:t>
      </w:r>
      <w:r w:rsidRPr="004D22C4">
        <w:rPr>
          <w:i/>
          <w:sz w:val="20"/>
          <w:szCs w:val="20"/>
        </w:rPr>
        <w:t>et al.</w:t>
      </w:r>
      <w:r w:rsidRPr="004A7FCA">
        <w:rPr>
          <w:sz w:val="20"/>
          <w:szCs w:val="20"/>
        </w:rPr>
        <w:t xml:space="preserve">, (2002), as well as the more recent use of the Heffernan and </w:t>
      </w:r>
      <w:proofErr w:type="spellStart"/>
      <w:r w:rsidRPr="004A7FCA">
        <w:rPr>
          <w:sz w:val="20"/>
          <w:szCs w:val="20"/>
        </w:rPr>
        <w:t>Tawn</w:t>
      </w:r>
      <w:proofErr w:type="spellEnd"/>
      <w:r w:rsidRPr="004A7FCA">
        <w:rPr>
          <w:sz w:val="20"/>
          <w:szCs w:val="20"/>
        </w:rPr>
        <w:t xml:space="preserve"> (2004) approach in </w:t>
      </w:r>
      <w:r w:rsidR="00FC48CF">
        <w:rPr>
          <w:sz w:val="20"/>
          <w:szCs w:val="20"/>
        </w:rPr>
        <w:t xml:space="preserve">directly </w:t>
      </w:r>
      <w:r w:rsidRPr="004A7FCA">
        <w:rPr>
          <w:sz w:val="20"/>
          <w:szCs w:val="20"/>
        </w:rPr>
        <w:t xml:space="preserve">assessing </w:t>
      </w:r>
      <w:r w:rsidR="00FC48CF">
        <w:rPr>
          <w:sz w:val="20"/>
          <w:szCs w:val="20"/>
        </w:rPr>
        <w:t xml:space="preserve">extremes of </w:t>
      </w:r>
      <w:r w:rsidRPr="004A7FCA">
        <w:rPr>
          <w:sz w:val="20"/>
          <w:szCs w:val="20"/>
        </w:rPr>
        <w:t>RVs</w:t>
      </w:r>
      <w:r w:rsidR="000A17DA">
        <w:rPr>
          <w:sz w:val="20"/>
          <w:szCs w:val="20"/>
        </w:rPr>
        <w:t xml:space="preserve">, using robust, risk-based, statistical </w:t>
      </w:r>
      <w:r w:rsidR="00F41FAC">
        <w:rPr>
          <w:sz w:val="20"/>
          <w:szCs w:val="20"/>
        </w:rPr>
        <w:t>methods</w:t>
      </w:r>
      <w:r w:rsidR="00F41FAC" w:rsidRPr="004A7FCA">
        <w:rPr>
          <w:sz w:val="20"/>
          <w:szCs w:val="20"/>
        </w:rPr>
        <w:t xml:space="preserve"> </w:t>
      </w:r>
      <w:r w:rsidR="00F41FAC" w:rsidRPr="004A7FCA">
        <w:rPr>
          <w:sz w:val="20"/>
          <w:szCs w:val="20"/>
        </w:rPr>
        <w:lastRenderedPageBreak/>
        <w:t>has</w:t>
      </w:r>
      <w:r w:rsidRPr="004A7FCA">
        <w:rPr>
          <w:sz w:val="20"/>
          <w:szCs w:val="20"/>
        </w:rPr>
        <w:t xml:space="preserve"> removed these limitations, and these have been increasingly used in coastal engineering studies since their introduction, Hames </w:t>
      </w:r>
      <w:r w:rsidRPr="004D22C4">
        <w:rPr>
          <w:i/>
          <w:sz w:val="20"/>
          <w:szCs w:val="20"/>
        </w:rPr>
        <w:t>et al.</w:t>
      </w:r>
      <w:r w:rsidRPr="004A7FCA">
        <w:rPr>
          <w:sz w:val="20"/>
          <w:szCs w:val="20"/>
        </w:rPr>
        <w:t>, (201</w:t>
      </w:r>
      <w:r w:rsidR="005F2745">
        <w:rPr>
          <w:sz w:val="20"/>
          <w:szCs w:val="20"/>
        </w:rPr>
        <w:t>9</w:t>
      </w:r>
      <w:r w:rsidRPr="004A7FCA">
        <w:rPr>
          <w:sz w:val="20"/>
          <w:szCs w:val="20"/>
        </w:rPr>
        <w:t>).</w:t>
      </w:r>
    </w:p>
    <w:p w14:paraId="6E719B3E" w14:textId="77777777" w:rsidR="005F2745" w:rsidRPr="004A7FCA" w:rsidRDefault="005F2745" w:rsidP="004A7FCA">
      <w:pPr>
        <w:spacing w:line="480" w:lineRule="auto"/>
        <w:outlineLvl w:val="0"/>
        <w:rPr>
          <w:sz w:val="20"/>
          <w:szCs w:val="20"/>
        </w:rPr>
      </w:pPr>
    </w:p>
    <w:p w14:paraId="175D8306" w14:textId="77777777" w:rsidR="004A7FCA" w:rsidRDefault="005F2745" w:rsidP="004A7FCA">
      <w:pPr>
        <w:spacing w:line="480" w:lineRule="auto"/>
        <w:outlineLvl w:val="0"/>
        <w:rPr>
          <w:sz w:val="20"/>
          <w:szCs w:val="20"/>
        </w:rPr>
      </w:pPr>
      <w:r>
        <w:rPr>
          <w:sz w:val="20"/>
          <w:szCs w:val="20"/>
        </w:rPr>
        <w:t>However, d</w:t>
      </w:r>
      <w:r w:rsidR="004A7FCA" w:rsidRPr="004A7FCA">
        <w:rPr>
          <w:sz w:val="20"/>
          <w:szCs w:val="20"/>
        </w:rPr>
        <w:t xml:space="preserve">espite the introduction of these RV approaches, </w:t>
      </w:r>
      <w:r w:rsidR="00EF06DB">
        <w:rPr>
          <w:sz w:val="20"/>
          <w:szCs w:val="20"/>
        </w:rPr>
        <w:t>joint exceedance</w:t>
      </w:r>
      <w:r w:rsidR="004A7FCA" w:rsidRPr="004A7FCA">
        <w:rPr>
          <w:sz w:val="20"/>
          <w:szCs w:val="20"/>
        </w:rPr>
        <w:t xml:space="preserve"> curve approaches continue to be used extensively in studies</w:t>
      </w:r>
      <w:r w:rsidR="000A17DA">
        <w:rPr>
          <w:sz w:val="20"/>
          <w:szCs w:val="20"/>
        </w:rPr>
        <w:t>.</w:t>
      </w:r>
      <w:r w:rsidR="004A7FCA" w:rsidRPr="004A7FCA">
        <w:rPr>
          <w:sz w:val="20"/>
          <w:szCs w:val="20"/>
        </w:rPr>
        <w:t xml:space="preserve"> </w:t>
      </w:r>
      <w:r w:rsidR="000A17DA">
        <w:rPr>
          <w:sz w:val="20"/>
          <w:szCs w:val="20"/>
        </w:rPr>
        <w:t xml:space="preserve">This </w:t>
      </w:r>
      <w:r w:rsidR="00FC48CF">
        <w:rPr>
          <w:sz w:val="20"/>
          <w:szCs w:val="20"/>
        </w:rPr>
        <w:t>c</w:t>
      </w:r>
      <w:r w:rsidR="000A17DA">
        <w:rPr>
          <w:sz w:val="20"/>
          <w:szCs w:val="20"/>
        </w:rPr>
        <w:t>an</w:t>
      </w:r>
      <w:r w:rsidR="00FC48CF">
        <w:rPr>
          <w:sz w:val="20"/>
          <w:szCs w:val="20"/>
        </w:rPr>
        <w:t xml:space="preserve"> </w:t>
      </w:r>
      <w:r w:rsidR="004A7FCA" w:rsidRPr="004A7FCA">
        <w:rPr>
          <w:sz w:val="20"/>
          <w:szCs w:val="20"/>
        </w:rPr>
        <w:t>lead</w:t>
      </w:r>
      <w:r w:rsidR="003C4D68">
        <w:rPr>
          <w:sz w:val="20"/>
          <w:szCs w:val="20"/>
        </w:rPr>
        <w:t xml:space="preserve"> </w:t>
      </w:r>
      <w:r w:rsidR="004A7FCA" w:rsidRPr="004A7FCA">
        <w:rPr>
          <w:sz w:val="20"/>
          <w:szCs w:val="20"/>
        </w:rPr>
        <w:t xml:space="preserve">to the potential under-design of sea defence structures and the underestimation of the performance of sea defence structures to a greater level than previously </w:t>
      </w:r>
      <w:proofErr w:type="gramStart"/>
      <w:r w:rsidR="004A7FCA" w:rsidRPr="004A7FCA">
        <w:rPr>
          <w:sz w:val="20"/>
          <w:szCs w:val="20"/>
        </w:rPr>
        <w:t>suggested</w:t>
      </w:r>
      <w:r w:rsidR="000A17DA">
        <w:rPr>
          <w:sz w:val="20"/>
          <w:szCs w:val="20"/>
        </w:rPr>
        <w:t>, unless</w:t>
      </w:r>
      <w:proofErr w:type="gramEnd"/>
      <w:r w:rsidR="000A17DA">
        <w:rPr>
          <w:sz w:val="20"/>
          <w:szCs w:val="20"/>
        </w:rPr>
        <w:t xml:space="preserve"> correction factors are applied.  It is of note however, that currently there is limited information on which to base these correction factors.</w:t>
      </w:r>
    </w:p>
    <w:p w14:paraId="79784D6D" w14:textId="77777777" w:rsidR="005F2745" w:rsidRPr="004A7FCA" w:rsidRDefault="005F2745" w:rsidP="004A7FCA">
      <w:pPr>
        <w:spacing w:line="480" w:lineRule="auto"/>
        <w:outlineLvl w:val="0"/>
        <w:rPr>
          <w:sz w:val="20"/>
          <w:szCs w:val="20"/>
        </w:rPr>
      </w:pPr>
    </w:p>
    <w:p w14:paraId="173F3D0B" w14:textId="77777777" w:rsidR="00182301" w:rsidRDefault="004A7FCA" w:rsidP="004A7FCA">
      <w:pPr>
        <w:spacing w:line="480" w:lineRule="auto"/>
        <w:outlineLvl w:val="0"/>
        <w:rPr>
          <w:sz w:val="20"/>
          <w:szCs w:val="20"/>
        </w:rPr>
      </w:pPr>
      <w:r w:rsidRPr="004A7FCA">
        <w:rPr>
          <w:sz w:val="20"/>
          <w:szCs w:val="20"/>
        </w:rPr>
        <w:t xml:space="preserve">This paper therefore investigates the potential </w:t>
      </w:r>
      <w:r w:rsidR="00E77EC8">
        <w:rPr>
          <w:sz w:val="20"/>
          <w:szCs w:val="20"/>
        </w:rPr>
        <w:t>inaccuracy</w:t>
      </w:r>
      <w:r w:rsidRPr="004A7FCA">
        <w:rPr>
          <w:sz w:val="20"/>
          <w:szCs w:val="20"/>
        </w:rPr>
        <w:t xml:space="preserve"> in the use of the different </w:t>
      </w:r>
      <w:r w:rsidR="00EF06DB">
        <w:rPr>
          <w:sz w:val="20"/>
          <w:szCs w:val="20"/>
        </w:rPr>
        <w:t>joint exceedance</w:t>
      </w:r>
      <w:r w:rsidRPr="004A7FCA">
        <w:rPr>
          <w:sz w:val="20"/>
          <w:szCs w:val="20"/>
        </w:rPr>
        <w:t xml:space="preserve"> curve </w:t>
      </w:r>
      <w:proofErr w:type="gramStart"/>
      <w:r w:rsidRPr="004A7FCA">
        <w:rPr>
          <w:sz w:val="20"/>
          <w:szCs w:val="20"/>
        </w:rPr>
        <w:t>approaches  in</w:t>
      </w:r>
      <w:proofErr w:type="gramEnd"/>
      <w:r w:rsidRPr="004A7FCA">
        <w:rPr>
          <w:sz w:val="20"/>
          <w:szCs w:val="20"/>
        </w:rPr>
        <w:t xml:space="preserve"> most common use around the UK today</w:t>
      </w:r>
      <w:r w:rsidR="005D7F9C">
        <w:rPr>
          <w:sz w:val="20"/>
          <w:szCs w:val="20"/>
        </w:rPr>
        <w:t>.</w:t>
      </w:r>
      <w:r w:rsidRPr="004A7FCA">
        <w:rPr>
          <w:sz w:val="20"/>
          <w:szCs w:val="20"/>
        </w:rPr>
        <w:t xml:space="preserve"> Utilising </w:t>
      </w:r>
      <w:r w:rsidR="003C4D68" w:rsidRPr="003C4D68">
        <w:rPr>
          <w:sz w:val="20"/>
          <w:szCs w:val="20"/>
        </w:rPr>
        <w:t xml:space="preserve">multivariate extreme </w:t>
      </w:r>
      <w:r w:rsidRPr="004A7FCA">
        <w:rPr>
          <w:sz w:val="20"/>
          <w:szCs w:val="20"/>
        </w:rPr>
        <w:t xml:space="preserve">nearshore sea </w:t>
      </w:r>
      <w:r w:rsidR="003C4D68">
        <w:rPr>
          <w:sz w:val="20"/>
          <w:szCs w:val="20"/>
        </w:rPr>
        <w:t>condition data</w:t>
      </w:r>
      <w:r w:rsidRPr="004A7FCA">
        <w:rPr>
          <w:sz w:val="20"/>
          <w:szCs w:val="20"/>
        </w:rPr>
        <w:t xml:space="preserve"> from a previous study, HR Wallingford (2015) and Gouldby </w:t>
      </w:r>
      <w:r w:rsidRPr="004D22C4">
        <w:rPr>
          <w:i/>
          <w:sz w:val="20"/>
          <w:szCs w:val="20"/>
        </w:rPr>
        <w:t>et al.</w:t>
      </w:r>
      <w:r w:rsidRPr="004A7FCA">
        <w:rPr>
          <w:sz w:val="20"/>
          <w:szCs w:val="20"/>
        </w:rPr>
        <w:t>, (2017), and asset information from the Environment Agency AIMS database, Environment Agency (201</w:t>
      </w:r>
      <w:r w:rsidR="00C36C9C">
        <w:rPr>
          <w:sz w:val="20"/>
          <w:szCs w:val="20"/>
        </w:rPr>
        <w:t>9</w:t>
      </w:r>
      <w:r w:rsidRPr="004A7FCA">
        <w:rPr>
          <w:sz w:val="20"/>
          <w:szCs w:val="20"/>
        </w:rPr>
        <w:t xml:space="preserve">), estimates of </w:t>
      </w:r>
      <w:r w:rsidR="00E77EC8">
        <w:rPr>
          <w:sz w:val="20"/>
          <w:szCs w:val="20"/>
        </w:rPr>
        <w:t>three</w:t>
      </w:r>
      <w:r w:rsidRPr="004A7FCA">
        <w:rPr>
          <w:sz w:val="20"/>
          <w:szCs w:val="20"/>
        </w:rPr>
        <w:t xml:space="preserve"> </w:t>
      </w:r>
      <w:r w:rsidR="00FB2EC3">
        <w:rPr>
          <w:sz w:val="20"/>
          <w:szCs w:val="20"/>
        </w:rPr>
        <w:t xml:space="preserve">different responses </w:t>
      </w:r>
      <w:r w:rsidRPr="004A7FCA">
        <w:rPr>
          <w:sz w:val="20"/>
          <w:szCs w:val="20"/>
        </w:rPr>
        <w:t xml:space="preserve">using different </w:t>
      </w:r>
      <w:r w:rsidR="00EF06DB">
        <w:rPr>
          <w:sz w:val="20"/>
          <w:szCs w:val="20"/>
        </w:rPr>
        <w:t>joint exceedance</w:t>
      </w:r>
      <w:r w:rsidRPr="004A7FCA">
        <w:rPr>
          <w:sz w:val="20"/>
          <w:szCs w:val="20"/>
        </w:rPr>
        <w:t xml:space="preserve"> curve approaches are compared to the </w:t>
      </w:r>
      <w:r w:rsidR="003C4D68">
        <w:rPr>
          <w:sz w:val="20"/>
          <w:szCs w:val="20"/>
        </w:rPr>
        <w:t>RV</w:t>
      </w:r>
      <w:r w:rsidRPr="004A7FCA">
        <w:rPr>
          <w:sz w:val="20"/>
          <w:szCs w:val="20"/>
        </w:rPr>
        <w:t xml:space="preserve"> approach for 592 different </w:t>
      </w:r>
      <w:r w:rsidR="00B32D25">
        <w:rPr>
          <w:sz w:val="20"/>
          <w:szCs w:val="20"/>
        </w:rPr>
        <w:t xml:space="preserve">sea </w:t>
      </w:r>
      <w:r w:rsidRPr="004A7FCA">
        <w:rPr>
          <w:sz w:val="20"/>
          <w:szCs w:val="20"/>
        </w:rPr>
        <w:t>defence</w:t>
      </w:r>
      <w:r w:rsidR="00B3406C">
        <w:rPr>
          <w:sz w:val="20"/>
          <w:szCs w:val="20"/>
        </w:rPr>
        <w:t xml:space="preserve"> structure</w:t>
      </w:r>
      <w:r w:rsidRPr="004A7FCA">
        <w:rPr>
          <w:sz w:val="20"/>
          <w:szCs w:val="20"/>
        </w:rPr>
        <w:t xml:space="preserve">s across England.  This gives an indication of the potential </w:t>
      </w:r>
      <w:r w:rsidR="00F66A14">
        <w:rPr>
          <w:sz w:val="20"/>
          <w:szCs w:val="20"/>
        </w:rPr>
        <w:t>errors</w:t>
      </w:r>
      <w:r w:rsidR="00E77EC8">
        <w:rPr>
          <w:sz w:val="20"/>
          <w:szCs w:val="20"/>
        </w:rPr>
        <w:t xml:space="preserve"> </w:t>
      </w:r>
      <w:r w:rsidRPr="004A7FCA">
        <w:rPr>
          <w:sz w:val="20"/>
          <w:szCs w:val="20"/>
        </w:rPr>
        <w:t xml:space="preserve">when using the different </w:t>
      </w:r>
      <w:r w:rsidR="00EF06DB">
        <w:rPr>
          <w:sz w:val="20"/>
          <w:szCs w:val="20"/>
        </w:rPr>
        <w:t>joint exceedance</w:t>
      </w:r>
      <w:r w:rsidRPr="004A7FCA">
        <w:rPr>
          <w:sz w:val="20"/>
          <w:szCs w:val="20"/>
        </w:rPr>
        <w:t xml:space="preserve"> curve approaches in terms of their overtopping performance, as well as estimation of levels of damage for rock armoured revetments and wave forces for vertical walls.</w:t>
      </w:r>
    </w:p>
    <w:p w14:paraId="70159EF1" w14:textId="77777777" w:rsidR="004A7FCA" w:rsidRDefault="004A7FCA" w:rsidP="004A7FCA">
      <w:pPr>
        <w:spacing w:line="480" w:lineRule="auto"/>
        <w:outlineLvl w:val="0"/>
        <w:rPr>
          <w:sz w:val="20"/>
          <w:szCs w:val="20"/>
        </w:rPr>
      </w:pPr>
    </w:p>
    <w:p w14:paraId="087F7C7D" w14:textId="77777777" w:rsidR="004A7FCA" w:rsidRPr="004A7FCA" w:rsidRDefault="004A7FCA" w:rsidP="004A7FCA">
      <w:pPr>
        <w:spacing w:line="480" w:lineRule="auto"/>
        <w:outlineLvl w:val="0"/>
        <w:rPr>
          <w:b/>
          <w:i/>
          <w:sz w:val="20"/>
          <w:szCs w:val="20"/>
        </w:rPr>
      </w:pPr>
      <w:r w:rsidRPr="004A7FCA">
        <w:rPr>
          <w:b/>
          <w:i/>
          <w:sz w:val="20"/>
          <w:szCs w:val="20"/>
        </w:rPr>
        <w:t xml:space="preserve">1.1 Approaches </w:t>
      </w:r>
      <w:proofErr w:type="gramStart"/>
      <w:r w:rsidRPr="004A7FCA">
        <w:rPr>
          <w:b/>
          <w:i/>
          <w:sz w:val="20"/>
          <w:szCs w:val="20"/>
        </w:rPr>
        <w:t>considered</w:t>
      </w:r>
      <w:proofErr w:type="gramEnd"/>
    </w:p>
    <w:p w14:paraId="1DD7817B" w14:textId="77777777" w:rsidR="004A7FCA" w:rsidRDefault="004A7FCA" w:rsidP="004A7FCA">
      <w:pPr>
        <w:spacing w:line="480" w:lineRule="auto"/>
        <w:outlineLvl w:val="0"/>
        <w:rPr>
          <w:sz w:val="20"/>
          <w:szCs w:val="20"/>
        </w:rPr>
      </w:pPr>
      <w:r w:rsidRPr="004A7FCA">
        <w:rPr>
          <w:sz w:val="20"/>
          <w:szCs w:val="20"/>
        </w:rPr>
        <w:t xml:space="preserve">Two different </w:t>
      </w:r>
      <w:r w:rsidR="00EF06DB">
        <w:rPr>
          <w:sz w:val="20"/>
          <w:szCs w:val="20"/>
        </w:rPr>
        <w:t>joint exceedance</w:t>
      </w:r>
      <w:r w:rsidRPr="004A7FCA">
        <w:rPr>
          <w:sz w:val="20"/>
          <w:szCs w:val="20"/>
        </w:rPr>
        <w:t xml:space="preserve"> curve </w:t>
      </w:r>
      <w:proofErr w:type="gramStart"/>
      <w:r w:rsidRPr="004A7FCA">
        <w:rPr>
          <w:sz w:val="20"/>
          <w:szCs w:val="20"/>
        </w:rPr>
        <w:t>approaches  are</w:t>
      </w:r>
      <w:proofErr w:type="gramEnd"/>
      <w:r w:rsidRPr="004A7FCA">
        <w:rPr>
          <w:sz w:val="20"/>
          <w:szCs w:val="20"/>
        </w:rPr>
        <w:t xml:space="preserve"> currently believed to be in common use around the UK coastline.  These are </w:t>
      </w:r>
      <w:r w:rsidR="009F2F11">
        <w:rPr>
          <w:sz w:val="20"/>
          <w:szCs w:val="20"/>
        </w:rPr>
        <w:t xml:space="preserve">briefly described below, with a more detailed description given in </w:t>
      </w:r>
      <w:r w:rsidRPr="004A7FCA">
        <w:rPr>
          <w:sz w:val="20"/>
          <w:szCs w:val="20"/>
        </w:rPr>
        <w:t xml:space="preserve">Hames </w:t>
      </w:r>
      <w:r w:rsidRPr="004D22C4">
        <w:rPr>
          <w:i/>
          <w:sz w:val="20"/>
          <w:szCs w:val="20"/>
        </w:rPr>
        <w:t>et al.</w:t>
      </w:r>
      <w:r w:rsidRPr="004A7FCA">
        <w:rPr>
          <w:sz w:val="20"/>
          <w:szCs w:val="20"/>
        </w:rPr>
        <w:t>, (201</w:t>
      </w:r>
      <w:r w:rsidR="005F2745">
        <w:rPr>
          <w:sz w:val="20"/>
          <w:szCs w:val="20"/>
        </w:rPr>
        <w:t>9</w:t>
      </w:r>
      <w:r w:rsidRPr="004A7FCA">
        <w:rPr>
          <w:sz w:val="20"/>
          <w:szCs w:val="20"/>
        </w:rPr>
        <w:t>).</w:t>
      </w:r>
    </w:p>
    <w:p w14:paraId="6F8F1CC1" w14:textId="77777777" w:rsidR="004A7FCA" w:rsidRDefault="004A7FCA" w:rsidP="004A7FCA">
      <w:pPr>
        <w:numPr>
          <w:ilvl w:val="0"/>
          <w:numId w:val="33"/>
        </w:numPr>
        <w:spacing w:line="480" w:lineRule="auto"/>
        <w:outlineLvl w:val="0"/>
        <w:rPr>
          <w:sz w:val="20"/>
          <w:szCs w:val="20"/>
        </w:rPr>
      </w:pPr>
      <w:r w:rsidRPr="004A7FCA">
        <w:rPr>
          <w:sz w:val="20"/>
          <w:szCs w:val="20"/>
        </w:rPr>
        <w:t>Composite Marginal Joint Exceedance Curve (</w:t>
      </w:r>
      <w:proofErr w:type="spellStart"/>
      <w:r w:rsidRPr="004A7FCA">
        <w:rPr>
          <w:sz w:val="20"/>
          <w:szCs w:val="20"/>
        </w:rPr>
        <w:t>CoMJEC</w:t>
      </w:r>
      <w:proofErr w:type="spellEnd"/>
      <w:r w:rsidRPr="004A7FCA">
        <w:rPr>
          <w:sz w:val="20"/>
          <w:szCs w:val="20"/>
        </w:rPr>
        <w:t>) Approach</w:t>
      </w:r>
    </w:p>
    <w:p w14:paraId="604F067B" w14:textId="77777777" w:rsidR="009F2F11" w:rsidRDefault="009F2F11" w:rsidP="009F2F11">
      <w:pPr>
        <w:spacing w:line="480" w:lineRule="auto"/>
        <w:ind w:left="720"/>
        <w:outlineLvl w:val="0"/>
        <w:rPr>
          <w:sz w:val="20"/>
          <w:szCs w:val="20"/>
        </w:rPr>
      </w:pPr>
      <w:r>
        <w:rPr>
          <w:sz w:val="20"/>
          <w:szCs w:val="20"/>
        </w:rPr>
        <w:t>The probability of the response</w:t>
      </w:r>
      <w:r w:rsidRPr="00E22CED">
        <w:rPr>
          <w:sz w:val="20"/>
          <w:szCs w:val="20"/>
        </w:rPr>
        <w:t xml:space="preserve">, </w:t>
      </w:r>
      <w:proofErr w:type="spellStart"/>
      <w:proofErr w:type="gramStart"/>
      <w:r w:rsidRPr="00E22CED">
        <w:rPr>
          <w:i/>
          <w:sz w:val="20"/>
          <w:szCs w:val="20"/>
        </w:rPr>
        <w:t>p</w:t>
      </w:r>
      <w:r w:rsidRPr="00E22CED">
        <w:rPr>
          <w:i/>
          <w:sz w:val="20"/>
          <w:szCs w:val="20"/>
          <w:vertAlign w:val="subscript"/>
        </w:rPr>
        <w:t>E</w:t>
      </w:r>
      <w:proofErr w:type="spellEnd"/>
      <w:r w:rsidRPr="00E22CED">
        <w:rPr>
          <w:sz w:val="20"/>
          <w:szCs w:val="20"/>
        </w:rPr>
        <w:t>,</w:t>
      </w:r>
      <w:r>
        <w:rPr>
          <w:sz w:val="20"/>
          <w:szCs w:val="20"/>
        </w:rPr>
        <w:t>,</w:t>
      </w:r>
      <w:proofErr w:type="gramEnd"/>
      <w:r>
        <w:rPr>
          <w:sz w:val="20"/>
          <w:szCs w:val="20"/>
        </w:rPr>
        <w:t xml:space="preserve"> is </w:t>
      </w:r>
      <w:r w:rsidRPr="009F2F11">
        <w:rPr>
          <w:sz w:val="20"/>
          <w:szCs w:val="20"/>
        </w:rPr>
        <w:t>represented in terms of combinations</w:t>
      </w:r>
      <w:r>
        <w:rPr>
          <w:sz w:val="20"/>
          <w:szCs w:val="20"/>
        </w:rPr>
        <w:t xml:space="preserve"> </w:t>
      </w:r>
      <w:r w:rsidRPr="009F2F11">
        <w:rPr>
          <w:sz w:val="20"/>
          <w:szCs w:val="20"/>
        </w:rPr>
        <w:t>of wave</w:t>
      </w:r>
      <w:r>
        <w:rPr>
          <w:sz w:val="20"/>
          <w:szCs w:val="20"/>
        </w:rPr>
        <w:t xml:space="preserve"> </w:t>
      </w:r>
      <w:r w:rsidRPr="009F2F11">
        <w:rPr>
          <w:sz w:val="20"/>
          <w:szCs w:val="20"/>
        </w:rPr>
        <w:t>heights and sea levels that have the same exceedance</w:t>
      </w:r>
      <w:r>
        <w:rPr>
          <w:sz w:val="20"/>
          <w:szCs w:val="20"/>
        </w:rPr>
        <w:t xml:space="preserve"> </w:t>
      </w:r>
      <w:r w:rsidRPr="009F2F11">
        <w:rPr>
          <w:sz w:val="20"/>
          <w:szCs w:val="20"/>
        </w:rPr>
        <w:t>probability over the same unit of time. This gives a continuous</w:t>
      </w:r>
      <w:r>
        <w:rPr>
          <w:sz w:val="20"/>
          <w:szCs w:val="20"/>
        </w:rPr>
        <w:t xml:space="preserve"> </w:t>
      </w:r>
      <w:r w:rsidRPr="009F2F11">
        <w:rPr>
          <w:sz w:val="20"/>
          <w:szCs w:val="20"/>
        </w:rPr>
        <w:t xml:space="preserve">curve of combinations with </w:t>
      </w:r>
      <w:proofErr w:type="spellStart"/>
      <w:r w:rsidRPr="00E22CED">
        <w:rPr>
          <w:i/>
          <w:sz w:val="20"/>
          <w:szCs w:val="20"/>
        </w:rPr>
        <w:t>p</w:t>
      </w:r>
      <w:r w:rsidRPr="00E22CED">
        <w:rPr>
          <w:i/>
          <w:sz w:val="20"/>
          <w:szCs w:val="20"/>
          <w:vertAlign w:val="subscript"/>
        </w:rPr>
        <w:t>E</w:t>
      </w:r>
      <w:proofErr w:type="spellEnd"/>
      <w:r w:rsidRPr="00E22CED">
        <w:rPr>
          <w:sz w:val="20"/>
          <w:szCs w:val="20"/>
        </w:rPr>
        <w:t xml:space="preserve"> </w:t>
      </w:r>
      <w:r w:rsidRPr="009F2F11">
        <w:rPr>
          <w:sz w:val="20"/>
          <w:szCs w:val="20"/>
        </w:rPr>
        <w:t>defined as</w:t>
      </w:r>
      <w:r>
        <w:rPr>
          <w:sz w:val="20"/>
          <w:szCs w:val="20"/>
        </w:rPr>
        <w:t>:</w:t>
      </w:r>
    </w:p>
    <w:p w14:paraId="52B88BF4" w14:textId="77777777" w:rsidR="009F2F11" w:rsidRDefault="009F2F11" w:rsidP="009F2F11">
      <w:pPr>
        <w:spacing w:line="480" w:lineRule="auto"/>
        <w:rPr>
          <w:sz w:val="20"/>
          <w:szCs w:val="20"/>
        </w:rPr>
      </w:pPr>
    </w:p>
    <w:p w14:paraId="0CDDDF5E" w14:textId="77777777" w:rsidR="009F2F11" w:rsidRPr="009F2F11" w:rsidRDefault="00000000" w:rsidP="009F2F11">
      <w:pPr>
        <w:spacing w:after="200" w:line="276" w:lineRule="auto"/>
        <w:rPr>
          <w:rFonts w:eastAsia="Calibri"/>
          <w:sz w:val="20"/>
          <w:szCs w:val="20"/>
          <w:lang w:eastAsia="en-US"/>
        </w:rPr>
      </w:pPr>
      <m:oMathPara>
        <m:oMath>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p</m:t>
              </m:r>
            </m:e>
            <m:sub>
              <m:r>
                <w:rPr>
                  <w:rFonts w:ascii="Cambria Math" w:eastAsia="Calibri" w:hAnsi="Cambria Math"/>
                  <w:sz w:val="20"/>
                  <w:szCs w:val="20"/>
                  <w:lang w:eastAsia="en-US"/>
                </w:rPr>
                <m:t>E</m:t>
              </m:r>
            </m:sub>
          </m:sSub>
          <m:r>
            <w:rPr>
              <w:rFonts w:ascii="Cambria Math" w:eastAsia="Calibri" w:hAnsi="Cambria Math"/>
              <w:sz w:val="20"/>
              <w:szCs w:val="20"/>
              <w:lang w:eastAsia="en-US"/>
            </w:rPr>
            <m:t>=p</m:t>
          </m:r>
          <m:d>
            <m:dPr>
              <m:ctrlPr>
                <w:rPr>
                  <w:rFonts w:ascii="Cambria Math" w:eastAsia="Calibri" w:hAnsi="Cambria Math"/>
                  <w:i/>
                  <w:sz w:val="20"/>
                  <w:szCs w:val="20"/>
                  <w:lang w:eastAsia="en-US"/>
                </w:rPr>
              </m:ctrlPr>
            </m:dPr>
            <m:e>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H</m:t>
                  </m:r>
                </m:e>
                <m:sub>
                  <m:r>
                    <w:rPr>
                      <w:rFonts w:ascii="Cambria Math" w:eastAsia="Calibri" w:hAnsi="Cambria Math"/>
                      <w:sz w:val="20"/>
                      <w:szCs w:val="20"/>
                      <w:lang w:eastAsia="en-US"/>
                    </w:rPr>
                    <m:t>s</m:t>
                  </m:r>
                </m:sub>
              </m:sSub>
              <m:r>
                <w:rPr>
                  <w:rFonts w:ascii="Cambria Math" w:eastAsia="Calibri" w:hAnsi="Cambria Math"/>
                  <w:sz w:val="20"/>
                  <w:szCs w:val="20"/>
                  <w:lang w:eastAsia="en-US"/>
                </w:rPr>
                <m:t>≥y∩η≥x</m:t>
              </m:r>
            </m:e>
          </m:d>
        </m:oMath>
      </m:oMathPara>
    </w:p>
    <w:p w14:paraId="36CED6D1" w14:textId="77777777" w:rsidR="009F2F11" w:rsidRDefault="0009528D" w:rsidP="009F2F11">
      <w:pPr>
        <w:spacing w:line="480" w:lineRule="auto"/>
        <w:rPr>
          <w:sz w:val="20"/>
          <w:szCs w:val="20"/>
        </w:rPr>
      </w:pPr>
      <w:r>
        <w:rPr>
          <w:sz w:val="20"/>
          <w:szCs w:val="20"/>
        </w:rPr>
        <w:lastRenderedPageBreak/>
        <w:t>1</w:t>
      </w:r>
      <w:r w:rsidR="009F2F11">
        <w:rPr>
          <w:sz w:val="20"/>
          <w:szCs w:val="20"/>
        </w:rPr>
        <w:t>.</w:t>
      </w:r>
    </w:p>
    <w:p w14:paraId="3813D636" w14:textId="77777777" w:rsidR="009F2F11" w:rsidRPr="004A7FCA" w:rsidRDefault="009F2F11" w:rsidP="009F2F11">
      <w:pPr>
        <w:spacing w:line="480" w:lineRule="auto"/>
        <w:outlineLvl w:val="0"/>
        <w:rPr>
          <w:sz w:val="20"/>
          <w:szCs w:val="20"/>
        </w:rPr>
      </w:pPr>
    </w:p>
    <w:p w14:paraId="6C0D97A0" w14:textId="77777777" w:rsidR="004A7FCA" w:rsidRDefault="004A7FCA" w:rsidP="004A7FCA">
      <w:pPr>
        <w:numPr>
          <w:ilvl w:val="0"/>
          <w:numId w:val="33"/>
        </w:numPr>
        <w:spacing w:line="480" w:lineRule="auto"/>
        <w:outlineLvl w:val="0"/>
        <w:rPr>
          <w:sz w:val="20"/>
          <w:szCs w:val="20"/>
        </w:rPr>
      </w:pPr>
      <w:r w:rsidRPr="004A7FCA">
        <w:rPr>
          <w:sz w:val="20"/>
          <w:szCs w:val="20"/>
        </w:rPr>
        <w:t>Intuitive Joint Probability Assessment (</w:t>
      </w:r>
      <w:proofErr w:type="spellStart"/>
      <w:r w:rsidRPr="004A7FCA">
        <w:rPr>
          <w:sz w:val="20"/>
          <w:szCs w:val="20"/>
        </w:rPr>
        <w:t>InJoPA</w:t>
      </w:r>
      <w:proofErr w:type="spellEnd"/>
      <w:r w:rsidRPr="004A7FCA">
        <w:rPr>
          <w:sz w:val="20"/>
          <w:szCs w:val="20"/>
        </w:rPr>
        <w:t>) or Correlation Factor Approach</w:t>
      </w:r>
    </w:p>
    <w:p w14:paraId="607ED64D" w14:textId="77777777" w:rsidR="008D25EC" w:rsidRPr="008D25EC" w:rsidRDefault="008D25EC" w:rsidP="008D25EC">
      <w:pPr>
        <w:pStyle w:val="ListParagraph"/>
        <w:spacing w:line="480" w:lineRule="auto"/>
        <w:rPr>
          <w:sz w:val="20"/>
          <w:szCs w:val="20"/>
        </w:rPr>
      </w:pPr>
      <w:r>
        <w:rPr>
          <w:sz w:val="20"/>
          <w:szCs w:val="20"/>
        </w:rPr>
        <w:t xml:space="preserve">The probability of the response is </w:t>
      </w:r>
      <w:r w:rsidRPr="008D25EC">
        <w:rPr>
          <w:sz w:val="20"/>
          <w:szCs w:val="20"/>
        </w:rPr>
        <w:t>defined as a product of the marginal probabilities of the wave height (</w:t>
      </w:r>
      <w:r w:rsidRPr="008D25EC">
        <w:rPr>
          <w:i/>
          <w:sz w:val="20"/>
          <w:szCs w:val="20"/>
        </w:rPr>
        <w:t>H</w:t>
      </w:r>
      <w:r w:rsidRPr="008D25EC">
        <w:rPr>
          <w:i/>
          <w:sz w:val="20"/>
          <w:szCs w:val="20"/>
          <w:vertAlign w:val="subscript"/>
        </w:rPr>
        <w:t>s</w:t>
      </w:r>
      <w:r w:rsidRPr="008D25EC">
        <w:rPr>
          <w:sz w:val="20"/>
          <w:szCs w:val="20"/>
        </w:rPr>
        <w:t>) and the sea level (</w:t>
      </w:r>
      <w:r w:rsidRPr="008D25EC">
        <w:rPr>
          <w:i/>
          <w:sz w:val="20"/>
          <w:szCs w:val="20"/>
        </w:rPr>
        <w:t>η</w:t>
      </w:r>
      <w:r w:rsidRPr="008D25EC">
        <w:rPr>
          <w:sz w:val="20"/>
          <w:szCs w:val="20"/>
        </w:rPr>
        <w:t>) multiplied by a correlation factor (CF)</w:t>
      </w:r>
      <w:r>
        <w:rPr>
          <w:sz w:val="20"/>
          <w:szCs w:val="20"/>
        </w:rPr>
        <w:t xml:space="preserve">.  </w:t>
      </w:r>
      <w:proofErr w:type="gramStart"/>
      <w:r>
        <w:rPr>
          <w:sz w:val="20"/>
          <w:szCs w:val="20"/>
        </w:rPr>
        <w:t xml:space="preserve">This </w:t>
      </w:r>
      <w:r w:rsidRPr="008D25EC">
        <w:rPr>
          <w:sz w:val="20"/>
          <w:szCs w:val="20"/>
        </w:rPr>
        <w:t xml:space="preserve"> </w:t>
      </w:r>
      <w:r>
        <w:rPr>
          <w:sz w:val="20"/>
          <w:szCs w:val="20"/>
        </w:rPr>
        <w:t>therefore</w:t>
      </w:r>
      <w:proofErr w:type="gramEnd"/>
      <w:r>
        <w:rPr>
          <w:sz w:val="20"/>
          <w:szCs w:val="20"/>
        </w:rPr>
        <w:t xml:space="preserve"> approximates the </w:t>
      </w:r>
      <w:r w:rsidRPr="009F2F11">
        <w:rPr>
          <w:sz w:val="20"/>
          <w:szCs w:val="20"/>
        </w:rPr>
        <w:t>continuous</w:t>
      </w:r>
      <w:r>
        <w:rPr>
          <w:sz w:val="20"/>
          <w:szCs w:val="20"/>
        </w:rPr>
        <w:t xml:space="preserve"> </w:t>
      </w:r>
      <w:r w:rsidRPr="009F2F11">
        <w:rPr>
          <w:sz w:val="20"/>
          <w:szCs w:val="20"/>
        </w:rPr>
        <w:t>curve of combinations</w:t>
      </w:r>
      <w:r>
        <w:rPr>
          <w:sz w:val="20"/>
          <w:szCs w:val="20"/>
        </w:rPr>
        <w:t xml:space="preserve">, </w:t>
      </w:r>
      <w:proofErr w:type="spellStart"/>
      <w:r w:rsidRPr="00E22CED">
        <w:rPr>
          <w:i/>
          <w:sz w:val="20"/>
          <w:szCs w:val="20"/>
        </w:rPr>
        <w:t>p</w:t>
      </w:r>
      <w:r w:rsidRPr="00E22CED">
        <w:rPr>
          <w:i/>
          <w:sz w:val="20"/>
          <w:szCs w:val="20"/>
          <w:vertAlign w:val="subscript"/>
        </w:rPr>
        <w:t>E</w:t>
      </w:r>
      <w:proofErr w:type="spellEnd"/>
      <w:r>
        <w:rPr>
          <w:i/>
          <w:sz w:val="20"/>
          <w:szCs w:val="20"/>
          <w:vertAlign w:val="subscript"/>
        </w:rPr>
        <w:t xml:space="preserve"> </w:t>
      </w:r>
      <w:r w:rsidRPr="009F2F11">
        <w:rPr>
          <w:sz w:val="20"/>
          <w:szCs w:val="20"/>
        </w:rPr>
        <w:t>as</w:t>
      </w:r>
      <w:r w:rsidRPr="008D25EC">
        <w:rPr>
          <w:sz w:val="20"/>
          <w:szCs w:val="20"/>
        </w:rPr>
        <w:t>:</w:t>
      </w:r>
    </w:p>
    <w:p w14:paraId="7CF02781" w14:textId="77777777" w:rsidR="008D25EC" w:rsidRPr="008D25EC" w:rsidRDefault="008D25EC" w:rsidP="008D25EC">
      <w:pPr>
        <w:spacing w:line="480" w:lineRule="auto"/>
        <w:rPr>
          <w:sz w:val="20"/>
          <w:szCs w:val="20"/>
        </w:rPr>
      </w:pPr>
    </w:p>
    <w:p w14:paraId="24287068" w14:textId="77777777" w:rsidR="008D25EC" w:rsidRPr="008D25EC" w:rsidRDefault="00000000" w:rsidP="008D25EC">
      <w:pPr>
        <w:pStyle w:val="ListParagraph"/>
        <w:spacing w:after="200" w:line="276" w:lineRule="auto"/>
        <w:rPr>
          <w:rFonts w:eastAsia="Calibri"/>
          <w:sz w:val="20"/>
          <w:szCs w:val="20"/>
          <w:lang w:eastAsia="en-US"/>
        </w:rPr>
      </w:pPr>
      <m:oMathPara>
        <m:oMath>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p</m:t>
              </m:r>
            </m:e>
            <m:sub>
              <m:r>
                <w:rPr>
                  <w:rFonts w:ascii="Cambria Math" w:eastAsia="Calibri" w:hAnsi="Cambria Math"/>
                  <w:sz w:val="20"/>
                  <w:szCs w:val="20"/>
                  <w:lang w:eastAsia="en-US"/>
                </w:rPr>
                <m:t>E</m:t>
              </m:r>
            </m:sub>
          </m:sSub>
          <m:r>
            <w:rPr>
              <w:rFonts w:ascii="Cambria Math" w:hAnsi="Cambria Math"/>
              <w:sz w:val="20"/>
              <w:szCs w:val="20"/>
              <w:lang w:eastAsia="en-US"/>
            </w:rPr>
            <m:t>≈</m:t>
          </m:r>
          <m:sSub>
            <m:sSubPr>
              <m:ctrlPr>
                <w:rPr>
                  <w:rFonts w:ascii="Cambria Math" w:hAnsi="Cambria Math"/>
                  <w:i/>
                  <w:sz w:val="20"/>
                  <w:szCs w:val="20"/>
                  <w:lang w:eastAsia="en-US"/>
                </w:rPr>
              </m:ctrlPr>
            </m:sSubPr>
            <m:e>
              <m:r>
                <w:rPr>
                  <w:rFonts w:ascii="Cambria Math" w:hAnsi="Cambria Math"/>
                  <w:sz w:val="20"/>
                  <w:szCs w:val="20"/>
                  <w:lang w:eastAsia="en-US"/>
                </w:rPr>
                <m:t>C</m:t>
              </m:r>
            </m:e>
            <m:sub>
              <m:r>
                <w:rPr>
                  <w:rFonts w:ascii="Cambria Math" w:hAnsi="Cambria Math"/>
                  <w:sz w:val="20"/>
                  <w:szCs w:val="20"/>
                  <w:lang w:eastAsia="en-US"/>
                </w:rPr>
                <m:t>F</m:t>
              </m:r>
            </m:sub>
          </m:sSub>
          <m:r>
            <w:rPr>
              <w:rFonts w:ascii="Cambria Math" w:hAnsi="Cambria Math"/>
              <w:sz w:val="20"/>
              <w:szCs w:val="20"/>
              <w:lang w:eastAsia="en-US"/>
            </w:rPr>
            <m:t>p</m:t>
          </m:r>
          <m:d>
            <m:dPr>
              <m:ctrlPr>
                <w:rPr>
                  <w:rFonts w:ascii="Cambria Math" w:hAnsi="Cambria Math"/>
                  <w:i/>
                  <w:sz w:val="20"/>
                  <w:szCs w:val="20"/>
                  <w:lang w:eastAsia="en-US"/>
                </w:rPr>
              </m:ctrlPr>
            </m:dPr>
            <m:e>
              <m:sSub>
                <m:sSubPr>
                  <m:ctrlPr>
                    <w:rPr>
                      <w:rFonts w:ascii="Cambria Math" w:hAnsi="Cambria Math"/>
                      <w:i/>
                      <w:sz w:val="20"/>
                      <w:szCs w:val="20"/>
                      <w:lang w:eastAsia="en-US"/>
                    </w:rPr>
                  </m:ctrlPr>
                </m:sSubPr>
                <m:e>
                  <m:r>
                    <w:rPr>
                      <w:rFonts w:ascii="Cambria Math" w:hAnsi="Cambria Math"/>
                      <w:sz w:val="20"/>
                      <w:szCs w:val="20"/>
                      <w:lang w:eastAsia="en-US"/>
                    </w:rPr>
                    <m:t>H</m:t>
                  </m:r>
                </m:e>
                <m:sub>
                  <m:r>
                    <w:rPr>
                      <w:rFonts w:ascii="Cambria Math" w:hAnsi="Cambria Math"/>
                      <w:sz w:val="20"/>
                      <w:szCs w:val="20"/>
                      <w:lang w:eastAsia="en-US"/>
                    </w:rPr>
                    <m:t>s</m:t>
                  </m:r>
                </m:sub>
              </m:sSub>
              <m:r>
                <w:rPr>
                  <w:rFonts w:ascii="Cambria Math" w:hAnsi="Cambria Math"/>
                  <w:sz w:val="20"/>
                  <w:szCs w:val="20"/>
                  <w:lang w:eastAsia="en-US"/>
                </w:rPr>
                <m:t>≥y</m:t>
              </m:r>
            </m:e>
          </m:d>
          <m:r>
            <w:rPr>
              <w:rFonts w:ascii="Cambria Math" w:hAnsi="Cambria Math"/>
              <w:sz w:val="20"/>
              <w:szCs w:val="20"/>
              <w:lang w:eastAsia="en-US"/>
            </w:rPr>
            <m:t>p</m:t>
          </m:r>
          <m:d>
            <m:dPr>
              <m:ctrlPr>
                <w:rPr>
                  <w:rFonts w:ascii="Cambria Math" w:hAnsi="Cambria Math"/>
                  <w:i/>
                  <w:sz w:val="20"/>
                  <w:szCs w:val="20"/>
                  <w:lang w:eastAsia="en-US"/>
                </w:rPr>
              </m:ctrlPr>
            </m:dPr>
            <m:e>
              <m:r>
                <w:rPr>
                  <w:rFonts w:ascii="Cambria Math" w:hAnsi="Cambria Math"/>
                  <w:sz w:val="20"/>
                  <w:szCs w:val="20"/>
                  <w:lang w:eastAsia="en-US"/>
                </w:rPr>
                <m:t>η≥x</m:t>
              </m:r>
            </m:e>
          </m:d>
        </m:oMath>
      </m:oMathPara>
    </w:p>
    <w:p w14:paraId="3E6D1907" w14:textId="77777777" w:rsidR="008D25EC" w:rsidRPr="008D25EC" w:rsidRDefault="0009528D" w:rsidP="008D25EC">
      <w:pPr>
        <w:spacing w:line="480" w:lineRule="auto"/>
        <w:rPr>
          <w:sz w:val="20"/>
          <w:szCs w:val="20"/>
        </w:rPr>
      </w:pPr>
      <w:r>
        <w:rPr>
          <w:sz w:val="20"/>
          <w:szCs w:val="20"/>
        </w:rPr>
        <w:t>2</w:t>
      </w:r>
      <w:r w:rsidR="008D25EC" w:rsidRPr="008D25EC">
        <w:rPr>
          <w:sz w:val="20"/>
          <w:szCs w:val="20"/>
        </w:rPr>
        <w:t>.</w:t>
      </w:r>
    </w:p>
    <w:p w14:paraId="7A65F3D0" w14:textId="77777777" w:rsidR="004A7FCA" w:rsidRDefault="004A7FCA" w:rsidP="004A7FCA">
      <w:pPr>
        <w:spacing w:line="480" w:lineRule="auto"/>
        <w:outlineLvl w:val="0"/>
        <w:rPr>
          <w:sz w:val="20"/>
          <w:szCs w:val="20"/>
        </w:rPr>
      </w:pPr>
    </w:p>
    <w:p w14:paraId="34475D56" w14:textId="77777777" w:rsidR="004A7FCA" w:rsidRDefault="004A7FCA" w:rsidP="004A7FCA">
      <w:pPr>
        <w:spacing w:line="480" w:lineRule="auto"/>
        <w:outlineLvl w:val="0"/>
        <w:rPr>
          <w:sz w:val="20"/>
          <w:szCs w:val="20"/>
        </w:rPr>
      </w:pPr>
      <w:r w:rsidRPr="004A7FCA">
        <w:rPr>
          <w:sz w:val="20"/>
          <w:szCs w:val="20"/>
        </w:rPr>
        <w:t xml:space="preserve">Of these approaches, the </w:t>
      </w:r>
      <w:proofErr w:type="spellStart"/>
      <w:r w:rsidRPr="004A7FCA">
        <w:rPr>
          <w:sz w:val="20"/>
          <w:szCs w:val="20"/>
        </w:rPr>
        <w:t>InJoPA</w:t>
      </w:r>
      <w:proofErr w:type="spellEnd"/>
      <w:r w:rsidRPr="004A7FCA">
        <w:rPr>
          <w:sz w:val="20"/>
          <w:szCs w:val="20"/>
        </w:rPr>
        <w:t xml:space="preserve"> can be applied in two different ways known as the simplified approach or the desk-study approach.  In addition, each approach </w:t>
      </w:r>
      <w:proofErr w:type="gramStart"/>
      <w:r w:rsidRPr="004A7FCA">
        <w:rPr>
          <w:sz w:val="20"/>
          <w:szCs w:val="20"/>
        </w:rPr>
        <w:t>has to</w:t>
      </w:r>
      <w:proofErr w:type="gramEnd"/>
      <w:r w:rsidRPr="004A7FCA">
        <w:rPr>
          <w:sz w:val="20"/>
          <w:szCs w:val="20"/>
        </w:rPr>
        <w:t xml:space="preserve"> rely on assumptions regarding wave period and direction.  Three different approaches are therefore considered, and these are assessed based on three different assumptions on how wave period and direction are assessed.  This gave a total of nine comparisons to assess against the RV approach</w:t>
      </w:r>
      <w:r w:rsidR="00E77EC8">
        <w:rPr>
          <w:sz w:val="20"/>
          <w:szCs w:val="20"/>
        </w:rPr>
        <w:t>, which are outlined in Section 4</w:t>
      </w:r>
      <w:r w:rsidRPr="004A7FCA">
        <w:rPr>
          <w:sz w:val="20"/>
          <w:szCs w:val="20"/>
        </w:rPr>
        <w:t>.</w:t>
      </w:r>
    </w:p>
    <w:p w14:paraId="30D47FF0" w14:textId="77777777" w:rsidR="000F7580" w:rsidRPr="004A7FCA" w:rsidRDefault="000F7580" w:rsidP="004A7FCA">
      <w:pPr>
        <w:spacing w:line="480" w:lineRule="auto"/>
        <w:outlineLvl w:val="0"/>
        <w:rPr>
          <w:sz w:val="20"/>
          <w:szCs w:val="20"/>
        </w:rPr>
      </w:pPr>
    </w:p>
    <w:p w14:paraId="633CEFE7" w14:textId="77777777" w:rsidR="0003108B" w:rsidRPr="000F7580" w:rsidRDefault="0003108B" w:rsidP="00A3696E">
      <w:pPr>
        <w:spacing w:line="480" w:lineRule="auto"/>
        <w:outlineLvl w:val="0"/>
        <w:rPr>
          <w:b/>
          <w:sz w:val="20"/>
          <w:szCs w:val="20"/>
        </w:rPr>
      </w:pPr>
      <w:r w:rsidRPr="000F7580">
        <w:rPr>
          <w:b/>
          <w:sz w:val="20"/>
          <w:szCs w:val="20"/>
        </w:rPr>
        <w:t xml:space="preserve">2. </w:t>
      </w:r>
      <w:r w:rsidR="000F7580" w:rsidRPr="000F7580">
        <w:rPr>
          <w:b/>
          <w:sz w:val="20"/>
          <w:szCs w:val="20"/>
        </w:rPr>
        <w:t>Assessment methodology</w:t>
      </w:r>
    </w:p>
    <w:p w14:paraId="33CC6954" w14:textId="77777777" w:rsidR="004C0597" w:rsidRPr="004C0597" w:rsidRDefault="004C0597" w:rsidP="00A3696E">
      <w:pPr>
        <w:spacing w:line="480" w:lineRule="auto"/>
        <w:rPr>
          <w:i/>
          <w:sz w:val="20"/>
          <w:szCs w:val="20"/>
        </w:rPr>
      </w:pPr>
      <w:r w:rsidRPr="004C0597">
        <w:rPr>
          <w:b/>
          <w:i/>
          <w:sz w:val="20"/>
          <w:szCs w:val="20"/>
        </w:rPr>
        <w:t>2.1 Introduction</w:t>
      </w:r>
    </w:p>
    <w:p w14:paraId="43F19162" w14:textId="77777777" w:rsidR="00D12094" w:rsidRDefault="00D12094" w:rsidP="000F7580">
      <w:pPr>
        <w:spacing w:line="480" w:lineRule="auto"/>
        <w:rPr>
          <w:sz w:val="20"/>
          <w:szCs w:val="20"/>
        </w:rPr>
      </w:pPr>
      <w:r w:rsidRPr="000F7580">
        <w:rPr>
          <w:sz w:val="20"/>
          <w:szCs w:val="20"/>
        </w:rPr>
        <w:t xml:space="preserve">To investigate the potential </w:t>
      </w:r>
      <w:r w:rsidR="00E77EC8">
        <w:rPr>
          <w:sz w:val="20"/>
          <w:szCs w:val="20"/>
        </w:rPr>
        <w:t>inaccuracy</w:t>
      </w:r>
      <w:r w:rsidRPr="000F7580">
        <w:rPr>
          <w:sz w:val="20"/>
          <w:szCs w:val="20"/>
        </w:rPr>
        <w:t xml:space="preserve"> in the use of the different joint </w:t>
      </w:r>
      <w:r>
        <w:rPr>
          <w:sz w:val="20"/>
          <w:szCs w:val="20"/>
        </w:rPr>
        <w:t xml:space="preserve">exceedance </w:t>
      </w:r>
      <w:r w:rsidRPr="000F7580">
        <w:rPr>
          <w:sz w:val="20"/>
          <w:szCs w:val="20"/>
        </w:rPr>
        <w:t>curve approaches,</w:t>
      </w:r>
      <w:r>
        <w:rPr>
          <w:sz w:val="20"/>
          <w:szCs w:val="20"/>
        </w:rPr>
        <w:t xml:space="preserve"> firstly, benchmark results were established using the RV approach.  This approach involves the stochastic simulation of all the relevant input parameters using a nationally consistent data </w:t>
      </w:r>
      <w:proofErr w:type="gramStart"/>
      <w:r>
        <w:rPr>
          <w:sz w:val="20"/>
          <w:szCs w:val="20"/>
        </w:rPr>
        <w:t>set .</w:t>
      </w:r>
      <w:proofErr w:type="gramEnd"/>
      <w:r>
        <w:rPr>
          <w:sz w:val="20"/>
          <w:szCs w:val="20"/>
        </w:rPr>
        <w:t xml:space="preserve">  The different joint exceedance curve approaches were then applied, as they would be in practice, Hames </w:t>
      </w:r>
      <w:r>
        <w:rPr>
          <w:i/>
          <w:sz w:val="20"/>
          <w:szCs w:val="20"/>
        </w:rPr>
        <w:t>et al.</w:t>
      </w:r>
      <w:r>
        <w:rPr>
          <w:sz w:val="20"/>
          <w:szCs w:val="20"/>
        </w:rPr>
        <w:t>, (201</w:t>
      </w:r>
      <w:r w:rsidR="005F2745">
        <w:rPr>
          <w:sz w:val="20"/>
          <w:szCs w:val="20"/>
        </w:rPr>
        <w:t>9</w:t>
      </w:r>
      <w:r>
        <w:rPr>
          <w:sz w:val="20"/>
          <w:szCs w:val="20"/>
        </w:rPr>
        <w:t>).  The results were then compared to the benchmark.</w:t>
      </w:r>
    </w:p>
    <w:p w14:paraId="25633C96" w14:textId="77777777" w:rsidR="00D12094" w:rsidRDefault="00D12094" w:rsidP="000F7580">
      <w:pPr>
        <w:spacing w:line="480" w:lineRule="auto"/>
        <w:rPr>
          <w:sz w:val="20"/>
          <w:szCs w:val="20"/>
        </w:rPr>
      </w:pPr>
    </w:p>
    <w:p w14:paraId="6B18141E" w14:textId="77777777" w:rsidR="000F7580" w:rsidRPr="000F7580" w:rsidRDefault="000F7580" w:rsidP="000F7580">
      <w:pPr>
        <w:spacing w:line="480" w:lineRule="auto"/>
        <w:rPr>
          <w:sz w:val="20"/>
          <w:szCs w:val="20"/>
        </w:rPr>
      </w:pPr>
      <w:r w:rsidRPr="000F7580">
        <w:rPr>
          <w:sz w:val="20"/>
          <w:szCs w:val="20"/>
        </w:rPr>
        <w:t xml:space="preserve">Comparing the </w:t>
      </w:r>
      <w:r w:rsidR="00EF06DB">
        <w:rPr>
          <w:sz w:val="20"/>
          <w:szCs w:val="20"/>
        </w:rPr>
        <w:t>joint exceedance</w:t>
      </w:r>
      <w:r w:rsidRPr="000F7580">
        <w:rPr>
          <w:sz w:val="20"/>
          <w:szCs w:val="20"/>
        </w:rPr>
        <w:t xml:space="preserve"> curve approaches against the RV approach </w:t>
      </w:r>
      <w:r w:rsidR="00D12094">
        <w:rPr>
          <w:sz w:val="20"/>
          <w:szCs w:val="20"/>
        </w:rPr>
        <w:t xml:space="preserve">for </w:t>
      </w:r>
      <w:proofErr w:type="gramStart"/>
      <w:r w:rsidR="00D12094">
        <w:rPr>
          <w:sz w:val="20"/>
          <w:szCs w:val="20"/>
        </w:rPr>
        <w:t>a large number of</w:t>
      </w:r>
      <w:proofErr w:type="gramEnd"/>
      <w:r w:rsidR="00D12094">
        <w:rPr>
          <w:sz w:val="20"/>
          <w:szCs w:val="20"/>
        </w:rPr>
        <w:t xml:space="preserve"> </w:t>
      </w:r>
      <w:r w:rsidR="00B3406C">
        <w:rPr>
          <w:sz w:val="20"/>
          <w:szCs w:val="20"/>
        </w:rPr>
        <w:t xml:space="preserve">sea </w:t>
      </w:r>
      <w:r w:rsidR="00D12094">
        <w:rPr>
          <w:sz w:val="20"/>
          <w:szCs w:val="20"/>
        </w:rPr>
        <w:t xml:space="preserve">defence structures </w:t>
      </w:r>
      <w:r w:rsidRPr="000F7580">
        <w:rPr>
          <w:sz w:val="20"/>
          <w:szCs w:val="20"/>
        </w:rPr>
        <w:t xml:space="preserve">therefore gives a measure of investigating the distribution </w:t>
      </w:r>
      <w:r w:rsidR="002C1321">
        <w:rPr>
          <w:sz w:val="20"/>
          <w:szCs w:val="20"/>
        </w:rPr>
        <w:t>of</w:t>
      </w:r>
      <w:r w:rsidRPr="000F7580">
        <w:rPr>
          <w:sz w:val="20"/>
          <w:szCs w:val="20"/>
        </w:rPr>
        <w:t xml:space="preserve"> the </w:t>
      </w:r>
      <w:r w:rsidR="00E77EC8">
        <w:rPr>
          <w:sz w:val="20"/>
          <w:szCs w:val="20"/>
        </w:rPr>
        <w:t xml:space="preserve">potential </w:t>
      </w:r>
      <w:r w:rsidRPr="000F7580">
        <w:rPr>
          <w:sz w:val="20"/>
          <w:szCs w:val="20"/>
        </w:rPr>
        <w:t>error in their application</w:t>
      </w:r>
      <w:r w:rsidR="008A6770">
        <w:rPr>
          <w:sz w:val="20"/>
          <w:szCs w:val="20"/>
        </w:rPr>
        <w:t xml:space="preserve">.  The </w:t>
      </w:r>
      <w:r w:rsidRPr="000F7580">
        <w:rPr>
          <w:sz w:val="20"/>
          <w:szCs w:val="20"/>
        </w:rPr>
        <w:t>comparative approach mean</w:t>
      </w:r>
      <w:r w:rsidR="008A6770">
        <w:rPr>
          <w:sz w:val="20"/>
          <w:szCs w:val="20"/>
        </w:rPr>
        <w:t>s</w:t>
      </w:r>
      <w:r w:rsidRPr="000F7580">
        <w:rPr>
          <w:sz w:val="20"/>
          <w:szCs w:val="20"/>
        </w:rPr>
        <w:t xml:space="preserve"> that the robustness or otherwise of the response functions used is not considered significant.  This therefore also </w:t>
      </w:r>
      <w:r w:rsidRPr="000F7580">
        <w:rPr>
          <w:sz w:val="20"/>
          <w:szCs w:val="20"/>
        </w:rPr>
        <w:lastRenderedPageBreak/>
        <w:t>enables potential correction factors to be suggested in cases where the RV approach could still be considered difficult to use, such as in the optimisation of designs in physical model tests.  To investigate these potential errors, this paper has used a consistent baseline dataset of nearshore stochastically generated wave and sea level data around the entire English coastline derived on a previous study (HR Wallingford</w:t>
      </w:r>
      <w:r w:rsidR="00037760">
        <w:rPr>
          <w:sz w:val="20"/>
          <w:szCs w:val="20"/>
        </w:rPr>
        <w:t>,</w:t>
      </w:r>
      <w:r w:rsidRPr="000F7580">
        <w:rPr>
          <w:sz w:val="20"/>
          <w:szCs w:val="20"/>
        </w:rPr>
        <w:t xml:space="preserve"> 2015 and Gouldby </w:t>
      </w:r>
      <w:r w:rsidRPr="004D22C4">
        <w:rPr>
          <w:i/>
          <w:sz w:val="20"/>
          <w:szCs w:val="20"/>
        </w:rPr>
        <w:t>et al.</w:t>
      </w:r>
      <w:r w:rsidRPr="000F7580">
        <w:rPr>
          <w:sz w:val="20"/>
          <w:szCs w:val="20"/>
        </w:rPr>
        <w:t>, 2017).  This data has been applied utilising the Environment Agency’s Asset Information Management System (AIMS) database for all sea defence</w:t>
      </w:r>
      <w:r w:rsidR="00B3406C">
        <w:rPr>
          <w:sz w:val="20"/>
          <w:szCs w:val="20"/>
        </w:rPr>
        <w:t xml:space="preserve"> structure</w:t>
      </w:r>
      <w:r w:rsidRPr="000F7580">
        <w:rPr>
          <w:sz w:val="20"/>
          <w:szCs w:val="20"/>
        </w:rPr>
        <w:t>s in England</w:t>
      </w:r>
      <w:r w:rsidR="00A97A8C">
        <w:rPr>
          <w:sz w:val="20"/>
          <w:szCs w:val="20"/>
        </w:rPr>
        <w:t xml:space="preserve"> (as it</w:t>
      </w:r>
      <w:r w:rsidR="008C6C19">
        <w:rPr>
          <w:sz w:val="20"/>
          <w:szCs w:val="20"/>
        </w:rPr>
        <w:t xml:space="preserve"> stood in 2017)</w:t>
      </w:r>
      <w:r w:rsidRPr="000F7580">
        <w:rPr>
          <w:sz w:val="20"/>
          <w:szCs w:val="20"/>
        </w:rPr>
        <w:t>.  Details of the AIMS database and how this has been utilised, together with the baseline wave and sea level datasets utilised in this investigation are outlined in Sections 2.2 and 2.3 below.</w:t>
      </w:r>
    </w:p>
    <w:p w14:paraId="15C8A3A2" w14:textId="77777777" w:rsidR="00D12094" w:rsidRPr="000F7580" w:rsidRDefault="00D12094" w:rsidP="000F7580">
      <w:pPr>
        <w:spacing w:line="480" w:lineRule="auto"/>
        <w:rPr>
          <w:sz w:val="20"/>
          <w:szCs w:val="20"/>
        </w:rPr>
      </w:pPr>
    </w:p>
    <w:p w14:paraId="4D3A4482" w14:textId="77777777" w:rsidR="000F7580" w:rsidRPr="000F7580" w:rsidRDefault="000F7580" w:rsidP="000F7580">
      <w:pPr>
        <w:spacing w:line="480" w:lineRule="auto"/>
        <w:rPr>
          <w:b/>
          <w:i/>
          <w:sz w:val="20"/>
          <w:szCs w:val="20"/>
        </w:rPr>
      </w:pPr>
      <w:r w:rsidRPr="000F7580">
        <w:rPr>
          <w:b/>
          <w:i/>
          <w:sz w:val="20"/>
          <w:szCs w:val="20"/>
        </w:rPr>
        <w:t xml:space="preserve">2.2 Asset Information Management System (AIMS) database </w:t>
      </w:r>
    </w:p>
    <w:p w14:paraId="4F631414" w14:textId="77777777" w:rsidR="000F7580" w:rsidRPr="000F7580" w:rsidRDefault="000F7580" w:rsidP="000F7580">
      <w:pPr>
        <w:spacing w:line="480" w:lineRule="auto"/>
        <w:rPr>
          <w:sz w:val="20"/>
          <w:szCs w:val="20"/>
        </w:rPr>
      </w:pPr>
      <w:r w:rsidRPr="000F7580">
        <w:rPr>
          <w:sz w:val="20"/>
          <w:szCs w:val="20"/>
        </w:rPr>
        <w:t xml:space="preserve">The AIMS database is a national inventory of flood risk assets maintained by the Environment Agency.  Launched in </w:t>
      </w:r>
      <w:proofErr w:type="gramStart"/>
      <w:r w:rsidRPr="000F7580">
        <w:rPr>
          <w:sz w:val="20"/>
          <w:szCs w:val="20"/>
        </w:rPr>
        <w:t>2014  to</w:t>
      </w:r>
      <w:proofErr w:type="gramEnd"/>
      <w:r w:rsidRPr="000F7580">
        <w:rPr>
          <w:sz w:val="20"/>
          <w:szCs w:val="20"/>
        </w:rPr>
        <w:t xml:space="preserve"> replace the existing National Flood and Coastal Defence Database (NFCDD), it contains an inventory of over 8000 </w:t>
      </w:r>
      <w:r>
        <w:rPr>
          <w:sz w:val="20"/>
          <w:szCs w:val="20"/>
        </w:rPr>
        <w:t>coastal</w:t>
      </w:r>
      <w:r w:rsidRPr="000F7580">
        <w:rPr>
          <w:sz w:val="20"/>
          <w:szCs w:val="20"/>
        </w:rPr>
        <w:t xml:space="preserve"> assets around the coastline of England.  It is continually improved, and was substantially updated following the winter 2013/14 storms, when the military assisted the Environment Agency to survey the assets.</w:t>
      </w:r>
    </w:p>
    <w:p w14:paraId="27062FD7" w14:textId="77777777" w:rsidR="000F7580" w:rsidRDefault="000F7580" w:rsidP="000F7580">
      <w:pPr>
        <w:spacing w:line="480" w:lineRule="auto"/>
        <w:rPr>
          <w:sz w:val="20"/>
          <w:szCs w:val="20"/>
        </w:rPr>
      </w:pPr>
    </w:p>
    <w:p w14:paraId="33660626" w14:textId="77777777" w:rsidR="00D06682" w:rsidRDefault="000F7580" w:rsidP="000F7580">
      <w:pPr>
        <w:spacing w:line="480" w:lineRule="auto"/>
        <w:rPr>
          <w:sz w:val="20"/>
          <w:szCs w:val="20"/>
        </w:rPr>
      </w:pPr>
      <w:r w:rsidRPr="000F7580">
        <w:rPr>
          <w:sz w:val="20"/>
          <w:szCs w:val="20"/>
        </w:rPr>
        <w:t>Assets are described as a variety of different types, such as seawalls and embankments, as well as sub-types such as a brick or concrete seawall</w:t>
      </w:r>
      <w:r w:rsidR="00C57A0F" w:rsidRPr="00C57A0F">
        <w:rPr>
          <w:sz w:val="20"/>
          <w:szCs w:val="20"/>
        </w:rPr>
        <w:t xml:space="preserve">.  In total, there are 62 different </w:t>
      </w:r>
      <w:r w:rsidR="00D805D1">
        <w:rPr>
          <w:sz w:val="20"/>
          <w:szCs w:val="20"/>
        </w:rPr>
        <w:t>types</w:t>
      </w:r>
      <w:r w:rsidR="00C57A0F" w:rsidRPr="00C57A0F">
        <w:rPr>
          <w:sz w:val="20"/>
          <w:szCs w:val="20"/>
        </w:rPr>
        <w:t xml:space="preserve"> of defences defined</w:t>
      </w:r>
      <w:r w:rsidR="00C57A0F">
        <w:rPr>
          <w:sz w:val="20"/>
          <w:szCs w:val="20"/>
        </w:rPr>
        <w:t xml:space="preserve"> using a </w:t>
      </w:r>
      <w:r w:rsidR="00C57A0F" w:rsidRPr="00C57A0F">
        <w:rPr>
          <w:sz w:val="20"/>
          <w:szCs w:val="20"/>
        </w:rPr>
        <w:t xml:space="preserve">categorisation system (Hall </w:t>
      </w:r>
      <w:r w:rsidR="00C57A0F" w:rsidRPr="00C57A0F">
        <w:rPr>
          <w:i/>
          <w:sz w:val="20"/>
          <w:szCs w:val="20"/>
        </w:rPr>
        <w:t>et al.</w:t>
      </w:r>
      <w:r w:rsidR="00C57A0F">
        <w:rPr>
          <w:sz w:val="20"/>
          <w:szCs w:val="20"/>
        </w:rPr>
        <w:t>,</w:t>
      </w:r>
      <w:r w:rsidR="00C57A0F" w:rsidRPr="00C57A0F">
        <w:rPr>
          <w:sz w:val="20"/>
          <w:szCs w:val="20"/>
        </w:rPr>
        <w:t xml:space="preserve"> 200</w:t>
      </w:r>
      <w:r w:rsidR="00C57A0F">
        <w:rPr>
          <w:sz w:val="20"/>
          <w:szCs w:val="20"/>
        </w:rPr>
        <w:t>3</w:t>
      </w:r>
      <w:r w:rsidR="00C57A0F" w:rsidRPr="00C57A0F">
        <w:rPr>
          <w:sz w:val="20"/>
          <w:szCs w:val="20"/>
        </w:rPr>
        <w:t xml:space="preserve"> and</w:t>
      </w:r>
      <w:r w:rsidR="00C57A0F">
        <w:rPr>
          <w:sz w:val="20"/>
          <w:szCs w:val="20"/>
        </w:rPr>
        <w:t xml:space="preserve"> HR Wallingford, 2004</w:t>
      </w:r>
      <w:r w:rsidR="00C57A0F" w:rsidRPr="00C57A0F">
        <w:rPr>
          <w:sz w:val="20"/>
          <w:szCs w:val="20"/>
        </w:rPr>
        <w:t>)</w:t>
      </w:r>
      <w:r w:rsidR="00C57A0F">
        <w:rPr>
          <w:sz w:val="20"/>
          <w:szCs w:val="20"/>
        </w:rPr>
        <w:t>.</w:t>
      </w:r>
      <w:r w:rsidR="00C57A0F" w:rsidRPr="00C57A0F">
        <w:rPr>
          <w:sz w:val="20"/>
          <w:szCs w:val="20"/>
        </w:rPr>
        <w:t xml:space="preserve"> </w:t>
      </w:r>
      <w:r w:rsidR="00C57A0F">
        <w:rPr>
          <w:sz w:val="20"/>
          <w:szCs w:val="20"/>
        </w:rPr>
        <w:t xml:space="preserve"> </w:t>
      </w:r>
      <w:r w:rsidRPr="000F7580">
        <w:rPr>
          <w:sz w:val="20"/>
          <w:szCs w:val="20"/>
        </w:rPr>
        <w:t xml:space="preserve">A variety of information is given, with standardised characteristics given for certain parameters such as structure slope.  </w:t>
      </w:r>
      <w:proofErr w:type="gramStart"/>
      <w:r w:rsidRPr="000F7580">
        <w:rPr>
          <w:sz w:val="20"/>
          <w:szCs w:val="20"/>
        </w:rPr>
        <w:t>As a consequence</w:t>
      </w:r>
      <w:proofErr w:type="gramEnd"/>
      <w:r w:rsidRPr="000F7580">
        <w:rPr>
          <w:sz w:val="20"/>
          <w:szCs w:val="20"/>
        </w:rPr>
        <w:t>, each defence can be simply discretised so that their performance can be assessed for a variety of different response functions.</w:t>
      </w:r>
      <w:r w:rsidR="00D06682">
        <w:rPr>
          <w:sz w:val="20"/>
          <w:szCs w:val="20"/>
        </w:rPr>
        <w:t xml:space="preserve">  Further details on the AIMS database can be obtained from the </w:t>
      </w:r>
      <w:r w:rsidR="00D06682" w:rsidRPr="00D06682">
        <w:rPr>
          <w:sz w:val="20"/>
          <w:szCs w:val="20"/>
        </w:rPr>
        <w:t xml:space="preserve">asset management team at appropriate </w:t>
      </w:r>
      <w:r w:rsidR="00D805D1">
        <w:rPr>
          <w:sz w:val="20"/>
          <w:szCs w:val="20"/>
        </w:rPr>
        <w:t>area</w:t>
      </w:r>
      <w:r w:rsidR="00D06682" w:rsidRPr="00D06682">
        <w:rPr>
          <w:sz w:val="20"/>
          <w:szCs w:val="20"/>
        </w:rPr>
        <w:t xml:space="preserve"> E</w:t>
      </w:r>
      <w:r w:rsidR="00D06682">
        <w:rPr>
          <w:sz w:val="20"/>
          <w:szCs w:val="20"/>
        </w:rPr>
        <w:t xml:space="preserve">nvironment </w:t>
      </w:r>
      <w:r w:rsidR="00D06682" w:rsidRPr="00D06682">
        <w:rPr>
          <w:sz w:val="20"/>
          <w:szCs w:val="20"/>
        </w:rPr>
        <w:t>A</w:t>
      </w:r>
      <w:r w:rsidR="00D06682">
        <w:rPr>
          <w:sz w:val="20"/>
          <w:szCs w:val="20"/>
        </w:rPr>
        <w:t>gency Offices.</w:t>
      </w:r>
    </w:p>
    <w:p w14:paraId="6C06BEBD" w14:textId="77777777" w:rsidR="000F7580" w:rsidRDefault="000F7580" w:rsidP="000F7580">
      <w:pPr>
        <w:spacing w:line="480" w:lineRule="auto"/>
        <w:rPr>
          <w:sz w:val="20"/>
          <w:szCs w:val="20"/>
        </w:rPr>
      </w:pPr>
    </w:p>
    <w:p w14:paraId="59D037D1" w14:textId="77777777" w:rsidR="000F7580" w:rsidRDefault="000F7580" w:rsidP="000F7580">
      <w:pPr>
        <w:spacing w:line="480" w:lineRule="auto"/>
        <w:rPr>
          <w:sz w:val="20"/>
          <w:szCs w:val="20"/>
        </w:rPr>
      </w:pPr>
      <w:r w:rsidRPr="000F7580">
        <w:rPr>
          <w:sz w:val="20"/>
          <w:szCs w:val="20"/>
        </w:rPr>
        <w:t xml:space="preserve">Although there were potentially </w:t>
      </w:r>
      <w:proofErr w:type="gramStart"/>
      <w:r w:rsidRPr="000F7580">
        <w:rPr>
          <w:sz w:val="20"/>
          <w:szCs w:val="20"/>
        </w:rPr>
        <w:t>in excess of</w:t>
      </w:r>
      <w:proofErr w:type="gramEnd"/>
      <w:r w:rsidRPr="000F7580">
        <w:rPr>
          <w:sz w:val="20"/>
          <w:szCs w:val="20"/>
        </w:rPr>
        <w:t xml:space="preserve"> 8000 assets to be considered for this paper, certain assets were removed if they did not fulfil certain criteria which are outlined below.  This was to remove assets that may potentially skew the analysis, due to </w:t>
      </w:r>
      <w:r w:rsidR="00C05D3D">
        <w:rPr>
          <w:sz w:val="20"/>
          <w:szCs w:val="20"/>
        </w:rPr>
        <w:t>unusually</w:t>
      </w:r>
      <w:r w:rsidRPr="000F7580">
        <w:rPr>
          <w:sz w:val="20"/>
          <w:szCs w:val="20"/>
        </w:rPr>
        <w:t xml:space="preserve"> low </w:t>
      </w:r>
      <w:r w:rsidR="00EA1ED6">
        <w:rPr>
          <w:sz w:val="20"/>
          <w:szCs w:val="20"/>
        </w:rPr>
        <w:t>variable</w:t>
      </w:r>
      <w:r w:rsidRPr="000F7580">
        <w:rPr>
          <w:sz w:val="20"/>
          <w:szCs w:val="20"/>
        </w:rPr>
        <w:t xml:space="preserve"> responses</w:t>
      </w:r>
      <w:r w:rsidR="00F66A14">
        <w:rPr>
          <w:sz w:val="20"/>
          <w:szCs w:val="20"/>
        </w:rPr>
        <w:t xml:space="preserve"> (such as a high natural defence)</w:t>
      </w:r>
      <w:r w:rsidR="002C1321">
        <w:rPr>
          <w:sz w:val="20"/>
          <w:szCs w:val="20"/>
        </w:rPr>
        <w:t xml:space="preserve">, </w:t>
      </w:r>
      <w:r w:rsidRPr="000F7580">
        <w:rPr>
          <w:sz w:val="20"/>
          <w:szCs w:val="20"/>
        </w:rPr>
        <w:t xml:space="preserve">resulting in potentially large variations in relative rates, or </w:t>
      </w:r>
      <w:r w:rsidR="00C05D3D">
        <w:rPr>
          <w:sz w:val="20"/>
          <w:szCs w:val="20"/>
        </w:rPr>
        <w:lastRenderedPageBreak/>
        <w:t>unusually</w:t>
      </w:r>
      <w:r w:rsidR="00C05D3D" w:rsidRPr="000F7580">
        <w:rPr>
          <w:sz w:val="20"/>
          <w:szCs w:val="20"/>
        </w:rPr>
        <w:t xml:space="preserve"> </w:t>
      </w:r>
      <w:r w:rsidRPr="000F7580">
        <w:rPr>
          <w:sz w:val="20"/>
          <w:szCs w:val="20"/>
        </w:rPr>
        <w:t xml:space="preserve">high </w:t>
      </w:r>
      <w:r w:rsidR="00EA1ED6">
        <w:rPr>
          <w:sz w:val="20"/>
          <w:szCs w:val="20"/>
        </w:rPr>
        <w:t>variable</w:t>
      </w:r>
      <w:r w:rsidRPr="000F7580">
        <w:rPr>
          <w:sz w:val="20"/>
          <w:szCs w:val="20"/>
        </w:rPr>
        <w:t xml:space="preserve"> responses, potentially </w:t>
      </w:r>
      <w:r w:rsidR="004A730D">
        <w:rPr>
          <w:sz w:val="20"/>
          <w:szCs w:val="20"/>
        </w:rPr>
        <w:t>indicative of</w:t>
      </w:r>
      <w:r w:rsidRPr="000F7580">
        <w:rPr>
          <w:sz w:val="20"/>
          <w:szCs w:val="20"/>
        </w:rPr>
        <w:t xml:space="preserve"> an asset that does not fulfil a normal sea defence function.  </w:t>
      </w:r>
      <w:r w:rsidR="00C05D3D">
        <w:rPr>
          <w:sz w:val="20"/>
          <w:szCs w:val="20"/>
        </w:rPr>
        <w:t>For example, the</w:t>
      </w:r>
      <w:r w:rsidRPr="000F7580">
        <w:rPr>
          <w:sz w:val="20"/>
          <w:szCs w:val="20"/>
        </w:rPr>
        <w:t xml:space="preserve"> marine saltwater lake</w:t>
      </w:r>
      <w:r w:rsidR="00C05D3D">
        <w:rPr>
          <w:sz w:val="20"/>
          <w:szCs w:val="20"/>
        </w:rPr>
        <w:t xml:space="preserve"> </w:t>
      </w:r>
      <w:r w:rsidRPr="000F7580">
        <w:rPr>
          <w:sz w:val="20"/>
          <w:szCs w:val="20"/>
        </w:rPr>
        <w:t>at West Kirby on the Wirral</w:t>
      </w:r>
      <w:r w:rsidR="00C05D3D">
        <w:rPr>
          <w:sz w:val="20"/>
          <w:szCs w:val="20"/>
        </w:rPr>
        <w:t xml:space="preserve"> is listed as a flood defence, however, it has been </w:t>
      </w:r>
      <w:r w:rsidRPr="000F7580">
        <w:rPr>
          <w:sz w:val="20"/>
          <w:szCs w:val="20"/>
        </w:rPr>
        <w:t>deliberately designed to overtop significantly under non extreme events.</w:t>
      </w:r>
    </w:p>
    <w:p w14:paraId="23FA4124" w14:textId="77777777" w:rsidR="009F4B33" w:rsidRPr="000F7580" w:rsidRDefault="009F4B33" w:rsidP="000F7580">
      <w:pPr>
        <w:spacing w:line="480" w:lineRule="auto"/>
        <w:rPr>
          <w:sz w:val="20"/>
          <w:szCs w:val="20"/>
        </w:rPr>
      </w:pPr>
    </w:p>
    <w:p w14:paraId="52A1D15A" w14:textId="77777777" w:rsidR="000F7580" w:rsidRPr="002C1321" w:rsidRDefault="002C1321" w:rsidP="000F7580">
      <w:pPr>
        <w:spacing w:line="480" w:lineRule="auto"/>
        <w:rPr>
          <w:sz w:val="20"/>
          <w:szCs w:val="20"/>
        </w:rPr>
      </w:pPr>
      <w:r w:rsidRPr="002C1321">
        <w:rPr>
          <w:sz w:val="20"/>
          <w:szCs w:val="20"/>
        </w:rPr>
        <w:t xml:space="preserve">The rules </w:t>
      </w:r>
      <w:r w:rsidR="000F7580" w:rsidRPr="002C1321">
        <w:rPr>
          <w:sz w:val="20"/>
          <w:szCs w:val="20"/>
        </w:rPr>
        <w:t xml:space="preserve">applied to remove assets include any defence where </w:t>
      </w:r>
      <w:proofErr w:type="gramStart"/>
      <w:r w:rsidR="000F7580" w:rsidRPr="002C1321">
        <w:rPr>
          <w:sz w:val="20"/>
          <w:szCs w:val="20"/>
        </w:rPr>
        <w:t>the;</w:t>
      </w:r>
      <w:proofErr w:type="gramEnd"/>
    </w:p>
    <w:p w14:paraId="24E94A48" w14:textId="77777777" w:rsidR="000F7580" w:rsidRPr="000F7580" w:rsidRDefault="000F7580" w:rsidP="009F4B33">
      <w:pPr>
        <w:numPr>
          <w:ilvl w:val="0"/>
          <w:numId w:val="34"/>
        </w:numPr>
        <w:spacing w:line="480" w:lineRule="auto"/>
        <w:rPr>
          <w:sz w:val="20"/>
          <w:szCs w:val="20"/>
        </w:rPr>
      </w:pPr>
      <w:r w:rsidRPr="000F7580">
        <w:rPr>
          <w:sz w:val="20"/>
          <w:szCs w:val="20"/>
        </w:rPr>
        <w:t xml:space="preserve">crest height was more than 4m above the </w:t>
      </w:r>
      <w:proofErr w:type="gramStart"/>
      <w:r w:rsidRPr="000F7580">
        <w:rPr>
          <w:sz w:val="20"/>
          <w:szCs w:val="20"/>
        </w:rPr>
        <w:t>100 year</w:t>
      </w:r>
      <w:proofErr w:type="gramEnd"/>
      <w:r w:rsidRPr="000F7580">
        <w:rPr>
          <w:sz w:val="20"/>
          <w:szCs w:val="20"/>
        </w:rPr>
        <w:t xml:space="preserve"> extreme sea level,</w:t>
      </w:r>
    </w:p>
    <w:p w14:paraId="24D364CE" w14:textId="77777777" w:rsidR="000F7580" w:rsidRPr="000F7580" w:rsidRDefault="000F7580" w:rsidP="009F4B33">
      <w:pPr>
        <w:numPr>
          <w:ilvl w:val="0"/>
          <w:numId w:val="34"/>
        </w:numPr>
        <w:spacing w:line="480" w:lineRule="auto"/>
        <w:rPr>
          <w:sz w:val="20"/>
          <w:szCs w:val="20"/>
        </w:rPr>
      </w:pPr>
      <w:r w:rsidRPr="000F7580">
        <w:rPr>
          <w:sz w:val="20"/>
          <w:szCs w:val="20"/>
        </w:rPr>
        <w:t xml:space="preserve">crest height was less than the </w:t>
      </w:r>
      <w:proofErr w:type="gramStart"/>
      <w:r w:rsidRPr="000F7580">
        <w:rPr>
          <w:sz w:val="20"/>
          <w:szCs w:val="20"/>
        </w:rPr>
        <w:t>10 year</w:t>
      </w:r>
      <w:proofErr w:type="gramEnd"/>
      <w:r w:rsidRPr="000F7580">
        <w:rPr>
          <w:sz w:val="20"/>
          <w:szCs w:val="20"/>
        </w:rPr>
        <w:t xml:space="preserve"> extreme sea level,</w:t>
      </w:r>
    </w:p>
    <w:p w14:paraId="5CCEF299" w14:textId="77777777" w:rsidR="000F7580" w:rsidRPr="000F7580" w:rsidRDefault="000F7580" w:rsidP="009F4B33">
      <w:pPr>
        <w:numPr>
          <w:ilvl w:val="0"/>
          <w:numId w:val="34"/>
        </w:numPr>
        <w:spacing w:line="480" w:lineRule="auto"/>
        <w:rPr>
          <w:sz w:val="20"/>
          <w:szCs w:val="20"/>
        </w:rPr>
      </w:pPr>
      <w:r w:rsidRPr="000F7580">
        <w:rPr>
          <w:sz w:val="20"/>
          <w:szCs w:val="20"/>
        </w:rPr>
        <w:t xml:space="preserve">toe level was more than the </w:t>
      </w:r>
      <w:proofErr w:type="gramStart"/>
      <w:r w:rsidRPr="000F7580">
        <w:rPr>
          <w:sz w:val="20"/>
          <w:szCs w:val="20"/>
        </w:rPr>
        <w:t>1 year</w:t>
      </w:r>
      <w:proofErr w:type="gramEnd"/>
      <w:r w:rsidRPr="000F7580">
        <w:rPr>
          <w:sz w:val="20"/>
          <w:szCs w:val="20"/>
        </w:rPr>
        <w:t xml:space="preserve"> extreme sea level minus 1m,</w:t>
      </w:r>
    </w:p>
    <w:p w14:paraId="0A3DC787" w14:textId="77777777" w:rsidR="000F7580" w:rsidRPr="000F7580" w:rsidRDefault="00F66A14" w:rsidP="009F4B33">
      <w:pPr>
        <w:numPr>
          <w:ilvl w:val="0"/>
          <w:numId w:val="34"/>
        </w:numPr>
        <w:spacing w:line="480" w:lineRule="auto"/>
        <w:rPr>
          <w:sz w:val="20"/>
          <w:szCs w:val="20"/>
        </w:rPr>
      </w:pPr>
      <w:r w:rsidRPr="000F7580">
        <w:rPr>
          <w:sz w:val="20"/>
          <w:szCs w:val="20"/>
        </w:rPr>
        <w:t xml:space="preserve">insufficient </w:t>
      </w:r>
      <w:r w:rsidR="000F7580" w:rsidRPr="000F7580">
        <w:rPr>
          <w:sz w:val="20"/>
          <w:szCs w:val="20"/>
        </w:rPr>
        <w:t xml:space="preserve">structure details </w:t>
      </w:r>
      <w:r>
        <w:rPr>
          <w:sz w:val="20"/>
          <w:szCs w:val="20"/>
        </w:rPr>
        <w:t xml:space="preserve">given </w:t>
      </w:r>
      <w:r w:rsidR="000F7580" w:rsidRPr="000F7580">
        <w:rPr>
          <w:sz w:val="20"/>
          <w:szCs w:val="20"/>
        </w:rPr>
        <w:t>in the AIMS database.</w:t>
      </w:r>
    </w:p>
    <w:p w14:paraId="7F1C47C0" w14:textId="77777777" w:rsidR="009F4B33" w:rsidRDefault="009F4B33" w:rsidP="000F7580">
      <w:pPr>
        <w:spacing w:line="480" w:lineRule="auto"/>
        <w:rPr>
          <w:sz w:val="20"/>
          <w:szCs w:val="20"/>
        </w:rPr>
      </w:pPr>
    </w:p>
    <w:p w14:paraId="7AF99C6A" w14:textId="77777777" w:rsidR="000F7580" w:rsidRDefault="000F7580" w:rsidP="000F7580">
      <w:pPr>
        <w:spacing w:line="480" w:lineRule="auto"/>
        <w:rPr>
          <w:sz w:val="20"/>
          <w:szCs w:val="20"/>
        </w:rPr>
      </w:pPr>
      <w:r w:rsidRPr="000F7580">
        <w:rPr>
          <w:sz w:val="20"/>
          <w:szCs w:val="20"/>
        </w:rPr>
        <w:t xml:space="preserve">To apply these rules, the extreme sea levels </w:t>
      </w:r>
      <w:r w:rsidR="00C05D3D">
        <w:rPr>
          <w:sz w:val="20"/>
          <w:szCs w:val="20"/>
        </w:rPr>
        <w:t xml:space="preserve">used </w:t>
      </w:r>
      <w:r w:rsidRPr="000F7580">
        <w:rPr>
          <w:sz w:val="20"/>
          <w:szCs w:val="20"/>
        </w:rPr>
        <w:t xml:space="preserve">were </w:t>
      </w:r>
      <w:r w:rsidR="00C05D3D">
        <w:rPr>
          <w:sz w:val="20"/>
          <w:szCs w:val="20"/>
        </w:rPr>
        <w:t xml:space="preserve">those </w:t>
      </w:r>
      <w:r w:rsidRPr="000F7580">
        <w:rPr>
          <w:sz w:val="20"/>
          <w:szCs w:val="20"/>
        </w:rPr>
        <w:t xml:space="preserve">published in the Coastal Flood Boundaries report, Environment Agency (2011).  </w:t>
      </w:r>
      <w:r w:rsidR="00C36C9C">
        <w:rPr>
          <w:sz w:val="20"/>
          <w:szCs w:val="20"/>
        </w:rPr>
        <w:t xml:space="preserve">The updated </w:t>
      </w:r>
      <w:r w:rsidR="00C36C9C" w:rsidRPr="000F7580">
        <w:rPr>
          <w:sz w:val="20"/>
          <w:szCs w:val="20"/>
        </w:rPr>
        <w:t>Coastal Flood Boundaries report, Environment Agency (201</w:t>
      </w:r>
      <w:r w:rsidR="00C36C9C">
        <w:rPr>
          <w:sz w:val="20"/>
          <w:szCs w:val="20"/>
        </w:rPr>
        <w:t>8</w:t>
      </w:r>
      <w:r w:rsidR="00C36C9C" w:rsidRPr="000F7580">
        <w:rPr>
          <w:sz w:val="20"/>
          <w:szCs w:val="20"/>
        </w:rPr>
        <w:t>)</w:t>
      </w:r>
      <w:r w:rsidR="00C36C9C">
        <w:rPr>
          <w:sz w:val="20"/>
          <w:szCs w:val="20"/>
        </w:rPr>
        <w:t xml:space="preserve"> was not used as it was not available when the original analysis was carried </w:t>
      </w:r>
      <w:proofErr w:type="gramStart"/>
      <w:r w:rsidR="00C36C9C">
        <w:rPr>
          <w:sz w:val="20"/>
          <w:szCs w:val="20"/>
        </w:rPr>
        <w:t>out, but</w:t>
      </w:r>
      <w:proofErr w:type="gramEnd"/>
      <w:r w:rsidR="00C36C9C">
        <w:rPr>
          <w:sz w:val="20"/>
          <w:szCs w:val="20"/>
        </w:rPr>
        <w:t xml:space="preserve"> would be expected to make no noticeable difference to the results.  </w:t>
      </w:r>
      <w:r w:rsidRPr="000F7580">
        <w:rPr>
          <w:sz w:val="20"/>
          <w:szCs w:val="20"/>
        </w:rPr>
        <w:t xml:space="preserve">These </w:t>
      </w:r>
      <w:r w:rsidR="00C05D3D">
        <w:rPr>
          <w:sz w:val="20"/>
          <w:szCs w:val="20"/>
        </w:rPr>
        <w:t xml:space="preserve">levels </w:t>
      </w:r>
      <w:r w:rsidRPr="000F7580">
        <w:rPr>
          <w:sz w:val="20"/>
          <w:szCs w:val="20"/>
        </w:rPr>
        <w:t xml:space="preserve">were updated to the present </w:t>
      </w:r>
      <w:r w:rsidR="00C05D3D">
        <w:rPr>
          <w:sz w:val="20"/>
          <w:szCs w:val="20"/>
        </w:rPr>
        <w:t xml:space="preserve">day </w:t>
      </w:r>
      <w:r w:rsidRPr="000F7580">
        <w:rPr>
          <w:sz w:val="20"/>
          <w:szCs w:val="20"/>
        </w:rPr>
        <w:t xml:space="preserve">to account for changes in mean sea levels and localised isostatic rebound rates </w:t>
      </w:r>
      <w:r w:rsidR="00C05D3D" w:rsidRPr="00C05D3D">
        <w:rPr>
          <w:sz w:val="20"/>
          <w:szCs w:val="20"/>
        </w:rPr>
        <w:t>using the approach</w:t>
      </w:r>
      <w:r w:rsidRPr="000F7580">
        <w:rPr>
          <w:sz w:val="20"/>
          <w:szCs w:val="20"/>
        </w:rPr>
        <w:t xml:space="preserve"> outlined in HR Wallingford (2015).  This resulted in 592 </w:t>
      </w:r>
      <w:r w:rsidR="00B3406C">
        <w:rPr>
          <w:sz w:val="20"/>
          <w:szCs w:val="20"/>
        </w:rPr>
        <w:t xml:space="preserve">sea </w:t>
      </w:r>
      <w:r w:rsidRPr="000F7580">
        <w:rPr>
          <w:sz w:val="20"/>
          <w:szCs w:val="20"/>
        </w:rPr>
        <w:t>defence structures to assess</w:t>
      </w:r>
      <w:r w:rsidR="00B02A85">
        <w:rPr>
          <w:sz w:val="20"/>
          <w:szCs w:val="20"/>
        </w:rPr>
        <w:t>, the location of which are shown in Figure 1</w:t>
      </w:r>
      <w:r w:rsidR="00C05D3D">
        <w:rPr>
          <w:sz w:val="20"/>
          <w:szCs w:val="20"/>
        </w:rPr>
        <w:t xml:space="preserve">.  Based on the </w:t>
      </w:r>
      <w:r w:rsidR="00C05D3D" w:rsidRPr="00C05D3D">
        <w:rPr>
          <w:sz w:val="20"/>
          <w:szCs w:val="20"/>
        </w:rPr>
        <w:t>categ</w:t>
      </w:r>
      <w:r w:rsidR="00C05D3D">
        <w:rPr>
          <w:sz w:val="20"/>
          <w:szCs w:val="20"/>
        </w:rPr>
        <w:t xml:space="preserve">orisation system of </w:t>
      </w:r>
      <w:r w:rsidR="00C05D3D" w:rsidRPr="00C05D3D">
        <w:rPr>
          <w:sz w:val="20"/>
          <w:szCs w:val="20"/>
        </w:rPr>
        <w:t xml:space="preserve">Hall </w:t>
      </w:r>
      <w:r w:rsidR="00C05D3D" w:rsidRPr="00821BEE">
        <w:rPr>
          <w:i/>
          <w:sz w:val="20"/>
          <w:szCs w:val="20"/>
        </w:rPr>
        <w:t>et al.</w:t>
      </w:r>
      <w:r w:rsidR="00C05D3D" w:rsidRPr="00C05D3D">
        <w:rPr>
          <w:sz w:val="20"/>
          <w:szCs w:val="20"/>
        </w:rPr>
        <w:t xml:space="preserve">, </w:t>
      </w:r>
      <w:r w:rsidR="00127855">
        <w:rPr>
          <w:sz w:val="20"/>
          <w:szCs w:val="20"/>
        </w:rPr>
        <w:t>(</w:t>
      </w:r>
      <w:r w:rsidR="00C05D3D" w:rsidRPr="00C05D3D">
        <w:rPr>
          <w:sz w:val="20"/>
          <w:szCs w:val="20"/>
        </w:rPr>
        <w:t>2003</w:t>
      </w:r>
      <w:r w:rsidR="00127855">
        <w:rPr>
          <w:sz w:val="20"/>
          <w:szCs w:val="20"/>
        </w:rPr>
        <w:t>)</w:t>
      </w:r>
      <w:r w:rsidR="00C05D3D" w:rsidRPr="00C05D3D">
        <w:rPr>
          <w:sz w:val="20"/>
          <w:szCs w:val="20"/>
        </w:rPr>
        <w:t xml:space="preserve"> and HR Wallingford, </w:t>
      </w:r>
      <w:r w:rsidR="00127855">
        <w:rPr>
          <w:sz w:val="20"/>
          <w:szCs w:val="20"/>
        </w:rPr>
        <w:t xml:space="preserve">(2004), this gave </w:t>
      </w:r>
      <w:r w:rsidRPr="000F7580">
        <w:rPr>
          <w:sz w:val="20"/>
          <w:szCs w:val="20"/>
        </w:rPr>
        <w:t xml:space="preserve">288 </w:t>
      </w:r>
      <w:r w:rsidR="00B3406C">
        <w:rPr>
          <w:sz w:val="20"/>
          <w:szCs w:val="20"/>
        </w:rPr>
        <w:t xml:space="preserve">sea </w:t>
      </w:r>
      <w:r w:rsidR="00127855">
        <w:rPr>
          <w:sz w:val="20"/>
          <w:szCs w:val="20"/>
        </w:rPr>
        <w:t>defence</w:t>
      </w:r>
      <w:r w:rsidR="00B3406C">
        <w:rPr>
          <w:sz w:val="20"/>
          <w:szCs w:val="20"/>
        </w:rPr>
        <w:t xml:space="preserve"> structure</w:t>
      </w:r>
      <w:r w:rsidR="00127855">
        <w:rPr>
          <w:sz w:val="20"/>
          <w:szCs w:val="20"/>
        </w:rPr>
        <w:t xml:space="preserve">s </w:t>
      </w:r>
      <w:r w:rsidRPr="000F7580">
        <w:rPr>
          <w:sz w:val="20"/>
          <w:szCs w:val="20"/>
        </w:rPr>
        <w:t>classified as a sloping revetment, 2</w:t>
      </w:r>
      <w:r w:rsidR="00C809E4">
        <w:rPr>
          <w:sz w:val="20"/>
          <w:szCs w:val="20"/>
        </w:rPr>
        <w:t>70</w:t>
      </w:r>
      <w:r w:rsidRPr="000F7580">
        <w:rPr>
          <w:sz w:val="20"/>
          <w:szCs w:val="20"/>
        </w:rPr>
        <w:t xml:space="preserve"> as a vertical wall and 34 as a shingle beach.  </w:t>
      </w:r>
      <w:r w:rsidR="004C4293">
        <w:rPr>
          <w:sz w:val="20"/>
          <w:szCs w:val="20"/>
        </w:rPr>
        <w:t xml:space="preserve">The large number of assets removed was mainly due to high asset toe levels, a significant number of which were classified as shingle beaches. </w:t>
      </w:r>
    </w:p>
    <w:p w14:paraId="54F27E86" w14:textId="6ACF51DA" w:rsidR="009F4B33" w:rsidRDefault="00F46671" w:rsidP="002446A5">
      <w:pPr>
        <w:tabs>
          <w:tab w:val="left" w:pos="7320"/>
        </w:tabs>
        <w:spacing w:line="480" w:lineRule="auto"/>
        <w:rPr>
          <w:sz w:val="20"/>
          <w:szCs w:val="20"/>
        </w:rPr>
      </w:pPr>
      <w:r>
        <w:rPr>
          <w:sz w:val="20"/>
          <w:szCs w:val="20"/>
        </w:rPr>
        <w:t xml:space="preserve"> </w:t>
      </w:r>
      <w:r w:rsidR="002446A5">
        <w:rPr>
          <w:sz w:val="20"/>
          <w:szCs w:val="20"/>
        </w:rPr>
        <w:t xml:space="preserve"> </w:t>
      </w:r>
      <w:r w:rsidR="00290276">
        <w:rPr>
          <w:noProof/>
          <w:sz w:val="20"/>
          <w:szCs w:val="20"/>
        </w:rPr>
        <w:drawing>
          <wp:inline distT="0" distB="0" distL="0" distR="0" wp14:anchorId="398032CC" wp14:editId="439867BC">
            <wp:extent cx="1713600" cy="2034000"/>
            <wp:effectExtent l="0" t="0" r="127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600" cy="2034000"/>
                    </a:xfrm>
                    <a:prstGeom prst="rect">
                      <a:avLst/>
                    </a:prstGeom>
                    <a:noFill/>
                  </pic:spPr>
                </pic:pic>
              </a:graphicData>
            </a:graphic>
          </wp:inline>
        </w:drawing>
      </w:r>
      <w:r w:rsidR="00290276">
        <w:rPr>
          <w:sz w:val="20"/>
          <w:szCs w:val="20"/>
        </w:rPr>
        <w:t xml:space="preserve"> </w:t>
      </w:r>
      <w:r w:rsidR="00290276">
        <w:rPr>
          <w:noProof/>
          <w:sz w:val="20"/>
          <w:szCs w:val="20"/>
        </w:rPr>
        <w:drawing>
          <wp:inline distT="0" distB="0" distL="0" distR="0" wp14:anchorId="3421206F" wp14:editId="045F0D58">
            <wp:extent cx="1713600" cy="2034000"/>
            <wp:effectExtent l="0" t="0" r="127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3600" cy="2034000"/>
                    </a:xfrm>
                    <a:prstGeom prst="rect">
                      <a:avLst/>
                    </a:prstGeom>
                    <a:noFill/>
                  </pic:spPr>
                </pic:pic>
              </a:graphicData>
            </a:graphic>
          </wp:inline>
        </w:drawing>
      </w:r>
      <w:r w:rsidR="00290276">
        <w:rPr>
          <w:sz w:val="20"/>
          <w:szCs w:val="20"/>
        </w:rPr>
        <w:t xml:space="preserve"> </w:t>
      </w:r>
      <w:r w:rsidR="00290276">
        <w:rPr>
          <w:noProof/>
          <w:sz w:val="20"/>
          <w:szCs w:val="20"/>
        </w:rPr>
        <w:drawing>
          <wp:inline distT="0" distB="0" distL="0" distR="0" wp14:anchorId="6E476B7F" wp14:editId="2DF42E9B">
            <wp:extent cx="1713600" cy="2034000"/>
            <wp:effectExtent l="0" t="0" r="127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3600" cy="2034000"/>
                    </a:xfrm>
                    <a:prstGeom prst="rect">
                      <a:avLst/>
                    </a:prstGeom>
                    <a:noFill/>
                  </pic:spPr>
                </pic:pic>
              </a:graphicData>
            </a:graphic>
          </wp:inline>
        </w:drawing>
      </w:r>
    </w:p>
    <w:p w14:paraId="0D143481" w14:textId="77777777" w:rsidR="00290276" w:rsidRPr="00A442E4" w:rsidRDefault="00290276" w:rsidP="00290276">
      <w:pPr>
        <w:spacing w:line="360" w:lineRule="auto"/>
        <w:outlineLvl w:val="0"/>
        <w:rPr>
          <w:sz w:val="20"/>
          <w:szCs w:val="20"/>
        </w:rPr>
      </w:pPr>
      <w:r w:rsidRPr="00A442E4">
        <w:rPr>
          <w:sz w:val="20"/>
          <w:szCs w:val="20"/>
        </w:rPr>
        <w:lastRenderedPageBreak/>
        <w:t xml:space="preserve">Figure </w:t>
      </w:r>
      <w:r>
        <w:rPr>
          <w:sz w:val="20"/>
          <w:szCs w:val="20"/>
        </w:rPr>
        <w:t>1</w:t>
      </w:r>
      <w:r w:rsidRPr="00A442E4">
        <w:rPr>
          <w:sz w:val="20"/>
          <w:szCs w:val="20"/>
        </w:rPr>
        <w:t xml:space="preserve">. </w:t>
      </w:r>
      <w:r>
        <w:rPr>
          <w:sz w:val="20"/>
          <w:szCs w:val="20"/>
        </w:rPr>
        <w:t>Location of sea defence structures assessed in this paper.</w:t>
      </w:r>
    </w:p>
    <w:p w14:paraId="16D65A1B" w14:textId="77777777" w:rsidR="002446A5" w:rsidRPr="000F7580" w:rsidRDefault="002446A5" w:rsidP="002446A5">
      <w:pPr>
        <w:tabs>
          <w:tab w:val="left" w:pos="7320"/>
        </w:tabs>
        <w:spacing w:line="480" w:lineRule="auto"/>
        <w:rPr>
          <w:sz w:val="20"/>
          <w:szCs w:val="20"/>
        </w:rPr>
      </w:pPr>
    </w:p>
    <w:p w14:paraId="75ECC9CC" w14:textId="77777777" w:rsidR="000F7580" w:rsidRPr="009F4B33" w:rsidRDefault="000F7580" w:rsidP="000F7580">
      <w:pPr>
        <w:spacing w:line="480" w:lineRule="auto"/>
        <w:rPr>
          <w:b/>
          <w:sz w:val="20"/>
          <w:szCs w:val="20"/>
        </w:rPr>
      </w:pPr>
      <w:r w:rsidRPr="009F4B33">
        <w:rPr>
          <w:b/>
          <w:sz w:val="20"/>
          <w:szCs w:val="20"/>
        </w:rPr>
        <w:t>2.3</w:t>
      </w:r>
      <w:r w:rsidR="009F4B33" w:rsidRPr="009F4B33">
        <w:rPr>
          <w:b/>
          <w:sz w:val="20"/>
          <w:szCs w:val="20"/>
        </w:rPr>
        <w:t xml:space="preserve"> </w:t>
      </w:r>
      <w:r w:rsidR="00127855">
        <w:rPr>
          <w:b/>
          <w:sz w:val="20"/>
          <w:szCs w:val="20"/>
        </w:rPr>
        <w:t>Nearshore multivariate extreme data sets</w:t>
      </w:r>
    </w:p>
    <w:p w14:paraId="18067F43" w14:textId="77777777" w:rsidR="000F7580" w:rsidRPr="000F7580" w:rsidRDefault="000F7580" w:rsidP="000F7580">
      <w:pPr>
        <w:spacing w:line="480" w:lineRule="auto"/>
        <w:rPr>
          <w:sz w:val="20"/>
          <w:szCs w:val="20"/>
        </w:rPr>
      </w:pPr>
      <w:r w:rsidRPr="000F7580">
        <w:rPr>
          <w:sz w:val="20"/>
          <w:szCs w:val="20"/>
        </w:rPr>
        <w:t xml:space="preserve">The baseline </w:t>
      </w:r>
      <w:r w:rsidR="00127855" w:rsidRPr="00127855">
        <w:rPr>
          <w:sz w:val="20"/>
          <w:szCs w:val="20"/>
        </w:rPr>
        <w:t xml:space="preserve">extreme </w:t>
      </w:r>
      <w:r w:rsidRPr="000F7580">
        <w:rPr>
          <w:sz w:val="20"/>
          <w:szCs w:val="20"/>
        </w:rPr>
        <w:t xml:space="preserve">wave and sea-level dataset </w:t>
      </w:r>
      <w:r w:rsidR="00127855" w:rsidRPr="00127855">
        <w:rPr>
          <w:sz w:val="20"/>
          <w:szCs w:val="20"/>
        </w:rPr>
        <w:t xml:space="preserve">used in this analysis </w:t>
      </w:r>
      <w:r w:rsidRPr="000F7580">
        <w:rPr>
          <w:sz w:val="20"/>
          <w:szCs w:val="20"/>
        </w:rPr>
        <w:t xml:space="preserve">comprised </w:t>
      </w:r>
      <w:r w:rsidR="00C809E4">
        <w:rPr>
          <w:sz w:val="20"/>
          <w:szCs w:val="20"/>
        </w:rPr>
        <w:t>a 10,000-</w:t>
      </w:r>
      <w:r w:rsidRPr="000F7580">
        <w:rPr>
          <w:sz w:val="20"/>
          <w:szCs w:val="20"/>
        </w:rPr>
        <w:t>year</w:t>
      </w:r>
      <w:r w:rsidR="00C809E4">
        <w:rPr>
          <w:sz w:val="20"/>
          <w:szCs w:val="20"/>
        </w:rPr>
        <w:t xml:space="preserve"> </w:t>
      </w:r>
      <w:r w:rsidRPr="000F7580">
        <w:rPr>
          <w:sz w:val="20"/>
          <w:szCs w:val="20"/>
        </w:rPr>
        <w:t>s</w:t>
      </w:r>
      <w:r w:rsidR="00C809E4">
        <w:rPr>
          <w:sz w:val="20"/>
          <w:szCs w:val="20"/>
        </w:rPr>
        <w:t xml:space="preserve">ample </w:t>
      </w:r>
      <w:r w:rsidRPr="000F7580">
        <w:rPr>
          <w:sz w:val="20"/>
          <w:szCs w:val="20"/>
        </w:rPr>
        <w:t xml:space="preserve">of </w:t>
      </w:r>
      <w:r w:rsidR="00C809E4">
        <w:rPr>
          <w:sz w:val="20"/>
          <w:szCs w:val="20"/>
        </w:rPr>
        <w:t xml:space="preserve">present-day </w:t>
      </w:r>
      <w:r w:rsidRPr="000F7580">
        <w:rPr>
          <w:sz w:val="20"/>
          <w:szCs w:val="20"/>
        </w:rPr>
        <w:t xml:space="preserve">stochastically simulated wave and sea level conditions at </w:t>
      </w:r>
      <w:proofErr w:type="gramStart"/>
      <w:r w:rsidRPr="000F7580">
        <w:rPr>
          <w:sz w:val="20"/>
          <w:szCs w:val="20"/>
        </w:rPr>
        <w:t>a number of</w:t>
      </w:r>
      <w:proofErr w:type="gramEnd"/>
      <w:r w:rsidRPr="000F7580">
        <w:rPr>
          <w:sz w:val="20"/>
          <w:szCs w:val="20"/>
        </w:rPr>
        <w:t xml:space="preserve"> offshore points around the English coastline.  These baseline datasets were generated </w:t>
      </w:r>
      <w:r w:rsidR="00127855" w:rsidRPr="00127855">
        <w:rPr>
          <w:sz w:val="20"/>
          <w:szCs w:val="20"/>
        </w:rPr>
        <w:t>through the application of a multivariate extreme value model to offshore data</w:t>
      </w:r>
      <w:r w:rsidR="00127855">
        <w:rPr>
          <w:sz w:val="20"/>
          <w:szCs w:val="20"/>
        </w:rPr>
        <w:t xml:space="preserve"> based on </w:t>
      </w:r>
      <w:r w:rsidRPr="000F7580">
        <w:rPr>
          <w:sz w:val="20"/>
          <w:szCs w:val="20"/>
        </w:rPr>
        <w:t xml:space="preserve">Met. Office 8km </w:t>
      </w:r>
      <w:proofErr w:type="spellStart"/>
      <w:r w:rsidRPr="000F7580">
        <w:rPr>
          <w:sz w:val="20"/>
          <w:szCs w:val="20"/>
        </w:rPr>
        <w:t>WaveWatch</w:t>
      </w:r>
      <w:proofErr w:type="spellEnd"/>
      <w:r w:rsidRPr="000F7580">
        <w:rPr>
          <w:sz w:val="20"/>
          <w:szCs w:val="20"/>
        </w:rPr>
        <w:t xml:space="preserve"> III hindcast data and a combination of tide gauge data from the UK National Tide Gauge Network and the Environment </w:t>
      </w:r>
      <w:proofErr w:type="gramStart"/>
      <w:r w:rsidRPr="000F7580">
        <w:rPr>
          <w:sz w:val="20"/>
          <w:szCs w:val="20"/>
        </w:rPr>
        <w:t>Agency .</w:t>
      </w:r>
      <w:proofErr w:type="gramEnd"/>
      <w:r w:rsidRPr="000F7580">
        <w:rPr>
          <w:sz w:val="20"/>
          <w:szCs w:val="20"/>
        </w:rPr>
        <w:t xml:space="preserve">  Accounting for seabed bathymetry, these conditions were then transformed </w:t>
      </w:r>
      <w:r w:rsidR="00127855">
        <w:rPr>
          <w:sz w:val="20"/>
          <w:szCs w:val="20"/>
        </w:rPr>
        <w:t xml:space="preserve">to the </w:t>
      </w:r>
      <w:r w:rsidRPr="000F7580">
        <w:rPr>
          <w:sz w:val="20"/>
          <w:szCs w:val="20"/>
        </w:rPr>
        <w:t xml:space="preserve">nearshore across several wave model grids covering the entire English coastline using the SWAN wave model, </w:t>
      </w:r>
      <w:proofErr w:type="spellStart"/>
      <w:r w:rsidRPr="000F7580">
        <w:rPr>
          <w:sz w:val="20"/>
          <w:szCs w:val="20"/>
        </w:rPr>
        <w:t>Booij</w:t>
      </w:r>
      <w:proofErr w:type="spellEnd"/>
      <w:r w:rsidRPr="000F7580">
        <w:rPr>
          <w:sz w:val="20"/>
          <w:szCs w:val="20"/>
        </w:rPr>
        <w:t xml:space="preserve"> </w:t>
      </w:r>
      <w:r w:rsidRPr="00EA1ED6">
        <w:rPr>
          <w:i/>
          <w:sz w:val="20"/>
          <w:szCs w:val="20"/>
        </w:rPr>
        <w:t xml:space="preserve">et </w:t>
      </w:r>
      <w:r w:rsidR="00EA1ED6">
        <w:rPr>
          <w:i/>
          <w:sz w:val="20"/>
          <w:szCs w:val="20"/>
        </w:rPr>
        <w:t>a</w:t>
      </w:r>
      <w:r w:rsidRPr="00EA1ED6">
        <w:rPr>
          <w:i/>
          <w:sz w:val="20"/>
          <w:szCs w:val="20"/>
        </w:rPr>
        <w:t>l.</w:t>
      </w:r>
      <w:r w:rsidRPr="000F7580">
        <w:rPr>
          <w:sz w:val="20"/>
          <w:szCs w:val="20"/>
        </w:rPr>
        <w:t xml:space="preserve">, 1999.  This was done taking account of the spatial variation in the nearshore </w:t>
      </w:r>
      <w:r w:rsidR="00EA1ED6">
        <w:rPr>
          <w:sz w:val="20"/>
          <w:szCs w:val="20"/>
        </w:rPr>
        <w:t>sea</w:t>
      </w:r>
      <w:r w:rsidRPr="000F7580">
        <w:rPr>
          <w:sz w:val="20"/>
          <w:szCs w:val="20"/>
        </w:rPr>
        <w:t xml:space="preserve"> levels</w:t>
      </w:r>
      <w:r w:rsidR="00127855">
        <w:rPr>
          <w:sz w:val="20"/>
          <w:szCs w:val="20"/>
        </w:rPr>
        <w:t xml:space="preserve"> within each model grid</w:t>
      </w:r>
      <w:r w:rsidRPr="000F7580">
        <w:rPr>
          <w:sz w:val="20"/>
          <w:szCs w:val="20"/>
        </w:rPr>
        <w:t xml:space="preserve">.  This resulted in the region of 2,500 nearshore predictions </w:t>
      </w:r>
      <w:r w:rsidR="00127855">
        <w:rPr>
          <w:sz w:val="20"/>
          <w:szCs w:val="20"/>
        </w:rPr>
        <w:t xml:space="preserve">points </w:t>
      </w:r>
      <w:r w:rsidRPr="000F7580">
        <w:rPr>
          <w:sz w:val="20"/>
          <w:szCs w:val="20"/>
        </w:rPr>
        <w:t>of wave and sea level conditions at 1km spacing</w:t>
      </w:r>
      <w:r w:rsidR="00127855">
        <w:rPr>
          <w:sz w:val="20"/>
          <w:szCs w:val="20"/>
        </w:rPr>
        <w:t xml:space="preserve">.  </w:t>
      </w:r>
      <w:proofErr w:type="gramStart"/>
      <w:r w:rsidR="00127855">
        <w:rPr>
          <w:sz w:val="20"/>
          <w:szCs w:val="20"/>
        </w:rPr>
        <w:t>Typically</w:t>
      </w:r>
      <w:proofErr w:type="gramEnd"/>
      <w:r w:rsidR="00127855">
        <w:rPr>
          <w:sz w:val="20"/>
          <w:szCs w:val="20"/>
        </w:rPr>
        <w:t xml:space="preserve"> the nearshore points were located </w:t>
      </w:r>
      <w:r w:rsidRPr="000F7580">
        <w:rPr>
          <w:sz w:val="20"/>
          <w:szCs w:val="20"/>
        </w:rPr>
        <w:t>at the -5mAOD sea bed con</w:t>
      </w:r>
      <w:r w:rsidR="00EA1ED6">
        <w:rPr>
          <w:sz w:val="20"/>
          <w:szCs w:val="20"/>
        </w:rPr>
        <w:t>tour</w:t>
      </w:r>
      <w:r w:rsidRPr="000F7580">
        <w:rPr>
          <w:sz w:val="20"/>
          <w:szCs w:val="20"/>
        </w:rPr>
        <w:t xml:space="preserve">, although a higher level was used if this was considered too far offshore.  This methodology is outlined in detail in HR Wallingford (2015) and Gouldby </w:t>
      </w:r>
      <w:r w:rsidRPr="004D22C4">
        <w:rPr>
          <w:i/>
          <w:sz w:val="20"/>
          <w:szCs w:val="20"/>
        </w:rPr>
        <w:t>et al.</w:t>
      </w:r>
      <w:r w:rsidRPr="000F7580">
        <w:rPr>
          <w:sz w:val="20"/>
          <w:szCs w:val="20"/>
        </w:rPr>
        <w:t>, (2017).</w:t>
      </w:r>
    </w:p>
    <w:p w14:paraId="4C4CF366" w14:textId="77777777" w:rsidR="009F4B33" w:rsidRDefault="009F4B33" w:rsidP="000F7580">
      <w:pPr>
        <w:spacing w:line="480" w:lineRule="auto"/>
        <w:rPr>
          <w:sz w:val="20"/>
          <w:szCs w:val="20"/>
        </w:rPr>
      </w:pPr>
    </w:p>
    <w:p w14:paraId="3F226386" w14:textId="77777777" w:rsidR="000F7580" w:rsidRPr="000F7580" w:rsidRDefault="000F7580" w:rsidP="000F7580">
      <w:pPr>
        <w:spacing w:line="480" w:lineRule="auto"/>
        <w:rPr>
          <w:sz w:val="20"/>
          <w:szCs w:val="20"/>
        </w:rPr>
      </w:pPr>
      <w:r w:rsidRPr="000F7580">
        <w:rPr>
          <w:sz w:val="20"/>
          <w:szCs w:val="20"/>
        </w:rPr>
        <w:t xml:space="preserve">As the requirement for this paper was to replicate methods that are typically implemented by the industry in practice, wave conditions were therefore transformed to the individual structure toes using the methodology proposed by </w:t>
      </w:r>
      <w:proofErr w:type="spellStart"/>
      <w:r w:rsidRPr="000F7580">
        <w:rPr>
          <w:sz w:val="20"/>
          <w:szCs w:val="20"/>
        </w:rPr>
        <w:t>Goda</w:t>
      </w:r>
      <w:proofErr w:type="spellEnd"/>
      <w:r w:rsidRPr="000F7580">
        <w:rPr>
          <w:sz w:val="20"/>
          <w:szCs w:val="20"/>
        </w:rPr>
        <w:t xml:space="preserve"> (2010)</w:t>
      </w:r>
      <w:r w:rsidR="00B632CE">
        <w:rPr>
          <w:sz w:val="20"/>
          <w:szCs w:val="20"/>
        </w:rPr>
        <w:t>, based on the nearest nearshore prediction point</w:t>
      </w:r>
      <w:r w:rsidRPr="000F7580">
        <w:rPr>
          <w:sz w:val="20"/>
          <w:szCs w:val="20"/>
        </w:rPr>
        <w:t xml:space="preserve">.  Nearshore beach slopes for use in the nearshore wave modelling were based on the average beach slope in front of the </w:t>
      </w:r>
      <w:r w:rsidR="00127855">
        <w:rPr>
          <w:sz w:val="20"/>
          <w:szCs w:val="20"/>
        </w:rPr>
        <w:t xml:space="preserve">structure </w:t>
      </w:r>
      <w:r w:rsidRPr="000F7580">
        <w:rPr>
          <w:sz w:val="20"/>
          <w:szCs w:val="20"/>
        </w:rPr>
        <w:t xml:space="preserve">toe over a distance approximately equal to one wavelength in this region.  The process of evaluating nearshore beach profiles and the location of individual structure toes is outlined in HR Wallingford (2015). </w:t>
      </w:r>
    </w:p>
    <w:p w14:paraId="2550F2DC" w14:textId="77777777" w:rsidR="009F4B33" w:rsidRDefault="009F4B33" w:rsidP="000F7580">
      <w:pPr>
        <w:spacing w:line="480" w:lineRule="auto"/>
        <w:rPr>
          <w:sz w:val="20"/>
          <w:szCs w:val="20"/>
        </w:rPr>
      </w:pPr>
    </w:p>
    <w:p w14:paraId="2D8199F8" w14:textId="77777777" w:rsidR="000F7580" w:rsidRPr="000F7580" w:rsidRDefault="00127855" w:rsidP="000F7580">
      <w:pPr>
        <w:spacing w:line="480" w:lineRule="auto"/>
        <w:rPr>
          <w:sz w:val="20"/>
          <w:szCs w:val="20"/>
        </w:rPr>
      </w:pPr>
      <w:r w:rsidRPr="00127855">
        <w:rPr>
          <w:sz w:val="20"/>
          <w:szCs w:val="20"/>
        </w:rPr>
        <w:t>The output of this analysis</w:t>
      </w:r>
      <w:r w:rsidR="000F7580" w:rsidRPr="000F7580">
        <w:rPr>
          <w:sz w:val="20"/>
          <w:szCs w:val="20"/>
        </w:rPr>
        <w:t xml:space="preserve"> gave a robust set of the equivalent of 10,000 years of wave and sea level conditions </w:t>
      </w:r>
      <w:r>
        <w:rPr>
          <w:sz w:val="20"/>
          <w:szCs w:val="20"/>
        </w:rPr>
        <w:t>a</w:t>
      </w:r>
      <w:r w:rsidR="000F7580" w:rsidRPr="000F7580">
        <w:rPr>
          <w:sz w:val="20"/>
          <w:szCs w:val="20"/>
        </w:rPr>
        <w:t xml:space="preserve">t </w:t>
      </w:r>
      <w:r>
        <w:rPr>
          <w:sz w:val="20"/>
          <w:szCs w:val="20"/>
        </w:rPr>
        <w:t xml:space="preserve">each of the </w:t>
      </w:r>
      <w:r w:rsidR="000F7580" w:rsidRPr="000F7580">
        <w:rPr>
          <w:sz w:val="20"/>
          <w:szCs w:val="20"/>
        </w:rPr>
        <w:t>592 structures considered in this paper.  From these</w:t>
      </w:r>
      <w:r w:rsidR="009E74EE">
        <w:rPr>
          <w:sz w:val="20"/>
          <w:szCs w:val="20"/>
        </w:rPr>
        <w:t xml:space="preserve"> data</w:t>
      </w:r>
      <w:r w:rsidR="000F7580" w:rsidRPr="000F7580">
        <w:rPr>
          <w:sz w:val="20"/>
          <w:szCs w:val="20"/>
        </w:rPr>
        <w:t xml:space="preserve">, the different </w:t>
      </w:r>
      <w:r w:rsidR="00EF06DB">
        <w:rPr>
          <w:sz w:val="20"/>
          <w:szCs w:val="20"/>
        </w:rPr>
        <w:t>joint exceedance</w:t>
      </w:r>
      <w:r w:rsidR="000F7580" w:rsidRPr="000F7580">
        <w:rPr>
          <w:sz w:val="20"/>
          <w:szCs w:val="20"/>
        </w:rPr>
        <w:t xml:space="preserve"> curves were determined for a range of return periods, with the response of interest set as the largest response from all combinations of wave and sea level </w:t>
      </w:r>
      <w:r w:rsidR="000F7580" w:rsidRPr="000F7580">
        <w:rPr>
          <w:sz w:val="20"/>
          <w:szCs w:val="20"/>
        </w:rPr>
        <w:lastRenderedPageBreak/>
        <w:t xml:space="preserve">conditions along these curves.  For the RV approach, the responses were determined for all combinations of wave and sea level conditions, with the response for the required return period determined by a countback of the ranked response variables.  This process is outlined in Hames </w:t>
      </w:r>
      <w:r w:rsidR="000F7580" w:rsidRPr="004D22C4">
        <w:rPr>
          <w:i/>
          <w:sz w:val="20"/>
          <w:szCs w:val="20"/>
        </w:rPr>
        <w:t>et al.</w:t>
      </w:r>
      <w:r w:rsidR="000F7580" w:rsidRPr="000F7580">
        <w:rPr>
          <w:sz w:val="20"/>
          <w:szCs w:val="20"/>
        </w:rPr>
        <w:t>, (201</w:t>
      </w:r>
      <w:r w:rsidR="005F2745">
        <w:rPr>
          <w:sz w:val="20"/>
          <w:szCs w:val="20"/>
        </w:rPr>
        <w:t>9</w:t>
      </w:r>
      <w:r w:rsidR="000F7580" w:rsidRPr="000F7580">
        <w:rPr>
          <w:sz w:val="20"/>
          <w:szCs w:val="20"/>
        </w:rPr>
        <w:t>).</w:t>
      </w:r>
    </w:p>
    <w:p w14:paraId="5FFC93D6" w14:textId="77777777" w:rsidR="000F7580" w:rsidRPr="000F7580" w:rsidRDefault="000F7580" w:rsidP="000F7580">
      <w:pPr>
        <w:spacing w:line="480" w:lineRule="auto"/>
        <w:rPr>
          <w:sz w:val="20"/>
          <w:szCs w:val="20"/>
        </w:rPr>
      </w:pPr>
    </w:p>
    <w:p w14:paraId="77C0634A" w14:textId="77777777" w:rsidR="000F7580" w:rsidRPr="009F4B33" w:rsidRDefault="009F4B33" w:rsidP="000F7580">
      <w:pPr>
        <w:spacing w:line="480" w:lineRule="auto"/>
        <w:rPr>
          <w:b/>
          <w:sz w:val="20"/>
          <w:szCs w:val="20"/>
        </w:rPr>
      </w:pPr>
      <w:r w:rsidRPr="009F4B33">
        <w:rPr>
          <w:b/>
          <w:sz w:val="20"/>
          <w:szCs w:val="20"/>
        </w:rPr>
        <w:t xml:space="preserve">3. </w:t>
      </w:r>
      <w:r w:rsidR="000F7580" w:rsidRPr="009F4B33">
        <w:rPr>
          <w:b/>
          <w:sz w:val="20"/>
          <w:szCs w:val="20"/>
        </w:rPr>
        <w:t>Response variables and functions assessed</w:t>
      </w:r>
    </w:p>
    <w:p w14:paraId="2AADF2F6" w14:textId="77777777" w:rsidR="000F7580" w:rsidRPr="009F4B33" w:rsidRDefault="009F4B33" w:rsidP="000F7580">
      <w:pPr>
        <w:spacing w:line="480" w:lineRule="auto"/>
        <w:rPr>
          <w:b/>
          <w:i/>
          <w:sz w:val="20"/>
          <w:szCs w:val="20"/>
        </w:rPr>
      </w:pPr>
      <w:r w:rsidRPr="009F4B33">
        <w:rPr>
          <w:b/>
          <w:i/>
          <w:sz w:val="20"/>
          <w:szCs w:val="20"/>
        </w:rPr>
        <w:t xml:space="preserve">3.1 </w:t>
      </w:r>
      <w:r w:rsidR="002D2004">
        <w:rPr>
          <w:b/>
          <w:i/>
          <w:sz w:val="20"/>
          <w:szCs w:val="20"/>
        </w:rPr>
        <w:t>Response variables</w:t>
      </w:r>
    </w:p>
    <w:p w14:paraId="6E4EA28D" w14:textId="77777777" w:rsidR="000F7580" w:rsidRPr="000F7580" w:rsidRDefault="009E74EE" w:rsidP="000F7580">
      <w:pPr>
        <w:spacing w:line="480" w:lineRule="auto"/>
        <w:rPr>
          <w:sz w:val="20"/>
          <w:szCs w:val="20"/>
        </w:rPr>
      </w:pPr>
      <w:r>
        <w:rPr>
          <w:sz w:val="20"/>
          <w:szCs w:val="20"/>
        </w:rPr>
        <w:t xml:space="preserve">In this analysis, </w:t>
      </w:r>
      <w:r w:rsidR="000F7580" w:rsidRPr="000F7580">
        <w:rPr>
          <w:sz w:val="20"/>
          <w:szCs w:val="20"/>
        </w:rPr>
        <w:t xml:space="preserve">three response variables </w:t>
      </w:r>
      <w:r w:rsidR="002D2004">
        <w:rPr>
          <w:sz w:val="20"/>
          <w:szCs w:val="20"/>
        </w:rPr>
        <w:t>were</w:t>
      </w:r>
      <w:r w:rsidR="000F7580" w:rsidRPr="000F7580">
        <w:rPr>
          <w:sz w:val="20"/>
          <w:szCs w:val="20"/>
        </w:rPr>
        <w:t xml:space="preserve"> considered:</w:t>
      </w:r>
    </w:p>
    <w:p w14:paraId="59BEFD99" w14:textId="77777777" w:rsidR="000F7580" w:rsidRPr="000F7580" w:rsidRDefault="000F7580" w:rsidP="009F4B33">
      <w:pPr>
        <w:numPr>
          <w:ilvl w:val="0"/>
          <w:numId w:val="35"/>
        </w:numPr>
        <w:spacing w:line="480" w:lineRule="auto"/>
        <w:rPr>
          <w:sz w:val="20"/>
          <w:szCs w:val="20"/>
        </w:rPr>
      </w:pPr>
      <w:r w:rsidRPr="000F7580">
        <w:rPr>
          <w:sz w:val="20"/>
          <w:szCs w:val="20"/>
        </w:rPr>
        <w:t>Wave overtopping</w:t>
      </w:r>
      <w:r w:rsidR="00C809E4">
        <w:rPr>
          <w:sz w:val="20"/>
          <w:szCs w:val="20"/>
        </w:rPr>
        <w:t xml:space="preserve"> </w:t>
      </w:r>
      <w:proofErr w:type="gramStart"/>
      <w:r w:rsidR="00C809E4">
        <w:rPr>
          <w:sz w:val="20"/>
          <w:szCs w:val="20"/>
        </w:rPr>
        <w:t>rate</w:t>
      </w:r>
      <w:proofErr w:type="gramEnd"/>
    </w:p>
    <w:p w14:paraId="0F13B286" w14:textId="77777777" w:rsidR="000F7580" w:rsidRPr="000F7580" w:rsidRDefault="000F7580" w:rsidP="009F4B33">
      <w:pPr>
        <w:numPr>
          <w:ilvl w:val="0"/>
          <w:numId w:val="35"/>
        </w:numPr>
        <w:spacing w:line="480" w:lineRule="auto"/>
        <w:rPr>
          <w:sz w:val="20"/>
          <w:szCs w:val="20"/>
        </w:rPr>
      </w:pPr>
      <w:r w:rsidRPr="000F7580">
        <w:rPr>
          <w:sz w:val="20"/>
          <w:szCs w:val="20"/>
        </w:rPr>
        <w:t>Damage to rock armoured embankments</w:t>
      </w:r>
    </w:p>
    <w:p w14:paraId="01B46D4A" w14:textId="77777777" w:rsidR="000F7580" w:rsidRPr="000F7580" w:rsidRDefault="000F7580" w:rsidP="009F4B33">
      <w:pPr>
        <w:spacing w:line="480" w:lineRule="auto"/>
        <w:ind w:left="720"/>
        <w:rPr>
          <w:sz w:val="20"/>
          <w:szCs w:val="20"/>
        </w:rPr>
      </w:pPr>
      <w:r w:rsidRPr="000F7580">
        <w:rPr>
          <w:sz w:val="20"/>
          <w:szCs w:val="20"/>
        </w:rPr>
        <w:t>A non-dimensionless parameter defined as the eroded cross-sectional area of the rock armoured revetment div</w:t>
      </w:r>
      <w:r w:rsidR="00C809E4">
        <w:rPr>
          <w:sz w:val="20"/>
          <w:szCs w:val="20"/>
        </w:rPr>
        <w:t>id</w:t>
      </w:r>
      <w:r w:rsidRPr="000F7580">
        <w:rPr>
          <w:sz w:val="20"/>
          <w:szCs w:val="20"/>
        </w:rPr>
        <w:t xml:space="preserve">ed by the mean diameter of the rock defence blocks squared, Van Der Meer, (1987). </w:t>
      </w:r>
    </w:p>
    <w:p w14:paraId="01D1629D" w14:textId="77777777" w:rsidR="000F7580" w:rsidRPr="000F7580" w:rsidRDefault="000F7580" w:rsidP="009F4B33">
      <w:pPr>
        <w:numPr>
          <w:ilvl w:val="0"/>
          <w:numId w:val="35"/>
        </w:numPr>
        <w:spacing w:line="480" w:lineRule="auto"/>
        <w:rPr>
          <w:sz w:val="20"/>
          <w:szCs w:val="20"/>
        </w:rPr>
      </w:pPr>
      <w:r w:rsidRPr="000F7580">
        <w:rPr>
          <w:sz w:val="20"/>
          <w:szCs w:val="20"/>
        </w:rPr>
        <w:t>Wave forces on vertical walls</w:t>
      </w:r>
    </w:p>
    <w:p w14:paraId="58C0D363" w14:textId="77777777" w:rsidR="009F4B33" w:rsidRDefault="009F4B33" w:rsidP="000F7580">
      <w:pPr>
        <w:spacing w:line="480" w:lineRule="auto"/>
        <w:rPr>
          <w:sz w:val="20"/>
          <w:szCs w:val="20"/>
        </w:rPr>
      </w:pPr>
    </w:p>
    <w:p w14:paraId="787A7032" w14:textId="77777777" w:rsidR="000F7580" w:rsidRPr="000F7580" w:rsidRDefault="000F7580" w:rsidP="000F7580">
      <w:pPr>
        <w:spacing w:line="480" w:lineRule="auto"/>
        <w:rPr>
          <w:sz w:val="20"/>
          <w:szCs w:val="20"/>
        </w:rPr>
      </w:pPr>
      <w:r w:rsidRPr="000F7580">
        <w:rPr>
          <w:sz w:val="20"/>
          <w:szCs w:val="20"/>
        </w:rPr>
        <w:t xml:space="preserve">These were </w:t>
      </w:r>
      <w:r w:rsidR="009E74EE">
        <w:rPr>
          <w:sz w:val="20"/>
          <w:szCs w:val="20"/>
        </w:rPr>
        <w:t>analysed</w:t>
      </w:r>
      <w:r w:rsidRPr="000F7580">
        <w:rPr>
          <w:sz w:val="20"/>
          <w:szCs w:val="20"/>
        </w:rPr>
        <w:t xml:space="preserve"> for 10 different return periods from 1 year to 1000 years.  Results for wave overtopping</w:t>
      </w:r>
      <w:r w:rsidR="009E74EE">
        <w:rPr>
          <w:sz w:val="20"/>
          <w:szCs w:val="20"/>
        </w:rPr>
        <w:t xml:space="preserve"> rate</w:t>
      </w:r>
      <w:r w:rsidRPr="000F7580">
        <w:rPr>
          <w:sz w:val="20"/>
          <w:szCs w:val="20"/>
        </w:rPr>
        <w:t xml:space="preserve"> were considered in terms of return period as potential </w:t>
      </w:r>
      <w:r w:rsidR="00E77EC8">
        <w:rPr>
          <w:sz w:val="20"/>
          <w:szCs w:val="20"/>
        </w:rPr>
        <w:t xml:space="preserve">inaccuracies </w:t>
      </w:r>
      <w:r w:rsidRPr="000F7580">
        <w:rPr>
          <w:sz w:val="20"/>
          <w:szCs w:val="20"/>
        </w:rPr>
        <w:t xml:space="preserve">are typically stated in terms of this parameter as opposed, for example, to overtopping rate (Defra, 2005).  </w:t>
      </w:r>
      <w:r w:rsidR="009E74EE">
        <w:rPr>
          <w:sz w:val="20"/>
          <w:szCs w:val="20"/>
        </w:rPr>
        <w:t xml:space="preserve">Results for </w:t>
      </w:r>
      <w:r w:rsidR="009E74EE" w:rsidRPr="000F7580">
        <w:rPr>
          <w:sz w:val="20"/>
          <w:szCs w:val="20"/>
        </w:rPr>
        <w:t>wave overtopping</w:t>
      </w:r>
      <w:r w:rsidR="009E74EE">
        <w:rPr>
          <w:sz w:val="20"/>
          <w:szCs w:val="20"/>
        </w:rPr>
        <w:t xml:space="preserve"> rate were considered for each defence type (</w:t>
      </w:r>
      <w:proofErr w:type="gramStart"/>
      <w:r w:rsidR="009E74EE">
        <w:rPr>
          <w:sz w:val="20"/>
          <w:szCs w:val="20"/>
        </w:rPr>
        <w:t>i.e.</w:t>
      </w:r>
      <w:proofErr w:type="gramEnd"/>
      <w:r w:rsidR="009E74EE">
        <w:rPr>
          <w:sz w:val="20"/>
          <w:szCs w:val="20"/>
        </w:rPr>
        <w:t xml:space="preserve"> </w:t>
      </w:r>
      <w:r w:rsidR="009E74EE" w:rsidRPr="009E74EE">
        <w:rPr>
          <w:sz w:val="20"/>
          <w:szCs w:val="20"/>
        </w:rPr>
        <w:t>sloping revetment</w:t>
      </w:r>
      <w:r w:rsidR="009E74EE">
        <w:rPr>
          <w:sz w:val="20"/>
          <w:szCs w:val="20"/>
        </w:rPr>
        <w:t xml:space="preserve">s, </w:t>
      </w:r>
      <w:r w:rsidR="009E74EE" w:rsidRPr="009E74EE">
        <w:rPr>
          <w:sz w:val="20"/>
          <w:szCs w:val="20"/>
        </w:rPr>
        <w:t>vertical wall</w:t>
      </w:r>
      <w:r w:rsidR="009E74EE">
        <w:rPr>
          <w:sz w:val="20"/>
          <w:szCs w:val="20"/>
        </w:rPr>
        <w:t xml:space="preserve">s and </w:t>
      </w:r>
      <w:r w:rsidR="009E74EE" w:rsidRPr="009E74EE">
        <w:rPr>
          <w:sz w:val="20"/>
          <w:szCs w:val="20"/>
        </w:rPr>
        <w:t>shingle beach</w:t>
      </w:r>
      <w:r w:rsidR="009E74EE">
        <w:rPr>
          <w:sz w:val="20"/>
          <w:szCs w:val="20"/>
        </w:rPr>
        <w:t xml:space="preserve">es), as well as all three of these structure types combined.  </w:t>
      </w:r>
      <w:r w:rsidR="008C6C19">
        <w:rPr>
          <w:sz w:val="20"/>
          <w:szCs w:val="20"/>
        </w:rPr>
        <w:t xml:space="preserve">Damage was considered for </w:t>
      </w:r>
      <w:r w:rsidRPr="000F7580">
        <w:rPr>
          <w:sz w:val="20"/>
          <w:szCs w:val="20"/>
        </w:rPr>
        <w:t xml:space="preserve">rock armoured defence structures, as this is the main parameter by which performance is measured (Van Der Meer, 1987).  For vertical walls, there is no conventional means of measuring potential </w:t>
      </w:r>
      <w:r w:rsidR="00E77EC8">
        <w:rPr>
          <w:sz w:val="20"/>
          <w:szCs w:val="20"/>
        </w:rPr>
        <w:t xml:space="preserve">inaccuracies </w:t>
      </w:r>
      <w:r w:rsidRPr="000F7580">
        <w:rPr>
          <w:sz w:val="20"/>
          <w:szCs w:val="20"/>
        </w:rPr>
        <w:t>or performance, so results have been considered in terms of wave for</w:t>
      </w:r>
      <w:r w:rsidR="000A7D61">
        <w:rPr>
          <w:sz w:val="20"/>
          <w:szCs w:val="20"/>
        </w:rPr>
        <w:t xml:space="preserve">ce.  No weighting of the results </w:t>
      </w:r>
      <w:proofErr w:type="gramStart"/>
      <w:r w:rsidR="000A7D61">
        <w:rPr>
          <w:sz w:val="20"/>
          <w:szCs w:val="20"/>
        </w:rPr>
        <w:t>were</w:t>
      </w:r>
      <w:proofErr w:type="gramEnd"/>
      <w:r w:rsidR="000A7D61">
        <w:rPr>
          <w:sz w:val="20"/>
          <w:szCs w:val="20"/>
        </w:rPr>
        <w:t xml:space="preserve"> applied for defence lengths, return period or for the magnitude of the response variables considered.</w:t>
      </w:r>
    </w:p>
    <w:p w14:paraId="0C2F34AA" w14:textId="77777777" w:rsidR="009F4B33" w:rsidRDefault="009F4B33" w:rsidP="000F7580">
      <w:pPr>
        <w:spacing w:line="480" w:lineRule="auto"/>
        <w:rPr>
          <w:sz w:val="20"/>
          <w:szCs w:val="20"/>
        </w:rPr>
      </w:pPr>
    </w:p>
    <w:p w14:paraId="0A041309" w14:textId="77777777" w:rsidR="000F7580" w:rsidRPr="000F7580" w:rsidRDefault="000F7580" w:rsidP="000F7580">
      <w:pPr>
        <w:spacing w:line="480" w:lineRule="auto"/>
        <w:rPr>
          <w:sz w:val="20"/>
          <w:szCs w:val="20"/>
        </w:rPr>
      </w:pPr>
      <w:r w:rsidRPr="000F7580">
        <w:rPr>
          <w:sz w:val="20"/>
          <w:szCs w:val="20"/>
        </w:rPr>
        <w:t xml:space="preserve">For </w:t>
      </w:r>
      <w:r w:rsidR="00EF06DB">
        <w:rPr>
          <w:sz w:val="20"/>
          <w:szCs w:val="20"/>
        </w:rPr>
        <w:t>joint exceedance</w:t>
      </w:r>
      <w:r w:rsidRPr="000F7580">
        <w:rPr>
          <w:sz w:val="20"/>
          <w:szCs w:val="20"/>
        </w:rPr>
        <w:t xml:space="preserve"> curve approaches, there are no </w:t>
      </w:r>
      <w:r w:rsidR="002D2004">
        <w:rPr>
          <w:sz w:val="20"/>
          <w:szCs w:val="20"/>
        </w:rPr>
        <w:t xml:space="preserve">formal methodologies that </w:t>
      </w:r>
      <w:r w:rsidRPr="000F7580">
        <w:rPr>
          <w:sz w:val="20"/>
          <w:szCs w:val="20"/>
        </w:rPr>
        <w:t>explicit</w:t>
      </w:r>
      <w:r w:rsidR="002D2004">
        <w:rPr>
          <w:sz w:val="20"/>
          <w:szCs w:val="20"/>
        </w:rPr>
        <w:t xml:space="preserve">ly define the handling of </w:t>
      </w:r>
      <w:r w:rsidRPr="000F7580">
        <w:rPr>
          <w:sz w:val="20"/>
          <w:szCs w:val="20"/>
        </w:rPr>
        <w:t xml:space="preserve">wave periods and directions.  Wave periods and directions were therefore considered based on the average offshore wave steepness of the highest 1% of nearshore wave heights, as well as the average wave direction to the shore normal over the same set of </w:t>
      </w:r>
      <w:r w:rsidRPr="000F7580">
        <w:rPr>
          <w:sz w:val="20"/>
          <w:szCs w:val="20"/>
        </w:rPr>
        <w:lastRenderedPageBreak/>
        <w:t xml:space="preserve">conditions.  </w:t>
      </w:r>
      <w:r w:rsidR="002D2004">
        <w:rPr>
          <w:sz w:val="20"/>
          <w:szCs w:val="20"/>
        </w:rPr>
        <w:t>W</w:t>
      </w:r>
      <w:r w:rsidRPr="000F7580">
        <w:rPr>
          <w:sz w:val="20"/>
          <w:szCs w:val="20"/>
        </w:rPr>
        <w:t xml:space="preserve">ave periods were also considered based on a constant </w:t>
      </w:r>
      <w:r w:rsidR="002D2004">
        <w:rPr>
          <w:sz w:val="20"/>
          <w:szCs w:val="20"/>
        </w:rPr>
        <w:t xml:space="preserve">offshore </w:t>
      </w:r>
      <w:r w:rsidRPr="000F7580">
        <w:rPr>
          <w:sz w:val="20"/>
          <w:szCs w:val="20"/>
        </w:rPr>
        <w:t>wave steepness of 0.040, a value typically considered in the calculation of responses</w:t>
      </w:r>
      <w:r w:rsidR="00B70F78">
        <w:rPr>
          <w:sz w:val="20"/>
          <w:szCs w:val="20"/>
        </w:rPr>
        <w:t xml:space="preserve"> variables</w:t>
      </w:r>
      <w:r w:rsidRPr="000F7580">
        <w:rPr>
          <w:sz w:val="20"/>
          <w:szCs w:val="20"/>
        </w:rPr>
        <w:t>, although some tests were also undertaken considering a wave steepness of 0.035.  To account for the potential variation in the wave direction, wave directions were also considered uniformly distributed 15º either side of the average determined from the highest 1% of nearshore wave heights, as well as parallel to the shore normal.  This was anticipated to cover the range of conditions likely to be considered typical, including many studies that assume a normal angle of attack.</w:t>
      </w:r>
    </w:p>
    <w:p w14:paraId="595AF95D" w14:textId="77777777" w:rsidR="000F7580" w:rsidRPr="000F7580" w:rsidRDefault="000F7580" w:rsidP="000F7580">
      <w:pPr>
        <w:spacing w:line="480" w:lineRule="auto"/>
        <w:rPr>
          <w:sz w:val="20"/>
          <w:szCs w:val="20"/>
        </w:rPr>
      </w:pPr>
    </w:p>
    <w:p w14:paraId="121D4E5D" w14:textId="77777777" w:rsidR="000F7580" w:rsidRPr="009F4B33" w:rsidRDefault="000F7580" w:rsidP="000F7580">
      <w:pPr>
        <w:spacing w:line="480" w:lineRule="auto"/>
        <w:rPr>
          <w:b/>
          <w:sz w:val="20"/>
          <w:szCs w:val="20"/>
        </w:rPr>
      </w:pPr>
      <w:r w:rsidRPr="009F4B33">
        <w:rPr>
          <w:b/>
          <w:sz w:val="20"/>
          <w:szCs w:val="20"/>
        </w:rPr>
        <w:t>3.2</w:t>
      </w:r>
      <w:r w:rsidR="009F4B33" w:rsidRPr="009F4B33">
        <w:rPr>
          <w:b/>
          <w:sz w:val="20"/>
          <w:szCs w:val="20"/>
        </w:rPr>
        <w:t xml:space="preserve"> </w:t>
      </w:r>
      <w:r w:rsidRPr="009F4B33">
        <w:rPr>
          <w:b/>
          <w:sz w:val="20"/>
          <w:szCs w:val="20"/>
        </w:rPr>
        <w:t>Response functions</w:t>
      </w:r>
    </w:p>
    <w:p w14:paraId="0953F6A4" w14:textId="77777777" w:rsidR="000F7580" w:rsidRPr="000F7580" w:rsidRDefault="000F7580" w:rsidP="000F7580">
      <w:pPr>
        <w:spacing w:line="480" w:lineRule="auto"/>
        <w:rPr>
          <w:sz w:val="20"/>
          <w:szCs w:val="20"/>
        </w:rPr>
      </w:pPr>
      <w:r w:rsidRPr="000F7580">
        <w:rPr>
          <w:sz w:val="20"/>
          <w:szCs w:val="20"/>
        </w:rPr>
        <w:t xml:space="preserve">The response functions considered in this paper were based on equations typically applied in standard practice across the coastal engineering community in the UK.  These are given below.  It should be noted that as the purpose of this paper was to consider the relative differences between different </w:t>
      </w:r>
      <w:r w:rsidR="00EF06DB">
        <w:rPr>
          <w:sz w:val="20"/>
          <w:szCs w:val="20"/>
        </w:rPr>
        <w:t>joint exceedance</w:t>
      </w:r>
      <w:r w:rsidRPr="000F7580">
        <w:rPr>
          <w:sz w:val="20"/>
          <w:szCs w:val="20"/>
        </w:rPr>
        <w:t xml:space="preserve"> curve approaches when compared to the RV approach, the choice of response function was not critical, provided they were applied consistently across the different approaches.  Different response functions could be anticipated to give similar comparative results, so the results presented in this paper </w:t>
      </w:r>
      <w:proofErr w:type="gramStart"/>
      <w:r w:rsidRPr="000F7580">
        <w:rPr>
          <w:sz w:val="20"/>
          <w:szCs w:val="20"/>
        </w:rPr>
        <w:t>are considered to be</w:t>
      </w:r>
      <w:proofErr w:type="gramEnd"/>
      <w:r w:rsidRPr="000F7580">
        <w:rPr>
          <w:sz w:val="20"/>
          <w:szCs w:val="20"/>
        </w:rPr>
        <w:t xml:space="preserve"> broadly the same for a specific response, regardless of the choice of response function.</w:t>
      </w:r>
    </w:p>
    <w:p w14:paraId="7529B589" w14:textId="77777777" w:rsidR="000F7580" w:rsidRPr="000F7580" w:rsidRDefault="000F7580" w:rsidP="009F4B33">
      <w:pPr>
        <w:numPr>
          <w:ilvl w:val="0"/>
          <w:numId w:val="35"/>
        </w:numPr>
        <w:spacing w:line="480" w:lineRule="auto"/>
        <w:rPr>
          <w:sz w:val="20"/>
          <w:szCs w:val="20"/>
        </w:rPr>
      </w:pPr>
      <w:r w:rsidRPr="000F7580">
        <w:rPr>
          <w:sz w:val="20"/>
          <w:szCs w:val="20"/>
        </w:rPr>
        <w:t>Wave overtopping</w:t>
      </w:r>
    </w:p>
    <w:p w14:paraId="5C263F4E" w14:textId="77777777" w:rsidR="000F7580" w:rsidRPr="000F7580" w:rsidRDefault="000F7580" w:rsidP="009F4B33">
      <w:pPr>
        <w:spacing w:line="480" w:lineRule="auto"/>
        <w:ind w:left="720"/>
        <w:rPr>
          <w:sz w:val="20"/>
          <w:szCs w:val="20"/>
        </w:rPr>
      </w:pPr>
      <w:r w:rsidRPr="000F7580">
        <w:rPr>
          <w:sz w:val="20"/>
          <w:szCs w:val="20"/>
        </w:rPr>
        <w:t xml:space="preserve">Recommended methodologies outlined for sloping structures and vertical walls in the </w:t>
      </w:r>
      <w:proofErr w:type="spellStart"/>
      <w:r w:rsidRPr="000F7580">
        <w:rPr>
          <w:sz w:val="20"/>
          <w:szCs w:val="20"/>
        </w:rPr>
        <w:t>EurOtop</w:t>
      </w:r>
      <w:proofErr w:type="spellEnd"/>
      <w:r w:rsidRPr="000F7580">
        <w:rPr>
          <w:sz w:val="20"/>
          <w:szCs w:val="20"/>
        </w:rPr>
        <w:t xml:space="preserve"> manual, Pullen </w:t>
      </w:r>
      <w:r w:rsidRPr="004D22C4">
        <w:rPr>
          <w:i/>
          <w:sz w:val="20"/>
          <w:szCs w:val="20"/>
        </w:rPr>
        <w:t>et al.</w:t>
      </w:r>
      <w:r w:rsidRPr="000F7580">
        <w:rPr>
          <w:sz w:val="20"/>
          <w:szCs w:val="20"/>
        </w:rPr>
        <w:t>, (2007)</w:t>
      </w:r>
      <w:r w:rsidR="0022719A">
        <w:rPr>
          <w:sz w:val="20"/>
          <w:szCs w:val="20"/>
        </w:rPr>
        <w:t xml:space="preserve">.  Note that the updated version of the </w:t>
      </w:r>
      <w:proofErr w:type="spellStart"/>
      <w:r w:rsidR="0022719A" w:rsidRPr="000F7580">
        <w:rPr>
          <w:sz w:val="20"/>
          <w:szCs w:val="20"/>
        </w:rPr>
        <w:t>EurOtop</w:t>
      </w:r>
      <w:proofErr w:type="spellEnd"/>
      <w:r w:rsidR="0022719A" w:rsidRPr="000F7580">
        <w:rPr>
          <w:sz w:val="20"/>
          <w:szCs w:val="20"/>
        </w:rPr>
        <w:t xml:space="preserve"> manual, </w:t>
      </w:r>
      <w:r w:rsidR="00B34819">
        <w:rPr>
          <w:sz w:val="20"/>
          <w:szCs w:val="20"/>
        </w:rPr>
        <w:t xml:space="preserve">Van Der Meer </w:t>
      </w:r>
      <w:r w:rsidR="00B34819" w:rsidRPr="004D22C4">
        <w:rPr>
          <w:i/>
          <w:sz w:val="20"/>
          <w:szCs w:val="20"/>
        </w:rPr>
        <w:t>et al.</w:t>
      </w:r>
      <w:r w:rsidR="00B34819" w:rsidRPr="000F7580">
        <w:rPr>
          <w:sz w:val="20"/>
          <w:szCs w:val="20"/>
        </w:rPr>
        <w:t xml:space="preserve">, </w:t>
      </w:r>
      <w:r w:rsidR="0022719A" w:rsidRPr="000F7580">
        <w:rPr>
          <w:sz w:val="20"/>
          <w:szCs w:val="20"/>
        </w:rPr>
        <w:t>(</w:t>
      </w:r>
      <w:r w:rsidR="00B34819">
        <w:rPr>
          <w:sz w:val="20"/>
          <w:szCs w:val="20"/>
        </w:rPr>
        <w:t>2018</w:t>
      </w:r>
      <w:r w:rsidR="0022719A" w:rsidRPr="000F7580">
        <w:rPr>
          <w:sz w:val="20"/>
          <w:szCs w:val="20"/>
        </w:rPr>
        <w:t>)</w:t>
      </w:r>
      <w:r w:rsidR="00B34819">
        <w:rPr>
          <w:sz w:val="20"/>
          <w:szCs w:val="20"/>
        </w:rPr>
        <w:t xml:space="preserve"> was not finalised when the original analysis for this paper was carried out.</w:t>
      </w:r>
    </w:p>
    <w:p w14:paraId="42577AF6" w14:textId="77777777" w:rsidR="000F7580" w:rsidRPr="000F7580" w:rsidRDefault="000F7580" w:rsidP="009F4B33">
      <w:pPr>
        <w:numPr>
          <w:ilvl w:val="0"/>
          <w:numId w:val="35"/>
        </w:numPr>
        <w:spacing w:line="480" w:lineRule="auto"/>
        <w:rPr>
          <w:sz w:val="20"/>
          <w:szCs w:val="20"/>
        </w:rPr>
      </w:pPr>
      <w:r w:rsidRPr="000F7580">
        <w:rPr>
          <w:sz w:val="20"/>
          <w:szCs w:val="20"/>
        </w:rPr>
        <w:t>Rock armour design</w:t>
      </w:r>
    </w:p>
    <w:p w14:paraId="3115113A" w14:textId="77777777" w:rsidR="000F7580" w:rsidRPr="000F7580" w:rsidRDefault="000F7580" w:rsidP="009F4B33">
      <w:pPr>
        <w:spacing w:line="480" w:lineRule="auto"/>
        <w:ind w:left="720"/>
        <w:rPr>
          <w:sz w:val="20"/>
          <w:szCs w:val="20"/>
        </w:rPr>
      </w:pPr>
      <w:r w:rsidRPr="000F7580">
        <w:rPr>
          <w:sz w:val="20"/>
          <w:szCs w:val="20"/>
        </w:rPr>
        <w:t>Van Der Meer’s equation, Van Der Meer (1987)</w:t>
      </w:r>
    </w:p>
    <w:p w14:paraId="10429A17" w14:textId="77777777" w:rsidR="000F7580" w:rsidRPr="000F7580" w:rsidRDefault="000F7580" w:rsidP="009F4B33">
      <w:pPr>
        <w:numPr>
          <w:ilvl w:val="0"/>
          <w:numId w:val="35"/>
        </w:numPr>
        <w:spacing w:line="480" w:lineRule="auto"/>
        <w:rPr>
          <w:sz w:val="20"/>
          <w:szCs w:val="20"/>
        </w:rPr>
      </w:pPr>
      <w:r w:rsidRPr="000F7580">
        <w:rPr>
          <w:sz w:val="20"/>
          <w:szCs w:val="20"/>
        </w:rPr>
        <w:t>Wave forces on vertical walls</w:t>
      </w:r>
    </w:p>
    <w:p w14:paraId="661E2AC9" w14:textId="77777777" w:rsidR="000F7580" w:rsidRPr="000F7580" w:rsidRDefault="000F7580" w:rsidP="009F4B33">
      <w:pPr>
        <w:spacing w:line="480" w:lineRule="auto"/>
        <w:ind w:left="720"/>
        <w:rPr>
          <w:sz w:val="20"/>
          <w:szCs w:val="20"/>
        </w:rPr>
      </w:pPr>
      <w:proofErr w:type="spellStart"/>
      <w:r w:rsidRPr="000F7580">
        <w:rPr>
          <w:sz w:val="20"/>
          <w:szCs w:val="20"/>
        </w:rPr>
        <w:t>Goda</w:t>
      </w:r>
      <w:proofErr w:type="spellEnd"/>
      <w:r w:rsidRPr="000F7580">
        <w:rPr>
          <w:sz w:val="20"/>
          <w:szCs w:val="20"/>
        </w:rPr>
        <w:t xml:space="preserve"> (20</w:t>
      </w:r>
      <w:r w:rsidR="00D805D1">
        <w:rPr>
          <w:sz w:val="20"/>
          <w:szCs w:val="20"/>
        </w:rPr>
        <w:t>1</w:t>
      </w:r>
      <w:r w:rsidRPr="000F7580">
        <w:rPr>
          <w:sz w:val="20"/>
          <w:szCs w:val="20"/>
        </w:rPr>
        <w:t>0)</w:t>
      </w:r>
    </w:p>
    <w:p w14:paraId="2E5C5755" w14:textId="77777777" w:rsidR="009F4B33" w:rsidRDefault="009F4B33" w:rsidP="000F7580">
      <w:pPr>
        <w:spacing w:line="480" w:lineRule="auto"/>
        <w:rPr>
          <w:sz w:val="20"/>
          <w:szCs w:val="20"/>
        </w:rPr>
      </w:pPr>
    </w:p>
    <w:p w14:paraId="278F2A74" w14:textId="77777777" w:rsidR="000F7580" w:rsidRDefault="000F7580" w:rsidP="000F7580">
      <w:pPr>
        <w:spacing w:line="480" w:lineRule="auto"/>
        <w:rPr>
          <w:sz w:val="20"/>
          <w:szCs w:val="20"/>
        </w:rPr>
      </w:pPr>
      <w:r w:rsidRPr="000F7580">
        <w:rPr>
          <w:sz w:val="20"/>
          <w:szCs w:val="20"/>
        </w:rPr>
        <w:t xml:space="preserve">For all functions, the potential errors in the estimated value of the </w:t>
      </w:r>
      <w:r w:rsidR="00B70F78">
        <w:rPr>
          <w:sz w:val="20"/>
          <w:szCs w:val="20"/>
        </w:rPr>
        <w:t xml:space="preserve">extreme </w:t>
      </w:r>
      <w:r w:rsidRPr="000F7580">
        <w:rPr>
          <w:sz w:val="20"/>
          <w:szCs w:val="20"/>
        </w:rPr>
        <w:t>response</w:t>
      </w:r>
      <w:r w:rsidR="00B70F78">
        <w:rPr>
          <w:sz w:val="20"/>
          <w:szCs w:val="20"/>
        </w:rPr>
        <w:t>s were</w:t>
      </w:r>
      <w:r w:rsidRPr="000F7580">
        <w:rPr>
          <w:sz w:val="20"/>
          <w:szCs w:val="20"/>
        </w:rPr>
        <w:t xml:space="preserve"> considered based </w:t>
      </w:r>
      <w:r w:rsidR="0009528D">
        <w:rPr>
          <w:sz w:val="20"/>
          <w:szCs w:val="20"/>
        </w:rPr>
        <w:t>on the ratio given by equation 3</w:t>
      </w:r>
      <w:r w:rsidR="00C809E4">
        <w:rPr>
          <w:sz w:val="20"/>
          <w:szCs w:val="20"/>
        </w:rPr>
        <w:t xml:space="preserve">, where this ratio was defined in terms of return period for overtopping rate, damage for </w:t>
      </w:r>
      <w:r w:rsidR="00C809E4" w:rsidRPr="000F7580">
        <w:rPr>
          <w:sz w:val="20"/>
          <w:szCs w:val="20"/>
        </w:rPr>
        <w:t>rock armoured embankments</w:t>
      </w:r>
      <w:r w:rsidR="00C809E4">
        <w:rPr>
          <w:sz w:val="20"/>
          <w:szCs w:val="20"/>
        </w:rPr>
        <w:t xml:space="preserve"> and wave forces for </w:t>
      </w:r>
      <w:r w:rsidR="00C809E4">
        <w:rPr>
          <w:sz w:val="20"/>
          <w:szCs w:val="20"/>
        </w:rPr>
        <w:lastRenderedPageBreak/>
        <w:t>vertical walls</w:t>
      </w:r>
      <w:r w:rsidRPr="000F7580">
        <w:rPr>
          <w:sz w:val="20"/>
          <w:szCs w:val="20"/>
        </w:rPr>
        <w:t xml:space="preserve">.  </w:t>
      </w:r>
      <w:r w:rsidR="00C97121">
        <w:rPr>
          <w:sz w:val="20"/>
          <w:szCs w:val="20"/>
        </w:rPr>
        <w:t xml:space="preserve">This is termed the ratio of the return </w:t>
      </w:r>
      <w:r w:rsidR="001A3502">
        <w:rPr>
          <w:sz w:val="20"/>
          <w:szCs w:val="20"/>
        </w:rPr>
        <w:t xml:space="preserve">response </w:t>
      </w:r>
      <w:proofErr w:type="gramStart"/>
      <w:r w:rsidR="001A3502">
        <w:rPr>
          <w:sz w:val="20"/>
          <w:szCs w:val="20"/>
        </w:rPr>
        <w:t>ratio</w:t>
      </w:r>
      <w:r w:rsidR="00C97121">
        <w:rPr>
          <w:sz w:val="20"/>
          <w:szCs w:val="20"/>
        </w:rPr>
        <w:t>, and</w:t>
      </w:r>
      <w:proofErr w:type="gramEnd"/>
      <w:r w:rsidR="00C97121">
        <w:rPr>
          <w:sz w:val="20"/>
          <w:szCs w:val="20"/>
        </w:rPr>
        <w:t xml:space="preserve"> given the notation RP</w:t>
      </w:r>
      <w:r w:rsidR="001A3502">
        <w:rPr>
          <w:sz w:val="20"/>
          <w:szCs w:val="20"/>
        </w:rPr>
        <w:t>RR</w:t>
      </w:r>
      <w:r w:rsidR="00C97121">
        <w:rPr>
          <w:sz w:val="20"/>
          <w:szCs w:val="20"/>
        </w:rPr>
        <w:t xml:space="preserve">.  </w:t>
      </w:r>
      <w:r w:rsidRPr="000F7580">
        <w:rPr>
          <w:sz w:val="20"/>
          <w:szCs w:val="20"/>
        </w:rPr>
        <w:t xml:space="preserve">A value </w:t>
      </w:r>
      <w:r w:rsidR="00C97121">
        <w:rPr>
          <w:sz w:val="20"/>
          <w:szCs w:val="20"/>
        </w:rPr>
        <w:t>of the</w:t>
      </w:r>
      <w:r w:rsidR="00C97121" w:rsidRPr="00C97121">
        <w:rPr>
          <w:sz w:val="20"/>
          <w:szCs w:val="20"/>
        </w:rPr>
        <w:t xml:space="preserve"> </w:t>
      </w:r>
      <w:r w:rsidR="00C97121">
        <w:rPr>
          <w:sz w:val="20"/>
          <w:szCs w:val="20"/>
        </w:rPr>
        <w:t>RP</w:t>
      </w:r>
      <w:r w:rsidR="001A3502">
        <w:rPr>
          <w:sz w:val="20"/>
          <w:szCs w:val="20"/>
        </w:rPr>
        <w:t>RR</w:t>
      </w:r>
      <w:r w:rsidR="00C97121">
        <w:rPr>
          <w:sz w:val="20"/>
          <w:szCs w:val="20"/>
        </w:rPr>
        <w:t xml:space="preserve"> </w:t>
      </w:r>
      <w:r w:rsidRPr="000F7580">
        <w:rPr>
          <w:sz w:val="20"/>
          <w:szCs w:val="20"/>
        </w:rPr>
        <w:t>less than 1 indicates an underestimate of the response and a value greater than 1 indicates an overestimate of the response.</w:t>
      </w:r>
    </w:p>
    <w:p w14:paraId="3A5C5E10" w14:textId="77777777" w:rsidR="009F4B33" w:rsidRDefault="009F4B33" w:rsidP="000F7580">
      <w:pPr>
        <w:spacing w:line="480" w:lineRule="auto"/>
        <w:rPr>
          <w:sz w:val="20"/>
          <w:szCs w:val="20"/>
        </w:rPr>
      </w:pPr>
    </w:p>
    <w:p w14:paraId="04914EF4" w14:textId="77777777" w:rsidR="009F4B33" w:rsidRPr="00F41FAC" w:rsidRDefault="00D805D1" w:rsidP="000F7580">
      <w:pPr>
        <w:spacing w:line="480" w:lineRule="auto"/>
        <w:rPr>
          <w:sz w:val="20"/>
          <w:szCs w:val="20"/>
        </w:rPr>
      </w:pPr>
      <m:oMathPara>
        <m:oMath>
          <m:r>
            <w:rPr>
              <w:rFonts w:ascii="Cambria Math" w:hAnsi="Cambria Math"/>
            </w:rPr>
            <m:t xml:space="preserve">RPRR= </m:t>
          </m:r>
          <m:f>
            <m:fPr>
              <m:ctrlPr>
                <w:rPr>
                  <w:rFonts w:ascii="Cambria Math" w:eastAsia="Calibri" w:hAnsi="Cambria Math" w:cs="Times New Roman"/>
                  <w:i/>
                  <w:lang w:eastAsia="en-US"/>
                </w:rPr>
              </m:ctrlPr>
            </m:fPr>
            <m:num>
              <m:r>
                <w:rPr>
                  <w:rFonts w:ascii="Cambria Math" w:hAnsi="Cambria Math"/>
                </w:rPr>
                <m:t>maximum of curve response</m:t>
              </m:r>
            </m:num>
            <m:den>
              <m:r>
                <w:rPr>
                  <w:rFonts w:ascii="Cambria Math" w:hAnsi="Cambria Math"/>
                </w:rPr>
                <m:t>response variable response</m:t>
              </m:r>
            </m:den>
          </m:f>
        </m:oMath>
      </m:oMathPara>
    </w:p>
    <w:p w14:paraId="558E9086" w14:textId="77777777" w:rsidR="009F4B33" w:rsidRDefault="0009528D" w:rsidP="000F7580">
      <w:pPr>
        <w:spacing w:line="480" w:lineRule="auto"/>
        <w:rPr>
          <w:sz w:val="20"/>
          <w:szCs w:val="20"/>
        </w:rPr>
      </w:pPr>
      <w:r>
        <w:rPr>
          <w:sz w:val="20"/>
          <w:szCs w:val="20"/>
        </w:rPr>
        <w:t>3</w:t>
      </w:r>
      <w:r w:rsidR="009F4B33">
        <w:rPr>
          <w:sz w:val="20"/>
          <w:szCs w:val="20"/>
        </w:rPr>
        <w:t>.</w:t>
      </w:r>
    </w:p>
    <w:p w14:paraId="594B531F" w14:textId="77777777" w:rsidR="009F4B33" w:rsidRDefault="009F4B33" w:rsidP="000F7580">
      <w:pPr>
        <w:spacing w:line="480" w:lineRule="auto"/>
        <w:rPr>
          <w:sz w:val="20"/>
          <w:szCs w:val="20"/>
        </w:rPr>
      </w:pPr>
    </w:p>
    <w:bookmarkEnd w:id="0"/>
    <w:bookmarkEnd w:id="1"/>
    <w:bookmarkEnd w:id="2"/>
    <w:p w14:paraId="39C0C26D" w14:textId="77777777" w:rsidR="009F4B33" w:rsidRPr="009F4B33" w:rsidRDefault="009F4B33" w:rsidP="009F4B33">
      <w:pPr>
        <w:spacing w:line="480" w:lineRule="auto"/>
        <w:rPr>
          <w:b/>
          <w:sz w:val="20"/>
          <w:szCs w:val="20"/>
        </w:rPr>
      </w:pPr>
      <w:r w:rsidRPr="009F4B33">
        <w:rPr>
          <w:b/>
          <w:sz w:val="20"/>
          <w:szCs w:val="20"/>
        </w:rPr>
        <w:t>4. Results</w:t>
      </w:r>
    </w:p>
    <w:p w14:paraId="32EF943C" w14:textId="77777777" w:rsidR="0003108B" w:rsidRPr="009F4B33" w:rsidRDefault="009F4B33" w:rsidP="009F4B33">
      <w:pPr>
        <w:spacing w:line="480" w:lineRule="auto"/>
        <w:rPr>
          <w:sz w:val="20"/>
          <w:szCs w:val="20"/>
        </w:rPr>
      </w:pPr>
      <w:r w:rsidRPr="009F4B33">
        <w:rPr>
          <w:sz w:val="20"/>
          <w:szCs w:val="20"/>
        </w:rPr>
        <w:t>This section outlines the results for the different approaches and response functions considered in this paper.  As there are three different approaches based on three different sets of assumption</w:t>
      </w:r>
      <w:r w:rsidR="007409D1">
        <w:rPr>
          <w:sz w:val="20"/>
          <w:szCs w:val="20"/>
        </w:rPr>
        <w:t xml:space="preserve"> (9 approaches in total)</w:t>
      </w:r>
      <w:r w:rsidRPr="009F4B33">
        <w:rPr>
          <w:sz w:val="20"/>
          <w:szCs w:val="20"/>
        </w:rPr>
        <w:t xml:space="preserve">, these have been identified </w:t>
      </w:r>
      <w:r w:rsidR="00C05D3D">
        <w:rPr>
          <w:sz w:val="20"/>
          <w:szCs w:val="20"/>
        </w:rPr>
        <w:t>in Table 1</w:t>
      </w:r>
      <w:r w:rsidRPr="009F4B33">
        <w:rPr>
          <w:sz w:val="20"/>
          <w:szCs w:val="20"/>
        </w:rPr>
        <w:t xml:space="preserve"> for ease of reference.</w:t>
      </w:r>
      <w:r w:rsidR="00727186">
        <w:rPr>
          <w:sz w:val="20"/>
          <w:szCs w:val="20"/>
        </w:rPr>
        <w:t xml:space="preserve">  Comments in the results section have concentrated on the </w:t>
      </w:r>
      <w:proofErr w:type="spellStart"/>
      <w:r w:rsidR="00727186" w:rsidRPr="00727186">
        <w:rPr>
          <w:sz w:val="20"/>
          <w:szCs w:val="20"/>
        </w:rPr>
        <w:t>CoMJEC</w:t>
      </w:r>
      <w:proofErr w:type="spellEnd"/>
      <w:r w:rsidR="00727186" w:rsidRPr="00727186">
        <w:rPr>
          <w:sz w:val="20"/>
          <w:szCs w:val="20"/>
        </w:rPr>
        <w:t xml:space="preserve"> </w:t>
      </w:r>
      <w:r w:rsidR="00727186">
        <w:rPr>
          <w:sz w:val="20"/>
          <w:szCs w:val="20"/>
        </w:rPr>
        <w:t xml:space="preserve">approach, identified as JP1 in Table 1, as this is considered the most robust way to </w:t>
      </w:r>
      <w:r w:rsidR="00F067DD">
        <w:rPr>
          <w:sz w:val="20"/>
          <w:szCs w:val="20"/>
        </w:rPr>
        <w:t>assess</w:t>
      </w:r>
      <w:r w:rsidR="00727186">
        <w:rPr>
          <w:sz w:val="20"/>
          <w:szCs w:val="20"/>
        </w:rPr>
        <w:t xml:space="preserve"> the performance of a </w:t>
      </w:r>
      <w:r w:rsidR="00B3406C">
        <w:rPr>
          <w:sz w:val="20"/>
          <w:szCs w:val="20"/>
        </w:rPr>
        <w:t>sea</w:t>
      </w:r>
      <w:r w:rsidR="00727186">
        <w:rPr>
          <w:sz w:val="20"/>
          <w:szCs w:val="20"/>
        </w:rPr>
        <w:t xml:space="preserve"> defence </w:t>
      </w:r>
      <w:r w:rsidR="00F067DD">
        <w:rPr>
          <w:sz w:val="20"/>
          <w:szCs w:val="20"/>
        </w:rPr>
        <w:t>structure using a joint exceedance curve.</w:t>
      </w:r>
    </w:p>
    <w:p w14:paraId="14A4080D" w14:textId="77777777" w:rsidR="004139CF" w:rsidRPr="004139CF" w:rsidRDefault="004139CF" w:rsidP="004139CF">
      <w:pPr>
        <w:spacing w:after="200" w:line="276" w:lineRule="auto"/>
        <w:rPr>
          <w:rFonts w:asciiTheme="minorHAnsi" w:eastAsiaTheme="minorHAnsi" w:hAnsiTheme="minorHAnsi" w:cstheme="minorBidi"/>
          <w:lang w:eastAsia="en-US"/>
        </w:rPr>
      </w:pPr>
    </w:p>
    <w:tbl>
      <w:tblPr>
        <w:tblStyle w:val="TableGrid1"/>
        <w:tblW w:w="9072" w:type="dxa"/>
        <w:tblInd w:w="1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993"/>
        <w:gridCol w:w="708"/>
        <w:gridCol w:w="7371"/>
      </w:tblGrid>
      <w:tr w:rsidR="004139CF" w:rsidRPr="004139CF" w14:paraId="4F779DA8" w14:textId="77777777" w:rsidTr="004139CF">
        <w:trPr>
          <w:trHeight w:val="237"/>
        </w:trPr>
        <w:tc>
          <w:tcPr>
            <w:tcW w:w="993" w:type="dxa"/>
            <w:tcBorders>
              <w:top w:val="double" w:sz="4" w:space="0" w:color="auto"/>
              <w:bottom w:val="double" w:sz="4" w:space="0" w:color="auto"/>
            </w:tcBorders>
          </w:tcPr>
          <w:p w14:paraId="73D5A712" w14:textId="77777777" w:rsidR="004139CF" w:rsidRPr="004139CF" w:rsidRDefault="004139CF" w:rsidP="004139CF">
            <w:pPr>
              <w:tabs>
                <w:tab w:val="left" w:pos="-720"/>
              </w:tabs>
              <w:suppressAutoHyphens/>
              <w:spacing w:line="360" w:lineRule="auto"/>
              <w:rPr>
                <w:rFonts w:asciiTheme="minorHAnsi" w:eastAsiaTheme="minorHAnsi" w:hAnsiTheme="minorHAnsi" w:cstheme="minorBidi"/>
                <w:b/>
                <w:lang w:eastAsia="en-US"/>
              </w:rPr>
            </w:pPr>
            <w:r w:rsidRPr="004139CF">
              <w:rPr>
                <w:rFonts w:asciiTheme="minorHAnsi" w:eastAsiaTheme="minorHAnsi" w:hAnsiTheme="minorHAnsi" w:cstheme="minorBidi"/>
                <w:b/>
                <w:lang w:eastAsia="en-US"/>
              </w:rPr>
              <w:t>Number</w:t>
            </w:r>
          </w:p>
        </w:tc>
        <w:tc>
          <w:tcPr>
            <w:tcW w:w="708" w:type="dxa"/>
            <w:tcBorders>
              <w:top w:val="double" w:sz="4" w:space="0" w:color="auto"/>
              <w:bottom w:val="double" w:sz="4" w:space="0" w:color="auto"/>
            </w:tcBorders>
          </w:tcPr>
          <w:p w14:paraId="66776143" w14:textId="77777777" w:rsidR="004139CF" w:rsidRPr="004139CF" w:rsidRDefault="004139CF" w:rsidP="004139CF">
            <w:pPr>
              <w:tabs>
                <w:tab w:val="left" w:pos="-720"/>
              </w:tabs>
              <w:suppressAutoHyphens/>
              <w:spacing w:line="360" w:lineRule="auto"/>
              <w:rPr>
                <w:rFonts w:asciiTheme="minorHAnsi" w:eastAsiaTheme="minorHAnsi" w:hAnsiTheme="minorHAnsi" w:cstheme="minorBidi"/>
                <w:b/>
                <w:lang w:eastAsia="en-US"/>
              </w:rPr>
            </w:pPr>
            <w:r w:rsidRPr="004139CF">
              <w:rPr>
                <w:rFonts w:asciiTheme="minorHAnsi" w:eastAsiaTheme="minorHAnsi" w:hAnsiTheme="minorHAnsi" w:cstheme="minorBidi"/>
                <w:b/>
                <w:lang w:eastAsia="en-US"/>
              </w:rPr>
              <w:t>Code</w:t>
            </w:r>
          </w:p>
        </w:tc>
        <w:tc>
          <w:tcPr>
            <w:tcW w:w="7371" w:type="dxa"/>
            <w:tcBorders>
              <w:top w:val="double" w:sz="4" w:space="0" w:color="auto"/>
              <w:bottom w:val="double" w:sz="4" w:space="0" w:color="auto"/>
            </w:tcBorders>
          </w:tcPr>
          <w:p w14:paraId="0CDB2DC5" w14:textId="77777777" w:rsidR="004139CF" w:rsidRPr="004139CF" w:rsidRDefault="004139CF" w:rsidP="004139CF">
            <w:pPr>
              <w:tabs>
                <w:tab w:val="left" w:pos="-720"/>
              </w:tabs>
              <w:suppressAutoHyphens/>
              <w:spacing w:line="360" w:lineRule="auto"/>
              <w:jc w:val="center"/>
              <w:rPr>
                <w:rFonts w:ascii="Sans Serif PS" w:hAnsi="Sans Serif PS" w:cs="Times New Roman"/>
                <w:sz w:val="24"/>
                <w:szCs w:val="20"/>
              </w:rPr>
            </w:pPr>
            <w:r w:rsidRPr="004139CF">
              <w:rPr>
                <w:rFonts w:asciiTheme="minorHAnsi" w:eastAsiaTheme="minorHAnsi" w:hAnsiTheme="minorHAnsi" w:cstheme="minorBidi"/>
                <w:b/>
                <w:lang w:eastAsia="en-US"/>
              </w:rPr>
              <w:t>Description</w:t>
            </w:r>
          </w:p>
        </w:tc>
      </w:tr>
      <w:tr w:rsidR="004139CF" w:rsidRPr="004139CF" w14:paraId="6EF75CF2" w14:textId="77777777" w:rsidTr="004139CF">
        <w:tc>
          <w:tcPr>
            <w:tcW w:w="993" w:type="dxa"/>
            <w:tcBorders>
              <w:top w:val="double" w:sz="4" w:space="0" w:color="auto"/>
              <w:bottom w:val="single" w:sz="4" w:space="0" w:color="auto"/>
            </w:tcBorders>
          </w:tcPr>
          <w:p w14:paraId="3AE80DA0" w14:textId="77777777" w:rsidR="004139CF" w:rsidRPr="004139CF" w:rsidRDefault="004139CF" w:rsidP="004139CF">
            <w:pPr>
              <w:rPr>
                <w:rFonts w:asciiTheme="minorHAnsi" w:eastAsiaTheme="minorHAnsi" w:hAnsiTheme="minorHAnsi" w:cstheme="minorBidi"/>
                <w:lang w:eastAsia="en-US"/>
              </w:rPr>
            </w:pPr>
            <w:r w:rsidRPr="004139CF">
              <w:rPr>
                <w:rFonts w:asciiTheme="minorHAnsi" w:eastAsiaTheme="minorHAnsi" w:hAnsiTheme="minorHAnsi" w:cstheme="minorBidi"/>
                <w:lang w:eastAsia="en-US"/>
              </w:rPr>
              <w:t>1</w:t>
            </w:r>
          </w:p>
        </w:tc>
        <w:tc>
          <w:tcPr>
            <w:tcW w:w="708" w:type="dxa"/>
            <w:tcBorders>
              <w:top w:val="double" w:sz="4" w:space="0" w:color="auto"/>
              <w:bottom w:val="single" w:sz="4" w:space="0" w:color="auto"/>
            </w:tcBorders>
          </w:tcPr>
          <w:p w14:paraId="735F738F" w14:textId="77777777" w:rsidR="004139CF" w:rsidRPr="004139CF" w:rsidRDefault="004139CF" w:rsidP="004139CF">
            <w:pPr>
              <w:rPr>
                <w:rFonts w:asciiTheme="minorHAnsi" w:eastAsiaTheme="minorHAnsi" w:hAnsiTheme="minorHAnsi" w:cstheme="minorBidi"/>
                <w:lang w:eastAsia="en-US"/>
              </w:rPr>
            </w:pPr>
            <w:r w:rsidRPr="004139CF">
              <w:rPr>
                <w:rFonts w:asciiTheme="minorHAnsi" w:eastAsiaTheme="minorHAnsi" w:hAnsiTheme="minorHAnsi" w:cstheme="minorBidi"/>
                <w:lang w:eastAsia="en-US"/>
              </w:rPr>
              <w:t>JP1</w:t>
            </w:r>
          </w:p>
        </w:tc>
        <w:tc>
          <w:tcPr>
            <w:tcW w:w="7371" w:type="dxa"/>
            <w:tcBorders>
              <w:top w:val="double" w:sz="4" w:space="0" w:color="auto"/>
              <w:bottom w:val="single" w:sz="4" w:space="0" w:color="auto"/>
            </w:tcBorders>
            <w:shd w:val="clear" w:color="auto" w:fill="auto"/>
          </w:tcPr>
          <w:p w14:paraId="2FE13D3F" w14:textId="77777777" w:rsidR="004139CF" w:rsidRPr="004139CF" w:rsidRDefault="004139CF" w:rsidP="004139CF">
            <w:pPr>
              <w:rPr>
                <w:rFonts w:asciiTheme="minorHAnsi" w:eastAsiaTheme="minorHAnsi" w:hAnsiTheme="minorHAnsi" w:cstheme="minorBidi"/>
                <w:lang w:eastAsia="en-US"/>
              </w:rPr>
            </w:pPr>
            <w:proofErr w:type="spellStart"/>
            <w:r w:rsidRPr="004139CF">
              <w:rPr>
                <w:rFonts w:asciiTheme="minorHAnsi" w:eastAsiaTheme="minorHAnsi" w:hAnsiTheme="minorHAnsi" w:cstheme="minorBidi"/>
                <w:lang w:eastAsia="en-US"/>
              </w:rPr>
              <w:t>CoMJEC</w:t>
            </w:r>
            <w:proofErr w:type="spellEnd"/>
            <w:r w:rsidRPr="004139CF">
              <w:rPr>
                <w:rFonts w:asciiTheme="minorHAnsi" w:eastAsiaTheme="minorHAnsi" w:hAnsiTheme="minorHAnsi" w:cstheme="minorBidi"/>
                <w:lang w:eastAsia="en-US"/>
              </w:rPr>
              <w:t>, with steepness calculated from the highest 1% of nearshore wave heights</w:t>
            </w:r>
          </w:p>
        </w:tc>
      </w:tr>
      <w:tr w:rsidR="004139CF" w:rsidRPr="004139CF" w14:paraId="09B6B329" w14:textId="77777777" w:rsidTr="004139CF">
        <w:tc>
          <w:tcPr>
            <w:tcW w:w="993" w:type="dxa"/>
            <w:tcBorders>
              <w:top w:val="single" w:sz="4" w:space="0" w:color="auto"/>
              <w:bottom w:val="single" w:sz="4" w:space="0" w:color="auto"/>
            </w:tcBorders>
          </w:tcPr>
          <w:p w14:paraId="22B59F8F" w14:textId="77777777" w:rsidR="004139CF" w:rsidRPr="004139CF" w:rsidRDefault="004139CF" w:rsidP="004139CF">
            <w:pPr>
              <w:rPr>
                <w:rFonts w:asciiTheme="minorHAnsi" w:eastAsiaTheme="minorHAnsi" w:hAnsiTheme="minorHAnsi" w:cstheme="minorBidi"/>
                <w:lang w:eastAsia="en-US"/>
              </w:rPr>
            </w:pPr>
            <w:r w:rsidRPr="004139CF">
              <w:rPr>
                <w:rFonts w:asciiTheme="minorHAnsi" w:eastAsiaTheme="minorHAnsi" w:hAnsiTheme="minorHAnsi" w:cstheme="minorBidi"/>
                <w:lang w:eastAsia="en-US"/>
              </w:rPr>
              <w:t>2</w:t>
            </w:r>
          </w:p>
        </w:tc>
        <w:tc>
          <w:tcPr>
            <w:tcW w:w="708" w:type="dxa"/>
            <w:tcBorders>
              <w:top w:val="single" w:sz="4" w:space="0" w:color="auto"/>
              <w:bottom w:val="single" w:sz="4" w:space="0" w:color="auto"/>
            </w:tcBorders>
          </w:tcPr>
          <w:p w14:paraId="2CB6FD4D" w14:textId="77777777" w:rsidR="004139CF" w:rsidRPr="004139CF" w:rsidRDefault="004139CF" w:rsidP="004139CF">
            <w:pPr>
              <w:rPr>
                <w:rFonts w:asciiTheme="minorHAnsi" w:eastAsiaTheme="minorHAnsi" w:hAnsiTheme="minorHAnsi" w:cstheme="minorBidi"/>
                <w:lang w:eastAsia="en-US"/>
              </w:rPr>
            </w:pPr>
            <w:r w:rsidRPr="004139CF">
              <w:rPr>
                <w:rFonts w:asciiTheme="minorHAnsi" w:eastAsiaTheme="minorHAnsi" w:hAnsiTheme="minorHAnsi" w:cstheme="minorBidi"/>
                <w:lang w:eastAsia="en-US"/>
              </w:rPr>
              <w:t>JP2</w:t>
            </w:r>
          </w:p>
        </w:tc>
        <w:tc>
          <w:tcPr>
            <w:tcW w:w="7371" w:type="dxa"/>
            <w:tcBorders>
              <w:top w:val="single" w:sz="4" w:space="0" w:color="auto"/>
              <w:bottom w:val="single" w:sz="4" w:space="0" w:color="auto"/>
            </w:tcBorders>
            <w:shd w:val="clear" w:color="auto" w:fill="auto"/>
          </w:tcPr>
          <w:p w14:paraId="03205056" w14:textId="77777777" w:rsidR="004139CF" w:rsidRPr="004139CF" w:rsidRDefault="004139CF" w:rsidP="004139CF">
            <w:pPr>
              <w:rPr>
                <w:rFonts w:asciiTheme="minorHAnsi" w:eastAsiaTheme="minorHAnsi" w:hAnsiTheme="minorHAnsi" w:cstheme="minorBidi"/>
                <w:lang w:eastAsia="en-US"/>
              </w:rPr>
            </w:pPr>
            <w:proofErr w:type="spellStart"/>
            <w:r w:rsidRPr="004139CF">
              <w:rPr>
                <w:rFonts w:asciiTheme="minorHAnsi" w:eastAsiaTheme="minorHAnsi" w:hAnsiTheme="minorHAnsi" w:cstheme="minorBidi"/>
                <w:lang w:eastAsia="en-US"/>
              </w:rPr>
              <w:t>CoMJEC</w:t>
            </w:r>
            <w:proofErr w:type="spellEnd"/>
            <w:r w:rsidRPr="004139CF">
              <w:rPr>
                <w:rFonts w:asciiTheme="minorHAnsi" w:eastAsiaTheme="minorHAnsi" w:hAnsiTheme="minorHAnsi" w:cstheme="minorBidi"/>
                <w:lang w:eastAsia="en-US"/>
              </w:rPr>
              <w:t>, with steepness set as 0.04</w:t>
            </w:r>
          </w:p>
        </w:tc>
      </w:tr>
      <w:tr w:rsidR="004139CF" w:rsidRPr="004139CF" w14:paraId="7B79356A" w14:textId="77777777" w:rsidTr="004139CF">
        <w:tc>
          <w:tcPr>
            <w:tcW w:w="993" w:type="dxa"/>
            <w:tcBorders>
              <w:top w:val="single" w:sz="4" w:space="0" w:color="auto"/>
            </w:tcBorders>
          </w:tcPr>
          <w:p w14:paraId="4103DD0D" w14:textId="77777777" w:rsidR="004139CF" w:rsidRPr="004139CF" w:rsidRDefault="004139CF" w:rsidP="004139CF">
            <w:pPr>
              <w:tabs>
                <w:tab w:val="left" w:pos="-720"/>
              </w:tabs>
              <w:suppressAutoHyphens/>
              <w:spacing w:line="360" w:lineRule="auto"/>
              <w:jc w:val="both"/>
              <w:rPr>
                <w:rFonts w:asciiTheme="minorHAnsi" w:eastAsiaTheme="minorHAnsi" w:hAnsiTheme="minorHAnsi" w:cstheme="minorBidi"/>
                <w:lang w:eastAsia="en-US"/>
              </w:rPr>
            </w:pPr>
            <w:r w:rsidRPr="004139CF">
              <w:rPr>
                <w:rFonts w:asciiTheme="minorHAnsi" w:eastAsiaTheme="minorHAnsi" w:hAnsiTheme="minorHAnsi" w:cstheme="minorBidi"/>
                <w:lang w:eastAsia="en-US"/>
              </w:rPr>
              <w:t>3</w:t>
            </w:r>
          </w:p>
        </w:tc>
        <w:tc>
          <w:tcPr>
            <w:tcW w:w="708" w:type="dxa"/>
            <w:tcBorders>
              <w:top w:val="single" w:sz="4" w:space="0" w:color="auto"/>
            </w:tcBorders>
          </w:tcPr>
          <w:p w14:paraId="4C440C30" w14:textId="77777777" w:rsidR="004139CF" w:rsidRPr="004139CF" w:rsidRDefault="004139CF" w:rsidP="004139CF">
            <w:pPr>
              <w:tabs>
                <w:tab w:val="left" w:pos="-720"/>
              </w:tabs>
              <w:suppressAutoHyphens/>
              <w:spacing w:line="360" w:lineRule="auto"/>
              <w:jc w:val="both"/>
              <w:rPr>
                <w:rFonts w:asciiTheme="minorHAnsi" w:eastAsiaTheme="minorHAnsi" w:hAnsiTheme="minorHAnsi" w:cstheme="minorBidi"/>
                <w:lang w:eastAsia="en-US"/>
              </w:rPr>
            </w:pPr>
            <w:r w:rsidRPr="004139CF">
              <w:rPr>
                <w:rFonts w:asciiTheme="minorHAnsi" w:eastAsiaTheme="minorHAnsi" w:hAnsiTheme="minorHAnsi" w:cstheme="minorBidi"/>
                <w:lang w:eastAsia="en-US"/>
              </w:rPr>
              <w:t>JP3</w:t>
            </w:r>
          </w:p>
        </w:tc>
        <w:tc>
          <w:tcPr>
            <w:tcW w:w="7371" w:type="dxa"/>
            <w:tcBorders>
              <w:top w:val="single" w:sz="4" w:space="0" w:color="auto"/>
              <w:bottom w:val="single" w:sz="4" w:space="0" w:color="auto"/>
            </w:tcBorders>
            <w:shd w:val="clear" w:color="auto" w:fill="auto"/>
          </w:tcPr>
          <w:p w14:paraId="69945B23" w14:textId="77777777" w:rsidR="004139CF" w:rsidRPr="004139CF" w:rsidRDefault="004139CF" w:rsidP="004139CF">
            <w:pPr>
              <w:rPr>
                <w:rFonts w:asciiTheme="minorHAnsi" w:eastAsiaTheme="minorHAnsi" w:hAnsiTheme="minorHAnsi" w:cstheme="minorBidi"/>
                <w:lang w:eastAsia="en-US"/>
              </w:rPr>
            </w:pPr>
            <w:proofErr w:type="spellStart"/>
            <w:r w:rsidRPr="004139CF">
              <w:rPr>
                <w:rFonts w:asciiTheme="minorHAnsi" w:eastAsiaTheme="minorHAnsi" w:hAnsiTheme="minorHAnsi" w:cstheme="minorBidi"/>
                <w:lang w:eastAsia="en-US"/>
              </w:rPr>
              <w:t>CoMJEC</w:t>
            </w:r>
            <w:proofErr w:type="spellEnd"/>
            <w:r w:rsidRPr="004139CF">
              <w:rPr>
                <w:rFonts w:asciiTheme="minorHAnsi" w:eastAsiaTheme="minorHAnsi" w:hAnsiTheme="minorHAnsi" w:cstheme="minorBidi"/>
                <w:lang w:eastAsia="en-US"/>
              </w:rPr>
              <w:t xml:space="preserve"> based on a constant steepness of 0.04, with waves parallel to the shore normal</w:t>
            </w:r>
          </w:p>
        </w:tc>
      </w:tr>
      <w:tr w:rsidR="004139CF" w:rsidRPr="004139CF" w14:paraId="6E6CA8A7" w14:textId="77777777" w:rsidTr="004139CF">
        <w:tc>
          <w:tcPr>
            <w:tcW w:w="993" w:type="dxa"/>
          </w:tcPr>
          <w:p w14:paraId="74030C54" w14:textId="77777777" w:rsidR="004139CF" w:rsidRPr="004139CF" w:rsidRDefault="004139CF" w:rsidP="004139CF">
            <w:pPr>
              <w:tabs>
                <w:tab w:val="left" w:pos="-720"/>
              </w:tabs>
              <w:suppressAutoHyphens/>
              <w:spacing w:line="360" w:lineRule="auto"/>
              <w:jc w:val="both"/>
              <w:rPr>
                <w:rFonts w:asciiTheme="minorHAnsi" w:eastAsiaTheme="minorHAnsi" w:hAnsiTheme="minorHAnsi" w:cstheme="minorBidi"/>
                <w:lang w:eastAsia="en-US"/>
              </w:rPr>
            </w:pPr>
            <w:r w:rsidRPr="004139CF">
              <w:rPr>
                <w:rFonts w:asciiTheme="minorHAnsi" w:eastAsiaTheme="minorHAnsi" w:hAnsiTheme="minorHAnsi" w:cstheme="minorBidi"/>
                <w:lang w:eastAsia="en-US"/>
              </w:rPr>
              <w:t>4</w:t>
            </w:r>
          </w:p>
        </w:tc>
        <w:tc>
          <w:tcPr>
            <w:tcW w:w="708" w:type="dxa"/>
          </w:tcPr>
          <w:p w14:paraId="33FCF737" w14:textId="77777777" w:rsidR="004139CF" w:rsidRPr="004139CF" w:rsidRDefault="004139CF" w:rsidP="004139CF">
            <w:pPr>
              <w:tabs>
                <w:tab w:val="left" w:pos="-720"/>
              </w:tabs>
              <w:suppressAutoHyphens/>
              <w:spacing w:line="360" w:lineRule="auto"/>
              <w:jc w:val="both"/>
              <w:rPr>
                <w:rFonts w:asciiTheme="minorHAnsi" w:eastAsiaTheme="minorHAnsi" w:hAnsiTheme="minorHAnsi" w:cstheme="minorBidi"/>
                <w:lang w:eastAsia="en-US"/>
              </w:rPr>
            </w:pPr>
            <w:r w:rsidRPr="004139CF">
              <w:rPr>
                <w:rFonts w:asciiTheme="minorHAnsi" w:eastAsiaTheme="minorHAnsi" w:hAnsiTheme="minorHAnsi" w:cstheme="minorBidi"/>
                <w:lang w:eastAsia="en-US"/>
              </w:rPr>
              <w:t>JP4</w:t>
            </w:r>
          </w:p>
        </w:tc>
        <w:tc>
          <w:tcPr>
            <w:tcW w:w="7371" w:type="dxa"/>
            <w:tcBorders>
              <w:top w:val="single" w:sz="4" w:space="0" w:color="auto"/>
              <w:bottom w:val="single" w:sz="4" w:space="0" w:color="auto"/>
            </w:tcBorders>
            <w:shd w:val="clear" w:color="auto" w:fill="auto"/>
          </w:tcPr>
          <w:p w14:paraId="0AA4C6D6" w14:textId="77777777" w:rsidR="004139CF" w:rsidRPr="004139CF" w:rsidRDefault="004139CF" w:rsidP="004139CF">
            <w:pPr>
              <w:rPr>
                <w:rFonts w:asciiTheme="minorHAnsi" w:eastAsiaTheme="minorHAnsi" w:hAnsiTheme="minorHAnsi" w:cstheme="minorBidi"/>
                <w:lang w:eastAsia="en-US"/>
              </w:rPr>
            </w:pPr>
            <w:proofErr w:type="spellStart"/>
            <w:r w:rsidRPr="004139CF">
              <w:rPr>
                <w:rFonts w:asciiTheme="minorHAnsi" w:eastAsiaTheme="minorHAnsi" w:hAnsiTheme="minorHAnsi" w:cstheme="minorBidi"/>
                <w:lang w:eastAsia="en-US"/>
              </w:rPr>
              <w:t>InJoPA</w:t>
            </w:r>
            <w:proofErr w:type="spellEnd"/>
            <w:r w:rsidRPr="004139CF">
              <w:rPr>
                <w:rFonts w:asciiTheme="minorHAnsi" w:eastAsiaTheme="minorHAnsi" w:hAnsiTheme="minorHAnsi" w:cstheme="minorBidi"/>
                <w:lang w:eastAsia="en-US"/>
              </w:rPr>
              <w:t xml:space="preserve"> (simplified approach), with steepness calculated from the highest 1% of nearshore wave heights</w:t>
            </w:r>
          </w:p>
        </w:tc>
      </w:tr>
      <w:tr w:rsidR="004139CF" w:rsidRPr="004139CF" w14:paraId="0DDDF248" w14:textId="77777777" w:rsidTr="004139CF">
        <w:tc>
          <w:tcPr>
            <w:tcW w:w="993" w:type="dxa"/>
          </w:tcPr>
          <w:p w14:paraId="598EEF40" w14:textId="77777777" w:rsidR="004139CF" w:rsidRPr="004139CF" w:rsidRDefault="004139CF" w:rsidP="004139CF">
            <w:pPr>
              <w:tabs>
                <w:tab w:val="left" w:pos="-720"/>
              </w:tabs>
              <w:suppressAutoHyphens/>
              <w:spacing w:line="360" w:lineRule="auto"/>
              <w:jc w:val="both"/>
              <w:rPr>
                <w:rFonts w:asciiTheme="minorHAnsi" w:eastAsiaTheme="minorHAnsi" w:hAnsiTheme="minorHAnsi" w:cstheme="minorBidi"/>
                <w:lang w:eastAsia="en-US"/>
              </w:rPr>
            </w:pPr>
            <w:r w:rsidRPr="004139CF">
              <w:rPr>
                <w:rFonts w:asciiTheme="minorHAnsi" w:eastAsiaTheme="minorHAnsi" w:hAnsiTheme="minorHAnsi" w:cstheme="minorBidi"/>
                <w:lang w:eastAsia="en-US"/>
              </w:rPr>
              <w:t>5</w:t>
            </w:r>
          </w:p>
        </w:tc>
        <w:tc>
          <w:tcPr>
            <w:tcW w:w="708" w:type="dxa"/>
          </w:tcPr>
          <w:p w14:paraId="5B7D4955" w14:textId="77777777" w:rsidR="004139CF" w:rsidRPr="004139CF" w:rsidRDefault="004139CF" w:rsidP="004139CF">
            <w:pPr>
              <w:tabs>
                <w:tab w:val="left" w:pos="-720"/>
              </w:tabs>
              <w:suppressAutoHyphens/>
              <w:spacing w:line="360" w:lineRule="auto"/>
              <w:jc w:val="both"/>
              <w:rPr>
                <w:rFonts w:asciiTheme="minorHAnsi" w:eastAsiaTheme="minorHAnsi" w:hAnsiTheme="minorHAnsi" w:cstheme="minorBidi"/>
                <w:lang w:eastAsia="en-US"/>
              </w:rPr>
            </w:pPr>
            <w:r w:rsidRPr="004139CF">
              <w:rPr>
                <w:rFonts w:asciiTheme="minorHAnsi" w:eastAsiaTheme="minorHAnsi" w:hAnsiTheme="minorHAnsi" w:cstheme="minorBidi"/>
                <w:lang w:eastAsia="en-US"/>
              </w:rPr>
              <w:t>JP5</w:t>
            </w:r>
          </w:p>
        </w:tc>
        <w:tc>
          <w:tcPr>
            <w:tcW w:w="7371" w:type="dxa"/>
            <w:tcBorders>
              <w:top w:val="single" w:sz="4" w:space="0" w:color="auto"/>
              <w:bottom w:val="single" w:sz="4" w:space="0" w:color="auto"/>
            </w:tcBorders>
            <w:shd w:val="clear" w:color="auto" w:fill="auto"/>
          </w:tcPr>
          <w:p w14:paraId="70732EF9" w14:textId="77777777" w:rsidR="004139CF" w:rsidRPr="004139CF" w:rsidRDefault="004139CF" w:rsidP="004139CF">
            <w:pPr>
              <w:rPr>
                <w:rFonts w:asciiTheme="minorHAnsi" w:eastAsiaTheme="minorHAnsi" w:hAnsiTheme="minorHAnsi" w:cstheme="minorBidi"/>
                <w:lang w:eastAsia="en-US"/>
              </w:rPr>
            </w:pPr>
            <w:proofErr w:type="spellStart"/>
            <w:r w:rsidRPr="004139CF">
              <w:rPr>
                <w:rFonts w:asciiTheme="minorHAnsi" w:eastAsiaTheme="minorHAnsi" w:hAnsiTheme="minorHAnsi" w:cstheme="minorBidi"/>
                <w:lang w:eastAsia="en-US"/>
              </w:rPr>
              <w:t>InJoPA</w:t>
            </w:r>
            <w:proofErr w:type="spellEnd"/>
            <w:r w:rsidRPr="004139CF">
              <w:rPr>
                <w:rFonts w:asciiTheme="minorHAnsi" w:eastAsiaTheme="minorHAnsi" w:hAnsiTheme="minorHAnsi" w:cstheme="minorBidi"/>
                <w:lang w:eastAsia="en-US"/>
              </w:rPr>
              <w:t xml:space="preserve"> (simplified approach</w:t>
            </w:r>
            <w:proofErr w:type="gramStart"/>
            <w:r w:rsidRPr="004139CF">
              <w:rPr>
                <w:rFonts w:asciiTheme="minorHAnsi" w:eastAsiaTheme="minorHAnsi" w:hAnsiTheme="minorHAnsi" w:cstheme="minorBidi"/>
                <w:lang w:eastAsia="en-US"/>
              </w:rPr>
              <w:t>) ,</w:t>
            </w:r>
            <w:proofErr w:type="gramEnd"/>
            <w:r w:rsidRPr="004139CF">
              <w:rPr>
                <w:rFonts w:asciiTheme="minorHAnsi" w:eastAsiaTheme="minorHAnsi" w:hAnsiTheme="minorHAnsi" w:cstheme="minorBidi"/>
                <w:lang w:eastAsia="en-US"/>
              </w:rPr>
              <w:t xml:space="preserve"> with steepness set as 0.04</w:t>
            </w:r>
          </w:p>
        </w:tc>
      </w:tr>
      <w:tr w:rsidR="004139CF" w:rsidRPr="004139CF" w14:paraId="414D3982" w14:textId="77777777" w:rsidTr="004139CF">
        <w:tc>
          <w:tcPr>
            <w:tcW w:w="993" w:type="dxa"/>
          </w:tcPr>
          <w:p w14:paraId="16A47652" w14:textId="77777777" w:rsidR="004139CF" w:rsidRPr="004139CF" w:rsidRDefault="004139CF" w:rsidP="004139CF">
            <w:pPr>
              <w:tabs>
                <w:tab w:val="left" w:pos="-720"/>
              </w:tabs>
              <w:suppressAutoHyphens/>
              <w:spacing w:line="360" w:lineRule="auto"/>
              <w:jc w:val="both"/>
              <w:rPr>
                <w:rFonts w:asciiTheme="minorHAnsi" w:eastAsiaTheme="minorHAnsi" w:hAnsiTheme="minorHAnsi" w:cstheme="minorBidi"/>
                <w:lang w:eastAsia="en-US"/>
              </w:rPr>
            </w:pPr>
            <w:r w:rsidRPr="004139CF">
              <w:rPr>
                <w:rFonts w:asciiTheme="minorHAnsi" w:eastAsiaTheme="minorHAnsi" w:hAnsiTheme="minorHAnsi" w:cstheme="minorBidi"/>
                <w:lang w:eastAsia="en-US"/>
              </w:rPr>
              <w:t>6</w:t>
            </w:r>
          </w:p>
        </w:tc>
        <w:tc>
          <w:tcPr>
            <w:tcW w:w="708" w:type="dxa"/>
          </w:tcPr>
          <w:p w14:paraId="3E5BEA2D" w14:textId="77777777" w:rsidR="004139CF" w:rsidRPr="004139CF" w:rsidRDefault="004139CF" w:rsidP="004139CF">
            <w:pPr>
              <w:tabs>
                <w:tab w:val="left" w:pos="-720"/>
              </w:tabs>
              <w:suppressAutoHyphens/>
              <w:spacing w:line="360" w:lineRule="auto"/>
              <w:jc w:val="both"/>
              <w:rPr>
                <w:rFonts w:asciiTheme="minorHAnsi" w:eastAsiaTheme="minorHAnsi" w:hAnsiTheme="minorHAnsi" w:cstheme="minorBidi"/>
                <w:lang w:eastAsia="en-US"/>
              </w:rPr>
            </w:pPr>
            <w:r w:rsidRPr="004139CF">
              <w:rPr>
                <w:rFonts w:asciiTheme="minorHAnsi" w:eastAsiaTheme="minorHAnsi" w:hAnsiTheme="minorHAnsi" w:cstheme="minorBidi"/>
                <w:lang w:eastAsia="en-US"/>
              </w:rPr>
              <w:t>JP6</w:t>
            </w:r>
          </w:p>
        </w:tc>
        <w:tc>
          <w:tcPr>
            <w:tcW w:w="7371" w:type="dxa"/>
            <w:tcBorders>
              <w:top w:val="single" w:sz="4" w:space="0" w:color="auto"/>
              <w:bottom w:val="single" w:sz="4" w:space="0" w:color="auto"/>
            </w:tcBorders>
            <w:shd w:val="clear" w:color="auto" w:fill="auto"/>
          </w:tcPr>
          <w:p w14:paraId="673397A3" w14:textId="77777777" w:rsidR="004139CF" w:rsidRPr="004139CF" w:rsidRDefault="004139CF" w:rsidP="004139CF">
            <w:pPr>
              <w:rPr>
                <w:rFonts w:asciiTheme="minorHAnsi" w:eastAsiaTheme="minorHAnsi" w:hAnsiTheme="minorHAnsi" w:cstheme="minorBidi"/>
                <w:lang w:eastAsia="en-US"/>
              </w:rPr>
            </w:pPr>
            <w:proofErr w:type="spellStart"/>
            <w:r w:rsidRPr="004139CF">
              <w:rPr>
                <w:rFonts w:asciiTheme="minorHAnsi" w:eastAsiaTheme="minorHAnsi" w:hAnsiTheme="minorHAnsi" w:cstheme="minorBidi"/>
                <w:lang w:eastAsia="en-US"/>
              </w:rPr>
              <w:t>InJoPA</w:t>
            </w:r>
            <w:proofErr w:type="spellEnd"/>
            <w:r w:rsidRPr="004139CF">
              <w:rPr>
                <w:rFonts w:asciiTheme="minorHAnsi" w:eastAsiaTheme="minorHAnsi" w:hAnsiTheme="minorHAnsi" w:cstheme="minorBidi"/>
                <w:lang w:eastAsia="en-US"/>
              </w:rPr>
              <w:t xml:space="preserve"> (simplified approach</w:t>
            </w:r>
            <w:proofErr w:type="gramStart"/>
            <w:r w:rsidRPr="004139CF">
              <w:rPr>
                <w:rFonts w:asciiTheme="minorHAnsi" w:eastAsiaTheme="minorHAnsi" w:hAnsiTheme="minorHAnsi" w:cstheme="minorBidi"/>
                <w:lang w:eastAsia="en-US"/>
              </w:rPr>
              <w:t>) ,</w:t>
            </w:r>
            <w:proofErr w:type="gramEnd"/>
            <w:r w:rsidRPr="004139CF">
              <w:rPr>
                <w:rFonts w:asciiTheme="minorHAnsi" w:eastAsiaTheme="minorHAnsi" w:hAnsiTheme="minorHAnsi" w:cstheme="minorBidi"/>
                <w:lang w:eastAsia="en-US"/>
              </w:rPr>
              <w:t xml:space="preserve"> based on a constant steepness of 0.04, with waves parallel to the shore normal</w:t>
            </w:r>
          </w:p>
        </w:tc>
      </w:tr>
      <w:tr w:rsidR="004139CF" w:rsidRPr="004139CF" w14:paraId="2C6810A0" w14:textId="77777777" w:rsidTr="004139CF">
        <w:tc>
          <w:tcPr>
            <w:tcW w:w="993" w:type="dxa"/>
          </w:tcPr>
          <w:p w14:paraId="4AA3FC47" w14:textId="77777777" w:rsidR="004139CF" w:rsidRPr="004139CF" w:rsidRDefault="004139CF" w:rsidP="004139CF">
            <w:pPr>
              <w:tabs>
                <w:tab w:val="left" w:pos="-720"/>
              </w:tabs>
              <w:suppressAutoHyphens/>
              <w:spacing w:line="360" w:lineRule="auto"/>
              <w:jc w:val="both"/>
              <w:rPr>
                <w:rFonts w:asciiTheme="minorHAnsi" w:eastAsiaTheme="minorHAnsi" w:hAnsiTheme="minorHAnsi" w:cstheme="minorBidi"/>
                <w:lang w:eastAsia="en-US"/>
              </w:rPr>
            </w:pPr>
            <w:r w:rsidRPr="004139CF">
              <w:rPr>
                <w:rFonts w:asciiTheme="minorHAnsi" w:eastAsiaTheme="minorHAnsi" w:hAnsiTheme="minorHAnsi" w:cstheme="minorBidi"/>
                <w:lang w:eastAsia="en-US"/>
              </w:rPr>
              <w:t>7</w:t>
            </w:r>
          </w:p>
        </w:tc>
        <w:tc>
          <w:tcPr>
            <w:tcW w:w="708" w:type="dxa"/>
          </w:tcPr>
          <w:p w14:paraId="101217A6" w14:textId="77777777" w:rsidR="004139CF" w:rsidRPr="004139CF" w:rsidRDefault="004139CF" w:rsidP="004139CF">
            <w:pPr>
              <w:tabs>
                <w:tab w:val="left" w:pos="-720"/>
              </w:tabs>
              <w:suppressAutoHyphens/>
              <w:spacing w:line="360" w:lineRule="auto"/>
              <w:jc w:val="both"/>
              <w:rPr>
                <w:rFonts w:asciiTheme="minorHAnsi" w:eastAsiaTheme="minorHAnsi" w:hAnsiTheme="minorHAnsi" w:cstheme="minorBidi"/>
                <w:lang w:eastAsia="en-US"/>
              </w:rPr>
            </w:pPr>
            <w:r w:rsidRPr="004139CF">
              <w:rPr>
                <w:rFonts w:asciiTheme="minorHAnsi" w:eastAsiaTheme="minorHAnsi" w:hAnsiTheme="minorHAnsi" w:cstheme="minorBidi"/>
                <w:lang w:eastAsia="en-US"/>
              </w:rPr>
              <w:t>JP7</w:t>
            </w:r>
          </w:p>
        </w:tc>
        <w:tc>
          <w:tcPr>
            <w:tcW w:w="7371" w:type="dxa"/>
            <w:tcBorders>
              <w:top w:val="single" w:sz="4" w:space="0" w:color="auto"/>
              <w:bottom w:val="single" w:sz="4" w:space="0" w:color="auto"/>
            </w:tcBorders>
            <w:shd w:val="clear" w:color="auto" w:fill="auto"/>
          </w:tcPr>
          <w:p w14:paraId="2121E557" w14:textId="77777777" w:rsidR="004139CF" w:rsidRPr="004139CF" w:rsidRDefault="004139CF" w:rsidP="004139CF">
            <w:pPr>
              <w:rPr>
                <w:rFonts w:asciiTheme="minorHAnsi" w:eastAsiaTheme="minorHAnsi" w:hAnsiTheme="minorHAnsi" w:cstheme="minorBidi"/>
                <w:lang w:eastAsia="en-US"/>
              </w:rPr>
            </w:pPr>
            <w:proofErr w:type="spellStart"/>
            <w:r w:rsidRPr="004139CF">
              <w:rPr>
                <w:rFonts w:asciiTheme="minorHAnsi" w:eastAsiaTheme="minorHAnsi" w:hAnsiTheme="minorHAnsi" w:cstheme="minorBidi"/>
                <w:lang w:eastAsia="en-US"/>
              </w:rPr>
              <w:t>InJoPA</w:t>
            </w:r>
            <w:proofErr w:type="spellEnd"/>
            <w:r w:rsidRPr="004139CF">
              <w:rPr>
                <w:rFonts w:asciiTheme="minorHAnsi" w:eastAsiaTheme="minorHAnsi" w:hAnsiTheme="minorHAnsi" w:cstheme="minorBidi"/>
                <w:lang w:eastAsia="en-US"/>
              </w:rPr>
              <w:t xml:space="preserve"> (desk-study approach), with steepness calculated from the highest 1% of nearshore wave heights</w:t>
            </w:r>
          </w:p>
        </w:tc>
      </w:tr>
      <w:tr w:rsidR="004139CF" w:rsidRPr="004139CF" w14:paraId="66BBF5F3" w14:textId="77777777" w:rsidTr="004139CF">
        <w:tc>
          <w:tcPr>
            <w:tcW w:w="993" w:type="dxa"/>
          </w:tcPr>
          <w:p w14:paraId="2F5291AF" w14:textId="77777777" w:rsidR="004139CF" w:rsidRPr="004139CF" w:rsidRDefault="004139CF" w:rsidP="004139CF">
            <w:pPr>
              <w:tabs>
                <w:tab w:val="left" w:pos="-720"/>
              </w:tabs>
              <w:suppressAutoHyphens/>
              <w:spacing w:line="360" w:lineRule="auto"/>
              <w:jc w:val="both"/>
              <w:rPr>
                <w:rFonts w:asciiTheme="minorHAnsi" w:eastAsiaTheme="minorHAnsi" w:hAnsiTheme="minorHAnsi" w:cstheme="minorBidi"/>
                <w:lang w:eastAsia="en-US"/>
              </w:rPr>
            </w:pPr>
            <w:r w:rsidRPr="004139CF">
              <w:rPr>
                <w:rFonts w:asciiTheme="minorHAnsi" w:eastAsiaTheme="minorHAnsi" w:hAnsiTheme="minorHAnsi" w:cstheme="minorBidi"/>
                <w:lang w:eastAsia="en-US"/>
              </w:rPr>
              <w:t>8</w:t>
            </w:r>
          </w:p>
        </w:tc>
        <w:tc>
          <w:tcPr>
            <w:tcW w:w="708" w:type="dxa"/>
          </w:tcPr>
          <w:p w14:paraId="0DABABF6" w14:textId="77777777" w:rsidR="004139CF" w:rsidRPr="004139CF" w:rsidRDefault="004139CF" w:rsidP="004139CF">
            <w:pPr>
              <w:tabs>
                <w:tab w:val="left" w:pos="-720"/>
              </w:tabs>
              <w:suppressAutoHyphens/>
              <w:spacing w:line="360" w:lineRule="auto"/>
              <w:jc w:val="both"/>
              <w:rPr>
                <w:rFonts w:asciiTheme="minorHAnsi" w:eastAsiaTheme="minorHAnsi" w:hAnsiTheme="minorHAnsi" w:cstheme="minorBidi"/>
                <w:lang w:eastAsia="en-US"/>
              </w:rPr>
            </w:pPr>
            <w:r w:rsidRPr="004139CF">
              <w:rPr>
                <w:rFonts w:asciiTheme="minorHAnsi" w:eastAsiaTheme="minorHAnsi" w:hAnsiTheme="minorHAnsi" w:cstheme="minorBidi"/>
                <w:lang w:eastAsia="en-US"/>
              </w:rPr>
              <w:t>JP8</w:t>
            </w:r>
          </w:p>
        </w:tc>
        <w:tc>
          <w:tcPr>
            <w:tcW w:w="7371" w:type="dxa"/>
            <w:tcBorders>
              <w:top w:val="single" w:sz="4" w:space="0" w:color="auto"/>
              <w:bottom w:val="single" w:sz="4" w:space="0" w:color="auto"/>
            </w:tcBorders>
            <w:shd w:val="clear" w:color="auto" w:fill="auto"/>
          </w:tcPr>
          <w:p w14:paraId="0DF0B77D" w14:textId="77777777" w:rsidR="004139CF" w:rsidRPr="004139CF" w:rsidRDefault="004139CF" w:rsidP="004139CF">
            <w:pPr>
              <w:rPr>
                <w:rFonts w:asciiTheme="minorHAnsi" w:eastAsiaTheme="minorHAnsi" w:hAnsiTheme="minorHAnsi" w:cstheme="minorBidi"/>
                <w:lang w:eastAsia="en-US"/>
              </w:rPr>
            </w:pPr>
            <w:proofErr w:type="spellStart"/>
            <w:r w:rsidRPr="004139CF">
              <w:rPr>
                <w:rFonts w:asciiTheme="minorHAnsi" w:eastAsiaTheme="minorHAnsi" w:hAnsiTheme="minorHAnsi" w:cstheme="minorBidi"/>
                <w:lang w:eastAsia="en-US"/>
              </w:rPr>
              <w:t>InJoPA</w:t>
            </w:r>
            <w:proofErr w:type="spellEnd"/>
            <w:r w:rsidRPr="004139CF">
              <w:rPr>
                <w:rFonts w:asciiTheme="minorHAnsi" w:eastAsiaTheme="minorHAnsi" w:hAnsiTheme="minorHAnsi" w:cstheme="minorBidi"/>
                <w:lang w:eastAsia="en-US"/>
              </w:rPr>
              <w:t xml:space="preserve"> (desk-study approach</w:t>
            </w:r>
            <w:proofErr w:type="gramStart"/>
            <w:r w:rsidRPr="004139CF">
              <w:rPr>
                <w:rFonts w:asciiTheme="minorHAnsi" w:eastAsiaTheme="minorHAnsi" w:hAnsiTheme="minorHAnsi" w:cstheme="minorBidi"/>
                <w:lang w:eastAsia="en-US"/>
              </w:rPr>
              <w:t>) ,</w:t>
            </w:r>
            <w:proofErr w:type="gramEnd"/>
            <w:r w:rsidRPr="004139CF">
              <w:rPr>
                <w:rFonts w:asciiTheme="minorHAnsi" w:eastAsiaTheme="minorHAnsi" w:hAnsiTheme="minorHAnsi" w:cstheme="minorBidi"/>
                <w:lang w:eastAsia="en-US"/>
              </w:rPr>
              <w:t xml:space="preserve"> with steepness set as 0.04</w:t>
            </w:r>
          </w:p>
        </w:tc>
      </w:tr>
      <w:tr w:rsidR="004139CF" w:rsidRPr="004139CF" w14:paraId="3BE0086E" w14:textId="77777777" w:rsidTr="004139CF">
        <w:tc>
          <w:tcPr>
            <w:tcW w:w="993" w:type="dxa"/>
          </w:tcPr>
          <w:p w14:paraId="53D74650" w14:textId="77777777" w:rsidR="004139CF" w:rsidRPr="004139CF" w:rsidRDefault="004139CF" w:rsidP="004139CF">
            <w:pPr>
              <w:rPr>
                <w:rFonts w:asciiTheme="minorHAnsi" w:eastAsiaTheme="minorHAnsi" w:hAnsiTheme="minorHAnsi" w:cstheme="minorBidi"/>
                <w:lang w:eastAsia="en-US"/>
              </w:rPr>
            </w:pPr>
            <w:r w:rsidRPr="004139CF">
              <w:rPr>
                <w:rFonts w:asciiTheme="minorHAnsi" w:eastAsiaTheme="minorHAnsi" w:hAnsiTheme="minorHAnsi" w:cstheme="minorBidi"/>
                <w:lang w:eastAsia="en-US"/>
              </w:rPr>
              <w:t>9</w:t>
            </w:r>
          </w:p>
        </w:tc>
        <w:tc>
          <w:tcPr>
            <w:tcW w:w="708" w:type="dxa"/>
          </w:tcPr>
          <w:p w14:paraId="04B15F81" w14:textId="77777777" w:rsidR="004139CF" w:rsidRPr="004139CF" w:rsidRDefault="004139CF" w:rsidP="004139CF">
            <w:pPr>
              <w:rPr>
                <w:rFonts w:asciiTheme="minorHAnsi" w:eastAsiaTheme="minorHAnsi" w:hAnsiTheme="minorHAnsi" w:cstheme="minorBidi"/>
                <w:lang w:eastAsia="en-US"/>
              </w:rPr>
            </w:pPr>
            <w:r w:rsidRPr="004139CF">
              <w:rPr>
                <w:rFonts w:asciiTheme="minorHAnsi" w:eastAsiaTheme="minorHAnsi" w:hAnsiTheme="minorHAnsi" w:cstheme="minorBidi"/>
                <w:lang w:eastAsia="en-US"/>
              </w:rPr>
              <w:t>JP9</w:t>
            </w:r>
          </w:p>
        </w:tc>
        <w:tc>
          <w:tcPr>
            <w:tcW w:w="7371" w:type="dxa"/>
            <w:tcBorders>
              <w:top w:val="single" w:sz="4" w:space="0" w:color="auto"/>
              <w:bottom w:val="double" w:sz="4" w:space="0" w:color="auto"/>
            </w:tcBorders>
            <w:shd w:val="clear" w:color="auto" w:fill="auto"/>
          </w:tcPr>
          <w:p w14:paraId="23A995AE" w14:textId="77777777" w:rsidR="004139CF" w:rsidRPr="004139CF" w:rsidRDefault="004139CF" w:rsidP="004139CF">
            <w:pPr>
              <w:rPr>
                <w:rFonts w:asciiTheme="minorHAnsi" w:eastAsiaTheme="minorHAnsi" w:hAnsiTheme="minorHAnsi" w:cstheme="minorBidi"/>
                <w:lang w:eastAsia="en-US"/>
              </w:rPr>
            </w:pPr>
            <w:proofErr w:type="spellStart"/>
            <w:r w:rsidRPr="004139CF">
              <w:rPr>
                <w:rFonts w:asciiTheme="minorHAnsi" w:eastAsiaTheme="minorHAnsi" w:hAnsiTheme="minorHAnsi" w:cstheme="minorBidi"/>
                <w:lang w:eastAsia="en-US"/>
              </w:rPr>
              <w:t>InJoPA</w:t>
            </w:r>
            <w:proofErr w:type="spellEnd"/>
            <w:r w:rsidRPr="004139CF">
              <w:rPr>
                <w:rFonts w:asciiTheme="minorHAnsi" w:eastAsiaTheme="minorHAnsi" w:hAnsiTheme="minorHAnsi" w:cstheme="minorBidi"/>
                <w:lang w:eastAsia="en-US"/>
              </w:rPr>
              <w:t xml:space="preserve"> (desk-study approach</w:t>
            </w:r>
            <w:proofErr w:type="gramStart"/>
            <w:r w:rsidRPr="004139CF">
              <w:rPr>
                <w:rFonts w:asciiTheme="minorHAnsi" w:eastAsiaTheme="minorHAnsi" w:hAnsiTheme="minorHAnsi" w:cstheme="minorBidi"/>
                <w:lang w:eastAsia="en-US"/>
              </w:rPr>
              <w:t>) ,</w:t>
            </w:r>
            <w:proofErr w:type="gramEnd"/>
            <w:r w:rsidRPr="004139CF">
              <w:rPr>
                <w:rFonts w:asciiTheme="minorHAnsi" w:eastAsiaTheme="minorHAnsi" w:hAnsiTheme="minorHAnsi" w:cstheme="minorBidi"/>
                <w:lang w:eastAsia="en-US"/>
              </w:rPr>
              <w:t xml:space="preserve"> based on a constant steepness of 0.04, with waves parallel to the shore normal</w:t>
            </w:r>
          </w:p>
        </w:tc>
      </w:tr>
    </w:tbl>
    <w:p w14:paraId="71CF2751" w14:textId="77777777" w:rsidR="004139CF" w:rsidRPr="00491085" w:rsidRDefault="004139CF" w:rsidP="004139CF">
      <w:pPr>
        <w:spacing w:line="360" w:lineRule="auto"/>
        <w:rPr>
          <w:sz w:val="20"/>
          <w:szCs w:val="20"/>
        </w:rPr>
      </w:pPr>
      <w:r>
        <w:rPr>
          <w:sz w:val="20"/>
          <w:szCs w:val="20"/>
        </w:rPr>
        <w:t>Table 1. Different joint exceedance curve approaches assessed.</w:t>
      </w:r>
    </w:p>
    <w:p w14:paraId="2C1683F6" w14:textId="77777777" w:rsidR="009F4B33" w:rsidRDefault="009F4B33" w:rsidP="00A3696E">
      <w:pPr>
        <w:spacing w:line="480" w:lineRule="auto"/>
        <w:rPr>
          <w:b/>
          <w:sz w:val="20"/>
          <w:szCs w:val="20"/>
        </w:rPr>
      </w:pPr>
    </w:p>
    <w:p w14:paraId="76D136C0" w14:textId="77777777" w:rsidR="000C2896" w:rsidRPr="000C2896" w:rsidRDefault="000C2896" w:rsidP="000C2896">
      <w:pPr>
        <w:spacing w:line="480" w:lineRule="auto"/>
        <w:rPr>
          <w:b/>
          <w:sz w:val="20"/>
          <w:szCs w:val="20"/>
        </w:rPr>
      </w:pPr>
      <w:r w:rsidRPr="000C2896">
        <w:rPr>
          <w:b/>
          <w:sz w:val="20"/>
          <w:szCs w:val="20"/>
        </w:rPr>
        <w:t>4.1 Overtopping</w:t>
      </w:r>
    </w:p>
    <w:p w14:paraId="532E6167" w14:textId="77777777" w:rsidR="000C2896" w:rsidRPr="000C2896" w:rsidRDefault="000C2896" w:rsidP="000C2896">
      <w:pPr>
        <w:spacing w:line="480" w:lineRule="auto"/>
        <w:rPr>
          <w:b/>
          <w:i/>
          <w:sz w:val="20"/>
          <w:szCs w:val="20"/>
        </w:rPr>
      </w:pPr>
      <w:r w:rsidRPr="000C2896">
        <w:rPr>
          <w:b/>
          <w:i/>
          <w:sz w:val="20"/>
          <w:szCs w:val="20"/>
        </w:rPr>
        <w:t>4.1.1 Overtopping for all defence types</w:t>
      </w:r>
    </w:p>
    <w:p w14:paraId="355B9DC9" w14:textId="77777777" w:rsidR="00791789" w:rsidRDefault="000C2896" w:rsidP="000C2896">
      <w:pPr>
        <w:spacing w:line="480" w:lineRule="auto"/>
        <w:rPr>
          <w:sz w:val="20"/>
          <w:szCs w:val="20"/>
        </w:rPr>
      </w:pPr>
      <w:r w:rsidRPr="000C2896">
        <w:rPr>
          <w:sz w:val="20"/>
          <w:szCs w:val="20"/>
        </w:rPr>
        <w:lastRenderedPageBreak/>
        <w:t xml:space="preserve">Figure </w:t>
      </w:r>
      <w:r w:rsidR="00B02A85">
        <w:rPr>
          <w:sz w:val="20"/>
          <w:szCs w:val="20"/>
        </w:rPr>
        <w:t>2</w:t>
      </w:r>
      <w:r w:rsidRPr="000C2896">
        <w:rPr>
          <w:sz w:val="20"/>
          <w:szCs w:val="20"/>
        </w:rPr>
        <w:t xml:space="preserve"> shows the cumulative distribution function of the </w:t>
      </w:r>
      <w:r w:rsidR="00246DE6">
        <w:rPr>
          <w:sz w:val="20"/>
          <w:szCs w:val="20"/>
        </w:rPr>
        <w:t>RP</w:t>
      </w:r>
      <w:r w:rsidR="001A3502">
        <w:rPr>
          <w:sz w:val="20"/>
          <w:szCs w:val="20"/>
        </w:rPr>
        <w:t>R</w:t>
      </w:r>
      <w:r w:rsidR="00246DE6">
        <w:rPr>
          <w:sz w:val="20"/>
          <w:szCs w:val="20"/>
        </w:rPr>
        <w:t>R</w:t>
      </w:r>
      <w:r w:rsidR="00C97121">
        <w:rPr>
          <w:sz w:val="20"/>
          <w:szCs w:val="20"/>
        </w:rPr>
        <w:t xml:space="preserve"> </w:t>
      </w:r>
      <w:r w:rsidRPr="000C2896">
        <w:rPr>
          <w:sz w:val="20"/>
          <w:szCs w:val="20"/>
        </w:rPr>
        <w:t xml:space="preserve">for the different approaches considered for all structure types.  </w:t>
      </w:r>
      <w:r w:rsidR="00791789">
        <w:rPr>
          <w:sz w:val="20"/>
          <w:szCs w:val="20"/>
        </w:rPr>
        <w:t xml:space="preserve">Results are not shown for JP7, JP8 and JP9 as they are generally </w:t>
      </w:r>
      <w:proofErr w:type="gramStart"/>
      <w:r w:rsidR="00791789">
        <w:rPr>
          <w:sz w:val="20"/>
          <w:szCs w:val="20"/>
        </w:rPr>
        <w:t>similar to</w:t>
      </w:r>
      <w:proofErr w:type="gramEnd"/>
      <w:r w:rsidR="00791789">
        <w:rPr>
          <w:sz w:val="20"/>
          <w:szCs w:val="20"/>
        </w:rPr>
        <w:t xml:space="preserve"> JP4, JP5 and JP6 respectively, although relevant comments on the result of the analysis on these </w:t>
      </w:r>
      <w:r w:rsidR="000B499F">
        <w:rPr>
          <w:sz w:val="20"/>
          <w:szCs w:val="20"/>
        </w:rPr>
        <w:t>approaches</w:t>
      </w:r>
      <w:r w:rsidR="00791789">
        <w:rPr>
          <w:sz w:val="20"/>
          <w:szCs w:val="20"/>
        </w:rPr>
        <w:t xml:space="preserve"> are given.</w:t>
      </w:r>
    </w:p>
    <w:p w14:paraId="16C0FB0B" w14:textId="77777777" w:rsidR="00791789" w:rsidRDefault="00791789" w:rsidP="000C2896">
      <w:pPr>
        <w:spacing w:line="480" w:lineRule="auto"/>
        <w:rPr>
          <w:sz w:val="20"/>
          <w:szCs w:val="20"/>
        </w:rPr>
      </w:pPr>
    </w:p>
    <w:p w14:paraId="046B925E" w14:textId="77777777" w:rsidR="00563AD5" w:rsidRPr="000C2896" w:rsidRDefault="00791789" w:rsidP="000C2896">
      <w:pPr>
        <w:spacing w:line="480" w:lineRule="auto"/>
        <w:rPr>
          <w:sz w:val="20"/>
          <w:szCs w:val="20"/>
        </w:rPr>
      </w:pPr>
      <w:r>
        <w:rPr>
          <w:sz w:val="20"/>
          <w:szCs w:val="20"/>
        </w:rPr>
        <w:t xml:space="preserve">Figure 2 </w:t>
      </w:r>
      <w:r w:rsidR="000C2896" w:rsidRPr="000C2896">
        <w:rPr>
          <w:sz w:val="20"/>
          <w:szCs w:val="20"/>
        </w:rPr>
        <w:t xml:space="preserve">indicates that the </w:t>
      </w:r>
      <w:r w:rsidR="00147498">
        <w:rPr>
          <w:sz w:val="20"/>
          <w:szCs w:val="20"/>
        </w:rPr>
        <w:t>return period</w:t>
      </w:r>
      <w:r w:rsidR="00FA6439">
        <w:rPr>
          <w:sz w:val="20"/>
          <w:szCs w:val="20"/>
        </w:rPr>
        <w:t xml:space="preserve"> </w:t>
      </w:r>
      <w:r w:rsidR="000C2896" w:rsidRPr="000C2896">
        <w:rPr>
          <w:sz w:val="20"/>
          <w:szCs w:val="20"/>
        </w:rPr>
        <w:t xml:space="preserve">estimated by a </w:t>
      </w:r>
      <w:r w:rsidR="00EF06DB">
        <w:rPr>
          <w:sz w:val="20"/>
          <w:szCs w:val="20"/>
        </w:rPr>
        <w:t>joint exceedance</w:t>
      </w:r>
      <w:r w:rsidR="000C2896" w:rsidRPr="000C2896">
        <w:rPr>
          <w:sz w:val="20"/>
          <w:szCs w:val="20"/>
        </w:rPr>
        <w:t xml:space="preserve"> curve </w:t>
      </w:r>
      <w:r w:rsidR="00CF00BC">
        <w:rPr>
          <w:sz w:val="20"/>
          <w:szCs w:val="20"/>
        </w:rPr>
        <w:t xml:space="preserve">is most likely to </w:t>
      </w:r>
      <w:r>
        <w:rPr>
          <w:sz w:val="20"/>
          <w:szCs w:val="20"/>
        </w:rPr>
        <w:t xml:space="preserve">underestimate the </w:t>
      </w:r>
      <w:r w:rsidR="00CF00BC">
        <w:rPr>
          <w:sz w:val="20"/>
          <w:szCs w:val="20"/>
        </w:rPr>
        <w:t xml:space="preserve">benchmark </w:t>
      </w:r>
      <w:r w:rsidR="00147498">
        <w:rPr>
          <w:sz w:val="20"/>
          <w:szCs w:val="20"/>
        </w:rPr>
        <w:t>return period (</w:t>
      </w:r>
      <w:r w:rsidR="00FA6439">
        <w:rPr>
          <w:sz w:val="20"/>
          <w:szCs w:val="20"/>
        </w:rPr>
        <w:t>R</w:t>
      </w:r>
      <w:r w:rsidR="00CD2405">
        <w:rPr>
          <w:sz w:val="20"/>
          <w:szCs w:val="20"/>
        </w:rPr>
        <w:t>P</w:t>
      </w:r>
      <w:r w:rsidR="001A3502">
        <w:rPr>
          <w:sz w:val="20"/>
          <w:szCs w:val="20"/>
        </w:rPr>
        <w:t>RR</w:t>
      </w:r>
      <w:r w:rsidR="00147498">
        <w:rPr>
          <w:sz w:val="20"/>
          <w:szCs w:val="20"/>
        </w:rPr>
        <w:t>&lt;1)</w:t>
      </w:r>
      <w:r w:rsidR="000C2896" w:rsidRPr="000C2896">
        <w:rPr>
          <w:sz w:val="20"/>
          <w:szCs w:val="20"/>
        </w:rPr>
        <w:t xml:space="preserve">, which in some cases can be significant.  JP1 gives </w:t>
      </w:r>
      <w:r w:rsidR="00147498">
        <w:rPr>
          <w:sz w:val="20"/>
          <w:szCs w:val="20"/>
        </w:rPr>
        <w:t>return periods</w:t>
      </w:r>
      <w:r w:rsidR="000C2896" w:rsidRPr="000C2896">
        <w:rPr>
          <w:sz w:val="20"/>
          <w:szCs w:val="20"/>
        </w:rPr>
        <w:t xml:space="preserve"> most consistent with the RV approach, with the </w:t>
      </w:r>
      <w:r w:rsidR="00CD2405">
        <w:rPr>
          <w:sz w:val="20"/>
          <w:szCs w:val="20"/>
        </w:rPr>
        <w:t>RP</w:t>
      </w:r>
      <w:r w:rsidR="001A3502">
        <w:rPr>
          <w:sz w:val="20"/>
          <w:szCs w:val="20"/>
        </w:rPr>
        <w:t>RR</w:t>
      </w:r>
      <w:r w:rsidR="00CD2405">
        <w:rPr>
          <w:sz w:val="20"/>
          <w:szCs w:val="20"/>
        </w:rPr>
        <w:t xml:space="preserve"> </w:t>
      </w:r>
      <w:r w:rsidR="000C2896" w:rsidRPr="000C2896">
        <w:rPr>
          <w:sz w:val="20"/>
          <w:szCs w:val="20"/>
        </w:rPr>
        <w:t xml:space="preserve">calculated from JP1 being within a factor of 2 of the </w:t>
      </w:r>
      <w:r w:rsidR="006863BA">
        <w:rPr>
          <w:sz w:val="20"/>
          <w:szCs w:val="20"/>
        </w:rPr>
        <w:t>benchmark</w:t>
      </w:r>
      <w:r w:rsidR="000C2896" w:rsidRPr="000C2896">
        <w:rPr>
          <w:sz w:val="20"/>
          <w:szCs w:val="20"/>
        </w:rPr>
        <w:t xml:space="preserve"> </w:t>
      </w:r>
      <w:r w:rsidR="002E152D">
        <w:rPr>
          <w:sz w:val="20"/>
          <w:szCs w:val="20"/>
        </w:rPr>
        <w:t xml:space="preserve">return </w:t>
      </w:r>
      <w:proofErr w:type="gramStart"/>
      <w:r w:rsidR="002E152D">
        <w:rPr>
          <w:sz w:val="20"/>
          <w:szCs w:val="20"/>
        </w:rPr>
        <w:t>period</w:t>
      </w:r>
      <w:proofErr w:type="gramEnd"/>
      <w:r w:rsidR="00FA6439">
        <w:rPr>
          <w:sz w:val="20"/>
          <w:szCs w:val="20"/>
        </w:rPr>
        <w:t xml:space="preserve"> </w:t>
      </w:r>
      <w:r w:rsidR="00BD5039">
        <w:rPr>
          <w:sz w:val="20"/>
          <w:szCs w:val="20"/>
        </w:rPr>
        <w:t xml:space="preserve">for </w:t>
      </w:r>
      <w:r w:rsidR="000C2896" w:rsidRPr="000C2896">
        <w:rPr>
          <w:sz w:val="20"/>
          <w:szCs w:val="20"/>
        </w:rPr>
        <w:t xml:space="preserve">about 40% of the </w:t>
      </w:r>
      <w:r w:rsidR="00BD5039">
        <w:rPr>
          <w:sz w:val="20"/>
          <w:szCs w:val="20"/>
        </w:rPr>
        <w:t>defences tested.</w:t>
      </w:r>
      <w:r w:rsidR="000C2896" w:rsidRPr="000C2896">
        <w:rPr>
          <w:sz w:val="20"/>
          <w:szCs w:val="20"/>
        </w:rPr>
        <w:t xml:space="preserve">  </w:t>
      </w:r>
      <w:r w:rsidR="008742CD">
        <w:rPr>
          <w:sz w:val="20"/>
          <w:szCs w:val="20"/>
        </w:rPr>
        <w:t xml:space="preserve">For approximately 7% of the defences tested, JP1 can underestimate the benchmark </w:t>
      </w:r>
      <w:r w:rsidR="002E152D">
        <w:rPr>
          <w:sz w:val="20"/>
          <w:szCs w:val="20"/>
        </w:rPr>
        <w:t>return period</w:t>
      </w:r>
      <w:r w:rsidR="008742CD">
        <w:rPr>
          <w:sz w:val="20"/>
          <w:szCs w:val="20"/>
        </w:rPr>
        <w:t xml:space="preserve"> by a factor of at least 10.  </w:t>
      </w:r>
      <w:r w:rsidR="000C2896" w:rsidRPr="000C2896">
        <w:rPr>
          <w:sz w:val="20"/>
          <w:szCs w:val="20"/>
        </w:rPr>
        <w:t xml:space="preserve">This </w:t>
      </w:r>
      <w:r w:rsidR="00880BCD">
        <w:rPr>
          <w:sz w:val="20"/>
          <w:szCs w:val="20"/>
        </w:rPr>
        <w:t>suggests</w:t>
      </w:r>
      <w:r w:rsidR="000C2896" w:rsidRPr="000C2896">
        <w:rPr>
          <w:sz w:val="20"/>
          <w:szCs w:val="20"/>
        </w:rPr>
        <w:t xml:space="preserve"> that about 1 in 15 structures designed or assessed to limit design overtopping rates to a return period of 100 years using JP1, </w:t>
      </w:r>
      <w:proofErr w:type="gramStart"/>
      <w:r w:rsidR="000C2896" w:rsidRPr="000C2896">
        <w:rPr>
          <w:sz w:val="20"/>
          <w:szCs w:val="20"/>
        </w:rPr>
        <w:t>actually have</w:t>
      </w:r>
      <w:proofErr w:type="gramEnd"/>
      <w:r w:rsidR="000C2896" w:rsidRPr="000C2896">
        <w:rPr>
          <w:sz w:val="20"/>
          <w:szCs w:val="20"/>
        </w:rPr>
        <w:t xml:space="preserve"> a design standard for overtopping of less than 10 years</w:t>
      </w:r>
      <w:r w:rsidR="006863BA">
        <w:rPr>
          <w:sz w:val="20"/>
          <w:szCs w:val="20"/>
        </w:rPr>
        <w:t xml:space="preserve"> if no correction factors are applied.</w:t>
      </w:r>
      <w:r w:rsidR="00563AD5">
        <w:rPr>
          <w:sz w:val="20"/>
          <w:szCs w:val="20"/>
        </w:rPr>
        <w:t xml:space="preserve">  JP2 unsurprisingly closely mirrors JP1 as the joint exceedance curve has been derived in the same way, with the only difference based on how wave period has been determined.  However, the choice of period based on assumptions on wave steepness rather than an assessment of the data means that </w:t>
      </w:r>
      <w:r w:rsidR="00563AD5" w:rsidRPr="00563AD5">
        <w:rPr>
          <w:sz w:val="20"/>
          <w:szCs w:val="20"/>
        </w:rPr>
        <w:t>JP2 is more likely to result in a greater variation in the return period when compared</w:t>
      </w:r>
      <w:r w:rsidR="00563AD5">
        <w:rPr>
          <w:sz w:val="20"/>
          <w:szCs w:val="20"/>
        </w:rPr>
        <w:t xml:space="preserve"> to the benchmark return period, although generally a better approximation than the other joint exceedance curve approaches.</w:t>
      </w:r>
    </w:p>
    <w:p w14:paraId="2DDACA8F" w14:textId="77777777" w:rsidR="000C2896" w:rsidRDefault="000C2896" w:rsidP="000C2896">
      <w:pPr>
        <w:spacing w:line="480" w:lineRule="auto"/>
        <w:rPr>
          <w:sz w:val="20"/>
          <w:szCs w:val="20"/>
        </w:rPr>
      </w:pPr>
    </w:p>
    <w:p w14:paraId="3D99A272" w14:textId="77777777" w:rsidR="00256485" w:rsidRDefault="006863BA" w:rsidP="000C2896">
      <w:pPr>
        <w:spacing w:line="480" w:lineRule="auto"/>
        <w:rPr>
          <w:sz w:val="20"/>
          <w:szCs w:val="20"/>
        </w:rPr>
      </w:pPr>
      <w:r w:rsidRPr="000C2896">
        <w:rPr>
          <w:sz w:val="20"/>
          <w:szCs w:val="20"/>
        </w:rPr>
        <w:t xml:space="preserve">For </w:t>
      </w:r>
      <w:r w:rsidR="00F95E7F">
        <w:rPr>
          <w:sz w:val="20"/>
          <w:szCs w:val="20"/>
        </w:rPr>
        <w:t xml:space="preserve">the </w:t>
      </w:r>
      <w:r w:rsidRPr="000C2896">
        <w:rPr>
          <w:sz w:val="20"/>
          <w:szCs w:val="20"/>
        </w:rPr>
        <w:t xml:space="preserve">other approaches, the </w:t>
      </w:r>
      <w:r w:rsidR="00F95E7F">
        <w:rPr>
          <w:sz w:val="20"/>
          <w:szCs w:val="20"/>
        </w:rPr>
        <w:t>variation in RP</w:t>
      </w:r>
      <w:r w:rsidR="001A3502">
        <w:rPr>
          <w:sz w:val="20"/>
          <w:szCs w:val="20"/>
        </w:rPr>
        <w:t>RR</w:t>
      </w:r>
      <w:r w:rsidR="00F95E7F">
        <w:rPr>
          <w:sz w:val="20"/>
          <w:szCs w:val="20"/>
        </w:rPr>
        <w:t xml:space="preserve"> </w:t>
      </w:r>
      <w:r w:rsidRPr="000C2896">
        <w:rPr>
          <w:sz w:val="20"/>
          <w:szCs w:val="20"/>
        </w:rPr>
        <w:t xml:space="preserve">can be significantly greater.  </w:t>
      </w:r>
      <w:r w:rsidR="003642C1">
        <w:rPr>
          <w:sz w:val="20"/>
          <w:szCs w:val="20"/>
        </w:rPr>
        <w:t xml:space="preserve">The </w:t>
      </w:r>
      <w:proofErr w:type="spellStart"/>
      <w:r w:rsidR="003642C1">
        <w:rPr>
          <w:sz w:val="20"/>
          <w:szCs w:val="20"/>
        </w:rPr>
        <w:t>InJoPA</w:t>
      </w:r>
      <w:proofErr w:type="spellEnd"/>
      <w:r w:rsidR="003642C1">
        <w:rPr>
          <w:sz w:val="20"/>
          <w:szCs w:val="20"/>
        </w:rPr>
        <w:t xml:space="preserve"> approaches (JP4-JP</w:t>
      </w:r>
      <w:r w:rsidR="00D310E8">
        <w:rPr>
          <w:sz w:val="20"/>
          <w:szCs w:val="20"/>
        </w:rPr>
        <w:t>5 and JP7-JP8</w:t>
      </w:r>
      <w:r w:rsidR="003642C1">
        <w:rPr>
          <w:sz w:val="20"/>
          <w:szCs w:val="20"/>
        </w:rPr>
        <w:t xml:space="preserve">) </w:t>
      </w:r>
      <w:r w:rsidR="00D310E8">
        <w:rPr>
          <w:sz w:val="20"/>
          <w:szCs w:val="20"/>
        </w:rPr>
        <w:t xml:space="preserve">are much more likely to underestimate the benchmark </w:t>
      </w:r>
      <w:r w:rsidR="002E152D">
        <w:rPr>
          <w:sz w:val="20"/>
          <w:szCs w:val="20"/>
        </w:rPr>
        <w:t>return period</w:t>
      </w:r>
      <w:r w:rsidR="00CD2405">
        <w:rPr>
          <w:sz w:val="20"/>
          <w:szCs w:val="20"/>
        </w:rPr>
        <w:t xml:space="preserve"> </w:t>
      </w:r>
      <w:r w:rsidR="00D310E8">
        <w:rPr>
          <w:sz w:val="20"/>
          <w:szCs w:val="20"/>
        </w:rPr>
        <w:t xml:space="preserve">when compared to the JP1 approach.  With JP1 underestimating the benchmark </w:t>
      </w:r>
      <w:r w:rsidR="002E152D">
        <w:rPr>
          <w:sz w:val="20"/>
          <w:szCs w:val="20"/>
        </w:rPr>
        <w:t>return period</w:t>
      </w:r>
      <w:r w:rsidR="00D310E8">
        <w:rPr>
          <w:sz w:val="20"/>
          <w:szCs w:val="20"/>
        </w:rPr>
        <w:t xml:space="preserve"> by a factor of at least 10 7% of the time, this </w:t>
      </w:r>
      <w:r w:rsidR="005477D2">
        <w:rPr>
          <w:sz w:val="20"/>
          <w:szCs w:val="20"/>
        </w:rPr>
        <w:t xml:space="preserve">underestimate increases to about 39% for JP4 and JP5, and about 32% for JP7 and JP8.  When wave direction is not accounted for (JP6 and JP9) these differences are not as great, however this is a factor of overtopping increasing when not accounting for direction, and therefore masking the general underestimate of overtopping rates when using one of the </w:t>
      </w:r>
      <w:proofErr w:type="spellStart"/>
      <w:r w:rsidR="005477D2">
        <w:rPr>
          <w:sz w:val="20"/>
          <w:szCs w:val="20"/>
        </w:rPr>
        <w:t>InJoPA</w:t>
      </w:r>
      <w:proofErr w:type="spellEnd"/>
      <w:r w:rsidR="005477D2">
        <w:rPr>
          <w:sz w:val="20"/>
          <w:szCs w:val="20"/>
        </w:rPr>
        <w:t xml:space="preserve"> approaches.  Conversely this also indicates that </w:t>
      </w:r>
      <w:r w:rsidR="00CD2405">
        <w:rPr>
          <w:sz w:val="20"/>
          <w:szCs w:val="20"/>
        </w:rPr>
        <w:t xml:space="preserve">the </w:t>
      </w:r>
      <w:r w:rsidR="002E152D">
        <w:rPr>
          <w:sz w:val="20"/>
          <w:szCs w:val="20"/>
        </w:rPr>
        <w:t>return period</w:t>
      </w:r>
      <w:r w:rsidR="00CD2405">
        <w:rPr>
          <w:sz w:val="20"/>
          <w:szCs w:val="20"/>
        </w:rPr>
        <w:t xml:space="preserve"> is</w:t>
      </w:r>
      <w:r w:rsidR="005477D2">
        <w:rPr>
          <w:sz w:val="20"/>
          <w:szCs w:val="20"/>
        </w:rPr>
        <w:t xml:space="preserve"> much more likely to be over-estimated when </w:t>
      </w:r>
      <w:r w:rsidR="00256485">
        <w:rPr>
          <w:sz w:val="20"/>
          <w:szCs w:val="20"/>
        </w:rPr>
        <w:t xml:space="preserve">direction is not accounted for when using one of the </w:t>
      </w:r>
      <w:proofErr w:type="spellStart"/>
      <w:r w:rsidR="00256485">
        <w:rPr>
          <w:sz w:val="20"/>
          <w:szCs w:val="20"/>
        </w:rPr>
        <w:t>InJoPA</w:t>
      </w:r>
      <w:proofErr w:type="spellEnd"/>
      <w:r w:rsidR="00256485">
        <w:rPr>
          <w:sz w:val="20"/>
          <w:szCs w:val="20"/>
        </w:rPr>
        <w:t xml:space="preserve"> approaches, </w:t>
      </w:r>
      <w:r w:rsidR="00256485" w:rsidRPr="00256485">
        <w:rPr>
          <w:sz w:val="20"/>
          <w:szCs w:val="20"/>
        </w:rPr>
        <w:t>JP6 and JP9</w:t>
      </w:r>
      <w:r w:rsidR="00CD2405">
        <w:rPr>
          <w:sz w:val="20"/>
          <w:szCs w:val="20"/>
        </w:rPr>
        <w:t xml:space="preserve">, which occurred for about 27% of </w:t>
      </w:r>
      <w:r w:rsidR="00CD2405">
        <w:rPr>
          <w:sz w:val="20"/>
          <w:szCs w:val="20"/>
        </w:rPr>
        <w:lastRenderedPageBreak/>
        <w:t>the defences tested</w:t>
      </w:r>
      <w:r w:rsidR="00256485">
        <w:rPr>
          <w:sz w:val="20"/>
          <w:szCs w:val="20"/>
        </w:rPr>
        <w:t>.</w:t>
      </w:r>
      <w:r w:rsidR="00CD2405">
        <w:rPr>
          <w:sz w:val="20"/>
          <w:szCs w:val="20"/>
        </w:rPr>
        <w:t xml:space="preserve">  Unsurprisingly considering the comments above, the RP</w:t>
      </w:r>
      <w:r w:rsidR="001A3502">
        <w:rPr>
          <w:sz w:val="20"/>
          <w:szCs w:val="20"/>
        </w:rPr>
        <w:t>RR</w:t>
      </w:r>
      <w:r w:rsidR="00CD2405">
        <w:rPr>
          <w:sz w:val="20"/>
          <w:szCs w:val="20"/>
        </w:rPr>
        <w:t xml:space="preserve"> calculated using JP3 is least likely to underestimate the benchmark </w:t>
      </w:r>
      <w:r w:rsidR="002E152D">
        <w:rPr>
          <w:sz w:val="20"/>
          <w:szCs w:val="20"/>
        </w:rPr>
        <w:t>return period</w:t>
      </w:r>
      <w:r w:rsidR="00CD2405">
        <w:rPr>
          <w:sz w:val="20"/>
          <w:szCs w:val="20"/>
        </w:rPr>
        <w:t xml:space="preserve">, although the effect of not accounting for direction when using this </w:t>
      </w:r>
      <w:proofErr w:type="spellStart"/>
      <w:r w:rsidR="00CD2405">
        <w:rPr>
          <w:sz w:val="20"/>
          <w:szCs w:val="20"/>
        </w:rPr>
        <w:t>CoMJEC</w:t>
      </w:r>
      <w:proofErr w:type="spellEnd"/>
      <w:r w:rsidR="00CD2405">
        <w:rPr>
          <w:sz w:val="20"/>
          <w:szCs w:val="20"/>
        </w:rPr>
        <w:t xml:space="preserve"> approach still results in an underestimate of the benchmark </w:t>
      </w:r>
      <w:r w:rsidR="00185630">
        <w:rPr>
          <w:sz w:val="20"/>
          <w:szCs w:val="20"/>
        </w:rPr>
        <w:t xml:space="preserve">return period </w:t>
      </w:r>
      <w:r w:rsidR="00CD2405">
        <w:rPr>
          <w:sz w:val="20"/>
          <w:szCs w:val="20"/>
        </w:rPr>
        <w:t>for most defences tested.</w:t>
      </w:r>
    </w:p>
    <w:p w14:paraId="49F9C8BA" w14:textId="77777777" w:rsidR="005477D2" w:rsidRDefault="005477D2" w:rsidP="000C2896">
      <w:pPr>
        <w:spacing w:line="480" w:lineRule="auto"/>
        <w:rPr>
          <w:sz w:val="20"/>
          <w:szCs w:val="20"/>
        </w:rPr>
      </w:pPr>
    </w:p>
    <w:p w14:paraId="0E967532" w14:textId="77777777" w:rsidR="000C2896" w:rsidRDefault="000C2896" w:rsidP="00C961A7">
      <w:pPr>
        <w:spacing w:line="480" w:lineRule="auto"/>
        <w:rPr>
          <w:sz w:val="20"/>
          <w:szCs w:val="20"/>
        </w:rPr>
      </w:pPr>
      <w:r w:rsidRPr="000C2896">
        <w:rPr>
          <w:sz w:val="20"/>
          <w:szCs w:val="20"/>
        </w:rPr>
        <w:t xml:space="preserve">For all approaches, the method of choosing wave period </w:t>
      </w:r>
      <w:r w:rsidR="006A0133">
        <w:rPr>
          <w:sz w:val="20"/>
          <w:szCs w:val="20"/>
        </w:rPr>
        <w:t>generally makes little difference</w:t>
      </w:r>
      <w:r w:rsidR="003B7BB8">
        <w:rPr>
          <w:sz w:val="20"/>
          <w:szCs w:val="20"/>
        </w:rPr>
        <w:t>.  The exception to this is for the lowest RP</w:t>
      </w:r>
      <w:r w:rsidR="001A3502">
        <w:rPr>
          <w:sz w:val="20"/>
          <w:szCs w:val="20"/>
        </w:rPr>
        <w:t>RR</w:t>
      </w:r>
      <w:r w:rsidR="003B7BB8">
        <w:rPr>
          <w:sz w:val="20"/>
          <w:szCs w:val="20"/>
        </w:rPr>
        <w:t xml:space="preserve">s (less than about 0.3), where the Simplified </w:t>
      </w:r>
      <w:r w:rsidR="00F95E7F">
        <w:rPr>
          <w:sz w:val="20"/>
          <w:szCs w:val="20"/>
        </w:rPr>
        <w:t xml:space="preserve">approach </w:t>
      </w:r>
      <w:r w:rsidR="003B7BB8">
        <w:rPr>
          <w:sz w:val="20"/>
          <w:szCs w:val="20"/>
        </w:rPr>
        <w:t xml:space="preserve">of the </w:t>
      </w:r>
      <w:proofErr w:type="spellStart"/>
      <w:r w:rsidR="003B7BB8" w:rsidRPr="003B7BB8">
        <w:rPr>
          <w:sz w:val="20"/>
          <w:szCs w:val="20"/>
        </w:rPr>
        <w:t>InJoPA</w:t>
      </w:r>
      <w:proofErr w:type="spellEnd"/>
      <w:r w:rsidR="003B7BB8" w:rsidRPr="003B7BB8">
        <w:rPr>
          <w:sz w:val="20"/>
          <w:szCs w:val="20"/>
        </w:rPr>
        <w:t xml:space="preserve"> </w:t>
      </w:r>
      <w:r w:rsidR="00147498">
        <w:rPr>
          <w:sz w:val="20"/>
          <w:szCs w:val="20"/>
        </w:rPr>
        <w:t>is</w:t>
      </w:r>
      <w:r w:rsidR="003B7BB8">
        <w:rPr>
          <w:sz w:val="20"/>
          <w:szCs w:val="20"/>
        </w:rPr>
        <w:t xml:space="preserve"> more likely to underestimate the benchmark return period</w:t>
      </w:r>
      <w:r w:rsidR="00F95E7F">
        <w:rPr>
          <w:sz w:val="20"/>
          <w:szCs w:val="20"/>
        </w:rPr>
        <w:t xml:space="preserve"> than the Desk Study approach.</w:t>
      </w:r>
      <w:r w:rsidR="003B7BB8">
        <w:rPr>
          <w:sz w:val="20"/>
          <w:szCs w:val="20"/>
        </w:rPr>
        <w:t xml:space="preserve">  </w:t>
      </w:r>
      <w:r w:rsidR="007259B7">
        <w:rPr>
          <w:sz w:val="20"/>
          <w:szCs w:val="20"/>
        </w:rPr>
        <w:t xml:space="preserve">This is mainly a result of analysis for defences along the North Cornish, South </w:t>
      </w:r>
      <w:proofErr w:type="gramStart"/>
      <w:r w:rsidR="007259B7">
        <w:rPr>
          <w:sz w:val="20"/>
          <w:szCs w:val="20"/>
        </w:rPr>
        <w:t>Essex</w:t>
      </w:r>
      <w:proofErr w:type="gramEnd"/>
      <w:r w:rsidR="007259B7">
        <w:rPr>
          <w:sz w:val="20"/>
          <w:szCs w:val="20"/>
        </w:rPr>
        <w:t xml:space="preserve"> and North Kent coastlines where </w:t>
      </w:r>
      <w:r w:rsidR="00147498">
        <w:rPr>
          <w:sz w:val="20"/>
          <w:szCs w:val="20"/>
        </w:rPr>
        <w:t xml:space="preserve">it is noted that </w:t>
      </w:r>
      <w:r w:rsidR="007259B7">
        <w:rPr>
          <w:sz w:val="20"/>
          <w:szCs w:val="20"/>
        </w:rPr>
        <w:t xml:space="preserve">the Simplified approach indicates lower levels of dependency </w:t>
      </w:r>
      <w:r w:rsidR="00147498">
        <w:rPr>
          <w:sz w:val="20"/>
          <w:szCs w:val="20"/>
        </w:rPr>
        <w:t xml:space="preserve">between sea levels and wave heights than the Desk Study approach relative to other parts of the English coastline.  This </w:t>
      </w:r>
      <w:r w:rsidR="007259B7">
        <w:rPr>
          <w:sz w:val="20"/>
          <w:szCs w:val="20"/>
        </w:rPr>
        <w:t xml:space="preserve">therefore </w:t>
      </w:r>
      <w:r w:rsidR="00F95E7F">
        <w:rPr>
          <w:sz w:val="20"/>
          <w:szCs w:val="20"/>
        </w:rPr>
        <w:t xml:space="preserve">tends to </w:t>
      </w:r>
      <w:r w:rsidR="007259B7">
        <w:rPr>
          <w:sz w:val="20"/>
          <w:szCs w:val="20"/>
        </w:rPr>
        <w:t>predict lower extreme overtopping rates.</w:t>
      </w:r>
      <w:r w:rsidR="00F95E7F">
        <w:rPr>
          <w:sz w:val="20"/>
          <w:szCs w:val="20"/>
        </w:rPr>
        <w:t xml:space="preserve">  It is also significant that for </w:t>
      </w:r>
      <w:r w:rsidRPr="000C2896">
        <w:rPr>
          <w:sz w:val="20"/>
          <w:szCs w:val="20"/>
        </w:rPr>
        <w:t xml:space="preserve">about 30-40% </w:t>
      </w:r>
      <w:r w:rsidR="00F95E7F">
        <w:rPr>
          <w:sz w:val="20"/>
          <w:szCs w:val="20"/>
        </w:rPr>
        <w:t>of</w:t>
      </w:r>
      <w:r w:rsidR="00BD5039">
        <w:rPr>
          <w:sz w:val="20"/>
          <w:szCs w:val="20"/>
        </w:rPr>
        <w:t xml:space="preserve"> the defences tested</w:t>
      </w:r>
      <w:r w:rsidRPr="000C2896">
        <w:rPr>
          <w:sz w:val="20"/>
          <w:szCs w:val="20"/>
        </w:rPr>
        <w:t>, JP4, JP7, JP5 and JP8 estimate a</w:t>
      </w:r>
      <w:r w:rsidR="00F95E7F">
        <w:rPr>
          <w:sz w:val="20"/>
          <w:szCs w:val="20"/>
        </w:rPr>
        <w:t xml:space="preserve"> RP</w:t>
      </w:r>
      <w:r w:rsidR="001A3502">
        <w:rPr>
          <w:sz w:val="20"/>
          <w:szCs w:val="20"/>
        </w:rPr>
        <w:t>RR</w:t>
      </w:r>
      <w:r w:rsidR="00F95E7F">
        <w:rPr>
          <w:sz w:val="20"/>
          <w:szCs w:val="20"/>
        </w:rPr>
        <w:t xml:space="preserve"> of less than 0.1, which suggests that these defences have an </w:t>
      </w:r>
      <w:r w:rsidRPr="000C2896">
        <w:rPr>
          <w:sz w:val="20"/>
          <w:szCs w:val="20"/>
        </w:rPr>
        <w:t xml:space="preserve">actual return period a factor of 10 or more less than the </w:t>
      </w:r>
      <w:r w:rsidR="00C961A7">
        <w:rPr>
          <w:sz w:val="20"/>
          <w:szCs w:val="20"/>
        </w:rPr>
        <w:t>benchmark</w:t>
      </w:r>
      <w:r w:rsidR="00C961A7" w:rsidRPr="000C2896">
        <w:rPr>
          <w:sz w:val="20"/>
          <w:szCs w:val="20"/>
        </w:rPr>
        <w:t xml:space="preserve"> </w:t>
      </w:r>
      <w:r w:rsidRPr="000C2896">
        <w:rPr>
          <w:sz w:val="20"/>
          <w:szCs w:val="20"/>
        </w:rPr>
        <w:t xml:space="preserve">return period.  </w:t>
      </w:r>
      <w:r w:rsidR="00F95E7F">
        <w:rPr>
          <w:sz w:val="20"/>
          <w:szCs w:val="20"/>
        </w:rPr>
        <w:t xml:space="preserve">This </w:t>
      </w:r>
      <w:r w:rsidR="00147498">
        <w:rPr>
          <w:sz w:val="20"/>
          <w:szCs w:val="20"/>
        </w:rPr>
        <w:t>indicates</w:t>
      </w:r>
      <w:r w:rsidRPr="000C2896">
        <w:rPr>
          <w:sz w:val="20"/>
          <w:szCs w:val="20"/>
        </w:rPr>
        <w:t xml:space="preserve"> that structures designed </w:t>
      </w:r>
      <w:r w:rsidR="00F95E7F">
        <w:rPr>
          <w:sz w:val="20"/>
          <w:szCs w:val="20"/>
        </w:rPr>
        <w:t xml:space="preserve">or assessed </w:t>
      </w:r>
      <w:r w:rsidRPr="000C2896">
        <w:rPr>
          <w:sz w:val="20"/>
          <w:szCs w:val="20"/>
        </w:rPr>
        <w:t xml:space="preserve">to limit design overtopping rates to a return period of 100 years based on these approaches can </w:t>
      </w:r>
      <w:r w:rsidR="009D73EA">
        <w:rPr>
          <w:sz w:val="20"/>
          <w:szCs w:val="20"/>
        </w:rPr>
        <w:t xml:space="preserve">for about a third of the time </w:t>
      </w:r>
      <w:proofErr w:type="gramStart"/>
      <w:r w:rsidRPr="000C2896">
        <w:rPr>
          <w:sz w:val="20"/>
          <w:szCs w:val="20"/>
        </w:rPr>
        <w:t>actually have</w:t>
      </w:r>
      <w:proofErr w:type="gramEnd"/>
      <w:r w:rsidRPr="000C2896">
        <w:rPr>
          <w:sz w:val="20"/>
          <w:szCs w:val="20"/>
        </w:rPr>
        <w:t xml:space="preserve"> a design standard for overtopping of less than 10 years</w:t>
      </w:r>
      <w:r w:rsidR="00C961A7" w:rsidRPr="00C961A7">
        <w:rPr>
          <w:sz w:val="20"/>
          <w:szCs w:val="20"/>
        </w:rPr>
        <w:t xml:space="preserve"> </w:t>
      </w:r>
      <w:r w:rsidR="00C961A7">
        <w:rPr>
          <w:sz w:val="20"/>
          <w:szCs w:val="20"/>
        </w:rPr>
        <w:t>if no correction factors are applied</w:t>
      </w:r>
      <w:r w:rsidR="00ED34C3">
        <w:rPr>
          <w:sz w:val="20"/>
          <w:szCs w:val="20"/>
        </w:rPr>
        <w:t>.</w:t>
      </w:r>
    </w:p>
    <w:p w14:paraId="0F811983" w14:textId="6658B7AE" w:rsidR="004139CF" w:rsidRPr="000C2896" w:rsidRDefault="004139CF" w:rsidP="00C961A7">
      <w:pPr>
        <w:spacing w:line="480" w:lineRule="auto"/>
        <w:rPr>
          <w:sz w:val="20"/>
          <w:szCs w:val="20"/>
        </w:rPr>
      </w:pPr>
      <w:r>
        <w:rPr>
          <w:noProof/>
          <w:sz w:val="20"/>
          <w:szCs w:val="20"/>
        </w:rPr>
        <w:lastRenderedPageBreak/>
        <w:drawing>
          <wp:inline distT="0" distB="0" distL="0" distR="0" wp14:anchorId="5FD2838D" wp14:editId="7BE6F52D">
            <wp:extent cx="6132830" cy="424942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2830" cy="4249420"/>
                    </a:xfrm>
                    <a:prstGeom prst="rect">
                      <a:avLst/>
                    </a:prstGeom>
                    <a:noFill/>
                  </pic:spPr>
                </pic:pic>
              </a:graphicData>
            </a:graphic>
          </wp:inline>
        </w:drawing>
      </w:r>
    </w:p>
    <w:p w14:paraId="4B20FD0C" w14:textId="77777777" w:rsidR="004139CF" w:rsidRPr="00A442E4" w:rsidRDefault="000C2896" w:rsidP="004139CF">
      <w:pPr>
        <w:spacing w:line="360" w:lineRule="auto"/>
        <w:outlineLvl w:val="0"/>
        <w:rPr>
          <w:sz w:val="20"/>
          <w:szCs w:val="20"/>
        </w:rPr>
      </w:pPr>
      <w:r w:rsidRPr="000C2896">
        <w:rPr>
          <w:sz w:val="20"/>
          <w:szCs w:val="20"/>
        </w:rPr>
        <w:t xml:space="preserve"> </w:t>
      </w:r>
      <w:r w:rsidR="004139CF" w:rsidRPr="00A442E4">
        <w:rPr>
          <w:sz w:val="20"/>
          <w:szCs w:val="20"/>
        </w:rPr>
        <w:t xml:space="preserve">Figure </w:t>
      </w:r>
      <w:r w:rsidR="004139CF">
        <w:rPr>
          <w:sz w:val="20"/>
          <w:szCs w:val="20"/>
        </w:rPr>
        <w:t>2</w:t>
      </w:r>
      <w:r w:rsidR="004139CF" w:rsidRPr="00A442E4">
        <w:rPr>
          <w:sz w:val="20"/>
          <w:szCs w:val="20"/>
        </w:rPr>
        <w:t xml:space="preserve">. </w:t>
      </w:r>
      <w:r w:rsidR="004139CF">
        <w:rPr>
          <w:sz w:val="20"/>
          <w:szCs w:val="20"/>
        </w:rPr>
        <w:t>Cumulative distribution function of the peak overtopping return period ratio for different joint exceedance curve approaches relative to the RV approach.</w:t>
      </w:r>
    </w:p>
    <w:p w14:paraId="3D1AA8AD" w14:textId="4B988AC7" w:rsidR="000C2896" w:rsidRPr="000C2896" w:rsidRDefault="000C2896" w:rsidP="000C2896">
      <w:pPr>
        <w:spacing w:line="480" w:lineRule="auto"/>
        <w:rPr>
          <w:sz w:val="20"/>
          <w:szCs w:val="20"/>
        </w:rPr>
      </w:pPr>
    </w:p>
    <w:p w14:paraId="42C5C073" w14:textId="77777777" w:rsidR="000C2896" w:rsidRPr="000C2896" w:rsidRDefault="000C2896" w:rsidP="000C2896">
      <w:pPr>
        <w:spacing w:line="480" w:lineRule="auto"/>
        <w:rPr>
          <w:b/>
          <w:i/>
          <w:sz w:val="20"/>
          <w:szCs w:val="20"/>
        </w:rPr>
      </w:pPr>
      <w:r w:rsidRPr="000C2896">
        <w:rPr>
          <w:b/>
          <w:i/>
          <w:sz w:val="20"/>
          <w:szCs w:val="20"/>
        </w:rPr>
        <w:t xml:space="preserve">4.1.2 Overtopping for </w:t>
      </w:r>
      <w:proofErr w:type="gramStart"/>
      <w:r w:rsidRPr="000C2896">
        <w:rPr>
          <w:b/>
          <w:i/>
          <w:sz w:val="20"/>
          <w:szCs w:val="20"/>
        </w:rPr>
        <w:t>different  defence</w:t>
      </w:r>
      <w:proofErr w:type="gramEnd"/>
      <w:r w:rsidRPr="000C2896">
        <w:rPr>
          <w:b/>
          <w:i/>
          <w:sz w:val="20"/>
          <w:szCs w:val="20"/>
        </w:rPr>
        <w:t xml:space="preserve"> types</w:t>
      </w:r>
    </w:p>
    <w:p w14:paraId="3774E02F" w14:textId="77777777" w:rsidR="000C2896" w:rsidRPr="000C2896" w:rsidRDefault="000C2896" w:rsidP="000C2896">
      <w:pPr>
        <w:spacing w:line="480" w:lineRule="auto"/>
        <w:rPr>
          <w:sz w:val="20"/>
          <w:szCs w:val="20"/>
        </w:rPr>
      </w:pPr>
      <w:r w:rsidRPr="000C2896">
        <w:rPr>
          <w:sz w:val="20"/>
          <w:szCs w:val="20"/>
        </w:rPr>
        <w:t xml:space="preserve">Figure </w:t>
      </w:r>
      <w:r w:rsidR="00B02A85">
        <w:rPr>
          <w:sz w:val="20"/>
          <w:szCs w:val="20"/>
        </w:rPr>
        <w:t>3</w:t>
      </w:r>
      <w:r w:rsidRPr="000C2896">
        <w:rPr>
          <w:sz w:val="20"/>
          <w:szCs w:val="20"/>
        </w:rPr>
        <w:t xml:space="preserve"> shows the cumulative distribution function of the </w:t>
      </w:r>
      <w:r w:rsidR="00CD18EF">
        <w:rPr>
          <w:sz w:val="20"/>
          <w:szCs w:val="20"/>
        </w:rPr>
        <w:t>RP</w:t>
      </w:r>
      <w:r w:rsidR="001A3502">
        <w:rPr>
          <w:sz w:val="20"/>
          <w:szCs w:val="20"/>
        </w:rPr>
        <w:t>RR</w:t>
      </w:r>
      <w:r w:rsidR="00CD18EF" w:rsidRPr="000C2896">
        <w:rPr>
          <w:sz w:val="20"/>
          <w:szCs w:val="20"/>
        </w:rPr>
        <w:t xml:space="preserve"> </w:t>
      </w:r>
      <w:r w:rsidRPr="000C2896">
        <w:rPr>
          <w:sz w:val="20"/>
          <w:szCs w:val="20"/>
        </w:rPr>
        <w:t xml:space="preserve">for the different defence types considering JP1 only.  This figure also shows the aggregated result for all defence types, </w:t>
      </w:r>
      <w:proofErr w:type="gramStart"/>
      <w:r w:rsidRPr="000C2896">
        <w:rPr>
          <w:sz w:val="20"/>
          <w:szCs w:val="20"/>
        </w:rPr>
        <w:t>i.e.</w:t>
      </w:r>
      <w:proofErr w:type="gramEnd"/>
      <w:r w:rsidRPr="000C2896">
        <w:rPr>
          <w:sz w:val="20"/>
          <w:szCs w:val="20"/>
        </w:rPr>
        <w:t xml:space="preserve"> the same result for JP1 as shown in Figure </w:t>
      </w:r>
      <w:r w:rsidR="00B02A85">
        <w:rPr>
          <w:sz w:val="20"/>
          <w:szCs w:val="20"/>
        </w:rPr>
        <w:t>2</w:t>
      </w:r>
      <w:r w:rsidRPr="000C2896">
        <w:rPr>
          <w:sz w:val="20"/>
          <w:szCs w:val="20"/>
        </w:rPr>
        <w:t>.</w:t>
      </w:r>
    </w:p>
    <w:p w14:paraId="19C92DD7" w14:textId="20B26207" w:rsidR="000C2896" w:rsidRDefault="004139CF" w:rsidP="000C2896">
      <w:pPr>
        <w:spacing w:line="480" w:lineRule="auto"/>
        <w:rPr>
          <w:sz w:val="20"/>
          <w:szCs w:val="20"/>
        </w:rPr>
      </w:pPr>
      <w:r>
        <w:rPr>
          <w:noProof/>
          <w:sz w:val="20"/>
          <w:szCs w:val="20"/>
        </w:rPr>
        <w:lastRenderedPageBreak/>
        <w:drawing>
          <wp:inline distT="0" distB="0" distL="0" distR="0" wp14:anchorId="2E2491E4" wp14:editId="529E5F14">
            <wp:extent cx="6132830" cy="424942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2830" cy="4249420"/>
                    </a:xfrm>
                    <a:prstGeom prst="rect">
                      <a:avLst/>
                    </a:prstGeom>
                    <a:noFill/>
                  </pic:spPr>
                </pic:pic>
              </a:graphicData>
            </a:graphic>
          </wp:inline>
        </w:drawing>
      </w:r>
    </w:p>
    <w:p w14:paraId="667D82B6" w14:textId="77777777" w:rsidR="004139CF" w:rsidRDefault="004139CF" w:rsidP="004139CF">
      <w:pPr>
        <w:spacing w:line="360" w:lineRule="auto"/>
        <w:rPr>
          <w:sz w:val="20"/>
          <w:szCs w:val="20"/>
        </w:rPr>
      </w:pPr>
      <w:r w:rsidRPr="00EE0F38">
        <w:rPr>
          <w:sz w:val="20"/>
          <w:szCs w:val="20"/>
        </w:rPr>
        <w:t xml:space="preserve">Figure </w:t>
      </w:r>
      <w:r>
        <w:rPr>
          <w:sz w:val="20"/>
          <w:szCs w:val="20"/>
        </w:rPr>
        <w:t>3</w:t>
      </w:r>
      <w:r w:rsidRPr="00EE0F38">
        <w:rPr>
          <w:sz w:val="20"/>
          <w:szCs w:val="20"/>
        </w:rPr>
        <w:t xml:space="preserve">. Cumulative distribution function of the peak overtopping return period ratio for different </w:t>
      </w:r>
      <w:r>
        <w:rPr>
          <w:sz w:val="20"/>
          <w:szCs w:val="20"/>
        </w:rPr>
        <w:t>joint exceedance</w:t>
      </w:r>
      <w:r w:rsidRPr="00EE0F38">
        <w:rPr>
          <w:sz w:val="20"/>
          <w:szCs w:val="20"/>
        </w:rPr>
        <w:t xml:space="preserve"> curve approaches relative to the RV approach</w:t>
      </w:r>
      <w:r>
        <w:rPr>
          <w:sz w:val="20"/>
          <w:szCs w:val="20"/>
        </w:rPr>
        <w:t xml:space="preserve"> for different RASP defence types (JP1 only)</w:t>
      </w:r>
      <w:r w:rsidRPr="00EE0F38">
        <w:rPr>
          <w:sz w:val="20"/>
          <w:szCs w:val="20"/>
        </w:rPr>
        <w:t>.</w:t>
      </w:r>
    </w:p>
    <w:p w14:paraId="595C0ED5" w14:textId="77777777" w:rsidR="004139CF" w:rsidRDefault="004139CF" w:rsidP="000C2896">
      <w:pPr>
        <w:spacing w:line="480" w:lineRule="auto"/>
        <w:rPr>
          <w:sz w:val="20"/>
          <w:szCs w:val="20"/>
        </w:rPr>
      </w:pPr>
    </w:p>
    <w:p w14:paraId="55F03E83" w14:textId="77777777" w:rsidR="000C2896" w:rsidRPr="000C2896" w:rsidRDefault="000C2896" w:rsidP="000C2896">
      <w:pPr>
        <w:spacing w:line="480" w:lineRule="auto"/>
        <w:rPr>
          <w:sz w:val="20"/>
          <w:szCs w:val="20"/>
        </w:rPr>
      </w:pPr>
      <w:r w:rsidRPr="000C2896">
        <w:rPr>
          <w:sz w:val="20"/>
          <w:szCs w:val="20"/>
        </w:rPr>
        <w:t xml:space="preserve">Comparing the results </w:t>
      </w:r>
      <w:r w:rsidR="00BE148A">
        <w:rPr>
          <w:sz w:val="20"/>
          <w:szCs w:val="20"/>
        </w:rPr>
        <w:t xml:space="preserve">for </w:t>
      </w:r>
      <w:r w:rsidRPr="000C2896">
        <w:rPr>
          <w:sz w:val="20"/>
          <w:szCs w:val="20"/>
        </w:rPr>
        <w:t xml:space="preserve">sloping </w:t>
      </w:r>
      <w:r w:rsidR="00BE148A">
        <w:rPr>
          <w:sz w:val="20"/>
          <w:szCs w:val="20"/>
        </w:rPr>
        <w:t>revetments</w:t>
      </w:r>
      <w:r w:rsidRPr="000C2896">
        <w:rPr>
          <w:sz w:val="20"/>
          <w:szCs w:val="20"/>
        </w:rPr>
        <w:t xml:space="preserve"> against vertical </w:t>
      </w:r>
      <w:r w:rsidR="00BE148A">
        <w:rPr>
          <w:sz w:val="20"/>
          <w:szCs w:val="20"/>
        </w:rPr>
        <w:t>walls</w:t>
      </w:r>
      <w:r w:rsidRPr="000C2896">
        <w:rPr>
          <w:sz w:val="20"/>
          <w:szCs w:val="20"/>
        </w:rPr>
        <w:t xml:space="preserve"> indicates </w:t>
      </w:r>
      <w:r w:rsidR="00BE148A">
        <w:rPr>
          <w:sz w:val="20"/>
          <w:szCs w:val="20"/>
        </w:rPr>
        <w:t xml:space="preserve">little difference, except that vertical walls are more likely to </w:t>
      </w:r>
      <w:r w:rsidR="009115EC">
        <w:rPr>
          <w:sz w:val="20"/>
          <w:szCs w:val="20"/>
        </w:rPr>
        <w:t xml:space="preserve">have an actual return period greater than </w:t>
      </w:r>
      <w:r w:rsidR="00BE148A">
        <w:rPr>
          <w:sz w:val="20"/>
          <w:szCs w:val="20"/>
        </w:rPr>
        <w:t xml:space="preserve">the benchmark return period.  </w:t>
      </w:r>
      <w:r w:rsidR="00147498">
        <w:rPr>
          <w:sz w:val="20"/>
          <w:szCs w:val="20"/>
        </w:rPr>
        <w:t xml:space="preserve">This is </w:t>
      </w:r>
      <w:r w:rsidR="00CD18EF">
        <w:rPr>
          <w:sz w:val="20"/>
          <w:szCs w:val="20"/>
        </w:rPr>
        <w:t xml:space="preserve">due to the </w:t>
      </w:r>
      <w:r w:rsidRPr="000C2896">
        <w:rPr>
          <w:sz w:val="20"/>
          <w:szCs w:val="20"/>
        </w:rPr>
        <w:t>wave breaking process on vertical structures</w:t>
      </w:r>
      <w:r w:rsidR="00CD18EF">
        <w:rPr>
          <w:sz w:val="20"/>
          <w:szCs w:val="20"/>
        </w:rPr>
        <w:t>, particularly where the structure toe level is high relative to the crest height of the structure.  Under these conditions</w:t>
      </w:r>
      <w:r w:rsidR="007C29FA">
        <w:rPr>
          <w:sz w:val="20"/>
          <w:szCs w:val="20"/>
        </w:rPr>
        <w:t xml:space="preserve"> this can result in impulsive waves, </w:t>
      </w:r>
      <w:r w:rsidR="007C29FA" w:rsidRPr="000C2896">
        <w:rPr>
          <w:sz w:val="20"/>
          <w:szCs w:val="20"/>
        </w:rPr>
        <w:t xml:space="preserve">waves </w:t>
      </w:r>
      <w:r w:rsidR="007C29FA">
        <w:rPr>
          <w:sz w:val="20"/>
          <w:szCs w:val="20"/>
        </w:rPr>
        <w:t xml:space="preserve">that </w:t>
      </w:r>
      <w:r w:rsidR="007C29FA" w:rsidRPr="000C2896">
        <w:rPr>
          <w:sz w:val="20"/>
          <w:szCs w:val="20"/>
        </w:rPr>
        <w:t>break violently onto vertical or steep walls</w:t>
      </w:r>
      <w:r w:rsidR="007C29FA">
        <w:rPr>
          <w:sz w:val="20"/>
          <w:szCs w:val="20"/>
        </w:rPr>
        <w:t xml:space="preserve"> leading to much greater levels of overtopping than would occur for the same wave conditions at a higher sea level, </w:t>
      </w:r>
      <w:r w:rsidR="007C29FA" w:rsidRPr="000C2896">
        <w:rPr>
          <w:sz w:val="20"/>
          <w:szCs w:val="20"/>
        </w:rPr>
        <w:t xml:space="preserve">see Pullen </w:t>
      </w:r>
      <w:r w:rsidR="007C29FA" w:rsidRPr="004D22C4">
        <w:rPr>
          <w:i/>
          <w:sz w:val="20"/>
          <w:szCs w:val="20"/>
        </w:rPr>
        <w:t>et al.</w:t>
      </w:r>
      <w:r w:rsidR="007C29FA">
        <w:rPr>
          <w:sz w:val="20"/>
          <w:szCs w:val="20"/>
        </w:rPr>
        <w:t>,</w:t>
      </w:r>
      <w:r w:rsidR="007C29FA">
        <w:rPr>
          <w:i/>
          <w:sz w:val="20"/>
          <w:szCs w:val="20"/>
        </w:rPr>
        <w:t xml:space="preserve"> </w:t>
      </w:r>
      <w:r w:rsidR="007C29FA">
        <w:rPr>
          <w:sz w:val="20"/>
          <w:szCs w:val="20"/>
        </w:rPr>
        <w:t xml:space="preserve">(2007).  As water </w:t>
      </w:r>
      <w:r w:rsidRPr="000C2896">
        <w:rPr>
          <w:sz w:val="20"/>
          <w:szCs w:val="20"/>
        </w:rPr>
        <w:t xml:space="preserve">depth, or sea level, is the key factor in whether </w:t>
      </w:r>
      <w:r w:rsidR="00BE148A">
        <w:rPr>
          <w:sz w:val="20"/>
          <w:szCs w:val="20"/>
        </w:rPr>
        <w:t>waves</w:t>
      </w:r>
      <w:r w:rsidRPr="000C2896">
        <w:rPr>
          <w:sz w:val="20"/>
          <w:szCs w:val="20"/>
        </w:rPr>
        <w:t xml:space="preserve"> breaks impulsively or non-impulsively, a key component in this is </w:t>
      </w:r>
      <w:r w:rsidR="007C29FA">
        <w:rPr>
          <w:sz w:val="20"/>
          <w:szCs w:val="20"/>
        </w:rPr>
        <w:t xml:space="preserve">also </w:t>
      </w:r>
      <w:r w:rsidRPr="000C2896">
        <w:rPr>
          <w:sz w:val="20"/>
          <w:szCs w:val="20"/>
        </w:rPr>
        <w:t xml:space="preserve">the wave period.  </w:t>
      </w:r>
      <w:proofErr w:type="gramStart"/>
      <w:r w:rsidR="00EE5A91">
        <w:rPr>
          <w:sz w:val="20"/>
          <w:szCs w:val="20"/>
        </w:rPr>
        <w:t>Typically</w:t>
      </w:r>
      <w:proofErr w:type="gramEnd"/>
      <w:r w:rsidR="00EE5A91">
        <w:rPr>
          <w:sz w:val="20"/>
          <w:szCs w:val="20"/>
        </w:rPr>
        <w:t xml:space="preserve"> a </w:t>
      </w:r>
      <w:r w:rsidRPr="000C2896">
        <w:rPr>
          <w:sz w:val="20"/>
          <w:szCs w:val="20"/>
        </w:rPr>
        <w:t xml:space="preserve">larger wave period based on the response function considered in this paper (Section 3.2) </w:t>
      </w:r>
      <w:r w:rsidR="00EE5A91">
        <w:rPr>
          <w:sz w:val="20"/>
          <w:szCs w:val="20"/>
        </w:rPr>
        <w:t xml:space="preserve">would </w:t>
      </w:r>
      <w:r w:rsidRPr="000C2896">
        <w:rPr>
          <w:sz w:val="20"/>
          <w:szCs w:val="20"/>
        </w:rPr>
        <w:t xml:space="preserve">mean that waves are more likely to be impulsive, leading to greater levels of overtopping.  An under-estimate of the wave period </w:t>
      </w:r>
      <w:r w:rsidRPr="000C2896">
        <w:rPr>
          <w:sz w:val="20"/>
          <w:szCs w:val="20"/>
        </w:rPr>
        <w:lastRenderedPageBreak/>
        <w:t>is therefore more likely to under-estimate the wave overtopping rate</w:t>
      </w:r>
      <w:r w:rsidR="00CF2439">
        <w:rPr>
          <w:sz w:val="20"/>
          <w:szCs w:val="20"/>
        </w:rPr>
        <w:t xml:space="preserve"> compared to the </w:t>
      </w:r>
      <w:r w:rsidR="00CF2439" w:rsidRPr="000C2896">
        <w:rPr>
          <w:sz w:val="20"/>
          <w:szCs w:val="20"/>
        </w:rPr>
        <w:t>wave overtopping rate</w:t>
      </w:r>
      <w:r w:rsidR="00CF2439">
        <w:rPr>
          <w:sz w:val="20"/>
          <w:szCs w:val="20"/>
        </w:rPr>
        <w:t xml:space="preserve"> using the correct wave period</w:t>
      </w:r>
      <w:r w:rsidRPr="000C2896">
        <w:rPr>
          <w:sz w:val="20"/>
          <w:szCs w:val="20"/>
        </w:rPr>
        <w:t>, and vice versa.</w:t>
      </w:r>
      <w:r w:rsidR="00A0085B">
        <w:rPr>
          <w:rStyle w:val="CommentReference"/>
        </w:rPr>
        <w:t xml:space="preserve"> </w:t>
      </w:r>
    </w:p>
    <w:p w14:paraId="7C9B0446" w14:textId="77777777" w:rsidR="000C2896" w:rsidRDefault="000C2896" w:rsidP="000C2896">
      <w:pPr>
        <w:spacing w:line="480" w:lineRule="auto"/>
        <w:rPr>
          <w:sz w:val="20"/>
          <w:szCs w:val="20"/>
        </w:rPr>
      </w:pPr>
    </w:p>
    <w:p w14:paraId="61FFE5B7" w14:textId="77777777" w:rsidR="000C2896" w:rsidRPr="000C2896" w:rsidRDefault="000C2896" w:rsidP="000C2896">
      <w:pPr>
        <w:spacing w:line="480" w:lineRule="auto"/>
        <w:rPr>
          <w:sz w:val="20"/>
          <w:szCs w:val="20"/>
        </w:rPr>
      </w:pPr>
      <w:r w:rsidRPr="000C2896">
        <w:rPr>
          <w:sz w:val="20"/>
          <w:szCs w:val="20"/>
        </w:rPr>
        <w:t xml:space="preserve">For shingle beaches, the </w:t>
      </w:r>
      <w:r w:rsidR="00EE5A91">
        <w:rPr>
          <w:sz w:val="20"/>
          <w:szCs w:val="20"/>
        </w:rPr>
        <w:t>RP</w:t>
      </w:r>
      <w:r w:rsidR="001A3502">
        <w:rPr>
          <w:sz w:val="20"/>
          <w:szCs w:val="20"/>
        </w:rPr>
        <w:t>RR</w:t>
      </w:r>
      <w:r w:rsidR="00EE5A91" w:rsidRPr="000C2896">
        <w:rPr>
          <w:sz w:val="20"/>
          <w:szCs w:val="20"/>
        </w:rPr>
        <w:t xml:space="preserve"> </w:t>
      </w:r>
      <w:r w:rsidRPr="000C2896">
        <w:rPr>
          <w:sz w:val="20"/>
          <w:szCs w:val="20"/>
        </w:rPr>
        <w:t xml:space="preserve">follows a similar distribution </w:t>
      </w:r>
      <w:r w:rsidR="009115EC">
        <w:rPr>
          <w:sz w:val="20"/>
          <w:szCs w:val="20"/>
        </w:rPr>
        <w:t xml:space="preserve">to sloping revetments </w:t>
      </w:r>
      <w:r w:rsidRPr="000C2896">
        <w:rPr>
          <w:sz w:val="20"/>
          <w:szCs w:val="20"/>
        </w:rPr>
        <w:t xml:space="preserve">for ratios greater than about 0.7, yet a much greater chance of a smaller ratio below this value.  This may be a function of the types of waves, with shingle beaches more likely to be impacted by surging waves than </w:t>
      </w:r>
      <w:r w:rsidR="009115EC">
        <w:rPr>
          <w:sz w:val="20"/>
          <w:szCs w:val="20"/>
        </w:rPr>
        <w:t xml:space="preserve">sloping </w:t>
      </w:r>
      <w:r w:rsidR="00CF2439">
        <w:rPr>
          <w:sz w:val="20"/>
          <w:szCs w:val="20"/>
        </w:rPr>
        <w:t>revetments</w:t>
      </w:r>
      <w:r w:rsidRPr="000C2896">
        <w:rPr>
          <w:sz w:val="20"/>
          <w:szCs w:val="20"/>
        </w:rPr>
        <w:t xml:space="preserve">.  However, it is more likely that this is just a function of the limited number of shingle beaches assessed in this paper (34), and a larger more widespread array of shingle beaches would probably suggest that the distribution of </w:t>
      </w:r>
      <w:r w:rsidR="00EE5A91">
        <w:rPr>
          <w:sz w:val="20"/>
          <w:szCs w:val="20"/>
        </w:rPr>
        <w:t>RP</w:t>
      </w:r>
      <w:r w:rsidR="001A3502">
        <w:rPr>
          <w:sz w:val="20"/>
          <w:szCs w:val="20"/>
        </w:rPr>
        <w:t>RR</w:t>
      </w:r>
      <w:r w:rsidR="00EE5A91" w:rsidRPr="000C2896">
        <w:rPr>
          <w:sz w:val="20"/>
          <w:szCs w:val="20"/>
        </w:rPr>
        <w:t xml:space="preserve"> </w:t>
      </w:r>
      <w:r w:rsidRPr="000C2896">
        <w:rPr>
          <w:sz w:val="20"/>
          <w:szCs w:val="20"/>
        </w:rPr>
        <w:t xml:space="preserve">for shingle beaches is </w:t>
      </w:r>
      <w:proofErr w:type="gramStart"/>
      <w:r w:rsidRPr="000C2896">
        <w:rPr>
          <w:sz w:val="20"/>
          <w:szCs w:val="20"/>
        </w:rPr>
        <w:t>similar to</w:t>
      </w:r>
      <w:proofErr w:type="gramEnd"/>
      <w:r w:rsidRPr="000C2896">
        <w:rPr>
          <w:sz w:val="20"/>
          <w:szCs w:val="20"/>
        </w:rPr>
        <w:t xml:space="preserve"> that as for sloped revetments.</w:t>
      </w:r>
    </w:p>
    <w:p w14:paraId="311C9A16" w14:textId="77777777" w:rsidR="000C2896" w:rsidRDefault="000C2896" w:rsidP="000C2896">
      <w:pPr>
        <w:spacing w:line="480" w:lineRule="auto"/>
        <w:rPr>
          <w:sz w:val="20"/>
          <w:szCs w:val="20"/>
        </w:rPr>
      </w:pPr>
    </w:p>
    <w:p w14:paraId="31501A74" w14:textId="77777777" w:rsidR="000C2896" w:rsidRPr="000C2896" w:rsidRDefault="000C2896" w:rsidP="000C2896">
      <w:pPr>
        <w:spacing w:line="480" w:lineRule="auto"/>
        <w:rPr>
          <w:b/>
          <w:i/>
          <w:sz w:val="20"/>
          <w:szCs w:val="20"/>
        </w:rPr>
      </w:pPr>
      <w:r w:rsidRPr="000C2896">
        <w:rPr>
          <w:b/>
          <w:i/>
          <w:sz w:val="20"/>
          <w:szCs w:val="20"/>
        </w:rPr>
        <w:t>4.2 Damage to Rock Armoured Structures</w:t>
      </w:r>
    </w:p>
    <w:p w14:paraId="6913B386" w14:textId="77777777" w:rsidR="000C2896" w:rsidRPr="000C2896" w:rsidRDefault="000C2896" w:rsidP="000C2896">
      <w:pPr>
        <w:spacing w:line="480" w:lineRule="auto"/>
        <w:rPr>
          <w:sz w:val="20"/>
          <w:szCs w:val="20"/>
        </w:rPr>
      </w:pPr>
      <w:r w:rsidRPr="000C2896">
        <w:rPr>
          <w:sz w:val="20"/>
          <w:szCs w:val="20"/>
        </w:rPr>
        <w:t xml:space="preserve">The results in this section are based on calculating the rock sizes required to limit the damage level to 2, a level often considered as the “no damage” criterion, Van Der Meer (1987).  This is the damage level typically used in design calculations.  The damage levels for the different </w:t>
      </w:r>
      <w:r w:rsidR="00EF06DB">
        <w:rPr>
          <w:sz w:val="20"/>
          <w:szCs w:val="20"/>
        </w:rPr>
        <w:t>joint exceedance</w:t>
      </w:r>
      <w:r w:rsidRPr="000C2896">
        <w:rPr>
          <w:sz w:val="20"/>
          <w:szCs w:val="20"/>
        </w:rPr>
        <w:t xml:space="preserve"> curve </w:t>
      </w:r>
      <w:r w:rsidR="00F62ABE">
        <w:rPr>
          <w:sz w:val="20"/>
          <w:szCs w:val="20"/>
        </w:rPr>
        <w:t>approaches</w:t>
      </w:r>
      <w:r w:rsidRPr="000C2896">
        <w:rPr>
          <w:sz w:val="20"/>
          <w:szCs w:val="20"/>
        </w:rPr>
        <w:t xml:space="preserve"> are then redefined using the wave parameters from the RV approach to estimate the change in the damage level.</w:t>
      </w:r>
    </w:p>
    <w:p w14:paraId="33DAFE49" w14:textId="77777777" w:rsidR="000C2896" w:rsidRDefault="000C2896" w:rsidP="000C2896">
      <w:pPr>
        <w:spacing w:line="480" w:lineRule="auto"/>
        <w:rPr>
          <w:sz w:val="20"/>
          <w:szCs w:val="20"/>
        </w:rPr>
      </w:pPr>
    </w:p>
    <w:p w14:paraId="735A11DB" w14:textId="77777777" w:rsidR="000C2896" w:rsidRPr="000C2896" w:rsidRDefault="000C2896" w:rsidP="000C2896">
      <w:pPr>
        <w:spacing w:line="480" w:lineRule="auto"/>
        <w:rPr>
          <w:sz w:val="20"/>
          <w:szCs w:val="20"/>
        </w:rPr>
      </w:pPr>
      <w:r w:rsidRPr="000C2896">
        <w:rPr>
          <w:sz w:val="20"/>
          <w:szCs w:val="20"/>
        </w:rPr>
        <w:t xml:space="preserve">Figure </w:t>
      </w:r>
      <w:r w:rsidR="002E538A">
        <w:rPr>
          <w:sz w:val="20"/>
          <w:szCs w:val="20"/>
        </w:rPr>
        <w:t>4</w:t>
      </w:r>
      <w:r w:rsidRPr="000C2896">
        <w:rPr>
          <w:sz w:val="20"/>
          <w:szCs w:val="20"/>
        </w:rPr>
        <w:t xml:space="preserve"> shows the effect on levels of damage to rock armoured revetments for the different </w:t>
      </w:r>
      <w:r w:rsidR="00EF06DB">
        <w:rPr>
          <w:sz w:val="20"/>
          <w:szCs w:val="20"/>
        </w:rPr>
        <w:t>joint exceedance</w:t>
      </w:r>
      <w:r w:rsidRPr="000C2896">
        <w:rPr>
          <w:sz w:val="20"/>
          <w:szCs w:val="20"/>
        </w:rPr>
        <w:t xml:space="preserve"> curve </w:t>
      </w:r>
      <w:r w:rsidR="008D4038">
        <w:rPr>
          <w:sz w:val="20"/>
          <w:szCs w:val="20"/>
        </w:rPr>
        <w:t>approaches</w:t>
      </w:r>
      <w:r w:rsidRPr="000C2896">
        <w:rPr>
          <w:sz w:val="20"/>
          <w:szCs w:val="20"/>
        </w:rPr>
        <w:t xml:space="preserve">.  This considers </w:t>
      </w:r>
      <w:r w:rsidR="009115EC">
        <w:rPr>
          <w:sz w:val="20"/>
          <w:szCs w:val="20"/>
        </w:rPr>
        <w:t>sloping revetments</w:t>
      </w:r>
      <w:r w:rsidRPr="000C2896">
        <w:rPr>
          <w:sz w:val="20"/>
          <w:szCs w:val="20"/>
        </w:rPr>
        <w:t xml:space="preserve"> only.  Figure </w:t>
      </w:r>
      <w:r w:rsidR="002E538A">
        <w:rPr>
          <w:sz w:val="20"/>
          <w:szCs w:val="20"/>
        </w:rPr>
        <w:t>4</w:t>
      </w:r>
      <w:r w:rsidRPr="000C2896">
        <w:rPr>
          <w:sz w:val="20"/>
          <w:szCs w:val="20"/>
        </w:rPr>
        <w:t xml:space="preserve"> indicates that </w:t>
      </w:r>
      <w:r w:rsidR="00BA4892">
        <w:rPr>
          <w:sz w:val="20"/>
          <w:szCs w:val="20"/>
        </w:rPr>
        <w:t>often</w:t>
      </w:r>
      <w:r w:rsidRPr="000C2896">
        <w:rPr>
          <w:sz w:val="20"/>
          <w:szCs w:val="20"/>
        </w:rPr>
        <w:t xml:space="preserve"> the actual level of damage </w:t>
      </w:r>
      <w:r w:rsidR="005E1444">
        <w:rPr>
          <w:sz w:val="20"/>
          <w:szCs w:val="20"/>
        </w:rPr>
        <w:t>could be</w:t>
      </w:r>
      <w:r w:rsidRPr="000C2896">
        <w:rPr>
          <w:sz w:val="20"/>
          <w:szCs w:val="20"/>
        </w:rPr>
        <w:t xml:space="preserve"> much greater than assessed or designed for when using the different </w:t>
      </w:r>
      <w:r w:rsidR="00EF06DB">
        <w:rPr>
          <w:sz w:val="20"/>
          <w:szCs w:val="20"/>
        </w:rPr>
        <w:t>joint exceedance</w:t>
      </w:r>
      <w:r w:rsidRPr="000C2896">
        <w:rPr>
          <w:sz w:val="20"/>
          <w:szCs w:val="20"/>
        </w:rPr>
        <w:t xml:space="preserve"> curve </w:t>
      </w:r>
      <w:r w:rsidR="008D4038">
        <w:rPr>
          <w:sz w:val="20"/>
          <w:szCs w:val="20"/>
        </w:rPr>
        <w:t>approaches</w:t>
      </w:r>
      <w:r w:rsidRPr="000C2896">
        <w:rPr>
          <w:sz w:val="20"/>
          <w:szCs w:val="20"/>
        </w:rPr>
        <w:t xml:space="preserve">.  This is particularly the case for JP1.  For </w:t>
      </w:r>
      <w:r w:rsidR="00672397">
        <w:rPr>
          <w:sz w:val="20"/>
          <w:szCs w:val="20"/>
        </w:rPr>
        <w:t>this approach</w:t>
      </w:r>
      <w:r w:rsidRPr="000C2896">
        <w:rPr>
          <w:sz w:val="20"/>
          <w:szCs w:val="20"/>
        </w:rPr>
        <w:t xml:space="preserve">, damage levels are less than the </w:t>
      </w:r>
      <w:r w:rsidR="009115EC">
        <w:rPr>
          <w:sz w:val="20"/>
          <w:szCs w:val="20"/>
        </w:rPr>
        <w:t>benchmark</w:t>
      </w:r>
      <w:r w:rsidRPr="000C2896">
        <w:rPr>
          <w:sz w:val="20"/>
          <w:szCs w:val="20"/>
        </w:rPr>
        <w:t xml:space="preserve"> level </w:t>
      </w:r>
      <w:r w:rsidR="00D76B58">
        <w:rPr>
          <w:sz w:val="20"/>
          <w:szCs w:val="20"/>
        </w:rPr>
        <w:t xml:space="preserve">of 2 </w:t>
      </w:r>
      <w:r w:rsidR="00BD5039">
        <w:rPr>
          <w:sz w:val="20"/>
          <w:szCs w:val="20"/>
        </w:rPr>
        <w:t xml:space="preserve">for </w:t>
      </w:r>
      <w:r w:rsidRPr="000C2896">
        <w:rPr>
          <w:sz w:val="20"/>
          <w:szCs w:val="20"/>
        </w:rPr>
        <w:t xml:space="preserve">only about 2% of the </w:t>
      </w:r>
      <w:r w:rsidR="00BD5039">
        <w:rPr>
          <w:sz w:val="20"/>
          <w:szCs w:val="20"/>
        </w:rPr>
        <w:t>defences tested</w:t>
      </w:r>
      <w:r w:rsidRPr="000C2896">
        <w:rPr>
          <w:sz w:val="20"/>
          <w:szCs w:val="20"/>
        </w:rPr>
        <w:t xml:space="preserve">, and therefore greater than the </w:t>
      </w:r>
      <w:r w:rsidR="00D76B58" w:rsidRPr="00D76B58">
        <w:rPr>
          <w:sz w:val="20"/>
          <w:szCs w:val="20"/>
        </w:rPr>
        <w:t xml:space="preserve">benchmark level </w:t>
      </w:r>
      <w:r w:rsidR="00BD5039">
        <w:rPr>
          <w:sz w:val="20"/>
          <w:szCs w:val="20"/>
        </w:rPr>
        <w:t xml:space="preserve">for </w:t>
      </w:r>
      <w:r w:rsidRPr="000C2896">
        <w:rPr>
          <w:sz w:val="20"/>
          <w:szCs w:val="20"/>
        </w:rPr>
        <w:t xml:space="preserve">about 98% of the </w:t>
      </w:r>
      <w:r w:rsidR="00BD5039">
        <w:rPr>
          <w:sz w:val="20"/>
          <w:szCs w:val="20"/>
        </w:rPr>
        <w:t>defences tested</w:t>
      </w:r>
      <w:r w:rsidRPr="000C2896">
        <w:rPr>
          <w:sz w:val="20"/>
          <w:szCs w:val="20"/>
        </w:rPr>
        <w:t xml:space="preserve">.  However, damage levels using the JP1 approach are much less likely to be significantly greater (more than double) the </w:t>
      </w:r>
      <w:r w:rsidR="00D76B58" w:rsidRPr="00D76B58">
        <w:rPr>
          <w:sz w:val="20"/>
          <w:szCs w:val="20"/>
        </w:rPr>
        <w:t xml:space="preserve">benchmark </w:t>
      </w:r>
      <w:r w:rsidRPr="000C2896">
        <w:rPr>
          <w:sz w:val="20"/>
          <w:szCs w:val="20"/>
        </w:rPr>
        <w:t xml:space="preserve">level.  </w:t>
      </w:r>
      <w:r w:rsidR="00BD5039">
        <w:rPr>
          <w:sz w:val="20"/>
          <w:szCs w:val="20"/>
        </w:rPr>
        <w:t>For the defences tested, t</w:t>
      </w:r>
      <w:r w:rsidRPr="000C2896">
        <w:rPr>
          <w:sz w:val="20"/>
          <w:szCs w:val="20"/>
        </w:rPr>
        <w:t xml:space="preserve">here is approximately a 6% chance that actual damage levels are more than double </w:t>
      </w:r>
      <w:r w:rsidR="00D76B58" w:rsidRPr="000C2896">
        <w:rPr>
          <w:sz w:val="20"/>
          <w:szCs w:val="20"/>
        </w:rPr>
        <w:t xml:space="preserve">the </w:t>
      </w:r>
      <w:r w:rsidR="00D76B58">
        <w:rPr>
          <w:sz w:val="20"/>
          <w:szCs w:val="20"/>
        </w:rPr>
        <w:t>benchmark</w:t>
      </w:r>
      <w:r w:rsidR="00D76B58" w:rsidRPr="000C2896">
        <w:rPr>
          <w:sz w:val="20"/>
          <w:szCs w:val="20"/>
        </w:rPr>
        <w:t xml:space="preserve"> level</w:t>
      </w:r>
      <w:r w:rsidRPr="000C2896">
        <w:rPr>
          <w:sz w:val="20"/>
          <w:szCs w:val="20"/>
        </w:rPr>
        <w:t xml:space="preserve">, </w:t>
      </w:r>
      <w:r w:rsidR="00D76B58">
        <w:rPr>
          <w:sz w:val="20"/>
          <w:szCs w:val="20"/>
        </w:rPr>
        <w:t xml:space="preserve">but </w:t>
      </w:r>
      <w:r w:rsidRPr="000C2896">
        <w:rPr>
          <w:sz w:val="20"/>
          <w:szCs w:val="20"/>
        </w:rPr>
        <w:t xml:space="preserve">rarely more than three times </w:t>
      </w:r>
      <w:r w:rsidR="00D76B58" w:rsidRPr="00D76B58">
        <w:rPr>
          <w:sz w:val="20"/>
          <w:szCs w:val="20"/>
        </w:rPr>
        <w:t>the benchmark level</w:t>
      </w:r>
      <w:r w:rsidRPr="000C2896">
        <w:rPr>
          <w:sz w:val="20"/>
          <w:szCs w:val="20"/>
        </w:rPr>
        <w:t xml:space="preserve">.  With “failure” considered to occur at a level of 10 or greater, Van Der Meer (1987), it would </w:t>
      </w:r>
      <w:r w:rsidR="005E1444">
        <w:rPr>
          <w:sz w:val="20"/>
          <w:szCs w:val="20"/>
        </w:rPr>
        <w:t xml:space="preserve">therefore </w:t>
      </w:r>
      <w:r w:rsidRPr="000C2896">
        <w:rPr>
          <w:sz w:val="20"/>
          <w:szCs w:val="20"/>
        </w:rPr>
        <w:t xml:space="preserve">not be expected that a </w:t>
      </w:r>
      <w:r w:rsidRPr="000C2896">
        <w:rPr>
          <w:sz w:val="20"/>
          <w:szCs w:val="20"/>
        </w:rPr>
        <w:lastRenderedPageBreak/>
        <w:t>revetment robustly designed for a damage level of 2 using the JP1 approach would fail under design conditions.</w:t>
      </w:r>
    </w:p>
    <w:p w14:paraId="616BE881" w14:textId="5042811B" w:rsidR="000C2896" w:rsidRDefault="004139CF" w:rsidP="000C2896">
      <w:pPr>
        <w:spacing w:line="480" w:lineRule="auto"/>
        <w:rPr>
          <w:sz w:val="20"/>
          <w:szCs w:val="20"/>
        </w:rPr>
      </w:pPr>
      <w:r>
        <w:rPr>
          <w:noProof/>
          <w:sz w:val="20"/>
          <w:szCs w:val="20"/>
        </w:rPr>
        <w:drawing>
          <wp:inline distT="0" distB="0" distL="0" distR="0" wp14:anchorId="5E009604" wp14:editId="4C82C814">
            <wp:extent cx="6132830" cy="424942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32830" cy="4249420"/>
                    </a:xfrm>
                    <a:prstGeom prst="rect">
                      <a:avLst/>
                    </a:prstGeom>
                    <a:noFill/>
                  </pic:spPr>
                </pic:pic>
              </a:graphicData>
            </a:graphic>
          </wp:inline>
        </w:drawing>
      </w:r>
    </w:p>
    <w:p w14:paraId="7AB51699" w14:textId="77777777" w:rsidR="004139CF" w:rsidRPr="00A442E4" w:rsidRDefault="004139CF" w:rsidP="004139CF">
      <w:pPr>
        <w:spacing w:line="360" w:lineRule="auto"/>
        <w:outlineLvl w:val="0"/>
        <w:rPr>
          <w:sz w:val="20"/>
          <w:szCs w:val="20"/>
        </w:rPr>
      </w:pPr>
      <w:r w:rsidRPr="00A442E4">
        <w:rPr>
          <w:sz w:val="20"/>
          <w:szCs w:val="20"/>
        </w:rPr>
        <w:t xml:space="preserve">Figure </w:t>
      </w:r>
      <w:r>
        <w:rPr>
          <w:sz w:val="20"/>
          <w:szCs w:val="20"/>
        </w:rPr>
        <w:t>4</w:t>
      </w:r>
      <w:r w:rsidRPr="00A442E4">
        <w:rPr>
          <w:sz w:val="20"/>
          <w:szCs w:val="20"/>
        </w:rPr>
        <w:t xml:space="preserve">. </w:t>
      </w:r>
      <w:r>
        <w:rPr>
          <w:sz w:val="20"/>
          <w:szCs w:val="20"/>
        </w:rPr>
        <w:t>Cumulative distribution function of damage ratio for different joint exceedance curve approaches relative to the RV approach.</w:t>
      </w:r>
    </w:p>
    <w:p w14:paraId="386A7D2E" w14:textId="77777777" w:rsidR="004139CF" w:rsidRDefault="004139CF" w:rsidP="000C2896">
      <w:pPr>
        <w:spacing w:line="480" w:lineRule="auto"/>
        <w:rPr>
          <w:sz w:val="20"/>
          <w:szCs w:val="20"/>
        </w:rPr>
      </w:pPr>
    </w:p>
    <w:p w14:paraId="03C39713" w14:textId="77777777" w:rsidR="000C2896" w:rsidRPr="000C2896" w:rsidRDefault="000C2896" w:rsidP="000C2896">
      <w:pPr>
        <w:spacing w:line="480" w:lineRule="auto"/>
        <w:rPr>
          <w:sz w:val="20"/>
          <w:szCs w:val="20"/>
        </w:rPr>
      </w:pPr>
      <w:r w:rsidRPr="000C2896">
        <w:rPr>
          <w:sz w:val="20"/>
          <w:szCs w:val="20"/>
        </w:rPr>
        <w:t xml:space="preserve">Differences </w:t>
      </w:r>
      <w:r w:rsidR="00BA4892">
        <w:rPr>
          <w:sz w:val="20"/>
          <w:szCs w:val="20"/>
        </w:rPr>
        <w:t xml:space="preserve">though </w:t>
      </w:r>
      <w:r w:rsidRPr="000C2896">
        <w:rPr>
          <w:sz w:val="20"/>
          <w:szCs w:val="20"/>
        </w:rPr>
        <w:t xml:space="preserve">are a lot greater when considering the other joint </w:t>
      </w:r>
      <w:r w:rsidR="00A0085B">
        <w:rPr>
          <w:sz w:val="20"/>
          <w:szCs w:val="20"/>
        </w:rPr>
        <w:t>exceedance curve</w:t>
      </w:r>
      <w:r w:rsidRPr="000C2896">
        <w:rPr>
          <w:sz w:val="20"/>
          <w:szCs w:val="20"/>
        </w:rPr>
        <w:t xml:space="preserve"> </w:t>
      </w:r>
      <w:r w:rsidR="00D122AF">
        <w:rPr>
          <w:sz w:val="20"/>
          <w:szCs w:val="20"/>
        </w:rPr>
        <w:t>approaches</w:t>
      </w:r>
      <w:r w:rsidRPr="000C2896">
        <w:rPr>
          <w:sz w:val="20"/>
          <w:szCs w:val="20"/>
        </w:rPr>
        <w:t xml:space="preserve">, particularly those based on the </w:t>
      </w:r>
      <w:proofErr w:type="spellStart"/>
      <w:r w:rsidRPr="000C2896">
        <w:rPr>
          <w:sz w:val="20"/>
          <w:szCs w:val="20"/>
        </w:rPr>
        <w:t>InJoPA</w:t>
      </w:r>
      <w:proofErr w:type="spellEnd"/>
      <w:r w:rsidRPr="000C2896">
        <w:rPr>
          <w:sz w:val="20"/>
          <w:szCs w:val="20"/>
        </w:rPr>
        <w:t xml:space="preserve"> approach (JP4-</w:t>
      </w:r>
      <w:r w:rsidR="00D122AF">
        <w:rPr>
          <w:sz w:val="20"/>
          <w:szCs w:val="20"/>
        </w:rPr>
        <w:t>JP5 and JP7-</w:t>
      </w:r>
      <w:r w:rsidRPr="000C2896">
        <w:rPr>
          <w:sz w:val="20"/>
          <w:szCs w:val="20"/>
        </w:rPr>
        <w:t xml:space="preserve">JP8).  </w:t>
      </w:r>
      <w:r w:rsidR="00BA4892">
        <w:rPr>
          <w:sz w:val="20"/>
          <w:szCs w:val="20"/>
        </w:rPr>
        <w:t>Often</w:t>
      </w:r>
      <w:r w:rsidRPr="000C2896">
        <w:rPr>
          <w:sz w:val="20"/>
          <w:szCs w:val="20"/>
        </w:rPr>
        <w:t xml:space="preserve"> levels of damage are greater than </w:t>
      </w:r>
      <w:r w:rsidR="005E1444">
        <w:rPr>
          <w:sz w:val="20"/>
          <w:szCs w:val="20"/>
        </w:rPr>
        <w:t>the benchmark level</w:t>
      </w:r>
      <w:r w:rsidRPr="000C2896">
        <w:rPr>
          <w:sz w:val="20"/>
          <w:szCs w:val="20"/>
        </w:rPr>
        <w:t xml:space="preserve">, although typically levels of actual damage are less than those structures assessed by the JP1 approach.  However, </w:t>
      </w:r>
      <w:r w:rsidR="003071CB">
        <w:rPr>
          <w:sz w:val="20"/>
          <w:szCs w:val="20"/>
        </w:rPr>
        <w:t xml:space="preserve">significant levels </w:t>
      </w:r>
      <w:r w:rsidRPr="000C2896">
        <w:rPr>
          <w:sz w:val="20"/>
          <w:szCs w:val="20"/>
        </w:rPr>
        <w:t xml:space="preserve">of damage are much more likely in comparison to the JP1 approach.  This includes a 1% chance that damage levels are </w:t>
      </w:r>
      <w:r w:rsidR="007838CE">
        <w:rPr>
          <w:sz w:val="20"/>
          <w:szCs w:val="20"/>
        </w:rPr>
        <w:t xml:space="preserve">potentially </w:t>
      </w:r>
      <w:r w:rsidRPr="000C2896">
        <w:rPr>
          <w:sz w:val="20"/>
          <w:szCs w:val="20"/>
        </w:rPr>
        <w:t>under-estimated by a factor of 5 or more using either the JP4 or JP7 approach</w:t>
      </w:r>
      <w:r w:rsidR="00BD5039">
        <w:rPr>
          <w:sz w:val="20"/>
          <w:szCs w:val="20"/>
        </w:rPr>
        <w:t xml:space="preserve"> for the defences tested</w:t>
      </w:r>
      <w:r w:rsidRPr="000C2896">
        <w:rPr>
          <w:sz w:val="20"/>
          <w:szCs w:val="20"/>
        </w:rPr>
        <w:t xml:space="preserve">.  </w:t>
      </w:r>
      <w:r w:rsidR="007838CE">
        <w:rPr>
          <w:sz w:val="20"/>
          <w:szCs w:val="20"/>
        </w:rPr>
        <w:t>T</w:t>
      </w:r>
      <w:r w:rsidRPr="000C2896">
        <w:rPr>
          <w:sz w:val="20"/>
          <w:szCs w:val="20"/>
        </w:rPr>
        <w:t>his would mean that the actual damage level would be 10 or greater, resulting in failure of the revetment under design storm conditions.</w:t>
      </w:r>
    </w:p>
    <w:p w14:paraId="01877133" w14:textId="77777777" w:rsidR="000C2896" w:rsidRDefault="000C2896" w:rsidP="000C2896">
      <w:pPr>
        <w:spacing w:line="480" w:lineRule="auto"/>
        <w:rPr>
          <w:sz w:val="20"/>
          <w:szCs w:val="20"/>
        </w:rPr>
      </w:pPr>
    </w:p>
    <w:p w14:paraId="440E54F8" w14:textId="77777777" w:rsidR="00672397" w:rsidRDefault="000C2896" w:rsidP="000C2896">
      <w:pPr>
        <w:spacing w:line="480" w:lineRule="auto"/>
        <w:rPr>
          <w:sz w:val="20"/>
          <w:szCs w:val="20"/>
        </w:rPr>
      </w:pPr>
      <w:r w:rsidRPr="000C2896">
        <w:rPr>
          <w:sz w:val="20"/>
          <w:szCs w:val="20"/>
        </w:rPr>
        <w:lastRenderedPageBreak/>
        <w:t xml:space="preserve">Damage to rock armoured revetments is though greater when impacted by long period waves.  The effect of a wave steepness of 0.035 was therefore also investigated, and this is shown in Figure </w:t>
      </w:r>
      <w:r w:rsidR="002E538A">
        <w:rPr>
          <w:sz w:val="20"/>
          <w:szCs w:val="20"/>
        </w:rPr>
        <w:t>5</w:t>
      </w:r>
      <w:r w:rsidR="00077078">
        <w:rPr>
          <w:sz w:val="20"/>
          <w:szCs w:val="20"/>
        </w:rPr>
        <w:t xml:space="preserve"> for JP2 only</w:t>
      </w:r>
      <w:r w:rsidRPr="000C2896">
        <w:rPr>
          <w:sz w:val="20"/>
          <w:szCs w:val="20"/>
        </w:rPr>
        <w:t xml:space="preserve">.  This suggests that a lower steepness value would in general result in a higher ratio for all </w:t>
      </w:r>
      <w:r w:rsidR="00EF06DB">
        <w:rPr>
          <w:sz w:val="20"/>
          <w:szCs w:val="20"/>
        </w:rPr>
        <w:t>joint exceedance</w:t>
      </w:r>
      <w:r w:rsidRPr="000C2896">
        <w:rPr>
          <w:sz w:val="20"/>
          <w:szCs w:val="20"/>
        </w:rPr>
        <w:t xml:space="preserve"> curve </w:t>
      </w:r>
      <w:r w:rsidR="00F62ABE">
        <w:rPr>
          <w:sz w:val="20"/>
          <w:szCs w:val="20"/>
        </w:rPr>
        <w:t>approaches</w:t>
      </w:r>
      <w:r w:rsidRPr="000C2896">
        <w:rPr>
          <w:sz w:val="20"/>
          <w:szCs w:val="20"/>
        </w:rPr>
        <w:t xml:space="preserve"> considered</w:t>
      </w:r>
      <w:r w:rsidR="00077078">
        <w:rPr>
          <w:sz w:val="20"/>
          <w:szCs w:val="20"/>
        </w:rPr>
        <w:t xml:space="preserve"> (JP5 and JP8 are not </w:t>
      </w:r>
      <w:proofErr w:type="gramStart"/>
      <w:r w:rsidR="00077078">
        <w:rPr>
          <w:sz w:val="20"/>
          <w:szCs w:val="20"/>
        </w:rPr>
        <w:t>shown, but</w:t>
      </w:r>
      <w:proofErr w:type="gramEnd"/>
      <w:r w:rsidR="00077078">
        <w:rPr>
          <w:sz w:val="20"/>
          <w:szCs w:val="20"/>
        </w:rPr>
        <w:t xml:space="preserve"> show similar results)</w:t>
      </w:r>
      <w:r w:rsidRPr="000C2896">
        <w:rPr>
          <w:sz w:val="20"/>
          <w:szCs w:val="20"/>
        </w:rPr>
        <w:t xml:space="preserve">.  This means that damage levels are more likely to be greater than the </w:t>
      </w:r>
      <w:r w:rsidR="007838CE">
        <w:rPr>
          <w:sz w:val="20"/>
          <w:szCs w:val="20"/>
        </w:rPr>
        <w:t>benchmark</w:t>
      </w:r>
      <w:r w:rsidRPr="000C2896">
        <w:rPr>
          <w:sz w:val="20"/>
          <w:szCs w:val="20"/>
        </w:rPr>
        <w:t xml:space="preserve"> level.  </w:t>
      </w:r>
      <w:proofErr w:type="gramStart"/>
      <w:r w:rsidRPr="000C2896">
        <w:rPr>
          <w:sz w:val="20"/>
          <w:szCs w:val="20"/>
        </w:rPr>
        <w:t>As a consequence</w:t>
      </w:r>
      <w:proofErr w:type="gramEnd"/>
      <w:r w:rsidRPr="000C2896">
        <w:rPr>
          <w:sz w:val="20"/>
          <w:szCs w:val="20"/>
        </w:rPr>
        <w:t xml:space="preserve">, rock armoured structures more exposed to long-period swell waves, such as on the south-west coast of England, are at greater risk of failure when designed based on a </w:t>
      </w:r>
      <w:r w:rsidR="00EF06DB">
        <w:rPr>
          <w:sz w:val="20"/>
          <w:szCs w:val="20"/>
        </w:rPr>
        <w:t>joint exceedance</w:t>
      </w:r>
      <w:r w:rsidRPr="000C2896">
        <w:rPr>
          <w:sz w:val="20"/>
          <w:szCs w:val="20"/>
        </w:rPr>
        <w:t xml:space="preserve"> curve approach when compared to regions where damage is driven by high steepness locally generated wind waves such as in Liverpool Bay.  However, the issue being considered in this paper is the effect of how the </w:t>
      </w:r>
      <w:r w:rsidR="00EF06DB">
        <w:rPr>
          <w:sz w:val="20"/>
          <w:szCs w:val="20"/>
        </w:rPr>
        <w:t>joint exceedance</w:t>
      </w:r>
      <w:r w:rsidRPr="000C2896">
        <w:rPr>
          <w:sz w:val="20"/>
          <w:szCs w:val="20"/>
        </w:rPr>
        <w:t xml:space="preserve"> curves are typically applied, not how best to apply them.  Figures </w:t>
      </w:r>
      <w:r w:rsidR="002E538A">
        <w:rPr>
          <w:sz w:val="20"/>
          <w:szCs w:val="20"/>
        </w:rPr>
        <w:t>4</w:t>
      </w:r>
      <w:r w:rsidRPr="000C2896">
        <w:rPr>
          <w:sz w:val="20"/>
          <w:szCs w:val="20"/>
        </w:rPr>
        <w:t xml:space="preserve"> and </w:t>
      </w:r>
      <w:r w:rsidR="002E538A">
        <w:rPr>
          <w:sz w:val="20"/>
          <w:szCs w:val="20"/>
        </w:rPr>
        <w:t>5</w:t>
      </w:r>
      <w:r w:rsidRPr="000C2896">
        <w:rPr>
          <w:sz w:val="20"/>
          <w:szCs w:val="20"/>
        </w:rPr>
        <w:t xml:space="preserve"> therefore demonstrate that an assumed wave steepness using any of the </w:t>
      </w:r>
      <w:r w:rsidR="00EF06DB">
        <w:rPr>
          <w:sz w:val="20"/>
          <w:szCs w:val="20"/>
        </w:rPr>
        <w:t>joint exceedance</w:t>
      </w:r>
      <w:r w:rsidRPr="000C2896">
        <w:rPr>
          <w:sz w:val="20"/>
          <w:szCs w:val="20"/>
        </w:rPr>
        <w:t xml:space="preserve"> curves considered in this paper can have a significant effect on the estimation of damage levels.  In general, levels of damage are under-estimated, however, this would not be expected to lead to failure of </w:t>
      </w:r>
      <w:r w:rsidR="007838CE">
        <w:rPr>
          <w:sz w:val="20"/>
          <w:szCs w:val="20"/>
        </w:rPr>
        <w:t>a</w:t>
      </w:r>
      <w:r w:rsidRPr="000C2896">
        <w:rPr>
          <w:sz w:val="20"/>
          <w:szCs w:val="20"/>
        </w:rPr>
        <w:t xml:space="preserve"> revetment</w:t>
      </w:r>
      <w:r w:rsidR="00672397">
        <w:rPr>
          <w:sz w:val="20"/>
          <w:szCs w:val="20"/>
        </w:rPr>
        <w:t xml:space="preserve">, although this is more likely if using one of the </w:t>
      </w:r>
      <w:proofErr w:type="spellStart"/>
      <w:r w:rsidR="00672397">
        <w:rPr>
          <w:sz w:val="20"/>
          <w:szCs w:val="20"/>
        </w:rPr>
        <w:t>InJoPA</w:t>
      </w:r>
      <w:proofErr w:type="spellEnd"/>
      <w:r w:rsidR="00672397">
        <w:rPr>
          <w:sz w:val="20"/>
          <w:szCs w:val="20"/>
        </w:rPr>
        <w:t xml:space="preserve"> approaches.</w:t>
      </w:r>
    </w:p>
    <w:p w14:paraId="74DE84B6" w14:textId="64489BA9" w:rsidR="000C2896" w:rsidRDefault="004139CF" w:rsidP="000C2896">
      <w:pPr>
        <w:spacing w:line="480" w:lineRule="auto"/>
        <w:rPr>
          <w:sz w:val="20"/>
          <w:szCs w:val="20"/>
        </w:rPr>
      </w:pPr>
      <w:r>
        <w:rPr>
          <w:noProof/>
          <w:sz w:val="20"/>
          <w:szCs w:val="20"/>
        </w:rPr>
        <w:drawing>
          <wp:inline distT="0" distB="0" distL="0" distR="0" wp14:anchorId="419DDC48" wp14:editId="6EE1B779">
            <wp:extent cx="6132830" cy="4249420"/>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32830" cy="4249420"/>
                    </a:xfrm>
                    <a:prstGeom prst="rect">
                      <a:avLst/>
                    </a:prstGeom>
                    <a:noFill/>
                  </pic:spPr>
                </pic:pic>
              </a:graphicData>
            </a:graphic>
          </wp:inline>
        </w:drawing>
      </w:r>
    </w:p>
    <w:p w14:paraId="20BD544A" w14:textId="77777777" w:rsidR="004139CF" w:rsidRDefault="004139CF" w:rsidP="004139CF">
      <w:pPr>
        <w:spacing w:line="360" w:lineRule="auto"/>
        <w:rPr>
          <w:sz w:val="20"/>
          <w:szCs w:val="20"/>
        </w:rPr>
      </w:pPr>
      <w:r w:rsidRPr="00EE0F38">
        <w:rPr>
          <w:sz w:val="20"/>
          <w:szCs w:val="20"/>
        </w:rPr>
        <w:lastRenderedPageBreak/>
        <w:t xml:space="preserve">Figure </w:t>
      </w:r>
      <w:r>
        <w:rPr>
          <w:sz w:val="20"/>
          <w:szCs w:val="20"/>
        </w:rPr>
        <w:t>5</w:t>
      </w:r>
      <w:r w:rsidRPr="00EE0F38">
        <w:rPr>
          <w:sz w:val="20"/>
          <w:szCs w:val="20"/>
        </w:rPr>
        <w:t xml:space="preserve">. Cumulative distribution function of </w:t>
      </w:r>
      <w:r>
        <w:rPr>
          <w:sz w:val="20"/>
          <w:szCs w:val="20"/>
        </w:rPr>
        <w:t>damage</w:t>
      </w:r>
      <w:r w:rsidRPr="00EE0F38">
        <w:rPr>
          <w:sz w:val="20"/>
          <w:szCs w:val="20"/>
        </w:rPr>
        <w:t xml:space="preserve"> ratio for different </w:t>
      </w:r>
      <w:r>
        <w:rPr>
          <w:sz w:val="20"/>
          <w:szCs w:val="20"/>
        </w:rPr>
        <w:t>joint exceedance</w:t>
      </w:r>
      <w:r w:rsidRPr="00EE0F38">
        <w:rPr>
          <w:sz w:val="20"/>
          <w:szCs w:val="20"/>
        </w:rPr>
        <w:t xml:space="preserve"> curve approaches relative to the RV approach</w:t>
      </w:r>
      <w:r>
        <w:rPr>
          <w:sz w:val="20"/>
          <w:szCs w:val="20"/>
        </w:rPr>
        <w:t xml:space="preserve"> for different steepness values</w:t>
      </w:r>
      <w:r w:rsidRPr="00EE0F38">
        <w:rPr>
          <w:sz w:val="20"/>
          <w:szCs w:val="20"/>
        </w:rPr>
        <w:t>.</w:t>
      </w:r>
    </w:p>
    <w:p w14:paraId="28B06CD9" w14:textId="77777777" w:rsidR="004139CF" w:rsidRDefault="004139CF" w:rsidP="000C2896">
      <w:pPr>
        <w:spacing w:line="480" w:lineRule="auto"/>
        <w:rPr>
          <w:sz w:val="20"/>
          <w:szCs w:val="20"/>
        </w:rPr>
      </w:pPr>
    </w:p>
    <w:p w14:paraId="17961E86" w14:textId="77777777" w:rsidR="000C2896" w:rsidRPr="000C2896" w:rsidRDefault="000C2896" w:rsidP="000C2896">
      <w:pPr>
        <w:spacing w:line="480" w:lineRule="auto"/>
        <w:rPr>
          <w:b/>
          <w:i/>
          <w:sz w:val="20"/>
          <w:szCs w:val="20"/>
        </w:rPr>
      </w:pPr>
      <w:r w:rsidRPr="000C2896">
        <w:rPr>
          <w:b/>
          <w:i/>
          <w:sz w:val="20"/>
          <w:szCs w:val="20"/>
        </w:rPr>
        <w:t>4.3 Wave Forces</w:t>
      </w:r>
    </w:p>
    <w:p w14:paraId="751DBD70" w14:textId="77777777" w:rsidR="000C2896" w:rsidRDefault="000C2896" w:rsidP="000C2896">
      <w:pPr>
        <w:spacing w:line="480" w:lineRule="auto"/>
        <w:rPr>
          <w:sz w:val="20"/>
          <w:szCs w:val="20"/>
        </w:rPr>
      </w:pPr>
      <w:r w:rsidRPr="000C2896">
        <w:rPr>
          <w:sz w:val="20"/>
          <w:szCs w:val="20"/>
        </w:rPr>
        <w:t xml:space="preserve">Figure </w:t>
      </w:r>
      <w:r w:rsidR="002E538A">
        <w:rPr>
          <w:sz w:val="20"/>
          <w:szCs w:val="20"/>
        </w:rPr>
        <w:t>6</w:t>
      </w:r>
      <w:r w:rsidRPr="000C2896">
        <w:rPr>
          <w:sz w:val="20"/>
          <w:szCs w:val="20"/>
        </w:rPr>
        <w:t xml:space="preserve"> shows the effect on the calculation of wave forces on vertical walls for the different joint </w:t>
      </w:r>
      <w:r w:rsidR="00A0085B">
        <w:rPr>
          <w:sz w:val="20"/>
          <w:szCs w:val="20"/>
        </w:rPr>
        <w:t>exceedance curve</w:t>
      </w:r>
      <w:r w:rsidRPr="000C2896">
        <w:rPr>
          <w:sz w:val="20"/>
          <w:szCs w:val="20"/>
        </w:rPr>
        <w:t xml:space="preserve"> </w:t>
      </w:r>
      <w:r w:rsidR="00F62ABE">
        <w:rPr>
          <w:sz w:val="20"/>
          <w:szCs w:val="20"/>
        </w:rPr>
        <w:t>approaches</w:t>
      </w:r>
      <w:r w:rsidRPr="000C2896">
        <w:rPr>
          <w:sz w:val="20"/>
          <w:szCs w:val="20"/>
        </w:rPr>
        <w:t xml:space="preserve"> assessed.  This considers </w:t>
      </w:r>
      <w:r w:rsidR="007838CE">
        <w:rPr>
          <w:sz w:val="20"/>
          <w:szCs w:val="20"/>
        </w:rPr>
        <w:t>vertical walls only.</w:t>
      </w:r>
      <w:r w:rsidR="00077078">
        <w:rPr>
          <w:sz w:val="20"/>
          <w:szCs w:val="20"/>
        </w:rPr>
        <w:t xml:space="preserve">  Results for JP2, JP7 and JP8 are not shown </w:t>
      </w:r>
      <w:r w:rsidR="00D63B36">
        <w:rPr>
          <w:sz w:val="20"/>
          <w:szCs w:val="20"/>
        </w:rPr>
        <w:t xml:space="preserve">as they are </w:t>
      </w:r>
      <w:proofErr w:type="gramStart"/>
      <w:r w:rsidR="00D63B36">
        <w:rPr>
          <w:sz w:val="20"/>
          <w:szCs w:val="20"/>
        </w:rPr>
        <w:t>similar to</w:t>
      </w:r>
      <w:proofErr w:type="gramEnd"/>
      <w:r w:rsidR="00D63B36">
        <w:rPr>
          <w:sz w:val="20"/>
          <w:szCs w:val="20"/>
        </w:rPr>
        <w:t xml:space="preserve"> JP1, JP4 and JP5 respectively.</w:t>
      </w:r>
    </w:p>
    <w:p w14:paraId="10F96BD3" w14:textId="7A85BF75" w:rsidR="00D63B36" w:rsidRDefault="004139CF" w:rsidP="000C2896">
      <w:pPr>
        <w:spacing w:line="480" w:lineRule="auto"/>
        <w:rPr>
          <w:sz w:val="20"/>
          <w:szCs w:val="20"/>
        </w:rPr>
      </w:pPr>
      <w:r>
        <w:rPr>
          <w:noProof/>
          <w:sz w:val="20"/>
          <w:szCs w:val="20"/>
        </w:rPr>
        <w:drawing>
          <wp:inline distT="0" distB="0" distL="0" distR="0" wp14:anchorId="038711DD" wp14:editId="3C7BF57E">
            <wp:extent cx="6132830" cy="424942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32830" cy="4249420"/>
                    </a:xfrm>
                    <a:prstGeom prst="rect">
                      <a:avLst/>
                    </a:prstGeom>
                    <a:noFill/>
                  </pic:spPr>
                </pic:pic>
              </a:graphicData>
            </a:graphic>
          </wp:inline>
        </w:drawing>
      </w:r>
    </w:p>
    <w:p w14:paraId="0BE84413" w14:textId="77777777" w:rsidR="004139CF" w:rsidRPr="00A442E4" w:rsidRDefault="004139CF" w:rsidP="004139CF">
      <w:pPr>
        <w:spacing w:line="360" w:lineRule="auto"/>
        <w:outlineLvl w:val="0"/>
        <w:rPr>
          <w:sz w:val="20"/>
          <w:szCs w:val="20"/>
        </w:rPr>
      </w:pPr>
      <w:r w:rsidRPr="00A442E4">
        <w:rPr>
          <w:sz w:val="20"/>
          <w:szCs w:val="20"/>
        </w:rPr>
        <w:t xml:space="preserve">Figure </w:t>
      </w:r>
      <w:r>
        <w:rPr>
          <w:sz w:val="20"/>
          <w:szCs w:val="20"/>
        </w:rPr>
        <w:t>6</w:t>
      </w:r>
      <w:r w:rsidRPr="00A442E4">
        <w:rPr>
          <w:sz w:val="20"/>
          <w:szCs w:val="20"/>
        </w:rPr>
        <w:t xml:space="preserve">. </w:t>
      </w:r>
      <w:r>
        <w:rPr>
          <w:sz w:val="20"/>
          <w:szCs w:val="20"/>
        </w:rPr>
        <w:t>Cumulative distribution function of wave force ratio for different joint exceedance curve approaches relative to the RV approach.</w:t>
      </w:r>
    </w:p>
    <w:p w14:paraId="19FF684E" w14:textId="77777777" w:rsidR="004139CF" w:rsidRPr="000C2896" w:rsidRDefault="004139CF" w:rsidP="000C2896">
      <w:pPr>
        <w:spacing w:line="480" w:lineRule="auto"/>
        <w:rPr>
          <w:sz w:val="20"/>
          <w:szCs w:val="20"/>
        </w:rPr>
      </w:pPr>
    </w:p>
    <w:p w14:paraId="4BAA3420" w14:textId="77777777" w:rsidR="000C2896" w:rsidRPr="000C2896" w:rsidRDefault="000C2896" w:rsidP="000C2896">
      <w:pPr>
        <w:spacing w:line="480" w:lineRule="auto"/>
        <w:rPr>
          <w:sz w:val="20"/>
          <w:szCs w:val="20"/>
        </w:rPr>
      </w:pPr>
      <w:r w:rsidRPr="000C2896">
        <w:rPr>
          <w:sz w:val="20"/>
          <w:szCs w:val="20"/>
        </w:rPr>
        <w:t xml:space="preserve">Unlike the calculation of overtopping rates or damage levels, the effect of the choice of the </w:t>
      </w:r>
      <w:r w:rsidR="00EF06DB">
        <w:rPr>
          <w:sz w:val="20"/>
          <w:szCs w:val="20"/>
        </w:rPr>
        <w:t>joint exceedance</w:t>
      </w:r>
      <w:r w:rsidRPr="000C2896">
        <w:rPr>
          <w:sz w:val="20"/>
          <w:szCs w:val="20"/>
        </w:rPr>
        <w:t xml:space="preserve"> curve approach does not appear to noticeably affect the calculated wave force when compared against the RV approach.  </w:t>
      </w:r>
      <w:r w:rsidR="00D63B36">
        <w:rPr>
          <w:sz w:val="20"/>
          <w:szCs w:val="20"/>
        </w:rPr>
        <w:t xml:space="preserve">In addition, the choice of joint exceedance curve approach makes little difference to the result obtained.  </w:t>
      </w:r>
      <w:r w:rsidRPr="000C2896">
        <w:rPr>
          <w:sz w:val="20"/>
          <w:szCs w:val="20"/>
        </w:rPr>
        <w:t xml:space="preserve">Wave forces are </w:t>
      </w:r>
      <w:r w:rsidR="00D63B36">
        <w:rPr>
          <w:sz w:val="20"/>
          <w:szCs w:val="20"/>
        </w:rPr>
        <w:t xml:space="preserve">also noted to be </w:t>
      </w:r>
      <w:r w:rsidRPr="000C2896">
        <w:rPr>
          <w:sz w:val="20"/>
          <w:szCs w:val="20"/>
        </w:rPr>
        <w:t xml:space="preserve">a lot less affected by wave period relative to wave height than overtopping rates and damage levels.  </w:t>
      </w:r>
      <w:r w:rsidRPr="000C2896">
        <w:rPr>
          <w:sz w:val="20"/>
          <w:szCs w:val="20"/>
        </w:rPr>
        <w:lastRenderedPageBreak/>
        <w:t>Wave forces are also an approximate linear function of wave height, whereas they are typically a function of wave height to a power of 1.5 or greater for overtopping rates and damage levels.</w:t>
      </w:r>
    </w:p>
    <w:p w14:paraId="5B9E8B7C" w14:textId="77777777" w:rsidR="000C2896" w:rsidRDefault="000C2896" w:rsidP="000C2896">
      <w:pPr>
        <w:spacing w:line="480" w:lineRule="auto"/>
        <w:rPr>
          <w:sz w:val="20"/>
          <w:szCs w:val="20"/>
        </w:rPr>
      </w:pPr>
    </w:p>
    <w:p w14:paraId="6C5A0868" w14:textId="77777777" w:rsidR="00D63B36" w:rsidRDefault="000C2896" w:rsidP="000C2896">
      <w:pPr>
        <w:spacing w:line="480" w:lineRule="auto"/>
        <w:rPr>
          <w:sz w:val="20"/>
          <w:szCs w:val="20"/>
        </w:rPr>
      </w:pPr>
      <w:r w:rsidRPr="000C2896">
        <w:rPr>
          <w:sz w:val="20"/>
          <w:szCs w:val="20"/>
        </w:rPr>
        <w:t xml:space="preserve">As a consequence, </w:t>
      </w:r>
      <w:r w:rsidR="007838CE">
        <w:rPr>
          <w:sz w:val="20"/>
          <w:szCs w:val="20"/>
        </w:rPr>
        <w:t xml:space="preserve">these results suggest that </w:t>
      </w:r>
      <w:r w:rsidRPr="000C2896">
        <w:rPr>
          <w:sz w:val="20"/>
          <w:szCs w:val="20"/>
        </w:rPr>
        <w:t xml:space="preserve">wave forces are </w:t>
      </w:r>
      <w:r w:rsidR="000938C5">
        <w:rPr>
          <w:sz w:val="20"/>
          <w:szCs w:val="20"/>
        </w:rPr>
        <w:t>over</w:t>
      </w:r>
      <w:r w:rsidRPr="000C2896">
        <w:rPr>
          <w:sz w:val="20"/>
          <w:szCs w:val="20"/>
        </w:rPr>
        <w:t>-estimated</w:t>
      </w:r>
      <w:r w:rsidR="00BB05BA">
        <w:rPr>
          <w:sz w:val="20"/>
          <w:szCs w:val="20"/>
        </w:rPr>
        <w:t xml:space="preserve"> </w:t>
      </w:r>
      <w:r w:rsidR="00BD5039">
        <w:rPr>
          <w:sz w:val="20"/>
          <w:szCs w:val="20"/>
        </w:rPr>
        <w:t xml:space="preserve">for </w:t>
      </w:r>
      <w:r w:rsidR="00BB05BA">
        <w:rPr>
          <w:sz w:val="20"/>
          <w:szCs w:val="20"/>
        </w:rPr>
        <w:t>a</w:t>
      </w:r>
      <w:r w:rsidRPr="000C2896">
        <w:rPr>
          <w:sz w:val="20"/>
          <w:szCs w:val="20"/>
        </w:rPr>
        <w:t xml:space="preserve">bout </w:t>
      </w:r>
      <w:r w:rsidR="00BB05BA">
        <w:rPr>
          <w:sz w:val="20"/>
          <w:szCs w:val="20"/>
        </w:rPr>
        <w:t>70</w:t>
      </w:r>
      <w:r w:rsidRPr="000C2896">
        <w:rPr>
          <w:sz w:val="20"/>
          <w:szCs w:val="20"/>
        </w:rPr>
        <w:t xml:space="preserve">% of the </w:t>
      </w:r>
      <w:r w:rsidR="00BD5039">
        <w:rPr>
          <w:sz w:val="20"/>
          <w:szCs w:val="20"/>
        </w:rPr>
        <w:t xml:space="preserve">defences </w:t>
      </w:r>
      <w:proofErr w:type="gramStart"/>
      <w:r w:rsidR="00BD5039">
        <w:rPr>
          <w:sz w:val="20"/>
          <w:szCs w:val="20"/>
        </w:rPr>
        <w:t>tested</w:t>
      </w:r>
      <w:r w:rsidR="00D63B36">
        <w:rPr>
          <w:sz w:val="20"/>
          <w:szCs w:val="20"/>
        </w:rPr>
        <w:t>, and</w:t>
      </w:r>
      <w:proofErr w:type="gramEnd"/>
      <w:r w:rsidR="00D63B36">
        <w:rPr>
          <w:sz w:val="20"/>
          <w:szCs w:val="20"/>
        </w:rPr>
        <w:t xml:space="preserve"> are </w:t>
      </w:r>
      <w:r w:rsidR="000938C5">
        <w:rPr>
          <w:sz w:val="20"/>
          <w:szCs w:val="20"/>
        </w:rPr>
        <w:t>over</w:t>
      </w:r>
      <w:r w:rsidR="00D63B36" w:rsidRPr="000C2896">
        <w:rPr>
          <w:sz w:val="20"/>
          <w:szCs w:val="20"/>
        </w:rPr>
        <w:t>-estimated</w:t>
      </w:r>
      <w:r w:rsidR="00D63B36">
        <w:rPr>
          <w:sz w:val="20"/>
          <w:szCs w:val="20"/>
        </w:rPr>
        <w:t xml:space="preserve"> by factors of 2 and 3 for approximately 25% and 10% of the defences</w:t>
      </w:r>
      <w:r w:rsidR="00672397">
        <w:rPr>
          <w:sz w:val="20"/>
          <w:szCs w:val="20"/>
        </w:rPr>
        <w:t xml:space="preserve"> tested</w:t>
      </w:r>
      <w:r w:rsidR="000938C5">
        <w:rPr>
          <w:sz w:val="20"/>
          <w:szCs w:val="20"/>
        </w:rPr>
        <w:t xml:space="preserve"> respectively</w:t>
      </w:r>
      <w:r w:rsidR="00672397">
        <w:rPr>
          <w:sz w:val="20"/>
          <w:szCs w:val="20"/>
        </w:rPr>
        <w:t>.</w:t>
      </w:r>
    </w:p>
    <w:p w14:paraId="5501815B" w14:textId="77777777" w:rsidR="000C2896" w:rsidRPr="000C2896" w:rsidRDefault="000C2896" w:rsidP="000C2896">
      <w:pPr>
        <w:spacing w:line="480" w:lineRule="auto"/>
        <w:rPr>
          <w:sz w:val="20"/>
          <w:szCs w:val="20"/>
        </w:rPr>
      </w:pPr>
    </w:p>
    <w:p w14:paraId="35CC5866" w14:textId="77777777" w:rsidR="000C2896" w:rsidRPr="000C2896" w:rsidRDefault="000C2896" w:rsidP="000C2896">
      <w:pPr>
        <w:spacing w:line="480" w:lineRule="auto"/>
        <w:rPr>
          <w:b/>
          <w:sz w:val="20"/>
          <w:szCs w:val="20"/>
        </w:rPr>
      </w:pPr>
      <w:r w:rsidRPr="000C2896">
        <w:rPr>
          <w:b/>
          <w:sz w:val="20"/>
          <w:szCs w:val="20"/>
        </w:rPr>
        <w:t>5. Conclusions</w:t>
      </w:r>
    </w:p>
    <w:p w14:paraId="7B6820CF" w14:textId="77777777" w:rsidR="000C2896" w:rsidRPr="000C2896" w:rsidRDefault="000C2896" w:rsidP="000C2896">
      <w:pPr>
        <w:spacing w:line="480" w:lineRule="auto"/>
        <w:rPr>
          <w:sz w:val="20"/>
          <w:szCs w:val="20"/>
        </w:rPr>
      </w:pPr>
      <w:r w:rsidRPr="000C2896">
        <w:rPr>
          <w:sz w:val="20"/>
          <w:szCs w:val="20"/>
        </w:rPr>
        <w:t xml:space="preserve">This paper compares the different </w:t>
      </w:r>
      <w:r w:rsidR="00EF06DB">
        <w:rPr>
          <w:sz w:val="20"/>
          <w:szCs w:val="20"/>
        </w:rPr>
        <w:t>joint exceedance</w:t>
      </w:r>
      <w:r w:rsidRPr="000C2896">
        <w:rPr>
          <w:sz w:val="20"/>
          <w:szCs w:val="20"/>
        </w:rPr>
        <w:t xml:space="preserve"> curve </w:t>
      </w:r>
      <w:r w:rsidR="00F62ABE">
        <w:rPr>
          <w:sz w:val="20"/>
          <w:szCs w:val="20"/>
        </w:rPr>
        <w:t>approaches</w:t>
      </w:r>
      <w:r w:rsidRPr="000C2896">
        <w:rPr>
          <w:sz w:val="20"/>
          <w:szCs w:val="20"/>
        </w:rPr>
        <w:t xml:space="preserve"> in common use around the UK</w:t>
      </w:r>
      <w:r w:rsidR="003071CB">
        <w:rPr>
          <w:sz w:val="20"/>
          <w:szCs w:val="20"/>
        </w:rPr>
        <w:t>.  This is</w:t>
      </w:r>
      <w:r w:rsidRPr="000C2896">
        <w:rPr>
          <w:sz w:val="20"/>
          <w:szCs w:val="20"/>
        </w:rPr>
        <w:t xml:space="preserve"> to investigate the inherent </w:t>
      </w:r>
      <w:r w:rsidR="00E77EC8">
        <w:rPr>
          <w:sz w:val="20"/>
          <w:szCs w:val="20"/>
        </w:rPr>
        <w:t>inaccuracy</w:t>
      </w:r>
      <w:r w:rsidRPr="000C2896">
        <w:rPr>
          <w:sz w:val="20"/>
          <w:szCs w:val="20"/>
        </w:rPr>
        <w:t xml:space="preserve"> in the estimation of various </w:t>
      </w:r>
      <w:r w:rsidR="00840E47">
        <w:rPr>
          <w:sz w:val="20"/>
          <w:szCs w:val="20"/>
        </w:rPr>
        <w:t xml:space="preserve">extreme </w:t>
      </w:r>
      <w:r w:rsidRPr="000C2896">
        <w:rPr>
          <w:sz w:val="20"/>
          <w:szCs w:val="20"/>
        </w:rPr>
        <w:t xml:space="preserve">response </w:t>
      </w:r>
      <w:r w:rsidR="00840E47">
        <w:rPr>
          <w:sz w:val="20"/>
          <w:szCs w:val="20"/>
        </w:rPr>
        <w:t>variables</w:t>
      </w:r>
      <w:r w:rsidRPr="000C2896">
        <w:rPr>
          <w:sz w:val="20"/>
          <w:szCs w:val="20"/>
        </w:rPr>
        <w:t xml:space="preserve"> </w:t>
      </w:r>
      <w:proofErr w:type="gramStart"/>
      <w:r w:rsidRPr="000C2896">
        <w:rPr>
          <w:sz w:val="20"/>
          <w:szCs w:val="20"/>
        </w:rPr>
        <w:t>as a result of</w:t>
      </w:r>
      <w:proofErr w:type="gramEnd"/>
      <w:r w:rsidRPr="000C2896">
        <w:rPr>
          <w:sz w:val="20"/>
          <w:szCs w:val="20"/>
        </w:rPr>
        <w:t xml:space="preserve"> </w:t>
      </w:r>
      <w:r w:rsidR="007838CE">
        <w:rPr>
          <w:sz w:val="20"/>
          <w:szCs w:val="20"/>
        </w:rPr>
        <w:t xml:space="preserve">these curves not being related to the </w:t>
      </w:r>
      <w:r w:rsidR="007838CE" w:rsidRPr="000C2896">
        <w:rPr>
          <w:sz w:val="20"/>
          <w:szCs w:val="20"/>
        </w:rPr>
        <w:t xml:space="preserve">response </w:t>
      </w:r>
      <w:r w:rsidR="007838CE">
        <w:rPr>
          <w:sz w:val="20"/>
          <w:szCs w:val="20"/>
        </w:rPr>
        <w:t>variable</w:t>
      </w:r>
      <w:r w:rsidR="00194BF5">
        <w:rPr>
          <w:sz w:val="20"/>
          <w:szCs w:val="20"/>
        </w:rPr>
        <w:t xml:space="preserve"> considered</w:t>
      </w:r>
      <w:r w:rsidR="007838CE">
        <w:rPr>
          <w:sz w:val="20"/>
          <w:szCs w:val="20"/>
        </w:rPr>
        <w:t xml:space="preserve">.  </w:t>
      </w:r>
      <w:r w:rsidRPr="000C2896">
        <w:rPr>
          <w:sz w:val="20"/>
          <w:szCs w:val="20"/>
        </w:rPr>
        <w:t xml:space="preserve">The results suggest that </w:t>
      </w:r>
      <w:r w:rsidR="00BA4892">
        <w:rPr>
          <w:sz w:val="20"/>
          <w:szCs w:val="20"/>
        </w:rPr>
        <w:t>often</w:t>
      </w:r>
      <w:r w:rsidRPr="000C2896">
        <w:rPr>
          <w:sz w:val="20"/>
          <w:szCs w:val="20"/>
        </w:rPr>
        <w:t xml:space="preserve">, a </w:t>
      </w:r>
      <w:r w:rsidR="00EF06DB">
        <w:rPr>
          <w:sz w:val="20"/>
          <w:szCs w:val="20"/>
        </w:rPr>
        <w:t>joint exceedance</w:t>
      </w:r>
      <w:r w:rsidRPr="000C2896">
        <w:rPr>
          <w:sz w:val="20"/>
          <w:szCs w:val="20"/>
        </w:rPr>
        <w:t xml:space="preserve"> curve approach underestimates the true response of the different </w:t>
      </w:r>
      <w:r w:rsidR="001F0530">
        <w:rPr>
          <w:sz w:val="20"/>
          <w:szCs w:val="20"/>
        </w:rPr>
        <w:t xml:space="preserve">variables considered, </w:t>
      </w:r>
      <w:r w:rsidRPr="000C2896">
        <w:rPr>
          <w:sz w:val="20"/>
          <w:szCs w:val="20"/>
        </w:rPr>
        <w:t xml:space="preserve">with the level of accuracy dependent on the response </w:t>
      </w:r>
      <w:r w:rsidR="001F0530">
        <w:rPr>
          <w:sz w:val="20"/>
          <w:szCs w:val="20"/>
        </w:rPr>
        <w:t>variable</w:t>
      </w:r>
      <w:r w:rsidRPr="000C2896">
        <w:rPr>
          <w:sz w:val="20"/>
          <w:szCs w:val="20"/>
        </w:rPr>
        <w:t xml:space="preserve"> being considered, and the </w:t>
      </w:r>
      <w:r w:rsidR="00EF06DB">
        <w:rPr>
          <w:sz w:val="20"/>
          <w:szCs w:val="20"/>
        </w:rPr>
        <w:t>joint exceedance</w:t>
      </w:r>
      <w:r w:rsidRPr="000C2896">
        <w:rPr>
          <w:sz w:val="20"/>
          <w:szCs w:val="20"/>
        </w:rPr>
        <w:t xml:space="preserve"> curve approach </w:t>
      </w:r>
      <w:r w:rsidR="003A2022">
        <w:rPr>
          <w:sz w:val="20"/>
          <w:szCs w:val="20"/>
        </w:rPr>
        <w:t>used</w:t>
      </w:r>
      <w:r w:rsidRPr="000C2896">
        <w:rPr>
          <w:sz w:val="20"/>
          <w:szCs w:val="20"/>
        </w:rPr>
        <w:t>.</w:t>
      </w:r>
    </w:p>
    <w:p w14:paraId="64BFAAA5" w14:textId="77777777" w:rsidR="00CE6C7D" w:rsidRDefault="00CE6C7D" w:rsidP="00CE6C7D">
      <w:pPr>
        <w:spacing w:line="480" w:lineRule="auto"/>
        <w:rPr>
          <w:b/>
          <w:i/>
          <w:sz w:val="20"/>
          <w:szCs w:val="20"/>
        </w:rPr>
      </w:pPr>
    </w:p>
    <w:p w14:paraId="2802691D" w14:textId="77777777" w:rsidR="00CE6C7D" w:rsidRPr="000C2896" w:rsidRDefault="00CE6C7D" w:rsidP="00CE6C7D">
      <w:pPr>
        <w:spacing w:line="480" w:lineRule="auto"/>
        <w:rPr>
          <w:b/>
          <w:i/>
          <w:sz w:val="20"/>
          <w:szCs w:val="20"/>
        </w:rPr>
      </w:pPr>
      <w:r>
        <w:rPr>
          <w:b/>
          <w:i/>
          <w:sz w:val="20"/>
          <w:szCs w:val="20"/>
        </w:rPr>
        <w:t>5</w:t>
      </w:r>
      <w:r w:rsidRPr="000C2896">
        <w:rPr>
          <w:b/>
          <w:i/>
          <w:sz w:val="20"/>
          <w:szCs w:val="20"/>
        </w:rPr>
        <w:t>.</w:t>
      </w:r>
      <w:r>
        <w:rPr>
          <w:b/>
          <w:i/>
          <w:sz w:val="20"/>
          <w:szCs w:val="20"/>
        </w:rPr>
        <w:t>1</w:t>
      </w:r>
      <w:r w:rsidRPr="000C2896">
        <w:rPr>
          <w:b/>
          <w:i/>
          <w:sz w:val="20"/>
          <w:szCs w:val="20"/>
        </w:rPr>
        <w:t xml:space="preserve"> </w:t>
      </w:r>
      <w:r>
        <w:rPr>
          <w:b/>
          <w:i/>
          <w:sz w:val="20"/>
          <w:szCs w:val="20"/>
        </w:rPr>
        <w:t>Overtopping</w:t>
      </w:r>
    </w:p>
    <w:p w14:paraId="7F8749F5" w14:textId="77777777" w:rsidR="00891ED2" w:rsidRDefault="00194BF5" w:rsidP="000C2896">
      <w:pPr>
        <w:spacing w:line="480" w:lineRule="auto"/>
        <w:rPr>
          <w:sz w:val="20"/>
          <w:szCs w:val="20"/>
        </w:rPr>
      </w:pPr>
      <w:proofErr w:type="gramStart"/>
      <w:r>
        <w:rPr>
          <w:sz w:val="20"/>
          <w:szCs w:val="20"/>
        </w:rPr>
        <w:t>A</w:t>
      </w:r>
      <w:r w:rsidR="00CD2297">
        <w:rPr>
          <w:sz w:val="20"/>
          <w:szCs w:val="20"/>
        </w:rPr>
        <w:t>ll of</w:t>
      </w:r>
      <w:proofErr w:type="gramEnd"/>
      <w:r w:rsidR="00CD2297">
        <w:rPr>
          <w:sz w:val="20"/>
          <w:szCs w:val="20"/>
        </w:rPr>
        <w:t xml:space="preserve"> the joint exceedance</w:t>
      </w:r>
      <w:r w:rsidR="00CD2297" w:rsidRPr="000C2896">
        <w:rPr>
          <w:sz w:val="20"/>
          <w:szCs w:val="20"/>
        </w:rPr>
        <w:t xml:space="preserve"> curve </w:t>
      </w:r>
      <w:r w:rsidR="00CD2297">
        <w:rPr>
          <w:sz w:val="20"/>
          <w:szCs w:val="20"/>
        </w:rPr>
        <w:t xml:space="preserve">approaches generally underestimate peak overtopping rates, and in many cases this can be significant.  </w:t>
      </w:r>
      <w:r w:rsidR="000C2896" w:rsidRPr="000C2896">
        <w:rPr>
          <w:sz w:val="20"/>
          <w:szCs w:val="20"/>
        </w:rPr>
        <w:t>JP1 gives the most consistent results</w:t>
      </w:r>
      <w:r w:rsidR="00CD2297">
        <w:rPr>
          <w:sz w:val="20"/>
          <w:szCs w:val="20"/>
        </w:rPr>
        <w:t xml:space="preserve"> to the benchmark return periods, however, this approach still indicates that 7% of </w:t>
      </w:r>
      <w:r>
        <w:rPr>
          <w:sz w:val="20"/>
          <w:szCs w:val="20"/>
        </w:rPr>
        <w:t>se</w:t>
      </w:r>
      <w:r w:rsidR="000938C5">
        <w:rPr>
          <w:sz w:val="20"/>
          <w:szCs w:val="20"/>
        </w:rPr>
        <w:t>a</w:t>
      </w:r>
      <w:r>
        <w:rPr>
          <w:sz w:val="20"/>
          <w:szCs w:val="20"/>
        </w:rPr>
        <w:t xml:space="preserve"> defence </w:t>
      </w:r>
      <w:r w:rsidR="00CD2297">
        <w:rPr>
          <w:sz w:val="20"/>
          <w:szCs w:val="20"/>
        </w:rPr>
        <w:t>structures tested underestimate the peak overtopping rate by a factor of 10 or more</w:t>
      </w:r>
      <w:r w:rsidR="00891ED2">
        <w:rPr>
          <w:sz w:val="20"/>
          <w:szCs w:val="20"/>
        </w:rPr>
        <w:t xml:space="preserve">.  This suggests, for example, that </w:t>
      </w:r>
      <w:r w:rsidR="00CD2297">
        <w:rPr>
          <w:sz w:val="20"/>
          <w:szCs w:val="20"/>
        </w:rPr>
        <w:t xml:space="preserve">structures designed </w:t>
      </w:r>
      <w:r w:rsidR="00891ED2">
        <w:rPr>
          <w:sz w:val="20"/>
          <w:szCs w:val="20"/>
        </w:rPr>
        <w:t>for overtopping to a 100-year design standard have a 1 in 15 chance of having an actual design standard of 10 years or less.</w:t>
      </w:r>
    </w:p>
    <w:p w14:paraId="042D46B3" w14:textId="77777777" w:rsidR="00CD2297" w:rsidRDefault="00891ED2" w:rsidP="000C2896">
      <w:pPr>
        <w:spacing w:line="480" w:lineRule="auto"/>
        <w:rPr>
          <w:sz w:val="20"/>
          <w:szCs w:val="20"/>
        </w:rPr>
      </w:pPr>
      <w:r>
        <w:rPr>
          <w:sz w:val="20"/>
          <w:szCs w:val="20"/>
        </w:rPr>
        <w:t xml:space="preserve"> </w:t>
      </w:r>
    </w:p>
    <w:p w14:paraId="57FDFCE5" w14:textId="77777777" w:rsidR="000C2896" w:rsidRPr="000C2896" w:rsidRDefault="000C2896" w:rsidP="00CD0BAD">
      <w:pPr>
        <w:spacing w:line="480" w:lineRule="auto"/>
        <w:rPr>
          <w:sz w:val="20"/>
          <w:szCs w:val="20"/>
        </w:rPr>
      </w:pPr>
      <w:r w:rsidRPr="000C2896">
        <w:rPr>
          <w:sz w:val="20"/>
          <w:szCs w:val="20"/>
        </w:rPr>
        <w:t xml:space="preserve">For other </w:t>
      </w:r>
      <w:r w:rsidR="00EF06DB">
        <w:rPr>
          <w:sz w:val="20"/>
          <w:szCs w:val="20"/>
        </w:rPr>
        <w:t xml:space="preserve">joint </w:t>
      </w:r>
      <w:r w:rsidR="00A0085B">
        <w:rPr>
          <w:sz w:val="20"/>
          <w:szCs w:val="20"/>
        </w:rPr>
        <w:t>exceedance curve</w:t>
      </w:r>
      <w:r w:rsidRPr="000C2896">
        <w:rPr>
          <w:sz w:val="20"/>
          <w:szCs w:val="20"/>
        </w:rPr>
        <w:t xml:space="preserve"> </w:t>
      </w:r>
      <w:r w:rsidR="00F62ABE">
        <w:rPr>
          <w:sz w:val="20"/>
          <w:szCs w:val="20"/>
        </w:rPr>
        <w:t>approaches</w:t>
      </w:r>
      <w:r w:rsidRPr="000C2896">
        <w:rPr>
          <w:sz w:val="20"/>
          <w:szCs w:val="20"/>
        </w:rPr>
        <w:t xml:space="preserve">, the differences can be significantly greater.  The greatest differences are observed using the </w:t>
      </w:r>
      <w:proofErr w:type="spellStart"/>
      <w:r w:rsidRPr="000C2896">
        <w:rPr>
          <w:sz w:val="20"/>
          <w:szCs w:val="20"/>
        </w:rPr>
        <w:t>InJoPA</w:t>
      </w:r>
      <w:proofErr w:type="spellEnd"/>
      <w:r w:rsidRPr="000C2896">
        <w:rPr>
          <w:sz w:val="20"/>
          <w:szCs w:val="20"/>
        </w:rPr>
        <w:t xml:space="preserve"> </w:t>
      </w:r>
      <w:r w:rsidR="00F62ABE">
        <w:rPr>
          <w:sz w:val="20"/>
          <w:szCs w:val="20"/>
        </w:rPr>
        <w:t>approaches</w:t>
      </w:r>
      <w:r w:rsidRPr="000C2896">
        <w:rPr>
          <w:sz w:val="20"/>
          <w:szCs w:val="20"/>
        </w:rPr>
        <w:t xml:space="preserve">, where the </w:t>
      </w:r>
      <w:r w:rsidR="003071CB">
        <w:rPr>
          <w:sz w:val="20"/>
          <w:szCs w:val="20"/>
        </w:rPr>
        <w:t>actual</w:t>
      </w:r>
      <w:r w:rsidR="00B442C0" w:rsidRPr="000C2896">
        <w:rPr>
          <w:sz w:val="20"/>
          <w:szCs w:val="20"/>
        </w:rPr>
        <w:t xml:space="preserve"> </w:t>
      </w:r>
      <w:r w:rsidRPr="000C2896">
        <w:rPr>
          <w:sz w:val="20"/>
          <w:szCs w:val="20"/>
        </w:rPr>
        <w:t xml:space="preserve">return periods are </w:t>
      </w:r>
      <w:r w:rsidR="00BA4892">
        <w:rPr>
          <w:sz w:val="20"/>
          <w:szCs w:val="20"/>
        </w:rPr>
        <w:t>often</w:t>
      </w:r>
      <w:r w:rsidRPr="000C2896">
        <w:rPr>
          <w:sz w:val="20"/>
          <w:szCs w:val="20"/>
        </w:rPr>
        <w:t xml:space="preserve"> much more likely to be under-estimated than </w:t>
      </w:r>
      <w:r w:rsidR="00194BF5">
        <w:rPr>
          <w:sz w:val="20"/>
          <w:szCs w:val="20"/>
        </w:rPr>
        <w:t xml:space="preserve">the </w:t>
      </w:r>
      <w:r w:rsidRPr="000C2896">
        <w:rPr>
          <w:sz w:val="20"/>
          <w:szCs w:val="20"/>
        </w:rPr>
        <w:t>JP1</w:t>
      </w:r>
      <w:r w:rsidR="001F0530">
        <w:rPr>
          <w:sz w:val="20"/>
          <w:szCs w:val="20"/>
        </w:rPr>
        <w:t xml:space="preserve"> or other </w:t>
      </w:r>
      <w:proofErr w:type="spellStart"/>
      <w:r w:rsidR="001F0530">
        <w:rPr>
          <w:sz w:val="20"/>
          <w:szCs w:val="20"/>
        </w:rPr>
        <w:t>CoMJEC</w:t>
      </w:r>
      <w:proofErr w:type="spellEnd"/>
      <w:r w:rsidR="001F0530">
        <w:rPr>
          <w:sz w:val="20"/>
          <w:szCs w:val="20"/>
        </w:rPr>
        <w:t xml:space="preserve"> approaches</w:t>
      </w:r>
      <w:r w:rsidRPr="000C2896">
        <w:rPr>
          <w:sz w:val="20"/>
          <w:szCs w:val="20"/>
        </w:rPr>
        <w:t xml:space="preserve">.  </w:t>
      </w:r>
      <w:r w:rsidR="00891ED2">
        <w:rPr>
          <w:sz w:val="20"/>
          <w:szCs w:val="20"/>
        </w:rPr>
        <w:t>Generally l</w:t>
      </w:r>
      <w:r w:rsidRPr="000C2896">
        <w:rPr>
          <w:sz w:val="20"/>
          <w:szCs w:val="20"/>
        </w:rPr>
        <w:t xml:space="preserve">ittle difference is observed whether the simplified or the desk study approach is used to estimate return period overtopping rates, or whether the wave period is estimated from the </w:t>
      </w:r>
      <w:proofErr w:type="gramStart"/>
      <w:r w:rsidRPr="000C2896">
        <w:rPr>
          <w:sz w:val="20"/>
          <w:szCs w:val="20"/>
        </w:rPr>
        <w:t>data</w:t>
      </w:r>
      <w:proofErr w:type="gramEnd"/>
      <w:r w:rsidRPr="000C2896">
        <w:rPr>
          <w:sz w:val="20"/>
          <w:szCs w:val="20"/>
        </w:rPr>
        <w:t xml:space="preserve"> or an assumed steepness is applied.  However, determining the wave period based on the data as opposed to an assumed steepness appears to </w:t>
      </w:r>
      <w:r w:rsidR="00B442C0">
        <w:rPr>
          <w:sz w:val="20"/>
          <w:szCs w:val="20"/>
        </w:rPr>
        <w:t xml:space="preserve">give a closer result </w:t>
      </w:r>
      <w:r w:rsidR="00B442C0">
        <w:rPr>
          <w:sz w:val="20"/>
          <w:szCs w:val="20"/>
        </w:rPr>
        <w:lastRenderedPageBreak/>
        <w:t>to the benchmark</w:t>
      </w:r>
      <w:r w:rsidR="00B442C0" w:rsidRPr="000C2896">
        <w:rPr>
          <w:sz w:val="20"/>
          <w:szCs w:val="20"/>
        </w:rPr>
        <w:t xml:space="preserve"> </w:t>
      </w:r>
      <w:r w:rsidRPr="000C2896">
        <w:rPr>
          <w:sz w:val="20"/>
          <w:szCs w:val="20"/>
        </w:rPr>
        <w:t>return period</w:t>
      </w:r>
      <w:r w:rsidR="00891ED2">
        <w:rPr>
          <w:sz w:val="20"/>
          <w:szCs w:val="20"/>
        </w:rPr>
        <w:t xml:space="preserve">, although the choice of a lower steepness generally results in less chance of underestimating the true response (but also conversely a greater chance of overestimating the true response).  </w:t>
      </w:r>
      <w:r w:rsidR="001F0530">
        <w:rPr>
          <w:sz w:val="20"/>
          <w:szCs w:val="20"/>
        </w:rPr>
        <w:t>Not a</w:t>
      </w:r>
      <w:r w:rsidRPr="000C2896">
        <w:rPr>
          <w:sz w:val="20"/>
          <w:szCs w:val="20"/>
        </w:rPr>
        <w:t xml:space="preserve">ccounting for wave direction was also seen to significantly affect results, with </w:t>
      </w:r>
      <w:r w:rsidR="00CD0BAD">
        <w:rPr>
          <w:sz w:val="20"/>
          <w:szCs w:val="20"/>
        </w:rPr>
        <w:t>overtopping rates typically significantly higher.</w:t>
      </w:r>
    </w:p>
    <w:p w14:paraId="45DBBC0D" w14:textId="77777777" w:rsidR="000C2896" w:rsidRDefault="000C2896" w:rsidP="000C2896">
      <w:pPr>
        <w:spacing w:line="480" w:lineRule="auto"/>
        <w:rPr>
          <w:sz w:val="20"/>
          <w:szCs w:val="20"/>
        </w:rPr>
      </w:pPr>
    </w:p>
    <w:p w14:paraId="19CA16EA" w14:textId="77777777" w:rsidR="000C2896" w:rsidRDefault="000C2896" w:rsidP="000C2896">
      <w:pPr>
        <w:spacing w:line="480" w:lineRule="auto"/>
        <w:rPr>
          <w:sz w:val="20"/>
          <w:szCs w:val="20"/>
        </w:rPr>
      </w:pPr>
      <w:r w:rsidRPr="000C2896">
        <w:rPr>
          <w:sz w:val="20"/>
          <w:szCs w:val="20"/>
        </w:rPr>
        <w:t xml:space="preserve">Comparing overtopping rates for different defence types for JP1 suggests that </w:t>
      </w:r>
      <w:r w:rsidR="00B442C0">
        <w:rPr>
          <w:sz w:val="20"/>
          <w:szCs w:val="20"/>
        </w:rPr>
        <w:t>actual</w:t>
      </w:r>
      <w:r w:rsidR="00B442C0" w:rsidRPr="000C2896">
        <w:rPr>
          <w:sz w:val="20"/>
          <w:szCs w:val="20"/>
        </w:rPr>
        <w:t xml:space="preserve"> </w:t>
      </w:r>
      <w:r w:rsidRPr="000C2896">
        <w:rPr>
          <w:sz w:val="20"/>
          <w:szCs w:val="20"/>
        </w:rPr>
        <w:t>return periods for sloping structures (</w:t>
      </w:r>
      <w:proofErr w:type="gramStart"/>
      <w:r w:rsidRPr="000C2896">
        <w:rPr>
          <w:sz w:val="20"/>
          <w:szCs w:val="20"/>
        </w:rPr>
        <w:t>e.g.</w:t>
      </w:r>
      <w:proofErr w:type="gramEnd"/>
      <w:r w:rsidRPr="000C2896">
        <w:rPr>
          <w:sz w:val="20"/>
          <w:szCs w:val="20"/>
        </w:rPr>
        <w:t xml:space="preserve"> revetments) more accurately represent the </w:t>
      </w:r>
      <w:r w:rsidR="00B442C0">
        <w:rPr>
          <w:sz w:val="20"/>
          <w:szCs w:val="20"/>
        </w:rPr>
        <w:t>benchmark</w:t>
      </w:r>
      <w:r w:rsidRPr="000C2896">
        <w:rPr>
          <w:sz w:val="20"/>
          <w:szCs w:val="20"/>
        </w:rPr>
        <w:t xml:space="preserve"> return periods than those for vertical structures.  </w:t>
      </w:r>
      <w:r w:rsidR="00D37C0D">
        <w:rPr>
          <w:sz w:val="20"/>
          <w:szCs w:val="20"/>
        </w:rPr>
        <w:t xml:space="preserve">However, a joint exceedance curve approach is more likely to result in an overestimate of the peak overtopping rate for a vertical structure, particularly when you have a relatively high toe level.  </w:t>
      </w:r>
      <w:r w:rsidRPr="000C2896">
        <w:rPr>
          <w:sz w:val="20"/>
          <w:szCs w:val="20"/>
        </w:rPr>
        <w:t xml:space="preserve">Shingle beaches appear to be more likely to under-estimate the </w:t>
      </w:r>
      <w:r w:rsidR="003071CB">
        <w:rPr>
          <w:sz w:val="20"/>
          <w:szCs w:val="20"/>
        </w:rPr>
        <w:t>actual</w:t>
      </w:r>
      <w:r w:rsidRPr="000C2896">
        <w:rPr>
          <w:sz w:val="20"/>
          <w:szCs w:val="20"/>
        </w:rPr>
        <w:t xml:space="preserve"> return period than sloping structures or vertical walls.  However, this is probably a result of the limited structures available to assess for this paper.</w:t>
      </w:r>
    </w:p>
    <w:p w14:paraId="78DDE0D4" w14:textId="77777777" w:rsidR="000C2896" w:rsidRDefault="000C2896" w:rsidP="000C2896">
      <w:pPr>
        <w:spacing w:line="480" w:lineRule="auto"/>
        <w:rPr>
          <w:sz w:val="20"/>
          <w:szCs w:val="20"/>
        </w:rPr>
      </w:pPr>
    </w:p>
    <w:p w14:paraId="73070C57" w14:textId="77777777" w:rsidR="00CE6C7D" w:rsidRPr="000C2896" w:rsidRDefault="00CE6C7D" w:rsidP="00CE6C7D">
      <w:pPr>
        <w:spacing w:line="480" w:lineRule="auto"/>
        <w:rPr>
          <w:b/>
          <w:i/>
          <w:sz w:val="20"/>
          <w:szCs w:val="20"/>
        </w:rPr>
      </w:pPr>
      <w:r>
        <w:rPr>
          <w:b/>
          <w:i/>
          <w:sz w:val="20"/>
          <w:szCs w:val="20"/>
        </w:rPr>
        <w:t>5</w:t>
      </w:r>
      <w:r w:rsidRPr="000C2896">
        <w:rPr>
          <w:b/>
          <w:i/>
          <w:sz w:val="20"/>
          <w:szCs w:val="20"/>
        </w:rPr>
        <w:t>.</w:t>
      </w:r>
      <w:r>
        <w:rPr>
          <w:b/>
          <w:i/>
          <w:sz w:val="20"/>
          <w:szCs w:val="20"/>
        </w:rPr>
        <w:t>2</w:t>
      </w:r>
      <w:r w:rsidRPr="000C2896">
        <w:rPr>
          <w:b/>
          <w:i/>
          <w:sz w:val="20"/>
          <w:szCs w:val="20"/>
        </w:rPr>
        <w:t xml:space="preserve"> </w:t>
      </w:r>
      <w:r>
        <w:rPr>
          <w:b/>
          <w:i/>
          <w:sz w:val="20"/>
          <w:szCs w:val="20"/>
        </w:rPr>
        <w:t>Damage</w:t>
      </w:r>
    </w:p>
    <w:p w14:paraId="70715206" w14:textId="77777777" w:rsidR="00E57F18" w:rsidRPr="000C2896" w:rsidRDefault="000C2896" w:rsidP="00E57F18">
      <w:pPr>
        <w:spacing w:line="480" w:lineRule="auto"/>
        <w:rPr>
          <w:sz w:val="20"/>
          <w:szCs w:val="20"/>
        </w:rPr>
      </w:pPr>
      <w:r w:rsidRPr="000C2896">
        <w:rPr>
          <w:sz w:val="20"/>
          <w:szCs w:val="20"/>
        </w:rPr>
        <w:t xml:space="preserve">Damage levels, as for </w:t>
      </w:r>
      <w:proofErr w:type="gramStart"/>
      <w:r w:rsidRPr="000C2896">
        <w:rPr>
          <w:sz w:val="20"/>
          <w:szCs w:val="20"/>
        </w:rPr>
        <w:t>overtopping ,</w:t>
      </w:r>
      <w:proofErr w:type="gramEnd"/>
      <w:r w:rsidRPr="000C2896">
        <w:rPr>
          <w:sz w:val="20"/>
          <w:szCs w:val="20"/>
        </w:rPr>
        <w:t xml:space="preserve"> are </w:t>
      </w:r>
      <w:r w:rsidR="00BA4892">
        <w:rPr>
          <w:sz w:val="20"/>
          <w:szCs w:val="20"/>
        </w:rPr>
        <w:t>often</w:t>
      </w:r>
      <w:r w:rsidRPr="000C2896">
        <w:rPr>
          <w:sz w:val="20"/>
          <w:szCs w:val="20"/>
        </w:rPr>
        <w:t xml:space="preserve"> under-estimated using the different </w:t>
      </w:r>
      <w:r w:rsidR="00EF06DB">
        <w:rPr>
          <w:sz w:val="20"/>
          <w:szCs w:val="20"/>
        </w:rPr>
        <w:t xml:space="preserve">joint </w:t>
      </w:r>
      <w:r w:rsidR="00A0085B">
        <w:rPr>
          <w:sz w:val="20"/>
          <w:szCs w:val="20"/>
        </w:rPr>
        <w:t>exceedance curve</w:t>
      </w:r>
      <w:r w:rsidRPr="000C2896">
        <w:rPr>
          <w:sz w:val="20"/>
          <w:szCs w:val="20"/>
        </w:rPr>
        <w:t xml:space="preserve"> </w:t>
      </w:r>
      <w:r w:rsidR="00F62ABE">
        <w:rPr>
          <w:sz w:val="20"/>
          <w:szCs w:val="20"/>
        </w:rPr>
        <w:t>approaches</w:t>
      </w:r>
      <w:r w:rsidRPr="000C2896">
        <w:rPr>
          <w:sz w:val="20"/>
          <w:szCs w:val="20"/>
        </w:rPr>
        <w:t xml:space="preserve">, particularly for JP1.  </w:t>
      </w:r>
      <w:r w:rsidR="00E57F18" w:rsidRPr="000C2896">
        <w:rPr>
          <w:sz w:val="20"/>
          <w:szCs w:val="20"/>
        </w:rPr>
        <w:t xml:space="preserve">However, damage levels using the JP1 approach do not have the spread of errors when compared to the other joint </w:t>
      </w:r>
      <w:r w:rsidR="00E57F18">
        <w:rPr>
          <w:sz w:val="20"/>
          <w:szCs w:val="20"/>
        </w:rPr>
        <w:t>exceedance curve</w:t>
      </w:r>
      <w:r w:rsidR="00E57F18" w:rsidRPr="000C2896">
        <w:rPr>
          <w:sz w:val="20"/>
          <w:szCs w:val="20"/>
        </w:rPr>
        <w:t xml:space="preserve"> approaches, and a revetment robustly designed for a damage level of 2 </w:t>
      </w:r>
      <w:r w:rsidR="00E57F18">
        <w:rPr>
          <w:sz w:val="20"/>
          <w:szCs w:val="20"/>
        </w:rPr>
        <w:t xml:space="preserve">using the JP1 approach </w:t>
      </w:r>
      <w:r w:rsidR="00E57F18" w:rsidRPr="000C2896">
        <w:rPr>
          <w:sz w:val="20"/>
          <w:szCs w:val="20"/>
        </w:rPr>
        <w:t>would not be expected to fail under design conditions.</w:t>
      </w:r>
      <w:r w:rsidR="00E57F18">
        <w:rPr>
          <w:sz w:val="20"/>
          <w:szCs w:val="20"/>
        </w:rPr>
        <w:t xml:space="preserve">  However, the greater spread of errors for the </w:t>
      </w:r>
      <w:proofErr w:type="spellStart"/>
      <w:r w:rsidR="00E57F18" w:rsidRPr="000C2896">
        <w:rPr>
          <w:sz w:val="20"/>
          <w:szCs w:val="20"/>
        </w:rPr>
        <w:t>InJoPA</w:t>
      </w:r>
      <w:proofErr w:type="spellEnd"/>
      <w:r w:rsidR="00E57F18" w:rsidRPr="000C2896">
        <w:rPr>
          <w:sz w:val="20"/>
          <w:szCs w:val="20"/>
        </w:rPr>
        <w:t xml:space="preserve"> approach</w:t>
      </w:r>
      <w:r w:rsidR="00E57F18">
        <w:rPr>
          <w:sz w:val="20"/>
          <w:szCs w:val="20"/>
        </w:rPr>
        <w:t xml:space="preserve">es means that significant levels </w:t>
      </w:r>
      <w:r w:rsidR="00E57F18" w:rsidRPr="000C2896">
        <w:rPr>
          <w:sz w:val="20"/>
          <w:szCs w:val="20"/>
        </w:rPr>
        <w:t>of damage are much more likely in comparison to the JP1 approach</w:t>
      </w:r>
      <w:r w:rsidR="00E57F18">
        <w:rPr>
          <w:sz w:val="20"/>
          <w:szCs w:val="20"/>
        </w:rPr>
        <w:t xml:space="preserve">, meaning that failure of a revetment when designed or assessed using an </w:t>
      </w:r>
      <w:proofErr w:type="spellStart"/>
      <w:r w:rsidR="00E57F18" w:rsidRPr="000C2896">
        <w:rPr>
          <w:sz w:val="20"/>
          <w:szCs w:val="20"/>
        </w:rPr>
        <w:t>InJoPA</w:t>
      </w:r>
      <w:proofErr w:type="spellEnd"/>
      <w:r w:rsidR="00E57F18" w:rsidRPr="000C2896">
        <w:rPr>
          <w:sz w:val="20"/>
          <w:szCs w:val="20"/>
        </w:rPr>
        <w:t xml:space="preserve"> approach</w:t>
      </w:r>
      <w:r w:rsidR="00E57F18">
        <w:rPr>
          <w:sz w:val="20"/>
          <w:szCs w:val="20"/>
        </w:rPr>
        <w:t xml:space="preserve"> is more likely, particularly if the wave steepness is over-estimated.</w:t>
      </w:r>
    </w:p>
    <w:p w14:paraId="4664AA17" w14:textId="77777777" w:rsidR="000C2896" w:rsidRDefault="000C2896" w:rsidP="000C2896">
      <w:pPr>
        <w:spacing w:line="480" w:lineRule="auto"/>
        <w:rPr>
          <w:sz w:val="20"/>
          <w:szCs w:val="20"/>
        </w:rPr>
      </w:pPr>
    </w:p>
    <w:p w14:paraId="1EDDFC37" w14:textId="77777777" w:rsidR="00CE6C7D" w:rsidRPr="000C2896" w:rsidRDefault="00CE6C7D" w:rsidP="00CE6C7D">
      <w:pPr>
        <w:spacing w:line="480" w:lineRule="auto"/>
        <w:rPr>
          <w:b/>
          <w:i/>
          <w:sz w:val="20"/>
          <w:szCs w:val="20"/>
        </w:rPr>
      </w:pPr>
      <w:r>
        <w:rPr>
          <w:b/>
          <w:i/>
          <w:sz w:val="20"/>
          <w:szCs w:val="20"/>
        </w:rPr>
        <w:t>5</w:t>
      </w:r>
      <w:r w:rsidRPr="000C2896">
        <w:rPr>
          <w:b/>
          <w:i/>
          <w:sz w:val="20"/>
          <w:szCs w:val="20"/>
        </w:rPr>
        <w:t>.</w:t>
      </w:r>
      <w:r>
        <w:rPr>
          <w:b/>
          <w:i/>
          <w:sz w:val="20"/>
          <w:szCs w:val="20"/>
        </w:rPr>
        <w:t>3</w:t>
      </w:r>
      <w:r w:rsidRPr="000C2896">
        <w:rPr>
          <w:b/>
          <w:i/>
          <w:sz w:val="20"/>
          <w:szCs w:val="20"/>
        </w:rPr>
        <w:t xml:space="preserve"> </w:t>
      </w:r>
      <w:r>
        <w:rPr>
          <w:b/>
          <w:i/>
          <w:sz w:val="20"/>
          <w:szCs w:val="20"/>
        </w:rPr>
        <w:t>Wave forces</w:t>
      </w:r>
    </w:p>
    <w:p w14:paraId="452184E0" w14:textId="77777777" w:rsidR="000C2896" w:rsidRPr="000C2896" w:rsidRDefault="000C2896" w:rsidP="000C2896">
      <w:pPr>
        <w:spacing w:line="480" w:lineRule="auto"/>
        <w:rPr>
          <w:sz w:val="20"/>
          <w:szCs w:val="20"/>
        </w:rPr>
      </w:pPr>
      <w:r w:rsidRPr="000C2896">
        <w:rPr>
          <w:sz w:val="20"/>
          <w:szCs w:val="20"/>
        </w:rPr>
        <w:t xml:space="preserve">The effect of the choice of </w:t>
      </w:r>
      <w:r w:rsidR="00EF06DB">
        <w:rPr>
          <w:sz w:val="20"/>
          <w:szCs w:val="20"/>
        </w:rPr>
        <w:t>joint exceedance</w:t>
      </w:r>
      <w:r w:rsidRPr="000C2896">
        <w:rPr>
          <w:sz w:val="20"/>
          <w:szCs w:val="20"/>
        </w:rPr>
        <w:t xml:space="preserve"> curve </w:t>
      </w:r>
      <w:r w:rsidR="00BA4892">
        <w:rPr>
          <w:sz w:val="20"/>
          <w:szCs w:val="20"/>
        </w:rPr>
        <w:t>often</w:t>
      </w:r>
      <w:r w:rsidRPr="000C2896">
        <w:rPr>
          <w:sz w:val="20"/>
          <w:szCs w:val="20"/>
        </w:rPr>
        <w:t xml:space="preserve"> does not appear to significantly affect the calculated wave force when compared against the RV approach, particularly as wave forces are a lot less affected by wave period relative to wave height than overtopping rates and damage levels.  Wave forces are typically over-estimated </w:t>
      </w:r>
      <w:r w:rsidR="0043453E">
        <w:rPr>
          <w:sz w:val="20"/>
          <w:szCs w:val="20"/>
        </w:rPr>
        <w:t xml:space="preserve">for </w:t>
      </w:r>
      <w:r w:rsidRPr="000C2896">
        <w:rPr>
          <w:sz w:val="20"/>
          <w:szCs w:val="20"/>
        </w:rPr>
        <w:t xml:space="preserve">about </w:t>
      </w:r>
      <w:r w:rsidR="00BB05BA">
        <w:rPr>
          <w:sz w:val="20"/>
          <w:szCs w:val="20"/>
        </w:rPr>
        <w:t>70</w:t>
      </w:r>
      <w:r w:rsidRPr="000C2896">
        <w:rPr>
          <w:sz w:val="20"/>
          <w:szCs w:val="20"/>
        </w:rPr>
        <w:t xml:space="preserve">% of the </w:t>
      </w:r>
      <w:r w:rsidR="0043453E">
        <w:rPr>
          <w:sz w:val="20"/>
          <w:szCs w:val="20"/>
        </w:rPr>
        <w:t>defences tested</w:t>
      </w:r>
      <w:r w:rsidRPr="000C2896">
        <w:rPr>
          <w:sz w:val="20"/>
          <w:szCs w:val="20"/>
        </w:rPr>
        <w:t xml:space="preserve"> </w:t>
      </w:r>
      <w:r w:rsidRPr="000C2896">
        <w:rPr>
          <w:sz w:val="20"/>
          <w:szCs w:val="20"/>
        </w:rPr>
        <w:lastRenderedPageBreak/>
        <w:t xml:space="preserve">using a </w:t>
      </w:r>
      <w:r w:rsidR="00EF06DB">
        <w:rPr>
          <w:sz w:val="20"/>
          <w:szCs w:val="20"/>
        </w:rPr>
        <w:t>joint exceedance</w:t>
      </w:r>
      <w:r w:rsidRPr="000C2896">
        <w:rPr>
          <w:sz w:val="20"/>
          <w:szCs w:val="20"/>
        </w:rPr>
        <w:t xml:space="preserve"> curve </w:t>
      </w:r>
      <w:proofErr w:type="gramStart"/>
      <w:r w:rsidRPr="000C2896">
        <w:rPr>
          <w:sz w:val="20"/>
          <w:szCs w:val="20"/>
        </w:rPr>
        <w:t>approach, and</w:t>
      </w:r>
      <w:proofErr w:type="gramEnd"/>
      <w:r w:rsidRPr="000C2896">
        <w:rPr>
          <w:sz w:val="20"/>
          <w:szCs w:val="20"/>
        </w:rPr>
        <w:t xml:space="preserve"> are </w:t>
      </w:r>
      <w:r w:rsidR="00BB05BA">
        <w:rPr>
          <w:sz w:val="20"/>
          <w:szCs w:val="20"/>
        </w:rPr>
        <w:t xml:space="preserve">rarely </w:t>
      </w:r>
      <w:r w:rsidRPr="000C2896">
        <w:rPr>
          <w:sz w:val="20"/>
          <w:szCs w:val="20"/>
        </w:rPr>
        <w:t xml:space="preserve">under-estimated by </w:t>
      </w:r>
      <w:r w:rsidR="00BB05BA">
        <w:rPr>
          <w:sz w:val="20"/>
          <w:szCs w:val="20"/>
        </w:rPr>
        <w:t>more than about 50%</w:t>
      </w:r>
      <w:r w:rsidR="0043453E">
        <w:rPr>
          <w:sz w:val="20"/>
          <w:szCs w:val="20"/>
        </w:rPr>
        <w:t xml:space="preserve"> for the defences tested</w:t>
      </w:r>
      <w:r w:rsidR="00BB05BA">
        <w:rPr>
          <w:sz w:val="20"/>
          <w:szCs w:val="20"/>
        </w:rPr>
        <w:t>.</w:t>
      </w:r>
    </w:p>
    <w:p w14:paraId="31F35660" w14:textId="77777777" w:rsidR="00CE6C7D" w:rsidRDefault="00CE6C7D" w:rsidP="00CE6C7D">
      <w:pPr>
        <w:spacing w:line="480" w:lineRule="auto"/>
        <w:rPr>
          <w:sz w:val="20"/>
          <w:szCs w:val="20"/>
        </w:rPr>
      </w:pPr>
    </w:p>
    <w:p w14:paraId="5F4561E9" w14:textId="77777777" w:rsidR="00CE6C7D" w:rsidRPr="000C2896" w:rsidRDefault="00CE6C7D" w:rsidP="00CE6C7D">
      <w:pPr>
        <w:spacing w:line="480" w:lineRule="auto"/>
        <w:rPr>
          <w:b/>
          <w:i/>
          <w:sz w:val="20"/>
          <w:szCs w:val="20"/>
        </w:rPr>
      </w:pPr>
      <w:r>
        <w:rPr>
          <w:b/>
          <w:i/>
          <w:sz w:val="20"/>
          <w:szCs w:val="20"/>
        </w:rPr>
        <w:t>5</w:t>
      </w:r>
      <w:r w:rsidRPr="000C2896">
        <w:rPr>
          <w:b/>
          <w:i/>
          <w:sz w:val="20"/>
          <w:szCs w:val="20"/>
        </w:rPr>
        <w:t>.</w:t>
      </w:r>
      <w:r>
        <w:rPr>
          <w:b/>
          <w:i/>
          <w:sz w:val="20"/>
          <w:szCs w:val="20"/>
        </w:rPr>
        <w:t>4</w:t>
      </w:r>
      <w:r w:rsidRPr="000C2896">
        <w:rPr>
          <w:b/>
          <w:i/>
          <w:sz w:val="20"/>
          <w:szCs w:val="20"/>
        </w:rPr>
        <w:t xml:space="preserve"> </w:t>
      </w:r>
      <w:r>
        <w:rPr>
          <w:b/>
          <w:i/>
          <w:sz w:val="20"/>
          <w:szCs w:val="20"/>
        </w:rPr>
        <w:t>Effect of climate change</w:t>
      </w:r>
    </w:p>
    <w:p w14:paraId="03CA1AF7" w14:textId="77777777" w:rsidR="00CE6C7D" w:rsidRDefault="00CE6C7D" w:rsidP="00CE6C7D">
      <w:pPr>
        <w:spacing w:line="480" w:lineRule="auto"/>
        <w:rPr>
          <w:sz w:val="20"/>
          <w:szCs w:val="20"/>
        </w:rPr>
      </w:pPr>
      <w:r>
        <w:rPr>
          <w:sz w:val="20"/>
          <w:szCs w:val="20"/>
        </w:rPr>
        <w:t xml:space="preserve">With most </w:t>
      </w:r>
      <w:r w:rsidR="00B3406C">
        <w:rPr>
          <w:sz w:val="20"/>
          <w:szCs w:val="20"/>
        </w:rPr>
        <w:t xml:space="preserve">sea </w:t>
      </w:r>
      <w:r>
        <w:rPr>
          <w:sz w:val="20"/>
          <w:szCs w:val="20"/>
        </w:rPr>
        <w:t xml:space="preserve">defence structures designed in this country to a design standard at some point in the future, it is likely that any potential under-design of a structure may not yet be appreciated.  Overtopping </w:t>
      </w:r>
      <w:proofErr w:type="gramStart"/>
      <w:r>
        <w:rPr>
          <w:sz w:val="20"/>
          <w:szCs w:val="20"/>
        </w:rPr>
        <w:t>as a result of</w:t>
      </w:r>
      <w:proofErr w:type="gramEnd"/>
      <w:r>
        <w:rPr>
          <w:sz w:val="20"/>
          <w:szCs w:val="20"/>
        </w:rPr>
        <w:t xml:space="preserve"> rises in sea levels will generally increase, as will damage and forces as larger waves will now be able to impact structures.  Many structures will therefore not yet have been exposed to the levels of sea levels and wave conditions that they were designed for.  This is particularly the case for those structures built since the severe winter storms of 2013/14.  It is possible therefore that as they come towards the end of their design life, structures designed or assessed based on a joint exceedance curve approach may be prone to failure or excessive levels of overtopping under relatively small storm events.  This may even be the case when they may have withstood much worse storms when they were built, but when the effects of lower sea levels may have resulted in lower wave loads.</w:t>
      </w:r>
    </w:p>
    <w:p w14:paraId="7B7917BF" w14:textId="77777777" w:rsidR="000C2896" w:rsidRDefault="000C2896" w:rsidP="000C2896">
      <w:pPr>
        <w:spacing w:line="480" w:lineRule="auto"/>
        <w:rPr>
          <w:sz w:val="20"/>
          <w:szCs w:val="20"/>
        </w:rPr>
      </w:pPr>
    </w:p>
    <w:p w14:paraId="6F90E60E" w14:textId="77777777" w:rsidR="00CE6C7D" w:rsidRPr="000C2896" w:rsidRDefault="00CE6C7D" w:rsidP="00CE6C7D">
      <w:pPr>
        <w:spacing w:line="480" w:lineRule="auto"/>
        <w:rPr>
          <w:b/>
          <w:i/>
          <w:sz w:val="20"/>
          <w:szCs w:val="20"/>
        </w:rPr>
      </w:pPr>
      <w:r>
        <w:rPr>
          <w:b/>
          <w:i/>
          <w:sz w:val="20"/>
          <w:szCs w:val="20"/>
        </w:rPr>
        <w:t>5</w:t>
      </w:r>
      <w:r w:rsidRPr="000C2896">
        <w:rPr>
          <w:b/>
          <w:i/>
          <w:sz w:val="20"/>
          <w:szCs w:val="20"/>
        </w:rPr>
        <w:t>.</w:t>
      </w:r>
      <w:r>
        <w:rPr>
          <w:b/>
          <w:i/>
          <w:sz w:val="20"/>
          <w:szCs w:val="20"/>
        </w:rPr>
        <w:t>5</w:t>
      </w:r>
      <w:r w:rsidRPr="000C2896">
        <w:rPr>
          <w:b/>
          <w:i/>
          <w:sz w:val="20"/>
          <w:szCs w:val="20"/>
        </w:rPr>
        <w:t xml:space="preserve"> </w:t>
      </w:r>
      <w:r>
        <w:rPr>
          <w:b/>
          <w:i/>
          <w:sz w:val="20"/>
          <w:szCs w:val="20"/>
        </w:rPr>
        <w:t xml:space="preserve">Concluding </w:t>
      </w:r>
      <w:proofErr w:type="gramStart"/>
      <w:r>
        <w:rPr>
          <w:b/>
          <w:i/>
          <w:sz w:val="20"/>
          <w:szCs w:val="20"/>
        </w:rPr>
        <w:t>remarks</w:t>
      </w:r>
      <w:proofErr w:type="gramEnd"/>
    </w:p>
    <w:p w14:paraId="24D6A80A" w14:textId="77777777" w:rsidR="00194BF5" w:rsidRDefault="000C2896" w:rsidP="00A3696E">
      <w:pPr>
        <w:spacing w:line="480" w:lineRule="auto"/>
        <w:rPr>
          <w:sz w:val="20"/>
          <w:szCs w:val="20"/>
        </w:rPr>
      </w:pPr>
      <w:proofErr w:type="gramStart"/>
      <w:r w:rsidRPr="000C2896">
        <w:rPr>
          <w:sz w:val="20"/>
          <w:szCs w:val="20"/>
        </w:rPr>
        <w:t>All of</w:t>
      </w:r>
      <w:proofErr w:type="gramEnd"/>
      <w:r w:rsidRPr="000C2896">
        <w:rPr>
          <w:sz w:val="20"/>
          <w:szCs w:val="20"/>
        </w:rPr>
        <w:t xml:space="preserve"> these results suggest that a large number of sea defence structures assessed based on a </w:t>
      </w:r>
      <w:r w:rsidR="00EF06DB">
        <w:rPr>
          <w:sz w:val="20"/>
          <w:szCs w:val="20"/>
        </w:rPr>
        <w:t>joint exceedance</w:t>
      </w:r>
      <w:r w:rsidRPr="000C2896">
        <w:rPr>
          <w:sz w:val="20"/>
          <w:szCs w:val="20"/>
        </w:rPr>
        <w:t xml:space="preserve"> curve approach </w:t>
      </w:r>
      <w:r w:rsidR="00880BCD">
        <w:rPr>
          <w:sz w:val="20"/>
          <w:szCs w:val="20"/>
        </w:rPr>
        <w:t xml:space="preserve">may be </w:t>
      </w:r>
      <w:r w:rsidRPr="000C2896">
        <w:rPr>
          <w:sz w:val="20"/>
          <w:szCs w:val="20"/>
        </w:rPr>
        <w:t xml:space="preserve">incorrectly </w:t>
      </w:r>
      <w:r w:rsidR="003071CB">
        <w:rPr>
          <w:sz w:val="20"/>
          <w:szCs w:val="20"/>
        </w:rPr>
        <w:t>defined</w:t>
      </w:r>
      <w:r w:rsidRPr="000C2896">
        <w:rPr>
          <w:sz w:val="20"/>
          <w:szCs w:val="20"/>
        </w:rPr>
        <w:t xml:space="preserve">, particularly when considering the </w:t>
      </w:r>
      <w:proofErr w:type="spellStart"/>
      <w:r w:rsidRPr="000C2896">
        <w:rPr>
          <w:sz w:val="20"/>
          <w:szCs w:val="20"/>
        </w:rPr>
        <w:t>InJoPA</w:t>
      </w:r>
      <w:proofErr w:type="spellEnd"/>
      <w:r w:rsidRPr="000C2896">
        <w:rPr>
          <w:sz w:val="20"/>
          <w:szCs w:val="20"/>
        </w:rPr>
        <w:t xml:space="preserve"> approach.  This means that </w:t>
      </w:r>
      <w:r w:rsidR="00DA5964">
        <w:rPr>
          <w:sz w:val="20"/>
          <w:szCs w:val="20"/>
        </w:rPr>
        <w:t xml:space="preserve">wave </w:t>
      </w:r>
      <w:r w:rsidR="00545CD1">
        <w:rPr>
          <w:sz w:val="20"/>
          <w:szCs w:val="20"/>
        </w:rPr>
        <w:t>loads,</w:t>
      </w:r>
      <w:r w:rsidR="00DA5964">
        <w:rPr>
          <w:sz w:val="20"/>
          <w:szCs w:val="20"/>
        </w:rPr>
        <w:t xml:space="preserve"> and in particular </w:t>
      </w:r>
      <w:r w:rsidRPr="000C2896">
        <w:rPr>
          <w:sz w:val="20"/>
          <w:szCs w:val="20"/>
        </w:rPr>
        <w:t xml:space="preserve">overtopping rates may be significantly under-estimated, and certain defences significantly under-designed.  </w:t>
      </w:r>
      <w:r w:rsidR="00194BF5">
        <w:rPr>
          <w:sz w:val="20"/>
          <w:szCs w:val="20"/>
        </w:rPr>
        <w:t xml:space="preserve">In a few cases, the performance of some </w:t>
      </w:r>
      <w:r w:rsidR="00194BF5" w:rsidRPr="000C2896">
        <w:rPr>
          <w:sz w:val="20"/>
          <w:szCs w:val="20"/>
        </w:rPr>
        <w:t>sea defence structures</w:t>
      </w:r>
      <w:r w:rsidR="00194BF5">
        <w:rPr>
          <w:sz w:val="20"/>
          <w:szCs w:val="20"/>
        </w:rPr>
        <w:t xml:space="preserve"> may have been overestimated leading to an expensive over-designed structure, </w:t>
      </w:r>
      <w:r w:rsidR="00B3406C">
        <w:rPr>
          <w:sz w:val="20"/>
          <w:szCs w:val="20"/>
        </w:rPr>
        <w:t>particularly</w:t>
      </w:r>
      <w:r w:rsidR="00194BF5">
        <w:rPr>
          <w:sz w:val="20"/>
          <w:szCs w:val="20"/>
        </w:rPr>
        <w:t xml:space="preserve"> when using one of the </w:t>
      </w:r>
      <w:proofErr w:type="spellStart"/>
      <w:r w:rsidR="00194BF5" w:rsidRPr="000C2896">
        <w:rPr>
          <w:sz w:val="20"/>
          <w:szCs w:val="20"/>
        </w:rPr>
        <w:t>InJoPA</w:t>
      </w:r>
      <w:proofErr w:type="spellEnd"/>
      <w:r w:rsidR="00194BF5" w:rsidRPr="000C2896">
        <w:rPr>
          <w:sz w:val="20"/>
          <w:szCs w:val="20"/>
        </w:rPr>
        <w:t xml:space="preserve"> </w:t>
      </w:r>
      <w:r w:rsidR="00194BF5">
        <w:rPr>
          <w:sz w:val="20"/>
          <w:szCs w:val="20"/>
        </w:rPr>
        <w:t>approaches</w:t>
      </w:r>
      <w:r w:rsidR="00B3406C">
        <w:rPr>
          <w:sz w:val="20"/>
          <w:szCs w:val="20"/>
        </w:rPr>
        <w:t>.</w:t>
      </w:r>
    </w:p>
    <w:p w14:paraId="59F95256" w14:textId="77777777" w:rsidR="00194BF5" w:rsidRDefault="00194BF5" w:rsidP="00A3696E">
      <w:pPr>
        <w:spacing w:line="480" w:lineRule="auto"/>
        <w:rPr>
          <w:sz w:val="20"/>
          <w:szCs w:val="20"/>
        </w:rPr>
      </w:pPr>
    </w:p>
    <w:p w14:paraId="4CD88AC1" w14:textId="77777777" w:rsidR="009F4B33" w:rsidRDefault="00B3406C" w:rsidP="00A3696E">
      <w:pPr>
        <w:spacing w:line="480" w:lineRule="auto"/>
        <w:rPr>
          <w:sz w:val="20"/>
          <w:szCs w:val="20"/>
        </w:rPr>
      </w:pPr>
      <w:r>
        <w:rPr>
          <w:sz w:val="20"/>
          <w:szCs w:val="20"/>
        </w:rPr>
        <w:t xml:space="preserve">The under design of a sea defence structure </w:t>
      </w:r>
      <w:r w:rsidR="000C2896" w:rsidRPr="000C2896">
        <w:rPr>
          <w:sz w:val="20"/>
          <w:szCs w:val="20"/>
        </w:rPr>
        <w:t xml:space="preserve">could have serious consequences in terms of the performance and lifetime of these structures, with consequent economic and social </w:t>
      </w:r>
      <w:r>
        <w:rPr>
          <w:sz w:val="20"/>
          <w:szCs w:val="20"/>
        </w:rPr>
        <w:t>impacts</w:t>
      </w:r>
      <w:r w:rsidR="000C2896" w:rsidRPr="000C2896">
        <w:rPr>
          <w:sz w:val="20"/>
          <w:szCs w:val="20"/>
        </w:rPr>
        <w:t>.  It also suggest</w:t>
      </w:r>
      <w:r w:rsidR="00BA4892">
        <w:rPr>
          <w:sz w:val="20"/>
          <w:szCs w:val="20"/>
        </w:rPr>
        <w:t>s</w:t>
      </w:r>
      <w:r w:rsidR="000C2896" w:rsidRPr="000C2896">
        <w:rPr>
          <w:sz w:val="20"/>
          <w:szCs w:val="20"/>
        </w:rPr>
        <w:t xml:space="preserve"> that the assessment of flood levels may be greatly under-estimated, with consequent effects on the levels of damage and costs incurred in the flood zone.  It is therefore recommended that where suitable and appropriate, a </w:t>
      </w:r>
      <w:r w:rsidR="00EF06DB">
        <w:rPr>
          <w:sz w:val="20"/>
          <w:szCs w:val="20"/>
        </w:rPr>
        <w:t>joint exceedance</w:t>
      </w:r>
      <w:r w:rsidR="000C2896" w:rsidRPr="000C2896">
        <w:rPr>
          <w:sz w:val="20"/>
          <w:szCs w:val="20"/>
        </w:rPr>
        <w:t xml:space="preserve"> curve approach should not be used to assess the performance of a sea defence structure.  However, more work is </w:t>
      </w:r>
      <w:r w:rsidR="000C2896" w:rsidRPr="000C2896">
        <w:rPr>
          <w:sz w:val="20"/>
          <w:szCs w:val="20"/>
        </w:rPr>
        <w:lastRenderedPageBreak/>
        <w:t xml:space="preserve">required where the RV approach is not considered </w:t>
      </w:r>
      <w:proofErr w:type="gramStart"/>
      <w:r w:rsidR="000C2896" w:rsidRPr="000C2896">
        <w:rPr>
          <w:sz w:val="20"/>
          <w:szCs w:val="20"/>
        </w:rPr>
        <w:t>suitable</w:t>
      </w:r>
      <w:proofErr w:type="gramEnd"/>
      <w:r w:rsidR="000C2896" w:rsidRPr="000C2896">
        <w:rPr>
          <w:sz w:val="20"/>
          <w:szCs w:val="20"/>
        </w:rPr>
        <w:t xml:space="preserve"> and a </w:t>
      </w:r>
      <w:r w:rsidR="00EF06DB">
        <w:rPr>
          <w:sz w:val="20"/>
          <w:szCs w:val="20"/>
        </w:rPr>
        <w:t>joint exceedance</w:t>
      </w:r>
      <w:r w:rsidR="000C2896" w:rsidRPr="000C2896">
        <w:rPr>
          <w:sz w:val="20"/>
          <w:szCs w:val="20"/>
        </w:rPr>
        <w:t xml:space="preserve"> curve approach is still considered appropriate such as in the optimisation of designs in physical model tests</w:t>
      </w:r>
      <w:r w:rsidR="00392770">
        <w:rPr>
          <w:sz w:val="20"/>
          <w:szCs w:val="20"/>
        </w:rPr>
        <w:t xml:space="preserve"> where it is feasible to only consider relatively few </w:t>
      </w:r>
      <w:r w:rsidR="0054594D">
        <w:rPr>
          <w:sz w:val="20"/>
          <w:szCs w:val="20"/>
        </w:rPr>
        <w:t>test conditions</w:t>
      </w:r>
      <w:r w:rsidR="00CE6C7D">
        <w:rPr>
          <w:sz w:val="20"/>
          <w:szCs w:val="20"/>
        </w:rPr>
        <w:t>.</w:t>
      </w:r>
    </w:p>
    <w:p w14:paraId="2A4FDBF7" w14:textId="77777777" w:rsidR="00CE6C7D" w:rsidRPr="00A442E4" w:rsidRDefault="00CE6C7D" w:rsidP="00A3696E">
      <w:pPr>
        <w:spacing w:line="480" w:lineRule="auto"/>
        <w:rPr>
          <w:b/>
          <w:sz w:val="20"/>
          <w:szCs w:val="20"/>
        </w:rPr>
      </w:pPr>
    </w:p>
    <w:p w14:paraId="54B66201" w14:textId="77777777" w:rsidR="0003108B" w:rsidRPr="00A442E4" w:rsidRDefault="0003108B" w:rsidP="00A3696E">
      <w:pPr>
        <w:spacing w:line="480" w:lineRule="auto"/>
        <w:rPr>
          <w:b/>
          <w:sz w:val="20"/>
          <w:szCs w:val="20"/>
        </w:rPr>
      </w:pPr>
      <w:r w:rsidRPr="00A442E4">
        <w:rPr>
          <w:b/>
          <w:sz w:val="20"/>
          <w:szCs w:val="20"/>
        </w:rPr>
        <w:t>Acknowledgements</w:t>
      </w:r>
    </w:p>
    <w:p w14:paraId="73DAA0F1" w14:textId="77777777" w:rsidR="007D6E1F" w:rsidRDefault="007D6E1F" w:rsidP="00A3696E">
      <w:pPr>
        <w:spacing w:line="480" w:lineRule="auto"/>
        <w:rPr>
          <w:sz w:val="20"/>
          <w:szCs w:val="20"/>
        </w:rPr>
      </w:pPr>
      <w:r w:rsidRPr="007D6E1F">
        <w:rPr>
          <w:sz w:val="20"/>
          <w:szCs w:val="20"/>
        </w:rPr>
        <w:t>The analysis carried out in this paper is based on the nearshore sea level and wave height datasets produced as part of the Environment Agency State of the Nation project</w:t>
      </w:r>
      <w:r w:rsidR="00E42810">
        <w:rPr>
          <w:sz w:val="20"/>
          <w:szCs w:val="20"/>
        </w:rPr>
        <w:t xml:space="preserve">, Gouldby </w:t>
      </w:r>
      <w:r w:rsidR="00E42810" w:rsidRPr="00821BEE">
        <w:rPr>
          <w:i/>
          <w:sz w:val="20"/>
          <w:szCs w:val="20"/>
        </w:rPr>
        <w:t>et al.</w:t>
      </w:r>
      <w:r w:rsidR="00E42810">
        <w:rPr>
          <w:sz w:val="20"/>
          <w:szCs w:val="20"/>
        </w:rPr>
        <w:t>, (2017)</w:t>
      </w:r>
      <w:r w:rsidRPr="007D6E1F">
        <w:rPr>
          <w:sz w:val="20"/>
          <w:szCs w:val="20"/>
        </w:rPr>
        <w:t xml:space="preserve">.  We would therefore like to thank </w:t>
      </w:r>
      <w:r w:rsidR="003071CB">
        <w:rPr>
          <w:sz w:val="20"/>
          <w:szCs w:val="20"/>
        </w:rPr>
        <w:t xml:space="preserve">Tim Hunt and Dave </w:t>
      </w:r>
      <w:r w:rsidR="003071CB" w:rsidRPr="003071CB">
        <w:rPr>
          <w:sz w:val="20"/>
          <w:szCs w:val="20"/>
        </w:rPr>
        <w:t>Hornby</w:t>
      </w:r>
      <w:r w:rsidR="003071CB">
        <w:rPr>
          <w:sz w:val="20"/>
          <w:szCs w:val="20"/>
        </w:rPr>
        <w:t xml:space="preserve"> at the Environment Agency for </w:t>
      </w:r>
      <w:r w:rsidR="00842D28">
        <w:rPr>
          <w:sz w:val="20"/>
          <w:szCs w:val="20"/>
        </w:rPr>
        <w:t xml:space="preserve">their agreement for the use of these datasets as well as </w:t>
      </w:r>
      <w:r w:rsidR="00842D28" w:rsidRPr="00842D28">
        <w:rPr>
          <w:sz w:val="20"/>
          <w:szCs w:val="20"/>
        </w:rPr>
        <w:t>their helpful comments and patience in the writing of this paper.</w:t>
      </w:r>
    </w:p>
    <w:p w14:paraId="255D42ED" w14:textId="77777777" w:rsidR="0003108B" w:rsidRPr="00A442E4" w:rsidRDefault="0003108B" w:rsidP="00A3696E">
      <w:pPr>
        <w:spacing w:line="480" w:lineRule="auto"/>
        <w:rPr>
          <w:b/>
          <w:sz w:val="20"/>
          <w:szCs w:val="20"/>
        </w:rPr>
      </w:pPr>
    </w:p>
    <w:p w14:paraId="05DD3DDE" w14:textId="77777777" w:rsidR="0003108B" w:rsidRPr="00A442E4" w:rsidRDefault="0003108B" w:rsidP="00A3696E">
      <w:pPr>
        <w:spacing w:line="480" w:lineRule="auto"/>
        <w:rPr>
          <w:b/>
          <w:sz w:val="20"/>
          <w:szCs w:val="20"/>
        </w:rPr>
      </w:pPr>
      <w:r w:rsidRPr="00A442E4">
        <w:rPr>
          <w:b/>
          <w:sz w:val="20"/>
          <w:szCs w:val="20"/>
        </w:rPr>
        <w:t>Reference</w:t>
      </w:r>
      <w:r w:rsidR="003071CB">
        <w:rPr>
          <w:b/>
          <w:sz w:val="20"/>
          <w:szCs w:val="20"/>
        </w:rPr>
        <w:t>s</w:t>
      </w:r>
    </w:p>
    <w:p w14:paraId="139B10DE" w14:textId="77777777" w:rsidR="000C2896" w:rsidRPr="00686AF9" w:rsidRDefault="000C2896" w:rsidP="000C2896">
      <w:pPr>
        <w:pStyle w:val="Default"/>
        <w:spacing w:line="480" w:lineRule="auto"/>
        <w:ind w:left="284" w:hanging="284"/>
        <w:rPr>
          <w:color w:val="auto"/>
          <w:sz w:val="20"/>
          <w:szCs w:val="20"/>
        </w:rPr>
      </w:pPr>
      <w:proofErr w:type="spellStart"/>
      <w:r w:rsidRPr="00686AF9">
        <w:rPr>
          <w:color w:val="auto"/>
          <w:sz w:val="20"/>
          <w:szCs w:val="20"/>
        </w:rPr>
        <w:t>Booij</w:t>
      </w:r>
      <w:proofErr w:type="spellEnd"/>
      <w:r w:rsidRPr="00686AF9">
        <w:rPr>
          <w:color w:val="auto"/>
          <w:sz w:val="20"/>
          <w:szCs w:val="20"/>
        </w:rPr>
        <w:t xml:space="preserve"> N, </w:t>
      </w:r>
      <w:proofErr w:type="spellStart"/>
      <w:r w:rsidRPr="00686AF9">
        <w:rPr>
          <w:color w:val="auto"/>
          <w:sz w:val="20"/>
          <w:szCs w:val="20"/>
        </w:rPr>
        <w:t>Ris</w:t>
      </w:r>
      <w:proofErr w:type="spellEnd"/>
      <w:r w:rsidRPr="00686AF9">
        <w:rPr>
          <w:color w:val="auto"/>
          <w:sz w:val="20"/>
          <w:szCs w:val="20"/>
        </w:rPr>
        <w:t xml:space="preserve"> RC, </w:t>
      </w:r>
      <w:proofErr w:type="spellStart"/>
      <w:r w:rsidRPr="00686AF9">
        <w:rPr>
          <w:color w:val="auto"/>
          <w:sz w:val="20"/>
          <w:szCs w:val="20"/>
        </w:rPr>
        <w:t>Holthuijsen</w:t>
      </w:r>
      <w:proofErr w:type="spellEnd"/>
      <w:r w:rsidR="00EC3CFA" w:rsidRPr="00686AF9">
        <w:rPr>
          <w:color w:val="auto"/>
          <w:sz w:val="20"/>
          <w:szCs w:val="20"/>
        </w:rPr>
        <w:t xml:space="preserve"> LH </w:t>
      </w:r>
      <w:r w:rsidRPr="00686AF9">
        <w:rPr>
          <w:color w:val="auto"/>
          <w:sz w:val="20"/>
          <w:szCs w:val="20"/>
        </w:rPr>
        <w:t>(1999)</w:t>
      </w:r>
      <w:r w:rsidR="00EC3CFA" w:rsidRPr="00686AF9">
        <w:rPr>
          <w:color w:val="auto"/>
          <w:sz w:val="20"/>
          <w:szCs w:val="20"/>
        </w:rPr>
        <w:t xml:space="preserve"> </w:t>
      </w:r>
      <w:r w:rsidRPr="00686AF9">
        <w:rPr>
          <w:color w:val="auto"/>
          <w:sz w:val="20"/>
          <w:szCs w:val="20"/>
        </w:rPr>
        <w:t xml:space="preserve">“A </w:t>
      </w:r>
      <w:r w:rsidR="00EC3CFA" w:rsidRPr="00686AF9">
        <w:rPr>
          <w:color w:val="auto"/>
          <w:sz w:val="20"/>
          <w:szCs w:val="20"/>
        </w:rPr>
        <w:t>Third-G</w:t>
      </w:r>
      <w:r w:rsidRPr="00686AF9">
        <w:rPr>
          <w:color w:val="auto"/>
          <w:sz w:val="20"/>
          <w:szCs w:val="20"/>
        </w:rPr>
        <w:t xml:space="preserve">eneration </w:t>
      </w:r>
      <w:r w:rsidR="00EC3CFA" w:rsidRPr="00686AF9">
        <w:rPr>
          <w:color w:val="auto"/>
          <w:sz w:val="20"/>
          <w:szCs w:val="20"/>
        </w:rPr>
        <w:t>W</w:t>
      </w:r>
      <w:r w:rsidRPr="00686AF9">
        <w:rPr>
          <w:color w:val="auto"/>
          <w:sz w:val="20"/>
          <w:szCs w:val="20"/>
        </w:rPr>
        <w:t xml:space="preserve">ave </w:t>
      </w:r>
      <w:r w:rsidR="00EC3CFA" w:rsidRPr="00686AF9">
        <w:rPr>
          <w:color w:val="auto"/>
          <w:sz w:val="20"/>
          <w:szCs w:val="20"/>
        </w:rPr>
        <w:t>M</w:t>
      </w:r>
      <w:r w:rsidRPr="00686AF9">
        <w:rPr>
          <w:color w:val="auto"/>
          <w:sz w:val="20"/>
          <w:szCs w:val="20"/>
        </w:rPr>
        <w:t xml:space="preserve">odel for </w:t>
      </w:r>
      <w:r w:rsidR="00EC3CFA" w:rsidRPr="00686AF9">
        <w:rPr>
          <w:color w:val="auto"/>
          <w:sz w:val="20"/>
          <w:szCs w:val="20"/>
        </w:rPr>
        <w:t>C</w:t>
      </w:r>
      <w:r w:rsidRPr="00686AF9">
        <w:rPr>
          <w:color w:val="auto"/>
          <w:sz w:val="20"/>
          <w:szCs w:val="20"/>
        </w:rPr>
        <w:t xml:space="preserve">oastal </w:t>
      </w:r>
      <w:r w:rsidR="00EC3CFA" w:rsidRPr="00686AF9">
        <w:rPr>
          <w:color w:val="auto"/>
          <w:sz w:val="20"/>
          <w:szCs w:val="20"/>
        </w:rPr>
        <w:t>R</w:t>
      </w:r>
      <w:r w:rsidRPr="00686AF9">
        <w:rPr>
          <w:color w:val="auto"/>
          <w:sz w:val="20"/>
          <w:szCs w:val="20"/>
        </w:rPr>
        <w:t>egions</w:t>
      </w:r>
      <w:r w:rsidR="00EC3CFA" w:rsidRPr="00686AF9">
        <w:rPr>
          <w:color w:val="auto"/>
          <w:sz w:val="20"/>
          <w:szCs w:val="20"/>
        </w:rPr>
        <w:t xml:space="preserve">. Journal of </w:t>
      </w:r>
      <w:r w:rsidRPr="00686AF9">
        <w:rPr>
          <w:color w:val="auto"/>
          <w:sz w:val="20"/>
          <w:szCs w:val="20"/>
        </w:rPr>
        <w:t>Geophysical Research</w:t>
      </w:r>
      <w:r w:rsidR="00EC3CFA" w:rsidRPr="00686AF9">
        <w:rPr>
          <w:color w:val="auto"/>
          <w:sz w:val="20"/>
          <w:szCs w:val="20"/>
        </w:rPr>
        <w:t xml:space="preserve"> </w:t>
      </w:r>
      <w:r w:rsidRPr="00686AF9">
        <w:rPr>
          <w:b/>
          <w:color w:val="auto"/>
          <w:sz w:val="20"/>
          <w:szCs w:val="20"/>
        </w:rPr>
        <w:t>104</w:t>
      </w:r>
      <w:r w:rsidR="00EC3CFA" w:rsidRPr="00686AF9">
        <w:rPr>
          <w:b/>
          <w:color w:val="auto"/>
          <w:sz w:val="20"/>
          <w:szCs w:val="20"/>
        </w:rPr>
        <w:t>(</w:t>
      </w:r>
      <w:r w:rsidRPr="00686AF9">
        <w:rPr>
          <w:b/>
          <w:color w:val="auto"/>
          <w:sz w:val="20"/>
          <w:szCs w:val="20"/>
        </w:rPr>
        <w:t>C4</w:t>
      </w:r>
      <w:r w:rsidR="00EC3CFA" w:rsidRPr="00686AF9">
        <w:rPr>
          <w:b/>
          <w:color w:val="auto"/>
          <w:sz w:val="20"/>
          <w:szCs w:val="20"/>
        </w:rPr>
        <w:t>)</w:t>
      </w:r>
      <w:r w:rsidR="00EC3CFA" w:rsidRPr="00686AF9">
        <w:rPr>
          <w:color w:val="auto"/>
          <w:sz w:val="20"/>
          <w:szCs w:val="20"/>
        </w:rPr>
        <w:t>: 7</w:t>
      </w:r>
      <w:r w:rsidRPr="00686AF9">
        <w:rPr>
          <w:color w:val="auto"/>
          <w:sz w:val="20"/>
          <w:szCs w:val="20"/>
        </w:rPr>
        <w:t>649–7666</w:t>
      </w:r>
      <w:r w:rsidR="00EC3CFA" w:rsidRPr="00686AF9">
        <w:rPr>
          <w:color w:val="auto"/>
          <w:sz w:val="20"/>
          <w:szCs w:val="20"/>
        </w:rPr>
        <w:t>.</w:t>
      </w:r>
    </w:p>
    <w:p w14:paraId="3EE2D65C" w14:textId="77777777" w:rsidR="007D6E1F" w:rsidRPr="00686AF9" w:rsidRDefault="007D6E1F" w:rsidP="000C2896">
      <w:pPr>
        <w:pStyle w:val="Default"/>
        <w:spacing w:line="480" w:lineRule="auto"/>
        <w:ind w:left="284" w:hanging="284"/>
        <w:rPr>
          <w:color w:val="auto"/>
          <w:sz w:val="20"/>
          <w:szCs w:val="20"/>
        </w:rPr>
      </w:pPr>
      <w:r w:rsidRPr="00686AF9">
        <w:rPr>
          <w:color w:val="auto"/>
          <w:sz w:val="20"/>
          <w:szCs w:val="20"/>
        </w:rPr>
        <w:t>Defra (2005)</w:t>
      </w:r>
      <w:r w:rsidR="00E965A9" w:rsidRPr="00686AF9">
        <w:rPr>
          <w:color w:val="auto"/>
          <w:sz w:val="20"/>
          <w:szCs w:val="20"/>
        </w:rPr>
        <w:t xml:space="preserve"> Joint P</w:t>
      </w:r>
      <w:r w:rsidRPr="00686AF9">
        <w:rPr>
          <w:color w:val="auto"/>
          <w:sz w:val="20"/>
          <w:szCs w:val="20"/>
        </w:rPr>
        <w:t>robability: Depende</w:t>
      </w:r>
      <w:r w:rsidR="00E965A9" w:rsidRPr="00686AF9">
        <w:rPr>
          <w:color w:val="auto"/>
          <w:sz w:val="20"/>
          <w:szCs w:val="20"/>
        </w:rPr>
        <w:t>nce Mapping and Best Practice: Technical Report on Dependence M</w:t>
      </w:r>
      <w:r w:rsidRPr="00686AF9">
        <w:rPr>
          <w:color w:val="auto"/>
          <w:sz w:val="20"/>
          <w:szCs w:val="20"/>
        </w:rPr>
        <w:t>apping</w:t>
      </w:r>
      <w:r w:rsidR="00E965A9" w:rsidRPr="00686AF9">
        <w:rPr>
          <w:color w:val="auto"/>
          <w:sz w:val="20"/>
          <w:szCs w:val="20"/>
        </w:rPr>
        <w:t xml:space="preserve">, </w:t>
      </w:r>
      <w:r w:rsidRPr="00686AF9">
        <w:rPr>
          <w:color w:val="auto"/>
          <w:sz w:val="20"/>
          <w:szCs w:val="20"/>
        </w:rPr>
        <w:t>R&amp;D Technical Report FD2308/TR1.</w:t>
      </w:r>
    </w:p>
    <w:p w14:paraId="1F466CBA" w14:textId="77777777" w:rsidR="00EC3CFA" w:rsidRPr="003F79E8" w:rsidRDefault="00EC3CFA" w:rsidP="00EC3CFA">
      <w:pPr>
        <w:pStyle w:val="Default"/>
        <w:spacing w:line="480" w:lineRule="auto"/>
        <w:ind w:left="284" w:hanging="284"/>
        <w:rPr>
          <w:color w:val="auto"/>
          <w:sz w:val="20"/>
          <w:szCs w:val="20"/>
        </w:rPr>
      </w:pPr>
      <w:r w:rsidRPr="003F79E8">
        <w:rPr>
          <w:color w:val="auto"/>
          <w:sz w:val="20"/>
          <w:szCs w:val="20"/>
        </w:rPr>
        <w:t>Environment Agency (2011) Coastal Flood Boundary Conditions for UK Mainland and Islands, Project: SC060064/TR2: Design Sea Levels, Horizon House, Bristol.</w:t>
      </w:r>
    </w:p>
    <w:p w14:paraId="6BC5E539" w14:textId="77777777" w:rsidR="00C36C9C" w:rsidRPr="003F79E8" w:rsidRDefault="00C36C9C" w:rsidP="00C36C9C">
      <w:pPr>
        <w:pStyle w:val="Default"/>
        <w:spacing w:line="480" w:lineRule="auto"/>
        <w:ind w:left="284" w:hanging="284"/>
        <w:rPr>
          <w:color w:val="auto"/>
          <w:sz w:val="20"/>
          <w:szCs w:val="20"/>
        </w:rPr>
      </w:pPr>
      <w:r w:rsidRPr="003F79E8">
        <w:rPr>
          <w:color w:val="auto"/>
          <w:sz w:val="20"/>
          <w:szCs w:val="20"/>
        </w:rPr>
        <w:t>Environment Agency (201</w:t>
      </w:r>
      <w:r>
        <w:rPr>
          <w:color w:val="auto"/>
          <w:sz w:val="20"/>
          <w:szCs w:val="20"/>
        </w:rPr>
        <w:t>8</w:t>
      </w:r>
      <w:r w:rsidRPr="003F79E8">
        <w:rPr>
          <w:color w:val="auto"/>
          <w:sz w:val="20"/>
          <w:szCs w:val="20"/>
        </w:rPr>
        <w:t xml:space="preserve">) Coastal Flood Boundary Conditions for </w:t>
      </w:r>
      <w:r>
        <w:rPr>
          <w:color w:val="auto"/>
          <w:sz w:val="20"/>
          <w:szCs w:val="20"/>
        </w:rPr>
        <w:t xml:space="preserve">the </w:t>
      </w:r>
      <w:r w:rsidRPr="003F79E8">
        <w:rPr>
          <w:color w:val="auto"/>
          <w:sz w:val="20"/>
          <w:szCs w:val="20"/>
        </w:rPr>
        <w:t>UK</w:t>
      </w:r>
      <w:r>
        <w:rPr>
          <w:color w:val="auto"/>
          <w:sz w:val="20"/>
          <w:szCs w:val="20"/>
        </w:rPr>
        <w:t>: 2018 Update, Project: SC060064/TR6</w:t>
      </w:r>
      <w:r w:rsidRPr="003F79E8">
        <w:rPr>
          <w:color w:val="auto"/>
          <w:sz w:val="20"/>
          <w:szCs w:val="20"/>
        </w:rPr>
        <w:t xml:space="preserve">: </w:t>
      </w:r>
      <w:r>
        <w:rPr>
          <w:color w:val="auto"/>
          <w:sz w:val="20"/>
          <w:szCs w:val="20"/>
        </w:rPr>
        <w:t>Technical Summary Report</w:t>
      </w:r>
      <w:r w:rsidRPr="003F79E8">
        <w:rPr>
          <w:color w:val="auto"/>
          <w:sz w:val="20"/>
          <w:szCs w:val="20"/>
        </w:rPr>
        <w:t>, Horizon House, Bristol.</w:t>
      </w:r>
    </w:p>
    <w:p w14:paraId="21F7AAC1" w14:textId="77777777" w:rsidR="00EC3CFA" w:rsidRPr="003F79E8" w:rsidRDefault="00EC3CFA" w:rsidP="00EC3CFA">
      <w:pPr>
        <w:pStyle w:val="Default"/>
        <w:spacing w:line="480" w:lineRule="auto"/>
        <w:ind w:left="284" w:hanging="284"/>
        <w:rPr>
          <w:color w:val="auto"/>
          <w:sz w:val="20"/>
          <w:szCs w:val="20"/>
        </w:rPr>
      </w:pPr>
      <w:r w:rsidRPr="003F79E8">
        <w:rPr>
          <w:color w:val="auto"/>
          <w:sz w:val="20"/>
          <w:szCs w:val="20"/>
        </w:rPr>
        <w:t>Environment Agency (201</w:t>
      </w:r>
      <w:r w:rsidR="00C36C9C">
        <w:rPr>
          <w:color w:val="auto"/>
          <w:sz w:val="20"/>
          <w:szCs w:val="20"/>
        </w:rPr>
        <w:t>9</w:t>
      </w:r>
      <w:r w:rsidRPr="003F79E8">
        <w:rPr>
          <w:color w:val="auto"/>
          <w:sz w:val="20"/>
          <w:szCs w:val="20"/>
        </w:rPr>
        <w:t>) Environment Agency AIMS Defence Database. See https://data.gov.uk/dataset/aims_defence (accessed 28/</w:t>
      </w:r>
      <w:r w:rsidR="00C36C9C">
        <w:rPr>
          <w:color w:val="auto"/>
          <w:sz w:val="20"/>
          <w:szCs w:val="20"/>
        </w:rPr>
        <w:t>11</w:t>
      </w:r>
      <w:r w:rsidRPr="003F79E8">
        <w:rPr>
          <w:color w:val="auto"/>
          <w:sz w:val="20"/>
          <w:szCs w:val="20"/>
        </w:rPr>
        <w:t>/1</w:t>
      </w:r>
      <w:r w:rsidR="00C36C9C">
        <w:rPr>
          <w:color w:val="auto"/>
          <w:sz w:val="20"/>
          <w:szCs w:val="20"/>
        </w:rPr>
        <w:t>9</w:t>
      </w:r>
      <w:r w:rsidRPr="003F79E8">
        <w:rPr>
          <w:color w:val="auto"/>
          <w:sz w:val="20"/>
          <w:szCs w:val="20"/>
        </w:rPr>
        <w:t>).</w:t>
      </w:r>
    </w:p>
    <w:p w14:paraId="355E6915" w14:textId="77777777" w:rsidR="00EC3CFA" w:rsidRPr="00686AF9" w:rsidRDefault="00D805D1" w:rsidP="00EC3CFA">
      <w:pPr>
        <w:pStyle w:val="Default"/>
        <w:spacing w:line="480" w:lineRule="auto"/>
        <w:ind w:left="284" w:hanging="284"/>
        <w:rPr>
          <w:color w:val="auto"/>
          <w:sz w:val="20"/>
          <w:szCs w:val="20"/>
        </w:rPr>
      </w:pPr>
      <w:proofErr w:type="spellStart"/>
      <w:r>
        <w:rPr>
          <w:color w:val="auto"/>
          <w:sz w:val="20"/>
          <w:szCs w:val="20"/>
        </w:rPr>
        <w:t>Goda</w:t>
      </w:r>
      <w:proofErr w:type="spellEnd"/>
      <w:r>
        <w:rPr>
          <w:color w:val="auto"/>
          <w:sz w:val="20"/>
          <w:szCs w:val="20"/>
        </w:rPr>
        <w:t xml:space="preserve"> Y (201</w:t>
      </w:r>
      <w:r w:rsidR="00EC3CFA" w:rsidRPr="00686AF9">
        <w:rPr>
          <w:color w:val="auto"/>
          <w:sz w:val="20"/>
          <w:szCs w:val="20"/>
        </w:rPr>
        <w:t xml:space="preserve">0) Random Seas and Design of Maritime Structures: Advanced Series on Ocean Engineering </w:t>
      </w:r>
      <w:r w:rsidR="00EC3CFA" w:rsidRPr="00686AF9">
        <w:rPr>
          <w:b/>
          <w:color w:val="auto"/>
          <w:sz w:val="20"/>
          <w:szCs w:val="20"/>
        </w:rPr>
        <w:t>15</w:t>
      </w:r>
      <w:r w:rsidR="00EC3CFA" w:rsidRPr="00686AF9">
        <w:rPr>
          <w:color w:val="auto"/>
          <w:sz w:val="20"/>
          <w:szCs w:val="20"/>
        </w:rPr>
        <w:t>.</w:t>
      </w:r>
    </w:p>
    <w:p w14:paraId="01F22299" w14:textId="77777777" w:rsidR="00621CD2" w:rsidRPr="003F79E8" w:rsidRDefault="007D5A45" w:rsidP="007D6E1F">
      <w:pPr>
        <w:pStyle w:val="Default"/>
        <w:spacing w:line="480" w:lineRule="auto"/>
        <w:ind w:left="284" w:hanging="284"/>
        <w:rPr>
          <w:color w:val="auto"/>
          <w:sz w:val="20"/>
          <w:szCs w:val="20"/>
        </w:rPr>
      </w:pPr>
      <w:r w:rsidRPr="003F79E8">
        <w:rPr>
          <w:color w:val="auto"/>
          <w:sz w:val="20"/>
          <w:szCs w:val="20"/>
        </w:rPr>
        <w:t>Gouldby B, Wyncoll D, Panzeri M, Franklin M, Hunt T, Hames D, Tozer N, Hawkes P, Dornbusch U</w:t>
      </w:r>
      <w:r w:rsidR="00621CD2" w:rsidRPr="003F79E8">
        <w:rPr>
          <w:color w:val="auto"/>
          <w:sz w:val="20"/>
          <w:szCs w:val="20"/>
        </w:rPr>
        <w:t xml:space="preserve"> and </w:t>
      </w:r>
      <w:r w:rsidRPr="003F79E8">
        <w:rPr>
          <w:color w:val="auto"/>
          <w:sz w:val="20"/>
          <w:szCs w:val="20"/>
        </w:rPr>
        <w:t xml:space="preserve">Pullen T (2017) Multivariate </w:t>
      </w:r>
      <w:r w:rsidR="00621CD2" w:rsidRPr="003F79E8">
        <w:rPr>
          <w:color w:val="auto"/>
          <w:sz w:val="20"/>
          <w:szCs w:val="20"/>
        </w:rPr>
        <w:t>E</w:t>
      </w:r>
      <w:r w:rsidRPr="003F79E8">
        <w:rPr>
          <w:color w:val="auto"/>
          <w:sz w:val="20"/>
          <w:szCs w:val="20"/>
        </w:rPr>
        <w:t xml:space="preserve">xtreme </w:t>
      </w:r>
      <w:r w:rsidR="00621CD2" w:rsidRPr="003F79E8">
        <w:rPr>
          <w:color w:val="auto"/>
          <w:sz w:val="20"/>
          <w:szCs w:val="20"/>
        </w:rPr>
        <w:t>V</w:t>
      </w:r>
      <w:r w:rsidRPr="003F79E8">
        <w:rPr>
          <w:color w:val="auto"/>
          <w:sz w:val="20"/>
          <w:szCs w:val="20"/>
        </w:rPr>
        <w:t xml:space="preserve">alue </w:t>
      </w:r>
      <w:r w:rsidR="00621CD2" w:rsidRPr="003F79E8">
        <w:rPr>
          <w:color w:val="auto"/>
          <w:sz w:val="20"/>
          <w:szCs w:val="20"/>
        </w:rPr>
        <w:t>M</w:t>
      </w:r>
      <w:r w:rsidRPr="003F79E8">
        <w:rPr>
          <w:color w:val="auto"/>
          <w:sz w:val="20"/>
          <w:szCs w:val="20"/>
        </w:rPr>
        <w:t xml:space="preserve">odelling of </w:t>
      </w:r>
      <w:r w:rsidR="00621CD2" w:rsidRPr="003F79E8">
        <w:rPr>
          <w:color w:val="auto"/>
          <w:sz w:val="20"/>
          <w:szCs w:val="20"/>
        </w:rPr>
        <w:t>W</w:t>
      </w:r>
      <w:r w:rsidRPr="003F79E8">
        <w:rPr>
          <w:color w:val="auto"/>
          <w:sz w:val="20"/>
          <w:szCs w:val="20"/>
        </w:rPr>
        <w:t xml:space="preserve">aves, </w:t>
      </w:r>
      <w:r w:rsidR="00621CD2" w:rsidRPr="003F79E8">
        <w:rPr>
          <w:color w:val="auto"/>
          <w:sz w:val="20"/>
          <w:szCs w:val="20"/>
        </w:rPr>
        <w:t>W</w:t>
      </w:r>
      <w:r w:rsidRPr="003F79E8">
        <w:rPr>
          <w:color w:val="auto"/>
          <w:sz w:val="20"/>
          <w:szCs w:val="20"/>
        </w:rPr>
        <w:t xml:space="preserve">inds and </w:t>
      </w:r>
      <w:r w:rsidR="00621CD2" w:rsidRPr="003F79E8">
        <w:rPr>
          <w:color w:val="auto"/>
          <w:sz w:val="20"/>
          <w:szCs w:val="20"/>
        </w:rPr>
        <w:t>S</w:t>
      </w:r>
      <w:r w:rsidRPr="003F79E8">
        <w:rPr>
          <w:color w:val="auto"/>
          <w:sz w:val="20"/>
          <w:szCs w:val="20"/>
        </w:rPr>
        <w:t xml:space="preserve">ea </w:t>
      </w:r>
      <w:r w:rsidR="00621CD2" w:rsidRPr="003F79E8">
        <w:rPr>
          <w:color w:val="auto"/>
          <w:sz w:val="20"/>
          <w:szCs w:val="20"/>
        </w:rPr>
        <w:t>L</w:t>
      </w:r>
      <w:r w:rsidRPr="003F79E8">
        <w:rPr>
          <w:color w:val="auto"/>
          <w:sz w:val="20"/>
          <w:szCs w:val="20"/>
        </w:rPr>
        <w:t xml:space="preserve">evels </w:t>
      </w:r>
      <w:r w:rsidR="00621CD2" w:rsidRPr="003F79E8">
        <w:rPr>
          <w:color w:val="auto"/>
          <w:sz w:val="20"/>
          <w:szCs w:val="20"/>
        </w:rPr>
        <w:t>A</w:t>
      </w:r>
      <w:r w:rsidRPr="003F79E8">
        <w:rPr>
          <w:color w:val="auto"/>
          <w:sz w:val="20"/>
          <w:szCs w:val="20"/>
        </w:rPr>
        <w:t xml:space="preserve">round the </w:t>
      </w:r>
      <w:r w:rsidR="00621CD2" w:rsidRPr="003F79E8">
        <w:rPr>
          <w:color w:val="auto"/>
          <w:sz w:val="20"/>
          <w:szCs w:val="20"/>
        </w:rPr>
        <w:t>C</w:t>
      </w:r>
      <w:r w:rsidRPr="003F79E8">
        <w:rPr>
          <w:color w:val="auto"/>
          <w:sz w:val="20"/>
          <w:szCs w:val="20"/>
        </w:rPr>
        <w:t>oast of England</w:t>
      </w:r>
      <w:r w:rsidR="00621CD2" w:rsidRPr="003F79E8">
        <w:rPr>
          <w:color w:val="auto"/>
          <w:sz w:val="20"/>
          <w:szCs w:val="20"/>
        </w:rPr>
        <w:t xml:space="preserve">. Proceedings of the Institution of Civil Engineers – Maritime Engineering </w:t>
      </w:r>
      <w:r w:rsidR="00621CD2" w:rsidRPr="003F79E8">
        <w:rPr>
          <w:b/>
          <w:color w:val="auto"/>
          <w:sz w:val="20"/>
          <w:szCs w:val="20"/>
        </w:rPr>
        <w:t>170(1)</w:t>
      </w:r>
      <w:r w:rsidR="00621CD2" w:rsidRPr="003F79E8">
        <w:rPr>
          <w:color w:val="auto"/>
          <w:sz w:val="20"/>
          <w:szCs w:val="20"/>
        </w:rPr>
        <w:t>: 3–20.</w:t>
      </w:r>
    </w:p>
    <w:p w14:paraId="41260480" w14:textId="77777777" w:rsidR="00C57A0F" w:rsidRPr="003F79E8" w:rsidRDefault="00C57A0F" w:rsidP="007D6E1F">
      <w:pPr>
        <w:pStyle w:val="Default"/>
        <w:spacing w:line="480" w:lineRule="auto"/>
        <w:ind w:left="284" w:hanging="284"/>
        <w:rPr>
          <w:color w:val="auto"/>
          <w:sz w:val="20"/>
          <w:szCs w:val="20"/>
        </w:rPr>
      </w:pPr>
      <w:r w:rsidRPr="003F79E8">
        <w:rPr>
          <w:color w:val="auto"/>
          <w:sz w:val="20"/>
          <w:szCs w:val="20"/>
        </w:rPr>
        <w:lastRenderedPageBreak/>
        <w:t xml:space="preserve">Hall JW, Dawson RJ, Sayers PB, </w:t>
      </w:r>
      <w:proofErr w:type="spellStart"/>
      <w:r w:rsidRPr="003F79E8">
        <w:rPr>
          <w:color w:val="auto"/>
          <w:sz w:val="20"/>
          <w:szCs w:val="20"/>
        </w:rPr>
        <w:t>Rosu</w:t>
      </w:r>
      <w:proofErr w:type="spellEnd"/>
      <w:r w:rsidRPr="003F79E8">
        <w:rPr>
          <w:color w:val="auto"/>
          <w:sz w:val="20"/>
          <w:szCs w:val="20"/>
        </w:rPr>
        <w:t xml:space="preserve"> C, Chatterton </w:t>
      </w:r>
      <w:proofErr w:type="gramStart"/>
      <w:r w:rsidRPr="003F79E8">
        <w:rPr>
          <w:color w:val="auto"/>
          <w:sz w:val="20"/>
          <w:szCs w:val="20"/>
        </w:rPr>
        <w:t>JB</w:t>
      </w:r>
      <w:proofErr w:type="gramEnd"/>
      <w:r w:rsidRPr="003F79E8">
        <w:rPr>
          <w:color w:val="auto"/>
          <w:sz w:val="20"/>
          <w:szCs w:val="20"/>
        </w:rPr>
        <w:t xml:space="preserve"> and Deakin R (2003) A Methodology for National-Scale Flood Risk Assessment. Proceedings of the Institution of Civil Engineers - Water Maritime and Engineering</w:t>
      </w:r>
      <w:r w:rsidR="00C05D3D" w:rsidRPr="003F79E8">
        <w:rPr>
          <w:color w:val="auto"/>
          <w:sz w:val="20"/>
          <w:szCs w:val="20"/>
        </w:rPr>
        <w:t xml:space="preserve"> </w:t>
      </w:r>
      <w:r w:rsidRPr="003F79E8">
        <w:rPr>
          <w:b/>
          <w:color w:val="auto"/>
          <w:sz w:val="20"/>
          <w:szCs w:val="20"/>
        </w:rPr>
        <w:t>156</w:t>
      </w:r>
      <w:r w:rsidR="00C05D3D" w:rsidRPr="003F79E8">
        <w:rPr>
          <w:b/>
          <w:color w:val="auto"/>
          <w:sz w:val="20"/>
          <w:szCs w:val="20"/>
        </w:rPr>
        <w:t>(</w:t>
      </w:r>
      <w:r w:rsidRPr="003F79E8">
        <w:rPr>
          <w:b/>
          <w:color w:val="auto"/>
          <w:sz w:val="20"/>
          <w:szCs w:val="20"/>
        </w:rPr>
        <w:t>3</w:t>
      </w:r>
      <w:r w:rsidR="00C05D3D" w:rsidRPr="003F79E8">
        <w:rPr>
          <w:b/>
          <w:color w:val="auto"/>
          <w:sz w:val="20"/>
          <w:szCs w:val="20"/>
        </w:rPr>
        <w:t>)</w:t>
      </w:r>
      <w:r w:rsidR="00C05D3D" w:rsidRPr="003F79E8">
        <w:rPr>
          <w:color w:val="auto"/>
          <w:sz w:val="20"/>
          <w:szCs w:val="20"/>
        </w:rPr>
        <w:t xml:space="preserve">: </w:t>
      </w:r>
      <w:r w:rsidRPr="003F79E8">
        <w:rPr>
          <w:color w:val="auto"/>
          <w:sz w:val="20"/>
          <w:szCs w:val="20"/>
        </w:rPr>
        <w:t>235-248</w:t>
      </w:r>
      <w:r w:rsidR="00C05D3D" w:rsidRPr="003F79E8">
        <w:rPr>
          <w:color w:val="auto"/>
          <w:sz w:val="20"/>
          <w:szCs w:val="20"/>
        </w:rPr>
        <w:t>.</w:t>
      </w:r>
    </w:p>
    <w:p w14:paraId="6A876FD3" w14:textId="77777777" w:rsidR="007D6E1F" w:rsidRPr="003F79E8" w:rsidRDefault="004D22C4" w:rsidP="007D6E1F">
      <w:pPr>
        <w:pStyle w:val="Default"/>
        <w:spacing w:line="480" w:lineRule="auto"/>
        <w:ind w:left="284" w:hanging="284"/>
        <w:rPr>
          <w:color w:val="auto"/>
          <w:sz w:val="20"/>
          <w:szCs w:val="20"/>
        </w:rPr>
      </w:pPr>
      <w:r w:rsidRPr="003F79E8">
        <w:rPr>
          <w:color w:val="auto"/>
          <w:sz w:val="20"/>
          <w:szCs w:val="20"/>
        </w:rPr>
        <w:t>Hames D, Gouldby B and Hawkes P (201</w:t>
      </w:r>
      <w:r w:rsidR="005F2745">
        <w:rPr>
          <w:color w:val="auto"/>
          <w:sz w:val="20"/>
          <w:szCs w:val="20"/>
        </w:rPr>
        <w:t>9</w:t>
      </w:r>
      <w:r w:rsidRPr="003F79E8">
        <w:rPr>
          <w:color w:val="auto"/>
          <w:sz w:val="20"/>
          <w:szCs w:val="20"/>
        </w:rPr>
        <w:t xml:space="preserve">) </w:t>
      </w:r>
      <w:r w:rsidR="005F2745" w:rsidRPr="005F2745">
        <w:rPr>
          <w:color w:val="auto"/>
          <w:sz w:val="20"/>
          <w:szCs w:val="20"/>
        </w:rPr>
        <w:t>Evolution of joint probability methods in coastal engineering practice in the UK</w:t>
      </w:r>
      <w:r w:rsidR="007D6E1F" w:rsidRPr="003F79E8">
        <w:rPr>
          <w:color w:val="auto"/>
          <w:sz w:val="20"/>
          <w:szCs w:val="20"/>
        </w:rPr>
        <w:t>.</w:t>
      </w:r>
      <w:r w:rsidR="00717C84">
        <w:rPr>
          <w:color w:val="auto"/>
          <w:sz w:val="20"/>
          <w:szCs w:val="20"/>
        </w:rPr>
        <w:t xml:space="preserve"> </w:t>
      </w:r>
      <w:r w:rsidR="00717C84" w:rsidRPr="003F79E8">
        <w:rPr>
          <w:color w:val="auto"/>
          <w:sz w:val="20"/>
          <w:szCs w:val="20"/>
        </w:rPr>
        <w:t>Proceedings of the Institution of Civil Engineers - Water Maritime and Engineering</w:t>
      </w:r>
      <w:r w:rsidR="00432F91" w:rsidRPr="003F79E8">
        <w:rPr>
          <w:color w:val="auto"/>
          <w:sz w:val="20"/>
          <w:szCs w:val="20"/>
        </w:rPr>
        <w:t xml:space="preserve"> </w:t>
      </w:r>
      <w:r w:rsidR="00432F91">
        <w:rPr>
          <w:b/>
          <w:color w:val="auto"/>
          <w:sz w:val="20"/>
          <w:szCs w:val="20"/>
        </w:rPr>
        <w:t>172</w:t>
      </w:r>
      <w:r w:rsidR="00432F91" w:rsidRPr="003F79E8">
        <w:rPr>
          <w:b/>
          <w:color w:val="auto"/>
          <w:sz w:val="20"/>
          <w:szCs w:val="20"/>
        </w:rPr>
        <w:t>(</w:t>
      </w:r>
      <w:r w:rsidR="00432F91">
        <w:rPr>
          <w:b/>
          <w:color w:val="auto"/>
          <w:sz w:val="20"/>
          <w:szCs w:val="20"/>
        </w:rPr>
        <w:t>2</w:t>
      </w:r>
      <w:r w:rsidR="00432F91" w:rsidRPr="003F79E8">
        <w:rPr>
          <w:b/>
          <w:color w:val="auto"/>
          <w:sz w:val="20"/>
          <w:szCs w:val="20"/>
        </w:rPr>
        <w:t>)</w:t>
      </w:r>
      <w:r w:rsidR="00432F91" w:rsidRPr="003F79E8">
        <w:rPr>
          <w:color w:val="auto"/>
          <w:sz w:val="20"/>
          <w:szCs w:val="20"/>
        </w:rPr>
        <w:t xml:space="preserve">: </w:t>
      </w:r>
      <w:r w:rsidR="00432F91">
        <w:rPr>
          <w:color w:val="auto"/>
          <w:sz w:val="20"/>
          <w:szCs w:val="20"/>
        </w:rPr>
        <w:t>45-54</w:t>
      </w:r>
      <w:r w:rsidR="00432F91" w:rsidRPr="003F79E8">
        <w:rPr>
          <w:color w:val="auto"/>
          <w:sz w:val="20"/>
          <w:szCs w:val="20"/>
        </w:rPr>
        <w:t>.</w:t>
      </w:r>
    </w:p>
    <w:p w14:paraId="68D9F3E0" w14:textId="77777777" w:rsidR="007D6E1F" w:rsidRPr="003F79E8" w:rsidRDefault="007D6E1F" w:rsidP="007D6E1F">
      <w:pPr>
        <w:pStyle w:val="Default"/>
        <w:spacing w:line="480" w:lineRule="auto"/>
        <w:ind w:left="284" w:hanging="284"/>
        <w:rPr>
          <w:color w:val="auto"/>
          <w:sz w:val="20"/>
          <w:szCs w:val="20"/>
        </w:rPr>
      </w:pPr>
      <w:r w:rsidRPr="003F79E8">
        <w:rPr>
          <w:color w:val="auto"/>
          <w:sz w:val="20"/>
          <w:szCs w:val="20"/>
        </w:rPr>
        <w:t xml:space="preserve">Hawkes PJ, </w:t>
      </w:r>
      <w:proofErr w:type="spellStart"/>
      <w:r w:rsidRPr="003F79E8">
        <w:rPr>
          <w:color w:val="auto"/>
          <w:sz w:val="20"/>
          <w:szCs w:val="20"/>
        </w:rPr>
        <w:t>Gouldby</w:t>
      </w:r>
      <w:proofErr w:type="spellEnd"/>
      <w:r w:rsidRPr="003F79E8">
        <w:rPr>
          <w:color w:val="auto"/>
          <w:sz w:val="20"/>
          <w:szCs w:val="20"/>
        </w:rPr>
        <w:t xml:space="preserve"> BP, </w:t>
      </w:r>
      <w:proofErr w:type="spellStart"/>
      <w:r w:rsidRPr="003F79E8">
        <w:rPr>
          <w:color w:val="auto"/>
          <w:sz w:val="20"/>
          <w:szCs w:val="20"/>
        </w:rPr>
        <w:t>Tawn</w:t>
      </w:r>
      <w:proofErr w:type="spellEnd"/>
      <w:r w:rsidR="00AD3407" w:rsidRPr="003F79E8">
        <w:rPr>
          <w:color w:val="auto"/>
          <w:sz w:val="20"/>
          <w:szCs w:val="20"/>
        </w:rPr>
        <w:t xml:space="preserve"> </w:t>
      </w:r>
      <w:r w:rsidRPr="003F79E8">
        <w:rPr>
          <w:color w:val="auto"/>
          <w:sz w:val="20"/>
          <w:szCs w:val="20"/>
        </w:rPr>
        <w:t>JA and Owen MW (2002)</w:t>
      </w:r>
      <w:r w:rsidR="00AD3407" w:rsidRPr="003F79E8">
        <w:rPr>
          <w:color w:val="auto"/>
          <w:sz w:val="20"/>
          <w:szCs w:val="20"/>
        </w:rPr>
        <w:t xml:space="preserve"> </w:t>
      </w:r>
      <w:r w:rsidRPr="003F79E8">
        <w:rPr>
          <w:color w:val="auto"/>
          <w:sz w:val="20"/>
          <w:szCs w:val="20"/>
        </w:rPr>
        <w:t xml:space="preserve">The </w:t>
      </w:r>
      <w:r w:rsidR="00AD3407" w:rsidRPr="003F79E8">
        <w:rPr>
          <w:color w:val="auto"/>
          <w:sz w:val="20"/>
          <w:szCs w:val="20"/>
        </w:rPr>
        <w:t>J</w:t>
      </w:r>
      <w:r w:rsidRPr="003F79E8">
        <w:rPr>
          <w:color w:val="auto"/>
          <w:sz w:val="20"/>
          <w:szCs w:val="20"/>
        </w:rPr>
        <w:t xml:space="preserve">oint </w:t>
      </w:r>
      <w:r w:rsidR="00AD3407" w:rsidRPr="003F79E8">
        <w:rPr>
          <w:color w:val="auto"/>
          <w:sz w:val="20"/>
          <w:szCs w:val="20"/>
        </w:rPr>
        <w:t>P</w:t>
      </w:r>
      <w:r w:rsidRPr="003F79E8">
        <w:rPr>
          <w:color w:val="auto"/>
          <w:sz w:val="20"/>
          <w:szCs w:val="20"/>
        </w:rPr>
        <w:t xml:space="preserve">robability of </w:t>
      </w:r>
      <w:r w:rsidR="00AD3407" w:rsidRPr="003F79E8">
        <w:rPr>
          <w:color w:val="auto"/>
          <w:sz w:val="20"/>
          <w:szCs w:val="20"/>
        </w:rPr>
        <w:t>W</w:t>
      </w:r>
      <w:r w:rsidRPr="003F79E8">
        <w:rPr>
          <w:color w:val="auto"/>
          <w:sz w:val="20"/>
          <w:szCs w:val="20"/>
        </w:rPr>
        <w:t xml:space="preserve">aves and </w:t>
      </w:r>
      <w:r w:rsidR="00AD3407" w:rsidRPr="003F79E8">
        <w:rPr>
          <w:color w:val="auto"/>
          <w:sz w:val="20"/>
          <w:szCs w:val="20"/>
        </w:rPr>
        <w:t>W</w:t>
      </w:r>
      <w:r w:rsidRPr="003F79E8">
        <w:rPr>
          <w:color w:val="auto"/>
          <w:sz w:val="20"/>
          <w:szCs w:val="20"/>
        </w:rPr>
        <w:t xml:space="preserve">ater </w:t>
      </w:r>
      <w:r w:rsidR="00AD3407" w:rsidRPr="003F79E8">
        <w:rPr>
          <w:color w:val="auto"/>
          <w:sz w:val="20"/>
          <w:szCs w:val="20"/>
        </w:rPr>
        <w:t>L</w:t>
      </w:r>
      <w:r w:rsidRPr="003F79E8">
        <w:rPr>
          <w:color w:val="auto"/>
          <w:sz w:val="20"/>
          <w:szCs w:val="20"/>
        </w:rPr>
        <w:t xml:space="preserve">evels in </w:t>
      </w:r>
      <w:r w:rsidR="00AD3407" w:rsidRPr="003F79E8">
        <w:rPr>
          <w:color w:val="auto"/>
          <w:sz w:val="20"/>
          <w:szCs w:val="20"/>
        </w:rPr>
        <w:t>C</w:t>
      </w:r>
      <w:r w:rsidRPr="003F79E8">
        <w:rPr>
          <w:color w:val="auto"/>
          <w:sz w:val="20"/>
          <w:szCs w:val="20"/>
        </w:rPr>
        <w:t xml:space="preserve">oastal </w:t>
      </w:r>
      <w:r w:rsidR="00AD3407" w:rsidRPr="003F79E8">
        <w:rPr>
          <w:color w:val="auto"/>
          <w:sz w:val="20"/>
          <w:szCs w:val="20"/>
        </w:rPr>
        <w:t>E</w:t>
      </w:r>
      <w:r w:rsidRPr="003F79E8">
        <w:rPr>
          <w:color w:val="auto"/>
          <w:sz w:val="20"/>
          <w:szCs w:val="20"/>
        </w:rPr>
        <w:t xml:space="preserve">ngineering </w:t>
      </w:r>
      <w:r w:rsidR="00AD3407" w:rsidRPr="003F79E8">
        <w:rPr>
          <w:color w:val="auto"/>
          <w:sz w:val="20"/>
          <w:szCs w:val="20"/>
        </w:rPr>
        <w:t>D</w:t>
      </w:r>
      <w:r w:rsidRPr="003F79E8">
        <w:rPr>
          <w:color w:val="auto"/>
          <w:sz w:val="20"/>
          <w:szCs w:val="20"/>
        </w:rPr>
        <w:t xml:space="preserve">esign. Journal of Hydraulic Research </w:t>
      </w:r>
      <w:r w:rsidRPr="003F79E8">
        <w:rPr>
          <w:b/>
          <w:color w:val="auto"/>
          <w:sz w:val="20"/>
          <w:szCs w:val="20"/>
        </w:rPr>
        <w:t>40(3)</w:t>
      </w:r>
      <w:r w:rsidRPr="003F79E8">
        <w:rPr>
          <w:color w:val="auto"/>
          <w:sz w:val="20"/>
          <w:szCs w:val="20"/>
        </w:rPr>
        <w:t>: 241–251.</w:t>
      </w:r>
    </w:p>
    <w:p w14:paraId="0C6DCCBE" w14:textId="77777777" w:rsidR="007D6E1F" w:rsidRPr="003F79E8" w:rsidRDefault="007D6E1F" w:rsidP="007D6E1F">
      <w:pPr>
        <w:pStyle w:val="Default"/>
        <w:spacing w:line="480" w:lineRule="auto"/>
        <w:ind w:left="284" w:hanging="284"/>
        <w:rPr>
          <w:color w:val="auto"/>
          <w:sz w:val="20"/>
          <w:szCs w:val="20"/>
        </w:rPr>
      </w:pPr>
      <w:r w:rsidRPr="003F79E8">
        <w:rPr>
          <w:color w:val="auto"/>
          <w:sz w:val="20"/>
          <w:szCs w:val="20"/>
        </w:rPr>
        <w:t xml:space="preserve">Heffernan JE and </w:t>
      </w:r>
      <w:proofErr w:type="spellStart"/>
      <w:r w:rsidRPr="003F79E8">
        <w:rPr>
          <w:color w:val="auto"/>
          <w:sz w:val="20"/>
          <w:szCs w:val="20"/>
        </w:rPr>
        <w:t>Tawn</w:t>
      </w:r>
      <w:proofErr w:type="spellEnd"/>
      <w:r w:rsidR="00AD3407" w:rsidRPr="003F79E8">
        <w:rPr>
          <w:color w:val="auto"/>
          <w:sz w:val="20"/>
          <w:szCs w:val="20"/>
        </w:rPr>
        <w:t xml:space="preserve"> </w:t>
      </w:r>
      <w:r w:rsidRPr="003F79E8">
        <w:rPr>
          <w:color w:val="auto"/>
          <w:sz w:val="20"/>
          <w:szCs w:val="20"/>
        </w:rPr>
        <w:t xml:space="preserve">JA (2004). A </w:t>
      </w:r>
      <w:r w:rsidR="00AD3407" w:rsidRPr="003F79E8">
        <w:rPr>
          <w:color w:val="auto"/>
          <w:sz w:val="20"/>
          <w:szCs w:val="20"/>
        </w:rPr>
        <w:t>C</w:t>
      </w:r>
      <w:r w:rsidRPr="003F79E8">
        <w:rPr>
          <w:color w:val="auto"/>
          <w:sz w:val="20"/>
          <w:szCs w:val="20"/>
        </w:rPr>
        <w:t xml:space="preserve">onditional </w:t>
      </w:r>
      <w:r w:rsidR="00AD3407" w:rsidRPr="003F79E8">
        <w:rPr>
          <w:color w:val="auto"/>
          <w:sz w:val="20"/>
          <w:szCs w:val="20"/>
        </w:rPr>
        <w:t>A</w:t>
      </w:r>
      <w:r w:rsidRPr="003F79E8">
        <w:rPr>
          <w:color w:val="auto"/>
          <w:sz w:val="20"/>
          <w:szCs w:val="20"/>
        </w:rPr>
        <w:t xml:space="preserve">pproach for </w:t>
      </w:r>
      <w:r w:rsidR="00AD3407" w:rsidRPr="003F79E8">
        <w:rPr>
          <w:color w:val="auto"/>
          <w:sz w:val="20"/>
          <w:szCs w:val="20"/>
        </w:rPr>
        <w:t>M</w:t>
      </w:r>
      <w:r w:rsidRPr="003F79E8">
        <w:rPr>
          <w:color w:val="auto"/>
          <w:sz w:val="20"/>
          <w:szCs w:val="20"/>
        </w:rPr>
        <w:t xml:space="preserve">ultivariate </w:t>
      </w:r>
      <w:r w:rsidR="00AD3407" w:rsidRPr="003F79E8">
        <w:rPr>
          <w:color w:val="auto"/>
          <w:sz w:val="20"/>
          <w:szCs w:val="20"/>
        </w:rPr>
        <w:t>E</w:t>
      </w:r>
      <w:r w:rsidRPr="003F79E8">
        <w:rPr>
          <w:color w:val="auto"/>
          <w:sz w:val="20"/>
          <w:szCs w:val="20"/>
        </w:rPr>
        <w:t xml:space="preserve">xtreme </w:t>
      </w:r>
      <w:r w:rsidR="00AD3407" w:rsidRPr="003F79E8">
        <w:rPr>
          <w:color w:val="auto"/>
          <w:sz w:val="20"/>
          <w:szCs w:val="20"/>
        </w:rPr>
        <w:t>V</w:t>
      </w:r>
      <w:r w:rsidRPr="003F79E8">
        <w:rPr>
          <w:color w:val="auto"/>
          <w:sz w:val="20"/>
          <w:szCs w:val="20"/>
        </w:rPr>
        <w:t xml:space="preserve">alues (with discussion). Journal of the Royal Statistical Society, Series B (Statistical Methodology) </w:t>
      </w:r>
      <w:r w:rsidRPr="003F79E8">
        <w:rPr>
          <w:b/>
          <w:color w:val="auto"/>
          <w:sz w:val="20"/>
          <w:szCs w:val="20"/>
        </w:rPr>
        <w:t>66(3)</w:t>
      </w:r>
      <w:r w:rsidRPr="003F79E8">
        <w:rPr>
          <w:color w:val="auto"/>
          <w:sz w:val="20"/>
          <w:szCs w:val="20"/>
        </w:rPr>
        <w:t>: 497–546.</w:t>
      </w:r>
    </w:p>
    <w:p w14:paraId="6B544BDE" w14:textId="77777777" w:rsidR="003F79E8" w:rsidRPr="003F79E8" w:rsidRDefault="003F79E8" w:rsidP="003F79E8">
      <w:pPr>
        <w:pStyle w:val="Default"/>
        <w:spacing w:line="480" w:lineRule="auto"/>
        <w:ind w:left="284" w:hanging="284"/>
        <w:rPr>
          <w:color w:val="auto"/>
          <w:sz w:val="20"/>
          <w:szCs w:val="20"/>
        </w:rPr>
      </w:pPr>
      <w:r w:rsidRPr="003F79E8">
        <w:rPr>
          <w:color w:val="auto"/>
          <w:sz w:val="20"/>
          <w:szCs w:val="20"/>
        </w:rPr>
        <w:t>HR Wallingford (2004</w:t>
      </w:r>
      <w:proofErr w:type="gramStart"/>
      <w:r w:rsidRPr="003F79E8">
        <w:rPr>
          <w:color w:val="auto"/>
          <w:sz w:val="20"/>
          <w:szCs w:val="20"/>
        </w:rPr>
        <w:t>)  National</w:t>
      </w:r>
      <w:proofErr w:type="gramEnd"/>
      <w:r w:rsidRPr="003F79E8">
        <w:rPr>
          <w:color w:val="auto"/>
          <w:sz w:val="20"/>
          <w:szCs w:val="20"/>
        </w:rPr>
        <w:t xml:space="preserve"> Flood Risk Assessment 2004: Supported by the RASP HLM plus: Methodology, September 2004. Report for the Environment Agency.</w:t>
      </w:r>
    </w:p>
    <w:p w14:paraId="1BEF825B" w14:textId="77777777" w:rsidR="007D5A45" w:rsidRPr="003F79E8" w:rsidRDefault="007D5A45" w:rsidP="007D6E1F">
      <w:pPr>
        <w:pStyle w:val="Default"/>
        <w:spacing w:line="480" w:lineRule="auto"/>
        <w:ind w:left="284" w:hanging="284"/>
        <w:rPr>
          <w:color w:val="auto"/>
          <w:sz w:val="20"/>
          <w:szCs w:val="20"/>
        </w:rPr>
      </w:pPr>
      <w:r w:rsidRPr="003F79E8">
        <w:rPr>
          <w:color w:val="auto"/>
          <w:sz w:val="20"/>
          <w:szCs w:val="20"/>
        </w:rPr>
        <w:t>HR Wallingford (2015</w:t>
      </w:r>
      <w:proofErr w:type="gramStart"/>
      <w:r w:rsidRPr="003F79E8">
        <w:rPr>
          <w:color w:val="auto"/>
          <w:sz w:val="20"/>
          <w:szCs w:val="20"/>
        </w:rPr>
        <w:t>)  State</w:t>
      </w:r>
      <w:proofErr w:type="gramEnd"/>
      <w:r w:rsidRPr="003F79E8">
        <w:rPr>
          <w:color w:val="auto"/>
          <w:sz w:val="20"/>
          <w:szCs w:val="20"/>
        </w:rPr>
        <w:t xml:space="preserve"> of the Nation: Coastal Boundary Conditions Report for the Environment Agency, Report Number 30, Reference MCR5389-30-R00-01.</w:t>
      </w:r>
    </w:p>
    <w:p w14:paraId="4E689687" w14:textId="77777777" w:rsidR="003F79E8" w:rsidRPr="003F79E8" w:rsidRDefault="003F79E8" w:rsidP="003F79E8">
      <w:pPr>
        <w:pStyle w:val="Default"/>
        <w:spacing w:line="480" w:lineRule="auto"/>
        <w:ind w:left="284" w:hanging="284"/>
        <w:rPr>
          <w:color w:val="auto"/>
          <w:sz w:val="20"/>
          <w:szCs w:val="20"/>
        </w:rPr>
      </w:pPr>
      <w:r w:rsidRPr="003F79E8">
        <w:rPr>
          <w:color w:val="auto"/>
          <w:sz w:val="20"/>
          <w:szCs w:val="20"/>
        </w:rPr>
        <w:t xml:space="preserve">HR Wallingford / Lancaster University (2000a) The Joint Probability of Waves and Water </w:t>
      </w:r>
      <w:proofErr w:type="gramStart"/>
      <w:r w:rsidRPr="003F79E8">
        <w:rPr>
          <w:color w:val="auto"/>
          <w:sz w:val="20"/>
          <w:szCs w:val="20"/>
        </w:rPr>
        <w:t>Levels :</w:t>
      </w:r>
      <w:proofErr w:type="gramEnd"/>
      <w:r w:rsidRPr="003F79E8">
        <w:rPr>
          <w:color w:val="auto"/>
          <w:sz w:val="20"/>
          <w:szCs w:val="20"/>
        </w:rPr>
        <w:t xml:space="preserve"> JOIN-SEA – A Rigorous but Practical New Approach.  HR Wallingford Report SR537, May 2000.</w:t>
      </w:r>
    </w:p>
    <w:p w14:paraId="1D639F19" w14:textId="77777777" w:rsidR="003F79E8" w:rsidRPr="003F79E8" w:rsidRDefault="003F79E8" w:rsidP="003F79E8">
      <w:pPr>
        <w:pStyle w:val="Default"/>
        <w:spacing w:line="480" w:lineRule="auto"/>
        <w:ind w:left="284" w:hanging="284"/>
        <w:rPr>
          <w:color w:val="auto"/>
          <w:sz w:val="20"/>
          <w:szCs w:val="20"/>
        </w:rPr>
      </w:pPr>
      <w:r w:rsidRPr="003F79E8">
        <w:rPr>
          <w:color w:val="auto"/>
          <w:sz w:val="20"/>
          <w:szCs w:val="20"/>
        </w:rPr>
        <w:t xml:space="preserve">HR Wallingford / Lancaster University (2000b) The Joint Probability of Waves and Water </w:t>
      </w:r>
      <w:proofErr w:type="gramStart"/>
      <w:r w:rsidRPr="003F79E8">
        <w:rPr>
          <w:color w:val="auto"/>
          <w:sz w:val="20"/>
          <w:szCs w:val="20"/>
        </w:rPr>
        <w:t>Levels :</w:t>
      </w:r>
      <w:proofErr w:type="gramEnd"/>
      <w:r w:rsidRPr="003F79E8">
        <w:rPr>
          <w:color w:val="auto"/>
          <w:sz w:val="20"/>
          <w:szCs w:val="20"/>
        </w:rPr>
        <w:t xml:space="preserve"> JOIN-SEA – Version 1.0, User Manual, Report TR71, May 2000.</w:t>
      </w:r>
    </w:p>
    <w:p w14:paraId="11DB44B2" w14:textId="77777777" w:rsidR="007D6E1F" w:rsidRPr="003F79E8" w:rsidRDefault="007D6E1F" w:rsidP="007D6E1F">
      <w:pPr>
        <w:pStyle w:val="Default"/>
        <w:spacing w:line="480" w:lineRule="auto"/>
        <w:ind w:left="284" w:hanging="284"/>
        <w:rPr>
          <w:color w:val="auto"/>
          <w:sz w:val="20"/>
          <w:szCs w:val="20"/>
        </w:rPr>
      </w:pPr>
      <w:r w:rsidRPr="003F79E8">
        <w:rPr>
          <w:color w:val="auto"/>
          <w:sz w:val="20"/>
          <w:szCs w:val="20"/>
        </w:rPr>
        <w:t>Hydraulics Research Limited</w:t>
      </w:r>
      <w:r w:rsidR="0057085E" w:rsidRPr="003F79E8">
        <w:rPr>
          <w:color w:val="auto"/>
          <w:sz w:val="20"/>
          <w:szCs w:val="20"/>
        </w:rPr>
        <w:t xml:space="preserve"> (</w:t>
      </w:r>
      <w:r w:rsidRPr="003F79E8">
        <w:rPr>
          <w:color w:val="auto"/>
          <w:sz w:val="20"/>
          <w:szCs w:val="20"/>
        </w:rPr>
        <w:t>1990</w:t>
      </w:r>
      <w:r w:rsidR="0057085E" w:rsidRPr="003F79E8">
        <w:rPr>
          <w:color w:val="auto"/>
          <w:sz w:val="20"/>
          <w:szCs w:val="20"/>
        </w:rPr>
        <w:t xml:space="preserve">) </w:t>
      </w:r>
      <w:r w:rsidRPr="003F79E8">
        <w:rPr>
          <w:color w:val="auto"/>
          <w:sz w:val="20"/>
          <w:szCs w:val="20"/>
        </w:rPr>
        <w:t>Joint Probability of Waves and Water Levels on the North Wales Coast</w:t>
      </w:r>
      <w:r w:rsidR="0057085E" w:rsidRPr="003F79E8">
        <w:rPr>
          <w:color w:val="auto"/>
          <w:sz w:val="20"/>
          <w:szCs w:val="20"/>
        </w:rPr>
        <w:t xml:space="preserve">, </w:t>
      </w:r>
      <w:r w:rsidRPr="003F79E8">
        <w:rPr>
          <w:color w:val="auto"/>
          <w:sz w:val="20"/>
          <w:szCs w:val="20"/>
        </w:rPr>
        <w:t>Report Number EX 2133</w:t>
      </w:r>
      <w:r w:rsidR="0057085E" w:rsidRPr="003F79E8">
        <w:rPr>
          <w:color w:val="auto"/>
          <w:sz w:val="20"/>
          <w:szCs w:val="20"/>
        </w:rPr>
        <w:t xml:space="preserve">, </w:t>
      </w:r>
      <w:r w:rsidRPr="003F79E8">
        <w:rPr>
          <w:color w:val="auto"/>
          <w:sz w:val="20"/>
          <w:szCs w:val="20"/>
        </w:rPr>
        <w:t>May 1990.</w:t>
      </w:r>
    </w:p>
    <w:p w14:paraId="23E72680" w14:textId="77777777" w:rsidR="00EC3CFA" w:rsidRPr="00686AF9" w:rsidRDefault="00EC3CFA" w:rsidP="007D5A45">
      <w:pPr>
        <w:pStyle w:val="Default"/>
        <w:spacing w:line="480" w:lineRule="auto"/>
        <w:ind w:left="284" w:hanging="284"/>
        <w:rPr>
          <w:color w:val="auto"/>
          <w:sz w:val="20"/>
          <w:szCs w:val="20"/>
        </w:rPr>
      </w:pPr>
      <w:r w:rsidRPr="00686AF9">
        <w:rPr>
          <w:color w:val="auto"/>
          <w:sz w:val="20"/>
          <w:szCs w:val="20"/>
        </w:rPr>
        <w:t xml:space="preserve">Pullen T, Allsop NWH, Bruce T, </w:t>
      </w:r>
      <w:proofErr w:type="spellStart"/>
      <w:r w:rsidRPr="00686AF9">
        <w:rPr>
          <w:color w:val="auto"/>
          <w:sz w:val="20"/>
          <w:szCs w:val="20"/>
        </w:rPr>
        <w:t>Kortenhaus</w:t>
      </w:r>
      <w:proofErr w:type="spellEnd"/>
      <w:r w:rsidRPr="00686AF9">
        <w:rPr>
          <w:color w:val="auto"/>
          <w:sz w:val="20"/>
          <w:szCs w:val="20"/>
        </w:rPr>
        <w:t xml:space="preserve"> A, </w:t>
      </w:r>
      <w:proofErr w:type="spellStart"/>
      <w:r w:rsidRPr="00686AF9">
        <w:rPr>
          <w:color w:val="auto"/>
          <w:sz w:val="20"/>
          <w:szCs w:val="20"/>
        </w:rPr>
        <w:t>Schüttrumpf</w:t>
      </w:r>
      <w:proofErr w:type="spellEnd"/>
      <w:r w:rsidRPr="00686AF9">
        <w:rPr>
          <w:color w:val="auto"/>
          <w:sz w:val="20"/>
          <w:szCs w:val="20"/>
        </w:rPr>
        <w:t xml:space="preserve"> H an</w:t>
      </w:r>
      <w:r w:rsidR="00491085" w:rsidRPr="00686AF9">
        <w:rPr>
          <w:color w:val="auto"/>
          <w:sz w:val="20"/>
          <w:szCs w:val="20"/>
        </w:rPr>
        <w:t>d Van D</w:t>
      </w:r>
      <w:r w:rsidRPr="00686AF9">
        <w:rPr>
          <w:color w:val="auto"/>
          <w:sz w:val="20"/>
          <w:szCs w:val="20"/>
        </w:rPr>
        <w:t>er Meer JW</w:t>
      </w:r>
      <w:r w:rsidR="00491085" w:rsidRPr="00686AF9">
        <w:rPr>
          <w:color w:val="auto"/>
          <w:sz w:val="20"/>
          <w:szCs w:val="20"/>
        </w:rPr>
        <w:t xml:space="preserve"> </w:t>
      </w:r>
      <w:r w:rsidRPr="00686AF9">
        <w:rPr>
          <w:color w:val="auto"/>
          <w:sz w:val="20"/>
          <w:szCs w:val="20"/>
        </w:rPr>
        <w:t>(2007)</w:t>
      </w:r>
      <w:r w:rsidR="00491085" w:rsidRPr="00686AF9">
        <w:rPr>
          <w:color w:val="auto"/>
          <w:sz w:val="20"/>
          <w:szCs w:val="20"/>
        </w:rPr>
        <w:t xml:space="preserve"> </w:t>
      </w:r>
      <w:proofErr w:type="spellStart"/>
      <w:r w:rsidR="00491085" w:rsidRPr="00686AF9">
        <w:rPr>
          <w:color w:val="auto"/>
          <w:sz w:val="20"/>
          <w:szCs w:val="20"/>
        </w:rPr>
        <w:t>EurOtop</w:t>
      </w:r>
      <w:proofErr w:type="spellEnd"/>
      <w:r w:rsidR="00491085" w:rsidRPr="00686AF9">
        <w:rPr>
          <w:color w:val="auto"/>
          <w:sz w:val="20"/>
          <w:szCs w:val="20"/>
        </w:rPr>
        <w:t>: Wave Overtopping of Sea Defences and Related Structures: Assessment M</w:t>
      </w:r>
      <w:r w:rsidRPr="00686AF9">
        <w:rPr>
          <w:color w:val="auto"/>
          <w:sz w:val="20"/>
          <w:szCs w:val="20"/>
        </w:rPr>
        <w:t>anual.</w:t>
      </w:r>
    </w:p>
    <w:p w14:paraId="75BCBB10" w14:textId="77777777" w:rsidR="00D425AF" w:rsidRPr="00686AF9" w:rsidRDefault="00491085" w:rsidP="00ED34C3">
      <w:pPr>
        <w:pStyle w:val="Default"/>
        <w:spacing w:line="480" w:lineRule="auto"/>
        <w:ind w:left="284" w:hanging="284"/>
        <w:rPr>
          <w:color w:val="auto"/>
          <w:sz w:val="20"/>
          <w:szCs w:val="20"/>
        </w:rPr>
      </w:pPr>
      <w:r w:rsidRPr="00686AF9">
        <w:rPr>
          <w:color w:val="auto"/>
          <w:sz w:val="20"/>
          <w:szCs w:val="20"/>
        </w:rPr>
        <w:t xml:space="preserve">Van Der Meer JW (1987) Stability of Breakwater Armour Layers – Design Formulae. Coastal Engineering, </w:t>
      </w:r>
      <w:r w:rsidRPr="00686AF9">
        <w:rPr>
          <w:b/>
          <w:color w:val="auto"/>
          <w:sz w:val="20"/>
          <w:szCs w:val="20"/>
        </w:rPr>
        <w:t>11</w:t>
      </w:r>
      <w:r w:rsidRPr="00686AF9">
        <w:rPr>
          <w:color w:val="auto"/>
          <w:sz w:val="20"/>
          <w:szCs w:val="20"/>
        </w:rPr>
        <w:t>: 219-239.</w:t>
      </w:r>
    </w:p>
    <w:p w14:paraId="218D4329" w14:textId="1938799D" w:rsidR="00491085" w:rsidRPr="004139CF" w:rsidRDefault="00B34819" w:rsidP="004139CF">
      <w:pPr>
        <w:pStyle w:val="Default"/>
        <w:spacing w:line="480" w:lineRule="auto"/>
        <w:ind w:left="284" w:hanging="284"/>
        <w:rPr>
          <w:color w:val="auto"/>
          <w:sz w:val="20"/>
          <w:szCs w:val="20"/>
        </w:rPr>
      </w:pPr>
      <w:r w:rsidRPr="00B34819">
        <w:rPr>
          <w:color w:val="auto"/>
          <w:sz w:val="20"/>
          <w:szCs w:val="20"/>
        </w:rPr>
        <w:t>Van der Meer</w:t>
      </w:r>
      <w:r>
        <w:rPr>
          <w:color w:val="auto"/>
          <w:sz w:val="20"/>
          <w:szCs w:val="20"/>
        </w:rPr>
        <w:t xml:space="preserve"> </w:t>
      </w:r>
      <w:r w:rsidRPr="00B34819">
        <w:rPr>
          <w:color w:val="auto"/>
          <w:sz w:val="20"/>
          <w:szCs w:val="20"/>
        </w:rPr>
        <w:t xml:space="preserve">JW, Allsop NWH, Bruce T, De </w:t>
      </w:r>
      <w:proofErr w:type="spellStart"/>
      <w:r w:rsidRPr="00B34819">
        <w:rPr>
          <w:color w:val="auto"/>
          <w:sz w:val="20"/>
          <w:szCs w:val="20"/>
        </w:rPr>
        <w:t>Rouck</w:t>
      </w:r>
      <w:proofErr w:type="spellEnd"/>
      <w:r w:rsidRPr="00B34819">
        <w:rPr>
          <w:color w:val="auto"/>
          <w:sz w:val="20"/>
          <w:szCs w:val="20"/>
        </w:rPr>
        <w:t xml:space="preserve"> J, </w:t>
      </w:r>
      <w:proofErr w:type="spellStart"/>
      <w:r w:rsidRPr="00B34819">
        <w:rPr>
          <w:color w:val="auto"/>
          <w:sz w:val="20"/>
          <w:szCs w:val="20"/>
        </w:rPr>
        <w:t>Kortenhaus</w:t>
      </w:r>
      <w:proofErr w:type="spellEnd"/>
      <w:r w:rsidRPr="00B34819">
        <w:rPr>
          <w:color w:val="auto"/>
          <w:sz w:val="20"/>
          <w:szCs w:val="20"/>
        </w:rPr>
        <w:t xml:space="preserve"> A, Pullen T, </w:t>
      </w:r>
      <w:proofErr w:type="spellStart"/>
      <w:r w:rsidRPr="00B34819">
        <w:rPr>
          <w:color w:val="auto"/>
          <w:sz w:val="20"/>
          <w:szCs w:val="20"/>
        </w:rPr>
        <w:t>Schüttrumpf</w:t>
      </w:r>
      <w:proofErr w:type="spellEnd"/>
      <w:r w:rsidRPr="00B34819">
        <w:rPr>
          <w:color w:val="auto"/>
          <w:sz w:val="20"/>
          <w:szCs w:val="20"/>
        </w:rPr>
        <w:t xml:space="preserve">, H, Troch P and </w:t>
      </w:r>
      <w:proofErr w:type="spellStart"/>
      <w:r w:rsidRPr="00B34819">
        <w:rPr>
          <w:color w:val="auto"/>
          <w:sz w:val="20"/>
          <w:szCs w:val="20"/>
        </w:rPr>
        <w:t>Zanuttigh</w:t>
      </w:r>
      <w:proofErr w:type="spellEnd"/>
      <w:r w:rsidRPr="00B34819">
        <w:rPr>
          <w:color w:val="auto"/>
          <w:sz w:val="20"/>
          <w:szCs w:val="20"/>
        </w:rPr>
        <w:t xml:space="preserve"> B</w:t>
      </w:r>
      <w:r>
        <w:rPr>
          <w:color w:val="auto"/>
          <w:sz w:val="20"/>
          <w:szCs w:val="20"/>
        </w:rPr>
        <w:t xml:space="preserve"> (2018) </w:t>
      </w:r>
      <w:proofErr w:type="spellStart"/>
      <w:r w:rsidRPr="00B34819">
        <w:rPr>
          <w:color w:val="auto"/>
          <w:sz w:val="20"/>
          <w:szCs w:val="20"/>
        </w:rPr>
        <w:t>EurOtop</w:t>
      </w:r>
      <w:proofErr w:type="spellEnd"/>
      <w:r>
        <w:rPr>
          <w:color w:val="auto"/>
          <w:sz w:val="20"/>
          <w:szCs w:val="20"/>
        </w:rPr>
        <w:t xml:space="preserve"> </w:t>
      </w:r>
      <w:r w:rsidRPr="00B34819">
        <w:rPr>
          <w:color w:val="auto"/>
          <w:sz w:val="20"/>
          <w:szCs w:val="20"/>
        </w:rPr>
        <w:t xml:space="preserve">Manual on </w:t>
      </w:r>
      <w:r>
        <w:rPr>
          <w:color w:val="auto"/>
          <w:sz w:val="20"/>
          <w:szCs w:val="20"/>
        </w:rPr>
        <w:t>W</w:t>
      </w:r>
      <w:r w:rsidRPr="00B34819">
        <w:rPr>
          <w:color w:val="auto"/>
          <w:sz w:val="20"/>
          <w:szCs w:val="20"/>
        </w:rPr>
        <w:t xml:space="preserve">ave </w:t>
      </w:r>
      <w:r>
        <w:rPr>
          <w:color w:val="auto"/>
          <w:sz w:val="20"/>
          <w:szCs w:val="20"/>
        </w:rPr>
        <w:t>O</w:t>
      </w:r>
      <w:r w:rsidRPr="00B34819">
        <w:rPr>
          <w:color w:val="auto"/>
          <w:sz w:val="20"/>
          <w:szCs w:val="20"/>
        </w:rPr>
        <w:t xml:space="preserve">vertopping of </w:t>
      </w:r>
      <w:r>
        <w:rPr>
          <w:color w:val="auto"/>
          <w:sz w:val="20"/>
          <w:szCs w:val="20"/>
        </w:rPr>
        <w:t>S</w:t>
      </w:r>
      <w:r w:rsidRPr="00B34819">
        <w:rPr>
          <w:color w:val="auto"/>
          <w:sz w:val="20"/>
          <w:szCs w:val="20"/>
        </w:rPr>
        <w:t xml:space="preserve">ea </w:t>
      </w:r>
      <w:r>
        <w:rPr>
          <w:color w:val="auto"/>
          <w:sz w:val="20"/>
          <w:szCs w:val="20"/>
        </w:rPr>
        <w:t>D</w:t>
      </w:r>
      <w:r w:rsidRPr="00B34819">
        <w:rPr>
          <w:color w:val="auto"/>
          <w:sz w:val="20"/>
          <w:szCs w:val="20"/>
        </w:rPr>
        <w:t xml:space="preserve">efences and </w:t>
      </w:r>
      <w:r>
        <w:rPr>
          <w:color w:val="auto"/>
          <w:sz w:val="20"/>
          <w:szCs w:val="20"/>
        </w:rPr>
        <w:t>R</w:t>
      </w:r>
      <w:r w:rsidRPr="00B34819">
        <w:rPr>
          <w:color w:val="auto"/>
          <w:sz w:val="20"/>
          <w:szCs w:val="20"/>
        </w:rPr>
        <w:t xml:space="preserve">elated </w:t>
      </w:r>
      <w:r>
        <w:rPr>
          <w:color w:val="auto"/>
          <w:sz w:val="20"/>
          <w:szCs w:val="20"/>
        </w:rPr>
        <w:t>S</w:t>
      </w:r>
      <w:r w:rsidRPr="00B34819">
        <w:rPr>
          <w:color w:val="auto"/>
          <w:sz w:val="20"/>
          <w:szCs w:val="20"/>
        </w:rPr>
        <w:t>tructures</w:t>
      </w:r>
      <w:r w:rsidR="004139CF">
        <w:rPr>
          <w:color w:val="auto"/>
          <w:sz w:val="20"/>
          <w:szCs w:val="20"/>
        </w:rPr>
        <w:t>.</w:t>
      </w:r>
    </w:p>
    <w:sectPr w:rsidR="00491085" w:rsidRPr="004139CF" w:rsidSect="00A3696E">
      <w:footerReference w:type="default" r:id="rId18"/>
      <w:footerReference w:type="first" r:id="rId19"/>
      <w:footnotePr>
        <w:numFmt w:val="chicago"/>
      </w:footnotePr>
      <w:pgSz w:w="11906" w:h="16838" w:code="9"/>
      <w:pgMar w:top="1555" w:right="1699" w:bottom="1555" w:left="1699" w:header="706" w:footer="0" w:gutter="0"/>
      <w:lnNumType w:countBy="1" w:restart="continuou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CF760" w14:textId="77777777" w:rsidR="00B52B76" w:rsidRDefault="00B52B76">
      <w:r>
        <w:separator/>
      </w:r>
    </w:p>
  </w:endnote>
  <w:endnote w:type="continuationSeparator" w:id="0">
    <w:p w14:paraId="47452AE1" w14:textId="77777777" w:rsidR="00B52B76" w:rsidRDefault="00B5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ans Serif PS">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9CD2" w14:textId="77777777" w:rsidR="0003108B" w:rsidRDefault="009B6F33">
    <w:pPr>
      <w:pStyle w:val="Footer"/>
      <w:jc w:val="right"/>
    </w:pPr>
    <w:r>
      <w:fldChar w:fldCharType="begin"/>
    </w:r>
    <w:r>
      <w:instrText xml:space="preserve"> PAGE   \* MERGEFORMAT </w:instrText>
    </w:r>
    <w:r>
      <w:fldChar w:fldCharType="separate"/>
    </w:r>
    <w:r w:rsidR="00C869D7">
      <w:rPr>
        <w:noProof/>
      </w:rPr>
      <w:t>2</w:t>
    </w:r>
    <w:r>
      <w:rPr>
        <w:noProof/>
      </w:rPr>
      <w:fldChar w:fldCharType="end"/>
    </w:r>
  </w:p>
  <w:p w14:paraId="3F3803C0" w14:textId="77777777" w:rsidR="0003108B" w:rsidRPr="00652B19" w:rsidRDefault="0003108B" w:rsidP="00652B19">
    <w:pPr>
      <w:pStyle w:val="Footer"/>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7795" w14:textId="77777777" w:rsidR="0006269A" w:rsidRPr="0006269A" w:rsidRDefault="0006269A" w:rsidP="0006269A">
    <w:pPr>
      <w:pStyle w:val="Authoraffiliations"/>
    </w:pPr>
    <w:r w:rsidRPr="0006269A">
      <w:t>This is an example created from parts of other articles, it is not designed to be read for sense.</w:t>
    </w:r>
  </w:p>
  <w:p w14:paraId="495D7974" w14:textId="77777777" w:rsidR="0006269A" w:rsidRDefault="0006269A">
    <w:pPr>
      <w:pStyle w:val="Footer"/>
    </w:pPr>
  </w:p>
  <w:p w14:paraId="22092751" w14:textId="77777777" w:rsidR="0006269A" w:rsidRDefault="000626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F50E" w14:textId="77777777" w:rsidR="00A3696E" w:rsidRDefault="00A3696E">
    <w:pPr>
      <w:pStyle w:val="Footer"/>
      <w:jc w:val="right"/>
    </w:pPr>
    <w:r>
      <w:fldChar w:fldCharType="begin"/>
    </w:r>
    <w:r>
      <w:instrText xml:space="preserve"> PAGE   \* MERGEFORMAT </w:instrText>
    </w:r>
    <w:r>
      <w:fldChar w:fldCharType="separate"/>
    </w:r>
    <w:r w:rsidR="00C869D7">
      <w:rPr>
        <w:noProof/>
      </w:rPr>
      <w:t>2</w:t>
    </w:r>
    <w:r>
      <w:rPr>
        <w:noProof/>
      </w:rPr>
      <w:fldChar w:fldCharType="end"/>
    </w:r>
  </w:p>
  <w:p w14:paraId="280BDE59" w14:textId="77777777" w:rsidR="00A3696E" w:rsidRPr="00652B19" w:rsidRDefault="00A3696E" w:rsidP="00652B19">
    <w:pPr>
      <w:pStyle w:val="Footer"/>
      <w:jc w:val="right"/>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EA72" w14:textId="77777777" w:rsidR="00A3696E" w:rsidRPr="0006269A" w:rsidRDefault="00A3696E" w:rsidP="0006269A">
    <w:pPr>
      <w:pStyle w:val="Authoraffiliations"/>
    </w:pPr>
    <w:r w:rsidRPr="0006269A">
      <w:t>This is an example created from parts of other articles, it is not designed to be read for sense.</w:t>
    </w:r>
  </w:p>
  <w:p w14:paraId="6776ECD5" w14:textId="77777777" w:rsidR="00A3696E" w:rsidRDefault="00A3696E">
    <w:pPr>
      <w:pStyle w:val="Footer"/>
    </w:pPr>
  </w:p>
  <w:p w14:paraId="586883EA" w14:textId="77777777" w:rsidR="00A3696E" w:rsidRDefault="00A36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8B457" w14:textId="77777777" w:rsidR="00B52B76" w:rsidRDefault="00B52B76">
      <w:r>
        <w:separator/>
      </w:r>
    </w:p>
  </w:footnote>
  <w:footnote w:type="continuationSeparator" w:id="0">
    <w:p w14:paraId="43D5EF4C" w14:textId="77777777" w:rsidR="00B52B76" w:rsidRDefault="00B52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DA"/>
    <w:multiLevelType w:val="hybridMultilevel"/>
    <w:tmpl w:val="70B666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D00F7"/>
    <w:multiLevelType w:val="hybridMultilevel"/>
    <w:tmpl w:val="AA8AF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FA0111"/>
    <w:multiLevelType w:val="hybridMultilevel"/>
    <w:tmpl w:val="3C04C33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9535FC"/>
    <w:multiLevelType w:val="hybridMultilevel"/>
    <w:tmpl w:val="F39891EE"/>
    <w:lvl w:ilvl="0" w:tplc="C9987D32">
      <w:start w:val="1"/>
      <w:numFmt w:val="bullet"/>
      <w:lvlText w:val="●"/>
      <w:lvlJc w:val="left"/>
      <w:pPr>
        <w:tabs>
          <w:tab w:val="num" w:pos="360"/>
        </w:tabs>
        <w:ind w:left="360" w:hanging="360"/>
      </w:pPr>
      <w:rPr>
        <w:rFonts w:ascii="Arial" w:hAnsi="Arial" w:hint="default"/>
        <w:color w:val="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4B2746"/>
    <w:multiLevelType w:val="hybridMultilevel"/>
    <w:tmpl w:val="A97C7E9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25D77"/>
    <w:multiLevelType w:val="hybridMultilevel"/>
    <w:tmpl w:val="ECBEF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C29BE"/>
    <w:multiLevelType w:val="hybridMultilevel"/>
    <w:tmpl w:val="40F08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73BEE"/>
    <w:multiLevelType w:val="hybridMultilevel"/>
    <w:tmpl w:val="B406CC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0B0A8C"/>
    <w:multiLevelType w:val="hybridMultilevel"/>
    <w:tmpl w:val="6F5EC196"/>
    <w:lvl w:ilvl="0" w:tplc="DB7E047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154A94"/>
    <w:multiLevelType w:val="hybridMultilevel"/>
    <w:tmpl w:val="8B5E2B1A"/>
    <w:lvl w:ilvl="0" w:tplc="C9987D32">
      <w:start w:val="1"/>
      <w:numFmt w:val="bullet"/>
      <w:lvlText w:val="●"/>
      <w:lvlJc w:val="left"/>
      <w:pPr>
        <w:tabs>
          <w:tab w:val="num" w:pos="360"/>
        </w:tabs>
        <w:ind w:left="360" w:hanging="360"/>
      </w:pPr>
      <w:rPr>
        <w:rFonts w:ascii="Arial" w:hAnsi="Arial" w:hint="default"/>
        <w:color w:val="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E423D"/>
    <w:multiLevelType w:val="hybridMultilevel"/>
    <w:tmpl w:val="A5867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30B10"/>
    <w:multiLevelType w:val="hybridMultilevel"/>
    <w:tmpl w:val="21EE28CC"/>
    <w:lvl w:ilvl="0" w:tplc="FFFFFFFF">
      <w:start w:val="1"/>
      <w:numFmt w:val="bullet"/>
      <w:lvlText w:val=""/>
      <w:lvlJc w:val="left"/>
      <w:pPr>
        <w:tabs>
          <w:tab w:val="num" w:pos="1179"/>
        </w:tabs>
        <w:ind w:left="1179" w:hanging="360"/>
      </w:pPr>
      <w:rPr>
        <w:rFonts w:ascii="Symbol" w:hAnsi="Symbol" w:hint="default"/>
      </w:rPr>
    </w:lvl>
    <w:lvl w:ilvl="1" w:tplc="FFFFFFFF" w:tentative="1">
      <w:start w:val="1"/>
      <w:numFmt w:val="bullet"/>
      <w:lvlText w:val="o"/>
      <w:lvlJc w:val="left"/>
      <w:pPr>
        <w:tabs>
          <w:tab w:val="num" w:pos="1899"/>
        </w:tabs>
        <w:ind w:left="1899" w:hanging="360"/>
      </w:pPr>
      <w:rPr>
        <w:rFonts w:ascii="Courier New" w:hAnsi="Courier New" w:hint="default"/>
      </w:rPr>
    </w:lvl>
    <w:lvl w:ilvl="2" w:tplc="FFFFFFFF" w:tentative="1">
      <w:start w:val="1"/>
      <w:numFmt w:val="bullet"/>
      <w:lvlText w:val=""/>
      <w:lvlJc w:val="left"/>
      <w:pPr>
        <w:tabs>
          <w:tab w:val="num" w:pos="2619"/>
        </w:tabs>
        <w:ind w:left="2619" w:hanging="360"/>
      </w:pPr>
      <w:rPr>
        <w:rFonts w:ascii="Wingdings" w:hAnsi="Wingdings" w:hint="default"/>
      </w:rPr>
    </w:lvl>
    <w:lvl w:ilvl="3" w:tplc="FFFFFFFF" w:tentative="1">
      <w:start w:val="1"/>
      <w:numFmt w:val="bullet"/>
      <w:lvlText w:val=""/>
      <w:lvlJc w:val="left"/>
      <w:pPr>
        <w:tabs>
          <w:tab w:val="num" w:pos="3339"/>
        </w:tabs>
        <w:ind w:left="3339" w:hanging="360"/>
      </w:pPr>
      <w:rPr>
        <w:rFonts w:ascii="Symbol" w:hAnsi="Symbol" w:hint="default"/>
      </w:rPr>
    </w:lvl>
    <w:lvl w:ilvl="4" w:tplc="FFFFFFFF" w:tentative="1">
      <w:start w:val="1"/>
      <w:numFmt w:val="bullet"/>
      <w:lvlText w:val="o"/>
      <w:lvlJc w:val="left"/>
      <w:pPr>
        <w:tabs>
          <w:tab w:val="num" w:pos="4059"/>
        </w:tabs>
        <w:ind w:left="4059" w:hanging="360"/>
      </w:pPr>
      <w:rPr>
        <w:rFonts w:ascii="Courier New" w:hAnsi="Courier New" w:hint="default"/>
      </w:rPr>
    </w:lvl>
    <w:lvl w:ilvl="5" w:tplc="FFFFFFFF" w:tentative="1">
      <w:start w:val="1"/>
      <w:numFmt w:val="bullet"/>
      <w:lvlText w:val=""/>
      <w:lvlJc w:val="left"/>
      <w:pPr>
        <w:tabs>
          <w:tab w:val="num" w:pos="4779"/>
        </w:tabs>
        <w:ind w:left="4779" w:hanging="360"/>
      </w:pPr>
      <w:rPr>
        <w:rFonts w:ascii="Wingdings" w:hAnsi="Wingdings" w:hint="default"/>
      </w:rPr>
    </w:lvl>
    <w:lvl w:ilvl="6" w:tplc="FFFFFFFF" w:tentative="1">
      <w:start w:val="1"/>
      <w:numFmt w:val="bullet"/>
      <w:lvlText w:val=""/>
      <w:lvlJc w:val="left"/>
      <w:pPr>
        <w:tabs>
          <w:tab w:val="num" w:pos="5499"/>
        </w:tabs>
        <w:ind w:left="5499" w:hanging="360"/>
      </w:pPr>
      <w:rPr>
        <w:rFonts w:ascii="Symbol" w:hAnsi="Symbol" w:hint="default"/>
      </w:rPr>
    </w:lvl>
    <w:lvl w:ilvl="7" w:tplc="FFFFFFFF" w:tentative="1">
      <w:start w:val="1"/>
      <w:numFmt w:val="bullet"/>
      <w:lvlText w:val="o"/>
      <w:lvlJc w:val="left"/>
      <w:pPr>
        <w:tabs>
          <w:tab w:val="num" w:pos="6219"/>
        </w:tabs>
        <w:ind w:left="6219" w:hanging="360"/>
      </w:pPr>
      <w:rPr>
        <w:rFonts w:ascii="Courier New" w:hAnsi="Courier New" w:hint="default"/>
      </w:rPr>
    </w:lvl>
    <w:lvl w:ilvl="8" w:tplc="FFFFFFFF" w:tentative="1">
      <w:start w:val="1"/>
      <w:numFmt w:val="bullet"/>
      <w:lvlText w:val=""/>
      <w:lvlJc w:val="left"/>
      <w:pPr>
        <w:tabs>
          <w:tab w:val="num" w:pos="6939"/>
        </w:tabs>
        <w:ind w:left="6939" w:hanging="360"/>
      </w:pPr>
      <w:rPr>
        <w:rFonts w:ascii="Wingdings" w:hAnsi="Wingdings" w:hint="default"/>
      </w:rPr>
    </w:lvl>
  </w:abstractNum>
  <w:abstractNum w:abstractNumId="12" w15:restartNumberingAfterBreak="0">
    <w:nsid w:val="3CDC76BE"/>
    <w:multiLevelType w:val="multilevel"/>
    <w:tmpl w:val="A786349C"/>
    <w:lvl w:ilvl="0">
      <w:start w:val="7"/>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78"/>
        </w:tabs>
        <w:ind w:left="578" w:hanging="57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438E6522"/>
    <w:multiLevelType w:val="multilevel"/>
    <w:tmpl w:val="3C807C10"/>
    <w:lvl w:ilvl="0">
      <w:start w:val="1"/>
      <w:numFmt w:val="decimal"/>
      <w:pStyle w:val="Heading1"/>
      <w:lvlText w:val="%1"/>
      <w:lvlJc w:val="left"/>
      <w:pPr>
        <w:tabs>
          <w:tab w:val="num" w:pos="567"/>
        </w:tabs>
        <w:ind w:left="567" w:hanging="567"/>
      </w:pPr>
      <w:rPr>
        <w:rFonts w:cs="Times New Roman" w:hint="default"/>
      </w:rPr>
    </w:lvl>
    <w:lvl w:ilvl="1">
      <w:start w:val="1"/>
      <w:numFmt w:val="decimal"/>
      <w:pStyle w:val="Heading2"/>
      <w:lvlText w:val="%1.%2"/>
      <w:lvlJc w:val="left"/>
      <w:pPr>
        <w:tabs>
          <w:tab w:val="num" w:pos="567"/>
        </w:tabs>
        <w:ind w:left="567" w:hanging="567"/>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4" w15:restartNumberingAfterBreak="0">
    <w:nsid w:val="4D2016D7"/>
    <w:multiLevelType w:val="hybridMultilevel"/>
    <w:tmpl w:val="EF4CD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78390E"/>
    <w:multiLevelType w:val="hybridMultilevel"/>
    <w:tmpl w:val="420A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8B07DE"/>
    <w:multiLevelType w:val="hybridMultilevel"/>
    <w:tmpl w:val="FD40248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FE543C0"/>
    <w:multiLevelType w:val="hybridMultilevel"/>
    <w:tmpl w:val="DE3074F0"/>
    <w:lvl w:ilvl="0" w:tplc="70A25DC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9645D0"/>
    <w:multiLevelType w:val="hybridMultilevel"/>
    <w:tmpl w:val="EF506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5C0BF9"/>
    <w:multiLevelType w:val="hybridMultilevel"/>
    <w:tmpl w:val="038449A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6A71DF3"/>
    <w:multiLevelType w:val="hybridMultilevel"/>
    <w:tmpl w:val="4AB22456"/>
    <w:lvl w:ilvl="0" w:tplc="C9987D32">
      <w:start w:val="1"/>
      <w:numFmt w:val="bullet"/>
      <w:lvlText w:val="●"/>
      <w:lvlJc w:val="left"/>
      <w:pPr>
        <w:tabs>
          <w:tab w:val="num" w:pos="360"/>
        </w:tabs>
        <w:ind w:left="360" w:hanging="360"/>
      </w:pPr>
      <w:rPr>
        <w:rFonts w:ascii="Arial" w:hAnsi="Arial" w:hint="default"/>
        <w:color w:val="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2162D"/>
    <w:multiLevelType w:val="multilevel"/>
    <w:tmpl w:val="CAF6C4AE"/>
    <w:lvl w:ilvl="0">
      <w:start w:val="1"/>
      <w:numFmt w:val="decimal"/>
      <w:pStyle w:val="Style2"/>
      <w:lvlText w:val="%1."/>
      <w:lvlJc w:val="left"/>
      <w:pPr>
        <w:tabs>
          <w:tab w:val="num" w:pos="720"/>
        </w:tabs>
        <w:ind w:left="360" w:hanging="360"/>
      </w:pPr>
      <w:rPr>
        <w:rFonts w:cs="Times New Roman" w:hint="default"/>
      </w:rPr>
    </w:lvl>
    <w:lvl w:ilvl="1">
      <w:start w:val="1"/>
      <w:numFmt w:val="decimal"/>
      <w:lvlText w:val="%1.%2."/>
      <w:lvlJc w:val="left"/>
      <w:pPr>
        <w:tabs>
          <w:tab w:val="num" w:pos="1440"/>
        </w:tabs>
        <w:ind w:left="792" w:hanging="432"/>
      </w:pPr>
      <w:rPr>
        <w:rFonts w:cs="Times New Roman" w:hint="default"/>
      </w:rPr>
    </w:lvl>
    <w:lvl w:ilvl="2">
      <w:start w:val="1"/>
      <w:numFmt w:val="decimal"/>
      <w:lvlText w:val="%1.%2.%3."/>
      <w:lvlJc w:val="left"/>
      <w:pPr>
        <w:tabs>
          <w:tab w:val="num" w:pos="2160"/>
        </w:tabs>
        <w:ind w:left="1224" w:hanging="504"/>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22" w15:restartNumberingAfterBreak="0">
    <w:nsid w:val="64AC700E"/>
    <w:multiLevelType w:val="hybridMultilevel"/>
    <w:tmpl w:val="4EB62E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B970BF"/>
    <w:multiLevelType w:val="hybridMultilevel"/>
    <w:tmpl w:val="4D2ADB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EB3A84"/>
    <w:multiLevelType w:val="hybridMultilevel"/>
    <w:tmpl w:val="3FD093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AD5C3B"/>
    <w:multiLevelType w:val="multilevel"/>
    <w:tmpl w:val="FD4E4854"/>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74745882"/>
    <w:multiLevelType w:val="hybridMultilevel"/>
    <w:tmpl w:val="8818A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3A45EF"/>
    <w:multiLevelType w:val="hybridMultilevel"/>
    <w:tmpl w:val="46FE037C"/>
    <w:lvl w:ilvl="0" w:tplc="F10CEEE0">
      <w:start w:val="1"/>
      <w:numFmt w:val="bullet"/>
      <w:lvlText w:val=""/>
      <w:lvlJc w:val="left"/>
      <w:pPr>
        <w:tabs>
          <w:tab w:val="num" w:pos="720"/>
        </w:tabs>
        <w:ind w:left="720" w:hanging="360"/>
      </w:pPr>
      <w:rPr>
        <w:rFonts w:ascii="Symbol" w:hAnsi="Symbol" w:hint="default"/>
      </w:rPr>
    </w:lvl>
    <w:lvl w:ilvl="1" w:tplc="99B6776A" w:tentative="1">
      <w:start w:val="1"/>
      <w:numFmt w:val="bullet"/>
      <w:lvlText w:val="o"/>
      <w:lvlJc w:val="left"/>
      <w:pPr>
        <w:tabs>
          <w:tab w:val="num" w:pos="1440"/>
        </w:tabs>
        <w:ind w:left="1440" w:hanging="360"/>
      </w:pPr>
      <w:rPr>
        <w:rFonts w:ascii="Courier New" w:hAnsi="Courier New" w:hint="default"/>
      </w:rPr>
    </w:lvl>
    <w:lvl w:ilvl="2" w:tplc="8A58B8EC" w:tentative="1">
      <w:start w:val="1"/>
      <w:numFmt w:val="bullet"/>
      <w:lvlText w:val=""/>
      <w:lvlJc w:val="left"/>
      <w:pPr>
        <w:tabs>
          <w:tab w:val="num" w:pos="2160"/>
        </w:tabs>
        <w:ind w:left="2160" w:hanging="360"/>
      </w:pPr>
      <w:rPr>
        <w:rFonts w:ascii="Wingdings" w:hAnsi="Wingdings" w:hint="default"/>
      </w:rPr>
    </w:lvl>
    <w:lvl w:ilvl="3" w:tplc="AA68F21C" w:tentative="1">
      <w:start w:val="1"/>
      <w:numFmt w:val="bullet"/>
      <w:lvlText w:val=""/>
      <w:lvlJc w:val="left"/>
      <w:pPr>
        <w:tabs>
          <w:tab w:val="num" w:pos="2880"/>
        </w:tabs>
        <w:ind w:left="2880" w:hanging="360"/>
      </w:pPr>
      <w:rPr>
        <w:rFonts w:ascii="Symbol" w:hAnsi="Symbol" w:hint="default"/>
      </w:rPr>
    </w:lvl>
    <w:lvl w:ilvl="4" w:tplc="B1244312" w:tentative="1">
      <w:start w:val="1"/>
      <w:numFmt w:val="bullet"/>
      <w:lvlText w:val="o"/>
      <w:lvlJc w:val="left"/>
      <w:pPr>
        <w:tabs>
          <w:tab w:val="num" w:pos="3600"/>
        </w:tabs>
        <w:ind w:left="3600" w:hanging="360"/>
      </w:pPr>
      <w:rPr>
        <w:rFonts w:ascii="Courier New" w:hAnsi="Courier New" w:hint="default"/>
      </w:rPr>
    </w:lvl>
    <w:lvl w:ilvl="5" w:tplc="8724F4CC" w:tentative="1">
      <w:start w:val="1"/>
      <w:numFmt w:val="bullet"/>
      <w:lvlText w:val=""/>
      <w:lvlJc w:val="left"/>
      <w:pPr>
        <w:tabs>
          <w:tab w:val="num" w:pos="4320"/>
        </w:tabs>
        <w:ind w:left="4320" w:hanging="360"/>
      </w:pPr>
      <w:rPr>
        <w:rFonts w:ascii="Wingdings" w:hAnsi="Wingdings" w:hint="default"/>
      </w:rPr>
    </w:lvl>
    <w:lvl w:ilvl="6" w:tplc="D862CFE4" w:tentative="1">
      <w:start w:val="1"/>
      <w:numFmt w:val="bullet"/>
      <w:lvlText w:val=""/>
      <w:lvlJc w:val="left"/>
      <w:pPr>
        <w:tabs>
          <w:tab w:val="num" w:pos="5040"/>
        </w:tabs>
        <w:ind w:left="5040" w:hanging="360"/>
      </w:pPr>
      <w:rPr>
        <w:rFonts w:ascii="Symbol" w:hAnsi="Symbol" w:hint="default"/>
      </w:rPr>
    </w:lvl>
    <w:lvl w:ilvl="7" w:tplc="09EAB72E" w:tentative="1">
      <w:start w:val="1"/>
      <w:numFmt w:val="bullet"/>
      <w:lvlText w:val="o"/>
      <w:lvlJc w:val="left"/>
      <w:pPr>
        <w:tabs>
          <w:tab w:val="num" w:pos="5760"/>
        </w:tabs>
        <w:ind w:left="5760" w:hanging="360"/>
      </w:pPr>
      <w:rPr>
        <w:rFonts w:ascii="Courier New" w:hAnsi="Courier New" w:hint="default"/>
      </w:rPr>
    </w:lvl>
    <w:lvl w:ilvl="8" w:tplc="DBD2B08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81460F"/>
    <w:multiLevelType w:val="hybridMultilevel"/>
    <w:tmpl w:val="DF66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A23739"/>
    <w:multiLevelType w:val="hybridMultilevel"/>
    <w:tmpl w:val="AB2657D2"/>
    <w:lvl w:ilvl="0" w:tplc="08090001">
      <w:start w:val="1"/>
      <w:numFmt w:val="decimal"/>
      <w:lvlText w:val="[%1]"/>
      <w:lvlJc w:val="left"/>
      <w:pPr>
        <w:tabs>
          <w:tab w:val="num" w:pos="796"/>
        </w:tabs>
        <w:ind w:left="796" w:hanging="436"/>
      </w:pPr>
      <w:rPr>
        <w:rFonts w:cs="Times New Roman" w:hint="default"/>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3A4637"/>
    <w:multiLevelType w:val="hybridMultilevel"/>
    <w:tmpl w:val="67E2C792"/>
    <w:lvl w:ilvl="0" w:tplc="A3CAFE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937560"/>
    <w:multiLevelType w:val="hybridMultilevel"/>
    <w:tmpl w:val="7690FFA4"/>
    <w:lvl w:ilvl="0" w:tplc="F17EF500">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num w:numId="1" w16cid:durableId="873153656">
    <w:abstractNumId w:val="21"/>
  </w:num>
  <w:num w:numId="2" w16cid:durableId="1339651748">
    <w:abstractNumId w:val="11"/>
  </w:num>
  <w:num w:numId="3" w16cid:durableId="1442801768">
    <w:abstractNumId w:val="13"/>
  </w:num>
  <w:num w:numId="4" w16cid:durableId="943996456">
    <w:abstractNumId w:val="17"/>
  </w:num>
  <w:num w:numId="5" w16cid:durableId="260379847">
    <w:abstractNumId w:val="19"/>
  </w:num>
  <w:num w:numId="6" w16cid:durableId="441463172">
    <w:abstractNumId w:val="2"/>
  </w:num>
  <w:num w:numId="7" w16cid:durableId="1497306747">
    <w:abstractNumId w:val="4"/>
  </w:num>
  <w:num w:numId="8" w16cid:durableId="1459951835">
    <w:abstractNumId w:val="23"/>
  </w:num>
  <w:num w:numId="9" w16cid:durableId="1776166610">
    <w:abstractNumId w:val="14"/>
  </w:num>
  <w:num w:numId="10" w16cid:durableId="1952272901">
    <w:abstractNumId w:val="12"/>
  </w:num>
  <w:num w:numId="11" w16cid:durableId="1325013117">
    <w:abstractNumId w:val="0"/>
  </w:num>
  <w:num w:numId="12" w16cid:durableId="1562130258">
    <w:abstractNumId w:val="31"/>
  </w:num>
  <w:num w:numId="13" w16cid:durableId="1622345917">
    <w:abstractNumId w:val="5"/>
  </w:num>
  <w:num w:numId="14" w16cid:durableId="1831940134">
    <w:abstractNumId w:val="7"/>
  </w:num>
  <w:num w:numId="15" w16cid:durableId="2006584960">
    <w:abstractNumId w:val="22"/>
  </w:num>
  <w:num w:numId="16" w16cid:durableId="8945379">
    <w:abstractNumId w:val="25"/>
  </w:num>
  <w:num w:numId="17" w16cid:durableId="1937520069">
    <w:abstractNumId w:val="16"/>
  </w:num>
  <w:num w:numId="18" w16cid:durableId="2102943099">
    <w:abstractNumId w:val="27"/>
  </w:num>
  <w:num w:numId="19" w16cid:durableId="870843943">
    <w:abstractNumId w:val="29"/>
  </w:num>
  <w:num w:numId="20" w16cid:durableId="985089618">
    <w:abstractNumId w:val="24"/>
  </w:num>
  <w:num w:numId="21" w16cid:durableId="71316369">
    <w:abstractNumId w:val="10"/>
  </w:num>
  <w:num w:numId="22" w16cid:durableId="1203591621">
    <w:abstractNumId w:val="1"/>
  </w:num>
  <w:num w:numId="23" w16cid:durableId="1581913793">
    <w:abstractNumId w:val="13"/>
  </w:num>
  <w:num w:numId="24" w16cid:durableId="2249091">
    <w:abstractNumId w:val="13"/>
  </w:num>
  <w:num w:numId="25" w16cid:durableId="510067385">
    <w:abstractNumId w:val="13"/>
  </w:num>
  <w:num w:numId="26" w16cid:durableId="19360990">
    <w:abstractNumId w:val="30"/>
  </w:num>
  <w:num w:numId="27" w16cid:durableId="208693366">
    <w:abstractNumId w:val="3"/>
  </w:num>
  <w:num w:numId="28" w16cid:durableId="1903784196">
    <w:abstractNumId w:val="20"/>
  </w:num>
  <w:num w:numId="29" w16cid:durableId="1566842334">
    <w:abstractNumId w:val="9"/>
  </w:num>
  <w:num w:numId="30" w16cid:durableId="1032851088">
    <w:abstractNumId w:val="8"/>
  </w:num>
  <w:num w:numId="31" w16cid:durableId="1488860946">
    <w:abstractNumId w:val="26"/>
  </w:num>
  <w:num w:numId="32" w16cid:durableId="1055743192">
    <w:abstractNumId w:val="28"/>
  </w:num>
  <w:num w:numId="33" w16cid:durableId="576981414">
    <w:abstractNumId w:val="18"/>
  </w:num>
  <w:num w:numId="34" w16cid:durableId="1970431022">
    <w:abstractNumId w:val="6"/>
  </w:num>
  <w:num w:numId="35" w16cid:durableId="12273055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2"/>
  <w:drawingGridVerticalSpacing w:val="14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829"/>
    <w:rsid w:val="000011DC"/>
    <w:rsid w:val="000027B6"/>
    <w:rsid w:val="00003487"/>
    <w:rsid w:val="00005F28"/>
    <w:rsid w:val="00012A45"/>
    <w:rsid w:val="00017B67"/>
    <w:rsid w:val="00021CF7"/>
    <w:rsid w:val="0003108B"/>
    <w:rsid w:val="000354F3"/>
    <w:rsid w:val="00036432"/>
    <w:rsid w:val="00037662"/>
    <w:rsid w:val="00037760"/>
    <w:rsid w:val="00041DFB"/>
    <w:rsid w:val="000432C7"/>
    <w:rsid w:val="000439AF"/>
    <w:rsid w:val="00046AC9"/>
    <w:rsid w:val="000470F4"/>
    <w:rsid w:val="00053FF8"/>
    <w:rsid w:val="0006269A"/>
    <w:rsid w:val="00063FF4"/>
    <w:rsid w:val="00066267"/>
    <w:rsid w:val="00067625"/>
    <w:rsid w:val="0007488E"/>
    <w:rsid w:val="00077078"/>
    <w:rsid w:val="00080AFC"/>
    <w:rsid w:val="000821C4"/>
    <w:rsid w:val="0009328C"/>
    <w:rsid w:val="000938C5"/>
    <w:rsid w:val="00093C66"/>
    <w:rsid w:val="0009528D"/>
    <w:rsid w:val="00095E08"/>
    <w:rsid w:val="000973C6"/>
    <w:rsid w:val="00097F02"/>
    <w:rsid w:val="000A17DA"/>
    <w:rsid w:val="000A217D"/>
    <w:rsid w:val="000A6F7B"/>
    <w:rsid w:val="000A7D61"/>
    <w:rsid w:val="000B2812"/>
    <w:rsid w:val="000B499F"/>
    <w:rsid w:val="000B5A54"/>
    <w:rsid w:val="000B64C8"/>
    <w:rsid w:val="000B6A58"/>
    <w:rsid w:val="000C2896"/>
    <w:rsid w:val="000C3EA4"/>
    <w:rsid w:val="000C5300"/>
    <w:rsid w:val="000C6314"/>
    <w:rsid w:val="000D5CC3"/>
    <w:rsid w:val="000E022E"/>
    <w:rsid w:val="000E0424"/>
    <w:rsid w:val="000E3D9D"/>
    <w:rsid w:val="000E7D73"/>
    <w:rsid w:val="000E7DAF"/>
    <w:rsid w:val="000F3C5A"/>
    <w:rsid w:val="000F5B62"/>
    <w:rsid w:val="000F7580"/>
    <w:rsid w:val="00100BF2"/>
    <w:rsid w:val="00103A39"/>
    <w:rsid w:val="00105BBC"/>
    <w:rsid w:val="00110037"/>
    <w:rsid w:val="001102FA"/>
    <w:rsid w:val="00113B66"/>
    <w:rsid w:val="00114355"/>
    <w:rsid w:val="00121915"/>
    <w:rsid w:val="001233E8"/>
    <w:rsid w:val="001255DF"/>
    <w:rsid w:val="001268D1"/>
    <w:rsid w:val="00127855"/>
    <w:rsid w:val="00130B0A"/>
    <w:rsid w:val="00130F07"/>
    <w:rsid w:val="00136C37"/>
    <w:rsid w:val="00136CA1"/>
    <w:rsid w:val="00145406"/>
    <w:rsid w:val="00147498"/>
    <w:rsid w:val="0015197D"/>
    <w:rsid w:val="001572DE"/>
    <w:rsid w:val="00157F8E"/>
    <w:rsid w:val="001621A5"/>
    <w:rsid w:val="001632CD"/>
    <w:rsid w:val="00166CF1"/>
    <w:rsid w:val="001704F8"/>
    <w:rsid w:val="00170FB1"/>
    <w:rsid w:val="00171E2C"/>
    <w:rsid w:val="00171FB8"/>
    <w:rsid w:val="00177EB3"/>
    <w:rsid w:val="00182301"/>
    <w:rsid w:val="001823B9"/>
    <w:rsid w:val="00184C1B"/>
    <w:rsid w:val="00184DB0"/>
    <w:rsid w:val="00185630"/>
    <w:rsid w:val="00190CB2"/>
    <w:rsid w:val="00191695"/>
    <w:rsid w:val="00194BF5"/>
    <w:rsid w:val="001973BD"/>
    <w:rsid w:val="00197816"/>
    <w:rsid w:val="001A2E59"/>
    <w:rsid w:val="001A3502"/>
    <w:rsid w:val="001A7F4F"/>
    <w:rsid w:val="001B40B0"/>
    <w:rsid w:val="001B5F22"/>
    <w:rsid w:val="001C00CB"/>
    <w:rsid w:val="001C1E82"/>
    <w:rsid w:val="001C229D"/>
    <w:rsid w:val="001C5A9D"/>
    <w:rsid w:val="001C70DD"/>
    <w:rsid w:val="001D38F3"/>
    <w:rsid w:val="001D3C65"/>
    <w:rsid w:val="001D5A1F"/>
    <w:rsid w:val="001D5FC1"/>
    <w:rsid w:val="001D7D3D"/>
    <w:rsid w:val="001E2AD9"/>
    <w:rsid w:val="001E3C72"/>
    <w:rsid w:val="001F0530"/>
    <w:rsid w:val="001F50EF"/>
    <w:rsid w:val="001F5EAB"/>
    <w:rsid w:val="00200303"/>
    <w:rsid w:val="00202A24"/>
    <w:rsid w:val="00203A55"/>
    <w:rsid w:val="00203F5D"/>
    <w:rsid w:val="002056ED"/>
    <w:rsid w:val="0020674A"/>
    <w:rsid w:val="00207080"/>
    <w:rsid w:val="00212950"/>
    <w:rsid w:val="00215362"/>
    <w:rsid w:val="002209E9"/>
    <w:rsid w:val="0022497A"/>
    <w:rsid w:val="002264CD"/>
    <w:rsid w:val="0022719A"/>
    <w:rsid w:val="00233872"/>
    <w:rsid w:val="00243AB8"/>
    <w:rsid w:val="002443BC"/>
    <w:rsid w:val="002446A5"/>
    <w:rsid w:val="00246DE6"/>
    <w:rsid w:val="00247123"/>
    <w:rsid w:val="002505E2"/>
    <w:rsid w:val="00256485"/>
    <w:rsid w:val="00261E47"/>
    <w:rsid w:val="00261EAF"/>
    <w:rsid w:val="00262679"/>
    <w:rsid w:val="00263028"/>
    <w:rsid w:val="002638F9"/>
    <w:rsid w:val="00263E80"/>
    <w:rsid w:val="002647F9"/>
    <w:rsid w:val="00267FD2"/>
    <w:rsid w:val="002738EC"/>
    <w:rsid w:val="002814D0"/>
    <w:rsid w:val="00281B78"/>
    <w:rsid w:val="002838F7"/>
    <w:rsid w:val="00290276"/>
    <w:rsid w:val="002908DD"/>
    <w:rsid w:val="00291DCF"/>
    <w:rsid w:val="00293DE4"/>
    <w:rsid w:val="002A0041"/>
    <w:rsid w:val="002A7F72"/>
    <w:rsid w:val="002B288C"/>
    <w:rsid w:val="002B5829"/>
    <w:rsid w:val="002C0EC6"/>
    <w:rsid w:val="002C1321"/>
    <w:rsid w:val="002C1D1F"/>
    <w:rsid w:val="002C474A"/>
    <w:rsid w:val="002C5149"/>
    <w:rsid w:val="002D2004"/>
    <w:rsid w:val="002D3C4B"/>
    <w:rsid w:val="002D6579"/>
    <w:rsid w:val="002E152D"/>
    <w:rsid w:val="002E2D9D"/>
    <w:rsid w:val="002E3E9B"/>
    <w:rsid w:val="002E538A"/>
    <w:rsid w:val="002E7399"/>
    <w:rsid w:val="002F3041"/>
    <w:rsid w:val="002F34CC"/>
    <w:rsid w:val="002F3A49"/>
    <w:rsid w:val="002F6BD5"/>
    <w:rsid w:val="0030148D"/>
    <w:rsid w:val="00301AD5"/>
    <w:rsid w:val="00301EC5"/>
    <w:rsid w:val="00301F56"/>
    <w:rsid w:val="003064F2"/>
    <w:rsid w:val="003071CB"/>
    <w:rsid w:val="00311178"/>
    <w:rsid w:val="003117A2"/>
    <w:rsid w:val="00315EBA"/>
    <w:rsid w:val="00320582"/>
    <w:rsid w:val="003225E0"/>
    <w:rsid w:val="00325940"/>
    <w:rsid w:val="00332513"/>
    <w:rsid w:val="00332CB1"/>
    <w:rsid w:val="003344F1"/>
    <w:rsid w:val="00335539"/>
    <w:rsid w:val="0033641F"/>
    <w:rsid w:val="00343995"/>
    <w:rsid w:val="003465F0"/>
    <w:rsid w:val="0035023B"/>
    <w:rsid w:val="00350684"/>
    <w:rsid w:val="00350AA5"/>
    <w:rsid w:val="003517C8"/>
    <w:rsid w:val="00353ED8"/>
    <w:rsid w:val="003560CF"/>
    <w:rsid w:val="003571A2"/>
    <w:rsid w:val="00357704"/>
    <w:rsid w:val="00361B3A"/>
    <w:rsid w:val="003642C1"/>
    <w:rsid w:val="003644E5"/>
    <w:rsid w:val="00364622"/>
    <w:rsid w:val="00367310"/>
    <w:rsid w:val="003815AF"/>
    <w:rsid w:val="003901FB"/>
    <w:rsid w:val="00392770"/>
    <w:rsid w:val="00396293"/>
    <w:rsid w:val="003A2022"/>
    <w:rsid w:val="003A397C"/>
    <w:rsid w:val="003A6C50"/>
    <w:rsid w:val="003A6FC8"/>
    <w:rsid w:val="003A7999"/>
    <w:rsid w:val="003A7F72"/>
    <w:rsid w:val="003B3476"/>
    <w:rsid w:val="003B4F87"/>
    <w:rsid w:val="003B7B61"/>
    <w:rsid w:val="003B7BB8"/>
    <w:rsid w:val="003C0261"/>
    <w:rsid w:val="003C4D68"/>
    <w:rsid w:val="003C5D08"/>
    <w:rsid w:val="003D02B8"/>
    <w:rsid w:val="003D49B4"/>
    <w:rsid w:val="003D7B53"/>
    <w:rsid w:val="003E0E4F"/>
    <w:rsid w:val="003E14FC"/>
    <w:rsid w:val="003E3520"/>
    <w:rsid w:val="003E3C67"/>
    <w:rsid w:val="003E72AA"/>
    <w:rsid w:val="003E7E95"/>
    <w:rsid w:val="003F073D"/>
    <w:rsid w:val="003F2D59"/>
    <w:rsid w:val="003F4EDC"/>
    <w:rsid w:val="003F5089"/>
    <w:rsid w:val="003F79E8"/>
    <w:rsid w:val="003F7F7D"/>
    <w:rsid w:val="00400EFF"/>
    <w:rsid w:val="00403895"/>
    <w:rsid w:val="00403B92"/>
    <w:rsid w:val="00405583"/>
    <w:rsid w:val="00405702"/>
    <w:rsid w:val="0040634B"/>
    <w:rsid w:val="00412F1C"/>
    <w:rsid w:val="00412F98"/>
    <w:rsid w:val="004139CF"/>
    <w:rsid w:val="00414A52"/>
    <w:rsid w:val="00416F45"/>
    <w:rsid w:val="00421B7C"/>
    <w:rsid w:val="00424BF9"/>
    <w:rsid w:val="00426291"/>
    <w:rsid w:val="00427637"/>
    <w:rsid w:val="00427804"/>
    <w:rsid w:val="0043035F"/>
    <w:rsid w:val="00432F91"/>
    <w:rsid w:val="0043453E"/>
    <w:rsid w:val="00437B73"/>
    <w:rsid w:val="00443222"/>
    <w:rsid w:val="004451DB"/>
    <w:rsid w:val="004456C9"/>
    <w:rsid w:val="00452372"/>
    <w:rsid w:val="00453464"/>
    <w:rsid w:val="0045670A"/>
    <w:rsid w:val="00456BB5"/>
    <w:rsid w:val="00460535"/>
    <w:rsid w:val="00462386"/>
    <w:rsid w:val="004633BA"/>
    <w:rsid w:val="004677CC"/>
    <w:rsid w:val="004737BB"/>
    <w:rsid w:val="00475B06"/>
    <w:rsid w:val="00480A59"/>
    <w:rsid w:val="00491085"/>
    <w:rsid w:val="0049185B"/>
    <w:rsid w:val="00495222"/>
    <w:rsid w:val="004A12D8"/>
    <w:rsid w:val="004A5506"/>
    <w:rsid w:val="004A730D"/>
    <w:rsid w:val="004A7FCA"/>
    <w:rsid w:val="004B0D70"/>
    <w:rsid w:val="004B23B9"/>
    <w:rsid w:val="004B2588"/>
    <w:rsid w:val="004B395E"/>
    <w:rsid w:val="004B5233"/>
    <w:rsid w:val="004B5FAD"/>
    <w:rsid w:val="004B68E5"/>
    <w:rsid w:val="004C0597"/>
    <w:rsid w:val="004C1E46"/>
    <w:rsid w:val="004C3EA7"/>
    <w:rsid w:val="004C4293"/>
    <w:rsid w:val="004D22C4"/>
    <w:rsid w:val="004E4E65"/>
    <w:rsid w:val="004E6224"/>
    <w:rsid w:val="004F5467"/>
    <w:rsid w:val="005008E4"/>
    <w:rsid w:val="00506343"/>
    <w:rsid w:val="00512EB1"/>
    <w:rsid w:val="00516B46"/>
    <w:rsid w:val="00524618"/>
    <w:rsid w:val="00524B6D"/>
    <w:rsid w:val="00533EE4"/>
    <w:rsid w:val="005372A8"/>
    <w:rsid w:val="00542171"/>
    <w:rsid w:val="005422C4"/>
    <w:rsid w:val="00543A16"/>
    <w:rsid w:val="0054594D"/>
    <w:rsid w:val="00545CD1"/>
    <w:rsid w:val="005477D2"/>
    <w:rsid w:val="00553D96"/>
    <w:rsid w:val="005618E5"/>
    <w:rsid w:val="00563AD5"/>
    <w:rsid w:val="00566252"/>
    <w:rsid w:val="00566843"/>
    <w:rsid w:val="0057041C"/>
    <w:rsid w:val="0057085E"/>
    <w:rsid w:val="00571C3F"/>
    <w:rsid w:val="005747A0"/>
    <w:rsid w:val="00575768"/>
    <w:rsid w:val="0057681D"/>
    <w:rsid w:val="0057698B"/>
    <w:rsid w:val="0058393C"/>
    <w:rsid w:val="005846E0"/>
    <w:rsid w:val="0058632B"/>
    <w:rsid w:val="0059310D"/>
    <w:rsid w:val="00594A06"/>
    <w:rsid w:val="005953A6"/>
    <w:rsid w:val="00597A1D"/>
    <w:rsid w:val="005A1341"/>
    <w:rsid w:val="005A1EDD"/>
    <w:rsid w:val="005A271E"/>
    <w:rsid w:val="005A2986"/>
    <w:rsid w:val="005A3B2E"/>
    <w:rsid w:val="005B0E51"/>
    <w:rsid w:val="005B104C"/>
    <w:rsid w:val="005B3AEB"/>
    <w:rsid w:val="005B5E4B"/>
    <w:rsid w:val="005C31CF"/>
    <w:rsid w:val="005C6EA8"/>
    <w:rsid w:val="005D06B7"/>
    <w:rsid w:val="005D48AA"/>
    <w:rsid w:val="005D5D8F"/>
    <w:rsid w:val="005D6B1C"/>
    <w:rsid w:val="005D7DD3"/>
    <w:rsid w:val="005D7F9C"/>
    <w:rsid w:val="005E1444"/>
    <w:rsid w:val="005E2F92"/>
    <w:rsid w:val="005E3EF8"/>
    <w:rsid w:val="005E5038"/>
    <w:rsid w:val="005F2420"/>
    <w:rsid w:val="005F268C"/>
    <w:rsid w:val="005F2745"/>
    <w:rsid w:val="005F5C99"/>
    <w:rsid w:val="0060279B"/>
    <w:rsid w:val="00606E68"/>
    <w:rsid w:val="00611193"/>
    <w:rsid w:val="00612127"/>
    <w:rsid w:val="00613830"/>
    <w:rsid w:val="006165F2"/>
    <w:rsid w:val="00621CD2"/>
    <w:rsid w:val="0062251E"/>
    <w:rsid w:val="006260EF"/>
    <w:rsid w:val="00633722"/>
    <w:rsid w:val="00634F75"/>
    <w:rsid w:val="006358A2"/>
    <w:rsid w:val="0064076F"/>
    <w:rsid w:val="00646C2F"/>
    <w:rsid w:val="00650B34"/>
    <w:rsid w:val="00652B19"/>
    <w:rsid w:val="00652FE5"/>
    <w:rsid w:val="006562BF"/>
    <w:rsid w:val="006662CB"/>
    <w:rsid w:val="006667F8"/>
    <w:rsid w:val="00672397"/>
    <w:rsid w:val="006742AD"/>
    <w:rsid w:val="00675A05"/>
    <w:rsid w:val="006764C1"/>
    <w:rsid w:val="00680697"/>
    <w:rsid w:val="0068141C"/>
    <w:rsid w:val="00681EF2"/>
    <w:rsid w:val="006863BA"/>
    <w:rsid w:val="00686673"/>
    <w:rsid w:val="00686AF9"/>
    <w:rsid w:val="006872D3"/>
    <w:rsid w:val="00687C97"/>
    <w:rsid w:val="00690BDC"/>
    <w:rsid w:val="006914CD"/>
    <w:rsid w:val="006A0133"/>
    <w:rsid w:val="006A120A"/>
    <w:rsid w:val="006A236F"/>
    <w:rsid w:val="006A23C7"/>
    <w:rsid w:val="006A302C"/>
    <w:rsid w:val="006A452D"/>
    <w:rsid w:val="006B0A60"/>
    <w:rsid w:val="006B16D5"/>
    <w:rsid w:val="006B1AAF"/>
    <w:rsid w:val="006B270C"/>
    <w:rsid w:val="006B29E9"/>
    <w:rsid w:val="006B5148"/>
    <w:rsid w:val="006B7EF8"/>
    <w:rsid w:val="006C145B"/>
    <w:rsid w:val="006C21C6"/>
    <w:rsid w:val="006D0372"/>
    <w:rsid w:val="006D4003"/>
    <w:rsid w:val="006D5D03"/>
    <w:rsid w:val="006D67FD"/>
    <w:rsid w:val="006E1B88"/>
    <w:rsid w:val="007000CF"/>
    <w:rsid w:val="0070052E"/>
    <w:rsid w:val="0070205E"/>
    <w:rsid w:val="0070398F"/>
    <w:rsid w:val="00705328"/>
    <w:rsid w:val="0071112F"/>
    <w:rsid w:val="00711BB2"/>
    <w:rsid w:val="00713AE8"/>
    <w:rsid w:val="00717480"/>
    <w:rsid w:val="00717C84"/>
    <w:rsid w:val="00720863"/>
    <w:rsid w:val="007259B7"/>
    <w:rsid w:val="00727186"/>
    <w:rsid w:val="007274A2"/>
    <w:rsid w:val="00730D31"/>
    <w:rsid w:val="007311B8"/>
    <w:rsid w:val="0073278A"/>
    <w:rsid w:val="00732BE0"/>
    <w:rsid w:val="00732FAB"/>
    <w:rsid w:val="00737CB2"/>
    <w:rsid w:val="0074018F"/>
    <w:rsid w:val="007409D1"/>
    <w:rsid w:val="0074139E"/>
    <w:rsid w:val="00742BC6"/>
    <w:rsid w:val="00750695"/>
    <w:rsid w:val="007559E2"/>
    <w:rsid w:val="0077452C"/>
    <w:rsid w:val="00774851"/>
    <w:rsid w:val="00776EF3"/>
    <w:rsid w:val="00776F41"/>
    <w:rsid w:val="00783878"/>
    <w:rsid w:val="007838CE"/>
    <w:rsid w:val="00785C86"/>
    <w:rsid w:val="007865D0"/>
    <w:rsid w:val="00791789"/>
    <w:rsid w:val="0079315D"/>
    <w:rsid w:val="00795BDD"/>
    <w:rsid w:val="007A0652"/>
    <w:rsid w:val="007A140C"/>
    <w:rsid w:val="007A33AB"/>
    <w:rsid w:val="007A69BB"/>
    <w:rsid w:val="007B2C1A"/>
    <w:rsid w:val="007B4D15"/>
    <w:rsid w:val="007B663D"/>
    <w:rsid w:val="007B7D76"/>
    <w:rsid w:val="007C29FA"/>
    <w:rsid w:val="007C347E"/>
    <w:rsid w:val="007C7149"/>
    <w:rsid w:val="007D023C"/>
    <w:rsid w:val="007D32F7"/>
    <w:rsid w:val="007D57F5"/>
    <w:rsid w:val="007D5A45"/>
    <w:rsid w:val="007D6604"/>
    <w:rsid w:val="007D6E1F"/>
    <w:rsid w:val="007E013E"/>
    <w:rsid w:val="007F5146"/>
    <w:rsid w:val="008007C7"/>
    <w:rsid w:val="00800AFC"/>
    <w:rsid w:val="0080732D"/>
    <w:rsid w:val="008120B9"/>
    <w:rsid w:val="00815881"/>
    <w:rsid w:val="00821058"/>
    <w:rsid w:val="008219D1"/>
    <w:rsid w:val="00821BEE"/>
    <w:rsid w:val="0082573E"/>
    <w:rsid w:val="00831B4C"/>
    <w:rsid w:val="00840E47"/>
    <w:rsid w:val="00841B58"/>
    <w:rsid w:val="00842D28"/>
    <w:rsid w:val="0084572E"/>
    <w:rsid w:val="008578AB"/>
    <w:rsid w:val="008578C7"/>
    <w:rsid w:val="00862271"/>
    <w:rsid w:val="008742CD"/>
    <w:rsid w:val="008773C2"/>
    <w:rsid w:val="00880BC4"/>
    <w:rsid w:val="00880BCD"/>
    <w:rsid w:val="008848B8"/>
    <w:rsid w:val="0088534E"/>
    <w:rsid w:val="00891ED2"/>
    <w:rsid w:val="008936C4"/>
    <w:rsid w:val="00894867"/>
    <w:rsid w:val="00895721"/>
    <w:rsid w:val="00895D40"/>
    <w:rsid w:val="00896600"/>
    <w:rsid w:val="00897DF9"/>
    <w:rsid w:val="008A3C47"/>
    <w:rsid w:val="008A3E05"/>
    <w:rsid w:val="008A4E0B"/>
    <w:rsid w:val="008A6770"/>
    <w:rsid w:val="008B093E"/>
    <w:rsid w:val="008B5370"/>
    <w:rsid w:val="008C07E6"/>
    <w:rsid w:val="008C0AD5"/>
    <w:rsid w:val="008C6C19"/>
    <w:rsid w:val="008C6E90"/>
    <w:rsid w:val="008D0714"/>
    <w:rsid w:val="008D170A"/>
    <w:rsid w:val="008D25EC"/>
    <w:rsid w:val="008D4038"/>
    <w:rsid w:val="008D5F0B"/>
    <w:rsid w:val="008E50C5"/>
    <w:rsid w:val="008F0BD0"/>
    <w:rsid w:val="008F7558"/>
    <w:rsid w:val="008F7807"/>
    <w:rsid w:val="00900DE0"/>
    <w:rsid w:val="00901317"/>
    <w:rsid w:val="00902557"/>
    <w:rsid w:val="00904A00"/>
    <w:rsid w:val="009115EC"/>
    <w:rsid w:val="00912FB4"/>
    <w:rsid w:val="009202F8"/>
    <w:rsid w:val="009243BE"/>
    <w:rsid w:val="00925D57"/>
    <w:rsid w:val="00932C4B"/>
    <w:rsid w:val="00943733"/>
    <w:rsid w:val="00951B92"/>
    <w:rsid w:val="00953422"/>
    <w:rsid w:val="0095454C"/>
    <w:rsid w:val="0096118F"/>
    <w:rsid w:val="00970D57"/>
    <w:rsid w:val="0097542B"/>
    <w:rsid w:val="009775B1"/>
    <w:rsid w:val="00982F2D"/>
    <w:rsid w:val="00986544"/>
    <w:rsid w:val="00992E91"/>
    <w:rsid w:val="00997F5B"/>
    <w:rsid w:val="009A15D8"/>
    <w:rsid w:val="009A4483"/>
    <w:rsid w:val="009B0459"/>
    <w:rsid w:val="009B05F1"/>
    <w:rsid w:val="009B09A7"/>
    <w:rsid w:val="009B538E"/>
    <w:rsid w:val="009B55A3"/>
    <w:rsid w:val="009B66CF"/>
    <w:rsid w:val="009B6DB9"/>
    <w:rsid w:val="009B6F33"/>
    <w:rsid w:val="009C0BA3"/>
    <w:rsid w:val="009C1E32"/>
    <w:rsid w:val="009C50F6"/>
    <w:rsid w:val="009C5279"/>
    <w:rsid w:val="009C59C6"/>
    <w:rsid w:val="009C784B"/>
    <w:rsid w:val="009C7CEA"/>
    <w:rsid w:val="009D1D42"/>
    <w:rsid w:val="009D3B39"/>
    <w:rsid w:val="009D5EA9"/>
    <w:rsid w:val="009D670E"/>
    <w:rsid w:val="009D73EA"/>
    <w:rsid w:val="009E0482"/>
    <w:rsid w:val="009E52E5"/>
    <w:rsid w:val="009E74EE"/>
    <w:rsid w:val="009F15EE"/>
    <w:rsid w:val="009F2F11"/>
    <w:rsid w:val="009F3B4F"/>
    <w:rsid w:val="009F4B33"/>
    <w:rsid w:val="009F56BD"/>
    <w:rsid w:val="009F5A66"/>
    <w:rsid w:val="00A0085B"/>
    <w:rsid w:val="00A00AA9"/>
    <w:rsid w:val="00A01456"/>
    <w:rsid w:val="00A0500B"/>
    <w:rsid w:val="00A155C7"/>
    <w:rsid w:val="00A1596D"/>
    <w:rsid w:val="00A15F6F"/>
    <w:rsid w:val="00A20A1D"/>
    <w:rsid w:val="00A2139B"/>
    <w:rsid w:val="00A235D1"/>
    <w:rsid w:val="00A2389D"/>
    <w:rsid w:val="00A252EF"/>
    <w:rsid w:val="00A36108"/>
    <w:rsid w:val="00A3696E"/>
    <w:rsid w:val="00A42763"/>
    <w:rsid w:val="00A442E4"/>
    <w:rsid w:val="00A47D89"/>
    <w:rsid w:val="00A5149B"/>
    <w:rsid w:val="00A561D3"/>
    <w:rsid w:val="00A5714D"/>
    <w:rsid w:val="00A57AB0"/>
    <w:rsid w:val="00A57AB4"/>
    <w:rsid w:val="00A62FE1"/>
    <w:rsid w:val="00A671FD"/>
    <w:rsid w:val="00A70185"/>
    <w:rsid w:val="00A704EE"/>
    <w:rsid w:val="00A7107F"/>
    <w:rsid w:val="00A7176D"/>
    <w:rsid w:val="00A73436"/>
    <w:rsid w:val="00A766DC"/>
    <w:rsid w:val="00A7694F"/>
    <w:rsid w:val="00A856F4"/>
    <w:rsid w:val="00A85D2C"/>
    <w:rsid w:val="00A85F52"/>
    <w:rsid w:val="00A874E9"/>
    <w:rsid w:val="00A93B0E"/>
    <w:rsid w:val="00A95627"/>
    <w:rsid w:val="00A9719A"/>
    <w:rsid w:val="00A97A8C"/>
    <w:rsid w:val="00AA0978"/>
    <w:rsid w:val="00AA0DCA"/>
    <w:rsid w:val="00AA2596"/>
    <w:rsid w:val="00AA4665"/>
    <w:rsid w:val="00AA67C3"/>
    <w:rsid w:val="00AA6965"/>
    <w:rsid w:val="00AB193A"/>
    <w:rsid w:val="00AB5272"/>
    <w:rsid w:val="00AB640B"/>
    <w:rsid w:val="00AC2744"/>
    <w:rsid w:val="00AC524D"/>
    <w:rsid w:val="00AC595C"/>
    <w:rsid w:val="00AC7541"/>
    <w:rsid w:val="00AD0778"/>
    <w:rsid w:val="00AD0CAD"/>
    <w:rsid w:val="00AD3407"/>
    <w:rsid w:val="00AD45A1"/>
    <w:rsid w:val="00AD4B76"/>
    <w:rsid w:val="00AD5644"/>
    <w:rsid w:val="00AE7C1E"/>
    <w:rsid w:val="00AF0624"/>
    <w:rsid w:val="00AF14DD"/>
    <w:rsid w:val="00AF2B60"/>
    <w:rsid w:val="00AF576A"/>
    <w:rsid w:val="00AF6ABA"/>
    <w:rsid w:val="00B0185B"/>
    <w:rsid w:val="00B01C64"/>
    <w:rsid w:val="00B02008"/>
    <w:rsid w:val="00B02A85"/>
    <w:rsid w:val="00B172C0"/>
    <w:rsid w:val="00B24EFA"/>
    <w:rsid w:val="00B2521A"/>
    <w:rsid w:val="00B30B9D"/>
    <w:rsid w:val="00B31223"/>
    <w:rsid w:val="00B312D4"/>
    <w:rsid w:val="00B32B2C"/>
    <w:rsid w:val="00B32D25"/>
    <w:rsid w:val="00B3406C"/>
    <w:rsid w:val="00B34819"/>
    <w:rsid w:val="00B355CB"/>
    <w:rsid w:val="00B40E7E"/>
    <w:rsid w:val="00B43EB8"/>
    <w:rsid w:val="00B442C0"/>
    <w:rsid w:val="00B45F48"/>
    <w:rsid w:val="00B46310"/>
    <w:rsid w:val="00B476E0"/>
    <w:rsid w:val="00B47B71"/>
    <w:rsid w:val="00B52B76"/>
    <w:rsid w:val="00B53B09"/>
    <w:rsid w:val="00B56CDE"/>
    <w:rsid w:val="00B5758C"/>
    <w:rsid w:val="00B57B95"/>
    <w:rsid w:val="00B632CE"/>
    <w:rsid w:val="00B66AA7"/>
    <w:rsid w:val="00B70C58"/>
    <w:rsid w:val="00B70F78"/>
    <w:rsid w:val="00B7262D"/>
    <w:rsid w:val="00B76B6E"/>
    <w:rsid w:val="00B77247"/>
    <w:rsid w:val="00B81A24"/>
    <w:rsid w:val="00B8365C"/>
    <w:rsid w:val="00B83678"/>
    <w:rsid w:val="00B83AAC"/>
    <w:rsid w:val="00B869EC"/>
    <w:rsid w:val="00B9136E"/>
    <w:rsid w:val="00BA2999"/>
    <w:rsid w:val="00BA4892"/>
    <w:rsid w:val="00BB05BA"/>
    <w:rsid w:val="00BB3D29"/>
    <w:rsid w:val="00BB3FF4"/>
    <w:rsid w:val="00BB4CC3"/>
    <w:rsid w:val="00BC134E"/>
    <w:rsid w:val="00BC30E1"/>
    <w:rsid w:val="00BC61BF"/>
    <w:rsid w:val="00BD08A7"/>
    <w:rsid w:val="00BD2E19"/>
    <w:rsid w:val="00BD4152"/>
    <w:rsid w:val="00BD5039"/>
    <w:rsid w:val="00BD6448"/>
    <w:rsid w:val="00BD7686"/>
    <w:rsid w:val="00BE148A"/>
    <w:rsid w:val="00BE1A36"/>
    <w:rsid w:val="00BE5FC8"/>
    <w:rsid w:val="00BF13C3"/>
    <w:rsid w:val="00BF290C"/>
    <w:rsid w:val="00BF6434"/>
    <w:rsid w:val="00BF71DE"/>
    <w:rsid w:val="00BF7B76"/>
    <w:rsid w:val="00BF7B7A"/>
    <w:rsid w:val="00C01062"/>
    <w:rsid w:val="00C05D3D"/>
    <w:rsid w:val="00C10850"/>
    <w:rsid w:val="00C10C14"/>
    <w:rsid w:val="00C1180B"/>
    <w:rsid w:val="00C12555"/>
    <w:rsid w:val="00C14276"/>
    <w:rsid w:val="00C1455C"/>
    <w:rsid w:val="00C155F7"/>
    <w:rsid w:val="00C158A3"/>
    <w:rsid w:val="00C16D01"/>
    <w:rsid w:val="00C20DFF"/>
    <w:rsid w:val="00C2268E"/>
    <w:rsid w:val="00C2351F"/>
    <w:rsid w:val="00C24402"/>
    <w:rsid w:val="00C255CB"/>
    <w:rsid w:val="00C25774"/>
    <w:rsid w:val="00C25DCE"/>
    <w:rsid w:val="00C3197D"/>
    <w:rsid w:val="00C319CD"/>
    <w:rsid w:val="00C32247"/>
    <w:rsid w:val="00C353FE"/>
    <w:rsid w:val="00C35523"/>
    <w:rsid w:val="00C35E30"/>
    <w:rsid w:val="00C36C9C"/>
    <w:rsid w:val="00C37A8C"/>
    <w:rsid w:val="00C37C63"/>
    <w:rsid w:val="00C40E0B"/>
    <w:rsid w:val="00C44274"/>
    <w:rsid w:val="00C4643F"/>
    <w:rsid w:val="00C50645"/>
    <w:rsid w:val="00C52D55"/>
    <w:rsid w:val="00C53D45"/>
    <w:rsid w:val="00C53D74"/>
    <w:rsid w:val="00C57A0F"/>
    <w:rsid w:val="00C57ABF"/>
    <w:rsid w:val="00C61BC7"/>
    <w:rsid w:val="00C6546F"/>
    <w:rsid w:val="00C67EFF"/>
    <w:rsid w:val="00C71E76"/>
    <w:rsid w:val="00C71FED"/>
    <w:rsid w:val="00C72921"/>
    <w:rsid w:val="00C739D2"/>
    <w:rsid w:val="00C75D56"/>
    <w:rsid w:val="00C809E4"/>
    <w:rsid w:val="00C80D6C"/>
    <w:rsid w:val="00C82604"/>
    <w:rsid w:val="00C82CD1"/>
    <w:rsid w:val="00C8618F"/>
    <w:rsid w:val="00C869D7"/>
    <w:rsid w:val="00C90A1B"/>
    <w:rsid w:val="00C92C12"/>
    <w:rsid w:val="00C95E32"/>
    <w:rsid w:val="00C961A7"/>
    <w:rsid w:val="00C97121"/>
    <w:rsid w:val="00C97977"/>
    <w:rsid w:val="00CA19D2"/>
    <w:rsid w:val="00CA1E36"/>
    <w:rsid w:val="00CA4946"/>
    <w:rsid w:val="00CB6FF2"/>
    <w:rsid w:val="00CB7BD3"/>
    <w:rsid w:val="00CC0CE1"/>
    <w:rsid w:val="00CC5D75"/>
    <w:rsid w:val="00CD0BAD"/>
    <w:rsid w:val="00CD18EF"/>
    <w:rsid w:val="00CD2297"/>
    <w:rsid w:val="00CD2405"/>
    <w:rsid w:val="00CE07DB"/>
    <w:rsid w:val="00CE125F"/>
    <w:rsid w:val="00CE45E2"/>
    <w:rsid w:val="00CE6C7D"/>
    <w:rsid w:val="00CE6E46"/>
    <w:rsid w:val="00CF00BC"/>
    <w:rsid w:val="00CF2439"/>
    <w:rsid w:val="00CF44F1"/>
    <w:rsid w:val="00D04317"/>
    <w:rsid w:val="00D0510D"/>
    <w:rsid w:val="00D06682"/>
    <w:rsid w:val="00D066EA"/>
    <w:rsid w:val="00D10569"/>
    <w:rsid w:val="00D12094"/>
    <w:rsid w:val="00D122AF"/>
    <w:rsid w:val="00D13BF1"/>
    <w:rsid w:val="00D211C9"/>
    <w:rsid w:val="00D21B26"/>
    <w:rsid w:val="00D2326C"/>
    <w:rsid w:val="00D27997"/>
    <w:rsid w:val="00D308C5"/>
    <w:rsid w:val="00D310E8"/>
    <w:rsid w:val="00D31B79"/>
    <w:rsid w:val="00D31DE5"/>
    <w:rsid w:val="00D33732"/>
    <w:rsid w:val="00D3536B"/>
    <w:rsid w:val="00D35BC6"/>
    <w:rsid w:val="00D37C0D"/>
    <w:rsid w:val="00D410F2"/>
    <w:rsid w:val="00D412D5"/>
    <w:rsid w:val="00D42277"/>
    <w:rsid w:val="00D425AF"/>
    <w:rsid w:val="00D45C2E"/>
    <w:rsid w:val="00D47D91"/>
    <w:rsid w:val="00D50236"/>
    <w:rsid w:val="00D52C11"/>
    <w:rsid w:val="00D55DA9"/>
    <w:rsid w:val="00D609A0"/>
    <w:rsid w:val="00D62B9F"/>
    <w:rsid w:val="00D62D2A"/>
    <w:rsid w:val="00D63B36"/>
    <w:rsid w:val="00D66C1F"/>
    <w:rsid w:val="00D67DE4"/>
    <w:rsid w:val="00D71D42"/>
    <w:rsid w:val="00D7333C"/>
    <w:rsid w:val="00D74FD8"/>
    <w:rsid w:val="00D758EB"/>
    <w:rsid w:val="00D7616B"/>
    <w:rsid w:val="00D7627C"/>
    <w:rsid w:val="00D76B58"/>
    <w:rsid w:val="00D7701D"/>
    <w:rsid w:val="00D805D1"/>
    <w:rsid w:val="00D869AD"/>
    <w:rsid w:val="00D905A7"/>
    <w:rsid w:val="00D90B40"/>
    <w:rsid w:val="00D91D36"/>
    <w:rsid w:val="00DA19D0"/>
    <w:rsid w:val="00DA1B97"/>
    <w:rsid w:val="00DA3767"/>
    <w:rsid w:val="00DA3850"/>
    <w:rsid w:val="00DA3C3A"/>
    <w:rsid w:val="00DA4011"/>
    <w:rsid w:val="00DA5964"/>
    <w:rsid w:val="00DA6C12"/>
    <w:rsid w:val="00DB0F70"/>
    <w:rsid w:val="00DC6A7C"/>
    <w:rsid w:val="00DE2AE7"/>
    <w:rsid w:val="00DE3FF8"/>
    <w:rsid w:val="00DE4305"/>
    <w:rsid w:val="00DE7B7B"/>
    <w:rsid w:val="00DF4CAB"/>
    <w:rsid w:val="00DF66F4"/>
    <w:rsid w:val="00E0308C"/>
    <w:rsid w:val="00E040A5"/>
    <w:rsid w:val="00E130AB"/>
    <w:rsid w:val="00E14C18"/>
    <w:rsid w:val="00E173A5"/>
    <w:rsid w:val="00E21CD7"/>
    <w:rsid w:val="00E22CED"/>
    <w:rsid w:val="00E25B63"/>
    <w:rsid w:val="00E26E8C"/>
    <w:rsid w:val="00E309A7"/>
    <w:rsid w:val="00E33FA7"/>
    <w:rsid w:val="00E34C47"/>
    <w:rsid w:val="00E37DAD"/>
    <w:rsid w:val="00E42810"/>
    <w:rsid w:val="00E438D9"/>
    <w:rsid w:val="00E44815"/>
    <w:rsid w:val="00E46EEA"/>
    <w:rsid w:val="00E4742D"/>
    <w:rsid w:val="00E51D80"/>
    <w:rsid w:val="00E57F18"/>
    <w:rsid w:val="00E603AE"/>
    <w:rsid w:val="00E6155E"/>
    <w:rsid w:val="00E62F12"/>
    <w:rsid w:val="00E73088"/>
    <w:rsid w:val="00E74C73"/>
    <w:rsid w:val="00E77EC8"/>
    <w:rsid w:val="00E8015C"/>
    <w:rsid w:val="00E82659"/>
    <w:rsid w:val="00E8479D"/>
    <w:rsid w:val="00E84E7F"/>
    <w:rsid w:val="00E870E9"/>
    <w:rsid w:val="00E87B32"/>
    <w:rsid w:val="00E93742"/>
    <w:rsid w:val="00E93849"/>
    <w:rsid w:val="00E9635B"/>
    <w:rsid w:val="00E965A9"/>
    <w:rsid w:val="00EA0BC7"/>
    <w:rsid w:val="00EA1719"/>
    <w:rsid w:val="00EA1BB6"/>
    <w:rsid w:val="00EA1ED6"/>
    <w:rsid w:val="00EA2488"/>
    <w:rsid w:val="00EB0ED2"/>
    <w:rsid w:val="00EC269F"/>
    <w:rsid w:val="00EC3CFA"/>
    <w:rsid w:val="00EC4F32"/>
    <w:rsid w:val="00EC4F41"/>
    <w:rsid w:val="00EC563B"/>
    <w:rsid w:val="00EC664C"/>
    <w:rsid w:val="00ED34C3"/>
    <w:rsid w:val="00ED3865"/>
    <w:rsid w:val="00ED61E6"/>
    <w:rsid w:val="00EE0F38"/>
    <w:rsid w:val="00EE23A0"/>
    <w:rsid w:val="00EE435F"/>
    <w:rsid w:val="00EE5A91"/>
    <w:rsid w:val="00EF06DB"/>
    <w:rsid w:val="00EF32DC"/>
    <w:rsid w:val="00EF3C16"/>
    <w:rsid w:val="00EF3D1E"/>
    <w:rsid w:val="00EF4C66"/>
    <w:rsid w:val="00EF4E45"/>
    <w:rsid w:val="00EF5079"/>
    <w:rsid w:val="00EF6C19"/>
    <w:rsid w:val="00F067DD"/>
    <w:rsid w:val="00F11B73"/>
    <w:rsid w:val="00F15A5C"/>
    <w:rsid w:val="00F1663B"/>
    <w:rsid w:val="00F17FD2"/>
    <w:rsid w:val="00F21E9F"/>
    <w:rsid w:val="00F2335E"/>
    <w:rsid w:val="00F2386E"/>
    <w:rsid w:val="00F359E3"/>
    <w:rsid w:val="00F3771A"/>
    <w:rsid w:val="00F40B41"/>
    <w:rsid w:val="00F41FAC"/>
    <w:rsid w:val="00F43780"/>
    <w:rsid w:val="00F439D3"/>
    <w:rsid w:val="00F46671"/>
    <w:rsid w:val="00F46675"/>
    <w:rsid w:val="00F53437"/>
    <w:rsid w:val="00F62ABE"/>
    <w:rsid w:val="00F65554"/>
    <w:rsid w:val="00F65880"/>
    <w:rsid w:val="00F66A14"/>
    <w:rsid w:val="00F70078"/>
    <w:rsid w:val="00F73041"/>
    <w:rsid w:val="00F732FE"/>
    <w:rsid w:val="00F75F3E"/>
    <w:rsid w:val="00F812D3"/>
    <w:rsid w:val="00F8559D"/>
    <w:rsid w:val="00F865CC"/>
    <w:rsid w:val="00F90BE6"/>
    <w:rsid w:val="00F91911"/>
    <w:rsid w:val="00F92150"/>
    <w:rsid w:val="00F95E7F"/>
    <w:rsid w:val="00F964CC"/>
    <w:rsid w:val="00FA16FA"/>
    <w:rsid w:val="00FA302A"/>
    <w:rsid w:val="00FA3454"/>
    <w:rsid w:val="00FA6439"/>
    <w:rsid w:val="00FB041F"/>
    <w:rsid w:val="00FB0BCE"/>
    <w:rsid w:val="00FB2072"/>
    <w:rsid w:val="00FB2EC3"/>
    <w:rsid w:val="00FC0A0C"/>
    <w:rsid w:val="00FC2B2B"/>
    <w:rsid w:val="00FC314B"/>
    <w:rsid w:val="00FC48CF"/>
    <w:rsid w:val="00FC55C1"/>
    <w:rsid w:val="00FC64B9"/>
    <w:rsid w:val="00FD054C"/>
    <w:rsid w:val="00FD23BD"/>
    <w:rsid w:val="00FD3768"/>
    <w:rsid w:val="00FD4AB0"/>
    <w:rsid w:val="00FD5BAB"/>
    <w:rsid w:val="00FE0959"/>
    <w:rsid w:val="00FE4035"/>
    <w:rsid w:val="00FE5511"/>
    <w:rsid w:val="00FE699B"/>
    <w:rsid w:val="00FF0C1D"/>
    <w:rsid w:val="00FF11A4"/>
    <w:rsid w:val="00FF15D5"/>
    <w:rsid w:val="00FF5733"/>
    <w:rsid w:val="00FF64DC"/>
    <w:rsid w:val="00FF658C"/>
    <w:rsid w:val="00FF6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1EC13"/>
  <w15:docId w15:val="{FC23861E-E620-4E61-9C6C-BD182CE2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829"/>
    <w:rPr>
      <w:rFonts w:ascii="Arial" w:hAnsi="Arial" w:cs="Arial"/>
      <w:sz w:val="22"/>
      <w:szCs w:val="22"/>
    </w:rPr>
  </w:style>
  <w:style w:type="paragraph" w:styleId="Heading1">
    <w:name w:val="heading 1"/>
    <w:basedOn w:val="Normal"/>
    <w:next w:val="Normal"/>
    <w:link w:val="Heading1Char"/>
    <w:uiPriority w:val="99"/>
    <w:qFormat/>
    <w:rsid w:val="002B5829"/>
    <w:pPr>
      <w:keepNext/>
      <w:numPr>
        <w:numId w:val="3"/>
      </w:numPr>
      <w:spacing w:before="240" w:after="480"/>
      <w:outlineLvl w:val="0"/>
    </w:pPr>
    <w:rPr>
      <w:b/>
      <w:bCs/>
      <w:kern w:val="32"/>
      <w:sz w:val="32"/>
      <w:szCs w:val="32"/>
    </w:rPr>
  </w:style>
  <w:style w:type="paragraph" w:styleId="Heading2">
    <w:name w:val="heading 2"/>
    <w:basedOn w:val="Normal"/>
    <w:next w:val="Normal"/>
    <w:link w:val="Heading2Char"/>
    <w:uiPriority w:val="99"/>
    <w:qFormat/>
    <w:rsid w:val="002B5829"/>
    <w:pPr>
      <w:keepNext/>
      <w:numPr>
        <w:ilvl w:val="1"/>
        <w:numId w:val="3"/>
      </w:numPr>
      <w:spacing w:before="480" w:after="120"/>
      <w:outlineLvl w:val="1"/>
    </w:pPr>
    <w:rPr>
      <w:b/>
      <w:bCs/>
      <w:iCs/>
      <w:sz w:val="28"/>
      <w:szCs w:val="28"/>
    </w:rPr>
  </w:style>
  <w:style w:type="paragraph" w:styleId="Heading3">
    <w:name w:val="heading 3"/>
    <w:basedOn w:val="Normal"/>
    <w:next w:val="Normal"/>
    <w:link w:val="Heading3Char"/>
    <w:uiPriority w:val="99"/>
    <w:qFormat/>
    <w:rsid w:val="002B5829"/>
    <w:pPr>
      <w:keepNext/>
      <w:numPr>
        <w:ilvl w:val="2"/>
        <w:numId w:val="3"/>
      </w:numPr>
      <w:spacing w:before="360" w:after="120"/>
      <w:outlineLvl w:val="2"/>
    </w:pPr>
    <w:rPr>
      <w:b/>
      <w:bCs/>
      <w:sz w:val="26"/>
      <w:szCs w:val="26"/>
    </w:rPr>
  </w:style>
  <w:style w:type="paragraph" w:styleId="Heading4">
    <w:name w:val="heading 4"/>
    <w:basedOn w:val="Normal"/>
    <w:next w:val="Normal"/>
    <w:link w:val="Heading4Char"/>
    <w:uiPriority w:val="99"/>
    <w:qFormat/>
    <w:rsid w:val="002B5829"/>
    <w:pPr>
      <w:keepNext/>
      <w:numPr>
        <w:ilvl w:val="3"/>
        <w:numId w:val="3"/>
      </w:numPr>
      <w:spacing w:before="240" w:after="60"/>
      <w:outlineLvl w:val="3"/>
    </w:pPr>
    <w:rPr>
      <w:b/>
      <w:bCs/>
      <w:szCs w:val="28"/>
    </w:rPr>
  </w:style>
  <w:style w:type="paragraph" w:styleId="Heading5">
    <w:name w:val="heading 5"/>
    <w:basedOn w:val="Normal"/>
    <w:next w:val="Normal"/>
    <w:link w:val="Heading5Char"/>
    <w:uiPriority w:val="99"/>
    <w:qFormat/>
    <w:rsid w:val="002B5829"/>
    <w:pPr>
      <w:numPr>
        <w:ilvl w:val="4"/>
        <w:numId w:val="3"/>
      </w:numPr>
      <w:spacing w:before="240" w:after="60"/>
      <w:outlineLvl w:val="4"/>
    </w:pPr>
    <w:rPr>
      <w:b/>
      <w:bCs/>
      <w:i/>
      <w:iCs/>
      <w:sz w:val="26"/>
      <w:szCs w:val="26"/>
    </w:rPr>
  </w:style>
  <w:style w:type="paragraph" w:styleId="Heading6">
    <w:name w:val="heading 6"/>
    <w:basedOn w:val="Normal"/>
    <w:next w:val="Normal"/>
    <w:link w:val="Heading6Char"/>
    <w:uiPriority w:val="99"/>
    <w:qFormat/>
    <w:rsid w:val="002B5829"/>
    <w:pPr>
      <w:numPr>
        <w:ilvl w:val="5"/>
        <w:numId w:val="3"/>
      </w:numPr>
      <w:spacing w:before="240" w:after="60"/>
      <w:outlineLvl w:val="5"/>
    </w:pPr>
    <w:rPr>
      <w:b/>
      <w:bCs/>
    </w:rPr>
  </w:style>
  <w:style w:type="paragraph" w:styleId="Heading7">
    <w:name w:val="heading 7"/>
    <w:basedOn w:val="Normal"/>
    <w:next w:val="Normal"/>
    <w:link w:val="Heading7Char"/>
    <w:uiPriority w:val="99"/>
    <w:qFormat/>
    <w:rsid w:val="002B5829"/>
    <w:pPr>
      <w:numPr>
        <w:ilvl w:val="6"/>
        <w:numId w:val="3"/>
      </w:numPr>
      <w:spacing w:before="240" w:after="60"/>
      <w:outlineLvl w:val="6"/>
    </w:pPr>
  </w:style>
  <w:style w:type="paragraph" w:styleId="Heading8">
    <w:name w:val="heading 8"/>
    <w:basedOn w:val="Normal"/>
    <w:next w:val="Normal"/>
    <w:link w:val="Heading8Char"/>
    <w:uiPriority w:val="99"/>
    <w:qFormat/>
    <w:rsid w:val="002B5829"/>
    <w:pPr>
      <w:numPr>
        <w:ilvl w:val="7"/>
        <w:numId w:val="3"/>
      </w:numPr>
      <w:spacing w:before="240" w:after="60"/>
      <w:outlineLvl w:val="7"/>
    </w:pPr>
    <w:rPr>
      <w:i/>
      <w:iCs/>
    </w:rPr>
  </w:style>
  <w:style w:type="paragraph" w:styleId="Heading9">
    <w:name w:val="heading 9"/>
    <w:basedOn w:val="Normal"/>
    <w:next w:val="Normal"/>
    <w:link w:val="Heading9Char"/>
    <w:uiPriority w:val="99"/>
    <w:qFormat/>
    <w:rsid w:val="002B5829"/>
    <w:pPr>
      <w:numPr>
        <w:ilvl w:val="8"/>
        <w:numId w:val="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44A50"/>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2B5829"/>
    <w:rPr>
      <w:rFonts w:ascii="Arial" w:hAnsi="Arial" w:cs="Arial"/>
      <w:b/>
      <w:bCs/>
      <w:iCs/>
      <w:sz w:val="28"/>
      <w:szCs w:val="28"/>
      <w:lang w:val="en-GB" w:eastAsia="en-GB" w:bidi="ar-SA"/>
    </w:rPr>
  </w:style>
  <w:style w:type="character" w:customStyle="1" w:styleId="Heading3Char">
    <w:name w:val="Heading 3 Char"/>
    <w:link w:val="Heading3"/>
    <w:uiPriority w:val="9"/>
    <w:semiHidden/>
    <w:rsid w:val="00244A50"/>
    <w:rPr>
      <w:rFonts w:ascii="Cambria" w:eastAsia="Times New Roman" w:hAnsi="Cambria" w:cs="Times New Roman"/>
      <w:b/>
      <w:bCs/>
      <w:sz w:val="26"/>
      <w:szCs w:val="26"/>
    </w:rPr>
  </w:style>
  <w:style w:type="character" w:customStyle="1" w:styleId="Heading4Char">
    <w:name w:val="Heading 4 Char"/>
    <w:link w:val="Heading4"/>
    <w:uiPriority w:val="9"/>
    <w:semiHidden/>
    <w:rsid w:val="00244A50"/>
    <w:rPr>
      <w:rFonts w:ascii="Calibri" w:eastAsia="Times New Roman" w:hAnsi="Calibri" w:cs="Times New Roman"/>
      <w:b/>
      <w:bCs/>
      <w:sz w:val="28"/>
      <w:szCs w:val="28"/>
    </w:rPr>
  </w:style>
  <w:style w:type="character" w:customStyle="1" w:styleId="Heading5Char">
    <w:name w:val="Heading 5 Char"/>
    <w:link w:val="Heading5"/>
    <w:uiPriority w:val="9"/>
    <w:semiHidden/>
    <w:rsid w:val="00244A50"/>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244A50"/>
    <w:rPr>
      <w:rFonts w:ascii="Calibri" w:eastAsia="Times New Roman" w:hAnsi="Calibri" w:cs="Times New Roman"/>
      <w:b/>
      <w:bCs/>
    </w:rPr>
  </w:style>
  <w:style w:type="character" w:customStyle="1" w:styleId="Heading7Char">
    <w:name w:val="Heading 7 Char"/>
    <w:link w:val="Heading7"/>
    <w:uiPriority w:val="9"/>
    <w:semiHidden/>
    <w:rsid w:val="00244A50"/>
    <w:rPr>
      <w:rFonts w:ascii="Calibri" w:eastAsia="Times New Roman" w:hAnsi="Calibri" w:cs="Times New Roman"/>
      <w:sz w:val="24"/>
      <w:szCs w:val="24"/>
    </w:rPr>
  </w:style>
  <w:style w:type="character" w:customStyle="1" w:styleId="Heading8Char">
    <w:name w:val="Heading 8 Char"/>
    <w:link w:val="Heading8"/>
    <w:uiPriority w:val="9"/>
    <w:semiHidden/>
    <w:rsid w:val="00244A50"/>
    <w:rPr>
      <w:rFonts w:ascii="Calibri" w:eastAsia="Times New Roman" w:hAnsi="Calibri" w:cs="Times New Roman"/>
      <w:i/>
      <w:iCs/>
      <w:sz w:val="24"/>
      <w:szCs w:val="24"/>
    </w:rPr>
  </w:style>
  <w:style w:type="character" w:customStyle="1" w:styleId="Heading9Char">
    <w:name w:val="Heading 9 Char"/>
    <w:link w:val="Heading9"/>
    <w:uiPriority w:val="9"/>
    <w:semiHidden/>
    <w:rsid w:val="00244A50"/>
    <w:rPr>
      <w:rFonts w:ascii="Cambria" w:eastAsia="Times New Roman" w:hAnsi="Cambria" w:cs="Times New Roman"/>
    </w:rPr>
  </w:style>
  <w:style w:type="paragraph" w:customStyle="1" w:styleId="Style2">
    <w:name w:val="Style2"/>
    <w:basedOn w:val="Normal"/>
    <w:autoRedefine/>
    <w:uiPriority w:val="99"/>
    <w:rsid w:val="002B5829"/>
    <w:pPr>
      <w:numPr>
        <w:numId w:val="1"/>
      </w:numPr>
    </w:pPr>
    <w:rPr>
      <w:b/>
      <w:bCs/>
      <w:sz w:val="20"/>
      <w:szCs w:val="20"/>
    </w:rPr>
  </w:style>
  <w:style w:type="paragraph" w:customStyle="1" w:styleId="TOC1">
    <w:name w:val="TOC1"/>
    <w:basedOn w:val="TOC10"/>
    <w:autoRedefine/>
    <w:uiPriority w:val="99"/>
    <w:rsid w:val="002B5829"/>
    <w:rPr>
      <w:b w:val="0"/>
      <w:sz w:val="28"/>
      <w:szCs w:val="28"/>
      <w:lang w:val="en-US" w:eastAsia="en-US"/>
    </w:rPr>
  </w:style>
  <w:style w:type="paragraph" w:styleId="TOC10">
    <w:name w:val="toc 1"/>
    <w:basedOn w:val="Normal"/>
    <w:next w:val="Normal"/>
    <w:autoRedefine/>
    <w:uiPriority w:val="99"/>
    <w:semiHidden/>
    <w:rsid w:val="002B5829"/>
    <w:pPr>
      <w:tabs>
        <w:tab w:val="right" w:leader="dot" w:pos="8494"/>
      </w:tabs>
      <w:spacing w:line="360" w:lineRule="auto"/>
    </w:pPr>
    <w:rPr>
      <w:b/>
      <w:noProof/>
    </w:rPr>
  </w:style>
  <w:style w:type="paragraph" w:styleId="Header">
    <w:name w:val="header"/>
    <w:basedOn w:val="Normal"/>
    <w:link w:val="HeaderChar"/>
    <w:uiPriority w:val="99"/>
    <w:rsid w:val="002B5829"/>
    <w:pPr>
      <w:tabs>
        <w:tab w:val="center" w:pos="4153"/>
        <w:tab w:val="right" w:pos="8306"/>
      </w:tabs>
    </w:pPr>
  </w:style>
  <w:style w:type="character" w:customStyle="1" w:styleId="HeaderChar">
    <w:name w:val="Header Char"/>
    <w:link w:val="Header"/>
    <w:uiPriority w:val="99"/>
    <w:semiHidden/>
    <w:rsid w:val="00244A50"/>
    <w:rPr>
      <w:rFonts w:ascii="Arial" w:hAnsi="Arial" w:cs="Arial"/>
    </w:rPr>
  </w:style>
  <w:style w:type="paragraph" w:styleId="Footer">
    <w:name w:val="footer"/>
    <w:basedOn w:val="Normal"/>
    <w:link w:val="FooterChar"/>
    <w:uiPriority w:val="99"/>
    <w:rsid w:val="002B5829"/>
    <w:pPr>
      <w:tabs>
        <w:tab w:val="center" w:pos="4153"/>
        <w:tab w:val="right" w:pos="8306"/>
      </w:tabs>
    </w:pPr>
  </w:style>
  <w:style w:type="character" w:customStyle="1" w:styleId="FooterChar">
    <w:name w:val="Footer Char"/>
    <w:link w:val="Footer"/>
    <w:uiPriority w:val="99"/>
    <w:locked/>
    <w:rsid w:val="00003487"/>
    <w:rPr>
      <w:rFonts w:ascii="Arial" w:hAnsi="Arial" w:cs="Arial"/>
      <w:sz w:val="22"/>
      <w:szCs w:val="22"/>
    </w:rPr>
  </w:style>
  <w:style w:type="paragraph" w:customStyle="1" w:styleId="Referencetext">
    <w:name w:val="Reference text"/>
    <w:basedOn w:val="Normal"/>
    <w:uiPriority w:val="99"/>
    <w:rsid w:val="002B5829"/>
    <w:pPr>
      <w:overflowPunct w:val="0"/>
      <w:autoSpaceDE w:val="0"/>
      <w:autoSpaceDN w:val="0"/>
      <w:adjustRightInd w:val="0"/>
      <w:spacing w:line="220" w:lineRule="exact"/>
      <w:ind w:left="284" w:hanging="284"/>
      <w:jc w:val="both"/>
      <w:textAlignment w:val="baseline"/>
    </w:pPr>
    <w:rPr>
      <w:sz w:val="20"/>
      <w:szCs w:val="20"/>
      <w:lang w:eastAsia="en-US"/>
    </w:rPr>
  </w:style>
  <w:style w:type="character" w:styleId="PageNumber">
    <w:name w:val="page number"/>
    <w:uiPriority w:val="99"/>
    <w:rsid w:val="002B5829"/>
    <w:rPr>
      <w:rFonts w:cs="Times New Roman"/>
    </w:rPr>
  </w:style>
  <w:style w:type="paragraph" w:customStyle="1" w:styleId="BREbodytext">
    <w:name w:val="BRE body text"/>
    <w:basedOn w:val="Normal"/>
    <w:uiPriority w:val="99"/>
    <w:rsid w:val="002B5829"/>
    <w:pPr>
      <w:spacing w:after="180" w:line="260" w:lineRule="atLeast"/>
      <w:jc w:val="both"/>
    </w:pPr>
    <w:rPr>
      <w:sz w:val="20"/>
      <w:szCs w:val="20"/>
      <w:lang w:eastAsia="cs-CZ"/>
    </w:rPr>
  </w:style>
  <w:style w:type="paragraph" w:styleId="Caption">
    <w:name w:val="caption"/>
    <w:basedOn w:val="Normal"/>
    <w:next w:val="Normal"/>
    <w:uiPriority w:val="99"/>
    <w:qFormat/>
    <w:rsid w:val="002B5829"/>
    <w:rPr>
      <w:b/>
      <w:bCs/>
      <w:sz w:val="20"/>
      <w:szCs w:val="20"/>
    </w:rPr>
  </w:style>
  <w:style w:type="paragraph" w:customStyle="1" w:styleId="Firstparagraph">
    <w:name w:val="First paragraph"/>
    <w:basedOn w:val="Normal"/>
    <w:next w:val="Normal"/>
    <w:uiPriority w:val="99"/>
    <w:rsid w:val="002B5829"/>
    <w:pPr>
      <w:overflowPunct w:val="0"/>
      <w:autoSpaceDE w:val="0"/>
      <w:autoSpaceDN w:val="0"/>
      <w:adjustRightInd w:val="0"/>
      <w:spacing w:line="260" w:lineRule="exact"/>
      <w:jc w:val="both"/>
      <w:textAlignment w:val="baseline"/>
    </w:pPr>
    <w:rPr>
      <w:szCs w:val="20"/>
      <w:lang w:eastAsia="en-US"/>
    </w:rPr>
  </w:style>
  <w:style w:type="paragraph" w:customStyle="1" w:styleId="Figure">
    <w:name w:val="Figure"/>
    <w:basedOn w:val="Normal"/>
    <w:next w:val="Normal"/>
    <w:uiPriority w:val="99"/>
    <w:rsid w:val="002B5829"/>
    <w:pPr>
      <w:overflowPunct w:val="0"/>
      <w:autoSpaceDE w:val="0"/>
      <w:autoSpaceDN w:val="0"/>
      <w:adjustRightInd w:val="0"/>
      <w:jc w:val="both"/>
      <w:textAlignment w:val="baseline"/>
    </w:pPr>
    <w:rPr>
      <w:szCs w:val="20"/>
      <w:lang w:eastAsia="en-US"/>
    </w:rPr>
  </w:style>
  <w:style w:type="paragraph" w:customStyle="1" w:styleId="Tabletext">
    <w:name w:val="Table text"/>
    <w:basedOn w:val="Normal"/>
    <w:uiPriority w:val="99"/>
    <w:rsid w:val="002B5829"/>
    <w:pPr>
      <w:overflowPunct w:val="0"/>
      <w:autoSpaceDE w:val="0"/>
      <w:autoSpaceDN w:val="0"/>
      <w:adjustRightInd w:val="0"/>
      <w:spacing w:line="220" w:lineRule="exact"/>
      <w:textAlignment w:val="baseline"/>
    </w:pPr>
    <w:rPr>
      <w:sz w:val="20"/>
      <w:szCs w:val="20"/>
      <w:lang w:eastAsia="en-US"/>
    </w:rPr>
  </w:style>
  <w:style w:type="paragraph" w:customStyle="1" w:styleId="FigureCaption">
    <w:name w:val="FigureCaption"/>
    <w:basedOn w:val="Normal"/>
    <w:uiPriority w:val="99"/>
    <w:rsid w:val="002B5829"/>
    <w:pPr>
      <w:jc w:val="center"/>
    </w:pPr>
    <w:rPr>
      <w:sz w:val="20"/>
      <w:szCs w:val="32"/>
    </w:rPr>
  </w:style>
  <w:style w:type="paragraph" w:customStyle="1" w:styleId="Figurecaption0">
    <w:name w:val="Figure caption"/>
    <w:basedOn w:val="Normal"/>
    <w:next w:val="Normal"/>
    <w:uiPriority w:val="99"/>
    <w:rsid w:val="002B5829"/>
    <w:pPr>
      <w:overflowPunct w:val="0"/>
      <w:autoSpaceDE w:val="0"/>
      <w:autoSpaceDN w:val="0"/>
      <w:adjustRightInd w:val="0"/>
      <w:spacing w:line="220" w:lineRule="exact"/>
      <w:jc w:val="both"/>
      <w:textAlignment w:val="baseline"/>
    </w:pPr>
    <w:rPr>
      <w:sz w:val="20"/>
      <w:szCs w:val="20"/>
      <w:lang w:eastAsia="en-US"/>
    </w:rPr>
  </w:style>
  <w:style w:type="paragraph" w:customStyle="1" w:styleId="StyleHeading3Italic">
    <w:name w:val="Style Heading 3 + Italic"/>
    <w:basedOn w:val="Heading3"/>
    <w:link w:val="StyleHeading3ItalicChar"/>
    <w:autoRedefine/>
    <w:uiPriority w:val="99"/>
    <w:rsid w:val="002B5829"/>
    <w:pPr>
      <w:jc w:val="both"/>
    </w:pPr>
    <w:rPr>
      <w:b w:val="0"/>
      <w:bCs w:val="0"/>
      <w:i/>
      <w:iCs/>
      <w:sz w:val="22"/>
      <w:szCs w:val="22"/>
      <w:u w:val="single"/>
    </w:rPr>
  </w:style>
  <w:style w:type="character" w:customStyle="1" w:styleId="StyleHeading3ItalicChar">
    <w:name w:val="Style Heading 3 + Italic Char"/>
    <w:link w:val="StyleHeading3Italic"/>
    <w:uiPriority w:val="99"/>
    <w:locked/>
    <w:rsid w:val="002B5829"/>
    <w:rPr>
      <w:rFonts w:ascii="Arial" w:hAnsi="Arial" w:cs="Arial"/>
      <w:i/>
      <w:iCs/>
      <w:sz w:val="22"/>
      <w:szCs w:val="22"/>
      <w:u w:val="single"/>
      <w:lang w:val="en-GB" w:eastAsia="en-GB" w:bidi="ar-SA"/>
    </w:rPr>
  </w:style>
  <w:style w:type="paragraph" w:styleId="NormalWeb">
    <w:name w:val="Normal (Web)"/>
    <w:basedOn w:val="Normal"/>
    <w:uiPriority w:val="99"/>
    <w:rsid w:val="002B5829"/>
    <w:pPr>
      <w:spacing w:before="100" w:beforeAutospacing="1" w:after="100" w:afterAutospacing="1"/>
    </w:pPr>
    <w:rPr>
      <w:rFonts w:ascii="Times New Roman" w:hAnsi="Times New Roman" w:cs="Times New Roman"/>
      <w:sz w:val="24"/>
      <w:szCs w:val="24"/>
    </w:rPr>
  </w:style>
  <w:style w:type="character" w:styleId="Emphasis">
    <w:name w:val="Emphasis"/>
    <w:uiPriority w:val="99"/>
    <w:qFormat/>
    <w:rsid w:val="002B5829"/>
    <w:rPr>
      <w:rFonts w:cs="Times New Roman"/>
      <w:i/>
      <w:iCs/>
    </w:rPr>
  </w:style>
  <w:style w:type="character" w:styleId="Strong">
    <w:name w:val="Strong"/>
    <w:uiPriority w:val="99"/>
    <w:qFormat/>
    <w:rsid w:val="002B5829"/>
    <w:rPr>
      <w:rFonts w:cs="Times New Roman"/>
      <w:b/>
      <w:bCs/>
    </w:rPr>
  </w:style>
  <w:style w:type="character" w:styleId="Hyperlink">
    <w:name w:val="Hyperlink"/>
    <w:uiPriority w:val="99"/>
    <w:rsid w:val="002B5829"/>
    <w:rPr>
      <w:rFonts w:cs="Times New Roman"/>
      <w:color w:val="0000FF"/>
      <w:u w:val="single"/>
    </w:rPr>
  </w:style>
  <w:style w:type="character" w:styleId="CommentReference">
    <w:name w:val="annotation reference"/>
    <w:uiPriority w:val="99"/>
    <w:semiHidden/>
    <w:rsid w:val="00EE435F"/>
    <w:rPr>
      <w:rFonts w:cs="Times New Roman"/>
      <w:sz w:val="16"/>
      <w:szCs w:val="16"/>
    </w:rPr>
  </w:style>
  <w:style w:type="paragraph" w:styleId="CommentText">
    <w:name w:val="annotation text"/>
    <w:basedOn w:val="Normal"/>
    <w:link w:val="CommentTextChar"/>
    <w:uiPriority w:val="99"/>
    <w:semiHidden/>
    <w:rsid w:val="00EE435F"/>
    <w:rPr>
      <w:rFonts w:cs="Times New Roman"/>
      <w:sz w:val="20"/>
      <w:szCs w:val="20"/>
    </w:rPr>
  </w:style>
  <w:style w:type="character" w:customStyle="1" w:styleId="CommentTextChar">
    <w:name w:val="Comment Text Char"/>
    <w:link w:val="CommentText"/>
    <w:uiPriority w:val="99"/>
    <w:semiHidden/>
    <w:rsid w:val="00244A50"/>
    <w:rPr>
      <w:rFonts w:ascii="Arial" w:hAnsi="Arial" w:cs="Arial"/>
      <w:sz w:val="20"/>
      <w:szCs w:val="20"/>
    </w:rPr>
  </w:style>
  <w:style w:type="paragraph" w:styleId="BalloonText">
    <w:name w:val="Balloon Text"/>
    <w:basedOn w:val="Normal"/>
    <w:link w:val="BalloonTextChar"/>
    <w:uiPriority w:val="99"/>
    <w:semiHidden/>
    <w:rsid w:val="006D0372"/>
    <w:rPr>
      <w:rFonts w:ascii="Tahoma" w:hAnsi="Tahoma" w:cs="Tahoma"/>
      <w:sz w:val="16"/>
      <w:szCs w:val="16"/>
    </w:rPr>
  </w:style>
  <w:style w:type="character" w:customStyle="1" w:styleId="BalloonTextChar">
    <w:name w:val="Balloon Text Char"/>
    <w:link w:val="BalloonText"/>
    <w:uiPriority w:val="99"/>
    <w:semiHidden/>
    <w:rsid w:val="00244A50"/>
    <w:rPr>
      <w:rFonts w:cs="Arial"/>
      <w:sz w:val="0"/>
      <w:szCs w:val="0"/>
    </w:rPr>
  </w:style>
  <w:style w:type="paragraph" w:styleId="DocumentMap">
    <w:name w:val="Document Map"/>
    <w:basedOn w:val="Normal"/>
    <w:link w:val="DocumentMapChar"/>
    <w:uiPriority w:val="99"/>
    <w:semiHidden/>
    <w:rsid w:val="004B0D70"/>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244A50"/>
    <w:rPr>
      <w:rFonts w:cs="Arial"/>
      <w:sz w:val="0"/>
      <w:szCs w:val="0"/>
    </w:rPr>
  </w:style>
  <w:style w:type="table" w:styleId="TableGrid">
    <w:name w:val="Table Grid"/>
    <w:basedOn w:val="TableNormal"/>
    <w:uiPriority w:val="99"/>
    <w:rsid w:val="009B0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9E52E5"/>
    <w:rPr>
      <w:sz w:val="20"/>
      <w:szCs w:val="20"/>
    </w:rPr>
  </w:style>
  <w:style w:type="character" w:customStyle="1" w:styleId="FootnoteTextChar">
    <w:name w:val="Footnote Text Char"/>
    <w:link w:val="FootnoteText"/>
    <w:uiPriority w:val="99"/>
    <w:semiHidden/>
    <w:rsid w:val="00244A50"/>
    <w:rPr>
      <w:rFonts w:ascii="Arial" w:hAnsi="Arial" w:cs="Arial"/>
      <w:sz w:val="20"/>
      <w:szCs w:val="20"/>
    </w:rPr>
  </w:style>
  <w:style w:type="character" w:styleId="FootnoteReference">
    <w:name w:val="footnote reference"/>
    <w:uiPriority w:val="99"/>
    <w:semiHidden/>
    <w:rsid w:val="009E52E5"/>
    <w:rPr>
      <w:rFonts w:cs="Times New Roman"/>
      <w:vertAlign w:val="superscript"/>
    </w:rPr>
  </w:style>
  <w:style w:type="paragraph" w:styleId="CommentSubject">
    <w:name w:val="annotation subject"/>
    <w:basedOn w:val="CommentText"/>
    <w:next w:val="CommentText"/>
    <w:link w:val="CommentSubjectChar"/>
    <w:uiPriority w:val="99"/>
    <w:semiHidden/>
    <w:rsid w:val="00315EBA"/>
    <w:rPr>
      <w:rFonts w:cs="Arial"/>
      <w:b/>
      <w:bCs/>
    </w:rPr>
  </w:style>
  <w:style w:type="character" w:customStyle="1" w:styleId="CommentSubjectChar">
    <w:name w:val="Comment Subject Char"/>
    <w:link w:val="CommentSubject"/>
    <w:uiPriority w:val="99"/>
    <w:semiHidden/>
    <w:rsid w:val="00244A50"/>
    <w:rPr>
      <w:rFonts w:ascii="Arial" w:hAnsi="Arial" w:cs="Arial"/>
      <w:b/>
      <w:bCs/>
      <w:sz w:val="20"/>
      <w:szCs w:val="20"/>
    </w:rPr>
  </w:style>
  <w:style w:type="paragraph" w:styleId="Revision">
    <w:name w:val="Revision"/>
    <w:hidden/>
    <w:uiPriority w:val="99"/>
    <w:semiHidden/>
    <w:rsid w:val="00D04317"/>
    <w:rPr>
      <w:rFonts w:ascii="Arial" w:hAnsi="Arial" w:cs="Arial"/>
      <w:sz w:val="22"/>
      <w:szCs w:val="22"/>
    </w:rPr>
  </w:style>
  <w:style w:type="paragraph" w:customStyle="1" w:styleId="Keywords">
    <w:name w:val="Keywords"/>
    <w:basedOn w:val="Normal"/>
    <w:uiPriority w:val="99"/>
    <w:rsid w:val="00897DF9"/>
    <w:pPr>
      <w:widowControl w:val="0"/>
      <w:autoSpaceDE w:val="0"/>
      <w:autoSpaceDN w:val="0"/>
      <w:adjustRightInd w:val="0"/>
      <w:spacing w:before="240"/>
      <w:ind w:left="567" w:right="567"/>
    </w:pPr>
    <w:rPr>
      <w:sz w:val="18"/>
      <w:szCs w:val="18"/>
      <w:lang w:val="en-US"/>
    </w:rPr>
  </w:style>
  <w:style w:type="paragraph" w:customStyle="1" w:styleId="Authorname">
    <w:name w:val="Author name"/>
    <w:next w:val="Authoraffiliations"/>
    <w:autoRedefine/>
    <w:uiPriority w:val="99"/>
    <w:rsid w:val="00003487"/>
    <w:pPr>
      <w:spacing w:after="120"/>
    </w:pPr>
    <w:rPr>
      <w:rFonts w:ascii="Arial" w:hAnsi="Arial" w:cs="Arial"/>
      <w:sz w:val="22"/>
      <w:lang w:val="en-US"/>
    </w:rPr>
  </w:style>
  <w:style w:type="paragraph" w:customStyle="1" w:styleId="Authoraffiliations">
    <w:name w:val="Author affiliations"/>
    <w:next w:val="Normal"/>
    <w:autoRedefine/>
    <w:uiPriority w:val="99"/>
    <w:rsid w:val="0006269A"/>
    <w:pPr>
      <w:spacing w:line="360" w:lineRule="auto"/>
    </w:pPr>
    <w:rPr>
      <w:rFonts w:ascii="Arial" w:hAnsi="Arial" w:cs="Arial"/>
      <w:lang w:val="en-US"/>
    </w:rPr>
  </w:style>
  <w:style w:type="paragraph" w:customStyle="1" w:styleId="Articletitle">
    <w:name w:val="Article title"/>
    <w:next w:val="Authorname"/>
    <w:autoRedefine/>
    <w:uiPriority w:val="99"/>
    <w:rsid w:val="00003487"/>
    <w:pPr>
      <w:spacing w:after="240"/>
    </w:pPr>
    <w:rPr>
      <w:rFonts w:ascii="Arial" w:hAnsi="Arial" w:cs="Arial"/>
      <w:b/>
      <w:bCs/>
      <w:kern w:val="32"/>
      <w:sz w:val="52"/>
      <w:szCs w:val="52"/>
      <w:lang w:val="en-US"/>
    </w:rPr>
  </w:style>
  <w:style w:type="character" w:styleId="FollowedHyperlink">
    <w:name w:val="FollowedHyperlink"/>
    <w:uiPriority w:val="99"/>
    <w:semiHidden/>
    <w:unhideWhenUsed/>
    <w:rsid w:val="00C32247"/>
    <w:rPr>
      <w:color w:val="800080"/>
      <w:u w:val="single"/>
    </w:rPr>
  </w:style>
  <w:style w:type="paragraph" w:customStyle="1" w:styleId="Default">
    <w:name w:val="Default"/>
    <w:rsid w:val="00C32247"/>
    <w:pPr>
      <w:autoSpaceDE w:val="0"/>
      <w:autoSpaceDN w:val="0"/>
      <w:adjustRightInd w:val="0"/>
    </w:pPr>
    <w:rPr>
      <w:rFonts w:ascii="Arial" w:hAnsi="Arial" w:cs="Arial"/>
      <w:color w:val="000000"/>
      <w:sz w:val="24"/>
      <w:szCs w:val="24"/>
    </w:rPr>
  </w:style>
  <w:style w:type="character" w:styleId="LineNumber">
    <w:name w:val="line number"/>
    <w:uiPriority w:val="99"/>
    <w:semiHidden/>
    <w:unhideWhenUsed/>
    <w:rsid w:val="00A3696E"/>
  </w:style>
  <w:style w:type="paragraph" w:styleId="ListParagraph">
    <w:name w:val="List Paragraph"/>
    <w:basedOn w:val="Normal"/>
    <w:uiPriority w:val="34"/>
    <w:qFormat/>
    <w:rsid w:val="008D25EC"/>
    <w:pPr>
      <w:ind w:left="720"/>
      <w:contextualSpacing/>
    </w:pPr>
  </w:style>
  <w:style w:type="table" w:customStyle="1" w:styleId="TableGrid1">
    <w:name w:val="Table Grid1"/>
    <w:basedOn w:val="TableNormal"/>
    <w:next w:val="TableGrid"/>
    <w:rsid w:val="004139CF"/>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FAFCA-ABC1-432F-A162-963866D19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6442</Words>
  <Characters>36722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Reinforcement ratios and their effects on slab panel failure in fire</vt:lpstr>
    </vt:vector>
  </TitlesOfParts>
  <Company>University of Canterbury</Company>
  <LinksUpToDate>false</LinksUpToDate>
  <CharactersWithSpaces>43078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Reinforcement ratios and their effects on slab panel failure in fire</dc:title>
  <dc:creator>Cip04aka</dc:creator>
  <cp:lastModifiedBy>Lisa Hacker</cp:lastModifiedBy>
  <cp:revision>2</cp:revision>
  <cp:lastPrinted>2019-12-04T12:35:00Z</cp:lastPrinted>
  <dcterms:created xsi:type="dcterms:W3CDTF">2023-09-15T15:11:00Z</dcterms:created>
  <dcterms:modified xsi:type="dcterms:W3CDTF">2023-09-15T15:11:00Z</dcterms:modified>
</cp:coreProperties>
</file>