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DDDEF" w14:textId="1CAEED30" w:rsidR="00B9724C" w:rsidRPr="009B1409" w:rsidRDefault="00B9724C" w:rsidP="00443064">
      <w:pPr>
        <w:pStyle w:val="Articletitle"/>
        <w:rPr>
          <w:rFonts w:eastAsia="Arial"/>
        </w:rPr>
      </w:pPr>
      <w:r w:rsidRPr="009B1409">
        <w:t>Book Review of ‘Waves of Global Terrorism</w:t>
      </w:r>
      <w:r w:rsidR="005061B8" w:rsidRPr="009B1409">
        <w:t>: From 1879 to the Present</w:t>
      </w:r>
      <w:r w:rsidRPr="009B1409">
        <w:t>’</w:t>
      </w:r>
      <w:r w:rsidR="00443064" w:rsidRPr="009B1409">
        <w:t xml:space="preserve"> </w:t>
      </w:r>
      <w:r w:rsidRPr="009B1409">
        <w:t xml:space="preserve">by </w:t>
      </w:r>
      <w:r w:rsidRPr="009B1409">
        <w:rPr>
          <w:rFonts w:eastAsia="Arial"/>
        </w:rPr>
        <w:t>David C. Rapoport</w:t>
      </w:r>
      <w:r w:rsidR="00911DF7" w:rsidRPr="009B1409">
        <w:rPr>
          <w:rFonts w:eastAsia="Arial"/>
        </w:rPr>
        <w:t xml:space="preserve">, </w:t>
      </w:r>
      <w:r w:rsidR="00CA512D" w:rsidRPr="009B1409">
        <w:t>New York</w:t>
      </w:r>
      <w:r w:rsidR="00AD6415" w:rsidRPr="009B1409">
        <w:t>,</w:t>
      </w:r>
      <w:r w:rsidR="00CA512D" w:rsidRPr="009B1409">
        <w:t xml:space="preserve"> Columbia University Press, 2022</w:t>
      </w:r>
      <w:r w:rsidR="00AD6415" w:rsidRPr="009B1409">
        <w:t>, 44</w:t>
      </w:r>
      <w:r w:rsidR="00571424" w:rsidRPr="009B1409">
        <w:t>8</w:t>
      </w:r>
      <w:r w:rsidR="00AD6415" w:rsidRPr="009B1409">
        <w:t xml:space="preserve"> pp</w:t>
      </w:r>
      <w:r w:rsidR="00571424" w:rsidRPr="009B1409">
        <w:t>.</w:t>
      </w:r>
      <w:r w:rsidR="00D318A1" w:rsidRPr="009B1409">
        <w:t xml:space="preserve">, </w:t>
      </w:r>
      <w:r w:rsidR="00571424" w:rsidRPr="009B1409">
        <w:t>£28</w:t>
      </w:r>
      <w:r w:rsidR="006F3A96" w:rsidRPr="009B1409">
        <w:t xml:space="preserve"> </w:t>
      </w:r>
      <w:r w:rsidR="00443064" w:rsidRPr="009B1409">
        <w:t xml:space="preserve">(UK) </w:t>
      </w:r>
      <w:r w:rsidR="00571424" w:rsidRPr="009B1409">
        <w:t>(</w:t>
      </w:r>
      <w:r w:rsidR="00807DE2" w:rsidRPr="009B1409">
        <w:t xml:space="preserve">Paperback), </w:t>
      </w:r>
      <w:r w:rsidR="00571424" w:rsidRPr="009B1409">
        <w:t>ISBN</w:t>
      </w:r>
      <w:r w:rsidR="00443064" w:rsidRPr="009B1409">
        <w:t>:</w:t>
      </w:r>
      <w:r w:rsidR="00571424" w:rsidRPr="009B1409">
        <w:t xml:space="preserve"> 9780231133036</w:t>
      </w:r>
      <w:r w:rsidR="00443064" w:rsidRPr="009B1409">
        <w:t>.</w:t>
      </w:r>
    </w:p>
    <w:p w14:paraId="17F411CA" w14:textId="6828F902" w:rsidR="00B9724C" w:rsidRPr="009B1409" w:rsidRDefault="00B9724C" w:rsidP="00B9724C">
      <w:pPr>
        <w:pStyle w:val="Paragraph"/>
        <w:rPr>
          <w:rFonts w:eastAsia="Arial"/>
        </w:rPr>
      </w:pPr>
      <w:r w:rsidRPr="009B1409">
        <w:rPr>
          <w:rFonts w:eastAsia="Arial"/>
        </w:rPr>
        <w:t xml:space="preserve">In </w:t>
      </w:r>
      <w:r w:rsidRPr="009B1409">
        <w:rPr>
          <w:rFonts w:eastAsia="Arial"/>
          <w:i/>
          <w:iCs/>
        </w:rPr>
        <w:t>The Four Waves of Modern Terrorism</w:t>
      </w:r>
      <w:r w:rsidRPr="009B1409">
        <w:rPr>
          <w:rFonts w:eastAsia="Arial"/>
        </w:rPr>
        <w:t xml:space="preserve"> (2004), David C. Rapoport theori</w:t>
      </w:r>
      <w:r w:rsidR="00412C25" w:rsidRPr="009B1409">
        <w:rPr>
          <w:rFonts w:eastAsia="Arial"/>
        </w:rPr>
        <w:t>s</w:t>
      </w:r>
      <w:r w:rsidRPr="009B1409">
        <w:rPr>
          <w:rFonts w:eastAsia="Arial"/>
        </w:rPr>
        <w:t xml:space="preserve">ed that modern terrorism </w:t>
      </w:r>
      <w:r w:rsidR="0007428F" w:rsidRPr="009B1409">
        <w:rPr>
          <w:rFonts w:eastAsia="Arial"/>
        </w:rPr>
        <w:t>can be</w:t>
      </w:r>
      <w:r w:rsidRPr="009B1409">
        <w:rPr>
          <w:rFonts w:eastAsia="Arial"/>
        </w:rPr>
        <w:t xml:space="preserve"> historically </w:t>
      </w:r>
      <w:r w:rsidR="0007428F" w:rsidRPr="009B1409">
        <w:rPr>
          <w:rFonts w:eastAsia="Arial"/>
        </w:rPr>
        <w:t>seen and understood through</w:t>
      </w:r>
      <w:r w:rsidRPr="009B1409">
        <w:rPr>
          <w:rFonts w:eastAsia="Arial"/>
        </w:rPr>
        <w:t xml:space="preserve"> </w:t>
      </w:r>
      <w:r w:rsidR="0007428F" w:rsidRPr="009B1409">
        <w:rPr>
          <w:rFonts w:eastAsia="Arial"/>
        </w:rPr>
        <w:t xml:space="preserve">the </w:t>
      </w:r>
      <w:r w:rsidRPr="009B1409">
        <w:rPr>
          <w:rFonts w:eastAsia="Arial"/>
        </w:rPr>
        <w:t>Anarchist (1</w:t>
      </w:r>
      <w:r w:rsidRPr="009B1409">
        <w:rPr>
          <w:rFonts w:eastAsia="Arial"/>
          <w:vertAlign w:val="superscript"/>
        </w:rPr>
        <w:t>st</w:t>
      </w:r>
      <w:r w:rsidR="00CA03B2" w:rsidRPr="009B1409">
        <w:rPr>
          <w:rFonts w:eastAsia="Arial"/>
        </w:rPr>
        <w:t>/1879-1920s)</w:t>
      </w:r>
      <w:r w:rsidRPr="009B1409">
        <w:rPr>
          <w:rFonts w:eastAsia="Arial"/>
        </w:rPr>
        <w:t>, Anticolonial (2</w:t>
      </w:r>
      <w:r w:rsidRPr="009B1409">
        <w:rPr>
          <w:rFonts w:eastAsia="Arial"/>
          <w:vertAlign w:val="superscript"/>
        </w:rPr>
        <w:t>nd</w:t>
      </w:r>
      <w:r w:rsidR="009862DA" w:rsidRPr="009B1409">
        <w:rPr>
          <w:rFonts w:eastAsia="Arial"/>
        </w:rPr>
        <w:t>/1919-1960s)</w:t>
      </w:r>
      <w:r w:rsidRPr="009B1409">
        <w:rPr>
          <w:rFonts w:eastAsia="Arial"/>
        </w:rPr>
        <w:t>, New Left (3</w:t>
      </w:r>
      <w:r w:rsidRPr="009B1409">
        <w:rPr>
          <w:rFonts w:eastAsia="Arial"/>
          <w:vertAlign w:val="superscript"/>
        </w:rPr>
        <w:t>rd</w:t>
      </w:r>
      <w:r w:rsidR="007736D6" w:rsidRPr="009B1409">
        <w:rPr>
          <w:rFonts w:eastAsia="Arial"/>
        </w:rPr>
        <w:t>/</w:t>
      </w:r>
      <w:r w:rsidR="009862DA" w:rsidRPr="009B1409">
        <w:rPr>
          <w:rFonts w:eastAsia="Arial"/>
        </w:rPr>
        <w:t>19</w:t>
      </w:r>
      <w:r w:rsidR="00F36C6B" w:rsidRPr="009B1409">
        <w:rPr>
          <w:rFonts w:eastAsia="Arial"/>
        </w:rPr>
        <w:t>60</w:t>
      </w:r>
      <w:r w:rsidR="007736D6" w:rsidRPr="009B1409">
        <w:rPr>
          <w:rFonts w:eastAsia="Arial"/>
        </w:rPr>
        <w:t>s-1990s)</w:t>
      </w:r>
      <w:r w:rsidRPr="009B1409">
        <w:rPr>
          <w:rFonts w:eastAsia="Arial"/>
        </w:rPr>
        <w:t xml:space="preserve"> and Religious (4</w:t>
      </w:r>
      <w:r w:rsidRPr="009B1409">
        <w:rPr>
          <w:rFonts w:eastAsia="Arial"/>
          <w:vertAlign w:val="superscript"/>
        </w:rPr>
        <w:t>th</w:t>
      </w:r>
      <w:r w:rsidR="007736D6" w:rsidRPr="009B1409">
        <w:rPr>
          <w:rFonts w:eastAsia="Arial"/>
        </w:rPr>
        <w:t>/1979-2020s</w:t>
      </w:r>
      <w:r w:rsidR="00533A66" w:rsidRPr="009B1409">
        <w:rPr>
          <w:rFonts w:eastAsia="Arial"/>
        </w:rPr>
        <w:t>?</w:t>
      </w:r>
      <w:r w:rsidR="007736D6" w:rsidRPr="009B1409">
        <w:rPr>
          <w:rFonts w:eastAsia="Arial"/>
        </w:rPr>
        <w:t>)</w:t>
      </w:r>
      <w:r w:rsidRPr="009B1409">
        <w:rPr>
          <w:rFonts w:eastAsia="Arial"/>
        </w:rPr>
        <w:t xml:space="preserve"> Waves. Ideologically similar, the organi</w:t>
      </w:r>
      <w:r w:rsidR="00261EE8" w:rsidRPr="009B1409">
        <w:rPr>
          <w:rFonts w:eastAsia="Arial"/>
        </w:rPr>
        <w:t>s</w:t>
      </w:r>
      <w:r w:rsidRPr="009B1409">
        <w:rPr>
          <w:rFonts w:eastAsia="Arial"/>
        </w:rPr>
        <w:t xml:space="preserve">ations </w:t>
      </w:r>
      <w:r w:rsidR="00443064" w:rsidRPr="009B1409">
        <w:rPr>
          <w:rFonts w:eastAsia="Arial"/>
        </w:rPr>
        <w:t xml:space="preserve">within </w:t>
      </w:r>
      <w:r w:rsidRPr="009B1409">
        <w:rPr>
          <w:rFonts w:eastAsia="Arial"/>
        </w:rPr>
        <w:t xml:space="preserve">each Wave also share characteristics, such as a signature tactic, </w:t>
      </w:r>
      <w:proofErr w:type="gramStart"/>
      <w:r w:rsidRPr="009B1409">
        <w:rPr>
          <w:rFonts w:eastAsia="Arial"/>
        </w:rPr>
        <w:t>weaponry</w:t>
      </w:r>
      <w:proofErr w:type="gramEnd"/>
      <w:r w:rsidRPr="009B1409">
        <w:rPr>
          <w:rFonts w:eastAsia="Arial"/>
        </w:rPr>
        <w:t xml:space="preserve"> and targets. </w:t>
      </w:r>
      <w:r w:rsidR="00F2550B" w:rsidRPr="009B1409">
        <w:rPr>
          <w:rFonts w:eastAsia="Arial"/>
        </w:rPr>
        <w:t xml:space="preserve">The energy </w:t>
      </w:r>
      <w:r w:rsidR="0038215C" w:rsidRPr="009B1409">
        <w:rPr>
          <w:rFonts w:eastAsia="Arial"/>
        </w:rPr>
        <w:t xml:space="preserve">driving them </w:t>
      </w:r>
      <w:r w:rsidR="00F2550B" w:rsidRPr="009B1409">
        <w:rPr>
          <w:rFonts w:eastAsia="Arial"/>
        </w:rPr>
        <w:t xml:space="preserve">spreads </w:t>
      </w:r>
      <w:r w:rsidR="00A67BAB" w:rsidRPr="009B1409">
        <w:rPr>
          <w:rFonts w:eastAsia="Arial"/>
        </w:rPr>
        <w:t>globally and tend</w:t>
      </w:r>
      <w:r w:rsidR="008D329A" w:rsidRPr="009B1409">
        <w:rPr>
          <w:rFonts w:eastAsia="Arial"/>
        </w:rPr>
        <w:t>s</w:t>
      </w:r>
      <w:r w:rsidR="00A67BAB" w:rsidRPr="009B1409">
        <w:rPr>
          <w:rFonts w:eastAsia="Arial"/>
        </w:rPr>
        <w:t xml:space="preserve"> </w:t>
      </w:r>
      <w:r w:rsidRPr="009B1409">
        <w:rPr>
          <w:rFonts w:eastAsia="Arial"/>
        </w:rPr>
        <w:t xml:space="preserve">to last one generation. Since the Rapoportian Wave Theory was launched, its explanatory power has been widely debated, sometimes challenged, but usually tested, </w:t>
      </w:r>
      <w:proofErr w:type="gramStart"/>
      <w:r w:rsidRPr="009B1409">
        <w:rPr>
          <w:rFonts w:eastAsia="Arial"/>
        </w:rPr>
        <w:t>corroborated</w:t>
      </w:r>
      <w:proofErr w:type="gramEnd"/>
      <w:r w:rsidRPr="009B1409">
        <w:rPr>
          <w:rFonts w:eastAsia="Arial"/>
        </w:rPr>
        <w:t xml:space="preserve"> </w:t>
      </w:r>
      <w:r w:rsidR="000E60A7" w:rsidRPr="009B1409">
        <w:rPr>
          <w:rFonts w:eastAsia="Arial"/>
        </w:rPr>
        <w:t xml:space="preserve">and applied </w:t>
      </w:r>
      <w:r w:rsidRPr="009B1409">
        <w:rPr>
          <w:rFonts w:eastAsia="Arial"/>
        </w:rPr>
        <w:t xml:space="preserve">to </w:t>
      </w:r>
      <w:r w:rsidR="00195167" w:rsidRPr="009B1409">
        <w:rPr>
          <w:rFonts w:eastAsia="Arial"/>
        </w:rPr>
        <w:t>uncover</w:t>
      </w:r>
      <w:r w:rsidRPr="009B1409">
        <w:rPr>
          <w:rFonts w:eastAsia="Arial"/>
        </w:rPr>
        <w:t xml:space="preserve"> </w:t>
      </w:r>
      <w:r w:rsidR="00395702" w:rsidRPr="009B1409">
        <w:rPr>
          <w:rFonts w:eastAsia="Arial"/>
        </w:rPr>
        <w:t xml:space="preserve">then </w:t>
      </w:r>
      <w:r w:rsidR="00261EE8" w:rsidRPr="009B1409">
        <w:rPr>
          <w:rFonts w:eastAsia="Arial"/>
        </w:rPr>
        <w:t>overlooked</w:t>
      </w:r>
      <w:r w:rsidR="00D80A00" w:rsidRPr="009B1409">
        <w:rPr>
          <w:rFonts w:eastAsia="Arial"/>
        </w:rPr>
        <w:t xml:space="preserve"> </w:t>
      </w:r>
      <w:r w:rsidRPr="009B1409">
        <w:rPr>
          <w:rFonts w:eastAsia="Arial"/>
        </w:rPr>
        <w:t xml:space="preserve">Waves (da Silva 2020). Unsurprisingly, the 2011 Oslo and </w:t>
      </w:r>
      <w:bookmarkStart w:id="0" w:name="_Int_OzZSWwfs"/>
      <w:proofErr w:type="spellStart"/>
      <w:r w:rsidRPr="009B1409">
        <w:rPr>
          <w:rFonts w:eastAsia="Arial"/>
          <w:shd w:val="clear" w:color="auto" w:fill="FFFFFF"/>
        </w:rPr>
        <w:t>Utøya</w:t>
      </w:r>
      <w:bookmarkEnd w:id="0"/>
      <w:proofErr w:type="spellEnd"/>
      <w:r w:rsidRPr="009B1409">
        <w:rPr>
          <w:rFonts w:eastAsia="Arial"/>
        </w:rPr>
        <w:t xml:space="preserve"> Attacks</w:t>
      </w:r>
      <w:r w:rsidR="00443064" w:rsidRPr="009B1409">
        <w:rPr>
          <w:rFonts w:eastAsia="Arial"/>
        </w:rPr>
        <w:t xml:space="preserve"> (Norway)</w:t>
      </w:r>
      <w:r w:rsidRPr="009B1409">
        <w:rPr>
          <w:rFonts w:eastAsia="Arial"/>
        </w:rPr>
        <w:t>, the 2019 Christchurch Mosque</w:t>
      </w:r>
      <w:r w:rsidR="00055136" w:rsidRPr="009B1409">
        <w:rPr>
          <w:rFonts w:eastAsia="Arial"/>
        </w:rPr>
        <w:t xml:space="preserve"> Shooting</w:t>
      </w:r>
      <w:r w:rsidRPr="009B1409">
        <w:rPr>
          <w:rFonts w:eastAsia="Arial"/>
        </w:rPr>
        <w:t xml:space="preserve"> (New Zealand)</w:t>
      </w:r>
      <w:r w:rsidR="00443064" w:rsidRPr="009B1409">
        <w:rPr>
          <w:rFonts w:eastAsia="Arial"/>
        </w:rPr>
        <w:t>,</w:t>
      </w:r>
      <w:r w:rsidRPr="009B1409">
        <w:rPr>
          <w:rFonts w:eastAsia="Arial"/>
        </w:rPr>
        <w:t xml:space="preserve"> and the 2019 El Paso Shooting </w:t>
      </w:r>
      <w:r w:rsidR="00443064" w:rsidRPr="009B1409">
        <w:rPr>
          <w:rFonts w:eastAsia="Arial"/>
        </w:rPr>
        <w:t xml:space="preserve">(U.S.) </w:t>
      </w:r>
      <w:r w:rsidRPr="009B1409">
        <w:rPr>
          <w:rFonts w:eastAsia="Arial"/>
        </w:rPr>
        <w:t xml:space="preserve">made </w:t>
      </w:r>
      <w:r w:rsidR="007C57D8" w:rsidRPr="009B1409">
        <w:rPr>
          <w:rFonts w:eastAsia="Arial"/>
        </w:rPr>
        <w:t xml:space="preserve">Terrorism Studies </w:t>
      </w:r>
      <w:r w:rsidRPr="009B1409">
        <w:rPr>
          <w:rFonts w:eastAsia="Arial"/>
        </w:rPr>
        <w:t xml:space="preserve">scholars wonder whether these attacks </w:t>
      </w:r>
      <w:r w:rsidR="000A4DB0" w:rsidRPr="009B1409">
        <w:rPr>
          <w:rFonts w:eastAsia="Arial"/>
        </w:rPr>
        <w:t>are</w:t>
      </w:r>
      <w:r w:rsidRPr="009B1409">
        <w:rPr>
          <w:rFonts w:eastAsia="Arial"/>
        </w:rPr>
        <w:t xml:space="preserve"> shaping a Far-Right (5</w:t>
      </w:r>
      <w:r w:rsidRPr="009B1409">
        <w:rPr>
          <w:rFonts w:eastAsia="Arial"/>
          <w:vertAlign w:val="superscript"/>
        </w:rPr>
        <w:t>th</w:t>
      </w:r>
      <w:r w:rsidRPr="009B1409">
        <w:rPr>
          <w:rFonts w:eastAsia="Arial"/>
        </w:rPr>
        <w:t>) Wave. In the 44</w:t>
      </w:r>
      <w:r w:rsidR="00571424" w:rsidRPr="009B1409">
        <w:rPr>
          <w:rFonts w:eastAsia="Arial"/>
        </w:rPr>
        <w:t>8</w:t>
      </w:r>
      <w:r w:rsidRPr="009B1409">
        <w:rPr>
          <w:rFonts w:eastAsia="Arial"/>
        </w:rPr>
        <w:t xml:space="preserve">-page </w:t>
      </w:r>
      <w:r w:rsidRPr="009B1409">
        <w:rPr>
          <w:rFonts w:eastAsia="Arial"/>
          <w:i/>
          <w:iCs/>
        </w:rPr>
        <w:t>Waves of Global Terrorism: From 1879 to the Present</w:t>
      </w:r>
      <w:r w:rsidRPr="009B1409">
        <w:rPr>
          <w:rFonts w:eastAsia="Arial"/>
        </w:rPr>
        <w:t xml:space="preserve">, </w:t>
      </w:r>
      <w:r w:rsidR="009858A5" w:rsidRPr="009B1409">
        <w:rPr>
          <w:rFonts w:eastAsia="Arial"/>
        </w:rPr>
        <w:t xml:space="preserve">David C. </w:t>
      </w:r>
      <w:r w:rsidRPr="009B1409">
        <w:rPr>
          <w:rFonts w:eastAsia="Arial"/>
        </w:rPr>
        <w:t xml:space="preserve">Rapoport reexplores his </w:t>
      </w:r>
      <w:r w:rsidR="008D0E9A" w:rsidRPr="009B1409">
        <w:rPr>
          <w:rFonts w:eastAsia="Arial"/>
        </w:rPr>
        <w:t xml:space="preserve">longstanding </w:t>
      </w:r>
      <w:r w:rsidRPr="009B1409">
        <w:rPr>
          <w:rFonts w:eastAsia="Arial"/>
        </w:rPr>
        <w:t xml:space="preserve">scholarship to </w:t>
      </w:r>
      <w:r w:rsidR="008E00AC" w:rsidRPr="009B1409">
        <w:rPr>
          <w:rFonts w:eastAsia="Arial"/>
        </w:rPr>
        <w:t>shed light on</w:t>
      </w:r>
      <w:r w:rsidRPr="009B1409">
        <w:rPr>
          <w:rFonts w:eastAsia="Arial"/>
        </w:rPr>
        <w:t xml:space="preserve"> this heated debate.</w:t>
      </w:r>
    </w:p>
    <w:p w14:paraId="2F008B1D" w14:textId="2A7E5D9C" w:rsidR="008B36B4" w:rsidRPr="009B1409" w:rsidRDefault="00E624E3" w:rsidP="00FE607E">
      <w:pPr>
        <w:pStyle w:val="Newparagraph"/>
        <w:rPr>
          <w:rFonts w:eastAsia="Arial"/>
        </w:rPr>
      </w:pPr>
      <w:r w:rsidRPr="009B1409">
        <w:rPr>
          <w:rFonts w:eastAsia="Arial"/>
        </w:rPr>
        <w:t xml:space="preserve">Definitionally, Rapoport understands terrorism as </w:t>
      </w:r>
      <w:r w:rsidRPr="009B1409">
        <w:t xml:space="preserve">“[…] violence employed for a religious or political objective and is not limited by the accepted moral norms that limit violence” (3). </w:t>
      </w:r>
      <w:r w:rsidR="00FA1397" w:rsidRPr="009B1409">
        <w:rPr>
          <w:rFonts w:eastAsia="Arial"/>
        </w:rPr>
        <w:t>In Chapter 1</w:t>
      </w:r>
      <w:r w:rsidR="00B9724C" w:rsidRPr="009B1409">
        <w:rPr>
          <w:rFonts w:eastAsia="Arial"/>
        </w:rPr>
        <w:t xml:space="preserve">, a lengthy discussion on pre-1879 </w:t>
      </w:r>
      <w:r w:rsidR="007C57D8" w:rsidRPr="009B1409">
        <w:rPr>
          <w:rFonts w:eastAsia="Arial"/>
        </w:rPr>
        <w:t xml:space="preserve">and </w:t>
      </w:r>
      <w:r w:rsidR="00B9724C" w:rsidRPr="009B1409">
        <w:rPr>
          <w:rFonts w:eastAsia="Arial"/>
        </w:rPr>
        <w:t xml:space="preserve">non-Wave </w:t>
      </w:r>
      <w:r w:rsidR="00132EC2" w:rsidRPr="009B1409">
        <w:rPr>
          <w:rFonts w:eastAsia="Arial"/>
        </w:rPr>
        <w:t xml:space="preserve">Abrahamic (i.e., Jewish Sicarii and Zealots, Islamic Assassins and Christian Crusaders) and secular (i.e., the Ku Klux Klan and Sons of Liberty) terrorism </w:t>
      </w:r>
      <w:r w:rsidR="00B9724C" w:rsidRPr="009B1409">
        <w:rPr>
          <w:rFonts w:eastAsia="Arial"/>
        </w:rPr>
        <w:t>makes it seem like the book’s title does not truly translate its content</w:t>
      </w:r>
      <w:r w:rsidR="009002D5" w:rsidRPr="009B1409">
        <w:rPr>
          <w:rFonts w:eastAsia="Arial"/>
        </w:rPr>
        <w:t xml:space="preserve">. </w:t>
      </w:r>
      <w:r w:rsidR="00AA0202" w:rsidRPr="009B1409">
        <w:rPr>
          <w:rFonts w:eastAsia="Arial"/>
        </w:rPr>
        <w:t>Yet</w:t>
      </w:r>
      <w:r w:rsidR="009002D5" w:rsidRPr="009B1409">
        <w:rPr>
          <w:rFonts w:eastAsia="Arial"/>
        </w:rPr>
        <w:t xml:space="preserve">, it </w:t>
      </w:r>
      <w:r w:rsidR="00443064" w:rsidRPr="009B1409">
        <w:rPr>
          <w:rFonts w:eastAsia="Arial"/>
        </w:rPr>
        <w:t>serves to remind us</w:t>
      </w:r>
      <w:r w:rsidR="00FE607E" w:rsidRPr="009B1409">
        <w:rPr>
          <w:rFonts w:eastAsia="Arial"/>
        </w:rPr>
        <w:t xml:space="preserve"> that </w:t>
      </w:r>
      <w:r w:rsidR="008B36B4" w:rsidRPr="009B1409">
        <w:rPr>
          <w:rFonts w:eastAsia="Arial"/>
        </w:rPr>
        <w:t>not only Islam but also Judaism and Christianity have been used to encourage terrorism, but</w:t>
      </w:r>
      <w:r w:rsidR="00443064" w:rsidRPr="009B1409">
        <w:rPr>
          <w:rFonts w:eastAsia="Arial"/>
        </w:rPr>
        <w:t xml:space="preserve"> </w:t>
      </w:r>
      <w:r w:rsidR="00F14C22" w:rsidRPr="009B1409">
        <w:rPr>
          <w:rFonts w:eastAsia="Arial"/>
        </w:rPr>
        <w:t xml:space="preserve">that </w:t>
      </w:r>
      <w:r w:rsidR="008B36B4" w:rsidRPr="009B1409">
        <w:rPr>
          <w:rFonts w:eastAsia="Arial"/>
        </w:rPr>
        <w:t xml:space="preserve">the West only </w:t>
      </w:r>
      <w:r w:rsidR="0057567F" w:rsidRPr="009B1409">
        <w:rPr>
          <w:rFonts w:eastAsia="Arial"/>
        </w:rPr>
        <w:t>attributes</w:t>
      </w:r>
      <w:r w:rsidR="008B36B4" w:rsidRPr="009B1409">
        <w:rPr>
          <w:rFonts w:eastAsia="Arial"/>
        </w:rPr>
        <w:t xml:space="preserve"> </w:t>
      </w:r>
      <w:r w:rsidR="00443064" w:rsidRPr="009B1409">
        <w:rPr>
          <w:rFonts w:eastAsia="Arial"/>
        </w:rPr>
        <w:t xml:space="preserve">positive </w:t>
      </w:r>
      <w:r w:rsidR="008B36B4" w:rsidRPr="009B1409">
        <w:rPr>
          <w:rFonts w:eastAsia="Arial"/>
        </w:rPr>
        <w:t xml:space="preserve">connotation to </w:t>
      </w:r>
      <w:r w:rsidR="00A8568D" w:rsidRPr="009B1409">
        <w:rPr>
          <w:rFonts w:eastAsia="Arial"/>
        </w:rPr>
        <w:t xml:space="preserve">the </w:t>
      </w:r>
      <w:r w:rsidR="00EA22F9" w:rsidRPr="009B1409">
        <w:rPr>
          <w:rFonts w:eastAsia="Arial"/>
        </w:rPr>
        <w:t>latter.</w:t>
      </w:r>
    </w:p>
    <w:p w14:paraId="326010E8" w14:textId="1F0F22BE" w:rsidR="00A22B1A" w:rsidRPr="009B1409" w:rsidRDefault="007D041D" w:rsidP="00DE5AD7">
      <w:pPr>
        <w:pStyle w:val="Newparagraph"/>
        <w:rPr>
          <w:rFonts w:eastAsia="Arial"/>
        </w:rPr>
      </w:pPr>
      <w:r w:rsidRPr="009B1409">
        <w:rPr>
          <w:rFonts w:eastAsia="Arial"/>
        </w:rPr>
        <w:lastRenderedPageBreak/>
        <w:t xml:space="preserve">Rapoport </w:t>
      </w:r>
      <w:r w:rsidR="00E56AEA" w:rsidRPr="009B1409">
        <w:rPr>
          <w:rFonts w:eastAsia="Arial"/>
        </w:rPr>
        <w:t xml:space="preserve">proceeds by brilliantly combining a chronological and thematic </w:t>
      </w:r>
      <w:r w:rsidR="002842AF" w:rsidRPr="009B1409">
        <w:rPr>
          <w:rFonts w:eastAsia="Arial"/>
        </w:rPr>
        <w:t>structure</w:t>
      </w:r>
      <w:r w:rsidR="00E56AEA" w:rsidRPr="009B1409">
        <w:rPr>
          <w:rFonts w:eastAsia="Arial"/>
        </w:rPr>
        <w:t xml:space="preserve">. </w:t>
      </w:r>
      <w:r w:rsidRPr="009B1409">
        <w:rPr>
          <w:rFonts w:eastAsia="Arial"/>
        </w:rPr>
        <w:t>The theorist</w:t>
      </w:r>
      <w:r w:rsidR="00B817CC" w:rsidRPr="009B1409">
        <w:rPr>
          <w:rFonts w:eastAsia="Arial"/>
        </w:rPr>
        <w:t xml:space="preserve"> expands</w:t>
      </w:r>
      <w:r w:rsidR="00B9724C" w:rsidRPr="009B1409">
        <w:rPr>
          <w:rFonts w:eastAsia="Arial"/>
        </w:rPr>
        <w:t xml:space="preserve"> on the Anarchist (Chapter 2) and Anticolonial (Chapter 3) Waves and </w:t>
      </w:r>
      <w:r w:rsidR="00E500DD" w:rsidRPr="009B1409">
        <w:rPr>
          <w:rFonts w:eastAsia="Arial"/>
        </w:rPr>
        <w:t>updates</w:t>
      </w:r>
      <w:r w:rsidR="00B9724C" w:rsidRPr="009B1409">
        <w:rPr>
          <w:rFonts w:eastAsia="Arial"/>
        </w:rPr>
        <w:t xml:space="preserve"> the </w:t>
      </w:r>
      <w:r w:rsidR="00C253E0" w:rsidRPr="009B1409">
        <w:rPr>
          <w:rFonts w:eastAsia="Arial"/>
        </w:rPr>
        <w:t xml:space="preserve">historical developments of the </w:t>
      </w:r>
      <w:r w:rsidR="00B9724C" w:rsidRPr="009B1409">
        <w:rPr>
          <w:rFonts w:eastAsia="Arial"/>
        </w:rPr>
        <w:t xml:space="preserve">New Left (Chapter 4) </w:t>
      </w:r>
      <w:r w:rsidR="003646B2" w:rsidRPr="009B1409">
        <w:rPr>
          <w:rFonts w:eastAsia="Arial"/>
        </w:rPr>
        <w:t xml:space="preserve">Wave </w:t>
      </w:r>
      <w:r w:rsidR="00B9724C" w:rsidRPr="009B1409">
        <w:rPr>
          <w:rFonts w:eastAsia="Arial"/>
        </w:rPr>
        <w:t xml:space="preserve">by discussing the peace agreement between Colombia’s Government and </w:t>
      </w:r>
      <w:r w:rsidR="006C7A59" w:rsidRPr="009B1409">
        <w:rPr>
          <w:rFonts w:eastAsia="Arial"/>
        </w:rPr>
        <w:t xml:space="preserve">the </w:t>
      </w:r>
      <w:proofErr w:type="spellStart"/>
      <w:r w:rsidR="006C7A59" w:rsidRPr="009B1409">
        <w:rPr>
          <w:rStyle w:val="Emphasis"/>
          <w:shd w:val="clear" w:color="auto" w:fill="FFFFFF"/>
        </w:rPr>
        <w:t>Fuerzas</w:t>
      </w:r>
      <w:proofErr w:type="spellEnd"/>
      <w:r w:rsidR="006C7A59" w:rsidRPr="009B1409">
        <w:rPr>
          <w:rStyle w:val="Emphasis"/>
          <w:shd w:val="clear" w:color="auto" w:fill="FFFFFF"/>
        </w:rPr>
        <w:t xml:space="preserve"> Armadas </w:t>
      </w:r>
      <w:proofErr w:type="spellStart"/>
      <w:r w:rsidR="006C7A59" w:rsidRPr="009B1409">
        <w:rPr>
          <w:rStyle w:val="Emphasis"/>
          <w:shd w:val="clear" w:color="auto" w:fill="FFFFFF"/>
        </w:rPr>
        <w:t>Revolucionarias</w:t>
      </w:r>
      <w:proofErr w:type="spellEnd"/>
      <w:r w:rsidR="006C7A59" w:rsidRPr="009B1409">
        <w:rPr>
          <w:rStyle w:val="Emphasis"/>
          <w:shd w:val="clear" w:color="auto" w:fill="FFFFFF"/>
        </w:rPr>
        <w:t xml:space="preserve"> de Colombia</w:t>
      </w:r>
      <w:r w:rsidR="002E22EB" w:rsidRPr="009B1409">
        <w:rPr>
          <w:rFonts w:eastAsia="Arial"/>
        </w:rPr>
        <w:t>.</w:t>
      </w:r>
      <w:r w:rsidR="0002394A" w:rsidRPr="009B1409">
        <w:rPr>
          <w:rFonts w:eastAsia="Arial"/>
        </w:rPr>
        <w:t xml:space="preserve"> </w:t>
      </w:r>
      <w:r w:rsidR="00E56AEA" w:rsidRPr="009B1409">
        <w:rPr>
          <w:rFonts w:eastAsia="Arial"/>
        </w:rPr>
        <w:t xml:space="preserve">Furthermore, </w:t>
      </w:r>
      <w:r w:rsidR="00FB5706" w:rsidRPr="009B1409">
        <w:rPr>
          <w:rFonts w:eastAsia="Arial"/>
        </w:rPr>
        <w:t>he</w:t>
      </w:r>
      <w:r w:rsidR="0002394A" w:rsidRPr="009B1409">
        <w:rPr>
          <w:rFonts w:eastAsia="Arial"/>
        </w:rPr>
        <w:t xml:space="preserve"> </w:t>
      </w:r>
      <w:r w:rsidR="006C0C4F" w:rsidRPr="009B1409">
        <w:t xml:space="preserve">extensively </w:t>
      </w:r>
      <w:r w:rsidR="00E56AEA" w:rsidRPr="009B1409">
        <w:t>elaborates</w:t>
      </w:r>
      <w:r w:rsidR="006C0C4F" w:rsidRPr="009B1409">
        <w:t xml:space="preserve"> on how the 2011 Arab Spring contributed to the Islamic State of Iraq and the Levant’s emergence and growth, thus, boosting the Religious Wave (Chapter 5)</w:t>
      </w:r>
      <w:r w:rsidR="00FB5706" w:rsidRPr="009B1409">
        <w:rPr>
          <w:rFonts w:eastAsia="Arial"/>
        </w:rPr>
        <w:t xml:space="preserve">, a </w:t>
      </w:r>
      <w:r w:rsidR="00D2794C" w:rsidRPr="009B1409">
        <w:rPr>
          <w:rFonts w:eastAsia="Arial"/>
        </w:rPr>
        <w:t>chapter</w:t>
      </w:r>
      <w:r w:rsidR="00941CDF" w:rsidRPr="009B1409">
        <w:rPr>
          <w:rFonts w:eastAsia="Arial"/>
        </w:rPr>
        <w:t xml:space="preserve"> </w:t>
      </w:r>
      <w:r w:rsidR="00FB5706" w:rsidRPr="009B1409">
        <w:rPr>
          <w:rFonts w:eastAsia="Arial"/>
        </w:rPr>
        <w:t xml:space="preserve">that </w:t>
      </w:r>
      <w:r w:rsidR="00941CDF" w:rsidRPr="009B1409">
        <w:rPr>
          <w:rFonts w:eastAsia="Arial"/>
        </w:rPr>
        <w:t>takes the spotlight u</w:t>
      </w:r>
      <w:r w:rsidR="00D76DD3" w:rsidRPr="009B1409">
        <w:rPr>
          <w:rFonts w:eastAsia="Arial"/>
        </w:rPr>
        <w:t>ntil the</w:t>
      </w:r>
      <w:r w:rsidR="00E00CA0" w:rsidRPr="009B1409">
        <w:rPr>
          <w:rFonts w:eastAsia="Arial"/>
        </w:rPr>
        <w:t xml:space="preserve"> novel</w:t>
      </w:r>
      <w:r w:rsidR="00D76DD3" w:rsidRPr="009B1409">
        <w:rPr>
          <w:rFonts w:eastAsia="Arial"/>
        </w:rPr>
        <w:t xml:space="preserve"> discussion on </w:t>
      </w:r>
      <w:r w:rsidR="0033119F" w:rsidRPr="009B1409">
        <w:rPr>
          <w:rFonts w:eastAsia="Arial"/>
        </w:rPr>
        <w:t>a</w:t>
      </w:r>
      <w:r w:rsidR="00D76DD3" w:rsidRPr="009B1409">
        <w:rPr>
          <w:rFonts w:eastAsia="Arial"/>
        </w:rPr>
        <w:t xml:space="preserve"> </w:t>
      </w:r>
      <w:r w:rsidR="00950188" w:rsidRPr="009B1409">
        <w:rPr>
          <w:rFonts w:eastAsia="Arial"/>
        </w:rPr>
        <w:t>Far-Right Wave</w:t>
      </w:r>
      <w:r w:rsidR="00941CDF" w:rsidRPr="009B1409">
        <w:rPr>
          <w:rFonts w:eastAsia="Arial"/>
        </w:rPr>
        <w:t xml:space="preserve"> (Chapter 6)</w:t>
      </w:r>
      <w:r w:rsidR="00D76DD3" w:rsidRPr="009B1409">
        <w:rPr>
          <w:rFonts w:eastAsia="Arial"/>
        </w:rPr>
        <w:t>.</w:t>
      </w:r>
    </w:p>
    <w:p w14:paraId="4FBCA758" w14:textId="140E1D66" w:rsidR="00E66E8E" w:rsidRPr="009B1409" w:rsidRDefault="00B9724C" w:rsidP="00097282">
      <w:pPr>
        <w:pStyle w:val="Newparagraph"/>
        <w:rPr>
          <w:rFonts w:eastAsia="Arial"/>
        </w:rPr>
      </w:pPr>
      <w:r w:rsidRPr="009B1409">
        <w:t>Previously, Rapoport (2004, 61) had argued that “[…] three events in the Islamic world […]”</w:t>
      </w:r>
      <w:r w:rsidR="006C04D0" w:rsidRPr="009B1409">
        <w:t xml:space="preserve"> </w:t>
      </w:r>
      <w:r w:rsidRPr="009B1409">
        <w:t xml:space="preserve">sparked the Religious Wave: “In 1979, the Iranian Revolution occurred, a new Islamic century began, and the Soviets made an unprovoked invasion of Afghanistan.” </w:t>
      </w:r>
      <w:r w:rsidR="008121B4" w:rsidRPr="009B1409">
        <w:t>Now</w:t>
      </w:r>
      <w:r w:rsidRPr="009B1409">
        <w:t xml:space="preserve">, </w:t>
      </w:r>
      <w:r w:rsidR="006C04D0" w:rsidRPr="009B1409">
        <w:t>the theorist</w:t>
      </w:r>
      <w:r w:rsidRPr="009B1409">
        <w:t xml:space="preserve"> adds the Israel-Egypt Peace Treaty (1979) as “[…] the second crucial event</w:t>
      </w:r>
      <w:r w:rsidR="00346DC3" w:rsidRPr="009B1409">
        <w:t xml:space="preserve"> […]</w:t>
      </w:r>
      <w:r w:rsidRPr="009B1409">
        <w:t xml:space="preserve">” (218). Nevertheless, </w:t>
      </w:r>
      <w:r w:rsidR="006C04D0" w:rsidRPr="009B1409">
        <w:t>he</w:t>
      </w:r>
      <w:r w:rsidR="005E04FE" w:rsidRPr="009B1409">
        <w:t xml:space="preserve"> does not </w:t>
      </w:r>
      <w:r w:rsidR="00FB5706" w:rsidRPr="009B1409">
        <w:t xml:space="preserve">explain </w:t>
      </w:r>
      <w:r w:rsidR="005E04FE" w:rsidRPr="009B1409">
        <w:t>the</w:t>
      </w:r>
      <w:r w:rsidRPr="009B1409">
        <w:t xml:space="preserve"> reason why it was not originally </w:t>
      </w:r>
      <w:r w:rsidR="003724A9" w:rsidRPr="009B1409">
        <w:t>appraised</w:t>
      </w:r>
      <w:r w:rsidRPr="009B1409">
        <w:t>.</w:t>
      </w:r>
      <w:r w:rsidR="00486A10" w:rsidRPr="009B1409">
        <w:t xml:space="preserve"> </w:t>
      </w:r>
      <w:r w:rsidR="00F27437" w:rsidRPr="009B1409">
        <w:t xml:space="preserve">Confusingly, Rapoport argues that “[…] it was not until the third decade of the wave that Islamic groups began targeting Western states like </w:t>
      </w:r>
      <w:r w:rsidR="00F27437" w:rsidRPr="009B1409">
        <w:rPr>
          <w:i/>
          <w:iCs/>
        </w:rPr>
        <w:t>the United States</w:t>
      </w:r>
      <w:r w:rsidR="00F27437" w:rsidRPr="009B1409">
        <w:t>, France, the United Kingdom, and Spain” [emphasis added]</w:t>
      </w:r>
      <w:r w:rsidR="00E66E8E" w:rsidRPr="009B1409">
        <w:t xml:space="preserve"> (209)</w:t>
      </w:r>
      <w:r w:rsidR="00F27437" w:rsidRPr="009B1409">
        <w:t xml:space="preserve">. Perhaps, </w:t>
      </w:r>
      <w:r w:rsidR="00FB5706" w:rsidRPr="009B1409">
        <w:t>he</w:t>
      </w:r>
      <w:r w:rsidR="00F27437" w:rsidRPr="009B1409">
        <w:t xml:space="preserve"> meant the second decade </w:t>
      </w:r>
      <w:r w:rsidR="00603AEB" w:rsidRPr="009B1409">
        <w:t>because</w:t>
      </w:r>
      <w:r w:rsidR="00F27437" w:rsidRPr="009B1409">
        <w:t xml:space="preserve"> “[s]trikes on American soil began in 1993 with a partially successful effort on the World Trade </w:t>
      </w:r>
      <w:proofErr w:type="spellStart"/>
      <w:r w:rsidR="00F27437" w:rsidRPr="009B1409">
        <w:t>Center</w:t>
      </w:r>
      <w:proofErr w:type="spellEnd"/>
      <w:r w:rsidR="00F27437" w:rsidRPr="009B1409">
        <w:t xml:space="preserve">” (366). </w:t>
      </w:r>
      <w:r w:rsidR="00A368EA" w:rsidRPr="009B1409">
        <w:t>In addition</w:t>
      </w:r>
      <w:r w:rsidR="00F27437" w:rsidRPr="009B1409">
        <w:t>, Rapoport argues that “[</w:t>
      </w:r>
      <w:proofErr w:type="spellStart"/>
      <w:r w:rsidR="00F27437" w:rsidRPr="009B1409">
        <w:t>i</w:t>
      </w:r>
      <w:proofErr w:type="spellEnd"/>
      <w:r w:rsidR="00F27437" w:rsidRPr="009B1409">
        <w:t xml:space="preserve">]n 2006, Hamas released an Israeli soldier in exchange for 1,027 Palestinian terrorists and terrorist suspects” (201), then, he argues that “in 2011, when Hamas exchanged an Israeli soldier for 1,027 Palestinian terrorists and terrorist suspects” (202). </w:t>
      </w:r>
      <w:r w:rsidR="00F27437" w:rsidRPr="009B1409">
        <w:rPr>
          <w:rFonts w:eastAsia="Arial"/>
        </w:rPr>
        <w:t xml:space="preserve">The Israeli soldier – Gilad Shalit – was kidnapped on June 25, 2006, and released on October 18, 2011. </w:t>
      </w:r>
      <w:r w:rsidR="005B5EE6" w:rsidRPr="009B1409">
        <w:rPr>
          <w:rFonts w:eastAsia="Arial"/>
        </w:rPr>
        <w:t xml:space="preserve">The phrases above are not the only ones that read almost </w:t>
      </w:r>
      <w:r w:rsidR="00FB5706" w:rsidRPr="009B1409">
        <w:rPr>
          <w:rFonts w:eastAsia="Arial"/>
        </w:rPr>
        <w:t>identically</w:t>
      </w:r>
      <w:r w:rsidR="005B5EE6" w:rsidRPr="009B1409">
        <w:rPr>
          <w:rFonts w:eastAsia="Arial"/>
        </w:rPr>
        <w:t xml:space="preserve"> and are next to each other, suggesting that this chapter could have been better edited</w:t>
      </w:r>
      <w:r w:rsidR="00075425" w:rsidRPr="009B1409">
        <w:rPr>
          <w:rFonts w:eastAsia="Arial"/>
        </w:rPr>
        <w:t>:</w:t>
      </w:r>
    </w:p>
    <w:p w14:paraId="6C48B6F7" w14:textId="77777777" w:rsidR="00030509" w:rsidRPr="009B1409" w:rsidRDefault="00030509" w:rsidP="00030509">
      <w:pPr>
        <w:pStyle w:val="Newparagraph"/>
        <w:ind w:firstLine="0"/>
        <w:rPr>
          <w:rFonts w:eastAsia="Arial"/>
        </w:rPr>
      </w:pPr>
    </w:p>
    <w:p w14:paraId="73CBC598" w14:textId="77777777" w:rsidR="00075425" w:rsidRPr="009B1409" w:rsidRDefault="00075425" w:rsidP="0091259A">
      <w:pPr>
        <w:autoSpaceDE w:val="0"/>
        <w:autoSpaceDN w:val="0"/>
        <w:adjustRightInd w:val="0"/>
        <w:spacing w:line="240" w:lineRule="auto"/>
        <w:ind w:left="1134" w:right="1138"/>
        <w:jc w:val="both"/>
        <w:rPr>
          <w:rFonts w:eastAsia="Arial"/>
        </w:rPr>
      </w:pPr>
      <w:r w:rsidRPr="009B1409">
        <w:t>While the Taliban was eager to negotiate the withdrawal of the American forces, it did not want the “illegitimate” Afghan government present (256).</w:t>
      </w:r>
    </w:p>
    <w:p w14:paraId="6B684BD5" w14:textId="77777777" w:rsidR="00075425" w:rsidRPr="009B1409" w:rsidRDefault="00075425" w:rsidP="0091259A">
      <w:pPr>
        <w:autoSpaceDE w:val="0"/>
        <w:autoSpaceDN w:val="0"/>
        <w:adjustRightInd w:val="0"/>
        <w:spacing w:line="240" w:lineRule="auto"/>
        <w:ind w:left="1134" w:right="1138"/>
        <w:jc w:val="both"/>
        <w:rPr>
          <w:rFonts w:eastAsia="Arial"/>
        </w:rPr>
      </w:pPr>
    </w:p>
    <w:p w14:paraId="668FA41C" w14:textId="1B320EB6" w:rsidR="00075425" w:rsidRPr="009B1409" w:rsidRDefault="00075425" w:rsidP="0091259A">
      <w:pPr>
        <w:pStyle w:val="Newparagraph"/>
        <w:spacing w:line="240" w:lineRule="auto"/>
        <w:ind w:left="1134" w:right="1138" w:firstLine="0"/>
        <w:jc w:val="both"/>
        <w:rPr>
          <w:rFonts w:eastAsia="Arial"/>
        </w:rPr>
      </w:pPr>
      <w:r w:rsidRPr="009B1409">
        <w:t>The Taliban was eager to negotiate an American withdrawal but did not want the “illegitimate” Afghan government present (258).</w:t>
      </w:r>
    </w:p>
    <w:p w14:paraId="2D1D3ADC" w14:textId="77777777" w:rsidR="0091259A" w:rsidRPr="009B1409" w:rsidRDefault="0091259A" w:rsidP="00EF7706">
      <w:pPr>
        <w:pStyle w:val="Newparagraph"/>
        <w:ind w:firstLine="0"/>
        <w:rPr>
          <w:rFonts w:eastAsia="Arial"/>
        </w:rPr>
      </w:pPr>
    </w:p>
    <w:p w14:paraId="3FDCAD78" w14:textId="505042D1" w:rsidR="00B9724C" w:rsidRPr="009B1409" w:rsidRDefault="004D28BD" w:rsidP="004F3869">
      <w:pPr>
        <w:pStyle w:val="Newparagraph"/>
        <w:rPr>
          <w:rFonts w:eastAsia="Arial"/>
        </w:rPr>
      </w:pPr>
      <w:r w:rsidRPr="009B1409">
        <w:rPr>
          <w:rFonts w:eastAsia="Arial"/>
        </w:rPr>
        <w:t xml:space="preserve">Besides being the geographical lynchpin to the Religious Wave, the Middle East had already been a hotspot throughout the Anticolonial and New Left Waves. </w:t>
      </w:r>
      <w:r w:rsidR="00B9724C" w:rsidRPr="009B1409">
        <w:rPr>
          <w:rFonts w:eastAsia="Arial"/>
        </w:rPr>
        <w:t xml:space="preserve">Europeanists should </w:t>
      </w:r>
      <w:r w:rsidR="00FB5706" w:rsidRPr="009B1409">
        <w:rPr>
          <w:rFonts w:eastAsia="Arial"/>
        </w:rPr>
        <w:t xml:space="preserve">find </w:t>
      </w:r>
      <w:r w:rsidR="00B9724C" w:rsidRPr="009B1409">
        <w:rPr>
          <w:rFonts w:eastAsia="Arial"/>
        </w:rPr>
        <w:t xml:space="preserve">this book </w:t>
      </w:r>
      <w:r w:rsidR="00FB5706" w:rsidRPr="009B1409">
        <w:rPr>
          <w:rFonts w:eastAsia="Arial"/>
        </w:rPr>
        <w:t xml:space="preserve">useful </w:t>
      </w:r>
      <w:r w:rsidR="00B9724C" w:rsidRPr="009B1409">
        <w:rPr>
          <w:rFonts w:eastAsia="Arial"/>
        </w:rPr>
        <w:t xml:space="preserve">as a teaching resource, considering that </w:t>
      </w:r>
      <w:r w:rsidR="00AD42D1" w:rsidRPr="009B1409">
        <w:rPr>
          <w:rFonts w:eastAsia="Arial"/>
        </w:rPr>
        <w:t>Rapoport discusses</w:t>
      </w:r>
      <w:r w:rsidR="00B9724C" w:rsidRPr="009B1409">
        <w:rPr>
          <w:rFonts w:eastAsia="Arial"/>
        </w:rPr>
        <w:t xml:space="preserve"> Europe-based organi</w:t>
      </w:r>
      <w:r w:rsidR="00261EE8" w:rsidRPr="009B1409">
        <w:rPr>
          <w:rFonts w:eastAsia="Arial"/>
        </w:rPr>
        <w:t>s</w:t>
      </w:r>
      <w:r w:rsidR="00B9724C" w:rsidRPr="009B1409">
        <w:rPr>
          <w:rFonts w:eastAsia="Arial"/>
        </w:rPr>
        <w:t xml:space="preserve">ations </w:t>
      </w:r>
      <w:r w:rsidR="00497D07" w:rsidRPr="009B1409">
        <w:rPr>
          <w:rFonts w:eastAsia="Arial"/>
        </w:rPr>
        <w:t>within</w:t>
      </w:r>
      <w:r w:rsidR="00B9724C" w:rsidRPr="009B1409">
        <w:rPr>
          <w:rFonts w:eastAsia="Arial"/>
        </w:rPr>
        <w:t xml:space="preserve"> </w:t>
      </w:r>
      <w:r w:rsidR="00C36116" w:rsidRPr="009B1409">
        <w:rPr>
          <w:rFonts w:eastAsia="Arial"/>
        </w:rPr>
        <w:t>all</w:t>
      </w:r>
      <w:r w:rsidR="00B9724C" w:rsidRPr="009B1409">
        <w:rPr>
          <w:rFonts w:eastAsia="Arial"/>
        </w:rPr>
        <w:t xml:space="preserve"> Waves. </w:t>
      </w:r>
      <w:r w:rsidR="004F3869" w:rsidRPr="009B1409">
        <w:rPr>
          <w:rFonts w:eastAsia="Arial"/>
        </w:rPr>
        <w:t xml:space="preserve">Although dedicating substantial attention to Africa during the Anticolonial Wave, Rapoport neglects </w:t>
      </w:r>
      <w:r w:rsidR="001173E1" w:rsidRPr="009B1409">
        <w:rPr>
          <w:rFonts w:eastAsia="Arial"/>
        </w:rPr>
        <w:t xml:space="preserve">it </w:t>
      </w:r>
      <w:r w:rsidR="004F3869" w:rsidRPr="009B1409">
        <w:rPr>
          <w:rFonts w:eastAsia="Arial"/>
        </w:rPr>
        <w:t xml:space="preserve">by not thoroughly discussing Nigeria’s Boko Haram during the Religious Wave. </w:t>
      </w:r>
      <w:r w:rsidR="00B9724C" w:rsidRPr="009B1409">
        <w:rPr>
          <w:rFonts w:eastAsia="Arial"/>
        </w:rPr>
        <w:t>Latin America has a</w:t>
      </w:r>
      <w:r w:rsidR="000A44AA" w:rsidRPr="009B1409">
        <w:rPr>
          <w:rFonts w:eastAsia="Arial"/>
        </w:rPr>
        <w:t xml:space="preserve"> more</w:t>
      </w:r>
      <w:r w:rsidR="00B9724C" w:rsidRPr="009B1409">
        <w:rPr>
          <w:rFonts w:eastAsia="Arial"/>
        </w:rPr>
        <w:t xml:space="preserve"> dubious treatment. Rapoport does argue that “</w:t>
      </w:r>
      <w:r w:rsidR="00B9724C" w:rsidRPr="009B1409">
        <w:t xml:space="preserve">Europe and Latin America </w:t>
      </w:r>
      <w:r w:rsidR="007077A7" w:rsidRPr="009B1409">
        <w:t>[</w:t>
      </w:r>
      <w:r w:rsidR="00B9724C" w:rsidRPr="009B1409">
        <w:t>were</w:t>
      </w:r>
      <w:r w:rsidR="007077A7" w:rsidRPr="009B1409">
        <w:t xml:space="preserve">] </w:t>
      </w:r>
      <w:r w:rsidR="00B9724C" w:rsidRPr="009B1409">
        <w:t>the major geographical sites for First and Third Wave attacks […]</w:t>
      </w:r>
      <w:r w:rsidR="00B9724C" w:rsidRPr="009B1409">
        <w:rPr>
          <w:rFonts w:eastAsia="Arial"/>
        </w:rPr>
        <w:t>” (199) and adds that it began to dissipate around the 1910s: “After 1914, only ten states experienced terror; all were in Europe or the Americas: Italy, Spain, France, Russia, Portugal, Bulgaria, the United States, Argentina, Uruguay, and Brazil”</w:t>
      </w:r>
      <w:r w:rsidR="00D263C9" w:rsidRPr="009B1409">
        <w:rPr>
          <w:rFonts w:eastAsia="Arial"/>
        </w:rPr>
        <w:t xml:space="preserve"> (102)</w:t>
      </w:r>
      <w:r w:rsidR="00B9724C" w:rsidRPr="009B1409">
        <w:rPr>
          <w:rFonts w:eastAsia="Arial"/>
        </w:rPr>
        <w:t xml:space="preserve">. Still, </w:t>
      </w:r>
      <w:r w:rsidR="00D334CF" w:rsidRPr="009B1409">
        <w:rPr>
          <w:rFonts w:eastAsia="Arial"/>
        </w:rPr>
        <w:t xml:space="preserve">he does not dedicate a </w:t>
      </w:r>
      <w:r w:rsidR="00B9724C" w:rsidRPr="009B1409">
        <w:rPr>
          <w:rFonts w:eastAsia="Arial"/>
        </w:rPr>
        <w:t>single line to discussing the Argentinian, Brazilian and Uruguayan cases.</w:t>
      </w:r>
      <w:r w:rsidR="00D334CF" w:rsidRPr="009B1409">
        <w:rPr>
          <w:rFonts w:eastAsia="Arial"/>
        </w:rPr>
        <w:t xml:space="preserve"> In his discussion of the New Left Wave, </w:t>
      </w:r>
      <w:r w:rsidR="004F3869" w:rsidRPr="009B1409">
        <w:rPr>
          <w:rFonts w:eastAsia="Arial"/>
        </w:rPr>
        <w:t xml:space="preserve">to some extent, Rapoport compensates Latin Americanists, even </w:t>
      </w:r>
      <w:r w:rsidR="00D334CF" w:rsidRPr="009B1409">
        <w:rPr>
          <w:rFonts w:eastAsia="Arial"/>
        </w:rPr>
        <w:t xml:space="preserve">though not many will agree that Uruguay’s </w:t>
      </w:r>
      <w:r w:rsidR="00D334CF" w:rsidRPr="009B1409">
        <w:rPr>
          <w:rFonts w:eastAsia="Arial"/>
          <w:i/>
          <w:iCs/>
        </w:rPr>
        <w:t>Tupamaros</w:t>
      </w:r>
      <w:r w:rsidR="00D334CF" w:rsidRPr="009B1409">
        <w:rPr>
          <w:rFonts w:eastAsia="Arial"/>
        </w:rPr>
        <w:t xml:space="preserve"> succeeded, as he argues, and many will miss a detailed discussion on Peru’s </w:t>
      </w:r>
      <w:r w:rsidR="00D334CF" w:rsidRPr="009B1409">
        <w:rPr>
          <w:rFonts w:eastAsia="Arial"/>
          <w:i/>
          <w:iCs/>
        </w:rPr>
        <w:t>Sendero Luminoso</w:t>
      </w:r>
      <w:r w:rsidR="00D334CF" w:rsidRPr="009B1409">
        <w:rPr>
          <w:rFonts w:eastAsia="Arial"/>
        </w:rPr>
        <w:t xml:space="preserve">. </w:t>
      </w:r>
      <w:r w:rsidR="00B9724C" w:rsidRPr="009B1409">
        <w:rPr>
          <w:rFonts w:eastAsia="Arial"/>
        </w:rPr>
        <w:t xml:space="preserve">Non-Portuguese speakers </w:t>
      </w:r>
      <w:r w:rsidR="00613D9A" w:rsidRPr="009B1409">
        <w:rPr>
          <w:rFonts w:eastAsia="Arial"/>
        </w:rPr>
        <w:t xml:space="preserve">may </w:t>
      </w:r>
      <w:r w:rsidR="00B9724C" w:rsidRPr="009B1409">
        <w:rPr>
          <w:rFonts w:eastAsia="Arial"/>
        </w:rPr>
        <w:t>not reali</w:t>
      </w:r>
      <w:r w:rsidR="00261EE8" w:rsidRPr="009B1409">
        <w:rPr>
          <w:rFonts w:eastAsia="Arial"/>
        </w:rPr>
        <w:t>s</w:t>
      </w:r>
      <w:r w:rsidR="00B9724C" w:rsidRPr="009B1409">
        <w:rPr>
          <w:rFonts w:eastAsia="Arial"/>
        </w:rPr>
        <w:t xml:space="preserve">e that </w:t>
      </w:r>
      <w:r w:rsidR="00613D9A" w:rsidRPr="009B1409">
        <w:rPr>
          <w:rFonts w:eastAsia="Arial"/>
        </w:rPr>
        <w:t xml:space="preserve">he </w:t>
      </w:r>
      <w:r w:rsidR="00B9724C" w:rsidRPr="009B1409">
        <w:rPr>
          <w:rFonts w:eastAsia="Arial"/>
        </w:rPr>
        <w:t xml:space="preserve">misspells Brazil’s </w:t>
      </w:r>
      <w:proofErr w:type="spellStart"/>
      <w:r w:rsidR="00A7104B" w:rsidRPr="009B1409">
        <w:rPr>
          <w:i/>
          <w:iCs/>
        </w:rPr>
        <w:t>Ação</w:t>
      </w:r>
      <w:proofErr w:type="spellEnd"/>
      <w:r w:rsidR="00A7104B" w:rsidRPr="009B1409">
        <w:rPr>
          <w:i/>
          <w:iCs/>
        </w:rPr>
        <w:t xml:space="preserve"> Nacional </w:t>
      </w:r>
      <w:proofErr w:type="spellStart"/>
      <w:r w:rsidR="00A7104B" w:rsidRPr="009B1409">
        <w:rPr>
          <w:i/>
          <w:iCs/>
        </w:rPr>
        <w:t>Libertadora</w:t>
      </w:r>
      <w:proofErr w:type="spellEnd"/>
      <w:r w:rsidR="00A7104B" w:rsidRPr="009B1409" w:rsidDel="00A7104B">
        <w:rPr>
          <w:rFonts w:eastAsia="Arial"/>
        </w:rPr>
        <w:t xml:space="preserve"> </w:t>
      </w:r>
      <w:r w:rsidR="00B9724C" w:rsidRPr="009B1409">
        <w:rPr>
          <w:rFonts w:eastAsia="Arial"/>
        </w:rPr>
        <w:t>and not everyone will wonder about Haiti when reading that “[a]</w:t>
      </w:r>
      <w:proofErr w:type="spellStart"/>
      <w:r w:rsidR="00B9724C" w:rsidRPr="009B1409">
        <w:rPr>
          <w:rFonts w:eastAsia="Arial"/>
        </w:rPr>
        <w:t>ll</w:t>
      </w:r>
      <w:proofErr w:type="spellEnd"/>
      <w:r w:rsidR="00B9724C" w:rsidRPr="009B1409">
        <w:rPr>
          <w:rFonts w:eastAsia="Arial"/>
        </w:rPr>
        <w:t xml:space="preserve"> Latin Americans speak Spanish except Brazilians, who speak Portuguese” (159).</w:t>
      </w:r>
    </w:p>
    <w:p w14:paraId="7E87FAA7" w14:textId="17AFD14D" w:rsidR="004D28BD" w:rsidRPr="009B1409" w:rsidRDefault="004D28BD" w:rsidP="004D28BD">
      <w:pPr>
        <w:pStyle w:val="Newparagraph"/>
        <w:rPr>
          <w:rFonts w:eastAsia="Arial"/>
        </w:rPr>
      </w:pPr>
      <w:r w:rsidRPr="009B1409">
        <w:rPr>
          <w:rFonts w:eastAsia="Arial"/>
        </w:rPr>
        <w:t xml:space="preserve">Apropos, regarding other elements that had been originally theorised (see Rapoport 2004), Rapoport describes how the U.S. and the U.S.S.R./Russia supported or </w:t>
      </w:r>
      <w:r w:rsidRPr="009B1409">
        <w:rPr>
          <w:rFonts w:eastAsia="Arial"/>
        </w:rPr>
        <w:lastRenderedPageBreak/>
        <w:t xml:space="preserve">countered organisations within each Wave. </w:t>
      </w:r>
      <w:r w:rsidR="00FB37C8" w:rsidRPr="009B1409">
        <w:rPr>
          <w:rFonts w:eastAsia="Arial"/>
        </w:rPr>
        <w:t>Two</w:t>
      </w:r>
      <w:r w:rsidRPr="009B1409">
        <w:rPr>
          <w:rFonts w:eastAsia="Arial"/>
        </w:rPr>
        <w:t xml:space="preserve"> other elements seem more relevant than they originally seemed and permeate all Waves: Infiltration as a counter-terrorism tactic and the role played by women.</w:t>
      </w:r>
    </w:p>
    <w:p w14:paraId="7132F757" w14:textId="685E7A59" w:rsidR="00B9724C" w:rsidRPr="009B1409" w:rsidRDefault="00613D9A" w:rsidP="004605D0">
      <w:pPr>
        <w:pStyle w:val="Newparagraph"/>
        <w:rPr>
          <w:rFonts w:eastAsia="Arial"/>
        </w:rPr>
      </w:pPr>
      <w:r w:rsidRPr="009B1409">
        <w:rPr>
          <w:rFonts w:eastAsia="Arial"/>
        </w:rPr>
        <w:t>Rapoport’s discussion of</w:t>
      </w:r>
      <w:r w:rsidR="000C3FFD" w:rsidRPr="009B1409">
        <w:rPr>
          <w:rFonts w:eastAsia="Arial"/>
        </w:rPr>
        <w:t xml:space="preserve"> </w:t>
      </w:r>
      <w:r w:rsidR="00B9724C" w:rsidRPr="009B1409">
        <w:rPr>
          <w:rFonts w:eastAsia="Arial"/>
        </w:rPr>
        <w:t xml:space="preserve">Far-Right </w:t>
      </w:r>
      <w:r w:rsidR="002961D9" w:rsidRPr="009B1409">
        <w:rPr>
          <w:rFonts w:eastAsia="Arial"/>
        </w:rPr>
        <w:t>Terrorism</w:t>
      </w:r>
      <w:r w:rsidR="000C3FFD" w:rsidRPr="009B1409">
        <w:rPr>
          <w:rFonts w:eastAsia="Arial"/>
        </w:rPr>
        <w:t xml:space="preserve"> </w:t>
      </w:r>
      <w:r w:rsidR="00B9724C" w:rsidRPr="009B1409">
        <w:rPr>
          <w:rFonts w:eastAsia="Arial"/>
        </w:rPr>
        <w:t>conv</w:t>
      </w:r>
      <w:r w:rsidRPr="009B1409">
        <w:rPr>
          <w:rFonts w:eastAsia="Arial"/>
        </w:rPr>
        <w:t>e</w:t>
      </w:r>
      <w:r w:rsidR="00B9724C" w:rsidRPr="009B1409">
        <w:rPr>
          <w:rFonts w:eastAsia="Arial"/>
        </w:rPr>
        <w:t xml:space="preserve">ys the novelty </w:t>
      </w:r>
      <w:r w:rsidR="007B01DF" w:rsidRPr="009B1409">
        <w:rPr>
          <w:rFonts w:eastAsia="Arial"/>
        </w:rPr>
        <w:t xml:space="preserve">that </w:t>
      </w:r>
      <w:r w:rsidR="00B9724C" w:rsidRPr="009B1409">
        <w:rPr>
          <w:rFonts w:eastAsia="Arial"/>
        </w:rPr>
        <w:t xml:space="preserve">most </w:t>
      </w:r>
      <w:r w:rsidR="002961D9" w:rsidRPr="009B1409">
        <w:rPr>
          <w:rFonts w:eastAsia="Arial"/>
        </w:rPr>
        <w:t xml:space="preserve">readers </w:t>
      </w:r>
      <w:r w:rsidRPr="009B1409">
        <w:rPr>
          <w:rFonts w:eastAsia="Arial"/>
        </w:rPr>
        <w:t xml:space="preserve">will </w:t>
      </w:r>
      <w:r w:rsidR="002961D9" w:rsidRPr="009B1409">
        <w:rPr>
          <w:rFonts w:eastAsia="Arial"/>
        </w:rPr>
        <w:t>expect</w:t>
      </w:r>
      <w:r w:rsidR="00B9724C" w:rsidRPr="009B1409">
        <w:rPr>
          <w:rFonts w:eastAsia="Arial"/>
        </w:rPr>
        <w:t xml:space="preserve"> by reading this book</w:t>
      </w:r>
      <w:r w:rsidR="007B01DF" w:rsidRPr="009B1409">
        <w:rPr>
          <w:rFonts w:eastAsia="Arial"/>
        </w:rPr>
        <w:t xml:space="preserve">. It </w:t>
      </w:r>
      <w:r w:rsidR="00B9724C" w:rsidRPr="009B1409">
        <w:rPr>
          <w:rFonts w:eastAsia="Arial"/>
        </w:rPr>
        <w:t>begins well but ends lack</w:t>
      </w:r>
      <w:r w:rsidR="00976A58" w:rsidRPr="009B1409">
        <w:rPr>
          <w:rFonts w:eastAsia="Arial"/>
        </w:rPr>
        <w:t>ing</w:t>
      </w:r>
      <w:r w:rsidR="00B9724C" w:rsidRPr="009B1409">
        <w:rPr>
          <w:rFonts w:eastAsia="Arial"/>
        </w:rPr>
        <w:t xml:space="preserve"> </w:t>
      </w:r>
      <w:r w:rsidR="00976A58" w:rsidRPr="009B1409">
        <w:rPr>
          <w:rFonts w:eastAsia="Arial"/>
        </w:rPr>
        <w:t>a bold conclusion</w:t>
      </w:r>
      <w:r w:rsidR="00B9724C" w:rsidRPr="009B1409">
        <w:rPr>
          <w:rFonts w:eastAsia="Arial"/>
        </w:rPr>
        <w:t xml:space="preserve">. </w:t>
      </w:r>
      <w:r w:rsidR="00583743" w:rsidRPr="009B1409">
        <w:rPr>
          <w:rFonts w:eastAsia="Arial"/>
        </w:rPr>
        <w:t>As an early-career Terrorism Studies scholar, it was g</w:t>
      </w:r>
      <w:r w:rsidR="00B9724C" w:rsidRPr="009B1409">
        <w:rPr>
          <w:rFonts w:eastAsia="Arial"/>
        </w:rPr>
        <w:t xml:space="preserve">ood to see a </w:t>
      </w:r>
      <w:r w:rsidRPr="009B1409">
        <w:rPr>
          <w:rFonts w:eastAsia="Arial"/>
        </w:rPr>
        <w:t>‘</w:t>
      </w:r>
      <w:r w:rsidR="00B9724C" w:rsidRPr="009B1409">
        <w:rPr>
          <w:rFonts w:eastAsia="Arial"/>
        </w:rPr>
        <w:t>big name</w:t>
      </w:r>
      <w:r w:rsidRPr="009B1409">
        <w:rPr>
          <w:rFonts w:eastAsia="Arial"/>
        </w:rPr>
        <w:t>’</w:t>
      </w:r>
      <w:r w:rsidR="00B9724C" w:rsidRPr="009B1409">
        <w:rPr>
          <w:rFonts w:eastAsia="Arial"/>
        </w:rPr>
        <w:t xml:space="preserve"> </w:t>
      </w:r>
      <w:bookmarkStart w:id="1" w:name="_Int_ZqOR6uJ5"/>
      <w:r w:rsidR="00B9724C" w:rsidRPr="009B1409">
        <w:rPr>
          <w:rFonts w:eastAsia="Arial"/>
        </w:rPr>
        <w:t>displaying</w:t>
      </w:r>
      <w:bookmarkEnd w:id="1"/>
      <w:r w:rsidR="00B9724C" w:rsidRPr="009B1409">
        <w:rPr>
          <w:rFonts w:eastAsia="Arial"/>
        </w:rPr>
        <w:t xml:space="preserve"> excellent academic conduct</w:t>
      </w:r>
      <w:r w:rsidR="00C32DF7" w:rsidRPr="009B1409">
        <w:rPr>
          <w:rFonts w:eastAsia="Arial"/>
        </w:rPr>
        <w:t xml:space="preserve"> </w:t>
      </w:r>
      <w:r w:rsidR="008D1A34" w:rsidRPr="009B1409">
        <w:rPr>
          <w:rFonts w:eastAsia="Arial"/>
        </w:rPr>
        <w:t>by</w:t>
      </w:r>
      <w:r w:rsidR="00C32DF7" w:rsidRPr="009B1409">
        <w:rPr>
          <w:rFonts w:eastAsia="Arial"/>
        </w:rPr>
        <w:t xml:space="preserve"> </w:t>
      </w:r>
      <w:r w:rsidR="008D1A34" w:rsidRPr="009B1409">
        <w:rPr>
          <w:rFonts w:eastAsia="Arial"/>
        </w:rPr>
        <w:t>acknowledging</w:t>
      </w:r>
      <w:r w:rsidR="00B9724C" w:rsidRPr="009B1409">
        <w:rPr>
          <w:rFonts w:eastAsia="Arial"/>
        </w:rPr>
        <w:t xml:space="preserve"> not only established </w:t>
      </w:r>
      <w:r w:rsidR="000F285E" w:rsidRPr="009B1409">
        <w:rPr>
          <w:rFonts w:eastAsia="Arial"/>
        </w:rPr>
        <w:t xml:space="preserve">but also </w:t>
      </w:r>
      <w:r w:rsidR="00E82A94" w:rsidRPr="009B1409">
        <w:rPr>
          <w:rFonts w:eastAsia="Arial"/>
        </w:rPr>
        <w:t xml:space="preserve">other </w:t>
      </w:r>
      <w:r w:rsidR="000F285E" w:rsidRPr="009B1409">
        <w:rPr>
          <w:rFonts w:eastAsia="Arial"/>
        </w:rPr>
        <w:t xml:space="preserve">early-career </w:t>
      </w:r>
      <w:r w:rsidR="00E82A94" w:rsidRPr="009B1409">
        <w:rPr>
          <w:rFonts w:eastAsia="Arial"/>
        </w:rPr>
        <w:t xml:space="preserve">colleagues </w:t>
      </w:r>
      <w:r w:rsidR="00B9724C" w:rsidRPr="009B1409">
        <w:rPr>
          <w:rFonts w:eastAsia="Arial"/>
        </w:rPr>
        <w:t xml:space="preserve">who had applied the Rapoportian Wave Theory to understand Far-Right Terrorism. </w:t>
      </w:r>
      <w:r w:rsidR="006953A6" w:rsidRPr="009B1409">
        <w:rPr>
          <w:rFonts w:eastAsia="Arial"/>
        </w:rPr>
        <w:t>Rapoport largely use</w:t>
      </w:r>
      <w:r w:rsidR="008260A3" w:rsidRPr="009B1409">
        <w:rPr>
          <w:rFonts w:eastAsia="Arial"/>
        </w:rPr>
        <w:t>s</w:t>
      </w:r>
      <w:r w:rsidR="006953A6" w:rsidRPr="009B1409">
        <w:rPr>
          <w:rFonts w:eastAsia="Arial"/>
        </w:rPr>
        <w:t xml:space="preserve"> data that had been gathered </w:t>
      </w:r>
      <w:r w:rsidR="00E82A94" w:rsidRPr="009B1409">
        <w:rPr>
          <w:rFonts w:eastAsia="Arial"/>
        </w:rPr>
        <w:t>to test</w:t>
      </w:r>
      <w:r w:rsidR="006953A6" w:rsidRPr="009B1409">
        <w:rPr>
          <w:rFonts w:eastAsia="Arial"/>
        </w:rPr>
        <w:t xml:space="preserve"> the New Left and Religious </w:t>
      </w:r>
      <w:r w:rsidR="00597A7F" w:rsidRPr="009B1409">
        <w:rPr>
          <w:rFonts w:eastAsia="Arial"/>
        </w:rPr>
        <w:t>Waves and</w:t>
      </w:r>
      <w:r w:rsidR="00394784" w:rsidRPr="009B1409">
        <w:rPr>
          <w:rFonts w:eastAsia="Arial"/>
        </w:rPr>
        <w:t xml:space="preserve"> could</w:t>
      </w:r>
      <w:r w:rsidR="00F23E4F" w:rsidRPr="009B1409">
        <w:rPr>
          <w:rFonts w:eastAsia="Arial"/>
        </w:rPr>
        <w:t xml:space="preserve"> also</w:t>
      </w:r>
      <w:r w:rsidR="00394784" w:rsidRPr="009B1409">
        <w:rPr>
          <w:rFonts w:eastAsia="Arial"/>
        </w:rPr>
        <w:t xml:space="preserve"> have </w:t>
      </w:r>
      <w:r w:rsidR="00F23E4F" w:rsidRPr="009B1409">
        <w:rPr>
          <w:rFonts w:eastAsia="Arial"/>
        </w:rPr>
        <w:t xml:space="preserve">used </w:t>
      </w:r>
      <w:r w:rsidR="00B9724C" w:rsidRPr="009B1409">
        <w:rPr>
          <w:rFonts w:eastAsia="Arial"/>
        </w:rPr>
        <w:t xml:space="preserve">Jonathan Collins’ (2021) large-N analysis of Far-Right </w:t>
      </w:r>
      <w:r w:rsidR="00A94519" w:rsidRPr="009B1409">
        <w:rPr>
          <w:rFonts w:eastAsia="Arial"/>
        </w:rPr>
        <w:t>Terrorism</w:t>
      </w:r>
      <w:r w:rsidR="00B9724C" w:rsidRPr="009B1409">
        <w:rPr>
          <w:rFonts w:eastAsia="Arial"/>
        </w:rPr>
        <w:t xml:space="preserve"> across France, the </w:t>
      </w:r>
      <w:proofErr w:type="gramStart"/>
      <w:r w:rsidR="00B9724C" w:rsidRPr="009B1409">
        <w:rPr>
          <w:rFonts w:eastAsia="Arial"/>
        </w:rPr>
        <w:t>U.K.</w:t>
      </w:r>
      <w:proofErr w:type="gramEnd"/>
      <w:r w:rsidR="00B9724C" w:rsidRPr="009B1409">
        <w:rPr>
          <w:rFonts w:eastAsia="Arial"/>
        </w:rPr>
        <w:t xml:space="preserve"> and the U.S.</w:t>
      </w:r>
      <w:r w:rsidRPr="009B1409">
        <w:rPr>
          <w:rFonts w:eastAsia="Arial"/>
        </w:rPr>
        <w:t>, given that i</w:t>
      </w:r>
      <w:r w:rsidR="00B9724C" w:rsidRPr="009B1409">
        <w:rPr>
          <w:rFonts w:eastAsia="Arial"/>
        </w:rPr>
        <w:t>t suits well the geographical scope that concentrates on Europe and the U.S. across the last chapter.</w:t>
      </w:r>
    </w:p>
    <w:p w14:paraId="23F8E595" w14:textId="059488B7" w:rsidR="00003A6A" w:rsidRPr="009B1409" w:rsidRDefault="00F01A2B" w:rsidP="000C326B">
      <w:pPr>
        <w:pStyle w:val="Newparagraph"/>
        <w:rPr>
          <w:rFonts w:eastAsia="Arial"/>
        </w:rPr>
      </w:pPr>
      <w:r w:rsidRPr="009B1409">
        <w:rPr>
          <w:rFonts w:eastAsia="Arial"/>
        </w:rPr>
        <w:t>I</w:t>
      </w:r>
      <w:r w:rsidR="00BC7DC9" w:rsidRPr="009B1409">
        <w:rPr>
          <w:rFonts w:eastAsia="Arial"/>
        </w:rPr>
        <w:t xml:space="preserve">slamophobia </w:t>
      </w:r>
      <w:r w:rsidR="00294ABC" w:rsidRPr="009B1409">
        <w:rPr>
          <w:rFonts w:eastAsia="Arial"/>
        </w:rPr>
        <w:t>and xenophobia</w:t>
      </w:r>
      <w:r w:rsidRPr="009B1409">
        <w:rPr>
          <w:rFonts w:eastAsia="Arial"/>
        </w:rPr>
        <w:t xml:space="preserve"> appear as </w:t>
      </w:r>
      <w:r w:rsidR="00483E58" w:rsidRPr="009B1409">
        <w:rPr>
          <w:rFonts w:eastAsia="Arial"/>
        </w:rPr>
        <w:t>big themes</w:t>
      </w:r>
      <w:r w:rsidRPr="009B1409">
        <w:rPr>
          <w:rFonts w:eastAsia="Arial"/>
        </w:rPr>
        <w:t xml:space="preserve"> </w:t>
      </w:r>
      <w:r w:rsidR="00483E58" w:rsidRPr="009B1409">
        <w:rPr>
          <w:rFonts w:eastAsia="Arial"/>
        </w:rPr>
        <w:t>under</w:t>
      </w:r>
      <w:r w:rsidRPr="009B1409">
        <w:rPr>
          <w:rFonts w:eastAsia="Arial"/>
        </w:rPr>
        <w:t xml:space="preserve"> Far-Right Terrorism. </w:t>
      </w:r>
      <w:r w:rsidR="00B9724C" w:rsidRPr="009B1409">
        <w:rPr>
          <w:rFonts w:eastAsia="Arial"/>
        </w:rPr>
        <w:t>While mapping out Far-Right movements</w:t>
      </w:r>
      <w:r w:rsidR="004866BF" w:rsidRPr="009B1409">
        <w:rPr>
          <w:rFonts w:eastAsia="Arial"/>
        </w:rPr>
        <w:t xml:space="preserve"> across Europe</w:t>
      </w:r>
      <w:r w:rsidR="00B9724C" w:rsidRPr="009B1409">
        <w:rPr>
          <w:rFonts w:eastAsia="Arial"/>
        </w:rPr>
        <w:t>, Rapoport</w:t>
      </w:r>
      <w:r w:rsidR="005E40DE" w:rsidRPr="009B1409">
        <w:rPr>
          <w:rFonts w:eastAsia="Arial"/>
        </w:rPr>
        <w:t xml:space="preserve"> argues that</w:t>
      </w:r>
      <w:r w:rsidR="00B9724C" w:rsidRPr="009B1409">
        <w:rPr>
          <w:rFonts w:eastAsia="Arial"/>
        </w:rPr>
        <w:t xml:space="preserve"> “[o]</w:t>
      </w:r>
      <w:proofErr w:type="spellStart"/>
      <w:r w:rsidR="00B9724C" w:rsidRPr="009B1409">
        <w:rPr>
          <w:rFonts w:eastAsia="Arial"/>
        </w:rPr>
        <w:t>nly</w:t>
      </w:r>
      <w:proofErr w:type="spellEnd"/>
      <w:r w:rsidR="00B9724C" w:rsidRPr="009B1409">
        <w:rPr>
          <w:rFonts w:eastAsia="Arial"/>
        </w:rPr>
        <w:t xml:space="preserve"> Portugal still welcomes immigrants</w:t>
      </w:r>
      <w:r w:rsidR="00AA370C" w:rsidRPr="009B1409">
        <w:rPr>
          <w:rFonts w:eastAsia="Arial"/>
        </w:rPr>
        <w:t>,</w:t>
      </w:r>
      <w:r w:rsidR="00B9724C" w:rsidRPr="009B1409">
        <w:rPr>
          <w:rFonts w:eastAsia="Arial"/>
        </w:rPr>
        <w:t>”</w:t>
      </w:r>
      <w:r w:rsidR="004D6D24" w:rsidRPr="009B1409">
        <w:rPr>
          <w:rFonts w:eastAsia="Arial"/>
        </w:rPr>
        <w:t xml:space="preserve"> </w:t>
      </w:r>
      <w:r w:rsidR="00AA370C" w:rsidRPr="009B1409">
        <w:rPr>
          <w:rFonts w:eastAsia="Arial"/>
        </w:rPr>
        <w:t>apparently, because “</w:t>
      </w:r>
      <w:r w:rsidR="003E53D6" w:rsidRPr="009B1409">
        <w:rPr>
          <w:rFonts w:eastAsia="Arial"/>
        </w:rPr>
        <w:t>Portugal has few Muslims;</w:t>
      </w:r>
      <w:r w:rsidR="00134272" w:rsidRPr="009B1409">
        <w:rPr>
          <w:rFonts w:eastAsia="Arial"/>
        </w:rPr>
        <w:t xml:space="preserve"> </w:t>
      </w:r>
      <w:r w:rsidR="00AA370C" w:rsidRPr="009B1409">
        <w:rPr>
          <w:rFonts w:eastAsia="Arial"/>
        </w:rPr>
        <w:t xml:space="preserve">most immigrants come from former colonial territories like Brazil and speak Portuguese” </w:t>
      </w:r>
      <w:r w:rsidR="004D6D24" w:rsidRPr="009B1409">
        <w:rPr>
          <w:rFonts w:eastAsia="Arial"/>
        </w:rPr>
        <w:t>(279).</w:t>
      </w:r>
      <w:r w:rsidR="00B9724C" w:rsidRPr="009B1409">
        <w:rPr>
          <w:rFonts w:eastAsia="Arial"/>
        </w:rPr>
        <w:t xml:space="preserve"> </w:t>
      </w:r>
      <w:r w:rsidR="005F6EDE" w:rsidRPr="009B1409">
        <w:rPr>
          <w:rFonts w:eastAsia="Arial"/>
        </w:rPr>
        <w:t xml:space="preserve">In 2017, the Portuguese Commission for Equality and </w:t>
      </w:r>
      <w:r w:rsidR="00FA49F6" w:rsidRPr="009B1409">
        <w:rPr>
          <w:rFonts w:eastAsia="Arial"/>
        </w:rPr>
        <w:t>A</w:t>
      </w:r>
      <w:r w:rsidR="005F6EDE" w:rsidRPr="009B1409">
        <w:rPr>
          <w:rFonts w:eastAsia="Arial"/>
        </w:rPr>
        <w:t xml:space="preserve">gainst Racial Discrimination registered 179 occurrences concerning racism and xenophobia. From them, Brazilians amounted to 18 (10.1%) and was </w:t>
      </w:r>
      <w:r w:rsidR="00720ADF" w:rsidRPr="009B1409">
        <w:rPr>
          <w:rFonts w:eastAsia="Arial"/>
        </w:rPr>
        <w:t xml:space="preserve">the </w:t>
      </w:r>
      <w:r w:rsidR="005F6EDE" w:rsidRPr="009B1409">
        <w:rPr>
          <w:rFonts w:eastAsia="Arial"/>
        </w:rPr>
        <w:t>third most victimi</w:t>
      </w:r>
      <w:r w:rsidR="00261EE8" w:rsidRPr="009B1409">
        <w:rPr>
          <w:rFonts w:eastAsia="Arial"/>
        </w:rPr>
        <w:t>s</w:t>
      </w:r>
      <w:r w:rsidR="005F6EDE" w:rsidRPr="009B1409">
        <w:rPr>
          <w:rFonts w:eastAsia="Arial"/>
        </w:rPr>
        <w:t>ed group (</w:t>
      </w:r>
      <w:r w:rsidR="005F6EDE" w:rsidRPr="009B1409">
        <w:t>CICDR 2017)</w:t>
      </w:r>
      <w:r w:rsidR="005F6EDE" w:rsidRPr="009B1409">
        <w:rPr>
          <w:rFonts w:eastAsia="Arial"/>
        </w:rPr>
        <w:t>. In 2021, the Commission registered 408 occurrences. Brazilians amounted 109 (26.70%), thus, becoming the most targeted group (</w:t>
      </w:r>
      <w:r w:rsidR="005F6EDE" w:rsidRPr="009B1409">
        <w:t>CICDR 2021)</w:t>
      </w:r>
      <w:r w:rsidR="005F6EDE" w:rsidRPr="009B1409">
        <w:rPr>
          <w:rFonts w:eastAsia="Arial"/>
        </w:rPr>
        <w:t xml:space="preserve">. </w:t>
      </w:r>
      <w:r w:rsidR="00261EE8" w:rsidRPr="009B1409">
        <w:rPr>
          <w:rFonts w:eastAsia="Arial"/>
        </w:rPr>
        <w:t>In this case, then,</w:t>
      </w:r>
      <w:r w:rsidR="004F3869" w:rsidRPr="009B1409">
        <w:rPr>
          <w:rFonts w:eastAsia="Arial"/>
        </w:rPr>
        <w:t xml:space="preserve"> </w:t>
      </w:r>
      <w:r w:rsidR="00261EE8" w:rsidRPr="009B1409">
        <w:rPr>
          <w:rFonts w:eastAsia="Arial"/>
        </w:rPr>
        <w:t xml:space="preserve">such a </w:t>
      </w:r>
      <w:r w:rsidR="004F3869" w:rsidRPr="009B1409">
        <w:rPr>
          <w:rFonts w:eastAsia="Arial"/>
        </w:rPr>
        <w:t>l</w:t>
      </w:r>
      <w:r w:rsidR="00B9724C" w:rsidRPr="009B1409">
        <w:rPr>
          <w:rFonts w:eastAsia="Arial"/>
        </w:rPr>
        <w:t xml:space="preserve">inguistic skill only </w:t>
      </w:r>
      <w:r w:rsidR="00261EE8" w:rsidRPr="009B1409">
        <w:rPr>
          <w:rFonts w:eastAsia="Arial"/>
        </w:rPr>
        <w:t>seems</w:t>
      </w:r>
      <w:r w:rsidR="00B9724C" w:rsidRPr="009B1409">
        <w:rPr>
          <w:rFonts w:eastAsia="Arial"/>
        </w:rPr>
        <w:t xml:space="preserve"> to guarantee that </w:t>
      </w:r>
      <w:r w:rsidR="00055A21" w:rsidRPr="009B1409">
        <w:rPr>
          <w:rFonts w:eastAsia="Arial"/>
        </w:rPr>
        <w:t>Brazilians</w:t>
      </w:r>
      <w:r w:rsidR="00B9724C" w:rsidRPr="009B1409">
        <w:rPr>
          <w:rFonts w:eastAsia="Arial"/>
        </w:rPr>
        <w:t xml:space="preserve"> </w:t>
      </w:r>
      <w:r w:rsidR="004F3869" w:rsidRPr="009B1409">
        <w:rPr>
          <w:rFonts w:eastAsia="Arial"/>
        </w:rPr>
        <w:t xml:space="preserve">can </w:t>
      </w:r>
      <w:r w:rsidR="00B9724C" w:rsidRPr="009B1409">
        <w:rPr>
          <w:rFonts w:eastAsia="Arial"/>
        </w:rPr>
        <w:t xml:space="preserve">understand the slurs. </w:t>
      </w:r>
      <w:r w:rsidR="00F35754" w:rsidRPr="009B1409">
        <w:rPr>
          <w:rFonts w:eastAsia="Arial"/>
        </w:rPr>
        <w:t>Islamophobia</w:t>
      </w:r>
      <w:r w:rsidR="000C326B" w:rsidRPr="009B1409">
        <w:rPr>
          <w:rFonts w:eastAsia="Arial"/>
        </w:rPr>
        <w:t xml:space="preserve">, </w:t>
      </w:r>
      <w:r w:rsidR="004D23CA" w:rsidRPr="009B1409">
        <w:rPr>
          <w:rFonts w:eastAsia="Arial"/>
        </w:rPr>
        <w:t xml:space="preserve">xenophobia as well as racism and anti-Semitism are </w:t>
      </w:r>
      <w:r w:rsidR="000C326B" w:rsidRPr="009B1409">
        <w:rPr>
          <w:rFonts w:eastAsia="Arial"/>
        </w:rPr>
        <w:t xml:space="preserve">reasonably </w:t>
      </w:r>
      <w:r w:rsidR="000C326B" w:rsidRPr="009B1409">
        <w:rPr>
          <w:rFonts w:eastAsia="Arial"/>
        </w:rPr>
        <w:lastRenderedPageBreak/>
        <w:t>evenly discussed</w:t>
      </w:r>
      <w:r w:rsidR="00716A11" w:rsidRPr="009B1409">
        <w:rPr>
          <w:rFonts w:eastAsia="Arial"/>
        </w:rPr>
        <w:t>.</w:t>
      </w:r>
      <w:r w:rsidR="00524A87" w:rsidRPr="009B1409">
        <w:rPr>
          <w:rFonts w:eastAsia="Arial"/>
        </w:rPr>
        <w:t xml:space="preserve"> However, other cases that </w:t>
      </w:r>
      <w:r w:rsidR="00254E15" w:rsidRPr="009B1409">
        <w:rPr>
          <w:rFonts w:eastAsia="Arial"/>
        </w:rPr>
        <w:t>present</w:t>
      </w:r>
      <w:r w:rsidR="00524A87" w:rsidRPr="009B1409">
        <w:rPr>
          <w:rFonts w:eastAsia="Arial"/>
        </w:rPr>
        <w:t xml:space="preserve"> complexity </w:t>
      </w:r>
      <w:r w:rsidR="00254E15" w:rsidRPr="009B1409">
        <w:rPr>
          <w:rFonts w:eastAsia="Arial"/>
        </w:rPr>
        <w:t>to the Rapoportian</w:t>
      </w:r>
      <w:r w:rsidR="00524A87" w:rsidRPr="009B1409">
        <w:rPr>
          <w:rFonts w:eastAsia="Arial"/>
        </w:rPr>
        <w:t xml:space="preserve"> Wave Theory are not discussed.</w:t>
      </w:r>
      <w:r w:rsidR="00EE5B09" w:rsidRPr="009B1409">
        <w:rPr>
          <w:rFonts w:eastAsia="Arial"/>
        </w:rPr>
        <w:t xml:space="preserve"> </w:t>
      </w:r>
      <w:r w:rsidR="00003A6A" w:rsidRPr="009B1409">
        <w:t xml:space="preserve">Previously, </w:t>
      </w:r>
      <w:r w:rsidR="00003A6A" w:rsidRPr="009B1409">
        <w:rPr>
          <w:rFonts w:eastAsia="Arial"/>
        </w:rPr>
        <w:t xml:space="preserve">Rapoport (2016) </w:t>
      </w:r>
      <w:r w:rsidR="00261EE8" w:rsidRPr="009B1409">
        <w:rPr>
          <w:rFonts w:eastAsia="Arial"/>
        </w:rPr>
        <w:t xml:space="preserve">had </w:t>
      </w:r>
      <w:r w:rsidR="00003A6A" w:rsidRPr="009B1409">
        <w:rPr>
          <w:rFonts w:eastAsia="Arial"/>
        </w:rPr>
        <w:t>acknowledged that:</w:t>
      </w:r>
    </w:p>
    <w:p w14:paraId="1E8C53F5" w14:textId="77777777" w:rsidR="00003A6A" w:rsidRPr="009B1409" w:rsidRDefault="00003A6A" w:rsidP="00003A6A">
      <w:pPr>
        <w:pStyle w:val="NoSpacing"/>
        <w:jc w:val="both"/>
        <w:rPr>
          <w:rFonts w:ascii="Times New Roman" w:eastAsia="Arial" w:hAnsi="Times New Roman" w:cs="Times New Roman"/>
          <w:sz w:val="24"/>
          <w:szCs w:val="24"/>
        </w:rPr>
      </w:pPr>
    </w:p>
    <w:p w14:paraId="54C167AA" w14:textId="46F21995" w:rsidR="00003A6A" w:rsidRPr="009B1409" w:rsidRDefault="00003A6A" w:rsidP="00EF7706">
      <w:pPr>
        <w:pStyle w:val="NoSpacing"/>
        <w:ind w:left="1134" w:right="1138"/>
        <w:jc w:val="both"/>
        <w:rPr>
          <w:rFonts w:ascii="Times New Roman" w:eastAsia="Arial" w:hAnsi="Times New Roman" w:cs="Times New Roman"/>
          <w:sz w:val="24"/>
          <w:szCs w:val="24"/>
        </w:rPr>
      </w:pPr>
      <w:r w:rsidRPr="009B1409">
        <w:rPr>
          <w:rFonts w:ascii="Times New Roman" w:eastAsia="Arial" w:hAnsi="Times New Roman" w:cs="Times New Roman"/>
          <w:sz w:val="24"/>
          <w:szCs w:val="24"/>
        </w:rPr>
        <w:t>[T]he Wave Theory needs more work […]. The Nazi-Fascist issue should be worked out. Finally, since the original Wave Theory excluded the study of single-issue groups, there is good reason to examine their relationship (Rapoport 2016, 223).</w:t>
      </w:r>
    </w:p>
    <w:p w14:paraId="46577F98" w14:textId="77777777" w:rsidR="00EF7706" w:rsidRPr="009B1409" w:rsidRDefault="00EF7706" w:rsidP="00EF7706">
      <w:pPr>
        <w:pStyle w:val="Newparagraph"/>
        <w:ind w:firstLine="0"/>
        <w:rPr>
          <w:rFonts w:eastAsia="Arial"/>
        </w:rPr>
      </w:pPr>
    </w:p>
    <w:p w14:paraId="46A9F58F" w14:textId="67DAA6B3" w:rsidR="00B9724C" w:rsidRPr="009B1409" w:rsidRDefault="00003A6A" w:rsidP="001D2BB8">
      <w:pPr>
        <w:pStyle w:val="Newparagraph"/>
        <w:rPr>
          <w:rFonts w:eastAsia="Arial"/>
        </w:rPr>
      </w:pPr>
      <w:r w:rsidRPr="009B1409">
        <w:rPr>
          <w:rFonts w:eastAsia="Arial"/>
        </w:rPr>
        <w:t xml:space="preserve">Now, Rapoport, although highlighting that </w:t>
      </w:r>
      <w:r w:rsidR="00561706" w:rsidRPr="009B1409">
        <w:rPr>
          <w:rFonts w:eastAsia="Arial"/>
        </w:rPr>
        <w:t>“</w:t>
      </w:r>
      <w:r w:rsidRPr="009B1409">
        <w:rPr>
          <w:rFonts w:eastAsia="Arial"/>
        </w:rPr>
        <w:t>[…] the Nazi form became the most devastating the world had ever experienced,” neglect</w:t>
      </w:r>
      <w:r w:rsidR="00215765" w:rsidRPr="009B1409">
        <w:rPr>
          <w:rFonts w:eastAsia="Arial"/>
        </w:rPr>
        <w:t>s</w:t>
      </w:r>
      <w:r w:rsidRPr="009B1409">
        <w:rPr>
          <w:rFonts w:eastAsia="Arial"/>
        </w:rPr>
        <w:t xml:space="preserve"> it by arguing that “[s]</w:t>
      </w:r>
      <w:proofErr w:type="spellStart"/>
      <w:r w:rsidRPr="009B1409">
        <w:rPr>
          <w:rFonts w:eastAsia="Arial"/>
        </w:rPr>
        <w:t>ince</w:t>
      </w:r>
      <w:proofErr w:type="spellEnd"/>
      <w:r w:rsidRPr="009B1409">
        <w:rPr>
          <w:rFonts w:eastAsia="Arial"/>
        </w:rPr>
        <w:t xml:space="preserve"> our concern here is with underground groups, Nazi and Fascist activities will not be discussed” (116). Regarding the so-called Eco-Terroris</w:t>
      </w:r>
      <w:r w:rsidR="0074694E" w:rsidRPr="009B1409">
        <w:rPr>
          <w:rFonts w:eastAsia="Arial"/>
        </w:rPr>
        <w:t>m</w:t>
      </w:r>
      <w:r w:rsidRPr="009B1409">
        <w:rPr>
          <w:rFonts w:eastAsia="Arial"/>
        </w:rPr>
        <w:t xml:space="preserve">, </w:t>
      </w:r>
      <w:r w:rsidR="00DB35F7" w:rsidRPr="009B1409">
        <w:rPr>
          <w:rFonts w:eastAsia="Arial"/>
        </w:rPr>
        <w:t>Rapoport</w:t>
      </w:r>
      <w:r w:rsidRPr="009B1409">
        <w:rPr>
          <w:rFonts w:eastAsia="Arial"/>
        </w:rPr>
        <w:t xml:space="preserve"> chooses to “</w:t>
      </w:r>
      <w:r w:rsidR="009C5B44" w:rsidRPr="009B1409">
        <w:rPr>
          <w:rFonts w:eastAsia="Arial"/>
        </w:rPr>
        <w:t xml:space="preserve">[…] </w:t>
      </w:r>
      <w:r w:rsidRPr="009B1409">
        <w:rPr>
          <w:rFonts w:eastAsia="Arial"/>
        </w:rPr>
        <w:t>avoid terrorist groups concerned with a single issue, like animal liberation, environmental movements, etc” (03).</w:t>
      </w:r>
      <w:r w:rsidR="00A14148" w:rsidRPr="009B1409">
        <w:rPr>
          <w:rFonts w:eastAsia="Arial"/>
        </w:rPr>
        <w:t xml:space="preserve"> Why? Do these cases break or prolong Waves?</w:t>
      </w:r>
      <w:r w:rsidR="001D2BB8" w:rsidRPr="009B1409">
        <w:rPr>
          <w:rFonts w:eastAsia="Arial"/>
        </w:rPr>
        <w:t xml:space="preserve"> </w:t>
      </w:r>
      <w:r w:rsidR="008463D5" w:rsidRPr="009B1409">
        <w:rPr>
          <w:rFonts w:eastAsia="Arial"/>
        </w:rPr>
        <w:t>Questions</w:t>
      </w:r>
      <w:r w:rsidR="00D378E6" w:rsidRPr="009B1409">
        <w:rPr>
          <w:rFonts w:eastAsia="Arial"/>
        </w:rPr>
        <w:t xml:space="preserve"> </w:t>
      </w:r>
      <w:r w:rsidR="00807772" w:rsidRPr="009B1409">
        <w:rPr>
          <w:rFonts w:eastAsia="Arial"/>
        </w:rPr>
        <w:t xml:space="preserve">about </w:t>
      </w:r>
      <w:r w:rsidR="003E7F78" w:rsidRPr="009B1409">
        <w:rPr>
          <w:rFonts w:eastAsia="Arial"/>
        </w:rPr>
        <w:t xml:space="preserve">Far-Right Terrorism </w:t>
      </w:r>
      <w:r w:rsidR="00807772" w:rsidRPr="009B1409">
        <w:rPr>
          <w:rFonts w:eastAsia="Arial"/>
        </w:rPr>
        <w:t xml:space="preserve">shaping a Far-Right Wave also remain open </w:t>
      </w:r>
      <w:r w:rsidR="006B77EF" w:rsidRPr="009B1409">
        <w:rPr>
          <w:rFonts w:eastAsia="Arial"/>
        </w:rPr>
        <w:t xml:space="preserve">as </w:t>
      </w:r>
      <w:r w:rsidR="00B9724C" w:rsidRPr="009B1409">
        <w:rPr>
          <w:rFonts w:eastAsia="Arial"/>
        </w:rPr>
        <w:t>the theorist unassertively concludes</w:t>
      </w:r>
      <w:r w:rsidR="006B77EF" w:rsidRPr="009B1409">
        <w:rPr>
          <w:rFonts w:eastAsia="Arial"/>
        </w:rPr>
        <w:t xml:space="preserve"> that</w:t>
      </w:r>
      <w:r w:rsidR="00B9724C" w:rsidRPr="009B1409">
        <w:rPr>
          <w:rFonts w:eastAsia="Arial"/>
        </w:rPr>
        <w:t>:</w:t>
      </w:r>
    </w:p>
    <w:p w14:paraId="013E4DAA" w14:textId="77777777" w:rsidR="00B9724C" w:rsidRPr="009B1409" w:rsidRDefault="00B9724C" w:rsidP="00B9724C">
      <w:pPr>
        <w:pStyle w:val="NoSpacing"/>
        <w:jc w:val="both"/>
        <w:rPr>
          <w:rFonts w:ascii="Times New Roman" w:eastAsia="Arial" w:hAnsi="Times New Roman" w:cs="Times New Roman"/>
          <w:sz w:val="24"/>
          <w:szCs w:val="24"/>
        </w:rPr>
      </w:pPr>
    </w:p>
    <w:p w14:paraId="02957C85" w14:textId="15ACBF96" w:rsidR="00DF6918" w:rsidRPr="009B1409" w:rsidRDefault="00B9724C" w:rsidP="00490574">
      <w:pPr>
        <w:pStyle w:val="NoSpacing"/>
        <w:ind w:left="1134" w:right="1138"/>
        <w:jc w:val="both"/>
        <w:rPr>
          <w:rFonts w:ascii="Times New Roman" w:eastAsia="Arial" w:hAnsi="Times New Roman" w:cs="Times New Roman"/>
          <w:sz w:val="24"/>
          <w:szCs w:val="24"/>
        </w:rPr>
      </w:pPr>
      <w:r w:rsidRPr="009B1409">
        <w:rPr>
          <w:rFonts w:ascii="Times New Roman" w:eastAsia="Arial" w:hAnsi="Times New Roman" w:cs="Times New Roman"/>
          <w:sz w:val="24"/>
          <w:szCs w:val="24"/>
        </w:rPr>
        <w:t>If it is linked only to the immigration problem and significant Islamic attacks, it may end soon</w:t>
      </w:r>
      <w:r w:rsidRPr="009B1409">
        <w:rPr>
          <w:rFonts w:ascii="Times New Roman" w:hAnsi="Times New Roman" w:cs="Times New Roman"/>
          <w:sz w:val="24"/>
          <w:szCs w:val="24"/>
        </w:rPr>
        <w:t xml:space="preserve"> […]. On the other hand, </w:t>
      </w:r>
      <w:proofErr w:type="gramStart"/>
      <w:r w:rsidRPr="009B1409">
        <w:rPr>
          <w:rFonts w:ascii="Times New Roman" w:hAnsi="Times New Roman" w:cs="Times New Roman"/>
          <w:sz w:val="24"/>
          <w:szCs w:val="24"/>
        </w:rPr>
        <w:t>it is clear that in</w:t>
      </w:r>
      <w:proofErr w:type="gramEnd"/>
      <w:r w:rsidRPr="009B1409">
        <w:rPr>
          <w:rFonts w:ascii="Times New Roman" w:hAnsi="Times New Roman" w:cs="Times New Roman"/>
          <w:sz w:val="24"/>
          <w:szCs w:val="24"/>
        </w:rPr>
        <w:t xml:space="preserve"> the United States immigration and Islamic attacks are only part of the problem. White supremacy, the belief that whites could soon become a minority, dominates the scene. If that anxiety persists after the immigration and Islamic issues fade, we may be seeing a Fifth Wave </w:t>
      </w:r>
      <w:r w:rsidRPr="009B1409">
        <w:rPr>
          <w:rFonts w:ascii="Times New Roman" w:eastAsia="Arial" w:hAnsi="Times New Roman" w:cs="Times New Roman"/>
          <w:sz w:val="24"/>
          <w:szCs w:val="24"/>
        </w:rPr>
        <w:t>(305).</w:t>
      </w:r>
    </w:p>
    <w:p w14:paraId="4101038A" w14:textId="1BEDCFA4" w:rsidR="001B309D" w:rsidRPr="009B1409" w:rsidRDefault="001B309D" w:rsidP="009038DC">
      <w:pPr>
        <w:pStyle w:val="Newparagraph"/>
        <w:ind w:firstLine="0"/>
        <w:rPr>
          <w:rFonts w:eastAsia="Arial"/>
        </w:rPr>
      </w:pPr>
    </w:p>
    <w:p w14:paraId="5220E030" w14:textId="3E2FC359" w:rsidR="00B9724C" w:rsidRPr="009B1409" w:rsidRDefault="00B9724C" w:rsidP="00B9724C">
      <w:pPr>
        <w:pStyle w:val="Newparagraph"/>
        <w:rPr>
          <w:rFonts w:eastAsia="Arial"/>
        </w:rPr>
      </w:pPr>
      <w:r w:rsidRPr="009B1409">
        <w:rPr>
          <w:rFonts w:eastAsia="Arial"/>
        </w:rPr>
        <w:t xml:space="preserve">Ultimately, </w:t>
      </w:r>
      <w:r w:rsidRPr="009B1409">
        <w:rPr>
          <w:rFonts w:eastAsia="Arial"/>
          <w:i/>
          <w:iCs/>
        </w:rPr>
        <w:t>Waves of Global Terrorism: From 1879 to the Present</w:t>
      </w:r>
      <w:r w:rsidRPr="009B1409">
        <w:rPr>
          <w:rFonts w:eastAsia="Arial"/>
        </w:rPr>
        <w:t xml:space="preserve"> summari</w:t>
      </w:r>
      <w:r w:rsidR="00613D9A" w:rsidRPr="009B1409">
        <w:rPr>
          <w:rFonts w:eastAsia="Arial"/>
        </w:rPr>
        <w:t>s</w:t>
      </w:r>
      <w:r w:rsidRPr="009B1409">
        <w:rPr>
          <w:rFonts w:eastAsia="Arial"/>
        </w:rPr>
        <w:t>es a 60-year career that has been characteri</w:t>
      </w:r>
      <w:r w:rsidR="00613D9A" w:rsidRPr="009B1409">
        <w:rPr>
          <w:rFonts w:eastAsia="Arial"/>
        </w:rPr>
        <w:t>s</w:t>
      </w:r>
      <w:r w:rsidRPr="009B1409">
        <w:rPr>
          <w:rFonts w:eastAsia="Arial"/>
        </w:rPr>
        <w:t xml:space="preserve">ed by </w:t>
      </w:r>
      <w:r w:rsidR="00925FE8" w:rsidRPr="009B1409">
        <w:rPr>
          <w:rFonts w:eastAsia="Arial"/>
        </w:rPr>
        <w:t xml:space="preserve">a </w:t>
      </w:r>
      <w:r w:rsidRPr="009B1409">
        <w:rPr>
          <w:rFonts w:eastAsia="Arial"/>
        </w:rPr>
        <w:t>war against “historical amnesia”</w:t>
      </w:r>
      <w:r w:rsidR="000E6856" w:rsidRPr="009B1409">
        <w:rPr>
          <w:rFonts w:eastAsia="Arial"/>
        </w:rPr>
        <w:t xml:space="preserve"> </w:t>
      </w:r>
      <w:r w:rsidR="00191784" w:rsidRPr="009B1409">
        <w:rPr>
          <w:rFonts w:eastAsia="Arial"/>
        </w:rPr>
        <w:t xml:space="preserve">among policymakers </w:t>
      </w:r>
      <w:r w:rsidR="006730F7" w:rsidRPr="009B1409">
        <w:rPr>
          <w:rFonts w:eastAsia="Arial"/>
        </w:rPr>
        <w:t xml:space="preserve">and Terrorism Studies scholars </w:t>
      </w:r>
      <w:r w:rsidR="000E6856" w:rsidRPr="009B1409">
        <w:rPr>
          <w:rFonts w:eastAsia="Arial"/>
        </w:rPr>
        <w:t>(1)</w:t>
      </w:r>
      <w:r w:rsidRPr="009B1409">
        <w:rPr>
          <w:rFonts w:eastAsia="Arial"/>
        </w:rPr>
        <w:t xml:space="preserve">. Offering a remedy to this challenge, </w:t>
      </w:r>
      <w:r w:rsidR="00925FE8" w:rsidRPr="009B1409">
        <w:rPr>
          <w:rFonts w:eastAsia="Arial"/>
        </w:rPr>
        <w:t>Rapoport</w:t>
      </w:r>
      <w:r w:rsidRPr="009B1409">
        <w:rPr>
          <w:rFonts w:eastAsia="Arial"/>
        </w:rPr>
        <w:t xml:space="preserve"> </w:t>
      </w:r>
      <w:r w:rsidR="00B33E66" w:rsidRPr="009B1409">
        <w:rPr>
          <w:rFonts w:eastAsia="Arial"/>
        </w:rPr>
        <w:t xml:space="preserve">not only </w:t>
      </w:r>
      <w:r w:rsidR="00613D9A" w:rsidRPr="009B1409">
        <w:rPr>
          <w:rFonts w:eastAsia="Arial"/>
        </w:rPr>
        <w:t xml:space="preserve">goes </w:t>
      </w:r>
      <w:r w:rsidRPr="009B1409">
        <w:rPr>
          <w:rFonts w:eastAsia="Arial"/>
        </w:rPr>
        <w:t xml:space="preserve">back to, </w:t>
      </w:r>
      <w:proofErr w:type="gramStart"/>
      <w:r w:rsidRPr="009B1409">
        <w:rPr>
          <w:rFonts w:eastAsia="Arial"/>
        </w:rPr>
        <w:t>update</w:t>
      </w:r>
      <w:r w:rsidR="00613D9A" w:rsidRPr="009B1409">
        <w:rPr>
          <w:rFonts w:eastAsia="Arial"/>
        </w:rPr>
        <w:t>s</w:t>
      </w:r>
      <w:proofErr w:type="gramEnd"/>
      <w:r w:rsidRPr="009B1409">
        <w:rPr>
          <w:rFonts w:eastAsia="Arial"/>
        </w:rPr>
        <w:t xml:space="preserve"> and expand</w:t>
      </w:r>
      <w:r w:rsidR="00613D9A" w:rsidRPr="009B1409">
        <w:rPr>
          <w:rFonts w:eastAsia="Arial"/>
        </w:rPr>
        <w:t>s</w:t>
      </w:r>
      <w:r w:rsidRPr="009B1409">
        <w:rPr>
          <w:rFonts w:eastAsia="Arial"/>
        </w:rPr>
        <w:t xml:space="preserve"> on </w:t>
      </w:r>
      <w:r w:rsidRPr="009B1409">
        <w:rPr>
          <w:rFonts w:eastAsia="Arial"/>
          <w:i/>
          <w:iCs/>
        </w:rPr>
        <w:t>The Waves of Modern Terrorism</w:t>
      </w:r>
      <w:r w:rsidRPr="009B1409">
        <w:rPr>
          <w:rFonts w:eastAsia="Arial"/>
        </w:rPr>
        <w:t xml:space="preserve"> (2004) </w:t>
      </w:r>
      <w:r w:rsidR="006922DB" w:rsidRPr="009B1409">
        <w:rPr>
          <w:rFonts w:eastAsia="Arial"/>
        </w:rPr>
        <w:t xml:space="preserve">but also </w:t>
      </w:r>
      <w:r w:rsidR="00D82C7C" w:rsidRPr="009B1409">
        <w:rPr>
          <w:rFonts w:eastAsia="Arial"/>
          <w:i/>
          <w:iCs/>
        </w:rPr>
        <w:t>Fear and Trembling: Terrorism in Three Religious Traditions</w:t>
      </w:r>
      <w:r w:rsidR="00D82C7C" w:rsidRPr="009B1409">
        <w:rPr>
          <w:rFonts w:eastAsia="Arial"/>
        </w:rPr>
        <w:t xml:space="preserve"> (1984), </w:t>
      </w:r>
      <w:r w:rsidR="00D82C7C" w:rsidRPr="009B1409">
        <w:rPr>
          <w:rFonts w:eastAsia="Arial"/>
          <w:i/>
          <w:iCs/>
        </w:rPr>
        <w:t>Before the Bombs There Were the Mobs: American Experiences with Terror</w:t>
      </w:r>
      <w:r w:rsidR="00D82C7C" w:rsidRPr="009B1409">
        <w:rPr>
          <w:rFonts w:eastAsia="Arial"/>
        </w:rPr>
        <w:t xml:space="preserve"> (2008) and </w:t>
      </w:r>
      <w:r w:rsidR="00B64D8D" w:rsidRPr="009B1409">
        <w:rPr>
          <w:rFonts w:eastAsia="Arial"/>
          <w:i/>
          <w:iCs/>
        </w:rPr>
        <w:t>The Capitol Attack and the 5th Terrorism Wave</w:t>
      </w:r>
      <w:r w:rsidR="00B64D8D" w:rsidRPr="009B1409">
        <w:rPr>
          <w:rFonts w:eastAsia="Arial"/>
        </w:rPr>
        <w:t xml:space="preserve"> (2021)</w:t>
      </w:r>
      <w:r w:rsidR="00B7018A" w:rsidRPr="009B1409">
        <w:rPr>
          <w:rFonts w:eastAsia="Arial"/>
        </w:rPr>
        <w:t>,</w:t>
      </w:r>
      <w:r w:rsidRPr="009B1409">
        <w:rPr>
          <w:rFonts w:eastAsia="Arial"/>
        </w:rPr>
        <w:t xml:space="preserve"> </w:t>
      </w:r>
      <w:r w:rsidR="00B7018A" w:rsidRPr="009B1409">
        <w:rPr>
          <w:rFonts w:eastAsia="Arial"/>
        </w:rPr>
        <w:t>thus</w:t>
      </w:r>
      <w:r w:rsidR="00850014" w:rsidRPr="009B1409">
        <w:rPr>
          <w:rFonts w:eastAsia="Arial"/>
        </w:rPr>
        <w:t>,</w:t>
      </w:r>
      <w:r w:rsidR="00B7018A" w:rsidRPr="009B1409">
        <w:rPr>
          <w:rFonts w:eastAsia="Arial"/>
        </w:rPr>
        <w:t xml:space="preserve"> making </w:t>
      </w:r>
      <w:r w:rsidR="00B7018A" w:rsidRPr="009B1409">
        <w:rPr>
          <w:rFonts w:eastAsia="Arial"/>
        </w:rPr>
        <w:lastRenderedPageBreak/>
        <w:t xml:space="preserve">a </w:t>
      </w:r>
      <w:r w:rsidR="00850014" w:rsidRPr="009B1409">
        <w:rPr>
          <w:rFonts w:eastAsia="Arial"/>
        </w:rPr>
        <w:t>unique</w:t>
      </w:r>
      <w:r w:rsidR="00B7018A" w:rsidRPr="009B1409">
        <w:rPr>
          <w:rFonts w:eastAsia="Arial"/>
        </w:rPr>
        <w:t xml:space="preserve"> contribution </w:t>
      </w:r>
      <w:r w:rsidR="00850014" w:rsidRPr="009B1409">
        <w:rPr>
          <w:rFonts w:eastAsia="Arial"/>
        </w:rPr>
        <w:t>to</w:t>
      </w:r>
      <w:r w:rsidR="00B7018A" w:rsidRPr="009B1409">
        <w:rPr>
          <w:rFonts w:eastAsia="Arial"/>
        </w:rPr>
        <w:t xml:space="preserve"> Terrorism Studies</w:t>
      </w:r>
      <w:r w:rsidR="004406A5" w:rsidRPr="009B1409">
        <w:rPr>
          <w:rFonts w:eastAsia="Arial"/>
        </w:rPr>
        <w:t>.</w:t>
      </w:r>
      <w:r w:rsidR="00F2676B" w:rsidRPr="009B1409">
        <w:rPr>
          <w:rFonts w:eastAsia="Arial"/>
        </w:rPr>
        <w:t xml:space="preserve"> </w:t>
      </w:r>
      <w:r w:rsidRPr="009B1409">
        <w:rPr>
          <w:rFonts w:eastAsia="Arial"/>
        </w:rPr>
        <w:t>Remedies, however, require precaution and continuous development. The Rapoportian Wave Theory should be recalibrated to broaden its geographical coverage and handle the complexity that some organi</w:t>
      </w:r>
      <w:r w:rsidR="00261EE8" w:rsidRPr="009B1409">
        <w:rPr>
          <w:rFonts w:eastAsia="Arial"/>
        </w:rPr>
        <w:t>s</w:t>
      </w:r>
      <w:r w:rsidRPr="009B1409">
        <w:rPr>
          <w:rFonts w:eastAsia="Arial"/>
        </w:rPr>
        <w:t>ations</w:t>
      </w:r>
      <w:r w:rsidR="00815E44" w:rsidRPr="009B1409">
        <w:rPr>
          <w:rFonts w:eastAsia="Arial"/>
        </w:rPr>
        <w:t xml:space="preserve"> </w:t>
      </w:r>
      <w:r w:rsidR="00CB2F06" w:rsidRPr="009B1409">
        <w:rPr>
          <w:rFonts w:eastAsia="Arial"/>
        </w:rPr>
        <w:t>pose to it</w:t>
      </w:r>
      <w:r w:rsidRPr="009B1409">
        <w:rPr>
          <w:rFonts w:eastAsia="Arial"/>
        </w:rPr>
        <w:t>. Future research will need to look retrospectively to analy</w:t>
      </w:r>
      <w:r w:rsidR="003417FC" w:rsidRPr="009B1409">
        <w:rPr>
          <w:rFonts w:eastAsia="Arial"/>
        </w:rPr>
        <w:t>s</w:t>
      </w:r>
      <w:r w:rsidRPr="009B1409">
        <w:rPr>
          <w:rFonts w:eastAsia="Arial"/>
        </w:rPr>
        <w:t xml:space="preserve">e whether Far-Right </w:t>
      </w:r>
      <w:r w:rsidR="00054397" w:rsidRPr="009B1409">
        <w:rPr>
          <w:rFonts w:eastAsia="Arial"/>
        </w:rPr>
        <w:t xml:space="preserve">dynamics </w:t>
      </w:r>
      <w:r w:rsidR="004B0647" w:rsidRPr="009B1409">
        <w:rPr>
          <w:rFonts w:eastAsia="Arial"/>
        </w:rPr>
        <w:t>created</w:t>
      </w:r>
      <w:r w:rsidR="001F3580" w:rsidRPr="009B1409">
        <w:rPr>
          <w:rFonts w:eastAsia="Arial"/>
        </w:rPr>
        <w:t xml:space="preserve"> enough</w:t>
      </w:r>
      <w:r w:rsidR="004B0647" w:rsidRPr="009B1409">
        <w:rPr>
          <w:rFonts w:eastAsia="Arial"/>
        </w:rPr>
        <w:t xml:space="preserve"> </w:t>
      </w:r>
      <w:r w:rsidR="00126803" w:rsidRPr="009B1409">
        <w:rPr>
          <w:rFonts w:eastAsia="Arial"/>
        </w:rPr>
        <w:t xml:space="preserve">energy to </w:t>
      </w:r>
      <w:r w:rsidR="002842AF" w:rsidRPr="009B1409">
        <w:rPr>
          <w:rFonts w:eastAsia="Arial"/>
        </w:rPr>
        <w:t>shape</w:t>
      </w:r>
      <w:r w:rsidR="00D334CF" w:rsidRPr="009B1409">
        <w:rPr>
          <w:rFonts w:eastAsia="Arial"/>
        </w:rPr>
        <w:t xml:space="preserve"> </w:t>
      </w:r>
      <w:r w:rsidR="002842AF" w:rsidRPr="009B1409">
        <w:rPr>
          <w:rFonts w:eastAsia="Arial"/>
        </w:rPr>
        <w:t>a</w:t>
      </w:r>
      <w:r w:rsidR="00D334CF" w:rsidRPr="009B1409">
        <w:rPr>
          <w:rFonts w:eastAsia="Arial"/>
        </w:rPr>
        <w:t xml:space="preserve"> Wave,</w:t>
      </w:r>
      <w:r w:rsidR="0091405F" w:rsidRPr="009B1409">
        <w:rPr>
          <w:rFonts w:eastAsia="Arial"/>
        </w:rPr>
        <w:t xml:space="preserve"> and this book </w:t>
      </w:r>
      <w:r w:rsidR="00D37498" w:rsidRPr="009B1409">
        <w:rPr>
          <w:rFonts w:eastAsia="Arial"/>
        </w:rPr>
        <w:t>will certainly</w:t>
      </w:r>
      <w:r w:rsidR="0091405F" w:rsidRPr="009B1409">
        <w:rPr>
          <w:rFonts w:eastAsia="Arial"/>
        </w:rPr>
        <w:t xml:space="preserve"> be </w:t>
      </w:r>
      <w:r w:rsidR="0052034C" w:rsidRPr="009B1409">
        <w:rPr>
          <w:rFonts w:eastAsia="Arial"/>
        </w:rPr>
        <w:t>a key</w:t>
      </w:r>
      <w:r w:rsidR="0091405F" w:rsidRPr="009B1409">
        <w:rPr>
          <w:rFonts w:eastAsia="Arial"/>
        </w:rPr>
        <w:t xml:space="preserve"> </w:t>
      </w:r>
      <w:r w:rsidR="00D334CF" w:rsidRPr="009B1409">
        <w:rPr>
          <w:rFonts w:eastAsia="Arial"/>
        </w:rPr>
        <w:t>guide</w:t>
      </w:r>
      <w:r w:rsidR="0081390E" w:rsidRPr="009B1409">
        <w:rPr>
          <w:rFonts w:eastAsia="Arial"/>
        </w:rPr>
        <w:t>.</w:t>
      </w:r>
    </w:p>
    <w:p w14:paraId="52457CCF" w14:textId="77777777" w:rsidR="00B9724C" w:rsidRPr="009B1409" w:rsidRDefault="00B9724C" w:rsidP="00B9724C">
      <w:pPr>
        <w:pStyle w:val="Heading1"/>
        <w:jc w:val="both"/>
        <w:rPr>
          <w:rFonts w:eastAsia="Arial"/>
          <w:szCs w:val="24"/>
        </w:rPr>
      </w:pPr>
      <w:r w:rsidRPr="009B1409">
        <w:rPr>
          <w:rFonts w:eastAsia="Arial"/>
          <w:szCs w:val="24"/>
        </w:rPr>
        <w:t>References</w:t>
      </w:r>
    </w:p>
    <w:p w14:paraId="1F0725AF" w14:textId="77777777" w:rsidR="00185007" w:rsidRPr="009B1409" w:rsidRDefault="00185007" w:rsidP="00185007">
      <w:pPr>
        <w:pStyle w:val="References"/>
        <w:ind w:left="709" w:hanging="709"/>
        <w:rPr>
          <w:lang w:val="pt-BR"/>
        </w:rPr>
      </w:pPr>
      <w:r w:rsidRPr="009B1409">
        <w:t xml:space="preserve">Collins, J. 2021. “A New Wave of Terrorism? A Comparative Analysis of the Rise of Far-Right Terrorism.” </w:t>
      </w:r>
      <w:r w:rsidRPr="009B1409">
        <w:rPr>
          <w:i/>
          <w:iCs/>
          <w:lang w:val="pt-BR"/>
        </w:rPr>
        <w:t>Perspectives on Terrorism</w:t>
      </w:r>
      <w:r w:rsidRPr="009B1409">
        <w:rPr>
          <w:lang w:val="pt-BR"/>
        </w:rPr>
        <w:t xml:space="preserve"> 15 (6): 2-22. doi: </w:t>
      </w:r>
      <w:hyperlink r:id="rId9" w:history="1">
        <w:r w:rsidRPr="009B1409">
          <w:rPr>
            <w:rStyle w:val="Hyperlink"/>
            <w:spacing w:val="-5"/>
            <w:lang w:val="pt-BR"/>
          </w:rPr>
          <w:t>https://www.jstor.org/stable/27090913</w:t>
        </w:r>
      </w:hyperlink>
    </w:p>
    <w:p w14:paraId="487048D8" w14:textId="77777777" w:rsidR="00185007" w:rsidRPr="009B1409" w:rsidRDefault="00185007" w:rsidP="00185007">
      <w:pPr>
        <w:pStyle w:val="NoSpacing"/>
        <w:ind w:left="709" w:hanging="709"/>
        <w:jc w:val="both"/>
        <w:rPr>
          <w:rFonts w:ascii="Times New Roman" w:hAnsi="Times New Roman" w:cs="Times New Roman"/>
          <w:sz w:val="24"/>
          <w:szCs w:val="24"/>
          <w:lang w:val="pt-BR"/>
        </w:rPr>
      </w:pPr>
    </w:p>
    <w:p w14:paraId="3D33DB97" w14:textId="21760A27" w:rsidR="00185007" w:rsidRPr="009B1409" w:rsidRDefault="00185007" w:rsidP="00185007">
      <w:pPr>
        <w:pStyle w:val="NoSpacing"/>
        <w:ind w:left="709" w:hanging="709"/>
        <w:jc w:val="both"/>
        <w:rPr>
          <w:rFonts w:ascii="Times New Roman" w:hAnsi="Times New Roman" w:cs="Times New Roman"/>
          <w:sz w:val="24"/>
          <w:szCs w:val="24"/>
        </w:rPr>
      </w:pPr>
      <w:r w:rsidRPr="009B1409">
        <w:rPr>
          <w:rFonts w:ascii="Times New Roman" w:hAnsi="Times New Roman" w:cs="Times New Roman"/>
          <w:sz w:val="24"/>
          <w:szCs w:val="24"/>
          <w:lang w:val="pt-BR"/>
        </w:rPr>
        <w:t xml:space="preserve">Comissão para a Igualdade e Contra a Discriminação Racial (CICDR). 2017. “Relatório Annual: </w:t>
      </w:r>
      <w:r w:rsidRPr="009B1409">
        <w:rPr>
          <w:rStyle w:val="Emphasis"/>
          <w:rFonts w:ascii="Times New Roman" w:hAnsi="Times New Roman" w:cs="Times New Roman"/>
          <w:sz w:val="24"/>
          <w:szCs w:val="24"/>
          <w:lang w:val="pt-BR"/>
        </w:rPr>
        <w:t>Igualdade</w:t>
      </w:r>
      <w:r w:rsidRPr="009B1409">
        <w:rPr>
          <w:rFonts w:ascii="Times New Roman" w:hAnsi="Times New Roman" w:cs="Times New Roman"/>
          <w:sz w:val="24"/>
          <w:szCs w:val="24"/>
          <w:lang w:val="pt-BR"/>
        </w:rPr>
        <w:t> e da </w:t>
      </w:r>
      <w:r w:rsidRPr="009B1409">
        <w:rPr>
          <w:rStyle w:val="Emphasis"/>
          <w:rFonts w:ascii="Times New Roman" w:hAnsi="Times New Roman" w:cs="Times New Roman"/>
          <w:sz w:val="24"/>
          <w:szCs w:val="24"/>
          <w:lang w:val="pt-BR"/>
        </w:rPr>
        <w:t>Não discriminação</w:t>
      </w:r>
      <w:r w:rsidRPr="009B1409">
        <w:rPr>
          <w:rFonts w:ascii="Times New Roman" w:hAnsi="Times New Roman" w:cs="Times New Roman"/>
          <w:sz w:val="24"/>
          <w:szCs w:val="24"/>
          <w:lang w:val="pt-BR"/>
        </w:rPr>
        <w:t> em </w:t>
      </w:r>
      <w:r w:rsidRPr="009B1409">
        <w:rPr>
          <w:rStyle w:val="Emphasis"/>
          <w:rFonts w:ascii="Times New Roman" w:hAnsi="Times New Roman" w:cs="Times New Roman"/>
          <w:sz w:val="24"/>
          <w:szCs w:val="24"/>
          <w:lang w:val="pt-BR"/>
        </w:rPr>
        <w:t>Razão</w:t>
      </w:r>
      <w:r w:rsidRPr="009B1409">
        <w:rPr>
          <w:rFonts w:ascii="Times New Roman" w:hAnsi="Times New Roman" w:cs="Times New Roman"/>
          <w:sz w:val="24"/>
          <w:szCs w:val="24"/>
          <w:lang w:val="pt-BR"/>
        </w:rPr>
        <w:t> da O</w:t>
      </w:r>
      <w:r w:rsidRPr="009B1409">
        <w:rPr>
          <w:rStyle w:val="Emphasis"/>
          <w:rFonts w:ascii="Times New Roman" w:hAnsi="Times New Roman" w:cs="Times New Roman"/>
          <w:sz w:val="24"/>
          <w:szCs w:val="24"/>
          <w:lang w:val="pt-BR"/>
        </w:rPr>
        <w:t>rigem Racial</w:t>
      </w:r>
      <w:r w:rsidRPr="009B1409">
        <w:rPr>
          <w:rFonts w:ascii="Times New Roman" w:hAnsi="Times New Roman" w:cs="Times New Roman"/>
          <w:sz w:val="24"/>
          <w:szCs w:val="24"/>
          <w:lang w:val="pt-BR"/>
        </w:rPr>
        <w:t> e </w:t>
      </w:r>
      <w:r w:rsidRPr="009B1409">
        <w:rPr>
          <w:rStyle w:val="Emphasis"/>
          <w:rFonts w:ascii="Times New Roman" w:hAnsi="Times New Roman" w:cs="Times New Roman"/>
          <w:sz w:val="24"/>
          <w:szCs w:val="24"/>
          <w:lang w:val="pt-BR"/>
        </w:rPr>
        <w:t>Étnica</w:t>
      </w:r>
      <w:r w:rsidRPr="009B1409">
        <w:rPr>
          <w:rFonts w:ascii="Times New Roman" w:hAnsi="Times New Roman" w:cs="Times New Roman"/>
          <w:sz w:val="24"/>
          <w:szCs w:val="24"/>
          <w:lang w:val="pt-BR"/>
        </w:rPr>
        <w:t>, </w:t>
      </w:r>
      <w:r w:rsidRPr="009B1409">
        <w:rPr>
          <w:rStyle w:val="Emphasis"/>
          <w:rFonts w:ascii="Times New Roman" w:hAnsi="Times New Roman" w:cs="Times New Roman"/>
          <w:sz w:val="24"/>
          <w:szCs w:val="24"/>
          <w:lang w:val="pt-BR"/>
        </w:rPr>
        <w:t>Cor</w:t>
      </w:r>
      <w:r w:rsidRPr="009B1409">
        <w:rPr>
          <w:rFonts w:ascii="Times New Roman" w:hAnsi="Times New Roman" w:cs="Times New Roman"/>
          <w:sz w:val="24"/>
          <w:szCs w:val="24"/>
          <w:lang w:val="pt-BR"/>
        </w:rPr>
        <w:t>, </w:t>
      </w:r>
      <w:r w:rsidRPr="009B1409">
        <w:rPr>
          <w:rStyle w:val="Emphasis"/>
          <w:rFonts w:ascii="Times New Roman" w:hAnsi="Times New Roman" w:cs="Times New Roman"/>
          <w:sz w:val="24"/>
          <w:szCs w:val="24"/>
          <w:lang w:val="pt-BR"/>
        </w:rPr>
        <w:t>Nacionalidade</w:t>
      </w:r>
      <w:r w:rsidRPr="009B1409">
        <w:rPr>
          <w:rFonts w:ascii="Times New Roman" w:hAnsi="Times New Roman" w:cs="Times New Roman"/>
          <w:sz w:val="24"/>
          <w:szCs w:val="24"/>
          <w:lang w:val="pt-BR"/>
        </w:rPr>
        <w:t>, </w:t>
      </w:r>
      <w:r w:rsidRPr="009B1409">
        <w:rPr>
          <w:rStyle w:val="Emphasis"/>
          <w:rFonts w:ascii="Times New Roman" w:hAnsi="Times New Roman" w:cs="Times New Roman"/>
          <w:sz w:val="24"/>
          <w:szCs w:val="24"/>
          <w:lang w:val="pt-BR"/>
        </w:rPr>
        <w:t>Ascendência</w:t>
      </w:r>
      <w:r w:rsidRPr="009B1409">
        <w:rPr>
          <w:rFonts w:ascii="Times New Roman" w:hAnsi="Times New Roman" w:cs="Times New Roman"/>
          <w:sz w:val="24"/>
          <w:szCs w:val="24"/>
          <w:lang w:val="pt-BR"/>
        </w:rPr>
        <w:t> e </w:t>
      </w:r>
      <w:r w:rsidRPr="009B1409">
        <w:rPr>
          <w:rStyle w:val="Emphasis"/>
          <w:rFonts w:ascii="Times New Roman" w:hAnsi="Times New Roman" w:cs="Times New Roman"/>
          <w:sz w:val="24"/>
          <w:szCs w:val="24"/>
          <w:lang w:val="pt-BR"/>
        </w:rPr>
        <w:t>Território</w:t>
      </w:r>
      <w:r w:rsidRPr="009B1409">
        <w:rPr>
          <w:rFonts w:ascii="Times New Roman" w:hAnsi="Times New Roman" w:cs="Times New Roman"/>
          <w:sz w:val="24"/>
          <w:szCs w:val="24"/>
          <w:lang w:val="pt-BR"/>
        </w:rPr>
        <w:t> de O</w:t>
      </w:r>
      <w:r w:rsidRPr="009B1409">
        <w:rPr>
          <w:rStyle w:val="Emphasis"/>
          <w:rFonts w:ascii="Times New Roman" w:hAnsi="Times New Roman" w:cs="Times New Roman"/>
          <w:sz w:val="24"/>
          <w:szCs w:val="24"/>
          <w:lang w:val="pt-BR"/>
        </w:rPr>
        <w:t xml:space="preserve">rigem.” </w:t>
      </w:r>
      <w:r w:rsidRPr="009B1409">
        <w:rPr>
          <w:rStyle w:val="Emphasis"/>
          <w:rFonts w:ascii="Times New Roman" w:hAnsi="Times New Roman" w:cs="Times New Roman"/>
          <w:sz w:val="24"/>
          <w:szCs w:val="24"/>
        </w:rPr>
        <w:t xml:space="preserve">Accessed on January 05, 2022. </w:t>
      </w:r>
      <w:hyperlink r:id="rId10" w:history="1">
        <w:r w:rsidRPr="009B1409">
          <w:rPr>
            <w:rStyle w:val="Hyperlink"/>
            <w:rFonts w:ascii="Times New Roman" w:hAnsi="Times New Roman" w:cs="Times New Roman"/>
            <w:sz w:val="24"/>
            <w:szCs w:val="24"/>
          </w:rPr>
          <w:t>https://www.cicdr.pt/documents/57891/574449/CICDR_Relatorio+Anual+2017_Igualdade+e+Nao+Discriminacao.pdf/3f40f660-642d-45b0-9e7f-574b077d257d</w:t>
        </w:r>
      </w:hyperlink>
    </w:p>
    <w:p w14:paraId="097BFA7D" w14:textId="77777777" w:rsidR="00185007" w:rsidRPr="009B1409" w:rsidRDefault="00185007" w:rsidP="00185007">
      <w:pPr>
        <w:pStyle w:val="NoSpacing"/>
        <w:ind w:left="709" w:hanging="709"/>
        <w:jc w:val="both"/>
        <w:rPr>
          <w:rFonts w:ascii="Times New Roman" w:hAnsi="Times New Roman" w:cs="Times New Roman"/>
          <w:sz w:val="24"/>
          <w:szCs w:val="24"/>
        </w:rPr>
      </w:pPr>
    </w:p>
    <w:p w14:paraId="74453D96" w14:textId="77777777" w:rsidR="00185007" w:rsidRPr="009B1409" w:rsidRDefault="00185007" w:rsidP="00185007">
      <w:pPr>
        <w:pStyle w:val="NoSpacing"/>
        <w:ind w:left="709" w:hanging="709"/>
        <w:jc w:val="both"/>
        <w:rPr>
          <w:rFonts w:ascii="Times New Roman" w:hAnsi="Times New Roman" w:cs="Times New Roman"/>
          <w:sz w:val="24"/>
          <w:szCs w:val="24"/>
        </w:rPr>
      </w:pPr>
      <w:r w:rsidRPr="009B1409">
        <w:rPr>
          <w:rFonts w:ascii="Times New Roman" w:hAnsi="Times New Roman" w:cs="Times New Roman"/>
          <w:sz w:val="24"/>
          <w:szCs w:val="24"/>
          <w:lang w:val="pt-BR"/>
        </w:rPr>
        <w:t xml:space="preserve">Comissão para a Igualdade e Contra a Discriminação Racial (CICDR). 2021. “Relatório Annual: </w:t>
      </w:r>
      <w:r w:rsidRPr="009B1409">
        <w:rPr>
          <w:rStyle w:val="Emphasis"/>
          <w:rFonts w:ascii="Times New Roman" w:hAnsi="Times New Roman" w:cs="Times New Roman"/>
          <w:sz w:val="24"/>
          <w:szCs w:val="24"/>
          <w:lang w:val="pt-BR"/>
        </w:rPr>
        <w:t>Igualdade</w:t>
      </w:r>
      <w:r w:rsidRPr="009B1409">
        <w:rPr>
          <w:rFonts w:ascii="Times New Roman" w:hAnsi="Times New Roman" w:cs="Times New Roman"/>
          <w:sz w:val="24"/>
          <w:szCs w:val="24"/>
          <w:lang w:val="pt-BR"/>
        </w:rPr>
        <w:t> e da </w:t>
      </w:r>
      <w:r w:rsidRPr="009B1409">
        <w:rPr>
          <w:rStyle w:val="Emphasis"/>
          <w:rFonts w:ascii="Times New Roman" w:hAnsi="Times New Roman" w:cs="Times New Roman"/>
          <w:sz w:val="24"/>
          <w:szCs w:val="24"/>
          <w:lang w:val="pt-BR"/>
        </w:rPr>
        <w:t>Não discriminação</w:t>
      </w:r>
      <w:r w:rsidRPr="009B1409">
        <w:rPr>
          <w:rFonts w:ascii="Times New Roman" w:hAnsi="Times New Roman" w:cs="Times New Roman"/>
          <w:sz w:val="24"/>
          <w:szCs w:val="24"/>
          <w:lang w:val="pt-BR"/>
        </w:rPr>
        <w:t> em </w:t>
      </w:r>
      <w:r w:rsidRPr="009B1409">
        <w:rPr>
          <w:rStyle w:val="Emphasis"/>
          <w:rFonts w:ascii="Times New Roman" w:hAnsi="Times New Roman" w:cs="Times New Roman"/>
          <w:sz w:val="24"/>
          <w:szCs w:val="24"/>
          <w:lang w:val="pt-BR"/>
        </w:rPr>
        <w:t>Razão</w:t>
      </w:r>
      <w:r w:rsidRPr="009B1409">
        <w:rPr>
          <w:rFonts w:ascii="Times New Roman" w:hAnsi="Times New Roman" w:cs="Times New Roman"/>
          <w:sz w:val="24"/>
          <w:szCs w:val="24"/>
          <w:lang w:val="pt-BR"/>
        </w:rPr>
        <w:t> da O</w:t>
      </w:r>
      <w:r w:rsidRPr="009B1409">
        <w:rPr>
          <w:rStyle w:val="Emphasis"/>
          <w:rFonts w:ascii="Times New Roman" w:hAnsi="Times New Roman" w:cs="Times New Roman"/>
          <w:sz w:val="24"/>
          <w:szCs w:val="24"/>
          <w:lang w:val="pt-BR"/>
        </w:rPr>
        <w:t>rigem Racial</w:t>
      </w:r>
      <w:r w:rsidRPr="009B1409">
        <w:rPr>
          <w:rFonts w:ascii="Times New Roman" w:hAnsi="Times New Roman" w:cs="Times New Roman"/>
          <w:sz w:val="24"/>
          <w:szCs w:val="24"/>
          <w:lang w:val="pt-BR"/>
        </w:rPr>
        <w:t> e </w:t>
      </w:r>
      <w:r w:rsidRPr="009B1409">
        <w:rPr>
          <w:rStyle w:val="Emphasis"/>
          <w:rFonts w:ascii="Times New Roman" w:hAnsi="Times New Roman" w:cs="Times New Roman"/>
          <w:sz w:val="24"/>
          <w:szCs w:val="24"/>
          <w:lang w:val="pt-BR"/>
        </w:rPr>
        <w:t>Étnica</w:t>
      </w:r>
      <w:r w:rsidRPr="009B1409">
        <w:rPr>
          <w:rFonts w:ascii="Times New Roman" w:hAnsi="Times New Roman" w:cs="Times New Roman"/>
          <w:sz w:val="24"/>
          <w:szCs w:val="24"/>
          <w:lang w:val="pt-BR"/>
        </w:rPr>
        <w:t>, </w:t>
      </w:r>
      <w:r w:rsidRPr="009B1409">
        <w:rPr>
          <w:rStyle w:val="Emphasis"/>
          <w:rFonts w:ascii="Times New Roman" w:hAnsi="Times New Roman" w:cs="Times New Roman"/>
          <w:sz w:val="24"/>
          <w:szCs w:val="24"/>
          <w:lang w:val="pt-BR"/>
        </w:rPr>
        <w:t>Cor</w:t>
      </w:r>
      <w:r w:rsidRPr="009B1409">
        <w:rPr>
          <w:rFonts w:ascii="Times New Roman" w:hAnsi="Times New Roman" w:cs="Times New Roman"/>
          <w:sz w:val="24"/>
          <w:szCs w:val="24"/>
          <w:lang w:val="pt-BR"/>
        </w:rPr>
        <w:t>, </w:t>
      </w:r>
      <w:r w:rsidRPr="009B1409">
        <w:rPr>
          <w:rStyle w:val="Emphasis"/>
          <w:rFonts w:ascii="Times New Roman" w:hAnsi="Times New Roman" w:cs="Times New Roman"/>
          <w:sz w:val="24"/>
          <w:szCs w:val="24"/>
          <w:lang w:val="pt-BR"/>
        </w:rPr>
        <w:t>Nacionalidade</w:t>
      </w:r>
      <w:r w:rsidRPr="009B1409">
        <w:rPr>
          <w:rFonts w:ascii="Times New Roman" w:hAnsi="Times New Roman" w:cs="Times New Roman"/>
          <w:sz w:val="24"/>
          <w:szCs w:val="24"/>
          <w:lang w:val="pt-BR"/>
        </w:rPr>
        <w:t>, </w:t>
      </w:r>
      <w:r w:rsidRPr="009B1409">
        <w:rPr>
          <w:rStyle w:val="Emphasis"/>
          <w:rFonts w:ascii="Times New Roman" w:hAnsi="Times New Roman" w:cs="Times New Roman"/>
          <w:sz w:val="24"/>
          <w:szCs w:val="24"/>
          <w:lang w:val="pt-BR"/>
        </w:rPr>
        <w:t>Ascendência</w:t>
      </w:r>
      <w:r w:rsidRPr="009B1409">
        <w:rPr>
          <w:rFonts w:ascii="Times New Roman" w:hAnsi="Times New Roman" w:cs="Times New Roman"/>
          <w:sz w:val="24"/>
          <w:szCs w:val="24"/>
          <w:lang w:val="pt-BR"/>
        </w:rPr>
        <w:t> e </w:t>
      </w:r>
      <w:r w:rsidRPr="009B1409">
        <w:rPr>
          <w:rStyle w:val="Emphasis"/>
          <w:rFonts w:ascii="Times New Roman" w:hAnsi="Times New Roman" w:cs="Times New Roman"/>
          <w:sz w:val="24"/>
          <w:szCs w:val="24"/>
          <w:lang w:val="pt-BR"/>
        </w:rPr>
        <w:t>Território</w:t>
      </w:r>
      <w:r w:rsidRPr="009B1409">
        <w:rPr>
          <w:rFonts w:ascii="Times New Roman" w:hAnsi="Times New Roman" w:cs="Times New Roman"/>
          <w:sz w:val="24"/>
          <w:szCs w:val="24"/>
          <w:lang w:val="pt-BR"/>
        </w:rPr>
        <w:t> de O</w:t>
      </w:r>
      <w:r w:rsidRPr="009B1409">
        <w:rPr>
          <w:rStyle w:val="Emphasis"/>
          <w:rFonts w:ascii="Times New Roman" w:hAnsi="Times New Roman" w:cs="Times New Roman"/>
          <w:sz w:val="24"/>
          <w:szCs w:val="24"/>
          <w:lang w:val="pt-BR"/>
        </w:rPr>
        <w:t xml:space="preserve">rigem.” </w:t>
      </w:r>
      <w:r w:rsidRPr="009B1409">
        <w:rPr>
          <w:rStyle w:val="Emphasis"/>
          <w:rFonts w:ascii="Times New Roman" w:hAnsi="Times New Roman" w:cs="Times New Roman"/>
          <w:sz w:val="24"/>
          <w:szCs w:val="24"/>
        </w:rPr>
        <w:t xml:space="preserve">Accessed on January 05, 2022. </w:t>
      </w:r>
      <w:hyperlink r:id="rId11" w:history="1">
        <w:r w:rsidRPr="009B1409">
          <w:rPr>
            <w:rStyle w:val="Hyperlink"/>
            <w:rFonts w:ascii="Times New Roman" w:hAnsi="Times New Roman" w:cs="Times New Roman"/>
            <w:sz w:val="24"/>
            <w:szCs w:val="24"/>
          </w:rPr>
          <w:t>https://www.cicdr.pt/documents/57891/574449/CICDR_Relat%C3%B3rio+Anual+2017_Igualdade+e+N%C3%A3o+Discrimina%C3%A7%C3%A3o.pdf/3f40f660-642d-45b0-9e7f-574b077d257d</w:t>
        </w:r>
      </w:hyperlink>
    </w:p>
    <w:p w14:paraId="5962EADC" w14:textId="77777777" w:rsidR="00B9724C" w:rsidRPr="009B1409" w:rsidRDefault="00B9724C" w:rsidP="00185007">
      <w:pPr>
        <w:pStyle w:val="References"/>
        <w:ind w:left="0" w:firstLine="0"/>
        <w:rPr>
          <w:rFonts w:eastAsia="Arial"/>
        </w:rPr>
      </w:pPr>
    </w:p>
    <w:p w14:paraId="42D8ED29" w14:textId="77777777" w:rsidR="00B9724C" w:rsidRPr="009B1409" w:rsidRDefault="00B9724C" w:rsidP="00185007">
      <w:pPr>
        <w:pStyle w:val="References"/>
        <w:ind w:left="709" w:hanging="709"/>
        <w:rPr>
          <w:rFonts w:eastAsia="Arial"/>
        </w:rPr>
      </w:pPr>
      <w:r w:rsidRPr="009B1409">
        <w:rPr>
          <w:rFonts w:eastAsia="Arial"/>
          <w:lang w:val="pt-BR"/>
        </w:rPr>
        <w:t xml:space="preserve">da Silva, J. R. 2020. “The Eco-Terrorist Wave.” </w:t>
      </w:r>
      <w:bookmarkStart w:id="2" w:name="_Int_6wgPZN8A"/>
      <w:proofErr w:type="spellStart"/>
      <w:r w:rsidRPr="009B1409">
        <w:rPr>
          <w:rFonts w:eastAsia="Arial"/>
          <w:i/>
          <w:iCs/>
        </w:rPr>
        <w:t>Behavioral</w:t>
      </w:r>
      <w:bookmarkEnd w:id="2"/>
      <w:proofErr w:type="spellEnd"/>
      <w:r w:rsidRPr="009B1409">
        <w:rPr>
          <w:rFonts w:eastAsia="Arial"/>
          <w:i/>
          <w:iCs/>
        </w:rPr>
        <w:t xml:space="preserve"> Sciences of Terrorism and Political Aggression</w:t>
      </w:r>
      <w:r w:rsidRPr="009B1409">
        <w:rPr>
          <w:rFonts w:eastAsia="Arial"/>
        </w:rPr>
        <w:t xml:space="preserve"> 12 (3): 203-216. </w:t>
      </w:r>
      <w:proofErr w:type="spellStart"/>
      <w:r w:rsidRPr="009B1409">
        <w:rPr>
          <w:rFonts w:eastAsia="Arial"/>
        </w:rPr>
        <w:t>doi</w:t>
      </w:r>
      <w:proofErr w:type="spellEnd"/>
      <w:r w:rsidRPr="009B1409">
        <w:rPr>
          <w:rFonts w:eastAsia="Arial"/>
        </w:rPr>
        <w:t>: 10.1080/19434472.2019.1680725</w:t>
      </w:r>
    </w:p>
    <w:p w14:paraId="15A0EB26" w14:textId="490A6FE3" w:rsidR="00B9724C" w:rsidRPr="009B1409" w:rsidRDefault="00B9724C" w:rsidP="00185007">
      <w:pPr>
        <w:pStyle w:val="References"/>
        <w:ind w:left="709" w:hanging="709"/>
        <w:rPr>
          <w:rFonts w:eastAsia="Arial"/>
        </w:rPr>
      </w:pPr>
    </w:p>
    <w:p w14:paraId="25C7FB66" w14:textId="7058521B" w:rsidR="00B9724C" w:rsidRPr="009B1409" w:rsidRDefault="00B9724C" w:rsidP="00185007">
      <w:pPr>
        <w:pStyle w:val="References"/>
        <w:ind w:left="709" w:hanging="709"/>
      </w:pPr>
      <w:r w:rsidRPr="009B1409">
        <w:t xml:space="preserve">Rapoport, D. C. 2004. “The Four Waves of Modern Terrorism.” In </w:t>
      </w:r>
      <w:r w:rsidRPr="009B1409">
        <w:rPr>
          <w:i/>
          <w:iCs/>
        </w:rPr>
        <w:t>Attacking Terrorism: Elements of a Grand Strategy</w:t>
      </w:r>
      <w:r w:rsidRPr="009B1409">
        <w:t>, edited by A. Cronin, &amp; J. Ludes. Washington, D.C.: Georgetown University Press. p. 47–65</w:t>
      </w:r>
    </w:p>
    <w:p w14:paraId="0752DBA2" w14:textId="10C09937" w:rsidR="00336895" w:rsidRPr="009B1409" w:rsidRDefault="00336895" w:rsidP="00185007">
      <w:pPr>
        <w:pStyle w:val="References"/>
        <w:ind w:left="709" w:hanging="709"/>
      </w:pPr>
    </w:p>
    <w:p w14:paraId="7BB00E36" w14:textId="16A755AC" w:rsidR="00B9724C" w:rsidRPr="00261EE8" w:rsidRDefault="00336895" w:rsidP="00185007">
      <w:pPr>
        <w:pStyle w:val="References"/>
        <w:ind w:left="709" w:hanging="709"/>
        <w:rPr>
          <w:rFonts w:eastAsia="Arial"/>
        </w:rPr>
      </w:pPr>
      <w:r w:rsidRPr="009B1409">
        <w:rPr>
          <w:rFonts w:eastAsia="Arial"/>
        </w:rPr>
        <w:t xml:space="preserve">Rapoport, D. C. 2016. “It Is Waves, Not Strains.” </w:t>
      </w:r>
      <w:r w:rsidRPr="009B1409">
        <w:rPr>
          <w:rFonts w:eastAsia="Arial"/>
          <w:i/>
          <w:iCs/>
        </w:rPr>
        <w:t>Terrorism and Political Violence</w:t>
      </w:r>
      <w:r w:rsidRPr="009B1409">
        <w:rPr>
          <w:rFonts w:eastAsia="Arial"/>
        </w:rPr>
        <w:t xml:space="preserve"> 28 (2): 217-224. </w:t>
      </w:r>
      <w:proofErr w:type="spellStart"/>
      <w:r w:rsidRPr="009B1409">
        <w:rPr>
          <w:rFonts w:eastAsia="Arial"/>
        </w:rPr>
        <w:t>doi</w:t>
      </w:r>
      <w:proofErr w:type="spellEnd"/>
      <w:r w:rsidRPr="009B1409">
        <w:rPr>
          <w:rFonts w:eastAsia="Arial"/>
        </w:rPr>
        <w:t>: 10.1080/09546553.2015.1112278</w:t>
      </w:r>
    </w:p>
    <w:sectPr w:rsidR="00B9724C" w:rsidRPr="00261EE8" w:rsidSect="00074B81">
      <w:pgSz w:w="11901" w:h="16840" w:code="9"/>
      <w:pgMar w:top="1418" w:right="1701" w:bottom="1418" w:left="1701"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12"/>
    </wne:keymap>
    <wne:keymap wne:kcmPrimary="0632">
      <wne:acd wne:acdName="acd13"/>
    </wne:keymap>
    <wne:keymap wne:kcmPrimary="0633">
      <wne:acd wne:acdName="acd14"/>
    </wne:keymap>
    <wne:keymap wne:kcmPrimary="0634">
      <wne:acd wne:acdName="acd8"/>
    </wne:keymap>
    <wne:keymap wne:kcmPrimary="0641">
      <wne:acd wne:acdName="acd2"/>
    </wne:keymap>
    <wne:keymap wne:kcmPrimary="0642">
      <wne:acd wne:acdName="acd7"/>
    </wne:keymap>
    <wne:keymap wne:kcmPrimary="0643">
      <wne:acd wne:acdName="acd6"/>
    </wne:keymap>
    <wne:keymap wne:kcmPrimary="0645">
      <wne:acd wne:acdName="acd20"/>
    </wne:keymap>
    <wne:keymap wne:kcmPrimary="0646">
      <wne:acd wne:acdName="acd24"/>
    </wne:keymap>
    <wne:keymap wne:kcmPrimary="0649">
      <wne:acd wne:acdName="acd22"/>
    </wne:keymap>
    <wne:keymap wne:kcmPrimary="064A">
      <wne:acd wne:acdName="acd18"/>
    </wne:keymap>
    <wne:keymap wne:kcmPrimary="064B">
      <wne:acd wne:acdName="acd16"/>
    </wne:keymap>
    <wne:keymap wne:kcmPrimary="064C">
      <wne:acd wne:acdName="acd26"/>
    </wne:keymap>
    <wne:keymap wne:kcmPrimary="064E">
      <wne:acd wne:acdName="acd4"/>
    </wne:keymap>
    <wne:keymap wne:kcmPrimary="064F">
      <wne:acd wne:acdName="acd11"/>
    </wne:keymap>
    <wne:keymap wne:kcmPrimary="0650">
      <wne:acd wne:acdName="acd28"/>
    </wne:keymap>
    <wne:keymap wne:kcmPrimary="0651">
      <wne:acd wne:acdName="acd9"/>
    </wne:keymap>
    <wne:keymap wne:kcmPrimary="0652">
      <wne:acd wne:acdName="acd21"/>
    </wne:keymap>
    <wne:keymap wne:kcmPrimary="0653">
      <wne:acd wne:acdName="acd0"/>
    </wne:keymap>
    <wne:keymap wne:kcmPrimary="0654">
      <wne:acd wne:acdName="acd3"/>
    </wne:keymap>
    <wne:keymap wne:kcmPrimary="0655">
      <wne:acd wne:acdName="acd19"/>
    </wne:keymap>
    <wne:keymap wne:kcmPrimary="0657">
      <wne:acd wne:acdName="acd1"/>
    </wne:keymap>
    <wne:keymap wne:kcmPrimary="0658">
      <wne:acd wne:acdName="acd23"/>
    </wne:keymap>
    <wne:keymap wne:kcmPrimary="065A">
      <wne:acd wne:acdName="acd2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Manifest>
    <wne:toolbarData r:id="rId1"/>
  </wne:toolbars>
  <wne:acds>
    <wne:acd wne:argValue="AgBBAGIAcwB0AHIAYQBjAHQA" wne:acdName="acd0" wne:fciIndexBasedOn="0065"/>
    <wne:acd wne:argValue="AgBBAGMAawBuAG8AdwBsAGUAZABnAGUAbQBlAG4AdABzAA==" wne:acdName="acd1" wne:fciIndexBasedOn="0065"/>
    <wne:acd wne:argValue="AgBBAGYAZgBpAGwAaQBhAHQAaQBvAG4A" wne:acdName="acd2" wne:fciIndexBasedOn="0065"/>
    <wne:acd wne:argValue="AgBBAHIAdABpAGMAbABlACAAdABpAHQAbABlAA==" wne:acdName="acd3" wne:fciIndexBasedOn="0065"/>
    <wne:acd wne:argValue="AgBBAHUAdABoAG8AcgAgAG4AYQBtAGUAcwA=" wne:acdName="acd4" wne:fciIndexBasedOn="0065"/>
    <wne:acd wne:argValue="AgBIAGUAYQBkAGkAbgBnACAANAAgACsAIABQAGEAcgBhAGcAcgBhAHAAaAA=" wne:acdName="acd5" wne:fciIndexBasedOn="0065"/>
    <wne:acd wne:argValue="AgBDAG8AcgByAGUAcwBwAG8AbgBkAGUAbgBjAGUAIABkAGUAdABhAGkAbABzAA==" wne:acdName="acd6" wne:fciIndexBasedOn="0065"/>
    <wne:acd wne:argValue="AgBCAHUAbABsAGUAdABlAGQAIABsAGkAcwB0AA==" wne:acdName="acd7" wne:fciIndexBasedOn="0065"/>
    <wne:acd wne:argValue="AgBIAGUAYQBkAGkAbgBnACAANAAgACsAIABQAGEAcgBhAGcAcgBhAHAAaAA=" wne:acdName="acd8" wne:fciIndexBasedOn="0065"/>
    <wne:acd wne:argValue="AgBEAGkAcwBwAGwAYQB5AGUAZAAgAHEAdQBvAHQAYQB0AGkAbwBuAA==" wne:acdName="acd9" wne:fciIndexBasedOn="0065"/>
    <wne:acd wne:acdName="acd10" wne:fciIndexBasedOn="0065"/>
    <wne:acd wne:argValue="AgBGAG8AbwB0AG4AbwB0AGUAcwA=" wne:acdName="acd11" wne:fciIndexBasedOn="0065"/>
    <wne:acd wne:argValue="AQAAAAEA" wne:acdName="acd12" wne:fciIndexBasedOn="0065"/>
    <wne:acd wne:argValue="AQAAAAIA" wne:acdName="acd13" wne:fciIndexBasedOn="0065"/>
    <wne:acd wne:argValue="AQAAAAMA" wne:acdName="acd14" wne:fciIndexBasedOn="0065"/>
    <wne:acd wne:acdName="acd15" wne:fciIndexBasedOn="0065"/>
    <wne:acd wne:argValue="AgBLAGUAeQB3AG8AcgBkAHMA" wne:acdName="acd16" wne:fciIndexBasedOn="0065"/>
    <wne:acd wne:argValue="AgBOAHUAbQBiAGUAcgBlAGQAIABsAGkAcwB0AA==" wne:acdName="acd17" wne:fciIndexBasedOn="0065"/>
    <wne:acd wne:argValue="AgBTAHUAYgBqAGUAYwB0ACAAYwBvAGQAZQBzAA==" wne:acdName="acd18" wne:fciIndexBasedOn="0065"/>
    <wne:acd wne:argValue="AgBOAG8AdABlAHMAIABvAG4AIABjAG8AbgB0AHIAaQBiAHUAdABvAHIAcwA=" wne:acdName="acd19" wne:fciIndexBasedOn="0065"/>
    <wne:acd wne:argValue="AgBEAGkAcwBwAGwAYQB5AGUAZAAgAGUAcQB1AGEAdABpAG8AbgA=" wne:acdName="acd20" wne:fciIndexBasedOn="0065"/>
    <wne:acd wne:argValue="AgBSAGUAYwBlAGkAdgBlAGQAIABkAGEAdABlAHMA" wne:acdName="acd21" wne:fciIndexBasedOn="0065"/>
    <wne:acd wne:argValue="AgBUAGEAYgBsAGUAIAB0AGkAdABsAGUA" wne:acdName="acd22" wne:fciIndexBasedOn="0065"/>
    <wne:acd wne:argValue="AgBSAGUAZgBlAHIAZQBuAGMAZQBzAA==" wne:acdName="acd23" wne:fciIndexBasedOn="0065"/>
    <wne:acd wne:argValue="AgBGAGkAZwB1AHIAZQAgAGMAYQBwAHQAaQBvAG4A" wne:acdName="acd24" wne:fciIndexBasedOn="0065"/>
    <wne:acd wne:acdName="acd25" wne:fciIndexBasedOn="0065"/>
    <wne:acd wne:argValue="AgBOAHUAbQBiAGUAcgBlAGQAIABsAGkAcwB0AA==" wne:acdName="acd26" wne:fciIndexBasedOn="0065"/>
    <wne:acd wne:acdName="acd27" wne:fciIndexBasedOn="0065"/>
    <wne:acd wne:argValue="AgBQAGEAcgBhAGcAcgBhAHAAaAA=" wne:acdName="acd28" wne:fciIndexBasedOn="0065"/>
    <wne:acd wne:argValue="AgBOAGUAdwAgAHAAYQByAGEAZwByAGEAcABoAA==" wne:acdName="acd2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14AC3" w14:textId="77777777" w:rsidR="00DA205F" w:rsidRDefault="00DA205F" w:rsidP="00AF2C92">
      <w:r>
        <w:separator/>
      </w:r>
    </w:p>
  </w:endnote>
  <w:endnote w:type="continuationSeparator" w:id="0">
    <w:p w14:paraId="260EEE64" w14:textId="77777777" w:rsidR="00DA205F" w:rsidRDefault="00DA205F"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820EA" w14:textId="77777777" w:rsidR="00DA205F" w:rsidRDefault="00DA205F" w:rsidP="00AF2C92">
      <w:r>
        <w:separator/>
      </w:r>
    </w:p>
  </w:footnote>
  <w:footnote w:type="continuationSeparator" w:id="0">
    <w:p w14:paraId="21516AF1" w14:textId="77777777" w:rsidR="00DA205F" w:rsidRDefault="00DA205F"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13709380">
    <w:abstractNumId w:val="15"/>
  </w:num>
  <w:num w:numId="2" w16cid:durableId="1118375051">
    <w:abstractNumId w:val="19"/>
  </w:num>
  <w:num w:numId="3" w16cid:durableId="1252617008">
    <w:abstractNumId w:val="1"/>
  </w:num>
  <w:num w:numId="4" w16cid:durableId="1709333991">
    <w:abstractNumId w:val="2"/>
  </w:num>
  <w:num w:numId="5" w16cid:durableId="390233980">
    <w:abstractNumId w:val="3"/>
  </w:num>
  <w:num w:numId="6" w16cid:durableId="1057314283">
    <w:abstractNumId w:val="4"/>
  </w:num>
  <w:num w:numId="7" w16cid:durableId="1143156669">
    <w:abstractNumId w:val="9"/>
  </w:num>
  <w:num w:numId="8" w16cid:durableId="85031657">
    <w:abstractNumId w:val="5"/>
  </w:num>
  <w:num w:numId="9" w16cid:durableId="284166805">
    <w:abstractNumId w:val="7"/>
  </w:num>
  <w:num w:numId="10" w16cid:durableId="1141264405">
    <w:abstractNumId w:val="6"/>
  </w:num>
  <w:num w:numId="11" w16cid:durableId="878006833">
    <w:abstractNumId w:val="10"/>
  </w:num>
  <w:num w:numId="12" w16cid:durableId="1628127120">
    <w:abstractNumId w:val="8"/>
  </w:num>
  <w:num w:numId="13" w16cid:durableId="1492714889">
    <w:abstractNumId w:val="17"/>
  </w:num>
  <w:num w:numId="14" w16cid:durableId="1658268695">
    <w:abstractNumId w:val="20"/>
  </w:num>
  <w:num w:numId="15" w16cid:durableId="1770930867">
    <w:abstractNumId w:val="14"/>
  </w:num>
  <w:num w:numId="16" w16cid:durableId="1114248882">
    <w:abstractNumId w:val="16"/>
  </w:num>
  <w:num w:numId="17" w16cid:durableId="442041026">
    <w:abstractNumId w:val="11"/>
  </w:num>
  <w:num w:numId="18" w16cid:durableId="557131223">
    <w:abstractNumId w:val="0"/>
  </w:num>
  <w:num w:numId="19" w16cid:durableId="271864901">
    <w:abstractNumId w:val="12"/>
  </w:num>
  <w:num w:numId="20" w16cid:durableId="2077120145">
    <w:abstractNumId w:val="20"/>
  </w:num>
  <w:num w:numId="21" w16cid:durableId="682711250">
    <w:abstractNumId w:val="20"/>
  </w:num>
  <w:num w:numId="22" w16cid:durableId="283849460">
    <w:abstractNumId w:val="20"/>
  </w:num>
  <w:num w:numId="23" w16cid:durableId="1717003762">
    <w:abstractNumId w:val="20"/>
  </w:num>
  <w:num w:numId="24" w16cid:durableId="1600673182">
    <w:abstractNumId w:val="17"/>
  </w:num>
  <w:num w:numId="25" w16cid:durableId="829371264">
    <w:abstractNumId w:val="18"/>
  </w:num>
  <w:num w:numId="26" w16cid:durableId="471290271">
    <w:abstractNumId w:val="21"/>
  </w:num>
  <w:num w:numId="27" w16cid:durableId="1608000941">
    <w:abstractNumId w:val="22"/>
  </w:num>
  <w:num w:numId="28" w16cid:durableId="759446526">
    <w:abstractNumId w:val="20"/>
  </w:num>
  <w:num w:numId="29" w16cid:durableId="1623731124">
    <w:abstractNumId w:val="13"/>
  </w:num>
  <w:num w:numId="30" w16cid:durableId="1455566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8B"/>
    <w:rsid w:val="00001899"/>
    <w:rsid w:val="00003A6A"/>
    <w:rsid w:val="000049AD"/>
    <w:rsid w:val="00005B23"/>
    <w:rsid w:val="0000681B"/>
    <w:rsid w:val="00010A99"/>
    <w:rsid w:val="000133C0"/>
    <w:rsid w:val="00014C4E"/>
    <w:rsid w:val="00017107"/>
    <w:rsid w:val="00017239"/>
    <w:rsid w:val="000202E2"/>
    <w:rsid w:val="00022441"/>
    <w:rsid w:val="0002261E"/>
    <w:rsid w:val="0002394A"/>
    <w:rsid w:val="0002441E"/>
    <w:rsid w:val="00024839"/>
    <w:rsid w:val="00026871"/>
    <w:rsid w:val="0002700B"/>
    <w:rsid w:val="00030509"/>
    <w:rsid w:val="00033C4B"/>
    <w:rsid w:val="00035E81"/>
    <w:rsid w:val="00037A98"/>
    <w:rsid w:val="000427FB"/>
    <w:rsid w:val="00043444"/>
    <w:rsid w:val="0004455E"/>
    <w:rsid w:val="00045CBF"/>
    <w:rsid w:val="00047CB5"/>
    <w:rsid w:val="00050C47"/>
    <w:rsid w:val="00051FAA"/>
    <w:rsid w:val="00054397"/>
    <w:rsid w:val="00055136"/>
    <w:rsid w:val="00055A21"/>
    <w:rsid w:val="000572A9"/>
    <w:rsid w:val="00061325"/>
    <w:rsid w:val="000636B4"/>
    <w:rsid w:val="00064DD8"/>
    <w:rsid w:val="00064F04"/>
    <w:rsid w:val="0007085A"/>
    <w:rsid w:val="000733AC"/>
    <w:rsid w:val="0007428F"/>
    <w:rsid w:val="00074B81"/>
    <w:rsid w:val="00074D22"/>
    <w:rsid w:val="00075081"/>
    <w:rsid w:val="0007528A"/>
    <w:rsid w:val="00075425"/>
    <w:rsid w:val="000811AB"/>
    <w:rsid w:val="00081994"/>
    <w:rsid w:val="00083418"/>
    <w:rsid w:val="00083C5F"/>
    <w:rsid w:val="0008552C"/>
    <w:rsid w:val="0009172C"/>
    <w:rsid w:val="000930EC"/>
    <w:rsid w:val="00095E61"/>
    <w:rsid w:val="000966C1"/>
    <w:rsid w:val="000970AC"/>
    <w:rsid w:val="00097282"/>
    <w:rsid w:val="000A0B51"/>
    <w:rsid w:val="000A1167"/>
    <w:rsid w:val="000A30EE"/>
    <w:rsid w:val="000A4428"/>
    <w:rsid w:val="000A44AA"/>
    <w:rsid w:val="000A4DB0"/>
    <w:rsid w:val="000A6D40"/>
    <w:rsid w:val="000A7BC3"/>
    <w:rsid w:val="000B1661"/>
    <w:rsid w:val="000B1F0B"/>
    <w:rsid w:val="000B2E88"/>
    <w:rsid w:val="000B4603"/>
    <w:rsid w:val="000B5372"/>
    <w:rsid w:val="000B6486"/>
    <w:rsid w:val="000C09BE"/>
    <w:rsid w:val="000C1380"/>
    <w:rsid w:val="000C326B"/>
    <w:rsid w:val="000C3FFD"/>
    <w:rsid w:val="000C5350"/>
    <w:rsid w:val="000C554F"/>
    <w:rsid w:val="000D0DC5"/>
    <w:rsid w:val="000D15FF"/>
    <w:rsid w:val="000D28DF"/>
    <w:rsid w:val="000D488B"/>
    <w:rsid w:val="000D68DF"/>
    <w:rsid w:val="000E138D"/>
    <w:rsid w:val="000E187A"/>
    <w:rsid w:val="000E2D61"/>
    <w:rsid w:val="000E450E"/>
    <w:rsid w:val="000E60A7"/>
    <w:rsid w:val="000E6259"/>
    <w:rsid w:val="000E6856"/>
    <w:rsid w:val="000F285E"/>
    <w:rsid w:val="000F4677"/>
    <w:rsid w:val="000F5BE0"/>
    <w:rsid w:val="000F7B2B"/>
    <w:rsid w:val="00100587"/>
    <w:rsid w:val="0010284E"/>
    <w:rsid w:val="00103122"/>
    <w:rsid w:val="0010336A"/>
    <w:rsid w:val="001050F1"/>
    <w:rsid w:val="00105AEA"/>
    <w:rsid w:val="00106DAF"/>
    <w:rsid w:val="00114ABE"/>
    <w:rsid w:val="00116023"/>
    <w:rsid w:val="001173E1"/>
    <w:rsid w:val="0012557E"/>
    <w:rsid w:val="00126803"/>
    <w:rsid w:val="00132EC2"/>
    <w:rsid w:val="00134272"/>
    <w:rsid w:val="00134A51"/>
    <w:rsid w:val="00137BFF"/>
    <w:rsid w:val="00140727"/>
    <w:rsid w:val="00145A35"/>
    <w:rsid w:val="00160628"/>
    <w:rsid w:val="00161344"/>
    <w:rsid w:val="00161EA8"/>
    <w:rsid w:val="00162195"/>
    <w:rsid w:val="001630E1"/>
    <w:rsid w:val="0016322A"/>
    <w:rsid w:val="00165A21"/>
    <w:rsid w:val="001705CE"/>
    <w:rsid w:val="00176505"/>
    <w:rsid w:val="0017714B"/>
    <w:rsid w:val="001804DF"/>
    <w:rsid w:val="00181BDC"/>
    <w:rsid w:val="00181DB0"/>
    <w:rsid w:val="001829E3"/>
    <w:rsid w:val="00182E6B"/>
    <w:rsid w:val="00185007"/>
    <w:rsid w:val="00191784"/>
    <w:rsid w:val="001924C0"/>
    <w:rsid w:val="00195167"/>
    <w:rsid w:val="0019731E"/>
    <w:rsid w:val="001A09FE"/>
    <w:rsid w:val="001A483D"/>
    <w:rsid w:val="001A67C9"/>
    <w:rsid w:val="001A69DE"/>
    <w:rsid w:val="001A713C"/>
    <w:rsid w:val="001A7BEE"/>
    <w:rsid w:val="001B1C7C"/>
    <w:rsid w:val="001B2B33"/>
    <w:rsid w:val="001B309D"/>
    <w:rsid w:val="001B398F"/>
    <w:rsid w:val="001B46C6"/>
    <w:rsid w:val="001B4B48"/>
    <w:rsid w:val="001B4D1F"/>
    <w:rsid w:val="001B5098"/>
    <w:rsid w:val="001B7681"/>
    <w:rsid w:val="001B7CAE"/>
    <w:rsid w:val="001C0772"/>
    <w:rsid w:val="001C0D4F"/>
    <w:rsid w:val="001C12A2"/>
    <w:rsid w:val="001C1491"/>
    <w:rsid w:val="001C1BA3"/>
    <w:rsid w:val="001C1DEC"/>
    <w:rsid w:val="001C5736"/>
    <w:rsid w:val="001D2BB8"/>
    <w:rsid w:val="001D647F"/>
    <w:rsid w:val="001D6857"/>
    <w:rsid w:val="001E0572"/>
    <w:rsid w:val="001E0A67"/>
    <w:rsid w:val="001E1028"/>
    <w:rsid w:val="001E14E2"/>
    <w:rsid w:val="001E6302"/>
    <w:rsid w:val="001E7DCB"/>
    <w:rsid w:val="001F080D"/>
    <w:rsid w:val="001F29DF"/>
    <w:rsid w:val="001F3411"/>
    <w:rsid w:val="001F3580"/>
    <w:rsid w:val="001F4287"/>
    <w:rsid w:val="001F4DBA"/>
    <w:rsid w:val="001F5C39"/>
    <w:rsid w:val="00200FBA"/>
    <w:rsid w:val="0020415E"/>
    <w:rsid w:val="00204FF4"/>
    <w:rsid w:val="0021056E"/>
    <w:rsid w:val="0021075D"/>
    <w:rsid w:val="0021165A"/>
    <w:rsid w:val="00211BC9"/>
    <w:rsid w:val="00212C6B"/>
    <w:rsid w:val="002138DE"/>
    <w:rsid w:val="00213DE9"/>
    <w:rsid w:val="00215765"/>
    <w:rsid w:val="0021620C"/>
    <w:rsid w:val="00216E78"/>
    <w:rsid w:val="00217275"/>
    <w:rsid w:val="002211DD"/>
    <w:rsid w:val="00222A57"/>
    <w:rsid w:val="0022306C"/>
    <w:rsid w:val="0022497A"/>
    <w:rsid w:val="00236F4B"/>
    <w:rsid w:val="0024048A"/>
    <w:rsid w:val="00242B0D"/>
    <w:rsid w:val="002467C6"/>
    <w:rsid w:val="0024692A"/>
    <w:rsid w:val="00250565"/>
    <w:rsid w:val="00251370"/>
    <w:rsid w:val="00252BBA"/>
    <w:rsid w:val="00253123"/>
    <w:rsid w:val="00254E15"/>
    <w:rsid w:val="00260AC0"/>
    <w:rsid w:val="00261EE8"/>
    <w:rsid w:val="00264001"/>
    <w:rsid w:val="00266354"/>
    <w:rsid w:val="00267A18"/>
    <w:rsid w:val="002712D0"/>
    <w:rsid w:val="00273462"/>
    <w:rsid w:val="0027395B"/>
    <w:rsid w:val="00275854"/>
    <w:rsid w:val="00283B41"/>
    <w:rsid w:val="002842AF"/>
    <w:rsid w:val="00285203"/>
    <w:rsid w:val="00285F28"/>
    <w:rsid w:val="00286398"/>
    <w:rsid w:val="00286F4A"/>
    <w:rsid w:val="00290986"/>
    <w:rsid w:val="00294ABC"/>
    <w:rsid w:val="002961D9"/>
    <w:rsid w:val="002A09F8"/>
    <w:rsid w:val="002A3C42"/>
    <w:rsid w:val="002A5D75"/>
    <w:rsid w:val="002B1B1A"/>
    <w:rsid w:val="002B273B"/>
    <w:rsid w:val="002B7228"/>
    <w:rsid w:val="002C18E2"/>
    <w:rsid w:val="002C2DFB"/>
    <w:rsid w:val="002C53EE"/>
    <w:rsid w:val="002C6F52"/>
    <w:rsid w:val="002D1414"/>
    <w:rsid w:val="002D24F7"/>
    <w:rsid w:val="002D2799"/>
    <w:rsid w:val="002D2CD7"/>
    <w:rsid w:val="002D4DDC"/>
    <w:rsid w:val="002D4F75"/>
    <w:rsid w:val="002D6493"/>
    <w:rsid w:val="002D7AB6"/>
    <w:rsid w:val="002E06D0"/>
    <w:rsid w:val="002E22EB"/>
    <w:rsid w:val="002E3BB4"/>
    <w:rsid w:val="002E3C27"/>
    <w:rsid w:val="002E403A"/>
    <w:rsid w:val="002E5CB8"/>
    <w:rsid w:val="002E7F3A"/>
    <w:rsid w:val="002F4EDB"/>
    <w:rsid w:val="002F5F0E"/>
    <w:rsid w:val="002F6054"/>
    <w:rsid w:val="00300588"/>
    <w:rsid w:val="0030436F"/>
    <w:rsid w:val="00310E13"/>
    <w:rsid w:val="00313B84"/>
    <w:rsid w:val="00315713"/>
    <w:rsid w:val="003163C2"/>
    <w:rsid w:val="0031686C"/>
    <w:rsid w:val="00316FE0"/>
    <w:rsid w:val="003178DB"/>
    <w:rsid w:val="003204D2"/>
    <w:rsid w:val="00320A9C"/>
    <w:rsid w:val="00324F7F"/>
    <w:rsid w:val="00325CE5"/>
    <w:rsid w:val="0032605E"/>
    <w:rsid w:val="003275D1"/>
    <w:rsid w:val="00330B2A"/>
    <w:rsid w:val="0033119F"/>
    <w:rsid w:val="0033177B"/>
    <w:rsid w:val="00331E17"/>
    <w:rsid w:val="00333063"/>
    <w:rsid w:val="00333640"/>
    <w:rsid w:val="00334E0D"/>
    <w:rsid w:val="00336895"/>
    <w:rsid w:val="003408E3"/>
    <w:rsid w:val="003417FC"/>
    <w:rsid w:val="00343480"/>
    <w:rsid w:val="00345179"/>
    <w:rsid w:val="00345E89"/>
    <w:rsid w:val="00346DC3"/>
    <w:rsid w:val="003522A1"/>
    <w:rsid w:val="0035254B"/>
    <w:rsid w:val="00353555"/>
    <w:rsid w:val="00356444"/>
    <w:rsid w:val="003565D4"/>
    <w:rsid w:val="0035717A"/>
    <w:rsid w:val="003607FB"/>
    <w:rsid w:val="00360FD5"/>
    <w:rsid w:val="00362491"/>
    <w:rsid w:val="0036340D"/>
    <w:rsid w:val="003634A5"/>
    <w:rsid w:val="003646B2"/>
    <w:rsid w:val="00366868"/>
    <w:rsid w:val="00367506"/>
    <w:rsid w:val="00370085"/>
    <w:rsid w:val="003702BB"/>
    <w:rsid w:val="003724A9"/>
    <w:rsid w:val="0037405F"/>
    <w:rsid w:val="003744A7"/>
    <w:rsid w:val="00376235"/>
    <w:rsid w:val="00381FB6"/>
    <w:rsid w:val="0038215C"/>
    <w:rsid w:val="003836D3"/>
    <w:rsid w:val="00383A52"/>
    <w:rsid w:val="00391652"/>
    <w:rsid w:val="00394784"/>
    <w:rsid w:val="00394E17"/>
    <w:rsid w:val="0039507F"/>
    <w:rsid w:val="00395702"/>
    <w:rsid w:val="003A1260"/>
    <w:rsid w:val="003A295F"/>
    <w:rsid w:val="003A2D49"/>
    <w:rsid w:val="003A41DD"/>
    <w:rsid w:val="003A7033"/>
    <w:rsid w:val="003B1632"/>
    <w:rsid w:val="003B47FE"/>
    <w:rsid w:val="003B5673"/>
    <w:rsid w:val="003B6287"/>
    <w:rsid w:val="003B62C9"/>
    <w:rsid w:val="003C11F1"/>
    <w:rsid w:val="003C15EB"/>
    <w:rsid w:val="003C20A4"/>
    <w:rsid w:val="003C7176"/>
    <w:rsid w:val="003D0929"/>
    <w:rsid w:val="003D2943"/>
    <w:rsid w:val="003D4729"/>
    <w:rsid w:val="003D56DD"/>
    <w:rsid w:val="003D7510"/>
    <w:rsid w:val="003D7DD6"/>
    <w:rsid w:val="003E53D6"/>
    <w:rsid w:val="003E5AAF"/>
    <w:rsid w:val="003E600D"/>
    <w:rsid w:val="003E64DF"/>
    <w:rsid w:val="003E6A5D"/>
    <w:rsid w:val="003E7F78"/>
    <w:rsid w:val="003F193A"/>
    <w:rsid w:val="003F4207"/>
    <w:rsid w:val="003F5C46"/>
    <w:rsid w:val="003F6FBC"/>
    <w:rsid w:val="003F7CBB"/>
    <w:rsid w:val="003F7D34"/>
    <w:rsid w:val="00406356"/>
    <w:rsid w:val="00412C25"/>
    <w:rsid w:val="00412C8E"/>
    <w:rsid w:val="00413C19"/>
    <w:rsid w:val="0041497D"/>
    <w:rsid w:val="0041518D"/>
    <w:rsid w:val="00417B2D"/>
    <w:rsid w:val="0042221D"/>
    <w:rsid w:val="00424DD3"/>
    <w:rsid w:val="004269C5"/>
    <w:rsid w:val="00431023"/>
    <w:rsid w:val="00435939"/>
    <w:rsid w:val="00437CC7"/>
    <w:rsid w:val="004406A5"/>
    <w:rsid w:val="00442B9C"/>
    <w:rsid w:val="00443064"/>
    <w:rsid w:val="00445EFA"/>
    <w:rsid w:val="0044738A"/>
    <w:rsid w:val="004473D3"/>
    <w:rsid w:val="00447FB8"/>
    <w:rsid w:val="00452231"/>
    <w:rsid w:val="004605D0"/>
    <w:rsid w:val="00460C13"/>
    <w:rsid w:val="00463228"/>
    <w:rsid w:val="00463782"/>
    <w:rsid w:val="00466622"/>
    <w:rsid w:val="004667E0"/>
    <w:rsid w:val="0046760E"/>
    <w:rsid w:val="00470E10"/>
    <w:rsid w:val="00477A97"/>
    <w:rsid w:val="00481343"/>
    <w:rsid w:val="00483E58"/>
    <w:rsid w:val="0048549E"/>
    <w:rsid w:val="004866BF"/>
    <w:rsid w:val="00486A10"/>
    <w:rsid w:val="00490574"/>
    <w:rsid w:val="004930C6"/>
    <w:rsid w:val="00493347"/>
    <w:rsid w:val="00494E65"/>
    <w:rsid w:val="00496092"/>
    <w:rsid w:val="00496A5B"/>
    <w:rsid w:val="00497D07"/>
    <w:rsid w:val="004A08DB"/>
    <w:rsid w:val="004A25D0"/>
    <w:rsid w:val="004A37E8"/>
    <w:rsid w:val="004A584F"/>
    <w:rsid w:val="004A68C3"/>
    <w:rsid w:val="004A7549"/>
    <w:rsid w:val="004B0647"/>
    <w:rsid w:val="004B09D4"/>
    <w:rsid w:val="004B309D"/>
    <w:rsid w:val="004B30DE"/>
    <w:rsid w:val="004B330A"/>
    <w:rsid w:val="004B5125"/>
    <w:rsid w:val="004B6344"/>
    <w:rsid w:val="004B7C8E"/>
    <w:rsid w:val="004C24C7"/>
    <w:rsid w:val="004C270B"/>
    <w:rsid w:val="004C3913"/>
    <w:rsid w:val="004C3D3C"/>
    <w:rsid w:val="004C70B2"/>
    <w:rsid w:val="004C7851"/>
    <w:rsid w:val="004D0EDC"/>
    <w:rsid w:val="004D1220"/>
    <w:rsid w:val="004D14B3"/>
    <w:rsid w:val="004D1529"/>
    <w:rsid w:val="004D2253"/>
    <w:rsid w:val="004D23CA"/>
    <w:rsid w:val="004D28BD"/>
    <w:rsid w:val="004D4972"/>
    <w:rsid w:val="004D5514"/>
    <w:rsid w:val="004D56C3"/>
    <w:rsid w:val="004D6D24"/>
    <w:rsid w:val="004E0338"/>
    <w:rsid w:val="004E3121"/>
    <w:rsid w:val="004E4FF3"/>
    <w:rsid w:val="004E56A8"/>
    <w:rsid w:val="004E5B21"/>
    <w:rsid w:val="004E5C68"/>
    <w:rsid w:val="004E616C"/>
    <w:rsid w:val="004F3869"/>
    <w:rsid w:val="004F3B55"/>
    <w:rsid w:val="004F428E"/>
    <w:rsid w:val="004F4E46"/>
    <w:rsid w:val="004F6B7D"/>
    <w:rsid w:val="00500331"/>
    <w:rsid w:val="00500A66"/>
    <w:rsid w:val="005015F6"/>
    <w:rsid w:val="005030C4"/>
    <w:rsid w:val="005031C5"/>
    <w:rsid w:val="00504FDC"/>
    <w:rsid w:val="005061B8"/>
    <w:rsid w:val="00506C6D"/>
    <w:rsid w:val="00506D2B"/>
    <w:rsid w:val="0050792B"/>
    <w:rsid w:val="005120CC"/>
    <w:rsid w:val="00512B7B"/>
    <w:rsid w:val="00514EA1"/>
    <w:rsid w:val="00515D4B"/>
    <w:rsid w:val="0051798B"/>
    <w:rsid w:val="0052034C"/>
    <w:rsid w:val="00520F9C"/>
    <w:rsid w:val="00521F5A"/>
    <w:rsid w:val="00522073"/>
    <w:rsid w:val="0052222A"/>
    <w:rsid w:val="00524A87"/>
    <w:rsid w:val="00525E06"/>
    <w:rsid w:val="00526454"/>
    <w:rsid w:val="0052727A"/>
    <w:rsid w:val="00531823"/>
    <w:rsid w:val="00533A66"/>
    <w:rsid w:val="00534ECC"/>
    <w:rsid w:val="0053720D"/>
    <w:rsid w:val="00540EF5"/>
    <w:rsid w:val="00541BF3"/>
    <w:rsid w:val="00541CD3"/>
    <w:rsid w:val="00544FBE"/>
    <w:rsid w:val="005476FA"/>
    <w:rsid w:val="00553F28"/>
    <w:rsid w:val="0055595E"/>
    <w:rsid w:val="00557988"/>
    <w:rsid w:val="00561699"/>
    <w:rsid w:val="00561706"/>
    <w:rsid w:val="00562539"/>
    <w:rsid w:val="00562C49"/>
    <w:rsid w:val="00562DEF"/>
    <w:rsid w:val="0056321A"/>
    <w:rsid w:val="00563A35"/>
    <w:rsid w:val="00566596"/>
    <w:rsid w:val="005700DB"/>
    <w:rsid w:val="00571424"/>
    <w:rsid w:val="005741E9"/>
    <w:rsid w:val="005745F6"/>
    <w:rsid w:val="005748CF"/>
    <w:rsid w:val="0057567F"/>
    <w:rsid w:val="00577A01"/>
    <w:rsid w:val="0058023B"/>
    <w:rsid w:val="00583743"/>
    <w:rsid w:val="00584270"/>
    <w:rsid w:val="00584738"/>
    <w:rsid w:val="005920B0"/>
    <w:rsid w:val="0059380D"/>
    <w:rsid w:val="0059565E"/>
    <w:rsid w:val="00595A8F"/>
    <w:rsid w:val="005977C2"/>
    <w:rsid w:val="00597A7F"/>
    <w:rsid w:val="00597BF2"/>
    <w:rsid w:val="005A0C16"/>
    <w:rsid w:val="005A1F54"/>
    <w:rsid w:val="005A2557"/>
    <w:rsid w:val="005A3020"/>
    <w:rsid w:val="005B134E"/>
    <w:rsid w:val="005B2039"/>
    <w:rsid w:val="005B344F"/>
    <w:rsid w:val="005B3FBA"/>
    <w:rsid w:val="005B4A1D"/>
    <w:rsid w:val="005B5EE6"/>
    <w:rsid w:val="005B674D"/>
    <w:rsid w:val="005C056D"/>
    <w:rsid w:val="005C0CBE"/>
    <w:rsid w:val="005C1FCF"/>
    <w:rsid w:val="005C3F41"/>
    <w:rsid w:val="005D1885"/>
    <w:rsid w:val="005D4A38"/>
    <w:rsid w:val="005E03E4"/>
    <w:rsid w:val="005E04FE"/>
    <w:rsid w:val="005E2EEA"/>
    <w:rsid w:val="005E3708"/>
    <w:rsid w:val="005E3CCD"/>
    <w:rsid w:val="005E3D6B"/>
    <w:rsid w:val="005E40DE"/>
    <w:rsid w:val="005E5B55"/>
    <w:rsid w:val="005E5E4A"/>
    <w:rsid w:val="005E693D"/>
    <w:rsid w:val="005E75BF"/>
    <w:rsid w:val="005F57BA"/>
    <w:rsid w:val="005F61E6"/>
    <w:rsid w:val="005F6C45"/>
    <w:rsid w:val="005F6EDE"/>
    <w:rsid w:val="005F73AE"/>
    <w:rsid w:val="00603AEB"/>
    <w:rsid w:val="00605A69"/>
    <w:rsid w:val="006069D7"/>
    <w:rsid w:val="00606C54"/>
    <w:rsid w:val="0060798E"/>
    <w:rsid w:val="00613D9A"/>
    <w:rsid w:val="00614375"/>
    <w:rsid w:val="00615B0A"/>
    <w:rsid w:val="006163D4"/>
    <w:rsid w:val="006168CF"/>
    <w:rsid w:val="0062011B"/>
    <w:rsid w:val="00621E01"/>
    <w:rsid w:val="00626DE0"/>
    <w:rsid w:val="00630901"/>
    <w:rsid w:val="00631F8E"/>
    <w:rsid w:val="00636EE9"/>
    <w:rsid w:val="00640950"/>
    <w:rsid w:val="00640DEA"/>
    <w:rsid w:val="0064196B"/>
    <w:rsid w:val="00641AE7"/>
    <w:rsid w:val="00642629"/>
    <w:rsid w:val="00643A8C"/>
    <w:rsid w:val="0064782B"/>
    <w:rsid w:val="00651201"/>
    <w:rsid w:val="00651A38"/>
    <w:rsid w:val="0065293D"/>
    <w:rsid w:val="006531DA"/>
    <w:rsid w:val="00653EFC"/>
    <w:rsid w:val="00654021"/>
    <w:rsid w:val="00657509"/>
    <w:rsid w:val="006601F2"/>
    <w:rsid w:val="00661045"/>
    <w:rsid w:val="00661253"/>
    <w:rsid w:val="00666DA8"/>
    <w:rsid w:val="00671057"/>
    <w:rsid w:val="006730F7"/>
    <w:rsid w:val="0067588C"/>
    <w:rsid w:val="00675AAF"/>
    <w:rsid w:val="0068031A"/>
    <w:rsid w:val="00681B2F"/>
    <w:rsid w:val="0068335F"/>
    <w:rsid w:val="006857FE"/>
    <w:rsid w:val="00687217"/>
    <w:rsid w:val="006907E6"/>
    <w:rsid w:val="00690FFE"/>
    <w:rsid w:val="006922DB"/>
    <w:rsid w:val="00693302"/>
    <w:rsid w:val="006953A6"/>
    <w:rsid w:val="0069640B"/>
    <w:rsid w:val="006A009B"/>
    <w:rsid w:val="006A1B83"/>
    <w:rsid w:val="006A21CD"/>
    <w:rsid w:val="006A5918"/>
    <w:rsid w:val="006A731B"/>
    <w:rsid w:val="006B21B2"/>
    <w:rsid w:val="006B4A4A"/>
    <w:rsid w:val="006B5D6B"/>
    <w:rsid w:val="006B77EF"/>
    <w:rsid w:val="006C04D0"/>
    <w:rsid w:val="006C0C4F"/>
    <w:rsid w:val="006C19B2"/>
    <w:rsid w:val="006C22EF"/>
    <w:rsid w:val="006C4409"/>
    <w:rsid w:val="006C53B3"/>
    <w:rsid w:val="006C5BB8"/>
    <w:rsid w:val="006C6936"/>
    <w:rsid w:val="006C7A59"/>
    <w:rsid w:val="006C7B01"/>
    <w:rsid w:val="006D0FE8"/>
    <w:rsid w:val="006D4B2B"/>
    <w:rsid w:val="006D4F3C"/>
    <w:rsid w:val="006D5C66"/>
    <w:rsid w:val="006D7002"/>
    <w:rsid w:val="006E1B3C"/>
    <w:rsid w:val="006E23FB"/>
    <w:rsid w:val="006E325A"/>
    <w:rsid w:val="006E33EC"/>
    <w:rsid w:val="006E3802"/>
    <w:rsid w:val="006E6C02"/>
    <w:rsid w:val="006F0DC8"/>
    <w:rsid w:val="006F1254"/>
    <w:rsid w:val="006F231A"/>
    <w:rsid w:val="006F2D2C"/>
    <w:rsid w:val="006F3A96"/>
    <w:rsid w:val="006F6B55"/>
    <w:rsid w:val="006F788D"/>
    <w:rsid w:val="006F78E1"/>
    <w:rsid w:val="00700CBC"/>
    <w:rsid w:val="00701072"/>
    <w:rsid w:val="00702054"/>
    <w:rsid w:val="007035A4"/>
    <w:rsid w:val="007077A7"/>
    <w:rsid w:val="00707EED"/>
    <w:rsid w:val="00711799"/>
    <w:rsid w:val="00712B78"/>
    <w:rsid w:val="0071393B"/>
    <w:rsid w:val="00713D80"/>
    <w:rsid w:val="00713EE2"/>
    <w:rsid w:val="00716A11"/>
    <w:rsid w:val="007177FC"/>
    <w:rsid w:val="00720ADF"/>
    <w:rsid w:val="00720C5E"/>
    <w:rsid w:val="00721701"/>
    <w:rsid w:val="007272BA"/>
    <w:rsid w:val="00731835"/>
    <w:rsid w:val="007341F8"/>
    <w:rsid w:val="00734372"/>
    <w:rsid w:val="00734EB8"/>
    <w:rsid w:val="00735F8B"/>
    <w:rsid w:val="0074090B"/>
    <w:rsid w:val="00742D1F"/>
    <w:rsid w:val="00743EBA"/>
    <w:rsid w:val="00744C8E"/>
    <w:rsid w:val="0074694E"/>
    <w:rsid w:val="0074707E"/>
    <w:rsid w:val="007516DC"/>
    <w:rsid w:val="00752E58"/>
    <w:rsid w:val="00754B80"/>
    <w:rsid w:val="00761918"/>
    <w:rsid w:val="00761E9C"/>
    <w:rsid w:val="0076226C"/>
    <w:rsid w:val="00762F03"/>
    <w:rsid w:val="0076413B"/>
    <w:rsid w:val="007648AE"/>
    <w:rsid w:val="00764BF8"/>
    <w:rsid w:val="0076514D"/>
    <w:rsid w:val="007656E9"/>
    <w:rsid w:val="00767445"/>
    <w:rsid w:val="0077099B"/>
    <w:rsid w:val="007736D6"/>
    <w:rsid w:val="00773D59"/>
    <w:rsid w:val="00781003"/>
    <w:rsid w:val="00783A50"/>
    <w:rsid w:val="007911FD"/>
    <w:rsid w:val="00793930"/>
    <w:rsid w:val="00793DD1"/>
    <w:rsid w:val="00794FEC"/>
    <w:rsid w:val="007A003E"/>
    <w:rsid w:val="007A1965"/>
    <w:rsid w:val="007A2ED1"/>
    <w:rsid w:val="007A4BE6"/>
    <w:rsid w:val="007A6E68"/>
    <w:rsid w:val="007B01DF"/>
    <w:rsid w:val="007B0DC6"/>
    <w:rsid w:val="007B1094"/>
    <w:rsid w:val="007B1762"/>
    <w:rsid w:val="007B2430"/>
    <w:rsid w:val="007B3320"/>
    <w:rsid w:val="007B38C8"/>
    <w:rsid w:val="007C0D12"/>
    <w:rsid w:val="007C25C4"/>
    <w:rsid w:val="007C301F"/>
    <w:rsid w:val="007C4395"/>
    <w:rsid w:val="007C4540"/>
    <w:rsid w:val="007C57D8"/>
    <w:rsid w:val="007C65AF"/>
    <w:rsid w:val="007D041D"/>
    <w:rsid w:val="007D135D"/>
    <w:rsid w:val="007D1820"/>
    <w:rsid w:val="007D6224"/>
    <w:rsid w:val="007D730F"/>
    <w:rsid w:val="007D7CD8"/>
    <w:rsid w:val="007E3AA7"/>
    <w:rsid w:val="007E743E"/>
    <w:rsid w:val="007F4425"/>
    <w:rsid w:val="007F6578"/>
    <w:rsid w:val="007F737D"/>
    <w:rsid w:val="007F745A"/>
    <w:rsid w:val="00801656"/>
    <w:rsid w:val="00801AD5"/>
    <w:rsid w:val="0080308E"/>
    <w:rsid w:val="00804014"/>
    <w:rsid w:val="00805303"/>
    <w:rsid w:val="00806705"/>
    <w:rsid w:val="00806738"/>
    <w:rsid w:val="00807772"/>
    <w:rsid w:val="00807DE2"/>
    <w:rsid w:val="008121B4"/>
    <w:rsid w:val="0081390E"/>
    <w:rsid w:val="00815E44"/>
    <w:rsid w:val="00817090"/>
    <w:rsid w:val="00817D71"/>
    <w:rsid w:val="008216D5"/>
    <w:rsid w:val="0082367A"/>
    <w:rsid w:val="008249CE"/>
    <w:rsid w:val="00826045"/>
    <w:rsid w:val="008260A3"/>
    <w:rsid w:val="00830DD5"/>
    <w:rsid w:val="00831A50"/>
    <w:rsid w:val="00831B3C"/>
    <w:rsid w:val="00831C89"/>
    <w:rsid w:val="00832114"/>
    <w:rsid w:val="00834C46"/>
    <w:rsid w:val="0084093E"/>
    <w:rsid w:val="00841CE1"/>
    <w:rsid w:val="008463D5"/>
    <w:rsid w:val="008473D8"/>
    <w:rsid w:val="008478CB"/>
    <w:rsid w:val="00850014"/>
    <w:rsid w:val="00850679"/>
    <w:rsid w:val="008508E8"/>
    <w:rsid w:val="008528DC"/>
    <w:rsid w:val="00852B8C"/>
    <w:rsid w:val="00853F25"/>
    <w:rsid w:val="00854981"/>
    <w:rsid w:val="00857E60"/>
    <w:rsid w:val="00860DE5"/>
    <w:rsid w:val="00864136"/>
    <w:rsid w:val="00864B2E"/>
    <w:rsid w:val="00865963"/>
    <w:rsid w:val="00867AB9"/>
    <w:rsid w:val="00871C1D"/>
    <w:rsid w:val="0087450E"/>
    <w:rsid w:val="00875A82"/>
    <w:rsid w:val="00876CA3"/>
    <w:rsid w:val="008772FE"/>
    <w:rsid w:val="008775F1"/>
    <w:rsid w:val="008821AE"/>
    <w:rsid w:val="00883D3A"/>
    <w:rsid w:val="008854F7"/>
    <w:rsid w:val="00885A9D"/>
    <w:rsid w:val="00885D32"/>
    <w:rsid w:val="008865A0"/>
    <w:rsid w:val="00890A39"/>
    <w:rsid w:val="008929D2"/>
    <w:rsid w:val="00892AC6"/>
    <w:rsid w:val="00893636"/>
    <w:rsid w:val="00893B94"/>
    <w:rsid w:val="00896E9D"/>
    <w:rsid w:val="00896F11"/>
    <w:rsid w:val="008975DD"/>
    <w:rsid w:val="008A0B90"/>
    <w:rsid w:val="008A1049"/>
    <w:rsid w:val="008A1C1D"/>
    <w:rsid w:val="008A1C98"/>
    <w:rsid w:val="008A322D"/>
    <w:rsid w:val="008A4D72"/>
    <w:rsid w:val="008A55E4"/>
    <w:rsid w:val="008A5BCF"/>
    <w:rsid w:val="008A6285"/>
    <w:rsid w:val="008A63B2"/>
    <w:rsid w:val="008B345D"/>
    <w:rsid w:val="008B36B4"/>
    <w:rsid w:val="008C1FC2"/>
    <w:rsid w:val="008C2980"/>
    <w:rsid w:val="008C4DD6"/>
    <w:rsid w:val="008C5AFB"/>
    <w:rsid w:val="008D07FB"/>
    <w:rsid w:val="008D0C02"/>
    <w:rsid w:val="008D0E9A"/>
    <w:rsid w:val="008D1A34"/>
    <w:rsid w:val="008D329A"/>
    <w:rsid w:val="008D357D"/>
    <w:rsid w:val="008D435A"/>
    <w:rsid w:val="008E00AC"/>
    <w:rsid w:val="008E0C78"/>
    <w:rsid w:val="008E387B"/>
    <w:rsid w:val="008E5657"/>
    <w:rsid w:val="008E5843"/>
    <w:rsid w:val="008E6087"/>
    <w:rsid w:val="008E758D"/>
    <w:rsid w:val="008F10A7"/>
    <w:rsid w:val="008F2089"/>
    <w:rsid w:val="008F755D"/>
    <w:rsid w:val="008F7A39"/>
    <w:rsid w:val="009002D5"/>
    <w:rsid w:val="00900C2E"/>
    <w:rsid w:val="009021E8"/>
    <w:rsid w:val="009038DC"/>
    <w:rsid w:val="00904677"/>
    <w:rsid w:val="00904C04"/>
    <w:rsid w:val="00905EE2"/>
    <w:rsid w:val="00911440"/>
    <w:rsid w:val="00911712"/>
    <w:rsid w:val="00911B27"/>
    <w:rsid w:val="00911DF7"/>
    <w:rsid w:val="0091259A"/>
    <w:rsid w:val="0091405F"/>
    <w:rsid w:val="0091626C"/>
    <w:rsid w:val="009170BE"/>
    <w:rsid w:val="00920B55"/>
    <w:rsid w:val="00925FE8"/>
    <w:rsid w:val="009262C9"/>
    <w:rsid w:val="00930EB9"/>
    <w:rsid w:val="00933DC7"/>
    <w:rsid w:val="0093723D"/>
    <w:rsid w:val="00940218"/>
    <w:rsid w:val="009406A8"/>
    <w:rsid w:val="009418F4"/>
    <w:rsid w:val="00941CDF"/>
    <w:rsid w:val="00942BBC"/>
    <w:rsid w:val="00944180"/>
    <w:rsid w:val="00944AA0"/>
    <w:rsid w:val="00947DA2"/>
    <w:rsid w:val="00950188"/>
    <w:rsid w:val="00951177"/>
    <w:rsid w:val="00961A96"/>
    <w:rsid w:val="00966BFE"/>
    <w:rsid w:val="00967047"/>
    <w:rsid w:val="009673E8"/>
    <w:rsid w:val="00974C85"/>
    <w:rsid w:val="00974DB8"/>
    <w:rsid w:val="00976A58"/>
    <w:rsid w:val="00980661"/>
    <w:rsid w:val="0098093B"/>
    <w:rsid w:val="009846D8"/>
    <w:rsid w:val="009858A5"/>
    <w:rsid w:val="009862DA"/>
    <w:rsid w:val="009876D4"/>
    <w:rsid w:val="00987C14"/>
    <w:rsid w:val="00990A1E"/>
    <w:rsid w:val="009914A5"/>
    <w:rsid w:val="0099548E"/>
    <w:rsid w:val="00996456"/>
    <w:rsid w:val="00996A12"/>
    <w:rsid w:val="00997B0F"/>
    <w:rsid w:val="009A0CC3"/>
    <w:rsid w:val="009A1CAD"/>
    <w:rsid w:val="009A3440"/>
    <w:rsid w:val="009A5832"/>
    <w:rsid w:val="009A6838"/>
    <w:rsid w:val="009A6B59"/>
    <w:rsid w:val="009B1409"/>
    <w:rsid w:val="009B24B5"/>
    <w:rsid w:val="009B4EBC"/>
    <w:rsid w:val="009B5ABB"/>
    <w:rsid w:val="009B6CEC"/>
    <w:rsid w:val="009B72A9"/>
    <w:rsid w:val="009B73CE"/>
    <w:rsid w:val="009C09C4"/>
    <w:rsid w:val="009C2461"/>
    <w:rsid w:val="009C5A15"/>
    <w:rsid w:val="009C5B44"/>
    <w:rsid w:val="009C6FE2"/>
    <w:rsid w:val="009C7674"/>
    <w:rsid w:val="009D004A"/>
    <w:rsid w:val="009D5880"/>
    <w:rsid w:val="009E0DD5"/>
    <w:rsid w:val="009E1FD4"/>
    <w:rsid w:val="009E3B07"/>
    <w:rsid w:val="009E51D1"/>
    <w:rsid w:val="009E5531"/>
    <w:rsid w:val="009F171E"/>
    <w:rsid w:val="009F3D2F"/>
    <w:rsid w:val="009F7052"/>
    <w:rsid w:val="00A02668"/>
    <w:rsid w:val="00A02801"/>
    <w:rsid w:val="00A0316F"/>
    <w:rsid w:val="00A06A39"/>
    <w:rsid w:val="00A07F58"/>
    <w:rsid w:val="00A131CB"/>
    <w:rsid w:val="00A14148"/>
    <w:rsid w:val="00A14847"/>
    <w:rsid w:val="00A16D6D"/>
    <w:rsid w:val="00A21383"/>
    <w:rsid w:val="00A2199F"/>
    <w:rsid w:val="00A21B31"/>
    <w:rsid w:val="00A22505"/>
    <w:rsid w:val="00A22B1A"/>
    <w:rsid w:val="00A2360E"/>
    <w:rsid w:val="00A26E0C"/>
    <w:rsid w:val="00A31C15"/>
    <w:rsid w:val="00A32FCB"/>
    <w:rsid w:val="00A34C25"/>
    <w:rsid w:val="00A3507D"/>
    <w:rsid w:val="00A368EA"/>
    <w:rsid w:val="00A3717A"/>
    <w:rsid w:val="00A4088C"/>
    <w:rsid w:val="00A4456B"/>
    <w:rsid w:val="00A448D4"/>
    <w:rsid w:val="00A452E0"/>
    <w:rsid w:val="00A506DF"/>
    <w:rsid w:val="00A50822"/>
    <w:rsid w:val="00A51EA5"/>
    <w:rsid w:val="00A53742"/>
    <w:rsid w:val="00A557A1"/>
    <w:rsid w:val="00A63059"/>
    <w:rsid w:val="00A63AE3"/>
    <w:rsid w:val="00A651A4"/>
    <w:rsid w:val="00A66F71"/>
    <w:rsid w:val="00A67BAB"/>
    <w:rsid w:val="00A7104B"/>
    <w:rsid w:val="00A71361"/>
    <w:rsid w:val="00A746E2"/>
    <w:rsid w:val="00A7688F"/>
    <w:rsid w:val="00A81FF2"/>
    <w:rsid w:val="00A83904"/>
    <w:rsid w:val="00A84DA2"/>
    <w:rsid w:val="00A8508B"/>
    <w:rsid w:val="00A8568D"/>
    <w:rsid w:val="00A90A79"/>
    <w:rsid w:val="00A94519"/>
    <w:rsid w:val="00A96B30"/>
    <w:rsid w:val="00AA0202"/>
    <w:rsid w:val="00AA370C"/>
    <w:rsid w:val="00AA442D"/>
    <w:rsid w:val="00AA52BF"/>
    <w:rsid w:val="00AA59B5"/>
    <w:rsid w:val="00AA67FB"/>
    <w:rsid w:val="00AA7777"/>
    <w:rsid w:val="00AA7B84"/>
    <w:rsid w:val="00AC0B4C"/>
    <w:rsid w:val="00AC1164"/>
    <w:rsid w:val="00AC2296"/>
    <w:rsid w:val="00AC2754"/>
    <w:rsid w:val="00AC2803"/>
    <w:rsid w:val="00AC48B0"/>
    <w:rsid w:val="00AC495F"/>
    <w:rsid w:val="00AC4ACD"/>
    <w:rsid w:val="00AC5DFB"/>
    <w:rsid w:val="00AD13DC"/>
    <w:rsid w:val="00AD42D1"/>
    <w:rsid w:val="00AD6415"/>
    <w:rsid w:val="00AD6DE2"/>
    <w:rsid w:val="00AD7190"/>
    <w:rsid w:val="00AE0293"/>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270E"/>
    <w:rsid w:val="00B0561C"/>
    <w:rsid w:val="00B077FA"/>
    <w:rsid w:val="00B127D7"/>
    <w:rsid w:val="00B13B0C"/>
    <w:rsid w:val="00B14408"/>
    <w:rsid w:val="00B1453A"/>
    <w:rsid w:val="00B20A89"/>
    <w:rsid w:val="00B20F82"/>
    <w:rsid w:val="00B25BD5"/>
    <w:rsid w:val="00B30381"/>
    <w:rsid w:val="00B33E66"/>
    <w:rsid w:val="00B34079"/>
    <w:rsid w:val="00B34308"/>
    <w:rsid w:val="00B3793A"/>
    <w:rsid w:val="00B401BA"/>
    <w:rsid w:val="00B407E4"/>
    <w:rsid w:val="00B425B6"/>
    <w:rsid w:val="00B42765"/>
    <w:rsid w:val="00B42A72"/>
    <w:rsid w:val="00B441AE"/>
    <w:rsid w:val="00B45A65"/>
    <w:rsid w:val="00B45F33"/>
    <w:rsid w:val="00B4665F"/>
    <w:rsid w:val="00B46D50"/>
    <w:rsid w:val="00B53170"/>
    <w:rsid w:val="00B53BD1"/>
    <w:rsid w:val="00B548B9"/>
    <w:rsid w:val="00B56DBE"/>
    <w:rsid w:val="00B6053F"/>
    <w:rsid w:val="00B616EA"/>
    <w:rsid w:val="00B62999"/>
    <w:rsid w:val="00B63BE3"/>
    <w:rsid w:val="00B64885"/>
    <w:rsid w:val="00B64D8D"/>
    <w:rsid w:val="00B64FA3"/>
    <w:rsid w:val="00B66810"/>
    <w:rsid w:val="00B7018A"/>
    <w:rsid w:val="00B7057C"/>
    <w:rsid w:val="00B716D9"/>
    <w:rsid w:val="00B72BE3"/>
    <w:rsid w:val="00B73B80"/>
    <w:rsid w:val="00B759A2"/>
    <w:rsid w:val="00B770C7"/>
    <w:rsid w:val="00B80F26"/>
    <w:rsid w:val="00B817CC"/>
    <w:rsid w:val="00B8212B"/>
    <w:rsid w:val="00B822BD"/>
    <w:rsid w:val="00B82BB9"/>
    <w:rsid w:val="00B838DB"/>
    <w:rsid w:val="00B842F4"/>
    <w:rsid w:val="00B86B56"/>
    <w:rsid w:val="00B87F51"/>
    <w:rsid w:val="00B91A6E"/>
    <w:rsid w:val="00B91A7B"/>
    <w:rsid w:val="00B929DD"/>
    <w:rsid w:val="00B93AF6"/>
    <w:rsid w:val="00B95405"/>
    <w:rsid w:val="00B963F1"/>
    <w:rsid w:val="00B9724C"/>
    <w:rsid w:val="00BA020A"/>
    <w:rsid w:val="00BB025A"/>
    <w:rsid w:val="00BB02A4"/>
    <w:rsid w:val="00BB1270"/>
    <w:rsid w:val="00BB1E44"/>
    <w:rsid w:val="00BB5267"/>
    <w:rsid w:val="00BB52B8"/>
    <w:rsid w:val="00BB59D8"/>
    <w:rsid w:val="00BB7219"/>
    <w:rsid w:val="00BB7E69"/>
    <w:rsid w:val="00BC0E51"/>
    <w:rsid w:val="00BC3C1F"/>
    <w:rsid w:val="00BC3CA7"/>
    <w:rsid w:val="00BC7ADD"/>
    <w:rsid w:val="00BC7CE7"/>
    <w:rsid w:val="00BC7DC9"/>
    <w:rsid w:val="00BD295E"/>
    <w:rsid w:val="00BD4664"/>
    <w:rsid w:val="00BE0BA4"/>
    <w:rsid w:val="00BE1193"/>
    <w:rsid w:val="00BE54F3"/>
    <w:rsid w:val="00BF4849"/>
    <w:rsid w:val="00BF4EA7"/>
    <w:rsid w:val="00BF6525"/>
    <w:rsid w:val="00C00EDB"/>
    <w:rsid w:val="00C01CB6"/>
    <w:rsid w:val="00C02863"/>
    <w:rsid w:val="00C0383A"/>
    <w:rsid w:val="00C067FF"/>
    <w:rsid w:val="00C07770"/>
    <w:rsid w:val="00C12862"/>
    <w:rsid w:val="00C1350A"/>
    <w:rsid w:val="00C13D28"/>
    <w:rsid w:val="00C14585"/>
    <w:rsid w:val="00C165A0"/>
    <w:rsid w:val="00C216CE"/>
    <w:rsid w:val="00C2184F"/>
    <w:rsid w:val="00C22A78"/>
    <w:rsid w:val="00C23C7E"/>
    <w:rsid w:val="00C246C5"/>
    <w:rsid w:val="00C253E0"/>
    <w:rsid w:val="00C25A48"/>
    <w:rsid w:val="00C25A82"/>
    <w:rsid w:val="00C30A2A"/>
    <w:rsid w:val="00C32DF7"/>
    <w:rsid w:val="00C33993"/>
    <w:rsid w:val="00C36116"/>
    <w:rsid w:val="00C4069E"/>
    <w:rsid w:val="00C41ADC"/>
    <w:rsid w:val="00C44149"/>
    <w:rsid w:val="00C44410"/>
    <w:rsid w:val="00C44724"/>
    <w:rsid w:val="00C44A15"/>
    <w:rsid w:val="00C45ED2"/>
    <w:rsid w:val="00C4630A"/>
    <w:rsid w:val="00C52229"/>
    <w:rsid w:val="00C523F0"/>
    <w:rsid w:val="00C526D2"/>
    <w:rsid w:val="00C53A20"/>
    <w:rsid w:val="00C53A91"/>
    <w:rsid w:val="00C5475A"/>
    <w:rsid w:val="00C5794E"/>
    <w:rsid w:val="00C60968"/>
    <w:rsid w:val="00C63D39"/>
    <w:rsid w:val="00C63EDD"/>
    <w:rsid w:val="00C64772"/>
    <w:rsid w:val="00C64FD2"/>
    <w:rsid w:val="00C65B36"/>
    <w:rsid w:val="00C664BC"/>
    <w:rsid w:val="00C7136C"/>
    <w:rsid w:val="00C7292E"/>
    <w:rsid w:val="00C74E88"/>
    <w:rsid w:val="00C76358"/>
    <w:rsid w:val="00C7763C"/>
    <w:rsid w:val="00C80924"/>
    <w:rsid w:val="00C8286B"/>
    <w:rsid w:val="00C82B15"/>
    <w:rsid w:val="00C8409A"/>
    <w:rsid w:val="00C867BA"/>
    <w:rsid w:val="00C947F8"/>
    <w:rsid w:val="00C9515F"/>
    <w:rsid w:val="00C963C5"/>
    <w:rsid w:val="00CA00ED"/>
    <w:rsid w:val="00CA030C"/>
    <w:rsid w:val="00CA03B2"/>
    <w:rsid w:val="00CA116A"/>
    <w:rsid w:val="00CA1F41"/>
    <w:rsid w:val="00CA250D"/>
    <w:rsid w:val="00CA32EE"/>
    <w:rsid w:val="00CA3455"/>
    <w:rsid w:val="00CA512D"/>
    <w:rsid w:val="00CA5771"/>
    <w:rsid w:val="00CA6A1A"/>
    <w:rsid w:val="00CB2F06"/>
    <w:rsid w:val="00CC10A1"/>
    <w:rsid w:val="00CC1E75"/>
    <w:rsid w:val="00CC2E0E"/>
    <w:rsid w:val="00CC361C"/>
    <w:rsid w:val="00CC474B"/>
    <w:rsid w:val="00CC52BE"/>
    <w:rsid w:val="00CC62BC"/>
    <w:rsid w:val="00CC658C"/>
    <w:rsid w:val="00CC67BF"/>
    <w:rsid w:val="00CD03E2"/>
    <w:rsid w:val="00CD0843"/>
    <w:rsid w:val="00CD2134"/>
    <w:rsid w:val="00CD3267"/>
    <w:rsid w:val="00CD4D4F"/>
    <w:rsid w:val="00CD4E31"/>
    <w:rsid w:val="00CD5A78"/>
    <w:rsid w:val="00CD6A9F"/>
    <w:rsid w:val="00CD7345"/>
    <w:rsid w:val="00CE0A7E"/>
    <w:rsid w:val="00CE372E"/>
    <w:rsid w:val="00CE6995"/>
    <w:rsid w:val="00CF0A1B"/>
    <w:rsid w:val="00CF19F6"/>
    <w:rsid w:val="00CF288B"/>
    <w:rsid w:val="00CF2F4F"/>
    <w:rsid w:val="00CF536D"/>
    <w:rsid w:val="00CF6C48"/>
    <w:rsid w:val="00D0273F"/>
    <w:rsid w:val="00D02E9D"/>
    <w:rsid w:val="00D06821"/>
    <w:rsid w:val="00D10CB8"/>
    <w:rsid w:val="00D12806"/>
    <w:rsid w:val="00D12D44"/>
    <w:rsid w:val="00D1380A"/>
    <w:rsid w:val="00D15018"/>
    <w:rsid w:val="00D158AC"/>
    <w:rsid w:val="00D1694C"/>
    <w:rsid w:val="00D20F5E"/>
    <w:rsid w:val="00D23B76"/>
    <w:rsid w:val="00D24B4A"/>
    <w:rsid w:val="00D263C9"/>
    <w:rsid w:val="00D2794C"/>
    <w:rsid w:val="00D27D87"/>
    <w:rsid w:val="00D318A1"/>
    <w:rsid w:val="00D319A3"/>
    <w:rsid w:val="00D334CF"/>
    <w:rsid w:val="00D368B5"/>
    <w:rsid w:val="00D37498"/>
    <w:rsid w:val="00D378E6"/>
    <w:rsid w:val="00D379A3"/>
    <w:rsid w:val="00D4146A"/>
    <w:rsid w:val="00D45FF3"/>
    <w:rsid w:val="00D47AB3"/>
    <w:rsid w:val="00D50B89"/>
    <w:rsid w:val="00D512CF"/>
    <w:rsid w:val="00D528B9"/>
    <w:rsid w:val="00D53186"/>
    <w:rsid w:val="00D5487D"/>
    <w:rsid w:val="00D60140"/>
    <w:rsid w:val="00D6024A"/>
    <w:rsid w:val="00D608B5"/>
    <w:rsid w:val="00D63776"/>
    <w:rsid w:val="00D63ACC"/>
    <w:rsid w:val="00D6456D"/>
    <w:rsid w:val="00D64739"/>
    <w:rsid w:val="00D67DDD"/>
    <w:rsid w:val="00D71F99"/>
    <w:rsid w:val="00D7256A"/>
    <w:rsid w:val="00D73CA4"/>
    <w:rsid w:val="00D73D71"/>
    <w:rsid w:val="00D74396"/>
    <w:rsid w:val="00D75868"/>
    <w:rsid w:val="00D76DD3"/>
    <w:rsid w:val="00D77906"/>
    <w:rsid w:val="00D80284"/>
    <w:rsid w:val="00D80A00"/>
    <w:rsid w:val="00D81F71"/>
    <w:rsid w:val="00D82C7C"/>
    <w:rsid w:val="00D8642D"/>
    <w:rsid w:val="00D90A5E"/>
    <w:rsid w:val="00D91A68"/>
    <w:rsid w:val="00D95A68"/>
    <w:rsid w:val="00DA17C7"/>
    <w:rsid w:val="00DA205F"/>
    <w:rsid w:val="00DA6A9A"/>
    <w:rsid w:val="00DA7376"/>
    <w:rsid w:val="00DB1EFD"/>
    <w:rsid w:val="00DB35F7"/>
    <w:rsid w:val="00DB3EAF"/>
    <w:rsid w:val="00DB46C6"/>
    <w:rsid w:val="00DB4C9C"/>
    <w:rsid w:val="00DC3203"/>
    <w:rsid w:val="00DC378C"/>
    <w:rsid w:val="00DC3C99"/>
    <w:rsid w:val="00DC52F5"/>
    <w:rsid w:val="00DC5FD0"/>
    <w:rsid w:val="00DC696F"/>
    <w:rsid w:val="00DD0354"/>
    <w:rsid w:val="00DD09BB"/>
    <w:rsid w:val="00DD27D7"/>
    <w:rsid w:val="00DD2C20"/>
    <w:rsid w:val="00DD458C"/>
    <w:rsid w:val="00DD72E9"/>
    <w:rsid w:val="00DD7605"/>
    <w:rsid w:val="00DE2020"/>
    <w:rsid w:val="00DE3476"/>
    <w:rsid w:val="00DE5AD7"/>
    <w:rsid w:val="00DE762F"/>
    <w:rsid w:val="00DE7BEA"/>
    <w:rsid w:val="00DF5525"/>
    <w:rsid w:val="00DF5B84"/>
    <w:rsid w:val="00DF61C7"/>
    <w:rsid w:val="00DF6918"/>
    <w:rsid w:val="00DF6D5B"/>
    <w:rsid w:val="00DF771B"/>
    <w:rsid w:val="00DF7EE2"/>
    <w:rsid w:val="00E00CA0"/>
    <w:rsid w:val="00E01BAA"/>
    <w:rsid w:val="00E0282A"/>
    <w:rsid w:val="00E02F9B"/>
    <w:rsid w:val="00E07E14"/>
    <w:rsid w:val="00E07F48"/>
    <w:rsid w:val="00E10418"/>
    <w:rsid w:val="00E114D3"/>
    <w:rsid w:val="00E14F94"/>
    <w:rsid w:val="00E17336"/>
    <w:rsid w:val="00E17D15"/>
    <w:rsid w:val="00E22279"/>
    <w:rsid w:val="00E22B95"/>
    <w:rsid w:val="00E23E21"/>
    <w:rsid w:val="00E24C1A"/>
    <w:rsid w:val="00E260B1"/>
    <w:rsid w:val="00E30331"/>
    <w:rsid w:val="00E30BB8"/>
    <w:rsid w:val="00E30FF1"/>
    <w:rsid w:val="00E31F9C"/>
    <w:rsid w:val="00E37A96"/>
    <w:rsid w:val="00E40488"/>
    <w:rsid w:val="00E45ABD"/>
    <w:rsid w:val="00E463A4"/>
    <w:rsid w:val="00E500DD"/>
    <w:rsid w:val="00E50367"/>
    <w:rsid w:val="00E5119F"/>
    <w:rsid w:val="00E51ABA"/>
    <w:rsid w:val="00E524CB"/>
    <w:rsid w:val="00E5350A"/>
    <w:rsid w:val="00E56AEA"/>
    <w:rsid w:val="00E60111"/>
    <w:rsid w:val="00E6111B"/>
    <w:rsid w:val="00E624E3"/>
    <w:rsid w:val="00E626CE"/>
    <w:rsid w:val="00E63364"/>
    <w:rsid w:val="00E65456"/>
    <w:rsid w:val="00E65A91"/>
    <w:rsid w:val="00E66188"/>
    <w:rsid w:val="00E664FB"/>
    <w:rsid w:val="00E66E8E"/>
    <w:rsid w:val="00E672F0"/>
    <w:rsid w:val="00E70373"/>
    <w:rsid w:val="00E708E2"/>
    <w:rsid w:val="00E72E40"/>
    <w:rsid w:val="00E73665"/>
    <w:rsid w:val="00E73999"/>
    <w:rsid w:val="00E73BDC"/>
    <w:rsid w:val="00E73E9E"/>
    <w:rsid w:val="00E81660"/>
    <w:rsid w:val="00E82A94"/>
    <w:rsid w:val="00E83F2C"/>
    <w:rsid w:val="00E854FE"/>
    <w:rsid w:val="00E906CC"/>
    <w:rsid w:val="00E939A0"/>
    <w:rsid w:val="00E97E4E"/>
    <w:rsid w:val="00EA1CC2"/>
    <w:rsid w:val="00EA22F9"/>
    <w:rsid w:val="00EA2D76"/>
    <w:rsid w:val="00EA4644"/>
    <w:rsid w:val="00EA604F"/>
    <w:rsid w:val="00EA758A"/>
    <w:rsid w:val="00EB096F"/>
    <w:rsid w:val="00EB199F"/>
    <w:rsid w:val="00EB21A4"/>
    <w:rsid w:val="00EB27C4"/>
    <w:rsid w:val="00EB365B"/>
    <w:rsid w:val="00EB5387"/>
    <w:rsid w:val="00EB5C10"/>
    <w:rsid w:val="00EB7322"/>
    <w:rsid w:val="00EC0CDA"/>
    <w:rsid w:val="00EC0FE9"/>
    <w:rsid w:val="00EC198B"/>
    <w:rsid w:val="00EC426D"/>
    <w:rsid w:val="00EC571B"/>
    <w:rsid w:val="00EC57D7"/>
    <w:rsid w:val="00EC6385"/>
    <w:rsid w:val="00ED1DE9"/>
    <w:rsid w:val="00ED23D4"/>
    <w:rsid w:val="00ED5E0B"/>
    <w:rsid w:val="00EE37B6"/>
    <w:rsid w:val="00EE5B09"/>
    <w:rsid w:val="00EF0F45"/>
    <w:rsid w:val="00EF1265"/>
    <w:rsid w:val="00EF708F"/>
    <w:rsid w:val="00EF7463"/>
    <w:rsid w:val="00EF7706"/>
    <w:rsid w:val="00EF7971"/>
    <w:rsid w:val="00F002EF"/>
    <w:rsid w:val="00F01A2B"/>
    <w:rsid w:val="00F01EE9"/>
    <w:rsid w:val="00F04900"/>
    <w:rsid w:val="00F065A4"/>
    <w:rsid w:val="00F126B9"/>
    <w:rsid w:val="00F12715"/>
    <w:rsid w:val="00F144D5"/>
    <w:rsid w:val="00F146F0"/>
    <w:rsid w:val="00F14C22"/>
    <w:rsid w:val="00F15039"/>
    <w:rsid w:val="00F20FF3"/>
    <w:rsid w:val="00F2190B"/>
    <w:rsid w:val="00F228B5"/>
    <w:rsid w:val="00F2389C"/>
    <w:rsid w:val="00F23E4F"/>
    <w:rsid w:val="00F2550B"/>
    <w:rsid w:val="00F25C67"/>
    <w:rsid w:val="00F2676B"/>
    <w:rsid w:val="00F27437"/>
    <w:rsid w:val="00F30DFF"/>
    <w:rsid w:val="00F32B80"/>
    <w:rsid w:val="00F340EB"/>
    <w:rsid w:val="00F35285"/>
    <w:rsid w:val="00F35754"/>
    <w:rsid w:val="00F36C6B"/>
    <w:rsid w:val="00F43B9D"/>
    <w:rsid w:val="00F44D5E"/>
    <w:rsid w:val="00F458BB"/>
    <w:rsid w:val="00F53A35"/>
    <w:rsid w:val="00F55A3D"/>
    <w:rsid w:val="00F55FC0"/>
    <w:rsid w:val="00F563E0"/>
    <w:rsid w:val="00F5744B"/>
    <w:rsid w:val="00F61155"/>
    <w:rsid w:val="00F61209"/>
    <w:rsid w:val="00F6259E"/>
    <w:rsid w:val="00F65DD4"/>
    <w:rsid w:val="00F672B2"/>
    <w:rsid w:val="00F76016"/>
    <w:rsid w:val="00F83973"/>
    <w:rsid w:val="00F87FA3"/>
    <w:rsid w:val="00F93D8C"/>
    <w:rsid w:val="00FA1397"/>
    <w:rsid w:val="00FA3102"/>
    <w:rsid w:val="00FA48D4"/>
    <w:rsid w:val="00FA49F6"/>
    <w:rsid w:val="00FA54FA"/>
    <w:rsid w:val="00FA6A66"/>
    <w:rsid w:val="00FA6D39"/>
    <w:rsid w:val="00FB00FB"/>
    <w:rsid w:val="00FB227E"/>
    <w:rsid w:val="00FB37C8"/>
    <w:rsid w:val="00FB3D61"/>
    <w:rsid w:val="00FB44CE"/>
    <w:rsid w:val="00FB5009"/>
    <w:rsid w:val="00FB5706"/>
    <w:rsid w:val="00FB6888"/>
    <w:rsid w:val="00FB76AB"/>
    <w:rsid w:val="00FC2C11"/>
    <w:rsid w:val="00FC480D"/>
    <w:rsid w:val="00FD03FE"/>
    <w:rsid w:val="00FD126E"/>
    <w:rsid w:val="00FD1D3E"/>
    <w:rsid w:val="00FD1F34"/>
    <w:rsid w:val="00FD3C36"/>
    <w:rsid w:val="00FD45A4"/>
    <w:rsid w:val="00FD4D81"/>
    <w:rsid w:val="00FD4EB9"/>
    <w:rsid w:val="00FD6BA0"/>
    <w:rsid w:val="00FD6F9B"/>
    <w:rsid w:val="00FD7498"/>
    <w:rsid w:val="00FD7FB3"/>
    <w:rsid w:val="00FE001B"/>
    <w:rsid w:val="00FE11DA"/>
    <w:rsid w:val="00FE4713"/>
    <w:rsid w:val="00FE607E"/>
    <w:rsid w:val="00FE664C"/>
    <w:rsid w:val="00FF060A"/>
    <w:rsid w:val="00FF1F44"/>
    <w:rsid w:val="00FF225E"/>
    <w:rsid w:val="00FF4EC7"/>
    <w:rsid w:val="00FF672C"/>
    <w:rsid w:val="00FF6CE8"/>
    <w:rsid w:val="00FF6D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905B"/>
  <w14:defaultImageDpi w14:val="330"/>
  <w15:docId w15:val="{B146FDAA-FC5C-4607-834D-A322327C0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uiPriority w:val="99"/>
    <w:rsid w:val="009406A8"/>
    <w:pPr>
      <w:ind w:left="284" w:hanging="284"/>
      <w:jc w:val="both"/>
    </w:pPr>
    <w:rPr>
      <w:sz w:val="22"/>
      <w:szCs w:val="20"/>
    </w:rPr>
  </w:style>
  <w:style w:type="character" w:customStyle="1" w:styleId="EndnoteTextChar">
    <w:name w:val="Endnote Text Char"/>
    <w:basedOn w:val="DefaultParagraphFont"/>
    <w:link w:val="EndnoteText"/>
    <w:uiPriority w:val="99"/>
    <w:rsid w:val="009406A8"/>
    <w:rPr>
      <w:sz w:val="22"/>
    </w:rPr>
  </w:style>
  <w:style w:type="character" w:styleId="EndnoteReference">
    <w:name w:val="endnote reference"/>
    <w:basedOn w:val="DefaultParagraphFont"/>
    <w:uiPriority w:val="99"/>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NoSpacing">
    <w:name w:val="No Spacing"/>
    <w:uiPriority w:val="1"/>
    <w:qFormat/>
    <w:rsid w:val="00B9724C"/>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B9724C"/>
    <w:rPr>
      <w:color w:val="0000FF" w:themeColor="hyperlink"/>
      <w:u w:val="single"/>
    </w:rPr>
  </w:style>
  <w:style w:type="character" w:styleId="Emphasis">
    <w:name w:val="Emphasis"/>
    <w:basedOn w:val="DefaultParagraphFont"/>
    <w:uiPriority w:val="20"/>
    <w:qFormat/>
    <w:rsid w:val="00B9724C"/>
    <w:rPr>
      <w:i/>
      <w:iCs/>
    </w:rPr>
  </w:style>
  <w:style w:type="character" w:styleId="CommentReference">
    <w:name w:val="annotation reference"/>
    <w:basedOn w:val="DefaultParagraphFont"/>
    <w:semiHidden/>
    <w:unhideWhenUsed/>
    <w:rsid w:val="00B9724C"/>
    <w:rPr>
      <w:sz w:val="16"/>
      <w:szCs w:val="16"/>
    </w:rPr>
  </w:style>
  <w:style w:type="paragraph" w:styleId="CommentText">
    <w:name w:val="annotation text"/>
    <w:basedOn w:val="Normal"/>
    <w:link w:val="CommentTextChar"/>
    <w:unhideWhenUsed/>
    <w:rsid w:val="00B9724C"/>
    <w:pPr>
      <w:spacing w:line="240" w:lineRule="auto"/>
    </w:pPr>
    <w:rPr>
      <w:sz w:val="20"/>
      <w:szCs w:val="20"/>
    </w:rPr>
  </w:style>
  <w:style w:type="character" w:customStyle="1" w:styleId="CommentTextChar">
    <w:name w:val="Comment Text Char"/>
    <w:basedOn w:val="DefaultParagraphFont"/>
    <w:link w:val="CommentText"/>
    <w:rsid w:val="00B9724C"/>
  </w:style>
  <w:style w:type="paragraph" w:styleId="CommentSubject">
    <w:name w:val="annotation subject"/>
    <w:basedOn w:val="CommentText"/>
    <w:next w:val="CommentText"/>
    <w:link w:val="CommentSubjectChar"/>
    <w:semiHidden/>
    <w:unhideWhenUsed/>
    <w:rsid w:val="00B9724C"/>
    <w:rPr>
      <w:b/>
      <w:bCs/>
    </w:rPr>
  </w:style>
  <w:style w:type="character" w:customStyle="1" w:styleId="CommentSubjectChar">
    <w:name w:val="Comment Subject Char"/>
    <w:basedOn w:val="CommentTextChar"/>
    <w:link w:val="CommentSubject"/>
    <w:semiHidden/>
    <w:rsid w:val="00B9724C"/>
    <w:rPr>
      <w:b/>
      <w:bCs/>
    </w:rPr>
  </w:style>
  <w:style w:type="paragraph" w:styleId="Revision">
    <w:name w:val="Revision"/>
    <w:hidden/>
    <w:semiHidden/>
    <w:rsid w:val="00B9724C"/>
    <w:rPr>
      <w:sz w:val="24"/>
      <w:szCs w:val="24"/>
    </w:rPr>
  </w:style>
  <w:style w:type="character" w:styleId="UnresolvedMention">
    <w:name w:val="Unresolved Mention"/>
    <w:basedOn w:val="DefaultParagraphFont"/>
    <w:uiPriority w:val="99"/>
    <w:semiHidden/>
    <w:unhideWhenUsed/>
    <w:rsid w:val="005A0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922432">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74603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cicdr.pt/documents/57891/574449/CICDR_Relat%C3%B3rio+Anual+2017_Igualdade+e+N%C3%A3o+Discrimina%C3%A7%C3%A3o.pdf/3f40f660-642d-45b0-9e7f-574b077d257d" TargetMode="External"/><Relationship Id="rId5" Type="http://schemas.openxmlformats.org/officeDocument/2006/relationships/settings" Target="settings.xml"/><Relationship Id="rId10" Type="http://schemas.openxmlformats.org/officeDocument/2006/relationships/hyperlink" Target="https://www.cicdr.pt/documents/57891/574449/CICDR_Relatorio+Anual+2017_Igualdade+e+Nao+Discriminacao.pdf/3f40f660-642d-45b0-9e7f-574b077d257d" TargetMode="External"/><Relationship Id="rId4" Type="http://schemas.openxmlformats.org/officeDocument/2006/relationships/styles" Target="styles.xml"/><Relationship Id="rId9" Type="http://schemas.openxmlformats.org/officeDocument/2006/relationships/hyperlink" Target="https://www.jstor.org/stable/270909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E10E5-4155-4CA6-B47D-2055AE31B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1806</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12082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Taylor &amp; Francis Author Services</dc:creator>
  <cp:lastModifiedBy>Joao Da Silva</cp:lastModifiedBy>
  <cp:revision>3</cp:revision>
  <cp:lastPrinted>2023-02-08T13:55:00Z</cp:lastPrinted>
  <dcterms:created xsi:type="dcterms:W3CDTF">2023-09-05T11:48:00Z</dcterms:created>
  <dcterms:modified xsi:type="dcterms:W3CDTF">2023-09-05T11:49:00Z</dcterms:modified>
</cp:coreProperties>
</file>