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0541" w14:textId="505120D3" w:rsidR="009F475B" w:rsidRDefault="00A674A3" w:rsidP="00673D5B">
      <w:pPr>
        <w:spacing w:before="240" w:after="0" w:line="480" w:lineRule="auto"/>
        <w:rPr>
          <w:rFonts w:cs="Times New Roman"/>
          <w:b/>
          <w:szCs w:val="24"/>
        </w:rPr>
      </w:pPr>
      <w:bookmarkStart w:id="0" w:name="_Hlk124439923"/>
      <w:r>
        <w:rPr>
          <w:rFonts w:cs="Times New Roman"/>
          <w:b/>
          <w:szCs w:val="24"/>
        </w:rPr>
        <w:t>Higher Education Institutions</w:t>
      </w:r>
      <w:r w:rsidR="000345DF">
        <w:rPr>
          <w:rFonts w:cs="Times New Roman"/>
          <w:b/>
          <w:szCs w:val="24"/>
        </w:rPr>
        <w:t xml:space="preserve"> </w:t>
      </w:r>
      <w:r w:rsidR="00376A43">
        <w:rPr>
          <w:rFonts w:cs="Times New Roman"/>
          <w:b/>
          <w:szCs w:val="24"/>
        </w:rPr>
        <w:t xml:space="preserve">and </w:t>
      </w:r>
      <w:r>
        <w:rPr>
          <w:rFonts w:cs="Times New Roman"/>
          <w:b/>
          <w:szCs w:val="24"/>
        </w:rPr>
        <w:t>the Anti-Money Laundering and Counter-Terrorism Financing Regulations</w:t>
      </w:r>
    </w:p>
    <w:p w14:paraId="2A71FF5F" w14:textId="0B5EB5C7" w:rsidR="00376A43" w:rsidRPr="00F8753B" w:rsidRDefault="00376A43" w:rsidP="00376A43">
      <w:pPr>
        <w:spacing w:before="240" w:after="0"/>
        <w:rPr>
          <w:rFonts w:cs="Times New Roman"/>
          <w:b/>
          <w:szCs w:val="24"/>
        </w:rPr>
      </w:pPr>
      <w:r w:rsidRPr="00F8753B">
        <w:rPr>
          <w:rFonts w:cs="Times New Roman"/>
          <w:b/>
          <w:szCs w:val="24"/>
        </w:rPr>
        <w:t>Author Names and Affiliations:</w:t>
      </w:r>
    </w:p>
    <w:p w14:paraId="725E9F7F" w14:textId="77777777" w:rsidR="00376A43" w:rsidRDefault="00376A43" w:rsidP="00376A43">
      <w:pPr>
        <w:spacing w:before="240" w:after="0"/>
        <w:rPr>
          <w:rFonts w:cs="Times New Roman"/>
          <w:szCs w:val="24"/>
        </w:rPr>
      </w:pPr>
      <w:r w:rsidRPr="006159D2">
        <w:rPr>
          <w:rFonts w:cs="Times New Roman"/>
          <w:szCs w:val="24"/>
        </w:rPr>
        <w:t>Professor Nic</w:t>
      </w:r>
      <w:r>
        <w:rPr>
          <w:rFonts w:cs="Times New Roman"/>
          <w:szCs w:val="24"/>
        </w:rPr>
        <w:t>holas</w:t>
      </w:r>
      <w:r w:rsidRPr="006159D2">
        <w:rPr>
          <w:rFonts w:cs="Times New Roman"/>
          <w:szCs w:val="24"/>
        </w:rPr>
        <w:t xml:space="preserve"> Ryder,</w:t>
      </w:r>
      <w:r>
        <w:rPr>
          <w:rFonts w:cs="Times New Roman"/>
          <w:szCs w:val="24"/>
        </w:rPr>
        <w:t xml:space="preserve"> Cardiff University </w:t>
      </w:r>
      <w:bookmarkStart w:id="1" w:name="_GoBack"/>
      <w:bookmarkEnd w:id="1"/>
    </w:p>
    <w:p w14:paraId="3319CFFC" w14:textId="77777777" w:rsidR="00376A43" w:rsidRDefault="00376A43" w:rsidP="00376A43">
      <w:pPr>
        <w:spacing w:before="240" w:after="0"/>
        <w:rPr>
          <w:rFonts w:cs="Times New Roman"/>
          <w:szCs w:val="24"/>
        </w:rPr>
      </w:pPr>
      <w:r w:rsidRPr="006159D2">
        <w:rPr>
          <w:rFonts w:cs="Times New Roman"/>
          <w:szCs w:val="24"/>
        </w:rPr>
        <w:t xml:space="preserve">Dr Sam Bourton, </w:t>
      </w:r>
      <w:r>
        <w:rPr>
          <w:rFonts w:cs="Times New Roman"/>
          <w:szCs w:val="24"/>
        </w:rPr>
        <w:t>University of the West of England</w:t>
      </w:r>
    </w:p>
    <w:p w14:paraId="004CD257" w14:textId="77777777" w:rsidR="00376A43" w:rsidRDefault="00376A43" w:rsidP="00376A43">
      <w:pPr>
        <w:spacing w:before="240" w:after="0"/>
        <w:rPr>
          <w:rFonts w:cs="Times New Roman"/>
          <w:szCs w:val="24"/>
        </w:rPr>
      </w:pPr>
      <w:r w:rsidRPr="006159D2">
        <w:rPr>
          <w:rFonts w:cs="Times New Roman"/>
          <w:szCs w:val="24"/>
        </w:rPr>
        <w:t>Demelza Hall</w:t>
      </w:r>
      <w:r>
        <w:rPr>
          <w:rFonts w:cs="Times New Roman"/>
          <w:szCs w:val="24"/>
        </w:rPr>
        <w:t>,</w:t>
      </w:r>
      <w:r w:rsidRPr="006159D2">
        <w:rPr>
          <w:rFonts w:cs="Times New Roman"/>
          <w:szCs w:val="24"/>
        </w:rPr>
        <w:t xml:space="preserve"> </w:t>
      </w:r>
      <w:r>
        <w:rPr>
          <w:rFonts w:cs="Times New Roman"/>
          <w:szCs w:val="24"/>
        </w:rPr>
        <w:t>University of the West of England</w:t>
      </w:r>
    </w:p>
    <w:p w14:paraId="1E2DF447" w14:textId="77777777" w:rsidR="00376A43" w:rsidRDefault="00376A43" w:rsidP="00376A43">
      <w:pPr>
        <w:spacing w:before="240" w:after="0"/>
        <w:rPr>
          <w:rFonts w:cs="Times New Roman"/>
          <w:szCs w:val="24"/>
        </w:rPr>
      </w:pPr>
      <w:r w:rsidRPr="006159D2">
        <w:rPr>
          <w:rFonts w:cs="Times New Roman"/>
          <w:szCs w:val="24"/>
        </w:rPr>
        <w:t>Dr Henry Hillman</w:t>
      </w:r>
      <w:r>
        <w:rPr>
          <w:rFonts w:cs="Times New Roman"/>
          <w:szCs w:val="24"/>
        </w:rPr>
        <w:t>, University of Reading</w:t>
      </w:r>
    </w:p>
    <w:p w14:paraId="3944E960" w14:textId="77777777" w:rsidR="00376A43" w:rsidRDefault="00376A43" w:rsidP="00376A43">
      <w:pPr>
        <w:rPr>
          <w:b/>
        </w:rPr>
      </w:pPr>
    </w:p>
    <w:p w14:paraId="63A685F2" w14:textId="71C7509D" w:rsidR="00376A43" w:rsidRDefault="00376A43" w:rsidP="00376A43">
      <w:r w:rsidRPr="00F8753B">
        <w:rPr>
          <w:b/>
        </w:rPr>
        <w:t>Acknowledgements:</w:t>
      </w:r>
      <w:r>
        <w:t xml:space="preserve"> </w:t>
      </w:r>
      <w:r w:rsidRPr="004F69C0">
        <w:t>The authors would like to</w:t>
      </w:r>
      <w:r>
        <w:t xml:space="preserve"> thank</w:t>
      </w:r>
      <w:r w:rsidRPr="004F69C0">
        <w:t xml:space="preserve"> Professor Noelle Quenivet and the external reviewers for their helpful comments on early drafts of this paper. We would also like to thank Dr Diana Johnson for her invaluable work with the project.</w:t>
      </w:r>
    </w:p>
    <w:p w14:paraId="066C82C9" w14:textId="29458E39" w:rsidR="00376A43" w:rsidRPr="00376A43" w:rsidRDefault="00376A43" w:rsidP="00376A43">
      <w:pPr>
        <w:spacing w:before="240" w:after="0" w:line="240" w:lineRule="auto"/>
        <w:rPr>
          <w:rFonts w:cs="Times New Roman"/>
          <w:szCs w:val="24"/>
        </w:rPr>
      </w:pPr>
      <w:r w:rsidRPr="009041E6">
        <w:rPr>
          <w:rFonts w:cs="Times New Roman"/>
          <w:b/>
          <w:szCs w:val="24"/>
        </w:rPr>
        <w:t>Number of words:</w:t>
      </w:r>
      <w:r>
        <w:rPr>
          <w:rFonts w:cs="Times New Roman"/>
          <w:szCs w:val="24"/>
        </w:rPr>
        <w:t xml:space="preserve"> </w:t>
      </w:r>
      <w:r w:rsidR="00953B3B">
        <w:rPr>
          <w:rFonts w:cs="Times New Roman"/>
          <w:szCs w:val="24"/>
        </w:rPr>
        <w:t>101</w:t>
      </w:r>
      <w:r w:rsidR="00BF6A4B">
        <w:rPr>
          <w:rFonts w:cs="Times New Roman"/>
          <w:szCs w:val="24"/>
        </w:rPr>
        <w:t>1</w:t>
      </w:r>
      <w:r w:rsidR="00857FE3">
        <w:rPr>
          <w:rFonts w:cs="Times New Roman"/>
          <w:szCs w:val="24"/>
        </w:rPr>
        <w:t>2</w:t>
      </w:r>
      <w:r w:rsidR="00953B3B">
        <w:rPr>
          <w:rFonts w:cs="Times New Roman"/>
          <w:szCs w:val="24"/>
        </w:rPr>
        <w:t xml:space="preserve"> </w:t>
      </w:r>
      <w:r w:rsidR="00025081">
        <w:rPr>
          <w:rFonts w:cs="Times New Roman"/>
          <w:szCs w:val="24"/>
        </w:rPr>
        <w:t>words (including footnotes</w:t>
      </w:r>
      <w:r w:rsidR="00DA4274">
        <w:rPr>
          <w:rFonts w:cs="Times New Roman"/>
          <w:szCs w:val="24"/>
        </w:rPr>
        <w:t xml:space="preserve"> and abstract</w:t>
      </w:r>
      <w:r w:rsidR="00025081">
        <w:rPr>
          <w:rFonts w:cs="Times New Roman"/>
          <w:szCs w:val="24"/>
        </w:rPr>
        <w:t>)</w:t>
      </w:r>
      <w:r w:rsidR="003977FA">
        <w:rPr>
          <w:rFonts w:cs="Times New Roman"/>
          <w:szCs w:val="24"/>
        </w:rPr>
        <w:t xml:space="preserve"> </w:t>
      </w:r>
    </w:p>
    <w:p w14:paraId="7F140242" w14:textId="3A850CA2" w:rsidR="00836380" w:rsidRDefault="00836380" w:rsidP="002B0495">
      <w:pPr>
        <w:spacing w:before="240" w:after="0" w:line="240" w:lineRule="auto"/>
        <w:rPr>
          <w:rFonts w:cs="Times New Roman"/>
          <w:szCs w:val="24"/>
        </w:rPr>
      </w:pPr>
    </w:p>
    <w:p w14:paraId="3D3D29B0" w14:textId="5DF2411F" w:rsidR="003E0331" w:rsidRPr="006159D2" w:rsidRDefault="003E0331" w:rsidP="00673D5B">
      <w:pPr>
        <w:pStyle w:val="Heading1"/>
        <w:spacing w:line="480" w:lineRule="auto"/>
      </w:pPr>
      <w:r w:rsidRPr="006159D2">
        <w:t xml:space="preserve">Abstract </w:t>
      </w:r>
    </w:p>
    <w:p w14:paraId="7CC49780" w14:textId="56AEEC82" w:rsidR="003E0331" w:rsidRPr="006159D2" w:rsidRDefault="003E0331" w:rsidP="00673D5B">
      <w:pPr>
        <w:spacing w:before="240" w:after="0" w:line="480" w:lineRule="auto"/>
        <w:rPr>
          <w:rFonts w:cs="Times New Roman"/>
          <w:szCs w:val="24"/>
        </w:rPr>
      </w:pPr>
      <w:r w:rsidRPr="006159D2">
        <w:rPr>
          <w:rFonts w:cs="Times New Roman"/>
          <w:szCs w:val="24"/>
        </w:rPr>
        <w:t xml:space="preserve">To </w:t>
      </w:r>
      <w:r w:rsidR="0077590B">
        <w:rPr>
          <w:rFonts w:cs="Times New Roman"/>
          <w:szCs w:val="24"/>
        </w:rPr>
        <w:t xml:space="preserve">tackle </w:t>
      </w:r>
      <w:r w:rsidRPr="006159D2">
        <w:rPr>
          <w:rFonts w:cs="Times New Roman"/>
          <w:szCs w:val="24"/>
        </w:rPr>
        <w:t xml:space="preserve">money laundering and terrorism financing, the </w:t>
      </w:r>
      <w:r w:rsidR="009F475B">
        <w:rPr>
          <w:rFonts w:cs="Times New Roman"/>
          <w:szCs w:val="24"/>
        </w:rPr>
        <w:t xml:space="preserve">United Kingdom </w:t>
      </w:r>
      <w:r w:rsidRPr="006159D2">
        <w:rPr>
          <w:rFonts w:cs="Times New Roman"/>
          <w:szCs w:val="24"/>
        </w:rPr>
        <w:t>has implemented global mechanisms introduced by the United Nations</w:t>
      </w:r>
      <w:r w:rsidR="0077590B">
        <w:rPr>
          <w:rFonts w:cs="Times New Roman"/>
          <w:szCs w:val="24"/>
        </w:rPr>
        <w:t xml:space="preserve"> and the </w:t>
      </w:r>
      <w:r w:rsidRPr="006159D2">
        <w:rPr>
          <w:rFonts w:cs="Times New Roman"/>
          <w:szCs w:val="24"/>
        </w:rPr>
        <w:t>Financial Action Task Force. These mechanisms viewed financial institutions as gatekeepers to the financial system</w:t>
      </w:r>
      <w:r w:rsidR="00AB1318" w:rsidRPr="006159D2">
        <w:rPr>
          <w:rFonts w:cs="Times New Roman"/>
          <w:szCs w:val="24"/>
        </w:rPr>
        <w:t xml:space="preserve">, </w:t>
      </w:r>
      <w:r w:rsidRPr="006159D2">
        <w:rPr>
          <w:rFonts w:cs="Times New Roman"/>
          <w:szCs w:val="24"/>
        </w:rPr>
        <w:t>requir</w:t>
      </w:r>
      <w:r w:rsidR="00AB1318" w:rsidRPr="006159D2">
        <w:rPr>
          <w:rFonts w:cs="Times New Roman"/>
          <w:szCs w:val="24"/>
        </w:rPr>
        <w:t>ing</w:t>
      </w:r>
      <w:r w:rsidRPr="006159D2">
        <w:rPr>
          <w:rFonts w:cs="Times New Roman"/>
          <w:szCs w:val="24"/>
        </w:rPr>
        <w:t xml:space="preserve"> the</w:t>
      </w:r>
      <w:r w:rsidR="007C35C1" w:rsidRPr="006159D2">
        <w:rPr>
          <w:rFonts w:cs="Times New Roman"/>
          <w:szCs w:val="24"/>
        </w:rPr>
        <w:t xml:space="preserve"> introduction of</w:t>
      </w:r>
      <w:r w:rsidRPr="006159D2">
        <w:rPr>
          <w:rFonts w:cs="Times New Roman"/>
          <w:szCs w:val="24"/>
        </w:rPr>
        <w:t xml:space="preserve"> preventative measures. In response, money launderers adapted their techniques and targeted other sectors. </w:t>
      </w:r>
      <w:r w:rsidR="009E4982" w:rsidRPr="006159D2">
        <w:rPr>
          <w:rFonts w:cs="Times New Roman"/>
          <w:szCs w:val="24"/>
        </w:rPr>
        <w:t>While</w:t>
      </w:r>
      <w:r w:rsidRPr="006159D2">
        <w:rPr>
          <w:rFonts w:cs="Times New Roman"/>
          <w:szCs w:val="24"/>
        </w:rPr>
        <w:t xml:space="preserve"> efforts </w:t>
      </w:r>
      <w:r w:rsidR="009E4982" w:rsidRPr="006159D2">
        <w:rPr>
          <w:rFonts w:cs="Times New Roman"/>
          <w:szCs w:val="24"/>
        </w:rPr>
        <w:t xml:space="preserve">have been made </w:t>
      </w:r>
      <w:r w:rsidRPr="006159D2">
        <w:rPr>
          <w:rFonts w:cs="Times New Roman"/>
          <w:szCs w:val="24"/>
        </w:rPr>
        <w:t xml:space="preserve">to identify new </w:t>
      </w:r>
      <w:r w:rsidR="0077590B">
        <w:rPr>
          <w:rFonts w:cs="Times New Roman"/>
          <w:szCs w:val="24"/>
        </w:rPr>
        <w:t>typologies</w:t>
      </w:r>
      <w:r w:rsidRPr="006159D2">
        <w:rPr>
          <w:rFonts w:cs="Times New Roman"/>
          <w:szCs w:val="24"/>
        </w:rPr>
        <w:t xml:space="preserve"> and adapt relevant legislation</w:t>
      </w:r>
      <w:r w:rsidR="009E4982" w:rsidRPr="006159D2">
        <w:rPr>
          <w:rFonts w:cs="Times New Roman"/>
          <w:szCs w:val="24"/>
        </w:rPr>
        <w:t>,</w:t>
      </w:r>
      <w:r w:rsidRPr="006159D2">
        <w:rPr>
          <w:rFonts w:cs="Times New Roman"/>
          <w:szCs w:val="24"/>
        </w:rPr>
        <w:t xml:space="preserve"> the link between </w:t>
      </w:r>
      <w:r w:rsidR="00DA2858">
        <w:rPr>
          <w:rFonts w:cs="Times New Roman"/>
          <w:szCs w:val="24"/>
        </w:rPr>
        <w:t xml:space="preserve">Higher Education Institutions </w:t>
      </w:r>
      <w:r w:rsidRPr="006159D2">
        <w:rPr>
          <w:rFonts w:cs="Times New Roman"/>
          <w:szCs w:val="24"/>
        </w:rPr>
        <w:t xml:space="preserve">and money laundering </w:t>
      </w:r>
      <w:r w:rsidR="009E4982" w:rsidRPr="006159D2">
        <w:rPr>
          <w:rFonts w:cs="Times New Roman"/>
          <w:szCs w:val="24"/>
        </w:rPr>
        <w:t xml:space="preserve">remains poorly </w:t>
      </w:r>
      <w:r w:rsidRPr="006159D2">
        <w:rPr>
          <w:rFonts w:cs="Times New Roman"/>
          <w:szCs w:val="24"/>
        </w:rPr>
        <w:t>understood</w:t>
      </w:r>
      <w:r w:rsidR="009E4982" w:rsidRPr="006159D2">
        <w:rPr>
          <w:rFonts w:cs="Times New Roman"/>
          <w:szCs w:val="24"/>
        </w:rPr>
        <w:t xml:space="preserve">. </w:t>
      </w:r>
      <w:r w:rsidR="0077590B">
        <w:rPr>
          <w:rFonts w:cs="Times New Roman"/>
          <w:szCs w:val="24"/>
        </w:rPr>
        <w:t>T</w:t>
      </w:r>
      <w:r w:rsidRPr="006159D2">
        <w:rPr>
          <w:rFonts w:cs="Times New Roman"/>
          <w:szCs w:val="24"/>
        </w:rPr>
        <w:t>his paper provides a novel investigation into the money laundering</w:t>
      </w:r>
      <w:r w:rsidR="005F09A9" w:rsidRPr="006159D2">
        <w:rPr>
          <w:rFonts w:cs="Times New Roman"/>
          <w:szCs w:val="24"/>
        </w:rPr>
        <w:t xml:space="preserve"> and terrorism financing</w:t>
      </w:r>
      <w:r w:rsidRPr="006159D2">
        <w:rPr>
          <w:rFonts w:cs="Times New Roman"/>
          <w:szCs w:val="24"/>
        </w:rPr>
        <w:t xml:space="preserve"> risks to which universities </w:t>
      </w:r>
      <w:r w:rsidR="00D73B05">
        <w:rPr>
          <w:rFonts w:cs="Times New Roman"/>
          <w:szCs w:val="24"/>
        </w:rPr>
        <w:t xml:space="preserve">and their students </w:t>
      </w:r>
      <w:r w:rsidRPr="006159D2">
        <w:rPr>
          <w:rFonts w:cs="Times New Roman"/>
          <w:szCs w:val="24"/>
        </w:rPr>
        <w:t>are exposed</w:t>
      </w:r>
      <w:r w:rsidR="00AB1318" w:rsidRPr="006159D2">
        <w:rPr>
          <w:rFonts w:cs="Times New Roman"/>
          <w:szCs w:val="24"/>
        </w:rPr>
        <w:t>. Through a</w:t>
      </w:r>
      <w:r w:rsidR="0077590B">
        <w:rPr>
          <w:rFonts w:cs="Times New Roman"/>
          <w:szCs w:val="24"/>
        </w:rPr>
        <w:t>n</w:t>
      </w:r>
      <w:r w:rsidR="00AB1318" w:rsidRPr="006159D2">
        <w:rPr>
          <w:rFonts w:cs="Times New Roman"/>
          <w:szCs w:val="24"/>
        </w:rPr>
        <w:t xml:space="preserve"> analysis </w:t>
      </w:r>
      <w:r w:rsidR="0047134F" w:rsidRPr="006159D2">
        <w:rPr>
          <w:rFonts w:cs="Times New Roman"/>
          <w:szCs w:val="24"/>
        </w:rPr>
        <w:t>of</w:t>
      </w:r>
      <w:r w:rsidR="00AB1318" w:rsidRPr="006159D2">
        <w:rPr>
          <w:rFonts w:cs="Times New Roman"/>
          <w:szCs w:val="24"/>
        </w:rPr>
        <w:t xml:space="preserve"> the responses to freedom of information requests, </w:t>
      </w:r>
      <w:r w:rsidR="009E4982" w:rsidRPr="006159D2">
        <w:rPr>
          <w:rFonts w:cs="Times New Roman"/>
          <w:szCs w:val="24"/>
        </w:rPr>
        <w:t>the paper</w:t>
      </w:r>
      <w:r w:rsidR="00D73B05">
        <w:rPr>
          <w:rFonts w:cs="Times New Roman"/>
          <w:szCs w:val="24"/>
        </w:rPr>
        <w:t xml:space="preserve"> also</w:t>
      </w:r>
      <w:r w:rsidR="009E4982" w:rsidRPr="006159D2">
        <w:rPr>
          <w:rFonts w:cs="Times New Roman"/>
          <w:szCs w:val="24"/>
        </w:rPr>
        <w:t xml:space="preserve"> identifies significant disparit</w:t>
      </w:r>
      <w:r w:rsidR="0077590B">
        <w:rPr>
          <w:rFonts w:cs="Times New Roman"/>
          <w:szCs w:val="24"/>
        </w:rPr>
        <w:t>ies</w:t>
      </w:r>
      <w:r w:rsidR="009E4982" w:rsidRPr="006159D2">
        <w:rPr>
          <w:rFonts w:cs="Times New Roman"/>
          <w:szCs w:val="24"/>
        </w:rPr>
        <w:t xml:space="preserve"> among universities regarding the implementation of </w:t>
      </w:r>
      <w:r w:rsidR="00AB1318" w:rsidRPr="006159D2">
        <w:rPr>
          <w:rFonts w:cs="Times New Roman"/>
          <w:szCs w:val="24"/>
        </w:rPr>
        <w:t>anti-</w:t>
      </w:r>
      <w:r w:rsidR="00AB1318" w:rsidRPr="006159D2">
        <w:rPr>
          <w:rFonts w:cs="Times New Roman"/>
          <w:szCs w:val="24"/>
        </w:rPr>
        <w:lastRenderedPageBreak/>
        <w:t xml:space="preserve">money laundering and counter-terrorism financing </w:t>
      </w:r>
      <w:r w:rsidR="009E4982" w:rsidRPr="006159D2">
        <w:rPr>
          <w:rFonts w:cs="Times New Roman"/>
          <w:szCs w:val="24"/>
        </w:rPr>
        <w:t>legislation</w:t>
      </w:r>
      <w:r w:rsidR="00AB1318" w:rsidRPr="006159D2">
        <w:rPr>
          <w:rFonts w:cs="Times New Roman"/>
          <w:szCs w:val="24"/>
        </w:rPr>
        <w:t xml:space="preserve">. </w:t>
      </w:r>
      <w:r w:rsidR="00D73B05">
        <w:rPr>
          <w:rFonts w:cs="Times New Roman"/>
          <w:szCs w:val="24"/>
        </w:rPr>
        <w:t>Consequently</w:t>
      </w:r>
      <w:r w:rsidR="0077590B">
        <w:rPr>
          <w:rFonts w:cs="Times New Roman"/>
          <w:szCs w:val="24"/>
        </w:rPr>
        <w:t xml:space="preserve">, </w:t>
      </w:r>
      <w:r w:rsidR="00AB1318" w:rsidRPr="006159D2">
        <w:rPr>
          <w:rFonts w:cs="Times New Roman"/>
          <w:szCs w:val="24"/>
        </w:rPr>
        <w:t>the paper offers an original</w:t>
      </w:r>
      <w:r w:rsidR="009E4982" w:rsidRPr="006159D2">
        <w:rPr>
          <w:rFonts w:cs="Times New Roman"/>
          <w:szCs w:val="24"/>
        </w:rPr>
        <w:t xml:space="preserve"> insight into the </w:t>
      </w:r>
      <w:r w:rsidRPr="006159D2">
        <w:rPr>
          <w:rFonts w:cs="Times New Roman"/>
          <w:szCs w:val="24"/>
        </w:rPr>
        <w:t xml:space="preserve">application and implementation of </w:t>
      </w:r>
      <w:r w:rsidR="0077590B">
        <w:rPr>
          <w:rFonts w:cs="Times New Roman"/>
          <w:szCs w:val="24"/>
        </w:rPr>
        <w:t>th</w:t>
      </w:r>
      <w:r w:rsidR="00FA60B3">
        <w:rPr>
          <w:rFonts w:cs="Times New Roman"/>
          <w:szCs w:val="24"/>
        </w:rPr>
        <w:t xml:space="preserve">is </w:t>
      </w:r>
      <w:r w:rsidRPr="006159D2">
        <w:rPr>
          <w:rFonts w:cs="Times New Roman"/>
          <w:szCs w:val="24"/>
        </w:rPr>
        <w:t xml:space="preserve">legislation </w:t>
      </w:r>
      <w:r w:rsidR="009E4982" w:rsidRPr="006159D2">
        <w:rPr>
          <w:rFonts w:cs="Times New Roman"/>
          <w:szCs w:val="24"/>
        </w:rPr>
        <w:t>to</w:t>
      </w:r>
      <w:r w:rsidR="0047134F" w:rsidRPr="006159D2">
        <w:rPr>
          <w:rFonts w:cs="Times New Roman"/>
          <w:szCs w:val="24"/>
        </w:rPr>
        <w:t xml:space="preserve"> </w:t>
      </w:r>
      <w:r w:rsidR="0077590B">
        <w:rPr>
          <w:rFonts w:cs="Times New Roman"/>
          <w:szCs w:val="24"/>
        </w:rPr>
        <w:t xml:space="preserve">a </w:t>
      </w:r>
      <w:r w:rsidR="0047134F" w:rsidRPr="006159D2">
        <w:rPr>
          <w:rFonts w:cs="Times New Roman"/>
          <w:szCs w:val="24"/>
        </w:rPr>
        <w:t>high-risk, yet</w:t>
      </w:r>
      <w:r w:rsidR="00AB1318" w:rsidRPr="006159D2">
        <w:rPr>
          <w:rFonts w:cs="Times New Roman"/>
          <w:szCs w:val="24"/>
        </w:rPr>
        <w:t xml:space="preserve"> under</w:t>
      </w:r>
      <w:r w:rsidR="0047134F" w:rsidRPr="006159D2">
        <w:rPr>
          <w:rFonts w:cs="Times New Roman"/>
          <w:szCs w:val="24"/>
        </w:rPr>
        <w:t>-</w:t>
      </w:r>
      <w:r w:rsidR="00AB1318" w:rsidRPr="006159D2">
        <w:rPr>
          <w:rFonts w:cs="Times New Roman"/>
          <w:szCs w:val="24"/>
        </w:rPr>
        <w:t>researched</w:t>
      </w:r>
      <w:r w:rsidR="0047134F" w:rsidRPr="006159D2">
        <w:rPr>
          <w:rFonts w:cs="Times New Roman"/>
          <w:szCs w:val="24"/>
        </w:rPr>
        <w:t>,</w:t>
      </w:r>
      <w:r w:rsidR="00AB1318" w:rsidRPr="006159D2">
        <w:rPr>
          <w:rFonts w:cs="Times New Roman"/>
          <w:szCs w:val="24"/>
        </w:rPr>
        <w:t xml:space="preserve"> sector. </w:t>
      </w:r>
    </w:p>
    <w:p w14:paraId="667040A8" w14:textId="6674BE78" w:rsidR="007D0248" w:rsidRPr="006159D2" w:rsidRDefault="007D0248" w:rsidP="00673D5B">
      <w:pPr>
        <w:spacing w:before="240" w:line="480" w:lineRule="auto"/>
        <w:rPr>
          <w:rFonts w:cs="Times New Roman"/>
          <w:b/>
          <w:szCs w:val="24"/>
        </w:rPr>
      </w:pPr>
      <w:r w:rsidRPr="006159D2">
        <w:rPr>
          <w:rFonts w:cs="Times New Roman"/>
          <w:b/>
          <w:szCs w:val="24"/>
        </w:rPr>
        <w:br w:type="page"/>
      </w:r>
    </w:p>
    <w:p w14:paraId="7BC859B0" w14:textId="567CE124" w:rsidR="00745C6A" w:rsidRPr="004D759A" w:rsidRDefault="00745C6A" w:rsidP="00673D5B">
      <w:pPr>
        <w:pStyle w:val="Heading1"/>
        <w:spacing w:line="480" w:lineRule="auto"/>
      </w:pPr>
      <w:r w:rsidRPr="004D759A">
        <w:lastRenderedPageBreak/>
        <w:t>Introduction</w:t>
      </w:r>
    </w:p>
    <w:p w14:paraId="5321468C" w14:textId="11C75DC3" w:rsidR="00745C6A" w:rsidRPr="006159D2" w:rsidRDefault="00745C6A" w:rsidP="00673D5B">
      <w:pPr>
        <w:spacing w:before="240" w:after="0" w:line="480" w:lineRule="auto"/>
        <w:rPr>
          <w:rFonts w:cs="Times New Roman"/>
          <w:szCs w:val="24"/>
        </w:rPr>
      </w:pPr>
      <w:r w:rsidRPr="006159D2">
        <w:rPr>
          <w:rFonts w:cs="Times New Roman"/>
          <w:szCs w:val="24"/>
        </w:rPr>
        <w:t xml:space="preserve">The goal of criminal activities is to generate a profit for organised criminal groups. Money laundering is the illegal process or act by which these groups attempt to disguise, hide, and distance themselves from their illegal activities. This process enables them to enjoy a criminal lifestyle without </w:t>
      </w:r>
      <w:r w:rsidR="0071765D">
        <w:rPr>
          <w:rFonts w:cs="Times New Roman"/>
          <w:szCs w:val="24"/>
        </w:rPr>
        <w:t>revealing</w:t>
      </w:r>
      <w:r w:rsidR="0071765D" w:rsidRPr="006159D2">
        <w:rPr>
          <w:rFonts w:cs="Times New Roman"/>
          <w:szCs w:val="24"/>
        </w:rPr>
        <w:t xml:space="preserve"> </w:t>
      </w:r>
      <w:r w:rsidRPr="006159D2">
        <w:rPr>
          <w:rFonts w:cs="Times New Roman"/>
          <w:szCs w:val="24"/>
        </w:rPr>
        <w:t xml:space="preserve">their source. It is impossible to determine the extent of money laundering; estimates </w:t>
      </w:r>
      <w:r w:rsidR="00C20B6B" w:rsidRPr="006159D2">
        <w:rPr>
          <w:rFonts w:cs="Times New Roman"/>
          <w:szCs w:val="24"/>
        </w:rPr>
        <w:t>vary,</w:t>
      </w:r>
      <w:r w:rsidRPr="006159D2">
        <w:rPr>
          <w:rFonts w:cs="Times New Roman"/>
          <w:szCs w:val="24"/>
        </w:rPr>
        <w:t xml:space="preserve"> and its calculation is hampered because there is no visible data on the amount of money laundered.</w:t>
      </w:r>
      <w:r w:rsidRPr="006159D2">
        <w:rPr>
          <w:rStyle w:val="FootnoteReference"/>
          <w:rFonts w:cs="Times New Roman"/>
          <w:szCs w:val="24"/>
        </w:rPr>
        <w:footnoteReference w:id="1"/>
      </w:r>
      <w:r w:rsidRPr="006159D2">
        <w:rPr>
          <w:rFonts w:cs="Times New Roman"/>
          <w:szCs w:val="24"/>
        </w:rPr>
        <w:t xml:space="preserve"> </w:t>
      </w:r>
      <w:r w:rsidR="00D73B05">
        <w:rPr>
          <w:rFonts w:cs="Times New Roman"/>
          <w:szCs w:val="24"/>
        </w:rPr>
        <w:t>However, m</w:t>
      </w:r>
      <w:r w:rsidRPr="006159D2">
        <w:rPr>
          <w:rFonts w:cs="Times New Roman"/>
          <w:szCs w:val="24"/>
        </w:rPr>
        <w:t xml:space="preserve">oney laundering </w:t>
      </w:r>
      <w:r w:rsidR="0052763A">
        <w:rPr>
          <w:rFonts w:cs="Times New Roman"/>
          <w:szCs w:val="24"/>
        </w:rPr>
        <w:t xml:space="preserve">is </w:t>
      </w:r>
      <w:r w:rsidRPr="006159D2">
        <w:rPr>
          <w:rFonts w:cs="Times New Roman"/>
          <w:szCs w:val="24"/>
        </w:rPr>
        <w:t>a significant threat to the global financial system</w:t>
      </w:r>
      <w:r w:rsidR="00D10272">
        <w:rPr>
          <w:rFonts w:cs="Times New Roman"/>
          <w:szCs w:val="24"/>
        </w:rPr>
        <w:t>,</w:t>
      </w:r>
      <w:r w:rsidRPr="006159D2">
        <w:rPr>
          <w:rFonts w:cs="Times New Roman"/>
          <w:szCs w:val="24"/>
        </w:rPr>
        <w:t xml:space="preserve"> nation states</w:t>
      </w:r>
      <w:r w:rsidR="00D10272">
        <w:rPr>
          <w:rFonts w:cs="Times New Roman"/>
          <w:szCs w:val="24"/>
        </w:rPr>
        <w:t xml:space="preserve"> and </w:t>
      </w:r>
      <w:r w:rsidRPr="006159D2">
        <w:rPr>
          <w:rFonts w:cs="Times New Roman"/>
          <w:szCs w:val="24"/>
        </w:rPr>
        <w:t xml:space="preserve">the United Kingdom (UK), </w:t>
      </w:r>
      <w:r w:rsidR="00C90EE8">
        <w:rPr>
          <w:rFonts w:cs="Times New Roman"/>
          <w:szCs w:val="24"/>
        </w:rPr>
        <w:t>jeopardising</w:t>
      </w:r>
      <w:r w:rsidR="00C90EE8" w:rsidRPr="006159D2">
        <w:rPr>
          <w:rFonts w:cs="Times New Roman"/>
          <w:szCs w:val="24"/>
        </w:rPr>
        <w:t xml:space="preserve"> </w:t>
      </w:r>
      <w:r w:rsidRPr="006159D2">
        <w:rPr>
          <w:rFonts w:cs="Times New Roman"/>
          <w:szCs w:val="24"/>
        </w:rPr>
        <w:t>the security of its citizens and the integrity of its national economy. To address this threat, the UK has implemented the global anti-money laundering (AML) mechanisms introduced by the United Nations (UN)</w:t>
      </w:r>
      <w:r w:rsidR="00451181">
        <w:rPr>
          <w:rFonts w:cs="Times New Roman"/>
          <w:szCs w:val="24"/>
        </w:rPr>
        <w:t>,</w:t>
      </w:r>
      <w:bookmarkStart w:id="2" w:name="_Ref125561521"/>
      <w:r w:rsidR="00FE1B89">
        <w:rPr>
          <w:rStyle w:val="FootnoteReference"/>
          <w:rFonts w:cs="Times New Roman"/>
          <w:szCs w:val="24"/>
        </w:rPr>
        <w:footnoteReference w:id="2"/>
      </w:r>
      <w:bookmarkEnd w:id="2"/>
      <w:r w:rsidR="00216D8F">
        <w:rPr>
          <w:rFonts w:cs="Times New Roman"/>
          <w:szCs w:val="24"/>
        </w:rPr>
        <w:t xml:space="preserve"> </w:t>
      </w:r>
      <w:r w:rsidRPr="006159D2">
        <w:rPr>
          <w:rFonts w:cs="Times New Roman"/>
          <w:szCs w:val="24"/>
        </w:rPr>
        <w:t>the Financial Action Task Force (FATF)</w:t>
      </w:r>
      <w:r w:rsidR="00C90EE8">
        <w:rPr>
          <w:rFonts w:cs="Times New Roman"/>
          <w:szCs w:val="24"/>
        </w:rPr>
        <w:t>,</w:t>
      </w:r>
      <w:bookmarkStart w:id="3" w:name="_Ref125561538"/>
      <w:r w:rsidR="00FE1B89">
        <w:rPr>
          <w:rStyle w:val="FootnoteReference"/>
          <w:rFonts w:cs="Times New Roman"/>
          <w:szCs w:val="24"/>
        </w:rPr>
        <w:footnoteReference w:id="3"/>
      </w:r>
      <w:bookmarkEnd w:id="3"/>
      <w:r w:rsidR="00216D8F">
        <w:rPr>
          <w:rFonts w:cs="Times New Roman"/>
          <w:szCs w:val="24"/>
        </w:rPr>
        <w:t xml:space="preserve"> and the European Union (EU)</w:t>
      </w:r>
      <w:r w:rsidRPr="006159D2">
        <w:rPr>
          <w:rFonts w:cs="Times New Roman"/>
          <w:szCs w:val="24"/>
        </w:rPr>
        <w:t>.</w:t>
      </w:r>
      <w:bookmarkStart w:id="4" w:name="_Ref125561552"/>
      <w:r w:rsidR="00FE1B89">
        <w:rPr>
          <w:rStyle w:val="FootnoteReference"/>
          <w:rFonts w:cs="Times New Roman"/>
          <w:szCs w:val="24"/>
        </w:rPr>
        <w:footnoteReference w:id="4"/>
      </w:r>
      <w:bookmarkEnd w:id="4"/>
      <w:r w:rsidRPr="006159D2">
        <w:rPr>
          <w:rFonts w:cs="Times New Roman"/>
          <w:szCs w:val="24"/>
        </w:rPr>
        <w:t xml:space="preserve"> </w:t>
      </w:r>
      <w:r w:rsidR="00216D8F">
        <w:rPr>
          <w:rFonts w:cs="Times New Roman"/>
          <w:szCs w:val="24"/>
        </w:rPr>
        <w:t>T</w:t>
      </w:r>
      <w:r w:rsidRPr="006159D2">
        <w:rPr>
          <w:rFonts w:cs="Times New Roman"/>
          <w:szCs w:val="24"/>
        </w:rPr>
        <w:t xml:space="preserve">he global AML regime has focused on a preventative strategy that utilises financial intelligence submitted by </w:t>
      </w:r>
      <w:r w:rsidR="00C11B17">
        <w:rPr>
          <w:rFonts w:cs="Times New Roman"/>
          <w:szCs w:val="24"/>
        </w:rPr>
        <w:t>S</w:t>
      </w:r>
      <w:r w:rsidRPr="006159D2">
        <w:rPr>
          <w:rFonts w:cs="Times New Roman"/>
          <w:szCs w:val="24"/>
        </w:rPr>
        <w:t xml:space="preserve">uspicious </w:t>
      </w:r>
      <w:r w:rsidR="00C11B17">
        <w:rPr>
          <w:rFonts w:cs="Times New Roman"/>
          <w:szCs w:val="24"/>
        </w:rPr>
        <w:t>A</w:t>
      </w:r>
      <w:r w:rsidRPr="006159D2">
        <w:rPr>
          <w:rFonts w:cs="Times New Roman"/>
          <w:szCs w:val="24"/>
        </w:rPr>
        <w:t xml:space="preserve">ctivity </w:t>
      </w:r>
      <w:r w:rsidR="00C11B17">
        <w:rPr>
          <w:rFonts w:cs="Times New Roman"/>
          <w:szCs w:val="24"/>
        </w:rPr>
        <w:t>R</w:t>
      </w:r>
      <w:r w:rsidRPr="006159D2">
        <w:rPr>
          <w:rFonts w:cs="Times New Roman"/>
          <w:szCs w:val="24"/>
        </w:rPr>
        <w:t xml:space="preserve">eports (SARs) to a </w:t>
      </w:r>
      <w:r w:rsidR="003F700F">
        <w:rPr>
          <w:rFonts w:cs="Times New Roman"/>
          <w:szCs w:val="24"/>
        </w:rPr>
        <w:t>F</w:t>
      </w:r>
      <w:r w:rsidRPr="006159D2">
        <w:rPr>
          <w:rFonts w:cs="Times New Roman"/>
          <w:szCs w:val="24"/>
        </w:rPr>
        <w:t xml:space="preserve">inancial </w:t>
      </w:r>
      <w:r w:rsidR="003F700F">
        <w:rPr>
          <w:rFonts w:cs="Times New Roman"/>
          <w:szCs w:val="24"/>
        </w:rPr>
        <w:t>I</w:t>
      </w:r>
      <w:r w:rsidRPr="006159D2">
        <w:rPr>
          <w:rFonts w:cs="Times New Roman"/>
          <w:szCs w:val="24"/>
        </w:rPr>
        <w:t xml:space="preserve">ntelligence </w:t>
      </w:r>
      <w:r w:rsidR="003F700F">
        <w:rPr>
          <w:rFonts w:cs="Times New Roman"/>
          <w:szCs w:val="24"/>
        </w:rPr>
        <w:t>U</w:t>
      </w:r>
      <w:r w:rsidRPr="006159D2">
        <w:rPr>
          <w:rFonts w:cs="Times New Roman"/>
          <w:szCs w:val="24"/>
        </w:rPr>
        <w:t>nit. Over 90</w:t>
      </w:r>
      <w:r w:rsidR="00B71215">
        <w:rPr>
          <w:rFonts w:cs="Times New Roman"/>
          <w:szCs w:val="24"/>
        </w:rPr>
        <w:t xml:space="preserve">% </w:t>
      </w:r>
      <w:r w:rsidRPr="006159D2">
        <w:rPr>
          <w:rFonts w:cs="Times New Roman"/>
          <w:szCs w:val="24"/>
        </w:rPr>
        <w:t xml:space="preserve">of the SARs submitted to the National Crime Agency (NCA) in the UK are from financial or </w:t>
      </w:r>
      <w:r w:rsidRPr="006159D2">
        <w:rPr>
          <w:rFonts w:cs="Times New Roman"/>
          <w:szCs w:val="24"/>
        </w:rPr>
        <w:lastRenderedPageBreak/>
        <w:t>credit institutions.</w:t>
      </w:r>
      <w:bookmarkStart w:id="5" w:name="_Ref125883099"/>
      <w:r w:rsidRPr="006159D2">
        <w:rPr>
          <w:rStyle w:val="FootnoteReference"/>
          <w:rFonts w:cs="Times New Roman"/>
          <w:szCs w:val="24"/>
        </w:rPr>
        <w:footnoteReference w:id="5"/>
      </w:r>
      <w:bookmarkEnd w:id="5"/>
      <w:r w:rsidRPr="006159D2">
        <w:rPr>
          <w:rFonts w:cs="Times New Roman"/>
          <w:szCs w:val="24"/>
        </w:rPr>
        <w:t xml:space="preserve"> </w:t>
      </w:r>
      <w:bookmarkStart w:id="6" w:name="_Hlk124412654"/>
      <w:r w:rsidR="00A64426">
        <w:rPr>
          <w:rFonts w:cs="Times New Roman"/>
          <w:szCs w:val="24"/>
        </w:rPr>
        <w:t>I</w:t>
      </w:r>
      <w:r w:rsidR="00A64426" w:rsidRPr="00DA2858">
        <w:rPr>
          <w:rFonts w:cs="Times New Roman"/>
          <w:szCs w:val="24"/>
        </w:rPr>
        <w:t>n response</w:t>
      </w:r>
      <w:r w:rsidRPr="00DA2858">
        <w:rPr>
          <w:rFonts w:cs="Times New Roman"/>
          <w:szCs w:val="24"/>
        </w:rPr>
        <w:t xml:space="preserve">, money launderers have adapted their techniques </w:t>
      </w:r>
      <w:r w:rsidR="00A64426">
        <w:rPr>
          <w:rFonts w:cs="Times New Roman"/>
          <w:szCs w:val="24"/>
        </w:rPr>
        <w:t>to</w:t>
      </w:r>
      <w:r w:rsidRPr="00DA2858">
        <w:rPr>
          <w:rFonts w:cs="Times New Roman"/>
          <w:szCs w:val="24"/>
        </w:rPr>
        <w:t xml:space="preserve"> target </w:t>
      </w:r>
      <w:r w:rsidR="00A64426">
        <w:rPr>
          <w:rFonts w:cs="Times New Roman"/>
          <w:szCs w:val="24"/>
        </w:rPr>
        <w:t>lesser-regulated, or unregulated</w:t>
      </w:r>
      <w:r w:rsidR="00D73B05">
        <w:rPr>
          <w:rFonts w:cs="Times New Roman"/>
          <w:szCs w:val="24"/>
        </w:rPr>
        <w:t>,</w:t>
      </w:r>
      <w:r w:rsidR="00A64426">
        <w:rPr>
          <w:rFonts w:cs="Times New Roman"/>
          <w:szCs w:val="24"/>
        </w:rPr>
        <w:t xml:space="preserve"> </w:t>
      </w:r>
      <w:r w:rsidRPr="00DA2858">
        <w:rPr>
          <w:rFonts w:cs="Times New Roman"/>
          <w:szCs w:val="24"/>
        </w:rPr>
        <w:t>sectors</w:t>
      </w:r>
      <w:bookmarkEnd w:id="6"/>
      <w:r w:rsidRPr="00DA2858">
        <w:rPr>
          <w:rFonts w:cs="Times New Roman"/>
          <w:szCs w:val="24"/>
        </w:rPr>
        <w:t>.</w:t>
      </w:r>
      <w:bookmarkStart w:id="7" w:name="_Ref125560772"/>
      <w:r w:rsidRPr="00DA2858">
        <w:rPr>
          <w:rStyle w:val="FootnoteReference"/>
          <w:rFonts w:cs="Times New Roman"/>
          <w:szCs w:val="24"/>
        </w:rPr>
        <w:footnoteReference w:id="6"/>
      </w:r>
      <w:bookmarkEnd w:id="7"/>
      <w:r w:rsidRPr="00DA2858">
        <w:rPr>
          <w:rFonts w:cs="Times New Roman"/>
          <w:szCs w:val="24"/>
        </w:rPr>
        <w:t xml:space="preserve"> </w:t>
      </w:r>
      <w:r w:rsidR="00451181">
        <w:rPr>
          <w:rFonts w:cs="Times New Roman"/>
          <w:szCs w:val="24"/>
        </w:rPr>
        <w:t>Subsequently</w:t>
      </w:r>
      <w:r w:rsidRPr="00DA2858">
        <w:rPr>
          <w:rFonts w:cs="Times New Roman"/>
          <w:szCs w:val="24"/>
        </w:rPr>
        <w:t xml:space="preserve">, the UK has made extensive efforts to identify new criminal methodologies and adapt relevant legislation. </w:t>
      </w:r>
      <w:r w:rsidR="00B13F01">
        <w:rPr>
          <w:rFonts w:cs="Times New Roman"/>
          <w:szCs w:val="24"/>
        </w:rPr>
        <w:t xml:space="preserve">Therefore, </w:t>
      </w:r>
      <w:r w:rsidRPr="00DA2858">
        <w:rPr>
          <w:rFonts w:cs="Times New Roman"/>
          <w:szCs w:val="24"/>
        </w:rPr>
        <w:t>money laundering has attracted a great deal of academic commentary that has addressed a wide range of related issues.</w:t>
      </w:r>
      <w:bookmarkStart w:id="8" w:name="_Ref125620973"/>
      <w:r w:rsidRPr="00DA2858">
        <w:rPr>
          <w:rStyle w:val="FootnoteReference"/>
          <w:rFonts w:cs="Times New Roman"/>
          <w:szCs w:val="24"/>
        </w:rPr>
        <w:footnoteReference w:id="7"/>
      </w:r>
      <w:bookmarkEnd w:id="8"/>
      <w:r w:rsidRPr="006159D2">
        <w:rPr>
          <w:rFonts w:cs="Times New Roman"/>
          <w:szCs w:val="24"/>
        </w:rPr>
        <w:t xml:space="preserve"> However, the link between Higher Education Institutions (HEIs) and money laundering is not well-understood, despite reports of universities accepting suspicious payments</w:t>
      </w:r>
      <w:r w:rsidR="00946C9E">
        <w:rPr>
          <w:rFonts w:cs="Times New Roman"/>
          <w:szCs w:val="24"/>
        </w:rPr>
        <w:t xml:space="preserve"> </w:t>
      </w:r>
      <w:r w:rsidRPr="006159D2">
        <w:rPr>
          <w:rFonts w:cs="Times New Roman"/>
          <w:szCs w:val="24"/>
        </w:rPr>
        <w:t>from convicted criminals and corrupt Politically Exposed Persons (PEPs)</w:t>
      </w:r>
      <w:r w:rsidR="0071765D">
        <w:rPr>
          <w:rFonts w:cs="Times New Roman"/>
          <w:szCs w:val="24"/>
        </w:rPr>
        <w:t>,</w:t>
      </w:r>
      <w:bookmarkStart w:id="9" w:name="_Ref125566430"/>
      <w:r w:rsidRPr="006159D2">
        <w:rPr>
          <w:rStyle w:val="FootnoteReference"/>
          <w:rFonts w:cs="Times New Roman"/>
          <w:szCs w:val="24"/>
        </w:rPr>
        <w:footnoteReference w:id="8"/>
      </w:r>
      <w:bookmarkEnd w:id="9"/>
      <w:r w:rsidRPr="006159D2">
        <w:rPr>
          <w:rFonts w:cs="Times New Roman"/>
          <w:szCs w:val="24"/>
        </w:rPr>
        <w:t xml:space="preserve"> </w:t>
      </w:r>
      <w:r w:rsidR="0071765D">
        <w:rPr>
          <w:rFonts w:cs="Times New Roman"/>
          <w:szCs w:val="24"/>
        </w:rPr>
        <w:t>specifically,</w:t>
      </w:r>
      <w:r w:rsidR="009110C1">
        <w:rPr>
          <w:rFonts w:cs="Times New Roman"/>
          <w:szCs w:val="24"/>
        </w:rPr>
        <w:t xml:space="preserve"> individuals holding a prominent role in society, which could be abused for criminal purposes.</w:t>
      </w:r>
      <w:r w:rsidR="009110C1">
        <w:rPr>
          <w:rStyle w:val="FootnoteReference"/>
          <w:rFonts w:cs="Times New Roman"/>
          <w:szCs w:val="24"/>
        </w:rPr>
        <w:footnoteReference w:id="9"/>
      </w:r>
      <w:r w:rsidR="009110C1">
        <w:rPr>
          <w:rFonts w:cs="Times New Roman"/>
          <w:szCs w:val="24"/>
        </w:rPr>
        <w:t xml:space="preserve"> </w:t>
      </w:r>
      <w:r w:rsidR="00B841E1">
        <w:rPr>
          <w:rFonts w:cs="Times New Roman"/>
          <w:szCs w:val="24"/>
        </w:rPr>
        <w:t>A</w:t>
      </w:r>
      <w:r w:rsidR="00B841E1" w:rsidRPr="006159D2">
        <w:rPr>
          <w:rFonts w:cs="Times New Roman"/>
          <w:szCs w:val="24"/>
        </w:rPr>
        <w:t>ddition</w:t>
      </w:r>
      <w:r w:rsidR="00B841E1">
        <w:rPr>
          <w:rFonts w:cs="Times New Roman"/>
          <w:szCs w:val="24"/>
        </w:rPr>
        <w:t>ally</w:t>
      </w:r>
      <w:r w:rsidRPr="006159D2">
        <w:rPr>
          <w:rFonts w:cs="Times New Roman"/>
          <w:szCs w:val="24"/>
        </w:rPr>
        <w:t xml:space="preserve">, </w:t>
      </w:r>
      <w:r w:rsidR="003F700F">
        <w:rPr>
          <w:rFonts w:cs="Times New Roman"/>
          <w:szCs w:val="24"/>
        </w:rPr>
        <w:t>several</w:t>
      </w:r>
      <w:r w:rsidRPr="006159D2">
        <w:rPr>
          <w:rFonts w:cs="Times New Roman"/>
          <w:szCs w:val="24"/>
        </w:rPr>
        <w:t xml:space="preserve"> reported cases have revealed that students have used student loans to finance terrorism,</w:t>
      </w:r>
      <w:r w:rsidRPr="006159D2">
        <w:rPr>
          <w:rStyle w:val="FootnoteReference"/>
          <w:rFonts w:cs="Times New Roman"/>
          <w:szCs w:val="24"/>
        </w:rPr>
        <w:footnoteReference w:id="10"/>
      </w:r>
      <w:r w:rsidRPr="006159D2">
        <w:rPr>
          <w:rFonts w:cs="Times New Roman"/>
          <w:szCs w:val="24"/>
        </w:rPr>
        <w:t xml:space="preserve"> and increasing numbers of students allow their bank </w:t>
      </w:r>
      <w:r w:rsidRPr="006159D2">
        <w:rPr>
          <w:rFonts w:cs="Times New Roman"/>
          <w:szCs w:val="24"/>
        </w:rPr>
        <w:lastRenderedPageBreak/>
        <w:t xml:space="preserve">accounts to be used by </w:t>
      </w:r>
      <w:r w:rsidR="00C11B17">
        <w:rPr>
          <w:rFonts w:cs="Times New Roman"/>
          <w:szCs w:val="24"/>
        </w:rPr>
        <w:t>organised criminals</w:t>
      </w:r>
      <w:r w:rsidRPr="006159D2">
        <w:rPr>
          <w:rFonts w:cs="Times New Roman"/>
          <w:szCs w:val="24"/>
        </w:rPr>
        <w:t>.</w:t>
      </w:r>
      <w:bookmarkStart w:id="10" w:name="_Ref125566160"/>
      <w:r w:rsidRPr="006159D2">
        <w:rPr>
          <w:rStyle w:val="FootnoteReference"/>
          <w:rFonts w:cs="Times New Roman"/>
          <w:szCs w:val="24"/>
        </w:rPr>
        <w:footnoteReference w:id="11"/>
      </w:r>
      <w:bookmarkEnd w:id="10"/>
      <w:r w:rsidRPr="006159D2">
        <w:rPr>
          <w:rFonts w:cs="Times New Roman"/>
          <w:szCs w:val="24"/>
        </w:rPr>
        <w:t xml:space="preserve"> Accordingly, this paper provides a novel investigation into the money laundering risks to which </w:t>
      </w:r>
      <w:r w:rsidR="002E138A">
        <w:rPr>
          <w:rFonts w:cs="Times New Roman"/>
          <w:szCs w:val="24"/>
        </w:rPr>
        <w:t>HEIs</w:t>
      </w:r>
      <w:r w:rsidRPr="006159D2">
        <w:rPr>
          <w:rFonts w:cs="Times New Roman"/>
          <w:szCs w:val="24"/>
        </w:rPr>
        <w:t xml:space="preserve"> and their students are exposed, as well as </w:t>
      </w:r>
      <w:r w:rsidR="005F09A9" w:rsidRPr="006159D2">
        <w:rPr>
          <w:rFonts w:cs="Times New Roman"/>
          <w:szCs w:val="24"/>
        </w:rPr>
        <w:t>a</w:t>
      </w:r>
      <w:r w:rsidR="002E138A">
        <w:rPr>
          <w:rFonts w:cs="Times New Roman"/>
          <w:szCs w:val="24"/>
        </w:rPr>
        <w:t>n</w:t>
      </w:r>
      <w:r w:rsidR="005F09A9" w:rsidRPr="006159D2">
        <w:rPr>
          <w:rFonts w:cs="Times New Roman"/>
          <w:szCs w:val="24"/>
        </w:rPr>
        <w:t xml:space="preserve"> investigation into </w:t>
      </w:r>
      <w:r w:rsidRPr="006159D2">
        <w:rPr>
          <w:rFonts w:cs="Times New Roman"/>
          <w:szCs w:val="24"/>
        </w:rPr>
        <w:t xml:space="preserve">how universities address </w:t>
      </w:r>
      <w:r w:rsidR="00D73B05">
        <w:rPr>
          <w:rFonts w:cs="Times New Roman"/>
          <w:szCs w:val="24"/>
        </w:rPr>
        <w:t>identified</w:t>
      </w:r>
      <w:r w:rsidR="00D73B05" w:rsidRPr="006159D2">
        <w:rPr>
          <w:rFonts w:cs="Times New Roman"/>
          <w:szCs w:val="24"/>
        </w:rPr>
        <w:t xml:space="preserve"> </w:t>
      </w:r>
      <w:r w:rsidRPr="006159D2">
        <w:rPr>
          <w:rFonts w:cs="Times New Roman"/>
          <w:szCs w:val="24"/>
        </w:rPr>
        <w:t xml:space="preserve">risks. </w:t>
      </w:r>
    </w:p>
    <w:p w14:paraId="611784F7" w14:textId="10B94EA5" w:rsidR="003F700F" w:rsidRDefault="003F700F" w:rsidP="00673D5B">
      <w:pPr>
        <w:spacing w:before="240" w:line="480" w:lineRule="auto"/>
        <w:rPr>
          <w:rFonts w:cs="Times New Roman"/>
          <w:szCs w:val="24"/>
        </w:rPr>
      </w:pPr>
      <w:r>
        <w:rPr>
          <w:rFonts w:cs="Times New Roman"/>
          <w:szCs w:val="24"/>
        </w:rPr>
        <w:t xml:space="preserve">The paper reveals that </w:t>
      </w:r>
      <w:r w:rsidR="00980C93" w:rsidRPr="006159D2">
        <w:rPr>
          <w:rFonts w:cs="Times New Roman"/>
          <w:szCs w:val="24"/>
        </w:rPr>
        <w:t xml:space="preserve">HEIs are not explicitly included within the Money Laundering Regulations 2017 </w:t>
      </w:r>
      <w:r w:rsidR="00980C93">
        <w:rPr>
          <w:rFonts w:cs="Times New Roman"/>
          <w:szCs w:val="24"/>
        </w:rPr>
        <w:t xml:space="preserve">(the Regulations) </w:t>
      </w:r>
      <w:r w:rsidR="00980C93" w:rsidRPr="006159D2">
        <w:rPr>
          <w:rFonts w:cs="Times New Roman"/>
          <w:szCs w:val="24"/>
        </w:rPr>
        <w:t>and are not required to introduce all preventative measures.</w:t>
      </w:r>
      <w:bookmarkStart w:id="11" w:name="_Ref125620194"/>
      <w:r w:rsidR="00980C93">
        <w:rPr>
          <w:rStyle w:val="FootnoteReference"/>
          <w:rFonts w:cs="Times New Roman"/>
          <w:szCs w:val="24"/>
        </w:rPr>
        <w:footnoteReference w:id="12"/>
      </w:r>
      <w:bookmarkEnd w:id="11"/>
      <w:r w:rsidR="00980C93" w:rsidRPr="006159D2">
        <w:rPr>
          <w:rFonts w:cs="Times New Roman"/>
          <w:szCs w:val="24"/>
        </w:rPr>
        <w:t xml:space="preserve"> Nonetheless, employees</w:t>
      </w:r>
      <w:r w:rsidR="00980C93">
        <w:rPr>
          <w:rFonts w:cs="Times New Roman"/>
          <w:szCs w:val="24"/>
        </w:rPr>
        <w:t xml:space="preserve"> of HEIs</w:t>
      </w:r>
      <w:r w:rsidR="00980C93" w:rsidRPr="006159D2">
        <w:rPr>
          <w:rFonts w:cs="Times New Roman"/>
          <w:szCs w:val="24"/>
        </w:rPr>
        <w:t xml:space="preserve"> are likely to be bound by the obligation to submit SARs under the Terrorism Act 2000</w:t>
      </w:r>
      <w:r w:rsidR="00980C93">
        <w:rPr>
          <w:rFonts w:cs="Times New Roman"/>
          <w:szCs w:val="24"/>
        </w:rPr>
        <w:t xml:space="preserve"> </w:t>
      </w:r>
      <w:r w:rsidR="00A21E14">
        <w:rPr>
          <w:rFonts w:cs="Times New Roman"/>
          <w:szCs w:val="24"/>
        </w:rPr>
        <w:t xml:space="preserve">(TACT) </w:t>
      </w:r>
      <w:r w:rsidR="00980C93" w:rsidRPr="006159D2">
        <w:rPr>
          <w:rFonts w:cs="Times New Roman"/>
          <w:szCs w:val="24"/>
        </w:rPr>
        <w:t>and the Proceeds of Crime Act 2002</w:t>
      </w:r>
      <w:r w:rsidR="00980C93">
        <w:rPr>
          <w:rFonts w:cs="Times New Roman"/>
          <w:szCs w:val="24"/>
        </w:rPr>
        <w:t xml:space="preserve"> (POCA)</w:t>
      </w:r>
      <w:r w:rsidR="00980C93" w:rsidRPr="006159D2">
        <w:rPr>
          <w:rFonts w:cs="Times New Roman"/>
          <w:szCs w:val="24"/>
        </w:rPr>
        <w:t xml:space="preserve">. </w:t>
      </w:r>
      <w:r>
        <w:rPr>
          <w:rFonts w:cs="Times New Roman"/>
          <w:szCs w:val="24"/>
        </w:rPr>
        <w:t xml:space="preserve">Moreover, </w:t>
      </w:r>
      <w:r w:rsidRPr="006159D2">
        <w:rPr>
          <w:rFonts w:cs="Times New Roman"/>
          <w:szCs w:val="24"/>
        </w:rPr>
        <w:t xml:space="preserve">most, if not all, </w:t>
      </w:r>
      <w:r>
        <w:rPr>
          <w:rFonts w:cs="Times New Roman"/>
          <w:szCs w:val="24"/>
        </w:rPr>
        <w:t>HEIs</w:t>
      </w:r>
      <w:r w:rsidRPr="006159D2">
        <w:rPr>
          <w:rFonts w:cs="Times New Roman"/>
          <w:szCs w:val="24"/>
        </w:rPr>
        <w:t xml:space="preserve"> could </w:t>
      </w:r>
      <w:r>
        <w:rPr>
          <w:rFonts w:cs="Times New Roman"/>
          <w:szCs w:val="24"/>
        </w:rPr>
        <w:t>require authorisation by the F</w:t>
      </w:r>
      <w:r w:rsidR="00A21E14">
        <w:rPr>
          <w:rFonts w:cs="Times New Roman"/>
          <w:szCs w:val="24"/>
        </w:rPr>
        <w:t>inancial Conduct Authority (F</w:t>
      </w:r>
      <w:r>
        <w:rPr>
          <w:rFonts w:cs="Times New Roman"/>
          <w:szCs w:val="24"/>
        </w:rPr>
        <w:t>CA</w:t>
      </w:r>
      <w:r w:rsidR="00A21E14">
        <w:rPr>
          <w:rFonts w:cs="Times New Roman"/>
          <w:szCs w:val="24"/>
        </w:rPr>
        <w:t>)</w:t>
      </w:r>
      <w:r w:rsidRPr="006159D2">
        <w:rPr>
          <w:rFonts w:cs="Times New Roman"/>
          <w:szCs w:val="24"/>
        </w:rPr>
        <w:t xml:space="preserve"> under </w:t>
      </w:r>
      <w:r>
        <w:rPr>
          <w:rFonts w:cs="Times New Roman"/>
          <w:szCs w:val="24"/>
        </w:rPr>
        <w:t xml:space="preserve">the </w:t>
      </w:r>
      <w:r w:rsidR="00A21E14">
        <w:rPr>
          <w:rFonts w:cs="Times New Roman"/>
          <w:szCs w:val="24"/>
        </w:rPr>
        <w:t>Financial Services and Market</w:t>
      </w:r>
      <w:r w:rsidR="0071765D">
        <w:rPr>
          <w:rFonts w:cs="Times New Roman"/>
          <w:szCs w:val="24"/>
        </w:rPr>
        <w:t>s Act</w:t>
      </w:r>
      <w:r w:rsidR="00A21E14">
        <w:rPr>
          <w:rFonts w:cs="Times New Roman"/>
          <w:szCs w:val="24"/>
        </w:rPr>
        <w:t xml:space="preserve"> </w:t>
      </w:r>
      <w:r w:rsidRPr="006159D2">
        <w:rPr>
          <w:rFonts w:cs="Times New Roman"/>
          <w:szCs w:val="24"/>
        </w:rPr>
        <w:t xml:space="preserve">2000 </w:t>
      </w:r>
      <w:r w:rsidR="00A21E14">
        <w:rPr>
          <w:rFonts w:cs="Times New Roman"/>
          <w:szCs w:val="24"/>
        </w:rPr>
        <w:t xml:space="preserve">(FSMA) </w:t>
      </w:r>
      <w:r w:rsidRPr="006159D2">
        <w:rPr>
          <w:rFonts w:cs="Times New Roman"/>
          <w:szCs w:val="24"/>
        </w:rPr>
        <w:t xml:space="preserve">for the credit activities they </w:t>
      </w:r>
      <w:r w:rsidR="00F54612">
        <w:rPr>
          <w:rFonts w:cs="Times New Roman"/>
          <w:szCs w:val="24"/>
        </w:rPr>
        <w:t>undertake</w:t>
      </w:r>
      <w:r>
        <w:rPr>
          <w:rFonts w:cs="Times New Roman"/>
          <w:szCs w:val="24"/>
        </w:rPr>
        <w:t>, such as</w:t>
      </w:r>
      <w:r w:rsidR="0071765D">
        <w:rPr>
          <w:rFonts w:cs="Times New Roman"/>
          <w:szCs w:val="24"/>
        </w:rPr>
        <w:t>,</w:t>
      </w:r>
      <w:r>
        <w:rPr>
          <w:rFonts w:cs="Times New Roman"/>
          <w:szCs w:val="24"/>
        </w:rPr>
        <w:t xml:space="preserve"> providing credit to students or introducing them to lenders</w:t>
      </w:r>
      <w:r w:rsidRPr="006159D2">
        <w:rPr>
          <w:rFonts w:cs="Times New Roman"/>
          <w:szCs w:val="24"/>
        </w:rPr>
        <w:t>.</w:t>
      </w:r>
      <w:r w:rsidRPr="006159D2">
        <w:rPr>
          <w:rStyle w:val="FootnoteReference"/>
          <w:rFonts w:cs="Times New Roman"/>
          <w:szCs w:val="24"/>
        </w:rPr>
        <w:footnoteReference w:id="13"/>
      </w:r>
      <w:r w:rsidRPr="006159D2">
        <w:rPr>
          <w:rFonts w:cs="Times New Roman"/>
          <w:szCs w:val="24"/>
        </w:rPr>
        <w:t xml:space="preserve"> </w:t>
      </w:r>
      <w:r w:rsidR="006C47AE">
        <w:rPr>
          <w:rFonts w:cs="Times New Roman"/>
          <w:szCs w:val="24"/>
        </w:rPr>
        <w:t>A</w:t>
      </w:r>
      <w:r>
        <w:rPr>
          <w:rFonts w:cs="Times New Roman"/>
          <w:szCs w:val="24"/>
        </w:rPr>
        <w:t>uthorised</w:t>
      </w:r>
      <w:r w:rsidR="006C47AE">
        <w:rPr>
          <w:rFonts w:cs="Times New Roman"/>
          <w:szCs w:val="24"/>
        </w:rPr>
        <w:t xml:space="preserve"> HEIs</w:t>
      </w:r>
      <w:r w:rsidRPr="006159D2">
        <w:rPr>
          <w:rFonts w:cs="Times New Roman"/>
          <w:szCs w:val="24"/>
        </w:rPr>
        <w:t xml:space="preserve"> </w:t>
      </w:r>
      <w:r w:rsidR="009E554F">
        <w:rPr>
          <w:rFonts w:cs="Times New Roman"/>
          <w:szCs w:val="24"/>
        </w:rPr>
        <w:t xml:space="preserve">are </w:t>
      </w:r>
      <w:r w:rsidRPr="006159D2">
        <w:rPr>
          <w:rFonts w:cs="Times New Roman"/>
          <w:szCs w:val="24"/>
        </w:rPr>
        <w:t xml:space="preserve">bound by the FCA Handbook and must comply with the </w:t>
      </w:r>
      <w:r>
        <w:rPr>
          <w:rFonts w:cs="Times New Roman"/>
          <w:szCs w:val="24"/>
        </w:rPr>
        <w:t>AML guidelines.</w:t>
      </w:r>
      <w:r w:rsidRPr="006159D2">
        <w:rPr>
          <w:rFonts w:cs="Times New Roman"/>
          <w:szCs w:val="24"/>
        </w:rPr>
        <w:t xml:space="preserve"> </w:t>
      </w:r>
    </w:p>
    <w:p w14:paraId="5610EA84" w14:textId="59401043" w:rsidR="00980C93" w:rsidRDefault="00A646BB" w:rsidP="00673D5B">
      <w:pPr>
        <w:spacing w:before="240" w:after="0" w:line="480" w:lineRule="auto"/>
        <w:rPr>
          <w:rFonts w:cs="Times New Roman"/>
          <w:szCs w:val="24"/>
        </w:rPr>
      </w:pPr>
      <w:r>
        <w:rPr>
          <w:rFonts w:cs="Times New Roman"/>
          <w:szCs w:val="24"/>
        </w:rPr>
        <w:t>Despite potential regulation, t</w:t>
      </w:r>
      <w:r w:rsidR="00980C93" w:rsidRPr="006159D2">
        <w:rPr>
          <w:rFonts w:cs="Times New Roman"/>
          <w:szCs w:val="24"/>
        </w:rPr>
        <w:t xml:space="preserve">hrough an analysis of original empirical data, the paper reveals that there is a disparity among </w:t>
      </w:r>
      <w:r>
        <w:rPr>
          <w:rFonts w:cs="Times New Roman"/>
          <w:szCs w:val="24"/>
        </w:rPr>
        <w:t>HEIs</w:t>
      </w:r>
      <w:r w:rsidR="00980C93" w:rsidRPr="006159D2">
        <w:rPr>
          <w:rFonts w:cs="Times New Roman"/>
          <w:szCs w:val="24"/>
        </w:rPr>
        <w:t xml:space="preserve"> regarding </w:t>
      </w:r>
      <w:r>
        <w:rPr>
          <w:rFonts w:cs="Times New Roman"/>
          <w:szCs w:val="24"/>
        </w:rPr>
        <w:t>the implementation of AML legislation</w:t>
      </w:r>
      <w:r w:rsidR="00980C93" w:rsidRPr="006159D2">
        <w:rPr>
          <w:rFonts w:cs="Times New Roman"/>
          <w:szCs w:val="24"/>
        </w:rPr>
        <w:t xml:space="preserve">. For instance, </w:t>
      </w:r>
      <w:r>
        <w:rPr>
          <w:rFonts w:cs="Times New Roman"/>
          <w:szCs w:val="24"/>
        </w:rPr>
        <w:t>a proportion</w:t>
      </w:r>
      <w:r w:rsidR="00980C93">
        <w:rPr>
          <w:rFonts w:cs="Times New Roman"/>
          <w:szCs w:val="24"/>
        </w:rPr>
        <w:t xml:space="preserve"> </w:t>
      </w:r>
      <w:r w:rsidR="00980C93" w:rsidRPr="006159D2">
        <w:rPr>
          <w:rFonts w:cs="Times New Roman"/>
          <w:szCs w:val="24"/>
        </w:rPr>
        <w:t xml:space="preserve">of </w:t>
      </w:r>
      <w:r>
        <w:rPr>
          <w:rFonts w:cs="Times New Roman"/>
          <w:szCs w:val="24"/>
        </w:rPr>
        <w:t>HEIs</w:t>
      </w:r>
      <w:r w:rsidR="00980C93" w:rsidRPr="006159D2">
        <w:rPr>
          <w:rFonts w:cs="Times New Roman"/>
          <w:szCs w:val="24"/>
        </w:rPr>
        <w:t xml:space="preserve"> do not provide any internal AML training</w:t>
      </w:r>
      <w:r>
        <w:rPr>
          <w:rFonts w:cs="Times New Roman"/>
          <w:szCs w:val="24"/>
        </w:rPr>
        <w:t xml:space="preserve"> for staff, nor guidance </w:t>
      </w:r>
      <w:r w:rsidRPr="006159D2">
        <w:rPr>
          <w:rFonts w:cs="Times New Roman"/>
          <w:szCs w:val="24"/>
        </w:rPr>
        <w:t>to their students on the risks posed by financial crim</w:t>
      </w:r>
      <w:r>
        <w:rPr>
          <w:rFonts w:cs="Times New Roman"/>
          <w:szCs w:val="24"/>
        </w:rPr>
        <w:t>e</w:t>
      </w:r>
      <w:r w:rsidR="00980C93" w:rsidRPr="006159D2">
        <w:rPr>
          <w:rFonts w:cs="Times New Roman"/>
          <w:szCs w:val="24"/>
        </w:rPr>
        <w:t>.</w:t>
      </w:r>
      <w:r w:rsidR="0071765D">
        <w:rPr>
          <w:rStyle w:val="FootnoteReference"/>
          <w:rFonts w:cs="Times New Roman"/>
          <w:szCs w:val="24"/>
        </w:rPr>
        <w:footnoteReference w:id="14"/>
      </w:r>
      <w:r w:rsidR="00980C93" w:rsidRPr="006159D2">
        <w:rPr>
          <w:rFonts w:cs="Times New Roman"/>
          <w:szCs w:val="24"/>
        </w:rPr>
        <w:t xml:space="preserve"> </w:t>
      </w:r>
      <w:r w:rsidR="00D43C2B">
        <w:rPr>
          <w:rFonts w:cs="Times New Roman"/>
          <w:szCs w:val="24"/>
        </w:rPr>
        <w:t>A</w:t>
      </w:r>
      <w:r w:rsidR="00980C93" w:rsidRPr="006159D2">
        <w:rPr>
          <w:rFonts w:cs="Times New Roman"/>
          <w:szCs w:val="24"/>
        </w:rPr>
        <w:t>ddition</w:t>
      </w:r>
      <w:r w:rsidR="00D43C2B">
        <w:rPr>
          <w:rFonts w:cs="Times New Roman"/>
          <w:szCs w:val="24"/>
        </w:rPr>
        <w:t>ally</w:t>
      </w:r>
      <w:r w:rsidR="00980C93" w:rsidRPr="006159D2">
        <w:rPr>
          <w:rFonts w:cs="Times New Roman"/>
          <w:szCs w:val="24"/>
        </w:rPr>
        <w:t xml:space="preserve">, </w:t>
      </w:r>
      <w:r>
        <w:rPr>
          <w:rFonts w:cs="Times New Roman"/>
          <w:szCs w:val="24"/>
        </w:rPr>
        <w:t>most</w:t>
      </w:r>
      <w:r w:rsidR="00980C93" w:rsidRPr="006159D2">
        <w:rPr>
          <w:rFonts w:cs="Times New Roman"/>
          <w:szCs w:val="24"/>
        </w:rPr>
        <w:t xml:space="preserve"> HEIs have now ceased the acceptance of cash payments, but </w:t>
      </w:r>
      <w:r>
        <w:rPr>
          <w:rFonts w:cs="Times New Roman"/>
          <w:szCs w:val="24"/>
        </w:rPr>
        <w:t>many</w:t>
      </w:r>
      <w:r w:rsidR="00980C93" w:rsidRPr="006159D2">
        <w:rPr>
          <w:rFonts w:cs="Times New Roman"/>
          <w:szCs w:val="24"/>
        </w:rPr>
        <w:t xml:space="preserve"> are still willing to do so, with </w:t>
      </w:r>
      <w:r>
        <w:rPr>
          <w:rFonts w:cs="Times New Roman"/>
          <w:szCs w:val="24"/>
        </w:rPr>
        <w:t>several</w:t>
      </w:r>
      <w:r w:rsidR="00980C93" w:rsidRPr="006159D2">
        <w:rPr>
          <w:rFonts w:cs="Times New Roman"/>
          <w:szCs w:val="24"/>
        </w:rPr>
        <w:t xml:space="preserve"> HEIs receiving cash payments totalling more than £1million in 2019/20. </w:t>
      </w:r>
      <w:r>
        <w:rPr>
          <w:rFonts w:cs="Times New Roman"/>
          <w:szCs w:val="24"/>
        </w:rPr>
        <w:t>Furthermore, most</w:t>
      </w:r>
      <w:r w:rsidR="00980C93" w:rsidRPr="006159D2">
        <w:rPr>
          <w:rFonts w:cs="Times New Roman"/>
          <w:szCs w:val="24"/>
        </w:rPr>
        <w:t xml:space="preserve"> universities do not submit any SARs, with the majority of </w:t>
      </w:r>
      <w:r w:rsidR="00E25CB6">
        <w:rPr>
          <w:rFonts w:cs="Times New Roman"/>
          <w:szCs w:val="24"/>
        </w:rPr>
        <w:t xml:space="preserve">them </w:t>
      </w:r>
      <w:r w:rsidR="00980C93" w:rsidRPr="006159D2">
        <w:rPr>
          <w:rFonts w:cs="Times New Roman"/>
          <w:szCs w:val="24"/>
        </w:rPr>
        <w:t xml:space="preserve">being submitted by a small </w:t>
      </w:r>
      <w:r w:rsidR="00980C93" w:rsidRPr="006159D2">
        <w:rPr>
          <w:rFonts w:cs="Times New Roman"/>
          <w:szCs w:val="24"/>
        </w:rPr>
        <w:lastRenderedPageBreak/>
        <w:t>number of HEIs. In consequence, whilst HEIs are not explicitly included within the current AML/CTF framework, the current disparity of its application by the sector will continue, leaving universities, their employees, and their students, at high risk of money laundering and criminal liability.</w:t>
      </w:r>
      <w:r w:rsidR="00516C04">
        <w:rPr>
          <w:rFonts w:cs="Times New Roman"/>
          <w:szCs w:val="24"/>
        </w:rPr>
        <w:t xml:space="preserve"> </w:t>
      </w:r>
      <w:r w:rsidR="00236976">
        <w:rPr>
          <w:rFonts w:cs="Times New Roman"/>
          <w:szCs w:val="24"/>
        </w:rPr>
        <w:t xml:space="preserve">Therefore, </w:t>
      </w:r>
      <w:r w:rsidR="00516C04">
        <w:rPr>
          <w:rFonts w:cs="Times New Roman"/>
          <w:szCs w:val="24"/>
        </w:rPr>
        <w:t>this paper recommends that HEIs are included</w:t>
      </w:r>
      <w:r w:rsidR="00516C04" w:rsidRPr="006159D2">
        <w:rPr>
          <w:rFonts w:cs="Times New Roman"/>
          <w:szCs w:val="24"/>
        </w:rPr>
        <w:t xml:space="preserve"> within the scope of the </w:t>
      </w:r>
      <w:r w:rsidR="00516C04">
        <w:rPr>
          <w:rFonts w:cs="Times New Roman"/>
          <w:szCs w:val="24"/>
        </w:rPr>
        <w:t>Regulations.</w:t>
      </w:r>
      <w:r w:rsidR="00516C04" w:rsidRPr="006159D2">
        <w:rPr>
          <w:rFonts w:cs="Times New Roman"/>
          <w:szCs w:val="24"/>
        </w:rPr>
        <w:t xml:space="preserve"> </w:t>
      </w:r>
    </w:p>
    <w:p w14:paraId="0FBF9046" w14:textId="73AC75FE" w:rsidR="00745C6A" w:rsidRDefault="00451181" w:rsidP="00673D5B">
      <w:pPr>
        <w:spacing w:before="240" w:after="0" w:line="480" w:lineRule="auto"/>
        <w:rPr>
          <w:rFonts w:cs="Times New Roman"/>
          <w:szCs w:val="24"/>
        </w:rPr>
      </w:pPr>
      <w:r>
        <w:rPr>
          <w:rFonts w:cs="Times New Roman"/>
          <w:szCs w:val="24"/>
        </w:rPr>
        <w:t xml:space="preserve">This paper starts by </w:t>
      </w:r>
      <w:r w:rsidR="00A646BB">
        <w:rPr>
          <w:rFonts w:cs="Times New Roman"/>
          <w:szCs w:val="24"/>
        </w:rPr>
        <w:t>identifying money</w:t>
      </w:r>
      <w:r w:rsidR="00A646BB" w:rsidRPr="00A646BB">
        <w:rPr>
          <w:rFonts w:cs="Times New Roman"/>
          <w:szCs w:val="24"/>
        </w:rPr>
        <w:t xml:space="preserve"> laundering and terrorism financing vulnerabilities in the higher education sector</w:t>
      </w:r>
      <w:r w:rsidR="00A646BB">
        <w:rPr>
          <w:rFonts w:cs="Times New Roman"/>
          <w:szCs w:val="24"/>
        </w:rPr>
        <w:t xml:space="preserve">. The second section provides an overview </w:t>
      </w:r>
      <w:r w:rsidR="00DA2858">
        <w:rPr>
          <w:rFonts w:cs="Times New Roman"/>
          <w:szCs w:val="24"/>
        </w:rPr>
        <w:t xml:space="preserve">of the </w:t>
      </w:r>
      <w:r w:rsidR="00745C6A" w:rsidRPr="006159D2">
        <w:rPr>
          <w:rFonts w:cs="Times New Roman"/>
          <w:szCs w:val="24"/>
        </w:rPr>
        <w:t xml:space="preserve">methodological approach and </w:t>
      </w:r>
      <w:r w:rsidR="00D73B05">
        <w:rPr>
          <w:rFonts w:cs="Times New Roman"/>
          <w:szCs w:val="24"/>
        </w:rPr>
        <w:t xml:space="preserve">a </w:t>
      </w:r>
      <w:r w:rsidR="002B5C1E">
        <w:rPr>
          <w:rFonts w:cs="Times New Roman"/>
          <w:szCs w:val="24"/>
        </w:rPr>
        <w:t xml:space="preserve">literature </w:t>
      </w:r>
      <w:r w:rsidR="00745C6A" w:rsidRPr="006159D2">
        <w:rPr>
          <w:rFonts w:cs="Times New Roman"/>
          <w:szCs w:val="24"/>
        </w:rPr>
        <w:t>review</w:t>
      </w:r>
      <w:r w:rsidR="00A646BB">
        <w:rPr>
          <w:rFonts w:cs="Times New Roman"/>
          <w:szCs w:val="24"/>
        </w:rPr>
        <w:t>, while t</w:t>
      </w:r>
      <w:r w:rsidR="00745C6A" w:rsidRPr="006159D2">
        <w:rPr>
          <w:rFonts w:cs="Times New Roman"/>
          <w:szCs w:val="24"/>
        </w:rPr>
        <w:t xml:space="preserve">he </w:t>
      </w:r>
      <w:r w:rsidR="00A646BB">
        <w:rPr>
          <w:rFonts w:cs="Times New Roman"/>
          <w:szCs w:val="24"/>
        </w:rPr>
        <w:t>third</w:t>
      </w:r>
      <w:r w:rsidR="00A646BB" w:rsidRPr="006159D2">
        <w:rPr>
          <w:rFonts w:cs="Times New Roman"/>
          <w:szCs w:val="24"/>
        </w:rPr>
        <w:t xml:space="preserve"> </w:t>
      </w:r>
      <w:r w:rsidR="00745C6A" w:rsidRPr="006159D2">
        <w:rPr>
          <w:rFonts w:cs="Times New Roman"/>
          <w:szCs w:val="24"/>
        </w:rPr>
        <w:t xml:space="preserve">section </w:t>
      </w:r>
      <w:r w:rsidR="00516C04">
        <w:rPr>
          <w:rFonts w:cs="Times New Roman"/>
          <w:szCs w:val="24"/>
        </w:rPr>
        <w:t>assesses</w:t>
      </w:r>
      <w:r w:rsidR="00745C6A" w:rsidRPr="006159D2">
        <w:rPr>
          <w:rFonts w:cs="Times New Roman"/>
          <w:szCs w:val="24"/>
        </w:rPr>
        <w:t xml:space="preserve"> the application of AML legislation to HEIs. The </w:t>
      </w:r>
      <w:r w:rsidR="00A646BB">
        <w:rPr>
          <w:rFonts w:cs="Times New Roman"/>
          <w:szCs w:val="24"/>
        </w:rPr>
        <w:t>fourth</w:t>
      </w:r>
      <w:r w:rsidR="00A646BB" w:rsidRPr="006159D2">
        <w:rPr>
          <w:rFonts w:cs="Times New Roman"/>
          <w:szCs w:val="24"/>
        </w:rPr>
        <w:t xml:space="preserve"> </w:t>
      </w:r>
      <w:r w:rsidR="00745C6A" w:rsidRPr="006159D2">
        <w:rPr>
          <w:rFonts w:cs="Times New Roman"/>
          <w:szCs w:val="24"/>
        </w:rPr>
        <w:t xml:space="preserve">section reports the measures currently taken by </w:t>
      </w:r>
      <w:r w:rsidR="00DA2858">
        <w:rPr>
          <w:rFonts w:cs="Times New Roman"/>
          <w:szCs w:val="24"/>
        </w:rPr>
        <w:t>HEIs</w:t>
      </w:r>
      <w:r w:rsidR="00DA2858" w:rsidRPr="006159D2">
        <w:rPr>
          <w:rFonts w:cs="Times New Roman"/>
          <w:szCs w:val="24"/>
        </w:rPr>
        <w:t xml:space="preserve"> </w:t>
      </w:r>
      <w:r w:rsidR="00745C6A" w:rsidRPr="006159D2">
        <w:rPr>
          <w:rFonts w:cs="Times New Roman"/>
          <w:szCs w:val="24"/>
        </w:rPr>
        <w:t xml:space="preserve">in response to AML/CTF threats and </w:t>
      </w:r>
      <w:r w:rsidR="00980C93">
        <w:rPr>
          <w:rFonts w:cs="Times New Roman"/>
          <w:szCs w:val="24"/>
        </w:rPr>
        <w:t>analyses</w:t>
      </w:r>
      <w:r w:rsidR="00745C6A" w:rsidRPr="006159D2">
        <w:rPr>
          <w:rFonts w:cs="Times New Roman"/>
          <w:szCs w:val="24"/>
        </w:rPr>
        <w:t xml:space="preserve"> the responses to Freedom of Information (FOI) requests received from 110 universities. </w:t>
      </w:r>
      <w:r w:rsidR="00980C93">
        <w:rPr>
          <w:rFonts w:cs="Times New Roman"/>
          <w:szCs w:val="24"/>
        </w:rPr>
        <w:t>After drawing the conclusion</w:t>
      </w:r>
      <w:r w:rsidR="00745C6A" w:rsidRPr="006159D2">
        <w:rPr>
          <w:rFonts w:cs="Times New Roman"/>
          <w:szCs w:val="24"/>
        </w:rPr>
        <w:t xml:space="preserve"> that </w:t>
      </w:r>
      <w:r w:rsidR="00DA2858">
        <w:rPr>
          <w:rFonts w:cs="Times New Roman"/>
          <w:szCs w:val="24"/>
        </w:rPr>
        <w:t>HEIs</w:t>
      </w:r>
      <w:r w:rsidR="00DA2858" w:rsidRPr="006159D2">
        <w:rPr>
          <w:rFonts w:cs="Times New Roman"/>
          <w:szCs w:val="24"/>
        </w:rPr>
        <w:t xml:space="preserve"> </w:t>
      </w:r>
      <w:r w:rsidR="00745C6A" w:rsidRPr="006159D2">
        <w:rPr>
          <w:rFonts w:cs="Times New Roman"/>
          <w:szCs w:val="24"/>
        </w:rPr>
        <w:t>and their students are exposed to significant financial crime risks</w:t>
      </w:r>
      <w:r w:rsidR="00516C04">
        <w:rPr>
          <w:rFonts w:cs="Times New Roman"/>
          <w:szCs w:val="24"/>
        </w:rPr>
        <w:t>, while often failing to take appropriate preventative measures</w:t>
      </w:r>
      <w:r w:rsidR="00980C93">
        <w:rPr>
          <w:rFonts w:cs="Times New Roman"/>
          <w:szCs w:val="24"/>
        </w:rPr>
        <w:t>, this paper</w:t>
      </w:r>
      <w:r w:rsidR="00980C93" w:rsidRPr="00980C93">
        <w:rPr>
          <w:rFonts w:cs="Times New Roman"/>
          <w:szCs w:val="24"/>
        </w:rPr>
        <w:t xml:space="preserve"> </w:t>
      </w:r>
      <w:r w:rsidR="00980C93" w:rsidRPr="006159D2">
        <w:rPr>
          <w:rFonts w:cs="Times New Roman"/>
          <w:szCs w:val="24"/>
        </w:rPr>
        <w:t xml:space="preserve">makes a series of </w:t>
      </w:r>
      <w:r w:rsidR="00980C93">
        <w:rPr>
          <w:rFonts w:cs="Times New Roman"/>
          <w:szCs w:val="24"/>
        </w:rPr>
        <w:t xml:space="preserve">novel </w:t>
      </w:r>
      <w:r w:rsidR="00980C93" w:rsidRPr="006159D2">
        <w:rPr>
          <w:rFonts w:cs="Times New Roman"/>
          <w:szCs w:val="24"/>
        </w:rPr>
        <w:t>recommendations</w:t>
      </w:r>
      <w:r w:rsidR="00516C04">
        <w:rPr>
          <w:rFonts w:cs="Times New Roman"/>
          <w:szCs w:val="24"/>
        </w:rPr>
        <w:t xml:space="preserve"> to policymakers</w:t>
      </w:r>
      <w:r w:rsidR="00D43C2B">
        <w:rPr>
          <w:rFonts w:cs="Times New Roman"/>
          <w:szCs w:val="24"/>
        </w:rPr>
        <w:t xml:space="preserve"> </w:t>
      </w:r>
      <w:r w:rsidR="00980C93" w:rsidRPr="006159D2">
        <w:rPr>
          <w:rFonts w:cs="Times New Roman"/>
          <w:szCs w:val="24"/>
        </w:rPr>
        <w:t>to reduce the risks to which universities and their students are exposed</w:t>
      </w:r>
      <w:r w:rsidR="00516C04">
        <w:rPr>
          <w:rFonts w:cs="Times New Roman"/>
          <w:szCs w:val="24"/>
        </w:rPr>
        <w:t>.</w:t>
      </w:r>
    </w:p>
    <w:p w14:paraId="15C814BF" w14:textId="034ED685" w:rsidR="006159D2" w:rsidRDefault="0005257B" w:rsidP="00377664">
      <w:pPr>
        <w:pStyle w:val="Heading1"/>
        <w:spacing w:line="480" w:lineRule="auto"/>
        <w:jc w:val="both"/>
      </w:pPr>
      <w:r w:rsidRPr="006159D2">
        <w:t xml:space="preserve">Money </w:t>
      </w:r>
      <w:r w:rsidR="008A6A75">
        <w:t>l</w:t>
      </w:r>
      <w:r w:rsidRPr="006159D2">
        <w:t xml:space="preserve">aundering and </w:t>
      </w:r>
      <w:r w:rsidR="008A6A75">
        <w:t>t</w:t>
      </w:r>
      <w:r w:rsidRPr="006159D2">
        <w:t xml:space="preserve">errorism </w:t>
      </w:r>
      <w:r w:rsidR="008A6A75">
        <w:t>f</w:t>
      </w:r>
      <w:r w:rsidRPr="006159D2">
        <w:t xml:space="preserve">inancing </w:t>
      </w:r>
      <w:r w:rsidR="008A6A75">
        <w:t>v</w:t>
      </w:r>
      <w:r w:rsidRPr="006159D2">
        <w:t xml:space="preserve">ulnerabilities in the </w:t>
      </w:r>
      <w:r w:rsidR="008A6A75">
        <w:t>h</w:t>
      </w:r>
      <w:r w:rsidRPr="006159D2">
        <w:t xml:space="preserve">igher </w:t>
      </w:r>
      <w:r w:rsidR="008A6A75">
        <w:t>e</w:t>
      </w:r>
      <w:r w:rsidRPr="006159D2">
        <w:t xml:space="preserve">ducation </w:t>
      </w:r>
      <w:r w:rsidR="008A6A75">
        <w:t>s</w:t>
      </w:r>
      <w:r w:rsidRPr="006159D2">
        <w:t xml:space="preserve">ector </w:t>
      </w:r>
    </w:p>
    <w:p w14:paraId="6512FC21" w14:textId="4996EE27" w:rsidR="00745C6A" w:rsidRPr="006159D2" w:rsidRDefault="00745C6A" w:rsidP="00673D5B">
      <w:pPr>
        <w:spacing w:before="240" w:after="0" w:line="480" w:lineRule="auto"/>
        <w:rPr>
          <w:rFonts w:cs="Times New Roman"/>
          <w:color w:val="000000"/>
          <w:szCs w:val="24"/>
        </w:rPr>
      </w:pPr>
      <w:r w:rsidRPr="006159D2">
        <w:rPr>
          <w:rFonts w:cs="Times New Roman"/>
          <w:szCs w:val="24"/>
        </w:rPr>
        <w:t xml:space="preserve">Money laundering is associated with the </w:t>
      </w:r>
      <w:r w:rsidR="009857A1">
        <w:rPr>
          <w:rFonts w:cs="Times New Roman"/>
          <w:szCs w:val="24"/>
        </w:rPr>
        <w:t>“</w:t>
      </w:r>
      <w:r w:rsidRPr="006159D2">
        <w:rPr>
          <w:rFonts w:cs="Times New Roman"/>
          <w:szCs w:val="24"/>
        </w:rPr>
        <w:t>champagne lifestyle</w:t>
      </w:r>
      <w:r w:rsidR="009857A1">
        <w:rPr>
          <w:rFonts w:cs="Times New Roman"/>
          <w:szCs w:val="24"/>
        </w:rPr>
        <w:t>”</w:t>
      </w:r>
      <w:r w:rsidRPr="006159D2">
        <w:rPr>
          <w:rFonts w:cs="Times New Roman"/>
          <w:szCs w:val="24"/>
        </w:rPr>
        <w:t xml:space="preserve"> of </w:t>
      </w:r>
      <w:r w:rsidR="00C11B17">
        <w:rPr>
          <w:rFonts w:cs="Times New Roman"/>
          <w:szCs w:val="24"/>
        </w:rPr>
        <w:t>organised criminal groups</w:t>
      </w:r>
      <w:r w:rsidR="00C11B17" w:rsidRPr="006159D2">
        <w:rPr>
          <w:rFonts w:cs="Times New Roman"/>
          <w:szCs w:val="24"/>
        </w:rPr>
        <w:t xml:space="preserve"> </w:t>
      </w:r>
      <w:r w:rsidRPr="006159D2">
        <w:rPr>
          <w:rFonts w:cs="Times New Roman"/>
          <w:szCs w:val="24"/>
        </w:rPr>
        <w:t>who are hiding their proceeds of crime.</w:t>
      </w:r>
      <w:r w:rsidRPr="006159D2">
        <w:rPr>
          <w:rStyle w:val="FootnoteReference"/>
          <w:rFonts w:cs="Times New Roman"/>
          <w:szCs w:val="24"/>
        </w:rPr>
        <w:footnoteReference w:id="15"/>
      </w:r>
      <w:r w:rsidRPr="006159D2">
        <w:rPr>
          <w:rFonts w:cs="Times New Roman"/>
          <w:szCs w:val="24"/>
        </w:rPr>
        <w:t xml:space="preserve"> Common methods of money laundering in the UK include</w:t>
      </w:r>
      <w:r w:rsidR="007655FC">
        <w:rPr>
          <w:rFonts w:cs="Times New Roman"/>
          <w:szCs w:val="24"/>
        </w:rPr>
        <w:t xml:space="preserve"> using</w:t>
      </w:r>
      <w:r w:rsidRPr="006159D2">
        <w:rPr>
          <w:rFonts w:cs="Times New Roman"/>
          <w:szCs w:val="24"/>
        </w:rPr>
        <w:t xml:space="preserve"> financial institutions,</w:t>
      </w:r>
      <w:r w:rsidRPr="006159D2">
        <w:rPr>
          <w:rStyle w:val="FootnoteReference"/>
          <w:rFonts w:cs="Times New Roman"/>
          <w:szCs w:val="24"/>
        </w:rPr>
        <w:footnoteReference w:id="16"/>
      </w:r>
      <w:r w:rsidRPr="006159D2">
        <w:rPr>
          <w:rFonts w:cs="Times New Roman"/>
          <w:szCs w:val="24"/>
        </w:rPr>
        <w:t xml:space="preserve"> professional enablers,</w:t>
      </w:r>
      <w:bookmarkStart w:id="12" w:name="_Ref125621764"/>
      <w:r w:rsidRPr="006159D2">
        <w:rPr>
          <w:rStyle w:val="FootnoteReference"/>
          <w:rFonts w:cs="Times New Roman"/>
          <w:szCs w:val="24"/>
        </w:rPr>
        <w:footnoteReference w:id="17"/>
      </w:r>
      <w:bookmarkEnd w:id="12"/>
      <w:r w:rsidRPr="006159D2">
        <w:rPr>
          <w:rFonts w:cs="Times New Roman"/>
          <w:szCs w:val="24"/>
        </w:rPr>
        <w:t xml:space="preserve"> cash</w:t>
      </w:r>
      <w:r w:rsidR="00212BE9">
        <w:rPr>
          <w:rFonts w:cs="Times New Roman"/>
          <w:szCs w:val="24"/>
        </w:rPr>
        <w:t>-</w:t>
      </w:r>
      <w:r w:rsidRPr="006159D2">
        <w:rPr>
          <w:rFonts w:cs="Times New Roman"/>
          <w:szCs w:val="24"/>
        </w:rPr>
        <w:t>intensive businesses,</w:t>
      </w:r>
      <w:r w:rsidRPr="006159D2">
        <w:rPr>
          <w:rStyle w:val="FootnoteReference"/>
          <w:rFonts w:cs="Times New Roman"/>
          <w:szCs w:val="24"/>
        </w:rPr>
        <w:footnoteReference w:id="18"/>
      </w:r>
      <w:r w:rsidRPr="006159D2">
        <w:rPr>
          <w:rFonts w:cs="Times New Roman"/>
          <w:szCs w:val="24"/>
        </w:rPr>
        <w:t xml:space="preserve"> </w:t>
      </w:r>
      <w:r w:rsidRPr="006159D2">
        <w:rPr>
          <w:rFonts w:cs="Times New Roman"/>
          <w:szCs w:val="24"/>
        </w:rPr>
        <w:lastRenderedPageBreak/>
        <w:t>property transactions,</w:t>
      </w:r>
      <w:r w:rsidRPr="006159D2">
        <w:rPr>
          <w:rStyle w:val="FootnoteReference"/>
          <w:rFonts w:cs="Times New Roman"/>
          <w:szCs w:val="24"/>
        </w:rPr>
        <w:footnoteReference w:id="19"/>
      </w:r>
      <w:r w:rsidRPr="006159D2">
        <w:rPr>
          <w:rFonts w:cs="Times New Roman"/>
          <w:szCs w:val="24"/>
        </w:rPr>
        <w:t xml:space="preserve"> the sale of art</w:t>
      </w:r>
      <w:r w:rsidR="00E4533C">
        <w:rPr>
          <w:rFonts w:cs="Times New Roman"/>
          <w:szCs w:val="24"/>
        </w:rPr>
        <w:t>,</w:t>
      </w:r>
      <w:r w:rsidRPr="006159D2">
        <w:rPr>
          <w:rStyle w:val="FootnoteReference"/>
          <w:rFonts w:cs="Times New Roman"/>
          <w:szCs w:val="24"/>
        </w:rPr>
        <w:footnoteReference w:id="20"/>
      </w:r>
      <w:r w:rsidRPr="006159D2">
        <w:rPr>
          <w:rFonts w:cs="Times New Roman"/>
          <w:szCs w:val="24"/>
        </w:rPr>
        <w:t xml:space="preserve"> and cash couriers.</w:t>
      </w:r>
      <w:r w:rsidRPr="006159D2">
        <w:rPr>
          <w:rStyle w:val="FootnoteReference"/>
          <w:rFonts w:cs="Times New Roman"/>
          <w:szCs w:val="24"/>
        </w:rPr>
        <w:footnoteReference w:id="21"/>
      </w:r>
      <w:r w:rsidRPr="006159D2">
        <w:rPr>
          <w:rFonts w:cs="Times New Roman"/>
          <w:szCs w:val="24"/>
        </w:rPr>
        <w:t xml:space="preserve"> </w:t>
      </w:r>
      <w:r w:rsidRPr="006159D2">
        <w:rPr>
          <w:rFonts w:cs="Times New Roman"/>
          <w:color w:val="000000"/>
          <w:szCs w:val="24"/>
        </w:rPr>
        <w:t xml:space="preserve">Due to the secretive nature of money laundering, it is </w:t>
      </w:r>
      <w:r w:rsidR="00F569DD">
        <w:rPr>
          <w:rFonts w:cs="Times New Roman"/>
          <w:color w:val="000000"/>
          <w:szCs w:val="24"/>
        </w:rPr>
        <w:t xml:space="preserve">impossible </w:t>
      </w:r>
      <w:r w:rsidRPr="006159D2">
        <w:rPr>
          <w:rFonts w:cs="Times New Roman"/>
          <w:color w:val="000000"/>
          <w:szCs w:val="24"/>
        </w:rPr>
        <w:t xml:space="preserve">to measure </w:t>
      </w:r>
      <w:r w:rsidR="00F569DD">
        <w:rPr>
          <w:rFonts w:cs="Times New Roman"/>
          <w:color w:val="000000"/>
          <w:szCs w:val="24"/>
        </w:rPr>
        <w:t xml:space="preserve">its </w:t>
      </w:r>
      <w:r w:rsidRPr="006159D2">
        <w:rPr>
          <w:rFonts w:cs="Times New Roman"/>
          <w:color w:val="000000"/>
          <w:szCs w:val="24"/>
        </w:rPr>
        <w:t>true extent.</w:t>
      </w:r>
      <w:r w:rsidRPr="006159D2">
        <w:rPr>
          <w:rStyle w:val="FootnoteReference"/>
          <w:rFonts w:cs="Times New Roman"/>
          <w:color w:val="000000"/>
          <w:szCs w:val="24"/>
        </w:rPr>
        <w:footnoteReference w:id="22"/>
      </w:r>
      <w:r w:rsidRPr="006159D2">
        <w:rPr>
          <w:rFonts w:cs="Times New Roman"/>
          <w:color w:val="000000"/>
          <w:szCs w:val="24"/>
        </w:rPr>
        <w:t xml:space="preserve"> </w:t>
      </w:r>
      <w:r w:rsidR="00D73B05">
        <w:rPr>
          <w:rFonts w:cs="Times New Roman"/>
          <w:color w:val="000000"/>
          <w:szCs w:val="24"/>
        </w:rPr>
        <w:t>However, t</w:t>
      </w:r>
      <w:r w:rsidRPr="006159D2">
        <w:rPr>
          <w:rFonts w:cs="Times New Roman"/>
          <w:color w:val="000000"/>
          <w:szCs w:val="24"/>
        </w:rPr>
        <w:t>here are suggestions that money laundering is one of the world’s largest industries</w:t>
      </w:r>
      <w:r w:rsidR="00212BE9">
        <w:rPr>
          <w:rFonts w:cs="Times New Roman"/>
          <w:color w:val="000000"/>
          <w:szCs w:val="24"/>
        </w:rPr>
        <w:t>;</w:t>
      </w:r>
      <w:r w:rsidRPr="006159D2">
        <w:rPr>
          <w:rFonts w:cs="Times New Roman"/>
          <w:color w:val="000000"/>
          <w:szCs w:val="24"/>
        </w:rPr>
        <w:t xml:space="preserve"> </w:t>
      </w:r>
      <w:r w:rsidR="00A64426">
        <w:rPr>
          <w:rFonts w:cs="Times New Roman"/>
          <w:color w:val="000000"/>
          <w:szCs w:val="24"/>
        </w:rPr>
        <w:t>the</w:t>
      </w:r>
      <w:r w:rsidRPr="006159D2">
        <w:rPr>
          <w:rFonts w:cs="Times New Roman"/>
          <w:color w:val="000000"/>
          <w:szCs w:val="24"/>
        </w:rPr>
        <w:t xml:space="preserve"> International Monetary Fund (IMF) </w:t>
      </w:r>
      <w:r w:rsidR="00A64426">
        <w:rPr>
          <w:rFonts w:cs="Times New Roman"/>
          <w:color w:val="000000"/>
          <w:szCs w:val="24"/>
        </w:rPr>
        <w:t>ha</w:t>
      </w:r>
      <w:r w:rsidR="00516C04">
        <w:rPr>
          <w:rFonts w:cs="Times New Roman"/>
          <w:color w:val="000000"/>
          <w:szCs w:val="24"/>
        </w:rPr>
        <w:t>s</w:t>
      </w:r>
      <w:r w:rsidR="00A64426" w:rsidRPr="006159D2">
        <w:rPr>
          <w:rFonts w:cs="Times New Roman"/>
          <w:color w:val="000000"/>
          <w:szCs w:val="24"/>
        </w:rPr>
        <w:t xml:space="preserve"> </w:t>
      </w:r>
      <w:r w:rsidR="00A64426">
        <w:rPr>
          <w:rFonts w:cs="Times New Roman"/>
          <w:color w:val="000000"/>
          <w:szCs w:val="24"/>
        </w:rPr>
        <w:t>estimated</w:t>
      </w:r>
      <w:r w:rsidR="00A64426" w:rsidRPr="006159D2">
        <w:rPr>
          <w:rFonts w:cs="Times New Roman"/>
          <w:color w:val="000000"/>
          <w:szCs w:val="24"/>
        </w:rPr>
        <w:t xml:space="preserve"> </w:t>
      </w:r>
      <w:r w:rsidRPr="006159D2">
        <w:rPr>
          <w:rFonts w:cs="Times New Roman"/>
          <w:color w:val="000000"/>
          <w:szCs w:val="24"/>
        </w:rPr>
        <w:t xml:space="preserve">it </w:t>
      </w:r>
      <w:r w:rsidR="00A64426">
        <w:rPr>
          <w:rFonts w:cs="Times New Roman"/>
          <w:color w:val="000000"/>
          <w:szCs w:val="24"/>
        </w:rPr>
        <w:t>to be</w:t>
      </w:r>
      <w:r w:rsidRPr="006159D2">
        <w:rPr>
          <w:rFonts w:cs="Times New Roman"/>
          <w:color w:val="000000"/>
          <w:szCs w:val="24"/>
        </w:rPr>
        <w:t xml:space="preserve"> equal t</w:t>
      </w:r>
      <w:r w:rsidR="009B5BF0">
        <w:rPr>
          <w:rFonts w:cs="Times New Roman"/>
          <w:color w:val="000000"/>
          <w:szCs w:val="24"/>
        </w:rPr>
        <w:t xml:space="preserve">o </w:t>
      </w:r>
      <w:r w:rsidR="00687A0D">
        <w:rPr>
          <w:rFonts w:cs="Times New Roman"/>
          <w:color w:val="000000"/>
          <w:szCs w:val="24"/>
        </w:rPr>
        <w:t>2-5</w:t>
      </w:r>
      <w:r w:rsidR="00472F68">
        <w:rPr>
          <w:rFonts w:cs="Times New Roman"/>
          <w:color w:val="000000"/>
          <w:szCs w:val="24"/>
        </w:rPr>
        <w:t>%</w:t>
      </w:r>
      <w:r w:rsidRPr="006159D2">
        <w:rPr>
          <w:rFonts w:cs="Times New Roman"/>
          <w:color w:val="000000"/>
          <w:szCs w:val="24"/>
        </w:rPr>
        <w:t xml:space="preserve"> of </w:t>
      </w:r>
      <w:r w:rsidR="00212BE9">
        <w:rPr>
          <w:rFonts w:cs="Times New Roman"/>
          <w:color w:val="000000"/>
          <w:szCs w:val="24"/>
        </w:rPr>
        <w:t xml:space="preserve">the </w:t>
      </w:r>
      <w:r w:rsidRPr="006159D2">
        <w:rPr>
          <w:rFonts w:cs="Times New Roman"/>
          <w:color w:val="000000"/>
          <w:szCs w:val="24"/>
        </w:rPr>
        <w:t>global Gross Domestic Product (GDP).</w:t>
      </w:r>
      <w:r w:rsidRPr="006159D2">
        <w:rPr>
          <w:rStyle w:val="FootnoteReference"/>
          <w:rFonts w:cs="Times New Roman"/>
          <w:color w:val="000000"/>
          <w:szCs w:val="24"/>
        </w:rPr>
        <w:footnoteReference w:id="23"/>
      </w:r>
      <w:r w:rsidRPr="006159D2">
        <w:rPr>
          <w:rFonts w:cs="Times New Roman"/>
          <w:color w:val="000000"/>
          <w:szCs w:val="24"/>
        </w:rPr>
        <w:t xml:space="preserve"> </w:t>
      </w:r>
      <w:r w:rsidR="007655FC">
        <w:rPr>
          <w:rFonts w:cs="Times New Roman"/>
          <w:color w:val="000000"/>
          <w:szCs w:val="24"/>
        </w:rPr>
        <w:t>Based on the IMF estimation,</w:t>
      </w:r>
      <w:r w:rsidRPr="006159D2">
        <w:rPr>
          <w:rFonts w:cs="Times New Roman"/>
          <w:color w:val="000000"/>
          <w:szCs w:val="24"/>
        </w:rPr>
        <w:t xml:space="preserve"> between £44.40billion and £111.01billion</w:t>
      </w:r>
      <w:r w:rsidR="007655FC">
        <w:rPr>
          <w:rFonts w:cs="Times New Roman"/>
          <w:color w:val="000000"/>
          <w:szCs w:val="24"/>
        </w:rPr>
        <w:t xml:space="preserve"> is</w:t>
      </w:r>
      <w:r w:rsidR="00D73B05">
        <w:rPr>
          <w:rFonts w:cs="Times New Roman"/>
          <w:color w:val="000000"/>
          <w:szCs w:val="24"/>
        </w:rPr>
        <w:t xml:space="preserve"> laundered in the UK</w:t>
      </w:r>
      <w:r w:rsidRPr="006159D2">
        <w:rPr>
          <w:rFonts w:cs="Times New Roman"/>
          <w:color w:val="000000"/>
          <w:szCs w:val="24"/>
        </w:rPr>
        <w:t>.</w:t>
      </w:r>
      <w:r w:rsidR="007655FC">
        <w:rPr>
          <w:rStyle w:val="FootnoteReference"/>
          <w:rFonts w:cs="Times New Roman"/>
          <w:color w:val="000000"/>
          <w:szCs w:val="24"/>
        </w:rPr>
        <w:footnoteReference w:id="24"/>
      </w:r>
      <w:r w:rsidRPr="006159D2">
        <w:rPr>
          <w:rFonts w:cs="Times New Roman"/>
          <w:color w:val="000000"/>
          <w:szCs w:val="24"/>
        </w:rPr>
        <w:t xml:space="preserve"> The amount of money involved is therefore of epic proportions and requires an effective monitoring and prevention strategy.</w:t>
      </w:r>
    </w:p>
    <w:p w14:paraId="665A2033" w14:textId="081199EE" w:rsidR="00745C6A" w:rsidRPr="006159D2" w:rsidRDefault="00AD5D51" w:rsidP="00673D5B">
      <w:pPr>
        <w:spacing w:before="240" w:after="0" w:line="480" w:lineRule="auto"/>
        <w:rPr>
          <w:rFonts w:cs="Times New Roman"/>
          <w:szCs w:val="24"/>
        </w:rPr>
      </w:pPr>
      <w:r w:rsidRPr="006818A2">
        <w:rPr>
          <w:rFonts w:cs="Times New Roman"/>
          <w:szCs w:val="24"/>
        </w:rPr>
        <w:t>The global AML regime is based on UN Conventions,</w:t>
      </w:r>
      <w:r w:rsidR="00292A39" w:rsidRPr="006818A2">
        <w:rPr>
          <w:rStyle w:val="FootnoteReference"/>
          <w:rFonts w:cs="Times New Roman"/>
          <w:szCs w:val="24"/>
        </w:rPr>
        <w:footnoteReference w:id="25"/>
      </w:r>
      <w:r w:rsidRPr="006818A2">
        <w:rPr>
          <w:rFonts w:cs="Times New Roman"/>
          <w:szCs w:val="24"/>
        </w:rPr>
        <w:t xml:space="preserve"> the FATF Recommendations,</w:t>
      </w:r>
      <w:r w:rsidRPr="006818A2">
        <w:rPr>
          <w:rStyle w:val="FootnoteReference"/>
          <w:rFonts w:cs="Times New Roman"/>
          <w:szCs w:val="24"/>
        </w:rPr>
        <w:footnoteReference w:id="26"/>
      </w:r>
      <w:r w:rsidRPr="006818A2">
        <w:rPr>
          <w:rFonts w:cs="Times New Roman"/>
          <w:szCs w:val="24"/>
        </w:rPr>
        <w:t xml:space="preserve"> measures introduced by the EU </w:t>
      </w:r>
      <w:r w:rsidRPr="006818A2">
        <w:rPr>
          <w:rStyle w:val="FootnoteReference"/>
          <w:rFonts w:cs="Times New Roman"/>
          <w:szCs w:val="24"/>
        </w:rPr>
        <w:footnoteReference w:id="27"/>
      </w:r>
      <w:r w:rsidRPr="006818A2">
        <w:rPr>
          <w:rFonts w:cs="Times New Roman"/>
          <w:szCs w:val="24"/>
        </w:rPr>
        <w:t xml:space="preserve"> and other international best practices.</w:t>
      </w:r>
      <w:r w:rsidRPr="006818A2">
        <w:rPr>
          <w:rStyle w:val="FootnoteReference"/>
          <w:rFonts w:cs="Times New Roman"/>
          <w:szCs w:val="24"/>
        </w:rPr>
        <w:footnoteReference w:id="28"/>
      </w:r>
      <w:r w:rsidRPr="006818A2">
        <w:rPr>
          <w:rFonts w:cs="Times New Roman"/>
          <w:szCs w:val="24"/>
        </w:rPr>
        <w:t xml:space="preserve"> These measures were initially aimed at tackling the threat presented by drug money laundering, serious criminal </w:t>
      </w:r>
      <w:r w:rsidRPr="006818A2">
        <w:rPr>
          <w:rFonts w:cs="Times New Roman"/>
          <w:szCs w:val="24"/>
        </w:rPr>
        <w:lastRenderedPageBreak/>
        <w:t>offences and terrorism financing.</w:t>
      </w:r>
      <w:r w:rsidRPr="006818A2">
        <w:rPr>
          <w:rStyle w:val="FootnoteReference"/>
          <w:rFonts w:cs="Times New Roman"/>
          <w:szCs w:val="24"/>
        </w:rPr>
        <w:footnoteReference w:id="29"/>
      </w:r>
      <w:r w:rsidR="00292A39" w:rsidRPr="006818A2">
        <w:rPr>
          <w:rFonts w:cs="Times New Roman"/>
          <w:szCs w:val="24"/>
        </w:rPr>
        <w:t xml:space="preserve"> An integral part of the global AML regime has been the use of a series of preventative measures that are based on reporting entities </w:t>
      </w:r>
      <w:r w:rsidR="00595859" w:rsidRPr="00595859">
        <w:rPr>
          <w:rFonts w:cs="Times New Roman"/>
          <w:szCs w:val="24"/>
        </w:rPr>
        <w:t>submitting SARs</w:t>
      </w:r>
      <w:r w:rsidR="00292A39" w:rsidRPr="006818A2">
        <w:rPr>
          <w:rFonts w:cs="Times New Roman"/>
          <w:szCs w:val="24"/>
        </w:rPr>
        <w:t xml:space="preserve"> to </w:t>
      </w:r>
      <w:r w:rsidR="00907926">
        <w:rPr>
          <w:rFonts w:cs="Times New Roman"/>
          <w:szCs w:val="24"/>
        </w:rPr>
        <w:t>the</w:t>
      </w:r>
      <w:r w:rsidR="00292A39" w:rsidRPr="006818A2">
        <w:rPr>
          <w:rFonts w:cs="Times New Roman"/>
          <w:szCs w:val="24"/>
        </w:rPr>
        <w:t xml:space="preserve"> </w:t>
      </w:r>
      <w:r w:rsidR="00C11B17">
        <w:rPr>
          <w:rFonts w:cs="Times New Roman"/>
          <w:szCs w:val="24"/>
        </w:rPr>
        <w:t>F</w:t>
      </w:r>
      <w:r w:rsidR="00C11B17" w:rsidRPr="006159D2">
        <w:rPr>
          <w:rFonts w:cs="Times New Roman"/>
          <w:szCs w:val="24"/>
        </w:rPr>
        <w:t xml:space="preserve">inancial </w:t>
      </w:r>
      <w:r w:rsidR="00C11B17">
        <w:rPr>
          <w:rFonts w:cs="Times New Roman"/>
          <w:szCs w:val="24"/>
        </w:rPr>
        <w:t>I</w:t>
      </w:r>
      <w:r w:rsidR="00C11B17" w:rsidRPr="006159D2">
        <w:rPr>
          <w:rFonts w:cs="Times New Roman"/>
          <w:szCs w:val="24"/>
        </w:rPr>
        <w:t xml:space="preserve">ntelligence </w:t>
      </w:r>
      <w:r w:rsidR="00C11B17">
        <w:rPr>
          <w:rFonts w:cs="Times New Roman"/>
          <w:szCs w:val="24"/>
        </w:rPr>
        <w:t>U</w:t>
      </w:r>
      <w:r w:rsidR="00C11B17" w:rsidRPr="006159D2">
        <w:rPr>
          <w:rFonts w:cs="Times New Roman"/>
          <w:szCs w:val="24"/>
        </w:rPr>
        <w:t>nit</w:t>
      </w:r>
      <w:r w:rsidR="00292A39" w:rsidRPr="006818A2">
        <w:rPr>
          <w:rFonts w:cs="Times New Roman"/>
          <w:szCs w:val="24"/>
        </w:rPr>
        <w:t xml:space="preserve">. </w:t>
      </w:r>
      <w:r w:rsidR="00745C6A" w:rsidRPr="006159D2">
        <w:rPr>
          <w:rFonts w:cs="Times New Roman"/>
          <w:szCs w:val="24"/>
        </w:rPr>
        <w:t xml:space="preserve">In response to money laundering, the UK has implemented a robust </w:t>
      </w:r>
      <w:r w:rsidR="000655B2">
        <w:rPr>
          <w:rFonts w:cs="Times New Roman"/>
          <w:szCs w:val="24"/>
        </w:rPr>
        <w:t xml:space="preserve">AML </w:t>
      </w:r>
      <w:r w:rsidR="00745C6A" w:rsidRPr="006159D2">
        <w:rPr>
          <w:rFonts w:cs="Times New Roman"/>
          <w:szCs w:val="24"/>
        </w:rPr>
        <w:t xml:space="preserve">legislative </w:t>
      </w:r>
      <w:r w:rsidR="000655B2">
        <w:rPr>
          <w:rFonts w:cs="Times New Roman"/>
          <w:szCs w:val="24"/>
        </w:rPr>
        <w:t>framework</w:t>
      </w:r>
      <w:r w:rsidR="004B7D94">
        <w:rPr>
          <w:rFonts w:cs="Times New Roman"/>
          <w:szCs w:val="24"/>
        </w:rPr>
        <w:t xml:space="preserve"> </w:t>
      </w:r>
      <w:r w:rsidR="00745C6A" w:rsidRPr="006159D2">
        <w:rPr>
          <w:rFonts w:cs="Times New Roman"/>
          <w:szCs w:val="24"/>
        </w:rPr>
        <w:t xml:space="preserve">and enforcement strategy. The legislative measures include </w:t>
      </w:r>
      <w:r w:rsidR="00C143BE">
        <w:rPr>
          <w:rFonts w:cs="Times New Roman"/>
          <w:szCs w:val="24"/>
        </w:rPr>
        <w:t xml:space="preserve">the </w:t>
      </w:r>
      <w:r w:rsidR="00C143BE">
        <w:rPr>
          <w:rFonts w:cs="Times New Roman"/>
          <w:szCs w:val="24"/>
          <w:shd w:val="clear" w:color="auto" w:fill="FFFFFF"/>
        </w:rPr>
        <w:t>POCA</w:t>
      </w:r>
      <w:r w:rsidR="00745C6A" w:rsidRPr="006159D2">
        <w:rPr>
          <w:rFonts w:cs="Times New Roman"/>
          <w:szCs w:val="24"/>
          <w:shd w:val="clear" w:color="auto" w:fill="FFFFFF"/>
        </w:rPr>
        <w:t xml:space="preserve">, </w:t>
      </w:r>
      <w:r w:rsidR="00A21E14">
        <w:rPr>
          <w:rFonts w:cs="Times New Roman"/>
          <w:szCs w:val="24"/>
          <w:shd w:val="clear" w:color="auto" w:fill="FFFFFF"/>
        </w:rPr>
        <w:t>TACT</w:t>
      </w:r>
      <w:r w:rsidR="00745C6A" w:rsidRPr="006159D2">
        <w:rPr>
          <w:rFonts w:cs="Times New Roman"/>
          <w:szCs w:val="24"/>
          <w:shd w:val="clear" w:color="auto" w:fill="FFFFFF"/>
        </w:rPr>
        <w:t xml:space="preserve">, the Criminal Finances Act 2017 and the Sanctions and Anti-Money Laundering Act 2018. </w:t>
      </w:r>
      <w:r w:rsidR="00745C6A" w:rsidRPr="006159D2">
        <w:rPr>
          <w:rFonts w:eastAsia="Times New Roman" w:cs="Times New Roman"/>
          <w:szCs w:val="24"/>
          <w:lang w:eastAsia="en-GB"/>
        </w:rPr>
        <w:t>These legislative measures are comprehensive and</w:t>
      </w:r>
      <w:r w:rsidR="000710B3">
        <w:rPr>
          <w:rFonts w:eastAsia="Times New Roman" w:cs="Times New Roman"/>
          <w:szCs w:val="24"/>
          <w:lang w:eastAsia="en-GB"/>
        </w:rPr>
        <w:t xml:space="preserve"> </w:t>
      </w:r>
      <w:r w:rsidR="00745C6A" w:rsidRPr="006159D2">
        <w:rPr>
          <w:rFonts w:eastAsia="Times New Roman" w:cs="Times New Roman"/>
          <w:szCs w:val="24"/>
          <w:lang w:eastAsia="en-GB"/>
        </w:rPr>
        <w:t>exceed the international standards imposed by the UN, the</w:t>
      </w:r>
      <w:r w:rsidR="005E2DE8">
        <w:rPr>
          <w:rFonts w:eastAsia="Times New Roman" w:cs="Times New Roman"/>
          <w:szCs w:val="24"/>
          <w:lang w:eastAsia="en-GB"/>
        </w:rPr>
        <w:t xml:space="preserve"> </w:t>
      </w:r>
      <w:r w:rsidR="00745C6A" w:rsidRPr="006159D2">
        <w:rPr>
          <w:rFonts w:eastAsia="Times New Roman" w:cs="Times New Roman"/>
          <w:szCs w:val="24"/>
          <w:lang w:eastAsia="en-GB"/>
        </w:rPr>
        <w:t>EU and the FATF</w:t>
      </w:r>
      <w:r w:rsidR="00745C6A" w:rsidRPr="006159D2">
        <w:rPr>
          <w:rFonts w:cs="Times New Roman"/>
          <w:szCs w:val="24"/>
        </w:rPr>
        <w:t>.</w:t>
      </w:r>
      <w:r w:rsidR="00745C6A" w:rsidRPr="006159D2">
        <w:rPr>
          <w:rStyle w:val="FootnoteReference"/>
          <w:rFonts w:cs="Times New Roman"/>
          <w:szCs w:val="24"/>
        </w:rPr>
        <w:footnoteReference w:id="30"/>
      </w:r>
    </w:p>
    <w:p w14:paraId="4D3DA238" w14:textId="44A04C01" w:rsidR="00C60E0B" w:rsidRPr="006159D2" w:rsidRDefault="000D5886" w:rsidP="00673D5B">
      <w:pPr>
        <w:spacing w:before="240" w:after="0" w:line="480" w:lineRule="auto"/>
        <w:rPr>
          <w:rFonts w:cs="Times New Roman"/>
          <w:szCs w:val="24"/>
        </w:rPr>
      </w:pPr>
      <w:r w:rsidRPr="006159D2">
        <w:rPr>
          <w:rFonts w:cs="Times New Roman"/>
          <w:szCs w:val="24"/>
        </w:rPr>
        <w:t>The UK has required financial institutions</w:t>
      </w:r>
      <w:r w:rsidR="00F47F5B">
        <w:rPr>
          <w:rFonts w:cs="Times New Roman"/>
          <w:szCs w:val="24"/>
        </w:rPr>
        <w:t xml:space="preserve"> </w:t>
      </w:r>
      <w:r w:rsidR="00F37E4F">
        <w:rPr>
          <w:rFonts w:cs="Times New Roman"/>
          <w:szCs w:val="24"/>
        </w:rPr>
        <w:t xml:space="preserve">and </w:t>
      </w:r>
      <w:r w:rsidRPr="006159D2">
        <w:rPr>
          <w:rFonts w:cs="Times New Roman"/>
          <w:szCs w:val="24"/>
        </w:rPr>
        <w:t>non-financial business</w:t>
      </w:r>
      <w:r w:rsidR="007A626B">
        <w:rPr>
          <w:rFonts w:cs="Times New Roman"/>
          <w:szCs w:val="24"/>
        </w:rPr>
        <w:t>es</w:t>
      </w:r>
      <w:r w:rsidRPr="006159D2">
        <w:rPr>
          <w:rFonts w:cs="Times New Roman"/>
          <w:szCs w:val="24"/>
        </w:rPr>
        <w:t xml:space="preserve"> and professions to implement preventative measures.</w:t>
      </w:r>
      <w:r w:rsidRPr="006159D2">
        <w:rPr>
          <w:rStyle w:val="FootnoteReference"/>
          <w:rFonts w:cs="Times New Roman"/>
          <w:szCs w:val="24"/>
        </w:rPr>
        <w:footnoteReference w:id="31"/>
      </w:r>
      <w:r w:rsidRPr="006159D2">
        <w:rPr>
          <w:rFonts w:cs="Times New Roman"/>
          <w:szCs w:val="24"/>
        </w:rPr>
        <w:t xml:space="preserve"> However, the UK has not included</w:t>
      </w:r>
      <w:r w:rsidR="00472187">
        <w:rPr>
          <w:rFonts w:cs="Times New Roman"/>
          <w:szCs w:val="24"/>
        </w:rPr>
        <w:t xml:space="preserve"> the education sector</w:t>
      </w:r>
      <w:r w:rsidRPr="006159D2">
        <w:rPr>
          <w:rFonts w:cs="Times New Roman"/>
          <w:szCs w:val="24"/>
        </w:rPr>
        <w:t>.</w:t>
      </w:r>
      <w:r w:rsidR="000E2248">
        <w:rPr>
          <w:rStyle w:val="FootnoteReference"/>
          <w:rFonts w:cs="Times New Roman"/>
          <w:szCs w:val="24"/>
        </w:rPr>
        <w:footnoteReference w:id="32"/>
      </w:r>
      <w:r w:rsidRPr="006159D2">
        <w:rPr>
          <w:rFonts w:cs="Times New Roman"/>
          <w:szCs w:val="24"/>
        </w:rPr>
        <w:t xml:space="preserve"> Indeed</w:t>
      </w:r>
      <w:r w:rsidR="00745C6A" w:rsidRPr="006159D2">
        <w:rPr>
          <w:rFonts w:cs="Times New Roman"/>
          <w:szCs w:val="24"/>
        </w:rPr>
        <w:t xml:space="preserve">, </w:t>
      </w:r>
      <w:r w:rsidR="00435A38">
        <w:rPr>
          <w:rFonts w:cs="Times New Roman"/>
          <w:szCs w:val="24"/>
        </w:rPr>
        <w:t>several</w:t>
      </w:r>
      <w:r w:rsidR="00745C6A" w:rsidRPr="006159D2">
        <w:rPr>
          <w:rFonts w:cs="Times New Roman"/>
          <w:szCs w:val="24"/>
        </w:rPr>
        <w:t xml:space="preserve"> sectors in the UK have been neglected</w:t>
      </w:r>
      <w:r w:rsidR="00435A38">
        <w:rPr>
          <w:rFonts w:cs="Times New Roman"/>
          <w:szCs w:val="24"/>
        </w:rPr>
        <w:t>, though</w:t>
      </w:r>
      <w:r w:rsidR="00745C6A" w:rsidRPr="006159D2">
        <w:rPr>
          <w:rFonts w:cs="Times New Roman"/>
          <w:szCs w:val="24"/>
        </w:rPr>
        <w:t xml:space="preserve"> deemed high risk</w:t>
      </w:r>
      <w:r w:rsidR="007D1C40">
        <w:rPr>
          <w:rFonts w:cs="Times New Roman"/>
          <w:szCs w:val="24"/>
        </w:rPr>
        <w:t xml:space="preserve">; </w:t>
      </w:r>
      <w:r w:rsidR="00DD37C0">
        <w:rPr>
          <w:rFonts w:cs="Times New Roman"/>
          <w:szCs w:val="24"/>
        </w:rPr>
        <w:t>a</w:t>
      </w:r>
      <w:r w:rsidR="00745C6A" w:rsidRPr="006159D2">
        <w:rPr>
          <w:rFonts w:cs="Times New Roman"/>
          <w:szCs w:val="24"/>
        </w:rPr>
        <w:t>s noted by the Home Office</w:t>
      </w:r>
      <w:r w:rsidR="007D1C40">
        <w:rPr>
          <w:rFonts w:cs="Times New Roman"/>
          <w:szCs w:val="24"/>
        </w:rPr>
        <w:t>,</w:t>
      </w:r>
      <w:r w:rsidR="00745C6A" w:rsidRPr="006159D2">
        <w:rPr>
          <w:rFonts w:cs="Times New Roman"/>
          <w:szCs w:val="24"/>
        </w:rPr>
        <w:t xml:space="preserve"> </w:t>
      </w:r>
      <w:r w:rsidR="009857A1">
        <w:rPr>
          <w:rFonts w:cs="Times New Roman"/>
          <w:szCs w:val="24"/>
        </w:rPr>
        <w:t>“</w:t>
      </w:r>
      <w:r w:rsidR="00745C6A" w:rsidRPr="006159D2">
        <w:rPr>
          <w:rFonts w:cs="Times New Roman"/>
          <w:szCs w:val="24"/>
        </w:rPr>
        <w:t>whilst the sector vulnerabilities for some types of fraud and money laundering are well understood, for others the evidence base is weak</w:t>
      </w:r>
      <w:r w:rsidR="009857A1">
        <w:rPr>
          <w:rFonts w:cs="Times New Roman"/>
          <w:szCs w:val="24"/>
        </w:rPr>
        <w:t>”</w:t>
      </w:r>
      <w:r w:rsidR="00745C6A" w:rsidRPr="006159D2">
        <w:rPr>
          <w:rFonts w:cs="Times New Roman"/>
          <w:szCs w:val="24"/>
        </w:rPr>
        <w:t>.</w:t>
      </w:r>
      <w:r w:rsidR="00745C6A" w:rsidRPr="006159D2">
        <w:rPr>
          <w:rStyle w:val="FootnoteReference"/>
          <w:rFonts w:cs="Times New Roman"/>
          <w:szCs w:val="24"/>
        </w:rPr>
        <w:footnoteReference w:id="33"/>
      </w:r>
      <w:r w:rsidR="00745C6A" w:rsidRPr="006159D2">
        <w:rPr>
          <w:rFonts w:cs="Times New Roman"/>
          <w:szCs w:val="24"/>
        </w:rPr>
        <w:t xml:space="preserve"> </w:t>
      </w:r>
      <w:r w:rsidR="00675E82">
        <w:rPr>
          <w:rFonts w:cs="Times New Roman"/>
          <w:szCs w:val="24"/>
        </w:rPr>
        <w:t>T</w:t>
      </w:r>
      <w:r w:rsidR="00745C6A" w:rsidRPr="006159D2">
        <w:rPr>
          <w:rFonts w:cs="Times New Roman"/>
          <w:szCs w:val="24"/>
        </w:rPr>
        <w:t>he</w:t>
      </w:r>
      <w:r w:rsidR="00A603CC">
        <w:rPr>
          <w:rFonts w:cs="Times New Roman"/>
          <w:szCs w:val="24"/>
        </w:rPr>
        <w:t>re is limited</w:t>
      </w:r>
      <w:r w:rsidR="00745C6A" w:rsidRPr="006159D2">
        <w:rPr>
          <w:rFonts w:cs="Times New Roman"/>
          <w:szCs w:val="24"/>
        </w:rPr>
        <w:t xml:space="preserve"> </w:t>
      </w:r>
      <w:r w:rsidR="00E83F4E">
        <w:rPr>
          <w:rFonts w:cs="Times New Roman"/>
          <w:szCs w:val="24"/>
        </w:rPr>
        <w:t xml:space="preserve">understanding </w:t>
      </w:r>
      <w:r w:rsidR="00A603CC">
        <w:rPr>
          <w:rFonts w:cs="Times New Roman"/>
          <w:szCs w:val="24"/>
        </w:rPr>
        <w:t xml:space="preserve">of the money laundering and terrorism financing vulnerabilities in </w:t>
      </w:r>
      <w:r w:rsidR="00472187">
        <w:rPr>
          <w:rFonts w:cs="Times New Roman"/>
          <w:szCs w:val="24"/>
        </w:rPr>
        <w:t xml:space="preserve">the </w:t>
      </w:r>
      <w:r w:rsidR="00A603CC">
        <w:rPr>
          <w:rFonts w:cs="Times New Roman"/>
          <w:szCs w:val="24"/>
        </w:rPr>
        <w:t>education</w:t>
      </w:r>
      <w:r w:rsidR="00472187">
        <w:rPr>
          <w:rFonts w:cs="Times New Roman"/>
          <w:szCs w:val="24"/>
        </w:rPr>
        <w:t xml:space="preserve"> sector, particularly the risks faced by HEIs</w:t>
      </w:r>
      <w:r w:rsidR="00745C6A" w:rsidRPr="006159D2">
        <w:rPr>
          <w:rFonts w:cs="Times New Roman"/>
          <w:szCs w:val="24"/>
        </w:rPr>
        <w:t xml:space="preserve">. </w:t>
      </w:r>
      <w:r w:rsidR="00675E82">
        <w:rPr>
          <w:rFonts w:cs="Times New Roman"/>
          <w:szCs w:val="24"/>
        </w:rPr>
        <w:t>Therefore, t</w:t>
      </w:r>
      <w:r w:rsidR="00745C6A" w:rsidRPr="006159D2">
        <w:rPr>
          <w:rFonts w:cs="Times New Roman"/>
          <w:szCs w:val="24"/>
        </w:rPr>
        <w:t xml:space="preserve">his </w:t>
      </w:r>
      <w:r w:rsidR="00C60E0B" w:rsidRPr="006159D2">
        <w:rPr>
          <w:rFonts w:cs="Times New Roman"/>
          <w:szCs w:val="24"/>
        </w:rPr>
        <w:t xml:space="preserve">paper presents </w:t>
      </w:r>
      <w:r w:rsidR="00745C6A" w:rsidRPr="006159D2">
        <w:rPr>
          <w:rFonts w:cs="Times New Roman"/>
          <w:szCs w:val="24"/>
        </w:rPr>
        <w:t xml:space="preserve">a more accurate picture of the threat posed by money laundering to universities and their students, as well as the response of </w:t>
      </w:r>
      <w:r w:rsidR="00472187">
        <w:rPr>
          <w:rFonts w:cs="Times New Roman"/>
          <w:szCs w:val="24"/>
        </w:rPr>
        <w:t>HEIs</w:t>
      </w:r>
      <w:r w:rsidR="00472187" w:rsidRPr="006159D2">
        <w:rPr>
          <w:rFonts w:cs="Times New Roman"/>
          <w:szCs w:val="24"/>
        </w:rPr>
        <w:t xml:space="preserve"> </w:t>
      </w:r>
      <w:r w:rsidR="00745C6A" w:rsidRPr="006159D2">
        <w:rPr>
          <w:rFonts w:cs="Times New Roman"/>
          <w:szCs w:val="24"/>
        </w:rPr>
        <w:t>towards money laundering risks.</w:t>
      </w:r>
    </w:p>
    <w:p w14:paraId="2686B04B" w14:textId="51FE936B" w:rsidR="002F1EE9" w:rsidRDefault="00C60E0B" w:rsidP="00673D5B">
      <w:pPr>
        <w:spacing w:before="240" w:after="0" w:line="480" w:lineRule="auto"/>
        <w:rPr>
          <w:rFonts w:eastAsia="Tahoma" w:cs="Times New Roman"/>
          <w:kern w:val="24"/>
          <w:szCs w:val="24"/>
          <w:lang w:val="en-US" w:eastAsia="en-GB"/>
        </w:rPr>
      </w:pPr>
      <w:r w:rsidRPr="006159D2">
        <w:rPr>
          <w:rFonts w:cs="Times New Roman"/>
          <w:szCs w:val="24"/>
        </w:rPr>
        <w:t>The threat of money laundering to students was highlighted by the NCA wh</w:t>
      </w:r>
      <w:r w:rsidR="007A626B">
        <w:rPr>
          <w:rFonts w:cs="Times New Roman"/>
          <w:szCs w:val="24"/>
        </w:rPr>
        <w:t>ich</w:t>
      </w:r>
      <w:r w:rsidRPr="006159D2">
        <w:rPr>
          <w:rFonts w:cs="Times New Roman"/>
          <w:szCs w:val="24"/>
        </w:rPr>
        <w:t xml:space="preserve"> stated that </w:t>
      </w:r>
      <w:r w:rsidR="009857A1">
        <w:rPr>
          <w:rFonts w:cs="Times New Roman"/>
          <w:szCs w:val="24"/>
        </w:rPr>
        <w:t>“</w:t>
      </w:r>
      <w:r w:rsidRPr="006159D2">
        <w:rPr>
          <w:rFonts w:cs="Times New Roman"/>
          <w:szCs w:val="24"/>
        </w:rPr>
        <w:t xml:space="preserve">evidence from money laundering prosecutions in the UK has shown that … cash is frequently </w:t>
      </w:r>
      <w:r w:rsidRPr="006159D2">
        <w:rPr>
          <w:rFonts w:cs="Times New Roman"/>
          <w:szCs w:val="24"/>
        </w:rPr>
        <w:lastRenderedPageBreak/>
        <w:t xml:space="preserve">deposited into </w:t>
      </w:r>
      <w:r w:rsidR="009857A1">
        <w:rPr>
          <w:rFonts w:cs="Times New Roman"/>
          <w:szCs w:val="24"/>
        </w:rPr>
        <w:t>‘</w:t>
      </w:r>
      <w:r w:rsidRPr="006159D2">
        <w:rPr>
          <w:rFonts w:cs="Times New Roman"/>
          <w:szCs w:val="24"/>
        </w:rPr>
        <w:t>mule accounts</w:t>
      </w:r>
      <w:r w:rsidR="009857A1">
        <w:rPr>
          <w:rFonts w:cs="Times New Roman"/>
          <w:szCs w:val="24"/>
        </w:rPr>
        <w:t>’</w:t>
      </w:r>
      <w:r w:rsidRPr="006159D2">
        <w:rPr>
          <w:rFonts w:cs="Times New Roman"/>
          <w:szCs w:val="24"/>
        </w:rPr>
        <w:t xml:space="preserve"> held by … students</w:t>
      </w:r>
      <w:r w:rsidR="009857A1">
        <w:rPr>
          <w:rFonts w:cs="Times New Roman"/>
          <w:szCs w:val="24"/>
        </w:rPr>
        <w:t>”</w:t>
      </w:r>
      <w:r w:rsidRPr="006159D2">
        <w:rPr>
          <w:rFonts w:cs="Times New Roman"/>
          <w:szCs w:val="24"/>
        </w:rPr>
        <w:t>.</w:t>
      </w:r>
      <w:r w:rsidRPr="006159D2">
        <w:rPr>
          <w:rStyle w:val="FootnoteReference"/>
          <w:rFonts w:cs="Times New Roman"/>
          <w:szCs w:val="24"/>
        </w:rPr>
        <w:footnoteReference w:id="34"/>
      </w:r>
      <w:r w:rsidRPr="006159D2">
        <w:rPr>
          <w:rFonts w:cs="Times New Roman"/>
          <w:szCs w:val="24"/>
        </w:rPr>
        <w:t xml:space="preserve"> </w:t>
      </w:r>
      <w:r w:rsidR="00832828">
        <w:rPr>
          <w:rFonts w:cs="Times New Roman"/>
          <w:szCs w:val="24"/>
        </w:rPr>
        <w:t>O</w:t>
      </w:r>
      <w:r w:rsidRPr="006159D2">
        <w:rPr>
          <w:rFonts w:cs="Times New Roman"/>
          <w:szCs w:val="24"/>
        </w:rPr>
        <w:t>ne of the most frequently used methods of money laundering in the UK is the use of money mules.</w:t>
      </w:r>
      <w:r w:rsidRPr="006159D2">
        <w:rPr>
          <w:rStyle w:val="FootnoteReference"/>
          <w:rFonts w:cs="Times New Roman"/>
          <w:szCs w:val="24"/>
        </w:rPr>
        <w:footnoteReference w:id="35"/>
      </w:r>
      <w:r w:rsidR="00BA2DBC">
        <w:rPr>
          <w:rFonts w:cs="Times New Roman"/>
          <w:szCs w:val="24"/>
        </w:rPr>
        <w:t xml:space="preserve"> A </w:t>
      </w:r>
      <w:r w:rsidR="00BA2DBC" w:rsidRPr="00BD3E4D">
        <w:t>money mule is an individual who allows their bank account to be used as a conduit for the proceeds of crime</w:t>
      </w:r>
      <w:r w:rsidR="00402C00">
        <w:t>;</w:t>
      </w:r>
      <w:r w:rsidR="00BA2DBC">
        <w:rPr>
          <w:rStyle w:val="FootnoteReference"/>
        </w:rPr>
        <w:footnoteReference w:id="36"/>
      </w:r>
      <w:r w:rsidR="00BA2DBC" w:rsidRPr="00BD3E4D">
        <w:t xml:space="preserve"> </w:t>
      </w:r>
      <w:r w:rsidR="00402C00">
        <w:t>m</w:t>
      </w:r>
      <w:r w:rsidR="00BA2DBC" w:rsidRPr="00BD3E4D">
        <w:t xml:space="preserve">oney is transferred into </w:t>
      </w:r>
      <w:r w:rsidR="00402C00">
        <w:t>their</w:t>
      </w:r>
      <w:r w:rsidR="00BA2DBC" w:rsidRPr="00BD3E4D">
        <w:t xml:space="preserve"> account, and then transferred out again minus a commission, which helps obscure the origins of the money, distancing it from its criminal source. The </w:t>
      </w:r>
      <w:r w:rsidR="00402C00">
        <w:t>complicity</w:t>
      </w:r>
      <w:r w:rsidR="00BA2DBC" w:rsidRPr="00BD3E4D">
        <w:t xml:space="preserve"> of a money mule </w:t>
      </w:r>
      <w:r w:rsidR="00BA2DBC">
        <w:t>varies</w:t>
      </w:r>
      <w:r w:rsidR="00BA2DBC" w:rsidRPr="00BD3E4D">
        <w:t xml:space="preserve"> depending upon the arrangement and the financial literacy of the individual</w:t>
      </w:r>
      <w:r w:rsidR="00C022BE">
        <w:t>.</w:t>
      </w:r>
      <w:r w:rsidR="00BA2DBC" w:rsidRPr="00BD3E4D">
        <w:t xml:space="preserve"> EUROPOL recognise that money mules are often unaware they are taking part in crime</w:t>
      </w:r>
      <w:r w:rsidR="00402C00">
        <w:t>,</w:t>
      </w:r>
      <w:r w:rsidR="00BA2DBC">
        <w:t xml:space="preserve"> having </w:t>
      </w:r>
      <w:r w:rsidR="00BA2DBC" w:rsidRPr="00BD3E4D">
        <w:t>been duped by a fake job offer or a romance scam.</w:t>
      </w:r>
      <w:r w:rsidR="00BA2DBC" w:rsidRPr="00BD3E4D">
        <w:rPr>
          <w:vertAlign w:val="superscript"/>
        </w:rPr>
        <w:footnoteReference w:id="37"/>
      </w:r>
      <w:r w:rsidR="00BA2DBC" w:rsidRPr="00BD3E4D">
        <w:t xml:space="preserve"> Both EUROPOL and the NCA identify young people as the most likely to become money mules</w:t>
      </w:r>
      <w:r w:rsidR="00BA2DBC">
        <w:t>.</w:t>
      </w:r>
      <w:r w:rsidR="00BA2DBC" w:rsidRPr="00BD3E4D">
        <w:rPr>
          <w:vertAlign w:val="superscript"/>
        </w:rPr>
        <w:footnoteReference w:id="38"/>
      </w:r>
      <w:r w:rsidR="003977FA">
        <w:t xml:space="preserve"> </w:t>
      </w:r>
      <w:proofErr w:type="spellStart"/>
      <w:r w:rsidRPr="006159D2">
        <w:rPr>
          <w:rFonts w:cs="Times New Roman"/>
          <w:szCs w:val="24"/>
        </w:rPr>
        <w:t>C</w:t>
      </w:r>
      <w:r w:rsidR="00A05083">
        <w:rPr>
          <w:rFonts w:cs="Times New Roman"/>
          <w:szCs w:val="24"/>
        </w:rPr>
        <w:t>ifas</w:t>
      </w:r>
      <w:proofErr w:type="spellEnd"/>
      <w:r w:rsidR="00A05083">
        <w:rPr>
          <w:rFonts w:cs="Times New Roman"/>
          <w:szCs w:val="24"/>
        </w:rPr>
        <w:t xml:space="preserve"> </w:t>
      </w:r>
      <w:r w:rsidRPr="006159D2">
        <w:rPr>
          <w:rFonts w:cs="Times New Roman"/>
          <w:szCs w:val="24"/>
        </w:rPr>
        <w:t>suggested that there has been a 26</w:t>
      </w:r>
      <w:r w:rsidR="00472F68">
        <w:rPr>
          <w:rFonts w:cs="Times New Roman"/>
          <w:szCs w:val="24"/>
        </w:rPr>
        <w:t xml:space="preserve">% </w:t>
      </w:r>
      <w:r w:rsidRPr="006159D2">
        <w:rPr>
          <w:rFonts w:cs="Times New Roman"/>
          <w:szCs w:val="24"/>
        </w:rPr>
        <w:t xml:space="preserve">increase in the number of </w:t>
      </w:r>
      <w:r w:rsidR="00435A38">
        <w:rPr>
          <w:rFonts w:cs="Times New Roman"/>
          <w:szCs w:val="24"/>
        </w:rPr>
        <w:t>21-year-olds</w:t>
      </w:r>
      <w:r w:rsidRPr="006159D2">
        <w:rPr>
          <w:rFonts w:cs="Times New Roman"/>
          <w:szCs w:val="24"/>
        </w:rPr>
        <w:t xml:space="preserve"> </w:t>
      </w:r>
      <w:r w:rsidR="009C1B1F">
        <w:rPr>
          <w:rFonts w:cs="Times New Roman"/>
          <w:szCs w:val="24"/>
        </w:rPr>
        <w:t xml:space="preserve">(40,139 in 2018) </w:t>
      </w:r>
      <w:r w:rsidRPr="006159D2">
        <w:rPr>
          <w:rFonts w:cs="Times New Roman"/>
          <w:szCs w:val="24"/>
        </w:rPr>
        <w:t>who were acting as money mules</w:t>
      </w:r>
      <w:r w:rsidR="000710B3">
        <w:rPr>
          <w:rFonts w:cs="Times New Roman"/>
          <w:szCs w:val="24"/>
        </w:rPr>
        <w:t>.</w:t>
      </w:r>
      <w:r w:rsidRPr="006159D2">
        <w:rPr>
          <w:rStyle w:val="FootnoteReference"/>
          <w:rFonts w:cs="Times New Roman"/>
          <w:szCs w:val="24"/>
        </w:rPr>
        <w:footnoteReference w:id="39"/>
      </w:r>
      <w:r w:rsidR="00937AFF">
        <w:rPr>
          <w:rFonts w:cs="Times New Roman"/>
          <w:szCs w:val="24"/>
        </w:rPr>
        <w:t xml:space="preserve"> </w:t>
      </w:r>
      <w:r w:rsidRPr="006159D2">
        <w:rPr>
          <w:rFonts w:cs="Times New Roman"/>
          <w:spacing w:val="-1"/>
          <w:szCs w:val="24"/>
          <w:shd w:val="clear" w:color="auto" w:fill="FFFFFF"/>
        </w:rPr>
        <w:t xml:space="preserve">Consequently, there has been an increase in the number of students who have been charged with money laundering </w:t>
      </w:r>
      <w:r w:rsidR="004D759A">
        <w:rPr>
          <w:rFonts w:cs="Times New Roman"/>
          <w:spacing w:val="-1"/>
          <w:szCs w:val="24"/>
          <w:shd w:val="clear" w:color="auto" w:fill="FFFFFF"/>
        </w:rPr>
        <w:t>offences</w:t>
      </w:r>
      <w:r w:rsidR="0073347F">
        <w:rPr>
          <w:rFonts w:cs="Times New Roman"/>
          <w:spacing w:val="-1"/>
          <w:szCs w:val="24"/>
          <w:shd w:val="clear" w:color="auto" w:fill="FFFFFF"/>
        </w:rPr>
        <w:t>.</w:t>
      </w:r>
      <w:r w:rsidR="005E5CA1">
        <w:rPr>
          <w:rFonts w:cs="Times New Roman"/>
          <w:spacing w:val="-1"/>
          <w:szCs w:val="24"/>
          <w:shd w:val="clear" w:color="auto" w:fill="FFFFFF"/>
        </w:rPr>
        <w:t xml:space="preserve"> Our research found </w:t>
      </w:r>
      <w:r w:rsidR="007D1C40">
        <w:rPr>
          <w:rFonts w:cs="Times New Roman"/>
          <w:spacing w:val="-1"/>
          <w:szCs w:val="24"/>
          <w:shd w:val="clear" w:color="auto" w:fill="FFFFFF"/>
        </w:rPr>
        <w:t xml:space="preserve">at least </w:t>
      </w:r>
      <w:r w:rsidR="005E5CA1">
        <w:rPr>
          <w:rFonts w:cs="Times New Roman"/>
          <w:spacing w:val="-1"/>
          <w:szCs w:val="24"/>
          <w:shd w:val="clear" w:color="auto" w:fill="FFFFFF"/>
        </w:rPr>
        <w:t xml:space="preserve">15 </w:t>
      </w:r>
      <w:r w:rsidR="00D855E9">
        <w:rPr>
          <w:rFonts w:cs="Times New Roman"/>
          <w:spacing w:val="-1"/>
          <w:szCs w:val="24"/>
          <w:shd w:val="clear" w:color="auto" w:fill="FFFFFF"/>
        </w:rPr>
        <w:t xml:space="preserve">individual </w:t>
      </w:r>
      <w:r w:rsidR="005E5CA1">
        <w:rPr>
          <w:rFonts w:cs="Times New Roman"/>
          <w:spacing w:val="-1"/>
          <w:szCs w:val="24"/>
          <w:shd w:val="clear" w:color="auto" w:fill="FFFFFF"/>
        </w:rPr>
        <w:t>students</w:t>
      </w:r>
      <w:r w:rsidR="00FF2223">
        <w:rPr>
          <w:rFonts w:cs="Times New Roman"/>
          <w:spacing w:val="-1"/>
          <w:szCs w:val="24"/>
          <w:shd w:val="clear" w:color="auto" w:fill="FFFFFF"/>
        </w:rPr>
        <w:t xml:space="preserve"> </w:t>
      </w:r>
      <w:r w:rsidR="00433352">
        <w:rPr>
          <w:rFonts w:cs="Times New Roman"/>
          <w:color w:val="202124"/>
          <w:szCs w:val="24"/>
          <w:shd w:val="clear" w:color="auto" w:fill="FFFFFF"/>
        </w:rPr>
        <w:t xml:space="preserve">who </w:t>
      </w:r>
      <w:r w:rsidR="00FF2223">
        <w:rPr>
          <w:rFonts w:cs="Times New Roman"/>
          <w:color w:val="202124"/>
          <w:szCs w:val="24"/>
          <w:shd w:val="clear" w:color="auto" w:fill="FFFFFF"/>
        </w:rPr>
        <w:t xml:space="preserve">have </w:t>
      </w:r>
      <w:r w:rsidR="007D1C40">
        <w:rPr>
          <w:rFonts w:cs="Times New Roman"/>
          <w:color w:val="202124"/>
          <w:szCs w:val="24"/>
          <w:shd w:val="clear" w:color="auto" w:fill="FFFFFF"/>
        </w:rPr>
        <w:t>been charged with</w:t>
      </w:r>
      <w:r w:rsidR="00433352">
        <w:rPr>
          <w:rFonts w:cs="Times New Roman"/>
          <w:color w:val="202124"/>
          <w:szCs w:val="24"/>
          <w:shd w:val="clear" w:color="auto" w:fill="FFFFFF"/>
        </w:rPr>
        <w:t xml:space="preserve"> laundering the proceeds of </w:t>
      </w:r>
      <w:r w:rsidR="00FF2223">
        <w:rPr>
          <w:rFonts w:cs="Times New Roman"/>
          <w:color w:val="202124"/>
          <w:szCs w:val="24"/>
          <w:shd w:val="clear" w:color="auto" w:fill="FFFFFF"/>
        </w:rPr>
        <w:t>crime</w:t>
      </w:r>
      <w:r w:rsidRPr="006159D2">
        <w:rPr>
          <w:rFonts w:cs="Times New Roman"/>
          <w:color w:val="202124"/>
          <w:szCs w:val="24"/>
          <w:shd w:val="clear" w:color="auto" w:fill="FFFFFF"/>
        </w:rPr>
        <w:t>.</w:t>
      </w:r>
      <w:r w:rsidRPr="006159D2">
        <w:rPr>
          <w:rStyle w:val="FootnoteReference"/>
          <w:rFonts w:cs="Times New Roman"/>
          <w:color w:val="202124"/>
          <w:szCs w:val="24"/>
          <w:shd w:val="clear" w:color="auto" w:fill="FFFFFF"/>
        </w:rPr>
        <w:footnoteReference w:id="40"/>
      </w:r>
      <w:r w:rsidRPr="006159D2">
        <w:rPr>
          <w:rFonts w:cs="Times New Roman"/>
          <w:color w:val="202124"/>
          <w:szCs w:val="24"/>
          <w:shd w:val="clear" w:color="auto" w:fill="FFFFFF"/>
        </w:rPr>
        <w:t xml:space="preserve"> </w:t>
      </w:r>
      <w:r w:rsidR="007D1C40">
        <w:rPr>
          <w:rFonts w:cs="Times New Roman"/>
          <w:color w:val="202124"/>
          <w:szCs w:val="24"/>
          <w:shd w:val="clear" w:color="auto" w:fill="FFFFFF"/>
        </w:rPr>
        <w:t>For instance</w:t>
      </w:r>
      <w:r w:rsidR="000F28EF">
        <w:rPr>
          <w:rFonts w:cs="Times New Roman"/>
          <w:color w:val="202124"/>
          <w:szCs w:val="24"/>
          <w:shd w:val="clear" w:color="auto" w:fill="FFFFFF"/>
        </w:rPr>
        <w:t xml:space="preserve">, students </w:t>
      </w:r>
      <w:r w:rsidR="000F28EF" w:rsidRPr="000F28EF">
        <w:rPr>
          <w:rFonts w:cs="Times New Roman"/>
          <w:color w:val="202124"/>
          <w:szCs w:val="24"/>
          <w:shd w:val="clear" w:color="auto" w:fill="FFFFFF"/>
        </w:rPr>
        <w:t xml:space="preserve">Abdi </w:t>
      </w:r>
      <w:r w:rsidR="000F28EF" w:rsidRPr="000F28EF">
        <w:rPr>
          <w:rFonts w:cs="Times New Roman"/>
          <w:color w:val="202124"/>
          <w:szCs w:val="24"/>
          <w:shd w:val="clear" w:color="auto" w:fill="FFFFFF"/>
        </w:rPr>
        <w:lastRenderedPageBreak/>
        <w:t>Mohamed and Nyanjura Biseko</w:t>
      </w:r>
      <w:r w:rsidR="000F28EF">
        <w:rPr>
          <w:rFonts w:cs="Times New Roman"/>
          <w:color w:val="202124"/>
          <w:szCs w:val="24"/>
          <w:shd w:val="clear" w:color="auto" w:fill="FFFFFF"/>
        </w:rPr>
        <w:t xml:space="preserve"> were found guilty of laundering</w:t>
      </w:r>
      <w:r w:rsidR="000F28EF" w:rsidRPr="000F28EF">
        <w:rPr>
          <w:rFonts w:cs="Times New Roman"/>
          <w:color w:val="202124"/>
          <w:szCs w:val="24"/>
          <w:shd w:val="clear" w:color="auto" w:fill="FFFFFF"/>
        </w:rPr>
        <w:t xml:space="preserve"> more than £10,000</w:t>
      </w:r>
      <w:r w:rsidR="00942D72">
        <w:rPr>
          <w:rFonts w:cs="Times New Roman"/>
          <w:color w:val="202124"/>
          <w:szCs w:val="24"/>
          <w:shd w:val="clear" w:color="auto" w:fill="FFFFFF"/>
        </w:rPr>
        <w:t xml:space="preserve"> through their bank accounts in 2018</w:t>
      </w:r>
      <w:r w:rsidR="000F28EF">
        <w:rPr>
          <w:rFonts w:cs="Times New Roman"/>
          <w:color w:val="202124"/>
          <w:szCs w:val="24"/>
          <w:shd w:val="clear" w:color="auto" w:fill="FFFFFF"/>
        </w:rPr>
        <w:t xml:space="preserve">, part of a </w:t>
      </w:r>
      <w:r w:rsidR="000F28EF" w:rsidRPr="000F28EF">
        <w:rPr>
          <w:rFonts w:cs="Times New Roman"/>
          <w:color w:val="202124"/>
          <w:szCs w:val="24"/>
          <w:shd w:val="clear" w:color="auto" w:fill="FFFFFF"/>
        </w:rPr>
        <w:t>£37,986</w:t>
      </w:r>
      <w:r w:rsidR="000F28EF">
        <w:rPr>
          <w:rFonts w:cs="Times New Roman"/>
          <w:color w:val="202124"/>
          <w:szCs w:val="24"/>
          <w:shd w:val="clear" w:color="auto" w:fill="FFFFFF"/>
        </w:rPr>
        <w:t xml:space="preserve"> fraud</w:t>
      </w:r>
      <w:r w:rsidR="000F28EF" w:rsidRPr="000F28EF">
        <w:rPr>
          <w:rFonts w:cs="Times New Roman"/>
          <w:color w:val="202124"/>
          <w:szCs w:val="24"/>
          <w:shd w:val="clear" w:color="auto" w:fill="FFFFFF"/>
        </w:rPr>
        <w:t>.</w:t>
      </w:r>
      <w:r w:rsidR="002B667E">
        <w:rPr>
          <w:rStyle w:val="FootnoteReference"/>
          <w:rFonts w:cs="Times New Roman"/>
          <w:color w:val="202124"/>
          <w:szCs w:val="24"/>
          <w:shd w:val="clear" w:color="auto" w:fill="FFFFFF"/>
        </w:rPr>
        <w:footnoteReference w:id="41"/>
      </w:r>
      <w:r w:rsidR="000F28EF">
        <w:rPr>
          <w:rFonts w:cs="Times New Roman"/>
          <w:color w:val="202124"/>
          <w:szCs w:val="24"/>
          <w:shd w:val="clear" w:color="auto" w:fill="FFFFFF"/>
        </w:rPr>
        <w:t xml:space="preserve"> </w:t>
      </w:r>
      <w:r w:rsidRPr="006159D2">
        <w:rPr>
          <w:rFonts w:cs="Times New Roman"/>
          <w:color w:val="202124"/>
          <w:szCs w:val="24"/>
          <w:shd w:val="clear" w:color="auto" w:fill="FFFFFF"/>
        </w:rPr>
        <w:t xml:space="preserve">In 2019, the NCA placed account freezing orders </w:t>
      </w:r>
      <w:r w:rsidR="009857A1">
        <w:rPr>
          <w:rFonts w:cs="Times New Roman"/>
          <w:color w:val="202124"/>
          <w:szCs w:val="24"/>
          <w:shd w:val="clear" w:color="auto" w:fill="FFFFFF"/>
        </w:rPr>
        <w:t>“</w:t>
      </w:r>
      <w:r w:rsidRPr="006159D2">
        <w:rPr>
          <w:rFonts w:cs="Times New Roman"/>
          <w:color w:val="202124"/>
          <w:szCs w:val="24"/>
          <w:shd w:val="clear" w:color="auto" w:fill="FFFFFF"/>
        </w:rPr>
        <w:t>on 95 UK bank accounts containing an estimated £3.6million</w:t>
      </w:r>
      <w:r w:rsidR="009857A1">
        <w:rPr>
          <w:rFonts w:cs="Times New Roman"/>
          <w:color w:val="202124"/>
          <w:szCs w:val="24"/>
          <w:shd w:val="clear" w:color="auto" w:fill="FFFFFF"/>
        </w:rPr>
        <w:t>”</w:t>
      </w:r>
      <w:r w:rsidRPr="006159D2">
        <w:rPr>
          <w:rFonts w:cs="Times New Roman"/>
          <w:color w:val="202124"/>
          <w:szCs w:val="24"/>
          <w:shd w:val="clear" w:color="auto" w:fill="FFFFFF"/>
        </w:rPr>
        <w:t xml:space="preserve"> suspected to be the proceeds of crime, which </w:t>
      </w:r>
      <w:r w:rsidR="009857A1">
        <w:rPr>
          <w:rFonts w:cs="Times New Roman"/>
          <w:color w:val="202124"/>
          <w:szCs w:val="24"/>
          <w:shd w:val="clear" w:color="auto" w:fill="FFFFFF"/>
        </w:rPr>
        <w:t>“</w:t>
      </w:r>
      <w:r w:rsidRPr="006159D2">
        <w:rPr>
          <w:rFonts w:cs="Times New Roman"/>
          <w:color w:val="202124"/>
          <w:szCs w:val="24"/>
          <w:shd w:val="clear" w:color="auto" w:fill="FFFFFF"/>
        </w:rPr>
        <w:t>were held mainly by overseas students</w:t>
      </w:r>
      <w:r w:rsidR="009857A1">
        <w:rPr>
          <w:rFonts w:cs="Times New Roman"/>
          <w:color w:val="202124"/>
          <w:szCs w:val="24"/>
          <w:shd w:val="clear" w:color="auto" w:fill="FFFFFF"/>
        </w:rPr>
        <w:t>”</w:t>
      </w:r>
      <w:r w:rsidRPr="006159D2">
        <w:rPr>
          <w:rFonts w:cs="Times New Roman"/>
          <w:color w:val="202124"/>
          <w:szCs w:val="24"/>
          <w:shd w:val="clear" w:color="auto" w:fill="FFFFFF"/>
        </w:rPr>
        <w:t>.</w:t>
      </w:r>
      <w:r w:rsidRPr="006159D2">
        <w:rPr>
          <w:rStyle w:val="FootnoteReference"/>
          <w:rFonts w:cs="Times New Roman"/>
          <w:color w:val="202124"/>
          <w:szCs w:val="24"/>
          <w:shd w:val="clear" w:color="auto" w:fill="FFFFFF"/>
        </w:rPr>
        <w:footnoteReference w:id="42"/>
      </w:r>
      <w:r w:rsidRPr="006159D2">
        <w:rPr>
          <w:rFonts w:cs="Times New Roman"/>
          <w:color w:val="202124"/>
          <w:szCs w:val="24"/>
          <w:shd w:val="clear" w:color="auto" w:fill="FFFFFF"/>
        </w:rPr>
        <w:t xml:space="preserve"> </w:t>
      </w:r>
      <w:r w:rsidR="003A2EE6">
        <w:rPr>
          <w:rFonts w:cs="Times New Roman"/>
          <w:color w:val="202124"/>
          <w:szCs w:val="24"/>
          <w:shd w:val="clear" w:color="auto" w:fill="FFFFFF"/>
        </w:rPr>
        <w:t xml:space="preserve">The </w:t>
      </w:r>
      <w:r w:rsidRPr="006159D2">
        <w:rPr>
          <w:rFonts w:cs="Times New Roman"/>
          <w:color w:val="202124"/>
          <w:szCs w:val="24"/>
          <w:shd w:val="clear" w:color="auto" w:fill="FFFFFF"/>
        </w:rPr>
        <w:t>Nationwide Building Society found that 61</w:t>
      </w:r>
      <w:r w:rsidR="00472F68">
        <w:rPr>
          <w:rFonts w:cs="Times New Roman"/>
          <w:color w:val="202124"/>
          <w:szCs w:val="24"/>
          <w:shd w:val="clear" w:color="auto" w:fill="FFFFFF"/>
        </w:rPr>
        <w:t xml:space="preserve">% </w:t>
      </w:r>
      <w:r w:rsidRPr="006159D2">
        <w:rPr>
          <w:rFonts w:cs="Times New Roman"/>
          <w:color w:val="202124"/>
          <w:szCs w:val="24"/>
          <w:shd w:val="clear" w:color="auto" w:fill="FFFFFF"/>
        </w:rPr>
        <w:t>of students perceive themselves to be vulnerable to money mule scams, 32</w:t>
      </w:r>
      <w:r w:rsidR="00472F68">
        <w:rPr>
          <w:rFonts w:cs="Times New Roman"/>
          <w:color w:val="202124"/>
          <w:szCs w:val="24"/>
          <w:shd w:val="clear" w:color="auto" w:fill="FFFFFF"/>
        </w:rPr>
        <w:t>%</w:t>
      </w:r>
      <w:r w:rsidR="00244205">
        <w:rPr>
          <w:rFonts w:cs="Times New Roman"/>
          <w:color w:val="202124"/>
          <w:szCs w:val="24"/>
          <w:shd w:val="clear" w:color="auto" w:fill="FFFFFF"/>
        </w:rPr>
        <w:t xml:space="preserve"> </w:t>
      </w:r>
      <w:r w:rsidR="0010324E">
        <w:rPr>
          <w:rFonts w:cs="Times New Roman"/>
          <w:color w:val="202124"/>
          <w:szCs w:val="24"/>
          <w:shd w:val="clear" w:color="auto" w:fill="FFFFFF"/>
        </w:rPr>
        <w:t xml:space="preserve">would </w:t>
      </w:r>
      <w:r w:rsidRPr="006159D2">
        <w:rPr>
          <w:rFonts w:cs="Times New Roman"/>
          <w:color w:val="202124"/>
          <w:szCs w:val="24"/>
          <w:shd w:val="clear" w:color="auto" w:fill="FFFFFF"/>
        </w:rPr>
        <w:t>consider accepting a suspicious opportunity to earn money, and 29</w:t>
      </w:r>
      <w:r w:rsidR="00472F68">
        <w:rPr>
          <w:rFonts w:cs="Times New Roman"/>
          <w:color w:val="202124"/>
          <w:szCs w:val="24"/>
          <w:shd w:val="clear" w:color="auto" w:fill="FFFFFF"/>
        </w:rPr>
        <w:t>%</w:t>
      </w:r>
      <w:r w:rsidR="00FF078B">
        <w:rPr>
          <w:rFonts w:cs="Times New Roman"/>
          <w:color w:val="202124"/>
          <w:szCs w:val="24"/>
          <w:shd w:val="clear" w:color="auto" w:fill="FFFFFF"/>
        </w:rPr>
        <w:t xml:space="preserve"> </w:t>
      </w:r>
      <w:r w:rsidRPr="006159D2">
        <w:rPr>
          <w:rFonts w:cs="Times New Roman"/>
          <w:color w:val="202124"/>
          <w:szCs w:val="24"/>
          <w:shd w:val="clear" w:color="auto" w:fill="FFFFFF"/>
        </w:rPr>
        <w:t>would allow their account to be used by someone else.</w:t>
      </w:r>
      <w:bookmarkStart w:id="13" w:name="_Ref125566207"/>
      <w:r w:rsidRPr="006159D2">
        <w:rPr>
          <w:rStyle w:val="FootnoteReference"/>
          <w:rFonts w:cs="Times New Roman"/>
          <w:color w:val="202124"/>
          <w:szCs w:val="24"/>
          <w:shd w:val="clear" w:color="auto" w:fill="FFFFFF"/>
        </w:rPr>
        <w:footnoteReference w:id="43"/>
      </w:r>
      <w:bookmarkEnd w:id="13"/>
      <w:r w:rsidRPr="006159D2">
        <w:rPr>
          <w:rFonts w:cs="Times New Roman"/>
          <w:color w:val="202124"/>
          <w:szCs w:val="24"/>
          <w:shd w:val="clear" w:color="auto" w:fill="FFFFFF"/>
        </w:rPr>
        <w:t xml:space="preserve"> Moreover, NatWest revealed that 76</w:t>
      </w:r>
      <w:r w:rsidR="00472F68">
        <w:rPr>
          <w:rFonts w:cs="Times New Roman"/>
          <w:color w:val="202124"/>
          <w:szCs w:val="24"/>
          <w:shd w:val="clear" w:color="auto" w:fill="FFFFFF"/>
        </w:rPr>
        <w:t xml:space="preserve">% </w:t>
      </w:r>
      <w:r w:rsidRPr="006159D2">
        <w:rPr>
          <w:rFonts w:cs="Times New Roman"/>
          <w:color w:val="202124"/>
          <w:szCs w:val="24"/>
          <w:shd w:val="clear" w:color="auto" w:fill="FFFFFF"/>
        </w:rPr>
        <w:t>of students had been targeted by fraudsters.</w:t>
      </w:r>
      <w:bookmarkStart w:id="14" w:name="_Ref125566303"/>
      <w:r w:rsidRPr="006159D2">
        <w:rPr>
          <w:rStyle w:val="FootnoteReference"/>
          <w:rFonts w:cs="Times New Roman"/>
          <w:color w:val="202124"/>
          <w:szCs w:val="24"/>
          <w:shd w:val="clear" w:color="auto" w:fill="FFFFFF"/>
        </w:rPr>
        <w:footnoteReference w:id="44"/>
      </w:r>
      <w:bookmarkEnd w:id="14"/>
      <w:r w:rsidR="003977FA">
        <w:rPr>
          <w:rFonts w:cs="Times New Roman"/>
          <w:color w:val="202124"/>
          <w:szCs w:val="24"/>
          <w:shd w:val="clear" w:color="auto" w:fill="FFFFFF"/>
        </w:rPr>
        <w:t xml:space="preserve"> </w:t>
      </w:r>
    </w:p>
    <w:p w14:paraId="4D81D301" w14:textId="45436FA7" w:rsidR="002F1EE9" w:rsidRDefault="002F1EE9" w:rsidP="00673D5B">
      <w:pPr>
        <w:spacing w:before="240" w:after="0" w:line="480" w:lineRule="auto"/>
        <w:rPr>
          <w:rFonts w:cs="Times New Roman"/>
          <w:szCs w:val="24"/>
        </w:rPr>
      </w:pPr>
      <w:r>
        <w:rPr>
          <w:rFonts w:eastAsia="Tahoma" w:cs="Times New Roman"/>
          <w:kern w:val="24"/>
          <w:szCs w:val="24"/>
          <w:lang w:val="en-US" w:eastAsia="en-GB"/>
        </w:rPr>
        <w:t xml:space="preserve">The entire education sector </w:t>
      </w:r>
      <w:r w:rsidR="0010324E">
        <w:rPr>
          <w:rFonts w:eastAsia="Tahoma" w:cs="Times New Roman"/>
          <w:kern w:val="24"/>
          <w:szCs w:val="24"/>
          <w:lang w:val="en-US" w:eastAsia="en-GB"/>
        </w:rPr>
        <w:t xml:space="preserve">is </w:t>
      </w:r>
      <w:r>
        <w:rPr>
          <w:rFonts w:eastAsia="Tahoma" w:cs="Times New Roman"/>
          <w:kern w:val="24"/>
          <w:szCs w:val="24"/>
          <w:lang w:val="en-US" w:eastAsia="en-GB"/>
        </w:rPr>
        <w:t xml:space="preserve">vulnerable to dealing with the proceeds of crime. </w:t>
      </w:r>
      <w:r w:rsidR="00C60E0B" w:rsidRPr="006159D2">
        <w:rPr>
          <w:rFonts w:cs="Times New Roman"/>
          <w:szCs w:val="24"/>
        </w:rPr>
        <w:t>Private schools in the UK received payments from the Russian Laundromat,</w:t>
      </w:r>
      <w:r w:rsidR="009110C1">
        <w:rPr>
          <w:rStyle w:val="FootnoteReference"/>
          <w:rFonts w:cs="Times New Roman"/>
          <w:szCs w:val="24"/>
        </w:rPr>
        <w:footnoteReference w:id="45"/>
      </w:r>
      <w:r w:rsidR="00C60E0B" w:rsidRPr="006159D2">
        <w:rPr>
          <w:rFonts w:cs="Times New Roman"/>
          <w:szCs w:val="24"/>
        </w:rPr>
        <w:t xml:space="preserve"> where $22billion was transferred </w:t>
      </w:r>
      <w:r w:rsidR="00C60E0B" w:rsidRPr="006159D2">
        <w:rPr>
          <w:rFonts w:cs="Times New Roman"/>
          <w:szCs w:val="24"/>
        </w:rPr>
        <w:lastRenderedPageBreak/>
        <w:t>from Russia to Europe using shell companies and banks.</w:t>
      </w:r>
      <w:r w:rsidR="00C60E0B" w:rsidRPr="006159D2">
        <w:rPr>
          <w:rStyle w:val="FootnoteReference"/>
          <w:rFonts w:cs="Times New Roman"/>
          <w:szCs w:val="24"/>
        </w:rPr>
        <w:footnoteReference w:id="46"/>
      </w:r>
      <w:r w:rsidR="00C60E0B" w:rsidRPr="006159D2">
        <w:rPr>
          <w:rFonts w:cs="Times New Roman"/>
          <w:szCs w:val="24"/>
        </w:rPr>
        <w:t xml:space="preserve"> </w:t>
      </w:r>
      <w:r w:rsidR="00045302">
        <w:rPr>
          <w:rFonts w:cs="Times New Roman"/>
          <w:szCs w:val="24"/>
        </w:rPr>
        <w:t>A</w:t>
      </w:r>
      <w:r w:rsidR="00C60E0B" w:rsidRPr="006159D2">
        <w:rPr>
          <w:rFonts w:cs="Times New Roman"/>
          <w:szCs w:val="24"/>
        </w:rPr>
        <w:t xml:space="preserve">s part of the Troika Laundromat, </w:t>
      </w:r>
      <w:r w:rsidR="009857A1">
        <w:rPr>
          <w:rFonts w:cs="Times New Roman"/>
          <w:szCs w:val="24"/>
        </w:rPr>
        <w:t>“</w:t>
      </w:r>
      <w:r w:rsidR="00C60E0B" w:rsidRPr="006159D2">
        <w:rPr>
          <w:rFonts w:cs="Times New Roman"/>
          <w:szCs w:val="24"/>
        </w:rPr>
        <w:t>British schools, colleges and education consultants received more than £3m</w:t>
      </w:r>
      <w:r w:rsidR="003066BF">
        <w:rPr>
          <w:rFonts w:cs="Times New Roman"/>
          <w:szCs w:val="24"/>
        </w:rPr>
        <w:t>illion</w:t>
      </w:r>
      <w:r w:rsidR="00C60E0B" w:rsidRPr="006159D2">
        <w:rPr>
          <w:rFonts w:cs="Times New Roman"/>
          <w:szCs w:val="24"/>
        </w:rPr>
        <w:t xml:space="preserve"> from account holders</w:t>
      </w:r>
      <w:r w:rsidR="009857A1">
        <w:rPr>
          <w:rFonts w:cs="Times New Roman"/>
          <w:szCs w:val="24"/>
        </w:rPr>
        <w:t>”</w:t>
      </w:r>
      <w:r w:rsidR="00C60E0B" w:rsidRPr="006159D2">
        <w:rPr>
          <w:rFonts w:cs="Times New Roman"/>
          <w:szCs w:val="24"/>
        </w:rPr>
        <w:t>.</w:t>
      </w:r>
      <w:r w:rsidR="00C60E0B" w:rsidRPr="006159D2">
        <w:rPr>
          <w:rStyle w:val="FootnoteReference"/>
          <w:rFonts w:cs="Times New Roman"/>
          <w:szCs w:val="24"/>
        </w:rPr>
        <w:footnoteReference w:id="47"/>
      </w:r>
      <w:r w:rsidR="00C60E0B" w:rsidRPr="006159D2">
        <w:rPr>
          <w:rFonts w:cs="Times New Roman"/>
          <w:szCs w:val="24"/>
        </w:rPr>
        <w:t xml:space="preserve"> Moreover, Transparency International </w:t>
      </w:r>
      <w:r w:rsidR="009857A1">
        <w:rPr>
          <w:rFonts w:cs="Times New Roman"/>
          <w:szCs w:val="24"/>
        </w:rPr>
        <w:t>“</w:t>
      </w:r>
      <w:r w:rsidR="00C60E0B" w:rsidRPr="006159D2">
        <w:rPr>
          <w:rFonts w:cs="Times New Roman"/>
          <w:szCs w:val="24"/>
        </w:rPr>
        <w:t>identified 492 payments worth more than £4.1million to 177 different [educational] institutions</w:t>
      </w:r>
      <w:r w:rsidR="009857A1">
        <w:rPr>
          <w:rFonts w:cs="Times New Roman"/>
          <w:szCs w:val="24"/>
        </w:rPr>
        <w:t>”</w:t>
      </w:r>
      <w:r w:rsidR="00C60E0B" w:rsidRPr="006159D2">
        <w:rPr>
          <w:rFonts w:cs="Times New Roman"/>
          <w:szCs w:val="24"/>
        </w:rPr>
        <w:t>, including 59 transactions to universities worth £515,198.</w:t>
      </w:r>
      <w:r w:rsidR="00C60E0B" w:rsidRPr="006159D2">
        <w:rPr>
          <w:rStyle w:val="FootnoteReference"/>
          <w:rFonts w:cs="Times New Roman"/>
          <w:szCs w:val="24"/>
        </w:rPr>
        <w:footnoteReference w:id="48"/>
      </w:r>
      <w:r w:rsidR="00C60E0B" w:rsidRPr="006159D2">
        <w:rPr>
          <w:rFonts w:cs="Times New Roman"/>
          <w:szCs w:val="24"/>
        </w:rPr>
        <w:t xml:space="preserve"> </w:t>
      </w:r>
      <w:r>
        <w:rPr>
          <w:rFonts w:cs="Times New Roman"/>
          <w:szCs w:val="24"/>
        </w:rPr>
        <w:t>HEIs are particularly likely to become recipients of laundered funds;</w:t>
      </w:r>
      <w:r w:rsidR="003977FA">
        <w:rPr>
          <w:rFonts w:cs="Times New Roman"/>
          <w:szCs w:val="24"/>
        </w:rPr>
        <w:t xml:space="preserve"> </w:t>
      </w:r>
      <w:r>
        <w:rPr>
          <w:rFonts w:cs="Times New Roman"/>
          <w:szCs w:val="24"/>
        </w:rPr>
        <w:t xml:space="preserve">Page </w:t>
      </w:r>
      <w:r w:rsidR="00C60E0B" w:rsidRPr="006159D2">
        <w:rPr>
          <w:rFonts w:cs="Times New Roman"/>
          <w:szCs w:val="24"/>
        </w:rPr>
        <w:t>estimates that the value of unexplained wealth channelled by West African PEPs into the UK education sector exceeds £30million annually, with universities accepting a significant proportion.</w:t>
      </w:r>
      <w:r w:rsidR="00C60E0B" w:rsidRPr="006159D2">
        <w:rPr>
          <w:rStyle w:val="FootnoteReference"/>
          <w:rFonts w:cs="Times New Roman"/>
          <w:szCs w:val="24"/>
        </w:rPr>
        <w:footnoteReference w:id="49"/>
      </w:r>
      <w:r w:rsidR="00C60E0B" w:rsidRPr="006159D2">
        <w:rPr>
          <w:rFonts w:cs="Times New Roman"/>
          <w:szCs w:val="24"/>
        </w:rPr>
        <w:t xml:space="preserve"> He also notes</w:t>
      </w:r>
      <w:r w:rsidR="00611760">
        <w:rPr>
          <w:rFonts w:cs="Times New Roman"/>
          <w:szCs w:val="24"/>
        </w:rPr>
        <w:t xml:space="preserve"> six instances where </w:t>
      </w:r>
      <w:r w:rsidR="00C60E0B" w:rsidRPr="006159D2">
        <w:rPr>
          <w:rFonts w:cs="Times New Roman"/>
          <w:szCs w:val="24"/>
        </w:rPr>
        <w:t xml:space="preserve">a UK school or university </w:t>
      </w:r>
      <w:r w:rsidR="005A393D">
        <w:rPr>
          <w:rFonts w:cs="Times New Roman"/>
          <w:szCs w:val="24"/>
        </w:rPr>
        <w:t>“</w:t>
      </w:r>
      <w:r w:rsidR="00C60E0B" w:rsidRPr="006159D2">
        <w:rPr>
          <w:rFonts w:cs="Times New Roman"/>
          <w:szCs w:val="24"/>
        </w:rPr>
        <w:t>admitted the child of a West African PEP that had been convicted of corruption-related crimes or had their assets seized</w:t>
      </w:r>
      <w:r w:rsidR="00D4524C">
        <w:rPr>
          <w:rFonts w:cs="Times New Roman"/>
          <w:szCs w:val="24"/>
        </w:rPr>
        <w:t>.</w:t>
      </w:r>
      <w:r w:rsidR="009857A1">
        <w:rPr>
          <w:rFonts w:cs="Times New Roman"/>
          <w:szCs w:val="24"/>
        </w:rPr>
        <w:t>”</w:t>
      </w:r>
      <w:r w:rsidR="00C60E0B" w:rsidRPr="004D759A">
        <w:rPr>
          <w:rStyle w:val="FootnoteReference"/>
          <w:rFonts w:cs="Times New Roman"/>
          <w:szCs w:val="24"/>
        </w:rPr>
        <w:footnoteReference w:id="50"/>
      </w:r>
      <w:r w:rsidR="006B47F6">
        <w:rPr>
          <w:rFonts w:cs="Times New Roman"/>
          <w:szCs w:val="24"/>
        </w:rPr>
        <w:t xml:space="preserve"> </w:t>
      </w:r>
      <w:r w:rsidR="00916CCD">
        <w:rPr>
          <w:rFonts w:cs="Times New Roman"/>
          <w:szCs w:val="24"/>
        </w:rPr>
        <w:t>F</w:t>
      </w:r>
      <w:r w:rsidR="00C60E0B" w:rsidRPr="006818A2">
        <w:rPr>
          <w:rFonts w:cs="Times New Roman"/>
          <w:szCs w:val="24"/>
        </w:rPr>
        <w:t>inancial gifts provided to UK HEIs have also raised concerns with several donators being subject to sanctions.</w:t>
      </w:r>
      <w:r w:rsidR="00C60E0B" w:rsidRPr="006818A2">
        <w:rPr>
          <w:rStyle w:val="FootnoteReference"/>
          <w:rFonts w:cs="Times New Roman"/>
          <w:szCs w:val="24"/>
        </w:rPr>
        <w:footnoteReference w:id="51"/>
      </w:r>
      <w:r>
        <w:rPr>
          <w:rFonts w:cs="Times New Roman"/>
          <w:szCs w:val="24"/>
        </w:rPr>
        <w:t xml:space="preserve"> </w:t>
      </w:r>
      <w:r w:rsidRPr="006159D2">
        <w:rPr>
          <w:rFonts w:cs="Times New Roman"/>
          <w:szCs w:val="24"/>
        </w:rPr>
        <w:t xml:space="preserve">In 2021, </w:t>
      </w:r>
      <w:r>
        <w:rPr>
          <w:rFonts w:cs="Times New Roman"/>
          <w:szCs w:val="24"/>
        </w:rPr>
        <w:t>T</w:t>
      </w:r>
      <w:r w:rsidRPr="006159D2">
        <w:rPr>
          <w:rFonts w:cs="Times New Roman"/>
          <w:szCs w:val="24"/>
        </w:rPr>
        <w:t xml:space="preserve">he Times reported that 49 universities </w:t>
      </w:r>
      <w:r w:rsidRPr="006159D2">
        <w:rPr>
          <w:rFonts w:cs="Times New Roman"/>
          <w:szCs w:val="24"/>
        </w:rPr>
        <w:lastRenderedPageBreak/>
        <w:t>accepted cash payments over a five year period totalling £52million.</w:t>
      </w:r>
      <w:bookmarkStart w:id="15" w:name="_Ref125566525"/>
      <w:r w:rsidRPr="006159D2">
        <w:rPr>
          <w:rStyle w:val="FootnoteReference"/>
          <w:rFonts w:cs="Times New Roman"/>
          <w:szCs w:val="24"/>
        </w:rPr>
        <w:footnoteReference w:id="52"/>
      </w:r>
      <w:bookmarkEnd w:id="15"/>
      <w:r w:rsidRPr="006159D2">
        <w:rPr>
          <w:rFonts w:cs="Times New Roman"/>
          <w:szCs w:val="24"/>
        </w:rPr>
        <w:t xml:space="preserve"> In response, some </w:t>
      </w:r>
      <w:r>
        <w:rPr>
          <w:rFonts w:cs="Times New Roman"/>
          <w:szCs w:val="24"/>
        </w:rPr>
        <w:t>HEIs</w:t>
      </w:r>
      <w:r w:rsidRPr="006159D2">
        <w:rPr>
          <w:rFonts w:cs="Times New Roman"/>
          <w:szCs w:val="24"/>
        </w:rPr>
        <w:t xml:space="preserve"> have implemented AML policies, despite uncertainty regarding the application of the Regulations </w:t>
      </w:r>
      <w:r>
        <w:rPr>
          <w:rFonts w:cs="Times New Roman"/>
          <w:szCs w:val="24"/>
        </w:rPr>
        <w:t>to the sector</w:t>
      </w:r>
      <w:r w:rsidRPr="006159D2">
        <w:rPr>
          <w:rFonts w:cs="Times New Roman"/>
          <w:szCs w:val="24"/>
        </w:rPr>
        <w:t>.</w:t>
      </w:r>
      <w:r w:rsidRPr="006159D2">
        <w:rPr>
          <w:rStyle w:val="FootnoteReference"/>
          <w:rFonts w:cs="Times New Roman"/>
          <w:szCs w:val="24"/>
        </w:rPr>
        <w:footnoteReference w:id="53"/>
      </w:r>
      <w:r>
        <w:rPr>
          <w:rFonts w:cs="Times New Roman"/>
          <w:szCs w:val="24"/>
        </w:rPr>
        <w:t xml:space="preserve"> </w:t>
      </w:r>
      <w:r w:rsidRPr="004D759A">
        <w:rPr>
          <w:rFonts w:cs="Times New Roman"/>
          <w:szCs w:val="24"/>
        </w:rPr>
        <w:t xml:space="preserve">Universities </w:t>
      </w:r>
      <w:r w:rsidRPr="006159D2">
        <w:rPr>
          <w:rFonts w:cs="Times New Roman"/>
          <w:szCs w:val="24"/>
        </w:rPr>
        <w:t>are also indirectly associated with money laundering by the fact that criminals frequently launder their proceeds of crime through the purchase of property in university towns.</w:t>
      </w:r>
      <w:r w:rsidRPr="006159D2">
        <w:rPr>
          <w:rStyle w:val="FootnoteReference"/>
          <w:rFonts w:cs="Times New Roman"/>
          <w:szCs w:val="24"/>
        </w:rPr>
        <w:footnoteReference w:id="54"/>
      </w:r>
      <w:r w:rsidR="003977FA">
        <w:rPr>
          <w:rFonts w:cs="Times New Roman"/>
          <w:szCs w:val="24"/>
        </w:rPr>
        <w:t xml:space="preserve"> </w:t>
      </w:r>
    </w:p>
    <w:p w14:paraId="131077A8" w14:textId="72D3725F" w:rsidR="00B84A4B" w:rsidRDefault="006B47F6" w:rsidP="00673D5B">
      <w:pPr>
        <w:spacing w:before="240" w:after="0" w:line="480" w:lineRule="auto"/>
        <w:rPr>
          <w:rFonts w:cs="Times New Roman"/>
          <w:szCs w:val="24"/>
          <w:shd w:val="clear" w:color="auto" w:fill="FFFFFF"/>
        </w:rPr>
      </w:pPr>
      <w:r>
        <w:rPr>
          <w:rFonts w:cs="Times New Roman"/>
          <w:szCs w:val="24"/>
        </w:rPr>
        <w:t>Coupled with</w:t>
      </w:r>
      <w:r w:rsidRPr="006159D2">
        <w:rPr>
          <w:rFonts w:cs="Times New Roman"/>
          <w:szCs w:val="24"/>
        </w:rPr>
        <w:t xml:space="preserve"> </w:t>
      </w:r>
      <w:r w:rsidR="00C60E0B" w:rsidRPr="006159D2">
        <w:rPr>
          <w:rFonts w:cs="Times New Roman"/>
          <w:szCs w:val="24"/>
        </w:rPr>
        <w:t>the threat presented by money laundering, research has highlighted the threat presented by students and terrorism financing.</w:t>
      </w:r>
      <w:r w:rsidR="00C60E0B" w:rsidRPr="006159D2">
        <w:rPr>
          <w:rFonts w:cs="Times New Roman"/>
          <w:szCs w:val="24"/>
          <w:vertAlign w:val="superscript"/>
        </w:rPr>
        <w:footnoteReference w:id="55"/>
      </w:r>
      <w:r w:rsidR="00C60E0B" w:rsidRPr="006159D2">
        <w:rPr>
          <w:rFonts w:cs="Times New Roman"/>
          <w:szCs w:val="24"/>
        </w:rPr>
        <w:t xml:space="preserve"> </w:t>
      </w:r>
      <w:r w:rsidR="008B7C7A">
        <w:rPr>
          <w:rFonts w:cs="Times New Roman"/>
          <w:szCs w:val="24"/>
        </w:rPr>
        <w:t>T</w:t>
      </w:r>
      <w:r w:rsidR="00C60E0B" w:rsidRPr="006159D2">
        <w:rPr>
          <w:rFonts w:cs="Times New Roman"/>
          <w:szCs w:val="24"/>
        </w:rPr>
        <w:t>errorists have been able to secure funds from a wide range of sources including defrauding student loan companies</w:t>
      </w:r>
      <w:r w:rsidR="000710B3">
        <w:rPr>
          <w:rFonts w:cs="Times New Roman"/>
          <w:szCs w:val="24"/>
        </w:rPr>
        <w:t>.</w:t>
      </w:r>
      <w:r w:rsidR="00C60E0B" w:rsidRPr="006159D2">
        <w:rPr>
          <w:rFonts w:cs="Times New Roman"/>
          <w:szCs w:val="24"/>
          <w:vertAlign w:val="superscript"/>
        </w:rPr>
        <w:footnoteReference w:id="56"/>
      </w:r>
      <w:r w:rsidR="000710B3">
        <w:rPr>
          <w:rFonts w:cs="Times New Roman"/>
          <w:szCs w:val="24"/>
        </w:rPr>
        <w:t xml:space="preserve"> </w:t>
      </w:r>
      <w:r w:rsidR="00B71215">
        <w:rPr>
          <w:rFonts w:cs="Times New Roman"/>
          <w:szCs w:val="24"/>
        </w:rPr>
        <w:t>E</w:t>
      </w:r>
      <w:r w:rsidR="00C60E0B" w:rsidRPr="006159D2">
        <w:rPr>
          <w:rFonts w:cs="Times New Roman"/>
          <w:szCs w:val="24"/>
        </w:rPr>
        <w:t xml:space="preserve">xample of terrorists using student loan fraud </w:t>
      </w:r>
      <w:r w:rsidR="006144D6">
        <w:rPr>
          <w:rFonts w:cs="Times New Roman"/>
          <w:szCs w:val="24"/>
        </w:rPr>
        <w:t xml:space="preserve">in the </w:t>
      </w:r>
      <w:r w:rsidR="00C60E0B" w:rsidRPr="006159D2">
        <w:rPr>
          <w:rFonts w:cs="Times New Roman"/>
          <w:szCs w:val="24"/>
        </w:rPr>
        <w:t>UK</w:t>
      </w:r>
      <w:r w:rsidR="00B71215">
        <w:rPr>
          <w:rFonts w:cs="Times New Roman"/>
          <w:szCs w:val="24"/>
        </w:rPr>
        <w:t xml:space="preserve"> include</w:t>
      </w:r>
      <w:r w:rsidR="00C60E0B" w:rsidRPr="006159D2">
        <w:rPr>
          <w:rFonts w:cs="Times New Roman"/>
          <w:szCs w:val="24"/>
        </w:rPr>
        <w:t xml:space="preserve"> Yahya Rashid</w:t>
      </w:r>
      <w:r w:rsidR="00B71215">
        <w:rPr>
          <w:rFonts w:cs="Times New Roman"/>
          <w:szCs w:val="24"/>
        </w:rPr>
        <w:t>, who</w:t>
      </w:r>
      <w:r w:rsidR="006144D6">
        <w:rPr>
          <w:rFonts w:cs="Times New Roman"/>
          <w:szCs w:val="24"/>
        </w:rPr>
        <w:t xml:space="preserve"> </w:t>
      </w:r>
      <w:r w:rsidR="00C60E0B" w:rsidRPr="006159D2">
        <w:rPr>
          <w:rFonts w:cs="Times New Roman"/>
          <w:szCs w:val="24"/>
        </w:rPr>
        <w:t>used his student loan to fund travel for himself and</w:t>
      </w:r>
      <w:r w:rsidR="005919C1">
        <w:rPr>
          <w:rFonts w:cs="Times New Roman"/>
          <w:szCs w:val="24"/>
        </w:rPr>
        <w:t xml:space="preserve"> his</w:t>
      </w:r>
      <w:r w:rsidR="00C60E0B" w:rsidRPr="006159D2">
        <w:rPr>
          <w:rFonts w:cs="Times New Roman"/>
          <w:szCs w:val="24"/>
        </w:rPr>
        <w:t xml:space="preserve"> associates to Turkey</w:t>
      </w:r>
      <w:r w:rsidR="00B71215">
        <w:rPr>
          <w:rFonts w:cs="Times New Roman"/>
          <w:szCs w:val="24"/>
        </w:rPr>
        <w:t>,</w:t>
      </w:r>
      <w:r w:rsidR="00C60E0B" w:rsidRPr="006159D2">
        <w:rPr>
          <w:rFonts w:cs="Times New Roman"/>
          <w:szCs w:val="24"/>
          <w:vertAlign w:val="superscript"/>
        </w:rPr>
        <w:footnoteReference w:id="57"/>
      </w:r>
      <w:r w:rsidR="006144D6">
        <w:rPr>
          <w:rFonts w:cs="Times New Roman"/>
          <w:szCs w:val="24"/>
        </w:rPr>
        <w:t xml:space="preserve"> and </w:t>
      </w:r>
      <w:r w:rsidR="00C60E0B" w:rsidRPr="006159D2">
        <w:rPr>
          <w:rFonts w:cs="Times New Roman"/>
          <w:szCs w:val="24"/>
        </w:rPr>
        <w:t>Salman Abedi</w:t>
      </w:r>
      <w:r w:rsidR="00B71215">
        <w:rPr>
          <w:rFonts w:cs="Times New Roman"/>
          <w:szCs w:val="24"/>
        </w:rPr>
        <w:t>, who</w:t>
      </w:r>
      <w:r w:rsidR="00C60E0B" w:rsidRPr="006159D2">
        <w:rPr>
          <w:rFonts w:cs="Times New Roman"/>
          <w:szCs w:val="24"/>
        </w:rPr>
        <w:t xml:space="preserve"> used student loans</w:t>
      </w:r>
      <w:r w:rsidR="006144D6">
        <w:rPr>
          <w:rFonts w:cs="Times New Roman"/>
          <w:szCs w:val="24"/>
        </w:rPr>
        <w:t xml:space="preserve"> to finance the </w:t>
      </w:r>
      <w:r w:rsidR="00B3247E">
        <w:rPr>
          <w:rFonts w:cs="Times New Roman"/>
          <w:szCs w:val="24"/>
        </w:rPr>
        <w:t>terrorist attack in the Manchester Arena</w:t>
      </w:r>
      <w:r w:rsidR="00C60E0B" w:rsidRPr="006159D2">
        <w:rPr>
          <w:rFonts w:cs="Times New Roman"/>
          <w:szCs w:val="24"/>
        </w:rPr>
        <w:t>.</w:t>
      </w:r>
      <w:r w:rsidR="00C60E0B" w:rsidRPr="006159D2">
        <w:rPr>
          <w:rFonts w:cs="Times New Roman"/>
          <w:szCs w:val="24"/>
          <w:vertAlign w:val="superscript"/>
        </w:rPr>
        <w:footnoteReference w:id="58"/>
      </w:r>
      <w:r w:rsidR="003977FA">
        <w:rPr>
          <w:rFonts w:cs="Times New Roman"/>
          <w:szCs w:val="24"/>
        </w:rPr>
        <w:t xml:space="preserve"> </w:t>
      </w:r>
    </w:p>
    <w:p w14:paraId="279A26F8" w14:textId="1D95C51D" w:rsidR="00916CCD" w:rsidRDefault="00CA5E77" w:rsidP="00673D5B">
      <w:pPr>
        <w:spacing w:before="240" w:after="0" w:line="480" w:lineRule="auto"/>
      </w:pPr>
      <w:r w:rsidRPr="00AD15C1">
        <w:rPr>
          <w:rFonts w:cs="Times New Roman"/>
          <w:szCs w:val="24"/>
          <w:shd w:val="clear" w:color="auto" w:fill="FFFFFF"/>
        </w:rPr>
        <w:lastRenderedPageBreak/>
        <w:t>Relevant stakeholders have begun to identify emerging money laundering and terrorism financing risks, including the threat posed by virtual assets, prompting investigations into the application of the AML/CTF framework to the providers of such services.</w:t>
      </w:r>
      <w:r w:rsidRPr="00AD15C1">
        <w:rPr>
          <w:rFonts w:cs="Times New Roman"/>
          <w:szCs w:val="24"/>
          <w:shd w:val="clear" w:color="auto" w:fill="FFFFFF"/>
          <w:vertAlign w:val="superscript"/>
        </w:rPr>
        <w:footnoteReference w:id="59"/>
      </w:r>
      <w:r w:rsidRPr="00AD15C1">
        <w:rPr>
          <w:rFonts w:cs="Times New Roman"/>
          <w:szCs w:val="24"/>
          <w:shd w:val="clear" w:color="auto" w:fill="FFFFFF"/>
        </w:rPr>
        <w:t xml:space="preserve"> However, the link between universities and financial crime is only just beginning to be recognised, primarily by non-governmental organisations, </w:t>
      </w:r>
      <w:r w:rsidRPr="00AD15C1">
        <w:rPr>
          <w:rFonts w:cs="Times New Roman"/>
          <w:szCs w:val="24"/>
          <w:shd w:val="clear" w:color="auto" w:fill="FFFFFF"/>
          <w:vertAlign w:val="superscript"/>
        </w:rPr>
        <w:footnoteReference w:id="60"/>
      </w:r>
      <w:r w:rsidRPr="00AD15C1">
        <w:rPr>
          <w:rFonts w:cs="Times New Roman"/>
          <w:szCs w:val="24"/>
          <w:shd w:val="clear" w:color="auto" w:fill="FFFFFF"/>
        </w:rPr>
        <w:t xml:space="preserve"> and banks.</w:t>
      </w:r>
      <w:r w:rsidRPr="00AD15C1">
        <w:rPr>
          <w:rFonts w:cs="Times New Roman"/>
          <w:szCs w:val="24"/>
          <w:shd w:val="clear" w:color="auto" w:fill="FFFFFF"/>
          <w:vertAlign w:val="superscript"/>
        </w:rPr>
        <w:footnoteReference w:id="61"/>
      </w:r>
      <w:r w:rsidRPr="00AD15C1">
        <w:rPr>
          <w:rFonts w:cs="Times New Roman"/>
          <w:szCs w:val="24"/>
          <w:shd w:val="clear" w:color="auto" w:fill="FFFFFF"/>
        </w:rPr>
        <w:t xml:space="preserve"> Despite these vulnerabilities, the threat posed to the higher education sector has not been discussed in detail in the National Risk Assessment.</w:t>
      </w:r>
      <w:r w:rsidRPr="00AD15C1">
        <w:rPr>
          <w:rFonts w:cs="Times New Roman"/>
          <w:szCs w:val="24"/>
          <w:shd w:val="clear" w:color="auto" w:fill="FFFFFF"/>
          <w:vertAlign w:val="superscript"/>
        </w:rPr>
        <w:footnoteReference w:id="62"/>
      </w:r>
      <w:r w:rsidRPr="00AD15C1">
        <w:rPr>
          <w:rFonts w:cs="Times New Roman"/>
          <w:szCs w:val="24"/>
          <w:shd w:val="clear" w:color="auto" w:fill="FFFFFF"/>
        </w:rPr>
        <w:t xml:space="preserve"> Indeed, the limited guidance has tended to concentrate on secondary and further education.</w:t>
      </w:r>
      <w:r w:rsidRPr="00AD15C1">
        <w:rPr>
          <w:rFonts w:cs="Times New Roman"/>
          <w:szCs w:val="24"/>
          <w:shd w:val="clear" w:color="auto" w:fill="FFFFFF"/>
          <w:vertAlign w:val="superscript"/>
        </w:rPr>
        <w:footnoteReference w:id="63"/>
      </w:r>
      <w:r w:rsidRPr="00AD15C1">
        <w:rPr>
          <w:rFonts w:cs="Times New Roman"/>
          <w:szCs w:val="24"/>
          <w:shd w:val="clear" w:color="auto" w:fill="FFFFFF"/>
        </w:rPr>
        <w:t xml:space="preserve"> Therefore,</w:t>
      </w:r>
      <w:r w:rsidR="003977FA">
        <w:rPr>
          <w:rFonts w:cs="Times New Roman"/>
          <w:szCs w:val="24"/>
          <w:shd w:val="clear" w:color="auto" w:fill="FFFFFF"/>
        </w:rPr>
        <w:t xml:space="preserve"> </w:t>
      </w:r>
      <w:r w:rsidRPr="00AD15C1">
        <w:rPr>
          <w:rFonts w:cs="Times New Roman"/>
          <w:szCs w:val="24"/>
          <w:shd w:val="clear" w:color="auto" w:fill="FFFFFF"/>
        </w:rPr>
        <w:t xml:space="preserve">it is important to investigate </w:t>
      </w:r>
      <w:r w:rsidR="00916CCD">
        <w:t xml:space="preserve">the application of the AML framework to the education sector, as well as the measures taken by </w:t>
      </w:r>
      <w:r w:rsidR="00353C31">
        <w:t>HEIs</w:t>
      </w:r>
      <w:r w:rsidR="00916CCD">
        <w:t xml:space="preserve"> to address the</w:t>
      </w:r>
      <w:r w:rsidR="00C022BE">
        <w:t xml:space="preserve">se financial crimes </w:t>
      </w:r>
      <w:r w:rsidR="00916CCD">
        <w:t xml:space="preserve">in practice. The next section explains the methods used to answer these research questions. </w:t>
      </w:r>
    </w:p>
    <w:p w14:paraId="2B149217" w14:textId="549C632E" w:rsidR="006159D2" w:rsidRPr="006159D2" w:rsidRDefault="00C60E0B" w:rsidP="00673D5B">
      <w:pPr>
        <w:pStyle w:val="Heading1"/>
        <w:spacing w:line="480" w:lineRule="auto"/>
        <w:rPr>
          <w:shd w:val="clear" w:color="auto" w:fill="FFFFFF"/>
        </w:rPr>
      </w:pPr>
      <w:r w:rsidRPr="006159D2">
        <w:rPr>
          <w:shd w:val="clear" w:color="auto" w:fill="FFFFFF"/>
        </w:rPr>
        <w:t>Methods</w:t>
      </w:r>
    </w:p>
    <w:p w14:paraId="6D673D96" w14:textId="757ED49A" w:rsidR="006E4AC3" w:rsidRDefault="00AC5C15" w:rsidP="00673D5B">
      <w:pPr>
        <w:spacing w:before="240" w:after="0" w:line="480" w:lineRule="auto"/>
        <w:rPr>
          <w:rFonts w:cs="Times New Roman"/>
          <w:szCs w:val="24"/>
          <w:shd w:val="clear" w:color="auto" w:fill="FFFFFF"/>
        </w:rPr>
      </w:pPr>
      <w:r>
        <w:rPr>
          <w:rFonts w:cs="Times New Roman"/>
          <w:szCs w:val="24"/>
          <w:shd w:val="clear" w:color="auto" w:fill="FFFFFF"/>
        </w:rPr>
        <w:t>T</w:t>
      </w:r>
      <w:r w:rsidR="00FA0659" w:rsidRPr="006159D2">
        <w:rPr>
          <w:rFonts w:cs="Times New Roman"/>
          <w:szCs w:val="24"/>
          <w:shd w:val="clear" w:color="auto" w:fill="FFFFFF"/>
        </w:rPr>
        <w:t>h</w:t>
      </w:r>
      <w:r w:rsidR="00FA0659">
        <w:rPr>
          <w:rFonts w:cs="Times New Roman"/>
          <w:szCs w:val="24"/>
          <w:shd w:val="clear" w:color="auto" w:fill="FFFFFF"/>
        </w:rPr>
        <w:t>is</w:t>
      </w:r>
      <w:r w:rsidR="00FA0659" w:rsidRPr="006159D2">
        <w:rPr>
          <w:rFonts w:cs="Times New Roman"/>
          <w:szCs w:val="24"/>
          <w:shd w:val="clear" w:color="auto" w:fill="FFFFFF"/>
        </w:rPr>
        <w:t xml:space="preserve"> research </w:t>
      </w:r>
      <w:r w:rsidR="00FA0659">
        <w:rPr>
          <w:rFonts w:cs="Times New Roman"/>
          <w:szCs w:val="24"/>
          <w:shd w:val="clear" w:color="auto" w:fill="FFFFFF"/>
        </w:rPr>
        <w:t xml:space="preserve">has adopted a </w:t>
      </w:r>
      <w:r w:rsidR="00FA0659" w:rsidRPr="006159D2">
        <w:rPr>
          <w:rFonts w:cs="Times New Roman"/>
          <w:szCs w:val="24"/>
          <w:shd w:val="clear" w:color="auto" w:fill="FFFFFF"/>
        </w:rPr>
        <w:t>socio-legal methodology, which aims</w:t>
      </w:r>
      <w:r w:rsidR="00FA0659" w:rsidRPr="006159D2">
        <w:rPr>
          <w:rFonts w:cs="Times New Roman"/>
          <w:bCs/>
          <w:szCs w:val="24"/>
          <w:shd w:val="clear" w:color="auto" w:fill="FFFFFF"/>
        </w:rPr>
        <w:t xml:space="preserve"> to shed light on the operation of law in action. </w:t>
      </w:r>
      <w:r w:rsidR="00B34D4D">
        <w:rPr>
          <w:rFonts w:cs="Times New Roman"/>
          <w:bCs/>
          <w:szCs w:val="24"/>
          <w:shd w:val="clear" w:color="auto" w:fill="FFFFFF"/>
        </w:rPr>
        <w:t>W</w:t>
      </w:r>
      <w:r w:rsidR="00FA0659">
        <w:rPr>
          <w:rFonts w:cs="Times New Roman"/>
          <w:bCs/>
          <w:szCs w:val="24"/>
          <w:shd w:val="clear" w:color="auto" w:fill="FFFFFF"/>
        </w:rPr>
        <w:t>hilst</w:t>
      </w:r>
      <w:r w:rsidR="00FA0659" w:rsidRPr="006159D2">
        <w:rPr>
          <w:rFonts w:cs="Times New Roman"/>
          <w:szCs w:val="24"/>
          <w:shd w:val="clear" w:color="auto" w:fill="FFFFFF"/>
        </w:rPr>
        <w:t xml:space="preserve"> the provisions of the national and international AML/CTF framework</w:t>
      </w:r>
      <w:r w:rsidR="00FA0659">
        <w:rPr>
          <w:rFonts w:cs="Times New Roman"/>
          <w:szCs w:val="24"/>
          <w:shd w:val="clear" w:color="auto" w:fill="FFFFFF"/>
        </w:rPr>
        <w:t xml:space="preserve"> have been examined</w:t>
      </w:r>
      <w:r w:rsidR="00496479">
        <w:rPr>
          <w:rFonts w:cs="Times New Roman"/>
          <w:szCs w:val="24"/>
          <w:shd w:val="clear" w:color="auto" w:fill="FFFFFF"/>
        </w:rPr>
        <w:t>,</w:t>
      </w:r>
      <w:r w:rsidR="00FA0659" w:rsidRPr="006159D2">
        <w:rPr>
          <w:rFonts w:cs="Times New Roman"/>
          <w:szCs w:val="24"/>
          <w:shd w:val="clear" w:color="auto" w:fill="FFFFFF"/>
        </w:rPr>
        <w:t xml:space="preserve"> existing knowledge on the </w:t>
      </w:r>
      <w:r w:rsidR="00FA0659" w:rsidRPr="00377664">
        <w:rPr>
          <w:rFonts w:cs="Times New Roman"/>
          <w:iCs/>
          <w:szCs w:val="24"/>
          <w:shd w:val="clear" w:color="auto" w:fill="FFFFFF"/>
        </w:rPr>
        <w:t>practical impact</w:t>
      </w:r>
      <w:r w:rsidR="00FA0659" w:rsidRPr="006159D2">
        <w:rPr>
          <w:rFonts w:cs="Times New Roman"/>
          <w:szCs w:val="24"/>
          <w:shd w:val="clear" w:color="auto" w:fill="FFFFFF"/>
        </w:rPr>
        <w:t xml:space="preserve"> of this legal framework is </w:t>
      </w:r>
      <w:r w:rsidR="00FA0659" w:rsidRPr="006159D2">
        <w:rPr>
          <w:rFonts w:cs="Times New Roman"/>
          <w:szCs w:val="24"/>
          <w:shd w:val="clear" w:color="auto" w:fill="FFFFFF"/>
        </w:rPr>
        <w:lastRenderedPageBreak/>
        <w:t>limited, particularly on those tasked with implementation</w:t>
      </w:r>
      <w:r w:rsidR="00353C31">
        <w:rPr>
          <w:rFonts w:cs="Times New Roman"/>
          <w:szCs w:val="24"/>
          <w:shd w:val="clear" w:color="auto" w:fill="FFFFFF"/>
        </w:rPr>
        <w:t>,</w:t>
      </w:r>
      <w:r w:rsidR="00FA0659">
        <w:rPr>
          <w:rFonts w:cs="Times New Roman"/>
          <w:szCs w:val="24"/>
          <w:shd w:val="clear" w:color="auto" w:fill="FFFFFF"/>
        </w:rPr>
        <w:t xml:space="preserve"> and tends to focus on</w:t>
      </w:r>
      <w:r w:rsidR="00FA0659" w:rsidRPr="006159D2">
        <w:rPr>
          <w:rFonts w:cs="Times New Roman"/>
          <w:szCs w:val="24"/>
          <w:shd w:val="clear" w:color="auto" w:fill="FFFFFF"/>
        </w:rPr>
        <w:t xml:space="preserve"> providing estimates of compliance costs,</w:t>
      </w:r>
      <w:r w:rsidR="00FA0659" w:rsidRPr="006159D2">
        <w:rPr>
          <w:rStyle w:val="FootnoteReference"/>
          <w:rFonts w:cs="Times New Roman"/>
          <w:szCs w:val="24"/>
          <w:shd w:val="clear" w:color="auto" w:fill="FFFFFF"/>
        </w:rPr>
        <w:footnoteReference w:id="64"/>
      </w:r>
      <w:r w:rsidR="00FA0659" w:rsidRPr="006159D2">
        <w:rPr>
          <w:rFonts w:cs="Times New Roman"/>
          <w:szCs w:val="24"/>
          <w:shd w:val="clear" w:color="auto" w:fill="FFFFFF"/>
        </w:rPr>
        <w:t xml:space="preserve"> </w:t>
      </w:r>
      <w:r w:rsidR="00353C31">
        <w:rPr>
          <w:rFonts w:cs="Times New Roman"/>
          <w:szCs w:val="24"/>
          <w:shd w:val="clear" w:color="auto" w:fill="FFFFFF"/>
        </w:rPr>
        <w:t>or</w:t>
      </w:r>
      <w:r w:rsidR="00FA0659" w:rsidRPr="006159D2">
        <w:rPr>
          <w:rFonts w:cs="Times New Roman"/>
          <w:szCs w:val="24"/>
          <w:shd w:val="clear" w:color="auto" w:fill="FFFFFF"/>
        </w:rPr>
        <w:t xml:space="preserve"> measuring the potential impact of compliance efforts.</w:t>
      </w:r>
      <w:r w:rsidR="00FA0659" w:rsidRPr="006159D2">
        <w:rPr>
          <w:rStyle w:val="FootnoteReference"/>
          <w:rFonts w:cs="Times New Roman"/>
          <w:szCs w:val="24"/>
          <w:shd w:val="clear" w:color="auto" w:fill="FFFFFF"/>
        </w:rPr>
        <w:footnoteReference w:id="65"/>
      </w:r>
      <w:r w:rsidR="00FA0659" w:rsidRPr="006159D2">
        <w:rPr>
          <w:rFonts w:cs="Times New Roman"/>
          <w:szCs w:val="24"/>
          <w:shd w:val="clear" w:color="auto" w:fill="FFFFFF"/>
        </w:rPr>
        <w:t xml:space="preserve"> </w:t>
      </w:r>
      <w:r w:rsidR="00A84A77">
        <w:rPr>
          <w:rFonts w:cs="Times New Roman"/>
          <w:szCs w:val="24"/>
          <w:shd w:val="clear" w:color="auto" w:fill="FFFFFF"/>
        </w:rPr>
        <w:t>To yield the best results, two research methods have been deployed</w:t>
      </w:r>
      <w:r w:rsidR="00383074">
        <w:rPr>
          <w:rFonts w:cs="Times New Roman"/>
          <w:szCs w:val="24"/>
          <w:shd w:val="clear" w:color="auto" w:fill="FFFFFF"/>
        </w:rPr>
        <w:t>.</w:t>
      </w:r>
      <w:r w:rsidR="00A84A77">
        <w:rPr>
          <w:rFonts w:cs="Times New Roman"/>
          <w:szCs w:val="24"/>
          <w:shd w:val="clear" w:color="auto" w:fill="FFFFFF"/>
        </w:rPr>
        <w:t xml:space="preserve"> First, the doctrinal method is </w:t>
      </w:r>
      <w:r w:rsidR="006E4AC3">
        <w:rPr>
          <w:rFonts w:cs="Times New Roman"/>
          <w:szCs w:val="24"/>
          <w:shd w:val="clear" w:color="auto" w:fill="FFFFFF"/>
        </w:rPr>
        <w:t>used to</w:t>
      </w:r>
      <w:r w:rsidR="00A84A77">
        <w:rPr>
          <w:rFonts w:cs="Times New Roman"/>
          <w:bCs/>
          <w:szCs w:val="24"/>
          <w:shd w:val="clear" w:color="auto" w:fill="FFFFFF"/>
        </w:rPr>
        <w:t xml:space="preserve"> </w:t>
      </w:r>
      <w:r w:rsidR="00FA0659" w:rsidRPr="006159D2">
        <w:rPr>
          <w:rFonts w:cs="Times New Roman"/>
          <w:bCs/>
          <w:szCs w:val="24"/>
          <w:shd w:val="clear" w:color="auto" w:fill="FFFFFF"/>
        </w:rPr>
        <w:t>analys</w:t>
      </w:r>
      <w:r w:rsidR="006E4AC3">
        <w:rPr>
          <w:rFonts w:cs="Times New Roman"/>
          <w:bCs/>
          <w:szCs w:val="24"/>
          <w:shd w:val="clear" w:color="auto" w:fill="FFFFFF"/>
        </w:rPr>
        <w:t>e</w:t>
      </w:r>
      <w:r w:rsidR="00FA0659" w:rsidRPr="006159D2">
        <w:rPr>
          <w:rFonts w:cs="Times New Roman"/>
          <w:bCs/>
          <w:szCs w:val="24"/>
          <w:shd w:val="clear" w:color="auto" w:fill="FFFFFF"/>
        </w:rPr>
        <w:t xml:space="preserve"> of the applicability of AML legislation to </w:t>
      </w:r>
      <w:r w:rsidR="009366FF">
        <w:rPr>
          <w:rFonts w:cs="Times New Roman"/>
          <w:bCs/>
          <w:szCs w:val="24"/>
          <w:shd w:val="clear" w:color="auto" w:fill="FFFFFF"/>
        </w:rPr>
        <w:t>HEIs</w:t>
      </w:r>
      <w:r w:rsidR="00A84A77">
        <w:rPr>
          <w:rFonts w:cs="Times New Roman"/>
          <w:bCs/>
          <w:szCs w:val="24"/>
          <w:shd w:val="clear" w:color="auto" w:fill="FFFFFF"/>
        </w:rPr>
        <w:t xml:space="preserve">. Second, the empirical method enables a better understanding of the </w:t>
      </w:r>
      <w:r w:rsidR="00FA0659" w:rsidRPr="006159D2">
        <w:rPr>
          <w:rFonts w:cs="Times New Roman"/>
          <w:bCs/>
          <w:szCs w:val="24"/>
          <w:shd w:val="clear" w:color="auto" w:fill="FFFFFF"/>
        </w:rPr>
        <w:t xml:space="preserve">AML measures taken by </w:t>
      </w:r>
      <w:r w:rsidR="00FA0659">
        <w:rPr>
          <w:rFonts w:cs="Times New Roman"/>
          <w:bCs/>
          <w:szCs w:val="24"/>
          <w:shd w:val="clear" w:color="auto" w:fill="FFFFFF"/>
        </w:rPr>
        <w:t>HEIs</w:t>
      </w:r>
      <w:r w:rsidR="00FA0659" w:rsidRPr="006159D2">
        <w:rPr>
          <w:rFonts w:cs="Times New Roman"/>
          <w:bCs/>
          <w:szCs w:val="24"/>
          <w:shd w:val="clear" w:color="auto" w:fill="FFFFFF"/>
        </w:rPr>
        <w:t xml:space="preserve"> in practice.</w:t>
      </w:r>
      <w:bookmarkStart w:id="16" w:name="_Ref125621348"/>
      <w:r w:rsidR="00D260FE" w:rsidRPr="006159D2">
        <w:rPr>
          <w:rStyle w:val="FootnoteReference"/>
          <w:rFonts w:cs="Times New Roman"/>
          <w:szCs w:val="24"/>
          <w:shd w:val="clear" w:color="auto" w:fill="FFFFFF"/>
        </w:rPr>
        <w:footnoteReference w:id="66"/>
      </w:r>
      <w:bookmarkEnd w:id="16"/>
      <w:r w:rsidR="00D260FE" w:rsidRPr="006159D2">
        <w:rPr>
          <w:rFonts w:cs="Times New Roman"/>
          <w:szCs w:val="24"/>
          <w:shd w:val="clear" w:color="auto" w:fill="FFFFFF"/>
        </w:rPr>
        <w:t xml:space="preserve"> </w:t>
      </w:r>
      <w:r w:rsidR="006E4AC3">
        <w:rPr>
          <w:rFonts w:cs="Times New Roman"/>
          <w:szCs w:val="24"/>
          <w:shd w:val="clear" w:color="auto" w:fill="FFFFFF"/>
        </w:rPr>
        <w:t>Several studies have empirically</w:t>
      </w:r>
      <w:r w:rsidR="00D260FE" w:rsidRPr="006159D2">
        <w:rPr>
          <w:rFonts w:cs="Times New Roman"/>
          <w:szCs w:val="24"/>
          <w:shd w:val="clear" w:color="auto" w:fill="FFFFFF"/>
        </w:rPr>
        <w:t xml:space="preserve"> investigat</w:t>
      </w:r>
      <w:r w:rsidR="006E4AC3">
        <w:rPr>
          <w:rFonts w:cs="Times New Roman"/>
          <w:szCs w:val="24"/>
          <w:shd w:val="clear" w:color="auto" w:fill="FFFFFF"/>
        </w:rPr>
        <w:t xml:space="preserve">ed </w:t>
      </w:r>
      <w:r w:rsidR="00D260FE" w:rsidRPr="006159D2">
        <w:rPr>
          <w:rFonts w:cs="Times New Roman"/>
          <w:szCs w:val="24"/>
          <w:shd w:val="clear" w:color="auto" w:fill="FFFFFF"/>
        </w:rPr>
        <w:t>the lived experience of bank employees,</w:t>
      </w:r>
      <w:r w:rsidR="00D260FE" w:rsidRPr="006159D2">
        <w:rPr>
          <w:rStyle w:val="FootnoteReference"/>
          <w:rFonts w:cs="Times New Roman"/>
          <w:szCs w:val="24"/>
          <w:shd w:val="clear" w:color="auto" w:fill="FFFFFF"/>
        </w:rPr>
        <w:footnoteReference w:id="67"/>
      </w:r>
      <w:r w:rsidR="0091018F">
        <w:rPr>
          <w:rFonts w:cs="Times New Roman"/>
          <w:szCs w:val="24"/>
          <w:shd w:val="clear" w:color="auto" w:fill="FFFFFF"/>
        </w:rPr>
        <w:t xml:space="preserve"> especially</w:t>
      </w:r>
      <w:r w:rsidR="00D260FE" w:rsidRPr="006159D2">
        <w:rPr>
          <w:rFonts w:cs="Times New Roman"/>
          <w:szCs w:val="24"/>
          <w:shd w:val="clear" w:color="auto" w:fill="FFFFFF"/>
        </w:rPr>
        <w:t xml:space="preserve"> </w:t>
      </w:r>
      <w:r w:rsidR="00F40A0A">
        <w:rPr>
          <w:rFonts w:cs="Times New Roman"/>
          <w:szCs w:val="24"/>
          <w:shd w:val="clear" w:color="auto" w:fill="FFFFFF"/>
        </w:rPr>
        <w:t>compliance</w:t>
      </w:r>
      <w:r w:rsidR="00D260FE" w:rsidRPr="006159D2">
        <w:rPr>
          <w:rFonts w:cs="Times New Roman"/>
          <w:szCs w:val="24"/>
          <w:shd w:val="clear" w:color="auto" w:fill="FFFFFF"/>
        </w:rPr>
        <w:t xml:space="preserve"> officers,</w:t>
      </w:r>
      <w:r w:rsidR="00D260FE" w:rsidRPr="006159D2">
        <w:rPr>
          <w:rStyle w:val="FootnoteReference"/>
          <w:rFonts w:cs="Times New Roman"/>
          <w:szCs w:val="24"/>
          <w:shd w:val="clear" w:color="auto" w:fill="FFFFFF"/>
        </w:rPr>
        <w:footnoteReference w:id="68"/>
      </w:r>
      <w:r w:rsidR="00D260FE" w:rsidRPr="006159D2">
        <w:rPr>
          <w:rFonts w:cs="Times New Roman"/>
          <w:szCs w:val="24"/>
          <w:shd w:val="clear" w:color="auto" w:fill="FFFFFF"/>
        </w:rPr>
        <w:t xml:space="preserve"> estate agents,</w:t>
      </w:r>
      <w:r w:rsidR="00D260FE" w:rsidRPr="006159D2">
        <w:rPr>
          <w:rStyle w:val="FootnoteReference"/>
          <w:rFonts w:cs="Times New Roman"/>
          <w:szCs w:val="24"/>
          <w:shd w:val="clear" w:color="auto" w:fill="FFFFFF"/>
        </w:rPr>
        <w:footnoteReference w:id="69"/>
      </w:r>
      <w:r w:rsidR="00D260FE" w:rsidRPr="006159D2">
        <w:rPr>
          <w:rFonts w:cs="Times New Roman"/>
          <w:szCs w:val="24"/>
          <w:shd w:val="clear" w:color="auto" w:fill="FFFFFF"/>
        </w:rPr>
        <w:t xml:space="preserve"> and lawyers,</w:t>
      </w:r>
      <w:r w:rsidR="00F8235A" w:rsidRPr="006159D2">
        <w:rPr>
          <w:rStyle w:val="FootnoteReference"/>
          <w:rFonts w:cs="Times New Roman"/>
          <w:szCs w:val="24"/>
          <w:shd w:val="clear" w:color="auto" w:fill="FFFFFF"/>
        </w:rPr>
        <w:footnoteReference w:id="70"/>
      </w:r>
      <w:r w:rsidR="00D260FE" w:rsidRPr="006159D2">
        <w:rPr>
          <w:rFonts w:cs="Times New Roman"/>
          <w:szCs w:val="24"/>
          <w:shd w:val="clear" w:color="auto" w:fill="FFFFFF"/>
        </w:rPr>
        <w:t xml:space="preserve"> in implementing </w:t>
      </w:r>
      <w:r w:rsidR="00CB37F9" w:rsidRPr="006159D2">
        <w:rPr>
          <w:rFonts w:cs="Times New Roman"/>
          <w:szCs w:val="24"/>
          <w:shd w:val="clear" w:color="auto" w:fill="FFFFFF"/>
        </w:rPr>
        <w:t>AML/CTF prevention measures</w:t>
      </w:r>
      <w:r w:rsidR="00D260FE" w:rsidRPr="006159D2">
        <w:rPr>
          <w:rFonts w:cs="Times New Roman"/>
          <w:szCs w:val="24"/>
          <w:shd w:val="clear" w:color="auto" w:fill="FFFFFF"/>
        </w:rPr>
        <w:t>.</w:t>
      </w:r>
      <w:r w:rsidR="00164BFC">
        <w:rPr>
          <w:rFonts w:cs="Times New Roman"/>
          <w:szCs w:val="24"/>
          <w:shd w:val="clear" w:color="auto" w:fill="FFFFFF"/>
        </w:rPr>
        <w:t xml:space="preserve"> As this research method has previously yielded positive results in understanding how the law works in practice, it shall be used for this research. </w:t>
      </w:r>
    </w:p>
    <w:p w14:paraId="445946EA" w14:textId="59D19D6A" w:rsidR="004154A1" w:rsidRDefault="006E4AC3" w:rsidP="00673D5B">
      <w:pPr>
        <w:spacing w:before="240" w:after="0" w:line="480" w:lineRule="auto"/>
        <w:rPr>
          <w:rFonts w:cs="Times New Roman"/>
          <w:bCs/>
          <w:szCs w:val="24"/>
          <w:shd w:val="clear" w:color="auto" w:fill="FFFFFF"/>
        </w:rPr>
      </w:pPr>
      <w:r>
        <w:rPr>
          <w:rFonts w:cs="Times New Roman"/>
          <w:szCs w:val="24"/>
          <w:shd w:val="clear" w:color="auto" w:fill="FFFFFF"/>
        </w:rPr>
        <w:t xml:space="preserve">Therefore, </w:t>
      </w:r>
      <w:r w:rsidR="004154A1" w:rsidRPr="006159D2">
        <w:rPr>
          <w:rFonts w:cs="Times New Roman"/>
          <w:bCs/>
          <w:szCs w:val="24"/>
          <w:shd w:val="clear" w:color="auto" w:fill="FFFFFF"/>
        </w:rPr>
        <w:t>FOI requests in the style of questionnaires were sent to 120 HEIs in the UK, identified by Universities UK,</w:t>
      </w:r>
      <w:r w:rsidR="004154A1" w:rsidRPr="006159D2">
        <w:rPr>
          <w:rFonts w:cs="Times New Roman"/>
          <w:bCs/>
          <w:szCs w:val="24"/>
          <w:shd w:val="clear" w:color="auto" w:fill="FFFFFF"/>
          <w:vertAlign w:val="superscript"/>
        </w:rPr>
        <w:footnoteReference w:id="71"/>
      </w:r>
      <w:r w:rsidR="004154A1" w:rsidRPr="006159D2">
        <w:rPr>
          <w:rFonts w:cs="Times New Roman"/>
          <w:bCs/>
          <w:szCs w:val="24"/>
          <w:shd w:val="clear" w:color="auto" w:fill="FFFFFF"/>
        </w:rPr>
        <w:t xml:space="preserve"> under the Freedom of Information Act 2000 and the Freedom </w:t>
      </w:r>
      <w:r w:rsidR="004154A1" w:rsidRPr="006159D2">
        <w:rPr>
          <w:rFonts w:cs="Times New Roman"/>
          <w:bCs/>
          <w:szCs w:val="24"/>
          <w:shd w:val="clear" w:color="auto" w:fill="FFFFFF"/>
        </w:rPr>
        <w:lastRenderedPageBreak/>
        <w:t>of Information (Scotland) Act 2002.</w:t>
      </w:r>
      <w:r w:rsidR="003977FA">
        <w:rPr>
          <w:rFonts w:cs="Times New Roman"/>
          <w:bCs/>
          <w:szCs w:val="24"/>
          <w:shd w:val="clear" w:color="auto" w:fill="FFFFFF"/>
        </w:rPr>
        <w:t xml:space="preserve"> </w:t>
      </w:r>
      <w:r w:rsidR="00383074">
        <w:rPr>
          <w:rFonts w:cs="Times New Roman"/>
          <w:bCs/>
          <w:szCs w:val="24"/>
          <w:shd w:val="clear" w:color="auto" w:fill="FFFFFF"/>
        </w:rPr>
        <w:t>T</w:t>
      </w:r>
      <w:r w:rsidR="004154A1" w:rsidRPr="006159D2">
        <w:rPr>
          <w:rFonts w:cs="Times New Roman"/>
          <w:bCs/>
          <w:szCs w:val="24"/>
          <w:shd w:val="clear" w:color="auto" w:fill="FFFFFF"/>
        </w:rPr>
        <w:t xml:space="preserve">his method allowed </w:t>
      </w:r>
      <w:r w:rsidR="00B84A4B">
        <w:rPr>
          <w:rFonts w:cs="Times New Roman"/>
          <w:bCs/>
          <w:szCs w:val="24"/>
          <w:shd w:val="clear" w:color="auto" w:fill="FFFFFF"/>
        </w:rPr>
        <w:t>the researchers</w:t>
      </w:r>
      <w:r w:rsidR="00B84A4B" w:rsidRPr="006159D2">
        <w:rPr>
          <w:rFonts w:cs="Times New Roman"/>
          <w:bCs/>
          <w:szCs w:val="24"/>
          <w:shd w:val="clear" w:color="auto" w:fill="FFFFFF"/>
        </w:rPr>
        <w:t xml:space="preserve"> </w:t>
      </w:r>
      <w:r w:rsidR="004154A1" w:rsidRPr="006159D2">
        <w:rPr>
          <w:rFonts w:cs="Times New Roman"/>
          <w:bCs/>
          <w:szCs w:val="24"/>
          <w:shd w:val="clear" w:color="auto" w:fill="FFFFFF"/>
        </w:rPr>
        <w:t xml:space="preserve">to gain access to unpublished data held by </w:t>
      </w:r>
      <w:r>
        <w:rPr>
          <w:rFonts w:cs="Times New Roman"/>
          <w:bCs/>
          <w:szCs w:val="24"/>
          <w:shd w:val="clear" w:color="auto" w:fill="FFFFFF"/>
        </w:rPr>
        <w:t>HEIs</w:t>
      </w:r>
      <w:r w:rsidR="004154A1" w:rsidRPr="006159D2">
        <w:rPr>
          <w:rFonts w:cs="Times New Roman"/>
          <w:bCs/>
          <w:szCs w:val="24"/>
          <w:shd w:val="clear" w:color="auto" w:fill="FFFFFF"/>
        </w:rPr>
        <w:t>, providing unique insights into the measures taken to prevent and detect money laundering</w:t>
      </w:r>
      <w:r w:rsidR="009951C6" w:rsidRPr="006159D2">
        <w:rPr>
          <w:rFonts w:cs="Times New Roman"/>
          <w:bCs/>
          <w:szCs w:val="24"/>
          <w:shd w:val="clear" w:color="auto" w:fill="FFFFFF"/>
        </w:rPr>
        <w:t xml:space="preserve"> and terrorism financing</w:t>
      </w:r>
      <w:r w:rsidR="004154A1" w:rsidRPr="006159D2">
        <w:rPr>
          <w:rFonts w:cs="Times New Roman"/>
          <w:bCs/>
          <w:szCs w:val="24"/>
          <w:shd w:val="clear" w:color="auto" w:fill="FFFFFF"/>
        </w:rPr>
        <w:t>.</w:t>
      </w:r>
      <w:r w:rsidR="004154A1" w:rsidRPr="006159D2">
        <w:rPr>
          <w:rFonts w:cs="Times New Roman"/>
          <w:bCs/>
          <w:szCs w:val="24"/>
          <w:shd w:val="clear" w:color="auto" w:fill="FFFFFF"/>
          <w:vertAlign w:val="superscript"/>
        </w:rPr>
        <w:footnoteReference w:id="72"/>
      </w:r>
      <w:r w:rsidR="004154A1" w:rsidRPr="006159D2">
        <w:rPr>
          <w:rFonts w:cs="Times New Roman"/>
          <w:bCs/>
          <w:szCs w:val="24"/>
          <w:shd w:val="clear" w:color="auto" w:fill="FFFFFF"/>
        </w:rPr>
        <w:t xml:space="preserve"> A standardised FOI request was used</w:t>
      </w:r>
      <w:r w:rsidR="00AC0E4C">
        <w:rPr>
          <w:rFonts w:cs="Times New Roman"/>
          <w:bCs/>
          <w:szCs w:val="24"/>
          <w:shd w:val="clear" w:color="auto" w:fill="FFFFFF"/>
        </w:rPr>
        <w:t xml:space="preserve">, enabling </w:t>
      </w:r>
      <w:r w:rsidR="004154A1" w:rsidRPr="006159D2">
        <w:rPr>
          <w:rFonts w:cs="Times New Roman"/>
          <w:bCs/>
          <w:szCs w:val="24"/>
          <w:shd w:val="clear" w:color="auto" w:fill="FFFFFF"/>
        </w:rPr>
        <w:t>comparisons to be drawn</w:t>
      </w:r>
      <w:r w:rsidR="004154A1" w:rsidRPr="006159D2">
        <w:rPr>
          <w:rFonts w:cs="Times New Roman"/>
          <w:bCs/>
          <w:szCs w:val="24"/>
          <w:shd w:val="clear" w:color="auto" w:fill="FFFFFF"/>
          <w:vertAlign w:val="superscript"/>
        </w:rPr>
        <w:footnoteReference w:id="73"/>
      </w:r>
      <w:r w:rsidR="004154A1" w:rsidRPr="006159D2">
        <w:rPr>
          <w:rFonts w:cs="Times New Roman"/>
          <w:bCs/>
          <w:szCs w:val="24"/>
          <w:shd w:val="clear" w:color="auto" w:fill="FFFFFF"/>
        </w:rPr>
        <w:t xml:space="preserve"> </w:t>
      </w:r>
      <w:r w:rsidR="00AC0E4C">
        <w:rPr>
          <w:rFonts w:cs="Times New Roman"/>
          <w:bCs/>
          <w:szCs w:val="24"/>
          <w:shd w:val="clear" w:color="auto" w:fill="FFFFFF"/>
        </w:rPr>
        <w:t xml:space="preserve">and thus </w:t>
      </w:r>
      <w:r w:rsidR="004154A1" w:rsidRPr="006159D2">
        <w:rPr>
          <w:rFonts w:cs="Times New Roman"/>
          <w:bCs/>
          <w:szCs w:val="24"/>
          <w:shd w:val="clear" w:color="auto" w:fill="FFFFFF"/>
        </w:rPr>
        <w:t>valuable insight</w:t>
      </w:r>
      <w:r w:rsidR="00AC0E4C">
        <w:rPr>
          <w:rFonts w:cs="Times New Roman"/>
          <w:bCs/>
          <w:szCs w:val="24"/>
          <w:shd w:val="clear" w:color="auto" w:fill="FFFFFF"/>
        </w:rPr>
        <w:t>s gained</w:t>
      </w:r>
      <w:r w:rsidR="004154A1" w:rsidRPr="006159D2">
        <w:rPr>
          <w:rFonts w:cs="Times New Roman"/>
          <w:bCs/>
          <w:szCs w:val="24"/>
          <w:shd w:val="clear" w:color="auto" w:fill="FFFFFF"/>
        </w:rPr>
        <w:t xml:space="preserve"> into the current application of the AML legislation by HEIs</w:t>
      </w:r>
      <w:r w:rsidR="009951C6" w:rsidRPr="006159D2">
        <w:rPr>
          <w:rFonts w:cs="Times New Roman"/>
          <w:bCs/>
          <w:szCs w:val="24"/>
          <w:shd w:val="clear" w:color="auto" w:fill="FFFFFF"/>
        </w:rPr>
        <w:t>. The</w:t>
      </w:r>
      <w:r w:rsidR="00A85AB5">
        <w:rPr>
          <w:rFonts w:cs="Times New Roman"/>
          <w:bCs/>
          <w:szCs w:val="24"/>
          <w:shd w:val="clear" w:color="auto" w:fill="FFFFFF"/>
        </w:rPr>
        <w:t xml:space="preserve"> overall </w:t>
      </w:r>
      <w:r w:rsidR="004154A1" w:rsidRPr="006159D2">
        <w:rPr>
          <w:rFonts w:cs="Times New Roman"/>
          <w:bCs/>
          <w:szCs w:val="24"/>
          <w:shd w:val="clear" w:color="auto" w:fill="FFFFFF"/>
        </w:rPr>
        <w:t>response rate to the FOI requests was high</w:t>
      </w:r>
      <w:r w:rsidR="00A85AB5">
        <w:rPr>
          <w:rFonts w:cs="Times New Roman"/>
          <w:bCs/>
          <w:szCs w:val="24"/>
          <w:shd w:val="clear" w:color="auto" w:fill="FFFFFF"/>
        </w:rPr>
        <w:t xml:space="preserve"> at </w:t>
      </w:r>
      <w:r w:rsidR="00A85AB5" w:rsidRPr="00A85AB5">
        <w:rPr>
          <w:rFonts w:cs="Times New Roman"/>
          <w:bCs/>
          <w:szCs w:val="24"/>
          <w:shd w:val="clear" w:color="auto" w:fill="FFFFFF"/>
        </w:rPr>
        <w:t>91.67</w:t>
      </w:r>
      <w:r w:rsidR="00472F68">
        <w:rPr>
          <w:rFonts w:cs="Times New Roman"/>
          <w:bCs/>
          <w:szCs w:val="24"/>
          <w:shd w:val="clear" w:color="auto" w:fill="FFFFFF"/>
        </w:rPr>
        <w:t>%</w:t>
      </w:r>
      <w:r w:rsidR="004154A1" w:rsidRPr="006159D2">
        <w:rPr>
          <w:rFonts w:cs="Times New Roman"/>
          <w:bCs/>
          <w:szCs w:val="24"/>
          <w:shd w:val="clear" w:color="auto" w:fill="FFFFFF"/>
        </w:rPr>
        <w:t xml:space="preserve">. Whilst some HEIs provided a full response to every question, others declined to answer some or all questions. As noted by </w:t>
      </w:r>
      <w:r w:rsidR="00620F4A">
        <w:rPr>
          <w:rFonts w:cs="Times New Roman"/>
          <w:bCs/>
          <w:szCs w:val="24"/>
          <w:shd w:val="clear" w:color="auto" w:fill="FFFFFF"/>
        </w:rPr>
        <w:t xml:space="preserve">Zavoli and </w:t>
      </w:r>
      <w:r w:rsidR="004154A1" w:rsidRPr="006159D2">
        <w:rPr>
          <w:rFonts w:cs="Times New Roman"/>
          <w:bCs/>
          <w:szCs w:val="24"/>
          <w:shd w:val="clear" w:color="auto" w:fill="FFFFFF"/>
        </w:rPr>
        <w:t xml:space="preserve">King, it is important to appreciate that </w:t>
      </w:r>
      <w:r w:rsidR="009857A1">
        <w:rPr>
          <w:rFonts w:cs="Times New Roman"/>
          <w:bCs/>
          <w:szCs w:val="24"/>
          <w:shd w:val="clear" w:color="auto" w:fill="FFFFFF"/>
        </w:rPr>
        <w:t>“</w:t>
      </w:r>
      <w:r w:rsidR="004154A1" w:rsidRPr="006159D2">
        <w:rPr>
          <w:rFonts w:cs="Times New Roman"/>
          <w:szCs w:val="24"/>
          <w:shd w:val="clear" w:color="auto" w:fill="FFFFFF"/>
        </w:rPr>
        <w:t>AML-research tends to arouse suspicion</w:t>
      </w:r>
      <w:r w:rsidR="00AC0E4C">
        <w:rPr>
          <w:rFonts w:cs="Times New Roman"/>
          <w:szCs w:val="24"/>
          <w:shd w:val="clear" w:color="auto" w:fill="FFFFFF"/>
        </w:rPr>
        <w:t>,</w:t>
      </w:r>
      <w:r w:rsidR="009857A1">
        <w:rPr>
          <w:rFonts w:cs="Times New Roman"/>
          <w:szCs w:val="24"/>
          <w:shd w:val="clear" w:color="auto" w:fill="FFFFFF"/>
        </w:rPr>
        <w:t>”</w:t>
      </w:r>
      <w:r w:rsidR="004154A1" w:rsidRPr="006159D2">
        <w:rPr>
          <w:rFonts w:cs="Times New Roman"/>
          <w:szCs w:val="24"/>
          <w:shd w:val="clear" w:color="auto" w:fill="FFFFFF"/>
          <w:vertAlign w:val="superscript"/>
        </w:rPr>
        <w:footnoteReference w:id="74"/>
      </w:r>
      <w:r w:rsidR="004154A1" w:rsidRPr="006159D2">
        <w:rPr>
          <w:rFonts w:cs="Times New Roman"/>
          <w:szCs w:val="24"/>
          <w:shd w:val="clear" w:color="auto" w:fill="FFFFFF"/>
        </w:rPr>
        <w:t xml:space="preserve"> </w:t>
      </w:r>
      <w:r w:rsidR="00AC0E4C">
        <w:rPr>
          <w:rFonts w:cs="Times New Roman"/>
          <w:szCs w:val="24"/>
          <w:shd w:val="clear" w:color="auto" w:fill="FFFFFF"/>
        </w:rPr>
        <w:t>which</w:t>
      </w:r>
      <w:r w:rsidR="00AC0E4C" w:rsidRPr="006159D2">
        <w:rPr>
          <w:rFonts w:cs="Times New Roman"/>
          <w:szCs w:val="24"/>
          <w:shd w:val="clear" w:color="auto" w:fill="FFFFFF"/>
        </w:rPr>
        <w:t xml:space="preserve"> </w:t>
      </w:r>
      <w:r w:rsidR="009951C6" w:rsidRPr="006159D2">
        <w:rPr>
          <w:rFonts w:cs="Times New Roman"/>
          <w:szCs w:val="24"/>
          <w:shd w:val="clear" w:color="auto" w:fill="FFFFFF"/>
        </w:rPr>
        <w:t>may</w:t>
      </w:r>
      <w:r w:rsidR="004154A1" w:rsidRPr="006159D2">
        <w:rPr>
          <w:rFonts w:cs="Times New Roman"/>
          <w:szCs w:val="24"/>
          <w:shd w:val="clear" w:color="auto" w:fill="FFFFFF"/>
        </w:rPr>
        <w:t xml:space="preserve"> </w:t>
      </w:r>
      <w:r w:rsidR="00AC0E4C">
        <w:rPr>
          <w:rFonts w:cs="Times New Roman"/>
          <w:szCs w:val="24"/>
          <w:shd w:val="clear" w:color="auto" w:fill="FFFFFF"/>
        </w:rPr>
        <w:t>explain</w:t>
      </w:r>
      <w:r w:rsidR="004154A1" w:rsidRPr="006159D2">
        <w:rPr>
          <w:rFonts w:cs="Times New Roman"/>
          <w:szCs w:val="24"/>
          <w:shd w:val="clear" w:color="auto" w:fill="FFFFFF"/>
        </w:rPr>
        <w:t xml:space="preserve"> why some HEIs declined to respond</w:t>
      </w:r>
      <w:r w:rsidR="00FC03CA">
        <w:rPr>
          <w:rFonts w:cs="Times New Roman"/>
          <w:szCs w:val="24"/>
          <w:shd w:val="clear" w:color="auto" w:fill="FFFFFF"/>
        </w:rPr>
        <w:t>,</w:t>
      </w:r>
      <w:r w:rsidR="004154A1" w:rsidRPr="006159D2">
        <w:rPr>
          <w:rFonts w:cs="Times New Roman"/>
          <w:szCs w:val="24"/>
          <w:shd w:val="clear" w:color="auto" w:fill="FFFFFF"/>
        </w:rPr>
        <w:t xml:space="preserve"> or provide</w:t>
      </w:r>
      <w:r w:rsidR="009951C6" w:rsidRPr="006159D2">
        <w:rPr>
          <w:rFonts w:cs="Times New Roman"/>
          <w:szCs w:val="24"/>
          <w:shd w:val="clear" w:color="auto" w:fill="FFFFFF"/>
        </w:rPr>
        <w:t>d</w:t>
      </w:r>
      <w:r w:rsidR="004154A1" w:rsidRPr="006159D2">
        <w:rPr>
          <w:rFonts w:cs="Times New Roman"/>
          <w:szCs w:val="24"/>
          <w:shd w:val="clear" w:color="auto" w:fill="FFFFFF"/>
        </w:rPr>
        <w:t xml:space="preserve"> a partial response to the request</w:t>
      </w:r>
      <w:r w:rsidR="009366FF">
        <w:rPr>
          <w:rFonts w:cs="Times New Roman"/>
          <w:szCs w:val="24"/>
          <w:shd w:val="clear" w:color="auto" w:fill="FFFFFF"/>
        </w:rPr>
        <w:t xml:space="preserve">, using statutory exemptions. </w:t>
      </w:r>
      <w:bookmarkStart w:id="17" w:name="_Hlk124427274"/>
      <w:r w:rsidR="009951C6" w:rsidRPr="006159D2">
        <w:rPr>
          <w:rFonts w:cs="Times New Roman"/>
          <w:bCs/>
          <w:szCs w:val="24"/>
          <w:shd w:val="clear" w:color="auto" w:fill="FFFFFF"/>
        </w:rPr>
        <w:t>However</w:t>
      </w:r>
      <w:r w:rsidR="004154A1" w:rsidRPr="006159D2">
        <w:rPr>
          <w:rFonts w:cs="Times New Roman"/>
          <w:bCs/>
          <w:szCs w:val="24"/>
          <w:shd w:val="clear" w:color="auto" w:fill="FFFFFF"/>
        </w:rPr>
        <w:t>, where a HEI declined to take part, it is not implied by this article that it is</w:t>
      </w:r>
      <w:r w:rsidR="00F87584">
        <w:rPr>
          <w:rFonts w:cs="Times New Roman"/>
          <w:bCs/>
          <w:szCs w:val="24"/>
          <w:shd w:val="clear" w:color="auto" w:fill="FFFFFF"/>
        </w:rPr>
        <w:t xml:space="preserve">, or </w:t>
      </w:r>
      <w:r w:rsidR="004154A1" w:rsidRPr="006159D2">
        <w:rPr>
          <w:rFonts w:cs="Times New Roman"/>
          <w:bCs/>
          <w:szCs w:val="24"/>
          <w:shd w:val="clear" w:color="auto" w:fill="FFFFFF"/>
        </w:rPr>
        <w:t>is not</w:t>
      </w:r>
      <w:r w:rsidR="00F87584">
        <w:rPr>
          <w:rFonts w:cs="Times New Roman"/>
          <w:bCs/>
          <w:szCs w:val="24"/>
          <w:shd w:val="clear" w:color="auto" w:fill="FFFFFF"/>
        </w:rPr>
        <w:t>,</w:t>
      </w:r>
      <w:r w:rsidR="004154A1" w:rsidRPr="006159D2">
        <w:rPr>
          <w:rFonts w:cs="Times New Roman"/>
          <w:bCs/>
          <w:szCs w:val="24"/>
          <w:shd w:val="clear" w:color="auto" w:fill="FFFFFF"/>
        </w:rPr>
        <w:t xml:space="preserve"> complying with the relevant AML legislation</w:t>
      </w:r>
      <w:r w:rsidR="00AC0E4C">
        <w:rPr>
          <w:rFonts w:cs="Times New Roman"/>
          <w:bCs/>
          <w:szCs w:val="24"/>
          <w:shd w:val="clear" w:color="auto" w:fill="FFFFFF"/>
        </w:rPr>
        <w:t xml:space="preserve">. </w:t>
      </w:r>
      <w:bookmarkEnd w:id="17"/>
    </w:p>
    <w:p w14:paraId="0F94D166" w14:textId="6E7409BD" w:rsidR="004154A1" w:rsidRPr="006159D2" w:rsidRDefault="004154A1" w:rsidP="00377664">
      <w:pPr>
        <w:pStyle w:val="Heading1"/>
        <w:spacing w:line="480" w:lineRule="auto"/>
        <w:jc w:val="both"/>
      </w:pPr>
      <w:r w:rsidRPr="006159D2">
        <w:t>A</w:t>
      </w:r>
      <w:r w:rsidR="00C266BD" w:rsidRPr="006159D2">
        <w:t>nti-</w:t>
      </w:r>
      <w:r w:rsidR="004C789B">
        <w:t>m</w:t>
      </w:r>
      <w:r w:rsidR="00C266BD" w:rsidRPr="006159D2">
        <w:t xml:space="preserve">oney </w:t>
      </w:r>
      <w:r w:rsidR="004C789B">
        <w:t>l</w:t>
      </w:r>
      <w:r w:rsidR="00C266BD" w:rsidRPr="006159D2">
        <w:t xml:space="preserve">aundering and </w:t>
      </w:r>
      <w:r w:rsidR="004C789B">
        <w:t>c</w:t>
      </w:r>
      <w:r w:rsidR="00C266BD" w:rsidRPr="006159D2">
        <w:t>ounter-</w:t>
      </w:r>
      <w:r w:rsidR="004C789B">
        <w:t>t</w:t>
      </w:r>
      <w:r w:rsidR="00C266BD" w:rsidRPr="006159D2">
        <w:t xml:space="preserve">errorism </w:t>
      </w:r>
      <w:r w:rsidR="004C789B">
        <w:t>f</w:t>
      </w:r>
      <w:r w:rsidR="00C266BD" w:rsidRPr="006159D2">
        <w:t xml:space="preserve">inancing </w:t>
      </w:r>
      <w:r w:rsidR="004C789B">
        <w:t>r</w:t>
      </w:r>
      <w:r w:rsidRPr="006159D2">
        <w:t>egulation</w:t>
      </w:r>
      <w:r w:rsidR="00C86BE1" w:rsidRPr="006159D2">
        <w:t xml:space="preserve"> and its </w:t>
      </w:r>
      <w:r w:rsidR="004C789B">
        <w:t>a</w:t>
      </w:r>
      <w:r w:rsidR="00C86BE1" w:rsidRPr="006159D2">
        <w:t>pplication</w:t>
      </w:r>
      <w:r w:rsidRPr="006159D2">
        <w:t xml:space="preserve"> to </w:t>
      </w:r>
      <w:r w:rsidR="004C789B">
        <w:t>HEIs</w:t>
      </w:r>
    </w:p>
    <w:p w14:paraId="1961201E" w14:textId="20C7A6F5" w:rsidR="00745C6A" w:rsidRPr="006159D2" w:rsidRDefault="00745C6A" w:rsidP="00673D5B">
      <w:pPr>
        <w:spacing w:before="240" w:after="0" w:line="480" w:lineRule="auto"/>
        <w:rPr>
          <w:rFonts w:cs="Times New Roman"/>
          <w:bCs/>
          <w:szCs w:val="24"/>
        </w:rPr>
      </w:pPr>
      <w:r w:rsidRPr="006159D2">
        <w:rPr>
          <w:rFonts w:cs="Times New Roman"/>
          <w:bCs/>
          <w:szCs w:val="24"/>
        </w:rPr>
        <w:t>The approach to money laundering in the UK has two broad elements</w:t>
      </w:r>
      <w:r w:rsidR="00164BFC">
        <w:rPr>
          <w:rFonts w:cs="Times New Roman"/>
          <w:bCs/>
          <w:szCs w:val="24"/>
        </w:rPr>
        <w:t>:</w:t>
      </w:r>
      <w:r w:rsidRPr="006159D2">
        <w:rPr>
          <w:rFonts w:cs="Times New Roman"/>
          <w:bCs/>
          <w:szCs w:val="24"/>
        </w:rPr>
        <w:t xml:space="preserve"> criminalisation and preventive measures. </w:t>
      </w:r>
      <w:r w:rsidR="00364C4E">
        <w:rPr>
          <w:rFonts w:cs="Times New Roman"/>
          <w:bCs/>
          <w:szCs w:val="24"/>
        </w:rPr>
        <w:t xml:space="preserve">POCA contains </w:t>
      </w:r>
      <w:r w:rsidRPr="006159D2">
        <w:rPr>
          <w:rFonts w:cs="Times New Roman"/>
          <w:bCs/>
          <w:szCs w:val="24"/>
        </w:rPr>
        <w:t xml:space="preserve">three principal </w:t>
      </w:r>
      <w:r w:rsidR="00364C4E">
        <w:rPr>
          <w:rFonts w:cs="Times New Roman"/>
          <w:bCs/>
          <w:szCs w:val="24"/>
        </w:rPr>
        <w:t xml:space="preserve">money laundering </w:t>
      </w:r>
      <w:r w:rsidRPr="006159D2">
        <w:rPr>
          <w:rFonts w:cs="Times New Roman"/>
          <w:bCs/>
          <w:szCs w:val="24"/>
        </w:rPr>
        <w:t>offences of concealing,</w:t>
      </w:r>
      <w:r w:rsidRPr="006159D2">
        <w:rPr>
          <w:rFonts w:cs="Times New Roman"/>
          <w:bCs/>
          <w:szCs w:val="24"/>
          <w:vertAlign w:val="superscript"/>
        </w:rPr>
        <w:footnoteReference w:id="75"/>
      </w:r>
      <w:r w:rsidRPr="006159D2">
        <w:rPr>
          <w:rFonts w:cs="Times New Roman"/>
          <w:bCs/>
          <w:szCs w:val="24"/>
        </w:rPr>
        <w:t xml:space="preserve"> arrangements,</w:t>
      </w:r>
      <w:r w:rsidRPr="006159D2">
        <w:rPr>
          <w:rFonts w:cs="Times New Roman"/>
          <w:bCs/>
          <w:szCs w:val="24"/>
          <w:vertAlign w:val="superscript"/>
        </w:rPr>
        <w:footnoteReference w:id="76"/>
      </w:r>
      <w:r w:rsidRPr="006159D2">
        <w:rPr>
          <w:rFonts w:cs="Times New Roman"/>
          <w:bCs/>
          <w:szCs w:val="24"/>
        </w:rPr>
        <w:t xml:space="preserve"> and acquisition.</w:t>
      </w:r>
      <w:r w:rsidRPr="006159D2">
        <w:rPr>
          <w:rFonts w:cs="Times New Roman"/>
          <w:bCs/>
          <w:szCs w:val="24"/>
          <w:vertAlign w:val="superscript"/>
        </w:rPr>
        <w:footnoteReference w:id="77"/>
      </w:r>
      <w:r w:rsidRPr="006159D2">
        <w:rPr>
          <w:rFonts w:cs="Times New Roman"/>
          <w:bCs/>
          <w:szCs w:val="24"/>
        </w:rPr>
        <w:t xml:space="preserve"> The preventative measures are found within </w:t>
      </w:r>
      <w:r w:rsidRPr="006159D2">
        <w:rPr>
          <w:rFonts w:cs="Times New Roman"/>
          <w:bCs/>
          <w:szCs w:val="24"/>
        </w:rPr>
        <w:lastRenderedPageBreak/>
        <w:t>the Regulations</w:t>
      </w:r>
      <w:r w:rsidR="00E362E6">
        <w:rPr>
          <w:rFonts w:cs="Times New Roman"/>
          <w:bCs/>
          <w:szCs w:val="24"/>
        </w:rPr>
        <w:t>,</w:t>
      </w:r>
      <w:r w:rsidRPr="006159D2">
        <w:rPr>
          <w:rFonts w:cs="Times New Roman"/>
          <w:bCs/>
          <w:szCs w:val="24"/>
          <w:vertAlign w:val="superscript"/>
        </w:rPr>
        <w:footnoteReference w:id="78"/>
      </w:r>
      <w:r w:rsidR="00E362E6">
        <w:rPr>
          <w:rFonts w:cs="Times New Roman"/>
          <w:bCs/>
          <w:szCs w:val="24"/>
        </w:rPr>
        <w:t xml:space="preserve"> which </w:t>
      </w:r>
      <w:r w:rsidRPr="006159D2">
        <w:rPr>
          <w:rFonts w:cs="Times New Roman"/>
          <w:bCs/>
          <w:szCs w:val="24"/>
        </w:rPr>
        <w:t xml:space="preserve">were amended to comply with the Fifth </w:t>
      </w:r>
      <w:r w:rsidR="00BD3E63">
        <w:rPr>
          <w:rFonts w:cs="Times New Roman"/>
          <w:bCs/>
          <w:szCs w:val="24"/>
        </w:rPr>
        <w:t>Anti-</w:t>
      </w:r>
      <w:r w:rsidRPr="006159D2">
        <w:rPr>
          <w:rFonts w:cs="Times New Roman"/>
          <w:bCs/>
          <w:szCs w:val="24"/>
        </w:rPr>
        <w:t>Money Laundering Directive</w:t>
      </w:r>
      <w:r w:rsidR="00B2142A">
        <w:rPr>
          <w:rFonts w:cs="Times New Roman"/>
          <w:bCs/>
          <w:szCs w:val="24"/>
        </w:rPr>
        <w:t>.</w:t>
      </w:r>
      <w:r w:rsidR="00BD3E63">
        <w:rPr>
          <w:rStyle w:val="FootnoteReference"/>
          <w:rFonts w:cs="Times New Roman"/>
          <w:bCs/>
          <w:szCs w:val="24"/>
        </w:rPr>
        <w:footnoteReference w:id="79"/>
      </w:r>
      <w:r w:rsidRPr="006159D2">
        <w:rPr>
          <w:rFonts w:cs="Times New Roman"/>
          <w:bCs/>
          <w:szCs w:val="24"/>
        </w:rPr>
        <w:t xml:space="preserve"> The</w:t>
      </w:r>
      <w:r w:rsidR="0006111F">
        <w:rPr>
          <w:rFonts w:cs="Times New Roman"/>
          <w:bCs/>
          <w:szCs w:val="24"/>
        </w:rPr>
        <w:t xml:space="preserve"> </w:t>
      </w:r>
      <w:r w:rsidR="00C143BE">
        <w:rPr>
          <w:rFonts w:cs="Times New Roman"/>
          <w:bCs/>
          <w:szCs w:val="24"/>
        </w:rPr>
        <w:t>POCA</w:t>
      </w:r>
      <w:r w:rsidRPr="006159D2">
        <w:rPr>
          <w:rFonts w:cs="Times New Roman"/>
          <w:bCs/>
          <w:szCs w:val="24"/>
        </w:rPr>
        <w:t xml:space="preserve"> also contains an offence of failing to report suspicious activity for those in the regulated sector.</w:t>
      </w:r>
      <w:r w:rsidR="00BD3E63">
        <w:rPr>
          <w:rStyle w:val="FootnoteReference"/>
          <w:rFonts w:cs="Times New Roman"/>
          <w:bCs/>
          <w:szCs w:val="24"/>
        </w:rPr>
        <w:footnoteReference w:id="80"/>
      </w:r>
      <w:r w:rsidRPr="006159D2">
        <w:rPr>
          <w:rFonts w:cs="Times New Roman"/>
          <w:bCs/>
          <w:szCs w:val="24"/>
        </w:rPr>
        <w:t xml:space="preserve"> The FATF</w:t>
      </w:r>
      <w:r w:rsidR="00B2142A">
        <w:rPr>
          <w:rFonts w:cs="Times New Roman"/>
          <w:bCs/>
          <w:szCs w:val="24"/>
        </w:rPr>
        <w:t xml:space="preserve"> UK</w:t>
      </w:r>
      <w:r w:rsidRPr="006159D2">
        <w:rPr>
          <w:rFonts w:cs="Times New Roman"/>
          <w:bCs/>
          <w:szCs w:val="24"/>
        </w:rPr>
        <w:t xml:space="preserve"> Mutual Evaluation Report found that with regard to </w:t>
      </w:r>
      <w:r w:rsidR="009857A1">
        <w:rPr>
          <w:rFonts w:cs="Times New Roman"/>
          <w:bCs/>
          <w:szCs w:val="24"/>
        </w:rPr>
        <w:t>“</w:t>
      </w:r>
      <w:r w:rsidRPr="006159D2">
        <w:rPr>
          <w:rFonts w:cs="Times New Roman"/>
          <w:bCs/>
          <w:szCs w:val="24"/>
        </w:rPr>
        <w:t>technical compliance, the legal framework is particularly strong</w:t>
      </w:r>
      <w:r w:rsidR="009857A1">
        <w:rPr>
          <w:rFonts w:cs="Times New Roman"/>
          <w:bCs/>
          <w:szCs w:val="24"/>
        </w:rPr>
        <w:t>”</w:t>
      </w:r>
      <w:bookmarkStart w:id="18" w:name="_Ref125627075"/>
      <w:r w:rsidRPr="006159D2">
        <w:rPr>
          <w:rFonts w:cs="Times New Roman"/>
          <w:bCs/>
          <w:szCs w:val="24"/>
          <w:vertAlign w:val="superscript"/>
        </w:rPr>
        <w:footnoteReference w:id="81"/>
      </w:r>
      <w:bookmarkEnd w:id="18"/>
      <w:r w:rsidRPr="006159D2">
        <w:rPr>
          <w:rFonts w:cs="Times New Roman"/>
          <w:bCs/>
          <w:szCs w:val="24"/>
        </w:rPr>
        <w:t xml:space="preserve"> but that </w:t>
      </w:r>
      <w:r w:rsidR="009857A1">
        <w:rPr>
          <w:rFonts w:cs="Times New Roman"/>
          <w:bCs/>
          <w:szCs w:val="24"/>
        </w:rPr>
        <w:t>“</w:t>
      </w:r>
      <w:r w:rsidRPr="006159D2">
        <w:rPr>
          <w:rFonts w:cs="Times New Roman"/>
          <w:bCs/>
          <w:szCs w:val="24"/>
        </w:rPr>
        <w:t>major improvements are needed to strengthen supervision and implementation of preventive measures</w:t>
      </w:r>
      <w:r w:rsidR="009857A1">
        <w:rPr>
          <w:rFonts w:cs="Times New Roman"/>
          <w:bCs/>
          <w:szCs w:val="24"/>
        </w:rPr>
        <w:t>”</w:t>
      </w:r>
      <w:r w:rsidRPr="006159D2">
        <w:rPr>
          <w:rFonts w:cs="Times New Roman"/>
          <w:bCs/>
          <w:szCs w:val="24"/>
        </w:rPr>
        <w:t>.</w:t>
      </w:r>
      <w:r w:rsidRPr="006159D2">
        <w:rPr>
          <w:rFonts w:cs="Times New Roman"/>
          <w:bCs/>
          <w:szCs w:val="24"/>
          <w:vertAlign w:val="superscript"/>
        </w:rPr>
        <w:footnoteReference w:id="82"/>
      </w:r>
    </w:p>
    <w:p w14:paraId="7F04A5EA" w14:textId="0EE0E838" w:rsidR="00745C6A" w:rsidRPr="006159D2" w:rsidRDefault="00745C6A" w:rsidP="00673D5B">
      <w:pPr>
        <w:spacing w:before="240" w:after="0" w:line="480" w:lineRule="auto"/>
        <w:rPr>
          <w:rFonts w:cs="Times New Roman"/>
          <w:szCs w:val="24"/>
        </w:rPr>
      </w:pPr>
      <w:r w:rsidRPr="006159D2">
        <w:rPr>
          <w:rFonts w:cs="Times New Roman"/>
          <w:szCs w:val="24"/>
        </w:rPr>
        <w:t xml:space="preserve">The principal criminal offences relating to terrorist financing include </w:t>
      </w:r>
      <w:r w:rsidR="00225BD3">
        <w:rPr>
          <w:rFonts w:cs="Times New Roman"/>
          <w:szCs w:val="24"/>
        </w:rPr>
        <w:t xml:space="preserve">fund </w:t>
      </w:r>
      <w:r w:rsidRPr="006159D2">
        <w:rPr>
          <w:rFonts w:cs="Times New Roman"/>
          <w:szCs w:val="24"/>
        </w:rPr>
        <w:t>raising</w:t>
      </w:r>
      <w:r w:rsidR="00B2142A">
        <w:rPr>
          <w:rFonts w:cs="Times New Roman"/>
          <w:szCs w:val="24"/>
        </w:rPr>
        <w:t>,</w:t>
      </w:r>
      <w:r w:rsidRPr="006159D2">
        <w:rPr>
          <w:rStyle w:val="FootnoteReference"/>
          <w:rFonts w:cs="Times New Roman"/>
          <w:bCs/>
          <w:szCs w:val="24"/>
        </w:rPr>
        <w:footnoteReference w:id="83"/>
      </w:r>
      <w:r w:rsidRPr="006159D2">
        <w:rPr>
          <w:rFonts w:cs="Times New Roman"/>
          <w:szCs w:val="24"/>
        </w:rPr>
        <w:t xml:space="preserve"> using or possessing funds for the purpose of terrorism</w:t>
      </w:r>
      <w:r w:rsidR="00B2142A">
        <w:rPr>
          <w:rFonts w:cs="Times New Roman"/>
          <w:szCs w:val="24"/>
        </w:rPr>
        <w:t>,</w:t>
      </w:r>
      <w:r w:rsidRPr="006159D2">
        <w:rPr>
          <w:rStyle w:val="FootnoteReference"/>
          <w:rFonts w:cs="Times New Roman"/>
          <w:bCs/>
          <w:szCs w:val="24"/>
        </w:rPr>
        <w:footnoteReference w:id="84"/>
      </w:r>
      <w:r w:rsidRPr="006159D2">
        <w:rPr>
          <w:rFonts w:cs="Times New Roman"/>
          <w:szCs w:val="24"/>
        </w:rPr>
        <w:t xml:space="preserve"> becoming involved in an arrangement which makes funds available for terrorism</w:t>
      </w:r>
      <w:r w:rsidR="00B2142A">
        <w:rPr>
          <w:rFonts w:cs="Times New Roman"/>
          <w:szCs w:val="24"/>
        </w:rPr>
        <w:t>,</w:t>
      </w:r>
      <w:r w:rsidRPr="006159D2">
        <w:rPr>
          <w:rStyle w:val="FootnoteReference"/>
          <w:rFonts w:cs="Times New Roman"/>
          <w:bCs/>
          <w:szCs w:val="24"/>
        </w:rPr>
        <w:footnoteReference w:id="85"/>
      </w:r>
      <w:r w:rsidRPr="006159D2">
        <w:rPr>
          <w:rFonts w:cs="Times New Roman"/>
          <w:szCs w:val="24"/>
        </w:rPr>
        <w:t xml:space="preserve"> and facilitating the laundering of terrorist </w:t>
      </w:r>
      <w:r w:rsidR="00B2142A">
        <w:rPr>
          <w:rFonts w:cs="Times New Roman"/>
          <w:szCs w:val="24"/>
        </w:rPr>
        <w:t>funds</w:t>
      </w:r>
      <w:r w:rsidRPr="006159D2">
        <w:rPr>
          <w:rFonts w:cs="Times New Roman"/>
          <w:szCs w:val="24"/>
        </w:rPr>
        <w:t>.</w:t>
      </w:r>
      <w:r w:rsidRPr="006159D2">
        <w:rPr>
          <w:rStyle w:val="FootnoteReference"/>
          <w:rFonts w:cs="Times New Roman"/>
          <w:bCs/>
          <w:szCs w:val="24"/>
        </w:rPr>
        <w:footnoteReference w:id="86"/>
      </w:r>
      <w:r w:rsidRPr="006159D2">
        <w:rPr>
          <w:rFonts w:cs="Times New Roman"/>
          <w:szCs w:val="24"/>
        </w:rPr>
        <w:t xml:space="preserve"> Additional offences include failing to disclose information about the occurrence of terrorist financing,</w:t>
      </w:r>
      <w:r w:rsidRPr="006159D2">
        <w:rPr>
          <w:rStyle w:val="FootnoteReference"/>
          <w:rFonts w:cs="Times New Roman"/>
          <w:bCs/>
          <w:szCs w:val="24"/>
        </w:rPr>
        <w:footnoteReference w:id="87"/>
      </w:r>
      <w:r w:rsidRPr="006159D2">
        <w:rPr>
          <w:rFonts w:cs="Times New Roman"/>
          <w:szCs w:val="24"/>
        </w:rPr>
        <w:t xml:space="preserve"> making insurance payments when there is reasonable cause to suspect the money will finance terrorism</w:t>
      </w:r>
      <w:r w:rsidRPr="006159D2">
        <w:rPr>
          <w:rStyle w:val="FootnoteReference"/>
          <w:rFonts w:cs="Times New Roman"/>
          <w:bCs/>
          <w:szCs w:val="24"/>
        </w:rPr>
        <w:footnoteReference w:id="88"/>
      </w:r>
      <w:r w:rsidRPr="006159D2">
        <w:rPr>
          <w:rFonts w:cs="Times New Roman"/>
          <w:szCs w:val="24"/>
        </w:rPr>
        <w:t xml:space="preserve"> and, for those working in the regulated financial sector, tipping off.</w:t>
      </w:r>
      <w:r w:rsidRPr="006159D2">
        <w:rPr>
          <w:rStyle w:val="FootnoteReference"/>
          <w:rFonts w:cs="Times New Roman"/>
          <w:bCs/>
          <w:szCs w:val="24"/>
        </w:rPr>
        <w:footnoteReference w:id="89"/>
      </w:r>
      <w:r w:rsidRPr="006159D2">
        <w:rPr>
          <w:rFonts w:cs="Times New Roman"/>
          <w:szCs w:val="24"/>
        </w:rPr>
        <w:t xml:space="preserve"> </w:t>
      </w:r>
    </w:p>
    <w:p w14:paraId="10403216" w14:textId="2805D664" w:rsidR="00745C6A" w:rsidRPr="006159D2" w:rsidRDefault="00745C6A" w:rsidP="00673D5B">
      <w:pPr>
        <w:spacing w:before="240" w:after="0" w:line="480" w:lineRule="auto"/>
        <w:rPr>
          <w:rFonts w:cs="Times New Roman"/>
          <w:bCs/>
          <w:szCs w:val="24"/>
        </w:rPr>
      </w:pPr>
      <w:r w:rsidRPr="006159D2">
        <w:rPr>
          <w:rFonts w:cs="Times New Roman"/>
          <w:bCs/>
          <w:szCs w:val="24"/>
        </w:rPr>
        <w:lastRenderedPageBreak/>
        <w:t xml:space="preserve">The preventative measures can be divided into two broad elements: data collection in the form of record keeping and completing </w:t>
      </w:r>
      <w:r w:rsidR="005E595D">
        <w:rPr>
          <w:rFonts w:cs="Times New Roman"/>
          <w:bCs/>
          <w:szCs w:val="24"/>
        </w:rPr>
        <w:t>C</w:t>
      </w:r>
      <w:r w:rsidRPr="006159D2">
        <w:rPr>
          <w:rFonts w:cs="Times New Roman"/>
          <w:bCs/>
          <w:szCs w:val="24"/>
        </w:rPr>
        <w:t xml:space="preserve">ustomer </w:t>
      </w:r>
      <w:r w:rsidR="005E595D">
        <w:rPr>
          <w:rFonts w:cs="Times New Roman"/>
          <w:bCs/>
          <w:szCs w:val="24"/>
        </w:rPr>
        <w:t>D</w:t>
      </w:r>
      <w:r w:rsidRPr="006159D2">
        <w:rPr>
          <w:rFonts w:cs="Times New Roman"/>
          <w:bCs/>
          <w:szCs w:val="24"/>
        </w:rPr>
        <w:t xml:space="preserve">ue </w:t>
      </w:r>
      <w:r w:rsidR="005E595D">
        <w:rPr>
          <w:rFonts w:cs="Times New Roman"/>
          <w:bCs/>
          <w:szCs w:val="24"/>
        </w:rPr>
        <w:t>D</w:t>
      </w:r>
      <w:r w:rsidRPr="006159D2">
        <w:rPr>
          <w:rFonts w:cs="Times New Roman"/>
          <w:bCs/>
          <w:szCs w:val="24"/>
        </w:rPr>
        <w:t>iligence (CDD) requirements, and, reporting requirements, which take the form of</w:t>
      </w:r>
      <w:r w:rsidR="0020167E">
        <w:rPr>
          <w:rFonts w:cs="Times New Roman"/>
          <w:bCs/>
          <w:szCs w:val="24"/>
        </w:rPr>
        <w:t xml:space="preserve"> </w:t>
      </w:r>
      <w:r w:rsidRPr="006159D2">
        <w:rPr>
          <w:rFonts w:cs="Times New Roman"/>
          <w:bCs/>
          <w:szCs w:val="24"/>
        </w:rPr>
        <w:t xml:space="preserve">SARs. </w:t>
      </w:r>
      <w:r w:rsidR="004D6016">
        <w:rPr>
          <w:rFonts w:cs="Times New Roman"/>
          <w:bCs/>
          <w:szCs w:val="24"/>
        </w:rPr>
        <w:t xml:space="preserve">The </w:t>
      </w:r>
      <w:r w:rsidRPr="006159D2">
        <w:rPr>
          <w:rFonts w:cs="Times New Roman"/>
          <w:bCs/>
          <w:szCs w:val="24"/>
        </w:rPr>
        <w:t>Regulation</w:t>
      </w:r>
      <w:r w:rsidR="004D6016">
        <w:rPr>
          <w:rFonts w:cs="Times New Roman"/>
          <w:bCs/>
          <w:szCs w:val="24"/>
        </w:rPr>
        <w:t xml:space="preserve">s </w:t>
      </w:r>
      <w:r w:rsidR="00B2142A">
        <w:rPr>
          <w:rFonts w:cs="Times New Roman"/>
          <w:bCs/>
          <w:szCs w:val="24"/>
        </w:rPr>
        <w:t>require</w:t>
      </w:r>
      <w:r w:rsidR="004D6016">
        <w:rPr>
          <w:rFonts w:cs="Times New Roman"/>
          <w:bCs/>
          <w:szCs w:val="24"/>
        </w:rPr>
        <w:t xml:space="preserve"> </w:t>
      </w:r>
      <w:r w:rsidRPr="006159D2">
        <w:rPr>
          <w:rFonts w:cs="Times New Roman"/>
          <w:bCs/>
          <w:szCs w:val="24"/>
        </w:rPr>
        <w:t xml:space="preserve">CDD measures </w:t>
      </w:r>
      <w:r w:rsidR="00B2142A">
        <w:rPr>
          <w:rFonts w:cs="Times New Roman"/>
          <w:bCs/>
          <w:szCs w:val="24"/>
        </w:rPr>
        <w:t>to</w:t>
      </w:r>
      <w:r w:rsidR="00B2142A" w:rsidRPr="006159D2">
        <w:rPr>
          <w:rFonts w:cs="Times New Roman"/>
          <w:bCs/>
          <w:szCs w:val="24"/>
        </w:rPr>
        <w:t xml:space="preserve"> </w:t>
      </w:r>
      <w:r w:rsidRPr="006159D2">
        <w:rPr>
          <w:rFonts w:cs="Times New Roman"/>
          <w:bCs/>
          <w:szCs w:val="24"/>
        </w:rPr>
        <w:t>be applied when a business relationship is first established,</w:t>
      </w:r>
      <w:r w:rsidRPr="006159D2">
        <w:rPr>
          <w:rFonts w:cs="Times New Roman"/>
          <w:bCs/>
          <w:szCs w:val="24"/>
          <w:vertAlign w:val="superscript"/>
        </w:rPr>
        <w:footnoteReference w:id="90"/>
      </w:r>
      <w:r w:rsidRPr="006159D2">
        <w:rPr>
          <w:rFonts w:cs="Times New Roman"/>
          <w:bCs/>
          <w:szCs w:val="24"/>
        </w:rPr>
        <w:t xml:space="preserve"> when an occasional transaction exceeding €1,000 takes place,</w:t>
      </w:r>
      <w:r w:rsidRPr="006159D2">
        <w:rPr>
          <w:rFonts w:cs="Times New Roman"/>
          <w:bCs/>
          <w:szCs w:val="24"/>
          <w:vertAlign w:val="superscript"/>
        </w:rPr>
        <w:footnoteReference w:id="91"/>
      </w:r>
      <w:r w:rsidRPr="006159D2">
        <w:rPr>
          <w:rFonts w:cs="Times New Roman"/>
          <w:bCs/>
          <w:szCs w:val="24"/>
        </w:rPr>
        <w:t xml:space="preserve"> where money laundering is suspected,</w:t>
      </w:r>
      <w:r w:rsidRPr="006159D2">
        <w:rPr>
          <w:rFonts w:cs="Times New Roman"/>
          <w:bCs/>
          <w:szCs w:val="24"/>
          <w:vertAlign w:val="superscript"/>
        </w:rPr>
        <w:footnoteReference w:id="92"/>
      </w:r>
      <w:r w:rsidRPr="006159D2">
        <w:rPr>
          <w:rFonts w:cs="Times New Roman"/>
          <w:bCs/>
          <w:szCs w:val="24"/>
        </w:rPr>
        <w:t xml:space="preserve"> or where the </w:t>
      </w:r>
      <w:r w:rsidR="003F137F">
        <w:rPr>
          <w:rFonts w:cs="Times New Roman"/>
          <w:bCs/>
          <w:szCs w:val="24"/>
        </w:rPr>
        <w:t>“</w:t>
      </w:r>
      <w:r w:rsidRPr="006159D2">
        <w:rPr>
          <w:rFonts w:cs="Times New Roman"/>
          <w:bCs/>
          <w:szCs w:val="24"/>
        </w:rPr>
        <w:t>veracity or adequacy</w:t>
      </w:r>
      <w:r w:rsidR="003F137F">
        <w:rPr>
          <w:rFonts w:cs="Times New Roman"/>
          <w:bCs/>
          <w:szCs w:val="24"/>
        </w:rPr>
        <w:t>”</w:t>
      </w:r>
      <w:r w:rsidRPr="006159D2">
        <w:rPr>
          <w:rFonts w:cs="Times New Roman"/>
          <w:bCs/>
          <w:szCs w:val="24"/>
          <w:vertAlign w:val="superscript"/>
        </w:rPr>
        <w:footnoteReference w:id="93"/>
      </w:r>
      <w:r w:rsidRPr="006159D2">
        <w:rPr>
          <w:rFonts w:cs="Times New Roman"/>
          <w:bCs/>
          <w:szCs w:val="24"/>
        </w:rPr>
        <w:t xml:space="preserve"> of previously obtained information is doubted.</w:t>
      </w:r>
      <w:r w:rsidRPr="006159D2">
        <w:rPr>
          <w:rFonts w:cs="Times New Roman"/>
          <w:bCs/>
          <w:szCs w:val="24"/>
          <w:vertAlign w:val="superscript"/>
        </w:rPr>
        <w:footnoteReference w:id="94"/>
      </w:r>
      <w:r w:rsidRPr="006159D2">
        <w:rPr>
          <w:rFonts w:cs="Times New Roman"/>
          <w:bCs/>
          <w:szCs w:val="24"/>
        </w:rPr>
        <w:t xml:space="preserve"> The focus of CDD is on identifying the customer, verifying their identity and obtaining information on the </w:t>
      </w:r>
      <w:r w:rsidR="003F137F">
        <w:rPr>
          <w:rFonts w:cs="Times New Roman"/>
          <w:bCs/>
          <w:szCs w:val="24"/>
        </w:rPr>
        <w:t>“</w:t>
      </w:r>
      <w:r w:rsidRPr="006159D2">
        <w:rPr>
          <w:rFonts w:cs="Times New Roman"/>
          <w:bCs/>
          <w:szCs w:val="24"/>
        </w:rPr>
        <w:t>business relationship</w:t>
      </w:r>
      <w:r w:rsidR="003F137F">
        <w:rPr>
          <w:rFonts w:cs="Times New Roman"/>
          <w:bCs/>
          <w:szCs w:val="24"/>
        </w:rPr>
        <w:t>”</w:t>
      </w:r>
      <w:r w:rsidRPr="006159D2">
        <w:rPr>
          <w:rFonts w:cs="Times New Roman"/>
          <w:bCs/>
          <w:szCs w:val="24"/>
        </w:rPr>
        <w:t>.</w:t>
      </w:r>
      <w:r w:rsidRPr="006159D2">
        <w:rPr>
          <w:rFonts w:cs="Times New Roman"/>
          <w:bCs/>
          <w:szCs w:val="24"/>
          <w:vertAlign w:val="superscript"/>
        </w:rPr>
        <w:footnoteReference w:id="95"/>
      </w:r>
      <w:r w:rsidRPr="006159D2">
        <w:rPr>
          <w:rFonts w:cs="Times New Roman"/>
          <w:bCs/>
          <w:szCs w:val="24"/>
        </w:rPr>
        <w:t xml:space="preserve"> </w:t>
      </w:r>
      <w:bookmarkStart w:id="19" w:name="_Hlk124429423"/>
      <w:r w:rsidR="006354DE">
        <w:rPr>
          <w:rFonts w:cs="Times New Roman"/>
          <w:bCs/>
          <w:szCs w:val="24"/>
        </w:rPr>
        <w:t>R</w:t>
      </w:r>
      <w:r w:rsidR="006354DE" w:rsidRPr="006159D2">
        <w:rPr>
          <w:rFonts w:cs="Times New Roman"/>
          <w:bCs/>
          <w:szCs w:val="24"/>
        </w:rPr>
        <w:t xml:space="preserve">eporting requirements </w:t>
      </w:r>
      <w:r w:rsidR="006354DE">
        <w:rPr>
          <w:rFonts w:cs="Times New Roman"/>
          <w:bCs/>
          <w:szCs w:val="24"/>
        </w:rPr>
        <w:t>are the</w:t>
      </w:r>
      <w:r w:rsidR="006354DE" w:rsidRPr="006159D2">
        <w:rPr>
          <w:rFonts w:cs="Times New Roman"/>
          <w:bCs/>
          <w:szCs w:val="24"/>
        </w:rPr>
        <w:t xml:space="preserve"> </w:t>
      </w:r>
      <w:r w:rsidRPr="006159D2">
        <w:rPr>
          <w:rFonts w:cs="Times New Roman"/>
          <w:bCs/>
          <w:szCs w:val="24"/>
        </w:rPr>
        <w:t>second element, specifically through SARs</w:t>
      </w:r>
      <w:r w:rsidR="00A31AE0">
        <w:rPr>
          <w:rFonts w:cs="Times New Roman"/>
          <w:bCs/>
          <w:szCs w:val="24"/>
        </w:rPr>
        <w:t xml:space="preserve">, which </w:t>
      </w:r>
      <w:r w:rsidR="006354DE">
        <w:rPr>
          <w:rFonts w:cs="Times New Roman"/>
          <w:bCs/>
          <w:szCs w:val="24"/>
        </w:rPr>
        <w:t>are</w:t>
      </w:r>
      <w:r w:rsidR="00A31AE0">
        <w:rPr>
          <w:rFonts w:cs="Times New Roman"/>
          <w:bCs/>
          <w:szCs w:val="24"/>
        </w:rPr>
        <w:t xml:space="preserve"> sent to the </w:t>
      </w:r>
      <w:r w:rsidR="00C11B17">
        <w:rPr>
          <w:rFonts w:cs="Times New Roman"/>
          <w:szCs w:val="24"/>
        </w:rPr>
        <w:t>NCA</w:t>
      </w:r>
      <w:r w:rsidR="00C11B17">
        <w:rPr>
          <w:rFonts w:cs="Times New Roman"/>
          <w:bCs/>
          <w:szCs w:val="24"/>
        </w:rPr>
        <w:t xml:space="preserve"> </w:t>
      </w:r>
      <w:r w:rsidRPr="006159D2">
        <w:rPr>
          <w:rFonts w:cs="Times New Roman"/>
          <w:bCs/>
          <w:szCs w:val="24"/>
        </w:rPr>
        <w:t>when transaction</w:t>
      </w:r>
      <w:r w:rsidR="006354DE">
        <w:rPr>
          <w:rFonts w:cs="Times New Roman"/>
          <w:bCs/>
          <w:szCs w:val="24"/>
        </w:rPr>
        <w:t>s</w:t>
      </w:r>
      <w:r w:rsidRPr="006159D2">
        <w:rPr>
          <w:rFonts w:cs="Times New Roman"/>
          <w:bCs/>
          <w:szCs w:val="24"/>
        </w:rPr>
        <w:t xml:space="preserve"> raise suspicions of money laundering or terrorist financing</w:t>
      </w:r>
      <w:bookmarkEnd w:id="19"/>
      <w:r w:rsidRPr="006159D2">
        <w:rPr>
          <w:rFonts w:cs="Times New Roman"/>
          <w:bCs/>
          <w:szCs w:val="24"/>
        </w:rPr>
        <w:t>. It is a legal obligation in the UK for those in the regulated sector to report suspicious transactions.</w:t>
      </w:r>
      <w:r w:rsidR="00F318F3">
        <w:rPr>
          <w:rStyle w:val="FootnoteReference"/>
          <w:rFonts w:cs="Times New Roman"/>
          <w:bCs/>
          <w:szCs w:val="24"/>
        </w:rPr>
        <w:footnoteReference w:id="96"/>
      </w:r>
    </w:p>
    <w:p w14:paraId="46C8DEDE" w14:textId="55BA0D0B" w:rsidR="00745C6A" w:rsidRPr="006159D2" w:rsidRDefault="00745C6A" w:rsidP="00673D5B">
      <w:pPr>
        <w:spacing w:before="240" w:after="0" w:line="480" w:lineRule="auto"/>
        <w:rPr>
          <w:rFonts w:cs="Times New Roman"/>
          <w:bCs/>
          <w:i/>
          <w:szCs w:val="24"/>
        </w:rPr>
      </w:pPr>
      <w:r w:rsidRPr="006159D2">
        <w:rPr>
          <w:rFonts w:cs="Times New Roman"/>
          <w:bCs/>
          <w:szCs w:val="24"/>
        </w:rPr>
        <w:t xml:space="preserve">The UK SARs regime has been criticised with regard to resource allocation and clarity of the law. In 2018, the FATF </w:t>
      </w:r>
      <w:r w:rsidR="002B50BE">
        <w:rPr>
          <w:rFonts w:cs="Times New Roman"/>
          <w:bCs/>
          <w:szCs w:val="24"/>
        </w:rPr>
        <w:t xml:space="preserve">lamented </w:t>
      </w:r>
      <w:r w:rsidR="009E41C7">
        <w:rPr>
          <w:rFonts w:cs="Times New Roman"/>
          <w:bCs/>
          <w:szCs w:val="24"/>
        </w:rPr>
        <w:t>that</w:t>
      </w:r>
      <w:r w:rsidRPr="006159D2">
        <w:rPr>
          <w:rFonts w:cs="Times New Roman"/>
          <w:bCs/>
          <w:szCs w:val="24"/>
        </w:rPr>
        <w:t xml:space="preserve"> the </w:t>
      </w:r>
      <w:r w:rsidR="00C11B17">
        <w:rPr>
          <w:rFonts w:cs="Times New Roman"/>
          <w:szCs w:val="24"/>
        </w:rPr>
        <w:t>NCA</w:t>
      </w:r>
      <w:r w:rsidR="00C11B17">
        <w:rPr>
          <w:rFonts w:cs="Times New Roman"/>
          <w:bCs/>
          <w:szCs w:val="24"/>
        </w:rPr>
        <w:t xml:space="preserve"> </w:t>
      </w:r>
      <w:r w:rsidR="003F137F">
        <w:rPr>
          <w:rFonts w:cs="Times New Roman"/>
          <w:bCs/>
          <w:szCs w:val="24"/>
        </w:rPr>
        <w:t>“</w:t>
      </w:r>
      <w:r w:rsidRPr="006159D2">
        <w:rPr>
          <w:rFonts w:cs="Times New Roman"/>
          <w:bCs/>
          <w:szCs w:val="24"/>
        </w:rPr>
        <w:t>suffer</w:t>
      </w:r>
      <w:r w:rsidR="009E41C7">
        <w:rPr>
          <w:rFonts w:cs="Times New Roman"/>
          <w:bCs/>
          <w:szCs w:val="24"/>
        </w:rPr>
        <w:t>[ed]</w:t>
      </w:r>
      <w:r w:rsidRPr="006159D2">
        <w:rPr>
          <w:rFonts w:cs="Times New Roman"/>
          <w:bCs/>
          <w:szCs w:val="24"/>
        </w:rPr>
        <w:t xml:space="preserve"> from a lack of available resources</w:t>
      </w:r>
      <w:r w:rsidR="003F137F">
        <w:rPr>
          <w:rFonts w:cs="Times New Roman"/>
          <w:bCs/>
          <w:szCs w:val="24"/>
        </w:rPr>
        <w:t>”</w:t>
      </w:r>
      <w:r w:rsidRPr="006159D2">
        <w:rPr>
          <w:rFonts w:cs="Times New Roman"/>
          <w:bCs/>
          <w:szCs w:val="24"/>
        </w:rPr>
        <w:t>,</w:t>
      </w:r>
      <w:r w:rsidRPr="006159D2">
        <w:rPr>
          <w:rFonts w:cs="Times New Roman"/>
          <w:bCs/>
          <w:szCs w:val="24"/>
          <w:vertAlign w:val="superscript"/>
        </w:rPr>
        <w:footnoteReference w:id="97"/>
      </w:r>
      <w:r w:rsidRPr="006159D2">
        <w:rPr>
          <w:rFonts w:cs="Times New Roman"/>
          <w:bCs/>
          <w:szCs w:val="24"/>
        </w:rPr>
        <w:t xml:space="preserve"> in terms of personnel, technology, and </w:t>
      </w:r>
      <w:r w:rsidR="003F137F">
        <w:rPr>
          <w:rFonts w:cs="Times New Roman"/>
          <w:bCs/>
          <w:szCs w:val="24"/>
        </w:rPr>
        <w:t>“</w:t>
      </w:r>
      <w:r w:rsidRPr="006159D2">
        <w:rPr>
          <w:rFonts w:cs="Times New Roman"/>
          <w:bCs/>
          <w:szCs w:val="24"/>
        </w:rPr>
        <w:t>analytical capability</w:t>
      </w:r>
      <w:r w:rsidR="003F137F">
        <w:rPr>
          <w:rFonts w:cs="Times New Roman"/>
          <w:bCs/>
          <w:szCs w:val="24"/>
        </w:rPr>
        <w:t>”</w:t>
      </w:r>
      <w:r w:rsidRPr="006159D2">
        <w:rPr>
          <w:rFonts w:cs="Times New Roman"/>
          <w:bCs/>
          <w:szCs w:val="24"/>
        </w:rPr>
        <w:t>.</w:t>
      </w:r>
      <w:r w:rsidRPr="006159D2">
        <w:rPr>
          <w:rFonts w:cs="Times New Roman"/>
          <w:bCs/>
          <w:szCs w:val="24"/>
          <w:vertAlign w:val="superscript"/>
        </w:rPr>
        <w:footnoteReference w:id="98"/>
      </w:r>
      <w:r w:rsidRPr="006159D2">
        <w:rPr>
          <w:rFonts w:cs="Times New Roman"/>
          <w:bCs/>
          <w:szCs w:val="24"/>
        </w:rPr>
        <w:t xml:space="preserve"> The FATF was concerned as </w:t>
      </w:r>
      <w:r w:rsidR="003F137F">
        <w:rPr>
          <w:rFonts w:cs="Times New Roman"/>
          <w:bCs/>
          <w:szCs w:val="24"/>
        </w:rPr>
        <w:t>“</w:t>
      </w:r>
      <w:r w:rsidRPr="006159D2">
        <w:rPr>
          <w:rFonts w:cs="Times New Roman"/>
          <w:bCs/>
          <w:szCs w:val="24"/>
        </w:rPr>
        <w:t>similar issues were raised over a decade ago in the UK’s previous</w:t>
      </w:r>
      <w:r w:rsidR="002B50BE">
        <w:rPr>
          <w:rFonts w:cs="Times New Roman"/>
          <w:bCs/>
          <w:szCs w:val="24"/>
        </w:rPr>
        <w:t xml:space="preserve">… </w:t>
      </w:r>
      <w:r w:rsidRPr="006159D2">
        <w:rPr>
          <w:rFonts w:cs="Times New Roman"/>
          <w:bCs/>
          <w:szCs w:val="24"/>
        </w:rPr>
        <w:lastRenderedPageBreak/>
        <w:t>evaluation</w:t>
      </w:r>
      <w:r w:rsidR="003F137F">
        <w:rPr>
          <w:rFonts w:cs="Times New Roman"/>
          <w:bCs/>
          <w:szCs w:val="24"/>
        </w:rPr>
        <w:t>”</w:t>
      </w:r>
      <w:r w:rsidRPr="006159D2">
        <w:rPr>
          <w:rFonts w:cs="Times New Roman"/>
          <w:bCs/>
          <w:szCs w:val="24"/>
        </w:rPr>
        <w:t>.</w:t>
      </w:r>
      <w:r w:rsidRPr="006159D2">
        <w:rPr>
          <w:rFonts w:cs="Times New Roman"/>
          <w:bCs/>
          <w:szCs w:val="24"/>
          <w:vertAlign w:val="superscript"/>
        </w:rPr>
        <w:footnoteReference w:id="99"/>
      </w:r>
      <w:r w:rsidRPr="006159D2">
        <w:rPr>
          <w:rFonts w:cs="Times New Roman"/>
          <w:bCs/>
          <w:szCs w:val="24"/>
        </w:rPr>
        <w:t xml:space="preserve"> </w:t>
      </w:r>
      <w:r w:rsidR="008A03A2">
        <w:rPr>
          <w:rFonts w:cs="Times New Roman"/>
          <w:bCs/>
          <w:szCs w:val="24"/>
        </w:rPr>
        <w:t>T</w:t>
      </w:r>
      <w:r w:rsidRPr="006159D2">
        <w:rPr>
          <w:rFonts w:cs="Times New Roman"/>
          <w:bCs/>
          <w:szCs w:val="24"/>
        </w:rPr>
        <w:t xml:space="preserve">he Law Commission linked </w:t>
      </w:r>
      <w:r w:rsidR="00037C0C">
        <w:rPr>
          <w:rFonts w:cs="Times New Roman"/>
          <w:bCs/>
          <w:szCs w:val="24"/>
        </w:rPr>
        <w:t xml:space="preserve">the weaknesses of the SARs regime </w:t>
      </w:r>
      <w:r w:rsidRPr="006159D2">
        <w:rPr>
          <w:rFonts w:cs="Times New Roman"/>
          <w:bCs/>
          <w:szCs w:val="24"/>
        </w:rPr>
        <w:t>to three connected causes</w:t>
      </w:r>
      <w:r w:rsidR="009E41C7">
        <w:rPr>
          <w:rFonts w:cs="Times New Roman"/>
          <w:bCs/>
          <w:szCs w:val="24"/>
        </w:rPr>
        <w:t>:</w:t>
      </w:r>
      <w:r w:rsidRPr="006159D2">
        <w:rPr>
          <w:rFonts w:cs="Times New Roman"/>
          <w:bCs/>
          <w:szCs w:val="24"/>
        </w:rPr>
        <w:t xml:space="preserve"> a low threshold for reporting based on suspicion,</w:t>
      </w:r>
      <w:r w:rsidRPr="006159D2">
        <w:rPr>
          <w:rFonts w:cs="Times New Roman"/>
          <w:bCs/>
          <w:szCs w:val="24"/>
          <w:vertAlign w:val="superscript"/>
        </w:rPr>
        <w:footnoteReference w:id="100"/>
      </w:r>
      <w:r w:rsidRPr="006159D2">
        <w:rPr>
          <w:rFonts w:cs="Times New Roman"/>
          <w:bCs/>
          <w:szCs w:val="24"/>
        </w:rPr>
        <w:t xml:space="preserve"> defensive reporting due to criminal liability,</w:t>
      </w:r>
      <w:r w:rsidRPr="006159D2">
        <w:rPr>
          <w:rFonts w:cs="Times New Roman"/>
          <w:bCs/>
          <w:szCs w:val="24"/>
          <w:vertAlign w:val="superscript"/>
        </w:rPr>
        <w:footnoteReference w:id="101"/>
      </w:r>
      <w:r w:rsidRPr="006159D2">
        <w:rPr>
          <w:rFonts w:cs="Times New Roman"/>
          <w:bCs/>
          <w:szCs w:val="24"/>
        </w:rPr>
        <w:t xml:space="preserve"> and the concept of suspicion remaining poorly defined.</w:t>
      </w:r>
      <w:r w:rsidRPr="006159D2">
        <w:rPr>
          <w:rFonts w:cs="Times New Roman"/>
          <w:bCs/>
          <w:szCs w:val="24"/>
          <w:vertAlign w:val="superscript"/>
        </w:rPr>
        <w:footnoteReference w:id="102"/>
      </w:r>
      <w:r w:rsidRPr="006159D2">
        <w:rPr>
          <w:rFonts w:cs="Times New Roman"/>
          <w:bCs/>
          <w:szCs w:val="24"/>
        </w:rPr>
        <w:t xml:space="preserve"> </w:t>
      </w:r>
    </w:p>
    <w:p w14:paraId="5438C95C" w14:textId="2405FA77" w:rsidR="00745C6A" w:rsidRPr="006159D2" w:rsidRDefault="00745C6A" w:rsidP="00673D5B">
      <w:pPr>
        <w:spacing w:before="240" w:after="0" w:line="480" w:lineRule="auto"/>
        <w:rPr>
          <w:rFonts w:cs="Times New Roman"/>
          <w:bCs/>
          <w:szCs w:val="24"/>
        </w:rPr>
      </w:pPr>
      <w:r w:rsidRPr="006159D2">
        <w:rPr>
          <w:rFonts w:cs="Times New Roman"/>
          <w:bCs/>
          <w:szCs w:val="24"/>
        </w:rPr>
        <w:t xml:space="preserve">The Regulations are administered by </w:t>
      </w:r>
      <w:r w:rsidR="00850A32">
        <w:rPr>
          <w:rFonts w:cs="Times New Roman"/>
          <w:bCs/>
          <w:szCs w:val="24"/>
        </w:rPr>
        <w:t xml:space="preserve">the </w:t>
      </w:r>
      <w:r w:rsidR="003328DF">
        <w:rPr>
          <w:rFonts w:cs="Times New Roman"/>
          <w:bCs/>
          <w:szCs w:val="24"/>
        </w:rPr>
        <w:t>FCA</w:t>
      </w:r>
      <w:r w:rsidR="005549A8">
        <w:rPr>
          <w:rFonts w:cs="Times New Roman"/>
          <w:bCs/>
          <w:szCs w:val="24"/>
        </w:rPr>
        <w:t>,</w:t>
      </w:r>
      <w:r w:rsidRPr="006159D2">
        <w:rPr>
          <w:rFonts w:cs="Times New Roman"/>
          <w:bCs/>
          <w:szCs w:val="24"/>
          <w:vertAlign w:val="superscript"/>
        </w:rPr>
        <w:footnoteReference w:id="103"/>
      </w:r>
      <w:r w:rsidR="005549A8">
        <w:rPr>
          <w:rFonts w:cs="Times New Roman"/>
          <w:bCs/>
          <w:szCs w:val="24"/>
        </w:rPr>
        <w:t xml:space="preserve"> which </w:t>
      </w:r>
      <w:r w:rsidRPr="006159D2">
        <w:rPr>
          <w:rFonts w:cs="Times New Roman"/>
          <w:bCs/>
          <w:szCs w:val="24"/>
        </w:rPr>
        <w:t>gains its regulatory powers from FSMA 2000.</w:t>
      </w:r>
      <w:r w:rsidRPr="006159D2">
        <w:rPr>
          <w:rFonts w:cs="Times New Roman"/>
          <w:bCs/>
          <w:szCs w:val="24"/>
          <w:vertAlign w:val="superscript"/>
        </w:rPr>
        <w:footnoteReference w:id="104"/>
      </w:r>
      <w:r w:rsidRPr="006159D2">
        <w:rPr>
          <w:rFonts w:cs="Times New Roman"/>
          <w:bCs/>
          <w:szCs w:val="24"/>
        </w:rPr>
        <w:t xml:space="preserve"> The legislation also bestows rule-making powers on the FCA</w:t>
      </w:r>
      <w:r w:rsidR="00875545">
        <w:rPr>
          <w:rFonts w:cs="Times New Roman"/>
          <w:bCs/>
          <w:szCs w:val="24"/>
        </w:rPr>
        <w:t>,</w:t>
      </w:r>
      <w:r w:rsidRPr="006159D2">
        <w:rPr>
          <w:rFonts w:cs="Times New Roman"/>
          <w:bCs/>
          <w:szCs w:val="24"/>
          <w:vertAlign w:val="superscript"/>
        </w:rPr>
        <w:footnoteReference w:id="105"/>
      </w:r>
      <w:r w:rsidR="00875545">
        <w:rPr>
          <w:rFonts w:cs="Times New Roman"/>
          <w:bCs/>
          <w:szCs w:val="24"/>
        </w:rPr>
        <w:t xml:space="preserve"> including AML/CTF rules,</w:t>
      </w:r>
      <w:r w:rsidRPr="006159D2">
        <w:rPr>
          <w:rFonts w:cs="Times New Roman"/>
          <w:bCs/>
          <w:szCs w:val="24"/>
        </w:rPr>
        <w:t xml:space="preserve"> which are contained in the FCA Handbook</w:t>
      </w:r>
      <w:r w:rsidR="00875545">
        <w:rPr>
          <w:rFonts w:cs="Times New Roman"/>
          <w:bCs/>
          <w:szCs w:val="24"/>
        </w:rPr>
        <w:t>.</w:t>
      </w:r>
      <w:bookmarkStart w:id="20" w:name="_Ref125629746"/>
      <w:r w:rsidR="00875545" w:rsidRPr="006159D2">
        <w:rPr>
          <w:rFonts w:cs="Times New Roman"/>
          <w:bCs/>
          <w:szCs w:val="24"/>
          <w:vertAlign w:val="superscript"/>
        </w:rPr>
        <w:footnoteReference w:id="106"/>
      </w:r>
      <w:bookmarkEnd w:id="20"/>
      <w:r w:rsidRPr="006159D2">
        <w:rPr>
          <w:rFonts w:cs="Times New Roman"/>
          <w:bCs/>
          <w:szCs w:val="24"/>
        </w:rPr>
        <w:t xml:space="preserve"> The other supervisory authorities are </w:t>
      </w:r>
      <w:r w:rsidR="00875545">
        <w:rPr>
          <w:rFonts w:cs="Times New Roman"/>
          <w:bCs/>
          <w:szCs w:val="24"/>
        </w:rPr>
        <w:t>His</w:t>
      </w:r>
      <w:r w:rsidR="00875545" w:rsidRPr="006159D2">
        <w:rPr>
          <w:rFonts w:cs="Times New Roman"/>
          <w:bCs/>
          <w:szCs w:val="24"/>
        </w:rPr>
        <w:t xml:space="preserve"> </w:t>
      </w:r>
      <w:r w:rsidRPr="006159D2">
        <w:rPr>
          <w:rFonts w:cs="Times New Roman"/>
          <w:bCs/>
          <w:szCs w:val="24"/>
        </w:rPr>
        <w:t>Majesty’s Revenue &amp; Customs</w:t>
      </w:r>
      <w:r w:rsidR="00875545">
        <w:rPr>
          <w:rFonts w:cs="Times New Roman"/>
          <w:bCs/>
          <w:szCs w:val="24"/>
        </w:rPr>
        <w:t xml:space="preserve"> (HMRC)</w:t>
      </w:r>
      <w:r w:rsidRPr="006159D2">
        <w:rPr>
          <w:rFonts w:cs="Times New Roman"/>
          <w:bCs/>
          <w:szCs w:val="24"/>
        </w:rPr>
        <w:t>, the Gambling Commission, and professional bodies.</w:t>
      </w:r>
      <w:r w:rsidRPr="006159D2">
        <w:rPr>
          <w:rStyle w:val="FootnoteReference"/>
          <w:rFonts w:cs="Times New Roman"/>
          <w:bCs/>
          <w:szCs w:val="24"/>
        </w:rPr>
        <w:footnoteReference w:id="107"/>
      </w:r>
    </w:p>
    <w:p w14:paraId="6C272C21" w14:textId="56812EB1" w:rsidR="00745C6A" w:rsidRPr="00F904F5" w:rsidRDefault="00745C6A" w:rsidP="00673D5B">
      <w:pPr>
        <w:spacing w:before="240" w:line="480" w:lineRule="auto"/>
        <w:rPr>
          <w:rFonts w:cs="Times New Roman"/>
          <w:bCs/>
          <w:szCs w:val="24"/>
        </w:rPr>
      </w:pPr>
      <w:r w:rsidRPr="006159D2">
        <w:rPr>
          <w:rFonts w:cs="Times New Roman"/>
          <w:bCs/>
          <w:szCs w:val="24"/>
        </w:rPr>
        <w:t>The Regulations only apply to the regulated sector, and applicable businesses.</w:t>
      </w:r>
      <w:r w:rsidRPr="006159D2">
        <w:rPr>
          <w:rFonts w:cs="Times New Roman"/>
          <w:bCs/>
          <w:szCs w:val="24"/>
          <w:vertAlign w:val="superscript"/>
        </w:rPr>
        <w:footnoteReference w:id="108"/>
      </w:r>
      <w:r w:rsidRPr="006159D2">
        <w:rPr>
          <w:rFonts w:cs="Times New Roman"/>
          <w:bCs/>
          <w:szCs w:val="24"/>
        </w:rPr>
        <w:t xml:space="preserve"> </w:t>
      </w:r>
      <w:r w:rsidR="00875545">
        <w:rPr>
          <w:rFonts w:cs="Times New Roman"/>
          <w:bCs/>
          <w:szCs w:val="24"/>
        </w:rPr>
        <w:t>HEIs</w:t>
      </w:r>
      <w:r w:rsidR="00875545" w:rsidRPr="006159D2">
        <w:rPr>
          <w:rFonts w:cs="Times New Roman"/>
          <w:bCs/>
          <w:szCs w:val="24"/>
        </w:rPr>
        <w:t xml:space="preserve"> </w:t>
      </w:r>
      <w:r w:rsidRPr="006159D2">
        <w:rPr>
          <w:rFonts w:cs="Times New Roman"/>
          <w:bCs/>
          <w:szCs w:val="24"/>
        </w:rPr>
        <w:t xml:space="preserve">are not listed as part of the regulated </w:t>
      </w:r>
      <w:r w:rsidR="00DA4274" w:rsidRPr="006159D2">
        <w:rPr>
          <w:rFonts w:cs="Times New Roman"/>
          <w:bCs/>
          <w:szCs w:val="24"/>
        </w:rPr>
        <w:t>sector</w:t>
      </w:r>
      <w:r w:rsidR="00DA4274">
        <w:rPr>
          <w:rFonts w:cs="Times New Roman"/>
          <w:bCs/>
          <w:szCs w:val="24"/>
        </w:rPr>
        <w:t xml:space="preserve">, </w:t>
      </w:r>
      <w:r w:rsidR="00DA4274" w:rsidRPr="006159D2">
        <w:rPr>
          <w:rFonts w:cs="Times New Roman"/>
          <w:bCs/>
          <w:szCs w:val="24"/>
        </w:rPr>
        <w:t>and</w:t>
      </w:r>
      <w:r w:rsidRPr="006159D2">
        <w:rPr>
          <w:rFonts w:cs="Times New Roman"/>
          <w:bCs/>
          <w:szCs w:val="24"/>
        </w:rPr>
        <w:t xml:space="preserve"> are thus not </w:t>
      </w:r>
      <w:r w:rsidR="009E3139">
        <w:rPr>
          <w:rFonts w:cs="Times New Roman"/>
          <w:bCs/>
          <w:szCs w:val="24"/>
        </w:rPr>
        <w:t xml:space="preserve">explicitly </w:t>
      </w:r>
      <w:r w:rsidRPr="006159D2">
        <w:rPr>
          <w:rFonts w:cs="Times New Roman"/>
          <w:bCs/>
          <w:szCs w:val="24"/>
        </w:rPr>
        <w:t>required to introduce preventative measures to detect and address money laundering.</w:t>
      </w:r>
      <w:r w:rsidR="009E3139">
        <w:rPr>
          <w:rFonts w:cs="Times New Roman"/>
          <w:bCs/>
          <w:szCs w:val="24"/>
        </w:rPr>
        <w:t xml:space="preserve"> HEIs </w:t>
      </w:r>
      <w:r w:rsidRPr="006159D2">
        <w:rPr>
          <w:rFonts w:cs="Times New Roman"/>
          <w:bCs/>
          <w:szCs w:val="24"/>
        </w:rPr>
        <w:t xml:space="preserve">could be considered a </w:t>
      </w:r>
      <w:r w:rsidR="003F137F">
        <w:rPr>
          <w:rFonts w:cs="Times New Roman"/>
          <w:bCs/>
          <w:szCs w:val="24"/>
        </w:rPr>
        <w:lastRenderedPageBreak/>
        <w:t>“</w:t>
      </w:r>
      <w:r w:rsidRPr="006159D2">
        <w:rPr>
          <w:rFonts w:cs="Times New Roman"/>
          <w:bCs/>
          <w:szCs w:val="24"/>
        </w:rPr>
        <w:t>high value dealer</w:t>
      </w:r>
      <w:r w:rsidR="003F137F">
        <w:rPr>
          <w:rFonts w:cs="Times New Roman"/>
          <w:bCs/>
          <w:szCs w:val="24"/>
        </w:rPr>
        <w:t>”</w:t>
      </w:r>
      <w:r w:rsidR="00C748A4">
        <w:rPr>
          <w:rFonts w:cs="Times New Roman"/>
          <w:bCs/>
          <w:szCs w:val="24"/>
        </w:rPr>
        <w:t>.</w:t>
      </w:r>
      <w:r w:rsidR="00075498">
        <w:rPr>
          <w:rStyle w:val="FootnoteReference"/>
          <w:rFonts w:cs="Times New Roman"/>
          <w:bCs/>
          <w:szCs w:val="24"/>
        </w:rPr>
        <w:footnoteReference w:id="109"/>
      </w:r>
      <w:r w:rsidRPr="006159D2">
        <w:rPr>
          <w:rFonts w:cs="Times New Roman"/>
          <w:bCs/>
          <w:szCs w:val="24"/>
        </w:rPr>
        <w:t xml:space="preserve"> </w:t>
      </w:r>
      <w:r w:rsidR="00C748A4">
        <w:rPr>
          <w:rFonts w:cs="Times New Roman"/>
          <w:bCs/>
          <w:szCs w:val="24"/>
        </w:rPr>
        <w:t xml:space="preserve">This is </w:t>
      </w:r>
      <w:r w:rsidRPr="006159D2">
        <w:rPr>
          <w:rFonts w:cs="Times New Roman"/>
          <w:bCs/>
          <w:szCs w:val="24"/>
        </w:rPr>
        <w:t>defined as</w:t>
      </w:r>
      <w:r w:rsidR="003E631A">
        <w:rPr>
          <w:rFonts w:cs="Times New Roman"/>
          <w:bCs/>
          <w:szCs w:val="24"/>
        </w:rPr>
        <w:t xml:space="preserve"> </w:t>
      </w:r>
      <w:r w:rsidR="00E361C7">
        <w:rPr>
          <w:rFonts w:cs="Times New Roman"/>
          <w:bCs/>
          <w:szCs w:val="24"/>
        </w:rPr>
        <w:t>“</w:t>
      </w:r>
      <w:r w:rsidRPr="006159D2">
        <w:rPr>
          <w:rFonts w:cs="Times New Roman"/>
          <w:bCs/>
          <w:szCs w:val="24"/>
        </w:rPr>
        <w:t xml:space="preserve">a firm or sole trader who by way of business trades in goods </w:t>
      </w:r>
      <w:r w:rsidR="009E3139">
        <w:rPr>
          <w:rFonts w:cs="Times New Roman"/>
          <w:bCs/>
          <w:szCs w:val="24"/>
        </w:rPr>
        <w:t>…</w:t>
      </w:r>
      <w:r w:rsidRPr="006159D2">
        <w:rPr>
          <w:rFonts w:cs="Times New Roman"/>
          <w:bCs/>
          <w:szCs w:val="24"/>
        </w:rPr>
        <w:t>, when the trader makes or receives, in respect of any transaction, a payment or payments in cash of at least 10,000 euros in total,</w:t>
      </w:r>
      <w:r w:rsidR="009E3139">
        <w:rPr>
          <w:rFonts w:cs="Times New Roman"/>
          <w:bCs/>
          <w:szCs w:val="24"/>
        </w:rPr>
        <w:t>”</w:t>
      </w:r>
      <w:r w:rsidRPr="006159D2">
        <w:rPr>
          <w:rFonts w:cs="Times New Roman"/>
          <w:bCs/>
          <w:szCs w:val="24"/>
        </w:rPr>
        <w:t xml:space="preserve"> whether</w:t>
      </w:r>
      <w:r w:rsidR="009E3139">
        <w:rPr>
          <w:rFonts w:cs="Times New Roman"/>
          <w:bCs/>
          <w:szCs w:val="24"/>
        </w:rPr>
        <w:t xml:space="preserve"> in single or multiple linked</w:t>
      </w:r>
      <w:r w:rsidRPr="006159D2">
        <w:rPr>
          <w:rFonts w:cs="Times New Roman"/>
          <w:bCs/>
          <w:szCs w:val="24"/>
        </w:rPr>
        <w:t xml:space="preserve"> transaction</w:t>
      </w:r>
      <w:r w:rsidR="009E3139">
        <w:rPr>
          <w:rFonts w:cs="Times New Roman"/>
          <w:bCs/>
          <w:szCs w:val="24"/>
        </w:rPr>
        <w:t>s</w:t>
      </w:r>
      <w:r w:rsidRPr="006159D2">
        <w:rPr>
          <w:rFonts w:cs="Times New Roman"/>
          <w:bCs/>
          <w:szCs w:val="24"/>
        </w:rPr>
        <w:t>.</w:t>
      </w:r>
      <w:r w:rsidRPr="006159D2">
        <w:rPr>
          <w:rStyle w:val="FootnoteReference"/>
          <w:rFonts w:cs="Times New Roman"/>
          <w:bCs/>
          <w:szCs w:val="24"/>
        </w:rPr>
        <w:footnoteReference w:id="110"/>
      </w:r>
      <w:r w:rsidRPr="006159D2">
        <w:rPr>
          <w:rFonts w:cs="Times New Roman"/>
          <w:bCs/>
          <w:szCs w:val="24"/>
        </w:rPr>
        <w:t xml:space="preserve"> As </w:t>
      </w:r>
      <w:r w:rsidR="00875545">
        <w:rPr>
          <w:rFonts w:cs="Times New Roman"/>
          <w:bCs/>
          <w:szCs w:val="24"/>
        </w:rPr>
        <w:t>HEIs</w:t>
      </w:r>
      <w:r w:rsidRPr="006159D2">
        <w:rPr>
          <w:rFonts w:cs="Times New Roman"/>
          <w:bCs/>
          <w:szCs w:val="24"/>
        </w:rPr>
        <w:t xml:space="preserve"> typically </w:t>
      </w:r>
      <w:r w:rsidR="009366FF">
        <w:rPr>
          <w:rFonts w:cs="Times New Roman"/>
          <w:bCs/>
          <w:szCs w:val="24"/>
        </w:rPr>
        <w:t>receive payments for</w:t>
      </w:r>
      <w:r w:rsidRPr="006159D2">
        <w:rPr>
          <w:rFonts w:cs="Times New Roman"/>
          <w:bCs/>
          <w:szCs w:val="24"/>
        </w:rPr>
        <w:t xml:space="preserve"> services,</w:t>
      </w:r>
      <w:r w:rsidR="009366FF">
        <w:rPr>
          <w:rFonts w:cs="Times New Roman"/>
          <w:bCs/>
          <w:szCs w:val="24"/>
        </w:rPr>
        <w:t xml:space="preserve"> such as tuition fees, rather than goods,</w:t>
      </w:r>
      <w:r w:rsidRPr="006159D2">
        <w:rPr>
          <w:rFonts w:cs="Times New Roman"/>
          <w:bCs/>
          <w:szCs w:val="24"/>
        </w:rPr>
        <w:t xml:space="preserve"> the majority are unlikely to be high value dealers</w:t>
      </w:r>
      <w:r w:rsidR="00D353B0">
        <w:rPr>
          <w:rFonts w:cs="Times New Roman"/>
          <w:bCs/>
          <w:szCs w:val="24"/>
        </w:rPr>
        <w:t>;</w:t>
      </w:r>
      <w:r w:rsidRPr="006159D2">
        <w:rPr>
          <w:rFonts w:cs="Times New Roman"/>
          <w:bCs/>
          <w:szCs w:val="24"/>
        </w:rPr>
        <w:t xml:space="preserve"> </w:t>
      </w:r>
      <w:r w:rsidR="007974C9">
        <w:rPr>
          <w:rFonts w:cs="Times New Roman"/>
          <w:bCs/>
          <w:szCs w:val="24"/>
        </w:rPr>
        <w:t>a</w:t>
      </w:r>
      <w:r w:rsidR="00D353B0">
        <w:rPr>
          <w:rFonts w:cs="Times New Roman"/>
          <w:bCs/>
          <w:szCs w:val="24"/>
        </w:rPr>
        <w:t>n</w:t>
      </w:r>
      <w:r w:rsidRPr="006159D2">
        <w:rPr>
          <w:rFonts w:cs="Times New Roman"/>
          <w:bCs/>
          <w:szCs w:val="24"/>
        </w:rPr>
        <w:t xml:space="preserve"> interpretation supported by the responses to the FOI requests, </w:t>
      </w:r>
      <w:r w:rsidR="00D353B0">
        <w:rPr>
          <w:rFonts w:cs="Times New Roman"/>
          <w:bCs/>
          <w:szCs w:val="24"/>
        </w:rPr>
        <w:t>where</w:t>
      </w:r>
      <w:r w:rsidRPr="006159D2">
        <w:rPr>
          <w:rFonts w:cs="Times New Roman"/>
          <w:bCs/>
          <w:szCs w:val="24"/>
        </w:rPr>
        <w:t xml:space="preserve"> only two HEIs considered themselves to be high value dealers</w:t>
      </w:r>
      <w:r w:rsidRPr="006159D2">
        <w:rPr>
          <w:rFonts w:cs="Times New Roman"/>
          <w:bCs/>
          <w:color w:val="000000" w:themeColor="text1"/>
          <w:szCs w:val="24"/>
        </w:rPr>
        <w:t>.</w:t>
      </w:r>
      <w:r w:rsidRPr="006159D2">
        <w:rPr>
          <w:rStyle w:val="FootnoteReference"/>
          <w:rFonts w:cs="Times New Roman"/>
          <w:bCs/>
          <w:color w:val="000000" w:themeColor="text1"/>
          <w:szCs w:val="24"/>
        </w:rPr>
        <w:footnoteReference w:id="111"/>
      </w:r>
      <w:r w:rsidRPr="006159D2">
        <w:rPr>
          <w:rFonts w:cs="Times New Roman"/>
          <w:bCs/>
          <w:color w:val="000000" w:themeColor="text1"/>
          <w:szCs w:val="24"/>
        </w:rPr>
        <w:t xml:space="preserve"> </w:t>
      </w:r>
      <w:r w:rsidR="00875545">
        <w:rPr>
          <w:rFonts w:cs="Times New Roman"/>
          <w:bCs/>
          <w:color w:val="000000" w:themeColor="text1"/>
          <w:szCs w:val="24"/>
        </w:rPr>
        <w:t>Additionally</w:t>
      </w:r>
      <w:r w:rsidRPr="006159D2">
        <w:rPr>
          <w:rFonts w:cs="Times New Roman"/>
          <w:bCs/>
          <w:color w:val="000000" w:themeColor="text1"/>
          <w:szCs w:val="24"/>
        </w:rPr>
        <w:t xml:space="preserve">, the supervisory authorities do not regulate </w:t>
      </w:r>
      <w:r w:rsidR="00875545">
        <w:rPr>
          <w:rFonts w:cs="Times New Roman"/>
          <w:bCs/>
          <w:color w:val="000000" w:themeColor="text1"/>
          <w:szCs w:val="24"/>
        </w:rPr>
        <w:t>HEIs</w:t>
      </w:r>
      <w:r w:rsidR="00A75EDE">
        <w:rPr>
          <w:rFonts w:cs="Times New Roman"/>
          <w:bCs/>
          <w:color w:val="000000" w:themeColor="text1"/>
          <w:szCs w:val="24"/>
        </w:rPr>
        <w:t>.</w:t>
      </w:r>
      <w:r w:rsidRPr="006159D2">
        <w:rPr>
          <w:rFonts w:cs="Times New Roman"/>
          <w:bCs/>
          <w:color w:val="000000" w:themeColor="text1"/>
          <w:szCs w:val="24"/>
        </w:rPr>
        <w:t xml:space="preserve"> Neither HMRC, the FCA or the Office for Professional Body Anti-Money Laundering Supervision mention </w:t>
      </w:r>
      <w:r w:rsidR="00DE0246">
        <w:rPr>
          <w:rFonts w:cs="Times New Roman"/>
          <w:bCs/>
          <w:color w:val="000000" w:themeColor="text1"/>
          <w:szCs w:val="24"/>
        </w:rPr>
        <w:t>HEIs in AML/CTF guidance</w:t>
      </w:r>
      <w:r w:rsidRPr="006159D2">
        <w:rPr>
          <w:rFonts w:cs="Times New Roman"/>
          <w:bCs/>
          <w:color w:val="000000" w:themeColor="text1"/>
          <w:szCs w:val="24"/>
        </w:rPr>
        <w:t>.</w:t>
      </w:r>
      <w:r w:rsidRPr="006159D2">
        <w:rPr>
          <w:rStyle w:val="FootnoteReference"/>
          <w:rFonts w:cs="Times New Roman"/>
          <w:bCs/>
          <w:color w:val="000000" w:themeColor="text1"/>
          <w:szCs w:val="24"/>
        </w:rPr>
        <w:footnoteReference w:id="112"/>
      </w:r>
      <w:r w:rsidRPr="006159D2">
        <w:rPr>
          <w:rFonts w:cs="Times New Roman"/>
          <w:bCs/>
          <w:color w:val="000000" w:themeColor="text1"/>
          <w:szCs w:val="24"/>
        </w:rPr>
        <w:t xml:space="preserve"> </w:t>
      </w:r>
      <w:r w:rsidR="00DE0246">
        <w:rPr>
          <w:rFonts w:cs="Times New Roman"/>
          <w:bCs/>
          <w:color w:val="000000" w:themeColor="text1"/>
          <w:szCs w:val="24"/>
        </w:rPr>
        <w:t>For instance</w:t>
      </w:r>
      <w:r w:rsidRPr="006159D2">
        <w:rPr>
          <w:rFonts w:cs="Times New Roman"/>
          <w:bCs/>
          <w:color w:val="000000" w:themeColor="text1"/>
          <w:szCs w:val="24"/>
        </w:rPr>
        <w:t xml:space="preserve">, </w:t>
      </w:r>
      <w:r w:rsidR="00DE0246">
        <w:rPr>
          <w:rFonts w:cs="Times New Roman"/>
          <w:bCs/>
          <w:color w:val="000000" w:themeColor="text1"/>
          <w:szCs w:val="24"/>
        </w:rPr>
        <w:t xml:space="preserve">while </w:t>
      </w:r>
      <w:r w:rsidRPr="006159D2">
        <w:rPr>
          <w:rFonts w:cs="Times New Roman"/>
          <w:bCs/>
          <w:color w:val="000000" w:themeColor="text1"/>
          <w:szCs w:val="24"/>
        </w:rPr>
        <w:t xml:space="preserve">HMRC guidance emphasises the especially versatile, transferable and value-retaining nature of high-value goods, noting that they are often </w:t>
      </w:r>
      <w:r w:rsidR="00DF48B1">
        <w:rPr>
          <w:rFonts w:cs="Times New Roman"/>
          <w:bCs/>
          <w:color w:val="000000" w:themeColor="text1"/>
          <w:szCs w:val="24"/>
        </w:rPr>
        <w:t>‘</w:t>
      </w:r>
      <w:r w:rsidRPr="006159D2">
        <w:rPr>
          <w:rFonts w:cs="Times New Roman"/>
          <w:bCs/>
          <w:color w:val="000000" w:themeColor="text1"/>
          <w:szCs w:val="24"/>
        </w:rPr>
        <w:t>considered to be status symbols in the criminal world</w:t>
      </w:r>
      <w:r w:rsidR="00DF48B1">
        <w:rPr>
          <w:rFonts w:cs="Times New Roman"/>
          <w:bCs/>
          <w:color w:val="000000" w:themeColor="text1"/>
          <w:szCs w:val="24"/>
        </w:rPr>
        <w:t>’</w:t>
      </w:r>
      <w:r w:rsidR="00DE0246">
        <w:rPr>
          <w:rFonts w:cs="Times New Roman"/>
          <w:bCs/>
          <w:color w:val="000000" w:themeColor="text1"/>
          <w:szCs w:val="24"/>
        </w:rPr>
        <w:t>,</w:t>
      </w:r>
      <w:r w:rsidRPr="006159D2">
        <w:rPr>
          <w:rStyle w:val="FootnoteReference"/>
          <w:rFonts w:cs="Times New Roman"/>
          <w:bCs/>
          <w:color w:val="000000" w:themeColor="text1"/>
          <w:szCs w:val="24"/>
        </w:rPr>
        <w:footnoteReference w:id="113"/>
      </w:r>
      <w:r w:rsidRPr="006159D2">
        <w:rPr>
          <w:rFonts w:cs="Times New Roman"/>
          <w:bCs/>
          <w:color w:val="000000" w:themeColor="text1"/>
          <w:szCs w:val="24"/>
        </w:rPr>
        <w:t xml:space="preserve"> the guidance fails to recognise that the provision of services, can</w:t>
      </w:r>
      <w:r w:rsidR="00D353B0">
        <w:rPr>
          <w:rFonts w:cs="Times New Roman"/>
          <w:bCs/>
          <w:color w:val="000000" w:themeColor="text1"/>
          <w:szCs w:val="24"/>
        </w:rPr>
        <w:t xml:space="preserve"> also</w:t>
      </w:r>
      <w:r w:rsidRPr="006159D2">
        <w:rPr>
          <w:rFonts w:cs="Times New Roman"/>
          <w:bCs/>
          <w:color w:val="000000" w:themeColor="text1"/>
          <w:szCs w:val="24"/>
        </w:rPr>
        <w:t xml:space="preserve"> often confer a similar prestige.</w:t>
      </w:r>
      <w:r w:rsidRPr="006159D2">
        <w:rPr>
          <w:rStyle w:val="FootnoteReference"/>
          <w:rFonts w:cs="Times New Roman"/>
          <w:bCs/>
          <w:color w:val="000000" w:themeColor="text1"/>
          <w:szCs w:val="24"/>
        </w:rPr>
        <w:footnoteReference w:id="114"/>
      </w:r>
      <w:r w:rsidRPr="006159D2">
        <w:rPr>
          <w:rFonts w:cs="Times New Roman"/>
          <w:bCs/>
          <w:color w:val="000000" w:themeColor="text1"/>
          <w:szCs w:val="24"/>
        </w:rPr>
        <w:t xml:space="preserve"> </w:t>
      </w:r>
      <w:r w:rsidRPr="006159D2">
        <w:rPr>
          <w:rFonts w:cs="Times New Roman"/>
          <w:bCs/>
          <w:szCs w:val="24"/>
        </w:rPr>
        <w:t xml:space="preserve">Accordingly, the Regulations are not applicable to </w:t>
      </w:r>
      <w:r w:rsidR="00DE0246">
        <w:rPr>
          <w:rFonts w:cs="Times New Roman"/>
          <w:bCs/>
          <w:szCs w:val="24"/>
        </w:rPr>
        <w:t>HEIs</w:t>
      </w:r>
      <w:r w:rsidRPr="006159D2">
        <w:rPr>
          <w:rFonts w:cs="Times New Roman"/>
          <w:bCs/>
          <w:szCs w:val="24"/>
        </w:rPr>
        <w:t xml:space="preserve">. </w:t>
      </w:r>
      <w:r w:rsidR="0075630D" w:rsidRPr="006159D2">
        <w:rPr>
          <w:rFonts w:cs="Times New Roman"/>
          <w:bCs/>
          <w:szCs w:val="24"/>
        </w:rPr>
        <w:t xml:space="preserve">Nevertheless, </w:t>
      </w:r>
      <w:r w:rsidR="0075630D" w:rsidRPr="006159D2">
        <w:rPr>
          <w:rFonts w:cs="Times New Roman"/>
          <w:szCs w:val="24"/>
        </w:rPr>
        <w:t xml:space="preserve">most, if not all, </w:t>
      </w:r>
      <w:r w:rsidR="00DE0246">
        <w:rPr>
          <w:rFonts w:cs="Times New Roman"/>
          <w:szCs w:val="24"/>
        </w:rPr>
        <w:t>HEIs</w:t>
      </w:r>
      <w:r w:rsidR="00DE0246" w:rsidRPr="006159D2">
        <w:rPr>
          <w:rFonts w:cs="Times New Roman"/>
          <w:szCs w:val="24"/>
        </w:rPr>
        <w:t xml:space="preserve"> </w:t>
      </w:r>
      <w:r w:rsidR="0075630D" w:rsidRPr="006159D2">
        <w:rPr>
          <w:rFonts w:cs="Times New Roman"/>
          <w:szCs w:val="24"/>
        </w:rPr>
        <w:t xml:space="preserve">could </w:t>
      </w:r>
      <w:r w:rsidR="00B134E2">
        <w:rPr>
          <w:rFonts w:cs="Times New Roman"/>
          <w:szCs w:val="24"/>
        </w:rPr>
        <w:t xml:space="preserve">require </w:t>
      </w:r>
      <w:r w:rsidR="00B134E2">
        <w:rPr>
          <w:rFonts w:cs="Times New Roman"/>
          <w:szCs w:val="24"/>
        </w:rPr>
        <w:lastRenderedPageBreak/>
        <w:t>authorisation by the FCA</w:t>
      </w:r>
      <w:r w:rsidR="0075630D" w:rsidRPr="006159D2">
        <w:rPr>
          <w:rFonts w:cs="Times New Roman"/>
          <w:szCs w:val="24"/>
        </w:rPr>
        <w:t xml:space="preserve"> for the credit activities they carry out.</w:t>
      </w:r>
      <w:r w:rsidR="0075630D" w:rsidRPr="006159D2">
        <w:rPr>
          <w:rStyle w:val="FootnoteReference"/>
          <w:rFonts w:cs="Times New Roman"/>
          <w:szCs w:val="24"/>
        </w:rPr>
        <w:footnoteReference w:id="115"/>
      </w:r>
      <w:r w:rsidR="0075630D" w:rsidRPr="006159D2">
        <w:rPr>
          <w:rFonts w:cs="Times New Roman"/>
          <w:szCs w:val="24"/>
        </w:rPr>
        <w:t xml:space="preserve"> </w:t>
      </w:r>
      <w:r w:rsidR="00DE0246">
        <w:rPr>
          <w:rFonts w:cs="Times New Roman"/>
          <w:szCs w:val="24"/>
        </w:rPr>
        <w:t>HEIs</w:t>
      </w:r>
      <w:r w:rsidR="00DE0246" w:rsidRPr="006159D2">
        <w:rPr>
          <w:rFonts w:cs="Times New Roman"/>
          <w:szCs w:val="24"/>
        </w:rPr>
        <w:t xml:space="preserve"> </w:t>
      </w:r>
      <w:r w:rsidR="00861080">
        <w:rPr>
          <w:rFonts w:cs="Times New Roman"/>
          <w:szCs w:val="24"/>
        </w:rPr>
        <w:t>authorised</w:t>
      </w:r>
      <w:r w:rsidR="00861080" w:rsidRPr="006159D2">
        <w:rPr>
          <w:rFonts w:cs="Times New Roman"/>
          <w:szCs w:val="24"/>
        </w:rPr>
        <w:t xml:space="preserve"> </w:t>
      </w:r>
      <w:r w:rsidR="0075630D" w:rsidRPr="006159D2">
        <w:rPr>
          <w:rFonts w:cs="Times New Roman"/>
          <w:szCs w:val="24"/>
        </w:rPr>
        <w:t xml:space="preserve">by the FCA will be bound by the Handbook and must comply with the guidelines provided. </w:t>
      </w:r>
    </w:p>
    <w:p w14:paraId="158CE30B" w14:textId="6E148393" w:rsidR="006159D2" w:rsidRDefault="0053123E" w:rsidP="00673D5B">
      <w:pPr>
        <w:spacing w:before="240" w:line="480" w:lineRule="auto"/>
        <w:rPr>
          <w:rFonts w:cs="Times New Roman"/>
          <w:szCs w:val="24"/>
        </w:rPr>
      </w:pPr>
      <w:r>
        <w:rPr>
          <w:rFonts w:cs="Times New Roman"/>
          <w:szCs w:val="24"/>
        </w:rPr>
        <w:t>T</w:t>
      </w:r>
      <w:r w:rsidR="00D34DF2">
        <w:rPr>
          <w:rFonts w:cs="Times New Roman"/>
          <w:szCs w:val="24"/>
        </w:rPr>
        <w:t>his paper has identified a new risk encountered by HE</w:t>
      </w:r>
      <w:r w:rsidR="008524ED">
        <w:rPr>
          <w:rFonts w:cs="Times New Roman"/>
          <w:szCs w:val="24"/>
        </w:rPr>
        <w:t>I</w:t>
      </w:r>
      <w:r w:rsidR="00D34DF2">
        <w:rPr>
          <w:rFonts w:cs="Times New Roman"/>
          <w:szCs w:val="24"/>
        </w:rPr>
        <w:t xml:space="preserve">s </w:t>
      </w:r>
      <w:r w:rsidR="00FA6803">
        <w:rPr>
          <w:rFonts w:cs="Times New Roman"/>
          <w:szCs w:val="24"/>
        </w:rPr>
        <w:t>from money laundering and terrorism financing</w:t>
      </w:r>
      <w:r w:rsidR="00A47732">
        <w:rPr>
          <w:rFonts w:cs="Times New Roman"/>
          <w:szCs w:val="24"/>
        </w:rPr>
        <w:t>, yet</w:t>
      </w:r>
      <w:r w:rsidR="00445ECD">
        <w:rPr>
          <w:rFonts w:cs="Times New Roman"/>
          <w:szCs w:val="24"/>
        </w:rPr>
        <w:t xml:space="preserve"> </w:t>
      </w:r>
      <w:r w:rsidR="00DE0246">
        <w:rPr>
          <w:rFonts w:cs="Times New Roman"/>
          <w:szCs w:val="24"/>
        </w:rPr>
        <w:t>HEIs are not encompassed within the Regulations.</w:t>
      </w:r>
      <w:r w:rsidR="00D34DF2">
        <w:rPr>
          <w:rFonts w:cs="Times New Roman"/>
          <w:szCs w:val="24"/>
        </w:rPr>
        <w:t xml:space="preserve"> </w:t>
      </w:r>
      <w:r w:rsidR="00DE0246">
        <w:rPr>
          <w:rFonts w:cs="Times New Roman"/>
          <w:szCs w:val="24"/>
        </w:rPr>
        <w:t xml:space="preserve">Nevertheless, HEIs may be obligated to introduce </w:t>
      </w:r>
      <w:r w:rsidR="00834508">
        <w:rPr>
          <w:rFonts w:cs="Times New Roman"/>
          <w:szCs w:val="24"/>
        </w:rPr>
        <w:t xml:space="preserve">AML/CTF </w:t>
      </w:r>
      <w:r w:rsidR="00DE0246">
        <w:rPr>
          <w:rFonts w:cs="Times New Roman"/>
          <w:szCs w:val="24"/>
        </w:rPr>
        <w:t xml:space="preserve">preventative measures owing to their </w:t>
      </w:r>
      <w:r w:rsidR="00493B44">
        <w:rPr>
          <w:rFonts w:cs="Times New Roman"/>
          <w:szCs w:val="24"/>
        </w:rPr>
        <w:t>authorisation by</w:t>
      </w:r>
      <w:r w:rsidR="00DE0246">
        <w:rPr>
          <w:rFonts w:cs="Times New Roman"/>
          <w:szCs w:val="24"/>
        </w:rPr>
        <w:t xml:space="preserve"> the FCA and consequent obligation to comply with the Handbook. </w:t>
      </w:r>
      <w:r w:rsidR="000511C6">
        <w:rPr>
          <w:rFonts w:cs="Times New Roman"/>
          <w:szCs w:val="24"/>
        </w:rPr>
        <w:t>At</w:t>
      </w:r>
      <w:r w:rsidR="000511C6" w:rsidRPr="000511C6">
        <w:rPr>
          <w:rFonts w:cs="Times New Roman"/>
          <w:szCs w:val="24"/>
        </w:rPr>
        <w:t xml:space="preserve"> any rate, </w:t>
      </w:r>
      <w:r w:rsidR="000511C6">
        <w:rPr>
          <w:rFonts w:cs="Times New Roman"/>
          <w:szCs w:val="24"/>
        </w:rPr>
        <w:t xml:space="preserve">the </w:t>
      </w:r>
      <w:r w:rsidR="000511C6" w:rsidRPr="000511C6">
        <w:rPr>
          <w:rFonts w:cs="Times New Roman"/>
          <w:szCs w:val="24"/>
        </w:rPr>
        <w:t xml:space="preserve">current position is unclear and unsatisfactory. The next </w:t>
      </w:r>
      <w:r w:rsidR="000511C6">
        <w:rPr>
          <w:rFonts w:cs="Times New Roman"/>
          <w:szCs w:val="24"/>
        </w:rPr>
        <w:t>section</w:t>
      </w:r>
      <w:r w:rsidR="000511C6" w:rsidRPr="000511C6">
        <w:rPr>
          <w:rFonts w:cs="Times New Roman"/>
          <w:szCs w:val="24"/>
        </w:rPr>
        <w:t xml:space="preserve"> considers the potential impact of the </w:t>
      </w:r>
      <w:r w:rsidR="00814E76">
        <w:rPr>
          <w:rFonts w:cs="Times New Roman"/>
          <w:szCs w:val="24"/>
        </w:rPr>
        <w:t>omission</w:t>
      </w:r>
      <w:r w:rsidR="000511C6" w:rsidRPr="000511C6">
        <w:rPr>
          <w:rFonts w:cs="Times New Roman"/>
          <w:szCs w:val="24"/>
        </w:rPr>
        <w:t xml:space="preserve"> of HEIs from </w:t>
      </w:r>
      <w:r w:rsidR="00445ECD">
        <w:rPr>
          <w:rFonts w:cs="Times New Roman"/>
          <w:szCs w:val="24"/>
        </w:rPr>
        <w:t xml:space="preserve">this </w:t>
      </w:r>
      <w:r w:rsidR="000511C6" w:rsidRPr="000511C6">
        <w:rPr>
          <w:rFonts w:cs="Times New Roman"/>
          <w:szCs w:val="24"/>
        </w:rPr>
        <w:t>framework</w:t>
      </w:r>
      <w:r w:rsidR="00DE0246">
        <w:rPr>
          <w:rFonts w:cs="Times New Roman"/>
          <w:szCs w:val="24"/>
        </w:rPr>
        <w:t>.</w:t>
      </w:r>
    </w:p>
    <w:p w14:paraId="35D4EECA" w14:textId="4A88FD0E" w:rsidR="00745C6A" w:rsidRPr="006159D2" w:rsidRDefault="00D83DC5" w:rsidP="00377664">
      <w:pPr>
        <w:pStyle w:val="Heading2"/>
        <w:spacing w:line="480" w:lineRule="auto"/>
        <w:jc w:val="both"/>
      </w:pPr>
      <w:r w:rsidRPr="00377664">
        <w:rPr>
          <w:b w:val="0"/>
          <w:i/>
        </w:rPr>
        <w:t>The</w:t>
      </w:r>
      <w:r w:rsidR="00255E9F" w:rsidRPr="00377664">
        <w:rPr>
          <w:b w:val="0"/>
          <w:i/>
        </w:rPr>
        <w:t xml:space="preserve"> </w:t>
      </w:r>
      <w:r w:rsidR="008E4E57" w:rsidRPr="00377664">
        <w:rPr>
          <w:b w:val="0"/>
          <w:i/>
        </w:rPr>
        <w:t>p</w:t>
      </w:r>
      <w:r w:rsidR="00255E9F" w:rsidRPr="00377664">
        <w:rPr>
          <w:b w:val="0"/>
          <w:i/>
        </w:rPr>
        <w:t>otential</w:t>
      </w:r>
      <w:r w:rsidRPr="00377664">
        <w:rPr>
          <w:b w:val="0"/>
          <w:i/>
        </w:rPr>
        <w:t xml:space="preserve"> </w:t>
      </w:r>
      <w:r w:rsidR="008E4E57" w:rsidRPr="00377664">
        <w:rPr>
          <w:b w:val="0"/>
          <w:i/>
        </w:rPr>
        <w:t>i</w:t>
      </w:r>
      <w:r w:rsidRPr="00377664">
        <w:rPr>
          <w:b w:val="0"/>
          <w:i/>
        </w:rPr>
        <w:t xml:space="preserve">mpact of </w:t>
      </w:r>
      <w:r w:rsidR="006159D2" w:rsidRPr="00377664">
        <w:rPr>
          <w:b w:val="0"/>
          <w:i/>
        </w:rPr>
        <w:t xml:space="preserve">the </w:t>
      </w:r>
      <w:r w:rsidR="008E4E57" w:rsidRPr="00377664">
        <w:rPr>
          <w:b w:val="0"/>
          <w:i/>
        </w:rPr>
        <w:t>e</w:t>
      </w:r>
      <w:r w:rsidR="006159D2" w:rsidRPr="00377664">
        <w:rPr>
          <w:b w:val="0"/>
          <w:i/>
        </w:rPr>
        <w:t>xclusion of</w:t>
      </w:r>
      <w:r w:rsidRPr="00377664">
        <w:rPr>
          <w:b w:val="0"/>
          <w:i/>
        </w:rPr>
        <w:t xml:space="preserve"> </w:t>
      </w:r>
      <w:r w:rsidR="008E4E57" w:rsidRPr="00377664">
        <w:rPr>
          <w:b w:val="0"/>
          <w:i/>
        </w:rPr>
        <w:t xml:space="preserve">HEIs </w:t>
      </w:r>
      <w:r w:rsidRPr="00377664">
        <w:rPr>
          <w:b w:val="0"/>
          <w:i/>
        </w:rPr>
        <w:t xml:space="preserve">from the </w:t>
      </w:r>
      <w:r w:rsidR="008E4E57" w:rsidRPr="00377664">
        <w:rPr>
          <w:b w:val="0"/>
          <w:i/>
        </w:rPr>
        <w:t>a</w:t>
      </w:r>
      <w:r w:rsidRPr="00377664">
        <w:rPr>
          <w:b w:val="0"/>
          <w:i/>
        </w:rPr>
        <w:t>nti-</w:t>
      </w:r>
      <w:r w:rsidR="008E4E57" w:rsidRPr="00377664">
        <w:rPr>
          <w:b w:val="0"/>
          <w:i/>
        </w:rPr>
        <w:t>m</w:t>
      </w:r>
      <w:r w:rsidRPr="00377664">
        <w:rPr>
          <w:b w:val="0"/>
          <w:i/>
        </w:rPr>
        <w:t xml:space="preserve">oney </w:t>
      </w:r>
      <w:r w:rsidR="008E4E57" w:rsidRPr="00377664">
        <w:rPr>
          <w:b w:val="0"/>
          <w:i/>
        </w:rPr>
        <w:t>l</w:t>
      </w:r>
      <w:r w:rsidRPr="00377664">
        <w:rPr>
          <w:b w:val="0"/>
          <w:i/>
        </w:rPr>
        <w:t xml:space="preserve">aundering </w:t>
      </w:r>
      <w:r w:rsidR="008E4E57" w:rsidRPr="00377664">
        <w:rPr>
          <w:b w:val="0"/>
          <w:i/>
        </w:rPr>
        <w:t>f</w:t>
      </w:r>
      <w:r w:rsidRPr="00377664">
        <w:rPr>
          <w:b w:val="0"/>
          <w:i/>
        </w:rPr>
        <w:t>ramework</w:t>
      </w:r>
    </w:p>
    <w:p w14:paraId="148B4BA7" w14:textId="5ADD8116" w:rsidR="00983034" w:rsidRDefault="00983034" w:rsidP="00673D5B">
      <w:pPr>
        <w:spacing w:before="240" w:after="0" w:line="480" w:lineRule="auto"/>
        <w:rPr>
          <w:rFonts w:cs="Times New Roman"/>
          <w:bCs/>
          <w:szCs w:val="24"/>
        </w:rPr>
      </w:pPr>
      <w:r>
        <w:rPr>
          <w:rFonts w:cs="Times New Roman"/>
          <w:bCs/>
          <w:szCs w:val="24"/>
        </w:rPr>
        <w:t xml:space="preserve">Failing to include HEIs within the Regulations generates uncertainty as to the nature and extent of universities’ preventative obligations. </w:t>
      </w:r>
      <w:r w:rsidR="00445ECD">
        <w:rPr>
          <w:rFonts w:cs="Times New Roman"/>
          <w:bCs/>
          <w:szCs w:val="24"/>
        </w:rPr>
        <w:t>However</w:t>
      </w:r>
      <w:r>
        <w:rPr>
          <w:rFonts w:cs="Times New Roman"/>
          <w:bCs/>
          <w:szCs w:val="24"/>
        </w:rPr>
        <w:t xml:space="preserve">, HEIs are likely to face significant financial and reputational consequences for failing to comply. This section explores the potential impact of excluding HEIs from the </w:t>
      </w:r>
      <w:r w:rsidR="006B47F6">
        <w:rPr>
          <w:rFonts w:cs="Times New Roman"/>
          <w:bCs/>
          <w:szCs w:val="24"/>
        </w:rPr>
        <w:t>AML framework</w:t>
      </w:r>
      <w:r>
        <w:rPr>
          <w:rFonts w:cs="Times New Roman"/>
          <w:bCs/>
          <w:szCs w:val="24"/>
        </w:rPr>
        <w:t xml:space="preserve">, including </w:t>
      </w:r>
      <w:r w:rsidR="00174B8A">
        <w:rPr>
          <w:rFonts w:cs="Times New Roman"/>
          <w:bCs/>
          <w:szCs w:val="24"/>
        </w:rPr>
        <w:t xml:space="preserve">the </w:t>
      </w:r>
      <w:r>
        <w:rPr>
          <w:rFonts w:cs="Times New Roman"/>
          <w:bCs/>
          <w:szCs w:val="24"/>
        </w:rPr>
        <w:t>criminal liability of HEI employees for dealing with</w:t>
      </w:r>
      <w:r w:rsidR="00445ECD">
        <w:rPr>
          <w:rFonts w:cs="Times New Roman"/>
          <w:bCs/>
          <w:szCs w:val="24"/>
        </w:rPr>
        <w:t xml:space="preserve"> illicit</w:t>
      </w:r>
      <w:r>
        <w:rPr>
          <w:rFonts w:cs="Times New Roman"/>
          <w:bCs/>
          <w:szCs w:val="24"/>
        </w:rPr>
        <w:t xml:space="preserve"> payments</w:t>
      </w:r>
      <w:r w:rsidR="00445ECD">
        <w:rPr>
          <w:rFonts w:cs="Times New Roman"/>
          <w:bCs/>
          <w:szCs w:val="24"/>
        </w:rPr>
        <w:t xml:space="preserve"> and</w:t>
      </w:r>
      <w:r>
        <w:rPr>
          <w:rFonts w:cs="Times New Roman"/>
          <w:bCs/>
          <w:szCs w:val="24"/>
        </w:rPr>
        <w:t xml:space="preserve"> the criminal and civil liability of HEIs</w:t>
      </w:r>
      <w:r w:rsidR="00F904F5">
        <w:rPr>
          <w:rFonts w:cs="Times New Roman"/>
          <w:bCs/>
          <w:szCs w:val="24"/>
        </w:rPr>
        <w:t xml:space="preserve"> </w:t>
      </w:r>
      <w:r>
        <w:rPr>
          <w:rFonts w:cs="Times New Roman"/>
          <w:bCs/>
          <w:szCs w:val="24"/>
        </w:rPr>
        <w:t xml:space="preserve">for failing to introduce preventative measures. </w:t>
      </w:r>
    </w:p>
    <w:p w14:paraId="2823D053" w14:textId="58F0EF05" w:rsidR="000B044A" w:rsidRPr="006159D2" w:rsidRDefault="00D83DC5" w:rsidP="00673D5B">
      <w:pPr>
        <w:spacing w:before="240" w:after="0" w:line="480" w:lineRule="auto"/>
        <w:rPr>
          <w:rFonts w:cs="Times New Roman"/>
          <w:bCs/>
          <w:szCs w:val="24"/>
        </w:rPr>
      </w:pPr>
      <w:r w:rsidRPr="006159D2">
        <w:rPr>
          <w:rFonts w:cs="Times New Roman"/>
          <w:bCs/>
          <w:szCs w:val="24"/>
        </w:rPr>
        <w:t xml:space="preserve">As universities are not part of the </w:t>
      </w:r>
      <w:r w:rsidR="0042675E">
        <w:rPr>
          <w:rFonts w:cs="Times New Roman"/>
          <w:bCs/>
          <w:szCs w:val="24"/>
        </w:rPr>
        <w:t>R</w:t>
      </w:r>
      <w:r w:rsidRPr="006159D2">
        <w:rPr>
          <w:rFonts w:cs="Times New Roman"/>
          <w:bCs/>
          <w:szCs w:val="24"/>
        </w:rPr>
        <w:t xml:space="preserve">egulated </w:t>
      </w:r>
      <w:r w:rsidR="0042675E">
        <w:rPr>
          <w:rFonts w:cs="Times New Roman"/>
          <w:bCs/>
          <w:szCs w:val="24"/>
        </w:rPr>
        <w:t>S</w:t>
      </w:r>
      <w:r w:rsidRPr="006159D2">
        <w:rPr>
          <w:rFonts w:cs="Times New Roman"/>
          <w:bCs/>
          <w:szCs w:val="24"/>
        </w:rPr>
        <w:t>ector</w:t>
      </w:r>
      <w:r w:rsidR="00745C6A" w:rsidRPr="006159D2">
        <w:rPr>
          <w:rFonts w:cs="Times New Roman"/>
          <w:bCs/>
          <w:szCs w:val="24"/>
        </w:rPr>
        <w:t xml:space="preserve">, the offences of failing to report suspicions of money laundering </w:t>
      </w:r>
      <w:r w:rsidR="00564D3F">
        <w:rPr>
          <w:rFonts w:cs="Times New Roman"/>
          <w:bCs/>
          <w:szCs w:val="24"/>
        </w:rPr>
        <w:t xml:space="preserve">and terrorism financing </w:t>
      </w:r>
      <w:r w:rsidR="00745C6A" w:rsidRPr="006159D2">
        <w:rPr>
          <w:rFonts w:cs="Times New Roman"/>
          <w:bCs/>
          <w:szCs w:val="24"/>
        </w:rPr>
        <w:t xml:space="preserve">do not apply to employees of </w:t>
      </w:r>
      <w:r w:rsidR="00FB4E5F">
        <w:rPr>
          <w:rFonts w:cs="Times New Roman"/>
          <w:bCs/>
          <w:szCs w:val="24"/>
        </w:rPr>
        <w:t>HEIs</w:t>
      </w:r>
      <w:r w:rsidR="00745C6A" w:rsidRPr="006159D2">
        <w:rPr>
          <w:rFonts w:cs="Times New Roman"/>
          <w:bCs/>
          <w:szCs w:val="24"/>
        </w:rPr>
        <w:t>.</w:t>
      </w:r>
      <w:r w:rsidR="00745C6A" w:rsidRPr="006159D2">
        <w:rPr>
          <w:rStyle w:val="FootnoteReference"/>
          <w:rFonts w:cs="Times New Roman"/>
          <w:bCs/>
          <w:szCs w:val="24"/>
        </w:rPr>
        <w:footnoteReference w:id="116"/>
      </w:r>
      <w:r w:rsidR="00745C6A" w:rsidRPr="006159D2">
        <w:rPr>
          <w:rFonts w:cs="Times New Roman"/>
          <w:bCs/>
          <w:szCs w:val="24"/>
        </w:rPr>
        <w:t xml:space="preserve"> However, the money laundering and terrorism financing offences are of universal application.</w:t>
      </w:r>
      <w:r w:rsidR="00745C6A" w:rsidRPr="006159D2">
        <w:rPr>
          <w:rStyle w:val="FootnoteReference"/>
          <w:rFonts w:cs="Times New Roman"/>
          <w:bCs/>
          <w:szCs w:val="24"/>
        </w:rPr>
        <w:footnoteReference w:id="117"/>
      </w:r>
      <w:r w:rsidR="00745C6A" w:rsidRPr="006159D2">
        <w:rPr>
          <w:rFonts w:cs="Times New Roman"/>
          <w:bCs/>
          <w:szCs w:val="24"/>
        </w:rPr>
        <w:t xml:space="preserve"> </w:t>
      </w:r>
      <w:r w:rsidR="00445ECD">
        <w:rPr>
          <w:rFonts w:cs="Times New Roman"/>
          <w:bCs/>
          <w:szCs w:val="24"/>
        </w:rPr>
        <w:t>Therefore</w:t>
      </w:r>
      <w:r w:rsidR="00745C6A" w:rsidRPr="006159D2">
        <w:rPr>
          <w:rFonts w:cs="Times New Roman"/>
          <w:bCs/>
          <w:szCs w:val="24"/>
        </w:rPr>
        <w:t xml:space="preserve">, university employees may be charged with </w:t>
      </w:r>
      <w:r w:rsidR="00FA6803">
        <w:rPr>
          <w:rFonts w:cs="Times New Roman"/>
          <w:bCs/>
          <w:szCs w:val="24"/>
        </w:rPr>
        <w:t xml:space="preserve">money </w:t>
      </w:r>
      <w:r w:rsidR="00745C6A" w:rsidRPr="006159D2">
        <w:rPr>
          <w:rFonts w:cs="Times New Roman"/>
          <w:bCs/>
          <w:szCs w:val="24"/>
        </w:rPr>
        <w:t>laundering offence</w:t>
      </w:r>
      <w:r w:rsidR="00110E81">
        <w:rPr>
          <w:rFonts w:cs="Times New Roman"/>
          <w:bCs/>
          <w:szCs w:val="24"/>
        </w:rPr>
        <w:t>s</w:t>
      </w:r>
      <w:r w:rsidR="00445ECD">
        <w:rPr>
          <w:rFonts w:cs="Times New Roman"/>
          <w:bCs/>
          <w:szCs w:val="24"/>
        </w:rPr>
        <w:t xml:space="preserve"> for dealing </w:t>
      </w:r>
      <w:r w:rsidR="00445ECD">
        <w:rPr>
          <w:rFonts w:cs="Times New Roman"/>
          <w:bCs/>
          <w:szCs w:val="24"/>
        </w:rPr>
        <w:lastRenderedPageBreak/>
        <w:t>with criminal property</w:t>
      </w:r>
      <w:r w:rsidR="00745C6A" w:rsidRPr="006159D2">
        <w:rPr>
          <w:rFonts w:cs="Times New Roman"/>
          <w:bCs/>
          <w:szCs w:val="24"/>
          <w:lang w:val="en"/>
        </w:rPr>
        <w:t>.</w:t>
      </w:r>
      <w:r w:rsidR="00745C6A" w:rsidRPr="006159D2">
        <w:rPr>
          <w:rFonts w:cs="Times New Roman"/>
          <w:bCs/>
          <w:szCs w:val="24"/>
          <w:vertAlign w:val="superscript"/>
          <w:lang w:val="en"/>
        </w:rPr>
        <w:footnoteReference w:id="118"/>
      </w:r>
      <w:r w:rsidR="00745C6A" w:rsidRPr="006159D2">
        <w:rPr>
          <w:rFonts w:cs="Times New Roman"/>
          <w:bCs/>
          <w:szCs w:val="24"/>
          <w:lang w:val="en"/>
        </w:rPr>
        <w:t xml:space="preserve"> </w:t>
      </w:r>
      <w:r w:rsidR="00FA6803">
        <w:rPr>
          <w:rFonts w:cs="Times New Roman"/>
          <w:bCs/>
          <w:szCs w:val="24"/>
        </w:rPr>
        <w:t>A</w:t>
      </w:r>
      <w:r w:rsidR="00745C6A" w:rsidRPr="006159D2">
        <w:rPr>
          <w:rFonts w:cs="Times New Roman"/>
          <w:bCs/>
          <w:szCs w:val="24"/>
        </w:rPr>
        <w:t xml:space="preserve"> wide interpretation is afforded to the term criminal property; </w:t>
      </w:r>
      <w:r w:rsidR="00445ECD">
        <w:rPr>
          <w:rFonts w:cs="Times New Roman"/>
          <w:bCs/>
          <w:szCs w:val="24"/>
          <w:lang w:val="en"/>
        </w:rPr>
        <w:t>it</w:t>
      </w:r>
      <w:r w:rsidR="00745C6A" w:rsidRPr="006159D2">
        <w:rPr>
          <w:rFonts w:cs="Times New Roman"/>
          <w:bCs/>
          <w:szCs w:val="24"/>
          <w:lang w:val="en"/>
        </w:rPr>
        <w:t xml:space="preserve"> is comprised of a person’s benefit from criminal conduct,</w:t>
      </w:r>
      <w:r w:rsidR="00745C6A" w:rsidRPr="006159D2">
        <w:rPr>
          <w:rFonts w:cs="Times New Roman"/>
          <w:bCs/>
          <w:szCs w:val="24"/>
          <w:vertAlign w:val="superscript"/>
          <w:lang w:val="en"/>
        </w:rPr>
        <w:footnoteReference w:id="119"/>
      </w:r>
      <w:r w:rsidR="00745C6A" w:rsidRPr="006159D2">
        <w:rPr>
          <w:rFonts w:cs="Times New Roman"/>
          <w:bCs/>
          <w:szCs w:val="24"/>
          <w:lang w:val="en"/>
        </w:rPr>
        <w:t xml:space="preserve"> itself defined as conduct amounting to an offence in any part of the UK, or conduct that would constitute an offence if it occurred there.</w:t>
      </w:r>
      <w:r w:rsidR="00745C6A" w:rsidRPr="006159D2">
        <w:rPr>
          <w:rFonts w:cs="Times New Roman"/>
          <w:bCs/>
          <w:szCs w:val="24"/>
          <w:vertAlign w:val="superscript"/>
          <w:lang w:val="en"/>
        </w:rPr>
        <w:footnoteReference w:id="120"/>
      </w:r>
      <w:r w:rsidR="00994597" w:rsidRPr="006159D2">
        <w:rPr>
          <w:rFonts w:cs="Times New Roman"/>
          <w:bCs/>
          <w:szCs w:val="24"/>
          <w:lang w:val="en"/>
        </w:rPr>
        <w:t xml:space="preserve"> </w:t>
      </w:r>
      <w:r w:rsidR="00092577">
        <w:rPr>
          <w:rFonts w:cs="Times New Roman"/>
          <w:bCs/>
          <w:szCs w:val="24"/>
          <w:lang w:val="en"/>
        </w:rPr>
        <w:t xml:space="preserve">Additionally, </w:t>
      </w:r>
      <w:r w:rsidR="00994597" w:rsidRPr="006159D2">
        <w:rPr>
          <w:rFonts w:cs="Times New Roman"/>
          <w:bCs/>
          <w:szCs w:val="24"/>
          <w:lang w:val="en"/>
        </w:rPr>
        <w:t>the offences incorporate a</w:t>
      </w:r>
      <w:r w:rsidR="00994597" w:rsidRPr="006159D2">
        <w:rPr>
          <w:rFonts w:cs="Times New Roman"/>
          <w:szCs w:val="24"/>
        </w:rPr>
        <w:t xml:space="preserve"> </w:t>
      </w:r>
      <w:r w:rsidR="00994597" w:rsidRPr="006159D2">
        <w:rPr>
          <w:rFonts w:cs="Times New Roman"/>
          <w:bCs/>
          <w:szCs w:val="24"/>
          <w:lang w:val="en"/>
        </w:rPr>
        <w:t xml:space="preserve">low standard of </w:t>
      </w:r>
      <w:r w:rsidR="00994597" w:rsidRPr="006818A2">
        <w:rPr>
          <w:rFonts w:cs="Times New Roman"/>
          <w:bCs/>
          <w:szCs w:val="24"/>
          <w:lang w:val="en"/>
        </w:rPr>
        <w:t>mens rea</w:t>
      </w:r>
      <w:r w:rsidR="00994597" w:rsidRPr="006159D2">
        <w:rPr>
          <w:rFonts w:cs="Times New Roman"/>
          <w:bCs/>
          <w:szCs w:val="24"/>
          <w:lang w:val="en"/>
        </w:rPr>
        <w:t>, specifically, knowledge or mere suspicion</w:t>
      </w:r>
      <w:r w:rsidR="000B044A" w:rsidRPr="006159D2">
        <w:rPr>
          <w:rFonts w:cs="Times New Roman"/>
          <w:bCs/>
          <w:szCs w:val="24"/>
          <w:lang w:val="en"/>
        </w:rPr>
        <w:t>.</w:t>
      </w:r>
      <w:r w:rsidR="000B044A" w:rsidRPr="006159D2">
        <w:rPr>
          <w:rStyle w:val="FootnoteReference"/>
          <w:rFonts w:cs="Times New Roman"/>
          <w:bCs/>
          <w:szCs w:val="24"/>
          <w:lang w:val="en"/>
        </w:rPr>
        <w:footnoteReference w:id="121"/>
      </w:r>
      <w:r w:rsidR="009669FA">
        <w:rPr>
          <w:rFonts w:cs="Times New Roman"/>
          <w:bCs/>
          <w:szCs w:val="24"/>
          <w:lang w:val="en"/>
        </w:rPr>
        <w:t xml:space="preserve"> </w:t>
      </w:r>
      <w:r w:rsidR="00745C6A" w:rsidRPr="006159D2">
        <w:rPr>
          <w:rFonts w:cs="Times New Roman"/>
          <w:bCs/>
          <w:szCs w:val="24"/>
        </w:rPr>
        <w:t>However, a defence is provided if the person concerned makes an authorised disclosure to a constable,</w:t>
      </w:r>
      <w:r w:rsidR="00745C6A" w:rsidRPr="006159D2">
        <w:rPr>
          <w:rStyle w:val="FootnoteReference"/>
          <w:rFonts w:cs="Times New Roman"/>
          <w:bCs/>
          <w:szCs w:val="24"/>
        </w:rPr>
        <w:footnoteReference w:id="122"/>
      </w:r>
      <w:r w:rsidR="00745C6A" w:rsidRPr="006159D2">
        <w:rPr>
          <w:rFonts w:cs="Times New Roman"/>
          <w:bCs/>
          <w:szCs w:val="24"/>
        </w:rPr>
        <w:t xml:space="preserve"> a customs officer or a nominated officer,</w:t>
      </w:r>
      <w:r w:rsidR="00745C6A" w:rsidRPr="006159D2">
        <w:rPr>
          <w:rStyle w:val="FootnoteReference"/>
          <w:rFonts w:cs="Times New Roman"/>
          <w:bCs/>
          <w:szCs w:val="24"/>
        </w:rPr>
        <w:footnoteReference w:id="123"/>
      </w:r>
      <w:r w:rsidR="00745C6A" w:rsidRPr="006159D2">
        <w:rPr>
          <w:rFonts w:cs="Times New Roman"/>
          <w:bCs/>
          <w:szCs w:val="24"/>
        </w:rPr>
        <w:t xml:space="preserve"> who must in turn report the matter to the NCA.</w:t>
      </w:r>
      <w:r w:rsidR="00745C6A" w:rsidRPr="006159D2">
        <w:rPr>
          <w:rStyle w:val="FootnoteReference"/>
          <w:rFonts w:cs="Times New Roman"/>
          <w:bCs/>
          <w:szCs w:val="24"/>
        </w:rPr>
        <w:footnoteReference w:id="124"/>
      </w:r>
      <w:r w:rsidR="00745C6A" w:rsidRPr="006159D2">
        <w:rPr>
          <w:rFonts w:cs="Times New Roman"/>
          <w:bCs/>
          <w:szCs w:val="24"/>
        </w:rPr>
        <w:t xml:space="preserve"> </w:t>
      </w:r>
      <w:r w:rsidR="00122BB2">
        <w:rPr>
          <w:rFonts w:cs="Times New Roman"/>
          <w:bCs/>
          <w:szCs w:val="24"/>
        </w:rPr>
        <w:t xml:space="preserve">Therefore, </w:t>
      </w:r>
      <w:r w:rsidR="00FB4E5F">
        <w:rPr>
          <w:rFonts w:cs="Times New Roman"/>
          <w:bCs/>
          <w:szCs w:val="24"/>
        </w:rPr>
        <w:t>HEIs must</w:t>
      </w:r>
      <w:r w:rsidR="00745C6A" w:rsidRPr="006159D2">
        <w:rPr>
          <w:rFonts w:cs="Times New Roman"/>
          <w:bCs/>
          <w:szCs w:val="24"/>
        </w:rPr>
        <w:t xml:space="preserve"> appoint a nominated officer and establish procedures for staff handling payments to submit SARs, if only to provide employees with a defence to money laundering and terrorism financing offences. However, only a small number of </w:t>
      </w:r>
      <w:r w:rsidR="00FB4E5F">
        <w:rPr>
          <w:rFonts w:cs="Times New Roman"/>
          <w:bCs/>
          <w:szCs w:val="24"/>
        </w:rPr>
        <w:t>HEIs</w:t>
      </w:r>
      <w:r w:rsidR="00745C6A" w:rsidRPr="006159D2">
        <w:rPr>
          <w:rFonts w:cs="Times New Roman"/>
          <w:bCs/>
          <w:szCs w:val="24"/>
        </w:rPr>
        <w:t xml:space="preserve"> submit SARs. </w:t>
      </w:r>
      <w:r w:rsidR="001B7E2B">
        <w:rPr>
          <w:rFonts w:cs="Times New Roman"/>
          <w:bCs/>
          <w:szCs w:val="24"/>
        </w:rPr>
        <w:t>This could have detrimental consequences</w:t>
      </w:r>
      <w:r w:rsidR="00445ECD">
        <w:rPr>
          <w:rFonts w:cs="Times New Roman"/>
          <w:bCs/>
          <w:szCs w:val="24"/>
        </w:rPr>
        <w:t>,</w:t>
      </w:r>
      <w:r w:rsidR="001B7E2B">
        <w:rPr>
          <w:rFonts w:cs="Times New Roman"/>
          <w:bCs/>
          <w:szCs w:val="24"/>
        </w:rPr>
        <w:t xml:space="preserve"> not only for HEI staff involved in processing payments, but also, </w:t>
      </w:r>
      <w:r w:rsidR="00FB4E5F">
        <w:rPr>
          <w:rFonts w:cs="Times New Roman"/>
          <w:bCs/>
          <w:szCs w:val="24"/>
        </w:rPr>
        <w:t>HEIs</w:t>
      </w:r>
      <w:r w:rsidR="00FB4E5F" w:rsidRPr="006159D2">
        <w:rPr>
          <w:rFonts w:cs="Times New Roman"/>
          <w:bCs/>
          <w:szCs w:val="24"/>
        </w:rPr>
        <w:t xml:space="preserve"> </w:t>
      </w:r>
      <w:r w:rsidR="001B7E2B">
        <w:rPr>
          <w:rFonts w:cs="Times New Roman"/>
          <w:bCs/>
          <w:szCs w:val="24"/>
        </w:rPr>
        <w:t>as corporate entities.</w:t>
      </w:r>
      <w:r w:rsidR="000B044A" w:rsidRPr="006159D2">
        <w:rPr>
          <w:rFonts w:cs="Times New Roman"/>
          <w:bCs/>
          <w:szCs w:val="24"/>
        </w:rPr>
        <w:t xml:space="preserve"> </w:t>
      </w:r>
    </w:p>
    <w:p w14:paraId="3851D1DA" w14:textId="3742C132" w:rsidR="000B044A" w:rsidRPr="006159D2" w:rsidRDefault="00FB4E5F" w:rsidP="00673D5B">
      <w:pPr>
        <w:spacing w:before="240" w:after="0" w:line="480" w:lineRule="auto"/>
        <w:rPr>
          <w:rFonts w:cs="Times New Roman"/>
          <w:bCs/>
          <w:szCs w:val="24"/>
        </w:rPr>
      </w:pPr>
      <w:r>
        <w:rPr>
          <w:rFonts w:cs="Times New Roman"/>
          <w:bCs/>
          <w:szCs w:val="24"/>
        </w:rPr>
        <w:t>HEIs</w:t>
      </w:r>
      <w:r w:rsidRPr="006159D2">
        <w:rPr>
          <w:rFonts w:cs="Times New Roman"/>
          <w:bCs/>
          <w:szCs w:val="24"/>
        </w:rPr>
        <w:t xml:space="preserve"> </w:t>
      </w:r>
      <w:r w:rsidR="002D3CBC">
        <w:rPr>
          <w:rFonts w:cs="Times New Roman"/>
          <w:bCs/>
          <w:szCs w:val="24"/>
        </w:rPr>
        <w:t xml:space="preserve">could </w:t>
      </w:r>
      <w:r w:rsidR="000B044A" w:rsidRPr="006159D2">
        <w:rPr>
          <w:rFonts w:cs="Times New Roman"/>
          <w:bCs/>
          <w:szCs w:val="24"/>
        </w:rPr>
        <w:t>face criminal sanction</w:t>
      </w:r>
      <w:r w:rsidR="005E22C2">
        <w:rPr>
          <w:rFonts w:cs="Times New Roman"/>
          <w:bCs/>
          <w:szCs w:val="24"/>
        </w:rPr>
        <w:t>s</w:t>
      </w:r>
      <w:r w:rsidR="000B044A" w:rsidRPr="006159D2">
        <w:rPr>
          <w:rFonts w:cs="Times New Roman"/>
          <w:bCs/>
          <w:szCs w:val="24"/>
        </w:rPr>
        <w:t xml:space="preserve"> if they deal with criminal property or funds associated with</w:t>
      </w:r>
      <w:r w:rsidR="001B7E2B">
        <w:rPr>
          <w:rFonts w:cs="Times New Roman"/>
          <w:bCs/>
          <w:szCs w:val="24"/>
        </w:rPr>
        <w:t xml:space="preserve"> money laundering or</w:t>
      </w:r>
      <w:r w:rsidR="000B044A" w:rsidRPr="006159D2">
        <w:rPr>
          <w:rFonts w:cs="Times New Roman"/>
          <w:bCs/>
          <w:szCs w:val="24"/>
        </w:rPr>
        <w:t xml:space="preserve"> terrorism. This is because </w:t>
      </w:r>
      <w:r w:rsidR="00745C6A" w:rsidRPr="006159D2">
        <w:rPr>
          <w:rFonts w:cs="Times New Roman"/>
          <w:bCs/>
          <w:szCs w:val="24"/>
        </w:rPr>
        <w:t xml:space="preserve">a wider range of corporate failure to prevent economic crime offences </w:t>
      </w:r>
      <w:r w:rsidR="000B044A" w:rsidRPr="006159D2">
        <w:rPr>
          <w:rFonts w:cs="Times New Roman"/>
          <w:bCs/>
          <w:szCs w:val="24"/>
        </w:rPr>
        <w:t xml:space="preserve">are likely to be </w:t>
      </w:r>
      <w:r w:rsidR="00745C6A" w:rsidRPr="006159D2">
        <w:rPr>
          <w:rFonts w:cs="Times New Roman"/>
          <w:bCs/>
          <w:szCs w:val="24"/>
        </w:rPr>
        <w:t>introduced.</w:t>
      </w:r>
      <w:bookmarkStart w:id="21" w:name="_Ref125629267"/>
      <w:r w:rsidR="00745C6A" w:rsidRPr="006159D2">
        <w:rPr>
          <w:rStyle w:val="FootnoteReference"/>
          <w:rFonts w:cs="Times New Roman"/>
          <w:bCs/>
          <w:szCs w:val="24"/>
        </w:rPr>
        <w:footnoteReference w:id="125"/>
      </w:r>
      <w:bookmarkEnd w:id="21"/>
      <w:r w:rsidR="000B044A" w:rsidRPr="006159D2">
        <w:rPr>
          <w:rFonts w:cs="Times New Roman"/>
          <w:bCs/>
          <w:szCs w:val="24"/>
        </w:rPr>
        <w:t xml:space="preserve"> </w:t>
      </w:r>
      <w:r w:rsidR="00122BB2">
        <w:rPr>
          <w:rFonts w:cs="Times New Roman"/>
          <w:bCs/>
          <w:szCs w:val="24"/>
        </w:rPr>
        <w:t>T</w:t>
      </w:r>
      <w:r w:rsidR="000B044A" w:rsidRPr="006159D2">
        <w:rPr>
          <w:rFonts w:cs="Times New Roman"/>
          <w:szCs w:val="24"/>
        </w:rPr>
        <w:t xml:space="preserve">o hold a corporation criminally liable, the common law established that the </w:t>
      </w:r>
      <w:r w:rsidR="000B044A" w:rsidRPr="00FB4E5F">
        <w:rPr>
          <w:rFonts w:cs="Times New Roman"/>
          <w:iCs/>
          <w:szCs w:val="24"/>
        </w:rPr>
        <w:t>identification doctrine</w:t>
      </w:r>
      <w:r w:rsidR="000B044A" w:rsidRPr="006159D2">
        <w:rPr>
          <w:rFonts w:cs="Times New Roman"/>
          <w:i/>
          <w:szCs w:val="24"/>
        </w:rPr>
        <w:t xml:space="preserve"> </w:t>
      </w:r>
      <w:r w:rsidR="000B044A" w:rsidRPr="006159D2">
        <w:rPr>
          <w:rFonts w:cs="Times New Roman"/>
          <w:szCs w:val="24"/>
        </w:rPr>
        <w:t>must be satisfied.</w:t>
      </w:r>
      <w:r w:rsidR="000B044A" w:rsidRPr="006159D2">
        <w:rPr>
          <w:rStyle w:val="FootnoteReference"/>
          <w:rFonts w:cs="Times New Roman"/>
          <w:szCs w:val="24"/>
        </w:rPr>
        <w:footnoteReference w:id="126"/>
      </w:r>
      <w:r w:rsidR="000B044A" w:rsidRPr="006159D2">
        <w:rPr>
          <w:rFonts w:cs="Times New Roman"/>
          <w:szCs w:val="24"/>
        </w:rPr>
        <w:t xml:space="preserve"> </w:t>
      </w:r>
      <w:r>
        <w:rPr>
          <w:rFonts w:cs="Times New Roman"/>
          <w:szCs w:val="24"/>
        </w:rPr>
        <w:t xml:space="preserve">Whilst it </w:t>
      </w:r>
      <w:r w:rsidR="000B044A" w:rsidRPr="006159D2">
        <w:rPr>
          <w:rFonts w:cs="Times New Roman"/>
          <w:szCs w:val="24"/>
        </w:rPr>
        <w:t xml:space="preserve">has been the long-used test for establishing the </w:t>
      </w:r>
      <w:r w:rsidR="00E361C7">
        <w:rPr>
          <w:rFonts w:cs="Times New Roman"/>
          <w:szCs w:val="24"/>
        </w:rPr>
        <w:t>“</w:t>
      </w:r>
      <w:r w:rsidR="000B044A" w:rsidRPr="006159D2">
        <w:rPr>
          <w:rFonts w:cs="Times New Roman"/>
          <w:szCs w:val="24"/>
        </w:rPr>
        <w:t>directing mind and will</w:t>
      </w:r>
      <w:r w:rsidR="00E361C7">
        <w:rPr>
          <w:rFonts w:cs="Times New Roman"/>
          <w:szCs w:val="24"/>
        </w:rPr>
        <w:t>”</w:t>
      </w:r>
      <w:r w:rsidR="000B044A" w:rsidRPr="006159D2">
        <w:rPr>
          <w:rFonts w:cs="Times New Roman"/>
          <w:szCs w:val="24"/>
        </w:rPr>
        <w:t xml:space="preserve"> of a corporation</w:t>
      </w:r>
      <w:r>
        <w:rPr>
          <w:rFonts w:cs="Times New Roman"/>
          <w:szCs w:val="24"/>
        </w:rPr>
        <w:t>,</w:t>
      </w:r>
      <w:r w:rsidR="000B044A" w:rsidRPr="006159D2">
        <w:rPr>
          <w:rFonts w:cs="Times New Roman"/>
          <w:szCs w:val="24"/>
        </w:rPr>
        <w:t xml:space="preserve"> it is not </w:t>
      </w:r>
      <w:r w:rsidR="000B044A" w:rsidRPr="006159D2">
        <w:rPr>
          <w:rFonts w:cs="Times New Roman"/>
          <w:szCs w:val="24"/>
        </w:rPr>
        <w:lastRenderedPageBreak/>
        <w:t>without its limitations.</w:t>
      </w:r>
      <w:r w:rsidR="000B044A" w:rsidRPr="006159D2">
        <w:rPr>
          <w:rStyle w:val="FootnoteReference"/>
          <w:rFonts w:cs="Times New Roman"/>
          <w:szCs w:val="24"/>
        </w:rPr>
        <w:footnoteReference w:id="127"/>
      </w:r>
      <w:r w:rsidR="000B044A" w:rsidRPr="006159D2">
        <w:rPr>
          <w:rFonts w:cs="Times New Roman"/>
          <w:szCs w:val="24"/>
        </w:rPr>
        <w:t xml:space="preserve"> The present structure</w:t>
      </w:r>
      <w:r>
        <w:rPr>
          <w:rFonts w:cs="Times New Roman"/>
          <w:szCs w:val="24"/>
        </w:rPr>
        <w:t>s</w:t>
      </w:r>
      <w:r w:rsidR="00FA6803">
        <w:rPr>
          <w:rFonts w:cs="Times New Roman"/>
          <w:szCs w:val="24"/>
        </w:rPr>
        <w:t xml:space="preserve"> of </w:t>
      </w:r>
      <w:r w:rsidR="000B044A" w:rsidRPr="006159D2">
        <w:rPr>
          <w:rFonts w:cs="Times New Roman"/>
          <w:szCs w:val="24"/>
        </w:rPr>
        <w:t>large corporations</w:t>
      </w:r>
      <w:r w:rsidR="00FA6803">
        <w:rPr>
          <w:rFonts w:cs="Times New Roman"/>
          <w:szCs w:val="24"/>
        </w:rPr>
        <w:t xml:space="preserve"> are </w:t>
      </w:r>
      <w:r w:rsidR="000B044A" w:rsidRPr="006159D2">
        <w:rPr>
          <w:rFonts w:cs="Times New Roman"/>
          <w:szCs w:val="24"/>
        </w:rPr>
        <w:t>complex and opaque allowing for the decentralising of management decisions</w:t>
      </w:r>
      <w:r w:rsidR="00FA6803">
        <w:rPr>
          <w:rFonts w:cs="Times New Roman"/>
          <w:szCs w:val="24"/>
        </w:rPr>
        <w:t>.</w:t>
      </w:r>
      <w:r w:rsidR="000B044A" w:rsidRPr="006159D2">
        <w:rPr>
          <w:rStyle w:val="FootnoteReference"/>
          <w:rFonts w:cs="Times New Roman"/>
          <w:szCs w:val="24"/>
        </w:rPr>
        <w:footnoteReference w:id="128"/>
      </w:r>
      <w:r w:rsidR="000B044A" w:rsidRPr="006159D2">
        <w:rPr>
          <w:rFonts w:cs="Times New Roman"/>
          <w:szCs w:val="24"/>
        </w:rPr>
        <w:t xml:space="preserve"> Consequently, senior management</w:t>
      </w:r>
      <w:r w:rsidR="00957005">
        <w:rPr>
          <w:rFonts w:cs="Times New Roman"/>
          <w:szCs w:val="24"/>
        </w:rPr>
        <w:t xml:space="preserve"> </w:t>
      </w:r>
      <w:r w:rsidR="000B044A" w:rsidRPr="006159D2">
        <w:rPr>
          <w:rFonts w:cs="Times New Roman"/>
          <w:szCs w:val="24"/>
        </w:rPr>
        <w:t>can distance themselves from any wrongdoing that has occurred for the benefit of a corporation.</w:t>
      </w:r>
      <w:r w:rsidR="000B044A" w:rsidRPr="006159D2">
        <w:rPr>
          <w:rStyle w:val="FootnoteReference"/>
          <w:rFonts w:cs="Times New Roman"/>
          <w:szCs w:val="24"/>
        </w:rPr>
        <w:footnoteReference w:id="129"/>
      </w:r>
      <w:r w:rsidR="000B044A" w:rsidRPr="006159D2">
        <w:rPr>
          <w:rFonts w:cs="Times New Roman"/>
          <w:szCs w:val="24"/>
        </w:rPr>
        <w:t xml:space="preserve"> </w:t>
      </w:r>
      <w:r w:rsidR="009E4527">
        <w:rPr>
          <w:rFonts w:cs="Times New Roman"/>
          <w:szCs w:val="24"/>
        </w:rPr>
        <w:t>Therefore,</w:t>
      </w:r>
      <w:r w:rsidR="00556D3C" w:rsidRPr="006159D2">
        <w:rPr>
          <w:rFonts w:cs="Times New Roman"/>
          <w:szCs w:val="24"/>
        </w:rPr>
        <w:t xml:space="preserve"> </w:t>
      </w:r>
      <w:r w:rsidR="001B7E2B">
        <w:rPr>
          <w:rFonts w:cs="Times New Roman"/>
          <w:szCs w:val="24"/>
        </w:rPr>
        <w:t>it was</w:t>
      </w:r>
      <w:r w:rsidR="00814E76" w:rsidRPr="006159D2">
        <w:rPr>
          <w:rFonts w:cs="Times New Roman"/>
          <w:szCs w:val="24"/>
        </w:rPr>
        <w:t xml:space="preserve"> </w:t>
      </w:r>
      <w:r w:rsidR="00556D3C" w:rsidRPr="006159D2">
        <w:rPr>
          <w:rFonts w:cs="Times New Roman"/>
          <w:szCs w:val="24"/>
        </w:rPr>
        <w:t xml:space="preserve">unlikely that a </w:t>
      </w:r>
      <w:r>
        <w:rPr>
          <w:rFonts w:cs="Times New Roman"/>
          <w:szCs w:val="24"/>
        </w:rPr>
        <w:t>HEI</w:t>
      </w:r>
      <w:r w:rsidR="00556D3C" w:rsidRPr="006159D2">
        <w:rPr>
          <w:rFonts w:cs="Times New Roman"/>
          <w:szCs w:val="24"/>
        </w:rPr>
        <w:t>, as a corporate entity, would be held responsible for facilitating financial crimes.</w:t>
      </w:r>
      <w:r w:rsidR="003977FA">
        <w:rPr>
          <w:rFonts w:cs="Times New Roman"/>
          <w:szCs w:val="24"/>
        </w:rPr>
        <w:t xml:space="preserve"> </w:t>
      </w:r>
    </w:p>
    <w:p w14:paraId="25E05177" w14:textId="7EAE1F13" w:rsidR="00556D3C" w:rsidRPr="006159D2" w:rsidRDefault="00556D3C" w:rsidP="00673D5B">
      <w:pPr>
        <w:spacing w:before="240" w:line="480" w:lineRule="auto"/>
        <w:rPr>
          <w:rFonts w:cs="Times New Roman"/>
          <w:szCs w:val="24"/>
        </w:rPr>
      </w:pPr>
      <w:r w:rsidRPr="006159D2">
        <w:rPr>
          <w:rFonts w:cs="Times New Roman"/>
          <w:szCs w:val="24"/>
        </w:rPr>
        <w:t xml:space="preserve">However, </w:t>
      </w:r>
      <w:r w:rsidR="000B044A" w:rsidRPr="006159D2">
        <w:rPr>
          <w:rFonts w:cs="Times New Roman"/>
          <w:szCs w:val="24"/>
        </w:rPr>
        <w:t>various measures have</w:t>
      </w:r>
      <w:r w:rsidR="00445ECD">
        <w:rPr>
          <w:rFonts w:cs="Times New Roman"/>
          <w:szCs w:val="24"/>
        </w:rPr>
        <w:t xml:space="preserve"> recently</w:t>
      </w:r>
      <w:r w:rsidR="000B044A" w:rsidRPr="006159D2">
        <w:rPr>
          <w:rFonts w:cs="Times New Roman"/>
          <w:szCs w:val="24"/>
        </w:rPr>
        <w:t xml:space="preserve"> been taken to strengthen</w:t>
      </w:r>
      <w:r w:rsidR="005E67A5">
        <w:rPr>
          <w:rFonts w:cs="Times New Roman"/>
          <w:szCs w:val="24"/>
        </w:rPr>
        <w:t xml:space="preserve"> the</w:t>
      </w:r>
      <w:r w:rsidR="000B044A" w:rsidRPr="006159D2">
        <w:rPr>
          <w:rFonts w:cs="Times New Roman"/>
          <w:szCs w:val="24"/>
        </w:rPr>
        <w:t xml:space="preserve"> criminal liability of corporations.</w:t>
      </w:r>
      <w:r w:rsidRPr="006159D2">
        <w:rPr>
          <w:rFonts w:cs="Times New Roman"/>
          <w:szCs w:val="24"/>
        </w:rPr>
        <w:t xml:space="preserve"> </w:t>
      </w:r>
      <w:r w:rsidR="00445ECD">
        <w:rPr>
          <w:rFonts w:cs="Times New Roman"/>
          <w:szCs w:val="24"/>
        </w:rPr>
        <w:t xml:space="preserve">A </w:t>
      </w:r>
      <w:r w:rsidR="000B044A" w:rsidRPr="006159D2">
        <w:rPr>
          <w:rFonts w:cs="Times New Roman"/>
          <w:szCs w:val="24"/>
        </w:rPr>
        <w:t xml:space="preserve">failure to prevent offence was introduced </w:t>
      </w:r>
      <w:r w:rsidR="00173442">
        <w:rPr>
          <w:rFonts w:cs="Times New Roman"/>
          <w:szCs w:val="24"/>
        </w:rPr>
        <w:t xml:space="preserve">by </w:t>
      </w:r>
      <w:r w:rsidR="000B044A" w:rsidRPr="006159D2">
        <w:rPr>
          <w:rFonts w:cs="Times New Roman"/>
          <w:szCs w:val="24"/>
        </w:rPr>
        <w:t>the Bribery Act 2010</w:t>
      </w:r>
      <w:r w:rsidR="00173442">
        <w:rPr>
          <w:rFonts w:cs="Times New Roman"/>
          <w:szCs w:val="24"/>
        </w:rPr>
        <w:t xml:space="preserve">, under which </w:t>
      </w:r>
      <w:r w:rsidR="000B044A" w:rsidRPr="006159D2">
        <w:rPr>
          <w:rFonts w:cs="Times New Roman"/>
          <w:szCs w:val="24"/>
        </w:rPr>
        <w:t xml:space="preserve">it is an offence for </w:t>
      </w:r>
      <w:r w:rsidR="00E361C7">
        <w:rPr>
          <w:rFonts w:cs="Times New Roman"/>
          <w:szCs w:val="24"/>
        </w:rPr>
        <w:t>“</w:t>
      </w:r>
      <w:r w:rsidR="000B044A" w:rsidRPr="006159D2">
        <w:rPr>
          <w:rFonts w:cs="Times New Roman"/>
          <w:szCs w:val="24"/>
        </w:rPr>
        <w:t>commercial organisations</w:t>
      </w:r>
      <w:r w:rsidR="00E361C7">
        <w:rPr>
          <w:rFonts w:cs="Times New Roman"/>
          <w:szCs w:val="24"/>
        </w:rPr>
        <w:t>”</w:t>
      </w:r>
      <w:r w:rsidR="000B044A" w:rsidRPr="006159D2">
        <w:rPr>
          <w:rFonts w:cs="Times New Roman"/>
          <w:szCs w:val="24"/>
        </w:rPr>
        <w:t xml:space="preserve"> to fail to prevent bribery</w:t>
      </w:r>
      <w:r w:rsidR="005E67A5">
        <w:rPr>
          <w:rFonts w:cs="Times New Roman"/>
          <w:szCs w:val="24"/>
        </w:rPr>
        <w:t xml:space="preserve"> from</w:t>
      </w:r>
      <w:r w:rsidR="000B044A" w:rsidRPr="006159D2">
        <w:rPr>
          <w:rFonts w:cs="Times New Roman"/>
          <w:szCs w:val="24"/>
        </w:rPr>
        <w:t xml:space="preserve"> taking place within their business operations.</w:t>
      </w:r>
      <w:r w:rsidR="000B044A" w:rsidRPr="006159D2">
        <w:rPr>
          <w:rStyle w:val="FootnoteReference"/>
          <w:rFonts w:cs="Times New Roman"/>
          <w:szCs w:val="24"/>
        </w:rPr>
        <w:footnoteReference w:id="130"/>
      </w:r>
      <w:r w:rsidR="000B044A" w:rsidRPr="006159D2">
        <w:rPr>
          <w:rFonts w:cs="Times New Roman"/>
          <w:szCs w:val="24"/>
        </w:rPr>
        <w:t xml:space="preserve"> So far there ha</w:t>
      </w:r>
      <w:r w:rsidR="00FB4E5F">
        <w:rPr>
          <w:rFonts w:cs="Times New Roman"/>
          <w:szCs w:val="24"/>
        </w:rPr>
        <w:t>ve</w:t>
      </w:r>
      <w:r w:rsidR="000B044A" w:rsidRPr="006159D2">
        <w:rPr>
          <w:rFonts w:cs="Times New Roman"/>
          <w:szCs w:val="24"/>
        </w:rPr>
        <w:t xml:space="preserve"> been </w:t>
      </w:r>
      <w:r w:rsidR="00173442">
        <w:rPr>
          <w:rFonts w:cs="Times New Roman"/>
          <w:szCs w:val="24"/>
        </w:rPr>
        <w:t>fo</w:t>
      </w:r>
      <w:r w:rsidR="00FB4E5F">
        <w:rPr>
          <w:rFonts w:cs="Times New Roman"/>
          <w:szCs w:val="24"/>
        </w:rPr>
        <w:t>ur</w:t>
      </w:r>
      <w:r w:rsidR="000B044A" w:rsidRPr="006159D2">
        <w:rPr>
          <w:rFonts w:cs="Times New Roman"/>
          <w:szCs w:val="24"/>
        </w:rPr>
        <w:t xml:space="preserve"> prosecutions and </w:t>
      </w:r>
      <w:r w:rsidR="00173442">
        <w:rPr>
          <w:rFonts w:cs="Times New Roman"/>
          <w:szCs w:val="24"/>
        </w:rPr>
        <w:t>nine</w:t>
      </w:r>
      <w:r w:rsidR="000B044A" w:rsidRPr="006159D2">
        <w:rPr>
          <w:rFonts w:cs="Times New Roman"/>
          <w:szCs w:val="24"/>
        </w:rPr>
        <w:t xml:space="preserve"> Deferred Prosecution Agreements</w:t>
      </w:r>
      <w:r w:rsidR="00313CBD">
        <w:rPr>
          <w:rFonts w:cs="Times New Roman"/>
          <w:szCs w:val="24"/>
        </w:rPr>
        <w:t xml:space="preserve"> (DPAs)</w:t>
      </w:r>
      <w:r w:rsidR="000B044A" w:rsidRPr="006159D2">
        <w:rPr>
          <w:rFonts w:cs="Times New Roman"/>
          <w:szCs w:val="24"/>
        </w:rPr>
        <w:t>, specific to activities involving bribery and corruption.</w:t>
      </w:r>
      <w:r w:rsidR="00173442">
        <w:rPr>
          <w:rStyle w:val="FootnoteReference"/>
          <w:rFonts w:cs="Times New Roman"/>
          <w:szCs w:val="24"/>
        </w:rPr>
        <w:footnoteReference w:id="131"/>
      </w:r>
      <w:r w:rsidR="000B044A" w:rsidRPr="006159D2">
        <w:rPr>
          <w:rFonts w:cs="Times New Roman"/>
          <w:szCs w:val="24"/>
        </w:rPr>
        <w:t xml:space="preserve"> </w:t>
      </w:r>
      <w:r w:rsidRPr="006159D2">
        <w:rPr>
          <w:rFonts w:cs="Times New Roman"/>
          <w:szCs w:val="24"/>
        </w:rPr>
        <w:t>T</w:t>
      </w:r>
      <w:r w:rsidR="000B044A" w:rsidRPr="006159D2">
        <w:rPr>
          <w:rFonts w:cs="Times New Roman"/>
          <w:szCs w:val="24"/>
        </w:rPr>
        <w:t>he failure to prevent offence was</w:t>
      </w:r>
      <w:r w:rsidRPr="006159D2">
        <w:rPr>
          <w:rFonts w:cs="Times New Roman"/>
          <w:szCs w:val="24"/>
        </w:rPr>
        <w:t xml:space="preserve"> also</w:t>
      </w:r>
      <w:r w:rsidR="000B044A" w:rsidRPr="006159D2">
        <w:rPr>
          <w:rFonts w:cs="Times New Roman"/>
          <w:szCs w:val="24"/>
        </w:rPr>
        <w:t xml:space="preserve"> extended to the facilitation of tax evasio</w:t>
      </w:r>
      <w:r w:rsidR="00445ECD">
        <w:rPr>
          <w:rFonts w:cs="Times New Roman"/>
          <w:szCs w:val="24"/>
        </w:rPr>
        <w:t>n,</w:t>
      </w:r>
      <w:r w:rsidR="009669FA">
        <w:rPr>
          <w:rStyle w:val="FootnoteReference"/>
          <w:rFonts w:cs="Times New Roman"/>
          <w:szCs w:val="24"/>
        </w:rPr>
        <w:footnoteReference w:id="132"/>
      </w:r>
      <w:r w:rsidR="00FB4E5F">
        <w:rPr>
          <w:rFonts w:cs="Times New Roman"/>
          <w:szCs w:val="24"/>
        </w:rPr>
        <w:t xml:space="preserve"> </w:t>
      </w:r>
      <w:r w:rsidR="00445ECD">
        <w:rPr>
          <w:rFonts w:cs="Times New Roman"/>
          <w:szCs w:val="24"/>
        </w:rPr>
        <w:t>although</w:t>
      </w:r>
      <w:r w:rsidR="00FB4E5F">
        <w:rPr>
          <w:rFonts w:cs="Times New Roman"/>
          <w:szCs w:val="24"/>
        </w:rPr>
        <w:t xml:space="preserve"> enforcement action has been limited.</w:t>
      </w:r>
      <w:r w:rsidR="00FB4E5F">
        <w:rPr>
          <w:rStyle w:val="FootnoteReference"/>
          <w:rFonts w:cs="Times New Roman"/>
          <w:szCs w:val="24"/>
        </w:rPr>
        <w:footnoteReference w:id="133"/>
      </w:r>
    </w:p>
    <w:p w14:paraId="6D6A6981" w14:textId="77777777" w:rsidR="00A5721F" w:rsidRDefault="00FB4E5F" w:rsidP="00673D5B">
      <w:pPr>
        <w:spacing w:before="240" w:line="480" w:lineRule="auto"/>
        <w:rPr>
          <w:rFonts w:cs="Times New Roman"/>
          <w:szCs w:val="24"/>
        </w:rPr>
      </w:pPr>
      <w:r>
        <w:rPr>
          <w:rFonts w:cs="Times New Roman"/>
          <w:szCs w:val="24"/>
        </w:rPr>
        <w:t>HEIs</w:t>
      </w:r>
      <w:r w:rsidRPr="006159D2">
        <w:rPr>
          <w:rFonts w:cs="Times New Roman"/>
          <w:szCs w:val="24"/>
        </w:rPr>
        <w:t xml:space="preserve"> </w:t>
      </w:r>
      <w:r w:rsidR="00556D3C" w:rsidRPr="006159D2">
        <w:rPr>
          <w:rFonts w:cs="Times New Roman"/>
          <w:szCs w:val="24"/>
        </w:rPr>
        <w:t xml:space="preserve">meet the definition of a </w:t>
      </w:r>
      <w:r w:rsidR="00E361C7">
        <w:rPr>
          <w:rFonts w:cs="Times New Roman"/>
          <w:szCs w:val="24"/>
        </w:rPr>
        <w:t>“</w:t>
      </w:r>
      <w:r w:rsidR="00556D3C" w:rsidRPr="006159D2">
        <w:rPr>
          <w:rFonts w:cs="Times New Roman"/>
          <w:szCs w:val="24"/>
        </w:rPr>
        <w:t>commercial organisation</w:t>
      </w:r>
      <w:r w:rsidR="00E361C7">
        <w:rPr>
          <w:rFonts w:cs="Times New Roman"/>
          <w:szCs w:val="24"/>
        </w:rPr>
        <w:t>”</w:t>
      </w:r>
      <w:r w:rsidR="00556D3C" w:rsidRPr="006159D2">
        <w:rPr>
          <w:rFonts w:cs="Times New Roman"/>
          <w:szCs w:val="24"/>
        </w:rPr>
        <w:t xml:space="preserve"> and are thus required to introduce prevent</w:t>
      </w:r>
      <w:r w:rsidR="00201D66">
        <w:rPr>
          <w:rFonts w:cs="Times New Roman"/>
          <w:szCs w:val="24"/>
        </w:rPr>
        <w:t>ative</w:t>
      </w:r>
      <w:r w:rsidR="00556D3C" w:rsidRPr="006159D2">
        <w:rPr>
          <w:rFonts w:cs="Times New Roman"/>
          <w:szCs w:val="24"/>
        </w:rPr>
        <w:t xml:space="preserve"> measures. However, given the </w:t>
      </w:r>
      <w:r w:rsidR="007D4A77">
        <w:rPr>
          <w:rFonts w:cs="Times New Roman"/>
          <w:szCs w:val="24"/>
        </w:rPr>
        <w:t>positive acclaim</w:t>
      </w:r>
      <w:r w:rsidR="00556D3C" w:rsidRPr="006159D2">
        <w:rPr>
          <w:rFonts w:cs="Times New Roman"/>
          <w:szCs w:val="24"/>
        </w:rPr>
        <w:t xml:space="preserve"> failure to prevent offences</w:t>
      </w:r>
      <w:r w:rsidR="007D4A77">
        <w:rPr>
          <w:rFonts w:cs="Times New Roman"/>
          <w:szCs w:val="24"/>
        </w:rPr>
        <w:t xml:space="preserve"> ha</w:t>
      </w:r>
      <w:r w:rsidR="00445ECD">
        <w:rPr>
          <w:rFonts w:cs="Times New Roman"/>
          <w:szCs w:val="24"/>
        </w:rPr>
        <w:t>ve</w:t>
      </w:r>
      <w:r w:rsidR="007D4A77">
        <w:rPr>
          <w:rFonts w:cs="Times New Roman"/>
          <w:szCs w:val="24"/>
        </w:rPr>
        <w:t xml:space="preserve"> </w:t>
      </w:r>
      <w:r w:rsidR="007D4A77">
        <w:rPr>
          <w:rFonts w:cs="Times New Roman"/>
          <w:szCs w:val="24"/>
        </w:rPr>
        <w:lastRenderedPageBreak/>
        <w:t>enjoyed</w:t>
      </w:r>
      <w:r w:rsidR="00556D3C" w:rsidRPr="006159D2">
        <w:rPr>
          <w:rFonts w:cs="Times New Roman"/>
          <w:szCs w:val="24"/>
        </w:rPr>
        <w:t xml:space="preserve">, it is likely that they </w:t>
      </w:r>
      <w:r w:rsidR="009D3D31" w:rsidRPr="006159D2">
        <w:rPr>
          <w:rFonts w:cs="Times New Roman"/>
          <w:szCs w:val="24"/>
        </w:rPr>
        <w:t>will</w:t>
      </w:r>
      <w:r w:rsidR="00556D3C" w:rsidRPr="006159D2">
        <w:rPr>
          <w:rFonts w:cs="Times New Roman"/>
          <w:szCs w:val="24"/>
        </w:rPr>
        <w:t xml:space="preserve"> be extended to other financial crimes. </w:t>
      </w:r>
      <w:r w:rsidR="00DF4C0E">
        <w:rPr>
          <w:rFonts w:cs="Times New Roman"/>
          <w:szCs w:val="24"/>
        </w:rPr>
        <w:t>T</w:t>
      </w:r>
      <w:r w:rsidR="00556D3C" w:rsidRPr="006159D2">
        <w:rPr>
          <w:rFonts w:cs="Times New Roman"/>
          <w:szCs w:val="24"/>
        </w:rPr>
        <w:t>he Law Commission recommended that a failure to prevent fraud offence should be introduced</w:t>
      </w:r>
      <w:r w:rsidR="00445ECD">
        <w:rPr>
          <w:rFonts w:cs="Times New Roman"/>
          <w:szCs w:val="24"/>
        </w:rPr>
        <w:t>,</w:t>
      </w:r>
      <w:r w:rsidR="00556D3C" w:rsidRPr="006159D2">
        <w:rPr>
          <w:rStyle w:val="FootnoteReference"/>
          <w:rFonts w:cs="Times New Roman"/>
          <w:szCs w:val="24"/>
        </w:rPr>
        <w:footnoteReference w:id="134"/>
      </w:r>
      <w:r w:rsidR="00556D3C" w:rsidRPr="006159D2">
        <w:rPr>
          <w:rFonts w:cs="Times New Roman"/>
          <w:szCs w:val="24"/>
        </w:rPr>
        <w:t xml:space="preserve"> </w:t>
      </w:r>
      <w:r w:rsidR="00445ECD">
        <w:rPr>
          <w:rFonts w:cs="Times New Roman"/>
          <w:szCs w:val="24"/>
        </w:rPr>
        <w:t>enabling</w:t>
      </w:r>
      <w:r w:rsidR="00556D3C" w:rsidRPr="006159D2">
        <w:rPr>
          <w:rFonts w:cs="Times New Roman"/>
          <w:szCs w:val="24"/>
        </w:rPr>
        <w:t xml:space="preserve"> a broader application </w:t>
      </w:r>
      <w:r w:rsidR="00445ECD">
        <w:rPr>
          <w:rFonts w:cs="Times New Roman"/>
          <w:szCs w:val="24"/>
        </w:rPr>
        <w:t>of liability</w:t>
      </w:r>
      <w:r w:rsidR="00556D3C" w:rsidRPr="006159D2">
        <w:rPr>
          <w:rFonts w:cs="Times New Roman"/>
          <w:szCs w:val="24"/>
        </w:rPr>
        <w:t xml:space="preserve"> for </w:t>
      </w:r>
      <w:r w:rsidR="00445ECD">
        <w:rPr>
          <w:rFonts w:cs="Times New Roman"/>
          <w:szCs w:val="24"/>
        </w:rPr>
        <w:t>failing to</w:t>
      </w:r>
      <w:r w:rsidR="00445ECD" w:rsidRPr="006159D2">
        <w:rPr>
          <w:rFonts w:cs="Times New Roman"/>
          <w:szCs w:val="24"/>
        </w:rPr>
        <w:t xml:space="preserve"> </w:t>
      </w:r>
      <w:r w:rsidR="00556D3C" w:rsidRPr="006159D2">
        <w:rPr>
          <w:rFonts w:cs="Times New Roman"/>
          <w:szCs w:val="24"/>
        </w:rPr>
        <w:t>prevent this type of financial criminal activity.</w:t>
      </w:r>
      <w:r w:rsidR="009D3D31" w:rsidRPr="006159D2">
        <w:rPr>
          <w:rFonts w:cs="Times New Roman"/>
          <w:szCs w:val="24"/>
        </w:rPr>
        <w:t xml:space="preserve"> </w:t>
      </w:r>
      <w:r w:rsidR="00122BB2">
        <w:rPr>
          <w:rFonts w:cs="Times New Roman"/>
          <w:szCs w:val="24"/>
        </w:rPr>
        <w:t>A</w:t>
      </w:r>
      <w:r w:rsidR="009D3D31" w:rsidRPr="006159D2">
        <w:rPr>
          <w:rFonts w:cs="Times New Roman"/>
          <w:szCs w:val="24"/>
        </w:rPr>
        <w:t xml:space="preserve">mendments </w:t>
      </w:r>
      <w:r w:rsidR="009669FA">
        <w:rPr>
          <w:rFonts w:cs="Times New Roman"/>
          <w:szCs w:val="24"/>
        </w:rPr>
        <w:t>were</w:t>
      </w:r>
      <w:r w:rsidR="009D3D31" w:rsidRPr="006159D2">
        <w:rPr>
          <w:rFonts w:cs="Times New Roman"/>
          <w:szCs w:val="24"/>
        </w:rPr>
        <w:t xml:space="preserve"> tabled</w:t>
      </w:r>
      <w:r w:rsidR="0050209B">
        <w:rPr>
          <w:rFonts w:cs="Times New Roman"/>
          <w:szCs w:val="24"/>
        </w:rPr>
        <w:t xml:space="preserve"> in the Financ</w:t>
      </w:r>
      <w:r w:rsidR="00BF5F6E">
        <w:rPr>
          <w:rFonts w:cs="Times New Roman"/>
          <w:szCs w:val="24"/>
        </w:rPr>
        <w:t>ial Services</w:t>
      </w:r>
      <w:r w:rsidR="0050209B">
        <w:rPr>
          <w:rFonts w:cs="Times New Roman"/>
          <w:szCs w:val="24"/>
        </w:rPr>
        <w:t xml:space="preserve"> Bill</w:t>
      </w:r>
      <w:r w:rsidR="00BF5F6E">
        <w:rPr>
          <w:rFonts w:cs="Times New Roman"/>
          <w:szCs w:val="24"/>
        </w:rPr>
        <w:t xml:space="preserve"> 2021</w:t>
      </w:r>
      <w:r w:rsidR="0050209B">
        <w:rPr>
          <w:rFonts w:cs="Times New Roman"/>
          <w:szCs w:val="24"/>
        </w:rPr>
        <w:t>,</w:t>
      </w:r>
      <w:r w:rsidR="009D3D31" w:rsidRPr="006159D2">
        <w:rPr>
          <w:rFonts w:cs="Times New Roman"/>
          <w:szCs w:val="24"/>
        </w:rPr>
        <w:t xml:space="preserve"> although rejected</w:t>
      </w:r>
      <w:r w:rsidR="0050209B">
        <w:rPr>
          <w:rFonts w:cs="Times New Roman"/>
          <w:szCs w:val="24"/>
        </w:rPr>
        <w:t xml:space="preserve"> by the Government.</w:t>
      </w:r>
      <w:r w:rsidR="0050209B">
        <w:rPr>
          <w:rStyle w:val="FootnoteReference"/>
          <w:rFonts w:cs="Times New Roman"/>
          <w:szCs w:val="24"/>
        </w:rPr>
        <w:footnoteReference w:id="135"/>
      </w:r>
      <w:r w:rsidR="009D3D31" w:rsidRPr="006159D2">
        <w:rPr>
          <w:rFonts w:cs="Times New Roman"/>
          <w:szCs w:val="24"/>
        </w:rPr>
        <w:t xml:space="preserve"> </w:t>
      </w:r>
      <w:r w:rsidR="007D4A77">
        <w:rPr>
          <w:rFonts w:cs="Times New Roman"/>
          <w:szCs w:val="24"/>
        </w:rPr>
        <w:t>Amendments were also proposed to</w:t>
      </w:r>
      <w:r w:rsidR="009D3D31" w:rsidRPr="006159D2">
        <w:rPr>
          <w:rFonts w:cs="Times New Roman"/>
          <w:szCs w:val="24"/>
        </w:rPr>
        <w:t xml:space="preserve"> the Economic Crime and Corporate Transparency Bill 2022, which would have introduced corporate failure to prevent money laundering, fraud and false accounting offences.</w:t>
      </w:r>
      <w:r w:rsidR="009D3D31" w:rsidRPr="006159D2">
        <w:rPr>
          <w:rStyle w:val="FootnoteReference"/>
          <w:rFonts w:cs="Times New Roman"/>
          <w:szCs w:val="24"/>
        </w:rPr>
        <w:footnoteReference w:id="136"/>
      </w:r>
      <w:r w:rsidR="009D3D31" w:rsidRPr="006159D2">
        <w:rPr>
          <w:rFonts w:cs="Times New Roman"/>
          <w:szCs w:val="24"/>
        </w:rPr>
        <w:t xml:space="preserve"> </w:t>
      </w:r>
      <w:r w:rsidR="00C51591">
        <w:rPr>
          <w:rFonts w:cs="Times New Roman"/>
          <w:szCs w:val="24"/>
        </w:rPr>
        <w:t>T</w:t>
      </w:r>
      <w:r w:rsidR="009D3D31" w:rsidRPr="006159D2">
        <w:rPr>
          <w:rFonts w:cs="Times New Roman"/>
          <w:szCs w:val="24"/>
        </w:rPr>
        <w:t>he UK could base new failure to prevent offences on existing UK bribery and tax evasion models, which apply to commercial organisations</w:t>
      </w:r>
      <w:r w:rsidR="005B4625" w:rsidRPr="006159D2">
        <w:rPr>
          <w:rFonts w:cs="Times New Roman"/>
          <w:szCs w:val="24"/>
        </w:rPr>
        <w:t xml:space="preserve"> broadly. </w:t>
      </w:r>
      <w:r w:rsidR="00556D3C" w:rsidRPr="006159D2">
        <w:rPr>
          <w:rFonts w:cs="Times New Roman"/>
          <w:szCs w:val="24"/>
        </w:rPr>
        <w:t xml:space="preserve">Thus, if the failure to prevent model is extended and the term </w:t>
      </w:r>
      <w:r w:rsidR="00E361C7">
        <w:rPr>
          <w:rFonts w:cs="Times New Roman"/>
          <w:szCs w:val="24"/>
        </w:rPr>
        <w:t>“</w:t>
      </w:r>
      <w:r w:rsidR="00556D3C" w:rsidRPr="006159D2">
        <w:rPr>
          <w:rFonts w:cs="Times New Roman"/>
          <w:szCs w:val="24"/>
        </w:rPr>
        <w:t>commercial organisation</w:t>
      </w:r>
      <w:r w:rsidR="00E361C7">
        <w:rPr>
          <w:rFonts w:cs="Times New Roman"/>
          <w:szCs w:val="24"/>
        </w:rPr>
        <w:t>”</w:t>
      </w:r>
      <w:r w:rsidR="00556D3C" w:rsidRPr="006159D2">
        <w:rPr>
          <w:rFonts w:cs="Times New Roman"/>
          <w:szCs w:val="24"/>
        </w:rPr>
        <w:t xml:space="preserve"> is </w:t>
      </w:r>
      <w:r w:rsidR="00D7534A">
        <w:rPr>
          <w:rFonts w:cs="Times New Roman"/>
          <w:szCs w:val="24"/>
        </w:rPr>
        <w:t>incorporated</w:t>
      </w:r>
      <w:r w:rsidR="009D3D31" w:rsidRPr="006159D2">
        <w:rPr>
          <w:rFonts w:cs="Times New Roman"/>
          <w:szCs w:val="24"/>
        </w:rPr>
        <w:t>,</w:t>
      </w:r>
      <w:r w:rsidR="00556D3C" w:rsidRPr="006159D2">
        <w:rPr>
          <w:rFonts w:cs="Times New Roman"/>
          <w:szCs w:val="24"/>
        </w:rPr>
        <w:t xml:space="preserve"> this would then </w:t>
      </w:r>
      <w:r w:rsidR="009D3D31" w:rsidRPr="006159D2">
        <w:rPr>
          <w:rFonts w:cs="Times New Roman"/>
          <w:szCs w:val="24"/>
        </w:rPr>
        <w:t>indirectly</w:t>
      </w:r>
      <w:r w:rsidR="00556D3C" w:rsidRPr="006159D2">
        <w:rPr>
          <w:rFonts w:cs="Times New Roman"/>
          <w:szCs w:val="24"/>
        </w:rPr>
        <w:t xml:space="preserve"> encompass </w:t>
      </w:r>
      <w:r w:rsidR="00D7534A">
        <w:rPr>
          <w:rFonts w:cs="Times New Roman"/>
          <w:szCs w:val="24"/>
        </w:rPr>
        <w:t xml:space="preserve">HEIs </w:t>
      </w:r>
      <w:r w:rsidR="00556D3C" w:rsidRPr="006159D2">
        <w:rPr>
          <w:rFonts w:cs="Times New Roman"/>
          <w:szCs w:val="24"/>
        </w:rPr>
        <w:t>within the remit of</w:t>
      </w:r>
      <w:r w:rsidR="009D3D31" w:rsidRPr="006159D2">
        <w:rPr>
          <w:rFonts w:cs="Times New Roman"/>
          <w:szCs w:val="24"/>
        </w:rPr>
        <w:t xml:space="preserve"> </w:t>
      </w:r>
      <w:r w:rsidR="00950AA7">
        <w:rPr>
          <w:rFonts w:cs="Times New Roman"/>
          <w:szCs w:val="24"/>
        </w:rPr>
        <w:t xml:space="preserve">the </w:t>
      </w:r>
      <w:r w:rsidR="009D3D31" w:rsidRPr="006159D2">
        <w:rPr>
          <w:rFonts w:cs="Times New Roman"/>
          <w:szCs w:val="24"/>
        </w:rPr>
        <w:t>R</w:t>
      </w:r>
      <w:r w:rsidR="00556D3C" w:rsidRPr="006159D2">
        <w:rPr>
          <w:rFonts w:cs="Times New Roman"/>
          <w:szCs w:val="24"/>
        </w:rPr>
        <w:t xml:space="preserve">egulations. </w:t>
      </w:r>
      <w:r w:rsidR="00907166">
        <w:rPr>
          <w:rFonts w:cs="Times New Roman"/>
          <w:szCs w:val="24"/>
        </w:rPr>
        <w:t xml:space="preserve">We thus recommend that HEIs introduce the preventative measures contained in the Regulations, regardless of express </w:t>
      </w:r>
      <w:r w:rsidR="001B7E2B">
        <w:rPr>
          <w:rFonts w:cs="Times New Roman"/>
          <w:szCs w:val="24"/>
        </w:rPr>
        <w:t>application</w:t>
      </w:r>
      <w:r w:rsidR="00907166">
        <w:rPr>
          <w:rFonts w:cs="Times New Roman"/>
          <w:szCs w:val="24"/>
        </w:rPr>
        <w:t>.</w:t>
      </w:r>
    </w:p>
    <w:p w14:paraId="7ECB1CD3" w14:textId="0E172EB9" w:rsidR="002A0E66" w:rsidRDefault="003A08F0" w:rsidP="00673D5B">
      <w:pPr>
        <w:spacing w:before="240" w:line="480" w:lineRule="auto"/>
        <w:rPr>
          <w:rFonts w:cs="Times New Roman"/>
          <w:szCs w:val="24"/>
        </w:rPr>
      </w:pPr>
      <w:r>
        <w:rPr>
          <w:rFonts w:eastAsia="Times New Roman" w:cs="Times New Roman"/>
          <w:szCs w:val="24"/>
          <w:lang w:eastAsia="en-GB"/>
        </w:rPr>
        <w:t>T</w:t>
      </w:r>
      <w:r w:rsidRPr="00A733CE">
        <w:rPr>
          <w:rFonts w:eastAsia="Times New Roman" w:cs="Times New Roman"/>
          <w:szCs w:val="24"/>
          <w:lang w:eastAsia="en-GB"/>
        </w:rPr>
        <w:t xml:space="preserve">he FCA describes itself as </w:t>
      </w:r>
      <w:r w:rsidR="00E361C7">
        <w:rPr>
          <w:rFonts w:eastAsia="Times New Roman" w:cs="Times New Roman"/>
          <w:szCs w:val="24"/>
          <w:lang w:eastAsia="en-GB"/>
        </w:rPr>
        <w:t>“</w:t>
      </w:r>
      <w:r w:rsidRPr="00A733CE">
        <w:rPr>
          <w:rFonts w:eastAsia="Times New Roman" w:cs="Times New Roman"/>
          <w:szCs w:val="24"/>
          <w:lang w:eastAsia="en-GB"/>
        </w:rPr>
        <w:t>the competent authority for supervising compliance of most credit and financial institutions with the Regulations</w:t>
      </w:r>
      <w:r w:rsidR="00E361C7">
        <w:rPr>
          <w:rFonts w:eastAsia="Times New Roman" w:cs="Times New Roman"/>
          <w:szCs w:val="24"/>
          <w:lang w:eastAsia="en-GB"/>
        </w:rPr>
        <w:t>.”</w:t>
      </w:r>
      <w:r w:rsidRPr="00A733CE">
        <w:rPr>
          <w:rFonts w:eastAsia="Times New Roman" w:cs="Times New Roman"/>
          <w:vertAlign w:val="superscript"/>
          <w:lang w:eastAsia="en-GB"/>
        </w:rPr>
        <w:footnoteReference w:id="137"/>
      </w:r>
      <w:r w:rsidRPr="00A733CE">
        <w:rPr>
          <w:rFonts w:eastAsia="Times New Roman" w:cs="Times New Roman"/>
          <w:szCs w:val="24"/>
          <w:lang w:eastAsia="en-GB"/>
        </w:rPr>
        <w:t xml:space="preserve"> The </w:t>
      </w:r>
      <w:r w:rsidR="00E4533C">
        <w:rPr>
          <w:rFonts w:eastAsia="Times New Roman" w:cs="Times New Roman"/>
          <w:szCs w:val="24"/>
          <w:lang w:eastAsia="en-GB"/>
        </w:rPr>
        <w:t xml:space="preserve">FCA </w:t>
      </w:r>
      <w:r w:rsidR="00445ECD">
        <w:rPr>
          <w:rFonts w:eastAsia="Times New Roman" w:cs="Times New Roman"/>
          <w:szCs w:val="24"/>
          <w:lang w:eastAsia="en-GB"/>
        </w:rPr>
        <w:t>Handbook</w:t>
      </w:r>
      <w:r w:rsidRPr="00A733CE">
        <w:rPr>
          <w:rFonts w:eastAsia="Times New Roman" w:cs="Times New Roman"/>
          <w:szCs w:val="24"/>
          <w:lang w:eastAsia="en-GB"/>
        </w:rPr>
        <w:t xml:space="preserve"> seeks to provide the regulated sector with a</w:t>
      </w:r>
      <w:r w:rsidR="002A0E66">
        <w:rPr>
          <w:rFonts w:eastAsia="Times New Roman" w:cs="Times New Roman"/>
          <w:szCs w:val="24"/>
          <w:lang w:eastAsia="en-GB"/>
        </w:rPr>
        <w:t xml:space="preserve"> </w:t>
      </w:r>
      <w:r w:rsidRPr="00A733CE">
        <w:rPr>
          <w:rFonts w:eastAsia="Times New Roman" w:cs="Times New Roman"/>
          <w:szCs w:val="24"/>
          <w:lang w:eastAsia="en-GB"/>
        </w:rPr>
        <w:t xml:space="preserve">high degree of flexibility, which allows firms to identify risks and determine how best to </w:t>
      </w:r>
      <w:r w:rsidR="002A0E66">
        <w:rPr>
          <w:rFonts w:eastAsia="Times New Roman" w:cs="Times New Roman"/>
          <w:szCs w:val="24"/>
          <w:lang w:eastAsia="en-GB"/>
        </w:rPr>
        <w:t>allocate</w:t>
      </w:r>
      <w:r w:rsidR="002A0E66" w:rsidRPr="00A733CE">
        <w:rPr>
          <w:rFonts w:eastAsia="Times New Roman" w:cs="Times New Roman"/>
          <w:szCs w:val="24"/>
          <w:lang w:eastAsia="en-GB"/>
        </w:rPr>
        <w:t xml:space="preserve"> </w:t>
      </w:r>
      <w:r w:rsidRPr="00A733CE">
        <w:rPr>
          <w:rFonts w:eastAsia="Times New Roman" w:cs="Times New Roman"/>
          <w:szCs w:val="24"/>
          <w:lang w:eastAsia="en-GB"/>
        </w:rPr>
        <w:t>resources</w:t>
      </w:r>
      <w:r w:rsidR="002A0E66">
        <w:rPr>
          <w:rFonts w:eastAsia="Times New Roman" w:cs="Times New Roman"/>
          <w:szCs w:val="24"/>
          <w:lang w:eastAsia="en-GB"/>
        </w:rPr>
        <w:t xml:space="preserve">, </w:t>
      </w:r>
      <w:r w:rsidRPr="00A733CE">
        <w:rPr>
          <w:rFonts w:eastAsia="Times New Roman" w:cs="Times New Roman"/>
          <w:szCs w:val="24"/>
          <w:lang w:eastAsia="en-GB"/>
        </w:rPr>
        <w:t>thus reducing AML compliance costs.</w:t>
      </w:r>
      <w:r w:rsidRPr="00A733CE">
        <w:rPr>
          <w:rFonts w:eastAsia="Times New Roman" w:cs="Times New Roman"/>
          <w:vertAlign w:val="superscript"/>
          <w:lang w:eastAsia="en-GB"/>
        </w:rPr>
        <w:footnoteReference w:id="138"/>
      </w:r>
      <w:r w:rsidR="00B3247E">
        <w:rPr>
          <w:rFonts w:eastAsia="Times New Roman" w:cs="Times New Roman"/>
          <w:szCs w:val="24"/>
          <w:lang w:eastAsia="en-GB"/>
        </w:rPr>
        <w:t xml:space="preserve"> </w:t>
      </w:r>
      <w:bookmarkStart w:id="22" w:name="ID1030"/>
      <w:bookmarkEnd w:id="22"/>
      <w:r w:rsidR="00DA4274">
        <w:rPr>
          <w:rFonts w:cs="Times New Roman"/>
          <w:szCs w:val="24"/>
        </w:rPr>
        <w:t>T</w:t>
      </w:r>
      <w:r w:rsidR="00DA4274" w:rsidRPr="006159D2">
        <w:rPr>
          <w:rFonts w:cs="Times New Roman"/>
          <w:szCs w:val="24"/>
        </w:rPr>
        <w:t xml:space="preserve">he FCA </w:t>
      </w:r>
      <w:r w:rsidR="00DA4274" w:rsidRPr="006159D2">
        <w:rPr>
          <w:rFonts w:cs="Times New Roman"/>
          <w:szCs w:val="24"/>
        </w:rPr>
        <w:lastRenderedPageBreak/>
        <w:t xml:space="preserve">has </w:t>
      </w:r>
      <w:r w:rsidR="00DA4274">
        <w:rPr>
          <w:rFonts w:cs="Times New Roman"/>
          <w:szCs w:val="24"/>
        </w:rPr>
        <w:t>fined MLROs,</w:t>
      </w:r>
      <w:r w:rsidR="00DA4274" w:rsidRPr="006159D2">
        <w:rPr>
          <w:rStyle w:val="FootnoteReference"/>
          <w:rFonts w:cs="Times New Roman"/>
          <w:szCs w:val="24"/>
        </w:rPr>
        <w:footnoteReference w:id="139"/>
      </w:r>
      <w:r w:rsidR="00DA4274">
        <w:rPr>
          <w:rFonts w:cs="Times New Roman"/>
          <w:szCs w:val="24"/>
        </w:rPr>
        <w:t xml:space="preserve"> and entities </w:t>
      </w:r>
      <w:r w:rsidR="00DA4274" w:rsidRPr="006159D2">
        <w:rPr>
          <w:rFonts w:cs="Times New Roman"/>
          <w:szCs w:val="24"/>
        </w:rPr>
        <w:t xml:space="preserve">that fail to comply with the </w:t>
      </w:r>
      <w:r w:rsidR="00DA4274">
        <w:rPr>
          <w:rFonts w:cs="Times New Roman"/>
          <w:szCs w:val="24"/>
        </w:rPr>
        <w:t>FCA</w:t>
      </w:r>
      <w:r w:rsidR="00DA4274" w:rsidRPr="006159D2">
        <w:rPr>
          <w:rFonts w:cs="Times New Roman"/>
          <w:szCs w:val="24"/>
        </w:rPr>
        <w:t xml:space="preserve"> Handbook</w:t>
      </w:r>
      <w:r w:rsidR="00DA4274">
        <w:rPr>
          <w:rFonts w:cs="Times New Roman"/>
          <w:szCs w:val="24"/>
        </w:rPr>
        <w:t>.</w:t>
      </w:r>
      <w:r w:rsidR="00DA4274" w:rsidRPr="006159D2">
        <w:rPr>
          <w:rStyle w:val="FootnoteReference"/>
          <w:rFonts w:cs="Times New Roman"/>
          <w:szCs w:val="24"/>
        </w:rPr>
        <w:footnoteReference w:id="140"/>
      </w:r>
      <w:r w:rsidR="00DA4274" w:rsidRPr="006159D2">
        <w:rPr>
          <w:rFonts w:cs="Times New Roman"/>
          <w:szCs w:val="24"/>
        </w:rPr>
        <w:t xml:space="preserve"> </w:t>
      </w:r>
      <w:r w:rsidR="00DA4274">
        <w:rPr>
          <w:rFonts w:cs="Times New Roman"/>
          <w:szCs w:val="24"/>
        </w:rPr>
        <w:t>HEIs</w:t>
      </w:r>
      <w:r w:rsidR="00DA4274" w:rsidRPr="006159D2">
        <w:rPr>
          <w:rFonts w:cs="Times New Roman"/>
          <w:szCs w:val="24"/>
        </w:rPr>
        <w:t xml:space="preserve"> </w:t>
      </w:r>
      <w:r w:rsidR="00DA4274">
        <w:rPr>
          <w:rFonts w:cs="Times New Roman"/>
          <w:szCs w:val="24"/>
        </w:rPr>
        <w:t xml:space="preserve">authorised by the </w:t>
      </w:r>
      <w:r w:rsidR="00DA4274" w:rsidRPr="006159D2">
        <w:rPr>
          <w:rFonts w:cs="Times New Roman"/>
          <w:szCs w:val="24"/>
        </w:rPr>
        <w:t>FCA must comply with the</w:t>
      </w:r>
      <w:r w:rsidR="00DA4274">
        <w:rPr>
          <w:rFonts w:cs="Times New Roman"/>
          <w:szCs w:val="24"/>
        </w:rPr>
        <w:t xml:space="preserve"> Handbook</w:t>
      </w:r>
      <w:r w:rsidR="003977FA">
        <w:rPr>
          <w:rFonts w:cs="Times New Roman"/>
          <w:szCs w:val="24"/>
        </w:rPr>
        <w:t xml:space="preserve"> </w:t>
      </w:r>
      <w:r w:rsidR="00DA4274">
        <w:rPr>
          <w:rFonts w:cs="Times New Roman"/>
          <w:szCs w:val="24"/>
        </w:rPr>
        <w:t>and</w:t>
      </w:r>
      <w:r w:rsidR="003977FA">
        <w:rPr>
          <w:rFonts w:cs="Times New Roman"/>
          <w:szCs w:val="24"/>
        </w:rPr>
        <w:t xml:space="preserve"> </w:t>
      </w:r>
      <w:r w:rsidR="00DA4274">
        <w:rPr>
          <w:rFonts w:cs="Times New Roman"/>
          <w:szCs w:val="24"/>
        </w:rPr>
        <w:t>non-compliant</w:t>
      </w:r>
      <w:r w:rsidR="00DA4274" w:rsidRPr="006159D2">
        <w:rPr>
          <w:rFonts w:cs="Times New Roman"/>
          <w:szCs w:val="24"/>
        </w:rPr>
        <w:t xml:space="preserve"> </w:t>
      </w:r>
      <w:r w:rsidR="00DA4274">
        <w:rPr>
          <w:rFonts w:cs="Times New Roman"/>
          <w:szCs w:val="24"/>
        </w:rPr>
        <w:t>HEIs</w:t>
      </w:r>
      <w:r w:rsidR="00DA4274" w:rsidRPr="006159D2">
        <w:rPr>
          <w:rFonts w:cs="Times New Roman"/>
          <w:szCs w:val="24"/>
        </w:rPr>
        <w:t xml:space="preserve"> run the risk of civil enforcement action by the FCA.</w:t>
      </w:r>
      <w:r w:rsidR="00DA4274" w:rsidRPr="006159D2">
        <w:rPr>
          <w:rStyle w:val="FootnoteReference"/>
          <w:rFonts w:cs="Times New Roman"/>
          <w:szCs w:val="24"/>
        </w:rPr>
        <w:footnoteReference w:id="141"/>
      </w:r>
      <w:r w:rsidR="00DA4274" w:rsidRPr="006159D2">
        <w:rPr>
          <w:rFonts w:cs="Times New Roman"/>
          <w:szCs w:val="24"/>
        </w:rPr>
        <w:t xml:space="preserve"> </w:t>
      </w:r>
      <w:bookmarkStart w:id="23" w:name="_Hlk124435159"/>
      <w:r w:rsidR="00DA4274">
        <w:rPr>
          <w:rFonts w:cs="Times New Roman"/>
          <w:szCs w:val="24"/>
        </w:rPr>
        <w:t>T</w:t>
      </w:r>
      <w:r w:rsidR="00470B14">
        <w:rPr>
          <w:rFonts w:cs="Times New Roman"/>
          <w:szCs w:val="24"/>
        </w:rPr>
        <w:t>here ha</w:t>
      </w:r>
      <w:r w:rsidR="00517AEB">
        <w:rPr>
          <w:rFonts w:cs="Times New Roman"/>
          <w:szCs w:val="24"/>
        </w:rPr>
        <w:t>ve</w:t>
      </w:r>
      <w:r w:rsidR="00470B14">
        <w:rPr>
          <w:rFonts w:cs="Times New Roman"/>
          <w:szCs w:val="24"/>
        </w:rPr>
        <w:t xml:space="preserve"> not been </w:t>
      </w:r>
      <w:r w:rsidR="00A21799" w:rsidRPr="006159D2">
        <w:rPr>
          <w:rFonts w:cs="Times New Roman"/>
          <w:szCs w:val="24"/>
        </w:rPr>
        <w:t xml:space="preserve">any penalties </w:t>
      </w:r>
      <w:r w:rsidR="00517AEB">
        <w:rPr>
          <w:rFonts w:cs="Times New Roman"/>
          <w:szCs w:val="24"/>
        </w:rPr>
        <w:t xml:space="preserve">imposed </w:t>
      </w:r>
      <w:r w:rsidR="00A21799" w:rsidRPr="006159D2">
        <w:rPr>
          <w:rFonts w:cs="Times New Roman"/>
          <w:szCs w:val="24"/>
        </w:rPr>
        <w:t xml:space="preserve">by the FCA regarding </w:t>
      </w:r>
      <w:r w:rsidR="007D4A77">
        <w:rPr>
          <w:rFonts w:cs="Times New Roman"/>
          <w:szCs w:val="24"/>
        </w:rPr>
        <w:t>HEI</w:t>
      </w:r>
      <w:r w:rsidR="007D4A77" w:rsidRPr="006159D2">
        <w:rPr>
          <w:rFonts w:cs="Times New Roman"/>
          <w:szCs w:val="24"/>
        </w:rPr>
        <w:t xml:space="preserve"> </w:t>
      </w:r>
      <w:r w:rsidR="00A21799" w:rsidRPr="006159D2">
        <w:rPr>
          <w:rFonts w:cs="Times New Roman"/>
          <w:szCs w:val="24"/>
        </w:rPr>
        <w:t>non-compliance, but this does not mean that action will continue to be non-existent.</w:t>
      </w:r>
      <w:bookmarkEnd w:id="23"/>
      <w:r w:rsidR="001B7E2B">
        <w:rPr>
          <w:rFonts w:cs="Times New Roman"/>
          <w:szCs w:val="24"/>
        </w:rPr>
        <w:t xml:space="preserve"> W</w:t>
      </w:r>
      <w:r w:rsidR="00A21799" w:rsidRPr="006159D2">
        <w:rPr>
          <w:rFonts w:cs="Times New Roman"/>
          <w:szCs w:val="24"/>
        </w:rPr>
        <w:t>hilst there has been a significant decline in the number of cash payments taken by HEIs, our research indicates there are still a small number</w:t>
      </w:r>
      <w:r w:rsidR="00B401C9" w:rsidRPr="006159D2">
        <w:rPr>
          <w:rFonts w:cs="Times New Roman"/>
          <w:szCs w:val="24"/>
        </w:rPr>
        <w:t xml:space="preserve"> of universities</w:t>
      </w:r>
      <w:r w:rsidR="00A21799" w:rsidRPr="006159D2">
        <w:rPr>
          <w:rFonts w:cs="Times New Roman"/>
          <w:szCs w:val="24"/>
        </w:rPr>
        <w:t xml:space="preserve"> that </w:t>
      </w:r>
      <w:r w:rsidR="00B401C9" w:rsidRPr="006159D2">
        <w:rPr>
          <w:rFonts w:cs="Times New Roman"/>
          <w:szCs w:val="24"/>
        </w:rPr>
        <w:t>are</w:t>
      </w:r>
      <w:r w:rsidR="00A21799" w:rsidRPr="006159D2">
        <w:rPr>
          <w:rFonts w:cs="Times New Roman"/>
          <w:szCs w:val="24"/>
        </w:rPr>
        <w:t xml:space="preserve"> willing to accept cash payments</w:t>
      </w:r>
      <w:r w:rsidR="005340BB">
        <w:rPr>
          <w:rFonts w:cs="Times New Roman"/>
          <w:szCs w:val="24"/>
        </w:rPr>
        <w:t xml:space="preserve">. This </w:t>
      </w:r>
      <w:r w:rsidR="00A21799" w:rsidRPr="006159D2">
        <w:rPr>
          <w:rFonts w:cs="Times New Roman"/>
          <w:szCs w:val="24"/>
        </w:rPr>
        <w:t xml:space="preserve">means they are </w:t>
      </w:r>
      <w:r w:rsidR="005340BB">
        <w:rPr>
          <w:rFonts w:cs="Times New Roman"/>
          <w:szCs w:val="24"/>
        </w:rPr>
        <w:t>continuing to place</w:t>
      </w:r>
      <w:r w:rsidR="007569CA">
        <w:rPr>
          <w:rFonts w:cs="Times New Roman"/>
          <w:szCs w:val="24"/>
        </w:rPr>
        <w:t xml:space="preserve"> themselves at risk of</w:t>
      </w:r>
      <w:r w:rsidR="005340BB">
        <w:rPr>
          <w:rFonts w:cs="Times New Roman"/>
          <w:szCs w:val="24"/>
        </w:rPr>
        <w:t xml:space="preserve"> being used for money laundering purposes</w:t>
      </w:r>
      <w:r w:rsidR="00517AEB">
        <w:rPr>
          <w:rFonts w:cs="Times New Roman"/>
          <w:szCs w:val="24"/>
        </w:rPr>
        <w:t>,</w:t>
      </w:r>
      <w:r w:rsidR="005340BB">
        <w:rPr>
          <w:rFonts w:cs="Times New Roman"/>
          <w:szCs w:val="24"/>
        </w:rPr>
        <w:t xml:space="preserve"> and potentially acting contrary</w:t>
      </w:r>
      <w:r w:rsidR="00A21799" w:rsidRPr="006159D2">
        <w:rPr>
          <w:rFonts w:cs="Times New Roman"/>
          <w:szCs w:val="24"/>
        </w:rPr>
        <w:t xml:space="preserve"> to FCA guidance</w:t>
      </w:r>
      <w:r w:rsidR="005340BB">
        <w:rPr>
          <w:rFonts w:cs="Times New Roman"/>
          <w:szCs w:val="24"/>
        </w:rPr>
        <w:t xml:space="preserve"> if they do not have effective systems and controls in place</w:t>
      </w:r>
      <w:r w:rsidR="00A21799" w:rsidRPr="006159D2">
        <w:rPr>
          <w:rFonts w:cs="Times New Roman"/>
          <w:szCs w:val="24"/>
        </w:rPr>
        <w:t>.</w:t>
      </w:r>
      <w:r w:rsidR="00A21799" w:rsidRPr="006159D2">
        <w:rPr>
          <w:rStyle w:val="FootnoteReference"/>
          <w:rFonts w:cs="Times New Roman"/>
          <w:szCs w:val="24"/>
        </w:rPr>
        <w:footnoteReference w:id="142"/>
      </w:r>
      <w:r w:rsidR="00A21799" w:rsidRPr="006159D2">
        <w:rPr>
          <w:rFonts w:cs="Times New Roman"/>
          <w:szCs w:val="24"/>
        </w:rPr>
        <w:t xml:space="preserve"> Following the 2021 </w:t>
      </w:r>
      <w:r w:rsidR="00A21799" w:rsidRPr="00231619">
        <w:rPr>
          <w:rFonts w:cs="Times New Roman"/>
          <w:iCs/>
          <w:szCs w:val="24"/>
        </w:rPr>
        <w:t>Times</w:t>
      </w:r>
      <w:r w:rsidR="00A21799" w:rsidRPr="006159D2">
        <w:rPr>
          <w:rFonts w:cs="Times New Roman"/>
          <w:i/>
          <w:szCs w:val="24"/>
        </w:rPr>
        <w:t xml:space="preserve"> </w:t>
      </w:r>
      <w:r w:rsidR="00A21799" w:rsidRPr="006159D2">
        <w:rPr>
          <w:rFonts w:cs="Times New Roman"/>
          <w:szCs w:val="24"/>
        </w:rPr>
        <w:t>report,</w:t>
      </w:r>
      <w:r w:rsidR="00A21799" w:rsidRPr="006159D2">
        <w:rPr>
          <w:rStyle w:val="FootnoteReference"/>
          <w:rFonts w:cs="Times New Roman"/>
          <w:szCs w:val="24"/>
        </w:rPr>
        <w:footnoteReference w:id="143"/>
      </w:r>
      <w:r w:rsidR="00A21799" w:rsidRPr="006159D2">
        <w:rPr>
          <w:rFonts w:cs="Times New Roman"/>
          <w:szCs w:val="24"/>
        </w:rPr>
        <w:t xml:space="preserve"> the spotlight has been cast upon </w:t>
      </w:r>
      <w:r w:rsidR="007D4A77">
        <w:rPr>
          <w:rFonts w:cs="Times New Roman"/>
          <w:szCs w:val="24"/>
        </w:rPr>
        <w:t>HEIs</w:t>
      </w:r>
      <w:r w:rsidR="007D4A77" w:rsidRPr="006159D2">
        <w:rPr>
          <w:rFonts w:cs="Times New Roman"/>
          <w:szCs w:val="24"/>
        </w:rPr>
        <w:t xml:space="preserve"> </w:t>
      </w:r>
      <w:r w:rsidR="00A21799" w:rsidRPr="006159D2">
        <w:rPr>
          <w:rFonts w:cs="Times New Roman"/>
          <w:szCs w:val="24"/>
        </w:rPr>
        <w:t xml:space="preserve">in terms of their involvement with money laundering schemes, and if the pressure continues to mount, it is likely </w:t>
      </w:r>
      <w:r w:rsidR="002115A1">
        <w:rPr>
          <w:rFonts w:cs="Times New Roman"/>
          <w:szCs w:val="24"/>
        </w:rPr>
        <w:t xml:space="preserve">the </w:t>
      </w:r>
      <w:r w:rsidR="00A21799" w:rsidRPr="006159D2">
        <w:rPr>
          <w:rFonts w:cs="Times New Roman"/>
          <w:szCs w:val="24"/>
        </w:rPr>
        <w:t xml:space="preserve">regulator </w:t>
      </w:r>
      <w:r w:rsidR="002115A1">
        <w:rPr>
          <w:rFonts w:cs="Times New Roman"/>
          <w:szCs w:val="24"/>
        </w:rPr>
        <w:t xml:space="preserve">could </w:t>
      </w:r>
      <w:r w:rsidR="00517AEB">
        <w:rPr>
          <w:rFonts w:cs="Times New Roman"/>
          <w:szCs w:val="24"/>
        </w:rPr>
        <w:t>seek to address</w:t>
      </w:r>
      <w:r w:rsidR="004E108B">
        <w:rPr>
          <w:rFonts w:cs="Times New Roman"/>
          <w:szCs w:val="24"/>
        </w:rPr>
        <w:t xml:space="preserve"> noncompliance with the Handbook</w:t>
      </w:r>
      <w:r w:rsidR="00A21799" w:rsidRPr="006159D2">
        <w:rPr>
          <w:rFonts w:cs="Times New Roman"/>
          <w:szCs w:val="24"/>
        </w:rPr>
        <w:t>.</w:t>
      </w:r>
    </w:p>
    <w:p w14:paraId="4BD3C7CB" w14:textId="37A50637" w:rsidR="00907166" w:rsidRDefault="00B401C9" w:rsidP="00673D5B">
      <w:pPr>
        <w:spacing w:before="240" w:line="480" w:lineRule="auto"/>
        <w:rPr>
          <w:rFonts w:cs="Times New Roman"/>
          <w:szCs w:val="24"/>
        </w:rPr>
      </w:pPr>
      <w:r w:rsidRPr="006159D2">
        <w:rPr>
          <w:rFonts w:cs="Times New Roman"/>
          <w:szCs w:val="24"/>
        </w:rPr>
        <w:t xml:space="preserve">Therefore, </w:t>
      </w:r>
      <w:r w:rsidR="00431F34">
        <w:rPr>
          <w:rFonts w:cs="Times New Roman"/>
          <w:szCs w:val="24"/>
        </w:rPr>
        <w:t>HEIs</w:t>
      </w:r>
      <w:r w:rsidR="00431F34" w:rsidRPr="006159D2">
        <w:rPr>
          <w:rFonts w:cs="Times New Roman"/>
          <w:szCs w:val="24"/>
        </w:rPr>
        <w:t xml:space="preserve"> </w:t>
      </w:r>
      <w:r w:rsidR="002115A1">
        <w:rPr>
          <w:rFonts w:cs="Times New Roman"/>
          <w:szCs w:val="24"/>
        </w:rPr>
        <w:t xml:space="preserve">should </w:t>
      </w:r>
      <w:r w:rsidRPr="006159D2">
        <w:rPr>
          <w:rFonts w:cs="Times New Roman"/>
          <w:szCs w:val="24"/>
        </w:rPr>
        <w:t>introduce AML/CTF measures in order to protect the organisation and its employees from</w:t>
      </w:r>
      <w:r w:rsidR="002A0E66">
        <w:rPr>
          <w:rFonts w:cs="Times New Roman"/>
          <w:szCs w:val="24"/>
        </w:rPr>
        <w:t xml:space="preserve"> both</w:t>
      </w:r>
      <w:r w:rsidR="00FF76FA">
        <w:rPr>
          <w:rFonts w:cs="Times New Roman"/>
          <w:szCs w:val="24"/>
        </w:rPr>
        <w:t xml:space="preserve"> criminal and civil</w:t>
      </w:r>
      <w:r w:rsidRPr="006159D2">
        <w:rPr>
          <w:rFonts w:cs="Times New Roman"/>
          <w:szCs w:val="24"/>
        </w:rPr>
        <w:t xml:space="preserve"> liability. </w:t>
      </w:r>
      <w:r w:rsidR="00FF76FA">
        <w:rPr>
          <w:rFonts w:cs="Times New Roman"/>
          <w:szCs w:val="24"/>
        </w:rPr>
        <w:t xml:space="preserve">Given the potential consequences that could be imposed on HEIs that fail to comply with the AML/CTF framework, </w:t>
      </w:r>
      <w:r w:rsidRPr="006159D2">
        <w:rPr>
          <w:rFonts w:cs="Times New Roman"/>
          <w:szCs w:val="24"/>
        </w:rPr>
        <w:t xml:space="preserve">the next section offers an original insight into the measures currently taken by HEIs to address money </w:t>
      </w:r>
      <w:r w:rsidRPr="006159D2">
        <w:rPr>
          <w:rFonts w:cs="Times New Roman"/>
          <w:szCs w:val="24"/>
        </w:rPr>
        <w:lastRenderedPageBreak/>
        <w:t>laundering</w:t>
      </w:r>
      <w:r w:rsidR="00643F42">
        <w:rPr>
          <w:rFonts w:cs="Times New Roman"/>
          <w:szCs w:val="24"/>
        </w:rPr>
        <w:t xml:space="preserve"> and terrorism financing</w:t>
      </w:r>
      <w:r w:rsidRPr="006159D2">
        <w:rPr>
          <w:rFonts w:cs="Times New Roman"/>
          <w:szCs w:val="24"/>
        </w:rPr>
        <w:t xml:space="preserve"> risks</w:t>
      </w:r>
      <w:r w:rsidR="00FF76FA">
        <w:rPr>
          <w:rFonts w:cs="Times New Roman"/>
          <w:szCs w:val="24"/>
        </w:rPr>
        <w:t xml:space="preserve">. This section identifies discrepancies in the measures </w:t>
      </w:r>
      <w:r w:rsidR="00643F42">
        <w:rPr>
          <w:rFonts w:cs="Times New Roman"/>
          <w:szCs w:val="24"/>
        </w:rPr>
        <w:t xml:space="preserve">currently </w:t>
      </w:r>
      <w:r w:rsidR="00FF76FA">
        <w:rPr>
          <w:rFonts w:cs="Times New Roman"/>
          <w:szCs w:val="24"/>
        </w:rPr>
        <w:t>taken by HEIs to prevent these financial crimes and calls for legislative reform to</w:t>
      </w:r>
      <w:r w:rsidR="00643F42">
        <w:rPr>
          <w:rFonts w:cs="Times New Roman"/>
          <w:szCs w:val="24"/>
        </w:rPr>
        <w:t xml:space="preserve"> clarify the application of law. </w:t>
      </w:r>
    </w:p>
    <w:p w14:paraId="42F53489" w14:textId="3886E4BF" w:rsidR="00907166" w:rsidRPr="00C53226" w:rsidRDefault="00907166" w:rsidP="00673D5B">
      <w:pPr>
        <w:pStyle w:val="Heading1"/>
        <w:spacing w:line="480" w:lineRule="auto"/>
      </w:pPr>
      <w:r w:rsidRPr="00C53226">
        <w:t xml:space="preserve">How </w:t>
      </w:r>
      <w:r>
        <w:t>HEIs currently address risks of money laundering</w:t>
      </w:r>
    </w:p>
    <w:p w14:paraId="106B2CC3" w14:textId="7B3A73F5" w:rsidR="000C03B7" w:rsidRDefault="00B401C9" w:rsidP="00673D5B">
      <w:pPr>
        <w:spacing w:before="240" w:line="480" w:lineRule="auto"/>
        <w:rPr>
          <w:rFonts w:cs="Times New Roman"/>
          <w:szCs w:val="24"/>
        </w:rPr>
      </w:pPr>
      <w:r w:rsidRPr="006159D2">
        <w:rPr>
          <w:rFonts w:cs="Times New Roman"/>
          <w:szCs w:val="24"/>
        </w:rPr>
        <w:t>The following section examines the answers provided by 110</w:t>
      </w:r>
      <w:r w:rsidR="002A0E66">
        <w:rPr>
          <w:rFonts w:cs="Times New Roman"/>
          <w:szCs w:val="24"/>
        </w:rPr>
        <w:t xml:space="preserve"> UK</w:t>
      </w:r>
      <w:r w:rsidRPr="006159D2">
        <w:rPr>
          <w:rFonts w:cs="Times New Roman"/>
          <w:szCs w:val="24"/>
        </w:rPr>
        <w:t xml:space="preserve"> HEIs </w:t>
      </w:r>
      <w:r w:rsidR="00FB12CC">
        <w:rPr>
          <w:rFonts w:cs="Times New Roman"/>
          <w:szCs w:val="24"/>
        </w:rPr>
        <w:t xml:space="preserve">(between November 2021 and March 2022) </w:t>
      </w:r>
      <w:r w:rsidRPr="006159D2">
        <w:rPr>
          <w:rFonts w:cs="Times New Roman"/>
          <w:szCs w:val="24"/>
        </w:rPr>
        <w:t xml:space="preserve">in response to a FOI request. As noted above, some universities provided a full response to every question, whereas others declined to answer some or all questions based on </w:t>
      </w:r>
      <w:r w:rsidR="002A0E66">
        <w:rPr>
          <w:rFonts w:cs="Times New Roman"/>
          <w:szCs w:val="24"/>
        </w:rPr>
        <w:t xml:space="preserve">statutory </w:t>
      </w:r>
      <w:r w:rsidR="002A0E66" w:rsidRPr="006159D2">
        <w:rPr>
          <w:rFonts w:cs="Times New Roman"/>
          <w:szCs w:val="24"/>
        </w:rPr>
        <w:t>exe</w:t>
      </w:r>
      <w:r w:rsidR="002A0E66">
        <w:rPr>
          <w:rFonts w:cs="Times New Roman"/>
          <w:szCs w:val="24"/>
        </w:rPr>
        <w:t>m</w:t>
      </w:r>
      <w:r w:rsidR="002A0E66" w:rsidRPr="006159D2">
        <w:rPr>
          <w:rFonts w:cs="Times New Roman"/>
          <w:szCs w:val="24"/>
        </w:rPr>
        <w:t>ptions</w:t>
      </w:r>
      <w:r w:rsidRPr="006159D2">
        <w:rPr>
          <w:rFonts w:cs="Times New Roman"/>
          <w:szCs w:val="24"/>
        </w:rPr>
        <w:t xml:space="preserve">. </w:t>
      </w:r>
      <w:r w:rsidR="00FB6FC8">
        <w:rPr>
          <w:rFonts w:cs="Times New Roman"/>
          <w:szCs w:val="24"/>
        </w:rPr>
        <w:t>O</w:t>
      </w:r>
      <w:r w:rsidRPr="006159D2">
        <w:rPr>
          <w:rFonts w:cs="Times New Roman"/>
          <w:szCs w:val="24"/>
        </w:rPr>
        <w:t xml:space="preserve">wing to the contentious nature of this topic and attendant reputational concerns, all of the responses are reported without identifying information. </w:t>
      </w:r>
    </w:p>
    <w:p w14:paraId="3C01F847" w14:textId="0C6A78DE" w:rsidR="00B401C9" w:rsidRDefault="00B401C9" w:rsidP="00673D5B">
      <w:pPr>
        <w:pStyle w:val="Heading2"/>
        <w:spacing w:line="480" w:lineRule="auto"/>
      </w:pPr>
      <w:r w:rsidRPr="00377664">
        <w:rPr>
          <w:b w:val="0"/>
          <w:i/>
        </w:rPr>
        <w:t xml:space="preserve">Awareness, </w:t>
      </w:r>
      <w:r w:rsidR="003405C2" w:rsidRPr="00377664">
        <w:rPr>
          <w:b w:val="0"/>
          <w:i/>
        </w:rPr>
        <w:t>g</w:t>
      </w:r>
      <w:r w:rsidRPr="00377664">
        <w:rPr>
          <w:b w:val="0"/>
          <w:i/>
        </w:rPr>
        <w:t xml:space="preserve">uidance and </w:t>
      </w:r>
      <w:r w:rsidR="003405C2" w:rsidRPr="00377664">
        <w:rPr>
          <w:b w:val="0"/>
          <w:i/>
        </w:rPr>
        <w:t>t</w:t>
      </w:r>
      <w:r w:rsidRPr="00377664">
        <w:rPr>
          <w:b w:val="0"/>
          <w:i/>
        </w:rPr>
        <w:t>raining</w:t>
      </w:r>
      <w:r w:rsidRPr="006159D2">
        <w:t xml:space="preserve"> </w:t>
      </w:r>
    </w:p>
    <w:p w14:paraId="0D1000D2" w14:textId="6EF15BC9" w:rsidR="00907166" w:rsidRDefault="00907166" w:rsidP="00673D5B">
      <w:pPr>
        <w:spacing w:line="480" w:lineRule="auto"/>
        <w:rPr>
          <w:rFonts w:cs="Times New Roman"/>
        </w:rPr>
      </w:pPr>
      <w:r>
        <w:rPr>
          <w:rFonts w:cs="Times New Roman"/>
        </w:rPr>
        <w:t xml:space="preserve">In light of the uncertainties surrounding the application of AML legislation, this study first </w:t>
      </w:r>
      <w:r w:rsidR="006137FF">
        <w:rPr>
          <w:rFonts w:cs="Times New Roman"/>
        </w:rPr>
        <w:t>reveals</w:t>
      </w:r>
      <w:r>
        <w:rPr>
          <w:rFonts w:cs="Times New Roman"/>
        </w:rPr>
        <w:t xml:space="preserve"> the extent of awareness of AML legislation among HEIs. Following this, the paper </w:t>
      </w:r>
      <w:r w:rsidR="006137FF">
        <w:rPr>
          <w:rFonts w:cs="Times New Roman"/>
        </w:rPr>
        <w:t>investigates</w:t>
      </w:r>
      <w:r>
        <w:rPr>
          <w:rFonts w:cs="Times New Roman"/>
        </w:rPr>
        <w:t xml:space="preserve"> the extent to which this awareness is disseminated to the employees of HEIs, through internal staff training</w:t>
      </w:r>
      <w:r w:rsidR="00073E81">
        <w:rPr>
          <w:rFonts w:cs="Times New Roman"/>
        </w:rPr>
        <w:t xml:space="preserve">, which </w:t>
      </w:r>
      <w:r w:rsidR="00643F42">
        <w:rPr>
          <w:rFonts w:cs="Times New Roman"/>
        </w:rPr>
        <w:t>establishes the foundation for other preventative measures</w:t>
      </w:r>
      <w:r>
        <w:rPr>
          <w:rFonts w:cs="Times New Roman"/>
        </w:rPr>
        <w:t>.</w:t>
      </w:r>
      <w:r>
        <w:rPr>
          <w:rStyle w:val="FootnoteReference"/>
          <w:rFonts w:cs="Times New Roman"/>
        </w:rPr>
        <w:footnoteReference w:id="144"/>
      </w:r>
      <w:r w:rsidR="00073E81">
        <w:rPr>
          <w:rFonts w:cs="Times New Roman"/>
        </w:rPr>
        <w:t xml:space="preserve"> Although not </w:t>
      </w:r>
      <w:r w:rsidR="00643F42">
        <w:rPr>
          <w:rFonts w:cs="Times New Roman"/>
        </w:rPr>
        <w:t>incorporated as an obligation within</w:t>
      </w:r>
      <w:r w:rsidR="00073E81">
        <w:rPr>
          <w:rFonts w:cs="Times New Roman"/>
        </w:rPr>
        <w:t xml:space="preserve"> AML legislation, presumably owing to its exclusion of the education sector, the paper </w:t>
      </w:r>
      <w:r w:rsidR="006137FF">
        <w:rPr>
          <w:rFonts w:cs="Times New Roman"/>
        </w:rPr>
        <w:t>also identifies</w:t>
      </w:r>
      <w:r w:rsidR="00083D9B">
        <w:rPr>
          <w:rFonts w:cs="Times New Roman"/>
        </w:rPr>
        <w:t xml:space="preserve"> </w:t>
      </w:r>
      <w:r w:rsidR="00073E81">
        <w:rPr>
          <w:rFonts w:cs="Times New Roman"/>
        </w:rPr>
        <w:t xml:space="preserve">whether any guidance is provided by HEIs to students on financial crime risks. The provision of guidance to students is essential, given the consequences </w:t>
      </w:r>
      <w:r w:rsidR="00643F42">
        <w:rPr>
          <w:rFonts w:cs="Times New Roman"/>
        </w:rPr>
        <w:t>students</w:t>
      </w:r>
      <w:r w:rsidR="00073E81">
        <w:rPr>
          <w:rFonts w:cs="Times New Roman"/>
        </w:rPr>
        <w:t xml:space="preserve"> face following participation in money laundering and organised crime, as well as the responsibilities held by HEIs in promoting student welfare. </w:t>
      </w:r>
    </w:p>
    <w:p w14:paraId="0791C887" w14:textId="2ED53693" w:rsidR="00B401C9" w:rsidRPr="00377664" w:rsidRDefault="00B401C9" w:rsidP="00673D5B">
      <w:pPr>
        <w:pStyle w:val="Heading2"/>
        <w:spacing w:line="480" w:lineRule="auto"/>
        <w:rPr>
          <w:i/>
          <w:iCs/>
        </w:rPr>
      </w:pPr>
      <w:r w:rsidRPr="00377664">
        <w:rPr>
          <w:b w:val="0"/>
          <w:i/>
          <w:iCs/>
        </w:rPr>
        <w:lastRenderedPageBreak/>
        <w:t xml:space="preserve">Awareness of </w:t>
      </w:r>
      <w:r w:rsidR="003405C2" w:rsidRPr="00377664">
        <w:rPr>
          <w:b w:val="0"/>
          <w:i/>
          <w:iCs/>
        </w:rPr>
        <w:t>a</w:t>
      </w:r>
      <w:r w:rsidRPr="00377664">
        <w:rPr>
          <w:b w:val="0"/>
          <w:i/>
          <w:iCs/>
        </w:rPr>
        <w:t>nti-</w:t>
      </w:r>
      <w:r w:rsidR="003405C2" w:rsidRPr="00377664">
        <w:rPr>
          <w:b w:val="0"/>
          <w:i/>
          <w:iCs/>
        </w:rPr>
        <w:t>m</w:t>
      </w:r>
      <w:r w:rsidRPr="00377664">
        <w:rPr>
          <w:b w:val="0"/>
          <w:i/>
          <w:iCs/>
        </w:rPr>
        <w:t xml:space="preserve">oney </w:t>
      </w:r>
      <w:r w:rsidR="003405C2" w:rsidRPr="00377664">
        <w:rPr>
          <w:b w:val="0"/>
          <w:i/>
          <w:iCs/>
        </w:rPr>
        <w:t>l</w:t>
      </w:r>
      <w:r w:rsidRPr="00377664">
        <w:rPr>
          <w:b w:val="0"/>
          <w:i/>
          <w:iCs/>
        </w:rPr>
        <w:t xml:space="preserve">aundering </w:t>
      </w:r>
      <w:r w:rsidR="003405C2" w:rsidRPr="00377664">
        <w:rPr>
          <w:b w:val="0"/>
          <w:i/>
          <w:iCs/>
        </w:rPr>
        <w:t>l</w:t>
      </w:r>
      <w:r w:rsidRPr="00377664">
        <w:rPr>
          <w:b w:val="0"/>
          <w:i/>
          <w:iCs/>
        </w:rPr>
        <w:t>egislation</w:t>
      </w:r>
      <w:r w:rsidRPr="00377664">
        <w:rPr>
          <w:i/>
          <w:iCs/>
        </w:rPr>
        <w:t xml:space="preserve"> </w:t>
      </w:r>
    </w:p>
    <w:p w14:paraId="261E603F" w14:textId="34FA5E49" w:rsidR="00B401C9" w:rsidRDefault="00073E81" w:rsidP="00673D5B">
      <w:pPr>
        <w:spacing w:before="240" w:line="480" w:lineRule="auto"/>
        <w:rPr>
          <w:rFonts w:cs="Times New Roman"/>
          <w:szCs w:val="24"/>
        </w:rPr>
      </w:pPr>
      <w:r>
        <w:rPr>
          <w:rFonts w:cs="Times New Roman"/>
          <w:szCs w:val="24"/>
        </w:rPr>
        <w:t>Despite the ambiguities</w:t>
      </w:r>
      <w:r w:rsidR="00B401C9" w:rsidRPr="006159D2">
        <w:rPr>
          <w:rFonts w:cs="Times New Roman"/>
          <w:szCs w:val="24"/>
        </w:rPr>
        <w:t xml:space="preserve"> </w:t>
      </w:r>
      <w:r>
        <w:rPr>
          <w:rFonts w:cs="Times New Roman"/>
          <w:szCs w:val="24"/>
        </w:rPr>
        <w:t xml:space="preserve">concerning </w:t>
      </w:r>
      <w:r w:rsidR="00B401C9" w:rsidRPr="006159D2">
        <w:rPr>
          <w:rFonts w:cs="Times New Roman"/>
          <w:szCs w:val="24"/>
        </w:rPr>
        <w:t xml:space="preserve">the application of AML legislation to the sector, our data </w:t>
      </w:r>
      <w:r>
        <w:rPr>
          <w:rFonts w:cs="Times New Roman"/>
          <w:szCs w:val="24"/>
        </w:rPr>
        <w:t xml:space="preserve">surprisingly </w:t>
      </w:r>
      <w:r w:rsidR="00B401C9" w:rsidRPr="006159D2">
        <w:rPr>
          <w:rFonts w:cs="Times New Roman"/>
          <w:szCs w:val="24"/>
        </w:rPr>
        <w:t>revealed that all respondents had an awareness</w:t>
      </w:r>
      <w:r w:rsidR="0043093C">
        <w:rPr>
          <w:rFonts w:cs="Times New Roman"/>
          <w:szCs w:val="24"/>
        </w:rPr>
        <w:t xml:space="preserve"> of </w:t>
      </w:r>
      <w:r w:rsidR="00C143BE">
        <w:rPr>
          <w:rFonts w:cs="Times New Roman"/>
          <w:szCs w:val="24"/>
        </w:rPr>
        <w:t>POCA and the Regulations</w:t>
      </w:r>
      <w:r w:rsidR="00B401C9" w:rsidRPr="006159D2">
        <w:rPr>
          <w:rFonts w:cs="Times New Roman"/>
          <w:szCs w:val="24"/>
        </w:rPr>
        <w:t>.</w:t>
      </w:r>
      <w:r w:rsidR="00B401C9" w:rsidRPr="006159D2">
        <w:rPr>
          <w:rStyle w:val="FootnoteReference"/>
          <w:rFonts w:cs="Times New Roman"/>
          <w:szCs w:val="24"/>
        </w:rPr>
        <w:footnoteReference w:id="145"/>
      </w:r>
      <w:r w:rsidR="00B401C9" w:rsidRPr="006159D2">
        <w:rPr>
          <w:rFonts w:cs="Times New Roman"/>
          <w:szCs w:val="24"/>
        </w:rPr>
        <w:t xml:space="preserve"> </w:t>
      </w:r>
      <w:r w:rsidR="006830CA">
        <w:rPr>
          <w:rFonts w:cs="Times New Roman"/>
          <w:szCs w:val="24"/>
        </w:rPr>
        <w:t>A</w:t>
      </w:r>
      <w:r w:rsidR="00FF05F5">
        <w:rPr>
          <w:rFonts w:cs="Times New Roman"/>
          <w:szCs w:val="24"/>
        </w:rPr>
        <w:t>wareness of AML legislation is important given the potential civil and criminal liability that could be attributed to HEIs and their employees for dealing with the proceeds of crime, without implementing appropriate preventative measures. Awareness</w:t>
      </w:r>
      <w:r w:rsidR="00FF05F5" w:rsidRPr="006159D2">
        <w:rPr>
          <w:rFonts w:cs="Times New Roman"/>
          <w:szCs w:val="24"/>
        </w:rPr>
        <w:t xml:space="preserve"> </w:t>
      </w:r>
      <w:r w:rsidR="00B401C9" w:rsidRPr="006159D2">
        <w:rPr>
          <w:rFonts w:cs="Times New Roman"/>
          <w:szCs w:val="24"/>
        </w:rPr>
        <w:t>was evidenced by the fact that 74 HEIs, or approximately 70</w:t>
      </w:r>
      <w:r w:rsidR="00472F68">
        <w:rPr>
          <w:rFonts w:cs="Times New Roman"/>
          <w:szCs w:val="24"/>
        </w:rPr>
        <w:t xml:space="preserve">% </w:t>
      </w:r>
      <w:r w:rsidR="00B401C9" w:rsidRPr="006159D2">
        <w:rPr>
          <w:rFonts w:cs="Times New Roman"/>
          <w:szCs w:val="24"/>
        </w:rPr>
        <w:t>of respondents,</w:t>
      </w:r>
      <w:r w:rsidR="00B401C9" w:rsidRPr="006159D2">
        <w:rPr>
          <w:rStyle w:val="FootnoteReference"/>
          <w:rFonts w:cs="Times New Roman"/>
          <w:szCs w:val="24"/>
        </w:rPr>
        <w:footnoteReference w:id="146"/>
      </w:r>
      <w:r w:rsidR="00B401C9" w:rsidRPr="006159D2">
        <w:rPr>
          <w:rFonts w:cs="Times New Roman"/>
          <w:szCs w:val="24"/>
        </w:rPr>
        <w:t xml:space="preserve"> have a specific AML policy in place for staff and students at the institution. Encouragingly, of the 32 HEIs who noted that the institution does not have a specific AML policy, 21 </w:t>
      </w:r>
      <w:r>
        <w:rPr>
          <w:rFonts w:cs="Times New Roman"/>
          <w:szCs w:val="24"/>
        </w:rPr>
        <w:t>explained</w:t>
      </w:r>
      <w:r w:rsidRPr="006159D2">
        <w:rPr>
          <w:rFonts w:cs="Times New Roman"/>
          <w:szCs w:val="24"/>
        </w:rPr>
        <w:t xml:space="preserve"> </w:t>
      </w:r>
      <w:r w:rsidR="00B401C9" w:rsidRPr="006159D2">
        <w:rPr>
          <w:rFonts w:cs="Times New Roman"/>
          <w:szCs w:val="24"/>
        </w:rPr>
        <w:t xml:space="preserve">that money laundering is addressed as part of wider policies pertaining to finance or crime prevention, such as fraud policies, tuition fee policies and codes of conduct, and </w:t>
      </w:r>
      <w:r w:rsidR="009B5BF0">
        <w:rPr>
          <w:rFonts w:cs="Times New Roman"/>
          <w:szCs w:val="24"/>
        </w:rPr>
        <w:t>six</w:t>
      </w:r>
      <w:r w:rsidR="00B401C9" w:rsidRPr="006159D2">
        <w:rPr>
          <w:rFonts w:cs="Times New Roman"/>
          <w:szCs w:val="24"/>
        </w:rPr>
        <w:t xml:space="preserve"> stated that the institution was in the process of designing or implementing a specific AML policy. </w:t>
      </w:r>
      <w:r w:rsidR="006830CA">
        <w:rPr>
          <w:rFonts w:cs="Times New Roman"/>
          <w:szCs w:val="24"/>
        </w:rPr>
        <w:t>O</w:t>
      </w:r>
      <w:r w:rsidR="00B401C9" w:rsidRPr="006159D2">
        <w:rPr>
          <w:rFonts w:cs="Times New Roman"/>
          <w:szCs w:val="24"/>
        </w:rPr>
        <w:t xml:space="preserve">nly </w:t>
      </w:r>
      <w:r w:rsidR="00B641B0">
        <w:rPr>
          <w:rFonts w:cs="Times New Roman"/>
          <w:szCs w:val="24"/>
        </w:rPr>
        <w:t>five</w:t>
      </w:r>
      <w:r w:rsidR="00B401C9" w:rsidRPr="006159D2">
        <w:rPr>
          <w:rFonts w:cs="Times New Roman"/>
          <w:szCs w:val="24"/>
        </w:rPr>
        <w:t xml:space="preserve"> HEIs, or 4.7</w:t>
      </w:r>
      <w:r w:rsidR="000C41F3">
        <w:rPr>
          <w:rFonts w:cs="Times New Roman"/>
          <w:szCs w:val="24"/>
        </w:rPr>
        <w:t xml:space="preserve">% </w:t>
      </w:r>
      <w:r w:rsidR="00B401C9" w:rsidRPr="006159D2">
        <w:rPr>
          <w:rFonts w:cs="Times New Roman"/>
          <w:szCs w:val="24"/>
        </w:rPr>
        <w:t xml:space="preserve">of respondents, do not appear to include AML as part of any policy and do not appear to have plans to implement an AML policy in the near future. Of the HEIs that currently have an AML policy in place, 42 HEIs publish their AML policies on their </w:t>
      </w:r>
      <w:r w:rsidR="00231619" w:rsidRPr="006159D2">
        <w:rPr>
          <w:rFonts w:cs="Times New Roman"/>
          <w:szCs w:val="24"/>
        </w:rPr>
        <w:t>externally facing</w:t>
      </w:r>
      <w:r w:rsidR="00B401C9" w:rsidRPr="006159D2">
        <w:rPr>
          <w:rFonts w:cs="Times New Roman"/>
          <w:szCs w:val="24"/>
        </w:rPr>
        <w:t xml:space="preserve"> websites, 24 HEIs make their AML policy available to students and staff via the university’s internal intranet site, and </w:t>
      </w:r>
      <w:r w:rsidR="00B641B0">
        <w:rPr>
          <w:rFonts w:cs="Times New Roman"/>
          <w:szCs w:val="24"/>
        </w:rPr>
        <w:t>eight</w:t>
      </w:r>
      <w:r w:rsidR="00B401C9" w:rsidRPr="006159D2">
        <w:rPr>
          <w:rFonts w:cs="Times New Roman"/>
          <w:szCs w:val="24"/>
        </w:rPr>
        <w:t xml:space="preserve"> suggested that the policy was not yet published either internally or externally. However, despite the overwhelming majority of universities having an awareness of AML legislation and adopting AML policies, the measures taken by HEIs to prevent and detect money laundering vary significantly in practice. </w:t>
      </w:r>
    </w:p>
    <w:p w14:paraId="765F0F26" w14:textId="3CB32EDE" w:rsidR="00B401C9" w:rsidRPr="00377664" w:rsidRDefault="00B401C9" w:rsidP="00377664">
      <w:pPr>
        <w:pStyle w:val="Heading3"/>
      </w:pPr>
      <w:r w:rsidRPr="00377664">
        <w:t xml:space="preserve">Staff </w:t>
      </w:r>
      <w:r w:rsidR="003405C2" w:rsidRPr="00377664">
        <w:t>t</w:t>
      </w:r>
      <w:r w:rsidRPr="00377664">
        <w:t xml:space="preserve">raining </w:t>
      </w:r>
    </w:p>
    <w:p w14:paraId="06A6334D" w14:textId="7EEB1203" w:rsidR="00B401C9" w:rsidRDefault="00B401C9" w:rsidP="00673D5B">
      <w:pPr>
        <w:spacing w:before="240" w:line="480" w:lineRule="auto"/>
        <w:rPr>
          <w:rFonts w:cs="Times New Roman"/>
          <w:szCs w:val="24"/>
        </w:rPr>
      </w:pPr>
      <w:r w:rsidRPr="006159D2">
        <w:rPr>
          <w:rFonts w:cs="Times New Roman"/>
          <w:szCs w:val="24"/>
        </w:rPr>
        <w:lastRenderedPageBreak/>
        <w:t xml:space="preserve">The Regulations require </w:t>
      </w:r>
      <w:r w:rsidR="00657D62">
        <w:rPr>
          <w:rFonts w:cs="Times New Roman"/>
          <w:szCs w:val="24"/>
        </w:rPr>
        <w:t xml:space="preserve">the </w:t>
      </w:r>
      <w:r w:rsidRPr="006159D2">
        <w:rPr>
          <w:rFonts w:cs="Times New Roman"/>
          <w:szCs w:val="24"/>
        </w:rPr>
        <w:t>regulated sector to provide employees with an awareness of the law relating to money laundering and terrorist financing, as well as training on how to identify and respond to suspicious transactions.</w:t>
      </w:r>
      <w:r w:rsidRPr="006159D2">
        <w:rPr>
          <w:rStyle w:val="FootnoteReference"/>
          <w:rFonts w:cs="Times New Roman"/>
          <w:szCs w:val="24"/>
        </w:rPr>
        <w:footnoteReference w:id="147"/>
      </w:r>
      <w:r w:rsidRPr="006159D2">
        <w:rPr>
          <w:rFonts w:cs="Times New Roman"/>
          <w:szCs w:val="24"/>
        </w:rPr>
        <w:t xml:space="preserve"> Despite not being part of the regulated sector, HEIs would benefit from providing employees with AML training.</w:t>
      </w:r>
      <w:r w:rsidR="00FF05F5">
        <w:rPr>
          <w:rFonts w:cs="Times New Roman"/>
          <w:szCs w:val="24"/>
        </w:rPr>
        <w:t xml:space="preserve"> As explained above, significant consequences could result from </w:t>
      </w:r>
      <w:r w:rsidR="00643F42">
        <w:rPr>
          <w:rFonts w:cs="Times New Roman"/>
          <w:szCs w:val="24"/>
        </w:rPr>
        <w:t xml:space="preserve">HEIs </w:t>
      </w:r>
      <w:r w:rsidR="00FF05F5">
        <w:rPr>
          <w:rFonts w:cs="Times New Roman"/>
          <w:szCs w:val="24"/>
        </w:rPr>
        <w:t>failing to train staff to recognise money laundering and implement preventative measures</w:t>
      </w:r>
      <w:r w:rsidR="00643F42">
        <w:rPr>
          <w:rFonts w:cs="Times New Roman"/>
          <w:szCs w:val="24"/>
        </w:rPr>
        <w:t>;</w:t>
      </w:r>
      <w:r w:rsidR="00FF05F5">
        <w:rPr>
          <w:rFonts w:cs="Times New Roman"/>
          <w:szCs w:val="24"/>
        </w:rPr>
        <w:t xml:space="preserve"> </w:t>
      </w:r>
      <w:r w:rsidR="00FF05F5">
        <w:rPr>
          <w:rFonts w:cs="Times New Roman"/>
          <w:bCs/>
          <w:szCs w:val="24"/>
        </w:rPr>
        <w:t xml:space="preserve">employees </w:t>
      </w:r>
      <w:r w:rsidR="00643F42">
        <w:rPr>
          <w:rFonts w:cs="Times New Roman"/>
          <w:bCs/>
          <w:szCs w:val="24"/>
        </w:rPr>
        <w:t>could be</w:t>
      </w:r>
      <w:r w:rsidR="00FF05F5">
        <w:rPr>
          <w:rFonts w:cs="Times New Roman"/>
          <w:bCs/>
          <w:szCs w:val="24"/>
        </w:rPr>
        <w:t xml:space="preserve"> held liable for primary money laundering offences, </w:t>
      </w:r>
      <w:r w:rsidR="00643F42">
        <w:rPr>
          <w:rFonts w:cs="Times New Roman"/>
          <w:bCs/>
          <w:szCs w:val="24"/>
        </w:rPr>
        <w:t xml:space="preserve">and HEIs could </w:t>
      </w:r>
      <w:r w:rsidR="00F02CCB">
        <w:rPr>
          <w:rFonts w:cs="Times New Roman"/>
          <w:bCs/>
          <w:szCs w:val="24"/>
        </w:rPr>
        <w:t xml:space="preserve">incur </w:t>
      </w:r>
      <w:r w:rsidR="00FF05F5">
        <w:rPr>
          <w:rFonts w:cs="Times New Roman"/>
          <w:bCs/>
          <w:szCs w:val="24"/>
        </w:rPr>
        <w:t>criminal and civil liability for failing to prevent these crimes.</w:t>
      </w:r>
      <w:r w:rsidRPr="006159D2">
        <w:rPr>
          <w:rFonts w:cs="Times New Roman"/>
          <w:szCs w:val="24"/>
        </w:rPr>
        <w:t xml:space="preserve"> The data revealed that most HEIs provide AML training to at least some categories of employees. 84 HEIs, or 80</w:t>
      </w:r>
      <w:r w:rsidR="000C41F3">
        <w:rPr>
          <w:rFonts w:cs="Times New Roman"/>
          <w:szCs w:val="24"/>
        </w:rPr>
        <w:t xml:space="preserve">% </w:t>
      </w:r>
      <w:r w:rsidRPr="006159D2">
        <w:rPr>
          <w:rFonts w:cs="Times New Roman"/>
          <w:szCs w:val="24"/>
        </w:rPr>
        <w:t>of respondents, noted that they provided some form of AML training and guidance to staff.</w:t>
      </w:r>
      <w:r w:rsidRPr="006159D2">
        <w:rPr>
          <w:rStyle w:val="FootnoteReference"/>
          <w:rFonts w:cs="Times New Roman"/>
          <w:szCs w:val="24"/>
        </w:rPr>
        <w:footnoteReference w:id="148"/>
      </w:r>
      <w:r w:rsidRPr="006159D2">
        <w:rPr>
          <w:rFonts w:cs="Times New Roman"/>
          <w:szCs w:val="24"/>
        </w:rPr>
        <w:t xml:space="preserve"> Of these, 66 HEIs </w:t>
      </w:r>
      <w:r w:rsidR="001B7D07">
        <w:rPr>
          <w:rFonts w:cs="Times New Roman"/>
          <w:szCs w:val="24"/>
        </w:rPr>
        <w:t>indicated</w:t>
      </w:r>
      <w:r w:rsidR="001B7D07" w:rsidRPr="006159D2">
        <w:rPr>
          <w:rFonts w:cs="Times New Roman"/>
          <w:szCs w:val="24"/>
        </w:rPr>
        <w:t xml:space="preserve"> </w:t>
      </w:r>
      <w:r w:rsidRPr="006159D2">
        <w:rPr>
          <w:rFonts w:cs="Times New Roman"/>
          <w:szCs w:val="24"/>
        </w:rPr>
        <w:t xml:space="preserve">that they provide training to staff in specific roles, most commonly those tasked with accepting or processing payments. For instance, one respondent </w:t>
      </w:r>
      <w:r w:rsidR="001B7D07">
        <w:rPr>
          <w:rFonts w:cs="Times New Roman"/>
          <w:szCs w:val="24"/>
        </w:rPr>
        <w:t>pointed out</w:t>
      </w:r>
      <w:r w:rsidR="001B7D07" w:rsidRPr="006159D2">
        <w:rPr>
          <w:rFonts w:cs="Times New Roman"/>
          <w:szCs w:val="24"/>
        </w:rPr>
        <w:t xml:space="preserve"> </w:t>
      </w:r>
      <w:r w:rsidRPr="006159D2">
        <w:rPr>
          <w:rFonts w:cs="Times New Roman"/>
          <w:szCs w:val="24"/>
        </w:rPr>
        <w:t xml:space="preserve">that </w:t>
      </w:r>
      <w:r w:rsidR="00E361C7">
        <w:rPr>
          <w:rFonts w:cs="Times New Roman"/>
          <w:szCs w:val="24"/>
        </w:rPr>
        <w:t>“</w:t>
      </w:r>
      <w:r w:rsidRPr="006159D2">
        <w:rPr>
          <w:rFonts w:cs="Times New Roman"/>
          <w:szCs w:val="24"/>
        </w:rPr>
        <w:t>training is required for any staff involved with identifying students, as well as any staff involved with accepting, processing or authorising payments and refunds.</w:t>
      </w:r>
      <w:r w:rsidR="00E361C7">
        <w:rPr>
          <w:rFonts w:cs="Times New Roman"/>
          <w:szCs w:val="24"/>
        </w:rPr>
        <w:t>”</w:t>
      </w:r>
      <w:r w:rsidRPr="006159D2">
        <w:rPr>
          <w:rFonts w:cs="Times New Roman"/>
          <w:szCs w:val="24"/>
        </w:rPr>
        <w:t xml:space="preserve"> Others extended AML training to a wider range of employees. For instance, one respondent </w:t>
      </w:r>
      <w:r w:rsidR="006552C9">
        <w:rPr>
          <w:rFonts w:cs="Times New Roman"/>
          <w:szCs w:val="24"/>
        </w:rPr>
        <w:t>explained</w:t>
      </w:r>
      <w:r w:rsidR="006552C9" w:rsidRPr="006159D2">
        <w:rPr>
          <w:rFonts w:cs="Times New Roman"/>
          <w:szCs w:val="24"/>
        </w:rPr>
        <w:t xml:space="preserve"> </w:t>
      </w:r>
      <w:r w:rsidRPr="006159D2">
        <w:rPr>
          <w:rFonts w:cs="Times New Roman"/>
          <w:szCs w:val="24"/>
        </w:rPr>
        <w:t xml:space="preserve">that </w:t>
      </w:r>
      <w:r w:rsidR="00E361C7">
        <w:rPr>
          <w:rFonts w:cs="Times New Roman"/>
          <w:szCs w:val="24"/>
        </w:rPr>
        <w:t>“</w:t>
      </w:r>
      <w:r w:rsidR="001B7D07">
        <w:rPr>
          <w:rFonts w:cs="Times New Roman"/>
          <w:szCs w:val="24"/>
        </w:rPr>
        <w:t>[a]</w:t>
      </w:r>
      <w:r w:rsidRPr="006159D2">
        <w:rPr>
          <w:rFonts w:cs="Times New Roman"/>
          <w:szCs w:val="24"/>
        </w:rPr>
        <w:t>ll front-line student facing staff are made aware of AML rules and how to take any issues/concerns further if required through their line manager</w:t>
      </w:r>
      <w:r w:rsidR="00E361C7">
        <w:rPr>
          <w:rFonts w:cs="Times New Roman"/>
          <w:szCs w:val="24"/>
        </w:rPr>
        <w:t>”</w:t>
      </w:r>
      <w:r w:rsidRPr="006159D2">
        <w:rPr>
          <w:rFonts w:cs="Times New Roman"/>
          <w:szCs w:val="24"/>
        </w:rPr>
        <w:t>, while another noted that all academic and professional services staff at certain grades of employment are required to complete such training. Only 13 HEIs made AML training available to all employees of the organisation.</w:t>
      </w:r>
      <w:r w:rsidRPr="006159D2">
        <w:rPr>
          <w:rStyle w:val="FootnoteReference"/>
          <w:rFonts w:cs="Times New Roman"/>
          <w:szCs w:val="24"/>
        </w:rPr>
        <w:footnoteReference w:id="149"/>
      </w:r>
      <w:r w:rsidRPr="006159D2">
        <w:rPr>
          <w:rFonts w:cs="Times New Roman"/>
          <w:szCs w:val="24"/>
        </w:rPr>
        <w:t xml:space="preserve"> Concerningly, 20</w:t>
      </w:r>
      <w:r w:rsidR="000C41F3">
        <w:rPr>
          <w:rFonts w:cs="Times New Roman"/>
          <w:szCs w:val="24"/>
        </w:rPr>
        <w:t xml:space="preserve">% </w:t>
      </w:r>
      <w:r w:rsidRPr="006159D2">
        <w:rPr>
          <w:rFonts w:cs="Times New Roman"/>
          <w:szCs w:val="24"/>
        </w:rPr>
        <w:t xml:space="preserve">of respondents stated that they do not provide any internal AML training. Of these responses, </w:t>
      </w:r>
      <w:r w:rsidR="00504673">
        <w:rPr>
          <w:rFonts w:cs="Times New Roman"/>
          <w:szCs w:val="24"/>
        </w:rPr>
        <w:t>five</w:t>
      </w:r>
      <w:r w:rsidRPr="006159D2">
        <w:rPr>
          <w:rFonts w:cs="Times New Roman"/>
          <w:szCs w:val="24"/>
        </w:rPr>
        <w:t xml:space="preserve"> HEIs suggested that </w:t>
      </w:r>
      <w:r w:rsidRPr="006159D2">
        <w:rPr>
          <w:rFonts w:cs="Times New Roman"/>
          <w:szCs w:val="24"/>
        </w:rPr>
        <w:lastRenderedPageBreak/>
        <w:t xml:space="preserve">they were in the process of developing AML training for their staff, while others </w:t>
      </w:r>
      <w:r w:rsidR="006552C9">
        <w:rPr>
          <w:rFonts w:cs="Times New Roman"/>
          <w:szCs w:val="24"/>
        </w:rPr>
        <w:t xml:space="preserve">advised </w:t>
      </w:r>
      <w:r w:rsidRPr="006159D2">
        <w:rPr>
          <w:rFonts w:cs="Times New Roman"/>
          <w:szCs w:val="24"/>
        </w:rPr>
        <w:t>that training was provided by external organisations.</w:t>
      </w:r>
    </w:p>
    <w:p w14:paraId="3175FFA3" w14:textId="181830A6" w:rsidR="006F2812" w:rsidRDefault="006830CA" w:rsidP="00377664">
      <w:pPr>
        <w:spacing w:before="240" w:after="0" w:line="480" w:lineRule="auto"/>
        <w:rPr>
          <w:rFonts w:cs="Times New Roman"/>
          <w:szCs w:val="24"/>
        </w:rPr>
      </w:pPr>
      <w:r>
        <w:rPr>
          <w:rFonts w:cs="Times New Roman"/>
          <w:szCs w:val="24"/>
        </w:rPr>
        <w:t>T</w:t>
      </w:r>
      <w:r w:rsidR="006F2812">
        <w:rPr>
          <w:rFonts w:cs="Times New Roman"/>
          <w:szCs w:val="24"/>
        </w:rPr>
        <w:t>his study has revealed that despite awareness of CTF/AML legislation, there are significant discrepancies in the provision of internal staff training on money laundering and terrorism financing risks. W</w:t>
      </w:r>
      <w:r w:rsidR="006F2812" w:rsidRPr="006159D2">
        <w:rPr>
          <w:rFonts w:cs="Times New Roman"/>
          <w:szCs w:val="24"/>
        </w:rPr>
        <w:t xml:space="preserve">hilst HEIs are not explicitly included within the </w:t>
      </w:r>
      <w:r w:rsidR="006F2812">
        <w:rPr>
          <w:rFonts w:cs="Times New Roman"/>
          <w:szCs w:val="24"/>
        </w:rPr>
        <w:t>Regulations</w:t>
      </w:r>
      <w:r w:rsidR="006F2812" w:rsidRPr="006159D2">
        <w:rPr>
          <w:rFonts w:cs="Times New Roman"/>
          <w:szCs w:val="24"/>
        </w:rPr>
        <w:t>, it is likely that the current disparity of its application by the sector will continue, leaving universities, their employees, and their students, at high risk of both money laundering</w:t>
      </w:r>
      <w:r w:rsidR="006F2812">
        <w:rPr>
          <w:rFonts w:cs="Times New Roman"/>
          <w:szCs w:val="24"/>
        </w:rPr>
        <w:t>, terrorism financing,</w:t>
      </w:r>
      <w:r w:rsidR="006F2812" w:rsidRPr="006159D2">
        <w:rPr>
          <w:rFonts w:cs="Times New Roman"/>
          <w:szCs w:val="24"/>
        </w:rPr>
        <w:t xml:space="preserve"> and criminal liability. Therefore, to reduce the risks to which universities and their students are exposed, </w:t>
      </w:r>
      <w:r w:rsidR="006F2812">
        <w:rPr>
          <w:rFonts w:cs="Times New Roman"/>
          <w:szCs w:val="24"/>
        </w:rPr>
        <w:t xml:space="preserve">HEIs should be included </w:t>
      </w:r>
      <w:r w:rsidR="006F2812" w:rsidRPr="00650157">
        <w:rPr>
          <w:rFonts w:cs="Times New Roman"/>
          <w:szCs w:val="24"/>
        </w:rPr>
        <w:t xml:space="preserve">within the scope of the </w:t>
      </w:r>
      <w:r w:rsidR="006F2812">
        <w:rPr>
          <w:rFonts w:cs="Times New Roman"/>
          <w:szCs w:val="24"/>
        </w:rPr>
        <w:t>Regulations</w:t>
      </w:r>
      <w:r w:rsidR="006F2812" w:rsidRPr="00650157">
        <w:rPr>
          <w:rFonts w:cs="Times New Roman"/>
          <w:szCs w:val="24"/>
        </w:rPr>
        <w:t>. This could be</w:t>
      </w:r>
      <w:r w:rsidR="006F2812">
        <w:rPr>
          <w:rFonts w:cs="Times New Roman"/>
          <w:szCs w:val="24"/>
        </w:rPr>
        <w:t xml:space="preserve"> most simply</w:t>
      </w:r>
      <w:r w:rsidR="006F2812" w:rsidRPr="00650157">
        <w:rPr>
          <w:rFonts w:cs="Times New Roman"/>
          <w:szCs w:val="24"/>
        </w:rPr>
        <w:t xml:space="preserve"> achieved by explicitly including HEIs as part of the regulated sector.</w:t>
      </w:r>
      <w:r w:rsidR="006F2812">
        <w:rPr>
          <w:rStyle w:val="FootnoteReference"/>
          <w:rFonts w:cs="Times New Roman"/>
          <w:szCs w:val="24"/>
        </w:rPr>
        <w:footnoteReference w:id="150"/>
      </w:r>
      <w:r w:rsidR="006F2812" w:rsidRPr="00650157">
        <w:rPr>
          <w:rFonts w:cs="Times New Roman"/>
          <w:szCs w:val="24"/>
        </w:rPr>
        <w:t xml:space="preserve"> Alternatively, the definition of High-Value Dealer </w:t>
      </w:r>
      <w:r w:rsidR="006F2812">
        <w:rPr>
          <w:rFonts w:cs="Times New Roman"/>
          <w:szCs w:val="24"/>
        </w:rPr>
        <w:t xml:space="preserve">could be amended </w:t>
      </w:r>
      <w:r w:rsidR="006F2812" w:rsidRPr="00650157">
        <w:rPr>
          <w:rFonts w:cs="Times New Roman"/>
          <w:szCs w:val="24"/>
        </w:rPr>
        <w:t xml:space="preserve">so as to encompass both the provision of high-value goods and services. </w:t>
      </w:r>
      <w:r w:rsidR="002C624B">
        <w:rPr>
          <w:rFonts w:cs="Times New Roman"/>
          <w:szCs w:val="24"/>
        </w:rPr>
        <w:t>An appropriate supervisor would need to be selected for HEIs, which could be the FCA.</w:t>
      </w:r>
      <w:r w:rsidR="002C624B">
        <w:rPr>
          <w:rStyle w:val="FootnoteReference"/>
          <w:rFonts w:cs="Times New Roman"/>
          <w:szCs w:val="24"/>
        </w:rPr>
        <w:footnoteReference w:id="151"/>
      </w:r>
      <w:r w:rsidR="002C624B">
        <w:rPr>
          <w:rFonts w:cs="Times New Roman"/>
          <w:szCs w:val="24"/>
        </w:rPr>
        <w:t xml:space="preserve"> </w:t>
      </w:r>
      <w:r w:rsidR="006F2812">
        <w:rPr>
          <w:rFonts w:cs="Times New Roman"/>
          <w:szCs w:val="24"/>
        </w:rPr>
        <w:t>Amending the Regulations to encompass HEIs would provide clarity and certainty regarding the nature and extent of preventative obligations, which many HEIs are currently failing to implement. Nevertheless, HEIs should introduce AML/CTF measures, such as staff training,</w:t>
      </w:r>
      <w:r w:rsidR="006F2812" w:rsidRPr="006F2812">
        <w:rPr>
          <w:rFonts w:cs="Times New Roman"/>
          <w:szCs w:val="24"/>
        </w:rPr>
        <w:t xml:space="preserve"> </w:t>
      </w:r>
      <w:r w:rsidR="006F2812">
        <w:rPr>
          <w:rFonts w:cs="Times New Roman"/>
          <w:szCs w:val="24"/>
        </w:rPr>
        <w:t>irrespective of legislative reform</w:t>
      </w:r>
      <w:r w:rsidR="00F02CCB">
        <w:rPr>
          <w:rFonts w:cs="Times New Roman"/>
          <w:szCs w:val="24"/>
        </w:rPr>
        <w:t>, as th</w:t>
      </w:r>
      <w:r w:rsidR="007D49A4">
        <w:rPr>
          <w:rFonts w:cs="Times New Roman"/>
          <w:szCs w:val="24"/>
        </w:rPr>
        <w:t>is would help to</w:t>
      </w:r>
      <w:r w:rsidR="006F2812">
        <w:rPr>
          <w:rFonts w:cs="Times New Roman"/>
          <w:szCs w:val="24"/>
        </w:rPr>
        <w:t xml:space="preserve"> protect the institution</w:t>
      </w:r>
      <w:r w:rsidR="007D49A4">
        <w:rPr>
          <w:rFonts w:cs="Times New Roman"/>
          <w:szCs w:val="24"/>
        </w:rPr>
        <w:t>,</w:t>
      </w:r>
      <w:r w:rsidR="006F2812">
        <w:rPr>
          <w:rFonts w:cs="Times New Roman"/>
          <w:szCs w:val="24"/>
        </w:rPr>
        <w:t xml:space="preserve"> its employees, and students.</w:t>
      </w:r>
    </w:p>
    <w:p w14:paraId="310AD65C" w14:textId="33C9ADD4" w:rsidR="00B401C9" w:rsidRPr="006159D2" w:rsidRDefault="00B401C9" w:rsidP="00377664">
      <w:pPr>
        <w:pStyle w:val="Heading3"/>
      </w:pPr>
      <w:r w:rsidRPr="006159D2">
        <w:t xml:space="preserve">Student </w:t>
      </w:r>
      <w:r w:rsidR="003405C2">
        <w:t>g</w:t>
      </w:r>
      <w:r w:rsidRPr="006159D2">
        <w:t>uidance</w:t>
      </w:r>
    </w:p>
    <w:p w14:paraId="0EDB8E0A" w14:textId="38FE1E27" w:rsidR="00B401C9" w:rsidRDefault="0052373C" w:rsidP="00673D5B">
      <w:pPr>
        <w:spacing w:before="240" w:line="480" w:lineRule="auto"/>
        <w:rPr>
          <w:rFonts w:cs="Times New Roman"/>
          <w:color w:val="202124"/>
          <w:szCs w:val="24"/>
          <w:shd w:val="clear" w:color="auto" w:fill="FFFFFF"/>
        </w:rPr>
      </w:pPr>
      <w:r>
        <w:rPr>
          <w:rFonts w:cs="Times New Roman"/>
          <w:szCs w:val="24"/>
        </w:rPr>
        <w:lastRenderedPageBreak/>
        <w:t xml:space="preserve">Additionally, </w:t>
      </w:r>
      <w:r w:rsidR="00B401C9" w:rsidRPr="006159D2">
        <w:rPr>
          <w:rFonts w:cs="Times New Roman"/>
          <w:szCs w:val="24"/>
        </w:rPr>
        <w:t xml:space="preserve">given the increasing exploitation of students by </w:t>
      </w:r>
      <w:r w:rsidR="00C11B17">
        <w:rPr>
          <w:rFonts w:cs="Times New Roman"/>
          <w:szCs w:val="24"/>
        </w:rPr>
        <w:t>organised criminals</w:t>
      </w:r>
      <w:r w:rsidR="00B401C9" w:rsidRPr="006159D2">
        <w:rPr>
          <w:rFonts w:cs="Times New Roman"/>
          <w:szCs w:val="24"/>
        </w:rPr>
        <w:t>, it is also incumbent upon HEIs to provide guidance to students on the risks they face and consequences for participation. The money mule cases demonstrate that</w:t>
      </w:r>
      <w:r w:rsidR="00504673">
        <w:rPr>
          <w:rFonts w:cs="Times New Roman"/>
          <w:szCs w:val="24"/>
        </w:rPr>
        <w:t>,</w:t>
      </w:r>
      <w:r w:rsidR="00B401C9" w:rsidRPr="006159D2">
        <w:rPr>
          <w:rFonts w:cs="Times New Roman"/>
          <w:szCs w:val="24"/>
        </w:rPr>
        <w:t xml:space="preserve"> while some students are associated with </w:t>
      </w:r>
      <w:r w:rsidR="00C11B17">
        <w:rPr>
          <w:rFonts w:cs="Times New Roman"/>
          <w:szCs w:val="24"/>
        </w:rPr>
        <w:t>organised criminal groups</w:t>
      </w:r>
      <w:r w:rsidR="00C11B17" w:rsidRPr="006159D2">
        <w:rPr>
          <w:rFonts w:cs="Times New Roman"/>
          <w:szCs w:val="24"/>
        </w:rPr>
        <w:t xml:space="preserve"> </w:t>
      </w:r>
      <w:r w:rsidR="00B401C9" w:rsidRPr="006159D2">
        <w:rPr>
          <w:rFonts w:cs="Times New Roman"/>
          <w:szCs w:val="24"/>
        </w:rPr>
        <w:t>prior to their studies, others are exploited by such groups during their time at university. In association with their duty of care, HEIs commonly provide guidance to students on issues affecting their physical and mental well</w:t>
      </w:r>
      <w:r w:rsidR="001B7D07">
        <w:rPr>
          <w:rFonts w:cs="Times New Roman"/>
          <w:szCs w:val="24"/>
        </w:rPr>
        <w:t>-</w:t>
      </w:r>
      <w:r w:rsidR="00B401C9" w:rsidRPr="006159D2">
        <w:rPr>
          <w:rFonts w:cs="Times New Roman"/>
          <w:szCs w:val="24"/>
        </w:rPr>
        <w:t>being. Indeed, the majority of HEIs provide students with some form of guidance on financial crime</w:t>
      </w:r>
      <w:r w:rsidR="000C03B7">
        <w:rPr>
          <w:rFonts w:cs="Times New Roman"/>
          <w:szCs w:val="24"/>
        </w:rPr>
        <w:t xml:space="preserve">, </w:t>
      </w:r>
      <w:r w:rsidR="00B401C9" w:rsidRPr="006159D2">
        <w:rPr>
          <w:rFonts w:cs="Times New Roman"/>
          <w:szCs w:val="24"/>
        </w:rPr>
        <w:t xml:space="preserve">organised crime, </w:t>
      </w:r>
      <w:r w:rsidR="000C03B7">
        <w:rPr>
          <w:rFonts w:cs="Times New Roman"/>
          <w:szCs w:val="24"/>
        </w:rPr>
        <w:t xml:space="preserve">or both, </w:t>
      </w:r>
      <w:r w:rsidR="00B401C9" w:rsidRPr="006159D2">
        <w:rPr>
          <w:rFonts w:cs="Times New Roman"/>
          <w:szCs w:val="24"/>
        </w:rPr>
        <w:t>including the risks and dangers posed to students. 76 HEIs, or over 75</w:t>
      </w:r>
      <w:r w:rsidR="000C41F3">
        <w:rPr>
          <w:rFonts w:cs="Times New Roman"/>
          <w:szCs w:val="24"/>
        </w:rPr>
        <w:t xml:space="preserve">% </w:t>
      </w:r>
      <w:r w:rsidR="00B401C9" w:rsidRPr="006159D2">
        <w:rPr>
          <w:rFonts w:cs="Times New Roman"/>
          <w:szCs w:val="24"/>
        </w:rPr>
        <w:t>of respondents, provide at least some form of guidance to students, although the extent of the guidance varied significantly.</w:t>
      </w:r>
      <w:r w:rsidR="00B401C9" w:rsidRPr="006159D2">
        <w:rPr>
          <w:rStyle w:val="FootnoteReference"/>
          <w:rFonts w:cs="Times New Roman"/>
          <w:szCs w:val="24"/>
        </w:rPr>
        <w:footnoteReference w:id="152"/>
      </w:r>
      <w:r w:rsidR="00B401C9" w:rsidRPr="006159D2">
        <w:rPr>
          <w:rFonts w:cs="Times New Roman"/>
          <w:szCs w:val="24"/>
        </w:rPr>
        <w:t xml:space="preserve"> For instance, some HEIs mak</w:t>
      </w:r>
      <w:r w:rsidR="005335B0">
        <w:rPr>
          <w:rFonts w:cs="Times New Roman"/>
          <w:szCs w:val="24"/>
        </w:rPr>
        <w:t>e</w:t>
      </w:r>
      <w:r w:rsidR="00B401C9" w:rsidRPr="006159D2">
        <w:rPr>
          <w:rFonts w:cs="Times New Roman"/>
          <w:szCs w:val="24"/>
        </w:rPr>
        <w:t xml:space="preserve"> information available on an </w:t>
      </w:r>
      <w:r w:rsidR="00E361C7">
        <w:rPr>
          <w:rFonts w:cs="Times New Roman"/>
          <w:szCs w:val="24"/>
        </w:rPr>
        <w:t>“</w:t>
      </w:r>
      <w:r w:rsidR="00B401C9" w:rsidRPr="006159D2">
        <w:rPr>
          <w:rFonts w:cs="Times New Roman"/>
          <w:szCs w:val="24"/>
        </w:rPr>
        <w:t>occasional – largely ad hoc</w:t>
      </w:r>
      <w:r w:rsidR="00E361C7">
        <w:rPr>
          <w:rFonts w:cs="Times New Roman"/>
          <w:szCs w:val="24"/>
        </w:rPr>
        <w:t>”</w:t>
      </w:r>
      <w:r w:rsidR="00B401C9" w:rsidRPr="006159D2">
        <w:rPr>
          <w:rFonts w:cs="Times New Roman"/>
          <w:szCs w:val="24"/>
        </w:rPr>
        <w:t xml:space="preserve"> basis, while others routinely provide resources and information to students online, including through student newsletters and social media platforms. Some HEIs reported providing guidance to particularly at risk, or vulnerable, students, while others provided guidance on financial and organised crime risks to all students as part of induction talks, or as part of their course. Many HEIs reported working with their local police teams to educate students on financial crime risks and prevention, while a couple of HEIs reported using the Crooks on Campus Campaign.</w:t>
      </w:r>
      <w:r w:rsidR="00B401C9" w:rsidRPr="006159D2">
        <w:rPr>
          <w:rStyle w:val="FootnoteReference"/>
          <w:rFonts w:cs="Times New Roman"/>
          <w:szCs w:val="24"/>
        </w:rPr>
        <w:footnoteReference w:id="153"/>
      </w:r>
      <w:r w:rsidR="00B401C9" w:rsidRPr="006159D2">
        <w:rPr>
          <w:rFonts w:cs="Times New Roman"/>
          <w:szCs w:val="24"/>
        </w:rPr>
        <w:t xml:space="preserve"> </w:t>
      </w:r>
      <w:r w:rsidR="00493B44">
        <w:rPr>
          <w:rFonts w:cs="Times New Roman"/>
          <w:szCs w:val="24"/>
        </w:rPr>
        <w:t>Additionally</w:t>
      </w:r>
      <w:r w:rsidR="00B401C9" w:rsidRPr="006159D2">
        <w:rPr>
          <w:rFonts w:cs="Times New Roman"/>
          <w:szCs w:val="24"/>
        </w:rPr>
        <w:t>, the nature of the guidance provided varied significantly; while some HEIs provide specific guidance on AML risks, including the risk of students being used as money mules, others only provide limited information on risks relating to fraud and the importance of cyber security. Unfortunately, 25 HEIs, or over 24</w:t>
      </w:r>
      <w:r w:rsidR="00EA5EEB">
        <w:rPr>
          <w:rFonts w:cs="Times New Roman"/>
          <w:szCs w:val="24"/>
        </w:rPr>
        <w:t xml:space="preserve">% </w:t>
      </w:r>
      <w:r w:rsidR="00B401C9" w:rsidRPr="006159D2">
        <w:rPr>
          <w:rFonts w:cs="Times New Roman"/>
          <w:szCs w:val="24"/>
        </w:rPr>
        <w:t xml:space="preserve">of respondents, do not provide </w:t>
      </w:r>
      <w:r w:rsidR="00B401C9" w:rsidRPr="006159D2">
        <w:rPr>
          <w:rFonts w:cs="Times New Roman"/>
          <w:i/>
          <w:szCs w:val="24"/>
        </w:rPr>
        <w:t>any</w:t>
      </w:r>
      <w:r w:rsidR="00B401C9" w:rsidRPr="006159D2">
        <w:rPr>
          <w:rFonts w:cs="Times New Roman"/>
          <w:szCs w:val="24"/>
        </w:rPr>
        <w:t xml:space="preserve"> guidance to students on financial crime or organised crime. This is unfortunate, for all existing studies</w:t>
      </w:r>
      <w:r w:rsidR="002C16B8">
        <w:rPr>
          <w:rFonts w:cs="Times New Roman"/>
          <w:szCs w:val="24"/>
        </w:rPr>
        <w:t xml:space="preserve"> </w:t>
      </w:r>
      <w:r w:rsidR="00B401C9" w:rsidRPr="006159D2">
        <w:rPr>
          <w:rFonts w:cs="Times New Roman"/>
          <w:color w:val="202124"/>
          <w:szCs w:val="24"/>
          <w:shd w:val="clear" w:color="auto" w:fill="FFFFFF"/>
        </w:rPr>
        <w:t xml:space="preserve">have revealed students’ willingness to transfer </w:t>
      </w:r>
      <w:r w:rsidR="00B401C9" w:rsidRPr="006159D2">
        <w:rPr>
          <w:rFonts w:cs="Times New Roman"/>
          <w:color w:val="202124"/>
          <w:szCs w:val="24"/>
          <w:shd w:val="clear" w:color="auto" w:fill="FFFFFF"/>
        </w:rPr>
        <w:lastRenderedPageBreak/>
        <w:t>suspicious funds, as well as the frequency with which they are targeted by financial criminals.</w:t>
      </w:r>
      <w:r w:rsidR="00B401C9" w:rsidRPr="006159D2">
        <w:rPr>
          <w:rStyle w:val="FootnoteReference"/>
          <w:rFonts w:cs="Times New Roman"/>
          <w:color w:val="202124"/>
          <w:szCs w:val="24"/>
          <w:shd w:val="clear" w:color="auto" w:fill="FFFFFF"/>
        </w:rPr>
        <w:footnoteReference w:id="154"/>
      </w:r>
    </w:p>
    <w:p w14:paraId="79EB156B" w14:textId="09FBB8DA" w:rsidR="00643F42" w:rsidRDefault="00504673" w:rsidP="00673D5B">
      <w:pPr>
        <w:spacing w:line="480" w:lineRule="auto"/>
        <w:rPr>
          <w:rFonts w:cs="Times New Roman"/>
          <w:szCs w:val="24"/>
        </w:rPr>
      </w:pPr>
      <w:r>
        <w:t>Therefore, a</w:t>
      </w:r>
      <w:r w:rsidR="00DD6C4C">
        <w:t xml:space="preserve"> significant minority of HEIs do not provide any guidance </w:t>
      </w:r>
      <w:r w:rsidR="00DD6C4C" w:rsidRPr="006159D2">
        <w:rPr>
          <w:rFonts w:cs="Times New Roman"/>
          <w:szCs w:val="24"/>
        </w:rPr>
        <w:t>to students on financial crime</w:t>
      </w:r>
      <w:r w:rsidR="00DD6C4C">
        <w:t xml:space="preserve">. </w:t>
      </w:r>
      <w:r w:rsidR="007D49A4">
        <w:t>F</w:t>
      </w:r>
      <w:r w:rsidR="00A054CF">
        <w:t xml:space="preserve">rom a student welfare perspective, </w:t>
      </w:r>
      <w:r w:rsidR="00DD6C4C">
        <w:t>it is imperative for HEIs to</w:t>
      </w:r>
      <w:r w:rsidR="00A054CF" w:rsidRPr="00A7092C">
        <w:t xml:space="preserve"> provide</w:t>
      </w:r>
      <w:r w:rsidR="00DD6C4C">
        <w:t xml:space="preserve"> guidance</w:t>
      </w:r>
      <w:r w:rsidR="00A054CF" w:rsidRPr="00A7092C">
        <w:t xml:space="preserve"> to students on the risks and dangers posed to </w:t>
      </w:r>
      <w:r w:rsidR="00A054CF">
        <w:t>them</w:t>
      </w:r>
      <w:r w:rsidR="00A054CF" w:rsidRPr="00A7092C">
        <w:t>. Specific guidance should be provided on terrorism financing and money laundering risks, including the risk of being used as a money mule. Ideally, standardised information should be provided to students across the HEI sector</w:t>
      </w:r>
      <w:r w:rsidR="00A054CF">
        <w:t xml:space="preserve">. However, in the absence of national coordinated action, it is incumbent upon HEIs to warn students of their increasing vulnerability to </w:t>
      </w:r>
      <w:r w:rsidR="00C11B17">
        <w:t>organised crime</w:t>
      </w:r>
      <w:r w:rsidR="00A054CF">
        <w:t xml:space="preserve">. </w:t>
      </w:r>
      <w:r w:rsidR="00A054CF">
        <w:rPr>
          <w:rFonts w:cs="Times New Roman"/>
          <w:szCs w:val="24"/>
        </w:rPr>
        <w:t>Moreover</w:t>
      </w:r>
      <w:r w:rsidR="006153A1">
        <w:rPr>
          <w:rFonts w:cs="Times New Roman"/>
          <w:szCs w:val="24"/>
        </w:rPr>
        <w:t xml:space="preserve">, </w:t>
      </w:r>
      <w:r w:rsidR="006153A1" w:rsidRPr="00133C7E">
        <w:rPr>
          <w:rFonts w:cs="Times New Roman"/>
          <w:szCs w:val="24"/>
        </w:rPr>
        <w:t xml:space="preserve">AML/CTF and </w:t>
      </w:r>
      <w:r w:rsidR="006153A1">
        <w:rPr>
          <w:rFonts w:cs="Times New Roman"/>
          <w:szCs w:val="24"/>
        </w:rPr>
        <w:t xml:space="preserve">counter </w:t>
      </w:r>
      <w:r w:rsidR="006153A1" w:rsidRPr="00133C7E">
        <w:rPr>
          <w:rFonts w:cs="Times New Roman"/>
          <w:szCs w:val="24"/>
        </w:rPr>
        <w:t xml:space="preserve">fraud training </w:t>
      </w:r>
      <w:r w:rsidR="006153A1">
        <w:rPr>
          <w:rFonts w:cs="Times New Roman"/>
          <w:szCs w:val="24"/>
        </w:rPr>
        <w:t xml:space="preserve">should be provided to </w:t>
      </w:r>
      <w:r w:rsidR="006153A1" w:rsidRPr="00133C7E">
        <w:rPr>
          <w:rFonts w:cs="Times New Roman"/>
          <w:szCs w:val="24"/>
        </w:rPr>
        <w:t>appropriate staff across the HEI sector,</w:t>
      </w:r>
      <w:r w:rsidR="006153A1">
        <w:rPr>
          <w:rFonts w:cs="Times New Roman"/>
          <w:szCs w:val="24"/>
        </w:rPr>
        <w:t xml:space="preserve"> including training on </w:t>
      </w:r>
      <w:r w:rsidR="006153A1" w:rsidRPr="00133C7E">
        <w:rPr>
          <w:rFonts w:cs="Times New Roman"/>
          <w:szCs w:val="24"/>
        </w:rPr>
        <w:t>the proactive submission of SAR</w:t>
      </w:r>
      <w:r w:rsidR="006153A1">
        <w:rPr>
          <w:rFonts w:cs="Times New Roman"/>
          <w:szCs w:val="24"/>
        </w:rPr>
        <w:t>s, which are considered in the section</w:t>
      </w:r>
      <w:r w:rsidR="00F02CCB">
        <w:rPr>
          <w:rFonts w:cs="Times New Roman"/>
          <w:szCs w:val="24"/>
        </w:rPr>
        <w:t xml:space="preserve"> below</w:t>
      </w:r>
      <w:r w:rsidR="006153A1">
        <w:rPr>
          <w:rFonts w:cs="Times New Roman"/>
          <w:szCs w:val="24"/>
        </w:rPr>
        <w:t xml:space="preserve">. </w:t>
      </w:r>
    </w:p>
    <w:p w14:paraId="17E4CA4F" w14:textId="01935F01" w:rsidR="00B401C9" w:rsidRDefault="00B401C9" w:rsidP="00673D5B">
      <w:pPr>
        <w:pStyle w:val="Heading2"/>
        <w:spacing w:line="480" w:lineRule="auto"/>
        <w:rPr>
          <w:rFonts w:cs="Times New Roman"/>
          <w:b w:val="0"/>
          <w:szCs w:val="24"/>
        </w:rPr>
      </w:pPr>
      <w:r w:rsidRPr="00377664">
        <w:rPr>
          <w:rFonts w:cs="Times New Roman"/>
          <w:b w:val="0"/>
          <w:i/>
          <w:szCs w:val="24"/>
        </w:rPr>
        <w:t xml:space="preserve">Cash </w:t>
      </w:r>
      <w:r w:rsidR="003405C2" w:rsidRPr="00377664">
        <w:rPr>
          <w:rFonts w:cs="Times New Roman"/>
          <w:b w:val="0"/>
          <w:i/>
          <w:szCs w:val="24"/>
        </w:rPr>
        <w:t>p</w:t>
      </w:r>
      <w:r w:rsidRPr="00377664">
        <w:rPr>
          <w:rFonts w:cs="Times New Roman"/>
          <w:b w:val="0"/>
          <w:i/>
          <w:szCs w:val="24"/>
        </w:rPr>
        <w:t>ayments and Suspicious Activity Reports</w:t>
      </w:r>
      <w:r w:rsidRPr="006159D2">
        <w:rPr>
          <w:rFonts w:cs="Times New Roman"/>
          <w:szCs w:val="24"/>
        </w:rPr>
        <w:t xml:space="preserve"> </w:t>
      </w:r>
    </w:p>
    <w:p w14:paraId="6699FE6B" w14:textId="680300B1" w:rsidR="00A906EC" w:rsidRPr="00C53226" w:rsidRDefault="00083D9B" w:rsidP="00673D5B">
      <w:pPr>
        <w:spacing w:line="480" w:lineRule="auto"/>
      </w:pPr>
      <w:r>
        <w:t>Given the risks inherent in large cash payments coupled with widespread acceptance of cash</w:t>
      </w:r>
      <w:r w:rsidR="006F2812">
        <w:t xml:space="preserve"> in higher education</w:t>
      </w:r>
      <w:r>
        <w:t>,</w:t>
      </w:r>
      <w:r>
        <w:rPr>
          <w:rStyle w:val="FootnoteReference"/>
        </w:rPr>
        <w:footnoteReference w:id="155"/>
      </w:r>
      <w:r>
        <w:t xml:space="preserve"> th</w:t>
      </w:r>
      <w:r w:rsidR="006137FF">
        <w:t>e follow</w:t>
      </w:r>
      <w:r w:rsidR="002A0E66">
        <w:t>ing</w:t>
      </w:r>
      <w:r w:rsidR="006137FF">
        <w:t xml:space="preserve"> section</w:t>
      </w:r>
      <w:r>
        <w:t xml:space="preserve"> provide</w:t>
      </w:r>
      <w:r w:rsidR="006137FF">
        <w:t>s</w:t>
      </w:r>
      <w:r>
        <w:t xml:space="preserve"> a contemporary investigation into the volume and amount of cash payments received by HEIs</w:t>
      </w:r>
      <w:r w:rsidR="006F2812">
        <w:t xml:space="preserve"> for tuition fees and accommodation</w:t>
      </w:r>
      <w:r>
        <w:t xml:space="preserve">. </w:t>
      </w:r>
      <w:r>
        <w:rPr>
          <w:rFonts w:cs="Times New Roman"/>
          <w:szCs w:val="24"/>
        </w:rPr>
        <w:t>Th</w:t>
      </w:r>
      <w:r w:rsidR="006137FF">
        <w:rPr>
          <w:rFonts w:cs="Times New Roman"/>
          <w:szCs w:val="24"/>
        </w:rPr>
        <w:t xml:space="preserve">is section also </w:t>
      </w:r>
      <w:r>
        <w:rPr>
          <w:rFonts w:cs="Times New Roman"/>
          <w:szCs w:val="24"/>
        </w:rPr>
        <w:t>investigate</w:t>
      </w:r>
      <w:r w:rsidR="006137FF">
        <w:rPr>
          <w:rFonts w:cs="Times New Roman"/>
          <w:szCs w:val="24"/>
        </w:rPr>
        <w:t>s</w:t>
      </w:r>
      <w:r>
        <w:rPr>
          <w:rFonts w:cs="Times New Roman"/>
          <w:szCs w:val="24"/>
        </w:rPr>
        <w:t xml:space="preserve"> the number of SARs submitted by HEIs to the </w:t>
      </w:r>
      <w:r w:rsidRPr="009547DC">
        <w:rPr>
          <w:rFonts w:cs="Times New Roman"/>
          <w:szCs w:val="24"/>
        </w:rPr>
        <w:t>NCA</w:t>
      </w:r>
      <w:r w:rsidR="00A906EC" w:rsidRPr="009547DC">
        <w:rPr>
          <w:rFonts w:cs="Times New Roman"/>
          <w:szCs w:val="24"/>
        </w:rPr>
        <w:t xml:space="preserve">, </w:t>
      </w:r>
      <w:r>
        <w:rPr>
          <w:rFonts w:cs="Times New Roman"/>
          <w:szCs w:val="24"/>
        </w:rPr>
        <w:t>as SARs</w:t>
      </w:r>
      <w:r w:rsidR="00A906EC" w:rsidRPr="009547DC">
        <w:rPr>
          <w:rFonts w:cs="Times New Roman"/>
          <w:szCs w:val="24"/>
        </w:rPr>
        <w:t xml:space="preserve"> provide valuable intelligence </w:t>
      </w:r>
      <w:r w:rsidR="00A906EC">
        <w:rPr>
          <w:rFonts w:cs="Times New Roman"/>
          <w:szCs w:val="24"/>
        </w:rPr>
        <w:t xml:space="preserve">to law enforcement </w:t>
      </w:r>
      <w:r w:rsidR="00A906EC" w:rsidRPr="009547DC">
        <w:rPr>
          <w:rFonts w:cs="Times New Roman"/>
          <w:szCs w:val="24"/>
        </w:rPr>
        <w:t>and could help to mitigate some of the risks inherent in</w:t>
      </w:r>
      <w:r w:rsidR="00A906EC">
        <w:rPr>
          <w:rFonts w:cs="Times New Roman"/>
          <w:szCs w:val="24"/>
        </w:rPr>
        <w:t xml:space="preserve"> accepting</w:t>
      </w:r>
      <w:r w:rsidR="00A906EC" w:rsidRPr="009547DC">
        <w:rPr>
          <w:rFonts w:cs="Times New Roman"/>
          <w:szCs w:val="24"/>
        </w:rPr>
        <w:t xml:space="preserve"> large cash payments.</w:t>
      </w:r>
      <w:r>
        <w:rPr>
          <w:rFonts w:cs="Times New Roman"/>
          <w:szCs w:val="24"/>
        </w:rPr>
        <w:t xml:space="preserve"> </w:t>
      </w:r>
      <w:r w:rsidR="006F2812">
        <w:rPr>
          <w:rFonts w:cs="Times New Roman"/>
          <w:szCs w:val="24"/>
        </w:rPr>
        <w:t xml:space="preserve">HEIs would be wise to train employees to submit SARs to avoid </w:t>
      </w:r>
      <w:r w:rsidR="007D49A4">
        <w:rPr>
          <w:rFonts w:cs="Times New Roman"/>
          <w:szCs w:val="24"/>
        </w:rPr>
        <w:t>staff</w:t>
      </w:r>
      <w:r w:rsidR="006F2812">
        <w:rPr>
          <w:rFonts w:cs="Times New Roman"/>
          <w:szCs w:val="24"/>
        </w:rPr>
        <w:t xml:space="preserve"> committing </w:t>
      </w:r>
      <w:r w:rsidR="006F2812" w:rsidRPr="006159D2">
        <w:rPr>
          <w:rFonts w:cs="Times New Roman"/>
          <w:szCs w:val="24"/>
        </w:rPr>
        <w:t>money laundering</w:t>
      </w:r>
      <w:r w:rsidR="006F2812">
        <w:rPr>
          <w:rFonts w:cs="Times New Roman"/>
          <w:szCs w:val="24"/>
        </w:rPr>
        <w:t xml:space="preserve"> and terrorism financing offences,</w:t>
      </w:r>
      <w:r w:rsidR="006F2812" w:rsidRPr="006159D2">
        <w:rPr>
          <w:rFonts w:cs="Times New Roman"/>
          <w:szCs w:val="24"/>
        </w:rPr>
        <w:t xml:space="preserve"> </w:t>
      </w:r>
      <w:r w:rsidR="006F2812">
        <w:rPr>
          <w:rFonts w:cs="Times New Roman"/>
          <w:szCs w:val="24"/>
        </w:rPr>
        <w:t xml:space="preserve">as well as </w:t>
      </w:r>
      <w:r w:rsidR="007D49A4">
        <w:rPr>
          <w:rFonts w:cs="Times New Roman"/>
          <w:szCs w:val="24"/>
        </w:rPr>
        <w:t xml:space="preserve">the institution incurring </w:t>
      </w:r>
      <w:r w:rsidR="006F2812">
        <w:rPr>
          <w:rFonts w:cs="Times New Roman"/>
          <w:szCs w:val="24"/>
        </w:rPr>
        <w:t>civil and</w:t>
      </w:r>
      <w:r w:rsidR="006F2812" w:rsidRPr="006159D2">
        <w:rPr>
          <w:rFonts w:cs="Times New Roman"/>
          <w:szCs w:val="24"/>
        </w:rPr>
        <w:t xml:space="preserve"> criminal liability</w:t>
      </w:r>
      <w:r w:rsidR="006F2812">
        <w:rPr>
          <w:rFonts w:cs="Times New Roman"/>
          <w:szCs w:val="24"/>
        </w:rPr>
        <w:t xml:space="preserve"> for failing to prevent</w:t>
      </w:r>
      <w:r w:rsidR="007D49A4">
        <w:rPr>
          <w:rFonts w:cs="Times New Roman"/>
          <w:szCs w:val="24"/>
        </w:rPr>
        <w:t xml:space="preserve"> such misconduct. </w:t>
      </w:r>
    </w:p>
    <w:p w14:paraId="7D3ABE1B" w14:textId="22136F1E" w:rsidR="00B401C9" w:rsidRPr="006159D2" w:rsidRDefault="00B401C9" w:rsidP="00377664">
      <w:pPr>
        <w:pStyle w:val="Heading3"/>
      </w:pPr>
      <w:r w:rsidRPr="006159D2">
        <w:lastRenderedPageBreak/>
        <w:t xml:space="preserve">Cash </w:t>
      </w:r>
      <w:r w:rsidR="003405C2">
        <w:t>p</w:t>
      </w:r>
      <w:r w:rsidRPr="006159D2">
        <w:t>ayments</w:t>
      </w:r>
    </w:p>
    <w:p w14:paraId="6A943875" w14:textId="6E524D90" w:rsidR="00B401C9" w:rsidRDefault="00B401C9" w:rsidP="00673D5B">
      <w:pPr>
        <w:spacing w:before="240" w:line="480" w:lineRule="auto"/>
        <w:rPr>
          <w:rFonts w:cs="Times New Roman"/>
          <w:szCs w:val="24"/>
        </w:rPr>
      </w:pPr>
      <w:r w:rsidRPr="006159D2">
        <w:rPr>
          <w:rFonts w:cs="Times New Roman"/>
          <w:szCs w:val="24"/>
        </w:rPr>
        <w:t xml:space="preserve">The </w:t>
      </w:r>
      <w:r w:rsidR="00493B44">
        <w:rPr>
          <w:rFonts w:cs="Times New Roman"/>
          <w:szCs w:val="24"/>
        </w:rPr>
        <w:t>Regulations</w:t>
      </w:r>
      <w:r w:rsidRPr="006159D2">
        <w:rPr>
          <w:rFonts w:cs="Times New Roman"/>
          <w:szCs w:val="24"/>
        </w:rPr>
        <w:t xml:space="preserve"> recognise the money laundering risks inherent in large cash payments, categorising cash-intensive businesses as a risk factor for enhanced CDD purposes,</w:t>
      </w:r>
      <w:r w:rsidR="00FD3964">
        <w:rPr>
          <w:rStyle w:val="FootnoteReference"/>
          <w:rFonts w:cs="Times New Roman"/>
          <w:szCs w:val="24"/>
        </w:rPr>
        <w:footnoteReference w:id="156"/>
      </w:r>
      <w:r w:rsidRPr="006159D2">
        <w:rPr>
          <w:rFonts w:cs="Times New Roman"/>
          <w:szCs w:val="24"/>
        </w:rPr>
        <w:t xml:space="preserve"> and regulating High Value Dealer</w:t>
      </w:r>
      <w:r w:rsidR="00133C5C">
        <w:rPr>
          <w:rFonts w:cs="Times New Roman"/>
          <w:szCs w:val="24"/>
        </w:rPr>
        <w:t>s</w:t>
      </w:r>
      <w:r w:rsidRPr="006159D2">
        <w:rPr>
          <w:rFonts w:cs="Times New Roman"/>
          <w:szCs w:val="24"/>
        </w:rPr>
        <w:t>.</w:t>
      </w:r>
      <w:r w:rsidR="002D19D9">
        <w:rPr>
          <w:rStyle w:val="FootnoteReference"/>
          <w:rFonts w:cs="Times New Roman"/>
          <w:szCs w:val="24"/>
        </w:rPr>
        <w:footnoteReference w:id="157"/>
      </w:r>
      <w:r w:rsidRPr="006159D2">
        <w:rPr>
          <w:rFonts w:cs="Times New Roman"/>
          <w:szCs w:val="24"/>
        </w:rPr>
        <w:t xml:space="preserve"> Despite the risks posed, a significant proportion of HEIs accept cash payments</w:t>
      </w:r>
      <w:r w:rsidR="00060804">
        <w:rPr>
          <w:rFonts w:cs="Times New Roman"/>
          <w:szCs w:val="24"/>
        </w:rPr>
        <w:t xml:space="preserve">. </w:t>
      </w:r>
      <w:bookmarkStart w:id="24" w:name="_Hlk124436373"/>
      <w:r w:rsidR="00060804">
        <w:rPr>
          <w:rFonts w:cs="Times New Roman"/>
          <w:szCs w:val="24"/>
        </w:rPr>
        <w:t>O</w:t>
      </w:r>
      <w:r w:rsidRPr="006159D2">
        <w:rPr>
          <w:rFonts w:cs="Times New Roman"/>
          <w:szCs w:val="24"/>
        </w:rPr>
        <w:t>ur data revealed that 22 HEIs, or over 21</w:t>
      </w:r>
      <w:r w:rsidR="00EA5EEB">
        <w:rPr>
          <w:rFonts w:cs="Times New Roman"/>
          <w:szCs w:val="24"/>
        </w:rPr>
        <w:t xml:space="preserve">% </w:t>
      </w:r>
      <w:r w:rsidRPr="006159D2">
        <w:rPr>
          <w:rFonts w:cs="Times New Roman"/>
          <w:szCs w:val="24"/>
        </w:rPr>
        <w:t>of respondents, accept cash payments for tuition fees</w:t>
      </w:r>
      <w:r w:rsidR="00133C5C">
        <w:rPr>
          <w:rFonts w:cs="Times New Roman"/>
          <w:szCs w:val="24"/>
        </w:rPr>
        <w:t>,</w:t>
      </w:r>
      <w:r w:rsidRPr="006159D2">
        <w:rPr>
          <w:rFonts w:cs="Times New Roman"/>
          <w:szCs w:val="24"/>
        </w:rPr>
        <w:t xml:space="preserve"> accommodation,</w:t>
      </w:r>
      <w:r w:rsidR="00133C5C">
        <w:rPr>
          <w:rFonts w:cs="Times New Roman"/>
          <w:szCs w:val="24"/>
        </w:rPr>
        <w:t xml:space="preserve"> or both,</w:t>
      </w:r>
      <w:r w:rsidRPr="006159D2">
        <w:rPr>
          <w:rFonts w:cs="Times New Roman"/>
          <w:szCs w:val="24"/>
        </w:rPr>
        <w:t xml:space="preserve"> while 79 HEIs, or over 78</w:t>
      </w:r>
      <w:r w:rsidR="00EA5EEB">
        <w:rPr>
          <w:rFonts w:cs="Times New Roman"/>
          <w:szCs w:val="24"/>
        </w:rPr>
        <w:t>%</w:t>
      </w:r>
      <w:r w:rsidR="003977FA">
        <w:rPr>
          <w:rFonts w:cs="Times New Roman"/>
          <w:szCs w:val="24"/>
        </w:rPr>
        <w:t xml:space="preserve"> </w:t>
      </w:r>
      <w:r w:rsidRPr="006159D2">
        <w:rPr>
          <w:rFonts w:cs="Times New Roman"/>
          <w:szCs w:val="24"/>
        </w:rPr>
        <w:t>of respondents, do not accept cash payments</w:t>
      </w:r>
      <w:bookmarkEnd w:id="24"/>
      <w:r w:rsidRPr="006159D2">
        <w:rPr>
          <w:rFonts w:cs="Times New Roman"/>
          <w:szCs w:val="24"/>
        </w:rPr>
        <w:t>.</w:t>
      </w:r>
      <w:r w:rsidRPr="006159D2">
        <w:rPr>
          <w:rStyle w:val="FootnoteReference"/>
          <w:rFonts w:cs="Times New Roman"/>
          <w:szCs w:val="24"/>
        </w:rPr>
        <w:footnoteReference w:id="158"/>
      </w:r>
      <w:r w:rsidRPr="006159D2">
        <w:rPr>
          <w:rFonts w:cs="Times New Roman"/>
          <w:szCs w:val="24"/>
        </w:rPr>
        <w:t xml:space="preserve"> HEIs appear to be less willing to accept cash payments than they were a few years ago, with the Times reporting that 49 HEIs accepted £52million in cash payments from students for fees over the past five years.</w:t>
      </w:r>
      <w:r w:rsidRPr="006159D2">
        <w:rPr>
          <w:rStyle w:val="FootnoteReference"/>
          <w:rFonts w:cs="Times New Roman"/>
          <w:szCs w:val="24"/>
        </w:rPr>
        <w:footnoteReference w:id="159"/>
      </w:r>
      <w:r w:rsidRPr="006159D2">
        <w:rPr>
          <w:rFonts w:cs="Times New Roman"/>
          <w:szCs w:val="24"/>
        </w:rPr>
        <w:t xml:space="preserve"> Indeed, a large number of HEIs noted that they stopped accepting cash payments for tuition fees and accommodation in 2019 or 2020. Nonetheless, over 21</w:t>
      </w:r>
      <w:r w:rsidR="00EA5EEB">
        <w:rPr>
          <w:rFonts w:cs="Times New Roman"/>
          <w:szCs w:val="24"/>
        </w:rPr>
        <w:t xml:space="preserve">% </w:t>
      </w:r>
      <w:r w:rsidRPr="006159D2">
        <w:rPr>
          <w:rFonts w:cs="Times New Roman"/>
          <w:szCs w:val="24"/>
        </w:rPr>
        <w:t>of respondents</w:t>
      </w:r>
      <w:r w:rsidR="003977FA">
        <w:rPr>
          <w:rFonts w:cs="Times New Roman"/>
          <w:szCs w:val="24"/>
        </w:rPr>
        <w:t xml:space="preserve"> </w:t>
      </w:r>
      <w:r w:rsidR="009A2263">
        <w:rPr>
          <w:rFonts w:cs="Times New Roman"/>
          <w:szCs w:val="24"/>
        </w:rPr>
        <w:t xml:space="preserve">are </w:t>
      </w:r>
      <w:r w:rsidRPr="006159D2">
        <w:rPr>
          <w:rFonts w:cs="Times New Roman"/>
          <w:szCs w:val="24"/>
        </w:rPr>
        <w:t xml:space="preserve">willing to accept cash payments. Some of these HEIs have a limit on cash transactions, the lowest being £500, whereas others do not impose any limit on the amount that can be paid in cash. 39 HEIs provided information relating to the total value of cash payments received in 2019/20. These respondents either still accept cash payments, or ceased to do so from 2020 onwards. In total, the 39 HEIs received over £12million in cash payments in 2019/20, with </w:t>
      </w:r>
      <w:r w:rsidR="00586CAA">
        <w:rPr>
          <w:rFonts w:cs="Times New Roman"/>
          <w:szCs w:val="24"/>
        </w:rPr>
        <w:t>three</w:t>
      </w:r>
      <w:r w:rsidR="00586CAA" w:rsidRPr="006159D2">
        <w:rPr>
          <w:rFonts w:cs="Times New Roman"/>
          <w:szCs w:val="24"/>
        </w:rPr>
        <w:t xml:space="preserve"> </w:t>
      </w:r>
      <w:r w:rsidRPr="006159D2">
        <w:rPr>
          <w:rFonts w:cs="Times New Roman"/>
          <w:szCs w:val="24"/>
        </w:rPr>
        <w:t xml:space="preserve">HEIs receiving cash payments totalling more than £1million and </w:t>
      </w:r>
      <w:r w:rsidR="00586CAA">
        <w:rPr>
          <w:rFonts w:cs="Times New Roman"/>
          <w:szCs w:val="24"/>
        </w:rPr>
        <w:t>three</w:t>
      </w:r>
      <w:r w:rsidR="00586CAA" w:rsidRPr="006159D2">
        <w:rPr>
          <w:rFonts w:cs="Times New Roman"/>
          <w:szCs w:val="24"/>
        </w:rPr>
        <w:t xml:space="preserve"> </w:t>
      </w:r>
      <w:r w:rsidRPr="006159D2">
        <w:rPr>
          <w:rFonts w:cs="Times New Roman"/>
          <w:szCs w:val="24"/>
        </w:rPr>
        <w:t>HEIs receiving £977,944, £975,891</w:t>
      </w:r>
      <w:r w:rsidR="00133C5C">
        <w:rPr>
          <w:rFonts w:cs="Times New Roman"/>
          <w:szCs w:val="24"/>
        </w:rPr>
        <w:t>,</w:t>
      </w:r>
      <w:r w:rsidRPr="006159D2">
        <w:rPr>
          <w:rFonts w:cs="Times New Roman"/>
          <w:szCs w:val="24"/>
        </w:rPr>
        <w:t xml:space="preserve"> and £824,000 respectively. As the FATF notes, cash </w:t>
      </w:r>
      <w:r w:rsidR="00E361C7">
        <w:rPr>
          <w:rFonts w:cs="Times New Roman"/>
          <w:szCs w:val="24"/>
        </w:rPr>
        <w:t>“</w:t>
      </w:r>
      <w:r w:rsidRPr="006159D2">
        <w:rPr>
          <w:rFonts w:cs="Times New Roman"/>
          <w:szCs w:val="24"/>
        </w:rPr>
        <w:t>remains the raw material of most criminal activity.</w:t>
      </w:r>
      <w:r w:rsidR="00E361C7">
        <w:rPr>
          <w:rFonts w:cs="Times New Roman"/>
          <w:szCs w:val="24"/>
        </w:rPr>
        <w:t>”</w:t>
      </w:r>
      <w:r w:rsidRPr="006159D2">
        <w:rPr>
          <w:rStyle w:val="FootnoteReference"/>
          <w:rFonts w:cs="Times New Roman"/>
          <w:szCs w:val="24"/>
        </w:rPr>
        <w:footnoteReference w:id="160"/>
      </w:r>
      <w:r w:rsidRPr="006159D2">
        <w:rPr>
          <w:rFonts w:cs="Times New Roman"/>
          <w:szCs w:val="24"/>
        </w:rPr>
        <w:t xml:space="preserve"> Thus, the </w:t>
      </w:r>
      <w:r w:rsidRPr="006159D2">
        <w:rPr>
          <w:rFonts w:cs="Times New Roman"/>
          <w:szCs w:val="24"/>
        </w:rPr>
        <w:lastRenderedPageBreak/>
        <w:t xml:space="preserve">acceptance of cash by a significant minority </w:t>
      </w:r>
      <w:r w:rsidR="00133C5C">
        <w:rPr>
          <w:rFonts w:cs="Times New Roman"/>
          <w:szCs w:val="24"/>
        </w:rPr>
        <w:t xml:space="preserve">of </w:t>
      </w:r>
      <w:r w:rsidR="00AA7A00">
        <w:rPr>
          <w:rFonts w:cs="Times New Roman"/>
          <w:szCs w:val="24"/>
        </w:rPr>
        <w:t>HEIs</w:t>
      </w:r>
      <w:r w:rsidRPr="006159D2">
        <w:rPr>
          <w:rFonts w:cs="Times New Roman"/>
          <w:szCs w:val="24"/>
        </w:rPr>
        <w:t xml:space="preserve"> for substantial tuition or accommodation fees, often without limit, presents a money laundering risk. </w:t>
      </w:r>
    </w:p>
    <w:p w14:paraId="0C035696" w14:textId="7DBDB834" w:rsidR="007D49A4" w:rsidRDefault="003D1896" w:rsidP="00673D5B">
      <w:pPr>
        <w:spacing w:line="480" w:lineRule="auto"/>
      </w:pPr>
      <w:r>
        <w:rPr>
          <w:rFonts w:cs="Times New Roman"/>
          <w:szCs w:val="24"/>
        </w:rPr>
        <w:t>A</w:t>
      </w:r>
      <w:r w:rsidR="00C82657">
        <w:rPr>
          <w:rFonts w:cs="Times New Roman"/>
          <w:szCs w:val="24"/>
        </w:rPr>
        <w:t>ccordingly, a</w:t>
      </w:r>
      <w:r>
        <w:rPr>
          <w:rFonts w:cs="Times New Roman"/>
          <w:szCs w:val="24"/>
        </w:rPr>
        <w:t xml:space="preserve"> </w:t>
      </w:r>
      <w:r w:rsidR="007D49A4" w:rsidRPr="009547DC">
        <w:rPr>
          <w:rFonts w:cs="Times New Roman"/>
          <w:szCs w:val="24"/>
        </w:rPr>
        <w:t xml:space="preserve">significant minority of HEIs are willing to accept cash payments for tuition fees and accommodation, often without any limitation. </w:t>
      </w:r>
      <w:r w:rsidR="001A0C7B">
        <w:t>However</w:t>
      </w:r>
      <w:r w:rsidR="007D49A4">
        <w:t>,</w:t>
      </w:r>
      <w:r w:rsidR="001A0C7B">
        <w:t xml:space="preserve"> t</w:t>
      </w:r>
      <w:r w:rsidR="007D49A4" w:rsidRPr="00A7092C">
        <w:t xml:space="preserve">his research has </w:t>
      </w:r>
      <w:r w:rsidR="001A0C7B">
        <w:t xml:space="preserve">also </w:t>
      </w:r>
      <w:r w:rsidR="007D49A4" w:rsidRPr="00A7092C">
        <w:t xml:space="preserve">demonstrated that there is growing recognition of the risks posed by cash payments, both in the literature and among HEIs. </w:t>
      </w:r>
      <w:r w:rsidR="00F02CCB">
        <w:t>T</w:t>
      </w:r>
      <w:r w:rsidR="007D49A4" w:rsidRPr="00A7092C">
        <w:t xml:space="preserve">he fact that </w:t>
      </w:r>
      <w:r w:rsidR="007D49A4" w:rsidRPr="0023477B">
        <w:t>7</w:t>
      </w:r>
      <w:r w:rsidR="007D49A4" w:rsidRPr="00231619">
        <w:t>8</w:t>
      </w:r>
      <w:r w:rsidR="00EA5EEB">
        <w:t xml:space="preserve">% </w:t>
      </w:r>
      <w:r w:rsidR="007D49A4" w:rsidRPr="00A7092C">
        <w:t xml:space="preserve">of HEIs already refuse to accept cash payments for tuition fees and accommodation demonstrates that prohibiting cash payments is unlikely to result in adverse consequences for </w:t>
      </w:r>
      <w:r w:rsidR="007D49A4">
        <w:t>universities</w:t>
      </w:r>
      <w:r w:rsidR="007D49A4" w:rsidRPr="00A7092C">
        <w:t xml:space="preserve"> and, in particular, is unlikely to affect their national competitiveness. </w:t>
      </w:r>
      <w:r w:rsidR="007D49A4">
        <w:t xml:space="preserve">Indeed, cash payments represent a small, yet highly risky, proportion of HEI income, with collective </w:t>
      </w:r>
      <w:r w:rsidR="007D49A4" w:rsidRPr="00A7092C">
        <w:t>income</w:t>
      </w:r>
      <w:r w:rsidR="007D49A4">
        <w:t xml:space="preserve"> from t</w:t>
      </w:r>
      <w:r w:rsidR="007D49A4" w:rsidRPr="00455B22">
        <w:t>uition fees and education contracts</w:t>
      </w:r>
      <w:r w:rsidR="007D49A4">
        <w:t xml:space="preserve"> alone</w:t>
      </w:r>
      <w:r w:rsidR="007D49A4" w:rsidRPr="00A7092C">
        <w:t xml:space="preserve"> exceed</w:t>
      </w:r>
      <w:r w:rsidR="007D49A4">
        <w:t xml:space="preserve">ing </w:t>
      </w:r>
      <w:r w:rsidR="007D49A4" w:rsidRPr="00A7092C">
        <w:t>£2</w:t>
      </w:r>
      <w:r w:rsidR="007D49A4">
        <w:t>3</w:t>
      </w:r>
      <w:r w:rsidR="007D49A4" w:rsidRPr="00A7092C">
        <w:t>b</w:t>
      </w:r>
      <w:r w:rsidR="0096354F">
        <w:t>illion</w:t>
      </w:r>
      <w:r w:rsidR="007D49A4" w:rsidRPr="00A7092C">
        <w:t xml:space="preserve"> per year</w:t>
      </w:r>
      <w:r w:rsidR="007D49A4">
        <w:t xml:space="preserve"> in 2021</w:t>
      </w:r>
      <w:r w:rsidR="007D49A4" w:rsidRPr="00A7092C">
        <w:t>.</w:t>
      </w:r>
      <w:r w:rsidR="007D49A4">
        <w:rPr>
          <w:rStyle w:val="FootnoteReference"/>
          <w:rFonts w:cs="Times New Roman"/>
          <w:szCs w:val="24"/>
        </w:rPr>
        <w:footnoteReference w:id="161"/>
      </w:r>
      <w:r w:rsidR="001A0C7B">
        <w:t xml:space="preserve"> </w:t>
      </w:r>
      <w:r w:rsidR="0064524D">
        <w:t>I</w:t>
      </w:r>
      <w:r w:rsidR="00F02CCB">
        <w:t xml:space="preserve">t is recommended that </w:t>
      </w:r>
      <w:r w:rsidR="001A0C7B">
        <w:t>c</w:t>
      </w:r>
      <w:r w:rsidR="001A0C7B" w:rsidRPr="00A7092C">
        <w:t>ash payments for tuition fees and accommodation should be prohibited, or at least severely restricted</w:t>
      </w:r>
      <w:r w:rsidR="001A0C7B">
        <w:t>, ideally by HEIs or, if necessary, legislation</w:t>
      </w:r>
      <w:r w:rsidR="001A0C7B" w:rsidRPr="00A7092C">
        <w:t xml:space="preserve">. </w:t>
      </w:r>
      <w:r w:rsidR="007D49A4">
        <w:t>HEIs could also introduce other practical measures to reduce the money laundering and terrorism financing risks to which they are exposed. For instance, c</w:t>
      </w:r>
      <w:r w:rsidR="007D49A4" w:rsidRPr="00A7092C">
        <w:t xml:space="preserve">onsidering the evidence presented above </w:t>
      </w:r>
      <w:r w:rsidR="007D49A4">
        <w:t xml:space="preserve">regarding the use of student loans to finance terrorism, </w:t>
      </w:r>
      <w:r w:rsidR="007D49A4" w:rsidRPr="00A7092C">
        <w:t>it is recommended that HEIs strengthen</w:t>
      </w:r>
      <w:r w:rsidR="007D49A4">
        <w:t>,</w:t>
      </w:r>
      <w:r w:rsidR="007D49A4" w:rsidRPr="00A7092C">
        <w:t xml:space="preserve"> or in some cases start</w:t>
      </w:r>
      <w:r w:rsidR="007D49A4">
        <w:t>,</w:t>
      </w:r>
      <w:r w:rsidR="007D49A4" w:rsidRPr="00A7092C">
        <w:t xml:space="preserve"> to monitor both student attendance and levels of engagement.</w:t>
      </w:r>
    </w:p>
    <w:p w14:paraId="5346E26E" w14:textId="18D1AE41" w:rsidR="00B401C9" w:rsidRPr="006159D2" w:rsidRDefault="00B401C9" w:rsidP="00377664">
      <w:pPr>
        <w:pStyle w:val="Heading3"/>
      </w:pPr>
      <w:r w:rsidRPr="006159D2">
        <w:t>Suspicious Activity Reports (SARs)</w:t>
      </w:r>
    </w:p>
    <w:p w14:paraId="24BF1F79" w14:textId="6B4867E8" w:rsidR="00B401C9" w:rsidRPr="006159D2" w:rsidRDefault="00505AF6" w:rsidP="00673D5B">
      <w:pPr>
        <w:spacing w:before="240" w:line="480" w:lineRule="auto"/>
        <w:rPr>
          <w:rFonts w:cs="Times New Roman"/>
          <w:szCs w:val="24"/>
        </w:rPr>
      </w:pPr>
      <w:r>
        <w:rPr>
          <w:rFonts w:cs="Times New Roman"/>
          <w:szCs w:val="24"/>
        </w:rPr>
        <w:t>T</w:t>
      </w:r>
      <w:r w:rsidR="00B401C9" w:rsidRPr="006159D2">
        <w:rPr>
          <w:rFonts w:cs="Times New Roman"/>
          <w:szCs w:val="24"/>
        </w:rPr>
        <w:t xml:space="preserve">he </w:t>
      </w:r>
      <w:r w:rsidR="00FB437B">
        <w:rPr>
          <w:rFonts w:cs="Times New Roman"/>
          <w:szCs w:val="24"/>
        </w:rPr>
        <w:t>Regulations</w:t>
      </w:r>
      <w:r w:rsidR="00B401C9" w:rsidRPr="006159D2">
        <w:rPr>
          <w:rFonts w:cs="Times New Roman"/>
          <w:szCs w:val="24"/>
        </w:rPr>
        <w:t>, which oblige businesses to provide for the internal infrastructure necessary to submit a SAR, do not apply to HEIs.</w:t>
      </w:r>
      <w:r w:rsidR="00B401C9" w:rsidRPr="006159D2">
        <w:rPr>
          <w:rStyle w:val="FootnoteReference"/>
          <w:rFonts w:cs="Times New Roman"/>
          <w:szCs w:val="24"/>
        </w:rPr>
        <w:footnoteReference w:id="162"/>
      </w:r>
      <w:r w:rsidR="00B401C9" w:rsidRPr="006159D2">
        <w:rPr>
          <w:rFonts w:cs="Times New Roman"/>
          <w:szCs w:val="24"/>
        </w:rPr>
        <w:t xml:space="preserve"> The </w:t>
      </w:r>
      <w:r w:rsidR="00B401C9" w:rsidRPr="006159D2">
        <w:rPr>
          <w:rFonts w:cs="Times New Roman"/>
          <w:bCs/>
          <w:szCs w:val="24"/>
        </w:rPr>
        <w:t xml:space="preserve">offences of failing to report suspicions of money </w:t>
      </w:r>
      <w:r w:rsidR="00B401C9" w:rsidRPr="006159D2">
        <w:rPr>
          <w:rFonts w:cs="Times New Roman"/>
          <w:bCs/>
          <w:szCs w:val="24"/>
        </w:rPr>
        <w:lastRenderedPageBreak/>
        <w:t xml:space="preserve">laundering </w:t>
      </w:r>
      <w:r w:rsidR="001F30C2">
        <w:rPr>
          <w:rFonts w:cs="Times New Roman"/>
          <w:bCs/>
          <w:szCs w:val="24"/>
        </w:rPr>
        <w:t xml:space="preserve">and terrorism financing </w:t>
      </w:r>
      <w:r w:rsidR="00B401C9" w:rsidRPr="006159D2">
        <w:rPr>
          <w:rFonts w:cs="Times New Roman"/>
          <w:bCs/>
          <w:szCs w:val="24"/>
        </w:rPr>
        <w:t>do not strictly apply to employees of universities, as their application is confined to the regulated sector. However, the primary offences are of universal application.</w:t>
      </w:r>
      <w:r w:rsidR="00B401C9" w:rsidRPr="006159D2">
        <w:rPr>
          <w:rStyle w:val="FootnoteReference"/>
          <w:rFonts w:cs="Times New Roman"/>
          <w:szCs w:val="24"/>
        </w:rPr>
        <w:footnoteReference w:id="163"/>
      </w:r>
      <w:r w:rsidR="00B401C9" w:rsidRPr="006159D2">
        <w:rPr>
          <w:rFonts w:cs="Times New Roman"/>
          <w:bCs/>
          <w:szCs w:val="24"/>
        </w:rPr>
        <w:t xml:space="preserve"> </w:t>
      </w:r>
      <w:r w:rsidR="00FB437B">
        <w:rPr>
          <w:rFonts w:cs="Times New Roman"/>
          <w:bCs/>
          <w:szCs w:val="24"/>
        </w:rPr>
        <w:t>Therefore</w:t>
      </w:r>
      <w:r w:rsidR="00B401C9" w:rsidRPr="006159D2">
        <w:rPr>
          <w:rFonts w:cs="Times New Roman"/>
          <w:bCs/>
          <w:szCs w:val="24"/>
        </w:rPr>
        <w:t xml:space="preserve">, it is essential for employees of HEIs to submit SARs when they suspect they are dealing with criminal property to provide a defence to </w:t>
      </w:r>
      <w:r w:rsidR="008D5CC1">
        <w:rPr>
          <w:rFonts w:cs="Times New Roman"/>
          <w:bCs/>
          <w:szCs w:val="24"/>
        </w:rPr>
        <w:t xml:space="preserve">the related criminal </w:t>
      </w:r>
      <w:r w:rsidR="00B401C9" w:rsidRPr="006159D2">
        <w:rPr>
          <w:rFonts w:cs="Times New Roman"/>
          <w:bCs/>
          <w:szCs w:val="24"/>
        </w:rPr>
        <w:t xml:space="preserve">offences. </w:t>
      </w:r>
      <w:r w:rsidR="00B401C9" w:rsidRPr="006159D2">
        <w:rPr>
          <w:rFonts w:cs="Times New Roman"/>
          <w:szCs w:val="24"/>
        </w:rPr>
        <w:t xml:space="preserve">Unfortunately, many HEIs declined to provide information regarding how many SARs the institution submitted. Some HEIs were unable to answer this question owing to a lack of accessible information, whereas others declined to answer based </w:t>
      </w:r>
      <w:r w:rsidR="00586CAA">
        <w:rPr>
          <w:rFonts w:cs="Times New Roman"/>
          <w:szCs w:val="24"/>
        </w:rPr>
        <w:t>on statutory exemptions</w:t>
      </w:r>
      <w:r w:rsidR="00B401C9" w:rsidRPr="006159D2">
        <w:rPr>
          <w:rFonts w:cs="Times New Roman"/>
          <w:szCs w:val="24"/>
        </w:rPr>
        <w:t>. One HEI suggested that the question was not applicable to the institution, which</w:t>
      </w:r>
      <w:r w:rsidR="00C82657">
        <w:rPr>
          <w:rFonts w:cs="Times New Roman"/>
          <w:szCs w:val="24"/>
        </w:rPr>
        <w:t xml:space="preserve"> </w:t>
      </w:r>
      <w:r w:rsidR="00B401C9" w:rsidRPr="006159D2">
        <w:rPr>
          <w:rFonts w:cs="Times New Roman"/>
          <w:szCs w:val="24"/>
        </w:rPr>
        <w:t xml:space="preserve">must be doubted. Indeed, such responses evidence the misconceptions surrounding the application of AML legislation to </w:t>
      </w:r>
      <w:r w:rsidR="00586CAA">
        <w:rPr>
          <w:rFonts w:cs="Times New Roman"/>
          <w:szCs w:val="24"/>
        </w:rPr>
        <w:t>HEIs</w:t>
      </w:r>
      <w:r w:rsidR="005335B0">
        <w:rPr>
          <w:rFonts w:cs="Times New Roman"/>
          <w:szCs w:val="24"/>
        </w:rPr>
        <w:t xml:space="preserve"> and highlights the need for better awareness</w:t>
      </w:r>
      <w:r w:rsidR="00B401C9" w:rsidRPr="006159D2">
        <w:rPr>
          <w:rFonts w:cs="Times New Roman"/>
          <w:szCs w:val="24"/>
        </w:rPr>
        <w:t xml:space="preserve">. In total, 72 HEIs answered this question. </w:t>
      </w:r>
    </w:p>
    <w:p w14:paraId="53273BCC" w14:textId="10D60AE5" w:rsidR="00B401C9" w:rsidRDefault="00B401C9" w:rsidP="00673D5B">
      <w:pPr>
        <w:spacing w:before="240" w:line="480" w:lineRule="auto"/>
        <w:rPr>
          <w:rFonts w:cs="Times New Roman"/>
          <w:szCs w:val="24"/>
        </w:rPr>
      </w:pPr>
      <w:r w:rsidRPr="006159D2">
        <w:rPr>
          <w:rFonts w:cs="Times New Roman"/>
          <w:szCs w:val="24"/>
        </w:rPr>
        <w:t>HEIs were unlikely to submit a large number of SARs</w:t>
      </w:r>
      <w:r w:rsidR="00EC7CD5">
        <w:rPr>
          <w:rFonts w:cs="Times New Roman"/>
          <w:szCs w:val="24"/>
        </w:rPr>
        <w:t xml:space="preserve"> to the NCA. </w:t>
      </w:r>
      <w:r w:rsidR="00C82657">
        <w:rPr>
          <w:rFonts w:cs="Times New Roman"/>
          <w:szCs w:val="24"/>
        </w:rPr>
        <w:t xml:space="preserve">This is because, </w:t>
      </w:r>
      <w:r w:rsidR="00EC7CD5">
        <w:rPr>
          <w:rFonts w:cs="Times New Roman"/>
          <w:szCs w:val="24"/>
        </w:rPr>
        <w:t xml:space="preserve">in </w:t>
      </w:r>
      <w:r w:rsidRPr="006159D2">
        <w:rPr>
          <w:rFonts w:cs="Times New Roman"/>
          <w:szCs w:val="24"/>
        </w:rPr>
        <w:t>2017/18, the entire education sector submitted 25 SARs to the NCA, followed by 24 SARs in 2018/19</w:t>
      </w:r>
      <w:r w:rsidR="00A61105">
        <w:rPr>
          <w:rFonts w:cs="Times New Roman"/>
          <w:szCs w:val="24"/>
        </w:rPr>
        <w:t>,</w:t>
      </w:r>
      <w:r w:rsidRPr="006159D2">
        <w:rPr>
          <w:rFonts w:cs="Times New Roman"/>
          <w:szCs w:val="24"/>
        </w:rPr>
        <w:t xml:space="preserve"> and 34 SARs in 2019/20.</w:t>
      </w:r>
      <w:r w:rsidRPr="006159D2">
        <w:rPr>
          <w:rStyle w:val="FootnoteReference"/>
          <w:rFonts w:cs="Times New Roman"/>
          <w:szCs w:val="24"/>
        </w:rPr>
        <w:footnoteReference w:id="164"/>
      </w:r>
      <w:r w:rsidRPr="006159D2">
        <w:rPr>
          <w:rFonts w:cs="Times New Roman"/>
          <w:szCs w:val="24"/>
        </w:rPr>
        <w:t xml:space="preserve"> However, it was surprising to find that the </w:t>
      </w:r>
      <w:r w:rsidR="00586CAA">
        <w:rPr>
          <w:rFonts w:cs="Times New Roman"/>
          <w:szCs w:val="24"/>
        </w:rPr>
        <w:t>limited</w:t>
      </w:r>
      <w:r w:rsidR="00586CAA" w:rsidRPr="006159D2">
        <w:rPr>
          <w:rFonts w:cs="Times New Roman"/>
          <w:szCs w:val="24"/>
        </w:rPr>
        <w:t xml:space="preserve"> </w:t>
      </w:r>
      <w:r w:rsidRPr="006159D2">
        <w:rPr>
          <w:rFonts w:cs="Times New Roman"/>
          <w:szCs w:val="24"/>
        </w:rPr>
        <w:t>number of SARs recorded by the NCA were likely to have been submitted by a small number of HEIs. At the time of responding to the FOI request, 53 HEIs, or over 73</w:t>
      </w:r>
      <w:r w:rsidR="00EA5EEB">
        <w:rPr>
          <w:rFonts w:cs="Times New Roman"/>
          <w:szCs w:val="24"/>
        </w:rPr>
        <w:t>%</w:t>
      </w:r>
      <w:r w:rsidRPr="006159D2">
        <w:rPr>
          <w:rFonts w:cs="Times New Roman"/>
          <w:szCs w:val="24"/>
        </w:rPr>
        <w:t xml:space="preserve"> of respondents, had not submitted a single SAR to the NCA. </w:t>
      </w:r>
      <w:r w:rsidR="009B5BF0">
        <w:rPr>
          <w:rFonts w:cs="Times New Roman"/>
          <w:szCs w:val="24"/>
        </w:rPr>
        <w:t>One</w:t>
      </w:r>
      <w:r w:rsidRPr="006159D2">
        <w:rPr>
          <w:rFonts w:cs="Times New Roman"/>
          <w:szCs w:val="24"/>
        </w:rPr>
        <w:t xml:space="preserve"> HEI noted that they had submitted less than </w:t>
      </w:r>
      <w:r w:rsidR="009B5BF0">
        <w:rPr>
          <w:rFonts w:cs="Times New Roman"/>
          <w:szCs w:val="24"/>
        </w:rPr>
        <w:t>five</w:t>
      </w:r>
      <w:r w:rsidRPr="006159D2">
        <w:rPr>
          <w:rFonts w:cs="Times New Roman"/>
          <w:szCs w:val="24"/>
        </w:rPr>
        <w:t xml:space="preserve"> SARs, </w:t>
      </w:r>
      <w:r w:rsidR="009B5BF0">
        <w:rPr>
          <w:rFonts w:cs="Times New Roman"/>
          <w:szCs w:val="24"/>
        </w:rPr>
        <w:t>six</w:t>
      </w:r>
      <w:r w:rsidRPr="006159D2">
        <w:rPr>
          <w:rFonts w:cs="Times New Roman"/>
          <w:szCs w:val="24"/>
        </w:rPr>
        <w:t xml:space="preserve"> HEIs submitted </w:t>
      </w:r>
      <w:r w:rsidR="009B5BF0">
        <w:rPr>
          <w:rFonts w:cs="Times New Roman"/>
          <w:szCs w:val="24"/>
        </w:rPr>
        <w:t>one</w:t>
      </w:r>
      <w:r w:rsidRPr="006159D2">
        <w:rPr>
          <w:rFonts w:cs="Times New Roman"/>
          <w:szCs w:val="24"/>
        </w:rPr>
        <w:t xml:space="preserve"> SAR to the NCA, </w:t>
      </w:r>
      <w:r w:rsidR="009B5BF0">
        <w:rPr>
          <w:rFonts w:cs="Times New Roman"/>
          <w:szCs w:val="24"/>
        </w:rPr>
        <w:t>five</w:t>
      </w:r>
      <w:r w:rsidRPr="006159D2">
        <w:rPr>
          <w:rFonts w:cs="Times New Roman"/>
          <w:szCs w:val="24"/>
        </w:rPr>
        <w:t xml:space="preserve"> HEIs submitted </w:t>
      </w:r>
      <w:r w:rsidR="009B5BF0">
        <w:rPr>
          <w:rFonts w:cs="Times New Roman"/>
          <w:szCs w:val="24"/>
        </w:rPr>
        <w:t>two</w:t>
      </w:r>
      <w:r w:rsidRPr="006159D2">
        <w:rPr>
          <w:rFonts w:cs="Times New Roman"/>
          <w:szCs w:val="24"/>
        </w:rPr>
        <w:t xml:space="preserve"> SARs, </w:t>
      </w:r>
      <w:r w:rsidR="009B5BF0">
        <w:rPr>
          <w:rFonts w:cs="Times New Roman"/>
          <w:szCs w:val="24"/>
        </w:rPr>
        <w:t>two</w:t>
      </w:r>
      <w:r w:rsidRPr="006159D2">
        <w:rPr>
          <w:rFonts w:cs="Times New Roman"/>
          <w:szCs w:val="24"/>
        </w:rPr>
        <w:t xml:space="preserve"> HEIs submitted </w:t>
      </w:r>
      <w:r w:rsidR="009B5BF0">
        <w:rPr>
          <w:rFonts w:cs="Times New Roman"/>
          <w:szCs w:val="24"/>
        </w:rPr>
        <w:t>three</w:t>
      </w:r>
      <w:r w:rsidRPr="006159D2">
        <w:rPr>
          <w:rFonts w:cs="Times New Roman"/>
          <w:szCs w:val="24"/>
        </w:rPr>
        <w:t xml:space="preserve"> SARs and </w:t>
      </w:r>
      <w:r w:rsidR="009B5BF0">
        <w:rPr>
          <w:rFonts w:cs="Times New Roman"/>
          <w:szCs w:val="24"/>
        </w:rPr>
        <w:t>two</w:t>
      </w:r>
      <w:r w:rsidRPr="006159D2">
        <w:rPr>
          <w:rFonts w:cs="Times New Roman"/>
          <w:szCs w:val="24"/>
        </w:rPr>
        <w:t xml:space="preserve"> HEIs submitted </w:t>
      </w:r>
      <w:r w:rsidR="009B5BF0">
        <w:rPr>
          <w:rFonts w:cs="Times New Roman"/>
          <w:szCs w:val="24"/>
        </w:rPr>
        <w:t>four</w:t>
      </w:r>
      <w:r w:rsidRPr="006159D2">
        <w:rPr>
          <w:rFonts w:cs="Times New Roman"/>
          <w:szCs w:val="24"/>
        </w:rPr>
        <w:t xml:space="preserve"> SARs. The vast majority of SARs appear to have been submitted by three HEIs, which submitted 10 SARs, 18 SARs and 77 SARs respectively, with one noting that this number only covered an 18-month time period. Given the vulnerability of </w:t>
      </w:r>
      <w:r w:rsidRPr="006159D2">
        <w:rPr>
          <w:rFonts w:cs="Times New Roman"/>
          <w:szCs w:val="24"/>
        </w:rPr>
        <w:lastRenderedPageBreak/>
        <w:t xml:space="preserve">HEIs to money laundering, it is disappointing to see that the majority of HEIs are not reporting. This </w:t>
      </w:r>
      <w:r w:rsidR="0044652C">
        <w:rPr>
          <w:rFonts w:cs="Times New Roman"/>
          <w:szCs w:val="24"/>
        </w:rPr>
        <w:t>r</w:t>
      </w:r>
      <w:r w:rsidRPr="006159D2">
        <w:rPr>
          <w:rFonts w:cs="Times New Roman"/>
          <w:szCs w:val="24"/>
        </w:rPr>
        <w:t>educes the pool of valuable intelligence available to the NCA</w:t>
      </w:r>
      <w:r w:rsidR="0044652C">
        <w:rPr>
          <w:rFonts w:cs="Times New Roman"/>
          <w:szCs w:val="24"/>
        </w:rPr>
        <w:t xml:space="preserve"> and </w:t>
      </w:r>
      <w:r w:rsidRPr="006159D2">
        <w:rPr>
          <w:rFonts w:cs="Times New Roman"/>
          <w:szCs w:val="24"/>
        </w:rPr>
        <w:t xml:space="preserve">leaves employees of HEIs at risk of laundering money and the legal consequences that follow. Our data revealed that the low number of SARs submitted by </w:t>
      </w:r>
      <w:r w:rsidR="00465950">
        <w:rPr>
          <w:rFonts w:cs="Times New Roman"/>
          <w:szCs w:val="24"/>
        </w:rPr>
        <w:t xml:space="preserve">HEIs </w:t>
      </w:r>
      <w:r w:rsidRPr="006159D2">
        <w:rPr>
          <w:rFonts w:cs="Times New Roman"/>
          <w:szCs w:val="24"/>
        </w:rPr>
        <w:t xml:space="preserve">may be due to a lack of awareness and related to the deficiencies in staff training identified above. For instance, one respondent revealed that it did not report any suspicious activity to the NCA, but </w:t>
      </w:r>
      <w:r w:rsidR="00E361C7">
        <w:rPr>
          <w:rFonts w:cs="Times New Roman"/>
          <w:szCs w:val="24"/>
        </w:rPr>
        <w:t>“</w:t>
      </w:r>
      <w:r w:rsidRPr="006159D2">
        <w:rPr>
          <w:rFonts w:cs="Times New Roman"/>
          <w:szCs w:val="24"/>
        </w:rPr>
        <w:t>3 cases have been reported to Action Fraud.</w:t>
      </w:r>
      <w:r w:rsidR="00E361C7">
        <w:rPr>
          <w:rFonts w:cs="Times New Roman"/>
          <w:szCs w:val="24"/>
        </w:rPr>
        <w:t>”</w:t>
      </w:r>
      <w:r w:rsidRPr="006159D2">
        <w:rPr>
          <w:rFonts w:cs="Times New Roman"/>
          <w:szCs w:val="24"/>
        </w:rPr>
        <w:t xml:space="preserve"> Aside from reports to Action Fraud not fulfilling the requirements for a money laundering or terrorism financing defence, The Times illustrated that less than </w:t>
      </w:r>
      <w:r w:rsidR="00687A0D">
        <w:rPr>
          <w:rFonts w:cs="Times New Roman"/>
          <w:szCs w:val="24"/>
        </w:rPr>
        <w:t>2%</w:t>
      </w:r>
      <w:r w:rsidRPr="006159D2">
        <w:rPr>
          <w:rFonts w:cs="Times New Roman"/>
          <w:szCs w:val="24"/>
        </w:rPr>
        <w:t xml:space="preserve"> of reports submitted to Action Fraud resulted in an arrest and less than </w:t>
      </w:r>
      <w:r w:rsidR="00687A0D">
        <w:rPr>
          <w:rFonts w:cs="Times New Roman"/>
          <w:szCs w:val="24"/>
        </w:rPr>
        <w:t>1%</w:t>
      </w:r>
      <w:r w:rsidRPr="006159D2">
        <w:rPr>
          <w:rFonts w:cs="Times New Roman"/>
          <w:szCs w:val="24"/>
        </w:rPr>
        <w:t xml:space="preserve"> of police officers were assigned to fraud investigations.</w:t>
      </w:r>
      <w:r w:rsidRPr="006159D2">
        <w:rPr>
          <w:rStyle w:val="FootnoteReference"/>
          <w:rFonts w:cs="Times New Roman"/>
          <w:szCs w:val="24"/>
        </w:rPr>
        <w:footnoteReference w:id="165"/>
      </w:r>
      <w:r w:rsidRPr="006159D2">
        <w:rPr>
          <w:rFonts w:cs="Times New Roman"/>
          <w:szCs w:val="24"/>
        </w:rPr>
        <w:t xml:space="preserve"> </w:t>
      </w:r>
      <w:r w:rsidR="00C82657">
        <w:rPr>
          <w:rFonts w:cs="Times New Roman"/>
          <w:szCs w:val="24"/>
        </w:rPr>
        <w:t xml:space="preserve">Therefore, </w:t>
      </w:r>
      <w:r w:rsidRPr="006159D2">
        <w:rPr>
          <w:rFonts w:cs="Times New Roman"/>
          <w:szCs w:val="24"/>
        </w:rPr>
        <w:t>HEIs are either not reporting suspicions, or are reporting them incorrectly, inhibiting money laundering investigations and leaving employees of HEIs exposed</w:t>
      </w:r>
      <w:r w:rsidR="00C82657">
        <w:rPr>
          <w:rFonts w:cs="Times New Roman"/>
          <w:szCs w:val="24"/>
        </w:rPr>
        <w:t>.</w:t>
      </w:r>
      <w:r w:rsidRPr="006159D2">
        <w:rPr>
          <w:rFonts w:cs="Times New Roman"/>
          <w:szCs w:val="24"/>
        </w:rPr>
        <w:t xml:space="preserve"> </w:t>
      </w:r>
      <w:r w:rsidR="00C82657">
        <w:rPr>
          <w:rFonts w:cs="Times New Roman"/>
          <w:szCs w:val="24"/>
        </w:rPr>
        <w:t>This</w:t>
      </w:r>
      <w:r w:rsidR="00C82657" w:rsidRPr="006159D2">
        <w:rPr>
          <w:rFonts w:cs="Times New Roman"/>
          <w:szCs w:val="24"/>
        </w:rPr>
        <w:t xml:space="preserve"> </w:t>
      </w:r>
      <w:r w:rsidRPr="006159D2">
        <w:rPr>
          <w:rFonts w:cs="Times New Roman"/>
          <w:szCs w:val="24"/>
        </w:rPr>
        <w:t>presents a gap in the coverage of UK AML measures.</w:t>
      </w:r>
    </w:p>
    <w:p w14:paraId="1E3E1704" w14:textId="1DD6FECE" w:rsidR="006153A1" w:rsidRPr="00C53226" w:rsidRDefault="00C82657" w:rsidP="00673D5B">
      <w:pPr>
        <w:spacing w:before="240" w:after="0" w:line="480" w:lineRule="auto"/>
        <w:rPr>
          <w:rFonts w:cs="Times New Roman"/>
          <w:szCs w:val="24"/>
        </w:rPr>
      </w:pPr>
      <w:r>
        <w:rPr>
          <w:rFonts w:cs="Times New Roman"/>
          <w:szCs w:val="24"/>
        </w:rPr>
        <w:t>Ultimately, t</w:t>
      </w:r>
      <w:r w:rsidR="006153A1" w:rsidRPr="00C53226">
        <w:rPr>
          <w:rFonts w:cs="Times New Roman"/>
          <w:szCs w:val="24"/>
        </w:rPr>
        <w:t xml:space="preserve">his study has revealed that the majority of HEIs are failing to submit SARs to the NCA. </w:t>
      </w:r>
      <w:r w:rsidR="001A0C7B">
        <w:rPr>
          <w:rFonts w:cs="Times New Roman"/>
          <w:szCs w:val="24"/>
        </w:rPr>
        <w:t>A</w:t>
      </w:r>
      <w:r w:rsidR="006153A1" w:rsidRPr="00C53226">
        <w:rPr>
          <w:rFonts w:cs="Times New Roman"/>
          <w:szCs w:val="24"/>
        </w:rPr>
        <w:t xml:space="preserve">mending the Regulations to encompass HEIs would provide clarity and certainty regarding the nature and extent of preventative obligations, which many HEIs are currently failing to implement. </w:t>
      </w:r>
      <w:r w:rsidR="006153A1" w:rsidRPr="006153A1">
        <w:rPr>
          <w:rFonts w:cs="Times New Roman"/>
          <w:szCs w:val="24"/>
        </w:rPr>
        <w:t>Following amendment, it would also be beneficial to include</w:t>
      </w:r>
      <w:r w:rsidR="006153A1" w:rsidRPr="003B4BDB">
        <w:rPr>
          <w:rFonts w:cs="Times New Roman"/>
          <w:szCs w:val="24"/>
        </w:rPr>
        <w:t xml:space="preserve"> HEIs within the membership of Joint Money Laundering Intelligence Task Force</w:t>
      </w:r>
      <w:r w:rsidR="006153A1" w:rsidRPr="006153A1">
        <w:rPr>
          <w:rFonts w:cs="Times New Roman"/>
          <w:szCs w:val="24"/>
        </w:rPr>
        <w:t>, and a</w:t>
      </w:r>
      <w:r w:rsidR="006153A1" w:rsidRPr="003B4BDB">
        <w:rPr>
          <w:rFonts w:cs="Times New Roman"/>
          <w:szCs w:val="24"/>
        </w:rPr>
        <w:t>llow HEIs to participate in the exchange of information via information gateways created by the Criminal Finances Act 2017. This would allow HEIs to benefit from information exchange with public and private sector organisations, increasing awareness of current threats and enabling HEIs to collaborate in investigations.</w:t>
      </w:r>
      <w:r w:rsidR="003977FA">
        <w:rPr>
          <w:rFonts w:cs="Times New Roman"/>
          <w:szCs w:val="24"/>
        </w:rPr>
        <w:t xml:space="preserve"> </w:t>
      </w:r>
    </w:p>
    <w:p w14:paraId="4F05C7D9" w14:textId="433B4E17" w:rsidR="006153A1" w:rsidRDefault="006153A1" w:rsidP="00FF382A">
      <w:pPr>
        <w:spacing w:before="240" w:after="0" w:line="480" w:lineRule="auto"/>
        <w:rPr>
          <w:rFonts w:cs="Times New Roman"/>
          <w:szCs w:val="24"/>
        </w:rPr>
      </w:pPr>
      <w:r w:rsidRPr="00C53226">
        <w:rPr>
          <w:rFonts w:cs="Times New Roman"/>
          <w:szCs w:val="24"/>
        </w:rPr>
        <w:lastRenderedPageBreak/>
        <w:t>Irrespective of legislative reform, HEIs should introduce AML/CTF measures in order to protect the institutions, its employees, and students. In particular, AML/CTF and counter fraud training should be provided to appropriate staff across the HEI sector, including training on the proactive submission of SARs.</w:t>
      </w:r>
      <w:r w:rsidRPr="00133C7E">
        <w:rPr>
          <w:rFonts w:cs="Times New Roman"/>
          <w:szCs w:val="24"/>
        </w:rPr>
        <w:t xml:space="preserve"> These recommendations would be achieved following the inclusion of HEIs within the Regulations. However, this is included as a separate recommendation</w:t>
      </w:r>
      <w:r w:rsidR="00586CAA">
        <w:rPr>
          <w:rFonts w:cs="Times New Roman"/>
          <w:szCs w:val="24"/>
        </w:rPr>
        <w:t>,</w:t>
      </w:r>
      <w:r w:rsidRPr="00133C7E">
        <w:rPr>
          <w:rFonts w:cs="Times New Roman"/>
          <w:szCs w:val="24"/>
        </w:rPr>
        <w:t xml:space="preserve"> as</w:t>
      </w:r>
      <w:r>
        <w:rPr>
          <w:rFonts w:cs="Times New Roman"/>
          <w:szCs w:val="24"/>
        </w:rPr>
        <w:t xml:space="preserve"> </w:t>
      </w:r>
      <w:r w:rsidRPr="00133C7E">
        <w:rPr>
          <w:rFonts w:cs="Times New Roman"/>
          <w:szCs w:val="24"/>
        </w:rPr>
        <w:t>it is important for HEIs to train their staff and to establish mechanisms for reporting SARs to avoid committing primary money laundering and terrorism financing offences</w:t>
      </w:r>
      <w:r w:rsidR="001A0C7B">
        <w:rPr>
          <w:rFonts w:cs="Times New Roman"/>
          <w:szCs w:val="24"/>
        </w:rPr>
        <w:t xml:space="preserve">. </w:t>
      </w:r>
    </w:p>
    <w:p w14:paraId="6D384D79" w14:textId="255F770B" w:rsidR="00B401C9" w:rsidRPr="006137FF" w:rsidRDefault="00B401C9" w:rsidP="00377664">
      <w:pPr>
        <w:pStyle w:val="Heading3"/>
      </w:pPr>
      <w:r w:rsidRPr="00377664">
        <w:t xml:space="preserve">Acceptance of </w:t>
      </w:r>
      <w:r w:rsidR="003405C2" w:rsidRPr="00377664">
        <w:t>t</w:t>
      </w:r>
      <w:r w:rsidRPr="00377664">
        <w:t>hird-</w:t>
      </w:r>
      <w:r w:rsidR="003405C2" w:rsidRPr="00377664">
        <w:t>p</w:t>
      </w:r>
      <w:r w:rsidRPr="00377664">
        <w:t xml:space="preserve">arty </w:t>
      </w:r>
      <w:r w:rsidR="003405C2" w:rsidRPr="00377664">
        <w:t>p</w:t>
      </w:r>
      <w:r w:rsidRPr="00377664">
        <w:t>ayments</w:t>
      </w:r>
    </w:p>
    <w:p w14:paraId="557C73AE" w14:textId="6749CD98" w:rsidR="00B401C9" w:rsidRPr="006159D2" w:rsidRDefault="00FB2D7C" w:rsidP="00673D5B">
      <w:pPr>
        <w:spacing w:before="240" w:line="480" w:lineRule="auto"/>
        <w:rPr>
          <w:rFonts w:cs="Times New Roman"/>
          <w:szCs w:val="24"/>
        </w:rPr>
      </w:pPr>
      <w:r w:rsidRPr="00FB2D7C">
        <w:rPr>
          <w:rFonts w:cs="Times New Roman"/>
          <w:szCs w:val="24"/>
        </w:rPr>
        <w:t xml:space="preserve">The penultimate section of the paper provides an insight into the levels of acceptance of third-party payments by HEIs. Third-party payments pose a money laundering risk in the education sector, particularly payments from legal entities, owing to the propensity of money launderers and tax evaders to spend their proceeds of crime on tuition fees. </w:t>
      </w:r>
      <w:r w:rsidR="00B401C9" w:rsidRPr="006159D2">
        <w:rPr>
          <w:rFonts w:cs="Times New Roman"/>
          <w:szCs w:val="24"/>
        </w:rPr>
        <w:t xml:space="preserve">While third-party payments are not specifically legislated for under </w:t>
      </w:r>
      <w:r w:rsidR="00FB437B">
        <w:rPr>
          <w:rFonts w:cs="Times New Roman"/>
          <w:szCs w:val="24"/>
        </w:rPr>
        <w:t>the Regulations</w:t>
      </w:r>
      <w:r w:rsidR="00B401C9" w:rsidRPr="006159D2">
        <w:rPr>
          <w:rFonts w:cs="Times New Roman"/>
          <w:szCs w:val="24"/>
        </w:rPr>
        <w:t xml:space="preserve">, there are </w:t>
      </w:r>
      <w:r w:rsidR="00FB437B">
        <w:rPr>
          <w:rFonts w:cs="Times New Roman"/>
          <w:szCs w:val="24"/>
        </w:rPr>
        <w:t>CDD</w:t>
      </w:r>
      <w:r w:rsidR="00B401C9" w:rsidRPr="006159D2">
        <w:rPr>
          <w:rFonts w:cs="Times New Roman"/>
          <w:szCs w:val="24"/>
        </w:rPr>
        <w:t xml:space="preserve"> requirements for ascertaining the identi</w:t>
      </w:r>
      <w:r w:rsidR="00A61105">
        <w:rPr>
          <w:rFonts w:cs="Times New Roman"/>
          <w:szCs w:val="24"/>
        </w:rPr>
        <w:t>t</w:t>
      </w:r>
      <w:r w:rsidR="00B401C9" w:rsidRPr="006159D2">
        <w:rPr>
          <w:rFonts w:cs="Times New Roman"/>
          <w:szCs w:val="24"/>
        </w:rPr>
        <w:t>y of those acting on behalf of others. Regulation 28</w:t>
      </w:r>
      <w:r w:rsidR="002554B4">
        <w:rPr>
          <w:rFonts w:cs="Times New Roman"/>
          <w:szCs w:val="24"/>
        </w:rPr>
        <w:t xml:space="preserve"> </w:t>
      </w:r>
      <w:r w:rsidR="00B401C9" w:rsidRPr="006159D2">
        <w:rPr>
          <w:rFonts w:cs="Times New Roman"/>
          <w:szCs w:val="24"/>
        </w:rPr>
        <w:t xml:space="preserve">stipulates that where a person </w:t>
      </w:r>
      <w:r w:rsidR="00E361C7">
        <w:rPr>
          <w:rFonts w:cs="Times New Roman"/>
          <w:szCs w:val="24"/>
        </w:rPr>
        <w:t>“</w:t>
      </w:r>
      <w:r w:rsidR="00B401C9" w:rsidRPr="006159D2">
        <w:rPr>
          <w:rFonts w:cs="Times New Roman"/>
          <w:szCs w:val="24"/>
        </w:rPr>
        <w:t>purports to act on behalf of the customer,</w:t>
      </w:r>
      <w:r w:rsidR="00E361C7">
        <w:rPr>
          <w:rFonts w:cs="Times New Roman"/>
          <w:szCs w:val="24"/>
        </w:rPr>
        <w:t>”</w:t>
      </w:r>
      <w:r w:rsidR="00B401C9" w:rsidRPr="006159D2">
        <w:rPr>
          <w:rStyle w:val="FootnoteReference"/>
          <w:rFonts w:cs="Times New Roman"/>
          <w:szCs w:val="24"/>
        </w:rPr>
        <w:footnoteReference w:id="166"/>
      </w:r>
      <w:r w:rsidR="00B401C9" w:rsidRPr="006159D2">
        <w:rPr>
          <w:rFonts w:cs="Times New Roman"/>
          <w:szCs w:val="24"/>
        </w:rPr>
        <w:t xml:space="preserve"> the regulated entity must verify that said person is indeed authorised to act for the customer, identify the person, and verify that person’s identity</w:t>
      </w:r>
      <w:r>
        <w:rPr>
          <w:rFonts w:cs="Times New Roman"/>
          <w:szCs w:val="24"/>
        </w:rPr>
        <w:t>.</w:t>
      </w:r>
      <w:r w:rsidR="00B401C9" w:rsidRPr="006159D2">
        <w:rPr>
          <w:rStyle w:val="FootnoteReference"/>
          <w:rFonts w:cs="Times New Roman"/>
          <w:szCs w:val="24"/>
        </w:rPr>
        <w:footnoteReference w:id="167"/>
      </w:r>
    </w:p>
    <w:p w14:paraId="72BFDE77" w14:textId="1217501F" w:rsidR="000D1A35" w:rsidRDefault="00B401C9" w:rsidP="00673D5B">
      <w:pPr>
        <w:spacing w:before="240" w:line="480" w:lineRule="auto"/>
        <w:rPr>
          <w:rFonts w:cs="Times New Roman"/>
          <w:szCs w:val="24"/>
        </w:rPr>
      </w:pPr>
      <w:r w:rsidRPr="006159D2">
        <w:rPr>
          <w:rFonts w:cs="Times New Roman"/>
          <w:szCs w:val="24"/>
        </w:rPr>
        <w:t>The responses to the FOI request revealed 82 HEIs, or 82</w:t>
      </w:r>
      <w:r w:rsidR="00EA5EEB">
        <w:rPr>
          <w:rFonts w:cs="Times New Roman"/>
          <w:szCs w:val="24"/>
        </w:rPr>
        <w:t xml:space="preserve">% </w:t>
      </w:r>
      <w:r w:rsidRPr="006159D2">
        <w:rPr>
          <w:rFonts w:cs="Times New Roman"/>
          <w:szCs w:val="24"/>
        </w:rPr>
        <w:t>of respondents, accept third-party payments on behalf of international students, while 17 HEIs, or 17</w:t>
      </w:r>
      <w:r w:rsidR="00EA5EEB">
        <w:rPr>
          <w:rFonts w:cs="Times New Roman"/>
          <w:szCs w:val="24"/>
        </w:rPr>
        <w:t xml:space="preserve">% </w:t>
      </w:r>
      <w:r w:rsidRPr="006159D2">
        <w:rPr>
          <w:rFonts w:cs="Times New Roman"/>
          <w:szCs w:val="24"/>
        </w:rPr>
        <w:t>of respondents, do not.</w:t>
      </w:r>
      <w:r w:rsidRPr="006159D2">
        <w:rPr>
          <w:rStyle w:val="FootnoteReference"/>
          <w:rFonts w:cs="Times New Roman"/>
          <w:szCs w:val="24"/>
        </w:rPr>
        <w:footnoteReference w:id="168"/>
      </w:r>
      <w:r w:rsidRPr="006159D2">
        <w:rPr>
          <w:rFonts w:cs="Times New Roman"/>
          <w:szCs w:val="24"/>
        </w:rPr>
        <w:t xml:space="preserve"> </w:t>
      </w:r>
      <w:bookmarkStart w:id="26" w:name="_Hlk124437239"/>
      <w:r w:rsidRPr="006159D2">
        <w:rPr>
          <w:rFonts w:cs="Times New Roman"/>
          <w:szCs w:val="24"/>
        </w:rPr>
        <w:lastRenderedPageBreak/>
        <w:t>T</w:t>
      </w:r>
      <w:r w:rsidRPr="006159D2">
        <w:rPr>
          <w:rFonts w:cs="Times New Roman"/>
          <w:bCs/>
          <w:szCs w:val="24"/>
        </w:rPr>
        <w:t>hird-party payments include any persons other than the student</w:t>
      </w:r>
      <w:r w:rsidR="00A61105">
        <w:rPr>
          <w:rFonts w:cs="Times New Roman"/>
          <w:bCs/>
          <w:szCs w:val="24"/>
        </w:rPr>
        <w:t>,</w:t>
      </w:r>
      <w:r w:rsidRPr="006159D2">
        <w:rPr>
          <w:rFonts w:cs="Times New Roman"/>
          <w:bCs/>
          <w:szCs w:val="24"/>
        </w:rPr>
        <w:t xml:space="preserve"> or the student’s parent</w:t>
      </w:r>
      <w:r w:rsidR="00A61105">
        <w:rPr>
          <w:rFonts w:cs="Times New Roman"/>
          <w:bCs/>
          <w:szCs w:val="24"/>
        </w:rPr>
        <w:t xml:space="preserve"> or </w:t>
      </w:r>
      <w:r w:rsidRPr="006159D2">
        <w:rPr>
          <w:rFonts w:cs="Times New Roman"/>
          <w:bCs/>
          <w:szCs w:val="24"/>
        </w:rPr>
        <w:t>legal guardian</w:t>
      </w:r>
      <w:r w:rsidR="00A61105">
        <w:rPr>
          <w:rFonts w:cs="Times New Roman"/>
          <w:bCs/>
          <w:szCs w:val="24"/>
        </w:rPr>
        <w:t>,</w:t>
      </w:r>
      <w:r w:rsidRPr="006159D2">
        <w:rPr>
          <w:rFonts w:cs="Times New Roman"/>
          <w:bCs/>
          <w:szCs w:val="24"/>
        </w:rPr>
        <w:t xml:space="preserve"> and companies that are not registered sponsors</w:t>
      </w:r>
      <w:bookmarkEnd w:id="26"/>
      <w:r w:rsidRPr="006159D2">
        <w:rPr>
          <w:rFonts w:cs="Times New Roman"/>
          <w:bCs/>
          <w:szCs w:val="24"/>
        </w:rPr>
        <w:t xml:space="preserve">. Of those accepting third-party payments, 29 HEIs confirmed that third-party payments were subject to further or different checks. Some HEIs noted that they required the provision of a sponsorship letter, or confirmation of the relationship with the student, while others mentioned checking the student and payee’s details against sanctions lists. The HEIs that do require checks could be compliant, or partially compliant with Regulation </w:t>
      </w:r>
      <w:r w:rsidR="00023109">
        <w:rPr>
          <w:rFonts w:cs="Times New Roman"/>
          <w:bCs/>
          <w:szCs w:val="24"/>
        </w:rPr>
        <w:t>28</w:t>
      </w:r>
      <w:r w:rsidRPr="006159D2">
        <w:rPr>
          <w:rFonts w:cs="Times New Roman"/>
          <w:bCs/>
          <w:szCs w:val="24"/>
        </w:rPr>
        <w:t>, but this would depend upon the type of documentation request</w:t>
      </w:r>
      <w:r w:rsidR="007B44DC">
        <w:rPr>
          <w:rFonts w:cs="Times New Roman"/>
          <w:bCs/>
          <w:szCs w:val="24"/>
        </w:rPr>
        <w:t>ed</w:t>
      </w:r>
      <w:r w:rsidRPr="006159D2">
        <w:rPr>
          <w:rFonts w:cs="Times New Roman"/>
          <w:bCs/>
          <w:szCs w:val="24"/>
        </w:rPr>
        <w:t>, and</w:t>
      </w:r>
      <w:r w:rsidR="00025081">
        <w:rPr>
          <w:rFonts w:cs="Times New Roman"/>
          <w:bCs/>
          <w:szCs w:val="24"/>
        </w:rPr>
        <w:t>,</w:t>
      </w:r>
      <w:r w:rsidRPr="006159D2">
        <w:rPr>
          <w:rFonts w:cs="Times New Roman"/>
          <w:bCs/>
          <w:szCs w:val="24"/>
        </w:rPr>
        <w:t xml:space="preserve"> more importantly, the independence of this process. </w:t>
      </w:r>
      <w:r w:rsidRPr="006159D2">
        <w:rPr>
          <w:rFonts w:cs="Times New Roman"/>
          <w:szCs w:val="24"/>
        </w:rPr>
        <w:t>43 HEIs noted that they do not carry out additional checks on third-party payments. 12 of these respondents noted that they relied on a bank</w:t>
      </w:r>
      <w:r w:rsidR="00A61105">
        <w:rPr>
          <w:rFonts w:cs="Times New Roman"/>
          <w:szCs w:val="24"/>
        </w:rPr>
        <w:t xml:space="preserve"> or </w:t>
      </w:r>
      <w:r w:rsidRPr="006159D2">
        <w:rPr>
          <w:rFonts w:cs="Times New Roman"/>
          <w:szCs w:val="24"/>
        </w:rPr>
        <w:t xml:space="preserve">payment provider to carry out checks. The reasons why institutions did not carry out additional checks on third-party payments varied significantly; some noted that they applied a risk-based approach to all payments received, whereas others noted that it was </w:t>
      </w:r>
      <w:r w:rsidR="00E361C7">
        <w:rPr>
          <w:rFonts w:cs="Times New Roman"/>
          <w:szCs w:val="24"/>
        </w:rPr>
        <w:t>“</w:t>
      </w:r>
      <w:r w:rsidRPr="006159D2">
        <w:rPr>
          <w:rFonts w:cs="Times New Roman"/>
          <w:szCs w:val="24"/>
        </w:rPr>
        <w:t>considered impractical due to the difficulties of identifying these types of payments and the potential volumes involved</w:t>
      </w:r>
      <w:r w:rsidR="00E361C7">
        <w:rPr>
          <w:rFonts w:cs="Times New Roman"/>
          <w:szCs w:val="24"/>
        </w:rPr>
        <w:t>”</w:t>
      </w:r>
      <w:r w:rsidRPr="006159D2">
        <w:rPr>
          <w:rFonts w:cs="Times New Roman"/>
          <w:szCs w:val="24"/>
        </w:rPr>
        <w:t xml:space="preserve">. While applying a risk-based approach is advocated by the </w:t>
      </w:r>
      <w:r w:rsidR="00FB437B">
        <w:rPr>
          <w:rFonts w:cs="Times New Roman"/>
          <w:szCs w:val="24"/>
        </w:rPr>
        <w:t>Regulations</w:t>
      </w:r>
      <w:r w:rsidRPr="006159D2">
        <w:rPr>
          <w:rFonts w:cs="Times New Roman"/>
          <w:szCs w:val="24"/>
        </w:rPr>
        <w:t xml:space="preserve">, the money laundering risks posed by third-party payments should not be ignored </w:t>
      </w:r>
      <w:r w:rsidR="00B52829">
        <w:rPr>
          <w:rFonts w:cs="Times New Roman"/>
          <w:szCs w:val="24"/>
        </w:rPr>
        <w:t>due to</w:t>
      </w:r>
      <w:r w:rsidRPr="006159D2">
        <w:rPr>
          <w:rFonts w:cs="Times New Roman"/>
          <w:szCs w:val="24"/>
        </w:rPr>
        <w:t xml:space="preserve"> impracticalities. Based on the responses, the majority of HEIs that do accept third-party payments would be in breach of the </w:t>
      </w:r>
      <w:r w:rsidR="00FB437B">
        <w:rPr>
          <w:rFonts w:cs="Times New Roman"/>
          <w:szCs w:val="24"/>
        </w:rPr>
        <w:t>Regulations if applied to the sector, further demonstrating</w:t>
      </w:r>
      <w:r w:rsidRPr="006159D2">
        <w:rPr>
          <w:rFonts w:cs="Times New Roman"/>
          <w:szCs w:val="24"/>
        </w:rPr>
        <w:t xml:space="preserve"> a clear gap in the AML framework.</w:t>
      </w:r>
    </w:p>
    <w:p w14:paraId="2D633910" w14:textId="3F4F0EBC" w:rsidR="000D1A35" w:rsidRDefault="00C8117A" w:rsidP="00377664">
      <w:pPr>
        <w:spacing w:before="240" w:after="0" w:line="480" w:lineRule="auto"/>
        <w:rPr>
          <w:lang w:eastAsia="en-GB"/>
        </w:rPr>
      </w:pPr>
      <w:r>
        <w:rPr>
          <w:rFonts w:eastAsia="Times New Roman" w:cs="Times New Roman"/>
          <w:szCs w:val="24"/>
          <w:lang w:eastAsia="en-GB"/>
        </w:rPr>
        <w:t>T</w:t>
      </w:r>
      <w:r w:rsidR="000D1A35">
        <w:rPr>
          <w:rFonts w:eastAsia="Times New Roman" w:cs="Times New Roman"/>
          <w:szCs w:val="24"/>
          <w:lang w:eastAsia="en-GB"/>
        </w:rPr>
        <w:t>his investigation has revealed that the majority of HEIs accept third-party payments and</w:t>
      </w:r>
      <w:r w:rsidR="00025081">
        <w:rPr>
          <w:rFonts w:eastAsia="Times New Roman" w:cs="Times New Roman"/>
          <w:szCs w:val="24"/>
          <w:lang w:eastAsia="en-GB"/>
        </w:rPr>
        <w:t xml:space="preserve"> </w:t>
      </w:r>
      <w:r w:rsidR="000D1A35">
        <w:rPr>
          <w:rFonts w:eastAsia="Times New Roman" w:cs="Times New Roman"/>
          <w:szCs w:val="24"/>
          <w:lang w:eastAsia="en-GB"/>
        </w:rPr>
        <w:t>most do not carry out additional checks</w:t>
      </w:r>
      <w:r w:rsidR="005D15DD">
        <w:rPr>
          <w:rFonts w:eastAsia="Times New Roman" w:cs="Times New Roman"/>
          <w:szCs w:val="24"/>
          <w:lang w:eastAsia="en-GB"/>
        </w:rPr>
        <w:t xml:space="preserve"> on these types of payment</w:t>
      </w:r>
      <w:r w:rsidR="000D1A35">
        <w:rPr>
          <w:rFonts w:eastAsia="Times New Roman" w:cs="Times New Roman"/>
          <w:szCs w:val="24"/>
          <w:lang w:eastAsia="en-GB"/>
        </w:rPr>
        <w:t>. HEIs should be incorporated into the Regulations in order to standardise the application of CDD requirements across the sector, particular</w:t>
      </w:r>
      <w:r w:rsidR="005D15DD">
        <w:rPr>
          <w:rFonts w:eastAsia="Times New Roman" w:cs="Times New Roman"/>
          <w:szCs w:val="24"/>
          <w:lang w:eastAsia="en-GB"/>
        </w:rPr>
        <w:t>ly</w:t>
      </w:r>
      <w:r w:rsidR="000D1A35">
        <w:rPr>
          <w:rFonts w:eastAsia="Times New Roman" w:cs="Times New Roman"/>
          <w:szCs w:val="24"/>
          <w:lang w:eastAsia="en-GB"/>
        </w:rPr>
        <w:t xml:space="preserve"> to </w:t>
      </w:r>
      <w:r w:rsidR="005D15DD">
        <w:rPr>
          <w:rFonts w:eastAsia="Times New Roman" w:cs="Times New Roman"/>
          <w:szCs w:val="24"/>
          <w:lang w:eastAsia="en-GB"/>
        </w:rPr>
        <w:t xml:space="preserve">payments made by </w:t>
      </w:r>
      <w:r w:rsidR="000D1A35">
        <w:rPr>
          <w:rFonts w:eastAsia="Times New Roman" w:cs="Times New Roman"/>
          <w:szCs w:val="24"/>
          <w:lang w:eastAsia="en-GB"/>
        </w:rPr>
        <w:t>third</w:t>
      </w:r>
      <w:r w:rsidR="005D15DD">
        <w:rPr>
          <w:rFonts w:eastAsia="Times New Roman" w:cs="Times New Roman"/>
          <w:szCs w:val="24"/>
          <w:lang w:eastAsia="en-GB"/>
        </w:rPr>
        <w:t xml:space="preserve"> </w:t>
      </w:r>
      <w:r w:rsidR="000D1A35">
        <w:rPr>
          <w:rFonts w:eastAsia="Times New Roman" w:cs="Times New Roman"/>
          <w:szCs w:val="24"/>
          <w:lang w:eastAsia="en-GB"/>
        </w:rPr>
        <w:t>part</w:t>
      </w:r>
      <w:r w:rsidR="005D15DD">
        <w:rPr>
          <w:rFonts w:eastAsia="Times New Roman" w:cs="Times New Roman"/>
          <w:szCs w:val="24"/>
          <w:lang w:eastAsia="en-GB"/>
        </w:rPr>
        <w:t>ies</w:t>
      </w:r>
      <w:r w:rsidR="000D1A35">
        <w:rPr>
          <w:rFonts w:eastAsia="Times New Roman" w:cs="Times New Roman"/>
          <w:szCs w:val="24"/>
          <w:lang w:eastAsia="en-GB"/>
        </w:rPr>
        <w:t xml:space="preserve">. </w:t>
      </w:r>
      <w:r w:rsidR="00593164">
        <w:rPr>
          <w:rFonts w:eastAsia="Times New Roman" w:cs="Times New Roman"/>
          <w:szCs w:val="24"/>
          <w:lang w:eastAsia="en-GB"/>
        </w:rPr>
        <w:t>I</w:t>
      </w:r>
      <w:r w:rsidR="006137FF">
        <w:rPr>
          <w:rFonts w:eastAsia="Times New Roman" w:cs="Times New Roman"/>
          <w:szCs w:val="24"/>
          <w:lang w:eastAsia="en-GB"/>
        </w:rPr>
        <w:t xml:space="preserve">rrespective of legislative reform, </w:t>
      </w:r>
      <w:r w:rsidR="006137FF" w:rsidRPr="00133C7E">
        <w:rPr>
          <w:rFonts w:cs="Times New Roman"/>
          <w:szCs w:val="24"/>
        </w:rPr>
        <w:t>third-party payments</w:t>
      </w:r>
      <w:r w:rsidR="006137FF">
        <w:rPr>
          <w:rFonts w:cs="Times New Roman"/>
          <w:szCs w:val="24"/>
        </w:rPr>
        <w:t>, excluding those made by a student’s parent/guardian or a registered sponsor,</w:t>
      </w:r>
      <w:r w:rsidR="006137FF" w:rsidRPr="00133C7E">
        <w:rPr>
          <w:rFonts w:cs="Times New Roman"/>
          <w:szCs w:val="24"/>
        </w:rPr>
        <w:t xml:space="preserve"> should be prohibited or subject to enhanced due diligence</w:t>
      </w:r>
      <w:r w:rsidR="005D15DD">
        <w:rPr>
          <w:rFonts w:cs="Times New Roman"/>
          <w:szCs w:val="24"/>
        </w:rPr>
        <w:t xml:space="preserve"> to minimise money laundering and terrorism financing risks</w:t>
      </w:r>
      <w:r w:rsidR="006137FF">
        <w:rPr>
          <w:rFonts w:cs="Times New Roman"/>
          <w:szCs w:val="24"/>
        </w:rPr>
        <w:t xml:space="preserve">. The implementation of </w:t>
      </w:r>
      <w:r w:rsidR="00593164">
        <w:rPr>
          <w:rFonts w:cs="Times New Roman"/>
          <w:szCs w:val="24"/>
        </w:rPr>
        <w:t xml:space="preserve">these </w:t>
      </w:r>
      <w:r w:rsidR="006137FF">
        <w:rPr>
          <w:rFonts w:cs="Times New Roman"/>
          <w:szCs w:val="24"/>
        </w:rPr>
        <w:t xml:space="preserve">measures by the higher education sector should </w:t>
      </w:r>
      <w:r w:rsidR="006137FF">
        <w:rPr>
          <w:rFonts w:cs="Times New Roman"/>
          <w:szCs w:val="24"/>
        </w:rPr>
        <w:lastRenderedPageBreak/>
        <w:t>be supported by guidance, which could be</w:t>
      </w:r>
      <w:r w:rsidR="006137FF" w:rsidRPr="00A7092C">
        <w:rPr>
          <w:rFonts w:cs="Times New Roman"/>
          <w:szCs w:val="24"/>
        </w:rPr>
        <w:t xml:space="preserve"> issued</w:t>
      </w:r>
      <w:r w:rsidR="00773CBD">
        <w:rPr>
          <w:rFonts w:cs="Times New Roman"/>
          <w:szCs w:val="24"/>
        </w:rPr>
        <w:t xml:space="preserve"> </w:t>
      </w:r>
      <w:r w:rsidR="006137FF" w:rsidRPr="00A7092C">
        <w:rPr>
          <w:rFonts w:cs="Times New Roman"/>
          <w:szCs w:val="24"/>
        </w:rPr>
        <w:t>by the Department for Education</w:t>
      </w:r>
      <w:r w:rsidR="00025081">
        <w:rPr>
          <w:rFonts w:cs="Times New Roman"/>
          <w:szCs w:val="24"/>
        </w:rPr>
        <w:t xml:space="preserve"> or</w:t>
      </w:r>
      <w:r w:rsidR="005D15DD">
        <w:rPr>
          <w:rFonts w:cs="Times New Roman"/>
          <w:szCs w:val="24"/>
        </w:rPr>
        <w:t xml:space="preserve"> the</w:t>
      </w:r>
      <w:r w:rsidR="006137FF" w:rsidRPr="00A7092C">
        <w:rPr>
          <w:rFonts w:cs="Times New Roman"/>
          <w:szCs w:val="24"/>
        </w:rPr>
        <w:t xml:space="preserve"> Office for Students</w:t>
      </w:r>
      <w:r w:rsidR="00025081">
        <w:rPr>
          <w:rFonts w:cs="Times New Roman"/>
          <w:szCs w:val="24"/>
        </w:rPr>
        <w:t>.</w:t>
      </w:r>
      <w:r w:rsidR="003977FA">
        <w:rPr>
          <w:rFonts w:cs="Times New Roman"/>
          <w:szCs w:val="24"/>
        </w:rPr>
        <w:t xml:space="preserve"> </w:t>
      </w:r>
    </w:p>
    <w:p w14:paraId="53C88E2E" w14:textId="47084A4F" w:rsidR="00B401C9" w:rsidRDefault="00A054CF" w:rsidP="00673D5B">
      <w:pPr>
        <w:pStyle w:val="Heading1"/>
        <w:spacing w:line="480" w:lineRule="auto"/>
        <w:rPr>
          <w:rFonts w:cs="Times New Roman"/>
          <w:b w:val="0"/>
          <w:szCs w:val="24"/>
        </w:rPr>
      </w:pPr>
      <w:r>
        <w:rPr>
          <w:rFonts w:cs="Times New Roman"/>
          <w:szCs w:val="24"/>
        </w:rPr>
        <w:t>Conclusion</w:t>
      </w:r>
    </w:p>
    <w:p w14:paraId="11CFCB5A" w14:textId="40494998" w:rsidR="005D15DD" w:rsidRPr="0051103D" w:rsidRDefault="000D1A35" w:rsidP="00673D5B">
      <w:pPr>
        <w:spacing w:before="240" w:after="0" w:line="480" w:lineRule="auto"/>
        <w:rPr>
          <w:rFonts w:cs="Times New Roman"/>
          <w:szCs w:val="24"/>
        </w:rPr>
      </w:pPr>
      <w:r>
        <w:rPr>
          <w:rFonts w:cs="Times New Roman"/>
          <w:szCs w:val="24"/>
        </w:rPr>
        <w:t xml:space="preserve">This paper provided a unique insight into the money laundering and terrorism financing risks to which </w:t>
      </w:r>
      <w:r w:rsidR="005F7C30">
        <w:rPr>
          <w:rFonts w:cs="Times New Roman"/>
          <w:szCs w:val="24"/>
        </w:rPr>
        <w:t xml:space="preserve">HEIs and their </w:t>
      </w:r>
      <w:r>
        <w:rPr>
          <w:rFonts w:cs="Times New Roman"/>
          <w:szCs w:val="24"/>
        </w:rPr>
        <w:t>students are exposed, as well as the potential consequences that flow from their involvement in criminal activities. Despite these vulnerabilities, the paper also revealed that HEIs are not explicitly incorporated within the scope of the Regulations, leaving a significant gap within the AML/CTF framework</w:t>
      </w:r>
      <w:r w:rsidR="005D15DD">
        <w:rPr>
          <w:rFonts w:cs="Times New Roman"/>
          <w:szCs w:val="24"/>
        </w:rPr>
        <w:t>. This paper</w:t>
      </w:r>
      <w:r w:rsidR="005D15DD" w:rsidRPr="005F7C30">
        <w:rPr>
          <w:rFonts w:cs="Times New Roman"/>
          <w:szCs w:val="24"/>
        </w:rPr>
        <w:t xml:space="preserve"> focused on</w:t>
      </w:r>
      <w:r w:rsidR="005D15DD">
        <w:rPr>
          <w:rFonts w:cs="Times New Roman"/>
          <w:szCs w:val="24"/>
        </w:rPr>
        <w:t xml:space="preserve"> the application and implementation of this legal framework to</w:t>
      </w:r>
      <w:r w:rsidR="005D15DD" w:rsidRPr="005F7C30">
        <w:rPr>
          <w:rFonts w:cs="Times New Roman"/>
          <w:szCs w:val="24"/>
        </w:rPr>
        <w:t xml:space="preserve"> HEIs</w:t>
      </w:r>
      <w:r w:rsidR="005D15DD">
        <w:rPr>
          <w:rFonts w:cs="Times New Roman"/>
          <w:szCs w:val="24"/>
        </w:rPr>
        <w:t>. However,</w:t>
      </w:r>
      <w:r w:rsidR="005D15DD" w:rsidRPr="005F7C30">
        <w:rPr>
          <w:rFonts w:cs="Times New Roman"/>
          <w:szCs w:val="24"/>
        </w:rPr>
        <w:t xml:space="preserve"> given</w:t>
      </w:r>
      <w:r w:rsidR="005D15DD">
        <w:rPr>
          <w:rFonts w:cs="Times New Roman"/>
          <w:szCs w:val="24"/>
        </w:rPr>
        <w:t xml:space="preserve"> the </w:t>
      </w:r>
      <w:r w:rsidR="005D15DD" w:rsidRPr="005F7C30">
        <w:rPr>
          <w:rFonts w:cs="Times New Roman"/>
          <w:szCs w:val="24"/>
        </w:rPr>
        <w:t xml:space="preserve">risks to </w:t>
      </w:r>
      <w:r w:rsidR="005D15DD">
        <w:rPr>
          <w:rFonts w:cs="Times New Roman"/>
          <w:szCs w:val="24"/>
        </w:rPr>
        <w:t xml:space="preserve">the </w:t>
      </w:r>
      <w:r w:rsidR="005D15DD" w:rsidRPr="005F7C30">
        <w:rPr>
          <w:rFonts w:cs="Times New Roman"/>
          <w:szCs w:val="24"/>
        </w:rPr>
        <w:t xml:space="preserve">entire education sector, </w:t>
      </w:r>
      <w:r w:rsidR="005D15DD">
        <w:rPr>
          <w:rFonts w:cs="Times New Roman"/>
          <w:szCs w:val="24"/>
        </w:rPr>
        <w:t>it is important to note that the</w:t>
      </w:r>
      <w:r w:rsidR="005D15DD" w:rsidRPr="005F7C30">
        <w:rPr>
          <w:rFonts w:cs="Times New Roman"/>
          <w:szCs w:val="24"/>
        </w:rPr>
        <w:t xml:space="preserve"> </w:t>
      </w:r>
      <w:r w:rsidR="005D15DD">
        <w:rPr>
          <w:rFonts w:cs="Times New Roman"/>
          <w:szCs w:val="24"/>
        </w:rPr>
        <w:t>application and implementation of the legal framework to private schools and colleges would also benefit from further research.</w:t>
      </w:r>
    </w:p>
    <w:p w14:paraId="67D57438" w14:textId="7BCD1D07" w:rsidR="00D263CA" w:rsidRPr="0051103D" w:rsidRDefault="000D1A35" w:rsidP="00673D5B">
      <w:pPr>
        <w:spacing w:before="240" w:after="0" w:line="480" w:lineRule="auto"/>
        <w:rPr>
          <w:rFonts w:cs="Times New Roman"/>
          <w:szCs w:val="24"/>
        </w:rPr>
      </w:pPr>
      <w:r>
        <w:rPr>
          <w:rFonts w:cs="Times New Roman"/>
          <w:szCs w:val="24"/>
        </w:rPr>
        <w:t>Regardless of express inclusion</w:t>
      </w:r>
      <w:r w:rsidR="005D15DD">
        <w:rPr>
          <w:rFonts w:cs="Times New Roman"/>
          <w:szCs w:val="24"/>
        </w:rPr>
        <w:t xml:space="preserve"> in the Regulations</w:t>
      </w:r>
      <w:r>
        <w:rPr>
          <w:rFonts w:cs="Times New Roman"/>
          <w:szCs w:val="24"/>
        </w:rPr>
        <w:t xml:space="preserve">, the paper demonstrated that HEIs and their employees are at risk of criminal and civil liability for committing money laundering and terrorism financing offences, </w:t>
      </w:r>
      <w:r w:rsidR="005F7C30">
        <w:rPr>
          <w:rFonts w:cs="Times New Roman"/>
          <w:szCs w:val="24"/>
        </w:rPr>
        <w:t>or for</w:t>
      </w:r>
      <w:r>
        <w:rPr>
          <w:rFonts w:cs="Times New Roman"/>
          <w:szCs w:val="24"/>
        </w:rPr>
        <w:t xml:space="preserve"> fail</w:t>
      </w:r>
      <w:r w:rsidR="005F7C30">
        <w:rPr>
          <w:rFonts w:cs="Times New Roman"/>
          <w:szCs w:val="24"/>
        </w:rPr>
        <w:t>ing</w:t>
      </w:r>
      <w:r>
        <w:rPr>
          <w:rFonts w:cs="Times New Roman"/>
          <w:szCs w:val="24"/>
        </w:rPr>
        <w:t xml:space="preserve"> to establish preventative measures. </w:t>
      </w:r>
      <w:r w:rsidR="00825A95">
        <w:rPr>
          <w:rFonts w:cs="Times New Roman"/>
          <w:szCs w:val="24"/>
        </w:rPr>
        <w:t>T</w:t>
      </w:r>
      <w:r w:rsidR="002A1090">
        <w:rPr>
          <w:rFonts w:cs="Times New Roman"/>
          <w:szCs w:val="24"/>
        </w:rPr>
        <w:t xml:space="preserve">he research </w:t>
      </w:r>
      <w:r w:rsidR="00825A95">
        <w:rPr>
          <w:rFonts w:cs="Times New Roman"/>
          <w:szCs w:val="24"/>
        </w:rPr>
        <w:t xml:space="preserve">has </w:t>
      </w:r>
      <w:r w:rsidR="002A1090">
        <w:rPr>
          <w:rFonts w:cs="Times New Roman"/>
          <w:szCs w:val="24"/>
        </w:rPr>
        <w:t xml:space="preserve">demonstrated the importance of </w:t>
      </w:r>
      <w:r>
        <w:rPr>
          <w:rFonts w:cs="Times New Roman"/>
          <w:szCs w:val="24"/>
        </w:rPr>
        <w:t xml:space="preserve">HEIs </w:t>
      </w:r>
      <w:r w:rsidR="005F7C30">
        <w:rPr>
          <w:rFonts w:cs="Times New Roman"/>
          <w:szCs w:val="24"/>
        </w:rPr>
        <w:t>maintain</w:t>
      </w:r>
      <w:r w:rsidR="002A1090">
        <w:rPr>
          <w:rFonts w:cs="Times New Roman"/>
          <w:szCs w:val="24"/>
        </w:rPr>
        <w:t>ing</w:t>
      </w:r>
      <w:r>
        <w:rPr>
          <w:rFonts w:cs="Times New Roman"/>
          <w:szCs w:val="24"/>
        </w:rPr>
        <w:t xml:space="preserve"> a robust AML/CTF prevention system</w:t>
      </w:r>
      <w:r w:rsidR="002A1090">
        <w:rPr>
          <w:rFonts w:cs="Times New Roman"/>
          <w:szCs w:val="24"/>
        </w:rPr>
        <w:t xml:space="preserve">. However, through a novel empirical investigation, </w:t>
      </w:r>
      <w:r w:rsidR="000F531C" w:rsidRPr="007F0D05">
        <w:rPr>
          <w:rFonts w:cs="Times New Roman"/>
          <w:szCs w:val="24"/>
        </w:rPr>
        <w:t xml:space="preserve">the data analysed in </w:t>
      </w:r>
      <w:r w:rsidR="005F7C30">
        <w:rPr>
          <w:rFonts w:cs="Times New Roman"/>
          <w:szCs w:val="24"/>
        </w:rPr>
        <w:t>this</w:t>
      </w:r>
      <w:r w:rsidR="005F7C30" w:rsidRPr="007F0D05">
        <w:rPr>
          <w:rFonts w:cs="Times New Roman"/>
          <w:szCs w:val="24"/>
        </w:rPr>
        <w:t xml:space="preserve"> </w:t>
      </w:r>
      <w:r w:rsidR="000F531C" w:rsidRPr="007F0D05">
        <w:rPr>
          <w:rFonts w:cs="Times New Roman"/>
          <w:szCs w:val="24"/>
        </w:rPr>
        <w:t xml:space="preserve">study </w:t>
      </w:r>
      <w:r w:rsidR="005D15DD">
        <w:rPr>
          <w:rFonts w:cs="Times New Roman"/>
          <w:szCs w:val="24"/>
        </w:rPr>
        <w:t xml:space="preserve">also </w:t>
      </w:r>
      <w:r w:rsidR="000F531C" w:rsidRPr="007F0D05">
        <w:rPr>
          <w:rFonts w:cs="Times New Roman"/>
          <w:szCs w:val="24"/>
        </w:rPr>
        <w:t>revealed that</w:t>
      </w:r>
      <w:r w:rsidR="00025081">
        <w:rPr>
          <w:rFonts w:cs="Times New Roman"/>
          <w:szCs w:val="24"/>
        </w:rPr>
        <w:t xml:space="preserve"> </w:t>
      </w:r>
      <w:r w:rsidR="000F531C" w:rsidRPr="0051103D">
        <w:rPr>
          <w:rFonts w:cs="Times New Roman"/>
          <w:szCs w:val="24"/>
        </w:rPr>
        <w:t>there is a disparity among universities regarding how effectively it is implemented</w:t>
      </w:r>
      <w:r w:rsidR="00D263CA" w:rsidRPr="0051103D">
        <w:rPr>
          <w:rFonts w:cs="Times New Roman"/>
          <w:szCs w:val="24"/>
        </w:rPr>
        <w:t>, leaving HEIs and their students exposed</w:t>
      </w:r>
      <w:r w:rsidR="005D15DD">
        <w:rPr>
          <w:rFonts w:cs="Times New Roman"/>
          <w:szCs w:val="24"/>
        </w:rPr>
        <w:t>.</w:t>
      </w:r>
    </w:p>
    <w:p w14:paraId="21FB0F2F" w14:textId="650FD8FB" w:rsidR="00D263CA" w:rsidRDefault="00D263CA" w:rsidP="00673D5B">
      <w:pPr>
        <w:spacing w:before="240" w:after="0" w:line="480" w:lineRule="auto"/>
        <w:rPr>
          <w:rFonts w:cs="Times New Roman"/>
          <w:szCs w:val="24"/>
        </w:rPr>
      </w:pPr>
      <w:r>
        <w:rPr>
          <w:rFonts w:cs="Times New Roman"/>
          <w:szCs w:val="24"/>
        </w:rPr>
        <w:t>A</w:t>
      </w:r>
      <w:r w:rsidR="00A3751C">
        <w:rPr>
          <w:rFonts w:cs="Times New Roman"/>
          <w:szCs w:val="24"/>
        </w:rPr>
        <w:t xml:space="preserve"> key finding</w:t>
      </w:r>
      <w:r w:rsidR="00E040A7">
        <w:rPr>
          <w:rFonts w:cs="Times New Roman"/>
          <w:szCs w:val="24"/>
        </w:rPr>
        <w:t xml:space="preserve"> </w:t>
      </w:r>
      <w:r w:rsidR="00A3751C">
        <w:rPr>
          <w:rFonts w:cs="Times New Roman"/>
          <w:szCs w:val="24"/>
        </w:rPr>
        <w:t>was that</w:t>
      </w:r>
      <w:r>
        <w:rPr>
          <w:rFonts w:cs="Times New Roman"/>
          <w:szCs w:val="24"/>
        </w:rPr>
        <w:t xml:space="preserve"> a significant minority of HEIs are failing to provide staff and students with guidance on money laundering and terrorism financing risks. </w:t>
      </w:r>
      <w:r w:rsidR="00025081">
        <w:rPr>
          <w:rFonts w:cs="Times New Roman"/>
          <w:szCs w:val="24"/>
        </w:rPr>
        <w:t>I</w:t>
      </w:r>
      <w:r>
        <w:rPr>
          <w:rFonts w:cs="Times New Roman"/>
          <w:szCs w:val="24"/>
        </w:rPr>
        <w:t xml:space="preserve">t emerged that </w:t>
      </w:r>
      <w:r w:rsidR="000F531C">
        <w:rPr>
          <w:rFonts w:cs="Times New Roman"/>
          <w:szCs w:val="24"/>
        </w:rPr>
        <w:t>20</w:t>
      </w:r>
      <w:r w:rsidR="00EA5EEB">
        <w:rPr>
          <w:rFonts w:cs="Times New Roman"/>
          <w:szCs w:val="24"/>
        </w:rPr>
        <w:t xml:space="preserve">% </w:t>
      </w:r>
      <w:r w:rsidR="000F531C" w:rsidRPr="006159D2">
        <w:rPr>
          <w:rFonts w:cs="Times New Roman"/>
          <w:szCs w:val="24"/>
        </w:rPr>
        <w:t xml:space="preserve">of </w:t>
      </w:r>
      <w:r w:rsidR="000F531C">
        <w:rPr>
          <w:rFonts w:cs="Times New Roman"/>
          <w:szCs w:val="24"/>
        </w:rPr>
        <w:t>respondents</w:t>
      </w:r>
      <w:r w:rsidR="000F531C" w:rsidRPr="006159D2">
        <w:rPr>
          <w:rFonts w:cs="Times New Roman"/>
          <w:szCs w:val="24"/>
        </w:rPr>
        <w:t xml:space="preserve"> do not currently provide any internal AML trainin</w:t>
      </w:r>
      <w:r>
        <w:rPr>
          <w:rFonts w:cs="Times New Roman"/>
          <w:szCs w:val="24"/>
        </w:rPr>
        <w:t>g for staff</w:t>
      </w:r>
      <w:r w:rsidR="00B52829">
        <w:rPr>
          <w:rFonts w:cs="Times New Roman"/>
          <w:szCs w:val="24"/>
        </w:rPr>
        <w:t>,</w:t>
      </w:r>
      <w:r>
        <w:rPr>
          <w:rFonts w:cs="Times New Roman"/>
          <w:szCs w:val="24"/>
        </w:rPr>
        <w:t xml:space="preserve"> and </w:t>
      </w:r>
      <w:r w:rsidR="000F531C" w:rsidRPr="006159D2">
        <w:rPr>
          <w:rFonts w:cs="Times New Roman"/>
          <w:szCs w:val="24"/>
        </w:rPr>
        <w:t>2</w:t>
      </w:r>
      <w:r w:rsidR="000F531C">
        <w:rPr>
          <w:rFonts w:cs="Times New Roman"/>
          <w:szCs w:val="24"/>
        </w:rPr>
        <w:t>4</w:t>
      </w:r>
      <w:r w:rsidR="00EA5EEB">
        <w:rPr>
          <w:rFonts w:cs="Times New Roman"/>
          <w:szCs w:val="24"/>
        </w:rPr>
        <w:t xml:space="preserve">% </w:t>
      </w:r>
      <w:r w:rsidR="000F531C" w:rsidRPr="006159D2">
        <w:rPr>
          <w:rFonts w:cs="Times New Roman"/>
          <w:szCs w:val="24"/>
        </w:rPr>
        <w:t>of</w:t>
      </w:r>
      <w:r w:rsidR="00211FC1">
        <w:rPr>
          <w:rFonts w:cs="Times New Roman"/>
          <w:szCs w:val="24"/>
        </w:rPr>
        <w:t xml:space="preserve"> respondents </w:t>
      </w:r>
      <w:r w:rsidR="000F531C" w:rsidRPr="006159D2">
        <w:rPr>
          <w:rFonts w:cs="Times New Roman"/>
          <w:szCs w:val="24"/>
        </w:rPr>
        <w:t xml:space="preserve">do not provide </w:t>
      </w:r>
      <w:r w:rsidR="000F531C" w:rsidRPr="00231619">
        <w:rPr>
          <w:rFonts w:cs="Times New Roman"/>
          <w:szCs w:val="24"/>
        </w:rPr>
        <w:t>any</w:t>
      </w:r>
      <w:r w:rsidR="000F531C" w:rsidRPr="006159D2">
        <w:rPr>
          <w:rFonts w:cs="Times New Roman"/>
          <w:szCs w:val="24"/>
        </w:rPr>
        <w:t xml:space="preserve"> guidance to their students on the risks posed to them by financial crime and organised crime.</w:t>
      </w:r>
      <w:r>
        <w:rPr>
          <w:rFonts w:cs="Times New Roman"/>
          <w:szCs w:val="24"/>
        </w:rPr>
        <w:t xml:space="preserve"> This is a significant oversight considering</w:t>
      </w:r>
      <w:r w:rsidR="003977FA">
        <w:rPr>
          <w:rFonts w:cs="Times New Roman"/>
          <w:szCs w:val="24"/>
        </w:rPr>
        <w:t xml:space="preserve"> </w:t>
      </w:r>
      <w:r w:rsidR="00C11B17">
        <w:rPr>
          <w:rFonts w:cs="Times New Roman"/>
          <w:szCs w:val="24"/>
        </w:rPr>
        <w:t xml:space="preserve">organised criminal groups’ </w:t>
      </w:r>
      <w:r>
        <w:rPr>
          <w:rFonts w:cs="Times New Roman"/>
          <w:szCs w:val="24"/>
        </w:rPr>
        <w:t xml:space="preserve">use of HEIs and students to launder money. Further, some HEIs are failing to </w:t>
      </w:r>
      <w:r>
        <w:rPr>
          <w:rFonts w:cs="Times New Roman"/>
          <w:szCs w:val="24"/>
        </w:rPr>
        <w:lastRenderedPageBreak/>
        <w:t xml:space="preserve">recognise </w:t>
      </w:r>
      <w:r w:rsidRPr="006159D2">
        <w:rPr>
          <w:rFonts w:cs="Times New Roman"/>
          <w:szCs w:val="24"/>
        </w:rPr>
        <w:t>the money laundering risks inherent in large cash payments</w:t>
      </w:r>
      <w:r w:rsidR="00025081">
        <w:rPr>
          <w:rFonts w:cs="Times New Roman"/>
          <w:szCs w:val="24"/>
        </w:rPr>
        <w:t>.</w:t>
      </w:r>
      <w:r w:rsidRPr="006159D2">
        <w:rPr>
          <w:rFonts w:cs="Times New Roman"/>
          <w:szCs w:val="24"/>
        </w:rPr>
        <w:t xml:space="preserve"> </w:t>
      </w:r>
      <w:r w:rsidR="00025081">
        <w:rPr>
          <w:rFonts w:cs="Times New Roman"/>
          <w:szCs w:val="24"/>
        </w:rPr>
        <w:t>O</w:t>
      </w:r>
      <w:r>
        <w:rPr>
          <w:rFonts w:cs="Times New Roman"/>
          <w:szCs w:val="24"/>
        </w:rPr>
        <w:t xml:space="preserve">ver </w:t>
      </w:r>
      <w:r w:rsidRPr="006159D2">
        <w:rPr>
          <w:rFonts w:cs="Times New Roman"/>
          <w:szCs w:val="24"/>
        </w:rPr>
        <w:t>2</w:t>
      </w:r>
      <w:r>
        <w:rPr>
          <w:rFonts w:cs="Times New Roman"/>
          <w:szCs w:val="24"/>
        </w:rPr>
        <w:t>1</w:t>
      </w:r>
      <w:r w:rsidR="00EA5EEB">
        <w:rPr>
          <w:rFonts w:cs="Times New Roman"/>
          <w:szCs w:val="24"/>
        </w:rPr>
        <w:t xml:space="preserve">% </w:t>
      </w:r>
      <w:r w:rsidR="0051103D">
        <w:rPr>
          <w:rFonts w:cs="Times New Roman"/>
          <w:szCs w:val="24"/>
        </w:rPr>
        <w:t xml:space="preserve">of respondents </w:t>
      </w:r>
      <w:r w:rsidRPr="006159D2">
        <w:rPr>
          <w:rFonts w:cs="Times New Roman"/>
          <w:szCs w:val="24"/>
        </w:rPr>
        <w:t xml:space="preserve">are willing </w:t>
      </w:r>
      <w:r w:rsidR="00025081">
        <w:rPr>
          <w:rFonts w:cs="Times New Roman"/>
          <w:szCs w:val="24"/>
        </w:rPr>
        <w:t>to accept cash payments</w:t>
      </w:r>
      <w:r w:rsidRPr="006159D2">
        <w:rPr>
          <w:rFonts w:cs="Times New Roman"/>
          <w:szCs w:val="24"/>
        </w:rPr>
        <w:t xml:space="preserve">, with three HEIs receiving more than £1million in </w:t>
      </w:r>
      <w:r w:rsidR="00025081">
        <w:rPr>
          <w:rFonts w:cs="Times New Roman"/>
          <w:szCs w:val="24"/>
        </w:rPr>
        <w:t xml:space="preserve">cash in </w:t>
      </w:r>
      <w:r w:rsidRPr="006159D2">
        <w:rPr>
          <w:rFonts w:cs="Times New Roman"/>
          <w:szCs w:val="24"/>
        </w:rPr>
        <w:t xml:space="preserve">2019/20. </w:t>
      </w:r>
      <w:r>
        <w:rPr>
          <w:rFonts w:cs="Times New Roman"/>
          <w:szCs w:val="24"/>
        </w:rPr>
        <w:t xml:space="preserve">This is concerning, particularly given the fact that some HEIs do not impose any limit on the amount that can be paid in cash. Moreover, HEIs are seemingly failing to recognise the </w:t>
      </w:r>
      <w:r w:rsidR="00650157">
        <w:rPr>
          <w:rFonts w:cs="Times New Roman"/>
          <w:szCs w:val="24"/>
        </w:rPr>
        <w:t xml:space="preserve">value of </w:t>
      </w:r>
      <w:r>
        <w:rPr>
          <w:rFonts w:cs="Times New Roman"/>
          <w:szCs w:val="24"/>
        </w:rPr>
        <w:t>financial intelligence</w:t>
      </w:r>
      <w:r w:rsidR="00650157">
        <w:rPr>
          <w:rFonts w:cs="Times New Roman"/>
          <w:szCs w:val="24"/>
        </w:rPr>
        <w:t xml:space="preserve"> created by SARs</w:t>
      </w:r>
      <w:r>
        <w:rPr>
          <w:rFonts w:cs="Times New Roman"/>
          <w:szCs w:val="24"/>
        </w:rPr>
        <w:t xml:space="preserve">, as well as </w:t>
      </w:r>
      <w:r w:rsidR="00650157">
        <w:rPr>
          <w:rFonts w:cs="Times New Roman"/>
          <w:szCs w:val="24"/>
        </w:rPr>
        <w:t xml:space="preserve">the </w:t>
      </w:r>
      <w:r w:rsidR="00E957F3">
        <w:rPr>
          <w:rFonts w:cs="Times New Roman"/>
          <w:szCs w:val="24"/>
        </w:rPr>
        <w:t xml:space="preserve">related </w:t>
      </w:r>
      <w:r w:rsidR="00650157">
        <w:rPr>
          <w:rFonts w:cs="Times New Roman"/>
          <w:szCs w:val="24"/>
        </w:rPr>
        <w:t>defence SARs provide employees. Indeed, m</w:t>
      </w:r>
      <w:r w:rsidRPr="006159D2">
        <w:rPr>
          <w:rFonts w:cs="Times New Roman"/>
          <w:szCs w:val="24"/>
        </w:rPr>
        <w:t xml:space="preserve">ost </w:t>
      </w:r>
      <w:r w:rsidR="00650157">
        <w:rPr>
          <w:rFonts w:cs="Times New Roman"/>
          <w:szCs w:val="24"/>
        </w:rPr>
        <w:t>HEIs</w:t>
      </w:r>
      <w:r w:rsidRPr="006159D2">
        <w:rPr>
          <w:rFonts w:cs="Times New Roman"/>
          <w:szCs w:val="24"/>
        </w:rPr>
        <w:t xml:space="preserve"> do not submit any SARs to the NCA, with the majority of SARs being submitted by a small number of </w:t>
      </w:r>
      <w:r w:rsidR="00650157">
        <w:rPr>
          <w:rFonts w:cs="Times New Roman"/>
          <w:szCs w:val="24"/>
        </w:rPr>
        <w:t>universities</w:t>
      </w:r>
      <w:r w:rsidRPr="006159D2">
        <w:rPr>
          <w:rFonts w:cs="Times New Roman"/>
          <w:szCs w:val="24"/>
        </w:rPr>
        <w:t xml:space="preserve">. </w:t>
      </w:r>
    </w:p>
    <w:p w14:paraId="3F4773DA" w14:textId="17D3B9F0" w:rsidR="00DF0313" w:rsidRPr="00771C59" w:rsidRDefault="005F7C30" w:rsidP="00673D5B">
      <w:pPr>
        <w:spacing w:before="240" w:line="480" w:lineRule="auto"/>
        <w:rPr>
          <w:rFonts w:cs="Times New Roman"/>
          <w:szCs w:val="24"/>
        </w:rPr>
      </w:pPr>
      <w:r w:rsidRPr="006159D2">
        <w:rPr>
          <w:rFonts w:cs="Times New Roman"/>
          <w:szCs w:val="24"/>
        </w:rPr>
        <w:t xml:space="preserve">In consequence, whilst HEIs are not explicitly included within the current AML/CTF framework, it is likely that with the current approach the disparity of its application by the sector will continue, leaving HEIs, their employees and students at high risk of both money laundering and criminal liability. Therefore, to reduce the risks to which HEIs and their students are exposed, the </w:t>
      </w:r>
      <w:r>
        <w:rPr>
          <w:rFonts w:cs="Times New Roman"/>
          <w:szCs w:val="24"/>
        </w:rPr>
        <w:t xml:space="preserve">paper proposed that the Regulations should be applied to the sector and made a series of associated recommendations. </w:t>
      </w:r>
      <w:bookmarkEnd w:id="0"/>
    </w:p>
    <w:sectPr w:rsidR="00DF0313" w:rsidRPr="00771C59">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0F6" w16cex:dateUtc="2023-06-08T15:31:00Z"/>
  <w16cex:commentExtensible w16cex:durableId="282C814C" w16cex:dateUtc="2023-06-08T15:33:00Z"/>
  <w16cex:commentExtensible w16cex:durableId="282C869F" w16cex:dateUtc="2023-06-08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60E48" w14:textId="77777777" w:rsidR="00B018BE" w:rsidRDefault="00B018BE" w:rsidP="00745C6A">
      <w:pPr>
        <w:spacing w:after="0" w:line="240" w:lineRule="auto"/>
      </w:pPr>
      <w:r>
        <w:separator/>
      </w:r>
    </w:p>
  </w:endnote>
  <w:endnote w:type="continuationSeparator" w:id="0">
    <w:p w14:paraId="4C2687EA" w14:textId="77777777" w:rsidR="00B018BE" w:rsidRDefault="00B018BE" w:rsidP="007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20765"/>
      <w:docPartObj>
        <w:docPartGallery w:val="Page Numbers (Bottom of Page)"/>
        <w:docPartUnique/>
      </w:docPartObj>
    </w:sdtPr>
    <w:sdtEndPr>
      <w:rPr>
        <w:noProof/>
      </w:rPr>
    </w:sdtEndPr>
    <w:sdtContent>
      <w:p w14:paraId="5F6B7961" w14:textId="11267506" w:rsidR="005D4BA6" w:rsidRDefault="005D4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35FFC" w14:textId="77777777" w:rsidR="005D4BA6" w:rsidRDefault="005D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6FB5A" w14:textId="77777777" w:rsidR="00B018BE" w:rsidRDefault="00B018BE" w:rsidP="00745C6A">
      <w:pPr>
        <w:spacing w:after="0" w:line="240" w:lineRule="auto"/>
      </w:pPr>
      <w:r>
        <w:separator/>
      </w:r>
    </w:p>
  </w:footnote>
  <w:footnote w:type="continuationSeparator" w:id="0">
    <w:p w14:paraId="1EA560E0" w14:textId="77777777" w:rsidR="00B018BE" w:rsidRDefault="00B018BE" w:rsidP="00745C6A">
      <w:pPr>
        <w:spacing w:after="0" w:line="240" w:lineRule="auto"/>
      </w:pPr>
      <w:r>
        <w:continuationSeparator/>
      </w:r>
    </w:p>
  </w:footnote>
  <w:footnote w:id="1">
    <w:p w14:paraId="7E01B219" w14:textId="0AA0DB69"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Action Task Force</w:t>
      </w:r>
      <w:r w:rsidR="009110C1" w:rsidRPr="005D4BA6">
        <w:rPr>
          <w:rFonts w:cs="Times New Roman"/>
        </w:rPr>
        <w:t>,</w:t>
      </w:r>
      <w:r w:rsidRPr="005D4BA6">
        <w:rPr>
          <w:rFonts w:cs="Times New Roman"/>
        </w:rPr>
        <w:t xml:space="preserve"> “What is Money Laundering?”, </w:t>
      </w:r>
      <w:r w:rsidRPr="005D4BA6">
        <w:rPr>
          <w:rFonts w:cs="Times New Roman"/>
          <w:i/>
        </w:rPr>
        <w:t>https://www.fatf-gafi.org/en/pages/frequently-asked-questions.html#tabs-36503a8663-item-6ff811783c-tab</w:t>
      </w:r>
      <w:r w:rsidRPr="005D4BA6">
        <w:rPr>
          <w:rFonts w:cs="Times New Roman"/>
        </w:rPr>
        <w:t>.</w:t>
      </w:r>
    </w:p>
  </w:footnote>
  <w:footnote w:id="2">
    <w:p w14:paraId="6D54E663" w14:textId="4F760A64"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See, </w:t>
      </w:r>
      <w:r w:rsidRPr="005D4BA6">
        <w:rPr>
          <w:rFonts w:cs="Times New Roman"/>
          <w:lang w:val="en-US"/>
        </w:rPr>
        <w:t>United Nations Convention against Illicit Traffic in Narcotic Drugs and Psychotropic Substances (adopted 20 December 1988) 1582 UNTS 95; United Nations Convention against Transnational Organized Crime (adopted 15 November 2000) 2225 UNTS 209; United Nations Convention against Corruption (adopted 31 October 2003) 2349 UNTS 41.</w:t>
      </w:r>
    </w:p>
  </w:footnote>
  <w:footnote w:id="3">
    <w:p w14:paraId="50E713C9" w14:textId="352F7213"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Action Task Force, </w:t>
      </w:r>
      <w:r w:rsidRPr="005D4BA6">
        <w:rPr>
          <w:rFonts w:cs="Times New Roman"/>
          <w:i/>
          <w:iCs/>
        </w:rPr>
        <w:t>International Standards on Combating Money Laundering and the Financing of Terrorism and Proliferation</w:t>
      </w:r>
      <w:r w:rsidRPr="005D4BA6">
        <w:rPr>
          <w:rFonts w:cs="Times New Roman"/>
        </w:rPr>
        <w:t xml:space="preserve"> (Paris: Financial Action Task Force, 2022).</w:t>
      </w:r>
    </w:p>
  </w:footnote>
  <w:footnote w:id="4">
    <w:p w14:paraId="45905A87" w14:textId="4790D88A"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See Directive (EU) 2018/1673 of the European Parliament and of the Council of 23 October 2018 on Combating Money Laundering by Criminal Law [2018] OJ L 284/22.</w:t>
      </w:r>
    </w:p>
  </w:footnote>
  <w:footnote w:id="5">
    <w:p w14:paraId="221A6DEF" w14:textId="019E072B"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w:t>
      </w:r>
      <w:r w:rsidRPr="005D4BA6">
        <w:rPr>
          <w:rFonts w:cs="Times New Roman"/>
          <w:lang w:val="en-US"/>
        </w:rPr>
        <w:t xml:space="preserve">National Crime Agency, </w:t>
      </w:r>
      <w:r w:rsidRPr="005D4BA6">
        <w:rPr>
          <w:rFonts w:cs="Times New Roman"/>
          <w:i/>
          <w:iCs/>
        </w:rPr>
        <w:t xml:space="preserve">UK Financial Intelligence Unit Suspicious Activity Reports Annual Report 2020 </w:t>
      </w:r>
      <w:r w:rsidRPr="005D4BA6">
        <w:rPr>
          <w:rFonts w:cs="Times New Roman"/>
        </w:rPr>
        <w:t>(London: National Crime Agency, 2021) 9.</w:t>
      </w:r>
    </w:p>
  </w:footnote>
  <w:footnote w:id="6">
    <w:p w14:paraId="6AF81F3F" w14:textId="620759D3"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w:t>
      </w:r>
      <w:r w:rsidRPr="005D4BA6">
        <w:rPr>
          <w:rFonts w:cs="Times New Roman"/>
          <w:lang w:val="en-US"/>
        </w:rPr>
        <w:t xml:space="preserve">See H.M. Treasury and Home Office, </w:t>
      </w:r>
      <w:r w:rsidRPr="005D4BA6">
        <w:rPr>
          <w:rFonts w:cs="Times New Roman"/>
          <w:i/>
          <w:iCs/>
        </w:rPr>
        <w:t>National Risk Assessment of Money Laundering and Terrorist Financing 2020</w:t>
      </w:r>
      <w:r w:rsidRPr="005D4BA6">
        <w:rPr>
          <w:rFonts w:cs="Times New Roman"/>
        </w:rPr>
        <w:t xml:space="preserve"> (London: H.M. Treasury and Home Office, 2021).</w:t>
      </w:r>
    </w:p>
  </w:footnote>
  <w:footnote w:id="7">
    <w:p w14:paraId="4BD3A148" w14:textId="1711C7C3"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See </w:t>
      </w:r>
      <w:r w:rsidRPr="005D4BA6">
        <w:rPr>
          <w:rFonts w:eastAsia="Times New Roman" w:cs="Times New Roman"/>
          <w:lang w:eastAsia="en-GB"/>
        </w:rPr>
        <w:t xml:space="preserve">P. </w:t>
      </w:r>
      <w:proofErr w:type="spellStart"/>
      <w:r w:rsidRPr="005D4BA6">
        <w:rPr>
          <w:rFonts w:cs="Times New Roman"/>
        </w:rPr>
        <w:t>Alldridge</w:t>
      </w:r>
      <w:proofErr w:type="spellEnd"/>
      <w:r w:rsidRPr="005D4BA6">
        <w:rPr>
          <w:rFonts w:cs="Times New Roman"/>
        </w:rPr>
        <w:t xml:space="preserve">, </w:t>
      </w:r>
      <w:r w:rsidRPr="005D4BA6">
        <w:rPr>
          <w:rFonts w:eastAsia="Times New Roman" w:cs="Times New Roman"/>
          <w:i/>
          <w:iCs/>
          <w:kern w:val="36"/>
          <w:lang w:eastAsia="en-GB"/>
        </w:rPr>
        <w:t xml:space="preserve">What Went Wrong </w:t>
      </w:r>
      <w:r w:rsidR="00E4533C" w:rsidRPr="005D4BA6">
        <w:rPr>
          <w:rFonts w:eastAsia="Times New Roman" w:cs="Times New Roman"/>
          <w:i/>
          <w:iCs/>
          <w:kern w:val="36"/>
          <w:lang w:eastAsia="en-GB"/>
        </w:rPr>
        <w:t>with</w:t>
      </w:r>
      <w:r w:rsidRPr="005D4BA6">
        <w:rPr>
          <w:rFonts w:eastAsia="Times New Roman" w:cs="Times New Roman"/>
          <w:i/>
          <w:iCs/>
          <w:kern w:val="36"/>
          <w:lang w:eastAsia="en-GB"/>
        </w:rPr>
        <w:t xml:space="preserve"> Money Laundering Law?</w:t>
      </w:r>
      <w:r w:rsidRPr="005D4BA6">
        <w:rPr>
          <w:rFonts w:eastAsia="Times New Roman" w:cs="Times New Roman"/>
          <w:kern w:val="36"/>
          <w:lang w:eastAsia="en-GB"/>
        </w:rPr>
        <w:t xml:space="preserve"> (London: Palgrave Macmillan, 2016) </w:t>
      </w:r>
      <w:r w:rsidRPr="005D4BA6">
        <w:rPr>
          <w:rFonts w:cs="Times New Roman"/>
        </w:rPr>
        <w:t xml:space="preserve">and K. Benson, </w:t>
      </w:r>
      <w:r w:rsidRPr="005D4BA6">
        <w:rPr>
          <w:rFonts w:eastAsia="Times New Roman" w:cs="Times New Roman"/>
          <w:i/>
          <w:iCs/>
          <w:kern w:val="36"/>
          <w:lang w:eastAsia="en-GB"/>
        </w:rPr>
        <w:t>Lawyers and the Proceeds of Crime: The Facilitation of Money Laundering and its Control</w:t>
      </w:r>
      <w:r w:rsidRPr="005D4BA6">
        <w:rPr>
          <w:rFonts w:eastAsia="Times New Roman" w:cs="Times New Roman"/>
          <w:kern w:val="36"/>
          <w:lang w:eastAsia="en-GB"/>
        </w:rPr>
        <w:t> (London: Routledge, 2021).</w:t>
      </w:r>
    </w:p>
  </w:footnote>
  <w:footnote w:id="8">
    <w:p w14:paraId="7EA440C7" w14:textId="696F8FC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M.T. Page, “‘West African Elites’ Spending on UK Schools and Universities: A Closer Look” (Carnegie Endowment for International Peace Working Paper, 2021), </w:t>
      </w:r>
      <w:r w:rsidRPr="005D4BA6">
        <w:rPr>
          <w:rFonts w:cs="Times New Roman"/>
          <w:i/>
          <w:sz w:val="20"/>
          <w:szCs w:val="20"/>
        </w:rPr>
        <w:t>https://carnegieendowment.org/files/Page_AfricaUK_Corruption_1.pdf</w:t>
      </w:r>
      <w:r w:rsidRPr="005D4BA6">
        <w:rPr>
          <w:rFonts w:cs="Times New Roman"/>
          <w:sz w:val="20"/>
          <w:szCs w:val="20"/>
        </w:rPr>
        <w:t>.</w:t>
      </w:r>
    </w:p>
  </w:footnote>
  <w:footnote w:id="9">
    <w:p w14:paraId="510EA6B3" w14:textId="2BFB7368" w:rsidR="009110C1" w:rsidRPr="005D4BA6" w:rsidRDefault="009110C1" w:rsidP="005D4BA6">
      <w:pPr>
        <w:pStyle w:val="FootnoteText"/>
        <w:spacing w:line="480" w:lineRule="auto"/>
        <w:jc w:val="left"/>
        <w:rPr>
          <w:rFonts w:cs="Times New Roman"/>
          <w:i/>
          <w:iCs/>
        </w:rPr>
      </w:pPr>
      <w:r w:rsidRPr="005D4BA6">
        <w:rPr>
          <w:rStyle w:val="FootnoteReference"/>
          <w:rFonts w:cs="Times New Roman"/>
        </w:rPr>
        <w:footnoteRef/>
      </w:r>
      <w:r w:rsidRPr="005D4BA6">
        <w:rPr>
          <w:rFonts w:cs="Times New Roman"/>
        </w:rPr>
        <w:t xml:space="preserve"> Financial Action Task Force, </w:t>
      </w:r>
      <w:r w:rsidR="009C5C97" w:rsidRPr="005D4BA6">
        <w:rPr>
          <w:rFonts w:cs="Times New Roman"/>
        </w:rPr>
        <w:t>“</w:t>
      </w:r>
      <w:r w:rsidRPr="005D4BA6">
        <w:rPr>
          <w:rFonts w:cs="Times New Roman"/>
        </w:rPr>
        <w:t>FATF Guidance: Politically Exposed Persons (Recommendations 12 and 22)</w:t>
      </w:r>
      <w:r w:rsidR="009C5C97" w:rsidRPr="005D4BA6">
        <w:rPr>
          <w:rFonts w:cs="Times New Roman"/>
        </w:rPr>
        <w:t>”</w:t>
      </w:r>
      <w:r w:rsidRPr="005D4BA6">
        <w:rPr>
          <w:rFonts w:cs="Times New Roman"/>
        </w:rPr>
        <w:t xml:space="preserve"> (2015) </w:t>
      </w:r>
      <w:r w:rsidRPr="005D4BA6">
        <w:rPr>
          <w:rFonts w:cs="Times New Roman"/>
          <w:i/>
          <w:iCs/>
        </w:rPr>
        <w:t>https://www.fatf-gafi.org/en/publications/Fatfrecommendations/Peps-r12-r22.html#:~:text=FATF%20Guidance%3A%20Politically%20Exposed%20Persons%20(Rec%2012%20and%2022)&amp;text=A%20politically%20exposed%20person%20(PEP,such%20as%20corruption%20or%20bribery.</w:t>
      </w:r>
    </w:p>
  </w:footnote>
  <w:footnote w:id="10">
    <w:p w14:paraId="5C211B60" w14:textId="5B0DE953"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w:t>
      </w:r>
      <w:r w:rsidRPr="005D4BA6">
        <w:rPr>
          <w:rFonts w:cs="Times New Roman"/>
          <w:i/>
        </w:rPr>
        <w:t>R v. Yahya Rashid</w:t>
      </w:r>
      <w:r w:rsidRPr="005D4BA6">
        <w:rPr>
          <w:rFonts w:cs="Times New Roman"/>
        </w:rPr>
        <w:t xml:space="preserve"> [2016] EWCA Crim 568; [2016] 1 WLR 3156.</w:t>
      </w:r>
    </w:p>
  </w:footnote>
  <w:footnote w:id="11">
    <w:p w14:paraId="6C4C6CDB" w14:textId="7EC5775D" w:rsidR="00445ECD" w:rsidRPr="005D4BA6" w:rsidRDefault="00445ECD" w:rsidP="005D4BA6">
      <w:pPr>
        <w:spacing w:after="0" w:line="480" w:lineRule="auto"/>
        <w:jc w:val="left"/>
        <w:rPr>
          <w:rFonts w:cs="Times New Roman"/>
          <w:sz w:val="20"/>
          <w:szCs w:val="20"/>
          <w:lang w:val="en-US"/>
        </w:rPr>
      </w:pPr>
      <w:r w:rsidRPr="005D4BA6">
        <w:rPr>
          <w:rStyle w:val="FootnoteReference"/>
          <w:rFonts w:cs="Times New Roman"/>
          <w:sz w:val="20"/>
          <w:szCs w:val="20"/>
        </w:rPr>
        <w:footnoteRef/>
      </w:r>
      <w:r w:rsidRPr="005D4BA6">
        <w:rPr>
          <w:rFonts w:cs="Times New Roman"/>
          <w:sz w:val="20"/>
          <w:szCs w:val="20"/>
        </w:rPr>
        <w:t xml:space="preserve"> National Crime Agency, </w:t>
      </w:r>
      <w:r w:rsidRPr="005D4BA6">
        <w:rPr>
          <w:rFonts w:cs="Times New Roman"/>
          <w:i/>
          <w:sz w:val="20"/>
          <w:szCs w:val="20"/>
        </w:rPr>
        <w:t>National Strategic Assessment of Serious and Organised Crime</w:t>
      </w:r>
      <w:r w:rsidRPr="005D4BA6">
        <w:rPr>
          <w:rFonts w:cs="Times New Roman"/>
          <w:sz w:val="20"/>
          <w:szCs w:val="20"/>
        </w:rPr>
        <w:t xml:space="preserve"> (London: National Crime Agency, 2019) p.40.</w:t>
      </w:r>
    </w:p>
  </w:footnote>
  <w:footnote w:id="12">
    <w:p w14:paraId="46D49E20" w14:textId="24B3AF19"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Money Laundering, Terrorist Financing and Transfer of Funds (Information on the Payer) Regulations 2017, S.I. 2017/692.</w:t>
      </w:r>
    </w:p>
  </w:footnote>
  <w:footnote w:id="13">
    <w:p w14:paraId="5E54E713" w14:textId="62174657"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Services and Markets Act 2000, s.19, Sch.2.</w:t>
      </w:r>
    </w:p>
  </w:footnote>
  <w:footnote w:id="14">
    <w:p w14:paraId="1667BD5A" w14:textId="760545DD" w:rsidR="0071765D" w:rsidRPr="005D4BA6" w:rsidRDefault="0071765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results presented in this paragraph are </w:t>
      </w:r>
      <w:r w:rsidR="001575F0" w:rsidRPr="005D4BA6">
        <w:rPr>
          <w:rFonts w:cs="Times New Roman"/>
        </w:rPr>
        <w:t>discussed</w:t>
      </w:r>
      <w:r w:rsidRPr="005D4BA6">
        <w:rPr>
          <w:rFonts w:cs="Times New Roman"/>
        </w:rPr>
        <w:t xml:space="preserve"> in ‘How HEIs currently address risks of money laundering’ at pp.</w:t>
      </w:r>
      <w:r w:rsidR="005D4BA6">
        <w:rPr>
          <w:rFonts w:cs="Times New Roman"/>
        </w:rPr>
        <w:t>25-39</w:t>
      </w:r>
      <w:r w:rsidRPr="005D4BA6">
        <w:rPr>
          <w:rFonts w:cs="Times New Roman"/>
        </w:rPr>
        <w:t xml:space="preserve"> below.</w:t>
      </w:r>
    </w:p>
  </w:footnote>
  <w:footnote w:id="15">
    <w:p w14:paraId="4AF8F8C8" w14:textId="017245A6"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National Audit Office, </w:t>
      </w:r>
      <w:r w:rsidRPr="005D4BA6">
        <w:rPr>
          <w:rFonts w:cs="Times New Roman"/>
          <w:i/>
          <w:sz w:val="20"/>
          <w:szCs w:val="20"/>
        </w:rPr>
        <w:t>The Asset Recovery Agency</w:t>
      </w:r>
      <w:r w:rsidRPr="005D4BA6">
        <w:rPr>
          <w:rFonts w:cs="Times New Roman"/>
          <w:sz w:val="20"/>
          <w:szCs w:val="20"/>
        </w:rPr>
        <w:t xml:space="preserve"> (London: National Audit Office, 2007)</w:t>
      </w:r>
      <w:r w:rsidRPr="005D4BA6">
        <w:rPr>
          <w:rFonts w:eastAsia="Times New Roman" w:cs="Times New Roman"/>
          <w:sz w:val="20"/>
          <w:szCs w:val="20"/>
        </w:rPr>
        <w:t>.</w:t>
      </w:r>
    </w:p>
  </w:footnote>
  <w:footnote w:id="16">
    <w:p w14:paraId="4C6CE7CC" w14:textId="268A415F"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Treasury and Home Office, </w:t>
      </w:r>
      <w:r w:rsidRPr="005D4BA6">
        <w:rPr>
          <w:rFonts w:cs="Times New Roman"/>
          <w:i/>
          <w:sz w:val="20"/>
          <w:szCs w:val="20"/>
        </w:rPr>
        <w:t>National Risk Assessment of Money Laundering and Terrorist Financing 2020,</w:t>
      </w:r>
      <w:r w:rsidRPr="005D4BA6">
        <w:rPr>
          <w:rFonts w:cs="Times New Roman"/>
          <w:sz w:val="20"/>
          <w:szCs w:val="20"/>
        </w:rPr>
        <w:t xml:space="preserve"> pp.54-69.</w:t>
      </w:r>
    </w:p>
  </w:footnote>
  <w:footnote w:id="17">
    <w:p w14:paraId="09056078" w14:textId="560514C7" w:rsidR="00445ECD" w:rsidRPr="005D4BA6" w:rsidRDefault="00445ECD" w:rsidP="005D4BA6">
      <w:pPr>
        <w:spacing w:after="0" w:line="480" w:lineRule="auto"/>
        <w:jc w:val="left"/>
        <w:rPr>
          <w:rFonts w:cs="Times New Roman"/>
          <w:b/>
          <w:kern w:val="36"/>
          <w:sz w:val="20"/>
          <w:szCs w:val="20"/>
        </w:rPr>
      </w:pPr>
      <w:r w:rsidRPr="005D4BA6">
        <w:rPr>
          <w:rStyle w:val="FootnoteReference"/>
          <w:rFonts w:cs="Times New Roman"/>
          <w:sz w:val="20"/>
          <w:szCs w:val="20"/>
        </w:rPr>
        <w:footnoteRef/>
      </w:r>
      <w:r w:rsidRPr="005D4BA6">
        <w:rPr>
          <w:rFonts w:cs="Times New Roman"/>
          <w:sz w:val="20"/>
          <w:szCs w:val="20"/>
        </w:rPr>
        <w:t xml:space="preserve"> S. Kebbell, </w:t>
      </w:r>
      <w:r w:rsidRPr="005D4BA6">
        <w:rPr>
          <w:rFonts w:cs="Times New Roman"/>
          <w:i/>
          <w:kern w:val="36"/>
          <w:sz w:val="20"/>
          <w:szCs w:val="20"/>
        </w:rPr>
        <w:t>Anti-Money Laundering Compliance and the Legal Profession</w:t>
      </w:r>
      <w:r w:rsidRPr="005D4BA6">
        <w:rPr>
          <w:rFonts w:cs="Times New Roman"/>
          <w:kern w:val="36"/>
          <w:sz w:val="20"/>
          <w:szCs w:val="20"/>
        </w:rPr>
        <w:t xml:space="preserve"> (London: Routledge, 2021).</w:t>
      </w:r>
    </w:p>
  </w:footnote>
  <w:footnote w:id="18">
    <w:p w14:paraId="2E528987" w14:textId="4C29E58F"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Treasury and Home Office, </w:t>
      </w:r>
      <w:r w:rsidRPr="005D4BA6">
        <w:rPr>
          <w:rFonts w:cs="Times New Roman"/>
          <w:i/>
          <w:sz w:val="20"/>
          <w:szCs w:val="20"/>
        </w:rPr>
        <w:t>National Risk Assessment of Money Laundering and Terrorist Financing 2020</w:t>
      </w:r>
      <w:r w:rsidRPr="005D4BA6">
        <w:rPr>
          <w:rFonts w:cs="Times New Roman"/>
          <w:sz w:val="20"/>
          <w:szCs w:val="20"/>
        </w:rPr>
        <w:t>, pp.5, 25, 109 and 116.</w:t>
      </w:r>
    </w:p>
  </w:footnote>
  <w:footnote w:id="19">
    <w:p w14:paraId="2F72C0C8" w14:textId="75E7A6BE"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Treasury and Home Office, </w:t>
      </w:r>
      <w:r w:rsidRPr="005D4BA6">
        <w:rPr>
          <w:rFonts w:cs="Times New Roman"/>
          <w:i/>
          <w:sz w:val="20"/>
          <w:szCs w:val="20"/>
        </w:rPr>
        <w:t>National Risk Assessment of Money Laundering and Terrorist Financing 2020,</w:t>
      </w:r>
      <w:r w:rsidRPr="005D4BA6">
        <w:rPr>
          <w:rFonts w:cs="Times New Roman"/>
          <w:sz w:val="20"/>
          <w:szCs w:val="20"/>
        </w:rPr>
        <w:t xml:space="preserve"> p.109.</w:t>
      </w:r>
    </w:p>
  </w:footnote>
  <w:footnote w:id="20">
    <w:p w14:paraId="605A9019" w14:textId="59B329A7" w:rsidR="00445ECD" w:rsidRPr="005D4BA6" w:rsidRDefault="00445ECD" w:rsidP="005D4BA6">
      <w:pPr>
        <w:spacing w:after="0" w:line="480" w:lineRule="auto"/>
        <w:jc w:val="left"/>
        <w:rPr>
          <w:rFonts w:eastAsia="Times New Roman" w:cs="Times New Roman"/>
          <w:sz w:val="20"/>
          <w:szCs w:val="20"/>
          <w:lang w:eastAsia="en-GB"/>
        </w:rPr>
      </w:pPr>
      <w:r w:rsidRPr="005D4BA6">
        <w:rPr>
          <w:rStyle w:val="FootnoteReference"/>
          <w:rFonts w:cs="Times New Roman"/>
          <w:sz w:val="20"/>
          <w:szCs w:val="20"/>
        </w:rPr>
        <w:footnoteRef/>
      </w:r>
      <w:r w:rsidRPr="005D4BA6">
        <w:rPr>
          <w:rFonts w:cs="Times New Roman"/>
          <w:sz w:val="20"/>
          <w:szCs w:val="20"/>
        </w:rPr>
        <w:t xml:space="preserve"> C. King and S. Hufnagel, “</w:t>
      </w:r>
      <w:r w:rsidRPr="005D4BA6">
        <w:rPr>
          <w:rFonts w:eastAsia="Times New Roman" w:cs="Times New Roman"/>
          <w:sz w:val="20"/>
          <w:szCs w:val="20"/>
          <w:lang w:eastAsia="en-GB"/>
        </w:rPr>
        <w:t xml:space="preserve">Anti-Money Laundering Regulation and the Art Market” (2020) 40(1) </w:t>
      </w:r>
      <w:r w:rsidRPr="005D4BA6">
        <w:rPr>
          <w:rFonts w:eastAsia="Times New Roman" w:cs="Times New Roman"/>
          <w:bCs/>
          <w:sz w:val="20"/>
          <w:szCs w:val="20"/>
          <w:bdr w:val="none" w:sz="0" w:space="0" w:color="auto" w:frame="1"/>
          <w:lang w:eastAsia="en-GB"/>
        </w:rPr>
        <w:t>LS</w:t>
      </w:r>
      <w:r w:rsidRPr="005D4BA6">
        <w:rPr>
          <w:rFonts w:eastAsia="Times New Roman" w:cs="Times New Roman"/>
          <w:sz w:val="20"/>
          <w:szCs w:val="20"/>
          <w:lang w:eastAsia="en-GB"/>
        </w:rPr>
        <w:t> 131.</w:t>
      </w:r>
    </w:p>
  </w:footnote>
  <w:footnote w:id="21">
    <w:p w14:paraId="0D56E7F3" w14:textId="0F4CC927"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Treasury and Home Office,</w:t>
      </w:r>
      <w:r w:rsidRPr="005D4BA6">
        <w:rPr>
          <w:rFonts w:cs="Times New Roman"/>
          <w:i/>
          <w:sz w:val="20"/>
          <w:szCs w:val="20"/>
        </w:rPr>
        <w:t xml:space="preserve"> National Risk Assessment of Money Laundering and Terrorist Financing 2020</w:t>
      </w:r>
      <w:r w:rsidR="003802DA" w:rsidRPr="005D4BA6">
        <w:rPr>
          <w:rFonts w:cs="Times New Roman"/>
          <w:i/>
          <w:sz w:val="20"/>
          <w:szCs w:val="20"/>
        </w:rPr>
        <w:t xml:space="preserve"> </w:t>
      </w:r>
      <w:r w:rsidRPr="005D4BA6">
        <w:rPr>
          <w:rFonts w:cs="Times New Roman"/>
          <w:sz w:val="20"/>
          <w:szCs w:val="20"/>
        </w:rPr>
        <w:t>pp.49 and 73.</w:t>
      </w:r>
    </w:p>
  </w:footnote>
  <w:footnote w:id="22">
    <w:p w14:paraId="5A0D1916" w14:textId="293CEDDE"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B. Unger, </w:t>
      </w:r>
      <w:r w:rsidRPr="005D4BA6">
        <w:rPr>
          <w:rFonts w:cs="Times New Roman"/>
          <w:i/>
          <w:sz w:val="20"/>
          <w:szCs w:val="20"/>
        </w:rPr>
        <w:t>The Scale and Impacts of Money Laundering</w:t>
      </w:r>
      <w:r w:rsidRPr="005D4BA6">
        <w:rPr>
          <w:rFonts w:cs="Times New Roman"/>
          <w:sz w:val="20"/>
          <w:szCs w:val="20"/>
        </w:rPr>
        <w:t xml:space="preserve"> (Cheltenham: Edward Elgar, 2007).</w:t>
      </w:r>
    </w:p>
  </w:footnote>
  <w:footnote w:id="23">
    <w:p w14:paraId="43884998" w14:textId="3908B94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Services Authority, “Frequently Asked Questions” (2011), </w:t>
      </w:r>
      <w:r w:rsidRPr="005D4BA6">
        <w:rPr>
          <w:rFonts w:cs="Times New Roman"/>
          <w:i/>
          <w:sz w:val="20"/>
          <w:szCs w:val="20"/>
        </w:rPr>
        <w:t>http://www.fsa.gov.uk/pages/About/What/financial_crime/money_laundering/faqs/index.shtml</w:t>
      </w:r>
      <w:r w:rsidRPr="005D4BA6">
        <w:rPr>
          <w:rFonts w:cs="Times New Roman"/>
          <w:sz w:val="20"/>
          <w:szCs w:val="20"/>
        </w:rPr>
        <w:t>.</w:t>
      </w:r>
    </w:p>
  </w:footnote>
  <w:footnote w:id="24">
    <w:p w14:paraId="0BB7D0B1" w14:textId="5AE968C1" w:rsidR="007655FC" w:rsidRPr="005D4BA6" w:rsidRDefault="007655FC"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Based on a GDP of £2,200.1 </w:t>
      </w:r>
      <w:r w:rsidR="001575F0" w:rsidRPr="005D4BA6">
        <w:rPr>
          <w:rFonts w:cs="Times New Roman"/>
        </w:rPr>
        <w:t>billion</w:t>
      </w:r>
      <w:r w:rsidRPr="005D4BA6">
        <w:rPr>
          <w:rFonts w:cs="Times New Roman"/>
        </w:rPr>
        <w:t xml:space="preserve"> in 2020: UK Public Spending, “UK Gross Domestic Product” (2023) </w:t>
      </w:r>
      <w:r w:rsidRPr="005D4BA6">
        <w:rPr>
          <w:rFonts w:cs="Times New Roman"/>
          <w:i/>
        </w:rPr>
        <w:t>https://www.ukpublicspending.co.uk/spending_chart_2010_2020UKb_17c1li011mcn__UK_Gross_Domestic_Product</w:t>
      </w:r>
      <w:r w:rsidRPr="005D4BA6">
        <w:rPr>
          <w:rFonts w:cs="Times New Roman"/>
        </w:rPr>
        <w:t>.</w:t>
      </w:r>
    </w:p>
  </w:footnote>
  <w:footnote w:id="25">
    <w:p w14:paraId="70E2C4C5" w14:textId="600F08B5"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1582 UNTS 95; 2225 UNTS 209; 2349 UNTS 41.</w:t>
      </w:r>
    </w:p>
  </w:footnote>
  <w:footnote w:id="26">
    <w:p w14:paraId="4ABBB5C5" w14:textId="1862CBA0"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Action Task Force, </w:t>
      </w:r>
      <w:r w:rsidRPr="005D4BA6">
        <w:rPr>
          <w:rFonts w:cs="Times New Roman"/>
          <w:i/>
          <w:iCs/>
        </w:rPr>
        <w:t>International Standards on Combating Money Laundering and the Financing of Terrorism and Proliferation.</w:t>
      </w:r>
    </w:p>
  </w:footnote>
  <w:footnote w:id="27">
    <w:p w14:paraId="3A3B8320" w14:textId="4B6CEA1A"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Directive (EU) 2018/1673.</w:t>
      </w:r>
    </w:p>
  </w:footnote>
  <w:footnote w:id="28">
    <w:p w14:paraId="055491C8" w14:textId="6CD00319"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Including the </w:t>
      </w:r>
      <w:proofErr w:type="spellStart"/>
      <w:r w:rsidRPr="005D4BA6">
        <w:rPr>
          <w:rFonts w:cs="Times New Roman"/>
        </w:rPr>
        <w:t>Wolfsberg</w:t>
      </w:r>
      <w:proofErr w:type="spellEnd"/>
      <w:r w:rsidRPr="005D4BA6">
        <w:rPr>
          <w:rFonts w:cs="Times New Roman"/>
        </w:rPr>
        <w:t xml:space="preserve"> Principles.</w:t>
      </w:r>
    </w:p>
  </w:footnote>
  <w:footnote w:id="29">
    <w:p w14:paraId="2CB5E92D" w14:textId="04798F41"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United Nations Security Council (UNSC) Res 1373 (28 September 2001) UN Doc S/RES/1373, Art. 1(a).</w:t>
      </w:r>
    </w:p>
  </w:footnote>
  <w:footnote w:id="30">
    <w:p w14:paraId="778EB579" w14:textId="11C78320"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Treasury and Home Office, </w:t>
      </w:r>
      <w:r w:rsidRPr="005D4BA6">
        <w:rPr>
          <w:rFonts w:cs="Times New Roman"/>
          <w:i/>
          <w:sz w:val="20"/>
          <w:szCs w:val="20"/>
        </w:rPr>
        <w:t>National Risk Assessment of Money Laundering and Terrorist Financing 2020</w:t>
      </w:r>
      <w:r w:rsidRPr="005D4BA6">
        <w:rPr>
          <w:rFonts w:cs="Times New Roman"/>
          <w:sz w:val="20"/>
          <w:szCs w:val="20"/>
        </w:rPr>
        <w:t>, p.2.</w:t>
      </w:r>
    </w:p>
  </w:footnote>
  <w:footnote w:id="31">
    <w:p w14:paraId="17159BC8" w14:textId="14D254B4"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w:t>
      </w:r>
    </w:p>
  </w:footnote>
  <w:footnote w:id="32">
    <w:p w14:paraId="3995EAF7" w14:textId="1840A853"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Regulation 8.</w:t>
      </w:r>
    </w:p>
  </w:footnote>
  <w:footnote w:id="33">
    <w:p w14:paraId="38D4CDBB" w14:textId="755185D7"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Home Office, </w:t>
      </w:r>
      <w:r w:rsidRPr="005D4BA6">
        <w:rPr>
          <w:rFonts w:cs="Times New Roman"/>
          <w:i/>
        </w:rPr>
        <w:t>Economic Crime Research Strategy: Home Office Research Priorities</w:t>
      </w:r>
      <w:r w:rsidRPr="005D4BA6">
        <w:rPr>
          <w:rFonts w:cs="Times New Roman"/>
        </w:rPr>
        <w:t xml:space="preserve"> (London: Home Office: 2021) s.4.3.</w:t>
      </w:r>
    </w:p>
  </w:footnote>
  <w:footnote w:id="34">
    <w:p w14:paraId="063A1A44" w14:textId="25C2C6A5" w:rsidR="00445ECD" w:rsidRPr="005D4BA6" w:rsidRDefault="00445ECD" w:rsidP="005D4BA6">
      <w:pPr>
        <w:spacing w:after="0" w:line="480" w:lineRule="auto"/>
        <w:jc w:val="left"/>
        <w:rPr>
          <w:rFonts w:eastAsia="Times New Roman" w:cs="Times New Roman"/>
          <w:bCs/>
          <w:spacing w:val="-5"/>
          <w:kern w:val="36"/>
          <w:sz w:val="20"/>
          <w:szCs w:val="20"/>
          <w:lang w:eastAsia="en-GB"/>
        </w:rPr>
      </w:pPr>
      <w:r w:rsidRPr="005D4BA6">
        <w:rPr>
          <w:rStyle w:val="FootnoteReference"/>
          <w:rFonts w:cs="Times New Roman"/>
          <w:sz w:val="20"/>
          <w:szCs w:val="20"/>
        </w:rPr>
        <w:footnoteRef/>
      </w:r>
      <w:r w:rsidRPr="005D4BA6">
        <w:rPr>
          <w:rFonts w:cs="Times New Roman"/>
          <w:sz w:val="20"/>
          <w:szCs w:val="20"/>
        </w:rPr>
        <w:t xml:space="preserve"> National Crime Agency, </w:t>
      </w:r>
      <w:r w:rsidRPr="005D4BA6">
        <w:rPr>
          <w:rFonts w:cs="Times New Roman"/>
          <w:i/>
          <w:sz w:val="20"/>
          <w:szCs w:val="20"/>
        </w:rPr>
        <w:t xml:space="preserve">Chinese Underground Banking and </w:t>
      </w:r>
      <w:proofErr w:type="spellStart"/>
      <w:r w:rsidRPr="005D4BA6">
        <w:rPr>
          <w:rFonts w:cs="Times New Roman"/>
          <w:i/>
          <w:sz w:val="20"/>
          <w:szCs w:val="20"/>
        </w:rPr>
        <w:t>Daigou</w:t>
      </w:r>
      <w:proofErr w:type="spellEnd"/>
      <w:r w:rsidRPr="005D4BA6">
        <w:rPr>
          <w:rFonts w:cs="Times New Roman"/>
          <w:sz w:val="20"/>
          <w:szCs w:val="20"/>
        </w:rPr>
        <w:t xml:space="preserve"> (London: National Crime Agency, 2019) p.1.</w:t>
      </w:r>
    </w:p>
  </w:footnote>
  <w:footnote w:id="35">
    <w:p w14:paraId="7E0E4B3C" w14:textId="34430B3B"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Treasury and Home Office, National Risk Assessment of Money Laundering and Terrorist Financing 2020, p.49.</w:t>
      </w:r>
    </w:p>
  </w:footnote>
  <w:footnote w:id="36">
    <w:p w14:paraId="2B4C329B" w14:textId="54E06900" w:rsidR="00BA2DBC" w:rsidRPr="005D4BA6" w:rsidRDefault="00BA2DBC"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w:t>
      </w:r>
      <w:r w:rsidR="00402C00" w:rsidRPr="005D4BA6">
        <w:rPr>
          <w:rFonts w:cs="Times New Roman"/>
        </w:rPr>
        <w:t>US Department of Justice</w:t>
      </w:r>
      <w:r w:rsidRPr="005D4BA6">
        <w:rPr>
          <w:rFonts w:cs="Times New Roman"/>
        </w:rPr>
        <w:t xml:space="preserve">, </w:t>
      </w:r>
      <w:r w:rsidR="00402C00" w:rsidRPr="005D4BA6">
        <w:rPr>
          <w:rFonts w:cs="Times New Roman"/>
        </w:rPr>
        <w:t>“Money Mule Initiative”</w:t>
      </w:r>
      <w:r w:rsidRPr="005D4BA6">
        <w:rPr>
          <w:rFonts w:cs="Times New Roman"/>
        </w:rPr>
        <w:t xml:space="preserve"> (</w:t>
      </w:r>
      <w:r w:rsidR="00402C00" w:rsidRPr="005D4BA6">
        <w:rPr>
          <w:rFonts w:cs="Times New Roman"/>
        </w:rPr>
        <w:t>2023</w:t>
      </w:r>
      <w:r w:rsidRPr="005D4BA6">
        <w:rPr>
          <w:rFonts w:cs="Times New Roman"/>
        </w:rPr>
        <w:t>)</w:t>
      </w:r>
      <w:r w:rsidR="009C5C97" w:rsidRPr="005D4BA6">
        <w:rPr>
          <w:rFonts w:cs="Times New Roman"/>
        </w:rPr>
        <w:t>,</w:t>
      </w:r>
      <w:r w:rsidRPr="005D4BA6">
        <w:rPr>
          <w:rFonts w:cs="Times New Roman"/>
        </w:rPr>
        <w:t xml:space="preserve"> </w:t>
      </w:r>
      <w:r w:rsidR="00402C00" w:rsidRPr="005D4BA6">
        <w:rPr>
          <w:rFonts w:cs="Times New Roman"/>
          <w:i/>
          <w:iCs/>
        </w:rPr>
        <w:t>https://www.justice.gov/civil/consumer-protection-branch/money-mule-initiative</w:t>
      </w:r>
      <w:r w:rsidRPr="005D4BA6">
        <w:rPr>
          <w:rFonts w:cs="Times New Roman"/>
        </w:rPr>
        <w:t>.</w:t>
      </w:r>
    </w:p>
  </w:footnote>
  <w:footnote w:id="37">
    <w:p w14:paraId="67D52826" w14:textId="61FA711B" w:rsidR="00BA2DBC" w:rsidRPr="005D4BA6" w:rsidRDefault="00BA2DBC"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EUROPOL, “Money </w:t>
      </w:r>
      <w:proofErr w:type="spellStart"/>
      <w:r w:rsidRPr="005D4BA6">
        <w:rPr>
          <w:rFonts w:cs="Times New Roman"/>
        </w:rPr>
        <w:t>Muling</w:t>
      </w:r>
      <w:proofErr w:type="spellEnd"/>
      <w:r w:rsidRPr="005D4BA6">
        <w:rPr>
          <w:rFonts w:cs="Times New Roman"/>
        </w:rPr>
        <w:t>” (2016)</w:t>
      </w:r>
      <w:r w:rsidR="009C5C97" w:rsidRPr="005D4BA6">
        <w:rPr>
          <w:rFonts w:cs="Times New Roman"/>
        </w:rPr>
        <w:t>,</w:t>
      </w:r>
      <w:r w:rsidRPr="005D4BA6">
        <w:rPr>
          <w:rFonts w:cs="Times New Roman"/>
        </w:rPr>
        <w:t xml:space="preserve"> </w:t>
      </w:r>
      <w:r w:rsidRPr="005D4BA6">
        <w:rPr>
          <w:rFonts w:cs="Times New Roman"/>
          <w:i/>
          <w:iCs/>
        </w:rPr>
        <w:t>https://www.europol.europa.eu/operations-services-and-innovation/public-awareness-and-prevention-guides/money-muling.</w:t>
      </w:r>
    </w:p>
  </w:footnote>
  <w:footnote w:id="38">
    <w:p w14:paraId="777230F0" w14:textId="4E2515D2" w:rsidR="00BA2DBC" w:rsidRPr="005D4BA6" w:rsidRDefault="00BA2DBC"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NCA, </w:t>
      </w:r>
      <w:r w:rsidR="00402C00" w:rsidRPr="005D4BA6">
        <w:rPr>
          <w:rFonts w:cs="Times New Roman"/>
        </w:rPr>
        <w:t>“</w:t>
      </w:r>
      <w:r w:rsidRPr="005D4BA6">
        <w:rPr>
          <w:rFonts w:cs="Times New Roman"/>
        </w:rPr>
        <w:t xml:space="preserve">Money </w:t>
      </w:r>
      <w:proofErr w:type="spellStart"/>
      <w:r w:rsidRPr="005D4BA6">
        <w:rPr>
          <w:rFonts w:cs="Times New Roman"/>
        </w:rPr>
        <w:t>Muling</w:t>
      </w:r>
      <w:proofErr w:type="spellEnd"/>
      <w:r w:rsidR="00402C00" w:rsidRPr="005D4BA6">
        <w:rPr>
          <w:rFonts w:cs="Times New Roman"/>
        </w:rPr>
        <w:t xml:space="preserve">”, </w:t>
      </w:r>
      <w:r w:rsidR="009C5C97" w:rsidRPr="005D4BA6">
        <w:rPr>
          <w:rFonts w:cs="Times New Roman"/>
          <w:i/>
          <w:iCs/>
        </w:rPr>
        <w:t>https://www.nationalcrimeagency.gov.uk/what-we-do/crime-threats/fraud-and-economic-crime/money-muling</w:t>
      </w:r>
      <w:r w:rsidRPr="005D4BA6">
        <w:rPr>
          <w:rFonts w:cs="Times New Roman"/>
        </w:rPr>
        <w:t>.</w:t>
      </w:r>
    </w:p>
  </w:footnote>
  <w:footnote w:id="39">
    <w:p w14:paraId="05694745" w14:textId="6B907571"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w:t>
      </w:r>
      <w:proofErr w:type="spellStart"/>
      <w:r w:rsidRPr="005D4BA6">
        <w:rPr>
          <w:rFonts w:cs="Times New Roman"/>
          <w:sz w:val="20"/>
          <w:szCs w:val="20"/>
        </w:rPr>
        <w:t>Cifas</w:t>
      </w:r>
      <w:proofErr w:type="spellEnd"/>
      <w:r w:rsidRPr="005D4BA6">
        <w:rPr>
          <w:rFonts w:cs="Times New Roman"/>
          <w:sz w:val="20"/>
          <w:szCs w:val="20"/>
        </w:rPr>
        <w:t xml:space="preserve">, “Young Fraud Victims on the Rise: New Data Reveals 24% Rise in Under-21s Falling Victim to Identity Fraud” (2018), </w:t>
      </w:r>
      <w:r w:rsidRPr="005D4BA6">
        <w:rPr>
          <w:rFonts w:cs="Times New Roman"/>
          <w:i/>
          <w:sz w:val="20"/>
          <w:szCs w:val="20"/>
        </w:rPr>
        <w:t>https://www.cifas.org.uk/newsroom/young-fraud-victims-nine-month</w:t>
      </w:r>
      <w:r w:rsidRPr="005D4BA6">
        <w:rPr>
          <w:rFonts w:cs="Times New Roman"/>
          <w:sz w:val="20"/>
          <w:szCs w:val="20"/>
        </w:rPr>
        <w:t>.</w:t>
      </w:r>
    </w:p>
  </w:footnote>
  <w:footnote w:id="40">
    <w:p w14:paraId="6392B737" w14:textId="16D74EE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w:t>
      </w:r>
      <w:r w:rsidR="005D4BA6" w:rsidRPr="005D4BA6">
        <w:rPr>
          <w:rFonts w:cs="Times New Roman"/>
          <w:sz w:val="20"/>
          <w:szCs w:val="20"/>
        </w:rPr>
        <w:t xml:space="preserve">See for instance, </w:t>
      </w:r>
      <w:r w:rsidRPr="005D4BA6">
        <w:rPr>
          <w:rFonts w:cs="Times New Roman"/>
          <w:sz w:val="20"/>
          <w:szCs w:val="20"/>
        </w:rPr>
        <w:t>N. Keeling, “</w:t>
      </w:r>
      <w:r w:rsidRPr="005D4BA6">
        <w:rPr>
          <w:rFonts w:cs="Times New Roman"/>
          <w:sz w:val="20"/>
          <w:szCs w:val="20"/>
          <w:shd w:val="clear" w:color="auto" w:fill="FFFFFF"/>
        </w:rPr>
        <w:t xml:space="preserve">Medical Student’s Chances of Becoming a Doctor in Tatters After ’Bad Decision’ to Help Launder £60,000 Stolen from Elderly Flood Victim” (2019), </w:t>
      </w:r>
      <w:r w:rsidRPr="005D4BA6">
        <w:rPr>
          <w:rFonts w:cs="Times New Roman"/>
          <w:i/>
          <w:sz w:val="20"/>
          <w:szCs w:val="20"/>
          <w:shd w:val="clear" w:color="auto" w:fill="FFFFFF"/>
        </w:rPr>
        <w:t xml:space="preserve">Manchester Evening News, </w:t>
      </w:r>
      <w:r w:rsidRPr="005D4BA6">
        <w:rPr>
          <w:rFonts w:cs="Times New Roman"/>
          <w:i/>
          <w:sz w:val="20"/>
          <w:szCs w:val="20"/>
        </w:rPr>
        <w:t>https://www.manchestereveningnews.co.uk/news/greater-manchester-news/medical-students-chances-becoming-doctor-16881116</w:t>
      </w:r>
      <w:r w:rsidR="006619E7" w:rsidRPr="005D4BA6">
        <w:rPr>
          <w:rFonts w:cs="Times New Roman"/>
          <w:sz w:val="20"/>
          <w:szCs w:val="20"/>
        </w:rPr>
        <w:t>.</w:t>
      </w:r>
    </w:p>
  </w:footnote>
  <w:footnote w:id="41">
    <w:p w14:paraId="6CFC6401" w14:textId="20C7D006" w:rsidR="002B667E" w:rsidRPr="005D4BA6" w:rsidRDefault="002B667E" w:rsidP="005D4BA6">
      <w:pPr>
        <w:spacing w:after="0" w:line="480" w:lineRule="auto"/>
        <w:jc w:val="left"/>
        <w:rPr>
          <w:rFonts w:cs="Times New Roman"/>
          <w:sz w:val="20"/>
          <w:szCs w:val="20"/>
        </w:rPr>
      </w:pPr>
      <w:r w:rsidRPr="005D4BA6">
        <w:rPr>
          <w:rStyle w:val="FootnoteReference"/>
          <w:rFonts w:cs="Times New Roman"/>
          <w:sz w:val="20"/>
          <w:szCs w:val="20"/>
        </w:rPr>
        <w:footnoteRef/>
      </w:r>
      <w:r w:rsidR="00244205" w:rsidRPr="005D4BA6">
        <w:rPr>
          <w:rFonts w:cs="Times New Roman"/>
          <w:sz w:val="20"/>
          <w:szCs w:val="20"/>
        </w:rPr>
        <w:t xml:space="preserve"> </w:t>
      </w:r>
      <w:r w:rsidR="006619E7" w:rsidRPr="005D4BA6">
        <w:rPr>
          <w:rFonts w:cs="Times New Roman"/>
          <w:sz w:val="20"/>
          <w:szCs w:val="20"/>
        </w:rPr>
        <w:t>BBC, “</w:t>
      </w:r>
      <w:r w:rsidR="006619E7" w:rsidRPr="005D4BA6">
        <w:rPr>
          <w:rFonts w:eastAsia="Times New Roman" w:cs="Times New Roman"/>
          <w:kern w:val="36"/>
          <w:sz w:val="20"/>
          <w:szCs w:val="20"/>
          <w:lang w:eastAsia="en-GB"/>
        </w:rPr>
        <w:t xml:space="preserve">Student ‘Money Mules’ Sentenced for Money Laundering” (2018), </w:t>
      </w:r>
      <w:r w:rsidR="006619E7" w:rsidRPr="005D4BA6">
        <w:rPr>
          <w:rFonts w:cs="Times New Roman"/>
          <w:i/>
          <w:sz w:val="20"/>
          <w:szCs w:val="20"/>
        </w:rPr>
        <w:t>https://www.bbc.co.uk/news/uk-england-sussex-46196850.</w:t>
      </w:r>
    </w:p>
  </w:footnote>
  <w:footnote w:id="42">
    <w:p w14:paraId="0E8BAF72" w14:textId="1E451D75"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National Crime Agency, </w:t>
      </w:r>
      <w:r w:rsidRPr="005D4BA6">
        <w:rPr>
          <w:rFonts w:cs="Times New Roman"/>
          <w:i/>
          <w:sz w:val="20"/>
          <w:szCs w:val="20"/>
        </w:rPr>
        <w:t>National Strategic Assessment of Serious and Organised Crime</w:t>
      </w:r>
      <w:r w:rsidRPr="005D4BA6">
        <w:rPr>
          <w:rFonts w:cs="Times New Roman"/>
          <w:sz w:val="20"/>
          <w:szCs w:val="20"/>
        </w:rPr>
        <w:t>.</w:t>
      </w:r>
    </w:p>
  </w:footnote>
  <w:footnote w:id="43">
    <w:p w14:paraId="1FD66290" w14:textId="217A88C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Nationwide Building Society, “Mule Regret It: Cash-Strapped Students an Easy Target for Fraudsters as One in Three Willing to Take a Gamble with Money” (2021), </w:t>
      </w:r>
      <w:r w:rsidRPr="005D4BA6">
        <w:rPr>
          <w:rFonts w:cs="Times New Roman"/>
          <w:i/>
          <w:sz w:val="20"/>
          <w:szCs w:val="20"/>
        </w:rPr>
        <w:t>https://www.nationwidemediacentre.co.uk/news/mule-regret-it-cash-strapped-students-an-easy-target-for-fraudsters-as-one-in-three-willing-to-take-a-gamble-with-money#:~:text=Allowing%20people%20to%20use%20someone's,account%20for%20the%20same%20purpose</w:t>
      </w:r>
      <w:r w:rsidRPr="005D4BA6">
        <w:rPr>
          <w:rFonts w:cs="Times New Roman"/>
          <w:sz w:val="20"/>
          <w:szCs w:val="20"/>
        </w:rPr>
        <w:t>.</w:t>
      </w:r>
    </w:p>
  </w:footnote>
  <w:footnote w:id="44">
    <w:p w14:paraId="7E8FDFFD" w14:textId="08C87F52"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V. Shaw, “Three in Four Students Have Been Targeted by Scams – Survey”, (2021), </w:t>
      </w:r>
      <w:r w:rsidRPr="005D4BA6">
        <w:rPr>
          <w:rFonts w:cs="Times New Roman"/>
          <w:i/>
          <w:iCs/>
          <w:sz w:val="20"/>
          <w:szCs w:val="20"/>
        </w:rPr>
        <w:t>The Independent</w:t>
      </w:r>
      <w:r w:rsidRPr="005D4BA6">
        <w:rPr>
          <w:rFonts w:cs="Times New Roman"/>
          <w:sz w:val="20"/>
          <w:szCs w:val="20"/>
        </w:rPr>
        <w:t xml:space="preserve">, </w:t>
      </w:r>
      <w:r w:rsidRPr="005D4BA6">
        <w:rPr>
          <w:rFonts w:cs="Times New Roman"/>
          <w:i/>
          <w:sz w:val="20"/>
          <w:szCs w:val="20"/>
        </w:rPr>
        <w:t>https://www.independent.co.uk/money/three-in-four-students-have-been-targeted-by-scams-survey-b1895043.html</w:t>
      </w:r>
      <w:r w:rsidRPr="005D4BA6">
        <w:rPr>
          <w:rFonts w:cs="Times New Roman"/>
          <w:sz w:val="20"/>
          <w:szCs w:val="20"/>
        </w:rPr>
        <w:t>.</w:t>
      </w:r>
    </w:p>
  </w:footnote>
  <w:footnote w:id="45">
    <w:p w14:paraId="1ED4CCAD" w14:textId="7CF47A3F" w:rsidR="009110C1" w:rsidRPr="005D4BA6" w:rsidRDefault="009110C1"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A laundromat is a financial vehicle which helps its clients launder the proceeds of crime, the laundromat allows its clients to outsource their money laundering to what outwardly appears to be a legitimate operation</w:t>
      </w:r>
      <w:r w:rsidR="00C022BE" w:rsidRPr="005D4BA6">
        <w:rPr>
          <w:rFonts w:cs="Times New Roman"/>
        </w:rPr>
        <w:t>.</w:t>
      </w:r>
      <w:r w:rsidRPr="005D4BA6">
        <w:rPr>
          <w:rFonts w:cs="Times New Roman"/>
        </w:rPr>
        <w:t xml:space="preserve"> OCCRP, “Frequently Asked Questions: What is a Laundromat?” (2019), </w:t>
      </w:r>
      <w:r w:rsidR="009C5C97" w:rsidRPr="005D4BA6">
        <w:rPr>
          <w:rFonts w:cs="Times New Roman"/>
        </w:rPr>
        <w:t>https://www.occrp.org/en/laundromats/frequently-asked-questions#:~:text=What%20is%20a%20Laundromat%3F,restrictions%2C%20and%20move%20money%20offshore</w:t>
      </w:r>
      <w:r w:rsidRPr="005D4BA6">
        <w:rPr>
          <w:rFonts w:cs="Times New Roman"/>
          <w:i/>
          <w:iCs/>
        </w:rPr>
        <w:t>.</w:t>
      </w:r>
    </w:p>
  </w:footnote>
  <w:footnote w:id="46">
    <w:p w14:paraId="235F6D7C" w14:textId="40B4E8C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J. Armitage, “Top Private Schools ‘Unwittingly Take Laundered Money from Criminals’” (2014), </w:t>
      </w:r>
      <w:r w:rsidRPr="005D4BA6">
        <w:rPr>
          <w:rFonts w:cs="Times New Roman"/>
          <w:i/>
          <w:iCs/>
          <w:sz w:val="20"/>
          <w:szCs w:val="20"/>
        </w:rPr>
        <w:t>The Independent,</w:t>
      </w:r>
      <w:r w:rsidRPr="005D4BA6">
        <w:rPr>
          <w:rFonts w:cs="Times New Roman"/>
          <w:sz w:val="20"/>
          <w:szCs w:val="20"/>
        </w:rPr>
        <w:t xml:space="preserve"> </w:t>
      </w:r>
      <w:r w:rsidRPr="005D4BA6">
        <w:rPr>
          <w:rFonts w:cs="Times New Roman"/>
          <w:i/>
          <w:sz w:val="20"/>
          <w:szCs w:val="20"/>
        </w:rPr>
        <w:t>https://www.independent.co.uk/news/education/top-private-schools-unwittingly-accepting-laundered-money-wealthy-foreign-criminals-moldovan-police-occrp-a7640811.html</w:t>
      </w:r>
      <w:r w:rsidRPr="005D4BA6">
        <w:rPr>
          <w:rFonts w:cs="Times New Roman"/>
          <w:sz w:val="20"/>
          <w:szCs w:val="20"/>
        </w:rPr>
        <w:t>.</w:t>
      </w:r>
    </w:p>
  </w:footnote>
  <w:footnote w:id="47">
    <w:p w14:paraId="1EF7F981" w14:textId="6E179B6D"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J. Garside, “Elite UK School Fees Paid Via Tax Haven Firms, Leak Reveals” (2019), </w:t>
      </w:r>
      <w:r w:rsidRPr="005D4BA6">
        <w:rPr>
          <w:rFonts w:cs="Times New Roman"/>
          <w:i/>
          <w:sz w:val="20"/>
          <w:szCs w:val="20"/>
        </w:rPr>
        <w:t>The Guardian</w:t>
      </w:r>
      <w:r w:rsidRPr="005D4BA6">
        <w:rPr>
          <w:rFonts w:cs="Times New Roman"/>
          <w:sz w:val="20"/>
          <w:szCs w:val="20"/>
        </w:rPr>
        <w:t xml:space="preserve">, </w:t>
      </w:r>
      <w:r w:rsidRPr="005D4BA6">
        <w:rPr>
          <w:rFonts w:cs="Times New Roman"/>
          <w:i/>
          <w:sz w:val="20"/>
          <w:szCs w:val="20"/>
        </w:rPr>
        <w:t>https://www.theguardian.com/education/2019/mar/05/elite-uk-school-fees-paid-via-tax-haven-firms-leak-reveals</w:t>
      </w:r>
      <w:r w:rsidRPr="005D4BA6">
        <w:rPr>
          <w:rFonts w:cs="Times New Roman"/>
          <w:sz w:val="20"/>
          <w:szCs w:val="20"/>
        </w:rPr>
        <w:t>.</w:t>
      </w:r>
    </w:p>
  </w:footnote>
  <w:footnote w:id="48">
    <w:p w14:paraId="2A2B79F8" w14:textId="1B0D6A2F"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Transparency International UK, </w:t>
      </w:r>
      <w:r w:rsidRPr="005D4BA6">
        <w:rPr>
          <w:rFonts w:cs="Times New Roman"/>
          <w:i/>
          <w:sz w:val="20"/>
          <w:szCs w:val="20"/>
        </w:rPr>
        <w:t>At Your Service: Investigating How UK Businesses and Institutions Help Corrupt Individuals and Regimes Launder Their Money and Reputations</w:t>
      </w:r>
      <w:r w:rsidRPr="005D4BA6">
        <w:rPr>
          <w:rFonts w:cs="Times New Roman"/>
          <w:sz w:val="20"/>
          <w:szCs w:val="20"/>
        </w:rPr>
        <w:t xml:space="preserve"> (London: Transparency International, 2019) p.33.</w:t>
      </w:r>
    </w:p>
  </w:footnote>
  <w:footnote w:id="49">
    <w:p w14:paraId="60F2EA18" w14:textId="250CB7D3"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M.T. Page, “‘West African Elites’ Spending on UK Schools and Universities: A Closer Look”, p.1.</w:t>
      </w:r>
    </w:p>
  </w:footnote>
  <w:footnote w:id="50">
    <w:p w14:paraId="620B941A" w14:textId="541B79DF"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M.T. Page, “‘West African Elites’ Spending on UK Schools and Universities: A Closer Look” p.35.</w:t>
      </w:r>
    </w:p>
  </w:footnote>
  <w:footnote w:id="51">
    <w:p w14:paraId="713D8D2C" w14:textId="211A7C19"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w:t>
      </w:r>
      <w:r w:rsidRPr="005D4BA6">
        <w:rPr>
          <w:rFonts w:cs="Times New Roman"/>
          <w:lang w:val="en-US"/>
        </w:rPr>
        <w:t xml:space="preserve">J. </w:t>
      </w:r>
      <w:proofErr w:type="spellStart"/>
      <w:r w:rsidRPr="005D4BA6">
        <w:rPr>
          <w:rFonts w:cs="Times New Roman"/>
          <w:lang w:val="en-US"/>
        </w:rPr>
        <w:t>Corderoy</w:t>
      </w:r>
      <w:proofErr w:type="spellEnd"/>
      <w:r w:rsidRPr="005D4BA6">
        <w:rPr>
          <w:rFonts w:cs="Times New Roman"/>
          <w:lang w:val="en-US"/>
        </w:rPr>
        <w:t>, and M. Williams, “Close Kremlin Allies among Russian Donors who Gave £7m to British Universities” (Open Democracy,</w:t>
      </w:r>
      <w:r w:rsidR="009C5C97" w:rsidRPr="005D4BA6">
        <w:rPr>
          <w:rFonts w:cs="Times New Roman"/>
          <w:lang w:val="en-US"/>
        </w:rPr>
        <w:t xml:space="preserve"> </w:t>
      </w:r>
      <w:r w:rsidRPr="005D4BA6">
        <w:rPr>
          <w:rFonts w:cs="Times New Roman"/>
          <w:lang w:val="en-US"/>
        </w:rPr>
        <w:t>2022)</w:t>
      </w:r>
      <w:r w:rsidRPr="005D4BA6">
        <w:rPr>
          <w:rFonts w:cs="Times New Roman"/>
        </w:rPr>
        <w:t>,</w:t>
      </w:r>
      <w:r w:rsidRPr="005D4BA6">
        <w:rPr>
          <w:rFonts w:cs="Times New Roman"/>
          <w:i/>
        </w:rPr>
        <w:t xml:space="preserve"> https://www.opendemocracy.net/en/dark-money-investigations/universities-7m-russian-funders-oligarchs/</w:t>
      </w:r>
      <w:r w:rsidRPr="005D4BA6">
        <w:rPr>
          <w:rFonts w:cs="Times New Roman"/>
        </w:rPr>
        <w:t>.</w:t>
      </w:r>
    </w:p>
  </w:footnote>
  <w:footnote w:id="52">
    <w:p w14:paraId="5414C158" w14:textId="18CD2867"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G. Greenwood, and C. Parker, “Money Laundering Fears as Universities Accept £52m in Cash” (2021), </w:t>
      </w:r>
      <w:r w:rsidRPr="005D4BA6">
        <w:rPr>
          <w:rFonts w:cs="Times New Roman"/>
          <w:i/>
          <w:iCs/>
          <w:sz w:val="20"/>
          <w:szCs w:val="20"/>
        </w:rPr>
        <w:t>The Times,</w:t>
      </w:r>
      <w:r w:rsidRPr="005D4BA6">
        <w:rPr>
          <w:rFonts w:cs="Times New Roman"/>
          <w:sz w:val="20"/>
          <w:szCs w:val="20"/>
        </w:rPr>
        <w:t xml:space="preserve"> </w:t>
      </w:r>
      <w:r w:rsidRPr="005D4BA6">
        <w:rPr>
          <w:rFonts w:cs="Times New Roman"/>
          <w:i/>
          <w:sz w:val="20"/>
          <w:szCs w:val="20"/>
        </w:rPr>
        <w:t>https://www.thetimes.co.uk/article/money-laundering-fears-as-universities-accept-52m-in-cash-vrc7q6s9b</w:t>
      </w:r>
      <w:r w:rsidRPr="005D4BA6">
        <w:rPr>
          <w:rFonts w:cs="Times New Roman"/>
          <w:sz w:val="20"/>
          <w:szCs w:val="20"/>
        </w:rPr>
        <w:t>.</w:t>
      </w:r>
    </w:p>
  </w:footnote>
  <w:footnote w:id="53">
    <w:p w14:paraId="3B4A3AF7" w14:textId="3F075745"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w:t>
      </w:r>
    </w:p>
  </w:footnote>
  <w:footnote w:id="54">
    <w:p w14:paraId="34E48115" w14:textId="66554CC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B. Chapman, “Criminals Targeting Property in University Towns to Launder Dirty Cash” (2018), </w:t>
      </w:r>
      <w:r w:rsidRPr="005D4BA6">
        <w:rPr>
          <w:rFonts w:cs="Times New Roman"/>
          <w:i/>
          <w:sz w:val="20"/>
          <w:szCs w:val="20"/>
        </w:rPr>
        <w:t>https://www.independent.co.uk/news/business/analysis-and-features/criminals-target-property-university-towns-money-laundering-eatate-agents-a8537931.html</w:t>
      </w:r>
      <w:r w:rsidRPr="005D4BA6">
        <w:rPr>
          <w:rFonts w:cs="Times New Roman"/>
          <w:sz w:val="20"/>
          <w:szCs w:val="20"/>
        </w:rPr>
        <w:t>.</w:t>
      </w:r>
    </w:p>
  </w:footnote>
  <w:footnote w:id="55">
    <w:p w14:paraId="6F7BEE88" w14:textId="6F27B62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Emerging Terrorist Financing Risks</w:t>
      </w:r>
      <w:r w:rsidRPr="005D4BA6">
        <w:rPr>
          <w:rFonts w:cs="Times New Roman"/>
          <w:sz w:val="20"/>
          <w:szCs w:val="20"/>
        </w:rPr>
        <w:t xml:space="preserve"> (Paris: Financial Action Task Force, 2015) p.18.</w:t>
      </w:r>
    </w:p>
  </w:footnote>
  <w:footnote w:id="56">
    <w:p w14:paraId="007ABCCA" w14:textId="5F611C9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Emerging Terrorist Financing Risks</w:t>
      </w:r>
      <w:r w:rsidRPr="005D4BA6">
        <w:rPr>
          <w:rFonts w:cs="Times New Roman"/>
          <w:sz w:val="20"/>
          <w:szCs w:val="20"/>
        </w:rPr>
        <w:t>.</w:t>
      </w:r>
    </w:p>
  </w:footnote>
  <w:footnote w:id="57">
    <w:p w14:paraId="28279E7D" w14:textId="5DAD69DB" w:rsidR="00445ECD" w:rsidRPr="005D4BA6" w:rsidRDefault="00445ECD" w:rsidP="005D4BA6">
      <w:pPr>
        <w:spacing w:after="0" w:line="480" w:lineRule="auto"/>
        <w:jc w:val="left"/>
        <w:rPr>
          <w:rFonts w:eastAsiaTheme="minorEastAsia" w:cs="Times New Roman"/>
          <w:kern w:val="24"/>
          <w:sz w:val="20"/>
          <w:szCs w:val="20"/>
        </w:rPr>
      </w:pPr>
      <w:r w:rsidRPr="005D4BA6">
        <w:rPr>
          <w:rStyle w:val="FootnoteReference"/>
          <w:rFonts w:cs="Times New Roman"/>
          <w:sz w:val="20"/>
          <w:szCs w:val="20"/>
        </w:rPr>
        <w:footnoteRef/>
      </w:r>
      <w:r w:rsidRPr="005D4BA6">
        <w:rPr>
          <w:rFonts w:cs="Times New Roman"/>
          <w:sz w:val="20"/>
          <w:szCs w:val="20"/>
        </w:rPr>
        <w:t xml:space="preserve"> </w:t>
      </w:r>
      <w:hyperlink r:id="rId1" w:history="1">
        <w:r w:rsidRPr="005D4BA6">
          <w:rPr>
            <w:rFonts w:eastAsiaTheme="minorEastAsia" w:cs="Times New Roman"/>
            <w:i/>
            <w:iCs/>
            <w:kern w:val="24"/>
            <w:sz w:val="20"/>
            <w:szCs w:val="20"/>
          </w:rPr>
          <w:t>R v. Yahya Rashid</w:t>
        </w:r>
        <w:r w:rsidRPr="005D4BA6">
          <w:rPr>
            <w:rFonts w:eastAsiaTheme="minorEastAsia" w:cs="Times New Roman"/>
            <w:iCs/>
            <w:kern w:val="24"/>
            <w:sz w:val="20"/>
            <w:szCs w:val="20"/>
          </w:rPr>
          <w:t xml:space="preserve"> </w:t>
        </w:r>
      </w:hyperlink>
      <w:r w:rsidRPr="005D4BA6">
        <w:rPr>
          <w:rFonts w:eastAsiaTheme="minorEastAsia" w:cs="Times New Roman"/>
          <w:kern w:val="24"/>
          <w:sz w:val="20"/>
          <w:szCs w:val="20"/>
        </w:rPr>
        <w:t>[2016] EWCA Crim 568; [2016] 1 WLR 3156.</w:t>
      </w:r>
    </w:p>
  </w:footnote>
  <w:footnote w:id="58">
    <w:p w14:paraId="4B6F1A74" w14:textId="4D98EC0D" w:rsidR="00445ECD" w:rsidRPr="005D4BA6" w:rsidRDefault="00445ECD" w:rsidP="005D4BA6">
      <w:pPr>
        <w:spacing w:after="0" w:line="480" w:lineRule="auto"/>
        <w:jc w:val="left"/>
        <w:rPr>
          <w:rFonts w:eastAsia="Times New Roman" w:cs="Times New Roman"/>
          <w:spacing w:val="9"/>
          <w:kern w:val="36"/>
          <w:sz w:val="20"/>
          <w:szCs w:val="20"/>
          <w:lang w:eastAsia="en-GB"/>
        </w:rPr>
      </w:pPr>
      <w:r w:rsidRPr="005D4BA6">
        <w:rPr>
          <w:rStyle w:val="FootnoteReference"/>
          <w:rFonts w:cs="Times New Roman"/>
          <w:sz w:val="20"/>
          <w:szCs w:val="20"/>
        </w:rPr>
        <w:footnoteRef/>
      </w:r>
      <w:r w:rsidRPr="005D4BA6">
        <w:rPr>
          <w:rFonts w:cs="Times New Roman"/>
          <w:sz w:val="20"/>
          <w:szCs w:val="20"/>
        </w:rPr>
        <w:t xml:space="preserve"> R. </w:t>
      </w:r>
      <w:proofErr w:type="spellStart"/>
      <w:r w:rsidRPr="005D4BA6">
        <w:rPr>
          <w:rFonts w:cs="Times New Roman"/>
          <w:sz w:val="20"/>
          <w:szCs w:val="20"/>
        </w:rPr>
        <w:t>Mendick</w:t>
      </w:r>
      <w:proofErr w:type="spellEnd"/>
      <w:r w:rsidRPr="005D4BA6">
        <w:rPr>
          <w:rFonts w:cs="Times New Roman"/>
          <w:sz w:val="20"/>
          <w:szCs w:val="20"/>
        </w:rPr>
        <w:t>, “</w:t>
      </w:r>
      <w:r w:rsidRPr="005D4BA6">
        <w:rPr>
          <w:rFonts w:eastAsia="Times New Roman" w:cs="Times New Roman"/>
          <w:kern w:val="36"/>
          <w:sz w:val="20"/>
          <w:szCs w:val="20"/>
          <w:lang w:eastAsia="en-GB"/>
        </w:rPr>
        <w:t xml:space="preserve">Manchester Suicide Bomber Used Student Loan and Benefits to Fund Terror Plot” (2017), </w:t>
      </w:r>
      <w:r w:rsidRPr="005D4BA6">
        <w:rPr>
          <w:rFonts w:eastAsia="Times New Roman" w:cs="Times New Roman"/>
          <w:i/>
          <w:kern w:val="36"/>
          <w:sz w:val="20"/>
          <w:szCs w:val="20"/>
          <w:lang w:eastAsia="en-GB"/>
        </w:rPr>
        <w:t xml:space="preserve">The Telegraph, </w:t>
      </w:r>
      <w:r w:rsidRPr="005D4BA6">
        <w:rPr>
          <w:rFonts w:cs="Times New Roman"/>
          <w:i/>
          <w:sz w:val="20"/>
          <w:szCs w:val="20"/>
        </w:rPr>
        <w:t>https://www.telegraph.co.uk/news/2017/05/26/exclusive-manchester-suicide-bomber-used-student-loan-benefits/.</w:t>
      </w:r>
    </w:p>
  </w:footnote>
  <w:footnote w:id="59">
    <w:p w14:paraId="5257A1F0" w14:textId="77777777" w:rsidR="00CA5E77" w:rsidRPr="005D4BA6" w:rsidRDefault="00CA5E77" w:rsidP="005D4BA6">
      <w:pPr>
        <w:pStyle w:val="FootnoteText"/>
        <w:spacing w:line="480" w:lineRule="auto"/>
        <w:jc w:val="left"/>
        <w:rPr>
          <w:rFonts w:cs="Times New Roman"/>
          <w:iCs/>
        </w:rPr>
      </w:pPr>
      <w:r w:rsidRPr="005D4BA6">
        <w:rPr>
          <w:rStyle w:val="FootnoteReference"/>
          <w:rFonts w:cs="Times New Roman"/>
        </w:rPr>
        <w:footnoteRef/>
      </w:r>
      <w:r w:rsidRPr="005D4BA6">
        <w:rPr>
          <w:rFonts w:cs="Times New Roman"/>
        </w:rPr>
        <w:t xml:space="preserve"> Financial Conduct Authority, </w:t>
      </w:r>
      <w:proofErr w:type="spellStart"/>
      <w:r w:rsidRPr="005D4BA6">
        <w:rPr>
          <w:rFonts w:cs="Times New Roman"/>
          <w:i/>
        </w:rPr>
        <w:t>Cryptoassets</w:t>
      </w:r>
      <w:proofErr w:type="spellEnd"/>
      <w:r w:rsidRPr="005D4BA6">
        <w:rPr>
          <w:rFonts w:cs="Times New Roman"/>
          <w:i/>
        </w:rPr>
        <w:t xml:space="preserve"> Taskforce: Final Report</w:t>
      </w:r>
      <w:r w:rsidRPr="005D4BA6">
        <w:rPr>
          <w:rFonts w:cs="Times New Roman"/>
        </w:rPr>
        <w:t xml:space="preserve"> (Paris: Financial Conduct Authority 2018) p.11.</w:t>
      </w:r>
    </w:p>
  </w:footnote>
  <w:footnote w:id="60">
    <w:p w14:paraId="06EC621C" w14:textId="77777777" w:rsidR="00CA5E77" w:rsidRPr="005D4BA6" w:rsidRDefault="00CA5E77"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M.T. Page, “‘West African Elites’ Spending on UK Schools and Universities: A Closer Look”.</w:t>
      </w:r>
    </w:p>
  </w:footnote>
  <w:footnote w:id="61">
    <w:p w14:paraId="357C918E" w14:textId="1AEA62C7" w:rsidR="00CA5E77" w:rsidRPr="005D4BA6" w:rsidRDefault="00CA5E77"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Nationwide Building Society, “Mule Regret It: Cash-Strapped Students an Easy Target for Fraudsters as One in Three Willing to Take a Gamble with Money”; V. Shaw, “Three in Four Students Have Been Targeted by Scams – Survey”.</w:t>
      </w:r>
    </w:p>
  </w:footnote>
  <w:footnote w:id="62">
    <w:p w14:paraId="06E8D612" w14:textId="4453E2BA" w:rsidR="00CA5E77" w:rsidRPr="005D4BA6" w:rsidRDefault="00CA5E77"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H.M. Treasury and Home Office, </w:t>
      </w:r>
      <w:r w:rsidRPr="005D4BA6">
        <w:rPr>
          <w:rFonts w:cs="Times New Roman"/>
          <w:i/>
        </w:rPr>
        <w:t>National Risk Assessment of Money Laundering and Terrorist Financing 2020,</w:t>
      </w:r>
      <w:r w:rsidRPr="005D4BA6">
        <w:rPr>
          <w:rFonts w:cs="Times New Roman"/>
        </w:rPr>
        <w:t xml:space="preserve"> </w:t>
      </w:r>
      <w:r w:rsidRPr="005D4BA6">
        <w:rPr>
          <w:rFonts w:cs="Times New Roman"/>
          <w:lang w:val="en-US"/>
        </w:rPr>
        <w:t>p.</w:t>
      </w:r>
      <w:r w:rsidRPr="005D4BA6">
        <w:rPr>
          <w:rFonts w:cs="Times New Roman"/>
        </w:rPr>
        <w:t>125.</w:t>
      </w:r>
    </w:p>
  </w:footnote>
  <w:footnote w:id="63">
    <w:p w14:paraId="2D693014" w14:textId="77777777" w:rsidR="00CA5E77" w:rsidRPr="005D4BA6" w:rsidRDefault="00CA5E77"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National Economic Crime Centre, National Crime Agency, “Amber Alert: Bribery &amp; Corruption Risks to UK Independent Schools: Case Studies and Red Flags” (2020), </w:t>
      </w:r>
      <w:r w:rsidRPr="005D4BA6">
        <w:rPr>
          <w:rFonts w:cs="Times New Roman"/>
          <w:i/>
        </w:rPr>
        <w:t>https://www.nationalcrimeagency.gov.uk/who-we-are/publications/486-necc-bribery-corruption-risks-to-uk-independent-schools-alert/file</w:t>
      </w:r>
      <w:r w:rsidRPr="005D4BA6">
        <w:rPr>
          <w:rFonts w:cs="Times New Roman"/>
        </w:rPr>
        <w:t>.</w:t>
      </w:r>
    </w:p>
  </w:footnote>
  <w:footnote w:id="64">
    <w:p w14:paraId="3D581233" w14:textId="2B3BF8A5"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LexisNexis Risk Solutions, “</w:t>
      </w:r>
      <w:r w:rsidRPr="005D4BA6">
        <w:rPr>
          <w:rFonts w:cs="Times New Roman"/>
          <w:iCs/>
        </w:rPr>
        <w:t>Cutting the Costs of AML Compliance How Technology and Data Can Help Reduce the Costs of Compliance and Improve the Effectiveness of Controls”</w:t>
      </w:r>
      <w:r w:rsidRPr="005D4BA6">
        <w:rPr>
          <w:rFonts w:cs="Times New Roman"/>
        </w:rPr>
        <w:t xml:space="preserve"> (2021), </w:t>
      </w:r>
      <w:r w:rsidRPr="005D4BA6">
        <w:rPr>
          <w:rFonts w:cs="Times New Roman"/>
          <w:i/>
        </w:rPr>
        <w:t>https://www.oxfordeconomics.com/resource/cutting-the-costs-of-aml-compliance/.</w:t>
      </w:r>
    </w:p>
  </w:footnote>
  <w:footnote w:id="65">
    <w:p w14:paraId="76BF11E1" w14:textId="28EBEA1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M. Levi, P. Reuter, and T. Halliday, “Can the AML System Be Evaluated Without Better Data?” (2018) 69 CL&amp;SC 307.</w:t>
      </w:r>
    </w:p>
  </w:footnote>
  <w:footnote w:id="66">
    <w:p w14:paraId="3B6B18CD" w14:textId="02A8E2CC"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I. </w:t>
      </w:r>
      <w:proofErr w:type="spellStart"/>
      <w:r w:rsidRPr="005D4BA6">
        <w:rPr>
          <w:rFonts w:cs="Times New Roman"/>
        </w:rPr>
        <w:t>Zavoli</w:t>
      </w:r>
      <w:proofErr w:type="spellEnd"/>
      <w:r w:rsidRPr="005D4BA6">
        <w:rPr>
          <w:rFonts w:cs="Times New Roman"/>
        </w:rPr>
        <w:t>, and C. King, “The Challenges of Implementing Anti-Money Laundering Regulation: An Empirical Analysis” (2021) 84 MLR 740, 746.</w:t>
      </w:r>
    </w:p>
  </w:footnote>
  <w:footnote w:id="67">
    <w:p w14:paraId="7AF29970" w14:textId="48845B10" w:rsidR="00445ECD" w:rsidRPr="005D4BA6" w:rsidRDefault="00445ECD" w:rsidP="005D4BA6">
      <w:pPr>
        <w:pStyle w:val="Default"/>
        <w:spacing w:line="480" w:lineRule="auto"/>
        <w:rPr>
          <w:color w:val="auto"/>
          <w:sz w:val="20"/>
          <w:szCs w:val="20"/>
        </w:rPr>
      </w:pPr>
      <w:r w:rsidRPr="005D4BA6">
        <w:rPr>
          <w:rStyle w:val="FootnoteReference"/>
          <w:color w:val="auto"/>
          <w:sz w:val="20"/>
          <w:szCs w:val="20"/>
        </w:rPr>
        <w:footnoteRef/>
      </w:r>
      <w:r w:rsidRPr="005D4BA6">
        <w:rPr>
          <w:color w:val="auto"/>
          <w:sz w:val="20"/>
          <w:szCs w:val="20"/>
        </w:rPr>
        <w:t xml:space="preserve"> M. Gill, and G. Taylor, “Preventing Money Laundering or Obstructing Business? Financial Companies’ Perspectives on ‘Know Your Customer’ Procedures” (2004) 44 Brit J </w:t>
      </w:r>
      <w:proofErr w:type="spellStart"/>
      <w:r w:rsidRPr="005D4BA6">
        <w:rPr>
          <w:color w:val="auto"/>
          <w:sz w:val="20"/>
          <w:szCs w:val="20"/>
        </w:rPr>
        <w:t>Criminol</w:t>
      </w:r>
      <w:proofErr w:type="spellEnd"/>
      <w:r w:rsidRPr="005D4BA6">
        <w:rPr>
          <w:color w:val="auto"/>
          <w:sz w:val="20"/>
          <w:szCs w:val="20"/>
        </w:rPr>
        <w:t xml:space="preserve"> 582.</w:t>
      </w:r>
    </w:p>
  </w:footnote>
  <w:footnote w:id="68">
    <w:p w14:paraId="5A3E1E36" w14:textId="31B2D561"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A. </w:t>
      </w:r>
      <w:proofErr w:type="spellStart"/>
      <w:r w:rsidRPr="005D4BA6">
        <w:rPr>
          <w:rFonts w:cs="Times New Roman"/>
        </w:rPr>
        <w:t>Verhage</w:t>
      </w:r>
      <w:proofErr w:type="spellEnd"/>
      <w:r w:rsidRPr="005D4BA6">
        <w:rPr>
          <w:rFonts w:cs="Times New Roman"/>
        </w:rPr>
        <w:t xml:space="preserve">, </w:t>
      </w:r>
      <w:r w:rsidRPr="005D4BA6">
        <w:rPr>
          <w:rFonts w:cs="Times New Roman"/>
          <w:i/>
          <w:iCs/>
        </w:rPr>
        <w:t xml:space="preserve">The Anti Money Laundering Complex and the Compliance Industry </w:t>
      </w:r>
      <w:r w:rsidRPr="005D4BA6">
        <w:rPr>
          <w:rFonts w:cs="Times New Roman"/>
        </w:rPr>
        <w:t>(London: Routledge, 2011).</w:t>
      </w:r>
    </w:p>
  </w:footnote>
  <w:footnote w:id="69">
    <w:p w14:paraId="509B4522" w14:textId="55DC6610"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I. </w:t>
      </w:r>
      <w:proofErr w:type="spellStart"/>
      <w:r w:rsidRPr="005D4BA6">
        <w:rPr>
          <w:rFonts w:cs="Times New Roman"/>
        </w:rPr>
        <w:t>Zavoli</w:t>
      </w:r>
      <w:proofErr w:type="spellEnd"/>
      <w:r w:rsidRPr="005D4BA6">
        <w:rPr>
          <w:rFonts w:cs="Times New Roman"/>
        </w:rPr>
        <w:t>, and C. King, “The Challenges of Implementing Anti-Money Laundering Regulation: An Empirical Analysis”.</w:t>
      </w:r>
    </w:p>
  </w:footnote>
  <w:footnote w:id="70">
    <w:p w14:paraId="0F0D9E24" w14:textId="40916CA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K. Benson, </w:t>
      </w:r>
      <w:r w:rsidRPr="005D4BA6">
        <w:rPr>
          <w:rFonts w:eastAsia="Times New Roman" w:cs="Times New Roman"/>
          <w:i/>
          <w:iCs/>
          <w:kern w:val="36"/>
          <w:lang w:eastAsia="en-GB"/>
        </w:rPr>
        <w:t>Lawyers and the Proceeds of Crime: The Facilitation of Money Laundering and its Control</w:t>
      </w:r>
      <w:r w:rsidRPr="005D4BA6">
        <w:rPr>
          <w:rFonts w:eastAsia="Times New Roman" w:cs="Times New Roman"/>
          <w:kern w:val="36"/>
          <w:lang w:eastAsia="en-GB"/>
        </w:rPr>
        <w:t>.</w:t>
      </w:r>
    </w:p>
  </w:footnote>
  <w:footnote w:id="71">
    <w:p w14:paraId="64DAF138" w14:textId="19641043"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Universities UK, “Higher Education in Numbers” (2022), </w:t>
      </w:r>
      <w:r w:rsidRPr="005D4BA6">
        <w:rPr>
          <w:rFonts w:cs="Times New Roman"/>
          <w:i/>
          <w:sz w:val="20"/>
          <w:szCs w:val="20"/>
        </w:rPr>
        <w:t>https://www.universitiesuk.ac.uk/facts-and-stats/Pages/higher-education-data.aspx</w:t>
      </w:r>
      <w:r w:rsidRPr="005D4BA6">
        <w:rPr>
          <w:rFonts w:cs="Times New Roman"/>
          <w:sz w:val="20"/>
          <w:szCs w:val="20"/>
        </w:rPr>
        <w:t>.</w:t>
      </w:r>
    </w:p>
  </w:footnote>
  <w:footnote w:id="72">
    <w:p w14:paraId="3E64D48D" w14:textId="140543C5"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A. Savage, and R. Hyde, “Using Freedom of Information Requests to Facilitate Research” (2014) 17(3) </w:t>
      </w:r>
      <w:r w:rsidRPr="005D4BA6">
        <w:rPr>
          <w:rFonts w:cs="Times New Roman"/>
          <w:i/>
          <w:sz w:val="20"/>
          <w:szCs w:val="20"/>
        </w:rPr>
        <w:t>International Journal of Social Research Methodology</w:t>
      </w:r>
      <w:r w:rsidRPr="005D4BA6">
        <w:rPr>
          <w:rFonts w:cs="Times New Roman"/>
          <w:sz w:val="20"/>
          <w:szCs w:val="20"/>
        </w:rPr>
        <w:t xml:space="preserve"> 303, 308.</w:t>
      </w:r>
    </w:p>
  </w:footnote>
  <w:footnote w:id="73">
    <w:p w14:paraId="3D3AEB95" w14:textId="7FE6A653"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A. Savage, and R. Hyde, “Using Freedom of Information Requests to Facilitate Research”, 309.</w:t>
      </w:r>
    </w:p>
  </w:footnote>
  <w:footnote w:id="74">
    <w:p w14:paraId="40474232" w14:textId="3A8FCF76"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I. </w:t>
      </w:r>
      <w:proofErr w:type="spellStart"/>
      <w:r w:rsidRPr="005D4BA6">
        <w:rPr>
          <w:rFonts w:cs="Times New Roman"/>
        </w:rPr>
        <w:t>Zavoli</w:t>
      </w:r>
      <w:proofErr w:type="spellEnd"/>
      <w:r w:rsidRPr="005D4BA6">
        <w:rPr>
          <w:rFonts w:cs="Times New Roman"/>
        </w:rPr>
        <w:t>, and C. King, “The Challenges of Implementing Anti-Money Laundering Regulation: An Empirical Analysis”, 747.</w:t>
      </w:r>
    </w:p>
  </w:footnote>
  <w:footnote w:id="75">
    <w:p w14:paraId="7F166C1E" w14:textId="3A16BF87"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Proceeds of Crime Act 2002, s.327.</w:t>
      </w:r>
    </w:p>
  </w:footnote>
  <w:footnote w:id="76">
    <w:p w14:paraId="1A3EC871" w14:textId="4754A76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s.328.</w:t>
      </w:r>
    </w:p>
  </w:footnote>
  <w:footnote w:id="77">
    <w:p w14:paraId="759C4F2B" w14:textId="4D94484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s.329.</w:t>
      </w:r>
    </w:p>
  </w:footnote>
  <w:footnote w:id="78">
    <w:p w14:paraId="089626B3" w14:textId="6D59E154"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w:t>
      </w:r>
    </w:p>
  </w:footnote>
  <w:footnote w:id="79">
    <w:p w14:paraId="4CCF3253" w14:textId="2781DA7A"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Directive 2018/843.</w:t>
      </w:r>
    </w:p>
  </w:footnote>
  <w:footnote w:id="80">
    <w:p w14:paraId="06E8EC60" w14:textId="04FB7551"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POCA, ss.330-332.</w:t>
      </w:r>
    </w:p>
  </w:footnote>
  <w:footnote w:id="81">
    <w:p w14:paraId="4B0DD4C9" w14:textId="6964502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Anti-Money Laundering and Counter-Terrorist Financing Measures – United Kingdom, Fourth Round Mutual Evaluation Report</w:t>
      </w:r>
      <w:r w:rsidRPr="005D4BA6">
        <w:rPr>
          <w:rFonts w:cs="Times New Roman"/>
          <w:sz w:val="20"/>
          <w:szCs w:val="20"/>
        </w:rPr>
        <w:t xml:space="preserve"> (Paris: Financial Action Task Force, 2018), para 5.</w:t>
      </w:r>
    </w:p>
  </w:footnote>
  <w:footnote w:id="82">
    <w:p w14:paraId="6CA912A9" w14:textId="3DD055A7"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Anti-Money Laundering and Counter-Terrorist Financing Measures – United Kingdom, Fourth Round Mutual Evaluation Report</w:t>
      </w:r>
      <w:r w:rsidRPr="005D4BA6">
        <w:rPr>
          <w:rFonts w:cs="Times New Roman"/>
          <w:sz w:val="20"/>
          <w:szCs w:val="20"/>
        </w:rPr>
        <w:t>, para 4.</w:t>
      </w:r>
    </w:p>
  </w:footnote>
  <w:footnote w:id="83">
    <w:p w14:paraId="2D3DCFF6" w14:textId="5B67B386"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Style w:val="FootnoteReference"/>
          <w:rFonts w:cs="Times New Roman"/>
        </w:rPr>
        <w:t xml:space="preserve"> </w:t>
      </w:r>
      <w:r w:rsidRPr="005D4BA6">
        <w:rPr>
          <w:rFonts w:cs="Times New Roman"/>
        </w:rPr>
        <w:t>TACT, s.15.</w:t>
      </w:r>
    </w:p>
  </w:footnote>
  <w:footnote w:id="84">
    <w:p w14:paraId="375FDFDE" w14:textId="3C53A617"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s.16.</w:t>
      </w:r>
    </w:p>
  </w:footnote>
  <w:footnote w:id="85">
    <w:p w14:paraId="741C16C5" w14:textId="5278195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s.17.</w:t>
      </w:r>
    </w:p>
  </w:footnote>
  <w:footnote w:id="86">
    <w:p w14:paraId="74A27C93" w14:textId="0E0F49AD"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s.18.</w:t>
      </w:r>
    </w:p>
  </w:footnote>
  <w:footnote w:id="87">
    <w:p w14:paraId="1891FABB" w14:textId="7FBADC51"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ss.19 and 21A.</w:t>
      </w:r>
    </w:p>
  </w:footnote>
  <w:footnote w:id="88">
    <w:p w14:paraId="334C9DFE" w14:textId="12505195"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s.17A.</w:t>
      </w:r>
    </w:p>
  </w:footnote>
  <w:footnote w:id="89">
    <w:p w14:paraId="1D55ECBF" w14:textId="44DB5A75"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s.21D.</w:t>
      </w:r>
    </w:p>
  </w:footnote>
  <w:footnote w:id="90">
    <w:p w14:paraId="335A01EF" w14:textId="0DCFB95B"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27(1)(a).</w:t>
      </w:r>
    </w:p>
  </w:footnote>
  <w:footnote w:id="91">
    <w:p w14:paraId="1F08F203" w14:textId="75069113"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27(1)(b).</w:t>
      </w:r>
    </w:p>
  </w:footnote>
  <w:footnote w:id="92">
    <w:p w14:paraId="35391BCE" w14:textId="17F88EE0"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27(1)(c).</w:t>
      </w:r>
    </w:p>
  </w:footnote>
  <w:footnote w:id="93">
    <w:p w14:paraId="6AEC88F2" w14:textId="358DDC5A"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27(1)(d).</w:t>
      </w:r>
    </w:p>
  </w:footnote>
  <w:footnote w:id="94">
    <w:p w14:paraId="0F4EA753" w14:textId="1E4B2C4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w:t>
      </w:r>
    </w:p>
  </w:footnote>
  <w:footnote w:id="95">
    <w:p w14:paraId="5775D4EC" w14:textId="44EE99DA"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28(2)(c).</w:t>
      </w:r>
    </w:p>
  </w:footnote>
  <w:footnote w:id="96">
    <w:p w14:paraId="33C1994E" w14:textId="2902840E"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POCA, ss.330-332.</w:t>
      </w:r>
    </w:p>
  </w:footnote>
  <w:footnote w:id="97">
    <w:p w14:paraId="28F0D6A5" w14:textId="3955E9C0"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Anti-Money Laundering and Counter-Terrorist Financing Measures – United Kingdom, Fourth Round Mutual Evaluation Report</w:t>
      </w:r>
      <w:r w:rsidRPr="005D4BA6">
        <w:rPr>
          <w:rFonts w:cs="Times New Roman"/>
          <w:sz w:val="20"/>
          <w:szCs w:val="20"/>
        </w:rPr>
        <w:t>, para 6.</w:t>
      </w:r>
    </w:p>
  </w:footnote>
  <w:footnote w:id="98">
    <w:p w14:paraId="3A6732FC" w14:textId="468F7AAD"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Anti-Money Laundering and Counter-Terrorist Financing Measures – United Kingdom, Fourth Round Mutual Evaluation Report</w:t>
      </w:r>
      <w:r w:rsidRPr="005D4BA6">
        <w:rPr>
          <w:rFonts w:cs="Times New Roman"/>
          <w:sz w:val="20"/>
          <w:szCs w:val="20"/>
        </w:rPr>
        <w:t>.</w:t>
      </w:r>
    </w:p>
  </w:footnote>
  <w:footnote w:id="99">
    <w:p w14:paraId="241BCC7C" w14:textId="49C6AAA6"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Action Task Force, </w:t>
      </w:r>
      <w:r w:rsidRPr="005D4BA6">
        <w:rPr>
          <w:rFonts w:cs="Times New Roman"/>
          <w:i/>
          <w:sz w:val="20"/>
          <w:szCs w:val="20"/>
        </w:rPr>
        <w:t>Anti-Money Laundering and Counter-Terrorist Financing Measures – United Kingdom, Fourth Round Mutual Evaluation Report</w:t>
      </w:r>
      <w:r w:rsidRPr="005D4BA6">
        <w:rPr>
          <w:rFonts w:cs="Times New Roman"/>
          <w:sz w:val="20"/>
          <w:szCs w:val="20"/>
        </w:rPr>
        <w:t>.</w:t>
      </w:r>
    </w:p>
  </w:footnote>
  <w:footnote w:id="100">
    <w:p w14:paraId="598069D7" w14:textId="5E5A54CB"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Law Commission, </w:t>
      </w:r>
      <w:r w:rsidRPr="005D4BA6">
        <w:rPr>
          <w:rFonts w:cs="Times New Roman"/>
          <w:i/>
          <w:sz w:val="20"/>
          <w:szCs w:val="20"/>
        </w:rPr>
        <w:t>Anti-Money Laundering: The SARs Regime</w:t>
      </w:r>
      <w:r w:rsidRPr="005D4BA6">
        <w:rPr>
          <w:rFonts w:cs="Times New Roman"/>
          <w:sz w:val="20"/>
          <w:szCs w:val="20"/>
        </w:rPr>
        <w:t xml:space="preserve"> (HMSO, 2019), Law Com. No.384, HC 2098,</w:t>
      </w:r>
      <w:r w:rsidRPr="005D4BA6" w:rsidDel="00344F18">
        <w:rPr>
          <w:rFonts w:cs="Times New Roman"/>
          <w:sz w:val="20"/>
          <w:szCs w:val="20"/>
        </w:rPr>
        <w:t xml:space="preserve"> </w:t>
      </w:r>
      <w:r w:rsidRPr="005D4BA6">
        <w:rPr>
          <w:rFonts w:cs="Times New Roman"/>
          <w:sz w:val="20"/>
          <w:szCs w:val="20"/>
        </w:rPr>
        <w:t>para.5.11.</w:t>
      </w:r>
    </w:p>
  </w:footnote>
  <w:footnote w:id="101">
    <w:p w14:paraId="2E69512C" w14:textId="57B5C967"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Law Commission, </w:t>
      </w:r>
      <w:r w:rsidRPr="005D4BA6">
        <w:rPr>
          <w:rFonts w:cs="Times New Roman"/>
          <w:i/>
          <w:sz w:val="20"/>
          <w:szCs w:val="20"/>
        </w:rPr>
        <w:t>Anti-Money Laundering: The SARs Regime</w:t>
      </w:r>
      <w:r w:rsidRPr="005D4BA6">
        <w:rPr>
          <w:rFonts w:cs="Times New Roman"/>
          <w:sz w:val="20"/>
          <w:szCs w:val="20"/>
        </w:rPr>
        <w:t>, para.5.12.</w:t>
      </w:r>
    </w:p>
  </w:footnote>
  <w:footnote w:id="102">
    <w:p w14:paraId="195BC653" w14:textId="74C1F451" w:rsidR="00445ECD" w:rsidRPr="005D4BA6" w:rsidRDefault="00445ECD" w:rsidP="005D4BA6">
      <w:pPr>
        <w:spacing w:after="0" w:line="480" w:lineRule="auto"/>
        <w:jc w:val="left"/>
        <w:rPr>
          <w:rFonts w:cs="Times New Roman"/>
          <w:bCs/>
          <w:i/>
          <w:sz w:val="20"/>
          <w:szCs w:val="20"/>
        </w:rPr>
      </w:pPr>
      <w:r w:rsidRPr="005D4BA6">
        <w:rPr>
          <w:rStyle w:val="FootnoteReference"/>
          <w:rFonts w:cs="Times New Roman"/>
          <w:sz w:val="20"/>
          <w:szCs w:val="20"/>
        </w:rPr>
        <w:footnoteRef/>
      </w:r>
      <w:r w:rsidRPr="005D4BA6">
        <w:rPr>
          <w:rFonts w:cs="Times New Roman"/>
          <w:sz w:val="20"/>
          <w:szCs w:val="20"/>
        </w:rPr>
        <w:t xml:space="preserve"> Law Commission, </w:t>
      </w:r>
      <w:r w:rsidRPr="005D4BA6">
        <w:rPr>
          <w:rFonts w:cs="Times New Roman"/>
          <w:i/>
          <w:sz w:val="20"/>
          <w:szCs w:val="20"/>
        </w:rPr>
        <w:t>Anti-Money Laundering: The SARs Regime</w:t>
      </w:r>
      <w:r w:rsidRPr="005D4BA6">
        <w:rPr>
          <w:rFonts w:cs="Times New Roman"/>
          <w:sz w:val="20"/>
          <w:szCs w:val="20"/>
        </w:rPr>
        <w:t>, para.5.13;</w:t>
      </w:r>
      <w:r w:rsidR="00D15F12" w:rsidRPr="005D4BA6">
        <w:rPr>
          <w:rFonts w:cs="Times New Roman"/>
          <w:sz w:val="20"/>
          <w:szCs w:val="20"/>
        </w:rPr>
        <w:t xml:space="preserve"> </w:t>
      </w:r>
      <w:r w:rsidRPr="005D4BA6">
        <w:rPr>
          <w:rFonts w:cs="Times New Roman"/>
          <w:i/>
          <w:iCs/>
          <w:sz w:val="20"/>
          <w:szCs w:val="20"/>
        </w:rPr>
        <w:t xml:space="preserve">R v Da Silva </w:t>
      </w:r>
      <w:r w:rsidRPr="005D4BA6">
        <w:rPr>
          <w:rFonts w:cs="Times New Roman"/>
          <w:sz w:val="20"/>
          <w:szCs w:val="20"/>
        </w:rPr>
        <w:t>[2006] EWCA Crim 1654; [2007] 1 WLR 303.</w:t>
      </w:r>
    </w:p>
  </w:footnote>
  <w:footnote w:id="103">
    <w:p w14:paraId="37638FDF" w14:textId="67DEF7A1"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7 and Reg. 46(8).</w:t>
      </w:r>
    </w:p>
  </w:footnote>
  <w:footnote w:id="104">
    <w:p w14:paraId="05853262" w14:textId="53DE425D"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Services and Markets Act 2000, Part 1A.</w:t>
      </w:r>
    </w:p>
  </w:footnote>
  <w:footnote w:id="105">
    <w:p w14:paraId="61EA8D74" w14:textId="699337BA"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FSMA, s.137A-FD.</w:t>
      </w:r>
    </w:p>
  </w:footnote>
  <w:footnote w:id="106">
    <w:p w14:paraId="7CF329F8" w14:textId="08D1A3C4"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Specifically, SYSC 6.3, Financial Conduct Authority, “FCA Handbook”, </w:t>
      </w:r>
      <w:r w:rsidRPr="005D4BA6">
        <w:rPr>
          <w:rFonts w:cs="Times New Roman"/>
          <w:i/>
          <w:sz w:val="20"/>
          <w:szCs w:val="20"/>
        </w:rPr>
        <w:t>https://www.handbook.fca.org.uk/handbook.</w:t>
      </w:r>
    </w:p>
  </w:footnote>
  <w:footnote w:id="107">
    <w:p w14:paraId="11BC1014" w14:textId="6F6B39B4"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7.</w:t>
      </w:r>
    </w:p>
  </w:footnote>
  <w:footnote w:id="108">
    <w:p w14:paraId="76C17DCB" w14:textId="63CCAADE"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8(2).</w:t>
      </w:r>
    </w:p>
  </w:footnote>
  <w:footnote w:id="109">
    <w:p w14:paraId="2323A7AD" w14:textId="3DC3EF2D"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 8(2)(g).</w:t>
      </w:r>
    </w:p>
  </w:footnote>
  <w:footnote w:id="110">
    <w:p w14:paraId="7803CD3A" w14:textId="20BB53BD"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The 2017 Regulations, Reg. 14.</w:t>
      </w:r>
    </w:p>
  </w:footnote>
  <w:footnote w:id="111">
    <w:p w14:paraId="44E52D45" w14:textId="75D5C412"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5 answered ‘don’t know’, 16 declined to answer or provided an unclear clear answer. 87 HEIs do not consider themselves to be high value dealers.</w:t>
      </w:r>
    </w:p>
  </w:footnote>
  <w:footnote w:id="112">
    <w:p w14:paraId="27068C01" w14:textId="166A456E"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Financial Conduct Authority, “Money Laundering Registration” (2020), </w:t>
      </w:r>
      <w:r w:rsidRPr="005D4BA6">
        <w:rPr>
          <w:rFonts w:cs="Times New Roman"/>
          <w:i/>
          <w:sz w:val="20"/>
          <w:szCs w:val="20"/>
        </w:rPr>
        <w:t>https://www.fca.org.uk/firms/money-laundering-terrorist-financing/registration</w:t>
      </w:r>
      <w:r w:rsidRPr="005D4BA6">
        <w:rPr>
          <w:rFonts w:cs="Times New Roman"/>
          <w:sz w:val="20"/>
          <w:szCs w:val="20"/>
        </w:rPr>
        <w:t xml:space="preserve">; Financial Conduct Authority, “Office for Professional Body Anti-Money Laundering Supervision (OPBAS)” (2022), </w:t>
      </w:r>
      <w:r w:rsidRPr="005D4BA6">
        <w:rPr>
          <w:rFonts w:cs="Times New Roman"/>
          <w:i/>
          <w:sz w:val="20"/>
          <w:szCs w:val="20"/>
        </w:rPr>
        <w:t>https://www.fca.org.uk/opbas</w:t>
      </w:r>
      <w:r w:rsidRPr="005D4BA6">
        <w:rPr>
          <w:rFonts w:cs="Times New Roman"/>
          <w:sz w:val="20"/>
          <w:szCs w:val="20"/>
        </w:rPr>
        <w:t xml:space="preserve">; H.M. Revenue &amp; Customs, “Guidance: Register or Renew Your Money Laundering Supervision with HMRC” (2019) </w:t>
      </w:r>
      <w:r w:rsidRPr="005D4BA6">
        <w:rPr>
          <w:rFonts w:cs="Times New Roman"/>
          <w:i/>
          <w:sz w:val="20"/>
          <w:szCs w:val="20"/>
        </w:rPr>
        <w:t>https://www.gov.uk/guidance/register-or-renew-your-money-laundering-supervision-with-hmrc</w:t>
      </w:r>
      <w:r w:rsidRPr="005D4BA6">
        <w:rPr>
          <w:rFonts w:cs="Times New Roman"/>
          <w:sz w:val="20"/>
          <w:szCs w:val="20"/>
        </w:rPr>
        <w:t>.</w:t>
      </w:r>
    </w:p>
  </w:footnote>
  <w:footnote w:id="113">
    <w:p w14:paraId="4135D755" w14:textId="77C475F4"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H.M. Revenue &amp; Customs, “Guidance: Understanding Risks and Taking Action for High Value Dealers” (2021), </w:t>
      </w:r>
      <w:r w:rsidRPr="005D4BA6">
        <w:rPr>
          <w:rFonts w:cs="Times New Roman"/>
          <w:i/>
          <w:sz w:val="20"/>
          <w:szCs w:val="20"/>
        </w:rPr>
        <w:t>https://www.gov.uk/government/publications/money-laundering-understanding-risks-and-taking-action-for-high-value-dealers/understanding-risks-and-taking-action-for-high-value-dealers.</w:t>
      </w:r>
    </w:p>
  </w:footnote>
  <w:footnote w:id="114">
    <w:p w14:paraId="4992B0F8" w14:textId="26ECEDA1"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M.T. Page, “‘West African Elites’ Spending on UK Schools and Universities: A Closer Look”, p.24.</w:t>
      </w:r>
    </w:p>
  </w:footnote>
  <w:footnote w:id="115">
    <w:p w14:paraId="119F8812" w14:textId="1C2CA8EB"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FSMA, s.19.</w:t>
      </w:r>
    </w:p>
  </w:footnote>
  <w:footnote w:id="116">
    <w:p w14:paraId="1B9BF2D0" w14:textId="071878C3"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ss.330-331, TACT, s.21A, Sch.3A.</w:t>
      </w:r>
    </w:p>
  </w:footnote>
  <w:footnote w:id="117">
    <w:p w14:paraId="48BECB70" w14:textId="65573C5A"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ss.327-329; TACT, ss.15-18.</w:t>
      </w:r>
    </w:p>
  </w:footnote>
  <w:footnote w:id="118">
    <w:p w14:paraId="63BEFF48" w14:textId="635D04DC"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s.328(1).</w:t>
      </w:r>
    </w:p>
  </w:footnote>
  <w:footnote w:id="119">
    <w:p w14:paraId="315461AC" w14:textId="30E3295C"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s.340(3).</w:t>
      </w:r>
    </w:p>
  </w:footnote>
  <w:footnote w:id="120">
    <w:p w14:paraId="0D33C846" w14:textId="52D8DFFB"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s.340(2).</w:t>
      </w:r>
    </w:p>
  </w:footnote>
  <w:footnote w:id="121">
    <w:p w14:paraId="6163175E" w14:textId="720696D7"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POCA, s.430(3)(b).</w:t>
      </w:r>
    </w:p>
  </w:footnote>
  <w:footnote w:id="122">
    <w:p w14:paraId="1696CF2B" w14:textId="7F861D72"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TACT, s.21A.</w:t>
      </w:r>
    </w:p>
  </w:footnote>
  <w:footnote w:id="123">
    <w:p w14:paraId="32965EC4" w14:textId="59339906"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ss.327-329, s.338;</w:t>
      </w:r>
      <w:r w:rsidR="00DA4274" w:rsidRPr="005D4BA6">
        <w:rPr>
          <w:rFonts w:cs="Times New Roman"/>
          <w:sz w:val="20"/>
          <w:szCs w:val="20"/>
        </w:rPr>
        <w:t xml:space="preserve"> </w:t>
      </w:r>
      <w:r w:rsidRPr="005D4BA6">
        <w:rPr>
          <w:rFonts w:cs="Times New Roman"/>
          <w:sz w:val="20"/>
          <w:szCs w:val="20"/>
        </w:rPr>
        <w:t>TACT, s.21ZA, s.21ZB.</w:t>
      </w:r>
    </w:p>
  </w:footnote>
  <w:footnote w:id="124">
    <w:p w14:paraId="4DBE5D3E" w14:textId="71C5E0C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s.332, s.336, s.339ZA.</w:t>
      </w:r>
    </w:p>
  </w:footnote>
  <w:footnote w:id="125">
    <w:p w14:paraId="1B0BFDC6" w14:textId="2291BB2B"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Law Commission, </w:t>
      </w:r>
      <w:r w:rsidRPr="005D4BA6">
        <w:rPr>
          <w:rFonts w:cs="Times New Roman"/>
          <w:i/>
          <w:sz w:val="20"/>
          <w:szCs w:val="20"/>
        </w:rPr>
        <w:t>Corporate Criminal Liability: An Options Paper</w:t>
      </w:r>
      <w:r w:rsidRPr="005D4BA6">
        <w:rPr>
          <w:rFonts w:cs="Times New Roman"/>
          <w:sz w:val="20"/>
          <w:szCs w:val="20"/>
        </w:rPr>
        <w:t xml:space="preserve"> (London: Law Commission, 2022).</w:t>
      </w:r>
    </w:p>
  </w:footnote>
  <w:footnote w:id="126">
    <w:p w14:paraId="0569DD6E" w14:textId="05C4BC7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w:t>
      </w:r>
      <w:r w:rsidRPr="005D4BA6">
        <w:rPr>
          <w:rFonts w:cs="Times New Roman"/>
          <w:i/>
          <w:iCs/>
        </w:rPr>
        <w:t xml:space="preserve">Tesco v </w:t>
      </w:r>
      <w:proofErr w:type="spellStart"/>
      <w:r w:rsidRPr="005D4BA6">
        <w:rPr>
          <w:rFonts w:cs="Times New Roman"/>
          <w:i/>
          <w:iCs/>
        </w:rPr>
        <w:t>Nattrass</w:t>
      </w:r>
      <w:proofErr w:type="spellEnd"/>
      <w:r w:rsidRPr="005D4BA6">
        <w:rPr>
          <w:rFonts w:cs="Times New Roman"/>
        </w:rPr>
        <w:t xml:space="preserve"> [1972] AC 153 (HL).</w:t>
      </w:r>
    </w:p>
  </w:footnote>
  <w:footnote w:id="127">
    <w:p w14:paraId="49606E52" w14:textId="2C7DACF0"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Law Commission, </w:t>
      </w:r>
      <w:r w:rsidRPr="005D4BA6">
        <w:rPr>
          <w:rFonts w:cs="Times New Roman"/>
          <w:i/>
        </w:rPr>
        <w:t>Corporate Criminal Liability: A Discussion Paper</w:t>
      </w:r>
      <w:r w:rsidRPr="005D4BA6">
        <w:rPr>
          <w:rFonts w:cs="Times New Roman"/>
        </w:rPr>
        <w:t xml:space="preserve"> (London: Law Commission, 2021), pp.17-18.</w:t>
      </w:r>
    </w:p>
  </w:footnote>
  <w:footnote w:id="128">
    <w:p w14:paraId="137523D2" w14:textId="1876E68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R. </w:t>
      </w:r>
      <w:proofErr w:type="spellStart"/>
      <w:r w:rsidRPr="005D4BA6">
        <w:rPr>
          <w:rFonts w:cs="Times New Roman"/>
        </w:rPr>
        <w:t>Lööf</w:t>
      </w:r>
      <w:proofErr w:type="spellEnd"/>
      <w:r w:rsidRPr="005D4BA6">
        <w:rPr>
          <w:rFonts w:cs="Times New Roman"/>
        </w:rPr>
        <w:t>, ‘Corporate Agency and White Collar Crime – An Experience-Led Case for Causation-Based Corporate Liability for Criminal Harms’ (2020) 4 Crim LR 275.</w:t>
      </w:r>
    </w:p>
  </w:footnote>
  <w:footnote w:id="129">
    <w:p w14:paraId="0FEBF593" w14:textId="5274DD8C"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See </w:t>
      </w:r>
      <w:r w:rsidRPr="005D4BA6">
        <w:rPr>
          <w:rFonts w:cs="Times New Roman"/>
          <w:i/>
        </w:rPr>
        <w:t>Serious Fraud Office v Barclays Plc</w:t>
      </w:r>
      <w:r w:rsidRPr="005D4BA6">
        <w:rPr>
          <w:rFonts w:cs="Times New Roman"/>
        </w:rPr>
        <w:t xml:space="preserve"> [2018] EWHC 3055 (QB); [2020] 1 Cr App R 28.</w:t>
      </w:r>
    </w:p>
  </w:footnote>
  <w:footnote w:id="130">
    <w:p w14:paraId="6A38CA69" w14:textId="4DA4D9B5"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Bribery Act 2010, s.7(1), s.7(5).</w:t>
      </w:r>
    </w:p>
  </w:footnote>
  <w:footnote w:id="131">
    <w:p w14:paraId="194E9B3D" w14:textId="0E08516F"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lang w:val="en-US"/>
        </w:rPr>
        <w:t xml:space="preserve"> Crime and Courts Act 2013, Sch.17.</w:t>
      </w:r>
    </w:p>
  </w:footnote>
  <w:footnote w:id="132">
    <w:p w14:paraId="626ABF19" w14:textId="7028C665"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Criminal Finances Act 2017, ss.45-46.</w:t>
      </w:r>
    </w:p>
  </w:footnote>
  <w:footnote w:id="133">
    <w:p w14:paraId="7D5292FC" w14:textId="05790198"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H.M. Revenue &amp; Customs, “FOI Release: Number of Live Corporate Criminal Offences Investigations” (2022), </w:t>
      </w:r>
      <w:r w:rsidRPr="005D4BA6">
        <w:rPr>
          <w:rFonts w:cs="Times New Roman"/>
          <w:i/>
        </w:rPr>
        <w:t>https://www.gov.uk/government/publications/number-of-live-corporate-criminal-offences-investigations/number-of-live-corporate-criminal-offences-investigations</w:t>
      </w:r>
      <w:r w:rsidRPr="005D4BA6">
        <w:rPr>
          <w:rFonts w:cs="Times New Roman"/>
        </w:rPr>
        <w:t>.</w:t>
      </w:r>
    </w:p>
  </w:footnote>
  <w:footnote w:id="134">
    <w:p w14:paraId="20069777" w14:textId="6D553EF3"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Law Commission, </w:t>
      </w:r>
      <w:r w:rsidRPr="005D4BA6">
        <w:rPr>
          <w:rFonts w:cs="Times New Roman"/>
          <w:i/>
        </w:rPr>
        <w:t>Corporate Criminal Liability: An Options Paper</w:t>
      </w:r>
      <w:r w:rsidRPr="005D4BA6">
        <w:rPr>
          <w:rFonts w:cs="Times New Roman"/>
        </w:rPr>
        <w:t>, p.10.</w:t>
      </w:r>
    </w:p>
  </w:footnote>
  <w:footnote w:id="135">
    <w:p w14:paraId="7D47F380" w14:textId="1EBB768B" w:rsidR="00445ECD" w:rsidRPr="005D4BA6" w:rsidRDefault="00445ECD" w:rsidP="005D4BA6">
      <w:pPr>
        <w:pStyle w:val="FootnoteText"/>
        <w:spacing w:line="480" w:lineRule="auto"/>
        <w:jc w:val="left"/>
        <w:rPr>
          <w:rFonts w:cs="Times New Roman"/>
          <w:lang w:val="en-US"/>
        </w:rPr>
      </w:pPr>
      <w:r w:rsidRPr="005D4BA6">
        <w:rPr>
          <w:rStyle w:val="FootnoteReference"/>
          <w:rFonts w:cs="Times New Roman"/>
        </w:rPr>
        <w:footnoteRef/>
      </w:r>
      <w:r w:rsidRPr="005D4BA6">
        <w:rPr>
          <w:rFonts w:cs="Times New Roman"/>
        </w:rPr>
        <w:t xml:space="preserve"> </w:t>
      </w:r>
      <w:r w:rsidRPr="005D4BA6">
        <w:rPr>
          <w:rFonts w:cs="Times New Roman"/>
          <w:lang w:val="en-US"/>
        </w:rPr>
        <w:t>Financial Services HC Bill (2019-21) 225, Report Stage, 13 January 2021, NC30 (not called); HC Deb vol 687 col 355-359 13 January 2021.</w:t>
      </w:r>
    </w:p>
  </w:footnote>
  <w:footnote w:id="136">
    <w:p w14:paraId="0FDC099E" w14:textId="799B05F7" w:rsidR="00445ECD" w:rsidRPr="005D4BA6" w:rsidRDefault="00445ECD" w:rsidP="005D4BA6">
      <w:pPr>
        <w:pStyle w:val="FootnoteText"/>
        <w:spacing w:line="480" w:lineRule="auto"/>
        <w:jc w:val="left"/>
        <w:rPr>
          <w:rFonts w:cs="Times New Roman"/>
          <w:i/>
          <w:iCs/>
        </w:rPr>
      </w:pPr>
      <w:r w:rsidRPr="005D4BA6">
        <w:rPr>
          <w:rStyle w:val="FootnoteReference"/>
          <w:rFonts w:cs="Times New Roman"/>
        </w:rPr>
        <w:footnoteRef/>
      </w:r>
      <w:r w:rsidRPr="005D4BA6">
        <w:rPr>
          <w:rFonts w:cs="Times New Roman"/>
        </w:rPr>
        <w:t xml:space="preserve"> Economic Crime and Corporate Transparency HC Bill (2022-23) 154, Report Stage, 16 January 2023, NC4; Also see, HL 87 (2022), 141.</w:t>
      </w:r>
    </w:p>
  </w:footnote>
  <w:footnote w:id="137">
    <w:p w14:paraId="16D99B27" w14:textId="6BD5D365"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Conduct Authority, “Anti-Money Laundering” (2021), </w:t>
      </w:r>
      <w:r w:rsidRPr="005D4BA6">
        <w:rPr>
          <w:rFonts w:cs="Times New Roman"/>
          <w:i/>
        </w:rPr>
        <w:t>https://www.fca.org.uk/firms/financial-crime/money-laundering-terrorist-financing.</w:t>
      </w:r>
    </w:p>
  </w:footnote>
  <w:footnote w:id="138">
    <w:p w14:paraId="13027D1F" w14:textId="426FE531"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Conduct Authority, “FCA Handbook”, SYSC 6.1.1.</w:t>
      </w:r>
    </w:p>
  </w:footnote>
  <w:footnote w:id="139">
    <w:p w14:paraId="1112CCA1" w14:textId="055EB36D" w:rsidR="00DA4274" w:rsidRPr="005D4BA6" w:rsidRDefault="00DA4274" w:rsidP="005D4BA6">
      <w:pPr>
        <w:pStyle w:val="Heading1"/>
        <w:shd w:val="clear" w:color="auto" w:fill="FFFFFF"/>
        <w:spacing w:before="0" w:after="0" w:line="480" w:lineRule="auto"/>
        <w:rPr>
          <w:rFonts w:eastAsia="Times New Roman" w:cs="Times New Roman"/>
          <w:b w:val="0"/>
          <w:bCs/>
          <w:kern w:val="36"/>
          <w:sz w:val="20"/>
          <w:szCs w:val="20"/>
          <w:lang w:eastAsia="en-GB"/>
        </w:rPr>
      </w:pPr>
      <w:r w:rsidRPr="005D4BA6">
        <w:rPr>
          <w:rStyle w:val="FootnoteReference"/>
          <w:rFonts w:cs="Times New Roman"/>
          <w:b w:val="0"/>
          <w:bCs/>
          <w:sz w:val="20"/>
          <w:szCs w:val="20"/>
        </w:rPr>
        <w:footnoteRef/>
      </w:r>
      <w:r w:rsidRPr="005D4BA6">
        <w:rPr>
          <w:rFonts w:cs="Times New Roman"/>
          <w:b w:val="0"/>
          <w:bCs/>
          <w:sz w:val="20"/>
          <w:szCs w:val="20"/>
        </w:rPr>
        <w:t xml:space="preserve"> For example, Financial Conduct Authority “</w:t>
      </w:r>
      <w:r w:rsidRPr="005D4BA6">
        <w:rPr>
          <w:rFonts w:eastAsia="Times New Roman" w:cs="Times New Roman"/>
          <w:b w:val="0"/>
          <w:bCs/>
          <w:kern w:val="36"/>
          <w:sz w:val="20"/>
          <w:szCs w:val="20"/>
          <w:lang w:eastAsia="en-GB"/>
        </w:rPr>
        <w:t xml:space="preserve">FCA Imposes Penalties on </w:t>
      </w:r>
      <w:proofErr w:type="spellStart"/>
      <w:r w:rsidRPr="005D4BA6">
        <w:rPr>
          <w:rFonts w:eastAsia="Times New Roman" w:cs="Times New Roman"/>
          <w:b w:val="0"/>
          <w:bCs/>
          <w:kern w:val="36"/>
          <w:sz w:val="20"/>
          <w:szCs w:val="20"/>
          <w:lang w:eastAsia="en-GB"/>
        </w:rPr>
        <w:t>Sonali</w:t>
      </w:r>
      <w:proofErr w:type="spellEnd"/>
      <w:r w:rsidRPr="005D4BA6">
        <w:rPr>
          <w:rFonts w:eastAsia="Times New Roman" w:cs="Times New Roman"/>
          <w:b w:val="0"/>
          <w:bCs/>
          <w:kern w:val="36"/>
          <w:sz w:val="20"/>
          <w:szCs w:val="20"/>
          <w:lang w:eastAsia="en-GB"/>
        </w:rPr>
        <w:t xml:space="preserve"> Bank (UK) Limited and its Former Money Laundering Reporting Officer for Serious Anti-Money Laundering Systems Failings” (2016), </w:t>
      </w:r>
      <w:r w:rsidRPr="005D4BA6">
        <w:rPr>
          <w:rFonts w:cs="Times New Roman"/>
          <w:b w:val="0"/>
          <w:i/>
          <w:sz w:val="20"/>
          <w:szCs w:val="20"/>
        </w:rPr>
        <w:t>https://www.fca.org.uk/news/press-releases/fca-imposes-penalties-sonali-bank-uk-limited-money-laundering</w:t>
      </w:r>
      <w:r w:rsidRPr="005D4BA6">
        <w:rPr>
          <w:rFonts w:eastAsiaTheme="minorHAnsi" w:cs="Times New Roman"/>
          <w:b w:val="0"/>
          <w:bCs/>
          <w:i/>
          <w:sz w:val="20"/>
          <w:szCs w:val="20"/>
        </w:rPr>
        <w:t>.</w:t>
      </w:r>
    </w:p>
  </w:footnote>
  <w:footnote w:id="140">
    <w:p w14:paraId="1940E447" w14:textId="77777777" w:rsidR="00DA4274" w:rsidRPr="005D4BA6" w:rsidRDefault="00DA4274" w:rsidP="005D4BA6">
      <w:pPr>
        <w:pStyle w:val="FootnoteText"/>
        <w:spacing w:line="480" w:lineRule="auto"/>
        <w:jc w:val="left"/>
        <w:rPr>
          <w:rFonts w:cs="Times New Roman"/>
        </w:rPr>
      </w:pPr>
      <w:r w:rsidRPr="005D4BA6">
        <w:rPr>
          <w:rStyle w:val="FootnoteReference"/>
          <w:rFonts w:eastAsiaTheme="majorEastAsia" w:cs="Times New Roman"/>
        </w:rPr>
        <w:footnoteRef/>
      </w:r>
      <w:r w:rsidRPr="005D4BA6">
        <w:rPr>
          <w:rFonts w:eastAsiaTheme="majorEastAsia" w:cs="Times New Roman"/>
        </w:rPr>
        <w:t xml:space="preserve"> For example, Financial Conduct Authority, ‘</w:t>
      </w:r>
      <w:r w:rsidRPr="005D4BA6">
        <w:rPr>
          <w:rFonts w:eastAsia="Times New Roman" w:cs="Times New Roman"/>
          <w:kern w:val="36"/>
          <w:lang w:eastAsia="en-GB"/>
        </w:rPr>
        <w:t xml:space="preserve">FCA Fines Santander UK £107.7 Million for Repeated Anti-Money Laundering Failures’ (2022), </w:t>
      </w:r>
      <w:r w:rsidRPr="005D4BA6">
        <w:rPr>
          <w:rFonts w:cs="Times New Roman"/>
          <w:i/>
        </w:rPr>
        <w:t>https://www.fca.org.uk/news/press-releases/fca-fines-santander-uk-repeated-anti-money-laundering-failures</w:t>
      </w:r>
      <w:r w:rsidRPr="005D4BA6">
        <w:rPr>
          <w:rFonts w:eastAsiaTheme="majorEastAsia" w:cs="Times New Roman"/>
        </w:rPr>
        <w:t>.</w:t>
      </w:r>
    </w:p>
  </w:footnote>
  <w:footnote w:id="141">
    <w:p w14:paraId="69823C93" w14:textId="77777777" w:rsidR="00DA4274" w:rsidRPr="005D4BA6" w:rsidRDefault="00DA4274"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FSMA, s.206(1).</w:t>
      </w:r>
    </w:p>
  </w:footnote>
  <w:footnote w:id="142">
    <w:p w14:paraId="0C373329" w14:textId="741755C7"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Conduct Authority, “FCA Handbook”.</w:t>
      </w:r>
    </w:p>
  </w:footnote>
  <w:footnote w:id="143">
    <w:p w14:paraId="3CB272C7" w14:textId="132862E2"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G. Greenwood, and C. Parker, “Money Laundering Fears as Universities Accept £52m in Cash”</w:t>
      </w:r>
      <w:r w:rsidR="003977FA" w:rsidRPr="005D4BA6">
        <w:rPr>
          <w:rFonts w:cs="Times New Roman"/>
        </w:rPr>
        <w:t>.</w:t>
      </w:r>
    </w:p>
  </w:footnote>
  <w:footnote w:id="144">
    <w:p w14:paraId="5B53D532" w14:textId="315AB46C"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 24.</w:t>
      </w:r>
    </w:p>
  </w:footnote>
  <w:footnote w:id="145">
    <w:p w14:paraId="2AC66A34" w14:textId="6ABE892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104 HEIs answered this question.</w:t>
      </w:r>
    </w:p>
  </w:footnote>
  <w:footnote w:id="146">
    <w:p w14:paraId="18E50444" w14:textId="29D372E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106 HEIs answered this question.</w:t>
      </w:r>
    </w:p>
  </w:footnote>
  <w:footnote w:id="147">
    <w:p w14:paraId="24E16119" w14:textId="2A4904CF"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w:t>
      </w:r>
      <w:r w:rsidRPr="005D4BA6" w:rsidDel="005F6EB5">
        <w:rPr>
          <w:rFonts w:cs="Times New Roman"/>
        </w:rPr>
        <w:t xml:space="preserve"> </w:t>
      </w:r>
      <w:r w:rsidRPr="005D4BA6">
        <w:rPr>
          <w:rFonts w:cs="Times New Roman"/>
        </w:rPr>
        <w:t>Reg. 24.</w:t>
      </w:r>
    </w:p>
  </w:footnote>
  <w:footnote w:id="148">
    <w:p w14:paraId="7556BEFD" w14:textId="77777777"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105 HEIs answered this question.</w:t>
      </w:r>
    </w:p>
  </w:footnote>
  <w:footnote w:id="149">
    <w:p w14:paraId="1BE9F7FC" w14:textId="4E4A3F2F"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100 HEIs provided additional detail regarding categories of staff.</w:t>
      </w:r>
    </w:p>
  </w:footnote>
  <w:footnote w:id="150">
    <w:p w14:paraId="64FC0D5D" w14:textId="37294002"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We propose the following amendments to </w:t>
      </w:r>
      <w:r w:rsidR="00E4533C" w:rsidRPr="005D4BA6">
        <w:rPr>
          <w:rFonts w:cs="Times New Roman"/>
        </w:rPr>
        <w:t>the</w:t>
      </w:r>
      <w:r w:rsidRPr="005D4BA6">
        <w:rPr>
          <w:rFonts w:cs="Times New Roman"/>
        </w:rPr>
        <w:t xml:space="preserve"> 2017 Regulations, Reg. 3(1), General Interpretation, ‘“higher education provider” has the meaning given by s.83 of the Higher Education and Research Act 2017’; Reg. 8(2)(l), Application, English higher education providers. We also propose consequential amendments to the POCA, Sch.9, Part 1, 1(1) and the TACT, Sch.3A, Part 1, 1(1), specifically, the addition of, ‘(w) the provision of services and activities within the meaning of section 83 of the Higher Education and Research Act 2017’.</w:t>
      </w:r>
    </w:p>
  </w:footnote>
  <w:footnote w:id="151">
    <w:p w14:paraId="197D5862" w14:textId="007A2271"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 7(1)(a), Supervisory Authorities, ‘(x) English higher education </w:t>
      </w:r>
      <w:r w:rsidRPr="005D4BA6">
        <w:rPr>
          <w:rFonts w:cs="Times New Roman"/>
        </w:rPr>
        <w:t>providers’.</w:t>
      </w:r>
    </w:p>
  </w:footnote>
  <w:footnote w:id="152">
    <w:p w14:paraId="79DB2CA0" w14:textId="7B2CF88D"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101 HEIs answered this question.</w:t>
      </w:r>
    </w:p>
  </w:footnote>
  <w:footnote w:id="153">
    <w:p w14:paraId="684BEB29" w14:textId="7335B439"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We Fight Fraud, “Crooks on Campus” (2021),</w:t>
      </w:r>
      <w:r w:rsidR="00E4533C" w:rsidRPr="005D4BA6">
        <w:rPr>
          <w:rFonts w:cs="Times New Roman"/>
          <w:sz w:val="20"/>
          <w:szCs w:val="20"/>
        </w:rPr>
        <w:t xml:space="preserve"> </w:t>
      </w:r>
      <w:r w:rsidRPr="005D4BA6">
        <w:rPr>
          <w:rFonts w:cs="Times New Roman"/>
          <w:i/>
          <w:sz w:val="20"/>
          <w:szCs w:val="20"/>
        </w:rPr>
        <w:t>https://crooksoncampus.co.uk/</w:t>
      </w:r>
      <w:r w:rsidRPr="005D4BA6">
        <w:rPr>
          <w:rFonts w:cs="Times New Roman"/>
          <w:sz w:val="20"/>
          <w:szCs w:val="20"/>
        </w:rPr>
        <w:t>.</w:t>
      </w:r>
    </w:p>
  </w:footnote>
  <w:footnote w:id="154">
    <w:p w14:paraId="4389799B" w14:textId="3898892C"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Nationwide Building Society, “Mule Regret It: Cash-Strapped Students an Easy Target for Fraudsters as One in Three Willing to Take a Gamble with Money”; V. Shaw, “Three in Four Students Have Been Targeted by Scams – Survey”.</w:t>
      </w:r>
    </w:p>
  </w:footnote>
  <w:footnote w:id="155">
    <w:p w14:paraId="5AB11B38" w14:textId="4F941AF4"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G. Greenwood, and C. Parker, “Money Laundering Fears as Universities Accept £52m in Cash”.</w:t>
      </w:r>
    </w:p>
  </w:footnote>
  <w:footnote w:id="156">
    <w:p w14:paraId="1D92FAC7" w14:textId="45D5A90B"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 33(6)(a)(v).</w:t>
      </w:r>
    </w:p>
  </w:footnote>
  <w:footnote w:id="157">
    <w:p w14:paraId="39CE1F91" w14:textId="686B5141"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 8(2)(g), Reg. 14.</w:t>
      </w:r>
    </w:p>
  </w:footnote>
  <w:footnote w:id="158">
    <w:p w14:paraId="55EF7BB3" w14:textId="1FC14F58"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101 HEIs answered this question.</w:t>
      </w:r>
    </w:p>
  </w:footnote>
  <w:footnote w:id="159">
    <w:p w14:paraId="5F696E72" w14:textId="706F0F8A"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G. Greenwood, and C. Parker, “Money Laundering Fears as Universities Accept £52m in Cash”.</w:t>
      </w:r>
    </w:p>
  </w:footnote>
  <w:footnote w:id="160">
    <w:p w14:paraId="3D392910" w14:textId="24416074"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Financial Action Task Force, </w:t>
      </w:r>
      <w:r w:rsidRPr="005D4BA6">
        <w:rPr>
          <w:rFonts w:cs="Times New Roman"/>
          <w:i/>
        </w:rPr>
        <w:t>Money Laundering Through the Physical Transportation of Cash</w:t>
      </w:r>
      <w:r w:rsidRPr="005D4BA6">
        <w:rPr>
          <w:rFonts w:cs="Times New Roman"/>
        </w:rPr>
        <w:t xml:space="preserve"> (Paris: Financial Action Task Force, 2015).</w:t>
      </w:r>
    </w:p>
  </w:footnote>
  <w:footnote w:id="161">
    <w:p w14:paraId="2849700B" w14:textId="104AC01D"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Higher Education Statistics Agency, “What is the Income of HE Providers?” (2022),</w:t>
      </w:r>
      <w:r w:rsidR="00FD493A" w:rsidRPr="005D4BA6">
        <w:rPr>
          <w:rFonts w:cs="Times New Roman"/>
        </w:rPr>
        <w:t xml:space="preserve"> </w:t>
      </w:r>
      <w:r w:rsidRPr="005D4BA6">
        <w:rPr>
          <w:rFonts w:cs="Times New Roman"/>
          <w:i/>
        </w:rPr>
        <w:t>https://www.hesa.ac.uk/data-and-analysis/finances/income</w:t>
      </w:r>
      <w:r w:rsidRPr="005D4BA6">
        <w:rPr>
          <w:rFonts w:cs="Times New Roman"/>
        </w:rPr>
        <w:t>.</w:t>
      </w:r>
    </w:p>
  </w:footnote>
  <w:footnote w:id="162">
    <w:p w14:paraId="54E92939" w14:textId="2E3FAF6E"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Such as, the appointment of a nominated officer to receive SARs, The 2017 Regulations, Reg. 21(3).</w:t>
      </w:r>
    </w:p>
  </w:footnote>
  <w:footnote w:id="163">
    <w:p w14:paraId="0351DA54" w14:textId="1897E8DE"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POCA, ss.327-329; TACT, ss.15-18.</w:t>
      </w:r>
    </w:p>
  </w:footnote>
  <w:footnote w:id="164">
    <w:p w14:paraId="7631873A" w14:textId="4418D805"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National Crime Agency, </w:t>
      </w:r>
      <w:r w:rsidRPr="005D4BA6">
        <w:rPr>
          <w:rFonts w:cs="Times New Roman"/>
          <w:i/>
          <w:sz w:val="20"/>
          <w:szCs w:val="20"/>
        </w:rPr>
        <w:t>UK Financial Intelligence Unit: Suspicious Activity Reports Annual Report</w:t>
      </w:r>
      <w:r w:rsidRPr="005D4BA6">
        <w:rPr>
          <w:rFonts w:cs="Times New Roman"/>
          <w:sz w:val="20"/>
          <w:szCs w:val="20"/>
        </w:rPr>
        <w:t xml:space="preserve"> (London: National Crime Agency, 2018) p.15; National Crime Agency, </w:t>
      </w:r>
      <w:r w:rsidRPr="005D4BA6">
        <w:rPr>
          <w:rFonts w:cs="Times New Roman"/>
          <w:i/>
          <w:sz w:val="20"/>
          <w:szCs w:val="20"/>
        </w:rPr>
        <w:t>UK Financial Intelligence Unit: Suspicious Activity Reports Annual Report</w:t>
      </w:r>
      <w:r w:rsidRPr="005D4BA6">
        <w:rPr>
          <w:rFonts w:cs="Times New Roman"/>
          <w:sz w:val="20"/>
          <w:szCs w:val="20"/>
        </w:rPr>
        <w:t xml:space="preserve"> (London: National Crime Agency, 2019) p.15.</w:t>
      </w:r>
    </w:p>
  </w:footnote>
  <w:footnote w:id="165">
    <w:p w14:paraId="651DBD8C" w14:textId="093CA596"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M. Morgan-Bentley, “Action Fraud Scrapped After Times Expose” (2021), </w:t>
      </w:r>
      <w:r w:rsidRPr="005D4BA6">
        <w:rPr>
          <w:rFonts w:cs="Times New Roman"/>
          <w:i/>
        </w:rPr>
        <w:t>The Times</w:t>
      </w:r>
      <w:r w:rsidRPr="005D4BA6">
        <w:rPr>
          <w:rFonts w:cs="Times New Roman"/>
        </w:rPr>
        <w:t xml:space="preserve">, </w:t>
      </w:r>
      <w:r w:rsidRPr="005D4BA6">
        <w:rPr>
          <w:rFonts w:cs="Times New Roman"/>
          <w:i/>
        </w:rPr>
        <w:t>https://www.thetimes.co.uk/article/fraud-line-scrapped-after-times-expose-n2tlkbmrv.</w:t>
      </w:r>
    </w:p>
  </w:footnote>
  <w:footnote w:id="166">
    <w:p w14:paraId="560838DE" w14:textId="58B44E60"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w:t>
      </w:r>
      <w:bookmarkStart w:id="25" w:name="_Hlk124439366"/>
      <w:r w:rsidRPr="005D4BA6">
        <w:rPr>
          <w:rFonts w:cs="Times New Roman"/>
        </w:rPr>
        <w:t>The 2017 Regulations, Reg 28(10).</w:t>
      </w:r>
      <w:bookmarkEnd w:id="25"/>
    </w:p>
  </w:footnote>
  <w:footnote w:id="167">
    <w:p w14:paraId="147A8CE5" w14:textId="182F993C" w:rsidR="00445ECD" w:rsidRPr="005D4BA6" w:rsidRDefault="00445ECD" w:rsidP="005D4BA6">
      <w:pPr>
        <w:pStyle w:val="FootnoteText"/>
        <w:spacing w:line="480" w:lineRule="auto"/>
        <w:jc w:val="left"/>
        <w:rPr>
          <w:rFonts w:cs="Times New Roman"/>
        </w:rPr>
      </w:pPr>
      <w:r w:rsidRPr="005D4BA6">
        <w:rPr>
          <w:rStyle w:val="FootnoteReference"/>
          <w:rFonts w:cs="Times New Roman"/>
        </w:rPr>
        <w:footnoteRef/>
      </w:r>
      <w:r w:rsidRPr="005D4BA6">
        <w:rPr>
          <w:rFonts w:cs="Times New Roman"/>
        </w:rPr>
        <w:t xml:space="preserve"> The 2017 Regulations, Reg 10(c).</w:t>
      </w:r>
    </w:p>
  </w:footnote>
  <w:footnote w:id="168">
    <w:p w14:paraId="3C7BE46A" w14:textId="0DF9AA14" w:rsidR="00445ECD" w:rsidRPr="005D4BA6" w:rsidRDefault="00445ECD" w:rsidP="005D4BA6">
      <w:pPr>
        <w:spacing w:after="0" w:line="480" w:lineRule="auto"/>
        <w:jc w:val="left"/>
        <w:rPr>
          <w:rFonts w:cs="Times New Roman"/>
          <w:sz w:val="20"/>
          <w:szCs w:val="20"/>
        </w:rPr>
      </w:pPr>
      <w:r w:rsidRPr="005D4BA6">
        <w:rPr>
          <w:rStyle w:val="FootnoteReference"/>
          <w:rFonts w:cs="Times New Roman"/>
          <w:sz w:val="20"/>
          <w:szCs w:val="20"/>
        </w:rPr>
        <w:footnoteRef/>
      </w:r>
      <w:r w:rsidRPr="005D4BA6">
        <w:rPr>
          <w:rFonts w:cs="Times New Roman"/>
          <w:sz w:val="20"/>
          <w:szCs w:val="20"/>
        </w:rPr>
        <w:t xml:space="preserve"> 101 universities answered this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7FB5"/>
    <w:multiLevelType w:val="hybridMultilevel"/>
    <w:tmpl w:val="8054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B22AD"/>
    <w:multiLevelType w:val="hybridMultilevel"/>
    <w:tmpl w:val="94C26EFC"/>
    <w:lvl w:ilvl="0" w:tplc="E798615C">
      <w:start w:val="1"/>
      <w:numFmt w:val="decimal"/>
      <w:lvlText w:val="%1."/>
      <w:lvlJc w:val="left"/>
      <w:pPr>
        <w:ind w:left="1080" w:hanging="720"/>
      </w:pPr>
      <w:rPr>
        <w:rFonts w:ascii="Calibri" w:hAnsi="Calibr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9223CE"/>
    <w:multiLevelType w:val="hybridMultilevel"/>
    <w:tmpl w:val="930A573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7C"/>
    <w:rsid w:val="000019F0"/>
    <w:rsid w:val="00002505"/>
    <w:rsid w:val="00004FBC"/>
    <w:rsid w:val="00006A30"/>
    <w:rsid w:val="00010056"/>
    <w:rsid w:val="0002003A"/>
    <w:rsid w:val="00023109"/>
    <w:rsid w:val="000240F1"/>
    <w:rsid w:val="00025081"/>
    <w:rsid w:val="0002577F"/>
    <w:rsid w:val="00030F36"/>
    <w:rsid w:val="0003358C"/>
    <w:rsid w:val="000345DF"/>
    <w:rsid w:val="00037C0C"/>
    <w:rsid w:val="000425A5"/>
    <w:rsid w:val="000437FC"/>
    <w:rsid w:val="00045302"/>
    <w:rsid w:val="000511C6"/>
    <w:rsid w:val="000519E2"/>
    <w:rsid w:val="0005257B"/>
    <w:rsid w:val="00055B38"/>
    <w:rsid w:val="00055D0E"/>
    <w:rsid w:val="00060804"/>
    <w:rsid w:val="0006111F"/>
    <w:rsid w:val="000653A5"/>
    <w:rsid w:val="000655B2"/>
    <w:rsid w:val="00066456"/>
    <w:rsid w:val="00067ADC"/>
    <w:rsid w:val="000710B3"/>
    <w:rsid w:val="000735DC"/>
    <w:rsid w:val="00073E81"/>
    <w:rsid w:val="00073FAB"/>
    <w:rsid w:val="00075438"/>
    <w:rsid w:val="00075498"/>
    <w:rsid w:val="00082A79"/>
    <w:rsid w:val="0008396B"/>
    <w:rsid w:val="00083D3A"/>
    <w:rsid w:val="00083D9B"/>
    <w:rsid w:val="000859E6"/>
    <w:rsid w:val="00086E39"/>
    <w:rsid w:val="000876E1"/>
    <w:rsid w:val="000877D2"/>
    <w:rsid w:val="00092577"/>
    <w:rsid w:val="000A08DF"/>
    <w:rsid w:val="000A2773"/>
    <w:rsid w:val="000A5B20"/>
    <w:rsid w:val="000B044A"/>
    <w:rsid w:val="000B0C14"/>
    <w:rsid w:val="000B54FE"/>
    <w:rsid w:val="000B6EFB"/>
    <w:rsid w:val="000C03B7"/>
    <w:rsid w:val="000C41F3"/>
    <w:rsid w:val="000C6658"/>
    <w:rsid w:val="000D1A35"/>
    <w:rsid w:val="000D2DDD"/>
    <w:rsid w:val="000D5732"/>
    <w:rsid w:val="000D5886"/>
    <w:rsid w:val="000E2248"/>
    <w:rsid w:val="000E4C05"/>
    <w:rsid w:val="000F28EF"/>
    <w:rsid w:val="000F29BF"/>
    <w:rsid w:val="000F3F3D"/>
    <w:rsid w:val="000F4C0B"/>
    <w:rsid w:val="000F528C"/>
    <w:rsid w:val="000F531C"/>
    <w:rsid w:val="000F658A"/>
    <w:rsid w:val="00102E16"/>
    <w:rsid w:val="0010324E"/>
    <w:rsid w:val="00104234"/>
    <w:rsid w:val="00104A5C"/>
    <w:rsid w:val="001079A3"/>
    <w:rsid w:val="001100C1"/>
    <w:rsid w:val="00110E81"/>
    <w:rsid w:val="001125F3"/>
    <w:rsid w:val="00122BB2"/>
    <w:rsid w:val="00123C16"/>
    <w:rsid w:val="001247BF"/>
    <w:rsid w:val="00125D20"/>
    <w:rsid w:val="00133C5C"/>
    <w:rsid w:val="00133C7E"/>
    <w:rsid w:val="00152DB8"/>
    <w:rsid w:val="001575F0"/>
    <w:rsid w:val="00161156"/>
    <w:rsid w:val="00164BFC"/>
    <w:rsid w:val="00173442"/>
    <w:rsid w:val="00174B8A"/>
    <w:rsid w:val="00176F17"/>
    <w:rsid w:val="0017798C"/>
    <w:rsid w:val="00177AD5"/>
    <w:rsid w:val="0018195D"/>
    <w:rsid w:val="00181C39"/>
    <w:rsid w:val="00187F86"/>
    <w:rsid w:val="001932E8"/>
    <w:rsid w:val="001A0C7B"/>
    <w:rsid w:val="001A31F0"/>
    <w:rsid w:val="001A38AF"/>
    <w:rsid w:val="001B0474"/>
    <w:rsid w:val="001B3B3F"/>
    <w:rsid w:val="001B480C"/>
    <w:rsid w:val="001B68FF"/>
    <w:rsid w:val="001B7D07"/>
    <w:rsid w:val="001B7E2B"/>
    <w:rsid w:val="001C145A"/>
    <w:rsid w:val="001C2E98"/>
    <w:rsid w:val="001C7342"/>
    <w:rsid w:val="001D6D1E"/>
    <w:rsid w:val="001E28C5"/>
    <w:rsid w:val="001E5746"/>
    <w:rsid w:val="001F30C2"/>
    <w:rsid w:val="001F45DA"/>
    <w:rsid w:val="001F4728"/>
    <w:rsid w:val="0020167E"/>
    <w:rsid w:val="00201D66"/>
    <w:rsid w:val="002115A1"/>
    <w:rsid w:val="00211FC1"/>
    <w:rsid w:val="00212BE9"/>
    <w:rsid w:val="00214561"/>
    <w:rsid w:val="00215262"/>
    <w:rsid w:val="00216D8F"/>
    <w:rsid w:val="002176D1"/>
    <w:rsid w:val="00225BD3"/>
    <w:rsid w:val="00231619"/>
    <w:rsid w:val="00234052"/>
    <w:rsid w:val="0023477B"/>
    <w:rsid w:val="00236976"/>
    <w:rsid w:val="00241A77"/>
    <w:rsid w:val="00242095"/>
    <w:rsid w:val="00244205"/>
    <w:rsid w:val="0024572F"/>
    <w:rsid w:val="00247D39"/>
    <w:rsid w:val="00252573"/>
    <w:rsid w:val="0025482B"/>
    <w:rsid w:val="002554B4"/>
    <w:rsid w:val="00255E9F"/>
    <w:rsid w:val="00266F87"/>
    <w:rsid w:val="00267650"/>
    <w:rsid w:val="00270AF7"/>
    <w:rsid w:val="002747D3"/>
    <w:rsid w:val="00275F20"/>
    <w:rsid w:val="0028184E"/>
    <w:rsid w:val="00292A39"/>
    <w:rsid w:val="00292F42"/>
    <w:rsid w:val="0029552C"/>
    <w:rsid w:val="00297AF9"/>
    <w:rsid w:val="002A0E66"/>
    <w:rsid w:val="002A1090"/>
    <w:rsid w:val="002A2770"/>
    <w:rsid w:val="002A317D"/>
    <w:rsid w:val="002A4E86"/>
    <w:rsid w:val="002B0495"/>
    <w:rsid w:val="002B37ED"/>
    <w:rsid w:val="002B4E0D"/>
    <w:rsid w:val="002B50BE"/>
    <w:rsid w:val="002B5C1E"/>
    <w:rsid w:val="002B667E"/>
    <w:rsid w:val="002B7EF7"/>
    <w:rsid w:val="002C0AB2"/>
    <w:rsid w:val="002C16B8"/>
    <w:rsid w:val="002C2C60"/>
    <w:rsid w:val="002C40EA"/>
    <w:rsid w:val="002C624B"/>
    <w:rsid w:val="002C6F5E"/>
    <w:rsid w:val="002D0B15"/>
    <w:rsid w:val="002D19D9"/>
    <w:rsid w:val="002D1C01"/>
    <w:rsid w:val="002D3CBC"/>
    <w:rsid w:val="002D743B"/>
    <w:rsid w:val="002E138A"/>
    <w:rsid w:val="002E3A92"/>
    <w:rsid w:val="002F12BD"/>
    <w:rsid w:val="002F18C5"/>
    <w:rsid w:val="002F1EE9"/>
    <w:rsid w:val="002F297C"/>
    <w:rsid w:val="002F3893"/>
    <w:rsid w:val="002F60A5"/>
    <w:rsid w:val="00304092"/>
    <w:rsid w:val="0030516D"/>
    <w:rsid w:val="003066BF"/>
    <w:rsid w:val="00310DCE"/>
    <w:rsid w:val="00313CBD"/>
    <w:rsid w:val="00320AE9"/>
    <w:rsid w:val="0032223F"/>
    <w:rsid w:val="00331F8B"/>
    <w:rsid w:val="00332420"/>
    <w:rsid w:val="003328DF"/>
    <w:rsid w:val="00333286"/>
    <w:rsid w:val="00335D8B"/>
    <w:rsid w:val="003405C2"/>
    <w:rsid w:val="00341228"/>
    <w:rsid w:val="0034212E"/>
    <w:rsid w:val="00344F18"/>
    <w:rsid w:val="00346C42"/>
    <w:rsid w:val="00346F7A"/>
    <w:rsid w:val="00352556"/>
    <w:rsid w:val="00353C31"/>
    <w:rsid w:val="00355CF4"/>
    <w:rsid w:val="00360124"/>
    <w:rsid w:val="003602F5"/>
    <w:rsid w:val="00360495"/>
    <w:rsid w:val="00364C4E"/>
    <w:rsid w:val="00366EFB"/>
    <w:rsid w:val="00376A43"/>
    <w:rsid w:val="00377664"/>
    <w:rsid w:val="003802DA"/>
    <w:rsid w:val="00383074"/>
    <w:rsid w:val="0038350C"/>
    <w:rsid w:val="00390821"/>
    <w:rsid w:val="00392836"/>
    <w:rsid w:val="003977FA"/>
    <w:rsid w:val="003A08F0"/>
    <w:rsid w:val="003A2C94"/>
    <w:rsid w:val="003A2EE6"/>
    <w:rsid w:val="003B0419"/>
    <w:rsid w:val="003B25E3"/>
    <w:rsid w:val="003B580B"/>
    <w:rsid w:val="003B5E08"/>
    <w:rsid w:val="003C05C2"/>
    <w:rsid w:val="003C1127"/>
    <w:rsid w:val="003D1896"/>
    <w:rsid w:val="003D37EA"/>
    <w:rsid w:val="003D4890"/>
    <w:rsid w:val="003D5F09"/>
    <w:rsid w:val="003E0331"/>
    <w:rsid w:val="003E1401"/>
    <w:rsid w:val="003E631A"/>
    <w:rsid w:val="003F0D56"/>
    <w:rsid w:val="003F137F"/>
    <w:rsid w:val="003F1539"/>
    <w:rsid w:val="003F1EBB"/>
    <w:rsid w:val="003F49A9"/>
    <w:rsid w:val="003F700F"/>
    <w:rsid w:val="003F7325"/>
    <w:rsid w:val="004001FF"/>
    <w:rsid w:val="004028C5"/>
    <w:rsid w:val="00402C00"/>
    <w:rsid w:val="004052B1"/>
    <w:rsid w:val="004054E5"/>
    <w:rsid w:val="00407D92"/>
    <w:rsid w:val="00410C4F"/>
    <w:rsid w:val="0041175D"/>
    <w:rsid w:val="00414D75"/>
    <w:rsid w:val="004154A1"/>
    <w:rsid w:val="00422527"/>
    <w:rsid w:val="00425109"/>
    <w:rsid w:val="0042675E"/>
    <w:rsid w:val="0043093C"/>
    <w:rsid w:val="00431F34"/>
    <w:rsid w:val="00433352"/>
    <w:rsid w:val="00435A38"/>
    <w:rsid w:val="00435DB8"/>
    <w:rsid w:val="00444630"/>
    <w:rsid w:val="00445ECD"/>
    <w:rsid w:val="0044652C"/>
    <w:rsid w:val="00447D59"/>
    <w:rsid w:val="00451181"/>
    <w:rsid w:val="004531A1"/>
    <w:rsid w:val="00455B22"/>
    <w:rsid w:val="00462652"/>
    <w:rsid w:val="00465950"/>
    <w:rsid w:val="00470B14"/>
    <w:rsid w:val="0047134F"/>
    <w:rsid w:val="00472050"/>
    <w:rsid w:val="00472187"/>
    <w:rsid w:val="0047298C"/>
    <w:rsid w:val="00472CCF"/>
    <w:rsid w:val="00472F68"/>
    <w:rsid w:val="0047407F"/>
    <w:rsid w:val="00477569"/>
    <w:rsid w:val="004818B8"/>
    <w:rsid w:val="004852D2"/>
    <w:rsid w:val="00486880"/>
    <w:rsid w:val="00493B44"/>
    <w:rsid w:val="00496479"/>
    <w:rsid w:val="00496972"/>
    <w:rsid w:val="00497C7E"/>
    <w:rsid w:val="004B3718"/>
    <w:rsid w:val="004B758E"/>
    <w:rsid w:val="004B7D94"/>
    <w:rsid w:val="004C1727"/>
    <w:rsid w:val="004C49AE"/>
    <w:rsid w:val="004C69D3"/>
    <w:rsid w:val="004C789B"/>
    <w:rsid w:val="004D113A"/>
    <w:rsid w:val="004D22B9"/>
    <w:rsid w:val="004D54C5"/>
    <w:rsid w:val="004D6016"/>
    <w:rsid w:val="004D759A"/>
    <w:rsid w:val="004E108B"/>
    <w:rsid w:val="004E2718"/>
    <w:rsid w:val="004E3893"/>
    <w:rsid w:val="004E5813"/>
    <w:rsid w:val="004F14D1"/>
    <w:rsid w:val="004F165D"/>
    <w:rsid w:val="0050209B"/>
    <w:rsid w:val="00504673"/>
    <w:rsid w:val="00505656"/>
    <w:rsid w:val="00505AF6"/>
    <w:rsid w:val="0051103D"/>
    <w:rsid w:val="005124C6"/>
    <w:rsid w:val="005126A8"/>
    <w:rsid w:val="00516BDF"/>
    <w:rsid w:val="00516C04"/>
    <w:rsid w:val="00517AEB"/>
    <w:rsid w:val="0052373C"/>
    <w:rsid w:val="00523D68"/>
    <w:rsid w:val="0052763A"/>
    <w:rsid w:val="0053071E"/>
    <w:rsid w:val="0053123E"/>
    <w:rsid w:val="005335B0"/>
    <w:rsid w:val="005340BB"/>
    <w:rsid w:val="005424A5"/>
    <w:rsid w:val="00542F7C"/>
    <w:rsid w:val="00543C52"/>
    <w:rsid w:val="00553388"/>
    <w:rsid w:val="005549A8"/>
    <w:rsid w:val="00556D3C"/>
    <w:rsid w:val="00556FE3"/>
    <w:rsid w:val="00557389"/>
    <w:rsid w:val="00564D3F"/>
    <w:rsid w:val="005708C1"/>
    <w:rsid w:val="00571A48"/>
    <w:rsid w:val="005727BA"/>
    <w:rsid w:val="005737AA"/>
    <w:rsid w:val="00574CEF"/>
    <w:rsid w:val="005757E0"/>
    <w:rsid w:val="00584563"/>
    <w:rsid w:val="00586A38"/>
    <w:rsid w:val="00586CAA"/>
    <w:rsid w:val="00587397"/>
    <w:rsid w:val="005919C1"/>
    <w:rsid w:val="00591D8B"/>
    <w:rsid w:val="00593164"/>
    <w:rsid w:val="005935B5"/>
    <w:rsid w:val="005947B0"/>
    <w:rsid w:val="00595859"/>
    <w:rsid w:val="005969F9"/>
    <w:rsid w:val="005A0FF7"/>
    <w:rsid w:val="005A393D"/>
    <w:rsid w:val="005B0189"/>
    <w:rsid w:val="005B2647"/>
    <w:rsid w:val="005B4625"/>
    <w:rsid w:val="005B57A8"/>
    <w:rsid w:val="005C5049"/>
    <w:rsid w:val="005D15DD"/>
    <w:rsid w:val="005D2EDE"/>
    <w:rsid w:val="005D4BA6"/>
    <w:rsid w:val="005D530D"/>
    <w:rsid w:val="005E22C2"/>
    <w:rsid w:val="005E26AD"/>
    <w:rsid w:val="005E2DE8"/>
    <w:rsid w:val="005E595D"/>
    <w:rsid w:val="005E5CA1"/>
    <w:rsid w:val="005E67A5"/>
    <w:rsid w:val="005F09A9"/>
    <w:rsid w:val="005F0E70"/>
    <w:rsid w:val="005F1B7B"/>
    <w:rsid w:val="005F66C3"/>
    <w:rsid w:val="005F6EB5"/>
    <w:rsid w:val="005F7C30"/>
    <w:rsid w:val="00602EA4"/>
    <w:rsid w:val="00604B90"/>
    <w:rsid w:val="0061061F"/>
    <w:rsid w:val="00611760"/>
    <w:rsid w:val="006137FF"/>
    <w:rsid w:val="006144D6"/>
    <w:rsid w:val="006153A1"/>
    <w:rsid w:val="006159D2"/>
    <w:rsid w:val="00615E1F"/>
    <w:rsid w:val="006171B1"/>
    <w:rsid w:val="00620F4A"/>
    <w:rsid w:val="00622B5C"/>
    <w:rsid w:val="00634204"/>
    <w:rsid w:val="006354DE"/>
    <w:rsid w:val="00640A7A"/>
    <w:rsid w:val="00643040"/>
    <w:rsid w:val="00643F42"/>
    <w:rsid w:val="006450E5"/>
    <w:rsid w:val="0064524D"/>
    <w:rsid w:val="00645F4C"/>
    <w:rsid w:val="00650157"/>
    <w:rsid w:val="006552C9"/>
    <w:rsid w:val="00657D62"/>
    <w:rsid w:val="006606DA"/>
    <w:rsid w:val="0066071C"/>
    <w:rsid w:val="00660AB2"/>
    <w:rsid w:val="006619E7"/>
    <w:rsid w:val="00662356"/>
    <w:rsid w:val="00663CE8"/>
    <w:rsid w:val="0066405C"/>
    <w:rsid w:val="006640FA"/>
    <w:rsid w:val="006656E6"/>
    <w:rsid w:val="00673D5B"/>
    <w:rsid w:val="00675E82"/>
    <w:rsid w:val="00676CDB"/>
    <w:rsid w:val="006818A2"/>
    <w:rsid w:val="006830CA"/>
    <w:rsid w:val="00683691"/>
    <w:rsid w:val="00687A0D"/>
    <w:rsid w:val="006944A2"/>
    <w:rsid w:val="006945A2"/>
    <w:rsid w:val="006946D5"/>
    <w:rsid w:val="006A2FE4"/>
    <w:rsid w:val="006A5EBF"/>
    <w:rsid w:val="006B3BD0"/>
    <w:rsid w:val="006B47F6"/>
    <w:rsid w:val="006C0F68"/>
    <w:rsid w:val="006C2D72"/>
    <w:rsid w:val="006C2F24"/>
    <w:rsid w:val="006C47AE"/>
    <w:rsid w:val="006C5D25"/>
    <w:rsid w:val="006D3A9B"/>
    <w:rsid w:val="006D3E3C"/>
    <w:rsid w:val="006D3FA7"/>
    <w:rsid w:val="006E293D"/>
    <w:rsid w:val="006E4AC3"/>
    <w:rsid w:val="006E6617"/>
    <w:rsid w:val="006E760B"/>
    <w:rsid w:val="006F0D4F"/>
    <w:rsid w:val="006F2812"/>
    <w:rsid w:val="006F41D0"/>
    <w:rsid w:val="006F7680"/>
    <w:rsid w:val="00700BE8"/>
    <w:rsid w:val="00702775"/>
    <w:rsid w:val="00703092"/>
    <w:rsid w:val="007030F0"/>
    <w:rsid w:val="0071765D"/>
    <w:rsid w:val="007206A5"/>
    <w:rsid w:val="00722270"/>
    <w:rsid w:val="00722B83"/>
    <w:rsid w:val="007255E2"/>
    <w:rsid w:val="0073347F"/>
    <w:rsid w:val="00736FDE"/>
    <w:rsid w:val="007425BC"/>
    <w:rsid w:val="0074529F"/>
    <w:rsid w:val="00745C6A"/>
    <w:rsid w:val="007476BB"/>
    <w:rsid w:val="0075162C"/>
    <w:rsid w:val="0075180E"/>
    <w:rsid w:val="00751F78"/>
    <w:rsid w:val="0075630D"/>
    <w:rsid w:val="007569CA"/>
    <w:rsid w:val="00763A78"/>
    <w:rsid w:val="00763ED8"/>
    <w:rsid w:val="007655FC"/>
    <w:rsid w:val="00765624"/>
    <w:rsid w:val="0076586D"/>
    <w:rsid w:val="007706C9"/>
    <w:rsid w:val="00771C59"/>
    <w:rsid w:val="007734AA"/>
    <w:rsid w:val="00773CBD"/>
    <w:rsid w:val="00774637"/>
    <w:rsid w:val="0077590B"/>
    <w:rsid w:val="00775DB6"/>
    <w:rsid w:val="007771AC"/>
    <w:rsid w:val="0078043D"/>
    <w:rsid w:val="00780739"/>
    <w:rsid w:val="0078147E"/>
    <w:rsid w:val="00781A96"/>
    <w:rsid w:val="0078533A"/>
    <w:rsid w:val="00792659"/>
    <w:rsid w:val="00792906"/>
    <w:rsid w:val="007957AC"/>
    <w:rsid w:val="00795F5A"/>
    <w:rsid w:val="007974C9"/>
    <w:rsid w:val="007A54D3"/>
    <w:rsid w:val="007A626B"/>
    <w:rsid w:val="007A7B43"/>
    <w:rsid w:val="007A7E0D"/>
    <w:rsid w:val="007B44DC"/>
    <w:rsid w:val="007B4B93"/>
    <w:rsid w:val="007C35C1"/>
    <w:rsid w:val="007C69EB"/>
    <w:rsid w:val="007C6AB5"/>
    <w:rsid w:val="007C7EBB"/>
    <w:rsid w:val="007D0248"/>
    <w:rsid w:val="007D1632"/>
    <w:rsid w:val="007D1C40"/>
    <w:rsid w:val="007D49A4"/>
    <w:rsid w:val="007D4A09"/>
    <w:rsid w:val="007D4A77"/>
    <w:rsid w:val="007D6202"/>
    <w:rsid w:val="007E35ED"/>
    <w:rsid w:val="007E4633"/>
    <w:rsid w:val="007E5649"/>
    <w:rsid w:val="007E777F"/>
    <w:rsid w:val="007E7FC8"/>
    <w:rsid w:val="007F0D05"/>
    <w:rsid w:val="007F0F1E"/>
    <w:rsid w:val="0080579B"/>
    <w:rsid w:val="0081374B"/>
    <w:rsid w:val="00814E76"/>
    <w:rsid w:val="0081590B"/>
    <w:rsid w:val="00825A95"/>
    <w:rsid w:val="00830AA2"/>
    <w:rsid w:val="00832828"/>
    <w:rsid w:val="00834508"/>
    <w:rsid w:val="008352B8"/>
    <w:rsid w:val="00835C4E"/>
    <w:rsid w:val="00836380"/>
    <w:rsid w:val="00840C48"/>
    <w:rsid w:val="008433C8"/>
    <w:rsid w:val="00850A32"/>
    <w:rsid w:val="00851B6B"/>
    <w:rsid w:val="008524ED"/>
    <w:rsid w:val="00854C2D"/>
    <w:rsid w:val="00855570"/>
    <w:rsid w:val="0085596A"/>
    <w:rsid w:val="00856CA6"/>
    <w:rsid w:val="00856E68"/>
    <w:rsid w:val="00857FE3"/>
    <w:rsid w:val="00861080"/>
    <w:rsid w:val="00862E56"/>
    <w:rsid w:val="00864FB5"/>
    <w:rsid w:val="008666FA"/>
    <w:rsid w:val="008720C8"/>
    <w:rsid w:val="00873AE6"/>
    <w:rsid w:val="00874D96"/>
    <w:rsid w:val="00875545"/>
    <w:rsid w:val="0088007C"/>
    <w:rsid w:val="00886965"/>
    <w:rsid w:val="00887316"/>
    <w:rsid w:val="00892255"/>
    <w:rsid w:val="00892FD5"/>
    <w:rsid w:val="008A03A2"/>
    <w:rsid w:val="008A3220"/>
    <w:rsid w:val="008A404C"/>
    <w:rsid w:val="008A68FF"/>
    <w:rsid w:val="008A6A75"/>
    <w:rsid w:val="008B7AE7"/>
    <w:rsid w:val="008B7C7A"/>
    <w:rsid w:val="008C1F3E"/>
    <w:rsid w:val="008D06F1"/>
    <w:rsid w:val="008D4FB3"/>
    <w:rsid w:val="008D5CC1"/>
    <w:rsid w:val="008D679A"/>
    <w:rsid w:val="008E1EEE"/>
    <w:rsid w:val="008E2E8E"/>
    <w:rsid w:val="008E4E57"/>
    <w:rsid w:val="008F7853"/>
    <w:rsid w:val="009031CE"/>
    <w:rsid w:val="009041E6"/>
    <w:rsid w:val="00907166"/>
    <w:rsid w:val="00907926"/>
    <w:rsid w:val="0091018F"/>
    <w:rsid w:val="009110C1"/>
    <w:rsid w:val="00915E3C"/>
    <w:rsid w:val="00916CCD"/>
    <w:rsid w:val="00920935"/>
    <w:rsid w:val="009219B8"/>
    <w:rsid w:val="00924955"/>
    <w:rsid w:val="009339E8"/>
    <w:rsid w:val="009366FF"/>
    <w:rsid w:val="00937AFF"/>
    <w:rsid w:val="00942D72"/>
    <w:rsid w:val="009450F5"/>
    <w:rsid w:val="00945B6E"/>
    <w:rsid w:val="00946C9E"/>
    <w:rsid w:val="00947463"/>
    <w:rsid w:val="00950756"/>
    <w:rsid w:val="0095096A"/>
    <w:rsid w:val="00950AA7"/>
    <w:rsid w:val="00951179"/>
    <w:rsid w:val="00952E11"/>
    <w:rsid w:val="00953B3B"/>
    <w:rsid w:val="00957005"/>
    <w:rsid w:val="00960572"/>
    <w:rsid w:val="0096354F"/>
    <w:rsid w:val="009651A8"/>
    <w:rsid w:val="009656A8"/>
    <w:rsid w:val="009669FA"/>
    <w:rsid w:val="009726FD"/>
    <w:rsid w:val="00974370"/>
    <w:rsid w:val="00974E87"/>
    <w:rsid w:val="00975F3E"/>
    <w:rsid w:val="00977FEA"/>
    <w:rsid w:val="00980043"/>
    <w:rsid w:val="00980C93"/>
    <w:rsid w:val="0098142D"/>
    <w:rsid w:val="00983034"/>
    <w:rsid w:val="009857A1"/>
    <w:rsid w:val="00985942"/>
    <w:rsid w:val="00985ABE"/>
    <w:rsid w:val="00986BEA"/>
    <w:rsid w:val="00987942"/>
    <w:rsid w:val="009907CC"/>
    <w:rsid w:val="00993427"/>
    <w:rsid w:val="00993A42"/>
    <w:rsid w:val="00994597"/>
    <w:rsid w:val="009949A1"/>
    <w:rsid w:val="009951C6"/>
    <w:rsid w:val="009A2263"/>
    <w:rsid w:val="009A2C16"/>
    <w:rsid w:val="009A3EC4"/>
    <w:rsid w:val="009A52FC"/>
    <w:rsid w:val="009B020C"/>
    <w:rsid w:val="009B5BF0"/>
    <w:rsid w:val="009C0817"/>
    <w:rsid w:val="009C1B1F"/>
    <w:rsid w:val="009C3E0F"/>
    <w:rsid w:val="009C4761"/>
    <w:rsid w:val="009C5C97"/>
    <w:rsid w:val="009D0BCB"/>
    <w:rsid w:val="009D2640"/>
    <w:rsid w:val="009D3D31"/>
    <w:rsid w:val="009D4AB3"/>
    <w:rsid w:val="009D7FF7"/>
    <w:rsid w:val="009E3139"/>
    <w:rsid w:val="009E41C7"/>
    <w:rsid w:val="009E4527"/>
    <w:rsid w:val="009E4982"/>
    <w:rsid w:val="009E554F"/>
    <w:rsid w:val="009F0B50"/>
    <w:rsid w:val="009F2214"/>
    <w:rsid w:val="009F475B"/>
    <w:rsid w:val="00A01A71"/>
    <w:rsid w:val="00A047C1"/>
    <w:rsid w:val="00A0498E"/>
    <w:rsid w:val="00A05083"/>
    <w:rsid w:val="00A054CF"/>
    <w:rsid w:val="00A07EF0"/>
    <w:rsid w:val="00A11B8A"/>
    <w:rsid w:val="00A2129E"/>
    <w:rsid w:val="00A21799"/>
    <w:rsid w:val="00A21E14"/>
    <w:rsid w:val="00A25B42"/>
    <w:rsid w:val="00A31AE0"/>
    <w:rsid w:val="00A329F0"/>
    <w:rsid w:val="00A33546"/>
    <w:rsid w:val="00A35F7D"/>
    <w:rsid w:val="00A3751C"/>
    <w:rsid w:val="00A41550"/>
    <w:rsid w:val="00A457C9"/>
    <w:rsid w:val="00A47732"/>
    <w:rsid w:val="00A509DD"/>
    <w:rsid w:val="00A54EF4"/>
    <w:rsid w:val="00A5721F"/>
    <w:rsid w:val="00A603CC"/>
    <w:rsid w:val="00A604BC"/>
    <w:rsid w:val="00A61105"/>
    <w:rsid w:val="00A63CFB"/>
    <w:rsid w:val="00A64426"/>
    <w:rsid w:val="00A646BB"/>
    <w:rsid w:val="00A674A3"/>
    <w:rsid w:val="00A7092C"/>
    <w:rsid w:val="00A75A59"/>
    <w:rsid w:val="00A75EDE"/>
    <w:rsid w:val="00A7621A"/>
    <w:rsid w:val="00A80E8D"/>
    <w:rsid w:val="00A82BBE"/>
    <w:rsid w:val="00A838FF"/>
    <w:rsid w:val="00A84A77"/>
    <w:rsid w:val="00A85AB5"/>
    <w:rsid w:val="00A906EC"/>
    <w:rsid w:val="00A9529F"/>
    <w:rsid w:val="00AA5619"/>
    <w:rsid w:val="00AA679E"/>
    <w:rsid w:val="00AA7A00"/>
    <w:rsid w:val="00AB1318"/>
    <w:rsid w:val="00AB13FE"/>
    <w:rsid w:val="00AB1FF1"/>
    <w:rsid w:val="00AB711D"/>
    <w:rsid w:val="00AC0E4C"/>
    <w:rsid w:val="00AC1A55"/>
    <w:rsid w:val="00AC5C15"/>
    <w:rsid w:val="00AC6F92"/>
    <w:rsid w:val="00AC751A"/>
    <w:rsid w:val="00AD0E0D"/>
    <w:rsid w:val="00AD11ED"/>
    <w:rsid w:val="00AD5930"/>
    <w:rsid w:val="00AD5D51"/>
    <w:rsid w:val="00AE3791"/>
    <w:rsid w:val="00AF5CB3"/>
    <w:rsid w:val="00B0186A"/>
    <w:rsid w:val="00B018BE"/>
    <w:rsid w:val="00B06039"/>
    <w:rsid w:val="00B0649D"/>
    <w:rsid w:val="00B06862"/>
    <w:rsid w:val="00B07BDC"/>
    <w:rsid w:val="00B11410"/>
    <w:rsid w:val="00B134E2"/>
    <w:rsid w:val="00B13F01"/>
    <w:rsid w:val="00B179CB"/>
    <w:rsid w:val="00B179EB"/>
    <w:rsid w:val="00B2142A"/>
    <w:rsid w:val="00B22C3C"/>
    <w:rsid w:val="00B2506F"/>
    <w:rsid w:val="00B2657D"/>
    <w:rsid w:val="00B3247E"/>
    <w:rsid w:val="00B32F65"/>
    <w:rsid w:val="00B34D4D"/>
    <w:rsid w:val="00B401C9"/>
    <w:rsid w:val="00B43866"/>
    <w:rsid w:val="00B43890"/>
    <w:rsid w:val="00B474DC"/>
    <w:rsid w:val="00B50C97"/>
    <w:rsid w:val="00B52829"/>
    <w:rsid w:val="00B53E5C"/>
    <w:rsid w:val="00B553C9"/>
    <w:rsid w:val="00B566EB"/>
    <w:rsid w:val="00B56A08"/>
    <w:rsid w:val="00B56F46"/>
    <w:rsid w:val="00B61731"/>
    <w:rsid w:val="00B61F8C"/>
    <w:rsid w:val="00B641B0"/>
    <w:rsid w:val="00B65B62"/>
    <w:rsid w:val="00B67D0E"/>
    <w:rsid w:val="00B70910"/>
    <w:rsid w:val="00B71215"/>
    <w:rsid w:val="00B748D0"/>
    <w:rsid w:val="00B767AE"/>
    <w:rsid w:val="00B81F0A"/>
    <w:rsid w:val="00B822D1"/>
    <w:rsid w:val="00B841E1"/>
    <w:rsid w:val="00B84A4B"/>
    <w:rsid w:val="00B86BB6"/>
    <w:rsid w:val="00B93B18"/>
    <w:rsid w:val="00BA1203"/>
    <w:rsid w:val="00BA296A"/>
    <w:rsid w:val="00BA2DBC"/>
    <w:rsid w:val="00BA3106"/>
    <w:rsid w:val="00BA5899"/>
    <w:rsid w:val="00BB18B6"/>
    <w:rsid w:val="00BB277D"/>
    <w:rsid w:val="00BB4C82"/>
    <w:rsid w:val="00BB6C55"/>
    <w:rsid w:val="00BC3582"/>
    <w:rsid w:val="00BD0782"/>
    <w:rsid w:val="00BD0B94"/>
    <w:rsid w:val="00BD3A44"/>
    <w:rsid w:val="00BD3E63"/>
    <w:rsid w:val="00BE30A6"/>
    <w:rsid w:val="00BE4A2F"/>
    <w:rsid w:val="00BE76CD"/>
    <w:rsid w:val="00BE7E48"/>
    <w:rsid w:val="00BF0FCA"/>
    <w:rsid w:val="00BF39CC"/>
    <w:rsid w:val="00BF5F6E"/>
    <w:rsid w:val="00BF6281"/>
    <w:rsid w:val="00BF6A4B"/>
    <w:rsid w:val="00BF6FE5"/>
    <w:rsid w:val="00C01E03"/>
    <w:rsid w:val="00C022BE"/>
    <w:rsid w:val="00C0361E"/>
    <w:rsid w:val="00C03947"/>
    <w:rsid w:val="00C056DA"/>
    <w:rsid w:val="00C05AB4"/>
    <w:rsid w:val="00C10F40"/>
    <w:rsid w:val="00C11B17"/>
    <w:rsid w:val="00C12C72"/>
    <w:rsid w:val="00C143BE"/>
    <w:rsid w:val="00C152D3"/>
    <w:rsid w:val="00C1607B"/>
    <w:rsid w:val="00C20B6B"/>
    <w:rsid w:val="00C2106A"/>
    <w:rsid w:val="00C21D8A"/>
    <w:rsid w:val="00C220AB"/>
    <w:rsid w:val="00C230AC"/>
    <w:rsid w:val="00C23BB5"/>
    <w:rsid w:val="00C25150"/>
    <w:rsid w:val="00C266BD"/>
    <w:rsid w:val="00C34075"/>
    <w:rsid w:val="00C34954"/>
    <w:rsid w:val="00C34EBE"/>
    <w:rsid w:val="00C41A09"/>
    <w:rsid w:val="00C41BFE"/>
    <w:rsid w:val="00C4283C"/>
    <w:rsid w:val="00C44B88"/>
    <w:rsid w:val="00C51591"/>
    <w:rsid w:val="00C53226"/>
    <w:rsid w:val="00C54AA0"/>
    <w:rsid w:val="00C558B6"/>
    <w:rsid w:val="00C55C1C"/>
    <w:rsid w:val="00C55D84"/>
    <w:rsid w:val="00C579A9"/>
    <w:rsid w:val="00C60E0B"/>
    <w:rsid w:val="00C641A7"/>
    <w:rsid w:val="00C64922"/>
    <w:rsid w:val="00C66E8F"/>
    <w:rsid w:val="00C71B8B"/>
    <w:rsid w:val="00C748A4"/>
    <w:rsid w:val="00C8117A"/>
    <w:rsid w:val="00C82657"/>
    <w:rsid w:val="00C83832"/>
    <w:rsid w:val="00C83ADC"/>
    <w:rsid w:val="00C84E16"/>
    <w:rsid w:val="00C86901"/>
    <w:rsid w:val="00C86BE1"/>
    <w:rsid w:val="00C86DCD"/>
    <w:rsid w:val="00C87F52"/>
    <w:rsid w:val="00C90EE8"/>
    <w:rsid w:val="00C94FD8"/>
    <w:rsid w:val="00CA5E77"/>
    <w:rsid w:val="00CB37F9"/>
    <w:rsid w:val="00CB6F8C"/>
    <w:rsid w:val="00CB7247"/>
    <w:rsid w:val="00CC0DC0"/>
    <w:rsid w:val="00CC2691"/>
    <w:rsid w:val="00CC48DA"/>
    <w:rsid w:val="00CD0A71"/>
    <w:rsid w:val="00CD66EB"/>
    <w:rsid w:val="00CD6F47"/>
    <w:rsid w:val="00CD7AAA"/>
    <w:rsid w:val="00CE52E8"/>
    <w:rsid w:val="00CF7C9F"/>
    <w:rsid w:val="00D020D9"/>
    <w:rsid w:val="00D027EB"/>
    <w:rsid w:val="00D10272"/>
    <w:rsid w:val="00D10646"/>
    <w:rsid w:val="00D15F12"/>
    <w:rsid w:val="00D233FD"/>
    <w:rsid w:val="00D234DD"/>
    <w:rsid w:val="00D248A5"/>
    <w:rsid w:val="00D25A62"/>
    <w:rsid w:val="00D260FE"/>
    <w:rsid w:val="00D261C0"/>
    <w:rsid w:val="00D263CA"/>
    <w:rsid w:val="00D26F70"/>
    <w:rsid w:val="00D30C5E"/>
    <w:rsid w:val="00D32B49"/>
    <w:rsid w:val="00D34DF2"/>
    <w:rsid w:val="00D353B0"/>
    <w:rsid w:val="00D41176"/>
    <w:rsid w:val="00D438F6"/>
    <w:rsid w:val="00D43C2B"/>
    <w:rsid w:val="00D43CDA"/>
    <w:rsid w:val="00D4524C"/>
    <w:rsid w:val="00D466B8"/>
    <w:rsid w:val="00D47479"/>
    <w:rsid w:val="00D47FC7"/>
    <w:rsid w:val="00D53C53"/>
    <w:rsid w:val="00D543B4"/>
    <w:rsid w:val="00D55F0A"/>
    <w:rsid w:val="00D62585"/>
    <w:rsid w:val="00D6379D"/>
    <w:rsid w:val="00D64C19"/>
    <w:rsid w:val="00D662E6"/>
    <w:rsid w:val="00D72E9C"/>
    <w:rsid w:val="00D73B05"/>
    <w:rsid w:val="00D7534A"/>
    <w:rsid w:val="00D8047B"/>
    <w:rsid w:val="00D83DC5"/>
    <w:rsid w:val="00D855E9"/>
    <w:rsid w:val="00D87C7E"/>
    <w:rsid w:val="00D9254B"/>
    <w:rsid w:val="00D935EB"/>
    <w:rsid w:val="00DA1027"/>
    <w:rsid w:val="00DA2858"/>
    <w:rsid w:val="00DA4274"/>
    <w:rsid w:val="00DA4FD5"/>
    <w:rsid w:val="00DA6A54"/>
    <w:rsid w:val="00DA7AF7"/>
    <w:rsid w:val="00DB08AD"/>
    <w:rsid w:val="00DB4BE0"/>
    <w:rsid w:val="00DB72BC"/>
    <w:rsid w:val="00DC7466"/>
    <w:rsid w:val="00DD37C0"/>
    <w:rsid w:val="00DD3CF9"/>
    <w:rsid w:val="00DD6C4C"/>
    <w:rsid w:val="00DE0246"/>
    <w:rsid w:val="00DF0313"/>
    <w:rsid w:val="00DF41AC"/>
    <w:rsid w:val="00DF48B1"/>
    <w:rsid w:val="00DF4C0E"/>
    <w:rsid w:val="00DF7BCA"/>
    <w:rsid w:val="00E040A7"/>
    <w:rsid w:val="00E05350"/>
    <w:rsid w:val="00E12602"/>
    <w:rsid w:val="00E14ACB"/>
    <w:rsid w:val="00E25CB6"/>
    <w:rsid w:val="00E25DB7"/>
    <w:rsid w:val="00E323E3"/>
    <w:rsid w:val="00E32C54"/>
    <w:rsid w:val="00E361C7"/>
    <w:rsid w:val="00E362E6"/>
    <w:rsid w:val="00E3658F"/>
    <w:rsid w:val="00E365C1"/>
    <w:rsid w:val="00E40D72"/>
    <w:rsid w:val="00E40E71"/>
    <w:rsid w:val="00E41544"/>
    <w:rsid w:val="00E42DA1"/>
    <w:rsid w:val="00E4533C"/>
    <w:rsid w:val="00E455C8"/>
    <w:rsid w:val="00E46C6D"/>
    <w:rsid w:val="00E5401B"/>
    <w:rsid w:val="00E559E0"/>
    <w:rsid w:val="00E5794C"/>
    <w:rsid w:val="00E61DE0"/>
    <w:rsid w:val="00E620BB"/>
    <w:rsid w:val="00E74453"/>
    <w:rsid w:val="00E7561D"/>
    <w:rsid w:val="00E76601"/>
    <w:rsid w:val="00E83F4E"/>
    <w:rsid w:val="00E85992"/>
    <w:rsid w:val="00E9189E"/>
    <w:rsid w:val="00E92BCA"/>
    <w:rsid w:val="00E957F3"/>
    <w:rsid w:val="00E975B1"/>
    <w:rsid w:val="00EA5667"/>
    <w:rsid w:val="00EA5EEB"/>
    <w:rsid w:val="00EA6204"/>
    <w:rsid w:val="00EA7796"/>
    <w:rsid w:val="00EB17FD"/>
    <w:rsid w:val="00EB3391"/>
    <w:rsid w:val="00EB35C9"/>
    <w:rsid w:val="00EB5059"/>
    <w:rsid w:val="00EB6838"/>
    <w:rsid w:val="00EB7256"/>
    <w:rsid w:val="00EC5DAF"/>
    <w:rsid w:val="00EC7C57"/>
    <w:rsid w:val="00EC7CD5"/>
    <w:rsid w:val="00ED35C2"/>
    <w:rsid w:val="00ED57F3"/>
    <w:rsid w:val="00ED62A5"/>
    <w:rsid w:val="00ED714A"/>
    <w:rsid w:val="00EE4F10"/>
    <w:rsid w:val="00EE604E"/>
    <w:rsid w:val="00EE69F3"/>
    <w:rsid w:val="00EE6C4A"/>
    <w:rsid w:val="00EF0422"/>
    <w:rsid w:val="00EF3C9C"/>
    <w:rsid w:val="00EF7793"/>
    <w:rsid w:val="00F01ABC"/>
    <w:rsid w:val="00F0285F"/>
    <w:rsid w:val="00F02C98"/>
    <w:rsid w:val="00F02CCB"/>
    <w:rsid w:val="00F06BC0"/>
    <w:rsid w:val="00F07E15"/>
    <w:rsid w:val="00F11BFB"/>
    <w:rsid w:val="00F1334D"/>
    <w:rsid w:val="00F15DE4"/>
    <w:rsid w:val="00F176F1"/>
    <w:rsid w:val="00F20925"/>
    <w:rsid w:val="00F26290"/>
    <w:rsid w:val="00F30939"/>
    <w:rsid w:val="00F318F3"/>
    <w:rsid w:val="00F32BD1"/>
    <w:rsid w:val="00F35C1E"/>
    <w:rsid w:val="00F36B88"/>
    <w:rsid w:val="00F37472"/>
    <w:rsid w:val="00F37E4F"/>
    <w:rsid w:val="00F40A0A"/>
    <w:rsid w:val="00F463CF"/>
    <w:rsid w:val="00F47F5B"/>
    <w:rsid w:val="00F53D91"/>
    <w:rsid w:val="00F54612"/>
    <w:rsid w:val="00F55BE5"/>
    <w:rsid w:val="00F569DD"/>
    <w:rsid w:val="00F62B85"/>
    <w:rsid w:val="00F6336F"/>
    <w:rsid w:val="00F6649E"/>
    <w:rsid w:val="00F70D65"/>
    <w:rsid w:val="00F714D7"/>
    <w:rsid w:val="00F758FA"/>
    <w:rsid w:val="00F8235A"/>
    <w:rsid w:val="00F848A9"/>
    <w:rsid w:val="00F85CA5"/>
    <w:rsid w:val="00F87584"/>
    <w:rsid w:val="00F904F5"/>
    <w:rsid w:val="00F96F59"/>
    <w:rsid w:val="00FA0659"/>
    <w:rsid w:val="00FA0DE8"/>
    <w:rsid w:val="00FA4B0C"/>
    <w:rsid w:val="00FA60B3"/>
    <w:rsid w:val="00FA6803"/>
    <w:rsid w:val="00FB12CC"/>
    <w:rsid w:val="00FB16BA"/>
    <w:rsid w:val="00FB2D7C"/>
    <w:rsid w:val="00FB30F3"/>
    <w:rsid w:val="00FB3528"/>
    <w:rsid w:val="00FB437B"/>
    <w:rsid w:val="00FB4E5F"/>
    <w:rsid w:val="00FB6FC8"/>
    <w:rsid w:val="00FC03CA"/>
    <w:rsid w:val="00FC0C8D"/>
    <w:rsid w:val="00FC31EC"/>
    <w:rsid w:val="00FC6607"/>
    <w:rsid w:val="00FD3964"/>
    <w:rsid w:val="00FD493A"/>
    <w:rsid w:val="00FD5128"/>
    <w:rsid w:val="00FD54BA"/>
    <w:rsid w:val="00FE05E2"/>
    <w:rsid w:val="00FE1B89"/>
    <w:rsid w:val="00FE62C3"/>
    <w:rsid w:val="00FF05F5"/>
    <w:rsid w:val="00FF078B"/>
    <w:rsid w:val="00FF2223"/>
    <w:rsid w:val="00FF382A"/>
    <w:rsid w:val="00FF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1BA5"/>
  <w15:chartTrackingRefBased/>
  <w15:docId w15:val="{1613277A-9C30-4F61-A1EC-364B0414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D05"/>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53D91"/>
    <w:pPr>
      <w:keepNext/>
      <w:keepLines/>
      <w:spacing w:before="240" w:after="120"/>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53D91"/>
    <w:pPr>
      <w:keepNext/>
      <w:keepLines/>
      <w:spacing w:before="160" w:after="120"/>
      <w:jc w:val="left"/>
      <w:outlineLvl w:val="1"/>
    </w:pPr>
    <w:rPr>
      <w:rFonts w:eastAsiaTheme="majorEastAsia" w:cstheme="majorBidi"/>
      <w:b/>
      <w:szCs w:val="26"/>
    </w:rPr>
  </w:style>
  <w:style w:type="paragraph" w:styleId="Heading3">
    <w:name w:val="heading 3"/>
    <w:basedOn w:val="Normal"/>
    <w:link w:val="Heading3Char"/>
    <w:autoRedefine/>
    <w:uiPriority w:val="9"/>
    <w:qFormat/>
    <w:rsid w:val="00377664"/>
    <w:pPr>
      <w:spacing w:before="360" w:after="120" w:line="480" w:lineRule="auto"/>
      <w:outlineLvl w:val="2"/>
    </w:pPr>
    <w:rPr>
      <w:rFonts w:eastAsia="Times New Roman" w:cs="Times New Roman"/>
      <w:bCs/>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Standard + Block,Erste Zeile:  1 cm,JFR-Fußnotenzeichen,*Footnote Reference,Ref,de nota al pie,Fußnotenzeichen_neu,Fußnotentext2,FZ,Footnote Reference1"/>
    <w:basedOn w:val="DefaultParagraphFont"/>
    <w:uiPriority w:val="99"/>
    <w:unhideWhenUsed/>
    <w:qFormat/>
    <w:rsid w:val="00745C6A"/>
    <w:rPr>
      <w:vertAlign w:val="superscript"/>
    </w:rPr>
  </w:style>
  <w:style w:type="character" w:customStyle="1" w:styleId="Heading3Char">
    <w:name w:val="Heading 3 Char"/>
    <w:basedOn w:val="DefaultParagraphFont"/>
    <w:link w:val="Heading3"/>
    <w:uiPriority w:val="9"/>
    <w:rsid w:val="00377664"/>
    <w:rPr>
      <w:rFonts w:ascii="Times New Roman" w:eastAsia="Times New Roman" w:hAnsi="Times New Roman" w:cs="Times New Roman"/>
      <w:bCs/>
      <w:i/>
      <w:iCs/>
      <w:sz w:val="24"/>
      <w:szCs w:val="24"/>
      <w:lang w:eastAsia="en-GB"/>
    </w:rPr>
  </w:style>
  <w:style w:type="paragraph" w:styleId="FootnoteText">
    <w:name w:val="footnote text"/>
    <w:aliases w:val="Footnote Text Char1 Char"/>
    <w:basedOn w:val="Normal"/>
    <w:link w:val="FootnoteTextChar"/>
    <w:uiPriority w:val="99"/>
    <w:unhideWhenUsed/>
    <w:rsid w:val="00745C6A"/>
    <w:pPr>
      <w:spacing w:after="0" w:line="240" w:lineRule="auto"/>
    </w:pPr>
    <w:rPr>
      <w:sz w:val="20"/>
      <w:szCs w:val="20"/>
    </w:rPr>
  </w:style>
  <w:style w:type="character" w:customStyle="1" w:styleId="FootnoteTextChar">
    <w:name w:val="Footnote Text Char"/>
    <w:aliases w:val="Footnote Text Char1 Char Char"/>
    <w:basedOn w:val="DefaultParagraphFont"/>
    <w:link w:val="FootnoteText"/>
    <w:uiPriority w:val="99"/>
    <w:rsid w:val="00745C6A"/>
    <w:rPr>
      <w:sz w:val="20"/>
      <w:szCs w:val="20"/>
    </w:rPr>
  </w:style>
  <w:style w:type="character" w:styleId="Hyperlink">
    <w:name w:val="Hyperlink"/>
    <w:basedOn w:val="DefaultParagraphFont"/>
    <w:uiPriority w:val="99"/>
    <w:unhideWhenUsed/>
    <w:rsid w:val="00745C6A"/>
    <w:rPr>
      <w:color w:val="0000FF"/>
      <w:u w:val="single"/>
    </w:rPr>
  </w:style>
  <w:style w:type="paragraph" w:styleId="ListParagraph">
    <w:name w:val="List Paragraph"/>
    <w:basedOn w:val="Normal"/>
    <w:uiPriority w:val="34"/>
    <w:qFormat/>
    <w:rsid w:val="00745C6A"/>
    <w:pPr>
      <w:spacing w:after="0" w:line="240" w:lineRule="auto"/>
      <w:ind w:left="720"/>
      <w:contextualSpacing/>
    </w:pPr>
    <w:rPr>
      <w:rFonts w:eastAsia="Times New Roman" w:cs="Times New Roman"/>
      <w:szCs w:val="24"/>
      <w:lang w:eastAsia="en-GB"/>
    </w:rPr>
  </w:style>
  <w:style w:type="character" w:styleId="CommentReference">
    <w:name w:val="annotation reference"/>
    <w:basedOn w:val="DefaultParagraphFont"/>
    <w:uiPriority w:val="99"/>
    <w:unhideWhenUsed/>
    <w:rsid w:val="00745C6A"/>
    <w:rPr>
      <w:sz w:val="16"/>
      <w:szCs w:val="16"/>
    </w:rPr>
  </w:style>
  <w:style w:type="paragraph" w:styleId="CommentText">
    <w:name w:val="annotation text"/>
    <w:basedOn w:val="Normal"/>
    <w:link w:val="CommentTextChar"/>
    <w:uiPriority w:val="99"/>
    <w:unhideWhenUsed/>
    <w:rsid w:val="00745C6A"/>
    <w:pPr>
      <w:spacing w:line="240" w:lineRule="auto"/>
    </w:pPr>
    <w:rPr>
      <w:sz w:val="20"/>
      <w:szCs w:val="20"/>
    </w:rPr>
  </w:style>
  <w:style w:type="character" w:customStyle="1" w:styleId="CommentTextChar">
    <w:name w:val="Comment Text Char"/>
    <w:basedOn w:val="DefaultParagraphFont"/>
    <w:link w:val="CommentText"/>
    <w:uiPriority w:val="99"/>
    <w:rsid w:val="00745C6A"/>
    <w:rPr>
      <w:sz w:val="20"/>
      <w:szCs w:val="20"/>
    </w:rPr>
  </w:style>
  <w:style w:type="paragraph" w:styleId="BodyText">
    <w:name w:val="Body Text"/>
    <w:link w:val="BodyTextChar"/>
    <w:rsid w:val="00745C6A"/>
    <w:pPr>
      <w:spacing w:after="0" w:line="360" w:lineRule="auto"/>
      <w:jc w:val="both"/>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745C6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5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6A"/>
    <w:rPr>
      <w:rFonts w:ascii="Segoe UI" w:hAnsi="Segoe UI" w:cs="Segoe UI"/>
      <w:sz w:val="18"/>
      <w:szCs w:val="18"/>
    </w:rPr>
  </w:style>
  <w:style w:type="character" w:customStyle="1" w:styleId="Heading2Char">
    <w:name w:val="Heading 2 Char"/>
    <w:basedOn w:val="DefaultParagraphFont"/>
    <w:link w:val="Heading2"/>
    <w:uiPriority w:val="9"/>
    <w:rsid w:val="00F53D91"/>
    <w:rPr>
      <w:rFonts w:ascii="Times New Roman" w:eastAsiaTheme="majorEastAsia" w:hAnsi="Times New Roman" w:cstheme="majorBidi"/>
      <w:b/>
      <w:sz w:val="24"/>
      <w:szCs w:val="26"/>
    </w:rPr>
  </w:style>
  <w:style w:type="paragraph" w:styleId="CommentSubject">
    <w:name w:val="annotation subject"/>
    <w:basedOn w:val="CommentText"/>
    <w:next w:val="CommentText"/>
    <w:link w:val="CommentSubjectChar"/>
    <w:uiPriority w:val="99"/>
    <w:semiHidden/>
    <w:unhideWhenUsed/>
    <w:rsid w:val="007D0248"/>
    <w:rPr>
      <w:b/>
      <w:bCs/>
    </w:rPr>
  </w:style>
  <w:style w:type="character" w:customStyle="1" w:styleId="CommentSubjectChar">
    <w:name w:val="Comment Subject Char"/>
    <w:basedOn w:val="CommentTextChar"/>
    <w:link w:val="CommentSubject"/>
    <w:uiPriority w:val="99"/>
    <w:semiHidden/>
    <w:rsid w:val="007D0248"/>
    <w:rPr>
      <w:b/>
      <w:bCs/>
      <w:sz w:val="20"/>
      <w:szCs w:val="20"/>
    </w:rPr>
  </w:style>
  <w:style w:type="table" w:styleId="TableGrid">
    <w:name w:val="Table Grid"/>
    <w:basedOn w:val="TableNormal"/>
    <w:uiPriority w:val="39"/>
    <w:rsid w:val="0024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D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53D91"/>
    <w:rPr>
      <w:rFonts w:ascii="Times New Roman" w:eastAsiaTheme="majorEastAsia" w:hAnsi="Times New Roman" w:cstheme="majorBidi"/>
      <w:b/>
      <w:sz w:val="24"/>
      <w:szCs w:val="32"/>
    </w:rPr>
  </w:style>
  <w:style w:type="paragraph" w:styleId="Revision">
    <w:name w:val="Revision"/>
    <w:hidden/>
    <w:uiPriority w:val="99"/>
    <w:semiHidden/>
    <w:rsid w:val="009F475B"/>
    <w:pPr>
      <w:spacing w:after="0" w:line="240" w:lineRule="auto"/>
    </w:pPr>
  </w:style>
  <w:style w:type="character" w:styleId="FollowedHyperlink">
    <w:name w:val="FollowedHyperlink"/>
    <w:basedOn w:val="DefaultParagraphFont"/>
    <w:uiPriority w:val="99"/>
    <w:semiHidden/>
    <w:unhideWhenUsed/>
    <w:rsid w:val="009F475B"/>
    <w:rPr>
      <w:color w:val="954F72" w:themeColor="followedHyperlink"/>
      <w:u w:val="single"/>
    </w:rPr>
  </w:style>
  <w:style w:type="character" w:styleId="UnresolvedMention">
    <w:name w:val="Unresolved Mention"/>
    <w:basedOn w:val="DefaultParagraphFont"/>
    <w:uiPriority w:val="99"/>
    <w:semiHidden/>
    <w:unhideWhenUsed/>
    <w:rsid w:val="0020167E"/>
    <w:rPr>
      <w:color w:val="605E5C"/>
      <w:shd w:val="clear" w:color="auto" w:fill="E1DFDD"/>
    </w:rPr>
  </w:style>
  <w:style w:type="paragraph" w:styleId="Header">
    <w:name w:val="header"/>
    <w:basedOn w:val="Normal"/>
    <w:link w:val="HeaderChar"/>
    <w:uiPriority w:val="99"/>
    <w:unhideWhenUsed/>
    <w:rsid w:val="00B76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7AE"/>
    <w:rPr>
      <w:rFonts w:ascii="Times New Roman" w:hAnsi="Times New Roman"/>
      <w:sz w:val="24"/>
    </w:rPr>
  </w:style>
  <w:style w:type="paragraph" w:styleId="Footer">
    <w:name w:val="footer"/>
    <w:basedOn w:val="Normal"/>
    <w:link w:val="FooterChar"/>
    <w:uiPriority w:val="99"/>
    <w:unhideWhenUsed/>
    <w:rsid w:val="00B76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7AE"/>
    <w:rPr>
      <w:rFonts w:ascii="Times New Roman" w:hAnsi="Times New Roman"/>
      <w:sz w:val="24"/>
    </w:rPr>
  </w:style>
  <w:style w:type="character" w:customStyle="1" w:styleId="ui-provider">
    <w:name w:val="ui-provider"/>
    <w:basedOn w:val="DefaultParagraphFont"/>
    <w:rsid w:val="0057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4802">
      <w:bodyDiv w:val="1"/>
      <w:marLeft w:val="0"/>
      <w:marRight w:val="0"/>
      <w:marTop w:val="0"/>
      <w:marBottom w:val="0"/>
      <w:divBdr>
        <w:top w:val="none" w:sz="0" w:space="0" w:color="auto"/>
        <w:left w:val="none" w:sz="0" w:space="0" w:color="auto"/>
        <w:bottom w:val="none" w:sz="0" w:space="0" w:color="auto"/>
        <w:right w:val="none" w:sz="0" w:space="0" w:color="auto"/>
      </w:divBdr>
    </w:div>
    <w:div w:id="96490017">
      <w:bodyDiv w:val="1"/>
      <w:marLeft w:val="0"/>
      <w:marRight w:val="0"/>
      <w:marTop w:val="0"/>
      <w:marBottom w:val="0"/>
      <w:divBdr>
        <w:top w:val="none" w:sz="0" w:space="0" w:color="auto"/>
        <w:left w:val="none" w:sz="0" w:space="0" w:color="auto"/>
        <w:bottom w:val="none" w:sz="0" w:space="0" w:color="auto"/>
        <w:right w:val="none" w:sz="0" w:space="0" w:color="auto"/>
      </w:divBdr>
    </w:div>
    <w:div w:id="106119754">
      <w:bodyDiv w:val="1"/>
      <w:marLeft w:val="0"/>
      <w:marRight w:val="0"/>
      <w:marTop w:val="0"/>
      <w:marBottom w:val="0"/>
      <w:divBdr>
        <w:top w:val="none" w:sz="0" w:space="0" w:color="auto"/>
        <w:left w:val="none" w:sz="0" w:space="0" w:color="auto"/>
        <w:bottom w:val="none" w:sz="0" w:space="0" w:color="auto"/>
        <w:right w:val="none" w:sz="0" w:space="0" w:color="auto"/>
      </w:divBdr>
    </w:div>
    <w:div w:id="107627883">
      <w:bodyDiv w:val="1"/>
      <w:marLeft w:val="0"/>
      <w:marRight w:val="0"/>
      <w:marTop w:val="0"/>
      <w:marBottom w:val="0"/>
      <w:divBdr>
        <w:top w:val="none" w:sz="0" w:space="0" w:color="auto"/>
        <w:left w:val="none" w:sz="0" w:space="0" w:color="auto"/>
        <w:bottom w:val="none" w:sz="0" w:space="0" w:color="auto"/>
        <w:right w:val="none" w:sz="0" w:space="0" w:color="auto"/>
      </w:divBdr>
    </w:div>
    <w:div w:id="468936036">
      <w:bodyDiv w:val="1"/>
      <w:marLeft w:val="0"/>
      <w:marRight w:val="0"/>
      <w:marTop w:val="0"/>
      <w:marBottom w:val="0"/>
      <w:divBdr>
        <w:top w:val="none" w:sz="0" w:space="0" w:color="auto"/>
        <w:left w:val="none" w:sz="0" w:space="0" w:color="auto"/>
        <w:bottom w:val="none" w:sz="0" w:space="0" w:color="auto"/>
        <w:right w:val="none" w:sz="0" w:space="0" w:color="auto"/>
      </w:divBdr>
    </w:div>
    <w:div w:id="648285161">
      <w:bodyDiv w:val="1"/>
      <w:marLeft w:val="0"/>
      <w:marRight w:val="0"/>
      <w:marTop w:val="0"/>
      <w:marBottom w:val="0"/>
      <w:divBdr>
        <w:top w:val="none" w:sz="0" w:space="0" w:color="auto"/>
        <w:left w:val="none" w:sz="0" w:space="0" w:color="auto"/>
        <w:bottom w:val="none" w:sz="0" w:space="0" w:color="auto"/>
        <w:right w:val="none" w:sz="0" w:space="0" w:color="auto"/>
      </w:divBdr>
    </w:div>
    <w:div w:id="827937103">
      <w:bodyDiv w:val="1"/>
      <w:marLeft w:val="0"/>
      <w:marRight w:val="0"/>
      <w:marTop w:val="0"/>
      <w:marBottom w:val="0"/>
      <w:divBdr>
        <w:top w:val="none" w:sz="0" w:space="0" w:color="auto"/>
        <w:left w:val="none" w:sz="0" w:space="0" w:color="auto"/>
        <w:bottom w:val="none" w:sz="0" w:space="0" w:color="auto"/>
        <w:right w:val="none" w:sz="0" w:space="0" w:color="auto"/>
      </w:divBdr>
    </w:div>
    <w:div w:id="988175350">
      <w:bodyDiv w:val="1"/>
      <w:marLeft w:val="0"/>
      <w:marRight w:val="0"/>
      <w:marTop w:val="0"/>
      <w:marBottom w:val="0"/>
      <w:divBdr>
        <w:top w:val="none" w:sz="0" w:space="0" w:color="auto"/>
        <w:left w:val="none" w:sz="0" w:space="0" w:color="auto"/>
        <w:bottom w:val="none" w:sz="0" w:space="0" w:color="auto"/>
        <w:right w:val="none" w:sz="0" w:space="0" w:color="auto"/>
      </w:divBdr>
    </w:div>
    <w:div w:id="988637128">
      <w:bodyDiv w:val="1"/>
      <w:marLeft w:val="0"/>
      <w:marRight w:val="0"/>
      <w:marTop w:val="0"/>
      <w:marBottom w:val="0"/>
      <w:divBdr>
        <w:top w:val="none" w:sz="0" w:space="0" w:color="auto"/>
        <w:left w:val="none" w:sz="0" w:space="0" w:color="auto"/>
        <w:bottom w:val="none" w:sz="0" w:space="0" w:color="auto"/>
        <w:right w:val="none" w:sz="0" w:space="0" w:color="auto"/>
      </w:divBdr>
    </w:div>
    <w:div w:id="1092044684">
      <w:bodyDiv w:val="1"/>
      <w:marLeft w:val="0"/>
      <w:marRight w:val="0"/>
      <w:marTop w:val="0"/>
      <w:marBottom w:val="0"/>
      <w:divBdr>
        <w:top w:val="none" w:sz="0" w:space="0" w:color="auto"/>
        <w:left w:val="none" w:sz="0" w:space="0" w:color="auto"/>
        <w:bottom w:val="none" w:sz="0" w:space="0" w:color="auto"/>
        <w:right w:val="none" w:sz="0" w:space="0" w:color="auto"/>
      </w:divBdr>
    </w:div>
    <w:div w:id="1558587406">
      <w:bodyDiv w:val="1"/>
      <w:marLeft w:val="0"/>
      <w:marRight w:val="0"/>
      <w:marTop w:val="0"/>
      <w:marBottom w:val="0"/>
      <w:divBdr>
        <w:top w:val="none" w:sz="0" w:space="0" w:color="auto"/>
        <w:left w:val="none" w:sz="0" w:space="0" w:color="auto"/>
        <w:bottom w:val="none" w:sz="0" w:space="0" w:color="auto"/>
        <w:right w:val="none" w:sz="0" w:space="0" w:color="auto"/>
      </w:divBdr>
    </w:div>
    <w:div w:id="1576352729">
      <w:bodyDiv w:val="1"/>
      <w:marLeft w:val="0"/>
      <w:marRight w:val="0"/>
      <w:marTop w:val="0"/>
      <w:marBottom w:val="0"/>
      <w:divBdr>
        <w:top w:val="none" w:sz="0" w:space="0" w:color="auto"/>
        <w:left w:val="none" w:sz="0" w:space="0" w:color="auto"/>
        <w:bottom w:val="none" w:sz="0" w:space="0" w:color="auto"/>
        <w:right w:val="none" w:sz="0" w:space="0" w:color="auto"/>
      </w:divBdr>
    </w:div>
    <w:div w:id="1634405826">
      <w:bodyDiv w:val="1"/>
      <w:marLeft w:val="0"/>
      <w:marRight w:val="0"/>
      <w:marTop w:val="0"/>
      <w:marBottom w:val="0"/>
      <w:divBdr>
        <w:top w:val="none" w:sz="0" w:space="0" w:color="auto"/>
        <w:left w:val="none" w:sz="0" w:space="0" w:color="auto"/>
        <w:bottom w:val="none" w:sz="0" w:space="0" w:color="auto"/>
        <w:right w:val="none" w:sz="0" w:space="0" w:color="auto"/>
      </w:divBdr>
    </w:div>
    <w:div w:id="1677876503">
      <w:bodyDiv w:val="1"/>
      <w:marLeft w:val="0"/>
      <w:marRight w:val="0"/>
      <w:marTop w:val="0"/>
      <w:marBottom w:val="0"/>
      <w:divBdr>
        <w:top w:val="none" w:sz="0" w:space="0" w:color="auto"/>
        <w:left w:val="none" w:sz="0" w:space="0" w:color="auto"/>
        <w:bottom w:val="none" w:sz="0" w:space="0" w:color="auto"/>
        <w:right w:val="none" w:sz="0" w:space="0" w:color="auto"/>
      </w:divBdr>
    </w:div>
    <w:div w:id="1700205778">
      <w:bodyDiv w:val="1"/>
      <w:marLeft w:val="0"/>
      <w:marRight w:val="0"/>
      <w:marTop w:val="0"/>
      <w:marBottom w:val="0"/>
      <w:divBdr>
        <w:top w:val="none" w:sz="0" w:space="0" w:color="auto"/>
        <w:left w:val="none" w:sz="0" w:space="0" w:color="auto"/>
        <w:bottom w:val="none" w:sz="0" w:space="0" w:color="auto"/>
        <w:right w:val="none" w:sz="0" w:space="0" w:color="auto"/>
      </w:divBdr>
    </w:div>
    <w:div w:id="1854951596">
      <w:bodyDiv w:val="1"/>
      <w:marLeft w:val="0"/>
      <w:marRight w:val="0"/>
      <w:marTop w:val="0"/>
      <w:marBottom w:val="0"/>
      <w:divBdr>
        <w:top w:val="none" w:sz="0" w:space="0" w:color="auto"/>
        <w:left w:val="none" w:sz="0" w:space="0" w:color="auto"/>
        <w:bottom w:val="none" w:sz="0" w:space="0" w:color="auto"/>
        <w:right w:val="none" w:sz="0" w:space="0" w:color="auto"/>
      </w:divBdr>
    </w:div>
    <w:div w:id="1928152515">
      <w:bodyDiv w:val="1"/>
      <w:marLeft w:val="0"/>
      <w:marRight w:val="0"/>
      <w:marTop w:val="0"/>
      <w:marBottom w:val="0"/>
      <w:divBdr>
        <w:top w:val="none" w:sz="0" w:space="0" w:color="auto"/>
        <w:left w:val="none" w:sz="0" w:space="0" w:color="auto"/>
        <w:bottom w:val="none" w:sz="0" w:space="0" w:color="auto"/>
        <w:right w:val="none" w:sz="0" w:space="0" w:color="auto"/>
      </w:divBdr>
    </w:div>
    <w:div w:id="1965380758">
      <w:bodyDiv w:val="1"/>
      <w:marLeft w:val="0"/>
      <w:marRight w:val="0"/>
      <w:marTop w:val="0"/>
      <w:marBottom w:val="0"/>
      <w:divBdr>
        <w:top w:val="none" w:sz="0" w:space="0" w:color="auto"/>
        <w:left w:val="none" w:sz="0" w:space="0" w:color="auto"/>
        <w:bottom w:val="none" w:sz="0" w:space="0" w:color="auto"/>
        <w:right w:val="none" w:sz="0" w:space="0" w:color="auto"/>
      </w:divBdr>
    </w:div>
    <w:div w:id="2093550415">
      <w:bodyDiv w:val="1"/>
      <w:marLeft w:val="0"/>
      <w:marRight w:val="0"/>
      <w:marTop w:val="0"/>
      <w:marBottom w:val="0"/>
      <w:divBdr>
        <w:top w:val="none" w:sz="0" w:space="0" w:color="auto"/>
        <w:left w:val="none" w:sz="0" w:space="0" w:color="auto"/>
        <w:bottom w:val="none" w:sz="0" w:space="0" w:color="auto"/>
        <w:right w:val="none" w:sz="0" w:space="0" w:color="auto"/>
      </w:divBdr>
    </w:div>
    <w:div w:id="21418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4" ma:contentTypeDescription="Create a new document." ma:contentTypeScope="" ma:versionID="a8bfc4c7eac251a97201e103e4a5e4e9">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25c2188298e72b07337af8bfffda6195"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569699-ae44-4c85-9383-dd5a41d3d4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0FCE-5B00-4540-BD65-36C7054C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F4DAA-F3FD-4A64-9177-4031E24F81F7}">
  <ds:schemaRefs>
    <ds:schemaRef ds:uri="http://schemas.microsoft.com/sharepoint/v3/contenttype/forms"/>
  </ds:schemaRefs>
</ds:datastoreItem>
</file>

<file path=customXml/itemProps3.xml><?xml version="1.0" encoding="utf-8"?>
<ds:datastoreItem xmlns:ds="http://schemas.openxmlformats.org/officeDocument/2006/customXml" ds:itemID="{A5B90D00-AAEC-45CA-8850-F6D615F483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69699-ae44-4c85-9383-dd5a41d3d471"/>
    <ds:schemaRef ds:uri="http://purl.org/dc/terms/"/>
    <ds:schemaRef ds:uri="http://schemas.openxmlformats.org/package/2006/metadata/core-properties"/>
    <ds:schemaRef ds:uri="da5da9df-85e1-4e4b-b319-af1e48434c21"/>
    <ds:schemaRef ds:uri="http://www.w3.org/XML/1998/namespace"/>
    <ds:schemaRef ds:uri="http://purl.org/dc/dcmitype/"/>
  </ds:schemaRefs>
</ds:datastoreItem>
</file>

<file path=customXml/itemProps4.xml><?xml version="1.0" encoding="utf-8"?>
<ds:datastoreItem xmlns:ds="http://schemas.openxmlformats.org/officeDocument/2006/customXml" ds:itemID="{51C2D423-CC43-4211-BFDF-27D799277603}">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7876</Words>
  <Characters>44895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Bourton</dc:creator>
  <cp:keywords/>
  <dc:description/>
  <cp:lastModifiedBy>Sam Bourton</cp:lastModifiedBy>
  <cp:revision>2</cp:revision>
  <dcterms:created xsi:type="dcterms:W3CDTF">2023-06-12T11:20:00Z</dcterms:created>
  <dcterms:modified xsi:type="dcterms:W3CDTF">2023-06-12T11:20:00Z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y fmtid="{D5CDD505-2E9C-101B-9397-08002B2CF9AE}" pid="3" name="GrammarlyDocumentId">
    <vt:lpwstr>8c80458c898c5f79259935c583f18fa183a7bec7eb0f448c9f2643dd0d5da591</vt:lpwstr>
  </property>
</Properties>
</file>